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5.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F33D26F" w14:textId="3E272B44" w:rsidR="006157AF" w:rsidRDefault="00720E5F" w:rsidP="006157AF">
      <w:pPr>
        <w:rPr>
          <w:sz w:val="32"/>
          <w:szCs w:val="32"/>
        </w:rPr>
      </w:pPr>
      <w:r>
        <w:rPr>
          <w:noProof/>
        </w:rPr>
        <mc:AlternateContent>
          <mc:Choice Requires="wps">
            <w:drawing>
              <wp:anchor distT="0" distB="0" distL="114300" distR="114300" simplePos="0" relativeHeight="251630080" behindDoc="0" locked="0" layoutInCell="1" allowOverlap="1" wp14:anchorId="51DE5761" wp14:editId="59CAF5E9">
                <wp:simplePos x="0" y="0"/>
                <wp:positionH relativeFrom="column">
                  <wp:posOffset>-588645</wp:posOffset>
                </wp:positionH>
                <wp:positionV relativeFrom="paragraph">
                  <wp:posOffset>-361950</wp:posOffset>
                </wp:positionV>
                <wp:extent cx="6952615" cy="9966960"/>
                <wp:effectExtent l="0" t="0" r="0" b="0"/>
                <wp:wrapNone/>
                <wp:docPr id="67" name="Надпись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952615" cy="9966960"/>
                        </a:xfrm>
                        <a:prstGeom prst="rect">
                          <a:avLst/>
                        </a:prstGeom>
                        <a:solidFill>
                          <a:sysClr val="window" lastClr="FFFFFF"/>
                        </a:solidFill>
                        <a:ln w="6350">
                          <a:noFill/>
                        </a:ln>
                        <a:effectLst/>
                      </wps:spPr>
                      <wps:txbx>
                        <w:txbxContent>
                          <w:p w14:paraId="3441B1B2" w14:textId="77777777" w:rsidR="009E240E" w:rsidRDefault="009E240E" w:rsidP="006157AF">
                            <w:pPr>
                              <w:rPr>
                                <w:b/>
                              </w:rPr>
                            </w:pPr>
                            <w:r>
                              <w:rPr>
                                <w:b/>
                              </w:rPr>
                              <w:t xml:space="preserve"> </w:t>
                            </w:r>
                          </w:p>
                          <w:p w14:paraId="574AC1F8" w14:textId="77777777" w:rsidR="009E240E" w:rsidRDefault="009E240E" w:rsidP="006157AF">
                            <w:pPr>
                              <w:rPr>
                                <w:b/>
                              </w:rPr>
                            </w:pPr>
                          </w:p>
                          <w:p w14:paraId="52E4B54F" w14:textId="77777777" w:rsidR="009E240E" w:rsidRDefault="009E240E" w:rsidP="006157AF">
                            <w:pPr>
                              <w:rPr>
                                <w:b/>
                              </w:rPr>
                            </w:pPr>
                          </w:p>
                          <w:p w14:paraId="2B0C7284" w14:textId="77777777" w:rsidR="009E240E" w:rsidRDefault="009E240E" w:rsidP="006157AF">
                            <w:pPr>
                              <w:rPr>
                                <w:b/>
                              </w:rPr>
                            </w:pPr>
                          </w:p>
                          <w:p w14:paraId="1791EB20" w14:textId="77777777" w:rsidR="009E240E" w:rsidRDefault="009E240E" w:rsidP="006157AF">
                            <w:pPr>
                              <w:rPr>
                                <w:b/>
                              </w:rPr>
                            </w:pPr>
                          </w:p>
                          <w:p w14:paraId="53F5F4CE" w14:textId="77777777" w:rsidR="009E240E" w:rsidRDefault="009E240E" w:rsidP="006157AF">
                            <w:pPr>
                              <w:rPr>
                                <w:b/>
                              </w:rPr>
                            </w:pPr>
                          </w:p>
                          <w:tbl>
                            <w:tblPr>
                              <w:tblW w:w="9525" w:type="dxa"/>
                              <w:tblInd w:w="565" w:type="dxa"/>
                              <w:tblLook w:val="00A0" w:firstRow="1" w:lastRow="0" w:firstColumn="1" w:lastColumn="0" w:noHBand="0" w:noVBand="0"/>
                            </w:tblPr>
                            <w:tblGrid>
                              <w:gridCol w:w="5103"/>
                              <w:gridCol w:w="4422"/>
                            </w:tblGrid>
                            <w:tr w:rsidR="009E240E" w:rsidRPr="002F69C0" w14:paraId="0396762A" w14:textId="77777777" w:rsidTr="002E3662">
                              <w:tc>
                                <w:tcPr>
                                  <w:tcW w:w="9525" w:type="dxa"/>
                                  <w:gridSpan w:val="2"/>
                                  <w:tcBorders>
                                    <w:top w:val="single" w:sz="4" w:space="0" w:color="FFFFFF"/>
                                    <w:left w:val="single" w:sz="4" w:space="0" w:color="FFFFFF"/>
                                    <w:bottom w:val="single" w:sz="4" w:space="0" w:color="FFFFFF"/>
                                    <w:right w:val="single" w:sz="4" w:space="0" w:color="FFFFFF"/>
                                  </w:tcBorders>
                                </w:tcPr>
                                <w:p w14:paraId="1DBD55EF" w14:textId="77777777" w:rsidR="009E240E" w:rsidRPr="002F69C0" w:rsidRDefault="009E240E" w:rsidP="00CC0FB3">
                                  <w:pPr>
                                    <w:tabs>
                                      <w:tab w:val="left" w:pos="6135"/>
                                    </w:tabs>
                                    <w:jc w:val="center"/>
                                    <w:rPr>
                                      <w:b/>
                                      <w:sz w:val="28"/>
                                      <w:szCs w:val="28"/>
                                    </w:rPr>
                                  </w:pPr>
                                  <w:r w:rsidRPr="002F69C0">
                                    <w:rPr>
                                      <w:b/>
                                      <w:color w:val="808080"/>
                                    </w:rPr>
                                    <w:t xml:space="preserve">Клинические </w:t>
                                  </w:r>
                                  <w:r w:rsidRPr="002F69C0">
                                    <w:rPr>
                                      <w:b/>
                                      <w:noProof/>
                                      <w:color w:val="767171"/>
                                    </w:rPr>
                                    <w:t>рекомендации</w:t>
                                  </w:r>
                                </w:p>
                              </w:tc>
                            </w:tr>
                            <w:tr w:rsidR="009E240E" w:rsidRPr="002F69C0" w14:paraId="310A00BB" w14:textId="77777777" w:rsidTr="002E3662">
                              <w:trPr>
                                <w:trHeight w:val="993"/>
                              </w:trPr>
                              <w:tc>
                                <w:tcPr>
                                  <w:tcW w:w="9525" w:type="dxa"/>
                                  <w:gridSpan w:val="2"/>
                                  <w:tcBorders>
                                    <w:top w:val="single" w:sz="4" w:space="0" w:color="FFFFFF"/>
                                    <w:left w:val="single" w:sz="4" w:space="0" w:color="FFFFFF"/>
                                    <w:bottom w:val="single" w:sz="4" w:space="0" w:color="FFFFFF"/>
                                    <w:right w:val="single" w:sz="4" w:space="0" w:color="FFFFFF"/>
                                  </w:tcBorders>
                                </w:tcPr>
                                <w:p w14:paraId="3E3FCF8C" w14:textId="6D64EE7C" w:rsidR="009E240E" w:rsidRPr="002F69C0" w:rsidRDefault="009E240E" w:rsidP="00CC0FB3">
                                  <w:pPr>
                                    <w:tabs>
                                      <w:tab w:val="left" w:pos="6135"/>
                                    </w:tabs>
                                    <w:jc w:val="center"/>
                                    <w:rPr>
                                      <w:sz w:val="28"/>
                                      <w:szCs w:val="28"/>
                                    </w:rPr>
                                  </w:pPr>
                                  <w:r w:rsidRPr="00D70D58">
                                    <w:rPr>
                                      <w:b/>
                                      <w:color w:val="000000"/>
                                      <w:sz w:val="44"/>
                                      <w:szCs w:val="44"/>
                                    </w:rPr>
                                    <w:t>Острые лимфобластные лейкозы</w:t>
                                  </w:r>
                                </w:p>
                              </w:tc>
                            </w:tr>
                            <w:tr w:rsidR="009E240E" w:rsidRPr="002F69C0" w14:paraId="2B33173E" w14:textId="77777777" w:rsidTr="002E3662">
                              <w:trPr>
                                <w:trHeight w:val="1266"/>
                              </w:trPr>
                              <w:tc>
                                <w:tcPr>
                                  <w:tcW w:w="5103" w:type="dxa"/>
                                  <w:tcBorders>
                                    <w:top w:val="single" w:sz="4" w:space="0" w:color="FFFFFF"/>
                                    <w:left w:val="single" w:sz="4" w:space="0" w:color="FFFFFF"/>
                                    <w:bottom w:val="single" w:sz="4" w:space="0" w:color="FFFFFF"/>
                                    <w:right w:val="single" w:sz="4" w:space="0" w:color="FFFFFF"/>
                                  </w:tcBorders>
                                </w:tcPr>
                                <w:p w14:paraId="67CADBB9" w14:textId="77777777" w:rsidR="009E240E" w:rsidRPr="002F69C0" w:rsidRDefault="009E240E" w:rsidP="00CC0FB3">
                                  <w:pPr>
                                    <w:tabs>
                                      <w:tab w:val="left" w:pos="6135"/>
                                    </w:tabs>
                                    <w:jc w:val="right"/>
                                    <w:rPr>
                                      <w:szCs w:val="28"/>
                                    </w:rPr>
                                  </w:pPr>
                                  <w:r w:rsidRPr="002F69C0">
                                    <w:rPr>
                                      <w:color w:val="808080"/>
                                      <w:szCs w:val="28"/>
                                    </w:rPr>
                                    <w:t>Кодирование по Международной статистической классификации болезней и проблем, связанных со здоровьем:</w:t>
                                  </w:r>
                                </w:p>
                              </w:tc>
                              <w:tc>
                                <w:tcPr>
                                  <w:tcW w:w="4422" w:type="dxa"/>
                                  <w:tcBorders>
                                    <w:top w:val="single" w:sz="4" w:space="0" w:color="FFFFFF"/>
                                    <w:left w:val="single" w:sz="4" w:space="0" w:color="FFFFFF"/>
                                    <w:bottom w:val="single" w:sz="4" w:space="0" w:color="FFFFFF"/>
                                    <w:right w:val="single" w:sz="4" w:space="0" w:color="FFFFFF"/>
                                  </w:tcBorders>
                                </w:tcPr>
                                <w:p w14:paraId="6C5C4795" w14:textId="74C21D15" w:rsidR="009E240E" w:rsidRPr="002F69C0" w:rsidRDefault="009E240E" w:rsidP="00CC0FB3">
                                  <w:pPr>
                                    <w:rPr>
                                      <w:szCs w:val="28"/>
                                    </w:rPr>
                                  </w:pPr>
                                  <w:r w:rsidRPr="00D70D58">
                                    <w:rPr>
                                      <w:szCs w:val="28"/>
                                    </w:rPr>
                                    <w:t>С91.0, С91.5, С91.7</w:t>
                                  </w:r>
                                  <w:r>
                                    <w:rPr>
                                      <w:szCs w:val="28"/>
                                    </w:rPr>
                                    <w:t>, С91.9,</w:t>
                                  </w:r>
                                  <w:r w:rsidRPr="00D70D58">
                                    <w:rPr>
                                      <w:szCs w:val="28"/>
                                    </w:rPr>
                                    <w:t xml:space="preserve"> С83.5</w:t>
                                  </w:r>
                                </w:p>
                              </w:tc>
                            </w:tr>
                            <w:tr w:rsidR="009E240E" w:rsidRPr="002F69C0" w14:paraId="77CAD440" w14:textId="77777777" w:rsidTr="002E3662">
                              <w:trPr>
                                <w:trHeight w:val="547"/>
                              </w:trPr>
                              <w:tc>
                                <w:tcPr>
                                  <w:tcW w:w="5103" w:type="dxa"/>
                                  <w:tcBorders>
                                    <w:top w:val="single" w:sz="4" w:space="0" w:color="FFFFFF"/>
                                    <w:left w:val="single" w:sz="4" w:space="0" w:color="FFFFFF"/>
                                    <w:bottom w:val="single" w:sz="4" w:space="0" w:color="FFFFFF"/>
                                    <w:right w:val="single" w:sz="4" w:space="0" w:color="FFFFFF"/>
                                  </w:tcBorders>
                                </w:tcPr>
                                <w:p w14:paraId="620F5F97" w14:textId="77777777" w:rsidR="009E240E" w:rsidRPr="002F69C0" w:rsidRDefault="009E240E" w:rsidP="00CC0FB3">
                                  <w:pPr>
                                    <w:tabs>
                                      <w:tab w:val="left" w:pos="6135"/>
                                    </w:tabs>
                                    <w:jc w:val="right"/>
                                    <w:rPr>
                                      <w:color w:val="808080"/>
                                      <w:szCs w:val="28"/>
                                    </w:rPr>
                                  </w:pPr>
                                  <w:r w:rsidRPr="002F69C0">
                                    <w:rPr>
                                      <w:rStyle w:val="pop-slug-vol"/>
                                      <w:color w:val="767171"/>
                                      <w:szCs w:val="28"/>
                                    </w:rPr>
                                    <w:t>Возрастная группа:</w:t>
                                  </w:r>
                                  <w:r w:rsidRPr="002F69C0">
                                    <w:rPr>
                                      <w:rStyle w:val="pop-slug-vol"/>
                                      <w:b/>
                                      <w:color w:val="767171"/>
                                      <w:szCs w:val="28"/>
                                    </w:rPr>
                                    <w:t xml:space="preserve"> </w:t>
                                  </w:r>
                                </w:p>
                              </w:tc>
                              <w:tc>
                                <w:tcPr>
                                  <w:tcW w:w="4422" w:type="dxa"/>
                                  <w:tcBorders>
                                    <w:top w:val="single" w:sz="4" w:space="0" w:color="FFFFFF"/>
                                    <w:left w:val="single" w:sz="4" w:space="0" w:color="FFFFFF"/>
                                    <w:bottom w:val="single" w:sz="4" w:space="0" w:color="FFFFFF"/>
                                    <w:right w:val="single" w:sz="4" w:space="0" w:color="FFFFFF"/>
                                  </w:tcBorders>
                                </w:tcPr>
                                <w:p w14:paraId="02D31B4C" w14:textId="77777777" w:rsidR="009E240E" w:rsidRPr="002F69C0" w:rsidRDefault="009E240E" w:rsidP="00CC0FB3">
                                  <w:pPr>
                                    <w:tabs>
                                      <w:tab w:val="left" w:pos="6135"/>
                                    </w:tabs>
                                    <w:jc w:val="left"/>
                                    <w:rPr>
                                      <w:szCs w:val="28"/>
                                    </w:rPr>
                                  </w:pPr>
                                  <w:r w:rsidRPr="002F69C0">
                                    <w:rPr>
                                      <w:szCs w:val="28"/>
                                    </w:rPr>
                                    <w:t>взрослые</w:t>
                                  </w:r>
                                </w:p>
                              </w:tc>
                            </w:tr>
                            <w:tr w:rsidR="009E240E" w:rsidRPr="002F69C0" w14:paraId="4F89B1F0" w14:textId="77777777" w:rsidTr="002E3662">
                              <w:trPr>
                                <w:trHeight w:val="445"/>
                              </w:trPr>
                              <w:tc>
                                <w:tcPr>
                                  <w:tcW w:w="5103" w:type="dxa"/>
                                  <w:tcBorders>
                                    <w:top w:val="single" w:sz="4" w:space="0" w:color="FFFFFF"/>
                                    <w:left w:val="single" w:sz="4" w:space="0" w:color="FFFFFF"/>
                                    <w:bottom w:val="single" w:sz="4" w:space="0" w:color="FFFFFF"/>
                                    <w:right w:val="single" w:sz="4" w:space="0" w:color="FFFFFF"/>
                                  </w:tcBorders>
                                </w:tcPr>
                                <w:p w14:paraId="3B3D8A72" w14:textId="77777777" w:rsidR="009E240E" w:rsidRPr="002F69C0" w:rsidRDefault="009E240E" w:rsidP="00CC0FB3">
                                  <w:pPr>
                                    <w:tabs>
                                      <w:tab w:val="left" w:pos="6135"/>
                                    </w:tabs>
                                    <w:jc w:val="right"/>
                                    <w:rPr>
                                      <w:color w:val="808080"/>
                                      <w:szCs w:val="28"/>
                                    </w:rPr>
                                  </w:pPr>
                                  <w:r w:rsidRPr="002F69C0">
                                    <w:rPr>
                                      <w:color w:val="808080"/>
                                    </w:rPr>
                                    <w:t>Год утверждения:</w:t>
                                  </w:r>
                                </w:p>
                              </w:tc>
                              <w:tc>
                                <w:tcPr>
                                  <w:tcW w:w="4422" w:type="dxa"/>
                                  <w:tcBorders>
                                    <w:top w:val="single" w:sz="4" w:space="0" w:color="FFFFFF"/>
                                    <w:left w:val="single" w:sz="4" w:space="0" w:color="FFFFFF"/>
                                    <w:bottom w:val="single" w:sz="4" w:space="0" w:color="FFFFFF"/>
                                    <w:right w:val="single" w:sz="4" w:space="0" w:color="FFFFFF"/>
                                  </w:tcBorders>
                                </w:tcPr>
                                <w:p w14:paraId="42F5173F" w14:textId="6704D771" w:rsidR="009E240E" w:rsidRPr="00D307E3" w:rsidRDefault="009E240E" w:rsidP="00CC0FB3">
                                  <w:pPr>
                                    <w:tabs>
                                      <w:tab w:val="left" w:pos="6135"/>
                                    </w:tabs>
                                    <w:jc w:val="left"/>
                                    <w:rPr>
                                      <w:lang w:val="en-US"/>
                                    </w:rPr>
                                  </w:pPr>
                                </w:p>
                              </w:tc>
                            </w:tr>
                            <w:tr w:rsidR="009E240E" w:rsidRPr="002F69C0" w14:paraId="66DD6A17" w14:textId="77777777" w:rsidTr="002E3662">
                              <w:tc>
                                <w:tcPr>
                                  <w:tcW w:w="9525" w:type="dxa"/>
                                  <w:gridSpan w:val="2"/>
                                  <w:tcBorders>
                                    <w:top w:val="single" w:sz="4" w:space="0" w:color="FFFFFF"/>
                                    <w:left w:val="single" w:sz="4" w:space="0" w:color="FFFFFF"/>
                                    <w:bottom w:val="single" w:sz="4" w:space="0" w:color="FFFFFF"/>
                                    <w:right w:val="single" w:sz="4" w:space="0" w:color="FFFFFF"/>
                                  </w:tcBorders>
                                </w:tcPr>
                                <w:p w14:paraId="707C2D29" w14:textId="77777777" w:rsidR="009E240E" w:rsidRPr="002F69C0" w:rsidRDefault="009E240E" w:rsidP="00CC0FB3">
                                  <w:pPr>
                                    <w:tabs>
                                      <w:tab w:val="left" w:pos="6135"/>
                                    </w:tabs>
                                    <w:rPr>
                                      <w:color w:val="FF0000"/>
                                      <w:sz w:val="20"/>
                                    </w:rPr>
                                  </w:pPr>
                                  <w:r>
                                    <w:rPr>
                                      <w:color w:val="808080"/>
                                    </w:rPr>
                                    <w:t xml:space="preserve">           </w:t>
                                  </w:r>
                                  <w:r w:rsidRPr="002F69C0">
                                    <w:rPr>
                                      <w:color w:val="808080"/>
                                    </w:rPr>
                                    <w:t>Разработчик клинической рекомендации:</w:t>
                                  </w:r>
                                  <w:r w:rsidRPr="002F69C0">
                                    <w:rPr>
                                      <w:color w:val="FF0000"/>
                                      <w:sz w:val="20"/>
                                    </w:rPr>
                                    <w:t xml:space="preserve"> </w:t>
                                  </w:r>
                                </w:p>
                              </w:tc>
                            </w:tr>
                            <w:tr w:rsidR="009E240E" w:rsidRPr="002E3662" w14:paraId="4C5A4621" w14:textId="77777777" w:rsidTr="002E3662">
                              <w:trPr>
                                <w:trHeight w:val="4170"/>
                              </w:trPr>
                              <w:tc>
                                <w:tcPr>
                                  <w:tcW w:w="9525" w:type="dxa"/>
                                  <w:gridSpan w:val="2"/>
                                  <w:tcBorders>
                                    <w:top w:val="single" w:sz="4" w:space="0" w:color="FFFFFF"/>
                                    <w:left w:val="single" w:sz="4" w:space="0" w:color="FFFFFF"/>
                                    <w:bottom w:val="single" w:sz="4" w:space="0" w:color="FFFFFF"/>
                                    <w:right w:val="single" w:sz="4" w:space="0" w:color="FFFFFF"/>
                                  </w:tcBorders>
                                </w:tcPr>
                                <w:p w14:paraId="7FB39575" w14:textId="77777777" w:rsidR="002E3662" w:rsidRPr="002E3662" w:rsidRDefault="002E3662" w:rsidP="002E3662">
                                  <w:pPr>
                                    <w:pStyle w:val="affb"/>
                                    <w:numPr>
                                      <w:ilvl w:val="0"/>
                                      <w:numId w:val="280"/>
                                    </w:numPr>
                                    <w:jc w:val="left"/>
                                    <w:rPr>
                                      <w:sz w:val="28"/>
                                    </w:rPr>
                                  </w:pPr>
                                  <w:r w:rsidRPr="002E3662">
                                    <w:t>Ассоциация содействия развитию гематологии и трансплантологии костного мозга "Национальное гематологическое общество"</w:t>
                                  </w:r>
                                </w:p>
                                <w:p w14:paraId="04B4C35F" w14:textId="77777777" w:rsidR="002E3662" w:rsidRDefault="002E3662" w:rsidP="002E3662">
                                  <w:pPr>
                                    <w:pStyle w:val="affb"/>
                                    <w:ind w:firstLine="0"/>
                                    <w:suppressOverlap/>
                                    <w:rPr>
                                      <w:color w:val="000000" w:themeColor="text1"/>
                                      <w:szCs w:val="24"/>
                                    </w:rPr>
                                  </w:pPr>
                                </w:p>
                                <w:p w14:paraId="020E6F77" w14:textId="77777777" w:rsidR="002E3662" w:rsidRPr="002E3662" w:rsidRDefault="002E3662" w:rsidP="002E3662">
                                  <w:pPr>
                                    <w:pStyle w:val="affb"/>
                                    <w:ind w:firstLine="0"/>
                                    <w:suppressOverlap/>
                                    <w:rPr>
                                      <w:color w:val="000000" w:themeColor="text1"/>
                                      <w:szCs w:val="24"/>
                                    </w:rPr>
                                  </w:pPr>
                                  <w:r w:rsidRPr="002E3662">
                                    <w:rPr>
                                      <w:color w:val="000000" w:themeColor="text1"/>
                                      <w:szCs w:val="24"/>
                                    </w:rPr>
                                    <w:t xml:space="preserve">Председатель ассоциации, д.м.н.                                     Е.Н. Паровичникова </w:t>
                                  </w:r>
                                </w:p>
                                <w:p w14:paraId="7ED6ECB6" w14:textId="77777777" w:rsidR="002E3662" w:rsidRPr="002E3662" w:rsidRDefault="002E3662" w:rsidP="002E3662">
                                  <w:pPr>
                                    <w:pStyle w:val="affb"/>
                                    <w:suppressOverlap/>
                                    <w:rPr>
                                      <w:color w:val="000000" w:themeColor="text1"/>
                                      <w:szCs w:val="24"/>
                                    </w:rPr>
                                  </w:pPr>
                                </w:p>
                                <w:p w14:paraId="16440313" w14:textId="77777777" w:rsidR="002E3662" w:rsidRPr="002E3662" w:rsidRDefault="002E3662" w:rsidP="002E3662">
                                  <w:pPr>
                                    <w:pStyle w:val="affb"/>
                                    <w:suppressOverlap/>
                                    <w:rPr>
                                      <w:color w:val="000000" w:themeColor="text1"/>
                                      <w:szCs w:val="24"/>
                                    </w:rPr>
                                  </w:pPr>
                                </w:p>
                                <w:p w14:paraId="4A36AB2C" w14:textId="77777777" w:rsidR="002E3662" w:rsidRPr="002E3662" w:rsidRDefault="002E3662" w:rsidP="002E3662">
                                  <w:pPr>
                                    <w:pStyle w:val="affb"/>
                                    <w:suppressOverlap/>
                                  </w:pPr>
                                </w:p>
                                <w:p w14:paraId="2E518476" w14:textId="77777777" w:rsidR="002E3662" w:rsidRPr="002E3662" w:rsidRDefault="002E3662" w:rsidP="002E3662">
                                  <w:pPr>
                                    <w:pStyle w:val="affb"/>
                                    <w:numPr>
                                      <w:ilvl w:val="0"/>
                                      <w:numId w:val="280"/>
                                    </w:numPr>
                                    <w:suppressOverlap/>
                                    <w:jc w:val="left"/>
                                  </w:pPr>
                                  <w:r w:rsidRPr="002E3662">
                                    <w:t>Общероссийский национальный союз "Ассоциация онкологов России"</w:t>
                                  </w:r>
                                </w:p>
                                <w:p w14:paraId="085375AB" w14:textId="77777777" w:rsidR="002E3662" w:rsidRPr="002E3662" w:rsidRDefault="002E3662" w:rsidP="002E3662">
                                  <w:pPr>
                                    <w:pStyle w:val="affb"/>
                                    <w:ind w:left="1068" w:firstLine="0"/>
                                    <w:suppressOverlap/>
                                    <w:jc w:val="left"/>
                                  </w:pPr>
                                </w:p>
                                <w:p w14:paraId="04D5C996" w14:textId="77777777" w:rsidR="002E3662" w:rsidRPr="002E3662" w:rsidRDefault="002E3662" w:rsidP="002E3662">
                                  <w:pPr>
                                    <w:pStyle w:val="3"/>
                                    <w:spacing w:before="120" w:after="120"/>
                                    <w:suppressOverlap/>
                                    <w:rPr>
                                      <w:b w:val="0"/>
                                    </w:rPr>
                                  </w:pPr>
                                  <w:r w:rsidRPr="002E3662">
                                    <w:rPr>
                                      <w:b w:val="0"/>
                                    </w:rPr>
                                    <w:t>Исполнительный директор                                               О.В.Левковский</w:t>
                                  </w:r>
                                </w:p>
                                <w:p w14:paraId="0D0793F4" w14:textId="77777777" w:rsidR="009E240E" w:rsidRPr="002E3662" w:rsidRDefault="009E240E" w:rsidP="00CC0FB3">
                                  <w:pPr>
                                    <w:pStyle w:val="affb"/>
                                    <w:rPr>
                                      <w:sz w:val="28"/>
                                    </w:rPr>
                                  </w:pPr>
                                </w:p>
                                <w:p w14:paraId="76C3B095" w14:textId="77777777" w:rsidR="009E240E" w:rsidRPr="002E3662" w:rsidRDefault="009E240E" w:rsidP="00CC0FB3">
                                  <w:pPr>
                                    <w:pStyle w:val="affb"/>
                                    <w:rPr>
                                      <w:sz w:val="28"/>
                                    </w:rPr>
                                  </w:pPr>
                                </w:p>
                              </w:tc>
                            </w:tr>
                            <w:tr w:rsidR="002E3662" w:rsidRPr="002E3662" w14:paraId="7DBADCC7" w14:textId="77777777" w:rsidTr="002E3662">
                              <w:trPr>
                                <w:trHeight w:val="4170"/>
                              </w:trPr>
                              <w:tc>
                                <w:tcPr>
                                  <w:tcW w:w="9525" w:type="dxa"/>
                                  <w:gridSpan w:val="2"/>
                                  <w:tcBorders>
                                    <w:top w:val="single" w:sz="4" w:space="0" w:color="FFFFFF"/>
                                    <w:left w:val="single" w:sz="4" w:space="0" w:color="FFFFFF"/>
                                    <w:bottom w:val="single" w:sz="4" w:space="0" w:color="FFFFFF"/>
                                    <w:right w:val="single" w:sz="4" w:space="0" w:color="FFFFFF"/>
                                  </w:tcBorders>
                                </w:tcPr>
                                <w:p w14:paraId="4865A013" w14:textId="77777777" w:rsidR="002E3662" w:rsidRPr="002E3662" w:rsidRDefault="002E3662" w:rsidP="002E3662">
                                  <w:pPr>
                                    <w:pStyle w:val="affb"/>
                                    <w:jc w:val="left"/>
                                  </w:pPr>
                                </w:p>
                              </w:tc>
                            </w:tr>
                          </w:tbl>
                          <w:p w14:paraId="3E413F86" w14:textId="77777777" w:rsidR="009E240E" w:rsidRDefault="009E240E" w:rsidP="006157A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DE5761" id="_x0000_t202" coordsize="21600,21600" o:spt="202" path="m,l,21600r21600,l21600,xe">
                <v:stroke joinstyle="miter"/>
                <v:path gradientshapeok="t" o:connecttype="rect"/>
              </v:shapetype>
              <v:shape id="Надпись 3" o:spid="_x0000_s1026" type="#_x0000_t202" style="position:absolute;left:0;text-align:left;margin-left:-46.35pt;margin-top:-28.5pt;width:547.45pt;height:784.8pt;z-index:25163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" fillcolor="window" stroked="f" strokeweight=".5pt">
                <v:path arrowok="t"/>
                <v:textbox>
                  <w:txbxContent>
                    <w:p w14:paraId="3441B1B2" w14:textId="77777777" w:rsidR="009E240E" w:rsidRDefault="009E240E" w:rsidP="006157AF">
                      <w:pPr>
                        <w:rPr>
                          <w:b/>
                        </w:rPr>
                      </w:pPr>
                      <w:r>
                        <w:rPr>
                          <w:b/>
                        </w:rPr>
                        <w:t xml:space="preserve"> </w:t>
                      </w:r>
                    </w:p>
                    <w:p w14:paraId="574AC1F8" w14:textId="77777777" w:rsidR="009E240E" w:rsidRDefault="009E240E" w:rsidP="006157AF">
                      <w:pPr>
                        <w:rPr>
                          <w:b/>
                        </w:rPr>
                      </w:pPr>
                    </w:p>
                    <w:p w14:paraId="52E4B54F" w14:textId="77777777" w:rsidR="009E240E" w:rsidRDefault="009E240E" w:rsidP="006157AF">
                      <w:pPr>
                        <w:rPr>
                          <w:b/>
                        </w:rPr>
                      </w:pPr>
                    </w:p>
                    <w:p w14:paraId="2B0C7284" w14:textId="77777777" w:rsidR="009E240E" w:rsidRDefault="009E240E" w:rsidP="006157AF">
                      <w:pPr>
                        <w:rPr>
                          <w:b/>
                        </w:rPr>
                      </w:pPr>
                    </w:p>
                    <w:p w14:paraId="1791EB20" w14:textId="77777777" w:rsidR="009E240E" w:rsidRDefault="009E240E" w:rsidP="006157AF">
                      <w:pPr>
                        <w:rPr>
                          <w:b/>
                        </w:rPr>
                      </w:pPr>
                    </w:p>
                    <w:p w14:paraId="53F5F4CE" w14:textId="77777777" w:rsidR="009E240E" w:rsidRDefault="009E240E" w:rsidP="006157AF">
                      <w:pPr>
                        <w:rPr>
                          <w:b/>
                        </w:rPr>
                      </w:pPr>
                    </w:p>
                    <w:tbl>
                      <w:tblPr>
                        <w:tblW w:w="9525" w:type="dxa"/>
                        <w:tblInd w:w="565" w:type="dxa"/>
                        <w:tblLook w:val="00A0" w:firstRow="1" w:lastRow="0" w:firstColumn="1" w:lastColumn="0" w:noHBand="0" w:noVBand="0"/>
                      </w:tblPr>
                      <w:tblGrid>
                        <w:gridCol w:w="5103"/>
                        <w:gridCol w:w="4422"/>
                      </w:tblGrid>
                      <w:tr w:rsidR="009E240E" w:rsidRPr="002F69C0" w14:paraId="0396762A" w14:textId="77777777" w:rsidTr="002E3662">
                        <w:tc>
                          <w:tcPr>
                            <w:tcW w:w="9525" w:type="dxa"/>
                            <w:gridSpan w:val="2"/>
                            <w:tcBorders>
                              <w:top w:val="single" w:sz="4" w:space="0" w:color="FFFFFF"/>
                              <w:left w:val="single" w:sz="4" w:space="0" w:color="FFFFFF"/>
                              <w:bottom w:val="single" w:sz="4" w:space="0" w:color="FFFFFF"/>
                              <w:right w:val="single" w:sz="4" w:space="0" w:color="FFFFFF"/>
                            </w:tcBorders>
                          </w:tcPr>
                          <w:p w14:paraId="1DBD55EF" w14:textId="77777777" w:rsidR="009E240E" w:rsidRPr="002F69C0" w:rsidRDefault="009E240E" w:rsidP="00CC0FB3">
                            <w:pPr>
                              <w:tabs>
                                <w:tab w:val="left" w:pos="6135"/>
                              </w:tabs>
                              <w:jc w:val="center"/>
                              <w:rPr>
                                <w:b/>
                                <w:sz w:val="28"/>
                                <w:szCs w:val="28"/>
                              </w:rPr>
                            </w:pPr>
                            <w:r w:rsidRPr="002F69C0">
                              <w:rPr>
                                <w:b/>
                                <w:color w:val="808080"/>
                              </w:rPr>
                              <w:t xml:space="preserve">Клинические </w:t>
                            </w:r>
                            <w:r w:rsidRPr="002F69C0">
                              <w:rPr>
                                <w:b/>
                                <w:noProof/>
                                <w:color w:val="767171"/>
                              </w:rPr>
                              <w:t>рекомендации</w:t>
                            </w:r>
                          </w:p>
                        </w:tc>
                      </w:tr>
                      <w:tr w:rsidR="009E240E" w:rsidRPr="002F69C0" w14:paraId="310A00BB" w14:textId="77777777" w:rsidTr="002E3662">
                        <w:trPr>
                          <w:trHeight w:val="993"/>
                        </w:trPr>
                        <w:tc>
                          <w:tcPr>
                            <w:tcW w:w="9525" w:type="dxa"/>
                            <w:gridSpan w:val="2"/>
                            <w:tcBorders>
                              <w:top w:val="single" w:sz="4" w:space="0" w:color="FFFFFF"/>
                              <w:left w:val="single" w:sz="4" w:space="0" w:color="FFFFFF"/>
                              <w:bottom w:val="single" w:sz="4" w:space="0" w:color="FFFFFF"/>
                              <w:right w:val="single" w:sz="4" w:space="0" w:color="FFFFFF"/>
                            </w:tcBorders>
                          </w:tcPr>
                          <w:p w14:paraId="3E3FCF8C" w14:textId="6D64EE7C" w:rsidR="009E240E" w:rsidRPr="002F69C0" w:rsidRDefault="009E240E" w:rsidP="00CC0FB3">
                            <w:pPr>
                              <w:tabs>
                                <w:tab w:val="left" w:pos="6135"/>
                              </w:tabs>
                              <w:jc w:val="center"/>
                              <w:rPr>
                                <w:sz w:val="28"/>
                                <w:szCs w:val="28"/>
                              </w:rPr>
                            </w:pPr>
                            <w:r w:rsidRPr="00D70D58">
                              <w:rPr>
                                <w:b/>
                                <w:color w:val="000000"/>
                                <w:sz w:val="44"/>
                                <w:szCs w:val="44"/>
                              </w:rPr>
                              <w:t>Острые лимфобластные лейкозы</w:t>
                            </w:r>
                          </w:p>
                        </w:tc>
                      </w:tr>
                      <w:tr w:rsidR="009E240E" w:rsidRPr="002F69C0" w14:paraId="2B33173E" w14:textId="77777777" w:rsidTr="002E3662">
                        <w:trPr>
                          <w:trHeight w:val="1266"/>
                        </w:trPr>
                        <w:tc>
                          <w:tcPr>
                            <w:tcW w:w="5103" w:type="dxa"/>
                            <w:tcBorders>
                              <w:top w:val="single" w:sz="4" w:space="0" w:color="FFFFFF"/>
                              <w:left w:val="single" w:sz="4" w:space="0" w:color="FFFFFF"/>
                              <w:bottom w:val="single" w:sz="4" w:space="0" w:color="FFFFFF"/>
                              <w:right w:val="single" w:sz="4" w:space="0" w:color="FFFFFF"/>
                            </w:tcBorders>
                          </w:tcPr>
                          <w:p w14:paraId="67CADBB9" w14:textId="77777777" w:rsidR="009E240E" w:rsidRPr="002F69C0" w:rsidRDefault="009E240E" w:rsidP="00CC0FB3">
                            <w:pPr>
                              <w:tabs>
                                <w:tab w:val="left" w:pos="6135"/>
                              </w:tabs>
                              <w:jc w:val="right"/>
                              <w:rPr>
                                <w:szCs w:val="28"/>
                              </w:rPr>
                            </w:pPr>
                            <w:r w:rsidRPr="002F69C0">
                              <w:rPr>
                                <w:color w:val="808080"/>
                                <w:szCs w:val="28"/>
                              </w:rPr>
                              <w:t>Кодирование по Международной статистической классификации болезней и проблем, связанных со здоровьем:</w:t>
                            </w:r>
                          </w:p>
                        </w:tc>
                        <w:tc>
                          <w:tcPr>
                            <w:tcW w:w="4422" w:type="dxa"/>
                            <w:tcBorders>
                              <w:top w:val="single" w:sz="4" w:space="0" w:color="FFFFFF"/>
                              <w:left w:val="single" w:sz="4" w:space="0" w:color="FFFFFF"/>
                              <w:bottom w:val="single" w:sz="4" w:space="0" w:color="FFFFFF"/>
                              <w:right w:val="single" w:sz="4" w:space="0" w:color="FFFFFF"/>
                            </w:tcBorders>
                          </w:tcPr>
                          <w:p w14:paraId="6C5C4795" w14:textId="74C21D15" w:rsidR="009E240E" w:rsidRPr="002F69C0" w:rsidRDefault="009E240E" w:rsidP="00CC0FB3">
                            <w:pPr>
                              <w:rPr>
                                <w:szCs w:val="28"/>
                              </w:rPr>
                            </w:pPr>
                            <w:r w:rsidRPr="00D70D58">
                              <w:rPr>
                                <w:szCs w:val="28"/>
                              </w:rPr>
                              <w:t>С91.0, С91.5, С91.7</w:t>
                            </w:r>
                            <w:r>
                              <w:rPr>
                                <w:szCs w:val="28"/>
                              </w:rPr>
                              <w:t>, С91.9,</w:t>
                            </w:r>
                            <w:r w:rsidRPr="00D70D58">
                              <w:rPr>
                                <w:szCs w:val="28"/>
                              </w:rPr>
                              <w:t xml:space="preserve"> С83.5</w:t>
                            </w:r>
                          </w:p>
                        </w:tc>
                      </w:tr>
                      <w:tr w:rsidR="009E240E" w:rsidRPr="002F69C0" w14:paraId="77CAD440" w14:textId="77777777" w:rsidTr="002E3662">
                        <w:trPr>
                          <w:trHeight w:val="547"/>
                        </w:trPr>
                        <w:tc>
                          <w:tcPr>
                            <w:tcW w:w="5103" w:type="dxa"/>
                            <w:tcBorders>
                              <w:top w:val="single" w:sz="4" w:space="0" w:color="FFFFFF"/>
                              <w:left w:val="single" w:sz="4" w:space="0" w:color="FFFFFF"/>
                              <w:bottom w:val="single" w:sz="4" w:space="0" w:color="FFFFFF"/>
                              <w:right w:val="single" w:sz="4" w:space="0" w:color="FFFFFF"/>
                            </w:tcBorders>
                          </w:tcPr>
                          <w:p w14:paraId="620F5F97" w14:textId="77777777" w:rsidR="009E240E" w:rsidRPr="002F69C0" w:rsidRDefault="009E240E" w:rsidP="00CC0FB3">
                            <w:pPr>
                              <w:tabs>
                                <w:tab w:val="left" w:pos="6135"/>
                              </w:tabs>
                              <w:jc w:val="right"/>
                              <w:rPr>
                                <w:color w:val="808080"/>
                                <w:szCs w:val="28"/>
                              </w:rPr>
                            </w:pPr>
                            <w:r w:rsidRPr="002F69C0">
                              <w:rPr>
                                <w:rStyle w:val="pop-slug-vol"/>
                                <w:color w:val="767171"/>
                                <w:szCs w:val="28"/>
                              </w:rPr>
                              <w:t>Возрастная группа:</w:t>
                            </w:r>
                            <w:r w:rsidRPr="002F69C0">
                              <w:rPr>
                                <w:rStyle w:val="pop-slug-vol"/>
                                <w:b/>
                                <w:color w:val="767171"/>
                                <w:szCs w:val="28"/>
                              </w:rPr>
                              <w:t xml:space="preserve"> </w:t>
                            </w:r>
                          </w:p>
                        </w:tc>
                        <w:tc>
                          <w:tcPr>
                            <w:tcW w:w="4422" w:type="dxa"/>
                            <w:tcBorders>
                              <w:top w:val="single" w:sz="4" w:space="0" w:color="FFFFFF"/>
                              <w:left w:val="single" w:sz="4" w:space="0" w:color="FFFFFF"/>
                              <w:bottom w:val="single" w:sz="4" w:space="0" w:color="FFFFFF"/>
                              <w:right w:val="single" w:sz="4" w:space="0" w:color="FFFFFF"/>
                            </w:tcBorders>
                          </w:tcPr>
                          <w:p w14:paraId="02D31B4C" w14:textId="77777777" w:rsidR="009E240E" w:rsidRPr="002F69C0" w:rsidRDefault="009E240E" w:rsidP="00CC0FB3">
                            <w:pPr>
                              <w:tabs>
                                <w:tab w:val="left" w:pos="6135"/>
                              </w:tabs>
                              <w:jc w:val="left"/>
                              <w:rPr>
                                <w:szCs w:val="28"/>
                              </w:rPr>
                            </w:pPr>
                            <w:r w:rsidRPr="002F69C0">
                              <w:rPr>
                                <w:szCs w:val="28"/>
                              </w:rPr>
                              <w:t>взрослые</w:t>
                            </w:r>
                          </w:p>
                        </w:tc>
                      </w:tr>
                      <w:tr w:rsidR="009E240E" w:rsidRPr="002F69C0" w14:paraId="4F89B1F0" w14:textId="77777777" w:rsidTr="002E3662">
                        <w:trPr>
                          <w:trHeight w:val="445"/>
                        </w:trPr>
                        <w:tc>
                          <w:tcPr>
                            <w:tcW w:w="5103" w:type="dxa"/>
                            <w:tcBorders>
                              <w:top w:val="single" w:sz="4" w:space="0" w:color="FFFFFF"/>
                              <w:left w:val="single" w:sz="4" w:space="0" w:color="FFFFFF"/>
                              <w:bottom w:val="single" w:sz="4" w:space="0" w:color="FFFFFF"/>
                              <w:right w:val="single" w:sz="4" w:space="0" w:color="FFFFFF"/>
                            </w:tcBorders>
                          </w:tcPr>
                          <w:p w14:paraId="3B3D8A72" w14:textId="77777777" w:rsidR="009E240E" w:rsidRPr="002F69C0" w:rsidRDefault="009E240E" w:rsidP="00CC0FB3">
                            <w:pPr>
                              <w:tabs>
                                <w:tab w:val="left" w:pos="6135"/>
                              </w:tabs>
                              <w:jc w:val="right"/>
                              <w:rPr>
                                <w:color w:val="808080"/>
                                <w:szCs w:val="28"/>
                              </w:rPr>
                            </w:pPr>
                            <w:r w:rsidRPr="002F69C0">
                              <w:rPr>
                                <w:color w:val="808080"/>
                              </w:rPr>
                              <w:t>Год утверждения:</w:t>
                            </w:r>
                          </w:p>
                        </w:tc>
                        <w:tc>
                          <w:tcPr>
                            <w:tcW w:w="4422" w:type="dxa"/>
                            <w:tcBorders>
                              <w:top w:val="single" w:sz="4" w:space="0" w:color="FFFFFF"/>
                              <w:left w:val="single" w:sz="4" w:space="0" w:color="FFFFFF"/>
                              <w:bottom w:val="single" w:sz="4" w:space="0" w:color="FFFFFF"/>
                              <w:right w:val="single" w:sz="4" w:space="0" w:color="FFFFFF"/>
                            </w:tcBorders>
                          </w:tcPr>
                          <w:p w14:paraId="42F5173F" w14:textId="6704D771" w:rsidR="009E240E" w:rsidRPr="00D307E3" w:rsidRDefault="009E240E" w:rsidP="00CC0FB3">
                            <w:pPr>
                              <w:tabs>
                                <w:tab w:val="left" w:pos="6135"/>
                              </w:tabs>
                              <w:jc w:val="left"/>
                              <w:rPr>
                                <w:lang w:val="en-US"/>
                              </w:rPr>
                            </w:pPr>
                          </w:p>
                        </w:tc>
                      </w:tr>
                      <w:tr w:rsidR="009E240E" w:rsidRPr="002F69C0" w14:paraId="66DD6A17" w14:textId="77777777" w:rsidTr="002E3662">
                        <w:tc>
                          <w:tcPr>
                            <w:tcW w:w="9525" w:type="dxa"/>
                            <w:gridSpan w:val="2"/>
                            <w:tcBorders>
                              <w:top w:val="single" w:sz="4" w:space="0" w:color="FFFFFF"/>
                              <w:left w:val="single" w:sz="4" w:space="0" w:color="FFFFFF"/>
                              <w:bottom w:val="single" w:sz="4" w:space="0" w:color="FFFFFF"/>
                              <w:right w:val="single" w:sz="4" w:space="0" w:color="FFFFFF"/>
                            </w:tcBorders>
                          </w:tcPr>
                          <w:p w14:paraId="707C2D29" w14:textId="77777777" w:rsidR="009E240E" w:rsidRPr="002F69C0" w:rsidRDefault="009E240E" w:rsidP="00CC0FB3">
                            <w:pPr>
                              <w:tabs>
                                <w:tab w:val="left" w:pos="6135"/>
                              </w:tabs>
                              <w:rPr>
                                <w:color w:val="FF0000"/>
                                <w:sz w:val="20"/>
                              </w:rPr>
                            </w:pPr>
                            <w:r>
                              <w:rPr>
                                <w:color w:val="808080"/>
                              </w:rPr>
                              <w:t xml:space="preserve">           </w:t>
                            </w:r>
                            <w:r w:rsidRPr="002F69C0">
                              <w:rPr>
                                <w:color w:val="808080"/>
                              </w:rPr>
                              <w:t>Разработчик клинической рекомендации:</w:t>
                            </w:r>
                            <w:r w:rsidRPr="002F69C0">
                              <w:rPr>
                                <w:color w:val="FF0000"/>
                                <w:sz w:val="20"/>
                              </w:rPr>
                              <w:t xml:space="preserve"> </w:t>
                            </w:r>
                          </w:p>
                        </w:tc>
                      </w:tr>
                      <w:tr w:rsidR="009E240E" w:rsidRPr="002E3662" w14:paraId="4C5A4621" w14:textId="77777777" w:rsidTr="002E3662">
                        <w:trPr>
                          <w:trHeight w:val="4170"/>
                        </w:trPr>
                        <w:tc>
                          <w:tcPr>
                            <w:tcW w:w="9525" w:type="dxa"/>
                            <w:gridSpan w:val="2"/>
                            <w:tcBorders>
                              <w:top w:val="single" w:sz="4" w:space="0" w:color="FFFFFF"/>
                              <w:left w:val="single" w:sz="4" w:space="0" w:color="FFFFFF"/>
                              <w:bottom w:val="single" w:sz="4" w:space="0" w:color="FFFFFF"/>
                              <w:right w:val="single" w:sz="4" w:space="0" w:color="FFFFFF"/>
                            </w:tcBorders>
                          </w:tcPr>
                          <w:p w14:paraId="7FB39575" w14:textId="77777777" w:rsidR="002E3662" w:rsidRPr="002E3662" w:rsidRDefault="002E3662" w:rsidP="002E3662">
                            <w:pPr>
                              <w:pStyle w:val="affb"/>
                              <w:numPr>
                                <w:ilvl w:val="0"/>
                                <w:numId w:val="280"/>
                              </w:numPr>
                              <w:jc w:val="left"/>
                              <w:rPr>
                                <w:sz w:val="28"/>
                              </w:rPr>
                            </w:pPr>
                            <w:r w:rsidRPr="002E3662">
                              <w:t>Ассоциация содействия развитию гематологии и трансплантологии костного мозга "Национальное гематологическое общество"</w:t>
                            </w:r>
                          </w:p>
                          <w:p w14:paraId="04B4C35F" w14:textId="77777777" w:rsidR="002E3662" w:rsidRDefault="002E3662" w:rsidP="002E3662">
                            <w:pPr>
                              <w:pStyle w:val="affb"/>
                              <w:ind w:firstLine="0"/>
                              <w:suppressOverlap/>
                              <w:rPr>
                                <w:color w:val="000000" w:themeColor="text1"/>
                                <w:szCs w:val="24"/>
                              </w:rPr>
                            </w:pPr>
                          </w:p>
                          <w:p w14:paraId="020E6F77" w14:textId="77777777" w:rsidR="002E3662" w:rsidRPr="002E3662" w:rsidRDefault="002E3662" w:rsidP="002E3662">
                            <w:pPr>
                              <w:pStyle w:val="affb"/>
                              <w:ind w:firstLine="0"/>
                              <w:suppressOverlap/>
                              <w:rPr>
                                <w:color w:val="000000" w:themeColor="text1"/>
                                <w:szCs w:val="24"/>
                              </w:rPr>
                            </w:pPr>
                            <w:r w:rsidRPr="002E3662">
                              <w:rPr>
                                <w:color w:val="000000" w:themeColor="text1"/>
                                <w:szCs w:val="24"/>
                              </w:rPr>
                              <w:t xml:space="preserve">Председатель ассоциации, д.м.н.                                     Е.Н. Паровичникова </w:t>
                            </w:r>
                          </w:p>
                          <w:p w14:paraId="7ED6ECB6" w14:textId="77777777" w:rsidR="002E3662" w:rsidRPr="002E3662" w:rsidRDefault="002E3662" w:rsidP="002E3662">
                            <w:pPr>
                              <w:pStyle w:val="affb"/>
                              <w:suppressOverlap/>
                              <w:rPr>
                                <w:color w:val="000000" w:themeColor="text1"/>
                                <w:szCs w:val="24"/>
                              </w:rPr>
                            </w:pPr>
                          </w:p>
                          <w:p w14:paraId="16440313" w14:textId="77777777" w:rsidR="002E3662" w:rsidRPr="002E3662" w:rsidRDefault="002E3662" w:rsidP="002E3662">
                            <w:pPr>
                              <w:pStyle w:val="affb"/>
                              <w:suppressOverlap/>
                              <w:rPr>
                                <w:color w:val="000000" w:themeColor="text1"/>
                                <w:szCs w:val="24"/>
                              </w:rPr>
                            </w:pPr>
                          </w:p>
                          <w:p w14:paraId="4A36AB2C" w14:textId="77777777" w:rsidR="002E3662" w:rsidRPr="002E3662" w:rsidRDefault="002E3662" w:rsidP="002E3662">
                            <w:pPr>
                              <w:pStyle w:val="affb"/>
                              <w:suppressOverlap/>
                            </w:pPr>
                          </w:p>
                          <w:p w14:paraId="2E518476" w14:textId="77777777" w:rsidR="002E3662" w:rsidRPr="002E3662" w:rsidRDefault="002E3662" w:rsidP="002E3662">
                            <w:pPr>
                              <w:pStyle w:val="affb"/>
                              <w:numPr>
                                <w:ilvl w:val="0"/>
                                <w:numId w:val="280"/>
                              </w:numPr>
                              <w:suppressOverlap/>
                              <w:jc w:val="left"/>
                            </w:pPr>
                            <w:r w:rsidRPr="002E3662">
                              <w:t>Общероссийский национальный союз "Ассоциация онкологов России"</w:t>
                            </w:r>
                          </w:p>
                          <w:p w14:paraId="085375AB" w14:textId="77777777" w:rsidR="002E3662" w:rsidRPr="002E3662" w:rsidRDefault="002E3662" w:rsidP="002E3662">
                            <w:pPr>
                              <w:pStyle w:val="affb"/>
                              <w:ind w:left="1068" w:firstLine="0"/>
                              <w:suppressOverlap/>
                              <w:jc w:val="left"/>
                            </w:pPr>
                          </w:p>
                          <w:p w14:paraId="04D5C996" w14:textId="77777777" w:rsidR="002E3662" w:rsidRPr="002E3662" w:rsidRDefault="002E3662" w:rsidP="002E3662">
                            <w:pPr>
                              <w:pStyle w:val="3"/>
                              <w:spacing w:before="120" w:after="120"/>
                              <w:suppressOverlap/>
                              <w:rPr>
                                <w:b w:val="0"/>
                              </w:rPr>
                            </w:pPr>
                            <w:r w:rsidRPr="002E3662">
                              <w:rPr>
                                <w:b w:val="0"/>
                              </w:rPr>
                              <w:t>Исполнительный директор                                               О.В.Левковский</w:t>
                            </w:r>
                          </w:p>
                          <w:p w14:paraId="0D0793F4" w14:textId="77777777" w:rsidR="009E240E" w:rsidRPr="002E3662" w:rsidRDefault="009E240E" w:rsidP="00CC0FB3">
                            <w:pPr>
                              <w:pStyle w:val="affb"/>
                              <w:rPr>
                                <w:sz w:val="28"/>
                              </w:rPr>
                            </w:pPr>
                          </w:p>
                          <w:p w14:paraId="76C3B095" w14:textId="77777777" w:rsidR="009E240E" w:rsidRPr="002E3662" w:rsidRDefault="009E240E" w:rsidP="00CC0FB3">
                            <w:pPr>
                              <w:pStyle w:val="affb"/>
                              <w:rPr>
                                <w:sz w:val="28"/>
                              </w:rPr>
                            </w:pPr>
                          </w:p>
                        </w:tc>
                      </w:tr>
                      <w:tr w:rsidR="002E3662" w:rsidRPr="002E3662" w14:paraId="7DBADCC7" w14:textId="77777777" w:rsidTr="002E3662">
                        <w:trPr>
                          <w:trHeight w:val="4170"/>
                        </w:trPr>
                        <w:tc>
                          <w:tcPr>
                            <w:tcW w:w="9525" w:type="dxa"/>
                            <w:gridSpan w:val="2"/>
                            <w:tcBorders>
                              <w:top w:val="single" w:sz="4" w:space="0" w:color="FFFFFF"/>
                              <w:left w:val="single" w:sz="4" w:space="0" w:color="FFFFFF"/>
                              <w:bottom w:val="single" w:sz="4" w:space="0" w:color="FFFFFF"/>
                              <w:right w:val="single" w:sz="4" w:space="0" w:color="FFFFFF"/>
                            </w:tcBorders>
                          </w:tcPr>
                          <w:p w14:paraId="4865A013" w14:textId="77777777" w:rsidR="002E3662" w:rsidRPr="002E3662" w:rsidRDefault="002E3662" w:rsidP="002E3662">
                            <w:pPr>
                              <w:pStyle w:val="affb"/>
                              <w:jc w:val="left"/>
                            </w:pPr>
                          </w:p>
                        </w:tc>
                      </w:tr>
                    </w:tbl>
                    <w:p w14:paraId="3E413F86" w14:textId="77777777" w:rsidR="009E240E" w:rsidRDefault="009E240E" w:rsidP="006157AF"/>
                  </w:txbxContent>
                </v:textbox>
              </v:shape>
            </w:pict>
          </mc:Fallback>
        </mc:AlternateContent>
      </w:r>
      <w:r>
        <w:rPr>
          <w:noProof/>
        </w:rPr>
        <mc:AlternateContent>
          <mc:Choice Requires="wps">
            <w:drawing>
              <wp:anchor distT="0" distB="0" distL="114300" distR="114300" simplePos="0" relativeHeight="251624960" behindDoc="1" locked="0" layoutInCell="1" allowOverlap="1" wp14:anchorId="5A48C508" wp14:editId="34BBB87F">
                <wp:simplePos x="0" y="0"/>
                <wp:positionH relativeFrom="page">
                  <wp:posOffset>-189230</wp:posOffset>
                </wp:positionH>
                <wp:positionV relativeFrom="paragraph">
                  <wp:posOffset>-711835</wp:posOffset>
                </wp:positionV>
                <wp:extent cx="7743190" cy="12256770"/>
                <wp:effectExtent l="0" t="0" r="0" b="0"/>
                <wp:wrapNone/>
                <wp:docPr id="64"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43190" cy="12256770"/>
                        </a:xfrm>
                        <a:prstGeom prst="rect">
                          <a:avLst/>
                        </a:prstGeom>
                        <a:solidFill>
                          <a:srgbClr val="0B595D">
                            <a:alpha val="9804"/>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CA8BB3" id="Прямоугольник 3" o:spid="_x0000_s1026" style="position:absolute;margin-left:-14.9pt;margin-top:-56.05pt;width:609.7pt;height:965.1pt;z-index:-2516915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" fillcolor="#0b595d" stroked="f" strokeweight="1pt">
                <v:fill opacity="6425f"/>
                <v:path arrowok="t"/>
                <w10:wrap anchorx="page"/>
              </v:rect>
            </w:pict>
          </mc:Fallback>
        </mc:AlternateContent>
      </w:r>
    </w:p>
    <w:tbl>
      <w:tblPr>
        <w:tblpPr w:leftFromText="180" w:rightFromText="180" w:vertAnchor="page" w:horzAnchor="margin" w:tblpXSpec="right" w:tblpY="3781"/>
        <w:tblW w:w="9525" w:type="dxa"/>
        <w:tblLook w:val="00A0" w:firstRow="1" w:lastRow="0" w:firstColumn="1" w:lastColumn="0" w:noHBand="0" w:noVBand="0"/>
      </w:tblPr>
      <w:tblGrid>
        <w:gridCol w:w="5103"/>
        <w:gridCol w:w="4422"/>
      </w:tblGrid>
      <w:tr w:rsidR="00CC0FB3" w:rsidRPr="002F69C0" w14:paraId="3FB546F0" w14:textId="77777777" w:rsidTr="00072C62">
        <w:tc>
          <w:tcPr>
            <w:tcW w:w="9525" w:type="dxa"/>
            <w:gridSpan w:val="2"/>
            <w:tcBorders>
              <w:top w:val="single" w:sz="4" w:space="0" w:color="FFFFFF"/>
              <w:left w:val="single" w:sz="4" w:space="0" w:color="FFFFFF"/>
              <w:bottom w:val="single" w:sz="4" w:space="0" w:color="FFFFFF"/>
              <w:right w:val="single" w:sz="4" w:space="0" w:color="FFFFFF"/>
            </w:tcBorders>
          </w:tcPr>
          <w:p w14:paraId="221CA366" w14:textId="77777777" w:rsidR="00CC0FB3" w:rsidRPr="002F69C0" w:rsidRDefault="00CC0FB3" w:rsidP="00072C62">
            <w:pPr>
              <w:tabs>
                <w:tab w:val="left" w:pos="6135"/>
              </w:tabs>
              <w:jc w:val="center"/>
              <w:rPr>
                <w:b/>
                <w:sz w:val="28"/>
                <w:szCs w:val="28"/>
              </w:rPr>
            </w:pPr>
            <w:r w:rsidRPr="002F69C0">
              <w:rPr>
                <w:b/>
                <w:color w:val="808080"/>
              </w:rPr>
              <w:t xml:space="preserve">Клинические </w:t>
            </w:r>
            <w:r w:rsidRPr="002F69C0">
              <w:rPr>
                <w:b/>
                <w:noProof/>
                <w:color w:val="767171"/>
              </w:rPr>
              <w:t>рекомендации</w:t>
            </w:r>
          </w:p>
        </w:tc>
      </w:tr>
      <w:tr w:rsidR="00CC0FB3" w:rsidRPr="002F69C0" w14:paraId="4DDA8C56" w14:textId="77777777" w:rsidTr="00072C62">
        <w:trPr>
          <w:trHeight w:val="993"/>
        </w:trPr>
        <w:tc>
          <w:tcPr>
            <w:tcW w:w="9525" w:type="dxa"/>
            <w:gridSpan w:val="2"/>
            <w:tcBorders>
              <w:top w:val="single" w:sz="4" w:space="0" w:color="FFFFFF"/>
              <w:left w:val="single" w:sz="4" w:space="0" w:color="FFFFFF"/>
              <w:bottom w:val="single" w:sz="4" w:space="0" w:color="FFFFFF"/>
              <w:right w:val="single" w:sz="4" w:space="0" w:color="FFFFFF"/>
            </w:tcBorders>
          </w:tcPr>
          <w:p w14:paraId="286F3896" w14:textId="77777777" w:rsidR="00CC0FB3" w:rsidRPr="002F69C0" w:rsidRDefault="00CC0FB3" w:rsidP="00072C62">
            <w:pPr>
              <w:tabs>
                <w:tab w:val="left" w:pos="6135"/>
              </w:tabs>
              <w:jc w:val="center"/>
              <w:rPr>
                <w:sz w:val="28"/>
                <w:szCs w:val="28"/>
              </w:rPr>
            </w:pPr>
            <w:r w:rsidRPr="00D70D58">
              <w:rPr>
                <w:b/>
                <w:color w:val="000000"/>
                <w:sz w:val="44"/>
                <w:szCs w:val="44"/>
              </w:rPr>
              <w:t>Острые лимфобластные лейкозы взрослых</w:t>
            </w:r>
          </w:p>
        </w:tc>
      </w:tr>
      <w:tr w:rsidR="00CC0FB3" w:rsidRPr="002F69C0" w14:paraId="37DA3AAE" w14:textId="77777777" w:rsidTr="00072C62">
        <w:trPr>
          <w:trHeight w:val="1266"/>
        </w:trPr>
        <w:tc>
          <w:tcPr>
            <w:tcW w:w="5103" w:type="dxa"/>
            <w:tcBorders>
              <w:top w:val="single" w:sz="4" w:space="0" w:color="FFFFFF"/>
              <w:left w:val="single" w:sz="4" w:space="0" w:color="FFFFFF"/>
              <w:bottom w:val="single" w:sz="4" w:space="0" w:color="FFFFFF"/>
              <w:right w:val="single" w:sz="4" w:space="0" w:color="FFFFFF"/>
            </w:tcBorders>
          </w:tcPr>
          <w:p w14:paraId="5446A1C6" w14:textId="77777777" w:rsidR="00CC0FB3" w:rsidRPr="002F69C0" w:rsidRDefault="00CC0FB3" w:rsidP="00072C62">
            <w:pPr>
              <w:tabs>
                <w:tab w:val="left" w:pos="6135"/>
              </w:tabs>
              <w:jc w:val="right"/>
              <w:rPr>
                <w:szCs w:val="28"/>
              </w:rPr>
            </w:pPr>
            <w:r w:rsidRPr="002F69C0">
              <w:rPr>
                <w:color w:val="808080"/>
                <w:szCs w:val="28"/>
              </w:rPr>
              <w:t>Кодирование по Международной статистической классификации болезней и проблем, связанных со здоровьем:</w:t>
            </w:r>
          </w:p>
        </w:tc>
        <w:tc>
          <w:tcPr>
            <w:tcW w:w="4422" w:type="dxa"/>
            <w:tcBorders>
              <w:top w:val="single" w:sz="4" w:space="0" w:color="FFFFFF"/>
              <w:left w:val="single" w:sz="4" w:space="0" w:color="FFFFFF"/>
              <w:bottom w:val="single" w:sz="4" w:space="0" w:color="FFFFFF"/>
              <w:right w:val="single" w:sz="4" w:space="0" w:color="FFFFFF"/>
            </w:tcBorders>
          </w:tcPr>
          <w:p w14:paraId="34B8FD4D" w14:textId="77777777" w:rsidR="00CC0FB3" w:rsidRPr="002F69C0" w:rsidRDefault="00CC0FB3" w:rsidP="00072C62">
            <w:pPr>
              <w:rPr>
                <w:szCs w:val="28"/>
              </w:rPr>
            </w:pPr>
            <w:r w:rsidRPr="00D70D58">
              <w:rPr>
                <w:szCs w:val="28"/>
              </w:rPr>
              <w:t>С91.0, С91.5, С91.7, С91.8, С83.5, С83.7</w:t>
            </w:r>
          </w:p>
        </w:tc>
      </w:tr>
      <w:tr w:rsidR="00CC0FB3" w:rsidRPr="002F69C0" w14:paraId="6ABF6A97" w14:textId="77777777" w:rsidTr="00072C62">
        <w:trPr>
          <w:trHeight w:val="547"/>
        </w:trPr>
        <w:tc>
          <w:tcPr>
            <w:tcW w:w="5103" w:type="dxa"/>
            <w:tcBorders>
              <w:top w:val="single" w:sz="4" w:space="0" w:color="FFFFFF"/>
              <w:left w:val="single" w:sz="4" w:space="0" w:color="FFFFFF"/>
              <w:bottom w:val="single" w:sz="4" w:space="0" w:color="FFFFFF"/>
              <w:right w:val="single" w:sz="4" w:space="0" w:color="FFFFFF"/>
            </w:tcBorders>
          </w:tcPr>
          <w:p w14:paraId="4A09F888" w14:textId="77777777" w:rsidR="00CC0FB3" w:rsidRPr="002F69C0" w:rsidRDefault="00CC0FB3" w:rsidP="00072C62">
            <w:pPr>
              <w:tabs>
                <w:tab w:val="left" w:pos="6135"/>
              </w:tabs>
              <w:jc w:val="right"/>
              <w:rPr>
                <w:color w:val="808080"/>
                <w:szCs w:val="28"/>
              </w:rPr>
            </w:pPr>
            <w:r w:rsidRPr="002F69C0">
              <w:rPr>
                <w:rStyle w:val="pop-slug-vol"/>
                <w:color w:val="767171"/>
                <w:szCs w:val="28"/>
              </w:rPr>
              <w:t>Возрастная группа:</w:t>
            </w:r>
            <w:r w:rsidRPr="002F69C0">
              <w:rPr>
                <w:rStyle w:val="pop-slug-vol"/>
                <w:b/>
                <w:color w:val="767171"/>
                <w:szCs w:val="28"/>
              </w:rPr>
              <w:t xml:space="preserve"> </w:t>
            </w:r>
          </w:p>
        </w:tc>
        <w:tc>
          <w:tcPr>
            <w:tcW w:w="4422" w:type="dxa"/>
            <w:tcBorders>
              <w:top w:val="single" w:sz="4" w:space="0" w:color="FFFFFF"/>
              <w:left w:val="single" w:sz="4" w:space="0" w:color="FFFFFF"/>
              <w:bottom w:val="single" w:sz="4" w:space="0" w:color="FFFFFF"/>
              <w:right w:val="single" w:sz="4" w:space="0" w:color="FFFFFF"/>
            </w:tcBorders>
          </w:tcPr>
          <w:p w14:paraId="7B9052A4" w14:textId="77777777" w:rsidR="00CC0FB3" w:rsidRPr="002F69C0" w:rsidRDefault="00CC0FB3" w:rsidP="00072C62">
            <w:pPr>
              <w:tabs>
                <w:tab w:val="left" w:pos="6135"/>
              </w:tabs>
              <w:jc w:val="left"/>
              <w:rPr>
                <w:szCs w:val="28"/>
              </w:rPr>
            </w:pPr>
            <w:r w:rsidRPr="002F69C0">
              <w:rPr>
                <w:szCs w:val="28"/>
              </w:rPr>
              <w:t>взрослые</w:t>
            </w:r>
          </w:p>
        </w:tc>
      </w:tr>
      <w:tr w:rsidR="00CC0FB3" w:rsidRPr="002F69C0" w14:paraId="298CB6F6" w14:textId="77777777" w:rsidTr="00072C62">
        <w:trPr>
          <w:trHeight w:val="445"/>
        </w:trPr>
        <w:tc>
          <w:tcPr>
            <w:tcW w:w="5103" w:type="dxa"/>
            <w:tcBorders>
              <w:top w:val="single" w:sz="4" w:space="0" w:color="FFFFFF"/>
              <w:left w:val="single" w:sz="4" w:space="0" w:color="FFFFFF"/>
              <w:bottom w:val="single" w:sz="4" w:space="0" w:color="FFFFFF"/>
              <w:right w:val="single" w:sz="4" w:space="0" w:color="FFFFFF"/>
            </w:tcBorders>
          </w:tcPr>
          <w:p w14:paraId="4C691D5D" w14:textId="77777777" w:rsidR="00CC0FB3" w:rsidRPr="002F69C0" w:rsidRDefault="00CC0FB3" w:rsidP="00072C62">
            <w:pPr>
              <w:tabs>
                <w:tab w:val="left" w:pos="6135"/>
              </w:tabs>
              <w:jc w:val="right"/>
              <w:rPr>
                <w:color w:val="808080"/>
                <w:szCs w:val="28"/>
              </w:rPr>
            </w:pPr>
            <w:r w:rsidRPr="002F69C0">
              <w:rPr>
                <w:color w:val="808080"/>
              </w:rPr>
              <w:t>Год утверждения:</w:t>
            </w:r>
          </w:p>
        </w:tc>
        <w:tc>
          <w:tcPr>
            <w:tcW w:w="4422" w:type="dxa"/>
            <w:tcBorders>
              <w:top w:val="single" w:sz="4" w:space="0" w:color="FFFFFF"/>
              <w:left w:val="single" w:sz="4" w:space="0" w:color="FFFFFF"/>
              <w:bottom w:val="single" w:sz="4" w:space="0" w:color="FFFFFF"/>
              <w:right w:val="single" w:sz="4" w:space="0" w:color="FFFFFF"/>
            </w:tcBorders>
          </w:tcPr>
          <w:p w14:paraId="779851F2" w14:textId="77777777" w:rsidR="00CC0FB3" w:rsidRPr="002F69C0" w:rsidRDefault="00CC0FB3" w:rsidP="00072C62">
            <w:pPr>
              <w:tabs>
                <w:tab w:val="left" w:pos="6135"/>
              </w:tabs>
              <w:jc w:val="left"/>
            </w:pPr>
            <w:r w:rsidRPr="002F69C0">
              <w:t>2019</w:t>
            </w:r>
          </w:p>
        </w:tc>
      </w:tr>
      <w:tr w:rsidR="00CC0FB3" w:rsidRPr="002F69C0" w14:paraId="28E7E6C6" w14:textId="77777777" w:rsidTr="00072C62">
        <w:tc>
          <w:tcPr>
            <w:tcW w:w="9525" w:type="dxa"/>
            <w:gridSpan w:val="2"/>
            <w:tcBorders>
              <w:top w:val="single" w:sz="4" w:space="0" w:color="FFFFFF"/>
              <w:left w:val="single" w:sz="4" w:space="0" w:color="FFFFFF"/>
              <w:bottom w:val="single" w:sz="4" w:space="0" w:color="FFFFFF"/>
              <w:right w:val="single" w:sz="4" w:space="0" w:color="FFFFFF"/>
            </w:tcBorders>
          </w:tcPr>
          <w:p w14:paraId="1653D390" w14:textId="77777777" w:rsidR="00CC0FB3" w:rsidRPr="002F69C0" w:rsidRDefault="00CC0FB3" w:rsidP="00072C62">
            <w:pPr>
              <w:tabs>
                <w:tab w:val="left" w:pos="6135"/>
              </w:tabs>
              <w:rPr>
                <w:color w:val="FF0000"/>
                <w:sz w:val="20"/>
              </w:rPr>
            </w:pPr>
            <w:r w:rsidRPr="002F69C0">
              <w:rPr>
                <w:color w:val="808080"/>
              </w:rPr>
              <w:t>Разработчик клинической рекомендации:</w:t>
            </w:r>
            <w:r w:rsidRPr="002F69C0">
              <w:rPr>
                <w:color w:val="FF0000"/>
                <w:sz w:val="20"/>
              </w:rPr>
              <w:t xml:space="preserve"> </w:t>
            </w:r>
          </w:p>
        </w:tc>
      </w:tr>
      <w:tr w:rsidR="00CC0FB3" w:rsidRPr="002F69C0" w14:paraId="3FC78321" w14:textId="77777777" w:rsidTr="00072C62">
        <w:trPr>
          <w:trHeight w:val="4170"/>
        </w:trPr>
        <w:tc>
          <w:tcPr>
            <w:tcW w:w="9525" w:type="dxa"/>
            <w:gridSpan w:val="2"/>
            <w:tcBorders>
              <w:top w:val="single" w:sz="4" w:space="0" w:color="FFFFFF"/>
              <w:left w:val="single" w:sz="4" w:space="0" w:color="FFFFFF"/>
              <w:bottom w:val="single" w:sz="4" w:space="0" w:color="FFFFFF"/>
              <w:right w:val="single" w:sz="4" w:space="0" w:color="FFFFFF"/>
            </w:tcBorders>
          </w:tcPr>
          <w:p w14:paraId="638CFAE4" w14:textId="77777777" w:rsidR="00CC0FB3" w:rsidRPr="002F69C0" w:rsidRDefault="00CC0FB3" w:rsidP="00FF4C81">
            <w:pPr>
              <w:pStyle w:val="affb"/>
              <w:numPr>
                <w:ilvl w:val="0"/>
                <w:numId w:val="50"/>
              </w:numPr>
              <w:rPr>
                <w:b/>
                <w:sz w:val="28"/>
              </w:rPr>
            </w:pPr>
            <w:r w:rsidRPr="00D70D58">
              <w:t>Национальное гематологическое общество</w:t>
            </w:r>
          </w:p>
          <w:p w14:paraId="3281E92D" w14:textId="77777777" w:rsidR="00CC0FB3" w:rsidRPr="002F69C0" w:rsidRDefault="00CC0FB3" w:rsidP="00072C62">
            <w:pPr>
              <w:pStyle w:val="affb"/>
              <w:rPr>
                <w:b/>
                <w:sz w:val="28"/>
              </w:rPr>
            </w:pPr>
          </w:p>
          <w:p w14:paraId="3CDB2FDA" w14:textId="77777777" w:rsidR="00CC0FB3" w:rsidRPr="002F69C0" w:rsidRDefault="00CC0FB3" w:rsidP="00072C62">
            <w:pPr>
              <w:pStyle w:val="affb"/>
              <w:rPr>
                <w:b/>
                <w:sz w:val="28"/>
              </w:rPr>
            </w:pPr>
          </w:p>
        </w:tc>
      </w:tr>
    </w:tbl>
    <w:p w14:paraId="63FE6705" w14:textId="77777777" w:rsidR="006157AF" w:rsidRPr="00403810" w:rsidRDefault="006157AF" w:rsidP="006157AF">
      <w:pPr>
        <w:autoSpaceDE/>
        <w:autoSpaceDN/>
        <w:adjustRightInd/>
        <w:spacing w:after="160"/>
        <w:rPr>
          <w:rFonts w:eastAsia="Arial"/>
          <w:szCs w:val="22"/>
          <w:lang w:eastAsia="en-US"/>
        </w:rPr>
      </w:pPr>
    </w:p>
    <w:p w14:paraId="31C32972" w14:textId="77777777" w:rsidR="006157AF" w:rsidRDefault="006157AF" w:rsidP="006157AF">
      <w:pPr>
        <w:rPr>
          <w:sz w:val="32"/>
          <w:szCs w:val="32"/>
        </w:rPr>
      </w:pPr>
    </w:p>
    <w:p w14:paraId="2719D335" w14:textId="77777777" w:rsidR="006157AF" w:rsidRDefault="006157AF" w:rsidP="006157AF">
      <w:pPr>
        <w:rPr>
          <w:sz w:val="32"/>
          <w:szCs w:val="32"/>
        </w:rPr>
      </w:pPr>
    </w:p>
    <w:p w14:paraId="24C85519" w14:textId="77777777" w:rsidR="006157AF" w:rsidRDefault="006157AF" w:rsidP="006157AF">
      <w:pPr>
        <w:rPr>
          <w:sz w:val="32"/>
          <w:szCs w:val="32"/>
        </w:rPr>
      </w:pPr>
    </w:p>
    <w:p w14:paraId="34756671" w14:textId="77777777" w:rsidR="00072C62" w:rsidRDefault="00072C62" w:rsidP="006157AF">
      <w:pPr>
        <w:rPr>
          <w:sz w:val="32"/>
          <w:szCs w:val="32"/>
        </w:rPr>
      </w:pPr>
    </w:p>
    <w:p w14:paraId="16E7C609" w14:textId="77777777" w:rsidR="00072C62" w:rsidRDefault="00072C62" w:rsidP="006157AF">
      <w:pPr>
        <w:rPr>
          <w:sz w:val="32"/>
          <w:szCs w:val="32"/>
        </w:rPr>
      </w:pPr>
    </w:p>
    <w:p w14:paraId="54A4F799" w14:textId="77777777" w:rsidR="006157AF" w:rsidRDefault="006157AF" w:rsidP="006157AF">
      <w:pPr>
        <w:rPr>
          <w:sz w:val="32"/>
          <w:szCs w:val="32"/>
        </w:rPr>
      </w:pPr>
    </w:p>
    <w:p w14:paraId="57BB887D" w14:textId="77777777" w:rsidR="006157AF" w:rsidRDefault="006157AF" w:rsidP="006157AF">
      <w:pPr>
        <w:rPr>
          <w:sz w:val="32"/>
          <w:szCs w:val="32"/>
        </w:rPr>
      </w:pPr>
    </w:p>
    <w:p w14:paraId="490DBB32" w14:textId="77777777" w:rsidR="006157AF" w:rsidRDefault="006157AF" w:rsidP="006157AF">
      <w:pPr>
        <w:rPr>
          <w:sz w:val="32"/>
          <w:szCs w:val="32"/>
        </w:rPr>
      </w:pPr>
    </w:p>
    <w:p w14:paraId="1817BF31" w14:textId="726DB514" w:rsidR="000A5734" w:rsidRPr="009E240E" w:rsidRDefault="000A5734" w:rsidP="009E240E">
      <w:pPr>
        <w:pStyle w:val="17"/>
      </w:pPr>
      <w:r w:rsidRPr="009E240E">
        <w:t>Оглавление</w:t>
      </w:r>
    </w:p>
    <w:p w14:paraId="65D471CA" w14:textId="6D36FAA1" w:rsidR="00025779" w:rsidRPr="0087392F" w:rsidRDefault="003001B8" w:rsidP="009E240E">
      <w:pPr>
        <w:pStyle w:val="17"/>
        <w:rPr>
          <w:rFonts w:asciiTheme="minorHAnsi" w:eastAsiaTheme="minorEastAsia" w:hAnsiTheme="minorHAnsi" w:cstheme="minorBidi"/>
          <w:szCs w:val="24"/>
        </w:rPr>
      </w:pPr>
      <w:r w:rsidRPr="0087392F">
        <w:rPr>
          <w:szCs w:val="24"/>
        </w:rPr>
        <w:lastRenderedPageBreak/>
        <w:fldChar w:fldCharType="begin"/>
      </w:r>
      <w:r w:rsidRPr="0087392F">
        <w:rPr>
          <w:szCs w:val="24"/>
        </w:rPr>
        <w:instrText xml:space="preserve"> TOC \h \z \t "Заголовок 1;1;Заголовок 2;2;Наим. раздела;1" </w:instrText>
      </w:r>
      <w:r w:rsidRPr="0087392F">
        <w:rPr>
          <w:szCs w:val="24"/>
        </w:rPr>
        <w:fldChar w:fldCharType="separate"/>
      </w:r>
      <w:hyperlink w:anchor="_Toc64565622" w:history="1">
        <w:r w:rsidR="00025779" w:rsidRPr="0087392F">
          <w:rPr>
            <w:rStyle w:val="a8"/>
            <w:color w:val="auto"/>
          </w:rPr>
          <w:t>Список сокращений</w:t>
        </w:r>
        <w:r w:rsidR="00025779" w:rsidRPr="0087392F">
          <w:rPr>
            <w:webHidden/>
          </w:rPr>
          <w:tab/>
        </w:r>
        <w:r w:rsidR="00025779" w:rsidRPr="0087392F">
          <w:rPr>
            <w:webHidden/>
          </w:rPr>
          <w:fldChar w:fldCharType="begin"/>
        </w:r>
        <w:r w:rsidR="00025779" w:rsidRPr="0087392F">
          <w:rPr>
            <w:webHidden/>
          </w:rPr>
          <w:instrText xml:space="preserve"> PAGEREF _Toc64565622 \h </w:instrText>
        </w:r>
        <w:r w:rsidR="00025779" w:rsidRPr="0087392F">
          <w:rPr>
            <w:webHidden/>
          </w:rPr>
        </w:r>
        <w:r w:rsidR="00025779" w:rsidRPr="0087392F">
          <w:rPr>
            <w:webHidden/>
          </w:rPr>
          <w:fldChar w:fldCharType="separate"/>
        </w:r>
        <w:r w:rsidR="00984B94">
          <w:rPr>
            <w:webHidden/>
          </w:rPr>
          <w:t>5</w:t>
        </w:r>
        <w:r w:rsidR="00025779" w:rsidRPr="0087392F">
          <w:rPr>
            <w:webHidden/>
          </w:rPr>
          <w:fldChar w:fldCharType="end"/>
        </w:r>
      </w:hyperlink>
    </w:p>
    <w:p w14:paraId="221E3969" w14:textId="71458AD4" w:rsidR="00025779" w:rsidRPr="0087392F" w:rsidRDefault="00B6254F" w:rsidP="009E240E">
      <w:pPr>
        <w:pStyle w:val="17"/>
        <w:rPr>
          <w:rFonts w:asciiTheme="minorHAnsi" w:eastAsiaTheme="minorEastAsia" w:hAnsiTheme="minorHAnsi" w:cstheme="minorBidi"/>
          <w:szCs w:val="24"/>
        </w:rPr>
      </w:pPr>
      <w:hyperlink w:anchor="_Toc64565623" w:history="1">
        <w:r w:rsidR="00025779" w:rsidRPr="0087392F">
          <w:rPr>
            <w:rStyle w:val="a8"/>
            <w:color w:val="auto"/>
          </w:rPr>
          <w:t>Термины и определения</w:t>
        </w:r>
        <w:r w:rsidR="00025779" w:rsidRPr="0087392F">
          <w:rPr>
            <w:webHidden/>
          </w:rPr>
          <w:tab/>
        </w:r>
        <w:r w:rsidR="00025779" w:rsidRPr="0087392F">
          <w:rPr>
            <w:webHidden/>
          </w:rPr>
          <w:fldChar w:fldCharType="begin"/>
        </w:r>
        <w:r w:rsidR="00025779" w:rsidRPr="0087392F">
          <w:rPr>
            <w:webHidden/>
          </w:rPr>
          <w:instrText xml:space="preserve"> PAGEREF _Toc64565623 \h </w:instrText>
        </w:r>
        <w:r w:rsidR="00025779" w:rsidRPr="0087392F">
          <w:rPr>
            <w:webHidden/>
          </w:rPr>
        </w:r>
        <w:r w:rsidR="00025779" w:rsidRPr="0087392F">
          <w:rPr>
            <w:webHidden/>
          </w:rPr>
          <w:fldChar w:fldCharType="separate"/>
        </w:r>
        <w:r w:rsidR="00984B94">
          <w:rPr>
            <w:webHidden/>
          </w:rPr>
          <w:t>7</w:t>
        </w:r>
        <w:r w:rsidR="00025779" w:rsidRPr="0087392F">
          <w:rPr>
            <w:webHidden/>
          </w:rPr>
          <w:fldChar w:fldCharType="end"/>
        </w:r>
      </w:hyperlink>
    </w:p>
    <w:p w14:paraId="7C8D419D" w14:textId="3EBC879D" w:rsidR="00025779" w:rsidRPr="0087392F" w:rsidRDefault="00B6254F" w:rsidP="009E240E">
      <w:pPr>
        <w:pStyle w:val="17"/>
        <w:rPr>
          <w:rFonts w:asciiTheme="minorHAnsi" w:eastAsiaTheme="minorEastAsia" w:hAnsiTheme="minorHAnsi" w:cstheme="minorBidi"/>
          <w:szCs w:val="24"/>
        </w:rPr>
      </w:pPr>
      <w:hyperlink w:anchor="_Toc64565624" w:history="1">
        <w:r w:rsidR="00025779" w:rsidRPr="0087392F">
          <w:rPr>
            <w:rStyle w:val="a8"/>
            <w:color w:val="auto"/>
          </w:rPr>
          <w:t>1. Краткая информация по заболеванию или состоянию (группе заболеваний или состояний)</w:t>
        </w:r>
        <w:r w:rsidR="00025779" w:rsidRPr="0087392F">
          <w:rPr>
            <w:webHidden/>
          </w:rPr>
          <w:tab/>
        </w:r>
        <w:r w:rsidR="00025779" w:rsidRPr="0087392F">
          <w:rPr>
            <w:webHidden/>
          </w:rPr>
          <w:fldChar w:fldCharType="begin"/>
        </w:r>
        <w:r w:rsidR="00025779" w:rsidRPr="0087392F">
          <w:rPr>
            <w:webHidden/>
          </w:rPr>
          <w:instrText xml:space="preserve"> PAGEREF _Toc64565624 \h </w:instrText>
        </w:r>
        <w:r w:rsidR="00025779" w:rsidRPr="0087392F">
          <w:rPr>
            <w:webHidden/>
          </w:rPr>
        </w:r>
        <w:r w:rsidR="00025779" w:rsidRPr="0087392F">
          <w:rPr>
            <w:webHidden/>
          </w:rPr>
          <w:fldChar w:fldCharType="separate"/>
        </w:r>
        <w:r w:rsidR="00984B94">
          <w:rPr>
            <w:webHidden/>
          </w:rPr>
          <w:t>13</w:t>
        </w:r>
        <w:r w:rsidR="00025779" w:rsidRPr="0087392F">
          <w:rPr>
            <w:webHidden/>
          </w:rPr>
          <w:fldChar w:fldCharType="end"/>
        </w:r>
      </w:hyperlink>
    </w:p>
    <w:p w14:paraId="521B2762" w14:textId="6AC5EEFD" w:rsidR="00025779" w:rsidRPr="0087392F" w:rsidRDefault="00B6254F" w:rsidP="00654ED5">
      <w:pPr>
        <w:pStyle w:val="21"/>
        <w:rPr>
          <w:rFonts w:asciiTheme="minorHAnsi" w:eastAsiaTheme="minorEastAsia" w:hAnsiTheme="minorHAnsi" w:cstheme="minorBidi"/>
          <w:color w:val="auto"/>
          <w:szCs w:val="24"/>
        </w:rPr>
      </w:pPr>
      <w:hyperlink w:anchor="_Toc64565625" w:history="1">
        <w:r w:rsidR="00025779" w:rsidRPr="0087392F">
          <w:rPr>
            <w:rStyle w:val="a8"/>
            <w:color w:val="auto"/>
          </w:rPr>
          <w:t>1.1. Определение заболевания или состояния (группы заболеваний или состояний)</w:t>
        </w:r>
        <w:r w:rsidR="00025779" w:rsidRPr="0087392F">
          <w:rPr>
            <w:webHidden/>
            <w:color w:val="auto"/>
          </w:rPr>
          <w:tab/>
        </w:r>
        <w:r w:rsidR="00025779" w:rsidRPr="0087392F">
          <w:rPr>
            <w:webHidden/>
            <w:color w:val="auto"/>
          </w:rPr>
          <w:fldChar w:fldCharType="begin"/>
        </w:r>
        <w:r w:rsidR="00025779" w:rsidRPr="0087392F">
          <w:rPr>
            <w:webHidden/>
            <w:color w:val="auto"/>
          </w:rPr>
          <w:instrText xml:space="preserve"> PAGEREF _Toc64565625 \h </w:instrText>
        </w:r>
        <w:r w:rsidR="00025779" w:rsidRPr="0087392F">
          <w:rPr>
            <w:webHidden/>
            <w:color w:val="auto"/>
          </w:rPr>
        </w:r>
        <w:r w:rsidR="00025779" w:rsidRPr="0087392F">
          <w:rPr>
            <w:webHidden/>
            <w:color w:val="auto"/>
          </w:rPr>
          <w:fldChar w:fldCharType="separate"/>
        </w:r>
        <w:r w:rsidR="00984B94">
          <w:rPr>
            <w:webHidden/>
            <w:color w:val="auto"/>
          </w:rPr>
          <w:t>13</w:t>
        </w:r>
        <w:r w:rsidR="00025779" w:rsidRPr="0087392F">
          <w:rPr>
            <w:webHidden/>
            <w:color w:val="auto"/>
          </w:rPr>
          <w:fldChar w:fldCharType="end"/>
        </w:r>
      </w:hyperlink>
    </w:p>
    <w:p w14:paraId="76C2C479" w14:textId="4EA36708" w:rsidR="00025779" w:rsidRPr="0087392F" w:rsidRDefault="00B6254F" w:rsidP="00654ED5">
      <w:pPr>
        <w:pStyle w:val="21"/>
        <w:rPr>
          <w:rFonts w:asciiTheme="minorHAnsi" w:eastAsiaTheme="minorEastAsia" w:hAnsiTheme="minorHAnsi" w:cstheme="minorBidi"/>
          <w:color w:val="auto"/>
          <w:szCs w:val="24"/>
        </w:rPr>
      </w:pPr>
      <w:hyperlink w:anchor="_Toc64565626" w:history="1">
        <w:r w:rsidR="00025779" w:rsidRPr="0087392F">
          <w:rPr>
            <w:rStyle w:val="a8"/>
            <w:color w:val="auto"/>
          </w:rPr>
          <w:t>1.2. Этиология и патогенез заболевания или состояния (группы заболеваний или состояний)</w:t>
        </w:r>
        <w:r w:rsidR="00025779" w:rsidRPr="0087392F">
          <w:rPr>
            <w:webHidden/>
            <w:color w:val="auto"/>
          </w:rPr>
          <w:tab/>
        </w:r>
        <w:r w:rsidR="00025779" w:rsidRPr="0087392F">
          <w:rPr>
            <w:webHidden/>
            <w:color w:val="auto"/>
          </w:rPr>
          <w:fldChar w:fldCharType="begin"/>
        </w:r>
        <w:r w:rsidR="00025779" w:rsidRPr="0087392F">
          <w:rPr>
            <w:webHidden/>
            <w:color w:val="auto"/>
          </w:rPr>
          <w:instrText xml:space="preserve"> PAGEREF _Toc64565626 \h </w:instrText>
        </w:r>
        <w:r w:rsidR="00025779" w:rsidRPr="0087392F">
          <w:rPr>
            <w:webHidden/>
            <w:color w:val="auto"/>
          </w:rPr>
        </w:r>
        <w:r w:rsidR="00025779" w:rsidRPr="0087392F">
          <w:rPr>
            <w:webHidden/>
            <w:color w:val="auto"/>
          </w:rPr>
          <w:fldChar w:fldCharType="separate"/>
        </w:r>
        <w:r w:rsidR="00984B94">
          <w:rPr>
            <w:webHidden/>
            <w:color w:val="auto"/>
          </w:rPr>
          <w:t>13</w:t>
        </w:r>
        <w:r w:rsidR="00025779" w:rsidRPr="0087392F">
          <w:rPr>
            <w:webHidden/>
            <w:color w:val="auto"/>
          </w:rPr>
          <w:fldChar w:fldCharType="end"/>
        </w:r>
      </w:hyperlink>
    </w:p>
    <w:p w14:paraId="28F8490C" w14:textId="6352543A" w:rsidR="00025779" w:rsidRPr="0087392F" w:rsidRDefault="00B6254F" w:rsidP="00654ED5">
      <w:pPr>
        <w:pStyle w:val="21"/>
        <w:rPr>
          <w:rFonts w:asciiTheme="minorHAnsi" w:eastAsiaTheme="minorEastAsia" w:hAnsiTheme="minorHAnsi" w:cstheme="minorBidi"/>
          <w:color w:val="auto"/>
          <w:szCs w:val="24"/>
        </w:rPr>
      </w:pPr>
      <w:hyperlink w:anchor="_Toc64565627" w:history="1">
        <w:r w:rsidR="00025779" w:rsidRPr="0087392F">
          <w:rPr>
            <w:rStyle w:val="a8"/>
            <w:color w:val="auto"/>
          </w:rPr>
          <w:t>1.3. Эпидемиология заболевания или состояния (группы заболеваний или состояний)</w:t>
        </w:r>
        <w:r w:rsidR="00025779" w:rsidRPr="0087392F">
          <w:rPr>
            <w:webHidden/>
            <w:color w:val="auto"/>
          </w:rPr>
          <w:tab/>
        </w:r>
        <w:r w:rsidR="00025779" w:rsidRPr="0087392F">
          <w:rPr>
            <w:webHidden/>
            <w:color w:val="auto"/>
          </w:rPr>
          <w:fldChar w:fldCharType="begin"/>
        </w:r>
        <w:r w:rsidR="00025779" w:rsidRPr="0087392F">
          <w:rPr>
            <w:webHidden/>
            <w:color w:val="auto"/>
          </w:rPr>
          <w:instrText xml:space="preserve"> PAGEREF _Toc64565627 \h </w:instrText>
        </w:r>
        <w:r w:rsidR="00025779" w:rsidRPr="0087392F">
          <w:rPr>
            <w:webHidden/>
            <w:color w:val="auto"/>
          </w:rPr>
        </w:r>
        <w:r w:rsidR="00025779" w:rsidRPr="0087392F">
          <w:rPr>
            <w:webHidden/>
            <w:color w:val="auto"/>
          </w:rPr>
          <w:fldChar w:fldCharType="separate"/>
        </w:r>
        <w:r w:rsidR="00984B94">
          <w:rPr>
            <w:webHidden/>
            <w:color w:val="auto"/>
          </w:rPr>
          <w:t>13</w:t>
        </w:r>
        <w:r w:rsidR="00025779" w:rsidRPr="0087392F">
          <w:rPr>
            <w:webHidden/>
            <w:color w:val="auto"/>
          </w:rPr>
          <w:fldChar w:fldCharType="end"/>
        </w:r>
      </w:hyperlink>
    </w:p>
    <w:p w14:paraId="58172B32" w14:textId="6B25EE20" w:rsidR="00025779" w:rsidRPr="0087392F" w:rsidRDefault="00B6254F" w:rsidP="00654ED5">
      <w:pPr>
        <w:pStyle w:val="21"/>
        <w:rPr>
          <w:rFonts w:asciiTheme="minorHAnsi" w:eastAsiaTheme="minorEastAsia" w:hAnsiTheme="minorHAnsi" w:cstheme="minorBidi"/>
          <w:color w:val="auto"/>
          <w:szCs w:val="24"/>
        </w:rPr>
      </w:pPr>
      <w:hyperlink w:anchor="_Toc64565628" w:history="1">
        <w:r w:rsidR="00025779" w:rsidRPr="0087392F">
          <w:rPr>
            <w:rStyle w:val="a8"/>
            <w:color w:val="auto"/>
          </w:rPr>
          <w:t>1.4. Особенности кодирования заболевания или состояния (группы заболеваний или состояний) по Международной статистической классификации болезней и проблем, связанных со здоровьем</w:t>
        </w:r>
        <w:r w:rsidR="00025779" w:rsidRPr="0087392F">
          <w:rPr>
            <w:webHidden/>
            <w:color w:val="auto"/>
          </w:rPr>
          <w:tab/>
        </w:r>
        <w:r w:rsidR="00025779" w:rsidRPr="0087392F">
          <w:rPr>
            <w:webHidden/>
            <w:color w:val="auto"/>
          </w:rPr>
          <w:fldChar w:fldCharType="begin"/>
        </w:r>
        <w:r w:rsidR="00025779" w:rsidRPr="0087392F">
          <w:rPr>
            <w:webHidden/>
            <w:color w:val="auto"/>
          </w:rPr>
          <w:instrText xml:space="preserve"> PAGEREF _Toc64565628 \h </w:instrText>
        </w:r>
        <w:r w:rsidR="00025779" w:rsidRPr="0087392F">
          <w:rPr>
            <w:webHidden/>
            <w:color w:val="auto"/>
          </w:rPr>
        </w:r>
        <w:r w:rsidR="00025779" w:rsidRPr="0087392F">
          <w:rPr>
            <w:webHidden/>
            <w:color w:val="auto"/>
          </w:rPr>
          <w:fldChar w:fldCharType="separate"/>
        </w:r>
        <w:r w:rsidR="00984B94">
          <w:rPr>
            <w:webHidden/>
            <w:color w:val="auto"/>
          </w:rPr>
          <w:t>14</w:t>
        </w:r>
        <w:r w:rsidR="00025779" w:rsidRPr="0087392F">
          <w:rPr>
            <w:webHidden/>
            <w:color w:val="auto"/>
          </w:rPr>
          <w:fldChar w:fldCharType="end"/>
        </w:r>
      </w:hyperlink>
    </w:p>
    <w:p w14:paraId="0BE11534" w14:textId="10A09C59" w:rsidR="00025779" w:rsidRPr="0087392F" w:rsidRDefault="00B6254F" w:rsidP="00654ED5">
      <w:pPr>
        <w:pStyle w:val="21"/>
        <w:rPr>
          <w:rFonts w:asciiTheme="minorHAnsi" w:eastAsiaTheme="minorEastAsia" w:hAnsiTheme="minorHAnsi" w:cstheme="minorBidi"/>
          <w:color w:val="auto"/>
          <w:szCs w:val="24"/>
        </w:rPr>
      </w:pPr>
      <w:hyperlink w:anchor="_Toc64565629" w:history="1">
        <w:r w:rsidR="00025779" w:rsidRPr="0087392F">
          <w:rPr>
            <w:rStyle w:val="a8"/>
            <w:color w:val="auto"/>
          </w:rPr>
          <w:t>1.5. Классификация заболевания или состояния (группы заболеваний или состояний)</w:t>
        </w:r>
        <w:r w:rsidR="00025779" w:rsidRPr="0087392F">
          <w:rPr>
            <w:webHidden/>
            <w:color w:val="auto"/>
          </w:rPr>
          <w:tab/>
        </w:r>
        <w:r w:rsidR="00025779" w:rsidRPr="0087392F">
          <w:rPr>
            <w:webHidden/>
            <w:color w:val="auto"/>
          </w:rPr>
          <w:fldChar w:fldCharType="begin"/>
        </w:r>
        <w:r w:rsidR="00025779" w:rsidRPr="0087392F">
          <w:rPr>
            <w:webHidden/>
            <w:color w:val="auto"/>
          </w:rPr>
          <w:instrText xml:space="preserve"> PAGEREF _Toc64565629 \h </w:instrText>
        </w:r>
        <w:r w:rsidR="00025779" w:rsidRPr="0087392F">
          <w:rPr>
            <w:webHidden/>
            <w:color w:val="auto"/>
          </w:rPr>
        </w:r>
        <w:r w:rsidR="00025779" w:rsidRPr="0087392F">
          <w:rPr>
            <w:webHidden/>
            <w:color w:val="auto"/>
          </w:rPr>
          <w:fldChar w:fldCharType="separate"/>
        </w:r>
        <w:r w:rsidR="00984B94">
          <w:rPr>
            <w:webHidden/>
            <w:color w:val="auto"/>
          </w:rPr>
          <w:t>14</w:t>
        </w:r>
        <w:r w:rsidR="00025779" w:rsidRPr="0087392F">
          <w:rPr>
            <w:webHidden/>
            <w:color w:val="auto"/>
          </w:rPr>
          <w:fldChar w:fldCharType="end"/>
        </w:r>
      </w:hyperlink>
    </w:p>
    <w:p w14:paraId="54F71EEA" w14:textId="2365E5CE" w:rsidR="00025779" w:rsidRPr="0087392F" w:rsidRDefault="00B6254F" w:rsidP="00654ED5">
      <w:pPr>
        <w:pStyle w:val="21"/>
        <w:rPr>
          <w:rFonts w:asciiTheme="minorHAnsi" w:eastAsiaTheme="minorEastAsia" w:hAnsiTheme="minorHAnsi" w:cstheme="minorBidi"/>
          <w:color w:val="auto"/>
          <w:szCs w:val="24"/>
        </w:rPr>
      </w:pPr>
      <w:hyperlink w:anchor="_Toc64565630" w:history="1">
        <w:r w:rsidR="00025779" w:rsidRPr="0087392F">
          <w:rPr>
            <w:rStyle w:val="a8"/>
            <w:color w:val="auto"/>
          </w:rPr>
          <w:t>1.6. Клиническая картина заболевания или состояния (группы заболеваний или состояний)</w:t>
        </w:r>
        <w:r w:rsidR="00025779" w:rsidRPr="0087392F">
          <w:rPr>
            <w:webHidden/>
            <w:color w:val="auto"/>
          </w:rPr>
          <w:tab/>
        </w:r>
        <w:r w:rsidR="00025779" w:rsidRPr="0087392F">
          <w:rPr>
            <w:webHidden/>
            <w:color w:val="auto"/>
          </w:rPr>
          <w:fldChar w:fldCharType="begin"/>
        </w:r>
        <w:r w:rsidR="00025779" w:rsidRPr="0087392F">
          <w:rPr>
            <w:webHidden/>
            <w:color w:val="auto"/>
          </w:rPr>
          <w:instrText xml:space="preserve"> PAGEREF _Toc64565630 \h </w:instrText>
        </w:r>
        <w:r w:rsidR="00025779" w:rsidRPr="0087392F">
          <w:rPr>
            <w:webHidden/>
            <w:color w:val="auto"/>
          </w:rPr>
        </w:r>
        <w:r w:rsidR="00025779" w:rsidRPr="0087392F">
          <w:rPr>
            <w:webHidden/>
            <w:color w:val="auto"/>
          </w:rPr>
          <w:fldChar w:fldCharType="separate"/>
        </w:r>
        <w:r w:rsidR="00984B94">
          <w:rPr>
            <w:webHidden/>
            <w:color w:val="auto"/>
          </w:rPr>
          <w:t>16</w:t>
        </w:r>
        <w:r w:rsidR="00025779" w:rsidRPr="0087392F">
          <w:rPr>
            <w:webHidden/>
            <w:color w:val="auto"/>
          </w:rPr>
          <w:fldChar w:fldCharType="end"/>
        </w:r>
      </w:hyperlink>
    </w:p>
    <w:p w14:paraId="2769EB99" w14:textId="3E3833D5" w:rsidR="00025779" w:rsidRPr="0087392F" w:rsidRDefault="00B6254F" w:rsidP="009E240E">
      <w:pPr>
        <w:pStyle w:val="17"/>
        <w:rPr>
          <w:rFonts w:asciiTheme="minorHAnsi" w:eastAsiaTheme="minorEastAsia" w:hAnsiTheme="minorHAnsi" w:cstheme="minorBidi"/>
          <w:szCs w:val="24"/>
        </w:rPr>
      </w:pPr>
      <w:hyperlink w:anchor="_Toc64565631" w:history="1">
        <w:r w:rsidR="00025779" w:rsidRPr="0087392F">
          <w:rPr>
            <w:rStyle w:val="a8"/>
            <w:color w:val="auto"/>
          </w:rPr>
          <w:t>2. Диагностика заболевания или состояния (группы заболеваний или состояний), медицинские показания и противопоказания к применению методов диагностики</w:t>
        </w:r>
        <w:r w:rsidR="00025779" w:rsidRPr="0087392F">
          <w:rPr>
            <w:webHidden/>
          </w:rPr>
          <w:tab/>
        </w:r>
        <w:r w:rsidR="00025779" w:rsidRPr="0087392F">
          <w:rPr>
            <w:webHidden/>
          </w:rPr>
          <w:fldChar w:fldCharType="begin"/>
        </w:r>
        <w:r w:rsidR="00025779" w:rsidRPr="0087392F">
          <w:rPr>
            <w:webHidden/>
          </w:rPr>
          <w:instrText xml:space="preserve"> PAGEREF _Toc64565631 \h </w:instrText>
        </w:r>
        <w:r w:rsidR="00025779" w:rsidRPr="0087392F">
          <w:rPr>
            <w:webHidden/>
          </w:rPr>
        </w:r>
        <w:r w:rsidR="00025779" w:rsidRPr="0087392F">
          <w:rPr>
            <w:webHidden/>
          </w:rPr>
          <w:fldChar w:fldCharType="separate"/>
        </w:r>
        <w:r w:rsidR="00984B94">
          <w:rPr>
            <w:webHidden/>
          </w:rPr>
          <w:t>17</w:t>
        </w:r>
        <w:r w:rsidR="00025779" w:rsidRPr="0087392F">
          <w:rPr>
            <w:webHidden/>
          </w:rPr>
          <w:fldChar w:fldCharType="end"/>
        </w:r>
      </w:hyperlink>
    </w:p>
    <w:p w14:paraId="25801856" w14:textId="6446E3CB" w:rsidR="00025779" w:rsidRPr="0087392F" w:rsidRDefault="00B6254F" w:rsidP="00654ED5">
      <w:pPr>
        <w:pStyle w:val="21"/>
        <w:rPr>
          <w:rFonts w:asciiTheme="minorHAnsi" w:eastAsiaTheme="minorEastAsia" w:hAnsiTheme="minorHAnsi" w:cstheme="minorBidi"/>
          <w:color w:val="auto"/>
          <w:szCs w:val="24"/>
        </w:rPr>
      </w:pPr>
      <w:hyperlink w:anchor="_Toc64565632" w:history="1">
        <w:r w:rsidR="00025779" w:rsidRPr="0087392F">
          <w:rPr>
            <w:rStyle w:val="a8"/>
            <w:color w:val="auto"/>
          </w:rPr>
          <w:t>2.1. Жалобы и анамнез</w:t>
        </w:r>
        <w:r w:rsidR="00025779" w:rsidRPr="0087392F">
          <w:rPr>
            <w:webHidden/>
            <w:color w:val="auto"/>
          </w:rPr>
          <w:tab/>
        </w:r>
        <w:r w:rsidR="00025779" w:rsidRPr="0087392F">
          <w:rPr>
            <w:webHidden/>
            <w:color w:val="auto"/>
          </w:rPr>
          <w:fldChar w:fldCharType="begin"/>
        </w:r>
        <w:r w:rsidR="00025779" w:rsidRPr="0087392F">
          <w:rPr>
            <w:webHidden/>
            <w:color w:val="auto"/>
          </w:rPr>
          <w:instrText xml:space="preserve"> PAGEREF _Toc64565632 \h </w:instrText>
        </w:r>
        <w:r w:rsidR="00025779" w:rsidRPr="0087392F">
          <w:rPr>
            <w:webHidden/>
            <w:color w:val="auto"/>
          </w:rPr>
        </w:r>
        <w:r w:rsidR="00025779" w:rsidRPr="0087392F">
          <w:rPr>
            <w:webHidden/>
            <w:color w:val="auto"/>
          </w:rPr>
          <w:fldChar w:fldCharType="separate"/>
        </w:r>
        <w:r w:rsidR="00984B94">
          <w:rPr>
            <w:webHidden/>
            <w:color w:val="auto"/>
          </w:rPr>
          <w:t>17</w:t>
        </w:r>
        <w:r w:rsidR="00025779" w:rsidRPr="0087392F">
          <w:rPr>
            <w:webHidden/>
            <w:color w:val="auto"/>
          </w:rPr>
          <w:fldChar w:fldCharType="end"/>
        </w:r>
      </w:hyperlink>
    </w:p>
    <w:p w14:paraId="3E326738" w14:textId="561DC587" w:rsidR="00025779" w:rsidRPr="0087392F" w:rsidRDefault="00B6254F" w:rsidP="00654ED5">
      <w:pPr>
        <w:pStyle w:val="21"/>
        <w:rPr>
          <w:rFonts w:asciiTheme="minorHAnsi" w:eastAsiaTheme="minorEastAsia" w:hAnsiTheme="minorHAnsi" w:cstheme="minorBidi"/>
          <w:color w:val="auto"/>
          <w:szCs w:val="24"/>
        </w:rPr>
      </w:pPr>
      <w:hyperlink w:anchor="_Toc64565633" w:history="1">
        <w:r w:rsidR="00025779" w:rsidRPr="0087392F">
          <w:rPr>
            <w:rStyle w:val="a8"/>
            <w:color w:val="auto"/>
          </w:rPr>
          <w:t>2.2. Физикальное обследование</w:t>
        </w:r>
        <w:r w:rsidR="00025779" w:rsidRPr="0087392F">
          <w:rPr>
            <w:webHidden/>
            <w:color w:val="auto"/>
          </w:rPr>
          <w:tab/>
        </w:r>
        <w:r w:rsidR="00025779" w:rsidRPr="0087392F">
          <w:rPr>
            <w:webHidden/>
            <w:color w:val="auto"/>
          </w:rPr>
          <w:fldChar w:fldCharType="begin"/>
        </w:r>
        <w:r w:rsidR="00025779" w:rsidRPr="0087392F">
          <w:rPr>
            <w:webHidden/>
            <w:color w:val="auto"/>
          </w:rPr>
          <w:instrText xml:space="preserve"> PAGEREF _Toc64565633 \h </w:instrText>
        </w:r>
        <w:r w:rsidR="00025779" w:rsidRPr="0087392F">
          <w:rPr>
            <w:webHidden/>
            <w:color w:val="auto"/>
          </w:rPr>
        </w:r>
        <w:r w:rsidR="00025779" w:rsidRPr="0087392F">
          <w:rPr>
            <w:webHidden/>
            <w:color w:val="auto"/>
          </w:rPr>
          <w:fldChar w:fldCharType="separate"/>
        </w:r>
        <w:r w:rsidR="00984B94">
          <w:rPr>
            <w:webHidden/>
            <w:color w:val="auto"/>
          </w:rPr>
          <w:t>17</w:t>
        </w:r>
        <w:r w:rsidR="00025779" w:rsidRPr="0087392F">
          <w:rPr>
            <w:webHidden/>
            <w:color w:val="auto"/>
          </w:rPr>
          <w:fldChar w:fldCharType="end"/>
        </w:r>
      </w:hyperlink>
    </w:p>
    <w:p w14:paraId="2EAEB03A" w14:textId="3528F801" w:rsidR="00025779" w:rsidRPr="0087392F" w:rsidRDefault="00B6254F" w:rsidP="00654ED5">
      <w:pPr>
        <w:pStyle w:val="21"/>
        <w:rPr>
          <w:rFonts w:asciiTheme="minorHAnsi" w:eastAsiaTheme="minorEastAsia" w:hAnsiTheme="minorHAnsi" w:cstheme="minorBidi"/>
          <w:color w:val="auto"/>
          <w:szCs w:val="24"/>
        </w:rPr>
      </w:pPr>
      <w:hyperlink w:anchor="_Toc64565634" w:history="1">
        <w:r w:rsidR="00025779" w:rsidRPr="0087392F">
          <w:rPr>
            <w:rStyle w:val="a8"/>
            <w:color w:val="auto"/>
          </w:rPr>
          <w:t>2.3. Лабораторные диагностические исследования</w:t>
        </w:r>
        <w:r w:rsidR="00025779" w:rsidRPr="0087392F">
          <w:rPr>
            <w:webHidden/>
            <w:color w:val="auto"/>
          </w:rPr>
          <w:tab/>
        </w:r>
        <w:r w:rsidR="00025779" w:rsidRPr="0087392F">
          <w:rPr>
            <w:webHidden/>
            <w:color w:val="auto"/>
          </w:rPr>
          <w:fldChar w:fldCharType="begin"/>
        </w:r>
        <w:r w:rsidR="00025779" w:rsidRPr="0087392F">
          <w:rPr>
            <w:webHidden/>
            <w:color w:val="auto"/>
          </w:rPr>
          <w:instrText xml:space="preserve"> PAGEREF _Toc64565634 \h </w:instrText>
        </w:r>
        <w:r w:rsidR="00025779" w:rsidRPr="0087392F">
          <w:rPr>
            <w:webHidden/>
            <w:color w:val="auto"/>
          </w:rPr>
        </w:r>
        <w:r w:rsidR="00025779" w:rsidRPr="0087392F">
          <w:rPr>
            <w:webHidden/>
            <w:color w:val="auto"/>
          </w:rPr>
          <w:fldChar w:fldCharType="separate"/>
        </w:r>
        <w:r w:rsidR="00984B94">
          <w:rPr>
            <w:webHidden/>
            <w:color w:val="auto"/>
          </w:rPr>
          <w:t>18</w:t>
        </w:r>
        <w:r w:rsidR="00025779" w:rsidRPr="0087392F">
          <w:rPr>
            <w:webHidden/>
            <w:color w:val="auto"/>
          </w:rPr>
          <w:fldChar w:fldCharType="end"/>
        </w:r>
      </w:hyperlink>
    </w:p>
    <w:p w14:paraId="7EAB7596" w14:textId="1361A0E3" w:rsidR="00025779" w:rsidRPr="0087392F" w:rsidRDefault="00B6254F" w:rsidP="00654ED5">
      <w:pPr>
        <w:pStyle w:val="21"/>
        <w:rPr>
          <w:rFonts w:asciiTheme="minorHAnsi" w:eastAsiaTheme="minorEastAsia" w:hAnsiTheme="minorHAnsi" w:cstheme="minorBidi"/>
          <w:color w:val="auto"/>
          <w:szCs w:val="24"/>
        </w:rPr>
      </w:pPr>
      <w:hyperlink w:anchor="_Toc64565635" w:history="1">
        <w:r w:rsidR="00025779" w:rsidRPr="0087392F">
          <w:rPr>
            <w:rStyle w:val="a8"/>
            <w:color w:val="auto"/>
          </w:rPr>
          <w:t>2.4. Инструментальные диагностические исследования</w:t>
        </w:r>
        <w:r w:rsidR="00025779" w:rsidRPr="0087392F">
          <w:rPr>
            <w:webHidden/>
            <w:color w:val="auto"/>
          </w:rPr>
          <w:tab/>
        </w:r>
        <w:r w:rsidR="00025779" w:rsidRPr="0087392F">
          <w:rPr>
            <w:webHidden/>
            <w:color w:val="auto"/>
          </w:rPr>
          <w:fldChar w:fldCharType="begin"/>
        </w:r>
        <w:r w:rsidR="00025779" w:rsidRPr="0087392F">
          <w:rPr>
            <w:webHidden/>
            <w:color w:val="auto"/>
          </w:rPr>
          <w:instrText xml:space="preserve"> PAGEREF _Toc64565635 \h </w:instrText>
        </w:r>
        <w:r w:rsidR="00025779" w:rsidRPr="0087392F">
          <w:rPr>
            <w:webHidden/>
            <w:color w:val="auto"/>
          </w:rPr>
        </w:r>
        <w:r w:rsidR="00025779" w:rsidRPr="0087392F">
          <w:rPr>
            <w:webHidden/>
            <w:color w:val="auto"/>
          </w:rPr>
          <w:fldChar w:fldCharType="separate"/>
        </w:r>
        <w:r w:rsidR="00984B94">
          <w:rPr>
            <w:webHidden/>
            <w:color w:val="auto"/>
          </w:rPr>
          <w:t>32</w:t>
        </w:r>
        <w:r w:rsidR="00025779" w:rsidRPr="0087392F">
          <w:rPr>
            <w:webHidden/>
            <w:color w:val="auto"/>
          </w:rPr>
          <w:fldChar w:fldCharType="end"/>
        </w:r>
      </w:hyperlink>
    </w:p>
    <w:p w14:paraId="12CAF780" w14:textId="6440BB04" w:rsidR="00025779" w:rsidRPr="0087392F" w:rsidRDefault="00B6254F" w:rsidP="00654ED5">
      <w:pPr>
        <w:pStyle w:val="21"/>
        <w:rPr>
          <w:rFonts w:asciiTheme="minorHAnsi" w:eastAsiaTheme="minorEastAsia" w:hAnsiTheme="minorHAnsi" w:cstheme="minorBidi"/>
          <w:color w:val="auto"/>
          <w:szCs w:val="24"/>
        </w:rPr>
      </w:pPr>
      <w:hyperlink w:anchor="_Toc64565636" w:history="1">
        <w:r w:rsidR="00025779" w:rsidRPr="0087392F">
          <w:rPr>
            <w:rStyle w:val="a8"/>
            <w:color w:val="auto"/>
          </w:rPr>
          <w:t>2.5. Иные диагностические исследования</w:t>
        </w:r>
        <w:r w:rsidR="00025779" w:rsidRPr="0087392F">
          <w:rPr>
            <w:webHidden/>
            <w:color w:val="auto"/>
          </w:rPr>
          <w:tab/>
        </w:r>
        <w:r w:rsidR="00025779" w:rsidRPr="0087392F">
          <w:rPr>
            <w:webHidden/>
            <w:color w:val="auto"/>
          </w:rPr>
          <w:fldChar w:fldCharType="begin"/>
        </w:r>
        <w:r w:rsidR="00025779" w:rsidRPr="0087392F">
          <w:rPr>
            <w:webHidden/>
            <w:color w:val="auto"/>
          </w:rPr>
          <w:instrText xml:space="preserve"> PAGEREF _Toc64565636 \h </w:instrText>
        </w:r>
        <w:r w:rsidR="00025779" w:rsidRPr="0087392F">
          <w:rPr>
            <w:webHidden/>
            <w:color w:val="auto"/>
          </w:rPr>
        </w:r>
        <w:r w:rsidR="00025779" w:rsidRPr="0087392F">
          <w:rPr>
            <w:webHidden/>
            <w:color w:val="auto"/>
          </w:rPr>
          <w:fldChar w:fldCharType="separate"/>
        </w:r>
        <w:r w:rsidR="00984B94">
          <w:rPr>
            <w:webHidden/>
            <w:color w:val="auto"/>
          </w:rPr>
          <w:t>34</w:t>
        </w:r>
        <w:r w:rsidR="00025779" w:rsidRPr="0087392F">
          <w:rPr>
            <w:webHidden/>
            <w:color w:val="auto"/>
          </w:rPr>
          <w:fldChar w:fldCharType="end"/>
        </w:r>
      </w:hyperlink>
    </w:p>
    <w:p w14:paraId="0F85B4A8" w14:textId="227821A6" w:rsidR="00025779" w:rsidRPr="0087392F" w:rsidRDefault="00B6254F" w:rsidP="009E240E">
      <w:pPr>
        <w:pStyle w:val="17"/>
        <w:rPr>
          <w:rFonts w:asciiTheme="minorHAnsi" w:eastAsiaTheme="minorEastAsia" w:hAnsiTheme="minorHAnsi" w:cstheme="minorBidi"/>
          <w:szCs w:val="24"/>
        </w:rPr>
      </w:pPr>
      <w:hyperlink w:anchor="_Toc64565637" w:history="1">
        <w:r w:rsidR="00025779" w:rsidRPr="0087392F">
          <w:rPr>
            <w:rStyle w:val="a8"/>
            <w:color w:val="auto"/>
          </w:rPr>
          <w:t>3. Лечение, включая медикаментозную и немедикаментозную терапии, диетотерапию, обезболивание, медицинские показания и противопоказания к применению методов лечения</w:t>
        </w:r>
        <w:r w:rsidR="00025779" w:rsidRPr="0087392F">
          <w:rPr>
            <w:webHidden/>
          </w:rPr>
          <w:tab/>
        </w:r>
        <w:r w:rsidR="00025779" w:rsidRPr="0087392F">
          <w:rPr>
            <w:webHidden/>
          </w:rPr>
          <w:fldChar w:fldCharType="begin"/>
        </w:r>
        <w:r w:rsidR="00025779" w:rsidRPr="0087392F">
          <w:rPr>
            <w:webHidden/>
          </w:rPr>
          <w:instrText xml:space="preserve"> PAGEREF _Toc64565637 \h </w:instrText>
        </w:r>
        <w:r w:rsidR="00025779" w:rsidRPr="0087392F">
          <w:rPr>
            <w:webHidden/>
          </w:rPr>
        </w:r>
        <w:r w:rsidR="00025779" w:rsidRPr="0087392F">
          <w:rPr>
            <w:webHidden/>
          </w:rPr>
          <w:fldChar w:fldCharType="separate"/>
        </w:r>
        <w:r w:rsidR="00984B94">
          <w:rPr>
            <w:webHidden/>
          </w:rPr>
          <w:t>42</w:t>
        </w:r>
        <w:r w:rsidR="00025779" w:rsidRPr="0087392F">
          <w:rPr>
            <w:webHidden/>
          </w:rPr>
          <w:fldChar w:fldCharType="end"/>
        </w:r>
      </w:hyperlink>
    </w:p>
    <w:p w14:paraId="17704BA1" w14:textId="5428AA62" w:rsidR="00025779" w:rsidRPr="0087392F" w:rsidRDefault="00B6254F" w:rsidP="00654ED5">
      <w:pPr>
        <w:pStyle w:val="21"/>
        <w:rPr>
          <w:rFonts w:asciiTheme="minorHAnsi" w:eastAsiaTheme="minorEastAsia" w:hAnsiTheme="minorHAnsi" w:cstheme="minorBidi"/>
          <w:color w:val="auto"/>
          <w:szCs w:val="24"/>
        </w:rPr>
      </w:pPr>
      <w:hyperlink w:anchor="_Toc64565638" w:history="1">
        <w:r w:rsidR="00025779" w:rsidRPr="0087392F">
          <w:rPr>
            <w:rStyle w:val="a8"/>
            <w:color w:val="auto"/>
          </w:rPr>
          <w:t>3.1. Основные принципы химиотерапии ОЛЛ</w:t>
        </w:r>
        <w:r w:rsidR="00025779" w:rsidRPr="0087392F">
          <w:rPr>
            <w:webHidden/>
            <w:color w:val="auto"/>
          </w:rPr>
          <w:tab/>
        </w:r>
        <w:r w:rsidR="00025779" w:rsidRPr="0087392F">
          <w:rPr>
            <w:webHidden/>
            <w:color w:val="auto"/>
          </w:rPr>
          <w:fldChar w:fldCharType="begin"/>
        </w:r>
        <w:r w:rsidR="00025779" w:rsidRPr="0087392F">
          <w:rPr>
            <w:webHidden/>
            <w:color w:val="auto"/>
          </w:rPr>
          <w:instrText xml:space="preserve"> PAGEREF _Toc64565638 \h </w:instrText>
        </w:r>
        <w:r w:rsidR="00025779" w:rsidRPr="0087392F">
          <w:rPr>
            <w:webHidden/>
            <w:color w:val="auto"/>
          </w:rPr>
        </w:r>
        <w:r w:rsidR="00025779" w:rsidRPr="0087392F">
          <w:rPr>
            <w:webHidden/>
            <w:color w:val="auto"/>
          </w:rPr>
          <w:fldChar w:fldCharType="separate"/>
        </w:r>
        <w:r w:rsidR="00984B94">
          <w:rPr>
            <w:webHidden/>
            <w:color w:val="auto"/>
          </w:rPr>
          <w:t>42</w:t>
        </w:r>
        <w:r w:rsidR="00025779" w:rsidRPr="0087392F">
          <w:rPr>
            <w:webHidden/>
            <w:color w:val="auto"/>
          </w:rPr>
          <w:fldChar w:fldCharType="end"/>
        </w:r>
      </w:hyperlink>
    </w:p>
    <w:p w14:paraId="4A12149D" w14:textId="7F107866" w:rsidR="00025779" w:rsidRPr="0087392F" w:rsidRDefault="00B6254F" w:rsidP="00654ED5">
      <w:pPr>
        <w:pStyle w:val="21"/>
        <w:rPr>
          <w:rFonts w:asciiTheme="minorHAnsi" w:eastAsiaTheme="minorEastAsia" w:hAnsiTheme="minorHAnsi" w:cstheme="minorBidi"/>
          <w:color w:val="auto"/>
          <w:szCs w:val="24"/>
        </w:rPr>
      </w:pPr>
      <w:hyperlink w:anchor="_Toc64565639" w:history="1">
        <w:r w:rsidR="00025779" w:rsidRPr="0087392F">
          <w:rPr>
            <w:rStyle w:val="a8"/>
            <w:color w:val="auto"/>
            <w:shd w:val="clear" w:color="auto" w:fill="FFFFFF"/>
          </w:rPr>
          <w:t>3.2.</w:t>
        </w:r>
        <w:r w:rsidR="00025779" w:rsidRPr="0087392F">
          <w:rPr>
            <w:rStyle w:val="a8"/>
            <w:color w:val="auto"/>
          </w:rPr>
          <w:t xml:space="preserve"> Прогностические факторы эффективности лечения</w:t>
        </w:r>
        <w:r w:rsidR="00025779" w:rsidRPr="0087392F">
          <w:rPr>
            <w:webHidden/>
            <w:color w:val="auto"/>
          </w:rPr>
          <w:tab/>
        </w:r>
        <w:r w:rsidR="00025779" w:rsidRPr="0087392F">
          <w:rPr>
            <w:webHidden/>
            <w:color w:val="auto"/>
          </w:rPr>
          <w:fldChar w:fldCharType="begin"/>
        </w:r>
        <w:r w:rsidR="00025779" w:rsidRPr="0087392F">
          <w:rPr>
            <w:webHidden/>
            <w:color w:val="auto"/>
          </w:rPr>
          <w:instrText xml:space="preserve"> PAGEREF _Toc64565639 \h </w:instrText>
        </w:r>
        <w:r w:rsidR="00025779" w:rsidRPr="0087392F">
          <w:rPr>
            <w:webHidden/>
            <w:color w:val="auto"/>
          </w:rPr>
        </w:r>
        <w:r w:rsidR="00025779" w:rsidRPr="0087392F">
          <w:rPr>
            <w:webHidden/>
            <w:color w:val="auto"/>
          </w:rPr>
          <w:fldChar w:fldCharType="separate"/>
        </w:r>
        <w:r w:rsidR="00984B94">
          <w:rPr>
            <w:webHidden/>
            <w:color w:val="auto"/>
          </w:rPr>
          <w:t>46</w:t>
        </w:r>
        <w:r w:rsidR="00025779" w:rsidRPr="0087392F">
          <w:rPr>
            <w:webHidden/>
            <w:color w:val="auto"/>
          </w:rPr>
          <w:fldChar w:fldCharType="end"/>
        </w:r>
      </w:hyperlink>
    </w:p>
    <w:p w14:paraId="32AD9C8F" w14:textId="545C96C2" w:rsidR="00025779" w:rsidRPr="0087392F" w:rsidRDefault="00B6254F" w:rsidP="00654ED5">
      <w:pPr>
        <w:pStyle w:val="21"/>
        <w:rPr>
          <w:rFonts w:asciiTheme="minorHAnsi" w:eastAsiaTheme="minorEastAsia" w:hAnsiTheme="minorHAnsi" w:cstheme="minorBidi"/>
          <w:color w:val="auto"/>
          <w:szCs w:val="24"/>
        </w:rPr>
      </w:pPr>
      <w:hyperlink w:anchor="_Toc64565640" w:history="1">
        <w:r w:rsidR="00025779" w:rsidRPr="0087392F">
          <w:rPr>
            <w:rStyle w:val="a8"/>
            <w:color w:val="auto"/>
          </w:rPr>
          <w:t>3.3. Прогностическая значимость МОБ</w:t>
        </w:r>
        <w:r w:rsidR="00025779" w:rsidRPr="0087392F">
          <w:rPr>
            <w:webHidden/>
            <w:color w:val="auto"/>
          </w:rPr>
          <w:tab/>
        </w:r>
        <w:r w:rsidR="00025779" w:rsidRPr="0087392F">
          <w:rPr>
            <w:webHidden/>
            <w:color w:val="auto"/>
          </w:rPr>
          <w:fldChar w:fldCharType="begin"/>
        </w:r>
        <w:r w:rsidR="00025779" w:rsidRPr="0087392F">
          <w:rPr>
            <w:webHidden/>
            <w:color w:val="auto"/>
          </w:rPr>
          <w:instrText xml:space="preserve"> PAGEREF _Toc64565640 \h </w:instrText>
        </w:r>
        <w:r w:rsidR="00025779" w:rsidRPr="0087392F">
          <w:rPr>
            <w:webHidden/>
            <w:color w:val="auto"/>
          </w:rPr>
        </w:r>
        <w:r w:rsidR="00025779" w:rsidRPr="0087392F">
          <w:rPr>
            <w:webHidden/>
            <w:color w:val="auto"/>
          </w:rPr>
          <w:fldChar w:fldCharType="separate"/>
        </w:r>
        <w:r w:rsidR="00984B94">
          <w:rPr>
            <w:webHidden/>
            <w:color w:val="auto"/>
          </w:rPr>
          <w:t>47</w:t>
        </w:r>
        <w:r w:rsidR="00025779" w:rsidRPr="0087392F">
          <w:rPr>
            <w:webHidden/>
            <w:color w:val="auto"/>
          </w:rPr>
          <w:fldChar w:fldCharType="end"/>
        </w:r>
      </w:hyperlink>
    </w:p>
    <w:p w14:paraId="495BE567" w14:textId="369A3128" w:rsidR="00025779" w:rsidRPr="0087392F" w:rsidRDefault="00B6254F" w:rsidP="00654ED5">
      <w:pPr>
        <w:pStyle w:val="21"/>
        <w:rPr>
          <w:rFonts w:asciiTheme="minorHAnsi" w:eastAsiaTheme="minorEastAsia" w:hAnsiTheme="minorHAnsi" w:cstheme="minorBidi"/>
          <w:color w:val="auto"/>
          <w:szCs w:val="24"/>
        </w:rPr>
      </w:pPr>
      <w:hyperlink w:anchor="_Toc64565641" w:history="1">
        <w:r w:rsidR="00025779" w:rsidRPr="0087392F">
          <w:rPr>
            <w:rStyle w:val="a8"/>
            <w:color w:val="auto"/>
          </w:rPr>
          <w:t xml:space="preserve">3.4. Лечение пациентов с </w:t>
        </w:r>
        <w:r w:rsidR="00025779" w:rsidRPr="0087392F">
          <w:rPr>
            <w:rStyle w:val="a8"/>
            <w:color w:val="auto"/>
            <w:lang w:val="en-US"/>
          </w:rPr>
          <w:t>Ph</w:t>
        </w:r>
        <w:r w:rsidR="00025779" w:rsidRPr="0087392F">
          <w:rPr>
            <w:rStyle w:val="a8"/>
            <w:color w:val="auto"/>
          </w:rPr>
          <w:t>– ОЛЛ</w:t>
        </w:r>
        <w:r w:rsidR="00025779" w:rsidRPr="0087392F">
          <w:rPr>
            <w:webHidden/>
            <w:color w:val="auto"/>
          </w:rPr>
          <w:tab/>
        </w:r>
        <w:r w:rsidR="00025779" w:rsidRPr="0087392F">
          <w:rPr>
            <w:webHidden/>
            <w:color w:val="auto"/>
          </w:rPr>
          <w:fldChar w:fldCharType="begin"/>
        </w:r>
        <w:r w:rsidR="00025779" w:rsidRPr="0087392F">
          <w:rPr>
            <w:webHidden/>
            <w:color w:val="auto"/>
          </w:rPr>
          <w:instrText xml:space="preserve"> PAGEREF _Toc64565641 \h </w:instrText>
        </w:r>
        <w:r w:rsidR="00025779" w:rsidRPr="0087392F">
          <w:rPr>
            <w:webHidden/>
            <w:color w:val="auto"/>
          </w:rPr>
        </w:r>
        <w:r w:rsidR="00025779" w:rsidRPr="0087392F">
          <w:rPr>
            <w:webHidden/>
            <w:color w:val="auto"/>
          </w:rPr>
          <w:fldChar w:fldCharType="separate"/>
        </w:r>
        <w:r w:rsidR="00984B94">
          <w:rPr>
            <w:webHidden/>
            <w:color w:val="auto"/>
          </w:rPr>
          <w:t>48</w:t>
        </w:r>
        <w:r w:rsidR="00025779" w:rsidRPr="0087392F">
          <w:rPr>
            <w:webHidden/>
            <w:color w:val="auto"/>
          </w:rPr>
          <w:fldChar w:fldCharType="end"/>
        </w:r>
      </w:hyperlink>
    </w:p>
    <w:p w14:paraId="657C76E2" w14:textId="13BF8D3E" w:rsidR="00025779" w:rsidRPr="0087392F" w:rsidRDefault="00B6254F" w:rsidP="00654ED5">
      <w:pPr>
        <w:pStyle w:val="21"/>
        <w:rPr>
          <w:rFonts w:asciiTheme="minorHAnsi" w:eastAsiaTheme="minorEastAsia" w:hAnsiTheme="minorHAnsi" w:cstheme="minorBidi"/>
          <w:color w:val="auto"/>
          <w:szCs w:val="24"/>
        </w:rPr>
      </w:pPr>
      <w:hyperlink w:anchor="_Toc64565642" w:history="1">
        <w:r w:rsidR="00025779" w:rsidRPr="0087392F">
          <w:rPr>
            <w:rStyle w:val="a8"/>
            <w:color w:val="auto"/>
          </w:rPr>
          <w:t xml:space="preserve">3.5. </w:t>
        </w:r>
        <w:r w:rsidR="00025779" w:rsidRPr="0087392F">
          <w:rPr>
            <w:rStyle w:val="a8"/>
            <w:color w:val="auto"/>
            <w:lang w:val="en-US"/>
          </w:rPr>
          <w:t>Ph</w:t>
        </w:r>
        <w:r w:rsidR="00025779" w:rsidRPr="0087392F">
          <w:rPr>
            <w:rStyle w:val="a8"/>
            <w:color w:val="auto"/>
          </w:rPr>
          <w:t>– ОЛЛ у пожилых пациентов</w:t>
        </w:r>
        <w:r w:rsidR="00025779" w:rsidRPr="0087392F">
          <w:rPr>
            <w:webHidden/>
            <w:color w:val="auto"/>
          </w:rPr>
          <w:tab/>
        </w:r>
        <w:r w:rsidR="00025779" w:rsidRPr="0087392F">
          <w:rPr>
            <w:webHidden/>
            <w:color w:val="auto"/>
          </w:rPr>
          <w:fldChar w:fldCharType="begin"/>
        </w:r>
        <w:r w:rsidR="00025779" w:rsidRPr="0087392F">
          <w:rPr>
            <w:webHidden/>
            <w:color w:val="auto"/>
          </w:rPr>
          <w:instrText xml:space="preserve"> PAGEREF _Toc64565642 \h </w:instrText>
        </w:r>
        <w:r w:rsidR="00025779" w:rsidRPr="0087392F">
          <w:rPr>
            <w:webHidden/>
            <w:color w:val="auto"/>
          </w:rPr>
        </w:r>
        <w:r w:rsidR="00025779" w:rsidRPr="0087392F">
          <w:rPr>
            <w:webHidden/>
            <w:color w:val="auto"/>
          </w:rPr>
          <w:fldChar w:fldCharType="separate"/>
        </w:r>
        <w:r w:rsidR="00984B94">
          <w:rPr>
            <w:webHidden/>
            <w:color w:val="auto"/>
          </w:rPr>
          <w:t>56</w:t>
        </w:r>
        <w:r w:rsidR="00025779" w:rsidRPr="0087392F">
          <w:rPr>
            <w:webHidden/>
            <w:color w:val="auto"/>
          </w:rPr>
          <w:fldChar w:fldCharType="end"/>
        </w:r>
      </w:hyperlink>
    </w:p>
    <w:p w14:paraId="72E9AD77" w14:textId="489EEB8E" w:rsidR="00025779" w:rsidRPr="0087392F" w:rsidRDefault="00B6254F" w:rsidP="00654ED5">
      <w:pPr>
        <w:pStyle w:val="21"/>
        <w:rPr>
          <w:rFonts w:asciiTheme="minorHAnsi" w:eastAsiaTheme="minorEastAsia" w:hAnsiTheme="minorHAnsi" w:cstheme="minorBidi"/>
          <w:color w:val="auto"/>
          <w:szCs w:val="24"/>
        </w:rPr>
      </w:pPr>
      <w:hyperlink w:anchor="_Toc64565643" w:history="1">
        <w:r w:rsidR="00025779" w:rsidRPr="0087392F">
          <w:rPr>
            <w:rStyle w:val="a8"/>
            <w:color w:val="auto"/>
          </w:rPr>
          <w:t>3.6. Лечение пациентов с Ph+ ОЛЛ</w:t>
        </w:r>
        <w:r w:rsidR="00025779" w:rsidRPr="0087392F">
          <w:rPr>
            <w:webHidden/>
            <w:color w:val="auto"/>
          </w:rPr>
          <w:tab/>
        </w:r>
        <w:r w:rsidR="00025779" w:rsidRPr="0087392F">
          <w:rPr>
            <w:webHidden/>
            <w:color w:val="auto"/>
          </w:rPr>
          <w:fldChar w:fldCharType="begin"/>
        </w:r>
        <w:r w:rsidR="00025779" w:rsidRPr="0087392F">
          <w:rPr>
            <w:webHidden/>
            <w:color w:val="auto"/>
          </w:rPr>
          <w:instrText xml:space="preserve"> PAGEREF _Toc64565643 \h </w:instrText>
        </w:r>
        <w:r w:rsidR="00025779" w:rsidRPr="0087392F">
          <w:rPr>
            <w:webHidden/>
            <w:color w:val="auto"/>
          </w:rPr>
        </w:r>
        <w:r w:rsidR="00025779" w:rsidRPr="0087392F">
          <w:rPr>
            <w:webHidden/>
            <w:color w:val="auto"/>
          </w:rPr>
          <w:fldChar w:fldCharType="separate"/>
        </w:r>
        <w:r w:rsidR="00984B94">
          <w:rPr>
            <w:webHidden/>
            <w:color w:val="auto"/>
          </w:rPr>
          <w:t>57</w:t>
        </w:r>
        <w:r w:rsidR="00025779" w:rsidRPr="0087392F">
          <w:rPr>
            <w:webHidden/>
            <w:color w:val="auto"/>
          </w:rPr>
          <w:fldChar w:fldCharType="end"/>
        </w:r>
      </w:hyperlink>
    </w:p>
    <w:p w14:paraId="09B0A79E" w14:textId="12CC7486" w:rsidR="00025779" w:rsidRPr="0087392F" w:rsidRDefault="00B6254F" w:rsidP="00654ED5">
      <w:pPr>
        <w:pStyle w:val="21"/>
        <w:rPr>
          <w:rFonts w:asciiTheme="minorHAnsi" w:eastAsiaTheme="minorEastAsia" w:hAnsiTheme="minorHAnsi" w:cstheme="minorBidi"/>
          <w:color w:val="auto"/>
          <w:szCs w:val="24"/>
        </w:rPr>
      </w:pPr>
      <w:hyperlink w:anchor="_Toc64565644" w:history="1">
        <w:r w:rsidR="00025779" w:rsidRPr="0087392F">
          <w:rPr>
            <w:rStyle w:val="a8"/>
            <w:color w:val="auto"/>
          </w:rPr>
          <w:t>3.7. Особые состояния при лечении острого лимфо</w:t>
        </w:r>
        <w:r w:rsidR="0087392F">
          <w:rPr>
            <w:rStyle w:val="a8"/>
            <w:color w:val="auto"/>
          </w:rPr>
          <w:t xml:space="preserve">бластного </w:t>
        </w:r>
        <w:r w:rsidR="00025779" w:rsidRPr="0087392F">
          <w:rPr>
            <w:rStyle w:val="a8"/>
            <w:color w:val="auto"/>
          </w:rPr>
          <w:t>лейкоза</w:t>
        </w:r>
        <w:r w:rsidR="00025779" w:rsidRPr="0087392F">
          <w:rPr>
            <w:webHidden/>
            <w:color w:val="auto"/>
          </w:rPr>
          <w:tab/>
        </w:r>
        <w:r w:rsidR="00025779" w:rsidRPr="0087392F">
          <w:rPr>
            <w:webHidden/>
            <w:color w:val="auto"/>
          </w:rPr>
          <w:fldChar w:fldCharType="begin"/>
        </w:r>
        <w:r w:rsidR="00025779" w:rsidRPr="0087392F">
          <w:rPr>
            <w:webHidden/>
            <w:color w:val="auto"/>
          </w:rPr>
          <w:instrText xml:space="preserve"> PAGEREF _Toc64565644 \h </w:instrText>
        </w:r>
        <w:r w:rsidR="00025779" w:rsidRPr="0087392F">
          <w:rPr>
            <w:webHidden/>
            <w:color w:val="auto"/>
          </w:rPr>
        </w:r>
        <w:r w:rsidR="00025779" w:rsidRPr="0087392F">
          <w:rPr>
            <w:webHidden/>
            <w:color w:val="auto"/>
          </w:rPr>
          <w:fldChar w:fldCharType="separate"/>
        </w:r>
        <w:r w:rsidR="00984B94">
          <w:rPr>
            <w:webHidden/>
            <w:color w:val="auto"/>
          </w:rPr>
          <w:t>60</w:t>
        </w:r>
        <w:r w:rsidR="00025779" w:rsidRPr="0087392F">
          <w:rPr>
            <w:webHidden/>
            <w:color w:val="auto"/>
          </w:rPr>
          <w:fldChar w:fldCharType="end"/>
        </w:r>
      </w:hyperlink>
    </w:p>
    <w:p w14:paraId="591B15C3" w14:textId="3F614CCF" w:rsidR="00025779" w:rsidRPr="0087392F" w:rsidRDefault="00B6254F" w:rsidP="00654ED5">
      <w:pPr>
        <w:pStyle w:val="21"/>
        <w:rPr>
          <w:rFonts w:asciiTheme="minorHAnsi" w:eastAsiaTheme="minorEastAsia" w:hAnsiTheme="minorHAnsi" w:cstheme="minorBidi"/>
          <w:color w:val="auto"/>
          <w:szCs w:val="24"/>
        </w:rPr>
      </w:pPr>
      <w:hyperlink w:anchor="_Toc64565645" w:history="1">
        <w:r w:rsidR="00025779" w:rsidRPr="0087392F">
          <w:rPr>
            <w:rStyle w:val="a8"/>
            <w:color w:val="auto"/>
          </w:rPr>
          <w:t>3.8. Лимфобластные лимфомы</w:t>
        </w:r>
        <w:r w:rsidR="00025779" w:rsidRPr="0087392F">
          <w:rPr>
            <w:webHidden/>
            <w:color w:val="auto"/>
          </w:rPr>
          <w:tab/>
        </w:r>
        <w:r w:rsidR="00025779" w:rsidRPr="0087392F">
          <w:rPr>
            <w:webHidden/>
            <w:color w:val="auto"/>
          </w:rPr>
          <w:fldChar w:fldCharType="begin"/>
        </w:r>
        <w:r w:rsidR="00025779" w:rsidRPr="0087392F">
          <w:rPr>
            <w:webHidden/>
            <w:color w:val="auto"/>
          </w:rPr>
          <w:instrText xml:space="preserve"> PAGEREF _Toc64565645 \h </w:instrText>
        </w:r>
        <w:r w:rsidR="00025779" w:rsidRPr="0087392F">
          <w:rPr>
            <w:webHidden/>
            <w:color w:val="auto"/>
          </w:rPr>
        </w:r>
        <w:r w:rsidR="00025779" w:rsidRPr="0087392F">
          <w:rPr>
            <w:webHidden/>
            <w:color w:val="auto"/>
          </w:rPr>
          <w:fldChar w:fldCharType="separate"/>
        </w:r>
        <w:r w:rsidR="00984B94">
          <w:rPr>
            <w:webHidden/>
            <w:color w:val="auto"/>
          </w:rPr>
          <w:t>65</w:t>
        </w:r>
        <w:r w:rsidR="00025779" w:rsidRPr="0087392F">
          <w:rPr>
            <w:webHidden/>
            <w:color w:val="auto"/>
          </w:rPr>
          <w:fldChar w:fldCharType="end"/>
        </w:r>
      </w:hyperlink>
    </w:p>
    <w:p w14:paraId="7F1ED0F9" w14:textId="25A4D3E2" w:rsidR="00025779" w:rsidRPr="0087392F" w:rsidRDefault="00B6254F" w:rsidP="00654ED5">
      <w:pPr>
        <w:pStyle w:val="21"/>
        <w:rPr>
          <w:rFonts w:asciiTheme="minorHAnsi" w:eastAsiaTheme="minorEastAsia" w:hAnsiTheme="minorHAnsi" w:cstheme="minorBidi"/>
          <w:color w:val="auto"/>
          <w:szCs w:val="24"/>
        </w:rPr>
      </w:pPr>
      <w:hyperlink w:anchor="_Toc64565646" w:history="1">
        <w:r w:rsidR="00025779" w:rsidRPr="0087392F">
          <w:rPr>
            <w:rStyle w:val="a8"/>
            <w:color w:val="auto"/>
          </w:rPr>
          <w:t>3.9. Рецидивы Ph– ОЛЛ</w:t>
        </w:r>
        <w:r w:rsidR="00025779" w:rsidRPr="0087392F">
          <w:rPr>
            <w:webHidden/>
            <w:color w:val="auto"/>
          </w:rPr>
          <w:tab/>
        </w:r>
        <w:r w:rsidR="00025779" w:rsidRPr="0087392F">
          <w:rPr>
            <w:webHidden/>
            <w:color w:val="auto"/>
          </w:rPr>
          <w:fldChar w:fldCharType="begin"/>
        </w:r>
        <w:r w:rsidR="00025779" w:rsidRPr="0087392F">
          <w:rPr>
            <w:webHidden/>
            <w:color w:val="auto"/>
          </w:rPr>
          <w:instrText xml:space="preserve"> PAGEREF _Toc64565646 \h </w:instrText>
        </w:r>
        <w:r w:rsidR="00025779" w:rsidRPr="0087392F">
          <w:rPr>
            <w:webHidden/>
            <w:color w:val="auto"/>
          </w:rPr>
        </w:r>
        <w:r w:rsidR="00025779" w:rsidRPr="0087392F">
          <w:rPr>
            <w:webHidden/>
            <w:color w:val="auto"/>
          </w:rPr>
          <w:fldChar w:fldCharType="separate"/>
        </w:r>
        <w:r w:rsidR="00984B94">
          <w:rPr>
            <w:webHidden/>
            <w:color w:val="auto"/>
          </w:rPr>
          <w:t>67</w:t>
        </w:r>
        <w:r w:rsidR="00025779" w:rsidRPr="0087392F">
          <w:rPr>
            <w:webHidden/>
            <w:color w:val="auto"/>
          </w:rPr>
          <w:fldChar w:fldCharType="end"/>
        </w:r>
      </w:hyperlink>
    </w:p>
    <w:p w14:paraId="5C43D951" w14:textId="662E9F5E" w:rsidR="00025779" w:rsidRPr="0087392F" w:rsidRDefault="00B6254F" w:rsidP="00654ED5">
      <w:pPr>
        <w:pStyle w:val="21"/>
        <w:rPr>
          <w:rFonts w:asciiTheme="minorHAnsi" w:eastAsiaTheme="minorEastAsia" w:hAnsiTheme="minorHAnsi" w:cstheme="minorBidi"/>
          <w:color w:val="auto"/>
          <w:szCs w:val="24"/>
        </w:rPr>
      </w:pPr>
      <w:hyperlink w:anchor="_Toc64565647" w:history="1">
        <w:r w:rsidR="00025779" w:rsidRPr="0087392F">
          <w:rPr>
            <w:rStyle w:val="a8"/>
            <w:color w:val="auto"/>
          </w:rPr>
          <w:t xml:space="preserve">3.10. Трансплантация </w:t>
        </w:r>
        <w:r w:rsidR="00025779" w:rsidRPr="0087392F">
          <w:rPr>
            <w:rStyle w:val="a8"/>
            <w:color w:val="auto"/>
            <w:shd w:val="clear" w:color="auto" w:fill="FFFFFF"/>
          </w:rPr>
          <w:t>гемопоэтических стволовых клеток</w:t>
        </w:r>
        <w:r w:rsidR="00025779" w:rsidRPr="0087392F">
          <w:rPr>
            <w:webHidden/>
            <w:color w:val="auto"/>
          </w:rPr>
          <w:tab/>
        </w:r>
        <w:r w:rsidR="00025779" w:rsidRPr="0087392F">
          <w:rPr>
            <w:webHidden/>
            <w:color w:val="auto"/>
          </w:rPr>
          <w:fldChar w:fldCharType="begin"/>
        </w:r>
        <w:r w:rsidR="00025779" w:rsidRPr="0087392F">
          <w:rPr>
            <w:webHidden/>
            <w:color w:val="auto"/>
          </w:rPr>
          <w:instrText xml:space="preserve"> PAGEREF _Toc64565647 \h </w:instrText>
        </w:r>
        <w:r w:rsidR="00025779" w:rsidRPr="0087392F">
          <w:rPr>
            <w:webHidden/>
            <w:color w:val="auto"/>
          </w:rPr>
        </w:r>
        <w:r w:rsidR="00025779" w:rsidRPr="0087392F">
          <w:rPr>
            <w:webHidden/>
            <w:color w:val="auto"/>
          </w:rPr>
          <w:fldChar w:fldCharType="separate"/>
        </w:r>
        <w:r w:rsidR="00984B94">
          <w:rPr>
            <w:webHidden/>
            <w:color w:val="auto"/>
          </w:rPr>
          <w:t>69</w:t>
        </w:r>
        <w:r w:rsidR="00025779" w:rsidRPr="0087392F">
          <w:rPr>
            <w:webHidden/>
            <w:color w:val="auto"/>
          </w:rPr>
          <w:fldChar w:fldCharType="end"/>
        </w:r>
      </w:hyperlink>
    </w:p>
    <w:p w14:paraId="31F4D1D1" w14:textId="354654C3" w:rsidR="00025779" w:rsidRPr="0087392F" w:rsidRDefault="00B6254F" w:rsidP="00654ED5">
      <w:pPr>
        <w:pStyle w:val="21"/>
        <w:rPr>
          <w:rFonts w:asciiTheme="minorHAnsi" w:eastAsiaTheme="minorEastAsia" w:hAnsiTheme="minorHAnsi" w:cstheme="minorBidi"/>
          <w:color w:val="auto"/>
          <w:szCs w:val="24"/>
        </w:rPr>
      </w:pPr>
      <w:hyperlink w:anchor="_Toc64565648" w:history="1">
        <w:r w:rsidR="00025779" w:rsidRPr="0087392F">
          <w:rPr>
            <w:rStyle w:val="a8"/>
            <w:color w:val="auto"/>
          </w:rPr>
          <w:t>3.11. Сопроводительная терапия</w:t>
        </w:r>
        <w:r w:rsidR="00025779" w:rsidRPr="0087392F">
          <w:rPr>
            <w:webHidden/>
            <w:color w:val="auto"/>
          </w:rPr>
          <w:tab/>
        </w:r>
        <w:r w:rsidR="00025779" w:rsidRPr="0087392F">
          <w:rPr>
            <w:webHidden/>
            <w:color w:val="auto"/>
          </w:rPr>
          <w:fldChar w:fldCharType="begin"/>
        </w:r>
        <w:r w:rsidR="00025779" w:rsidRPr="0087392F">
          <w:rPr>
            <w:webHidden/>
            <w:color w:val="auto"/>
          </w:rPr>
          <w:instrText xml:space="preserve"> PAGEREF _Toc64565648 \h </w:instrText>
        </w:r>
        <w:r w:rsidR="00025779" w:rsidRPr="0087392F">
          <w:rPr>
            <w:webHidden/>
            <w:color w:val="auto"/>
          </w:rPr>
        </w:r>
        <w:r w:rsidR="00025779" w:rsidRPr="0087392F">
          <w:rPr>
            <w:webHidden/>
            <w:color w:val="auto"/>
          </w:rPr>
          <w:fldChar w:fldCharType="separate"/>
        </w:r>
        <w:r w:rsidR="00984B94">
          <w:rPr>
            <w:webHidden/>
            <w:color w:val="auto"/>
          </w:rPr>
          <w:t>71</w:t>
        </w:r>
        <w:r w:rsidR="00025779" w:rsidRPr="0087392F">
          <w:rPr>
            <w:webHidden/>
            <w:color w:val="auto"/>
          </w:rPr>
          <w:fldChar w:fldCharType="end"/>
        </w:r>
      </w:hyperlink>
    </w:p>
    <w:p w14:paraId="18220D27" w14:textId="2D6921E7" w:rsidR="00025779" w:rsidRPr="0087392F" w:rsidRDefault="00B6254F" w:rsidP="009E240E">
      <w:pPr>
        <w:pStyle w:val="17"/>
        <w:rPr>
          <w:rFonts w:asciiTheme="minorHAnsi" w:eastAsiaTheme="minorEastAsia" w:hAnsiTheme="minorHAnsi" w:cstheme="minorBidi"/>
          <w:szCs w:val="24"/>
        </w:rPr>
      </w:pPr>
      <w:hyperlink w:anchor="_Toc64565649" w:history="1">
        <w:r w:rsidR="00025779" w:rsidRPr="0087392F">
          <w:rPr>
            <w:rStyle w:val="a8"/>
            <w:color w:val="auto"/>
          </w:rPr>
          <w:t>4. Медицинская реабилитация и санаторно-курортное лечение, медицинские показания и противопоказания к применению методов медицинской реабилитации, в том числе основанных на использовании природных лечебных факторов</w:t>
        </w:r>
        <w:r w:rsidR="00025779" w:rsidRPr="0087392F">
          <w:rPr>
            <w:webHidden/>
          </w:rPr>
          <w:tab/>
        </w:r>
        <w:r w:rsidR="00025779" w:rsidRPr="0087392F">
          <w:rPr>
            <w:webHidden/>
          </w:rPr>
          <w:fldChar w:fldCharType="begin"/>
        </w:r>
        <w:r w:rsidR="00025779" w:rsidRPr="0087392F">
          <w:rPr>
            <w:webHidden/>
          </w:rPr>
          <w:instrText xml:space="preserve"> PAGEREF _Toc64565649 \h </w:instrText>
        </w:r>
        <w:r w:rsidR="00025779" w:rsidRPr="0087392F">
          <w:rPr>
            <w:webHidden/>
          </w:rPr>
        </w:r>
        <w:r w:rsidR="00025779" w:rsidRPr="0087392F">
          <w:rPr>
            <w:webHidden/>
          </w:rPr>
          <w:fldChar w:fldCharType="separate"/>
        </w:r>
        <w:r w:rsidR="00984B94">
          <w:rPr>
            <w:webHidden/>
          </w:rPr>
          <w:t>75</w:t>
        </w:r>
        <w:r w:rsidR="00025779" w:rsidRPr="0087392F">
          <w:rPr>
            <w:webHidden/>
          </w:rPr>
          <w:fldChar w:fldCharType="end"/>
        </w:r>
      </w:hyperlink>
    </w:p>
    <w:p w14:paraId="6D5F5CEB" w14:textId="147D7E76" w:rsidR="00025779" w:rsidRPr="0087392F" w:rsidRDefault="00B6254F" w:rsidP="009E240E">
      <w:pPr>
        <w:pStyle w:val="17"/>
        <w:rPr>
          <w:rFonts w:asciiTheme="minorHAnsi" w:eastAsiaTheme="minorEastAsia" w:hAnsiTheme="minorHAnsi" w:cstheme="minorBidi"/>
          <w:szCs w:val="24"/>
        </w:rPr>
      </w:pPr>
      <w:hyperlink w:anchor="_Toc64565650" w:history="1">
        <w:r w:rsidR="00025779" w:rsidRPr="0087392F">
          <w:rPr>
            <w:rStyle w:val="a8"/>
            <w:color w:val="auto"/>
          </w:rPr>
          <w:t>5. Профилактика и диспансерное наблюдение, медицинские показания и противопоказания к применению методов профилактики</w:t>
        </w:r>
        <w:r w:rsidR="00025779" w:rsidRPr="0087392F">
          <w:rPr>
            <w:webHidden/>
          </w:rPr>
          <w:tab/>
        </w:r>
        <w:r w:rsidR="00025779" w:rsidRPr="0087392F">
          <w:rPr>
            <w:webHidden/>
          </w:rPr>
          <w:fldChar w:fldCharType="begin"/>
        </w:r>
        <w:r w:rsidR="00025779" w:rsidRPr="0087392F">
          <w:rPr>
            <w:webHidden/>
          </w:rPr>
          <w:instrText xml:space="preserve"> PAGEREF _Toc64565650 \h </w:instrText>
        </w:r>
        <w:r w:rsidR="00025779" w:rsidRPr="0087392F">
          <w:rPr>
            <w:webHidden/>
          </w:rPr>
        </w:r>
        <w:r w:rsidR="00025779" w:rsidRPr="0087392F">
          <w:rPr>
            <w:webHidden/>
          </w:rPr>
          <w:fldChar w:fldCharType="separate"/>
        </w:r>
        <w:r w:rsidR="00984B94">
          <w:rPr>
            <w:webHidden/>
          </w:rPr>
          <w:t>76</w:t>
        </w:r>
        <w:r w:rsidR="00025779" w:rsidRPr="0087392F">
          <w:rPr>
            <w:webHidden/>
          </w:rPr>
          <w:fldChar w:fldCharType="end"/>
        </w:r>
      </w:hyperlink>
    </w:p>
    <w:p w14:paraId="7E7C95B5" w14:textId="088C96AF" w:rsidR="00025779" w:rsidRPr="0087392F" w:rsidRDefault="00B6254F" w:rsidP="009E240E">
      <w:pPr>
        <w:pStyle w:val="17"/>
        <w:rPr>
          <w:rFonts w:asciiTheme="minorHAnsi" w:eastAsiaTheme="minorEastAsia" w:hAnsiTheme="minorHAnsi" w:cstheme="minorBidi"/>
          <w:szCs w:val="24"/>
        </w:rPr>
      </w:pPr>
      <w:hyperlink w:anchor="_Toc64565651" w:history="1">
        <w:r w:rsidR="00025779" w:rsidRPr="0087392F">
          <w:rPr>
            <w:rStyle w:val="a8"/>
            <w:color w:val="auto"/>
          </w:rPr>
          <w:t>6. Организация оказания медицинской помощи</w:t>
        </w:r>
        <w:r w:rsidR="00025779" w:rsidRPr="0087392F">
          <w:rPr>
            <w:webHidden/>
          </w:rPr>
          <w:tab/>
        </w:r>
        <w:r w:rsidR="00025779" w:rsidRPr="0087392F">
          <w:rPr>
            <w:webHidden/>
          </w:rPr>
          <w:fldChar w:fldCharType="begin"/>
        </w:r>
        <w:r w:rsidR="00025779" w:rsidRPr="0087392F">
          <w:rPr>
            <w:webHidden/>
          </w:rPr>
          <w:instrText xml:space="preserve"> PAGEREF _Toc64565651 \h </w:instrText>
        </w:r>
        <w:r w:rsidR="00025779" w:rsidRPr="0087392F">
          <w:rPr>
            <w:webHidden/>
          </w:rPr>
        </w:r>
        <w:r w:rsidR="00025779" w:rsidRPr="0087392F">
          <w:rPr>
            <w:webHidden/>
          </w:rPr>
          <w:fldChar w:fldCharType="separate"/>
        </w:r>
        <w:r w:rsidR="00984B94">
          <w:rPr>
            <w:webHidden/>
          </w:rPr>
          <w:t>77</w:t>
        </w:r>
        <w:r w:rsidR="00025779" w:rsidRPr="0087392F">
          <w:rPr>
            <w:webHidden/>
          </w:rPr>
          <w:fldChar w:fldCharType="end"/>
        </w:r>
      </w:hyperlink>
    </w:p>
    <w:p w14:paraId="0C884827" w14:textId="4B86AC4B" w:rsidR="00025779" w:rsidRPr="0087392F" w:rsidRDefault="00B6254F" w:rsidP="009E240E">
      <w:pPr>
        <w:pStyle w:val="17"/>
        <w:rPr>
          <w:rFonts w:asciiTheme="minorHAnsi" w:eastAsiaTheme="minorEastAsia" w:hAnsiTheme="minorHAnsi" w:cstheme="minorBidi"/>
          <w:szCs w:val="24"/>
        </w:rPr>
      </w:pPr>
      <w:hyperlink w:anchor="_Toc64565652" w:history="1">
        <w:r w:rsidR="00025779" w:rsidRPr="0087392F">
          <w:rPr>
            <w:rStyle w:val="a8"/>
            <w:color w:val="auto"/>
          </w:rPr>
          <w:t>7. Дополнительная информация (в том числе факторы, влияющие на исход заболеванияили состояния)</w:t>
        </w:r>
        <w:r w:rsidR="00025779" w:rsidRPr="0087392F">
          <w:rPr>
            <w:webHidden/>
          </w:rPr>
          <w:tab/>
        </w:r>
        <w:r w:rsidR="00025779" w:rsidRPr="0087392F">
          <w:rPr>
            <w:webHidden/>
          </w:rPr>
          <w:fldChar w:fldCharType="begin"/>
        </w:r>
        <w:r w:rsidR="00025779" w:rsidRPr="0087392F">
          <w:rPr>
            <w:webHidden/>
          </w:rPr>
          <w:instrText xml:space="preserve"> PAGEREF _Toc64565652 \h </w:instrText>
        </w:r>
        <w:r w:rsidR="00025779" w:rsidRPr="0087392F">
          <w:rPr>
            <w:webHidden/>
          </w:rPr>
        </w:r>
        <w:r w:rsidR="00025779" w:rsidRPr="0087392F">
          <w:rPr>
            <w:webHidden/>
          </w:rPr>
          <w:fldChar w:fldCharType="separate"/>
        </w:r>
        <w:r w:rsidR="00984B94">
          <w:rPr>
            <w:webHidden/>
          </w:rPr>
          <w:t>79</w:t>
        </w:r>
        <w:r w:rsidR="00025779" w:rsidRPr="0087392F">
          <w:rPr>
            <w:webHidden/>
          </w:rPr>
          <w:fldChar w:fldCharType="end"/>
        </w:r>
      </w:hyperlink>
    </w:p>
    <w:p w14:paraId="6344BC55" w14:textId="1662830E" w:rsidR="00025779" w:rsidRDefault="00B6254F" w:rsidP="00654ED5">
      <w:pPr>
        <w:pStyle w:val="21"/>
        <w:rPr>
          <w:color w:val="auto"/>
        </w:rPr>
      </w:pPr>
      <w:hyperlink w:anchor="_Toc64565653" w:history="1">
        <w:r w:rsidR="00025779" w:rsidRPr="0087392F">
          <w:rPr>
            <w:rStyle w:val="a8"/>
            <w:color w:val="auto"/>
          </w:rPr>
          <w:t>7.1. Полноценное соблюдение протоколов лечения (режима терапии)</w:t>
        </w:r>
        <w:r w:rsidR="00025779" w:rsidRPr="0087392F">
          <w:rPr>
            <w:webHidden/>
            <w:color w:val="auto"/>
          </w:rPr>
          <w:tab/>
        </w:r>
        <w:r w:rsidR="00025779" w:rsidRPr="0087392F">
          <w:rPr>
            <w:webHidden/>
            <w:color w:val="auto"/>
          </w:rPr>
          <w:fldChar w:fldCharType="begin"/>
        </w:r>
        <w:r w:rsidR="00025779" w:rsidRPr="0087392F">
          <w:rPr>
            <w:webHidden/>
            <w:color w:val="auto"/>
          </w:rPr>
          <w:instrText xml:space="preserve"> PAGEREF _Toc64565653 \h </w:instrText>
        </w:r>
        <w:r w:rsidR="00025779" w:rsidRPr="0087392F">
          <w:rPr>
            <w:webHidden/>
            <w:color w:val="auto"/>
          </w:rPr>
        </w:r>
        <w:r w:rsidR="00025779" w:rsidRPr="0087392F">
          <w:rPr>
            <w:webHidden/>
            <w:color w:val="auto"/>
          </w:rPr>
          <w:fldChar w:fldCharType="separate"/>
        </w:r>
        <w:r w:rsidR="00984B94">
          <w:rPr>
            <w:webHidden/>
            <w:color w:val="auto"/>
          </w:rPr>
          <w:t>79</w:t>
        </w:r>
        <w:r w:rsidR="00025779" w:rsidRPr="0087392F">
          <w:rPr>
            <w:webHidden/>
            <w:color w:val="auto"/>
          </w:rPr>
          <w:fldChar w:fldCharType="end"/>
        </w:r>
      </w:hyperlink>
      <w:r w:rsidR="00AF6F6C">
        <w:rPr>
          <w:color w:val="auto"/>
        </w:rPr>
        <w:t>9</w:t>
      </w:r>
    </w:p>
    <w:p w14:paraId="65E6395A" w14:textId="042EF384" w:rsidR="00D35FE3" w:rsidRDefault="00D35FE3" w:rsidP="00D35FE3">
      <w:pPr>
        <w:ind w:firstLine="238"/>
        <w:rPr>
          <w:rFonts w:eastAsiaTheme="minorEastAsia"/>
          <w:i/>
        </w:rPr>
      </w:pPr>
      <w:r>
        <w:rPr>
          <w:rFonts w:eastAsiaTheme="minorEastAsia"/>
          <w:i/>
        </w:rPr>
        <w:t>7.2.</w:t>
      </w:r>
      <w:r w:rsidRPr="00AA499F">
        <w:rPr>
          <w:rFonts w:eastAsiaTheme="minorEastAsia"/>
          <w:i/>
        </w:rPr>
        <w:t xml:space="preserve"> Профилактика, диагностика и лечение геморрагических осложнений</w:t>
      </w:r>
      <w:r>
        <w:rPr>
          <w:rFonts w:eastAsiaTheme="minorEastAsia"/>
          <w:i/>
        </w:rPr>
        <w:t>…………</w:t>
      </w:r>
      <w:r w:rsidR="002751EC">
        <w:rPr>
          <w:rFonts w:eastAsiaTheme="minorEastAsia"/>
          <w:i/>
        </w:rPr>
        <w:t>……</w:t>
      </w:r>
      <w:r w:rsidR="00AF6F6C">
        <w:rPr>
          <w:rFonts w:eastAsiaTheme="minorEastAsia"/>
          <w:i/>
        </w:rPr>
        <w:t>.80</w:t>
      </w:r>
    </w:p>
    <w:p w14:paraId="5EFA039C" w14:textId="46FCABDB" w:rsidR="00025779" w:rsidRPr="0087392F" w:rsidRDefault="00B6254F" w:rsidP="00654ED5">
      <w:pPr>
        <w:pStyle w:val="21"/>
        <w:rPr>
          <w:rFonts w:asciiTheme="minorHAnsi" w:eastAsiaTheme="minorEastAsia" w:hAnsiTheme="minorHAnsi" w:cstheme="minorBidi"/>
          <w:color w:val="auto"/>
          <w:szCs w:val="24"/>
        </w:rPr>
      </w:pPr>
      <w:hyperlink w:anchor="_Toc64565654" w:history="1">
        <w:r w:rsidR="00D35FE3">
          <w:rPr>
            <w:rStyle w:val="a8"/>
            <w:color w:val="auto"/>
          </w:rPr>
          <w:t>7.3</w:t>
        </w:r>
        <w:r w:rsidR="00025779" w:rsidRPr="0087392F">
          <w:rPr>
            <w:rStyle w:val="a8"/>
            <w:color w:val="auto"/>
          </w:rPr>
          <w:t xml:space="preserve">. </w:t>
        </w:r>
        <w:r w:rsidR="00AF6F6C">
          <w:rPr>
            <w:rStyle w:val="a8"/>
            <w:color w:val="auto"/>
          </w:rPr>
          <w:t>Профилактика и л</w:t>
        </w:r>
        <w:r w:rsidR="00025779" w:rsidRPr="0087392F">
          <w:rPr>
            <w:rStyle w:val="a8"/>
            <w:color w:val="auto"/>
          </w:rPr>
          <w:t>ечение меноррагий</w:t>
        </w:r>
        <w:r w:rsidR="00AF6F6C">
          <w:rPr>
            <w:rStyle w:val="a8"/>
            <w:color w:val="auto"/>
          </w:rPr>
          <w:t xml:space="preserve"> при лейкозе ……………………………………….85</w:t>
        </w:r>
      </w:hyperlink>
    </w:p>
    <w:p w14:paraId="386965BE" w14:textId="6F2E3130" w:rsidR="00025779" w:rsidRDefault="00B6254F" w:rsidP="00654ED5">
      <w:pPr>
        <w:pStyle w:val="21"/>
        <w:rPr>
          <w:color w:val="auto"/>
        </w:rPr>
      </w:pPr>
      <w:hyperlink w:anchor="_Toc64565655" w:history="1">
        <w:r w:rsidR="00D35FE3">
          <w:rPr>
            <w:rStyle w:val="a8"/>
            <w:color w:val="auto"/>
          </w:rPr>
          <w:t>7.4</w:t>
        </w:r>
        <w:r w:rsidR="00025779" w:rsidRPr="0087392F">
          <w:rPr>
            <w:rStyle w:val="a8"/>
            <w:color w:val="auto"/>
          </w:rPr>
          <w:t xml:space="preserve">. </w:t>
        </w:r>
        <w:r w:rsidR="0054219F">
          <w:rPr>
            <w:rStyle w:val="a8"/>
            <w:color w:val="auto"/>
          </w:rPr>
          <w:t>Диагностика и лечение в</w:t>
        </w:r>
        <w:r w:rsidR="00025779" w:rsidRPr="0087392F">
          <w:rPr>
            <w:rStyle w:val="a8"/>
            <w:color w:val="auto"/>
          </w:rPr>
          <w:t>нутричерепны</w:t>
        </w:r>
        <w:r w:rsidR="0054219F">
          <w:rPr>
            <w:rStyle w:val="a8"/>
            <w:color w:val="auto"/>
          </w:rPr>
          <w:t>х</w:t>
        </w:r>
        <w:r w:rsidR="00025779" w:rsidRPr="0087392F">
          <w:rPr>
            <w:rStyle w:val="a8"/>
            <w:color w:val="auto"/>
          </w:rPr>
          <w:t xml:space="preserve"> кровоизлияни</w:t>
        </w:r>
        <w:r w:rsidR="0054219F">
          <w:rPr>
            <w:rStyle w:val="a8"/>
            <w:color w:val="auto"/>
          </w:rPr>
          <w:t xml:space="preserve">й при лейкозе………………... </w:t>
        </w:r>
      </w:hyperlink>
      <w:r w:rsidR="00AF6F6C">
        <w:rPr>
          <w:color w:val="auto"/>
        </w:rPr>
        <w:t>90</w:t>
      </w:r>
    </w:p>
    <w:p w14:paraId="52569B10" w14:textId="103C67D3" w:rsidR="00420B8A" w:rsidRDefault="00420B8A" w:rsidP="00420B8A">
      <w:pPr>
        <w:ind w:firstLine="238"/>
        <w:rPr>
          <w:rFonts w:eastAsiaTheme="minorEastAsia"/>
          <w:i/>
        </w:rPr>
      </w:pPr>
      <w:r>
        <w:rPr>
          <w:rFonts w:eastAsiaTheme="minorEastAsia"/>
          <w:i/>
        </w:rPr>
        <w:t xml:space="preserve">7.5. </w:t>
      </w:r>
      <w:r w:rsidRPr="00AA499F">
        <w:rPr>
          <w:rFonts w:eastAsiaTheme="minorEastAsia"/>
          <w:i/>
        </w:rPr>
        <w:t>Профилактика, диагностика и лечение тромботических осложнений</w:t>
      </w:r>
      <w:r>
        <w:rPr>
          <w:rFonts w:eastAsiaTheme="minorEastAsia"/>
          <w:i/>
        </w:rPr>
        <w:t>………………96</w:t>
      </w:r>
    </w:p>
    <w:p w14:paraId="3E70FD58" w14:textId="2D043EBF" w:rsidR="00025779" w:rsidRPr="0087392F" w:rsidRDefault="00B6254F" w:rsidP="00654ED5">
      <w:pPr>
        <w:pStyle w:val="21"/>
        <w:rPr>
          <w:rFonts w:asciiTheme="minorHAnsi" w:eastAsiaTheme="minorEastAsia" w:hAnsiTheme="minorHAnsi" w:cstheme="minorBidi"/>
          <w:color w:val="auto"/>
          <w:szCs w:val="24"/>
        </w:rPr>
      </w:pPr>
      <w:hyperlink w:anchor="_Toc64565656" w:history="1">
        <w:r w:rsidR="00025779" w:rsidRPr="0087392F">
          <w:rPr>
            <w:rStyle w:val="a8"/>
            <w:color w:val="auto"/>
          </w:rPr>
          <w:t>7.</w:t>
        </w:r>
        <w:r w:rsidR="00420B8A">
          <w:rPr>
            <w:rStyle w:val="a8"/>
            <w:color w:val="auto"/>
          </w:rPr>
          <w:t>6</w:t>
        </w:r>
        <w:r w:rsidR="00025779" w:rsidRPr="0087392F">
          <w:rPr>
            <w:rStyle w:val="a8"/>
            <w:color w:val="auto"/>
          </w:rPr>
          <w:t>. Диагностика и лечение неврологических проявлений</w:t>
        </w:r>
        <w:r w:rsidR="00025779" w:rsidRPr="0087392F">
          <w:rPr>
            <w:webHidden/>
            <w:color w:val="auto"/>
          </w:rPr>
          <w:tab/>
        </w:r>
      </w:hyperlink>
      <w:r w:rsidR="00482824">
        <w:rPr>
          <w:color w:val="auto"/>
        </w:rPr>
        <w:t>110</w:t>
      </w:r>
    </w:p>
    <w:p w14:paraId="0FB3F236" w14:textId="674C3A1C" w:rsidR="00025779" w:rsidRPr="0087392F" w:rsidRDefault="00B6254F" w:rsidP="00654ED5">
      <w:pPr>
        <w:pStyle w:val="21"/>
        <w:rPr>
          <w:rFonts w:asciiTheme="minorHAnsi" w:eastAsiaTheme="minorEastAsia" w:hAnsiTheme="minorHAnsi" w:cstheme="minorBidi"/>
          <w:color w:val="auto"/>
          <w:szCs w:val="24"/>
        </w:rPr>
      </w:pPr>
      <w:hyperlink w:anchor="_Toc64565657" w:history="1">
        <w:r w:rsidR="00025779" w:rsidRPr="0087392F">
          <w:rPr>
            <w:rStyle w:val="a8"/>
            <w:color w:val="auto"/>
          </w:rPr>
          <w:t>7.</w:t>
        </w:r>
        <w:r w:rsidR="00420B8A">
          <w:rPr>
            <w:rStyle w:val="a8"/>
            <w:color w:val="auto"/>
          </w:rPr>
          <w:t>7</w:t>
        </w:r>
        <w:r w:rsidR="00025779" w:rsidRPr="0087392F">
          <w:rPr>
            <w:rStyle w:val="a8"/>
            <w:color w:val="auto"/>
          </w:rPr>
          <w:t>. Профилактика язвенной болезни желудка и 12-перстной кишки на фоне терапии глюкокортикостероидами</w:t>
        </w:r>
        <w:r w:rsidR="00025779" w:rsidRPr="0087392F">
          <w:rPr>
            <w:webHidden/>
            <w:color w:val="auto"/>
          </w:rPr>
          <w:tab/>
        </w:r>
        <w:r w:rsidR="00025779" w:rsidRPr="0087392F">
          <w:rPr>
            <w:webHidden/>
            <w:color w:val="auto"/>
          </w:rPr>
          <w:fldChar w:fldCharType="begin"/>
        </w:r>
        <w:r w:rsidR="00025779" w:rsidRPr="0087392F">
          <w:rPr>
            <w:webHidden/>
            <w:color w:val="auto"/>
          </w:rPr>
          <w:instrText xml:space="preserve"> PAGEREF _Toc64565657 \h </w:instrText>
        </w:r>
        <w:r w:rsidR="00025779" w:rsidRPr="0087392F">
          <w:rPr>
            <w:webHidden/>
            <w:color w:val="auto"/>
          </w:rPr>
        </w:r>
        <w:r w:rsidR="00025779" w:rsidRPr="0087392F">
          <w:rPr>
            <w:webHidden/>
            <w:color w:val="auto"/>
          </w:rPr>
          <w:fldChar w:fldCharType="separate"/>
        </w:r>
        <w:r w:rsidR="00984B94">
          <w:rPr>
            <w:webHidden/>
            <w:color w:val="auto"/>
          </w:rPr>
          <w:t>124</w:t>
        </w:r>
        <w:r w:rsidR="00025779" w:rsidRPr="0087392F">
          <w:rPr>
            <w:webHidden/>
            <w:color w:val="auto"/>
          </w:rPr>
          <w:fldChar w:fldCharType="end"/>
        </w:r>
      </w:hyperlink>
    </w:p>
    <w:p w14:paraId="055FC1E9" w14:textId="725E27F9" w:rsidR="00025779" w:rsidRPr="0087392F" w:rsidRDefault="00B6254F" w:rsidP="00654ED5">
      <w:pPr>
        <w:pStyle w:val="21"/>
        <w:rPr>
          <w:rFonts w:asciiTheme="minorHAnsi" w:eastAsiaTheme="minorEastAsia" w:hAnsiTheme="minorHAnsi" w:cstheme="minorBidi"/>
          <w:color w:val="auto"/>
          <w:szCs w:val="24"/>
        </w:rPr>
      </w:pPr>
      <w:hyperlink w:anchor="_Toc64565658" w:history="1">
        <w:r w:rsidR="00025779" w:rsidRPr="0087392F">
          <w:rPr>
            <w:rStyle w:val="a8"/>
            <w:color w:val="auto"/>
          </w:rPr>
          <w:t>7.</w:t>
        </w:r>
        <w:r w:rsidR="00420B8A">
          <w:rPr>
            <w:rStyle w:val="a8"/>
            <w:color w:val="auto"/>
          </w:rPr>
          <w:t>8</w:t>
        </w:r>
        <w:r w:rsidR="00025779" w:rsidRPr="0087392F">
          <w:rPr>
            <w:rStyle w:val="a8"/>
            <w:color w:val="auto"/>
          </w:rPr>
          <w:t>. Профилактика, диагностика и лечение асептических остеонекрозов</w:t>
        </w:r>
        <w:r w:rsidR="00025779" w:rsidRPr="0087392F">
          <w:rPr>
            <w:webHidden/>
            <w:color w:val="auto"/>
          </w:rPr>
          <w:tab/>
        </w:r>
        <w:r w:rsidR="00025779" w:rsidRPr="0087392F">
          <w:rPr>
            <w:webHidden/>
            <w:color w:val="auto"/>
          </w:rPr>
          <w:fldChar w:fldCharType="begin"/>
        </w:r>
        <w:r w:rsidR="00025779" w:rsidRPr="0087392F">
          <w:rPr>
            <w:webHidden/>
            <w:color w:val="auto"/>
          </w:rPr>
          <w:instrText xml:space="preserve"> PAGEREF _Toc64565658 \h </w:instrText>
        </w:r>
        <w:r w:rsidR="00025779" w:rsidRPr="0087392F">
          <w:rPr>
            <w:webHidden/>
            <w:color w:val="auto"/>
          </w:rPr>
        </w:r>
        <w:r w:rsidR="00025779" w:rsidRPr="0087392F">
          <w:rPr>
            <w:webHidden/>
            <w:color w:val="auto"/>
          </w:rPr>
          <w:fldChar w:fldCharType="separate"/>
        </w:r>
        <w:r w:rsidR="00984B94">
          <w:rPr>
            <w:webHidden/>
            <w:color w:val="auto"/>
          </w:rPr>
          <w:t>127</w:t>
        </w:r>
        <w:r w:rsidR="00025779" w:rsidRPr="0087392F">
          <w:rPr>
            <w:webHidden/>
            <w:color w:val="auto"/>
          </w:rPr>
          <w:fldChar w:fldCharType="end"/>
        </w:r>
      </w:hyperlink>
    </w:p>
    <w:p w14:paraId="459EB547" w14:textId="21307990" w:rsidR="00025779" w:rsidRPr="0087392F" w:rsidRDefault="00B6254F" w:rsidP="00654ED5">
      <w:pPr>
        <w:pStyle w:val="21"/>
        <w:rPr>
          <w:rFonts w:asciiTheme="minorHAnsi" w:eastAsiaTheme="minorEastAsia" w:hAnsiTheme="minorHAnsi" w:cstheme="minorBidi"/>
          <w:color w:val="auto"/>
          <w:szCs w:val="24"/>
        </w:rPr>
      </w:pPr>
      <w:hyperlink w:anchor="_Toc64565659" w:history="1">
        <w:r w:rsidR="00420B8A">
          <w:rPr>
            <w:rStyle w:val="a8"/>
            <w:color w:val="auto"/>
          </w:rPr>
          <w:t>7.9</w:t>
        </w:r>
        <w:r w:rsidR="00025779" w:rsidRPr="0087392F">
          <w:rPr>
            <w:rStyle w:val="a8"/>
            <w:color w:val="auto"/>
          </w:rPr>
          <w:t>. Диагностика и лечение бактериальных инфекционных осложнений</w:t>
        </w:r>
        <w:r w:rsidR="00025779" w:rsidRPr="0087392F">
          <w:rPr>
            <w:webHidden/>
            <w:color w:val="auto"/>
          </w:rPr>
          <w:tab/>
        </w:r>
        <w:r w:rsidR="00025779" w:rsidRPr="0087392F">
          <w:rPr>
            <w:webHidden/>
            <w:color w:val="auto"/>
          </w:rPr>
          <w:fldChar w:fldCharType="begin"/>
        </w:r>
        <w:r w:rsidR="00025779" w:rsidRPr="0087392F">
          <w:rPr>
            <w:webHidden/>
            <w:color w:val="auto"/>
          </w:rPr>
          <w:instrText xml:space="preserve"> PAGEREF _Toc64565659 \h </w:instrText>
        </w:r>
        <w:r w:rsidR="00025779" w:rsidRPr="0087392F">
          <w:rPr>
            <w:webHidden/>
            <w:color w:val="auto"/>
          </w:rPr>
        </w:r>
        <w:r w:rsidR="00025779" w:rsidRPr="0087392F">
          <w:rPr>
            <w:webHidden/>
            <w:color w:val="auto"/>
          </w:rPr>
          <w:fldChar w:fldCharType="separate"/>
        </w:r>
        <w:r w:rsidR="00984B94">
          <w:rPr>
            <w:webHidden/>
            <w:color w:val="auto"/>
          </w:rPr>
          <w:t>130</w:t>
        </w:r>
        <w:r w:rsidR="00025779" w:rsidRPr="0087392F">
          <w:rPr>
            <w:webHidden/>
            <w:color w:val="auto"/>
          </w:rPr>
          <w:fldChar w:fldCharType="end"/>
        </w:r>
      </w:hyperlink>
    </w:p>
    <w:p w14:paraId="749D3005" w14:textId="5BB457C3" w:rsidR="00025779" w:rsidRPr="0087392F" w:rsidRDefault="00B6254F" w:rsidP="00654ED5">
      <w:pPr>
        <w:pStyle w:val="21"/>
        <w:rPr>
          <w:rFonts w:asciiTheme="minorHAnsi" w:eastAsiaTheme="minorEastAsia" w:hAnsiTheme="minorHAnsi" w:cstheme="minorBidi"/>
          <w:color w:val="auto"/>
          <w:szCs w:val="24"/>
        </w:rPr>
      </w:pPr>
      <w:hyperlink w:anchor="_Toc64565660" w:history="1">
        <w:r w:rsidR="00420B8A">
          <w:rPr>
            <w:rStyle w:val="a8"/>
            <w:color w:val="auto"/>
          </w:rPr>
          <w:t>7.10</w:t>
        </w:r>
        <w:r w:rsidR="00025779" w:rsidRPr="0087392F">
          <w:rPr>
            <w:rStyle w:val="a8"/>
            <w:color w:val="auto"/>
          </w:rPr>
          <w:t>. Диагностика и лечение инфекций, вызванных грибами</w:t>
        </w:r>
        <w:r w:rsidR="00025779" w:rsidRPr="0087392F">
          <w:rPr>
            <w:webHidden/>
            <w:color w:val="auto"/>
          </w:rPr>
          <w:tab/>
        </w:r>
        <w:r w:rsidR="00025779" w:rsidRPr="0087392F">
          <w:rPr>
            <w:webHidden/>
            <w:color w:val="auto"/>
          </w:rPr>
          <w:fldChar w:fldCharType="begin"/>
        </w:r>
        <w:r w:rsidR="00025779" w:rsidRPr="0087392F">
          <w:rPr>
            <w:webHidden/>
            <w:color w:val="auto"/>
          </w:rPr>
          <w:instrText xml:space="preserve"> PAGEREF _Toc64565660 \h </w:instrText>
        </w:r>
        <w:r w:rsidR="00025779" w:rsidRPr="0087392F">
          <w:rPr>
            <w:webHidden/>
            <w:color w:val="auto"/>
          </w:rPr>
        </w:r>
        <w:r w:rsidR="00025779" w:rsidRPr="0087392F">
          <w:rPr>
            <w:webHidden/>
            <w:color w:val="auto"/>
          </w:rPr>
          <w:fldChar w:fldCharType="separate"/>
        </w:r>
        <w:r w:rsidR="00984B94">
          <w:rPr>
            <w:webHidden/>
            <w:color w:val="auto"/>
          </w:rPr>
          <w:t>151</w:t>
        </w:r>
        <w:r w:rsidR="00025779" w:rsidRPr="0087392F">
          <w:rPr>
            <w:webHidden/>
            <w:color w:val="auto"/>
          </w:rPr>
          <w:fldChar w:fldCharType="end"/>
        </w:r>
      </w:hyperlink>
    </w:p>
    <w:p w14:paraId="4D4817BE" w14:textId="0AF6AA56" w:rsidR="00025779" w:rsidRPr="0087392F" w:rsidRDefault="00B6254F" w:rsidP="00654ED5">
      <w:pPr>
        <w:pStyle w:val="21"/>
        <w:rPr>
          <w:rFonts w:asciiTheme="minorHAnsi" w:eastAsiaTheme="minorEastAsia" w:hAnsiTheme="minorHAnsi" w:cstheme="minorBidi"/>
          <w:color w:val="auto"/>
          <w:szCs w:val="24"/>
        </w:rPr>
      </w:pPr>
      <w:hyperlink w:anchor="_Toc64565661" w:history="1">
        <w:r w:rsidR="00025779" w:rsidRPr="0087392F">
          <w:rPr>
            <w:rStyle w:val="a8"/>
            <w:color w:val="auto"/>
          </w:rPr>
          <w:t>7.</w:t>
        </w:r>
        <w:r w:rsidR="00420B8A">
          <w:rPr>
            <w:rStyle w:val="a8"/>
            <w:color w:val="auto"/>
          </w:rPr>
          <w:t>11</w:t>
        </w:r>
        <w:r w:rsidR="00025779" w:rsidRPr="0087392F">
          <w:rPr>
            <w:rStyle w:val="a8"/>
            <w:color w:val="auto"/>
          </w:rPr>
          <w:t xml:space="preserve">. </w:t>
        </w:r>
        <w:r w:rsidR="00AA499F" w:rsidRPr="00AA499F">
          <w:rPr>
            <w:rStyle w:val="a8"/>
            <w:color w:val="auto"/>
          </w:rPr>
          <w:t xml:space="preserve">Диагностика и лечение </w:t>
        </w:r>
        <w:r w:rsidR="00AA499F">
          <w:rPr>
            <w:rStyle w:val="a8"/>
            <w:color w:val="auto"/>
          </w:rPr>
          <w:t>в</w:t>
        </w:r>
        <w:r w:rsidR="00025779" w:rsidRPr="0087392F">
          <w:rPr>
            <w:rStyle w:val="a8"/>
            <w:color w:val="auto"/>
          </w:rPr>
          <w:t>ирусны</w:t>
        </w:r>
        <w:r w:rsidR="00AA499F">
          <w:rPr>
            <w:rStyle w:val="a8"/>
            <w:color w:val="auto"/>
          </w:rPr>
          <w:t>х инфекцонных осложнений</w:t>
        </w:r>
        <w:r w:rsidR="00025779" w:rsidRPr="0087392F">
          <w:rPr>
            <w:webHidden/>
            <w:color w:val="auto"/>
          </w:rPr>
          <w:tab/>
        </w:r>
        <w:r w:rsidR="00025779" w:rsidRPr="0087392F">
          <w:rPr>
            <w:webHidden/>
            <w:color w:val="auto"/>
          </w:rPr>
          <w:fldChar w:fldCharType="begin"/>
        </w:r>
        <w:r w:rsidR="00025779" w:rsidRPr="0087392F">
          <w:rPr>
            <w:webHidden/>
            <w:color w:val="auto"/>
          </w:rPr>
          <w:instrText xml:space="preserve"> PAGEREF _Toc64565661 \h </w:instrText>
        </w:r>
        <w:r w:rsidR="00025779" w:rsidRPr="0087392F">
          <w:rPr>
            <w:webHidden/>
            <w:color w:val="auto"/>
          </w:rPr>
        </w:r>
        <w:r w:rsidR="00025779" w:rsidRPr="0087392F">
          <w:rPr>
            <w:webHidden/>
            <w:color w:val="auto"/>
          </w:rPr>
          <w:fldChar w:fldCharType="separate"/>
        </w:r>
        <w:r w:rsidR="00984B94">
          <w:rPr>
            <w:webHidden/>
            <w:color w:val="auto"/>
          </w:rPr>
          <w:t>178</w:t>
        </w:r>
        <w:r w:rsidR="00025779" w:rsidRPr="0087392F">
          <w:rPr>
            <w:webHidden/>
            <w:color w:val="auto"/>
          </w:rPr>
          <w:fldChar w:fldCharType="end"/>
        </w:r>
      </w:hyperlink>
    </w:p>
    <w:p w14:paraId="61C3AB77" w14:textId="33F14F94" w:rsidR="00025779" w:rsidRDefault="00B6254F" w:rsidP="00654ED5">
      <w:pPr>
        <w:pStyle w:val="21"/>
        <w:rPr>
          <w:color w:val="auto"/>
        </w:rPr>
      </w:pPr>
      <w:hyperlink w:anchor="_Toc64565662" w:history="1">
        <w:r w:rsidR="00025779" w:rsidRPr="0087392F">
          <w:rPr>
            <w:rStyle w:val="a8"/>
            <w:color w:val="auto"/>
          </w:rPr>
          <w:t>7.1</w:t>
        </w:r>
        <w:r w:rsidR="00420B8A">
          <w:rPr>
            <w:rStyle w:val="a8"/>
            <w:color w:val="auto"/>
          </w:rPr>
          <w:t>2</w:t>
        </w:r>
        <w:r w:rsidR="00025779" w:rsidRPr="0087392F">
          <w:rPr>
            <w:rStyle w:val="a8"/>
            <w:color w:val="auto"/>
          </w:rPr>
          <w:t>. Профилактика инфекционных осложнений</w:t>
        </w:r>
        <w:r w:rsidR="00025779" w:rsidRPr="0087392F">
          <w:rPr>
            <w:webHidden/>
            <w:color w:val="auto"/>
          </w:rPr>
          <w:tab/>
        </w:r>
        <w:r w:rsidR="00025779" w:rsidRPr="0087392F">
          <w:rPr>
            <w:webHidden/>
            <w:color w:val="auto"/>
          </w:rPr>
          <w:fldChar w:fldCharType="begin"/>
        </w:r>
        <w:r w:rsidR="00025779" w:rsidRPr="0087392F">
          <w:rPr>
            <w:webHidden/>
            <w:color w:val="auto"/>
          </w:rPr>
          <w:instrText xml:space="preserve"> PAGEREF _Toc64565662 \h </w:instrText>
        </w:r>
        <w:r w:rsidR="00025779" w:rsidRPr="0087392F">
          <w:rPr>
            <w:webHidden/>
            <w:color w:val="auto"/>
          </w:rPr>
        </w:r>
        <w:r w:rsidR="00025779" w:rsidRPr="0087392F">
          <w:rPr>
            <w:webHidden/>
            <w:color w:val="auto"/>
          </w:rPr>
          <w:fldChar w:fldCharType="separate"/>
        </w:r>
        <w:r w:rsidR="00984B94">
          <w:rPr>
            <w:webHidden/>
            <w:color w:val="auto"/>
          </w:rPr>
          <w:t>181</w:t>
        </w:r>
        <w:r w:rsidR="00025779" w:rsidRPr="0087392F">
          <w:rPr>
            <w:webHidden/>
            <w:color w:val="auto"/>
          </w:rPr>
          <w:fldChar w:fldCharType="end"/>
        </w:r>
      </w:hyperlink>
    </w:p>
    <w:p w14:paraId="4179684D" w14:textId="0584479C" w:rsidR="0054219F" w:rsidRDefault="0054219F" w:rsidP="00AA499F">
      <w:pPr>
        <w:ind w:firstLine="238"/>
        <w:rPr>
          <w:rFonts w:eastAsiaTheme="minorEastAsia"/>
          <w:i/>
        </w:rPr>
      </w:pPr>
      <w:r w:rsidRPr="0054219F">
        <w:rPr>
          <w:rFonts w:eastAsiaTheme="minorEastAsia"/>
          <w:i/>
        </w:rPr>
        <w:t>7.</w:t>
      </w:r>
      <w:r>
        <w:rPr>
          <w:rFonts w:eastAsiaTheme="minorEastAsia"/>
          <w:i/>
        </w:rPr>
        <w:t>13</w:t>
      </w:r>
      <w:r w:rsidRPr="0054219F">
        <w:rPr>
          <w:rFonts w:eastAsiaTheme="minorEastAsia"/>
          <w:i/>
        </w:rPr>
        <w:t xml:space="preserve"> Диагностика гемотрансмиссивных инфекций</w:t>
      </w:r>
      <w:r>
        <w:rPr>
          <w:rFonts w:eastAsiaTheme="minorEastAsia"/>
          <w:i/>
        </w:rPr>
        <w:t>……………………………………………</w:t>
      </w:r>
      <w:r w:rsidR="00482824">
        <w:rPr>
          <w:rFonts w:eastAsiaTheme="minorEastAsia"/>
          <w:i/>
        </w:rPr>
        <w:t>187</w:t>
      </w:r>
    </w:p>
    <w:p w14:paraId="4714B65B" w14:textId="42BCD374" w:rsidR="00AA499F" w:rsidRPr="00AA499F" w:rsidRDefault="0054219F" w:rsidP="00AA499F">
      <w:pPr>
        <w:ind w:firstLine="238"/>
        <w:rPr>
          <w:rFonts w:eastAsiaTheme="minorEastAsia"/>
          <w:i/>
        </w:rPr>
      </w:pPr>
      <w:r w:rsidRPr="0054219F">
        <w:rPr>
          <w:rFonts w:eastAsiaTheme="minorEastAsia"/>
          <w:i/>
        </w:rPr>
        <w:t>7.</w:t>
      </w:r>
      <w:r>
        <w:rPr>
          <w:rFonts w:eastAsiaTheme="minorEastAsia"/>
          <w:i/>
        </w:rPr>
        <w:t>14</w:t>
      </w:r>
      <w:r w:rsidRPr="0054219F">
        <w:rPr>
          <w:rFonts w:eastAsiaTheme="minorEastAsia"/>
          <w:i/>
        </w:rPr>
        <w:t xml:space="preserve"> Диагностика и лечение болевого синдрома</w:t>
      </w:r>
      <w:r>
        <w:rPr>
          <w:rFonts w:eastAsiaTheme="minorEastAsia"/>
          <w:i/>
        </w:rPr>
        <w:t>………………………………………………..</w:t>
      </w:r>
      <w:r w:rsidR="00482824">
        <w:rPr>
          <w:rFonts w:eastAsiaTheme="minorEastAsia"/>
          <w:i/>
        </w:rPr>
        <w:t>190</w:t>
      </w:r>
    </w:p>
    <w:p w14:paraId="2A95CD19" w14:textId="0C25FAB5" w:rsidR="00025779" w:rsidRPr="0087392F" w:rsidRDefault="00B6254F" w:rsidP="009E240E">
      <w:pPr>
        <w:pStyle w:val="17"/>
        <w:rPr>
          <w:rFonts w:asciiTheme="minorHAnsi" w:eastAsiaTheme="minorEastAsia" w:hAnsiTheme="minorHAnsi" w:cstheme="minorBidi"/>
          <w:szCs w:val="24"/>
        </w:rPr>
      </w:pPr>
      <w:hyperlink w:anchor="_Toc64565663" w:history="1">
        <w:r w:rsidR="00025779" w:rsidRPr="0087392F">
          <w:rPr>
            <w:rStyle w:val="a8"/>
            <w:color w:val="auto"/>
          </w:rPr>
          <w:t>Критерии оценки качества медицинской помощи</w:t>
        </w:r>
        <w:r w:rsidR="00025779" w:rsidRPr="0087392F">
          <w:rPr>
            <w:webHidden/>
          </w:rPr>
          <w:tab/>
        </w:r>
        <w:r w:rsidR="00025779" w:rsidRPr="0087392F">
          <w:rPr>
            <w:webHidden/>
          </w:rPr>
          <w:fldChar w:fldCharType="begin"/>
        </w:r>
        <w:r w:rsidR="00025779" w:rsidRPr="0087392F">
          <w:rPr>
            <w:webHidden/>
          </w:rPr>
          <w:instrText xml:space="preserve"> PAGEREF _Toc64565663 \h </w:instrText>
        </w:r>
        <w:r w:rsidR="00025779" w:rsidRPr="0087392F">
          <w:rPr>
            <w:webHidden/>
          </w:rPr>
        </w:r>
        <w:r w:rsidR="00025779" w:rsidRPr="0087392F">
          <w:rPr>
            <w:webHidden/>
          </w:rPr>
          <w:fldChar w:fldCharType="separate"/>
        </w:r>
        <w:r w:rsidR="00984B94">
          <w:rPr>
            <w:webHidden/>
          </w:rPr>
          <w:t>199</w:t>
        </w:r>
        <w:r w:rsidR="00025779" w:rsidRPr="0087392F">
          <w:rPr>
            <w:webHidden/>
          </w:rPr>
          <w:fldChar w:fldCharType="end"/>
        </w:r>
      </w:hyperlink>
    </w:p>
    <w:p w14:paraId="4FE9FBE4" w14:textId="7A827A14" w:rsidR="00025779" w:rsidRPr="0087392F" w:rsidRDefault="00B6254F" w:rsidP="009E240E">
      <w:pPr>
        <w:pStyle w:val="17"/>
        <w:rPr>
          <w:rFonts w:asciiTheme="minorHAnsi" w:eastAsiaTheme="minorEastAsia" w:hAnsiTheme="minorHAnsi" w:cstheme="minorBidi"/>
          <w:szCs w:val="24"/>
        </w:rPr>
      </w:pPr>
      <w:hyperlink w:anchor="_Toc64565664" w:history="1">
        <w:r w:rsidR="00025779" w:rsidRPr="0087392F">
          <w:rPr>
            <w:rStyle w:val="a8"/>
            <w:color w:val="auto"/>
          </w:rPr>
          <w:t>Список литературы</w:t>
        </w:r>
        <w:r w:rsidR="00025779" w:rsidRPr="0087392F">
          <w:rPr>
            <w:webHidden/>
          </w:rPr>
          <w:tab/>
        </w:r>
      </w:hyperlink>
      <w:r w:rsidR="00482824">
        <w:t>201</w:t>
      </w:r>
    </w:p>
    <w:p w14:paraId="5E71426D" w14:textId="74458AAF" w:rsidR="00025779" w:rsidRPr="0042373D" w:rsidRDefault="00B6254F" w:rsidP="009E240E">
      <w:pPr>
        <w:pStyle w:val="17"/>
        <w:rPr>
          <w:rFonts w:asciiTheme="minorHAnsi" w:eastAsiaTheme="minorEastAsia" w:hAnsiTheme="minorHAnsi" w:cstheme="minorBidi"/>
          <w:szCs w:val="24"/>
        </w:rPr>
      </w:pPr>
      <w:hyperlink w:anchor="_Toc64565665" w:history="1">
        <w:r w:rsidR="00025779" w:rsidRPr="0087392F">
          <w:rPr>
            <w:rStyle w:val="a8"/>
            <w:color w:val="auto"/>
          </w:rPr>
          <w:t>Приложение А1. Состав рабочей группы по разработке и пересмотру клинических рекомендаций</w:t>
        </w:r>
        <w:r w:rsidR="00025779" w:rsidRPr="0087392F">
          <w:rPr>
            <w:webHidden/>
          </w:rPr>
          <w:tab/>
        </w:r>
      </w:hyperlink>
      <w:r w:rsidR="00482824">
        <w:t>220</w:t>
      </w:r>
    </w:p>
    <w:p w14:paraId="3A0E3F51" w14:textId="4FD184CE" w:rsidR="00025779" w:rsidRPr="0042373D" w:rsidRDefault="00B6254F" w:rsidP="009E240E">
      <w:pPr>
        <w:pStyle w:val="17"/>
        <w:rPr>
          <w:rFonts w:asciiTheme="minorHAnsi" w:eastAsiaTheme="minorEastAsia" w:hAnsiTheme="minorHAnsi" w:cstheme="minorBidi"/>
          <w:szCs w:val="24"/>
        </w:rPr>
      </w:pPr>
      <w:hyperlink w:anchor="_Toc64565666" w:history="1">
        <w:r w:rsidR="00025779" w:rsidRPr="0087392F">
          <w:rPr>
            <w:rStyle w:val="a8"/>
            <w:color w:val="auto"/>
          </w:rPr>
          <w:t>Приложение А2. Методология разработки клинических рекомендаций</w:t>
        </w:r>
        <w:r w:rsidR="00025779" w:rsidRPr="0087392F">
          <w:rPr>
            <w:webHidden/>
          </w:rPr>
          <w:tab/>
        </w:r>
      </w:hyperlink>
      <w:r w:rsidR="00482824">
        <w:t>224</w:t>
      </w:r>
    </w:p>
    <w:p w14:paraId="4F9FD998" w14:textId="24841AE0" w:rsidR="00025779" w:rsidRPr="0087392F" w:rsidRDefault="00B6254F" w:rsidP="009E240E">
      <w:pPr>
        <w:pStyle w:val="17"/>
        <w:rPr>
          <w:rFonts w:asciiTheme="minorHAnsi" w:eastAsiaTheme="minorEastAsia" w:hAnsiTheme="minorHAnsi" w:cstheme="minorBidi"/>
          <w:szCs w:val="24"/>
        </w:rPr>
      </w:pPr>
      <w:hyperlink w:anchor="_Toc64565667" w:history="1">
        <w:r w:rsidR="00025779" w:rsidRPr="0087392F">
          <w:rPr>
            <w:rStyle w:val="a8"/>
            <w:color w:val="auto"/>
          </w:rPr>
          <w:t>Приложение А3. Справочные материалы, включая соответствие показаний к применению и противопоказаний, способов применения и доз лекарственных препаратов, инструкции по применению лекарственного препарата</w:t>
        </w:r>
        <w:r w:rsidR="00025779" w:rsidRPr="0087392F">
          <w:rPr>
            <w:webHidden/>
          </w:rPr>
          <w:tab/>
        </w:r>
      </w:hyperlink>
      <w:r w:rsidR="00087A6B">
        <w:t>227</w:t>
      </w:r>
    </w:p>
    <w:p w14:paraId="426B8DE3" w14:textId="164F4B72" w:rsidR="00025779" w:rsidRPr="0087392F" w:rsidRDefault="00B6254F" w:rsidP="00654ED5">
      <w:pPr>
        <w:pStyle w:val="21"/>
        <w:rPr>
          <w:rFonts w:asciiTheme="minorHAnsi" w:eastAsiaTheme="minorEastAsia" w:hAnsiTheme="minorHAnsi" w:cstheme="minorBidi"/>
          <w:color w:val="auto"/>
          <w:szCs w:val="24"/>
        </w:rPr>
      </w:pPr>
      <w:hyperlink w:anchor="_Toc64565668" w:history="1">
        <w:r w:rsidR="00025779" w:rsidRPr="0087392F">
          <w:rPr>
            <w:rStyle w:val="a8"/>
            <w:color w:val="auto"/>
          </w:rPr>
          <w:t>Приложение А3.1. Протоколы лечения ОЛЛ</w:t>
        </w:r>
        <w:r w:rsidR="00025779" w:rsidRPr="0087392F">
          <w:rPr>
            <w:webHidden/>
            <w:color w:val="auto"/>
          </w:rPr>
          <w:tab/>
        </w:r>
      </w:hyperlink>
      <w:r w:rsidR="00087A6B">
        <w:rPr>
          <w:color w:val="auto"/>
        </w:rPr>
        <w:t>227</w:t>
      </w:r>
    </w:p>
    <w:p w14:paraId="332F05FF" w14:textId="4D19864D" w:rsidR="00025779" w:rsidRPr="0087392F" w:rsidRDefault="00B6254F" w:rsidP="00654ED5">
      <w:pPr>
        <w:pStyle w:val="21"/>
        <w:rPr>
          <w:rFonts w:asciiTheme="minorHAnsi" w:eastAsiaTheme="minorEastAsia" w:hAnsiTheme="minorHAnsi" w:cstheme="minorBidi"/>
          <w:color w:val="auto"/>
          <w:szCs w:val="24"/>
        </w:rPr>
      </w:pPr>
      <w:hyperlink w:anchor="_Toc64565669" w:history="1">
        <w:r w:rsidR="00025779" w:rsidRPr="0087392F">
          <w:rPr>
            <w:rStyle w:val="a8"/>
            <w:color w:val="auto"/>
          </w:rPr>
          <w:t xml:space="preserve">Приложение </w:t>
        </w:r>
        <w:r w:rsidR="00025779" w:rsidRPr="0087392F">
          <w:rPr>
            <w:rStyle w:val="a8"/>
            <w:color w:val="auto"/>
            <w:lang w:val="en-US"/>
          </w:rPr>
          <w:t>A</w:t>
        </w:r>
        <w:r w:rsidR="00025779" w:rsidRPr="0087392F">
          <w:rPr>
            <w:rStyle w:val="a8"/>
            <w:color w:val="auto"/>
          </w:rPr>
          <w:t xml:space="preserve">3.2. Долгосрочные результаты терапии </w:t>
        </w:r>
        <w:r w:rsidR="00025779" w:rsidRPr="0087392F">
          <w:rPr>
            <w:rStyle w:val="a8"/>
            <w:color w:val="auto"/>
            <w:lang w:val="en-US"/>
          </w:rPr>
          <w:t>Ph</w:t>
        </w:r>
        <w:r w:rsidR="00025779" w:rsidRPr="0087392F">
          <w:rPr>
            <w:rStyle w:val="a8"/>
            <w:color w:val="auto"/>
          </w:rPr>
          <w:t xml:space="preserve">-негативных ОЛЛ взрослых в </w:t>
        </w:r>
        <w:r w:rsidR="00025779" w:rsidRPr="0087392F">
          <w:rPr>
            <w:rStyle w:val="a8"/>
            <w:color w:val="auto"/>
          </w:rPr>
          <w:lastRenderedPageBreak/>
          <w:t>зависимости от принципа химиотерапевтического воздействия</w:t>
        </w:r>
        <w:r w:rsidR="00025779" w:rsidRPr="0087392F">
          <w:rPr>
            <w:webHidden/>
            <w:color w:val="auto"/>
          </w:rPr>
          <w:tab/>
        </w:r>
      </w:hyperlink>
      <w:r w:rsidR="002751EC">
        <w:rPr>
          <w:color w:val="auto"/>
        </w:rPr>
        <w:t>253</w:t>
      </w:r>
    </w:p>
    <w:p w14:paraId="2E05DAE2" w14:textId="02506BD4" w:rsidR="00025779" w:rsidRPr="0042373D" w:rsidRDefault="00B6254F" w:rsidP="00654ED5">
      <w:pPr>
        <w:pStyle w:val="21"/>
        <w:rPr>
          <w:rFonts w:asciiTheme="minorHAnsi" w:eastAsiaTheme="minorEastAsia" w:hAnsiTheme="minorHAnsi" w:cstheme="minorBidi"/>
          <w:color w:val="auto"/>
          <w:szCs w:val="24"/>
        </w:rPr>
      </w:pPr>
      <w:hyperlink w:anchor="_Toc64565670" w:history="1">
        <w:r w:rsidR="00025779" w:rsidRPr="0087392F">
          <w:rPr>
            <w:rStyle w:val="a8"/>
            <w:color w:val="auto"/>
          </w:rPr>
          <w:t xml:space="preserve">Приложение А3.3. </w:t>
        </w:r>
        <w:r w:rsidR="00025779" w:rsidRPr="0087392F">
          <w:rPr>
            <w:rStyle w:val="a8"/>
            <w:rFonts w:eastAsia="SimSun"/>
            <w:color w:val="auto"/>
          </w:rPr>
          <w:t>Проведение трансплантации аллогенных гемопоэтических стволовых клеток</w:t>
        </w:r>
        <w:r w:rsidR="00025779" w:rsidRPr="0087392F">
          <w:rPr>
            <w:webHidden/>
            <w:color w:val="auto"/>
          </w:rPr>
          <w:tab/>
        </w:r>
      </w:hyperlink>
      <w:r w:rsidR="002751EC">
        <w:rPr>
          <w:color w:val="auto"/>
        </w:rPr>
        <w:t>254</w:t>
      </w:r>
    </w:p>
    <w:p w14:paraId="31AAE260" w14:textId="7F982236" w:rsidR="00025779" w:rsidRPr="0087392F" w:rsidRDefault="00B6254F" w:rsidP="00654ED5">
      <w:pPr>
        <w:pStyle w:val="21"/>
        <w:rPr>
          <w:rFonts w:asciiTheme="minorHAnsi" w:eastAsiaTheme="minorEastAsia" w:hAnsiTheme="minorHAnsi" w:cstheme="minorBidi"/>
          <w:color w:val="auto"/>
          <w:szCs w:val="24"/>
        </w:rPr>
      </w:pPr>
      <w:hyperlink w:anchor="_Toc64565671" w:history="1">
        <w:r w:rsidR="00025779" w:rsidRPr="0087392F">
          <w:rPr>
            <w:rStyle w:val="a8"/>
            <w:color w:val="auto"/>
          </w:rPr>
          <w:t xml:space="preserve">Приложение А3.4. </w:t>
        </w:r>
        <w:r w:rsidR="00025779" w:rsidRPr="0087392F">
          <w:rPr>
            <w:rStyle w:val="a8"/>
            <w:rFonts w:eastAsia="SimSun"/>
            <w:color w:val="auto"/>
          </w:rPr>
          <w:t>Проведение трансплантации аутологичных гемопоэтических стволовых клеток</w:t>
        </w:r>
        <w:r w:rsidR="00025779" w:rsidRPr="0087392F">
          <w:rPr>
            <w:webHidden/>
            <w:color w:val="auto"/>
          </w:rPr>
          <w:tab/>
        </w:r>
      </w:hyperlink>
      <w:r w:rsidR="002751EC">
        <w:rPr>
          <w:color w:val="auto"/>
        </w:rPr>
        <w:t>374</w:t>
      </w:r>
    </w:p>
    <w:p w14:paraId="03BB414A" w14:textId="7CD22820" w:rsidR="00025779" w:rsidRPr="0087392F" w:rsidRDefault="00B6254F" w:rsidP="00654ED5">
      <w:pPr>
        <w:pStyle w:val="21"/>
        <w:rPr>
          <w:rFonts w:asciiTheme="minorHAnsi" w:eastAsiaTheme="minorEastAsia" w:hAnsiTheme="minorHAnsi" w:cstheme="minorBidi"/>
          <w:color w:val="auto"/>
          <w:szCs w:val="24"/>
        </w:rPr>
      </w:pPr>
      <w:hyperlink w:anchor="_Toc64565672" w:history="1">
        <w:r w:rsidR="00025779" w:rsidRPr="0087392F">
          <w:rPr>
            <w:rStyle w:val="a8"/>
            <w:color w:val="auto"/>
          </w:rPr>
          <w:t>Приложение А3.5. Рекомендации по профилактической противорвотной терапии</w:t>
        </w:r>
        <w:r w:rsidR="00025779" w:rsidRPr="0087392F">
          <w:rPr>
            <w:webHidden/>
            <w:color w:val="auto"/>
          </w:rPr>
          <w:tab/>
        </w:r>
        <w:r w:rsidR="00025779" w:rsidRPr="0087392F">
          <w:rPr>
            <w:webHidden/>
            <w:color w:val="auto"/>
          </w:rPr>
          <w:fldChar w:fldCharType="begin"/>
        </w:r>
        <w:r w:rsidR="00025779" w:rsidRPr="0087392F">
          <w:rPr>
            <w:webHidden/>
            <w:color w:val="auto"/>
          </w:rPr>
          <w:instrText xml:space="preserve"> PAGEREF _Toc64565672 \h </w:instrText>
        </w:r>
        <w:r w:rsidR="00025779" w:rsidRPr="0087392F">
          <w:rPr>
            <w:webHidden/>
            <w:color w:val="auto"/>
          </w:rPr>
        </w:r>
        <w:r w:rsidR="00025779" w:rsidRPr="0087392F">
          <w:rPr>
            <w:webHidden/>
            <w:color w:val="auto"/>
          </w:rPr>
          <w:fldChar w:fldCharType="separate"/>
        </w:r>
        <w:r w:rsidR="00984B94">
          <w:rPr>
            <w:webHidden/>
            <w:color w:val="auto"/>
          </w:rPr>
          <w:t>426</w:t>
        </w:r>
        <w:r w:rsidR="00025779" w:rsidRPr="0087392F">
          <w:rPr>
            <w:webHidden/>
            <w:color w:val="auto"/>
          </w:rPr>
          <w:fldChar w:fldCharType="end"/>
        </w:r>
      </w:hyperlink>
    </w:p>
    <w:p w14:paraId="41C46124" w14:textId="15A219F1" w:rsidR="00025779" w:rsidRPr="0087392F" w:rsidRDefault="00B6254F" w:rsidP="00654ED5">
      <w:pPr>
        <w:pStyle w:val="21"/>
        <w:rPr>
          <w:rFonts w:asciiTheme="minorHAnsi" w:eastAsiaTheme="minorEastAsia" w:hAnsiTheme="minorHAnsi" w:cstheme="minorBidi"/>
          <w:color w:val="auto"/>
          <w:szCs w:val="24"/>
        </w:rPr>
      </w:pPr>
      <w:hyperlink w:anchor="_Toc64565673" w:history="1">
        <w:r w:rsidR="00025779" w:rsidRPr="0087392F">
          <w:rPr>
            <w:rStyle w:val="a8"/>
            <w:color w:val="auto"/>
          </w:rPr>
          <w:t xml:space="preserve">Приложение А3.6. </w:t>
        </w:r>
        <w:r w:rsidR="00025779" w:rsidRPr="0087392F">
          <w:rPr>
            <w:rStyle w:val="a8"/>
            <w:rFonts w:eastAsia="Arial Unicode MS"/>
            <w:color w:val="auto"/>
          </w:rPr>
          <w:t>Протоколы выполнения аспирационного и биопсийного исследования костного мозга</w:t>
        </w:r>
        <w:r w:rsidR="00025779" w:rsidRPr="0087392F">
          <w:rPr>
            <w:webHidden/>
            <w:color w:val="auto"/>
          </w:rPr>
          <w:tab/>
        </w:r>
        <w:r w:rsidR="00025779" w:rsidRPr="0087392F">
          <w:rPr>
            <w:webHidden/>
            <w:color w:val="auto"/>
          </w:rPr>
          <w:fldChar w:fldCharType="begin"/>
        </w:r>
        <w:r w:rsidR="00025779" w:rsidRPr="0087392F">
          <w:rPr>
            <w:webHidden/>
            <w:color w:val="auto"/>
          </w:rPr>
          <w:instrText xml:space="preserve"> PAGEREF _Toc64565673 \h </w:instrText>
        </w:r>
        <w:r w:rsidR="00025779" w:rsidRPr="0087392F">
          <w:rPr>
            <w:webHidden/>
            <w:color w:val="auto"/>
          </w:rPr>
        </w:r>
        <w:r w:rsidR="00025779" w:rsidRPr="0087392F">
          <w:rPr>
            <w:webHidden/>
            <w:color w:val="auto"/>
          </w:rPr>
          <w:fldChar w:fldCharType="separate"/>
        </w:r>
        <w:r w:rsidR="00984B94">
          <w:rPr>
            <w:webHidden/>
            <w:color w:val="auto"/>
          </w:rPr>
          <w:t>427</w:t>
        </w:r>
        <w:r w:rsidR="00025779" w:rsidRPr="0087392F">
          <w:rPr>
            <w:webHidden/>
            <w:color w:val="auto"/>
          </w:rPr>
          <w:fldChar w:fldCharType="end"/>
        </w:r>
      </w:hyperlink>
    </w:p>
    <w:p w14:paraId="25CF70D4" w14:textId="7D98F9B3" w:rsidR="00025779" w:rsidRPr="0087392F" w:rsidRDefault="00B6254F" w:rsidP="00654ED5">
      <w:pPr>
        <w:pStyle w:val="21"/>
        <w:rPr>
          <w:rFonts w:asciiTheme="minorHAnsi" w:eastAsiaTheme="minorEastAsia" w:hAnsiTheme="minorHAnsi" w:cstheme="minorBidi"/>
          <w:color w:val="auto"/>
          <w:szCs w:val="24"/>
        </w:rPr>
      </w:pPr>
      <w:hyperlink w:anchor="_Toc64565674" w:history="1">
        <w:r w:rsidR="00025779" w:rsidRPr="0087392F">
          <w:rPr>
            <w:rStyle w:val="a8"/>
            <w:color w:val="auto"/>
          </w:rPr>
          <w:t>Приложение А3.7. Протокол выполнения спиномозговой (люмбальной) пункции у гематологических пациентов</w:t>
        </w:r>
        <w:r w:rsidR="00025779" w:rsidRPr="0087392F">
          <w:rPr>
            <w:webHidden/>
            <w:color w:val="auto"/>
          </w:rPr>
          <w:tab/>
        </w:r>
      </w:hyperlink>
      <w:r w:rsidR="00092371">
        <w:rPr>
          <w:color w:val="auto"/>
        </w:rPr>
        <w:t>435</w:t>
      </w:r>
    </w:p>
    <w:p w14:paraId="22284B2F" w14:textId="09CF94A0" w:rsidR="00025779" w:rsidRPr="0087392F" w:rsidRDefault="00B6254F" w:rsidP="00654ED5">
      <w:pPr>
        <w:pStyle w:val="21"/>
        <w:rPr>
          <w:rFonts w:asciiTheme="minorHAnsi" w:eastAsiaTheme="minorEastAsia" w:hAnsiTheme="minorHAnsi" w:cstheme="minorBidi"/>
          <w:color w:val="auto"/>
          <w:szCs w:val="24"/>
        </w:rPr>
      </w:pPr>
      <w:hyperlink w:anchor="_Toc64565675" w:history="1">
        <w:r w:rsidR="00025779" w:rsidRPr="0087392F">
          <w:rPr>
            <w:rStyle w:val="a8"/>
            <w:color w:val="auto"/>
          </w:rPr>
          <w:t>Приложение А3.8. Лечебный цитаферез и плазмаферез при гематологических заболеваниях</w:t>
        </w:r>
        <w:r w:rsidR="00025779" w:rsidRPr="0087392F">
          <w:rPr>
            <w:webHidden/>
            <w:color w:val="auto"/>
          </w:rPr>
          <w:tab/>
        </w:r>
        <w:r w:rsidR="00025779" w:rsidRPr="0087392F">
          <w:rPr>
            <w:webHidden/>
            <w:color w:val="auto"/>
          </w:rPr>
          <w:fldChar w:fldCharType="begin"/>
        </w:r>
        <w:r w:rsidR="00025779" w:rsidRPr="0087392F">
          <w:rPr>
            <w:webHidden/>
            <w:color w:val="auto"/>
          </w:rPr>
          <w:instrText xml:space="preserve"> PAGEREF _Toc64565675 \h </w:instrText>
        </w:r>
        <w:r w:rsidR="00025779" w:rsidRPr="0087392F">
          <w:rPr>
            <w:webHidden/>
            <w:color w:val="auto"/>
          </w:rPr>
        </w:r>
        <w:r w:rsidR="00025779" w:rsidRPr="0087392F">
          <w:rPr>
            <w:webHidden/>
            <w:color w:val="auto"/>
          </w:rPr>
          <w:fldChar w:fldCharType="separate"/>
        </w:r>
        <w:r w:rsidR="00984B94">
          <w:rPr>
            <w:webHidden/>
            <w:color w:val="auto"/>
          </w:rPr>
          <w:t>447</w:t>
        </w:r>
        <w:r w:rsidR="00025779" w:rsidRPr="0087392F">
          <w:rPr>
            <w:webHidden/>
            <w:color w:val="auto"/>
          </w:rPr>
          <w:fldChar w:fldCharType="end"/>
        </w:r>
      </w:hyperlink>
    </w:p>
    <w:p w14:paraId="7ED91F90" w14:textId="7B857079" w:rsidR="00025779" w:rsidRPr="0087392F" w:rsidRDefault="00B6254F" w:rsidP="00654ED5">
      <w:pPr>
        <w:pStyle w:val="21"/>
        <w:rPr>
          <w:rFonts w:asciiTheme="minorHAnsi" w:eastAsiaTheme="minorEastAsia" w:hAnsiTheme="minorHAnsi" w:cstheme="minorBidi"/>
          <w:color w:val="auto"/>
          <w:szCs w:val="24"/>
        </w:rPr>
      </w:pPr>
      <w:hyperlink w:anchor="_Toc64565676" w:history="1">
        <w:r w:rsidR="00025779" w:rsidRPr="0087392F">
          <w:rPr>
            <w:rStyle w:val="a8"/>
            <w:color w:val="auto"/>
          </w:rPr>
          <w:t>Приложение А3.9. Применение компонентов донорской крови у гематологических пациентов</w:t>
        </w:r>
        <w:r w:rsidR="00025779" w:rsidRPr="0087392F">
          <w:rPr>
            <w:webHidden/>
            <w:color w:val="auto"/>
          </w:rPr>
          <w:tab/>
        </w:r>
        <w:r w:rsidR="00025779" w:rsidRPr="0087392F">
          <w:rPr>
            <w:webHidden/>
            <w:color w:val="auto"/>
          </w:rPr>
          <w:fldChar w:fldCharType="begin"/>
        </w:r>
        <w:r w:rsidR="00025779" w:rsidRPr="0087392F">
          <w:rPr>
            <w:webHidden/>
            <w:color w:val="auto"/>
          </w:rPr>
          <w:instrText xml:space="preserve"> PAGEREF _Toc64565676 \h </w:instrText>
        </w:r>
        <w:r w:rsidR="00025779" w:rsidRPr="0087392F">
          <w:rPr>
            <w:webHidden/>
            <w:color w:val="auto"/>
          </w:rPr>
        </w:r>
        <w:r w:rsidR="00025779" w:rsidRPr="0087392F">
          <w:rPr>
            <w:webHidden/>
            <w:color w:val="auto"/>
          </w:rPr>
          <w:fldChar w:fldCharType="separate"/>
        </w:r>
        <w:r w:rsidR="00984B94">
          <w:rPr>
            <w:webHidden/>
            <w:color w:val="auto"/>
          </w:rPr>
          <w:t>450</w:t>
        </w:r>
        <w:r w:rsidR="00025779" w:rsidRPr="0087392F">
          <w:rPr>
            <w:webHidden/>
            <w:color w:val="auto"/>
          </w:rPr>
          <w:fldChar w:fldCharType="end"/>
        </w:r>
      </w:hyperlink>
    </w:p>
    <w:p w14:paraId="6A9CE12E" w14:textId="4938D48F" w:rsidR="00025779" w:rsidRPr="0087392F" w:rsidRDefault="00B6254F" w:rsidP="00654ED5">
      <w:pPr>
        <w:pStyle w:val="21"/>
        <w:rPr>
          <w:rFonts w:asciiTheme="minorHAnsi" w:eastAsiaTheme="minorEastAsia" w:hAnsiTheme="minorHAnsi" w:cstheme="minorBidi"/>
          <w:color w:val="auto"/>
          <w:szCs w:val="24"/>
        </w:rPr>
      </w:pPr>
      <w:hyperlink w:anchor="_Toc64565677" w:history="1">
        <w:r w:rsidR="00025779" w:rsidRPr="0087392F">
          <w:rPr>
            <w:rStyle w:val="a8"/>
            <w:color w:val="auto"/>
          </w:rPr>
          <w:t>Приложение А3.10. Обеспечение сосудистого доступа</w:t>
        </w:r>
        <w:r w:rsidR="00025779" w:rsidRPr="0087392F">
          <w:rPr>
            <w:webHidden/>
            <w:color w:val="auto"/>
          </w:rPr>
          <w:tab/>
        </w:r>
        <w:r w:rsidR="00025779" w:rsidRPr="0087392F">
          <w:rPr>
            <w:webHidden/>
            <w:color w:val="auto"/>
          </w:rPr>
          <w:fldChar w:fldCharType="begin"/>
        </w:r>
        <w:r w:rsidR="00025779" w:rsidRPr="0087392F">
          <w:rPr>
            <w:webHidden/>
            <w:color w:val="auto"/>
          </w:rPr>
          <w:instrText xml:space="preserve"> PAGEREF _Toc64565677 \h </w:instrText>
        </w:r>
        <w:r w:rsidR="00025779" w:rsidRPr="0087392F">
          <w:rPr>
            <w:webHidden/>
            <w:color w:val="auto"/>
          </w:rPr>
        </w:r>
        <w:r w:rsidR="00025779" w:rsidRPr="0087392F">
          <w:rPr>
            <w:webHidden/>
            <w:color w:val="auto"/>
          </w:rPr>
          <w:fldChar w:fldCharType="separate"/>
        </w:r>
        <w:r w:rsidR="00984B94">
          <w:rPr>
            <w:webHidden/>
            <w:color w:val="auto"/>
          </w:rPr>
          <w:t>469</w:t>
        </w:r>
        <w:r w:rsidR="00025779" w:rsidRPr="0087392F">
          <w:rPr>
            <w:webHidden/>
            <w:color w:val="auto"/>
          </w:rPr>
          <w:fldChar w:fldCharType="end"/>
        </w:r>
      </w:hyperlink>
    </w:p>
    <w:p w14:paraId="1F7783F2" w14:textId="243F3C81" w:rsidR="00025779" w:rsidRPr="0087392F" w:rsidRDefault="00B6254F" w:rsidP="00654ED5">
      <w:pPr>
        <w:pStyle w:val="21"/>
        <w:rPr>
          <w:rFonts w:asciiTheme="minorHAnsi" w:eastAsiaTheme="minorEastAsia" w:hAnsiTheme="minorHAnsi" w:cstheme="minorBidi"/>
          <w:color w:val="auto"/>
          <w:szCs w:val="24"/>
        </w:rPr>
      </w:pPr>
      <w:hyperlink w:anchor="_Toc64565678" w:history="1">
        <w:r w:rsidR="00025779" w:rsidRPr="0087392F">
          <w:rPr>
            <w:rStyle w:val="a8"/>
            <w:color w:val="auto"/>
          </w:rPr>
          <w:t>Приложение А3.11. Лечение гематологического пациента в отделении реанимации и интенсивной терапии</w:t>
        </w:r>
        <w:r w:rsidR="00025779" w:rsidRPr="0087392F">
          <w:rPr>
            <w:webHidden/>
            <w:color w:val="auto"/>
          </w:rPr>
          <w:tab/>
        </w:r>
        <w:r w:rsidR="00025779" w:rsidRPr="0087392F">
          <w:rPr>
            <w:webHidden/>
            <w:color w:val="auto"/>
          </w:rPr>
          <w:fldChar w:fldCharType="begin"/>
        </w:r>
        <w:r w:rsidR="00025779" w:rsidRPr="0087392F">
          <w:rPr>
            <w:webHidden/>
            <w:color w:val="auto"/>
          </w:rPr>
          <w:instrText xml:space="preserve"> PAGEREF _Toc64565678 \h </w:instrText>
        </w:r>
        <w:r w:rsidR="00025779" w:rsidRPr="0087392F">
          <w:rPr>
            <w:webHidden/>
            <w:color w:val="auto"/>
          </w:rPr>
        </w:r>
        <w:r w:rsidR="00025779" w:rsidRPr="0087392F">
          <w:rPr>
            <w:webHidden/>
            <w:color w:val="auto"/>
          </w:rPr>
          <w:fldChar w:fldCharType="separate"/>
        </w:r>
        <w:r w:rsidR="00984B94">
          <w:rPr>
            <w:webHidden/>
            <w:color w:val="auto"/>
          </w:rPr>
          <w:t>481</w:t>
        </w:r>
        <w:r w:rsidR="00025779" w:rsidRPr="0087392F">
          <w:rPr>
            <w:webHidden/>
            <w:color w:val="auto"/>
          </w:rPr>
          <w:fldChar w:fldCharType="end"/>
        </w:r>
      </w:hyperlink>
    </w:p>
    <w:p w14:paraId="470D9369" w14:textId="2900F070" w:rsidR="00025779" w:rsidRPr="0087392F" w:rsidRDefault="00B6254F" w:rsidP="00654ED5">
      <w:pPr>
        <w:pStyle w:val="21"/>
        <w:rPr>
          <w:rFonts w:asciiTheme="minorHAnsi" w:eastAsiaTheme="minorEastAsia" w:hAnsiTheme="minorHAnsi" w:cstheme="minorBidi"/>
          <w:color w:val="auto"/>
          <w:szCs w:val="24"/>
        </w:rPr>
      </w:pPr>
      <w:hyperlink w:anchor="_Toc64565679" w:history="1">
        <w:r w:rsidR="00025779" w:rsidRPr="0087392F">
          <w:rPr>
            <w:rStyle w:val="a8"/>
            <w:color w:val="auto"/>
          </w:rPr>
          <w:t xml:space="preserve">Приложение А3.12. Протоколы введения моноклональных антител у пациентов </w:t>
        </w:r>
        <w:r w:rsidR="004E566C">
          <w:rPr>
            <w:rStyle w:val="a8"/>
            <w:color w:val="auto"/>
          </w:rPr>
          <w:t xml:space="preserve">             </w:t>
        </w:r>
        <w:r w:rsidR="00025779" w:rsidRPr="0087392F">
          <w:rPr>
            <w:rStyle w:val="a8"/>
            <w:color w:val="auto"/>
          </w:rPr>
          <w:t>с ОЛЛ.</w:t>
        </w:r>
        <w:r w:rsidR="00025779" w:rsidRPr="0087392F">
          <w:rPr>
            <w:webHidden/>
            <w:color w:val="auto"/>
          </w:rPr>
          <w:tab/>
        </w:r>
        <w:r w:rsidR="00025779" w:rsidRPr="0087392F">
          <w:rPr>
            <w:webHidden/>
            <w:color w:val="auto"/>
          </w:rPr>
          <w:fldChar w:fldCharType="begin"/>
        </w:r>
        <w:r w:rsidR="00025779" w:rsidRPr="0087392F">
          <w:rPr>
            <w:webHidden/>
            <w:color w:val="auto"/>
          </w:rPr>
          <w:instrText xml:space="preserve"> PAGEREF _Toc64565679 \h </w:instrText>
        </w:r>
        <w:r w:rsidR="00025779" w:rsidRPr="0087392F">
          <w:rPr>
            <w:webHidden/>
            <w:color w:val="auto"/>
          </w:rPr>
        </w:r>
        <w:r w:rsidR="00025779" w:rsidRPr="0087392F">
          <w:rPr>
            <w:webHidden/>
            <w:color w:val="auto"/>
          </w:rPr>
          <w:fldChar w:fldCharType="separate"/>
        </w:r>
        <w:r w:rsidR="00984B94">
          <w:rPr>
            <w:webHidden/>
            <w:color w:val="auto"/>
          </w:rPr>
          <w:t>489</w:t>
        </w:r>
        <w:r w:rsidR="00025779" w:rsidRPr="0087392F">
          <w:rPr>
            <w:webHidden/>
            <w:color w:val="auto"/>
          </w:rPr>
          <w:fldChar w:fldCharType="end"/>
        </w:r>
      </w:hyperlink>
    </w:p>
    <w:p w14:paraId="6EDCFB55" w14:textId="4D4D9D2E" w:rsidR="00025779" w:rsidRPr="0087392F" w:rsidRDefault="00B6254F" w:rsidP="009E240E">
      <w:pPr>
        <w:pStyle w:val="17"/>
        <w:rPr>
          <w:rFonts w:asciiTheme="minorHAnsi" w:eastAsiaTheme="minorEastAsia" w:hAnsiTheme="minorHAnsi" w:cstheme="minorBidi"/>
          <w:szCs w:val="24"/>
        </w:rPr>
      </w:pPr>
      <w:hyperlink w:anchor="_Toc64565680" w:history="1">
        <w:r w:rsidR="00025779" w:rsidRPr="0087392F">
          <w:rPr>
            <w:rStyle w:val="a8"/>
            <w:color w:val="auto"/>
          </w:rPr>
          <w:t>Приложение Б. Алгоритмы действий врача</w:t>
        </w:r>
        <w:r w:rsidR="00025779" w:rsidRPr="0087392F">
          <w:rPr>
            <w:webHidden/>
          </w:rPr>
          <w:tab/>
        </w:r>
        <w:r w:rsidR="00025779" w:rsidRPr="0087392F">
          <w:rPr>
            <w:webHidden/>
          </w:rPr>
          <w:fldChar w:fldCharType="begin"/>
        </w:r>
        <w:r w:rsidR="00025779" w:rsidRPr="0087392F">
          <w:rPr>
            <w:webHidden/>
          </w:rPr>
          <w:instrText xml:space="preserve"> PAGEREF _Toc64565680 \h </w:instrText>
        </w:r>
        <w:r w:rsidR="00025779" w:rsidRPr="0087392F">
          <w:rPr>
            <w:webHidden/>
          </w:rPr>
        </w:r>
        <w:r w:rsidR="00025779" w:rsidRPr="0087392F">
          <w:rPr>
            <w:webHidden/>
          </w:rPr>
          <w:fldChar w:fldCharType="separate"/>
        </w:r>
        <w:r w:rsidR="00984B94">
          <w:rPr>
            <w:webHidden/>
          </w:rPr>
          <w:t>494</w:t>
        </w:r>
        <w:r w:rsidR="00025779" w:rsidRPr="0087392F">
          <w:rPr>
            <w:webHidden/>
          </w:rPr>
          <w:fldChar w:fldCharType="end"/>
        </w:r>
      </w:hyperlink>
    </w:p>
    <w:p w14:paraId="2EA2E411" w14:textId="3CC1865C" w:rsidR="00025779" w:rsidRPr="0042373D" w:rsidRDefault="00B6254F" w:rsidP="009E240E">
      <w:pPr>
        <w:pStyle w:val="17"/>
        <w:rPr>
          <w:rFonts w:asciiTheme="minorHAnsi" w:eastAsiaTheme="minorEastAsia" w:hAnsiTheme="minorHAnsi" w:cstheme="minorBidi"/>
          <w:szCs w:val="24"/>
        </w:rPr>
      </w:pPr>
      <w:hyperlink w:anchor="_Toc64565681" w:history="1">
        <w:r w:rsidR="00025779" w:rsidRPr="0087392F">
          <w:rPr>
            <w:rStyle w:val="a8"/>
            <w:color w:val="auto"/>
          </w:rPr>
          <w:t>Приложение В. Информация для пациента</w:t>
        </w:r>
        <w:r w:rsidR="00025779" w:rsidRPr="0087392F">
          <w:rPr>
            <w:webHidden/>
          </w:rPr>
          <w:tab/>
        </w:r>
        <w:r w:rsidR="00025779" w:rsidRPr="0087392F">
          <w:rPr>
            <w:webHidden/>
          </w:rPr>
          <w:fldChar w:fldCharType="begin"/>
        </w:r>
        <w:r w:rsidR="00025779" w:rsidRPr="0087392F">
          <w:rPr>
            <w:webHidden/>
          </w:rPr>
          <w:instrText xml:space="preserve"> PAGEREF _Toc64565681 \h </w:instrText>
        </w:r>
        <w:r w:rsidR="00025779" w:rsidRPr="0087392F">
          <w:rPr>
            <w:webHidden/>
          </w:rPr>
        </w:r>
        <w:r w:rsidR="00025779" w:rsidRPr="0087392F">
          <w:rPr>
            <w:webHidden/>
          </w:rPr>
          <w:fldChar w:fldCharType="separate"/>
        </w:r>
        <w:r w:rsidR="00984B94">
          <w:rPr>
            <w:webHidden/>
          </w:rPr>
          <w:t>500</w:t>
        </w:r>
        <w:r w:rsidR="00025779" w:rsidRPr="0087392F">
          <w:rPr>
            <w:webHidden/>
          </w:rPr>
          <w:fldChar w:fldCharType="end"/>
        </w:r>
      </w:hyperlink>
    </w:p>
    <w:p w14:paraId="3A142124" w14:textId="036C261A" w:rsidR="00025779" w:rsidRPr="0087392F" w:rsidRDefault="00B6254F" w:rsidP="009E240E">
      <w:pPr>
        <w:pStyle w:val="17"/>
        <w:rPr>
          <w:rFonts w:asciiTheme="minorHAnsi" w:eastAsiaTheme="minorEastAsia" w:hAnsiTheme="minorHAnsi" w:cstheme="minorBidi"/>
          <w:szCs w:val="24"/>
        </w:rPr>
      </w:pPr>
      <w:hyperlink w:anchor="_Toc64565682" w:history="1">
        <w:r w:rsidR="00025779" w:rsidRPr="0087392F">
          <w:rPr>
            <w:rStyle w:val="a8"/>
            <w:color w:val="auto"/>
          </w:rPr>
          <w:t>Приложение Г. Шкалы оценки, вопросники и другие оценочные инструменты состояния пациента, приведенные в клинических рекомендациях</w:t>
        </w:r>
        <w:r w:rsidR="00025779" w:rsidRPr="0087392F">
          <w:rPr>
            <w:webHidden/>
          </w:rPr>
          <w:tab/>
        </w:r>
        <w:r w:rsidR="00025779" w:rsidRPr="0087392F">
          <w:rPr>
            <w:webHidden/>
          </w:rPr>
          <w:fldChar w:fldCharType="begin"/>
        </w:r>
        <w:r w:rsidR="00025779" w:rsidRPr="0087392F">
          <w:rPr>
            <w:webHidden/>
          </w:rPr>
          <w:instrText xml:space="preserve"> PAGEREF _Toc64565682 \h </w:instrText>
        </w:r>
        <w:r w:rsidR="00025779" w:rsidRPr="0087392F">
          <w:rPr>
            <w:webHidden/>
          </w:rPr>
        </w:r>
        <w:r w:rsidR="00025779" w:rsidRPr="0087392F">
          <w:rPr>
            <w:webHidden/>
          </w:rPr>
          <w:fldChar w:fldCharType="separate"/>
        </w:r>
        <w:r w:rsidR="00984B94">
          <w:rPr>
            <w:webHidden/>
          </w:rPr>
          <w:t>505</w:t>
        </w:r>
        <w:r w:rsidR="00025779" w:rsidRPr="0087392F">
          <w:rPr>
            <w:webHidden/>
          </w:rPr>
          <w:fldChar w:fldCharType="end"/>
        </w:r>
      </w:hyperlink>
    </w:p>
    <w:p w14:paraId="31482810" w14:textId="4A06EEAA" w:rsidR="00025779" w:rsidRPr="0087392F" w:rsidRDefault="00B6254F" w:rsidP="00654ED5">
      <w:pPr>
        <w:pStyle w:val="21"/>
        <w:rPr>
          <w:rFonts w:asciiTheme="minorHAnsi" w:eastAsiaTheme="minorEastAsia" w:hAnsiTheme="minorHAnsi" w:cstheme="minorBidi"/>
          <w:color w:val="auto"/>
          <w:szCs w:val="24"/>
        </w:rPr>
      </w:pPr>
      <w:hyperlink w:anchor="_Toc64565683" w:history="1">
        <w:r w:rsidR="00025779" w:rsidRPr="0087392F">
          <w:rPr>
            <w:rStyle w:val="a8"/>
            <w:color w:val="auto"/>
          </w:rPr>
          <w:t>Приложение Г1. Шкала оценки общего состояния пациента по версии ECOG</w:t>
        </w:r>
        <w:r w:rsidR="00025779" w:rsidRPr="0087392F">
          <w:rPr>
            <w:webHidden/>
            <w:color w:val="auto"/>
          </w:rPr>
          <w:tab/>
        </w:r>
        <w:r w:rsidR="00025779" w:rsidRPr="0087392F">
          <w:rPr>
            <w:webHidden/>
            <w:color w:val="auto"/>
          </w:rPr>
          <w:fldChar w:fldCharType="begin"/>
        </w:r>
        <w:r w:rsidR="00025779" w:rsidRPr="0087392F">
          <w:rPr>
            <w:webHidden/>
            <w:color w:val="auto"/>
          </w:rPr>
          <w:instrText xml:space="preserve"> PAGEREF _Toc64565683 \h </w:instrText>
        </w:r>
        <w:r w:rsidR="00025779" w:rsidRPr="0087392F">
          <w:rPr>
            <w:webHidden/>
            <w:color w:val="auto"/>
          </w:rPr>
        </w:r>
        <w:r w:rsidR="00025779" w:rsidRPr="0087392F">
          <w:rPr>
            <w:webHidden/>
            <w:color w:val="auto"/>
          </w:rPr>
          <w:fldChar w:fldCharType="separate"/>
        </w:r>
        <w:r w:rsidR="00984B94">
          <w:rPr>
            <w:webHidden/>
            <w:color w:val="auto"/>
          </w:rPr>
          <w:t>505</w:t>
        </w:r>
        <w:r w:rsidR="00025779" w:rsidRPr="0087392F">
          <w:rPr>
            <w:webHidden/>
            <w:color w:val="auto"/>
          </w:rPr>
          <w:fldChar w:fldCharType="end"/>
        </w:r>
      </w:hyperlink>
    </w:p>
    <w:p w14:paraId="3835BA51" w14:textId="760D5552" w:rsidR="00025779" w:rsidRPr="0087392F" w:rsidRDefault="00B6254F" w:rsidP="00654ED5">
      <w:pPr>
        <w:pStyle w:val="21"/>
        <w:rPr>
          <w:rFonts w:asciiTheme="minorHAnsi" w:eastAsiaTheme="minorEastAsia" w:hAnsiTheme="minorHAnsi" w:cstheme="minorBidi"/>
          <w:color w:val="auto"/>
          <w:szCs w:val="24"/>
        </w:rPr>
      </w:pPr>
      <w:hyperlink w:anchor="_Toc64565684" w:history="1">
        <w:r w:rsidR="00025779" w:rsidRPr="0087392F">
          <w:rPr>
            <w:rStyle w:val="a8"/>
            <w:color w:val="auto"/>
          </w:rPr>
          <w:t>Приложение Г2. Иммунологическая классификация ОЛЛ</w:t>
        </w:r>
        <w:r w:rsidR="00025779" w:rsidRPr="0087392F">
          <w:rPr>
            <w:webHidden/>
            <w:color w:val="auto"/>
          </w:rPr>
          <w:tab/>
        </w:r>
        <w:r w:rsidR="00025779" w:rsidRPr="0087392F">
          <w:rPr>
            <w:webHidden/>
            <w:color w:val="auto"/>
          </w:rPr>
          <w:fldChar w:fldCharType="begin"/>
        </w:r>
        <w:r w:rsidR="00025779" w:rsidRPr="0087392F">
          <w:rPr>
            <w:webHidden/>
            <w:color w:val="auto"/>
          </w:rPr>
          <w:instrText xml:space="preserve"> PAGEREF _Toc64565684 \h </w:instrText>
        </w:r>
        <w:r w:rsidR="00025779" w:rsidRPr="0087392F">
          <w:rPr>
            <w:webHidden/>
            <w:color w:val="auto"/>
          </w:rPr>
        </w:r>
        <w:r w:rsidR="00025779" w:rsidRPr="0087392F">
          <w:rPr>
            <w:webHidden/>
            <w:color w:val="auto"/>
          </w:rPr>
          <w:fldChar w:fldCharType="separate"/>
        </w:r>
        <w:r w:rsidR="00984B94">
          <w:rPr>
            <w:webHidden/>
            <w:color w:val="auto"/>
          </w:rPr>
          <w:t>505</w:t>
        </w:r>
        <w:r w:rsidR="00025779" w:rsidRPr="0087392F">
          <w:rPr>
            <w:webHidden/>
            <w:color w:val="auto"/>
          </w:rPr>
          <w:fldChar w:fldCharType="end"/>
        </w:r>
      </w:hyperlink>
    </w:p>
    <w:p w14:paraId="00397A5D" w14:textId="286858E6" w:rsidR="00025779" w:rsidRPr="0087392F" w:rsidRDefault="00B6254F" w:rsidP="00654ED5">
      <w:pPr>
        <w:pStyle w:val="21"/>
        <w:rPr>
          <w:rFonts w:asciiTheme="minorHAnsi" w:eastAsiaTheme="minorEastAsia" w:hAnsiTheme="minorHAnsi" w:cstheme="minorBidi"/>
          <w:color w:val="auto"/>
          <w:szCs w:val="24"/>
        </w:rPr>
      </w:pPr>
      <w:hyperlink w:anchor="_Toc64565685" w:history="1">
        <w:r w:rsidR="00025779" w:rsidRPr="0087392F">
          <w:rPr>
            <w:rStyle w:val="a8"/>
            <w:color w:val="auto"/>
          </w:rPr>
          <w:t>Приложение Г3. Основные генетические аномалии при ОЛЛ</w:t>
        </w:r>
        <w:r w:rsidR="00025779" w:rsidRPr="0087392F">
          <w:rPr>
            <w:webHidden/>
            <w:color w:val="auto"/>
          </w:rPr>
          <w:tab/>
        </w:r>
        <w:r w:rsidR="00025779" w:rsidRPr="0087392F">
          <w:rPr>
            <w:webHidden/>
            <w:color w:val="auto"/>
          </w:rPr>
          <w:fldChar w:fldCharType="begin"/>
        </w:r>
        <w:r w:rsidR="00025779" w:rsidRPr="0087392F">
          <w:rPr>
            <w:webHidden/>
            <w:color w:val="auto"/>
          </w:rPr>
          <w:instrText xml:space="preserve"> PAGEREF _Toc64565685 \h </w:instrText>
        </w:r>
        <w:r w:rsidR="00025779" w:rsidRPr="0087392F">
          <w:rPr>
            <w:webHidden/>
            <w:color w:val="auto"/>
          </w:rPr>
        </w:r>
        <w:r w:rsidR="00025779" w:rsidRPr="0087392F">
          <w:rPr>
            <w:webHidden/>
            <w:color w:val="auto"/>
          </w:rPr>
          <w:fldChar w:fldCharType="separate"/>
        </w:r>
        <w:r w:rsidR="00984B94">
          <w:rPr>
            <w:webHidden/>
            <w:color w:val="auto"/>
          </w:rPr>
          <w:t>508</w:t>
        </w:r>
        <w:r w:rsidR="00025779" w:rsidRPr="0087392F">
          <w:rPr>
            <w:webHidden/>
            <w:color w:val="auto"/>
          </w:rPr>
          <w:fldChar w:fldCharType="end"/>
        </w:r>
      </w:hyperlink>
    </w:p>
    <w:p w14:paraId="3817F975" w14:textId="462746D9" w:rsidR="00025779" w:rsidRPr="0087392F" w:rsidRDefault="00B6254F" w:rsidP="00654ED5">
      <w:pPr>
        <w:pStyle w:val="21"/>
        <w:rPr>
          <w:rFonts w:asciiTheme="minorHAnsi" w:eastAsiaTheme="minorEastAsia" w:hAnsiTheme="minorHAnsi" w:cstheme="minorBidi"/>
          <w:color w:val="auto"/>
          <w:szCs w:val="24"/>
        </w:rPr>
      </w:pPr>
      <w:hyperlink w:anchor="_Toc64565686" w:history="1">
        <w:r w:rsidR="00025779" w:rsidRPr="0087392F">
          <w:rPr>
            <w:rStyle w:val="a8"/>
            <w:color w:val="auto"/>
          </w:rPr>
          <w:t>Приложение Г4. Расчет трансплантационного риска по шкале EBMT</w:t>
        </w:r>
        <w:r w:rsidR="00025779" w:rsidRPr="0087392F">
          <w:rPr>
            <w:webHidden/>
            <w:color w:val="auto"/>
          </w:rPr>
          <w:tab/>
        </w:r>
        <w:r w:rsidR="00025779" w:rsidRPr="0087392F">
          <w:rPr>
            <w:webHidden/>
            <w:color w:val="auto"/>
          </w:rPr>
          <w:fldChar w:fldCharType="begin"/>
        </w:r>
        <w:r w:rsidR="00025779" w:rsidRPr="0087392F">
          <w:rPr>
            <w:webHidden/>
            <w:color w:val="auto"/>
          </w:rPr>
          <w:instrText xml:space="preserve"> PAGEREF _Toc64565686 \h </w:instrText>
        </w:r>
        <w:r w:rsidR="00025779" w:rsidRPr="0087392F">
          <w:rPr>
            <w:webHidden/>
            <w:color w:val="auto"/>
          </w:rPr>
        </w:r>
        <w:r w:rsidR="00025779" w:rsidRPr="0087392F">
          <w:rPr>
            <w:webHidden/>
            <w:color w:val="auto"/>
          </w:rPr>
          <w:fldChar w:fldCharType="separate"/>
        </w:r>
        <w:r w:rsidR="00984B94">
          <w:rPr>
            <w:webHidden/>
            <w:color w:val="auto"/>
          </w:rPr>
          <w:t>509</w:t>
        </w:r>
        <w:r w:rsidR="00025779" w:rsidRPr="0087392F">
          <w:rPr>
            <w:webHidden/>
            <w:color w:val="auto"/>
          </w:rPr>
          <w:fldChar w:fldCharType="end"/>
        </w:r>
      </w:hyperlink>
    </w:p>
    <w:p w14:paraId="0AC9D5C6" w14:textId="6BD5BDC2" w:rsidR="00025779" w:rsidRPr="0087392F" w:rsidRDefault="00B6254F" w:rsidP="00654ED5">
      <w:pPr>
        <w:pStyle w:val="21"/>
        <w:rPr>
          <w:rFonts w:asciiTheme="minorHAnsi" w:eastAsiaTheme="minorEastAsia" w:hAnsiTheme="minorHAnsi" w:cstheme="minorBidi"/>
          <w:color w:val="auto"/>
          <w:szCs w:val="24"/>
        </w:rPr>
      </w:pPr>
      <w:hyperlink w:anchor="_Toc64565687" w:history="1">
        <w:r w:rsidR="00025779" w:rsidRPr="0087392F">
          <w:rPr>
            <w:rStyle w:val="a8"/>
            <w:color w:val="auto"/>
          </w:rPr>
          <w:t>Приложение Г5. Расчет трансплантационного риска по шкале HCT-CI</w:t>
        </w:r>
        <w:r w:rsidR="00025779" w:rsidRPr="0087392F">
          <w:rPr>
            <w:webHidden/>
            <w:color w:val="auto"/>
          </w:rPr>
          <w:tab/>
        </w:r>
        <w:r w:rsidR="00025779" w:rsidRPr="0087392F">
          <w:rPr>
            <w:webHidden/>
            <w:color w:val="auto"/>
          </w:rPr>
          <w:fldChar w:fldCharType="begin"/>
        </w:r>
        <w:r w:rsidR="00025779" w:rsidRPr="0087392F">
          <w:rPr>
            <w:webHidden/>
            <w:color w:val="auto"/>
          </w:rPr>
          <w:instrText xml:space="preserve"> PAGEREF _Toc64565687 \h </w:instrText>
        </w:r>
        <w:r w:rsidR="00025779" w:rsidRPr="0087392F">
          <w:rPr>
            <w:webHidden/>
            <w:color w:val="auto"/>
          </w:rPr>
        </w:r>
        <w:r w:rsidR="00025779" w:rsidRPr="0087392F">
          <w:rPr>
            <w:webHidden/>
            <w:color w:val="auto"/>
          </w:rPr>
          <w:fldChar w:fldCharType="separate"/>
        </w:r>
        <w:r w:rsidR="00984B94">
          <w:rPr>
            <w:webHidden/>
            <w:color w:val="auto"/>
          </w:rPr>
          <w:t>510</w:t>
        </w:r>
        <w:r w:rsidR="00025779" w:rsidRPr="0087392F">
          <w:rPr>
            <w:webHidden/>
            <w:color w:val="auto"/>
          </w:rPr>
          <w:fldChar w:fldCharType="end"/>
        </w:r>
      </w:hyperlink>
    </w:p>
    <w:p w14:paraId="18224FFB" w14:textId="7C1ACDBD" w:rsidR="000A5734" w:rsidRPr="0087392F" w:rsidRDefault="003001B8" w:rsidP="009E240E">
      <w:pPr>
        <w:pStyle w:val="17"/>
      </w:pPr>
      <w:r w:rsidRPr="0087392F">
        <w:fldChar w:fldCharType="end"/>
      </w:r>
    </w:p>
    <w:p w14:paraId="0CE00E8C" w14:textId="77631976" w:rsidR="003E3886" w:rsidRPr="008A33E0" w:rsidRDefault="00254210" w:rsidP="000A5734">
      <w:pPr>
        <w:pStyle w:val="11"/>
      </w:pPr>
      <w:bookmarkStart w:id="0" w:name="_Toc13484793"/>
      <w:bookmarkStart w:id="1" w:name="_Toc26796692"/>
      <w:bookmarkStart w:id="2" w:name="_Toc64467908"/>
      <w:bookmarkStart w:id="3" w:name="_Toc64565622"/>
      <w:r w:rsidRPr="008A33E0">
        <w:lastRenderedPageBreak/>
        <w:t>Список сокращений</w:t>
      </w:r>
      <w:bookmarkEnd w:id="0"/>
      <w:bookmarkEnd w:id="1"/>
      <w:bookmarkEnd w:id="2"/>
      <w:bookmarkEnd w:id="3"/>
    </w:p>
    <w:p w14:paraId="0A9AC473" w14:textId="77777777" w:rsidR="00515814" w:rsidRPr="00E13058" w:rsidRDefault="00515814" w:rsidP="00515814">
      <w:pPr>
        <w:ind w:firstLine="720"/>
        <w:rPr>
          <w:szCs w:val="24"/>
        </w:rPr>
      </w:pPr>
      <w:r w:rsidRPr="00E13058">
        <w:rPr>
          <w:szCs w:val="24"/>
        </w:rPr>
        <w:t>Алло-</w:t>
      </w:r>
      <w:r w:rsidR="00F33796" w:rsidRPr="00E13058">
        <w:rPr>
          <w:szCs w:val="24"/>
        </w:rPr>
        <w:t xml:space="preserve">ТГСК </w:t>
      </w:r>
      <w:r w:rsidR="00B30EAF" w:rsidRPr="00E13058">
        <w:rPr>
          <w:szCs w:val="24"/>
        </w:rPr>
        <w:t>–</w:t>
      </w:r>
      <w:r w:rsidR="00AF128D" w:rsidRPr="00E13058">
        <w:rPr>
          <w:szCs w:val="24"/>
        </w:rPr>
        <w:t xml:space="preserve"> </w:t>
      </w:r>
      <w:r w:rsidRPr="00E13058">
        <w:rPr>
          <w:szCs w:val="24"/>
        </w:rPr>
        <w:t>трансплантация</w:t>
      </w:r>
      <w:r w:rsidR="00AF128D" w:rsidRPr="00E13058">
        <w:rPr>
          <w:szCs w:val="24"/>
        </w:rPr>
        <w:t xml:space="preserve"> </w:t>
      </w:r>
      <w:r w:rsidR="00F33796" w:rsidRPr="00E13058">
        <w:rPr>
          <w:szCs w:val="24"/>
        </w:rPr>
        <w:t>аллогенных гемопоэтических стволовых клеток</w:t>
      </w:r>
    </w:p>
    <w:p w14:paraId="6E6F38B8" w14:textId="77777777" w:rsidR="00515814" w:rsidRPr="00E13058" w:rsidRDefault="00515814" w:rsidP="00515814">
      <w:pPr>
        <w:ind w:left="708" w:firstLine="12"/>
        <w:rPr>
          <w:szCs w:val="24"/>
        </w:rPr>
      </w:pPr>
      <w:r w:rsidRPr="00E13058">
        <w:rPr>
          <w:szCs w:val="24"/>
        </w:rPr>
        <w:t>АЛТ</w:t>
      </w:r>
      <w:r w:rsidR="00B30EAF" w:rsidRPr="00E13058">
        <w:rPr>
          <w:szCs w:val="24"/>
        </w:rPr>
        <w:t xml:space="preserve"> –</w:t>
      </w:r>
      <w:r w:rsidRPr="00E13058">
        <w:rPr>
          <w:szCs w:val="24"/>
        </w:rPr>
        <w:t xml:space="preserve"> аланинаминотрансфераза</w:t>
      </w:r>
    </w:p>
    <w:p w14:paraId="3BDFD13C" w14:textId="77777777" w:rsidR="00515814" w:rsidRPr="00E13058" w:rsidRDefault="00515814" w:rsidP="00515814">
      <w:pPr>
        <w:ind w:left="708" w:firstLine="12"/>
        <w:rPr>
          <w:szCs w:val="24"/>
        </w:rPr>
      </w:pPr>
      <w:r w:rsidRPr="00E13058">
        <w:rPr>
          <w:szCs w:val="24"/>
        </w:rPr>
        <w:t>АСТ</w:t>
      </w:r>
      <w:r w:rsidR="00B30EAF" w:rsidRPr="00E13058">
        <w:rPr>
          <w:szCs w:val="24"/>
        </w:rPr>
        <w:t xml:space="preserve"> –</w:t>
      </w:r>
      <w:r w:rsidRPr="00E13058">
        <w:rPr>
          <w:szCs w:val="24"/>
        </w:rPr>
        <w:t xml:space="preserve"> аспартатаминотрансфераза </w:t>
      </w:r>
    </w:p>
    <w:p w14:paraId="146AB9B3" w14:textId="77777777" w:rsidR="00B2588F" w:rsidRPr="00E13058" w:rsidRDefault="00B2588F" w:rsidP="00130BE9">
      <w:pPr>
        <w:ind w:firstLine="720"/>
        <w:rPr>
          <w:szCs w:val="24"/>
        </w:rPr>
      </w:pPr>
      <w:r w:rsidRPr="00E13058">
        <w:rPr>
          <w:szCs w:val="24"/>
        </w:rPr>
        <w:t>Ауто-</w:t>
      </w:r>
      <w:r w:rsidR="00F33796" w:rsidRPr="00E13058">
        <w:rPr>
          <w:szCs w:val="24"/>
        </w:rPr>
        <w:t>ТГСК</w:t>
      </w:r>
      <w:r w:rsidRPr="00E13058">
        <w:rPr>
          <w:szCs w:val="24"/>
        </w:rPr>
        <w:t xml:space="preserve"> </w:t>
      </w:r>
      <w:r w:rsidR="00B30EAF" w:rsidRPr="00E13058">
        <w:rPr>
          <w:szCs w:val="24"/>
        </w:rPr>
        <w:t>–</w:t>
      </w:r>
      <w:r w:rsidR="00AF128D" w:rsidRPr="00E13058">
        <w:rPr>
          <w:szCs w:val="24"/>
        </w:rPr>
        <w:t xml:space="preserve"> </w:t>
      </w:r>
      <w:r w:rsidRPr="00E13058">
        <w:rPr>
          <w:szCs w:val="24"/>
        </w:rPr>
        <w:t xml:space="preserve">трансплантация </w:t>
      </w:r>
      <w:r w:rsidR="00F33796" w:rsidRPr="00E13058">
        <w:rPr>
          <w:szCs w:val="24"/>
        </w:rPr>
        <w:t>аутологичных гемопоэтических стволовых клеток</w:t>
      </w:r>
    </w:p>
    <w:p w14:paraId="5D62C5C4" w14:textId="77777777" w:rsidR="004405A4" w:rsidRPr="00E13058" w:rsidRDefault="004405A4" w:rsidP="00130BE9">
      <w:pPr>
        <w:ind w:firstLine="720"/>
        <w:rPr>
          <w:szCs w:val="24"/>
        </w:rPr>
      </w:pPr>
      <w:r w:rsidRPr="00E13058">
        <w:rPr>
          <w:szCs w:val="24"/>
        </w:rPr>
        <w:t>АЧТВ – активированное частичное тромбопластиновое время</w:t>
      </w:r>
    </w:p>
    <w:p w14:paraId="3149E3D2" w14:textId="77777777" w:rsidR="00696A4B" w:rsidRPr="00E13058" w:rsidRDefault="00696A4B" w:rsidP="00130BE9">
      <w:pPr>
        <w:ind w:left="708" w:firstLine="12"/>
        <w:rPr>
          <w:szCs w:val="24"/>
        </w:rPr>
      </w:pPr>
      <w:r w:rsidRPr="00E13058">
        <w:rPr>
          <w:szCs w:val="24"/>
        </w:rPr>
        <w:t>Б</w:t>
      </w:r>
      <w:r w:rsidR="00D048C3" w:rsidRPr="00E13058">
        <w:rPr>
          <w:szCs w:val="24"/>
        </w:rPr>
        <w:t>Р</w:t>
      </w:r>
      <w:r w:rsidRPr="00E13058">
        <w:rPr>
          <w:szCs w:val="24"/>
        </w:rPr>
        <w:t>В – безрецидивная выживаемость</w:t>
      </w:r>
    </w:p>
    <w:p w14:paraId="26C198E7" w14:textId="77777777" w:rsidR="00B2588F" w:rsidRPr="00E13058" w:rsidRDefault="00B2588F" w:rsidP="00130BE9">
      <w:pPr>
        <w:ind w:left="708" w:firstLine="12"/>
        <w:rPr>
          <w:szCs w:val="24"/>
        </w:rPr>
      </w:pPr>
      <w:r w:rsidRPr="00E13058">
        <w:rPr>
          <w:szCs w:val="24"/>
        </w:rPr>
        <w:t xml:space="preserve">ВОЗ классификация </w:t>
      </w:r>
      <w:r w:rsidR="00B30EAF" w:rsidRPr="00E13058">
        <w:rPr>
          <w:szCs w:val="24"/>
        </w:rPr>
        <w:t>–</w:t>
      </w:r>
      <w:r w:rsidRPr="00E13058">
        <w:rPr>
          <w:szCs w:val="24"/>
        </w:rPr>
        <w:t xml:space="preserve"> классификация Всемирной организации здравоохранения</w:t>
      </w:r>
    </w:p>
    <w:p w14:paraId="6C138BA4" w14:textId="77777777" w:rsidR="002624F0" w:rsidRPr="00E13058" w:rsidRDefault="002624F0" w:rsidP="002624F0">
      <w:pPr>
        <w:ind w:left="708" w:firstLine="12"/>
        <w:rPr>
          <w:szCs w:val="24"/>
        </w:rPr>
      </w:pPr>
      <w:r w:rsidRPr="00E13058">
        <w:rPr>
          <w:szCs w:val="24"/>
        </w:rPr>
        <w:t>Г-КСФ</w:t>
      </w:r>
      <w:r w:rsidR="00B30EAF" w:rsidRPr="00E13058">
        <w:rPr>
          <w:szCs w:val="24"/>
        </w:rPr>
        <w:t xml:space="preserve"> –</w:t>
      </w:r>
      <w:r w:rsidRPr="00E13058">
        <w:rPr>
          <w:szCs w:val="24"/>
        </w:rPr>
        <w:t xml:space="preserve"> гранулоцитарный колониестимулирующий фактор</w:t>
      </w:r>
    </w:p>
    <w:p w14:paraId="44E0F57C" w14:textId="77777777" w:rsidR="00AF128D" w:rsidRPr="00E13058" w:rsidRDefault="00AF128D" w:rsidP="00130BE9">
      <w:pPr>
        <w:ind w:left="708" w:firstLine="12"/>
        <w:rPr>
          <w:szCs w:val="24"/>
        </w:rPr>
      </w:pPr>
      <w:r w:rsidRPr="00E13058">
        <w:rPr>
          <w:szCs w:val="24"/>
        </w:rPr>
        <w:t>ИТ – индукционная терапия</w:t>
      </w:r>
    </w:p>
    <w:p w14:paraId="053666E6" w14:textId="77777777" w:rsidR="00B2588F" w:rsidRPr="00E13058" w:rsidRDefault="00B2588F" w:rsidP="00130BE9">
      <w:pPr>
        <w:ind w:firstLine="720"/>
        <w:rPr>
          <w:szCs w:val="24"/>
        </w:rPr>
      </w:pPr>
      <w:r w:rsidRPr="00E13058">
        <w:rPr>
          <w:szCs w:val="24"/>
        </w:rPr>
        <w:t xml:space="preserve">ИТК – тирозинкиназный ингибитор </w:t>
      </w:r>
    </w:p>
    <w:p w14:paraId="131638A9" w14:textId="77777777" w:rsidR="00AF128D" w:rsidRPr="00E13058" w:rsidRDefault="00AF128D" w:rsidP="00130BE9">
      <w:pPr>
        <w:ind w:firstLine="720"/>
        <w:rPr>
          <w:szCs w:val="24"/>
        </w:rPr>
      </w:pPr>
      <w:r w:rsidRPr="00E13058">
        <w:rPr>
          <w:szCs w:val="24"/>
        </w:rPr>
        <w:t>КИ – клинические исследования</w:t>
      </w:r>
    </w:p>
    <w:p w14:paraId="56885A39" w14:textId="77777777" w:rsidR="00AF128D" w:rsidRPr="00E13058" w:rsidRDefault="00AF128D" w:rsidP="00130BE9">
      <w:pPr>
        <w:ind w:firstLine="720"/>
        <w:rPr>
          <w:szCs w:val="24"/>
        </w:rPr>
      </w:pPr>
      <w:r w:rsidRPr="00E13058">
        <w:rPr>
          <w:szCs w:val="24"/>
        </w:rPr>
        <w:t>КМ – костный мозг</w:t>
      </w:r>
    </w:p>
    <w:p w14:paraId="47FA2AB4" w14:textId="77777777" w:rsidR="00515814" w:rsidRPr="00E13058" w:rsidRDefault="00515814" w:rsidP="00515814">
      <w:pPr>
        <w:ind w:left="708" w:firstLine="12"/>
        <w:rPr>
          <w:szCs w:val="24"/>
        </w:rPr>
      </w:pPr>
      <w:r w:rsidRPr="00E13058">
        <w:rPr>
          <w:szCs w:val="24"/>
        </w:rPr>
        <w:t>КТ – компьютерная томография</w:t>
      </w:r>
    </w:p>
    <w:p w14:paraId="634507BE" w14:textId="77777777" w:rsidR="00920FB2" w:rsidRPr="00E13058" w:rsidRDefault="00920FB2" w:rsidP="00920FB2">
      <w:pPr>
        <w:ind w:firstLine="720"/>
        <w:rPr>
          <w:szCs w:val="24"/>
        </w:rPr>
      </w:pPr>
      <w:r w:rsidRPr="00E13058">
        <w:rPr>
          <w:szCs w:val="24"/>
        </w:rPr>
        <w:t xml:space="preserve">ЛБ – </w:t>
      </w:r>
      <w:r w:rsidR="00B30EAF" w:rsidRPr="00E13058">
        <w:rPr>
          <w:szCs w:val="24"/>
        </w:rPr>
        <w:t xml:space="preserve">лимфома </w:t>
      </w:r>
      <w:r w:rsidRPr="00E13058">
        <w:rPr>
          <w:szCs w:val="24"/>
        </w:rPr>
        <w:t>Беркитта</w:t>
      </w:r>
    </w:p>
    <w:p w14:paraId="6A46E162" w14:textId="77777777" w:rsidR="001E770A" w:rsidRPr="00E13058" w:rsidRDefault="001E770A" w:rsidP="00920FB2">
      <w:pPr>
        <w:ind w:firstLine="720"/>
        <w:rPr>
          <w:szCs w:val="24"/>
        </w:rPr>
      </w:pPr>
      <w:r w:rsidRPr="00E13058">
        <w:rPr>
          <w:szCs w:val="24"/>
        </w:rPr>
        <w:t>ЛБЛ – лимфобластная лимфома</w:t>
      </w:r>
    </w:p>
    <w:p w14:paraId="3C4152E1" w14:textId="77777777" w:rsidR="00515814" w:rsidRPr="00E13058" w:rsidRDefault="00515814" w:rsidP="00515814">
      <w:pPr>
        <w:ind w:left="708" w:firstLine="12"/>
        <w:rPr>
          <w:szCs w:val="24"/>
        </w:rPr>
      </w:pPr>
      <w:r w:rsidRPr="00E13058">
        <w:rPr>
          <w:szCs w:val="24"/>
        </w:rPr>
        <w:t>ЛДГ</w:t>
      </w:r>
      <w:r w:rsidR="00B30EAF" w:rsidRPr="00E13058">
        <w:rPr>
          <w:szCs w:val="24"/>
        </w:rPr>
        <w:t xml:space="preserve"> –</w:t>
      </w:r>
      <w:r w:rsidRPr="00E13058">
        <w:rPr>
          <w:szCs w:val="24"/>
        </w:rPr>
        <w:t xml:space="preserve"> лактатдегидрогеназа</w:t>
      </w:r>
    </w:p>
    <w:p w14:paraId="31155941" w14:textId="77777777" w:rsidR="00B2588F" w:rsidRPr="00E13058" w:rsidRDefault="00AF128D" w:rsidP="00130BE9">
      <w:pPr>
        <w:ind w:firstLine="720"/>
        <w:rPr>
          <w:szCs w:val="24"/>
        </w:rPr>
      </w:pPr>
      <w:r w:rsidRPr="00E13058">
        <w:rPr>
          <w:szCs w:val="24"/>
        </w:rPr>
        <w:t>МОБ</w:t>
      </w:r>
      <w:r w:rsidR="00B2588F" w:rsidRPr="00E13058">
        <w:rPr>
          <w:szCs w:val="24"/>
        </w:rPr>
        <w:t xml:space="preserve"> </w:t>
      </w:r>
      <w:r w:rsidR="00B30EAF" w:rsidRPr="00E13058">
        <w:rPr>
          <w:szCs w:val="24"/>
        </w:rPr>
        <w:t>–</w:t>
      </w:r>
      <w:r w:rsidR="00B2588F" w:rsidRPr="00E13058">
        <w:rPr>
          <w:szCs w:val="24"/>
        </w:rPr>
        <w:t xml:space="preserve"> минимальная </w:t>
      </w:r>
      <w:r w:rsidR="006C1127" w:rsidRPr="00E13058">
        <w:rPr>
          <w:szCs w:val="24"/>
        </w:rPr>
        <w:t xml:space="preserve">остаточная </w:t>
      </w:r>
      <w:r w:rsidR="00B2588F" w:rsidRPr="00E13058">
        <w:rPr>
          <w:szCs w:val="24"/>
        </w:rPr>
        <w:t>болезнь</w:t>
      </w:r>
    </w:p>
    <w:p w14:paraId="1B0DF273" w14:textId="77777777" w:rsidR="00163A76" w:rsidRPr="00E13058" w:rsidRDefault="00163A76" w:rsidP="00515814">
      <w:pPr>
        <w:ind w:left="708" w:firstLine="12"/>
        <w:rPr>
          <w:szCs w:val="24"/>
        </w:rPr>
      </w:pPr>
      <w:r w:rsidRPr="00E13058">
        <w:rPr>
          <w:szCs w:val="24"/>
        </w:rPr>
        <w:t>НХЛ – неходжкинские лимфомы</w:t>
      </w:r>
    </w:p>
    <w:p w14:paraId="011AE578" w14:textId="77777777" w:rsidR="00515814" w:rsidRPr="00E13058" w:rsidRDefault="00515814" w:rsidP="00515814">
      <w:pPr>
        <w:ind w:left="708" w:firstLine="12"/>
        <w:rPr>
          <w:szCs w:val="24"/>
        </w:rPr>
      </w:pPr>
      <w:r w:rsidRPr="00E13058">
        <w:rPr>
          <w:szCs w:val="24"/>
        </w:rPr>
        <w:t>ОАК</w:t>
      </w:r>
      <w:r w:rsidR="00B30EAF" w:rsidRPr="00E13058">
        <w:rPr>
          <w:szCs w:val="24"/>
        </w:rPr>
        <w:t xml:space="preserve"> –</w:t>
      </w:r>
      <w:r w:rsidRPr="00E13058">
        <w:rPr>
          <w:szCs w:val="24"/>
        </w:rPr>
        <w:t xml:space="preserve"> общий (клинический) анализ крови</w:t>
      </w:r>
    </w:p>
    <w:p w14:paraId="7FE1EF34" w14:textId="77777777" w:rsidR="00B0062D" w:rsidRPr="00E13058" w:rsidRDefault="00B0062D" w:rsidP="00515814">
      <w:pPr>
        <w:ind w:left="708" w:firstLine="12"/>
        <w:rPr>
          <w:szCs w:val="24"/>
        </w:rPr>
      </w:pPr>
      <w:r w:rsidRPr="00E13058">
        <w:rPr>
          <w:szCs w:val="24"/>
        </w:rPr>
        <w:t xml:space="preserve">ОВ </w:t>
      </w:r>
      <w:r w:rsidR="008B33F3" w:rsidRPr="00E13058">
        <w:rPr>
          <w:szCs w:val="24"/>
        </w:rPr>
        <w:t>–</w:t>
      </w:r>
      <w:r w:rsidRPr="00E13058">
        <w:rPr>
          <w:szCs w:val="24"/>
        </w:rPr>
        <w:t xml:space="preserve"> общая выживаемость </w:t>
      </w:r>
    </w:p>
    <w:p w14:paraId="19A28A17" w14:textId="77777777" w:rsidR="002513F6" w:rsidRPr="00E13058" w:rsidRDefault="002513F6" w:rsidP="00515814">
      <w:pPr>
        <w:ind w:left="708" w:firstLine="12"/>
        <w:rPr>
          <w:szCs w:val="24"/>
        </w:rPr>
      </w:pPr>
      <w:r w:rsidRPr="00E13058">
        <w:rPr>
          <w:szCs w:val="24"/>
        </w:rPr>
        <w:t>ОЛ – острый лейкоз</w:t>
      </w:r>
    </w:p>
    <w:p w14:paraId="0B985E77" w14:textId="77777777" w:rsidR="00B2588F" w:rsidRPr="00E13058" w:rsidRDefault="00B2588F" w:rsidP="00130BE9">
      <w:pPr>
        <w:ind w:firstLine="720"/>
        <w:rPr>
          <w:szCs w:val="24"/>
        </w:rPr>
      </w:pPr>
      <w:r w:rsidRPr="00E13058">
        <w:rPr>
          <w:szCs w:val="24"/>
        </w:rPr>
        <w:t xml:space="preserve">ОЛЛ </w:t>
      </w:r>
      <w:r w:rsidR="00B30EAF" w:rsidRPr="00E13058">
        <w:rPr>
          <w:szCs w:val="24"/>
        </w:rPr>
        <w:t>–</w:t>
      </w:r>
      <w:r w:rsidRPr="00E13058">
        <w:rPr>
          <w:szCs w:val="24"/>
        </w:rPr>
        <w:t xml:space="preserve"> острый лимфобластный лейкоз</w:t>
      </w:r>
    </w:p>
    <w:p w14:paraId="6F6CA0FE" w14:textId="77777777" w:rsidR="00B2588F" w:rsidRPr="00E13058" w:rsidRDefault="00B2588F" w:rsidP="00130BE9">
      <w:pPr>
        <w:ind w:firstLine="720"/>
        <w:rPr>
          <w:szCs w:val="24"/>
        </w:rPr>
      </w:pPr>
      <w:r w:rsidRPr="00E13058">
        <w:rPr>
          <w:szCs w:val="24"/>
        </w:rPr>
        <w:t>ОМЛ</w:t>
      </w:r>
      <w:r w:rsidR="00B30EAF" w:rsidRPr="00E13058">
        <w:rPr>
          <w:szCs w:val="24"/>
        </w:rPr>
        <w:t xml:space="preserve"> –</w:t>
      </w:r>
      <w:r w:rsidRPr="00E13058">
        <w:rPr>
          <w:szCs w:val="24"/>
        </w:rPr>
        <w:t xml:space="preserve"> острый миелоидный лейкоз</w:t>
      </w:r>
    </w:p>
    <w:p w14:paraId="35691F18" w14:textId="77777777" w:rsidR="002624F0" w:rsidRPr="00E13058" w:rsidRDefault="002624F0" w:rsidP="002624F0">
      <w:pPr>
        <w:ind w:left="708" w:firstLine="12"/>
        <w:rPr>
          <w:szCs w:val="24"/>
        </w:rPr>
      </w:pPr>
      <w:r w:rsidRPr="00E13058">
        <w:rPr>
          <w:szCs w:val="24"/>
        </w:rPr>
        <w:t>ОРДС</w:t>
      </w:r>
      <w:r w:rsidR="00B30EAF" w:rsidRPr="00E13058">
        <w:rPr>
          <w:szCs w:val="24"/>
        </w:rPr>
        <w:t xml:space="preserve"> –</w:t>
      </w:r>
      <w:r w:rsidR="00E13058">
        <w:rPr>
          <w:szCs w:val="24"/>
        </w:rPr>
        <w:t xml:space="preserve"> острый респираторный дистресс-</w:t>
      </w:r>
      <w:r w:rsidRPr="00E13058">
        <w:rPr>
          <w:szCs w:val="24"/>
        </w:rPr>
        <w:t>синдром</w:t>
      </w:r>
    </w:p>
    <w:p w14:paraId="1CDAA813" w14:textId="77777777" w:rsidR="00515814" w:rsidRPr="00E13058" w:rsidRDefault="00515814" w:rsidP="00515814">
      <w:pPr>
        <w:ind w:left="708" w:firstLine="12"/>
        <w:rPr>
          <w:szCs w:val="24"/>
        </w:rPr>
      </w:pPr>
      <w:r w:rsidRPr="00E13058">
        <w:rPr>
          <w:szCs w:val="24"/>
        </w:rPr>
        <w:t>ОТ-ПЦР – полимеразная цепная реакция с обратной транскрипцией</w:t>
      </w:r>
    </w:p>
    <w:p w14:paraId="0B6E97E7" w14:textId="77777777" w:rsidR="002513F6" w:rsidRPr="00E13058" w:rsidRDefault="002513F6" w:rsidP="00515814">
      <w:pPr>
        <w:ind w:left="708" w:firstLine="12"/>
        <w:rPr>
          <w:szCs w:val="24"/>
        </w:rPr>
      </w:pPr>
      <w:r w:rsidRPr="00E13058">
        <w:rPr>
          <w:szCs w:val="24"/>
        </w:rPr>
        <w:t>ПР – полная ремиссия</w:t>
      </w:r>
    </w:p>
    <w:p w14:paraId="2CC638D5" w14:textId="77777777" w:rsidR="00B2588F" w:rsidRPr="00E13058" w:rsidRDefault="00B2588F" w:rsidP="00130BE9">
      <w:pPr>
        <w:ind w:firstLine="720"/>
        <w:rPr>
          <w:szCs w:val="24"/>
        </w:rPr>
      </w:pPr>
      <w:r w:rsidRPr="00E13058">
        <w:rPr>
          <w:szCs w:val="24"/>
        </w:rPr>
        <w:t>ПЦР – полимеразная цепная реакция</w:t>
      </w:r>
    </w:p>
    <w:p w14:paraId="4B7F1AE5" w14:textId="77777777" w:rsidR="00487D2C" w:rsidRPr="00E13058" w:rsidRDefault="00487D2C" w:rsidP="00130BE9">
      <w:pPr>
        <w:ind w:firstLine="720"/>
        <w:rPr>
          <w:szCs w:val="24"/>
        </w:rPr>
      </w:pPr>
      <w:r w:rsidRPr="00E13058">
        <w:rPr>
          <w:szCs w:val="24"/>
        </w:rPr>
        <w:t>ПЭТ</w:t>
      </w:r>
      <w:r w:rsidR="00A27AD5">
        <w:rPr>
          <w:szCs w:val="24"/>
        </w:rPr>
        <w:t>/КТ</w:t>
      </w:r>
      <w:r w:rsidRPr="00E13058">
        <w:rPr>
          <w:szCs w:val="24"/>
        </w:rPr>
        <w:t xml:space="preserve"> – </w:t>
      </w:r>
      <w:r w:rsidRPr="00E13058">
        <w:t>позитронно-эмиссионная</w:t>
      </w:r>
      <w:r w:rsidR="00A27AD5">
        <w:t xml:space="preserve"> компьютерная</w:t>
      </w:r>
      <w:r w:rsidRPr="00E13058">
        <w:t xml:space="preserve"> томография</w:t>
      </w:r>
    </w:p>
    <w:p w14:paraId="6637A306" w14:textId="77777777" w:rsidR="00B2588F" w:rsidRPr="00E13058" w:rsidRDefault="00B2588F" w:rsidP="002624F0">
      <w:pPr>
        <w:ind w:firstLine="720"/>
        <w:rPr>
          <w:szCs w:val="24"/>
        </w:rPr>
      </w:pPr>
      <w:r w:rsidRPr="00E13058">
        <w:rPr>
          <w:szCs w:val="24"/>
        </w:rPr>
        <w:t>ТГСК – трансплант</w:t>
      </w:r>
      <w:r w:rsidR="00946A73" w:rsidRPr="00E13058">
        <w:rPr>
          <w:szCs w:val="24"/>
        </w:rPr>
        <w:t>ация гемопоэтических стволовых кл</w:t>
      </w:r>
      <w:r w:rsidRPr="00E13058">
        <w:rPr>
          <w:szCs w:val="24"/>
        </w:rPr>
        <w:t>е</w:t>
      </w:r>
      <w:r w:rsidR="00946A73" w:rsidRPr="00E13058">
        <w:rPr>
          <w:szCs w:val="24"/>
        </w:rPr>
        <w:t>т</w:t>
      </w:r>
      <w:r w:rsidRPr="00E13058">
        <w:rPr>
          <w:szCs w:val="24"/>
        </w:rPr>
        <w:t>ок</w:t>
      </w:r>
    </w:p>
    <w:p w14:paraId="7F76033A" w14:textId="77777777" w:rsidR="002624F0" w:rsidRPr="00E13058" w:rsidRDefault="002624F0" w:rsidP="002624F0">
      <w:pPr>
        <w:pStyle w:val="18"/>
        <w:spacing w:before="0" w:beforeAutospacing="0" w:after="0" w:afterAutospacing="0"/>
        <w:ind w:firstLine="709"/>
        <w:contextualSpacing/>
        <w:jc w:val="both"/>
      </w:pPr>
      <w:r w:rsidRPr="00E13058">
        <w:t>УДД – уровень достоверности доказательств</w:t>
      </w:r>
    </w:p>
    <w:p w14:paraId="6D66D768" w14:textId="77777777" w:rsidR="00515814" w:rsidRPr="00E13058" w:rsidRDefault="00515814" w:rsidP="002624F0">
      <w:pPr>
        <w:ind w:left="708" w:firstLine="12"/>
        <w:rPr>
          <w:szCs w:val="24"/>
        </w:rPr>
      </w:pPr>
      <w:r w:rsidRPr="00E13058">
        <w:rPr>
          <w:szCs w:val="24"/>
        </w:rPr>
        <w:t>УЗИ</w:t>
      </w:r>
      <w:r w:rsidR="00B30EAF" w:rsidRPr="00E13058">
        <w:rPr>
          <w:szCs w:val="24"/>
        </w:rPr>
        <w:t xml:space="preserve"> –</w:t>
      </w:r>
      <w:r w:rsidRPr="00E13058">
        <w:rPr>
          <w:szCs w:val="24"/>
        </w:rPr>
        <w:t xml:space="preserve"> ультразвуковое исследование</w:t>
      </w:r>
    </w:p>
    <w:p w14:paraId="1D629D0E" w14:textId="77777777" w:rsidR="002624F0" w:rsidRPr="00E13058" w:rsidRDefault="002624F0" w:rsidP="002624F0">
      <w:pPr>
        <w:pStyle w:val="18"/>
        <w:spacing w:before="0" w:beforeAutospacing="0" w:after="0" w:afterAutospacing="0"/>
        <w:ind w:firstLine="709"/>
        <w:contextualSpacing/>
      </w:pPr>
      <w:r w:rsidRPr="00E13058">
        <w:t xml:space="preserve">УУР – уровень убедительности рекомендаций </w:t>
      </w:r>
    </w:p>
    <w:p w14:paraId="6B2FE7B1" w14:textId="77777777" w:rsidR="00C863DF" w:rsidRPr="00E13058" w:rsidRDefault="00C863DF" w:rsidP="00515814">
      <w:pPr>
        <w:ind w:left="708" w:firstLine="12"/>
        <w:rPr>
          <w:szCs w:val="24"/>
        </w:rPr>
      </w:pPr>
      <w:r w:rsidRPr="00E13058">
        <w:rPr>
          <w:szCs w:val="24"/>
        </w:rPr>
        <w:t>ХТ – химиотерапия</w:t>
      </w:r>
    </w:p>
    <w:p w14:paraId="27D867B0" w14:textId="77777777" w:rsidR="005E6AB9" w:rsidRPr="00E13058" w:rsidRDefault="005E6AB9" w:rsidP="00515814">
      <w:pPr>
        <w:ind w:left="708" w:firstLine="12"/>
      </w:pPr>
      <w:r w:rsidRPr="00E13058">
        <w:lastRenderedPageBreak/>
        <w:t xml:space="preserve">ХМЛ – хронический миелолейкоз </w:t>
      </w:r>
    </w:p>
    <w:p w14:paraId="340EA47A" w14:textId="77777777" w:rsidR="005873B0" w:rsidRPr="00E13058" w:rsidRDefault="005873B0" w:rsidP="00515814">
      <w:pPr>
        <w:ind w:left="708" w:firstLine="12"/>
        <w:rPr>
          <w:szCs w:val="24"/>
        </w:rPr>
      </w:pPr>
      <w:r w:rsidRPr="00E13058">
        <w:t>ЦМВ – цитомегаловирус</w:t>
      </w:r>
    </w:p>
    <w:p w14:paraId="30C8B87C" w14:textId="77777777" w:rsidR="00515814" w:rsidRPr="00E13058" w:rsidRDefault="00515814" w:rsidP="00515814">
      <w:pPr>
        <w:ind w:left="708" w:firstLine="12"/>
        <w:rPr>
          <w:szCs w:val="24"/>
        </w:rPr>
      </w:pPr>
      <w:r w:rsidRPr="00E13058">
        <w:rPr>
          <w:szCs w:val="24"/>
        </w:rPr>
        <w:t>ЦНС</w:t>
      </w:r>
      <w:r w:rsidR="00B30EAF" w:rsidRPr="00E13058">
        <w:rPr>
          <w:szCs w:val="24"/>
        </w:rPr>
        <w:t xml:space="preserve"> –</w:t>
      </w:r>
      <w:r w:rsidRPr="00E13058">
        <w:rPr>
          <w:szCs w:val="24"/>
        </w:rPr>
        <w:t xml:space="preserve"> центральная нервная система</w:t>
      </w:r>
    </w:p>
    <w:p w14:paraId="1F5A308F" w14:textId="77777777" w:rsidR="002513F6" w:rsidRPr="00E13058" w:rsidRDefault="002513F6" w:rsidP="00A4256E">
      <w:pPr>
        <w:ind w:left="708" w:firstLine="12"/>
        <w:rPr>
          <w:szCs w:val="24"/>
        </w:rPr>
      </w:pPr>
      <w:r w:rsidRPr="00E13058">
        <w:rPr>
          <w:szCs w:val="24"/>
        </w:rPr>
        <w:t xml:space="preserve">ЭКГ – электрокардиография </w:t>
      </w:r>
    </w:p>
    <w:p w14:paraId="6205AAAD" w14:textId="77777777" w:rsidR="002513F6" w:rsidRPr="00E13058" w:rsidRDefault="002513F6" w:rsidP="00A4256E">
      <w:pPr>
        <w:ind w:left="708" w:firstLine="12"/>
        <w:rPr>
          <w:szCs w:val="24"/>
        </w:rPr>
      </w:pPr>
      <w:r w:rsidRPr="00E13058">
        <w:rPr>
          <w:szCs w:val="24"/>
        </w:rPr>
        <w:t xml:space="preserve">ЭхоКГ – эхокардиография </w:t>
      </w:r>
    </w:p>
    <w:p w14:paraId="0E7188B1" w14:textId="77777777" w:rsidR="00B2588F" w:rsidRPr="00E13058" w:rsidRDefault="00B2588F" w:rsidP="00B2588F">
      <w:pPr>
        <w:ind w:firstLine="720"/>
        <w:rPr>
          <w:szCs w:val="24"/>
        </w:rPr>
      </w:pPr>
      <w:r w:rsidRPr="00E13058">
        <w:rPr>
          <w:szCs w:val="24"/>
          <w:lang w:val="en-US"/>
        </w:rPr>
        <w:t>CD</w:t>
      </w:r>
      <w:r w:rsidRPr="00E13058">
        <w:rPr>
          <w:szCs w:val="24"/>
        </w:rPr>
        <w:t xml:space="preserve"> </w:t>
      </w:r>
      <w:r w:rsidR="00B30EAF" w:rsidRPr="00E13058">
        <w:rPr>
          <w:szCs w:val="24"/>
        </w:rPr>
        <w:t>–</w:t>
      </w:r>
      <w:r w:rsidRPr="00E13058">
        <w:rPr>
          <w:szCs w:val="24"/>
        </w:rPr>
        <w:t xml:space="preserve"> кластер дифференцировки</w:t>
      </w:r>
    </w:p>
    <w:p w14:paraId="3495999C" w14:textId="77777777" w:rsidR="002513F6" w:rsidRPr="00E13058" w:rsidRDefault="002513F6" w:rsidP="002513F6">
      <w:pPr>
        <w:ind w:left="709" w:firstLine="11"/>
        <w:rPr>
          <w:szCs w:val="24"/>
        </w:rPr>
      </w:pPr>
      <w:r w:rsidRPr="00E13058">
        <w:rPr>
          <w:szCs w:val="24"/>
        </w:rPr>
        <w:t>ECOG (Eastern Cooperative Oncology Group status) – шкала оценки состояния пациента по критериям Восточной кооперативной онкологической группы</w:t>
      </w:r>
    </w:p>
    <w:p w14:paraId="6A32CF0F" w14:textId="77777777" w:rsidR="00B2588F" w:rsidRPr="00E13058" w:rsidRDefault="00B2588F" w:rsidP="00B2588F">
      <w:pPr>
        <w:ind w:left="708" w:firstLine="12"/>
        <w:rPr>
          <w:szCs w:val="24"/>
        </w:rPr>
      </w:pPr>
      <w:r w:rsidRPr="00E13058">
        <w:rPr>
          <w:szCs w:val="24"/>
          <w:lang w:val="en-US"/>
        </w:rPr>
        <w:t>EWALL</w:t>
      </w:r>
      <w:r w:rsidRPr="00E13058">
        <w:rPr>
          <w:szCs w:val="24"/>
        </w:rPr>
        <w:t xml:space="preserve"> </w:t>
      </w:r>
      <w:r w:rsidR="00B30EAF" w:rsidRPr="00E13058">
        <w:rPr>
          <w:szCs w:val="24"/>
        </w:rPr>
        <w:t>–</w:t>
      </w:r>
      <w:r w:rsidRPr="00E13058">
        <w:rPr>
          <w:szCs w:val="24"/>
        </w:rPr>
        <w:t xml:space="preserve"> Европейская исследовательская группа по изучению </w:t>
      </w:r>
      <w:r w:rsidR="00AA2B60" w:rsidRPr="00E13058">
        <w:rPr>
          <w:szCs w:val="24"/>
        </w:rPr>
        <w:t>острого лимфобластного лейкоза</w:t>
      </w:r>
      <w:r w:rsidRPr="00E13058">
        <w:rPr>
          <w:szCs w:val="24"/>
        </w:rPr>
        <w:t xml:space="preserve"> </w:t>
      </w:r>
    </w:p>
    <w:p w14:paraId="3A3E670A" w14:textId="77777777" w:rsidR="00B2588F" w:rsidRPr="00E13058" w:rsidRDefault="00B2588F" w:rsidP="00B2588F">
      <w:pPr>
        <w:ind w:left="708" w:firstLine="12"/>
        <w:rPr>
          <w:szCs w:val="24"/>
        </w:rPr>
      </w:pPr>
      <w:r w:rsidRPr="00E13058">
        <w:rPr>
          <w:szCs w:val="24"/>
          <w:lang w:val="en-US"/>
        </w:rPr>
        <w:t>FISH</w:t>
      </w:r>
      <w:r w:rsidRPr="00E13058">
        <w:rPr>
          <w:szCs w:val="24"/>
        </w:rPr>
        <w:t xml:space="preserve">-исследование </w:t>
      </w:r>
      <w:r w:rsidR="00B30EAF" w:rsidRPr="00E13058">
        <w:rPr>
          <w:szCs w:val="24"/>
        </w:rPr>
        <w:t>–</w:t>
      </w:r>
      <w:r w:rsidRPr="00E13058">
        <w:rPr>
          <w:szCs w:val="24"/>
        </w:rPr>
        <w:t xml:space="preserve"> </w:t>
      </w:r>
      <w:bookmarkStart w:id="4" w:name="_Hlk17813174"/>
      <w:r w:rsidRPr="00E13058">
        <w:rPr>
          <w:szCs w:val="24"/>
        </w:rPr>
        <w:t>исследование метод</w:t>
      </w:r>
      <w:r w:rsidR="00E13058">
        <w:rPr>
          <w:szCs w:val="24"/>
        </w:rPr>
        <w:t xml:space="preserve">ом флуоресцентной гибридизации </w:t>
      </w:r>
      <w:r w:rsidRPr="00E13058">
        <w:rPr>
          <w:i/>
          <w:szCs w:val="24"/>
          <w:lang w:val="en-US"/>
        </w:rPr>
        <w:t>in</w:t>
      </w:r>
      <w:r w:rsidRPr="00E13058">
        <w:rPr>
          <w:i/>
          <w:szCs w:val="24"/>
        </w:rPr>
        <w:t xml:space="preserve"> </w:t>
      </w:r>
      <w:r w:rsidRPr="00E13058">
        <w:rPr>
          <w:i/>
          <w:szCs w:val="24"/>
          <w:lang w:val="en-US"/>
        </w:rPr>
        <w:t>situ</w:t>
      </w:r>
      <w:bookmarkEnd w:id="4"/>
    </w:p>
    <w:p w14:paraId="0703B664" w14:textId="77777777" w:rsidR="00B2588F" w:rsidRPr="00E13058" w:rsidRDefault="00B2588F" w:rsidP="00B2588F">
      <w:pPr>
        <w:ind w:left="708" w:firstLine="12"/>
        <w:rPr>
          <w:szCs w:val="24"/>
        </w:rPr>
      </w:pPr>
      <w:r w:rsidRPr="00E13058">
        <w:rPr>
          <w:szCs w:val="24"/>
          <w:lang w:val="en-US"/>
        </w:rPr>
        <w:t>GMALL</w:t>
      </w:r>
      <w:r w:rsidRPr="00E13058">
        <w:rPr>
          <w:szCs w:val="24"/>
        </w:rPr>
        <w:t xml:space="preserve"> – Немецкая исследовательская группа по изучению </w:t>
      </w:r>
      <w:r w:rsidR="00AA2B60" w:rsidRPr="00E13058">
        <w:rPr>
          <w:szCs w:val="24"/>
        </w:rPr>
        <w:t>острого лимфобластного лейкоза</w:t>
      </w:r>
      <w:r w:rsidRPr="00E13058">
        <w:rPr>
          <w:szCs w:val="24"/>
        </w:rPr>
        <w:t xml:space="preserve"> </w:t>
      </w:r>
    </w:p>
    <w:p w14:paraId="3478BFF1" w14:textId="77777777" w:rsidR="00B2588F" w:rsidRPr="00E13058" w:rsidRDefault="00B2588F" w:rsidP="00B2588F">
      <w:pPr>
        <w:ind w:left="708" w:firstLine="12"/>
        <w:rPr>
          <w:szCs w:val="24"/>
        </w:rPr>
      </w:pPr>
      <w:r w:rsidRPr="00E13058">
        <w:rPr>
          <w:szCs w:val="24"/>
          <w:lang w:val="en-US"/>
        </w:rPr>
        <w:t>GRAALL</w:t>
      </w:r>
      <w:r w:rsidRPr="00E13058">
        <w:rPr>
          <w:szCs w:val="24"/>
        </w:rPr>
        <w:t xml:space="preserve"> – Французская исследовательская группа по изучению </w:t>
      </w:r>
      <w:r w:rsidR="00AA2B60" w:rsidRPr="00E13058">
        <w:rPr>
          <w:szCs w:val="24"/>
        </w:rPr>
        <w:t>острого лимфобластного лейкоза</w:t>
      </w:r>
    </w:p>
    <w:p w14:paraId="17686170" w14:textId="77777777" w:rsidR="00B2588F" w:rsidRPr="00E13058" w:rsidRDefault="00B2588F" w:rsidP="00B2588F">
      <w:pPr>
        <w:ind w:left="708" w:firstLine="12"/>
        <w:rPr>
          <w:szCs w:val="24"/>
        </w:rPr>
      </w:pPr>
      <w:r w:rsidRPr="00E13058">
        <w:rPr>
          <w:szCs w:val="24"/>
          <w:lang w:val="en-US"/>
        </w:rPr>
        <w:t>MD</w:t>
      </w:r>
      <w:r w:rsidRPr="00E13058">
        <w:rPr>
          <w:szCs w:val="24"/>
        </w:rPr>
        <w:t xml:space="preserve"> </w:t>
      </w:r>
      <w:r w:rsidRPr="00E13058">
        <w:rPr>
          <w:szCs w:val="24"/>
          <w:lang w:val="en-US"/>
        </w:rPr>
        <w:t>Anderson</w:t>
      </w:r>
      <w:r w:rsidRPr="00E13058">
        <w:rPr>
          <w:szCs w:val="24"/>
        </w:rPr>
        <w:t xml:space="preserve"> </w:t>
      </w:r>
      <w:r w:rsidRPr="00E13058">
        <w:rPr>
          <w:szCs w:val="24"/>
          <w:lang w:val="en-US"/>
        </w:rPr>
        <w:t>CRC</w:t>
      </w:r>
      <w:r w:rsidRPr="00E13058">
        <w:rPr>
          <w:szCs w:val="24"/>
        </w:rPr>
        <w:t xml:space="preserve"> – Американская исследовательская группа онкологического научного центра имени М.Д. Андерсона</w:t>
      </w:r>
    </w:p>
    <w:p w14:paraId="1A6EB3D9" w14:textId="77777777" w:rsidR="00275B80" w:rsidRPr="00E13058" w:rsidRDefault="00275B80" w:rsidP="00275B80">
      <w:pPr>
        <w:ind w:left="720"/>
        <w:rPr>
          <w:szCs w:val="24"/>
        </w:rPr>
      </w:pPr>
      <w:r w:rsidRPr="00E13058">
        <w:rPr>
          <w:szCs w:val="24"/>
        </w:rPr>
        <w:t>Ph+</w:t>
      </w:r>
      <w:r w:rsidR="00CC711C" w:rsidRPr="00E13058">
        <w:rPr>
          <w:szCs w:val="24"/>
        </w:rPr>
        <w:t xml:space="preserve"> </w:t>
      </w:r>
      <w:r w:rsidRPr="00E13058">
        <w:rPr>
          <w:szCs w:val="24"/>
        </w:rPr>
        <w:t xml:space="preserve">ОЛЛ или Ph-позитивный ОЛЛ – острый лимфобластный лейкоз, при котором определеяется транслокация </w:t>
      </w:r>
      <w:r w:rsidRPr="00E13058">
        <w:rPr>
          <w:szCs w:val="24"/>
          <w:lang w:val="en-US"/>
        </w:rPr>
        <w:t>t</w:t>
      </w:r>
      <w:r w:rsidRPr="00E13058">
        <w:rPr>
          <w:szCs w:val="24"/>
        </w:rPr>
        <w:t>(9;22)</w:t>
      </w:r>
    </w:p>
    <w:p w14:paraId="23F63B1D" w14:textId="77777777" w:rsidR="00275B80" w:rsidRPr="00E13058" w:rsidRDefault="00275B80" w:rsidP="00275B80">
      <w:pPr>
        <w:ind w:left="720"/>
        <w:rPr>
          <w:szCs w:val="24"/>
        </w:rPr>
      </w:pPr>
      <w:r w:rsidRPr="00E13058">
        <w:rPr>
          <w:szCs w:val="24"/>
        </w:rPr>
        <w:t>Ph</w:t>
      </w:r>
      <w:r w:rsidR="00046612" w:rsidRPr="00E13058">
        <w:rPr>
          <w:szCs w:val="24"/>
        </w:rPr>
        <w:t>–</w:t>
      </w:r>
      <w:r w:rsidR="00CC711C" w:rsidRPr="00E13058">
        <w:rPr>
          <w:szCs w:val="24"/>
        </w:rPr>
        <w:t xml:space="preserve"> </w:t>
      </w:r>
      <w:r w:rsidRPr="00E13058">
        <w:rPr>
          <w:szCs w:val="24"/>
        </w:rPr>
        <w:t xml:space="preserve">ОЛЛ или Ph-негативный ОЛЛ – острый лимфобластный лейкоз, при котором не обнаруживается транслокация </w:t>
      </w:r>
      <w:r w:rsidRPr="00E13058">
        <w:rPr>
          <w:szCs w:val="24"/>
          <w:lang w:val="en-US"/>
        </w:rPr>
        <w:t>t</w:t>
      </w:r>
      <w:r w:rsidRPr="00E13058">
        <w:rPr>
          <w:szCs w:val="24"/>
        </w:rPr>
        <w:t>(9;22)</w:t>
      </w:r>
    </w:p>
    <w:p w14:paraId="3846929D" w14:textId="0A6B6835" w:rsidR="00956898" w:rsidRDefault="00956898" w:rsidP="00B2588F">
      <w:pPr>
        <w:ind w:left="708" w:firstLine="12"/>
        <w:rPr>
          <w:szCs w:val="24"/>
        </w:rPr>
      </w:pPr>
      <w:r w:rsidRPr="00E13058">
        <w:rPr>
          <w:szCs w:val="24"/>
          <w:lang w:val="en-US"/>
        </w:rPr>
        <w:t>RALL</w:t>
      </w:r>
      <w:r w:rsidRPr="00E13058">
        <w:rPr>
          <w:szCs w:val="24"/>
        </w:rPr>
        <w:t xml:space="preserve"> </w:t>
      </w:r>
      <w:r w:rsidR="00950F44" w:rsidRPr="00E13058">
        <w:rPr>
          <w:szCs w:val="24"/>
        </w:rPr>
        <w:t>–</w:t>
      </w:r>
      <w:r w:rsidRPr="00E13058">
        <w:rPr>
          <w:szCs w:val="24"/>
        </w:rPr>
        <w:t xml:space="preserve"> Российская исследовательская группа по лечению острого лимфо</w:t>
      </w:r>
      <w:r w:rsidR="0087392F">
        <w:rPr>
          <w:szCs w:val="24"/>
        </w:rPr>
        <w:t xml:space="preserve">бластного </w:t>
      </w:r>
      <w:r w:rsidRPr="00E13058">
        <w:rPr>
          <w:szCs w:val="24"/>
        </w:rPr>
        <w:t>лейкоза у взрослых</w:t>
      </w:r>
    </w:p>
    <w:p w14:paraId="06736B07" w14:textId="77777777" w:rsidR="00275B80" w:rsidRPr="00E13058" w:rsidRDefault="00275B80" w:rsidP="00B2588F">
      <w:pPr>
        <w:ind w:left="708" w:firstLine="12"/>
        <w:rPr>
          <w:szCs w:val="24"/>
        </w:rPr>
      </w:pPr>
      <w:r w:rsidRPr="00E13058">
        <w:t xml:space="preserve">TdT –терминальная дезоксинуклеотидилтрансфераза </w:t>
      </w:r>
    </w:p>
    <w:p w14:paraId="14DDA4CB" w14:textId="77777777" w:rsidR="004405A4" w:rsidRPr="00E13058" w:rsidRDefault="004405A4" w:rsidP="004405A4">
      <w:pPr>
        <w:ind w:left="709"/>
        <w:rPr>
          <w:rFonts w:eastAsia="GalsLightC"/>
        </w:rPr>
      </w:pPr>
      <w:r w:rsidRPr="00E13058">
        <w:rPr>
          <w:rFonts w:eastAsia="GalsLightC"/>
        </w:rPr>
        <w:t>** – жизненно необходимые и важнейшие лекарственные препараты</w:t>
      </w:r>
    </w:p>
    <w:p w14:paraId="1607AA88" w14:textId="77777777" w:rsidR="004405A4" w:rsidRPr="00E13058" w:rsidRDefault="004405A4" w:rsidP="004405A4">
      <w:pPr>
        <w:ind w:left="709"/>
        <w:rPr>
          <w:rFonts w:eastAsia="GalsLightC"/>
        </w:rPr>
      </w:pPr>
      <w:r w:rsidRPr="00E13058">
        <w:rPr>
          <w:rFonts w:eastAsia="GalsLightC"/>
        </w:rPr>
        <w:t># – препарат, применяющийся не в</w:t>
      </w:r>
      <w:r w:rsidRPr="00E13058">
        <w:rPr>
          <w:szCs w:val="18"/>
        </w:rPr>
        <w:t xml:space="preserve"> соответствии с показаниями к применению и противопоказаниями, способами применения и дозами, содержащимися в инструкции по применению лекарственного препарата</w:t>
      </w:r>
      <w:r w:rsidRPr="00E13058">
        <w:rPr>
          <w:rFonts w:eastAsia="GalsLightC"/>
        </w:rPr>
        <w:t xml:space="preserve"> (офф-лейбл)</w:t>
      </w:r>
    </w:p>
    <w:p w14:paraId="2DBEEC32" w14:textId="40407536" w:rsidR="0013685E" w:rsidRDefault="00010D3C" w:rsidP="000A5734">
      <w:pPr>
        <w:pStyle w:val="11"/>
      </w:pPr>
      <w:bookmarkStart w:id="5" w:name="_Toc13484794"/>
      <w:bookmarkStart w:id="6" w:name="_Toc26796693"/>
      <w:bookmarkStart w:id="7" w:name="_Toc64467909"/>
      <w:bookmarkStart w:id="8" w:name="_Toc64565623"/>
      <w:r w:rsidRPr="00F207B7">
        <w:lastRenderedPageBreak/>
        <w:t>Термины и определения</w:t>
      </w:r>
      <w:bookmarkEnd w:id="5"/>
      <w:bookmarkEnd w:id="6"/>
      <w:bookmarkEnd w:id="7"/>
      <w:bookmarkEnd w:id="8"/>
    </w:p>
    <w:p w14:paraId="1077F86F" w14:textId="77777777" w:rsidR="0013685E" w:rsidRPr="00FE0C6F" w:rsidRDefault="0013685E" w:rsidP="00A36B14">
      <w:pPr>
        <w:ind w:firstLine="720"/>
        <w:contextualSpacing/>
        <w:rPr>
          <w:lang w:eastAsia="zh-CN"/>
        </w:rPr>
      </w:pPr>
      <w:r w:rsidRPr="00FE0C6F">
        <w:rPr>
          <w:b/>
          <w:lang w:eastAsia="zh-CN"/>
        </w:rPr>
        <w:t>Острые лимфобластные лейкозы</w:t>
      </w:r>
      <w:r w:rsidRPr="00FE0C6F">
        <w:rPr>
          <w:lang w:eastAsia="zh-CN"/>
        </w:rPr>
        <w:t xml:space="preserve"> – это гетерогенная группа клональных заболеваний системы крови, возникающих вследствие мутации </w:t>
      </w:r>
      <w:r w:rsidR="00E94DA2" w:rsidRPr="00FE0C6F">
        <w:rPr>
          <w:lang w:eastAsia="zh-CN"/>
        </w:rPr>
        <w:t>в Т</w:t>
      </w:r>
      <w:r w:rsidR="00D957F4">
        <w:rPr>
          <w:lang w:eastAsia="zh-CN"/>
        </w:rPr>
        <w:t>- или В-клетках-</w:t>
      </w:r>
      <w:r w:rsidR="00E94DA2" w:rsidRPr="00FE0C6F">
        <w:rPr>
          <w:lang w:eastAsia="zh-CN"/>
        </w:rPr>
        <w:t>предшественницах</w:t>
      </w:r>
      <w:r w:rsidR="00D600BD">
        <w:rPr>
          <w:lang w:eastAsia="zh-CN"/>
        </w:rPr>
        <w:t>.</w:t>
      </w:r>
    </w:p>
    <w:p w14:paraId="65826BA0" w14:textId="77777777" w:rsidR="004329A5" w:rsidRPr="00FE0C6F" w:rsidRDefault="004329A5" w:rsidP="00A36B14">
      <w:pPr>
        <w:spacing w:before="120"/>
        <w:ind w:firstLine="720"/>
        <w:contextualSpacing/>
        <w:rPr>
          <w:b/>
          <w:szCs w:val="24"/>
        </w:rPr>
      </w:pPr>
      <w:r w:rsidRPr="00FE0C6F">
        <w:rPr>
          <w:b/>
          <w:szCs w:val="24"/>
          <w:lang w:val="en-US"/>
        </w:rPr>
        <w:t>Ph</w:t>
      </w:r>
      <w:r w:rsidRPr="00FE0C6F">
        <w:rPr>
          <w:b/>
          <w:szCs w:val="24"/>
        </w:rPr>
        <w:t xml:space="preserve">-негативные </w:t>
      </w:r>
      <w:r w:rsidR="000B3728">
        <w:rPr>
          <w:b/>
          <w:lang w:eastAsia="zh-CN"/>
        </w:rPr>
        <w:t>о</w:t>
      </w:r>
      <w:r w:rsidR="000B3728" w:rsidRPr="00FE0C6F">
        <w:rPr>
          <w:b/>
          <w:lang w:eastAsia="zh-CN"/>
        </w:rPr>
        <w:t>стрые лимфобластные лейкозы</w:t>
      </w:r>
      <w:r w:rsidRPr="00FE0C6F">
        <w:rPr>
          <w:b/>
          <w:szCs w:val="24"/>
        </w:rPr>
        <w:t xml:space="preserve"> – </w:t>
      </w:r>
      <w:r w:rsidR="00A621F1" w:rsidRPr="00E82A08">
        <w:rPr>
          <w:szCs w:val="24"/>
        </w:rPr>
        <w:t xml:space="preserve">это </w:t>
      </w:r>
      <w:r w:rsidR="00ED59E7" w:rsidRPr="00FE0C6F">
        <w:rPr>
          <w:szCs w:val="24"/>
        </w:rPr>
        <w:t>группа, объединяющая не</w:t>
      </w:r>
      <w:r w:rsidRPr="00FE0C6F">
        <w:rPr>
          <w:szCs w:val="24"/>
        </w:rPr>
        <w:t>с</w:t>
      </w:r>
      <w:r w:rsidR="00ED59E7" w:rsidRPr="00FE0C6F">
        <w:rPr>
          <w:szCs w:val="24"/>
        </w:rPr>
        <w:t>ко</w:t>
      </w:r>
      <w:r w:rsidRPr="00FE0C6F">
        <w:rPr>
          <w:szCs w:val="24"/>
        </w:rPr>
        <w:t>ль</w:t>
      </w:r>
      <w:r w:rsidR="00ED59E7" w:rsidRPr="00FE0C6F">
        <w:rPr>
          <w:szCs w:val="24"/>
        </w:rPr>
        <w:t>к</w:t>
      </w:r>
      <w:r w:rsidRPr="00FE0C6F">
        <w:rPr>
          <w:szCs w:val="24"/>
        </w:rPr>
        <w:t xml:space="preserve">о подтипов </w:t>
      </w:r>
      <w:r w:rsidR="000B3728">
        <w:rPr>
          <w:szCs w:val="24"/>
        </w:rPr>
        <w:t>острых лимфобластных лейкозов</w:t>
      </w:r>
      <w:r w:rsidRPr="00FE0C6F">
        <w:rPr>
          <w:szCs w:val="24"/>
        </w:rPr>
        <w:t xml:space="preserve">, при которых не обнаруживается </w:t>
      </w:r>
      <w:r w:rsidR="006478FC">
        <w:rPr>
          <w:szCs w:val="24"/>
        </w:rPr>
        <w:t>филадельфийская хромосома (</w:t>
      </w:r>
      <w:r w:rsidR="006478FC">
        <w:rPr>
          <w:szCs w:val="24"/>
          <w:lang w:val="en-US"/>
        </w:rPr>
        <w:t>Ph</w:t>
      </w:r>
      <w:r w:rsidR="00B25135">
        <w:rPr>
          <w:szCs w:val="24"/>
        </w:rPr>
        <w:t>-</w:t>
      </w:r>
      <w:r w:rsidRPr="00FE0C6F">
        <w:rPr>
          <w:szCs w:val="24"/>
          <w:lang w:val="en-US"/>
        </w:rPr>
        <w:t>t</w:t>
      </w:r>
      <w:r w:rsidRPr="00FE0C6F">
        <w:rPr>
          <w:szCs w:val="24"/>
        </w:rPr>
        <w:t>(9;22)</w:t>
      </w:r>
      <w:r w:rsidR="006478FC" w:rsidRPr="00950F44">
        <w:rPr>
          <w:szCs w:val="24"/>
        </w:rPr>
        <w:t>)</w:t>
      </w:r>
      <w:r w:rsidRPr="00FE0C6F">
        <w:rPr>
          <w:szCs w:val="24"/>
        </w:rPr>
        <w:t xml:space="preserve">. В нее </w:t>
      </w:r>
      <w:r w:rsidR="003A6365" w:rsidRPr="00FE0C6F">
        <w:rPr>
          <w:szCs w:val="24"/>
        </w:rPr>
        <w:t>включены</w:t>
      </w:r>
      <w:r w:rsidRPr="00FE0C6F">
        <w:rPr>
          <w:szCs w:val="24"/>
        </w:rPr>
        <w:t xml:space="preserve"> все В-клеточные и Т-клеточные </w:t>
      </w:r>
      <w:r w:rsidR="000B3728">
        <w:rPr>
          <w:szCs w:val="24"/>
        </w:rPr>
        <w:t>острые лимфобластные лейкозы</w:t>
      </w:r>
      <w:r w:rsidR="00ED59E7" w:rsidRPr="00FE0C6F">
        <w:rPr>
          <w:szCs w:val="24"/>
        </w:rPr>
        <w:t xml:space="preserve"> </w:t>
      </w:r>
      <w:r w:rsidR="002513F6">
        <w:rPr>
          <w:szCs w:val="24"/>
        </w:rPr>
        <w:t xml:space="preserve">и лимфобластные </w:t>
      </w:r>
      <w:r w:rsidR="003A6365" w:rsidRPr="00FE0C6F">
        <w:rPr>
          <w:szCs w:val="24"/>
        </w:rPr>
        <w:t>лимфомы</w:t>
      </w:r>
      <w:r w:rsidR="00ED59E7" w:rsidRPr="00FE0C6F">
        <w:rPr>
          <w:szCs w:val="24"/>
        </w:rPr>
        <w:t>.</w:t>
      </w:r>
    </w:p>
    <w:p w14:paraId="5767C6E5" w14:textId="77777777" w:rsidR="004329A5" w:rsidRPr="00FE0C6F" w:rsidRDefault="004329A5" w:rsidP="00A36B14">
      <w:pPr>
        <w:spacing w:before="120"/>
        <w:ind w:firstLine="720"/>
        <w:contextualSpacing/>
        <w:rPr>
          <w:szCs w:val="24"/>
        </w:rPr>
      </w:pPr>
      <w:r w:rsidRPr="00FE0C6F">
        <w:rPr>
          <w:b/>
          <w:szCs w:val="24"/>
          <w:lang w:val="en-US"/>
        </w:rPr>
        <w:t>Ph</w:t>
      </w:r>
      <w:r w:rsidRPr="00FE0C6F">
        <w:rPr>
          <w:b/>
          <w:szCs w:val="24"/>
        </w:rPr>
        <w:t xml:space="preserve">-позитивный </w:t>
      </w:r>
      <w:r w:rsidR="000B3728" w:rsidRPr="000B3728">
        <w:rPr>
          <w:b/>
          <w:szCs w:val="24"/>
        </w:rPr>
        <w:t>острый лимфобластный лейкоз</w:t>
      </w:r>
      <w:r w:rsidRPr="00FE0C6F">
        <w:rPr>
          <w:szCs w:val="24"/>
        </w:rPr>
        <w:t xml:space="preserve"> </w:t>
      </w:r>
      <w:r w:rsidR="00B30EAF">
        <w:rPr>
          <w:szCs w:val="24"/>
        </w:rPr>
        <w:t>–</w:t>
      </w:r>
      <w:r w:rsidR="00A621F1">
        <w:rPr>
          <w:szCs w:val="24"/>
        </w:rPr>
        <w:t xml:space="preserve"> это</w:t>
      </w:r>
      <w:r w:rsidRPr="00FE0C6F">
        <w:rPr>
          <w:szCs w:val="24"/>
        </w:rPr>
        <w:t xml:space="preserve"> вариант </w:t>
      </w:r>
      <w:r w:rsidR="000B3728">
        <w:rPr>
          <w:szCs w:val="24"/>
        </w:rPr>
        <w:t>острого лимфобластного лейкоза</w:t>
      </w:r>
      <w:r w:rsidRPr="00FE0C6F">
        <w:rPr>
          <w:szCs w:val="24"/>
        </w:rPr>
        <w:t>, при котором методом стандартного цитогенетического исследования (</w:t>
      </w:r>
      <w:r w:rsidRPr="00FE0C6F">
        <w:rPr>
          <w:szCs w:val="24"/>
          <w:lang w:val="en-US"/>
        </w:rPr>
        <w:t>G</w:t>
      </w:r>
      <w:r w:rsidRPr="00FE0C6F">
        <w:rPr>
          <w:szCs w:val="24"/>
        </w:rPr>
        <w:t>-</w:t>
      </w:r>
      <w:r w:rsidRPr="00FE0C6F">
        <w:rPr>
          <w:szCs w:val="24"/>
          <w:lang w:val="en-US"/>
        </w:rPr>
        <w:t>banding</w:t>
      </w:r>
      <w:r w:rsidRPr="00FE0C6F">
        <w:rPr>
          <w:szCs w:val="24"/>
        </w:rPr>
        <w:t xml:space="preserve">) или методом </w:t>
      </w:r>
      <w:r w:rsidRPr="00FE0C6F">
        <w:rPr>
          <w:szCs w:val="24"/>
          <w:lang w:val="en-US"/>
        </w:rPr>
        <w:t>FISH</w:t>
      </w:r>
      <w:r w:rsidRPr="00FE0C6F">
        <w:rPr>
          <w:szCs w:val="24"/>
        </w:rPr>
        <w:t xml:space="preserve"> определяется транслокация </w:t>
      </w:r>
      <w:r w:rsidRPr="00FE0C6F">
        <w:rPr>
          <w:szCs w:val="24"/>
          <w:lang w:val="en-US"/>
        </w:rPr>
        <w:t>t</w:t>
      </w:r>
      <w:r w:rsidR="00166B9E">
        <w:rPr>
          <w:szCs w:val="24"/>
        </w:rPr>
        <w:t xml:space="preserve"> </w:t>
      </w:r>
      <w:r w:rsidRPr="00FE0C6F">
        <w:rPr>
          <w:szCs w:val="24"/>
        </w:rPr>
        <w:t xml:space="preserve">(9;22). Диагноз </w:t>
      </w:r>
      <w:r w:rsidRPr="00FE0C6F">
        <w:rPr>
          <w:szCs w:val="24"/>
          <w:lang w:val="en-US"/>
        </w:rPr>
        <w:t>Ph</w:t>
      </w:r>
      <w:r w:rsidR="007220C8">
        <w:rPr>
          <w:szCs w:val="24"/>
        </w:rPr>
        <w:t>-позитивного острого лимфобластного лейкоза</w:t>
      </w:r>
      <w:r w:rsidRPr="00FE0C6F">
        <w:rPr>
          <w:szCs w:val="24"/>
        </w:rPr>
        <w:t xml:space="preserve"> не может быть основан только на методе молекулярной детекции химерного транскрипта. Цитогенетическое или </w:t>
      </w:r>
      <w:r w:rsidRPr="00FE0C6F">
        <w:rPr>
          <w:szCs w:val="24"/>
          <w:lang w:val="en-US"/>
        </w:rPr>
        <w:t>FISH</w:t>
      </w:r>
      <w:r w:rsidR="00031902">
        <w:rPr>
          <w:szCs w:val="24"/>
        </w:rPr>
        <w:t xml:space="preserve"> (</w:t>
      </w:r>
      <w:r w:rsidR="00031902" w:rsidRPr="004329A5">
        <w:rPr>
          <w:szCs w:val="24"/>
        </w:rPr>
        <w:t xml:space="preserve">метод флуоресцентной гибридизации </w:t>
      </w:r>
      <w:r w:rsidR="00031902" w:rsidRPr="004329A5">
        <w:rPr>
          <w:i/>
          <w:szCs w:val="24"/>
          <w:lang w:val="en-US"/>
        </w:rPr>
        <w:t>in</w:t>
      </w:r>
      <w:r w:rsidR="00031902" w:rsidRPr="004329A5">
        <w:rPr>
          <w:i/>
          <w:szCs w:val="24"/>
        </w:rPr>
        <w:t xml:space="preserve"> </w:t>
      </w:r>
      <w:r w:rsidR="00031902" w:rsidRPr="004329A5">
        <w:rPr>
          <w:i/>
          <w:szCs w:val="24"/>
          <w:lang w:val="en-US"/>
        </w:rPr>
        <w:t>situ</w:t>
      </w:r>
      <w:r w:rsidR="00031902">
        <w:rPr>
          <w:i/>
          <w:szCs w:val="24"/>
        </w:rPr>
        <w:t>)</w:t>
      </w:r>
      <w:r w:rsidRPr="00FE0C6F">
        <w:rPr>
          <w:szCs w:val="24"/>
        </w:rPr>
        <w:t xml:space="preserve"> исследования являются обязательными. Методом </w:t>
      </w:r>
      <w:r w:rsidR="00AA2B60">
        <w:rPr>
          <w:szCs w:val="24"/>
        </w:rPr>
        <w:t>поли</w:t>
      </w:r>
      <w:r w:rsidR="00D600BD">
        <w:rPr>
          <w:szCs w:val="24"/>
        </w:rPr>
        <w:t>меразной цепной реакции</w:t>
      </w:r>
      <w:r w:rsidRPr="00FE0C6F">
        <w:rPr>
          <w:szCs w:val="24"/>
        </w:rPr>
        <w:t xml:space="preserve"> определяется вариант химерного транскрипта, который в дальне</w:t>
      </w:r>
      <w:r w:rsidR="00AA2B60">
        <w:rPr>
          <w:szCs w:val="24"/>
        </w:rPr>
        <w:t>й</w:t>
      </w:r>
      <w:r w:rsidRPr="00FE0C6F">
        <w:rPr>
          <w:szCs w:val="24"/>
        </w:rPr>
        <w:t xml:space="preserve">шем используется для мониторинга </w:t>
      </w:r>
      <w:r w:rsidR="00AA2B60">
        <w:rPr>
          <w:szCs w:val="24"/>
        </w:rPr>
        <w:t>м</w:t>
      </w:r>
      <w:r w:rsidR="00935A00">
        <w:rPr>
          <w:szCs w:val="24"/>
        </w:rPr>
        <w:t>и</w:t>
      </w:r>
      <w:r w:rsidR="005A099E">
        <w:rPr>
          <w:szCs w:val="24"/>
        </w:rPr>
        <w:t>нимальной остаточной болезни</w:t>
      </w:r>
      <w:r w:rsidRPr="00FE0C6F">
        <w:rPr>
          <w:szCs w:val="24"/>
        </w:rPr>
        <w:t xml:space="preserve">. </w:t>
      </w:r>
    </w:p>
    <w:p w14:paraId="43461D00" w14:textId="77777777" w:rsidR="004329A5" w:rsidRPr="00FE0C6F" w:rsidRDefault="00B2588F" w:rsidP="00A36B14">
      <w:pPr>
        <w:pStyle w:val="a6"/>
        <w:spacing w:before="120" w:after="0" w:line="360" w:lineRule="auto"/>
        <w:ind w:firstLine="720"/>
        <w:contextualSpacing/>
        <w:rPr>
          <w:szCs w:val="24"/>
        </w:rPr>
      </w:pPr>
      <w:r w:rsidRPr="00FE0C6F">
        <w:rPr>
          <w:b/>
          <w:szCs w:val="24"/>
        </w:rPr>
        <w:t xml:space="preserve">Полная ремиссия </w:t>
      </w:r>
      <w:r w:rsidR="00B30EAF" w:rsidRPr="00D14A75">
        <w:rPr>
          <w:szCs w:val="24"/>
        </w:rPr>
        <w:t>–</w:t>
      </w:r>
      <w:r w:rsidRPr="00D14A75">
        <w:rPr>
          <w:szCs w:val="24"/>
        </w:rPr>
        <w:t xml:space="preserve"> </w:t>
      </w:r>
      <w:r w:rsidRPr="00FE0C6F">
        <w:rPr>
          <w:szCs w:val="24"/>
        </w:rPr>
        <w:t>это</w:t>
      </w:r>
      <w:r w:rsidR="004329A5" w:rsidRPr="00FE0C6F">
        <w:rPr>
          <w:szCs w:val="24"/>
        </w:rPr>
        <w:t xml:space="preserve"> состояние кроветворной ткани, при котором в пунктате костного мозга обнаруживается 5% и менее бластных клеток при нормальном соотношении всех ростков кроветворения, при количестве нейтрофилов в периферической крови более 1,0</w:t>
      </w:r>
      <w:r w:rsidR="00EA3636">
        <w:rPr>
          <w:szCs w:val="24"/>
        </w:rPr>
        <w:t xml:space="preserve"> ×</w:t>
      </w:r>
      <w:r w:rsidR="008A33E0">
        <w:rPr>
          <w:szCs w:val="24"/>
        </w:rPr>
        <w:t xml:space="preserve"> </w:t>
      </w:r>
      <w:r w:rsidR="004329A5" w:rsidRPr="00FE0C6F">
        <w:rPr>
          <w:szCs w:val="24"/>
        </w:rPr>
        <w:t>10</w:t>
      </w:r>
      <w:r w:rsidR="004329A5" w:rsidRPr="00FE0C6F">
        <w:rPr>
          <w:szCs w:val="24"/>
          <w:vertAlign w:val="superscript"/>
        </w:rPr>
        <w:t>9</w:t>
      </w:r>
      <w:r w:rsidR="004329A5" w:rsidRPr="00FE0C6F">
        <w:rPr>
          <w:szCs w:val="24"/>
        </w:rPr>
        <w:t>/л, при количестве тромбоцитов более или равном 100</w:t>
      </w:r>
      <w:r w:rsidR="00EA3636">
        <w:rPr>
          <w:szCs w:val="24"/>
        </w:rPr>
        <w:t xml:space="preserve"> ×</w:t>
      </w:r>
      <w:r w:rsidR="008A33E0">
        <w:rPr>
          <w:szCs w:val="24"/>
        </w:rPr>
        <w:t xml:space="preserve"> </w:t>
      </w:r>
      <w:r w:rsidR="004329A5" w:rsidRPr="00FE0C6F">
        <w:rPr>
          <w:szCs w:val="24"/>
        </w:rPr>
        <w:t>10</w:t>
      </w:r>
      <w:r w:rsidR="004329A5" w:rsidRPr="00FE0C6F">
        <w:rPr>
          <w:szCs w:val="24"/>
          <w:vertAlign w:val="superscript"/>
        </w:rPr>
        <w:t>9</w:t>
      </w:r>
      <w:r w:rsidR="004329A5" w:rsidRPr="00FE0C6F">
        <w:rPr>
          <w:szCs w:val="24"/>
        </w:rPr>
        <w:t>/л, при отсутствии экстрамедуллярных очагов лейкемического роста. Констатация морфологически</w:t>
      </w:r>
      <w:r w:rsidR="00B74743">
        <w:rPr>
          <w:szCs w:val="24"/>
        </w:rPr>
        <w:t xml:space="preserve"> </w:t>
      </w:r>
      <w:r w:rsidR="00B74743" w:rsidRPr="00B74743">
        <w:rPr>
          <w:szCs w:val="24"/>
        </w:rPr>
        <w:t>полной ремиссии</w:t>
      </w:r>
      <w:r w:rsidR="004329A5" w:rsidRPr="00FE0C6F">
        <w:rPr>
          <w:szCs w:val="24"/>
        </w:rPr>
        <w:t xml:space="preserve"> (соответственно, оценка резистентности) осуществляется либо после первой фазы индукционной терапии, либо</w:t>
      </w:r>
      <w:r w:rsidR="00B74743">
        <w:rPr>
          <w:szCs w:val="24"/>
        </w:rPr>
        <w:t xml:space="preserve"> после второй. При отсутствии </w:t>
      </w:r>
      <w:r w:rsidR="00B74743" w:rsidRPr="00B74743">
        <w:rPr>
          <w:szCs w:val="24"/>
        </w:rPr>
        <w:t>полной ремиссии</w:t>
      </w:r>
      <w:r w:rsidR="004329A5" w:rsidRPr="00FE0C6F">
        <w:rPr>
          <w:szCs w:val="24"/>
        </w:rPr>
        <w:t xml:space="preserve"> после завершения двух этапов </w:t>
      </w:r>
      <w:r w:rsidR="005A099E" w:rsidRPr="00FE0C6F">
        <w:rPr>
          <w:szCs w:val="24"/>
        </w:rPr>
        <w:t>индукционной терапии</w:t>
      </w:r>
      <w:r w:rsidR="002513F6">
        <w:rPr>
          <w:szCs w:val="24"/>
        </w:rPr>
        <w:t xml:space="preserve"> </w:t>
      </w:r>
      <w:r w:rsidR="004329A5" w:rsidRPr="00FE0C6F">
        <w:rPr>
          <w:szCs w:val="24"/>
        </w:rPr>
        <w:t xml:space="preserve">регистрируется рефрактерная форма </w:t>
      </w:r>
      <w:r w:rsidR="00E4294B">
        <w:rPr>
          <w:szCs w:val="24"/>
        </w:rPr>
        <w:t>острого лимфобластного лейкоза</w:t>
      </w:r>
      <w:r w:rsidR="004329A5" w:rsidRPr="00FE0C6F">
        <w:rPr>
          <w:szCs w:val="24"/>
        </w:rPr>
        <w:t>. В этой связи необходимо</w:t>
      </w:r>
      <w:r w:rsidR="003210D3">
        <w:rPr>
          <w:szCs w:val="24"/>
        </w:rPr>
        <w:t xml:space="preserve"> подчеркнуть, что у ряда пациентов</w:t>
      </w:r>
      <w:r w:rsidR="004329A5" w:rsidRPr="00FE0C6F">
        <w:rPr>
          <w:szCs w:val="24"/>
        </w:rPr>
        <w:t xml:space="preserve"> после завершения второй фазы </w:t>
      </w:r>
      <w:r w:rsidR="005A099E" w:rsidRPr="00FE0C6F">
        <w:rPr>
          <w:szCs w:val="24"/>
        </w:rPr>
        <w:t>индукционной терапии</w:t>
      </w:r>
      <w:r w:rsidR="002513F6">
        <w:rPr>
          <w:szCs w:val="24"/>
        </w:rPr>
        <w:t xml:space="preserve"> </w:t>
      </w:r>
      <w:r w:rsidR="004329A5" w:rsidRPr="00FE0C6F">
        <w:rPr>
          <w:szCs w:val="24"/>
        </w:rPr>
        <w:t>на фоне восстановления кроветворения после цитостатического воздействия в ранние сроки после его завершения может определяться увеличенный процент бла</w:t>
      </w:r>
      <w:r w:rsidR="00D94970">
        <w:rPr>
          <w:szCs w:val="24"/>
        </w:rPr>
        <w:t>стных клеток (до 10–</w:t>
      </w:r>
      <w:r w:rsidR="004329A5" w:rsidRPr="00FE0C6F">
        <w:rPr>
          <w:szCs w:val="24"/>
        </w:rPr>
        <w:t>12</w:t>
      </w:r>
      <w:r w:rsidR="00D94970">
        <w:rPr>
          <w:szCs w:val="24"/>
        </w:rPr>
        <w:t xml:space="preserve"> %). В этом случае (особенно</w:t>
      </w:r>
      <w:r w:rsidR="00B74743">
        <w:rPr>
          <w:szCs w:val="24"/>
        </w:rPr>
        <w:t xml:space="preserve"> если </w:t>
      </w:r>
      <w:r w:rsidR="00B74743" w:rsidRPr="00B74743">
        <w:rPr>
          <w:szCs w:val="24"/>
        </w:rPr>
        <w:t>полн</w:t>
      </w:r>
      <w:r w:rsidR="00B74743">
        <w:rPr>
          <w:szCs w:val="24"/>
        </w:rPr>
        <w:t>ая</w:t>
      </w:r>
      <w:r w:rsidR="00B74743" w:rsidRPr="00B74743">
        <w:rPr>
          <w:szCs w:val="24"/>
        </w:rPr>
        <w:t xml:space="preserve"> ремисси</w:t>
      </w:r>
      <w:r w:rsidR="00B74743">
        <w:rPr>
          <w:szCs w:val="24"/>
        </w:rPr>
        <w:t>я</w:t>
      </w:r>
      <w:r w:rsidR="004329A5" w:rsidRPr="00FE0C6F">
        <w:rPr>
          <w:szCs w:val="24"/>
        </w:rPr>
        <w:t xml:space="preserve"> была зафиксирована после первой фазы </w:t>
      </w:r>
      <w:r w:rsidR="005A099E" w:rsidRPr="00FE0C6F">
        <w:rPr>
          <w:szCs w:val="24"/>
        </w:rPr>
        <w:t>индукционной терапии</w:t>
      </w:r>
      <w:r w:rsidR="00ED59E7" w:rsidRPr="00FE0C6F">
        <w:rPr>
          <w:szCs w:val="24"/>
        </w:rPr>
        <w:t>)</w:t>
      </w:r>
      <w:r w:rsidR="007F5CF5">
        <w:rPr>
          <w:szCs w:val="24"/>
        </w:rPr>
        <w:t xml:space="preserve"> </w:t>
      </w:r>
      <w:r w:rsidR="007F5CF5" w:rsidRPr="00FE0C6F">
        <w:rPr>
          <w:szCs w:val="24"/>
        </w:rPr>
        <w:t>через неделю на фоне восстановленного кроветворения</w:t>
      </w:r>
      <w:r w:rsidR="00ED59E7" w:rsidRPr="00FE0C6F">
        <w:rPr>
          <w:szCs w:val="24"/>
        </w:rPr>
        <w:t xml:space="preserve"> целесообразно выполнить по</w:t>
      </w:r>
      <w:r w:rsidR="004329A5" w:rsidRPr="00FE0C6F">
        <w:rPr>
          <w:szCs w:val="24"/>
        </w:rPr>
        <w:t xml:space="preserve">вторную стернальную пункцию. </w:t>
      </w:r>
    </w:p>
    <w:p w14:paraId="73D372B9" w14:textId="77777777" w:rsidR="004329A5" w:rsidRPr="00FE0C6F" w:rsidRDefault="00B74743" w:rsidP="00130BE9">
      <w:pPr>
        <w:pStyle w:val="a6"/>
        <w:spacing w:before="120" w:after="0" w:line="360" w:lineRule="auto"/>
        <w:ind w:firstLine="567"/>
        <w:rPr>
          <w:szCs w:val="24"/>
        </w:rPr>
      </w:pPr>
      <w:r>
        <w:rPr>
          <w:szCs w:val="24"/>
        </w:rPr>
        <w:t>П</w:t>
      </w:r>
      <w:r w:rsidRPr="00B74743">
        <w:rPr>
          <w:szCs w:val="24"/>
        </w:rPr>
        <w:t>олн</w:t>
      </w:r>
      <w:r>
        <w:rPr>
          <w:szCs w:val="24"/>
        </w:rPr>
        <w:t>ая</w:t>
      </w:r>
      <w:r w:rsidRPr="00B74743">
        <w:rPr>
          <w:szCs w:val="24"/>
        </w:rPr>
        <w:t xml:space="preserve"> ремисси</w:t>
      </w:r>
      <w:r>
        <w:rPr>
          <w:szCs w:val="24"/>
        </w:rPr>
        <w:t>я</w:t>
      </w:r>
      <w:r w:rsidR="00861982">
        <w:rPr>
          <w:szCs w:val="24"/>
        </w:rPr>
        <w:t xml:space="preserve"> подразделяется на три основных</w:t>
      </w:r>
      <w:r w:rsidR="005A099E">
        <w:rPr>
          <w:szCs w:val="24"/>
        </w:rPr>
        <w:t xml:space="preserve"> типа: 1) цитогенетическая, 2) молекулярная</w:t>
      </w:r>
      <w:r w:rsidR="004329A5" w:rsidRPr="00FE0C6F">
        <w:rPr>
          <w:szCs w:val="24"/>
        </w:rPr>
        <w:t xml:space="preserve">, 3) с неполным восстановлением показателей периферической крови, когда </w:t>
      </w:r>
      <w:r w:rsidR="004329A5" w:rsidRPr="00FE0C6F">
        <w:rPr>
          <w:szCs w:val="24"/>
        </w:rPr>
        <w:lastRenderedPageBreak/>
        <w:t xml:space="preserve">число нейтрофилов менее </w:t>
      </w:r>
      <w:r w:rsidR="00861982">
        <w:rPr>
          <w:szCs w:val="24"/>
        </w:rPr>
        <w:t xml:space="preserve">1 × </w:t>
      </w:r>
      <w:r w:rsidR="004329A5" w:rsidRPr="00FE0C6F">
        <w:rPr>
          <w:szCs w:val="24"/>
        </w:rPr>
        <w:t>10</w:t>
      </w:r>
      <w:r w:rsidR="004329A5" w:rsidRPr="00FE0C6F">
        <w:rPr>
          <w:szCs w:val="24"/>
          <w:vertAlign w:val="superscript"/>
        </w:rPr>
        <w:t>9</w:t>
      </w:r>
      <w:r w:rsidR="001C5D8E">
        <w:rPr>
          <w:szCs w:val="24"/>
        </w:rPr>
        <w:t>/л</w:t>
      </w:r>
      <w:r w:rsidR="00861982">
        <w:rPr>
          <w:szCs w:val="24"/>
        </w:rPr>
        <w:t xml:space="preserve">, а тромбоцитов менее 10 × </w:t>
      </w:r>
      <w:r w:rsidR="004329A5" w:rsidRPr="00FE0C6F">
        <w:rPr>
          <w:szCs w:val="24"/>
        </w:rPr>
        <w:t>10</w:t>
      </w:r>
      <w:r w:rsidR="004329A5" w:rsidRPr="00FE0C6F">
        <w:rPr>
          <w:szCs w:val="24"/>
          <w:vertAlign w:val="superscript"/>
        </w:rPr>
        <w:t>9</w:t>
      </w:r>
      <w:r w:rsidR="005A099E">
        <w:rPr>
          <w:szCs w:val="24"/>
        </w:rPr>
        <w:t>/л</w:t>
      </w:r>
      <w:r w:rsidR="004329A5" w:rsidRPr="00FE0C6F">
        <w:rPr>
          <w:szCs w:val="24"/>
        </w:rPr>
        <w:t>. Последняя категория оговаривается специально, поскольку</w:t>
      </w:r>
      <w:r w:rsidR="00781F4E">
        <w:rPr>
          <w:szCs w:val="24"/>
        </w:rPr>
        <w:t>,</w:t>
      </w:r>
      <w:r w:rsidR="004329A5" w:rsidRPr="00FE0C6F">
        <w:rPr>
          <w:szCs w:val="24"/>
        </w:rPr>
        <w:t xml:space="preserve"> по ряду</w:t>
      </w:r>
      <w:r w:rsidR="003210D3">
        <w:rPr>
          <w:szCs w:val="24"/>
        </w:rPr>
        <w:t xml:space="preserve"> данных, прогноз у таких пациентов</w:t>
      </w:r>
      <w:r w:rsidR="004329A5" w:rsidRPr="00FE0C6F">
        <w:rPr>
          <w:szCs w:val="24"/>
        </w:rPr>
        <w:t xml:space="preserve"> несколько хуже. При этом эксперты не рекомендую</w:t>
      </w:r>
      <w:r w:rsidR="003210D3">
        <w:rPr>
          <w:szCs w:val="24"/>
        </w:rPr>
        <w:t>т констатировать у таких пациентов</w:t>
      </w:r>
      <w:r w:rsidR="004329A5" w:rsidRPr="00FE0C6F">
        <w:rPr>
          <w:szCs w:val="24"/>
        </w:rPr>
        <w:t xml:space="preserve"> </w:t>
      </w:r>
      <w:r w:rsidR="009B2897">
        <w:rPr>
          <w:szCs w:val="24"/>
        </w:rPr>
        <w:t>полную ремиссию</w:t>
      </w:r>
      <w:r w:rsidR="00861982">
        <w:rPr>
          <w:szCs w:val="24"/>
        </w:rPr>
        <w:t>. Тем не менее</w:t>
      </w:r>
      <w:r w:rsidR="004329A5" w:rsidRPr="00FE0C6F">
        <w:rPr>
          <w:szCs w:val="24"/>
        </w:rPr>
        <w:t xml:space="preserve"> вне клинических исслед</w:t>
      </w:r>
      <w:r w:rsidR="00EC55B1" w:rsidRPr="00FE0C6F">
        <w:rPr>
          <w:szCs w:val="24"/>
        </w:rPr>
        <w:t xml:space="preserve">ований эту формулировку ответа </w:t>
      </w:r>
      <w:r w:rsidR="004329A5" w:rsidRPr="00FE0C6F">
        <w:rPr>
          <w:szCs w:val="24"/>
        </w:rPr>
        <w:t>применяют редко.</w:t>
      </w:r>
    </w:p>
    <w:p w14:paraId="11E5085D" w14:textId="77777777" w:rsidR="004329A5" w:rsidRPr="00FE0C6F" w:rsidRDefault="00A41AE7" w:rsidP="00130BE9">
      <w:pPr>
        <w:spacing w:before="120"/>
        <w:ind w:firstLine="567"/>
        <w:rPr>
          <w:szCs w:val="24"/>
        </w:rPr>
      </w:pPr>
      <w:r w:rsidRPr="00FE0C6F">
        <w:rPr>
          <w:szCs w:val="24"/>
        </w:rPr>
        <w:t>Частичная ремиссия (частичный ответ) – этот термин</w:t>
      </w:r>
      <w:r w:rsidR="006A3D44" w:rsidRPr="00FE0C6F">
        <w:rPr>
          <w:szCs w:val="24"/>
        </w:rPr>
        <w:t xml:space="preserve"> </w:t>
      </w:r>
      <w:r w:rsidR="004329A5" w:rsidRPr="00FE0C6F">
        <w:rPr>
          <w:szCs w:val="24"/>
        </w:rPr>
        <w:t>рекомендуют использовать только в</w:t>
      </w:r>
      <w:r w:rsidR="007F5CF5">
        <w:rPr>
          <w:szCs w:val="24"/>
        </w:rPr>
        <w:t xml:space="preserve"> </w:t>
      </w:r>
      <w:r w:rsidR="005518B0" w:rsidRPr="00FE0C6F">
        <w:rPr>
          <w:szCs w:val="24"/>
        </w:rPr>
        <w:t>клинических исслед</w:t>
      </w:r>
      <w:r w:rsidR="005518B0">
        <w:rPr>
          <w:szCs w:val="24"/>
        </w:rPr>
        <w:t>ованиях</w:t>
      </w:r>
      <w:r w:rsidR="004329A5" w:rsidRPr="00FE0C6F">
        <w:rPr>
          <w:szCs w:val="24"/>
        </w:rPr>
        <w:t xml:space="preserve"> </w:t>
      </w:r>
      <w:r w:rsidR="004329A5" w:rsidRPr="00FE0C6F">
        <w:rPr>
          <w:szCs w:val="24"/>
          <w:lang w:val="en-US"/>
        </w:rPr>
        <w:t>I</w:t>
      </w:r>
      <w:r w:rsidR="00861982" w:rsidRPr="00861982">
        <w:rPr>
          <w:szCs w:val="24"/>
        </w:rPr>
        <w:t>–</w:t>
      </w:r>
      <w:r w:rsidR="004329A5" w:rsidRPr="00FE0C6F">
        <w:rPr>
          <w:szCs w:val="24"/>
          <w:lang w:val="en-US"/>
        </w:rPr>
        <w:t>II</w:t>
      </w:r>
      <w:r w:rsidR="004329A5" w:rsidRPr="00FE0C6F">
        <w:rPr>
          <w:szCs w:val="24"/>
        </w:rPr>
        <w:t xml:space="preserve"> фазы, оценивающих противоопухолевую эффективность, токсичность, переносимость новых препаратов и определяющих оптимальные дозы этих препаратов.</w:t>
      </w:r>
      <w:r w:rsidR="006A3D44" w:rsidRPr="00FE0C6F" w:rsidDel="006A3D44">
        <w:rPr>
          <w:szCs w:val="24"/>
        </w:rPr>
        <w:t xml:space="preserve"> </w:t>
      </w:r>
    </w:p>
    <w:p w14:paraId="1A7E93A8" w14:textId="77777777" w:rsidR="004329A5" w:rsidRPr="00FE0C6F" w:rsidRDefault="004329A5" w:rsidP="00A36B14">
      <w:pPr>
        <w:spacing w:before="120"/>
        <w:ind w:firstLine="709"/>
        <w:contextualSpacing/>
        <w:rPr>
          <w:szCs w:val="24"/>
        </w:rPr>
      </w:pPr>
      <w:r w:rsidRPr="00FE0C6F">
        <w:rPr>
          <w:b/>
          <w:szCs w:val="24"/>
        </w:rPr>
        <w:t>Резистентная форма</w:t>
      </w:r>
      <w:r w:rsidRPr="00FE0C6F">
        <w:rPr>
          <w:szCs w:val="24"/>
        </w:rPr>
        <w:t xml:space="preserve"> </w:t>
      </w:r>
      <w:r w:rsidR="006A3D44" w:rsidRPr="00FE0C6F">
        <w:rPr>
          <w:szCs w:val="24"/>
        </w:rPr>
        <w:t xml:space="preserve">– эта форма заболевания, которая </w:t>
      </w:r>
      <w:r w:rsidRPr="00FE0C6F">
        <w:rPr>
          <w:szCs w:val="24"/>
        </w:rPr>
        <w:t>констатируется при отсутствии</w:t>
      </w:r>
      <w:r w:rsidR="00903650">
        <w:rPr>
          <w:szCs w:val="24"/>
        </w:rPr>
        <w:t xml:space="preserve"> полной ремиссии</w:t>
      </w:r>
      <w:r w:rsidRPr="00FE0C6F">
        <w:rPr>
          <w:szCs w:val="24"/>
        </w:rPr>
        <w:t xml:space="preserve"> после завершения двух фаз </w:t>
      </w:r>
      <w:r w:rsidR="002A449C">
        <w:rPr>
          <w:szCs w:val="24"/>
        </w:rPr>
        <w:t>индукционной терапии</w:t>
      </w:r>
      <w:r w:rsidRPr="00FE0C6F">
        <w:rPr>
          <w:szCs w:val="24"/>
        </w:rPr>
        <w:t>.</w:t>
      </w:r>
      <w:r w:rsidR="006A3D44" w:rsidRPr="00FE0C6F" w:rsidDel="006A3D44">
        <w:rPr>
          <w:szCs w:val="24"/>
        </w:rPr>
        <w:t xml:space="preserve"> </w:t>
      </w:r>
    </w:p>
    <w:p w14:paraId="04F34C88" w14:textId="77777777" w:rsidR="004329A5" w:rsidRPr="00FE0C6F" w:rsidRDefault="004329A5" w:rsidP="00A36B14">
      <w:pPr>
        <w:spacing w:before="120"/>
        <w:ind w:firstLine="709"/>
        <w:contextualSpacing/>
        <w:rPr>
          <w:szCs w:val="24"/>
        </w:rPr>
      </w:pPr>
      <w:r w:rsidRPr="008A4E37">
        <w:rPr>
          <w:b/>
          <w:szCs w:val="24"/>
        </w:rPr>
        <w:t>Ранняя смерть</w:t>
      </w:r>
      <w:r w:rsidR="001C5D8E" w:rsidRPr="00861982">
        <w:rPr>
          <w:color w:val="C00000"/>
          <w:szCs w:val="24"/>
        </w:rPr>
        <w:t xml:space="preserve"> –</w:t>
      </w:r>
      <w:r w:rsidR="001C5D8E">
        <w:rPr>
          <w:szCs w:val="24"/>
        </w:rPr>
        <w:t xml:space="preserve"> </w:t>
      </w:r>
      <w:r w:rsidR="00A621F1">
        <w:rPr>
          <w:szCs w:val="24"/>
        </w:rPr>
        <w:t xml:space="preserve">это </w:t>
      </w:r>
      <w:r w:rsidR="001C5D8E">
        <w:rPr>
          <w:szCs w:val="24"/>
        </w:rPr>
        <w:t>смерть пациента</w:t>
      </w:r>
      <w:r w:rsidRPr="00FE0C6F">
        <w:rPr>
          <w:szCs w:val="24"/>
        </w:rPr>
        <w:t xml:space="preserve"> в период </w:t>
      </w:r>
      <w:r w:rsidR="005A099E" w:rsidRPr="00FE0C6F">
        <w:rPr>
          <w:szCs w:val="24"/>
        </w:rPr>
        <w:t>индукционной терапии</w:t>
      </w:r>
      <w:r w:rsidRPr="00FE0C6F">
        <w:rPr>
          <w:szCs w:val="24"/>
        </w:rPr>
        <w:t xml:space="preserve"> (двух фаз индукции для </w:t>
      </w:r>
      <w:r w:rsidR="00E834A0">
        <w:rPr>
          <w:szCs w:val="24"/>
        </w:rPr>
        <w:t>острых лимфобластных лейкозов</w:t>
      </w:r>
      <w:r w:rsidRPr="00FE0C6F">
        <w:rPr>
          <w:szCs w:val="24"/>
        </w:rPr>
        <w:t>). Следует подчеркнуть, что этот критерий является обобща</w:t>
      </w:r>
      <w:r w:rsidR="003210D3">
        <w:rPr>
          <w:szCs w:val="24"/>
        </w:rPr>
        <w:t>ющим для понятия гибели пациента</w:t>
      </w:r>
      <w:r w:rsidRPr="00FE0C6F">
        <w:rPr>
          <w:szCs w:val="24"/>
        </w:rPr>
        <w:t xml:space="preserve"> в процессе </w:t>
      </w:r>
      <w:r w:rsidR="005A099E" w:rsidRPr="00FE0C6F">
        <w:rPr>
          <w:szCs w:val="24"/>
        </w:rPr>
        <w:t>индукционной терапии</w:t>
      </w:r>
      <w:r w:rsidRPr="00FE0C6F">
        <w:rPr>
          <w:szCs w:val="24"/>
        </w:rPr>
        <w:t>. Чаще используют термин «смерть в период индукции», что более четко отражает ситуацию, посколь</w:t>
      </w:r>
      <w:r w:rsidR="001C5D8E">
        <w:rPr>
          <w:szCs w:val="24"/>
        </w:rPr>
        <w:t>ку в ряде случаев смерть пациента</w:t>
      </w:r>
      <w:r w:rsidRPr="00FE0C6F">
        <w:rPr>
          <w:szCs w:val="24"/>
        </w:rPr>
        <w:t xml:space="preserve"> происходит на второй фазе </w:t>
      </w:r>
      <w:r w:rsidR="005A099E" w:rsidRPr="00FE0C6F">
        <w:rPr>
          <w:szCs w:val="24"/>
        </w:rPr>
        <w:t>индукционной терапии</w:t>
      </w:r>
      <w:r w:rsidRPr="00FE0C6F">
        <w:rPr>
          <w:szCs w:val="24"/>
        </w:rPr>
        <w:t xml:space="preserve">, при этом у них была зарегистрирована </w:t>
      </w:r>
      <w:r w:rsidR="00B74743" w:rsidRPr="00B74743">
        <w:rPr>
          <w:szCs w:val="24"/>
        </w:rPr>
        <w:t>полн</w:t>
      </w:r>
      <w:r w:rsidR="00B74743">
        <w:rPr>
          <w:szCs w:val="24"/>
        </w:rPr>
        <w:t>ая</w:t>
      </w:r>
      <w:r w:rsidR="00B74743" w:rsidRPr="00B74743">
        <w:rPr>
          <w:szCs w:val="24"/>
        </w:rPr>
        <w:t xml:space="preserve"> ремисси</w:t>
      </w:r>
      <w:r w:rsidR="00B74743">
        <w:rPr>
          <w:szCs w:val="24"/>
        </w:rPr>
        <w:t>я</w:t>
      </w:r>
      <w:r w:rsidR="007F5CF5">
        <w:rPr>
          <w:szCs w:val="24"/>
        </w:rPr>
        <w:t xml:space="preserve"> </w:t>
      </w:r>
      <w:r w:rsidRPr="00FE0C6F">
        <w:rPr>
          <w:szCs w:val="24"/>
        </w:rPr>
        <w:t xml:space="preserve">после первой фазы </w:t>
      </w:r>
      <w:r w:rsidR="005A099E" w:rsidRPr="00FE0C6F">
        <w:rPr>
          <w:szCs w:val="24"/>
        </w:rPr>
        <w:t>индукционной терапии</w:t>
      </w:r>
      <w:r w:rsidRPr="00FE0C6F">
        <w:rPr>
          <w:szCs w:val="24"/>
        </w:rPr>
        <w:t>. В этих случаях смерть рассматр</w:t>
      </w:r>
      <w:r w:rsidR="008A4E37">
        <w:rPr>
          <w:szCs w:val="24"/>
        </w:rPr>
        <w:t>ивают как смерть в консолидации</w:t>
      </w:r>
      <w:r w:rsidR="00903650">
        <w:rPr>
          <w:szCs w:val="24"/>
        </w:rPr>
        <w:t xml:space="preserve"> или смерть после достижения полной ремиссии</w:t>
      </w:r>
      <w:r w:rsidRPr="00FE0C6F">
        <w:rPr>
          <w:szCs w:val="24"/>
        </w:rPr>
        <w:t xml:space="preserve">. </w:t>
      </w:r>
    </w:p>
    <w:p w14:paraId="04CBAF3D" w14:textId="77777777" w:rsidR="00010D3C" w:rsidRPr="00FE0C6F" w:rsidRDefault="004329A5" w:rsidP="00A36B14">
      <w:pPr>
        <w:spacing w:before="120"/>
        <w:ind w:firstLine="709"/>
        <w:contextualSpacing/>
        <w:rPr>
          <w:szCs w:val="24"/>
        </w:rPr>
      </w:pPr>
      <w:r w:rsidRPr="00FE0C6F">
        <w:rPr>
          <w:b/>
          <w:szCs w:val="24"/>
        </w:rPr>
        <w:t>Рецидив</w:t>
      </w:r>
      <w:r w:rsidR="007F5CF5">
        <w:rPr>
          <w:b/>
          <w:szCs w:val="24"/>
        </w:rPr>
        <w:t xml:space="preserve"> </w:t>
      </w:r>
      <w:r w:rsidR="006A3D44" w:rsidRPr="00FE0C6F">
        <w:rPr>
          <w:szCs w:val="24"/>
        </w:rPr>
        <w:t xml:space="preserve">– это состояние </w:t>
      </w:r>
      <w:r w:rsidRPr="00FE0C6F">
        <w:rPr>
          <w:szCs w:val="24"/>
        </w:rPr>
        <w:t>констатируется при обнаружении в пунктате костного мозга более 5</w:t>
      </w:r>
      <w:r w:rsidR="00D23E64">
        <w:rPr>
          <w:szCs w:val="24"/>
        </w:rPr>
        <w:t xml:space="preserve"> </w:t>
      </w:r>
      <w:r w:rsidRPr="00FE0C6F">
        <w:rPr>
          <w:szCs w:val="24"/>
        </w:rPr>
        <w:t xml:space="preserve">% бластных клеток. </w:t>
      </w:r>
      <w:r w:rsidR="007F5CF5">
        <w:rPr>
          <w:szCs w:val="24"/>
        </w:rPr>
        <w:t xml:space="preserve">Рецидив </w:t>
      </w:r>
      <w:r w:rsidRPr="00FE0C6F">
        <w:rPr>
          <w:szCs w:val="24"/>
        </w:rPr>
        <w:t xml:space="preserve">заболевания не констатируется при обнаружении в очередном контрольном пунктате </w:t>
      </w:r>
      <w:r w:rsidR="002A449C">
        <w:rPr>
          <w:szCs w:val="24"/>
        </w:rPr>
        <w:t>костного мозга</w:t>
      </w:r>
      <w:r w:rsidRPr="00FE0C6F">
        <w:rPr>
          <w:szCs w:val="24"/>
        </w:rPr>
        <w:t xml:space="preserve"> более 5</w:t>
      </w:r>
      <w:r w:rsidR="00D23E64">
        <w:rPr>
          <w:szCs w:val="24"/>
        </w:rPr>
        <w:t xml:space="preserve"> </w:t>
      </w:r>
      <w:r w:rsidRPr="00FE0C6F">
        <w:rPr>
          <w:szCs w:val="24"/>
        </w:rPr>
        <w:t>% бластных клеток, но менее 10</w:t>
      </w:r>
      <w:r w:rsidR="00D23E64">
        <w:rPr>
          <w:szCs w:val="24"/>
        </w:rPr>
        <w:t xml:space="preserve"> </w:t>
      </w:r>
      <w:r w:rsidRPr="00FE0C6F">
        <w:rPr>
          <w:szCs w:val="24"/>
        </w:rPr>
        <w:t xml:space="preserve">%, в тех случаях, когда пункция </w:t>
      </w:r>
      <w:r w:rsidR="002A449C">
        <w:rPr>
          <w:szCs w:val="24"/>
        </w:rPr>
        <w:t>костного мозга</w:t>
      </w:r>
      <w:r w:rsidRPr="00FE0C6F">
        <w:rPr>
          <w:szCs w:val="24"/>
        </w:rPr>
        <w:t xml:space="preserve"> производится в ранние</w:t>
      </w:r>
      <w:r w:rsidR="00636AEF">
        <w:rPr>
          <w:szCs w:val="24"/>
        </w:rPr>
        <w:t xml:space="preserve"> сроки после курса химиотерапии</w:t>
      </w:r>
      <w:r w:rsidR="00781F4E">
        <w:rPr>
          <w:szCs w:val="24"/>
        </w:rPr>
        <w:t xml:space="preserve"> </w:t>
      </w:r>
      <w:r w:rsidR="00465085" w:rsidRPr="00FE0C6F">
        <w:rPr>
          <w:szCs w:val="24"/>
        </w:rPr>
        <w:t>или</w:t>
      </w:r>
      <w:r w:rsidRPr="00FE0C6F">
        <w:rPr>
          <w:szCs w:val="24"/>
        </w:rPr>
        <w:t xml:space="preserve"> использовались ростовые гемопоэтические факторы с целью сокращения периода нейтропении, при этом анализ периферической крови нормальный и отсутствуют экстрамедуллярные поражения. Вторая диагностическая</w:t>
      </w:r>
      <w:r w:rsidR="00D23E64">
        <w:rPr>
          <w:szCs w:val="24"/>
        </w:rPr>
        <w:t xml:space="preserve"> пункция осуществляется через 7–</w:t>
      </w:r>
      <w:r w:rsidRPr="00FE0C6F">
        <w:rPr>
          <w:szCs w:val="24"/>
        </w:rPr>
        <w:t>10 дней после первой. Если сохраняется процент бластных клеток выше 5 или отмечает</w:t>
      </w:r>
      <w:r w:rsidR="00D23E64">
        <w:rPr>
          <w:szCs w:val="24"/>
        </w:rPr>
        <w:t>ся их увеличение (например, с 7</w:t>
      </w:r>
      <w:r w:rsidRPr="00FE0C6F">
        <w:rPr>
          <w:szCs w:val="24"/>
        </w:rPr>
        <w:t xml:space="preserve"> до 13</w:t>
      </w:r>
      <w:r w:rsidR="00D23E64">
        <w:rPr>
          <w:szCs w:val="24"/>
        </w:rPr>
        <w:t xml:space="preserve"> </w:t>
      </w:r>
      <w:r w:rsidRPr="00FE0C6F">
        <w:rPr>
          <w:szCs w:val="24"/>
        </w:rPr>
        <w:t xml:space="preserve">%), то констатируется рецидив. </w:t>
      </w:r>
    </w:p>
    <w:p w14:paraId="150E629F" w14:textId="77777777" w:rsidR="004329A5" w:rsidRPr="00FE0C6F" w:rsidRDefault="004329A5" w:rsidP="00A36B14">
      <w:pPr>
        <w:spacing w:before="120"/>
        <w:ind w:firstLine="709"/>
        <w:contextualSpacing/>
        <w:rPr>
          <w:szCs w:val="24"/>
        </w:rPr>
      </w:pPr>
      <w:r w:rsidRPr="00FE0C6F">
        <w:rPr>
          <w:b/>
          <w:szCs w:val="24"/>
        </w:rPr>
        <w:t>Ранни</w:t>
      </w:r>
      <w:r w:rsidR="007F5CF5">
        <w:rPr>
          <w:b/>
          <w:szCs w:val="24"/>
        </w:rPr>
        <w:t>й</w:t>
      </w:r>
      <w:r w:rsidRPr="00FE0C6F">
        <w:rPr>
          <w:b/>
          <w:szCs w:val="24"/>
        </w:rPr>
        <w:t xml:space="preserve"> рецидив</w:t>
      </w:r>
      <w:r w:rsidRPr="00FE0C6F">
        <w:rPr>
          <w:szCs w:val="24"/>
        </w:rPr>
        <w:t xml:space="preserve"> </w:t>
      </w:r>
      <w:r w:rsidR="000048A7">
        <w:rPr>
          <w:szCs w:val="24"/>
        </w:rPr>
        <w:t>–</w:t>
      </w:r>
      <w:r w:rsidR="006A3D44" w:rsidRPr="00FE0C6F">
        <w:rPr>
          <w:szCs w:val="24"/>
        </w:rPr>
        <w:t xml:space="preserve"> эта форма рецидива </w:t>
      </w:r>
      <w:r w:rsidRPr="00FE0C6F">
        <w:rPr>
          <w:szCs w:val="24"/>
        </w:rPr>
        <w:t xml:space="preserve">называется в том случае, если он регистрируется </w:t>
      </w:r>
      <w:r w:rsidRPr="00206C30">
        <w:rPr>
          <w:szCs w:val="24"/>
        </w:rPr>
        <w:t xml:space="preserve">раньше, чем через </w:t>
      </w:r>
      <w:r w:rsidR="005E69AD" w:rsidRPr="00206C30">
        <w:rPr>
          <w:szCs w:val="24"/>
        </w:rPr>
        <w:t>полгода</w:t>
      </w:r>
      <w:r w:rsidRPr="00206C30">
        <w:rPr>
          <w:szCs w:val="24"/>
        </w:rPr>
        <w:t xml:space="preserve"> от момента</w:t>
      </w:r>
      <w:r w:rsidR="005E69AD" w:rsidRPr="00206C30">
        <w:rPr>
          <w:szCs w:val="24"/>
        </w:rPr>
        <w:t xml:space="preserve"> окончания поддерживающей терапии или на терапии после достижения ремиссии</w:t>
      </w:r>
      <w:r w:rsidRPr="00206C30">
        <w:rPr>
          <w:szCs w:val="24"/>
        </w:rPr>
        <w:t xml:space="preserve">. Поздним считается тот рецидив, который возникает через </w:t>
      </w:r>
      <w:r w:rsidR="005E69AD" w:rsidRPr="00206C30">
        <w:rPr>
          <w:szCs w:val="24"/>
        </w:rPr>
        <w:t>полгода и более от окончания поддерживающей терапии</w:t>
      </w:r>
      <w:r w:rsidRPr="00206C30">
        <w:rPr>
          <w:szCs w:val="24"/>
        </w:rPr>
        <w:t>. Рецидивом также</w:t>
      </w:r>
      <w:r w:rsidRPr="00FE0C6F">
        <w:rPr>
          <w:szCs w:val="24"/>
        </w:rPr>
        <w:t xml:space="preserve"> является и внекостномозговое поражение (нейролейкемия, поражен</w:t>
      </w:r>
      <w:r w:rsidR="007349F0">
        <w:rPr>
          <w:szCs w:val="24"/>
        </w:rPr>
        <w:t xml:space="preserve">ие </w:t>
      </w:r>
      <w:r w:rsidR="007349F0">
        <w:rPr>
          <w:szCs w:val="24"/>
        </w:rPr>
        <w:lastRenderedPageBreak/>
        <w:t xml:space="preserve">яичек, увеличение селезенки </w:t>
      </w:r>
      <w:r w:rsidRPr="00FE0C6F">
        <w:rPr>
          <w:szCs w:val="24"/>
        </w:rPr>
        <w:t>и т.</w:t>
      </w:r>
      <w:r w:rsidR="00834551">
        <w:rPr>
          <w:szCs w:val="24"/>
        </w:rPr>
        <w:t> </w:t>
      </w:r>
      <w:r w:rsidRPr="00FE0C6F">
        <w:rPr>
          <w:szCs w:val="24"/>
        </w:rPr>
        <w:t xml:space="preserve">д.) даже при отсутствии изменений </w:t>
      </w:r>
      <w:r w:rsidR="007807D6">
        <w:rPr>
          <w:szCs w:val="24"/>
        </w:rPr>
        <w:t xml:space="preserve">в </w:t>
      </w:r>
      <w:r w:rsidRPr="00FE0C6F">
        <w:rPr>
          <w:szCs w:val="24"/>
        </w:rPr>
        <w:t xml:space="preserve">крови и </w:t>
      </w:r>
      <w:r w:rsidR="007807D6">
        <w:rPr>
          <w:szCs w:val="24"/>
        </w:rPr>
        <w:t>костном мозге</w:t>
      </w:r>
      <w:r w:rsidRPr="00FE0C6F">
        <w:rPr>
          <w:szCs w:val="24"/>
        </w:rPr>
        <w:t xml:space="preserve">. </w:t>
      </w:r>
      <w:r w:rsidRPr="00F35309">
        <w:rPr>
          <w:szCs w:val="24"/>
        </w:rPr>
        <w:t>Внекостномозговые рецидивы</w:t>
      </w:r>
      <w:r w:rsidRPr="00FE0C6F">
        <w:rPr>
          <w:szCs w:val="24"/>
        </w:rPr>
        <w:t xml:space="preserve"> (особенно поражение </w:t>
      </w:r>
      <w:r w:rsidR="00636AEF">
        <w:rPr>
          <w:szCs w:val="24"/>
        </w:rPr>
        <w:t>центральной нервной системы)</w:t>
      </w:r>
      <w:r w:rsidRPr="00FE0C6F">
        <w:rPr>
          <w:szCs w:val="24"/>
        </w:rPr>
        <w:t xml:space="preserve"> при использовании современных протоколов лечения</w:t>
      </w:r>
      <w:r w:rsidR="000048A7">
        <w:rPr>
          <w:szCs w:val="24"/>
        </w:rPr>
        <w:t xml:space="preserve"> встречаются приблизительно в 4–</w:t>
      </w:r>
      <w:r w:rsidRPr="00FE0C6F">
        <w:rPr>
          <w:szCs w:val="24"/>
        </w:rPr>
        <w:t>8</w:t>
      </w:r>
      <w:r w:rsidR="000048A7">
        <w:rPr>
          <w:szCs w:val="24"/>
        </w:rPr>
        <w:t xml:space="preserve"> </w:t>
      </w:r>
      <w:r w:rsidRPr="00FE0C6F">
        <w:rPr>
          <w:szCs w:val="24"/>
        </w:rPr>
        <w:t>% случаев. Если констатирован изолированный внекостномозговой рецидив, то, кроме локальной терапии (лечение нейролейкемии, облучение/удаление яичка, удаление лейкемического очага в яичнике и т.</w:t>
      </w:r>
      <w:r w:rsidR="00834551">
        <w:rPr>
          <w:szCs w:val="24"/>
        </w:rPr>
        <w:t> </w:t>
      </w:r>
      <w:r w:rsidRPr="00FE0C6F">
        <w:rPr>
          <w:szCs w:val="24"/>
        </w:rPr>
        <w:t xml:space="preserve">д.), обязательно проведение и системной </w:t>
      </w:r>
      <w:r w:rsidR="005A099E" w:rsidRPr="00FE0C6F">
        <w:rPr>
          <w:szCs w:val="24"/>
        </w:rPr>
        <w:t>индукционной терапии</w:t>
      </w:r>
      <w:r w:rsidR="00834551">
        <w:rPr>
          <w:szCs w:val="24"/>
        </w:rPr>
        <w:t xml:space="preserve"> </w:t>
      </w:r>
      <w:r w:rsidR="00880DD1">
        <w:rPr>
          <w:szCs w:val="24"/>
        </w:rPr>
        <w:t>по протоколам, предусмотренным</w:t>
      </w:r>
      <w:r w:rsidRPr="00FE0C6F">
        <w:rPr>
          <w:szCs w:val="24"/>
        </w:rPr>
        <w:t xml:space="preserve"> для таких рецидивов.</w:t>
      </w:r>
    </w:p>
    <w:p w14:paraId="63EA2EB9" w14:textId="77777777" w:rsidR="004329A5" w:rsidRPr="00FE0C6F" w:rsidRDefault="005A099E" w:rsidP="00A36B14">
      <w:pPr>
        <w:pStyle w:val="a6"/>
        <w:spacing w:before="120" w:after="0" w:line="360" w:lineRule="auto"/>
        <w:ind w:firstLine="709"/>
        <w:contextualSpacing/>
        <w:rPr>
          <w:szCs w:val="24"/>
        </w:rPr>
      </w:pPr>
      <w:r w:rsidRPr="00F03AAE">
        <w:rPr>
          <w:b/>
          <w:szCs w:val="24"/>
        </w:rPr>
        <w:t>Минимальная остаточная болезнь</w:t>
      </w:r>
      <w:r w:rsidR="00A621F1">
        <w:rPr>
          <w:b/>
          <w:szCs w:val="24"/>
        </w:rPr>
        <w:t>,</w:t>
      </w:r>
      <w:r w:rsidR="004329A5" w:rsidRPr="00FE0C6F">
        <w:rPr>
          <w:szCs w:val="24"/>
        </w:rPr>
        <w:t xml:space="preserve"> или минимальн</w:t>
      </w:r>
      <w:r w:rsidR="006A3D44" w:rsidRPr="00FE0C6F">
        <w:rPr>
          <w:szCs w:val="24"/>
        </w:rPr>
        <w:t>ая</w:t>
      </w:r>
      <w:r w:rsidR="004329A5" w:rsidRPr="00FE0C6F">
        <w:rPr>
          <w:szCs w:val="24"/>
        </w:rPr>
        <w:t xml:space="preserve"> </w:t>
      </w:r>
      <w:r w:rsidR="00AF128D">
        <w:rPr>
          <w:szCs w:val="24"/>
        </w:rPr>
        <w:t xml:space="preserve">резидуальная </w:t>
      </w:r>
      <w:r w:rsidR="004329A5" w:rsidRPr="00FE0C6F">
        <w:rPr>
          <w:szCs w:val="24"/>
        </w:rPr>
        <w:t>болезнь</w:t>
      </w:r>
      <w:r w:rsidR="006A3D44" w:rsidRPr="00FE0C6F">
        <w:rPr>
          <w:szCs w:val="24"/>
        </w:rPr>
        <w:t xml:space="preserve"> </w:t>
      </w:r>
      <w:r w:rsidR="008A33E0">
        <w:rPr>
          <w:szCs w:val="24"/>
        </w:rPr>
        <w:t>–</w:t>
      </w:r>
      <w:r w:rsidR="006A3D44" w:rsidRPr="00FE0C6F">
        <w:rPr>
          <w:szCs w:val="24"/>
        </w:rPr>
        <w:t xml:space="preserve"> это</w:t>
      </w:r>
      <w:r w:rsidR="004329A5" w:rsidRPr="00FE0C6F">
        <w:rPr>
          <w:szCs w:val="24"/>
        </w:rPr>
        <w:t xml:space="preserve"> небольш</w:t>
      </w:r>
      <w:r w:rsidR="006A3D44" w:rsidRPr="00FE0C6F">
        <w:rPr>
          <w:szCs w:val="24"/>
        </w:rPr>
        <w:t>ая</w:t>
      </w:r>
      <w:r w:rsidR="004329A5" w:rsidRPr="00FE0C6F">
        <w:rPr>
          <w:szCs w:val="24"/>
        </w:rPr>
        <w:t xml:space="preserve"> популяци</w:t>
      </w:r>
      <w:r w:rsidR="006A3D44" w:rsidRPr="00FE0C6F">
        <w:rPr>
          <w:szCs w:val="24"/>
        </w:rPr>
        <w:t>я</w:t>
      </w:r>
      <w:r w:rsidR="004329A5" w:rsidRPr="00FE0C6F">
        <w:rPr>
          <w:szCs w:val="24"/>
        </w:rPr>
        <w:t xml:space="preserve"> опухолевых клеток, которая не может быть зафиксирована с помощью светового микроскопа, но обнаруживается более тонкими методами исследования, выявляющими 1 лейкемическую клетку на 10</w:t>
      </w:r>
      <w:r w:rsidR="00D845C6">
        <w:rPr>
          <w:szCs w:val="24"/>
          <w:vertAlign w:val="superscript"/>
        </w:rPr>
        <w:t>4–</w:t>
      </w:r>
      <w:r w:rsidR="004329A5" w:rsidRPr="00FE0C6F">
        <w:rPr>
          <w:szCs w:val="24"/>
          <w:vertAlign w:val="superscript"/>
        </w:rPr>
        <w:t>6</w:t>
      </w:r>
      <w:r w:rsidR="004329A5" w:rsidRPr="00FE0C6F">
        <w:rPr>
          <w:szCs w:val="24"/>
        </w:rPr>
        <w:t xml:space="preserve"> исследуемых. Основными методами детекции </w:t>
      </w:r>
      <w:r w:rsidR="00F03AAE" w:rsidRPr="00F03AAE">
        <w:rPr>
          <w:szCs w:val="24"/>
        </w:rPr>
        <w:t>минимальн</w:t>
      </w:r>
      <w:r w:rsidR="00F03AAE">
        <w:rPr>
          <w:szCs w:val="24"/>
        </w:rPr>
        <w:t>ой</w:t>
      </w:r>
      <w:r w:rsidR="00F03AAE" w:rsidRPr="00F03AAE">
        <w:rPr>
          <w:szCs w:val="24"/>
        </w:rPr>
        <w:t xml:space="preserve"> остаточн</w:t>
      </w:r>
      <w:r w:rsidR="00F03AAE">
        <w:rPr>
          <w:szCs w:val="24"/>
        </w:rPr>
        <w:t>ой</w:t>
      </w:r>
      <w:r w:rsidR="00F03AAE" w:rsidRPr="00F03AAE">
        <w:rPr>
          <w:szCs w:val="24"/>
        </w:rPr>
        <w:t xml:space="preserve"> болезн</w:t>
      </w:r>
      <w:r w:rsidR="00F03AAE">
        <w:rPr>
          <w:szCs w:val="24"/>
        </w:rPr>
        <w:t>и</w:t>
      </w:r>
      <w:r w:rsidR="004329A5" w:rsidRPr="00FE0C6F">
        <w:rPr>
          <w:szCs w:val="24"/>
        </w:rPr>
        <w:t xml:space="preserve"> являются проточная цитометрия и </w:t>
      </w:r>
      <w:r w:rsidR="00D600BD">
        <w:rPr>
          <w:szCs w:val="24"/>
        </w:rPr>
        <w:t>полимеразная цепная реакция</w:t>
      </w:r>
      <w:r w:rsidR="004329A5" w:rsidRPr="00FE0C6F">
        <w:rPr>
          <w:szCs w:val="24"/>
        </w:rPr>
        <w:t xml:space="preserve">. Методы стандартного цитогенетического исследования и метод </w:t>
      </w:r>
      <w:r w:rsidR="004329A5" w:rsidRPr="00FE0C6F">
        <w:rPr>
          <w:szCs w:val="24"/>
          <w:lang w:val="en-US"/>
        </w:rPr>
        <w:t>FISH</w:t>
      </w:r>
      <w:r w:rsidR="004329A5" w:rsidRPr="00FE0C6F">
        <w:rPr>
          <w:szCs w:val="24"/>
        </w:rPr>
        <w:t xml:space="preserve"> не используются в целях оценки </w:t>
      </w:r>
      <w:r w:rsidR="00F03AAE" w:rsidRPr="00F03AAE">
        <w:rPr>
          <w:szCs w:val="24"/>
        </w:rPr>
        <w:t>минимальн</w:t>
      </w:r>
      <w:r w:rsidR="00F03AAE">
        <w:rPr>
          <w:szCs w:val="24"/>
        </w:rPr>
        <w:t>ой</w:t>
      </w:r>
      <w:r w:rsidR="00F03AAE" w:rsidRPr="00F03AAE">
        <w:rPr>
          <w:szCs w:val="24"/>
        </w:rPr>
        <w:t xml:space="preserve"> остаточн</w:t>
      </w:r>
      <w:r w:rsidR="00F03AAE">
        <w:rPr>
          <w:szCs w:val="24"/>
        </w:rPr>
        <w:t>ой</w:t>
      </w:r>
      <w:r w:rsidR="00F03AAE" w:rsidRPr="00F03AAE">
        <w:rPr>
          <w:szCs w:val="24"/>
        </w:rPr>
        <w:t xml:space="preserve"> болезн</w:t>
      </w:r>
      <w:r w:rsidR="00F03AAE">
        <w:rPr>
          <w:szCs w:val="24"/>
        </w:rPr>
        <w:t>и</w:t>
      </w:r>
      <w:r w:rsidR="004329A5" w:rsidRPr="00FE0C6F">
        <w:rPr>
          <w:szCs w:val="24"/>
        </w:rPr>
        <w:t>.</w:t>
      </w:r>
    </w:p>
    <w:p w14:paraId="2A0F5B8E" w14:textId="77777777" w:rsidR="004329A5" w:rsidRPr="00FE0C6F" w:rsidRDefault="004329A5" w:rsidP="00A36B14">
      <w:pPr>
        <w:pStyle w:val="a6"/>
        <w:spacing w:before="120" w:after="0" w:line="360" w:lineRule="auto"/>
        <w:ind w:firstLine="709"/>
        <w:contextualSpacing/>
        <w:rPr>
          <w:szCs w:val="24"/>
        </w:rPr>
      </w:pPr>
      <w:r w:rsidRPr="00FE0C6F">
        <w:rPr>
          <w:b/>
          <w:szCs w:val="24"/>
        </w:rPr>
        <w:t>Цитогенетическая ремиссия</w:t>
      </w:r>
      <w:r w:rsidRPr="00FE0C6F">
        <w:rPr>
          <w:szCs w:val="24"/>
        </w:rPr>
        <w:t xml:space="preserve"> – это полная клинико-гематологическая ремиссия, при этом методами стандартной цитогенетики не выявляются исходные аномалии кариотипа; кариотип должен быть нормальным, а число проанализированных метафаз должно составлять не менее 20. Цитогенетическая ремиссия </w:t>
      </w:r>
      <w:r w:rsidR="00834551">
        <w:rPr>
          <w:szCs w:val="24"/>
        </w:rPr>
        <w:t>–</w:t>
      </w:r>
      <w:r w:rsidRPr="00FE0C6F">
        <w:rPr>
          <w:szCs w:val="24"/>
        </w:rPr>
        <w:t xml:space="preserve"> новое понятие, появившееся при регулярном использовании методов цитогенетики для исследований пунктатов </w:t>
      </w:r>
      <w:r w:rsidR="000E1D9B">
        <w:rPr>
          <w:szCs w:val="24"/>
        </w:rPr>
        <w:t>костного мозга</w:t>
      </w:r>
      <w:r w:rsidR="00834551">
        <w:rPr>
          <w:szCs w:val="24"/>
        </w:rPr>
        <w:t xml:space="preserve"> </w:t>
      </w:r>
      <w:r w:rsidRPr="00FE0C6F">
        <w:rPr>
          <w:szCs w:val="24"/>
        </w:rPr>
        <w:t xml:space="preserve">в период </w:t>
      </w:r>
      <w:r w:rsidR="00764595" w:rsidRPr="00B74743">
        <w:rPr>
          <w:szCs w:val="24"/>
        </w:rPr>
        <w:t>полной ремиссии</w:t>
      </w:r>
      <w:r w:rsidRPr="00FE0C6F">
        <w:rPr>
          <w:szCs w:val="24"/>
        </w:rPr>
        <w:t>.</w:t>
      </w:r>
    </w:p>
    <w:p w14:paraId="2A382317" w14:textId="77777777" w:rsidR="004329A5" w:rsidRPr="00FE0C6F" w:rsidRDefault="00465085" w:rsidP="00A36B14">
      <w:pPr>
        <w:pStyle w:val="a6"/>
        <w:spacing w:before="120" w:after="0" w:line="360" w:lineRule="auto"/>
        <w:ind w:firstLine="709"/>
        <w:contextualSpacing/>
        <w:rPr>
          <w:szCs w:val="24"/>
        </w:rPr>
      </w:pPr>
      <w:r w:rsidRPr="00FE0C6F">
        <w:rPr>
          <w:b/>
          <w:szCs w:val="24"/>
        </w:rPr>
        <w:t>Цитогенетический рецидив</w:t>
      </w:r>
      <w:r w:rsidR="004329A5" w:rsidRPr="00FE0C6F">
        <w:rPr>
          <w:szCs w:val="24"/>
        </w:rPr>
        <w:t xml:space="preserve"> </w:t>
      </w:r>
      <w:r w:rsidR="006A3D44" w:rsidRPr="00FE0C6F">
        <w:rPr>
          <w:szCs w:val="24"/>
        </w:rPr>
        <w:t xml:space="preserve">– это рецидив, </w:t>
      </w:r>
      <w:r w:rsidRPr="00FE0C6F">
        <w:rPr>
          <w:szCs w:val="24"/>
        </w:rPr>
        <w:t>который констатируется</w:t>
      </w:r>
      <w:r w:rsidR="004329A5" w:rsidRPr="00FE0C6F">
        <w:rPr>
          <w:szCs w:val="24"/>
        </w:rPr>
        <w:t xml:space="preserve"> при наличии в пунктате </w:t>
      </w:r>
      <w:r w:rsidR="00112E00">
        <w:rPr>
          <w:szCs w:val="24"/>
        </w:rPr>
        <w:t>костного мозга</w:t>
      </w:r>
      <w:r w:rsidR="00834551">
        <w:rPr>
          <w:szCs w:val="24"/>
        </w:rPr>
        <w:t xml:space="preserve"> </w:t>
      </w:r>
      <w:r w:rsidR="004329A5" w:rsidRPr="00FE0C6F">
        <w:rPr>
          <w:szCs w:val="24"/>
        </w:rPr>
        <w:t xml:space="preserve">митозов с хромосомными аберрациями, </w:t>
      </w:r>
      <w:r w:rsidR="00ED59E7" w:rsidRPr="00FE0C6F">
        <w:rPr>
          <w:szCs w:val="24"/>
        </w:rPr>
        <w:t>которые обнаруж</w:t>
      </w:r>
      <w:r w:rsidR="00834551">
        <w:rPr>
          <w:szCs w:val="24"/>
        </w:rPr>
        <w:t>е</w:t>
      </w:r>
      <w:r w:rsidR="00ED59E7" w:rsidRPr="00FE0C6F">
        <w:rPr>
          <w:szCs w:val="24"/>
        </w:rPr>
        <w:t>ны</w:t>
      </w:r>
      <w:r w:rsidR="004329A5" w:rsidRPr="00FE0C6F">
        <w:rPr>
          <w:szCs w:val="24"/>
        </w:rPr>
        <w:t xml:space="preserve"> в дебюте заболевания на фоне сохраняющейся клинико-гематологической ремиссии.</w:t>
      </w:r>
    </w:p>
    <w:p w14:paraId="46A6EE4A" w14:textId="77777777" w:rsidR="004329A5" w:rsidRPr="00FE0C6F" w:rsidRDefault="004329A5" w:rsidP="00A36B14">
      <w:pPr>
        <w:pStyle w:val="a6"/>
        <w:spacing w:before="120" w:after="0" w:line="360" w:lineRule="auto"/>
        <w:ind w:firstLine="709"/>
        <w:contextualSpacing/>
        <w:rPr>
          <w:szCs w:val="24"/>
        </w:rPr>
      </w:pPr>
      <w:r w:rsidRPr="00FE0C6F">
        <w:rPr>
          <w:b/>
          <w:szCs w:val="24"/>
        </w:rPr>
        <w:t>Молекулярная ремиссия</w:t>
      </w:r>
      <w:r w:rsidRPr="00FE0C6F">
        <w:rPr>
          <w:szCs w:val="24"/>
        </w:rPr>
        <w:t xml:space="preserve"> – это полная клинико-гематологическая ремиссия при отсутствии в </w:t>
      </w:r>
      <w:r w:rsidR="000E1D9B">
        <w:rPr>
          <w:szCs w:val="24"/>
        </w:rPr>
        <w:t>костном мозге</w:t>
      </w:r>
      <w:r w:rsidR="00834551">
        <w:rPr>
          <w:szCs w:val="24"/>
        </w:rPr>
        <w:t xml:space="preserve"> </w:t>
      </w:r>
      <w:r w:rsidRPr="00FE0C6F">
        <w:rPr>
          <w:szCs w:val="24"/>
        </w:rPr>
        <w:t>исходно определявшихся</w:t>
      </w:r>
      <w:r w:rsidR="00D600BD">
        <w:rPr>
          <w:szCs w:val="24"/>
        </w:rPr>
        <w:t xml:space="preserve"> методом полимеразной цепной реакции</w:t>
      </w:r>
      <w:r w:rsidRPr="00FE0C6F">
        <w:rPr>
          <w:szCs w:val="24"/>
        </w:rPr>
        <w:t xml:space="preserve"> молекулярных маркеров острого лейкоза с чувствительностью метода 10</w:t>
      </w:r>
      <w:r w:rsidR="00D845C6">
        <w:rPr>
          <w:szCs w:val="24"/>
          <w:vertAlign w:val="superscript"/>
        </w:rPr>
        <w:t>–</w:t>
      </w:r>
      <w:r w:rsidRPr="00FE0C6F">
        <w:rPr>
          <w:szCs w:val="24"/>
          <w:vertAlign w:val="superscript"/>
        </w:rPr>
        <w:t>4</w:t>
      </w:r>
      <w:r w:rsidR="00D845C6">
        <w:rPr>
          <w:szCs w:val="24"/>
        </w:rPr>
        <w:t xml:space="preserve">. </w:t>
      </w:r>
      <w:r w:rsidRPr="00FE0C6F">
        <w:rPr>
          <w:szCs w:val="24"/>
        </w:rPr>
        <w:t>Это также новое понятие, став</w:t>
      </w:r>
      <w:r w:rsidR="00212119">
        <w:rPr>
          <w:szCs w:val="24"/>
        </w:rPr>
        <w:t>шее в настоящее время ключевым.</w:t>
      </w:r>
      <w:r w:rsidRPr="00FE0C6F">
        <w:rPr>
          <w:szCs w:val="24"/>
        </w:rPr>
        <w:t xml:space="preserve"> Следует отметить, что может быть достигнута цитогенетическая ремиссия, но при этом молекулярные маркеры могут еще определяться. </w:t>
      </w:r>
    </w:p>
    <w:p w14:paraId="0D106AEC" w14:textId="77777777" w:rsidR="004329A5" w:rsidRPr="00FE0C6F" w:rsidRDefault="004329A5" w:rsidP="00A36B14">
      <w:pPr>
        <w:pStyle w:val="a6"/>
        <w:spacing w:before="120" w:after="0" w:line="360" w:lineRule="auto"/>
        <w:ind w:firstLine="709"/>
        <w:contextualSpacing/>
        <w:rPr>
          <w:szCs w:val="24"/>
        </w:rPr>
      </w:pPr>
      <w:r w:rsidRPr="00FE0C6F">
        <w:rPr>
          <w:b/>
          <w:szCs w:val="24"/>
        </w:rPr>
        <w:t>Молекулярный рецидив</w:t>
      </w:r>
      <w:r w:rsidRPr="00FE0C6F">
        <w:rPr>
          <w:szCs w:val="24"/>
        </w:rPr>
        <w:t xml:space="preserve"> – </w:t>
      </w:r>
      <w:r w:rsidR="00A621F1">
        <w:rPr>
          <w:szCs w:val="24"/>
        </w:rPr>
        <w:t xml:space="preserve">это </w:t>
      </w:r>
      <w:r w:rsidRPr="00FE0C6F">
        <w:rPr>
          <w:szCs w:val="24"/>
        </w:rPr>
        <w:t xml:space="preserve">появление исходно определявшихся молекулярных маркеров </w:t>
      </w:r>
      <w:r w:rsidR="00112E00">
        <w:rPr>
          <w:szCs w:val="24"/>
        </w:rPr>
        <w:t>острых лейкозов</w:t>
      </w:r>
      <w:r w:rsidRPr="00FE0C6F">
        <w:rPr>
          <w:szCs w:val="24"/>
        </w:rPr>
        <w:t xml:space="preserve"> в двух повтор</w:t>
      </w:r>
      <w:r w:rsidR="001C5F89" w:rsidRPr="00FE0C6F">
        <w:rPr>
          <w:szCs w:val="24"/>
        </w:rPr>
        <w:t>ных анализах (проведенных с коротки</w:t>
      </w:r>
      <w:r w:rsidRPr="00FE0C6F">
        <w:rPr>
          <w:szCs w:val="24"/>
        </w:rPr>
        <w:t xml:space="preserve">м интервалом времени) на фоне сохраняющейся клинико-гематологической ремиссии. </w:t>
      </w:r>
    </w:p>
    <w:p w14:paraId="49E291A3" w14:textId="77777777" w:rsidR="004329A5" w:rsidRPr="00FE0C6F" w:rsidRDefault="004329A5" w:rsidP="00A36B14">
      <w:pPr>
        <w:pStyle w:val="a6"/>
        <w:spacing w:before="120" w:after="0" w:line="360" w:lineRule="auto"/>
        <w:ind w:firstLine="709"/>
        <w:contextualSpacing/>
        <w:rPr>
          <w:szCs w:val="24"/>
        </w:rPr>
      </w:pPr>
      <w:r w:rsidRPr="00FE0C6F">
        <w:rPr>
          <w:szCs w:val="24"/>
        </w:rPr>
        <w:t xml:space="preserve">Важным и одним из самых точных способов оценки эффективности терапии </w:t>
      </w:r>
      <w:r w:rsidR="00112E00">
        <w:rPr>
          <w:szCs w:val="24"/>
        </w:rPr>
        <w:t>острых лейкозов</w:t>
      </w:r>
      <w:r w:rsidR="00D845C6">
        <w:rPr>
          <w:szCs w:val="24"/>
        </w:rPr>
        <w:t xml:space="preserve"> являю</w:t>
      </w:r>
      <w:r w:rsidRPr="00FE0C6F">
        <w:rPr>
          <w:szCs w:val="24"/>
        </w:rPr>
        <w:t xml:space="preserve">тся </w:t>
      </w:r>
      <w:r w:rsidR="001C5F89" w:rsidRPr="00FE0C6F">
        <w:rPr>
          <w:szCs w:val="24"/>
        </w:rPr>
        <w:t xml:space="preserve">применение статистических методов и </w:t>
      </w:r>
      <w:r w:rsidRPr="00FE0C6F">
        <w:rPr>
          <w:szCs w:val="24"/>
        </w:rPr>
        <w:t>постро</w:t>
      </w:r>
      <w:r w:rsidR="003210D3">
        <w:rPr>
          <w:szCs w:val="24"/>
        </w:rPr>
        <w:t xml:space="preserve">ение кривых </w:t>
      </w:r>
      <w:r w:rsidR="003210D3">
        <w:rPr>
          <w:szCs w:val="24"/>
        </w:rPr>
        <w:lastRenderedPageBreak/>
        <w:t>выживаемости пациентов</w:t>
      </w:r>
      <w:r w:rsidRPr="00FE0C6F">
        <w:rPr>
          <w:szCs w:val="24"/>
        </w:rPr>
        <w:t xml:space="preserve">, которым проводили то или иное лечение. Чаще всего оценивают общую, безрецидивную, бессобытийную выживаемость и вероятность сохранения </w:t>
      </w:r>
      <w:r w:rsidR="00764595" w:rsidRPr="00B74743">
        <w:rPr>
          <w:szCs w:val="24"/>
        </w:rPr>
        <w:t>полной ремиссии</w:t>
      </w:r>
      <w:r w:rsidR="00D845C6">
        <w:rPr>
          <w:szCs w:val="24"/>
        </w:rPr>
        <w:t xml:space="preserve"> (или обратное понятие –</w:t>
      </w:r>
      <w:r w:rsidRPr="00FE0C6F">
        <w:rPr>
          <w:szCs w:val="24"/>
        </w:rPr>
        <w:t xml:space="preserve"> вероятность развития рецидива).</w:t>
      </w:r>
    </w:p>
    <w:p w14:paraId="13F9F302" w14:textId="77777777" w:rsidR="000F5C48" w:rsidRPr="00FE0C6F" w:rsidRDefault="000F5C48" w:rsidP="000F5C48">
      <w:pPr>
        <w:pStyle w:val="a6"/>
        <w:spacing w:before="120" w:after="0" w:line="360" w:lineRule="auto"/>
        <w:ind w:firstLine="709"/>
        <w:contextualSpacing/>
        <w:rPr>
          <w:szCs w:val="24"/>
        </w:rPr>
      </w:pPr>
      <w:r w:rsidRPr="00FE0C6F">
        <w:rPr>
          <w:b/>
          <w:szCs w:val="24"/>
        </w:rPr>
        <w:t>Общая выживаемость</w:t>
      </w:r>
      <w:r w:rsidRPr="00E24245">
        <w:rPr>
          <w:b/>
          <w:szCs w:val="24"/>
        </w:rPr>
        <w:t>.</w:t>
      </w:r>
      <w:r>
        <w:rPr>
          <w:szCs w:val="24"/>
        </w:rPr>
        <w:t xml:space="preserve"> Для оценки</w:t>
      </w:r>
      <w:r w:rsidRPr="00FE0C6F">
        <w:rPr>
          <w:szCs w:val="24"/>
        </w:rPr>
        <w:t xml:space="preserve"> </w:t>
      </w:r>
      <w:r w:rsidR="00E24245">
        <w:rPr>
          <w:szCs w:val="24"/>
        </w:rPr>
        <w:t>общей выживаемости</w:t>
      </w:r>
      <w:r w:rsidRPr="00FE0C6F">
        <w:rPr>
          <w:szCs w:val="24"/>
        </w:rPr>
        <w:t xml:space="preserve"> анализируют временные параметры всех </w:t>
      </w:r>
      <w:r w:rsidR="00B0071E">
        <w:rPr>
          <w:szCs w:val="24"/>
        </w:rPr>
        <w:t>пациентов</w:t>
      </w:r>
      <w:r w:rsidRPr="00FE0C6F">
        <w:rPr>
          <w:szCs w:val="24"/>
        </w:rPr>
        <w:t xml:space="preserve">, включенных в исследование. Точкой отсчета является день начала терапии. Событием считается только смерть </w:t>
      </w:r>
      <w:r w:rsidR="00B0071E">
        <w:rPr>
          <w:szCs w:val="24"/>
        </w:rPr>
        <w:t>пациента</w:t>
      </w:r>
      <w:r w:rsidRPr="00FE0C6F">
        <w:rPr>
          <w:szCs w:val="24"/>
        </w:rPr>
        <w:t xml:space="preserve"> от любой причины (ранняя летальность, смерть в период ремиссии от любой причины, смерть в период рецидива). Событие на кривой выживаемости графически отображается ступенькой, идущей вниз. </w:t>
      </w:r>
      <w:r w:rsidR="00B0071E">
        <w:rPr>
          <w:szCs w:val="24"/>
        </w:rPr>
        <w:t>Пациентов</w:t>
      </w:r>
      <w:r w:rsidRPr="00FE0C6F">
        <w:rPr>
          <w:szCs w:val="24"/>
        </w:rPr>
        <w:t xml:space="preserve">, живых во время проведения анализа, расценивают как случай и отмечают на </w:t>
      </w:r>
      <w:r w:rsidR="0077341B">
        <w:rPr>
          <w:szCs w:val="24"/>
        </w:rPr>
        <w:t xml:space="preserve">кривой </w:t>
      </w:r>
      <w:r w:rsidR="000B3728">
        <w:rPr>
          <w:szCs w:val="24"/>
        </w:rPr>
        <w:t>черточкой, т. е.</w:t>
      </w:r>
      <w:r w:rsidRPr="00FE0C6F">
        <w:rPr>
          <w:szCs w:val="24"/>
        </w:rPr>
        <w:t xml:space="preserve"> цензурируют. </w:t>
      </w:r>
      <w:r w:rsidR="00B0071E">
        <w:rPr>
          <w:szCs w:val="24"/>
        </w:rPr>
        <w:t>Пациентов</w:t>
      </w:r>
      <w:r w:rsidRPr="00FE0C6F">
        <w:rPr>
          <w:szCs w:val="24"/>
        </w:rPr>
        <w:t xml:space="preserve">, судьба которых неизвестна, цензурируют в тот момент, когда было известно, что они живы. Больных, отказавшихся от лечения, цензурируют в день отказа от терапии. </w:t>
      </w:r>
    </w:p>
    <w:p w14:paraId="76EC5091" w14:textId="77777777" w:rsidR="000F5C48" w:rsidRPr="00FE0C6F" w:rsidRDefault="000F5C48" w:rsidP="000F5C48">
      <w:pPr>
        <w:pStyle w:val="a6"/>
        <w:spacing w:before="120" w:after="0" w:line="360" w:lineRule="auto"/>
        <w:ind w:firstLine="709"/>
        <w:contextualSpacing/>
        <w:rPr>
          <w:szCs w:val="24"/>
        </w:rPr>
      </w:pPr>
      <w:r w:rsidRPr="00FE0C6F">
        <w:rPr>
          <w:b/>
          <w:szCs w:val="24"/>
        </w:rPr>
        <w:t>Безрецидивная выживаемость</w:t>
      </w:r>
      <w:r w:rsidRPr="00E24245">
        <w:rPr>
          <w:b/>
          <w:szCs w:val="24"/>
        </w:rPr>
        <w:t>.</w:t>
      </w:r>
      <w:r w:rsidRPr="00FE0C6F">
        <w:rPr>
          <w:szCs w:val="24"/>
        </w:rPr>
        <w:t xml:space="preserve"> При </w:t>
      </w:r>
      <w:r>
        <w:rPr>
          <w:szCs w:val="24"/>
        </w:rPr>
        <w:t>оце</w:t>
      </w:r>
      <w:r w:rsidR="00534505">
        <w:rPr>
          <w:szCs w:val="24"/>
        </w:rPr>
        <w:t>нке</w:t>
      </w:r>
      <w:r>
        <w:rPr>
          <w:szCs w:val="24"/>
        </w:rPr>
        <w:t xml:space="preserve"> </w:t>
      </w:r>
      <w:r w:rsidR="00E24245">
        <w:rPr>
          <w:szCs w:val="24"/>
        </w:rPr>
        <w:t>безрецидивной выживаемости</w:t>
      </w:r>
      <w:r w:rsidRPr="00FE0C6F">
        <w:rPr>
          <w:szCs w:val="24"/>
        </w:rPr>
        <w:t xml:space="preserve"> учитывают данные только тех </w:t>
      </w:r>
      <w:r w:rsidR="00B0071E">
        <w:rPr>
          <w:szCs w:val="24"/>
        </w:rPr>
        <w:t>пациентов</w:t>
      </w:r>
      <w:r w:rsidRPr="00FE0C6F">
        <w:rPr>
          <w:szCs w:val="24"/>
        </w:rPr>
        <w:t xml:space="preserve">, у которых была достигнута </w:t>
      </w:r>
      <w:r w:rsidR="00764595" w:rsidRPr="00B74743">
        <w:rPr>
          <w:szCs w:val="24"/>
        </w:rPr>
        <w:t>полн</w:t>
      </w:r>
      <w:r w:rsidR="00764595">
        <w:rPr>
          <w:szCs w:val="24"/>
        </w:rPr>
        <w:t>ая</w:t>
      </w:r>
      <w:r w:rsidR="00764595" w:rsidRPr="00B74743">
        <w:rPr>
          <w:szCs w:val="24"/>
        </w:rPr>
        <w:t xml:space="preserve"> ремисси</w:t>
      </w:r>
      <w:r w:rsidR="00764595">
        <w:rPr>
          <w:szCs w:val="24"/>
        </w:rPr>
        <w:t>я</w:t>
      </w:r>
      <w:r w:rsidRPr="00FE0C6F">
        <w:rPr>
          <w:szCs w:val="24"/>
        </w:rPr>
        <w:t xml:space="preserve">. Точкой отсчета считается дата достижения </w:t>
      </w:r>
      <w:r w:rsidR="00764595" w:rsidRPr="00B74743">
        <w:rPr>
          <w:szCs w:val="24"/>
        </w:rPr>
        <w:t>полной ремиссии</w:t>
      </w:r>
      <w:r w:rsidRPr="00FE0C6F">
        <w:rPr>
          <w:szCs w:val="24"/>
        </w:rPr>
        <w:t>. Событиями считаются рецидив и</w:t>
      </w:r>
      <w:r w:rsidR="008F58F3">
        <w:rPr>
          <w:szCs w:val="24"/>
        </w:rPr>
        <w:t>ли</w:t>
      </w:r>
      <w:r w:rsidRPr="00FE0C6F">
        <w:rPr>
          <w:szCs w:val="24"/>
        </w:rPr>
        <w:t xml:space="preserve"> смерть от любой причины (в период консолидации или поддерживающего лечения, от рецидива, в период ремиссии от другой причины, например, суицида). Цензурируют только тех </w:t>
      </w:r>
      <w:r w:rsidR="00B0071E">
        <w:rPr>
          <w:szCs w:val="24"/>
        </w:rPr>
        <w:t>пациентов</w:t>
      </w:r>
      <w:r w:rsidRPr="00FE0C6F">
        <w:rPr>
          <w:szCs w:val="24"/>
        </w:rPr>
        <w:t xml:space="preserve">, которые были живы и находились в </w:t>
      </w:r>
      <w:r w:rsidR="00764595" w:rsidRPr="00B74743">
        <w:rPr>
          <w:szCs w:val="24"/>
        </w:rPr>
        <w:t>полной ремиссии</w:t>
      </w:r>
      <w:r w:rsidR="008F58F3">
        <w:rPr>
          <w:szCs w:val="24"/>
        </w:rPr>
        <w:t xml:space="preserve"> </w:t>
      </w:r>
      <w:r w:rsidRPr="00FE0C6F">
        <w:rPr>
          <w:szCs w:val="24"/>
        </w:rPr>
        <w:t xml:space="preserve">в момент проведения анализа. Больных, судьба которых неизвестна, цензурируют в тот момент, когда было известно, что они живы в </w:t>
      </w:r>
      <w:r w:rsidR="00764595" w:rsidRPr="00B74743">
        <w:rPr>
          <w:szCs w:val="24"/>
        </w:rPr>
        <w:t>полной ремиссии</w:t>
      </w:r>
      <w:r w:rsidRPr="00FE0C6F">
        <w:rPr>
          <w:szCs w:val="24"/>
        </w:rPr>
        <w:t xml:space="preserve">. </w:t>
      </w:r>
      <w:r w:rsidR="00B0071E">
        <w:rPr>
          <w:szCs w:val="24"/>
        </w:rPr>
        <w:t>Пациентов</w:t>
      </w:r>
      <w:r w:rsidRPr="00FE0C6F">
        <w:rPr>
          <w:szCs w:val="24"/>
        </w:rPr>
        <w:t xml:space="preserve">, у которых была достигнута </w:t>
      </w:r>
      <w:r w:rsidR="00764595" w:rsidRPr="00B74743">
        <w:rPr>
          <w:szCs w:val="24"/>
        </w:rPr>
        <w:t>полн</w:t>
      </w:r>
      <w:r w:rsidR="00764595">
        <w:rPr>
          <w:szCs w:val="24"/>
        </w:rPr>
        <w:t>ая</w:t>
      </w:r>
      <w:r w:rsidR="00764595" w:rsidRPr="00B74743">
        <w:rPr>
          <w:szCs w:val="24"/>
        </w:rPr>
        <w:t xml:space="preserve"> ремисси</w:t>
      </w:r>
      <w:r w:rsidR="00764595">
        <w:rPr>
          <w:szCs w:val="24"/>
        </w:rPr>
        <w:t>я</w:t>
      </w:r>
      <w:r w:rsidRPr="00FE0C6F">
        <w:rPr>
          <w:szCs w:val="24"/>
        </w:rPr>
        <w:t xml:space="preserve">, но они отказались от лечения в ремиссии, цензурируют в день отказа от терапии. </w:t>
      </w:r>
    </w:p>
    <w:p w14:paraId="62DBB765" w14:textId="77777777" w:rsidR="000F5C48" w:rsidRPr="00FE0C6F" w:rsidRDefault="000F5C48" w:rsidP="000F5C48">
      <w:pPr>
        <w:pStyle w:val="a6"/>
        <w:spacing w:before="120" w:after="0" w:line="360" w:lineRule="auto"/>
        <w:ind w:firstLine="709"/>
        <w:contextualSpacing/>
        <w:rPr>
          <w:szCs w:val="24"/>
        </w:rPr>
      </w:pPr>
      <w:r w:rsidRPr="00FE0C6F">
        <w:rPr>
          <w:b/>
          <w:szCs w:val="24"/>
        </w:rPr>
        <w:t xml:space="preserve">Вероятность сохранения </w:t>
      </w:r>
      <w:r w:rsidR="00F31743" w:rsidRPr="00F31743">
        <w:rPr>
          <w:b/>
          <w:szCs w:val="24"/>
        </w:rPr>
        <w:t>полной ремиссии</w:t>
      </w:r>
      <w:r w:rsidR="008F58F3">
        <w:rPr>
          <w:b/>
          <w:szCs w:val="24"/>
        </w:rPr>
        <w:t xml:space="preserve"> </w:t>
      </w:r>
      <w:r w:rsidRPr="00FE0C6F">
        <w:rPr>
          <w:b/>
          <w:szCs w:val="24"/>
        </w:rPr>
        <w:t>(обратное от вероятности развития рецидива)</w:t>
      </w:r>
      <w:r w:rsidRPr="0053448F">
        <w:rPr>
          <w:b/>
          <w:szCs w:val="24"/>
        </w:rPr>
        <w:t>.</w:t>
      </w:r>
      <w:r w:rsidRPr="00FE0C6F">
        <w:rPr>
          <w:szCs w:val="24"/>
        </w:rPr>
        <w:t xml:space="preserve"> При </w:t>
      </w:r>
      <w:r>
        <w:rPr>
          <w:szCs w:val="24"/>
        </w:rPr>
        <w:t xml:space="preserve">оценке </w:t>
      </w:r>
      <w:r w:rsidRPr="00FE0C6F">
        <w:rPr>
          <w:szCs w:val="24"/>
        </w:rPr>
        <w:t xml:space="preserve">вероятности сохранения </w:t>
      </w:r>
      <w:r w:rsidR="00F31743" w:rsidRPr="00B74743">
        <w:rPr>
          <w:szCs w:val="24"/>
        </w:rPr>
        <w:t>полной ремиссии</w:t>
      </w:r>
      <w:r w:rsidR="008F58F3">
        <w:rPr>
          <w:szCs w:val="24"/>
        </w:rPr>
        <w:t xml:space="preserve"> </w:t>
      </w:r>
      <w:r w:rsidR="00B0071E">
        <w:rPr>
          <w:szCs w:val="24"/>
        </w:rPr>
        <w:t>учитываются данные только</w:t>
      </w:r>
      <w:r w:rsidRPr="00FE0C6F">
        <w:rPr>
          <w:szCs w:val="24"/>
        </w:rPr>
        <w:t xml:space="preserve"> тех </w:t>
      </w:r>
      <w:r w:rsidR="00B0071E">
        <w:rPr>
          <w:szCs w:val="24"/>
        </w:rPr>
        <w:t>пациентов</w:t>
      </w:r>
      <w:r w:rsidRPr="00FE0C6F">
        <w:rPr>
          <w:szCs w:val="24"/>
        </w:rPr>
        <w:t xml:space="preserve">, у которых достигнута </w:t>
      </w:r>
      <w:r w:rsidR="00F31743" w:rsidRPr="00B74743">
        <w:rPr>
          <w:szCs w:val="24"/>
        </w:rPr>
        <w:t>полн</w:t>
      </w:r>
      <w:r w:rsidR="00F31743">
        <w:rPr>
          <w:szCs w:val="24"/>
        </w:rPr>
        <w:t>ая</w:t>
      </w:r>
      <w:r w:rsidR="00F31743" w:rsidRPr="00B74743">
        <w:rPr>
          <w:szCs w:val="24"/>
        </w:rPr>
        <w:t xml:space="preserve"> ремисси</w:t>
      </w:r>
      <w:r w:rsidR="00F31743">
        <w:rPr>
          <w:szCs w:val="24"/>
        </w:rPr>
        <w:t>я.</w:t>
      </w:r>
      <w:r w:rsidRPr="00FE0C6F">
        <w:rPr>
          <w:szCs w:val="24"/>
        </w:rPr>
        <w:t xml:space="preserve"> При этом точкой отсчета служит дата достижения </w:t>
      </w:r>
      <w:r w:rsidR="00F31743" w:rsidRPr="00B74743">
        <w:rPr>
          <w:szCs w:val="24"/>
        </w:rPr>
        <w:t>полной ремиссии</w:t>
      </w:r>
      <w:r w:rsidRPr="00FE0C6F">
        <w:rPr>
          <w:szCs w:val="24"/>
        </w:rPr>
        <w:t xml:space="preserve">. Событием считается только рецидив заболевания. Цензурируют всех больных, кто жив в </w:t>
      </w:r>
      <w:r w:rsidR="00F31743" w:rsidRPr="00B74743">
        <w:rPr>
          <w:szCs w:val="24"/>
        </w:rPr>
        <w:t>полной ремиссии</w:t>
      </w:r>
      <w:r w:rsidR="008F58F3">
        <w:rPr>
          <w:szCs w:val="24"/>
        </w:rPr>
        <w:t xml:space="preserve"> </w:t>
      </w:r>
      <w:r w:rsidRPr="00FE0C6F">
        <w:rPr>
          <w:szCs w:val="24"/>
        </w:rPr>
        <w:t xml:space="preserve">в момент проведения анализа. </w:t>
      </w:r>
      <w:r w:rsidR="00B0071E">
        <w:rPr>
          <w:szCs w:val="24"/>
        </w:rPr>
        <w:t>Пациенты</w:t>
      </w:r>
      <w:r w:rsidRPr="00FE0C6F">
        <w:rPr>
          <w:szCs w:val="24"/>
        </w:rPr>
        <w:t xml:space="preserve">, умершие в период </w:t>
      </w:r>
      <w:r w:rsidR="00F31743" w:rsidRPr="00B74743">
        <w:rPr>
          <w:szCs w:val="24"/>
        </w:rPr>
        <w:t>полной ремиссии</w:t>
      </w:r>
      <w:r w:rsidRPr="00FE0C6F">
        <w:rPr>
          <w:szCs w:val="24"/>
        </w:rPr>
        <w:t xml:space="preserve"> от осложнений, связанных с лечением, или от других причин, цензурируют в день смерти, как больных, находившихся в </w:t>
      </w:r>
      <w:r w:rsidR="00F31743" w:rsidRPr="00B74743">
        <w:rPr>
          <w:szCs w:val="24"/>
        </w:rPr>
        <w:t>полной ремиссии</w:t>
      </w:r>
      <w:r w:rsidRPr="00FE0C6F">
        <w:rPr>
          <w:szCs w:val="24"/>
        </w:rPr>
        <w:t xml:space="preserve">. </w:t>
      </w:r>
      <w:r w:rsidR="00B0071E">
        <w:rPr>
          <w:szCs w:val="24"/>
        </w:rPr>
        <w:t>Пациентов</w:t>
      </w:r>
      <w:r w:rsidRPr="00FE0C6F">
        <w:rPr>
          <w:szCs w:val="24"/>
        </w:rPr>
        <w:t xml:space="preserve">, судьба которых неизвестна, цензурируют на тот момент, когда было известно, что они живы в </w:t>
      </w:r>
      <w:r w:rsidR="00F31743" w:rsidRPr="00B74743">
        <w:rPr>
          <w:szCs w:val="24"/>
        </w:rPr>
        <w:t>полной ремиссии</w:t>
      </w:r>
      <w:r w:rsidRPr="00FE0C6F">
        <w:rPr>
          <w:szCs w:val="24"/>
        </w:rPr>
        <w:t xml:space="preserve">. </w:t>
      </w:r>
      <w:r w:rsidR="00B0071E">
        <w:rPr>
          <w:szCs w:val="24"/>
        </w:rPr>
        <w:t>Пациентов</w:t>
      </w:r>
      <w:r w:rsidRPr="00FE0C6F">
        <w:rPr>
          <w:szCs w:val="24"/>
        </w:rPr>
        <w:t xml:space="preserve">, у которых была достигнута </w:t>
      </w:r>
      <w:r w:rsidR="00F31743" w:rsidRPr="00B74743">
        <w:rPr>
          <w:szCs w:val="24"/>
        </w:rPr>
        <w:t>полн</w:t>
      </w:r>
      <w:r w:rsidR="00F31743">
        <w:rPr>
          <w:szCs w:val="24"/>
        </w:rPr>
        <w:t>ая</w:t>
      </w:r>
      <w:r w:rsidR="00F31743" w:rsidRPr="00B74743">
        <w:rPr>
          <w:szCs w:val="24"/>
        </w:rPr>
        <w:t xml:space="preserve"> ремисси</w:t>
      </w:r>
      <w:r w:rsidR="00F31743">
        <w:rPr>
          <w:szCs w:val="24"/>
        </w:rPr>
        <w:t>я и которые</w:t>
      </w:r>
      <w:r w:rsidRPr="00FE0C6F">
        <w:rPr>
          <w:szCs w:val="24"/>
        </w:rPr>
        <w:t xml:space="preserve"> отказались от лечения в период ремиссии, цензурируют в день отказа от терапии. </w:t>
      </w:r>
    </w:p>
    <w:p w14:paraId="22178D1D" w14:textId="77777777" w:rsidR="000F5C48" w:rsidRPr="00FE0C6F" w:rsidRDefault="000F5C48" w:rsidP="000F5C48">
      <w:pPr>
        <w:pStyle w:val="a6"/>
        <w:spacing w:before="120" w:after="0" w:line="360" w:lineRule="auto"/>
        <w:ind w:firstLine="709"/>
        <w:contextualSpacing/>
        <w:rPr>
          <w:szCs w:val="24"/>
        </w:rPr>
      </w:pPr>
      <w:r w:rsidRPr="00FE0C6F">
        <w:rPr>
          <w:szCs w:val="24"/>
        </w:rPr>
        <w:lastRenderedPageBreak/>
        <w:t xml:space="preserve">Вероятность сохранения </w:t>
      </w:r>
      <w:r w:rsidR="009B2897" w:rsidRPr="00B74743">
        <w:rPr>
          <w:szCs w:val="24"/>
        </w:rPr>
        <w:t>полной ремиссии</w:t>
      </w:r>
      <w:r w:rsidR="008F58F3">
        <w:rPr>
          <w:szCs w:val="24"/>
        </w:rPr>
        <w:t xml:space="preserve"> </w:t>
      </w:r>
      <w:r w:rsidRPr="00FE0C6F">
        <w:rPr>
          <w:szCs w:val="24"/>
        </w:rPr>
        <w:t>является тем показателем, который позволяет оценивать истинную противоопухолевую эффективность какой-либо терапии без учета таких субъективных моментов</w:t>
      </w:r>
      <w:r w:rsidR="00F74531">
        <w:rPr>
          <w:szCs w:val="24"/>
        </w:rPr>
        <w:t>,</w:t>
      </w:r>
      <w:r w:rsidRPr="00FE0C6F">
        <w:rPr>
          <w:szCs w:val="24"/>
        </w:rPr>
        <w:t xml:space="preserve"> как выхаживание </w:t>
      </w:r>
      <w:r w:rsidR="00B0071E">
        <w:rPr>
          <w:szCs w:val="24"/>
        </w:rPr>
        <w:t>пациентов</w:t>
      </w:r>
      <w:r w:rsidRPr="00FE0C6F">
        <w:rPr>
          <w:szCs w:val="24"/>
        </w:rPr>
        <w:t xml:space="preserve"> от осложнений, связанных с самим лечением.</w:t>
      </w:r>
    </w:p>
    <w:p w14:paraId="7C8D48D4" w14:textId="77777777" w:rsidR="000F5C48" w:rsidRPr="00FE0C6F" w:rsidRDefault="000F5C48" w:rsidP="000F5C48">
      <w:pPr>
        <w:pStyle w:val="a6"/>
        <w:spacing w:before="120" w:after="0" w:line="360" w:lineRule="auto"/>
        <w:ind w:firstLine="709"/>
        <w:contextualSpacing/>
        <w:rPr>
          <w:szCs w:val="24"/>
        </w:rPr>
      </w:pPr>
      <w:r w:rsidRPr="00FE0C6F">
        <w:rPr>
          <w:b/>
          <w:szCs w:val="24"/>
        </w:rPr>
        <w:t>Бессобытийная выживаемость</w:t>
      </w:r>
      <w:r w:rsidRPr="003F6FF7">
        <w:rPr>
          <w:b/>
          <w:szCs w:val="24"/>
        </w:rPr>
        <w:t>.</w:t>
      </w:r>
      <w:r w:rsidRPr="00FE0C6F">
        <w:rPr>
          <w:szCs w:val="24"/>
        </w:rPr>
        <w:t xml:space="preserve"> Этот показатель оценивает выживаемость всех больных, включенных в анализ, с момента начала терапии. Событием считается ранняя летальность, факт недостижения </w:t>
      </w:r>
      <w:r w:rsidR="009B2897" w:rsidRPr="00B74743">
        <w:rPr>
          <w:szCs w:val="24"/>
        </w:rPr>
        <w:t>полной ремиссии</w:t>
      </w:r>
      <w:r w:rsidR="008F58F3">
        <w:rPr>
          <w:szCs w:val="24"/>
        </w:rPr>
        <w:t xml:space="preserve"> </w:t>
      </w:r>
      <w:r w:rsidRPr="00FE0C6F">
        <w:rPr>
          <w:szCs w:val="24"/>
        </w:rPr>
        <w:t xml:space="preserve">через два месяца от начала лечения, смерть в период ремиссии от осложнений </w:t>
      </w:r>
      <w:r w:rsidR="00636AEF">
        <w:rPr>
          <w:szCs w:val="24"/>
        </w:rPr>
        <w:t>химиотерапии</w:t>
      </w:r>
      <w:r w:rsidR="00696A4B" w:rsidRPr="00FE0C6F">
        <w:rPr>
          <w:szCs w:val="24"/>
        </w:rPr>
        <w:t xml:space="preserve"> </w:t>
      </w:r>
      <w:r w:rsidRPr="00FE0C6F">
        <w:rPr>
          <w:szCs w:val="24"/>
        </w:rPr>
        <w:t xml:space="preserve">или других причин, а также рецидив заболевания. Цензурируют только </w:t>
      </w:r>
      <w:r w:rsidR="00B0071E">
        <w:rPr>
          <w:szCs w:val="24"/>
        </w:rPr>
        <w:t>пациентов</w:t>
      </w:r>
      <w:r w:rsidRPr="00FE0C6F">
        <w:rPr>
          <w:szCs w:val="24"/>
        </w:rPr>
        <w:t xml:space="preserve">, у которых была достигнута </w:t>
      </w:r>
      <w:r w:rsidR="009B2897" w:rsidRPr="00B74743">
        <w:rPr>
          <w:szCs w:val="24"/>
        </w:rPr>
        <w:t>полн</w:t>
      </w:r>
      <w:r w:rsidR="009B2897">
        <w:rPr>
          <w:szCs w:val="24"/>
        </w:rPr>
        <w:t>ая</w:t>
      </w:r>
      <w:r w:rsidR="009B2897" w:rsidRPr="00B74743">
        <w:rPr>
          <w:szCs w:val="24"/>
        </w:rPr>
        <w:t xml:space="preserve"> ремисси</w:t>
      </w:r>
      <w:r w:rsidR="009B2897">
        <w:rPr>
          <w:szCs w:val="24"/>
        </w:rPr>
        <w:t>я</w:t>
      </w:r>
      <w:r w:rsidR="00027CE4">
        <w:rPr>
          <w:szCs w:val="24"/>
        </w:rPr>
        <w:t xml:space="preserve"> </w:t>
      </w:r>
      <w:r w:rsidRPr="00FE0C6F">
        <w:rPr>
          <w:szCs w:val="24"/>
        </w:rPr>
        <w:t xml:space="preserve">в течение первых двух курсов </w:t>
      </w:r>
      <w:r w:rsidR="005C0768">
        <w:rPr>
          <w:szCs w:val="24"/>
        </w:rPr>
        <w:t>химиотерапии</w:t>
      </w:r>
      <w:r w:rsidRPr="00FE0C6F">
        <w:rPr>
          <w:szCs w:val="24"/>
        </w:rPr>
        <w:t xml:space="preserve">, и они остаются живыми, сохраняя </w:t>
      </w:r>
      <w:r w:rsidR="009B2897" w:rsidRPr="00B74743">
        <w:rPr>
          <w:szCs w:val="24"/>
        </w:rPr>
        <w:t>полн</w:t>
      </w:r>
      <w:r w:rsidR="009B2897">
        <w:rPr>
          <w:szCs w:val="24"/>
        </w:rPr>
        <w:t>ую</w:t>
      </w:r>
      <w:r w:rsidR="009B2897" w:rsidRPr="00B74743">
        <w:rPr>
          <w:szCs w:val="24"/>
        </w:rPr>
        <w:t xml:space="preserve"> ремисси</w:t>
      </w:r>
      <w:r w:rsidR="009B2897">
        <w:rPr>
          <w:szCs w:val="24"/>
        </w:rPr>
        <w:t>ю</w:t>
      </w:r>
      <w:r w:rsidRPr="00FE0C6F">
        <w:rPr>
          <w:szCs w:val="24"/>
        </w:rPr>
        <w:t>, на момент проведения анализа.</w:t>
      </w:r>
    </w:p>
    <w:p w14:paraId="532FEF2A" w14:textId="77777777" w:rsidR="000F5C48" w:rsidRPr="005F508B" w:rsidRDefault="000F5C48" w:rsidP="000F5C48">
      <w:pPr>
        <w:tabs>
          <w:tab w:val="left" w:pos="709"/>
        </w:tabs>
        <w:ind w:firstLine="709"/>
        <w:contextualSpacing/>
        <w:rPr>
          <w:szCs w:val="24"/>
        </w:rPr>
      </w:pPr>
      <w:r>
        <w:rPr>
          <w:b/>
          <w:szCs w:val="24"/>
        </w:rPr>
        <w:t>Индукция</w:t>
      </w:r>
      <w:r w:rsidR="00FB25B2">
        <w:rPr>
          <w:b/>
          <w:szCs w:val="24"/>
        </w:rPr>
        <w:t xml:space="preserve"> –</w:t>
      </w:r>
      <w:r>
        <w:rPr>
          <w:b/>
          <w:szCs w:val="24"/>
        </w:rPr>
        <w:t xml:space="preserve"> </w:t>
      </w:r>
      <w:r w:rsidR="00FB25B2" w:rsidRPr="00FB25B2">
        <w:rPr>
          <w:szCs w:val="24"/>
        </w:rPr>
        <w:t xml:space="preserve">это </w:t>
      </w:r>
      <w:r w:rsidR="00FB25B2">
        <w:rPr>
          <w:szCs w:val="24"/>
        </w:rPr>
        <w:t>п</w:t>
      </w:r>
      <w:r w:rsidRPr="005F508B">
        <w:rPr>
          <w:szCs w:val="24"/>
        </w:rPr>
        <w:t xml:space="preserve">ериод начального лечения, целью которого является максимально быстрое и существенное сокращение опухолевой массы и достижение </w:t>
      </w:r>
      <w:r w:rsidR="009B2897" w:rsidRPr="00B74743">
        <w:rPr>
          <w:szCs w:val="24"/>
        </w:rPr>
        <w:t>полной ремиссии</w:t>
      </w:r>
      <w:r w:rsidRPr="005F508B">
        <w:rPr>
          <w:szCs w:val="24"/>
        </w:rPr>
        <w:t>, называется периодом</w:t>
      </w:r>
      <w:r w:rsidR="00696A4B">
        <w:rPr>
          <w:szCs w:val="24"/>
        </w:rPr>
        <w:t xml:space="preserve"> индукции</w:t>
      </w:r>
      <w:r w:rsidR="00485081">
        <w:rPr>
          <w:szCs w:val="24"/>
        </w:rPr>
        <w:t xml:space="preserve"> (обычно 1–</w:t>
      </w:r>
      <w:r w:rsidRPr="005F508B">
        <w:rPr>
          <w:szCs w:val="24"/>
        </w:rPr>
        <w:t xml:space="preserve">2 курса). Именно в этот период на фоне применения цитостатических средств количество лейкемических клеток в </w:t>
      </w:r>
      <w:r w:rsidR="004A287F">
        <w:rPr>
          <w:szCs w:val="24"/>
        </w:rPr>
        <w:t>костном мозге</w:t>
      </w:r>
      <w:r w:rsidR="00027CE4">
        <w:rPr>
          <w:szCs w:val="24"/>
        </w:rPr>
        <w:t xml:space="preserve"> </w:t>
      </w:r>
      <w:r w:rsidRPr="005F508B">
        <w:rPr>
          <w:szCs w:val="24"/>
        </w:rPr>
        <w:t>уменьшается примерно в 100 раз, т.</w:t>
      </w:r>
      <w:r w:rsidR="008A33E0">
        <w:rPr>
          <w:szCs w:val="24"/>
        </w:rPr>
        <w:t> </w:t>
      </w:r>
      <w:r w:rsidRPr="005F508B">
        <w:rPr>
          <w:szCs w:val="24"/>
        </w:rPr>
        <w:t xml:space="preserve">е. в момент констатации </w:t>
      </w:r>
      <w:r w:rsidR="009B2897" w:rsidRPr="00B74743">
        <w:rPr>
          <w:szCs w:val="24"/>
        </w:rPr>
        <w:t>полной ремиссии</w:t>
      </w:r>
      <w:r w:rsidR="00027CE4">
        <w:rPr>
          <w:szCs w:val="24"/>
        </w:rPr>
        <w:t xml:space="preserve"> </w:t>
      </w:r>
      <w:r w:rsidRPr="005F508B">
        <w:rPr>
          <w:szCs w:val="24"/>
        </w:rPr>
        <w:t>в</w:t>
      </w:r>
      <w:r w:rsidR="004A287F" w:rsidRPr="005F508B">
        <w:rPr>
          <w:szCs w:val="24"/>
        </w:rPr>
        <w:t xml:space="preserve"> </w:t>
      </w:r>
      <w:r w:rsidR="004A287F">
        <w:rPr>
          <w:szCs w:val="24"/>
        </w:rPr>
        <w:t>костном мозге</w:t>
      </w:r>
      <w:r w:rsidR="00027CE4">
        <w:rPr>
          <w:szCs w:val="24"/>
        </w:rPr>
        <w:t xml:space="preserve"> </w:t>
      </w:r>
      <w:r w:rsidRPr="005F508B">
        <w:rPr>
          <w:szCs w:val="24"/>
        </w:rPr>
        <w:t>морфологически</w:t>
      </w:r>
      <w:r w:rsidR="00696A4B">
        <w:rPr>
          <w:szCs w:val="24"/>
        </w:rPr>
        <w:t xml:space="preserve"> </w:t>
      </w:r>
      <w:r w:rsidRPr="005F508B">
        <w:rPr>
          <w:szCs w:val="24"/>
        </w:rPr>
        <w:t>определяется менее 5</w:t>
      </w:r>
      <w:r w:rsidR="004A287F">
        <w:rPr>
          <w:szCs w:val="24"/>
        </w:rPr>
        <w:t xml:space="preserve"> </w:t>
      </w:r>
      <w:r w:rsidRPr="005F508B">
        <w:rPr>
          <w:szCs w:val="24"/>
        </w:rPr>
        <w:t>% опухолевых клеток.</w:t>
      </w:r>
    </w:p>
    <w:p w14:paraId="70F70BBA" w14:textId="77777777" w:rsidR="000F5C48" w:rsidRDefault="000F5C48" w:rsidP="000F5C48">
      <w:pPr>
        <w:tabs>
          <w:tab w:val="left" w:pos="709"/>
        </w:tabs>
        <w:ind w:firstLine="709"/>
        <w:contextualSpacing/>
        <w:rPr>
          <w:b/>
          <w:szCs w:val="24"/>
        </w:rPr>
      </w:pPr>
      <w:r>
        <w:rPr>
          <w:b/>
          <w:szCs w:val="24"/>
        </w:rPr>
        <w:t xml:space="preserve">Консолидация. </w:t>
      </w:r>
      <w:r w:rsidRPr="005F508B">
        <w:rPr>
          <w:szCs w:val="24"/>
        </w:rPr>
        <w:t>Втор</w:t>
      </w:r>
      <w:r w:rsidR="00696A4B">
        <w:rPr>
          <w:szCs w:val="24"/>
        </w:rPr>
        <w:t>ой</w:t>
      </w:r>
      <w:r w:rsidRPr="005F508B">
        <w:rPr>
          <w:szCs w:val="24"/>
        </w:rPr>
        <w:t xml:space="preserve"> этап терапии</w:t>
      </w:r>
      <w:r w:rsidR="00112E00">
        <w:rPr>
          <w:szCs w:val="24"/>
        </w:rPr>
        <w:t xml:space="preserve"> острых лейкозов</w:t>
      </w:r>
      <w:r w:rsidRPr="005F508B">
        <w:rPr>
          <w:szCs w:val="24"/>
        </w:rPr>
        <w:t xml:space="preserve"> – закрепление достигнутого противоопухолевого эффекта (разное количество</w:t>
      </w:r>
      <w:r w:rsidR="00696A4B">
        <w:rPr>
          <w:szCs w:val="24"/>
        </w:rPr>
        <w:t>,</w:t>
      </w:r>
      <w:r w:rsidRPr="005F508B">
        <w:rPr>
          <w:szCs w:val="24"/>
        </w:rPr>
        <w:t xml:space="preserve"> в зависимости от протокола). Задачей этого периода является по возможности еще большее уменьшение числа остающихся после индукции лейкемических клеток.</w:t>
      </w:r>
    </w:p>
    <w:p w14:paraId="5089C6DF" w14:textId="77777777" w:rsidR="000F5C48" w:rsidRPr="005F508B" w:rsidRDefault="000F5C48" w:rsidP="000F5C48">
      <w:pPr>
        <w:tabs>
          <w:tab w:val="left" w:pos="709"/>
        </w:tabs>
        <w:ind w:firstLine="709"/>
        <w:contextualSpacing/>
        <w:rPr>
          <w:szCs w:val="24"/>
        </w:rPr>
      </w:pPr>
      <w:r>
        <w:rPr>
          <w:b/>
          <w:szCs w:val="24"/>
        </w:rPr>
        <w:t>Поддерживающее ле</w:t>
      </w:r>
      <w:r w:rsidR="000D5BA5">
        <w:rPr>
          <w:b/>
          <w:szCs w:val="24"/>
        </w:rPr>
        <w:t xml:space="preserve">чение – </w:t>
      </w:r>
      <w:r w:rsidR="000D5BA5" w:rsidRPr="000D5BA5">
        <w:rPr>
          <w:szCs w:val="24"/>
        </w:rPr>
        <w:t xml:space="preserve">это </w:t>
      </w:r>
      <w:r w:rsidR="000D5BA5">
        <w:rPr>
          <w:szCs w:val="24"/>
        </w:rPr>
        <w:t>п</w:t>
      </w:r>
      <w:r w:rsidRPr="005F508B">
        <w:rPr>
          <w:szCs w:val="24"/>
        </w:rPr>
        <w:t>родолжение цитостатического воздействия в меньших дозах, чем в период индукции ремиссии</w:t>
      </w:r>
      <w:r w:rsidR="007C39AE">
        <w:rPr>
          <w:szCs w:val="24"/>
        </w:rPr>
        <w:t>,</w:t>
      </w:r>
      <w:r w:rsidRPr="005F508B">
        <w:rPr>
          <w:szCs w:val="24"/>
        </w:rPr>
        <w:t xml:space="preserve"> на возможно остающийся опухолевый клон.</w:t>
      </w:r>
    </w:p>
    <w:p w14:paraId="509F2CDB" w14:textId="77777777" w:rsidR="00D54754" w:rsidRPr="00FE0C6F" w:rsidRDefault="00D54754" w:rsidP="00A36B14">
      <w:pPr>
        <w:tabs>
          <w:tab w:val="left" w:pos="709"/>
        </w:tabs>
        <w:ind w:firstLine="709"/>
        <w:contextualSpacing/>
        <w:rPr>
          <w:b/>
          <w:u w:val="single"/>
          <w:lang w:eastAsia="zh-CN"/>
        </w:rPr>
      </w:pPr>
      <w:r w:rsidRPr="00FE0C6F">
        <w:rPr>
          <w:b/>
          <w:szCs w:val="24"/>
        </w:rPr>
        <w:t>Лейкоз/лимфома Беркитта</w:t>
      </w:r>
      <w:r w:rsidR="007C39AE">
        <w:rPr>
          <w:szCs w:val="24"/>
        </w:rPr>
        <w:t xml:space="preserve"> – это высоко</w:t>
      </w:r>
      <w:r w:rsidRPr="00FE0C6F">
        <w:rPr>
          <w:szCs w:val="24"/>
        </w:rPr>
        <w:t>агрессивное лимфопролиферативное заболевание из иммунологически зрелых В-клеток с преимущественно э</w:t>
      </w:r>
      <w:r w:rsidR="00920FB2" w:rsidRPr="00FE0C6F">
        <w:rPr>
          <w:szCs w:val="24"/>
        </w:rPr>
        <w:t xml:space="preserve">кстранодальной локализацией. </w:t>
      </w:r>
      <w:r w:rsidRPr="00FE0C6F">
        <w:rPr>
          <w:szCs w:val="24"/>
        </w:rPr>
        <w:t xml:space="preserve">Клинически выделяют 3 варианта </w:t>
      </w:r>
      <w:r w:rsidR="003F6FF7">
        <w:rPr>
          <w:szCs w:val="24"/>
        </w:rPr>
        <w:t>лимфомы Беркитта</w:t>
      </w:r>
      <w:r w:rsidRPr="00FE0C6F">
        <w:rPr>
          <w:szCs w:val="24"/>
        </w:rPr>
        <w:t>: энд</w:t>
      </w:r>
      <w:r w:rsidR="00E24245">
        <w:rPr>
          <w:szCs w:val="24"/>
        </w:rPr>
        <w:t>емический, спорадический и ВИЧ-</w:t>
      </w:r>
      <w:r w:rsidRPr="00FE0C6F">
        <w:rPr>
          <w:szCs w:val="24"/>
        </w:rPr>
        <w:t xml:space="preserve">ассоциированный. </w:t>
      </w:r>
    </w:p>
    <w:p w14:paraId="0588B138" w14:textId="77777777" w:rsidR="00D54754" w:rsidRPr="00FE0C6F" w:rsidRDefault="00D54754" w:rsidP="00A36B14">
      <w:pPr>
        <w:shd w:val="clear" w:color="auto" w:fill="FFFFFF"/>
        <w:tabs>
          <w:tab w:val="left" w:pos="709"/>
        </w:tabs>
        <w:ind w:firstLine="709"/>
        <w:contextualSpacing/>
        <w:rPr>
          <w:szCs w:val="24"/>
        </w:rPr>
      </w:pPr>
      <w:r w:rsidRPr="00FE0C6F">
        <w:rPr>
          <w:b/>
          <w:szCs w:val="24"/>
        </w:rPr>
        <w:t xml:space="preserve">Эндемический вариант </w:t>
      </w:r>
      <w:r w:rsidR="001534D8" w:rsidRPr="001534D8">
        <w:rPr>
          <w:b/>
          <w:szCs w:val="24"/>
        </w:rPr>
        <w:t>лимфомы Беркитта</w:t>
      </w:r>
      <w:r w:rsidRPr="00FE0C6F">
        <w:rPr>
          <w:szCs w:val="24"/>
        </w:rPr>
        <w:t xml:space="preserve"> </w:t>
      </w:r>
      <w:r w:rsidR="001534D8">
        <w:rPr>
          <w:szCs w:val="24"/>
        </w:rPr>
        <w:t>– это вариант лимфомы Беркитта</w:t>
      </w:r>
      <w:r w:rsidR="00920FB2" w:rsidRPr="00FE0C6F">
        <w:rPr>
          <w:szCs w:val="24"/>
        </w:rPr>
        <w:t xml:space="preserve"> </w:t>
      </w:r>
      <w:r w:rsidRPr="00FE0C6F">
        <w:rPr>
          <w:szCs w:val="24"/>
        </w:rPr>
        <w:t xml:space="preserve">характерен для темнокожих детей-аборигенов экваториальной Африки и мигрантов из Африки в Новую Гвинею. В клинической картине часто наблюдается поражение лицевого скелета: верхней и нижней челюстей, орбиты, а также почек, яичек, яичников, слюнных, молочных желез и </w:t>
      </w:r>
      <w:r w:rsidR="00112E00">
        <w:rPr>
          <w:szCs w:val="24"/>
        </w:rPr>
        <w:t>центральной нервной системы</w:t>
      </w:r>
      <w:r w:rsidRPr="00FE0C6F">
        <w:rPr>
          <w:szCs w:val="24"/>
        </w:rPr>
        <w:t>.</w:t>
      </w:r>
    </w:p>
    <w:p w14:paraId="680354C8" w14:textId="77777777" w:rsidR="00D54754" w:rsidRPr="00FE0C6F" w:rsidRDefault="00D54754" w:rsidP="00A36B14">
      <w:pPr>
        <w:shd w:val="clear" w:color="auto" w:fill="FFFFFF"/>
        <w:tabs>
          <w:tab w:val="left" w:pos="709"/>
        </w:tabs>
        <w:ind w:firstLine="709"/>
        <w:contextualSpacing/>
        <w:rPr>
          <w:szCs w:val="24"/>
        </w:rPr>
      </w:pPr>
      <w:r w:rsidRPr="00FE0C6F">
        <w:rPr>
          <w:b/>
          <w:szCs w:val="24"/>
        </w:rPr>
        <w:t xml:space="preserve">Спорадический вариант </w:t>
      </w:r>
      <w:r w:rsidR="00F80D91" w:rsidRPr="00F80D91">
        <w:rPr>
          <w:b/>
          <w:szCs w:val="24"/>
        </w:rPr>
        <w:t>лимфомы Беркитта</w:t>
      </w:r>
      <w:r w:rsidRPr="00FE0C6F">
        <w:rPr>
          <w:szCs w:val="24"/>
        </w:rPr>
        <w:t xml:space="preserve"> – </w:t>
      </w:r>
      <w:r w:rsidR="00920FB2" w:rsidRPr="00FE0C6F">
        <w:rPr>
          <w:szCs w:val="24"/>
        </w:rPr>
        <w:t xml:space="preserve">это </w:t>
      </w:r>
      <w:r w:rsidR="00212119">
        <w:rPr>
          <w:szCs w:val="24"/>
        </w:rPr>
        <w:t xml:space="preserve">типичная </w:t>
      </w:r>
      <w:r w:rsidR="00212119" w:rsidRPr="00212119">
        <w:rPr>
          <w:szCs w:val="24"/>
        </w:rPr>
        <w:t>лимфома Беркитта</w:t>
      </w:r>
      <w:r w:rsidRPr="00FE0C6F">
        <w:rPr>
          <w:szCs w:val="24"/>
        </w:rPr>
        <w:t xml:space="preserve"> </w:t>
      </w:r>
      <w:r w:rsidRPr="00FE0C6F">
        <w:rPr>
          <w:szCs w:val="24"/>
        </w:rPr>
        <w:lastRenderedPageBreak/>
        <w:t>по морфологическим, иммунофенотипическим и цитогенетическим признакам, возникающая вне эндемичной зоны.</w:t>
      </w:r>
    </w:p>
    <w:p w14:paraId="62D879A3" w14:textId="77777777" w:rsidR="00D54754" w:rsidRDefault="00D54754" w:rsidP="00A36B14">
      <w:pPr>
        <w:shd w:val="clear" w:color="auto" w:fill="FFFFFF"/>
        <w:tabs>
          <w:tab w:val="left" w:pos="709"/>
        </w:tabs>
        <w:ind w:firstLine="709"/>
        <w:contextualSpacing/>
        <w:rPr>
          <w:szCs w:val="24"/>
        </w:rPr>
      </w:pPr>
      <w:r w:rsidRPr="00FE0C6F">
        <w:rPr>
          <w:b/>
          <w:szCs w:val="24"/>
        </w:rPr>
        <w:t xml:space="preserve">Иммунодефицит-ассоциированный вариант </w:t>
      </w:r>
      <w:r w:rsidR="00F80D91" w:rsidRPr="00F80D91">
        <w:rPr>
          <w:b/>
          <w:szCs w:val="24"/>
        </w:rPr>
        <w:t>лимфомы Беркитта</w:t>
      </w:r>
      <w:r w:rsidRPr="00FE0C6F">
        <w:rPr>
          <w:szCs w:val="24"/>
        </w:rPr>
        <w:t xml:space="preserve"> – </w:t>
      </w:r>
      <w:r w:rsidR="00920FB2" w:rsidRPr="00FE0C6F">
        <w:rPr>
          <w:szCs w:val="24"/>
        </w:rPr>
        <w:t xml:space="preserve">это </w:t>
      </w:r>
      <w:r w:rsidR="00F80D91">
        <w:rPr>
          <w:szCs w:val="24"/>
        </w:rPr>
        <w:t>лимфома Беркитта</w:t>
      </w:r>
      <w:r w:rsidRPr="00FE0C6F">
        <w:rPr>
          <w:szCs w:val="24"/>
        </w:rPr>
        <w:t>, возникающая на фоне иммун</w:t>
      </w:r>
      <w:r w:rsidR="001C5D8E">
        <w:rPr>
          <w:szCs w:val="24"/>
        </w:rPr>
        <w:t>одефицитных состояний (у пациентов с</w:t>
      </w:r>
      <w:r w:rsidRPr="00FE0C6F">
        <w:rPr>
          <w:szCs w:val="24"/>
        </w:rPr>
        <w:t xml:space="preserve"> ВИЧ-инфекцией, после т</w:t>
      </w:r>
      <w:r w:rsidR="003210D3">
        <w:rPr>
          <w:szCs w:val="24"/>
        </w:rPr>
        <w:t>рансплантации органов, у пациентов с</w:t>
      </w:r>
      <w:r w:rsidRPr="00FE0C6F">
        <w:rPr>
          <w:szCs w:val="24"/>
        </w:rPr>
        <w:t xml:space="preserve"> первичными иммунодефицитами). Чаще всего встречает</w:t>
      </w:r>
      <w:r w:rsidR="001C5D8E">
        <w:rPr>
          <w:szCs w:val="24"/>
        </w:rPr>
        <w:t>ся у ВИЧ- инфицированных пациентов</w:t>
      </w:r>
      <w:r w:rsidRPr="00FE0C6F">
        <w:rPr>
          <w:szCs w:val="24"/>
        </w:rPr>
        <w:t>, причем на ранних этапах разв</w:t>
      </w:r>
      <w:r w:rsidR="00A36B14">
        <w:rPr>
          <w:szCs w:val="24"/>
        </w:rPr>
        <w:t>ития (до снижения CD</w:t>
      </w:r>
      <w:r w:rsidR="00A36B14" w:rsidRPr="007C39AE">
        <w:rPr>
          <w:szCs w:val="24"/>
          <w:vertAlign w:val="superscript"/>
        </w:rPr>
        <w:t>4+</w:t>
      </w:r>
      <w:r w:rsidR="007C39AE">
        <w:rPr>
          <w:szCs w:val="24"/>
        </w:rPr>
        <w:t>-</w:t>
      </w:r>
      <w:r w:rsidR="00A36B14">
        <w:rPr>
          <w:szCs w:val="24"/>
        </w:rPr>
        <w:t>клеток).</w:t>
      </w:r>
    </w:p>
    <w:p w14:paraId="25BF3B28" w14:textId="77777777" w:rsidR="004C72BF" w:rsidRDefault="004C72BF" w:rsidP="00A36B14">
      <w:pPr>
        <w:shd w:val="clear" w:color="auto" w:fill="FFFFFF"/>
        <w:tabs>
          <w:tab w:val="left" w:pos="709"/>
        </w:tabs>
        <w:ind w:firstLine="709"/>
        <w:contextualSpacing/>
        <w:rPr>
          <w:szCs w:val="24"/>
        </w:rPr>
      </w:pPr>
    </w:p>
    <w:p w14:paraId="344D3850" w14:textId="77777777" w:rsidR="004C72BF" w:rsidRDefault="004C72BF" w:rsidP="00A36B14">
      <w:pPr>
        <w:shd w:val="clear" w:color="auto" w:fill="FFFFFF"/>
        <w:tabs>
          <w:tab w:val="left" w:pos="709"/>
        </w:tabs>
        <w:ind w:firstLine="709"/>
        <w:contextualSpacing/>
        <w:rPr>
          <w:szCs w:val="24"/>
        </w:rPr>
      </w:pPr>
    </w:p>
    <w:p w14:paraId="1176132E" w14:textId="77777777" w:rsidR="004C72BF" w:rsidRDefault="004C72BF" w:rsidP="00A36B14">
      <w:pPr>
        <w:shd w:val="clear" w:color="auto" w:fill="FFFFFF"/>
        <w:tabs>
          <w:tab w:val="left" w:pos="709"/>
        </w:tabs>
        <w:ind w:firstLine="709"/>
        <w:contextualSpacing/>
        <w:rPr>
          <w:szCs w:val="24"/>
        </w:rPr>
      </w:pPr>
    </w:p>
    <w:p w14:paraId="79CA9570" w14:textId="77777777" w:rsidR="004C72BF" w:rsidRDefault="004C72BF" w:rsidP="00A36B14">
      <w:pPr>
        <w:shd w:val="clear" w:color="auto" w:fill="FFFFFF"/>
        <w:tabs>
          <w:tab w:val="left" w:pos="709"/>
        </w:tabs>
        <w:ind w:firstLine="709"/>
        <w:contextualSpacing/>
        <w:rPr>
          <w:szCs w:val="24"/>
        </w:rPr>
      </w:pPr>
    </w:p>
    <w:p w14:paraId="6BD3DFB2" w14:textId="77777777" w:rsidR="00116EB2" w:rsidRDefault="00116EB2" w:rsidP="00A36B14">
      <w:pPr>
        <w:shd w:val="clear" w:color="auto" w:fill="FFFFFF"/>
        <w:tabs>
          <w:tab w:val="left" w:pos="709"/>
        </w:tabs>
        <w:ind w:firstLine="709"/>
        <w:contextualSpacing/>
        <w:rPr>
          <w:szCs w:val="24"/>
        </w:rPr>
      </w:pPr>
    </w:p>
    <w:p w14:paraId="3A39B32A" w14:textId="77777777" w:rsidR="00116EB2" w:rsidRDefault="00116EB2" w:rsidP="00A36B14">
      <w:pPr>
        <w:shd w:val="clear" w:color="auto" w:fill="FFFFFF"/>
        <w:tabs>
          <w:tab w:val="left" w:pos="709"/>
        </w:tabs>
        <w:ind w:firstLine="709"/>
        <w:contextualSpacing/>
        <w:rPr>
          <w:szCs w:val="24"/>
        </w:rPr>
      </w:pPr>
    </w:p>
    <w:p w14:paraId="529B23B4" w14:textId="77777777" w:rsidR="00027CE4" w:rsidRDefault="00027CE4" w:rsidP="00A36B14">
      <w:pPr>
        <w:shd w:val="clear" w:color="auto" w:fill="FFFFFF"/>
        <w:tabs>
          <w:tab w:val="left" w:pos="709"/>
        </w:tabs>
        <w:ind w:firstLine="709"/>
        <w:contextualSpacing/>
        <w:rPr>
          <w:szCs w:val="24"/>
        </w:rPr>
      </w:pPr>
    </w:p>
    <w:p w14:paraId="1309DF08" w14:textId="10DFA550" w:rsidR="00C935D0" w:rsidRPr="00C81573" w:rsidRDefault="006D67C4" w:rsidP="00C935D0">
      <w:pPr>
        <w:pStyle w:val="11"/>
      </w:pPr>
      <w:bookmarkStart w:id="9" w:name="_Toc64565624"/>
      <w:bookmarkStart w:id="10" w:name="_Toc5373965"/>
      <w:bookmarkStart w:id="11" w:name="_Toc13484796"/>
      <w:bookmarkStart w:id="12" w:name="_Toc26796695"/>
      <w:bookmarkStart w:id="13" w:name="_Toc64467911"/>
      <w:r>
        <w:lastRenderedPageBreak/>
        <w:t>1</w:t>
      </w:r>
      <w:r w:rsidR="00C935D0" w:rsidRPr="00C81573">
        <w:t>. Краткая информация по заболеванию или состоянию (группе заболеваний или состояний)</w:t>
      </w:r>
      <w:bookmarkEnd w:id="9"/>
    </w:p>
    <w:p w14:paraId="4074E6E7" w14:textId="77777777" w:rsidR="00277428" w:rsidRDefault="00277428" w:rsidP="004905C2">
      <w:pPr>
        <w:pStyle w:val="2"/>
      </w:pPr>
    </w:p>
    <w:p w14:paraId="40E08961" w14:textId="6DFDE631" w:rsidR="00254823" w:rsidRPr="00C11ED7" w:rsidRDefault="00254823" w:rsidP="004905C2">
      <w:pPr>
        <w:pStyle w:val="2"/>
      </w:pPr>
      <w:bookmarkStart w:id="14" w:name="_Toc64565625"/>
      <w:r w:rsidRPr="00C11ED7">
        <w:t>1.1</w:t>
      </w:r>
      <w:r w:rsidR="00C11ED7">
        <w:t>.</w:t>
      </w:r>
      <w:r w:rsidRPr="00C11ED7">
        <w:t xml:space="preserve"> </w:t>
      </w:r>
      <w:bookmarkEnd w:id="10"/>
      <w:bookmarkEnd w:id="11"/>
      <w:r w:rsidR="00C330BB" w:rsidRPr="00C330BB">
        <w:t>Определение заболевания или состояния (группы заболеваний или состояний)</w:t>
      </w:r>
      <w:bookmarkEnd w:id="12"/>
      <w:bookmarkEnd w:id="13"/>
      <w:bookmarkEnd w:id="14"/>
    </w:p>
    <w:p w14:paraId="010324C9" w14:textId="77777777" w:rsidR="00254823" w:rsidRDefault="009B36C2" w:rsidP="00254823">
      <w:pPr>
        <w:shd w:val="clear" w:color="auto" w:fill="FFFFFF"/>
        <w:ind w:firstLine="567"/>
      </w:pPr>
      <w:r>
        <w:rPr>
          <w:szCs w:val="24"/>
        </w:rPr>
        <w:t>Острые лимфобластные лейкозы (далее – ОЛЛ)</w:t>
      </w:r>
      <w:r w:rsidR="00254823" w:rsidRPr="00CA7FDC">
        <w:t>/</w:t>
      </w:r>
      <w:r w:rsidR="00696A4B">
        <w:t xml:space="preserve">острые лимфобластные </w:t>
      </w:r>
      <w:r w:rsidR="00254823" w:rsidRPr="00CA7FDC">
        <w:t>лимфомы (</w:t>
      </w:r>
      <w:r w:rsidR="0091201C">
        <w:t>ЛБЛ</w:t>
      </w:r>
      <w:r w:rsidR="00254823" w:rsidRPr="00CA7FDC">
        <w:t>)</w:t>
      </w:r>
      <w:r w:rsidR="00254823">
        <w:t xml:space="preserve"> </w:t>
      </w:r>
      <w:r w:rsidR="00027CE4">
        <w:t>–</w:t>
      </w:r>
      <w:r w:rsidR="00254823">
        <w:t xml:space="preserve"> это</w:t>
      </w:r>
      <w:r w:rsidR="00027CE4">
        <w:t xml:space="preserve"> </w:t>
      </w:r>
      <w:r w:rsidR="00254823" w:rsidRPr="00CA7FDC">
        <w:t>гетерогенн</w:t>
      </w:r>
      <w:r w:rsidR="00254823">
        <w:t>ая</w:t>
      </w:r>
      <w:r w:rsidR="00254823" w:rsidRPr="00CA7FDC">
        <w:t xml:space="preserve"> групп</w:t>
      </w:r>
      <w:r w:rsidR="00254823">
        <w:t>а</w:t>
      </w:r>
      <w:r w:rsidR="00254823" w:rsidRPr="00CA7FDC">
        <w:t xml:space="preserve"> злокачественных клональных заболеваний системы крови, происходящих из клеток-предшественниц гемопоэза преимущественно лимфоидной н</w:t>
      </w:r>
      <w:r w:rsidR="003E3E53">
        <w:t>аправленности дифференцировки и</w:t>
      </w:r>
      <w:r w:rsidR="00254823" w:rsidRPr="00CA7FDC">
        <w:t xml:space="preserve"> характеризующиеся чаще всего исходным поражением </w:t>
      </w:r>
      <w:r w:rsidR="003E3E53">
        <w:t xml:space="preserve">костного мозга (далее – </w:t>
      </w:r>
      <w:r w:rsidR="00027CE4">
        <w:t>КМ</w:t>
      </w:r>
      <w:r w:rsidR="003E3E53">
        <w:t>)</w:t>
      </w:r>
      <w:r w:rsidR="00254823" w:rsidRPr="00CA7FDC">
        <w:t>, вытеснением нормального кроветворения и вовлечением</w:t>
      </w:r>
      <w:r w:rsidR="00027CE4">
        <w:t xml:space="preserve"> в процесс</w:t>
      </w:r>
      <w:r w:rsidR="00254823" w:rsidRPr="00CA7FDC">
        <w:t xml:space="preserve"> различных органов и систем организма (</w:t>
      </w:r>
      <w:r w:rsidR="003E3E53">
        <w:t xml:space="preserve">центральная нервная система (далее – </w:t>
      </w:r>
      <w:r w:rsidR="00254823" w:rsidRPr="00CA7FDC">
        <w:t>ЦНС</w:t>
      </w:r>
      <w:r w:rsidR="003E3E53">
        <w:t>)</w:t>
      </w:r>
      <w:r w:rsidR="00254823" w:rsidRPr="00CA7FDC">
        <w:t xml:space="preserve">, яички, лимфатическая ткань любой локализации), а также возможностью исходного поражения органов лимфатической ткани без вовлечения </w:t>
      </w:r>
      <w:r w:rsidR="00027CE4">
        <w:t>КМ</w:t>
      </w:r>
      <w:r w:rsidR="004C72BF">
        <w:t xml:space="preserve"> </w:t>
      </w:r>
      <w:r w:rsidR="00DC59BE">
        <w:fldChar w:fldCharType="begin" w:fldLock="1"/>
      </w:r>
      <w:r w:rsidR="00C2666D">
        <w:instrText>ADDIN CSL_CITATION {"citationItems":[{"id":"ITEM-1","itemData":{"id":"ITEM-1","issued":{"date-parts":[["2012"]]},"number-of-pages":"1056","title":"Программное лечение заболеваний системы крови: Сборник алгоритмов диагностики и протоколов лечения заболеваний системы крови. Под ред. В.Г. Савченко","type":"book"},"uris":["http://www.mendeley.com/documents/?uuid=36484a90-27ae-40a9-a194-b0461fb47d9d"]},{"id":"ITEM-2","itemData":{"author":[{"dropping-particle":"","family":"Савченко","given":"Валерий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доп.","id":"ITEM-2","issued":{"date-parts":[["2007"]]},"page":"409-502","title":"Острые лейкозы","type":"chapter"},"uris":["http://www.mendeley.com/documents/?uuid=08f85f58-ddaa-48eb-b937-65d15d14b213"]},{"id":"ITEM-3","itemData":{"ISBN":"9789283244943","abstract":"Revised 4th edition. Introduction and overview of the classification of the myeloid neoplasms -- Myeloproliferative neoplasms -- Mastocytosis -- Myeloid/lymphoid neoplasms with eosinophilia and gene rearrangement -- Myelodysplastic/myeloproliferative neoplasms -- Myelodysplastic syndromes -- Myeloid neoplasms with germline predisposition -- Acute myeloid leukaemia and related precursor neoplasms -- Blastic plasmacytoid dendritic cell neoplasm -- Acute leukaemias of ambiguous lineage -- Introduction and overview of the classification of the lymphoid neoplasms -- Precursor lymphoid neoplasms -- Mature B-cell neoplasms -- Mature T- and NK-cell neoplasms -- Hodgkin lymphomas -- Immunodeficiency-associated lymphoproliferative disorders -- Histiocytic and dendritic cell neoplasms.","author":[{"dropping-particle":"","family":"Swerdlow","given":"Steven H.","non-dropping-particle":"","parse-names":false,"suffix":""},{"dropping-particle":"","family":"Campo","given":"Elias","non-dropping-particle":"","parse-names":false,"suffix":""},{"dropping-particle":"","family":"Harris","given":"Nancy Lee","non-dropping-particle":"","parse-names":false,"suffix":""},{"dropping-particle":"","family":"Jaffe","given":"Elaine S.","non-dropping-particle":"","parse-names":false,"suffix":""},{"dropping-particle":"","family":"Pileri","given":"Stefano A.","non-dropping-particle":"","parse-names":false,"suffix":""},{"dropping-particle":"","family":"Stein","given":"Harald","non-dropping-particle":"","parse-names":false,"suffix":""},{"dropping-particle":"","family":"Thiele","given":"Jürgen","non-dropping-particle":"","parse-names":false,"suffix":""}],"editor":[{"dropping-particle":"","family":"Swerdlow SH, Campo E, Harris NL, Jaffe ES, Pileri SA, Stein H","given":"Thiele J","non-dropping-particle":"","parse-names":false,"suffix":""}],"id":"ITEM-3","issued":{"date-parts":[["2017"]]},"number-of-pages":"585","title":"WHO classification of tumours of haematopoietic and lymphoid tissues. Revised 4th ed. Lyon, France: International Agency for Research in Cancer (IARC)","type":"book"},"uris":["http://www.mendeley.com/documents/?uuid=b06b14d2-e846-3ead-b23a-17e93b076e13"]},{"id":"ITEM-4","itemData":{"author":[{"dropping-particle":"","family":"Brown","given":"Patrick A","non-dropping-particle":"","parse-names":false,"suffix":""},{"dropping-particle":"","family":"Shah","given":"Bijal","non-dropping-particle":"","parse-names":false,"suffix":""},{"dropping-particle":"","family":"Advani","given":"Anjali","non-dropping-particle":"","parse-names":false,"suffix":""},{"dropping-particle":"","family":"Aoun","given":"Patricia","non-dropping-particle":"","parse-names":false,"suffix":""},{"dropping-particle":"","family":"Bhatnagar","given":"Bhavana","non-dropping-particle":"","parse-names":false,"suffix":""},{"dropping-particle":"","family":"Boyer","given":"Michael W","non-dropping-particle":"","parse-names":false,"suffix":""},{"dropping-particle":"","family":"Bryan","given":"Teresa","non-dropping-particle":"","parse-names":false,"suffix":""},{"dropping-particle":"","family":"Burke","given":"Patrick W","non-dropping-particle":"","parse-names":false,"suffix":""},{"dropping-particle":"","family":"Cassaday","given":"Ryan D","non-dropping-particle":"","parse-names":false,"suffix":""},{"dropping-particle":"","family":"Coutre","given":"Steven E","non-dropping-particle":"","parse-names":false,"suffix":""},{"dropping-particle":"","family":"Coccia","given":"Peter F","non-dropping-particle":"","parse-names":false,"suffix":""},{"dropping-particle":"","family":"DeAngelo","given":"Daniel J","non-dropping-particle":"","parse-names":false,"suffix":""},{"dropping-particle":"","family":"Fathi","given":"Amir","non-dropping-particle":"","parse-names":false,"suffix":""},{"dropping-particle":"","family":"Jain","given":"Nitin","non-dropping-particle":"","parse-names":false,"suffix":""},{"dropping-particle":"","family":"Kirby","given":"Suzanne","non-dropping-particle":"","parse-names":false,"suffix":""},{"dropping-particle":"","family":"Litzow","given":"Mark","non-dropping-particle":"","parse-names":false,"suffix":""},{"dropping-particle":"","family":"Liu","given":"Arthur","non-dropping-particle":"","parse-names":false,"suffix":""},{"dropping-particle":"","family":"Logan","given":"Aaron","non-dropping-particle":"","parse-names":false,"suffix":""},{"dropping-particle":"","family":"Massaro","given":"Stephanie","non-dropping-particle":"","parse-names":false,"suffix":""},{"dropping-particle":"","family":"Mattison","given":"Ryan J","non-dropping-particle":"","parse-names":false,"suffix":""},{"dropping-particle":"","family":"Oluwole","given":"Olalekan","non-dropping-particle":"","parse-names":false,"suffix":""},{"dropping-particle":"","family":"Papadantonakis","given":"Nikolaos","non-dropping-particle":"","parse-names":false,"suffix":""},{"dropping-particle":"","family":"Park","given":"Jae","non-dropping-particle":"","parse-names":false,"suffix":""},{"dropping-particle":"","family":"Rubnitz","given":"Jeffrey E","non-dropping-particle":"","parse-names":false,"suffix":""},{"dropping-particle":"","family":"Uy","given":"Geoffrey L","non-dropping-particle":"","parse-names":false,"suffix":""},{"dropping-particle":"","family":"Wang","given":"Eunice S","non-dropping-particle":"","parse-names":false,"suffix":""},{"dropping-particle":"","family":"Wieduwilt","given":"Matthew","non-dropping-particle":"","parse-names":false,"suffix":""},{"dropping-particle":"","family":"Gregory","given":"Kristina","non-dropping-particle":"","parse-names":false,"suffix":""}],"id":"ITEM-4","issued":{"date-parts":[["2019"]]},"number-of-pages":"115","title":"NCCN Clinical Practice Guidelines in Oncology. Acute Lymphoblastic Leukemia. Version 2.2019","type":"report"},"uris":["http://www.mendeley.com/documents/?uuid=ef92918b-8a57-37b1-bea5-284dfdf15541"]},{"id":"ITEM-5","itemData":{"author":[{"dropping-particle":"","family":"Gökbuget","given":"N.","non-dropping-particle":"","parse-names":false,"suffix":""},{"dropping-particle":"","family":"Bassan","given":"R.","non-dropping-particle":"","parse-names":false,"suffix":""},{"dropping-particle":"","family":"Dombret","given":"H.","non-dropping-particle":"","parse-names":false,"suffix":""},{"dropping-particle":"","family":"Doubek","given":"M.","non-dropping-particle":"","parse-names":false,"suffix":""},{"dropping-particle":"","family":"Fielding","given":"A.K.","non-dropping-particle":"","parse-names":false,"suffix":""},{"dropping-particle":"","family":"Foà","given":"R.","non-dropping-particle":"","parse-names":false,"suffix":""},{"dropping-particle":"","family":"Giebel","given":"S.","non-dropping-particle":"","parse-names":false,"suffix":""},{"dropping-particle":"","family":"Hoelzer","given":"D.","non-dropping-particle":"","parse-names":false,"suffix":""},{"dropping-particle":"","family":"Martinelli","given":"G.","non-dropping-particle":"","parse-names":false,"suffix":""},{"dropping-particle":"","family":"Meloni","given":"G.","non-dropping-particle":"","parse-names":false,"suffix":""},{"dropping-particle":"","family":"Delia Moicean","given":"A.","non-dropping-particle":"","parse-names":false,"suffix":""},{"dropping-particle":"","family":"Ottmann","given":"O.","non-dropping-particle":"","parse-names":false,"suffix":""},{"dropping-particle":"","family":"Piccaluga","given":"P.P.","non-dropping-particle":"","parse-names":false,"suffix":""},{"dropping-particle":"","family":"Ribera","given":"J.M.","non-dropping-particle":"","parse-names":false,"suffix":""},{"dropping-particle":"","family":"Rousselot","given":"P.","non-dropping-particle":"","parse-names":false,"suffix":""},{"dropping-particle":"","family":"Walewski","given":"J.","non-dropping-particle":"","parse-names":false,"suffix":""}],"container-title":"UNI-MED Verlag AG","id":"ITEM-5","issued":{"date-parts":[["2011"]]},"number-of-pages":"204","title":"Recommendations of the European Working Group for Adult ALL (EWALL)","type":"book"},"uris":["http://www.mendeley.com/documents/?uuid=aba58166-cd2b-4f70-bb6a-5fdd9e1b42de"]}],"mendeley":{"formattedCitation":"[1–5]","plainTextFormattedCitation":"[1–5]","previouslyFormattedCitation":"[1–5]"},"properties":{"noteIndex":0},"schema":"https://github.com/citation-style-language/schema/raw/master/csl-citation.json"}</w:instrText>
      </w:r>
      <w:r w:rsidR="00DC59BE">
        <w:fldChar w:fldCharType="separate"/>
      </w:r>
      <w:r w:rsidR="00C2666D" w:rsidRPr="00C2666D">
        <w:rPr>
          <w:noProof/>
        </w:rPr>
        <w:t>[1–5]</w:t>
      </w:r>
      <w:r w:rsidR="00DC59BE">
        <w:fldChar w:fldCharType="end"/>
      </w:r>
      <w:r w:rsidR="00254823" w:rsidRPr="00CA7FDC">
        <w:t>.</w:t>
      </w:r>
    </w:p>
    <w:p w14:paraId="6558AE63" w14:textId="77777777" w:rsidR="00946D89" w:rsidRDefault="00946D89" w:rsidP="004905C2">
      <w:pPr>
        <w:pStyle w:val="2"/>
      </w:pPr>
      <w:bookmarkStart w:id="15" w:name="_Toc531609321"/>
      <w:bookmarkStart w:id="16" w:name="_Toc5373966"/>
      <w:bookmarkStart w:id="17" w:name="_Toc13484797"/>
      <w:bookmarkStart w:id="18" w:name="_Toc26796696"/>
      <w:bookmarkStart w:id="19" w:name="_Toc64467912"/>
    </w:p>
    <w:p w14:paraId="70A6DEA0" w14:textId="66D06FAA" w:rsidR="00254823" w:rsidRPr="00B46390" w:rsidRDefault="00254823" w:rsidP="004905C2">
      <w:pPr>
        <w:pStyle w:val="2"/>
      </w:pPr>
      <w:bookmarkStart w:id="20" w:name="_Toc64565626"/>
      <w:r w:rsidRPr="00B46390">
        <w:t>1.2</w:t>
      </w:r>
      <w:r w:rsidR="003E3E53">
        <w:t>.</w:t>
      </w:r>
      <w:r w:rsidRPr="00B46390">
        <w:t xml:space="preserve"> </w:t>
      </w:r>
      <w:bookmarkEnd w:id="15"/>
      <w:bookmarkEnd w:id="16"/>
      <w:bookmarkEnd w:id="17"/>
      <w:r w:rsidR="00C330BB" w:rsidRPr="00C330BB">
        <w:t>Этиология и патогенез заболевания или состояния (группы заболеваний или состояний)</w:t>
      </w:r>
      <w:bookmarkEnd w:id="18"/>
      <w:bookmarkEnd w:id="19"/>
      <w:bookmarkEnd w:id="20"/>
    </w:p>
    <w:p w14:paraId="4CB79563" w14:textId="77777777" w:rsidR="00254823" w:rsidRDefault="00254823" w:rsidP="00254823">
      <w:pPr>
        <w:shd w:val="clear" w:color="auto" w:fill="FFFFFF"/>
        <w:ind w:firstLine="567"/>
        <w:rPr>
          <w:color w:val="000000"/>
        </w:rPr>
      </w:pPr>
      <w:r>
        <w:rPr>
          <w:bCs/>
          <w:color w:val="000000"/>
        </w:rPr>
        <w:t>Этиология точно н</w:t>
      </w:r>
      <w:r w:rsidRPr="00DB5687">
        <w:rPr>
          <w:color w:val="000000"/>
        </w:rPr>
        <w:t>е установлена</w:t>
      </w:r>
      <w:r>
        <w:rPr>
          <w:color w:val="000000"/>
        </w:rPr>
        <w:t xml:space="preserve">. </w:t>
      </w:r>
      <w:r>
        <w:rPr>
          <w:bCs/>
          <w:color w:val="000000"/>
        </w:rPr>
        <w:t>Этиология и патогенез о</w:t>
      </w:r>
      <w:r>
        <w:rPr>
          <w:color w:val="000000"/>
        </w:rPr>
        <w:t>бъясняю</w:t>
      </w:r>
      <w:r w:rsidRPr="00DB5687">
        <w:rPr>
          <w:color w:val="000000"/>
        </w:rPr>
        <w:t>тся общепринятой клоновой теорие</w:t>
      </w:r>
      <w:r>
        <w:rPr>
          <w:color w:val="000000"/>
        </w:rPr>
        <w:t>й: все лейкемические клетки являют</w:t>
      </w:r>
      <w:r w:rsidRPr="00DB5687">
        <w:rPr>
          <w:color w:val="000000"/>
        </w:rPr>
        <w:t>ся потомками одной родоначальной клетки, которая прекратила свою дифференцировку на одной из ранних стадий созревания. Из-за неконтролируемой пролиферации опухолевых клеток угнетается нормальное кроветворение, образуются метастазы (лейкемические инфильтраты) вне органов кроветворения</w:t>
      </w:r>
      <w:r w:rsidR="00482B9A" w:rsidRPr="00482B9A">
        <w:rPr>
          <w:color w:val="000000"/>
        </w:rPr>
        <w:t xml:space="preserve"> </w:t>
      </w:r>
      <w:r w:rsidR="00DC59BE">
        <w:fldChar w:fldCharType="begin" w:fldLock="1"/>
      </w:r>
      <w:r w:rsidR="00C2666D">
        <w:instrText>ADDIN CSL_CITATION {"citationItems":[{"id":"ITEM-1","itemData":{"id":"ITEM-1","issued":{"date-parts":[["2012"]]},"number-of-pages":"1056","title":"Программное лечение заболеваний системы крови: Сборник алгоритмов диагностики и протоколов лечения заболеваний системы крови. Под ред. В.Г. Савченко","type":"book"},"uris":["http://www.mendeley.com/documents/?uuid=36484a90-27ae-40a9-a194-b0461fb47d9d"]},{"id":"ITEM-2","itemData":{"author":[{"dropping-particle":"","family":"Савченко","given":"Валерий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доп.","id":"ITEM-2","issued":{"date-parts":[["2007"]]},"page":"409-502","title":"Острые лейкозы","type":"chapter"},"uris":["http://www.mendeley.com/documents/?uuid=08f85f58-ddaa-48eb-b937-65d15d14b213"]},{"id":"ITEM-3","itemData":{"ISBN":"9789283244943","abstract":"Revised 4th edition. Introduction and overview of the classification of the myeloid neoplasms -- Myeloproliferative neoplasms -- Mastocytosis -- Myeloid/lymphoid neoplasms with eosinophilia and gene rearrangement -- Myelodysplastic/myeloproliferative neoplasms -- Myelodysplastic syndromes -- Myeloid neoplasms with germline predisposition -- Acute myeloid leukaemia and related precursor neoplasms -- Blastic plasmacytoid dendritic cell neoplasm -- Acute leukaemias of ambiguous lineage -- Introduction and overview of the classification of the lymphoid neoplasms -- Precursor lymphoid neoplasms -- Mature B-cell neoplasms -- Mature T- and NK-cell neoplasms -- Hodgkin lymphomas -- Immunodeficiency-associated lymphoproliferative disorders -- Histiocytic and dendritic cell neoplasms.","author":[{"dropping-particle":"","family":"Swerdlow","given":"Steven H.","non-dropping-particle":"","parse-names":false,"suffix":""},{"dropping-particle":"","family":"Campo","given":"Elias","non-dropping-particle":"","parse-names":false,"suffix":""},{"dropping-particle":"","family":"Harris","given":"Nancy Lee","non-dropping-particle":"","parse-names":false,"suffix":""},{"dropping-particle":"","family":"Jaffe","given":"Elaine S.","non-dropping-particle":"","parse-names":false,"suffix":""},{"dropping-particle":"","family":"Pileri","given":"Stefano A.","non-dropping-particle":"","parse-names":false,"suffix":""},{"dropping-particle":"","family":"Stein","given":"Harald","non-dropping-particle":"","parse-names":false,"suffix":""},{"dropping-particle":"","family":"Thiele","given":"Jürgen","non-dropping-particle":"","parse-names":false,"suffix":""}],"editor":[{"dropping-particle":"","family":"Swerdlow SH, Campo E, Harris NL, Jaffe ES, Pileri SA, Stein H","given":"Thiele J","non-dropping-particle":"","parse-names":false,"suffix":""}],"id":"ITEM-3","issued":{"date-parts":[["2017"]]},"number-of-pages":"585","title":"WHO classification of tumours of haematopoietic and lymphoid tissues. Revised 4th ed. Lyon, France: International Agency for Research in Cancer (IARC)","type":"book"},"uris":["http://www.mendeley.com/documents/?uuid=b06b14d2-e846-3ead-b23a-17e93b076e13"]},{"id":"ITEM-4","itemData":{"author":[{"dropping-particle":"","family":"Brown","given":"Patrick A","non-dropping-particle":"","parse-names":false,"suffix":""},{"dropping-particle":"","family":"Shah","given":"Bijal","non-dropping-particle":"","parse-names":false,"suffix":""},{"dropping-particle":"","family":"Advani","given":"Anjali","non-dropping-particle":"","parse-names":false,"suffix":""},{"dropping-particle":"","family":"Aoun","given":"Patricia","non-dropping-particle":"","parse-names":false,"suffix":""},{"dropping-particle":"","family":"Bhatnagar","given":"Bhavana","non-dropping-particle":"","parse-names":false,"suffix":""},{"dropping-particle":"","family":"Boyer","given":"Michael W","non-dropping-particle":"","parse-names":false,"suffix":""},{"dropping-particle":"","family":"Bryan","given":"Teresa","non-dropping-particle":"","parse-names":false,"suffix":""},{"dropping-particle":"","family":"Burke","given":"Patrick W","non-dropping-particle":"","parse-names":false,"suffix":""},{"dropping-particle":"","family":"Cassaday","given":"Ryan D","non-dropping-particle":"","parse-names":false,"suffix":""},{"dropping-particle":"","family":"Coutre","given":"Steven E","non-dropping-particle":"","parse-names":false,"suffix":""},{"dropping-particle":"","family":"Coccia","given":"Peter F","non-dropping-particle":"","parse-names":false,"suffix":""},{"dropping-particle":"","family":"DeAngelo","given":"Daniel J","non-dropping-particle":"","parse-names":false,"suffix":""},{"dropping-particle":"","family":"Fathi","given":"Amir","non-dropping-particle":"","parse-names":false,"suffix":""},{"dropping-particle":"","family":"Jain","given":"Nitin","non-dropping-particle":"","parse-names":false,"suffix":""},{"dropping-particle":"","family":"Kirby","given":"Suzanne","non-dropping-particle":"","parse-names":false,"suffix":""},{"dropping-particle":"","family":"Litzow","given":"Mark","non-dropping-particle":"","parse-names":false,"suffix":""},{"dropping-particle":"","family":"Liu","given":"Arthur","non-dropping-particle":"","parse-names":false,"suffix":""},{"dropping-particle":"","family":"Logan","given":"Aaron","non-dropping-particle":"","parse-names":false,"suffix":""},{"dropping-particle":"","family":"Massaro","given":"Stephanie","non-dropping-particle":"","parse-names":false,"suffix":""},{"dropping-particle":"","family":"Mattison","given":"Ryan J","non-dropping-particle":"","parse-names":false,"suffix":""},{"dropping-particle":"","family":"Oluwole","given":"Olalekan","non-dropping-particle":"","parse-names":false,"suffix":""},{"dropping-particle":"","family":"Papadantonakis","given":"Nikolaos","non-dropping-particle":"","parse-names":false,"suffix":""},{"dropping-particle":"","family":"Park","given":"Jae","non-dropping-particle":"","parse-names":false,"suffix":""},{"dropping-particle":"","family":"Rubnitz","given":"Jeffrey E","non-dropping-particle":"","parse-names":false,"suffix":""},{"dropping-particle":"","family":"Uy","given":"Geoffrey L","non-dropping-particle":"","parse-names":false,"suffix":""},{"dropping-particle":"","family":"Wang","given":"Eunice S","non-dropping-particle":"","parse-names":false,"suffix":""},{"dropping-particle":"","family":"Wieduwilt","given":"Matthew","non-dropping-particle":"","parse-names":false,"suffix":""},{"dropping-particle":"","family":"Gregory","given":"Kristina","non-dropping-particle":"","parse-names":false,"suffix":""}],"id":"ITEM-4","issued":{"date-parts":[["2019"]]},"number-of-pages":"115","title":"NCCN Clinical Practice Guidelines in Oncology. Acute Lymphoblastic Leukemia. Version 2.2019","type":"report"},"uris":["http://www.mendeley.com/documents/?uuid=ef92918b-8a57-37b1-bea5-284dfdf15541"]},{"id":"ITEM-5","itemData":{"author":[{"dropping-particle":"","family":"Gökbuget","given":"N.","non-dropping-particle":"","parse-names":false,"suffix":""},{"dropping-particle":"","family":"Bassan","given":"R.","non-dropping-particle":"","parse-names":false,"suffix":""},{"dropping-particle":"","family":"Dombret","given":"H.","non-dropping-particle":"","parse-names":false,"suffix":""},{"dropping-particle":"","family":"Doubek","given":"M.","non-dropping-particle":"","parse-names":false,"suffix":""},{"dropping-particle":"","family":"Fielding","given":"A.K.","non-dropping-particle":"","parse-names":false,"suffix":""},{"dropping-particle":"","family":"Foà","given":"R.","non-dropping-particle":"","parse-names":false,"suffix":""},{"dropping-particle":"","family":"Giebel","given":"S.","non-dropping-particle":"","parse-names":false,"suffix":""},{"dropping-particle":"","family":"Hoelzer","given":"D.","non-dropping-particle":"","parse-names":false,"suffix":""},{"dropping-particle":"","family":"Martinelli","given":"G.","non-dropping-particle":"","parse-names":false,"suffix":""},{"dropping-particle":"","family":"Meloni","given":"G.","non-dropping-particle":"","parse-names":false,"suffix":""},{"dropping-particle":"","family":"Delia Moicean","given":"A.","non-dropping-particle":"","parse-names":false,"suffix":""},{"dropping-particle":"","family":"Ottmann","given":"O.","non-dropping-particle":"","parse-names":false,"suffix":""},{"dropping-particle":"","family":"Piccaluga","given":"P.P.","non-dropping-particle":"","parse-names":false,"suffix":""},{"dropping-particle":"","family":"Ribera","given":"J.M.","non-dropping-particle":"","parse-names":false,"suffix":""},{"dropping-particle":"","family":"Rousselot","given":"P.","non-dropping-particle":"","parse-names":false,"suffix":""},{"dropping-particle":"","family":"Walewski","given":"J.","non-dropping-particle":"","parse-names":false,"suffix":""}],"container-title":"UNI-MED Verlag AG","id":"ITEM-5","issued":{"date-parts":[["2011"]]},"number-of-pages":"204","title":"Recommendations of the European Working Group for Adult ALL (EWALL)","type":"book"},"uris":["http://www.mendeley.com/documents/?uuid=aba58166-cd2b-4f70-bb6a-5fdd9e1b42de"]}],"mendeley":{"formattedCitation":"[1–5]","plainTextFormattedCitation":"[1–5]","previouslyFormattedCitation":"[1–5]"},"properties":{"noteIndex":0},"schema":"https://github.com/citation-style-language/schema/raw/master/csl-citation.json"}</w:instrText>
      </w:r>
      <w:r w:rsidR="00DC59BE">
        <w:fldChar w:fldCharType="separate"/>
      </w:r>
      <w:r w:rsidR="00C2666D" w:rsidRPr="00C2666D">
        <w:rPr>
          <w:noProof/>
        </w:rPr>
        <w:t>[1–5]</w:t>
      </w:r>
      <w:r w:rsidR="00DC59BE">
        <w:fldChar w:fldCharType="end"/>
      </w:r>
      <w:r w:rsidRPr="00DB5687">
        <w:rPr>
          <w:color w:val="000000"/>
        </w:rPr>
        <w:t>.</w:t>
      </w:r>
    </w:p>
    <w:p w14:paraId="713054A1" w14:textId="77777777" w:rsidR="00946D89" w:rsidRDefault="00946D89" w:rsidP="004905C2">
      <w:pPr>
        <w:pStyle w:val="2"/>
      </w:pPr>
      <w:bookmarkStart w:id="21" w:name="_Toc531609322"/>
      <w:bookmarkStart w:id="22" w:name="_Toc5373967"/>
      <w:bookmarkStart w:id="23" w:name="_Toc13484798"/>
      <w:bookmarkStart w:id="24" w:name="_Toc26796697"/>
      <w:bookmarkStart w:id="25" w:name="_Toc64467913"/>
    </w:p>
    <w:p w14:paraId="39EAE6AF" w14:textId="1626FFCF" w:rsidR="00254823" w:rsidRPr="00FE0C6F" w:rsidRDefault="00254823" w:rsidP="004905C2">
      <w:pPr>
        <w:pStyle w:val="2"/>
      </w:pPr>
      <w:bookmarkStart w:id="26" w:name="_Toc64565627"/>
      <w:r w:rsidRPr="00B46390">
        <w:t>1.3</w:t>
      </w:r>
      <w:r w:rsidR="005B26CD">
        <w:t>.</w:t>
      </w:r>
      <w:r w:rsidRPr="00B46390">
        <w:t xml:space="preserve"> </w:t>
      </w:r>
      <w:bookmarkEnd w:id="21"/>
      <w:bookmarkEnd w:id="22"/>
      <w:bookmarkEnd w:id="23"/>
      <w:r w:rsidR="00C330BB" w:rsidRPr="00C330BB">
        <w:t>Эпидемиология заболевания или состояния (группы заболеваний или состояний)</w:t>
      </w:r>
      <w:bookmarkEnd w:id="24"/>
      <w:bookmarkEnd w:id="25"/>
      <w:bookmarkEnd w:id="26"/>
      <w:r w:rsidR="00C2666D" w:rsidRPr="00311757">
        <w:t xml:space="preserve"> </w:t>
      </w:r>
    </w:p>
    <w:p w14:paraId="03A09AC0" w14:textId="77777777" w:rsidR="00254823" w:rsidRPr="00282642" w:rsidRDefault="00254823" w:rsidP="00254823">
      <w:pPr>
        <w:shd w:val="clear" w:color="auto" w:fill="FFFFFF"/>
        <w:ind w:firstLine="709"/>
        <w:contextualSpacing/>
        <w:rPr>
          <w:color w:val="000000"/>
        </w:rPr>
      </w:pPr>
      <w:r w:rsidRPr="00CA7FDC">
        <w:t>ОЛЛ может встречаться у лиц любого возраста, начиная с младенческого возраста и заканчивая пожилым, однако максимальные значения заболеваемости приходятся на детский возраст (60</w:t>
      </w:r>
      <w:r w:rsidR="00282642">
        <w:t xml:space="preserve"> </w:t>
      </w:r>
      <w:r w:rsidRPr="00CA7FDC">
        <w:t xml:space="preserve">% </w:t>
      </w:r>
      <w:r w:rsidR="00B0071E">
        <w:rPr>
          <w:szCs w:val="24"/>
        </w:rPr>
        <w:t>пациентов</w:t>
      </w:r>
      <w:r w:rsidR="00B0071E" w:rsidRPr="00CA7FDC">
        <w:t xml:space="preserve"> </w:t>
      </w:r>
      <w:r w:rsidRPr="00CA7FDC">
        <w:t>ОЛЛ моложе 20 лет</w:t>
      </w:r>
      <w:r w:rsidRPr="006D5E28">
        <w:rPr>
          <w:color w:val="000000"/>
        </w:rPr>
        <w:t>)</w:t>
      </w:r>
      <w:r w:rsidR="00482B9A" w:rsidRPr="00482B9A">
        <w:rPr>
          <w:color w:val="000000"/>
        </w:rPr>
        <w:t xml:space="preserve"> </w:t>
      </w:r>
      <w:r w:rsidR="00940CF0">
        <w:fldChar w:fldCharType="begin" w:fldLock="1"/>
      </w:r>
      <w:r w:rsidR="00940CF0">
        <w:instrText>ADDIN CSL_CITATION {"citationItems":[{"id":"ITEM-1","itemData":{"id":"ITEM-1","issued":{"date-parts":[["2012"]]},"number-of-pages":"1056","title":"Программное лечение заболеваний системы крови: Сборник алгоритмов диагностики и протоколов лечения заболеваний системы крови. Под ред. В.Г. Савченко","type":"book"},"uris":["http://www.mendeley.com/documents/?uuid=36484a90-27ae-40a9-a194-b0461fb47d9d"]},{"id":"ITEM-2","itemData":{"author":[{"dropping-particle":"","family":"Савченко","given":"Валерий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доп.","id":"ITEM-2","issued":{"date-parts":[["2007"]]},"page":"409-502","title":"Острые лейкозы","type":"chapter"},"uris":["http://www.mendeley.com/documents/?uuid=08f85f58-ddaa-48eb-b937-65d15d14b213"]},{"id":"ITEM-3","itemData":{"author":[{"dropping-particle":"","family":"Румянцев","given":"А.Г.","non-dropping-particle":"","parse-names":false,"suffix":""}],"container-title":"Вопросы гематологии/онкологии и иммунопатологии в педиатрии","id":"ITEM-3","issue":"1","issued":{"date-parts":[["2015"]]},"page":"5-15","title":"Эволюция лечения острого лимфобластного лейкоза у детей: эмпирические, биологические и организационные аспекты","type":"article-journal","volume":"14"},"uris":["http://www.mendeley.com/documents/?uuid=9d5e1733-8435-41c6-9ee1-8f81075dbf26"]}],"mendeley":{"formattedCitation":"[1,2,6]","plainTextFormattedCitation":"[1,2,6]","previouslyFormattedCitation":"[1,2,6]"},"properties":{"noteIndex":0},"schema":"https://github.com/citation-style-language/schema/raw/master/csl-citation.json"}</w:instrText>
      </w:r>
      <w:r w:rsidR="00940CF0">
        <w:fldChar w:fldCharType="separate"/>
      </w:r>
      <w:r w:rsidR="00940CF0" w:rsidRPr="00C2666D">
        <w:rPr>
          <w:noProof/>
        </w:rPr>
        <w:t>[1,2,6]</w:t>
      </w:r>
      <w:r w:rsidR="00940CF0">
        <w:fldChar w:fldCharType="end"/>
      </w:r>
      <w:r w:rsidR="00282642">
        <w:t>.</w:t>
      </w:r>
    </w:p>
    <w:p w14:paraId="435D5CB1" w14:textId="77777777" w:rsidR="00254823" w:rsidRPr="00584CF5" w:rsidRDefault="00254823" w:rsidP="00254823">
      <w:pPr>
        <w:spacing w:before="120"/>
        <w:ind w:firstLine="709"/>
        <w:contextualSpacing/>
        <w:rPr>
          <w:u w:val="single"/>
        </w:rPr>
      </w:pPr>
      <w:r w:rsidRPr="00CA7FDC">
        <w:t>ОЛЛ является самой распространенной опухолью кроветворной ткани у детей, составляя 30</w:t>
      </w:r>
      <w:r w:rsidR="00282642">
        <w:t xml:space="preserve"> </w:t>
      </w:r>
      <w:r w:rsidRPr="00CA7FDC">
        <w:t>% всех злокачественных опухолей детского возраста. У пациентов моложе 15 лет ОЛЛ диагностируется в 75</w:t>
      </w:r>
      <w:r w:rsidR="00282642">
        <w:t xml:space="preserve"> </w:t>
      </w:r>
      <w:r w:rsidRPr="00CA7FDC">
        <w:t xml:space="preserve">% случаев всех </w:t>
      </w:r>
      <w:r w:rsidR="005B26CD">
        <w:t>острых лейкозов</w:t>
      </w:r>
      <w:r w:rsidR="008B7A75">
        <w:t xml:space="preserve"> (далее – ОЛ)</w:t>
      </w:r>
      <w:r w:rsidRPr="00CA7FDC">
        <w:t>. Пик заболеваемо</w:t>
      </w:r>
      <w:r w:rsidR="00282642">
        <w:t>сти ОЛЛ приходится на возраст 3–</w:t>
      </w:r>
      <w:r w:rsidRPr="00CA7FDC">
        <w:t>4 года, затем частота его снижается, и второй подъем, хотя не столь существ</w:t>
      </w:r>
      <w:r w:rsidR="00282642">
        <w:t>енный, отмечается в возрасте 50–</w:t>
      </w:r>
      <w:r w:rsidRPr="00CA7FDC">
        <w:t>60 лет</w:t>
      </w:r>
      <w:r w:rsidR="00E82A08">
        <w:t xml:space="preserve"> </w:t>
      </w:r>
      <w:r w:rsidR="00940CF0">
        <w:fldChar w:fldCharType="begin" w:fldLock="1"/>
      </w:r>
      <w:r w:rsidR="00940CF0">
        <w:instrText>ADDIN CSL_CITATION {"citationItems":[{"id":"ITEM-1","itemData":{"id":"ITEM-1","issued":{"date-parts":[["2012"]]},"number-of-pages":"1056","title":"Программное лечение заболеваний системы крови: Сборник алгоритмов диагностики и протоколов лечения заболеваний системы крови. Под ред. В.Г. Савченко","type":"book"},"uris":["http://www.mendeley.com/documents/?uuid=36484a90-27ae-40a9-a194-b0461fb47d9d"]},{"id":"ITEM-2","itemData":{"author":[{"dropping-particle":"","family":"Савченко","given":"Валерий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доп.","id":"ITEM-2","issued":{"date-parts":[["2007"]]},"page":"409-502","title":"Острые лейкозы","type":"chapter"},"uris":["http://www.mendeley.com/documents/?uuid=08f85f58-ddaa-48eb-b937-65d15d14b213"]},{"id":"ITEM-3","itemData":{"ISBN":"9789283244943","abstract":"Revised 4th edition. Introduction and overview of the classification of the myeloid neoplasms -- Myeloproliferative neoplasms -- Mastocytosis -- Myeloid/lymphoid neoplasms with eosinophilia and gene rearrangement -- Myelodysplastic/myeloproliferative neoplasms -- Myelodysplastic syndromes -- Myeloid neoplasms with germline predisposition -- Acute myeloid leukaemia and related precursor neoplasms -- Blastic plasmacytoid dendritic cell neoplasm -- Acute leukaemias of ambiguous lineage -- Introduction and overview of the classification of the lymphoid neoplasms -- Precursor lymphoid neoplasms -- Mature B-cell neoplasms -- Mature T- and NK-cell neoplasms -- Hodgkin lymphomas -- Immunodeficiency-associated lymphoproliferative disorders -- Histiocytic and dendritic cell neoplasms.","author":[{"dropping-particle":"","family":"Swerdlow","given":"Steven H.","non-dropping-particle":"","parse-names":false,"suffix":""},{"dropping-particle":"","family":"Campo","given":"Elias","non-dropping-particle":"","parse-names":false,"suffix":""},{"dropping-particle":"","family":"Harris","given":"Nancy Lee","non-dropping-particle":"","parse-names":false,"suffix":""},{"dropping-particle":"","family":"Jaffe","given":"Elaine S.","non-dropping-particle":"","parse-names":false,"suffix":""},{"dropping-particle":"","family":"Pileri","given":"Stefano A.","non-dropping-particle":"","parse-names":false,"suffix":""},{"dropping-particle":"","family":"Stein","given":"Harald","non-dropping-particle":"","parse-names":false,"suffix":""},{"dropping-particle":"","family":"Thiele","given":"Jürgen","non-dropping-particle":"","parse-names":false,"suffix":""}],"editor":[{"dropping-particle":"","family":"Swerdlow SH, Campo E, Harris NL, Jaffe ES, Pileri SA, Stein H","given":"Thiele J","non-dropping-particle":"","parse-names":false,"suffix":""}],"id":"ITEM-3","issued":{"date-parts":[["2017"]]},"number-of-pages":"585","title":"WHO classification of tumours of haematopoietic and lymphoid tissues. Revised 4th ed. Lyon, France: International Agency for Research in Cancer (IARC)","type":"book"},"uris":["http://www.mendeley.com/documents/?uuid=b06b14d2-e846-3ead-b23a-17e93b076e13"]},{"id":"ITEM-4","itemData":{"author":[{"dropping-particle":"","family":"Brown","given":"Patrick A","non-dropping-particle":"","parse-names":false,"suffix":""},{"dropping-particle":"","family":"Shah","given":"Bijal","non-dropping-particle":"","parse-names":false,"suffix":""},{"dropping-particle":"","family":"Advani","given":"Anjali","non-dropping-particle":"","parse-names":false,"suffix":""},{"dropping-particle":"","family":"Aoun","given":"Patricia","non-dropping-particle":"","parse-names":false,"suffix":""},{"dropping-particle":"","family":"Bhatnagar","given":"Bhavana","non-dropping-particle":"","parse-names":false,"suffix":""},{"dropping-particle":"","family":"Boyer","given":"Michael W","non-dropping-particle":"","parse-names":false,"suffix":""},{"dropping-particle":"","family":"Bryan","given":"Teresa","non-dropping-particle":"","parse-names":false,"suffix":""},{"dropping-particle":"","family":"Burke","given":"Patrick W","non-dropping-particle":"","parse-names":false,"suffix":""},{"dropping-particle":"","family":"Cassaday","given":"Ryan D","non-dropping-particle":"","parse-names":false,"suffix":""},{"dropping-particle":"","family":"Coutre","given":"Steven E","non-dropping-particle":"","parse-names":false,"suffix":""},{"dropping-particle":"","family":"Coccia","given":"Peter F","non-dropping-particle":"","parse-names":false,"suffix":""},{"dropping-particle":"","family":"DeAngelo","given":"Daniel J","non-dropping-particle":"","parse-names":false,"suffix":""},{"dropping-particle":"","family":"Fathi","given":"Amir","non-dropping-particle":"","parse-names":false,"suffix":""},{"dropping-particle":"","family":"Jain","given":"Nitin","non-dropping-particle":"","parse-names":false,"suffix":""},{"dropping-particle":"","family":"Kirby","given":"Suzanne","non-dropping-particle":"","parse-names":false,"suffix":""},{"dropping-particle":"","family":"Litzow","given":"Mark","non-dropping-particle":"","parse-names":false,"suffix":""},{"dropping-particle":"","family":"Liu","given":"Arthur","non-dropping-particle":"","parse-names":false,"suffix":""},{"dropping-particle":"","family":"Logan","given":"Aaron","non-dropping-particle":"","parse-names":false,"suffix":""},{"dropping-particle":"","family":"Massaro","given":"Stephanie","non-dropping-particle":"","parse-names":false,"suffix":""},{"dropping-particle":"","family":"Mattison","given":"Ryan J","non-dropping-particle":"","parse-names":false,"suffix":""},{"dropping-particle":"","family":"Oluwole","given":"Olalekan","non-dropping-particle":"","parse-names":false,"suffix":""},{"dropping-particle":"","family":"Papadantonakis","given":"Nikolaos","non-dropping-particle":"","parse-names":false,"suffix":""},{"dropping-particle":"","family":"Park","given":"Jae","non-dropping-particle":"","parse-names":false,"suffix":""},{"dropping-particle":"","family":"Rubnitz","given":"Jeffrey E","non-dropping-particle":"","parse-names":false,"suffix":""},{"dropping-particle":"","family":"Uy","given":"Geoffrey L","non-dropping-particle":"","parse-names":false,"suffix":""},{"dropping-particle":"","family":"Wang","given":"Eunice S","non-dropping-particle":"","parse-names":false,"suffix":""},{"dropping-particle":"","family":"Wieduwilt","given":"Matthew","non-dropping-particle":"","parse-names":false,"suffix":""},{"dropping-particle":"","family":"Gregory","given":"Kristina","non-dropping-particle":"","parse-names":false,"suffix":""}],"id":"ITEM-4","issued":{"date-parts":[["2019"]]},"number-of-pages":"115","title":"NCCN Clinical Practice Guidelines in Oncology. Acute Lymphoblastic Leukemia. Version 2.2019","type":"report"},"uris":["http://www.mendeley.com/documents/?uuid=ef92918b-8a57-37b1-bea5-284dfdf15541"]},{"id":"ITEM-5","itemData":{"author":[{"dropping-particle":"","family":"Масчан","given":"М.А.","non-dropping-particle":"","parse-names":false,"suffix":""},{"dropping-particle":"","family":"Мякова","given":"Н.В.","non-dropping-particle":"","parse-names":false,"suffix":""}],"container-title":"Вместе против рака","id":"ITEM-5","issued":{"date-parts":[["2006"]]},"page":"50-63","title":"Острый лимфобластный лейкоз у детей","type":"article-journal","volume":"1-2"},"uris":["http://www.mendeley.com/documents/?uuid=baa949c9-5205-46f8-94bd-6d04c490113b"]},{"id":"ITEM-6","itemData":{"author":[{"dropping-particle":"","family":"Gökbuget","given":"N.","non-dropping-particle":"","parse-names":false,"suffix":""},{"dropping-particle":"","family":"Bassan","given":"R.","non-dropping-particle":"","parse-names":false,"suffix":""},{"dropping-particle":"","family":"Dombret","given":"H.","non-dropping-particle":"","parse-names":false,"suffix":""},{"dropping-particle":"","family":"Doubek","given":"M.","non-dropping-particle":"","parse-names":false,"suffix":""},{"dropping-particle":"","family":"Fielding","given":"A.K.","non-dropping-particle":"","parse-names":false,"suffix":""},{"dropping-particle":"","family":"Foà","given":"R.","non-dropping-particle":"","parse-names":false,"suffix":""},{"dropping-particle":"","family":"Giebel","given":"S.","non-dropping-particle":"","parse-names":false,"suffix":""},{"dropping-particle":"","family":"Hoelzer","given":"D.","non-dropping-particle":"","parse-names":false,"suffix":""},{"dropping-particle":"","family":"Martinelli","given":"G.","non-dropping-particle":"","parse-names":false,"suffix":""},{"dropping-particle":"","family":"Meloni","given":"G.","non-dropping-particle":"","parse-names":false,"suffix":""},{"dropping-particle":"","family":"Delia Moicean","given":"A.","non-dropping-particle":"","parse-names":false,"suffix":""},{"dropping-particle":"","family":"Ottmann","given":"O.","non-dropping-particle":"","parse-names":false,"suffix":""},{"dropping-particle":"","family":"Piccaluga","given":"P.P.","non-dropping-particle":"","parse-names":false,"suffix":""},{"dropping-particle":"","family":"Ribera","given":"J.M.","non-dropping-particle":"","parse-names":false,"suffix":""},{"dropping-particle":"","family":"Rousselot","given":"P.","non-dropping-particle":"","parse-names":false,"suffix":""},{"dropping-particle":"","family":"Walewski","given":"J.","non-dropping-particle":"","parse-names":false,"suffix":""}],"container-title":"UNI-MED Verlag AG","id":"ITEM-6","issued":{"date-parts":[["2011"]]},"number-of-pages":"204","title":"Recommendations of the European Working Group for Adult ALL (EWALL)","type":"book"},"uris":["http://www.mendeley.com/documents/?uuid=aba58166-cd2b-4f70-bb6a-5fdd9e1b42de"]}],"mendeley":{"formattedCitation":"[1–5,7]","plainTextFormattedCitation":"[1–5,7]","previouslyFormattedCitation":"[1–5,7]"},"properties":{"noteIndex":0},"schema":"https://github.com/citation-style-language/schema/raw/master/csl-citation.json"}</w:instrText>
      </w:r>
      <w:r w:rsidR="00940CF0">
        <w:fldChar w:fldCharType="separate"/>
      </w:r>
      <w:r w:rsidR="00940CF0" w:rsidRPr="00C2666D">
        <w:rPr>
          <w:noProof/>
        </w:rPr>
        <w:t>[1–5,7]</w:t>
      </w:r>
      <w:r w:rsidR="00940CF0">
        <w:fldChar w:fldCharType="end"/>
      </w:r>
      <w:r w:rsidRPr="00CA7FDC">
        <w:t>.</w:t>
      </w:r>
      <w:r>
        <w:t xml:space="preserve"> </w:t>
      </w:r>
    </w:p>
    <w:p w14:paraId="6FB9BAD4" w14:textId="77777777" w:rsidR="00254823" w:rsidRPr="00584CF5" w:rsidRDefault="00254823" w:rsidP="00254823">
      <w:pPr>
        <w:spacing w:before="120"/>
        <w:ind w:firstLine="709"/>
        <w:contextualSpacing/>
        <w:rPr>
          <w:u w:val="single"/>
        </w:rPr>
      </w:pPr>
      <w:r w:rsidRPr="00CA7FDC">
        <w:t xml:space="preserve">В </w:t>
      </w:r>
      <w:r>
        <w:t>РФ</w:t>
      </w:r>
      <w:r w:rsidRPr="00CA7FDC">
        <w:t xml:space="preserve"> в 20</w:t>
      </w:r>
      <w:r w:rsidR="00183267">
        <w:t>14 г.</w:t>
      </w:r>
      <w:r w:rsidRPr="00CA7FDC">
        <w:t xml:space="preserve"> диагноз ОЛЛ был установлен у </w:t>
      </w:r>
      <w:r>
        <w:t xml:space="preserve">1731 </w:t>
      </w:r>
      <w:r w:rsidRPr="00CA7FDC">
        <w:t>пациент</w:t>
      </w:r>
      <w:r>
        <w:t>а, половина из которых</w:t>
      </w:r>
      <w:r w:rsidR="00183267">
        <w:t xml:space="preserve"> </w:t>
      </w:r>
      <w:r w:rsidR="00183267">
        <w:lastRenderedPageBreak/>
        <w:t>–</w:t>
      </w:r>
      <w:r>
        <w:t xml:space="preserve"> это лица моложе 18 лет</w:t>
      </w:r>
      <w:r w:rsidR="00940CF0">
        <w:t xml:space="preserve"> </w:t>
      </w:r>
      <w:r w:rsidR="00940CF0">
        <w:fldChar w:fldCharType="begin" w:fldLock="1"/>
      </w:r>
      <w:r w:rsidR="00940CF0">
        <w:instrText>ADDIN CSL_CITATION {"citationItems":[{"id":"ITEM-1","itemData":{"author":[{"dropping-particle":"","family":"Ахмерзаева","given":"З.Х.","non-dropping-particle":"","parse-names":false,"suffix":""},{"dropping-particle":"","family":"Паровичникова","given":"Е.Н.","non-dropping-particle":"","parse-names":false,"suffix":""},{"dropping-particle":"","family":"Куликов","given":"С.М.","non-dropping-particle":"","parse-names":false,"suffix":""},{"dropping-particle":"","family":"Черников","given":"М.В.","non-dropping-particle":"","parse-names":false,"suffix":""},{"dropping-particle":"","family":"Исаков","given":"М.А.","non-dropping-particle":"","parse-names":false,"suffix":""},{"dropping-particle":"","family":"Зотина","given":"Е.Н.","non-dropping-particle":"","parse-names":false,"suffix":""},{"dropping-particle":"","family":"Гаврилова","given":"Л.В.","non-dropping-particle":"","parse-names":false,"suffix":""},{"dropping-particle":"","family":"Приступа","given":"А.С.","non-dropping-particle":"","parse-names":false,"suffix":""},{"dropping-particle":"","family":"Вопилина","given":"Н.А.","non-dropping-particle":"","parse-names":false,"suffix":""},{"dropping-particle":"","family":"Медведева","given":"И.В.","non-dropping-particle":"","parse-names":false,"suffix":""},{"dropping-particle":"","family":"Унжекова","given":"А.Н.","non-dropping-particle":"","parse-names":false,"suffix":""},{"dropping-particle":"","family":"Москов","given":"В.И.","non-dropping-particle":"","parse-names":false,"suffix":""},{"dropping-particle":"","family":"Борисенкова","given":"Е.А.","non-dropping-particle":"","parse-names":false,"suffix":""}],"container-title":"Гематология и трансфузиология","id":"ITEM-1","issue":"S1","issued":{"date-parts":[["2014"]]},"page":"13-14","title":"Эпидемиологическое исследование острых лейкозов в отдельных регионах Российской Федерации","type":"article-journal","volume":"59"},"uris":["http://www.mendeley.com/documents/?uuid=88add59a-522c-4bf0-835f-e451e5a5466b"]}],"mendeley":{"formattedCitation":"[8]","plainTextFormattedCitation":"[8]","previouslyFormattedCitation":"[8]"},"properties":{"noteIndex":0},"schema":"https://github.com/citation-style-language/schema/raw/master/csl-citation.json"}</w:instrText>
      </w:r>
      <w:r w:rsidR="00940CF0">
        <w:fldChar w:fldCharType="separate"/>
      </w:r>
      <w:r w:rsidR="00940CF0" w:rsidRPr="00C2666D">
        <w:rPr>
          <w:noProof/>
        </w:rPr>
        <w:t>[8]</w:t>
      </w:r>
      <w:r w:rsidR="00940CF0">
        <w:fldChar w:fldCharType="end"/>
      </w:r>
      <w:r w:rsidRPr="00CA7FDC">
        <w:t>.</w:t>
      </w:r>
      <w:r>
        <w:t xml:space="preserve"> </w:t>
      </w:r>
    </w:p>
    <w:p w14:paraId="434150A0" w14:textId="77777777" w:rsidR="00254823" w:rsidRPr="007F435A" w:rsidRDefault="00254823" w:rsidP="00254823">
      <w:pPr>
        <w:spacing w:before="120"/>
        <w:ind w:firstLine="709"/>
        <w:contextualSpacing/>
        <w:rPr>
          <w:iCs/>
          <w:color w:val="303030"/>
          <w:u w:val="single"/>
        </w:rPr>
      </w:pPr>
      <w:r>
        <w:t>З</w:t>
      </w:r>
      <w:r w:rsidRPr="00EC7325">
        <w:t>аболеваемость ОЛЛ у пациентов пожилого возраста неуклонно возрастает. Согласно данным регистров</w:t>
      </w:r>
      <w:r w:rsidR="00696A4B">
        <w:t>,</w:t>
      </w:r>
      <w:r w:rsidRPr="00EC7325">
        <w:t xml:space="preserve"> ежегодная частота </w:t>
      </w:r>
      <w:r w:rsidR="00183267">
        <w:t>ОЛЛ увеличивается с 0,39 случая</w:t>
      </w:r>
      <w:r w:rsidRPr="00EC7325">
        <w:t xml:space="preserve"> на </w:t>
      </w:r>
      <w:r w:rsidR="00183267">
        <w:t>100 000 населения</w:t>
      </w:r>
      <w:r w:rsidRPr="00EC7325">
        <w:t xml:space="preserve"> в возрасте 35–39 лет, до 2,1 случая на 100 000 населения ― в возрасте ≥85 лет. Кроме того, приблизительно 30</w:t>
      </w:r>
      <w:r w:rsidR="00183267">
        <w:t xml:space="preserve"> % ОЛЛ диагностирую</w:t>
      </w:r>
      <w:r w:rsidRPr="00EC7325">
        <w:t>тся в возрасте ≥60 лет.</w:t>
      </w:r>
      <w:r>
        <w:t xml:space="preserve"> </w:t>
      </w:r>
      <w:r w:rsidRPr="00EC7325">
        <w:t>Филадельфийская х</w:t>
      </w:r>
      <w:r w:rsidR="00183267">
        <w:t>ромосома (Ph) определяется у 20–</w:t>
      </w:r>
      <w:r w:rsidRPr="00EC7325">
        <w:t>30</w:t>
      </w:r>
      <w:r w:rsidR="00183267">
        <w:t xml:space="preserve"> </w:t>
      </w:r>
      <w:r w:rsidRPr="00EC7325">
        <w:t xml:space="preserve">% взрослых </w:t>
      </w:r>
      <w:r w:rsidR="00B0071E">
        <w:rPr>
          <w:szCs w:val="24"/>
        </w:rPr>
        <w:t>пациентов</w:t>
      </w:r>
      <w:r w:rsidRPr="00EC7325">
        <w:t xml:space="preserve"> В-ОЛЛ. В то время как Ph+ ОЛЛ составляет у детей менее 5</w:t>
      </w:r>
      <w:r w:rsidR="00183267">
        <w:t xml:space="preserve"> </w:t>
      </w:r>
      <w:r w:rsidRPr="00EC7325">
        <w:t>% всех случаев, его частота возрастает до 40</w:t>
      </w:r>
      <w:r w:rsidR="00183267">
        <w:t xml:space="preserve"> </w:t>
      </w:r>
      <w:r w:rsidRPr="00EC7325">
        <w:t>% у взрослых в возрасте 40 лет, a затем на 10</w:t>
      </w:r>
      <w:r w:rsidR="00183267">
        <w:t xml:space="preserve"> </w:t>
      </w:r>
      <w:r w:rsidRPr="00EC7325">
        <w:t>% в течение каждого последующего десятилетия жизни</w:t>
      </w:r>
      <w:r w:rsidR="00183267">
        <w:t xml:space="preserve"> </w:t>
      </w:r>
      <w:r w:rsidR="00940CF0">
        <w:fldChar w:fldCharType="begin" w:fldLock="1"/>
      </w:r>
      <w:r w:rsidR="00940CF0">
        <w:instrText>ADDIN CSL_CITATION {"citationItems":[{"id":"ITEM-1","itemData":{"DOI":"10.1182/blood-2008-04-149286","ISSN":"00064971","abstract":"We thank Juliusson and colleagues for their interest in our recent publication[1][1] and agree that it provides a valuable complement to existing data. We acknowledge that Figure 2 in our article is incorrect and thank them for their vigilance. A revised figure is shown below as [Figure 1][2] to","author":[{"dropping-particle":"","family":"Burmeister","given":"Thomas","non-dropping-particle":"","parse-names":false,"suffix":""},{"dropping-particle":"","family":"Schwartz","given":"Stefan","non-dropping-particle":"","parse-names":false,"suffix":""},{"dropping-particle":"","family":"Bartram","given":"Claus R.","non-dropping-particle":"","parse-names":false,"suffix":""},{"dropping-particle":"","family":"Gökbuget","given":"Nicola","non-dropping-particle":"","parse-names":false,"suffix":""},{"dropping-particle":"","family":"Hoelzer","given":"Dieter","non-dropping-particle":"","parse-names":false,"suffix":""},{"dropping-particle":"","family":"Thiel","given":"Eckhard","non-dropping-particle":"","parse-names":false,"suffix":""}],"container-title":"Blood","id":"ITEM-1","issue":"3","issued":{"date-parts":[["2008","8","1"]]},"page":"918-919","title":"Patients' age and BCR-ABL frequency in adult B-precursor ALL: A retrospective analysis from the GMALL study group","type":"article","volume":"112"},"uris":["http://www.mendeley.com/documents/?uuid=10cf3759-9590-30d2-897a-4ef8cf5c10db"]}],"mendeley":{"formattedCitation":"[9]","plainTextFormattedCitation":"[9]","previouslyFormattedCitation":"[9]"},"properties":{"noteIndex":0},"schema":"https://github.com/citation-style-language/schema/raw/master/csl-citation.json"}</w:instrText>
      </w:r>
      <w:r w:rsidR="00940CF0">
        <w:fldChar w:fldCharType="separate"/>
      </w:r>
      <w:r w:rsidR="00940CF0" w:rsidRPr="00C2666D">
        <w:rPr>
          <w:noProof/>
        </w:rPr>
        <w:t>[9]</w:t>
      </w:r>
      <w:r w:rsidR="00940CF0">
        <w:fldChar w:fldCharType="end"/>
      </w:r>
      <w:r w:rsidR="00940CF0" w:rsidRPr="00183267" w:rsidDel="00940CF0">
        <w:t xml:space="preserve"> </w:t>
      </w:r>
      <w:r w:rsidRPr="00EC7325">
        <w:t>.</w:t>
      </w:r>
    </w:p>
    <w:p w14:paraId="2AD05E79" w14:textId="77777777" w:rsidR="000415BA" w:rsidRPr="006D00F2" w:rsidRDefault="000415BA" w:rsidP="004905C2">
      <w:pPr>
        <w:pStyle w:val="2"/>
      </w:pPr>
      <w:bookmarkStart w:id="27" w:name="_Toc531609323"/>
      <w:bookmarkStart w:id="28" w:name="_Toc5373968"/>
      <w:bookmarkStart w:id="29" w:name="_Toc13484799"/>
      <w:bookmarkStart w:id="30" w:name="_Toc26796698"/>
      <w:bookmarkStart w:id="31" w:name="_Toc64467914"/>
    </w:p>
    <w:p w14:paraId="241CD956" w14:textId="3306E6C8" w:rsidR="00254823" w:rsidRPr="00111D1A" w:rsidRDefault="00254823" w:rsidP="004905C2">
      <w:pPr>
        <w:pStyle w:val="2"/>
      </w:pPr>
      <w:bookmarkStart w:id="32" w:name="_Toc64565628"/>
      <w:r w:rsidRPr="00194A96">
        <w:t>1.4</w:t>
      </w:r>
      <w:r w:rsidR="00194A96" w:rsidRPr="00194A96">
        <w:t>.</w:t>
      </w:r>
      <w:r w:rsidRPr="00194A96">
        <w:t xml:space="preserve"> </w:t>
      </w:r>
      <w:bookmarkEnd w:id="27"/>
      <w:bookmarkEnd w:id="28"/>
      <w:bookmarkEnd w:id="29"/>
      <w:r w:rsidR="00111D1A" w:rsidRPr="00111D1A">
        <w:t>Особенности кодирования заболевания или состояния (группы заболеваний или состояний) по Международной статистической классификации болезней и проблем, связанных со здоровьем</w:t>
      </w:r>
      <w:bookmarkEnd w:id="30"/>
      <w:bookmarkEnd w:id="31"/>
      <w:bookmarkEnd w:id="32"/>
    </w:p>
    <w:p w14:paraId="01CA87BF" w14:textId="77777777" w:rsidR="007C0CCA" w:rsidRPr="00AB02AE" w:rsidRDefault="00AB02AE" w:rsidP="00F35309">
      <w:pPr>
        <w:ind w:firstLine="720"/>
        <w:rPr>
          <w:b/>
          <w:lang w:eastAsia="zh-CN"/>
        </w:rPr>
      </w:pPr>
      <w:r w:rsidRPr="00AB02AE">
        <w:rPr>
          <w:b/>
          <w:lang w:eastAsia="zh-CN"/>
        </w:rPr>
        <w:t xml:space="preserve">Лимфоидный лейкоз </w:t>
      </w:r>
      <w:r>
        <w:rPr>
          <w:b/>
          <w:lang w:eastAsia="zh-CN"/>
        </w:rPr>
        <w:t>(</w:t>
      </w:r>
      <w:r w:rsidRPr="00AB02AE">
        <w:rPr>
          <w:b/>
          <w:lang w:eastAsia="zh-CN"/>
        </w:rPr>
        <w:t>С91</w:t>
      </w:r>
      <w:r>
        <w:rPr>
          <w:b/>
          <w:lang w:eastAsia="zh-CN"/>
        </w:rPr>
        <w:t>):</w:t>
      </w:r>
    </w:p>
    <w:p w14:paraId="51C65326" w14:textId="77777777" w:rsidR="00254823" w:rsidRDefault="007C0CCA" w:rsidP="00FF4C81">
      <w:pPr>
        <w:numPr>
          <w:ilvl w:val="0"/>
          <w:numId w:val="25"/>
        </w:numPr>
        <w:jc w:val="left"/>
      </w:pPr>
      <w:r>
        <w:t xml:space="preserve">С91.0 </w:t>
      </w:r>
      <w:r w:rsidR="00254823">
        <w:t xml:space="preserve">Острый </w:t>
      </w:r>
      <w:r w:rsidR="00254823" w:rsidRPr="005D2ACD">
        <w:t>лимфобластный лейкоз</w:t>
      </w:r>
    </w:p>
    <w:p w14:paraId="4070AB74" w14:textId="77777777" w:rsidR="00254823" w:rsidRDefault="007C0CCA" w:rsidP="00FF4C81">
      <w:pPr>
        <w:numPr>
          <w:ilvl w:val="0"/>
          <w:numId w:val="25"/>
        </w:numPr>
        <w:jc w:val="left"/>
      </w:pPr>
      <w:r>
        <w:t xml:space="preserve">С91.5 </w:t>
      </w:r>
      <w:r w:rsidR="00254823">
        <w:t xml:space="preserve">Т-клеточный </w:t>
      </w:r>
      <w:r w:rsidR="00254823" w:rsidRPr="00CA7FDC">
        <w:t>лейкоз</w:t>
      </w:r>
      <w:r w:rsidR="00254823">
        <w:t xml:space="preserve"> взрослых</w:t>
      </w:r>
    </w:p>
    <w:p w14:paraId="3D6E5908" w14:textId="77777777" w:rsidR="00254823" w:rsidRDefault="007C0CCA" w:rsidP="00FF4C81">
      <w:pPr>
        <w:numPr>
          <w:ilvl w:val="0"/>
          <w:numId w:val="25"/>
        </w:numPr>
        <w:jc w:val="left"/>
      </w:pPr>
      <w:r>
        <w:t xml:space="preserve">С91.7 </w:t>
      </w:r>
      <w:r w:rsidR="00254823">
        <w:t>Другой уточненный лимфоидный лейкоз</w:t>
      </w:r>
    </w:p>
    <w:p w14:paraId="1FC389CB" w14:textId="77777777" w:rsidR="00E82A08" w:rsidRDefault="00E82A08" w:rsidP="00FF4C81">
      <w:pPr>
        <w:numPr>
          <w:ilvl w:val="0"/>
          <w:numId w:val="25"/>
        </w:numPr>
        <w:jc w:val="left"/>
      </w:pPr>
      <w:r>
        <w:t>С91.9 Лимфоидный лейкоз неуточненный</w:t>
      </w:r>
    </w:p>
    <w:p w14:paraId="2B89F53B" w14:textId="77777777" w:rsidR="00254823" w:rsidRDefault="00254823" w:rsidP="00FF4C81">
      <w:pPr>
        <w:numPr>
          <w:ilvl w:val="0"/>
          <w:numId w:val="25"/>
        </w:numPr>
        <w:jc w:val="left"/>
      </w:pPr>
      <w:r>
        <w:t>С83.5 Лимфобластная (диффузная) лимфома</w:t>
      </w:r>
    </w:p>
    <w:p w14:paraId="4D2D662A" w14:textId="77777777" w:rsidR="00924C35" w:rsidRDefault="00924C35" w:rsidP="004905C2">
      <w:pPr>
        <w:pStyle w:val="2"/>
      </w:pPr>
      <w:bookmarkStart w:id="33" w:name="_Toc531609324"/>
      <w:bookmarkStart w:id="34" w:name="_Toc5373969"/>
      <w:bookmarkStart w:id="35" w:name="_Toc13484800"/>
      <w:bookmarkStart w:id="36" w:name="_Toc26796699"/>
      <w:bookmarkStart w:id="37" w:name="_Toc64467915"/>
      <w:bookmarkStart w:id="38" w:name="_Toc426795036"/>
    </w:p>
    <w:p w14:paraId="0B052220" w14:textId="77777777" w:rsidR="00760ABE" w:rsidRPr="00760ABE" w:rsidRDefault="00760ABE" w:rsidP="00760ABE">
      <w:pPr>
        <w:rPr>
          <w:lang w:eastAsia="zh-CN"/>
        </w:rPr>
      </w:pPr>
    </w:p>
    <w:p w14:paraId="7E8DB7CE" w14:textId="4633D2DE" w:rsidR="00254823" w:rsidRPr="00FE0C6F" w:rsidRDefault="00254823" w:rsidP="004905C2">
      <w:pPr>
        <w:pStyle w:val="2"/>
      </w:pPr>
      <w:bookmarkStart w:id="39" w:name="_Toc64565629"/>
      <w:r w:rsidRPr="00B46390">
        <w:t>1.5</w:t>
      </w:r>
      <w:r w:rsidR="007C0CCA">
        <w:t>.</w:t>
      </w:r>
      <w:r w:rsidRPr="00B46390">
        <w:t xml:space="preserve"> </w:t>
      </w:r>
      <w:bookmarkEnd w:id="33"/>
      <w:bookmarkEnd w:id="34"/>
      <w:bookmarkEnd w:id="35"/>
      <w:r w:rsidR="00191828" w:rsidRPr="00191828">
        <w:t>Классификация заболевания или состояния (группы заболеваний или состояний)</w:t>
      </w:r>
      <w:bookmarkEnd w:id="36"/>
      <w:bookmarkEnd w:id="37"/>
      <w:bookmarkEnd w:id="39"/>
    </w:p>
    <w:p w14:paraId="1DD156BE" w14:textId="77777777" w:rsidR="00254823" w:rsidRPr="00CA7FDC" w:rsidRDefault="00254823" w:rsidP="00254823">
      <w:pPr>
        <w:ind w:firstLine="720"/>
        <w:contextualSpacing/>
      </w:pPr>
      <w:r>
        <w:t xml:space="preserve">В </w:t>
      </w:r>
      <w:r w:rsidRPr="00CA7FDC">
        <w:t xml:space="preserve">классификации </w:t>
      </w:r>
      <w:r w:rsidR="00112F34">
        <w:t>В</w:t>
      </w:r>
      <w:r w:rsidR="00B220C1">
        <w:t>семирной организации здравоохранения (</w:t>
      </w:r>
      <w:r w:rsidR="00611AD9">
        <w:t xml:space="preserve">далее – </w:t>
      </w:r>
      <w:r w:rsidR="00B220C1" w:rsidRPr="00CA7FDC">
        <w:t>ВОЗ</w:t>
      </w:r>
      <w:r w:rsidR="00B220C1">
        <w:t xml:space="preserve">) </w:t>
      </w:r>
      <w:r w:rsidR="00027CE4">
        <w:t>ОЛЛ</w:t>
      </w:r>
      <w:r w:rsidRPr="00CA7FDC">
        <w:t xml:space="preserve"> рассматриваются в разделе опухолей из предшественников Т- и В-лимфоцитов</w:t>
      </w:r>
      <w:r w:rsidR="004A2416" w:rsidRPr="004A2416">
        <w:t xml:space="preserve"> </w:t>
      </w:r>
      <w:r w:rsidR="00DC59BE">
        <w:fldChar w:fldCharType="begin" w:fldLock="1"/>
      </w:r>
      <w:r w:rsidR="004A2416">
        <w:instrText>ADDIN CSL_CITATION {"citationItems":[{"id":"ITEM-1","itemData":{"ISBN":"9789283244943","abstract":"Revised 4th edition. Introduction and overview of the classification of the myeloid neoplasms -- Myeloproliferative neoplasms -- Mastocytosis -- Myeloid/lymphoid neoplasms with eosinophilia and gene rearrangement -- Myelodysplastic/myeloproliferative neoplasms -- Myelodysplastic syndromes -- Myeloid neoplasms with germline predisposition -- Acute myeloid leukaemia and related precursor neoplasms -- Blastic plasmacytoid dendritic cell neoplasm -- Acute leukaemias of ambiguous lineage -- Introduction and overview of the classification of the lymphoid neoplasms -- Precursor lymphoid neoplasms -- Mature B-cell neoplasms -- Mature T- and NK-cell neoplasms -- Hodgkin lymphomas -- Immunodeficiency-associated lymphoproliferative disorders -- Histiocytic and dendritic cell neoplasms.","author":[{"dropping-particle":"","family":"Swerdlow","given":"Steven H.","non-dropping-particle":"","parse-names":false,"suffix":""},{"dropping-particle":"","family":"Campo","given":"Elias","non-dropping-particle":"","parse-names":false,"suffix":""},{"dropping-particle":"","family":"Harris","given":"Nancy Lee","non-dropping-particle":"","parse-names":false,"suffix":""},{"dropping-particle":"","family":"Jaffe","given":"Elaine S.","non-dropping-particle":"","parse-names":false,"suffix":""},{"dropping-particle":"","family":"Pileri","given":"Stefano A.","non-dropping-particle":"","parse-names":false,"suffix":""},{"dropping-particle":"","family":"Stein","given":"Harald","non-dropping-particle":"","parse-names":false,"suffix":""},{"dropping-particle":"","family":"Thiele","given":"Jürgen","non-dropping-particle":"","parse-names":false,"suffix":""}],"editor":[{"dropping-particle":"","family":"Swerdlow SH, Campo E, Harris NL, Jaffe ES, Pileri SA, Stein H","given":"Thiele J","non-dropping-particle":"","parse-names":false,"suffix":""}],"id":"ITEM-1","issued":{"date-parts":[["2017"]]},"number-of-pages":"585","title":"WHO classification of tumours of haematopoietic and lymphoid tissues. Revised 4th ed. Lyon, France: International Agency for Research in Cancer (IARC)","type":"book"},"uris":["http://www.mendeley.com/documents/?uuid=b06b14d2-e846-3ead-b23a-17e93b076e13"]}],"mendeley":{"formattedCitation":"[3]","plainTextFormattedCitation":"[3]","previouslyFormattedCitation":"[3]"},"properties":{"noteIndex":0},"schema":"https://github.com/citation-style-language/schema/raw/master/csl-citation.json"}</w:instrText>
      </w:r>
      <w:r w:rsidR="00DC59BE">
        <w:fldChar w:fldCharType="separate"/>
      </w:r>
      <w:r w:rsidR="004A2416" w:rsidRPr="004A2416">
        <w:rPr>
          <w:noProof/>
        </w:rPr>
        <w:t>[3]</w:t>
      </w:r>
      <w:r w:rsidR="00DC59BE">
        <w:fldChar w:fldCharType="end"/>
      </w:r>
      <w:r>
        <w:t>:</w:t>
      </w:r>
    </w:p>
    <w:p w14:paraId="02F98913" w14:textId="77777777" w:rsidR="00254823" w:rsidRPr="00CA7FDC" w:rsidRDefault="00254823" w:rsidP="00FF4C81">
      <w:pPr>
        <w:widowControl/>
        <w:numPr>
          <w:ilvl w:val="0"/>
          <w:numId w:val="15"/>
        </w:numPr>
        <w:autoSpaceDE/>
        <w:autoSpaceDN/>
        <w:adjustRightInd/>
        <w:contextualSpacing/>
        <w:jc w:val="left"/>
      </w:pPr>
      <w:r w:rsidRPr="00CA7FDC">
        <w:t>лимфобластный лейкоз/лимфома из В-предшественников (</w:t>
      </w:r>
      <w:r w:rsidR="00112F34" w:rsidRPr="00CA7FDC">
        <w:t>синоним</w:t>
      </w:r>
      <w:r w:rsidR="00112F34">
        <w:t xml:space="preserve">: </w:t>
      </w:r>
      <w:r w:rsidR="00027CE4">
        <w:t>ОЛЛ</w:t>
      </w:r>
      <w:r w:rsidRPr="00CA7FDC">
        <w:t xml:space="preserve"> из предшественников</w:t>
      </w:r>
      <w:r w:rsidR="00112F34">
        <w:t xml:space="preserve"> В-клеток</w:t>
      </w:r>
      <w:r w:rsidRPr="00CA7FDC">
        <w:t xml:space="preserve">); </w:t>
      </w:r>
    </w:p>
    <w:p w14:paraId="3A0C4D68" w14:textId="77777777" w:rsidR="00254823" w:rsidRPr="00CA7FDC" w:rsidRDefault="00254823" w:rsidP="00FF4C81">
      <w:pPr>
        <w:widowControl/>
        <w:numPr>
          <w:ilvl w:val="0"/>
          <w:numId w:val="15"/>
        </w:numPr>
        <w:autoSpaceDE/>
        <w:autoSpaceDN/>
        <w:adjustRightInd/>
        <w:contextualSpacing/>
        <w:jc w:val="left"/>
      </w:pPr>
      <w:r w:rsidRPr="00CA7FDC">
        <w:t>лимфобластный лейкоз/лимфома из Т-предшественников (</w:t>
      </w:r>
      <w:r w:rsidR="008F7DE3" w:rsidRPr="00CA7FDC">
        <w:t>синоним</w:t>
      </w:r>
      <w:r w:rsidR="008F7DE3">
        <w:t xml:space="preserve">: </w:t>
      </w:r>
      <w:r w:rsidR="00027CE4">
        <w:t>ОЛЛ</w:t>
      </w:r>
      <w:r w:rsidR="008F7DE3">
        <w:t xml:space="preserve"> из предшественников Т-клеток</w:t>
      </w:r>
      <w:r w:rsidRPr="00CA7FDC">
        <w:t xml:space="preserve">). </w:t>
      </w:r>
    </w:p>
    <w:p w14:paraId="05026EC5" w14:textId="77777777" w:rsidR="00254823" w:rsidRPr="00D45F5E" w:rsidRDefault="00254823" w:rsidP="00254823">
      <w:pPr>
        <w:ind w:firstLine="720"/>
        <w:contextualSpacing/>
        <w:rPr>
          <w:iCs/>
        </w:rPr>
      </w:pPr>
      <w:r w:rsidRPr="00CA7EDC">
        <w:rPr>
          <w:iCs/>
        </w:rPr>
        <w:t>Возможно равноценное использование описанных определений</w:t>
      </w:r>
      <w:r w:rsidR="008B7A75">
        <w:rPr>
          <w:iCs/>
        </w:rPr>
        <w:t>,</w:t>
      </w:r>
      <w:r w:rsidRPr="00CA7EDC">
        <w:rPr>
          <w:iCs/>
        </w:rPr>
        <w:t xml:space="preserve"> и авторы классификации лишь полагают, что при </w:t>
      </w:r>
      <w:r w:rsidR="00027CE4" w:rsidRPr="00CA7EDC">
        <w:rPr>
          <w:iCs/>
        </w:rPr>
        <w:t>25</w:t>
      </w:r>
      <w:r w:rsidR="008B7A75">
        <w:rPr>
          <w:iCs/>
        </w:rPr>
        <w:t xml:space="preserve"> </w:t>
      </w:r>
      <w:r w:rsidR="00027CE4">
        <w:rPr>
          <w:iCs/>
        </w:rPr>
        <w:t xml:space="preserve">% и более </w:t>
      </w:r>
      <w:r w:rsidRPr="00CA7EDC">
        <w:rPr>
          <w:iCs/>
        </w:rPr>
        <w:t xml:space="preserve">бластных клеток в </w:t>
      </w:r>
      <w:r w:rsidR="00B220C1">
        <w:rPr>
          <w:iCs/>
        </w:rPr>
        <w:t>КМ</w:t>
      </w:r>
      <w:r w:rsidRPr="00CA7EDC">
        <w:rPr>
          <w:iCs/>
        </w:rPr>
        <w:t xml:space="preserve"> целесообразно говорить об </w:t>
      </w:r>
      <w:r w:rsidR="00027CE4">
        <w:rPr>
          <w:iCs/>
        </w:rPr>
        <w:t>ОЛ</w:t>
      </w:r>
      <w:r w:rsidRPr="00CA7EDC">
        <w:rPr>
          <w:iCs/>
        </w:rPr>
        <w:t xml:space="preserve">, а </w:t>
      </w:r>
      <w:r w:rsidR="006478FC">
        <w:rPr>
          <w:iCs/>
        </w:rPr>
        <w:t xml:space="preserve">при </w:t>
      </w:r>
      <w:r w:rsidRPr="00CA7EDC">
        <w:rPr>
          <w:iCs/>
        </w:rPr>
        <w:t>менее 25</w:t>
      </w:r>
      <w:r w:rsidR="008B7A75">
        <w:rPr>
          <w:iCs/>
        </w:rPr>
        <w:t xml:space="preserve"> % –</w:t>
      </w:r>
      <w:r w:rsidRPr="00CA7EDC">
        <w:rPr>
          <w:iCs/>
        </w:rPr>
        <w:t xml:space="preserve"> о</w:t>
      </w:r>
      <w:r w:rsidR="006478FC">
        <w:rPr>
          <w:iCs/>
        </w:rPr>
        <w:t>б ЛБЛ</w:t>
      </w:r>
      <w:r w:rsidRPr="00CA7EDC">
        <w:rPr>
          <w:iCs/>
        </w:rPr>
        <w:t xml:space="preserve">. Но чаще всего эти </w:t>
      </w:r>
      <w:r w:rsidRPr="00E82A08">
        <w:rPr>
          <w:bCs/>
          <w:iCs/>
        </w:rPr>
        <w:t xml:space="preserve">терминологические сложности не имеют практического значения, поскольку </w:t>
      </w:r>
      <w:r w:rsidR="00FC7AB5" w:rsidRPr="00E82A08">
        <w:rPr>
          <w:bCs/>
          <w:iCs/>
        </w:rPr>
        <w:t xml:space="preserve">их </w:t>
      </w:r>
      <w:r w:rsidRPr="00E82A08">
        <w:rPr>
          <w:bCs/>
          <w:iCs/>
        </w:rPr>
        <w:t>терапия одинакова</w:t>
      </w:r>
      <w:r w:rsidRPr="00E82A08">
        <w:rPr>
          <w:iCs/>
        </w:rPr>
        <w:t>.</w:t>
      </w:r>
      <w:r w:rsidRPr="00611AD9">
        <w:rPr>
          <w:b/>
          <w:iCs/>
        </w:rPr>
        <w:t xml:space="preserve"> </w:t>
      </w:r>
    </w:p>
    <w:p w14:paraId="1D18A462" w14:textId="77777777" w:rsidR="008F5BA5" w:rsidRPr="004903FE" w:rsidRDefault="008F5BA5" w:rsidP="00254823">
      <w:pPr>
        <w:rPr>
          <w:b/>
          <w:bCs/>
        </w:rPr>
      </w:pPr>
    </w:p>
    <w:p w14:paraId="556707B6" w14:textId="77777777" w:rsidR="008F5BA5" w:rsidRPr="004903FE" w:rsidRDefault="008F5BA5" w:rsidP="00254823">
      <w:pPr>
        <w:rPr>
          <w:b/>
          <w:bCs/>
        </w:rPr>
      </w:pPr>
    </w:p>
    <w:p w14:paraId="496039D5" w14:textId="77777777" w:rsidR="00254823" w:rsidRDefault="00254823" w:rsidP="00254823">
      <w:pPr>
        <w:rPr>
          <w:b/>
          <w:bCs/>
        </w:rPr>
      </w:pPr>
      <w:r w:rsidRPr="00CA7FDC">
        <w:rPr>
          <w:b/>
          <w:bCs/>
          <w:lang w:val="en-US"/>
        </w:rPr>
        <w:lastRenderedPageBreak/>
        <w:t>B</w:t>
      </w:r>
      <w:r w:rsidRPr="00CA7FDC">
        <w:rPr>
          <w:b/>
          <w:bCs/>
        </w:rPr>
        <w:t xml:space="preserve">-лимфобластный лейкоз/лимфома </w:t>
      </w:r>
    </w:p>
    <w:p w14:paraId="0B97780C" w14:textId="77777777" w:rsidR="00254823" w:rsidRPr="00D45F5E" w:rsidRDefault="00254823" w:rsidP="00FF4C81">
      <w:pPr>
        <w:widowControl/>
        <w:numPr>
          <w:ilvl w:val="0"/>
          <w:numId w:val="16"/>
        </w:numPr>
        <w:autoSpaceDE/>
        <w:autoSpaceDN/>
        <w:adjustRightInd/>
        <w:jc w:val="left"/>
        <w:rPr>
          <w:b/>
          <w:bCs/>
        </w:rPr>
      </w:pPr>
      <w:r w:rsidRPr="00CA7FDC">
        <w:rPr>
          <w:lang w:val="en-US"/>
        </w:rPr>
        <w:t>B</w:t>
      </w:r>
      <w:r w:rsidRPr="00D45F5E">
        <w:t>-</w:t>
      </w:r>
      <w:r w:rsidRPr="00CA7FDC">
        <w:t>лимфобластный</w:t>
      </w:r>
      <w:r w:rsidRPr="00D45F5E">
        <w:t xml:space="preserve"> </w:t>
      </w:r>
      <w:r w:rsidRPr="00CA7FDC">
        <w:t>лейкоз</w:t>
      </w:r>
      <w:r w:rsidRPr="00D45F5E">
        <w:t>/</w:t>
      </w:r>
      <w:r w:rsidRPr="00CA7FDC">
        <w:t>лимфома</w:t>
      </w:r>
      <w:r w:rsidRPr="00D45F5E">
        <w:t xml:space="preserve">, </w:t>
      </w:r>
      <w:r w:rsidRPr="00CA7FDC">
        <w:t>без</w:t>
      </w:r>
      <w:r w:rsidRPr="00D45F5E">
        <w:t xml:space="preserve"> </w:t>
      </w:r>
      <w:r w:rsidRPr="00CA7FDC">
        <w:t>специфических</w:t>
      </w:r>
      <w:r w:rsidRPr="00D45F5E">
        <w:t xml:space="preserve"> </w:t>
      </w:r>
      <w:r w:rsidRPr="00CA7FDC">
        <w:t>характеристик</w:t>
      </w:r>
      <w:r w:rsidRPr="00D45F5E">
        <w:t xml:space="preserve"> (</w:t>
      </w:r>
      <w:r w:rsidRPr="00CA7FDC">
        <w:rPr>
          <w:lang w:val="en-US"/>
        </w:rPr>
        <w:t>NOS</w:t>
      </w:r>
      <w:r w:rsidRPr="00D45F5E">
        <w:t xml:space="preserve"> – </w:t>
      </w:r>
      <w:r w:rsidRPr="00CA7FDC">
        <w:rPr>
          <w:lang w:val="en-US"/>
        </w:rPr>
        <w:t>not</w:t>
      </w:r>
      <w:r w:rsidRPr="00D45F5E">
        <w:t xml:space="preserve"> </w:t>
      </w:r>
      <w:r w:rsidRPr="00CA7FDC">
        <w:rPr>
          <w:lang w:val="en-US"/>
        </w:rPr>
        <w:t>otherwise</w:t>
      </w:r>
      <w:r w:rsidRPr="00D45F5E">
        <w:t xml:space="preserve"> </w:t>
      </w:r>
      <w:r w:rsidRPr="00CA7FDC">
        <w:rPr>
          <w:lang w:val="en-US"/>
        </w:rPr>
        <w:t>specified</w:t>
      </w:r>
      <w:r w:rsidRPr="00D45F5E">
        <w:t>)</w:t>
      </w:r>
      <w:r w:rsidR="00611AD9">
        <w:t>.</w:t>
      </w:r>
    </w:p>
    <w:p w14:paraId="4CE52BC4" w14:textId="77777777" w:rsidR="00254823" w:rsidRPr="00CA7FDC" w:rsidRDefault="00254823" w:rsidP="00FF4C81">
      <w:pPr>
        <w:widowControl/>
        <w:numPr>
          <w:ilvl w:val="0"/>
          <w:numId w:val="16"/>
        </w:numPr>
        <w:autoSpaceDE/>
        <w:autoSpaceDN/>
        <w:adjustRightInd/>
        <w:jc w:val="left"/>
      </w:pPr>
      <w:r w:rsidRPr="00CA7FDC">
        <w:rPr>
          <w:lang w:val="en-US"/>
        </w:rPr>
        <w:t>B</w:t>
      </w:r>
      <w:r w:rsidRPr="00CA7FDC">
        <w:t>-лимфобластный лейкоз/лимфома с повторяющимися хромосомными аномалиями</w:t>
      </w:r>
      <w:r>
        <w:t>:</w:t>
      </w:r>
      <w:r w:rsidRPr="00CA7FDC">
        <w:t xml:space="preserve"> </w:t>
      </w:r>
    </w:p>
    <w:p w14:paraId="0ECCDC04" w14:textId="77777777" w:rsidR="00254823" w:rsidRPr="00CA7FDC" w:rsidRDefault="00254823" w:rsidP="00BD311D">
      <w:pPr>
        <w:widowControl/>
        <w:numPr>
          <w:ilvl w:val="1"/>
          <w:numId w:val="1"/>
        </w:numPr>
        <w:autoSpaceDE/>
        <w:autoSpaceDN/>
        <w:adjustRightInd/>
        <w:jc w:val="left"/>
      </w:pPr>
      <w:r w:rsidRPr="00CA7FDC">
        <w:rPr>
          <w:lang w:val="en-US"/>
        </w:rPr>
        <w:t>B</w:t>
      </w:r>
      <w:r w:rsidRPr="00CA7FDC">
        <w:t xml:space="preserve">-лимфобластный лейкоз/лимфома с </w:t>
      </w:r>
      <w:r w:rsidRPr="00CA7FDC">
        <w:rPr>
          <w:lang w:val="en-US"/>
        </w:rPr>
        <w:t>t</w:t>
      </w:r>
      <w:r w:rsidRPr="00CA7FDC">
        <w:t>(9:22) (</w:t>
      </w:r>
      <w:r w:rsidRPr="00CA7FDC">
        <w:rPr>
          <w:lang w:val="en-US"/>
        </w:rPr>
        <w:t>q</w:t>
      </w:r>
      <w:r w:rsidRPr="00CA7FDC">
        <w:t>34;</w:t>
      </w:r>
      <w:r w:rsidRPr="00CA7FDC">
        <w:rPr>
          <w:lang w:val="en-US"/>
        </w:rPr>
        <w:t>q</w:t>
      </w:r>
      <w:r w:rsidRPr="00CA7FDC">
        <w:t xml:space="preserve">11.2); </w:t>
      </w:r>
      <w:r w:rsidRPr="00CA7FDC">
        <w:rPr>
          <w:i/>
          <w:iCs/>
          <w:lang w:val="en-US"/>
        </w:rPr>
        <w:t>BCR</w:t>
      </w:r>
      <w:r w:rsidRPr="00CA7FDC">
        <w:rPr>
          <w:i/>
          <w:iCs/>
        </w:rPr>
        <w:t>/</w:t>
      </w:r>
      <w:r w:rsidRPr="00CA7FDC">
        <w:rPr>
          <w:i/>
          <w:iCs/>
          <w:lang w:val="en-US"/>
        </w:rPr>
        <w:t>ABL</w:t>
      </w:r>
      <w:r w:rsidR="00611AD9">
        <w:rPr>
          <w:i/>
          <w:iCs/>
        </w:rPr>
        <w:t>;</w:t>
      </w:r>
    </w:p>
    <w:p w14:paraId="642148D0" w14:textId="77777777" w:rsidR="00254823" w:rsidRPr="00CA7FDC" w:rsidRDefault="00254823" w:rsidP="00BD311D">
      <w:pPr>
        <w:widowControl/>
        <w:numPr>
          <w:ilvl w:val="1"/>
          <w:numId w:val="1"/>
        </w:numPr>
        <w:autoSpaceDE/>
        <w:autoSpaceDN/>
        <w:adjustRightInd/>
        <w:jc w:val="left"/>
      </w:pPr>
      <w:r w:rsidRPr="00CA7FDC">
        <w:rPr>
          <w:lang w:val="en-US"/>
        </w:rPr>
        <w:t>B</w:t>
      </w:r>
      <w:r w:rsidRPr="00CA7FDC">
        <w:t xml:space="preserve">-лимфобластный лейкоз/лимфома с </w:t>
      </w:r>
      <w:r w:rsidRPr="00CA7FDC">
        <w:rPr>
          <w:lang w:val="en-US"/>
        </w:rPr>
        <w:t>t</w:t>
      </w:r>
      <w:r w:rsidRPr="00CA7FDC">
        <w:t>(</w:t>
      </w:r>
      <w:r w:rsidRPr="00CA7FDC">
        <w:rPr>
          <w:lang w:val="en-US"/>
        </w:rPr>
        <w:t>v</w:t>
      </w:r>
      <w:r w:rsidRPr="00CA7FDC">
        <w:t>;11</w:t>
      </w:r>
      <w:r w:rsidRPr="00CA7FDC">
        <w:rPr>
          <w:lang w:val="en-US"/>
        </w:rPr>
        <w:t>q</w:t>
      </w:r>
      <w:r w:rsidRPr="00CA7FDC">
        <w:t xml:space="preserve">23); </w:t>
      </w:r>
      <w:r w:rsidRPr="00CA7FDC">
        <w:rPr>
          <w:i/>
          <w:iCs/>
          <w:lang w:val="en-US"/>
        </w:rPr>
        <w:t>MLL</w:t>
      </w:r>
      <w:r w:rsidRPr="00CA7FDC">
        <w:rPr>
          <w:i/>
          <w:iCs/>
        </w:rPr>
        <w:t xml:space="preserve"> </w:t>
      </w:r>
      <w:r w:rsidRPr="00CA7FDC">
        <w:rPr>
          <w:lang w:val="en-US"/>
        </w:rPr>
        <w:t>rearranged</w:t>
      </w:r>
      <w:r w:rsidR="00611AD9">
        <w:t>;</w:t>
      </w:r>
    </w:p>
    <w:p w14:paraId="6BF338B7" w14:textId="77777777" w:rsidR="00254823" w:rsidRPr="00CA7FDC" w:rsidRDefault="00254823" w:rsidP="00BD311D">
      <w:pPr>
        <w:widowControl/>
        <w:numPr>
          <w:ilvl w:val="1"/>
          <w:numId w:val="1"/>
        </w:numPr>
        <w:autoSpaceDE/>
        <w:autoSpaceDN/>
        <w:adjustRightInd/>
        <w:jc w:val="left"/>
      </w:pPr>
      <w:r w:rsidRPr="00CA7FDC">
        <w:rPr>
          <w:lang w:val="en-US"/>
        </w:rPr>
        <w:t>B</w:t>
      </w:r>
      <w:r w:rsidRPr="00CA7FDC">
        <w:t xml:space="preserve">-лимфобластный лейкоз/лимфома с </w:t>
      </w:r>
      <w:r w:rsidRPr="00CA7FDC">
        <w:rPr>
          <w:lang w:val="en-US"/>
        </w:rPr>
        <w:t>t</w:t>
      </w:r>
      <w:r w:rsidRPr="00CA7FDC">
        <w:t>(12;21) (</w:t>
      </w:r>
      <w:r w:rsidRPr="00CA7FDC">
        <w:rPr>
          <w:lang w:val="en-US"/>
        </w:rPr>
        <w:t>p</w:t>
      </w:r>
      <w:r w:rsidRPr="00CA7FDC">
        <w:t>13;</w:t>
      </w:r>
      <w:r w:rsidRPr="00CA7FDC">
        <w:rPr>
          <w:lang w:val="en-US"/>
        </w:rPr>
        <w:t>q</w:t>
      </w:r>
      <w:r w:rsidRPr="00CA7FDC">
        <w:t xml:space="preserve">22); </w:t>
      </w:r>
      <w:r w:rsidRPr="00CA7FDC">
        <w:rPr>
          <w:i/>
          <w:iCs/>
          <w:lang w:val="en-US"/>
        </w:rPr>
        <w:t>TEL</w:t>
      </w:r>
      <w:r w:rsidRPr="00CA7FDC">
        <w:rPr>
          <w:i/>
          <w:iCs/>
        </w:rPr>
        <w:t>/</w:t>
      </w:r>
      <w:r w:rsidRPr="00CA7FDC">
        <w:rPr>
          <w:i/>
          <w:iCs/>
          <w:lang w:val="en-US"/>
        </w:rPr>
        <w:t>AML</w:t>
      </w:r>
      <w:r w:rsidRPr="00CA7FDC">
        <w:rPr>
          <w:i/>
          <w:iCs/>
        </w:rPr>
        <w:t>1(</w:t>
      </w:r>
      <w:r w:rsidRPr="00CA7FDC">
        <w:rPr>
          <w:i/>
          <w:iCs/>
          <w:lang w:val="en-US"/>
        </w:rPr>
        <w:t>ETV</w:t>
      </w:r>
      <w:r w:rsidRPr="00CA7FDC">
        <w:rPr>
          <w:i/>
          <w:iCs/>
        </w:rPr>
        <w:t>6-</w:t>
      </w:r>
      <w:r w:rsidRPr="00CA7FDC">
        <w:rPr>
          <w:i/>
          <w:iCs/>
          <w:lang w:val="en-US"/>
        </w:rPr>
        <w:t>RUNX</w:t>
      </w:r>
      <w:r w:rsidRPr="00CA7FDC">
        <w:rPr>
          <w:i/>
          <w:iCs/>
        </w:rPr>
        <w:t>1)</w:t>
      </w:r>
      <w:r w:rsidR="00611AD9">
        <w:rPr>
          <w:i/>
          <w:iCs/>
        </w:rPr>
        <w:t>;</w:t>
      </w:r>
    </w:p>
    <w:p w14:paraId="6CD3A68F" w14:textId="77777777" w:rsidR="00254823" w:rsidRPr="00CA7FDC" w:rsidRDefault="00254823" w:rsidP="00BD311D">
      <w:pPr>
        <w:widowControl/>
        <w:numPr>
          <w:ilvl w:val="1"/>
          <w:numId w:val="1"/>
        </w:numPr>
        <w:autoSpaceDE/>
        <w:autoSpaceDN/>
        <w:adjustRightInd/>
        <w:jc w:val="left"/>
      </w:pPr>
      <w:r w:rsidRPr="00CA7FDC">
        <w:rPr>
          <w:lang w:val="en-US"/>
        </w:rPr>
        <w:t>B</w:t>
      </w:r>
      <w:r w:rsidRPr="00CA7FDC">
        <w:t>-лимфобластный л</w:t>
      </w:r>
      <w:r w:rsidR="00611AD9">
        <w:t>ейкоз/лимфома с гипердиплоидией;</w:t>
      </w:r>
    </w:p>
    <w:p w14:paraId="0EA9B350" w14:textId="77777777" w:rsidR="00254823" w:rsidRPr="00CA7FDC" w:rsidRDefault="00254823" w:rsidP="00BD311D">
      <w:pPr>
        <w:widowControl/>
        <w:numPr>
          <w:ilvl w:val="1"/>
          <w:numId w:val="1"/>
        </w:numPr>
        <w:autoSpaceDE/>
        <w:autoSpaceDN/>
        <w:adjustRightInd/>
        <w:jc w:val="left"/>
      </w:pPr>
      <w:r w:rsidRPr="00CA7FDC">
        <w:rPr>
          <w:lang w:val="en-US"/>
        </w:rPr>
        <w:t>B</w:t>
      </w:r>
      <w:r w:rsidRPr="00CA7FDC">
        <w:t>-лимфобластный лейкоз/лимфома с гипо</w:t>
      </w:r>
      <w:r w:rsidR="00611AD9">
        <w:t>диплоидией (гиподиплоидный ОЛЛ);</w:t>
      </w:r>
    </w:p>
    <w:p w14:paraId="1F50C52D" w14:textId="77777777" w:rsidR="00254823" w:rsidRPr="00CA7FDC" w:rsidRDefault="00254823" w:rsidP="00BD311D">
      <w:pPr>
        <w:widowControl/>
        <w:numPr>
          <w:ilvl w:val="1"/>
          <w:numId w:val="1"/>
        </w:numPr>
        <w:autoSpaceDE/>
        <w:autoSpaceDN/>
        <w:adjustRightInd/>
        <w:jc w:val="left"/>
      </w:pPr>
      <w:r w:rsidRPr="00CA7FDC">
        <w:rPr>
          <w:lang w:val="en-US"/>
        </w:rPr>
        <w:t>B</w:t>
      </w:r>
      <w:r w:rsidRPr="00CA7FDC">
        <w:t xml:space="preserve">-лимфобластный лейкоз/лимфома с </w:t>
      </w:r>
      <w:r w:rsidRPr="00CA7FDC">
        <w:rPr>
          <w:lang w:val="en-US"/>
        </w:rPr>
        <w:t>t</w:t>
      </w:r>
      <w:r w:rsidRPr="00CA7FDC">
        <w:t>(5;14)(</w:t>
      </w:r>
      <w:r w:rsidRPr="00CA7FDC">
        <w:rPr>
          <w:lang w:val="en-US"/>
        </w:rPr>
        <w:t>q</w:t>
      </w:r>
      <w:r w:rsidRPr="00CA7FDC">
        <w:t>31;</w:t>
      </w:r>
      <w:r w:rsidRPr="00CA7FDC">
        <w:rPr>
          <w:lang w:val="en-US"/>
        </w:rPr>
        <w:t>q</w:t>
      </w:r>
      <w:r w:rsidRPr="00CA7FDC">
        <w:t>32)</w:t>
      </w:r>
      <w:r w:rsidRPr="00CA7FDC">
        <w:rPr>
          <w:i/>
          <w:iCs/>
        </w:rPr>
        <w:t>(</w:t>
      </w:r>
      <w:r w:rsidRPr="00CA7FDC">
        <w:rPr>
          <w:i/>
          <w:iCs/>
          <w:lang w:val="en-US"/>
        </w:rPr>
        <w:t>IL</w:t>
      </w:r>
      <w:r w:rsidRPr="00CA7FDC">
        <w:rPr>
          <w:i/>
          <w:iCs/>
        </w:rPr>
        <w:t>3-</w:t>
      </w:r>
      <w:r w:rsidRPr="00CA7FDC">
        <w:rPr>
          <w:i/>
          <w:iCs/>
          <w:lang w:val="en-US"/>
        </w:rPr>
        <w:t>IGH</w:t>
      </w:r>
      <w:r w:rsidRPr="00CA7FDC">
        <w:rPr>
          <w:i/>
          <w:iCs/>
        </w:rPr>
        <w:t>)</w:t>
      </w:r>
      <w:r w:rsidR="00611AD9">
        <w:rPr>
          <w:i/>
          <w:iCs/>
        </w:rPr>
        <w:t>;</w:t>
      </w:r>
    </w:p>
    <w:p w14:paraId="78A92344" w14:textId="77777777" w:rsidR="00254823" w:rsidRPr="007D27D2" w:rsidRDefault="00254823" w:rsidP="00BD311D">
      <w:pPr>
        <w:widowControl/>
        <w:numPr>
          <w:ilvl w:val="1"/>
          <w:numId w:val="1"/>
        </w:numPr>
        <w:autoSpaceDE/>
        <w:autoSpaceDN/>
        <w:adjustRightInd/>
        <w:jc w:val="left"/>
      </w:pPr>
      <w:r w:rsidRPr="00CA7FDC">
        <w:rPr>
          <w:lang w:val="en-US"/>
        </w:rPr>
        <w:t>B</w:t>
      </w:r>
      <w:r w:rsidRPr="00CA7FDC">
        <w:t xml:space="preserve">-лимфобластный лейкоз/лимфома с </w:t>
      </w:r>
      <w:r w:rsidRPr="00CA7FDC">
        <w:rPr>
          <w:lang w:val="en-US"/>
        </w:rPr>
        <w:t>t</w:t>
      </w:r>
      <w:r w:rsidRPr="00CA7FDC">
        <w:t>(1;19)(</w:t>
      </w:r>
      <w:r w:rsidRPr="00CA7FDC">
        <w:rPr>
          <w:lang w:val="en-US"/>
        </w:rPr>
        <w:t>q</w:t>
      </w:r>
      <w:r w:rsidRPr="00CA7FDC">
        <w:t>23;</w:t>
      </w:r>
      <w:r w:rsidRPr="00CA7FDC">
        <w:rPr>
          <w:lang w:val="en-US"/>
        </w:rPr>
        <w:t>p</w:t>
      </w:r>
      <w:r w:rsidRPr="00CA7FDC">
        <w:t xml:space="preserve">13.3); </w:t>
      </w:r>
      <w:r w:rsidRPr="00CA7FDC">
        <w:rPr>
          <w:i/>
          <w:iCs/>
          <w:lang w:val="en-US"/>
        </w:rPr>
        <w:t>E</w:t>
      </w:r>
      <w:r w:rsidRPr="00CA7FDC">
        <w:rPr>
          <w:i/>
          <w:iCs/>
        </w:rPr>
        <w:t>2</w:t>
      </w:r>
      <w:r w:rsidRPr="00CA7FDC">
        <w:rPr>
          <w:i/>
          <w:iCs/>
          <w:lang w:val="en-US"/>
        </w:rPr>
        <w:t>A</w:t>
      </w:r>
      <w:r w:rsidRPr="00CA7FDC">
        <w:rPr>
          <w:i/>
          <w:iCs/>
        </w:rPr>
        <w:t>-</w:t>
      </w:r>
      <w:r w:rsidRPr="00CA7FDC">
        <w:rPr>
          <w:i/>
          <w:iCs/>
          <w:lang w:val="en-US"/>
        </w:rPr>
        <w:t>PBX</w:t>
      </w:r>
      <w:r w:rsidRPr="00CA7FDC">
        <w:rPr>
          <w:i/>
          <w:iCs/>
        </w:rPr>
        <w:t>1</w:t>
      </w:r>
      <w:r w:rsidRPr="00CA7FDC">
        <w:t>;</w:t>
      </w:r>
      <w:r w:rsidRPr="00CA7FDC">
        <w:rPr>
          <w:i/>
          <w:iCs/>
          <w:lang w:val="en-US"/>
        </w:rPr>
        <w:t>TCF</w:t>
      </w:r>
      <w:r w:rsidRPr="00CA7FDC">
        <w:rPr>
          <w:i/>
          <w:iCs/>
        </w:rPr>
        <w:t>3/</w:t>
      </w:r>
      <w:r w:rsidRPr="00CA7FDC">
        <w:rPr>
          <w:i/>
          <w:iCs/>
          <w:lang w:val="en-US"/>
        </w:rPr>
        <w:t>PBX</w:t>
      </w:r>
      <w:r w:rsidRPr="00CA7FDC">
        <w:rPr>
          <w:i/>
          <w:iCs/>
        </w:rPr>
        <w:t>1)</w:t>
      </w:r>
      <w:r w:rsidR="00611AD9">
        <w:rPr>
          <w:i/>
          <w:iCs/>
        </w:rPr>
        <w:t>;</w:t>
      </w:r>
    </w:p>
    <w:p w14:paraId="0BBAD254" w14:textId="77777777" w:rsidR="00254823" w:rsidRPr="007D27D2" w:rsidRDefault="00254823" w:rsidP="00BD311D">
      <w:pPr>
        <w:widowControl/>
        <w:numPr>
          <w:ilvl w:val="1"/>
          <w:numId w:val="1"/>
        </w:numPr>
        <w:autoSpaceDE/>
        <w:autoSpaceDN/>
        <w:adjustRightInd/>
        <w:jc w:val="left"/>
        <w:rPr>
          <w:iCs/>
        </w:rPr>
      </w:pPr>
      <w:r w:rsidRPr="007D27D2">
        <w:rPr>
          <w:iCs/>
          <w:lang w:val="en-US"/>
        </w:rPr>
        <w:t>B</w:t>
      </w:r>
      <w:r w:rsidRPr="007D27D2">
        <w:rPr>
          <w:iCs/>
        </w:rPr>
        <w:t>-лимфобластный лейкоз/лимфома с интрахромосомной амплификацией 21(</w:t>
      </w:r>
      <w:r w:rsidRPr="007D27D2">
        <w:rPr>
          <w:iCs/>
          <w:lang w:val="en-US"/>
        </w:rPr>
        <w:t>iAMP</w:t>
      </w:r>
      <w:r w:rsidRPr="007D27D2">
        <w:rPr>
          <w:iCs/>
        </w:rPr>
        <w:t>21)</w:t>
      </w:r>
    </w:p>
    <w:p w14:paraId="1923A647" w14:textId="77777777" w:rsidR="00254823" w:rsidRPr="007D27D2" w:rsidRDefault="00254823" w:rsidP="00BD311D">
      <w:pPr>
        <w:widowControl/>
        <w:numPr>
          <w:ilvl w:val="1"/>
          <w:numId w:val="1"/>
        </w:numPr>
        <w:autoSpaceDE/>
        <w:autoSpaceDN/>
        <w:adjustRightInd/>
        <w:jc w:val="left"/>
        <w:rPr>
          <w:iCs/>
        </w:rPr>
      </w:pPr>
      <w:r w:rsidRPr="007D27D2">
        <w:rPr>
          <w:iCs/>
        </w:rPr>
        <w:t xml:space="preserve"> </w:t>
      </w:r>
      <w:r w:rsidRPr="007D27D2">
        <w:rPr>
          <w:iCs/>
          <w:lang w:val="en-US"/>
        </w:rPr>
        <w:t>B</w:t>
      </w:r>
      <w:r w:rsidRPr="007D27D2">
        <w:rPr>
          <w:iCs/>
        </w:rPr>
        <w:t>-лимфобластный лейкоз/лимфома с транслокацией</w:t>
      </w:r>
      <w:r w:rsidR="00950F44">
        <w:rPr>
          <w:iCs/>
        </w:rPr>
        <w:t>,</w:t>
      </w:r>
      <w:r w:rsidRPr="007D27D2">
        <w:rPr>
          <w:iCs/>
        </w:rPr>
        <w:t xml:space="preserve"> </w:t>
      </w:r>
      <w:r w:rsidR="00950F44" w:rsidRPr="007D27D2">
        <w:rPr>
          <w:iCs/>
        </w:rPr>
        <w:t>вовлекающ</w:t>
      </w:r>
      <w:r w:rsidR="00950F44">
        <w:rPr>
          <w:iCs/>
        </w:rPr>
        <w:t>ей</w:t>
      </w:r>
      <w:r w:rsidRPr="007D27D2">
        <w:rPr>
          <w:iCs/>
        </w:rPr>
        <w:t xml:space="preserve"> тирозинкиназы или цитокиновый рецептор (</w:t>
      </w:r>
      <w:r w:rsidRPr="007D27D2">
        <w:rPr>
          <w:iCs/>
          <w:lang w:val="en-US"/>
        </w:rPr>
        <w:t>BCR</w:t>
      </w:r>
      <w:r w:rsidRPr="007D27D2">
        <w:rPr>
          <w:iCs/>
        </w:rPr>
        <w:t>-</w:t>
      </w:r>
      <w:r w:rsidRPr="007D27D2">
        <w:rPr>
          <w:iCs/>
          <w:lang w:val="en-US"/>
        </w:rPr>
        <w:t>ABL</w:t>
      </w:r>
      <w:r w:rsidRPr="007D27D2">
        <w:rPr>
          <w:iCs/>
        </w:rPr>
        <w:t>1-</w:t>
      </w:r>
      <w:r w:rsidRPr="007D27D2">
        <w:rPr>
          <w:iCs/>
          <w:lang w:val="en-US"/>
        </w:rPr>
        <w:t>like</w:t>
      </w:r>
      <w:r w:rsidRPr="007D27D2">
        <w:rPr>
          <w:iCs/>
        </w:rPr>
        <w:t xml:space="preserve"> </w:t>
      </w:r>
      <w:r w:rsidRPr="007D27D2">
        <w:rPr>
          <w:iCs/>
          <w:lang w:val="en-US"/>
        </w:rPr>
        <w:t>ALL</w:t>
      </w:r>
      <w:r w:rsidR="00611AD9">
        <w:rPr>
          <w:iCs/>
        </w:rPr>
        <w:t>).</w:t>
      </w:r>
    </w:p>
    <w:p w14:paraId="07AEA965" w14:textId="77777777" w:rsidR="00254823" w:rsidRDefault="00254823" w:rsidP="00254823">
      <w:pPr>
        <w:ind w:firstLine="720"/>
        <w:contextualSpacing/>
        <w:rPr>
          <w:b/>
          <w:bCs/>
        </w:rPr>
      </w:pPr>
      <w:r w:rsidRPr="00CA7FDC">
        <w:rPr>
          <w:b/>
          <w:bCs/>
          <w:lang w:val="en-US"/>
        </w:rPr>
        <w:t>T</w:t>
      </w:r>
      <w:r w:rsidRPr="00CA7FDC">
        <w:rPr>
          <w:b/>
          <w:bCs/>
        </w:rPr>
        <w:t>-лимфобластный лейкоз/лимфома</w:t>
      </w:r>
    </w:p>
    <w:p w14:paraId="52A532A0" w14:textId="77777777" w:rsidR="00254823" w:rsidRPr="007D27D2" w:rsidRDefault="00254823" w:rsidP="00FF4C81">
      <w:pPr>
        <w:widowControl/>
        <w:numPr>
          <w:ilvl w:val="0"/>
          <w:numId w:val="17"/>
        </w:numPr>
        <w:autoSpaceDE/>
        <w:autoSpaceDN/>
        <w:adjustRightInd/>
        <w:contextualSpacing/>
        <w:jc w:val="left"/>
        <w:rPr>
          <w:bCs/>
        </w:rPr>
      </w:pPr>
      <w:r w:rsidRPr="007D27D2">
        <w:rPr>
          <w:bCs/>
        </w:rPr>
        <w:t>Лимфобластный ле</w:t>
      </w:r>
      <w:r w:rsidR="00FC7AB5">
        <w:rPr>
          <w:bCs/>
        </w:rPr>
        <w:t>й</w:t>
      </w:r>
      <w:r w:rsidRPr="007D27D2">
        <w:rPr>
          <w:bCs/>
        </w:rPr>
        <w:t>коз из ранних Т-клеточных предшественников</w:t>
      </w:r>
      <w:r w:rsidR="00611AD9">
        <w:rPr>
          <w:bCs/>
        </w:rPr>
        <w:t>;</w:t>
      </w:r>
    </w:p>
    <w:p w14:paraId="2694010A" w14:textId="77777777" w:rsidR="00254823" w:rsidRPr="007D27D2" w:rsidRDefault="00254823" w:rsidP="00FF4C81">
      <w:pPr>
        <w:widowControl/>
        <w:numPr>
          <w:ilvl w:val="0"/>
          <w:numId w:val="17"/>
        </w:numPr>
        <w:autoSpaceDE/>
        <w:autoSpaceDN/>
        <w:adjustRightInd/>
        <w:contextualSpacing/>
        <w:jc w:val="left"/>
        <w:rPr>
          <w:bCs/>
        </w:rPr>
      </w:pPr>
      <w:r w:rsidRPr="007D27D2">
        <w:rPr>
          <w:bCs/>
          <w:lang w:val="en-US"/>
        </w:rPr>
        <w:t>NK</w:t>
      </w:r>
      <w:r w:rsidRPr="007D27D2">
        <w:rPr>
          <w:bCs/>
        </w:rPr>
        <w:t>-клеточный лимфобластный лейкоз/лимфома</w:t>
      </w:r>
      <w:r w:rsidR="00611AD9">
        <w:rPr>
          <w:bCs/>
        </w:rPr>
        <w:t>.</w:t>
      </w:r>
    </w:p>
    <w:p w14:paraId="16F8991A" w14:textId="77777777" w:rsidR="00254823" w:rsidRPr="004A2416" w:rsidRDefault="00254823" w:rsidP="00254823">
      <w:pPr>
        <w:shd w:val="clear" w:color="auto" w:fill="FFFFFF"/>
        <w:tabs>
          <w:tab w:val="left" w:pos="211"/>
        </w:tabs>
        <w:ind w:firstLine="720"/>
        <w:contextualSpacing/>
      </w:pPr>
      <w:r w:rsidRPr="008453EE">
        <w:t xml:space="preserve">Согласно </w:t>
      </w:r>
      <w:r w:rsidR="00643685">
        <w:t>классификации</w:t>
      </w:r>
      <w:r>
        <w:t xml:space="preserve"> ВОЗ 2017</w:t>
      </w:r>
      <w:r w:rsidR="004A2416" w:rsidRPr="004A2416">
        <w:t xml:space="preserve"> </w:t>
      </w:r>
      <w:r w:rsidR="004A2416">
        <w:t xml:space="preserve">г. </w:t>
      </w:r>
      <w:r w:rsidR="00DC59BE">
        <w:fldChar w:fldCharType="begin" w:fldLock="1"/>
      </w:r>
      <w:r w:rsidR="004A2416">
        <w:instrText>ADDIN CSL_CITATION {"citationItems":[{"id":"ITEM-1","itemData":{"ISBN":"9789283244943","abstract":"Revised 4th edition. Introduction and overview of the classification of the myeloid neoplasms -- Myeloproliferative neoplasms -- Mastocytosis -- Myeloid/lymphoid neoplasms with eosinophilia and gene rearrangement -- Myelodysplastic/myeloproliferative neoplasms -- Myelodysplastic syndromes -- Myeloid neoplasms with germline predisposition -- Acute myeloid leukaemia and related precursor neoplasms -- Blastic plasmacytoid dendritic cell neoplasm -- Acute leukaemias of ambiguous lineage -- Introduction and overview of the classification of the lymphoid neoplasms -- Precursor lymphoid neoplasms -- Mature B-cell neoplasms -- Mature T- and NK-cell neoplasms -- Hodgkin lymphomas -- Immunodeficiency-associated lymphoproliferative disorders -- Histiocytic and dendritic cell neoplasms.","author":[{"dropping-particle":"","family":"Swerdlow","given":"Steven H.","non-dropping-particle":"","parse-names":false,"suffix":""},{"dropping-particle":"","family":"Campo","given":"Elias","non-dropping-particle":"","parse-names":false,"suffix":""},{"dropping-particle":"","family":"Harris","given":"Nancy Lee","non-dropping-particle":"","parse-names":false,"suffix":""},{"dropping-particle":"","family":"Jaffe","given":"Elaine S.","non-dropping-particle":"","parse-names":false,"suffix":""},{"dropping-particle":"","family":"Pileri","given":"Stefano A.","non-dropping-particle":"","parse-names":false,"suffix":""},{"dropping-particle":"","family":"Stein","given":"Harald","non-dropping-particle":"","parse-names":false,"suffix":""},{"dropping-particle":"","family":"Thiele","given":"Jürgen","non-dropping-particle":"","parse-names":false,"suffix":""}],"editor":[{"dropping-particle":"","family":"Swerdlow SH, Campo E, Harris NL, Jaffe ES, Pileri SA, Stein H","given":"Thiele J","non-dropping-particle":"","parse-names":false,"suffix":""}],"id":"ITEM-1","issued":{"date-parts":[["2017"]]},"number-of-pages":"585","title":"WHO classification of tumours of haematopoietic and lymphoid tissues. Revised 4th ed. Lyon, France: International Agency for Research in Cancer (IARC)","type":"book"},"uris":["http://www.mendeley.com/documents/?uuid=b06b14d2-e846-3ead-b23a-17e93b076e13"]}],"mendeley":{"formattedCitation":"[3]","plainTextFormattedCitation":"[3]","previouslyFormattedCitation":"[3]"},"properties":{"noteIndex":0},"schema":"https://github.com/citation-style-language/schema/raw/master/csl-citation.json"}</w:instrText>
      </w:r>
      <w:r w:rsidR="00DC59BE">
        <w:fldChar w:fldCharType="separate"/>
      </w:r>
      <w:r w:rsidR="004A2416" w:rsidRPr="004A2416">
        <w:rPr>
          <w:noProof/>
        </w:rPr>
        <w:t>[3]</w:t>
      </w:r>
      <w:r w:rsidR="00DC59BE">
        <w:fldChar w:fldCharType="end"/>
      </w:r>
      <w:r w:rsidR="00643685">
        <w:t>,</w:t>
      </w:r>
      <w:r w:rsidRPr="008453EE">
        <w:t xml:space="preserve"> </w:t>
      </w:r>
      <w:r w:rsidR="00FC7AB5">
        <w:t>ЛБЛ</w:t>
      </w:r>
      <w:r w:rsidRPr="008453EE">
        <w:t xml:space="preserve"> с </w:t>
      </w:r>
      <w:r w:rsidR="00611AD9">
        <w:t xml:space="preserve">поражением КМ </w:t>
      </w:r>
      <w:r w:rsidRPr="008453EE">
        <w:t xml:space="preserve">и без </w:t>
      </w:r>
      <w:r w:rsidR="00611AD9">
        <w:t>него</w:t>
      </w:r>
      <w:r w:rsidR="00027CE4">
        <w:t xml:space="preserve"> </w:t>
      </w:r>
      <w:r w:rsidRPr="008453EE">
        <w:t xml:space="preserve">объединяются в единую группу </w:t>
      </w:r>
      <w:r w:rsidR="00067AB3">
        <w:t>«</w:t>
      </w:r>
      <w:r w:rsidRPr="008453EE">
        <w:t>лимфобластные лейкозы/лимфомы из предшественников B- или T-клеток</w:t>
      </w:r>
      <w:r w:rsidR="00067AB3">
        <w:t>»</w:t>
      </w:r>
      <w:r w:rsidRPr="008453EE">
        <w:t>. Несмотря на широко распространенную точку зрения о том, что ОЛЛ и ЛБЛ характеризуются различными клиническими проявлениями одного и того же заболевания, в процессе выполненного анализа экспрессии генов</w:t>
      </w:r>
      <w:r w:rsidR="00940CF0">
        <w:t xml:space="preserve"> </w:t>
      </w:r>
      <w:r w:rsidR="00940CF0">
        <w:fldChar w:fldCharType="begin" w:fldLock="1"/>
      </w:r>
      <w:r w:rsidR="00940CF0">
        <w:instrText>ADDIN CSL_CITATION {"citationItems":[{"id":"ITEM-1","itemData":{"author":[{"dropping-particle":"","family":"Gökbuget","given":"N.","non-dropping-particle":"","parse-names":false,"suffix":""},{"dropping-particle":"","family":"Bassan","given":"R.","non-dropping-particle":"","parse-names":false,"suffix":""},{"dropping-particle":"","family":"Dombret","given":"H.","non-dropping-particle":"","parse-names":false,"suffix":""},{"dropping-particle":"","family":"Doubek","given":"M.","non-dropping-particle":"","parse-names":false,"suffix":""},{"dropping-particle":"","family":"Fielding","given":"A.K.","non-dropping-particle":"","parse-names":false,"suffix":""},{"dropping-particle":"","family":"Foà","given":"R.","non-dropping-particle":"","parse-names":false,"suffix":""},{"dropping-particle":"","family":"Giebel","given":"S.","non-dropping-particle":"","parse-names":false,"suffix":""},{"dropping-particle":"","family":"Hoelzer","given":"D.","non-dropping-particle":"","parse-names":false,"suffix":""},{"dropping-particle":"","family":"Martinelli","given":"G.","non-dropping-particle":"","parse-names":false,"suffix":""},{"dropping-particle":"","family":"Meloni","given":"G.","non-dropping-particle":"","parse-names":false,"suffix":""},{"dropping-particle":"","family":"Delia Moicean","given":"A.","non-dropping-particle":"","parse-names":false,"suffix":""},{"dropping-particle":"","family":"Ottmann","given":"O.","non-dropping-particle":"","parse-names":false,"suffix":""},{"dropping-particle":"","family":"Piccaluga","given":"P.P.","non-dropping-particle":"","parse-names":false,"suffix":""},{"dropping-particle":"","family":"Ribera","given":"J.M.","non-dropping-particle":"","parse-names":false,"suffix":""},{"dropping-particle":"","family":"Rousselot","given":"P.","non-dropping-particle":"","parse-names":false,"suffix":""},{"dropping-particle":"","family":"Walewski","given":"J.","non-dropping-particle":"","parse-names":false,"suffix":""}],"container-title":"UNI-MED Verlag AG","id":"ITEM-1","issued":{"date-parts":[["2011"]]},"number-of-pages":"204","title":"Recommendations of the European Working Group for Adult ALL (EWALL)","type":"book"},"uris":["http://www.mendeley.com/documents/?uuid=aba58166-cd2b-4f70-bb6a-5fdd9e1b42de"]}],"mendeley":{"formattedCitation":"[5]","plainTextFormattedCitation":"[5]","previouslyFormattedCitation":"[5]"},"properties":{"noteIndex":0},"schema":"https://github.com/citation-style-language/schema/raw/master/csl-citation.json"}</w:instrText>
      </w:r>
      <w:r w:rsidR="00940CF0">
        <w:fldChar w:fldCharType="separate"/>
      </w:r>
      <w:r w:rsidR="00940CF0" w:rsidRPr="004A2416">
        <w:rPr>
          <w:noProof/>
        </w:rPr>
        <w:t>[5]</w:t>
      </w:r>
      <w:r w:rsidR="00940CF0">
        <w:fldChar w:fldCharType="end"/>
      </w:r>
      <w:r w:rsidRPr="008453EE">
        <w:t xml:space="preserve"> было показано четкое разделение между T-клеточной ОЛЛ и T-клеточной ЛБЛ ввиду различия экспрессии отдельных генов. Ряд этих различий может быть обусловлен специфичными механизмами, имеющими отношение к стромальным клеткам. В то же время имеются доказательства в пользу того, что важные сигнальные пути, регулирующие рост клеток при T-клеточных ОЛЛ и T-клеточных ЛБЛ, могут быть различны, что частично объясняет различие клинических проявлений обоих заболеваний</w:t>
      </w:r>
      <w:r w:rsidR="00067AB3">
        <w:t xml:space="preserve"> </w:t>
      </w:r>
      <w:r w:rsidR="00940CF0">
        <w:fldChar w:fldCharType="begin" w:fldLock="1"/>
      </w:r>
      <w:r w:rsidR="00940CF0">
        <w:instrText>ADDIN CSL_CITATION {"citationItems":[{"id":"ITEM-1","itemData":{"author":[{"dropping-particle":"","family":"Gökbuget","given":"N.","non-dropping-particle":"","parse-names":false,"suffix":""},{"dropping-particle":"","family":"Bassan","given":"R.","non-dropping-particle":"","parse-names":false,"suffix":""},{"dropping-particle":"","family":"Dombret","given":"H.","non-dropping-particle":"","parse-names":false,"suffix":""},{"dropping-particle":"","family":"Doubek","given":"M.","non-dropping-particle":"","parse-names":false,"suffix":""},{"dropping-particle":"","family":"Fielding","given":"A.K.","non-dropping-particle":"","parse-names":false,"suffix":""},{"dropping-particle":"","family":"Foà","given":"R.","non-dropping-particle":"","parse-names":false,"suffix":""},{"dropping-particle":"","family":"Giebel","given":"S.","non-dropping-particle":"","parse-names":false,"suffix":""},{"dropping-particle":"","family":"Hoelzer","given":"D.","non-dropping-particle":"","parse-names":false,"suffix":""},{"dropping-particle":"","family":"Martinelli","given":"G.","non-dropping-particle":"","parse-names":false,"suffix":""},{"dropping-particle":"","family":"Meloni","given":"G.","non-dropping-particle":"","parse-names":false,"suffix":""},{"dropping-particle":"","family":"Delia Moicean","given":"A.","non-dropping-particle":"","parse-names":false,"suffix":""},{"dropping-particle":"","family":"Ottmann","given":"O.","non-dropping-particle":"","parse-names":false,"suffix":""},{"dropping-particle":"","family":"Piccaluga","given":"P.P.","non-dropping-particle":"","parse-names":false,"suffix":""},{"dropping-particle":"","family":"Ribera","given":"J.M.","non-dropping-particle":"","parse-names":false,"suffix":""},{"dropping-particle":"","family":"Rousselot","given":"P.","non-dropping-particle":"","parse-names":false,"suffix":""},{"dropping-particle":"","family":"Walewski","given":"J.","non-dropping-particle":"","parse-names":false,"suffix":""}],"container-title":"UNI-MED Verlag AG","id":"ITEM-1","issued":{"date-parts":[["2011"]]},"number-of-pages":"204","title":"Recommendations of the European Working Group for Adult ALL (EWALL)","type":"book"},"uris":["http://www.mendeley.com/documents/?uuid=aba58166-cd2b-4f70-bb6a-5fdd9e1b42de"]}],"mendeley":{"formattedCitation":"[5]","plainTextFormattedCitation":"[5]","previouslyFormattedCitation":"[5]"},"properties":{"noteIndex":0},"schema":"https://github.com/citation-style-language/schema/raw/master/csl-citation.json"}</w:instrText>
      </w:r>
      <w:r w:rsidR="00940CF0">
        <w:fldChar w:fldCharType="separate"/>
      </w:r>
      <w:r w:rsidR="00940CF0" w:rsidRPr="004A2416">
        <w:rPr>
          <w:noProof/>
        </w:rPr>
        <w:t>[5]</w:t>
      </w:r>
      <w:r w:rsidR="00940CF0">
        <w:fldChar w:fldCharType="end"/>
      </w:r>
      <w:r w:rsidR="004A2416" w:rsidRPr="004A2416">
        <w:t>.</w:t>
      </w:r>
    </w:p>
    <w:p w14:paraId="6325DEDD" w14:textId="77777777" w:rsidR="00AA220A" w:rsidRDefault="00AA220A" w:rsidP="004905C2">
      <w:pPr>
        <w:pStyle w:val="2"/>
      </w:pPr>
      <w:bookmarkStart w:id="40" w:name="_Toc531609325"/>
      <w:bookmarkStart w:id="41" w:name="_Toc5373970"/>
      <w:bookmarkStart w:id="42" w:name="_Toc13484801"/>
      <w:bookmarkStart w:id="43" w:name="_Toc26796700"/>
      <w:bookmarkStart w:id="44" w:name="_Toc64467916"/>
    </w:p>
    <w:p w14:paraId="5A164453" w14:textId="074452B7" w:rsidR="004A2416" w:rsidRPr="00311757" w:rsidRDefault="00254823" w:rsidP="004905C2">
      <w:pPr>
        <w:pStyle w:val="2"/>
      </w:pPr>
      <w:bookmarkStart w:id="45" w:name="_Toc64565630"/>
      <w:r w:rsidRPr="008453EE">
        <w:t>1.6</w:t>
      </w:r>
      <w:r w:rsidR="00067AB3">
        <w:t>.</w:t>
      </w:r>
      <w:r w:rsidRPr="008453EE">
        <w:t xml:space="preserve"> </w:t>
      </w:r>
      <w:bookmarkEnd w:id="40"/>
      <w:bookmarkEnd w:id="41"/>
      <w:bookmarkEnd w:id="42"/>
      <w:r w:rsidR="001621C0" w:rsidRPr="001621C0">
        <w:t>Клиническая картина заболевания или состояния (группы заболеваний или состояний)</w:t>
      </w:r>
      <w:bookmarkEnd w:id="43"/>
      <w:bookmarkEnd w:id="44"/>
      <w:bookmarkEnd w:id="45"/>
    </w:p>
    <w:p w14:paraId="234801BD" w14:textId="2267D329" w:rsidR="00254823" w:rsidRPr="00917A62" w:rsidRDefault="00254823" w:rsidP="00254823">
      <w:pPr>
        <w:ind w:firstLine="709"/>
        <w:contextualSpacing/>
        <w:rPr>
          <w:rFonts w:ascii="TimesNewRomanPSMT" w:hAnsi="TimesNewRomanPSMT" w:cs="TimesNewRomanPSMT"/>
          <w:u w:val="single"/>
        </w:rPr>
      </w:pPr>
      <w:r w:rsidRPr="008812A8">
        <w:t xml:space="preserve">Длительность анамнеза заболевания от момента появления первых клинических признаков до морфологической верификации диагноза составляет от нескольких недель до нескольких месяцев. Клиническая картина определяется степенью нарушения функций </w:t>
      </w:r>
      <w:r w:rsidR="00027CE4">
        <w:t xml:space="preserve">КМ </w:t>
      </w:r>
      <w:r w:rsidRPr="008812A8">
        <w:t>в виде анемии, геморрагического синдрома и развитием инфекций различной степени тяжести; наличием опухолевой массы в виде органомегалии, большого количества опухолевых клеток в периферической крови, лимфоаденопатии и масс в средостении; в некоторых случаях с развитием болевого синдрома, связанного с поражением костей, с появлением клинических признаков поражения ЦНС и с поражением кожи</w:t>
      </w:r>
      <w:r w:rsidR="00940CF0">
        <w:t xml:space="preserve"> </w:t>
      </w:r>
      <w:r w:rsidR="00940CF0">
        <w:fldChar w:fldCharType="begin" w:fldLock="1"/>
      </w:r>
      <w:r w:rsidR="002466C9">
        <w:instrText>ADDIN CSL_CITATION {"citationItems":[{"id":"ITEM-1","itemData":{"id":"ITEM-1","issued":{"date-parts":[["2012"]]},"number-of-pages":"1056","title":"Программное лечение заболеваний системы крови: Сборник алгоритмов диагностики и протоколов лечения заболеваний системы крови. Под ред. В.Г. Савченко","type":"book"},"uris":["http://www.mendeley.com/documents/?uuid=36484a90-27ae-40a9-a194-b0461fb47d9d"]},{"id":"ITEM-2","itemData":{"author":[{"dropping-particle":"","family":"Савченко","given":"Валерий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доп.","id":"ITEM-2","issued":{"date-parts":[["2007"]]},"page":"409-502","title":"Острые лейкозы","type":"chapter"},"uris":["http://www.mendeley.com/documents/?uuid=08f85f58-ddaa-48eb-b937-65d15d14b213"]},{"id":"ITEM-3","itemData":{"author":[{"dropping-particle":"","family":"Brown","given":"Patrick A","non-dropping-particle":"","parse-names":false,"suffix":""},{"dropping-particle":"","family":"Shah","given":"Bijal","non-dropping-particle":"","parse-names":false,"suffix":""},{"dropping-particle":"","family":"Advani","given":"Anjali","non-dropping-particle":"","parse-names":false,"suffix":""},{"dropping-particle":"","family":"Aoun","given":"Patricia","non-dropping-particle":"","parse-names":false,"suffix":""},{"dropping-particle":"","family":"Bhatnagar","given":"Bhavana","non-dropping-particle":"","parse-names":false,"suffix":""},{"dropping-particle":"","family":"Boyer","given":"Michael W","non-dropping-particle":"","parse-names":false,"suffix":""},{"dropping-particle":"","family":"Bryan","given":"Teresa","non-dropping-particle":"","parse-names":false,"suffix":""},{"dropping-particle":"","family":"Burke","given":"Patrick W","non-dropping-particle":"","parse-names":false,"suffix":""},{"dropping-particle":"","family":"Cassaday","given":"Ryan D","non-dropping-particle":"","parse-names":false,"suffix":""},{"dropping-particle":"","family":"Coutre","given":"Steven E","non-dropping-particle":"","parse-names":false,"suffix":""},{"dropping-particle":"","family":"Coccia","given":"Peter F","non-dropping-particle":"","parse-names":false,"suffix":""},{"dropping-particle":"","family":"DeAngelo","given":"Daniel J","non-dropping-particle":"","parse-names":false,"suffix":""},{"dropping-particle":"","family":"Fathi","given":"Amir","non-dropping-particle":"","parse-names":false,"suffix":""},{"dropping-particle":"","family":"Jain","given":"Nitin","non-dropping-particle":"","parse-names":false,"suffix":""},{"dropping-particle":"","family":"Kirby","given":"Suzanne","non-dropping-particle":"","parse-names":false,"suffix":""},{"dropping-particle":"","family":"Litzow","given":"Mark","non-dropping-particle":"","parse-names":false,"suffix":""},{"dropping-particle":"","family":"Liu","given":"Arthur","non-dropping-particle":"","parse-names":false,"suffix":""},{"dropping-particle":"","family":"Logan","given":"Aaron","non-dropping-particle":"","parse-names":false,"suffix":""},{"dropping-particle":"","family":"Massaro","given":"Stephanie","non-dropping-particle":"","parse-names":false,"suffix":""},{"dropping-particle":"","family":"Mattison","given":"Ryan J","non-dropping-particle":"","parse-names":false,"suffix":""},{"dropping-particle":"","family":"Oluwole","given":"Olalekan","non-dropping-particle":"","parse-names":false,"suffix":""},{"dropping-particle":"","family":"Papadantonakis","given":"Nikolaos","non-dropping-particle":"","parse-names":false,"suffix":""},{"dropping-particle":"","family":"Park","given":"Jae","non-dropping-particle":"","parse-names":false,"suffix":""},{"dropping-particle":"","family":"Rubnitz","given":"Jeffrey E","non-dropping-particle":"","parse-names":false,"suffix":""},{"dropping-particle":"","family":"Uy","given":"Geoffrey L","non-dropping-particle":"","parse-names":false,"suffix":""},{"dropping-particle":"","family":"Wang","given":"Eunice S","non-dropping-particle":"","parse-names":false,"suffix":""},{"dropping-particle":"","family":"Wieduwilt","given":"Matthew","non-dropping-particle":"","parse-names":false,"suffix":""},{"dropping-particle":"","family":"Gregory","given":"Kristina","non-dropping-particle":"","parse-names":false,"suffix":""}],"id":"ITEM-3","issued":{"date-parts":[["2019"]]},"number-of-pages":"115","title":"NCCN Clinical Practice Guidelines in Oncology. Acute Lymphoblastic Leukemia. Version 2.2019","type":"report"},"uris":["http://www.mendeley.com/documents/?uuid=ef92918b-8a57-37b1-bea5-284dfdf15541"]},{"id":"ITEM-4","itemData":{"author":[{"dropping-particle":"","family":"Gökbuget","given":"N.","non-dropping-particle":"","parse-names":false,"suffix":""},{"dropping-particle":"","family":"Bassan","given":"R.","non-dropping-particle":"","parse-names":false,"suffix":""},{"dropping-particle":"","family":"Dombret","given":"H.","non-dropping-particle":"","parse-names":false,"suffix":""},{"dropping-particle":"","family":"Doubek","given":"M.","non-dropping-particle":"","parse-names":false,"suffix":""},{"dropping-particle":"","family":"Fielding","given":"A.K.","non-dropping-particle":"","parse-names":false,"suffix":""},{"dropping-particle":"","family":"Foà","given":"R.","non-dropping-particle":"","parse-names":false,"suffix":""},{"dropping-particle":"","family":"Giebel","given":"S.","non-dropping-particle":"","parse-names":false,"suffix":""},{"dropping-particle":"","family":"Hoelzer","given":"D.","non-dropping-particle":"","parse-names":false,"suffix":""},{"dropping-particle":"","family":"Martinelli","given":"G.","non-dropping-particle":"","parse-names":false,"suffix":""},{"dropping-particle":"","family":"Meloni","given":"G.","non-dropping-particle":"","parse-names":false,"suffix":""},{"dropping-particle":"","family":"Delia Moicean","given":"A.","non-dropping-particle":"","parse-names":false,"suffix":""},{"dropping-particle":"","family":"Ottmann","given":"O.","non-dropping-particle":"","parse-names":false,"suffix":""},{"dropping-particle":"","family":"Piccaluga","given":"P.P.","non-dropping-particle":"","parse-names":false,"suffix":""},{"dropping-particle":"","family":"Ribera","given":"J.M.","non-dropping-particle":"","parse-names":false,"suffix":""},{"dropping-particle":"","family":"Rousselot","given":"P.","non-dropping-particle":"","parse-names":false,"suffix":""},{"dropping-particle":"","family":"Walewski","given":"J.","non-dropping-particle":"","parse-names":false,"suffix":""}],"container-title":"UNI-MED Verlag AG","id":"ITEM-4","issued":{"date-parts":[["2011"]]},"number-of-pages":"204","title":"Recommendations of the European Working Group for Adult ALL (EWALL)","type":"book"},"uris":["http://www.mendeley.com/documents/?uuid=aba58166-cd2b-4f70-bb6a-5fdd9e1b42de"]},{"id":"ITEM-5","itemData":{"DOI":"10.1111/j.1365-2141.2010.08246.x","ISSN":"1365-2141","PMID":"20573154","abstract":"Treatment of acute lymphoblastic leukaemia (ALL) in adults presents a formidable challenge. While overall results have improved over the past 3 decades, the long-term survival for patients aged less than 60 years is only in the range of 30-40% and is 10-15% if between 60 and 70 years and &lt;5% for those over 70 years. The historic lack of clear-cut biological prognostic factors has led to over- or under-treatment of some patients. Response to initial therapy is an important prognosticator of outcome based on disease biology, as well as pharmacogenetics, which include the patient's response to drugs given. The more widespread availability of allogeneic transplantation and reduced-intensity regimens for older patients have opened up this curative modality to a greater number of patients. Hopefully, those options, as well as novel cytogenetic and molecular markers, will enable a better selection of patients who undergo intensive therapies and finally break the 30-40% cure barrier for adults with ALL.","author":[{"dropping-particle":"","family":"Rowe","given":"Jacob M","non-dropping-particle":"","parse-names":false,"suffix":""}],"container-title":"British journal of haematology","id":"ITEM-5","issue":"4","issued":{"date-parts":[["2010","8"]]},"page":"389-405","title":"Prognostic factors in adult acute lymphoblastic leukaemia.","type":"article-journal","volume":"150"},"uris":["http://www.mendeley.com/documents/?uuid=503959f1-dcec-3bba-8c9b-414a3d8c31f3"]},{"id":"ITEM-6","itemData":{"ISSN":"0006-4971","PMID":"3422030","abstract":"In a prospective multicenter study, 368 acute lymphoblastic leukemia (ALL) patients aged 15 to 65 years were treated with an intensified induction and reinduction regimen; 272 (73.9%) achieved complete remission (CR). The median remission duration (MRD) is 24.3 months, and the probability of being in continuous CR (CCR) at greater than 5 years is .37. The median survival for all 368 patients is 27.5 months, and the probability of being alive at 5 years is .39. For the 272 patients in remission the median survival is 58.4 months, and the probability of being alive at 5 years is .49. A lower CR rate was seen for patients with bleeding at diagnosis or with splenomegaly/hepatosplenomegaly. The prognostic factors unfavorable for remission duration were time to CR greater than 4 weeks v less than 4 weeks (P = .0002), age greater than 35 years v less than 35 years (P = .0008), leukocyte count greater than 30,000/microL v less than 30,000/microL (P = .0112), and null ALL v common ALL (c-ALL)/T cell ALL (T-ALL) (P = .05). The remission duration correlated strongly (P = .0001) with the number of these independent prognostic factors. In patients with none of these adverse factors the MRD has not yet been reached, with one adverse factor the MRD is 21.9 months, and with two or three adverse factors the MRD is only 9.6 months. For the immunologic subtype T-ALL, the probability of being in CCR at greater than 5 years is .55; for c-ALL, .34; and for null ALL, .24. According to these results, patients were stratified into a low-risk group with a CCR rate of .62 and a high-risk group with a CCR rate of .28, with the latter now allocated to either further chemotherapy or bone marrow transplantation in first remission.","author":[{"dropping-particle":"","family":"Hoelzer","given":"D","non-dropping-particle":"","parse-names":false,"suffix":""},{"dropping-particle":"","family":"Thiel","given":"E","non-dropping-particle":"","parse-names":false,"suffix":""},{"dropping-particle":"","family":"Löffler","given":"H","non-dropping-particle":"","parse-names":false,"suffix":""},{"dropping-particle":"","family":"Büchner","given":"T","non-dropping-particle":"","parse-names":false,"suffix":""},{"dropping-particle":"","family":"Ganser","given":"A","non-dropping-particle":"","parse-names":false,"suffix":""},{"dropping-particle":"","family":"Heil","given":"G","non-dropping-particle":"","parse-names":false,"suffix":""},{"dropping-particle":"","family":"Koch","given":"P","non-dropping-particle":"","parse-names":false,"suffix":""},{"dropping-particle":"","family":"Freund","given":"M","non-dropping-particle":"","parse-names":false,"suffix":""},{"dropping-particle":"","family":"Diedrich","given":"H","non-dropping-particle":"","parse-names":false,"suffix":""},{"dropping-particle":"","family":"Rühl","given":"H","non-dropping-particle":"","parse-names":false,"suffix":""}],"container-title":"Blood","id":"ITEM-6","issue":"1","issued":{"date-parts":[["1988","1"]]},"page":"123-31","title":"Prognostic factors in a multicenter study for treatment of acute lymphoblastic leukemia in adults.","type":"article-journal","volume":"71"},"uris":["http://www.mendeley.com/documents/?uuid=82ae800d-f6a9-370a-9b57-ccaa6e14204b"]}],"mendeley":{"formattedCitation":"[1,2,4,5,10,11]","plainTextFormattedCitation":"[1,2,4,5,10,11]","previouslyFormattedCitation":"[1,2,4,5,10,11]"},"properties":{"noteIndex":0},"schema":"https://github.com/citation-style-language/schema/raw/master/csl-citation.json"}</w:instrText>
      </w:r>
      <w:r w:rsidR="00940CF0">
        <w:fldChar w:fldCharType="separate"/>
      </w:r>
      <w:r w:rsidR="00A66456" w:rsidRPr="00A66456">
        <w:rPr>
          <w:noProof/>
        </w:rPr>
        <w:t>[1,2,4,5,10,11]</w:t>
      </w:r>
      <w:r w:rsidR="00940CF0">
        <w:fldChar w:fldCharType="end"/>
      </w:r>
      <w:r w:rsidRPr="008812A8">
        <w:t>.</w:t>
      </w:r>
      <w:r>
        <w:t xml:space="preserve"> </w:t>
      </w:r>
    </w:p>
    <w:p w14:paraId="1C77847B" w14:textId="5659B082" w:rsidR="00254823" w:rsidRPr="00DF40EA" w:rsidRDefault="00254823" w:rsidP="00254823">
      <w:pPr>
        <w:shd w:val="clear" w:color="auto" w:fill="FFFFFF"/>
        <w:ind w:firstLine="709"/>
        <w:contextualSpacing/>
      </w:pPr>
      <w:r w:rsidRPr="00DF40EA">
        <w:t xml:space="preserve">Клинические проявления у </w:t>
      </w:r>
      <w:r w:rsidR="00B0071E">
        <w:rPr>
          <w:szCs w:val="24"/>
        </w:rPr>
        <w:t>пациентов</w:t>
      </w:r>
      <w:r w:rsidRPr="00DF40EA">
        <w:t xml:space="preserve"> </w:t>
      </w:r>
      <w:r w:rsidR="006530EB">
        <w:t xml:space="preserve">с </w:t>
      </w:r>
      <w:r w:rsidRPr="00DF40EA">
        <w:t>ОЛЛ очень неспецифичны и связаны с развитием тех или иных симптомов, обусловленны</w:t>
      </w:r>
      <w:r w:rsidR="00FC7AB5">
        <w:t>х</w:t>
      </w:r>
      <w:r w:rsidRPr="00DF40EA">
        <w:t xml:space="preserve"> вытеснением опухолевыми клетками нормального кроветворения.</w:t>
      </w:r>
      <w:r w:rsidR="006530EB">
        <w:t xml:space="preserve"> Основные симптомы заболевания –</w:t>
      </w:r>
      <w:r w:rsidRPr="00DF40EA">
        <w:t xml:space="preserve"> слабость, лихорадка, не связанная с инфекцией, оссалгии и артралгии, геморрагический синдром. Инфекционные осложнения встречаются нечасто, и в основном в тех случаях, когда число нейтрофилов не превышает 0,2</w:t>
      </w:r>
      <w:r w:rsidR="00027CE4">
        <w:t> </w:t>
      </w:r>
      <w:r w:rsidR="006530EB">
        <w:t>×</w:t>
      </w:r>
      <w:r w:rsidR="00027CE4">
        <w:t> 1</w:t>
      </w:r>
      <w:r w:rsidRPr="00DF40EA">
        <w:t>0</w:t>
      </w:r>
      <w:r w:rsidRPr="00DF40EA">
        <w:rPr>
          <w:vertAlign w:val="superscript"/>
        </w:rPr>
        <w:t>9</w:t>
      </w:r>
      <w:r w:rsidRPr="00DF40EA">
        <w:t>/л. У 1</w:t>
      </w:r>
      <w:r w:rsidR="006530EB">
        <w:t xml:space="preserve"> </w:t>
      </w:r>
      <w:r w:rsidRPr="00DF40EA">
        <w:t xml:space="preserve">% </w:t>
      </w:r>
      <w:r w:rsidR="00B0071E">
        <w:rPr>
          <w:szCs w:val="24"/>
        </w:rPr>
        <w:t>пациентов</w:t>
      </w:r>
      <w:r w:rsidRPr="00DF40EA">
        <w:t xml:space="preserve"> отмечаются головные боли, тошнота, рвота, чаще всего при вовлечении</w:t>
      </w:r>
      <w:r>
        <w:t xml:space="preserve"> </w:t>
      </w:r>
      <w:r w:rsidR="00027CE4">
        <w:t>ЦНС</w:t>
      </w:r>
      <w:r w:rsidR="00940CF0">
        <w:t xml:space="preserve"> </w:t>
      </w:r>
      <w:r w:rsidR="00940CF0">
        <w:fldChar w:fldCharType="begin" w:fldLock="1"/>
      </w:r>
      <w:r w:rsidR="002466C9">
        <w:instrText>ADDIN CSL_CITATION {"citationItems":[{"id":"ITEM-1","itemData":{"DOI":"10.1182/blood-2005-11-4666","ISSN":"0006-4971","PMID":"16556888","abstract":"Outcome of acute lymphoblastic leukemia (ALL) in adults with central nervous system (CNS) disease at diagnosis is unclear. We treated 1508 de novo ALL patients with 2-phase induction and then high-dose methotrexate with l-asparaginase. Patients up to 50 years old in first remission (CR1) with a matched related donor (MRD) underwent an allogeneic stem cell transplantation (SCT); the remainder in CR1 were randomized to an autologous SCT or intensive consolidation followed by maintenance chemotherapy. Philadelphia chromosome (Ph)-positive patients were offered a matched unrelated donor (MUD) allogeneic SCT. Seventy-seven of 1508 (5%) patients a median age of 29 years had CNS leukemia at presentation; 13 of the 77 (17%) had Ph-positive ALL. Sixty-nine of 77 (90%) patients attained CR1. Thirty-six patients underwent transplantation in CR1 (25 MRD, 5 MUD, and 6 autografts). Eleven of 25 patients with MRD transplantation remain alive at 21 to 102 months, 2 of 5 with MUD at 42 and 71 months, and 1 of 6 with autologous SCT at 35 months. Seven of 27 treated with consolidation/maintenance remain in CR1 56 to 137 months after diagnosis. Overall survival at 5 years was 29% in those with CNS involvement at diagnosis versus 38% (P = .03) for those without. CNS leukemia in adult ALL is uncommon at diagnosis. Adult Ph-negative ALL patients, however, can attain long-term disease-free survival using SCT as well as conventional chemotherapy.","author":[{"dropping-particle":"","family":"Lazarus","given":"Hillard M","non-dropping-particle":"","parse-names":false,"suffix":""},{"dropping-particle":"","family":"Richards","given":"Susan M","non-dropping-particle":"","parse-names":false,"suffix":""},{"dropping-particle":"","family":"Chopra","given":"Raj","non-dropping-particle":"","parse-names":false,"suffix":""},{"dropping-particle":"","family":"Litzow","given":"Mark R","non-dropping-particle":"","parse-names":false,"suffix":""},{"dropping-particle":"","family":"Burnett","given":"Alan K","non-dropping-particle":"","parse-names":false,"suffix":""},{"dropping-particle":"","family":"Wiernik","given":"Peter H","non-dropping-particle":"","parse-names":false,"suffix":""},{"dropping-particle":"","family":"Franklin","given":"Ian M","non-dropping-particle":"","parse-names":false,"suffix":""},{"dropping-particle":"","family":"Tallman","given":"Martin S","non-dropping-particle":"","parse-names":false,"suffix":""},{"dropping-particle":"","family":"Cook","given":"Lucy","non-dropping-particle":"","parse-names":false,"suffix":""},{"dropping-particle":"","family":"Buck","given":"Georgina","non-dropping-particle":"","parse-names":false,"suffix":""},{"dropping-particle":"","family":"Durrant","given":"I Jill","non-dropping-particle":"","parse-names":false,"suffix":""},{"dropping-particle":"","family":"Rowe","given":"Jacob M","non-dropping-particle":"","parse-names":false,"suffix":""},{"dropping-particle":"","family":"Goldstone","given":"Anthony H","non-dropping-particle":"","parse-names":false,"suffix":""},{"dropping-particle":"","family":"Medical Research Council (MRC)/National Cancer Research Institute (NCRI) Adult Leukaemia Working Party of the United Kingdom and the Eastern Cooperative Oncology Group","given":"","non-dropping-particle":"","parse-names":false,"suffix":""}],"container-title":"Blood","id":"ITEM-1","issue":"2","issued":{"date-parts":[["2006","7","15"]]},"page":"465-72","title":"Central nervous system involvement in adult acute lymphoblastic leukemia at diagnosis: results from the international ALL trial MRC UKALL XII/ECOG E2993.","type":"article-journal","volume":"108"},"uris":["http://www.mendeley.com/documents/?uuid=9900bb12-4887-3eaf-be05-4f7a7b0a9e8b"]}],"mendeley":{"formattedCitation":"[12]","plainTextFormattedCitation":"[12]","previouslyFormattedCitation":"[12]"},"properties":{"noteIndex":0},"schema":"https://github.com/citation-style-language/schema/raw/master/csl-citation.json"}</w:instrText>
      </w:r>
      <w:r w:rsidR="00940CF0">
        <w:fldChar w:fldCharType="separate"/>
      </w:r>
      <w:r w:rsidR="00A66456" w:rsidRPr="00A66456">
        <w:rPr>
          <w:noProof/>
        </w:rPr>
        <w:t>[12]</w:t>
      </w:r>
      <w:r w:rsidR="00940CF0">
        <w:fldChar w:fldCharType="end"/>
      </w:r>
      <w:r w:rsidRPr="00DF40EA">
        <w:t>.</w:t>
      </w:r>
    </w:p>
    <w:p w14:paraId="30222DD7" w14:textId="5E78BC8B" w:rsidR="006530EB" w:rsidRDefault="00254823" w:rsidP="006530EB">
      <w:pPr>
        <w:shd w:val="clear" w:color="auto" w:fill="FFFFFF"/>
        <w:tabs>
          <w:tab w:val="left" w:pos="211"/>
        </w:tabs>
        <w:ind w:firstLine="210"/>
        <w:contextualSpacing/>
      </w:pPr>
      <w:r w:rsidRPr="00DF40EA">
        <w:t>ЛБ</w:t>
      </w:r>
      <w:r w:rsidR="006530EB">
        <w:t>Л чаще встречается у мужчин (61–</w:t>
      </w:r>
      <w:r w:rsidRPr="00DF40EA">
        <w:t>75</w:t>
      </w:r>
      <w:r w:rsidR="006530EB">
        <w:t xml:space="preserve"> %). У большинства (58–</w:t>
      </w:r>
      <w:r w:rsidRPr="00DF40EA">
        <w:t>95</w:t>
      </w:r>
      <w:r w:rsidR="006530EB">
        <w:t xml:space="preserve"> </w:t>
      </w:r>
      <w:r w:rsidRPr="00DF40EA">
        <w:t>%) пациентов на момент постановки диагноза заболевание и</w:t>
      </w:r>
      <w:r w:rsidR="006530EB">
        <w:t>меет III–</w:t>
      </w:r>
      <w:r w:rsidRPr="00DF40EA">
        <w:t>IV стадию. У значи</w:t>
      </w:r>
      <w:r w:rsidR="006530EB">
        <w:t>тельной доли пациентов определяю</w:t>
      </w:r>
      <w:r w:rsidRPr="00DF40EA">
        <w:t>тся лихорадка, ночная потли</w:t>
      </w:r>
      <w:r w:rsidR="006530EB">
        <w:t>вость и снижение массы тела (16–</w:t>
      </w:r>
      <w:r w:rsidRPr="00DF40EA">
        <w:t>48</w:t>
      </w:r>
      <w:r w:rsidR="006530EB">
        <w:t xml:space="preserve"> </w:t>
      </w:r>
      <w:r w:rsidRPr="00DF40EA">
        <w:t xml:space="preserve">%), а также повышение активности </w:t>
      </w:r>
      <w:r w:rsidR="00B220C1">
        <w:t>лактатдегидрогеназы (</w:t>
      </w:r>
      <w:r w:rsidR="006530EB">
        <w:t xml:space="preserve">далее – </w:t>
      </w:r>
      <w:r w:rsidRPr="00DF40EA">
        <w:t>ЛДГ</w:t>
      </w:r>
      <w:r w:rsidR="00B220C1">
        <w:t>)</w:t>
      </w:r>
      <w:r w:rsidR="006530EB">
        <w:t xml:space="preserve"> (48–</w:t>
      </w:r>
      <w:r w:rsidRPr="00DF40EA">
        <w:t>84</w:t>
      </w:r>
      <w:r w:rsidR="006530EB">
        <w:t xml:space="preserve"> </w:t>
      </w:r>
      <w:r w:rsidRPr="00DF40EA">
        <w:t xml:space="preserve">%). Частота первичного поражения ЦНС аналогична данному показателю при </w:t>
      </w:r>
      <w:r w:rsidR="006530EB">
        <w:t>ОЛЛ (0–</w:t>
      </w:r>
      <w:r w:rsidRPr="00DF40EA">
        <w:t>10</w:t>
      </w:r>
      <w:r w:rsidR="006530EB">
        <w:t xml:space="preserve"> </w:t>
      </w:r>
      <w:r w:rsidRPr="00DF40EA">
        <w:t xml:space="preserve">%). </w:t>
      </w:r>
      <w:r w:rsidR="00EF50E6">
        <w:rPr>
          <w:szCs w:val="24"/>
        </w:rPr>
        <w:t>Пациент</w:t>
      </w:r>
      <w:r w:rsidR="0091201C">
        <w:rPr>
          <w:szCs w:val="24"/>
        </w:rPr>
        <w:t>ы</w:t>
      </w:r>
      <w:r w:rsidRPr="00DF40EA">
        <w:t xml:space="preserve"> </w:t>
      </w:r>
      <w:r w:rsidR="006530EB">
        <w:t xml:space="preserve">с </w:t>
      </w:r>
      <w:r w:rsidRPr="00DF40EA">
        <w:t>T-клеточной ЛБЛ имеют более молодой возраст по сравнен</w:t>
      </w:r>
      <w:r>
        <w:t xml:space="preserve">ию с </w:t>
      </w:r>
      <w:r w:rsidR="00EF50E6" w:rsidRPr="00EF50E6">
        <w:rPr>
          <w:szCs w:val="24"/>
        </w:rPr>
        <w:t>пациентами с</w:t>
      </w:r>
      <w:r w:rsidR="00EF50E6">
        <w:rPr>
          <w:i/>
          <w:szCs w:val="24"/>
        </w:rPr>
        <w:t xml:space="preserve"> </w:t>
      </w:r>
      <w:r>
        <w:t>B-клеточной ЛБЛ</w:t>
      </w:r>
      <w:r w:rsidR="006530EB">
        <w:t xml:space="preserve"> </w:t>
      </w:r>
      <w:r w:rsidR="00940CF0">
        <w:fldChar w:fldCharType="begin" w:fldLock="1"/>
      </w:r>
      <w:r w:rsidR="002466C9">
        <w:instrText>ADDIN CSL_CITATION {"citationItems":[{"id":"ITEM-1","itemData":{"DOI":"10.1111/ejh.12722","ISSN":"1600-0609","PMID":"26679753","abstract":"Lymphoblastic lymphoma is a rare aggressive neoplasm of T-/B-precursors resembling acute lymphoblastic leukemia, with no or limited bone marrow involvement (&lt;25%), that develops more frequently in children and young adults and is typically characterized by a grossly enlarged mediastinum, and whose diagnostic hallmark is the expression of a T-/B-precursor cell immunophenotype, the T-cell subset accounting for 90% of all cases. The adoption of pediatric-derived, intensive lymphoblastic leukemia-like protocols led to significantly improved results, with survival rates of about 70% and 90% in adults and children, respectively. Adequate central nervous system prophylaxis and mediastinal irradiation contributed to the therapeutic success; however, the role of radiation therapy is debated due to toxicity concerns and the excellent results obtained with radiation-free programs especially in pediatric patients. With these modern schedules, localized radiotherapy and/or hematopoietic stem cell transplants could be generally omitted, and considered only for high-risk patients identified through postinduction computed tomography/positron-emission tomography scans, minimal residual disease analysis, and new genetics and genomics. New clinical studies will have to confirm the value of these assays for risk-oriented therapy, while further therapeutic progress is expected from the introduction of new drugs and targeting agents.","author":[{"dropping-particle":"","family":"Bassan","given":"Renato","non-dropping-particle":"","parse-names":false,"suffix":""},{"dropping-particle":"","family":"Maino","given":"Elena","non-dropping-particle":"","parse-names":false,"suffix":""},{"dropping-particle":"","family":"Cortelazzo","given":"Sergio","non-dropping-particle":"","parse-names":false,"suffix":""}],"container-title":"European journal of haematology","id":"ITEM-1","issue":"5","issued":{"date-parts":[["2016","5"]]},"page":"447-60","title":"Lymphoblastic lymphoma: an updated review on biology, diagnosis, and treatment.","type":"article-journal","volume":"96"},"uris":["http://www.mendeley.com/documents/?uuid=7feba565-014f-3600-86ec-0963b3e847bb"]}],"mendeley":{"formattedCitation":"[13]","plainTextFormattedCitation":"[13]","previouslyFormattedCitation":"[13]"},"properties":{"noteIndex":0},"schema":"https://github.com/citation-style-language/schema/raw/master/csl-citation.json"}</w:instrText>
      </w:r>
      <w:r w:rsidR="00940CF0">
        <w:fldChar w:fldCharType="separate"/>
      </w:r>
      <w:r w:rsidR="00A66456" w:rsidRPr="00A66456">
        <w:rPr>
          <w:noProof/>
        </w:rPr>
        <w:t>[13]</w:t>
      </w:r>
      <w:r w:rsidR="00940CF0">
        <w:fldChar w:fldCharType="end"/>
      </w:r>
      <w:r>
        <w:t>,</w:t>
      </w:r>
      <w:r w:rsidRPr="00917A62">
        <w:t xml:space="preserve"> </w:t>
      </w:r>
      <w:r w:rsidRPr="00DF40EA">
        <w:t>более</w:t>
      </w:r>
      <w:r w:rsidRPr="00917A62">
        <w:t xml:space="preserve"> </w:t>
      </w:r>
      <w:r w:rsidRPr="00DF40EA">
        <w:t>высокую</w:t>
      </w:r>
      <w:r w:rsidRPr="00917A62">
        <w:t xml:space="preserve"> </w:t>
      </w:r>
      <w:r w:rsidRPr="00DF40EA">
        <w:t>частоту</w:t>
      </w:r>
      <w:r w:rsidRPr="00917A62">
        <w:t xml:space="preserve"> </w:t>
      </w:r>
      <w:r w:rsidRPr="00DF40EA">
        <w:t>поражения</w:t>
      </w:r>
      <w:r w:rsidRPr="00917A62">
        <w:t xml:space="preserve"> </w:t>
      </w:r>
      <w:r w:rsidRPr="00DF40EA">
        <w:t>лимфоузлов</w:t>
      </w:r>
      <w:r w:rsidRPr="00917A62">
        <w:t xml:space="preserve"> </w:t>
      </w:r>
      <w:r w:rsidRPr="00DF40EA">
        <w:t>средостения</w:t>
      </w:r>
      <w:r w:rsidRPr="00917A62">
        <w:t xml:space="preserve"> </w:t>
      </w:r>
      <w:r w:rsidRPr="00DF40EA">
        <w:t>и</w:t>
      </w:r>
      <w:r w:rsidRPr="00917A62">
        <w:t xml:space="preserve"> </w:t>
      </w:r>
      <w:r w:rsidR="00027CE4">
        <w:t>КМ</w:t>
      </w:r>
      <w:r>
        <w:t>,</w:t>
      </w:r>
      <w:r w:rsidRPr="00917A62">
        <w:t xml:space="preserve"> </w:t>
      </w:r>
      <w:r>
        <w:t>а также IV стадию заболевания</w:t>
      </w:r>
      <w:r w:rsidRPr="00DF40EA">
        <w:t>, в то время как экстранодальное поражение встреча</w:t>
      </w:r>
      <w:r>
        <w:t>ется чаще при B-клеточных ЛБЛ</w:t>
      </w:r>
      <w:r w:rsidR="006530EB" w:rsidRPr="006530EB">
        <w:t xml:space="preserve"> </w:t>
      </w:r>
      <w:r w:rsidR="00940CF0">
        <w:fldChar w:fldCharType="begin" w:fldLock="1"/>
      </w:r>
      <w:r w:rsidR="002466C9">
        <w:instrText>ADDIN CSL_CITATION {"citationItems":[{"id":"ITEM-1","itemData":{"DOI":"10.1016/j.critrevonc.2017.03.020","ISSN":"1879-0461","PMID":"28427520","abstract":"Lymphoblastic lymphoma (LBL) is a neoplasm of immature B cells committed to the B-(B-LBL) or T-cell lineage (T-LBL) that accounts for approximately 2% of all lymphomas. Although histological features are usually sufficient to distinguish lymphoblastic from mature B- or T-cell neoplasms, of greater importance for diagnosis is the characterization of immunophenotype by flow cytometry. LBL occurs more commonly in children than in adults, mostly in males. A bone marrow involvement &lt;25% (or 20% according to WHO) formally distinguishes LBL from ALL. The prognosis of LBL has dramatically improved with the use of intensive ALL-type chemotherapy regimens, which includes intensive intrathecal chemotherapy prophylaxis and consolidation with mediastinal irradiation. Patients with adverse prognostic features assessed by postinduction CT/positron emission tomography scans (PET) and minimal residual disease analysis (MRD) should be considered for high-dose chemotherapy and stem cell transplantation. Further therapeutic progresses are expected from the introduction of new drugs and targeting agents.","author":[{"dropping-particle":"","family":"Cortelazzo","given":"Sergio","non-dropping-particle":"","parse-names":false,"suffix":""},{"dropping-particle":"","family":"Ferreri","given":"Andrés","non-dropping-particle":"","parse-names":false,"suffix":""},{"dropping-particle":"","family":"Hoelzer","given":"Dieter","non-dropping-particle":"","parse-names":false,"suffix":""},{"dropping-particle":"","family":"Ponzoni","given":"Maurilio","non-dropping-particle":"","parse-names":false,"suffix":""}],"container-title":"Critical reviews in oncology/hematology","id":"ITEM-1","issued":{"date-parts":[["2017","5"]]},"page":"304-317","title":"Lymphoblastic lymphoma.","type":"article-journal","volume":"113"},"uris":["http://www.mendeley.com/documents/?uuid=e2eed080-a739-3358-b728-ef768a4e754e"]}],"mendeley":{"formattedCitation":"[14]","plainTextFormattedCitation":"[14]","previouslyFormattedCitation":"[14]"},"properties":{"noteIndex":0},"schema":"https://github.com/citation-style-language/schema/raw/master/csl-citation.json"}</w:instrText>
      </w:r>
      <w:r w:rsidR="00940CF0">
        <w:fldChar w:fldCharType="separate"/>
      </w:r>
      <w:r w:rsidR="00A66456" w:rsidRPr="00A66456">
        <w:rPr>
          <w:noProof/>
        </w:rPr>
        <w:t>[14]</w:t>
      </w:r>
      <w:r w:rsidR="00940CF0">
        <w:fldChar w:fldCharType="end"/>
      </w:r>
      <w:r w:rsidRPr="00DF40EA">
        <w:t>. В противоположность ОЛЛ при ЛБЛ параметры пе</w:t>
      </w:r>
      <w:r w:rsidR="006530EB">
        <w:t>риферической крови, в частности</w:t>
      </w:r>
      <w:r w:rsidRPr="00DF40EA">
        <w:t xml:space="preserve"> концентрация гемоглобина и количество тромбоцитов в целом</w:t>
      </w:r>
      <w:r w:rsidR="006530EB">
        <w:t>,</w:t>
      </w:r>
      <w:r w:rsidRPr="00DF40EA">
        <w:t xml:space="preserve"> приближа</w:t>
      </w:r>
      <w:r w:rsidR="00B87C87">
        <w:t xml:space="preserve">ются </w:t>
      </w:r>
      <w:r w:rsidRPr="00DF40EA">
        <w:t>к нормальным значениям, что свидетельств</w:t>
      </w:r>
      <w:r w:rsidR="00B87C87">
        <w:t xml:space="preserve">ует </w:t>
      </w:r>
      <w:r w:rsidRPr="00DF40EA">
        <w:t>о потенциально более высоком костно</w:t>
      </w:r>
      <w:r w:rsidR="00F35309">
        <w:t>-</w:t>
      </w:r>
      <w:r w:rsidRPr="00DF40EA">
        <w:t xml:space="preserve">мозговом резерве и лучшей переносимости </w:t>
      </w:r>
      <w:r w:rsidR="006530EB">
        <w:t xml:space="preserve">химиотерапии (далее – </w:t>
      </w:r>
      <w:bookmarkStart w:id="46" w:name="_Toc5373971"/>
      <w:bookmarkStart w:id="47" w:name="_Toc13484802"/>
      <w:r w:rsidR="00644EB6">
        <w:t>ХТ).</w:t>
      </w:r>
    </w:p>
    <w:p w14:paraId="2A454BB3" w14:textId="173F9DBD" w:rsidR="00254823" w:rsidRPr="006C6563" w:rsidRDefault="00101F03" w:rsidP="00101F03">
      <w:pPr>
        <w:pStyle w:val="11"/>
      </w:pPr>
      <w:bookmarkStart w:id="48" w:name="_Toc11747736"/>
      <w:bookmarkStart w:id="49" w:name="_Toc25184486"/>
      <w:bookmarkStart w:id="50" w:name="_Toc64565631"/>
      <w:bookmarkStart w:id="51" w:name="_Toc26796701"/>
      <w:bookmarkEnd w:id="46"/>
      <w:bookmarkEnd w:id="47"/>
      <w:r w:rsidRPr="00C81573">
        <w:lastRenderedPageBreak/>
        <w:t>2. Диагностика заболевания или состояния (группы заболеваний или состояний), медицинские показания и противопоказания к применению методов диагностики</w:t>
      </w:r>
      <w:bookmarkEnd w:id="48"/>
      <w:bookmarkEnd w:id="49"/>
      <w:bookmarkEnd w:id="50"/>
      <w:r w:rsidR="00254823" w:rsidRPr="006C6563">
        <w:t xml:space="preserve"> </w:t>
      </w:r>
      <w:bookmarkEnd w:id="51"/>
    </w:p>
    <w:p w14:paraId="3F75ED84" w14:textId="63E13C14" w:rsidR="00EF50E6" w:rsidRDefault="00EF50E6" w:rsidP="00EF50E6">
      <w:pPr>
        <w:ind w:firstLine="709"/>
        <w:contextualSpacing/>
        <w:rPr>
          <w:i/>
          <w:szCs w:val="24"/>
        </w:rPr>
      </w:pPr>
      <w:r w:rsidRPr="0067428B">
        <w:rPr>
          <w:i/>
          <w:szCs w:val="24"/>
        </w:rPr>
        <w:t xml:space="preserve">Многие рекомендованные методы диагностики заболевания и связанных с ним состояний имеют ограниченную доказательную базу (в соответствии с шкалами оценки </w:t>
      </w:r>
      <w:r w:rsidR="00637FA0">
        <w:t>уровня достоверности доказательств</w:t>
      </w:r>
      <w:r w:rsidR="00637FA0" w:rsidRPr="0067428B">
        <w:rPr>
          <w:i/>
          <w:szCs w:val="24"/>
        </w:rPr>
        <w:t xml:space="preserve"> </w:t>
      </w:r>
      <w:r w:rsidR="00637FA0">
        <w:rPr>
          <w:i/>
          <w:szCs w:val="24"/>
        </w:rPr>
        <w:t xml:space="preserve">(далее – </w:t>
      </w:r>
      <w:r w:rsidRPr="0067428B">
        <w:rPr>
          <w:i/>
          <w:szCs w:val="24"/>
        </w:rPr>
        <w:t>УДД</w:t>
      </w:r>
      <w:r w:rsidR="00637FA0">
        <w:rPr>
          <w:i/>
          <w:szCs w:val="24"/>
        </w:rPr>
        <w:t>)</w:t>
      </w:r>
      <w:r w:rsidRPr="0067428B">
        <w:rPr>
          <w:i/>
          <w:szCs w:val="24"/>
        </w:rPr>
        <w:t xml:space="preserve"> и </w:t>
      </w:r>
      <w:r w:rsidR="00637FA0">
        <w:rPr>
          <w:i/>
          <w:szCs w:val="24"/>
        </w:rPr>
        <w:t xml:space="preserve">уровня убедительноси рекомендаций (далее – </w:t>
      </w:r>
      <w:r w:rsidRPr="0067428B">
        <w:rPr>
          <w:i/>
          <w:szCs w:val="24"/>
        </w:rPr>
        <w:t>УУР</w:t>
      </w:r>
      <w:r w:rsidR="00637FA0">
        <w:rPr>
          <w:i/>
          <w:szCs w:val="24"/>
        </w:rPr>
        <w:t>)</w:t>
      </w:r>
      <w:r w:rsidRPr="0067428B">
        <w:rPr>
          <w:i/>
          <w:szCs w:val="24"/>
        </w:rPr>
        <w:t xml:space="preserve">) по причине </w:t>
      </w:r>
      <w:r w:rsidR="008F5BA5" w:rsidRPr="0067428B">
        <w:rPr>
          <w:i/>
          <w:szCs w:val="24"/>
        </w:rPr>
        <w:t>отсутствия,</w:t>
      </w:r>
      <w:r w:rsidRPr="0067428B">
        <w:rPr>
          <w:i/>
          <w:szCs w:val="24"/>
        </w:rPr>
        <w:t xml:space="preserve"> посвященных им </w:t>
      </w:r>
      <w:r w:rsidR="00FC7AB5">
        <w:rPr>
          <w:i/>
          <w:szCs w:val="24"/>
        </w:rPr>
        <w:t>КИ</w:t>
      </w:r>
      <w:r w:rsidRPr="0067428B">
        <w:rPr>
          <w:i/>
          <w:szCs w:val="24"/>
        </w:rPr>
        <w:t>. Невзирая на это, они являются необходимыми элементами обследования пациента для установления диагноза и выбора тактики лечения, так как более эффективные и доказанные методы в настоящее время не разработаны.</w:t>
      </w:r>
    </w:p>
    <w:p w14:paraId="6ED48004" w14:textId="77777777" w:rsidR="00A80D00" w:rsidRDefault="00A80D00" w:rsidP="004905C2">
      <w:pPr>
        <w:pStyle w:val="2"/>
      </w:pPr>
      <w:bookmarkStart w:id="52" w:name="_Toc5373972"/>
      <w:bookmarkStart w:id="53" w:name="_Toc13484803"/>
      <w:bookmarkStart w:id="54" w:name="_Toc26796702"/>
      <w:bookmarkStart w:id="55" w:name="_Toc64467918"/>
    </w:p>
    <w:p w14:paraId="2A25B27A" w14:textId="4338A310" w:rsidR="00254823" w:rsidRPr="00C0661F" w:rsidRDefault="00254823" w:rsidP="004905C2">
      <w:pPr>
        <w:pStyle w:val="2"/>
      </w:pPr>
      <w:bookmarkStart w:id="56" w:name="_Toc64565632"/>
      <w:r>
        <w:t>2.1</w:t>
      </w:r>
      <w:r w:rsidR="00637FA0">
        <w:t>.</w:t>
      </w:r>
      <w:r w:rsidRPr="001F0738">
        <w:t xml:space="preserve"> Жалобы и анамнез</w:t>
      </w:r>
      <w:bookmarkEnd w:id="52"/>
      <w:bookmarkEnd w:id="53"/>
      <w:bookmarkEnd w:id="54"/>
      <w:bookmarkEnd w:id="55"/>
      <w:bookmarkEnd w:id="56"/>
      <w:r w:rsidRPr="001F0738">
        <w:t xml:space="preserve"> </w:t>
      </w:r>
    </w:p>
    <w:p w14:paraId="033CBDC7" w14:textId="77777777" w:rsidR="00254823" w:rsidRPr="009B70BB" w:rsidRDefault="00637FA0" w:rsidP="00FF4C81">
      <w:pPr>
        <w:numPr>
          <w:ilvl w:val="0"/>
          <w:numId w:val="20"/>
        </w:numPr>
        <w:shd w:val="clear" w:color="auto" w:fill="FFFFFF"/>
        <w:contextualSpacing/>
      </w:pPr>
      <w:r>
        <w:rPr>
          <w:b/>
        </w:rPr>
        <w:t>Рекомендую</w:t>
      </w:r>
      <w:r w:rsidR="00DD2199">
        <w:rPr>
          <w:b/>
        </w:rPr>
        <w:t>тся</w:t>
      </w:r>
      <w:r w:rsidR="00254823">
        <w:rPr>
          <w:b/>
        </w:rPr>
        <w:t xml:space="preserve"> </w:t>
      </w:r>
      <w:r w:rsidR="00254823" w:rsidRPr="009F2972">
        <w:t>всем пациентам</w:t>
      </w:r>
      <w:r w:rsidR="00F73306">
        <w:t xml:space="preserve"> </w:t>
      </w:r>
      <w:r w:rsidR="00F73306" w:rsidRPr="00C0661F">
        <w:t>пациентам</w:t>
      </w:r>
      <w:r w:rsidR="00F73306" w:rsidRPr="003A413B">
        <w:t xml:space="preserve"> </w:t>
      </w:r>
      <w:r w:rsidR="00F73306">
        <w:t>при постановке диагноза, ежедневно в процессе лечения</w:t>
      </w:r>
      <w:r w:rsidR="00254823" w:rsidRPr="009F2972">
        <w:t xml:space="preserve"> </w:t>
      </w:r>
      <w:r w:rsidR="00254823" w:rsidRPr="00AB76DB">
        <w:t>тщательный сбор анамнеза</w:t>
      </w:r>
      <w:r w:rsidR="00254823">
        <w:t xml:space="preserve"> и жалоб</w:t>
      </w:r>
      <w:r w:rsidR="00254823" w:rsidRPr="00AB76DB">
        <w:t xml:space="preserve"> заболевания с уточнением терапии, которая проводилась в связи с данным заболеванием и ранее по поводу других заболеваний, а также подробное описание жалоб </w:t>
      </w:r>
      <w:r w:rsidR="00EF50E6">
        <w:rPr>
          <w:szCs w:val="24"/>
        </w:rPr>
        <w:t>пациентов</w:t>
      </w:r>
      <w:r w:rsidR="00EF50E6">
        <w:t xml:space="preserve"> </w:t>
      </w:r>
      <w:r w:rsidR="00254823">
        <w:t>для верификации</w:t>
      </w:r>
      <w:r w:rsidR="002624F0" w:rsidRPr="002624F0">
        <w:t xml:space="preserve"> </w:t>
      </w:r>
      <w:r w:rsidR="00254823">
        <w:t>диагноза</w:t>
      </w:r>
      <w:r>
        <w:t xml:space="preserve"> </w:t>
      </w:r>
      <w:r w:rsidR="00940CF0">
        <w:fldChar w:fldCharType="begin" w:fldLock="1"/>
      </w:r>
      <w:r w:rsidR="00940CF0">
        <w:instrText>ADDIN CSL_CITATION {"citationItems":[{"id":"ITEM-1","itemData":{"id":"ITEM-1","issued":{"date-parts":[["2012"]]},"number-of-pages":"1056","title":"Программное лечение заболеваний системы крови: Сборник алгоритмов диагностики и протоколов лечения заболеваний системы крови. Под ред. В.Г. Савченко","type":"book"},"uris":["http://www.mendeley.com/documents/?uuid=36484a90-27ae-40a9-a194-b0461fb47d9d"]},{"id":"ITEM-2","itemData":{"author":[{"dropping-particle":"","family":"Савченко","given":"Валерий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доп.","id":"ITEM-2","issued":{"date-parts":[["2007"]]},"page":"409-502","title":"Острые лейкозы","type":"chapter"},"uris":["http://www.mendeley.com/documents/?uuid=08f85f58-ddaa-48eb-b937-65d15d14b213"]},{"id":"ITEM-3","itemData":{"author":[{"dropping-particle":"","family":"Brown","given":"Patrick A","non-dropping-particle":"","parse-names":false,"suffix":""},{"dropping-particle":"","family":"Shah","given":"Bijal","non-dropping-particle":"","parse-names":false,"suffix":""},{"dropping-particle":"","family":"Advani","given":"Anjali","non-dropping-particle":"","parse-names":false,"suffix":""},{"dropping-particle":"","family":"Aoun","given":"Patricia","non-dropping-particle":"","parse-names":false,"suffix":""},{"dropping-particle":"","family":"Bhatnagar","given":"Bhavana","non-dropping-particle":"","parse-names":false,"suffix":""},{"dropping-particle":"","family":"Boyer","given":"Michael W","non-dropping-particle":"","parse-names":false,"suffix":""},{"dropping-particle":"","family":"Bryan","given":"Teresa","non-dropping-particle":"","parse-names":false,"suffix":""},{"dropping-particle":"","family":"Burke","given":"Patrick W","non-dropping-particle":"","parse-names":false,"suffix":""},{"dropping-particle":"","family":"Cassaday","given":"Ryan D","non-dropping-particle":"","parse-names":false,"suffix":""},{"dropping-particle":"","family":"Coutre","given":"Steven E","non-dropping-particle":"","parse-names":false,"suffix":""},{"dropping-particle":"","family":"Coccia","given":"Peter F","non-dropping-particle":"","parse-names":false,"suffix":""},{"dropping-particle":"","family":"DeAngelo","given":"Daniel J","non-dropping-particle":"","parse-names":false,"suffix":""},{"dropping-particle":"","family":"Fathi","given":"Amir","non-dropping-particle":"","parse-names":false,"suffix":""},{"dropping-particle":"","family":"Jain","given":"Nitin","non-dropping-particle":"","parse-names":false,"suffix":""},{"dropping-particle":"","family":"Kirby","given":"Suzanne","non-dropping-particle":"","parse-names":false,"suffix":""},{"dropping-particle":"","family":"Litzow","given":"Mark","non-dropping-particle":"","parse-names":false,"suffix":""},{"dropping-particle":"","family":"Liu","given":"Arthur","non-dropping-particle":"","parse-names":false,"suffix":""},{"dropping-particle":"","family":"Logan","given":"Aaron","non-dropping-particle":"","parse-names":false,"suffix":""},{"dropping-particle":"","family":"Massaro","given":"Stephanie","non-dropping-particle":"","parse-names":false,"suffix":""},{"dropping-particle":"","family":"Mattison","given":"Ryan J","non-dropping-particle":"","parse-names":false,"suffix":""},{"dropping-particle":"","family":"Oluwole","given":"Olalekan","non-dropping-particle":"","parse-names":false,"suffix":""},{"dropping-particle":"","family":"Papadantonakis","given":"Nikolaos","non-dropping-particle":"","parse-names":false,"suffix":""},{"dropping-particle":"","family":"Park","given":"Jae","non-dropping-particle":"","parse-names":false,"suffix":""},{"dropping-particle":"","family":"Rubnitz","given":"Jeffrey E","non-dropping-particle":"","parse-names":false,"suffix":""},{"dropping-particle":"","family":"Uy","given":"Geoffrey L","non-dropping-particle":"","parse-names":false,"suffix":""},{"dropping-particle":"","family":"Wang","given":"Eunice S","non-dropping-particle":"","parse-names":false,"suffix":""},{"dropping-particle":"","family":"Wieduwilt","given":"Matthew","non-dropping-particle":"","parse-names":false,"suffix":""},{"dropping-particle":"","family":"Gregory","given":"Kristina","non-dropping-particle":"","parse-names":false,"suffix":""}],"id":"ITEM-3","issued":{"date-parts":[["2019"]]},"number-of-pages":"115","title":"NCCN Clinical Practice Guidelines in Oncology. Acute Lymphoblastic Leukemia. Version 2.2019","type":"report"},"uris":["http://www.mendeley.com/documents/?uuid=ef92918b-8a57-37b1-bea5-284dfdf15541"]},{"id":"ITEM-4","itemData":{"author":[{"dropping-particle":"","family":"Gökbuget","given":"N.","non-dropping-particle":"","parse-names":false,"suffix":""},{"dropping-particle":"","family":"Bassan","given":"R.","non-dropping-particle":"","parse-names":false,"suffix":""},{"dropping-particle":"","family":"Dombret","given":"H.","non-dropping-particle":"","parse-names":false,"suffix":""},{"dropping-particle":"","family":"Doubek","given":"M.","non-dropping-particle":"","parse-names":false,"suffix":""},{"dropping-particle":"","family":"Fielding","given":"A.K.","non-dropping-particle":"","parse-names":false,"suffix":""},{"dropping-particle":"","family":"Foà","given":"R.","non-dropping-particle":"","parse-names":false,"suffix":""},{"dropping-particle":"","family":"Giebel","given":"S.","non-dropping-particle":"","parse-names":false,"suffix":""},{"dropping-particle":"","family":"Hoelzer","given":"D.","non-dropping-particle":"","parse-names":false,"suffix":""},{"dropping-particle":"","family":"Martinelli","given":"G.","non-dropping-particle":"","parse-names":false,"suffix":""},{"dropping-particle":"","family":"Meloni","given":"G.","non-dropping-particle":"","parse-names":false,"suffix":""},{"dropping-particle":"","family":"Delia Moicean","given":"A.","non-dropping-particle":"","parse-names":false,"suffix":""},{"dropping-particle":"","family":"Ottmann","given":"O.","non-dropping-particle":"","parse-names":false,"suffix":""},{"dropping-particle":"","family":"Piccaluga","given":"P.P.","non-dropping-particle":"","parse-names":false,"suffix":""},{"dropping-particle":"","family":"Ribera","given":"J.M.","non-dropping-particle":"","parse-names":false,"suffix":""},{"dropping-particle":"","family":"Rousselot","given":"P.","non-dropping-particle":"","parse-names":false,"suffix":""},{"dropping-particle":"","family":"Walewski","given":"J.","non-dropping-particle":"","parse-names":false,"suffix":""}],"container-title":"UNI-MED Verlag AG","id":"ITEM-4","issued":{"date-parts":[["2011"]]},"number-of-pages":"204","title":"Recommendations of the European Working Group for Adult ALL (EWALL)","type":"book"},"uris":["http://www.mendeley.com/documents/?uuid=aba58166-cd2b-4f70-bb6a-5fdd9e1b42de"]}],"mendeley":{"formattedCitation":"[1,2,4,5]","plainTextFormattedCitation":"[1,2,4,5]","previouslyFormattedCitation":"[1,2,4,5]"},"properties":{"noteIndex":0},"schema":"https://github.com/citation-style-language/schema/raw/master/csl-citation.json"}</w:instrText>
      </w:r>
      <w:r w:rsidR="00940CF0">
        <w:fldChar w:fldCharType="separate"/>
      </w:r>
      <w:r w:rsidR="00940CF0" w:rsidRPr="002624F0">
        <w:rPr>
          <w:noProof/>
        </w:rPr>
        <w:t>[1,2,4,5]</w:t>
      </w:r>
      <w:r w:rsidR="00940CF0">
        <w:fldChar w:fldCharType="end"/>
      </w:r>
      <w:r w:rsidR="00254823" w:rsidRPr="00AB76DB">
        <w:t xml:space="preserve">. </w:t>
      </w:r>
    </w:p>
    <w:p w14:paraId="4C492B66" w14:textId="77777777" w:rsidR="00254823" w:rsidRDefault="00254823" w:rsidP="00DD2199">
      <w:pPr>
        <w:shd w:val="clear" w:color="auto" w:fill="FFFFFF"/>
        <w:tabs>
          <w:tab w:val="left" w:pos="211"/>
        </w:tabs>
        <w:ind w:firstLine="709"/>
        <w:contextualSpacing/>
        <w:rPr>
          <w:rFonts w:ascii="Arial Unicode MS" w:eastAsia="Arial Unicode MS" w:hAnsi="Arial Unicode MS" w:cs="Arial Unicode MS"/>
          <w:color w:val="000000"/>
          <w:sz w:val="20"/>
          <w:u w:color="000000"/>
        </w:rPr>
      </w:pPr>
      <w:r w:rsidRPr="00AB76DB">
        <w:rPr>
          <w:b/>
        </w:rPr>
        <w:t>Уровень убедительности рекомендаций</w:t>
      </w:r>
      <w:r w:rsidRPr="00AB76DB" w:rsidDel="00670C55">
        <w:rPr>
          <w:b/>
        </w:rPr>
        <w:t xml:space="preserve"> </w:t>
      </w:r>
      <w:r w:rsidR="00637FA0">
        <w:rPr>
          <w:b/>
        </w:rPr>
        <w:t xml:space="preserve">– </w:t>
      </w:r>
      <w:r w:rsidR="002624F0">
        <w:rPr>
          <w:b/>
          <w:lang w:val="en-US"/>
        </w:rPr>
        <w:t>C</w:t>
      </w:r>
      <w:r w:rsidRPr="00AB76DB">
        <w:rPr>
          <w:b/>
        </w:rPr>
        <w:t xml:space="preserve"> (уровень </w:t>
      </w:r>
      <w:r w:rsidRPr="00AB76DB">
        <w:rPr>
          <w:b/>
          <w:spacing w:val="-1"/>
        </w:rPr>
        <w:t xml:space="preserve">достоверности доказательств </w:t>
      </w:r>
      <w:r>
        <w:rPr>
          <w:b/>
        </w:rPr>
        <w:t xml:space="preserve">– </w:t>
      </w:r>
      <w:r w:rsidR="002624F0" w:rsidRPr="002624F0">
        <w:rPr>
          <w:b/>
        </w:rPr>
        <w:t>5</w:t>
      </w:r>
      <w:r w:rsidRPr="00AB76DB">
        <w:rPr>
          <w:b/>
        </w:rPr>
        <w:t>)</w:t>
      </w:r>
      <w:r w:rsidR="00637FA0">
        <w:rPr>
          <w:b/>
        </w:rPr>
        <w:t>.</w:t>
      </w:r>
      <w:r w:rsidRPr="00617969">
        <w:rPr>
          <w:rFonts w:ascii="Arial Unicode MS" w:eastAsia="Arial Unicode MS" w:hAnsi="Arial Unicode MS" w:cs="Arial Unicode MS"/>
          <w:color w:val="000000"/>
          <w:sz w:val="20"/>
          <w:u w:color="000000"/>
        </w:rPr>
        <w:t xml:space="preserve"> </w:t>
      </w:r>
    </w:p>
    <w:p w14:paraId="4B49BD3C" w14:textId="77777777" w:rsidR="00D82DEB" w:rsidRDefault="00D82DEB" w:rsidP="004905C2">
      <w:pPr>
        <w:pStyle w:val="2"/>
      </w:pPr>
      <w:bookmarkStart w:id="57" w:name="_Toc5373973"/>
      <w:bookmarkStart w:id="58" w:name="_Toc13484804"/>
      <w:bookmarkStart w:id="59" w:name="_Toc26796703"/>
      <w:bookmarkStart w:id="60" w:name="_Toc64467919"/>
    </w:p>
    <w:p w14:paraId="2E12B310" w14:textId="53A064D9" w:rsidR="00254823" w:rsidRPr="00C0661F" w:rsidRDefault="00C171A6" w:rsidP="004905C2">
      <w:pPr>
        <w:pStyle w:val="2"/>
      </w:pPr>
      <w:bookmarkStart w:id="61" w:name="_Toc64565633"/>
      <w:r>
        <w:t>2.2</w:t>
      </w:r>
      <w:r w:rsidR="00637FA0">
        <w:t>.</w:t>
      </w:r>
      <w:r>
        <w:t xml:space="preserve"> </w:t>
      </w:r>
      <w:r w:rsidR="00254823" w:rsidRPr="00E27B7D">
        <w:t>Физикальное обследование</w:t>
      </w:r>
      <w:bookmarkEnd w:id="57"/>
      <w:bookmarkEnd w:id="58"/>
      <w:bookmarkEnd w:id="59"/>
      <w:bookmarkEnd w:id="60"/>
      <w:bookmarkEnd w:id="61"/>
    </w:p>
    <w:p w14:paraId="1E6C307A" w14:textId="77777777" w:rsidR="002624F0" w:rsidRPr="002624F0" w:rsidRDefault="00637FA0" w:rsidP="00FF4C81">
      <w:pPr>
        <w:numPr>
          <w:ilvl w:val="0"/>
          <w:numId w:val="19"/>
        </w:numPr>
        <w:ind w:hanging="436"/>
        <w:contextualSpacing/>
        <w:rPr>
          <w:rFonts w:eastAsia="Arial Unicode MS"/>
          <w:color w:val="000000"/>
          <w:u w:color="000000"/>
        </w:rPr>
      </w:pPr>
      <w:r>
        <w:rPr>
          <w:b/>
        </w:rPr>
        <w:t>Рекомендую</w:t>
      </w:r>
      <w:r w:rsidR="00254823" w:rsidRPr="002624F0">
        <w:rPr>
          <w:b/>
        </w:rPr>
        <w:t xml:space="preserve">тся </w:t>
      </w:r>
      <w:r w:rsidR="00254823" w:rsidRPr="00C0661F">
        <w:t>всем пациентам</w:t>
      </w:r>
      <w:r w:rsidR="00F73306" w:rsidRPr="00F86C9F">
        <w:t xml:space="preserve"> </w:t>
      </w:r>
      <w:r w:rsidR="00F73306">
        <w:t>при постановке диагноза, ежедневно в процессе лечения</w:t>
      </w:r>
      <w:r w:rsidR="00254823" w:rsidRPr="002624F0">
        <w:rPr>
          <w:b/>
        </w:rPr>
        <w:t xml:space="preserve"> </w:t>
      </w:r>
      <w:r w:rsidR="00254823">
        <w:t xml:space="preserve">при физикальном осмотре </w:t>
      </w:r>
      <w:r w:rsidR="00254823" w:rsidRPr="00617969">
        <w:t>измерение роста и масс</w:t>
      </w:r>
      <w:r w:rsidR="00254823">
        <w:t>ы тела, температуры тела; оценка</w:t>
      </w:r>
      <w:r w:rsidR="00254823" w:rsidRPr="00617969">
        <w:t xml:space="preserve"> состояния кожных покровов, костно-суставной системы; выявление признаков геморрагического синдрома; наличие гепатоспленомегалии, лимфоаденопатии; наличие признаков дисфункции сердца, легких, печени, органов эндокринной системы </w:t>
      </w:r>
      <w:r w:rsidR="00254823">
        <w:t>для верификации диагноза</w:t>
      </w:r>
      <w:r w:rsidR="00672EAE">
        <w:t xml:space="preserve"> </w:t>
      </w:r>
      <w:r w:rsidR="00940CF0">
        <w:fldChar w:fldCharType="begin" w:fldLock="1"/>
      </w:r>
      <w:r w:rsidR="00940CF0">
        <w:instrText>ADDIN CSL_CITATION {"citationItems":[{"id":"ITEM-1","itemData":{"id":"ITEM-1","issued":{"date-parts":[["2012"]]},"number-of-pages":"1056","title":"Программное лечение заболеваний системы крови: Сборник алгоритмов диагностики и протоколов лечения заболеваний системы крови. Под ред. В.Г. Савченко","type":"book"},"uris":["http://www.mendeley.com/documents/?uuid=36484a90-27ae-40a9-a194-b0461fb47d9d"]},{"id":"ITEM-2","itemData":{"author":[{"dropping-particle":"","family":"Савченко","given":"Валерий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доп.","id":"ITEM-2","issued":{"date-parts":[["2007"]]},"page":"409-502","title":"Острые лейкозы","type":"chapter"},"uris":["http://www.mendeley.com/documents/?uuid=08f85f58-ddaa-48eb-b937-65d15d14b213"]},{"id":"ITEM-3","itemData":{"author":[{"dropping-particle":"","family":"Brown","given":"Patrick A","non-dropping-particle":"","parse-names":false,"suffix":""},{"dropping-particle":"","family":"Shah","given":"Bijal","non-dropping-particle":"","parse-names":false,"suffix":""},{"dropping-particle":"","family":"Advani","given":"Anjali","non-dropping-particle":"","parse-names":false,"suffix":""},{"dropping-particle":"","family":"Aoun","given":"Patricia","non-dropping-particle":"","parse-names":false,"suffix":""},{"dropping-particle":"","family":"Bhatnagar","given":"Bhavana","non-dropping-particle":"","parse-names":false,"suffix":""},{"dropping-particle":"","family":"Boyer","given":"Michael W","non-dropping-particle":"","parse-names":false,"suffix":""},{"dropping-particle":"","family":"Bryan","given":"Teresa","non-dropping-particle":"","parse-names":false,"suffix":""},{"dropping-particle":"","family":"Burke","given":"Patrick W","non-dropping-particle":"","parse-names":false,"suffix":""},{"dropping-particle":"","family":"Cassaday","given":"Ryan D","non-dropping-particle":"","parse-names":false,"suffix":""},{"dropping-particle":"","family":"Coutre","given":"Steven E","non-dropping-particle":"","parse-names":false,"suffix":""},{"dropping-particle":"","family":"Coccia","given":"Peter F","non-dropping-particle":"","parse-names":false,"suffix":""},{"dropping-particle":"","family":"DeAngelo","given":"Daniel J","non-dropping-particle":"","parse-names":false,"suffix":""},{"dropping-particle":"","family":"Fathi","given":"Amir","non-dropping-particle":"","parse-names":false,"suffix":""},{"dropping-particle":"","family":"Jain","given":"Nitin","non-dropping-particle":"","parse-names":false,"suffix":""},{"dropping-particle":"","family":"Kirby","given":"Suzanne","non-dropping-particle":"","parse-names":false,"suffix":""},{"dropping-particle":"","family":"Litzow","given":"Mark","non-dropping-particle":"","parse-names":false,"suffix":""},{"dropping-particle":"","family":"Liu","given":"Arthur","non-dropping-particle":"","parse-names":false,"suffix":""},{"dropping-particle":"","family":"Logan","given":"Aaron","non-dropping-particle":"","parse-names":false,"suffix":""},{"dropping-particle":"","family":"Massaro","given":"Stephanie","non-dropping-particle":"","parse-names":false,"suffix":""},{"dropping-particle":"","family":"Mattison","given":"Ryan J","non-dropping-particle":"","parse-names":false,"suffix":""},{"dropping-particle":"","family":"Oluwole","given":"Olalekan","non-dropping-particle":"","parse-names":false,"suffix":""},{"dropping-particle":"","family":"Papadantonakis","given":"Nikolaos","non-dropping-particle":"","parse-names":false,"suffix":""},{"dropping-particle":"","family":"Park","given":"Jae","non-dropping-particle":"","parse-names":false,"suffix":""},{"dropping-particle":"","family":"Rubnitz","given":"Jeffrey E","non-dropping-particle":"","parse-names":false,"suffix":""},{"dropping-particle":"","family":"Uy","given":"Geoffrey L","non-dropping-particle":"","parse-names":false,"suffix":""},{"dropping-particle":"","family":"Wang","given":"Eunice S","non-dropping-particle":"","parse-names":false,"suffix":""},{"dropping-particle":"","family":"Wieduwilt","given":"Matthew","non-dropping-particle":"","parse-names":false,"suffix":""},{"dropping-particle":"","family":"Gregory","given":"Kristina","non-dropping-particle":"","parse-names":false,"suffix":""}],"id":"ITEM-3","issued":{"date-parts":[["2019"]]},"number-of-pages":"115","title":"NCCN Clinical Practice Guidelines in Oncology. Acute Lymphoblastic Leukemia. Version 2.2019","type":"report"},"uris":["http://www.mendeley.com/documents/?uuid=ef92918b-8a57-37b1-bea5-284dfdf15541"]},{"id":"ITEM-4","itemData":{"author":[{"dropping-particle":"","family":"Gökbuget","given":"N.","non-dropping-particle":"","parse-names":false,"suffix":""},{"dropping-particle":"","family":"Bassan","given":"R.","non-dropping-particle":"","parse-names":false,"suffix":""},{"dropping-particle":"","family":"Dombret","given":"H.","non-dropping-particle":"","parse-names":false,"suffix":""},{"dropping-particle":"","family":"Doubek","given":"M.","non-dropping-particle":"","parse-names":false,"suffix":""},{"dropping-particle":"","family":"Fielding","given":"A.K.","non-dropping-particle":"","parse-names":false,"suffix":""},{"dropping-particle":"","family":"Foà","given":"R.","non-dropping-particle":"","parse-names":false,"suffix":""},{"dropping-particle":"","family":"Giebel","given":"S.","non-dropping-particle":"","parse-names":false,"suffix":""},{"dropping-particle":"","family":"Hoelzer","given":"D.","non-dropping-particle":"","parse-names":false,"suffix":""},{"dropping-particle":"","family":"Martinelli","given":"G.","non-dropping-particle":"","parse-names":false,"suffix":""},{"dropping-particle":"","family":"Meloni","given":"G.","non-dropping-particle":"","parse-names":false,"suffix":""},{"dropping-particle":"","family":"Delia Moicean","given":"A.","non-dropping-particle":"","parse-names":false,"suffix":""},{"dropping-particle":"","family":"Ottmann","given":"O.","non-dropping-particle":"","parse-names":false,"suffix":""},{"dropping-particle":"","family":"Piccaluga","given":"P.P.","non-dropping-particle":"","parse-names":false,"suffix":""},{"dropping-particle":"","family":"Ribera","given":"J.M.","non-dropping-particle":"","parse-names":false,"suffix":""},{"dropping-particle":"","family":"Rousselot","given":"P.","non-dropping-particle":"","parse-names":false,"suffix":""},{"dropping-particle":"","family":"Walewski","given":"J.","non-dropping-particle":"","parse-names":false,"suffix":""}],"container-title":"UNI-MED Verlag AG","id":"ITEM-4","issued":{"date-parts":[["2011"]]},"number-of-pages":"204","title":"Recommendations of the European Working Group for Adult ALL (EWALL)","type":"book"},"uris":["http://www.mendeley.com/documents/?uuid=aba58166-cd2b-4f70-bb6a-5fdd9e1b42de"]}],"mendeley":{"formattedCitation":"[1,2,4,5]","plainTextFormattedCitation":"[1,2,4,5]","previouslyFormattedCitation":"[1,2,4,5]"},"properties":{"noteIndex":0},"schema":"https://github.com/citation-style-language/schema/raw/master/csl-citation.json"}</w:instrText>
      </w:r>
      <w:r w:rsidR="00940CF0">
        <w:fldChar w:fldCharType="separate"/>
      </w:r>
      <w:r w:rsidR="00940CF0" w:rsidRPr="002624F0">
        <w:rPr>
          <w:noProof/>
        </w:rPr>
        <w:t>[1,2,4,5]</w:t>
      </w:r>
      <w:r w:rsidR="00940CF0">
        <w:fldChar w:fldCharType="end"/>
      </w:r>
      <w:r w:rsidR="00940CF0" w:rsidRPr="00672EAE" w:rsidDel="00940CF0">
        <w:t xml:space="preserve"> </w:t>
      </w:r>
      <w:r w:rsidR="002624F0" w:rsidRPr="00672EAE">
        <w:t>.</w:t>
      </w:r>
    </w:p>
    <w:p w14:paraId="378C6C9F" w14:textId="77777777" w:rsidR="00C171A6" w:rsidRPr="002624F0" w:rsidRDefault="00254823" w:rsidP="002624F0">
      <w:pPr>
        <w:ind w:firstLine="720"/>
        <w:contextualSpacing/>
        <w:rPr>
          <w:rFonts w:eastAsia="Arial Unicode MS"/>
          <w:color w:val="000000"/>
          <w:u w:color="000000"/>
        </w:rPr>
      </w:pPr>
      <w:r w:rsidRPr="002624F0">
        <w:rPr>
          <w:b/>
        </w:rPr>
        <w:t>Уровень убедительности рекомендаций</w:t>
      </w:r>
      <w:r w:rsidRPr="002624F0" w:rsidDel="00670C55">
        <w:rPr>
          <w:b/>
        </w:rPr>
        <w:t xml:space="preserve"> </w:t>
      </w:r>
      <w:r w:rsidR="00644EB6">
        <w:rPr>
          <w:b/>
        </w:rPr>
        <w:t xml:space="preserve">– </w:t>
      </w:r>
      <w:r w:rsidR="002624F0">
        <w:rPr>
          <w:b/>
          <w:lang w:val="en-US"/>
        </w:rPr>
        <w:t>C</w:t>
      </w:r>
      <w:r w:rsidRPr="002624F0">
        <w:rPr>
          <w:b/>
        </w:rPr>
        <w:t xml:space="preserve"> (уровень </w:t>
      </w:r>
      <w:r w:rsidRPr="002624F0">
        <w:rPr>
          <w:b/>
          <w:spacing w:val="-1"/>
        </w:rPr>
        <w:t xml:space="preserve">достоверности доказательств </w:t>
      </w:r>
      <w:r w:rsidRPr="002624F0">
        <w:rPr>
          <w:b/>
        </w:rPr>
        <w:t xml:space="preserve">– </w:t>
      </w:r>
      <w:r w:rsidR="002624F0" w:rsidRPr="002624F0">
        <w:rPr>
          <w:b/>
        </w:rPr>
        <w:t>5</w:t>
      </w:r>
      <w:r w:rsidRPr="002624F0">
        <w:rPr>
          <w:b/>
        </w:rPr>
        <w:t>)</w:t>
      </w:r>
      <w:r w:rsidR="00644EB6">
        <w:rPr>
          <w:b/>
        </w:rPr>
        <w:t>.</w:t>
      </w:r>
      <w:r w:rsidRPr="002624F0">
        <w:rPr>
          <w:rFonts w:eastAsia="Arial Unicode MS"/>
          <w:color w:val="000000"/>
          <w:u w:color="000000"/>
        </w:rPr>
        <w:t xml:space="preserve"> </w:t>
      </w:r>
    </w:p>
    <w:p w14:paraId="212FE15C" w14:textId="58B5F714" w:rsidR="00254823" w:rsidRPr="00C60B26" w:rsidRDefault="00254823" w:rsidP="00C171A6">
      <w:pPr>
        <w:ind w:firstLine="709"/>
        <w:contextualSpacing/>
      </w:pPr>
      <w:r>
        <w:rPr>
          <w:b/>
        </w:rPr>
        <w:t xml:space="preserve">Комментарии: </w:t>
      </w:r>
      <w:r w:rsidR="00B220C1">
        <w:rPr>
          <w:i/>
        </w:rPr>
        <w:t>п</w:t>
      </w:r>
      <w:r w:rsidRPr="00FD574D">
        <w:rPr>
          <w:i/>
        </w:rPr>
        <w:t xml:space="preserve">ри физикальном обследовании могут обнаруживаться различной степени </w:t>
      </w:r>
      <w:r w:rsidR="00B220C1">
        <w:rPr>
          <w:i/>
        </w:rPr>
        <w:t xml:space="preserve">выраженности </w:t>
      </w:r>
      <w:r w:rsidRPr="00FD574D">
        <w:rPr>
          <w:i/>
        </w:rPr>
        <w:t xml:space="preserve">бледность кожных покровов, петехиальные высыпания, синяки, кровоточивость десен, повышение температуры тела, лимфоаденопатия, в том числе увеличение небных миндалин, спленомегалия, гепатомегалия, увеличение размеров почек, </w:t>
      </w:r>
      <w:r w:rsidRPr="00FD574D">
        <w:rPr>
          <w:i/>
        </w:rPr>
        <w:lastRenderedPageBreak/>
        <w:t>болезненность при поколачивании костей. Вовлечение кожи при ОЛЛ бывает редко, и если диагностир</w:t>
      </w:r>
      <w:r w:rsidR="00644EB6">
        <w:rPr>
          <w:i/>
        </w:rPr>
        <w:t>уется, то ассоциируется с пре-В-</w:t>
      </w:r>
      <w:r w:rsidRPr="00FD574D">
        <w:rPr>
          <w:i/>
        </w:rPr>
        <w:t>иммунофен</w:t>
      </w:r>
      <w:r>
        <w:rPr>
          <w:i/>
        </w:rPr>
        <w:t>отипом</w:t>
      </w:r>
      <w:r w:rsidR="00940CF0">
        <w:rPr>
          <w:i/>
        </w:rPr>
        <w:t xml:space="preserve"> </w:t>
      </w:r>
      <w:r w:rsidR="00940CF0">
        <w:rPr>
          <w:i/>
        </w:rPr>
        <w:fldChar w:fldCharType="begin" w:fldLock="1"/>
      </w:r>
      <w:r w:rsidR="002466C9">
        <w:rPr>
          <w:i/>
        </w:rPr>
        <w:instrText>ADDIN CSL_CITATION {"citationItems":[{"id":"ITEM-1","itemData":{"ISSN":"0006-4971","PMID":"3422030","abstract":"In a prospective multicenter study, 368 acute lymphoblastic leukemia (ALL) patients aged 15 to 65 years were treated with an intensified induction and reinduction regimen; 272 (73.9%) achieved complete remission (CR). The median remission duration (MRD) is 24.3 months, and the probability of being in continuous CR (CCR) at greater than 5 years is .37. The median survival for all 368 patients is 27.5 months, and the probability of being alive at 5 years is .39. For the 272 patients in remission the median survival is 58.4 months, and the probability of being alive at 5 years is .49. A lower CR rate was seen for patients with bleeding at diagnosis or with splenomegaly/hepatosplenomegaly. The prognostic factors unfavorable for remission duration were time to CR greater than 4 weeks v less than 4 weeks (P = .0002), age greater than 35 years v less than 35 years (P = .0008), leukocyte count greater than 30,000/microL v less than 30,000/microL (P = .0112), and null ALL v common ALL (c-ALL)/T cell ALL (T-ALL) (P = .05). The remission duration correlated strongly (P = .0001) with the number of these independent prognostic factors. In patients with none of these adverse factors the MRD has not yet been reached, with one adverse factor the MRD is 21.9 months, and with two or three adverse factors the MRD is only 9.6 months. For the immunologic subtype T-ALL, the probability of being in CCR at greater than 5 years is .55; for c-ALL, .34; and for null ALL, .24. According to these results, patients were stratified into a low-risk group with a CCR rate of .62 and a high-risk group with a CCR rate of .28, with the latter now allocated to either further chemotherapy or bone marrow transplantation in first remission.","author":[{"dropping-particle":"","family":"Hoelzer","given":"D","non-dropping-particle":"","parse-names":false,"suffix":""},{"dropping-particle":"","family":"Thiel","given":"E","non-dropping-particle":"","parse-names":false,"suffix":""},{"dropping-particle":"","family":"Löffler","given":"H","non-dropping-particle":"","parse-names":false,"suffix":""},{"dropping-particle":"","family":"Büchner","given":"T","non-dropping-particle":"","parse-names":false,"suffix":""},{"dropping-particle":"","family":"Ganser","given":"A","non-dropping-particle":"","parse-names":false,"suffix":""},{"dropping-particle":"","family":"Heil","given":"G","non-dropping-particle":"","parse-names":false,"suffix":""},{"dropping-particle":"","family":"Koch","given":"P","non-dropping-particle":"","parse-names":false,"suffix":""},{"dropping-particle":"","family":"Freund","given":"M","non-dropping-particle":"","parse-names":false,"suffix":""},{"dropping-particle":"","family":"Diedrich","given":"H","non-dropping-particle":"","parse-names":false,"suffix":""},{"dropping-particle":"","family":"Rühl","given":"H","non-dropping-particle":"","parse-names":false,"suffix":""}],"container-title":"Blood","id":"ITEM-1","issue":"1","issued":{"date-parts":[["1988","1"]]},"page":"123-31","title":"Prognostic factors in a multicenter study for treatment of acute lymphoblastic leukemia in adults.","type":"article-journal","volume":"71"},"uris":["http://www.mendeley.com/documents/?uuid=82ae800d-f6a9-370a-9b57-ccaa6e14204b"]}],"mendeley":{"formattedCitation":"[11]","plainTextFormattedCitation":"[11]","previouslyFormattedCitation":"[11]"},"properties":{"noteIndex":0},"schema":"https://github.com/citation-style-language/schema/raw/master/csl-citation.json"}</w:instrText>
      </w:r>
      <w:r w:rsidR="00940CF0">
        <w:rPr>
          <w:i/>
        </w:rPr>
        <w:fldChar w:fldCharType="separate"/>
      </w:r>
      <w:r w:rsidR="00A66456" w:rsidRPr="00A66456">
        <w:rPr>
          <w:noProof/>
        </w:rPr>
        <w:t>[11]</w:t>
      </w:r>
      <w:r w:rsidR="00940CF0">
        <w:rPr>
          <w:i/>
        </w:rPr>
        <w:fldChar w:fldCharType="end"/>
      </w:r>
      <w:r w:rsidRPr="00FD574D">
        <w:rPr>
          <w:i/>
        </w:rPr>
        <w:t>.</w:t>
      </w:r>
      <w:r w:rsidRPr="000D6F40">
        <w:rPr>
          <w:i/>
        </w:rPr>
        <w:t xml:space="preserve"> </w:t>
      </w:r>
    </w:p>
    <w:p w14:paraId="44E558D8" w14:textId="01220A8E" w:rsidR="00254823" w:rsidRPr="007F435A" w:rsidRDefault="00254823" w:rsidP="00FF4C81">
      <w:pPr>
        <w:numPr>
          <w:ilvl w:val="0"/>
          <w:numId w:val="19"/>
        </w:numPr>
        <w:contextualSpacing/>
      </w:pPr>
      <w:r w:rsidRPr="00C0661F">
        <w:rPr>
          <w:b/>
        </w:rPr>
        <w:t>Рекомендуется</w:t>
      </w:r>
      <w:r>
        <w:rPr>
          <w:b/>
        </w:rPr>
        <w:t xml:space="preserve"> </w:t>
      </w:r>
      <w:r w:rsidRPr="00C0661F">
        <w:t>всем пациентам</w:t>
      </w:r>
      <w:r>
        <w:rPr>
          <w:b/>
        </w:rPr>
        <w:t xml:space="preserve"> </w:t>
      </w:r>
      <w:r w:rsidRPr="00E2300F">
        <w:t xml:space="preserve">оценить соматический статус по шкале </w:t>
      </w:r>
      <w:r w:rsidR="00FF7B65" w:rsidRPr="002513F6">
        <w:rPr>
          <w:szCs w:val="24"/>
        </w:rPr>
        <w:t>Восточной кооперативной онкологической группы</w:t>
      </w:r>
      <w:r w:rsidR="00FF7B65" w:rsidRPr="00E2300F">
        <w:t xml:space="preserve"> </w:t>
      </w:r>
      <w:r w:rsidR="00FF7B65" w:rsidRPr="00FF7B65">
        <w:t>(</w:t>
      </w:r>
      <w:r w:rsidR="00FF7B65">
        <w:t xml:space="preserve">далее – </w:t>
      </w:r>
      <w:r w:rsidRPr="00E2300F">
        <w:t>ECOG</w:t>
      </w:r>
      <w:r w:rsidR="00FF7B65">
        <w:t>)</w:t>
      </w:r>
      <w:r w:rsidRPr="00E2300F">
        <w:t xml:space="preserve"> с целью определения необходимого объема и эк</w:t>
      </w:r>
      <w:r>
        <w:t xml:space="preserve">стренности медицинской помощи </w:t>
      </w:r>
      <w:r w:rsidR="005A172A">
        <w:t>(п</w:t>
      </w:r>
      <w:r w:rsidR="00E460E3">
        <w:t>риложение Г1)</w:t>
      </w:r>
      <w:r w:rsidR="00940CF0">
        <w:t xml:space="preserve"> </w:t>
      </w:r>
      <w:r w:rsidR="00940CF0">
        <w:fldChar w:fldCharType="begin" w:fldLock="1"/>
      </w:r>
      <w:r w:rsidR="002466C9">
        <w:instrText>ADDIN CSL_CITATION {"citationItems":[{"id":"ITEM-1","itemData":{"DOI":"10.1097/00000421-198212000-00014","ISSN":"02773732","PMID":"7165009","abstract":"Standard criteria for toxicity and for response to treatment are important prerequisites to the conduct of cancer trials. The Eastern Cooperative Oncology Group criteria for toxicity and response are presented to facilitate future reference and to encourage further standardization among those conducting clinical trials.","author":[{"dropping-particle":"","family":"Oken","given":"M.M.","non-dropping-particle":"","parse-names":false,"suffix":""},{"dropping-particle":"","family":"Creech","given":"R.H.","non-dropping-particle":"","parse-names":false,"suffix":""},{"dropping-particle":"","family":"Tormey","given":"D.C.","non-dropping-particle":"","parse-names":false,"suffix":""},{"dropping-particle":"","family":"Horton","given":"J.","non-dropping-particle":"","parse-names":false,"suffix":""},{"dropping-particle":"","family":"Davis","given":"T.E.","non-dropping-particle":"","parse-names":false,"suffix":""},{"dropping-particle":"","family":"McFadden","given":"E.T.","non-dropping-particle":"","parse-names":false,"suffix":""},{"dropping-particle":"","family":"Carbone","given":"P.P.","non-dropping-particle":"","parse-names":false,"suffix":""}],"container-title":"American Journal of Clinical Oncology","id":"ITEM-1","issue":"6","issued":{"date-parts":[["1982"]]},"page":"649-655","title":"Toxicity and response criteria of the Eastern Cooperative Oncology Group","type":"article-journal","volume":"5"},"uris":["http://www.mendeley.com/documents/?uuid=a75f02f1-b78b-458d-b3c4-9c8b402a67f0"]},{"id":"ITEM-2","itemData":{"DOI":"10.1093/oxfordjournals.annonc.a057981","ISSN":"0923-7534","abstract":"The Karnofsky (K) and ECOG (E) performance status (PS) scales are widely used to evaluate the functional status of cancer patients to determine their eligibility for clinical trials and their prognosis, but knowledge of inter and intraobserver variability of these scales is scarse. We therefore planned a prospective study on 209 consecutive cancer patients to evaluate this critical point. Two independent observers evaluated the KPS and EPS of each patient by interviewing them on the same day. After their interviews the patients were asked to fill in, again on the same day, a self-evaluation scale concerning their ability to perform the routine activities of daily life. The 209 patient self-evaluation scales were presented twice, randomly and blinded, to the two observers who had participated in the evaluation of PS as well as to one other observer who had not. The interobserver correlation for both scales was very high (K = 0.921 for KPS and K = 0.914 for EPS) as was the intraobserver correlation (for KPS: K = 0.993, K = 0.960, and K = 0.959 and, respectively, for EPS: K = 0.982, K = 0.970, and K = 0.920). On the basis of these results, it appears that evaluation of PS made by a clinical oncologist using K or E scales can be very reliable and is a guarantee of optimal selection of cancer patients for inclusion in clinical trials.","author":[{"dropping-particle":"","family":"Roila","given":"F.","non-dropping-particle":"","parse-names":false,"suffix":""},{"dropping-particle":"","family":"Lupattelli","given":"M.","non-dropping-particle":"","parse-names":false,"suffix":""},{"dropping-particle":"","family":"Sassi","given":"M.","non-dropping-particle":"","parse-names":false,"suffix":""},{"dropping-particle":"","family":"Basurto","given":"C.","non-dropping-particle":"","parse-names":false,"suffix":""},{"dropping-particle":"","family":"Bracarda","given":"S.","non-dropping-particle":"","parse-names":false,"suffix":""},{"dropping-particle":"","family":"Picciafuoco","given":"M.","non-dropping-particle":"","parse-names":false,"suffix":""},{"dropping-particle":"","family":"Boschetti","given":"E.","non-dropping-particle":"","parse-names":false,"suffix":""},{"dropping-particle":"","family":"Milella","given":"G.","non-dropping-particle":"","parse-names":false,"suffix":""},{"dropping-particle":"","family":"Ballatori","given":"E.","non-dropping-particle":"","parse-names":false,"suffix":""},{"dropping-particle":"","family":"Tonato","given":"M.","non-dropping-particle":"","parse-names":false,"suffix":""},{"dropping-particle":"Del","family":"Favero","given":"A.","non-dropping-particle":"","parse-names":false,"suffix":""}],"container-title":"Annals of Oncology","id":"ITEM-2","issue":"6","issued":{"date-parts":[["1991","6"]]},"page":"437-439","publisher":"Oxford University Press (OUP)","title":"Intra and interobserver variability in cancer patients' performance status assessed according to Karnofsky and ECOG scales","type":"article-journal","volume":"2"},"uris":["http://www.mendeley.com/documents/?uuid=fc245854-1e92-374a-8743-9234bd5002e1"]}],"mendeley":{"formattedCitation":"[15,16]","plainTextFormattedCitation":"[15,16]","previouslyFormattedCitation":"[15,16]"},"properties":{"noteIndex":0},"schema":"https://github.com/citation-style-language/schema/raw/master/csl-citation.json"}</w:instrText>
      </w:r>
      <w:r w:rsidR="00940CF0">
        <w:fldChar w:fldCharType="separate"/>
      </w:r>
      <w:r w:rsidR="00A66456" w:rsidRPr="00A66456">
        <w:rPr>
          <w:noProof/>
        </w:rPr>
        <w:t>[15,16]</w:t>
      </w:r>
      <w:r w:rsidR="00940CF0">
        <w:fldChar w:fldCharType="end"/>
      </w:r>
      <w:r w:rsidRPr="00E2300F">
        <w:t xml:space="preserve">. </w:t>
      </w:r>
    </w:p>
    <w:p w14:paraId="2D8E28D1" w14:textId="77777777" w:rsidR="00254823" w:rsidRPr="00E2300F" w:rsidRDefault="00254823" w:rsidP="00DD2199">
      <w:pPr>
        <w:ind w:firstLine="709"/>
        <w:contextualSpacing/>
      </w:pPr>
      <w:r w:rsidRPr="00E2300F">
        <w:rPr>
          <w:b/>
        </w:rPr>
        <w:t>Уровень убедительности рекомендаций</w:t>
      </w:r>
      <w:r w:rsidRPr="00E2300F" w:rsidDel="00670C55">
        <w:rPr>
          <w:b/>
        </w:rPr>
        <w:t xml:space="preserve"> </w:t>
      </w:r>
      <w:r w:rsidR="00644EB6">
        <w:rPr>
          <w:b/>
        </w:rPr>
        <w:t xml:space="preserve">– </w:t>
      </w:r>
      <w:r w:rsidRPr="004321BB">
        <w:rPr>
          <w:b/>
        </w:rPr>
        <w:t>В</w:t>
      </w:r>
      <w:r w:rsidRPr="00E2300F">
        <w:rPr>
          <w:b/>
        </w:rPr>
        <w:t xml:space="preserve"> (уровень </w:t>
      </w:r>
      <w:r w:rsidRPr="00E2300F">
        <w:rPr>
          <w:b/>
          <w:spacing w:val="-1"/>
        </w:rPr>
        <w:t xml:space="preserve">достоверности доказательств </w:t>
      </w:r>
      <w:r>
        <w:rPr>
          <w:b/>
        </w:rPr>
        <w:t>– 2</w:t>
      </w:r>
      <w:r w:rsidRPr="00E2300F">
        <w:rPr>
          <w:b/>
        </w:rPr>
        <w:t>)</w:t>
      </w:r>
      <w:r w:rsidR="00644EB6">
        <w:rPr>
          <w:b/>
        </w:rPr>
        <w:t>.</w:t>
      </w:r>
      <w:r w:rsidRPr="00E2300F">
        <w:rPr>
          <w:rFonts w:eastAsia="Arial Unicode MS"/>
          <w:color w:val="000000"/>
          <w:u w:color="000000"/>
        </w:rPr>
        <w:t xml:space="preserve"> </w:t>
      </w:r>
    </w:p>
    <w:p w14:paraId="42B72481" w14:textId="77777777" w:rsidR="00D82DEB" w:rsidRDefault="00D82DEB" w:rsidP="004905C2">
      <w:pPr>
        <w:pStyle w:val="2"/>
      </w:pPr>
      <w:bookmarkStart w:id="62" w:name="_Toc531609329"/>
      <w:bookmarkStart w:id="63" w:name="_Toc5373974"/>
      <w:bookmarkStart w:id="64" w:name="_Toc13484805"/>
      <w:bookmarkStart w:id="65" w:name="_Toc26796704"/>
      <w:bookmarkStart w:id="66" w:name="_Toc64467920"/>
    </w:p>
    <w:p w14:paraId="41C0A54E" w14:textId="66ED8FEB" w:rsidR="00254823" w:rsidRPr="00753296" w:rsidRDefault="00C171A6" w:rsidP="004905C2">
      <w:pPr>
        <w:pStyle w:val="2"/>
      </w:pPr>
      <w:bookmarkStart w:id="67" w:name="_Toc64565634"/>
      <w:r>
        <w:t>2.3</w:t>
      </w:r>
      <w:r w:rsidR="00644EB6">
        <w:t>.</w:t>
      </w:r>
      <w:r>
        <w:t xml:space="preserve"> </w:t>
      </w:r>
      <w:bookmarkEnd w:id="62"/>
      <w:bookmarkEnd w:id="63"/>
      <w:bookmarkEnd w:id="64"/>
      <w:r w:rsidR="00625622" w:rsidRPr="00625622">
        <w:t>Лабораторные диагностические исследования</w:t>
      </w:r>
      <w:bookmarkEnd w:id="65"/>
      <w:bookmarkEnd w:id="66"/>
      <w:bookmarkEnd w:id="67"/>
    </w:p>
    <w:p w14:paraId="169270D6" w14:textId="77777777" w:rsidR="00254823" w:rsidRPr="007F435A" w:rsidRDefault="00254823" w:rsidP="00FF4C81">
      <w:pPr>
        <w:numPr>
          <w:ilvl w:val="0"/>
          <w:numId w:val="19"/>
        </w:numPr>
        <w:contextualSpacing/>
        <w:rPr>
          <w:szCs w:val="26"/>
        </w:rPr>
      </w:pPr>
      <w:bookmarkStart w:id="68" w:name="_Hlk17554670"/>
      <w:r w:rsidRPr="00617969">
        <w:rPr>
          <w:b/>
          <w:szCs w:val="22"/>
        </w:rPr>
        <w:t xml:space="preserve">Рекомендуется </w:t>
      </w:r>
      <w:r w:rsidRPr="00753296">
        <w:rPr>
          <w:szCs w:val="22"/>
        </w:rPr>
        <w:t>всем пациентам</w:t>
      </w:r>
      <w:r w:rsidR="00F73306">
        <w:rPr>
          <w:szCs w:val="22"/>
        </w:rPr>
        <w:t xml:space="preserve"> при постановке диагноза для верификации диагноза, </w:t>
      </w:r>
      <w:r w:rsidR="00F73306" w:rsidRPr="008E7105">
        <w:t>во время лечения для оценки динамики на фоне терапии</w:t>
      </w:r>
      <w:r w:rsidR="00F73306" w:rsidRPr="00617969">
        <w:rPr>
          <w:szCs w:val="22"/>
        </w:rPr>
        <w:t xml:space="preserve"> </w:t>
      </w:r>
      <w:r w:rsidR="00F73306" w:rsidRPr="008E7105">
        <w:t>2</w:t>
      </w:r>
      <w:r w:rsidR="00F73306">
        <w:t>–</w:t>
      </w:r>
      <w:r w:rsidR="00F73306" w:rsidRPr="008E7105">
        <w:t xml:space="preserve">3 раза в неделю </w:t>
      </w:r>
      <w:r w:rsidRPr="00617969">
        <w:rPr>
          <w:szCs w:val="22"/>
        </w:rPr>
        <w:t>выполнение о</w:t>
      </w:r>
      <w:r w:rsidRPr="00617969">
        <w:t xml:space="preserve">бщего </w:t>
      </w:r>
      <w:r w:rsidR="001979B2">
        <w:t xml:space="preserve">(клинического) </w:t>
      </w:r>
      <w:r w:rsidRPr="00617969">
        <w:t xml:space="preserve">анализа крови </w:t>
      </w:r>
      <w:r w:rsidR="00B220C1">
        <w:t>(</w:t>
      </w:r>
      <w:r w:rsidR="00644EB6">
        <w:t xml:space="preserve">далее – </w:t>
      </w:r>
      <w:r w:rsidR="00B220C1">
        <w:t xml:space="preserve">ОАК) </w:t>
      </w:r>
      <w:r w:rsidRPr="00617969">
        <w:t>с подсчетом лейкоцитарной формулы и оп</w:t>
      </w:r>
      <w:r>
        <w:t>ределением числа тромбоцитов</w:t>
      </w:r>
      <w:r w:rsidR="004405A4">
        <w:t xml:space="preserve"> </w:t>
      </w:r>
      <w:r w:rsidR="00940CF0">
        <w:fldChar w:fldCharType="begin" w:fldLock="1"/>
      </w:r>
      <w:r w:rsidR="00940CF0">
        <w:instrText>ADDIN CSL_CITATION {"citationItems":[{"id":"ITEM-1","itemData":{"id":"ITEM-1","issued":{"date-parts":[["2012"]]},"number-of-pages":"1056","title":"Программное лечение заболеваний системы крови: Сборник алгоритмов диагностики и протоколов лечения заболеваний системы крови. Под ред. В.Г. Савченко","type":"book"},"uris":["http://www.mendeley.com/documents/?uuid=36484a90-27ae-40a9-a194-b0461fb47d9d"]},{"id":"ITEM-2","itemData":{"author":[{"dropping-particle":"","family":"Савченко","given":"Валерий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доп.","id":"ITEM-2","issued":{"date-parts":[["2007"]]},"page":"409-502","title":"Острые лейкозы","type":"chapter"},"uris":["http://www.mendeley.com/documents/?uuid=08f85f58-ddaa-48eb-b937-65d15d14b213"]},{"id":"ITEM-3","itemData":{"author":[{"dropping-particle":"","family":"Brown","given":"Patrick A","non-dropping-particle":"","parse-names":false,"suffix":""},{"dropping-particle":"","family":"Shah","given":"Bijal","non-dropping-particle":"","parse-names":false,"suffix":""},{"dropping-particle":"","family":"Advani","given":"Anjali","non-dropping-particle":"","parse-names":false,"suffix":""},{"dropping-particle":"","family":"Aoun","given":"Patricia","non-dropping-particle":"","parse-names":false,"suffix":""},{"dropping-particle":"","family":"Bhatnagar","given":"Bhavana","non-dropping-particle":"","parse-names":false,"suffix":""},{"dropping-particle":"","family":"Boyer","given":"Michael W","non-dropping-particle":"","parse-names":false,"suffix":""},{"dropping-particle":"","family":"Bryan","given":"Teresa","non-dropping-particle":"","parse-names":false,"suffix":""},{"dropping-particle":"","family":"Burke","given":"Patrick W","non-dropping-particle":"","parse-names":false,"suffix":""},{"dropping-particle":"","family":"Cassaday","given":"Ryan D","non-dropping-particle":"","parse-names":false,"suffix":""},{"dropping-particle":"","family":"Coutre","given":"Steven E","non-dropping-particle":"","parse-names":false,"suffix":""},{"dropping-particle":"","family":"Coccia","given":"Peter F","non-dropping-particle":"","parse-names":false,"suffix":""},{"dropping-particle":"","family":"DeAngelo","given":"Daniel J","non-dropping-particle":"","parse-names":false,"suffix":""},{"dropping-particle":"","family":"Fathi","given":"Amir","non-dropping-particle":"","parse-names":false,"suffix":""},{"dropping-particle":"","family":"Jain","given":"Nitin","non-dropping-particle":"","parse-names":false,"suffix":""},{"dropping-particle":"","family":"Kirby","given":"Suzanne","non-dropping-particle":"","parse-names":false,"suffix":""},{"dropping-particle":"","family":"Litzow","given":"Mark","non-dropping-particle":"","parse-names":false,"suffix":""},{"dropping-particle":"","family":"Liu","given":"Arthur","non-dropping-particle":"","parse-names":false,"suffix":""},{"dropping-particle":"","family":"Logan","given":"Aaron","non-dropping-particle":"","parse-names":false,"suffix":""},{"dropping-particle":"","family":"Massaro","given":"Stephanie","non-dropping-particle":"","parse-names":false,"suffix":""},{"dropping-particle":"","family":"Mattison","given":"Ryan J","non-dropping-particle":"","parse-names":false,"suffix":""},{"dropping-particle":"","family":"Oluwole","given":"Olalekan","non-dropping-particle":"","parse-names":false,"suffix":""},{"dropping-particle":"","family":"Papadantonakis","given":"Nikolaos","non-dropping-particle":"","parse-names":false,"suffix":""},{"dropping-particle":"","family":"Park","given":"Jae","non-dropping-particle":"","parse-names":false,"suffix":""},{"dropping-particle":"","family":"Rubnitz","given":"Jeffrey E","non-dropping-particle":"","parse-names":false,"suffix":""},{"dropping-particle":"","family":"Uy","given":"Geoffrey L","non-dropping-particle":"","parse-names":false,"suffix":""},{"dropping-particle":"","family":"Wang","given":"Eunice S","non-dropping-particle":"","parse-names":false,"suffix":""},{"dropping-particle":"","family":"Wieduwilt","given":"Matthew","non-dropping-particle":"","parse-names":false,"suffix":""},{"dropping-particle":"","family":"Gregory","given":"Kristina","non-dropping-particle":"","parse-names":false,"suffix":""}],"id":"ITEM-3","issued":{"date-parts":[["2019"]]},"number-of-pages":"115","title":"NCCN Clinical Practice Guidelines in Oncology. Acute Lymphoblastic Leukemia. Version 2.2019","type":"report"},"uris":["http://www.mendeley.com/documents/?uuid=ef92918b-8a57-37b1-bea5-284dfdf15541"]},{"id":"ITEM-4","itemData":{"author":[{"dropping-particle":"","family":"Gökbuget","given":"N.","non-dropping-particle":"","parse-names":false,"suffix":""},{"dropping-particle":"","family":"Bassan","given":"R.","non-dropping-particle":"","parse-names":false,"suffix":""},{"dropping-particle":"","family":"Dombret","given":"H.","non-dropping-particle":"","parse-names":false,"suffix":""},{"dropping-particle":"","family":"Doubek","given":"M.","non-dropping-particle":"","parse-names":false,"suffix":""},{"dropping-particle":"","family":"Fielding","given":"A.K.","non-dropping-particle":"","parse-names":false,"suffix":""},{"dropping-particle":"","family":"Foà","given":"R.","non-dropping-particle":"","parse-names":false,"suffix":""},{"dropping-particle":"","family":"Giebel","given":"S.","non-dropping-particle":"","parse-names":false,"suffix":""},{"dropping-particle":"","family":"Hoelzer","given":"D.","non-dropping-particle":"","parse-names":false,"suffix":""},{"dropping-particle":"","family":"Martinelli","given":"G.","non-dropping-particle":"","parse-names":false,"suffix":""},{"dropping-particle":"","family":"Meloni","given":"G.","non-dropping-particle":"","parse-names":false,"suffix":""},{"dropping-particle":"","family":"Delia Moicean","given":"A.","non-dropping-particle":"","parse-names":false,"suffix":""},{"dropping-particle":"","family":"Ottmann","given":"O.","non-dropping-particle":"","parse-names":false,"suffix":""},{"dropping-particle":"","family":"Piccaluga","given":"P.P.","non-dropping-particle":"","parse-names":false,"suffix":""},{"dropping-particle":"","family":"Ribera","given":"J.M.","non-dropping-particle":"","parse-names":false,"suffix":""},{"dropping-particle":"","family":"Rousselot","given":"P.","non-dropping-particle":"","parse-names":false,"suffix":""},{"dropping-particle":"","family":"Walewski","given":"J.","non-dropping-particle":"","parse-names":false,"suffix":""}],"container-title":"UNI-MED Verlag AG","id":"ITEM-4","issued":{"date-parts":[["2011"]]},"number-of-pages":"204","title":"Recommendations of the European Working Group for Adult ALL (EWALL)","type":"book"},"uris":["http://www.mendeley.com/documents/?uuid=aba58166-cd2b-4f70-bb6a-5fdd9e1b42de"]}],"mendeley":{"formattedCitation":"[1,2,4,5]","plainTextFormattedCitation":"[1,2,4,5]","previouslyFormattedCitation":"[1,2,4,5]"},"properties":{"noteIndex":0},"schema":"https://github.com/citation-style-language/schema/raw/master/csl-citation.json"}</w:instrText>
      </w:r>
      <w:r w:rsidR="00940CF0">
        <w:fldChar w:fldCharType="separate"/>
      </w:r>
      <w:r w:rsidR="00940CF0" w:rsidRPr="002624F0">
        <w:rPr>
          <w:noProof/>
        </w:rPr>
        <w:t>[1,2,4,5]</w:t>
      </w:r>
      <w:r w:rsidR="00940CF0">
        <w:fldChar w:fldCharType="end"/>
      </w:r>
      <w:r w:rsidR="00940CF0" w:rsidRPr="00617969">
        <w:t>.</w:t>
      </w:r>
      <w:r w:rsidR="00940CF0" w:rsidRPr="00644EB6">
        <w:t xml:space="preserve"> </w:t>
      </w:r>
    </w:p>
    <w:p w14:paraId="0AFF90DF" w14:textId="77777777" w:rsidR="00254823" w:rsidRPr="00617969" w:rsidRDefault="00254823" w:rsidP="00C171A6">
      <w:pPr>
        <w:ind w:firstLine="709"/>
        <w:contextualSpacing/>
        <w:rPr>
          <w:b/>
          <w:szCs w:val="22"/>
        </w:rPr>
      </w:pPr>
      <w:r w:rsidRPr="00617969">
        <w:rPr>
          <w:b/>
          <w:szCs w:val="22"/>
        </w:rPr>
        <w:t>Урове</w:t>
      </w:r>
      <w:r>
        <w:rPr>
          <w:b/>
          <w:szCs w:val="22"/>
        </w:rPr>
        <w:t xml:space="preserve">нь убедительности рекомендаций </w:t>
      </w:r>
      <w:r w:rsidR="006A4FE6">
        <w:rPr>
          <w:b/>
        </w:rPr>
        <w:t xml:space="preserve">– </w:t>
      </w:r>
      <w:r w:rsidR="005675E2">
        <w:rPr>
          <w:b/>
          <w:szCs w:val="22"/>
          <w:lang w:val="en-US"/>
        </w:rPr>
        <w:t>C</w:t>
      </w:r>
      <w:r w:rsidRPr="00617969">
        <w:rPr>
          <w:b/>
          <w:szCs w:val="22"/>
        </w:rPr>
        <w:t xml:space="preserve"> (уровень</w:t>
      </w:r>
      <w:r>
        <w:rPr>
          <w:b/>
          <w:szCs w:val="22"/>
        </w:rPr>
        <w:t xml:space="preserve"> достоверности доказательств – </w:t>
      </w:r>
      <w:r w:rsidR="005675E2" w:rsidRPr="005675E2">
        <w:rPr>
          <w:b/>
          <w:szCs w:val="22"/>
        </w:rPr>
        <w:t>5</w:t>
      </w:r>
      <w:r w:rsidR="00C171A6">
        <w:rPr>
          <w:b/>
          <w:szCs w:val="22"/>
        </w:rPr>
        <w:t>)</w:t>
      </w:r>
      <w:r w:rsidR="006A4FE6">
        <w:rPr>
          <w:b/>
          <w:szCs w:val="22"/>
        </w:rPr>
        <w:t>.</w:t>
      </w:r>
    </w:p>
    <w:p w14:paraId="0965674C" w14:textId="77777777" w:rsidR="00C171A6" w:rsidRDefault="00254823" w:rsidP="00C171A6">
      <w:pPr>
        <w:ind w:firstLine="709"/>
        <w:contextualSpacing/>
        <w:rPr>
          <w:i/>
        </w:rPr>
      </w:pPr>
      <w:r w:rsidRPr="00617969">
        <w:rPr>
          <w:b/>
          <w:szCs w:val="22"/>
        </w:rPr>
        <w:t>Комментарии:</w:t>
      </w:r>
      <w:r w:rsidRPr="00617969">
        <w:rPr>
          <w:i/>
          <w:szCs w:val="22"/>
        </w:rPr>
        <w:t xml:space="preserve"> </w:t>
      </w:r>
      <w:r w:rsidR="00B220C1">
        <w:rPr>
          <w:i/>
          <w:szCs w:val="22"/>
        </w:rPr>
        <w:t>п</w:t>
      </w:r>
      <w:r w:rsidRPr="00A47B1D">
        <w:rPr>
          <w:i/>
        </w:rPr>
        <w:t>ри</w:t>
      </w:r>
      <w:r w:rsidR="00C171A6">
        <w:rPr>
          <w:i/>
        </w:rPr>
        <w:t xml:space="preserve"> диагностике ОЛЛ у части пациентов</w:t>
      </w:r>
      <w:r w:rsidRPr="00A47B1D">
        <w:rPr>
          <w:i/>
        </w:rPr>
        <w:t xml:space="preserve"> показатели крови могут быть нормальными</w:t>
      </w:r>
      <w:r>
        <w:rPr>
          <w:i/>
        </w:rPr>
        <w:t>. Число лейкоцитов может варьировать от 0,5</w:t>
      </w:r>
      <w:r w:rsidR="005675E2" w:rsidRPr="005675E2">
        <w:rPr>
          <w:i/>
        </w:rPr>
        <w:t xml:space="preserve"> </w:t>
      </w:r>
      <w:r w:rsidR="006A4FE6">
        <w:rPr>
          <w:i/>
        </w:rPr>
        <w:t>×</w:t>
      </w:r>
      <w:r w:rsidR="005675E2" w:rsidRPr="005675E2">
        <w:rPr>
          <w:i/>
        </w:rPr>
        <w:t xml:space="preserve"> </w:t>
      </w:r>
      <w:r>
        <w:rPr>
          <w:i/>
        </w:rPr>
        <w:t>10</w:t>
      </w:r>
      <w:r w:rsidRPr="00A47B1D">
        <w:rPr>
          <w:i/>
          <w:vertAlign w:val="superscript"/>
        </w:rPr>
        <w:t>9</w:t>
      </w:r>
      <w:r>
        <w:rPr>
          <w:i/>
        </w:rPr>
        <w:t>/л до 700</w:t>
      </w:r>
      <w:r w:rsidR="005675E2" w:rsidRPr="005675E2">
        <w:rPr>
          <w:i/>
        </w:rPr>
        <w:t xml:space="preserve"> </w:t>
      </w:r>
      <w:r w:rsidR="006A4FE6">
        <w:rPr>
          <w:i/>
        </w:rPr>
        <w:t>×</w:t>
      </w:r>
      <w:r w:rsidR="005675E2" w:rsidRPr="005675E2">
        <w:rPr>
          <w:i/>
        </w:rPr>
        <w:t xml:space="preserve"> </w:t>
      </w:r>
      <w:r>
        <w:rPr>
          <w:i/>
        </w:rPr>
        <w:t>10</w:t>
      </w:r>
      <w:r w:rsidRPr="00A47B1D">
        <w:rPr>
          <w:i/>
          <w:vertAlign w:val="superscript"/>
        </w:rPr>
        <w:t>9</w:t>
      </w:r>
      <w:r>
        <w:rPr>
          <w:i/>
        </w:rPr>
        <w:t xml:space="preserve">/л; </w:t>
      </w:r>
      <w:r w:rsidRPr="00A47B1D">
        <w:rPr>
          <w:i/>
        </w:rPr>
        <w:t>увеличение числа лейкоцитов выше 10,0</w:t>
      </w:r>
      <w:r w:rsidR="005675E2" w:rsidRPr="005675E2">
        <w:rPr>
          <w:i/>
        </w:rPr>
        <w:t xml:space="preserve"> </w:t>
      </w:r>
      <w:r w:rsidR="006A4FE6">
        <w:rPr>
          <w:i/>
        </w:rPr>
        <w:t>×</w:t>
      </w:r>
      <w:r w:rsidR="005675E2" w:rsidRPr="005675E2">
        <w:rPr>
          <w:i/>
        </w:rPr>
        <w:t xml:space="preserve"> </w:t>
      </w:r>
      <w:r w:rsidRPr="00A47B1D">
        <w:rPr>
          <w:i/>
        </w:rPr>
        <w:t>10</w:t>
      </w:r>
      <w:r w:rsidRPr="00A47B1D">
        <w:rPr>
          <w:i/>
          <w:vertAlign w:val="superscript"/>
        </w:rPr>
        <w:t>9</w:t>
      </w:r>
      <w:r w:rsidRPr="00A47B1D">
        <w:rPr>
          <w:i/>
        </w:rPr>
        <w:t>/л</w:t>
      </w:r>
      <w:r>
        <w:rPr>
          <w:i/>
        </w:rPr>
        <w:t xml:space="preserve"> отмечается</w:t>
      </w:r>
      <w:r w:rsidRPr="00A47B1D">
        <w:rPr>
          <w:i/>
        </w:rPr>
        <w:t xml:space="preserve"> у 60</w:t>
      </w:r>
      <w:r w:rsidR="006A4FE6">
        <w:rPr>
          <w:i/>
        </w:rPr>
        <w:t xml:space="preserve"> </w:t>
      </w:r>
      <w:r w:rsidRPr="00A47B1D">
        <w:rPr>
          <w:i/>
        </w:rPr>
        <w:t>%</w:t>
      </w:r>
      <w:r w:rsidRPr="00450528">
        <w:rPr>
          <w:i/>
        </w:rPr>
        <w:t xml:space="preserve"> </w:t>
      </w:r>
      <w:r w:rsidR="00C171A6">
        <w:rPr>
          <w:i/>
        </w:rPr>
        <w:t>пациентов</w:t>
      </w:r>
      <w:r w:rsidRPr="00450528">
        <w:rPr>
          <w:i/>
        </w:rPr>
        <w:t>, выше 100,0</w:t>
      </w:r>
      <w:r w:rsidR="005675E2" w:rsidRPr="005675E2">
        <w:rPr>
          <w:i/>
        </w:rPr>
        <w:t xml:space="preserve"> </w:t>
      </w:r>
      <w:r w:rsidR="006A4FE6">
        <w:rPr>
          <w:i/>
        </w:rPr>
        <w:t>×</w:t>
      </w:r>
      <w:r w:rsidR="005675E2" w:rsidRPr="005675E2">
        <w:rPr>
          <w:i/>
        </w:rPr>
        <w:t xml:space="preserve"> </w:t>
      </w:r>
      <w:r w:rsidRPr="00450528">
        <w:rPr>
          <w:i/>
        </w:rPr>
        <w:t>10</w:t>
      </w:r>
      <w:r w:rsidRPr="00450528">
        <w:rPr>
          <w:i/>
          <w:vertAlign w:val="superscript"/>
        </w:rPr>
        <w:t>9</w:t>
      </w:r>
      <w:r w:rsidRPr="00450528">
        <w:rPr>
          <w:i/>
        </w:rPr>
        <w:t>/л – у 10</w:t>
      </w:r>
      <w:r w:rsidR="006A4FE6">
        <w:rPr>
          <w:i/>
        </w:rPr>
        <w:t xml:space="preserve"> </w:t>
      </w:r>
      <w:r w:rsidRPr="00450528">
        <w:rPr>
          <w:i/>
        </w:rPr>
        <w:t>%; тромбоцитопения менее 50,0</w:t>
      </w:r>
      <w:r w:rsidR="005675E2" w:rsidRPr="005675E2">
        <w:rPr>
          <w:i/>
        </w:rPr>
        <w:t xml:space="preserve"> </w:t>
      </w:r>
      <w:r w:rsidR="006A4FE6">
        <w:rPr>
          <w:i/>
        </w:rPr>
        <w:t>×</w:t>
      </w:r>
      <w:r w:rsidR="005675E2" w:rsidRPr="005675E2">
        <w:rPr>
          <w:i/>
        </w:rPr>
        <w:t xml:space="preserve"> </w:t>
      </w:r>
      <w:r w:rsidRPr="00450528">
        <w:rPr>
          <w:i/>
        </w:rPr>
        <w:t>10</w:t>
      </w:r>
      <w:r w:rsidRPr="00450528">
        <w:rPr>
          <w:i/>
          <w:vertAlign w:val="superscript"/>
        </w:rPr>
        <w:t>9</w:t>
      </w:r>
      <w:r>
        <w:rPr>
          <w:i/>
        </w:rPr>
        <w:t>/л определяется у 60</w:t>
      </w:r>
      <w:r w:rsidR="006A4FE6">
        <w:rPr>
          <w:i/>
        </w:rPr>
        <w:t xml:space="preserve"> </w:t>
      </w:r>
      <w:r>
        <w:rPr>
          <w:i/>
        </w:rPr>
        <w:t xml:space="preserve">% </w:t>
      </w:r>
      <w:r w:rsidR="00C171A6">
        <w:rPr>
          <w:i/>
        </w:rPr>
        <w:t>пациентов.</w:t>
      </w:r>
    </w:p>
    <w:p w14:paraId="12388F80" w14:textId="571B69B3" w:rsidR="00254823" w:rsidRPr="007F435A" w:rsidRDefault="00254823" w:rsidP="00FF4C81">
      <w:pPr>
        <w:numPr>
          <w:ilvl w:val="0"/>
          <w:numId w:val="19"/>
        </w:numPr>
        <w:contextualSpacing/>
        <w:rPr>
          <w:rFonts w:eastAsia="Arial Unicode MS"/>
          <w:i/>
          <w:color w:val="000000"/>
          <w:u w:color="000000"/>
        </w:rPr>
      </w:pPr>
      <w:r w:rsidRPr="00617969">
        <w:rPr>
          <w:b/>
          <w:szCs w:val="22"/>
        </w:rPr>
        <w:t>Рекомендуется</w:t>
      </w:r>
      <w:r>
        <w:rPr>
          <w:b/>
          <w:szCs w:val="22"/>
        </w:rPr>
        <w:t xml:space="preserve"> </w:t>
      </w:r>
      <w:r w:rsidRPr="00753296">
        <w:rPr>
          <w:szCs w:val="22"/>
        </w:rPr>
        <w:t>всем пациентам</w:t>
      </w:r>
      <w:r w:rsidR="00F73306">
        <w:rPr>
          <w:szCs w:val="22"/>
        </w:rPr>
        <w:t xml:space="preserve"> при постановке диагноза</w:t>
      </w:r>
      <w:r w:rsidR="00455588">
        <w:rPr>
          <w:szCs w:val="22"/>
        </w:rPr>
        <w:t xml:space="preserve"> </w:t>
      </w:r>
      <w:r w:rsidR="00455588" w:rsidRPr="00325FCD">
        <w:rPr>
          <w:rFonts w:eastAsia="Arial Unicode MS"/>
          <w:color w:val="000000"/>
          <w:szCs w:val="24"/>
          <w:u w:color="000000"/>
        </w:rPr>
        <w:t xml:space="preserve">для </w:t>
      </w:r>
      <w:r w:rsidR="00455588" w:rsidRPr="00325FCD">
        <w:rPr>
          <w:szCs w:val="24"/>
        </w:rPr>
        <w:t>определения объема опухолевого поражения, в</w:t>
      </w:r>
      <w:r w:rsidR="00455588">
        <w:rPr>
          <w:szCs w:val="24"/>
        </w:rPr>
        <w:t xml:space="preserve">ероятности развития синдрома лизиса опухоли, </w:t>
      </w:r>
      <w:r w:rsidR="0078664A">
        <w:rPr>
          <w:szCs w:val="24"/>
        </w:rPr>
        <w:t xml:space="preserve">а также всем пациентам </w:t>
      </w:r>
      <w:r w:rsidR="00F73306" w:rsidRPr="008E7105">
        <w:t>во время лечения 2 раза в неделю с целью динамики изменений на фоне терапии и выявления осложнений</w:t>
      </w:r>
      <w:r w:rsidRPr="00617969">
        <w:rPr>
          <w:szCs w:val="22"/>
        </w:rPr>
        <w:t xml:space="preserve"> выполнить </w:t>
      </w:r>
      <w:r w:rsidR="001979B2">
        <w:t>анализ</w:t>
      </w:r>
      <w:r w:rsidR="001979B2" w:rsidRPr="00617969">
        <w:t xml:space="preserve"> </w:t>
      </w:r>
      <w:r w:rsidRPr="00617969">
        <w:t xml:space="preserve">крови </w:t>
      </w:r>
      <w:r w:rsidR="001979B2">
        <w:t>биохимический общетерапевтический</w:t>
      </w:r>
      <w:r w:rsidR="001979B2" w:rsidRPr="00617969">
        <w:t xml:space="preserve"> </w:t>
      </w:r>
      <w:r w:rsidRPr="00617969">
        <w:t>(общий белок, белковые фракции, мочевина, креатинин, билирубин,</w:t>
      </w:r>
      <w:r w:rsidRPr="003236C3">
        <w:t xml:space="preserve"> </w:t>
      </w:r>
      <w:r w:rsidR="00B220C1">
        <w:t>аспартатаминотранфераза (</w:t>
      </w:r>
      <w:r w:rsidR="006A4FE6">
        <w:t xml:space="preserve">далее – </w:t>
      </w:r>
      <w:r>
        <w:t>АСТ</w:t>
      </w:r>
      <w:r w:rsidR="00B220C1">
        <w:t>)</w:t>
      </w:r>
      <w:r>
        <w:t xml:space="preserve">, </w:t>
      </w:r>
      <w:r w:rsidR="00B220C1">
        <w:t>аланинаминотрансфераза (</w:t>
      </w:r>
      <w:r w:rsidR="006A4FE6">
        <w:t xml:space="preserve">далее – </w:t>
      </w:r>
      <w:r>
        <w:t>АЛТ</w:t>
      </w:r>
      <w:r w:rsidR="00B220C1">
        <w:t>)</w:t>
      </w:r>
      <w:r>
        <w:t>,</w:t>
      </w:r>
      <w:r w:rsidR="006A4FE6">
        <w:t xml:space="preserve"> </w:t>
      </w:r>
      <w:r w:rsidRPr="00617969">
        <w:t>ЛДГ, магний, натрий, калий, кальций, глюкоза)</w:t>
      </w:r>
      <w:r w:rsidRPr="00617969">
        <w:rPr>
          <w:rFonts w:ascii="Arial Unicode MS" w:eastAsia="Arial Unicode MS" w:hAnsi="Arial Unicode MS" w:cs="Arial Unicode MS"/>
          <w:color w:val="000000"/>
          <w:sz w:val="20"/>
          <w:u w:color="000000"/>
        </w:rPr>
        <w:t xml:space="preserve"> </w:t>
      </w:r>
      <w:r w:rsidR="00940CF0">
        <w:fldChar w:fldCharType="begin" w:fldLock="1"/>
      </w:r>
      <w:r w:rsidR="002466C9">
        <w:instrText>ADDIN CSL_CITATION {"citationItems":[{"id":"ITEM-1","itemData":{"id":"ITEM-1","issued":{"date-parts":[["2012"]]},"number-of-pages":"1056","title":"Программное лечение заболеваний системы крови: Сборник алгоритмов диагностики и протоколов лечения заболеваний системы крови. Под ред. В.Г. Савченко","type":"book"},"uris":["http://www.mendeley.com/documents/?uuid=36484a90-27ae-40a9-a194-b0461fb47d9d"]},{"id":"ITEM-2","itemData":{"author":[{"dropping-particle":"","family":"Савченко","given":"Валерий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доп.","id":"ITEM-2","issued":{"date-parts":[["2007"]]},"page":"409-502","title":"Острые лейкозы","type":"chapter"},"uris":["http://www.mendeley.com/documents/?uuid=08f85f58-ddaa-48eb-b937-65d15d14b213"]},{"id":"ITEM-3","itemData":{"author":[{"dropping-particle":"","family":"Brown","given":"Patrick A","non-dropping-particle":"","parse-names":false,"suffix":""},{"dropping-particle":"","family":"Shah","given":"Bijal","non-dropping-particle":"","parse-names":false,"suffix":""},{"dropping-particle":"","family":"Advani","given":"Anjali","non-dropping-particle":"","parse-names":false,"suffix":""},{"dropping-particle":"","family":"Aoun","given":"Patricia","non-dropping-particle":"","parse-names":false,"suffix":""},{"dropping-particle":"","family":"Bhatnagar","given":"Bhavana","non-dropping-particle":"","parse-names":false,"suffix":""},{"dropping-particle":"","family":"Boyer","given":"Michael W","non-dropping-particle":"","parse-names":false,"suffix":""},{"dropping-particle":"","family":"Bryan","given":"Teresa","non-dropping-particle":"","parse-names":false,"suffix":""},{"dropping-particle":"","family":"Burke","given":"Patrick W","non-dropping-particle":"","parse-names":false,"suffix":""},{"dropping-particle":"","family":"Cassaday","given":"Ryan D","non-dropping-particle":"","parse-names":false,"suffix":""},{"dropping-particle":"","family":"Coutre","given":"Steven E","non-dropping-particle":"","parse-names":false,"suffix":""},{"dropping-particle":"","family":"Coccia","given":"Peter F","non-dropping-particle":"","parse-names":false,"suffix":""},{"dropping-particle":"","family":"DeAngelo","given":"Daniel J","non-dropping-particle":"","parse-names":false,"suffix":""},{"dropping-particle":"","family":"Fathi","given":"Amir","non-dropping-particle":"","parse-names":false,"suffix":""},{"dropping-particle":"","family":"Jain","given":"Nitin","non-dropping-particle":"","parse-names":false,"suffix":""},{"dropping-particle":"","family":"Kirby","given":"Suzanne","non-dropping-particle":"","parse-names":false,"suffix":""},{"dropping-particle":"","family":"Litzow","given":"Mark","non-dropping-particle":"","parse-names":false,"suffix":""},{"dropping-particle":"","family":"Liu","given":"Arthur","non-dropping-particle":"","parse-names":false,"suffix":""},{"dropping-particle":"","family":"Logan","given":"Aaron","non-dropping-particle":"","parse-names":false,"suffix":""},{"dropping-particle":"","family":"Massaro","given":"Stephanie","non-dropping-particle":"","parse-names":false,"suffix":""},{"dropping-particle":"","family":"Mattison","given":"Ryan J","non-dropping-particle":"","parse-names":false,"suffix":""},{"dropping-particle":"","family":"Oluwole","given":"Olalekan","non-dropping-particle":"","parse-names":false,"suffix":""},{"dropping-particle":"","family":"Papadantonakis","given":"Nikolaos","non-dropping-particle":"","parse-names":false,"suffix":""},{"dropping-particle":"","family":"Park","given":"Jae","non-dropping-particle":"","parse-names":false,"suffix":""},{"dropping-particle":"","family":"Rubnitz","given":"Jeffrey E","non-dropping-particle":"","parse-names":false,"suffix":""},{"dropping-particle":"","family":"Uy","given":"Geoffrey L","non-dropping-particle":"","parse-names":false,"suffix":""},{"dropping-particle":"","family":"Wang","given":"Eunice S","non-dropping-particle":"","parse-names":false,"suffix":""},{"dropping-particle":"","family":"Wieduwilt","given":"Matthew","non-dropping-particle":"","parse-names":false,"suffix":""},{"dropping-particle":"","family":"Gregory","given":"Kristina","non-dropping-particle":"","parse-names":false,"suffix":""}],"id":"ITEM-3","issued":{"date-parts":[["2019"]]},"number-of-pages":"115","title":"NCCN Clinical Practice Guidelines in Oncology. Acute Lymphoblastic Leukemia. Version 2.2019","type":"report"},"uris":["http://www.mendeley.com/documents/?uuid=ef92918b-8a57-37b1-bea5-284dfdf15541"]},{"id":"ITEM-4","itemData":{"author":[{"dropping-particle":"","family":"Gökbuget","given":"N.","non-dropping-particle":"","parse-names":false,"suffix":""},{"dropping-particle":"","family":"Bassan","given":"R.","non-dropping-particle":"","parse-names":false,"suffix":""},{"dropping-particle":"","family":"Dombret","given":"H.","non-dropping-particle":"","parse-names":false,"suffix":""},{"dropping-particle":"","family":"Doubek","given":"M.","non-dropping-particle":"","parse-names":false,"suffix":""},{"dropping-particle":"","family":"Fielding","given":"A.K.","non-dropping-particle":"","parse-names":false,"suffix":""},{"dropping-particle":"","family":"Foà","given":"R.","non-dropping-particle":"","parse-names":false,"suffix":""},{"dropping-particle":"","family":"Giebel","given":"S.","non-dropping-particle":"","parse-names":false,"suffix":""},{"dropping-particle":"","family":"Hoelzer","given":"D.","non-dropping-particle":"","parse-names":false,"suffix":""},{"dropping-particle":"","family":"Martinelli","given":"G.","non-dropping-particle":"","parse-names":false,"suffix":""},{"dropping-particle":"","family":"Meloni","given":"G.","non-dropping-particle":"","parse-names":false,"suffix":""},{"dropping-particle":"","family":"Delia Moicean","given":"A.","non-dropping-particle":"","parse-names":false,"suffix":""},{"dropping-particle":"","family":"Ottmann","given":"O.","non-dropping-particle":"","parse-names":false,"suffix":""},{"dropping-particle":"","family":"Piccaluga","given":"P.P.","non-dropping-particle":"","parse-names":false,"suffix":""},{"dropping-particle":"","family":"Ribera","given":"J.M.","non-dropping-particle":"","parse-names":false,"suffix":""},{"dropping-particle":"","family":"Rousselot","given":"P.","non-dropping-particle":"","parse-names":false,"suffix":""},{"dropping-particle":"","family":"Walewski","given":"J.","non-dropping-particle":"","parse-names":false,"suffix":""}],"container-title":"UNI-MED Verlag AG","id":"ITEM-4","issued":{"date-parts":[["2011"]]},"number-of-pages":"204","title":"Recommendations of the European Working Group for Adult ALL (EWALL)","type":"book"},"uris":["http://www.mendeley.com/documents/?uuid=aba58166-cd2b-4f70-bb6a-5fdd9e1b42de"]},{"id":"ITEM-5","itemData":{"author":[{"dropping-particle":"","family":"Kornberg","given":"A","non-dropping-particle":"","parse-names":false,"suffix":""},{"dropping-particle":"","family":"Polliack","given":"A","non-dropping-particle":"","parse-names":false,"suffix":""}],"container-title":"Blood","id":"ITEM-5","issue":"3","issued":{"date-parts":[["1980"]]},"title":"Serum lactic dehydrogenase (LDH) levels in acute leukemia: marked elevations in lymphoblastic leukemia","type":"article-journal","volume":"56"},"uris":["http://www.mendeley.com/documents/?uuid=79c3ee3c-2514-3242-9513-08f708450d9c"]},{"id":"ITEM-6","itemData":{"ISSN":"1077-4114","PMID":"15838391","abstract":"The objective of this study was to determine the frequency of electrolyte perturbations and their relationship with leukemic status before and after chemotherapy in patients with acute lymphocytic leukemia. Blood biochemistry, liver and renal function tests, and renal sonograms were examined at diagnosis and during induction therapy in 334 patients. Renal and electrolyte disturbances were then studied in 116 patients between 3 and 110 months after cessation of the St. Jude chemotherapy treatment protocol. Glomerular filtration rate, electrolyte, protein, and beta-2-microglobulin levels were determined in fresh urine samples, and serum electrolyte levels were examined in blood samples. Renal sonographic examinations and scintigraphic examinations were performed with DMSA and MAG-3. Renal leukemic involvement was detected by sonographic examination in 32 patients who had also presented with hyperphosphatemia or hyperuricemia. Patients with electrolyte disorders at diagnosis were less likely to have tumor lysis syndrome during induction chemotherapy. This may be explained by correction of their electrolyte disorders at the time of diagnosis, which may protect them from tumor lysis syndrome. Hypocalcemia and hyponatremia at the time of diagnosis were found to be significant initial risk factors for renal scan abnormalities and microproteinuria, respectively, during the late therapy period (P &lt; 0.05). Electrolyte abnormalities and renal changes were commonly observed before and after therapy for leukemia. Patients presenting with hypocalcemia and hyponatremia should be examined for microproteinuria and should undergo renal scanning during the late therapy period.","author":[{"dropping-particle":"","family":"Olgar","given":"Seref","non-dropping-particle":"","parse-names":false,"suffix":""},{"dropping-particle":"","family":"Yetgin","given":"Sevgi","non-dropping-particle":"","parse-names":false,"suffix":""},{"dropping-particle":"","family":"Cetin","given":"Mualla","non-dropping-particle":"","parse-names":false,"suffix":""},{"dropping-particle":"","family":"Aras","given":"Tülin","non-dropping-particle":"","parse-names":false,"suffix":""},{"dropping-particle":"","family":"Akhan","given":"Okan","non-dropping-particle":"","parse-names":false,"suffix":""}],"container-title":"Journal of pediatric hematology/oncology","id":"ITEM-6","issue":"4","issued":{"date-parts":[["2005","4"]]},"page":"202-6","title":"Electrolyte abnormalities at diagnosis of acute lymphocytic leukemia may be a clue for renal damage in long-term period.","type":"article-journal","volume":"27"},"uris":["http://www.mendeley.com/documents/?uuid=27894811-4923-3b4f-b33d-34a31df5eada"]}],"mendeley":{"formattedCitation":"[1,2,4,5,17,18]","plainTextFormattedCitation":"[1,2,4,5,17,18]","previouslyFormattedCitation":"[1,2,4,5,17,18]"},"properties":{"noteIndex":0},"schema":"https://github.com/citation-style-language/schema/raw/master/csl-citation.json"}</w:instrText>
      </w:r>
      <w:r w:rsidR="00940CF0">
        <w:fldChar w:fldCharType="separate"/>
      </w:r>
      <w:r w:rsidR="00A66456" w:rsidRPr="00A66456">
        <w:rPr>
          <w:noProof/>
        </w:rPr>
        <w:t>[1,2,4,5,17,18]</w:t>
      </w:r>
      <w:r w:rsidR="00940CF0">
        <w:fldChar w:fldCharType="end"/>
      </w:r>
      <w:r w:rsidRPr="00617969">
        <w:t>.</w:t>
      </w:r>
      <w:r w:rsidRPr="002773A4">
        <w:rPr>
          <w:rFonts w:eastAsia="Arial Unicode MS"/>
          <w:i/>
          <w:color w:val="000000"/>
          <w:u w:color="000000"/>
        </w:rPr>
        <w:t xml:space="preserve"> </w:t>
      </w:r>
    </w:p>
    <w:p w14:paraId="1EE5E084" w14:textId="77777777" w:rsidR="00254823" w:rsidRDefault="00254823" w:rsidP="00C171A6">
      <w:pPr>
        <w:ind w:firstLine="709"/>
        <w:contextualSpacing/>
        <w:rPr>
          <w:b/>
          <w:szCs w:val="22"/>
        </w:rPr>
      </w:pPr>
      <w:r w:rsidRPr="00617969">
        <w:rPr>
          <w:b/>
          <w:szCs w:val="22"/>
        </w:rPr>
        <w:t>Уровень убедительности рекомендаци</w:t>
      </w:r>
      <w:r>
        <w:rPr>
          <w:b/>
          <w:szCs w:val="22"/>
        </w:rPr>
        <w:t xml:space="preserve">й </w:t>
      </w:r>
      <w:r w:rsidR="006A4FE6">
        <w:rPr>
          <w:b/>
        </w:rPr>
        <w:t xml:space="preserve">– </w:t>
      </w:r>
      <w:r w:rsidR="005675E2">
        <w:rPr>
          <w:b/>
          <w:szCs w:val="22"/>
          <w:lang w:val="en-US"/>
        </w:rPr>
        <w:t>C</w:t>
      </w:r>
      <w:r w:rsidRPr="00617969">
        <w:rPr>
          <w:b/>
          <w:szCs w:val="22"/>
        </w:rPr>
        <w:t xml:space="preserve"> (уровень</w:t>
      </w:r>
      <w:r>
        <w:rPr>
          <w:b/>
          <w:szCs w:val="22"/>
        </w:rPr>
        <w:t xml:space="preserve"> достоверности доказательств – </w:t>
      </w:r>
      <w:r w:rsidR="005675E2" w:rsidRPr="0025439D">
        <w:rPr>
          <w:b/>
          <w:szCs w:val="22"/>
        </w:rPr>
        <w:t>5</w:t>
      </w:r>
      <w:r w:rsidR="00C171A6">
        <w:rPr>
          <w:b/>
          <w:szCs w:val="22"/>
        </w:rPr>
        <w:t>)</w:t>
      </w:r>
      <w:r w:rsidR="006A4FE6">
        <w:rPr>
          <w:b/>
          <w:szCs w:val="22"/>
        </w:rPr>
        <w:t>.</w:t>
      </w:r>
    </w:p>
    <w:p w14:paraId="66EBB137" w14:textId="662474DD" w:rsidR="00645529" w:rsidRPr="00FD75F1" w:rsidRDefault="00645529" w:rsidP="00FD75F1">
      <w:pPr>
        <w:pStyle w:val="afff6"/>
        <w:spacing w:before="0" w:beforeAutospacing="0"/>
        <w:rPr>
          <w:rStyle w:val="aff5"/>
          <w:color w:val="000000" w:themeColor="text1"/>
        </w:rPr>
      </w:pPr>
      <w:r w:rsidRPr="00FD75F1">
        <w:rPr>
          <w:rStyle w:val="aff5"/>
          <w:b/>
          <w:i/>
          <w:color w:val="000000" w:themeColor="text1"/>
        </w:rPr>
        <w:t xml:space="preserve">Комментарии: </w:t>
      </w:r>
      <w:r w:rsidRPr="00FD75F1">
        <w:rPr>
          <w:rStyle w:val="aff5"/>
          <w:i/>
          <w:color w:val="000000" w:themeColor="text1"/>
        </w:rPr>
        <w:t>дополнительно при наличии показаний на любом этапе диагностики и лечения О</w:t>
      </w:r>
      <w:r w:rsidR="002135D6" w:rsidRPr="00FD75F1">
        <w:rPr>
          <w:rStyle w:val="aff5"/>
          <w:i/>
          <w:color w:val="000000" w:themeColor="text1"/>
        </w:rPr>
        <w:t>Л</w:t>
      </w:r>
      <w:r w:rsidRPr="00FD75F1">
        <w:rPr>
          <w:rStyle w:val="aff5"/>
          <w:i/>
          <w:color w:val="000000" w:themeColor="text1"/>
        </w:rPr>
        <w:t xml:space="preserve">Л могут исследоваться другие показатели крови: определение </w:t>
      </w:r>
      <w:r w:rsidRPr="00FD75F1">
        <w:rPr>
          <w:b w:val="0"/>
          <w:i/>
          <w:color w:val="000000" w:themeColor="text1"/>
        </w:rPr>
        <w:t xml:space="preserve">изоферментов щелочной фосфатазы в крови, панкреатической амилазы в крови, соотношения белковых фракций методом электрофореза, железа сыворотки крови, трансферрина сыворотки крови, уровня иммуноглобулинов в крови, уровня эритропоэтина крови, уровня </w:t>
      </w:r>
      <w:r w:rsidRPr="00FD75F1">
        <w:rPr>
          <w:b w:val="0"/>
          <w:i/>
          <w:color w:val="000000" w:themeColor="text1"/>
        </w:rPr>
        <w:lastRenderedPageBreak/>
        <w:t>парапротеинов в крови, уровня кальцитонина в крови, тропонинов I, T в крови, прокальцитонина в крови, фолиевой кислоты в сыворотке крови фолиевой кислоты в эритроцитах, исследование функции нефронов по клиренсу креатинина (проба Реберга), тесты тубулярной реабсорбции, и другие.</w:t>
      </w:r>
    </w:p>
    <w:p w14:paraId="73E2F893" w14:textId="35206C44" w:rsidR="00254823" w:rsidRPr="00940CF0" w:rsidRDefault="00254823" w:rsidP="00FF4C81">
      <w:pPr>
        <w:numPr>
          <w:ilvl w:val="0"/>
          <w:numId w:val="19"/>
        </w:numPr>
        <w:contextualSpacing/>
        <w:rPr>
          <w:b/>
          <w:szCs w:val="22"/>
        </w:rPr>
      </w:pPr>
      <w:r w:rsidRPr="00617969">
        <w:rPr>
          <w:b/>
          <w:szCs w:val="22"/>
        </w:rPr>
        <w:t>Рекомендуется</w:t>
      </w:r>
      <w:r w:rsidRPr="00E82A08">
        <w:rPr>
          <w:b/>
          <w:szCs w:val="22"/>
        </w:rPr>
        <w:t xml:space="preserve"> </w:t>
      </w:r>
      <w:r w:rsidRPr="005D5715">
        <w:rPr>
          <w:szCs w:val="22"/>
        </w:rPr>
        <w:t>всем пациентам</w:t>
      </w:r>
      <w:r w:rsidR="0078664A">
        <w:rPr>
          <w:szCs w:val="22"/>
        </w:rPr>
        <w:t xml:space="preserve"> при постановке диагноза </w:t>
      </w:r>
      <w:r w:rsidR="0078664A" w:rsidRPr="005D5715">
        <w:rPr>
          <w:szCs w:val="22"/>
        </w:rPr>
        <w:t xml:space="preserve">для </w:t>
      </w:r>
      <w:r w:rsidR="0078664A" w:rsidRPr="00E82A08">
        <w:rPr>
          <w:szCs w:val="22"/>
        </w:rPr>
        <w:t xml:space="preserve"> </w:t>
      </w:r>
      <w:r w:rsidR="0078664A" w:rsidRPr="005D5715">
        <w:rPr>
          <w:szCs w:val="22"/>
        </w:rPr>
        <w:t>определения вероятности развития тяжелых коагуляционных нарушений, как геморрагических, так и тромботических</w:t>
      </w:r>
      <w:r w:rsidR="0078664A">
        <w:rPr>
          <w:szCs w:val="22"/>
        </w:rPr>
        <w:t xml:space="preserve">, а также </w:t>
      </w:r>
      <w:r w:rsidR="0078664A">
        <w:t>всем пациентам во время лечения 2 раза в неделю, особенно в период введения аспарагиназы**, с целью выявления осложнений на фоне терапии</w:t>
      </w:r>
      <w:r w:rsidRPr="005D5715">
        <w:rPr>
          <w:szCs w:val="22"/>
        </w:rPr>
        <w:t xml:space="preserve"> выполнить исследование свертывающей системы крови (</w:t>
      </w:r>
      <w:r w:rsidR="006A4FE6" w:rsidRPr="005D5715">
        <w:rPr>
          <w:szCs w:val="22"/>
        </w:rPr>
        <w:t xml:space="preserve">активированное частичное тромбопластиновое время (далее – </w:t>
      </w:r>
      <w:r w:rsidRPr="005D5715">
        <w:rPr>
          <w:szCs w:val="22"/>
        </w:rPr>
        <w:t>АЧТВ</w:t>
      </w:r>
      <w:r w:rsidR="006A4FE6" w:rsidRPr="005D5715">
        <w:rPr>
          <w:szCs w:val="22"/>
        </w:rPr>
        <w:t>)</w:t>
      </w:r>
      <w:r w:rsidRPr="005D5715">
        <w:rPr>
          <w:szCs w:val="22"/>
        </w:rPr>
        <w:t>, протромбиновый индекс по Квику, тромбиновое время, фибриноген)</w:t>
      </w:r>
      <w:r w:rsidR="0025439D" w:rsidRPr="005D5715">
        <w:rPr>
          <w:szCs w:val="22"/>
        </w:rPr>
        <w:t xml:space="preserve"> </w:t>
      </w:r>
      <w:r w:rsidR="00325FCD" w:rsidRPr="005D5715">
        <w:rPr>
          <w:szCs w:val="22"/>
        </w:rPr>
        <w:t xml:space="preserve">для </w:t>
      </w:r>
      <w:r w:rsidR="00325FCD" w:rsidRPr="00E82A08">
        <w:rPr>
          <w:szCs w:val="22"/>
        </w:rPr>
        <w:t xml:space="preserve"> </w:t>
      </w:r>
      <w:r w:rsidR="00325FCD" w:rsidRPr="005D5715">
        <w:rPr>
          <w:szCs w:val="22"/>
        </w:rPr>
        <w:t>определения вероятности развития тяжелых коагуляционных нарушений, как геморрагических, так и тромботических</w:t>
      </w:r>
      <w:r w:rsidR="00325FCD" w:rsidRPr="00940CF0">
        <w:rPr>
          <w:szCs w:val="22"/>
        </w:rPr>
        <w:t xml:space="preserve"> </w:t>
      </w:r>
      <w:r w:rsidR="00652C2B">
        <w:rPr>
          <w:szCs w:val="22"/>
        </w:rPr>
        <w:fldChar w:fldCharType="begin" w:fldLock="1"/>
      </w:r>
      <w:r w:rsidR="002466C9">
        <w:rPr>
          <w:szCs w:val="22"/>
        </w:rPr>
        <w:instrText>ADDIN CSL_CITATION {"citationItems":[{"id":"ITEM-1","itemData":{"DOI":"10.1182/blood-2008-08-175745","ISSN":"00064971","abstract":"A population-based cohort was used to determine the incidence and risk factors associated with development of venous thromboembolism (VTE) among Californians diagnosed with acute leukemia between 1993 to 1999. Principal outcomes were deep vein thrombosis in both the lower and upper extremities, pulmonary embolism, and mortality. Among 5394 cases with acute myelogenous leukemia (AML), the 2-year cumulative incidence of VTE was 281 (5.2%). Sixty-four percent of the VTE events occurred within 3 months of AML diagnosis. In AML patients, female sex, older age, number of chronic comorbidities, and presence of a catheter were significant predictors of development of VTE within 1 year. A diagnosis of VTE was not associated with reduced survival in AML patients. Among 2482 cases with acute lymphoblastic leukemia (ALL), the 2-year incidence of VTE in ALL was 4.5%. Risk factors for VTE were presence of a central venous catheter, older age, and number of chronic comorbidities. In the patients with ALL, development of VTE was associated with a 40% increase in the risk of dying within 1 year. The incidence of VTE in acute leukemia is appreciable, and is comparable with the incidence in many solid tumors.","author":[{"dropping-particle":"","family":"Ku","given":"Grace H.","non-dropping-particle":"","parse-names":false,"suffix":""},{"dropping-particle":"","family":"White","given":"Richard H.","non-dropping-particle":"","parse-names":false,"suffix":""},{"dropping-particle":"","family":"Chew","given":"Helen K.","non-dropping-particle":"","parse-names":false,"suffix":""},{"dropping-particle":"","family":"Harvey","given":"Danielle J.","non-dropping-particle":"","parse-names":false,"suffix":""},{"dropping-particle":"","family":"Zhou","given":"Hong","non-dropping-particle":"","parse-names":false,"suffix":""},{"dropping-particle":"","family":"Wun","given":"Ted","non-dropping-particle":"","parse-names":false,"suffix":""}],"container-title":"Blood","id":"ITEM-1","issue":"17","issued":{"date-parts":[["2009"]]},"page":"3911-3917","title":"Venous thromboembolism in patients with acute leukemia: Incidence, risk factors, and effect on survival","type":"article-journal","volume":"113"},"uris":["http://www.mendeley.com/documents/?uuid=b53c8ec8-1f69-3994-b4b4-099a74477279"]},{"id":"ITEM-2","itemData":{"ISSN":"0902-4441","PMID":"7628593","abstract":"Haemorrhagic diathesis is the commonest cause of morbidity and mortality in acute leukaemias (AL). It is most commonly due to thrombocytopenia resulting from bone marrow failure. However, in a significant number of cases, disseminated intravascular coagulation (DIC) plays an important part. Previously it was thought that this mechanism was mainly confined to acute promyelocytic leukaemia (APL), but recently it has also been reported to occur in other subtypes of acute leukaemia. We report the results of a study carried out to find the incidence of DIC in various types of AL at the time of first diagnosis and in the absence of other recognisable causes. DIC was observed in 14(13.4%) cases out of 104 cases of AL studied. Nine out of 49(18.4%) cases of AML and 5 out of 55(9.1%) cases of acute lymphoblastic leukaemia (ALL) showed coagulation abnormalities consistent with DIC. Out of the 9 cases of AML showing DIC, 63 (66.67%) belonged to APL (FAB ME) subtype. Three (60%) out of 5 cases of ALL with DIC had T-cell immunophenotype. The results indicate that DIC may also occur in types of AL other than APL, particularly in T-ALL, and should be looked for.","author":[{"dropping-particle":"","family":"Nur","given":"S","non-dropping-particle":"","parse-names":false,"suffix":""},{"dropping-particle":"","family":"Anwar","given":"M","non-dropping-particle":"","parse-names":false,"suffix":""},{"dropping-particle":"","family":"Saleem","given":"M","non-dropping-particle":"","parse-names":false,"suffix":""},{"dropping-particle":"","family":"Ahmad","given":"P A","non-dropping-particle":"","parse-names":false,"suffix":""}],"container-title":"European journal of haematology","id":"ITEM-2","issue":"2","issued":{"date-parts":[["1995","8"]]},"page":"78-82","title":"Disseminated intravascular coagulation in acute leukaemias at first diagnosis.","type":"article-journal","volume":"55"},"uris":["http://www.mendeley.com/documents/?uuid=c0c4c33c-dd51-3262-8104-9d38fb0ae42a"]},{"id":"ITEM-3","itemData":{"ISSN":"0145-2126","PMID":"1405706","abstract":"Factors and inhibitors of coagulation and fibrinolysis were investigated on admission in 57 patients with acute leukaemia and they were correlated to the occurrence of haemorrhage. Coagulation disturbances were found in 98%. Seventeen of the patients with haemorrhagic symptoms had major bleeding. Severe thrombocytopenia (&lt; 20 x 10(9)/l) was found in 16%. Patients with major bleedings had significantly lower concentrations of prothrombin complex, fibrinogen, protein C and platelets. Low levels of antiplasmin and fibrinogen were characteristic of 'bleeders' with promyelocytic and lymphoblastic leukaemia. We found a positive correlation between vWF:Ag and leukaemic cell count especially in lymphoblastic leukaemia (ks = 0.72). Reduced levels of antithrombin indicated a poorer prognosis.","author":[{"dropping-particle":"","family":"Törnebohm","given":"E","non-dropping-particle":"","parse-names":false,"suffix":""},{"dropping-particle":"","family":"Blombäck","given":"M","non-dropping-particle":"","parse-names":false,"suffix":""},{"dropping-particle":"","family":"Lockner","given":"D","non-dropping-particle":"","parse-names":false,"suffix":""},{"dropping-particle":"","family":"Egberg","given":"N","non-dropping-particle":"","parse-names":false,"suffix":""},{"dropping-particle":"","family":"Paul","given":"C","non-dropping-particle":"","parse-names":false,"suffix":""}],"container-title":"Leukemia research","id":"ITEM-3","issue":"10","issued":{"date-parts":[["1992","10"]]},"page":"1041-8","title":"Bleeding complications and coagulopathy in acute leukaemia.","type":"article-journal","volume":"16"},"uris":["http://www.mendeley.com/documents/?uuid=04eccd00-b261-3f64-afa9-5e69fc04ba01"]},{"id":"ITEM-4","itemData":{"author":[{"dropping-particle":"","family":"Галстян","given":"Г.М.","non-dropping-particle":"","parse-names":false,"suffix":""},{"dropping-particle":"","family":"Полеводова","given":"О.А.","non-dropping-particle":"","parse-names":false,"suffix":""},{"dropping-particle":"","family":"Баженов","given":"А.В.","non-dropping-particle":"","parse-names":false,"suffix":""},{"dropping-particle":"","family":"Троицкая","given":"В.В.","non-dropping-particle":"","parse-names":false,"suffix":""},{"dropping-particle":"","family":"Гаврилина","given":"О.А.","non-dropping-particle":"","parse-names":false,"suffix":""},{"dropping-particle":"","family":"Гительзон","given":"Д.Г.","non-dropping-particle":"","parse-names":false,"suffix":""},{"dropping-particle":"","family":"Васильев","given":"А.Э.","non-dropping-particle":"","parse-names":false,"suffix":""},{"dropping-particle":"","family":"Паровичникова","given":"Е.Н.","non-dropping-particle":"","parse-names":false,"suffix":""}],"container-title":"Клиническая онкогематология.","id":"ITEM-4","issue":"1","issued":{"date-parts":[["2018"]]},"page":"89-99","title":"Тромбогеморрагические осложнения при лечении больных острым лимфобластным лейкозом L-аспарагиназой.","type":"article-journal","volume":"11"},"uris":["http://www.mendeley.com/documents/?uuid=c83a2b57-de48-40f7-9f74-957d5c704d1a"]}],"mendeley":{"formattedCitation":"[19–22]","plainTextFormattedCitation":"[19–22]","previouslyFormattedCitation":"[19–22]"},"properties":{"noteIndex":0},"schema":"https://github.com/citation-style-language/schema/raw/master/csl-citation.json"}</w:instrText>
      </w:r>
      <w:r w:rsidR="00652C2B">
        <w:rPr>
          <w:szCs w:val="22"/>
        </w:rPr>
        <w:fldChar w:fldCharType="separate"/>
      </w:r>
      <w:r w:rsidR="00A66456" w:rsidRPr="00A66456">
        <w:rPr>
          <w:noProof/>
          <w:szCs w:val="22"/>
        </w:rPr>
        <w:t>[19–22]</w:t>
      </w:r>
      <w:r w:rsidR="00652C2B">
        <w:rPr>
          <w:szCs w:val="22"/>
        </w:rPr>
        <w:fldChar w:fldCharType="end"/>
      </w:r>
      <w:r w:rsidRPr="005D5715">
        <w:rPr>
          <w:szCs w:val="22"/>
        </w:rPr>
        <w:t>.</w:t>
      </w:r>
    </w:p>
    <w:p w14:paraId="65670A53" w14:textId="77777777" w:rsidR="00254823" w:rsidRDefault="00254823" w:rsidP="00C171A6">
      <w:pPr>
        <w:ind w:firstLine="709"/>
        <w:contextualSpacing/>
        <w:rPr>
          <w:b/>
          <w:szCs w:val="22"/>
        </w:rPr>
      </w:pPr>
      <w:r w:rsidRPr="00617969">
        <w:rPr>
          <w:b/>
          <w:szCs w:val="22"/>
        </w:rPr>
        <w:t>Урове</w:t>
      </w:r>
      <w:r>
        <w:rPr>
          <w:b/>
          <w:szCs w:val="22"/>
        </w:rPr>
        <w:t xml:space="preserve">нь убедительности рекомендаций </w:t>
      </w:r>
      <w:r w:rsidR="002413DE">
        <w:rPr>
          <w:b/>
          <w:szCs w:val="22"/>
        </w:rPr>
        <w:t xml:space="preserve">– </w:t>
      </w:r>
      <w:r w:rsidRPr="004321BB">
        <w:rPr>
          <w:b/>
          <w:szCs w:val="22"/>
        </w:rPr>
        <w:t>В</w:t>
      </w:r>
      <w:r w:rsidRPr="00617969">
        <w:rPr>
          <w:b/>
          <w:szCs w:val="22"/>
        </w:rPr>
        <w:t xml:space="preserve"> (уровень </w:t>
      </w:r>
      <w:r>
        <w:rPr>
          <w:b/>
          <w:szCs w:val="22"/>
        </w:rPr>
        <w:t xml:space="preserve">достоверности </w:t>
      </w:r>
      <w:bookmarkEnd w:id="68"/>
      <w:r>
        <w:rPr>
          <w:b/>
          <w:szCs w:val="22"/>
        </w:rPr>
        <w:t>доказательств – 2</w:t>
      </w:r>
      <w:r w:rsidR="00C171A6">
        <w:rPr>
          <w:b/>
          <w:szCs w:val="22"/>
        </w:rPr>
        <w:t>)</w:t>
      </w:r>
      <w:r w:rsidR="002413DE">
        <w:rPr>
          <w:b/>
          <w:szCs w:val="22"/>
        </w:rPr>
        <w:t>.</w:t>
      </w:r>
    </w:p>
    <w:p w14:paraId="3168BFD0" w14:textId="77777777" w:rsidR="0076641A" w:rsidRPr="00FD75F1" w:rsidRDefault="0076641A" w:rsidP="00FD75F1">
      <w:pPr>
        <w:pStyle w:val="afff7"/>
        <w:spacing w:beforeAutospacing="0" w:afterAutospacing="0"/>
        <w:ind w:firstLine="708"/>
        <w:contextualSpacing/>
        <w:jc w:val="both"/>
        <w:rPr>
          <w:rStyle w:val="aff5"/>
          <w:b w:val="0"/>
          <w:bCs w:val="0"/>
          <w:color w:val="000000" w:themeColor="text1"/>
        </w:rPr>
      </w:pPr>
      <w:r w:rsidRPr="00FD75F1">
        <w:rPr>
          <w:rStyle w:val="aff5"/>
          <w:color w:val="000000" w:themeColor="text1"/>
        </w:rPr>
        <w:t xml:space="preserve">Комментарии: </w:t>
      </w:r>
      <w:r w:rsidRPr="00FD75F1">
        <w:rPr>
          <w:rStyle w:val="aff5"/>
          <w:i/>
          <w:color w:val="000000" w:themeColor="text1"/>
        </w:rPr>
        <w:t>п</w:t>
      </w:r>
      <w:r w:rsidRPr="00FD75F1">
        <w:rPr>
          <w:i/>
          <w:color w:val="000000" w:themeColor="text1"/>
        </w:rPr>
        <w:t xml:space="preserve">ри наличии показаний исследуются другие параметры коагуляции (исследование уровня продуктов паракоагуляции в крови, протеина C в крови, протеина S в крови, антитромбина </w:t>
      </w:r>
      <w:r w:rsidRPr="00FD75F1">
        <w:rPr>
          <w:i/>
          <w:color w:val="000000" w:themeColor="text1"/>
          <w:lang w:val="en-US"/>
        </w:rPr>
        <w:t>III</w:t>
      </w:r>
      <w:r w:rsidRPr="00FD75F1">
        <w:rPr>
          <w:i/>
          <w:color w:val="000000" w:themeColor="text1"/>
        </w:rPr>
        <w:t>, и другие).</w:t>
      </w:r>
    </w:p>
    <w:p w14:paraId="3D03F3C9" w14:textId="197B5E60" w:rsidR="00254823" w:rsidRDefault="00254823" w:rsidP="00FF4C81">
      <w:pPr>
        <w:numPr>
          <w:ilvl w:val="0"/>
          <w:numId w:val="19"/>
        </w:numPr>
        <w:contextualSpacing/>
        <w:rPr>
          <w:i/>
          <w:lang w:eastAsia="zh-CN"/>
        </w:rPr>
      </w:pPr>
      <w:r w:rsidRPr="00617969">
        <w:rPr>
          <w:b/>
          <w:szCs w:val="22"/>
        </w:rPr>
        <w:t>Рекомендуется</w:t>
      </w:r>
      <w:r w:rsidRPr="00617969">
        <w:rPr>
          <w:szCs w:val="22"/>
        </w:rPr>
        <w:t xml:space="preserve"> </w:t>
      </w:r>
      <w:r>
        <w:rPr>
          <w:szCs w:val="22"/>
        </w:rPr>
        <w:t xml:space="preserve">всем пациентам </w:t>
      </w:r>
      <w:r w:rsidRPr="00617969">
        <w:rPr>
          <w:szCs w:val="22"/>
        </w:rPr>
        <w:t xml:space="preserve">выполнить </w:t>
      </w:r>
      <w:r w:rsidRPr="00617969">
        <w:t>исследование общего</w:t>
      </w:r>
      <w:r w:rsidR="008E3C89">
        <w:t xml:space="preserve"> (клинического</w:t>
      </w:r>
      <w:r w:rsidR="008E3C89" w:rsidRPr="00D04AF0">
        <w:t>)</w:t>
      </w:r>
      <w:r w:rsidR="008E3C89">
        <w:t xml:space="preserve"> </w:t>
      </w:r>
      <w:r w:rsidRPr="00617969">
        <w:t xml:space="preserve"> анализа мочи</w:t>
      </w:r>
      <w:r>
        <w:t xml:space="preserve"> с целью исключения поражения почек</w:t>
      </w:r>
      <w:r w:rsidR="00940CF0">
        <w:t xml:space="preserve"> </w:t>
      </w:r>
      <w:r w:rsidR="00940CF0">
        <w:fldChar w:fldCharType="begin" w:fldLock="1"/>
      </w:r>
      <w:r w:rsidR="002466C9">
        <w:instrText>ADDIN CSL_CITATION {"citationItems":[{"id":"ITEM-1","itemData":{"id":"ITEM-1","issued":{"date-parts":[["2012"]]},"number-of-pages":"1056","title":"Программное лечение заболеваний системы крови: Сборник алгоритмов диагностики и протоколов лечения заболеваний системы крови. Под ред. В.Г. Савченко","type":"book"},"uris":["http://www.mendeley.com/documents/?uuid=36484a90-27ae-40a9-a194-b0461fb47d9d"]},{"id":"ITEM-2","itemData":{"author":[{"dropping-particle":"","family":"Савченко","given":"Валерий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доп.","id":"ITEM-2","issued":{"date-parts":[["2007"]]},"page":"409-502","title":"Острые лейкозы","type":"chapter"},"uris":["http://www.mendeley.com/documents/?uuid=08f85f58-ddaa-48eb-b937-65d15d14b213"]},{"id":"ITEM-3","itemData":{"author":[{"dropping-particle":"","family":"Brown","given":"Patrick A","non-dropping-particle":"","parse-names":false,"suffix":""},{"dropping-particle":"","family":"Shah","given":"Bijal","non-dropping-particle":"","parse-names":false,"suffix":""},{"dropping-particle":"","family":"Advani","given":"Anjali","non-dropping-particle":"","parse-names":false,"suffix":""},{"dropping-particle":"","family":"Aoun","given":"Patricia","non-dropping-particle":"","parse-names":false,"suffix":""},{"dropping-particle":"","family":"Bhatnagar","given":"Bhavana","non-dropping-particle":"","parse-names":false,"suffix":""},{"dropping-particle":"","family":"Boyer","given":"Michael W","non-dropping-particle":"","parse-names":false,"suffix":""},{"dropping-particle":"","family":"Bryan","given":"Teresa","non-dropping-particle":"","parse-names":false,"suffix":""},{"dropping-particle":"","family":"Burke","given":"Patrick W","non-dropping-particle":"","parse-names":false,"suffix":""},{"dropping-particle":"","family":"Cassaday","given":"Ryan D","non-dropping-particle":"","parse-names":false,"suffix":""},{"dropping-particle":"","family":"Coutre","given":"Steven E","non-dropping-particle":"","parse-names":false,"suffix":""},{"dropping-particle":"","family":"Coccia","given":"Peter F","non-dropping-particle":"","parse-names":false,"suffix":""},{"dropping-particle":"","family":"DeAngelo","given":"Daniel J","non-dropping-particle":"","parse-names":false,"suffix":""},{"dropping-particle":"","family":"Fathi","given":"Amir","non-dropping-particle":"","parse-names":false,"suffix":""},{"dropping-particle":"","family":"Jain","given":"Nitin","non-dropping-particle":"","parse-names":false,"suffix":""},{"dropping-particle":"","family":"Kirby","given":"Suzanne","non-dropping-particle":"","parse-names":false,"suffix":""},{"dropping-particle":"","family":"Litzow","given":"Mark","non-dropping-particle":"","parse-names":false,"suffix":""},{"dropping-particle":"","family":"Liu","given":"Arthur","non-dropping-particle":"","parse-names":false,"suffix":""},{"dropping-particle":"","family":"Logan","given":"Aaron","non-dropping-particle":"","parse-names":false,"suffix":""},{"dropping-particle":"","family":"Massaro","given":"Stephanie","non-dropping-particle":"","parse-names":false,"suffix":""},{"dropping-particle":"","family":"Mattison","given":"Ryan J","non-dropping-particle":"","parse-names":false,"suffix":""},{"dropping-particle":"","family":"Oluwole","given":"Olalekan","non-dropping-particle":"","parse-names":false,"suffix":""},{"dropping-particle":"","family":"Papadantonakis","given":"Nikolaos","non-dropping-particle":"","parse-names":false,"suffix":""},{"dropping-particle":"","family":"Park","given":"Jae","non-dropping-particle":"","parse-names":false,"suffix":""},{"dropping-particle":"","family":"Rubnitz","given":"Jeffrey E","non-dropping-particle":"","parse-names":false,"suffix":""},{"dropping-particle":"","family":"Uy","given":"Geoffrey L","non-dropping-particle":"","parse-names":false,"suffix":""},{"dropping-particle":"","family":"Wang","given":"Eunice S","non-dropping-particle":"","parse-names":false,"suffix":""},{"dropping-particle":"","family":"Wieduwilt","given":"Matthew","non-dropping-particle":"","parse-names":false,"suffix":""},{"dropping-particle":"","family":"Gregory","given":"Kristina","non-dropping-particle":"","parse-names":false,"suffix":""}],"id":"ITEM-3","issued":{"date-parts":[["2019"]]},"number-of-pages":"115","title":"NCCN Clinical Practice Guidelines in Oncology. Acute Lymphoblastic Leukemia. Version 2.2019","type":"report"},"uris":["http://www.mendeley.com/documents/?uuid=ef92918b-8a57-37b1-bea5-284dfdf15541"]},{"id":"ITEM-4","itemData":{"author":[{"dropping-particle":"","family":"Gökbuget","given":"N.","non-dropping-particle":"","parse-names":false,"suffix":""},{"dropping-particle":"","family":"Bassan","given":"R.","non-dropping-particle":"","parse-names":false,"suffix":""},{"dropping-particle":"","family":"Dombret","given":"H.","non-dropping-particle":"","parse-names":false,"suffix":""},{"dropping-particle":"","family":"Doubek","given":"M.","non-dropping-particle":"","parse-names":false,"suffix":""},{"dropping-particle":"","family":"Fielding","given":"A.K.","non-dropping-particle":"","parse-names":false,"suffix":""},{"dropping-particle":"","family":"Foà","given":"R.","non-dropping-particle":"","parse-names":false,"suffix":""},{"dropping-particle":"","family":"Giebel","given":"S.","non-dropping-particle":"","parse-names":false,"suffix":""},{"dropping-particle":"","family":"Hoelzer","given":"D.","non-dropping-particle":"","parse-names":false,"suffix":""},{"dropping-particle":"","family":"Martinelli","given":"G.","non-dropping-particle":"","parse-names":false,"suffix":""},{"dropping-particle":"","family":"Meloni","given":"G.","non-dropping-particle":"","parse-names":false,"suffix":""},{"dropping-particle":"","family":"Delia Moicean","given":"A.","non-dropping-particle":"","parse-names":false,"suffix":""},{"dropping-particle":"","family":"Ottmann","given":"O.","non-dropping-particle":"","parse-names":false,"suffix":""},{"dropping-particle":"","family":"Piccaluga","given":"P.P.","non-dropping-particle":"","parse-names":false,"suffix":""},{"dropping-particle":"","family":"Ribera","given":"J.M.","non-dropping-particle":"","parse-names":false,"suffix":""},{"dropping-particle":"","family":"Rousselot","given":"P.","non-dropping-particle":"","parse-names":false,"suffix":""},{"dropping-particle":"","family":"Walewski","given":"J.","non-dropping-particle":"","parse-names":false,"suffix":""}],"container-title":"UNI-MED Verlag AG","id":"ITEM-4","issued":{"date-parts":[["2011"]]},"number-of-pages":"204","title":"Recommendations of the European Working Group for Adult ALL (EWALL)","type":"book"},"uris":["http://www.mendeley.com/documents/?uuid=aba58166-cd2b-4f70-bb6a-5fdd9e1b42de"]},{"id":"ITEM-5","itemData":{"DOI":"10.1200/JCO.2007.15.0177","ISSN":"0732183X","abstract":"Purpose: Tumor lysis syndrome (TLS) has recently been subclassified into either laboratory TLS or clinical TLS, and a grading system has been established. Standardized guidelines, however, are needed to aid in the stratification of patients according to risk and to establish prophylaxis and treatment recommendations for patients at risk or with established TLS. Methods: A panel of experts in pediatric and adult hematologic malignancies and TLS was assembled to develop recommendations and guidelines for TLS based on clinical evidence and standards of care. A review of relevant literature was also used. Results: New guidelines are presented regarding the prevention and management of patients at risk of developing TLS. The best management of TLS is prevention. Prevention strategies include hydration and prophylactic rasburicase in high-risk patients, hydration plus allopurinol or rasburicase for intermediate-risk patients, and close monitoring for low-risk patients. Primary management of established TLS involves similar recommendations, with the addition of aggressive hydration and diuresis, plus allopurinol or rasburicase for hyperuricemia. Alkalinization is not recommended. Although guidelines for rasburicase use in adults are provided, this agent is currently only approved for use in pediatric patients in the United States. Conclusion: The potential severity of complications resulting from TLS requires measures for prevention in high-risk patients and prompts treatment in the event that symptoms arise. Recognition of risk factors, monitoring of at-risk patients, and appropriate interventions are the key to preventing or managing TLS. These guidelines should assist in the prevention of TLS and improve the management of patients with established TLS. © 2008 by American Society of Clinical Oncology.","author":[{"dropping-particle":"","family":"Coiffier","given":"Bertrand","non-dropping-particle":"","parse-names":false,"suffix":""},{"dropping-particle":"","family":"Altman","given":"Arnold","non-dropping-particle":"","parse-names":false,"suffix":""},{"dropping-particle":"","family":"Pui","given":"Ching Hon","non-dropping-particle":"","parse-names":false,"suffix":""},{"dropping-particle":"","family":"Younes","given":"Anas","non-dropping-particle":"","parse-names":false,"suffix":""},{"dropping-particle":"","family":"Cairo","given":"Mitchell S.","non-dropping-particle":"","parse-names":false,"suffix":""}],"container-title":"Journal of Clinical Oncology","id":"ITEM-5","issue":"16","issued":{"date-parts":[["2008"]]},"page":"2767-2778","title":"Guidelines for the management of pediatric and adult tumor lysis syndrome: An evidence-based review","type":"article","volume":"26"},"uris":["http://www.mendeley.com/documents/?uuid=82efa5d2-63ca-4bd4-9f21-94e7ed64e5ac"]}],"mendeley":{"formattedCitation":"[1,2,4,5,23]","plainTextFormattedCitation":"[1,2,4,5,23]","previouslyFormattedCitation":"[1,2,4,5,23]"},"properties":{"noteIndex":0},"schema":"https://github.com/citation-style-language/schema/raw/master/csl-citation.json"}</w:instrText>
      </w:r>
      <w:r w:rsidR="00940CF0">
        <w:fldChar w:fldCharType="separate"/>
      </w:r>
      <w:r w:rsidR="00A66456" w:rsidRPr="00A66456">
        <w:rPr>
          <w:noProof/>
        </w:rPr>
        <w:t>[1,2,4,5,23]</w:t>
      </w:r>
      <w:r w:rsidR="00940CF0">
        <w:fldChar w:fldCharType="end"/>
      </w:r>
      <w:r w:rsidR="00940CF0">
        <w:t>.</w:t>
      </w:r>
    </w:p>
    <w:p w14:paraId="5BAC337E" w14:textId="77777777" w:rsidR="00254823" w:rsidRDefault="00254823" w:rsidP="00C171A6">
      <w:pPr>
        <w:ind w:firstLine="709"/>
        <w:contextualSpacing/>
        <w:rPr>
          <w:b/>
          <w:szCs w:val="22"/>
        </w:rPr>
      </w:pPr>
      <w:r w:rsidRPr="00617969">
        <w:rPr>
          <w:b/>
          <w:szCs w:val="22"/>
        </w:rPr>
        <w:t>Урове</w:t>
      </w:r>
      <w:r>
        <w:rPr>
          <w:b/>
          <w:szCs w:val="22"/>
        </w:rPr>
        <w:t xml:space="preserve">нь убедительности рекомендаций </w:t>
      </w:r>
      <w:r w:rsidR="00E91DAB">
        <w:rPr>
          <w:b/>
          <w:szCs w:val="22"/>
        </w:rPr>
        <w:t xml:space="preserve">– </w:t>
      </w:r>
      <w:r w:rsidR="0025439D">
        <w:rPr>
          <w:b/>
          <w:szCs w:val="22"/>
          <w:lang w:val="en-US"/>
        </w:rPr>
        <w:t>C</w:t>
      </w:r>
      <w:r w:rsidRPr="00617969">
        <w:rPr>
          <w:b/>
          <w:szCs w:val="22"/>
        </w:rPr>
        <w:t xml:space="preserve"> (уровень </w:t>
      </w:r>
      <w:r>
        <w:rPr>
          <w:b/>
          <w:szCs w:val="22"/>
        </w:rPr>
        <w:t>д</w:t>
      </w:r>
      <w:r w:rsidR="00C171A6">
        <w:rPr>
          <w:b/>
          <w:szCs w:val="22"/>
        </w:rPr>
        <w:t xml:space="preserve">остоверности доказательств – </w:t>
      </w:r>
      <w:r w:rsidR="0025439D" w:rsidRPr="00232528">
        <w:rPr>
          <w:b/>
          <w:szCs w:val="22"/>
        </w:rPr>
        <w:t>5</w:t>
      </w:r>
      <w:r w:rsidR="00C171A6">
        <w:rPr>
          <w:b/>
          <w:szCs w:val="22"/>
        </w:rPr>
        <w:t>)</w:t>
      </w:r>
      <w:r w:rsidR="00E91DAB">
        <w:rPr>
          <w:b/>
          <w:szCs w:val="22"/>
        </w:rPr>
        <w:t>.</w:t>
      </w:r>
    </w:p>
    <w:p w14:paraId="713C0F66" w14:textId="68714D95" w:rsidR="00386B61" w:rsidRPr="00FD75F1" w:rsidRDefault="00386B61" w:rsidP="00FD75F1">
      <w:pPr>
        <w:ind w:firstLine="709"/>
        <w:rPr>
          <w:rStyle w:val="aff5"/>
          <w:i/>
          <w:color w:val="000000" w:themeColor="text1"/>
        </w:rPr>
      </w:pPr>
      <w:r w:rsidRPr="00FD75F1">
        <w:rPr>
          <w:rStyle w:val="aff5"/>
          <w:i/>
          <w:color w:val="000000" w:themeColor="text1"/>
        </w:rPr>
        <w:t>Комментарии:</w:t>
      </w:r>
      <w:r w:rsidRPr="00FD75F1">
        <w:rPr>
          <w:i/>
          <w:color w:val="000000" w:themeColor="text1"/>
        </w:rPr>
        <w:t xml:space="preserve"> при наличии показаний выполняются дополнительны</w:t>
      </w:r>
      <w:r w:rsidR="00CD5E09">
        <w:rPr>
          <w:i/>
          <w:color w:val="000000" w:themeColor="text1"/>
        </w:rPr>
        <w:t xml:space="preserve">е исследования мочи, например, </w:t>
      </w:r>
      <w:r w:rsidRPr="00FD75F1">
        <w:rPr>
          <w:i/>
          <w:color w:val="000000" w:themeColor="text1"/>
        </w:rPr>
        <w:t>для исключения инфекции и уточнения типа возбудителя - исследование мочи методом Нечипоренко, исследование мочи методом Зимницкого, различные микробиологические (культуральные) исследования мочи и микроскопическое исследование мочи. Также по показаниям выполняются на любом этапе диагностики и лечения О</w:t>
      </w:r>
      <w:r w:rsidR="002135D6" w:rsidRPr="00FD75F1">
        <w:rPr>
          <w:i/>
          <w:color w:val="000000" w:themeColor="text1"/>
        </w:rPr>
        <w:t>Л</w:t>
      </w:r>
      <w:r w:rsidRPr="00FD75F1">
        <w:rPr>
          <w:i/>
          <w:color w:val="000000" w:themeColor="text1"/>
        </w:rPr>
        <w:t>Л исследование миоглобина в моче, гемосидерина в моче, уровня экскреции гормонов мозгового слоя надпочечников в моче, активности альфа-амилазы в моче, и другие.</w:t>
      </w:r>
    </w:p>
    <w:p w14:paraId="784061EE" w14:textId="1FA42472" w:rsidR="00254823" w:rsidRPr="0039610A" w:rsidRDefault="00254823" w:rsidP="00FF4C81">
      <w:pPr>
        <w:numPr>
          <w:ilvl w:val="0"/>
          <w:numId w:val="19"/>
        </w:numPr>
        <w:contextualSpacing/>
        <w:rPr>
          <w:b/>
          <w:szCs w:val="22"/>
        </w:rPr>
      </w:pPr>
      <w:r w:rsidRPr="00617969">
        <w:rPr>
          <w:b/>
          <w:szCs w:val="22"/>
        </w:rPr>
        <w:t>Рекомендуется</w:t>
      </w:r>
      <w:r w:rsidRPr="00617969">
        <w:rPr>
          <w:szCs w:val="22"/>
        </w:rPr>
        <w:t xml:space="preserve"> </w:t>
      </w:r>
      <w:r w:rsidR="002135D6" w:rsidRPr="002135D6">
        <w:rPr>
          <w:rStyle w:val="aff5"/>
          <w:b w:val="0"/>
        </w:rPr>
        <w:t>всем пациентам</w:t>
      </w:r>
      <w:r w:rsidR="002135D6" w:rsidRPr="002135D6">
        <w:rPr>
          <w:b/>
        </w:rPr>
        <w:t xml:space="preserve"> </w:t>
      </w:r>
      <w:r w:rsidR="002135D6" w:rsidRPr="002135D6">
        <w:rPr>
          <w:rStyle w:val="aff5"/>
          <w:b w:val="0"/>
        </w:rPr>
        <w:t xml:space="preserve">при подозрении </w:t>
      </w:r>
      <w:r w:rsidR="002135D6" w:rsidRPr="00FD75F1">
        <w:rPr>
          <w:rStyle w:val="aff5"/>
          <w:b w:val="0"/>
          <w:color w:val="000000" w:themeColor="text1"/>
        </w:rPr>
        <w:t>и при установленном ОЛЛ, а также в ходе терапии с частотой 1 раз в 3–6 месяцев</w:t>
      </w:r>
      <w:r w:rsidR="002135D6" w:rsidRPr="00FD75F1">
        <w:rPr>
          <w:rStyle w:val="aff5"/>
          <w:color w:val="000000" w:themeColor="text1"/>
        </w:rPr>
        <w:t xml:space="preserve"> </w:t>
      </w:r>
      <w:r w:rsidR="002135D6" w:rsidRPr="00FD75F1">
        <w:rPr>
          <w:color w:val="000000" w:themeColor="text1"/>
        </w:rPr>
        <w:t>определение антител классов M, G (IgM, IgG) к вирусу иммунодефицита человека ВИЧ-1 (</w:t>
      </w:r>
      <w:r w:rsidR="002135D6" w:rsidRPr="00FD75F1">
        <w:rPr>
          <w:i/>
          <w:iCs/>
          <w:color w:val="000000" w:themeColor="text1"/>
        </w:rPr>
        <w:t>Human immunodeficiency virus HIV 1</w:t>
      </w:r>
      <w:r w:rsidR="002135D6" w:rsidRPr="00FD75F1">
        <w:rPr>
          <w:color w:val="000000" w:themeColor="text1"/>
        </w:rPr>
        <w:t>) в крови; определение антител классов M, G (IgM, IgG) к вирусу иммунодефицита человека ВИЧ-2 (</w:t>
      </w:r>
      <w:r w:rsidR="002135D6" w:rsidRPr="00FD75F1">
        <w:rPr>
          <w:i/>
          <w:iCs/>
          <w:color w:val="000000" w:themeColor="text1"/>
        </w:rPr>
        <w:t>Human immunodeficiency virus HIV 2</w:t>
      </w:r>
      <w:r w:rsidR="002135D6" w:rsidRPr="00FD75F1">
        <w:rPr>
          <w:color w:val="000000" w:themeColor="text1"/>
        </w:rPr>
        <w:t xml:space="preserve">) в крови </w:t>
      </w:r>
      <w:r w:rsidR="002135D6" w:rsidRPr="00FD75F1">
        <w:rPr>
          <w:rStyle w:val="aff5"/>
          <w:b w:val="0"/>
          <w:color w:val="000000" w:themeColor="text1"/>
        </w:rPr>
        <w:t xml:space="preserve">для </w:t>
      </w:r>
      <w:r w:rsidR="002135D6" w:rsidRPr="00FD75F1">
        <w:rPr>
          <w:rStyle w:val="aff5"/>
          <w:b w:val="0"/>
          <w:color w:val="000000" w:themeColor="text1"/>
        </w:rPr>
        <w:lastRenderedPageBreak/>
        <w:t>уточнения необходимости одновременного проведения противоопухолевой и антиретровирусной терапии</w:t>
      </w:r>
      <w:r w:rsidR="002135D6" w:rsidRPr="00FD75F1">
        <w:rPr>
          <w:color w:val="000000" w:themeColor="text1"/>
          <w:szCs w:val="24"/>
        </w:rPr>
        <w:t xml:space="preserve">, и </w:t>
      </w:r>
      <w:r w:rsidR="00C277BE" w:rsidRPr="00FD75F1">
        <w:rPr>
          <w:color w:val="000000" w:themeColor="text1"/>
          <w:szCs w:val="24"/>
        </w:rPr>
        <w:t>определение антител к бледной трепонеме (Treponema pallidum) в крови для исклю</w:t>
      </w:r>
      <w:r w:rsidR="00C277BE" w:rsidRPr="00D358AF">
        <w:rPr>
          <w:szCs w:val="24"/>
        </w:rPr>
        <w:t>чения сопутствующей патологии</w:t>
      </w:r>
      <w:r w:rsidR="00940CF0">
        <w:rPr>
          <w:szCs w:val="24"/>
        </w:rPr>
        <w:t xml:space="preserve"> </w:t>
      </w:r>
      <w:r w:rsidR="00940CF0">
        <w:fldChar w:fldCharType="begin" w:fldLock="1"/>
      </w:r>
      <w:r w:rsidR="00940CF0">
        <w:instrText>ADDIN CSL_CITATION {"citationItems":[{"id":"ITEM-1","itemData":{"id":"ITEM-1","issued":{"date-parts":[["2012"]]},"number-of-pages":"1056","title":"Программное лечение заболеваний системы крови: Сборник алгоритмов диагностики и протоколов лечения заболеваний системы крови. Под ред. В.Г. Савченко","type":"book"},"uris":["http://www.mendeley.com/documents/?uuid=36484a90-27ae-40a9-a194-b0461fb47d9d"]},{"id":"ITEM-2","itemData":{"author":[{"dropping-particle":"","family":"Савченко","given":"Валерий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доп.","id":"ITEM-2","issued":{"date-parts":[["2007"]]},"page":"409-502","title":"Острые лейкозы","type":"chapter"},"uris":["http://www.mendeley.com/documents/?uuid=08f85f58-ddaa-48eb-b937-65d15d14b213"]}],"mendeley":{"formattedCitation":"[1,2]","plainTextFormattedCitation":"[1,2]","previouslyFormattedCitation":"[1,2]"},"properties":{"noteIndex":0},"schema":"https://github.com/citation-style-language/schema/raw/master/csl-citation.json"}</w:instrText>
      </w:r>
      <w:r w:rsidR="00940CF0">
        <w:fldChar w:fldCharType="separate"/>
      </w:r>
      <w:r w:rsidR="00940CF0" w:rsidRPr="00C277BE">
        <w:rPr>
          <w:noProof/>
        </w:rPr>
        <w:t>[1,2]</w:t>
      </w:r>
      <w:r w:rsidR="00940CF0">
        <w:fldChar w:fldCharType="end"/>
      </w:r>
      <w:r w:rsidRPr="00617969">
        <w:rPr>
          <w:szCs w:val="22"/>
        </w:rPr>
        <w:t>.</w:t>
      </w:r>
    </w:p>
    <w:p w14:paraId="58F9DCA6" w14:textId="77777777" w:rsidR="00254823" w:rsidRDefault="00254823" w:rsidP="00C171A6">
      <w:pPr>
        <w:ind w:firstLine="709"/>
        <w:contextualSpacing/>
        <w:rPr>
          <w:b/>
          <w:szCs w:val="22"/>
        </w:rPr>
      </w:pPr>
      <w:r w:rsidRPr="00617969">
        <w:rPr>
          <w:b/>
          <w:szCs w:val="22"/>
        </w:rPr>
        <w:t>Уровень убедительности рекомендаций</w:t>
      </w:r>
      <w:r w:rsidRPr="00617969" w:rsidDel="00670C55">
        <w:rPr>
          <w:b/>
          <w:szCs w:val="22"/>
        </w:rPr>
        <w:t xml:space="preserve"> </w:t>
      </w:r>
      <w:r w:rsidR="00E91DAB">
        <w:rPr>
          <w:b/>
          <w:szCs w:val="22"/>
        </w:rPr>
        <w:t xml:space="preserve">– </w:t>
      </w:r>
      <w:r w:rsidR="00C277BE">
        <w:rPr>
          <w:b/>
          <w:szCs w:val="22"/>
          <w:lang w:val="en-US"/>
        </w:rPr>
        <w:t>C</w:t>
      </w:r>
      <w:r w:rsidRPr="00617969">
        <w:rPr>
          <w:b/>
          <w:szCs w:val="22"/>
        </w:rPr>
        <w:t xml:space="preserve"> (уровень </w:t>
      </w:r>
      <w:r w:rsidRPr="00617969">
        <w:rPr>
          <w:b/>
          <w:spacing w:val="-1"/>
          <w:szCs w:val="22"/>
        </w:rPr>
        <w:t>достоверности доказательств</w:t>
      </w:r>
      <w:r w:rsidRPr="00617969">
        <w:rPr>
          <w:b/>
          <w:color w:val="413D39"/>
          <w:spacing w:val="-1"/>
          <w:szCs w:val="22"/>
        </w:rPr>
        <w:t xml:space="preserve"> </w:t>
      </w:r>
      <w:r w:rsidR="00C171A6">
        <w:rPr>
          <w:b/>
          <w:szCs w:val="22"/>
        </w:rPr>
        <w:t xml:space="preserve">– </w:t>
      </w:r>
      <w:r w:rsidR="00C277BE" w:rsidRPr="00C277BE">
        <w:rPr>
          <w:b/>
          <w:szCs w:val="22"/>
        </w:rPr>
        <w:t>5</w:t>
      </w:r>
      <w:r w:rsidR="00C171A6">
        <w:rPr>
          <w:b/>
          <w:szCs w:val="22"/>
        </w:rPr>
        <w:t>)</w:t>
      </w:r>
      <w:r w:rsidR="00E91DAB">
        <w:rPr>
          <w:b/>
          <w:szCs w:val="22"/>
        </w:rPr>
        <w:t>.</w:t>
      </w:r>
    </w:p>
    <w:p w14:paraId="0492A972" w14:textId="07BD599A" w:rsidR="00C277BE" w:rsidRPr="0039610A" w:rsidRDefault="00C277BE" w:rsidP="00FF4C81">
      <w:pPr>
        <w:numPr>
          <w:ilvl w:val="0"/>
          <w:numId w:val="19"/>
        </w:numPr>
        <w:contextualSpacing/>
        <w:rPr>
          <w:b/>
          <w:szCs w:val="22"/>
        </w:rPr>
      </w:pPr>
      <w:r w:rsidRPr="00617969">
        <w:rPr>
          <w:b/>
          <w:szCs w:val="22"/>
        </w:rPr>
        <w:t>Рекомендуется</w:t>
      </w:r>
      <w:r w:rsidRPr="00617969">
        <w:rPr>
          <w:szCs w:val="22"/>
        </w:rPr>
        <w:t xml:space="preserve"> </w:t>
      </w:r>
      <w:r w:rsidR="002135D6" w:rsidRPr="002135D6">
        <w:rPr>
          <w:rStyle w:val="aff5"/>
          <w:b w:val="0"/>
        </w:rPr>
        <w:t xml:space="preserve">всем </w:t>
      </w:r>
      <w:r w:rsidR="002135D6" w:rsidRPr="00FD75F1">
        <w:rPr>
          <w:rStyle w:val="aff5"/>
          <w:b w:val="0"/>
          <w:color w:val="000000" w:themeColor="text1"/>
        </w:rPr>
        <w:t>пациентам</w:t>
      </w:r>
      <w:r w:rsidR="002135D6" w:rsidRPr="00FD75F1">
        <w:rPr>
          <w:b/>
          <w:color w:val="000000" w:themeColor="text1"/>
        </w:rPr>
        <w:t xml:space="preserve"> </w:t>
      </w:r>
      <w:r w:rsidR="002135D6" w:rsidRPr="00FD75F1">
        <w:rPr>
          <w:rStyle w:val="aff5"/>
          <w:b w:val="0"/>
          <w:color w:val="000000" w:themeColor="text1"/>
        </w:rPr>
        <w:t>при подозрении и при установленном ОЛЛ, а также в ходе терапии с частотой 1 раз в 3–6 месяцев</w:t>
      </w:r>
      <w:r w:rsidR="002135D6" w:rsidRPr="00FD75F1">
        <w:rPr>
          <w:rStyle w:val="aff5"/>
          <w:color w:val="000000" w:themeColor="text1"/>
        </w:rPr>
        <w:t xml:space="preserve"> </w:t>
      </w:r>
      <w:r w:rsidR="002135D6" w:rsidRPr="00FD75F1">
        <w:rPr>
          <w:color w:val="000000" w:themeColor="text1"/>
        </w:rPr>
        <w:t>выполнять определение антигена (HbsAg) вируса гепатита B (Hepatitis B virus) в крови и антигена вируса гепатита C (Hepatitis C virus) в крови и, при необходимости, молекулярно-биологическое исследование крови на вирус гепатита B (Hepatitis B virus) и гепатита C (Hepatitis C virus) в целях уточнения риска реактивации вирусного гепатита и, в случае необходимости, ее профилактики</w:t>
      </w:r>
      <w:r w:rsidR="002135D6" w:rsidRPr="002135D6">
        <w:rPr>
          <w:color w:val="FF0000"/>
        </w:rPr>
        <w:t xml:space="preserve"> </w:t>
      </w:r>
      <w:r w:rsidR="00914AB6">
        <w:rPr>
          <w:szCs w:val="24"/>
        </w:rPr>
        <w:fldChar w:fldCharType="begin" w:fldLock="1"/>
      </w:r>
      <w:r w:rsidR="002466C9">
        <w:rPr>
          <w:szCs w:val="24"/>
        </w:rPr>
        <w:instrText>ADDIN CSL_CITATION {"citationItems":[{"id":"ITEM-1","itemData":{"DOI":"10.1002/1097-0142(19860901)58:5&lt;1096::aid-cncr2820580519&gt;3.0.co;2-b","ISSN":"0008-543X","PMID":"3460683","abstract":"Liver function test abnormalities were examined in a retrospective survey in a population of 90 children with acute lymphoblastic leukemia (ALL) treated in a similar fashion with therapy, using primarily methotrexate, mercaptopurine, vincristine, and prednisone. A twofold or greater elevation of serum glutamyl pyruvic transaminase (SGPT) was found in 80% of the patients during induction therapy, in 63% of the patients during maintenance therapy, and 31% of the patients who completed therapy. Circulating hepatitis B virus surface antigen (HBsAg) was noted in 26% of patients with liver function test abnormalities during maintenance therapy, and 45% of patients with liver function test abnormalities after the completion of therapy. Hepatitis B virus infection was therefore, the most important single cause of abnormal liver function during remission in our patient population. Though others have asserted that hepatitis B virus infection is relatively benign in immunosuppressed individuals, in our population, this agent often caused severe pathological and clinical sequelae. This may be related to the high frequency (50%) of co-infection with the delta agent in our HBsAg-positive patients. Furthermore, hepatitis B virus surface antigenemia conferred an adverse prognostic influence for these children in terms of their leukemia-free survival.","author":[{"dropping-particle":"","family":"Ratner","given":"L","non-dropping-particle":"","parse-names":false,"suffix":""},{"dropping-particle":"","family":"Peylan-Ramu","given":"N","non-dropping-particle":"","parse-names":false,"suffix":""},{"dropping-particle":"","family":"Wesley","given":"R","non-dropping-particle":"","parse-names":false,"suffix":""},{"dropping-particle":"","family":"Poplack","given":"D G","non-dropping-particle":"","parse-names":false,"suffix":""}],"container-title":"Cancer","id":"ITEM-1","issue":"5","issued":{"date-parts":[["1986","9","1"]]},"page":"1096-100","title":"Adverse prognostic influence of hepatitis B virus infection in acute lymphoblastic leukemia.","type":"article-journal","volume":"58"},"uris":["http://www.mendeley.com/documents/?uuid=c99a7dc2-00c9-33bd-a746-8432614f940e"]},{"id":"ITEM-2","itemData":{"ISSN":"1592-8721","PMID":"14754608","abstract":"BACKGROUND AND OBJECTIVES Infection with hepatitis C virus (HCV) is associated with type II mixed cryoglobulinemia (MC), a lymphoproliferative disorder which, in some patients, evolves into overt B-cell non-Hodgkin's lymphoma (B-NHL). Recently, also the association between HCV infection and B-NHL, which had long been controversial, was confirmed in a large case-control study. Little knowledge is, however, available on possible associations between HCV infection and other lymphoid or myeloid malignancies. The present study was set up in order to investigate this aspect. DESIGN AND METHODS The study was conducted in hematology departments of ten hospitals in different Italian cities. The cases consisted of consecutive patients with a new diagnosis of T-NHL, Hodgkin's disease (HD), chronic lymphocytic leukemia (CLL), acute lymphoblastic leukemia (ALL), multiple myeloma (MM), acute myeloid leukemia (AML), and chronic myeloid leukemia (CML). The controls were patients in other departments of the same hospitals. HCV infection was investigated by testing for HCV antibodies and HCV-RNA in serum samples. RESULTS The prevalence of HCV infection was not higher in patients with HD (3.2%, 5 out of 157 cases) or MM (4.7%, 5 out of 107) than in controls. On the other hand, it was consistently higher in T-NHL (13.8%, 4 out of 30), CLL (9.0%, 9 out of 100), ALL (7.6%, 5 out of 54), AML (7.9%, 11 out of 140), and CML (12.2%, 6 out of 49) patients. These patient groups were not, however, large enough to render statistically significant results. INTERPRETATION AND CONCLUSIONS Our data suggest that HCV infection may be associated not only with B-NHL but also with some other lymphoid and myeloid malignancies.","author":[{"dropping-particle":"","family":"Bianco","given":"Elvira","non-dropping-particle":"","parse-names":false,"suffix":""},{"dropping-particle":"","family":"Marcucci","given":"Fabrizio","non-dropping-particle":"","parse-names":false,"suffix":""},{"dropping-particle":"","family":"Mele","given":"Alfonso","non-dropping-particle":"","parse-names":false,"suffix":""},{"dropping-particle":"","family":"Musto","given":"Pellegrino","non-dropping-particle":"","parse-names":false,"suffix":""},{"dropping-particle":"","family":"Cotichini","given":"Rodolfo","non-dropping-particle":"","parse-names":false,"suffix":""},{"dropping-particle":"","family":"Sanpaolo","given":"Maria Grazia","non-dropping-particle":"","parse-names":false,"suffix":""},{"dropping-particle":"","family":"Iannitto","given":"Emilio","non-dropping-particle":"","parse-names":false,"suffix":""},{"dropping-particle":"","family":"Renzo","given":"Amalia","non-dropping-particle":"De","parse-names":false,"suffix":""},{"dropping-particle":"","family":"Martino","given":"Bruno","non-dropping-particle":"","parse-names":false,"suffix":""},{"dropping-particle":"","family":"Specchia","given":"Giorgina","non-dropping-particle":"","parse-names":false,"suffix":""},{"dropping-particle":"","family":"Montanaro","given":"Marco","non-dropping-particle":"","parse-names":false,"suffix":""},{"dropping-particle":"","family":"Barbui","given":"Anna Maria","non-dropping-particle":"","parse-names":false,"suffix":""},{"dropping-particle":"","family":"Nieddu","given":"Rosa","non-dropping-particle":"","parse-names":false,"suffix":""},{"dropping-particle":"","family":"Pagano","given":"Livio","non-dropping-particle":"","parse-names":false,"suffix":""},{"dropping-particle":"","family":"Rapicetta","given":"Maria","non-dropping-particle":"","parse-names":false,"suffix":""},{"dropping-particle":"","family":"Franceschi","given":"Silvia","non-dropping-particle":"","parse-names":false,"suffix":""},{"dropping-particle":"","family":"Mandelli","given":"Franco","non-dropping-particle":"","parse-names":false,"suffix":""},{"dropping-particle":"","family":"Pulsoni","given":"Alessandro","non-dropping-particle":"","parse-names":false,"suffix":""},{"dropping-particle":"","family":"Italian Multi-Center case-control study","given":"","non-dropping-particle":"","parse-names":false,"suffix":""}],"container-title":"Haematologica","id":"ITEM-2","issue":"1","issued":{"date-parts":[["2004","1"]]},"page":"70-6","title":"Prevalence of hepatitis C virus infection in lymphoproliferative diseases other than B-cell non-Hodgkin's lymphoma, and in myeloproliferative diseases: an Italian Multi-Center case-control study.","type":"article-journal","volume":"89"},"uris":["http://www.mendeley.com/documents/?uuid=9392d0ed-04b0-329a-be91-1fbda5422f05"]}],"mendeley":{"formattedCitation":"[24,25]","plainTextFormattedCitation":"[24,25]","previouslyFormattedCitation":"[24,25]"},"properties":{"noteIndex":0},"schema":"https://github.com/citation-style-language/schema/raw/master/csl-citation.json"}</w:instrText>
      </w:r>
      <w:r w:rsidR="00914AB6">
        <w:rPr>
          <w:szCs w:val="24"/>
        </w:rPr>
        <w:fldChar w:fldCharType="separate"/>
      </w:r>
      <w:r w:rsidR="00A66456" w:rsidRPr="00A66456">
        <w:rPr>
          <w:noProof/>
          <w:szCs w:val="24"/>
        </w:rPr>
        <w:t>[24,25]</w:t>
      </w:r>
      <w:r w:rsidR="00914AB6">
        <w:rPr>
          <w:szCs w:val="24"/>
        </w:rPr>
        <w:fldChar w:fldCharType="end"/>
      </w:r>
      <w:r w:rsidR="00914AB6" w:rsidRPr="00617969">
        <w:rPr>
          <w:szCs w:val="22"/>
        </w:rPr>
        <w:t>.</w:t>
      </w:r>
    </w:p>
    <w:p w14:paraId="097B256D" w14:textId="77777777" w:rsidR="00C277BE" w:rsidRDefault="00C277BE" w:rsidP="00FD75F1">
      <w:pPr>
        <w:ind w:firstLine="709"/>
        <w:contextualSpacing/>
        <w:rPr>
          <w:b/>
          <w:szCs w:val="22"/>
        </w:rPr>
      </w:pPr>
      <w:r w:rsidRPr="00617969">
        <w:rPr>
          <w:b/>
          <w:szCs w:val="22"/>
        </w:rPr>
        <w:t>Уровень убедительности рекомендаций</w:t>
      </w:r>
      <w:r w:rsidRPr="00617969" w:rsidDel="00670C55">
        <w:rPr>
          <w:b/>
          <w:szCs w:val="22"/>
        </w:rPr>
        <w:t xml:space="preserve"> </w:t>
      </w:r>
      <w:r w:rsidR="00E91DAB">
        <w:rPr>
          <w:b/>
          <w:szCs w:val="22"/>
        </w:rPr>
        <w:t xml:space="preserve">– </w:t>
      </w:r>
      <w:r w:rsidR="0092324F">
        <w:rPr>
          <w:b/>
          <w:szCs w:val="22"/>
        </w:rPr>
        <w:t>С</w:t>
      </w:r>
      <w:r w:rsidR="0092324F" w:rsidRPr="00617969">
        <w:rPr>
          <w:b/>
          <w:szCs w:val="22"/>
        </w:rPr>
        <w:t xml:space="preserve"> </w:t>
      </w:r>
      <w:r w:rsidRPr="00617969">
        <w:rPr>
          <w:b/>
          <w:szCs w:val="22"/>
        </w:rPr>
        <w:t xml:space="preserve">(уровень </w:t>
      </w:r>
      <w:r w:rsidRPr="00617969">
        <w:rPr>
          <w:b/>
          <w:spacing w:val="-1"/>
          <w:szCs w:val="22"/>
        </w:rPr>
        <w:t>достоверности доказательств</w:t>
      </w:r>
      <w:r w:rsidRPr="00617969">
        <w:rPr>
          <w:b/>
          <w:color w:val="413D39"/>
          <w:spacing w:val="-1"/>
          <w:szCs w:val="22"/>
        </w:rPr>
        <w:t xml:space="preserve"> </w:t>
      </w:r>
      <w:r>
        <w:rPr>
          <w:b/>
          <w:szCs w:val="22"/>
        </w:rPr>
        <w:t xml:space="preserve">– </w:t>
      </w:r>
      <w:r w:rsidR="0092324F">
        <w:rPr>
          <w:b/>
          <w:szCs w:val="22"/>
        </w:rPr>
        <w:t>4</w:t>
      </w:r>
      <w:r>
        <w:rPr>
          <w:b/>
          <w:szCs w:val="22"/>
        </w:rPr>
        <w:t>)</w:t>
      </w:r>
      <w:r w:rsidR="00E91DAB">
        <w:rPr>
          <w:b/>
          <w:szCs w:val="22"/>
        </w:rPr>
        <w:t>.</w:t>
      </w:r>
    </w:p>
    <w:p w14:paraId="73956EFD" w14:textId="7C6FE3B1" w:rsidR="002135D6" w:rsidRPr="00BD7A42" w:rsidRDefault="002135D6" w:rsidP="008C1767">
      <w:pPr>
        <w:pStyle w:val="afff3"/>
        <w:widowControl/>
        <w:numPr>
          <w:ilvl w:val="0"/>
          <w:numId w:val="68"/>
        </w:numPr>
        <w:autoSpaceDE/>
        <w:autoSpaceDN/>
        <w:adjustRightInd/>
        <w:rPr>
          <w:b/>
          <w:bCs/>
          <w:color w:val="000000" w:themeColor="text1"/>
        </w:rPr>
      </w:pPr>
      <w:r w:rsidRPr="00BD7A42">
        <w:rPr>
          <w:b/>
          <w:color w:val="000000" w:themeColor="text1"/>
        </w:rPr>
        <w:t>Рекомендуется</w:t>
      </w:r>
      <w:r w:rsidRPr="00BD7A42">
        <w:rPr>
          <w:color w:val="000000" w:themeColor="text1"/>
        </w:rPr>
        <w:t xml:space="preserve"> всем пациентам с ОЛЛ по показаниям с целью уточнения риска и в случае необходимости профилактики реактивации вирусного гепатита В выполнение развернутого вирусологического исследования для выявления маркеров вирусов гепатита B, которое должно включать определение</w:t>
      </w:r>
      <w:r w:rsidR="00BD7A42" w:rsidRPr="00BD7A42">
        <w:rPr>
          <w:color w:val="000000" w:themeColor="text1"/>
        </w:rPr>
        <w:t xml:space="preserve"> </w:t>
      </w:r>
      <w:r w:rsidR="00BD7A42" w:rsidRPr="00BD7A42">
        <w:fldChar w:fldCharType="begin" w:fldLock="1"/>
      </w:r>
      <w:r w:rsidR="00BD7A42" w:rsidRPr="00BD7A42">
        <w:instrText>ADDIN CSL_CITATION {"citationItems":[{"id":"ITEM-1","itemData":{"id":"ITEM-1","issued":{"date-parts":[["2012"]]},"number-of-pages":"1056","title":"Программное лечение заболеваний системы крови: Сборник алгоритмов диагностики и протоколов лечения заболеваний системы крови. Под ред. В.Г. Савченко","type":"book"},"uris":["http://www.mendeley.com/documents/?uuid=36484a90-27ae-40a9-a194-b0461fb47d9d"]},{"id":"ITEM-2","itemData":{"author":[{"dropping-particle":"","family":"Савченко","given":"Валерий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доп.","id":"ITEM-2","issued":{"date-parts":[["2007"]]},"page":"409-502","title":"Острые лейкозы","type":"chapter"},"uris":["http://www.mendeley.com/documents/?uuid=08f85f58-ddaa-48eb-b937-65d15d14b213"]}],"mendeley":{"formattedCitation":"[1,2]","plainTextFormattedCitation":"[1,2]","previouslyFormattedCitation":"[1,2]"},"properties":{"noteIndex":0},"schema":"https://github.com/citation-style-language/schema/raw/master/csl-citation.json"}</w:instrText>
      </w:r>
      <w:r w:rsidR="00BD7A42" w:rsidRPr="00BD7A42">
        <w:fldChar w:fldCharType="separate"/>
      </w:r>
      <w:r w:rsidR="00BD7A42" w:rsidRPr="00BD7A42">
        <w:rPr>
          <w:noProof/>
        </w:rPr>
        <w:t>[1,2]</w:t>
      </w:r>
      <w:r w:rsidR="00BD7A42" w:rsidRPr="00BD7A42">
        <w:fldChar w:fldCharType="end"/>
      </w:r>
      <w:r w:rsidRPr="00BD7A42">
        <w:rPr>
          <w:color w:val="000000" w:themeColor="text1"/>
        </w:rPr>
        <w:t>:</w:t>
      </w:r>
    </w:p>
    <w:p w14:paraId="46CFD938" w14:textId="77777777" w:rsidR="002135D6" w:rsidRPr="00BD7A42" w:rsidRDefault="002135D6" w:rsidP="008C1767">
      <w:pPr>
        <w:pStyle w:val="afff3"/>
        <w:widowControl/>
        <w:numPr>
          <w:ilvl w:val="0"/>
          <w:numId w:val="69"/>
        </w:numPr>
        <w:autoSpaceDE/>
        <w:autoSpaceDN/>
        <w:adjustRightInd/>
        <w:contextualSpacing w:val="0"/>
        <w:rPr>
          <w:color w:val="000000" w:themeColor="text1"/>
        </w:rPr>
      </w:pPr>
      <w:r w:rsidRPr="00BD7A42">
        <w:rPr>
          <w:color w:val="000000" w:themeColor="text1"/>
        </w:rPr>
        <w:t>антигена (HbsAg) вируса гепатита B в крови;</w:t>
      </w:r>
    </w:p>
    <w:p w14:paraId="2ECD162E" w14:textId="77777777" w:rsidR="002135D6" w:rsidRPr="00BD7A42" w:rsidRDefault="002135D6" w:rsidP="008C1767">
      <w:pPr>
        <w:pStyle w:val="afff3"/>
        <w:widowControl/>
        <w:numPr>
          <w:ilvl w:val="0"/>
          <w:numId w:val="69"/>
        </w:numPr>
        <w:autoSpaceDE/>
        <w:autoSpaceDN/>
        <w:adjustRightInd/>
        <w:contextualSpacing w:val="0"/>
        <w:rPr>
          <w:color w:val="000000" w:themeColor="text1"/>
        </w:rPr>
      </w:pPr>
      <w:r w:rsidRPr="00BD7A42">
        <w:rPr>
          <w:color w:val="000000" w:themeColor="text1"/>
        </w:rPr>
        <w:t>антител к поверхностному антигену (HBsAg) вируса гепатита B в крови;</w:t>
      </w:r>
    </w:p>
    <w:p w14:paraId="0CD8BE94" w14:textId="77777777" w:rsidR="002135D6" w:rsidRPr="00BD7A42" w:rsidRDefault="002135D6" w:rsidP="008C1767">
      <w:pPr>
        <w:pStyle w:val="afff3"/>
        <w:widowControl/>
        <w:numPr>
          <w:ilvl w:val="0"/>
          <w:numId w:val="69"/>
        </w:numPr>
        <w:autoSpaceDE/>
        <w:autoSpaceDN/>
        <w:adjustRightInd/>
        <w:contextualSpacing w:val="0"/>
        <w:rPr>
          <w:color w:val="000000" w:themeColor="text1"/>
        </w:rPr>
      </w:pPr>
      <w:r w:rsidRPr="00BD7A42">
        <w:rPr>
          <w:color w:val="000000" w:themeColor="text1"/>
        </w:rPr>
        <w:t>антител к ядерному антигену (HBcAg) вируса гепатита B в крови;</w:t>
      </w:r>
    </w:p>
    <w:p w14:paraId="7213DB66" w14:textId="77777777" w:rsidR="002135D6" w:rsidRPr="00BD7A42" w:rsidRDefault="002135D6" w:rsidP="008C1767">
      <w:pPr>
        <w:pStyle w:val="afff3"/>
        <w:widowControl/>
        <w:numPr>
          <w:ilvl w:val="0"/>
          <w:numId w:val="69"/>
        </w:numPr>
        <w:autoSpaceDE/>
        <w:autoSpaceDN/>
        <w:adjustRightInd/>
        <w:contextualSpacing w:val="0"/>
        <w:rPr>
          <w:color w:val="000000" w:themeColor="text1"/>
        </w:rPr>
      </w:pPr>
      <w:r w:rsidRPr="00BD7A42">
        <w:rPr>
          <w:color w:val="000000" w:themeColor="text1"/>
        </w:rPr>
        <w:t>ДНК вируса гепатита B в крови методом полимеразной цепной реакции (качественное исследование).</w:t>
      </w:r>
    </w:p>
    <w:p w14:paraId="7ED4DBA0" w14:textId="77777777" w:rsidR="002135D6" w:rsidRPr="00BD7A42" w:rsidRDefault="002135D6" w:rsidP="00FD75F1">
      <w:pPr>
        <w:ind w:firstLine="709"/>
        <w:contextualSpacing/>
        <w:rPr>
          <w:b/>
          <w:color w:val="000000" w:themeColor="text1"/>
          <w:spacing w:val="-4"/>
        </w:rPr>
      </w:pPr>
      <w:r w:rsidRPr="00BD7A42">
        <w:rPr>
          <w:b/>
          <w:color w:val="000000" w:themeColor="text1"/>
          <w:spacing w:val="-4"/>
        </w:rPr>
        <w:t>Уровень убедительности рекомендаций – С (уровень достоверности доказательств – 4).</w:t>
      </w:r>
    </w:p>
    <w:p w14:paraId="5457841D" w14:textId="10FB6CC7" w:rsidR="00254823" w:rsidRDefault="00254823" w:rsidP="00FF4C81">
      <w:pPr>
        <w:numPr>
          <w:ilvl w:val="0"/>
          <w:numId w:val="19"/>
        </w:numPr>
        <w:contextualSpacing/>
        <w:rPr>
          <w:b/>
          <w:szCs w:val="22"/>
        </w:rPr>
      </w:pPr>
      <w:r w:rsidRPr="00617969">
        <w:rPr>
          <w:b/>
          <w:szCs w:val="22"/>
        </w:rPr>
        <w:t>Рекоменду</w:t>
      </w:r>
      <w:r w:rsidR="00A66AE5">
        <w:rPr>
          <w:b/>
          <w:szCs w:val="22"/>
        </w:rPr>
        <w:t>е</w:t>
      </w:r>
      <w:r w:rsidRPr="00617969">
        <w:rPr>
          <w:b/>
          <w:szCs w:val="22"/>
        </w:rPr>
        <w:t>тся</w:t>
      </w:r>
      <w:r w:rsidRPr="00617969">
        <w:rPr>
          <w:szCs w:val="22"/>
        </w:rPr>
        <w:t xml:space="preserve"> </w:t>
      </w:r>
      <w:r>
        <w:rPr>
          <w:szCs w:val="22"/>
        </w:rPr>
        <w:t xml:space="preserve">всем пациентам </w:t>
      </w:r>
      <w:r w:rsidR="00A66AE5">
        <w:t>исследование</w:t>
      </w:r>
      <w:r w:rsidR="004405A4">
        <w:t xml:space="preserve"> </w:t>
      </w:r>
      <w:r w:rsidR="005466DC">
        <w:t>микробиоценоза кишечника</w:t>
      </w:r>
      <w:r w:rsidR="004405A4">
        <w:t xml:space="preserve"> (</w:t>
      </w:r>
      <w:r w:rsidR="007D3000">
        <w:t>мазка из прямой кишки</w:t>
      </w:r>
      <w:r w:rsidR="004405A4">
        <w:t>)</w:t>
      </w:r>
      <w:r w:rsidR="007D3000">
        <w:t xml:space="preserve"> </w:t>
      </w:r>
      <w:r>
        <w:t xml:space="preserve">с целью выявления </w:t>
      </w:r>
      <w:r w:rsidR="007D3000">
        <w:t xml:space="preserve">колонизации </w:t>
      </w:r>
      <w:r>
        <w:t>нестерильных локусов патогенной флорой</w:t>
      </w:r>
      <w:r w:rsidR="00E91DAB">
        <w:t xml:space="preserve"> </w:t>
      </w:r>
      <w:r w:rsidR="00914AB6">
        <w:fldChar w:fldCharType="begin" w:fldLock="1"/>
      </w:r>
      <w:r w:rsidR="002466C9">
        <w:instrText>ADDIN CSL_CITATION {"citationItems":[{"id":"ITEM-1","itemData":{"author":[{"dropping-particle":"","family":"Варачек","given":"Н.М.","non-dropping-particle":"","parse-names":false,"suffix":""}],"id":"ITEM-1","issued":{"date-parts":[["2010"]]},"number-of-pages":"150","title":"Клинико-бактериологические аспекты нарушений микробиоценоза кишечника у детей с острым лимфобластным лейкозом. Диссертация на соискание ученой степени кандидата медицинских наук.","type":"thesis"},"uris":["http://www.mendeley.com/documents/?uuid=26bd0d71-9f79-4903-b810-9dc39ab4a2c9"]}],"mendeley":{"formattedCitation":"[26]","plainTextFormattedCitation":"[26]","previouslyFormattedCitation":"[26]"},"properties":{"noteIndex":0},"schema":"https://github.com/citation-style-language/schema/raw/master/csl-citation.json"}</w:instrText>
      </w:r>
      <w:r w:rsidR="00914AB6">
        <w:fldChar w:fldCharType="separate"/>
      </w:r>
      <w:r w:rsidR="00A66456" w:rsidRPr="00A66456">
        <w:rPr>
          <w:noProof/>
        </w:rPr>
        <w:t>[26]</w:t>
      </w:r>
      <w:r w:rsidR="00914AB6">
        <w:fldChar w:fldCharType="end"/>
      </w:r>
      <w:r w:rsidR="00914AB6" w:rsidRPr="00617969">
        <w:t>.</w:t>
      </w:r>
    </w:p>
    <w:p w14:paraId="3C742B3F" w14:textId="208B1E79" w:rsidR="00254823" w:rsidRDefault="00254823" w:rsidP="00C171A6">
      <w:pPr>
        <w:ind w:firstLine="709"/>
        <w:contextualSpacing/>
        <w:rPr>
          <w:b/>
          <w:szCs w:val="22"/>
        </w:rPr>
      </w:pPr>
      <w:r w:rsidRPr="00617969">
        <w:rPr>
          <w:b/>
          <w:szCs w:val="22"/>
        </w:rPr>
        <w:t>Уровень убедительности рекомендаций</w:t>
      </w:r>
      <w:r w:rsidRPr="00617969" w:rsidDel="00670C55">
        <w:rPr>
          <w:b/>
          <w:szCs w:val="22"/>
        </w:rPr>
        <w:t xml:space="preserve"> </w:t>
      </w:r>
      <w:r w:rsidR="00E91DAB">
        <w:rPr>
          <w:b/>
          <w:szCs w:val="22"/>
        </w:rPr>
        <w:t xml:space="preserve">– </w:t>
      </w:r>
      <w:r w:rsidRPr="00617969">
        <w:rPr>
          <w:b/>
          <w:szCs w:val="22"/>
        </w:rPr>
        <w:t xml:space="preserve">В (уровень </w:t>
      </w:r>
      <w:r w:rsidRPr="00617969">
        <w:rPr>
          <w:b/>
          <w:spacing w:val="-1"/>
          <w:szCs w:val="22"/>
        </w:rPr>
        <w:t xml:space="preserve">достоверности доказательств </w:t>
      </w:r>
      <w:r w:rsidR="00C171A6">
        <w:rPr>
          <w:b/>
          <w:szCs w:val="22"/>
        </w:rPr>
        <w:t xml:space="preserve">– </w:t>
      </w:r>
      <w:r w:rsidR="00466B8C">
        <w:rPr>
          <w:b/>
          <w:szCs w:val="22"/>
        </w:rPr>
        <w:t>3</w:t>
      </w:r>
      <w:r w:rsidR="00C171A6">
        <w:rPr>
          <w:b/>
          <w:szCs w:val="22"/>
        </w:rPr>
        <w:t>)</w:t>
      </w:r>
      <w:r w:rsidR="00E91DAB">
        <w:rPr>
          <w:b/>
          <w:szCs w:val="22"/>
        </w:rPr>
        <w:t>.</w:t>
      </w:r>
    </w:p>
    <w:p w14:paraId="2FDB6B94" w14:textId="28607EAC" w:rsidR="0049119F" w:rsidRPr="0049119F" w:rsidRDefault="00254823" w:rsidP="00FF4C81">
      <w:pPr>
        <w:numPr>
          <w:ilvl w:val="0"/>
          <w:numId w:val="19"/>
        </w:numPr>
        <w:contextualSpacing/>
        <w:rPr>
          <w:b/>
          <w:szCs w:val="22"/>
        </w:rPr>
      </w:pPr>
      <w:r w:rsidRPr="00617969">
        <w:rPr>
          <w:b/>
          <w:szCs w:val="22"/>
        </w:rPr>
        <w:t>Рекомендуется</w:t>
      </w:r>
      <w:r w:rsidRPr="00617969">
        <w:rPr>
          <w:szCs w:val="22"/>
        </w:rPr>
        <w:t xml:space="preserve"> </w:t>
      </w:r>
      <w:r w:rsidR="00E91DAB" w:rsidRPr="00A970E9">
        <w:rPr>
          <w:color w:val="000000" w:themeColor="text1"/>
          <w:szCs w:val="22"/>
        </w:rPr>
        <w:t xml:space="preserve">пациентам </w:t>
      </w:r>
      <w:r w:rsidR="003640EA" w:rsidRPr="00A970E9">
        <w:rPr>
          <w:rStyle w:val="aff5"/>
          <w:b w:val="0"/>
          <w:color w:val="000000" w:themeColor="text1"/>
        </w:rPr>
        <w:t>при подозрении и при установленном ОЛЛ, в процессе лечения по показаниям</w:t>
      </w:r>
      <w:r w:rsidR="003640EA" w:rsidRPr="00A970E9">
        <w:rPr>
          <w:rStyle w:val="aff5"/>
          <w:color w:val="000000" w:themeColor="text1"/>
        </w:rPr>
        <w:t xml:space="preserve">, </w:t>
      </w:r>
      <w:r w:rsidR="002F33C8">
        <w:t xml:space="preserve">выполнение необходимых исследований и проб для гемотрансфузии, включающих </w:t>
      </w:r>
      <w:r w:rsidR="002F33C8">
        <w:rPr>
          <w:szCs w:val="22"/>
        </w:rPr>
        <w:fldChar w:fldCharType="begin" w:fldLock="1"/>
      </w:r>
      <w:r w:rsidR="002466C9">
        <w:rPr>
          <w:szCs w:val="22"/>
        </w:rPr>
        <w:instrText>ADDIN CSL_CITATION {"citationItems":[{"id":"ITEM-1","itemData":{"DOI":"10.1111/j.1445-5994.2012.02717.x","ISSN":"1445-5994","PMID":"22432987","abstract":"The ageing population in developed countries, including Australia, is putting increasing demands on blood transfusion services. With a falling donor pool there is likely to be a shortage of blood and blood products in the next 20 to 30 years unless there are significant changes in medical practice. The National Health and Medical Research Council/Australasian Society of Blood Transfusion Clinical Practice Guidelines on the Use of Blood Components from 2001 are being redeveloped by the National Health and Medical Research Council/Australian and New Zealand Society of Blood Transfusion as evidence-based patient-focused Patient Blood Management guidelines with the aim of improving patient outcomes by reducing inappropriate blood and blood product use and targeting therapies for improving the management of anaemia and coagulopathies.","author":[{"dropping-particle":"","family":"Leahy","given":"M F","non-dropping-particle":"","parse-names":false,"suffix":""},{"dropping-particle":"","family":"Mukhtar","given":"S A","non-dropping-particle":"","parse-names":false,"suffix":""}],"container-title":"Internal medicine journal","id":"ITEM-1","issue":"3","issued":{"date-parts":[["2012","3"]]},"page":"332-8","title":"From blood transfusion to patient blood management: a new paradigm for patient care and cost assessment of blood transfusion practice.","type":"article-journal","volume":"42"},"uris":["http://www.mendeley.com/documents/?uuid=16648ce0-11c4-34dc-98e4-6c1fdf7d01dd"]}],"mendeley":{"formattedCitation":"[27]","plainTextFormattedCitation":"[27]","previouslyFormattedCitation":"[27]"},"properties":{"noteIndex":0},"schema":"https://github.com/citation-style-language/schema/raw/master/csl-citation.json"}</w:instrText>
      </w:r>
      <w:r w:rsidR="002F33C8">
        <w:rPr>
          <w:szCs w:val="22"/>
        </w:rPr>
        <w:fldChar w:fldCharType="separate"/>
      </w:r>
      <w:r w:rsidR="00A66456" w:rsidRPr="00A66456">
        <w:rPr>
          <w:noProof/>
          <w:szCs w:val="22"/>
        </w:rPr>
        <w:t>[27]</w:t>
      </w:r>
      <w:r w:rsidR="002F33C8">
        <w:rPr>
          <w:szCs w:val="22"/>
        </w:rPr>
        <w:fldChar w:fldCharType="end"/>
      </w:r>
      <w:r w:rsidR="002F33C8">
        <w:t>:</w:t>
      </w:r>
    </w:p>
    <w:p w14:paraId="0FBACDBB" w14:textId="77777777" w:rsidR="0049119F" w:rsidRPr="00DD73C4" w:rsidRDefault="0049119F" w:rsidP="0049119F">
      <w:pPr>
        <w:pStyle w:val="34"/>
        <w:numPr>
          <w:ilvl w:val="1"/>
          <w:numId w:val="19"/>
        </w:numPr>
        <w:spacing w:before="0"/>
        <w:rPr>
          <w:b/>
          <w:bCs/>
          <w:iCs/>
          <w:color w:val="000000" w:themeColor="text1"/>
          <w:lang w:val="ru-RU"/>
        </w:rPr>
      </w:pPr>
      <w:r w:rsidRPr="00DD73C4">
        <w:rPr>
          <w:iCs/>
          <w:color w:val="000000" w:themeColor="text1"/>
          <w:lang w:val="ru-RU"/>
        </w:rPr>
        <w:t>всем пациентам:</w:t>
      </w:r>
    </w:p>
    <w:p w14:paraId="0C7344EC" w14:textId="77777777" w:rsidR="0049119F" w:rsidRPr="00DD73C4" w:rsidRDefault="0049119F" w:rsidP="0049119F">
      <w:pPr>
        <w:pStyle w:val="34"/>
        <w:numPr>
          <w:ilvl w:val="2"/>
          <w:numId w:val="19"/>
        </w:numPr>
        <w:spacing w:before="0"/>
        <w:rPr>
          <w:b/>
          <w:bCs/>
          <w:color w:val="000000" w:themeColor="text1"/>
          <w:lang w:val="ru-RU"/>
        </w:rPr>
      </w:pPr>
      <w:r w:rsidRPr="00DD73C4">
        <w:rPr>
          <w:color w:val="000000" w:themeColor="text1"/>
          <w:szCs w:val="24"/>
          <w:lang w:eastAsia="ru-RU"/>
        </w:rPr>
        <w:lastRenderedPageBreak/>
        <w:t>определение основных групп по системе AB0</w:t>
      </w:r>
      <w:r w:rsidRPr="00DD73C4">
        <w:rPr>
          <w:color w:val="000000" w:themeColor="text1"/>
          <w:szCs w:val="24"/>
          <w:lang w:val="ru-RU" w:eastAsia="ru-RU"/>
        </w:rPr>
        <w:t>;</w:t>
      </w:r>
    </w:p>
    <w:p w14:paraId="3D27B7E0" w14:textId="77777777" w:rsidR="0049119F" w:rsidRPr="00DD73C4" w:rsidRDefault="0049119F" w:rsidP="0049119F">
      <w:pPr>
        <w:pStyle w:val="34"/>
        <w:numPr>
          <w:ilvl w:val="2"/>
          <w:numId w:val="19"/>
        </w:numPr>
        <w:spacing w:before="0"/>
        <w:rPr>
          <w:b/>
          <w:bCs/>
          <w:color w:val="000000" w:themeColor="text1"/>
          <w:lang w:val="ru-RU"/>
        </w:rPr>
      </w:pPr>
      <w:r w:rsidRPr="00DD73C4">
        <w:rPr>
          <w:color w:val="000000" w:themeColor="text1"/>
          <w:szCs w:val="24"/>
          <w:lang w:eastAsia="ru-RU"/>
        </w:rPr>
        <w:t>определение антигена D системы Резус (резус-фактор)</w:t>
      </w:r>
      <w:r w:rsidRPr="00DD73C4">
        <w:rPr>
          <w:color w:val="000000" w:themeColor="text1"/>
          <w:szCs w:val="24"/>
          <w:lang w:val="ru-RU" w:eastAsia="ru-RU"/>
        </w:rPr>
        <w:t>;</w:t>
      </w:r>
    </w:p>
    <w:p w14:paraId="37C5D14F" w14:textId="77777777" w:rsidR="0049119F" w:rsidRPr="00DD73C4" w:rsidRDefault="0049119F" w:rsidP="0049119F">
      <w:pPr>
        <w:pStyle w:val="34"/>
        <w:numPr>
          <w:ilvl w:val="2"/>
          <w:numId w:val="19"/>
        </w:numPr>
        <w:spacing w:before="0"/>
        <w:rPr>
          <w:b/>
          <w:bCs/>
          <w:color w:val="000000" w:themeColor="text1"/>
          <w:lang w:val="ru-RU"/>
        </w:rPr>
      </w:pPr>
      <w:r w:rsidRPr="00DD73C4">
        <w:rPr>
          <w:color w:val="000000" w:themeColor="text1"/>
          <w:szCs w:val="24"/>
          <w:lang w:eastAsia="ru-RU"/>
        </w:rPr>
        <w:t>определение подгруппы и других групп крови меньшего значения A-1, A-2, D, Cc, E, Kell, Duffy</w:t>
      </w:r>
      <w:r w:rsidRPr="00DD73C4">
        <w:rPr>
          <w:color w:val="000000" w:themeColor="text1"/>
          <w:szCs w:val="24"/>
          <w:lang w:val="ru-RU" w:eastAsia="ru-RU"/>
        </w:rPr>
        <w:t>;</w:t>
      </w:r>
    </w:p>
    <w:p w14:paraId="3AFBA1BC" w14:textId="77777777" w:rsidR="0049119F" w:rsidRPr="00DD73C4" w:rsidRDefault="0049119F" w:rsidP="0049119F">
      <w:pPr>
        <w:pStyle w:val="34"/>
        <w:numPr>
          <w:ilvl w:val="2"/>
          <w:numId w:val="19"/>
        </w:numPr>
        <w:spacing w:before="0"/>
        <w:rPr>
          <w:b/>
          <w:bCs/>
          <w:color w:val="000000" w:themeColor="text1"/>
          <w:lang w:val="ru-RU"/>
        </w:rPr>
      </w:pPr>
      <w:r w:rsidRPr="00DD73C4">
        <w:rPr>
          <w:color w:val="000000" w:themeColor="text1"/>
          <w:szCs w:val="24"/>
          <w:lang w:eastAsia="ru-RU"/>
        </w:rPr>
        <w:t>проба на совместимость перед переливанием компонентов крови</w:t>
      </w:r>
      <w:r w:rsidRPr="00DD73C4">
        <w:rPr>
          <w:color w:val="000000" w:themeColor="text1"/>
          <w:szCs w:val="24"/>
          <w:lang w:val="ru-RU" w:eastAsia="ru-RU"/>
        </w:rPr>
        <w:t>;</w:t>
      </w:r>
    </w:p>
    <w:p w14:paraId="62788190" w14:textId="77777777" w:rsidR="0049119F" w:rsidRPr="00DD73C4" w:rsidRDefault="0049119F" w:rsidP="0049119F">
      <w:pPr>
        <w:pStyle w:val="34"/>
        <w:numPr>
          <w:ilvl w:val="2"/>
          <w:numId w:val="19"/>
        </w:numPr>
        <w:spacing w:before="0"/>
        <w:rPr>
          <w:b/>
          <w:bCs/>
          <w:color w:val="000000" w:themeColor="text1"/>
          <w:lang w:val="ru-RU"/>
        </w:rPr>
      </w:pPr>
      <w:r w:rsidRPr="00DD73C4">
        <w:rPr>
          <w:color w:val="000000" w:themeColor="text1"/>
          <w:szCs w:val="24"/>
          <w:lang w:eastAsia="ru-RU"/>
        </w:rPr>
        <w:t>определение фенотипа по антигенам C, c, E, e, Cw, K, k и определение антиэритроцитарных антите</w:t>
      </w:r>
      <w:r w:rsidRPr="00DD73C4">
        <w:rPr>
          <w:color w:val="000000" w:themeColor="text1"/>
          <w:szCs w:val="24"/>
          <w:lang w:val="ru-RU" w:eastAsia="ru-RU"/>
        </w:rPr>
        <w:t>л;</w:t>
      </w:r>
    </w:p>
    <w:p w14:paraId="440F4A1A" w14:textId="77777777" w:rsidR="0049119F" w:rsidRPr="00DD73C4" w:rsidRDefault="0049119F" w:rsidP="0049119F">
      <w:pPr>
        <w:pStyle w:val="34"/>
        <w:numPr>
          <w:ilvl w:val="1"/>
          <w:numId w:val="19"/>
        </w:numPr>
        <w:spacing w:before="0"/>
        <w:rPr>
          <w:b/>
          <w:bCs/>
          <w:color w:val="000000" w:themeColor="text1"/>
          <w:lang w:val="ru-RU"/>
        </w:rPr>
      </w:pPr>
      <w:r w:rsidRPr="00DD73C4">
        <w:rPr>
          <w:color w:val="000000" w:themeColor="text1"/>
          <w:szCs w:val="24"/>
          <w:lang w:val="ru-RU" w:eastAsia="ru-RU"/>
        </w:rPr>
        <w:t>при необходимости</w:t>
      </w:r>
      <w:r w:rsidRPr="00DD73C4">
        <w:rPr>
          <w:color w:val="000000" w:themeColor="text1"/>
          <w:szCs w:val="24"/>
          <w:lang w:eastAsia="ru-RU"/>
        </w:rPr>
        <w:t>:</w:t>
      </w:r>
    </w:p>
    <w:p w14:paraId="199AAAA7" w14:textId="77777777" w:rsidR="0049119F" w:rsidRPr="00DD73C4" w:rsidRDefault="0049119F" w:rsidP="0049119F">
      <w:pPr>
        <w:pStyle w:val="34"/>
        <w:numPr>
          <w:ilvl w:val="2"/>
          <w:numId w:val="19"/>
        </w:numPr>
        <w:spacing w:before="0"/>
        <w:rPr>
          <w:b/>
          <w:bCs/>
          <w:color w:val="000000" w:themeColor="text1"/>
          <w:lang w:val="ru-RU"/>
        </w:rPr>
      </w:pPr>
      <w:r w:rsidRPr="00DD73C4">
        <w:rPr>
          <w:color w:val="000000" w:themeColor="text1"/>
          <w:szCs w:val="24"/>
          <w:lang w:eastAsia="ru-RU"/>
        </w:rPr>
        <w:t>определение HLA-антигенов</w:t>
      </w:r>
      <w:r w:rsidRPr="00DD73C4">
        <w:rPr>
          <w:color w:val="000000" w:themeColor="text1"/>
          <w:szCs w:val="24"/>
          <w:lang w:val="ru-RU" w:eastAsia="ru-RU"/>
        </w:rPr>
        <w:t>;</w:t>
      </w:r>
    </w:p>
    <w:p w14:paraId="5D918F06" w14:textId="77777777" w:rsidR="0049119F" w:rsidRPr="00DD73C4" w:rsidRDefault="0049119F" w:rsidP="0049119F">
      <w:pPr>
        <w:pStyle w:val="34"/>
        <w:numPr>
          <w:ilvl w:val="2"/>
          <w:numId w:val="19"/>
        </w:numPr>
        <w:spacing w:before="0"/>
        <w:rPr>
          <w:b/>
          <w:bCs/>
          <w:color w:val="000000" w:themeColor="text1"/>
          <w:lang w:val="ru-RU"/>
        </w:rPr>
      </w:pPr>
      <w:r w:rsidRPr="00DD73C4">
        <w:rPr>
          <w:color w:val="000000" w:themeColor="text1"/>
          <w:szCs w:val="24"/>
          <w:lang w:eastAsia="ru-RU"/>
        </w:rPr>
        <w:t>определение содержания мембранных иммуноглобулинов</w:t>
      </w:r>
      <w:r w:rsidRPr="00DD73C4">
        <w:rPr>
          <w:color w:val="000000" w:themeColor="text1"/>
          <w:szCs w:val="24"/>
          <w:lang w:val="ru-RU" w:eastAsia="ru-RU"/>
        </w:rPr>
        <w:t>;</w:t>
      </w:r>
    </w:p>
    <w:p w14:paraId="3428C886" w14:textId="77777777" w:rsidR="0049119F" w:rsidRPr="00DD73C4" w:rsidRDefault="0049119F" w:rsidP="0049119F">
      <w:pPr>
        <w:pStyle w:val="34"/>
        <w:numPr>
          <w:ilvl w:val="2"/>
          <w:numId w:val="19"/>
        </w:numPr>
        <w:spacing w:before="0"/>
        <w:rPr>
          <w:b/>
          <w:bCs/>
          <w:color w:val="000000" w:themeColor="text1"/>
          <w:lang w:val="ru-RU"/>
        </w:rPr>
      </w:pPr>
      <w:r w:rsidRPr="00DD73C4">
        <w:rPr>
          <w:color w:val="000000" w:themeColor="text1"/>
          <w:szCs w:val="24"/>
          <w:lang w:eastAsia="ru-RU"/>
        </w:rPr>
        <w:t>определение содержания антилейкоцитарных антител</w:t>
      </w:r>
      <w:r w:rsidRPr="00DD73C4">
        <w:rPr>
          <w:color w:val="000000" w:themeColor="text1"/>
          <w:szCs w:val="24"/>
          <w:lang w:val="ru-RU" w:eastAsia="ru-RU"/>
        </w:rPr>
        <w:t>;</w:t>
      </w:r>
    </w:p>
    <w:p w14:paraId="1BA19360" w14:textId="77777777" w:rsidR="0049119F" w:rsidRPr="00DD73C4" w:rsidRDefault="0049119F" w:rsidP="0049119F">
      <w:pPr>
        <w:pStyle w:val="34"/>
        <w:numPr>
          <w:ilvl w:val="2"/>
          <w:numId w:val="19"/>
        </w:numPr>
        <w:spacing w:before="0"/>
        <w:rPr>
          <w:b/>
          <w:bCs/>
          <w:color w:val="000000" w:themeColor="text1"/>
          <w:lang w:val="ru-RU"/>
        </w:rPr>
      </w:pPr>
      <w:r w:rsidRPr="00DD73C4">
        <w:rPr>
          <w:color w:val="000000" w:themeColor="text1"/>
          <w:szCs w:val="24"/>
          <w:lang w:eastAsia="ru-RU"/>
        </w:rPr>
        <w:t>определение содержания антитромбоцитарных антител</w:t>
      </w:r>
      <w:r w:rsidRPr="00DD73C4">
        <w:rPr>
          <w:color w:val="000000" w:themeColor="text1"/>
          <w:szCs w:val="24"/>
          <w:lang w:val="ru-RU" w:eastAsia="ru-RU"/>
        </w:rPr>
        <w:t>;</w:t>
      </w:r>
    </w:p>
    <w:p w14:paraId="209F836C" w14:textId="77777777" w:rsidR="0049119F" w:rsidRPr="00DD73C4" w:rsidRDefault="0049119F" w:rsidP="0049119F">
      <w:pPr>
        <w:pStyle w:val="34"/>
        <w:numPr>
          <w:ilvl w:val="2"/>
          <w:numId w:val="19"/>
        </w:numPr>
        <w:spacing w:before="0"/>
        <w:rPr>
          <w:b/>
          <w:bCs/>
          <w:color w:val="000000" w:themeColor="text1"/>
          <w:lang w:val="ru-RU"/>
        </w:rPr>
      </w:pPr>
      <w:r w:rsidRPr="00DD73C4">
        <w:rPr>
          <w:color w:val="000000" w:themeColor="text1"/>
          <w:szCs w:val="24"/>
          <w:lang w:eastAsia="ru-RU"/>
        </w:rPr>
        <w:t>определение содержания антител к антигенам эритроцитов в сыворотке крови</w:t>
      </w:r>
      <w:r w:rsidRPr="00DD73C4">
        <w:rPr>
          <w:color w:val="000000" w:themeColor="text1"/>
          <w:szCs w:val="24"/>
          <w:lang w:val="ru-RU" w:eastAsia="ru-RU"/>
        </w:rPr>
        <w:t>.</w:t>
      </w:r>
    </w:p>
    <w:p w14:paraId="0EDC7125" w14:textId="77777777" w:rsidR="00254823" w:rsidRDefault="00254823" w:rsidP="00C171A6">
      <w:pPr>
        <w:ind w:firstLine="709"/>
        <w:contextualSpacing/>
        <w:rPr>
          <w:b/>
          <w:szCs w:val="22"/>
        </w:rPr>
      </w:pPr>
      <w:r w:rsidRPr="00617969">
        <w:rPr>
          <w:b/>
          <w:szCs w:val="22"/>
        </w:rPr>
        <w:t>Уровень убедительности рекомендаций</w:t>
      </w:r>
      <w:r w:rsidRPr="00617969" w:rsidDel="00670C55">
        <w:rPr>
          <w:b/>
          <w:szCs w:val="22"/>
        </w:rPr>
        <w:t xml:space="preserve"> </w:t>
      </w:r>
      <w:r w:rsidR="00E91DAB">
        <w:rPr>
          <w:b/>
          <w:szCs w:val="22"/>
        </w:rPr>
        <w:t xml:space="preserve">– </w:t>
      </w:r>
      <w:r w:rsidR="00466B8C">
        <w:rPr>
          <w:b/>
          <w:szCs w:val="22"/>
        </w:rPr>
        <w:t>С</w:t>
      </w:r>
      <w:r w:rsidRPr="00617969">
        <w:rPr>
          <w:b/>
          <w:szCs w:val="22"/>
        </w:rPr>
        <w:t xml:space="preserve"> (уровень </w:t>
      </w:r>
      <w:r w:rsidRPr="00617969">
        <w:rPr>
          <w:b/>
          <w:spacing w:val="-1"/>
          <w:szCs w:val="22"/>
        </w:rPr>
        <w:t xml:space="preserve">достоверности доказательств </w:t>
      </w:r>
      <w:r w:rsidR="00C171A6">
        <w:rPr>
          <w:b/>
          <w:szCs w:val="22"/>
        </w:rPr>
        <w:t xml:space="preserve">– </w:t>
      </w:r>
      <w:r w:rsidR="00466B8C">
        <w:rPr>
          <w:b/>
          <w:szCs w:val="22"/>
        </w:rPr>
        <w:t>5</w:t>
      </w:r>
      <w:r w:rsidR="00C171A6">
        <w:rPr>
          <w:b/>
          <w:szCs w:val="22"/>
        </w:rPr>
        <w:t>)</w:t>
      </w:r>
      <w:r w:rsidR="00E91DAB">
        <w:rPr>
          <w:b/>
          <w:szCs w:val="22"/>
        </w:rPr>
        <w:t>.</w:t>
      </w:r>
    </w:p>
    <w:p w14:paraId="4099BF88" w14:textId="110362B2" w:rsidR="003640EA" w:rsidRPr="00A970E9" w:rsidRDefault="003640EA" w:rsidP="00A970E9">
      <w:pPr>
        <w:pStyle w:val="10"/>
        <w:numPr>
          <w:ilvl w:val="0"/>
          <w:numId w:val="0"/>
        </w:numPr>
        <w:spacing w:before="0"/>
        <w:ind w:firstLine="709"/>
        <w:contextualSpacing/>
        <w:rPr>
          <w:i/>
          <w:color w:val="000000" w:themeColor="text1"/>
          <w:lang w:val="ru-RU"/>
        </w:rPr>
      </w:pPr>
      <w:r w:rsidRPr="00A970E9">
        <w:rPr>
          <w:rStyle w:val="aff5"/>
          <w:i/>
          <w:color w:val="000000" w:themeColor="text1"/>
          <w:lang w:val="ru-RU"/>
        </w:rPr>
        <w:t>Комментарии: назначение необходимых исследований и проб, а также в</w:t>
      </w:r>
      <w:r w:rsidRPr="00A970E9">
        <w:rPr>
          <w:i/>
          <w:color w:val="000000" w:themeColor="text1"/>
        </w:rPr>
        <w:t xml:space="preserve">ыбор конкретного вида компонента крови для гемотрансфузии (тип эритроцитосодержащего компонента крови, тип </w:t>
      </w:r>
      <w:r w:rsidRPr="00A970E9">
        <w:rPr>
          <w:bCs/>
          <w:i/>
          <w:iCs/>
          <w:color w:val="000000" w:themeColor="text1"/>
        </w:rPr>
        <w:t xml:space="preserve">концентрата тромбоцитов, тип препарата </w:t>
      </w:r>
      <w:r w:rsidRPr="00A970E9">
        <w:rPr>
          <w:i/>
          <w:iCs/>
          <w:color w:val="000000" w:themeColor="text1"/>
        </w:rPr>
        <w:t xml:space="preserve">плазмы) осуществляется лечащим врачом или врачом-трансфузиологом в соответствии с клинической ситуаций и на основании </w:t>
      </w:r>
      <w:r w:rsidRPr="00A970E9">
        <w:rPr>
          <w:i/>
          <w:color w:val="000000" w:themeColor="text1"/>
        </w:rPr>
        <w:t xml:space="preserve">Приказа Минздрава России от 28.10.2020 N 1170н"Об утверждении порядка оказания медицинской помощи населению по профилю "трансфузиология", Приказа Минздрава России от 20.10.2020 </w:t>
      </w:r>
      <w:r w:rsidRPr="00A970E9">
        <w:rPr>
          <w:i/>
          <w:color w:val="000000" w:themeColor="text1"/>
          <w:lang w:val="en-US"/>
        </w:rPr>
        <w:t>N</w:t>
      </w:r>
      <w:r w:rsidRPr="00A970E9">
        <w:rPr>
          <w:i/>
          <w:color w:val="000000" w:themeColor="text1"/>
        </w:rPr>
        <w:t xml:space="preserve"> 1134н «О порядке медицинского обследования реципиента, проведения проб на индивидуальную совместимость, включая биологическую пробу, при трансфузии донорской крови и (или) ее компонентов», рекомендациями «Клиническое использование эритроцитсодержащих компонентов крови»  (2018г)</w:t>
      </w:r>
      <w:r w:rsidRPr="00A970E9">
        <w:rPr>
          <w:i/>
          <w:color w:val="000000" w:themeColor="text1"/>
          <w:lang w:val="ru-RU"/>
        </w:rPr>
        <w:t xml:space="preserve">, Постановления от 22.06.2019 г. </w:t>
      </w:r>
      <w:r w:rsidRPr="00A970E9">
        <w:rPr>
          <w:i/>
          <w:color w:val="000000" w:themeColor="text1"/>
          <w:lang w:val="en-US"/>
        </w:rPr>
        <w:t>N</w:t>
      </w:r>
      <w:r w:rsidRPr="00A970E9">
        <w:rPr>
          <w:i/>
          <w:color w:val="000000" w:themeColor="text1"/>
          <w:lang w:val="ru-RU"/>
        </w:rPr>
        <w:t xml:space="preserve"> 797 «Об утверждении правил заготовки, хранения, транспортировки и клинического использования донорской крови и ее компонентов и о признании утратившими силу некоторых актов Правительства Российской Федерации», </w:t>
      </w:r>
      <w:r w:rsidRPr="00A970E9">
        <w:rPr>
          <w:i/>
          <w:color w:val="000000" w:themeColor="text1"/>
        </w:rPr>
        <w:t xml:space="preserve"> другими нормативными актами</w:t>
      </w:r>
      <w:r w:rsidRPr="00A970E9">
        <w:rPr>
          <w:i/>
          <w:color w:val="000000" w:themeColor="text1"/>
          <w:lang w:val="ru-RU"/>
        </w:rPr>
        <w:t xml:space="preserve"> (см. </w:t>
      </w:r>
      <w:r w:rsidRPr="00116C40">
        <w:rPr>
          <w:i/>
          <w:color w:val="000000" w:themeColor="text1"/>
          <w:lang w:val="ru-RU"/>
        </w:rPr>
        <w:t>Приложение</w:t>
      </w:r>
      <w:r w:rsidR="00116C40" w:rsidRPr="00116C40">
        <w:rPr>
          <w:i/>
          <w:color w:val="000000" w:themeColor="text1"/>
          <w:lang w:val="ru-RU"/>
        </w:rPr>
        <w:t xml:space="preserve"> А3.9</w:t>
      </w:r>
      <w:r w:rsidRPr="00116C40">
        <w:rPr>
          <w:i/>
          <w:color w:val="000000" w:themeColor="text1"/>
          <w:lang w:val="ru-RU"/>
        </w:rPr>
        <w:t>).</w:t>
      </w:r>
    </w:p>
    <w:p w14:paraId="39ED58A8" w14:textId="525B64D1" w:rsidR="00254823" w:rsidRDefault="00E91DAB" w:rsidP="00FF4C81">
      <w:pPr>
        <w:numPr>
          <w:ilvl w:val="0"/>
          <w:numId w:val="19"/>
        </w:numPr>
        <w:contextualSpacing/>
        <w:rPr>
          <w:b/>
          <w:szCs w:val="22"/>
        </w:rPr>
      </w:pPr>
      <w:r>
        <w:rPr>
          <w:b/>
        </w:rPr>
        <w:t>Рекомендую</w:t>
      </w:r>
      <w:r w:rsidR="00254823" w:rsidRPr="00617969">
        <w:rPr>
          <w:b/>
        </w:rPr>
        <w:t xml:space="preserve">тся </w:t>
      </w:r>
      <w:r w:rsidR="00254823" w:rsidRPr="00466B8C">
        <w:rPr>
          <w:bCs/>
        </w:rPr>
        <w:t>всем пациентам</w:t>
      </w:r>
      <w:r w:rsidR="00254823">
        <w:rPr>
          <w:b/>
        </w:rPr>
        <w:t xml:space="preserve"> </w:t>
      </w:r>
      <w:r w:rsidR="00466B8C" w:rsidRPr="003E42BD">
        <w:t xml:space="preserve">получение цитологического препарата </w:t>
      </w:r>
      <w:r w:rsidR="00B87C87">
        <w:t xml:space="preserve">КМ </w:t>
      </w:r>
      <w:r w:rsidR="00466B8C" w:rsidRPr="003E42BD">
        <w:t>путем пункции</w:t>
      </w:r>
      <w:r w:rsidR="00466B8C">
        <w:t xml:space="preserve"> (стернальная пункция)</w:t>
      </w:r>
      <w:r w:rsidR="00466B8C" w:rsidRPr="00466B8C">
        <w:t xml:space="preserve"> </w:t>
      </w:r>
      <w:r w:rsidR="00466B8C">
        <w:t xml:space="preserve">и </w:t>
      </w:r>
      <w:r w:rsidR="00466B8C" w:rsidRPr="00D07EC1">
        <w:t>цитологическое исследовани</w:t>
      </w:r>
      <w:r w:rsidR="00466B8C">
        <w:t>е мазка</w:t>
      </w:r>
      <w:r w:rsidR="00466B8C" w:rsidRPr="00D07EC1">
        <w:t xml:space="preserve"> </w:t>
      </w:r>
      <w:r w:rsidR="00466B8C">
        <w:t xml:space="preserve">КМ (миелограмма) из стернального пунктата </w:t>
      </w:r>
      <w:r w:rsidR="00254823">
        <w:t>с целью верификации диагноза</w:t>
      </w:r>
      <w:r w:rsidR="00466B8C">
        <w:t xml:space="preserve"> и </w:t>
      </w:r>
      <w:r w:rsidR="00466B8C">
        <w:lastRenderedPageBreak/>
        <w:t>определения</w:t>
      </w:r>
      <w:r w:rsidR="00FA6486">
        <w:t xml:space="preserve"> прогноза пациентов</w:t>
      </w:r>
      <w:r w:rsidR="00914AB6">
        <w:t xml:space="preserve"> </w:t>
      </w:r>
      <w:r w:rsidR="00914AB6">
        <w:fldChar w:fldCharType="begin" w:fldLock="1"/>
      </w:r>
      <w:r w:rsidR="002466C9">
        <w:instrText>ADDIN CSL_CITATION {"citationItems":[{"id":"ITEM-1","itemData":{"id":"ITEM-1","issued":{"date-parts":[["2012"]]},"number-of-pages":"1056","title":"Программное лечение заболеваний системы крови: Сборник алгоритмов диагностики и протоколов лечения заболеваний системы крови. Под ред. В.Г. Савченко","type":"book"},"uris":["http://www.mendeley.com/documents/?uuid=36484a90-27ae-40a9-a194-b0461fb47d9d"]},{"id":"ITEM-2","itemData":{"author":[{"dropping-particle":"","family":"Савченко","given":"Валерий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доп.","id":"ITEM-2","issued":{"date-parts":[["2007"]]},"page":"409-502","title":"Острые лейкозы","type":"chapter"},"uris":["http://www.mendeley.com/documents/?uuid=08f85f58-ddaa-48eb-b937-65d15d14b213"]},{"id":"ITEM-3","itemData":{"author":[{"dropping-particle":"","family":"Brown","given":"Patrick A","non-dropping-particle":"","parse-names":false,"suffix":""},{"dropping-particle":"","family":"Shah","given":"Bijal","non-dropping-particle":"","parse-names":false,"suffix":""},{"dropping-particle":"","family":"Advani","given":"Anjali","non-dropping-particle":"","parse-names":false,"suffix":""},{"dropping-particle":"","family":"Aoun","given":"Patricia","non-dropping-particle":"","parse-names":false,"suffix":""},{"dropping-particle":"","family":"Bhatnagar","given":"Bhavana","non-dropping-particle":"","parse-names":false,"suffix":""},{"dropping-particle":"","family":"Boyer","given":"Michael W","non-dropping-particle":"","parse-names":false,"suffix":""},{"dropping-particle":"","family":"Bryan","given":"Teresa","non-dropping-particle":"","parse-names":false,"suffix":""},{"dropping-particle":"","family":"Burke","given":"Patrick W","non-dropping-particle":"","parse-names":false,"suffix":""},{"dropping-particle":"","family":"Cassaday","given":"Ryan D","non-dropping-particle":"","parse-names":false,"suffix":""},{"dropping-particle":"","family":"Coutre","given":"Steven E","non-dropping-particle":"","parse-names":false,"suffix":""},{"dropping-particle":"","family":"Coccia","given":"Peter F","non-dropping-particle":"","parse-names":false,"suffix":""},{"dropping-particle":"","family":"DeAngelo","given":"Daniel J","non-dropping-particle":"","parse-names":false,"suffix":""},{"dropping-particle":"","family":"Fathi","given":"Amir","non-dropping-particle":"","parse-names":false,"suffix":""},{"dropping-particle":"","family":"Jain","given":"Nitin","non-dropping-particle":"","parse-names":false,"suffix":""},{"dropping-particle":"","family":"Kirby","given":"Suzanne","non-dropping-particle":"","parse-names":false,"suffix":""},{"dropping-particle":"","family":"Litzow","given":"Mark","non-dropping-particle":"","parse-names":false,"suffix":""},{"dropping-particle":"","family":"Liu","given":"Arthur","non-dropping-particle":"","parse-names":false,"suffix":""},{"dropping-particle":"","family":"Logan","given":"Aaron","non-dropping-particle":"","parse-names":false,"suffix":""},{"dropping-particle":"","family":"Massaro","given":"Stephanie","non-dropping-particle":"","parse-names":false,"suffix":""},{"dropping-particle":"","family":"Mattison","given":"Ryan J","non-dropping-particle":"","parse-names":false,"suffix":""},{"dropping-particle":"","family":"Oluwole","given":"Olalekan","non-dropping-particle":"","parse-names":false,"suffix":""},{"dropping-particle":"","family":"Papadantonakis","given":"Nikolaos","non-dropping-particle":"","parse-names":false,"suffix":""},{"dropping-particle":"","family":"Park","given":"Jae","non-dropping-particle":"","parse-names":false,"suffix":""},{"dropping-particle":"","family":"Rubnitz","given":"Jeffrey E","non-dropping-particle":"","parse-names":false,"suffix":""},{"dropping-particle":"","family":"Uy","given":"Geoffrey L","non-dropping-particle":"","parse-names":false,"suffix":""},{"dropping-particle":"","family":"Wang","given":"Eunice S","non-dropping-particle":"","parse-names":false,"suffix":""},{"dropping-particle":"","family":"Wieduwilt","given":"Matthew","non-dropping-particle":"","parse-names":false,"suffix":""},{"dropping-particle":"","family":"Gregory","given":"Kristina","non-dropping-particle":"","parse-names":false,"suffix":""}],"id":"ITEM-3","issued":{"date-parts":[["2019"]]},"number-of-pages":"115","title":"NCCN Clinical Practice Guidelines in Oncology. Acute Lymphoblastic Leukemia. Version 2.2019","type":"report"},"uris":["http://www.mendeley.com/documents/?uuid=ef92918b-8a57-37b1-bea5-284dfdf15541"]},{"id":"ITEM-4","itemData":{"author":[{"dropping-particle":"","family":"Gökbuget","given":"N.","non-dropping-particle":"","parse-names":false,"suffix":""},{"dropping-particle":"","family":"Bassan","given":"R.","non-dropping-particle":"","parse-names":false,"suffix":""},{"dropping-particle":"","family":"Dombret","given":"H.","non-dropping-particle":"","parse-names":false,"suffix":""},{"dropping-particle":"","family":"Doubek","given":"M.","non-dropping-particle":"","parse-names":false,"suffix":""},{"dropping-particle":"","family":"Fielding","given":"A.K.","non-dropping-particle":"","parse-names":false,"suffix":""},{"dropping-particle":"","family":"Foà","given":"R.","non-dropping-particle":"","parse-names":false,"suffix":""},{"dropping-particle":"","family":"Giebel","given":"S.","non-dropping-particle":"","parse-names":false,"suffix":""},{"dropping-particle":"","family":"Hoelzer","given":"D.","non-dropping-particle":"","parse-names":false,"suffix":""},{"dropping-particle":"","family":"Martinelli","given":"G.","non-dropping-particle":"","parse-names":false,"suffix":""},{"dropping-particle":"","family":"Meloni","given":"G.","non-dropping-particle":"","parse-names":false,"suffix":""},{"dropping-particle":"","family":"Delia Moicean","given":"A.","non-dropping-particle":"","parse-names":false,"suffix":""},{"dropping-particle":"","family":"Ottmann","given":"O.","non-dropping-particle":"","parse-names":false,"suffix":""},{"dropping-particle":"","family":"Piccaluga","given":"P.P.","non-dropping-particle":"","parse-names":false,"suffix":""},{"dropping-particle":"","family":"Ribera","given":"J.M.","non-dropping-particle":"","parse-names":false,"suffix":""},{"dropping-particle":"","family":"Rousselot","given":"P.","non-dropping-particle":"","parse-names":false,"suffix":""},{"dropping-particle":"","family":"Walewski","given":"J.","non-dropping-particle":"","parse-names":false,"suffix":""}],"container-title":"UNI-MED Verlag AG","id":"ITEM-4","issued":{"date-parts":[["2011"]]},"number-of-pages":"204","title":"Recommendations of the European Working Group for Adult ALL (EWALL)","type":"book"},"uris":["http://www.mendeley.com/documents/?uuid=aba58166-cd2b-4f70-bb6a-5fdd9e1b42de"]},{"id":"ITEM-5","itemData":{"ISSN":"0006-4971","PMID":"3422030","abstract":"In a prospective multicenter study, 368 acute lymphoblastic leukemia (ALL) patients aged 15 to 65 years were treated with an intensified induction and reinduction regimen; 272 (73.9%) achieved complete remission (CR). The median remission duration (MRD) is 24.3 months, and the probability of being in continuous CR (CCR) at greater than 5 years is .37. The median survival for all 368 patients is 27.5 months, and the probability of being alive at 5 years is .39. For the 272 patients in remission the median survival is 58.4 months, and the probability of being alive at 5 years is .49. A lower CR rate was seen for patients with bleeding at diagnosis or with splenomegaly/hepatosplenomegaly. The prognostic factors unfavorable for remission duration were time to CR greater than 4 weeks v less than 4 weeks (P = .0002), age greater than 35 years v less than 35 years (P = .0008), leukocyte count greater than 30,000/microL v less than 30,000/microL (P = .0112), and null ALL v common ALL (c-ALL)/T cell ALL (T-ALL) (P = .05). The remission duration correlated strongly (P = .0001) with the number of these independent prognostic factors. In patients with none of these adverse factors the MRD has not yet been reached, with one adverse factor the MRD is 21.9 months, and with two or three adverse factors the MRD is only 9.6 months. For the immunologic subtype T-ALL, the probability of being in CCR at greater than 5 years is .55; for c-ALL, .34; and for null ALL, .24. According to these results, patients were stratified into a low-risk group with a CCR rate of .62 and a high-risk group with a CCR rate of .28, with the latter now allocated to either further chemotherapy or bone marrow transplantation in first remission.","author":[{"dropping-particle":"","family":"Hoelzer","given":"D","non-dropping-particle":"","parse-names":false,"suffix":""},{"dropping-particle":"","family":"Thiel","given":"E","non-dropping-particle":"","parse-names":false,"suffix":""},{"dropping-particle":"","family":"Löffler","given":"H","non-dropping-particle":"","parse-names":false,"suffix":""},{"dropping-particle":"","family":"Büchner","given":"T","non-dropping-particle":"","parse-names":false,"suffix":""},{"dropping-particle":"","family":"Ganser","given":"A","non-dropping-particle":"","parse-names":false,"suffix":""},{"dropping-particle":"","family":"Heil","given":"G","non-dropping-particle":"","parse-names":false,"suffix":""},{"dropping-particle":"","family":"Koch","given":"P","non-dropping-particle":"","parse-names":false,"suffix":""},{"dropping-particle":"","family":"Freund","given":"M","non-dropping-particle":"","parse-names":false,"suffix":""},{"dropping-particle":"","family":"Diedrich","given":"H","non-dropping-particle":"","parse-names":false,"suffix":""},{"dropping-particle":"","family":"Rühl","given":"H","non-dropping-particle":"","parse-names":false,"suffix":""}],"container-title":"Blood","id":"ITEM-5","issue":"1","issued":{"date-parts":[["1988","1"]]},"page":"123-31","title":"Prognostic factors in a multicenter study for treatment of acute lymphoblastic leukemia in adults.","type":"article-journal","volume":"71"},"uris":["http://www.mendeley.com/documents/?uuid=82ae800d-f6a9-370a-9b57-ccaa6e14204b"]}],"mendeley":{"formattedCitation":"[1,2,4,5,11]","plainTextFormattedCitation":"[1,2,4,5,11]","previouslyFormattedCitation":"[1,2,4,5,11]"},"properties":{"noteIndex":0},"schema":"https://github.com/citation-style-language/schema/raw/master/csl-citation.json"}</w:instrText>
      </w:r>
      <w:r w:rsidR="00914AB6">
        <w:fldChar w:fldCharType="separate"/>
      </w:r>
      <w:r w:rsidR="00A66456" w:rsidRPr="00A66456">
        <w:rPr>
          <w:noProof/>
        </w:rPr>
        <w:t>[1,2,4,5,11]</w:t>
      </w:r>
      <w:r w:rsidR="00914AB6">
        <w:fldChar w:fldCharType="end"/>
      </w:r>
      <w:r w:rsidR="00914AB6" w:rsidRPr="00617969">
        <w:t>.</w:t>
      </w:r>
      <w:r>
        <w:t xml:space="preserve"> </w:t>
      </w:r>
    </w:p>
    <w:p w14:paraId="616EF20E" w14:textId="77777777" w:rsidR="00254823" w:rsidRPr="00617969" w:rsidRDefault="00254823" w:rsidP="00C171A6">
      <w:pPr>
        <w:ind w:firstLine="709"/>
        <w:contextualSpacing/>
        <w:rPr>
          <w:b/>
          <w:color w:val="000000"/>
        </w:rPr>
      </w:pPr>
      <w:r w:rsidRPr="00617969">
        <w:rPr>
          <w:b/>
        </w:rPr>
        <w:t>Урове</w:t>
      </w:r>
      <w:r>
        <w:rPr>
          <w:b/>
        </w:rPr>
        <w:t xml:space="preserve">нь убедительности рекомендаций </w:t>
      </w:r>
      <w:r w:rsidR="00E91DAB">
        <w:rPr>
          <w:b/>
          <w:szCs w:val="22"/>
        </w:rPr>
        <w:t xml:space="preserve">– </w:t>
      </w:r>
      <w:r w:rsidR="00FA6486">
        <w:rPr>
          <w:b/>
        </w:rPr>
        <w:t>С</w:t>
      </w:r>
      <w:r w:rsidRPr="00617969">
        <w:rPr>
          <w:b/>
        </w:rPr>
        <w:t xml:space="preserve"> (уровень достоверности </w:t>
      </w:r>
      <w:r>
        <w:rPr>
          <w:b/>
          <w:color w:val="000000"/>
        </w:rPr>
        <w:t xml:space="preserve">доказательств – </w:t>
      </w:r>
      <w:r w:rsidR="00FA6486">
        <w:rPr>
          <w:b/>
          <w:color w:val="000000"/>
        </w:rPr>
        <w:t>5</w:t>
      </w:r>
      <w:r w:rsidR="00C171A6">
        <w:rPr>
          <w:b/>
          <w:color w:val="000000"/>
        </w:rPr>
        <w:t>)</w:t>
      </w:r>
      <w:r w:rsidR="00E91DAB">
        <w:rPr>
          <w:b/>
          <w:color w:val="000000"/>
        </w:rPr>
        <w:t>.</w:t>
      </w:r>
    </w:p>
    <w:p w14:paraId="7848F8CC" w14:textId="77777777" w:rsidR="00254823" w:rsidRDefault="00254823" w:rsidP="00C171A6">
      <w:pPr>
        <w:shd w:val="clear" w:color="auto" w:fill="FFFFFF"/>
        <w:ind w:firstLine="709"/>
        <w:contextualSpacing/>
        <w:rPr>
          <w:i/>
        </w:rPr>
      </w:pPr>
      <w:r w:rsidRPr="00617969">
        <w:rPr>
          <w:b/>
          <w:color w:val="000000"/>
        </w:rPr>
        <w:t xml:space="preserve">Комментарии: </w:t>
      </w:r>
      <w:r w:rsidR="00ED0FBC">
        <w:rPr>
          <w:i/>
        </w:rPr>
        <w:t>д</w:t>
      </w:r>
      <w:r w:rsidR="00ED0FBC" w:rsidRPr="005D47D3">
        <w:rPr>
          <w:i/>
        </w:rPr>
        <w:t xml:space="preserve">иагноз </w:t>
      </w:r>
      <w:r w:rsidR="00B87C87">
        <w:rPr>
          <w:i/>
        </w:rPr>
        <w:t xml:space="preserve">ОЛ </w:t>
      </w:r>
      <w:r w:rsidRPr="005D47D3">
        <w:rPr>
          <w:i/>
        </w:rPr>
        <w:t>устанавливают при обнар</w:t>
      </w:r>
      <w:r>
        <w:rPr>
          <w:i/>
        </w:rPr>
        <w:t>уж</w:t>
      </w:r>
      <w:r w:rsidRPr="005D47D3">
        <w:rPr>
          <w:i/>
        </w:rPr>
        <w:t xml:space="preserve">ении в </w:t>
      </w:r>
      <w:r w:rsidR="00B87C87">
        <w:rPr>
          <w:i/>
        </w:rPr>
        <w:t xml:space="preserve">КМ </w:t>
      </w:r>
      <w:r w:rsidRPr="005D47D3">
        <w:rPr>
          <w:i/>
        </w:rPr>
        <w:t>20</w:t>
      </w:r>
      <w:r w:rsidR="00E91DAB">
        <w:rPr>
          <w:i/>
        </w:rPr>
        <w:t xml:space="preserve"> </w:t>
      </w:r>
      <w:r w:rsidRPr="005D47D3">
        <w:rPr>
          <w:i/>
        </w:rPr>
        <w:t xml:space="preserve">% </w:t>
      </w:r>
      <w:r w:rsidR="00E91DAB">
        <w:rPr>
          <w:i/>
        </w:rPr>
        <w:t>и более бластных клеток. Однако</w:t>
      </w:r>
      <w:r w:rsidRPr="005D47D3">
        <w:rPr>
          <w:i/>
        </w:rPr>
        <w:t xml:space="preserve"> для </w:t>
      </w:r>
      <w:r w:rsidR="00B87C87">
        <w:rPr>
          <w:i/>
        </w:rPr>
        <w:t xml:space="preserve">ОЛЛ </w:t>
      </w:r>
      <w:r w:rsidRPr="005D47D3">
        <w:rPr>
          <w:i/>
        </w:rPr>
        <w:t>из клеток-предшественников лимофпоэза и для</w:t>
      </w:r>
      <w:r w:rsidR="00B87C87">
        <w:rPr>
          <w:i/>
        </w:rPr>
        <w:t xml:space="preserve"> ЛБЛ </w:t>
      </w:r>
      <w:r w:rsidRPr="005D47D3">
        <w:rPr>
          <w:i/>
        </w:rPr>
        <w:t>из тех же клеток-предшественников существует иное общепринятное определение: диагноз ОЛЛ (В-клеточного или Т-клеточного) устанавливают при обнаружении 25</w:t>
      </w:r>
      <w:r w:rsidR="00E91DAB">
        <w:rPr>
          <w:i/>
        </w:rPr>
        <w:t xml:space="preserve"> </w:t>
      </w:r>
      <w:r w:rsidRPr="005D47D3">
        <w:rPr>
          <w:i/>
        </w:rPr>
        <w:t xml:space="preserve">% и более бластных клеток в </w:t>
      </w:r>
      <w:r w:rsidR="00B87C87">
        <w:rPr>
          <w:i/>
        </w:rPr>
        <w:t>КМ</w:t>
      </w:r>
      <w:r w:rsidRPr="005D47D3">
        <w:rPr>
          <w:i/>
        </w:rPr>
        <w:t xml:space="preserve">. Если процент бластных клеток в </w:t>
      </w:r>
      <w:r w:rsidR="00B87C87">
        <w:rPr>
          <w:i/>
        </w:rPr>
        <w:t xml:space="preserve">КМ </w:t>
      </w:r>
      <w:r w:rsidRPr="005D47D3">
        <w:rPr>
          <w:i/>
        </w:rPr>
        <w:t>менее 25</w:t>
      </w:r>
      <w:r w:rsidR="00E91DAB">
        <w:rPr>
          <w:i/>
        </w:rPr>
        <w:t xml:space="preserve"> </w:t>
      </w:r>
      <w:r w:rsidRPr="005D47D3">
        <w:rPr>
          <w:i/>
        </w:rPr>
        <w:t xml:space="preserve">% или бластные клетки отсутствуют в </w:t>
      </w:r>
      <w:r w:rsidR="00B87C87">
        <w:rPr>
          <w:i/>
        </w:rPr>
        <w:t>КМ</w:t>
      </w:r>
      <w:r w:rsidRPr="005D47D3">
        <w:rPr>
          <w:i/>
        </w:rPr>
        <w:t>, но присутствуют в иных очагах поражения (лимфатические узлы любой локализации, тимус, кожа, и т.</w:t>
      </w:r>
      <w:r w:rsidR="00E91DAB">
        <w:rPr>
          <w:i/>
        </w:rPr>
        <w:t xml:space="preserve"> </w:t>
      </w:r>
      <w:r w:rsidRPr="005D47D3">
        <w:rPr>
          <w:i/>
        </w:rPr>
        <w:t xml:space="preserve">д.), то </w:t>
      </w:r>
      <w:r w:rsidR="00FC7AB5" w:rsidRPr="005D47D3">
        <w:rPr>
          <w:i/>
        </w:rPr>
        <w:t>устана</w:t>
      </w:r>
      <w:r w:rsidR="00FC7AB5">
        <w:rPr>
          <w:i/>
        </w:rPr>
        <w:t>вл</w:t>
      </w:r>
      <w:r w:rsidR="00FC7AB5" w:rsidRPr="005D47D3">
        <w:rPr>
          <w:i/>
        </w:rPr>
        <w:t xml:space="preserve">ивают </w:t>
      </w:r>
      <w:r w:rsidRPr="005D47D3">
        <w:rPr>
          <w:i/>
        </w:rPr>
        <w:t>диагноз Т- или В-</w:t>
      </w:r>
      <w:r w:rsidR="00B87C87">
        <w:rPr>
          <w:i/>
        </w:rPr>
        <w:t>ЛБЛ</w:t>
      </w:r>
      <w:r w:rsidR="00E91DAB">
        <w:t xml:space="preserve"> </w:t>
      </w:r>
      <w:r w:rsidR="00914AB6">
        <w:fldChar w:fldCharType="begin" w:fldLock="1"/>
      </w:r>
      <w:r w:rsidR="00914AB6">
        <w:instrText>ADDIN CSL_CITATION {"citationItems":[{"id":"ITEM-1","itemData":{"id":"ITEM-1","issued":{"date-parts":[["2012"]]},"number-of-pages":"1056","title":"Программное лечение заболеваний системы крови: Сборник алгоритмов диагностики и протоколов лечения заболеваний системы крови. Под ред. В.Г. Савченко","type":"book"},"uris":["http://www.mendeley.com/documents/?uuid=36484a90-27ae-40a9-a194-b0461fb47d9d"]},{"id":"ITEM-2","itemData":{"author":[{"dropping-particle":"","family":"Савченко","given":"Валерий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доп.","id":"ITEM-2","issued":{"date-parts":[["2007"]]},"page":"409-502","title":"Острые лейкозы","type":"chapter"},"uris":["http://www.mendeley.com/documents/?uuid=08f85f58-ddaa-48eb-b937-65d15d14b213"]},{"id":"ITEM-3","itemData":{"author":[{"dropping-particle":"","family":"Brown","given":"Patrick A","non-dropping-particle":"","parse-names":false,"suffix":""},{"dropping-particle":"","family":"Shah","given":"Bijal","non-dropping-particle":"","parse-names":false,"suffix":""},{"dropping-particle":"","family":"Advani","given":"Anjali","non-dropping-particle":"","parse-names":false,"suffix":""},{"dropping-particle":"","family":"Aoun","given":"Patricia","non-dropping-particle":"","parse-names":false,"suffix":""},{"dropping-particle":"","family":"Bhatnagar","given":"Bhavana","non-dropping-particle":"","parse-names":false,"suffix":""},{"dropping-particle":"","family":"Boyer","given":"Michael W","non-dropping-particle":"","parse-names":false,"suffix":""},{"dropping-particle":"","family":"Bryan","given":"Teresa","non-dropping-particle":"","parse-names":false,"suffix":""},{"dropping-particle":"","family":"Burke","given":"Patrick W","non-dropping-particle":"","parse-names":false,"suffix":""},{"dropping-particle":"","family":"Cassaday","given":"Ryan D","non-dropping-particle":"","parse-names":false,"suffix":""},{"dropping-particle":"","family":"Coutre","given":"Steven E","non-dropping-particle":"","parse-names":false,"suffix":""},{"dropping-particle":"","family":"Coccia","given":"Peter F","non-dropping-particle":"","parse-names":false,"suffix":""},{"dropping-particle":"","family":"DeAngelo","given":"Daniel J","non-dropping-particle":"","parse-names":false,"suffix":""},{"dropping-particle":"","family":"Fathi","given":"Amir","non-dropping-particle":"","parse-names":false,"suffix":""},{"dropping-particle":"","family":"Jain","given":"Nitin","non-dropping-particle":"","parse-names":false,"suffix":""},{"dropping-particle":"","family":"Kirby","given":"Suzanne","non-dropping-particle":"","parse-names":false,"suffix":""},{"dropping-particle":"","family":"Litzow","given":"Mark","non-dropping-particle":"","parse-names":false,"suffix":""},{"dropping-particle":"","family":"Liu","given":"Arthur","non-dropping-particle":"","parse-names":false,"suffix":""},{"dropping-particle":"","family":"Logan","given":"Aaron","non-dropping-particle":"","parse-names":false,"suffix":""},{"dropping-particle":"","family":"Massaro","given":"Stephanie","non-dropping-particle":"","parse-names":false,"suffix":""},{"dropping-particle":"","family":"Mattison","given":"Ryan J","non-dropping-particle":"","parse-names":false,"suffix":""},{"dropping-particle":"","family":"Oluwole","given":"Olalekan","non-dropping-particle":"","parse-names":false,"suffix":""},{"dropping-particle":"","family":"Papadantonakis","given":"Nikolaos","non-dropping-particle":"","parse-names":false,"suffix":""},{"dropping-particle":"","family":"Park","given":"Jae","non-dropping-particle":"","parse-names":false,"suffix":""},{"dropping-particle":"","family":"Rubnitz","given":"Jeffrey E","non-dropping-particle":"","parse-names":false,"suffix":""},{"dropping-particle":"","family":"Uy","given":"Geoffrey L","non-dropping-particle":"","parse-names":false,"suffix":""},{"dropping-particle":"","family":"Wang","given":"Eunice S","non-dropping-particle":"","parse-names":false,"suffix":""},{"dropping-particle":"","family":"Wieduwilt","given":"Matthew","non-dropping-particle":"","parse-names":false,"suffix":""},{"dropping-particle":"","family":"Gregory","given":"Kristina","non-dropping-particle":"","parse-names":false,"suffix":""}],"id":"ITEM-3","issued":{"date-parts":[["2019"]]},"number-of-pages":"115","title":"NCCN Clinical Practice Guidelines in Oncology. Acute Lymphoblastic Leukemia. Version 2.2019","type":"report"},"uris":["http://www.mendeley.com/documents/?uuid=ef92918b-8a57-37b1-bea5-284dfdf15541"]},{"id":"ITEM-4","itemData":{"author":[{"dropping-particle":"","family":"Gökbuget","given":"N.","non-dropping-particle":"","parse-names":false,"suffix":""},{"dropping-particle":"","family":"Bassan","given":"R.","non-dropping-particle":"","parse-names":false,"suffix":""},{"dropping-particle":"","family":"Dombret","given":"H.","non-dropping-particle":"","parse-names":false,"suffix":""},{"dropping-particle":"","family":"Doubek","given":"M.","non-dropping-particle":"","parse-names":false,"suffix":""},{"dropping-particle":"","family":"Fielding","given":"A.K.","non-dropping-particle":"","parse-names":false,"suffix":""},{"dropping-particle":"","family":"Foà","given":"R.","non-dropping-particle":"","parse-names":false,"suffix":""},{"dropping-particle":"","family":"Giebel","given":"S.","non-dropping-particle":"","parse-names":false,"suffix":""},{"dropping-particle":"","family":"Hoelzer","given":"D.","non-dropping-particle":"","parse-names":false,"suffix":""},{"dropping-particle":"","family":"Martinelli","given":"G.","non-dropping-particle":"","parse-names":false,"suffix":""},{"dropping-particle":"","family":"Meloni","given":"G.","non-dropping-particle":"","parse-names":false,"suffix":""},{"dropping-particle":"","family":"Delia Moicean","given":"A.","non-dropping-particle":"","parse-names":false,"suffix":""},{"dropping-particle":"","family":"Ottmann","given":"O.","non-dropping-particle":"","parse-names":false,"suffix":""},{"dropping-particle":"","family":"Piccaluga","given":"P.P.","non-dropping-particle":"","parse-names":false,"suffix":""},{"dropping-particle":"","family":"Ribera","given":"J.M.","non-dropping-particle":"","parse-names":false,"suffix":""},{"dropping-particle":"","family":"Rousselot","given":"P.","non-dropping-particle":"","parse-names":false,"suffix":""},{"dropping-particle":"","family":"Walewski","given":"J.","non-dropping-particle":"","parse-names":false,"suffix":""}],"container-title":"UNI-MED Verlag AG","id":"ITEM-4","issued":{"date-parts":[["2011"]]},"number-of-pages":"204","title":"Recommendations of the European Working Group for Adult ALL (EWALL)","type":"book"},"uris":["http://www.mendeley.com/documents/?uuid=aba58166-cd2b-4f70-bb6a-5fdd9e1b42de"]}],"mendeley":{"formattedCitation":"[1,2,4,5]","plainTextFormattedCitation":"[1,2,4,5]","previouslyFormattedCitation":"[1,2,4,5]"},"properties":{"noteIndex":0},"schema":"https://github.com/citation-style-language/schema/raw/master/csl-citation.json"}</w:instrText>
      </w:r>
      <w:r w:rsidR="00914AB6">
        <w:fldChar w:fldCharType="separate"/>
      </w:r>
      <w:r w:rsidR="00914AB6" w:rsidRPr="002624F0">
        <w:rPr>
          <w:noProof/>
        </w:rPr>
        <w:t>[1,2,4,5]</w:t>
      </w:r>
      <w:r w:rsidR="00914AB6">
        <w:fldChar w:fldCharType="end"/>
      </w:r>
      <w:r w:rsidR="00914AB6" w:rsidRPr="005D47D3">
        <w:rPr>
          <w:i/>
        </w:rPr>
        <w:t>.</w:t>
      </w:r>
    </w:p>
    <w:p w14:paraId="227D91AA" w14:textId="35BD8381" w:rsidR="00254823" w:rsidRPr="00D01645" w:rsidRDefault="00254823" w:rsidP="00FF4C81">
      <w:pPr>
        <w:pStyle w:val="2-41"/>
        <w:widowControl w:val="0"/>
        <w:numPr>
          <w:ilvl w:val="0"/>
          <w:numId w:val="19"/>
        </w:numPr>
        <w:suppressAutoHyphens w:val="0"/>
        <w:autoSpaceDE w:val="0"/>
        <w:autoSpaceDN w:val="0"/>
        <w:adjustRightInd w:val="0"/>
        <w:contextualSpacing/>
        <w:jc w:val="both"/>
        <w:rPr>
          <w:b/>
        </w:rPr>
      </w:pPr>
      <w:r w:rsidRPr="00964B8B">
        <w:rPr>
          <w:b/>
        </w:rPr>
        <w:t>Рекомендуется</w:t>
      </w:r>
      <w:r w:rsidRPr="00A45DB6">
        <w:t xml:space="preserve"> </w:t>
      </w:r>
      <w:r>
        <w:t xml:space="preserve">всем пациентам </w:t>
      </w:r>
      <w:r w:rsidRPr="00A45DB6">
        <w:t>выполнить</w:t>
      </w:r>
      <w:r w:rsidR="0054270B" w:rsidRPr="0054270B">
        <w:t xml:space="preserve"> цитохимическое исследование препарата </w:t>
      </w:r>
      <w:r w:rsidR="00B87C87">
        <w:t xml:space="preserve">КМ </w:t>
      </w:r>
      <w:r w:rsidR="0054270B">
        <w:t xml:space="preserve">(бластных клеток </w:t>
      </w:r>
      <w:r w:rsidR="00B87C87">
        <w:t>КМ</w:t>
      </w:r>
      <w:r w:rsidR="0054270B">
        <w:t xml:space="preserve">) </w:t>
      </w:r>
      <w:r>
        <w:t>с целью верификации диагноза</w:t>
      </w:r>
      <w:r w:rsidR="00E91DAB">
        <w:t xml:space="preserve"> </w:t>
      </w:r>
      <w:r w:rsidR="00914AB6">
        <w:fldChar w:fldCharType="begin" w:fldLock="1"/>
      </w:r>
      <w:r w:rsidR="002466C9">
        <w:instrText>ADDIN CSL_CITATION {"citationItems":[{"id":"ITEM-1","itemData":{"ISSN":"0145-2126","PMID":"12163052","abstract":"Bone marrow (BM) sections were examined in 128 untreated adult patients with newly diagnosed acute lymphoblastic leukemia (ALL), seen in our institution over a 19-year period. BM biopsy was performed in order to assess the incidence, degree and prognostic significance of histological data of the disease. BM features studied were reticular fibrosis, total cellularity, residual hematopoiesis, mitotic activity, and blastic infiltration. T-cell lineage ALL were diagnosed in 23% of the cases, while B-cell lineage ALL represented 70% of the cases. There were 7% of non-T-non-B-cell lineage ALL. The percentage of BM leukemic cells was related to cellularity (P=0.02), while it was related to the disappearance of normal cell lines (P&lt;0.0001). BM cellularity was related to the percentage of circulating leukemic cells at diagnosis (P=0.006). Residual hematopoiesis was related to a higher initial granulocyte count (P=0.04) and lower percentage of circulating blasts (P=0.04). The degree of fibrosis was inversely related to that of BM cellularity (P=0.04). All patients, but four, received standard ALL induction chemotherapy according to different successive protocols. In this whole cohort of patients, complete remission (CR) rate was 78%. Median disease-free survival (DFS) and median overall survival (OS) were 13.7 months and 20.2 months, respectively. In univariate analysis, CR rate was positively affected by mitotic activity (P=0.01) and residual hematopoiesis (P=0.008). OS was positively influenced by a higher leukemic cell mitotic activity (P=0.03) and the persistence of more than two residual normal cell lines in BM (P=0.04). Patients presenting with both of those characteristics had better outcome than patients who did not, as well as, in terms of CR (P=0.03), or DFS (P=0.002), or OS (P=0.003). T-cell lineage ALL and L3 ALL did not significantly influence those results. Our findings did not confirm that among marrow features, reticular fibrosis has any prognostic value. A multivariate analysis of both clinical and histological data was performed to test their prognostic relevance. In a model including age, immunophenotype, Philadelphia chromosome status, mitotic index, and level of normal residual hematopoiesis, the only significant predictor of CR achievement were the persistence of normal residual hematopoietic cell lines (P=0.01) and the mitotic activity of leukemic cells (P=0.002). Philadelphia chromosome status (P=0.03) and age (P&lt;0.0001) were of prognostic…","author":[{"dropping-particle":"","family":"Thomas","given":"Xavier","non-dropping-particle":"","parse-names":false,"suffix":""},{"dropping-particle":"","family":"Le","given":"Quoc-Hung","non-dropping-particle":"","parse-names":false,"suffix":""},{"dropping-particle":"","family":"Danaïla","given":"Catalin","non-dropping-particle":"","parse-names":false,"suffix":""},{"dropping-particle":"","family":"Lhéritier","given":"Véronique","non-dropping-particle":"","parse-names":false,"suffix":""},{"dropping-particle":"","family":"Ffrench","given":"Martine","non-dropping-particle":"","parse-names":false,"suffix":""}],"container-title":"Leukemia research","id":"ITEM-1","issue":"10","issued":{"date-parts":[["2002","10"]]},"page":"909-18","title":"Bone marrow biopsy in adult acute lymphoblastic leukemia: morphological characteristics and contribution to the study of prognostic factors.","type":"article-journal","volume":"26"},"uris":["http://www.mendeley.com/documents/?uuid=c63fc6a4-10fa-3b8c-b64d-cf3f66b8acb7"]},{"id":"ITEM-2","itemData":{"DOI":"10.1136/mp.53.2.83","ISSN":"13668714","abstract":"BACKGROUND Although numerous antibodies suitable for use on paraffin wax embedded sections are available for the subtyping of acute leukaemia (acute myelogenous leukaemia (AML) and acute lymphoblastic leukaemia (ALL)) in bone marrow biopsy sections, unequivocal identification of the cell line involved is sometimes impossible. METHODS Forty eight formalin fixed, paraffin wax embedded bone marrow biopsy specimens that had been decalcified in EDTA were investigated, including 42 thought to exhibit ALL on the basis of bone marrow smears. Five specimens exhibited AML and one biphenotypic leukaemia, as diagnosed immunohistochemically in bone marrow biopsies. Immunostaining was performed with antibodies against relatively specific B and T cell antigens. The blasts were investigated for rearrangements of the immunoglobulin heavy chain (IgH) and the T cell antigen receptor (TCR) genes. RESULTS Amplifiable DNA was obtained from all 48 specimens. An IgH gene rearrangement was detected in 20 of 23 c-ALL specimens. Four of seven T cell ALL (T-ALL) specimens had a TCR-gamma gene rearrangement, and the one B cell ALL (B-ALL) specimen exhibited a clonal IgH gene. Three of four cases of unclassifiable ALL could be assigned to the B cell lineage on the basis of gene rearrangement analysis. Seven cases originally diagnosed in smears as ALL were rediagnosed as AML (n = 5) or biphenotypic leukaemia (n = 2) because of immunohistochemical reactivity for myeloperoxidase or lysozyme. Two of these AML cases and two of three cases of biphenotypic leukaemia exhibited a monoclonal IgH gene rearrangement. CONCLUSIONS Acute leukaemia can be subtyped in bone marrow sections with a limited panel of antibodies suitable for use on paraffin wax embedded sections (against CD3, CD10, CD20, CD79a, myeloperoxidase, and lysozyme). In patients with ALL and a diagnostically equivocal immunophenotype, gene rearrangement analysis might indicate whether the B or T cell lineage is involved.","author":[{"dropping-particle":"","family":"Kröber","given":"S. M.","non-dropping-particle":"","parse-names":false,"suffix":""},{"dropping-particle":"","family":"Greschniok","given":"A.","non-dropping-particle":"","parse-names":false,"suffix":""},{"dropping-particle":"","family":"Kaiserling","given":"E.","non-dropping-particle":"","parse-names":false,"suffix":""},{"dropping-particle":"","family":"Horny","given":"H. P.","non-dropping-particle":"","parse-names":false,"suffix":""}],"container-title":"Journal of Clinical Pathology - Molecular Pathology","id":"ITEM-2","issue":"2","issued":{"date-parts":[["2000"]]},"page":"83-87","title":"Acute lymphoblastic leukaemia: Correlation between morphological/immunohistochemical and molecular biological findings in bone marrow biopsy specimens","type":"article-journal","volume":"53"},"uris":["http://www.mendeley.com/documents/?uuid=e9c4d8d1-617f-3c49-a5da-867b2689602e"]}],"mendeley":{"formattedCitation":"[28,29]","plainTextFormattedCitation":"[28,29]","previouslyFormattedCitation":"[28,29]"},"properties":{"noteIndex":0},"schema":"https://github.com/citation-style-language/schema/raw/master/csl-citation.json"}</w:instrText>
      </w:r>
      <w:r w:rsidR="00914AB6">
        <w:fldChar w:fldCharType="separate"/>
      </w:r>
      <w:r w:rsidR="00A66456" w:rsidRPr="00A66456">
        <w:rPr>
          <w:noProof/>
        </w:rPr>
        <w:t>[28,29]</w:t>
      </w:r>
      <w:r w:rsidR="00914AB6">
        <w:fldChar w:fldCharType="end"/>
      </w:r>
      <w:r w:rsidR="00914AB6" w:rsidRPr="00617969">
        <w:t>.</w:t>
      </w:r>
    </w:p>
    <w:p w14:paraId="4649DB6F" w14:textId="77777777" w:rsidR="00254823" w:rsidRPr="00A45DB6" w:rsidRDefault="00254823" w:rsidP="00C171A6">
      <w:pPr>
        <w:tabs>
          <w:tab w:val="left" w:pos="709"/>
        </w:tabs>
        <w:ind w:firstLine="709"/>
        <w:contextualSpacing/>
        <w:rPr>
          <w:b/>
        </w:rPr>
      </w:pPr>
      <w:r w:rsidRPr="00A45DB6">
        <w:rPr>
          <w:b/>
        </w:rPr>
        <w:t>Урове</w:t>
      </w:r>
      <w:r>
        <w:rPr>
          <w:b/>
        </w:rPr>
        <w:t xml:space="preserve">нь убедительности рекомендаций </w:t>
      </w:r>
      <w:r w:rsidR="00E91DAB">
        <w:rPr>
          <w:b/>
          <w:szCs w:val="22"/>
        </w:rPr>
        <w:t xml:space="preserve">– </w:t>
      </w:r>
      <w:r w:rsidR="0092324F">
        <w:rPr>
          <w:b/>
        </w:rPr>
        <w:t>С</w:t>
      </w:r>
      <w:r w:rsidR="0092324F" w:rsidRPr="00A45DB6">
        <w:rPr>
          <w:b/>
        </w:rPr>
        <w:t xml:space="preserve"> </w:t>
      </w:r>
      <w:r w:rsidRPr="00A45DB6">
        <w:rPr>
          <w:b/>
        </w:rPr>
        <w:t>(уровень достоверности док</w:t>
      </w:r>
      <w:r>
        <w:rPr>
          <w:b/>
        </w:rPr>
        <w:t xml:space="preserve">азательств – </w:t>
      </w:r>
      <w:r w:rsidR="0092324F">
        <w:rPr>
          <w:b/>
        </w:rPr>
        <w:t>4</w:t>
      </w:r>
      <w:r w:rsidR="00C171A6">
        <w:rPr>
          <w:b/>
        </w:rPr>
        <w:t>)</w:t>
      </w:r>
      <w:r w:rsidR="00E91DAB">
        <w:rPr>
          <w:b/>
        </w:rPr>
        <w:t>.</w:t>
      </w:r>
    </w:p>
    <w:p w14:paraId="1A73FF67" w14:textId="77777777" w:rsidR="00254823" w:rsidRDefault="00254823" w:rsidP="004F4A8D">
      <w:pPr>
        <w:ind w:firstLine="709"/>
        <w:contextualSpacing/>
        <w:rPr>
          <w:i/>
        </w:rPr>
      </w:pPr>
      <w:r w:rsidRPr="00A45DB6">
        <w:rPr>
          <w:b/>
        </w:rPr>
        <w:t xml:space="preserve">Комментарии: </w:t>
      </w:r>
      <w:r w:rsidR="0054270B" w:rsidRPr="00450528">
        <w:rPr>
          <w:i/>
        </w:rPr>
        <w:t xml:space="preserve">при </w:t>
      </w:r>
      <w:r w:rsidRPr="00450528">
        <w:rPr>
          <w:i/>
        </w:rPr>
        <w:t>цитохимическом исследовании</w:t>
      </w:r>
      <w:r w:rsidRPr="00450528">
        <w:rPr>
          <w:b/>
          <w:i/>
        </w:rPr>
        <w:t xml:space="preserve"> </w:t>
      </w:r>
      <w:r w:rsidRPr="00450528">
        <w:rPr>
          <w:i/>
        </w:rPr>
        <w:t xml:space="preserve">лимфоидные бласты часто содержат </w:t>
      </w:r>
      <w:r>
        <w:rPr>
          <w:i/>
          <w:lang w:val="en-US"/>
        </w:rPr>
        <w:t>PAS</w:t>
      </w:r>
      <w:r>
        <w:rPr>
          <w:i/>
        </w:rPr>
        <w:t>-положительные гранулы, они</w:t>
      </w:r>
      <w:r w:rsidRPr="00450528">
        <w:rPr>
          <w:i/>
        </w:rPr>
        <w:t xml:space="preserve"> негативны </w:t>
      </w:r>
      <w:r>
        <w:rPr>
          <w:i/>
        </w:rPr>
        <w:t>в реакции на</w:t>
      </w:r>
      <w:r w:rsidRPr="00450528">
        <w:rPr>
          <w:i/>
        </w:rPr>
        <w:t xml:space="preserve"> миелопероксидаз</w:t>
      </w:r>
      <w:r>
        <w:rPr>
          <w:i/>
        </w:rPr>
        <w:t>у</w:t>
      </w:r>
      <w:r w:rsidRPr="00450528">
        <w:rPr>
          <w:i/>
        </w:rPr>
        <w:t xml:space="preserve"> и </w:t>
      </w:r>
      <w:r w:rsidR="00FC7AB5">
        <w:rPr>
          <w:i/>
        </w:rPr>
        <w:t xml:space="preserve">на </w:t>
      </w:r>
      <w:r w:rsidR="00FC7AB5" w:rsidRPr="00450528">
        <w:rPr>
          <w:i/>
        </w:rPr>
        <w:t>други</w:t>
      </w:r>
      <w:r w:rsidR="00FC7AB5">
        <w:rPr>
          <w:i/>
        </w:rPr>
        <w:t>е</w:t>
      </w:r>
      <w:r w:rsidR="00FC7AB5" w:rsidRPr="00450528">
        <w:rPr>
          <w:i/>
        </w:rPr>
        <w:t xml:space="preserve"> мие</w:t>
      </w:r>
      <w:r w:rsidR="00FC7AB5">
        <w:rPr>
          <w:i/>
        </w:rPr>
        <w:t>лоидные цитохимические реакции</w:t>
      </w:r>
      <w:r w:rsidRPr="00450528">
        <w:rPr>
          <w:i/>
        </w:rPr>
        <w:t>.</w:t>
      </w:r>
      <w:r>
        <w:rPr>
          <w:i/>
        </w:rPr>
        <w:t xml:space="preserve"> Нередко при выполнении цитохимического исследования бластные клетки определяют как недифференцируемые, поэтому ключевым методом диагностики ОЛЛ является иммунофен</w:t>
      </w:r>
      <w:r w:rsidR="00ED0FBC">
        <w:rPr>
          <w:i/>
        </w:rPr>
        <w:t>о</w:t>
      </w:r>
      <w:r>
        <w:rPr>
          <w:i/>
        </w:rPr>
        <w:t>типирование. Например,</w:t>
      </w:r>
      <w:r w:rsidRPr="00450528">
        <w:rPr>
          <w:i/>
        </w:rPr>
        <w:t xml:space="preserve"> Т-</w:t>
      </w:r>
      <w:r>
        <w:rPr>
          <w:i/>
        </w:rPr>
        <w:t xml:space="preserve">клеточные </w:t>
      </w:r>
      <w:r w:rsidRPr="00450528">
        <w:rPr>
          <w:i/>
        </w:rPr>
        <w:t>бласт</w:t>
      </w:r>
      <w:r>
        <w:rPr>
          <w:i/>
        </w:rPr>
        <w:t xml:space="preserve">ные элементы </w:t>
      </w:r>
      <w:r w:rsidRPr="00450528">
        <w:rPr>
          <w:i/>
        </w:rPr>
        <w:t xml:space="preserve">чаще бывают </w:t>
      </w:r>
      <w:r>
        <w:rPr>
          <w:i/>
          <w:lang w:val="en-US"/>
        </w:rPr>
        <w:t>PAS</w:t>
      </w:r>
      <w:r w:rsidRPr="00450528">
        <w:rPr>
          <w:i/>
        </w:rPr>
        <w:t>-негативны, в них выявляются кислая фосфатаза, неспецифическая эстераза в форме крупных одиночных гранул в цитоплазме</w:t>
      </w:r>
      <w:r w:rsidR="00B45101">
        <w:rPr>
          <w:i/>
        </w:rPr>
        <w:t>,</w:t>
      </w:r>
      <w:r w:rsidRPr="00450528">
        <w:rPr>
          <w:i/>
        </w:rPr>
        <w:t xml:space="preserve"> в отличие от лимфобластов В-линии, где продукт реакции расп</w:t>
      </w:r>
      <w:r>
        <w:rPr>
          <w:i/>
        </w:rPr>
        <w:t>олагается в виде мелких гранул</w:t>
      </w:r>
      <w:r w:rsidR="00854539">
        <w:t xml:space="preserve"> </w:t>
      </w:r>
      <w:r w:rsidR="00914AB6">
        <w:fldChar w:fldCharType="begin" w:fldLock="1"/>
      </w:r>
      <w:r w:rsidR="00914AB6">
        <w:instrText>ADDIN CSL_CITATION {"citationItems":[{"id":"ITEM-1","itemData":{"id":"ITEM-1","issued":{"date-parts":[["2012"]]},"number-of-pages":"1056","title":"Программное лечение заболеваний системы крови: Сборник алгоритмов диагностики и протоколов лечения заболеваний системы крови. Под ред. В.Г. Савченко","type":"book"},"uris":["http://www.mendeley.com/documents/?uuid=36484a90-27ae-40a9-a194-b0461fb47d9d"]},{"id":"ITEM-2","itemData":{"author":[{"dropping-particle":"","family":"Савченко","given":"Валерий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доп.","id":"ITEM-2","issued":{"date-parts":[["2007"]]},"page":"409-502","title":"Острые лейкозы","type":"chapter"},"uris":["http://www.mendeley.com/documents/?uuid=08f85f58-ddaa-48eb-b937-65d15d14b213"]}],"mendeley":{"formattedCitation":"[1,2]","plainTextFormattedCitation":"[1,2]","previouslyFormattedCitation":"[1,2]"},"properties":{"noteIndex":0},"schema":"https://github.com/citation-style-language/schema/raw/master/csl-citation.json"}</w:instrText>
      </w:r>
      <w:r w:rsidR="00914AB6">
        <w:fldChar w:fldCharType="separate"/>
      </w:r>
      <w:r w:rsidR="00914AB6" w:rsidRPr="0054270B">
        <w:rPr>
          <w:noProof/>
        </w:rPr>
        <w:t>[1,2]</w:t>
      </w:r>
      <w:r w:rsidR="00914AB6">
        <w:fldChar w:fldCharType="end"/>
      </w:r>
      <w:r w:rsidR="00914AB6">
        <w:rPr>
          <w:i/>
        </w:rPr>
        <w:t>.</w:t>
      </w:r>
    </w:p>
    <w:p w14:paraId="6F19D03B" w14:textId="07485D62" w:rsidR="00254823" w:rsidRPr="006305E6" w:rsidRDefault="00254823" w:rsidP="00FF4C81">
      <w:pPr>
        <w:pStyle w:val="Default"/>
        <w:numPr>
          <w:ilvl w:val="0"/>
          <w:numId w:val="19"/>
        </w:numPr>
        <w:tabs>
          <w:tab w:val="left" w:pos="709"/>
        </w:tabs>
        <w:spacing w:line="360" w:lineRule="auto"/>
        <w:jc w:val="both"/>
      </w:pPr>
      <w:r w:rsidRPr="006305E6">
        <w:rPr>
          <w:b/>
        </w:rPr>
        <w:t>Рекомендуется</w:t>
      </w:r>
      <w:r w:rsidRPr="006305E6">
        <w:t xml:space="preserve"> выполнить</w:t>
      </w:r>
      <w:r w:rsidR="00854539">
        <w:t xml:space="preserve"> патолого</w:t>
      </w:r>
      <w:r w:rsidR="006305E6" w:rsidRPr="006305E6">
        <w:t>анатомическое исследование биопсийного (операционного) материала</w:t>
      </w:r>
      <w:r w:rsidR="006305E6">
        <w:t xml:space="preserve"> очага пор</w:t>
      </w:r>
      <w:r w:rsidR="00CA58BF">
        <w:t>а</w:t>
      </w:r>
      <w:r w:rsidR="006305E6">
        <w:t>жения (опухолевого образования), в том числе</w:t>
      </w:r>
      <w:r w:rsidR="006305E6" w:rsidRPr="006305E6">
        <w:t xml:space="preserve"> с применением иммуногистохимических методов</w:t>
      </w:r>
      <w:r w:rsidR="00B45101">
        <w:t>,</w:t>
      </w:r>
      <w:r w:rsidRPr="006305E6">
        <w:t xml:space="preserve"> у пациентов без поражения </w:t>
      </w:r>
      <w:r w:rsidR="00B87C87">
        <w:t>КМ</w:t>
      </w:r>
      <w:r w:rsidRPr="006305E6">
        <w:t xml:space="preserve"> с целью точной верификации диагноза</w:t>
      </w:r>
      <w:r w:rsidR="00914AB6">
        <w:t xml:space="preserve"> </w:t>
      </w:r>
      <w:r w:rsidR="00914AB6">
        <w:fldChar w:fldCharType="begin" w:fldLock="1"/>
      </w:r>
      <w:r w:rsidR="002466C9">
        <w:instrText>ADDIN CSL_CITATION {"citationItems":[{"id":"ITEM-1","itemData":{"DOI":"10.1043/1543-2165(2008)132[462:ALIASD]2.0.CO;2","ISSN":"1543-2165","PMID":"18318587","abstract":"CONTEXT The diagnosis and classification of leukemia is becoming increasingly complex. Current classification schemes incorporate morphologic features, immunophenotype, molecular genetics, and clinical data to specifically categorize leukemias into various subtypes. Although sophisticated methodologies are frequently used to detect characteristic features conferring diagnostic, prognostic, or therapeutic implications, a thorough microscopic examination remains essential to the pathologic evaluation. Detailed blast immunophenotyping can be performed with lineage- and maturation-specific markers. Although no one marker is pathognomonic for one malignancy, a well-chosen panel of antibodies can efficiently aid the diagnosis and classification of acute leukemias. OBJECTIVE To review important developments from recent and historical literature. General immunohistochemical staining patterns of the most commonly encountered lymphoid and myeloid leukemias are emphasized. The goal is to discuss the immunostaining of acute leukemias when flow cytometry and genetic studies are not available. DATA SOURCES A comprehensive review was performed of the relevant literature indexed in PubMed (National Library of Medicine) and referenced medical texts. Additional references were identified in the reviewed manuscripts. CONCLUSIONS Immunophenotyping of blasts using an immunohistochemical approach to lymphoid and myeloid malignancies is presented. Initial and subsequent additional antibody panels are suggested to confirm or exclude each possibility in the differential diagnosis and a general strategy for diagnostic evaluation is discussed. Although the use of immunohistochemistry alone is limited and evaluation by flow cytometry and genetic studies is highly recommended, unavoidable situations requiring analysis of formalin-fixed tissue specimens arise. When performed in an optimized laboratory and combined with a careful morphologic examination, the immunohistochemical approach represents a useful laboratory tool for classifying various leukemias.","author":[{"dropping-particle":"","family":"Olsen","given":"Randall J","non-dropping-particle":"","parse-names":false,"suffix":""},{"dropping-particle":"","family":"Chang","given":"Chung-Che","non-dropping-particle":"","parse-names":false,"suffix":""},{"dropping-particle":"","family":"Herrick","given":"Jennifer L","non-dropping-particle":"","parse-names":false,"suffix":""},{"dropping-particle":"","family":"Zu","given":"Youli","non-dropping-particle":"","parse-names":false,"suffix":""},{"dropping-particle":"","family":"Ehsan","given":"Aamir","non-dropping-particle":"","parse-names":false,"suffix":""}],"container-title":"Archives of pathology &amp; laboratory medicine","id":"ITEM-1","issue":"3","issued":{"date-parts":[["2008","3"]]},"page":"462-75","title":"Acute leukemia immunohistochemistry: a systematic diagnostic approach.","type":"article-journal","volume":"132"},"uris":["http://www.mendeley.com/documents/?uuid=6b519f46-d4a4-3637-9b82-0c1128748f5f"]}],"mendeley":{"formattedCitation":"[30]","plainTextFormattedCitation":"[30]","previouslyFormattedCitation":"[30]"},"properties":{"noteIndex":0},"schema":"https://github.com/citation-style-language/schema/raw/master/csl-citation.json"}</w:instrText>
      </w:r>
      <w:r w:rsidR="00914AB6">
        <w:fldChar w:fldCharType="separate"/>
      </w:r>
      <w:r w:rsidR="00A66456" w:rsidRPr="00A66456">
        <w:rPr>
          <w:noProof/>
        </w:rPr>
        <w:t>[30]</w:t>
      </w:r>
      <w:r w:rsidR="00914AB6">
        <w:fldChar w:fldCharType="end"/>
      </w:r>
      <w:r w:rsidR="00914AB6" w:rsidRPr="006305E6">
        <w:t>.</w:t>
      </w:r>
    </w:p>
    <w:p w14:paraId="4C566204" w14:textId="77777777" w:rsidR="00254823" w:rsidRDefault="00254823" w:rsidP="004F4A8D">
      <w:pPr>
        <w:ind w:firstLine="709"/>
        <w:rPr>
          <w:b/>
        </w:rPr>
      </w:pPr>
      <w:r w:rsidRPr="00617969">
        <w:rPr>
          <w:b/>
        </w:rPr>
        <w:t>Уровень убедительности рекомендаций</w:t>
      </w:r>
      <w:r w:rsidRPr="00617969" w:rsidDel="00670C55">
        <w:rPr>
          <w:b/>
        </w:rPr>
        <w:t xml:space="preserve"> </w:t>
      </w:r>
      <w:r w:rsidR="0032725D">
        <w:rPr>
          <w:b/>
          <w:szCs w:val="22"/>
        </w:rPr>
        <w:t xml:space="preserve">– </w:t>
      </w:r>
      <w:r w:rsidRPr="00617969">
        <w:rPr>
          <w:b/>
          <w:lang w:val="en-US"/>
        </w:rPr>
        <w:t>B</w:t>
      </w:r>
      <w:r w:rsidRPr="00617969">
        <w:rPr>
          <w:b/>
        </w:rPr>
        <w:t xml:space="preserve"> (уровень </w:t>
      </w:r>
      <w:r w:rsidRPr="00617969">
        <w:rPr>
          <w:b/>
          <w:spacing w:val="-1"/>
        </w:rPr>
        <w:t xml:space="preserve">достоверности доказательств </w:t>
      </w:r>
      <w:r>
        <w:rPr>
          <w:b/>
        </w:rPr>
        <w:t xml:space="preserve">– </w:t>
      </w:r>
      <w:r w:rsidR="0092324F">
        <w:rPr>
          <w:b/>
        </w:rPr>
        <w:t>3</w:t>
      </w:r>
      <w:r w:rsidR="00C171A6">
        <w:rPr>
          <w:b/>
        </w:rPr>
        <w:t>)</w:t>
      </w:r>
      <w:r w:rsidR="0032725D">
        <w:rPr>
          <w:b/>
        </w:rPr>
        <w:t>.</w:t>
      </w:r>
    </w:p>
    <w:p w14:paraId="28FB1396" w14:textId="5D34FEB1" w:rsidR="00A27AD5" w:rsidRPr="00AF61E1" w:rsidRDefault="00A27AD5" w:rsidP="00A27AD5">
      <w:pPr>
        <w:numPr>
          <w:ilvl w:val="0"/>
          <w:numId w:val="6"/>
        </w:numPr>
        <w:shd w:val="clear" w:color="auto" w:fill="FFFFFF"/>
        <w:tabs>
          <w:tab w:val="left" w:pos="211"/>
        </w:tabs>
        <w:contextualSpacing/>
        <w:rPr>
          <w:i/>
        </w:rPr>
      </w:pPr>
      <w:r w:rsidRPr="00AF61E1">
        <w:rPr>
          <w:b/>
        </w:rPr>
        <w:t>Рекомендуется</w:t>
      </w:r>
      <w:r w:rsidRPr="00AF61E1">
        <w:t xml:space="preserve"> у всех пациентов с</w:t>
      </w:r>
      <w:r w:rsidR="00276F6A">
        <w:t xml:space="preserve"> подозрением на</w:t>
      </w:r>
      <w:r w:rsidRPr="00AF61E1">
        <w:t xml:space="preserve"> </w:t>
      </w:r>
      <w:r w:rsidRPr="008B4DD6">
        <w:t>ЛБЛ</w:t>
      </w:r>
      <w:r w:rsidR="00276F6A">
        <w:t xml:space="preserve"> выполнять </w:t>
      </w:r>
      <w:r w:rsidR="00276F6A" w:rsidRPr="00276F6A">
        <w:t>патолого-анатомическое исследование биопсийного (операционного) материала лимфоузла</w:t>
      </w:r>
      <w:r w:rsidR="00276F6A">
        <w:t xml:space="preserve"> или другого очага поажения</w:t>
      </w:r>
      <w:r w:rsidR="00276F6A" w:rsidRPr="00276F6A">
        <w:t xml:space="preserve"> с применением иммуногистохимических методов</w:t>
      </w:r>
      <w:r w:rsidRPr="00AF61E1">
        <w:t xml:space="preserve"> с целью оценки субтипов ЛБЛ</w:t>
      </w:r>
      <w:r w:rsidR="00276F6A">
        <w:t>, а также сохранять би</w:t>
      </w:r>
      <w:r w:rsidR="00B56041">
        <w:t>опсийный материал для последующего</w:t>
      </w:r>
      <w:r w:rsidRPr="00AF61E1">
        <w:t xml:space="preserve"> выполнения молекулярно-генетических исследований, что позволит </w:t>
      </w:r>
      <w:r w:rsidRPr="00AF61E1">
        <w:lastRenderedPageBreak/>
        <w:t xml:space="preserve">разработать новые таргетные стратегии терапии </w:t>
      </w:r>
      <w:r w:rsidRPr="00AF61E1">
        <w:fldChar w:fldCharType="begin" w:fldLock="1"/>
      </w:r>
      <w:r w:rsidR="002466C9">
        <w:instrText>ADDIN CSL_CITATION {"citationItems":[{"id":"ITEM-1","itemData":{"DOI":"10.1016/j.critrevonc.2017.03.020","ISSN":"1879-0461","PMID":"28427520","abstract":"Lymphoblastic lymphoma (LBL) is a neoplasm of immature B cells committed to the B-(B-LBL) or T-cell lineage (T-LBL) that accounts for approximately 2% of all lymphomas. Although histological features are usually sufficient to distinguish lymphoblastic from mature B- or T-cell neoplasms, of greater importance for diagnosis is the characterization of immunophenotype by flow cytometry. LBL occurs more commonly in children than in adults, mostly in males. A bone marrow involvement &lt;25% (or 20% according to WHO) formally distinguishes LBL from ALL. The prognosis of LBL has dramatically improved with the use of intensive ALL-type chemotherapy regimens, which includes intensive intrathecal chemotherapy prophylaxis and consolidation with mediastinal irradiation. Patients with adverse prognostic features assessed by postinduction CT/positron emission tomography scans (PET) and minimal residual disease analysis (MRD) should be considered for high-dose chemotherapy and stem cell transplantation. Further therapeutic progresses are expected from the introduction of new drugs and targeting agents.","author":[{"dropping-particle":"","family":"Cortelazzo","given":"Sergio","non-dropping-particle":"","parse-names":false,"suffix":""},{"dropping-particle":"","family":"Ferreri","given":"Andrés","non-dropping-particle":"","parse-names":false,"suffix":""},{"dropping-particle":"","family":"Hoelzer","given":"Dieter","non-dropping-particle":"","parse-names":false,"suffix":""},{"dropping-particle":"","family":"Ponzoni","given":"Maurilio","non-dropping-particle":"","parse-names":false,"suffix":""}],"container-title":"Critical reviews in oncology/hematology","id":"ITEM-1","issued":{"date-parts":[["2017","5"]]},"page":"304-317","title":"Lymphoblastic lymphoma.","type":"article-journal","volume":"113"},"uris":["http://www.mendeley.com/documents/?uuid=e2eed080-a739-3358-b728-ef768a4e754e"]}],"mendeley":{"formattedCitation":"[14]","plainTextFormattedCitation":"[14]","previouslyFormattedCitation":"[14]"},"properties":{"noteIndex":0},"schema":"https://github.com/citation-style-language/schema/raw/master/csl-citation.json"}</w:instrText>
      </w:r>
      <w:r w:rsidRPr="00AF61E1">
        <w:fldChar w:fldCharType="separate"/>
      </w:r>
      <w:r w:rsidR="00A66456" w:rsidRPr="00A66456">
        <w:rPr>
          <w:noProof/>
        </w:rPr>
        <w:t>[14]</w:t>
      </w:r>
      <w:r w:rsidRPr="00AF61E1">
        <w:fldChar w:fldCharType="end"/>
      </w:r>
      <w:r w:rsidRPr="00AF61E1">
        <w:t>.</w:t>
      </w:r>
    </w:p>
    <w:p w14:paraId="432B3D0E" w14:textId="77777777" w:rsidR="00A27AD5" w:rsidRPr="00AF61E1" w:rsidRDefault="00A27AD5" w:rsidP="00A27AD5">
      <w:pPr>
        <w:ind w:firstLine="709"/>
        <w:contextualSpacing/>
        <w:rPr>
          <w:b/>
        </w:rPr>
      </w:pPr>
      <w:r w:rsidRPr="00AF61E1">
        <w:rPr>
          <w:b/>
        </w:rPr>
        <w:t xml:space="preserve">Уровень убедительности рекомендаций – С (уровень </w:t>
      </w:r>
      <w:r w:rsidRPr="00AF61E1">
        <w:rPr>
          <w:b/>
          <w:spacing w:val="-1"/>
        </w:rPr>
        <w:t xml:space="preserve">достоверности доказательств </w:t>
      </w:r>
      <w:r w:rsidRPr="00AF61E1">
        <w:rPr>
          <w:b/>
        </w:rPr>
        <w:t>– 5).</w:t>
      </w:r>
    </w:p>
    <w:p w14:paraId="6CD21A93" w14:textId="77777777" w:rsidR="00A27AD5" w:rsidRPr="00AF61E1" w:rsidRDefault="00A27AD5" w:rsidP="00A27AD5">
      <w:pPr>
        <w:ind w:firstLine="709"/>
        <w:contextualSpacing/>
        <w:rPr>
          <w:b/>
          <w:i/>
        </w:rPr>
      </w:pPr>
      <w:r w:rsidRPr="00AF61E1">
        <w:rPr>
          <w:b/>
        </w:rPr>
        <w:t xml:space="preserve">Комментарии: </w:t>
      </w:r>
      <w:r w:rsidRPr="00AF61E1">
        <w:rPr>
          <w:i/>
        </w:rPr>
        <w:t>иммунофенотипические характеристики</w:t>
      </w:r>
      <w:r w:rsidRPr="00AF61E1">
        <w:rPr>
          <w:b/>
          <w:i/>
        </w:rPr>
        <w:t xml:space="preserve"> </w:t>
      </w:r>
      <w:r w:rsidRPr="00AF61E1">
        <w:rPr>
          <w:i/>
        </w:rPr>
        <w:t>приблизительно 80 % ЛБЛ характеризуются экспрессией T-клеточных маркеров, в отличие от ОЛЛ, при котором &gt;70 % относятся к B-клеточным. Среди всех ЛБЛ доминирует T-клеточный субтип. Иммунофенотипические характеристики опухолевых клеток при Т-ЛБЛ позитивны по следующим маркерам: TdT, CD7 и цитоплазматическая CD3; вариабельны СD1a, CD2, CD4, СD5, CD8; может быть коэкспрессия CD4 и CD8, CD10 +/–; редко определяется коэкспрессия миеломаркеров CD13; 33; 117. В трети Т-ЛБЛ выявлены транслокации с участием генов Т-клеточных рецепторов (α, ß, γ, δ) и различных партнерских генов, включая MYC, TAL1, HOX11 и др.</w:t>
      </w:r>
    </w:p>
    <w:p w14:paraId="53526719" w14:textId="77777777" w:rsidR="00A27AD5" w:rsidRPr="00B56041" w:rsidRDefault="00A27AD5" w:rsidP="00B56041">
      <w:pPr>
        <w:shd w:val="clear" w:color="auto" w:fill="FFFFFF"/>
        <w:tabs>
          <w:tab w:val="left" w:pos="211"/>
          <w:tab w:val="center" w:pos="709"/>
        </w:tabs>
        <w:ind w:firstLine="709"/>
        <w:contextualSpacing/>
        <w:rPr>
          <w:i/>
        </w:rPr>
      </w:pPr>
      <w:r w:rsidRPr="00AF61E1">
        <w:rPr>
          <w:i/>
        </w:rPr>
        <w:t>Иммунофенотипические характеристики опухолевых клеток при В-ЛБЛ позитивны: по ТdT (ядерная окраска), HLA-DR, CD19 и цитоплазматической (cyt)CD79a; CD20 и CD22 вариабельны. Иногда в цитоплазме определяются легкие цепи иммуноглобулина (cyt-µ). Поверхностные иммуноглобулины чаще отсутствуют, однако их обнаружение не исключает диагноза В-ЛБЛ; CD45 может быть негативен. Молекулярно-генетические особенности охарактеризованы мало, не имеют прогностического значения.</w:t>
      </w:r>
    </w:p>
    <w:p w14:paraId="1B4A00ED" w14:textId="4AA96DC4" w:rsidR="00254823" w:rsidRPr="00225E33" w:rsidRDefault="00254823" w:rsidP="00FF4C81">
      <w:pPr>
        <w:numPr>
          <w:ilvl w:val="0"/>
          <w:numId w:val="19"/>
        </w:numPr>
        <w:rPr>
          <w:i/>
          <w:lang w:eastAsia="zh-CN"/>
        </w:rPr>
      </w:pPr>
      <w:r w:rsidRPr="00617969">
        <w:rPr>
          <w:b/>
          <w:color w:val="000000"/>
        </w:rPr>
        <w:t xml:space="preserve">Рекомендуется </w:t>
      </w:r>
      <w:r w:rsidRPr="00101FAD">
        <w:rPr>
          <w:color w:val="000000"/>
        </w:rPr>
        <w:t>всем пациентам</w:t>
      </w:r>
      <w:r>
        <w:rPr>
          <w:b/>
          <w:color w:val="000000"/>
        </w:rPr>
        <w:t xml:space="preserve"> </w:t>
      </w:r>
      <w:r w:rsidRPr="00617969">
        <w:rPr>
          <w:color w:val="000000"/>
        </w:rPr>
        <w:t>выполнить</w:t>
      </w:r>
      <w:r w:rsidR="006305E6">
        <w:rPr>
          <w:color w:val="000000"/>
        </w:rPr>
        <w:t xml:space="preserve"> </w:t>
      </w:r>
      <w:r w:rsidR="006305E6">
        <w:t xml:space="preserve">иммунофенотипирование гемопоэтических клеток-предшественниц в </w:t>
      </w:r>
      <w:r w:rsidR="00B87C87">
        <w:t xml:space="preserve">КМ </w:t>
      </w:r>
      <w:r>
        <w:rPr>
          <w:color w:val="000000"/>
        </w:rPr>
        <w:t>с целью верификации диагноза</w:t>
      </w:r>
      <w:r w:rsidR="0032725D">
        <w:rPr>
          <w:color w:val="000000"/>
        </w:rPr>
        <w:t xml:space="preserve"> </w:t>
      </w:r>
      <w:r w:rsidR="00914AB6">
        <w:rPr>
          <w:color w:val="000000"/>
        </w:rPr>
        <w:fldChar w:fldCharType="begin" w:fldLock="1"/>
      </w:r>
      <w:r w:rsidR="002466C9">
        <w:rPr>
          <w:color w:val="000000"/>
        </w:rPr>
        <w:instrText>ADDIN CSL_CITATION {"citationItems":[{"id":"ITEM-1","itemData":{"ISSN":"0887-6924","PMID":"7564526","abstract":"Criteria for the immunological classification of acute leukemias are proposed by a recently established European group designated EGIL. The main aims of EGIL are to establish guidelines for the characterization of acute leukemias based on marker expression and provide a uniform basis for the diagnosis of the various types of these hemopoietic malignancies which should be helpful for future multinational clinical and laboratory investigations. Within the two major types (B and T cell lineage) of acute lymphoblastic leukemia (ALL), several groups are delineated according to the degree of cell differentiation. Within the acute myeloid leukemias (AML), only three subtypes as defined by the FAB classification: M0-AML, M6-AML and M7-AML, can be unequivocally defined by immunological markers; prospective studies are undertaken to see whether characteristic immunological profiles are associated with particular AML subtypes defined by specific cytogenetic abnormalities. Criteria for the definition of biphenotypic acute leukemia (BAL) are devised and a scoring system is outlined aimed to distinguish BAL from those acute leukemias with expression of a marker from another lineage. In addition, an uncommon subset of acute leukemias with no evidence of lymphoid or myeloid differentiation is recognized and the useful panel of markers to investigate and establish the cell nature of the acute leukemias is outlined. EGIL will focus in the future on testing the reproducibility of the proposed guidelines, particularly those for BAL, assessing their clinical value within a framework of multicentric trials and setting up uniform methodological criteria.","author":[{"dropping-particle":"","family":"Bene","given":"M C","non-dropping-particle":"","parse-names":false,"suffix":""},{"dropping-particle":"","family":"Castoldi","given":"G","non-dropping-particle":"","parse-names":false,"suffix":""},{"dropping-particle":"","family":"Knapp","given":"W","non-dropping-particle":"","parse-names":false,"suffix":""},{"dropping-particle":"","family":"Ludwig","given":"W D","non-dropping-particle":"","parse-names":false,"suffix":""},{"dropping-particle":"","family":"Matutes","given":"E","non-dropping-particle":"","parse-names":false,"suffix":""},{"dropping-particle":"","family":"Orfao","given":"A","non-dropping-particle":"","parse-names":false,"suffix":""},{"dropping-particle":"","family":"van't Veer","given":"M B","non-dropping-particle":"","parse-names":false,"suffix":""}],"container-title":"Leukemia","id":"ITEM-1","issue":"10","issued":{"date-parts":[["1995","10"]]},"page":"1783-6","title":"Proposals for the immunological classification of acute leukemias. European Group for the Immunological Characterization of Leukemias (EGIL).","type":"article-journal","volume":"9"},"uris":["http://www.mendeley.com/documents/?uuid=1c6b105f-eb07-435b-8011-2a05c5094a8f"]},{"id":"ITEM-2","itemData":{"DOI":"10.1182/blood.v98.8.2498","ISSN":"0006-4971","PMID":"11588048","abstract":"Bone marrow hematogones (B-lymphocyte precursors) may cause problems in diagnosis because of their morphologic and immunophenotypic similarities to neoplastic lymphoblasts. The purposes of this prospective, multiparametric flow cytometry study were to quantify hematogones across age groups and a spectrum of clinical conditions, to identify factors that affect the relative quantity of hematogones, and to compare their immunophenotype with that of neoplastic lymphoblasts. A total of 662 consecutive marrow specimens were analyzed for hematogones using one of two 4-color antibody combinations; hematogones were identified in 528 (79.8%). There was a significant decline in hematogones with increasing age (P &lt;.001), but a broad range was found at all ages and many adults had a relatively high number. Specimens processed by density gradient had a higher mean percent hematogones than those processed by erythrocyte lysis (P &lt;.001). There was a direct decline in hematogones with increasing marrow involvement with neoplastic cells. A total of 8% of the 662 specimens contained 5% or more hematogones: 24.6% of specimens from patients aged less than 16 years and 6.3% from those 16 and older (P &lt;.000 01). Increased hematogones were observed most often in patients with lymphoma, marrow regenerative states, immune cytopenias, and acquired immunodeficiency syndrome. Hematogones always exhibited a typical complex spectrum of antigen expression that defines the normal antigenic evolution of B-cell precursors and lacked aberrant expression. In contrast, lymphoblasts in 49 cases of precursor B-ALL showed maturation arrest and exhibited 1 to 11 immunophenotypic aberrancies. Four-color flow cytometry with optimal combinations of antibodies consistently distinguishes between hematogones and neoplastic lymphoblasts.","author":[{"dropping-particle":"","family":"McKenna","given":"R W","non-dropping-particle":"","parse-names":false,"suffix":""},{"dropping-particle":"","family":"Washington","given":"L T","non-dropping-particle":"","parse-names":false,"suffix":""},{"dropping-particle":"","family":"Aquino","given":"D B","non-dropping-particle":"","parse-names":false,"suffix":""},{"dropping-particle":"","family":"Picker","given":"L J","non-dropping-particle":"","parse-names":false,"suffix":""},{"dropping-particle":"","family":"Kroft","given":"S H","non-dropping-particle":"","parse-names":false,"suffix":""}],"container-title":"Blood","id":"ITEM-2","issue":"8","issued":{"date-parts":[["2001","10","15"]]},"page":"2498-507","title":"Immunophenotypic analysis of hematogones (B-lymphocyte precursors) in 662 consecutive bone marrow specimens by 4-color flow cytometry.","type":"article-journal","volume":"98"},"uris":["http://www.mendeley.com/documents/?uuid=bc07853c-2bbb-3efc-bd4a-1c5dc4ae399b"]}],"mendeley":{"formattedCitation":"[31,32]","plainTextFormattedCitation":"[31,32]","previouslyFormattedCitation":"[31,32]"},"properties":{"noteIndex":0},"schema":"https://github.com/citation-style-language/schema/raw/master/csl-citation.json"}</w:instrText>
      </w:r>
      <w:r w:rsidR="00914AB6">
        <w:rPr>
          <w:color w:val="000000"/>
        </w:rPr>
        <w:fldChar w:fldCharType="separate"/>
      </w:r>
      <w:r w:rsidR="00A66456" w:rsidRPr="00A66456">
        <w:rPr>
          <w:noProof/>
          <w:color w:val="000000"/>
        </w:rPr>
        <w:t>[31,32]</w:t>
      </w:r>
      <w:r w:rsidR="00914AB6">
        <w:rPr>
          <w:color w:val="000000"/>
        </w:rPr>
        <w:fldChar w:fldCharType="end"/>
      </w:r>
      <w:r w:rsidR="00914AB6" w:rsidRPr="00617969">
        <w:rPr>
          <w:color w:val="000000"/>
        </w:rPr>
        <w:t>.</w:t>
      </w:r>
    </w:p>
    <w:p w14:paraId="01124B95" w14:textId="77777777" w:rsidR="00254823" w:rsidRPr="00617969" w:rsidRDefault="00254823" w:rsidP="004F4A8D">
      <w:pPr>
        <w:ind w:firstLine="709"/>
        <w:contextualSpacing/>
        <w:rPr>
          <w:b/>
          <w:color w:val="000000"/>
        </w:rPr>
      </w:pPr>
      <w:r w:rsidRPr="00617969">
        <w:rPr>
          <w:b/>
          <w:color w:val="000000"/>
        </w:rPr>
        <w:t>Уровень убедительности реком</w:t>
      </w:r>
      <w:r>
        <w:rPr>
          <w:b/>
          <w:color w:val="000000"/>
        </w:rPr>
        <w:t xml:space="preserve">ендаций </w:t>
      </w:r>
      <w:r w:rsidR="0032725D">
        <w:rPr>
          <w:b/>
          <w:szCs w:val="22"/>
        </w:rPr>
        <w:t xml:space="preserve">– </w:t>
      </w:r>
      <w:r w:rsidR="003D21D9">
        <w:rPr>
          <w:b/>
          <w:color w:val="000000"/>
        </w:rPr>
        <w:t>С</w:t>
      </w:r>
      <w:r w:rsidR="003D21D9" w:rsidRPr="00617969">
        <w:rPr>
          <w:b/>
          <w:color w:val="000000"/>
        </w:rPr>
        <w:t xml:space="preserve"> </w:t>
      </w:r>
      <w:r w:rsidRPr="00617969">
        <w:rPr>
          <w:b/>
          <w:color w:val="000000"/>
        </w:rPr>
        <w:t>(уровень</w:t>
      </w:r>
      <w:r>
        <w:rPr>
          <w:b/>
          <w:color w:val="000000"/>
        </w:rPr>
        <w:t xml:space="preserve"> достоверности доказательств – </w:t>
      </w:r>
      <w:r w:rsidR="003D21D9">
        <w:rPr>
          <w:b/>
          <w:color w:val="000000"/>
        </w:rPr>
        <w:t>4</w:t>
      </w:r>
      <w:r w:rsidR="00C171A6">
        <w:rPr>
          <w:b/>
          <w:color w:val="000000"/>
        </w:rPr>
        <w:t>)</w:t>
      </w:r>
      <w:r w:rsidR="0032725D">
        <w:rPr>
          <w:b/>
          <w:color w:val="000000"/>
        </w:rPr>
        <w:t>.</w:t>
      </w:r>
    </w:p>
    <w:p w14:paraId="35EA518C" w14:textId="77777777" w:rsidR="00254823" w:rsidRDefault="00254823" w:rsidP="004F4A8D">
      <w:pPr>
        <w:shd w:val="clear" w:color="auto" w:fill="FFFFFF"/>
        <w:tabs>
          <w:tab w:val="left" w:pos="211"/>
        </w:tabs>
        <w:ind w:firstLine="709"/>
        <w:contextualSpacing/>
        <w:rPr>
          <w:i/>
        </w:rPr>
      </w:pPr>
      <w:r w:rsidRPr="00617969">
        <w:rPr>
          <w:rFonts w:eastAsia="Arial Unicode MS"/>
          <w:b/>
          <w:color w:val="000000"/>
          <w:u w:color="000000"/>
        </w:rPr>
        <w:t>Комментарии:</w:t>
      </w:r>
      <w:r w:rsidRPr="00617969">
        <w:rPr>
          <w:rFonts w:eastAsia="Arial Unicode MS"/>
          <w:color w:val="000000"/>
          <w:u w:color="000000"/>
        </w:rPr>
        <w:t xml:space="preserve"> </w:t>
      </w:r>
      <w:r w:rsidR="006305E6" w:rsidRPr="00617969">
        <w:rPr>
          <w:rFonts w:eastAsia="Arial Unicode MS"/>
          <w:i/>
          <w:color w:val="000000"/>
          <w:u w:color="000000"/>
        </w:rPr>
        <w:t>иммунофено</w:t>
      </w:r>
      <w:r w:rsidR="006305E6">
        <w:rPr>
          <w:rFonts w:eastAsia="Arial Unicode MS"/>
          <w:i/>
          <w:color w:val="000000"/>
          <w:u w:color="000000"/>
        </w:rPr>
        <w:t xml:space="preserve">типирование </w:t>
      </w:r>
      <w:r>
        <w:rPr>
          <w:rFonts w:eastAsia="Arial Unicode MS"/>
          <w:i/>
          <w:color w:val="000000"/>
          <w:u w:color="000000"/>
        </w:rPr>
        <w:t xml:space="preserve">выполняют с помощью </w:t>
      </w:r>
      <w:r w:rsidRPr="00617969">
        <w:rPr>
          <w:rFonts w:eastAsia="Arial Unicode MS"/>
          <w:i/>
          <w:color w:val="000000"/>
          <w:u w:color="000000"/>
        </w:rPr>
        <w:t>мультип</w:t>
      </w:r>
      <w:r w:rsidR="0032725D">
        <w:rPr>
          <w:rFonts w:eastAsia="Arial Unicode MS"/>
          <w:i/>
          <w:color w:val="000000"/>
          <w:u w:color="000000"/>
        </w:rPr>
        <w:t>араметрической проточной цитофлу</w:t>
      </w:r>
      <w:r w:rsidRPr="00617969">
        <w:rPr>
          <w:rFonts w:eastAsia="Arial Unicode MS"/>
          <w:i/>
          <w:color w:val="000000"/>
          <w:u w:color="000000"/>
        </w:rPr>
        <w:t xml:space="preserve">ориметрии (обычно как минимум 3- или 4-цветной). </w:t>
      </w:r>
      <w:r>
        <w:rPr>
          <w:rFonts w:eastAsia="Arial Unicode MS"/>
          <w:i/>
          <w:color w:val="000000"/>
          <w:u w:color="000000"/>
        </w:rPr>
        <w:t>Е</w:t>
      </w:r>
      <w:r w:rsidRPr="00617969">
        <w:rPr>
          <w:rFonts w:eastAsia="Arial Unicode MS"/>
          <w:i/>
          <w:color w:val="000000"/>
          <w:u w:color="000000"/>
        </w:rPr>
        <w:t>го используют для более четкого определения принадлежности бластных клеток к той или иной линии клеточной дифференцировки после установле</w:t>
      </w:r>
      <w:r>
        <w:rPr>
          <w:rFonts w:eastAsia="Arial Unicode MS"/>
          <w:i/>
          <w:color w:val="000000"/>
          <w:u w:color="000000"/>
        </w:rPr>
        <w:t>ния морфологического диагноза ОЛ</w:t>
      </w:r>
      <w:r w:rsidRPr="00617969">
        <w:rPr>
          <w:rFonts w:eastAsia="Arial Unicode MS"/>
          <w:i/>
          <w:color w:val="000000"/>
          <w:u w:color="000000"/>
        </w:rPr>
        <w:t xml:space="preserve">Л. </w:t>
      </w:r>
      <w:r>
        <w:rPr>
          <w:rFonts w:eastAsia="Arial Unicode MS"/>
          <w:i/>
          <w:color w:val="000000"/>
          <w:u w:color="000000"/>
        </w:rPr>
        <w:t>И</w:t>
      </w:r>
      <w:r w:rsidRPr="00617969">
        <w:rPr>
          <w:rFonts w:eastAsia="Arial Unicode MS"/>
          <w:i/>
          <w:color w:val="000000"/>
          <w:u w:color="000000"/>
        </w:rPr>
        <w:t>ммунофенотипическая характеристика бласт</w:t>
      </w:r>
      <w:r>
        <w:rPr>
          <w:rFonts w:eastAsia="Arial Unicode MS"/>
          <w:i/>
          <w:color w:val="000000"/>
          <w:u w:color="000000"/>
        </w:rPr>
        <w:t xml:space="preserve">ных клеток при </w:t>
      </w:r>
      <w:r w:rsidR="00B87C87">
        <w:rPr>
          <w:rFonts w:eastAsia="Arial Unicode MS"/>
          <w:i/>
          <w:color w:val="000000"/>
          <w:u w:color="000000"/>
        </w:rPr>
        <w:t>ОЛЛ</w:t>
      </w:r>
      <w:r w:rsidRPr="00617969">
        <w:rPr>
          <w:rFonts w:eastAsia="Arial Unicode MS"/>
          <w:i/>
          <w:color w:val="000000"/>
          <w:u w:color="000000"/>
        </w:rPr>
        <w:t xml:space="preserve"> представлена в </w:t>
      </w:r>
      <w:r w:rsidRPr="00465085">
        <w:rPr>
          <w:rFonts w:eastAsia="Arial Unicode MS"/>
          <w:i/>
          <w:color w:val="000000"/>
          <w:u w:color="000000"/>
        </w:rPr>
        <w:t>приложении Г2</w:t>
      </w:r>
      <w:r w:rsidRPr="00617969">
        <w:rPr>
          <w:rFonts w:eastAsia="Arial Unicode MS"/>
          <w:i/>
          <w:color w:val="000000"/>
          <w:u w:color="000000"/>
        </w:rPr>
        <w:t>.</w:t>
      </w:r>
      <w:r w:rsidRPr="005D47D3">
        <w:t xml:space="preserve"> </w:t>
      </w:r>
      <w:r w:rsidRPr="005D47D3">
        <w:rPr>
          <w:i/>
        </w:rPr>
        <w:t>ОЛЛ из предшественников B</w:t>
      </w:r>
      <w:r w:rsidR="0032725D">
        <w:rPr>
          <w:i/>
        </w:rPr>
        <w:t>-лимфоцитов (70–</w:t>
      </w:r>
      <w:r w:rsidRPr="005D47D3">
        <w:rPr>
          <w:i/>
        </w:rPr>
        <w:t>80</w:t>
      </w:r>
      <w:r w:rsidR="0032725D">
        <w:rPr>
          <w:i/>
        </w:rPr>
        <w:t xml:space="preserve"> </w:t>
      </w:r>
      <w:r w:rsidRPr="005D47D3">
        <w:rPr>
          <w:i/>
        </w:rPr>
        <w:t>% случаев) могут классифицироваться на четыре группы</w:t>
      </w:r>
      <w:r w:rsidR="00ED0FBC">
        <w:rPr>
          <w:i/>
        </w:rPr>
        <w:t>,</w:t>
      </w:r>
      <w:r w:rsidRPr="005D47D3">
        <w:rPr>
          <w:i/>
        </w:rPr>
        <w:t xml:space="preserve"> в зависимости от экспрессии антигенов дифференцировки B-клеток, а также цитоплазматических и поверхностных иммуноглобулинов (Ig). </w:t>
      </w:r>
      <w:r w:rsidRPr="0053568D">
        <w:rPr>
          <w:i/>
        </w:rPr>
        <w:t>ОЛЛ из пр</w:t>
      </w:r>
      <w:r w:rsidR="0032725D" w:rsidRPr="0053568D">
        <w:rPr>
          <w:i/>
        </w:rPr>
        <w:t>едшественников Т-лимфоцитов (20–</w:t>
      </w:r>
      <w:r w:rsidRPr="0053568D">
        <w:rPr>
          <w:i/>
        </w:rPr>
        <w:t>30</w:t>
      </w:r>
      <w:r w:rsidR="0032725D" w:rsidRPr="0053568D">
        <w:rPr>
          <w:i/>
        </w:rPr>
        <w:t xml:space="preserve"> </w:t>
      </w:r>
      <w:r w:rsidRPr="0053568D">
        <w:rPr>
          <w:i/>
        </w:rPr>
        <w:t xml:space="preserve">% случаев) также могут делиться на </w:t>
      </w:r>
      <w:r w:rsidR="0053568D" w:rsidRPr="0053568D">
        <w:rPr>
          <w:i/>
        </w:rPr>
        <w:t>4</w:t>
      </w:r>
      <w:r w:rsidRPr="0053568D">
        <w:rPr>
          <w:i/>
        </w:rPr>
        <w:t xml:space="preserve"> группы в зависимости от уровня зрелости тимоцита и </w:t>
      </w:r>
      <w:r w:rsidR="00B11A76" w:rsidRPr="0053568D">
        <w:rPr>
          <w:i/>
        </w:rPr>
        <w:t xml:space="preserve">экспрессии антигена </w:t>
      </w:r>
      <w:r w:rsidR="00B11A76" w:rsidRPr="0053568D">
        <w:rPr>
          <w:i/>
          <w:lang w:val="en-US"/>
        </w:rPr>
        <w:t>CD</w:t>
      </w:r>
      <w:r w:rsidR="00B11A76" w:rsidRPr="0053568D">
        <w:rPr>
          <w:i/>
        </w:rPr>
        <w:t>1</w:t>
      </w:r>
      <w:r w:rsidR="00B11A76" w:rsidRPr="0053568D">
        <w:rPr>
          <w:i/>
          <w:lang w:val="en-US"/>
        </w:rPr>
        <w:t>a</w:t>
      </w:r>
      <w:r w:rsidRPr="0053568D">
        <w:rPr>
          <w:i/>
        </w:rPr>
        <w:t xml:space="preserve"> T-ОЛЛ</w:t>
      </w:r>
      <w:r w:rsidR="00602291" w:rsidRPr="0053568D">
        <w:rPr>
          <w:i/>
        </w:rPr>
        <w:t>,</w:t>
      </w:r>
      <w:r w:rsidRPr="0053568D">
        <w:rPr>
          <w:i/>
        </w:rPr>
        <w:t xml:space="preserve"> могут дополнительно классифицироваться в </w:t>
      </w:r>
      <w:r w:rsidRPr="0053568D">
        <w:rPr>
          <w:i/>
        </w:rPr>
        <w:lastRenderedPageBreak/>
        <w:t>зависимости от субтипа рецептора Т-клеток (TCR).</w:t>
      </w:r>
      <w:r w:rsidRPr="00E23FE4">
        <w:rPr>
          <w:i/>
        </w:rPr>
        <w:t xml:space="preserve"> В ряде случаев </w:t>
      </w:r>
      <w:r w:rsidRPr="00E23FE4">
        <w:rPr>
          <w:rFonts w:eastAsia="TimesNewRoman"/>
          <w:i/>
          <w:lang w:eastAsia="en-US"/>
        </w:rPr>
        <w:t>бластные клетки имеют одновременно лимфоидные и миелоидные маркеры.</w:t>
      </w:r>
      <w:r w:rsidRPr="00D01645">
        <w:rPr>
          <w:rFonts w:eastAsia="TimesNewRoman"/>
          <w:i/>
          <w:lang w:eastAsia="en-US"/>
        </w:rPr>
        <w:t xml:space="preserve"> </w:t>
      </w:r>
      <w:r w:rsidRPr="00D01645">
        <w:rPr>
          <w:i/>
        </w:rPr>
        <w:t>В последней классификации ВОЗ (20</w:t>
      </w:r>
      <w:r w:rsidR="006305E6" w:rsidRPr="006305E6">
        <w:rPr>
          <w:i/>
        </w:rPr>
        <w:t xml:space="preserve">17 </w:t>
      </w:r>
      <w:r w:rsidR="006305E6">
        <w:rPr>
          <w:i/>
        </w:rPr>
        <w:t>г.</w:t>
      </w:r>
      <w:r w:rsidRPr="00D01645">
        <w:rPr>
          <w:i/>
        </w:rPr>
        <w:t>)</w:t>
      </w:r>
      <w:r w:rsidR="006305E6" w:rsidRPr="00F35309">
        <w:rPr>
          <w:i/>
        </w:rPr>
        <w:t xml:space="preserve"> </w:t>
      </w:r>
      <w:r w:rsidR="00DC59BE" w:rsidRPr="00F35309">
        <w:rPr>
          <w:i/>
        </w:rPr>
        <w:fldChar w:fldCharType="begin" w:fldLock="1"/>
      </w:r>
      <w:r w:rsidR="00914AB6">
        <w:rPr>
          <w:i/>
        </w:rPr>
        <w:instrText>ADDIN CSL_CITATION {"citationItems":[{"id":"ITEM-1","itemData":{"ISBN":"9789283244943","abstract":"Revised 4th edition. Introduction and overview of the classification of the myeloid neoplasms -- Myeloproliferative neoplasms -- Mastocytosis -- Myeloid/lymphoid neoplasms with eosinophilia and gene rearrangement -- Myelodysplastic/myeloproliferative neoplasms -- Myelodysplastic syndromes -- Myeloid neoplasms with germline predisposition -- Acute myeloid leukaemia and related precursor neoplasms -- Blastic plasmacytoid dendritic cell neoplasm -- Acute leukaemias of ambiguous lineage -- Introduction and overview of the classification of the lymphoid neoplasms -- Precursor lymphoid neoplasms -- Mature B-cell neoplasms -- Mature T- and NK-cell neoplasms -- Hodgkin lymphomas -- Immunodeficiency-associated lymphoproliferative disorders -- Histiocytic and dendritic cell neoplasms.","author":[{"dropping-particle":"","family":"Swerdlow","given":"Steven H.","non-dropping-particle":"","parse-names":false,"suffix":""},{"dropping-particle":"","family":"Campo","given":"Elias","non-dropping-particle":"","parse-names":false,"suffix":""},{"dropping-particle":"","family":"Harris","given":"Nancy Lee","non-dropping-particle":"","parse-names":false,"suffix":""},{"dropping-particle":"","family":"Jaffe","given":"Elaine S.","non-dropping-particle":"","parse-names":false,"suffix":""},{"dropping-particle":"","family":"Pileri","given":"Stefano A.","non-dropping-particle":"","parse-names":false,"suffix":""},{"dropping-particle":"","family":"Stein","given":"Harald","non-dropping-particle":"","parse-names":false,"suffix":""},{"dropping-particle":"","family":"Thiele","given":"Jürgen","non-dropping-particle":"","parse-names":false,"suffix":""}],"editor":[{"dropping-particle":"","family":"Swerdlow SH, Campo E, Harris NL, Jaffe ES, Pileri SA, Stein H","given":"Thiele J","non-dropping-particle":"","parse-names":false,"suffix":""}],"id":"ITEM-1","issued":{"date-parts":[["2017"]]},"number-of-pages":"585","title":"WHO classification of tumours of haematopoietic and lymphoid tissues. Revised 4th ed. Lyon, France: International Agency for Research in Cancer (IARC)","type":"book"},"uris":["http://www.mendeley.com/documents/?uuid=b06b14d2-e846-3ead-b23a-17e93b076e13"]}],"mendeley":{"formattedCitation":"[3]","plainTextFormattedCitation":"[3]","previouslyFormattedCitation":"[3]"},"properties":{"noteIndex":0},"schema":"https://github.com/citation-style-language/schema/raw/master/csl-citation.json"}</w:instrText>
      </w:r>
      <w:r w:rsidR="00DC59BE" w:rsidRPr="00F35309">
        <w:rPr>
          <w:i/>
        </w:rPr>
        <w:fldChar w:fldCharType="separate"/>
      </w:r>
      <w:r w:rsidR="006305E6" w:rsidRPr="00F35309">
        <w:rPr>
          <w:i/>
          <w:noProof/>
        </w:rPr>
        <w:t>[3]</w:t>
      </w:r>
      <w:r w:rsidR="00DC59BE" w:rsidRPr="00F35309">
        <w:rPr>
          <w:i/>
        </w:rPr>
        <w:fldChar w:fldCharType="end"/>
      </w:r>
      <w:r w:rsidRPr="00D01645">
        <w:rPr>
          <w:i/>
        </w:rPr>
        <w:t xml:space="preserve"> эти случаи определяются как смешанный фенотип </w:t>
      </w:r>
      <w:r w:rsidR="00B87C87">
        <w:rPr>
          <w:i/>
        </w:rPr>
        <w:t xml:space="preserve">ОЛ </w:t>
      </w:r>
      <w:r w:rsidRPr="00D01645">
        <w:rPr>
          <w:i/>
        </w:rPr>
        <w:t xml:space="preserve">(MPAL) (B-/миелоидный, T-/миелоидный). При отсутствии экспрессии маркеров, специфичных для лимфоидного или миелоидного ростков, устанавливают диагноз </w:t>
      </w:r>
      <w:r w:rsidR="0032725D">
        <w:rPr>
          <w:i/>
        </w:rPr>
        <w:t>«</w:t>
      </w:r>
      <w:r w:rsidRPr="00D01645">
        <w:rPr>
          <w:i/>
        </w:rPr>
        <w:t>недифференцированный лейкоз</w:t>
      </w:r>
      <w:r w:rsidR="0032725D">
        <w:rPr>
          <w:i/>
        </w:rPr>
        <w:t>»</w:t>
      </w:r>
      <w:r w:rsidR="00602291">
        <w:rPr>
          <w:i/>
        </w:rPr>
        <w:t>.</w:t>
      </w:r>
    </w:p>
    <w:p w14:paraId="7CB01637" w14:textId="77777777" w:rsidR="00D76E91" w:rsidRPr="009F500F" w:rsidRDefault="00D76E91" w:rsidP="00D76E91">
      <w:pPr>
        <w:ind w:firstLine="709"/>
        <w:rPr>
          <w:i/>
          <w:szCs w:val="24"/>
        </w:rPr>
      </w:pPr>
      <w:r w:rsidRPr="009F500F">
        <w:rPr>
          <w:i/>
          <w:szCs w:val="24"/>
        </w:rPr>
        <w:t>В классификации ВОЗ 2016 отдельно выделяется</w:t>
      </w:r>
      <w:r w:rsidRPr="009F500F">
        <w:rPr>
          <w:b/>
          <w:i/>
          <w:szCs w:val="24"/>
        </w:rPr>
        <w:t xml:space="preserve"> Т-лимфобластный лейкоз из ранних предшественников (</w:t>
      </w:r>
      <w:r w:rsidRPr="009F500F">
        <w:rPr>
          <w:b/>
          <w:i/>
          <w:szCs w:val="24"/>
          <w:lang w:val="en-US"/>
        </w:rPr>
        <w:t>e</w:t>
      </w:r>
      <w:r w:rsidRPr="009F500F">
        <w:rPr>
          <w:b/>
          <w:i/>
          <w:szCs w:val="24"/>
        </w:rPr>
        <w:t>arly T-precursor (ETP-ALL)</w:t>
      </w:r>
      <w:r w:rsidRPr="009F500F">
        <w:rPr>
          <w:i/>
          <w:szCs w:val="24"/>
        </w:rPr>
        <w:t xml:space="preserve">. Бластные клетки при </w:t>
      </w:r>
      <w:r w:rsidRPr="009F500F">
        <w:rPr>
          <w:i/>
          <w:szCs w:val="24"/>
          <w:lang w:val="en-US"/>
        </w:rPr>
        <w:t>ETP</w:t>
      </w:r>
      <w:r w:rsidRPr="009F500F">
        <w:rPr>
          <w:i/>
          <w:szCs w:val="24"/>
        </w:rPr>
        <w:t xml:space="preserve"> имеют признаки миелоидных и стволовых клеток, иммунофенотип должен соответствовать определенным критериям:</w:t>
      </w:r>
    </w:p>
    <w:p w14:paraId="0A513D29" w14:textId="77777777" w:rsidR="00D76E91" w:rsidRPr="009F500F" w:rsidRDefault="00D76E91" w:rsidP="00461889">
      <w:pPr>
        <w:pStyle w:val="afff3"/>
        <w:widowControl/>
        <w:numPr>
          <w:ilvl w:val="0"/>
          <w:numId w:val="253"/>
        </w:numPr>
        <w:autoSpaceDE/>
        <w:autoSpaceDN/>
        <w:adjustRightInd/>
        <w:ind w:left="709"/>
        <w:jc w:val="left"/>
        <w:rPr>
          <w:i/>
          <w:szCs w:val="24"/>
        </w:rPr>
      </w:pPr>
      <w:r w:rsidRPr="009F500F">
        <w:rPr>
          <w:i/>
          <w:szCs w:val="24"/>
        </w:rPr>
        <w:t>Т-линейная направленность (</w:t>
      </w:r>
      <w:r w:rsidRPr="009F500F">
        <w:rPr>
          <w:i/>
          <w:szCs w:val="24"/>
          <w:lang w:val="en-US"/>
        </w:rPr>
        <w:t>cyCD</w:t>
      </w:r>
      <w:r w:rsidRPr="009F500F">
        <w:rPr>
          <w:i/>
          <w:szCs w:val="24"/>
        </w:rPr>
        <w:t>3+</w:t>
      </w:r>
      <w:r w:rsidRPr="009F500F">
        <w:rPr>
          <w:i/>
          <w:szCs w:val="24"/>
          <w:lang w:val="en-US"/>
        </w:rPr>
        <w:t>CD</w:t>
      </w:r>
      <w:r w:rsidRPr="009F500F">
        <w:rPr>
          <w:i/>
          <w:szCs w:val="24"/>
        </w:rPr>
        <w:t>7+)</w:t>
      </w:r>
    </w:p>
    <w:p w14:paraId="69A40710" w14:textId="77777777" w:rsidR="00D76E91" w:rsidRPr="009F500F" w:rsidRDefault="00D76E91" w:rsidP="00461889">
      <w:pPr>
        <w:pStyle w:val="afff3"/>
        <w:widowControl/>
        <w:numPr>
          <w:ilvl w:val="0"/>
          <w:numId w:val="253"/>
        </w:numPr>
        <w:autoSpaceDE/>
        <w:autoSpaceDN/>
        <w:adjustRightInd/>
        <w:ind w:left="709"/>
        <w:jc w:val="left"/>
        <w:rPr>
          <w:i/>
          <w:szCs w:val="24"/>
        </w:rPr>
      </w:pPr>
      <w:r w:rsidRPr="009F500F">
        <w:rPr>
          <w:i/>
          <w:szCs w:val="24"/>
          <w:lang w:val="en-US"/>
        </w:rPr>
        <w:t>CD</w:t>
      </w:r>
      <w:r w:rsidRPr="009F500F">
        <w:rPr>
          <w:i/>
          <w:szCs w:val="24"/>
        </w:rPr>
        <w:t>1</w:t>
      </w:r>
      <w:r w:rsidRPr="009F500F">
        <w:rPr>
          <w:i/>
          <w:szCs w:val="24"/>
          <w:lang w:val="en-US"/>
        </w:rPr>
        <w:t>a</w:t>
      </w:r>
      <w:r w:rsidRPr="009F500F">
        <w:rPr>
          <w:i/>
          <w:szCs w:val="24"/>
        </w:rPr>
        <w:t xml:space="preserve"> и </w:t>
      </w:r>
      <w:r w:rsidRPr="009F500F">
        <w:rPr>
          <w:i/>
          <w:szCs w:val="24"/>
          <w:lang w:val="en-US"/>
        </w:rPr>
        <w:t>CD</w:t>
      </w:r>
      <w:r w:rsidRPr="009F500F">
        <w:rPr>
          <w:i/>
          <w:szCs w:val="24"/>
        </w:rPr>
        <w:t>8 отрицательные (&lt;5%)</w:t>
      </w:r>
    </w:p>
    <w:p w14:paraId="54AFE15B" w14:textId="77777777" w:rsidR="00D76E91" w:rsidRPr="009F500F" w:rsidRDefault="00D76E91" w:rsidP="00461889">
      <w:pPr>
        <w:pStyle w:val="afff3"/>
        <w:widowControl/>
        <w:numPr>
          <w:ilvl w:val="0"/>
          <w:numId w:val="253"/>
        </w:numPr>
        <w:autoSpaceDE/>
        <w:autoSpaceDN/>
        <w:adjustRightInd/>
        <w:ind w:left="709"/>
        <w:jc w:val="left"/>
        <w:rPr>
          <w:i/>
          <w:szCs w:val="24"/>
        </w:rPr>
      </w:pPr>
      <w:r w:rsidRPr="009F500F">
        <w:rPr>
          <w:i/>
          <w:szCs w:val="24"/>
          <w:lang w:val="en-US"/>
        </w:rPr>
        <w:t>CD</w:t>
      </w:r>
      <w:r w:rsidRPr="009F500F">
        <w:rPr>
          <w:i/>
          <w:szCs w:val="24"/>
        </w:rPr>
        <w:t>5 позитивны менее 75% бластов, слабая экспрессия антигена.</w:t>
      </w:r>
    </w:p>
    <w:p w14:paraId="7A653327" w14:textId="77777777" w:rsidR="00D76E91" w:rsidRPr="009F500F" w:rsidRDefault="00D76E91" w:rsidP="00461889">
      <w:pPr>
        <w:pStyle w:val="afff3"/>
        <w:widowControl/>
        <w:numPr>
          <w:ilvl w:val="0"/>
          <w:numId w:val="253"/>
        </w:numPr>
        <w:autoSpaceDE/>
        <w:autoSpaceDN/>
        <w:adjustRightInd/>
        <w:ind w:left="709"/>
        <w:jc w:val="left"/>
        <w:rPr>
          <w:i/>
          <w:szCs w:val="24"/>
        </w:rPr>
      </w:pPr>
      <w:r w:rsidRPr="009F500F">
        <w:rPr>
          <w:i/>
          <w:szCs w:val="24"/>
        </w:rPr>
        <w:t xml:space="preserve">позитивен хотя бы один из следующих маркеров: </w:t>
      </w:r>
      <w:r w:rsidRPr="009F500F">
        <w:rPr>
          <w:i/>
          <w:szCs w:val="24"/>
          <w:lang w:val="en-US"/>
        </w:rPr>
        <w:t>CD</w:t>
      </w:r>
      <w:r w:rsidRPr="009F500F">
        <w:rPr>
          <w:i/>
          <w:szCs w:val="24"/>
        </w:rPr>
        <w:t xml:space="preserve">34, </w:t>
      </w:r>
      <w:r w:rsidRPr="009F500F">
        <w:rPr>
          <w:i/>
          <w:szCs w:val="24"/>
          <w:lang w:val="en-US"/>
        </w:rPr>
        <w:t>CD</w:t>
      </w:r>
      <w:r w:rsidRPr="009F500F">
        <w:rPr>
          <w:i/>
          <w:szCs w:val="24"/>
        </w:rPr>
        <w:t xml:space="preserve">117, </w:t>
      </w:r>
      <w:r w:rsidRPr="009F500F">
        <w:rPr>
          <w:i/>
          <w:szCs w:val="24"/>
          <w:lang w:val="en-US"/>
        </w:rPr>
        <w:t>HLA</w:t>
      </w:r>
      <w:r w:rsidRPr="009F500F">
        <w:rPr>
          <w:i/>
          <w:szCs w:val="24"/>
        </w:rPr>
        <w:t>-</w:t>
      </w:r>
      <w:r w:rsidRPr="009F500F">
        <w:rPr>
          <w:i/>
          <w:szCs w:val="24"/>
          <w:lang w:val="en-US"/>
        </w:rPr>
        <w:t>DR</w:t>
      </w:r>
      <w:r w:rsidRPr="009F500F">
        <w:rPr>
          <w:i/>
          <w:szCs w:val="24"/>
        </w:rPr>
        <w:t xml:space="preserve">, </w:t>
      </w:r>
      <w:r w:rsidRPr="009F500F">
        <w:rPr>
          <w:i/>
          <w:szCs w:val="24"/>
          <w:lang w:val="en-US"/>
        </w:rPr>
        <w:t>CD</w:t>
      </w:r>
      <w:r w:rsidRPr="009F500F">
        <w:rPr>
          <w:i/>
          <w:szCs w:val="24"/>
        </w:rPr>
        <w:t xml:space="preserve">13, </w:t>
      </w:r>
      <w:r w:rsidRPr="009F500F">
        <w:rPr>
          <w:i/>
          <w:szCs w:val="24"/>
          <w:lang w:val="en-US"/>
        </w:rPr>
        <w:t>CD</w:t>
      </w:r>
      <w:r w:rsidRPr="009F500F">
        <w:rPr>
          <w:i/>
          <w:szCs w:val="24"/>
        </w:rPr>
        <w:t xml:space="preserve">33, </w:t>
      </w:r>
      <w:r w:rsidRPr="009F500F">
        <w:rPr>
          <w:i/>
          <w:szCs w:val="24"/>
          <w:lang w:val="en-US"/>
        </w:rPr>
        <w:t>CD</w:t>
      </w:r>
      <w:r w:rsidRPr="009F500F">
        <w:rPr>
          <w:i/>
          <w:szCs w:val="24"/>
        </w:rPr>
        <w:t>11</w:t>
      </w:r>
      <w:r w:rsidRPr="009F500F">
        <w:rPr>
          <w:i/>
          <w:szCs w:val="24"/>
          <w:lang w:val="en-US"/>
        </w:rPr>
        <w:t>b</w:t>
      </w:r>
      <w:r w:rsidRPr="009F500F">
        <w:rPr>
          <w:i/>
          <w:szCs w:val="24"/>
        </w:rPr>
        <w:t xml:space="preserve">, </w:t>
      </w:r>
      <w:r w:rsidRPr="009F500F">
        <w:rPr>
          <w:i/>
          <w:szCs w:val="24"/>
          <w:lang w:val="en-US"/>
        </w:rPr>
        <w:t>CD</w:t>
      </w:r>
      <w:r w:rsidRPr="009F500F">
        <w:rPr>
          <w:i/>
          <w:szCs w:val="24"/>
        </w:rPr>
        <w:t>65.</w:t>
      </w:r>
    </w:p>
    <w:p w14:paraId="229657B9" w14:textId="176849DE" w:rsidR="00D76E91" w:rsidRPr="009F500F" w:rsidRDefault="00D76E91" w:rsidP="00D76E91">
      <w:pPr>
        <w:shd w:val="clear" w:color="auto" w:fill="FFFFFF"/>
        <w:tabs>
          <w:tab w:val="left" w:pos="211"/>
        </w:tabs>
        <w:ind w:firstLine="709"/>
        <w:contextualSpacing/>
        <w:rPr>
          <w:i/>
        </w:rPr>
      </w:pPr>
      <w:r w:rsidRPr="009F500F">
        <w:rPr>
          <w:i/>
          <w:szCs w:val="24"/>
        </w:rPr>
        <w:t xml:space="preserve">В случае яркой и более мономорфной экспрессии </w:t>
      </w:r>
      <w:r w:rsidRPr="009F500F">
        <w:rPr>
          <w:i/>
          <w:szCs w:val="24"/>
          <w:lang w:val="en-US"/>
        </w:rPr>
        <w:t>CD</w:t>
      </w:r>
      <w:r w:rsidRPr="009F500F">
        <w:rPr>
          <w:i/>
          <w:szCs w:val="24"/>
        </w:rPr>
        <w:t xml:space="preserve">5 (≥75%), но выполнении остальных критериев Т-лимфобластного лейкоза из ранних предшественников, устанавливается диагноз </w:t>
      </w:r>
      <w:r w:rsidRPr="009F500F">
        <w:rPr>
          <w:b/>
          <w:i/>
          <w:szCs w:val="24"/>
          <w:lang w:val="en-US"/>
        </w:rPr>
        <w:t>near</w:t>
      </w:r>
      <w:r w:rsidRPr="009F500F">
        <w:rPr>
          <w:b/>
          <w:i/>
          <w:szCs w:val="24"/>
        </w:rPr>
        <w:t>-</w:t>
      </w:r>
      <w:r w:rsidRPr="009F500F">
        <w:rPr>
          <w:b/>
          <w:i/>
          <w:szCs w:val="24"/>
          <w:lang w:val="en-US"/>
        </w:rPr>
        <w:t>ETP</w:t>
      </w:r>
      <w:r w:rsidRPr="009F500F">
        <w:rPr>
          <w:b/>
          <w:i/>
          <w:szCs w:val="24"/>
        </w:rPr>
        <w:t>-</w:t>
      </w:r>
      <w:r w:rsidRPr="009F500F">
        <w:rPr>
          <w:b/>
          <w:i/>
          <w:szCs w:val="24"/>
          <w:lang w:val="en-US"/>
        </w:rPr>
        <w:t>ALL</w:t>
      </w:r>
      <w:r w:rsidRPr="009F500F">
        <w:rPr>
          <w:i/>
          <w:szCs w:val="24"/>
        </w:rPr>
        <w:t>, что можно перевести как «подобный-</w:t>
      </w:r>
      <w:r w:rsidRPr="009F500F">
        <w:rPr>
          <w:i/>
          <w:szCs w:val="24"/>
          <w:lang w:val="en-US"/>
        </w:rPr>
        <w:t>ETP</w:t>
      </w:r>
      <w:r w:rsidRPr="009F500F">
        <w:rPr>
          <w:i/>
          <w:szCs w:val="24"/>
        </w:rPr>
        <w:t>-</w:t>
      </w:r>
      <w:r w:rsidRPr="009F500F">
        <w:rPr>
          <w:i/>
          <w:szCs w:val="24"/>
          <w:lang w:val="en-US"/>
        </w:rPr>
        <w:t>ALL</w:t>
      </w:r>
      <w:r w:rsidRPr="009F500F">
        <w:rPr>
          <w:i/>
          <w:szCs w:val="24"/>
        </w:rPr>
        <w:t>».</w:t>
      </w:r>
    </w:p>
    <w:p w14:paraId="79472719" w14:textId="77777777" w:rsidR="00254823" w:rsidRPr="003D17AF" w:rsidRDefault="00254823" w:rsidP="00C171A6">
      <w:pPr>
        <w:shd w:val="clear" w:color="auto" w:fill="FFFFFF"/>
        <w:tabs>
          <w:tab w:val="left" w:pos="211"/>
        </w:tabs>
        <w:ind w:firstLine="709"/>
        <w:contextualSpacing/>
        <w:rPr>
          <w:i/>
        </w:rPr>
      </w:pPr>
      <w:r w:rsidRPr="003D17AF">
        <w:rPr>
          <w:i/>
        </w:rPr>
        <w:t>Приблизительно 80</w:t>
      </w:r>
      <w:r w:rsidR="00602291">
        <w:rPr>
          <w:i/>
        </w:rPr>
        <w:t xml:space="preserve"> </w:t>
      </w:r>
      <w:r w:rsidRPr="003D17AF">
        <w:rPr>
          <w:i/>
        </w:rPr>
        <w:t>% ЛБЛ характеризуются экспрессией T-кл</w:t>
      </w:r>
      <w:r w:rsidR="00C171A6">
        <w:rPr>
          <w:i/>
        </w:rPr>
        <w:t xml:space="preserve">еточных маркеров в </w:t>
      </w:r>
      <w:r w:rsidR="00ED0FBC">
        <w:rPr>
          <w:i/>
        </w:rPr>
        <w:t xml:space="preserve">отличие </w:t>
      </w:r>
      <w:r w:rsidR="00C171A6">
        <w:rPr>
          <w:i/>
        </w:rPr>
        <w:t xml:space="preserve">от </w:t>
      </w:r>
      <w:r w:rsidR="00DD2199">
        <w:rPr>
          <w:i/>
        </w:rPr>
        <w:t>ОЛЛ, при котором</w:t>
      </w:r>
      <w:r w:rsidR="00602291">
        <w:rPr>
          <w:i/>
        </w:rPr>
        <w:t xml:space="preserve"> &gt;</w:t>
      </w:r>
      <w:r w:rsidRPr="003D17AF">
        <w:rPr>
          <w:i/>
        </w:rPr>
        <w:t>70</w:t>
      </w:r>
      <w:r w:rsidR="00602291">
        <w:rPr>
          <w:i/>
        </w:rPr>
        <w:t xml:space="preserve"> </w:t>
      </w:r>
      <w:r w:rsidRPr="003D17AF">
        <w:rPr>
          <w:i/>
        </w:rPr>
        <w:t>% относятся к B-клеточным. Поэтому среди всех ЛБЛ доминирует T-клеточный субтип.</w:t>
      </w:r>
    </w:p>
    <w:p w14:paraId="39B3DB13" w14:textId="77777777" w:rsidR="00254823" w:rsidRPr="003D17AF" w:rsidRDefault="00254823" w:rsidP="00C171A6">
      <w:pPr>
        <w:shd w:val="clear" w:color="auto" w:fill="FFFFFF"/>
        <w:tabs>
          <w:tab w:val="left" w:pos="211"/>
        </w:tabs>
        <w:ind w:firstLine="709"/>
        <w:contextualSpacing/>
        <w:rPr>
          <w:i/>
        </w:rPr>
      </w:pPr>
      <w:r w:rsidRPr="003D17AF">
        <w:rPr>
          <w:i/>
        </w:rPr>
        <w:t>Иммуно</w:t>
      </w:r>
      <w:r w:rsidR="008C0694" w:rsidRPr="008C0694">
        <w:rPr>
          <w:i/>
        </w:rPr>
        <w:t>морфологические</w:t>
      </w:r>
      <w:r w:rsidRPr="003D17AF">
        <w:rPr>
          <w:i/>
        </w:rPr>
        <w:t xml:space="preserve"> характеристики опухолевых клеток при Т-ЛБЛ</w:t>
      </w:r>
      <w:r w:rsidR="00F41168">
        <w:rPr>
          <w:i/>
        </w:rPr>
        <w:t>:</w:t>
      </w:r>
      <w:r w:rsidRPr="003D17AF">
        <w:rPr>
          <w:i/>
        </w:rPr>
        <w:t xml:space="preserve"> позитивны</w:t>
      </w:r>
      <w:r w:rsidR="00F41168">
        <w:rPr>
          <w:i/>
        </w:rPr>
        <w:t xml:space="preserve"> </w:t>
      </w:r>
      <w:r w:rsidRPr="003D17AF">
        <w:rPr>
          <w:i/>
        </w:rPr>
        <w:t>терминальная дезок</w:t>
      </w:r>
      <w:r w:rsidR="00275B80">
        <w:rPr>
          <w:i/>
        </w:rPr>
        <w:t>синуклеотидил</w:t>
      </w:r>
      <w:r w:rsidRPr="003D17AF">
        <w:rPr>
          <w:i/>
        </w:rPr>
        <w:t>трансфераза (</w:t>
      </w:r>
      <w:r w:rsidR="00275B80">
        <w:rPr>
          <w:i/>
        </w:rPr>
        <w:t xml:space="preserve">далее – </w:t>
      </w:r>
      <w:r w:rsidRPr="003D17AF">
        <w:rPr>
          <w:i/>
        </w:rPr>
        <w:t xml:space="preserve">TdT), CD7 и цитоплазматическая CD3; вариабельны СD 1a, CD2, CD4, СD5, CD8; может быть </w:t>
      </w:r>
      <w:r w:rsidR="00275B80">
        <w:rPr>
          <w:i/>
        </w:rPr>
        <w:t>коэкспрессия CD4 и CD8, CD10 +/–</w:t>
      </w:r>
      <w:r w:rsidRPr="003D17AF">
        <w:rPr>
          <w:i/>
        </w:rPr>
        <w:t>; редко определяется коэкспрессия миеломаркеров CD 13; 33; 117. В трети Т-ЛБЛ выявлены транслокации с участием генов Т-клеточных рецепторов (α, ß, γ, δ) и различных партнерских генов, включая MYC, TAL1, HOX11 и др.</w:t>
      </w:r>
    </w:p>
    <w:p w14:paraId="43E83E72" w14:textId="77777777" w:rsidR="00254823" w:rsidRDefault="00254823" w:rsidP="00C171A6">
      <w:pPr>
        <w:shd w:val="clear" w:color="auto" w:fill="FFFFFF"/>
        <w:tabs>
          <w:tab w:val="left" w:pos="211"/>
        </w:tabs>
        <w:ind w:firstLine="709"/>
        <w:contextualSpacing/>
        <w:rPr>
          <w:i/>
        </w:rPr>
      </w:pPr>
      <w:r w:rsidRPr="003D17AF">
        <w:rPr>
          <w:i/>
        </w:rPr>
        <w:t>Иммуно</w:t>
      </w:r>
      <w:r w:rsidR="008C0694" w:rsidRPr="008C0694">
        <w:rPr>
          <w:i/>
        </w:rPr>
        <w:t>морфологические</w:t>
      </w:r>
      <w:r w:rsidR="008C0694">
        <w:rPr>
          <w:i/>
        </w:rPr>
        <w:t xml:space="preserve"> </w:t>
      </w:r>
      <w:r w:rsidRPr="003D17AF">
        <w:rPr>
          <w:i/>
        </w:rPr>
        <w:t>характеристики опухолевых клеток при В-ЛБЛ</w:t>
      </w:r>
      <w:r w:rsidR="00F41168">
        <w:rPr>
          <w:i/>
        </w:rPr>
        <w:t>: позитивн</w:t>
      </w:r>
      <w:r w:rsidRPr="003D17AF">
        <w:rPr>
          <w:i/>
        </w:rPr>
        <w:t>: ТdT (ядерная окраска), HLA-DR, CD 19 и цитоплазматическая (cyt)CD79a; CD20 и CD22 вариабельны. Иногда в цитоплазме определяются легкие цепи иммуноглобулина (cyt-µ). Поверхностные иммуноглобулины чаще отсутствуют, однако их обнаружение не исключает диагноза В-ЛБ</w:t>
      </w:r>
      <w:r>
        <w:rPr>
          <w:i/>
        </w:rPr>
        <w:t xml:space="preserve">Л; CD 45 может быть негативен. </w:t>
      </w:r>
    </w:p>
    <w:p w14:paraId="3FB06D63" w14:textId="7B3674FA" w:rsidR="00254823" w:rsidRPr="007F435A" w:rsidRDefault="00254823" w:rsidP="00FF4C81">
      <w:pPr>
        <w:numPr>
          <w:ilvl w:val="0"/>
          <w:numId w:val="19"/>
        </w:numPr>
        <w:shd w:val="clear" w:color="auto" w:fill="FFFFFF"/>
        <w:tabs>
          <w:tab w:val="left" w:pos="211"/>
        </w:tabs>
        <w:rPr>
          <w:i/>
        </w:rPr>
      </w:pPr>
      <w:r w:rsidRPr="00617969">
        <w:rPr>
          <w:b/>
          <w:color w:val="000000"/>
        </w:rPr>
        <w:t xml:space="preserve">Рекомендуется </w:t>
      </w:r>
      <w:r w:rsidRPr="00101FAD">
        <w:rPr>
          <w:color w:val="000000"/>
        </w:rPr>
        <w:t xml:space="preserve">всем </w:t>
      </w:r>
      <w:r w:rsidRPr="002F33C8">
        <w:rPr>
          <w:color w:val="000000" w:themeColor="text1"/>
        </w:rPr>
        <w:t>пациентам</w:t>
      </w:r>
      <w:r w:rsidRPr="002F33C8">
        <w:rPr>
          <w:b/>
          <w:color w:val="000000" w:themeColor="text1"/>
        </w:rPr>
        <w:t xml:space="preserve"> </w:t>
      </w:r>
      <w:r w:rsidR="00206DB4" w:rsidRPr="002F33C8">
        <w:rPr>
          <w:rStyle w:val="affc"/>
          <w:i w:val="0"/>
          <w:color w:val="000000" w:themeColor="text1"/>
        </w:rPr>
        <w:t>при первичной диагностике</w:t>
      </w:r>
      <w:r w:rsidR="00206DB4" w:rsidRPr="002F33C8">
        <w:rPr>
          <w:rStyle w:val="affc"/>
          <w:color w:val="000000" w:themeColor="text1"/>
        </w:rPr>
        <w:t xml:space="preserve"> </w:t>
      </w:r>
      <w:r w:rsidR="00206DB4" w:rsidRPr="002F33C8">
        <w:rPr>
          <w:color w:val="000000" w:themeColor="text1"/>
        </w:rPr>
        <w:t>ОЛЛ</w:t>
      </w:r>
      <w:r w:rsidR="00206DB4" w:rsidRPr="002F33C8">
        <w:rPr>
          <w:rStyle w:val="affc"/>
          <w:color w:val="000000" w:themeColor="text1"/>
        </w:rPr>
        <w:t xml:space="preserve">, </w:t>
      </w:r>
      <w:r w:rsidR="00206DB4" w:rsidRPr="002F33C8">
        <w:rPr>
          <w:color w:val="000000" w:themeColor="text1"/>
        </w:rPr>
        <w:t>по показаниям – на любом этапе во время/после лечения,</w:t>
      </w:r>
      <w:r w:rsidR="00206DB4" w:rsidRPr="002F33C8">
        <w:rPr>
          <w:rStyle w:val="aff5"/>
          <w:color w:val="000000" w:themeColor="text1"/>
        </w:rPr>
        <w:t xml:space="preserve"> </w:t>
      </w:r>
      <w:r w:rsidR="00206DB4" w:rsidRPr="002F33C8">
        <w:rPr>
          <w:rStyle w:val="aff5"/>
          <w:b w:val="0"/>
          <w:color w:val="000000" w:themeColor="text1"/>
        </w:rPr>
        <w:t xml:space="preserve">а также при обследовании по поводу </w:t>
      </w:r>
      <w:r w:rsidR="00206DB4" w:rsidRPr="002F33C8">
        <w:rPr>
          <w:rStyle w:val="aff5"/>
          <w:b w:val="0"/>
          <w:color w:val="000000" w:themeColor="text1"/>
        </w:rPr>
        <w:lastRenderedPageBreak/>
        <w:t>диагностированного рецидива ОЛЛ</w:t>
      </w:r>
      <w:r w:rsidR="00206DB4" w:rsidRPr="002F33C8">
        <w:rPr>
          <w:rStyle w:val="affc"/>
          <w:b/>
          <w:color w:val="000000" w:themeColor="text1"/>
        </w:rPr>
        <w:t xml:space="preserve"> </w:t>
      </w:r>
      <w:r w:rsidRPr="002F33C8">
        <w:rPr>
          <w:color w:val="000000" w:themeColor="text1"/>
        </w:rPr>
        <w:t xml:space="preserve">выполнить </w:t>
      </w:r>
      <w:r w:rsidRPr="00617969">
        <w:rPr>
          <w:rFonts w:eastAsia="Arial Unicode MS"/>
          <w:color w:val="000000"/>
          <w:u w:color="000000"/>
        </w:rPr>
        <w:t>цитогенетическое</w:t>
      </w:r>
      <w:r w:rsidRPr="00617969">
        <w:rPr>
          <w:color w:val="000000"/>
        </w:rPr>
        <w:t xml:space="preserve"> исследование</w:t>
      </w:r>
      <w:r w:rsidR="006305E6">
        <w:rPr>
          <w:color w:val="000000"/>
        </w:rPr>
        <w:t xml:space="preserve"> (кариотип)</w:t>
      </w:r>
      <w:r w:rsidRPr="00617969">
        <w:rPr>
          <w:color w:val="000000"/>
        </w:rPr>
        <w:t xml:space="preserve"> аспирата </w:t>
      </w:r>
      <w:r w:rsidR="00B87C87">
        <w:rPr>
          <w:color w:val="000000"/>
        </w:rPr>
        <w:t xml:space="preserve">КМ </w:t>
      </w:r>
      <w:r>
        <w:rPr>
          <w:color w:val="000000"/>
        </w:rPr>
        <w:t>с целью определения группы риска и верификации диагноза</w:t>
      </w:r>
      <w:r w:rsidR="005E6AB9">
        <w:rPr>
          <w:color w:val="000000"/>
        </w:rPr>
        <w:t xml:space="preserve"> </w:t>
      </w:r>
      <w:r w:rsidR="00914AB6">
        <w:rPr>
          <w:color w:val="000000"/>
        </w:rPr>
        <w:fldChar w:fldCharType="begin" w:fldLock="1"/>
      </w:r>
      <w:r w:rsidR="002466C9">
        <w:rPr>
          <w:color w:val="000000"/>
        </w:rPr>
        <w:instrText>ADDIN CSL_CITATION {"citationItems":[{"id":"ITEM-1","itemData":{"DOI":"10.1182/blood-2006-10-051912","ISSN":"0006-4971","PMID":"17170120","abstract":"Pretreatment cytogenetics is a known predictor of outcome in hematologic malignancies. However, its usefulness in adult acute lymphoblastic leukemia (ALL) is generally limited to the presence of the Philadelphia (Ph) chromosome because of the low incidence of other recurrent abnormalities. We present centrally reviewed cytogenetic data from 1522 adult patients enrolled on the Medical Research Council (MRC) UKALLXII/Eastern Cooperative Oncology Group (ECOG) 2993 trial. The incidence and clinical associations for more than 20 specific chromosomal abnormalities are presented. Patients with a Ph chromosome, t(4;11)(q21;q23), t(8;14)(q24.1;q32), complex karyotype (5 or more chromosomal abnormalities), or low hypodiploidy/near triploidy (Ho-Tr) all had inferior rates of event-free and overall survival when compared with other patients. In contrast, patients with high hyperdiploidy or a del(9p) had a significantly improved outcome. Multivariate analysis demonstrated that the prognostic relevance of t(8;14), complex karyotype, and Ho-Tr was independent of sex, age, white cell count, and T-cell status among Ph-negative patients. The observation that Ho-Tr and, for the first time, karyotype complexity confer an increased risk of treatment failure demonstrates that cytogenetic subgroups other than the Ph chromosome can and should be used to risk stratify adults with ALL in future trials.","author":[{"dropping-particle":"V","family":"Moorman","given":"Anthony","non-dropping-particle":"","parse-names":false,"suffix":""},{"dropping-particle":"","family":"Harrison","given":"Christine J","non-dropping-particle":"","parse-names":false,"suffix":""},{"dropping-particle":"","family":"Buck","given":"Georgina A N","non-dropping-particle":"","parse-names":false,"suffix":""},{"dropping-particle":"","family":"Richards","given":"Sue M","non-dropping-particle":"","parse-names":false,"suffix":""},{"dropping-particle":"","family":"Secker-Walker","given":"Lorna M","non-dropping-particle":"","parse-names":false,"suffix":""},{"dropping-particle":"","family":"Martineau","given":"Mary","non-dropping-particle":"","parse-names":false,"suffix":""},{"dropping-particle":"","family":"Vance","given":"Gail H","non-dropping-particle":"","parse-names":false,"suffix":""},{"dropping-particle":"","family":"Cherry","given":"Athena M","non-dropping-particle":"","parse-names":false,"suffix":""},{"dropping-particle":"","family":"Higgins","given":"Rodney R","non-dropping-particle":"","parse-names":false,"suffix":""},{"dropping-particle":"","family":"Fielding","given":"Adele K","non-dropping-particle":"","parse-names":false,"suffix":""},{"dropping-particle":"","family":"Foroni","given":"Letizia","non-dropping-particle":"","parse-names":false,"suffix":""},{"dropping-particle":"","family":"Paietta","given":"Elisabeth","non-dropping-particle":"","parse-names":false,"suffix":""},{"dropping-particle":"","family":"Tallman","given":"Martin S","non-dropping-particle":"","parse-names":false,"suffix":""},{"dropping-particle":"","family":"Litzow","given":"Mark R","non-dropping-particle":"","parse-names":false,"suffix":""},{"dropping-particle":"","family":"Wiernik","given":"Peter H","non-dropping-particle":"","parse-names":false,"suffix":""},{"dropping-particle":"","family":"Rowe","given":"Jacob M","non-dropping-particle":"","parse-names":false,"suffix":""},{"dropping-particle":"","family":"Goldstone","given":"Anthony H","non-dropping-particle":"","parse-names":false,"suffix":""},{"dropping-particle":"","family":"Dewald","given":"Gordon W","non-dropping-particle":"","parse-names":false,"suffix":""},{"dropping-particle":"","family":"Adult Leukaemia Working Party, Medical Research Council/National Cancer Research Institute","given":"","non-dropping-particle":"","parse-names":false,"suffix":""}],"container-title":"Blood","id":"ITEM-1","issue":"8","issued":{"date-parts":[["2007","4","15"]]},"page":"3189-97","title":"Karyotype is an independent prognostic factor in adult acute lymphoblastic leukemia (ALL): analysis of cytogenetic data from patients treated on the Medical Research Council (MRC) UKALLXII/Eastern Cooperative Oncology Group (ECOG) 2993 trial.","type":"article-journal","volume":"109"},"uris":["http://www.mendeley.com/documents/?uuid=561944c5-e39c-35bd-b81c-e85fc40ba5a6"]}],"mendeley":{"formattedCitation":"[33]","plainTextFormattedCitation":"[33]","previouslyFormattedCitation":"[33]"},"properties":{"noteIndex":0},"schema":"https://github.com/citation-style-language/schema/raw/master/csl-citation.json"}</w:instrText>
      </w:r>
      <w:r w:rsidR="00914AB6">
        <w:rPr>
          <w:color w:val="000000"/>
        </w:rPr>
        <w:fldChar w:fldCharType="separate"/>
      </w:r>
      <w:r w:rsidR="00A66456" w:rsidRPr="00A66456">
        <w:rPr>
          <w:noProof/>
          <w:color w:val="000000"/>
        </w:rPr>
        <w:t>[33]</w:t>
      </w:r>
      <w:r w:rsidR="00914AB6">
        <w:rPr>
          <w:color w:val="000000"/>
        </w:rPr>
        <w:fldChar w:fldCharType="end"/>
      </w:r>
      <w:r w:rsidR="00914AB6" w:rsidRPr="00617969">
        <w:rPr>
          <w:color w:val="000000"/>
        </w:rPr>
        <w:t>.</w:t>
      </w:r>
    </w:p>
    <w:p w14:paraId="6E613DDD" w14:textId="77777777" w:rsidR="00254823" w:rsidRPr="00617969" w:rsidRDefault="00254823" w:rsidP="00C171A6">
      <w:pPr>
        <w:ind w:firstLine="709"/>
        <w:contextualSpacing/>
        <w:rPr>
          <w:b/>
          <w:color w:val="000000"/>
        </w:rPr>
      </w:pPr>
      <w:r w:rsidRPr="00617969">
        <w:rPr>
          <w:b/>
          <w:color w:val="000000"/>
        </w:rPr>
        <w:t>Урове</w:t>
      </w:r>
      <w:r>
        <w:rPr>
          <w:b/>
          <w:color w:val="000000"/>
        </w:rPr>
        <w:t xml:space="preserve">нь убедительности рекомендаций </w:t>
      </w:r>
      <w:r w:rsidR="005E6AB9">
        <w:rPr>
          <w:b/>
          <w:color w:val="000000"/>
        </w:rPr>
        <w:t xml:space="preserve">– </w:t>
      </w:r>
      <w:r w:rsidR="00BA00A7">
        <w:rPr>
          <w:b/>
          <w:color w:val="000000"/>
        </w:rPr>
        <w:t>С</w:t>
      </w:r>
      <w:r w:rsidR="00BA00A7" w:rsidRPr="00617969">
        <w:rPr>
          <w:b/>
          <w:color w:val="000000"/>
        </w:rPr>
        <w:t xml:space="preserve"> </w:t>
      </w:r>
      <w:r w:rsidRPr="00617969">
        <w:rPr>
          <w:b/>
          <w:color w:val="000000"/>
        </w:rPr>
        <w:t xml:space="preserve">(уровень </w:t>
      </w:r>
      <w:r>
        <w:rPr>
          <w:b/>
          <w:color w:val="000000"/>
        </w:rPr>
        <w:t xml:space="preserve">достоверности доказательств – </w:t>
      </w:r>
      <w:r w:rsidR="00BA00A7">
        <w:rPr>
          <w:b/>
          <w:color w:val="000000"/>
        </w:rPr>
        <w:t>4</w:t>
      </w:r>
      <w:r w:rsidR="00C171A6">
        <w:rPr>
          <w:b/>
          <w:color w:val="000000"/>
        </w:rPr>
        <w:t>)</w:t>
      </w:r>
      <w:r w:rsidR="005E6AB9">
        <w:rPr>
          <w:b/>
          <w:color w:val="000000"/>
        </w:rPr>
        <w:t>.</w:t>
      </w:r>
    </w:p>
    <w:p w14:paraId="238F2B64" w14:textId="77777777" w:rsidR="00254823" w:rsidRDefault="00254823" w:rsidP="00C171A6">
      <w:pPr>
        <w:shd w:val="clear" w:color="auto" w:fill="FFFFFF"/>
        <w:ind w:firstLine="709"/>
        <w:contextualSpacing/>
        <w:rPr>
          <w:i/>
        </w:rPr>
      </w:pPr>
      <w:r w:rsidRPr="00617969">
        <w:rPr>
          <w:b/>
          <w:color w:val="000000"/>
        </w:rPr>
        <w:t xml:space="preserve">Комментарии: </w:t>
      </w:r>
      <w:r w:rsidR="003B6029" w:rsidRPr="00617969">
        <w:rPr>
          <w:rFonts w:eastAsia="Arial Unicode MS"/>
          <w:i/>
          <w:color w:val="000000"/>
          <w:u w:color="000000"/>
        </w:rPr>
        <w:t xml:space="preserve">стандартное </w:t>
      </w:r>
      <w:r w:rsidRPr="00617969">
        <w:rPr>
          <w:rFonts w:eastAsia="Arial Unicode MS"/>
          <w:i/>
          <w:color w:val="000000"/>
          <w:u w:color="000000"/>
        </w:rPr>
        <w:t>цитогенетическое исследование является необходимым компонентом диагностических процедур у пациента с подозрением на ОЛ. Для определения кариотипа достоверным считается только исследование как минимум 20 метафаз. Аномалии в кариотипе могут устанавливаться и на основании исследования клеток периферической крови.</w:t>
      </w:r>
      <w:r w:rsidRPr="005D47D3">
        <w:t xml:space="preserve"> </w:t>
      </w:r>
      <w:r w:rsidRPr="005D47D3">
        <w:rPr>
          <w:i/>
        </w:rPr>
        <w:t>Хромосомные аномалии при ОЛЛ могут быть разделены на количественные или структурные, ассоциирующиеся с количественными</w:t>
      </w:r>
      <w:r w:rsidR="00C57A53">
        <w:rPr>
          <w:i/>
        </w:rPr>
        <w:t xml:space="preserve"> аномалиями</w:t>
      </w:r>
      <w:r w:rsidRPr="005D47D3">
        <w:rPr>
          <w:i/>
        </w:rPr>
        <w:t xml:space="preserve">, либо являющиеся изолированными. Гиперплоидия представляет собой приобретение дополнительных хромосом таким образом, что общее число хромосом в одной клетке становится больше 46. При ОЛЛ этот процесс, как представляется, не является случайным. </w:t>
      </w:r>
      <w:r w:rsidR="005E6AB9">
        <w:rPr>
          <w:i/>
        </w:rPr>
        <w:t>Гиперплоидия обнаруживается в 5–</w:t>
      </w:r>
      <w:r w:rsidRPr="005D47D3">
        <w:rPr>
          <w:i/>
        </w:rPr>
        <w:t>15 % случаев ОЛЛ у взрослых, и ее ассоциация с благоприятным прогнозом менее очевидна, нежели при ОЛЛ у детей, когда гиперплоидность обнаруживается приблизительно в трети случаев. Гипоплоидия (количество хромосо</w:t>
      </w:r>
      <w:r w:rsidR="005E6AB9">
        <w:rPr>
          <w:i/>
        </w:rPr>
        <w:t>м меньше 46) обнаруживается в 2–</w:t>
      </w:r>
      <w:r w:rsidRPr="005D47D3">
        <w:rPr>
          <w:i/>
        </w:rPr>
        <w:t>8 % случаев ОЛЛ и ассоциируется с неблагоприятным исходом.</w:t>
      </w:r>
      <w:r>
        <w:rPr>
          <w:i/>
        </w:rPr>
        <w:t xml:space="preserve"> </w:t>
      </w:r>
      <w:r w:rsidRPr="005D47D3">
        <w:rPr>
          <w:i/>
        </w:rPr>
        <w:t>Большинство хромосомных аномалий, обнаруживающихся при ОЛЛ, являются структурными и обычно представляют собой транслокации. Идентифицировано более 30 различных неслучайных транслокаций.</w:t>
      </w:r>
      <w:r>
        <w:rPr>
          <w:i/>
        </w:rPr>
        <w:t xml:space="preserve"> </w:t>
      </w:r>
      <w:r>
        <w:rPr>
          <w:i/>
          <w:lang w:val="en-US"/>
        </w:rPr>
        <w:t>C</w:t>
      </w:r>
      <w:r w:rsidRPr="00DF6D99">
        <w:rPr>
          <w:i/>
        </w:rPr>
        <w:t xml:space="preserve">пецифические хромосомные перестройки являются независимыми диагностическими и прогностическими маркерами и служат </w:t>
      </w:r>
      <w:r w:rsidR="00C57A53">
        <w:rPr>
          <w:i/>
        </w:rPr>
        <w:t>для</w:t>
      </w:r>
      <w:r w:rsidRPr="00DF6D99">
        <w:rPr>
          <w:i/>
        </w:rPr>
        <w:t xml:space="preserve"> выбор</w:t>
      </w:r>
      <w:r w:rsidR="00C57A53">
        <w:rPr>
          <w:i/>
        </w:rPr>
        <w:t>а</w:t>
      </w:r>
      <w:r w:rsidRPr="00DF6D99">
        <w:rPr>
          <w:i/>
        </w:rPr>
        <w:t xml:space="preserve"> тактики терапии. </w:t>
      </w:r>
      <w:r>
        <w:rPr>
          <w:i/>
        </w:rPr>
        <w:t xml:space="preserve">При отсутствии поражения </w:t>
      </w:r>
      <w:r w:rsidR="00C57A53">
        <w:rPr>
          <w:i/>
        </w:rPr>
        <w:t>КМ</w:t>
      </w:r>
      <w:r>
        <w:rPr>
          <w:i/>
        </w:rPr>
        <w:t xml:space="preserve">, которое бывает у </w:t>
      </w:r>
      <w:r w:rsidR="00EF50E6" w:rsidRPr="00EF50E6">
        <w:rPr>
          <w:i/>
          <w:szCs w:val="24"/>
        </w:rPr>
        <w:t>пациентов</w:t>
      </w:r>
      <w:r>
        <w:rPr>
          <w:i/>
        </w:rPr>
        <w:t xml:space="preserve"> с </w:t>
      </w:r>
      <w:r w:rsidR="00C57A53">
        <w:rPr>
          <w:i/>
        </w:rPr>
        <w:t>ЛБЛ</w:t>
      </w:r>
      <w:r>
        <w:rPr>
          <w:i/>
        </w:rPr>
        <w:t>, цитогенетическое исследование должно быть выполнено на субстрате биопсированного опухолевого образования.</w:t>
      </w:r>
      <w:r w:rsidRPr="005D47D3">
        <w:rPr>
          <w:i/>
        </w:rPr>
        <w:t xml:space="preserve"> </w:t>
      </w:r>
    </w:p>
    <w:p w14:paraId="46806894" w14:textId="680F5011" w:rsidR="00254823" w:rsidRPr="00B148D0" w:rsidRDefault="00254823" w:rsidP="00FF4C81">
      <w:pPr>
        <w:numPr>
          <w:ilvl w:val="0"/>
          <w:numId w:val="19"/>
        </w:numPr>
        <w:tabs>
          <w:tab w:val="left" w:pos="709"/>
        </w:tabs>
        <w:contextualSpacing/>
        <w:rPr>
          <w:i/>
        </w:rPr>
      </w:pPr>
      <w:r w:rsidRPr="00617969">
        <w:rPr>
          <w:b/>
          <w:color w:val="000000"/>
        </w:rPr>
        <w:t xml:space="preserve">Рекомендуется </w:t>
      </w:r>
      <w:r w:rsidRPr="00617969">
        <w:rPr>
          <w:color w:val="000000"/>
        </w:rPr>
        <w:t>выполнить</w:t>
      </w:r>
      <w:r w:rsidR="003B6029" w:rsidRPr="003B6029">
        <w:rPr>
          <w:color w:val="000000"/>
        </w:rPr>
        <w:t xml:space="preserve"> </w:t>
      </w:r>
      <w:r w:rsidR="00CA080A">
        <w:rPr>
          <w:color w:val="000000"/>
        </w:rPr>
        <w:t xml:space="preserve">цитогенетическое </w:t>
      </w:r>
      <w:r w:rsidR="003B6029" w:rsidRPr="00CA080A">
        <w:rPr>
          <w:color w:val="000000"/>
        </w:rPr>
        <w:t>исследование биопсийного (операционного) материала тканей</w:t>
      </w:r>
      <w:r w:rsidR="00F41168">
        <w:rPr>
          <w:color w:val="000000"/>
        </w:rPr>
        <w:t xml:space="preserve"> </w:t>
      </w:r>
      <w:r w:rsidR="00CA080A">
        <w:rPr>
          <w:color w:val="000000"/>
        </w:rPr>
        <w:t xml:space="preserve">или </w:t>
      </w:r>
      <w:r w:rsidR="00C57A53">
        <w:rPr>
          <w:color w:val="000000"/>
        </w:rPr>
        <w:t xml:space="preserve">КМ </w:t>
      </w:r>
      <w:r w:rsidR="003B6029" w:rsidRPr="003B6029">
        <w:rPr>
          <w:color w:val="000000"/>
        </w:rPr>
        <w:t xml:space="preserve">с применением метода флуоресцентной гибридизации </w:t>
      </w:r>
      <w:r w:rsidR="003B6029" w:rsidRPr="005E6AB9">
        <w:rPr>
          <w:i/>
          <w:color w:val="000000"/>
        </w:rPr>
        <w:t>in situ</w:t>
      </w:r>
      <w:r w:rsidR="003B6029" w:rsidRPr="003B6029">
        <w:rPr>
          <w:color w:val="000000"/>
        </w:rPr>
        <w:t xml:space="preserve"> (FISH)</w:t>
      </w:r>
      <w:r w:rsidRPr="00617969">
        <w:rPr>
          <w:color w:val="000000"/>
        </w:rPr>
        <w:t xml:space="preserve"> </w:t>
      </w:r>
      <w:r w:rsidR="003B6029">
        <w:rPr>
          <w:color w:val="000000"/>
        </w:rPr>
        <w:t xml:space="preserve">для </w:t>
      </w:r>
      <w:r>
        <w:t xml:space="preserve">определения </w:t>
      </w:r>
      <w:r w:rsidR="005E6AB9">
        <w:t>транслокации t(9;22) (q34;q11) –</w:t>
      </w:r>
      <w:r w:rsidRPr="007961A2">
        <w:t xml:space="preserve"> BCR-ABL и t(4;11) </w:t>
      </w:r>
      <w:r>
        <w:t>–</w:t>
      </w:r>
      <w:r w:rsidRPr="007961A2">
        <w:t xml:space="preserve"> </w:t>
      </w:r>
      <w:r w:rsidRPr="007961A2">
        <w:rPr>
          <w:lang w:val="en-US"/>
        </w:rPr>
        <w:t>MLL</w:t>
      </w:r>
      <w:r>
        <w:rPr>
          <w:sz w:val="23"/>
          <w:szCs w:val="23"/>
        </w:rPr>
        <w:t>-</w:t>
      </w:r>
      <w:r w:rsidRPr="007961A2">
        <w:rPr>
          <w:sz w:val="23"/>
          <w:szCs w:val="23"/>
        </w:rPr>
        <w:t xml:space="preserve">AF4 </w:t>
      </w:r>
      <w:r>
        <w:rPr>
          <w:sz w:val="23"/>
          <w:szCs w:val="23"/>
        </w:rPr>
        <w:t>у всех пациентов с</w:t>
      </w:r>
      <w:r w:rsidRPr="007961A2">
        <w:rPr>
          <w:sz w:val="23"/>
          <w:szCs w:val="23"/>
        </w:rPr>
        <w:t xml:space="preserve"> В-</w:t>
      </w:r>
      <w:r>
        <w:rPr>
          <w:sz w:val="23"/>
          <w:szCs w:val="23"/>
        </w:rPr>
        <w:t xml:space="preserve">клеточными </w:t>
      </w:r>
      <w:r w:rsidRPr="007961A2">
        <w:rPr>
          <w:sz w:val="23"/>
          <w:szCs w:val="23"/>
        </w:rPr>
        <w:t>ОЛЛ</w:t>
      </w:r>
      <w:r>
        <w:rPr>
          <w:sz w:val="23"/>
          <w:szCs w:val="23"/>
        </w:rPr>
        <w:t xml:space="preserve"> и ОЛ смешанного фенотипа, особенно у тех, у кого метод стандартной цитоге</w:t>
      </w:r>
      <w:r w:rsidR="001B0FC5">
        <w:rPr>
          <w:sz w:val="23"/>
          <w:szCs w:val="23"/>
        </w:rPr>
        <w:t>нетики оказался неинформативным</w:t>
      </w:r>
      <w:r w:rsidR="009E60A2">
        <w:rPr>
          <w:sz w:val="23"/>
          <w:szCs w:val="23"/>
        </w:rPr>
        <w:t>, для уточнения диагноза, дифференциальной диагностики</w:t>
      </w:r>
      <w:r w:rsidR="0014368B" w:rsidRPr="0014368B">
        <w:rPr>
          <w:sz w:val="23"/>
          <w:szCs w:val="23"/>
        </w:rPr>
        <w:t xml:space="preserve"> </w:t>
      </w:r>
      <w:r w:rsidR="0014368B">
        <w:rPr>
          <w:sz w:val="23"/>
          <w:szCs w:val="23"/>
        </w:rPr>
        <w:t>и выработки тактики лечения</w:t>
      </w:r>
      <w:r w:rsidR="005E6AB9">
        <w:rPr>
          <w:sz w:val="23"/>
          <w:szCs w:val="23"/>
        </w:rPr>
        <w:t xml:space="preserve"> </w:t>
      </w:r>
      <w:r w:rsidR="00914AB6">
        <w:rPr>
          <w:sz w:val="23"/>
          <w:szCs w:val="23"/>
        </w:rPr>
        <w:fldChar w:fldCharType="begin" w:fldLock="1"/>
      </w:r>
      <w:r w:rsidR="002466C9">
        <w:rPr>
          <w:sz w:val="23"/>
          <w:szCs w:val="23"/>
        </w:rPr>
        <w:instrText>ADDIN CSL_CITATION {"citationItems":[{"id":"ITEM-1","itemData":{"DOI":"10.1182/blood-2009-07-232124","ISSN":"1528-0020","PMID":"19897583","abstract":"Chromosomal abnormalities are increasingly used to risk stratify adults with acute lymphoblastic leukemia. Published data describing the age-specific incidence of chromosomal abnormalities and their prognostic relevance are largely derived from clinical trials. Trials frequently have age restrictions and low recruitment rates. Thus we investigated these factors in a population-based cohort of 349 patients diagnosed during the course of 19 years in the northern part of England. The incidence of most chromosomal abnormalities varied significantly with age. The incidence of t(9;22)(q34;q11) increased in each successive decade, up to 24% among 40- to 49-year-old subjects. Thereafter the incidence reached a plateau. t(4;11)(q21;q23) and t(1;19)(q23;p13) were a rare occurrence among patients older than 60 years of age. In contrast, the frequency of t(8;14)(q24;q32) and t(14;18)(q32;q21) increased with age. High hyperdiploidy occurred in 13% of patients younger than 20 years of age but in only 5% of older patients. The incidence of low hypodiploidy/near-triploidy and complex karyotype increased with age from 4% (15-29 years) to 16% (&gt;or= 60 years). Overall survival varied significantly by age and cytogenetics. Older patients and those with t(9;22), t(4;11), low hypodiploidy/near-triploidy, or complex karyotype had a significantly inferior outcome. These population-based results demonstrate the cytogenetic heterogeneity of adult acute lymphoblastic leukemia. These data will inform the delivery of routine clinical services and the design of new age-focused clinical trials.","author":[{"dropping-particle":"V","family":"Moorman","given":"Anthony","non-dropping-particle":"","parse-names":false,"suffix":""},{"dropping-particle":"","family":"Chilton","given":"Lucy","non-dropping-particle":"","parse-names":false,"suffix":""},{"dropping-particle":"","family":"Wilkinson","given":"Jennifer","non-dropping-particle":"","parse-names":false,"suffix":""},{"dropping-particle":"","family":"Ensor","given":"Hannah M","non-dropping-particle":"","parse-names":false,"suffix":""},{"dropping-particle":"","family":"Bown","given":"Nick","non-dropping-particle":"","parse-names":false,"suffix":""},{"dropping-particle":"","family":"Proctor","given":"Stephen J","non-dropping-particle":"","parse-names":false,"suffix":""}],"container-title":"Blood","id":"ITEM-1","issue":"2","issued":{"date-parts":[["2010","1","14"]]},"page":"206-14","title":"A population-based cytogenetic study of adults with acute lymphoblastic leukemia.","type":"article-journal","volume":"115"},"uris":["http://www.mendeley.com/documents/?uuid=6ef4690c-6dd2-3826-ad86-133af57615ee"]}],"mendeley":{"formattedCitation":"[34]","plainTextFormattedCitation":"[34]","previouslyFormattedCitation":"[34]"},"properties":{"noteIndex":0},"schema":"https://github.com/citation-style-language/schema/raw/master/csl-citation.json"}</w:instrText>
      </w:r>
      <w:r w:rsidR="00914AB6">
        <w:rPr>
          <w:sz w:val="23"/>
          <w:szCs w:val="23"/>
        </w:rPr>
        <w:fldChar w:fldCharType="separate"/>
      </w:r>
      <w:r w:rsidR="00A66456" w:rsidRPr="00A66456">
        <w:rPr>
          <w:noProof/>
          <w:sz w:val="23"/>
          <w:szCs w:val="23"/>
        </w:rPr>
        <w:t>[34]</w:t>
      </w:r>
      <w:r w:rsidR="00914AB6">
        <w:rPr>
          <w:sz w:val="23"/>
          <w:szCs w:val="23"/>
        </w:rPr>
        <w:fldChar w:fldCharType="end"/>
      </w:r>
      <w:r w:rsidR="00914AB6" w:rsidRPr="00617969">
        <w:rPr>
          <w:color w:val="000000"/>
        </w:rPr>
        <w:t>.</w:t>
      </w:r>
    </w:p>
    <w:p w14:paraId="4738DA05" w14:textId="77777777" w:rsidR="00254823" w:rsidRPr="00617969" w:rsidRDefault="00254823" w:rsidP="00C171A6">
      <w:pPr>
        <w:ind w:firstLine="709"/>
        <w:contextualSpacing/>
        <w:rPr>
          <w:color w:val="000000"/>
        </w:rPr>
      </w:pPr>
      <w:r w:rsidRPr="00617969">
        <w:rPr>
          <w:b/>
          <w:color w:val="000000"/>
        </w:rPr>
        <w:t xml:space="preserve">Уровень убедительности рекомендаций </w:t>
      </w:r>
      <w:r w:rsidR="005E6AB9">
        <w:rPr>
          <w:b/>
          <w:color w:val="000000"/>
        </w:rPr>
        <w:t xml:space="preserve">– </w:t>
      </w:r>
      <w:r w:rsidR="003B6B39">
        <w:rPr>
          <w:b/>
          <w:color w:val="000000"/>
          <w:lang w:val="en-US"/>
        </w:rPr>
        <w:t>C</w:t>
      </w:r>
      <w:r w:rsidRPr="00617969">
        <w:rPr>
          <w:b/>
          <w:color w:val="000000"/>
        </w:rPr>
        <w:t xml:space="preserve"> (уровень достоверности доказательст</w:t>
      </w:r>
      <w:r>
        <w:rPr>
          <w:b/>
          <w:color w:val="000000"/>
        </w:rPr>
        <w:t xml:space="preserve">в – </w:t>
      </w:r>
      <w:r w:rsidR="003B6B39" w:rsidRPr="001B3DB0">
        <w:rPr>
          <w:b/>
          <w:color w:val="000000"/>
        </w:rPr>
        <w:t>4</w:t>
      </w:r>
      <w:r w:rsidR="00C171A6">
        <w:rPr>
          <w:b/>
          <w:color w:val="000000"/>
        </w:rPr>
        <w:t>)</w:t>
      </w:r>
      <w:r w:rsidR="005E6AB9">
        <w:rPr>
          <w:b/>
          <w:color w:val="000000"/>
        </w:rPr>
        <w:t>.</w:t>
      </w:r>
    </w:p>
    <w:p w14:paraId="6B10CD00" w14:textId="23F2DAA6" w:rsidR="00254823" w:rsidRPr="000C449A" w:rsidRDefault="00254823" w:rsidP="000C449A">
      <w:pPr>
        <w:ind w:left="708" w:firstLine="12"/>
        <w:rPr>
          <w:szCs w:val="24"/>
        </w:rPr>
      </w:pPr>
      <w:r w:rsidRPr="00C171A6">
        <w:rPr>
          <w:b/>
          <w:color w:val="000000"/>
        </w:rPr>
        <w:lastRenderedPageBreak/>
        <w:t>Комментарии:</w:t>
      </w:r>
      <w:r w:rsidRPr="00617969">
        <w:rPr>
          <w:b/>
          <w:i/>
          <w:color w:val="000000"/>
        </w:rPr>
        <w:t xml:space="preserve"> </w:t>
      </w:r>
      <w:r w:rsidR="007A0741" w:rsidRPr="00133F2A">
        <w:rPr>
          <w:i/>
        </w:rPr>
        <w:t>преимуществом</w:t>
      </w:r>
      <w:r w:rsidR="007A0741">
        <w:rPr>
          <w:b/>
        </w:rPr>
        <w:t xml:space="preserve"> </w:t>
      </w:r>
      <w:r>
        <w:rPr>
          <w:i/>
        </w:rPr>
        <w:t>м</w:t>
      </w:r>
      <w:r w:rsidRPr="00DF6D99">
        <w:rPr>
          <w:i/>
        </w:rPr>
        <w:t>етод</w:t>
      </w:r>
      <w:r>
        <w:rPr>
          <w:i/>
        </w:rPr>
        <w:t>а</w:t>
      </w:r>
      <w:r w:rsidRPr="00DF6D99">
        <w:rPr>
          <w:i/>
        </w:rPr>
        <w:t xml:space="preserve"> FISH </w:t>
      </w:r>
      <w:r>
        <w:rPr>
          <w:i/>
        </w:rPr>
        <w:t>является возможность</w:t>
      </w:r>
      <w:r w:rsidRPr="00DF6D99">
        <w:rPr>
          <w:i/>
        </w:rPr>
        <w:t xml:space="preserve"> </w:t>
      </w:r>
      <w:r>
        <w:rPr>
          <w:i/>
        </w:rPr>
        <w:t xml:space="preserve">исследовать десятки и сотни </w:t>
      </w:r>
      <w:r w:rsidRPr="00DF6D99">
        <w:rPr>
          <w:i/>
        </w:rPr>
        <w:t xml:space="preserve">не только делящихся </w:t>
      </w:r>
      <w:r>
        <w:rPr>
          <w:i/>
        </w:rPr>
        <w:t>клеток</w:t>
      </w:r>
      <w:r w:rsidRPr="00DF6D99">
        <w:rPr>
          <w:i/>
        </w:rPr>
        <w:t>, но и тех, что находятся в интерфазе</w:t>
      </w:r>
      <w:r>
        <w:rPr>
          <w:i/>
        </w:rPr>
        <w:t>. Но н</w:t>
      </w:r>
      <w:r w:rsidRPr="00DF6D99">
        <w:rPr>
          <w:i/>
        </w:rPr>
        <w:t>еобходимо иметь в виду, что метод FISH позволяет анализировать только те участки хромосом, для выявления которых имеются молекулярные зонды, а не весь хромосомный набор целиком</w:t>
      </w:r>
      <w:r>
        <w:rPr>
          <w:i/>
        </w:rPr>
        <w:t>. Метод позволя</w:t>
      </w:r>
      <w:r w:rsidR="005E6AB9">
        <w:rPr>
          <w:i/>
        </w:rPr>
        <w:t>ет быстро, в течение максимум 2 дней,</w:t>
      </w:r>
      <w:r>
        <w:rPr>
          <w:i/>
        </w:rPr>
        <w:t xml:space="preserve"> выявить искомые поломки. Детекция </w:t>
      </w:r>
      <w:r w:rsidRPr="00B93C8F">
        <w:rPr>
          <w:i/>
        </w:rPr>
        <w:t>t(9;22) (q3</w:t>
      </w:r>
      <w:r w:rsidR="005E6AB9">
        <w:rPr>
          <w:i/>
        </w:rPr>
        <w:t>4;q11) –</w:t>
      </w:r>
      <w:r w:rsidRPr="00B93C8F">
        <w:rPr>
          <w:i/>
        </w:rPr>
        <w:t xml:space="preserve"> BCR-ABL и t(4;11) – MLL-AF4</w:t>
      </w:r>
      <w:r>
        <w:rPr>
          <w:i/>
        </w:rPr>
        <w:t xml:space="preserve"> во время проведения предфазы определяет всю дальнейшую терапевтическую тактику.</w:t>
      </w:r>
      <w:r w:rsidR="00ED0FBC">
        <w:rPr>
          <w:i/>
        </w:rPr>
        <w:t xml:space="preserve"> </w:t>
      </w:r>
      <w:r w:rsidRPr="00DF6D99">
        <w:rPr>
          <w:i/>
        </w:rPr>
        <w:t xml:space="preserve">Стандартное цитогенетическое исследование является единственным методом, позволяющим анализировать весь хромосомный набор клетки целиком. </w:t>
      </w:r>
      <w:r>
        <w:rPr>
          <w:i/>
        </w:rPr>
        <w:t>Однако его выполнение требует достаточно длительного времен</w:t>
      </w:r>
      <w:r w:rsidR="00B45101">
        <w:rPr>
          <w:i/>
        </w:rPr>
        <w:t>и; кроме того</w:t>
      </w:r>
      <w:r w:rsidR="004D7C9E">
        <w:rPr>
          <w:i/>
        </w:rPr>
        <w:t xml:space="preserve">, </w:t>
      </w:r>
      <w:r>
        <w:rPr>
          <w:i/>
        </w:rPr>
        <w:t>в ряде случаев конст</w:t>
      </w:r>
      <w:r w:rsidR="00ED0FBC">
        <w:rPr>
          <w:i/>
        </w:rPr>
        <w:t>ат</w:t>
      </w:r>
      <w:r>
        <w:rPr>
          <w:i/>
        </w:rPr>
        <w:t xml:space="preserve">ируется отсутствие делящихся клеток (митозов). В этих случаях целесообразно выполнять </w:t>
      </w:r>
      <w:r w:rsidR="000C449A" w:rsidRPr="004329A5">
        <w:rPr>
          <w:szCs w:val="24"/>
        </w:rPr>
        <w:t xml:space="preserve">исследование методом флуоресцентной </w:t>
      </w:r>
      <w:r w:rsidR="00780510" w:rsidRPr="004329A5">
        <w:rPr>
          <w:szCs w:val="24"/>
        </w:rPr>
        <w:t>гибридизации in</w:t>
      </w:r>
      <w:r w:rsidR="000C449A" w:rsidRPr="004329A5">
        <w:rPr>
          <w:i/>
          <w:szCs w:val="24"/>
        </w:rPr>
        <w:t xml:space="preserve"> </w:t>
      </w:r>
      <w:r w:rsidR="000C449A" w:rsidRPr="004329A5">
        <w:rPr>
          <w:i/>
          <w:szCs w:val="24"/>
          <w:lang w:val="en-US"/>
        </w:rPr>
        <w:t>situ</w:t>
      </w:r>
      <w:r w:rsidR="000C449A">
        <w:rPr>
          <w:szCs w:val="24"/>
        </w:rPr>
        <w:t xml:space="preserve"> (далее – </w:t>
      </w:r>
      <w:r w:rsidR="005E6AB9">
        <w:rPr>
          <w:i/>
        </w:rPr>
        <w:t>FISH-</w:t>
      </w:r>
      <w:r w:rsidRPr="00084DF4">
        <w:rPr>
          <w:i/>
        </w:rPr>
        <w:t>исследование</w:t>
      </w:r>
      <w:r w:rsidR="000C449A">
        <w:rPr>
          <w:i/>
        </w:rPr>
        <w:t>)</w:t>
      </w:r>
      <w:r>
        <w:rPr>
          <w:i/>
        </w:rPr>
        <w:t xml:space="preserve"> на ключевые перестройки </w:t>
      </w:r>
      <w:r w:rsidR="005E6AB9">
        <w:rPr>
          <w:i/>
        </w:rPr>
        <w:t>t(9;22) (q34;q11) –</w:t>
      </w:r>
      <w:r w:rsidRPr="00084DF4">
        <w:rPr>
          <w:i/>
        </w:rPr>
        <w:t xml:space="preserve"> BCR-ABL и t(4;11) – MLL-AF4 при В-ОЛЛ</w:t>
      </w:r>
      <w:r>
        <w:rPr>
          <w:i/>
        </w:rPr>
        <w:t>.</w:t>
      </w:r>
      <w:r w:rsidRPr="00D54754">
        <w:t xml:space="preserve"> </w:t>
      </w:r>
    </w:p>
    <w:p w14:paraId="7E957B5F" w14:textId="77777777" w:rsidR="00254823" w:rsidRPr="009D02FA" w:rsidRDefault="00254823" w:rsidP="00B56041">
      <w:pPr>
        <w:ind w:left="708" w:firstLine="1"/>
        <w:contextualSpacing/>
        <w:rPr>
          <w:i/>
        </w:rPr>
      </w:pPr>
      <w:r w:rsidRPr="009D02FA">
        <w:rPr>
          <w:i/>
        </w:rPr>
        <w:t>Характерной для Ph+</w:t>
      </w:r>
      <w:r w:rsidR="00CC711C">
        <w:rPr>
          <w:i/>
        </w:rPr>
        <w:t xml:space="preserve"> </w:t>
      </w:r>
      <w:r w:rsidRPr="009D02FA">
        <w:rPr>
          <w:i/>
        </w:rPr>
        <w:t>ОЛЛ является реципрокная транслокация t(9</w:t>
      </w:r>
      <w:r w:rsidR="006C1127">
        <w:rPr>
          <w:i/>
        </w:rPr>
        <w:t>;</w:t>
      </w:r>
      <w:r w:rsidRPr="009D02FA">
        <w:rPr>
          <w:i/>
        </w:rPr>
        <w:t>22)(q34;q11), приводящая к слиянию гена BCR (области кластера точки разрыва) хромосомы 22 с геном ABL (тирозинкиназы Абельсона) хромосомы 9. При стандартном цитогенетическом исследовании это приводит к укорочению хромосомы 22, что получило название филадельфийской хромосомы; данное изменение может также определяться при флуоресцентной гибридизации in situ (FISH). Дополнительные хромосомные</w:t>
      </w:r>
      <w:r w:rsidR="00C3622B">
        <w:rPr>
          <w:i/>
        </w:rPr>
        <w:t xml:space="preserve"> аберрации, представленные 2-й</w:t>
      </w:r>
      <w:r w:rsidR="005E6AB9">
        <w:rPr>
          <w:i/>
        </w:rPr>
        <w:t xml:space="preserve"> Ph-</w:t>
      </w:r>
      <w:r w:rsidRPr="009D02FA">
        <w:rPr>
          <w:i/>
        </w:rPr>
        <w:t>хромосомой (+der(22)t(9;22)), аномалией короткого плеча хромосомы 9, моносомией 7</w:t>
      </w:r>
      <w:r w:rsidR="005E6AB9">
        <w:rPr>
          <w:i/>
        </w:rPr>
        <w:t>-й</w:t>
      </w:r>
      <w:r w:rsidRPr="009D02FA">
        <w:rPr>
          <w:i/>
        </w:rPr>
        <w:t xml:space="preserve"> хромосомы и трисомией 8</w:t>
      </w:r>
      <w:r w:rsidR="005E6AB9">
        <w:rPr>
          <w:i/>
        </w:rPr>
        <w:t>-й</w:t>
      </w:r>
      <w:r w:rsidRPr="009D02FA">
        <w:rPr>
          <w:i/>
        </w:rPr>
        <w:t xml:space="preserve"> хромосомы встречаются в </w:t>
      </w:r>
      <w:r w:rsidR="005E6AB9">
        <w:rPr>
          <w:i/>
        </w:rPr>
        <w:t xml:space="preserve">от </w:t>
      </w:r>
      <w:r w:rsidRPr="009D02FA">
        <w:rPr>
          <w:i/>
        </w:rPr>
        <w:t>10 до 79</w:t>
      </w:r>
      <w:r w:rsidR="005E6AB9">
        <w:rPr>
          <w:i/>
        </w:rPr>
        <w:t xml:space="preserve"> </w:t>
      </w:r>
      <w:r w:rsidRPr="009D02FA">
        <w:rPr>
          <w:i/>
        </w:rPr>
        <w:t xml:space="preserve">% случаев Ph+ ОЛЛ и являются фактором негативного прогноза, </w:t>
      </w:r>
      <w:r w:rsidR="00ED0FBC" w:rsidRPr="009D02FA">
        <w:rPr>
          <w:i/>
        </w:rPr>
        <w:t>обусл</w:t>
      </w:r>
      <w:r w:rsidR="00ED0FBC">
        <w:rPr>
          <w:i/>
        </w:rPr>
        <w:t>о</w:t>
      </w:r>
      <w:r w:rsidR="00ED0FBC" w:rsidRPr="009D02FA">
        <w:rPr>
          <w:i/>
        </w:rPr>
        <w:t xml:space="preserve">вливая </w:t>
      </w:r>
      <w:r w:rsidRPr="009D02FA">
        <w:rPr>
          <w:i/>
        </w:rPr>
        <w:t xml:space="preserve">уменьшение </w:t>
      </w:r>
      <w:r w:rsidR="004840F1">
        <w:rPr>
          <w:i/>
        </w:rPr>
        <w:t xml:space="preserve">безрецидивной выживаемости (далее – </w:t>
      </w:r>
      <w:r w:rsidR="00D048C3">
        <w:rPr>
          <w:i/>
        </w:rPr>
        <w:t>БРВ</w:t>
      </w:r>
      <w:r w:rsidR="004840F1">
        <w:rPr>
          <w:i/>
        </w:rPr>
        <w:t>)</w:t>
      </w:r>
      <w:r w:rsidR="00ED0FBC">
        <w:rPr>
          <w:i/>
        </w:rPr>
        <w:t xml:space="preserve"> </w:t>
      </w:r>
      <w:r w:rsidRPr="009D02FA">
        <w:rPr>
          <w:i/>
        </w:rPr>
        <w:t xml:space="preserve">и увеличением частоты рецидивов. </w:t>
      </w:r>
    </w:p>
    <w:p w14:paraId="47AAEDD0" w14:textId="77777777" w:rsidR="00254823" w:rsidRPr="009D02FA" w:rsidRDefault="00254823" w:rsidP="00B56041">
      <w:pPr>
        <w:shd w:val="clear" w:color="auto" w:fill="FFFFFF"/>
        <w:ind w:left="708" w:firstLine="1"/>
        <w:contextualSpacing/>
        <w:rPr>
          <w:i/>
        </w:rPr>
      </w:pPr>
      <w:r w:rsidRPr="009D02FA">
        <w:rPr>
          <w:i/>
        </w:rPr>
        <w:t>Основной целью первичной дифференциальной диагностики является дифференцирование Ph+</w:t>
      </w:r>
      <w:r w:rsidR="00E9082E">
        <w:rPr>
          <w:i/>
        </w:rPr>
        <w:t xml:space="preserve"> </w:t>
      </w:r>
      <w:r w:rsidRPr="009D02FA">
        <w:rPr>
          <w:i/>
        </w:rPr>
        <w:t>ОЛЛ с лимфоидным бластным кризом хронического миелолейкоза (</w:t>
      </w:r>
      <w:r w:rsidR="005E6AB9">
        <w:rPr>
          <w:i/>
        </w:rPr>
        <w:t>далее – ХМЛ), в пользу которого могу</w:t>
      </w:r>
      <w:r w:rsidRPr="009D02FA">
        <w:rPr>
          <w:i/>
        </w:rPr>
        <w:t xml:space="preserve">т свидетельствовать наличие в анамнезе ХМЛ, базофилии или эозинофилии </w:t>
      </w:r>
      <w:r w:rsidR="00C57A53">
        <w:rPr>
          <w:i/>
        </w:rPr>
        <w:t>КМ</w:t>
      </w:r>
      <w:r w:rsidRPr="009D02FA">
        <w:rPr>
          <w:i/>
        </w:rPr>
        <w:t xml:space="preserve"> либо гигантская спленомегалия.  Основным дифференциальным критерием является выявление транскрипта p190</w:t>
      </w:r>
      <w:r w:rsidR="005E6AB9">
        <w:rPr>
          <w:i/>
          <w:vertAlign w:val="superscript"/>
        </w:rPr>
        <w:t>BCR-</w:t>
      </w:r>
      <w:r w:rsidRPr="009D02FA">
        <w:rPr>
          <w:i/>
          <w:vertAlign w:val="superscript"/>
        </w:rPr>
        <w:t>ABL</w:t>
      </w:r>
      <w:r w:rsidRPr="009D02FA">
        <w:rPr>
          <w:i/>
        </w:rPr>
        <w:t xml:space="preserve">, что обычно позволяет исключить ХМЛ. </w:t>
      </w:r>
    </w:p>
    <w:p w14:paraId="0372199C" w14:textId="7722C29D" w:rsidR="00254823" w:rsidRPr="003B6B89" w:rsidRDefault="00254823" w:rsidP="00FF4C81">
      <w:pPr>
        <w:pStyle w:val="2-41"/>
        <w:widowControl w:val="0"/>
        <w:numPr>
          <w:ilvl w:val="0"/>
          <w:numId w:val="19"/>
        </w:numPr>
        <w:tabs>
          <w:tab w:val="left" w:pos="284"/>
        </w:tabs>
        <w:suppressAutoHyphens w:val="0"/>
        <w:autoSpaceDE w:val="0"/>
        <w:autoSpaceDN w:val="0"/>
        <w:adjustRightInd w:val="0"/>
        <w:contextualSpacing/>
        <w:jc w:val="both"/>
        <w:rPr>
          <w:b/>
          <w:szCs w:val="24"/>
        </w:rPr>
      </w:pPr>
      <w:r w:rsidRPr="003B6B89">
        <w:rPr>
          <w:b/>
          <w:color w:val="000000"/>
        </w:rPr>
        <w:t xml:space="preserve">Рекомендуется </w:t>
      </w:r>
      <w:r w:rsidRPr="003B6B89">
        <w:rPr>
          <w:color w:val="000000"/>
        </w:rPr>
        <w:t>выполнить</w:t>
      </w:r>
      <w:r w:rsidR="003B6B89" w:rsidRPr="003B6B89">
        <w:rPr>
          <w:color w:val="000000"/>
        </w:rPr>
        <w:t xml:space="preserve"> </w:t>
      </w:r>
      <w:r w:rsidR="003B6B89" w:rsidRPr="003B6B89">
        <w:t xml:space="preserve">молекулярно-генетическое исследование </w:t>
      </w:r>
      <w:r w:rsidR="003B6B39">
        <w:t>точечных мутаций</w:t>
      </w:r>
      <w:r w:rsidR="003B6B39" w:rsidRPr="003B6B89">
        <w:t xml:space="preserve"> </w:t>
      </w:r>
      <w:r w:rsidR="003B6B89" w:rsidRPr="003B6B89">
        <w:t xml:space="preserve">гена </w:t>
      </w:r>
      <w:r w:rsidR="003B6B89" w:rsidRPr="003B6B89">
        <w:rPr>
          <w:i/>
          <w:iCs/>
        </w:rPr>
        <w:t>BCR-ABL</w:t>
      </w:r>
      <w:r w:rsidR="003B6B89" w:rsidRPr="003B6B89">
        <w:t xml:space="preserve"> (химерный ген, образованный слиянием области кластера разрывов на 22</w:t>
      </w:r>
      <w:r w:rsidR="005E6AB9">
        <w:t>-й</w:t>
      </w:r>
      <w:r w:rsidR="003B6B89" w:rsidRPr="003B6B89">
        <w:t xml:space="preserve"> хромосоме и гена тирозин-киназы Абельсона на 9</w:t>
      </w:r>
      <w:r w:rsidR="005E6AB9">
        <w:t>-й</w:t>
      </w:r>
      <w:r w:rsidR="003B6B89" w:rsidRPr="003B6B89">
        <w:t xml:space="preserve"> хромосоме);</w:t>
      </w:r>
      <w:r w:rsidR="001B3DB0">
        <w:t xml:space="preserve"> </w:t>
      </w:r>
      <w:r w:rsidR="001B3DB0">
        <w:lastRenderedPageBreak/>
        <w:t>молекулярно-генетическое исследование минимальной остаточной болезни при лейкозах при помощи пациент - специфичных праймеров</w:t>
      </w:r>
      <w:r w:rsidR="003B6B89" w:rsidRPr="003B6B89">
        <w:t xml:space="preserve"> </w:t>
      </w:r>
      <w:r w:rsidR="001B3DB0">
        <w:t>(</w:t>
      </w:r>
      <w:r w:rsidR="003B6B89" w:rsidRPr="003B6B89">
        <w:t xml:space="preserve">молекулярно-генетические исследования на наличие </w:t>
      </w:r>
      <w:r w:rsidRPr="003B6B89">
        <w:rPr>
          <w:szCs w:val="24"/>
        </w:rPr>
        <w:t xml:space="preserve">химерных генов </w:t>
      </w:r>
      <w:r w:rsidRPr="003B6B89">
        <w:rPr>
          <w:i/>
          <w:iCs/>
          <w:szCs w:val="24"/>
        </w:rPr>
        <w:t>c-MYC-IgH</w:t>
      </w:r>
      <w:r w:rsidRPr="003B6B89">
        <w:rPr>
          <w:szCs w:val="24"/>
        </w:rPr>
        <w:t xml:space="preserve">, </w:t>
      </w:r>
      <w:r w:rsidRPr="003B6B89">
        <w:rPr>
          <w:i/>
          <w:iCs/>
          <w:szCs w:val="24"/>
        </w:rPr>
        <w:t>MLL-AF4</w:t>
      </w:r>
      <w:r w:rsidRPr="003B6B89">
        <w:rPr>
          <w:szCs w:val="24"/>
        </w:rPr>
        <w:t xml:space="preserve"> и других, в зависимости от </w:t>
      </w:r>
      <w:r w:rsidR="003B6B89" w:rsidRPr="003B6B89">
        <w:rPr>
          <w:szCs w:val="24"/>
        </w:rPr>
        <w:t xml:space="preserve">ранее </w:t>
      </w:r>
      <w:r w:rsidRPr="003B6B89">
        <w:rPr>
          <w:szCs w:val="24"/>
        </w:rPr>
        <w:t>выявленных цитогенетических поломок</w:t>
      </w:r>
      <w:r w:rsidR="001B3DB0">
        <w:rPr>
          <w:szCs w:val="24"/>
        </w:rPr>
        <w:t>)</w:t>
      </w:r>
      <w:r w:rsidR="004D7C9E">
        <w:rPr>
          <w:szCs w:val="24"/>
        </w:rPr>
        <w:t>,</w:t>
      </w:r>
      <w:r w:rsidRPr="003B6B89">
        <w:rPr>
          <w:szCs w:val="24"/>
        </w:rPr>
        <w:t xml:space="preserve"> с целью дальнейшего мониторирования эффективности </w:t>
      </w:r>
      <w:r w:rsidR="00ED0FBC">
        <w:rPr>
          <w:szCs w:val="24"/>
        </w:rPr>
        <w:t>ХТ</w:t>
      </w:r>
      <w:r w:rsidR="00ED0FBC" w:rsidRPr="003B6B89">
        <w:rPr>
          <w:szCs w:val="24"/>
        </w:rPr>
        <w:t xml:space="preserve"> </w:t>
      </w:r>
      <w:r w:rsidRPr="003B6B89">
        <w:rPr>
          <w:szCs w:val="24"/>
        </w:rPr>
        <w:t xml:space="preserve">и оценки </w:t>
      </w:r>
      <w:r w:rsidR="00B93236">
        <w:rPr>
          <w:szCs w:val="24"/>
        </w:rPr>
        <w:t>минимальной остаточной болезни (</w:t>
      </w:r>
      <w:r w:rsidR="00AF128D">
        <w:rPr>
          <w:szCs w:val="24"/>
        </w:rPr>
        <w:t>МОБ</w:t>
      </w:r>
      <w:r w:rsidR="00B93236">
        <w:rPr>
          <w:szCs w:val="24"/>
        </w:rPr>
        <w:t>)</w:t>
      </w:r>
      <w:r w:rsidRPr="003B6B89">
        <w:rPr>
          <w:szCs w:val="24"/>
        </w:rPr>
        <w:t xml:space="preserve"> в рамках </w:t>
      </w:r>
      <w:r w:rsidR="00ED0FBC">
        <w:rPr>
          <w:szCs w:val="24"/>
        </w:rPr>
        <w:t>КИ</w:t>
      </w:r>
      <w:r w:rsidRPr="003B6B89">
        <w:rPr>
          <w:szCs w:val="24"/>
        </w:rPr>
        <w:t xml:space="preserve"> всем пациентам с В-клеточным ОЛЛ</w:t>
      </w:r>
      <w:r w:rsidR="005E6AB9">
        <w:rPr>
          <w:szCs w:val="24"/>
        </w:rPr>
        <w:t xml:space="preserve"> </w:t>
      </w:r>
      <w:r w:rsidR="00914AB6">
        <w:rPr>
          <w:szCs w:val="24"/>
        </w:rPr>
        <w:fldChar w:fldCharType="begin" w:fldLock="1"/>
      </w:r>
      <w:r w:rsidR="002466C9">
        <w:rPr>
          <w:szCs w:val="24"/>
        </w:rPr>
        <w:instrText>ADDIN CSL_CITATION {"citationItems":[{"id":"ITEM-1","itemData":{"abstract":"Philadelphia chromosome-positive (Ph+) acute lympho-blastic leukemia (ALL) accounts for approximately one-fourth of cases of adult ALL. It typically presents with an aggressive clinical course, responds poorly to standard chemotherapy, and carries a high risk for relapse. The landscape of Ph+ ALL therapy has changed favorably since the development of tyrosine kinase inhibi-tors (TKIs). With the successful incorporation of TKIs into chemo-therapy regimens, remissions occur more frequently and patients live longer. Imatinib was the first TKI that targeted the BCR-ABL1 oncoprotein in Ph+ ALL. Since then, nilotinib, dasatinib, bosuti-nib, and ponatinib have been developed. Despite the significant progress that has been made in inducing remission, frequent relapses remain a challenge, especially among those with resistant BCR-ABL1 mutations. Still, the therapeutic armamentarium of ALL therapy is expanding at a breathtaking pace today compared with a decade ago. Novel drugs, such as potent later-generation TKIs, antibody-drug conjugates, bispecific monoclonal antibodies, and chimeric antigen receptor T-cell therapies, are being developed and investigated in patients with Ph+ ALL. In this review, we summarize the current treatment options for Ph+ ALL and highlight the therapies that may become the standard of care in the near future.","author":[{"dropping-particle":"","family":"Yilmaz","given":"Musa","non-dropping-particle":"","parse-names":false,"suffix":""},{"dropping-particle":"","family":"Kantarjian","given":"Hagop","non-dropping-particle":"","parse-names":false,"suffix":""},{"dropping-particle":"","family":"Ravandi-Kashani","given":"Farhad","non-dropping-particle":"","parse-names":false,"suffix":""},{"dropping-particle":"","family":"Short","given":"Nicholas J","non-dropping-particle":"","parse-names":false,"suffix":""},{"dropping-particle":"","family":"Jabbour","given":"Elias","non-dropping-particle":"","parse-names":false,"suffix":""}],"container-title":"Clinical Advances in Hematology &amp; Oncology","id":"ITEM-1","issued":{"date-parts":[["2018"]]},"title":"Philadelphia Chromosome-Positive Acute Lymphoblastic Leukemia in Adults: Current Treatments and Future Perspectives","type":"report","volume":"16"},"uris":["http://www.mendeley.com/documents/?uuid=cd9075b4-f4d6-3138-8192-a50cf1e8966d"]},{"id":"ITEM-2","itemData":{"DOI":"10.1016/j.hemonc.2017.03.002","ISSN":"16583876","abstract":"Background The t(8;14)(q24.1;q32) and its variants – the t(2;8)(p12;q24.1) and t(8;22)(q24.1;q11.2) are associated with B-cell neoplasia and result in MYC/immunoglobulin (IG) gene rearrangement. Patients and methods We correlated the cytogenetic, molecular and clinico-pathological findings of patients with 8q24 translocations seen in the Department of Haematology, Christian Medical College, Vellore, from January 2003 to December 2015. Results There were 34 patients with 8q24 translocations (31, ALL and three myeloma). The t(8;14) was seen in 25 patients, t(8;22) in seven and t(2;8) in two. The salient findings were as follows: 85% males; 79% adults, median age 37 years; L3 morphology in 61%; mature B immunophenotype in 77%; extra-medullary disease in 41%; additional abnormalities in 28 (85%), notably, structural abnormalities of chromosome 1q (41%) and 13q (9%) and monosomy 13 (15%); complex karyotypes in 68%. There were two double-hit lymphoma/leukemia, one with a t(14;18)(q32;q21) and the other with a t(3;14)(q27;q11.2), associated with nodal high grade B cell lymphoma and dermal leukemic infiltrates respectively. Only 13 samples were processed for DNA PCR and all these samples were positive for MYC-IgH (c-gamma type) rearrangement. Only in one patient, in addition to c-gamma, c-alpha rearrangement was also detected. Conclusion The frequency (1.7%) and distribution of these translocations in our series and the association with 1q and 13q abnormalities is similar to the literature. Trisomies 7 and 12 were seen in less than 10% of our patients.","author":[{"dropping-particle":"","family":"Angi","given":"Meenu","non-dropping-particle":"","parse-names":false,"suffix":""},{"dropping-particle":"","family":"Kamath","given":"Vandana","non-dropping-particle":"","parse-names":false,"suffix":""},{"dropping-particle":"","family":"Yuvarani","given":"S.","non-dropping-particle":"","parse-names":false,"suffix":""},{"dropping-particle":"","family":"Meena","given":"J.","non-dropping-particle":"","parse-names":false,"suffix":""},{"dropping-particle":"","family":"Sitaram","given":"Usha","non-dropping-particle":"","parse-names":false,"suffix":""},{"dropping-particle":"","family":"Manipadam","given":"Marie Therese","non-dropping-particle":"","parse-names":false,"suffix":""},{"dropping-particle":"","family":"Nair","given":"Sukesh","non-dropping-particle":"","parse-names":false,"suffix":""},{"dropping-particle":"","family":"Ganapule","given":"Abhijeet","non-dropping-particle":"","parse-names":false,"suffix":""},{"dropping-particle":"","family":"Fouzia","given":"N. A.","non-dropping-particle":"","parse-names":false,"suffix":""},{"dropping-particle":"","family":"Abraham","given":"Aby","non-dropping-particle":"","parse-names":false,"suffix":""},{"dropping-particle":"","family":"Viswabandya","given":"Auro","non-dropping-particle":"","parse-names":false,"suffix":""},{"dropping-particle":"","family":"Poonkuzhali","given":"B.","non-dropping-particle":"","parse-names":false,"suffix":""},{"dropping-particle":"","family":"George","given":"Biju","non-dropping-particle":"","parse-names":false,"suffix":""},{"dropping-particle":"","family":"Mathews","given":"Vikram","non-dropping-particle":"","parse-names":false,"suffix":""},{"dropping-particle":"","family":"Srivastava","given":"Alok","non-dropping-particle":"","parse-names":false,"suffix":""},{"dropping-particle":"","family":"Srivastava","given":"Vivi M.","non-dropping-particle":"","parse-names":false,"suffix":""}],"container-title":"Hematology/ Oncology and Stem Cell Therapy","id":"ITEM-2","issue":"3","issued":{"date-parts":[["2017","9","1"]]},"page":"126-134","publisher":"King Faisal Specialist Hospital and Research Centre","title":"The t(8;14)(q24.1;q32) and its variant translocations: A study of 34 cases","type":"article-journal","volume":"10"},"uris":["http://www.mendeley.com/documents/?uuid=83dbf91a-da21-35b9-94e2-71d1da61e841"]},{"id":"ITEM-3","itemData":{"DOI":"10.3324/haematol.2009.009035","ISSN":"03906078","abstract":"The clinical outcome of 21 adults with ALL1(MLL)/AF4 positive acute lymphoblastic leukemia enrolled in the GIMEMA LAL 2000 trial and of 25 patients entered into the previous 0496 study is reported. LAL 2000 included more intensive consolidation and transplants. Complete remission rates were 90% and 88% in the LAL 2000 and 0496 trials, respectively. Fifteen patients were transplanted (5 autologous, 10 allogeneic). At 36 months, overall and disease free survivals were 32.9%, 31.8%, 28% and 27.3%, in LAL 2000 and 0496 trials, respectively. Relapses remained the main reason of failure occurring in 10 and 16 of the 19 and 22 responding patients. In the LAL 2000 study, 4 relapses were observed before transplant. Thus, ALL1(MLL)/AF4 abnormality characterized a subset of patients with adverse prognosis in which the overall strategy adopted in the LAL 2000 study, rather than transplants per se, failed to improve the patient clinical outcome. © 2010 Ferrata Storti Foundation.","author":[{"dropping-particle":"","family":"Cimino","given":"Giuseppe","non-dropping-particle":"","parse-names":false,"suffix":""},{"dropping-particle":"","family":"Cenfra","given":"Natalia","non-dropping-particle":"","parse-names":false,"suffix":""},{"dropping-particle":"","family":"Elia","given":"Loredana","non-dropping-particle":"","parse-names":false,"suffix":""},{"dropping-particle":"","family":"Sica","given":"Simona","non-dropping-particle":"","parse-names":false,"suffix":""},{"dropping-particle":"","family":"Luppi","given":"Mario","non-dropping-particle":"","parse-names":false,"suffix":""},{"dropping-particle":"","family":"Meloni","given":"Giovanna","non-dropping-particle":"","parse-names":false,"suffix":""},{"dropping-particle":"","family":"Vignetti","given":"Marco","non-dropping-particle":"","parse-names":false,"suffix":""},{"dropping-particle":"","family":"Paoloni","given":"Francesca","non-dropping-particle":"","parse-names":false,"suffix":""},{"dropping-particle":"","family":"Foà","given":"Robin","non-dropping-particle":"","parse-names":false,"suffix":""},{"dropping-particle":"","family":"Mandelli","given":"Franco","non-dropping-particle":"","parse-names":false,"suffix":""}],"container-title":"Haematologica","id":"ITEM-3","issue":"5","issued":{"date-parts":[["2010","5"]]},"page":"837-840","title":"The therapeutic response and clinical outcome of adults with ALL1(MLL)/AF4 fusion positive acute lymphoblastic leukemia according to the GIMEMA experience","type":"article-journal","volume":"95"},"uris":["http://www.mendeley.com/documents/?uuid=25b52c3d-f3cc-3f17-b070-dfcf417e064a"]}],"mendeley":{"formattedCitation":"[35–37]","plainTextFormattedCitation":"[35–37]","previouslyFormattedCitation":"[35–37]"},"properties":{"noteIndex":0},"schema":"https://github.com/citation-style-language/schema/raw/master/csl-citation.json"}</w:instrText>
      </w:r>
      <w:r w:rsidR="00914AB6">
        <w:rPr>
          <w:szCs w:val="24"/>
        </w:rPr>
        <w:fldChar w:fldCharType="separate"/>
      </w:r>
      <w:r w:rsidR="00A66456" w:rsidRPr="00A66456">
        <w:rPr>
          <w:noProof/>
          <w:szCs w:val="24"/>
        </w:rPr>
        <w:t>[35–37]</w:t>
      </w:r>
      <w:r w:rsidR="00914AB6">
        <w:rPr>
          <w:szCs w:val="24"/>
        </w:rPr>
        <w:fldChar w:fldCharType="end"/>
      </w:r>
      <w:r w:rsidR="00914AB6" w:rsidRPr="003B6B89">
        <w:rPr>
          <w:szCs w:val="24"/>
        </w:rPr>
        <w:t>.</w:t>
      </w:r>
    </w:p>
    <w:p w14:paraId="4B4D2F5E" w14:textId="77777777" w:rsidR="00254823" w:rsidRPr="005E6AB9" w:rsidRDefault="00254823" w:rsidP="003B6B89">
      <w:pPr>
        <w:pStyle w:val="2-41"/>
        <w:tabs>
          <w:tab w:val="left" w:pos="709"/>
        </w:tabs>
        <w:ind w:left="0" w:firstLine="709"/>
        <w:contextualSpacing/>
        <w:jc w:val="both"/>
        <w:rPr>
          <w:b/>
          <w:szCs w:val="24"/>
        </w:rPr>
      </w:pPr>
      <w:r w:rsidRPr="00002BCA">
        <w:rPr>
          <w:b/>
        </w:rPr>
        <w:t>Уровень убеди</w:t>
      </w:r>
      <w:r w:rsidR="003C6F54" w:rsidRPr="00002BCA">
        <w:rPr>
          <w:b/>
        </w:rPr>
        <w:t xml:space="preserve">тельности рекомендаций </w:t>
      </w:r>
      <w:r w:rsidR="005E6AB9" w:rsidRPr="00002BCA">
        <w:rPr>
          <w:b/>
        </w:rPr>
        <w:t>–</w:t>
      </w:r>
      <w:r w:rsidR="005E6AB9" w:rsidRPr="00002BCA">
        <w:rPr>
          <w:b/>
          <w:lang w:val="uk-UA"/>
        </w:rPr>
        <w:t xml:space="preserve"> </w:t>
      </w:r>
      <w:r w:rsidR="005E3346" w:rsidRPr="00002BCA">
        <w:rPr>
          <w:b/>
        </w:rPr>
        <w:t xml:space="preserve">С </w:t>
      </w:r>
      <w:r w:rsidRPr="00002BCA">
        <w:rPr>
          <w:b/>
        </w:rPr>
        <w:t xml:space="preserve">(уровень </w:t>
      </w:r>
      <w:r w:rsidR="005E6AB9" w:rsidRPr="00002BCA">
        <w:rPr>
          <w:b/>
        </w:rPr>
        <w:t>достоверности доказательств –</w:t>
      </w:r>
      <w:r w:rsidR="005E6AB9" w:rsidRPr="00002BCA">
        <w:rPr>
          <w:b/>
          <w:lang w:val="uk-UA"/>
        </w:rPr>
        <w:t xml:space="preserve"> </w:t>
      </w:r>
      <w:r w:rsidR="005E3346" w:rsidRPr="00002BCA">
        <w:rPr>
          <w:b/>
        </w:rPr>
        <w:t>4</w:t>
      </w:r>
      <w:r w:rsidR="00C171A6" w:rsidRPr="00002BCA">
        <w:rPr>
          <w:b/>
        </w:rPr>
        <w:t>)</w:t>
      </w:r>
      <w:r w:rsidR="005E6AB9" w:rsidRPr="00002BCA">
        <w:rPr>
          <w:b/>
          <w:lang w:val="uk-UA"/>
        </w:rPr>
        <w:t>.</w:t>
      </w:r>
    </w:p>
    <w:p w14:paraId="6B1EFDBD" w14:textId="77777777" w:rsidR="00254823" w:rsidRPr="00C74244" w:rsidRDefault="00254823" w:rsidP="003B6B89">
      <w:pPr>
        <w:pStyle w:val="2-41"/>
        <w:tabs>
          <w:tab w:val="left" w:pos="709"/>
        </w:tabs>
        <w:ind w:left="0" w:firstLine="709"/>
        <w:contextualSpacing/>
        <w:jc w:val="both"/>
        <w:rPr>
          <w:i/>
          <w:szCs w:val="24"/>
        </w:rPr>
      </w:pPr>
      <w:r w:rsidRPr="00A45DB6">
        <w:rPr>
          <w:b/>
          <w:szCs w:val="24"/>
        </w:rPr>
        <w:t>Комментарии:</w:t>
      </w:r>
      <w:r>
        <w:rPr>
          <w:b/>
          <w:szCs w:val="24"/>
        </w:rPr>
        <w:t xml:space="preserve"> </w:t>
      </w:r>
      <w:r w:rsidR="00ED0FBC">
        <w:rPr>
          <w:i/>
          <w:szCs w:val="24"/>
        </w:rPr>
        <w:t>д</w:t>
      </w:r>
      <w:r w:rsidR="00ED0FBC" w:rsidRPr="00D45AD4">
        <w:rPr>
          <w:i/>
          <w:szCs w:val="24"/>
        </w:rPr>
        <w:t xml:space="preserve">етекция </w:t>
      </w:r>
      <w:r w:rsidRPr="00D45AD4">
        <w:rPr>
          <w:i/>
          <w:szCs w:val="24"/>
        </w:rPr>
        <w:t>химерных генов BCR-ABL, c-MYC-IgH, MLL-AF4</w:t>
      </w:r>
      <w:r>
        <w:rPr>
          <w:b/>
          <w:szCs w:val="24"/>
        </w:rPr>
        <w:t xml:space="preserve"> </w:t>
      </w:r>
      <w:r>
        <w:rPr>
          <w:i/>
          <w:szCs w:val="24"/>
        </w:rPr>
        <w:t xml:space="preserve">необходима с целью мониторинга противоопухолевого ответа и принятия терапевтических решений. </w:t>
      </w:r>
      <w:r w:rsidRPr="00084DF4">
        <w:rPr>
          <w:i/>
          <w:szCs w:val="24"/>
        </w:rPr>
        <w:t xml:space="preserve">Молекулярное исследование </w:t>
      </w:r>
      <w:r>
        <w:rPr>
          <w:i/>
          <w:szCs w:val="24"/>
        </w:rPr>
        <w:t>других многочисленных поломок</w:t>
      </w:r>
      <w:r w:rsidR="00CE0A5B">
        <w:rPr>
          <w:i/>
          <w:szCs w:val="24"/>
        </w:rPr>
        <w:t xml:space="preserve"> </w:t>
      </w:r>
      <w:r>
        <w:rPr>
          <w:i/>
          <w:szCs w:val="24"/>
        </w:rPr>
        <w:t xml:space="preserve">является в настоящее время за рубежом одним из ключевых методов стартификации </w:t>
      </w:r>
      <w:r w:rsidR="00EF50E6" w:rsidRPr="00EF50E6">
        <w:rPr>
          <w:i/>
          <w:szCs w:val="24"/>
        </w:rPr>
        <w:t>пациентов</w:t>
      </w:r>
      <w:r>
        <w:rPr>
          <w:i/>
          <w:szCs w:val="24"/>
        </w:rPr>
        <w:t xml:space="preserve"> на группы риска</w:t>
      </w:r>
      <w:r w:rsidR="00CA080A" w:rsidRPr="00CA080A">
        <w:rPr>
          <w:i/>
          <w:szCs w:val="24"/>
        </w:rPr>
        <w:t xml:space="preserve">. </w:t>
      </w:r>
      <w:r w:rsidR="00CA080A">
        <w:rPr>
          <w:i/>
          <w:szCs w:val="24"/>
        </w:rPr>
        <w:t>Д</w:t>
      </w:r>
      <w:r>
        <w:rPr>
          <w:i/>
          <w:szCs w:val="24"/>
        </w:rPr>
        <w:t xml:space="preserve">етекция химерных транскриптов, мутации генов, перестройки и </w:t>
      </w:r>
      <w:r w:rsidR="00733758">
        <w:rPr>
          <w:i/>
          <w:szCs w:val="24"/>
        </w:rPr>
        <w:t xml:space="preserve">дупликации </w:t>
      </w:r>
      <w:r>
        <w:rPr>
          <w:i/>
          <w:szCs w:val="24"/>
        </w:rPr>
        <w:t>генов доступны только в больших исследовательских центрах.</w:t>
      </w:r>
      <w:r w:rsidRPr="00D54754">
        <w:rPr>
          <w:szCs w:val="24"/>
        </w:rPr>
        <w:t xml:space="preserve"> </w:t>
      </w:r>
      <w:r w:rsidRPr="00C74244">
        <w:rPr>
          <w:i/>
          <w:szCs w:val="24"/>
        </w:rPr>
        <w:t xml:space="preserve">На молекулярно-генетическом уровне транскрипт bcr-abl может определяться посредством </w:t>
      </w:r>
      <w:r w:rsidR="00D600BD" w:rsidRPr="00D600BD">
        <w:rPr>
          <w:i/>
          <w:szCs w:val="24"/>
        </w:rPr>
        <w:t>полимеразной цепной реакции</w:t>
      </w:r>
      <w:r w:rsidR="00733758" w:rsidRPr="00D048C3">
        <w:rPr>
          <w:i/>
          <w:iCs/>
          <w:szCs w:val="24"/>
        </w:rPr>
        <w:t xml:space="preserve"> с обратной транскрипцией</w:t>
      </w:r>
      <w:r w:rsidR="00733758" w:rsidRPr="00C74244">
        <w:rPr>
          <w:i/>
          <w:szCs w:val="24"/>
        </w:rPr>
        <w:t xml:space="preserve"> </w:t>
      </w:r>
      <w:r w:rsidR="00733758">
        <w:rPr>
          <w:i/>
          <w:szCs w:val="24"/>
        </w:rPr>
        <w:t>(</w:t>
      </w:r>
      <w:r w:rsidRPr="00C74244">
        <w:rPr>
          <w:i/>
          <w:szCs w:val="24"/>
        </w:rPr>
        <w:t>ОТ-ПЦР</w:t>
      </w:r>
      <w:r w:rsidR="00733758">
        <w:rPr>
          <w:i/>
          <w:szCs w:val="24"/>
        </w:rPr>
        <w:t>)</w:t>
      </w:r>
      <w:r w:rsidRPr="00C74244">
        <w:rPr>
          <w:i/>
          <w:szCs w:val="24"/>
        </w:rPr>
        <w:t>. Расположение точки разрыва в гене BCR приводит к тому, что белок p190</w:t>
      </w:r>
      <w:r w:rsidRPr="00C74244">
        <w:rPr>
          <w:i/>
          <w:szCs w:val="24"/>
          <w:vertAlign w:val="superscript"/>
        </w:rPr>
        <w:t>BCR-ABL</w:t>
      </w:r>
      <w:r w:rsidR="005E6AB9">
        <w:rPr>
          <w:i/>
          <w:szCs w:val="24"/>
        </w:rPr>
        <w:t xml:space="preserve"> </w:t>
      </w:r>
      <w:r w:rsidRPr="00C74244">
        <w:rPr>
          <w:i/>
          <w:szCs w:val="24"/>
        </w:rPr>
        <w:t>выявляется в 66,3</w:t>
      </w:r>
      <w:r w:rsidR="005E6AB9">
        <w:rPr>
          <w:i/>
          <w:szCs w:val="24"/>
        </w:rPr>
        <w:t xml:space="preserve"> </w:t>
      </w:r>
      <w:r w:rsidRPr="00C74244">
        <w:rPr>
          <w:i/>
          <w:szCs w:val="24"/>
        </w:rPr>
        <w:t>% случаев Ph+ ОЛЛ, также у данных пациентов часто определяется белок p210</w:t>
      </w:r>
      <w:r w:rsidRPr="00C74244">
        <w:rPr>
          <w:i/>
          <w:szCs w:val="24"/>
          <w:vertAlign w:val="superscript"/>
        </w:rPr>
        <w:t xml:space="preserve">BCR-ABL </w:t>
      </w:r>
      <w:r w:rsidRPr="00C74244">
        <w:rPr>
          <w:i/>
          <w:szCs w:val="24"/>
        </w:rPr>
        <w:t>(31,2</w:t>
      </w:r>
      <w:r w:rsidR="005E6AB9">
        <w:rPr>
          <w:i/>
          <w:szCs w:val="24"/>
        </w:rPr>
        <w:t xml:space="preserve"> </w:t>
      </w:r>
      <w:r w:rsidRPr="00C74244">
        <w:rPr>
          <w:i/>
          <w:szCs w:val="24"/>
        </w:rPr>
        <w:t>%). В остальных случаях опред</w:t>
      </w:r>
      <w:r w:rsidR="005E6AB9">
        <w:rPr>
          <w:i/>
          <w:szCs w:val="24"/>
        </w:rPr>
        <w:t>еляются транскрипты обоих типов</w:t>
      </w:r>
      <w:r w:rsidRPr="00C74244">
        <w:rPr>
          <w:i/>
          <w:szCs w:val="24"/>
        </w:rPr>
        <w:t xml:space="preserve"> либо атипичные транскрипты.</w:t>
      </w:r>
    </w:p>
    <w:p w14:paraId="1EF93EA3" w14:textId="5341D787" w:rsidR="00254823" w:rsidRPr="0061018D" w:rsidRDefault="00254823" w:rsidP="00FF4C81">
      <w:pPr>
        <w:pStyle w:val="2-41"/>
        <w:numPr>
          <w:ilvl w:val="0"/>
          <w:numId w:val="19"/>
        </w:numPr>
        <w:tabs>
          <w:tab w:val="left" w:pos="709"/>
        </w:tabs>
        <w:contextualSpacing/>
        <w:jc w:val="both"/>
        <w:rPr>
          <w:i/>
          <w:szCs w:val="24"/>
        </w:rPr>
      </w:pPr>
      <w:r w:rsidRPr="00617969">
        <w:rPr>
          <w:b/>
          <w:color w:val="000000"/>
        </w:rPr>
        <w:t xml:space="preserve">Рекомендуется </w:t>
      </w:r>
      <w:r w:rsidRPr="008E689C">
        <w:rPr>
          <w:color w:val="000000"/>
        </w:rPr>
        <w:t>всем пациентам</w:t>
      </w:r>
      <w:r>
        <w:rPr>
          <w:b/>
          <w:color w:val="000000"/>
        </w:rPr>
        <w:t xml:space="preserve"> </w:t>
      </w:r>
      <w:r w:rsidRPr="00617969">
        <w:rPr>
          <w:color w:val="000000"/>
        </w:rPr>
        <w:t xml:space="preserve">выполнить </w:t>
      </w:r>
      <w:r w:rsidR="003B6B89" w:rsidRPr="003B6B89">
        <w:rPr>
          <w:color w:val="000000"/>
        </w:rPr>
        <w:t>молекулярно-генетическое исследование T-клеточной клональности (по генам б</w:t>
      </w:r>
      <w:r w:rsidR="004809DB">
        <w:rPr>
          <w:color w:val="000000"/>
        </w:rPr>
        <w:t>е</w:t>
      </w:r>
      <w:r w:rsidR="003B6B89" w:rsidRPr="003B6B89">
        <w:rPr>
          <w:color w:val="000000"/>
        </w:rPr>
        <w:t>та</w:t>
      </w:r>
      <w:r w:rsidR="00FF2B8C">
        <w:rPr>
          <w:color w:val="000000"/>
        </w:rPr>
        <w:t>-</w:t>
      </w:r>
      <w:r w:rsidR="003B6B89" w:rsidRPr="003B6B89">
        <w:rPr>
          <w:color w:val="000000"/>
        </w:rPr>
        <w:t>, гамма</w:t>
      </w:r>
      <w:r w:rsidR="00FF2B8C">
        <w:rPr>
          <w:color w:val="000000"/>
        </w:rPr>
        <w:t>- и дельта-</w:t>
      </w:r>
      <w:r w:rsidR="003B6B89" w:rsidRPr="003B6B89">
        <w:rPr>
          <w:color w:val="000000"/>
        </w:rPr>
        <w:t>цепей T-клеточного рецептора)</w:t>
      </w:r>
      <w:r w:rsidR="003B6B89">
        <w:rPr>
          <w:color w:val="000000"/>
        </w:rPr>
        <w:t xml:space="preserve"> или </w:t>
      </w:r>
      <w:r w:rsidR="003B6B89">
        <w:t xml:space="preserve">молекулярно-генетическое исследование B-клеточной клональности (по генам IgH, IgK, IgL) в аспирате </w:t>
      </w:r>
      <w:r w:rsidR="00C57A53">
        <w:rPr>
          <w:color w:val="000000"/>
        </w:rPr>
        <w:t>КМ</w:t>
      </w:r>
      <w:r w:rsidRPr="00617969">
        <w:rPr>
          <w:rFonts w:eastAsia="Arial Unicode MS"/>
          <w:color w:val="000000"/>
          <w:u w:color="000000"/>
        </w:rPr>
        <w:t xml:space="preserve"> на </w:t>
      </w:r>
      <w:r w:rsidR="00B3408C">
        <w:rPr>
          <w:rFonts w:eastAsia="Arial Unicode MS"/>
          <w:color w:val="000000"/>
          <w:u w:color="000000"/>
        </w:rPr>
        <w:t>Т-</w:t>
      </w:r>
      <w:r>
        <w:rPr>
          <w:rFonts w:eastAsia="Arial Unicode MS"/>
          <w:color w:val="000000"/>
          <w:u w:color="000000"/>
        </w:rPr>
        <w:t>или В-клеточную клональность с целью дальнейшей оценки молекулярного ответа и верификации диагноза при сложных диагностических случаях</w:t>
      </w:r>
      <w:r w:rsidR="00C3622B">
        <w:rPr>
          <w:rFonts w:eastAsia="Arial Unicode MS"/>
          <w:color w:val="000000"/>
          <w:u w:color="000000"/>
        </w:rPr>
        <w:t xml:space="preserve"> </w:t>
      </w:r>
      <w:r w:rsidR="00914AB6">
        <w:rPr>
          <w:rFonts w:eastAsia="Arial Unicode MS"/>
          <w:color w:val="000000"/>
          <w:u w:color="000000"/>
        </w:rPr>
        <w:fldChar w:fldCharType="begin" w:fldLock="1"/>
      </w:r>
      <w:r w:rsidR="002466C9">
        <w:rPr>
          <w:rFonts w:eastAsia="Arial Unicode MS"/>
          <w:color w:val="000000"/>
          <w:u w:color="000000"/>
        </w:rPr>
        <w:instrText>ADDIN CSL_CITATION {"citationItems":[{"id":"ITEM-1","itemData":{"DOI":"10.1177/2040620713519729","ISSN":"20406215","abstract":"Currently, distinguishing between benign and malignant lymphoid proliferations is based on a combination of clinical characteristics, cyto/histomorphology, immunophenotype and the identification of well-defined chromosomal aberrations. However, such diagnoses remain challenging in 10–15% of cases of lymphoproliferative disorders, and clonality assessments are often required to confirm diagnostic suspicions. In recent years, the development of new techniques for clonality detection has allowed researchers to better characterize, classify and monitor hematological neoplasms. In the past, clonality was primarily studied by performing Southern blotting analyses to characterize rearrangements in segments of the IG and TCR genes. Currently, the most commonly used method in the clinical molecular diagnostic laboratory is polymerase chain reaction (PCR), which is an extremely sensitive technique for detecting nucleic acids. This technique is rapid, accurate, specific, and sensitive, and it can be used to analyze small biopsies as well as formalin-fixed paraffin-embedded samples. These advantages make PCR-based approaches the current gold standard for IG/TCR clonality testing. Since the completion of the first human genome sequence, there has been a rapid development of technologies to facilitate high-throughput sequencing of DNA. These techniques have been applied to the deep characterization and classification of various diseases, patient stratification, and the monitoring of minimal residual disease. Furthermore, these novel approaches have the potential to significantly improve the sensitivity and cost of clonality assays and post-treatment monitoring of B- and T-cell malignancies. However, more studies will be required to demonstrate the utility, sensitivity, and benefits of these methods in order to warrant their adoption into clinical practice. In this review, recent developments in clonality testing are examined with an emphasis on highly sensitive systems for improving diagnostic workups and minimal residual disease assessments. © 2014, SAGE Publications. All rights reserved.","author":[{"dropping-particle":"","family":"Gazzola","given":"Anna","non-dropping-particle":"","parse-names":false,"suffix":""},{"dropping-particle":"","family":"Mannu","given":"Claudia","non-dropping-particle":"","parse-names":false,"suffix":""},{"dropping-particle":"","family":"Rossi","given":"Maura","non-dropping-particle":"","parse-names":false,"suffix":""},{"dropping-particle":"","family":"Laginestra","given":"Maria Antonella","non-dropping-particle":"","parse-names":false,"suffix":""},{"dropping-particle":"","family":"Sapienza","given":"Maria Rosaria","non-dropping-particle":"","parse-names":false,"suffix":""},{"dropping-particle":"","family":"Fuligni","given":"Fabio","non-dropping-particle":"","parse-names":false,"suffix":""},{"dropping-particle":"","family":"Etebari","given":"Maryam","non-dropping-particle":"","parse-names":false,"suffix":""},{"dropping-particle":"","family":"Melle","given":"Federica","non-dropping-particle":"","parse-names":false,"suffix":""},{"dropping-particle":"","family":"Sabattini","given":"Elena","non-dropping-particle":"","parse-names":false,"suffix":""},{"dropping-particle":"","family":"Agostinelli","given":"Claudio","non-dropping-particle":"","parse-names":false,"suffix":""},{"dropping-particle":"","family":"Bacci","given":"Francesco","non-dropping-particle":"","parse-names":false,"suffix":""},{"dropping-particle":"","family":"Sagramoso Sacchetti","given":"Carlo Alberto","non-dropping-particle":"","parse-names":false,"suffix":""},{"dropping-particle":"","family":"Pileri","given":"Stefano Aldo","non-dropping-particle":"","parse-names":false,"suffix":""},{"dropping-particle":"","family":"Piccaluga","given":"Pier Paolo","non-dropping-particle":"","parse-names":false,"suffix":""}],"container-title":"Therapeutic Advances in Hematology","id":"ITEM-1","issue":"2","issued":{"date-parts":[["2014"]]},"page":"35-47","title":"The evolution of clonality testing in the diagnosis and monitoring of hematological malignancies","type":"article","volume":"5"},"uris":["http://www.mendeley.com/documents/?uuid=e64c7d51-1b02-3828-b038-07f9d5d75d8b"]}],"mendeley":{"formattedCitation":"[38]","plainTextFormattedCitation":"[38]","previouslyFormattedCitation":"[38]"},"properties":{"noteIndex":0},"schema":"https://github.com/citation-style-language/schema/raw/master/csl-citation.json"}</w:instrText>
      </w:r>
      <w:r w:rsidR="00914AB6">
        <w:rPr>
          <w:rFonts w:eastAsia="Arial Unicode MS"/>
          <w:color w:val="000000"/>
          <w:u w:color="000000"/>
        </w:rPr>
        <w:fldChar w:fldCharType="separate"/>
      </w:r>
      <w:r w:rsidR="00A66456" w:rsidRPr="00A66456">
        <w:rPr>
          <w:rFonts w:eastAsia="Arial Unicode MS"/>
          <w:noProof/>
          <w:color w:val="000000"/>
          <w:u w:color="000000"/>
        </w:rPr>
        <w:t>[38]</w:t>
      </w:r>
      <w:r w:rsidR="00914AB6">
        <w:rPr>
          <w:rFonts w:eastAsia="Arial Unicode MS"/>
          <w:color w:val="000000"/>
          <w:u w:color="000000"/>
        </w:rPr>
        <w:fldChar w:fldCharType="end"/>
      </w:r>
      <w:r w:rsidR="00914AB6" w:rsidRPr="00617969">
        <w:rPr>
          <w:color w:val="000000"/>
        </w:rPr>
        <w:t>.</w:t>
      </w:r>
    </w:p>
    <w:p w14:paraId="5AE4BA2C" w14:textId="1A29784B" w:rsidR="00254823" w:rsidRDefault="00254823" w:rsidP="00C171A6">
      <w:pPr>
        <w:ind w:firstLine="709"/>
        <w:contextualSpacing/>
        <w:rPr>
          <w:b/>
          <w:color w:val="000000"/>
        </w:rPr>
      </w:pPr>
      <w:r w:rsidRPr="00002BCA">
        <w:rPr>
          <w:b/>
          <w:color w:val="000000"/>
        </w:rPr>
        <w:t xml:space="preserve">Уровень убедительности рекомендаций </w:t>
      </w:r>
      <w:r w:rsidR="00FF2B8C" w:rsidRPr="00002BCA">
        <w:rPr>
          <w:b/>
          <w:color w:val="000000"/>
        </w:rPr>
        <w:t xml:space="preserve">– </w:t>
      </w:r>
      <w:r w:rsidR="00CE7A8F">
        <w:rPr>
          <w:b/>
          <w:color w:val="000000"/>
          <w:lang w:val="en-US"/>
        </w:rPr>
        <w:t>C</w:t>
      </w:r>
      <w:r w:rsidR="00CE7A8F" w:rsidRPr="00002BCA">
        <w:rPr>
          <w:b/>
          <w:color w:val="000000"/>
        </w:rPr>
        <w:t xml:space="preserve"> </w:t>
      </w:r>
      <w:r w:rsidRPr="00002BCA">
        <w:rPr>
          <w:b/>
          <w:color w:val="000000"/>
        </w:rPr>
        <w:t xml:space="preserve">(уровень достоверности доказательств – </w:t>
      </w:r>
      <w:r w:rsidR="00CE1820">
        <w:rPr>
          <w:b/>
          <w:color w:val="000000"/>
        </w:rPr>
        <w:t>5</w:t>
      </w:r>
      <w:r w:rsidR="00C171A6" w:rsidRPr="00002BCA">
        <w:rPr>
          <w:b/>
          <w:color w:val="000000"/>
        </w:rPr>
        <w:t>)</w:t>
      </w:r>
      <w:r w:rsidR="00FF2B8C" w:rsidRPr="00002BCA">
        <w:rPr>
          <w:b/>
          <w:color w:val="000000"/>
        </w:rPr>
        <w:t>.</w:t>
      </w:r>
    </w:p>
    <w:p w14:paraId="13C7045A" w14:textId="77777777" w:rsidR="00254823" w:rsidRDefault="00254823" w:rsidP="00C171A6">
      <w:pPr>
        <w:ind w:firstLine="709"/>
        <w:contextualSpacing/>
        <w:rPr>
          <w:b/>
          <w:color w:val="000000"/>
        </w:rPr>
      </w:pPr>
      <w:r w:rsidRPr="00964B8B">
        <w:rPr>
          <w:b/>
          <w:color w:val="000000"/>
        </w:rPr>
        <w:t>Комментарии:</w:t>
      </w:r>
      <w:r w:rsidRPr="005D47D3">
        <w:rPr>
          <w:b/>
          <w:i/>
          <w:color w:val="000000"/>
        </w:rPr>
        <w:t xml:space="preserve"> </w:t>
      </w:r>
      <w:r w:rsidR="00733758">
        <w:rPr>
          <w:i/>
        </w:rPr>
        <w:t>с</w:t>
      </w:r>
      <w:r w:rsidR="00733758" w:rsidRPr="005D47D3">
        <w:rPr>
          <w:i/>
        </w:rPr>
        <w:t xml:space="preserve"> </w:t>
      </w:r>
      <w:r w:rsidRPr="005D47D3">
        <w:rPr>
          <w:i/>
        </w:rPr>
        <w:t>молекулярной точки зрения все случаи ОЛЛ развиваются из клеток-предшественников B- или T-лимфоцитов, поэтому все они демонстрируют клональные перестройки генов тяжелых цепей Ig и/или генов TCR. Этот феном</w:t>
      </w:r>
      <w:r w:rsidR="00FF2B8C">
        <w:rPr>
          <w:i/>
        </w:rPr>
        <w:t>ен позволяет определять пациент-</w:t>
      </w:r>
      <w:r w:rsidRPr="005D47D3">
        <w:rPr>
          <w:i/>
        </w:rPr>
        <w:t>специфиче</w:t>
      </w:r>
      <w:r w:rsidR="00733758">
        <w:rPr>
          <w:i/>
        </w:rPr>
        <w:t>с</w:t>
      </w:r>
      <w:r w:rsidRPr="005D47D3">
        <w:rPr>
          <w:i/>
        </w:rPr>
        <w:t xml:space="preserve">кие перестройки и использовать их в качестве молекулярного маркера заболевания при мониторинге </w:t>
      </w:r>
      <w:r w:rsidR="00AF128D">
        <w:rPr>
          <w:i/>
        </w:rPr>
        <w:t>МОБ</w:t>
      </w:r>
      <w:r w:rsidRPr="005D47D3">
        <w:rPr>
          <w:i/>
        </w:rPr>
        <w:t>. Помимо пациент</w:t>
      </w:r>
      <w:r w:rsidR="00FF2B8C">
        <w:rPr>
          <w:i/>
        </w:rPr>
        <w:t>-</w:t>
      </w:r>
      <w:r w:rsidRPr="005D47D3">
        <w:rPr>
          <w:i/>
        </w:rPr>
        <w:lastRenderedPageBreak/>
        <w:t>специфических маркеров, ОЛЛ имеют большое количество генетических и молекулярных перестроек, мутаций, в которых участвуют различные гены. Перечень основных молекулярно-генетических аномалий, идентифицированных при ОЛЛ у взрослых и детей и используемых в настоящее время при молекул</w:t>
      </w:r>
      <w:r>
        <w:rPr>
          <w:i/>
        </w:rPr>
        <w:t>ярной диагностике, приведен в приложении Г2</w:t>
      </w:r>
      <w:r w:rsidRPr="005D47D3">
        <w:rPr>
          <w:i/>
        </w:rPr>
        <w:t>. Данный перечень не является полным и представляет собой компромисс между современным и более адекватным молекулярным методом выявления или исключения аномалии</w:t>
      </w:r>
      <w:r w:rsidR="00950F44">
        <w:rPr>
          <w:i/>
        </w:rPr>
        <w:t xml:space="preserve"> </w:t>
      </w:r>
      <w:r w:rsidR="004D7C9E">
        <w:rPr>
          <w:i/>
        </w:rPr>
        <w:t>и</w:t>
      </w:r>
      <w:r w:rsidRPr="005D47D3">
        <w:rPr>
          <w:i/>
        </w:rPr>
        <w:t xml:space="preserve"> наиболее часто используемой методикой.</w:t>
      </w:r>
    </w:p>
    <w:p w14:paraId="54FEA66B" w14:textId="4F959E32" w:rsidR="00254823" w:rsidRPr="007F435A" w:rsidRDefault="00254823" w:rsidP="00FF4C81">
      <w:pPr>
        <w:numPr>
          <w:ilvl w:val="0"/>
          <w:numId w:val="19"/>
        </w:numPr>
        <w:contextualSpacing/>
        <w:rPr>
          <w:b/>
          <w:color w:val="000000"/>
        </w:rPr>
      </w:pPr>
      <w:r w:rsidRPr="00617969">
        <w:rPr>
          <w:b/>
          <w:color w:val="000000"/>
        </w:rPr>
        <w:t xml:space="preserve">Рекомендуется </w:t>
      </w:r>
      <w:r w:rsidRPr="009D02FA">
        <w:rPr>
          <w:color w:val="000000"/>
        </w:rPr>
        <w:t xml:space="preserve">всем пациентам </w:t>
      </w:r>
      <w:r w:rsidRPr="00617969">
        <w:rPr>
          <w:color w:val="000000"/>
        </w:rPr>
        <w:t xml:space="preserve">выполнить </w:t>
      </w:r>
      <w:r w:rsidR="003B6B89">
        <w:rPr>
          <w:color w:val="000000"/>
        </w:rPr>
        <w:t xml:space="preserve">спинномозговую </w:t>
      </w:r>
      <w:r w:rsidRPr="00617969">
        <w:rPr>
          <w:rFonts w:eastAsia="Arial Unicode MS"/>
          <w:color w:val="000000"/>
          <w:u w:color="000000"/>
        </w:rPr>
        <w:t xml:space="preserve">пункцию с </w:t>
      </w:r>
      <w:r>
        <w:rPr>
          <w:rFonts w:eastAsia="Arial Unicode MS"/>
          <w:color w:val="000000"/>
          <w:u w:color="000000"/>
        </w:rPr>
        <w:t xml:space="preserve">цитологическим </w:t>
      </w:r>
      <w:r w:rsidRPr="00617969">
        <w:rPr>
          <w:rFonts w:eastAsia="Arial Unicode MS"/>
          <w:color w:val="000000"/>
          <w:u w:color="000000"/>
        </w:rPr>
        <w:t xml:space="preserve">исследованием </w:t>
      </w:r>
      <w:r w:rsidR="006C4A0A">
        <w:t>клеток спинномозговой жидкости</w:t>
      </w:r>
      <w:r w:rsidR="0014368B">
        <w:rPr>
          <w:rFonts w:eastAsia="Arial Unicode MS"/>
          <w:color w:val="000000"/>
          <w:u w:color="000000"/>
        </w:rPr>
        <w:t xml:space="preserve"> (</w:t>
      </w:r>
      <w:r w:rsidR="0014368B">
        <w:t>микроскопическое исследование спинномозговой жидкости, подсчет клеток в счетной камере)</w:t>
      </w:r>
      <w:r w:rsidR="0014368B">
        <w:rPr>
          <w:rFonts w:eastAsia="Arial Unicode MS"/>
          <w:color w:val="000000"/>
          <w:u w:color="000000"/>
        </w:rPr>
        <w:t xml:space="preserve"> для исключения/подтверждения вовлеч</w:t>
      </w:r>
      <w:r w:rsidR="00D14A75">
        <w:rPr>
          <w:rFonts w:eastAsia="Arial Unicode MS"/>
          <w:color w:val="000000"/>
          <w:u w:color="000000"/>
        </w:rPr>
        <w:t xml:space="preserve">ения ЦНС </w:t>
      </w:r>
      <w:r w:rsidR="00914AB6">
        <w:rPr>
          <w:rFonts w:eastAsia="Arial Unicode MS"/>
          <w:color w:val="000000"/>
          <w:u w:color="000000"/>
        </w:rPr>
        <w:fldChar w:fldCharType="begin" w:fldLock="1"/>
      </w:r>
      <w:r w:rsidR="002466C9">
        <w:rPr>
          <w:rFonts w:eastAsia="Arial Unicode MS"/>
          <w:color w:val="000000"/>
          <w:u w:color="000000"/>
        </w:rPr>
        <w:instrText>ADDIN CSL_CITATION {"citationItems":[{"id":"ITEM-1","itemData":{"DOI":"10.1182/blood-2005-11-4666","ISSN":"0006-4971","PMID":"16556888","abstract":"Outcome of acute lymphoblastic leukemia (ALL) in adults with central nervous system (CNS) disease at diagnosis is unclear. We treated 1508 de novo ALL patients with 2-phase induction and then high-dose methotrexate with l-asparaginase. Patients up to 50 years old in first remission (CR1) with a matched related donor (MRD) underwent an allogeneic stem cell transplantation (SCT); the remainder in CR1 were randomized to an autologous SCT or intensive consolidation followed by maintenance chemotherapy. Philadelphia chromosome (Ph)-positive patients were offered a matched unrelated donor (MUD) allogeneic SCT. Seventy-seven of 1508 (5%) patients a median age of 29 years had CNS leukemia at presentation; 13 of the 77 (17%) had Ph-positive ALL. Sixty-nine of 77 (90%) patients attained CR1. Thirty-six patients underwent transplantation in CR1 (25 MRD, 5 MUD, and 6 autografts). Eleven of 25 patients with MRD transplantation remain alive at 21 to 102 months, 2 of 5 with MUD at 42 and 71 months, and 1 of 6 with autologous SCT at 35 months. Seven of 27 treated with consolidation/maintenance remain in CR1 56 to 137 months after diagnosis. Overall survival at 5 years was 29% in those with CNS involvement at diagnosis versus 38% (P = .03) for those without. CNS leukemia in adult ALL is uncommon at diagnosis. Adult Ph-negative ALL patients, however, can attain long-term disease-free survival using SCT as well as conventional chemotherapy.","author":[{"dropping-particle":"","family":"Lazarus","given":"Hillard M","non-dropping-particle":"","parse-names":false,"suffix":""},{"dropping-particle":"","family":"Richards","given":"Susan M","non-dropping-particle":"","parse-names":false,"suffix":""},{"dropping-particle":"","family":"Chopra","given":"Raj","non-dropping-particle":"","parse-names":false,"suffix":""},{"dropping-particle":"","family":"Litzow","given":"Mark R","non-dropping-particle":"","parse-names":false,"suffix":""},{"dropping-particle":"","family":"Burnett","given":"Alan K","non-dropping-particle":"","parse-names":false,"suffix":""},{"dropping-particle":"","family":"Wiernik","given":"Peter H","non-dropping-particle":"","parse-names":false,"suffix":""},{"dropping-particle":"","family":"Franklin","given":"Ian M","non-dropping-particle":"","parse-names":false,"suffix":""},{"dropping-particle":"","family":"Tallman","given":"Martin S","non-dropping-particle":"","parse-names":false,"suffix":""},{"dropping-particle":"","family":"Cook","given":"Lucy","non-dropping-particle":"","parse-names":false,"suffix":""},{"dropping-particle":"","family":"Buck","given":"Georgina","non-dropping-particle":"","parse-names":false,"suffix":""},{"dropping-particle":"","family":"Durrant","given":"I Jill","non-dropping-particle":"","parse-names":false,"suffix":""},{"dropping-particle":"","family":"Rowe","given":"Jacob M","non-dropping-particle":"","parse-names":false,"suffix":""},{"dropping-particle":"","family":"Goldstone","given":"Anthony H","non-dropping-particle":"","parse-names":false,"suffix":""},{"dropping-particle":"","family":"Medical Research Council (MRC)/National Cancer Research Institute (NCRI) Adult Leukaemia Working Party of the United Kingdom and the Eastern Cooperative Oncology Group","given":"","non-dropping-particle":"","parse-names":false,"suffix":""}],"container-title":"Blood","id":"ITEM-1","issue":"2","issued":{"date-parts":[["2006","7","15"]]},"page":"465-72","title":"Central nervous system involvement in adult acute lymphoblastic leukemia at diagnosis: results from the international ALL trial MRC UKALL XII/ECOG E2993.","type":"article-journal","volume":"108"},"uris":["http://www.mendeley.com/documents/?uuid=9900bb12-4887-3eaf-be05-4f7a7b0a9e8b"]},{"id":"ITEM-2","itemData":{"DOI":"10.1179/102453308X343374","ISSN":"1607-8454","PMID":"18854093","abstract":"Central nervous system (CNS) involvement is identified at the time of diagnosis in less than 10% of adult acute lymphoblastic leukemia (ALL). These patients can attain long-term disease-free survival. CNS disease at presentation does not appear to be an independent poor prognostic factor. Because of the difficulty in treating CNS leukemia, innovative treatments and alternative delivery techniques are needed. The outcome in such patients is a reflection of an aggressive systemic and CNS-directed therapy. However, CNS toxicity represents the dose-limiting side effect of treatment. With effective CNS prophylaxis including intrathecal chemotherapy, high-dose systemic administration of certain agents and cranial irradiation, most adults with ALL without CNS disease at diagnosis may remain free of CNS leukemia. Leukemic relapse remains a major therapeutic problem and CNS involvement at the time of relapse occurs in 1-15% of cases. Adult ALL with CNS recurrence remains of poor prognosis and is generally associated with a systemic relapse.","author":[{"dropping-particle":"","family":"Thomas","given":"Xavier","non-dropping-particle":"","parse-names":false,"suffix":""},{"dropping-particle":"","family":"Le","given":"Quoc-Hung","non-dropping-particle":"","parse-names":false,"suffix":""}],"container-title":"Hematology (Amsterdam, Netherlands)","id":"ITEM-2","issue":"5","issued":{"date-parts":[["2008","10"]]},"page":"293-302","title":"Central nervous system involvement in adult acute lymphoblastic leukemia.","type":"article-journal","volume":"13"},"uris":["http://www.mendeley.com/documents/?uuid=3d5b1d9c-6171-3cf7-86e6-b237edded1ab"]}],"mendeley":{"formattedCitation":"[12,39]","plainTextFormattedCitation":"[12,39]","previouslyFormattedCitation":"[12,39]"},"properties":{"noteIndex":0},"schema":"https://github.com/citation-style-language/schema/raw/master/csl-citation.json"}</w:instrText>
      </w:r>
      <w:r w:rsidR="00914AB6">
        <w:rPr>
          <w:rFonts w:eastAsia="Arial Unicode MS"/>
          <w:color w:val="000000"/>
          <w:u w:color="000000"/>
        </w:rPr>
        <w:fldChar w:fldCharType="separate"/>
      </w:r>
      <w:r w:rsidR="00A66456" w:rsidRPr="00A66456">
        <w:rPr>
          <w:rFonts w:eastAsia="Arial Unicode MS"/>
          <w:noProof/>
          <w:color w:val="000000"/>
          <w:u w:color="000000"/>
        </w:rPr>
        <w:t>[12,39]</w:t>
      </w:r>
      <w:r w:rsidR="00914AB6">
        <w:rPr>
          <w:rFonts w:eastAsia="Arial Unicode MS"/>
          <w:color w:val="000000"/>
          <w:u w:color="000000"/>
        </w:rPr>
        <w:fldChar w:fldCharType="end"/>
      </w:r>
      <w:r w:rsidR="00914AB6" w:rsidRPr="00617969">
        <w:rPr>
          <w:color w:val="000000"/>
        </w:rPr>
        <w:t>.</w:t>
      </w:r>
      <w:r w:rsidR="00CD5E09">
        <w:rPr>
          <w:color w:val="000000"/>
        </w:rPr>
        <w:t xml:space="preserve"> </w:t>
      </w:r>
      <w:r w:rsidR="00CD5E09" w:rsidRPr="009F500F">
        <w:rPr>
          <w:bCs/>
        </w:rPr>
        <w:t>Микроскопическое исследование спинномозговой жидкости необходимо выполнять всем пациентам при цитозе ≥ 5/мкл. Рекомендуется с целью повышения точности анализа использовать для приготовления цитологических препаратов ликвора цитологическую центрифугу.</w:t>
      </w:r>
    </w:p>
    <w:p w14:paraId="484339C7" w14:textId="77777777" w:rsidR="00254823" w:rsidRPr="00617969" w:rsidRDefault="00254823" w:rsidP="00C171A6">
      <w:pPr>
        <w:ind w:firstLine="709"/>
        <w:contextualSpacing/>
        <w:rPr>
          <w:b/>
          <w:color w:val="000000"/>
        </w:rPr>
      </w:pPr>
      <w:r w:rsidRPr="00617969">
        <w:rPr>
          <w:b/>
          <w:color w:val="000000"/>
        </w:rPr>
        <w:t>Урове</w:t>
      </w:r>
      <w:r>
        <w:rPr>
          <w:b/>
          <w:color w:val="000000"/>
        </w:rPr>
        <w:t xml:space="preserve">нь убедительности рекомендаций </w:t>
      </w:r>
      <w:r w:rsidR="00FF2B8C">
        <w:rPr>
          <w:b/>
          <w:color w:val="000000"/>
        </w:rPr>
        <w:t xml:space="preserve">– </w:t>
      </w:r>
      <w:r w:rsidR="00447224">
        <w:rPr>
          <w:b/>
          <w:color w:val="000000"/>
        </w:rPr>
        <w:t>С</w:t>
      </w:r>
      <w:r w:rsidR="00447224" w:rsidRPr="00617969">
        <w:rPr>
          <w:b/>
          <w:color w:val="000000"/>
        </w:rPr>
        <w:t xml:space="preserve"> </w:t>
      </w:r>
      <w:r w:rsidRPr="00617969">
        <w:rPr>
          <w:b/>
          <w:color w:val="000000"/>
        </w:rPr>
        <w:t xml:space="preserve">(уровень </w:t>
      </w:r>
      <w:r>
        <w:rPr>
          <w:b/>
          <w:color w:val="000000"/>
        </w:rPr>
        <w:t xml:space="preserve">достоверности доказательств – </w:t>
      </w:r>
      <w:r w:rsidR="00447224">
        <w:rPr>
          <w:b/>
          <w:color w:val="000000"/>
        </w:rPr>
        <w:t>5</w:t>
      </w:r>
      <w:r w:rsidR="00C171A6">
        <w:rPr>
          <w:b/>
          <w:color w:val="000000"/>
        </w:rPr>
        <w:t>)</w:t>
      </w:r>
      <w:r w:rsidR="00FF2B8C">
        <w:rPr>
          <w:b/>
          <w:color w:val="000000"/>
        </w:rPr>
        <w:t>.</w:t>
      </w:r>
    </w:p>
    <w:p w14:paraId="560C5824" w14:textId="4E7D8FD4" w:rsidR="00254823" w:rsidRDefault="00254823" w:rsidP="00C171A6">
      <w:pPr>
        <w:ind w:firstLine="709"/>
        <w:contextualSpacing/>
        <w:rPr>
          <w:i/>
          <w:color w:val="000000"/>
        </w:rPr>
      </w:pPr>
      <w:r w:rsidRPr="00617969">
        <w:rPr>
          <w:b/>
          <w:color w:val="000000"/>
        </w:rPr>
        <w:t xml:space="preserve">Комментарии: </w:t>
      </w:r>
      <w:r w:rsidR="003B6B89">
        <w:rPr>
          <w:rFonts w:eastAsia="Arial Unicode MS"/>
          <w:i/>
          <w:color w:val="000000"/>
        </w:rPr>
        <w:t xml:space="preserve">при </w:t>
      </w:r>
      <w:r w:rsidR="00F41168" w:rsidRPr="00CA080A">
        <w:rPr>
          <w:rFonts w:eastAsia="Arial Unicode MS"/>
          <w:i/>
          <w:color w:val="000000"/>
        </w:rPr>
        <w:t>всех вариантах</w:t>
      </w:r>
      <w:r>
        <w:rPr>
          <w:rFonts w:eastAsia="Arial Unicode MS"/>
          <w:i/>
          <w:color w:val="000000"/>
        </w:rPr>
        <w:t xml:space="preserve"> ОЛ</w:t>
      </w:r>
      <w:r w:rsidRPr="00617969">
        <w:rPr>
          <w:rFonts w:eastAsia="Arial Unicode MS"/>
          <w:i/>
          <w:color w:val="000000"/>
        </w:rPr>
        <w:t xml:space="preserve">Л высока вероятность вовлечения оболочек головного мозга. Поэтому всем </w:t>
      </w:r>
      <w:r w:rsidR="00EF50E6" w:rsidRPr="00EF50E6">
        <w:rPr>
          <w:i/>
          <w:szCs w:val="24"/>
        </w:rPr>
        <w:t>пациентам</w:t>
      </w:r>
      <w:r w:rsidRPr="00617969">
        <w:rPr>
          <w:rFonts w:eastAsia="Arial Unicode MS"/>
          <w:i/>
          <w:color w:val="000000"/>
        </w:rPr>
        <w:t xml:space="preserve"> показано выполнение диагностической люмбальной пункции с морфологическим исследованием ликвора.</w:t>
      </w:r>
      <w:r>
        <w:rPr>
          <w:rFonts w:eastAsia="Arial Unicode MS"/>
          <w:i/>
          <w:color w:val="000000"/>
        </w:rPr>
        <w:t xml:space="preserve"> </w:t>
      </w:r>
      <w:r w:rsidRPr="00617969">
        <w:rPr>
          <w:i/>
          <w:color w:val="000000"/>
        </w:rPr>
        <w:t>Если уровень тромбоцитов не удается повысить до 30</w:t>
      </w:r>
      <w:r w:rsidR="002356B9">
        <w:rPr>
          <w:i/>
          <w:color w:val="000000"/>
        </w:rPr>
        <w:t xml:space="preserve"> × </w:t>
      </w:r>
      <w:r w:rsidRPr="00617969">
        <w:rPr>
          <w:i/>
          <w:color w:val="000000"/>
        </w:rPr>
        <w:t>10</w:t>
      </w:r>
      <w:r w:rsidRPr="00617969">
        <w:rPr>
          <w:i/>
          <w:color w:val="000000"/>
          <w:vertAlign w:val="superscript"/>
        </w:rPr>
        <w:t>9</w:t>
      </w:r>
      <w:r w:rsidRPr="00617969">
        <w:rPr>
          <w:i/>
          <w:color w:val="000000"/>
        </w:rPr>
        <w:t>/л и выше, от пункции можно воздержаться до восстановления показателей</w:t>
      </w:r>
      <w:r w:rsidR="00C57A53">
        <w:rPr>
          <w:i/>
          <w:color w:val="000000"/>
        </w:rPr>
        <w:t xml:space="preserve"> тромбоцитов</w:t>
      </w:r>
      <w:r w:rsidRPr="00617969">
        <w:rPr>
          <w:i/>
          <w:color w:val="000000"/>
        </w:rPr>
        <w:t xml:space="preserve"> после курса. Если у </w:t>
      </w:r>
      <w:r w:rsidR="00C171A6">
        <w:rPr>
          <w:i/>
        </w:rPr>
        <w:t>пациентов</w:t>
      </w:r>
      <w:r w:rsidR="00CD5E09">
        <w:rPr>
          <w:i/>
          <w:color w:val="000000"/>
        </w:rPr>
        <w:t xml:space="preserve"> определяется лейкоцитоз </w:t>
      </w:r>
      <w:r w:rsidR="00CD5E09" w:rsidRPr="007916D1">
        <w:rPr>
          <w:i/>
        </w:rPr>
        <w:t>выше 3</w:t>
      </w:r>
      <w:r w:rsidRPr="007916D1">
        <w:rPr>
          <w:i/>
        </w:rPr>
        <w:t>0</w:t>
      </w:r>
      <w:r w:rsidR="00C57A53" w:rsidRPr="007916D1">
        <w:rPr>
          <w:i/>
        </w:rPr>
        <w:t> </w:t>
      </w:r>
      <w:r w:rsidR="002356B9" w:rsidRPr="007916D1">
        <w:rPr>
          <w:i/>
        </w:rPr>
        <w:t>×</w:t>
      </w:r>
      <w:r w:rsidR="00C57A53" w:rsidRPr="007916D1">
        <w:rPr>
          <w:i/>
        </w:rPr>
        <w:t> </w:t>
      </w:r>
      <w:r w:rsidRPr="007916D1">
        <w:rPr>
          <w:i/>
        </w:rPr>
        <w:t>10</w:t>
      </w:r>
      <w:r w:rsidRPr="007916D1">
        <w:rPr>
          <w:i/>
          <w:vertAlign w:val="superscript"/>
        </w:rPr>
        <w:t>9</w:t>
      </w:r>
      <w:r w:rsidRPr="007916D1">
        <w:rPr>
          <w:i/>
        </w:rPr>
        <w:t>/л</w:t>
      </w:r>
      <w:r w:rsidRPr="00617969">
        <w:rPr>
          <w:i/>
          <w:color w:val="000000"/>
        </w:rPr>
        <w:t>, то первую люмбальную пункцию следует отложить до редукции числа лейкоцитов менее 10</w:t>
      </w:r>
      <w:r w:rsidR="00C57A53">
        <w:rPr>
          <w:i/>
          <w:color w:val="000000"/>
        </w:rPr>
        <w:t> </w:t>
      </w:r>
      <w:r w:rsidR="002356B9">
        <w:rPr>
          <w:i/>
          <w:color w:val="000000"/>
        </w:rPr>
        <w:t>×</w:t>
      </w:r>
      <w:r w:rsidR="00C57A53">
        <w:rPr>
          <w:i/>
          <w:color w:val="000000"/>
        </w:rPr>
        <w:t> </w:t>
      </w:r>
      <w:r w:rsidRPr="00617969">
        <w:rPr>
          <w:i/>
          <w:color w:val="000000"/>
        </w:rPr>
        <w:t>10</w:t>
      </w:r>
      <w:r w:rsidRPr="00617969">
        <w:rPr>
          <w:i/>
          <w:color w:val="000000"/>
          <w:vertAlign w:val="superscript"/>
        </w:rPr>
        <w:t>9</w:t>
      </w:r>
      <w:r w:rsidRPr="00617969">
        <w:rPr>
          <w:i/>
          <w:color w:val="000000"/>
        </w:rPr>
        <w:t>/л.</w:t>
      </w:r>
    </w:p>
    <w:p w14:paraId="329E368B" w14:textId="77777777" w:rsidR="00555B7E" w:rsidRPr="00002D28" w:rsidRDefault="00555B7E" w:rsidP="00FF4C81">
      <w:pPr>
        <w:numPr>
          <w:ilvl w:val="0"/>
          <w:numId w:val="19"/>
        </w:numPr>
        <w:contextualSpacing/>
        <w:rPr>
          <w:b/>
          <w:color w:val="000000"/>
        </w:rPr>
      </w:pPr>
      <w:r w:rsidRPr="00002D28">
        <w:rPr>
          <w:b/>
        </w:rPr>
        <w:t>Рекомендуется</w:t>
      </w:r>
      <w:r w:rsidRPr="00002D28">
        <w:t xml:space="preserve"> всем пациентам при диагностике нейролейкемии увеличить частоту спинномозговых пункций и выполнять их в среднем 1 раз в 3 дня до получения трех люмбальных пункций без бластных клеток в ликворе, затем частоту пункций можно </w:t>
      </w:r>
      <w:r w:rsidR="00AF61E1" w:rsidRPr="00002D28">
        <w:t>снизить</w:t>
      </w:r>
      <w:r w:rsidRPr="00002D28">
        <w:t xml:space="preserve"> до 1 пункции в неделю во время индукции (во время дальнейших этапов терапии люмбальные пункции выполняются в соответствии с протоколом) для контроля динамики заболевания на терапии</w:t>
      </w:r>
      <w:r w:rsidR="00C23E10" w:rsidRPr="00002D28">
        <w:t xml:space="preserve"> </w:t>
      </w:r>
      <w:r w:rsidR="00C23E10" w:rsidRPr="00002D28">
        <w:fldChar w:fldCharType="begin" w:fldLock="1"/>
      </w:r>
      <w:r w:rsidR="00CE7A8F" w:rsidRPr="00002D28">
        <w:instrText>ADDIN CSL_CITATION {"citationItems":[{"id":"ITEM-1","itemData":{"id":"ITEM-1","issued":{"date-parts":[["2012"]]},"number-of-pages":"1056","title":"Программное лечение заболеваний системы крови: Сборник алгоритмов диагностики и протоколов лечения заболеваний системы крови. Под ред. В.Г. Савченко","type":"book"},"uris":["http://www.mendeley.com/documents/?uuid=36484a90-27ae-40a9-a194-b0461fb47d9d"]},{"id":"ITEM-2","itemData":{"author":[{"dropping-particle":"","family":"Савченко","given":"Валерий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доп.","id":"ITEM-2","issued":{"date-parts":[["2007"]]},"page":"409-502","title":"Острые лейкозы","type":"chapter"},"uris":["http://www.mendeley.com/documents/?uuid=08f85f58-ddaa-48eb-b937-65d15d14b213"]},{"id":"ITEM-3","itemData":{"author":[{"dropping-particle":"","family":"Brown","given":"Patrick A","non-dropping-particle":"","parse-names":false,"suffix":""},{"dropping-particle":"","family":"Shah","given":"Bijal","non-dropping-particle":"","parse-names":false,"suffix":""},{"dropping-particle":"","family":"Advani","given":"Anjali","non-dropping-particle":"","parse-names":false,"suffix":""},{"dropping-particle":"","family":"Aoun","given":"Patricia","non-dropping-particle":"","parse-names":false,"suffix":""},{"dropping-particle":"","family":"Bhatnagar","given":"Bhavana","non-dropping-particle":"","parse-names":false,"suffix":""},{"dropping-particle":"","family":"Boyer","given":"Michael W","non-dropping-particle":"","parse-names":false,"suffix":""},{"dropping-particle":"","family":"Bryan","given":"Teresa","non-dropping-particle":"","parse-names":false,"suffix":""},{"dropping-particle":"","family":"Burke","given":"Patrick W","non-dropping-particle":"","parse-names":false,"suffix":""},{"dropping-particle":"","family":"Cassaday","given":"Ryan D","non-dropping-particle":"","parse-names":false,"suffix":""},{"dropping-particle":"","family":"Coutre","given":"Steven E","non-dropping-particle":"","parse-names":false,"suffix":""},{"dropping-particle":"","family":"Coccia","given":"Peter F","non-dropping-particle":"","parse-names":false,"suffix":""},{"dropping-particle":"","family":"DeAngelo","given":"Daniel J","non-dropping-particle":"","parse-names":false,"suffix":""},{"dropping-particle":"","family":"Fathi","given":"Amir","non-dropping-particle":"","parse-names":false,"suffix":""},{"dropping-particle":"","family":"Jain","given":"Nitin","non-dropping-particle":"","parse-names":false,"suffix":""},{"dropping-particle":"","family":"Kirby","given":"Suzanne","non-dropping-particle":"","parse-names":false,"suffix":""},{"dropping-particle":"","family":"Litzow","given":"Mark","non-dropping-particle":"","parse-names":false,"suffix":""},{"dropping-particle":"","family":"Liu","given":"Arthur","non-dropping-particle":"","parse-names":false,"suffix":""},{"dropping-particle":"","family":"Logan","given":"Aaron","non-dropping-particle":"","parse-names":false,"suffix":""},{"dropping-particle":"","family":"Massaro","given":"Stephanie","non-dropping-particle":"","parse-names":false,"suffix":""},{"dropping-particle":"","family":"Mattison","given":"Ryan J","non-dropping-particle":"","parse-names":false,"suffix":""},{"dropping-particle":"","family":"Oluwole","given":"Olalekan","non-dropping-particle":"","parse-names":false,"suffix":""},{"dropping-particle":"","family":"Papadantonakis","given":"Nikolaos","non-dropping-particle":"","parse-names":false,"suffix":""},{"dropping-particle":"","family":"Park","given":"Jae","non-dropping-particle":"","parse-names":false,"suffix":""},{"dropping-particle":"","family":"Rubnitz","given":"Jeffrey E","non-dropping-particle":"","parse-names":false,"suffix":""},{"dropping-particle":"","family":"Uy","given":"Geoffrey L","non-dropping-particle":"","parse-names":false,"suffix":""},{"dropping-particle":"","family":"Wang","given":"Eunice S","non-dropping-particle":"","parse-names":false,"suffix":""},{"dropping-particle":"","family":"Wieduwilt","given":"Matthew","non-dropping-particle":"","parse-names":false,"suffix":""},{"dropping-particle":"","family":"Gregory","given":"Kristina","non-dropping-particle":"","parse-names":false,"suffix":""}],"id":"ITEM-3","issued":{"date-parts":[["2019"]]},"number-of-pages":"115","title":"NCCN Clinical Practice Guidelines in Oncology. Acute Lymphoblastic Leukemia. Version 2.2019","type":"report"},"uris":["http://www.mendeley.com/documents/?uuid=ef92918b-8a57-37b1-bea5-284dfdf15541"]},{"id":"ITEM-4","itemData":{"author":[{"dropping-particle":"","family":"Gökbuget","given":"N.","non-dropping-particle":"","parse-names":false,"suffix":""},{"dropping-particle":"","family":"Bassan","given":"R.","non-dropping-particle":"","parse-names":false,"suffix":""},{"dropping-particle":"","family":"Dombret","given":"H.","non-dropping-particle":"","parse-names":false,"suffix":""},{"dropping-particle":"","family":"Doubek","given":"M.","non-dropping-particle":"","parse-names":false,"suffix":""},{"dropping-particle":"","family":"Fielding","given":"A.K.","non-dropping-particle":"","parse-names":false,"suffix":""},{"dropping-particle":"","family":"Foà","given":"R.","non-dropping-particle":"","parse-names":false,"suffix":""},{"dropping-particle":"","family":"Giebel","given":"S.","non-dropping-particle":"","parse-names":false,"suffix":""},{"dropping-particle":"","family":"Hoelzer","given":"D.","non-dropping-particle":"","parse-names":false,"suffix":""},{"dropping-particle":"","family":"Martinelli","given":"G.","non-dropping-particle":"","parse-names":false,"suffix":""},{"dropping-particle":"","family":"Meloni","given":"G.","non-dropping-particle":"","parse-names":false,"suffix":""},{"dropping-particle":"","family":"Delia Moicean","given":"A.","non-dropping-particle":"","parse-names":false,"suffix":""},{"dropping-particle":"","family":"Ottmann","given":"O.","non-dropping-particle":"","parse-names":false,"suffix":""},{"dropping-particle":"","family":"Piccaluga","given":"P.P.","non-dropping-particle":"","parse-names":false,"suffix":""},{"dropping-particle":"","family":"Ribera","given":"J.M.","non-dropping-particle":"","parse-names":false,"suffix":""},{"dropping-particle":"","family":"Rousselot","given":"P.","non-dropping-particle":"","parse-names":false,"suffix":""},{"dropping-particle":"","family":"Walewski","given":"J.","non-dropping-particle":"","parse-names":false,"suffix":""}],"container-title":"UNI-MED Verlag AG","id":"ITEM-4","issued":{"date-parts":[["2011"]]},"number-of-pages":"204","title":"Recommendations of the European Working Group for Adult ALL (EWALL)","type":"book"},"uris":["http://www.mendeley.com/documents/?uuid=aba58166-cd2b-4f70-bb6a-5fdd9e1b42de"]}],"mendeley":{"formattedCitation":"[1,2,4,5]","plainTextFormattedCitation":"[1,2,4,5]","previouslyFormattedCitation":"[1,2,4,5]"},"properties":{"noteIndex":0},"schema":"https://github.com/citation-style-language/schema/raw/master/csl-citation.json"}</w:instrText>
      </w:r>
      <w:r w:rsidR="00C23E10" w:rsidRPr="00002D28">
        <w:fldChar w:fldCharType="separate"/>
      </w:r>
      <w:r w:rsidR="00C23E10" w:rsidRPr="00002D28">
        <w:rPr>
          <w:noProof/>
        </w:rPr>
        <w:t>[1,2,4,5]</w:t>
      </w:r>
      <w:r w:rsidR="00C23E10" w:rsidRPr="00002D28">
        <w:fldChar w:fldCharType="end"/>
      </w:r>
      <w:r w:rsidR="00C23E10" w:rsidRPr="00002D28">
        <w:t>.</w:t>
      </w:r>
      <w:r w:rsidR="00C23E10" w:rsidRPr="00002D28">
        <w:rPr>
          <w:rFonts w:eastAsia="Arial Unicode MS"/>
          <w:i/>
          <w:color w:val="000000"/>
          <w:u w:color="000000"/>
        </w:rPr>
        <w:t xml:space="preserve"> </w:t>
      </w:r>
    </w:p>
    <w:p w14:paraId="7A9F47B0" w14:textId="77777777" w:rsidR="00555B7E" w:rsidRPr="00104A3D" w:rsidRDefault="00555B7E" w:rsidP="00AC7867">
      <w:pPr>
        <w:ind w:firstLine="709"/>
        <w:contextualSpacing/>
        <w:rPr>
          <w:b/>
          <w:color w:val="000000"/>
        </w:rPr>
      </w:pPr>
      <w:r w:rsidRPr="00002D28">
        <w:rPr>
          <w:b/>
          <w:color w:val="000000"/>
        </w:rPr>
        <w:t xml:space="preserve">Уровень убедительности рекомендаций – </w:t>
      </w:r>
      <w:r w:rsidR="00C23E10" w:rsidRPr="00002D28">
        <w:rPr>
          <w:b/>
          <w:color w:val="000000"/>
        </w:rPr>
        <w:t>С</w:t>
      </w:r>
      <w:r w:rsidRPr="00002D28">
        <w:rPr>
          <w:b/>
          <w:color w:val="000000"/>
        </w:rPr>
        <w:t xml:space="preserve"> (уровень достоверности доказательств – </w:t>
      </w:r>
      <w:r w:rsidR="00C23E10" w:rsidRPr="00002D28">
        <w:rPr>
          <w:b/>
          <w:color w:val="000000"/>
        </w:rPr>
        <w:t>5</w:t>
      </w:r>
      <w:r w:rsidRPr="00002D28">
        <w:rPr>
          <w:b/>
          <w:color w:val="000000"/>
        </w:rPr>
        <w:t>).</w:t>
      </w:r>
    </w:p>
    <w:p w14:paraId="4B8E18EF" w14:textId="77777777" w:rsidR="00555B7E" w:rsidRPr="00CE7A8F" w:rsidRDefault="00555B7E" w:rsidP="00CE7A8F">
      <w:pPr>
        <w:shd w:val="clear" w:color="auto" w:fill="FFFFFF"/>
        <w:ind w:firstLine="709"/>
        <w:contextualSpacing/>
      </w:pPr>
      <w:r>
        <w:rPr>
          <w:b/>
        </w:rPr>
        <w:t>Комментарии</w:t>
      </w:r>
      <w:r w:rsidRPr="00104A3D">
        <w:rPr>
          <w:b/>
        </w:rPr>
        <w:t>:</w:t>
      </w:r>
      <w:r>
        <w:t xml:space="preserve"> </w:t>
      </w:r>
      <w:r w:rsidRPr="00104A3D">
        <w:rPr>
          <w:i/>
        </w:rPr>
        <w:t>в рамках обще</w:t>
      </w:r>
      <w:r>
        <w:rPr>
          <w:i/>
        </w:rPr>
        <w:t>й программы ХТ</w:t>
      </w:r>
      <w:r w:rsidRPr="00104A3D">
        <w:rPr>
          <w:i/>
        </w:rPr>
        <w:t xml:space="preserve"> всем </w:t>
      </w:r>
      <w:r>
        <w:rPr>
          <w:i/>
        </w:rPr>
        <w:t>пациентам с</w:t>
      </w:r>
      <w:r w:rsidRPr="00104A3D">
        <w:rPr>
          <w:i/>
        </w:rPr>
        <w:t xml:space="preserve"> ОЛЛ необходима терапия поражения </w:t>
      </w:r>
      <w:r>
        <w:rPr>
          <w:i/>
        </w:rPr>
        <w:t>ЦНС.</w:t>
      </w:r>
      <w:r w:rsidRPr="00104A3D">
        <w:rPr>
          <w:i/>
        </w:rPr>
        <w:t xml:space="preserve"> В отсутствие профилактики поражения мозговых оболочек </w:t>
      </w:r>
      <w:r w:rsidRPr="00104A3D">
        <w:rPr>
          <w:i/>
        </w:rPr>
        <w:lastRenderedPageBreak/>
        <w:t xml:space="preserve">рецидивы в ЦНС в течение нескольких месяцев с момента регистрации </w:t>
      </w:r>
      <w:r>
        <w:rPr>
          <w:i/>
        </w:rPr>
        <w:t>ПР</w:t>
      </w:r>
      <w:r w:rsidRPr="00104A3D">
        <w:rPr>
          <w:i/>
        </w:rPr>
        <w:t xml:space="preserve"> возникают приблизительно у трети пациентов. Рецидив в ЦНС при ОЛЛ у взрослых характеризуется неблагоприятным прогнозом, поскольку за ним обычно следует гематологический рецидив. При этом подходы к лечению поражения ЦНС и его профилактике различаются и учитывают характеристики пациента, его возраст и другие прогностические факторы</w:t>
      </w:r>
      <w:r>
        <w:t>.</w:t>
      </w:r>
    </w:p>
    <w:p w14:paraId="255F552E" w14:textId="33E6A493" w:rsidR="00254823" w:rsidRPr="00DF2C85" w:rsidRDefault="00254823" w:rsidP="00FF4C81">
      <w:pPr>
        <w:numPr>
          <w:ilvl w:val="0"/>
          <w:numId w:val="19"/>
        </w:numPr>
        <w:contextualSpacing/>
        <w:rPr>
          <w:rFonts w:eastAsia="Arial Unicode MS"/>
          <w:i/>
          <w:color w:val="000000"/>
        </w:rPr>
      </w:pPr>
      <w:r w:rsidRPr="00617969">
        <w:rPr>
          <w:rFonts w:eastAsia="Arial Unicode MS"/>
          <w:b/>
          <w:color w:val="000000"/>
          <w:u w:color="000000"/>
        </w:rPr>
        <w:t>Рекомендуется</w:t>
      </w:r>
      <w:r w:rsidRPr="00617969">
        <w:rPr>
          <w:rFonts w:eastAsia="Arial Unicode MS"/>
          <w:color w:val="000000"/>
          <w:u w:color="000000"/>
        </w:rPr>
        <w:t xml:space="preserve"> </w:t>
      </w:r>
      <w:r>
        <w:rPr>
          <w:rFonts w:eastAsia="Arial Unicode MS"/>
          <w:color w:val="000000"/>
          <w:u w:color="000000"/>
        </w:rPr>
        <w:t xml:space="preserve">у всех </w:t>
      </w:r>
      <w:r w:rsidRPr="00617969">
        <w:rPr>
          <w:rFonts w:eastAsia="Arial Unicode MS"/>
          <w:color w:val="000000"/>
          <w:u w:color="000000"/>
        </w:rPr>
        <w:t xml:space="preserve">выделять и сохранять первичную ДНК или РНК из клеток </w:t>
      </w:r>
      <w:r w:rsidR="00C57A53">
        <w:rPr>
          <w:rFonts w:eastAsia="Arial Unicode MS"/>
          <w:color w:val="000000"/>
          <w:u w:color="000000"/>
        </w:rPr>
        <w:t xml:space="preserve">КМ </w:t>
      </w:r>
      <w:r w:rsidR="00EF50E6">
        <w:rPr>
          <w:szCs w:val="24"/>
        </w:rPr>
        <w:t>пациентов</w:t>
      </w:r>
      <w:r w:rsidR="007D16A8">
        <w:rPr>
          <w:rFonts w:eastAsia="Arial Unicode MS"/>
          <w:color w:val="000000"/>
          <w:u w:color="000000"/>
        </w:rPr>
        <w:t xml:space="preserve"> в биобанке</w:t>
      </w:r>
      <w:r w:rsidRPr="00617969">
        <w:rPr>
          <w:rFonts w:eastAsia="Arial Unicode MS"/>
          <w:color w:val="000000"/>
          <w:u w:color="000000"/>
        </w:rPr>
        <w:t xml:space="preserve"> или направлять материал на хранение в лабора</w:t>
      </w:r>
      <w:r w:rsidR="007D16A8">
        <w:rPr>
          <w:rFonts w:eastAsia="Arial Unicode MS"/>
          <w:color w:val="000000"/>
          <w:u w:color="000000"/>
        </w:rPr>
        <w:t>тории ф</w:t>
      </w:r>
      <w:r w:rsidR="00FF2B8C">
        <w:rPr>
          <w:rFonts w:eastAsia="Arial Unicode MS"/>
          <w:color w:val="000000"/>
          <w:u w:color="000000"/>
        </w:rPr>
        <w:t>едеральных ц</w:t>
      </w:r>
      <w:r w:rsidRPr="00617969">
        <w:rPr>
          <w:rFonts w:eastAsia="Arial Unicode MS"/>
          <w:color w:val="000000"/>
          <w:u w:color="000000"/>
        </w:rPr>
        <w:t>ентров</w:t>
      </w:r>
      <w:r w:rsidR="003B6B89" w:rsidRPr="003B6B89">
        <w:rPr>
          <w:rFonts w:eastAsia="Arial Unicode MS"/>
          <w:color w:val="000000"/>
          <w:u w:color="000000"/>
        </w:rPr>
        <w:t xml:space="preserve"> для возможности последующего выполнения молекулярных исследований</w:t>
      </w:r>
      <w:r w:rsidR="00FF2B8C">
        <w:rPr>
          <w:rFonts w:eastAsia="Arial Unicode MS"/>
          <w:color w:val="000000"/>
          <w:u w:color="000000"/>
        </w:rPr>
        <w:t xml:space="preserve"> </w:t>
      </w:r>
      <w:r w:rsidR="00914AB6">
        <w:rPr>
          <w:rFonts w:eastAsia="Arial Unicode MS"/>
          <w:color w:val="000000"/>
          <w:u w:color="000000"/>
        </w:rPr>
        <w:fldChar w:fldCharType="begin" w:fldLock="1"/>
      </w:r>
      <w:r w:rsidR="002466C9">
        <w:rPr>
          <w:rFonts w:eastAsia="Arial Unicode MS"/>
          <w:color w:val="000000"/>
          <w:u w:color="000000"/>
        </w:rPr>
        <w:instrText>ADDIN CSL_CITATION {"citationItems":[{"id":"ITEM-1","itemData":{"DOI":"10.1016/j.bmhimx.2017.03.007","ISSN":"16651146","abstract":"Acute lymphoblastic leukemia (ALL) affects the quality of life of many children in the world and particularly in Mexico, where a high incidence has been reported. With a proper financial investment and with well-organized institutions caring for those patients, together with solid platforms to perform high-throughput analyses, we propose the creation of a Mexican repository system of serum and cells from bone marrow and blood samples derived from tissues of pediatric patients with ALL diagnosis. This resource, in combination with omics technologies, particularly proteomics and metabolomics, would allow longitudinal studies, offering an opportunity to design and apply personalized ALL treatments. Importantly, it would accelerate the development of translational science and will lead us to further discoveries, including the identification of new biomarkers for the early detection of leukemia.","author":[{"dropping-particle":"","family":"Aguirre-Guillén","given":"William Alejandro","non-dropping-particle":"","parse-names":false,"suffix":""},{"dropping-particle":"","family":"Angeles-Floriano","given":"Tania","non-dropping-particle":"","parse-names":false,"suffix":""},{"dropping-particle":"","family":"López-Martínez","given":"Briceida","non-dropping-particle":"","parse-names":false,"suffix":""},{"dropping-particle":"","family":"Reyes-Morales","given":"Hortensia","non-dropping-particle":"","parse-names":false,"suffix":""},{"dropping-particle":"","family":"Zlotnik","given":"Albert","non-dropping-particle":"","parse-names":false,"suffix":""},{"dropping-particle":"","family":"Valle-Rios","given":"Ricardo","non-dropping-particle":"","parse-names":false,"suffix":""}],"container-title":"Boletin Medico del Hospital Infantil de Mexico","id":"ITEM-1","issue":"3","issued":{"date-parts":[["2017","5","1"]]},"page":"227-232","publisher":"Masson-Doyma Mexico, S.A.","title":"Omics techniques and biobanks to find new biomarkers for the early detection of acute lymphoblastic leukemia in middle-income countries: a perspective from Mexico","type":"article","volume":"74"},"uris":["http://www.mendeley.com/documents/?uuid=0b7de8a2-8574-3ee3-92e3-7eb05aa219c9"]}],"mendeley":{"formattedCitation":"[40]","plainTextFormattedCitation":"[40]","previouslyFormattedCitation":"[40]"},"properties":{"noteIndex":0},"schema":"https://github.com/citation-style-language/schema/raw/master/csl-citation.json"}</w:instrText>
      </w:r>
      <w:r w:rsidR="00914AB6">
        <w:rPr>
          <w:rFonts w:eastAsia="Arial Unicode MS"/>
          <w:color w:val="000000"/>
          <w:u w:color="000000"/>
        </w:rPr>
        <w:fldChar w:fldCharType="separate"/>
      </w:r>
      <w:r w:rsidR="00A66456" w:rsidRPr="00A66456">
        <w:rPr>
          <w:rFonts w:eastAsia="Arial Unicode MS"/>
          <w:noProof/>
          <w:color w:val="000000"/>
          <w:u w:color="000000"/>
        </w:rPr>
        <w:t>[40]</w:t>
      </w:r>
      <w:r w:rsidR="00914AB6">
        <w:rPr>
          <w:rFonts w:eastAsia="Arial Unicode MS"/>
          <w:color w:val="000000"/>
          <w:u w:color="000000"/>
        </w:rPr>
        <w:fldChar w:fldCharType="end"/>
      </w:r>
      <w:r w:rsidR="00914AB6" w:rsidRPr="003B6B89">
        <w:rPr>
          <w:rFonts w:eastAsia="Arial Unicode MS"/>
          <w:color w:val="000000"/>
          <w:u w:color="000000"/>
        </w:rPr>
        <w:t>.</w:t>
      </w:r>
    </w:p>
    <w:p w14:paraId="55537CB5" w14:textId="77777777" w:rsidR="00254823" w:rsidRPr="00617969" w:rsidRDefault="00254823" w:rsidP="00B3408C">
      <w:pPr>
        <w:ind w:firstLine="709"/>
        <w:contextualSpacing/>
        <w:rPr>
          <w:color w:val="000000"/>
        </w:rPr>
      </w:pPr>
      <w:r w:rsidRPr="00617969">
        <w:rPr>
          <w:b/>
          <w:color w:val="000000"/>
        </w:rPr>
        <w:t>Уровень убедительности рекомендаций</w:t>
      </w:r>
      <w:r w:rsidR="007D16A8">
        <w:rPr>
          <w:b/>
          <w:color w:val="000000"/>
        </w:rPr>
        <w:t xml:space="preserve"> –</w:t>
      </w:r>
      <w:r w:rsidRPr="00617969">
        <w:rPr>
          <w:b/>
          <w:color w:val="000000"/>
        </w:rPr>
        <w:t xml:space="preserve"> </w:t>
      </w:r>
      <w:r w:rsidR="00870863">
        <w:rPr>
          <w:b/>
          <w:color w:val="000000"/>
        </w:rPr>
        <w:t>С</w:t>
      </w:r>
      <w:r w:rsidRPr="00617969">
        <w:rPr>
          <w:b/>
          <w:color w:val="000000"/>
        </w:rPr>
        <w:t xml:space="preserve"> (уровень </w:t>
      </w:r>
      <w:r>
        <w:rPr>
          <w:b/>
          <w:color w:val="000000"/>
        </w:rPr>
        <w:t xml:space="preserve">достоверности доказательств – </w:t>
      </w:r>
      <w:r w:rsidR="00870863">
        <w:rPr>
          <w:b/>
          <w:color w:val="000000"/>
        </w:rPr>
        <w:t>5</w:t>
      </w:r>
      <w:r w:rsidR="00B3408C">
        <w:rPr>
          <w:b/>
          <w:color w:val="000000"/>
        </w:rPr>
        <w:t>)</w:t>
      </w:r>
      <w:r w:rsidR="007D16A8">
        <w:rPr>
          <w:b/>
          <w:color w:val="000000"/>
        </w:rPr>
        <w:t>.</w:t>
      </w:r>
    </w:p>
    <w:p w14:paraId="7EE41207" w14:textId="77777777" w:rsidR="00254823" w:rsidRDefault="00254823" w:rsidP="00B3408C">
      <w:pPr>
        <w:ind w:firstLine="709"/>
        <w:contextualSpacing/>
        <w:rPr>
          <w:i/>
          <w:color w:val="000000"/>
        </w:rPr>
      </w:pPr>
      <w:r w:rsidRPr="00617969">
        <w:rPr>
          <w:b/>
          <w:color w:val="000000"/>
        </w:rPr>
        <w:t>Комментарии:</w:t>
      </w:r>
      <w:r w:rsidRPr="00617969">
        <w:rPr>
          <w:rFonts w:ascii="Arial Unicode MS" w:eastAsia="Arial Unicode MS" w:hAnsi="Arial Unicode MS" w:cs="Arial Unicode MS"/>
          <w:color w:val="000000"/>
          <w:sz w:val="20"/>
          <w:u w:color="000000"/>
        </w:rPr>
        <w:t xml:space="preserve"> </w:t>
      </w:r>
      <w:r w:rsidR="00733758">
        <w:rPr>
          <w:i/>
          <w:color w:val="000000"/>
        </w:rPr>
        <w:t>с</w:t>
      </w:r>
      <w:r w:rsidR="00733758" w:rsidRPr="00617969">
        <w:rPr>
          <w:i/>
          <w:color w:val="000000"/>
        </w:rPr>
        <w:t xml:space="preserve">охранение </w:t>
      </w:r>
      <w:r w:rsidRPr="00617969">
        <w:rPr>
          <w:i/>
          <w:color w:val="000000"/>
        </w:rPr>
        <w:t>первичного биологического материала (ДНК, выделенная из костно</w:t>
      </w:r>
      <w:r w:rsidR="007D16A8">
        <w:rPr>
          <w:i/>
          <w:color w:val="000000"/>
        </w:rPr>
        <w:t>-</w:t>
      </w:r>
      <w:r w:rsidRPr="00617969">
        <w:rPr>
          <w:i/>
          <w:color w:val="000000"/>
        </w:rPr>
        <w:t>мозговых клеток, или замороженные клетки) для выполнения в будущем молекулярных исследований, позволяющих</w:t>
      </w:r>
      <w:r>
        <w:rPr>
          <w:i/>
          <w:color w:val="000000"/>
        </w:rPr>
        <w:t xml:space="preserve"> четко определить группы риска.</w:t>
      </w:r>
    </w:p>
    <w:p w14:paraId="0E94946D" w14:textId="65C54DF0" w:rsidR="00254823" w:rsidRPr="004430B5" w:rsidRDefault="00254823" w:rsidP="00FF4C81">
      <w:pPr>
        <w:pStyle w:val="Default"/>
        <w:numPr>
          <w:ilvl w:val="0"/>
          <w:numId w:val="19"/>
        </w:numPr>
        <w:tabs>
          <w:tab w:val="left" w:pos="709"/>
        </w:tabs>
        <w:spacing w:before="100" w:beforeAutospacing="1" w:line="360" w:lineRule="auto"/>
        <w:jc w:val="both"/>
      </w:pPr>
      <w:r w:rsidRPr="001848B6">
        <w:rPr>
          <w:b/>
        </w:rPr>
        <w:t>Рекомендуется</w:t>
      </w:r>
      <w:r>
        <w:t xml:space="preserve"> </w:t>
      </w:r>
      <w:r w:rsidR="003B6B89">
        <w:t>всем пациентам, у которых при стернальной пункции не получен диагностический материал</w:t>
      </w:r>
      <w:r w:rsidR="00F729AF">
        <w:t xml:space="preserve"> </w:t>
      </w:r>
      <w:r w:rsidR="00F729AF" w:rsidRPr="00CA080A">
        <w:t>(</w:t>
      </w:r>
      <w:r w:rsidR="00CA080A" w:rsidRPr="00CA080A">
        <w:t>так называемый «сухой пунктат</w:t>
      </w:r>
      <w:r w:rsidR="00F729AF" w:rsidRPr="00CA080A">
        <w:t>»)</w:t>
      </w:r>
      <w:r w:rsidR="003B6B89" w:rsidRPr="00CA080A">
        <w:t>,</w:t>
      </w:r>
      <w:r w:rsidR="003B6B89">
        <w:t xml:space="preserve"> </w:t>
      </w:r>
      <w:r w:rsidR="003B6B89" w:rsidRPr="009E5A08">
        <w:rPr>
          <w:bCs/>
        </w:rPr>
        <w:t xml:space="preserve">получение гистологического препарата </w:t>
      </w:r>
      <w:r w:rsidR="003B6B89">
        <w:rPr>
          <w:bCs/>
        </w:rPr>
        <w:t>КМ</w:t>
      </w:r>
      <w:r w:rsidR="003B6B89" w:rsidRPr="009E5A08">
        <w:rPr>
          <w:b/>
        </w:rPr>
        <w:t xml:space="preserve"> </w:t>
      </w:r>
      <w:r w:rsidR="003B6B89">
        <w:t xml:space="preserve">(трепанобиопсия) и </w:t>
      </w:r>
      <w:r w:rsidR="003B6B89" w:rsidRPr="000C4826">
        <w:t>цитологическое и</w:t>
      </w:r>
      <w:r w:rsidR="00E50532">
        <w:t xml:space="preserve"> иммуноцитохимическое</w:t>
      </w:r>
      <w:r w:rsidR="003B6B89" w:rsidRPr="000C4826">
        <w:t xml:space="preserve"> исследование отпечатков трепанобиоптата </w:t>
      </w:r>
      <w:r w:rsidR="00C57A53">
        <w:t xml:space="preserve">КМ </w:t>
      </w:r>
      <w:r w:rsidR="003B6B89" w:rsidRPr="002538FD">
        <w:t xml:space="preserve">с морфологическим и </w:t>
      </w:r>
      <w:r w:rsidR="003B6B89" w:rsidRPr="003B6B89">
        <w:rPr>
          <w:rStyle w:val="affc"/>
          <w:i w:val="0"/>
          <w:iCs w:val="0"/>
        </w:rPr>
        <w:t>цитохимическим исследованиями бластных клеток</w:t>
      </w:r>
      <w:r w:rsidR="003B6B89" w:rsidRPr="002538FD">
        <w:t xml:space="preserve"> </w:t>
      </w:r>
      <w:r>
        <w:t>с целью верификации точного диагноза</w:t>
      </w:r>
      <w:r w:rsidR="00E50532">
        <w:t xml:space="preserve"> </w:t>
      </w:r>
      <w:r w:rsidR="00914AB6">
        <w:fldChar w:fldCharType="begin" w:fldLock="1"/>
      </w:r>
      <w:r w:rsidR="002466C9">
        <w:instrText>ADDIN CSL_CITATION {"citationItems":[{"id":"ITEM-1","itemData":{"DOI":"10.1043/1543-2165(2008)132[462:ALIASD]2.0.CO;2","ISSN":"1543-2165","PMID":"18318587","abstract":"CONTEXT The diagnosis and classification of leukemia is becoming increasingly complex. Current classification schemes incorporate morphologic features, immunophenotype, molecular genetics, and clinical data to specifically categorize leukemias into various subtypes. Although sophisticated methodologies are frequently used to detect characteristic features conferring diagnostic, prognostic, or therapeutic implications, a thorough microscopic examination remains essential to the pathologic evaluation. Detailed blast immunophenotyping can be performed with lineage- and maturation-specific markers. Although no one marker is pathognomonic for one malignancy, a well-chosen panel of antibodies can efficiently aid the diagnosis and classification of acute leukemias. OBJECTIVE To review important developments from recent and historical literature. General immunohistochemical staining patterns of the most commonly encountered lymphoid and myeloid leukemias are emphasized. The goal is to discuss the immunostaining of acute leukemias when flow cytometry and genetic studies are not available. DATA SOURCES A comprehensive review was performed of the relevant literature indexed in PubMed (National Library of Medicine) and referenced medical texts. Additional references were identified in the reviewed manuscripts. CONCLUSIONS Immunophenotyping of blasts using an immunohistochemical approach to lymphoid and myeloid malignancies is presented. Initial and subsequent additional antibody panels are suggested to confirm or exclude each possibility in the differential diagnosis and a general strategy for diagnostic evaluation is discussed. Although the use of immunohistochemistry alone is limited and evaluation by flow cytometry and genetic studies is highly recommended, unavoidable situations requiring analysis of formalin-fixed tissue specimens arise. When performed in an optimized laboratory and combined with a careful morphologic examination, the immunohistochemical approach represents a useful laboratory tool for classifying various leukemias.","author":[{"dropping-particle":"","family":"Olsen","given":"Randall J","non-dropping-particle":"","parse-names":false,"suffix":""},{"dropping-particle":"","family":"Chang","given":"Chung-Che","non-dropping-particle":"","parse-names":false,"suffix":""},{"dropping-particle":"","family":"Herrick","given":"Jennifer L","non-dropping-particle":"","parse-names":false,"suffix":""},{"dropping-particle":"","family":"Zu","given":"Youli","non-dropping-particle":"","parse-names":false,"suffix":""},{"dropping-particle":"","family":"Ehsan","given":"Aamir","non-dropping-particle":"","parse-names":false,"suffix":""}],"container-title":"Archives of pathology &amp; laboratory medicine","id":"ITEM-1","issue":"3","issued":{"date-parts":[["2008","3"]]},"page":"462-75","title":"Acute leukemia immunohistochemistry: a systematic diagnostic approach.","type":"article-journal","volume":"132"},"uris":["http://www.mendeley.com/documents/?uuid=6b519f46-d4a4-3637-9b82-0c1128748f5f"]},{"id":"ITEM-2","itemData":{"DOI":"10.1136/mp.53.2.83","ISSN":"13668714","abstract":"BACKGROUND Although numerous antibodies suitable for use on paraffin wax embedded sections are available for the subtyping of acute leukaemia (acute myelogenous leukaemia (AML) and acute lymphoblastic leukaemia (ALL)) in bone marrow biopsy sections, unequivocal identification of the cell line involved is sometimes impossible. METHODS Forty eight formalin fixed, paraffin wax embedded bone marrow biopsy specimens that had been decalcified in EDTA were investigated, including 42 thought to exhibit ALL on the basis of bone marrow smears. Five specimens exhibited AML and one biphenotypic leukaemia, as diagnosed immunohistochemically in bone marrow biopsies. Immunostaining was performed with antibodies against relatively specific B and T cell antigens. The blasts were investigated for rearrangements of the immunoglobulin heavy chain (IgH) and the T cell antigen receptor (TCR) genes. RESULTS Amplifiable DNA was obtained from all 48 specimens. An IgH gene rearrangement was detected in 20 of 23 c-ALL specimens. Four of seven T cell ALL (T-ALL) specimens had a TCR-gamma gene rearrangement, and the one B cell ALL (B-ALL) specimen exhibited a clonal IgH gene. Three of four cases of unclassifiable ALL could be assigned to the B cell lineage on the basis of gene rearrangement analysis. Seven cases originally diagnosed in smears as ALL were rediagnosed as AML (n = 5) or biphenotypic leukaemia (n = 2) because of immunohistochemical reactivity for myeloperoxidase or lysozyme. Two of these AML cases and two of three cases of biphenotypic leukaemia exhibited a monoclonal IgH gene rearrangement. CONCLUSIONS Acute leukaemia can be subtyped in bone marrow sections with a limited panel of antibodies suitable for use on paraffin wax embedded sections (against CD3, CD10, CD20, CD79a, myeloperoxidase, and lysozyme). In patients with ALL and a diagnostically equivocal immunophenotype, gene rearrangement analysis might indicate whether the B or T cell lineage is involved.","author":[{"dropping-particle":"","family":"Kröber","given":"S. M.","non-dropping-particle":"","parse-names":false,"suffix":""},{"dropping-particle":"","family":"Greschniok","given":"A.","non-dropping-particle":"","parse-names":false,"suffix":""},{"dropping-particle":"","family":"Kaiserling","given":"E.","non-dropping-particle":"","parse-names":false,"suffix":""},{"dropping-particle":"","family":"Horny","given":"H. P.","non-dropping-particle":"","parse-names":false,"suffix":""}],"container-title":"Journal of Clinical Pathology - Molecular Pathology","id":"ITEM-2","issue":"2","issued":{"date-parts":[["2000"]]},"page":"83-87","title":"Acute lymphoblastic leukaemia: Correlation between morphological/immunohistochemical and molecular biological findings in bone marrow biopsy specimens","type":"article-journal","volume":"53"},"uris":["http://www.mendeley.com/documents/?uuid=e9c4d8d1-617f-3c49-a5da-867b2689602e"]}],"mendeley":{"formattedCitation":"[29,30]","plainTextFormattedCitation":"[29,30]","previouslyFormattedCitation":"[29,30]"},"properties":{"noteIndex":0},"schema":"https://github.com/citation-style-language/schema/raw/master/csl-citation.json"}</w:instrText>
      </w:r>
      <w:r w:rsidR="00914AB6">
        <w:fldChar w:fldCharType="separate"/>
      </w:r>
      <w:r w:rsidR="00A66456" w:rsidRPr="00A66456">
        <w:rPr>
          <w:noProof/>
        </w:rPr>
        <w:t>[29,30]</w:t>
      </w:r>
      <w:r w:rsidR="00914AB6">
        <w:fldChar w:fldCharType="end"/>
      </w:r>
      <w:r w:rsidR="00914AB6">
        <w:t>.</w:t>
      </w:r>
    </w:p>
    <w:p w14:paraId="750ED311" w14:textId="77777777" w:rsidR="003C6F54" w:rsidRPr="00E11058" w:rsidRDefault="00254823" w:rsidP="00CE7A8F">
      <w:pPr>
        <w:ind w:firstLine="709"/>
        <w:contextualSpacing/>
      </w:pPr>
      <w:r w:rsidRPr="00CE7A8F">
        <w:rPr>
          <w:b/>
          <w:color w:val="000000"/>
        </w:rPr>
        <w:t>Уровень убедительности рекомендаций</w:t>
      </w:r>
      <w:r w:rsidRPr="00CE7A8F" w:rsidDel="00670C55">
        <w:rPr>
          <w:b/>
          <w:color w:val="000000"/>
        </w:rPr>
        <w:t xml:space="preserve"> </w:t>
      </w:r>
      <w:r w:rsidR="00E50532" w:rsidRPr="00CE7A8F">
        <w:rPr>
          <w:b/>
          <w:color w:val="000000"/>
        </w:rPr>
        <w:t xml:space="preserve">– </w:t>
      </w:r>
      <w:r w:rsidR="00A4164C">
        <w:rPr>
          <w:b/>
          <w:color w:val="000000"/>
        </w:rPr>
        <w:t>С</w:t>
      </w:r>
      <w:r w:rsidR="00A4164C" w:rsidRPr="00CE7A8F">
        <w:rPr>
          <w:b/>
          <w:color w:val="000000"/>
        </w:rPr>
        <w:t xml:space="preserve"> </w:t>
      </w:r>
      <w:r w:rsidRPr="00CE7A8F">
        <w:rPr>
          <w:b/>
          <w:color w:val="000000"/>
        </w:rPr>
        <w:t xml:space="preserve">(уровень достоверности доказательств – </w:t>
      </w:r>
      <w:r w:rsidR="00CA4373">
        <w:rPr>
          <w:b/>
          <w:color w:val="000000"/>
        </w:rPr>
        <w:t>5</w:t>
      </w:r>
      <w:r w:rsidR="00B3408C" w:rsidRPr="00CE7A8F">
        <w:rPr>
          <w:b/>
          <w:color w:val="000000"/>
        </w:rPr>
        <w:t>)</w:t>
      </w:r>
      <w:r w:rsidR="00E50532" w:rsidRPr="00CE7A8F">
        <w:rPr>
          <w:b/>
          <w:color w:val="000000"/>
        </w:rPr>
        <w:t>.</w:t>
      </w:r>
    </w:p>
    <w:p w14:paraId="54C4193A" w14:textId="77777777" w:rsidR="00254823" w:rsidRDefault="00254823" w:rsidP="00FF4C81">
      <w:pPr>
        <w:pStyle w:val="Default"/>
        <w:numPr>
          <w:ilvl w:val="0"/>
          <w:numId w:val="19"/>
        </w:numPr>
        <w:tabs>
          <w:tab w:val="left" w:pos="709"/>
        </w:tabs>
        <w:spacing w:line="360" w:lineRule="auto"/>
        <w:jc w:val="both"/>
      </w:pPr>
      <w:r w:rsidRPr="00E11058">
        <w:rPr>
          <w:b/>
        </w:rPr>
        <w:t xml:space="preserve">Не рекомендуется </w:t>
      </w:r>
      <w:r>
        <w:t>выполнять пункционную</w:t>
      </w:r>
      <w:r w:rsidR="003B6B89">
        <w:t xml:space="preserve"> (аспирационную)</w:t>
      </w:r>
      <w:r>
        <w:t xml:space="preserve"> биопсию очага поражения (опухолевого экстрамедуллярного образования) в связи с малой информативностью исследований данного материала</w:t>
      </w:r>
      <w:r w:rsidR="00E50532">
        <w:t xml:space="preserve"> </w:t>
      </w:r>
      <w:r w:rsidR="00914AB6">
        <w:fldChar w:fldCharType="begin" w:fldLock="1"/>
      </w:r>
      <w:r w:rsidR="00914AB6">
        <w:instrText>ADDIN CSL_CITATION {"citationItems":[{"id":"ITEM-1","itemData":{"id":"ITEM-1","issued":{"date-parts":[["2012"]]},"number-of-pages":"1056","title":"Программное лечение заболеваний системы крови: Сборник алгоритмов диагностики и протоколов лечения заболеваний системы крови. Под ред. В.Г. Савченко","type":"book"},"uris":["http://www.mendeley.com/documents/?uuid=36484a90-27ae-40a9-a194-b0461fb47d9d"]},{"id":"ITEM-2","itemData":{"author":[{"dropping-particle":"","family":"Савченко","given":"Валерий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доп.","id":"ITEM-2","issued":{"date-parts":[["2007"]]},"page":"409-502","title":"Острые лейкозы","type":"chapter"},"uris":["http://www.mendeley.com/documents/?uuid=08f85f58-ddaa-48eb-b937-65d15d14b213"]}],"mendeley":{"formattedCitation":"[1,2]","plainTextFormattedCitation":"[1,2]","previouslyFormattedCitation":"[1,2]"},"properties":{"noteIndex":0},"schema":"https://github.com/citation-style-language/schema/raw/master/csl-citation.json"}</w:instrText>
      </w:r>
      <w:r w:rsidR="00914AB6">
        <w:fldChar w:fldCharType="separate"/>
      </w:r>
      <w:r w:rsidR="00914AB6" w:rsidRPr="003B6B89">
        <w:rPr>
          <w:noProof/>
        </w:rPr>
        <w:t>[1,2]</w:t>
      </w:r>
      <w:r w:rsidR="00914AB6">
        <w:fldChar w:fldCharType="end"/>
      </w:r>
    </w:p>
    <w:p w14:paraId="0208AF33" w14:textId="77777777" w:rsidR="00254823" w:rsidRDefault="00254823" w:rsidP="001B3DB0">
      <w:pPr>
        <w:ind w:firstLine="709"/>
        <w:contextualSpacing/>
        <w:rPr>
          <w:b/>
        </w:rPr>
      </w:pPr>
      <w:r w:rsidRPr="00617969">
        <w:rPr>
          <w:b/>
        </w:rPr>
        <w:t>Уровень убедительности рекомендаций</w:t>
      </w:r>
      <w:r w:rsidRPr="00617969" w:rsidDel="00670C55">
        <w:rPr>
          <w:b/>
        </w:rPr>
        <w:t xml:space="preserve"> </w:t>
      </w:r>
      <w:r w:rsidR="00E50532">
        <w:rPr>
          <w:b/>
        </w:rPr>
        <w:t xml:space="preserve">– </w:t>
      </w:r>
      <w:r w:rsidR="003B6B89">
        <w:rPr>
          <w:b/>
        </w:rPr>
        <w:t>С</w:t>
      </w:r>
      <w:r w:rsidRPr="00617969">
        <w:rPr>
          <w:b/>
        </w:rPr>
        <w:t xml:space="preserve"> (уровень </w:t>
      </w:r>
      <w:r w:rsidRPr="00617969">
        <w:rPr>
          <w:b/>
          <w:spacing w:val="-1"/>
        </w:rPr>
        <w:t xml:space="preserve">достоверности доказательств </w:t>
      </w:r>
      <w:r>
        <w:rPr>
          <w:b/>
        </w:rPr>
        <w:t>– 5</w:t>
      </w:r>
      <w:r w:rsidR="00B3408C">
        <w:rPr>
          <w:b/>
        </w:rPr>
        <w:t>)</w:t>
      </w:r>
      <w:r w:rsidR="00E50532">
        <w:rPr>
          <w:b/>
        </w:rPr>
        <w:t>.</w:t>
      </w:r>
    </w:p>
    <w:p w14:paraId="27C85AF2" w14:textId="77777777" w:rsidR="003A0549" w:rsidRPr="00101320" w:rsidRDefault="00206DB4" w:rsidP="008C1767">
      <w:pPr>
        <w:pStyle w:val="afff7"/>
        <w:numPr>
          <w:ilvl w:val="0"/>
          <w:numId w:val="68"/>
        </w:numPr>
        <w:spacing w:before="0" w:beforeAutospacing="0" w:after="0" w:afterAutospacing="0"/>
        <w:contextualSpacing/>
        <w:jc w:val="both"/>
        <w:rPr>
          <w:b/>
          <w:bCs/>
          <w:color w:val="000000" w:themeColor="text1"/>
        </w:rPr>
      </w:pPr>
      <w:r w:rsidRPr="00101320">
        <w:rPr>
          <w:rStyle w:val="aff5"/>
          <w:color w:val="000000" w:themeColor="text1"/>
        </w:rPr>
        <w:t xml:space="preserve">Рекомендуется </w:t>
      </w:r>
      <w:r w:rsidRPr="00101320">
        <w:rPr>
          <w:rStyle w:val="aff5"/>
          <w:b w:val="0"/>
          <w:color w:val="000000" w:themeColor="text1"/>
        </w:rPr>
        <w:t>всем пациентам с ОЛЛ при проведении пункции любого органа и ткани и/или аспирации биологического материала выполнение</w:t>
      </w:r>
      <w:r w:rsidRPr="00101320">
        <w:rPr>
          <w:rStyle w:val="aff5"/>
          <w:color w:val="000000" w:themeColor="text1"/>
        </w:rPr>
        <w:t xml:space="preserve"> </w:t>
      </w:r>
      <w:r w:rsidRPr="00101320">
        <w:rPr>
          <w:color w:val="000000" w:themeColor="text1"/>
        </w:rPr>
        <w:t>исследований пунктата/аспирата для дифференциальной диагностики специфического лейкозного и иного типа поражения</w:t>
      </w:r>
      <w:r w:rsidR="003A0549" w:rsidRPr="00101320">
        <w:rPr>
          <w:color w:val="000000" w:themeColor="text1"/>
        </w:rPr>
        <w:t xml:space="preserve"> </w:t>
      </w:r>
      <w:r w:rsidR="003A0549" w:rsidRPr="00101320">
        <w:rPr>
          <w:color w:val="000000" w:themeColor="text1"/>
        </w:rPr>
        <w:fldChar w:fldCharType="begin" w:fldLock="1"/>
      </w:r>
      <w:r w:rsidR="003A0549" w:rsidRPr="00101320">
        <w:rPr>
          <w:color w:val="000000" w:themeColor="text1"/>
        </w:rPr>
        <w:instrText>ADDIN CSL_CITATION {"citationItems":[{"id":"ITEM-1","itemData":{"id":"ITEM-1","issued":{"date-parts":[["2012"]]},"number-of-pages":"1056","title":"Программное лечение заболеваний системы крови: Сборник алгоритмов диагностики и протоколов лечения заболеваний системы крови. Под ред. В.Г. Савченко","type":"book"},"uris":["http://www.mendeley.com/documents/?uuid=36484a90-27ae-40a9-a194-b0461fb47d9d"]},{"id":"ITEM-2","itemData":{"author":[{"dropping-particle":"","family":"Савченко","given":"Валерий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доп.","id":"ITEM-2","issued":{"date-parts":[["2007"]]},"page":"409-502","title":"Острые лейкозы","type":"chapter"},"uris":["http://www.mendeley.com/documents/?uuid=08f85f58-ddaa-48eb-b937-65d15d14b213"]}],"mendeley":{"formattedCitation":"[1,2]","plainTextFormattedCitation":"[1,2]","previouslyFormattedCitation":"[1,2]"},"properties":{"noteIndex":0},"schema":"https://github.com/citation-style-language/schema/raw/master/csl-citation.json"}</w:instrText>
      </w:r>
      <w:r w:rsidR="003A0549" w:rsidRPr="00101320">
        <w:rPr>
          <w:color w:val="000000" w:themeColor="text1"/>
        </w:rPr>
        <w:fldChar w:fldCharType="separate"/>
      </w:r>
      <w:r w:rsidR="003A0549" w:rsidRPr="00101320">
        <w:rPr>
          <w:noProof/>
          <w:color w:val="000000" w:themeColor="text1"/>
        </w:rPr>
        <w:t>[1,2]</w:t>
      </w:r>
      <w:r w:rsidR="003A0549" w:rsidRPr="00101320">
        <w:rPr>
          <w:color w:val="000000" w:themeColor="text1"/>
        </w:rPr>
        <w:fldChar w:fldCharType="end"/>
      </w:r>
      <w:r w:rsidRPr="00101320">
        <w:rPr>
          <w:color w:val="000000" w:themeColor="text1"/>
        </w:rPr>
        <w:t xml:space="preserve"> </w:t>
      </w:r>
    </w:p>
    <w:p w14:paraId="5346F0B7" w14:textId="77777777" w:rsidR="003A0549" w:rsidRPr="00101320" w:rsidRDefault="00206DB4" w:rsidP="008C1767">
      <w:pPr>
        <w:pStyle w:val="afff7"/>
        <w:numPr>
          <w:ilvl w:val="1"/>
          <w:numId w:val="68"/>
        </w:numPr>
        <w:spacing w:before="0" w:beforeAutospacing="0" w:after="0" w:afterAutospacing="0"/>
        <w:contextualSpacing/>
        <w:jc w:val="both"/>
        <w:rPr>
          <w:b/>
          <w:bCs/>
          <w:color w:val="000000" w:themeColor="text1"/>
        </w:rPr>
      </w:pPr>
      <w:r w:rsidRPr="00101320">
        <w:rPr>
          <w:color w:val="000000" w:themeColor="text1"/>
        </w:rPr>
        <w:t>Цитологическое исследование и просмотр цитологического препарата</w:t>
      </w:r>
    </w:p>
    <w:p w14:paraId="55150640" w14:textId="77777777" w:rsidR="003A0549" w:rsidRPr="00101320" w:rsidRDefault="00206DB4" w:rsidP="008C1767">
      <w:pPr>
        <w:pStyle w:val="afff7"/>
        <w:numPr>
          <w:ilvl w:val="1"/>
          <w:numId w:val="68"/>
        </w:numPr>
        <w:spacing w:before="0" w:beforeAutospacing="0" w:after="0" w:afterAutospacing="0"/>
        <w:contextualSpacing/>
        <w:jc w:val="both"/>
        <w:rPr>
          <w:b/>
          <w:bCs/>
          <w:color w:val="000000" w:themeColor="text1"/>
        </w:rPr>
      </w:pPr>
      <w:r w:rsidRPr="00101320">
        <w:rPr>
          <w:color w:val="000000" w:themeColor="text1"/>
        </w:rPr>
        <w:t xml:space="preserve">Иммуноцитохимическое исследование биологического материала (включая по показаниям цитохимическое исследование препарата крови; </w:t>
      </w:r>
      <w:r w:rsidRPr="00101320">
        <w:rPr>
          <w:color w:val="000000" w:themeColor="text1"/>
        </w:rPr>
        <w:lastRenderedPageBreak/>
        <w:t>иммуноцитохимическое исследование с моноклональными антителами материала на антигены дифференцировки лимфоидных клеток (CD); иммуноцитохимическое исследование с моноклональными антителами материала из различных тканей и органов для выявления метастазов опухоли (онкомаркеры-цитокератины, nm 23, SCC, РЭА и другие).</w:t>
      </w:r>
    </w:p>
    <w:p w14:paraId="42FFA495" w14:textId="77777777" w:rsidR="003A0549" w:rsidRPr="00101320" w:rsidRDefault="00206DB4" w:rsidP="008C1767">
      <w:pPr>
        <w:pStyle w:val="afff7"/>
        <w:numPr>
          <w:ilvl w:val="1"/>
          <w:numId w:val="68"/>
        </w:numPr>
        <w:spacing w:before="0" w:beforeAutospacing="0" w:after="0" w:afterAutospacing="0"/>
        <w:contextualSpacing/>
        <w:jc w:val="both"/>
        <w:rPr>
          <w:b/>
          <w:bCs/>
          <w:color w:val="000000" w:themeColor="text1"/>
        </w:rPr>
      </w:pPr>
      <w:r w:rsidRPr="00101320">
        <w:rPr>
          <w:color w:val="000000" w:themeColor="text1"/>
        </w:rPr>
        <w:t>Иммунофенотипирование биологического материала для выявления маркеров гемобластозов</w:t>
      </w:r>
    </w:p>
    <w:p w14:paraId="4548D793" w14:textId="77777777" w:rsidR="003A0549" w:rsidRPr="00101320" w:rsidRDefault="00206DB4" w:rsidP="008C1767">
      <w:pPr>
        <w:pStyle w:val="afff7"/>
        <w:numPr>
          <w:ilvl w:val="1"/>
          <w:numId w:val="68"/>
        </w:numPr>
        <w:spacing w:before="0" w:beforeAutospacing="0" w:after="0" w:afterAutospacing="0"/>
        <w:contextualSpacing/>
        <w:jc w:val="both"/>
        <w:rPr>
          <w:b/>
          <w:bCs/>
          <w:color w:val="000000" w:themeColor="text1"/>
        </w:rPr>
      </w:pPr>
      <w:r w:rsidRPr="00101320">
        <w:rPr>
          <w:color w:val="000000" w:themeColor="text1"/>
        </w:rPr>
        <w:t>Исследование биологического материала методом проточной цитофлуориметрии</w:t>
      </w:r>
    </w:p>
    <w:p w14:paraId="2972EB1D" w14:textId="42049805" w:rsidR="00206DB4" w:rsidRPr="00101320" w:rsidRDefault="00206DB4" w:rsidP="008C1767">
      <w:pPr>
        <w:pStyle w:val="afff7"/>
        <w:numPr>
          <w:ilvl w:val="1"/>
          <w:numId w:val="68"/>
        </w:numPr>
        <w:spacing w:before="0" w:beforeAutospacing="0" w:after="0" w:afterAutospacing="0"/>
        <w:contextualSpacing/>
        <w:jc w:val="both"/>
        <w:rPr>
          <w:b/>
          <w:bCs/>
          <w:color w:val="000000" w:themeColor="text1"/>
        </w:rPr>
      </w:pPr>
      <w:r w:rsidRPr="00101320">
        <w:rPr>
          <w:color w:val="000000" w:themeColor="text1"/>
        </w:rPr>
        <w:t>Исследование популяций лимфоцитов</w:t>
      </w:r>
    </w:p>
    <w:p w14:paraId="38B28889" w14:textId="77777777" w:rsidR="00206DB4" w:rsidRPr="003A0549" w:rsidRDefault="00206DB4" w:rsidP="003A0549">
      <w:pPr>
        <w:ind w:firstLine="709"/>
        <w:contextualSpacing/>
        <w:rPr>
          <w:b/>
        </w:rPr>
      </w:pPr>
      <w:r w:rsidRPr="003A0549">
        <w:rPr>
          <w:b/>
        </w:rPr>
        <w:t xml:space="preserve">Уровень убедительности рекомендации – C (уровень достоверности доказательств – 5) </w:t>
      </w:r>
    </w:p>
    <w:p w14:paraId="342CB0CF" w14:textId="77777777" w:rsidR="00206DB4" w:rsidRPr="003A0549" w:rsidRDefault="00206DB4" w:rsidP="003A0549">
      <w:pPr>
        <w:pStyle w:val="afff7"/>
        <w:tabs>
          <w:tab w:val="left" w:pos="2753"/>
        </w:tabs>
        <w:spacing w:before="0" w:beforeAutospacing="0" w:after="0" w:afterAutospacing="0"/>
        <w:ind w:firstLine="709"/>
        <w:contextualSpacing/>
        <w:jc w:val="both"/>
        <w:rPr>
          <w:i/>
          <w:color w:val="000000" w:themeColor="text1"/>
        </w:rPr>
      </w:pPr>
      <w:r w:rsidRPr="003A0549">
        <w:rPr>
          <w:rStyle w:val="aff5"/>
          <w:i/>
          <w:color w:val="000000" w:themeColor="text1"/>
        </w:rPr>
        <w:t>Комментарии:</w:t>
      </w:r>
      <w:r w:rsidRPr="003A0549">
        <w:rPr>
          <w:i/>
          <w:color w:val="000000" w:themeColor="text1"/>
        </w:rPr>
        <w:t xml:space="preserve"> наиболее часто выполняется пункция плевральной полости с цитологическим исследованием плевральной жидкости, бронхо-альвеолярный лаваж с цитологическим исследованием лаважной жидкости, спинномозговая пункция с цитологическим исследованием клеток спинномозговой жидкости, однако по показаниям может выполняться пункция любого доступного органа и ткани с последующим цитологическим осследованием, в том числе – микропрепарата тканей полости рта, перитонеальной жидкости, микропрепарата кожи, препарата тканей лимфоузла, пунктатов опухолей, опухолеподобных образований костей, тканей печени, тканей толстой кишки, аспирата из полости матки, тканей влагалища, тканей матки, тканей предстательной железы, тканей яичка, почки, мочевого пузыря, пунктатов и отпечатков биоптатов опухолей забрюшинного пространства.</w:t>
      </w:r>
    </w:p>
    <w:p w14:paraId="47B2D35B" w14:textId="77777777" w:rsidR="00101320" w:rsidRDefault="00206DB4" w:rsidP="008C1767">
      <w:pPr>
        <w:pStyle w:val="afff7"/>
        <w:numPr>
          <w:ilvl w:val="0"/>
          <w:numId w:val="68"/>
        </w:numPr>
        <w:spacing w:before="0" w:beforeAutospacing="0" w:after="0" w:afterAutospacing="0"/>
        <w:contextualSpacing/>
        <w:jc w:val="both"/>
        <w:rPr>
          <w:b/>
          <w:bCs/>
          <w:color w:val="000000" w:themeColor="text1"/>
        </w:rPr>
      </w:pPr>
      <w:r w:rsidRPr="00101320">
        <w:rPr>
          <w:rStyle w:val="aff5"/>
          <w:color w:val="000000" w:themeColor="text1"/>
        </w:rPr>
        <w:t xml:space="preserve">Рекомендуется </w:t>
      </w:r>
      <w:r w:rsidRPr="00101320">
        <w:rPr>
          <w:rStyle w:val="aff5"/>
          <w:b w:val="0"/>
          <w:color w:val="000000" w:themeColor="text1"/>
        </w:rPr>
        <w:t>всем пациентам с ОЛЛ при проведении пункции с получением эксудата (жидкого биологического материала) выполнение дополнительных</w:t>
      </w:r>
      <w:r w:rsidRPr="00101320">
        <w:rPr>
          <w:rStyle w:val="aff5"/>
          <w:color w:val="000000" w:themeColor="text1"/>
        </w:rPr>
        <w:t xml:space="preserve"> </w:t>
      </w:r>
      <w:r w:rsidRPr="00101320">
        <w:rPr>
          <w:color w:val="000000" w:themeColor="text1"/>
        </w:rPr>
        <w:t>исследований для дифференциальной диагностики специфического лейкозного, инфекционного и иного типа поражения</w:t>
      </w:r>
      <w:r w:rsidR="00101320" w:rsidRPr="00101320">
        <w:rPr>
          <w:color w:val="000000" w:themeColor="text1"/>
        </w:rPr>
        <w:t xml:space="preserve"> </w:t>
      </w:r>
      <w:r w:rsidR="00101320" w:rsidRPr="00101320">
        <w:rPr>
          <w:color w:val="000000" w:themeColor="text1"/>
        </w:rPr>
        <w:fldChar w:fldCharType="begin" w:fldLock="1"/>
      </w:r>
      <w:r w:rsidR="00101320" w:rsidRPr="00101320">
        <w:rPr>
          <w:color w:val="000000" w:themeColor="text1"/>
        </w:rPr>
        <w:instrText>ADDIN CSL_CITATION {"citationItems":[{"id":"ITEM-1","itemData":{"id":"ITEM-1","issued":{"date-parts":[["2012"]]},"number-of-pages":"1056","title":"Программное лечение заболеваний системы крови: Сборник алгоритмов диагностики и протоколов лечения заболеваний системы крови. Под ред. В.Г. Савченко","type":"book"},"uris":["http://www.mendeley.com/documents/?uuid=36484a90-27ae-40a9-a194-b0461fb47d9d"]},{"id":"ITEM-2","itemData":{"author":[{"dropping-particle":"","family":"Савченко","given":"Валерий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доп.","id":"ITEM-2","issued":{"date-parts":[["2007"]]},"page":"409-502","title":"Острые лейкозы","type":"chapter"},"uris":["http://www.mendeley.com/documents/?uuid=08f85f58-ddaa-48eb-b937-65d15d14b213"]}],"mendeley":{"formattedCitation":"[1,2]","plainTextFormattedCitation":"[1,2]","previouslyFormattedCitation":"[1,2]"},"properties":{"noteIndex":0},"schema":"https://github.com/citation-style-language/schema/raw/master/csl-citation.json"}</w:instrText>
      </w:r>
      <w:r w:rsidR="00101320" w:rsidRPr="00101320">
        <w:rPr>
          <w:color w:val="000000" w:themeColor="text1"/>
        </w:rPr>
        <w:fldChar w:fldCharType="separate"/>
      </w:r>
      <w:r w:rsidR="00101320" w:rsidRPr="00101320">
        <w:rPr>
          <w:noProof/>
          <w:color w:val="000000" w:themeColor="text1"/>
        </w:rPr>
        <w:t>[1,2]</w:t>
      </w:r>
      <w:r w:rsidR="00101320" w:rsidRPr="00101320">
        <w:rPr>
          <w:color w:val="000000" w:themeColor="text1"/>
        </w:rPr>
        <w:fldChar w:fldCharType="end"/>
      </w:r>
      <w:r w:rsidRPr="00101320">
        <w:rPr>
          <w:color w:val="000000" w:themeColor="text1"/>
        </w:rPr>
        <w:t xml:space="preserve">: </w:t>
      </w:r>
    </w:p>
    <w:p w14:paraId="52BD695E" w14:textId="77777777" w:rsidR="00101320" w:rsidRPr="00101320" w:rsidRDefault="00206DB4" w:rsidP="008C1767">
      <w:pPr>
        <w:pStyle w:val="afff7"/>
        <w:numPr>
          <w:ilvl w:val="1"/>
          <w:numId w:val="68"/>
        </w:numPr>
        <w:spacing w:before="0" w:beforeAutospacing="0" w:after="0" w:afterAutospacing="0"/>
        <w:contextualSpacing/>
        <w:jc w:val="both"/>
        <w:rPr>
          <w:bCs/>
          <w:color w:val="000000" w:themeColor="text1"/>
        </w:rPr>
      </w:pPr>
      <w:r w:rsidRPr="00101320">
        <w:rPr>
          <w:bCs/>
          <w:color w:val="000000" w:themeColor="text1"/>
        </w:rPr>
        <w:t>При исследовании спинномозговой жидкости (ликвора):</w:t>
      </w:r>
    </w:p>
    <w:p w14:paraId="3B5B6517" w14:textId="77777777" w:rsidR="00101320" w:rsidRPr="00101320" w:rsidRDefault="00206DB4" w:rsidP="008C1767">
      <w:pPr>
        <w:pStyle w:val="afff7"/>
        <w:numPr>
          <w:ilvl w:val="2"/>
          <w:numId w:val="68"/>
        </w:numPr>
        <w:spacing w:before="0" w:beforeAutospacing="0" w:after="0" w:afterAutospacing="0"/>
        <w:contextualSpacing/>
        <w:jc w:val="both"/>
        <w:rPr>
          <w:bCs/>
          <w:color w:val="000000" w:themeColor="text1"/>
        </w:rPr>
      </w:pPr>
      <w:r w:rsidRPr="00101320">
        <w:rPr>
          <w:color w:val="000000" w:themeColor="text1"/>
        </w:rPr>
        <w:t>Микроскопическое исследование спинномозговой жидкости, подсчет клеток в счетной камере (определение цитоза)</w:t>
      </w:r>
    </w:p>
    <w:p w14:paraId="079CDEF8" w14:textId="77777777" w:rsidR="00101320" w:rsidRPr="00101320" w:rsidRDefault="00206DB4" w:rsidP="008C1767">
      <w:pPr>
        <w:pStyle w:val="afff7"/>
        <w:numPr>
          <w:ilvl w:val="2"/>
          <w:numId w:val="68"/>
        </w:numPr>
        <w:spacing w:before="0" w:beforeAutospacing="0" w:after="0" w:afterAutospacing="0"/>
        <w:contextualSpacing/>
        <w:jc w:val="both"/>
        <w:rPr>
          <w:bCs/>
          <w:color w:val="000000" w:themeColor="text1"/>
        </w:rPr>
      </w:pPr>
      <w:r w:rsidRPr="00101320">
        <w:rPr>
          <w:color w:val="000000" w:themeColor="text1"/>
        </w:rPr>
        <w:t xml:space="preserve">Определение крови в спинномозговой жидкости </w:t>
      </w:r>
    </w:p>
    <w:p w14:paraId="3FCF5D4C" w14:textId="77777777" w:rsidR="00101320" w:rsidRPr="00101320" w:rsidRDefault="00206DB4" w:rsidP="008C1767">
      <w:pPr>
        <w:pStyle w:val="afff7"/>
        <w:numPr>
          <w:ilvl w:val="2"/>
          <w:numId w:val="68"/>
        </w:numPr>
        <w:spacing w:before="0" w:beforeAutospacing="0" w:after="0" w:afterAutospacing="0"/>
        <w:contextualSpacing/>
        <w:jc w:val="both"/>
        <w:rPr>
          <w:bCs/>
          <w:color w:val="000000" w:themeColor="text1"/>
        </w:rPr>
      </w:pPr>
      <w:r w:rsidRPr="00101320">
        <w:rPr>
          <w:color w:val="000000" w:themeColor="text1"/>
        </w:rPr>
        <w:t>Исследование уровня глюкозы в спинномозговой жидкости</w:t>
      </w:r>
    </w:p>
    <w:p w14:paraId="21C62485" w14:textId="77777777" w:rsidR="00101320" w:rsidRPr="00101320" w:rsidRDefault="00206DB4" w:rsidP="008C1767">
      <w:pPr>
        <w:pStyle w:val="afff7"/>
        <w:numPr>
          <w:ilvl w:val="2"/>
          <w:numId w:val="68"/>
        </w:numPr>
        <w:spacing w:before="0" w:beforeAutospacing="0" w:after="0" w:afterAutospacing="0"/>
        <w:contextualSpacing/>
        <w:jc w:val="both"/>
        <w:rPr>
          <w:bCs/>
          <w:color w:val="000000" w:themeColor="text1"/>
        </w:rPr>
      </w:pPr>
      <w:r w:rsidRPr="00101320">
        <w:rPr>
          <w:color w:val="000000" w:themeColor="text1"/>
        </w:rPr>
        <w:t>Исследование уровня белка в спинномозговой жидкости</w:t>
      </w:r>
    </w:p>
    <w:p w14:paraId="66A207BB" w14:textId="77777777" w:rsidR="00101320" w:rsidRPr="00101320" w:rsidRDefault="00206DB4" w:rsidP="008C1767">
      <w:pPr>
        <w:pStyle w:val="afff7"/>
        <w:numPr>
          <w:ilvl w:val="2"/>
          <w:numId w:val="68"/>
        </w:numPr>
        <w:spacing w:before="0" w:beforeAutospacing="0" w:after="0" w:afterAutospacing="0"/>
        <w:contextualSpacing/>
        <w:jc w:val="both"/>
        <w:rPr>
          <w:bCs/>
          <w:color w:val="000000" w:themeColor="text1"/>
        </w:rPr>
      </w:pPr>
      <w:r w:rsidRPr="00101320">
        <w:rPr>
          <w:color w:val="000000" w:themeColor="text1"/>
        </w:rPr>
        <w:t>Тесты на аномальный белок в спинномозговой жидкости</w:t>
      </w:r>
    </w:p>
    <w:p w14:paraId="0B1B82A5" w14:textId="77777777" w:rsidR="00101320" w:rsidRPr="00101320" w:rsidRDefault="00206DB4" w:rsidP="008C1767">
      <w:pPr>
        <w:pStyle w:val="afff7"/>
        <w:numPr>
          <w:ilvl w:val="2"/>
          <w:numId w:val="68"/>
        </w:numPr>
        <w:spacing w:before="0" w:beforeAutospacing="0" w:after="0" w:afterAutospacing="0"/>
        <w:contextualSpacing/>
        <w:jc w:val="both"/>
        <w:rPr>
          <w:bCs/>
          <w:color w:val="000000" w:themeColor="text1"/>
        </w:rPr>
      </w:pPr>
      <w:r w:rsidRPr="00101320">
        <w:rPr>
          <w:color w:val="000000" w:themeColor="text1"/>
        </w:rPr>
        <w:lastRenderedPageBreak/>
        <w:t>Определение концентрации водородных ионов (pH) в спинномозговой жидкости</w:t>
      </w:r>
    </w:p>
    <w:p w14:paraId="26825FE4" w14:textId="77777777" w:rsidR="00101320" w:rsidRPr="00101320" w:rsidRDefault="00206DB4" w:rsidP="008C1767">
      <w:pPr>
        <w:pStyle w:val="afff7"/>
        <w:numPr>
          <w:ilvl w:val="2"/>
          <w:numId w:val="68"/>
        </w:numPr>
        <w:spacing w:before="0" w:beforeAutospacing="0" w:after="0" w:afterAutospacing="0"/>
        <w:contextualSpacing/>
        <w:jc w:val="both"/>
        <w:rPr>
          <w:bCs/>
          <w:color w:val="000000" w:themeColor="text1"/>
        </w:rPr>
      </w:pPr>
      <w:r w:rsidRPr="00101320">
        <w:rPr>
          <w:color w:val="000000" w:themeColor="text1"/>
        </w:rPr>
        <w:t>Исследование уровня хлоридов в спинномозговой жидкости</w:t>
      </w:r>
    </w:p>
    <w:p w14:paraId="628E9B60" w14:textId="77777777" w:rsidR="00101320" w:rsidRPr="00101320" w:rsidRDefault="00206DB4" w:rsidP="008C1767">
      <w:pPr>
        <w:pStyle w:val="afff7"/>
        <w:numPr>
          <w:ilvl w:val="2"/>
          <w:numId w:val="68"/>
        </w:numPr>
        <w:spacing w:before="0" w:beforeAutospacing="0" w:after="0" w:afterAutospacing="0"/>
        <w:contextualSpacing/>
        <w:jc w:val="both"/>
        <w:rPr>
          <w:bCs/>
          <w:color w:val="000000" w:themeColor="text1"/>
        </w:rPr>
      </w:pPr>
      <w:r w:rsidRPr="00101320">
        <w:rPr>
          <w:color w:val="000000" w:themeColor="text1"/>
        </w:rPr>
        <w:t>Серологическое исследование ликвора</w:t>
      </w:r>
    </w:p>
    <w:p w14:paraId="38B06B7D" w14:textId="77777777" w:rsidR="00101320" w:rsidRPr="0066655F" w:rsidRDefault="00206DB4" w:rsidP="008C1767">
      <w:pPr>
        <w:pStyle w:val="afff7"/>
        <w:numPr>
          <w:ilvl w:val="1"/>
          <w:numId w:val="68"/>
        </w:numPr>
        <w:spacing w:before="0" w:beforeAutospacing="0" w:after="0" w:afterAutospacing="0"/>
        <w:contextualSpacing/>
        <w:jc w:val="both"/>
        <w:rPr>
          <w:bCs/>
          <w:color w:val="000000" w:themeColor="text1"/>
        </w:rPr>
      </w:pPr>
      <w:r w:rsidRPr="0066655F">
        <w:rPr>
          <w:bCs/>
          <w:color w:val="000000" w:themeColor="text1"/>
        </w:rPr>
        <w:t>При исследовании плевральной жидкости</w:t>
      </w:r>
    </w:p>
    <w:p w14:paraId="3D6B7F56" w14:textId="77777777" w:rsidR="00101320" w:rsidRPr="00101320" w:rsidRDefault="00206DB4" w:rsidP="008C1767">
      <w:pPr>
        <w:pStyle w:val="afff7"/>
        <w:numPr>
          <w:ilvl w:val="2"/>
          <w:numId w:val="68"/>
        </w:numPr>
        <w:spacing w:before="0" w:beforeAutospacing="0" w:after="0" w:afterAutospacing="0"/>
        <w:contextualSpacing/>
        <w:jc w:val="both"/>
        <w:rPr>
          <w:bCs/>
          <w:color w:val="000000" w:themeColor="text1"/>
        </w:rPr>
      </w:pPr>
      <w:r w:rsidRPr="00101320">
        <w:rPr>
          <w:color w:val="000000" w:themeColor="text1"/>
        </w:rPr>
        <w:t>Микроскопическое исследование нативного и окрашенного препарата плевральной жидкости</w:t>
      </w:r>
    </w:p>
    <w:p w14:paraId="7A1DB732" w14:textId="77777777" w:rsidR="00101320" w:rsidRPr="00101320" w:rsidRDefault="00206DB4" w:rsidP="008C1767">
      <w:pPr>
        <w:pStyle w:val="afff7"/>
        <w:numPr>
          <w:ilvl w:val="2"/>
          <w:numId w:val="68"/>
        </w:numPr>
        <w:spacing w:before="0" w:beforeAutospacing="0" w:after="0" w:afterAutospacing="0"/>
        <w:contextualSpacing/>
        <w:jc w:val="both"/>
        <w:rPr>
          <w:bCs/>
          <w:color w:val="000000" w:themeColor="text1"/>
        </w:rPr>
      </w:pPr>
      <w:r w:rsidRPr="00101320">
        <w:rPr>
          <w:color w:val="000000" w:themeColor="text1"/>
        </w:rPr>
        <w:t>Исследование уровня белка в плевральной жидкости</w:t>
      </w:r>
    </w:p>
    <w:p w14:paraId="2E6CA0D3" w14:textId="77777777" w:rsidR="00101320" w:rsidRPr="00101320" w:rsidRDefault="00206DB4" w:rsidP="008C1767">
      <w:pPr>
        <w:pStyle w:val="afff7"/>
        <w:numPr>
          <w:ilvl w:val="2"/>
          <w:numId w:val="68"/>
        </w:numPr>
        <w:spacing w:before="0" w:beforeAutospacing="0" w:after="0" w:afterAutospacing="0"/>
        <w:contextualSpacing/>
        <w:jc w:val="both"/>
        <w:rPr>
          <w:bCs/>
          <w:color w:val="000000" w:themeColor="text1"/>
        </w:rPr>
      </w:pPr>
      <w:r w:rsidRPr="00101320">
        <w:rPr>
          <w:color w:val="000000" w:themeColor="text1"/>
        </w:rPr>
        <w:t>Микробиологическое (культуральное) исследование плевральной жидкости</w:t>
      </w:r>
    </w:p>
    <w:p w14:paraId="1E177B59" w14:textId="77777777" w:rsidR="00101320" w:rsidRPr="0066655F" w:rsidRDefault="00206DB4" w:rsidP="008C1767">
      <w:pPr>
        <w:pStyle w:val="afff7"/>
        <w:numPr>
          <w:ilvl w:val="1"/>
          <w:numId w:val="68"/>
        </w:numPr>
        <w:spacing w:before="0" w:beforeAutospacing="0" w:after="0" w:afterAutospacing="0"/>
        <w:contextualSpacing/>
        <w:jc w:val="both"/>
        <w:rPr>
          <w:bCs/>
          <w:color w:val="000000" w:themeColor="text1"/>
        </w:rPr>
      </w:pPr>
      <w:r w:rsidRPr="0066655F">
        <w:rPr>
          <w:bCs/>
          <w:color w:val="000000" w:themeColor="text1"/>
        </w:rPr>
        <w:t>При исследовании лаважной или асцитической жидкости</w:t>
      </w:r>
    </w:p>
    <w:p w14:paraId="62DFD7DA" w14:textId="77777777" w:rsidR="00101320" w:rsidRPr="00101320" w:rsidRDefault="00206DB4" w:rsidP="008C1767">
      <w:pPr>
        <w:pStyle w:val="afff7"/>
        <w:numPr>
          <w:ilvl w:val="2"/>
          <w:numId w:val="68"/>
        </w:numPr>
        <w:spacing w:before="0" w:beforeAutospacing="0" w:after="0" w:afterAutospacing="0"/>
        <w:contextualSpacing/>
        <w:jc w:val="both"/>
        <w:rPr>
          <w:bCs/>
          <w:color w:val="000000" w:themeColor="text1"/>
        </w:rPr>
      </w:pPr>
      <w:r w:rsidRPr="00101320">
        <w:rPr>
          <w:color w:val="000000" w:themeColor="text1"/>
        </w:rPr>
        <w:t>Микроскопическое исследование лаважной жидкости</w:t>
      </w:r>
    </w:p>
    <w:p w14:paraId="56467FD0" w14:textId="1022447E" w:rsidR="00101320" w:rsidRPr="00101320" w:rsidRDefault="00206DB4" w:rsidP="008C1767">
      <w:pPr>
        <w:pStyle w:val="afff7"/>
        <w:numPr>
          <w:ilvl w:val="2"/>
          <w:numId w:val="68"/>
        </w:numPr>
        <w:spacing w:before="0" w:beforeAutospacing="0" w:after="0" w:afterAutospacing="0"/>
        <w:contextualSpacing/>
        <w:jc w:val="both"/>
        <w:rPr>
          <w:bCs/>
          <w:color w:val="000000" w:themeColor="text1"/>
        </w:rPr>
      </w:pPr>
      <w:r w:rsidRPr="00101320">
        <w:rPr>
          <w:color w:val="000000" w:themeColor="text1"/>
        </w:rPr>
        <w:t>Микробиологическое (культуральное) исследование бронхоальвеолярной жидкости на различные</w:t>
      </w:r>
      <w:r w:rsidR="00101320" w:rsidRPr="00101320">
        <w:rPr>
          <w:color w:val="000000" w:themeColor="text1"/>
        </w:rPr>
        <w:t xml:space="preserve"> </w:t>
      </w:r>
      <w:r w:rsidRPr="00101320">
        <w:rPr>
          <w:color w:val="000000" w:themeColor="text1"/>
        </w:rPr>
        <w:t>бактерии, грибы, вирусы.</w:t>
      </w:r>
    </w:p>
    <w:p w14:paraId="79221F82" w14:textId="77777777" w:rsidR="00101320" w:rsidRPr="00101320" w:rsidRDefault="00206DB4" w:rsidP="008C1767">
      <w:pPr>
        <w:pStyle w:val="afff7"/>
        <w:numPr>
          <w:ilvl w:val="2"/>
          <w:numId w:val="68"/>
        </w:numPr>
        <w:spacing w:before="0" w:beforeAutospacing="0" w:after="0" w:afterAutospacing="0"/>
        <w:contextualSpacing/>
        <w:jc w:val="both"/>
        <w:rPr>
          <w:bCs/>
          <w:color w:val="000000" w:themeColor="text1"/>
        </w:rPr>
      </w:pPr>
      <w:r w:rsidRPr="00101320">
        <w:rPr>
          <w:color w:val="000000" w:themeColor="text1"/>
        </w:rPr>
        <w:t>Молекулярно-биологическое исследование бронхоальвеолярной лаважной жидкости на различные бактерии, грибы, вирусы</w:t>
      </w:r>
    </w:p>
    <w:p w14:paraId="090E7CC5" w14:textId="79EFA1E1" w:rsidR="00206DB4" w:rsidRPr="00101320" w:rsidRDefault="00206DB4" w:rsidP="008C1767">
      <w:pPr>
        <w:pStyle w:val="afff7"/>
        <w:numPr>
          <w:ilvl w:val="2"/>
          <w:numId w:val="68"/>
        </w:numPr>
        <w:spacing w:before="0" w:beforeAutospacing="0" w:after="0" w:afterAutospacing="0"/>
        <w:contextualSpacing/>
        <w:jc w:val="both"/>
        <w:rPr>
          <w:bCs/>
          <w:color w:val="000000" w:themeColor="text1"/>
        </w:rPr>
      </w:pPr>
      <w:r w:rsidRPr="00101320">
        <w:rPr>
          <w:color w:val="000000" w:themeColor="text1"/>
        </w:rPr>
        <w:t>Микроскопическое исследование перитонеальной (асцитической) жидкости</w:t>
      </w:r>
    </w:p>
    <w:p w14:paraId="5FDC8628" w14:textId="77777777" w:rsidR="00101320" w:rsidRPr="00101320" w:rsidRDefault="00101320" w:rsidP="00101320">
      <w:pPr>
        <w:ind w:firstLine="709"/>
        <w:rPr>
          <w:b/>
        </w:rPr>
      </w:pPr>
      <w:r w:rsidRPr="00101320">
        <w:rPr>
          <w:b/>
        </w:rPr>
        <w:t xml:space="preserve">Уровень убедительности рекомендации – C (уровень достоверности доказательств – 5) </w:t>
      </w:r>
    </w:p>
    <w:p w14:paraId="12250D62" w14:textId="1558602E" w:rsidR="00206DB4" w:rsidRPr="00101320" w:rsidRDefault="00206DB4" w:rsidP="008C1767">
      <w:pPr>
        <w:pStyle w:val="afff7"/>
        <w:numPr>
          <w:ilvl w:val="0"/>
          <w:numId w:val="68"/>
        </w:numPr>
        <w:spacing w:before="0" w:beforeAutospacing="0" w:after="0" w:afterAutospacing="0"/>
        <w:contextualSpacing/>
        <w:jc w:val="both"/>
        <w:rPr>
          <w:rStyle w:val="aff5"/>
          <w:color w:val="000000" w:themeColor="text1"/>
        </w:rPr>
      </w:pPr>
      <w:r w:rsidRPr="00101320">
        <w:rPr>
          <w:rStyle w:val="aff5"/>
          <w:color w:val="000000" w:themeColor="text1"/>
        </w:rPr>
        <w:t xml:space="preserve">Рекомендуется </w:t>
      </w:r>
      <w:r w:rsidRPr="00101320">
        <w:rPr>
          <w:rStyle w:val="aff5"/>
          <w:b w:val="0"/>
          <w:color w:val="000000" w:themeColor="text1"/>
        </w:rPr>
        <w:t>всем пациентам с ОЛЛ при проведении биопсии любого органа и ткани выполнение м</w:t>
      </w:r>
      <w:r w:rsidRPr="00101320">
        <w:rPr>
          <w:color w:val="000000" w:themeColor="text1"/>
        </w:rPr>
        <w:t>акроскопического исследования удаленного операционного материала, патолого-анатомического исследования биопсийного (операционного) материала биоптата, в том числе, с применением иммуногистохимических методов, для дифференциальной диагностики специфического лейкозного поражения и иного типа поражения биопсированного органа, ткани</w:t>
      </w:r>
      <w:r w:rsidR="00101320" w:rsidRPr="00101320">
        <w:rPr>
          <w:color w:val="000000" w:themeColor="text1"/>
        </w:rPr>
        <w:t xml:space="preserve"> </w:t>
      </w:r>
      <w:r w:rsidR="00101320" w:rsidRPr="00101320">
        <w:rPr>
          <w:color w:val="000000" w:themeColor="text1"/>
        </w:rPr>
        <w:fldChar w:fldCharType="begin" w:fldLock="1"/>
      </w:r>
      <w:r w:rsidR="00101320" w:rsidRPr="00101320">
        <w:rPr>
          <w:color w:val="000000" w:themeColor="text1"/>
        </w:rPr>
        <w:instrText>ADDIN CSL_CITATION {"citationItems":[{"id":"ITEM-1","itemData":{"id":"ITEM-1","issued":{"date-parts":[["2012"]]},"number-of-pages":"1056","title":"Программное лечение заболеваний системы крови: Сборник алгоритмов диагностики и протоколов лечения заболеваний системы крови. Под ред. В.Г. Савченко","type":"book"},"uris":["http://www.mendeley.com/documents/?uuid=36484a90-27ae-40a9-a194-b0461fb47d9d"]},{"id":"ITEM-2","itemData":{"author":[{"dropping-particle":"","family":"Савченко","given":"Валерий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доп.","id":"ITEM-2","issued":{"date-parts":[["2007"]]},"page":"409-502","title":"Острые лейкозы","type":"chapter"},"uris":["http://www.mendeley.com/documents/?uuid=08f85f58-ddaa-48eb-b937-65d15d14b213"]}],"mendeley":{"formattedCitation":"[1,2]","plainTextFormattedCitation":"[1,2]","previouslyFormattedCitation":"[1,2]"},"properties":{"noteIndex":0},"schema":"https://github.com/citation-style-language/schema/raw/master/csl-citation.json"}</w:instrText>
      </w:r>
      <w:r w:rsidR="00101320" w:rsidRPr="00101320">
        <w:rPr>
          <w:color w:val="000000" w:themeColor="text1"/>
        </w:rPr>
        <w:fldChar w:fldCharType="separate"/>
      </w:r>
      <w:r w:rsidR="00101320" w:rsidRPr="00101320">
        <w:rPr>
          <w:noProof/>
          <w:color w:val="000000" w:themeColor="text1"/>
        </w:rPr>
        <w:t>[1,2]</w:t>
      </w:r>
      <w:r w:rsidR="00101320" w:rsidRPr="00101320">
        <w:rPr>
          <w:color w:val="000000" w:themeColor="text1"/>
        </w:rPr>
        <w:fldChar w:fldCharType="end"/>
      </w:r>
      <w:r w:rsidR="00101320" w:rsidRPr="00101320">
        <w:rPr>
          <w:color w:val="000000" w:themeColor="text1"/>
        </w:rPr>
        <w:t>.</w:t>
      </w:r>
    </w:p>
    <w:p w14:paraId="327F2871" w14:textId="77777777" w:rsidR="00206DB4" w:rsidRPr="00101320" w:rsidRDefault="00206DB4" w:rsidP="00101320">
      <w:pPr>
        <w:pStyle w:val="afff7"/>
        <w:spacing w:before="0" w:beforeAutospacing="0" w:after="0" w:afterAutospacing="0"/>
        <w:ind w:firstLine="709"/>
        <w:contextualSpacing/>
        <w:jc w:val="both"/>
        <w:rPr>
          <w:rStyle w:val="aff5"/>
          <w:color w:val="000000" w:themeColor="text1"/>
        </w:rPr>
      </w:pPr>
      <w:r w:rsidRPr="00101320">
        <w:rPr>
          <w:rStyle w:val="aff5"/>
          <w:color w:val="000000" w:themeColor="text1"/>
        </w:rPr>
        <w:t xml:space="preserve">Уровень убедительности рекомендации – </w:t>
      </w:r>
      <w:r w:rsidRPr="00101320">
        <w:rPr>
          <w:rStyle w:val="aff5"/>
          <w:color w:val="000000" w:themeColor="text1"/>
          <w:lang w:val="en-US"/>
        </w:rPr>
        <w:t>C</w:t>
      </w:r>
      <w:r w:rsidRPr="00101320">
        <w:rPr>
          <w:rStyle w:val="aff5"/>
          <w:color w:val="000000" w:themeColor="text1"/>
        </w:rPr>
        <w:t xml:space="preserve"> (уровень достоверности доказательств – 5) </w:t>
      </w:r>
    </w:p>
    <w:p w14:paraId="533F4799" w14:textId="77777777" w:rsidR="00206DB4" w:rsidRPr="00101320" w:rsidRDefault="00206DB4" w:rsidP="00101320">
      <w:pPr>
        <w:pStyle w:val="afff7"/>
        <w:spacing w:before="0" w:beforeAutospacing="0" w:after="0" w:afterAutospacing="0"/>
        <w:ind w:firstLine="709"/>
        <w:contextualSpacing/>
        <w:jc w:val="both"/>
        <w:rPr>
          <w:i/>
          <w:color w:val="000000" w:themeColor="text1"/>
        </w:rPr>
      </w:pPr>
      <w:r w:rsidRPr="00101320">
        <w:rPr>
          <w:rStyle w:val="aff5"/>
          <w:color w:val="000000" w:themeColor="text1"/>
        </w:rPr>
        <w:t>Комментарии:</w:t>
      </w:r>
      <w:r w:rsidRPr="00101320">
        <w:rPr>
          <w:i/>
          <w:color w:val="000000" w:themeColor="text1"/>
        </w:rPr>
        <w:t xml:space="preserve"> наиболее часто выполняется биопсия очага поражения кожи, костного мозга (трепанобиопсия), лимфоузла. Однако по показаниям может выполняться биопсия любого органа и ткани, в том числе, слизистой полости рта, слизистой оболочки полости носа, тканей легкого, опухоли средостения, селезенки, печени, пищевода, желудка, толстой кишки, молочной железы, кости, женских половых органов, предстательной </w:t>
      </w:r>
      <w:r w:rsidRPr="00101320">
        <w:rPr>
          <w:i/>
          <w:color w:val="000000" w:themeColor="text1"/>
        </w:rPr>
        <w:lastRenderedPageBreak/>
        <w:t>железы, мужских половых органов, мочевого пузыря, почки, тканей забрюшинного пространства.</w:t>
      </w:r>
    </w:p>
    <w:p w14:paraId="3DAA9C89" w14:textId="2169BCFD" w:rsidR="00206DB4" w:rsidRPr="00101320" w:rsidRDefault="00206DB4" w:rsidP="008C1767">
      <w:pPr>
        <w:pStyle w:val="34"/>
        <w:numPr>
          <w:ilvl w:val="0"/>
          <w:numId w:val="68"/>
        </w:numPr>
        <w:spacing w:before="0"/>
        <w:rPr>
          <w:b/>
          <w:bCs/>
          <w:color w:val="000000" w:themeColor="text1"/>
          <w:lang w:val="ru-RU"/>
        </w:rPr>
      </w:pPr>
      <w:r w:rsidRPr="00101320">
        <w:rPr>
          <w:rStyle w:val="aff5"/>
          <w:color w:val="000000" w:themeColor="text1"/>
        </w:rPr>
        <w:t xml:space="preserve">Рекомендуется </w:t>
      </w:r>
      <w:r w:rsidRPr="00101320">
        <w:rPr>
          <w:rStyle w:val="aff5"/>
          <w:b w:val="0"/>
          <w:color w:val="000000" w:themeColor="text1"/>
        </w:rPr>
        <w:t>всем пациентам</w:t>
      </w:r>
      <w:r w:rsidRPr="00101320">
        <w:rPr>
          <w:b/>
          <w:color w:val="000000" w:themeColor="text1"/>
        </w:rPr>
        <w:t xml:space="preserve"> </w:t>
      </w:r>
      <w:r w:rsidRPr="00101320">
        <w:rPr>
          <w:rStyle w:val="aff5"/>
          <w:b w:val="0"/>
          <w:color w:val="000000" w:themeColor="text1"/>
          <w:lang w:val="ru-RU"/>
        </w:rPr>
        <w:t xml:space="preserve">с </w:t>
      </w:r>
      <w:r w:rsidRPr="00101320">
        <w:rPr>
          <w:rStyle w:val="aff5"/>
          <w:b w:val="0"/>
          <w:color w:val="000000" w:themeColor="text1"/>
        </w:rPr>
        <w:t>О</w:t>
      </w:r>
      <w:r w:rsidRPr="00101320">
        <w:rPr>
          <w:rStyle w:val="aff5"/>
          <w:b w:val="0"/>
          <w:color w:val="000000" w:themeColor="text1"/>
          <w:lang w:val="ru-RU"/>
        </w:rPr>
        <w:t>Л</w:t>
      </w:r>
      <w:r w:rsidRPr="00101320">
        <w:rPr>
          <w:rStyle w:val="aff5"/>
          <w:b w:val="0"/>
          <w:color w:val="000000" w:themeColor="text1"/>
        </w:rPr>
        <w:t>Л</w:t>
      </w:r>
      <w:r w:rsidRPr="00101320">
        <w:rPr>
          <w:rStyle w:val="aff5"/>
          <w:b w:val="0"/>
          <w:color w:val="000000" w:themeColor="text1"/>
          <w:lang w:val="ru-RU"/>
        </w:rPr>
        <w:t xml:space="preserve"> на любом этапе диагностики и</w:t>
      </w:r>
      <w:r w:rsidRPr="00101320">
        <w:rPr>
          <w:rStyle w:val="aff5"/>
          <w:b w:val="0"/>
          <w:color w:val="000000" w:themeColor="text1"/>
        </w:rPr>
        <w:t xml:space="preserve"> </w:t>
      </w:r>
      <w:r w:rsidRPr="00101320">
        <w:rPr>
          <w:rStyle w:val="aff5"/>
          <w:b w:val="0"/>
          <w:color w:val="000000" w:themeColor="text1"/>
          <w:lang w:val="ru-RU"/>
        </w:rPr>
        <w:t>лечения по показаниям</w:t>
      </w:r>
      <w:r w:rsidRPr="00101320">
        <w:rPr>
          <w:color w:val="000000" w:themeColor="text1"/>
          <w:lang w:val="ru-RU"/>
        </w:rPr>
        <w:t xml:space="preserve"> выполнять и</w:t>
      </w:r>
      <w:r w:rsidRPr="00101320">
        <w:rPr>
          <w:color w:val="000000" w:themeColor="text1"/>
        </w:rPr>
        <w:t>сследование кала на скрытую кровь</w:t>
      </w:r>
      <w:r w:rsidRPr="00101320">
        <w:rPr>
          <w:color w:val="000000" w:themeColor="text1"/>
          <w:lang w:val="ru-RU"/>
        </w:rPr>
        <w:t xml:space="preserve"> для исключения кишечного кровотечения как осложнения цитопении</w:t>
      </w:r>
      <w:r w:rsidR="00101320" w:rsidRPr="00101320">
        <w:rPr>
          <w:color w:val="000000" w:themeColor="text1"/>
          <w:lang w:val="ru-RU"/>
        </w:rPr>
        <w:t xml:space="preserve"> </w:t>
      </w:r>
      <w:r w:rsidR="00101320" w:rsidRPr="00101320">
        <w:rPr>
          <w:color w:val="000000" w:themeColor="text1"/>
        </w:rPr>
        <w:fldChar w:fldCharType="begin" w:fldLock="1"/>
      </w:r>
      <w:r w:rsidR="00101320" w:rsidRPr="00101320">
        <w:rPr>
          <w:color w:val="000000" w:themeColor="text1"/>
        </w:rPr>
        <w:instrText>ADDIN CSL_CITATION {"citationItems":[{"id":"ITEM-1","itemData":{"id":"ITEM-1","issued":{"date-parts":[["2012"]]},"number-of-pages":"1056","title":"Программное лечение заболеваний системы крови: Сборник алгоритмов диагностики и протоколов лечения заболеваний системы крови. Под ред. В.Г. Савченко","type":"book"},"uris":["http://www.mendeley.com/documents/?uuid=36484a90-27ae-40a9-a194-b0461fb47d9d"]},{"id":"ITEM-2","itemData":{"author":[{"dropping-particle":"","family":"Савченко","given":"Валерий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доп.","id":"ITEM-2","issued":{"date-parts":[["2007"]]},"page":"409-502","title":"Острые лейкозы","type":"chapter"},"uris":["http://www.mendeley.com/documents/?uuid=08f85f58-ddaa-48eb-b937-65d15d14b213"]}],"mendeley":{"formattedCitation":"[1,2]","plainTextFormattedCitation":"[1,2]","previouslyFormattedCitation":"[1,2]"},"properties":{"noteIndex":0},"schema":"https://github.com/citation-style-language/schema/raw/master/csl-citation.json"}</w:instrText>
      </w:r>
      <w:r w:rsidR="00101320" w:rsidRPr="00101320">
        <w:rPr>
          <w:color w:val="000000" w:themeColor="text1"/>
        </w:rPr>
        <w:fldChar w:fldCharType="separate"/>
      </w:r>
      <w:r w:rsidR="00101320" w:rsidRPr="00101320">
        <w:rPr>
          <w:noProof/>
          <w:color w:val="000000" w:themeColor="text1"/>
        </w:rPr>
        <w:t>[1,2]</w:t>
      </w:r>
      <w:r w:rsidR="00101320" w:rsidRPr="00101320">
        <w:rPr>
          <w:color w:val="000000" w:themeColor="text1"/>
        </w:rPr>
        <w:fldChar w:fldCharType="end"/>
      </w:r>
      <w:r w:rsidRPr="00101320">
        <w:rPr>
          <w:color w:val="000000" w:themeColor="text1"/>
          <w:lang w:val="ru-RU"/>
        </w:rPr>
        <w:t>.</w:t>
      </w:r>
    </w:p>
    <w:p w14:paraId="57E28107" w14:textId="60C9CD09" w:rsidR="00206DB4" w:rsidRPr="00101320" w:rsidRDefault="00206DB4" w:rsidP="00101320">
      <w:pPr>
        <w:ind w:firstLine="709"/>
        <w:contextualSpacing/>
        <w:rPr>
          <w:b/>
          <w:bCs/>
          <w:color w:val="000000" w:themeColor="text1"/>
        </w:rPr>
      </w:pPr>
      <w:r w:rsidRPr="00101320">
        <w:rPr>
          <w:rStyle w:val="aff5"/>
          <w:color w:val="000000" w:themeColor="text1"/>
        </w:rPr>
        <w:t xml:space="preserve">Уровень убедительности рекомендации – </w:t>
      </w:r>
      <w:r w:rsidRPr="00101320">
        <w:rPr>
          <w:rStyle w:val="aff5"/>
          <w:color w:val="000000" w:themeColor="text1"/>
          <w:lang w:val="en-US"/>
        </w:rPr>
        <w:t>C</w:t>
      </w:r>
      <w:r w:rsidRPr="00101320">
        <w:rPr>
          <w:rStyle w:val="aff5"/>
          <w:color w:val="000000" w:themeColor="text1"/>
        </w:rPr>
        <w:t xml:space="preserve"> (уровень достоверности доказательств – 5)</w:t>
      </w:r>
    </w:p>
    <w:p w14:paraId="7DEB39BD" w14:textId="77777777" w:rsidR="00101320" w:rsidRDefault="00101320" w:rsidP="004905C2">
      <w:pPr>
        <w:pStyle w:val="2"/>
      </w:pPr>
      <w:bookmarkStart w:id="69" w:name="_Toc5373975"/>
      <w:bookmarkStart w:id="70" w:name="_Toc13484806"/>
      <w:bookmarkStart w:id="71" w:name="_Toc26796705"/>
      <w:bookmarkStart w:id="72" w:name="_Toc64467921"/>
    </w:p>
    <w:p w14:paraId="0113E3F1" w14:textId="77777777" w:rsidR="00780510" w:rsidRPr="00780510" w:rsidRDefault="00780510" w:rsidP="00780510">
      <w:pPr>
        <w:rPr>
          <w:lang w:eastAsia="zh-CN"/>
        </w:rPr>
      </w:pPr>
    </w:p>
    <w:p w14:paraId="2235E4F0" w14:textId="7A6E8B84" w:rsidR="00254823" w:rsidRPr="00B454D1" w:rsidRDefault="00DD2199" w:rsidP="004905C2">
      <w:pPr>
        <w:pStyle w:val="2"/>
      </w:pPr>
      <w:bookmarkStart w:id="73" w:name="_Toc64565635"/>
      <w:r>
        <w:t>2.4</w:t>
      </w:r>
      <w:r w:rsidR="00E50532">
        <w:t>.</w:t>
      </w:r>
      <w:r>
        <w:t xml:space="preserve"> </w:t>
      </w:r>
      <w:bookmarkEnd w:id="69"/>
      <w:bookmarkEnd w:id="70"/>
      <w:r w:rsidR="00CC43CD" w:rsidRPr="00CC43CD">
        <w:t>Инструментальные диагностические исследования</w:t>
      </w:r>
      <w:bookmarkEnd w:id="71"/>
      <w:bookmarkEnd w:id="72"/>
      <w:bookmarkEnd w:id="73"/>
    </w:p>
    <w:p w14:paraId="089C8184" w14:textId="61A2FEA6" w:rsidR="00254823" w:rsidRPr="0003419A" w:rsidRDefault="00254823" w:rsidP="00FF4C81">
      <w:pPr>
        <w:numPr>
          <w:ilvl w:val="0"/>
          <w:numId w:val="19"/>
        </w:numPr>
        <w:rPr>
          <w:b/>
        </w:rPr>
      </w:pPr>
      <w:r w:rsidRPr="00617969">
        <w:rPr>
          <w:b/>
        </w:rPr>
        <w:t>Рекомендуется</w:t>
      </w:r>
      <w:r w:rsidRPr="00617969">
        <w:t xml:space="preserve"> </w:t>
      </w:r>
      <w:r>
        <w:t xml:space="preserve">всем </w:t>
      </w:r>
      <w:r w:rsidRPr="00101320">
        <w:rPr>
          <w:color w:val="000000" w:themeColor="text1"/>
        </w:rPr>
        <w:t xml:space="preserve">пациентам </w:t>
      </w:r>
      <w:r w:rsidR="00172D45" w:rsidRPr="00101320">
        <w:rPr>
          <w:rStyle w:val="aff5"/>
          <w:b w:val="0"/>
          <w:color w:val="000000" w:themeColor="text1"/>
        </w:rPr>
        <w:t xml:space="preserve">до начала специфической терапии и в ходе лечения с частотой от 1 раза в неделю до ежемесячного (с учетом наличия сопутствующей патологии и клинической ситуации), а также при необходимости в любой момент в течение всего периода лечения </w:t>
      </w:r>
      <w:r w:rsidRPr="00101320">
        <w:rPr>
          <w:color w:val="000000" w:themeColor="text1"/>
        </w:rPr>
        <w:t>выполнение электрокардиографи</w:t>
      </w:r>
      <w:r w:rsidR="00950968" w:rsidRPr="00101320">
        <w:rPr>
          <w:color w:val="000000" w:themeColor="text1"/>
        </w:rPr>
        <w:t>ческого исследования</w:t>
      </w:r>
      <w:r w:rsidRPr="00101320">
        <w:rPr>
          <w:color w:val="000000" w:themeColor="text1"/>
        </w:rPr>
        <w:t xml:space="preserve"> </w:t>
      </w:r>
      <w:r w:rsidRPr="00617969">
        <w:t>(</w:t>
      </w:r>
      <w:r w:rsidR="00E50532">
        <w:t xml:space="preserve">далее – </w:t>
      </w:r>
      <w:r w:rsidRPr="00617969">
        <w:t>ЭКГ)</w:t>
      </w:r>
      <w:r w:rsidR="00A4256E" w:rsidRPr="00A4256E">
        <w:t xml:space="preserve"> </w:t>
      </w:r>
      <w:r w:rsidR="00A4256E">
        <w:t>и эхокардиографии (</w:t>
      </w:r>
      <w:r w:rsidR="00E50532">
        <w:t xml:space="preserve">далее – </w:t>
      </w:r>
      <w:r w:rsidR="00A4256E">
        <w:t>ЭхоКГ)</w:t>
      </w:r>
      <w:r w:rsidRPr="00617969">
        <w:t xml:space="preserve"> </w:t>
      </w:r>
      <w:r w:rsidRPr="007D0ED4">
        <w:t xml:space="preserve">для </w:t>
      </w:r>
      <w:r w:rsidRPr="007D0ED4">
        <w:rPr>
          <w:rFonts w:eastAsia="Arial Unicode MS"/>
        </w:rPr>
        <w:t>выявления</w:t>
      </w:r>
      <w:r w:rsidR="00A4256E">
        <w:rPr>
          <w:rFonts w:eastAsia="Arial Unicode MS"/>
        </w:rPr>
        <w:t xml:space="preserve"> сопутствующей кардиологической патологии и профилактики или лечения возможных кардиологических осложнений или сердечной коморбидности</w:t>
      </w:r>
      <w:r w:rsidR="000A1FF0">
        <w:rPr>
          <w:rFonts w:eastAsia="Arial Unicode MS"/>
        </w:rPr>
        <w:t xml:space="preserve"> </w:t>
      </w:r>
      <w:r w:rsidR="00914AB6">
        <w:rPr>
          <w:rFonts w:eastAsia="Arial Unicode MS"/>
        </w:rPr>
        <w:fldChar w:fldCharType="begin" w:fldLock="1"/>
      </w:r>
      <w:r w:rsidR="002466C9">
        <w:rPr>
          <w:rFonts w:eastAsia="Arial Unicode MS"/>
        </w:rPr>
        <w:instrText>ADDIN CSL_CITATION {"citationItems":[{"id":"ITEM-1","itemData":{"DOI":"10.1016/j.mayocp.2014.05.013","ISSN":"19425546","abstract":"The care for patients with cancer has advanced greatly over the past decades. A combination of earlier cancer diagnosis and greater use of traditional and new systemic treatments has decreased cancer-related mortality. Effective cancer therapies, however, can result in short- and long-term comorbidities that can decrease the net clinical gain by affecting quality of life and survival. In particular, cardiovascular complications of cancer treatments can have a profound effect on the health of patients with cancer and are more common among those with recognized or unrecognized underlying cardiovascular diseases. A new discipline termed cardio-oncology has thus evolved to address the cardiovascular needs of patients with cancer and optimize their care in a multidisciplinary approach. This review provides a brief introduction and background on this emerging field and then focuses on its practical aspects including cardiovascular risk assessment and prevention before cancer treatment, cardiovascular surveillance and therapy during cancer treatment, and cardiovascular monitoring and management after cancer therapy. The content of this review is based on a literature search of PubMed between January 1, 1960, and February 1, 2014, using the search terms cancer, cardiomyopathy, cardiotoxicity, cardio-oncology, chemotherapy, heart failure, and radiation. © 2014 Mayo Foundation for Medical Education and Research.","author":[{"dropping-particle":"","family":"Herrmann","given":"Joerg","non-dropping-particle":"","parse-names":false,"suffix":""},{"dropping-particle":"","family":"Lerman","given":"Amir","non-dropping-particle":"","parse-names":false,"suffix":""},{"dropping-particle":"","family":"Sandhu","given":"Nicole P.","non-dropping-particle":"","parse-names":false,"suffix":""},{"dropping-particle":"","family":"Villarraga","given":"Hector R.","non-dropping-particle":"","parse-names":false,"suffix":""},{"dropping-particle":"","family":"Mulvagh","given":"Sharon L.","non-dropping-particle":"","parse-names":false,"suffix":""},{"dropping-particle":"","family":"Kohli","given":"Manish","non-dropping-particle":"","parse-names":false,"suffix":""}],"container-title":"Mayo Clinic Proceedings","id":"ITEM-1","issue":"9","issued":{"date-parts":[["2014"]]},"page":"1287-1306","title":"Evaluation and management of patients with heart disease and cancer: Cardio-oncology","type":"article-journal","volume":"89"},"uris":["http://www.mendeley.com/documents/?uuid=d8cd5e8a-1071-345f-a5f9-584652c74de1"]}],"mendeley":{"formattedCitation":"[41]","plainTextFormattedCitation":"[41]","previouslyFormattedCitation":"[41]"},"properties":{"noteIndex":0},"schema":"https://github.com/citation-style-language/schema/raw/master/csl-citation.json"}</w:instrText>
      </w:r>
      <w:r w:rsidR="00914AB6">
        <w:rPr>
          <w:rFonts w:eastAsia="Arial Unicode MS"/>
        </w:rPr>
        <w:fldChar w:fldCharType="separate"/>
      </w:r>
      <w:r w:rsidR="00A66456" w:rsidRPr="00A66456">
        <w:rPr>
          <w:rFonts w:eastAsia="Arial Unicode MS"/>
          <w:noProof/>
        </w:rPr>
        <w:t>[41]</w:t>
      </w:r>
      <w:r w:rsidR="00914AB6">
        <w:rPr>
          <w:rFonts w:eastAsia="Arial Unicode MS"/>
        </w:rPr>
        <w:fldChar w:fldCharType="end"/>
      </w:r>
      <w:r w:rsidR="00914AB6" w:rsidRPr="007D0ED4">
        <w:t>.</w:t>
      </w:r>
    </w:p>
    <w:p w14:paraId="6B223288" w14:textId="77777777" w:rsidR="00172D45" w:rsidRDefault="00254823" w:rsidP="00172D45">
      <w:pPr>
        <w:spacing w:before="100" w:beforeAutospacing="1"/>
        <w:ind w:firstLine="709"/>
        <w:contextualSpacing/>
        <w:rPr>
          <w:b/>
        </w:rPr>
      </w:pPr>
      <w:r w:rsidRPr="00E11058">
        <w:rPr>
          <w:b/>
        </w:rPr>
        <w:t>Уровень</w:t>
      </w:r>
      <w:r w:rsidRPr="0003419A">
        <w:rPr>
          <w:b/>
        </w:rPr>
        <w:t xml:space="preserve"> </w:t>
      </w:r>
      <w:r w:rsidRPr="00E11058">
        <w:rPr>
          <w:b/>
        </w:rPr>
        <w:t>убедительности</w:t>
      </w:r>
      <w:r w:rsidRPr="0003419A">
        <w:rPr>
          <w:b/>
        </w:rPr>
        <w:t xml:space="preserve"> </w:t>
      </w:r>
      <w:r w:rsidRPr="00E11058">
        <w:rPr>
          <w:b/>
        </w:rPr>
        <w:t>рекомендаций</w:t>
      </w:r>
      <w:r w:rsidRPr="0003419A" w:rsidDel="00670C55">
        <w:rPr>
          <w:b/>
        </w:rPr>
        <w:t xml:space="preserve"> </w:t>
      </w:r>
      <w:r w:rsidR="00E50532">
        <w:rPr>
          <w:b/>
        </w:rPr>
        <w:t xml:space="preserve">– </w:t>
      </w:r>
      <w:r w:rsidRPr="00E11058">
        <w:rPr>
          <w:b/>
          <w:lang w:val="en-US"/>
        </w:rPr>
        <w:t>B</w:t>
      </w:r>
      <w:r w:rsidRPr="0003419A">
        <w:rPr>
          <w:b/>
        </w:rPr>
        <w:t xml:space="preserve"> (</w:t>
      </w:r>
      <w:r w:rsidRPr="00E11058">
        <w:rPr>
          <w:b/>
        </w:rPr>
        <w:t xml:space="preserve">уровень </w:t>
      </w:r>
      <w:r w:rsidRPr="00E11058">
        <w:rPr>
          <w:b/>
          <w:spacing w:val="-1"/>
        </w:rPr>
        <w:t xml:space="preserve">достоверности доказательств </w:t>
      </w:r>
      <w:r>
        <w:rPr>
          <w:b/>
        </w:rPr>
        <w:t xml:space="preserve">– </w:t>
      </w:r>
      <w:r w:rsidR="00CA4373">
        <w:rPr>
          <w:b/>
        </w:rPr>
        <w:t>5</w:t>
      </w:r>
      <w:r w:rsidR="00B3408C">
        <w:rPr>
          <w:b/>
        </w:rPr>
        <w:t>)</w:t>
      </w:r>
      <w:r w:rsidR="00E50532">
        <w:rPr>
          <w:b/>
        </w:rPr>
        <w:t>.</w:t>
      </w:r>
      <w:r w:rsidR="00172D45">
        <w:rPr>
          <w:b/>
        </w:rPr>
        <w:t xml:space="preserve"> </w:t>
      </w:r>
    </w:p>
    <w:p w14:paraId="08203291" w14:textId="19F969F8" w:rsidR="00172D45" w:rsidRPr="00BA1693" w:rsidRDefault="00172D45" w:rsidP="00BA1693">
      <w:pPr>
        <w:spacing w:before="100" w:beforeAutospacing="1"/>
        <w:ind w:firstLine="709"/>
        <w:contextualSpacing/>
        <w:rPr>
          <w:i/>
          <w:color w:val="000000" w:themeColor="text1"/>
        </w:rPr>
      </w:pPr>
      <w:r w:rsidRPr="00BA1693">
        <w:rPr>
          <w:rStyle w:val="aff5"/>
          <w:color w:val="000000" w:themeColor="text1"/>
        </w:rPr>
        <w:t xml:space="preserve">Комментарии: </w:t>
      </w:r>
      <w:r w:rsidRPr="00BA1693">
        <w:rPr>
          <w:rStyle w:val="aff5"/>
          <w:b w:val="0"/>
          <w:bCs w:val="0"/>
          <w:i/>
          <w:color w:val="000000" w:themeColor="text1"/>
        </w:rPr>
        <w:t>рутинно применяется</w:t>
      </w:r>
      <w:r w:rsidRPr="00BA1693">
        <w:rPr>
          <w:rStyle w:val="aff5"/>
          <w:i/>
          <w:color w:val="000000" w:themeColor="text1"/>
        </w:rPr>
        <w:t xml:space="preserve"> </w:t>
      </w:r>
      <w:r w:rsidRPr="00BA1693">
        <w:rPr>
          <w:rStyle w:val="aff5"/>
          <w:b w:val="0"/>
          <w:bCs w:val="0"/>
          <w:i/>
          <w:color w:val="000000" w:themeColor="text1"/>
        </w:rPr>
        <w:t>р</w:t>
      </w:r>
      <w:r w:rsidRPr="00BA1693">
        <w:rPr>
          <w:i/>
          <w:color w:val="000000" w:themeColor="text1"/>
        </w:rPr>
        <w:t>егистрация электрокардиограммы, при наличии клинических показаний также проводятся регистрация электрической активности проводящей системы сердца, холтеровское мониторирование сердечного ритма, мониторирование электрокардиографических данных, кардиотокография плода.</w:t>
      </w:r>
    </w:p>
    <w:p w14:paraId="56F3B27E" w14:textId="0E770272" w:rsidR="00254823" w:rsidRPr="00BB16BD" w:rsidRDefault="00254823" w:rsidP="00FF4C81">
      <w:pPr>
        <w:numPr>
          <w:ilvl w:val="0"/>
          <w:numId w:val="19"/>
        </w:numPr>
        <w:spacing w:before="100" w:beforeAutospacing="1"/>
        <w:contextualSpacing/>
        <w:rPr>
          <w:b/>
        </w:rPr>
      </w:pPr>
      <w:r w:rsidRPr="00617969">
        <w:rPr>
          <w:b/>
        </w:rPr>
        <w:t xml:space="preserve">Рекомендуется </w:t>
      </w:r>
      <w:r w:rsidRPr="00BA1693">
        <w:rPr>
          <w:color w:val="000000" w:themeColor="text1"/>
        </w:rPr>
        <w:t>всем пациентам выполнение</w:t>
      </w:r>
      <w:r w:rsidRPr="00BA1693">
        <w:rPr>
          <w:b/>
          <w:color w:val="000000" w:themeColor="text1"/>
        </w:rPr>
        <w:t xml:space="preserve"> </w:t>
      </w:r>
      <w:r w:rsidRPr="00BA1693">
        <w:rPr>
          <w:color w:val="000000" w:themeColor="text1"/>
        </w:rPr>
        <w:t>компьютерной томографии</w:t>
      </w:r>
      <w:r w:rsidRPr="00BA1693">
        <w:rPr>
          <w:b/>
          <w:color w:val="000000" w:themeColor="text1"/>
        </w:rPr>
        <w:t xml:space="preserve"> </w:t>
      </w:r>
      <w:r w:rsidRPr="00BA1693">
        <w:rPr>
          <w:color w:val="000000" w:themeColor="text1"/>
        </w:rPr>
        <w:t>(</w:t>
      </w:r>
      <w:r w:rsidR="00E50532" w:rsidRPr="00BA1693">
        <w:rPr>
          <w:color w:val="000000" w:themeColor="text1"/>
        </w:rPr>
        <w:t xml:space="preserve">далее – </w:t>
      </w:r>
      <w:r w:rsidRPr="00BA1693">
        <w:rPr>
          <w:color w:val="000000" w:themeColor="text1"/>
        </w:rPr>
        <w:t xml:space="preserve">КТ) </w:t>
      </w:r>
      <w:r w:rsidR="006D1F87" w:rsidRPr="00BA1693">
        <w:rPr>
          <w:rStyle w:val="aff5"/>
          <w:b w:val="0"/>
          <w:color w:val="000000" w:themeColor="text1"/>
        </w:rPr>
        <w:t>и/или магнитно-резонансной томографии</w:t>
      </w:r>
      <w:r w:rsidR="006D1F87" w:rsidRPr="00BA1693">
        <w:rPr>
          <w:rStyle w:val="aff5"/>
          <w:color w:val="000000" w:themeColor="text1"/>
        </w:rPr>
        <w:t xml:space="preserve"> </w:t>
      </w:r>
      <w:r w:rsidRPr="00BA1693">
        <w:rPr>
          <w:color w:val="000000" w:themeColor="text1"/>
        </w:rPr>
        <w:t>голов</w:t>
      </w:r>
      <w:r w:rsidR="00950968" w:rsidRPr="00BA1693">
        <w:rPr>
          <w:color w:val="000000" w:themeColor="text1"/>
        </w:rPr>
        <w:t>ы</w:t>
      </w:r>
      <w:r w:rsidRPr="00BA1693">
        <w:rPr>
          <w:color w:val="000000" w:themeColor="text1"/>
        </w:rPr>
        <w:t>, органов грудной и брюшной полост</w:t>
      </w:r>
      <w:r w:rsidR="00950968" w:rsidRPr="00BA1693">
        <w:rPr>
          <w:color w:val="000000" w:themeColor="text1"/>
        </w:rPr>
        <w:t>ей</w:t>
      </w:r>
      <w:r w:rsidR="006D1F87" w:rsidRPr="00BA1693">
        <w:rPr>
          <w:color w:val="000000" w:themeColor="text1"/>
        </w:rPr>
        <w:t>, а также других областей по показаниям,</w:t>
      </w:r>
      <w:r w:rsidRPr="00BA1693">
        <w:rPr>
          <w:color w:val="000000" w:themeColor="text1"/>
        </w:rPr>
        <w:t xml:space="preserve"> для</w:t>
      </w:r>
      <w:r w:rsidRPr="00CD33C6">
        <w:t xml:space="preserve"> </w:t>
      </w:r>
      <w:r w:rsidRPr="00CD33C6">
        <w:rPr>
          <w:rFonts w:eastAsia="Arial Unicode MS"/>
        </w:rPr>
        <w:t xml:space="preserve">выявления возможных </w:t>
      </w:r>
      <w:r>
        <w:rPr>
          <w:rFonts w:eastAsia="Arial Unicode MS"/>
        </w:rPr>
        <w:t>очагов поражения и сопутствующей патологии</w:t>
      </w:r>
      <w:r w:rsidR="00E50532">
        <w:rPr>
          <w:rFonts w:eastAsia="Arial Unicode MS"/>
        </w:rPr>
        <w:t xml:space="preserve"> </w:t>
      </w:r>
      <w:r w:rsidR="00914AB6">
        <w:rPr>
          <w:rFonts w:eastAsia="Arial Unicode MS"/>
        </w:rPr>
        <w:fldChar w:fldCharType="begin" w:fldLock="1"/>
      </w:r>
      <w:r w:rsidR="002466C9">
        <w:rPr>
          <w:rFonts w:eastAsia="Arial Unicode MS"/>
        </w:rPr>
        <w:instrText>ADDIN CSL_CITATION {"citationItems":[{"id":"ITEM-1","itemData":{"DOI":"10.1016/j.crad.2016.05.014","ISSN":"1365229X","abstract":"Extramedullary haematopoiesis (EMH) is defined as the production of blood cells outside of the bone marrow, which occurs when there is inadequate production of blood cells. The most common causes of EMH are myelofibrosis, diffuse osseous metastatic disease replacing the bone marrow, leukaemia, sickle cell disease, and thalassemia. The purpose of this article is to review the common and uncommon imaging appearances of EMH by anatomical compartment. In the thorax, EMH most commonly presents as paravertebral fat-containing masses, and typically does not present a diagnostic dilemma; however, EMH in the abdomen most commonly manifests as hepatosplenomegaly with or without focal soft-tissue masses in the liver, spleen, perirenal space, and in the peritoneum. Hepatosplenomegaly, a non-specific feature, most often occurs without an associated focal mass, which makes suggestion of EMH difficult. EMH manifesting as visceral soft-tissue masses often requires biopsy as the differential diagnosis can include lymphoma, metastatic disease, and sarcoma. Many of these soft-tissue masses do not contain adipose elements, making the diagnosis of EMH difficult. Clinical history is crucial, as EMH would likely not otherwise be in the differential in patients with non-specific abdominal masses. Careful biopsy planning is necessary when EMH is a diagnostic consideration, given the propensity for haemorrhage. Understanding the typical imaging appearances of EMH based on its site of manifestation can help the radiologist when encountered with a finding that is diagnostic for EMH, and can help the radiologist suggest the need and plan appropriately for image-guided biopsy.","author":[{"dropping-particle":"","family":"Roberts","given":"A. S.","non-dropping-particle":"","parse-names":false,"suffix":""},{"dropping-particle":"","family":"Shetty","given":"A. S.","non-dropping-particle":"","parse-names":false,"suffix":""},{"dropping-particle":"","family":"Mellnick","given":"V. M.","non-dropping-particle":"","parse-names":false,"suffix":""},{"dropping-particle":"","family":"Pickhardt","given":"P. J.","non-dropping-particle":"","parse-names":false,"suffix":""},{"dropping-particle":"","family":"Bhalla","given":"S.","non-dropping-particle":"","parse-names":false,"suffix":""},{"dropping-particle":"","family":"Menias","given":"C. O.","non-dropping-particle":"","parse-names":false,"suffix":""}],"container-title":"Clinical Radiology","id":"ITEM-1","issue":"9","issued":{"date-parts":[["2016"]]},"page":"807-814","title":"Extramedullary haematopoiesis: radiological imaging features","type":"article","volume":"71"},"uris":["http://www.mendeley.com/documents/?uuid=8c88ac76-f202-35e2-b050-9cbb613a28aa"]}],"mendeley":{"formattedCitation":"[42]","plainTextFormattedCitation":"[42]","previouslyFormattedCitation":"[42]"},"properties":{"noteIndex":0},"schema":"https://github.com/citation-style-language/schema/raw/master/csl-citation.json"}</w:instrText>
      </w:r>
      <w:r w:rsidR="00914AB6">
        <w:rPr>
          <w:rFonts w:eastAsia="Arial Unicode MS"/>
        </w:rPr>
        <w:fldChar w:fldCharType="separate"/>
      </w:r>
      <w:r w:rsidR="00A66456" w:rsidRPr="00A66456">
        <w:rPr>
          <w:rFonts w:eastAsia="Arial Unicode MS"/>
          <w:noProof/>
        </w:rPr>
        <w:t>[42]</w:t>
      </w:r>
      <w:r w:rsidR="00914AB6">
        <w:rPr>
          <w:rFonts w:eastAsia="Arial Unicode MS"/>
        </w:rPr>
        <w:fldChar w:fldCharType="end"/>
      </w:r>
      <w:r w:rsidR="00914AB6" w:rsidRPr="00CD33C6">
        <w:t>.</w:t>
      </w:r>
    </w:p>
    <w:p w14:paraId="5E136935" w14:textId="77777777" w:rsidR="00254823" w:rsidRDefault="00254823" w:rsidP="00B3408C">
      <w:pPr>
        <w:spacing w:before="100" w:beforeAutospacing="1"/>
        <w:ind w:firstLine="709"/>
        <w:contextualSpacing/>
        <w:rPr>
          <w:b/>
        </w:rPr>
      </w:pPr>
      <w:r w:rsidRPr="00CD33C6">
        <w:rPr>
          <w:b/>
        </w:rPr>
        <w:t>Уровень убедительности рекомендаций</w:t>
      </w:r>
      <w:r w:rsidRPr="00CD33C6" w:rsidDel="00670C55">
        <w:rPr>
          <w:b/>
        </w:rPr>
        <w:t xml:space="preserve"> </w:t>
      </w:r>
      <w:r w:rsidR="00E50532">
        <w:rPr>
          <w:b/>
        </w:rPr>
        <w:t xml:space="preserve">– </w:t>
      </w:r>
      <w:r w:rsidR="00950968">
        <w:rPr>
          <w:b/>
        </w:rPr>
        <w:t>С</w:t>
      </w:r>
      <w:r w:rsidRPr="00CD33C6">
        <w:rPr>
          <w:b/>
        </w:rPr>
        <w:t xml:space="preserve"> (уровень </w:t>
      </w:r>
      <w:r w:rsidRPr="00CD33C6">
        <w:rPr>
          <w:b/>
          <w:spacing w:val="-1"/>
        </w:rPr>
        <w:t xml:space="preserve">достоверности доказательств </w:t>
      </w:r>
      <w:r>
        <w:rPr>
          <w:b/>
        </w:rPr>
        <w:t xml:space="preserve">– </w:t>
      </w:r>
      <w:r w:rsidR="00950968">
        <w:rPr>
          <w:b/>
        </w:rPr>
        <w:t>5</w:t>
      </w:r>
      <w:r w:rsidR="00B3408C">
        <w:rPr>
          <w:b/>
        </w:rPr>
        <w:t>)</w:t>
      </w:r>
      <w:r w:rsidR="00E50532">
        <w:rPr>
          <w:b/>
        </w:rPr>
        <w:t>.</w:t>
      </w:r>
    </w:p>
    <w:p w14:paraId="20CA25E1" w14:textId="77777777" w:rsidR="006D1F87" w:rsidRPr="00E91CC1" w:rsidRDefault="006D1F87" w:rsidP="00E91CC1">
      <w:pPr>
        <w:pStyle w:val="afff7"/>
        <w:spacing w:before="0" w:beforeAutospacing="0" w:after="0" w:afterAutospacing="0"/>
        <w:ind w:firstLine="709"/>
        <w:contextualSpacing/>
        <w:jc w:val="both"/>
        <w:rPr>
          <w:rStyle w:val="aff5"/>
          <w:color w:val="000000" w:themeColor="text1"/>
        </w:rPr>
      </w:pPr>
      <w:r w:rsidRPr="00E91CC1">
        <w:rPr>
          <w:b/>
          <w:color w:val="000000" w:themeColor="text1"/>
        </w:rPr>
        <w:t xml:space="preserve">Комментарии: </w:t>
      </w:r>
      <w:r w:rsidRPr="00E91CC1">
        <w:rPr>
          <w:i/>
          <w:color w:val="000000" w:themeColor="text1"/>
        </w:rPr>
        <w:t xml:space="preserve">наиболее часто проводятся МРТ-исследования костной ткани, головного мозга с контрастированием, спинного мозга с контрастированием, органов малого таза, позвоночника с контрастированием; и КТ-исследования лицевого отдела черепа, позвоночника, придаточных пазух носа, гортани, верхних дыхательных путей и шеи, КТ- ангиография одной анатомической области, органов малого таза у женщин, </w:t>
      </w:r>
      <w:r w:rsidRPr="00E91CC1">
        <w:rPr>
          <w:i/>
          <w:color w:val="000000" w:themeColor="text1"/>
        </w:rPr>
        <w:lastRenderedPageBreak/>
        <w:t>органов таза у мужчин, головного мозга, органов брюшной полости, органов брюшной полости с внутривенным болюсным контрастированием, забрюшинного пространства</w:t>
      </w:r>
    </w:p>
    <w:p w14:paraId="29B80380" w14:textId="04214F6C" w:rsidR="00254823" w:rsidRPr="007F435A" w:rsidRDefault="00254823" w:rsidP="00E91CC1">
      <w:pPr>
        <w:numPr>
          <w:ilvl w:val="0"/>
          <w:numId w:val="19"/>
        </w:numPr>
        <w:ind w:left="714" w:hanging="357"/>
        <w:contextualSpacing/>
        <w:rPr>
          <w:b/>
        </w:rPr>
      </w:pPr>
      <w:r w:rsidRPr="00617969">
        <w:rPr>
          <w:b/>
        </w:rPr>
        <w:t>Рекомендуется</w:t>
      </w:r>
      <w:r w:rsidRPr="00617969">
        <w:t xml:space="preserve"> </w:t>
      </w:r>
      <w:r>
        <w:t xml:space="preserve">всем пациентам </w:t>
      </w:r>
      <w:r w:rsidRPr="00CD33C6">
        <w:t>выполне</w:t>
      </w:r>
      <w:r>
        <w:t>ние ультразвукового исследования</w:t>
      </w:r>
      <w:r w:rsidRPr="00CD33C6">
        <w:t xml:space="preserve"> (</w:t>
      </w:r>
      <w:r w:rsidR="00E50532">
        <w:t xml:space="preserve">далее – </w:t>
      </w:r>
      <w:r w:rsidRPr="00CD33C6">
        <w:t xml:space="preserve">УЗИ) </w:t>
      </w:r>
      <w:r w:rsidR="00A4256E">
        <w:t>периферических и внутрибрюшных лимфоузлов,</w:t>
      </w:r>
      <w:r w:rsidR="00A4256E" w:rsidRPr="00CD33C6">
        <w:t xml:space="preserve"> </w:t>
      </w:r>
      <w:r w:rsidRPr="00CD33C6">
        <w:t>органов брюшной полости</w:t>
      </w:r>
      <w:r>
        <w:t>, органов малого таза у женщин и предстательной железы у мужчин для выявления сопутствующей патологии</w:t>
      </w:r>
      <w:r w:rsidR="00E50532">
        <w:t xml:space="preserve"> </w:t>
      </w:r>
      <w:r w:rsidR="00914AB6">
        <w:fldChar w:fldCharType="begin" w:fldLock="1"/>
      </w:r>
      <w:r w:rsidR="002466C9">
        <w:instrText>ADDIN CSL_CITATION {"citationItems":[{"id":"ITEM-1","itemData":{"id":"ITEM-1","issued":{"date-parts":[["2012"]]},"number-of-pages":"1056","title":"Программное лечение заболеваний системы крови: Сборник алгоритмов диагностики и протоколов лечения заболеваний системы крови. Под ред. В.Г. Савченко","type":"book"},"uris":["http://www.mendeley.com/documents/?uuid=36484a90-27ae-40a9-a194-b0461fb47d9d"]},{"id":"ITEM-2","itemData":{"author":[{"dropping-particle":"","family":"Савченко","given":"Валерий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доп.","id":"ITEM-2","issued":{"date-parts":[["2007"]]},"page":"409-502","title":"Острые лейкозы","type":"chapter"},"uris":["http://www.mendeley.com/documents/?uuid=08f85f58-ddaa-48eb-b937-65d15d14b213"]},{"id":"ITEM-3","itemData":{"author":[{"dropping-particle":"","family":"Gökbuget","given":"N.","non-dropping-particle":"","parse-names":false,"suffix":""},{"dropping-particle":"","family":"Bassan","given":"R.","non-dropping-particle":"","parse-names":false,"suffix":""},{"dropping-particle":"","family":"Dombret","given":"H.","non-dropping-particle":"","parse-names":false,"suffix":""},{"dropping-particle":"","family":"Doubek","given":"M.","non-dropping-particle":"","parse-names":false,"suffix":""},{"dropping-particle":"","family":"Fielding","given":"A.K.","non-dropping-particle":"","parse-names":false,"suffix":""},{"dropping-particle":"","family":"Foà","given":"R.","non-dropping-particle":"","parse-names":false,"suffix":""},{"dropping-particle":"","family":"Giebel","given":"S.","non-dropping-particle":"","parse-names":false,"suffix":""},{"dropping-particle":"","family":"Hoelzer","given":"D.","non-dropping-particle":"","parse-names":false,"suffix":""},{"dropping-particle":"","family":"Martinelli","given":"G.","non-dropping-particle":"","parse-names":false,"suffix":""},{"dropping-particle":"","family":"Meloni","given":"G.","non-dropping-particle":"","parse-names":false,"suffix":""},{"dropping-particle":"","family":"Delia Moicean","given":"A.","non-dropping-particle":"","parse-names":false,"suffix":""},{"dropping-particle":"","family":"Ottmann","given":"O.","non-dropping-particle":"","parse-names":false,"suffix":""},{"dropping-particle":"","family":"Piccaluga","given":"P.P.","non-dropping-particle":"","parse-names":false,"suffix":""},{"dropping-particle":"","family":"Ribera","given":"J.M.","non-dropping-particle":"","parse-names":false,"suffix":""},{"dropping-particle":"","family":"Rousselot","given":"P.","non-dropping-particle":"","parse-names":false,"suffix":""},{"dropping-particle":"","family":"Walewski","given":"J.","non-dropping-particle":"","parse-names":false,"suffix":""}],"container-title":"UNI-MED Verlag AG","id":"ITEM-3","issued":{"date-parts":[["2011"]]},"number-of-pages":"204","title":"Recommendations of the European Working Group for Adult ALL (EWALL)","type":"book"},"uris":["http://www.mendeley.com/documents/?uuid=aba58166-cd2b-4f70-bb6a-5fdd9e1b42de"]},{"id":"ITEM-4","itemData":{"DOI":"10.1111/ejh.12722","ISSN":"1600-0609","PMID":"26679753","abstract":"Lymphoblastic lymphoma is a rare aggressive neoplasm of T-/B-precursors resembling acute lymphoblastic leukemia, with no or limited bone marrow involvement (&lt;25%), that develops more frequently in children and young adults and is typically characterized by a grossly enlarged mediastinum, and whose diagnostic hallmark is the expression of a T-/B-precursor cell immunophenotype, the T-cell subset accounting for 90% of all cases. The adoption of pediatric-derived, intensive lymphoblastic leukemia-like protocols led to significantly improved results, with survival rates of about 70% and 90% in adults and children, respectively. Adequate central nervous system prophylaxis and mediastinal irradiation contributed to the therapeutic success; however, the role of radiation therapy is debated due to toxicity concerns and the excellent results obtained with radiation-free programs especially in pediatric patients. With these modern schedules, localized radiotherapy and/or hematopoietic stem cell transplants could be generally omitted, and considered only for high-risk patients identified through postinduction computed tomography/positron-emission tomography scans, minimal residual disease analysis, and new genetics and genomics. New clinical studies will have to confirm the value of these assays for risk-oriented therapy, while further therapeutic progress is expected from the introduction of new drugs and targeting agents.","author":[{"dropping-particle":"","family":"Bassan","given":"Renato","non-dropping-particle":"","parse-names":false,"suffix":""},{"dropping-particle":"","family":"Maino","given":"Elena","non-dropping-particle":"","parse-names":false,"suffix":""},{"dropping-particle":"","family":"Cortelazzo","given":"Sergio","non-dropping-particle":"","parse-names":false,"suffix":""}],"container-title":"European journal of haematology","id":"ITEM-4","issue":"5","issued":{"date-parts":[["2016","5"]]},"page":"447-60","title":"Lymphoblastic lymphoma: an updated review on biology, diagnosis, and treatment.","type":"article-journal","volume":"96"},"uris":["http://www.mendeley.com/documents/?uuid=7feba565-014f-3600-86ec-0963b3e847bb"]},{"id":"ITEM-5","itemData":{"DOI":"10.1016/j.critrevonc.2017.03.020","ISSN":"1879-0461","PMID":"28427520","abstract":"Lymphoblastic lymphoma (LBL) is a neoplasm of immature B cells committed to the B-(B-LBL) or T-cell lineage (T-LBL) that accounts for approximately 2% of all lymphomas. Although histological features are usually sufficient to distinguish lymphoblastic from mature B- or T-cell neoplasms, of greater importance for diagnosis is the characterization of immunophenotype by flow cytometry. LBL occurs more commonly in children than in adults, mostly in males. A bone marrow involvement &lt;25% (or 20% according to WHO) formally distinguishes LBL from ALL. The prognosis of LBL has dramatically improved with the use of intensive ALL-type chemotherapy regimens, which includes intensive intrathecal chemotherapy prophylaxis and consolidation with mediastinal irradiation. Patients with adverse prognostic features assessed by postinduction CT/positron emission tomography scans (PET) and minimal residual disease analysis (MRD) should be considered for high-dose chemotherapy and stem cell transplantation. Further therapeutic progresses are expected from the introduction of new drugs and targeting agents.","author":[{"dropping-particle":"","family":"Cortelazzo","given":"Sergio","non-dropping-particle":"","parse-names":false,"suffix":""},{"dropping-particle":"","family":"Ferreri","given":"Andrés","non-dropping-particle":"","parse-names":false,"suffix":""},{"dropping-particle":"","family":"Hoelzer","given":"Dieter","non-dropping-particle":"","parse-names":false,"suffix":""},{"dropping-particle":"","family":"Ponzoni","given":"Maurilio","non-dropping-particle":"","parse-names":false,"suffix":""}],"container-title":"Critical reviews in oncology/hematology","id":"ITEM-5","issued":{"date-parts":[["2017","5"]]},"page":"304-317","title":"Lymphoblastic lymphoma.","type":"article-journal","volume":"113"},"uris":["http://www.mendeley.com/documents/?uuid=e2eed080-a739-3358-b728-ef768a4e754e"]}],"mendeley":{"formattedCitation":"[1,2,5,13,14]","plainTextFormattedCitation":"[1,2,5,13,14]","previouslyFormattedCitation":"[1,2,5,13,14]"},"properties":{"noteIndex":0},"schema":"https://github.com/citation-style-language/schema/raw/master/csl-citation.json"}</w:instrText>
      </w:r>
      <w:r w:rsidR="00914AB6">
        <w:fldChar w:fldCharType="separate"/>
      </w:r>
      <w:r w:rsidR="00A66456" w:rsidRPr="00A66456">
        <w:rPr>
          <w:noProof/>
        </w:rPr>
        <w:t>[1,2,5,13,14]</w:t>
      </w:r>
      <w:r w:rsidR="00914AB6">
        <w:fldChar w:fldCharType="end"/>
      </w:r>
      <w:r w:rsidR="00914AB6" w:rsidRPr="00617969">
        <w:t>.</w:t>
      </w:r>
    </w:p>
    <w:p w14:paraId="586EC1A7" w14:textId="77777777" w:rsidR="00B465AF" w:rsidRDefault="00254823" w:rsidP="00B465AF">
      <w:pPr>
        <w:ind w:firstLine="709"/>
        <w:contextualSpacing/>
        <w:rPr>
          <w:b/>
        </w:rPr>
      </w:pPr>
      <w:r w:rsidRPr="00617969">
        <w:rPr>
          <w:b/>
        </w:rPr>
        <w:t>Уровень убедительности рекомендаций</w:t>
      </w:r>
      <w:r w:rsidRPr="00617969" w:rsidDel="00670C55">
        <w:rPr>
          <w:b/>
        </w:rPr>
        <w:t xml:space="preserve"> </w:t>
      </w:r>
      <w:r w:rsidR="000A1FF0">
        <w:rPr>
          <w:b/>
        </w:rPr>
        <w:t xml:space="preserve">– </w:t>
      </w:r>
      <w:r w:rsidR="00A4256E">
        <w:rPr>
          <w:b/>
          <w:lang w:val="en-US"/>
        </w:rPr>
        <w:t>C</w:t>
      </w:r>
      <w:r w:rsidRPr="00617969">
        <w:rPr>
          <w:b/>
        </w:rPr>
        <w:t xml:space="preserve"> (уровень </w:t>
      </w:r>
      <w:r w:rsidRPr="00617969">
        <w:rPr>
          <w:b/>
          <w:spacing w:val="-1"/>
        </w:rPr>
        <w:t xml:space="preserve">достоверности доказательств </w:t>
      </w:r>
      <w:r w:rsidR="00B3408C">
        <w:rPr>
          <w:b/>
        </w:rPr>
        <w:t xml:space="preserve">– </w:t>
      </w:r>
      <w:r w:rsidR="00A4256E" w:rsidRPr="00A4256E">
        <w:rPr>
          <w:b/>
        </w:rPr>
        <w:t>5</w:t>
      </w:r>
      <w:r w:rsidR="00B3408C">
        <w:rPr>
          <w:b/>
        </w:rPr>
        <w:t>)</w:t>
      </w:r>
      <w:r w:rsidR="000A1FF0">
        <w:rPr>
          <w:b/>
        </w:rPr>
        <w:t>.</w:t>
      </w:r>
      <w:r w:rsidR="00B465AF">
        <w:rPr>
          <w:b/>
        </w:rPr>
        <w:t xml:space="preserve"> </w:t>
      </w:r>
    </w:p>
    <w:p w14:paraId="7DCBEFD5" w14:textId="44925A05" w:rsidR="00B465AF" w:rsidRPr="00E91CC1" w:rsidRDefault="00B465AF" w:rsidP="00E91CC1">
      <w:pPr>
        <w:ind w:firstLine="709"/>
        <w:contextualSpacing/>
        <w:rPr>
          <w:rStyle w:val="aff5"/>
          <w:b w:val="0"/>
          <w:i/>
          <w:color w:val="000000" w:themeColor="text1"/>
        </w:rPr>
      </w:pPr>
      <w:r w:rsidRPr="00E91CC1">
        <w:rPr>
          <w:rStyle w:val="aff5"/>
          <w:color w:val="000000" w:themeColor="text1"/>
        </w:rPr>
        <w:t>Комментарии:</w:t>
      </w:r>
      <w:r w:rsidRPr="00E91CC1">
        <w:rPr>
          <w:rStyle w:val="aff5"/>
          <w:i/>
          <w:color w:val="000000" w:themeColor="text1"/>
        </w:rPr>
        <w:t xml:space="preserve"> </w:t>
      </w:r>
      <w:r w:rsidRPr="00E91CC1">
        <w:rPr>
          <w:rStyle w:val="aff5"/>
          <w:b w:val="0"/>
          <w:i/>
          <w:color w:val="000000" w:themeColor="text1"/>
        </w:rPr>
        <w:t>также при наличии клинических показаний на любом этапе диагностики и лечения ОЛЛ выполняется УЗИ иных анатомических областей</w:t>
      </w:r>
      <w:r w:rsidRPr="00E91CC1">
        <w:rPr>
          <w:rStyle w:val="aff5"/>
          <w:i/>
          <w:color w:val="000000" w:themeColor="text1"/>
        </w:rPr>
        <w:t xml:space="preserve"> </w:t>
      </w:r>
      <w:r w:rsidRPr="00E91CC1">
        <w:rPr>
          <w:rStyle w:val="aff5"/>
          <w:b w:val="0"/>
          <w:i/>
          <w:color w:val="000000" w:themeColor="text1"/>
        </w:rPr>
        <w:t>(наиболее часто – УЗИ</w:t>
      </w:r>
      <w:r w:rsidRPr="00E91CC1">
        <w:rPr>
          <w:rStyle w:val="aff5"/>
          <w:i/>
          <w:color w:val="000000" w:themeColor="text1"/>
        </w:rPr>
        <w:t xml:space="preserve"> </w:t>
      </w:r>
      <w:r w:rsidRPr="00E91CC1">
        <w:rPr>
          <w:i/>
          <w:color w:val="000000" w:themeColor="text1"/>
        </w:rPr>
        <w:t>мягких тканей, сустава, лимфатических узлов,  плевральной полости, средостения, допплерография сосудов (артерий и вен) верхних конечностей, сосудов (артерий и вен) нижних конечностей, толстой кишки, матки и придатков трансабдоминальное, исследование матки и придатков трансвагиальное, молочных желез, щитовидной железы и паращитовидных желез, паращитовидных желез, почек и надпочечников, мочевыводящих путей, забрюшинного пространства)</w:t>
      </w:r>
    </w:p>
    <w:p w14:paraId="13BCCBD9" w14:textId="1FB950E2" w:rsidR="00B465AF" w:rsidRPr="00E91CC1" w:rsidRDefault="00B465AF" w:rsidP="008C1767">
      <w:pPr>
        <w:pStyle w:val="afff7"/>
        <w:numPr>
          <w:ilvl w:val="0"/>
          <w:numId w:val="68"/>
        </w:numPr>
        <w:spacing w:before="0" w:beforeAutospacing="0" w:after="0" w:afterAutospacing="0"/>
        <w:contextualSpacing/>
        <w:jc w:val="both"/>
        <w:rPr>
          <w:color w:val="000000" w:themeColor="text1"/>
        </w:rPr>
      </w:pPr>
      <w:r w:rsidRPr="00E91CC1">
        <w:rPr>
          <w:rStyle w:val="aff5"/>
          <w:color w:val="000000" w:themeColor="text1"/>
        </w:rPr>
        <w:t>Рекомендуется</w:t>
      </w:r>
      <w:r w:rsidRPr="00E91CC1">
        <w:rPr>
          <w:color w:val="000000" w:themeColor="text1"/>
        </w:rPr>
        <w:t xml:space="preserve"> всем пациентам с ОЛЛ на любом этапе диагностики и лечения при наличии клинических показаний проведение необходимых инструментальных исследований (ларингоскопия, бронхоскопия, трахеоскопия, торакоскопия, эзофагогастродуоденоскопия, колоноскопия, цистоскопия и других) для уточнения типа поражения и контроля лечения</w:t>
      </w:r>
      <w:r w:rsidR="00E91CC1" w:rsidRPr="00E91CC1">
        <w:rPr>
          <w:color w:val="000000" w:themeColor="text1"/>
        </w:rPr>
        <w:t xml:space="preserve"> </w:t>
      </w:r>
      <w:r w:rsidR="00E91CC1" w:rsidRPr="00E91CC1">
        <w:rPr>
          <w:color w:val="000000" w:themeColor="text1"/>
        </w:rPr>
        <w:fldChar w:fldCharType="begin" w:fldLock="1"/>
      </w:r>
      <w:r w:rsidR="00E91CC1" w:rsidRPr="00E91CC1">
        <w:rPr>
          <w:color w:val="000000" w:themeColor="text1"/>
        </w:rPr>
        <w:instrText>ADDIN CSL_CITATION {"citationItems":[{"id":"ITEM-1","itemData":{"id":"ITEM-1","issued":{"date-parts":[["2012"]]},"number-of-pages":"1056","title":"Программное лечение заболеваний системы крови: Сборник алгоритмов диагностики и протоколов лечения заболеваний системы крови. Под ред. В.Г. Савченко","type":"book"},"uris":["http://www.mendeley.com/documents/?uuid=36484a90-27ae-40a9-a194-b0461fb47d9d"]},{"id":"ITEM-2","itemData":{"author":[{"dropping-particle":"","family":"Савченко","given":"Валерий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доп.","id":"ITEM-2","issued":{"date-parts":[["2007"]]},"page":"409-502","title":"Острые лейкозы","type":"chapter"},"uris":["http://www.mendeley.com/documents/?uuid=08f85f58-ddaa-48eb-b937-65d15d14b213"]}],"mendeley":{"formattedCitation":"[1,2]","plainTextFormattedCitation":"[1,2]","previouslyFormattedCitation":"[1,2]"},"properties":{"noteIndex":0},"schema":"https://github.com/citation-style-language/schema/raw/master/csl-citation.json"}</w:instrText>
      </w:r>
      <w:r w:rsidR="00E91CC1" w:rsidRPr="00E91CC1">
        <w:rPr>
          <w:color w:val="000000" w:themeColor="text1"/>
        </w:rPr>
        <w:fldChar w:fldCharType="separate"/>
      </w:r>
      <w:r w:rsidR="00E91CC1" w:rsidRPr="00E91CC1">
        <w:rPr>
          <w:noProof/>
          <w:color w:val="000000" w:themeColor="text1"/>
        </w:rPr>
        <w:t>[1,2]</w:t>
      </w:r>
      <w:r w:rsidR="00E91CC1" w:rsidRPr="00E91CC1">
        <w:rPr>
          <w:color w:val="000000" w:themeColor="text1"/>
        </w:rPr>
        <w:fldChar w:fldCharType="end"/>
      </w:r>
      <w:r w:rsidRPr="00E91CC1">
        <w:rPr>
          <w:color w:val="000000" w:themeColor="text1"/>
        </w:rPr>
        <w:t>.</w:t>
      </w:r>
    </w:p>
    <w:p w14:paraId="4CE4F4E9" w14:textId="77777777" w:rsidR="00B465AF" w:rsidRPr="00E91CC1" w:rsidRDefault="00B465AF" w:rsidP="00E91CC1">
      <w:pPr>
        <w:pStyle w:val="afff7"/>
        <w:spacing w:before="0" w:beforeAutospacing="0" w:after="0" w:afterAutospacing="0"/>
        <w:ind w:firstLine="709"/>
        <w:contextualSpacing/>
        <w:jc w:val="both"/>
        <w:rPr>
          <w:rStyle w:val="aff5"/>
          <w:color w:val="000000" w:themeColor="text1"/>
        </w:rPr>
      </w:pPr>
      <w:r w:rsidRPr="00E91CC1">
        <w:rPr>
          <w:rStyle w:val="aff5"/>
          <w:color w:val="000000" w:themeColor="text1"/>
        </w:rPr>
        <w:t>Уровень убедительности рекомендации С (уровень достоверности доказательств – 5)</w:t>
      </w:r>
    </w:p>
    <w:p w14:paraId="0EA6E967" w14:textId="6F3E4D6F" w:rsidR="004F4A8D" w:rsidRDefault="004F4A8D" w:rsidP="004F4A8D">
      <w:pPr>
        <w:numPr>
          <w:ilvl w:val="0"/>
          <w:numId w:val="6"/>
        </w:numPr>
        <w:shd w:val="clear" w:color="auto" w:fill="FFFFFF"/>
        <w:tabs>
          <w:tab w:val="left" w:pos="192"/>
        </w:tabs>
      </w:pPr>
      <w:r w:rsidRPr="00DE30A1">
        <w:rPr>
          <w:b/>
        </w:rPr>
        <w:t>Рекомендуется</w:t>
      </w:r>
      <w:r>
        <w:t xml:space="preserve"> всем пациентам с</w:t>
      </w:r>
      <w:r w:rsidR="00CE7A8F" w:rsidRPr="00CE7A8F">
        <w:t xml:space="preserve"> </w:t>
      </w:r>
      <w:r w:rsidR="00CE7A8F" w:rsidRPr="008B4DD6">
        <w:t>ЛБЛ</w:t>
      </w:r>
      <w:r>
        <w:t xml:space="preserve"> п</w:t>
      </w:r>
      <w:r w:rsidRPr="00CA7FDC">
        <w:t>ри оценке</w:t>
      </w:r>
      <w:r>
        <w:t xml:space="preserve"> эффективности лечения сравнивать размеры поражения до начала терапии и после на всех этапах </w:t>
      </w:r>
      <w:r w:rsidRPr="003F09A1">
        <w:t>химиотерапевтического воздействия (по снимкам КТ</w:t>
      </w:r>
      <w:r>
        <w:t>- или УЗИ-</w:t>
      </w:r>
      <w:r w:rsidRPr="003F09A1">
        <w:t>исследования очага поражения)</w:t>
      </w:r>
      <w:r>
        <w:t xml:space="preserve"> </w:t>
      </w:r>
      <w:r>
        <w:fldChar w:fldCharType="begin" w:fldLock="1"/>
      </w:r>
      <w:r w:rsidR="002466C9">
        <w:instrText>ADDIN CSL_CITATION {"citationItems":[{"id":"ITEM-1","itemData":{"DOI":"10.1111/ejh.12722","ISSN":"1600-0609","PMID":"26679753","abstract":"Lymphoblastic lymphoma is a rare aggressive neoplasm of T-/B-precursors resembling acute lymphoblastic leukemia, with no or limited bone marrow involvement (&lt;25%), that develops more frequently in children and young adults and is typically characterized by a grossly enlarged mediastinum, and whose diagnostic hallmark is the expression of a T-/B-precursor cell immunophenotype, the T-cell subset accounting for 90% of all cases. The adoption of pediatric-derived, intensive lymphoblastic leukemia-like protocols led to significantly improved results, with survival rates of about 70% and 90% in adults and children, respectively. Adequate central nervous system prophylaxis and mediastinal irradiation contributed to the therapeutic success; however, the role of radiation therapy is debated due to toxicity concerns and the excellent results obtained with radiation-free programs especially in pediatric patients. With these modern schedules, localized radiotherapy and/or hematopoietic stem cell transplants could be generally omitted, and considered only for high-risk patients identified through postinduction computed tomography/positron-emission tomography scans, minimal residual disease analysis, and new genetics and genomics. New clinical studies will have to confirm the value of these assays for risk-oriented therapy, while further therapeutic progress is expected from the introduction of new drugs and targeting agents.","author":[{"dropping-particle":"","family":"Bassan","given":"Renato","non-dropping-particle":"","parse-names":false,"suffix":""},{"dropping-particle":"","family":"Maino","given":"Elena","non-dropping-particle":"","parse-names":false,"suffix":""},{"dropping-particle":"","family":"Cortelazzo","given":"Sergio","non-dropping-particle":"","parse-names":false,"suffix":""}],"container-title":"European journal of haematology","id":"ITEM-1","issue":"5","issued":{"date-parts":[["2016","5"]]},"page":"447-60","title":"Lymphoblastic lymphoma: an updated review on biology, diagnosis, and treatment.","type":"article-journal","volume":"96"},"uris":["http://www.mendeley.com/documents/?uuid=7feba565-014f-3600-86ec-0963b3e847bb"]},{"id":"ITEM-2","itemData":{"DOI":"10.1016/j.critrevonc.2017.03.020","ISSN":"1879-0461","PMID":"28427520","abstract":"Lymphoblastic lymphoma (LBL) is a neoplasm of immature B cells committed to the B-(B-LBL) or T-cell lineage (T-LBL) that accounts for approximately 2% of all lymphomas. Although histological features are usually sufficient to distinguish lymphoblastic from mature B- or T-cell neoplasms, of greater importance for diagnosis is the characterization of immunophenotype by flow cytometry. LBL occurs more commonly in children than in adults, mostly in males. A bone marrow involvement &lt;25% (or 20% according to WHO) formally distinguishes LBL from ALL. The prognosis of LBL has dramatically improved with the use of intensive ALL-type chemotherapy regimens, which includes intensive intrathecal chemotherapy prophylaxis and consolidation with mediastinal irradiation. Patients with adverse prognostic features assessed by postinduction CT/positron emission tomography scans (PET) and minimal residual disease analysis (MRD) should be considered for high-dose chemotherapy and stem cell transplantation. Further therapeutic progresses are expected from the introduction of new drugs and targeting agents.","author":[{"dropping-particle":"","family":"Cortelazzo","given":"Sergio","non-dropping-particle":"","parse-names":false,"suffix":""},{"dropping-particle":"","family":"Ferreri","given":"Andrés","non-dropping-particle":"","parse-names":false,"suffix":""},{"dropping-particle":"","family":"Hoelzer","given":"Dieter","non-dropping-particle":"","parse-names":false,"suffix":""},{"dropping-particle":"","family":"Ponzoni","given":"Maurilio","non-dropping-particle":"","parse-names":false,"suffix":""}],"container-title":"Critical reviews in oncology/hematology","id":"ITEM-2","issued":{"date-parts":[["2017","5"]]},"page":"304-317","title":"Lymphoblastic lymphoma.","type":"article-journal","volume":"113"},"uris":["http://www.mendeley.com/documents/?uuid=e2eed080-a739-3358-b728-ef768a4e754e"]}],"mendeley":{"formattedCitation":"[13,14]","plainTextFormattedCitation":"[13,14]","previouslyFormattedCitation":"[13,14]"},"properties":{"noteIndex":0},"schema":"https://github.com/citation-style-language/schema/raw/master/csl-citation.json"}</w:instrText>
      </w:r>
      <w:r>
        <w:fldChar w:fldCharType="separate"/>
      </w:r>
      <w:r w:rsidR="00A66456" w:rsidRPr="00A66456">
        <w:rPr>
          <w:noProof/>
        </w:rPr>
        <w:t>[13,14]</w:t>
      </w:r>
      <w:r>
        <w:fldChar w:fldCharType="end"/>
      </w:r>
      <w:r>
        <w:t>.</w:t>
      </w:r>
    </w:p>
    <w:p w14:paraId="3454D096" w14:textId="77777777" w:rsidR="004F4A8D" w:rsidRPr="00DE30A1" w:rsidRDefault="004F4A8D" w:rsidP="004F4A8D">
      <w:pPr>
        <w:ind w:firstLine="709"/>
        <w:contextualSpacing/>
        <w:rPr>
          <w:b/>
          <w:color w:val="000000"/>
        </w:rPr>
      </w:pPr>
      <w:r w:rsidRPr="00617969">
        <w:rPr>
          <w:b/>
          <w:color w:val="000000"/>
        </w:rPr>
        <w:t>Урове</w:t>
      </w:r>
      <w:r>
        <w:rPr>
          <w:b/>
          <w:color w:val="000000"/>
        </w:rPr>
        <w:t xml:space="preserve">нь убедительности рекомендаций – </w:t>
      </w:r>
      <w:r w:rsidR="00FB225C">
        <w:rPr>
          <w:b/>
          <w:color w:val="000000"/>
        </w:rPr>
        <w:t>С</w:t>
      </w:r>
      <w:r w:rsidRPr="00617969">
        <w:rPr>
          <w:b/>
          <w:color w:val="000000"/>
        </w:rPr>
        <w:t xml:space="preserve"> (уровень</w:t>
      </w:r>
      <w:r>
        <w:rPr>
          <w:b/>
          <w:color w:val="000000"/>
        </w:rPr>
        <w:t xml:space="preserve"> достоверности доказательств – </w:t>
      </w:r>
      <w:r w:rsidR="00FB225C">
        <w:rPr>
          <w:b/>
          <w:color w:val="000000"/>
        </w:rPr>
        <w:t>5</w:t>
      </w:r>
      <w:r>
        <w:rPr>
          <w:b/>
          <w:color w:val="000000"/>
        </w:rPr>
        <w:t>).</w:t>
      </w:r>
    </w:p>
    <w:p w14:paraId="34D2DEDD" w14:textId="41899686" w:rsidR="00254823" w:rsidRDefault="00254823" w:rsidP="00FF4C81">
      <w:pPr>
        <w:numPr>
          <w:ilvl w:val="0"/>
          <w:numId w:val="19"/>
        </w:numPr>
        <w:contextualSpacing/>
        <w:rPr>
          <w:b/>
        </w:rPr>
      </w:pPr>
      <w:r w:rsidRPr="00E11058">
        <w:rPr>
          <w:b/>
        </w:rPr>
        <w:t>Рекомендуется</w:t>
      </w:r>
      <w:r w:rsidRPr="008E689C">
        <w:t xml:space="preserve"> пациентам</w:t>
      </w:r>
      <w:r>
        <w:t xml:space="preserve"> при наличии клинических симптомов поражения </w:t>
      </w:r>
      <w:r w:rsidR="000A1FF0">
        <w:t>желудочно-кишечного тракта</w:t>
      </w:r>
      <w:r>
        <w:t xml:space="preserve"> выполнение </w:t>
      </w:r>
      <w:r w:rsidR="000A1FF0">
        <w:t>эзофагогастродуоденоскопии</w:t>
      </w:r>
      <w:r w:rsidRPr="00E23AE6">
        <w:rPr>
          <w:bCs/>
        </w:rPr>
        <w:t xml:space="preserve"> </w:t>
      </w:r>
      <w:r w:rsidR="00B3408C">
        <w:t xml:space="preserve">для </w:t>
      </w:r>
      <w:r>
        <w:t>оценки</w:t>
      </w:r>
      <w:r w:rsidRPr="00E23AE6">
        <w:t xml:space="preserve"> состояния слизистой оболочки пищевода, желудка, двенадцатиперстной кишки, </w:t>
      </w:r>
      <w:r w:rsidR="00A16032" w:rsidRPr="00E23AE6">
        <w:t>обн</w:t>
      </w:r>
      <w:r w:rsidR="00A16032">
        <w:t xml:space="preserve">аружения </w:t>
      </w:r>
      <w:r>
        <w:t>возможн</w:t>
      </w:r>
      <w:r w:rsidR="00DD2199">
        <w:t>ого источника кровотечения</w:t>
      </w:r>
      <w:r w:rsidR="000A1FF0">
        <w:t xml:space="preserve"> </w:t>
      </w:r>
      <w:r w:rsidR="00914AB6">
        <w:fldChar w:fldCharType="begin" w:fldLock="1"/>
      </w:r>
      <w:r w:rsidR="002466C9">
        <w:instrText>ADDIN CSL_CITATION {"citationItems":[{"id":"ITEM-1","itemData":{"DOI":"10.1016/j.critrevonc.2017.03.020","ISSN":"1879-0461","PMID":"28427520","abstract":"Lymphoblastic lymphoma (LBL) is a neoplasm of immature B cells committed to the B-(B-LBL) or T-cell lineage (T-LBL) that accounts for approximately 2% of all lymphomas. Although histological features are usually sufficient to distinguish lymphoblastic from mature B- or T-cell neoplasms, of greater importance for diagnosis is the characterization of immunophenotype by flow cytometry. LBL occurs more commonly in children than in adults, mostly in males. A bone marrow involvement &lt;25% (or 20% according to WHO) formally distinguishes LBL from ALL. The prognosis of LBL has dramatically improved with the use of intensive ALL-type chemotherapy regimens, which includes intensive intrathecal chemotherapy prophylaxis and consolidation with mediastinal irradiation. Patients with adverse prognostic features assessed by postinduction CT/positron emission tomography scans (PET) and minimal residual disease analysis (MRD) should be considered for high-dose chemotherapy and stem cell transplantation. Further therapeutic progresses are expected from the introduction of new drugs and targeting agents.","author":[{"dropping-particle":"","family":"Cortelazzo","given":"Sergio","non-dropping-particle":"","parse-names":false,"suffix":""},{"dropping-particle":"","family":"Ferreri","given":"Andrés","non-dropping-particle":"","parse-names":false,"suffix":""},{"dropping-particle":"","family":"Hoelzer","given":"Dieter","non-dropping-particle":"","parse-names":false,"suffix":""},{"dropping-particle":"","family":"Ponzoni","given":"Maurilio","non-dropping-particle":"","parse-names":false,"suffix":""}],"container-title":"Critical reviews in oncology/hematology","id":"ITEM-1","issued":{"date-parts":[["2017","5"]]},"page":"304-317","title":"Lymphoblastic lymphoma.","type":"article-journal","volume":"113"},"uris":["http://www.mendeley.com/documents/?uuid=e2eed080-a739-3358-b728-ef768a4e754e"]},{"id":"ITEM-2","itemData":{"DOI":"10.1016/j.dld.2005.07.017","ISSN":"15908658","abstract":"Background and aim: Patients with acute leukaemia suffer from various haemorrhages, most frequently due to thrombocytopenia. We could not reach any information regarding the frequency of gastrointestinal bleeding in acute leukaemia and decided to search this complication in patients with acute and chronic leukaemias and myeloproliferative disorders, retrospectively. Patients and methods: During a 6-year period, 291 patients with acute leukaemia, 52 patients with chronic leukaemia and 108 patients with myeloproliferative disorders had been followed. Thirty-two cases of overt gastrointestinal haemorrhage episodes (25 upper, 7 lower) were observed during the mentioned period. Results: The frequency of bleeding episodes was 7.1% (32/451) in haematologic malignancies as a whole, 5.8% (17/291) for acute leukaemia, 1.9% (1/52) for chronic leukaemia and 13% (14/108) for myeloproliferative disorders. If the patients with myeloproliferative disorders in blastic phase were analysed seperately, the ratio was 30% (6/20). Oesophagogastroduodenoscopy, which could be performed in 8 of 25 upper gastrointestinal haemorrhage episodes, revealed erosive gastritis in five patients and duodenal ulcers in three patients. Neutropenic enterocolitis was the underlying cause in all of the seven patients with lower gastrointestinal haemorhage. Five out of the seven patients had acute leukaemia. In 7 bleeding attacks, out of 32, the ultimate result was death. Generally, the haemorrhage was only a contributing cause of mortality. All of the mortality cases were patients with acute leukaemia. Conclusion: Especially, the patients with myeloproliferative disorders are prone to develop gastrointestinal haemorrhage. The manifestation is generally as upper gastrointestinal bleeding due to gastric erosions and duodenal ulcers. Lower gastrointestinal bleeding is frequently a problem of the patients with acute leukaemia. It is commonly a sign of neutropenic enterocolitis. © 2005 Editrice Gastroenterologica Italiana S.r.l.","author":[{"dropping-particle":"","family":"Soylu","given":"A. R.","non-dropping-particle":"","parse-names":false,"suffix":""},{"dropping-particle":"","family":"Buyukasik","given":"Y.","non-dropping-particle":"","parse-names":false,"suffix":""},{"dropping-particle":"","family":"Cetiner","given":"D.","non-dropping-particle":"","parse-names":false,"suffix":""},{"dropping-particle":"","family":"Buyukasik","given":"N. S.","non-dropping-particle":"","parse-names":false,"suffix":""},{"dropping-particle":"","family":"Koca","given":"E.","non-dropping-particle":"","parse-names":false,"suffix":""},{"dropping-particle":"","family":"Haznedaroglu","given":"I. C.","non-dropping-particle":"","parse-names":false,"suffix":""},{"dropping-particle":"","family":"Ozcebe","given":"O. I.","non-dropping-particle":"","parse-names":false,"suffix":""},{"dropping-particle":"","family":"Simsek","given":"H.","non-dropping-particle":"","parse-names":false,"suffix":""}],"container-title":"Digestive and Liver Disease","id":"ITEM-2","issue":"12","issued":{"date-parts":[["2005","12"]]},"page":"917-922","title":"Overt gastrointestinal bleeding in haematologic neoplasms","type":"article-journal","volume":"37"},"uris":["http://www.mendeley.com/documents/?uuid=71ffd8da-a3cc-3e91-aaa8-52530a3102e7"]}],"mendeley":{"formattedCitation":"[14,43]","plainTextFormattedCitation":"[14,43]","previouslyFormattedCitation":"[14,43]"},"properties":{"noteIndex":0},"schema":"https://github.com/citation-style-language/schema/raw/master/csl-citation.json"}</w:instrText>
      </w:r>
      <w:r w:rsidR="00914AB6">
        <w:fldChar w:fldCharType="separate"/>
      </w:r>
      <w:r w:rsidR="00A66456" w:rsidRPr="00A66456">
        <w:rPr>
          <w:noProof/>
        </w:rPr>
        <w:t>[14,43]</w:t>
      </w:r>
      <w:r w:rsidR="00914AB6">
        <w:fldChar w:fldCharType="end"/>
      </w:r>
      <w:r w:rsidR="00914AB6">
        <w:t>.</w:t>
      </w:r>
    </w:p>
    <w:p w14:paraId="18BC8BFF" w14:textId="77777777" w:rsidR="00254823" w:rsidRDefault="00254823" w:rsidP="00B3408C">
      <w:pPr>
        <w:ind w:firstLine="709"/>
        <w:contextualSpacing/>
        <w:rPr>
          <w:b/>
        </w:rPr>
      </w:pPr>
      <w:r w:rsidRPr="008E689C">
        <w:rPr>
          <w:b/>
        </w:rPr>
        <w:t>Уровень убедительности рекомендаций</w:t>
      </w:r>
      <w:r w:rsidRPr="008E689C" w:rsidDel="00670C55">
        <w:rPr>
          <w:b/>
        </w:rPr>
        <w:t xml:space="preserve"> </w:t>
      </w:r>
      <w:r w:rsidR="000A1FF0">
        <w:rPr>
          <w:b/>
        </w:rPr>
        <w:t xml:space="preserve">– </w:t>
      </w:r>
      <w:r w:rsidR="00B30EAF">
        <w:rPr>
          <w:b/>
        </w:rPr>
        <w:t>С</w:t>
      </w:r>
      <w:r w:rsidRPr="008E689C">
        <w:rPr>
          <w:b/>
        </w:rPr>
        <w:t xml:space="preserve"> (уровень </w:t>
      </w:r>
      <w:r w:rsidRPr="008E689C">
        <w:rPr>
          <w:b/>
          <w:spacing w:val="-1"/>
        </w:rPr>
        <w:t xml:space="preserve">достоверности </w:t>
      </w:r>
      <w:r w:rsidRPr="008E689C">
        <w:rPr>
          <w:b/>
          <w:spacing w:val="-1"/>
        </w:rPr>
        <w:lastRenderedPageBreak/>
        <w:t xml:space="preserve">доказательств </w:t>
      </w:r>
      <w:r>
        <w:rPr>
          <w:b/>
        </w:rPr>
        <w:t xml:space="preserve">– </w:t>
      </w:r>
      <w:r w:rsidR="00B30EAF">
        <w:rPr>
          <w:b/>
        </w:rPr>
        <w:t>5</w:t>
      </w:r>
      <w:r w:rsidR="00B3408C">
        <w:rPr>
          <w:b/>
        </w:rPr>
        <w:t>)</w:t>
      </w:r>
      <w:r w:rsidR="000A1FF0">
        <w:rPr>
          <w:b/>
        </w:rPr>
        <w:t>.</w:t>
      </w:r>
    </w:p>
    <w:p w14:paraId="14536299" w14:textId="6A4C2032" w:rsidR="00254823" w:rsidRPr="008073EB" w:rsidRDefault="00254823" w:rsidP="00FF4C81">
      <w:pPr>
        <w:numPr>
          <w:ilvl w:val="0"/>
          <w:numId w:val="19"/>
        </w:numPr>
        <w:contextualSpacing/>
        <w:rPr>
          <w:b/>
        </w:rPr>
      </w:pPr>
      <w:r w:rsidRPr="001453F0">
        <w:rPr>
          <w:b/>
        </w:rPr>
        <w:t>Рекомендуется</w:t>
      </w:r>
      <w:r w:rsidRPr="001453F0">
        <w:t xml:space="preserve"> </w:t>
      </w:r>
      <w:r w:rsidR="00B30EAF" w:rsidRPr="001453F0">
        <w:rPr>
          <w:bCs/>
        </w:rPr>
        <w:t>пациентам при наличии клинических симптомов поражения органов дыхания</w:t>
      </w:r>
      <w:r w:rsidR="00B30EAF">
        <w:rPr>
          <w:b/>
          <w:bCs/>
        </w:rPr>
        <w:t xml:space="preserve"> </w:t>
      </w:r>
      <w:r w:rsidR="00B30EAF">
        <w:t xml:space="preserve">(дыхательной недостаточности, обусловленной обширной пневмонией, кровохарканья) </w:t>
      </w:r>
      <w:r w:rsidR="00C83CDA">
        <w:t xml:space="preserve">выполнение </w:t>
      </w:r>
      <w:r w:rsidRPr="00E23AE6">
        <w:rPr>
          <w:bCs/>
        </w:rPr>
        <w:t>бронхоскопи</w:t>
      </w:r>
      <w:r w:rsidR="00C83CDA">
        <w:rPr>
          <w:bCs/>
        </w:rPr>
        <w:t>и</w:t>
      </w:r>
      <w:r>
        <w:rPr>
          <w:bCs/>
        </w:rPr>
        <w:t xml:space="preserve"> </w:t>
      </w:r>
      <w:r>
        <w:t>для оценки</w:t>
      </w:r>
      <w:r w:rsidRPr="00E23AE6">
        <w:t xml:space="preserve"> состояния слизистой оболочки трахеи, бронхов, обнаружени</w:t>
      </w:r>
      <w:r w:rsidR="00B30EAF">
        <w:t>я</w:t>
      </w:r>
      <w:r w:rsidRPr="00E23AE6">
        <w:t xml:space="preserve"> источника кровотечения</w:t>
      </w:r>
      <w:r w:rsidR="00114658">
        <w:t xml:space="preserve"> </w:t>
      </w:r>
      <w:r w:rsidR="00914AB6">
        <w:fldChar w:fldCharType="begin" w:fldLock="1"/>
      </w:r>
      <w:r w:rsidR="002466C9">
        <w:instrText>ADDIN CSL_CITATION {"citationItems":[{"id":"ITEM-1","itemData":{"DOI":"10.1007/s00277-007-0391-6","ISSN":"0939-5555","PMID":"17932672","abstract":"Infectious complications are a major cause of morbidity and mortality in immunosuppressed patients. Febrile patients with hematologic malignancies and pulmonary infiltrates have high mortality rates, especially if mechanical ventilation is required. The diagnostic value of fiberoptic bronchoscopy (FOB) with bronchoalveolar lavage (BAL) in these patients is controversial. We retrospectively analyzed the microbiological results of BAL samples obtained during 249 FOB examinations from 199 febrile patients with hematologic malignancies and pulmonary infiltrates (underlying diseases: acute leukemia 103 patients, lymphoma 84 patients, other malignancies 12 patients). Two hundred forty-six examinations could be evaluated. Seventy-three out of 246 BAL samples were sterile; 55 samples showed microbiological findings classified as contamination or colonization. One hundred eighteen samples showed positive microbiological results of bacteria and/or fungi classified as causative pathogens. Thereof, in 70 samples, only bacterial pathogens were detectable (Gram-positive, 35; Gram-negative, 30; mixed Gram-positive and Gram-negative, 5). Thirteen samples showed both fungi and bacterial pathogens. In 33 samples, only fungi were detectable, thereof, in 15 samples Aspergillus species, in 16 samples Candida species, and in 2 both. In two samples, a viral pathogen could be detected. Three nonlethal complications (bleeding, arrhythmia) occurred that required early termination of FOB. In 94 (38.2%) patient episodes, antibiotic treatment was modified as a result of microbiological findings in BAL samples. Our results show that FOB with BAL is a valuable diagnostic tool with low complication rates in high-risk febrile patients with hematologic malignancies and pulmonary infiltrates, contributing crucial results for the individual case, and also improving epidemiologic knowledge.","author":[{"dropping-particle":"","family":"Hummel","given":"Margit","non-dropping-particle":"","parse-names":false,"suffix":""},{"dropping-particle":"","family":"Rudert","given":"Silke","non-dropping-particle":"","parse-names":false,"suffix":""},{"dropping-particle":"","family":"Hof","given":"Herbert","non-dropping-particle":"","parse-names":false,"suffix":""},{"dropping-particle":"","family":"Hehlmann","given":"Rüdiger","non-dropping-particle":"","parse-names":false,"suffix":""},{"dropping-particle":"","family":"Buchheidt","given":"Dieter","non-dropping-particle":"","parse-names":false,"suffix":""}],"container-title":"Annals of hematology","id":"ITEM-1","issue":"4","issued":{"date-parts":[["2008","4"]]},"page":"291-7","title":"Diagnostic yield of bronchoscopy with bronchoalveolar lavage in febrile patients with hematologic malignancies and pulmonary infiltrates.","type":"article-journal","volume":"87"},"uris":["http://www.mendeley.com/documents/?uuid=d1ff1557-02b1-31c6-9464-53e949af149e"]}],"mendeley":{"formattedCitation":"[44]","plainTextFormattedCitation":"[44]","previouslyFormattedCitation":"[44]"},"properties":{"noteIndex":0},"schema":"https://github.com/citation-style-language/schema/raw/master/csl-citation.json"}</w:instrText>
      </w:r>
      <w:r w:rsidR="00914AB6">
        <w:fldChar w:fldCharType="separate"/>
      </w:r>
      <w:r w:rsidR="00A66456" w:rsidRPr="00A66456">
        <w:rPr>
          <w:noProof/>
        </w:rPr>
        <w:t>[44]</w:t>
      </w:r>
      <w:r w:rsidR="00914AB6">
        <w:fldChar w:fldCharType="end"/>
      </w:r>
      <w:r w:rsidR="00914AB6">
        <w:t>.</w:t>
      </w:r>
      <w:r w:rsidR="00914AB6" w:rsidRPr="00CC467D">
        <w:rPr>
          <w:b/>
        </w:rPr>
        <w:t xml:space="preserve"> </w:t>
      </w:r>
      <w:r w:rsidR="00914AB6" w:rsidRPr="00CC467D">
        <w:rPr>
          <w:i/>
        </w:rPr>
        <w:t xml:space="preserve"> </w:t>
      </w:r>
    </w:p>
    <w:p w14:paraId="5DFA3A75" w14:textId="77777777" w:rsidR="00254823" w:rsidRDefault="00254823" w:rsidP="00B3408C">
      <w:pPr>
        <w:ind w:firstLine="709"/>
        <w:contextualSpacing/>
        <w:rPr>
          <w:b/>
        </w:rPr>
      </w:pPr>
      <w:r w:rsidRPr="00CC467D">
        <w:rPr>
          <w:b/>
        </w:rPr>
        <w:t>Уровень убедительности рекомендаций</w:t>
      </w:r>
      <w:r w:rsidRPr="00CC467D" w:rsidDel="00670C55">
        <w:rPr>
          <w:b/>
        </w:rPr>
        <w:t xml:space="preserve"> </w:t>
      </w:r>
      <w:r w:rsidR="00114658">
        <w:rPr>
          <w:b/>
        </w:rPr>
        <w:t xml:space="preserve">– </w:t>
      </w:r>
      <w:r w:rsidRPr="00B532F8">
        <w:rPr>
          <w:b/>
        </w:rPr>
        <w:t>С</w:t>
      </w:r>
      <w:r w:rsidRPr="00CC467D">
        <w:rPr>
          <w:b/>
        </w:rPr>
        <w:t xml:space="preserve"> (уровень </w:t>
      </w:r>
      <w:r w:rsidRPr="00CC467D">
        <w:rPr>
          <w:b/>
          <w:spacing w:val="-1"/>
        </w:rPr>
        <w:t xml:space="preserve">достоверности доказательств </w:t>
      </w:r>
      <w:r>
        <w:rPr>
          <w:b/>
        </w:rPr>
        <w:t xml:space="preserve">– </w:t>
      </w:r>
      <w:r w:rsidR="00C83CDA">
        <w:rPr>
          <w:b/>
        </w:rPr>
        <w:t>4</w:t>
      </w:r>
      <w:r w:rsidR="00B3408C">
        <w:rPr>
          <w:b/>
        </w:rPr>
        <w:t>)</w:t>
      </w:r>
      <w:r w:rsidR="00114658">
        <w:rPr>
          <w:b/>
        </w:rPr>
        <w:t>.</w:t>
      </w:r>
    </w:p>
    <w:p w14:paraId="63A18127" w14:textId="35B1FB4F" w:rsidR="00A27AD5" w:rsidRPr="00676E20" w:rsidRDefault="00A27AD5" w:rsidP="00A27AD5">
      <w:pPr>
        <w:numPr>
          <w:ilvl w:val="0"/>
          <w:numId w:val="6"/>
        </w:numPr>
        <w:contextualSpacing/>
        <w:rPr>
          <w:color w:val="251F1C"/>
          <w:spacing w:val="-7"/>
        </w:rPr>
      </w:pPr>
      <w:r w:rsidRPr="0006296E">
        <w:rPr>
          <w:b/>
        </w:rPr>
        <w:t>Рекомендуется</w:t>
      </w:r>
      <w:r w:rsidRPr="00676E20">
        <w:t xml:space="preserve"> пациентам</w:t>
      </w:r>
      <w:r>
        <w:t xml:space="preserve"> с диагностированной ЛБЛ применение</w:t>
      </w:r>
      <w:r w:rsidRPr="00676E20">
        <w:t xml:space="preserve"> позитронно-эмиссионной </w:t>
      </w:r>
      <w:r>
        <w:t xml:space="preserve">компьютерной </w:t>
      </w:r>
      <w:r w:rsidRPr="00676E20">
        <w:t>томографии (ПЭТ</w:t>
      </w:r>
      <w:r>
        <w:t>/КТ</w:t>
      </w:r>
      <w:r w:rsidRPr="00676E20">
        <w:t xml:space="preserve">) </w:t>
      </w:r>
      <w:r>
        <w:t xml:space="preserve">для стадирования </w:t>
      </w:r>
      <w:r w:rsidRPr="00676E20">
        <w:t>заболевания</w:t>
      </w:r>
      <w:r>
        <w:t xml:space="preserve"> </w:t>
      </w:r>
      <w:r>
        <w:fldChar w:fldCharType="begin" w:fldLock="1"/>
      </w:r>
      <w:r w:rsidR="002466C9">
        <w:instrText>ADDIN CSL_CITATION {"citationItems":[{"id":"ITEM-1","itemData":{"DOI":"10.1182/blood.v122.21.4314.4314","ISSN":"0006-4971","abstract":"Introduction The two relevant questions that emerge and remains unanswered in the management of adult lymphoblastic lymphomas (LBL) are- how to select patients for mediastinal radiation and whom to subject for autologous transplant. Mediastinal radiation or intensification of therapy may reduce the mediastinal recurrence- a common site for relapse. It is also understood that not all patients with residual mediastinal mass relapse. The inability of computed tomography to differentiate between necrotic and viable disease in a residual mediastinal mass post induction therapy led us to explore PET-CT as modality to differentiate the same. In a retrospective analysis we evaluated the role of post-induction chemotherapy PET-CT in predicting the risk of relapse or progression in adult LBL patients. Methods In a single centre retrospective analysis we included newly diagnosed LBL patients (&gt;15 years) who were treated with ALL- like therapy between January 2010 and February 2013. All patients who underwent PET-CT after induction chemotherapy were analysed. SUVmax was used to assess the response. Details of demographic variables, diagnosis, subtype, baseline LDH, bone marrow involvement, cerebrospinal fluid analysis, chemotherapy, radiotherapy, responses, relapse/progression, death and its cause and last follow up date were taken from electronic medical records. Results Twenty-two patients (17 males and 5 females) with median age 24.5 years (range, 16-44 years) were analysed. All patients had T- LBL. Thirteen patients (13/22) had stage IV disease (Ann Arbor stage) and all had bulky mediastinal mass at diagnosis. None of the patient had CSF or bone marrow involvement. Raised LDH and low albumin were present in 80% and 60% of patients respectively. Median WBC was 10,200/cumm (range, 4400-15300/cumm). All but 4 patients received BFM-90 ALL protocol based therapy. After induction 19 patients achieved complete remission on PET-CT. Patients who had residual mediastinal masses on PET-CT relapsed during later phase of therapy (all within 6 months) in mediastinum and died subsequently. Mediastinal radiation was given to one of these patients but it did not prevent a subsequent relapse. One patient who achieved complete response had bone marrow relapse after 16 months of therapy. Three patients had treatment related death (sepsis). At median follow up of 14 months 1-year overall survival was 69% and progression free survival was 78%. Conclusion Post induction therapy PET-C…","author":[{"dropping-particle":"","family":"Sengar","given":"Manju","non-dropping-particle":"","parse-names":false,"suffix":""},{"dropping-particle":"","family":"Jain","given":"Hasmukh","non-dropping-particle":"","parse-names":false,"suffix":""},{"dropping-particle":"","family":"Menon","given":"Hari","non-dropping-particle":"","parse-names":false,"suffix":""},{"dropping-particle":"","family":"Epari","given":"Sridhar","non-dropping-particle":"","parse-names":false,"suffix":""},{"dropping-particle":"","family":"Agrawal","given":"Archi","non-dropping-particle":"","parse-names":false,"suffix":""},{"dropping-particle":"","family":"Rangarajan","given":"Venkatesh","non-dropping-particle":"","parse-names":false,"suffix":""},{"dropping-particle":"","family":"Shet","given":"Tanuja","non-dropping-particle":"","parse-names":false,"suffix":""},{"dropping-particle":"","family":"Gujral","given":"Sumeet","non-dropping-particle":"","parse-names":false,"suffix":""},{"dropping-particle":"","family":"Laskar","given":"Siddhartha","non-dropping-particle":"","parse-names":false,"suffix":""}],"container-title":"Blood","id":"ITEM-1","issue":"21","issued":{"date-parts":[["2013","11","15"]]},"page":"4314-4314","publisher":"American Society of Hematology","title":"Whole Body PET-CT In Management Of Lymphoblastic Lymphomas In Adults: Does It Have a Prognostic Impact?","type":"article-journal","volume":"122"},"uris":["http://www.mendeley.com/documents/?uuid=c91198b0-3e03-3fed-85a6-2e64fafc476c"]}],"mendeley":{"formattedCitation":"[45]","plainTextFormattedCitation":"[45]","previouslyFormattedCitation":"[45]"},"properties":{"noteIndex":0},"schema":"https://github.com/citation-style-language/schema/raw/master/csl-citation.json"}</w:instrText>
      </w:r>
      <w:r>
        <w:fldChar w:fldCharType="separate"/>
      </w:r>
      <w:r w:rsidR="00A66456" w:rsidRPr="00A66456">
        <w:rPr>
          <w:noProof/>
        </w:rPr>
        <w:t>[45]</w:t>
      </w:r>
      <w:r>
        <w:fldChar w:fldCharType="end"/>
      </w:r>
      <w:r>
        <w:t>.</w:t>
      </w:r>
    </w:p>
    <w:p w14:paraId="45E4AF87" w14:textId="77777777" w:rsidR="00A27AD5" w:rsidRDefault="00A27AD5" w:rsidP="00A27AD5">
      <w:pPr>
        <w:tabs>
          <w:tab w:val="center" w:pos="0"/>
        </w:tabs>
        <w:ind w:firstLine="709"/>
        <w:contextualSpacing/>
        <w:rPr>
          <w:b/>
        </w:rPr>
      </w:pPr>
      <w:r w:rsidRPr="00002BCA">
        <w:rPr>
          <w:b/>
        </w:rPr>
        <w:t xml:space="preserve">Уровень убедительности рекомендаций – </w:t>
      </w:r>
      <w:r w:rsidR="00DC3389">
        <w:rPr>
          <w:b/>
        </w:rPr>
        <w:t>С</w:t>
      </w:r>
      <w:r w:rsidR="00DC3389" w:rsidRPr="00002BCA">
        <w:rPr>
          <w:b/>
        </w:rPr>
        <w:t xml:space="preserve"> </w:t>
      </w:r>
      <w:r w:rsidRPr="00002BCA">
        <w:rPr>
          <w:b/>
        </w:rPr>
        <w:t xml:space="preserve">(уровень </w:t>
      </w:r>
      <w:r w:rsidRPr="00002BCA">
        <w:rPr>
          <w:b/>
          <w:spacing w:val="-1"/>
        </w:rPr>
        <w:t xml:space="preserve">достоверности доказательств </w:t>
      </w:r>
      <w:r w:rsidRPr="00002BCA">
        <w:rPr>
          <w:b/>
        </w:rPr>
        <w:t xml:space="preserve">– </w:t>
      </w:r>
      <w:r w:rsidR="00DC3389">
        <w:rPr>
          <w:b/>
        </w:rPr>
        <w:t>4</w:t>
      </w:r>
      <w:r w:rsidRPr="00002BCA">
        <w:rPr>
          <w:b/>
        </w:rPr>
        <w:t>).</w:t>
      </w:r>
    </w:p>
    <w:p w14:paraId="712E9945" w14:textId="77777777" w:rsidR="00A27AD5" w:rsidRPr="00A72C47" w:rsidRDefault="00A27AD5" w:rsidP="00A27AD5">
      <w:pPr>
        <w:shd w:val="clear" w:color="auto" w:fill="FFFFFF"/>
        <w:tabs>
          <w:tab w:val="center" w:pos="709"/>
        </w:tabs>
        <w:ind w:firstLine="709"/>
        <w:contextualSpacing/>
        <w:rPr>
          <w:i/>
        </w:rPr>
      </w:pPr>
      <w:r>
        <w:rPr>
          <w:b/>
        </w:rPr>
        <w:t xml:space="preserve">Комментарии: </w:t>
      </w:r>
      <w:r>
        <w:rPr>
          <w:i/>
        </w:rPr>
        <w:t>у многих пациентов с ЛБЛ, имеющих массивное поражение медиастинальных лимфоузлов исходно, после завершения ИТ при рентгенографии или КТ остаются резидуальные образования. Целью дополнительных диагностических процедур является получение ответа на вопрос, представляют ли эти образования участки некротической или рубцовой ткани, либо содержат жизнеспособные опухолевые клетки. Лучевые методы исследования, в частности ПЭТ/КТ, вероятно, полезны при стадировании заболевания. Было показано, что позитивные результаты ПЭТ/КТ позволяют с высокой вероятностью прогнозировать резидуальное или рецидивное поражение при НХЛ</w:t>
      </w:r>
      <w:r>
        <w:t xml:space="preserve"> </w:t>
      </w:r>
      <w:r w:rsidRPr="00487D2C">
        <w:t>[95]</w:t>
      </w:r>
      <w:r>
        <w:rPr>
          <w:i/>
          <w:color w:val="251F1C"/>
          <w:spacing w:val="-7"/>
        </w:rPr>
        <w:t>.</w:t>
      </w:r>
      <w:r>
        <w:rPr>
          <w:i/>
        </w:rPr>
        <w:t xml:space="preserve"> </w:t>
      </w:r>
    </w:p>
    <w:p w14:paraId="23BAD3FE" w14:textId="77777777" w:rsidR="00A27AD5" w:rsidRPr="00CC467D" w:rsidRDefault="00A27AD5" w:rsidP="00B3408C">
      <w:pPr>
        <w:ind w:firstLine="709"/>
        <w:contextualSpacing/>
        <w:rPr>
          <w:b/>
        </w:rPr>
      </w:pPr>
    </w:p>
    <w:p w14:paraId="51638EB7" w14:textId="77777777" w:rsidR="00254823" w:rsidRPr="00254823" w:rsidRDefault="00AE7999" w:rsidP="004905C2">
      <w:pPr>
        <w:pStyle w:val="2"/>
      </w:pPr>
      <w:bookmarkStart w:id="74" w:name="_Toc5373976"/>
      <w:bookmarkStart w:id="75" w:name="_Toc13484807"/>
      <w:bookmarkStart w:id="76" w:name="_Toc26796706"/>
      <w:bookmarkStart w:id="77" w:name="_Toc64467922"/>
      <w:bookmarkStart w:id="78" w:name="_Toc64565636"/>
      <w:r>
        <w:t>2.5.</w:t>
      </w:r>
      <w:bookmarkEnd w:id="74"/>
      <w:bookmarkEnd w:id="75"/>
      <w:r w:rsidR="00034BDA" w:rsidRPr="006C30AA">
        <w:t xml:space="preserve"> </w:t>
      </w:r>
      <w:r w:rsidR="006C30AA" w:rsidRPr="006C30AA">
        <w:t>Ин</w:t>
      </w:r>
      <w:r w:rsidR="006C30AA">
        <w:t>ые диагностические исследования</w:t>
      </w:r>
      <w:bookmarkEnd w:id="76"/>
      <w:bookmarkEnd w:id="77"/>
      <w:bookmarkEnd w:id="78"/>
    </w:p>
    <w:p w14:paraId="7366DB58" w14:textId="77777777" w:rsidR="00254823" w:rsidRPr="00CB6767" w:rsidRDefault="00254823" w:rsidP="00FF4C81">
      <w:pPr>
        <w:numPr>
          <w:ilvl w:val="0"/>
          <w:numId w:val="19"/>
        </w:numPr>
        <w:contextualSpacing/>
        <w:rPr>
          <w:i/>
        </w:rPr>
      </w:pPr>
      <w:r w:rsidRPr="00566082">
        <w:rPr>
          <w:b/>
        </w:rPr>
        <w:t>Рекомендуется</w:t>
      </w:r>
      <w:r w:rsidRPr="00617969">
        <w:t xml:space="preserve"> выполнение </w:t>
      </w:r>
      <w:r w:rsidRPr="00566082">
        <w:rPr>
          <w:rFonts w:eastAsia="Arial Unicode MS"/>
        </w:rPr>
        <w:t xml:space="preserve">женщинам репродуктивного возраста </w:t>
      </w:r>
      <w:r w:rsidR="000619DB">
        <w:rPr>
          <w:rFonts w:eastAsia="Arial Unicode MS"/>
        </w:rPr>
        <w:t>теста</w:t>
      </w:r>
      <w:r w:rsidR="00975717">
        <w:rPr>
          <w:rFonts w:eastAsia="Arial Unicode MS"/>
        </w:rPr>
        <w:t xml:space="preserve"> на беременность (исследование хорионического гонадотропина человека</w:t>
      </w:r>
      <w:r w:rsidR="000A3C5F">
        <w:rPr>
          <w:rFonts w:eastAsia="Arial Unicode MS"/>
        </w:rPr>
        <w:t xml:space="preserve">) </w:t>
      </w:r>
      <w:r w:rsidRPr="000A3C5F">
        <w:rPr>
          <w:rFonts w:eastAsia="Arial Unicode MS"/>
        </w:rPr>
        <w:t>с целью выявления беременн</w:t>
      </w:r>
      <w:r w:rsidR="00F729AF" w:rsidRPr="000A3C5F">
        <w:rPr>
          <w:rFonts w:eastAsia="Arial Unicode MS"/>
        </w:rPr>
        <w:t>ости</w:t>
      </w:r>
      <w:r w:rsidR="00B50B70">
        <w:t xml:space="preserve"> </w:t>
      </w:r>
      <w:r w:rsidR="00914AB6">
        <w:fldChar w:fldCharType="begin" w:fldLock="1"/>
      </w:r>
      <w:r w:rsidR="00914AB6">
        <w:instrText>ADDIN CSL_CITATION {"citationItems":[{"id":"ITEM-1","itemData":{"id":"ITEM-1","issued":{"date-parts":[["2012"]]},"number-of-pages":"1056","title":"Программное лечение заболеваний системы крови: Сборник алгоритмов диагностики и протоколов лечения заболеваний системы крови. Под ред. В.Г. Савченко","type":"book"},"uris":["http://www.mendeley.com/documents/?uuid=36484a90-27ae-40a9-a194-b0461fb47d9d"]},{"id":"ITEM-2","itemData":{"author":[{"dropping-particle":"","family":"Gökbuget","given":"N.","non-dropping-particle":"","parse-names":false,"suffix":""},{"dropping-particle":"","family":"Bassan","given":"R.","non-dropping-particle":"","parse-names":false,"suffix":""},{"dropping-particle":"","family":"Dombret","given":"H.","non-dropping-particle":"","parse-names":false,"suffix":""},{"dropping-particle":"","family":"Doubek","given":"M.","non-dropping-particle":"","parse-names":false,"suffix":""},{"dropping-particle":"","family":"Fielding","given":"A.K.","non-dropping-particle":"","parse-names":false,"suffix":""},{"dropping-particle":"","family":"Foà","given":"R.","non-dropping-particle":"","parse-names":false,"suffix":""},{"dropping-particle":"","family":"Giebel","given":"S.","non-dropping-particle":"","parse-names":false,"suffix":""},{"dropping-particle":"","family":"Hoelzer","given":"D.","non-dropping-particle":"","parse-names":false,"suffix":""},{"dropping-particle":"","family":"Martinelli","given":"G.","non-dropping-particle":"","parse-names":false,"suffix":""},{"dropping-particle":"","family":"Meloni","given":"G.","non-dropping-particle":"","parse-names":false,"suffix":""},{"dropping-particle":"","family":"Delia Moicean","given":"A.","non-dropping-particle":"","parse-names":false,"suffix":""},{"dropping-particle":"","family":"Ottmann","given":"O.","non-dropping-particle":"","parse-names":false,"suffix":""},{"dropping-particle":"","family":"Piccaluga","given":"P.P.","non-dropping-particle":"","parse-names":false,"suffix":""},{"dropping-particle":"","family":"Ribera","given":"J.M.","non-dropping-particle":"","parse-names":false,"suffix":""},{"dropping-particle":"","family":"Rousselot","given":"P.","non-dropping-particle":"","parse-names":false,"suffix":""},{"dropping-particle":"","family":"Walewski","given":"J.","non-dropping-particle":"","parse-names":false,"suffix":""}],"container-title":"UNI-MED Verlag AG","id":"ITEM-2","issued":{"date-parts":[["2011"]]},"number-of-pages":"204","title":"Recommendations of the European Working Group for Adult ALL (EWALL)","type":"book"},"uris":["http://www.mendeley.com/documents/?uuid=aba58166-cd2b-4f70-bb6a-5fdd9e1b42de"]}],"mendeley":{"formattedCitation":"[1,5]","plainTextFormattedCitation":"[1,5]","previouslyFormattedCitation":"[1,5]"},"properties":{"noteIndex":0},"schema":"https://github.com/citation-style-language/schema/raw/master/csl-citation.json"}</w:instrText>
      </w:r>
      <w:r w:rsidR="00914AB6">
        <w:fldChar w:fldCharType="separate"/>
      </w:r>
      <w:r w:rsidR="00914AB6" w:rsidRPr="00B30EAF">
        <w:rPr>
          <w:noProof/>
        </w:rPr>
        <w:t>[1,5]</w:t>
      </w:r>
      <w:r w:rsidR="00914AB6">
        <w:fldChar w:fldCharType="end"/>
      </w:r>
      <w:r w:rsidR="00914AB6" w:rsidRPr="00566082">
        <w:rPr>
          <w:rFonts w:eastAsia="Arial Unicode MS"/>
        </w:rPr>
        <w:t xml:space="preserve">. </w:t>
      </w:r>
      <w:r w:rsidRPr="00566082">
        <w:rPr>
          <w:rFonts w:eastAsia="Arial Unicode MS"/>
        </w:rPr>
        <w:t xml:space="preserve"> </w:t>
      </w:r>
    </w:p>
    <w:p w14:paraId="4BF9A924" w14:textId="77777777" w:rsidR="00254823" w:rsidRPr="00975717" w:rsidRDefault="00254823" w:rsidP="00B3408C">
      <w:pPr>
        <w:ind w:firstLine="709"/>
        <w:contextualSpacing/>
        <w:rPr>
          <w:b/>
        </w:rPr>
      </w:pPr>
      <w:r w:rsidRPr="00617969">
        <w:rPr>
          <w:b/>
        </w:rPr>
        <w:t>Уровень убедительности рекомендаций</w:t>
      </w:r>
      <w:r w:rsidRPr="00617969" w:rsidDel="00670C55">
        <w:rPr>
          <w:b/>
        </w:rPr>
        <w:t xml:space="preserve"> </w:t>
      </w:r>
      <w:r w:rsidR="00975717">
        <w:rPr>
          <w:b/>
        </w:rPr>
        <w:t>–</w:t>
      </w:r>
      <w:r w:rsidR="00975717" w:rsidRPr="00975717">
        <w:rPr>
          <w:b/>
        </w:rPr>
        <w:t xml:space="preserve"> </w:t>
      </w:r>
      <w:r w:rsidR="00B30EAF">
        <w:rPr>
          <w:b/>
        </w:rPr>
        <w:t>С</w:t>
      </w:r>
      <w:r w:rsidRPr="00617969">
        <w:rPr>
          <w:b/>
        </w:rPr>
        <w:t xml:space="preserve"> (уровень </w:t>
      </w:r>
      <w:r w:rsidRPr="00617969">
        <w:rPr>
          <w:b/>
          <w:spacing w:val="-1"/>
        </w:rPr>
        <w:t xml:space="preserve">достоверности доказательств </w:t>
      </w:r>
      <w:r>
        <w:rPr>
          <w:b/>
        </w:rPr>
        <w:t xml:space="preserve">– </w:t>
      </w:r>
      <w:r w:rsidRPr="00AB76DB">
        <w:rPr>
          <w:b/>
        </w:rPr>
        <w:t>5</w:t>
      </w:r>
      <w:r w:rsidR="00B3408C">
        <w:rPr>
          <w:b/>
        </w:rPr>
        <w:t>)</w:t>
      </w:r>
      <w:r w:rsidR="00975717">
        <w:rPr>
          <w:b/>
        </w:rPr>
        <w:t>.</w:t>
      </w:r>
    </w:p>
    <w:p w14:paraId="43DAB2C1" w14:textId="29DE98E5" w:rsidR="00254823" w:rsidRDefault="00254823" w:rsidP="00FF4C81">
      <w:pPr>
        <w:numPr>
          <w:ilvl w:val="0"/>
          <w:numId w:val="19"/>
        </w:numPr>
        <w:rPr>
          <w:b/>
        </w:rPr>
      </w:pPr>
      <w:r w:rsidRPr="00617969">
        <w:rPr>
          <w:b/>
        </w:rPr>
        <w:t>Рекомендуется</w:t>
      </w:r>
      <w:r w:rsidRPr="00617969">
        <w:t xml:space="preserve"> </w:t>
      </w:r>
      <w:r w:rsidR="00B30EAF">
        <w:t>всем пациентам с ОЛЛ/ЛБЛ из группы высокого риска и при рецидиве заболевания, а также их сиблингам определение HLA-антигенов</w:t>
      </w:r>
      <w:r w:rsidR="00B30EAF" w:rsidRPr="004E1E69">
        <w:t xml:space="preserve"> </w:t>
      </w:r>
      <w:r w:rsidRPr="00617969">
        <w:rPr>
          <w:rFonts w:eastAsia="Arial Unicode MS"/>
        </w:rPr>
        <w:t xml:space="preserve">с целью поиска потенциального донора </w:t>
      </w:r>
      <w:r w:rsidR="00C57A53">
        <w:rPr>
          <w:rFonts w:eastAsia="Arial Unicode MS"/>
        </w:rPr>
        <w:t>КМ</w:t>
      </w:r>
      <w:r w:rsidR="00386B8E">
        <w:rPr>
          <w:rFonts w:eastAsia="Arial Unicode MS"/>
        </w:rPr>
        <w:t xml:space="preserve"> </w:t>
      </w:r>
      <w:r w:rsidR="00914AB6">
        <w:rPr>
          <w:rFonts w:eastAsia="Arial Unicode MS"/>
        </w:rPr>
        <w:fldChar w:fldCharType="begin" w:fldLock="1"/>
      </w:r>
      <w:r w:rsidR="002466C9">
        <w:rPr>
          <w:rFonts w:eastAsia="Arial Unicode MS"/>
        </w:rPr>
        <w:instrText>ADDIN CSL_CITATION {"citationItems":[{"id":"ITEM-1","itemData":{"DOI":"10.1097/CCO.0b013e32834f5c41","ISSN":"10408746","abstract":"PURPOSE OF REVIEW: Acute lymphoblastic leukemia (ALL) is a heterogeneous disease, for which treatment guidelines are still evolving. Allogeneic hematopoietic cell transplantation (allo-HCT) is a potentially curative therapeutic modality for ALL, and this review describes the recent studies and current practice patterns concerning the who, when, and how of allo-HCT in the management of ALL.\\n\\nRECENT FINDINGS: Allogeneic stem cell transplantation is the treatment of choice for patients with ALL after first relapse and is also recommended for high-risk patients in first complete remission (CR1). Minimal residual disease evaluation and monitoring is developing as an important prognostic factor and could guide physicians in determining which patients, especially those with standard risk, might require transplant. Tyrosine kinase inhibitor (TKI) therapy allows a much higher proportion of Philadelphia-chromosome-positive ALL patients to attain remission and proceed to transplant with improved results; posttransplant TKI maintenance therapy may also provide survival benefit. Reduced-intensity conditioning regimens are a reasonable alternative for patients who would otherwise be ineligible for transplant because of age or comorbidity.\\n\\nSUMMARY: For patients with high-risk features, there is general agreement that allo-HCT in CR1 is a potentially curative option; however, there is no consensus on early transplant for standard-risk patients.","author":[{"dropping-particle":"","family":"Khaled","given":"Samer K.","non-dropping-particle":"","parse-names":false,"suffix":""},{"dropping-particle":"","family":"Thomas","given":"Sandra H.","non-dropping-particle":"","parse-names":false,"suffix":""},{"dropping-particle":"","family":"Forman","given":"Stephen J.","non-dropping-particle":"","parse-names":false,"suffix":""}],"container-title":"Current Opinion in Oncology","id":"ITEM-1","issue":"2","issued":{"date-parts":[["2012","3"]]},"page":"182-190","title":"Allogeneic hematopoietic cell transplantation for acute lymphoblastic leukemia in adults","type":"article","volume":"24"},"uris":["http://www.mendeley.com/documents/?uuid=380bc749-9e31-3de0-bbc3-d3d64e84b6fe"]},{"id":"ITEM-2","itemData":{"DOI":"10.3324/haematol.2011.048348","ISSN":"03906078","author":[{"dropping-particle":"","family":"Ribera","given":"Josep Maria","non-dropping-particle":"","parse-names":false,"suffix":""}],"container-title":"Haematologica","id":"ITEM-2","issue":"8","issued":{"date-parts":[["2011","8"]]},"page":"1083-1086","title":"Allogeneic stem cell transplantation for adult acute lymphoblastic leukemia: When and how","type":"article-magazine","volume":"96"},"uris":["http://www.mendeley.com/documents/?uuid=90e6b733-8ee3-3ff2-999f-2ef3dbd93139"]}],"mendeley":{"formattedCitation":"[46,47]","plainTextFormattedCitation":"[46,47]","previouslyFormattedCitation":"[46,47]"},"properties":{"noteIndex":0},"schema":"https://github.com/citation-style-language/schema/raw/master/csl-citation.json"}</w:instrText>
      </w:r>
      <w:r w:rsidR="00914AB6">
        <w:rPr>
          <w:rFonts w:eastAsia="Arial Unicode MS"/>
        </w:rPr>
        <w:fldChar w:fldCharType="separate"/>
      </w:r>
      <w:r w:rsidR="00A66456" w:rsidRPr="00A66456">
        <w:rPr>
          <w:rFonts w:eastAsia="Arial Unicode MS"/>
          <w:noProof/>
        </w:rPr>
        <w:t>[46,47]</w:t>
      </w:r>
      <w:r w:rsidR="00914AB6">
        <w:rPr>
          <w:rFonts w:eastAsia="Arial Unicode MS"/>
        </w:rPr>
        <w:fldChar w:fldCharType="end"/>
      </w:r>
      <w:r w:rsidR="00914AB6">
        <w:rPr>
          <w:rFonts w:eastAsia="Arial Unicode MS"/>
          <w:lang w:val="en-US"/>
        </w:rPr>
        <w:t>.</w:t>
      </w:r>
    </w:p>
    <w:p w14:paraId="38086670" w14:textId="77777777" w:rsidR="00254823" w:rsidRDefault="00254823" w:rsidP="004F0992">
      <w:pPr>
        <w:ind w:firstLine="709"/>
        <w:rPr>
          <w:rFonts w:eastAsia="Arial Unicode MS"/>
        </w:rPr>
      </w:pPr>
      <w:r w:rsidRPr="00617969">
        <w:rPr>
          <w:b/>
        </w:rPr>
        <w:t>Уровень убедительности рекомендаций</w:t>
      </w:r>
      <w:r w:rsidRPr="00617969" w:rsidDel="00670C55">
        <w:rPr>
          <w:b/>
        </w:rPr>
        <w:t xml:space="preserve"> </w:t>
      </w:r>
      <w:r w:rsidR="00976A19">
        <w:rPr>
          <w:b/>
        </w:rPr>
        <w:t xml:space="preserve">– </w:t>
      </w:r>
      <w:r w:rsidR="00B30EAF">
        <w:rPr>
          <w:b/>
          <w:lang w:val="en-US"/>
        </w:rPr>
        <w:t>C</w:t>
      </w:r>
      <w:r w:rsidRPr="00617969">
        <w:rPr>
          <w:b/>
        </w:rPr>
        <w:t xml:space="preserve"> (уровень </w:t>
      </w:r>
      <w:r w:rsidRPr="00617969">
        <w:rPr>
          <w:b/>
          <w:spacing w:val="-1"/>
        </w:rPr>
        <w:t xml:space="preserve">достоверности доказательств </w:t>
      </w:r>
      <w:r>
        <w:rPr>
          <w:b/>
        </w:rPr>
        <w:t xml:space="preserve">– </w:t>
      </w:r>
      <w:r w:rsidR="00B30EAF" w:rsidRPr="00B30EAF">
        <w:rPr>
          <w:b/>
        </w:rPr>
        <w:t>5</w:t>
      </w:r>
      <w:r w:rsidR="004F0992">
        <w:rPr>
          <w:b/>
        </w:rPr>
        <w:t>)</w:t>
      </w:r>
      <w:r w:rsidR="00976A19">
        <w:rPr>
          <w:b/>
        </w:rPr>
        <w:t>.</w:t>
      </w:r>
    </w:p>
    <w:p w14:paraId="354EA5BD" w14:textId="388FDFB0" w:rsidR="00254823" w:rsidRPr="00566082" w:rsidRDefault="00254823" w:rsidP="00FF4C81">
      <w:pPr>
        <w:numPr>
          <w:ilvl w:val="0"/>
          <w:numId w:val="19"/>
        </w:numPr>
        <w:rPr>
          <w:rFonts w:eastAsia="Arial Unicode MS"/>
        </w:rPr>
      </w:pPr>
      <w:r w:rsidRPr="00617969">
        <w:rPr>
          <w:b/>
        </w:rPr>
        <w:t>Рекомендуется</w:t>
      </w:r>
      <w:r w:rsidRPr="00617969">
        <w:t xml:space="preserve"> </w:t>
      </w:r>
      <w:r>
        <w:t xml:space="preserve">всем </w:t>
      </w:r>
      <w:r w:rsidRPr="004D2516">
        <w:rPr>
          <w:color w:val="000000" w:themeColor="text1"/>
        </w:rPr>
        <w:t xml:space="preserve">пациентам </w:t>
      </w:r>
      <w:r w:rsidR="00B465AF" w:rsidRPr="004D2516">
        <w:rPr>
          <w:color w:val="000000" w:themeColor="text1"/>
        </w:rPr>
        <w:t xml:space="preserve">с ОЛЛ при наличии показаний и определении сопутствующей патологии (с коморбидностью, которая может повлиять на выбор </w:t>
      </w:r>
      <w:r w:rsidR="00B465AF" w:rsidRPr="004D2516">
        <w:rPr>
          <w:color w:val="000000" w:themeColor="text1"/>
        </w:rPr>
        <w:lastRenderedPageBreak/>
        <w:t>программы противоопухолевой терапии), на любом этапе диагностики и лечения консультации соответствующего врача-специалиста (</w:t>
      </w:r>
      <w:r w:rsidR="00B465AF" w:rsidRPr="004D2516">
        <w:rPr>
          <w:color w:val="000000" w:themeColor="text1"/>
          <w:szCs w:val="24"/>
        </w:rPr>
        <w:t>врача-хирурга</w:t>
      </w:r>
      <w:r w:rsidR="00B465AF" w:rsidRPr="004D2516">
        <w:rPr>
          <w:color w:val="000000" w:themeColor="text1"/>
        </w:rPr>
        <w:t xml:space="preserve">, </w:t>
      </w:r>
      <w:r w:rsidR="00B465AF" w:rsidRPr="004D2516">
        <w:rPr>
          <w:color w:val="000000" w:themeColor="text1"/>
          <w:szCs w:val="24"/>
        </w:rPr>
        <w:t xml:space="preserve">врача-сердечно-сосудистого хирурга, </w:t>
      </w:r>
      <w:r w:rsidR="00B465AF" w:rsidRPr="004D2516">
        <w:rPr>
          <w:color w:val="000000" w:themeColor="text1"/>
        </w:rPr>
        <w:t xml:space="preserve">врача-кардиолога, врача-невролога, </w:t>
      </w:r>
      <w:r w:rsidR="00B465AF" w:rsidRPr="004D2516">
        <w:rPr>
          <w:color w:val="000000" w:themeColor="text1"/>
          <w:szCs w:val="24"/>
        </w:rPr>
        <w:t>врача-нейрохирурга</w:t>
      </w:r>
      <w:r w:rsidR="00B465AF" w:rsidRPr="004D2516">
        <w:rPr>
          <w:color w:val="000000" w:themeColor="text1"/>
        </w:rPr>
        <w:t xml:space="preserve">, врача-оториноларинолога, </w:t>
      </w:r>
      <w:r w:rsidR="00B465AF" w:rsidRPr="004D2516">
        <w:rPr>
          <w:color w:val="000000" w:themeColor="text1"/>
          <w:szCs w:val="24"/>
        </w:rPr>
        <w:t>врача-офтальмолога</w:t>
      </w:r>
      <w:r w:rsidR="00B465AF" w:rsidRPr="004D2516">
        <w:rPr>
          <w:color w:val="000000" w:themeColor="text1"/>
        </w:rPr>
        <w:t xml:space="preserve">, врача-уролога, </w:t>
      </w:r>
      <w:r w:rsidR="00B465AF" w:rsidRPr="004D2516">
        <w:rPr>
          <w:color w:val="000000" w:themeColor="text1"/>
          <w:szCs w:val="24"/>
        </w:rPr>
        <w:t>врача-нефролога</w:t>
      </w:r>
      <w:r w:rsidR="00B465AF" w:rsidRPr="004D2516">
        <w:rPr>
          <w:color w:val="000000" w:themeColor="text1"/>
        </w:rPr>
        <w:t xml:space="preserve">, врача-колопроктолога, врача-эндокринолога, врача-пульмонолога, врача-фтизиатра, </w:t>
      </w:r>
      <w:r w:rsidR="00B465AF" w:rsidRPr="004D2516">
        <w:rPr>
          <w:color w:val="000000" w:themeColor="text1"/>
          <w:szCs w:val="24"/>
        </w:rPr>
        <w:t>врача-гастроэнтеролога, врача-дерматовенеролога врача-стоматолога-терапевта</w:t>
      </w:r>
      <w:r w:rsidR="00B465AF" w:rsidRPr="004D2516">
        <w:rPr>
          <w:color w:val="000000" w:themeColor="text1"/>
        </w:rPr>
        <w:t xml:space="preserve">, </w:t>
      </w:r>
      <w:r w:rsidR="00B465AF" w:rsidRPr="004D2516">
        <w:rPr>
          <w:color w:val="000000" w:themeColor="text1"/>
          <w:szCs w:val="24"/>
        </w:rPr>
        <w:t>врача-стоматолога-хирурга</w:t>
      </w:r>
      <w:r w:rsidR="00B465AF" w:rsidRPr="004D2516">
        <w:rPr>
          <w:color w:val="000000" w:themeColor="text1"/>
        </w:rPr>
        <w:t xml:space="preserve">, </w:t>
      </w:r>
      <w:r w:rsidR="00B465AF" w:rsidRPr="004D2516">
        <w:rPr>
          <w:color w:val="000000" w:themeColor="text1"/>
          <w:szCs w:val="24"/>
        </w:rPr>
        <w:t>врача-травматолога-ортопеда, врача-психиатра</w:t>
      </w:r>
      <w:r w:rsidR="00B465AF" w:rsidRPr="004D2516">
        <w:rPr>
          <w:color w:val="000000" w:themeColor="text1"/>
        </w:rPr>
        <w:t xml:space="preserve"> и др.</w:t>
      </w:r>
      <w:r w:rsidR="00B465AF" w:rsidRPr="004D2516">
        <w:rPr>
          <w:color w:val="000000" w:themeColor="text1"/>
          <w:szCs w:val="24"/>
        </w:rPr>
        <w:t xml:space="preserve"> - первичный и повторный прием)</w:t>
      </w:r>
      <w:r w:rsidR="00976A19">
        <w:t xml:space="preserve"> </w:t>
      </w:r>
      <w:r w:rsidR="00914AB6">
        <w:fldChar w:fldCharType="begin" w:fldLock="1"/>
      </w:r>
      <w:r w:rsidR="00914AB6">
        <w:instrText>ADDIN CSL_CITATION {"citationItems":[{"id":"ITEM-1","itemData":{"id":"ITEM-1","issued":{"date-parts":[["2012"]]},"number-of-pages":"1056","title":"Программное лечение заболеваний системы крови: Сборник алгоритмов диагностики и протоколов лечения заболеваний системы крови. Под ред. В.Г. Савченко","type":"book"},"uris":["http://www.mendeley.com/documents/?uuid=36484a90-27ae-40a9-a194-b0461fb47d9d"]},{"id":"ITEM-2","itemData":{"author":[{"dropping-particle":"","family":"Савченко","given":"Валерий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доп.","id":"ITEM-2","issued":{"date-parts":[["2007"]]},"page":"409-502","title":"Острые лейкозы","type":"chapter"},"uris":["http://www.mendeley.com/documents/?uuid=08f85f58-ddaa-48eb-b937-65d15d14b213"]},{"id":"ITEM-3","itemData":{"author":[{"dropping-particle":"","family":"Brown","given":"Patrick A","non-dropping-particle":"","parse-names":false,"suffix":""},{"dropping-particle":"","family":"Shah","given":"Bijal","non-dropping-particle":"","parse-names":false,"suffix":""},{"dropping-particle":"","family":"Advani","given":"Anjali","non-dropping-particle":"","parse-names":false,"suffix":""},{"dropping-particle":"","family":"Aoun","given":"Patricia","non-dropping-particle":"","parse-names":false,"suffix":""},{"dropping-particle":"","family":"Bhatnagar","given":"Bhavana","non-dropping-particle":"","parse-names":false,"suffix":""},{"dropping-particle":"","family":"Boyer","given":"Michael W","non-dropping-particle":"","parse-names":false,"suffix":""},{"dropping-particle":"","family":"Bryan","given":"Teresa","non-dropping-particle":"","parse-names":false,"suffix":""},{"dropping-particle":"","family":"Burke","given":"Patrick W","non-dropping-particle":"","parse-names":false,"suffix":""},{"dropping-particle":"","family":"Cassaday","given":"Ryan D","non-dropping-particle":"","parse-names":false,"suffix":""},{"dropping-particle":"","family":"Coutre","given":"Steven E","non-dropping-particle":"","parse-names":false,"suffix":""},{"dropping-particle":"","family":"Coccia","given":"Peter F","non-dropping-particle":"","parse-names":false,"suffix":""},{"dropping-particle":"","family":"DeAngelo","given":"Daniel J","non-dropping-particle":"","parse-names":false,"suffix":""},{"dropping-particle":"","family":"Fathi","given":"Amir","non-dropping-particle":"","parse-names":false,"suffix":""},{"dropping-particle":"","family":"Jain","given":"Nitin","non-dropping-particle":"","parse-names":false,"suffix":""},{"dropping-particle":"","family":"Kirby","given":"Suzanne","non-dropping-particle":"","parse-names":false,"suffix":""},{"dropping-particle":"","family":"Litzow","given":"Mark","non-dropping-particle":"","parse-names":false,"suffix":""},{"dropping-particle":"","family":"Liu","given":"Arthur","non-dropping-particle":"","parse-names":false,"suffix":""},{"dropping-particle":"","family":"Logan","given":"Aaron","non-dropping-particle":"","parse-names":false,"suffix":""},{"dropping-particle":"","family":"Massaro","given":"Stephanie","non-dropping-particle":"","parse-names":false,"suffix":""},{"dropping-particle":"","family":"Mattison","given":"Ryan J","non-dropping-particle":"","parse-names":false,"suffix":""},{"dropping-particle":"","family":"Oluwole","given":"Olalekan","non-dropping-particle":"","parse-names":false,"suffix":""},{"dropping-particle":"","family":"Papadantonakis","given":"Nikolaos","non-dropping-particle":"","parse-names":false,"suffix":""},{"dropping-particle":"","family":"Park","given":"Jae","non-dropping-particle":"","parse-names":false,"suffix":""},{"dropping-particle":"","family":"Rubnitz","given":"Jeffrey E","non-dropping-particle":"","parse-names":false,"suffix":""},{"dropping-particle":"","family":"Uy","given":"Geoffrey L","non-dropping-particle":"","parse-names":false,"suffix":""},{"dropping-particle":"","family":"Wang","given":"Eunice S","non-dropping-particle":"","parse-names":false,"suffix":""},{"dropping-particle":"","family":"Wieduwilt","given":"Matthew","non-dropping-particle":"","parse-names":false,"suffix":""},{"dropping-particle":"","family":"Gregory","given":"Kristina","non-dropping-particle":"","parse-names":false,"suffix":""}],"id":"ITEM-3","issued":{"date-parts":[["2019"]]},"number-of-pages":"115","title":"NCCN Clinical Practice Guidelines in Oncology. Acute Lymphoblastic Leukemia. Version 2.2019","type":"report"},"uris":["http://www.mendeley.com/documents/?uuid=ef92918b-8a57-37b1-bea5-284dfdf15541"]},{"id":"ITEM-4","itemData":{"author":[{"dropping-particle":"","family":"Gökbuget","given":"N.","non-dropping-particle":"","parse-names":false,"suffix":""},{"dropping-particle":"","family":"Bassan","given":"R.","non-dropping-particle":"","parse-names":false,"suffix":""},{"dropping-particle":"","family":"Dombret","given":"H.","non-dropping-particle":"","parse-names":false,"suffix":""},{"dropping-particle":"","family":"Doubek","given":"M.","non-dropping-particle":"","parse-names":false,"suffix":""},{"dropping-particle":"","family":"Fielding","given":"A.K.","non-dropping-particle":"","parse-names":false,"suffix":""},{"dropping-particle":"","family":"Foà","given":"R.","non-dropping-particle":"","parse-names":false,"suffix":""},{"dropping-particle":"","family":"Giebel","given":"S.","non-dropping-particle":"","parse-names":false,"suffix":""},{"dropping-particle":"","family":"Hoelzer","given":"D.","non-dropping-particle":"","parse-names":false,"suffix":""},{"dropping-particle":"","family":"Martinelli","given":"G.","non-dropping-particle":"","parse-names":false,"suffix":""},{"dropping-particle":"","family":"Meloni","given":"G.","non-dropping-particle":"","parse-names":false,"suffix":""},{"dropping-particle":"","family":"Delia Moicean","given":"A.","non-dropping-particle":"","parse-names":false,"suffix":""},{"dropping-particle":"","family":"Ottmann","given":"O.","non-dropping-particle":"","parse-names":false,"suffix":""},{"dropping-particle":"","family":"Piccaluga","given":"P.P.","non-dropping-particle":"","parse-names":false,"suffix":""},{"dropping-particle":"","family":"Ribera","given":"J.M.","non-dropping-particle":"","parse-names":false,"suffix":""},{"dropping-particle":"","family":"Rousselot","given":"P.","non-dropping-particle":"","parse-names":false,"suffix":""},{"dropping-particle":"","family":"Walewski","given":"J.","non-dropping-particle":"","parse-names":false,"suffix":""}],"container-title":"UNI-MED Verlag AG","id":"ITEM-4","issued":{"date-parts":[["2011"]]},"number-of-pages":"204","title":"Recommendations of the European Working Group for Adult ALL (EWALL)","type":"book"},"uris":["http://www.mendeley.com/documents/?uuid=aba58166-cd2b-4f70-bb6a-5fdd9e1b42de"]}],"mendeley":{"formattedCitation":"[1,2,4,5]","plainTextFormattedCitation":"[1,2,4,5]","previouslyFormattedCitation":"[1,2,4,5]"},"properties":{"noteIndex":0},"schema":"https://github.com/citation-style-language/schema/raw/master/csl-citation.json"}</w:instrText>
      </w:r>
      <w:r w:rsidR="00914AB6">
        <w:fldChar w:fldCharType="separate"/>
      </w:r>
      <w:r w:rsidR="00914AB6" w:rsidRPr="00B30EAF">
        <w:rPr>
          <w:noProof/>
        </w:rPr>
        <w:t>[1,2,4,5]</w:t>
      </w:r>
      <w:r w:rsidR="00914AB6">
        <w:fldChar w:fldCharType="end"/>
      </w:r>
      <w:r w:rsidR="00914AB6" w:rsidRPr="00617969">
        <w:t>.</w:t>
      </w:r>
      <w:r w:rsidR="00914AB6">
        <w:t xml:space="preserve"> </w:t>
      </w:r>
      <w:r>
        <w:t xml:space="preserve"> </w:t>
      </w:r>
    </w:p>
    <w:p w14:paraId="25390F57" w14:textId="77777777" w:rsidR="00254823" w:rsidRPr="00DB4AD6" w:rsidRDefault="00254823" w:rsidP="00B3408C">
      <w:pPr>
        <w:spacing w:after="160"/>
        <w:ind w:firstLine="709"/>
        <w:contextualSpacing/>
        <w:rPr>
          <w:b/>
        </w:rPr>
      </w:pPr>
      <w:r w:rsidRPr="00617969">
        <w:rPr>
          <w:b/>
        </w:rPr>
        <w:t>Уровень убедительности рекомендаций</w:t>
      </w:r>
      <w:r w:rsidRPr="00617969" w:rsidDel="00670C55">
        <w:rPr>
          <w:b/>
        </w:rPr>
        <w:t xml:space="preserve"> </w:t>
      </w:r>
      <w:r w:rsidR="00DB4AD6">
        <w:rPr>
          <w:b/>
        </w:rPr>
        <w:t>–</w:t>
      </w:r>
      <w:r w:rsidR="00DB4AD6" w:rsidRPr="00DB4AD6">
        <w:rPr>
          <w:b/>
        </w:rPr>
        <w:t xml:space="preserve"> </w:t>
      </w:r>
      <w:r w:rsidR="00B30EAF">
        <w:rPr>
          <w:b/>
        </w:rPr>
        <w:t>С</w:t>
      </w:r>
      <w:r w:rsidRPr="00617969">
        <w:rPr>
          <w:b/>
        </w:rPr>
        <w:t xml:space="preserve"> (уровень </w:t>
      </w:r>
      <w:r w:rsidRPr="00617969">
        <w:rPr>
          <w:b/>
          <w:spacing w:val="-1"/>
        </w:rPr>
        <w:t xml:space="preserve">достоверности доказательств </w:t>
      </w:r>
      <w:r>
        <w:rPr>
          <w:b/>
        </w:rPr>
        <w:t xml:space="preserve">– </w:t>
      </w:r>
      <w:r w:rsidRPr="00AB76DB">
        <w:rPr>
          <w:b/>
        </w:rPr>
        <w:t>5</w:t>
      </w:r>
      <w:r w:rsidR="00B3408C">
        <w:rPr>
          <w:b/>
        </w:rPr>
        <w:t>)</w:t>
      </w:r>
      <w:r w:rsidR="00DB4AD6">
        <w:rPr>
          <w:b/>
        </w:rPr>
        <w:t>.</w:t>
      </w:r>
    </w:p>
    <w:p w14:paraId="190E419E" w14:textId="5C642227" w:rsidR="00254823" w:rsidRPr="00566082" w:rsidRDefault="00254823" w:rsidP="00FF4C81">
      <w:pPr>
        <w:numPr>
          <w:ilvl w:val="0"/>
          <w:numId w:val="19"/>
        </w:numPr>
        <w:rPr>
          <w:b/>
        </w:rPr>
      </w:pPr>
      <w:r w:rsidRPr="00617969">
        <w:rPr>
          <w:b/>
        </w:rPr>
        <w:t>Рекомендуется</w:t>
      </w:r>
      <w:r w:rsidRPr="00617969">
        <w:t xml:space="preserve"> </w:t>
      </w:r>
      <w:r w:rsidRPr="004D2516">
        <w:rPr>
          <w:color w:val="000000" w:themeColor="text1"/>
        </w:rPr>
        <w:t xml:space="preserve">консультация </w:t>
      </w:r>
      <w:r w:rsidR="00B465AF" w:rsidRPr="004D2516">
        <w:rPr>
          <w:color w:val="000000" w:themeColor="text1"/>
        </w:rPr>
        <w:t>врача-акушера-гинеколога</w:t>
      </w:r>
      <w:r w:rsidRPr="004D2516">
        <w:rPr>
          <w:color w:val="000000" w:themeColor="text1"/>
        </w:rPr>
        <w:t xml:space="preserve"> для </w:t>
      </w:r>
      <w:r>
        <w:t xml:space="preserve">женщин и уролога для мужчин с целью выявления соматического статуса </w:t>
      </w:r>
      <w:r w:rsidR="00B3408C" w:rsidRPr="00B3408C">
        <w:t>пациентов</w:t>
      </w:r>
      <w:r w:rsidR="00B3408C" w:rsidRPr="00A47B1D">
        <w:rPr>
          <w:i/>
        </w:rPr>
        <w:t xml:space="preserve"> </w:t>
      </w:r>
      <w:r>
        <w:t>и решения вопроса о необходимости овариопротекции или криоконсерв</w:t>
      </w:r>
      <w:r w:rsidR="0014368B">
        <w:t xml:space="preserve">ации гамет (ооцитов, </w:t>
      </w:r>
      <w:r>
        <w:t>сперм</w:t>
      </w:r>
      <w:r w:rsidR="0014368B">
        <w:t>атозоидов)</w:t>
      </w:r>
      <w:r w:rsidR="00B30EAF">
        <w:t xml:space="preserve"> </w:t>
      </w:r>
      <w:r w:rsidR="00914AB6">
        <w:fldChar w:fldCharType="begin" w:fldLock="1"/>
      </w:r>
      <w:r w:rsidR="00914AB6">
        <w:instrText>ADDIN CSL_CITATION {"citationItems":[{"id":"ITEM-1","itemData":{"id":"ITEM-1","issued":{"date-parts":[["2012"]]},"number-of-pages":"1056","title":"Программное лечение заболеваний системы крови: Сборник алгоритмов диагностики и протоколов лечения заболеваний системы крови. Под ред. В.Г. Савченко","type":"book"},"uris":["http://www.mendeley.com/documents/?uuid=36484a90-27ae-40a9-a194-b0461fb47d9d"]},{"id":"ITEM-2","itemData":{"author":[{"dropping-particle":"","family":"Савченко","given":"Валерий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доп.","id":"ITEM-2","issued":{"date-parts":[["2007"]]},"page":"409-502","title":"Острые лейкозы","type":"chapter"},"uris":["http://www.mendeley.com/documents/?uuid=08f85f58-ddaa-48eb-b937-65d15d14b213"]},{"id":"ITEM-3","itemData":{"author":[{"dropping-particle":"","family":"Brown","given":"Patrick A","non-dropping-particle":"","parse-names":false,"suffix":""},{"dropping-particle":"","family":"Shah","given":"Bijal","non-dropping-particle":"","parse-names":false,"suffix":""},{"dropping-particle":"","family":"Advani","given":"Anjali","non-dropping-particle":"","parse-names":false,"suffix":""},{"dropping-particle":"","family":"Aoun","given":"Patricia","non-dropping-particle":"","parse-names":false,"suffix":""},{"dropping-particle":"","family":"Bhatnagar","given":"Bhavana","non-dropping-particle":"","parse-names":false,"suffix":""},{"dropping-particle":"","family":"Boyer","given":"Michael W","non-dropping-particle":"","parse-names":false,"suffix":""},{"dropping-particle":"","family":"Bryan","given":"Teresa","non-dropping-particle":"","parse-names":false,"suffix":""},{"dropping-particle":"","family":"Burke","given":"Patrick W","non-dropping-particle":"","parse-names":false,"suffix":""},{"dropping-particle":"","family":"Cassaday","given":"Ryan D","non-dropping-particle":"","parse-names":false,"suffix":""},{"dropping-particle":"","family":"Coutre","given":"Steven E","non-dropping-particle":"","parse-names":false,"suffix":""},{"dropping-particle":"","family":"Coccia","given":"Peter F","non-dropping-particle":"","parse-names":false,"suffix":""},{"dropping-particle":"","family":"DeAngelo","given":"Daniel J","non-dropping-particle":"","parse-names":false,"suffix":""},{"dropping-particle":"","family":"Fathi","given":"Amir","non-dropping-particle":"","parse-names":false,"suffix":""},{"dropping-particle":"","family":"Jain","given":"Nitin","non-dropping-particle":"","parse-names":false,"suffix":""},{"dropping-particle":"","family":"Kirby","given":"Suzanne","non-dropping-particle":"","parse-names":false,"suffix":""},{"dropping-particle":"","family":"Litzow","given":"Mark","non-dropping-particle":"","parse-names":false,"suffix":""},{"dropping-particle":"","family":"Liu","given":"Arthur","non-dropping-particle":"","parse-names":false,"suffix":""},{"dropping-particle":"","family":"Logan","given":"Aaron","non-dropping-particle":"","parse-names":false,"suffix":""},{"dropping-particle":"","family":"Massaro","given":"Stephanie","non-dropping-particle":"","parse-names":false,"suffix":""},{"dropping-particle":"","family":"Mattison","given":"Ryan J","non-dropping-particle":"","parse-names":false,"suffix":""},{"dropping-particle":"","family":"Oluwole","given":"Olalekan","non-dropping-particle":"","parse-names":false,"suffix":""},{"dropping-particle":"","family":"Papadantonakis","given":"Nikolaos","non-dropping-particle":"","parse-names":false,"suffix":""},{"dropping-particle":"","family":"Park","given":"Jae","non-dropping-particle":"","parse-names":false,"suffix":""},{"dropping-particle":"","family":"Rubnitz","given":"Jeffrey E","non-dropping-particle":"","parse-names":false,"suffix":""},{"dropping-particle":"","family":"Uy","given":"Geoffrey L","non-dropping-particle":"","parse-names":false,"suffix":""},{"dropping-particle":"","family":"Wang","given":"Eunice S","non-dropping-particle":"","parse-names":false,"suffix":""},{"dropping-particle":"","family":"Wieduwilt","given":"Matthew","non-dropping-particle":"","parse-names":false,"suffix":""},{"dropping-particle":"","family":"Gregory","given":"Kristina","non-dropping-particle":"","parse-names":false,"suffix":""}],"id":"ITEM-3","issued":{"date-parts":[["2019"]]},"number-of-pages":"115","title":"NCCN Clinical Practice Guidelines in Oncology. Acute Lymphoblastic Leukemia. Version 2.2019","type":"report"},"uris":["http://www.mendeley.com/documents/?uuid=ef92918b-8a57-37b1-bea5-284dfdf15541"]},{"id":"ITEM-4","itemData":{"author":[{"dropping-particle":"","family":"Gökbuget","given":"N.","non-dropping-particle":"","parse-names":false,"suffix":""},{"dropping-particle":"","family":"Bassan","given":"R.","non-dropping-particle":"","parse-names":false,"suffix":""},{"dropping-particle":"","family":"Dombret","given":"H.","non-dropping-particle":"","parse-names":false,"suffix":""},{"dropping-particle":"","family":"Doubek","given":"M.","non-dropping-particle":"","parse-names":false,"suffix":""},{"dropping-particle":"","family":"Fielding","given":"A.K.","non-dropping-particle":"","parse-names":false,"suffix":""},{"dropping-particle":"","family":"Foà","given":"R.","non-dropping-particle":"","parse-names":false,"suffix":""},{"dropping-particle":"","family":"Giebel","given":"S.","non-dropping-particle":"","parse-names":false,"suffix":""},{"dropping-particle":"","family":"Hoelzer","given":"D.","non-dropping-particle":"","parse-names":false,"suffix":""},{"dropping-particle":"","family":"Martinelli","given":"G.","non-dropping-particle":"","parse-names":false,"suffix":""},{"dropping-particle":"","family":"Meloni","given":"G.","non-dropping-particle":"","parse-names":false,"suffix":""},{"dropping-particle":"","family":"Delia Moicean","given":"A.","non-dropping-particle":"","parse-names":false,"suffix":""},{"dropping-particle":"","family":"Ottmann","given":"O.","non-dropping-particle":"","parse-names":false,"suffix":""},{"dropping-particle":"","family":"Piccaluga","given":"P.P.","non-dropping-particle":"","parse-names":false,"suffix":""},{"dropping-particle":"","family":"Ribera","given":"J.M.","non-dropping-particle":"","parse-names":false,"suffix":""},{"dropping-particle":"","family":"Rousselot","given":"P.","non-dropping-particle":"","parse-names":false,"suffix":""},{"dropping-particle":"","family":"Walewski","given":"J.","non-dropping-particle":"","parse-names":false,"suffix":""}],"container-title":"UNI-MED Verlag AG","id":"ITEM-4","issued":{"date-parts":[["2011"]]},"number-of-pages":"204","title":"Recommendations of the European Working Group for Adult ALL (EWALL)","type":"book"},"uris":["http://www.mendeley.com/documents/?uuid=aba58166-cd2b-4f70-bb6a-5fdd9e1b42de"]}],"mendeley":{"formattedCitation":"[1,2,4,5]","plainTextFormattedCitation":"[1,2,4,5]","previouslyFormattedCitation":"[1,2,4,5]"},"properties":{"noteIndex":0},"schema":"https://github.com/citation-style-language/schema/raw/master/csl-citation.json"}</w:instrText>
      </w:r>
      <w:r w:rsidR="00914AB6">
        <w:fldChar w:fldCharType="separate"/>
      </w:r>
      <w:r w:rsidR="00914AB6" w:rsidRPr="00B30EAF">
        <w:rPr>
          <w:noProof/>
        </w:rPr>
        <w:t>[1,2,4,5]</w:t>
      </w:r>
      <w:r w:rsidR="00914AB6">
        <w:fldChar w:fldCharType="end"/>
      </w:r>
      <w:r w:rsidR="00914AB6" w:rsidRPr="00617969">
        <w:t>.</w:t>
      </w:r>
    </w:p>
    <w:p w14:paraId="52F8090A" w14:textId="77777777" w:rsidR="00254823" w:rsidRPr="00617969" w:rsidRDefault="00254823" w:rsidP="00B3408C">
      <w:pPr>
        <w:ind w:firstLine="709"/>
        <w:contextualSpacing/>
        <w:rPr>
          <w:b/>
        </w:rPr>
      </w:pPr>
      <w:r w:rsidRPr="00617969">
        <w:rPr>
          <w:b/>
        </w:rPr>
        <w:t>Уровень убедительности рекомендаций</w:t>
      </w:r>
      <w:r w:rsidRPr="00617969" w:rsidDel="00670C55">
        <w:rPr>
          <w:b/>
        </w:rPr>
        <w:t xml:space="preserve"> </w:t>
      </w:r>
      <w:r w:rsidR="00DB4AD6">
        <w:rPr>
          <w:b/>
        </w:rPr>
        <w:t xml:space="preserve">– </w:t>
      </w:r>
      <w:r w:rsidR="00B30EAF">
        <w:rPr>
          <w:b/>
        </w:rPr>
        <w:t>С</w:t>
      </w:r>
      <w:r w:rsidRPr="00617969">
        <w:rPr>
          <w:b/>
        </w:rPr>
        <w:t xml:space="preserve"> (уровень </w:t>
      </w:r>
      <w:r w:rsidRPr="00617969">
        <w:rPr>
          <w:b/>
          <w:spacing w:val="-1"/>
        </w:rPr>
        <w:t xml:space="preserve">достоверности доказательств </w:t>
      </w:r>
      <w:r>
        <w:rPr>
          <w:b/>
        </w:rPr>
        <w:t xml:space="preserve">– </w:t>
      </w:r>
      <w:r w:rsidRPr="00AB76DB">
        <w:rPr>
          <w:b/>
        </w:rPr>
        <w:t>5</w:t>
      </w:r>
      <w:r w:rsidR="00B3408C">
        <w:rPr>
          <w:b/>
        </w:rPr>
        <w:t>)</w:t>
      </w:r>
      <w:r w:rsidR="00DB4AD6">
        <w:rPr>
          <w:b/>
        </w:rPr>
        <w:t>.</w:t>
      </w:r>
    </w:p>
    <w:p w14:paraId="107F98C8" w14:textId="77777777" w:rsidR="00254823" w:rsidRDefault="00254823" w:rsidP="00B3408C">
      <w:pPr>
        <w:shd w:val="clear" w:color="auto" w:fill="FFFFFF"/>
        <w:tabs>
          <w:tab w:val="left" w:pos="235"/>
        </w:tabs>
        <w:ind w:firstLine="709"/>
        <w:contextualSpacing/>
      </w:pPr>
      <w:r w:rsidRPr="00FE37EB">
        <w:rPr>
          <w:b/>
        </w:rPr>
        <w:t>Комментарии</w:t>
      </w:r>
      <w:r w:rsidRPr="00DB4AD6">
        <w:rPr>
          <w:b/>
        </w:rPr>
        <w:t>:</w:t>
      </w:r>
      <w:r>
        <w:t xml:space="preserve"> </w:t>
      </w:r>
      <w:r w:rsidR="00A16032">
        <w:rPr>
          <w:i/>
        </w:rPr>
        <w:t>н</w:t>
      </w:r>
      <w:r w:rsidR="00A16032" w:rsidRPr="00FE37EB">
        <w:rPr>
          <w:i/>
        </w:rPr>
        <w:t xml:space="preserve">евыполнение </w:t>
      </w:r>
      <w:r w:rsidRPr="00FE37EB">
        <w:rPr>
          <w:i/>
        </w:rPr>
        <w:t>указанных процедур и методов обследования возможно только в крайних случаях, когда</w:t>
      </w:r>
      <w:r w:rsidR="00B3408C" w:rsidRPr="00B3408C">
        <w:rPr>
          <w:i/>
        </w:rPr>
        <w:t xml:space="preserve"> </w:t>
      </w:r>
      <w:r w:rsidR="00B3408C">
        <w:rPr>
          <w:i/>
        </w:rPr>
        <w:t xml:space="preserve">пациент </w:t>
      </w:r>
      <w:r w:rsidRPr="00FE37EB">
        <w:rPr>
          <w:i/>
        </w:rPr>
        <w:t>находится в терминальном состоянии при поступлении в специализированное учреждение или его соматический статус таков, что никакого специфического лечения выполняться не будет – толь</w:t>
      </w:r>
      <w:r>
        <w:rPr>
          <w:i/>
        </w:rPr>
        <w:t>ко паллиативное</w:t>
      </w:r>
      <w:r w:rsidR="00A16032">
        <w:rPr>
          <w:i/>
        </w:rPr>
        <w:t>,</w:t>
      </w:r>
      <w:r>
        <w:rPr>
          <w:i/>
        </w:rPr>
        <w:t xml:space="preserve"> или</w:t>
      </w:r>
      <w:r w:rsidR="00197616">
        <w:rPr>
          <w:i/>
        </w:rPr>
        <w:t>,</w:t>
      </w:r>
      <w:r>
        <w:rPr>
          <w:i/>
        </w:rPr>
        <w:t xml:space="preserve"> если пациент</w:t>
      </w:r>
      <w:r w:rsidRPr="00FE37EB">
        <w:rPr>
          <w:i/>
        </w:rPr>
        <w:t xml:space="preserve"> отказывается от обследования и лечения, что должно быть задокументировано в истории болезни</w:t>
      </w:r>
      <w:r w:rsidRPr="002319D0">
        <w:t>.</w:t>
      </w:r>
      <w:bookmarkStart w:id="79" w:name="_Toc426795070"/>
    </w:p>
    <w:p w14:paraId="0A14E376" w14:textId="0B228387" w:rsidR="00254823" w:rsidRDefault="00254823" w:rsidP="00FF4C81">
      <w:pPr>
        <w:numPr>
          <w:ilvl w:val="0"/>
          <w:numId w:val="19"/>
        </w:numPr>
        <w:shd w:val="clear" w:color="auto" w:fill="FFFFFF"/>
        <w:tabs>
          <w:tab w:val="left" w:pos="230"/>
        </w:tabs>
      </w:pPr>
      <w:r>
        <w:rPr>
          <w:b/>
        </w:rPr>
        <w:t>Рекомендуется</w:t>
      </w:r>
      <w:r>
        <w:t xml:space="preserve"> беременным женщинам выполнять полный объем диагностических исследований при ОЛ</w:t>
      </w:r>
      <w:r w:rsidR="00DB4AD6">
        <w:t>Л, как и у не</w:t>
      </w:r>
      <w:r w:rsidR="00B3408C">
        <w:t>беременных</w:t>
      </w:r>
      <w:r w:rsidRPr="00BB10E6">
        <w:t>, кроме</w:t>
      </w:r>
      <w:r>
        <w:rPr>
          <w:color w:val="FF0000"/>
        </w:rPr>
        <w:t xml:space="preserve"> </w:t>
      </w:r>
      <w:r>
        <w:t>выполнения стандартных рентгенологических метод</w:t>
      </w:r>
      <w:r w:rsidR="00B30EAF">
        <w:t>ов</w:t>
      </w:r>
      <w:r>
        <w:t xml:space="preserve"> обследования </w:t>
      </w:r>
      <w:r w:rsidR="00B30EAF">
        <w:t>(см. клинические руководства по ведению беременных пациенток)</w:t>
      </w:r>
      <w:r w:rsidR="00DB4AD6">
        <w:t xml:space="preserve"> </w:t>
      </w:r>
      <w:r w:rsidR="00914AB6">
        <w:fldChar w:fldCharType="begin" w:fldLock="1"/>
      </w:r>
      <w:r w:rsidR="002466C9">
        <w:instrText>ADDIN CSL_CITATION {"citationItems":[{"id":"ITEM-1","itemData":{"id":"ITEM-1","issued":{"date-parts":[["2012"]]},"number-of-pages":"1056","title":"Программное лечение заболеваний системы крови: Сборник алгоритмов диагностики и протоколов лечения заболеваний системы крови. Под ред. В.Г. Савченко","type":"book"},"uris":["http://www.mendeley.com/documents/?uuid=36484a90-27ae-40a9-a194-b0461fb47d9d"]},{"id":"ITEM-2","itemData":{"DOI":"10.1136/esmoopen-2015-000017","ISSN":"20597029","author":[{"dropping-particle":"","family":"Woitek","given":"Ramona","non-dropping-particle":"","parse-names":false,"suffix":""},{"dropping-particle":"","family":"Prayer","given":"Daniela","non-dropping-particle":"","parse-names":false,"suffix":""},{"dropping-particle":"","family":"Hojreh","given":"Azadeh","non-dropping-particle":"","parse-names":false,"suffix":""},{"dropping-particle":"","family":"Helbich","given":"Thomas","non-dropping-particle":"","parse-names":false,"suffix":""}],"container-title":"ESMO Open","id":"ITEM-2","issue":"1","issued":{"date-parts":[["2016"]]},"page":"e000017","title":"Radiological staging in pregnant patients with cancer","type":"article","volume":"1"},"uris":["http://www.mendeley.com/documents/?uuid=d783ee7c-0009-395c-a362-b3b19413114f"]}],"mendeley":{"formattedCitation":"[1,48]","plainTextFormattedCitation":"[1,48]","previouslyFormattedCitation":"[1,48]"},"properties":{"noteIndex":0},"schema":"https://github.com/citation-style-language/schema/raw/master/csl-citation.json"}</w:instrText>
      </w:r>
      <w:r w:rsidR="00914AB6">
        <w:fldChar w:fldCharType="separate"/>
      </w:r>
      <w:r w:rsidR="00A66456" w:rsidRPr="00A66456">
        <w:rPr>
          <w:noProof/>
        </w:rPr>
        <w:t>[1,48]</w:t>
      </w:r>
      <w:r w:rsidR="00914AB6">
        <w:fldChar w:fldCharType="end"/>
      </w:r>
      <w:r w:rsidR="00914AB6" w:rsidRPr="00617969">
        <w:t>.</w:t>
      </w:r>
    </w:p>
    <w:p w14:paraId="5E66DF30" w14:textId="77777777" w:rsidR="00254823" w:rsidRPr="00C909BD" w:rsidRDefault="00254823" w:rsidP="00B3408C">
      <w:pPr>
        <w:shd w:val="clear" w:color="auto" w:fill="FFFFFF"/>
        <w:tabs>
          <w:tab w:val="left" w:pos="230"/>
        </w:tabs>
        <w:ind w:firstLine="709"/>
        <w:contextualSpacing/>
        <w:rPr>
          <w:b/>
          <w:color w:val="000000"/>
        </w:rPr>
      </w:pPr>
      <w:r>
        <w:rPr>
          <w:b/>
          <w:color w:val="000000"/>
          <w:szCs w:val="27"/>
        </w:rPr>
        <w:t xml:space="preserve">Уровень убедительности рекомендаций </w:t>
      </w:r>
      <w:r w:rsidR="00DB4AD6">
        <w:rPr>
          <w:b/>
          <w:color w:val="000000"/>
          <w:szCs w:val="27"/>
        </w:rPr>
        <w:t xml:space="preserve">– </w:t>
      </w:r>
      <w:r w:rsidR="00CB26F3">
        <w:rPr>
          <w:b/>
          <w:color w:val="000000"/>
          <w:szCs w:val="27"/>
        </w:rPr>
        <w:t>С</w:t>
      </w:r>
      <w:r>
        <w:rPr>
          <w:b/>
          <w:color w:val="000000"/>
          <w:szCs w:val="27"/>
        </w:rPr>
        <w:t xml:space="preserve"> (уровень достоверности доказательств – </w:t>
      </w:r>
      <w:r w:rsidRPr="00C27512">
        <w:rPr>
          <w:b/>
          <w:color w:val="000000"/>
          <w:szCs w:val="27"/>
        </w:rPr>
        <w:t>5</w:t>
      </w:r>
      <w:r w:rsidR="00B3408C">
        <w:rPr>
          <w:b/>
          <w:color w:val="000000"/>
          <w:szCs w:val="27"/>
        </w:rPr>
        <w:t>)</w:t>
      </w:r>
      <w:r w:rsidR="00DB4AD6">
        <w:rPr>
          <w:b/>
          <w:color w:val="000000"/>
          <w:szCs w:val="27"/>
        </w:rPr>
        <w:t>.</w:t>
      </w:r>
    </w:p>
    <w:p w14:paraId="2B8D0C8E" w14:textId="77777777" w:rsidR="00072C62" w:rsidRDefault="00254823" w:rsidP="00072C62">
      <w:pPr>
        <w:shd w:val="clear" w:color="auto" w:fill="FFFFFF"/>
        <w:tabs>
          <w:tab w:val="left" w:pos="235"/>
        </w:tabs>
        <w:ind w:firstLine="709"/>
        <w:contextualSpacing/>
        <w:rPr>
          <w:i/>
          <w:color w:val="000000"/>
        </w:rPr>
      </w:pPr>
      <w:r>
        <w:rPr>
          <w:b/>
          <w:color w:val="000000"/>
        </w:rPr>
        <w:t xml:space="preserve">Комментарии: </w:t>
      </w:r>
      <w:r w:rsidR="00B30EAF" w:rsidRPr="00C909BD">
        <w:rPr>
          <w:i/>
          <w:color w:val="000000"/>
        </w:rPr>
        <w:t xml:space="preserve">с </w:t>
      </w:r>
      <w:r w:rsidRPr="00C909BD">
        <w:rPr>
          <w:i/>
          <w:color w:val="000000"/>
        </w:rPr>
        <w:t xml:space="preserve">диагностической целью при беременности целесообразно применение </w:t>
      </w:r>
      <w:r w:rsidR="00DB4AD6">
        <w:rPr>
          <w:i/>
          <w:color w:val="000000"/>
        </w:rPr>
        <w:t>магнитно-резонансной томографии</w:t>
      </w:r>
      <w:r w:rsidR="00257CE3">
        <w:rPr>
          <w:i/>
          <w:color w:val="000000"/>
        </w:rPr>
        <w:t xml:space="preserve"> и УЗИ</w:t>
      </w:r>
      <w:r w:rsidRPr="00C909BD">
        <w:rPr>
          <w:i/>
          <w:color w:val="000000"/>
        </w:rPr>
        <w:t>, в том числе легочной ткани.</w:t>
      </w:r>
      <w:bookmarkStart w:id="80" w:name="_Toc5373979"/>
      <w:bookmarkStart w:id="81" w:name="_Toc13484810"/>
    </w:p>
    <w:p w14:paraId="56E440FC" w14:textId="318CE3D8" w:rsidR="00B465AF" w:rsidRPr="004D2516" w:rsidRDefault="00B465AF" w:rsidP="008C1767">
      <w:pPr>
        <w:pStyle w:val="afff3"/>
        <w:widowControl/>
        <w:numPr>
          <w:ilvl w:val="0"/>
          <w:numId w:val="71"/>
        </w:numPr>
        <w:autoSpaceDE/>
        <w:autoSpaceDN/>
        <w:adjustRightInd/>
        <w:ind w:left="709"/>
        <w:contextualSpacing w:val="0"/>
        <w:rPr>
          <w:color w:val="000000" w:themeColor="text1"/>
        </w:rPr>
      </w:pPr>
      <w:r w:rsidRPr="004D2516">
        <w:rPr>
          <w:color w:val="000000" w:themeColor="text1"/>
        </w:rPr>
        <w:t xml:space="preserve">Всем пациентам с ОЛЛ с учетом возможной интенсивной трансфузионной / гемотрансфузионной терапии перед началом и в процессе лечения </w:t>
      </w:r>
      <w:r w:rsidRPr="004D2516">
        <w:rPr>
          <w:b/>
          <w:color w:val="000000" w:themeColor="text1"/>
        </w:rPr>
        <w:t>рекомендуется</w:t>
      </w:r>
      <w:r w:rsidRPr="004D2516">
        <w:rPr>
          <w:color w:val="000000" w:themeColor="text1"/>
        </w:rPr>
        <w:t xml:space="preserve"> консультация врача-анестезиолога-реаниматолога для оценки сосудистого доступа и при показаниях установления центрального венозного катетера</w:t>
      </w:r>
      <w:r w:rsidR="004D2516" w:rsidRPr="004D2516">
        <w:rPr>
          <w:color w:val="000000" w:themeColor="text1"/>
        </w:rPr>
        <w:t xml:space="preserve"> </w:t>
      </w:r>
      <w:r w:rsidR="004D2516" w:rsidRPr="004D2516">
        <w:rPr>
          <w:color w:val="000000" w:themeColor="text1"/>
        </w:rPr>
        <w:fldChar w:fldCharType="begin" w:fldLock="1"/>
      </w:r>
      <w:r w:rsidR="004D2516" w:rsidRPr="004D2516">
        <w:rPr>
          <w:color w:val="000000" w:themeColor="text1"/>
        </w:rPr>
        <w:instrText>ADDIN CSL_CITATION {"citationItems":[{"id":"ITEM-1","itemData":{"id":"ITEM-1","issued":{"date-parts":[["2012"]]},"number-of-pages":"1056","title":"Программное лечение заболеваний системы крови: Сборник алгоритмов диагностики и протоколов лечения заболеваний системы крови. Под ред. В.Г. Савченко","type":"book"},"uris":["http://www.mendeley.com/documents/?uuid=36484a90-27ae-40a9-a194-b0461fb47d9d"]},{"id":"ITEM-2","itemData":{"author":[{"dropping-particle":"","family":"Савченко","given":"Валерий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доп.","id":"ITEM-2","issued":{"date-parts":[["2007"]]},"page":"409-502","title":"Острые лейкозы","type":"chapter"},"uris":["http://www.mendeley.com/documents/?uuid=08f85f58-ddaa-48eb-b937-65d15d14b213"]}],"mendeley":{"formattedCitation":"[1,2]","plainTextFormattedCitation":"[1,2]","previouslyFormattedCitation":"[1,2]"},"properties":{"noteIndex":0},"schema":"https://github.com/citation-style-language/schema/raw/master/csl-citation.json"}</w:instrText>
      </w:r>
      <w:r w:rsidR="004D2516" w:rsidRPr="004D2516">
        <w:rPr>
          <w:color w:val="000000" w:themeColor="text1"/>
        </w:rPr>
        <w:fldChar w:fldCharType="separate"/>
      </w:r>
      <w:r w:rsidR="004D2516" w:rsidRPr="004D2516">
        <w:rPr>
          <w:noProof/>
          <w:color w:val="000000" w:themeColor="text1"/>
        </w:rPr>
        <w:t>[1,2]</w:t>
      </w:r>
      <w:r w:rsidR="004D2516" w:rsidRPr="004D2516">
        <w:rPr>
          <w:color w:val="000000" w:themeColor="text1"/>
        </w:rPr>
        <w:fldChar w:fldCharType="end"/>
      </w:r>
      <w:r w:rsidRPr="004D2516">
        <w:rPr>
          <w:color w:val="000000" w:themeColor="text1"/>
        </w:rPr>
        <w:t>.</w:t>
      </w:r>
    </w:p>
    <w:p w14:paraId="0D9DF9CA" w14:textId="77777777" w:rsidR="00B465AF" w:rsidRPr="004D2516" w:rsidRDefault="00B465AF" w:rsidP="004D2516">
      <w:pPr>
        <w:pStyle w:val="1f2"/>
        <w:spacing w:beforeAutospacing="0" w:afterAutospacing="0" w:line="360" w:lineRule="auto"/>
        <w:ind w:firstLine="709"/>
        <w:rPr>
          <w:b/>
          <w:color w:val="000000" w:themeColor="text1"/>
          <w:spacing w:val="-4"/>
        </w:rPr>
      </w:pPr>
      <w:r w:rsidRPr="004D2516">
        <w:rPr>
          <w:b/>
          <w:color w:val="000000" w:themeColor="text1"/>
          <w:spacing w:val="-4"/>
        </w:rPr>
        <w:lastRenderedPageBreak/>
        <w:t>Уровень убедительности рекомендаций – С (уровень достоверности доказательств – 5).</w:t>
      </w:r>
    </w:p>
    <w:p w14:paraId="5D276E70" w14:textId="2461F26C" w:rsidR="00652C2B" w:rsidRDefault="00652C2B" w:rsidP="00FF4C81">
      <w:pPr>
        <w:numPr>
          <w:ilvl w:val="0"/>
          <w:numId w:val="19"/>
        </w:numPr>
        <w:contextualSpacing/>
        <w:rPr>
          <w:lang w:eastAsia="zh-CN"/>
        </w:rPr>
      </w:pPr>
      <w:r w:rsidRPr="00231BC2">
        <w:rPr>
          <w:b/>
          <w:lang w:eastAsia="zh-CN"/>
        </w:rPr>
        <w:t>Рекомендуется</w:t>
      </w:r>
      <w:r w:rsidRPr="00231BC2">
        <w:rPr>
          <w:lang w:eastAsia="zh-CN"/>
        </w:rPr>
        <w:t xml:space="preserve"> </w:t>
      </w:r>
      <w:r w:rsidR="00B465AF">
        <w:rPr>
          <w:lang w:eastAsia="zh-CN"/>
        </w:rPr>
        <w:t xml:space="preserve">всем </w:t>
      </w:r>
      <w:r w:rsidR="00B465AF" w:rsidRPr="004D2516">
        <w:rPr>
          <w:color w:val="000000" w:themeColor="text1"/>
          <w:lang w:eastAsia="zh-CN"/>
        </w:rPr>
        <w:t xml:space="preserve">пациентам с ОЛЛ на </w:t>
      </w:r>
      <w:r w:rsidR="00B465AF" w:rsidRPr="004D2516">
        <w:rPr>
          <w:color w:val="000000" w:themeColor="text1"/>
        </w:rPr>
        <w:t xml:space="preserve">любом этапе диагностики, наблюдения, лечения, при подозрении на развитие или </w:t>
      </w:r>
      <w:r w:rsidRPr="004D2516">
        <w:rPr>
          <w:color w:val="000000" w:themeColor="text1"/>
          <w:lang w:eastAsia="zh-CN"/>
        </w:rPr>
        <w:t xml:space="preserve">при </w:t>
      </w:r>
      <w:r w:rsidRPr="00231BC2">
        <w:rPr>
          <w:lang w:eastAsia="zh-CN"/>
        </w:rPr>
        <w:t>развитии инфекционных осложнений выполнение</w:t>
      </w:r>
      <w:r>
        <w:rPr>
          <w:lang w:eastAsia="zh-CN"/>
        </w:rPr>
        <w:t xml:space="preserve"> необходимых для диагностики очага инфекции процедур осбледования (УЗИ, КТ, </w:t>
      </w:r>
      <w:r>
        <w:t>микробиологическое (культуральное) исследование крови на стерильность; микробиологическое (культуральное) исследование мочи на бактериальные патогены; микробиологическое (культуральное) исследование отделяемого из полости рта; исследование микробиоценоза кишечника (дисбактериоз) для уточнения характера инфекции и выработки адекватной тактики лечения</w:t>
      </w:r>
      <w:r>
        <w:rPr>
          <w:lang w:eastAsia="zh-CN"/>
        </w:rPr>
        <w:t xml:space="preserve"> </w:t>
      </w:r>
      <w:r>
        <w:rPr>
          <w:lang w:eastAsia="zh-CN"/>
        </w:rPr>
        <w:fldChar w:fldCharType="begin" w:fldLock="1"/>
      </w:r>
      <w:r w:rsidR="002466C9">
        <w:rPr>
          <w:lang w:eastAsia="zh-CN"/>
        </w:rPr>
        <w:instrText>ADDIN CSL_CITATION {"citationItems":[{"id":"ITEM-1","itemData":{"author":[{"dropping-particle":"","family":"Охмат","given":"В.А.","non-dropping-particle":"","parse-names":false,"suffix":""},{"dropping-particle":"","family":"Клясова","given":"Г.А.","non-dropping-particle":"","parse-names":false,"suffix":""},{"dropping-particle":"","family":"Паровичникова","given":"Е.Н.","non-dropping-particle":"","parse-names":false,"suffix":""},{"dropping-particle":"","family":"Троицкая","given":"В.В.","non-dropping-particle":"","parse-names":false,"suffix":""},{"dropping-particle":"","family":"Грибанова","given":"Е.О.","non-dropping-particle":"","parse-names":false,"suffix":""},{"dropping-particle":"","family":"Мальчикова","given":"А.О.","non-dropping-particle":"","parse-names":false,"suffix":""},{"dropping-particle":"","family":"Коробова","given":"А.Г.","non-dropping-particle":"","parse-names":false,"suffix":""},{"dropping-particle":"","family":"Фролова","given":"И.Н.","non-dropping-particle":"","parse-names":false,"suffix":""},{"dropping-particle":"","family":"Савченко","given":"В.Г.","non-dropping-particle":"","parse-names":false,"suffix":""}],"container-title":"Онкогематология","id":"ITEM-1","issue":"3","issued":{"date-parts":[["2017"]]},"page":"31-40","title":"Инфекционные осложнения у взрослых больных острыми лимфобластными лейкозами на разных этапах химиотерапии по протоколу ОЛЛ-2009.","type":"article-journal","volume":"12"},"uris":["http://www.mendeley.com/documents/?uuid=810418fa-d337-48c2-843d-da3d3f2ec2c8"]},{"id":"ITEM-2","itemData":{"DOI":"10.3332/ecancer.2013.310","ISSN":"17546605","abstract":"We hypothesise that treating patients with acute leukaemia in general wards, with proper hygienic and sanitary practices, would result in the minimum utilisation of resources as compared with the corresponding patients receiving ICU support. For this study, the acute leukaemia patients on induction chemotherapy were kept in general wards and observed for the incidence of neutropenia, resultant neutropenic febriles, the causative organism, and the effect of empirical antimicrobial treatment protocol on the outcome of such infections. Prophylactic anti-fungal therapy and cotrimoxazole therapy improved the outcome of infections. The therapy of neutropenic fever and infections must be adapted according to the risk factors and should include early empiric antifungal therapy. It was observed that the treatment of such patients in general wards could be managed effectively, with the added advantage of optimum utilisation of resources and in a patient-friendly environment, at a reasonable cost to the patients. © the authors; licensee ecancermedicalscience.","author":[{"dropping-particle":"","family":"Biswal","given":"Sasmita","non-dropping-particle":"","parse-names":false,"suffix":""},{"dropping-particle":"","family":"Godnaik","given":"Chaitali","non-dropping-particle":"","parse-names":false,"suffix":""}],"container-title":"ecancermedicalscience","id":"ITEM-2","issue":"1","issued":{"date-parts":[["2013","4","22"]]},"publisher":"ecancer Global Foundation","title":"Incidence and management of infections in patients with acute leukemia following chemotherapy in general wards","type":"article-journal","volume":"7"},"uris":["http://www.mendeley.com/documents/?uuid=d5b20b02-9711-3b90-99f3-0f41bed38860"]},{"id":"ITEM-3","itemData":{"author":[{"dropping-particle":"","family":"Варачек","given":"Н.М.","non-dropping-particle":"","parse-names":false,"suffix":""}],"id":"ITEM-3","issued":{"date-parts":[["2010"]]},"number-of-pages":"150","title":"Клинико-бактериологические аспекты нарушений микробиоценоза кишечника у детей с острым лимфобластным лейкозом. Диссертация на соискание ученой степени кандидата медицинских наук.","type":"thesis"},"uris":["http://www.mendeley.com/documents/?uuid=26bd0d71-9f79-4903-b810-9dc39ab4a2c9"]},{"id":"ITEM-4","itemData":{"author":[{"dropping-particle":"","family":"Торопова","given":"И.Ю.","non-dropping-particle":"","parse-names":false,"suffix":""}],"id":"ITEM-4","issued":{"date-parts":[["2015"]]},"number-of-pages":"89","title":"Клинический мониторинг инфекционных осложнений у больных гемобластозами на фоне программной химиотерапии. Диссертация на соискание ученой степени кандидата медицинских наук","type":"thesis"},"uris":["http://www.mendeley.com/documents/?uuid=903f0a06-4c2b-4cf6-836e-c66f620f22a4"]}],"mendeley":{"formattedCitation":"[26,49–51]","plainTextFormattedCitation":"[26,49–51]","previouslyFormattedCitation":"[26,49–51]"},"properties":{"noteIndex":0},"schema":"https://github.com/citation-style-language/schema/raw/master/csl-citation.json"}</w:instrText>
      </w:r>
      <w:r>
        <w:rPr>
          <w:lang w:eastAsia="zh-CN"/>
        </w:rPr>
        <w:fldChar w:fldCharType="separate"/>
      </w:r>
      <w:r w:rsidR="00A66456" w:rsidRPr="00A66456">
        <w:rPr>
          <w:noProof/>
          <w:lang w:eastAsia="zh-CN"/>
        </w:rPr>
        <w:t>[26,49–51]</w:t>
      </w:r>
      <w:r>
        <w:rPr>
          <w:lang w:eastAsia="zh-CN"/>
        </w:rPr>
        <w:fldChar w:fldCharType="end"/>
      </w:r>
      <w:r>
        <w:rPr>
          <w:lang w:eastAsia="zh-CN"/>
        </w:rPr>
        <w:t>.</w:t>
      </w:r>
      <w:r w:rsidRPr="00444E79">
        <w:rPr>
          <w:lang w:eastAsia="zh-CN"/>
        </w:rPr>
        <w:t xml:space="preserve"> </w:t>
      </w:r>
    </w:p>
    <w:p w14:paraId="4CC4AA22" w14:textId="77777777" w:rsidR="00652C2B" w:rsidRDefault="00652C2B" w:rsidP="00CE7A8F">
      <w:pPr>
        <w:ind w:firstLine="709"/>
        <w:contextualSpacing/>
        <w:rPr>
          <w:b/>
          <w:color w:val="000000"/>
        </w:rPr>
      </w:pPr>
      <w:r w:rsidRPr="00617969">
        <w:rPr>
          <w:b/>
          <w:color w:val="000000"/>
        </w:rPr>
        <w:t>Урове</w:t>
      </w:r>
      <w:r>
        <w:rPr>
          <w:b/>
          <w:color w:val="000000"/>
        </w:rPr>
        <w:t xml:space="preserve">нь убедительности рекомендаций – </w:t>
      </w:r>
      <w:r w:rsidR="00AF61E1">
        <w:rPr>
          <w:b/>
          <w:color w:val="000000"/>
          <w:lang w:val="en-US"/>
        </w:rPr>
        <w:t>C</w:t>
      </w:r>
      <w:r w:rsidRPr="00617969">
        <w:rPr>
          <w:b/>
          <w:color w:val="000000"/>
        </w:rPr>
        <w:t xml:space="preserve"> (уровень </w:t>
      </w:r>
      <w:r>
        <w:rPr>
          <w:b/>
          <w:color w:val="000000"/>
        </w:rPr>
        <w:t xml:space="preserve">достоверности доказательств – </w:t>
      </w:r>
      <w:r w:rsidR="00AF61E1" w:rsidRPr="00CE7A8F">
        <w:rPr>
          <w:b/>
          <w:color w:val="000000"/>
        </w:rPr>
        <w:t>4</w:t>
      </w:r>
      <w:r>
        <w:rPr>
          <w:b/>
          <w:color w:val="000000"/>
        </w:rPr>
        <w:t>).</w:t>
      </w:r>
    </w:p>
    <w:p w14:paraId="0C195474" w14:textId="67E52293" w:rsidR="00B465AF" w:rsidRPr="004D2516" w:rsidRDefault="00B465AF" w:rsidP="00B465AF">
      <w:pPr>
        <w:pStyle w:val="1f2"/>
        <w:spacing w:beforeAutospacing="0" w:afterAutospacing="0" w:line="360" w:lineRule="auto"/>
        <w:ind w:firstLine="709"/>
        <w:jc w:val="both"/>
        <w:rPr>
          <w:b/>
          <w:i/>
          <w:color w:val="000000" w:themeColor="text1"/>
        </w:rPr>
      </w:pPr>
      <w:r w:rsidRPr="004D2516">
        <w:rPr>
          <w:b/>
          <w:color w:val="000000" w:themeColor="text1"/>
        </w:rPr>
        <w:t xml:space="preserve">Комментарии: </w:t>
      </w:r>
      <w:r w:rsidRPr="004D2516">
        <w:rPr>
          <w:i/>
          <w:color w:val="000000" w:themeColor="text1"/>
        </w:rPr>
        <w:t>инфекции являются одними из ведущих осложнений при лечении ОЛЛ, особенно на этапах индукции и консолидации ремиссии, в период нейтропении. Инфекционные осложнения учащаются при резистентном варианте опухоли, при высокодозной химиотерапии, при сопутствующей гипогаммаглобулинемии, в период вынужденной гиподинамии и постоянного постельного режима.  Инфекционные осложнения у пациентов с гематологическими заболеваниями характеризуются разнообразием как по этиологии, так и по локализации инфекционного процесса, и требует применения комплекса лабораторных исследований для диагностики инфекционных осложнений и особых подходов к их терапии, которые отличаются от тактики лечения инфекционных проявлений у пациентов без онкогематологического заболевания. Основным фактором, определяющим развитие инфекционных осложнений, является нейтропения (нейтрофилы &lt; 0,5х10</w:t>
      </w:r>
      <w:r w:rsidRPr="004D2516">
        <w:rPr>
          <w:i/>
          <w:color w:val="000000" w:themeColor="text1"/>
          <w:vertAlign w:val="superscript"/>
        </w:rPr>
        <w:t>9</w:t>
      </w:r>
      <w:r w:rsidRPr="004D2516">
        <w:rPr>
          <w:i/>
          <w:color w:val="000000" w:themeColor="text1"/>
        </w:rPr>
        <w:t>/л) или лейкопения (лейкоциты ≤ 1,000х10</w:t>
      </w:r>
      <w:r w:rsidRPr="004D2516">
        <w:rPr>
          <w:i/>
          <w:color w:val="000000" w:themeColor="text1"/>
          <w:vertAlign w:val="superscript"/>
        </w:rPr>
        <w:t>9</w:t>
      </w:r>
      <w:r w:rsidRPr="004D2516">
        <w:rPr>
          <w:i/>
          <w:color w:val="000000" w:themeColor="text1"/>
        </w:rPr>
        <w:t xml:space="preserve">/л), а также темп снижения количества нейтрофилов и длительность нейтропении.  Риск развития инфекций возрастает при повреждении слизистых оболочек желудочно-кишечного тракта (особенно мукозитах III-IV степени), наличии центрального венозного катетера (ЦВК). </w:t>
      </w:r>
    </w:p>
    <w:p w14:paraId="42C99126" w14:textId="24347085" w:rsidR="00B465AF" w:rsidRPr="004D2516" w:rsidRDefault="00CD5E09" w:rsidP="00B465AF">
      <w:pPr>
        <w:pStyle w:val="1f2"/>
        <w:spacing w:beforeAutospacing="0" w:afterAutospacing="0" w:line="360" w:lineRule="auto"/>
        <w:ind w:firstLine="709"/>
        <w:jc w:val="both"/>
        <w:rPr>
          <w:i/>
          <w:color w:val="000000" w:themeColor="text1"/>
        </w:rPr>
      </w:pPr>
      <w:r>
        <w:rPr>
          <w:i/>
          <w:color w:val="000000" w:themeColor="text1"/>
        </w:rPr>
        <w:t xml:space="preserve">При </w:t>
      </w:r>
      <w:r w:rsidRPr="007916D1">
        <w:rPr>
          <w:i/>
        </w:rPr>
        <w:t>ОЛ</w:t>
      </w:r>
      <w:r w:rsidR="00B465AF" w:rsidRPr="007916D1">
        <w:rPr>
          <w:i/>
        </w:rPr>
        <w:t>Л</w:t>
      </w:r>
      <w:r w:rsidR="00B465AF" w:rsidRPr="004D2516">
        <w:rPr>
          <w:i/>
          <w:color w:val="000000" w:themeColor="text1"/>
        </w:rPr>
        <w:t xml:space="preserve"> могут развиваться различные вирусные, бактериальные, грибковые инфекционные осложнения, в том числе, оппортунистические инфекции, своевременная диагностика и лечение которых является важнейшим компонентом успешного лечения пациентов. Диагностические исследования включают необходимые исследования лучевой диагностики (КТ и магнитно-резонансная томография вовлеченнных областей, в том </w:t>
      </w:r>
      <w:r w:rsidR="00B465AF" w:rsidRPr="004D2516">
        <w:rPr>
          <w:i/>
          <w:color w:val="000000" w:themeColor="text1"/>
        </w:rPr>
        <w:lastRenderedPageBreak/>
        <w:t>числе, по показаниям - компьютерная томография головного мозга); эндоскопические, пункционные и биопсийные исследования (в том числе, по показаниям - бронхо-альвеолярный лаваж, пункция плевральной полости, спинномозговая пункция); лабораторные исследования (в том числе, по показаниям - исследование кислотно-основного состояния и газов крови, исследование уровня прокальцитонина в крови), посевы и другие микробиологические (культуральные) я, молекулярно-биологические, микроскопические и иные бактериологические исследования на аэробные и факультативно-анаэробные микроорганизмы (в том числе, аэробные и факультативно-анаэробные условно-патогенные микроорганизмы), пнвмоцисты, микоплазму, легионеллу, микобактерии туберкулеза, грибы (дрожжевые и мицелильные), клострид ии, и другие.</w:t>
      </w:r>
    </w:p>
    <w:p w14:paraId="22551249" w14:textId="26AD354F" w:rsidR="00B465AF" w:rsidRPr="0069235B" w:rsidRDefault="00B465AF" w:rsidP="008C1767">
      <w:pPr>
        <w:pStyle w:val="afff3"/>
        <w:widowControl/>
        <w:numPr>
          <w:ilvl w:val="0"/>
          <w:numId w:val="71"/>
        </w:numPr>
        <w:autoSpaceDE/>
        <w:autoSpaceDN/>
        <w:adjustRightInd/>
        <w:ind w:left="709"/>
        <w:rPr>
          <w:color w:val="000000" w:themeColor="text1"/>
          <w:szCs w:val="24"/>
        </w:rPr>
      </w:pPr>
      <w:r w:rsidRPr="0069235B">
        <w:rPr>
          <w:color w:val="000000" w:themeColor="text1"/>
        </w:rPr>
        <w:t xml:space="preserve">Всем пациентам с ОЛЛ на любом этапе диагностики, наблюдения, лечения, по показаниям для исключения очага поражения головного мозга с патологической электрической активностью </w:t>
      </w:r>
      <w:r w:rsidRPr="0069235B">
        <w:rPr>
          <w:b/>
          <w:color w:val="000000" w:themeColor="text1"/>
        </w:rPr>
        <w:t>рекомендуется</w:t>
      </w:r>
      <w:r w:rsidRPr="0069235B">
        <w:rPr>
          <w:color w:val="000000" w:themeColor="text1"/>
        </w:rPr>
        <w:t xml:space="preserve"> выполнение </w:t>
      </w:r>
      <w:r w:rsidRPr="0069235B">
        <w:rPr>
          <w:color w:val="000000" w:themeColor="text1"/>
          <w:szCs w:val="24"/>
        </w:rPr>
        <w:t>электроэнцефалографии</w:t>
      </w:r>
      <w:r w:rsidR="0069235B" w:rsidRPr="0069235B">
        <w:rPr>
          <w:color w:val="000000" w:themeColor="text1"/>
          <w:szCs w:val="24"/>
        </w:rPr>
        <w:t xml:space="preserve"> </w:t>
      </w:r>
      <w:r w:rsidR="0069235B" w:rsidRPr="0069235B">
        <w:rPr>
          <w:color w:val="000000" w:themeColor="text1"/>
        </w:rPr>
        <w:fldChar w:fldCharType="begin" w:fldLock="1"/>
      </w:r>
      <w:r w:rsidR="0069235B" w:rsidRPr="0069235B">
        <w:rPr>
          <w:color w:val="000000" w:themeColor="text1"/>
        </w:rPr>
        <w:instrText>ADDIN CSL_CITATION {"citationItems":[{"id":"ITEM-1","itemData":{"id":"ITEM-1","issued":{"date-parts":[["2012"]]},"number-of-pages":"1056","title":"Программное лечение заболеваний системы крови: Сборник алгоритмов диагностики и протоколов лечения заболеваний системы крови. Под ред. В.Г. Савченко","type":"book"},"uris":["http://www.mendeley.com/documents/?uuid=36484a90-27ae-40a9-a194-b0461fb47d9d"]},{"id":"ITEM-2","itemData":{"author":[{"dropping-particle":"","family":"Савченко","given":"Валерий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доп.","id":"ITEM-2","issued":{"date-parts":[["2007"]]},"page":"409-502","title":"Острые лейкозы","type":"chapter"},"uris":["http://www.mendeley.com/documents/?uuid=08f85f58-ddaa-48eb-b937-65d15d14b213"]}],"mendeley":{"formattedCitation":"[1,2]","plainTextFormattedCitation":"[1,2]","previouslyFormattedCitation":"[1,2]"},"properties":{"noteIndex":0},"schema":"https://github.com/citation-style-language/schema/raw/master/csl-citation.json"}</w:instrText>
      </w:r>
      <w:r w:rsidR="0069235B" w:rsidRPr="0069235B">
        <w:rPr>
          <w:color w:val="000000" w:themeColor="text1"/>
        </w:rPr>
        <w:fldChar w:fldCharType="separate"/>
      </w:r>
      <w:r w:rsidR="0069235B" w:rsidRPr="0069235B">
        <w:rPr>
          <w:noProof/>
          <w:color w:val="000000" w:themeColor="text1"/>
        </w:rPr>
        <w:t>[1,2]</w:t>
      </w:r>
      <w:r w:rsidR="0069235B" w:rsidRPr="0069235B">
        <w:rPr>
          <w:color w:val="000000" w:themeColor="text1"/>
        </w:rPr>
        <w:fldChar w:fldCharType="end"/>
      </w:r>
      <w:r w:rsidR="0069235B" w:rsidRPr="0069235B">
        <w:rPr>
          <w:color w:val="000000" w:themeColor="text1"/>
        </w:rPr>
        <w:t>.</w:t>
      </w:r>
      <w:r w:rsidRPr="0069235B">
        <w:rPr>
          <w:color w:val="000000" w:themeColor="text1"/>
        </w:rPr>
        <w:t xml:space="preserve"> </w:t>
      </w:r>
    </w:p>
    <w:p w14:paraId="34AB44C6" w14:textId="77777777" w:rsidR="00B465AF" w:rsidRPr="0069235B" w:rsidRDefault="00B465AF" w:rsidP="0069235B">
      <w:pPr>
        <w:pStyle w:val="1f2"/>
        <w:spacing w:beforeAutospacing="0" w:afterAutospacing="0" w:line="360" w:lineRule="auto"/>
        <w:ind w:firstLine="709"/>
        <w:jc w:val="both"/>
        <w:rPr>
          <w:b/>
          <w:color w:val="000000" w:themeColor="text1"/>
          <w:spacing w:val="-4"/>
        </w:rPr>
      </w:pPr>
      <w:r w:rsidRPr="0069235B">
        <w:rPr>
          <w:b/>
          <w:color w:val="000000" w:themeColor="text1"/>
          <w:spacing w:val="-4"/>
        </w:rPr>
        <w:t>Уровень убедительности рекомендаций – С (уровень достоверности доказательств – 5).</w:t>
      </w:r>
    </w:p>
    <w:p w14:paraId="297A39FF" w14:textId="5B57DD34" w:rsidR="00B465AF" w:rsidRPr="0069235B" w:rsidRDefault="00B465AF" w:rsidP="008C1767">
      <w:pPr>
        <w:pStyle w:val="afff3"/>
        <w:widowControl/>
        <w:numPr>
          <w:ilvl w:val="0"/>
          <w:numId w:val="71"/>
        </w:numPr>
        <w:autoSpaceDE/>
        <w:autoSpaceDN/>
        <w:adjustRightInd/>
        <w:ind w:left="709"/>
        <w:rPr>
          <w:color w:val="000000" w:themeColor="text1"/>
          <w:szCs w:val="24"/>
        </w:rPr>
      </w:pPr>
      <w:r w:rsidRPr="0069235B">
        <w:rPr>
          <w:color w:val="000000" w:themeColor="text1"/>
        </w:rPr>
        <w:t xml:space="preserve">Всем пациентам с ОЛЛ на любом этапе диагностики, наблюдения, лечения, по показаниям для исключения очага поражения или развития осложнения </w:t>
      </w:r>
      <w:r w:rsidRPr="0069235B">
        <w:rPr>
          <w:b/>
          <w:color w:val="000000" w:themeColor="text1"/>
        </w:rPr>
        <w:t>рекомендуется</w:t>
      </w:r>
      <w:r w:rsidRPr="0069235B">
        <w:rPr>
          <w:color w:val="000000" w:themeColor="text1"/>
        </w:rPr>
        <w:t xml:space="preserve"> выполнение рентгенографии пораженной области</w:t>
      </w:r>
      <w:r w:rsidR="0069235B" w:rsidRPr="0069235B">
        <w:rPr>
          <w:color w:val="000000" w:themeColor="text1"/>
        </w:rPr>
        <w:t xml:space="preserve"> </w:t>
      </w:r>
      <w:r w:rsidR="0069235B" w:rsidRPr="0069235B">
        <w:rPr>
          <w:color w:val="000000" w:themeColor="text1"/>
        </w:rPr>
        <w:fldChar w:fldCharType="begin" w:fldLock="1"/>
      </w:r>
      <w:r w:rsidR="0069235B" w:rsidRPr="0069235B">
        <w:rPr>
          <w:color w:val="000000" w:themeColor="text1"/>
        </w:rPr>
        <w:instrText>ADDIN CSL_CITATION {"citationItems":[{"id":"ITEM-1","itemData":{"id":"ITEM-1","issued":{"date-parts":[["2012"]]},"number-of-pages":"1056","title":"Программное лечение заболеваний системы крови: Сборник алгоритмов диагностики и протоколов лечения заболеваний системы крови. Под ред. В.Г. Савченко","type":"book"},"uris":["http://www.mendeley.com/documents/?uuid=36484a90-27ae-40a9-a194-b0461fb47d9d"]},{"id":"ITEM-2","itemData":{"author":[{"dropping-particle":"","family":"Савченко","given":"Валерий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доп.","id":"ITEM-2","issued":{"date-parts":[["2007"]]},"page":"409-502","title":"Острые лейкозы","type":"chapter"},"uris":["http://www.mendeley.com/documents/?uuid=08f85f58-ddaa-48eb-b937-65d15d14b213"]}],"mendeley":{"formattedCitation":"[1,2]","plainTextFormattedCitation":"[1,2]","previouslyFormattedCitation":"[1,2]"},"properties":{"noteIndex":0},"schema":"https://github.com/citation-style-language/schema/raw/master/csl-citation.json"}</w:instrText>
      </w:r>
      <w:r w:rsidR="0069235B" w:rsidRPr="0069235B">
        <w:rPr>
          <w:color w:val="000000" w:themeColor="text1"/>
        </w:rPr>
        <w:fldChar w:fldCharType="separate"/>
      </w:r>
      <w:r w:rsidR="0069235B" w:rsidRPr="0069235B">
        <w:rPr>
          <w:noProof/>
          <w:color w:val="000000" w:themeColor="text1"/>
        </w:rPr>
        <w:t>[1,2]</w:t>
      </w:r>
      <w:r w:rsidR="0069235B" w:rsidRPr="0069235B">
        <w:rPr>
          <w:color w:val="000000" w:themeColor="text1"/>
        </w:rPr>
        <w:fldChar w:fldCharType="end"/>
      </w:r>
      <w:r w:rsidRPr="0069235B">
        <w:rPr>
          <w:color w:val="000000" w:themeColor="text1"/>
        </w:rPr>
        <w:t>.</w:t>
      </w:r>
    </w:p>
    <w:p w14:paraId="7DCC5215" w14:textId="77777777" w:rsidR="0069235B" w:rsidRPr="0069235B" w:rsidRDefault="00B465AF" w:rsidP="0069235B">
      <w:pPr>
        <w:pStyle w:val="1f2"/>
        <w:spacing w:beforeAutospacing="0" w:afterAutospacing="0" w:line="360" w:lineRule="auto"/>
        <w:ind w:firstLine="709"/>
        <w:jc w:val="both"/>
        <w:rPr>
          <w:b/>
          <w:color w:val="000000" w:themeColor="text1"/>
          <w:spacing w:val="-4"/>
        </w:rPr>
      </w:pPr>
      <w:r w:rsidRPr="0069235B">
        <w:rPr>
          <w:b/>
          <w:color w:val="000000" w:themeColor="text1"/>
          <w:spacing w:val="-4"/>
        </w:rPr>
        <w:t xml:space="preserve">Уровень убедительности рекомендаций – С (уровень достоверности доказательств – 5). </w:t>
      </w:r>
    </w:p>
    <w:p w14:paraId="61409738" w14:textId="54CDFF69" w:rsidR="00B465AF" w:rsidRPr="0069235B" w:rsidRDefault="00B465AF" w:rsidP="0069235B">
      <w:pPr>
        <w:pStyle w:val="1f2"/>
        <w:spacing w:beforeAutospacing="0" w:afterAutospacing="0" w:line="360" w:lineRule="auto"/>
        <w:ind w:firstLine="709"/>
        <w:jc w:val="both"/>
        <w:rPr>
          <w:color w:val="000000" w:themeColor="text1"/>
        </w:rPr>
      </w:pPr>
      <w:r w:rsidRPr="0069235B">
        <w:rPr>
          <w:b/>
          <w:color w:val="000000" w:themeColor="text1"/>
        </w:rPr>
        <w:t xml:space="preserve">Комментарии: </w:t>
      </w:r>
      <w:r w:rsidRPr="0069235B">
        <w:rPr>
          <w:i/>
          <w:color w:val="000000" w:themeColor="text1"/>
        </w:rPr>
        <w:t>наиболее часто применяется рентгенография всего черепа, в одной или более проекциях, придаточных пазух носа (в том числе, придаточных пазух носа с контрастированием), позвоночника, таза, бедренной кости, перикарда, средостения, почек и мочевыводящих путей, обзорный снимок брюшной полости и органов малого таза, а также рентгеноскопия легких.</w:t>
      </w:r>
    </w:p>
    <w:p w14:paraId="18C10DE1" w14:textId="77777777" w:rsidR="00B465AF" w:rsidRPr="00AF61E1" w:rsidRDefault="00B465AF" w:rsidP="00CE7A8F">
      <w:pPr>
        <w:ind w:firstLine="709"/>
        <w:contextualSpacing/>
        <w:rPr>
          <w:i/>
          <w:color w:val="000000"/>
        </w:rPr>
      </w:pPr>
    </w:p>
    <w:p w14:paraId="2FBFC653" w14:textId="77777777" w:rsidR="00CA58BF" w:rsidRPr="00072C62" w:rsidRDefault="00CA58BF" w:rsidP="00072C62">
      <w:pPr>
        <w:shd w:val="clear" w:color="auto" w:fill="FFFFFF"/>
        <w:tabs>
          <w:tab w:val="left" w:pos="235"/>
        </w:tabs>
        <w:ind w:firstLine="709"/>
        <w:contextualSpacing/>
        <w:rPr>
          <w:b/>
        </w:rPr>
      </w:pPr>
      <w:r w:rsidRPr="00072C62">
        <w:rPr>
          <w:b/>
        </w:rPr>
        <w:t>Динамическая оценка эффективности терапии</w:t>
      </w:r>
      <w:bookmarkEnd w:id="80"/>
      <w:bookmarkEnd w:id="81"/>
      <w:r w:rsidRPr="00072C62">
        <w:rPr>
          <w:b/>
        </w:rPr>
        <w:t xml:space="preserve"> </w:t>
      </w:r>
    </w:p>
    <w:p w14:paraId="6B282E2C" w14:textId="38FAD958" w:rsidR="00CA58BF" w:rsidRDefault="00CA58BF" w:rsidP="00FF4C81">
      <w:pPr>
        <w:numPr>
          <w:ilvl w:val="0"/>
          <w:numId w:val="19"/>
        </w:numPr>
        <w:rPr>
          <w:iCs/>
          <w:color w:val="000000"/>
        </w:rPr>
      </w:pPr>
      <w:r w:rsidRPr="00975419">
        <w:rPr>
          <w:b/>
          <w:iCs/>
          <w:color w:val="000000"/>
        </w:rPr>
        <w:t>Рекомендуется</w:t>
      </w:r>
      <w:r>
        <w:rPr>
          <w:iCs/>
          <w:color w:val="000000"/>
        </w:rPr>
        <w:t xml:space="preserve"> всем пациентам н</w:t>
      </w:r>
      <w:r w:rsidRPr="00CE2586">
        <w:rPr>
          <w:iCs/>
          <w:color w:val="000000"/>
        </w:rPr>
        <w:t>а этапах индукции и консолидации контрольное исследование</w:t>
      </w:r>
      <w:r>
        <w:rPr>
          <w:iCs/>
          <w:color w:val="000000"/>
        </w:rPr>
        <w:t xml:space="preserve"> КМ (</w:t>
      </w:r>
      <w:r w:rsidRPr="003E42BD">
        <w:t xml:space="preserve">получение цитологического препарата </w:t>
      </w:r>
      <w:r w:rsidR="00257CE3">
        <w:t>КМ</w:t>
      </w:r>
      <w:r w:rsidRPr="003E42BD">
        <w:t xml:space="preserve"> путем пункции</w:t>
      </w:r>
      <w:r>
        <w:t xml:space="preserve"> (стернальная пункция)</w:t>
      </w:r>
      <w:r w:rsidRPr="00466B8C">
        <w:t xml:space="preserve"> </w:t>
      </w:r>
      <w:r>
        <w:t xml:space="preserve">и </w:t>
      </w:r>
      <w:r w:rsidRPr="00D07EC1">
        <w:t>цитологическое исследовани</w:t>
      </w:r>
      <w:r>
        <w:t>е мазка</w:t>
      </w:r>
      <w:r w:rsidRPr="00D07EC1">
        <w:t xml:space="preserve"> </w:t>
      </w:r>
      <w:r>
        <w:t xml:space="preserve">КМ (миелограмма) из стернального пунктата) </w:t>
      </w:r>
      <w:r w:rsidRPr="00CE2586">
        <w:rPr>
          <w:iCs/>
          <w:color w:val="000000"/>
        </w:rPr>
        <w:t xml:space="preserve">выполнять перед началом каждого </w:t>
      </w:r>
      <w:r w:rsidR="002356B9">
        <w:rPr>
          <w:iCs/>
          <w:color w:val="000000"/>
        </w:rPr>
        <w:t>последующего этапа (оптимально)</w:t>
      </w:r>
      <w:r w:rsidR="008C5C52">
        <w:rPr>
          <w:iCs/>
          <w:color w:val="000000"/>
        </w:rPr>
        <w:t xml:space="preserve"> либо 1 раз в 2</w:t>
      </w:r>
      <w:r w:rsidRPr="00CE2586">
        <w:rPr>
          <w:iCs/>
          <w:color w:val="000000"/>
        </w:rPr>
        <w:t xml:space="preserve"> месяца (не реже!)</w:t>
      </w:r>
      <w:r>
        <w:rPr>
          <w:iCs/>
          <w:color w:val="000000"/>
        </w:rPr>
        <w:t xml:space="preserve"> с целью верификации статуса </w:t>
      </w:r>
      <w:r w:rsidRPr="00A7331E">
        <w:t>пациента</w:t>
      </w:r>
      <w:r w:rsidRPr="00A7331E">
        <w:rPr>
          <w:iCs/>
          <w:color w:val="000000"/>
        </w:rPr>
        <w:t xml:space="preserve"> </w:t>
      </w:r>
      <w:r>
        <w:rPr>
          <w:iCs/>
          <w:color w:val="000000"/>
        </w:rPr>
        <w:t>по заболеванию (ремиссия, резистентность, рецидив, прогрессия)</w:t>
      </w:r>
      <w:r w:rsidR="002356B9">
        <w:t xml:space="preserve"> </w:t>
      </w:r>
      <w:r w:rsidR="00914AB6">
        <w:fldChar w:fldCharType="begin" w:fldLock="1"/>
      </w:r>
      <w:r w:rsidR="002466C9">
        <w:instrText>ADDIN CSL_CITATION {"citationItems":[{"id":"ITEM-1","itemData":{"id":"ITEM-1","issued":{"date-parts":[["2012"]]},"number-of-pages":"1056","title":"Программное лечение заболеваний системы крови: Сборник алгоритмов диагностики и протоколов лечения заболеваний системы крови. Под ред. В.Г. Савченко","type":"book"},"uris":["http://www.mendeley.com/documents/?uuid=36484a90-27ae-40a9-a194-b0461fb47d9d"]},{"id":"ITEM-2","itemData":{"author":[{"dropping-particle":"","family":"Савченко","given":"Валерий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доп.","id":"ITEM-2","issued":{"date-parts":[["2007"]]},"page":"409-502","title":"Острые лейкозы","type":"chapter"},"uris":["http://www.mendeley.com/documents/?uuid=08f85f58-ddaa-48eb-b937-65d15d14b213"]},{"id":"ITEM-3","itemData":{"author":[{"dropping-particle":"","family":"Brown","given":"Patrick A","non-dropping-particle":"","parse-names":false,"suffix":""},{"dropping-particle":"","family":"Shah","given":"Bijal","non-dropping-particle":"","parse-names":false,"suffix":""},{"dropping-particle":"","family":"Advani","given":"Anjali","non-dropping-particle":"","parse-names":false,"suffix":""},{"dropping-particle":"","family":"Aoun","given":"Patricia","non-dropping-particle":"","parse-names":false,"suffix":""},{"dropping-particle":"","family":"Bhatnagar","given":"Bhavana","non-dropping-particle":"","parse-names":false,"suffix":""},{"dropping-particle":"","family":"Boyer","given":"Michael W","non-dropping-particle":"","parse-names":false,"suffix":""},{"dropping-particle":"","family":"Bryan","given":"Teresa","non-dropping-particle":"","parse-names":false,"suffix":""},{"dropping-particle":"","family":"Burke","given":"Patrick W","non-dropping-particle":"","parse-names":false,"suffix":""},{"dropping-particle":"","family":"Cassaday","given":"Ryan D","non-dropping-particle":"","parse-names":false,"suffix":""},{"dropping-particle":"","family":"Coutre","given":"Steven E","non-dropping-particle":"","parse-names":false,"suffix":""},{"dropping-particle":"","family":"Coccia","given":"Peter F","non-dropping-particle":"","parse-names":false,"suffix":""},{"dropping-particle":"","family":"DeAngelo","given":"Daniel J","non-dropping-particle":"","parse-names":false,"suffix":""},{"dropping-particle":"","family":"Fathi","given":"Amir","non-dropping-particle":"","parse-names":false,"suffix":""},{"dropping-particle":"","family":"Jain","given":"Nitin","non-dropping-particle":"","parse-names":false,"suffix":""},{"dropping-particle":"","family":"Kirby","given":"Suzanne","non-dropping-particle":"","parse-names":false,"suffix":""},{"dropping-particle":"","family":"Litzow","given":"Mark","non-dropping-particle":"","parse-names":false,"suffix":""},{"dropping-particle":"","family":"Liu","given":"Arthur","non-dropping-particle":"","parse-names":false,"suffix":""},{"dropping-particle":"","family":"Logan","given":"Aaron","non-dropping-particle":"","parse-names":false,"suffix":""},{"dropping-particle":"","family":"Massaro","given":"Stephanie","non-dropping-particle":"","parse-names":false,"suffix":""},{"dropping-particle":"","family":"Mattison","given":"Ryan J","non-dropping-particle":"","parse-names":false,"suffix":""},{"dropping-particle":"","family":"Oluwole","given":"Olalekan","non-dropping-particle":"","parse-names":false,"suffix":""},{"dropping-particle":"","family":"Papadantonakis","given":"Nikolaos","non-dropping-particle":"","parse-names":false,"suffix":""},{"dropping-particle":"","family":"Park","given":"Jae","non-dropping-particle":"","parse-names":false,"suffix":""},{"dropping-particle":"","family":"Rubnitz","given":"Jeffrey E","non-dropping-particle":"","parse-names":false,"suffix":""},{"dropping-particle":"","family":"Uy","given":"Geoffrey L","non-dropping-particle":"","parse-names":false,"suffix":""},{"dropping-particle":"","family":"Wang","given":"Eunice S","non-dropping-particle":"","parse-names":false,"suffix":""},{"dropping-particle":"","family":"Wieduwilt","given":"Matthew","non-dropping-particle":"","parse-names":false,"suffix":""},{"dropping-particle":"","family":"Gregory","given":"Kristina","non-dropping-particle":"","parse-names":false,"suffix":""}],"id":"ITEM-3","issued":{"date-parts":[["2019"]]},"number-of-pages":"115","title":"NCCN Clinical Practice Guidelines in Oncology. Acute Lymphoblastic Leukemia. Version 2.2019","type":"report"},"uris":["http://www.mendeley.com/documents/?uuid=ef92918b-8a57-37b1-bea5-284dfdf15541"]},{"id":"ITEM-4","itemData":{"author":[{"dropping-particle":"","family":"Gökbuget","given":"N.","non-dropping-particle":"","parse-names":false,"suffix":""},{"dropping-particle":"","family":"Bassan","given":"R.","non-dropping-particle":"","parse-names":false,"suffix":""},{"dropping-particle":"","family":"Dombret","given":"H.","non-dropping-particle":"","parse-names":false,"suffix":""},{"dropping-particle":"","family":"Doubek","given":"M.","non-dropping-particle":"","parse-names":false,"suffix":""},{"dropping-particle":"","family":"Fielding","given":"A.K.","non-dropping-particle":"","parse-names":false,"suffix":""},{"dropping-particle":"","family":"Foà","given":"R.","non-dropping-particle":"","parse-names":false,"suffix":""},{"dropping-particle":"","family":"Giebel","given":"S.","non-dropping-particle":"","parse-names":false,"suffix":""},{"dropping-particle":"","family":"Hoelzer","given":"D.","non-dropping-particle":"","parse-names":false,"suffix":""},{"dropping-particle":"","family":"Martinelli","given":"G.","non-dropping-particle":"","parse-names":false,"suffix":""},{"dropping-particle":"","family":"Meloni","given":"G.","non-dropping-particle":"","parse-names":false,"suffix":""},{"dropping-particle":"","family":"Delia Moicean","given":"A.","non-dropping-particle":"","parse-names":false,"suffix":""},{"dropping-particle":"","family":"Ottmann","given":"O.","non-dropping-particle":"","parse-names":false,"suffix":""},{"dropping-particle":"","family":"Piccaluga","given":"P.P.","non-dropping-particle":"","parse-names":false,"suffix":""},{"dropping-particle":"","family":"Ribera","given":"J.M.","non-dropping-particle":"","parse-names":false,"suffix":""},{"dropping-particle":"","family":"Rousselot","given":"P.","non-dropping-particle":"","parse-names":false,"suffix":""},{"dropping-particle":"","family":"Walewski","given":"J.","non-dropping-particle":"","parse-names":false,"suffix":""}],"container-title":"UNI-MED Verlag AG","id":"ITEM-4","issued":{"date-parts":[["2011"]]},"number-of-pages":"204","title":"Recommendations of the European Working Group for Adult ALL (EWALL)","type":"book"},"uris":["http://www.mendeley.com/documents/?uuid=aba58166-cd2b-4f70-bb6a-5fdd9e1b42de"]},{"id":"ITEM-5","itemData":{"ISSN":"0006-4971","PMID":"3422030","abstract":"In a prospective multicenter study, 368 acute lymphoblastic leukemia (ALL) patients aged 15 to 65 years were treated with an intensified induction and reinduction regimen; 272 (73.9%) achieved complete remission (CR). The median remission duration (MRD) is 24.3 months, and the probability of being in continuous CR (CCR) at greater than 5 years is .37. The median survival for all 368 patients is 27.5 months, and the probability of being alive at 5 years is .39. For the 272 patients in remission the median survival is 58.4 months, and the probability of being alive at 5 years is .49. A lower CR rate was seen for patients with bleeding at diagnosis or with splenomegaly/hepatosplenomegaly. The prognostic factors unfavorable for remission duration were time to CR greater than 4 weeks v less than 4 weeks (P = .0002), age greater than 35 years v less than 35 years (P = .0008), leukocyte count greater than 30,000/microL v less than 30,000/microL (P = .0112), and null ALL v common ALL (c-ALL)/T cell ALL (T-ALL) (P = .05). The remission duration correlated strongly (P = .0001) with the number of these independent prognostic factors. In patients with none of these adverse factors the MRD has not yet been reached, with one adverse factor the MRD is 21.9 months, and with two or three adverse factors the MRD is only 9.6 months. For the immunologic subtype T-ALL, the probability of being in CCR at greater than 5 years is .55; for c-ALL, .34; and for null ALL, .24. According to these results, patients were stratified into a low-risk group with a CCR rate of .62 and a high-risk group with a CCR rate of .28, with the latter now allocated to either further chemotherapy or bone marrow transplantation in first remission.","author":[{"dropping-particle":"","family":"Hoelzer","given":"D","non-dropping-particle":"","parse-names":false,"suffix":""},{"dropping-particle":"","family":"Thiel","given":"E","non-dropping-particle":"","parse-names":false,"suffix":""},{"dropping-particle":"","family":"Löffler","given":"H","non-dropping-particle":"","parse-names":false,"suffix":""},{"dropping-particle":"","family":"Büchner","given":"T","non-dropping-particle":"","parse-names":false,"suffix":""},{"dropping-particle":"","family":"Ganser","given":"A","non-dropping-particle":"","parse-names":false,"suffix":""},{"dropping-particle":"","family":"Heil","given":"G","non-dropping-particle":"","parse-names":false,"suffix":""},{"dropping-particle":"","family":"Koch","given":"P","non-dropping-particle":"","parse-names":false,"suffix":""},{"dropping-particle":"","family":"Freund","given":"M","non-dropping-particle":"","parse-names":false,"suffix":""},{"dropping-particle":"","family":"Diedrich","given":"H","non-dropping-particle":"","parse-names":false,"suffix":""},{"dropping-particle":"","family":"Rühl","given":"H","non-dropping-particle":"","parse-names":false,"suffix":""}],"container-title":"Blood","id":"ITEM-5","issue":"1","issued":{"date-parts":[["1988","1"]]},"page":"123-31","title":"Prognostic factors in a multicenter study for treatment of acute lymphoblastic leukemia in adults.","type":"article-journal","volume":"71"},"uris":["http://www.mendeley.com/documents/?uuid=82ae800d-f6a9-370a-9b57-ccaa6e14204b"]}],"mendeley":{"formattedCitation":"[1,2,4,5,11]","plainTextFormattedCitation":"[1,2,4,5,11]","previouslyFormattedCitation":"[1,2,4,5,11]"},"properties":{"noteIndex":0},"schema":"https://github.com/citation-style-language/schema/raw/master/csl-citation.json"}</w:instrText>
      </w:r>
      <w:r w:rsidR="00914AB6">
        <w:fldChar w:fldCharType="separate"/>
      </w:r>
      <w:r w:rsidR="00A66456" w:rsidRPr="00A66456">
        <w:rPr>
          <w:noProof/>
        </w:rPr>
        <w:t>[1,2,4,5,11]</w:t>
      </w:r>
      <w:r w:rsidR="00914AB6">
        <w:fldChar w:fldCharType="end"/>
      </w:r>
      <w:r w:rsidR="00914AB6" w:rsidRPr="00617969">
        <w:t>.</w:t>
      </w:r>
      <w:r w:rsidR="00914AB6">
        <w:rPr>
          <w:iCs/>
          <w:color w:val="000000"/>
        </w:rPr>
        <w:t xml:space="preserve"> </w:t>
      </w:r>
      <w:r>
        <w:rPr>
          <w:iCs/>
          <w:color w:val="000000"/>
        </w:rPr>
        <w:t xml:space="preserve"> </w:t>
      </w:r>
    </w:p>
    <w:p w14:paraId="7F804DE2" w14:textId="77777777" w:rsidR="00CA58BF" w:rsidRPr="002356B9" w:rsidRDefault="00CA58BF" w:rsidP="00CA58BF">
      <w:pPr>
        <w:ind w:firstLine="709"/>
        <w:contextualSpacing/>
        <w:rPr>
          <w:b/>
        </w:rPr>
      </w:pPr>
      <w:r w:rsidRPr="00617969">
        <w:rPr>
          <w:b/>
        </w:rPr>
        <w:lastRenderedPageBreak/>
        <w:t>Уровень убедительности рекомендаций</w:t>
      </w:r>
      <w:r w:rsidRPr="00617969" w:rsidDel="00670C55">
        <w:rPr>
          <w:b/>
        </w:rPr>
        <w:t xml:space="preserve"> </w:t>
      </w:r>
      <w:r w:rsidR="002356B9">
        <w:rPr>
          <w:b/>
        </w:rPr>
        <w:t>–</w:t>
      </w:r>
      <w:r w:rsidR="002356B9" w:rsidRPr="002356B9">
        <w:rPr>
          <w:b/>
        </w:rPr>
        <w:t xml:space="preserve"> </w:t>
      </w:r>
      <w:r>
        <w:rPr>
          <w:b/>
        </w:rPr>
        <w:t>С</w:t>
      </w:r>
      <w:r w:rsidRPr="00617969">
        <w:rPr>
          <w:b/>
        </w:rPr>
        <w:t xml:space="preserve"> (уровень </w:t>
      </w:r>
      <w:r w:rsidRPr="00617969">
        <w:rPr>
          <w:b/>
          <w:spacing w:val="-1"/>
        </w:rPr>
        <w:t xml:space="preserve">достоверности доказательств </w:t>
      </w:r>
      <w:r w:rsidRPr="00617969">
        <w:rPr>
          <w:b/>
        </w:rPr>
        <w:t xml:space="preserve">– </w:t>
      </w:r>
      <w:r>
        <w:rPr>
          <w:b/>
        </w:rPr>
        <w:t>5)</w:t>
      </w:r>
      <w:r w:rsidR="002356B9">
        <w:rPr>
          <w:b/>
        </w:rPr>
        <w:t>.</w:t>
      </w:r>
    </w:p>
    <w:p w14:paraId="7838D9B3" w14:textId="786647DB" w:rsidR="00CA58BF" w:rsidRPr="003B7BE2" w:rsidRDefault="00CA58BF" w:rsidP="00FF4C81">
      <w:pPr>
        <w:numPr>
          <w:ilvl w:val="0"/>
          <w:numId w:val="19"/>
        </w:numPr>
        <w:rPr>
          <w:b/>
        </w:rPr>
      </w:pPr>
      <w:r w:rsidRPr="00975419">
        <w:rPr>
          <w:b/>
          <w:iCs/>
          <w:color w:val="000000"/>
        </w:rPr>
        <w:t>Рекомендуется</w:t>
      </w:r>
      <w:r>
        <w:rPr>
          <w:b/>
          <w:iCs/>
          <w:color w:val="000000"/>
        </w:rPr>
        <w:t xml:space="preserve"> </w:t>
      </w:r>
      <w:r w:rsidRPr="004A37F4">
        <w:rPr>
          <w:iCs/>
          <w:color w:val="000000"/>
        </w:rPr>
        <w:t>пациентам</w:t>
      </w:r>
      <w:r>
        <w:rPr>
          <w:iCs/>
          <w:color w:val="000000"/>
        </w:rPr>
        <w:t xml:space="preserve"> н</w:t>
      </w:r>
      <w:r w:rsidRPr="00CE2586">
        <w:rPr>
          <w:iCs/>
          <w:color w:val="000000"/>
        </w:rPr>
        <w:t xml:space="preserve">а фоне поддерживающей терапии </w:t>
      </w:r>
      <w:r w:rsidRPr="00CE2586">
        <w:rPr>
          <w:color w:val="000000"/>
        </w:rPr>
        <w:t>повторять</w:t>
      </w:r>
      <w:r>
        <w:rPr>
          <w:color w:val="000000"/>
        </w:rPr>
        <w:t xml:space="preserve"> </w:t>
      </w:r>
      <w:r w:rsidRPr="003E42BD">
        <w:t xml:space="preserve">получение цитологического препарата </w:t>
      </w:r>
      <w:r w:rsidR="00257CE3">
        <w:t>КМ</w:t>
      </w:r>
      <w:r w:rsidRPr="003E42BD">
        <w:t xml:space="preserve"> путем пункции</w:t>
      </w:r>
      <w:r>
        <w:t xml:space="preserve"> (стернальная пункция)</w:t>
      </w:r>
      <w:r w:rsidRPr="00466B8C">
        <w:t xml:space="preserve"> </w:t>
      </w:r>
      <w:r>
        <w:t xml:space="preserve">и </w:t>
      </w:r>
      <w:r w:rsidRPr="00D07EC1">
        <w:t>цитологическое исследовани</w:t>
      </w:r>
      <w:r>
        <w:t>е мазка</w:t>
      </w:r>
      <w:r w:rsidRPr="00D07EC1">
        <w:t xml:space="preserve"> </w:t>
      </w:r>
      <w:r>
        <w:t xml:space="preserve">КМ (миелограмма) из стернального пунктата </w:t>
      </w:r>
      <w:r w:rsidR="008C5C52">
        <w:rPr>
          <w:color w:val="000000"/>
        </w:rPr>
        <w:t>1 раз в 3 месяца в течение 2</w:t>
      </w:r>
      <w:r w:rsidRPr="00CE2586">
        <w:rPr>
          <w:color w:val="000000"/>
        </w:rPr>
        <w:t xml:space="preserve"> лет и в дальнейшем, после снятия с</w:t>
      </w:r>
      <w:r w:rsidR="008C5C52">
        <w:rPr>
          <w:color w:val="000000"/>
        </w:rPr>
        <w:t xml:space="preserve"> лечения, каждые полгода до 3</w:t>
      </w:r>
      <w:r w:rsidRPr="00CE2586">
        <w:rPr>
          <w:color w:val="000000"/>
        </w:rPr>
        <w:t xml:space="preserve"> лет наблюдения</w:t>
      </w:r>
      <w:r>
        <w:rPr>
          <w:color w:val="000000"/>
        </w:rPr>
        <w:t xml:space="preserve"> с</w:t>
      </w:r>
      <w:r>
        <w:t xml:space="preserve"> целью </w:t>
      </w:r>
      <w:r w:rsidR="003C141E">
        <w:rPr>
          <w:iCs/>
          <w:color w:val="000000"/>
        </w:rPr>
        <w:t xml:space="preserve">верификации статуса </w:t>
      </w:r>
      <w:r w:rsidR="003C141E" w:rsidRPr="00A7331E">
        <w:t>пациента</w:t>
      </w:r>
      <w:r w:rsidR="003C141E" w:rsidRPr="00A7331E">
        <w:rPr>
          <w:iCs/>
          <w:color w:val="000000"/>
        </w:rPr>
        <w:t xml:space="preserve"> </w:t>
      </w:r>
      <w:r w:rsidR="003C141E">
        <w:rPr>
          <w:iCs/>
          <w:color w:val="000000"/>
        </w:rPr>
        <w:t xml:space="preserve">по заболеванию (ремиссия, рецидив) </w:t>
      </w:r>
      <w:r w:rsidR="00914AB6">
        <w:fldChar w:fldCharType="begin" w:fldLock="1"/>
      </w:r>
      <w:r w:rsidR="002466C9">
        <w:instrText>ADDIN CSL_CITATION {"citationItems":[{"id":"ITEM-1","itemData":{"id":"ITEM-1","issued":{"date-parts":[["2012"]]},"number-of-pages":"1056","title":"Программное лечение заболеваний системы крови: Сборник алгоритмов диагностики и протоколов лечения заболеваний системы крови. Под ред. В.Г. Савченко","type":"book"},"uris":["http://www.mendeley.com/documents/?uuid=36484a90-27ae-40a9-a194-b0461fb47d9d"]},{"id":"ITEM-2","itemData":{"author":[{"dropping-particle":"","family":"Савченко","given":"Валерий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доп.","id":"ITEM-2","issued":{"date-parts":[["2007"]]},"page":"409-502","title":"Острые лейкозы","type":"chapter"},"uris":["http://www.mendeley.com/documents/?uuid=08f85f58-ddaa-48eb-b937-65d15d14b213"]},{"id":"ITEM-3","itemData":{"author":[{"dropping-particle":"","family":"Brown","given":"Patrick A","non-dropping-particle":"","parse-names":false,"suffix":""},{"dropping-particle":"","family":"Shah","given":"Bijal","non-dropping-particle":"","parse-names":false,"suffix":""},{"dropping-particle":"","family":"Advani","given":"Anjali","non-dropping-particle":"","parse-names":false,"suffix":""},{"dropping-particle":"","family":"Aoun","given":"Patricia","non-dropping-particle":"","parse-names":false,"suffix":""},{"dropping-particle":"","family":"Bhatnagar","given":"Bhavana","non-dropping-particle":"","parse-names":false,"suffix":""},{"dropping-particle":"","family":"Boyer","given":"Michael W","non-dropping-particle":"","parse-names":false,"suffix":""},{"dropping-particle":"","family":"Bryan","given":"Teresa","non-dropping-particle":"","parse-names":false,"suffix":""},{"dropping-particle":"","family":"Burke","given":"Patrick W","non-dropping-particle":"","parse-names":false,"suffix":""},{"dropping-particle":"","family":"Cassaday","given":"Ryan D","non-dropping-particle":"","parse-names":false,"suffix":""},{"dropping-particle":"","family":"Coutre","given":"Steven E","non-dropping-particle":"","parse-names":false,"suffix":""},{"dropping-particle":"","family":"Coccia","given":"Peter F","non-dropping-particle":"","parse-names":false,"suffix":""},{"dropping-particle":"","family":"DeAngelo","given":"Daniel J","non-dropping-particle":"","parse-names":false,"suffix":""},{"dropping-particle":"","family":"Fathi","given":"Amir","non-dropping-particle":"","parse-names":false,"suffix":""},{"dropping-particle":"","family":"Jain","given":"Nitin","non-dropping-particle":"","parse-names":false,"suffix":""},{"dropping-particle":"","family":"Kirby","given":"Suzanne","non-dropping-particle":"","parse-names":false,"suffix":""},{"dropping-particle":"","family":"Litzow","given":"Mark","non-dropping-particle":"","parse-names":false,"suffix":""},{"dropping-particle":"","family":"Liu","given":"Arthur","non-dropping-particle":"","parse-names":false,"suffix":""},{"dropping-particle":"","family":"Logan","given":"Aaron","non-dropping-particle":"","parse-names":false,"suffix":""},{"dropping-particle":"","family":"Massaro","given":"Stephanie","non-dropping-particle":"","parse-names":false,"suffix":""},{"dropping-particle":"","family":"Mattison","given":"Ryan J","non-dropping-particle":"","parse-names":false,"suffix":""},{"dropping-particle":"","family":"Oluwole","given":"Olalekan","non-dropping-particle":"","parse-names":false,"suffix":""},{"dropping-particle":"","family":"Papadantonakis","given":"Nikolaos","non-dropping-particle":"","parse-names":false,"suffix":""},{"dropping-particle":"","family":"Park","given":"Jae","non-dropping-particle":"","parse-names":false,"suffix":""},{"dropping-particle":"","family":"Rubnitz","given":"Jeffrey E","non-dropping-particle":"","parse-names":false,"suffix":""},{"dropping-particle":"","family":"Uy","given":"Geoffrey L","non-dropping-particle":"","parse-names":false,"suffix":""},{"dropping-particle":"","family":"Wang","given":"Eunice S","non-dropping-particle":"","parse-names":false,"suffix":""},{"dropping-particle":"","family":"Wieduwilt","given":"Matthew","non-dropping-particle":"","parse-names":false,"suffix":""},{"dropping-particle":"","family":"Gregory","given":"Kristina","non-dropping-particle":"","parse-names":false,"suffix":""}],"id":"ITEM-3","issued":{"date-parts":[["2019"]]},"number-of-pages":"115","title":"NCCN Clinical Practice Guidelines in Oncology. Acute Lymphoblastic Leukemia. Version 2.2019","type":"report"},"uris":["http://www.mendeley.com/documents/?uuid=ef92918b-8a57-37b1-bea5-284dfdf15541"]},{"id":"ITEM-4","itemData":{"author":[{"dropping-particle":"","family":"Gökbuget","given":"N.","non-dropping-particle":"","parse-names":false,"suffix":""},{"dropping-particle":"","family":"Bassan","given":"R.","non-dropping-particle":"","parse-names":false,"suffix":""},{"dropping-particle":"","family":"Dombret","given":"H.","non-dropping-particle":"","parse-names":false,"suffix":""},{"dropping-particle":"","family":"Doubek","given":"M.","non-dropping-particle":"","parse-names":false,"suffix":""},{"dropping-particle":"","family":"Fielding","given":"A.K.","non-dropping-particle":"","parse-names":false,"suffix":""},{"dropping-particle":"","family":"Foà","given":"R.","non-dropping-particle":"","parse-names":false,"suffix":""},{"dropping-particle":"","family":"Giebel","given":"S.","non-dropping-particle":"","parse-names":false,"suffix":""},{"dropping-particle":"","family":"Hoelzer","given":"D.","non-dropping-particle":"","parse-names":false,"suffix":""},{"dropping-particle":"","family":"Martinelli","given":"G.","non-dropping-particle":"","parse-names":false,"suffix":""},{"dropping-particle":"","family":"Meloni","given":"G.","non-dropping-particle":"","parse-names":false,"suffix":""},{"dropping-particle":"","family":"Delia Moicean","given":"A.","non-dropping-particle":"","parse-names":false,"suffix":""},{"dropping-particle":"","family":"Ottmann","given":"O.","non-dropping-particle":"","parse-names":false,"suffix":""},{"dropping-particle":"","family":"Piccaluga","given":"P.P.","non-dropping-particle":"","parse-names":false,"suffix":""},{"dropping-particle":"","family":"Ribera","given":"J.M.","non-dropping-particle":"","parse-names":false,"suffix":""},{"dropping-particle":"","family":"Rousselot","given":"P.","non-dropping-particle":"","parse-names":false,"suffix":""},{"dropping-particle":"","family":"Walewski","given":"J.","non-dropping-particle":"","parse-names":false,"suffix":""}],"container-title":"UNI-MED Verlag AG","id":"ITEM-4","issued":{"date-parts":[["2011"]]},"number-of-pages":"204","title":"Recommendations of the European Working Group for Adult ALL (EWALL)","type":"book"},"uris":["http://www.mendeley.com/documents/?uuid=aba58166-cd2b-4f70-bb6a-5fdd9e1b42de"]},{"id":"ITEM-5","itemData":{"ISSN":"0006-4971","PMID":"3422030","abstract":"In a prospective multicenter study, 368 acute lymphoblastic leukemia (ALL) patients aged 15 to 65 years were treated with an intensified induction and reinduction regimen; 272 (73.9%) achieved complete remission (CR). The median remission duration (MRD) is 24.3 months, and the probability of being in continuous CR (CCR) at greater than 5 years is .37. The median survival for all 368 patients is 27.5 months, and the probability of being alive at 5 years is .39. For the 272 patients in remission the median survival is 58.4 months, and the probability of being alive at 5 years is .49. A lower CR rate was seen for patients with bleeding at diagnosis or with splenomegaly/hepatosplenomegaly. The prognostic factors unfavorable for remission duration were time to CR greater than 4 weeks v less than 4 weeks (P = .0002), age greater than 35 years v less than 35 years (P = .0008), leukocyte count greater than 30,000/microL v less than 30,000/microL (P = .0112), and null ALL v common ALL (c-ALL)/T cell ALL (T-ALL) (P = .05). The remission duration correlated strongly (P = .0001) with the number of these independent prognostic factors. In patients with none of these adverse factors the MRD has not yet been reached, with one adverse factor the MRD is 21.9 months, and with two or three adverse factors the MRD is only 9.6 months. For the immunologic subtype T-ALL, the probability of being in CCR at greater than 5 years is .55; for c-ALL, .34; and for null ALL, .24. According to these results, patients were stratified into a low-risk group with a CCR rate of .62 and a high-risk group with a CCR rate of .28, with the latter now allocated to either further chemotherapy or bone marrow transplantation in first remission.","author":[{"dropping-particle":"","family":"Hoelzer","given":"D","non-dropping-particle":"","parse-names":false,"suffix":""},{"dropping-particle":"","family":"Thiel","given":"E","non-dropping-particle":"","parse-names":false,"suffix":""},{"dropping-particle":"","family":"Löffler","given":"H","non-dropping-particle":"","parse-names":false,"suffix":""},{"dropping-particle":"","family":"Büchner","given":"T","non-dropping-particle":"","parse-names":false,"suffix":""},{"dropping-particle":"","family":"Ganser","given":"A","non-dropping-particle":"","parse-names":false,"suffix":""},{"dropping-particle":"","family":"Heil","given":"G","non-dropping-particle":"","parse-names":false,"suffix":""},{"dropping-particle":"","family":"Koch","given":"P","non-dropping-particle":"","parse-names":false,"suffix":""},{"dropping-particle":"","family":"Freund","given":"M","non-dropping-particle":"","parse-names":false,"suffix":""},{"dropping-particle":"","family":"Diedrich","given":"H","non-dropping-particle":"","parse-names":false,"suffix":""},{"dropping-particle":"","family":"Rühl","given":"H","non-dropping-particle":"","parse-names":false,"suffix":""}],"container-title":"Blood","id":"ITEM-5","issue":"1","issued":{"date-parts":[["1988","1"]]},"page":"123-31","title":"Prognostic factors in a multicenter study for treatment of acute lymphoblastic leukemia in adults.","type":"article-journal","volume":"71"},"uris":["http://www.mendeley.com/documents/?uuid=82ae800d-f6a9-370a-9b57-ccaa6e14204b"]}],"mendeley":{"formattedCitation":"[1,2,4,5,11]","plainTextFormattedCitation":"[1,2,4,5,11]","previouslyFormattedCitation":"[1,2,4,5,11]"},"properties":{"noteIndex":0},"schema":"https://github.com/citation-style-language/schema/raw/master/csl-citation.json"}</w:instrText>
      </w:r>
      <w:r w:rsidR="00914AB6">
        <w:fldChar w:fldCharType="separate"/>
      </w:r>
      <w:r w:rsidR="00A66456" w:rsidRPr="00A66456">
        <w:rPr>
          <w:noProof/>
        </w:rPr>
        <w:t>[1,2,4,5,11]</w:t>
      </w:r>
      <w:r w:rsidR="00914AB6">
        <w:fldChar w:fldCharType="end"/>
      </w:r>
      <w:r w:rsidR="00914AB6" w:rsidRPr="00CE2586">
        <w:rPr>
          <w:color w:val="000000"/>
        </w:rPr>
        <w:t>.</w:t>
      </w:r>
    </w:p>
    <w:p w14:paraId="380498F2" w14:textId="77777777" w:rsidR="00CA58BF" w:rsidRPr="00FA5276" w:rsidRDefault="00CA58BF" w:rsidP="00CA58BF">
      <w:pPr>
        <w:ind w:firstLine="709"/>
        <w:contextualSpacing/>
        <w:rPr>
          <w:b/>
        </w:rPr>
      </w:pPr>
      <w:r w:rsidRPr="00617969">
        <w:rPr>
          <w:b/>
        </w:rPr>
        <w:t>Уровень убедительности рекомендаций</w:t>
      </w:r>
      <w:r w:rsidRPr="00617969" w:rsidDel="00670C55">
        <w:rPr>
          <w:b/>
        </w:rPr>
        <w:t xml:space="preserve"> </w:t>
      </w:r>
      <w:r w:rsidR="003C141E">
        <w:rPr>
          <w:b/>
        </w:rPr>
        <w:t>С</w:t>
      </w:r>
      <w:r w:rsidRPr="00617969">
        <w:rPr>
          <w:b/>
        </w:rPr>
        <w:t xml:space="preserve"> (уровень </w:t>
      </w:r>
      <w:r w:rsidRPr="00617969">
        <w:rPr>
          <w:b/>
          <w:spacing w:val="-1"/>
        </w:rPr>
        <w:t xml:space="preserve">достоверности доказательств </w:t>
      </w:r>
      <w:r>
        <w:rPr>
          <w:b/>
        </w:rPr>
        <w:t xml:space="preserve">– </w:t>
      </w:r>
      <w:r w:rsidR="003C141E">
        <w:rPr>
          <w:b/>
        </w:rPr>
        <w:t>5</w:t>
      </w:r>
      <w:r>
        <w:rPr>
          <w:b/>
        </w:rPr>
        <w:t>)</w:t>
      </w:r>
    </w:p>
    <w:p w14:paraId="236C4B91" w14:textId="77777777" w:rsidR="00CA58BF" w:rsidRPr="00986171" w:rsidRDefault="00CA58BF" w:rsidP="00CA58BF">
      <w:pPr>
        <w:tabs>
          <w:tab w:val="left" w:pos="567"/>
        </w:tabs>
        <w:ind w:firstLine="709"/>
        <w:contextualSpacing/>
        <w:rPr>
          <w:i/>
          <w:color w:val="000000"/>
        </w:rPr>
      </w:pPr>
      <w:r w:rsidRPr="00EC10A2">
        <w:rPr>
          <w:b/>
          <w:color w:val="000000"/>
        </w:rPr>
        <w:t>Комментарии</w:t>
      </w:r>
      <w:r w:rsidRPr="00430227">
        <w:rPr>
          <w:b/>
          <w:color w:val="000000"/>
        </w:rPr>
        <w:t>:</w:t>
      </w:r>
      <w:r>
        <w:rPr>
          <w:i/>
          <w:color w:val="000000"/>
        </w:rPr>
        <w:t xml:space="preserve"> </w:t>
      </w:r>
      <w:r w:rsidR="003C141E" w:rsidRPr="00986171">
        <w:rPr>
          <w:i/>
          <w:color w:val="000000"/>
        </w:rPr>
        <w:t xml:space="preserve">стандартизованные </w:t>
      </w:r>
      <w:r w:rsidRPr="00986171">
        <w:rPr>
          <w:i/>
          <w:color w:val="000000"/>
        </w:rPr>
        <w:t xml:space="preserve">временные точки взятия </w:t>
      </w:r>
      <w:r w:rsidR="006C1127">
        <w:rPr>
          <w:i/>
          <w:color w:val="000000"/>
        </w:rPr>
        <w:t>КМ</w:t>
      </w:r>
      <w:r w:rsidRPr="00986171">
        <w:rPr>
          <w:i/>
          <w:color w:val="000000"/>
        </w:rPr>
        <w:t xml:space="preserve"> необходимы при мониторинге </w:t>
      </w:r>
      <w:r w:rsidR="00AF128D">
        <w:rPr>
          <w:i/>
          <w:color w:val="000000"/>
        </w:rPr>
        <w:t>МОБ</w:t>
      </w:r>
      <w:r w:rsidRPr="00986171">
        <w:rPr>
          <w:i/>
          <w:color w:val="000000"/>
        </w:rPr>
        <w:t xml:space="preserve">. Мониторинг </w:t>
      </w:r>
      <w:r w:rsidR="00AF128D">
        <w:rPr>
          <w:i/>
          <w:color w:val="000000"/>
        </w:rPr>
        <w:t>МОБ</w:t>
      </w:r>
      <w:r w:rsidRPr="00986171">
        <w:rPr>
          <w:i/>
          <w:color w:val="000000"/>
        </w:rPr>
        <w:t xml:space="preserve"> является ключевым исследованием во всех современных протоколах лечения ОЛЛ. В России, где в </w:t>
      </w:r>
      <w:r w:rsidR="006C1127">
        <w:rPr>
          <w:i/>
          <w:color w:val="000000"/>
        </w:rPr>
        <w:t>КИ</w:t>
      </w:r>
      <w:r w:rsidRPr="00986171">
        <w:rPr>
          <w:i/>
          <w:color w:val="000000"/>
        </w:rPr>
        <w:t xml:space="preserve"> включается минимальное число </w:t>
      </w:r>
      <w:r>
        <w:rPr>
          <w:i/>
        </w:rPr>
        <w:t>пациентов</w:t>
      </w:r>
      <w:r w:rsidRPr="00986171">
        <w:rPr>
          <w:i/>
          <w:color w:val="000000"/>
        </w:rPr>
        <w:t>, рекомендовать станд</w:t>
      </w:r>
      <w:r>
        <w:rPr>
          <w:i/>
          <w:color w:val="000000"/>
        </w:rPr>
        <w:t>а</w:t>
      </w:r>
      <w:r w:rsidRPr="00986171">
        <w:rPr>
          <w:i/>
          <w:color w:val="000000"/>
        </w:rPr>
        <w:t xml:space="preserve">ртизованный мониторинг </w:t>
      </w:r>
      <w:r w:rsidR="00AF128D">
        <w:rPr>
          <w:i/>
          <w:color w:val="000000"/>
        </w:rPr>
        <w:t>МОБ</w:t>
      </w:r>
      <w:r w:rsidRPr="00986171">
        <w:rPr>
          <w:i/>
          <w:color w:val="000000"/>
        </w:rPr>
        <w:t xml:space="preserve"> и принимать терапевтические решения в зависимости от получаемых показателей представляется преждевременным. Это связано с тем, что в большинстве случаев программы терапии ОЛЛ модифицируются, не соблюдаются принципы </w:t>
      </w:r>
      <w:r w:rsidR="00BE2990">
        <w:rPr>
          <w:i/>
          <w:color w:val="000000"/>
        </w:rPr>
        <w:t>«</w:t>
      </w:r>
      <w:r w:rsidRPr="00986171">
        <w:rPr>
          <w:i/>
          <w:color w:val="000000"/>
        </w:rPr>
        <w:t>доза</w:t>
      </w:r>
      <w:r w:rsidR="00BE2990">
        <w:rPr>
          <w:i/>
          <w:color w:val="000000"/>
        </w:rPr>
        <w:t xml:space="preserve"> – </w:t>
      </w:r>
      <w:r w:rsidRPr="00986171">
        <w:rPr>
          <w:i/>
          <w:color w:val="000000"/>
        </w:rPr>
        <w:t>интенсивность</w:t>
      </w:r>
      <w:r w:rsidR="00BE2990">
        <w:rPr>
          <w:i/>
          <w:color w:val="000000"/>
        </w:rPr>
        <w:t>»</w:t>
      </w:r>
      <w:r w:rsidRPr="00986171">
        <w:rPr>
          <w:i/>
          <w:color w:val="000000"/>
        </w:rPr>
        <w:t xml:space="preserve">, интервалы, в ряде случаев отсутствуют предусмотренные конкретным протоколом препараты. </w:t>
      </w:r>
      <w:r w:rsidR="006C1127">
        <w:rPr>
          <w:i/>
          <w:color w:val="000000"/>
        </w:rPr>
        <w:t>Определение</w:t>
      </w:r>
      <w:r w:rsidR="006C1127" w:rsidRPr="00986171">
        <w:rPr>
          <w:i/>
          <w:color w:val="000000"/>
        </w:rPr>
        <w:t xml:space="preserve"> </w:t>
      </w:r>
      <w:r w:rsidR="00AF128D">
        <w:rPr>
          <w:i/>
          <w:color w:val="000000"/>
        </w:rPr>
        <w:t>МОБ</w:t>
      </w:r>
      <w:r w:rsidRPr="00986171">
        <w:rPr>
          <w:i/>
          <w:color w:val="000000"/>
        </w:rPr>
        <w:t xml:space="preserve"> необходим</w:t>
      </w:r>
      <w:r w:rsidR="006C1127">
        <w:rPr>
          <w:i/>
          <w:color w:val="000000"/>
        </w:rPr>
        <w:t>о</w:t>
      </w:r>
      <w:r w:rsidRPr="00986171">
        <w:rPr>
          <w:i/>
          <w:color w:val="000000"/>
        </w:rPr>
        <w:t xml:space="preserve"> для решения вопроса о целесообразности выполнения </w:t>
      </w:r>
      <w:r w:rsidR="00BE2990" w:rsidRPr="00D048C3">
        <w:rPr>
          <w:i/>
          <w:iCs/>
          <w:szCs w:val="24"/>
        </w:rPr>
        <w:t>трансплантации</w:t>
      </w:r>
      <w:r w:rsidR="00BE2990" w:rsidRPr="00986171">
        <w:rPr>
          <w:i/>
          <w:color w:val="000000"/>
        </w:rPr>
        <w:t xml:space="preserve"> </w:t>
      </w:r>
      <w:r w:rsidR="00BE2990" w:rsidRPr="00D048C3">
        <w:rPr>
          <w:i/>
          <w:iCs/>
          <w:szCs w:val="24"/>
        </w:rPr>
        <w:t>аллогенных гемопоэтических стволовых клеток</w:t>
      </w:r>
      <w:r w:rsidR="00BE2990" w:rsidRPr="00986171">
        <w:rPr>
          <w:i/>
          <w:color w:val="000000"/>
        </w:rPr>
        <w:t xml:space="preserve"> </w:t>
      </w:r>
      <w:r w:rsidR="00BE2990">
        <w:rPr>
          <w:i/>
          <w:color w:val="000000"/>
        </w:rPr>
        <w:t xml:space="preserve">(далее – </w:t>
      </w:r>
      <w:r w:rsidRPr="00986171">
        <w:rPr>
          <w:i/>
          <w:color w:val="000000"/>
        </w:rPr>
        <w:t>алло</w:t>
      </w:r>
      <w:r w:rsidR="006C1127">
        <w:rPr>
          <w:i/>
          <w:color w:val="000000"/>
        </w:rPr>
        <w:t>-</w:t>
      </w:r>
      <w:r w:rsidRPr="00986171">
        <w:rPr>
          <w:i/>
          <w:color w:val="000000"/>
        </w:rPr>
        <w:t>ТГСК</w:t>
      </w:r>
      <w:r w:rsidR="00BE2990">
        <w:rPr>
          <w:i/>
          <w:color w:val="000000"/>
        </w:rPr>
        <w:t>)</w:t>
      </w:r>
      <w:r w:rsidRPr="00986171">
        <w:rPr>
          <w:i/>
          <w:color w:val="000000"/>
        </w:rPr>
        <w:t xml:space="preserve">. Поэтому представляется разумным всех </w:t>
      </w:r>
      <w:r>
        <w:rPr>
          <w:i/>
        </w:rPr>
        <w:t>пациентов с</w:t>
      </w:r>
      <w:r w:rsidRPr="00986171">
        <w:rPr>
          <w:i/>
          <w:color w:val="000000"/>
        </w:rPr>
        <w:t xml:space="preserve"> ОЛЛ, которые не включены в контролируемые </w:t>
      </w:r>
      <w:r w:rsidR="006C1127">
        <w:rPr>
          <w:i/>
          <w:color w:val="000000"/>
        </w:rPr>
        <w:t>КИ</w:t>
      </w:r>
      <w:r w:rsidRPr="00986171">
        <w:rPr>
          <w:i/>
          <w:color w:val="000000"/>
        </w:rPr>
        <w:t xml:space="preserve">, рассматривать в качестве кандидатов для </w:t>
      </w:r>
      <w:r w:rsidR="00A16032" w:rsidRPr="00D048C3">
        <w:rPr>
          <w:i/>
          <w:iCs/>
          <w:szCs w:val="24"/>
        </w:rPr>
        <w:t xml:space="preserve">трансплантации </w:t>
      </w:r>
      <w:r w:rsidRPr="00986171">
        <w:rPr>
          <w:i/>
          <w:color w:val="000000"/>
        </w:rPr>
        <w:t>алло-ТГСК, особенно если речь идет о родственной трансплантации.</w:t>
      </w:r>
    </w:p>
    <w:p w14:paraId="0C9BB060" w14:textId="4F0B8274" w:rsidR="00072C62" w:rsidRDefault="00CA58BF" w:rsidP="001B3DB0">
      <w:pPr>
        <w:shd w:val="clear" w:color="auto" w:fill="FFFFFF"/>
        <w:tabs>
          <w:tab w:val="left" w:pos="226"/>
        </w:tabs>
        <w:ind w:firstLine="709"/>
        <w:contextualSpacing/>
        <w:rPr>
          <w:color w:val="000000"/>
        </w:rPr>
      </w:pPr>
      <w:r w:rsidRPr="00986171">
        <w:rPr>
          <w:i/>
          <w:color w:val="000000"/>
        </w:rPr>
        <w:t xml:space="preserve">Вопреки сомнительной в условиях РФ рекомендации мониторировать </w:t>
      </w:r>
      <w:r w:rsidR="00AF128D">
        <w:rPr>
          <w:i/>
          <w:color w:val="000000"/>
        </w:rPr>
        <w:t>МОБ</w:t>
      </w:r>
      <w:r w:rsidRPr="00986171">
        <w:rPr>
          <w:i/>
          <w:color w:val="000000"/>
        </w:rPr>
        <w:t xml:space="preserve"> у </w:t>
      </w:r>
      <w:r>
        <w:rPr>
          <w:i/>
        </w:rPr>
        <w:t>пациентов</w:t>
      </w:r>
      <w:r w:rsidRPr="00986171">
        <w:rPr>
          <w:i/>
          <w:color w:val="000000"/>
        </w:rPr>
        <w:t xml:space="preserve"> с </w:t>
      </w:r>
      <w:r w:rsidRPr="00986171">
        <w:rPr>
          <w:i/>
          <w:color w:val="000000"/>
          <w:lang w:val="en-US"/>
        </w:rPr>
        <w:t>Ph</w:t>
      </w:r>
      <w:r w:rsidRPr="00986171">
        <w:rPr>
          <w:i/>
          <w:color w:val="000000"/>
        </w:rPr>
        <w:t xml:space="preserve">-негативными ОЛЛ, мониторинг </w:t>
      </w:r>
      <w:r w:rsidR="00AF128D">
        <w:rPr>
          <w:i/>
          <w:color w:val="000000"/>
        </w:rPr>
        <w:t>МОБ</w:t>
      </w:r>
      <w:r w:rsidRPr="00986171">
        <w:rPr>
          <w:i/>
          <w:color w:val="000000"/>
        </w:rPr>
        <w:t xml:space="preserve"> у </w:t>
      </w:r>
      <w:r>
        <w:rPr>
          <w:i/>
        </w:rPr>
        <w:t>пациентов</w:t>
      </w:r>
      <w:r w:rsidRPr="00A47B1D">
        <w:rPr>
          <w:i/>
        </w:rPr>
        <w:t xml:space="preserve"> </w:t>
      </w:r>
      <w:r>
        <w:rPr>
          <w:i/>
        </w:rPr>
        <w:t xml:space="preserve">с </w:t>
      </w:r>
      <w:r w:rsidRPr="00986171">
        <w:rPr>
          <w:i/>
          <w:color w:val="000000"/>
          <w:lang w:val="en-US"/>
        </w:rPr>
        <w:t>Ph</w:t>
      </w:r>
      <w:r w:rsidRPr="00986171">
        <w:rPr>
          <w:i/>
          <w:color w:val="000000"/>
        </w:rPr>
        <w:t>-позитивным ОЛЛ является ключевым</w:t>
      </w:r>
      <w:r>
        <w:rPr>
          <w:i/>
          <w:color w:val="000000"/>
        </w:rPr>
        <w:t xml:space="preserve"> условием лечения для ВСЕХ (!) </w:t>
      </w:r>
      <w:r w:rsidRPr="00986171">
        <w:rPr>
          <w:i/>
          <w:color w:val="000000"/>
        </w:rPr>
        <w:t xml:space="preserve">пациентов и в условиях РФ, поскольку это напрямую связано с требованием рекомендаций по смене тирозинкиназного ингибитора </w:t>
      </w:r>
      <w:r w:rsidR="00F34C0B">
        <w:rPr>
          <w:i/>
          <w:color w:val="000000"/>
        </w:rPr>
        <w:t>(</w:t>
      </w:r>
      <w:r w:rsidR="00E73009">
        <w:rPr>
          <w:i/>
          <w:color w:val="000000"/>
        </w:rPr>
        <w:t xml:space="preserve">далее – </w:t>
      </w:r>
      <w:r w:rsidR="00F34C0B">
        <w:rPr>
          <w:i/>
          <w:color w:val="000000"/>
        </w:rPr>
        <w:t>ИТК)</w:t>
      </w:r>
      <w:r w:rsidR="00A16032">
        <w:rPr>
          <w:i/>
          <w:color w:val="000000"/>
        </w:rPr>
        <w:t xml:space="preserve"> </w:t>
      </w:r>
      <w:r w:rsidRPr="00986171">
        <w:rPr>
          <w:i/>
          <w:color w:val="000000"/>
        </w:rPr>
        <w:t>в случае недостижения молекулярного ответа</w:t>
      </w:r>
      <w:r w:rsidR="00E73009">
        <w:t xml:space="preserve"> </w:t>
      </w:r>
      <w:r w:rsidR="00914AB6">
        <w:fldChar w:fldCharType="begin" w:fldLock="1"/>
      </w:r>
      <w:r w:rsidR="002466C9">
        <w:instrText xml:space="preserve">ADDIN CSL_CITATION {"citationItems":[{"id":"ITEM-1","itemData":{"id":"ITEM-1","issued":{"date-parts":[["2012"]]},"number-of-pages":"1056","title":"Программное лечение заболеваний системы крови: Сборник алгоритмов диагностики и протоколов лечения заболеваний системы крови. Под ред. В.Г. Савченко","type":"book"},"uris":["http://www.mendeley.com/documents/?uuid=36484a90-27ae-40a9-a194-b0461fb47d9d"]},{"id":"ITEM-2","itemData":{"author":[{"dropping-particle":"","family":"Савченко","given":"Валерий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доп.","id":"ITEM-2","issued":{"date-parts":[["2007"]]},"page":"409-502","title":"Острые лейкозы","type":"chapter"},"uris":["http://www.mendeley.com/documents/?uuid=08f85f58-ddaa-48eb-b937-65d15d14b213"]},{"id":"ITEM-3","itemData":{"DOI":"10.1002/ajh.24926","ISSN":"1096-8652","PMID":"28971501","abstract":"Philadelphia chromosome-positive (Ph-positive) acute lymphoblastic leukemia (ALL) is a biologically, clinically, and genetically distinct subtype of precursor-B ALL. The Ph chromosome, results from a reciprocal translocation of the ABL1 kinase gene on chromosome 9 to the breakpoint cluster region (BCR) gene on chromosome 22. Depending on the translocation breakpoint, typically a p210 BCR-ABL1 or a p190 BCR-ABL onc protein are generated; both are constitutively active tyrosine kinases that play a central role to alter signaling pathways of cell proliferation, survival, and self-renewal, leading to leukemogenesis. In Ph-positive ALL, the p190-BCR-ABL (minor [m]-bcr) subtype is more frequent than the p210-BCR-ABL (major [M]-bcr) subtype, commonly found in chronic myeloid leukemia. The Philadelphia chromosome is the most frequent recurrent cytogenetic abnormality in elderly patients with ALL. Its incidence increases with age, reaching </w:instrText>
      </w:r>
      <w:r w:rsidR="002466C9">
        <w:rPr>
          <w:rFonts w:ascii="Cambria Math" w:hAnsi="Cambria Math" w:cs="Cambria Math"/>
        </w:rPr>
        <w:instrText>∼</w:instrText>
      </w:r>
      <w:r w:rsidR="002466C9">
        <w:instrText>50% in patients with ALL aged 60 years and over. Patients traditionally had a very poor outcome with chemotherapy, particularly if they do not undergo allogeneic hematopoietic cell transplantation (allo-HCT) in first complete remission (CR1). With the availability of multiple tyrosine kinase inhibitors (TKI), the therapeutic armamentarium is expanding quickly. However, there is no consensus on how to best treat Ph-positive ALL. With modern therapy, improved outcomes have led to the emergence of a number of controversies, including the need for intensive chemotherapy, the ideal TKI, and whether all eligible patients should receive an allo-HSCT, and if so, what type. Here, we discuss these controversies in light of the available literature.","author":[{"dropping-particle":"","family":"Fakih","given":"Riad","non-dropping-particle":"El","parse-names":false,"suffix":""},{"dropping-particle":"","family":"Jabbour","given":"Elias","non-dropping-particle":"","parse-names":false,"suffix":""},{"dropping-particle":"","family":"Ravandi","given":"Farhad","non-dropping-particle":"","parse-names":false,"suffix":""},{"dropping-particle":"","family":"Hassanein","given":"Mona","non-dropping-particle":"","parse-names":false,"suffix":""},{"dropping-particle":"","family":"Anjum","given":"Farhan","non-dropping-particle":"","parse-names":false,"suffix":""},{"dropping-particle":"","family":"Ahmed","given":"Syed","non-dropping-particle":"","parse-names":false,"suffix":""},{"dropping-particle":"","family":"Kantarjian","given":"Hagop","non-dropping-particle":"","parse-names":false,"suffix":""}],"container-title":"American journal of hematology","id":"ITEM-3","issue":"2","issued":{"date-parts":[["2018","2"]]},"page":"286-295","title":"Current paradigms in the management of Philadelphia chromosome positive acute lymphoblastic leukemia in adults.","type":"article-journal","volume":"93"},"uris":["http://www.mendeley.com/documents/?uuid=a659863f-b726-3b17-95e8-c59bf5045469"]}],"mendeley":{"formattedCitation":"[1,2,52]","plainTextFormattedCitation":"[1,2,52]","previouslyFormattedCitation":"[1,2,52]"},"properties":{"noteIndex":0},"schema":"https://github.com/citation-style-language/schema/raw/master/csl-citation.json"}</w:instrText>
      </w:r>
      <w:r w:rsidR="00914AB6">
        <w:fldChar w:fldCharType="separate"/>
      </w:r>
      <w:r w:rsidR="00A66456" w:rsidRPr="00A66456">
        <w:rPr>
          <w:noProof/>
        </w:rPr>
        <w:t>[1,2,52]</w:t>
      </w:r>
      <w:r w:rsidR="00914AB6">
        <w:fldChar w:fldCharType="end"/>
      </w:r>
      <w:r w:rsidR="00914AB6" w:rsidRPr="00CE2586">
        <w:rPr>
          <w:color w:val="000000"/>
        </w:rPr>
        <w:t>.</w:t>
      </w:r>
      <w:bookmarkStart w:id="82" w:name="_Toc505347341"/>
      <w:bookmarkStart w:id="83" w:name="_Toc5373981"/>
      <w:bookmarkStart w:id="84" w:name="_Toc13484812"/>
    </w:p>
    <w:bookmarkEnd w:id="82"/>
    <w:bookmarkEnd w:id="83"/>
    <w:bookmarkEnd w:id="84"/>
    <w:p w14:paraId="4BCA1D47" w14:textId="77777777" w:rsidR="00113282" w:rsidRPr="00072C62" w:rsidRDefault="00B25135" w:rsidP="001B3DB0">
      <w:pPr>
        <w:shd w:val="clear" w:color="auto" w:fill="FFFFFF"/>
        <w:tabs>
          <w:tab w:val="left" w:pos="226"/>
        </w:tabs>
        <w:ind w:firstLine="709"/>
        <w:contextualSpacing/>
        <w:rPr>
          <w:b/>
        </w:rPr>
      </w:pPr>
      <w:r w:rsidRPr="00072C62">
        <w:rPr>
          <w:b/>
        </w:rPr>
        <w:t>МОБ</w:t>
      </w:r>
    </w:p>
    <w:p w14:paraId="23D214CC" w14:textId="77777777" w:rsidR="00F35309" w:rsidRDefault="00113282" w:rsidP="00CE7A8F">
      <w:pPr>
        <w:pStyle w:val="a6"/>
        <w:spacing w:after="0" w:line="360" w:lineRule="auto"/>
        <w:ind w:firstLine="567"/>
        <w:rPr>
          <w:i/>
          <w:szCs w:val="24"/>
        </w:rPr>
      </w:pPr>
      <w:r w:rsidRPr="00986171">
        <w:rPr>
          <w:i/>
          <w:szCs w:val="24"/>
        </w:rPr>
        <w:t>В настоящее время стандартом мониторинга эффективности лечения ОЛЛ стал мониторинг остаточной опухолевой популяции клеток (</w:t>
      </w:r>
      <w:r w:rsidR="00AF128D">
        <w:rPr>
          <w:i/>
          <w:szCs w:val="24"/>
        </w:rPr>
        <w:t>МОБ</w:t>
      </w:r>
      <w:r w:rsidRPr="00986171">
        <w:rPr>
          <w:i/>
          <w:szCs w:val="24"/>
        </w:rPr>
        <w:t>) с помощью методов проточной цитометрии и/или молекулярно-биологических методов. Указанные методы обладают высокой чувствительностью (обнаруживается 1 лейкемическая клетка на 10</w:t>
      </w:r>
      <w:r w:rsidR="007C60C2">
        <w:rPr>
          <w:i/>
          <w:szCs w:val="24"/>
          <w:vertAlign w:val="superscript"/>
        </w:rPr>
        <w:t>4–</w:t>
      </w:r>
      <w:r w:rsidRPr="00986171">
        <w:rPr>
          <w:i/>
          <w:szCs w:val="24"/>
          <w:vertAlign w:val="superscript"/>
        </w:rPr>
        <w:t>6</w:t>
      </w:r>
      <w:r w:rsidRPr="00986171">
        <w:rPr>
          <w:i/>
          <w:szCs w:val="24"/>
        </w:rPr>
        <w:t xml:space="preserve"> нормальных гемопоэтических клеток) и с их помощью можно отслеживать в динамике </w:t>
      </w:r>
      <w:r w:rsidRPr="00986171">
        <w:rPr>
          <w:i/>
          <w:szCs w:val="24"/>
        </w:rPr>
        <w:lastRenderedPageBreak/>
        <w:t xml:space="preserve">судьбу лейкемического клона. Обнаружение </w:t>
      </w:r>
      <w:r w:rsidR="00AF128D">
        <w:rPr>
          <w:i/>
          <w:szCs w:val="24"/>
        </w:rPr>
        <w:t>МОБ</w:t>
      </w:r>
      <w:r w:rsidRPr="00986171">
        <w:rPr>
          <w:i/>
          <w:szCs w:val="24"/>
        </w:rPr>
        <w:t xml:space="preserve"> после цитостатического воздействия является самым мощным прогностическим фактором у </w:t>
      </w:r>
      <w:r>
        <w:rPr>
          <w:i/>
        </w:rPr>
        <w:t>пациентов с</w:t>
      </w:r>
      <w:r w:rsidRPr="00986171">
        <w:rPr>
          <w:i/>
          <w:szCs w:val="24"/>
        </w:rPr>
        <w:t xml:space="preserve"> ОЛЛ, свидетельствующим о необходимости изменения терапевтической тактики и применения в программе лечения </w:t>
      </w:r>
      <w:r w:rsidR="006C1127">
        <w:rPr>
          <w:i/>
          <w:szCs w:val="24"/>
        </w:rPr>
        <w:t>алло-</w:t>
      </w:r>
      <w:r w:rsidR="00F33796">
        <w:rPr>
          <w:i/>
          <w:szCs w:val="24"/>
        </w:rPr>
        <w:t>ТГСК</w:t>
      </w:r>
      <w:r>
        <w:rPr>
          <w:i/>
          <w:szCs w:val="24"/>
        </w:rPr>
        <w:t>.</w:t>
      </w:r>
      <w:bookmarkStart w:id="85" w:name="_Toc505347342"/>
    </w:p>
    <w:p w14:paraId="4D748E15" w14:textId="77777777" w:rsidR="00113282" w:rsidRPr="00080307" w:rsidRDefault="00113282" w:rsidP="00F35309">
      <w:pPr>
        <w:pStyle w:val="a6"/>
        <w:spacing w:before="120" w:after="0" w:line="360" w:lineRule="auto"/>
        <w:ind w:firstLine="567"/>
        <w:rPr>
          <w:b/>
        </w:rPr>
      </w:pPr>
      <w:r w:rsidRPr="00080307">
        <w:rPr>
          <w:b/>
        </w:rPr>
        <w:t xml:space="preserve">Meтоды оценки </w:t>
      </w:r>
      <w:r w:rsidR="00AF128D">
        <w:rPr>
          <w:b/>
        </w:rPr>
        <w:t>МОБ</w:t>
      </w:r>
      <w:bookmarkEnd w:id="85"/>
    </w:p>
    <w:p w14:paraId="0B7B8968" w14:textId="77777777" w:rsidR="00113282" w:rsidRPr="004B626D" w:rsidRDefault="00113282" w:rsidP="00113282">
      <w:pPr>
        <w:shd w:val="clear" w:color="auto" w:fill="FFFFFF"/>
        <w:ind w:firstLine="567"/>
        <w:rPr>
          <w:i/>
        </w:rPr>
      </w:pPr>
      <w:r w:rsidRPr="004B626D">
        <w:rPr>
          <w:i/>
        </w:rPr>
        <w:t xml:space="preserve">Разработано несколько методов оценки </w:t>
      </w:r>
      <w:r w:rsidR="00AF128D">
        <w:rPr>
          <w:i/>
        </w:rPr>
        <w:t>МОБ</w:t>
      </w:r>
      <w:r w:rsidRPr="004B626D">
        <w:rPr>
          <w:i/>
        </w:rPr>
        <w:t xml:space="preserve"> при ОЛЛ. Эти методы отличаются по трудоемкости, временным затратам, применимости в отдельных ситуациях, чувствительности, стоимости и некоторым другим аспектам. Самое важное в исследовании </w:t>
      </w:r>
      <w:r w:rsidR="00AF128D">
        <w:rPr>
          <w:i/>
        </w:rPr>
        <w:t>МОБ</w:t>
      </w:r>
      <w:r w:rsidRPr="004B626D">
        <w:rPr>
          <w:i/>
        </w:rPr>
        <w:t xml:space="preserve"> – это много</w:t>
      </w:r>
      <w:r w:rsidR="007C60C2">
        <w:rPr>
          <w:i/>
        </w:rPr>
        <w:t>кратное исследование, оценка в динамике</w:t>
      </w:r>
      <w:r w:rsidRPr="004B626D">
        <w:rPr>
          <w:i/>
        </w:rPr>
        <w:t xml:space="preserve">, с течением времени. </w:t>
      </w:r>
    </w:p>
    <w:p w14:paraId="1D532317" w14:textId="77777777" w:rsidR="00113282" w:rsidRPr="004B626D" w:rsidRDefault="00113282" w:rsidP="00113282">
      <w:pPr>
        <w:shd w:val="clear" w:color="auto" w:fill="FFFFFF"/>
        <w:ind w:firstLine="851"/>
        <w:rPr>
          <w:i/>
        </w:rPr>
      </w:pPr>
      <w:r w:rsidRPr="004B626D">
        <w:rPr>
          <w:i/>
        </w:rPr>
        <w:t xml:space="preserve">Как уже отмечалось ранее, методы детекции и мониторинга </w:t>
      </w:r>
      <w:r w:rsidR="00AF128D">
        <w:rPr>
          <w:i/>
        </w:rPr>
        <w:t>МОБ</w:t>
      </w:r>
      <w:r w:rsidRPr="004B626D">
        <w:rPr>
          <w:i/>
        </w:rPr>
        <w:t xml:space="preserve"> позволяют оценивать эффективность проводимого лечения на молекулярном уровне. Оценка </w:t>
      </w:r>
      <w:r w:rsidR="00AF128D">
        <w:rPr>
          <w:i/>
        </w:rPr>
        <w:t>МОБ</w:t>
      </w:r>
      <w:r w:rsidRPr="004B626D">
        <w:rPr>
          <w:i/>
        </w:rPr>
        <w:t xml:space="preserve"> осуществляется ТОЛЬКО у </w:t>
      </w:r>
      <w:r>
        <w:rPr>
          <w:i/>
        </w:rPr>
        <w:t>пациентов</w:t>
      </w:r>
      <w:r w:rsidRPr="004B626D">
        <w:rPr>
          <w:i/>
        </w:rPr>
        <w:t xml:space="preserve">, у </w:t>
      </w:r>
      <w:r w:rsidR="006C1127">
        <w:rPr>
          <w:i/>
        </w:rPr>
        <w:t>которых</w:t>
      </w:r>
      <w:r w:rsidRPr="004B626D">
        <w:rPr>
          <w:i/>
        </w:rPr>
        <w:t xml:space="preserve"> получена полная клинико-гематологическая ремиссия. </w:t>
      </w:r>
    </w:p>
    <w:p w14:paraId="1975E7B3" w14:textId="2AF3F73E" w:rsidR="00113282" w:rsidRDefault="00113282" w:rsidP="00FF4C81">
      <w:pPr>
        <w:numPr>
          <w:ilvl w:val="0"/>
          <w:numId w:val="19"/>
        </w:numPr>
        <w:shd w:val="clear" w:color="auto" w:fill="FFFFFF"/>
      </w:pPr>
      <w:r w:rsidRPr="004E268C">
        <w:rPr>
          <w:b/>
        </w:rPr>
        <w:t>Рекомендуется</w:t>
      </w:r>
      <w:r>
        <w:t xml:space="preserve"> м</w:t>
      </w:r>
      <w:r w:rsidRPr="00CA7FDC">
        <w:t xml:space="preserve">ониторинг </w:t>
      </w:r>
      <w:r w:rsidR="00AF128D">
        <w:t>МОБ</w:t>
      </w:r>
      <w:r w:rsidRPr="00CA7FDC">
        <w:t xml:space="preserve"> осуществлять методом про</w:t>
      </w:r>
      <w:r>
        <w:t>точной цитометрии и/или методом ПЦР,</w:t>
      </w:r>
      <w:r w:rsidRPr="00CA7FDC">
        <w:t xml:space="preserve"> то есть теми методами, у которых чувствительность составляет не менее 10</w:t>
      </w:r>
      <w:r w:rsidR="002F69E5">
        <w:rPr>
          <w:vertAlign w:val="superscript"/>
        </w:rPr>
        <w:t>–</w:t>
      </w:r>
      <w:r w:rsidRPr="00CA7FDC">
        <w:rPr>
          <w:vertAlign w:val="superscript"/>
        </w:rPr>
        <w:t>4</w:t>
      </w:r>
      <w:r w:rsidR="000945AE">
        <w:t xml:space="preserve"> (т. е.</w:t>
      </w:r>
      <w:r>
        <w:t xml:space="preserve"> возможность определ</w:t>
      </w:r>
      <w:r w:rsidRPr="00CA7FDC">
        <w:t>ить одну опухолевую клетку на 10</w:t>
      </w:r>
      <w:r w:rsidR="000945AE">
        <w:t xml:space="preserve"> </w:t>
      </w:r>
      <w:r w:rsidRPr="00CA7FDC">
        <w:t>000 норм</w:t>
      </w:r>
      <w:r>
        <w:t>ал</w:t>
      </w:r>
      <w:r w:rsidRPr="00CA7FDC">
        <w:t>ьных)</w:t>
      </w:r>
      <w:r w:rsidR="000945AE">
        <w:t xml:space="preserve"> </w:t>
      </w:r>
      <w:r w:rsidR="00914AB6">
        <w:fldChar w:fldCharType="begin" w:fldLock="1"/>
      </w:r>
      <w:r w:rsidR="002466C9">
        <w:instrText>ADDIN CSL_CITATION {"citationItems":[{"id":"ITEM-1","itemData":{"DOI":"10.1182/blood-2015-03-580027","ISSN":"15280020","abstract":"Monitoring of minimal residual disease (MRD) has become routine clinical practice in frontline treatment of virtually all childhood acute lymphoblastic leukemia (ALL) and in many adult ALL patients. MRD diagnostics has proven to be the strongest prognostic factor, allowing for risk group assignment into different treatment arms, ranging from significant treatment reduction to mild or strong intensification. Also in relapsed ALL patients and patients undergoing stem cell transplantation, MRD diagnostics is guiding treatment decisions. This is also why the efficacy of innovative drugs, such as antibodies and small molecules, are currently being evaluated with MRD diagnostics within clinical trials. In fact, MRD measurements might well be used as a surrogate end point, thereby significantly shortening the follow-up. The MRD techniques need to be sensitive (≤10(-4)), broadly applicable, accurate, reliable, fast, and affordable. Thus far, flow cytometry and polymerase chain reaction (PCR) analysis of rearranged immunoglobulin and T-cell receptor genes (allele-specific oligonucleotide [ASO]-PCR) are claimed to meet these criteria, but classical flow cytometry does not reach a solid 10(-4), whereas classical ASO-PCR is time-consuming and labor intensive. Therefore, 2 high-throughput technologies are being explored, ie, high-throughput sequencing and next-generation (multidimensional) flow cytometry, both evaluating millions of sequences or cells, respectively. Each of them has specific advantages and disadvantages.","author":[{"dropping-particle":"","family":"Dongen","given":"Jacques J.M.","non-dropping-particle":"Van","parse-names":false,"suffix":""},{"dropping-particle":"","family":"Velden","given":"Vincent H.J.","non-dropping-particle":"Van Der","parse-names":false,"suffix":""},{"dropping-particle":"","family":"Brüggemann","given":"Monika","non-dropping-particle":"","parse-names":false,"suffix":""},{"dropping-particle":"","family":"Orfao","given":"Alberto","non-dropping-particle":"","parse-names":false,"suffix":""}],"container-title":"Blood","id":"ITEM-1","issue":"26","issued":{"date-parts":[["2015","6","25"]]},"page":"3996-4009","publisher":"American Society of Hematology","title":"Minimal residual disease diagnostics in acute lymphoblastic leukemia: Need for sensitive, fast, and standardized technologies","type":"article-journal","volume":"125"},"uris":["http://www.mendeley.com/documents/?uuid=73b1f707-74fb-3658-9df6-b9685cba487b"]},{"id":"ITEM-2","itemData":{"DOI":"10.1038/sj.leu.2404586","ISSN":"14765551","abstract":"Most modern treatment protocols for acute lymphoblastic leukaemia (ALL) include the analysis of minimal residual disease (MRD). To ensure comparable MRD results between different MRD-polymerase chain reaction (PCR) laboratories, standardization and quality control are essential. The European Study Group on MRD detection in ALL (ESG-MRD-ALL), consisting of 30 MRD-PCR laboratories worldwide, has developed guidelines for the interpretation of real-time quantitative PCR-based MRD data. The application of these guidelines ensures identical interpretation of MRD data between different laboratories of the same MRD-based clinical protocol. Furthermore, the ESG-MRD-ALL guidelines will facilitate the comparison of MRD data obtained in different treatment protocols, including those with new drugs.","author":[{"dropping-particle":"","family":"Velden","given":"V. H.J.","non-dropping-particle":"van der","parse-names":false,"suffix":""},{"dropping-particle":"","family":"Cazzaniga","given":"G.","non-dropping-particle":"","parse-names":false,"suffix":""},{"dropping-particle":"","family":"Schrauder","given":"A.","non-dropping-particle":"","parse-names":false,"suffix":""},{"dropping-particle":"","family":"Hancock","given":"J.","non-dropping-particle":"","parse-names":false,"suffix":""},{"dropping-particle":"","family":"Bader","given":"P.","non-dropping-particle":"","parse-names":false,"suffix":""},{"dropping-particle":"","family":"Panzer-Grumayer","given":"E. R.","non-dropping-particle":"","parse-names":false,"suffix":""},{"dropping-particle":"","family":"Flohr","given":"T.","non-dropping-particle":"","parse-names":false,"suffix":""},{"dropping-particle":"","family":"Sutton","given":"R.","non-dropping-particle":"","parse-names":false,"suffix":""},{"dropping-particle":"","family":"Cave","given":"H.","non-dropping-particle":"","parse-names":false,"suffix":""},{"dropping-particle":"","family":"Madsen","given":"H. O.","non-dropping-particle":"","parse-names":false,"suffix":""},{"dropping-particle":"","family":"Cayuela","given":"J. M.","non-dropping-particle":"","parse-names":false,"suffix":""},{"dropping-particle":"","family":"Trka","given":"J.","non-dropping-particle":"","parse-names":false,"suffix":""},{"dropping-particle":"","family":"Eckert","given":"C.","non-dropping-particle":"","parse-names":false,"suffix":""},{"dropping-particle":"","family":"Foroni","given":"L.","non-dropping-particle":"","parse-names":false,"suffix":""},{"dropping-particle":"","family":"Stadt","given":"U.","non-dropping-particle":"zur","parse-names":false,"suffix":""},{"dropping-particle":"","family":"Beldjord","given":"K.","non-dropping-particle":"","parse-names":false,"suffix":""},{"dropping-particle":"","family":"Raff","given":"T.","non-dropping-particle":"","parse-names":false,"suffix":""},{"dropping-particle":"","family":"Schoot","given":"C. E.","non-dropping-particle":"van der","parse-names":false,"suffix":""},{"dropping-particle":"","family":"Dongen","given":"J. J.M.","non-dropping-particle":"van","parse-names":false,"suffix":""}],"container-title":"Leukemia","id":"ITEM-2","issue":"4","issued":{"date-parts":[["2007"]]},"page":"604-611","publisher":"Nature Publishing Group","title":"Analysis of minimal residual disease by Ig/TCR gene rearrangements: Guidelines for interpretation of real-time quantitative PCR data","type":"article-magazine","volume":"21"},"uris":["http://www.mendeley.com/documents/?uuid=40090a70-a568-3a07-a1b9-a41869074625"]}],"mendeley":{"formattedCitation":"[53,54]","plainTextFormattedCitation":"[53,54]","previouslyFormattedCitation":"[53,54]"},"properties":{"noteIndex":0},"schema":"https://github.com/citation-style-language/schema/raw/master/csl-citation.json"}</w:instrText>
      </w:r>
      <w:r w:rsidR="00914AB6">
        <w:fldChar w:fldCharType="separate"/>
      </w:r>
      <w:r w:rsidR="00A66456" w:rsidRPr="00A66456">
        <w:rPr>
          <w:noProof/>
        </w:rPr>
        <w:t>[53,54]</w:t>
      </w:r>
      <w:r w:rsidR="00914AB6">
        <w:fldChar w:fldCharType="end"/>
      </w:r>
      <w:r w:rsidR="00914AB6" w:rsidRPr="00CA7FDC">
        <w:t>.</w:t>
      </w:r>
    </w:p>
    <w:p w14:paraId="5B46764C" w14:textId="77777777" w:rsidR="00113282" w:rsidRDefault="00113282" w:rsidP="00113282">
      <w:pPr>
        <w:shd w:val="clear" w:color="auto" w:fill="FFFFFF"/>
        <w:ind w:firstLine="709"/>
        <w:contextualSpacing/>
        <w:rPr>
          <w:rStyle w:val="aff5"/>
        </w:rPr>
      </w:pPr>
      <w:r>
        <w:rPr>
          <w:rStyle w:val="aff5"/>
        </w:rPr>
        <w:t xml:space="preserve">Уровень убедительности рекомендаций </w:t>
      </w:r>
      <w:r w:rsidR="007F3095">
        <w:rPr>
          <w:rStyle w:val="aff5"/>
        </w:rPr>
        <w:t xml:space="preserve">– </w:t>
      </w:r>
      <w:r w:rsidR="00B64237">
        <w:rPr>
          <w:rStyle w:val="aff5"/>
        </w:rPr>
        <w:t>С</w:t>
      </w:r>
      <w:r>
        <w:rPr>
          <w:rStyle w:val="aff5"/>
        </w:rPr>
        <w:t xml:space="preserve"> (уровень достоверности доказательств – </w:t>
      </w:r>
      <w:r w:rsidR="00B64237">
        <w:rPr>
          <w:rStyle w:val="aff5"/>
        </w:rPr>
        <w:t>5</w:t>
      </w:r>
      <w:r>
        <w:rPr>
          <w:rStyle w:val="aff5"/>
        </w:rPr>
        <w:t>)</w:t>
      </w:r>
      <w:r w:rsidR="007F3095">
        <w:rPr>
          <w:rStyle w:val="aff5"/>
        </w:rPr>
        <w:t>.</w:t>
      </w:r>
    </w:p>
    <w:p w14:paraId="39352B42" w14:textId="77777777" w:rsidR="00F35309" w:rsidRDefault="00046612" w:rsidP="00F35309">
      <w:pPr>
        <w:shd w:val="clear" w:color="auto" w:fill="FFFFFF"/>
        <w:ind w:firstLine="709"/>
        <w:contextualSpacing/>
      </w:pPr>
      <w:r>
        <w:rPr>
          <w:rStyle w:val="aff5"/>
        </w:rPr>
        <w:t>Комментарии</w:t>
      </w:r>
      <w:r w:rsidR="00113282">
        <w:rPr>
          <w:rStyle w:val="aff5"/>
        </w:rPr>
        <w:t>:</w:t>
      </w:r>
      <w:r w:rsidR="00113282">
        <w:t xml:space="preserve"> </w:t>
      </w:r>
      <w:r w:rsidR="00113282" w:rsidRPr="00B43AD7">
        <w:rPr>
          <w:i/>
        </w:rPr>
        <w:t xml:space="preserve">не рекомендуется осуществлять мониторинг </w:t>
      </w:r>
      <w:r w:rsidR="00AF128D">
        <w:rPr>
          <w:i/>
        </w:rPr>
        <w:t>МОБ</w:t>
      </w:r>
      <w:r w:rsidR="00113282" w:rsidRPr="00B43AD7">
        <w:rPr>
          <w:i/>
        </w:rPr>
        <w:t xml:space="preserve"> методом </w:t>
      </w:r>
      <w:r w:rsidR="00113282" w:rsidRPr="00B43AD7">
        <w:rPr>
          <w:i/>
          <w:lang w:val="en-US"/>
        </w:rPr>
        <w:t>FISH</w:t>
      </w:r>
      <w:r w:rsidR="00113282" w:rsidRPr="00B43AD7">
        <w:rPr>
          <w:i/>
        </w:rPr>
        <w:t xml:space="preserve"> и методом стандартного цитогенетического исследования. При оценке </w:t>
      </w:r>
      <w:r w:rsidR="00AF128D">
        <w:rPr>
          <w:i/>
        </w:rPr>
        <w:t>МОБ</w:t>
      </w:r>
      <w:r w:rsidR="00113282" w:rsidRPr="00B43AD7">
        <w:rPr>
          <w:i/>
        </w:rPr>
        <w:t xml:space="preserve"> у </w:t>
      </w:r>
      <w:r w:rsidR="00113282" w:rsidRPr="00EF50E6">
        <w:rPr>
          <w:i/>
          <w:szCs w:val="24"/>
        </w:rPr>
        <w:t>пациента</w:t>
      </w:r>
      <w:r w:rsidR="00113282">
        <w:rPr>
          <w:i/>
        </w:rPr>
        <w:t xml:space="preserve"> </w:t>
      </w:r>
      <w:r w:rsidR="00113282" w:rsidRPr="00B43AD7">
        <w:rPr>
          <w:i/>
        </w:rPr>
        <w:t>необходимо пользоваться только одним из методов для принятия терапевтических решений, при этом мониторинг должен осуществляться с первых дней терапии и выполняться в одной лаборатории</w:t>
      </w:r>
      <w:r w:rsidR="00113282">
        <w:rPr>
          <w:i/>
        </w:rPr>
        <w:t xml:space="preserve">. </w:t>
      </w:r>
      <w:r w:rsidR="00113282" w:rsidRPr="00B43AD7">
        <w:rPr>
          <w:i/>
        </w:rPr>
        <w:t xml:space="preserve">Анализ </w:t>
      </w:r>
      <w:r w:rsidR="00AF128D">
        <w:rPr>
          <w:i/>
        </w:rPr>
        <w:t>МОБ</w:t>
      </w:r>
      <w:r w:rsidR="00113282" w:rsidRPr="00B43AD7">
        <w:rPr>
          <w:i/>
        </w:rPr>
        <w:t xml:space="preserve"> выполня</w:t>
      </w:r>
      <w:r w:rsidR="00F729AF">
        <w:rPr>
          <w:i/>
        </w:rPr>
        <w:t>е</w:t>
      </w:r>
      <w:r w:rsidR="00113282" w:rsidRPr="00B43AD7">
        <w:rPr>
          <w:i/>
        </w:rPr>
        <w:t xml:space="preserve">тся в образцах </w:t>
      </w:r>
      <w:r w:rsidR="006C1127">
        <w:rPr>
          <w:i/>
        </w:rPr>
        <w:t>КМ</w:t>
      </w:r>
      <w:r w:rsidR="00113282" w:rsidRPr="004E268C">
        <w:t xml:space="preserve">. </w:t>
      </w:r>
    </w:p>
    <w:p w14:paraId="47C96129" w14:textId="77777777" w:rsidR="00113282" w:rsidRPr="00921B8D" w:rsidRDefault="00113282" w:rsidP="00F35309">
      <w:pPr>
        <w:shd w:val="clear" w:color="auto" w:fill="FFFFFF"/>
        <w:ind w:firstLine="709"/>
        <w:contextualSpacing/>
        <w:rPr>
          <w:b/>
        </w:rPr>
      </w:pPr>
      <w:r w:rsidRPr="00921B8D">
        <w:rPr>
          <w:b/>
        </w:rPr>
        <w:t>Временные точки мониторинга</w:t>
      </w:r>
    </w:p>
    <w:p w14:paraId="13A1481A" w14:textId="77777777" w:rsidR="00113282" w:rsidRPr="00986171" w:rsidRDefault="00113282" w:rsidP="00113282">
      <w:pPr>
        <w:shd w:val="clear" w:color="auto" w:fill="FFFFFF"/>
        <w:ind w:firstLine="851"/>
        <w:rPr>
          <w:i/>
        </w:rPr>
      </w:pPr>
      <w:r w:rsidRPr="00986171">
        <w:rPr>
          <w:i/>
        </w:rPr>
        <w:t xml:space="preserve">В разных </w:t>
      </w:r>
      <w:r w:rsidR="006C1127">
        <w:rPr>
          <w:i/>
        </w:rPr>
        <w:t>КИ</w:t>
      </w:r>
      <w:r w:rsidRPr="00986171">
        <w:rPr>
          <w:i/>
        </w:rPr>
        <w:t xml:space="preserve"> ключевые точки исследования </w:t>
      </w:r>
      <w:r w:rsidR="00AF128D">
        <w:rPr>
          <w:i/>
        </w:rPr>
        <w:t>МОБ</w:t>
      </w:r>
      <w:r w:rsidRPr="00986171">
        <w:rPr>
          <w:i/>
        </w:rPr>
        <w:t xml:space="preserve">, определяющие прогноз, </w:t>
      </w:r>
      <w:r w:rsidR="006C1127">
        <w:rPr>
          <w:i/>
        </w:rPr>
        <w:t xml:space="preserve">и </w:t>
      </w:r>
      <w:r w:rsidRPr="00986171">
        <w:rPr>
          <w:i/>
        </w:rPr>
        <w:t>соответственно, изменение стратегиии терапии</w:t>
      </w:r>
      <w:r w:rsidR="006C1127">
        <w:rPr>
          <w:i/>
        </w:rPr>
        <w:t>,</w:t>
      </w:r>
      <w:r w:rsidRPr="00986171">
        <w:rPr>
          <w:i/>
        </w:rPr>
        <w:t xml:space="preserve"> несколько отличаются. В целом исследователи оценивают остаточную популяцию опухолевых клеток в конце </w:t>
      </w:r>
      <w:r w:rsidR="007F3095">
        <w:rPr>
          <w:i/>
        </w:rPr>
        <w:t>1-й</w:t>
      </w:r>
      <w:r w:rsidRPr="00986171">
        <w:rPr>
          <w:i/>
        </w:rPr>
        <w:t xml:space="preserve"> индукционной фазы (6</w:t>
      </w:r>
      <w:r w:rsidR="007F3095">
        <w:rPr>
          <w:i/>
        </w:rPr>
        <w:t>-я</w:t>
      </w:r>
      <w:r w:rsidRPr="00986171">
        <w:rPr>
          <w:i/>
        </w:rPr>
        <w:t xml:space="preserve"> нед</w:t>
      </w:r>
      <w:r w:rsidR="007F3095">
        <w:rPr>
          <w:i/>
        </w:rPr>
        <w:t>еля</w:t>
      </w:r>
      <w:r w:rsidRPr="00986171">
        <w:rPr>
          <w:i/>
        </w:rPr>
        <w:t xml:space="preserve"> от начала терап</w:t>
      </w:r>
      <w:r w:rsidR="007F3095">
        <w:rPr>
          <w:i/>
        </w:rPr>
        <w:t>ии) и на этапе консолидации (12–16 недель от начала терапии).</w:t>
      </w:r>
      <w:r w:rsidRPr="00986171">
        <w:rPr>
          <w:i/>
        </w:rPr>
        <w:t xml:space="preserve"> Представляется целесообразным использовать временные точки оценки </w:t>
      </w:r>
      <w:r w:rsidR="00AF128D">
        <w:rPr>
          <w:i/>
        </w:rPr>
        <w:t>МОБ</w:t>
      </w:r>
      <w:r w:rsidRPr="00986171">
        <w:rPr>
          <w:i/>
        </w:rPr>
        <w:t xml:space="preserve"> у </w:t>
      </w:r>
      <w:r w:rsidRPr="00EF50E6">
        <w:rPr>
          <w:i/>
          <w:szCs w:val="24"/>
        </w:rPr>
        <w:t>пациентов</w:t>
      </w:r>
      <w:r w:rsidRPr="00986171">
        <w:rPr>
          <w:i/>
        </w:rPr>
        <w:t xml:space="preserve"> в соответствии </w:t>
      </w:r>
      <w:r w:rsidR="006C1127">
        <w:rPr>
          <w:i/>
        </w:rPr>
        <w:t xml:space="preserve">с </w:t>
      </w:r>
      <w:r w:rsidRPr="00986171">
        <w:rPr>
          <w:i/>
        </w:rPr>
        <w:t>используемым протоколом лечения и только при условии его адекватного выполнения (немецкая группа</w:t>
      </w:r>
      <w:r w:rsidR="007F3095">
        <w:rPr>
          <w:i/>
        </w:rPr>
        <w:t xml:space="preserve"> – 10 и 16 недель, французская – 6</w:t>
      </w:r>
      <w:r w:rsidRPr="00986171">
        <w:rPr>
          <w:i/>
        </w:rPr>
        <w:t xml:space="preserve"> и 12 нед</w:t>
      </w:r>
      <w:r w:rsidR="008012FD">
        <w:rPr>
          <w:i/>
        </w:rPr>
        <w:t>ель</w:t>
      </w:r>
      <w:r w:rsidRPr="00986171">
        <w:rPr>
          <w:i/>
        </w:rPr>
        <w:t xml:space="preserve"> (6</w:t>
      </w:r>
      <w:r w:rsidR="007F3095">
        <w:rPr>
          <w:i/>
        </w:rPr>
        <w:t>-я</w:t>
      </w:r>
      <w:r w:rsidRPr="00986171">
        <w:rPr>
          <w:i/>
        </w:rPr>
        <w:t xml:space="preserve"> неделя для определения так</w:t>
      </w:r>
      <w:r w:rsidR="007F3095">
        <w:rPr>
          <w:i/>
        </w:rPr>
        <w:t xml:space="preserve">тики лечения), Великобритания – 10 и 15 </w:t>
      </w:r>
      <w:r w:rsidR="007F3095">
        <w:rPr>
          <w:i/>
        </w:rPr>
        <w:lastRenderedPageBreak/>
        <w:t>недель, Италия – 10–16–</w:t>
      </w:r>
      <w:r w:rsidRPr="00986171">
        <w:rPr>
          <w:i/>
        </w:rPr>
        <w:t>22 нед</w:t>
      </w:r>
      <w:r w:rsidR="008012FD">
        <w:rPr>
          <w:i/>
        </w:rPr>
        <w:t>ели</w:t>
      </w:r>
      <w:r w:rsidRPr="00986171">
        <w:rPr>
          <w:i/>
        </w:rPr>
        <w:t xml:space="preserve"> (22</w:t>
      </w:r>
      <w:r w:rsidR="007F3095">
        <w:rPr>
          <w:i/>
        </w:rPr>
        <w:t>-я</w:t>
      </w:r>
      <w:r w:rsidRPr="00986171">
        <w:rPr>
          <w:i/>
        </w:rPr>
        <w:t xml:space="preserve"> неделя для определ</w:t>
      </w:r>
      <w:r w:rsidR="00312F86">
        <w:rPr>
          <w:i/>
        </w:rPr>
        <w:t>е</w:t>
      </w:r>
      <w:r w:rsidRPr="00986171">
        <w:rPr>
          <w:i/>
        </w:rPr>
        <w:t>ния тактики лечения)</w:t>
      </w:r>
      <w:r w:rsidR="00264086">
        <w:rPr>
          <w:i/>
        </w:rPr>
        <w:t>)</w:t>
      </w:r>
      <w:r w:rsidRPr="00986171">
        <w:rPr>
          <w:i/>
        </w:rPr>
        <w:t>.</w:t>
      </w:r>
    </w:p>
    <w:p w14:paraId="2D57B7A2" w14:textId="1C93DBD9" w:rsidR="00113282" w:rsidRDefault="00A12C9B" w:rsidP="00113282">
      <w:pPr>
        <w:shd w:val="clear" w:color="auto" w:fill="FFFFFF"/>
        <w:ind w:firstLine="851"/>
        <w:rPr>
          <w:i/>
        </w:rPr>
      </w:pPr>
      <w:r>
        <w:rPr>
          <w:i/>
        </w:rPr>
        <w:t>При использовании протокола р</w:t>
      </w:r>
      <w:r w:rsidR="00113282" w:rsidRPr="00986171">
        <w:rPr>
          <w:i/>
        </w:rPr>
        <w:t xml:space="preserve">оссийской исследовательской </w:t>
      </w:r>
      <w:r w:rsidR="00113282" w:rsidRPr="009F500F">
        <w:rPr>
          <w:i/>
        </w:rPr>
        <w:t xml:space="preserve">группы </w:t>
      </w:r>
      <w:r w:rsidRPr="009F500F">
        <w:rPr>
          <w:i/>
        </w:rPr>
        <w:t>«</w:t>
      </w:r>
      <w:r w:rsidR="00113282" w:rsidRPr="009F500F">
        <w:rPr>
          <w:i/>
        </w:rPr>
        <w:t>ОЛЛ-2009</w:t>
      </w:r>
      <w:r w:rsidRPr="009F500F">
        <w:rPr>
          <w:i/>
        </w:rPr>
        <w:t>»</w:t>
      </w:r>
      <w:r w:rsidR="00113282" w:rsidRPr="009F500F">
        <w:rPr>
          <w:i/>
        </w:rPr>
        <w:t xml:space="preserve"> </w:t>
      </w:r>
      <w:r w:rsidR="00D50EB2" w:rsidRPr="009F500F">
        <w:rPr>
          <w:i/>
        </w:rPr>
        <w:t xml:space="preserve">и «ОЛЛ-2016» </w:t>
      </w:r>
      <w:r w:rsidR="00113282" w:rsidRPr="009F500F">
        <w:rPr>
          <w:i/>
        </w:rPr>
        <w:t xml:space="preserve">образцы </w:t>
      </w:r>
      <w:r w:rsidR="00264086" w:rsidRPr="009F500F">
        <w:rPr>
          <w:i/>
        </w:rPr>
        <w:t>КМ</w:t>
      </w:r>
      <w:r w:rsidR="00113282" w:rsidRPr="009F500F">
        <w:rPr>
          <w:i/>
        </w:rPr>
        <w:t xml:space="preserve"> анализируют на 10</w:t>
      </w:r>
      <w:r w:rsidR="007F3095" w:rsidRPr="009F500F">
        <w:rPr>
          <w:i/>
        </w:rPr>
        <w:t>-й</w:t>
      </w:r>
      <w:r w:rsidR="00D50EB2" w:rsidRPr="009F500F">
        <w:rPr>
          <w:i/>
        </w:rPr>
        <w:t xml:space="preserve">, </w:t>
      </w:r>
      <w:r w:rsidR="00113282" w:rsidRPr="009F500F">
        <w:rPr>
          <w:i/>
        </w:rPr>
        <w:t>16</w:t>
      </w:r>
      <w:r w:rsidR="007F3095" w:rsidRPr="009F500F">
        <w:rPr>
          <w:i/>
        </w:rPr>
        <w:t>-й</w:t>
      </w:r>
      <w:bookmarkStart w:id="86" w:name="_Toc505347343"/>
      <w:r w:rsidR="007F3095" w:rsidRPr="009F500F">
        <w:rPr>
          <w:i/>
        </w:rPr>
        <w:t xml:space="preserve"> </w:t>
      </w:r>
      <w:r w:rsidR="00D50EB2" w:rsidRPr="009F500F">
        <w:rPr>
          <w:i/>
        </w:rPr>
        <w:t xml:space="preserve">и 28-й </w:t>
      </w:r>
      <w:r w:rsidR="007F3095" w:rsidRPr="009F500F">
        <w:rPr>
          <w:i/>
        </w:rPr>
        <w:t>неделе терапии.</w:t>
      </w:r>
    </w:p>
    <w:bookmarkEnd w:id="86"/>
    <w:p w14:paraId="192C7F72" w14:textId="77777777" w:rsidR="00113282" w:rsidRDefault="00113282" w:rsidP="00C0620D">
      <w:pPr>
        <w:contextualSpacing/>
        <w:rPr>
          <w:b/>
        </w:rPr>
      </w:pPr>
      <w:r w:rsidRPr="00921B8D">
        <w:rPr>
          <w:b/>
        </w:rPr>
        <w:t xml:space="preserve">Рекомендации по мониторингу </w:t>
      </w:r>
      <w:r w:rsidR="00AF128D">
        <w:rPr>
          <w:b/>
        </w:rPr>
        <w:t>МОБ</w:t>
      </w:r>
    </w:p>
    <w:p w14:paraId="5B21F7BA" w14:textId="30B8D9CB" w:rsidR="00F40DB0" w:rsidRDefault="00F40DB0" w:rsidP="00F40DB0">
      <w:pPr>
        <w:numPr>
          <w:ilvl w:val="0"/>
          <w:numId w:val="6"/>
        </w:numPr>
        <w:shd w:val="clear" w:color="auto" w:fill="FFFFFF"/>
        <w:rPr>
          <w:b/>
        </w:rPr>
      </w:pPr>
      <w:r>
        <w:rPr>
          <w:b/>
          <w:color w:val="000000"/>
        </w:rPr>
        <w:t>Рекомендуется</w:t>
      </w:r>
      <w:r>
        <w:t xml:space="preserve"> всем пациентам после трансплантации осуществление мониторинга транскрипта р190 или р210 </w:t>
      </w:r>
      <w:r w:rsidRPr="001B0FC5">
        <w:t>п</w:t>
      </w:r>
      <w:r>
        <w:t xml:space="preserve">осредством количественной ПЦР в реальном времени, которая должна комбинироваться со скринингом на предмет мутаций </w:t>
      </w:r>
      <w:r w:rsidRPr="00813217">
        <w:rPr>
          <w:i/>
          <w:iCs/>
        </w:rPr>
        <w:t>BCR-ABL</w:t>
      </w:r>
      <w:r>
        <w:t xml:space="preserve"> домена тирозинкиназ (молекулярно-генетическое исследование точечных мутаций гена </w:t>
      </w:r>
      <w:r w:rsidRPr="00813217">
        <w:rPr>
          <w:i/>
          <w:iCs/>
        </w:rPr>
        <w:t>BCR-ABL</w:t>
      </w:r>
      <w:r>
        <w:t xml:space="preserve"> (химерный ген, образованный слиянием области кластера разрывов на 22 хромосоме и гена тирозин-киназы Абельсона на 9 хромосоме) методом прямого секвенирования) в случае подозрения на резистентность </w:t>
      </w:r>
      <w:r>
        <w:fldChar w:fldCharType="begin" w:fldLock="1"/>
      </w:r>
      <w:r w:rsidR="002466C9">
        <w:instrText xml:space="preserve">ADDIN CSL_CITATION {"citationItems":[{"id":"ITEM-1","itemData":{"DOI":"10.1002/ajh.24926","ISSN":"1096-8652","PMID":"28971501","abstract":"Philadelphia chromosome-positive (Ph-positive) acute lymphoblastic leukemia (ALL) is a biologically, clinically, and genetically distinct subtype of precursor-B ALL. The Ph chromosome, results from a reciprocal translocation of the ABL1 kinase gene on chromosome 9 to the breakpoint cluster region (BCR) gene on chromosome 22. Depending on the translocation breakpoint, typically a p210 BCR-ABL1 or a p190 BCR-ABL onc protein are generated; both are constitutively active tyrosine kinases that play a central role to alter signaling pathways of cell proliferation, survival, and self-renewal, leading to leukemogenesis. In Ph-positive ALL, the p190-BCR-ABL (minor [m]-bcr) subtype is more frequent than the p210-BCR-ABL (major [M]-bcr) subtype, commonly found in chronic myeloid leukemia. The Philadelphia chromosome is the most frequent recurrent cytogenetic abnormality in elderly patients with ALL. Its incidence increases with age, reaching </w:instrText>
      </w:r>
      <w:r w:rsidR="002466C9">
        <w:rPr>
          <w:rFonts w:ascii="Cambria Math" w:hAnsi="Cambria Math" w:cs="Cambria Math"/>
        </w:rPr>
        <w:instrText>∼</w:instrText>
      </w:r>
      <w:r w:rsidR="002466C9">
        <w:instrText>50% in patients with ALL aged 60 years and over. Patients traditionally had a very poor outcome with chemotherapy, particularly if they do not undergo allogeneic hematopoietic cell transplantation (allo-HCT) in first complete remission (CR1). With the availability of multiple tyrosine kinase inhibitors (TKI), the therapeutic armamentarium is expanding quickly. However, there is no consensus on how to best treat Ph-positive ALL. With modern therapy, improved outcomes have led to the emergence of a number of controversies, including the need for intensive chemotherapy, the ideal TKI, and whether all eligible patients should receive an allo-HSCT, and if so, what type. Here, we discuss these controversies in light of the available literature.","author":[{"dropping-particle":"","family":"Fakih","given":"Riad","non-dropping-particle":"El","parse-names":false,"suffix":""},{"dropping-particle":"","family":"Jabbour","given":"Elias","non-dropping-particle":"","parse-names":false,"suffix":""},{"dropping-particle":"","family":"Ravandi","given":"Farhad","non-dropping-particle":"","parse-names":false,"suffix":""},{"dropping-particle":"","family":"Hassanein","given":"Mona","non-dropping-particle":"","parse-names":false,"suffix":""},{"dropping-particle":"","family":"Anjum","given":"Farhan","non-dropping-particle":"","parse-names":false,"suffix":""},{"dropping-particle":"","family":"Ahmed","given":"Syed","non-dropping-particle":"","parse-names":false,"suffix":""},{"dropping-particle":"","family":"Kantarjian","given":"Hagop","non-dropping-particle":"","parse-names":false,"suffix":""}],"container-title":"American journal of hematology","id":"ITEM-1","issue":"2","issued":{"date-parts":[["2018","2"]]},"page":"286-295","title":"Current paradigms in the management of Philadelphia chromosome positive acute lymphoblastic leukemia in adults.","type":"article-journal","volume":"93"},"uris":["http://www.mendeley.com/documents/?uuid=a659863f-b726-3b17-95e8-c59bf5045469"]}],"mendeley":{"formattedCitation":"[52]","plainTextFormattedCitation":"[52]","previouslyFormattedCitation":"[52]"},"properties":{"noteIndex":0},"schema":"https://github.com/citation-style-language/schema/raw/master/csl-citation.json"}</w:instrText>
      </w:r>
      <w:r>
        <w:fldChar w:fldCharType="separate"/>
      </w:r>
      <w:r w:rsidR="00A66456" w:rsidRPr="00A66456">
        <w:rPr>
          <w:noProof/>
        </w:rPr>
        <w:t>[52]</w:t>
      </w:r>
      <w:r>
        <w:fldChar w:fldCharType="end"/>
      </w:r>
      <w:r>
        <w:t>.</w:t>
      </w:r>
    </w:p>
    <w:p w14:paraId="41298711" w14:textId="77777777" w:rsidR="00F40DB0" w:rsidRPr="00316D4F" w:rsidRDefault="00F40DB0" w:rsidP="00F40DB0">
      <w:pPr>
        <w:shd w:val="clear" w:color="auto" w:fill="FFFFFF"/>
        <w:ind w:firstLine="709"/>
        <w:contextualSpacing/>
        <w:rPr>
          <w:b/>
        </w:rPr>
      </w:pPr>
      <w:r>
        <w:rPr>
          <w:b/>
          <w:color w:val="000000"/>
          <w:szCs w:val="27"/>
        </w:rPr>
        <w:t xml:space="preserve">Уровень убедительности рекомендаций – </w:t>
      </w:r>
      <w:r w:rsidR="008B6E96">
        <w:rPr>
          <w:b/>
          <w:color w:val="000000"/>
          <w:szCs w:val="27"/>
          <w:lang w:val="en-US"/>
        </w:rPr>
        <w:t>C</w:t>
      </w:r>
      <w:r>
        <w:rPr>
          <w:b/>
          <w:color w:val="000000"/>
          <w:szCs w:val="27"/>
        </w:rPr>
        <w:t xml:space="preserve"> (уровень достоверности доказательств – </w:t>
      </w:r>
      <w:r w:rsidR="008B6E96" w:rsidRPr="0042136A">
        <w:rPr>
          <w:b/>
          <w:color w:val="000000"/>
          <w:szCs w:val="27"/>
        </w:rPr>
        <w:t>5</w:t>
      </w:r>
      <w:r>
        <w:rPr>
          <w:b/>
          <w:color w:val="000000"/>
          <w:szCs w:val="27"/>
        </w:rPr>
        <w:t>).</w:t>
      </w:r>
    </w:p>
    <w:p w14:paraId="312B55E3" w14:textId="31D1053E" w:rsidR="00D50EB2" w:rsidRPr="009F500F" w:rsidRDefault="00D50EB2" w:rsidP="00D50EB2">
      <w:pPr>
        <w:numPr>
          <w:ilvl w:val="0"/>
          <w:numId w:val="19"/>
        </w:numPr>
        <w:shd w:val="clear" w:color="auto" w:fill="FFFFFF"/>
        <w:tabs>
          <w:tab w:val="left" w:pos="235"/>
        </w:tabs>
        <w:contextualSpacing/>
      </w:pPr>
      <w:r w:rsidRPr="009F500F">
        <w:rPr>
          <w:b/>
        </w:rPr>
        <w:t>Рекомендуется</w:t>
      </w:r>
      <w:r w:rsidRPr="009F500F">
        <w:t xml:space="preserve"> </w:t>
      </w:r>
      <w:r w:rsidR="00FC704A" w:rsidRPr="009F500F">
        <w:t>всем пациентам выполнять исследование МОБ после окончания индукции, консолидации и перед/после ТГСК.</w:t>
      </w:r>
    </w:p>
    <w:p w14:paraId="0917FB66" w14:textId="5B4243E4" w:rsidR="00D50EB2" w:rsidRPr="009F500F" w:rsidRDefault="00D50EB2" w:rsidP="00D50EB2">
      <w:pPr>
        <w:pStyle w:val="afff3"/>
        <w:shd w:val="clear" w:color="auto" w:fill="FFFFFF"/>
        <w:rPr>
          <w:b/>
          <w:szCs w:val="27"/>
        </w:rPr>
      </w:pPr>
      <w:r w:rsidRPr="009F500F">
        <w:rPr>
          <w:b/>
          <w:szCs w:val="27"/>
        </w:rPr>
        <w:t xml:space="preserve">Уровень убедительности рекомендаций – </w:t>
      </w:r>
      <w:r w:rsidRPr="009F500F">
        <w:rPr>
          <w:b/>
          <w:szCs w:val="27"/>
          <w:lang w:val="en-US"/>
        </w:rPr>
        <w:t>C</w:t>
      </w:r>
      <w:r w:rsidRPr="009F500F">
        <w:rPr>
          <w:b/>
          <w:szCs w:val="27"/>
        </w:rPr>
        <w:t xml:space="preserve"> (уровень достоверности доказательств – 5).</w:t>
      </w:r>
    </w:p>
    <w:p w14:paraId="55B0E3DC" w14:textId="0DC8F413" w:rsidR="007A4E36" w:rsidRPr="009F500F" w:rsidRDefault="00D50EB2" w:rsidP="00D50EB2">
      <w:pPr>
        <w:pStyle w:val="afff3"/>
        <w:numPr>
          <w:ilvl w:val="0"/>
          <w:numId w:val="19"/>
        </w:numPr>
        <w:shd w:val="clear" w:color="auto" w:fill="FFFFFF"/>
        <w:rPr>
          <w:b/>
          <w:szCs w:val="27"/>
        </w:rPr>
      </w:pPr>
      <w:r w:rsidRPr="009F500F">
        <w:rPr>
          <w:b/>
        </w:rPr>
        <w:t xml:space="preserve">Рекомендуется </w:t>
      </w:r>
      <w:r w:rsidR="00FC704A" w:rsidRPr="009F500F">
        <w:t>всем пациентам</w:t>
      </w:r>
      <w:r w:rsidRPr="009F500F">
        <w:t xml:space="preserve"> с ОЛЛ</w:t>
      </w:r>
      <w:r w:rsidR="00FC704A" w:rsidRPr="009F500F">
        <w:t xml:space="preserve"> МОБ </w:t>
      </w:r>
      <w:r w:rsidRPr="009F500F">
        <w:t>оценивать</w:t>
      </w:r>
      <w:r w:rsidR="00FC704A" w:rsidRPr="009F500F">
        <w:t xml:space="preserve"> методом проточной цитометрии не менее чем 8-ми цветным анализом при достаточной чувствительности и специфичности</w:t>
      </w:r>
      <w:r w:rsidRPr="009F500F">
        <w:t>.</w:t>
      </w:r>
    </w:p>
    <w:p w14:paraId="18335DC5" w14:textId="7150B1A7" w:rsidR="00D50EB2" w:rsidRPr="009F500F" w:rsidRDefault="00D50EB2" w:rsidP="00D50EB2">
      <w:pPr>
        <w:pStyle w:val="afff3"/>
        <w:shd w:val="clear" w:color="auto" w:fill="FFFFFF"/>
        <w:rPr>
          <w:b/>
          <w:szCs w:val="27"/>
        </w:rPr>
      </w:pPr>
      <w:r w:rsidRPr="009F500F">
        <w:rPr>
          <w:b/>
          <w:szCs w:val="27"/>
        </w:rPr>
        <w:t xml:space="preserve">Уровень убедительности рекомендаций – </w:t>
      </w:r>
      <w:r w:rsidRPr="009F500F">
        <w:rPr>
          <w:b/>
          <w:szCs w:val="27"/>
          <w:lang w:val="en-US"/>
        </w:rPr>
        <w:t>C</w:t>
      </w:r>
      <w:r w:rsidRPr="009F500F">
        <w:rPr>
          <w:b/>
          <w:szCs w:val="27"/>
        </w:rPr>
        <w:t xml:space="preserve"> (уровень достоверности доказательств – 5).</w:t>
      </w:r>
    </w:p>
    <w:p w14:paraId="712F719D" w14:textId="37ED176B" w:rsidR="00113282" w:rsidRPr="00C47F3B" w:rsidRDefault="00113282" w:rsidP="00FF4C81">
      <w:pPr>
        <w:numPr>
          <w:ilvl w:val="0"/>
          <w:numId w:val="19"/>
        </w:numPr>
        <w:shd w:val="clear" w:color="auto" w:fill="FFFFFF"/>
        <w:tabs>
          <w:tab w:val="left" w:pos="235"/>
        </w:tabs>
        <w:contextualSpacing/>
      </w:pPr>
      <w:r w:rsidRPr="00C03237">
        <w:rPr>
          <w:b/>
        </w:rPr>
        <w:t>Не рекомендуется</w:t>
      </w:r>
      <w:r w:rsidRPr="00C03237">
        <w:t xml:space="preserve"> выполнять мониторинг </w:t>
      </w:r>
      <w:r w:rsidR="00AF128D">
        <w:t>МОБ</w:t>
      </w:r>
      <w:r w:rsidRPr="00C03237">
        <w:t xml:space="preserve"> при несоблюдении протоколов. Мониторинг </w:t>
      </w:r>
      <w:r w:rsidR="00AF128D">
        <w:t>МОБ</w:t>
      </w:r>
      <w:r w:rsidRPr="00C03237">
        <w:t xml:space="preserve"> имеет значение только п</w:t>
      </w:r>
      <w:r>
        <w:t xml:space="preserve">ри проведении адекватной </w:t>
      </w:r>
      <w:r w:rsidR="00312F86">
        <w:t>ХТ</w:t>
      </w:r>
      <w:r w:rsidR="00312F86" w:rsidRPr="00C03237">
        <w:t xml:space="preserve"> </w:t>
      </w:r>
      <w:r w:rsidRPr="00C03237">
        <w:t>согласно выбранному протоколу, при соблю</w:t>
      </w:r>
      <w:r w:rsidR="00264086">
        <w:t>д</w:t>
      </w:r>
      <w:r w:rsidRPr="00C03237">
        <w:t xml:space="preserve">ении принципа </w:t>
      </w:r>
      <w:r w:rsidR="00DE7078">
        <w:t xml:space="preserve">«доза – </w:t>
      </w:r>
      <w:r w:rsidRPr="00C03237">
        <w:t>интенсивность</w:t>
      </w:r>
      <w:r w:rsidR="00DE7078">
        <w:t>»</w:t>
      </w:r>
      <w:r w:rsidRPr="00C03237">
        <w:t>, интервалов и этапов лечения</w:t>
      </w:r>
      <w:r w:rsidR="00DE7078">
        <w:t xml:space="preserve"> </w:t>
      </w:r>
      <w:r w:rsidR="00250B38">
        <w:t xml:space="preserve"> </w:t>
      </w:r>
      <w:r w:rsidR="00250B38">
        <w:fldChar w:fldCharType="begin" w:fldLock="1"/>
      </w:r>
      <w:r w:rsidR="002466C9">
        <w:instrText>ADDIN CSL_CITATION {"citationItems":[{"id":"ITEM-1","itemData":{"DOI":"10.1182/blood-2011-09-377713","ISSN":"1528-0020","PMID":"22442346","abstract":"Quantification of minimal residual disease (MRD) by real-time PCR directed to TCR and Ig gene rearrangements allows a refined evaluation of response in acute lymphoblastic leukemia (ALL). The German Multicenter Study Group for Adult ALL prospectively evaluated molecular response after induction/consolidation chemotherapy according to standardized methods and terminology in patients with Philadelphia chromosome-negative ALL. The cytologic complete response (CR) rate was 89% after induction phases 1 and 2. At this time point the molecular CR rate was 70% in 580 patients with cytologic CR and evaluable MRD. Patients with molecular CR after consolidation had a significantly higher probability of continuous complete remission (CCR; 74% vs 35%; P &lt; .0001) and of overall survival (80% vs 42%; P = .0001) compared with patients with molecular failure. Patients with molecular failure without stem cell transplantation (SCT) in first CR relapsed after a median time of 7.6 months; CCR and survival at 5 years only reached 12% and 33%, respectively. Quantitative MRD assessment identified patients with molecular failure as a new high-risk group. These patients display resistance to conventional drugs and are candidates for treatment with targeted, experimental drugs and allogeneic SCT. Molecular response was shown to be highly predictive for outcome and therefore constitutes a relevant study end point. The studies are registered at www.clinicaltrials.gov as NCT00199056 and NCT00198991.","author":[{"dropping-particle":"","family":"Gökbuget","given":"Nicola","non-dropping-particle":"","parse-names":false,"suffix":""},{"dropping-particle":"","family":"Kneba","given":"Michael","non-dropping-particle":"","parse-names":false,"suffix":""},{"dropping-particle":"","family":"Raff","given":"Thorsten","non-dropping-particle":"","parse-names":false,"suffix":""},{"dropping-particle":"","family":"Trautmann","given":"Heiko","non-dropping-particle":"","parse-names":false,"suffix":""},{"dropping-particle":"","family":"Bartram","given":"Claus-Rainer","non-dropping-particle":"","parse-names":false,"suffix":""},{"dropping-particle":"","family":"Arnold","given":"Renate","non-dropping-particle":"","parse-names":false,"suffix":""},{"dropping-particle":"","family":"Fietkau","given":"Rainer","non-dropping-particle":"","parse-names":false,"suffix":""},{"dropping-particle":"","family":"Freund","given":"Mathias","non-dropping-particle":"","parse-names":false,"suffix":""},{"dropping-particle":"","family":"Ganser","given":"Arnold","non-dropping-particle":"","parse-names":false,"suffix":""},{"dropping-particle":"","family":"Ludwig","given":"Wolf-Dieter","non-dropping-particle":"","parse-names":false,"suffix":""},{"dropping-particle":"","family":"Maschmeyer","given":"Georg","non-dropping-particle":"","parse-names":false,"suffix":""},{"dropping-particle":"","family":"Rieder","given":"Harald","non-dropping-particle":"","parse-names":false,"suffix":""},{"dropping-particle":"","family":"Schwartz","given":"Stefan","non-dropping-particle":"","parse-names":false,"suffix":""},{"dropping-particle":"","family":"Serve","given":"Hubert","non-dropping-particle":"","parse-names":false,"suffix":""},{"dropping-particle":"","family":"Thiel","given":"Eckhard","non-dropping-particle":"","parse-names":false,"suffix":""},{"dropping-particle":"","family":"Brüggemann","given":"Monika","non-dropping-particle":"","parse-names":false,"suffix":""},{"dropping-particle":"","family":"Hoelzer","given":"Dieter","non-dropping-particle":"","parse-names":false,"suffix":""},{"dropping-particle":"","family":"German Multicenter Study Group for Adult Acute Lymphoblastic Leukemia","given":"","non-dropping-particle":"","parse-names":false,"suffix":""}],"container-title":"Blood","id":"ITEM-1","issue":"9","issued":{"date-parts":[["2012","8","30"]]},"page":"1868-76","title":"Adult patients with acute lymphoblastic leukemia and molecular failure display a poor prognosis and are candidates for stem cell transplantation and targeted therapies.","type":"article-journal","volume":"120"},"uris":["http://www.mendeley.com/documents/?uuid=8085a756-02e2-3c8c-b56c-bec838e6ba45"]}],"mendeley":{"formattedCitation":"[55]","plainTextFormattedCitation":"[55]","previouslyFormattedCitation":"[55]"},"properties":{"noteIndex":0},"schema":"https://github.com/citation-style-language/schema/raw/master/csl-citation.json"}</w:instrText>
      </w:r>
      <w:r w:rsidR="00250B38">
        <w:fldChar w:fldCharType="separate"/>
      </w:r>
      <w:r w:rsidR="00A66456" w:rsidRPr="00A66456">
        <w:rPr>
          <w:noProof/>
        </w:rPr>
        <w:t>[55]</w:t>
      </w:r>
      <w:r w:rsidR="00250B38">
        <w:fldChar w:fldCharType="end"/>
      </w:r>
      <w:r w:rsidR="00250B38" w:rsidRPr="00C03237">
        <w:t xml:space="preserve">. </w:t>
      </w:r>
    </w:p>
    <w:p w14:paraId="44267717" w14:textId="77777777" w:rsidR="00113282" w:rsidRPr="00252411" w:rsidRDefault="00113282" w:rsidP="00113282">
      <w:pPr>
        <w:shd w:val="clear" w:color="auto" w:fill="FFFFFF"/>
        <w:tabs>
          <w:tab w:val="left" w:pos="235"/>
        </w:tabs>
        <w:ind w:firstLine="709"/>
        <w:contextualSpacing/>
        <w:rPr>
          <w:b/>
        </w:rPr>
      </w:pPr>
      <w:r w:rsidRPr="00252411">
        <w:rPr>
          <w:b/>
        </w:rPr>
        <w:t>Уровень убедительности рекомендаций</w:t>
      </w:r>
      <w:r w:rsidRPr="00252411" w:rsidDel="00670C55">
        <w:rPr>
          <w:b/>
        </w:rPr>
        <w:t xml:space="preserve"> </w:t>
      </w:r>
      <w:r w:rsidR="00883FC3">
        <w:rPr>
          <w:b/>
        </w:rPr>
        <w:t xml:space="preserve">– </w:t>
      </w:r>
      <w:r w:rsidR="008B6E96">
        <w:rPr>
          <w:b/>
          <w:lang w:val="en-US"/>
        </w:rPr>
        <w:t>C</w:t>
      </w:r>
      <w:r w:rsidR="008B6E96" w:rsidRPr="00252411">
        <w:rPr>
          <w:b/>
        </w:rPr>
        <w:t xml:space="preserve"> </w:t>
      </w:r>
      <w:r w:rsidRPr="00252411">
        <w:rPr>
          <w:b/>
        </w:rPr>
        <w:t xml:space="preserve">(уровень </w:t>
      </w:r>
      <w:r w:rsidRPr="00252411">
        <w:rPr>
          <w:b/>
          <w:spacing w:val="-1"/>
        </w:rPr>
        <w:t xml:space="preserve">достоверности доказательств </w:t>
      </w:r>
      <w:r>
        <w:rPr>
          <w:b/>
        </w:rPr>
        <w:t>–</w:t>
      </w:r>
      <w:r w:rsidR="008B6E96" w:rsidRPr="0042136A">
        <w:rPr>
          <w:b/>
        </w:rPr>
        <w:t>4</w:t>
      </w:r>
      <w:r>
        <w:rPr>
          <w:b/>
        </w:rPr>
        <w:t>)</w:t>
      </w:r>
      <w:r w:rsidR="00883FC3">
        <w:rPr>
          <w:b/>
        </w:rPr>
        <w:t>.</w:t>
      </w:r>
    </w:p>
    <w:p w14:paraId="12B38C4B" w14:textId="1F3E6CD0" w:rsidR="00113282" w:rsidRDefault="00113282" w:rsidP="00FF4C81">
      <w:pPr>
        <w:numPr>
          <w:ilvl w:val="0"/>
          <w:numId w:val="19"/>
        </w:numPr>
        <w:shd w:val="clear" w:color="auto" w:fill="FFFFFF"/>
        <w:tabs>
          <w:tab w:val="left" w:pos="235"/>
        </w:tabs>
      </w:pPr>
      <w:r w:rsidRPr="00CA7FDC">
        <w:t xml:space="preserve">Оценка </w:t>
      </w:r>
      <w:r w:rsidR="00AF128D">
        <w:t>МОБ</w:t>
      </w:r>
      <w:r w:rsidR="00B93749">
        <w:t xml:space="preserve"> у пациентов</w:t>
      </w:r>
      <w:r w:rsidRPr="00CA7FDC">
        <w:t xml:space="preserve"> может осуществляться разными ме</w:t>
      </w:r>
      <w:r>
        <w:t xml:space="preserve">тодами, но обязательно </w:t>
      </w:r>
      <w:r>
        <w:rPr>
          <w:b/>
        </w:rPr>
        <w:t>рекомендуется</w:t>
      </w:r>
      <w:r w:rsidR="00883FC3">
        <w:rPr>
          <w:i/>
        </w:rPr>
        <w:t xml:space="preserve"> </w:t>
      </w:r>
      <w:r w:rsidR="00250B38">
        <w:rPr>
          <w:i/>
        </w:rPr>
        <w:fldChar w:fldCharType="begin" w:fldLock="1"/>
      </w:r>
      <w:r w:rsidR="002466C9">
        <w:rPr>
          <w:i/>
        </w:rPr>
        <w:instrText>ADDIN CSL_CITATION {"citationItems":[{"id":"ITEM-1","itemData":{"DOI":"10.1182/blood-2015-03-580027","ISSN":"15280020","abstract":"Monitoring of minimal residual disease (MRD) has become routine clinical practice in frontline treatment of virtually all childhood acute lymphoblastic leukemia (ALL) and in many adult ALL patients. MRD diagnostics has proven to be the strongest prognostic factor, allowing for risk group assignment into different treatment arms, ranging from significant treatment reduction to mild or strong intensification. Also in relapsed ALL patients and patients undergoing stem cell transplantation, MRD diagnostics is guiding treatment decisions. This is also why the efficacy of innovative drugs, such as antibodies and small molecules, are currently being evaluated with MRD diagnostics within clinical trials. In fact, MRD measurements might well be used as a surrogate end point, thereby significantly shortening the follow-up. The MRD techniques need to be sensitive (≤10(-4)), broadly applicable, accurate, reliable, fast, and affordable. Thus far, flow cytometry and polymerase chain reaction (PCR) analysis of rearranged immunoglobulin and T-cell receptor genes (allele-specific oligonucleotide [ASO]-PCR) are claimed to meet these criteria, but classical flow cytometry does not reach a solid 10(-4), whereas classical ASO-PCR is time-consuming and labor intensive. Therefore, 2 high-throughput technologies are being explored, ie, high-throughput sequencing and next-generation (multidimensional) flow cytometry, both evaluating millions of sequences or cells, respectively. Each of them has specific advantages and disadvantages.","author":[{"dropping-particle":"","family":"Dongen","given":"Jacques J.M.","non-dropping-particle":"Van","parse-names":false,"suffix":""},{"dropping-particle":"","family":"Velden","given":"Vincent H.J.","non-dropping-particle":"Van Der","parse-names":false,"suffix":""},{"dropping-particle":"","family":"Brüggemann","given":"Monika","non-dropping-particle":"","parse-names":false,"suffix":""},{"dropping-particle":"","family":"Orfao","given":"Alberto","non-dropping-particle":"","parse-names":false,"suffix":""}],"container-title":"Blood","id":"ITEM-1","issue":"26","issued":{"date-parts":[["2015","6","25"]]},"page":"3996-4009","publisher":"American Society of Hematology","title":"Minimal residual disease diagnostics in acute lymphoblastic leukemia: Need for sensitive, fast, and standardized technologies","type":"article-journal","volume":"125"},"uris":["http://www.mendeley.com/documents/?uuid=73b1f707-74fb-3658-9df6-b9685cba487b"]},{"id":"ITEM-2","itemData":{"DOI":"10.1038/sj.leu.2404586","ISSN":"14765551","abstract":"Most modern treatment protocols for acute lymphoblastic leukaemia (ALL) include the analysis of minimal residual disease (MRD). To ensure comparable MRD results between different MRD-polymerase chain reaction (PCR) laboratories, standardization and quality control are essential. The European Study Group on MRD detection in ALL (ESG-MRD-ALL), consisting of 30 MRD-PCR laboratories worldwide, has developed guidelines for the interpretation of real-time quantitative PCR-based MRD data. The application of these guidelines ensures identical interpretation of MRD data between different laboratories of the same MRD-based clinical protocol. Furthermore, the ESG-MRD-ALL guidelines will facilitate the comparison of MRD data obtained in different treatment protocols, including those with new drugs.","author":[{"dropping-particle":"","family":"Velden","given":"V. H.J.","non-dropping-particle":"van der","parse-names":false,"suffix":""},{"dropping-particle":"","family":"Cazzaniga","given":"G.","non-dropping-particle":"","parse-names":false,"suffix":""},{"dropping-particle":"","family":"Schrauder","given":"A.","non-dropping-particle":"","parse-names":false,"suffix":""},{"dropping-particle":"","family":"Hancock","given":"J.","non-dropping-particle":"","parse-names":false,"suffix":""},{"dropping-particle":"","family":"Bader","given":"P.","non-dropping-particle":"","parse-names":false,"suffix":""},{"dropping-particle":"","family":"Panzer-Grumayer","given":"E. R.","non-dropping-particle":"","parse-names":false,"suffix":""},{"dropping-particle":"","family":"Flohr","given":"T.","non-dropping-particle":"","parse-names":false,"suffix":""},{"dropping-particle":"","family":"Sutton","given":"R.","non-dropping-particle":"","parse-names":false,"suffix":""},{"dropping-particle":"","family":"Cave","given":"H.","non-dropping-particle":"","parse-names":false,"suffix":""},{"dropping-particle":"","family":"Madsen","given":"H. O.","non-dropping-particle":"","parse-names":false,"suffix":""},{"dropping-particle":"","family":"Cayuela","given":"J. M.","non-dropping-particle":"","parse-names":false,"suffix":""},{"dropping-particle":"","family":"Trka","given":"J.","non-dropping-particle":"","parse-names":false,"suffix":""},{"dropping-particle":"","family":"Eckert","given":"C.","non-dropping-particle":"","parse-names":false,"suffix":""},{"dropping-particle":"","family":"Foroni","given":"L.","non-dropping-particle":"","parse-names":false,"suffix":""},{"dropping-particle":"","family":"Stadt","given":"U.","non-dropping-particle":"zur","parse-names":false,"suffix":""},{"dropping-particle":"","family":"Beldjord","given":"K.","non-dropping-particle":"","parse-names":false,"suffix":""},{"dropping-particle":"","family":"Raff","given":"T.","non-dropping-particle":"","parse-names":false,"suffix":""},{"dropping-particle":"","family":"Schoot","given":"C. E.","non-dropping-particle":"van der","parse-names":false,"suffix":""},{"dropping-particle":"","family":"Dongen","given":"J. J.M.","non-dropping-particle":"van","parse-names":false,"suffix":""}],"container-title":"Leukemia","id":"ITEM-2","issue":"4","issued":{"date-parts":[["2007"]]},"page":"604-611","publisher":"Nature Publishing Group","title":"Analysis of minimal residual disease by Ig/TCR gene rearrangements: Guidelines for interpretation of real-time quantitative PCR data","type":"article-magazine","volume":"21"},"uris":["http://www.mendeley.com/documents/?uuid=40090a70-a568-3a07-a1b9-a41869074625"]}],"mendeley":{"formattedCitation":"[53,54]","plainTextFormattedCitation":"[53,54]","previouslyFormattedCitation":"[53,54]"},"properties":{"noteIndex":0},"schema":"https://github.com/citation-style-language/schema/raw/master/csl-citation.json"}</w:instrText>
      </w:r>
      <w:r w:rsidR="00250B38">
        <w:rPr>
          <w:i/>
        </w:rPr>
        <w:fldChar w:fldCharType="separate"/>
      </w:r>
      <w:r w:rsidR="00A66456" w:rsidRPr="00A66456">
        <w:rPr>
          <w:noProof/>
        </w:rPr>
        <w:t>[53,54]</w:t>
      </w:r>
      <w:r w:rsidR="00250B38">
        <w:rPr>
          <w:i/>
        </w:rPr>
        <w:fldChar w:fldCharType="end"/>
      </w:r>
      <w:r w:rsidR="00250B38" w:rsidRPr="00CA7FDC">
        <w:t>:</w:t>
      </w:r>
    </w:p>
    <w:p w14:paraId="0D19D20C" w14:textId="77777777" w:rsidR="00113282" w:rsidRDefault="00113282" w:rsidP="00956D03">
      <w:pPr>
        <w:widowControl/>
        <w:numPr>
          <w:ilvl w:val="0"/>
          <w:numId w:val="7"/>
        </w:numPr>
        <w:shd w:val="clear" w:color="auto" w:fill="FFFFFF"/>
        <w:tabs>
          <w:tab w:val="left" w:pos="235"/>
        </w:tabs>
        <w:autoSpaceDE/>
        <w:autoSpaceDN/>
        <w:adjustRightInd/>
        <w:ind w:left="360" w:hanging="360"/>
        <w:jc w:val="left"/>
      </w:pPr>
      <w:r w:rsidRPr="00CA7FDC">
        <w:t>определение лейкозспецифических маркеров, пациент</w:t>
      </w:r>
      <w:r w:rsidR="00883FC3" w:rsidRPr="00883FC3">
        <w:t>-</w:t>
      </w:r>
      <w:r w:rsidRPr="00CA7FDC">
        <w:t xml:space="preserve">специфических клональных перестроек, аберрантного иммунофенотипа </w:t>
      </w:r>
      <w:r>
        <w:t>до начала терапии;</w:t>
      </w:r>
    </w:p>
    <w:p w14:paraId="329BBDB3" w14:textId="77777777" w:rsidR="00113282" w:rsidRDefault="00113282" w:rsidP="00956D03">
      <w:pPr>
        <w:widowControl/>
        <w:numPr>
          <w:ilvl w:val="0"/>
          <w:numId w:val="7"/>
        </w:numPr>
        <w:shd w:val="clear" w:color="auto" w:fill="FFFFFF"/>
        <w:tabs>
          <w:tab w:val="left" w:pos="235"/>
        </w:tabs>
        <w:autoSpaceDE/>
        <w:autoSpaceDN/>
        <w:adjustRightInd/>
        <w:ind w:left="360" w:hanging="360"/>
        <w:jc w:val="left"/>
      </w:pPr>
      <w:r w:rsidRPr="00CA7FDC">
        <w:t xml:space="preserve">проведение мониторинга </w:t>
      </w:r>
      <w:r w:rsidR="00264086">
        <w:t xml:space="preserve">либо </w:t>
      </w:r>
      <w:r w:rsidRPr="00CA7FDC">
        <w:t>одним из методов</w:t>
      </w:r>
      <w:r w:rsidR="00264086">
        <w:t>,</w:t>
      </w:r>
      <w:r w:rsidRPr="00CA7FDC">
        <w:t xml:space="preserve"> либо одномоментно двумя</w:t>
      </w:r>
      <w:r>
        <w:t xml:space="preserve"> </w:t>
      </w:r>
      <w:r w:rsidRPr="00CA7FDC">
        <w:t>(не ч</w:t>
      </w:r>
      <w:r>
        <w:t>ередуя, не заменяя один другим);</w:t>
      </w:r>
      <w:r w:rsidRPr="00CA7FDC">
        <w:t xml:space="preserve"> </w:t>
      </w:r>
    </w:p>
    <w:p w14:paraId="1BC93D5E" w14:textId="77777777" w:rsidR="00113282" w:rsidRDefault="00113282" w:rsidP="00956D03">
      <w:pPr>
        <w:widowControl/>
        <w:numPr>
          <w:ilvl w:val="0"/>
          <w:numId w:val="7"/>
        </w:numPr>
        <w:shd w:val="clear" w:color="auto" w:fill="FFFFFF"/>
        <w:tabs>
          <w:tab w:val="left" w:pos="235"/>
        </w:tabs>
        <w:autoSpaceDE/>
        <w:autoSpaceDN/>
        <w:adjustRightInd/>
        <w:ind w:left="360" w:hanging="360"/>
        <w:jc w:val="left"/>
      </w:pPr>
      <w:r w:rsidRPr="00CA7FDC">
        <w:lastRenderedPageBreak/>
        <w:t>выполнение исследования в одной лаборатории согласно рекомендуемым стандартизованным подходам в че</w:t>
      </w:r>
      <w:r>
        <w:t>ткие</w:t>
      </w:r>
      <w:r w:rsidRPr="00CA7FDC">
        <w:t xml:space="preserve"> сроки, предусмотренные протоколами при их адекватном исполнении.</w:t>
      </w:r>
    </w:p>
    <w:p w14:paraId="1244019D" w14:textId="77777777" w:rsidR="00113282" w:rsidRPr="00883FC3" w:rsidRDefault="00113282" w:rsidP="00113282">
      <w:pPr>
        <w:shd w:val="clear" w:color="auto" w:fill="FFFFFF"/>
        <w:tabs>
          <w:tab w:val="left" w:pos="235"/>
        </w:tabs>
        <w:ind w:firstLine="709"/>
        <w:contextualSpacing/>
      </w:pPr>
      <w:r w:rsidRPr="00252411">
        <w:rPr>
          <w:b/>
        </w:rPr>
        <w:t>Уровень убедительности рекомендаций</w:t>
      </w:r>
      <w:r w:rsidRPr="00252411" w:rsidDel="00670C55">
        <w:rPr>
          <w:b/>
        </w:rPr>
        <w:t xml:space="preserve"> </w:t>
      </w:r>
      <w:r w:rsidR="00883FC3">
        <w:rPr>
          <w:b/>
        </w:rPr>
        <w:t>–</w:t>
      </w:r>
      <w:r w:rsidR="00883FC3" w:rsidRPr="00883FC3">
        <w:rPr>
          <w:b/>
        </w:rPr>
        <w:t xml:space="preserve"> </w:t>
      </w:r>
      <w:r w:rsidR="0028379C">
        <w:rPr>
          <w:b/>
          <w:lang w:val="en-US"/>
        </w:rPr>
        <w:t>C</w:t>
      </w:r>
      <w:r w:rsidRPr="00252411">
        <w:rPr>
          <w:b/>
        </w:rPr>
        <w:t xml:space="preserve"> (уровень </w:t>
      </w:r>
      <w:r w:rsidRPr="00252411">
        <w:rPr>
          <w:b/>
          <w:spacing w:val="-1"/>
        </w:rPr>
        <w:t xml:space="preserve">достоверности доказательств </w:t>
      </w:r>
      <w:r>
        <w:rPr>
          <w:b/>
        </w:rPr>
        <w:t>–</w:t>
      </w:r>
      <w:r w:rsidR="00883FC3" w:rsidRPr="00883FC3">
        <w:rPr>
          <w:b/>
        </w:rPr>
        <w:t xml:space="preserve"> </w:t>
      </w:r>
      <w:r w:rsidR="0028379C" w:rsidRPr="001B3DB0">
        <w:rPr>
          <w:b/>
        </w:rPr>
        <w:t>5</w:t>
      </w:r>
      <w:r>
        <w:rPr>
          <w:b/>
        </w:rPr>
        <w:t>)</w:t>
      </w:r>
      <w:r w:rsidR="00883FC3">
        <w:rPr>
          <w:b/>
        </w:rPr>
        <w:t>.</w:t>
      </w:r>
    </w:p>
    <w:p w14:paraId="55FE9BEE" w14:textId="77777777" w:rsidR="00C0620D" w:rsidRPr="00436AC9" w:rsidRDefault="00C0620D" w:rsidP="00B3408C">
      <w:pPr>
        <w:shd w:val="clear" w:color="auto" w:fill="FFFFFF"/>
        <w:tabs>
          <w:tab w:val="left" w:pos="235"/>
        </w:tabs>
        <w:ind w:firstLine="709"/>
        <w:contextualSpacing/>
        <w:rPr>
          <w:b/>
          <w:color w:val="000000"/>
        </w:rPr>
      </w:pPr>
    </w:p>
    <w:p w14:paraId="23B0E6A2" w14:textId="10862C60" w:rsidR="00254823" w:rsidRPr="00C76CE3" w:rsidRDefault="00254823" w:rsidP="00C76CE3">
      <w:pPr>
        <w:pStyle w:val="11"/>
      </w:pPr>
      <w:bookmarkStart w:id="87" w:name="_Toc5373977"/>
      <w:bookmarkStart w:id="88" w:name="_Toc13484808"/>
      <w:bookmarkStart w:id="89" w:name="_Toc26796707"/>
      <w:bookmarkStart w:id="90" w:name="_Toc64467923"/>
      <w:bookmarkStart w:id="91" w:name="_Toc64565637"/>
      <w:r w:rsidRPr="00C76CE3">
        <w:lastRenderedPageBreak/>
        <w:t xml:space="preserve">3. </w:t>
      </w:r>
      <w:bookmarkEnd w:id="79"/>
      <w:bookmarkEnd w:id="87"/>
      <w:bookmarkEnd w:id="88"/>
      <w:bookmarkEnd w:id="89"/>
      <w:bookmarkEnd w:id="90"/>
      <w:r w:rsidR="00C76CE3" w:rsidRPr="00C76CE3">
        <w:t>Лечение, включая медикаментозную и немедикаментозную терапии, диетотерапию, обезболивание, медицинские показания и противопоказания к применению методов лечения</w:t>
      </w:r>
      <w:bookmarkEnd w:id="91"/>
    </w:p>
    <w:p w14:paraId="548CA147" w14:textId="77777777" w:rsidR="00254823" w:rsidRPr="00D53B07" w:rsidRDefault="00254823" w:rsidP="004905C2">
      <w:pPr>
        <w:pStyle w:val="2"/>
      </w:pPr>
      <w:bookmarkStart w:id="92" w:name="_Toc5373978"/>
      <w:bookmarkStart w:id="93" w:name="_Toc13484809"/>
      <w:bookmarkStart w:id="94" w:name="_Toc26796708"/>
      <w:bookmarkStart w:id="95" w:name="_Toc64467924"/>
      <w:bookmarkStart w:id="96" w:name="_Toc64565638"/>
      <w:r>
        <w:t>3</w:t>
      </w:r>
      <w:r w:rsidR="00B3408C">
        <w:t>.1</w:t>
      </w:r>
      <w:r w:rsidR="00883FC3">
        <w:t>.</w:t>
      </w:r>
      <w:r w:rsidRPr="00D53B07">
        <w:t xml:space="preserve"> Основные принципы</w:t>
      </w:r>
      <w:r w:rsidR="002D67CB">
        <w:t xml:space="preserve"> химиотерапии </w:t>
      </w:r>
      <w:bookmarkEnd w:id="92"/>
      <w:bookmarkEnd w:id="93"/>
      <w:r w:rsidR="00AC59C0">
        <w:t>ОЛЛ</w:t>
      </w:r>
      <w:bookmarkEnd w:id="94"/>
      <w:bookmarkEnd w:id="95"/>
      <w:bookmarkEnd w:id="96"/>
      <w:r w:rsidRPr="00D53B07">
        <w:t xml:space="preserve"> </w:t>
      </w:r>
    </w:p>
    <w:p w14:paraId="32140520" w14:textId="77777777" w:rsidR="00254823" w:rsidRPr="00566082" w:rsidRDefault="00254823" w:rsidP="00254823">
      <w:pPr>
        <w:spacing w:before="120"/>
        <w:ind w:firstLine="709"/>
        <w:contextualSpacing/>
        <w:rPr>
          <w:i/>
        </w:rPr>
      </w:pPr>
      <w:r w:rsidRPr="00566082">
        <w:rPr>
          <w:i/>
        </w:rPr>
        <w:t>При любом принципе химиотерапевтического воздействия в лечении ОЛЛ существует нес</w:t>
      </w:r>
      <w:r w:rsidR="00883FC3">
        <w:rPr>
          <w:i/>
        </w:rPr>
        <w:t>колько основных этапов терапии –</w:t>
      </w:r>
      <w:r w:rsidRPr="00566082">
        <w:rPr>
          <w:i/>
        </w:rPr>
        <w:t xml:space="preserve"> индукция ремиссии, консолидация ремиссии, поддерживающая терапия и профилактика (лечение) нейролейкемии. </w:t>
      </w:r>
    </w:p>
    <w:p w14:paraId="4515586B" w14:textId="2011F322" w:rsidR="00254823" w:rsidRPr="00700C15" w:rsidRDefault="00254823" w:rsidP="00254823">
      <w:pPr>
        <w:spacing w:before="120"/>
        <w:ind w:firstLine="709"/>
        <w:contextualSpacing/>
        <w:rPr>
          <w:i/>
        </w:rPr>
      </w:pPr>
      <w:r w:rsidRPr="00566082">
        <w:rPr>
          <w:i/>
        </w:rPr>
        <w:t xml:space="preserve">Период начального лечения, целью </w:t>
      </w:r>
      <w:r w:rsidR="00B3408C">
        <w:rPr>
          <w:i/>
        </w:rPr>
        <w:t xml:space="preserve">которого является существенное </w:t>
      </w:r>
      <w:r w:rsidRPr="00566082">
        <w:rPr>
          <w:i/>
        </w:rPr>
        <w:t xml:space="preserve">уменьшение опухолевой массы и достижение </w:t>
      </w:r>
      <w:r w:rsidR="00257CE3">
        <w:rPr>
          <w:i/>
        </w:rPr>
        <w:t>ПР</w:t>
      </w:r>
      <w:r w:rsidRPr="00566082">
        <w:rPr>
          <w:i/>
        </w:rPr>
        <w:t xml:space="preserve">, называется периодом </w:t>
      </w:r>
      <w:r w:rsidRPr="00566082">
        <w:rPr>
          <w:b/>
          <w:i/>
        </w:rPr>
        <w:t>индукции</w:t>
      </w:r>
      <w:r w:rsidRPr="00566082">
        <w:rPr>
          <w:i/>
        </w:rPr>
        <w:t xml:space="preserve"> ремиссии. В терапии ОЛЛ используют две фазы ин</w:t>
      </w:r>
      <w:r w:rsidR="00883FC3">
        <w:rPr>
          <w:i/>
        </w:rPr>
        <w:t>дукции длительностью 4 нед</w:t>
      </w:r>
      <w:r w:rsidRPr="00566082">
        <w:rPr>
          <w:i/>
        </w:rPr>
        <w:t xml:space="preserve"> каждая, перерыв </w:t>
      </w:r>
      <w:r w:rsidR="00883FC3">
        <w:rPr>
          <w:i/>
        </w:rPr>
        <w:t>между которыми не предусмотрен.</w:t>
      </w:r>
      <w:r w:rsidRPr="00566082">
        <w:rPr>
          <w:i/>
        </w:rPr>
        <w:t xml:space="preserve"> Именно в этот период на фоне применения цитостатических средств количество лейкемических клеток в </w:t>
      </w:r>
      <w:r w:rsidR="00257CE3">
        <w:rPr>
          <w:i/>
        </w:rPr>
        <w:t xml:space="preserve">КМ </w:t>
      </w:r>
      <w:r w:rsidRPr="00566082">
        <w:rPr>
          <w:i/>
        </w:rPr>
        <w:t>уменьшается примерно в 100 раз, т.</w:t>
      </w:r>
      <w:r w:rsidR="00CB26F3">
        <w:rPr>
          <w:i/>
        </w:rPr>
        <w:t> </w:t>
      </w:r>
      <w:r w:rsidRPr="00566082">
        <w:rPr>
          <w:i/>
        </w:rPr>
        <w:t xml:space="preserve">е. в момент констатации </w:t>
      </w:r>
      <w:r w:rsidR="00257CE3">
        <w:rPr>
          <w:i/>
        </w:rPr>
        <w:t xml:space="preserve">ПР </w:t>
      </w:r>
      <w:r w:rsidRPr="00566082">
        <w:rPr>
          <w:i/>
        </w:rPr>
        <w:t xml:space="preserve">в </w:t>
      </w:r>
      <w:r w:rsidR="00257CE3">
        <w:rPr>
          <w:i/>
        </w:rPr>
        <w:t xml:space="preserve">КМ </w:t>
      </w:r>
      <w:r w:rsidRPr="00566082">
        <w:rPr>
          <w:i/>
        </w:rPr>
        <w:t>морфологически определяется менее 5</w:t>
      </w:r>
      <w:r w:rsidR="00883FC3">
        <w:rPr>
          <w:i/>
        </w:rPr>
        <w:t xml:space="preserve"> % опухолевых клеток.</w:t>
      </w:r>
      <w:r w:rsidRPr="00566082">
        <w:rPr>
          <w:i/>
        </w:rPr>
        <w:t xml:space="preserve"> При использовании импульсного подхода (программы </w:t>
      </w:r>
      <w:r w:rsidRPr="00566082">
        <w:rPr>
          <w:i/>
          <w:lang w:val="en-US"/>
        </w:rPr>
        <w:t>Hyper</w:t>
      </w:r>
      <w:r w:rsidRPr="00566082">
        <w:rPr>
          <w:i/>
        </w:rPr>
        <w:t>-</w:t>
      </w:r>
      <w:r w:rsidRPr="00566082">
        <w:rPr>
          <w:i/>
          <w:lang w:val="en-US"/>
        </w:rPr>
        <w:t>CVAD</w:t>
      </w:r>
      <w:r w:rsidRPr="00566082">
        <w:rPr>
          <w:i/>
        </w:rPr>
        <w:t>) этапом индукции счита</w:t>
      </w:r>
      <w:r w:rsidR="00883FC3">
        <w:rPr>
          <w:i/>
        </w:rPr>
        <w:t>ются два курса – собственно 2-</w:t>
      </w:r>
      <w:r w:rsidRPr="00566082">
        <w:rPr>
          <w:i/>
        </w:rPr>
        <w:t xml:space="preserve">недельный курс </w:t>
      </w:r>
      <w:r w:rsidRPr="00566082">
        <w:rPr>
          <w:i/>
          <w:lang w:val="en-US"/>
        </w:rPr>
        <w:t>Hyper</w:t>
      </w:r>
      <w:r w:rsidRPr="00566082">
        <w:rPr>
          <w:i/>
        </w:rPr>
        <w:t>-</w:t>
      </w:r>
      <w:r w:rsidRPr="00566082">
        <w:rPr>
          <w:i/>
          <w:lang w:val="en-US"/>
        </w:rPr>
        <w:t>CVAD</w:t>
      </w:r>
      <w:r w:rsidRPr="00566082">
        <w:rPr>
          <w:i/>
        </w:rPr>
        <w:t xml:space="preserve"> и следующий за ним после перерыва курс высокодозного цитарабина</w:t>
      </w:r>
      <w:r w:rsidR="00417EEC">
        <w:rPr>
          <w:i/>
        </w:rPr>
        <w:t>**</w:t>
      </w:r>
      <w:r w:rsidRPr="00566082">
        <w:rPr>
          <w:i/>
        </w:rPr>
        <w:t xml:space="preserve"> и метотрексата</w:t>
      </w:r>
      <w:r w:rsidR="00392AAF">
        <w:rPr>
          <w:i/>
        </w:rPr>
        <w:t>**</w:t>
      </w:r>
      <w:r w:rsidRPr="00566082">
        <w:rPr>
          <w:i/>
        </w:rPr>
        <w:t xml:space="preserve">. В большинстве случаев </w:t>
      </w:r>
      <w:r w:rsidR="00257CE3">
        <w:rPr>
          <w:i/>
        </w:rPr>
        <w:t xml:space="preserve">ПР </w:t>
      </w:r>
      <w:r w:rsidR="00883FC3">
        <w:rPr>
          <w:i/>
        </w:rPr>
        <w:t>достигается уже после 1-й</w:t>
      </w:r>
      <w:r w:rsidRPr="00566082">
        <w:rPr>
          <w:i/>
        </w:rPr>
        <w:t xml:space="preserve"> </w:t>
      </w:r>
      <w:r w:rsidR="00883FC3">
        <w:rPr>
          <w:i/>
        </w:rPr>
        <w:t>фазы индукции (или после 1-го</w:t>
      </w:r>
      <w:r w:rsidRPr="00566082">
        <w:rPr>
          <w:i/>
        </w:rPr>
        <w:t xml:space="preserve"> курса </w:t>
      </w:r>
      <w:r w:rsidRPr="00566082">
        <w:rPr>
          <w:i/>
          <w:lang w:val="en-US"/>
        </w:rPr>
        <w:t>Hyper</w:t>
      </w:r>
      <w:r w:rsidRPr="00566082">
        <w:rPr>
          <w:i/>
        </w:rPr>
        <w:t>-</w:t>
      </w:r>
      <w:r w:rsidRPr="00566082">
        <w:rPr>
          <w:i/>
          <w:lang w:val="en-US"/>
        </w:rPr>
        <w:t>CVAD</w:t>
      </w:r>
      <w:r w:rsidR="00257CE3">
        <w:rPr>
          <w:i/>
        </w:rPr>
        <w:t>)</w:t>
      </w:r>
      <w:r w:rsidRPr="00566082">
        <w:rPr>
          <w:i/>
        </w:rPr>
        <w:t xml:space="preserve">, и лишь у части </w:t>
      </w:r>
      <w:r w:rsidR="00EF50E6" w:rsidRPr="00EF50E6">
        <w:rPr>
          <w:i/>
          <w:szCs w:val="24"/>
        </w:rPr>
        <w:t>пациентов</w:t>
      </w:r>
      <w:r w:rsidR="00883FC3">
        <w:rPr>
          <w:i/>
        </w:rPr>
        <w:t xml:space="preserve"> (10–</w:t>
      </w:r>
      <w:r w:rsidRPr="00566082">
        <w:rPr>
          <w:i/>
        </w:rPr>
        <w:t>30</w:t>
      </w:r>
      <w:r w:rsidR="00883FC3">
        <w:rPr>
          <w:i/>
        </w:rPr>
        <w:t xml:space="preserve"> </w:t>
      </w:r>
      <w:r w:rsidRPr="00566082">
        <w:rPr>
          <w:i/>
        </w:rPr>
        <w:t xml:space="preserve">%) – после </w:t>
      </w:r>
      <w:r w:rsidR="00883FC3">
        <w:rPr>
          <w:i/>
        </w:rPr>
        <w:t>2-й</w:t>
      </w:r>
      <w:r w:rsidRPr="00566082">
        <w:rPr>
          <w:i/>
        </w:rPr>
        <w:t xml:space="preserve"> фазы индукции (или </w:t>
      </w:r>
      <w:r w:rsidR="00883FC3">
        <w:rPr>
          <w:i/>
        </w:rPr>
        <w:t>2-го</w:t>
      </w:r>
      <w:r w:rsidRPr="00566082">
        <w:rPr>
          <w:i/>
        </w:rPr>
        <w:t xml:space="preserve"> курса высокодозного цитарабина</w:t>
      </w:r>
      <w:r w:rsidR="00417EEC">
        <w:rPr>
          <w:i/>
        </w:rPr>
        <w:t>**</w:t>
      </w:r>
      <w:r w:rsidRPr="00566082">
        <w:rPr>
          <w:i/>
        </w:rPr>
        <w:t xml:space="preserve"> и метотрексата</w:t>
      </w:r>
      <w:r w:rsidR="00392AAF">
        <w:rPr>
          <w:i/>
        </w:rPr>
        <w:t>**</w:t>
      </w:r>
      <w:r w:rsidRPr="00566082">
        <w:rPr>
          <w:i/>
        </w:rPr>
        <w:t>)</w:t>
      </w:r>
      <w:r w:rsidR="00883FC3">
        <w:rPr>
          <w:i/>
        </w:rPr>
        <w:t xml:space="preserve"> </w:t>
      </w:r>
      <w:r w:rsidR="00250B38">
        <w:rPr>
          <w:i/>
        </w:rPr>
        <w:fldChar w:fldCharType="begin" w:fldLock="1"/>
      </w:r>
      <w:r w:rsidR="002466C9">
        <w:rPr>
          <w:i/>
        </w:rPr>
        <w:instrText>ADDIN CSL_CITATION {"citationItems":[{"id":"ITEM-1","itemData":{"DOI":"10.1002/cncr.20668","ISSN":"0008543X","abstract":"BACKGROUND. Modern intensive chemotherapy regimens have improved the prognosis for patients with adult acute lymphocytic leukemia (ALL). With these regimens, the complete response rates are now reported to be &gt; 80%, and the long-term survival rates range from 30% to 45%. The current analysis updated the long-term results with the original hyperfractionated cyclophosphamide, vincristine, doxorubicin, and dexamethasone (Hyper-CVAD) program, with a median follow-up time of 63 months. METHODS. Between 1992 and 2000, 288 patients were treated with Hyper-CVAD. The median age of the patients was 40 years, and 59 patients (20%) were ≥ age 60 years. The incidence of Philadelphia chromosome (Ph)-positive ALL was 17%, and the incidence of of T-cell ALL was 13%. RESULTS. A complete response (CR) was achieved in 92% of patients. The induction mortality rate was 5% (2% if the patient's age was &lt; 60 years, and 15% if the patient's age was ≥ 60 years). With a median follow-up time of 63 months, the 5-year survival rate was 38% and the 5-year CR duration rate was 38%. Multivariate analysis of prognostic factors for CR duration identified the following adverse factors: age ≥ 45 years, leukocytosis ≥ 50 × 109/L, poor performance status (an Eastern Cooperative Oncology Group score of 3-4), Ph-positive disease, French-American-British L2 morphology, &gt; 1 course to achieve CR, and Day 14 bone marrow blasts &gt; 5%. Patients were divided into low-risk (risk score 0-1; 37%), intermediate risk (risk score 2-3; 36%), and poor-risk groups (risk score ≥ 4; 27%) with 5-year CR duration rates of 52%, 37%, and 10%, respectively. CONCLUSIONS. Compared with the previous VAD regimens, Hyper-CVAD was associated with significantly better CR rates, CR duration, and survival. The long-term follow-up results of Hyper-CVAD were favorable. Comparison of Hyper-CVAD with other established adult ALL regimens is warranted. © 2004 American Cancer Society.","author":[{"dropping-particle":"","family":"Kantarjian","given":"Hagop","non-dropping-particle":"","parse-names":false,"suffix":""},{"dropping-particle":"","family":"Thomas","given":"Deborah","non-dropping-particle":"","parse-names":false,"suffix":""},{"dropping-particle":"","family":"O'Brien","given":"Susan","non-dropping-particle":"","parse-names":false,"suffix":""},{"dropping-particle":"","family":"Cortes","given":"Jorge","non-dropping-particle":"","parse-names":false,"suffix":""},{"dropping-particle":"","family":"Giles","given":"Francis","non-dropping-particle":"","parse-names":false,"suffix":""},{"dropping-particle":"","family":"Jeha","given":"Sima","non-dropping-particle":"","parse-names":false,"suffix":""},{"dropping-particle":"","family":"Bueso-Ramos","given":"Carlos E.","non-dropping-particle":"","parse-names":false,"suffix":""},{"dropping-particle":"","family":"Pierce","given":"Sherry","non-dropping-particle":"","parse-names":false,"suffix":""},{"dropping-particle":"","family":"Shan","given":"Jianqin","non-dropping-particle":"","parse-names":false,"suffix":""},{"dropping-particle":"","family":"Koller","given":"Charles","non-dropping-particle":"","parse-names":false,"suffix":""},{"dropping-particle":"","family":"Beran","given":"Miloslav","non-dropping-particle":"","parse-names":false,"suffix":""},{"dropping-particle":"","family":"Keating","given":"Michael","non-dropping-particle":"","parse-names":false,"suffix":""},{"dropping-particle":"","family":"Freireich","given":"Emil J.","non-dropping-particle":"","parse-names":false,"suffix":""}],"container-title":"Cancer","id":"ITEM-1","issue":"12","issued":{"date-parts":[["2004","12","15"]]},"page":"2788-2801","title":"Long-term follow-up results of hyperfractionated cyclophosphamide, vincristine, doxorubicin, and dexamethasone (Hyper-CVAD), a dose-intensive regimen, in adult acute lymphocytic leukemia","type":"article-journal","volume":"101"},"uris":["http://www.mendeley.com/documents/?uuid=6ee8bfd0-5b92-3504-a816-e7cae91350fc"]},{"id":"ITEM-2","itemData":{"DOI":"10.1182/blood-2006-05-018192","ISBN":"0006-4971 (Print)\\r0006-4971 (Linking)","ISSN":"0006-4971","PMID":"7718875","abstract":"The goal of this phase II multicenter clinical trial was to evaluate a new intensive chemotherapy program for adults with untreated acute lymphoblastic leukemia (ALL) and to examine prospectively the impact of clinical and biologic characteristics on the outcome. One hundred ninety-seven eligible and evaluable patients (16 to 80 years of age; median, 32 years of age) received cyclophosphamide, daunorubicin, vincristine, prednisone, and L-asparaginase; 167 patients (85%) achieved a complete remission (CR), 13 (7%) had refractory disease, and 17 (9%) died during induction. A higher CR rate was observed in younger patients (94% for those &lt; 30 years old, 85% for those 30 to 59 years old, and 39% for those &gt; or = 60 years old, P &lt; .001) and in those who had a mediastinal mass (100%) or blasts with a T-cell immunophenotype. Eighty percent of B-lineage and 97% of T-cell ALL patients achieved a CR (P = .01). The coexpression of myeloid antigens did not affect the response rate or duration. Seventy percent of those with cytogenetic or molecular evidence of the Philadelphia (Ph) chromosome and 84% of those without such evidence achieved a CR (P = .11). Patients in remission received multiagent consolidation treatment, central nervous system prophylaxis, late intensification, and maintenance chemotherapy for a total of 24 months. After a median follow-up time of 43 months, the median survival for all 197 patients is 36 months; the median remission duration for the 167 CR patients is 29 months. Favorable pretreatment characteristics relative to remission duration or survival are younger age, the presence of a mediastinal mass or lymphadenopathy, a white blood cell count (WBC) less than 30,000/microL, L1 morphology, T or TMy immunophenotype, and the absence of the Ph chromosome. The estimates of the proportion surviving at 3 years are 69% for patients less than 30 years old, 39% for those 30 to 59 years old, 89% for those who had a mediastinal mass, 59% with WBC less than 30,000/microL, 63% with L1 morphology, 69% for T or TMy antigen expression, and 62% for those who lack the Ph chromosome. Fifteen patients (8%) had no unfavorable prognostic factors and have an estimated probability of survival at 5 years of 100% (95% confidence interval, 77% to 100%). This intensive chemotherapy regimen produces a high remission rate and a high proportion of durable remissions in adults with ALL.","author":[{"dropping-particle":"","family":"Larson","given":"R A","non-dropping-particle":"","parse-names":false,"suffix":""},{"dropping-particle":"","family":"Dodge","given":"Richard K","non-dropping-particle":"","parse-names":false,"suffix":""},{"dropping-particle":"","family":"Burns","given":"C Patrick","non-dropping-particle":"","parse-names":false,"suffix":""},{"dropping-particle":"","family":"Lee","given":"Edward J","non-dropping-particle":"","parse-names":false,"suffix":""},{"dropping-particle":"","family":"Stone","given":"Richard M","non-dropping-particle":"","parse-names":false,"suffix":""},{"dropping-particle":"","family":"Schulman","given":"Philip","non-dropping-particle":"","parse-names":false,"suffix":""},{"dropping-particle":"","family":"Duggan","given":"David","non-dropping-particle":"","parse-names":false,"suffix":""},{"dropping-particle":"","family":"Davey","given":"Frederick R","non-dropping-particle":"","parse-names":false,"suffix":""},{"dropping-particle":"","family":"Sobol","given":"Robert E","non-dropping-particle":"","parse-names":false,"suffix":""},{"dropping-particle":"","family":"Frankel","given":"Stanley R","non-dropping-particle":"","parse-names":false,"suffix":""}],"container-title":"Blood","id":"ITEM-2","issue":"8","issued":{"date-parts":[["1995"]]},"page":"2025-2037","title":"A five-drug remission induction regimen with intensive consolidation for adults with ALL","type":"article-journal","volume":"85"},"uris":["http://www.mendeley.com/documents/?uuid=1a377891-48a0-39b1-9b52-4e24eaeae381"]},{"id":"ITEM-3","itemData":{"DOI":"10.1002/1097-0142(197608)38:2&lt;672::aid-cncr2820380208&gt;3.0.co;2-c","ISSN":"0008-543X","PMID":"1067890","abstract":"Therapy for acute lymphocytic leukemia (ALL) has been less successful in adults than in children. Many centers treat all adult leukemia with the same regimen. We have used vincristine and prednisone for initial therapy in 14 adults with ALL since 1971 and have followed a treatment regimen developed for childhood ALL for subsequent therapy as well. Complete remissions were attained in 13, and complications and duration of hospitalization were minimized with this nonmyelotoxic regimen. Central nervous system \"prophylactic\" therapy was also well tolerated in these adult patients. However, remission duration and survival in our series were similar to those reported by others. That complete remission can be attained in a high percentage of adult patients with ALL through use of relatively nontoxic treatment demonstrates the importance of selecting out this group of patients from all adults with acute leukemia.","author":[{"dropping-particle":"","family":"Scavino","given":"H F","non-dropping-particle":"","parse-names":false,"suffix":""},{"dropping-particle":"","family":"George","given":"J N","non-dropping-particle":"","parse-names":false,"suffix":""},{"dropping-particle":"","family":"Sears","given":"D A","non-dropping-particle":"","parse-names":false,"suffix":""}],"container-title":"Cancer","id":"ITEM-3","issue":"2","issued":{"date-parts":[["1976","8"]]},"page":"672-7","title":"Remission induction in adult acute lymphocytic leukemia. Use of vincristine and prednisone alone.","type":"article-journal","volume":"38"},"uris":["http://www.mendeley.com/documents/?uuid=690fbcf9-e97f-3e06-a786-f48006ee9cfc"]},{"id":"ITEM-4","itemData":{"ISSN":"0006-4971","PMID":"6375760","abstract":"The efficacy of the addition of intensive therapy with daunorubicin (45 mg/m2 IV on days 1, 2, 3) to an otherwise identical induction program consisting of vincristine, prednisone, and L-asparaginase was assessed in 177 previously untreated adults (greater than or equal to 20 years of age) with acute lymphocytic leukemia (ALL). In the prospectively randomized phase of the investigation, 46 patients received daunorubicin in induction, whereas 53 did not. The two groups were otherwise comparable for pretreatment variables. A complete response was observed in 38/46 patients (83%) treated with daunorubicin, compared to 25/53 (47%) induced with vincristine, prednisone, and L-asparaginase alone (P = .003). The high response rate attributable to the use of the anthracycline was confirmed by the nonrandomized treatment of 78 subsequent patients, in whom a complete response rate of 76% was attained. A common program for central nervous system therapy and for maintenance therapy was employed in 103 patients achieving complete response. Maintenance consisted of cycles of 6-mercaptopurine (6-MP) and methotrexate with periodic reinforcement with vincristine and prednisone. Maintenance therapy proved to be minimally toxic. The average duration of complete response was 15 months and was not affected by the induction program employed. Approximately 25% of responders are projected to remain in continuing complete response for 36 months. The failure of the daunorubicin-containing programs to produce a higher percentage of long-term survivors, despite the higher complete response rates achieved, was thought to be due to the use of a maintenance program that was weak in intensity and dependent on reinforcement with vincristine and prednisone. These data clearly establish the increased effectiveness of vincristine, prednisone, L-asparaginase, and daunorubicin, as compared to this combination without daunorubicin, in the induction of complete response in adults with ALL. The results support the concept of an intensive, rather than a conservative, chemotherapeutic approach as the most appropriate strategy for the treatment of adult ALL.","author":[{"dropping-particle":"","family":"Gottlieb","given":"A J","non-dropping-particle":"","parse-names":false,"suffix":""},{"dropping-particle":"","family":"Weinberg","given":"V","non-dropping-particle":"","parse-names":false,"suffix":""},{"dropping-particle":"","family":"Ellison","given":"R R","non-dropping-particle":"","parse-names":false,"suffix":""},{"dropping-particle":"","family":"Henderson","given":"E S","non-dropping-particle":"","parse-names":false,"suffix":""},{"dropping-particle":"","family":"Terebelo","given":"H","non-dropping-particle":"","parse-names":false,"suffix":""},{"dropping-particle":"","family":"Rafla","given":"S","non-dropping-particle":"","parse-names":false,"suffix":""},{"dropping-particle":"","family":"Cuttner","given":"J","non-dropping-particle":"","parse-names":false,"suffix":""},{"dropping-particle":"","family":"Silver","given":"R T","non-dropping-particle":"","parse-names":false,"suffix":""},{"dropping-particle":"","family":"Carey","given":"R W","non-dropping-particle":"","parse-names":false,"suffix":""},{"dropping-particle":"","family":"Levy","given":"R N","non-dropping-particle":"","parse-names":false,"suffix":""}],"container-title":"Blood","id":"ITEM-4","issue":"1","issued":{"date-parts":[["1984","7"]]},"page":"267-74","title":"Efficacy of daunorubicin in the therapy of adult acute lymphocytic leukemia: a prospective randomized trial by cancer and leukemia group B.","type":"article-journal","volume":"64"},"uris":["http://www.mendeley.com/documents/?uuid=43c6e96e-d53f-3b71-b458-7a47c1f54c22"]},{"id":"ITEM-5","itemData":{"ISSN":"0344-5704","PMID":"8306408","abstract":"A randomized clinical trial of combination chemotherapy for adult acute lymphoblastic leukemia (ALL) with doxorubicin, vincristine and prednisolone with and without L-asparaginase (AdVP vs L-AdVP) was conducted, involving 58 institutions throughout Japan. After reaching complete remission (CR), patients were treated with the same regimen for more than 2 years. Among 166 evaluable cases of the 198 cases enrolled, CR rates were 63.1% (53/84) with AdVP and 64.6% (53/82) with L-AdVP (P = 0.837). Median survival times and 7-year survival rates were 12.7 months and 21.2% with AdVP, and 16.0 months and 22.3% with L-AdVP (P = 0.955 by generalized Wilcoxon test [GW], P = 0.952 by log-rank test [LR]). Median disease-free survival times and 7-year survival rates were 13.5 months and 23.8% with AdVP and 17.0 months and 30.6% with L-AdVP, showing some increments for L-AdVP but no statistical significance (P = 0.141 by GW, P = 0.300 by LR). Among the cases of extramurally confirmed FAB subtypes, CR rates were 75.9% (63/83) for the L1 subtype and 51.3% (39/76) for the L2 subtype (P = 0.001). As to adverse effects, pancreatitis was complicated more frequently in L-AdVP than in AdVP (P = 0.039). Other side effects such as hyperbilirubinemia, diabetes mellitus, diarrhea and hypofibrinogenemia were observed more frequently with L-AdVP, but with no statistical significance. Thus, addition of a single course of L-asparaginase in the induction phase of combination chemotherapy with doxorubicin, vincristine and prednisolone did not significantly enhance the effect of antileukemic treatment of adult ALL.","author":[{"dropping-particle":"","family":"Nagura","given":"E","non-dropping-particle":"","parse-names":false,"suffix":""},{"dropping-particle":"","family":"Kimura","given":"K","non-dropping-particle":"","parse-names":false,"suffix":""},{"dropping-particle":"","family":"Yamada","given":"K","non-dropping-particle":"","parse-names":false,"suffix":""},{"dropping-particle":"","family":"Ota","given":"K","non-dropping-particle":"","parse-names":false,"suffix":""},{"dropping-particle":"","family":"Maekawa","given":"T","non-dropping-particle":"","parse-names":false,"suffix":""},{"dropping-particle":"","family":"Takaku","given":"F","non-dropping-particle":"","parse-names":false,"suffix":""},{"dropping-particle":"","family":"Uchino","given":"H","non-dropping-particle":"","parse-names":false,"suffix":""},{"dropping-particle":"","family":"Masaoka","given":"T","non-dropping-particle":"","parse-names":false,"suffix":""},{"dropping-particle":"","family":"Amaki","given":"I","non-dropping-particle":"","parse-names":false,"suffix":""},{"dropping-particle":"","family":"Kawashima","given":"K","non-dropping-particle":"","parse-names":false,"suffix":""}],"container-title":"Cancer chemotherapy and pharmacology","id":"ITEM-5","issue":"5","issued":{"date-parts":[["1994"]]},"page":"359-65","title":"Nation-wide randomized comparative study of doxorubicin, vincristine and prednisolone combination therapy with and without L-asparaginase for adult acute lymphoblastic leukemia.","type":"article-journal","volume":"33"},"uris":["http://www.mendeley.com/documents/?uuid=bd1d6567-24be-3822-9bf1-e803b43e5b5e"]}],"mendeley":{"formattedCitation":"[56–60]","plainTextFormattedCitation":"[56–60]","previouslyFormattedCitation":"[56–60]"},"properties":{"noteIndex":0},"schema":"https://github.com/citation-style-language/schema/raw/master/csl-citation.json"}</w:instrText>
      </w:r>
      <w:r w:rsidR="00250B38">
        <w:rPr>
          <w:i/>
        </w:rPr>
        <w:fldChar w:fldCharType="separate"/>
      </w:r>
      <w:r w:rsidR="00A66456" w:rsidRPr="00A66456">
        <w:rPr>
          <w:noProof/>
        </w:rPr>
        <w:t>[56–60]</w:t>
      </w:r>
      <w:r w:rsidR="00250B38">
        <w:rPr>
          <w:i/>
        </w:rPr>
        <w:fldChar w:fldCharType="end"/>
      </w:r>
      <w:r w:rsidR="00250B38" w:rsidRPr="00566082">
        <w:rPr>
          <w:i/>
        </w:rPr>
        <w:t>.</w:t>
      </w:r>
    </w:p>
    <w:p w14:paraId="5EEDD8C3" w14:textId="6BBB1053" w:rsidR="00254823" w:rsidRPr="00566082" w:rsidRDefault="00254823" w:rsidP="00254823">
      <w:pPr>
        <w:spacing w:before="120"/>
        <w:ind w:firstLine="709"/>
        <w:contextualSpacing/>
        <w:rPr>
          <w:i/>
        </w:rPr>
      </w:pPr>
      <w:r w:rsidRPr="00566082">
        <w:rPr>
          <w:i/>
        </w:rPr>
        <w:t xml:space="preserve">Вторым этапом терапии </w:t>
      </w:r>
      <w:r w:rsidR="00257CE3">
        <w:rPr>
          <w:i/>
        </w:rPr>
        <w:t xml:space="preserve">ОЛ </w:t>
      </w:r>
      <w:r w:rsidRPr="00566082">
        <w:rPr>
          <w:i/>
        </w:rPr>
        <w:t xml:space="preserve">является </w:t>
      </w:r>
      <w:r w:rsidRPr="00566082">
        <w:rPr>
          <w:b/>
          <w:i/>
        </w:rPr>
        <w:t>консолидация</w:t>
      </w:r>
      <w:r w:rsidRPr="00566082">
        <w:rPr>
          <w:i/>
        </w:rPr>
        <w:t xml:space="preserve"> ремиссии (закрепление достигнутого противоопухолевого эффекта). В настоящее время в большинстве случаев консолидация является наиболее агрессивным и высокодозным этапом в лечении ОЛЛ. Задачей этого периода является по возможности еще большее уменьшение числа остающихся после индукции лейкемических клеток. Чаще всего предусмо</w:t>
      </w:r>
      <w:r w:rsidR="00883FC3">
        <w:rPr>
          <w:i/>
        </w:rPr>
        <w:t>трены 1–</w:t>
      </w:r>
      <w:r w:rsidRPr="00566082">
        <w:rPr>
          <w:i/>
        </w:rPr>
        <w:t>2 таких курса, затем</w:t>
      </w:r>
      <w:r w:rsidR="002A1F08">
        <w:rPr>
          <w:i/>
        </w:rPr>
        <w:t>,</w:t>
      </w:r>
      <w:r w:rsidRPr="00566082">
        <w:rPr>
          <w:i/>
        </w:rPr>
        <w:t xml:space="preserve"> перед поддерживающим лечением</w:t>
      </w:r>
      <w:r w:rsidR="008012FD">
        <w:rPr>
          <w:i/>
        </w:rPr>
        <w:t>,</w:t>
      </w:r>
      <w:r w:rsidRPr="00566082">
        <w:rPr>
          <w:i/>
        </w:rPr>
        <w:t xml:space="preserve"> </w:t>
      </w:r>
      <w:r w:rsidR="003F3173" w:rsidRPr="00566082">
        <w:rPr>
          <w:i/>
        </w:rPr>
        <w:t xml:space="preserve">могут использоваться </w:t>
      </w:r>
      <w:r w:rsidRPr="00566082">
        <w:rPr>
          <w:i/>
        </w:rPr>
        <w:t xml:space="preserve">программы реиндукции (более длительные, аналогичные </w:t>
      </w:r>
      <w:r w:rsidR="00257CE3">
        <w:rPr>
          <w:i/>
        </w:rPr>
        <w:t>ИТ</w:t>
      </w:r>
      <w:r w:rsidR="003F3173">
        <w:rPr>
          <w:i/>
        </w:rPr>
        <w:t>)</w:t>
      </w:r>
      <w:r w:rsidR="00C3622B">
        <w:rPr>
          <w:i/>
        </w:rPr>
        <w:t xml:space="preserve">. В протоколе </w:t>
      </w:r>
      <w:r w:rsidR="00A12C9B">
        <w:rPr>
          <w:i/>
        </w:rPr>
        <w:t>р</w:t>
      </w:r>
      <w:r w:rsidRPr="00566082">
        <w:rPr>
          <w:i/>
        </w:rPr>
        <w:t xml:space="preserve">оссийской </w:t>
      </w:r>
      <w:r w:rsidR="00C23E7E">
        <w:rPr>
          <w:i/>
        </w:rPr>
        <w:t xml:space="preserve">исследовательской </w:t>
      </w:r>
      <w:r w:rsidRPr="00566082">
        <w:rPr>
          <w:i/>
        </w:rPr>
        <w:t>группы периодом консолидации названы пять прод</w:t>
      </w:r>
      <w:r w:rsidR="00883FC3">
        <w:rPr>
          <w:i/>
        </w:rPr>
        <w:t>олжительных последовательных (3–4-</w:t>
      </w:r>
      <w:r w:rsidRPr="00566082">
        <w:rPr>
          <w:i/>
        </w:rPr>
        <w:t>недельных) этапа, между которыми не предусмотрены перерывы (!), но изменяется лишь набор лекарственных</w:t>
      </w:r>
      <w:r w:rsidR="00465085">
        <w:rPr>
          <w:i/>
        </w:rPr>
        <w:t xml:space="preserve"> </w:t>
      </w:r>
      <w:r w:rsidRPr="00566082">
        <w:rPr>
          <w:i/>
        </w:rPr>
        <w:t>препаратов</w:t>
      </w:r>
      <w:r w:rsidR="00257CE3">
        <w:rPr>
          <w:i/>
        </w:rPr>
        <w:t>,</w:t>
      </w:r>
      <w:r w:rsidRPr="00566082">
        <w:rPr>
          <w:i/>
        </w:rPr>
        <w:t xml:space="preserve"> используемых в данный период</w:t>
      </w:r>
      <w:r w:rsidR="00257CE3">
        <w:rPr>
          <w:i/>
        </w:rPr>
        <w:t>,</w:t>
      </w:r>
      <w:r w:rsidRPr="00566082">
        <w:rPr>
          <w:i/>
        </w:rPr>
        <w:t xml:space="preserve"> и модифицируются дозировки ряда цитостатических средств. Следует подчеркнуть, что возможн</w:t>
      </w:r>
      <w:r w:rsidR="00257CE3">
        <w:rPr>
          <w:i/>
        </w:rPr>
        <w:t>а</w:t>
      </w:r>
      <w:r w:rsidRPr="00566082">
        <w:rPr>
          <w:i/>
        </w:rPr>
        <w:t xml:space="preserve"> ротация предусмотренных протоколом этапов кон</w:t>
      </w:r>
      <w:r w:rsidR="00257CE3">
        <w:rPr>
          <w:i/>
        </w:rPr>
        <w:t>с</w:t>
      </w:r>
      <w:r w:rsidRPr="00566082">
        <w:rPr>
          <w:i/>
        </w:rPr>
        <w:t>олидации</w:t>
      </w:r>
      <w:r w:rsidR="008012FD">
        <w:rPr>
          <w:i/>
        </w:rPr>
        <w:t>,</w:t>
      </w:r>
      <w:r w:rsidRPr="00566082">
        <w:rPr>
          <w:i/>
        </w:rPr>
        <w:t xml:space="preserve"> в зависимости от цитопенического синдрома и вариантов осложнений</w:t>
      </w:r>
      <w:r w:rsidR="005B5BD0">
        <w:rPr>
          <w:i/>
        </w:rPr>
        <w:t xml:space="preserve"> </w:t>
      </w:r>
      <w:r w:rsidR="00250B38">
        <w:rPr>
          <w:i/>
        </w:rPr>
        <w:fldChar w:fldCharType="begin" w:fldLock="1"/>
      </w:r>
      <w:r w:rsidR="002466C9">
        <w:rPr>
          <w:i/>
        </w:rPr>
        <w:instrText>ADDIN CSL_CITATION {"citationItems":[{"id":"ITEM-1","itemData":{"DOI":"10.1002/cncr.20668","ISSN":"0008543X","abstract":"BACKGROUND. Modern intensive chemotherapy regimens have improved the prognosis for patients with adult acute lymphocytic leukemia (ALL). With these regimens, the complete response rates are now reported to be &gt; 80%, and the long-term survival rates range from 30% to 45%. The current analysis updated the long-term results with the original hyperfractionated cyclophosphamide, vincristine, doxorubicin, and dexamethasone (Hyper-CVAD) program, with a median follow-up time of 63 months. METHODS. Between 1992 and 2000, 288 patients were treated with Hyper-CVAD. The median age of the patients was 40 years, and 59 patients (20%) were ≥ age 60 years. The incidence of Philadelphia chromosome (Ph)-positive ALL was 17%, and the incidence of of T-cell ALL was 13%. RESULTS. A complete response (CR) was achieved in 92% of patients. The induction mortality rate was 5% (2% if the patient's age was &lt; 60 years, and 15% if the patient's age was ≥ 60 years). With a median follow-up time of 63 months, the 5-year survival rate was 38% and the 5-year CR duration rate was 38%. Multivariate analysis of prognostic factors for CR duration identified the following adverse factors: age ≥ 45 years, leukocytosis ≥ 50 × 109/L, poor performance status (an Eastern Cooperative Oncology Group score of 3-4), Ph-positive disease, French-American-British L2 morphology, &gt; 1 course to achieve CR, and Day 14 bone marrow blasts &gt; 5%. Patients were divided into low-risk (risk score 0-1; 37%), intermediate risk (risk score 2-3; 36%), and poor-risk groups (risk score ≥ 4; 27%) with 5-year CR duration rates of 52%, 37%, and 10%, respectively. CONCLUSIONS. Compared with the previous VAD regimens, Hyper-CVAD was associated with significantly better CR rates, CR duration, and survival. The long-term follow-up results of Hyper-CVAD were favorable. Comparison of Hyper-CVAD with other established adult ALL regimens is warranted. © 2004 American Cancer Society.","author":[{"dropping-particle":"","family":"Kantarjian","given":"Hagop","non-dropping-particle":"","parse-names":false,"suffix":""},{"dropping-particle":"","family":"Thomas","given":"Deborah","non-dropping-particle":"","parse-names":false,"suffix":""},{"dropping-particle":"","family":"O'Brien","given":"Susan","non-dropping-particle":"","parse-names":false,"suffix":""},{"dropping-particle":"","family":"Cortes","given":"Jorge","non-dropping-particle":"","parse-names":false,"suffix":""},{"dropping-particle":"","family":"Giles","given":"Francis","non-dropping-particle":"","parse-names":false,"suffix":""},{"dropping-particle":"","family":"Jeha","given":"Sima","non-dropping-particle":"","parse-names":false,"suffix":""},{"dropping-particle":"","family":"Bueso-Ramos","given":"Carlos E.","non-dropping-particle":"","parse-names":false,"suffix":""},{"dropping-particle":"","family":"Pierce","given":"Sherry","non-dropping-particle":"","parse-names":false,"suffix":""},{"dropping-particle":"","family":"Shan","given":"Jianqin","non-dropping-particle":"","parse-names":false,"suffix":""},{"dropping-particle":"","family":"Koller","given":"Charles","non-dropping-particle":"","parse-names":false,"suffix":""},{"dropping-particle":"","family":"Beran","given":"Miloslav","non-dropping-particle":"","parse-names":false,"suffix":""},{"dropping-particle":"","family":"Keating","given":"Michael","non-dropping-particle":"","parse-names":false,"suffix":""},{"dropping-particle":"","family":"Freireich","given":"Emil J.","non-dropping-particle":"","parse-names":false,"suffix":""}],"container-title":"Cancer","id":"ITEM-1","issue":"12","issued":{"date-parts":[["2004","12","15"]]},"page":"2788-2801","title":"Long-term follow-up results of hyperfractionated cyclophosphamide, vincristine, doxorubicin, and dexamethasone (Hyper-CVAD), a dose-intensive regimen, in adult acute lymphocytic leukemia","type":"article-journal","volume":"101"},"uris":["http://www.mendeley.com/documents/?uuid=6ee8bfd0-5b92-3504-a816-e7cae91350fc"]},{"id":"ITEM-2","itemData":{"DOI":"10.1182/blood-2006-05-018192","ISBN":"0006-4971 (Print)\\r0006-4971 (Linking)","ISSN":"0006-4971","PMID":"7718875","abstract":"The goal of this phase II multicenter clinical trial was to evaluate a new intensive chemotherapy program for adults with untreated acute lymphoblastic leukemia (ALL) and to examine prospectively the impact of clinical and biologic characteristics on the outcome. One hundred ninety-seven eligible and evaluable patients (16 to 80 years of age; median, 32 years of age) received cyclophosphamide, daunorubicin, vincristine, prednisone, and L-asparaginase; 167 patients (85%) achieved a complete remission (CR), 13 (7%) had refractory disease, and 17 (9%) died during induction. A higher CR rate was observed in younger patients (94% for those &lt; 30 years old, 85% for those 30 to 59 years old, and 39% for those &gt; or = 60 years old, P &lt; .001) and in those who had a mediastinal mass (100%) or blasts with a T-cell immunophenotype. Eighty percent of B-lineage and 97% of T-cell ALL patients achieved a CR (P = .01). The coexpression of myeloid antigens did not affect the response rate or duration. Seventy percent of those with cytogenetic or molecular evidence of the Philadelphia (Ph) chromosome and 84% of those without such evidence achieved a CR (P = .11). Patients in remission received multiagent consolidation treatment, central nervous system prophylaxis, late intensification, and maintenance chemotherapy for a total of 24 months. After a median follow-up time of 43 months, the median survival for all 197 patients is 36 months; the median remission duration for the 167 CR patients is 29 months. Favorable pretreatment characteristics relative to remission duration or survival are younger age, the presence of a mediastinal mass or lymphadenopathy, a white blood cell count (WBC) less than 30,000/microL, L1 morphology, T or TMy immunophenotype, and the absence of the Ph chromosome. The estimates of the proportion surviving at 3 years are 69% for patients less than 30 years old, 39% for those 30 to 59 years old, 89% for those who had a mediastinal mass, 59% with WBC less than 30,000/microL, 63% with L1 morphology, 69% for T or TMy antigen expression, and 62% for those who lack the Ph chromosome. Fifteen patients (8%) had no unfavorable prognostic factors and have an estimated probability of survival at 5 years of 100% (95% confidence interval, 77% to 100%). This intensive chemotherapy regimen produces a high remission rate and a high proportion of durable remissions in adults with ALL.","author":[{"dropping-particle":"","family":"Larson","given":"R A","non-dropping-particle":"","parse-names":false,"suffix":""},{"dropping-particle":"","family":"Dodge","given":"Richard K","non-dropping-particle":"","parse-names":false,"suffix":""},{"dropping-particle":"","family":"Burns","given":"C Patrick","non-dropping-particle":"","parse-names":false,"suffix":""},{"dropping-particle":"","family":"Lee","given":"Edward J","non-dropping-particle":"","parse-names":false,"suffix":""},{"dropping-particle":"","family":"Stone","given":"Richard M","non-dropping-particle":"","parse-names":false,"suffix":""},{"dropping-particle":"","family":"Schulman","given":"Philip","non-dropping-particle":"","parse-names":false,"suffix":""},{"dropping-particle":"","family":"Duggan","given":"David","non-dropping-particle":"","parse-names":false,"suffix":""},{"dropping-particle":"","family":"Davey","given":"Frederick R","non-dropping-particle":"","parse-names":false,"suffix":""},{"dropping-particle":"","family":"Sobol","given":"Robert E","non-dropping-particle":"","parse-names":false,"suffix":""},{"dropping-particle":"","family":"Frankel","given":"Stanley R","non-dropping-particle":"","parse-names":false,"suffix":""}],"container-title":"Blood","id":"ITEM-2","issue":"8","issued":{"date-parts":[["1995"]]},"page":"2025-2037","title":"A five-drug remission induction regimen with intensive consolidation for adults with ALL","type":"article-journal","volume":"85"},"uris":["http://www.mendeley.com/documents/?uuid=1a377891-48a0-39b1-9b52-4e24eaeae381"]},{"id":"ITEM-3","itemData":{"DOI":"10.1002/1097-0142(197608)38:2&lt;672::aid-cncr2820380208&gt;3.0.co;2-c","ISSN":"0008-543X","PMID":"1067890","abstract":"Therapy for acute lymphocytic leukemia (ALL) has been less successful in adults than in children. Many centers treat all adult leukemia with the same regimen. We have used vincristine and prednisone for initial therapy in 14 adults with ALL since 1971 and have followed a treatment regimen developed for childhood ALL for subsequent therapy as well. Complete remissions were attained in 13, and complications and duration of hospitalization were minimized with this nonmyelotoxic regimen. Central nervous system \"prophylactic\" therapy was also well tolerated in these adult patients. However, remission duration and survival in our series were similar to those reported by others. That complete remission can be attained in a high percentage of adult patients with ALL through use of relatively nontoxic treatment demonstrates the importance of selecting out this group of patients from all adults with acute leukemia.","author":[{"dropping-particle":"","family":"Scavino","given":"H F","non-dropping-particle":"","parse-names":false,"suffix":""},{"dropping-particle":"","family":"George","given":"J N","non-dropping-particle":"","parse-names":false,"suffix":""},{"dropping-particle":"","family":"Sears","given":"D A","non-dropping-particle":"","parse-names":false,"suffix":""}],"container-title":"Cancer","id":"ITEM-3","issue":"2","issued":{"date-parts":[["1976","8"]]},"page":"672-7","title":"Remission induction in adult acute lymphocytic leukemia. Use of vincristine and prednisone alone.","type":"article-journal","volume":"38"},"uris":["http://www.mendeley.com/documents/?uuid=690fbcf9-e97f-3e06-a786-f48006ee9cfc"]},{"id":"ITEM-4","itemData":{"ISSN":"0006-4971","PMID":"6375760","abstract":"The efficacy of the addition of intensive therapy with daunorubicin (45 mg/m2 IV on days 1, 2, 3) to an otherwise identical induction program consisting of vincristine, prednisone, and L-asparaginase was assessed in 177 previously untreated adults (greater than or equal to 20 years of age) with acute lymphocytic leukemia (ALL). In the prospectively randomized phase of the investigation, 46 patients received daunorubicin in induction, whereas 53 did not. The two groups were otherwise comparable for pretreatment variables. A complete response was observed in 38/46 patients (83%) treated with daunorubicin, compared to 25/53 (47%) induced with vincristine, prednisone, and L-asparaginase alone (P = .003). The high response rate attributable to the use of the anthracycline was confirmed by the nonrandomized treatment of 78 subsequent patients, in whom a complete response rate of 76% was attained. A common program for central nervous system therapy and for maintenance therapy was employed in 103 patients achieving complete response. Maintenance consisted of cycles of 6-mercaptopurine (6-MP) and methotrexate with periodic reinforcement with vincristine and prednisone. Maintenance therapy proved to be minimally toxic. The average duration of complete response was 15 months and was not affected by the induction program employed. Approximately 25% of responders are projected to remain in continuing complete response for 36 months. The failure of the daunorubicin-containing programs to produce a higher percentage of long-term survivors, despite the higher complete response rates achieved, was thought to be due to the use of a maintenance program that was weak in intensity and dependent on reinforcement with vincristine and prednisone. These data clearly establish the increased effectiveness of vincristine, prednisone, L-asparaginase, and daunorubicin, as compared to this combination without daunorubicin, in the induction of complete response in adults with ALL. The results support the concept of an intensive, rather than a conservative, chemotherapeutic approach as the most appropriate strategy for the treatment of adult ALL.","author":[{"dropping-particle":"","family":"Gottlieb","given":"A J","non-dropping-particle":"","parse-names":false,"suffix":""},{"dropping-particle":"","family":"Weinberg","given":"V","non-dropping-particle":"","parse-names":false,"suffix":""},{"dropping-particle":"","family":"Ellison","given":"R R","non-dropping-particle":"","parse-names":false,"suffix":""},{"dropping-particle":"","family":"Henderson","given":"E S","non-dropping-particle":"","parse-names":false,"suffix":""},{"dropping-particle":"","family":"Terebelo","given":"H","non-dropping-particle":"","parse-names":false,"suffix":""},{"dropping-particle":"","family":"Rafla","given":"S","non-dropping-particle":"","parse-names":false,"suffix":""},{"dropping-particle":"","family":"Cuttner","given":"J","non-dropping-particle":"","parse-names":false,"suffix":""},{"dropping-particle":"","family":"Silver","given":"R T","non-dropping-particle":"","parse-names":false,"suffix":""},{"dropping-particle":"","family":"Carey","given":"R W","non-dropping-particle":"","parse-names":false,"suffix":""},{"dropping-particle":"","family":"Levy","given":"R N","non-dropping-particle":"","parse-names":false,"suffix":""}],"container-title":"Blood","id":"ITEM-4","issue":"1","issued":{"date-parts":[["1984","7"]]},"page":"267-74","title":"Efficacy of daunorubicin in the therapy of adult acute lymphocytic leukemia: a prospective randomized trial by cancer and leukemia group B.","type":"article-journal","volume":"64"},"uris":["http://www.mendeley.com/documents/?uuid=43c6e96e-d53f-3b71-b458-7a47c1f54c22"]},{"id":"ITEM-5","itemData":{"ISSN":"0344-5704","PMID":"8306408","abstract":"A randomized clinical trial of combination chemotherapy for adult acute lymphoblastic leukemia (ALL) with doxorubicin, vincristine and prednisolone with and without L-asparaginase (AdVP vs L-AdVP) was conducted, involving 58 institutions throughout Japan. After reaching complete remission (CR), patients were treated with the same regimen for more than 2 years. Among 166 evaluable cases of the 198 cases enrolled, CR rates were 63.1% (53/84) with AdVP and 64.6% (53/82) with L-AdVP (P = 0.837). Median survival times and 7-year survival rates were 12.7 months and 21.2% with AdVP, and 16.0 months and 22.3% with L-AdVP (P = 0.955 by generalized Wilcoxon test [GW], P = 0.952 by log-rank test [LR]). Median disease-free survival times and 7-year survival rates were 13.5 months and 23.8% with AdVP and 17.0 months and 30.6% with L-AdVP, showing some increments for L-AdVP but no statistical significance (P = 0.141 by GW, P = 0.300 by LR). Among the cases of extramurally confirmed FAB subtypes, CR rates were 75.9% (63/83) for the L1 subtype and 51.3% (39/76) for the L2 subtype (P = 0.001). As to adverse effects, pancreatitis was complicated more frequently in L-AdVP than in AdVP (P = 0.039). Other side effects such as hyperbilirubinemia, diabetes mellitus, diarrhea and hypofibrinogenemia were observed more frequently with L-AdVP, but with no statistical significance. Thus, addition of a single course of L-asparaginase in the induction phase of combination chemotherapy with doxorubicin, vincristine and prednisolone did not significantly enhance the effect of antileukemic treatment of adult ALL.","author":[{"dropping-particle":"","family":"Nagura","given":"E","non-dropping-particle":"","parse-names":false,"suffix":""},{"dropping-particle":"","family":"Kimura","given":"K","non-dropping-particle":"","parse-names":false,"suffix":""},{"dropping-particle":"","family":"Yamada","given":"K","non-dropping-particle":"","parse-names":false,"suffix":""},{"dropping-particle":"","family":"Ota","given":"K","non-dropping-particle":"","parse-names":false,"suffix":""},{"dropping-particle":"","family":"Maekawa","given":"T","non-dropping-particle":"","parse-names":false,"suffix":""},{"dropping-particle":"","family":"Takaku","given":"F","non-dropping-particle":"","parse-names":false,"suffix":""},{"dropping-particle":"","family":"Uchino","given":"H","non-dropping-particle":"","parse-names":false,"suffix":""},{"dropping-particle":"","family":"Masaoka","given":"T","non-dropping-particle":"","parse-names":false,"suffix":""},{"dropping-particle":"","family":"Amaki","given":"I","non-dropping-particle":"","parse-names":false,"suffix":""},{"dropping-particle":"","family":"Kawashima","given":"K","non-dropping-particle":"","parse-names":false,"suffix":""}],"container-title":"Cancer chemotherapy and pharmacology","id":"ITEM-5","issue":"5","issued":{"date-parts":[["1994"]]},"page":"359-65","title":"Nation-wide randomized comparative study of doxorubicin, vincristine and prednisolone combination therapy with and without L-asparaginase for adult acute lymphoblastic leukemia.","type":"article-journal","volume":"33"},"uris":["http://www.mendeley.com/documents/?uuid=bd1d6567-24be-3822-9bf1-e803b43e5b5e"]}],"mendeley":{"formattedCitation":"[56–60]","plainTextFormattedCitation":"[56–60]","previouslyFormattedCitation":"[56–60]"},"properties":{"noteIndex":0},"schema":"https://github.com/citation-style-language/schema/raw/master/csl-citation.json"}</w:instrText>
      </w:r>
      <w:r w:rsidR="00250B38">
        <w:rPr>
          <w:i/>
        </w:rPr>
        <w:fldChar w:fldCharType="separate"/>
      </w:r>
      <w:r w:rsidR="00A66456" w:rsidRPr="00A66456">
        <w:rPr>
          <w:noProof/>
        </w:rPr>
        <w:t>[56–60]</w:t>
      </w:r>
      <w:r w:rsidR="00250B38">
        <w:rPr>
          <w:i/>
        </w:rPr>
        <w:fldChar w:fldCharType="end"/>
      </w:r>
      <w:r w:rsidR="00250B38" w:rsidRPr="00566082">
        <w:rPr>
          <w:i/>
        </w:rPr>
        <w:t>.</w:t>
      </w:r>
      <w:r w:rsidR="00250B38">
        <w:rPr>
          <w:i/>
        </w:rPr>
        <w:t xml:space="preserve"> </w:t>
      </w:r>
      <w:r w:rsidR="00250B38" w:rsidRPr="00566082">
        <w:rPr>
          <w:i/>
        </w:rPr>
        <w:t xml:space="preserve"> </w:t>
      </w:r>
    </w:p>
    <w:p w14:paraId="65A18D26" w14:textId="3D4C4095" w:rsidR="00254823" w:rsidRPr="00566082" w:rsidRDefault="00254823" w:rsidP="00254823">
      <w:pPr>
        <w:spacing w:before="120"/>
        <w:ind w:firstLine="709"/>
        <w:contextualSpacing/>
        <w:rPr>
          <w:i/>
        </w:rPr>
      </w:pPr>
      <w:r w:rsidRPr="00566082">
        <w:rPr>
          <w:i/>
        </w:rPr>
        <w:t>После завершения этап</w:t>
      </w:r>
      <w:r w:rsidR="00B0062D">
        <w:rPr>
          <w:i/>
        </w:rPr>
        <w:t>а</w:t>
      </w:r>
      <w:r w:rsidRPr="00566082">
        <w:rPr>
          <w:i/>
        </w:rPr>
        <w:t xml:space="preserve"> консолидации следует период </w:t>
      </w:r>
      <w:r w:rsidRPr="00465085">
        <w:rPr>
          <w:i/>
        </w:rPr>
        <w:t xml:space="preserve">поддерживающего </w:t>
      </w:r>
      <w:r w:rsidRPr="00566082">
        <w:rPr>
          <w:b/>
          <w:i/>
        </w:rPr>
        <w:t>лечения</w:t>
      </w:r>
      <w:r w:rsidR="005B5BD0">
        <w:rPr>
          <w:i/>
        </w:rPr>
        <w:t xml:space="preserve">, </w:t>
      </w:r>
      <w:r w:rsidR="005B5BD0">
        <w:rPr>
          <w:i/>
        </w:rPr>
        <w:lastRenderedPageBreak/>
        <w:t>т. е.</w:t>
      </w:r>
      <w:r>
        <w:rPr>
          <w:i/>
        </w:rPr>
        <w:t xml:space="preserve"> </w:t>
      </w:r>
      <w:r w:rsidRPr="00566082">
        <w:rPr>
          <w:i/>
        </w:rPr>
        <w:t>продолжение цитостатического воздействия в меньших дозах, чем в период индукции ремиссии, на возможно остающийся опухолевый клон</w:t>
      </w:r>
      <w:r w:rsidR="00533FE8" w:rsidRPr="00533FE8">
        <w:rPr>
          <w:i/>
        </w:rPr>
        <w:t xml:space="preserve"> </w:t>
      </w:r>
      <w:r w:rsidR="00DC59BE">
        <w:rPr>
          <w:i/>
        </w:rPr>
        <w:fldChar w:fldCharType="begin" w:fldLock="1"/>
      </w:r>
      <w:r w:rsidR="002466C9">
        <w:rPr>
          <w:i/>
        </w:rPr>
        <w:instrText>ADDIN CSL_CITATION {"citationItems":[{"id":"ITEM-1","itemData":{"DOI":"10.1002/cncr.20668","ISSN":"0008543X","abstract":"BACKGROUND. Modern intensive chemotherapy regimens have improved the prognosis for patients with adult acute lymphocytic leukemia (ALL). With these regimens, the complete response rates are now reported to be &gt; 80%, and the long-term survival rates range from 30% to 45%. The current analysis updated the long-term results with the original hyperfractionated cyclophosphamide, vincristine, doxorubicin, and dexamethasone (Hyper-CVAD) program, with a median follow-up time of 63 months. METHODS. Between 1992 and 2000, 288 patients were treated with Hyper-CVAD. The median age of the patients was 40 years, and 59 patients (20%) were ≥ age 60 years. The incidence of Philadelphia chromosome (Ph)-positive ALL was 17%, and the incidence of of T-cell ALL was 13%. RESULTS. A complete response (CR) was achieved in 92% of patients. The induction mortality rate was 5% (2% if the patient's age was &lt; 60 years, and 15% if the patient's age was ≥ 60 years). With a median follow-up time of 63 months, the 5-year survival rate was 38% and the 5-year CR duration rate was 38%. Multivariate analysis of prognostic factors for CR duration identified the following adverse factors: age ≥ 45 years, leukocytosis ≥ 50 × 109/L, poor performance status (an Eastern Cooperative Oncology Group score of 3-4), Ph-positive disease, French-American-British L2 morphology, &gt; 1 course to achieve CR, and Day 14 bone marrow blasts &gt; 5%. Patients were divided into low-risk (risk score 0-1; 37%), intermediate risk (risk score 2-3; 36%), and poor-risk groups (risk score ≥ 4; 27%) with 5-year CR duration rates of 52%, 37%, and 10%, respectively. CONCLUSIONS. Compared with the previous VAD regimens, Hyper-CVAD was associated with significantly better CR rates, CR duration, and survival. The long-term follow-up results of Hyper-CVAD were favorable. Comparison of Hyper-CVAD with other established adult ALL regimens is warranted. © 2004 American Cancer Society.","author":[{"dropping-particle":"","family":"Kantarjian","given":"Hagop","non-dropping-particle":"","parse-names":false,"suffix":""},{"dropping-particle":"","family":"Thomas","given":"Deborah","non-dropping-particle":"","parse-names":false,"suffix":""},{"dropping-particle":"","family":"O'Brien","given":"Susan","non-dropping-particle":"","parse-names":false,"suffix":""},{"dropping-particle":"","family":"Cortes","given":"Jorge","non-dropping-particle":"","parse-names":false,"suffix":""},{"dropping-particle":"","family":"Giles","given":"Francis","non-dropping-particle":"","parse-names":false,"suffix":""},{"dropping-particle":"","family":"Jeha","given":"Sima","non-dropping-particle":"","parse-names":false,"suffix":""},{"dropping-particle":"","family":"Bueso-Ramos","given":"Carlos E.","non-dropping-particle":"","parse-names":false,"suffix":""},{"dropping-particle":"","family":"Pierce","given":"Sherry","non-dropping-particle":"","parse-names":false,"suffix":""},{"dropping-particle":"","family":"Shan","given":"Jianqin","non-dropping-particle":"","parse-names":false,"suffix":""},{"dropping-particle":"","family":"Koller","given":"Charles","non-dropping-particle":"","parse-names":false,"suffix":""},{"dropping-particle":"","family":"Beran","given":"Miloslav","non-dropping-particle":"","parse-names":false,"suffix":""},{"dropping-particle":"","family":"Keating","given":"Michael","non-dropping-particle":"","parse-names":false,"suffix":""},{"dropping-particle":"","family":"Freireich","given":"Emil J.","non-dropping-particle":"","parse-names":false,"suffix":""}],"container-title":"Cancer","id":"ITEM-1","issue":"12","issued":{"date-parts":[["2004","12","15"]]},"page":"2788-2801","title":"Long-term follow-up results of hyperfractionated cyclophosphamide, vincristine, doxorubicin, and dexamethasone (Hyper-CVAD), a dose-intensive regimen, in adult acute lymphocytic leukemia","type":"article-journal","volume":"101"},"uris":["http://www.mendeley.com/documents/?uuid=6ee8bfd0-5b92-3504-a816-e7cae91350fc"]},{"id":"ITEM-2","itemData":{"DOI":"10.1182/blood-2006-05-018192","ISBN":"0006-4971 (Print)\\r0006-4971 (Linking)","ISSN":"0006-4971","PMID":"7718875","abstract":"The goal of this phase II multicenter clinical trial was to evaluate a new intensive chemotherapy program for adults with untreated acute lymphoblastic leukemia (ALL) and to examine prospectively the impact of clinical and biologic characteristics on the outcome. One hundred ninety-seven eligible and evaluable patients (16 to 80 years of age; median, 32 years of age) received cyclophosphamide, daunorubicin, vincristine, prednisone, and L-asparaginase; 167 patients (85%) achieved a complete remission (CR), 13 (7%) had refractory disease, and 17 (9%) died during induction. A higher CR rate was observed in younger patients (94% for those &lt; 30 years old, 85% for those 30 to 59 years old, and 39% for those &gt; or = 60 years old, P &lt; .001) and in those who had a mediastinal mass (100%) or blasts with a T-cell immunophenotype. Eighty percent of B-lineage and 97% of T-cell ALL patients achieved a CR (P = .01). The coexpression of myeloid antigens did not affect the response rate or duration. Seventy percent of those with cytogenetic or molecular evidence of the Philadelphia (Ph) chromosome and 84% of those without such evidence achieved a CR (P = .11). Patients in remission received multiagent consolidation treatment, central nervous system prophylaxis, late intensification, and maintenance chemotherapy for a total of 24 months. After a median follow-up time of 43 months, the median survival for all 197 patients is 36 months; the median remission duration for the 167 CR patients is 29 months. Favorable pretreatment characteristics relative to remission duration or survival are younger age, the presence of a mediastinal mass or lymphadenopathy, a white blood cell count (WBC) less than 30,000/microL, L1 morphology, T or TMy immunophenotype, and the absence of the Ph chromosome. The estimates of the proportion surviving at 3 years are 69% for patients less than 30 years old, 39% for those 30 to 59 years old, 89% for those who had a mediastinal mass, 59% with WBC less than 30,000/microL, 63% with L1 morphology, 69% for T or TMy antigen expression, and 62% for those who lack the Ph chromosome. Fifteen patients (8%) had no unfavorable prognostic factors and have an estimated probability of survival at 5 years of 100% (95% confidence interval, 77% to 100%). This intensive chemotherapy regimen produces a high remission rate and a high proportion of durable remissions in adults with ALL.","author":[{"dropping-particle":"","family":"Larson","given":"R A","non-dropping-particle":"","parse-names":false,"suffix":""},{"dropping-particle":"","family":"Dodge","given":"Richard K","non-dropping-particle":"","parse-names":false,"suffix":""},{"dropping-particle":"","family":"Burns","given":"C Patrick","non-dropping-particle":"","parse-names":false,"suffix":""},{"dropping-particle":"","family":"Lee","given":"Edward J","non-dropping-particle":"","parse-names":false,"suffix":""},{"dropping-particle":"","family":"Stone","given":"Richard M","non-dropping-particle":"","parse-names":false,"suffix":""},{"dropping-particle":"","family":"Schulman","given":"Philip","non-dropping-particle":"","parse-names":false,"suffix":""},{"dropping-particle":"","family":"Duggan","given":"David","non-dropping-particle":"","parse-names":false,"suffix":""},{"dropping-particle":"","family":"Davey","given":"Frederick R","non-dropping-particle":"","parse-names":false,"suffix":""},{"dropping-particle":"","family":"Sobol","given":"Robert E","non-dropping-particle":"","parse-names":false,"suffix":""},{"dropping-particle":"","family":"Frankel","given":"Stanley R","non-dropping-particle":"","parse-names":false,"suffix":""}],"container-title":"Blood","id":"ITEM-2","issue":"8","issued":{"date-parts":[["1995"]]},"page":"2025-2037","title":"A five-drug remission induction regimen with intensive consolidation for adults with ALL","type":"article-journal","volume":"85"},"uris":["http://www.mendeley.com/documents/?uuid=1a377891-48a0-39b1-9b52-4e24eaeae381"]},{"id":"ITEM-3","itemData":{"DOI":"10.1002/1097-0142(197608)38:2&lt;672::aid-cncr2820380208&gt;3.0.co;2-c","ISSN":"0008-543X","PMID":"1067890","abstract":"Therapy for acute lymphocytic leukemia (ALL) has been less successful in adults than in children. Many centers treat all adult leukemia with the same regimen. We have used vincristine and prednisone for initial therapy in 14 adults with ALL since 1971 and have followed a treatment regimen developed for childhood ALL for subsequent therapy as well. Complete remissions were attained in 13, and complications and duration of hospitalization were minimized with this nonmyelotoxic regimen. Central nervous system \"prophylactic\" therapy was also well tolerated in these adult patients. However, remission duration and survival in our series were similar to those reported by others. That complete remission can be attained in a high percentage of adult patients with ALL through use of relatively nontoxic treatment demonstrates the importance of selecting out this group of patients from all adults with acute leukemia.","author":[{"dropping-particle":"","family":"Scavino","given":"H F","non-dropping-particle":"","parse-names":false,"suffix":""},{"dropping-particle":"","family":"George","given":"J N","non-dropping-particle":"","parse-names":false,"suffix":""},{"dropping-particle":"","family":"Sears","given":"D A","non-dropping-particle":"","parse-names":false,"suffix":""}],"container-title":"Cancer","id":"ITEM-3","issue":"2","issued":{"date-parts":[["1976","8"]]},"page":"672-7","title":"Remission induction in adult acute lymphocytic leukemia. Use of vincristine and prednisone alone.","type":"article-journal","volume":"38"},"uris":["http://www.mendeley.com/documents/?uuid=690fbcf9-e97f-3e06-a786-f48006ee9cfc"]},{"id":"ITEM-4","itemData":{"ISSN":"0006-4971","PMID":"6375760","abstract":"The efficacy of the addition of intensive therapy with daunorubicin (45 mg/m2 IV on days 1, 2, 3) to an otherwise identical induction program consisting of vincristine, prednisone, and L-asparaginase was assessed in 177 previously untreated adults (greater than or equal to 20 years of age) with acute lymphocytic leukemia (ALL). In the prospectively randomized phase of the investigation, 46 patients received daunorubicin in induction, whereas 53 did not. The two groups were otherwise comparable for pretreatment variables. A complete response was observed in 38/46 patients (83%) treated with daunorubicin, compared to 25/53 (47%) induced with vincristine, prednisone, and L-asparaginase alone (P = .003). The high response rate attributable to the use of the anthracycline was confirmed by the nonrandomized treatment of 78 subsequent patients, in whom a complete response rate of 76% was attained. A common program for central nervous system therapy and for maintenance therapy was employed in 103 patients achieving complete response. Maintenance consisted of cycles of 6-mercaptopurine (6-MP) and methotrexate with periodic reinforcement with vincristine and prednisone. Maintenance therapy proved to be minimally toxic. The average duration of complete response was 15 months and was not affected by the induction program employed. Approximately 25% of responders are projected to remain in continuing complete response for 36 months. The failure of the daunorubicin-containing programs to produce a higher percentage of long-term survivors, despite the higher complete response rates achieved, was thought to be due to the use of a maintenance program that was weak in intensity and dependent on reinforcement with vincristine and prednisone. These data clearly establish the increased effectiveness of vincristine, prednisone, L-asparaginase, and daunorubicin, as compared to this combination without daunorubicin, in the induction of complete response in adults with ALL. The results support the concept of an intensive, rather than a conservative, chemotherapeutic approach as the most appropriate strategy for the treatment of adult ALL.","author":[{"dropping-particle":"","family":"Gottlieb","given":"A J","non-dropping-particle":"","parse-names":false,"suffix":""},{"dropping-particle":"","family":"Weinberg","given":"V","non-dropping-particle":"","parse-names":false,"suffix":""},{"dropping-particle":"","family":"Ellison","given":"R R","non-dropping-particle":"","parse-names":false,"suffix":""},{"dropping-particle":"","family":"Henderson","given":"E S","non-dropping-particle":"","parse-names":false,"suffix":""},{"dropping-particle":"","family":"Terebelo","given":"H","non-dropping-particle":"","parse-names":false,"suffix":""},{"dropping-particle":"","family":"Rafla","given":"S","non-dropping-particle":"","parse-names":false,"suffix":""},{"dropping-particle":"","family":"Cuttner","given":"J","non-dropping-particle":"","parse-names":false,"suffix":""},{"dropping-particle":"","family":"Silver","given":"R T","non-dropping-particle":"","parse-names":false,"suffix":""},{"dropping-particle":"","family":"Carey","given":"R W","non-dropping-particle":"","parse-names":false,"suffix":""},{"dropping-particle":"","family":"Levy","given":"R N","non-dropping-particle":"","parse-names":false,"suffix":""}],"container-title":"Blood","id":"ITEM-4","issue":"1","issued":{"date-parts":[["1984","7"]]},"page":"267-74","title":"Efficacy of daunorubicin in the therapy of adult acute lymphocytic leukemia: a prospective randomized trial by cancer and leukemia group B.","type":"article-journal","volume":"64"},"uris":["http://www.mendeley.com/documents/?uuid=43c6e96e-d53f-3b71-b458-7a47c1f54c22"]},{"id":"ITEM-5","itemData":{"ISSN":"0344-5704","PMID":"8306408","abstract":"A randomized clinical trial of combination chemotherapy for adult acute lymphoblastic leukemia (ALL) with doxorubicin, vincristine and prednisolone with and without L-asparaginase (AdVP vs L-AdVP) was conducted, involving 58 institutions throughout Japan. After reaching complete remission (CR), patients were treated with the same regimen for more than 2 years. Among 166 evaluable cases of the 198 cases enrolled, CR rates were 63.1% (53/84) with AdVP and 64.6% (53/82) with L-AdVP (P = 0.837). Median survival times and 7-year survival rates were 12.7 months and 21.2% with AdVP, and 16.0 months and 22.3% with L-AdVP (P = 0.955 by generalized Wilcoxon test [GW], P = 0.952 by log-rank test [LR]). Median disease-free survival times and 7-year survival rates were 13.5 months and 23.8% with AdVP and 17.0 months and 30.6% with L-AdVP, showing some increments for L-AdVP but no statistical significance (P = 0.141 by GW, P = 0.300 by LR). Among the cases of extramurally confirmed FAB subtypes, CR rates were 75.9% (63/83) for the L1 subtype and 51.3% (39/76) for the L2 subtype (P = 0.001). As to adverse effects, pancreatitis was complicated more frequently in L-AdVP than in AdVP (P = 0.039). Other side effects such as hyperbilirubinemia, diabetes mellitus, diarrhea and hypofibrinogenemia were observed more frequently with L-AdVP, but with no statistical significance. Thus, addition of a single course of L-asparaginase in the induction phase of combination chemotherapy with doxorubicin, vincristine and prednisolone did not significantly enhance the effect of antileukemic treatment of adult ALL.","author":[{"dropping-particle":"","family":"Nagura","given":"E","non-dropping-particle":"","parse-names":false,"suffix":""},{"dropping-particle":"","family":"Kimura","given":"K","non-dropping-particle":"","parse-names":false,"suffix":""},{"dropping-particle":"","family":"Yamada","given":"K","non-dropping-particle":"","parse-names":false,"suffix":""},{"dropping-particle":"","family":"Ota","given":"K","non-dropping-particle":"","parse-names":false,"suffix":""},{"dropping-particle":"","family":"Maekawa","given":"T","non-dropping-particle":"","parse-names":false,"suffix":""},{"dropping-particle":"","family":"Takaku","given":"F","non-dropping-particle":"","parse-names":false,"suffix":""},{"dropping-particle":"","family":"Uchino","given":"H","non-dropping-particle":"","parse-names":false,"suffix":""},{"dropping-particle":"","family":"Masaoka","given":"T","non-dropping-particle":"","parse-names":false,"suffix":""},{"dropping-particle":"","family":"Amaki","given":"I","non-dropping-particle":"","parse-names":false,"suffix":""},{"dropping-particle":"","family":"Kawashima","given":"K","non-dropping-particle":"","parse-names":false,"suffix":""}],"container-title":"Cancer chemotherapy and pharmacology","id":"ITEM-5","issue":"5","issued":{"date-parts":[["1994"]]},"page":"359-65","title":"Nation-wide randomized comparative study of doxorubicin, vincristine and prednisolone combination therapy with and without L-asparaginase for adult acute lymphoblastic leukemia.","type":"article-journal","volume":"33"},"uris":["http://www.mendeley.com/documents/?uuid=bd1d6567-24be-3822-9bf1-e803b43e5b5e"]}],"mendeley":{"formattedCitation":"[56–60]","plainTextFormattedCitation":"[56–60]","previouslyFormattedCitation":"[56–60]"},"properties":{"noteIndex":0},"schema":"https://github.com/citation-style-language/schema/raw/master/csl-citation.json"}</w:instrText>
      </w:r>
      <w:r w:rsidR="00DC59BE">
        <w:rPr>
          <w:i/>
        </w:rPr>
        <w:fldChar w:fldCharType="separate"/>
      </w:r>
      <w:r w:rsidR="00A66456" w:rsidRPr="00A66456">
        <w:rPr>
          <w:noProof/>
        </w:rPr>
        <w:t>[56–60]</w:t>
      </w:r>
      <w:r w:rsidR="00DC59BE">
        <w:rPr>
          <w:i/>
        </w:rPr>
        <w:fldChar w:fldCharType="end"/>
      </w:r>
      <w:r w:rsidR="00533FE8" w:rsidRPr="00566082">
        <w:rPr>
          <w:i/>
        </w:rPr>
        <w:t>.</w:t>
      </w:r>
      <w:r w:rsidR="00533FE8">
        <w:rPr>
          <w:i/>
        </w:rPr>
        <w:t xml:space="preserve"> </w:t>
      </w:r>
      <w:r w:rsidRPr="00566082">
        <w:rPr>
          <w:i/>
        </w:rPr>
        <w:t xml:space="preserve"> </w:t>
      </w:r>
    </w:p>
    <w:p w14:paraId="01B0E29F" w14:textId="4FD1ACF5" w:rsidR="00254823" w:rsidRDefault="00254823" w:rsidP="00254823">
      <w:pPr>
        <w:shd w:val="clear" w:color="auto" w:fill="FFFFFF"/>
        <w:ind w:firstLine="709"/>
        <w:contextualSpacing/>
        <w:rPr>
          <w:i/>
        </w:rPr>
      </w:pPr>
      <w:r w:rsidRPr="00566082">
        <w:rPr>
          <w:i/>
        </w:rPr>
        <w:t>В настоящее время базисом всей программной терапии ОЛЛ является дифференцированное воздействие</w:t>
      </w:r>
      <w:r w:rsidR="00715897">
        <w:rPr>
          <w:i/>
        </w:rPr>
        <w:t>:</w:t>
      </w:r>
      <w:r w:rsidRPr="00566082">
        <w:rPr>
          <w:i/>
        </w:rPr>
        <w:t xml:space="preserve"> 1) для иммунологически зрелых В-ОЛЛ доказана эффективность мощного импульсного короткого воздействия в сочетании с анти-</w:t>
      </w:r>
      <w:r w:rsidRPr="00566082">
        <w:rPr>
          <w:i/>
          <w:lang w:val="en-US"/>
        </w:rPr>
        <w:t>CD</w:t>
      </w:r>
      <w:r w:rsidRPr="00566082">
        <w:rPr>
          <w:i/>
        </w:rPr>
        <w:t>20-моноклональными антителами (90</w:t>
      </w:r>
      <w:r w:rsidR="00715897">
        <w:rPr>
          <w:i/>
        </w:rPr>
        <w:t xml:space="preserve"> </w:t>
      </w:r>
      <w:r w:rsidRPr="00566082">
        <w:rPr>
          <w:i/>
        </w:rPr>
        <w:t xml:space="preserve">% </w:t>
      </w:r>
      <w:r w:rsidR="00222052">
        <w:rPr>
          <w:i/>
        </w:rPr>
        <w:t>5-</w:t>
      </w:r>
      <w:r w:rsidR="00222052" w:rsidRPr="00566082">
        <w:rPr>
          <w:i/>
        </w:rPr>
        <w:t xml:space="preserve">летняя </w:t>
      </w:r>
      <w:r w:rsidR="00D048C3">
        <w:rPr>
          <w:i/>
        </w:rPr>
        <w:t>БРВ</w:t>
      </w:r>
      <w:r w:rsidRPr="00566082">
        <w:rPr>
          <w:i/>
        </w:rPr>
        <w:t>)</w:t>
      </w:r>
      <w:r w:rsidR="00533FE8" w:rsidRPr="00533FE8">
        <w:rPr>
          <w:i/>
        </w:rPr>
        <w:t xml:space="preserve"> </w:t>
      </w:r>
      <w:r w:rsidR="00DC59BE">
        <w:rPr>
          <w:i/>
        </w:rPr>
        <w:fldChar w:fldCharType="begin" w:fldLock="1"/>
      </w:r>
      <w:r w:rsidR="002466C9">
        <w:rPr>
          <w:i/>
        </w:rPr>
        <w:instrText>ADDIN CSL_CITATION {"citationItems":[{"id":"ITEM-1","itemData":{"DOI":"10.1002/cncr.21776","ISSN":"0008543X","abstract":"BACKGROUND. Adult Burkitt-type lymphoma (BL) and acute lymphoblastic leukemia (B-ALL) are rare entities composing 1% to 5% of non-Hodgkin lymphomas NHL) or ALL. Prognosis of BL and B-ALL has been poor with conventional NHL or ALL regimens, but has improved with dose-intensive regimens. METHODS. To evaluate the addition of rituximab, a CD20 monoclonal antibody, to intensive chemotherapy in adults with BL or B-ALL, 31 patients with newly diagnosed BL or B-ALL received the hyper-fractionated cyclophosphamide, vincristine, doxorubicin, and dexamethasone (hyper-CVAD) regimen with rituximab. Their median age was 46 years; 29% were 60 years or older. Rituximab 375 mg/m2 was given on Days 1 and 11 of hyper-CVAD courses and on Days 1 and 8 of methotrexate and cytarabine courses. RESULTS. Complete remission (complete response [CR]) was achieved in 24 of 28 (86%) evaluable patients; 3 had a partial response, and 1 had resistant disease. There were no induction deaths. The 3-year overall survival (OS), event-free survival, and disease-free survival rates were 89%, 80%, and 88%, respectively. Nine elderly patients achieved CR with all of them in continuous CR (except 1 death in CR from infection), with a 3-year OS rate of 89%. Multivariate analysis of current and historical (those treated with hyper-CVAD alone) groups identified age and treatment with rituximab as favorable factors. CONCLUSIONS. The addition of rituximab to hyper-CVAD may improve outcome in adult BL or B-ALL, particularly in elderly patients. © 2006 American Cancer Society.","author":[{"dropping-particle":"","family":"Thomas","given":"Deborah A.","non-dropping-particle":"","parse-names":false,"suffix":""},{"dropping-particle":"","family":"Faderl","given":"Stefan","non-dropping-particle":"","parse-names":false,"suffix":""},{"dropping-particle":"","family":"O'Brien","given":"Susan","non-dropping-particle":"","parse-names":false,"suffix":""},{"dropping-particle":"","family":"Bueso-Ramos","given":"Carlos","non-dropping-particle":"","parse-names":false,"suffix":""},{"dropping-particle":"","family":"Cortes","given":"Jorge","non-dropping-particle":"","parse-names":false,"suffix":""},{"dropping-particle":"","family":"Garcia-Manero","given":"Guillermo","non-dropping-particle":"","parse-names":false,"suffix":""},{"dropping-particle":"","family":"Giles","given":"Francis J.","non-dropping-particle":"","parse-names":false,"suffix":""},{"dropping-particle":"","family":"Verstovsek","given":"Srdan","non-dropping-particle":"","parse-names":false,"suffix":""},{"dropping-particle":"","family":"Wierda","given":"William G.","non-dropping-particle":"","parse-names":false,"suffix":""},{"dropping-particle":"","family":"Pierce","given":"Sherry A.","non-dropping-particle":"","parse-names":false,"suffix":""},{"dropping-particle":"","family":"Shan","given":"Jianqin","non-dropping-particle":"","parse-names":false,"suffix":""},{"dropping-particle":"","family":"Brandt","given":"Mark","non-dropping-particle":"","parse-names":false,"suffix":""},{"dropping-particle":"","family":"Hagemeister","given":"Fredrick B.","non-dropping-particle":"","parse-names":false,"suffix":""},{"dropping-particle":"","family":"Keating","given":"Michael J.","non-dropping-particle":"","parse-names":false,"suffix":""},{"dropping-particle":"","family":"Cabanillas","given":"Fernando","non-dropping-particle":"","parse-names":false,"suffix":""},{"dropping-particle":"","family":"Kantarjian","given":"Hagop","non-dropping-particle":"","parse-names":false,"suffix":""}],"container-title":"Cancer","id":"ITEM-1","issue":"7","issued":{"date-parts":[["2006","4","1"]]},"page":"1569-1580","title":"Chemoimmunotherapy with hyper-CVAD plus rituximab for the treatment of adult Burkitt and Burkitt-type lymphoma or acute lymphoblastic leukemia","type":"article-journal","volume":"106"},"uris":["http://www.mendeley.com/documents/?uuid=c756ddd9-37f2-3b3f-bf5c-53ab47a2abef"]}],"mendeley":{"formattedCitation":"[61]","plainTextFormattedCitation":"[61]","previouslyFormattedCitation":"[61]"},"properties":{"noteIndex":0},"schema":"https://github.com/citation-style-language/schema/raw/master/csl-citation.json"}</w:instrText>
      </w:r>
      <w:r w:rsidR="00DC59BE">
        <w:rPr>
          <w:i/>
        </w:rPr>
        <w:fldChar w:fldCharType="separate"/>
      </w:r>
      <w:r w:rsidR="00A66456" w:rsidRPr="00A66456">
        <w:rPr>
          <w:noProof/>
        </w:rPr>
        <w:t>[61]</w:t>
      </w:r>
      <w:r w:rsidR="00DC59BE">
        <w:rPr>
          <w:i/>
        </w:rPr>
        <w:fldChar w:fldCharType="end"/>
      </w:r>
      <w:r w:rsidRPr="00566082">
        <w:rPr>
          <w:i/>
        </w:rPr>
        <w:t xml:space="preserve">; 2) для </w:t>
      </w:r>
      <w:r w:rsidRPr="00566082">
        <w:rPr>
          <w:i/>
          <w:lang w:val="en-US"/>
        </w:rPr>
        <w:t>Ph</w:t>
      </w:r>
      <w:r w:rsidRPr="00566082">
        <w:rPr>
          <w:i/>
        </w:rPr>
        <w:t xml:space="preserve">-позитивных ОЛЛ ключевым фактором эффективности является использование ингибиторов </w:t>
      </w:r>
      <w:r w:rsidRPr="00566082">
        <w:rPr>
          <w:i/>
          <w:lang w:val="en-US"/>
        </w:rPr>
        <w:t>abl</w:t>
      </w:r>
      <w:r w:rsidRPr="00566082">
        <w:rPr>
          <w:i/>
        </w:rPr>
        <w:t>-тирозинкиназы (80</w:t>
      </w:r>
      <w:r w:rsidR="00715897">
        <w:rPr>
          <w:i/>
        </w:rPr>
        <w:t xml:space="preserve"> </w:t>
      </w:r>
      <w:r w:rsidRPr="00566082">
        <w:rPr>
          <w:i/>
        </w:rPr>
        <w:t xml:space="preserve">% </w:t>
      </w:r>
      <w:r w:rsidR="00B0062D">
        <w:rPr>
          <w:i/>
        </w:rPr>
        <w:t>3-</w:t>
      </w:r>
      <w:r w:rsidRPr="00566082">
        <w:rPr>
          <w:i/>
        </w:rPr>
        <w:t>летняя выживаемость)</w:t>
      </w:r>
      <w:r w:rsidR="00250B38" w:rsidRPr="00533FE8">
        <w:rPr>
          <w:i/>
        </w:rPr>
        <w:t xml:space="preserve"> </w:t>
      </w:r>
      <w:r w:rsidR="00250B38">
        <w:rPr>
          <w:i/>
        </w:rPr>
        <w:fldChar w:fldCharType="begin" w:fldLock="1"/>
      </w:r>
      <w:r w:rsidR="002466C9">
        <w:rPr>
          <w:i/>
        </w:rPr>
        <w:instrText xml:space="preserve">ADDIN CSL_CITATION {"citationItems":[{"id":"ITEM-1","itemData":{"DOI":"10.1002/ajh.24926","ISSN":"1096-8652","PMID":"28971501","abstract":"Philadelphia chromosome-positive (Ph-positive) acute lymphoblastic leukemia (ALL) is a biologically, clinically, and genetically distinct subtype of precursor-B ALL. The Ph chromosome, results from a reciprocal translocation of the ABL1 kinase gene on chromosome 9 to the breakpoint cluster region (BCR) gene on chromosome 22. Depending on the translocation breakpoint, typically a p210 BCR-ABL1 or a p190 BCR-ABL onc protein are generated; both are constitutively active tyrosine kinases that play a central role to alter signaling pathways of cell proliferation, survival, and self-renewal, leading to leukemogenesis. In Ph-positive ALL, the p190-BCR-ABL (minor [m]-bcr) subtype is more frequent than the p210-BCR-ABL (major [M]-bcr) subtype, commonly found in chronic myeloid leukemia. The Philadelphia chromosome is the most frequent recurrent cytogenetic abnormality in elderly patients with ALL. Its incidence increases with age, reaching </w:instrText>
      </w:r>
      <w:r w:rsidR="002466C9">
        <w:rPr>
          <w:rFonts w:ascii="Cambria Math" w:hAnsi="Cambria Math" w:cs="Cambria Math"/>
          <w:i/>
        </w:rPr>
        <w:instrText>∼</w:instrText>
      </w:r>
      <w:r w:rsidR="002466C9">
        <w:rPr>
          <w:i/>
        </w:rPr>
        <w:instrText>50% in patients with ALL aged 60 years and over. Patients traditionally had a very poor outcome with chemotherapy, particularly if they do not undergo allogeneic hematopoietic cell transplantation (allo-HCT) in first complete remission (CR1). With the availability of multiple tyrosine kinase inhibitors (TKI), the therapeutic armamentarium is expanding quickly. However, there is no consensus on how to best treat Ph-positive ALL. With modern therapy, improved outcomes have led to the emergence of a number of controversies, including the need for intensive chemotherapy, the ideal TKI, and whether all eligible patients should receive an allo-HSCT, and if so, what type. Here, we discuss these controversies in light of the available literature.","author":[{"dropping-particle":"","family":"Fakih","given":"Riad","non-dropping-particle":"El","parse-names":false,"suffix":""},{"dropping-particle":"","family":"Jabbour","given":"Elias","non-dropping-particle":"","parse-names":false,"suffix":""},{"dropping-particle":"","family":"Ravandi","given":"Farhad","non-dropping-particle":"","parse-names":false,"suffix":""},{"dropping-particle":"","family":"Hassanein","given":"Mona","non-dropping-particle":"","parse-names":false,"suffix":""},{"dropping-particle":"","family":"Anjum","given":"Farhan","non-dropping-particle":"","parse-names":false,"suffix":""},{"dropping-particle":"","family":"Ahmed","given":"Syed","non-dropping-particle":"","parse-names":false,"suffix":""},{"dropping-particle":"","family":"Kantarjian","given":"Hagop","non-dropping-particle":"","parse-names":false,"suffix":""}],"container-title":"American journal of hematology","id":"ITEM-1","issue":"2","issued":{"date-parts":[["2018","2"]]},"page":"286-295","title":"Current paradigms in the management of Philadelphia chromosome positive acute lymphoblastic leukemia in adults.","type":"article-journal","volume":"93"},"uris":["http://www.mendeley.com/documents/?uuid=a659863f-b726-3b17-95e8-c59bf5045469"]}],"mendeley":{"formattedCitation":"[52]","plainTextFormattedCitation":"[52]","previouslyFormattedCitation":"[52]"},"properties":{"noteIndex":0},"schema":"https://github.com/citation-style-language/schema/raw/master/csl-citation.json"}</w:instrText>
      </w:r>
      <w:r w:rsidR="00250B38">
        <w:rPr>
          <w:i/>
        </w:rPr>
        <w:fldChar w:fldCharType="separate"/>
      </w:r>
      <w:r w:rsidR="00A66456" w:rsidRPr="00A66456">
        <w:rPr>
          <w:noProof/>
        </w:rPr>
        <w:t>[52]</w:t>
      </w:r>
      <w:r w:rsidR="00250B38">
        <w:rPr>
          <w:i/>
        </w:rPr>
        <w:fldChar w:fldCharType="end"/>
      </w:r>
      <w:r w:rsidRPr="00566082">
        <w:rPr>
          <w:i/>
        </w:rPr>
        <w:t xml:space="preserve">; 3) для </w:t>
      </w:r>
      <w:r w:rsidR="00EF50E6" w:rsidRPr="00EF50E6">
        <w:rPr>
          <w:i/>
          <w:szCs w:val="24"/>
        </w:rPr>
        <w:t>пациентов</w:t>
      </w:r>
      <w:r w:rsidRPr="00566082">
        <w:rPr>
          <w:i/>
        </w:rPr>
        <w:t xml:space="preserve">, у </w:t>
      </w:r>
      <w:r w:rsidR="00B0062D">
        <w:rPr>
          <w:i/>
        </w:rPr>
        <w:t>которых</w:t>
      </w:r>
      <w:r w:rsidRPr="00566082">
        <w:rPr>
          <w:i/>
        </w:rPr>
        <w:t xml:space="preserve"> определяется персистенция минимальной остаточной популяции опухолевых клеток, –</w:t>
      </w:r>
      <w:r w:rsidR="00C96A07">
        <w:rPr>
          <w:i/>
        </w:rPr>
        <w:t xml:space="preserve"> </w:t>
      </w:r>
      <w:r w:rsidR="00C96A07" w:rsidRPr="009F500F">
        <w:rPr>
          <w:i/>
        </w:rPr>
        <w:t>терапия направленная на редукцию минимального остаточного клона и</w:t>
      </w:r>
      <w:r w:rsidRPr="009F500F">
        <w:rPr>
          <w:i/>
        </w:rPr>
        <w:t xml:space="preserve"> </w:t>
      </w:r>
      <w:r w:rsidR="00257CE3" w:rsidRPr="009F500F">
        <w:rPr>
          <w:i/>
        </w:rPr>
        <w:t>алло</w:t>
      </w:r>
      <w:r w:rsidR="00F33796" w:rsidRPr="009F500F">
        <w:rPr>
          <w:i/>
        </w:rPr>
        <w:t>-ТГСК</w:t>
      </w:r>
      <w:r w:rsidR="00715897" w:rsidRPr="009F500F">
        <w:rPr>
          <w:i/>
        </w:rPr>
        <w:t xml:space="preserve"> </w:t>
      </w:r>
      <w:r w:rsidR="00250B38" w:rsidRPr="009F500F">
        <w:rPr>
          <w:i/>
        </w:rPr>
        <w:fldChar w:fldCharType="begin" w:fldLock="1"/>
      </w:r>
      <w:r w:rsidR="002466C9" w:rsidRPr="009F500F">
        <w:rPr>
          <w:i/>
        </w:rPr>
        <w:instrText>ADDIN CSL_CITATION {"citationItems":[{"id":"ITEM-1","itemData":{"DOI":"10.1182/blood-2007-10-116582","ISSN":"00064971","abstract":"An international collaboration was set up to prospectively evaluate the role of allogeneic transplantation for adults with acute lymphoblastic leukemia (ALL) and compare autologous transplantation with standard chemotherapy. Patients received 2 phases of induction and, if in remission, were assigned to allogeneic transplantation if they had a compatible sibling donor. Other patients were randomized to chemotherapy for 2.5 years versus an autologous transplantation. A donor versus no-donor analysis showed that Philadelphia chromosome-negative patients with a donor had a 5-year improved overall survival (OS), 53% versus 45% (P = .01), and the relapse rate was significantly lower (P &lt; or = .001). The survival difference was significant in standard-risk patients, but not in high-risk patients with a high nonrelapse mortality rate in the high-risk donor group. Patients randomized to chemotherapy had a higher 5-year OS (46%) than those randomized to autologous transplantation (37%; P = .03). Matched related allogeneic transplantations for ALL in first complete remission provide the most potent antileukemic therapy and considerable survival benefit for standard-risk patients. However, the transplantation-related mortality for high-risk older patients was unacceptably high and abrogated the reduction in relapse risk. There is no evidence that a single autologous transplantation can replace consolidation/maintenance in any risk group. This study is registered at http://clinicaltrials.gov as NCT00002514.","author":[{"dropping-particle":"","family":"Goldstone","given":"Anthony H.","non-dropping-particle":"","parse-names":false,"suffix":""},{"dropping-particle":"","family":"Richards","given":"Susan M.","non-dropping-particle":"","parse-names":false,"suffix":""},{"dropping-particle":"","family":"Lazarus","given":"Hillard M.","non-dropping-particle":"","parse-names":false,"suffix":""},{"dropping-particle":"","family":"Tallman","given":"Martin S.","non-dropping-particle":"","parse-names":false,"suffix":""},{"dropping-particle":"","family":"Buck","given":"Georgina","non-dropping-particle":"","parse-names":false,"suffix":""},{"dropping-particle":"","family":"Fielding","given":"Adele K.","non-dropping-particle":"","parse-names":false,"suffix":""},{"dropping-particle":"","family":"Burnett","given":"Alan K.","non-dropping-particle":"","parse-names":false,"suffix":""},{"dropping-particle":"","family":"Chopra","given":"Raj","non-dropping-particle":"","parse-names":false,"suffix":""},{"dropping-particle":"","family":"Wiernik","given":"Peter H.","non-dropping-particle":"","parse-names":false,"suffix":""},{"dropping-particle":"","family":"Foroni","given":"Letizia","non-dropping-particle":"","parse-names":false,"suffix":""},{"dropping-particle":"","family":"Paietta","given":"Elisabeth","non-dropping-particle":"","parse-names":false,"suffix":""},{"dropping-particle":"","family":"Litzow","given":"Mark R.","non-dropping-particle":"","parse-names":false,"suffix":""},{"dropping-particle":"","family":"Marks","given":"David I.","non-dropping-particle":"","parse-names":false,"suffix":""},{"dropping-particle":"","family":"Durrant","given":"Jill","non-dropping-particle":"","parse-names":false,"suffix":""},{"dropping-particle":"","family":"McMillan","given":"Andrew","non-dropping-particle":"","parse-names":false,"suffix":""},{"dropping-particle":"","family":"Franklin","given":"Ian M.","non-dropping-particle":"","parse-names":false,"suffix":""},{"dropping-particle":"","family":"Luger","given":"Selina","non-dropping-particle":"","parse-names":false,"suffix":""},{"dropping-particle":"","family":"Ciobanu","given":"Niculae","non-dropping-particle":"","parse-names":false,"suffix":""},{"dropping-particle":"","family":"Rowe","given":"Jacob M.","non-dropping-particle":"","parse-names":false,"suffix":""}],"container-title":"Blood","id":"ITEM-1","issue":"4","issued":{"date-parts":[["2008","2","15"]]},"page":"1827-1833","title":"In adults with standard-risk acute lymphoblastic leukemia, the greatest benefit is achieved from a matched sibling allogeneic transplantation in first complete remission, and an autologous transplantation is less effective than conventional consolidation/maintenance chemotherapy in all patients: Final results of the International ALL Trial (MRC UKALLXII/ECOG E2993)","type":"article-journal","volume":"111"},"uris":["http://www.mendeley.com/documents/?uuid=d9fbdb4e-494f-3bf7-8539-980d7daed010"]},{"id":"ITEM-2","itemData":{"DOI":"10.1182/blood-2011-09-377713","ISSN":"1528-0020","PMID":"22442346","abstract":"Quantification of minimal residual disease (MRD) by real-time PCR directed to TCR and Ig gene rearrangements allows a refined evaluation of response in acute lymphoblastic leukemia (ALL). The German Multicenter Study Group for Adult ALL prospectively evaluated molecular response after induction/consolidation chemotherapy according to standardized methods and terminology in patients with Philadelphia chromosome-negative ALL. The cytologic complete response (CR) rate was 89% after induction phases 1 and 2. At this time point the molecular CR rate was 70% in 580 patients with cytologic CR and evaluable MRD. Patients with molecular CR after consolidation had a significantly higher probability of continuous complete remission (CCR; 74% vs 35%; P &lt; .0001) and of overall survival (80% vs 42%; P = .0001) compared with patients with molecular failure. Patients with molecular failure without stem cell transplantation (SCT) in first CR relapsed after a median time of 7.6 months; CCR and survival at 5 years only reached 12% and 33%, respectively. Quantitative MRD assessment identified patients with molecular failure as a new high-risk group. These patients display resistance to conventional drugs and are candidates for treatment with targeted, experimental drugs and allogeneic SCT. Molecular response was shown to be highly predictive for outcome and therefore constitutes a relevant study end point. The studies are registered at www.clinicaltrials.gov as NCT00199056 and NCT00198991.","author":[{"dropping-particle":"","family":"Gökbuget","given":"Nicola","non-dropping-particle":"","parse-names":false,"suffix":""},{"dropping-particle":"","family":"Kneba","given":"Michael","non-dropping-particle":"","parse-names":false,"suffix":""},{"dropping-particle":"","family":"Raff","given":"Thorsten","non-dropping-particle":"","parse-names":false,"suffix":""},{"dropping-particle":"","family":"Trautmann","given":"Heiko","non-dropping-particle":"","parse-names":false,"suffix":""},{"dropping-particle":"","family":"Bartram","given":"Claus-Rainer","non-dropping-particle":"","parse-names":false,"suffix":""},{"dropping-particle":"","family":"Arnold","given":"Renate","non-dropping-particle":"","parse-names":false,"suffix":""},{"dropping-particle":"","family":"Fietkau","given":"Rainer","non-dropping-particle":"","parse-names":false,"suffix":""},{"dropping-particle":"","family":"Freund","given":"Mathias","non-dropping-particle":"","parse-names":false,"suffix":""},{"dropping-particle":"","family":"Ganser","given":"Arnold","non-dropping-particle":"","parse-names":false,"suffix":""},{"dropping-particle":"","family":"Ludwig","given":"Wolf-Dieter","non-dropping-particle":"","parse-names":false,"suffix":""},{"dropping-particle":"","family":"Maschmeyer","given":"Georg","non-dropping-particle":"","parse-names":false,"suffix":""},{"dropping-particle":"","family":"Rieder","given":"Harald","non-dropping-particle":"","parse-names":false,"suffix":""},{"dropping-particle":"","family":"Schwartz","given":"Stefan","non-dropping-particle":"","parse-names":false,"suffix":""},{"dropping-particle":"","family":"Serve","given":"Hubert","non-dropping-particle":"","parse-names":false,"suffix":""},{"dropping-particle":"","family":"Thiel","given":"Eckhard","non-dropping-particle":"","parse-names":false,"suffix":""},{"dropping-particle":"","family":"Brüggemann","given":"Monika","non-dropping-particle":"","parse-names":false,"suffix":""},{"dropping-particle":"","family":"Hoelzer","given":"Dieter","non-dropping-particle":"","parse-names":false,"suffix":""},{"dropping-particle":"","family":"German Multicenter Study Group for Adult Acute Lymphoblastic Leukemia","given":"","non-dropping-particle":"","parse-names":false,"suffix":""}],"container-title":"Blood","id":"ITEM-2","issue":"9","issued":{"date-parts":[["2012","8","30"]]},"page":"1868-76","title":"Adult patients with acute lymphoblastic leukemia and molecular failure display a poor prognosis and are candidates for stem cell transplantation and targeted therapies.","type":"article-journal","volume":"120"},"uris":["http://www.mendeley.com/documents/?uuid=8085a756-02e2-3c8c-b56c-bec838e6ba45"]}],"mendeley":{"formattedCitation":"[55,62]","plainTextFormattedCitation":"[55,62]","previouslyFormattedCitation":"[55,62]"},"properties":{"noteIndex":0},"schema":"https://github.com/citation-style-language/schema/raw/master/csl-citation.json"}</w:instrText>
      </w:r>
      <w:r w:rsidR="00250B38" w:rsidRPr="009F500F">
        <w:rPr>
          <w:i/>
        </w:rPr>
        <w:fldChar w:fldCharType="separate"/>
      </w:r>
      <w:r w:rsidR="00A66456" w:rsidRPr="009F500F">
        <w:rPr>
          <w:noProof/>
        </w:rPr>
        <w:t>[55,62]</w:t>
      </w:r>
      <w:r w:rsidR="00250B38" w:rsidRPr="009F500F">
        <w:rPr>
          <w:i/>
        </w:rPr>
        <w:fldChar w:fldCharType="end"/>
      </w:r>
      <w:r w:rsidR="00250B38">
        <w:rPr>
          <w:i/>
        </w:rPr>
        <w:t>.</w:t>
      </w:r>
    </w:p>
    <w:p w14:paraId="79F28BE1" w14:textId="73CE948F" w:rsidR="00254823" w:rsidRPr="00715897" w:rsidRDefault="00B3408C" w:rsidP="00254823">
      <w:pPr>
        <w:contextualSpacing/>
        <w:rPr>
          <w:i/>
        </w:rPr>
      </w:pPr>
      <w:r>
        <w:rPr>
          <w:i/>
        </w:rPr>
        <w:t xml:space="preserve">Принципиально необходимо </w:t>
      </w:r>
      <w:r w:rsidR="00715897">
        <w:rPr>
          <w:i/>
        </w:rPr>
        <w:t>выделять три ключевые, требующие разного лечения группы ОЛЛ: 1) В-зрелые ОЛЛ; 2)</w:t>
      </w:r>
      <w:r w:rsidR="00254823" w:rsidRPr="009F7B4C">
        <w:rPr>
          <w:i/>
        </w:rPr>
        <w:t xml:space="preserve"> </w:t>
      </w:r>
      <w:r w:rsidR="00254823" w:rsidRPr="009F7B4C">
        <w:rPr>
          <w:i/>
          <w:lang w:val="en-US"/>
        </w:rPr>
        <w:t>Ph</w:t>
      </w:r>
      <w:r w:rsidR="00715897">
        <w:rPr>
          <w:i/>
        </w:rPr>
        <w:t>-позитивные ОЛЛ; 3)</w:t>
      </w:r>
      <w:r w:rsidR="00254823" w:rsidRPr="009F7B4C">
        <w:rPr>
          <w:i/>
        </w:rPr>
        <w:t xml:space="preserve"> </w:t>
      </w:r>
      <w:r w:rsidR="00254823" w:rsidRPr="009F7B4C">
        <w:rPr>
          <w:i/>
          <w:lang w:val="en-US"/>
        </w:rPr>
        <w:t>Ph</w:t>
      </w:r>
      <w:r w:rsidR="00254823" w:rsidRPr="009F7B4C">
        <w:rPr>
          <w:i/>
        </w:rPr>
        <w:t>-негативные ОЛЛ</w:t>
      </w:r>
      <w:r w:rsidR="00715897">
        <w:rPr>
          <w:i/>
        </w:rPr>
        <w:t xml:space="preserve"> </w:t>
      </w:r>
      <w:r w:rsidR="00250B38" w:rsidRPr="00445F02">
        <w:rPr>
          <w:i/>
        </w:rPr>
        <w:fldChar w:fldCharType="begin" w:fldLock="1"/>
      </w:r>
      <w:r w:rsidR="002466C9">
        <w:rPr>
          <w:i/>
        </w:rPr>
        <w:instrText xml:space="preserve">ADDIN CSL_CITATION {"citationItems":[{"id":"ITEM-1","itemData":{"id":"ITEM-1","issued":{"date-parts":[["2012"]]},"number-of-pages":"1056","title":"Программное лечение заболеваний системы крови: Сборник алгоритмов диагностики и протоколов лечения заболеваний системы крови. Под ред. В.Г. Савченко","type":"book"},"uris":["http://www.mendeley.com/documents/?uuid=36484a90-27ae-40a9-a194-b0461fb47d9d"]},{"id":"ITEM-2","itemData":{"author":[{"dropping-particle":"","family":"Савченко","given":"Валерий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доп.","id":"ITEM-2","issued":{"date-parts":[["2007"]]},"page":"409-502","title":"Острые лейкозы","type":"chapter"},"uris":["http://www.mendeley.com/documents/?uuid=08f85f58-ddaa-48eb-b937-65d15d14b213"]},{"id":"ITEM-3","itemData":{"author":[{"dropping-particle":"","family":"Brown","given":"Patrick A","non-dropping-particle":"","parse-names":false,"suffix":""},{"dropping-particle":"","family":"Shah","given":"Bijal","non-dropping-particle":"","parse-names":false,"suffix":""},{"dropping-particle":"","family":"Advani","given":"Anjali","non-dropping-particle":"","parse-names":false,"suffix":""},{"dropping-particle":"","family":"Aoun","given":"Patricia","non-dropping-particle":"","parse-names":false,"suffix":""},{"dropping-particle":"","family":"Bhatnagar","given":"Bhavana","non-dropping-particle":"","parse-names":false,"suffix":""},{"dropping-particle":"","family":"Boyer","given":"Michael W","non-dropping-particle":"","parse-names":false,"suffix":""},{"dropping-particle":"","family":"Bryan","given":"Teresa","non-dropping-particle":"","parse-names":false,"suffix":""},{"dropping-particle":"","family":"Burke","given":"Patrick W","non-dropping-particle":"","parse-names":false,"suffix":""},{"dropping-particle":"","family":"Cassaday","given":"Ryan D","non-dropping-particle":"","parse-names":false,"suffix":""},{"dropping-particle":"","family":"Coutre","given":"Steven E","non-dropping-particle":"","parse-names":false,"suffix":""},{"dropping-particle":"","family":"Coccia","given":"Peter F","non-dropping-particle":"","parse-names":false,"suffix":""},{"dropping-particle":"","family":"DeAngelo","given":"Daniel J","non-dropping-particle":"","parse-names":false,"suffix":""},{"dropping-particle":"","family":"Fathi","given":"Amir","non-dropping-particle":"","parse-names":false,"suffix":""},{"dropping-particle":"","family":"Jain","given":"Nitin","non-dropping-particle":"","parse-names":false,"suffix":""},{"dropping-particle":"","family":"Kirby","given":"Suzanne","non-dropping-particle":"","parse-names":false,"suffix":""},{"dropping-particle":"","family":"Litzow","given":"Mark","non-dropping-particle":"","parse-names":false,"suffix":""},{"dropping-particle":"","family":"Liu","given":"Arthur","non-dropping-particle":"","parse-names":false,"suffix":""},{"dropping-particle":"","family":"Logan","given":"Aaron","non-dropping-particle":"","parse-names":false,"suffix":""},{"dropping-particle":"","family":"Massaro","given":"Stephanie","non-dropping-particle":"","parse-names":false,"suffix":""},{"dropping-particle":"","family":"Mattison","given":"Ryan J","non-dropping-particle":"","parse-names":false,"suffix":""},{"dropping-particle":"","family":"Oluwole","given":"Olalekan","non-dropping-particle":"","parse-names":false,"suffix":""},{"dropping-particle":"","family":"Papadantonakis","given":"Nikolaos","non-dropping-particle":"","parse-names":false,"suffix":""},{"dropping-particle":"","family":"Park","given":"Jae","non-dropping-particle":"","parse-names":false,"suffix":""},{"dropping-particle":"","family":"Rubnitz","given":"Jeffrey E","non-dropping-particle":"","parse-names":false,"suffix":""},{"dropping-particle":"","family":"Uy","given":"Geoffrey L","non-dropping-particle":"","parse-names":false,"suffix":""},{"dropping-particle":"","family":"Wang","given":"Eunice S","non-dropping-particle":"","parse-names":false,"suffix":""},{"dropping-particle":"","family":"Wieduwilt","given":"Matthew","non-dropping-particle":"","parse-names":false,"suffix":""},{"dropping-particle":"","family":"Gregory","given":"Kristina","non-dropping-particle":"","parse-names":false,"suffix":""}],"id":"ITEM-3","issued":{"date-parts":[["2019"]]},"number-of-pages":"115","title":"NCCN Clinical Practice Guidelines in Oncology. Acute Lymphoblastic Leukemia. Version 2.2019","type":"report"},"uris":["http://www.mendeley.com/documents/?uuid=ef92918b-8a57-37b1-bea5-284dfdf15541"]},{"id":"ITEM-4","itemData":{"author":[{"dropping-particle":"","family":"Gökbuget","given":"N.","non-dropping-particle":"","parse-names":false,"suffix":""},{"dropping-particle":"","family":"Bassan","given":"R.","non-dropping-particle":"","parse-names":false,"suffix":""},{"dropping-particle":"","family":"Dombret","given":"H.","non-dropping-particle":"","parse-names":false,"suffix":""},{"dropping-particle":"","family":"Doubek","given":"M.","non-dropping-particle":"","parse-names":false,"suffix":""},{"dropping-particle":"","family":"Fielding","given":"A.K.","non-dropping-particle":"","parse-names":false,"suffix":""},{"dropping-particle":"","family":"Foà","given":"R.","non-dropping-particle":"","parse-names":false,"suffix":""},{"dropping-particle":"","family":"Giebel","given":"S.","non-dropping-particle":"","parse-names":false,"suffix":""},{"dropping-particle":"","family":"Hoelzer","given":"D.","non-dropping-particle":"","parse-names":false,"suffix":""},{"dropping-particle":"","family":"Martinelli","given":"G.","non-dropping-particle":"","parse-names":false,"suffix":""},{"dropping-particle":"","family":"Meloni","given":"G.","non-dropping-particle":"","parse-names":false,"suffix":""},{"dropping-particle":"","family":"Delia Moicean","given":"A.","non-dropping-particle":"","parse-names":false,"suffix":""},{"dropping-particle":"","family":"Ottmann","given":"O.","non-dropping-particle":"","parse-names":false,"suffix":""},{"dropping-particle":"","family":"Piccaluga","given":"P.P.","non-dropping-particle":"","parse-names":false,"suffix":""},{"dropping-particle":"","family":"Ribera","given":"J.M.","non-dropping-particle":"","parse-names":false,"suffix":""},{"dropping-particle":"","family":"Rousselot","given":"P.","non-dropping-particle":"","parse-names":false,"suffix":""},{"dropping-particle":"","family":"Walewski","given":"J.","non-dropping-particle":"","parse-names":false,"suffix":""}],"container-title":"UNI-MED Verlag AG","id":"ITEM-4","issued":{"date-parts":[["2011"]]},"number-of-pages":"204","title":"Recommendations of the European Working Group for Adult ALL (EWALL)","type":"book"},"uris":["http://www.mendeley.com/documents/?uuid=aba58166-cd2b-4f70-bb6a-5fdd9e1b42de"]},{"id":"ITEM-5","itemData":{"DOI":"10.1002/cncr.21776","ISSN":"0008543X","abstract":"BACKGROUND. Adult Burkitt-type lymphoma (BL) and acute lymphoblastic leukemia (B-ALL) are rare entities composing 1% to 5% of non-Hodgkin lymphomas NHL) or ALL. Prognosis of BL and B-ALL has been poor with conventional NHL or ALL regimens, but has improved with dose-intensive regimens. METHODS. To evaluate the addition of rituximab, a CD20 monoclonal antibody, to intensive chemotherapy in adults with BL or B-ALL, 31 patients with newly diagnosed BL or B-ALL received the hyper-fractionated cyclophosphamide, vincristine, doxorubicin, and dexamethasone (hyper-CVAD) regimen with rituximab. Their median age was 46 years; 29% were 60 years or older. Rituximab 375 mg/m2 was given on Days 1 and 11 of hyper-CVAD courses and on Days 1 and 8 of methotrexate and cytarabine courses. RESULTS. Complete remission (complete response [CR]) was achieved in 24 of 28 (86%) evaluable patients; 3 had a partial response, and 1 had resistant disease. There were no induction deaths. The 3-year overall survival (OS), event-free survival, and disease-free survival rates were 89%, 80%, and 88%, respectively. Nine elderly patients achieved CR with all of them in continuous CR (except 1 death in CR from infection), with a 3-year OS rate of 89%. Multivariate analysis of current and historical (those treated with hyper-CVAD alone) groups identified age and treatment with rituximab as favorable factors. CONCLUSIONS. The addition of rituximab to hyper-CVAD may improve outcome in adult BL or B-ALL, particularly in elderly patients. © 2006 American Cancer Society.","author":[{"dropping-particle":"","family":"Thomas","given":"Deborah A.","non-dropping-particle":"","parse-names":false,"suffix":""},{"dropping-particle":"","family":"Faderl","given":"Stefan","non-dropping-particle":"","parse-names":false,"suffix":""},{"dropping-particle":"","family":"O'Brien","given":"Susan","non-dropping-particle":"","parse-names":false,"suffix":""},{"dropping-particle":"","family":"Bueso-Ramos","given":"Carlos","non-dropping-particle":"","parse-names":false,"suffix":""},{"dropping-particle":"","family":"Cortes","given":"Jorge","non-dropping-particle":"","parse-names":false,"suffix":""},{"dropping-particle":"","family":"Garcia-Manero","given":"Guillermo","non-dropping-particle":"","parse-names":false,"suffix":""},{"dropping-particle":"","family":"Giles","given":"Francis J.","non-dropping-particle":"","parse-names":false,"suffix":""},{"dropping-particle":"","family":"Verstovsek","given":"Srdan","non-dropping-particle":"","parse-names":false,"suffix":""},{"dropping-particle":"","family":"Wierda","given":"William G.","non-dropping-particle":"","parse-names":false,"suffix":""},{"dropping-particle":"","family":"Pierce","given":"Sherry A.","non-dropping-particle":"","parse-names":false,"suffix":""},{"dropping-particle":"","family":"Shan","given":"Jianqin","non-dropping-particle":"","parse-names":false,"suffix":""},{"dropping-particle":"","family":"Brandt","given":"Mark","non-dropping-particle":"","parse-names":false,"suffix":""},{"dropping-particle":"","family":"Hagemeister","given":"Fredrick B.","non-dropping-particle":"","parse-names":false,"suffix":""},{"dropping-particle":"","family":"Keating","given":"Michael J.","non-dropping-particle":"","parse-names":false,"suffix":""},{"dropping-particle":"","family":"Cabanillas","given":"Fernando","non-dropping-particle":"","parse-names":false,"suffix":""},{"dropping-particle":"","family":"Kantarjian","given":"Hagop","non-dropping-particle":"","parse-names":false,"suffix":""}],"container-title":"Cancer","id":"ITEM-5","issue":"7","issued":{"date-parts":[["2006","4","1"]]},"page":"1569-1580","title":"Chemoimmunotherapy with hyper-CVAD plus rituximab for the treatment of adult Burkitt and Burkitt-type lymphoma or acute lymphoblastic leukemia","type":"article-journal","volume":"106"},"uris":["http://www.mendeley.com/documents/?uuid=c756ddd9-37f2-3b3f-bf5c-53ab47a2abef"]},{"id":"ITEM-6","itemData":{"DOI":"10.1002/ajh.24926","ISSN":"1096-8652","PMID":"28971501","abstract":"Philadelphia chromosome-positive (Ph-positive) acute lymphoblastic leukemia (ALL) is a biologically, clinically, and genetically distinct subtype of precursor-B ALL. The Ph chromosome, results from a reciprocal translocation of the ABL1 kinase gene on chromosome 9 to the breakpoint cluster region (BCR) gene on chromosome 22. Depending on the translocation breakpoint, typically a p210 BCR-ABL1 or a p190 BCR-ABL onc protein are generated; both are constitutively active tyrosine kinases that play a central role to alter signaling pathways of cell proliferation, survival, and self-renewal, leading to leukemogenesis. In Ph-positive ALL, the p190-BCR-ABL (minor [m]-bcr) subtype is more frequent than the p210-BCR-ABL (major [M]-bcr) subtype, commonly found in chronic myeloid leukemia. The Philadelphia chromosome is the most frequent recurrent cytogenetic abnormality in elderly patients with ALL. Its incidence increases with age, reaching </w:instrText>
      </w:r>
      <w:r w:rsidR="002466C9">
        <w:rPr>
          <w:rFonts w:ascii="Cambria Math" w:hAnsi="Cambria Math" w:cs="Cambria Math"/>
          <w:i/>
        </w:rPr>
        <w:instrText>∼</w:instrText>
      </w:r>
      <w:r w:rsidR="002466C9">
        <w:rPr>
          <w:i/>
        </w:rPr>
        <w:instrText>50% in patients with ALL aged 60 years and over. Patients traditionally had a very poor outcome with chemotherapy, particularly if they do not undergo allogeneic hematopoietic cell transplantation (allo-HCT) in first complete remission (CR1). With the availability of multiple tyrosine kinase inhibitors (TKI), the therapeutic armamentarium is expanding quickly. However, there is no consensus on how to best treat Ph-positive ALL. With modern therapy, improved outcomes have led to the emergence of a number of controversies, including the need for intensive chemotherapy, the ideal TKI, and whether all eligible patients should receive an allo-HSCT, and if so, what type. Here, we discuss these controversies in light of the available literature.","author":[{"dropping-particle":"","family":"Fakih","given":"Riad","non-dropping-particle":"El","parse-names":false,"suffix":""},{"dropping-particle":"","family":"Jabbour","given":"Elias","non-dropping-particle":"","parse-names":false,"suffix":""},{"dropping-particle":"","family":"Ravandi","given":"Farhad","non-dropping-particle":"","parse-names":false,"suffix":""},{"dropping-particle":"","family":"Hassanein","given":"Mona","non-dropping-particle":"","parse-names":false,"suffix":""},{"dropping-particle":"","family":"Anjum","given":"Farhan","non-dropping-particle":"","parse-names":false,"suffix":""},{"dropping-particle":"","family":"Ahmed","given":"Syed","non-dropping-particle":"","parse-names":false,"suffix":""},{"dropping-particle":"","family":"Kantarjian","given":"Hagop","non-dropping-particle":"","parse-names":false,"suffix":""}],"container-title":"American journal of hematology","id":"ITEM-6","issue":"2","issued":{"date-parts":[["2018","2"]]},"page":"286-295","title":"Current paradigms in the management of Philadelphia chromosome positive acute lymphoblastic leukemia in adults.","type":"article-journal","volume":"93"},"uris":["http://www.mendeley.com/documents/?uuid=a659863f-b726-3b17-95e8-c59bf5045469"]},{"id":"ITEM-7","itemData":{"DOI":"10.1182/blood-2007-10-116582","ISSN":"00064971","abstract":"An international collaboration was set up to prospectively evaluate the role of allogeneic transplantation for adults with acute lymphoblastic leukemia (ALL) and compare autologous transplantation with standard chemotherapy. Patients received 2 phases of induction and, if in remission, were assigned to allogeneic transplantation if they had a compatible sibling donor. Other patients were randomized to chemotherapy for 2.5 years versus an autologous transplantation. A donor versus no-donor analysis showed that Philadelphia chromosome-negative patients with a donor had a 5-year improved overall survival (OS), 53% versus 45% (P = .01), and the relapse rate was significantly lower (P &lt; or = .001). The survival difference was significant in standard-risk patients, but not in high-risk patients with a high nonrelapse mortality rate in the high-risk donor group. Patients randomized to chemotherapy had a higher 5-year OS (46%) than those randomized to autologous transplantation (37%; P = .03). Matched related allogeneic transplantations for ALL in first complete remission provide the most potent antileukemic therapy and considerable survival benefit for standard-risk patients. However, the transplantation-related mortality for high-risk older patients was unacceptably high and abrogated the reduction in relapse risk. There is no evidence that a single autologous transplantation can replace consolidation/maintenance in any risk group. This study is registered at http://clinicaltrials.gov as NCT00002514.","author":[{"dropping-particle":"","family":"Goldstone","given":"Anthony H.","non-dropping-particle":"","parse-names":false,"suffix":""},{"dropping-particle":"","family":"Richards","given":"Susan M.","non-dropping-particle":"","parse-names":false,"suffix":""},{"dropping-particle":"","family":"Lazarus","given":"Hillard M.","non-dropping-particle":"","parse-names":false,"suffix":""},{"dropping-particle":"","family":"Tallman","given":"Martin S.","non-dropping-particle":"","parse-names":false,"suffix":""},{"dropping-particle":"","family":"Buck","given":"Georgina","non-dropping-particle":"","parse-names":false,"suffix":""},{"dropping-particle":"","family":"Fielding","given":"Adele K.","non-dropping-particle":"","parse-names":false,"suffix":""},{"dropping-particle":"","family":"Burnett","given":"Alan K.","non-dropping-particle":"","parse-names":false,"suffix":""},{"dropping-particle":"","family":"Chopra","given":"Raj","non-dropping-particle":"","parse-names":false,"suffix":""},{"dropping-particle":"","family":"Wiernik","given":"Peter H.","non-dropping-particle":"","parse-names":false,"suffix":""},{"dropping-particle":"","family":"Foroni","given":"Letizia","non-dropping-particle":"","parse-names":false,"suffix":""},{"dropping-particle":"","family":"Paietta","given":"Elisabeth","non-dropping-particle":"","parse-names":false,"suffix":""},{"dropping-particle":"","family":"Litzow","given":"Mark R.","non-dropping-particle":"","parse-names":false,"suffix":""},{"dropping-particle":"","family":"Marks","given":"David I.","non-dropping-particle":"","parse-names":false,"suffix":""},{"dropping-particle":"","family":"Durrant","given":"Jill","non-dropping-particle":"","parse-names":false,"suffix":""},{"dropping-particle":"","family":"McMillan","given":"Andrew","non-dropping-particle":"","parse-names":false,"suffix":""},{"dropping-particle":"","family":"Franklin","given":"Ian M.","non-dropping-particle":"","parse-names":false,"suffix":""},{"dropping-particle":"","family":"Luger","given":"Selina","non-dropping-particle":"","parse-names":false,"suffix":""},{"dropping-particle":"","family":"Ciobanu","given":"Niculae","non-dropping-particle":"","parse-names":false,"suffix":""},{"dropping-particle":"","family":"Rowe","given":"Jacob M.","non-dropping-particle":"","parse-names":false,"suffix":""}],"container-title":"Blood","id":"ITEM-7","issue":"4","issued":{"date-parts":[["2008","2","15"]]},"page":"1827-1833","title":"In adults with standard-risk acute lymphoblastic leukemia, the greatest benefit is achieved from a matched sibling allogeneic transplantation in first complete remission, and an autologous transplantation is less effective than conventional consolidation/maintenance chemotherapy in all patients: Final results of the International ALL Trial (MRC UKALLXII/ECOG E2993)","type":"article-journal","volume":"111"},"uris":["http://www.mendeley.com/documents/?uuid=d9fbdb4e-494f-3bf7-8539-980d7daed010"]},{"id":"ITEM-8","itemData":{"DOI":"10.1182/blood-2011-09-377713","ISSN":"1528-0020","PMID":"22442346","abstract":"Quantification of minimal residual disease (MRD) by real-time PCR directed to TCR and Ig gene rearrangements allows a refined evaluation of response in acute lymphoblastic leukemia (ALL). The German Multicenter Study Group for Adult ALL prospectively evaluated molecular response after induction/consolidation chemotherapy according to standardized methods and terminology in patients with Philadelphia chromosome-negative ALL. The cytologic complete response (CR) rate was 89% after induction phases 1 and 2. At this time point the molecular CR rate was 70% in 580 patients with cytologic CR and evaluable MRD. Patients with molecular CR after consolidation had a significantly higher probability of continuous complete remission (CCR; 74% vs 35%; P &lt; .0001) and of overall survival (80% vs 42%; P = .0001) compared with patients with molecular failure. Patients with molecular failure without stem cell transplantation (SCT) in first CR relapsed after a median time of 7.6 months; CCR and survival at 5 years only reached 12% and 33%, respectively. Quantitative MRD assessment identified patients with molecular failure as a new high-risk group. These patients display resistance to conventional drugs and are candidates for treatment with targeted, experimental drugs and allogeneic SCT. Molecular response was shown to be highly predictive for outcome and therefore constitutes a relevant study end point. The studies are registered at www.clinicaltrials.gov as NCT00199056 and NCT00198991.","author":[{"dropping-particle":"","family":"Gökbuget","given":"Nicola","non-dropping-particle":"","parse-names":false,"suffix":""},{"dropping-particle":"","family":"Kneba","given":"Michael","non-dropping-particle":"","parse-names":false,"suffix":""},{"dropping-particle":"","family":"Raff","given":"Thorsten","non-dropping-particle":"","parse-names":false,"suffix":""},{"dropping-particle":"","family":"Trautmann","given":"Heiko","non-dropping-particle":"","parse-names":false,"suffix":""},{"dropping-particle":"","family":"Bartram","given":"Claus-Rainer","non-dropping-particle":"","parse-names":false,"suffix":""},{"dropping-particle":"","family":"Arnold","given":"Renate","non-dropping-particle":"","parse-names":false,"suffix":""},{"dropping-particle":"","family":"Fietkau","given":"Rainer","non-dropping-particle":"","parse-names":false,"suffix":""},{"dropping-particle":"","family":"Freund","given":"Mathias","non-dropping-particle":"","parse-names":false,"suffix":""},{"dropping-particle":"","family":"Ganser","given":"Arnold","non-dropping-particle":"","parse-names":false,"suffix":""},{"dropping-particle":"","family":"Ludwig","given":"Wolf-Dieter","non-dropping-particle":"","parse-names":false,"suffix":""},{"dropping-particle":"","family":"Maschmeyer","given":"Georg","non-dropping-particle":"","parse-names":false,"suffix":""},{"dropping-particle":"","family":"Rieder","given":"Harald","non-dropping-particle":"","parse-names":false,"suffix":""},{"dropping-particle":"","family":"Schwartz","given":"Stefan","non-dropping-particle":"","parse-names":false,"suffix":""},{"dropping-particle":"","family":"Serve","given":"Hubert","non-dropping-particle":"","parse-names":false,"suffix":""},{"dropping-particle":"","family":"Thiel","given":"Eckhard","non-dropping-particle":"","parse-names":false,"suffix":""},{"dropping-particle":"","family":"Brüggemann","given":"Monika","non-dropping-particle":"","parse-names":false,"suffix":""},{"dropping-particle":"","family":"Hoelzer","given":"Dieter","non-dropping-particle":"","parse-names":false,"suffix":""},{"dropping-particle":"","family":"German Multicenter Study Group for Adult Acute Lymphoblastic Leukemia","given":"","non-dropping-particle":"","parse-names":false,"suffix":""}],"container-title":"Blood","id":"ITEM-8","issue":"9","issued":{"date-parts":[["2012","8","30"]]},"page":"1868-76","title":"Adult patients with acute lymphoblastic leukemia and molecular failure display a poor prognosis and are candidates for stem cell transplantation and targeted therapies.","type":"article-journal","volume":"120"},"uris":["http://www.mendeley.com/documents/?uuid=8085a756-02e2-3c8c-b56c-bec838e6ba45"]}],"mendeley":{"formattedCitation":"[1,2,4,5,52,55,61,62]","plainTextFormattedCitation":"[1,2,4,5,52,55,61,62]","previouslyFormattedCitation":"[1,2,4,5,52,55,61,62]"},"properties":{"noteIndex":0},"schema":"https://github.com/citation-style-language/schema/raw/master/csl-citation.json"}</w:instrText>
      </w:r>
      <w:r w:rsidR="00250B38" w:rsidRPr="00445F02">
        <w:rPr>
          <w:i/>
        </w:rPr>
        <w:fldChar w:fldCharType="separate"/>
      </w:r>
      <w:r w:rsidR="00A66456" w:rsidRPr="00A66456">
        <w:rPr>
          <w:noProof/>
        </w:rPr>
        <w:t>[1,2,4,5,52,55,61,62]</w:t>
      </w:r>
      <w:r w:rsidR="00250B38" w:rsidRPr="00445F02">
        <w:rPr>
          <w:i/>
        </w:rPr>
        <w:fldChar w:fldCharType="end"/>
      </w:r>
      <w:r w:rsidR="00715897" w:rsidRPr="009714E0">
        <w:rPr>
          <w:i/>
        </w:rPr>
        <w:t>.</w:t>
      </w:r>
    </w:p>
    <w:p w14:paraId="68ED37B1" w14:textId="2BD08FD0" w:rsidR="00254823" w:rsidRDefault="00254823" w:rsidP="00FF4C81">
      <w:pPr>
        <w:numPr>
          <w:ilvl w:val="0"/>
          <w:numId w:val="19"/>
        </w:numPr>
        <w:contextualSpacing/>
      </w:pPr>
      <w:r w:rsidRPr="000667C9">
        <w:rPr>
          <w:b/>
        </w:rPr>
        <w:t>Рекомендуется</w:t>
      </w:r>
      <w:r>
        <w:rPr>
          <w:i/>
        </w:rPr>
        <w:t xml:space="preserve"> </w:t>
      </w:r>
      <w:r w:rsidRPr="00DE0246">
        <w:t>для иммунологически В-зрелого варианта ОЛЛ (Беркитт-лейкоза/лимфомы) использовать интенсивное импульсное (блоковое) воздействие</w:t>
      </w:r>
      <w:r>
        <w:t xml:space="preserve"> химиопрепаратами (по программе ЛБ-М-04 и т.</w:t>
      </w:r>
      <w:r w:rsidR="00715897">
        <w:t xml:space="preserve"> </w:t>
      </w:r>
      <w:r w:rsidR="00B81405">
        <w:t>д.</w:t>
      </w:r>
      <w:r w:rsidR="005A172A">
        <w:t xml:space="preserve"> см. п</w:t>
      </w:r>
      <w:r>
        <w:t xml:space="preserve">риложение </w:t>
      </w:r>
      <w:r w:rsidR="00533FE8">
        <w:t>А3.1</w:t>
      </w:r>
      <w:r>
        <w:t>)</w:t>
      </w:r>
      <w:r w:rsidRPr="00DE0246">
        <w:t xml:space="preserve"> в сочетании с анти-</w:t>
      </w:r>
      <w:r w:rsidRPr="00DE0246">
        <w:rPr>
          <w:lang w:val="en-US"/>
        </w:rPr>
        <w:t>CD</w:t>
      </w:r>
      <w:r w:rsidRPr="00DE0246">
        <w:t>20-моноклональными антителами (</w:t>
      </w:r>
      <w:r w:rsidR="00533FE8" w:rsidRPr="00DE0246">
        <w:t>ритуксимабом</w:t>
      </w:r>
      <w:r w:rsidRPr="00DE0246">
        <w:t>**)</w:t>
      </w:r>
      <w:r w:rsidR="00715897">
        <w:t xml:space="preserve"> </w:t>
      </w:r>
      <w:r w:rsidR="00250B38">
        <w:fldChar w:fldCharType="begin" w:fldLock="1"/>
      </w:r>
      <w:r w:rsidR="002466C9">
        <w:instrText>ADDIN CSL_CITATION {"citationItems":[{"id":"ITEM-1","itemData":{"author":[{"dropping-particle":"","family":"Барях","given":"Е.А.","non-dropping-particle":"","parse-names":false,"suffix":""},{"dropping-particle":"","family":"Кравченко","given":"С.К.","non-dropping-particle":"","parse-names":false,"suffix":""},{"dropping-particle":"","family":"Кременецкая","given":"А.М.","non-dropping-particle":"","parse-names":false,"suffix":""},{"dropping-particle":"","family":"Звонков","given":"Е.Е.","non-dropping-particle":"","parse-names":false,"suffix":""},{"dropping-particle":"","family":"Магомедова","given":"А.У.","non-dropping-particle":"","parse-names":false,"suffix":""},{"dropping-particle":"","family":"Обухова","given":"Т.Н.","non-dropping-particle":"","parse-names":false,"suffix":""},{"dropping-particle":"","family":"Попова","given":"Ю.Ю.","non-dropping-particle":"","parse-names":false,"suffix":""},{"dropping-particle":"","family":"Финк","given":"О.С.","non-dropping-particle":"","parse-names":false,"suffix":""},{"dropping-particle":"","family":"Клясова","given":"Г.А.","non-dropping-particle":"","parse-names":false,"suffix":""},{"dropping-particle":"","family":"Шулутко","given":"Е.М.","non-dropping-particle":"","parse-names":false,"suffix":""},{"dropping-particle":"","family":"Галстян","given":"Г.М.","non-dropping-particle":"","parse-names":false,"suffix":""},{"dropping-particle":"","family":"Капланская","given":"И.Б.","non-dropping-particle":"","parse-names":false,"suffix":""},{"dropping-particle":"","family":"Воробьев","given":"И.А.","non-dropping-particle":"","parse-names":false,"suffix":""},{"dropping-particle":"","family":"Воробьев","given":"А.И.","non-dropping-particle":"","parse-names":false,"suffix":""}],"container-title":"Клиническая онкогематология. Фундаментальные исследования и клиническая практика","id":"ITEM-1","issue":"2","issued":{"date-parts":[["2010"]]},"page":"138-143","title":"Лейкоз/лимфома Беркитта: клинические особенности, диагностические критерии, терапевтическая тактика","type":"article-journal","volume":"3"},"uris":["http://www.mendeley.com/documents/?uuid=ca97d2c7-6100-4926-b460-c64743fdc29b"]}],"mendeley":{"formattedCitation":"[63]","plainTextFormattedCitation":"[63]","previouslyFormattedCitation":"[63]"},"properties":{"noteIndex":0},"schema":"https://github.com/citation-style-language/schema/raw/master/csl-citation.json"}</w:instrText>
      </w:r>
      <w:r w:rsidR="00250B38">
        <w:fldChar w:fldCharType="separate"/>
      </w:r>
      <w:r w:rsidR="00A66456" w:rsidRPr="00A66456">
        <w:rPr>
          <w:noProof/>
        </w:rPr>
        <w:t>[63]</w:t>
      </w:r>
      <w:r w:rsidR="00250B38">
        <w:fldChar w:fldCharType="end"/>
      </w:r>
      <w:r w:rsidR="00250B38" w:rsidRPr="00DE0246">
        <w:t>.</w:t>
      </w:r>
    </w:p>
    <w:p w14:paraId="6F7E62EE" w14:textId="2B100BE8" w:rsidR="00254823" w:rsidRPr="00617969" w:rsidRDefault="00254823" w:rsidP="00B3408C">
      <w:pPr>
        <w:ind w:firstLine="709"/>
        <w:contextualSpacing/>
        <w:rPr>
          <w:b/>
        </w:rPr>
      </w:pPr>
      <w:r w:rsidRPr="00995A7F">
        <w:rPr>
          <w:b/>
        </w:rPr>
        <w:t>Уровень убедительности рекомендаций</w:t>
      </w:r>
      <w:r w:rsidRPr="00995A7F" w:rsidDel="00670C55">
        <w:rPr>
          <w:b/>
        </w:rPr>
        <w:t xml:space="preserve"> </w:t>
      </w:r>
      <w:r w:rsidR="00715897" w:rsidRPr="00995A7F">
        <w:rPr>
          <w:b/>
        </w:rPr>
        <w:t xml:space="preserve">– </w:t>
      </w:r>
      <w:r w:rsidR="00CE1820">
        <w:rPr>
          <w:b/>
        </w:rPr>
        <w:t xml:space="preserve">С </w:t>
      </w:r>
      <w:r w:rsidRPr="00995A7F">
        <w:rPr>
          <w:b/>
        </w:rPr>
        <w:t xml:space="preserve">(уровень </w:t>
      </w:r>
      <w:r w:rsidRPr="00995A7F">
        <w:rPr>
          <w:b/>
          <w:spacing w:val="-1"/>
        </w:rPr>
        <w:t xml:space="preserve">достоверности доказательств </w:t>
      </w:r>
      <w:r w:rsidRPr="00995A7F">
        <w:rPr>
          <w:b/>
        </w:rPr>
        <w:t xml:space="preserve">– </w:t>
      </w:r>
      <w:r w:rsidR="00CE1820">
        <w:rPr>
          <w:b/>
        </w:rPr>
        <w:t>5</w:t>
      </w:r>
      <w:r w:rsidR="00B3408C" w:rsidRPr="00995A7F">
        <w:rPr>
          <w:b/>
        </w:rPr>
        <w:t>)</w:t>
      </w:r>
      <w:r w:rsidR="00715897" w:rsidRPr="00995A7F">
        <w:rPr>
          <w:b/>
        </w:rPr>
        <w:t>.</w:t>
      </w:r>
    </w:p>
    <w:p w14:paraId="5EA6384C" w14:textId="77777777" w:rsidR="00254823" w:rsidRPr="000667C9" w:rsidRDefault="00254823" w:rsidP="00B3408C">
      <w:pPr>
        <w:ind w:firstLine="709"/>
        <w:contextualSpacing/>
        <w:rPr>
          <w:i/>
        </w:rPr>
      </w:pPr>
      <w:r>
        <w:rPr>
          <w:b/>
        </w:rPr>
        <w:t>Комментарии:</w:t>
      </w:r>
      <w:r w:rsidRPr="00DE0246">
        <w:t xml:space="preserve"> </w:t>
      </w:r>
      <w:r w:rsidR="00533FE8" w:rsidRPr="000667C9">
        <w:rPr>
          <w:i/>
        </w:rPr>
        <w:t xml:space="preserve">обычно </w:t>
      </w:r>
      <w:r w:rsidRPr="000667C9">
        <w:rPr>
          <w:i/>
        </w:rPr>
        <w:t>после в</w:t>
      </w:r>
      <w:r w:rsidR="00715897">
        <w:rPr>
          <w:i/>
        </w:rPr>
        <w:t>ыполнения 4–</w:t>
      </w:r>
      <w:r>
        <w:rPr>
          <w:i/>
        </w:rPr>
        <w:t>6 блоков пациенты</w:t>
      </w:r>
      <w:r w:rsidRPr="000667C9">
        <w:rPr>
          <w:i/>
        </w:rPr>
        <w:t xml:space="preserve"> снимаются с терапии, им не проводится поддерживающее лечение, они не нуждаются в выполнении</w:t>
      </w:r>
      <w:r w:rsidR="00257CE3">
        <w:rPr>
          <w:i/>
        </w:rPr>
        <w:t xml:space="preserve"> ауто- или алло</w:t>
      </w:r>
      <w:r w:rsidR="00F33796">
        <w:rPr>
          <w:i/>
        </w:rPr>
        <w:t>-ТГСК</w:t>
      </w:r>
      <w:r w:rsidRPr="000667C9">
        <w:rPr>
          <w:i/>
        </w:rPr>
        <w:t>.</w:t>
      </w:r>
    </w:p>
    <w:p w14:paraId="29CAB4EC" w14:textId="5FDED4D8" w:rsidR="00254823" w:rsidRDefault="00254823" w:rsidP="00FF4C81">
      <w:pPr>
        <w:numPr>
          <w:ilvl w:val="0"/>
          <w:numId w:val="19"/>
        </w:numPr>
        <w:contextualSpacing/>
        <w:rPr>
          <w:bCs/>
          <w:i/>
        </w:rPr>
      </w:pPr>
      <w:r w:rsidRPr="000667C9">
        <w:rPr>
          <w:b/>
        </w:rPr>
        <w:t>Рекомендуется</w:t>
      </w:r>
      <w:r>
        <w:rPr>
          <w:i/>
        </w:rPr>
        <w:t xml:space="preserve"> </w:t>
      </w:r>
      <w:r w:rsidRPr="00DE0246">
        <w:t xml:space="preserve">при </w:t>
      </w:r>
      <w:r w:rsidRPr="00DE0246">
        <w:rPr>
          <w:lang w:val="en-US"/>
        </w:rPr>
        <w:t>Ph</w:t>
      </w:r>
      <w:r w:rsidRPr="00DE0246">
        <w:t xml:space="preserve">-позитивных ОЛЛ использование ИТК, начиная с </w:t>
      </w:r>
      <w:r>
        <w:t>и</w:t>
      </w:r>
      <w:r w:rsidRPr="00DE0246">
        <w:t>матиниба</w:t>
      </w:r>
      <w:r w:rsidRPr="00DE0B18">
        <w:t>**</w:t>
      </w:r>
      <w:r w:rsidR="002143C4">
        <w:t xml:space="preserve"> в 1-й</w:t>
      </w:r>
      <w:r w:rsidRPr="00DE0246">
        <w:t xml:space="preserve"> линии</w:t>
      </w:r>
      <w:r w:rsidR="00B0062D">
        <w:t>,</w:t>
      </w:r>
      <w:r w:rsidRPr="00DE0246">
        <w:t xml:space="preserve"> </w:t>
      </w:r>
      <w:r w:rsidRPr="00DE0246">
        <w:rPr>
          <w:lang w:val="en-US"/>
        </w:rPr>
        <w:t>c</w:t>
      </w:r>
      <w:r w:rsidRPr="00DE0246">
        <w:t xml:space="preserve"> дальнейше</w:t>
      </w:r>
      <w:r w:rsidR="00B0062D">
        <w:t>й</w:t>
      </w:r>
      <w:r w:rsidRPr="00DE0246">
        <w:t xml:space="preserve"> модифи</w:t>
      </w:r>
      <w:r w:rsidR="001B4D72" w:rsidRPr="001B4D72">
        <w:rPr>
          <w:color w:val="FF0000"/>
        </w:rPr>
        <w:t>ка</w:t>
      </w:r>
      <w:r w:rsidRPr="00DE0246">
        <w:t>цией та</w:t>
      </w:r>
      <w:r>
        <w:t>р</w:t>
      </w:r>
      <w:r w:rsidRPr="00DE0246">
        <w:t>гетного воздействия на основании мониторинга минимальной остаточно</w:t>
      </w:r>
      <w:r w:rsidRPr="00975419">
        <w:t xml:space="preserve">й популяции опухолевых клеток и наличия мутаций киназного домена </w:t>
      </w:r>
      <w:r w:rsidRPr="00975419">
        <w:rPr>
          <w:bCs/>
        </w:rPr>
        <w:t>BCR-ABL</w:t>
      </w:r>
      <w:r w:rsidR="00403088" w:rsidRPr="00403088">
        <w:rPr>
          <w:bCs/>
        </w:rPr>
        <w:t xml:space="preserve"> </w:t>
      </w:r>
      <w:r w:rsidR="00403088">
        <w:rPr>
          <w:bCs/>
        </w:rPr>
        <w:fldChar w:fldCharType="begin" w:fldLock="1"/>
      </w:r>
      <w:r w:rsidR="002466C9">
        <w:rPr>
          <w:bCs/>
        </w:rPr>
        <w:instrText>ADDIN CSL_CITATION {"citationItems":[{"id":"ITEM-1","itemData":{"DOI":"10.1007/s00277-016-2617-y","ISSN":"14320584","abstract":"Two tyrosine kinase inhibitors (TKIs), imatinib and dasatinib, are registered for the treatment of Philadelphia chromosome-positive (Ph+) acute lymphoblastic leukaemia (ALL) in adults. Other two TKIs (nilotinib and ponatinib) have been tested in the second-line, can offer an alternative in the patients who fail the first-line, and can acquire a role also in the first-line. Here, we provide a summary of the reports of TKIs, used alone, and in combination with chemotherapy. TKIs are very effective alone and with corticosteroids and are likely to improve substantially the outcome when they are combined with standard or dose-adapted chemotherapy. While the complete haematologic remission rate is always very high, close to 100 %, the cytogenetic and molecular remission rates are lower, so that TKIs are still considered as a complement to chemotherapy and as a bridge to allogeneic stem cell transplantation (allo-SCT). However, many patients relapse before transplant, and many patients still relapse, even if they have been submitted to allo-SCT. A proper use of TKIs, the introduction of ponatinib, and of “new generation” TKIs should improve further on the outcome of Ph+ ALL.","author":[{"dropping-particle":"","family":"Malagola","given":"Michele","non-dropping-particle":"","parse-names":false,"suffix":""},{"dropping-particle":"","family":"Papayannidis","given":"Cristina","non-dropping-particle":"","parse-names":false,"suffix":""},{"dropping-particle":"","family":"Baccarani","given":"Michele","non-dropping-particle":"","parse-names":false,"suffix":""}],"container-title":"Annals of Hematology","id":"ITEM-1","issue":"5","issued":{"date-parts":[["2016","4","1"]]},"page":"681-693","publisher":"Springer Verlag","title":"Tyrosine kinase inhibitors in Ph+ acute lymphoblastic leukaemia: facts and perspectives","type":"article","volume":"95"},"uris":["http://www.mendeley.com/documents/?uuid=64758edb-11f1-3767-ab74-862fff40147f"]},{"id":"ITEM-2","itemData":{"DOI":"10.1038/leu.2012.352","ISSN":"08876924","abstract":"Minimal residual disease (MRD) after allogeneic stem cell transplantation (SCT) for Ph+ acute lymphoblastic leukemia (ALL) is predictive of relapse. Imatinib administration subsequent to SCT may prevent relapse, but the role of scheduling and its impact on outcome are not known. In a prospective, randomized multicenter trial, we compared the tolerability and efficacy of post-transplant imatinib administered either prophylactically (arm A; n=26) or following detection of MRD (arm B; n=29). Prophylactic imatinib significantly reduced the incidence of molecular recurrence after SCT compared with MRD-triggered imatinib (40% vs 69%; P=0.046). Median duration of PCR negativity was 26.5 and 6.8 months, respectively (P=0.065). Five-year survival in both interventional groups was high (80 and 74.5%), despite premature discontinuation of imatinib in the majority of patients because of poor tolerability. Relapse probability was significantly higher in patients who became MRD positive (P=0.017). In conclusion, post-transplant imatinib results in a low relapse rate, durable remissions and excellent long-term outcome in patients with BCR-ABL1-positive ALL irrespective of whether it is given prophylactically or MRD-triggered. Reappearance of BCR-ABL1 transcripts early after SCT or at higher levels identifies a small subset of patients who do not benefit sufficiently from imatinib, and in whom alternative approaches should be explored. © 2013 Macmillan Publishers Limited.","author":[{"dropping-particle":"","family":"Pfeifer","given":"H.","non-dropping-particle":"","parse-names":false,"suffix":""},{"dropping-particle":"","family":"Wassmann","given":"B.","non-dropping-particle":"","parse-names":false,"suffix":""},{"dropping-particle":"","family":"Bethge","given":"W.","non-dropping-particle":"","parse-names":false,"suffix":""},{"dropping-particle":"","family":"Dengler","given":"J.","non-dropping-particle":"","parse-names":false,"suffix":""},{"dropping-particle":"","family":"Bornhäuser","given":"M.","non-dropping-particle":"","parse-names":false,"suffix":""},{"dropping-particle":"","family":"Stadler","given":"M.","non-dropping-particle":"","parse-names":false,"suffix":""},{"dropping-particle":"","family":"Beelen","given":"D.","non-dropping-particle":"","parse-names":false,"suffix":""},{"dropping-particle":"","family":"Vucinic","given":"V.","non-dropping-particle":"","parse-names":false,"suffix":""},{"dropping-particle":"","family":"Burmeister","given":"T.","non-dropping-particle":"","parse-names":false,"suffix":""},{"dropping-particle":"","family":"Stelljes","given":"M.","non-dropping-particle":"","parse-names":false,"suffix":""},{"dropping-particle":"","family":"Faul","given":"C.","non-dropping-particle":"","parse-names":false,"suffix":""},{"dropping-particle":"","family":"Dreger","given":"P.","non-dropping-particle":"","parse-names":false,"suffix":""},{"dropping-particle":"","family":"Kiani","given":"A.","non-dropping-particle":"","parse-names":false,"suffix":""},{"dropping-particle":"","family":"Schäfer-Eckart","given":"K.","non-dropping-particle":"","parse-names":false,"suffix":""},{"dropping-particle":"","family":"Schwerdtfeger","given":"R.","non-dropping-particle":"","parse-names":false,"suffix":""},{"dropping-particle":"","family":"Lange","given":"E.","non-dropping-particle":"","parse-names":false,"suffix":""},{"dropping-particle":"","family":"Kubuschok","given":"B.","non-dropping-particle":"","parse-names":false,"suffix":""},{"dropping-particle":"","family":"Horst","given":"H. A.","non-dropping-particle":"","parse-names":false,"suffix":""},{"dropping-particle":"","family":"Gramatzki","given":"M.","non-dropping-particle":"","parse-names":false,"suffix":""},{"dropping-particle":"","family":"Brück","given":"P.","non-dropping-particle":"","parse-names":false,"suffix":""},{"dropping-particle":"","family":"Serve","given":"H.","non-dropping-particle":"","parse-names":false,"suffix":""},{"dropping-particle":"","family":"Hoelzer","given":"D.","non-dropping-particle":"","parse-names":false,"suffix":""},{"dropping-particle":"","family":"Gökbuget","given":"N.","non-dropping-particle":"","parse-names":false,"suffix":""},{"dropping-particle":"","family":"Ottmann","given":"O. G.","non-dropping-particle":"","parse-names":false,"suffix":""}],"container-title":"Leukemia","id":"ITEM-2","issue":"6","issued":{"date-parts":[["2013","6"]]},"page":"1254-1262","title":"Randomized comparison of prophylactic and minimal residual disease-triggered imatinib after allogeneic stem cell transplantation for BCR-ABL1-positive acute lymphoblastic leukemia","type":"article-journal","volume":"27"},"uris":["http://www.mendeley.com/documents/?uuid=adc31201-ed37-3e48-9551-07ff40414a97"]}],"mendeley":{"formattedCitation":"[64,65]","plainTextFormattedCitation":"[64,65]","previouslyFormattedCitation":"[64,65]"},"properties":{"noteIndex":0},"schema":"https://github.com/citation-style-language/schema/raw/master/csl-citation.json"}</w:instrText>
      </w:r>
      <w:r w:rsidR="00403088">
        <w:rPr>
          <w:bCs/>
        </w:rPr>
        <w:fldChar w:fldCharType="separate"/>
      </w:r>
      <w:r w:rsidR="00A66456" w:rsidRPr="00A66456">
        <w:rPr>
          <w:bCs/>
          <w:noProof/>
        </w:rPr>
        <w:t>[64,65]</w:t>
      </w:r>
      <w:r w:rsidR="00403088">
        <w:rPr>
          <w:bCs/>
        </w:rPr>
        <w:fldChar w:fldCharType="end"/>
      </w:r>
      <w:r w:rsidR="00403088">
        <w:rPr>
          <w:rStyle w:val="aff0"/>
        </w:rPr>
        <w:t xml:space="preserve"> </w:t>
      </w:r>
    </w:p>
    <w:p w14:paraId="608B7821" w14:textId="77777777" w:rsidR="00254823" w:rsidRPr="00617969" w:rsidRDefault="00254823" w:rsidP="00B3408C">
      <w:pPr>
        <w:ind w:firstLine="709"/>
        <w:contextualSpacing/>
        <w:rPr>
          <w:b/>
        </w:rPr>
      </w:pPr>
      <w:r w:rsidRPr="00403088">
        <w:rPr>
          <w:b/>
        </w:rPr>
        <w:t>Уровень убедительности рекомендаций</w:t>
      </w:r>
      <w:r w:rsidRPr="00403088" w:rsidDel="00670C55">
        <w:rPr>
          <w:b/>
        </w:rPr>
        <w:t xml:space="preserve"> </w:t>
      </w:r>
      <w:r w:rsidR="002143C4" w:rsidRPr="00403088">
        <w:rPr>
          <w:b/>
        </w:rPr>
        <w:t xml:space="preserve">– </w:t>
      </w:r>
      <w:r w:rsidR="004809DB">
        <w:rPr>
          <w:b/>
          <w:lang w:val="en-US"/>
        </w:rPr>
        <w:t>C</w:t>
      </w:r>
      <w:r w:rsidR="0012738E" w:rsidRPr="00FF7DAD">
        <w:rPr>
          <w:b/>
        </w:rPr>
        <w:t xml:space="preserve"> </w:t>
      </w:r>
      <w:r w:rsidRPr="00FF7DAD">
        <w:rPr>
          <w:b/>
        </w:rPr>
        <w:t xml:space="preserve">(уровень </w:t>
      </w:r>
      <w:r w:rsidRPr="00FF7DAD">
        <w:rPr>
          <w:b/>
          <w:spacing w:val="-1"/>
        </w:rPr>
        <w:t xml:space="preserve">достоверности доказательств </w:t>
      </w:r>
      <w:r w:rsidRPr="00FF7DAD">
        <w:rPr>
          <w:b/>
        </w:rPr>
        <w:t xml:space="preserve">– </w:t>
      </w:r>
      <w:r w:rsidR="001C5DB0" w:rsidRPr="001C5DB0">
        <w:rPr>
          <w:b/>
        </w:rPr>
        <w:t>2</w:t>
      </w:r>
      <w:r w:rsidR="00B3408C" w:rsidRPr="00FF7DAD">
        <w:rPr>
          <w:b/>
        </w:rPr>
        <w:t>)</w:t>
      </w:r>
      <w:r w:rsidR="002143C4" w:rsidRPr="00FF7DAD">
        <w:rPr>
          <w:b/>
        </w:rPr>
        <w:t>.</w:t>
      </w:r>
    </w:p>
    <w:p w14:paraId="618C853E" w14:textId="77777777" w:rsidR="00254823" w:rsidRPr="007B63F8" w:rsidRDefault="00254823" w:rsidP="00B3408C">
      <w:pPr>
        <w:ind w:firstLine="709"/>
        <w:contextualSpacing/>
        <w:rPr>
          <w:i/>
        </w:rPr>
      </w:pPr>
      <w:r w:rsidRPr="000667C9">
        <w:rPr>
          <w:b/>
          <w:bCs/>
        </w:rPr>
        <w:t>Комментарии:</w:t>
      </w:r>
      <w:r>
        <w:rPr>
          <w:bCs/>
          <w:i/>
        </w:rPr>
        <w:t xml:space="preserve"> </w:t>
      </w:r>
      <w:r w:rsidR="002B5A5A" w:rsidRPr="0042136A">
        <w:rPr>
          <w:bCs/>
          <w:i/>
          <w:iCs/>
        </w:rPr>
        <w:t>это воздействие должно быть постоянным.</w:t>
      </w:r>
      <w:r w:rsidR="002B5A5A">
        <w:rPr>
          <w:bCs/>
          <w:i/>
        </w:rPr>
        <w:t xml:space="preserve"> О</w:t>
      </w:r>
      <w:r w:rsidRPr="007B63F8">
        <w:rPr>
          <w:bCs/>
          <w:i/>
        </w:rPr>
        <w:t xml:space="preserve">бъем </w:t>
      </w:r>
      <w:r w:rsidR="006471C2">
        <w:rPr>
          <w:bCs/>
          <w:i/>
        </w:rPr>
        <w:t>ХТ</w:t>
      </w:r>
      <w:r w:rsidR="006471C2" w:rsidRPr="007B63F8">
        <w:rPr>
          <w:bCs/>
          <w:i/>
        </w:rPr>
        <w:t xml:space="preserve"> </w:t>
      </w:r>
      <w:r w:rsidRPr="007B63F8">
        <w:rPr>
          <w:bCs/>
          <w:i/>
        </w:rPr>
        <w:t xml:space="preserve">при </w:t>
      </w:r>
      <w:r w:rsidRPr="007B63F8">
        <w:rPr>
          <w:i/>
          <w:lang w:val="en-US"/>
        </w:rPr>
        <w:t>Ph</w:t>
      </w:r>
      <w:r w:rsidRPr="007B63F8">
        <w:rPr>
          <w:i/>
        </w:rPr>
        <w:t>-позитивных ОЛЛ до сих пор остается предметом дискуссий. Используют как минимальное цитостатическое воздействие (либо одни глюкокортикоды, либо глюкокортикоиды в сочетании с винкристином</w:t>
      </w:r>
      <w:r w:rsidR="00457E7B">
        <w:rPr>
          <w:i/>
        </w:rPr>
        <w:t>**</w:t>
      </w:r>
      <w:r w:rsidRPr="007B63F8">
        <w:rPr>
          <w:i/>
        </w:rPr>
        <w:t>), так и более интенсивное (классические химиотер</w:t>
      </w:r>
      <w:r w:rsidR="006471C2">
        <w:rPr>
          <w:i/>
        </w:rPr>
        <w:t>а</w:t>
      </w:r>
      <w:r w:rsidRPr="007B63F8">
        <w:rPr>
          <w:i/>
        </w:rPr>
        <w:t xml:space="preserve">певтические протоколы лечения ОЛЛ, высокодозные импульсные протоколы). </w:t>
      </w:r>
    </w:p>
    <w:p w14:paraId="66E09402" w14:textId="4D9E133A" w:rsidR="00254823" w:rsidRDefault="00254823" w:rsidP="00FF4C81">
      <w:pPr>
        <w:numPr>
          <w:ilvl w:val="0"/>
          <w:numId w:val="19"/>
        </w:numPr>
        <w:contextualSpacing/>
        <w:rPr>
          <w:i/>
        </w:rPr>
      </w:pPr>
      <w:r w:rsidRPr="00975419">
        <w:rPr>
          <w:b/>
        </w:rPr>
        <w:t>Рекомендуется</w:t>
      </w:r>
      <w:r>
        <w:rPr>
          <w:i/>
        </w:rPr>
        <w:t xml:space="preserve"> </w:t>
      </w:r>
      <w:r w:rsidRPr="00DE0246">
        <w:t xml:space="preserve">в терапии </w:t>
      </w:r>
      <w:r w:rsidRPr="00DE0246">
        <w:rPr>
          <w:lang w:val="en-US"/>
        </w:rPr>
        <w:t>Ph</w:t>
      </w:r>
      <w:r w:rsidRPr="00DE0246">
        <w:t xml:space="preserve">-негативных ОЛЛ взрослых </w:t>
      </w:r>
      <w:r w:rsidR="00B3408C" w:rsidRPr="00B3408C">
        <w:t>пациентов</w:t>
      </w:r>
      <w:r w:rsidRPr="00B3408C">
        <w:t xml:space="preserve"> </w:t>
      </w:r>
      <w:r w:rsidRPr="00DE0246">
        <w:t xml:space="preserve">использовать в </w:t>
      </w:r>
      <w:r w:rsidRPr="00DE0246">
        <w:lastRenderedPageBreak/>
        <w:t xml:space="preserve">основном два принципа химиотерапевтического воздействия: 1) импульсное, высокодозное с последующей постоянной поддерживающей терапией (программа </w:t>
      </w:r>
      <w:r w:rsidRPr="00DE0246">
        <w:rPr>
          <w:lang w:val="en-US"/>
        </w:rPr>
        <w:t>Hyper</w:t>
      </w:r>
      <w:r w:rsidR="004148AD">
        <w:t>-</w:t>
      </w:r>
      <w:r w:rsidRPr="00DE0246">
        <w:rPr>
          <w:lang w:val="en-US"/>
        </w:rPr>
        <w:t>CVAD</w:t>
      </w:r>
      <w:r w:rsidRPr="00DE0246">
        <w:t>)</w:t>
      </w:r>
      <w:r w:rsidR="002143C4">
        <w:t xml:space="preserve">; </w:t>
      </w:r>
      <w:r w:rsidR="006471C2">
        <w:t xml:space="preserve">2) </w:t>
      </w:r>
      <w:r w:rsidRPr="00DE0246">
        <w:t>более</w:t>
      </w:r>
      <w:r w:rsidR="00B3408C">
        <w:t xml:space="preserve"> традиционное (стандартное) </w:t>
      </w:r>
      <w:r w:rsidR="002143C4">
        <w:t>– 8–</w:t>
      </w:r>
      <w:r w:rsidRPr="00DE0246">
        <w:t>9-недельная непрерывная индукция с последующими неоднократными высокодозны</w:t>
      </w:r>
      <w:r w:rsidR="007B49C0">
        <w:t>ми миелоабля</w:t>
      </w:r>
      <w:r w:rsidRPr="00DE0246">
        <w:t>тивными курсами и в последующем – поддерживающим лечением</w:t>
      </w:r>
      <w:r w:rsidR="00914C46">
        <w:t xml:space="preserve"> (</w:t>
      </w:r>
      <w:r w:rsidR="005A172A">
        <w:t>см. п</w:t>
      </w:r>
      <w:r>
        <w:t xml:space="preserve">риложение </w:t>
      </w:r>
      <w:r w:rsidR="00104F37">
        <w:t>А3.1</w:t>
      </w:r>
      <w:r>
        <w:t>)</w:t>
      </w:r>
      <w:r w:rsidR="00914C46">
        <w:t xml:space="preserve"> </w:t>
      </w:r>
      <w:r w:rsidR="00250B38">
        <w:fldChar w:fldCharType="begin" w:fldLock="1"/>
      </w:r>
      <w:r w:rsidR="002466C9">
        <w:instrText>ADDIN CSL_CITATION {"citationItems":[{"id":"ITEM-1","itemData":{"DOI":"10.1002/cncr.20668","ISSN":"0008543X","abstract":"BACKGROUND. Modern intensive chemotherapy regimens have improved the prognosis for patients with adult acute lymphocytic leukemia (ALL). With these regimens, the complete response rates are now reported to be &gt; 80%, and the long-term survival rates range from 30% to 45%. The current analysis updated the long-term results with the original hyperfractionated cyclophosphamide, vincristine, doxorubicin, and dexamethasone (Hyper-CVAD) program, with a median follow-up time of 63 months. METHODS. Between 1992 and 2000, 288 patients were treated with Hyper-CVAD. The median age of the patients was 40 years, and 59 patients (20%) were ≥ age 60 years. The incidence of Philadelphia chromosome (Ph)-positive ALL was 17%, and the incidence of of T-cell ALL was 13%. RESULTS. A complete response (CR) was achieved in 92% of patients. The induction mortality rate was 5% (2% if the patient's age was &lt; 60 years, and 15% if the patient's age was ≥ 60 years). With a median follow-up time of 63 months, the 5-year survival rate was 38% and the 5-year CR duration rate was 38%. Multivariate analysis of prognostic factors for CR duration identified the following adverse factors: age ≥ 45 years, leukocytosis ≥ 50 × 109/L, poor performance status (an Eastern Cooperative Oncology Group score of 3-4), Ph-positive disease, French-American-British L2 morphology, &gt; 1 course to achieve CR, and Day 14 bone marrow blasts &gt; 5%. Patients were divided into low-risk (risk score 0-1; 37%), intermediate risk (risk score 2-3; 36%), and poor-risk groups (risk score ≥ 4; 27%) with 5-year CR duration rates of 52%, 37%, and 10%, respectively. CONCLUSIONS. Compared with the previous VAD regimens, Hyper-CVAD was associated with significantly better CR rates, CR duration, and survival. The long-term follow-up results of Hyper-CVAD were favorable. Comparison of Hyper-CVAD with other established adult ALL regimens is warranted. © 2004 American Cancer Society.","author":[{"dropping-particle":"","family":"Kantarjian","given":"Hagop","non-dropping-particle":"","parse-names":false,"suffix":""},{"dropping-particle":"","family":"Thomas","given":"Deborah","non-dropping-particle":"","parse-names":false,"suffix":""},{"dropping-particle":"","family":"O'Brien","given":"Susan","non-dropping-particle":"","parse-names":false,"suffix":""},{"dropping-particle":"","family":"Cortes","given":"Jorge","non-dropping-particle":"","parse-names":false,"suffix":""},{"dropping-particle":"","family":"Giles","given":"Francis","non-dropping-particle":"","parse-names":false,"suffix":""},{"dropping-particle":"","family":"Jeha","given":"Sima","non-dropping-particle":"","parse-names":false,"suffix":""},{"dropping-particle":"","family":"Bueso-Ramos","given":"Carlos E.","non-dropping-particle":"","parse-names":false,"suffix":""},{"dropping-particle":"","family":"Pierce","given":"Sherry","non-dropping-particle":"","parse-names":false,"suffix":""},{"dropping-particle":"","family":"Shan","given":"Jianqin","non-dropping-particle":"","parse-names":false,"suffix":""},{"dropping-particle":"","family":"Koller","given":"Charles","non-dropping-particle":"","parse-names":false,"suffix":""},{"dropping-particle":"","family":"Beran","given":"Miloslav","non-dropping-particle":"","parse-names":false,"suffix":""},{"dropping-particle":"","family":"Keating","given":"Michael","non-dropping-particle":"","parse-names":false,"suffix":""},{"dropping-particle":"","family":"Freireich","given":"Emil J.","non-dropping-particle":"","parse-names":false,"suffix":""}],"container-title":"Cancer","id":"ITEM-1","issue":"12","issued":{"date-parts":[["2004","12","15"]]},"page":"2788-2801","title":"Long-term follow-up results of hyperfractionated cyclophosphamide, vincristine, doxorubicin, and dexamethasone (Hyper-CVAD), a dose-intensive regimen, in adult acute lymphocytic leukemia","type":"article-journal","volume":"101"},"uris":["http://www.mendeley.com/documents/?uuid=6ee8bfd0-5b92-3504-a816-e7cae91350fc"]},{"id":"ITEM-2","itemData":{"author":[{"dropping-particle":"","family":"Паровичникова","given":"Е. Н.","non-dropping-particle":"","parse-names":false,"suffix":""},{"dropping-particle":"","family":"Соколов","given":"А. Н.","non-dropping-particle":"","parse-names":false,"suffix":""},{"dropping-particle":"","family":"Троицкая","given":"В. В.","non-dropping-particle":"","parse-names":false,"suffix":""},{"dropping-particle":"","family":"Клясова","given":"Г. А.","non-dropping-particle":"","parse-names":false,"suffix":""},{"dropping-particle":"","family":"Русинов","given":"М. А.","non-dropping-particle":"","parse-names":false,"suffix":""},{"dropping-particle":"","family":"Ахмерзаева","given":"З. Х.","non-dropping-particle":"","parse-names":false,"suffix":""},{"dropping-particle":"","family":"Кузьмина","given":"Л. А.","non-dropping-particle":"","parse-names":false,"suffix":""},{"dropping-particle":"","family":"Бондаренко","given":"С. Н.","non-dropping-particle":"","parse-names":false,"suffix":""},{"dropping-particle":"","family":"Баранова","given":"О. Ю.","non-dropping-particle":"","parse-names":false,"suffix":""},{"dropping-particle":"","family":"Капорская","given":"Т. С.","non-dropping-particle":"","parse-names":false,"suffix":""},{"dropping-particle":"","family":"Зотина","given":"Е. Н.","non-dropping-particle":"","parse-names":false,"suffix":""},{"dropping-particle":"","family":"Зинина","given":"Е. Е.","non-dropping-particle":"","parse-names":false,"suffix":""},{"dropping-particle":"","family":"Самойлова","given":"О. С.","non-dropping-particle":"","parse-names":false,"suffix":""},{"dropping-particle":"","family":"Гаврилова","given":"Л. В.","non-dropping-particle":"","parse-names":false,"suffix":""},{"dropping-particle":"","family":"Капланов","given":"К. Д.","non-dropping-particle":"","parse-names":false,"suffix":""},{"dropping-particle":"","family":"Константинова","given":"Т. С.","non-dropping-particle":"","parse-names":false,"suffix":""},{"dropping-particle":"","family":"Лапин","given":"В. А.","non-dropping-particle":"","parse-names":false,"suffix":""},{"dropping-particle":"","family":"Кравченко","given":"С. К.","non-dropping-particle":"","parse-names":false,"suffix":""},{"dropping-particle":"","family":"Грибанова","given":"Е. О.","non-dropping-particle":"","parse-names":false,"suffix":""},{"dropping-particle":"","family":"Звонков","given":"Е. Е.","non-dropping-particle":"","parse-names":false,"suffix":""},{"dropping-particle":"","family":"Гаврилина","given":"О. А.","non-dropping-particle":"","parse-names":false,"suffix":""},{"dropping-particle":"","family":"Басхаева","given":"Г. А.","non-dropping-particle":"","parse-names":false,"suffix":""},{"dropping-particle":"","family":"Галстян","given":"Г. М.","non-dropping-particle":"","parse-names":false,"suffix":""},{"dropping-particle":"","family":"Обухова","given":"Т. Н.","non-dropping-particle":"","parse-names":false,"suffix":""},{"dropping-particle":"","family":"Гальцева","given":"И. В.","non-dropping-particle":"","parse-names":false,"suffix":""},{"dropping-particle":"","family":"Куликов","given":"С. М.","non-dropping-particle":"","parse-names":false,"suffix":""},{"dropping-particle":"","family":"Савченко","given":"В. Г.","non-dropping-particle":"","parse-names":false,"suffix":""}],"container-title":"Терапевтический архив","id":"ITEM-2","issue":"7","issued":{"date-parts":[["2016"]]},"page":"15-24","title":"Острые Ph-негативные лимфобластные лейкозы взрослых: факторы риска при использовании протокола ОЛЛ-2009","type":"article-journal","volume":"88"},"uris":["http://www.mendeley.com/documents/?uuid=d6ffd749-eb80-4bcb-9819-7bd025632cb5"]}],"mendeley":{"formattedCitation":"[56,66]","plainTextFormattedCitation":"[56,66]","previouslyFormattedCitation":"[56,66]"},"properties":{"noteIndex":0},"schema":"https://github.com/citation-style-language/schema/raw/master/csl-citation.json"}</w:instrText>
      </w:r>
      <w:r w:rsidR="00250B38">
        <w:fldChar w:fldCharType="separate"/>
      </w:r>
      <w:r w:rsidR="00A66456" w:rsidRPr="00A66456">
        <w:rPr>
          <w:noProof/>
        </w:rPr>
        <w:t>[56,66]</w:t>
      </w:r>
      <w:r w:rsidR="00250B38">
        <w:fldChar w:fldCharType="end"/>
      </w:r>
      <w:r w:rsidR="00250B38" w:rsidRPr="00DE0246">
        <w:t>.</w:t>
      </w:r>
    </w:p>
    <w:p w14:paraId="509AED90" w14:textId="77777777" w:rsidR="00254823" w:rsidRPr="00617969" w:rsidRDefault="00254823" w:rsidP="00B3408C">
      <w:pPr>
        <w:ind w:firstLine="709"/>
        <w:contextualSpacing/>
        <w:rPr>
          <w:b/>
        </w:rPr>
      </w:pPr>
      <w:r w:rsidRPr="00D73556">
        <w:rPr>
          <w:b/>
        </w:rPr>
        <w:t>Уровень убедительности рекомендаций</w:t>
      </w:r>
      <w:r w:rsidRPr="00D73556" w:rsidDel="00670C55">
        <w:rPr>
          <w:b/>
        </w:rPr>
        <w:t xml:space="preserve"> </w:t>
      </w:r>
      <w:r w:rsidR="00782212" w:rsidRPr="00D73556">
        <w:rPr>
          <w:b/>
        </w:rPr>
        <w:t xml:space="preserve">– </w:t>
      </w:r>
      <w:r w:rsidR="00A97B24" w:rsidRPr="00A97B24">
        <w:rPr>
          <w:b/>
          <w:lang w:val="en-US"/>
        </w:rPr>
        <w:t>C</w:t>
      </w:r>
      <w:r w:rsidRPr="00D73556">
        <w:rPr>
          <w:b/>
        </w:rPr>
        <w:t xml:space="preserve"> (уровень </w:t>
      </w:r>
      <w:r w:rsidRPr="00D73556">
        <w:rPr>
          <w:b/>
          <w:spacing w:val="-1"/>
        </w:rPr>
        <w:t xml:space="preserve">достоверности доказательств </w:t>
      </w:r>
      <w:r w:rsidRPr="00D73556">
        <w:rPr>
          <w:b/>
        </w:rPr>
        <w:t xml:space="preserve">– </w:t>
      </w:r>
      <w:r w:rsidR="00A97B24" w:rsidRPr="00A97B24">
        <w:rPr>
          <w:b/>
        </w:rPr>
        <w:t>4</w:t>
      </w:r>
      <w:r w:rsidR="00B3408C" w:rsidRPr="00D73556">
        <w:rPr>
          <w:b/>
        </w:rPr>
        <w:t>)</w:t>
      </w:r>
      <w:r w:rsidR="00782212" w:rsidRPr="00D73556">
        <w:rPr>
          <w:b/>
        </w:rPr>
        <w:t>.</w:t>
      </w:r>
    </w:p>
    <w:p w14:paraId="6298892C" w14:textId="186AA2CD" w:rsidR="00254823" w:rsidRDefault="00254823" w:rsidP="00B3408C">
      <w:pPr>
        <w:ind w:firstLine="709"/>
        <w:contextualSpacing/>
        <w:rPr>
          <w:i/>
        </w:rPr>
      </w:pPr>
      <w:r w:rsidRPr="00975419">
        <w:rPr>
          <w:b/>
        </w:rPr>
        <w:t>Комментарии:</w:t>
      </w:r>
      <w:r>
        <w:rPr>
          <w:i/>
        </w:rPr>
        <w:t xml:space="preserve"> </w:t>
      </w:r>
      <w:r w:rsidR="006471C2">
        <w:rPr>
          <w:i/>
        </w:rPr>
        <w:t>р</w:t>
      </w:r>
      <w:r w:rsidR="006471C2" w:rsidRPr="00216384">
        <w:rPr>
          <w:i/>
        </w:rPr>
        <w:t xml:space="preserve">езультаты </w:t>
      </w:r>
      <w:r w:rsidRPr="00216384">
        <w:rPr>
          <w:i/>
        </w:rPr>
        <w:t xml:space="preserve">крупнейших исследовательских групп по лечению </w:t>
      </w:r>
      <w:r w:rsidRPr="00216384">
        <w:rPr>
          <w:i/>
          <w:lang w:val="en-US"/>
        </w:rPr>
        <w:t>Ph</w:t>
      </w:r>
      <w:r w:rsidRPr="00216384">
        <w:rPr>
          <w:i/>
        </w:rPr>
        <w:t>-негативных ОЛЛ у взрослых</w:t>
      </w:r>
      <w:r w:rsidR="008012FD">
        <w:rPr>
          <w:i/>
        </w:rPr>
        <w:t>,</w:t>
      </w:r>
      <w:r w:rsidRPr="00216384">
        <w:rPr>
          <w:i/>
        </w:rPr>
        <w:t xml:space="preserve"> в зависимости от принципа химиотерапевтического воздействия</w:t>
      </w:r>
      <w:r w:rsidR="008012FD">
        <w:rPr>
          <w:i/>
        </w:rPr>
        <w:t>,</w:t>
      </w:r>
      <w:r w:rsidRPr="00216384">
        <w:rPr>
          <w:i/>
        </w:rPr>
        <w:t xml:space="preserve"> отражены</w:t>
      </w:r>
      <w:r w:rsidR="005A172A">
        <w:rPr>
          <w:i/>
        </w:rPr>
        <w:t xml:space="preserve"> в п</w:t>
      </w:r>
      <w:r w:rsidRPr="00216384">
        <w:rPr>
          <w:i/>
        </w:rPr>
        <w:t xml:space="preserve">риложении </w:t>
      </w:r>
      <w:r w:rsidR="00216384" w:rsidRPr="00216384">
        <w:rPr>
          <w:i/>
        </w:rPr>
        <w:t xml:space="preserve">А3.2. </w:t>
      </w:r>
      <w:r w:rsidRPr="00216384">
        <w:rPr>
          <w:i/>
        </w:rPr>
        <w:t xml:space="preserve">Суммируя данные таблицы, можно отметить, что в целом 5-летняя </w:t>
      </w:r>
      <w:r w:rsidR="006471C2">
        <w:rPr>
          <w:i/>
        </w:rPr>
        <w:t>общая выживаемость (</w:t>
      </w:r>
      <w:r w:rsidR="00E24245">
        <w:rPr>
          <w:i/>
        </w:rPr>
        <w:t xml:space="preserve">далее – </w:t>
      </w:r>
      <w:r w:rsidRPr="00216384">
        <w:rPr>
          <w:i/>
        </w:rPr>
        <w:t>ОВ</w:t>
      </w:r>
      <w:r w:rsidR="006471C2">
        <w:rPr>
          <w:i/>
        </w:rPr>
        <w:t>)</w:t>
      </w:r>
      <w:r w:rsidRPr="00216384">
        <w:rPr>
          <w:i/>
        </w:rPr>
        <w:t xml:space="preserve"> взрослых </w:t>
      </w:r>
      <w:r w:rsidR="00B3408C" w:rsidRPr="00216384">
        <w:rPr>
          <w:i/>
        </w:rPr>
        <w:t>пациентов с</w:t>
      </w:r>
      <w:r w:rsidRPr="00216384">
        <w:rPr>
          <w:i/>
        </w:rPr>
        <w:t xml:space="preserve"> ОЛЛ</w:t>
      </w:r>
      <w:r w:rsidRPr="007B63F8">
        <w:rPr>
          <w:i/>
        </w:rPr>
        <w:t xml:space="preserve">, варьируя в зависимости от группы </w:t>
      </w:r>
      <w:r w:rsidR="00782212">
        <w:rPr>
          <w:i/>
        </w:rPr>
        <w:t>риска и возраста, составляет 45–</w:t>
      </w:r>
      <w:r w:rsidRPr="007B63F8">
        <w:rPr>
          <w:i/>
        </w:rPr>
        <w:t>55</w:t>
      </w:r>
      <w:r w:rsidR="00782212">
        <w:rPr>
          <w:i/>
        </w:rPr>
        <w:t xml:space="preserve"> %. Результаты р</w:t>
      </w:r>
      <w:r w:rsidRPr="007B63F8">
        <w:rPr>
          <w:i/>
        </w:rPr>
        <w:t>оссийского исследования абсолютно сопоставимы и даже превышают данные зарубежных исследований, несмотря на малую долю алло</w:t>
      </w:r>
      <w:r w:rsidR="00222052">
        <w:rPr>
          <w:i/>
        </w:rPr>
        <w:t>-</w:t>
      </w:r>
      <w:r w:rsidR="00F33796">
        <w:rPr>
          <w:i/>
        </w:rPr>
        <w:t>ТГСК</w:t>
      </w:r>
      <w:r w:rsidR="00250B38">
        <w:rPr>
          <w:i/>
        </w:rPr>
        <w:t xml:space="preserve"> </w:t>
      </w:r>
      <w:r w:rsidR="00250B38">
        <w:rPr>
          <w:i/>
        </w:rPr>
        <w:fldChar w:fldCharType="begin" w:fldLock="1"/>
      </w:r>
      <w:r w:rsidR="002466C9">
        <w:rPr>
          <w:i/>
        </w:rPr>
        <w:instrText>ADDIN CSL_CITATION {"citationItems":[{"id":"ITEM-1","itemData":{"author":[{"dropping-particle":"","family":"Паровичникова","given":"Е. Н.","non-dropping-particle":"","parse-names":false,"suffix":""},{"dropping-particle":"","family":"Соколов","given":"А. Н.","non-dropping-particle":"","parse-names":false,"suffix":""},{"dropping-particle":"","family":"Троицкая","given":"В. В.","non-dropping-particle":"","parse-names":false,"suffix":""},{"dropping-particle":"","family":"Клясова","given":"Г. А.","non-dropping-particle":"","parse-names":false,"suffix":""},{"dropping-particle":"","family":"Русинов","given":"М. А.","non-dropping-particle":"","parse-names":false,"suffix":""},{"dropping-particle":"","family":"Ахмерзаева","given":"З. Х.","non-dropping-particle":"","parse-names":false,"suffix":""},{"dropping-particle":"","family":"Кузьмина","given":"Л. А.","non-dropping-particle":"","parse-names":false,"suffix":""},{"dropping-particle":"","family":"Бондаренко","given":"С. Н.","non-dropping-particle":"","parse-names":false,"suffix":""},{"dropping-particle":"","family":"Баранова","given":"О. Ю.","non-dropping-particle":"","parse-names":false,"suffix":""},{"dropping-particle":"","family":"Капорская","given":"Т. С.","non-dropping-particle":"","parse-names":false,"suffix":""},{"dropping-particle":"","family":"Зотина","given":"Е. Н.","non-dropping-particle":"","parse-names":false,"suffix":""},{"dropping-particle":"","family":"Зинина","given":"Е. Е.","non-dropping-particle":"","parse-names":false,"suffix":""},{"dropping-particle":"","family":"Самойлова","given":"О. С.","non-dropping-particle":"","parse-names":false,"suffix":""},{"dropping-particle":"","family":"Гаврилова","given":"Л. В.","non-dropping-particle":"","parse-names":false,"suffix":""},{"dropping-particle":"","family":"Капланов","given":"К. Д.","non-dropping-particle":"","parse-names":false,"suffix":""},{"dropping-particle":"","family":"Константинова","given":"Т. С.","non-dropping-particle":"","parse-names":false,"suffix":""},{"dropping-particle":"","family":"Лапин","given":"В. А.","non-dropping-particle":"","parse-names":false,"suffix":""},{"dropping-particle":"","family":"Кравченко","given":"С. К.","non-dropping-particle":"","parse-names":false,"suffix":""},{"dropping-particle":"","family":"Грибанова","given":"Е. О.","non-dropping-particle":"","parse-names":false,"suffix":""},{"dropping-particle":"","family":"Звонков","given":"Е. Е.","non-dropping-particle":"","parse-names":false,"suffix":""},{"dropping-particle":"","family":"Гаврилина","given":"О. А.","non-dropping-particle":"","parse-names":false,"suffix":""},{"dropping-particle":"","family":"Басхаева","given":"Г. А.","non-dropping-particle":"","parse-names":false,"suffix":""},{"dropping-particle":"","family":"Галстян","given":"Г. М.","non-dropping-particle":"","parse-names":false,"suffix":""},{"dropping-particle":"","family":"Обухова","given":"Т. Н.","non-dropping-particle":"","parse-names":false,"suffix":""},{"dropping-particle":"","family":"Гальцева","given":"И. В.","non-dropping-particle":"","parse-names":false,"suffix":""},{"dropping-particle":"","family":"Куликов","given":"С. М.","non-dropping-particle":"","parse-names":false,"suffix":""},{"dropping-particle":"","family":"Савченко","given":"В. Г.","non-dropping-particle":"","parse-names":false,"suffix":""}],"container-title":"Терапевтический архив","id":"ITEM-1","issue":"7","issued":{"date-parts":[["2016"]]},"page":"15-24","title":"Острые Ph-негативные лимфобластные лейкозы взрослых: факторы риска при использовании протокола ОЛЛ-2009","type":"article-journal","volume":"88"},"uris":["http://www.mendeley.com/documents/?uuid=d6ffd749-eb80-4bcb-9819-7bd025632cb5"]}],"mendeley":{"formattedCitation":"[66]","plainTextFormattedCitation":"[66]","previouslyFormattedCitation":"[66]"},"properties":{"noteIndex":0},"schema":"https://github.com/citation-style-language/schema/raw/master/csl-citation.json"}</w:instrText>
      </w:r>
      <w:r w:rsidR="00250B38">
        <w:rPr>
          <w:i/>
        </w:rPr>
        <w:fldChar w:fldCharType="separate"/>
      </w:r>
      <w:r w:rsidR="00A66456" w:rsidRPr="00A66456">
        <w:rPr>
          <w:noProof/>
        </w:rPr>
        <w:t>[66]</w:t>
      </w:r>
      <w:r w:rsidR="00250B38">
        <w:rPr>
          <w:i/>
        </w:rPr>
        <w:fldChar w:fldCharType="end"/>
      </w:r>
      <w:r w:rsidRPr="007B63F8">
        <w:rPr>
          <w:i/>
        </w:rPr>
        <w:t>.</w:t>
      </w:r>
    </w:p>
    <w:p w14:paraId="10D3515A" w14:textId="1E6375B6" w:rsidR="00254823" w:rsidRDefault="00254823" w:rsidP="00FF4C81">
      <w:pPr>
        <w:numPr>
          <w:ilvl w:val="0"/>
          <w:numId w:val="19"/>
        </w:numPr>
        <w:spacing w:before="120"/>
        <w:contextualSpacing/>
        <w:rPr>
          <w:i/>
        </w:rPr>
      </w:pPr>
      <w:r w:rsidRPr="00975419">
        <w:rPr>
          <w:b/>
        </w:rPr>
        <w:t>Рекомендуется</w:t>
      </w:r>
      <w:r>
        <w:rPr>
          <w:i/>
        </w:rPr>
        <w:t xml:space="preserve"> </w:t>
      </w:r>
      <w:r>
        <w:t>пациентам с</w:t>
      </w:r>
      <w:r w:rsidR="00B81405">
        <w:t xml:space="preserve"> ОЛЛ, особенно относящим</w:t>
      </w:r>
      <w:r w:rsidRPr="00DE0246">
        <w:t xml:space="preserve">ся к группам высокого риска, одним из этапов лечения выполнять </w:t>
      </w:r>
      <w:r w:rsidR="00222052">
        <w:t>ТГСК</w:t>
      </w:r>
      <w:r w:rsidRPr="00DE0246">
        <w:t xml:space="preserve"> либо аутологичных (</w:t>
      </w:r>
      <w:r w:rsidR="007B49C0">
        <w:t xml:space="preserve">далее – </w:t>
      </w:r>
      <w:r w:rsidRPr="00DE0246">
        <w:t xml:space="preserve">ауто-ТГСК), либо аллогенных (от родственного или неродственного </w:t>
      </w:r>
      <w:r w:rsidRPr="00DE0246">
        <w:rPr>
          <w:lang w:val="en-US"/>
        </w:rPr>
        <w:t>HLA</w:t>
      </w:r>
      <w:r w:rsidRPr="00DE0246">
        <w:t>-совместимого донора – алло-ТГСК)</w:t>
      </w:r>
      <w:r w:rsidR="006C6866">
        <w:t xml:space="preserve"> для достижения терапевтического эффекта</w:t>
      </w:r>
      <w:r w:rsidR="00B81405">
        <w:t xml:space="preserve"> </w:t>
      </w:r>
      <w:r w:rsidR="00250B38">
        <w:fldChar w:fldCharType="begin" w:fldLock="1"/>
      </w:r>
      <w:r w:rsidR="002466C9">
        <w:instrText>ADDIN CSL_CITATION {"citationItems":[{"id":"ITEM-1","itemData":{"DOI":"10.1182/blood-2007-10-116582","ISSN":"00064971","abstract":"An international collaboration was set up to prospectively evaluate the role of allogeneic transplantation for adults with acute lymphoblastic leukemia (ALL) and compare autologous transplantation with standard chemotherapy. Patients received 2 phases of induction and, if in remission, were assigned to allogeneic transplantation if they had a compatible sibling donor. Other patients were randomized to chemotherapy for 2.5 years versus an autologous transplantation. A donor versus no-donor analysis showed that Philadelphia chromosome-negative patients with a donor had a 5-year improved overall survival (OS), 53% versus 45% (P = .01), and the relapse rate was significantly lower (P &lt; or = .001). The survival difference was significant in standard-risk patients, but not in high-risk patients with a high nonrelapse mortality rate in the high-risk donor group. Patients randomized to chemotherapy had a higher 5-year OS (46%) than those randomized to autologous transplantation (37%; P = .03). Matched related allogeneic transplantations for ALL in first complete remission provide the most potent antileukemic therapy and considerable survival benefit for standard-risk patients. However, the transplantation-related mortality for high-risk older patients was unacceptably high and abrogated the reduction in relapse risk. There is no evidence that a single autologous transplantation can replace consolidation/maintenance in any risk group. This study is registered at http://clinicaltrials.gov as NCT00002514.","author":[{"dropping-particle":"","family":"Goldstone","given":"Anthony H.","non-dropping-particle":"","parse-names":false,"suffix":""},{"dropping-particle":"","family":"Richards","given":"Susan M.","non-dropping-particle":"","parse-names":false,"suffix":""},{"dropping-particle":"","family":"Lazarus","given":"Hillard M.","non-dropping-particle":"","parse-names":false,"suffix":""},{"dropping-particle":"","family":"Tallman","given":"Martin S.","non-dropping-particle":"","parse-names":false,"suffix":""},{"dropping-particle":"","family":"Buck","given":"Georgina","non-dropping-particle":"","parse-names":false,"suffix":""},{"dropping-particle":"","family":"Fielding","given":"Adele K.","non-dropping-particle":"","parse-names":false,"suffix":""},{"dropping-particle":"","family":"Burnett","given":"Alan K.","non-dropping-particle":"","parse-names":false,"suffix":""},{"dropping-particle":"","family":"Chopra","given":"Raj","non-dropping-particle":"","parse-names":false,"suffix":""},{"dropping-particle":"","family":"Wiernik","given":"Peter H.","non-dropping-particle":"","parse-names":false,"suffix":""},{"dropping-particle":"","family":"Foroni","given":"Letizia","non-dropping-particle":"","parse-names":false,"suffix":""},{"dropping-particle":"","family":"Paietta","given":"Elisabeth","non-dropping-particle":"","parse-names":false,"suffix":""},{"dropping-particle":"","family":"Litzow","given":"Mark R.","non-dropping-particle":"","parse-names":false,"suffix":""},{"dropping-particle":"","family":"Marks","given":"David I.","non-dropping-particle":"","parse-names":false,"suffix":""},{"dropping-particle":"","family":"Durrant","given":"Jill","non-dropping-particle":"","parse-names":false,"suffix":""},{"dropping-particle":"","family":"McMillan","given":"Andrew","non-dropping-particle":"","parse-names":false,"suffix":""},{"dropping-particle":"","family":"Franklin","given":"Ian M.","non-dropping-particle":"","parse-names":false,"suffix":""},{"dropping-particle":"","family":"Luger","given":"Selina","non-dropping-particle":"","parse-names":false,"suffix":""},{"dropping-particle":"","family":"Ciobanu","given":"Niculae","non-dropping-particle":"","parse-names":false,"suffix":""},{"dropping-particle":"","family":"Rowe","given":"Jacob M.","non-dropping-particle":"","parse-names":false,"suffix":""}],"container-title":"Blood","id":"ITEM-1","issue":"4","issued":{"date-parts":[["2008","2","15"]]},"page":"1827-1833","title":"In adults with standard-risk acute lymphoblastic leukemia, the greatest benefit is achieved from a matched sibling allogeneic transplantation in first complete remission, and an autologous transplantation is less effective than conventional consolidation/maintenance chemotherapy in all patients: Final results of the International ALL Trial (MRC UKALLXII/ECOG E2993)","type":"article-journal","volume":"111"},"uris":["http://www.mendeley.com/documents/?uuid=d9fbdb4e-494f-3bf7-8539-980d7daed010"]},{"id":"ITEM-2","itemData":{"DOI":"10.1182/blood-2011-09-377713","ISSN":"1528-0020","PMID":"22442346","abstract":"Quantification of minimal residual disease (MRD) by real-time PCR directed to TCR and Ig gene rearrangements allows a refined evaluation of response in acute lymphoblastic leukemia (ALL). The German Multicenter Study Group for Adult ALL prospectively evaluated molecular response after induction/consolidation chemotherapy according to standardized methods and terminology in patients with Philadelphia chromosome-negative ALL. The cytologic complete response (CR) rate was 89% after induction phases 1 and 2. At this time point the molecular CR rate was 70% in 580 patients with cytologic CR and evaluable MRD. Patients with molecular CR after consolidation had a significantly higher probability of continuous complete remission (CCR; 74% vs 35%; P &lt; .0001) and of overall survival (80% vs 42%; P = .0001) compared with patients with molecular failure. Patients with molecular failure without stem cell transplantation (SCT) in first CR relapsed after a median time of 7.6 months; CCR and survival at 5 years only reached 12% and 33%, respectively. Quantitative MRD assessment identified patients with molecular failure as a new high-risk group. These patients display resistance to conventional drugs and are candidates for treatment with targeted, experimental drugs and allogeneic SCT. Molecular response was shown to be highly predictive for outcome and therefore constitutes a relevant study end point. The studies are registered at www.clinicaltrials.gov as NCT00199056 and NCT00198991.","author":[{"dropping-particle":"","family":"Gökbuget","given":"Nicola","non-dropping-particle":"","parse-names":false,"suffix":""},{"dropping-particle":"","family":"Kneba","given":"Michael","non-dropping-particle":"","parse-names":false,"suffix":""},{"dropping-particle":"","family":"Raff","given":"Thorsten","non-dropping-particle":"","parse-names":false,"suffix":""},{"dropping-particle":"","family":"Trautmann","given":"Heiko","non-dropping-particle":"","parse-names":false,"suffix":""},{"dropping-particle":"","family":"Bartram","given":"Claus-Rainer","non-dropping-particle":"","parse-names":false,"suffix":""},{"dropping-particle":"","family":"Arnold","given":"Renate","non-dropping-particle":"","parse-names":false,"suffix":""},{"dropping-particle":"","family":"Fietkau","given":"Rainer","non-dropping-particle":"","parse-names":false,"suffix":""},{"dropping-particle":"","family":"Freund","given":"Mathias","non-dropping-particle":"","parse-names":false,"suffix":""},{"dropping-particle":"","family":"Ganser","given":"Arnold","non-dropping-particle":"","parse-names":false,"suffix":""},{"dropping-particle":"","family":"Ludwig","given":"Wolf-Dieter","non-dropping-particle":"","parse-names":false,"suffix":""},{"dropping-particle":"","family":"Maschmeyer","given":"Georg","non-dropping-particle":"","parse-names":false,"suffix":""},{"dropping-particle":"","family":"Rieder","given":"Harald","non-dropping-particle":"","parse-names":false,"suffix":""},{"dropping-particle":"","family":"Schwartz","given":"Stefan","non-dropping-particle":"","parse-names":false,"suffix":""},{"dropping-particle":"","family":"Serve","given":"Hubert","non-dropping-particle":"","parse-names":false,"suffix":""},{"dropping-particle":"","family":"Thiel","given":"Eckhard","non-dropping-particle":"","parse-names":false,"suffix":""},{"dropping-particle":"","family":"Brüggemann","given":"Monika","non-dropping-particle":"","parse-names":false,"suffix":""},{"dropping-particle":"","family":"Hoelzer","given":"Dieter","non-dropping-particle":"","parse-names":false,"suffix":""},{"dropping-particle":"","family":"German Multicenter Study Group for Adult Acute Lymphoblastic Leukemia","given":"","non-dropping-particle":"","parse-names":false,"suffix":""}],"container-title":"Blood","id":"ITEM-2","issue":"9","issued":{"date-parts":[["2012","8","30"]]},"page":"1868-76","title":"Adult patients with acute lymphoblastic leukemia and molecular failure display a poor prognosis and are candidates for stem cell transplantation and targeted therapies.","type":"article-journal","volume":"120"},"uris":["http://www.mendeley.com/documents/?uuid=8085a756-02e2-3c8c-b56c-bec838e6ba45"]}],"mendeley":{"formattedCitation":"[55,62]","plainTextFormattedCitation":"[55,62]","previouslyFormattedCitation":"[55,62]"},"properties":{"noteIndex":0},"schema":"https://github.com/citation-style-language/schema/raw/master/csl-citation.json"}</w:instrText>
      </w:r>
      <w:r w:rsidR="00250B38">
        <w:fldChar w:fldCharType="separate"/>
      </w:r>
      <w:r w:rsidR="00A66456" w:rsidRPr="00A66456">
        <w:rPr>
          <w:noProof/>
        </w:rPr>
        <w:t>[55,62]</w:t>
      </w:r>
      <w:r w:rsidR="00250B38">
        <w:fldChar w:fldCharType="end"/>
      </w:r>
      <w:r w:rsidR="00250B38" w:rsidRPr="00DE0246">
        <w:t>.</w:t>
      </w:r>
    </w:p>
    <w:p w14:paraId="15E4A08C" w14:textId="757C2FE4" w:rsidR="00254823" w:rsidRPr="00617969" w:rsidRDefault="00254823" w:rsidP="00B3408C">
      <w:pPr>
        <w:ind w:firstLine="709"/>
        <w:contextualSpacing/>
        <w:rPr>
          <w:b/>
        </w:rPr>
      </w:pPr>
      <w:r w:rsidRPr="00617969">
        <w:rPr>
          <w:b/>
        </w:rPr>
        <w:t>Уровень убедительности рекомендаций</w:t>
      </w:r>
      <w:r w:rsidRPr="00617969" w:rsidDel="00670C55">
        <w:rPr>
          <w:b/>
        </w:rPr>
        <w:t xml:space="preserve"> </w:t>
      </w:r>
      <w:r w:rsidR="008D6CF7">
        <w:rPr>
          <w:b/>
        </w:rPr>
        <w:t xml:space="preserve">– </w:t>
      </w:r>
      <w:r>
        <w:rPr>
          <w:b/>
          <w:lang w:val="en-US"/>
        </w:rPr>
        <w:t>B</w:t>
      </w:r>
      <w:r w:rsidRPr="00617969">
        <w:rPr>
          <w:b/>
        </w:rPr>
        <w:t xml:space="preserve"> (уровень </w:t>
      </w:r>
      <w:r w:rsidRPr="00617969">
        <w:rPr>
          <w:b/>
          <w:spacing w:val="-1"/>
        </w:rPr>
        <w:t xml:space="preserve">достоверности доказательств </w:t>
      </w:r>
      <w:r>
        <w:rPr>
          <w:b/>
        </w:rPr>
        <w:t xml:space="preserve">– </w:t>
      </w:r>
      <w:r w:rsidR="00471C67">
        <w:rPr>
          <w:b/>
        </w:rPr>
        <w:t>5</w:t>
      </w:r>
      <w:r w:rsidR="00B3408C">
        <w:rPr>
          <w:b/>
        </w:rPr>
        <w:t>)</w:t>
      </w:r>
      <w:r w:rsidR="008D6CF7">
        <w:rPr>
          <w:b/>
        </w:rPr>
        <w:t>.</w:t>
      </w:r>
    </w:p>
    <w:p w14:paraId="7EEFCCD5" w14:textId="70DAF8F7" w:rsidR="00254823" w:rsidRPr="007B63F8" w:rsidRDefault="00254823" w:rsidP="00B3408C">
      <w:pPr>
        <w:spacing w:before="120"/>
        <w:ind w:firstLine="709"/>
        <w:contextualSpacing/>
        <w:rPr>
          <w:i/>
        </w:rPr>
      </w:pPr>
      <w:r w:rsidRPr="009F500F">
        <w:rPr>
          <w:b/>
        </w:rPr>
        <w:t>Комментарии:</w:t>
      </w:r>
      <w:r w:rsidRPr="009F500F">
        <w:rPr>
          <w:i/>
        </w:rPr>
        <w:t xml:space="preserve"> </w:t>
      </w:r>
      <w:r w:rsidR="00C96A07" w:rsidRPr="009F500F">
        <w:rPr>
          <w:i/>
        </w:rPr>
        <w:t xml:space="preserve">Раньше </w:t>
      </w:r>
      <w:r w:rsidR="00104F37" w:rsidRPr="009F500F">
        <w:rPr>
          <w:i/>
        </w:rPr>
        <w:t xml:space="preserve">в России </w:t>
      </w:r>
      <w:r w:rsidR="00C96A07" w:rsidRPr="009F500F">
        <w:rPr>
          <w:i/>
        </w:rPr>
        <w:t>ауто-ТГСК проводилась</w:t>
      </w:r>
      <w:r w:rsidRPr="009F500F">
        <w:rPr>
          <w:i/>
        </w:rPr>
        <w:t xml:space="preserve"> как поздняя высокодозная консолидация чаще всего в лечении Т-клеточных </w:t>
      </w:r>
      <w:r w:rsidR="006471C2" w:rsidRPr="009F500F">
        <w:rPr>
          <w:i/>
        </w:rPr>
        <w:t>ОЛ</w:t>
      </w:r>
      <w:r w:rsidR="00C96A07" w:rsidRPr="009F500F">
        <w:rPr>
          <w:i/>
        </w:rPr>
        <w:t>, однако рандомизированное исследование «ОЛЛ-2016» не показало улучшения результатов терапии в группе пациентов с ауто-ТГСК</w:t>
      </w:r>
      <w:r w:rsidRPr="009F500F">
        <w:rPr>
          <w:i/>
        </w:rPr>
        <w:t>. В</w:t>
      </w:r>
      <w:r w:rsidRPr="007B63F8">
        <w:rPr>
          <w:i/>
        </w:rPr>
        <w:t xml:space="preserve"> зарубежных исследованиях ауто</w:t>
      </w:r>
      <w:r w:rsidR="006471C2">
        <w:rPr>
          <w:i/>
        </w:rPr>
        <w:t>-</w:t>
      </w:r>
      <w:r w:rsidRPr="007B63F8">
        <w:rPr>
          <w:i/>
        </w:rPr>
        <w:t xml:space="preserve">ТГСК рекомендуется у </w:t>
      </w:r>
      <w:r w:rsidR="00B3408C">
        <w:rPr>
          <w:i/>
        </w:rPr>
        <w:t>пациентов</w:t>
      </w:r>
      <w:r w:rsidR="00B3408C" w:rsidRPr="00A47B1D">
        <w:rPr>
          <w:i/>
        </w:rPr>
        <w:t xml:space="preserve"> </w:t>
      </w:r>
      <w:r w:rsidRPr="007B63F8">
        <w:rPr>
          <w:i/>
        </w:rPr>
        <w:t xml:space="preserve">в молекулярной ремиссии </w:t>
      </w:r>
      <w:r w:rsidRPr="007B63F8">
        <w:rPr>
          <w:i/>
          <w:lang w:val="en-US"/>
        </w:rPr>
        <w:t>Ph</w:t>
      </w:r>
      <w:r w:rsidRPr="007B63F8">
        <w:rPr>
          <w:i/>
        </w:rPr>
        <w:t xml:space="preserve">-позитивного ОЛЛ. Алло-ТГСК является обязательным этапом терапии </w:t>
      </w:r>
      <w:r w:rsidR="00B3408C">
        <w:rPr>
          <w:i/>
        </w:rPr>
        <w:t>пациентов с</w:t>
      </w:r>
      <w:r w:rsidRPr="007B63F8">
        <w:rPr>
          <w:i/>
        </w:rPr>
        <w:t xml:space="preserve"> ОЛЛ из группы высокого риска, и ее эффективность связана с формированием постоянного иммунологического контроля за оставшимся после цитостатического во</w:t>
      </w:r>
      <w:r w:rsidR="00020217">
        <w:rPr>
          <w:i/>
        </w:rPr>
        <w:t>з</w:t>
      </w:r>
      <w:r w:rsidRPr="007B63F8">
        <w:rPr>
          <w:i/>
        </w:rPr>
        <w:t>д</w:t>
      </w:r>
      <w:r w:rsidR="00020217">
        <w:rPr>
          <w:i/>
        </w:rPr>
        <w:t>е</w:t>
      </w:r>
      <w:r w:rsidRPr="007B63F8">
        <w:rPr>
          <w:i/>
        </w:rPr>
        <w:t xml:space="preserve">йствия опухолевым клоном (реакции </w:t>
      </w:r>
      <w:r w:rsidR="00713574">
        <w:rPr>
          <w:i/>
        </w:rPr>
        <w:t>«</w:t>
      </w:r>
      <w:r w:rsidRPr="007B63F8">
        <w:rPr>
          <w:i/>
        </w:rPr>
        <w:t>трансплантат против хозяина</w:t>
      </w:r>
      <w:r w:rsidR="00713574">
        <w:rPr>
          <w:i/>
        </w:rPr>
        <w:t>»</w:t>
      </w:r>
      <w:r w:rsidRPr="007B63F8">
        <w:rPr>
          <w:i/>
        </w:rPr>
        <w:t>).</w:t>
      </w:r>
    </w:p>
    <w:p w14:paraId="50920D80" w14:textId="0FBF3272" w:rsidR="00254823" w:rsidRDefault="00254823" w:rsidP="00FF4C81">
      <w:pPr>
        <w:pStyle w:val="a6"/>
        <w:numPr>
          <w:ilvl w:val="0"/>
          <w:numId w:val="19"/>
        </w:numPr>
        <w:spacing w:before="120" w:after="0" w:line="360" w:lineRule="auto"/>
        <w:contextualSpacing/>
        <w:rPr>
          <w:i/>
          <w:szCs w:val="24"/>
        </w:rPr>
      </w:pPr>
      <w:r w:rsidRPr="00975419">
        <w:rPr>
          <w:b/>
          <w:szCs w:val="24"/>
        </w:rPr>
        <w:t>Рекомендуется</w:t>
      </w:r>
      <w:r>
        <w:rPr>
          <w:i/>
          <w:szCs w:val="24"/>
        </w:rPr>
        <w:t xml:space="preserve"> </w:t>
      </w:r>
      <w:r w:rsidRPr="00C61216">
        <w:rPr>
          <w:szCs w:val="24"/>
        </w:rPr>
        <w:t>всем</w:t>
      </w:r>
      <w:r>
        <w:rPr>
          <w:szCs w:val="24"/>
        </w:rPr>
        <w:t xml:space="preserve"> пациентам</w:t>
      </w:r>
      <w:r>
        <w:rPr>
          <w:i/>
          <w:szCs w:val="24"/>
        </w:rPr>
        <w:t xml:space="preserve"> </w:t>
      </w:r>
      <w:r w:rsidRPr="00DE0246">
        <w:rPr>
          <w:szCs w:val="24"/>
        </w:rPr>
        <w:t xml:space="preserve">выполнять </w:t>
      </w:r>
      <w:r w:rsidRPr="00DE0246">
        <w:rPr>
          <w:b/>
          <w:szCs w:val="24"/>
        </w:rPr>
        <w:t xml:space="preserve">профилактику </w:t>
      </w:r>
      <w:r w:rsidRPr="00DE0246">
        <w:rPr>
          <w:szCs w:val="24"/>
        </w:rPr>
        <w:t>или</w:t>
      </w:r>
      <w:r w:rsidR="00020217">
        <w:rPr>
          <w:szCs w:val="24"/>
        </w:rPr>
        <w:t>,</w:t>
      </w:r>
      <w:r w:rsidRPr="00DE0246">
        <w:rPr>
          <w:szCs w:val="24"/>
        </w:rPr>
        <w:t xml:space="preserve"> при необходимости</w:t>
      </w:r>
      <w:r w:rsidR="00020217">
        <w:rPr>
          <w:szCs w:val="24"/>
        </w:rPr>
        <w:t>,</w:t>
      </w:r>
      <w:r w:rsidRPr="00DE0246">
        <w:rPr>
          <w:b/>
          <w:szCs w:val="24"/>
        </w:rPr>
        <w:t xml:space="preserve"> лечение </w:t>
      </w:r>
      <w:r w:rsidRPr="00DE0246">
        <w:rPr>
          <w:szCs w:val="24"/>
        </w:rPr>
        <w:t>нейролейкемии</w:t>
      </w:r>
      <w:r w:rsidR="00250B38">
        <w:rPr>
          <w:szCs w:val="24"/>
        </w:rPr>
        <w:t xml:space="preserve"> </w:t>
      </w:r>
      <w:r w:rsidR="00250B38">
        <w:rPr>
          <w:szCs w:val="24"/>
        </w:rPr>
        <w:fldChar w:fldCharType="begin" w:fldLock="1"/>
      </w:r>
      <w:r w:rsidR="002466C9">
        <w:rPr>
          <w:szCs w:val="24"/>
        </w:rPr>
        <w:instrText>ADDIN CSL_CITATION {"citationItems":[{"id":"ITEM-1","itemData":{"DOI":"10.1182/blood-2005-11-4666","ISSN":"0006-4971","PMID":"16556888","abstract":"Outcome of acute lymphoblastic leukemia (ALL) in adults with central nervous system (CNS) disease at diagnosis is unclear. We treated 1508 de novo ALL patients with 2-phase induction and then high-dose methotrexate with l-asparaginase. Patients up to 50 years old in first remission (CR1) with a matched related donor (MRD) underwent an allogeneic stem cell transplantation (SCT); the remainder in CR1 were randomized to an autologous SCT or intensive consolidation followed by maintenance chemotherapy. Philadelphia chromosome (Ph)-positive patients were offered a matched unrelated donor (MUD) allogeneic SCT. Seventy-seven of 1508 (5%) patients a median age of 29 years had CNS leukemia at presentation; 13 of the 77 (17%) had Ph-positive ALL. Sixty-nine of 77 (90%) patients attained CR1. Thirty-six patients underwent transplantation in CR1 (25 MRD, 5 MUD, and 6 autografts). Eleven of 25 patients with MRD transplantation remain alive at 21 to 102 months, 2 of 5 with MUD at 42 and 71 months, and 1 of 6 with autologous SCT at 35 months. Seven of 27 treated with consolidation/maintenance remain in CR1 56 to 137 months after diagnosis. Overall survival at 5 years was 29% in those with CNS involvement at diagnosis versus 38% (P = .03) for those without. CNS leukemia in adult ALL is uncommon at diagnosis. Adult Ph-negative ALL patients, however, can attain long-term disease-free survival using SCT as well as conventional chemotherapy.","author":[{"dropping-particle":"","family":"Lazarus","given":"Hillard M","non-dropping-particle":"","parse-names":false,"suffix":""},{"dropping-particle":"","family":"Richards","given":"Susan M","non-dropping-particle":"","parse-names":false,"suffix":""},{"dropping-particle":"","family":"Chopra","given":"Raj","non-dropping-particle":"","parse-names":false,"suffix":""},{"dropping-particle":"","family":"Litzow","given":"Mark R","non-dropping-particle":"","parse-names":false,"suffix":""},{"dropping-particle":"","family":"Burnett","given":"Alan K","non-dropping-particle":"","parse-names":false,"suffix":""},{"dropping-particle":"","family":"Wiernik","given":"Peter H","non-dropping-particle":"","parse-names":false,"suffix":""},{"dropping-particle":"","family":"Franklin","given":"Ian M","non-dropping-particle":"","parse-names":false,"suffix":""},{"dropping-particle":"","family":"Tallman","given":"Martin S","non-dropping-particle":"","parse-names":false,"suffix":""},{"dropping-particle":"","family":"Cook","given":"Lucy","non-dropping-particle":"","parse-names":false,"suffix":""},{"dropping-particle":"","family":"Buck","given":"Georgina","non-dropping-particle":"","parse-names":false,"suffix":""},{"dropping-particle":"","family":"Durrant","given":"I Jill","non-dropping-particle":"","parse-names":false,"suffix":""},{"dropping-particle":"","family":"Rowe","given":"Jacob M","non-dropping-particle":"","parse-names":false,"suffix":""},{"dropping-particle":"","family":"Goldstone","given":"Anthony H","non-dropping-particle":"","parse-names":false,"suffix":""},{"dropping-particle":"","family":"Medical Research Council (MRC)/National Cancer Research Institute (NCRI) Adult Leukaemia Working Party of the United Kingdom and the Eastern Cooperative Oncology Group","given":"","non-dropping-particle":"","parse-names":false,"suffix":""}],"container-title":"Blood","id":"ITEM-1","issue":"2","issued":{"date-parts":[["2006","7","15"]]},"page":"465-72","title":"Central nervous system involvement in adult acute lymphoblastic leukemia at diagnosis: results from the international ALL trial MRC UKALL XII/ECOG E2993.","type":"article-journal","volume":"108"},"uris":["http://www.mendeley.com/documents/?uuid=9900bb12-4887-3eaf-be05-4f7a7b0a9e8b"]},{"id":"ITEM-2","itemData":{"DOI":"10.1179/102453308X343374","ISSN":"1607-8454","PMID":"18854093","abstract":"Central nervous system (CNS) involvement is identified at the time of diagnosis in less than 10% of adult acute lymphoblastic leukemia (ALL). These patients can attain long-term disease-free survival. CNS disease at presentation does not appear to be an independent poor prognostic factor. Because of the difficulty in treating CNS leukemia, innovative treatments and alternative delivery techniques are needed. The outcome in such patients is a reflection of an aggressive systemic and CNS-directed therapy. However, CNS toxicity represents the dose-limiting side effect of treatment. With effective CNS prophylaxis including intrathecal chemotherapy, high-dose systemic administration of certain agents and cranial irradiation, most adults with ALL without CNS disease at diagnosis may remain free of CNS leukemia. Leukemic relapse remains a major therapeutic problem and CNS involvement at the time of relapse occurs in 1-15% of cases. Adult ALL with CNS recurrence remains of poor prognosis and is generally associated with a systemic relapse.","author":[{"dropping-particle":"","family":"Thomas","given":"Xavier","non-dropping-particle":"","parse-names":false,"suffix":""},{"dropping-particle":"","family":"Le","given":"Quoc-Hung","non-dropping-particle":"","parse-names":false,"suffix":""}],"container-title":"Hematology (Amsterdam, Netherlands)","id":"ITEM-2","issue":"5","issued":{"date-parts":[["2008","10"]]},"page":"293-302","title":"Central nervous system involvement in adult acute lymphoblastic leukemia.","type":"article-journal","volume":"13"},"uris":["http://www.mendeley.com/documents/?uuid=3d5b1d9c-6171-3cf7-86e6-b237edded1ab"]}],"mendeley":{"formattedCitation":"[12,39]","plainTextFormattedCitation":"[12,39]","previouslyFormattedCitation":"[12,39]"},"properties":{"noteIndex":0},"schema":"https://github.com/citation-style-language/schema/raw/master/csl-citation.json"}</w:instrText>
      </w:r>
      <w:r w:rsidR="00250B38">
        <w:rPr>
          <w:szCs w:val="24"/>
        </w:rPr>
        <w:fldChar w:fldCharType="separate"/>
      </w:r>
      <w:r w:rsidR="00A66456" w:rsidRPr="00A66456">
        <w:rPr>
          <w:noProof/>
          <w:szCs w:val="24"/>
        </w:rPr>
        <w:t>[12,39]</w:t>
      </w:r>
      <w:r w:rsidR="00250B38">
        <w:rPr>
          <w:szCs w:val="24"/>
        </w:rPr>
        <w:fldChar w:fldCharType="end"/>
      </w:r>
      <w:r w:rsidR="00250B38" w:rsidRPr="00DE0246">
        <w:rPr>
          <w:szCs w:val="24"/>
        </w:rPr>
        <w:t>.</w:t>
      </w:r>
      <w:r w:rsidR="00250B38" w:rsidRPr="007B63F8">
        <w:rPr>
          <w:i/>
          <w:szCs w:val="24"/>
        </w:rPr>
        <w:t xml:space="preserve"> </w:t>
      </w:r>
      <w:r w:rsidRPr="007B63F8">
        <w:rPr>
          <w:i/>
          <w:szCs w:val="24"/>
        </w:rPr>
        <w:t xml:space="preserve"> </w:t>
      </w:r>
    </w:p>
    <w:p w14:paraId="0E1CC6BD" w14:textId="522A5D0F" w:rsidR="00254823" w:rsidRPr="00617969" w:rsidRDefault="00254823" w:rsidP="00B3408C">
      <w:pPr>
        <w:ind w:firstLine="709"/>
        <w:contextualSpacing/>
        <w:rPr>
          <w:b/>
        </w:rPr>
      </w:pPr>
      <w:r w:rsidRPr="00617969">
        <w:rPr>
          <w:b/>
        </w:rPr>
        <w:t>Уровень убедительности рекомендаций</w:t>
      </w:r>
      <w:r w:rsidRPr="00617969" w:rsidDel="00670C55">
        <w:rPr>
          <w:b/>
        </w:rPr>
        <w:t xml:space="preserve"> </w:t>
      </w:r>
      <w:r w:rsidR="00713574">
        <w:rPr>
          <w:b/>
        </w:rPr>
        <w:t xml:space="preserve">– </w:t>
      </w:r>
      <w:r w:rsidR="007A051C">
        <w:rPr>
          <w:b/>
        </w:rPr>
        <w:t>С</w:t>
      </w:r>
      <w:r w:rsidRPr="00617969">
        <w:rPr>
          <w:b/>
        </w:rPr>
        <w:t xml:space="preserve"> (уровень </w:t>
      </w:r>
      <w:r w:rsidRPr="00617969">
        <w:rPr>
          <w:b/>
          <w:spacing w:val="-1"/>
        </w:rPr>
        <w:t xml:space="preserve">достоверности доказательств </w:t>
      </w:r>
      <w:r>
        <w:rPr>
          <w:b/>
        </w:rPr>
        <w:t xml:space="preserve">– </w:t>
      </w:r>
      <w:r w:rsidR="007A051C">
        <w:rPr>
          <w:b/>
        </w:rPr>
        <w:t>5</w:t>
      </w:r>
      <w:r w:rsidR="00B3408C">
        <w:rPr>
          <w:b/>
        </w:rPr>
        <w:t>)</w:t>
      </w:r>
      <w:r w:rsidR="00713574">
        <w:rPr>
          <w:b/>
        </w:rPr>
        <w:t>.</w:t>
      </w:r>
    </w:p>
    <w:p w14:paraId="0100EEF8" w14:textId="77777777" w:rsidR="00254823" w:rsidRDefault="00254823" w:rsidP="00A7331E">
      <w:pPr>
        <w:pStyle w:val="a6"/>
        <w:spacing w:before="120" w:after="0" w:line="360" w:lineRule="auto"/>
        <w:ind w:firstLine="709"/>
        <w:contextualSpacing/>
        <w:rPr>
          <w:i/>
          <w:szCs w:val="24"/>
        </w:rPr>
      </w:pPr>
      <w:r w:rsidRPr="00975419">
        <w:rPr>
          <w:b/>
          <w:szCs w:val="24"/>
        </w:rPr>
        <w:lastRenderedPageBreak/>
        <w:t>Комментарии:</w:t>
      </w:r>
      <w:r>
        <w:rPr>
          <w:i/>
          <w:szCs w:val="24"/>
        </w:rPr>
        <w:t xml:space="preserve"> </w:t>
      </w:r>
      <w:r w:rsidR="006471C2">
        <w:rPr>
          <w:i/>
          <w:szCs w:val="24"/>
        </w:rPr>
        <w:t>э</w:t>
      </w:r>
      <w:r w:rsidR="006471C2" w:rsidRPr="007B63F8">
        <w:rPr>
          <w:i/>
          <w:szCs w:val="24"/>
        </w:rPr>
        <w:t xml:space="preserve">тот </w:t>
      </w:r>
      <w:r w:rsidRPr="007B63F8">
        <w:rPr>
          <w:i/>
          <w:szCs w:val="24"/>
        </w:rPr>
        <w:t>этап распределяется на вс</w:t>
      </w:r>
      <w:r w:rsidR="00713574">
        <w:rPr>
          <w:i/>
          <w:szCs w:val="24"/>
        </w:rPr>
        <w:t>е периоды программного лечения –</w:t>
      </w:r>
      <w:r w:rsidRPr="007B63F8">
        <w:rPr>
          <w:i/>
          <w:szCs w:val="24"/>
        </w:rPr>
        <w:t xml:space="preserve"> индукцию ремиссии, консолидацию и поддерживающее лечение. Обычно профилактику ней</w:t>
      </w:r>
      <w:r w:rsidR="00713574">
        <w:rPr>
          <w:i/>
          <w:szCs w:val="24"/>
        </w:rPr>
        <w:t>ролейкемии (основной период – 5–</w:t>
      </w:r>
      <w:r w:rsidRPr="007B63F8">
        <w:rPr>
          <w:i/>
          <w:szCs w:val="24"/>
        </w:rPr>
        <w:t xml:space="preserve">6 интратекальных введений препаратов) осуществляют в период </w:t>
      </w:r>
      <w:r w:rsidR="00222052">
        <w:rPr>
          <w:i/>
          <w:szCs w:val="24"/>
        </w:rPr>
        <w:t>ИТ</w:t>
      </w:r>
      <w:r w:rsidRPr="007B63F8">
        <w:rPr>
          <w:i/>
          <w:szCs w:val="24"/>
        </w:rPr>
        <w:t xml:space="preserve">, затем в течение всех этапов консолидации и поддерживающей терапии выполняются профилактические пункции с разной частотой на разных этапах (в среднем число профилактических люмбальных пункций </w:t>
      </w:r>
      <w:r w:rsidR="00713574">
        <w:rPr>
          <w:i/>
          <w:szCs w:val="24"/>
        </w:rPr>
        <w:t>должно соствлять 15–</w:t>
      </w:r>
      <w:r>
        <w:rPr>
          <w:i/>
          <w:szCs w:val="24"/>
        </w:rPr>
        <w:t xml:space="preserve">20). </w:t>
      </w:r>
      <w:r w:rsidRPr="007B63F8">
        <w:rPr>
          <w:i/>
          <w:szCs w:val="24"/>
        </w:rPr>
        <w:t>Лечение нейролейкемии осуществляют по иным принципам. Сначала проводят интратекальные введения цитостатич</w:t>
      </w:r>
      <w:r w:rsidR="00713574">
        <w:rPr>
          <w:i/>
          <w:szCs w:val="24"/>
        </w:rPr>
        <w:t>еских препаратов с частотой 1 раз в 2</w:t>
      </w:r>
      <w:r w:rsidR="00266DAC">
        <w:rPr>
          <w:i/>
          <w:szCs w:val="24"/>
        </w:rPr>
        <w:t>–</w:t>
      </w:r>
      <w:r w:rsidR="00713574">
        <w:rPr>
          <w:i/>
          <w:szCs w:val="24"/>
        </w:rPr>
        <w:t>3</w:t>
      </w:r>
      <w:r w:rsidRPr="007B63F8">
        <w:rPr>
          <w:i/>
          <w:szCs w:val="24"/>
        </w:rPr>
        <w:t xml:space="preserve"> дня до нормализации показателей цереброспинальной ж</w:t>
      </w:r>
      <w:r w:rsidR="00713574">
        <w:rPr>
          <w:i/>
          <w:szCs w:val="24"/>
        </w:rPr>
        <w:t>идкости и получения минимум 3</w:t>
      </w:r>
      <w:r w:rsidRPr="007B63F8">
        <w:rPr>
          <w:i/>
          <w:szCs w:val="24"/>
        </w:rPr>
        <w:t xml:space="preserve"> нормальных</w:t>
      </w:r>
      <w:r w:rsidR="00BF3112">
        <w:rPr>
          <w:i/>
          <w:szCs w:val="24"/>
        </w:rPr>
        <w:t xml:space="preserve"> результатов анализа ликвора</w:t>
      </w:r>
      <w:r w:rsidRPr="007B63F8">
        <w:rPr>
          <w:i/>
          <w:szCs w:val="24"/>
        </w:rPr>
        <w:t xml:space="preserve">. Затем пункции в течение полугода проводятся с частотой </w:t>
      </w:r>
      <w:r w:rsidR="00713574">
        <w:rPr>
          <w:i/>
          <w:szCs w:val="24"/>
        </w:rPr>
        <w:t>1 раз в 2</w:t>
      </w:r>
      <w:r w:rsidR="00266DAC">
        <w:rPr>
          <w:i/>
          <w:szCs w:val="24"/>
        </w:rPr>
        <w:t>–</w:t>
      </w:r>
      <w:r w:rsidR="00713574">
        <w:rPr>
          <w:i/>
          <w:szCs w:val="24"/>
        </w:rPr>
        <w:t>3 недели</w:t>
      </w:r>
      <w:r w:rsidRPr="007B63F8">
        <w:rPr>
          <w:i/>
          <w:szCs w:val="24"/>
        </w:rPr>
        <w:t xml:space="preserve"> с последующим переходом на профилактический режим введения. В большинстве случаев </w:t>
      </w:r>
      <w:r w:rsidR="00020217" w:rsidRPr="007B63F8">
        <w:rPr>
          <w:i/>
          <w:szCs w:val="24"/>
        </w:rPr>
        <w:t>облучени</w:t>
      </w:r>
      <w:r w:rsidR="00020217">
        <w:rPr>
          <w:i/>
          <w:szCs w:val="24"/>
        </w:rPr>
        <w:t>е</w:t>
      </w:r>
      <w:r w:rsidR="00020217" w:rsidRPr="007B63F8">
        <w:rPr>
          <w:i/>
          <w:szCs w:val="24"/>
        </w:rPr>
        <w:t xml:space="preserve"> </w:t>
      </w:r>
      <w:r w:rsidRPr="007B63F8">
        <w:rPr>
          <w:i/>
          <w:szCs w:val="24"/>
        </w:rPr>
        <w:t xml:space="preserve">головы в дозе 2400 рад не требуется. Этот подход может быть использован лишь у тех </w:t>
      </w:r>
      <w:r w:rsidR="00EF50E6" w:rsidRPr="00EF50E6">
        <w:rPr>
          <w:i/>
          <w:szCs w:val="24"/>
        </w:rPr>
        <w:t>пациентов</w:t>
      </w:r>
      <w:r w:rsidRPr="007B63F8">
        <w:rPr>
          <w:i/>
          <w:szCs w:val="24"/>
        </w:rPr>
        <w:t>, у кого вследствие различных причин (анатомические особенности, крайне тяжелая переносимость</w:t>
      </w:r>
      <w:r w:rsidR="00BF3112">
        <w:rPr>
          <w:i/>
          <w:szCs w:val="24"/>
        </w:rPr>
        <w:t xml:space="preserve"> спинномозговой пункции</w:t>
      </w:r>
      <w:r w:rsidRPr="007B63F8">
        <w:rPr>
          <w:i/>
          <w:szCs w:val="24"/>
        </w:rPr>
        <w:t xml:space="preserve">) профилактика нейролейкемии с помощью интратекальных введений цитостатических препаратов выполнена быть не может. Также вопрос о </w:t>
      </w:r>
      <w:r w:rsidR="00FE5C5B" w:rsidRPr="007B63F8">
        <w:rPr>
          <w:i/>
          <w:szCs w:val="24"/>
        </w:rPr>
        <w:t>применени</w:t>
      </w:r>
      <w:r w:rsidR="00FE5C5B">
        <w:rPr>
          <w:i/>
          <w:szCs w:val="24"/>
        </w:rPr>
        <w:t>и</w:t>
      </w:r>
      <w:r w:rsidR="00FE5C5B" w:rsidRPr="007B63F8">
        <w:rPr>
          <w:i/>
          <w:szCs w:val="24"/>
        </w:rPr>
        <w:t xml:space="preserve"> </w:t>
      </w:r>
      <w:r w:rsidRPr="007B63F8">
        <w:rPr>
          <w:i/>
          <w:szCs w:val="24"/>
        </w:rPr>
        <w:t>облучения головы поднимается при рефрактерном течении нейролейкемии (от</w:t>
      </w:r>
      <w:r w:rsidR="00713574">
        <w:rPr>
          <w:i/>
          <w:szCs w:val="24"/>
        </w:rPr>
        <w:t>сутствие полного ответа через 5–</w:t>
      </w:r>
      <w:r w:rsidRPr="007B63F8">
        <w:rPr>
          <w:i/>
          <w:szCs w:val="24"/>
        </w:rPr>
        <w:t>6 введений препаратов).</w:t>
      </w:r>
    </w:p>
    <w:p w14:paraId="6A72F012" w14:textId="1C55923F" w:rsidR="00ED5F68" w:rsidRPr="009F500F" w:rsidRDefault="00ED5F68" w:rsidP="00ED5F68">
      <w:pPr>
        <w:pStyle w:val="a6"/>
        <w:numPr>
          <w:ilvl w:val="0"/>
          <w:numId w:val="19"/>
        </w:numPr>
        <w:spacing w:before="120" w:after="0" w:line="360" w:lineRule="auto"/>
        <w:contextualSpacing/>
        <w:rPr>
          <w:i/>
          <w:szCs w:val="24"/>
        </w:rPr>
      </w:pPr>
      <w:r w:rsidRPr="009F500F">
        <w:rPr>
          <w:b/>
          <w:szCs w:val="24"/>
        </w:rPr>
        <w:t>Рекомендуется</w:t>
      </w:r>
      <w:r w:rsidRPr="009F500F">
        <w:rPr>
          <w:i/>
          <w:szCs w:val="24"/>
        </w:rPr>
        <w:t xml:space="preserve"> </w:t>
      </w:r>
      <w:r w:rsidRPr="009F500F">
        <w:rPr>
          <w:szCs w:val="24"/>
        </w:rPr>
        <w:t>всем пациентам</w:t>
      </w:r>
      <w:r w:rsidRPr="009F500F">
        <w:rPr>
          <w:i/>
          <w:szCs w:val="24"/>
        </w:rPr>
        <w:t xml:space="preserve"> </w:t>
      </w:r>
      <w:r w:rsidRPr="009F500F">
        <w:rPr>
          <w:szCs w:val="24"/>
        </w:rPr>
        <w:t xml:space="preserve">при возникновении аллергической реакции на нативную </w:t>
      </w:r>
      <w:r w:rsidRPr="009F500F">
        <w:rPr>
          <w:szCs w:val="24"/>
          <w:lang w:val="en-US"/>
        </w:rPr>
        <w:t>L</w:t>
      </w:r>
      <w:r w:rsidRPr="009F500F">
        <w:rPr>
          <w:szCs w:val="24"/>
        </w:rPr>
        <w:t>-аспарагиназу препарат заменять на пэгилированную форму — пэгаспаргазу.</w:t>
      </w:r>
      <w:r w:rsidRPr="009F500F">
        <w:rPr>
          <w:i/>
          <w:szCs w:val="24"/>
        </w:rPr>
        <w:t xml:space="preserve">  </w:t>
      </w:r>
    </w:p>
    <w:p w14:paraId="5670C7FE" w14:textId="77777777" w:rsidR="00ED5F68" w:rsidRPr="009F500F" w:rsidRDefault="00ED5F68" w:rsidP="00ED5F68">
      <w:pPr>
        <w:ind w:firstLine="709"/>
        <w:contextualSpacing/>
        <w:rPr>
          <w:b/>
          <w:szCs w:val="24"/>
        </w:rPr>
      </w:pPr>
      <w:r w:rsidRPr="009F500F">
        <w:rPr>
          <w:b/>
          <w:szCs w:val="24"/>
        </w:rPr>
        <w:t>Уровень убедительности рекомендаций</w:t>
      </w:r>
      <w:r w:rsidRPr="009F500F" w:rsidDel="00670C55">
        <w:rPr>
          <w:b/>
          <w:szCs w:val="24"/>
        </w:rPr>
        <w:t xml:space="preserve"> </w:t>
      </w:r>
      <w:r w:rsidRPr="009F500F">
        <w:rPr>
          <w:b/>
          <w:szCs w:val="24"/>
        </w:rPr>
        <w:t xml:space="preserve">– С (уровень </w:t>
      </w:r>
      <w:r w:rsidRPr="009F500F">
        <w:rPr>
          <w:b/>
          <w:spacing w:val="-1"/>
          <w:szCs w:val="24"/>
        </w:rPr>
        <w:t xml:space="preserve">достоверности доказательств </w:t>
      </w:r>
      <w:r w:rsidRPr="009F500F">
        <w:rPr>
          <w:b/>
          <w:szCs w:val="24"/>
        </w:rPr>
        <w:t>– 5).</w:t>
      </w:r>
    </w:p>
    <w:p w14:paraId="63FA6526" w14:textId="1D38DAFC" w:rsidR="00C76CE3" w:rsidRPr="009F500F" w:rsidRDefault="00ED5F68" w:rsidP="001B4D72">
      <w:pPr>
        <w:pStyle w:val="a6"/>
        <w:spacing w:before="120" w:after="0" w:line="360" w:lineRule="auto"/>
        <w:ind w:firstLine="709"/>
        <w:contextualSpacing/>
        <w:rPr>
          <w:i/>
          <w:szCs w:val="24"/>
          <w:lang w:eastAsia="it-IT"/>
        </w:rPr>
      </w:pPr>
      <w:r w:rsidRPr="009F500F">
        <w:rPr>
          <w:b/>
          <w:szCs w:val="24"/>
        </w:rPr>
        <w:t>Комментарии:</w:t>
      </w:r>
      <w:r w:rsidRPr="009F500F">
        <w:rPr>
          <w:i/>
          <w:szCs w:val="24"/>
        </w:rPr>
        <w:t xml:space="preserve"> если не предписано иное</w:t>
      </w:r>
      <w:r w:rsidR="008642DE" w:rsidRPr="009F500F">
        <w:rPr>
          <w:i/>
          <w:szCs w:val="24"/>
        </w:rPr>
        <w:t xml:space="preserve"> (согласно применяемому протоколу)</w:t>
      </w:r>
      <w:r w:rsidRPr="009F500F">
        <w:rPr>
          <w:i/>
          <w:szCs w:val="24"/>
        </w:rPr>
        <w:t xml:space="preserve">, рекомендуемый режим дозирования у взрослых старше 21 года – </w:t>
      </w:r>
      <w:r w:rsidR="008642DE" w:rsidRPr="009F500F">
        <w:rPr>
          <w:i/>
          <w:szCs w:val="24"/>
        </w:rPr>
        <w:t xml:space="preserve">до </w:t>
      </w:r>
      <w:r w:rsidRPr="009F500F">
        <w:rPr>
          <w:i/>
          <w:szCs w:val="24"/>
        </w:rPr>
        <w:t>2</w:t>
      </w:r>
      <w:r w:rsidR="00387A25">
        <w:rPr>
          <w:i/>
          <w:szCs w:val="24"/>
        </w:rPr>
        <w:t>500 МЕ пэгаспаргазы</w:t>
      </w:r>
      <w:r w:rsidRPr="009F500F">
        <w:rPr>
          <w:i/>
          <w:szCs w:val="24"/>
        </w:rPr>
        <w:t xml:space="preserve"> каждые 14 дней. </w:t>
      </w:r>
      <w:bookmarkStart w:id="97" w:name="_Toc5373980"/>
      <w:bookmarkStart w:id="98" w:name="_Toc13484811"/>
      <w:bookmarkStart w:id="99" w:name="_Toc26796709"/>
      <w:bookmarkStart w:id="100" w:name="_Toc64467925"/>
      <w:r w:rsidRPr="009F500F">
        <w:rPr>
          <w:i/>
          <w:szCs w:val="24"/>
        </w:rPr>
        <w:t xml:space="preserve">Противопоказанием при применении </w:t>
      </w:r>
      <w:r w:rsidR="00387A25" w:rsidRPr="00387A25">
        <w:rPr>
          <w:i/>
          <w:szCs w:val="24"/>
        </w:rPr>
        <w:t>пэгаспаргазы</w:t>
      </w:r>
      <w:r w:rsidRPr="009F500F">
        <w:rPr>
          <w:i/>
          <w:szCs w:val="24"/>
        </w:rPr>
        <w:t xml:space="preserve"> является анафилактический шок при применении нативной </w:t>
      </w:r>
      <w:r w:rsidR="008642DE" w:rsidRPr="009F500F">
        <w:rPr>
          <w:i/>
          <w:szCs w:val="24"/>
        </w:rPr>
        <w:t xml:space="preserve">аспарагиназы </w:t>
      </w:r>
      <w:r w:rsidRPr="009F500F">
        <w:rPr>
          <w:i/>
          <w:szCs w:val="24"/>
        </w:rPr>
        <w:t xml:space="preserve">или </w:t>
      </w:r>
      <w:r w:rsidR="00387A25" w:rsidRPr="00387A25">
        <w:rPr>
          <w:i/>
          <w:szCs w:val="24"/>
        </w:rPr>
        <w:t>пэгаспаргазы</w:t>
      </w:r>
      <w:r w:rsidRPr="009F500F">
        <w:rPr>
          <w:i/>
          <w:szCs w:val="24"/>
        </w:rPr>
        <w:t>, тяжёлая печёночная недостаточность (билирубин в 3 раза прев</w:t>
      </w:r>
      <w:r w:rsidR="008642DE" w:rsidRPr="009F500F">
        <w:rPr>
          <w:i/>
          <w:szCs w:val="24"/>
        </w:rPr>
        <w:t>ышает верхний предел нормы</w:t>
      </w:r>
      <w:r w:rsidRPr="009F500F">
        <w:rPr>
          <w:i/>
          <w:szCs w:val="24"/>
        </w:rPr>
        <w:t>; трансаминазы в 10 раз превышают ВПН);</w:t>
      </w:r>
      <w:r w:rsidR="008642DE" w:rsidRPr="009F500F">
        <w:rPr>
          <w:i/>
          <w:szCs w:val="24"/>
        </w:rPr>
        <w:t xml:space="preserve"> </w:t>
      </w:r>
      <w:r w:rsidRPr="009F500F">
        <w:rPr>
          <w:i/>
          <w:szCs w:val="24"/>
          <w:lang w:eastAsia="it-IT"/>
        </w:rPr>
        <w:t>серьёзный тромбоз в анамнезе после терапии L</w:t>
      </w:r>
      <w:r w:rsidRPr="009F500F">
        <w:rPr>
          <w:i/>
          <w:szCs w:val="24"/>
          <w:lang w:eastAsia="it-IT"/>
        </w:rPr>
        <w:noBreakHyphen/>
        <w:t>аспарагиназой;</w:t>
      </w:r>
      <w:r w:rsidR="008642DE" w:rsidRPr="009F500F">
        <w:rPr>
          <w:i/>
          <w:szCs w:val="24"/>
          <w:lang w:eastAsia="it-IT"/>
        </w:rPr>
        <w:t xml:space="preserve"> </w:t>
      </w:r>
      <w:r w:rsidRPr="009F500F">
        <w:rPr>
          <w:i/>
          <w:szCs w:val="24"/>
          <w:lang w:eastAsia="it-IT"/>
        </w:rPr>
        <w:t>панкреатит в анамнезе, включая панкреатит, связанный с предшест</w:t>
      </w:r>
      <w:r w:rsidR="008642DE" w:rsidRPr="009F500F">
        <w:rPr>
          <w:i/>
          <w:szCs w:val="24"/>
          <w:lang w:eastAsia="it-IT"/>
        </w:rPr>
        <w:t>вующей терапией L</w:t>
      </w:r>
      <w:r w:rsidR="008642DE" w:rsidRPr="009F500F">
        <w:rPr>
          <w:i/>
          <w:szCs w:val="24"/>
          <w:lang w:eastAsia="it-IT"/>
        </w:rPr>
        <w:noBreakHyphen/>
        <w:t xml:space="preserve">аспарагиназой; </w:t>
      </w:r>
      <w:r w:rsidRPr="009F500F">
        <w:rPr>
          <w:i/>
          <w:szCs w:val="24"/>
          <w:lang w:eastAsia="it-IT"/>
        </w:rPr>
        <w:t>серьезные геморрагические осложнения в анамнезе после терапии L</w:t>
      </w:r>
      <w:r w:rsidRPr="009F500F">
        <w:rPr>
          <w:i/>
          <w:szCs w:val="24"/>
          <w:lang w:eastAsia="it-IT"/>
        </w:rPr>
        <w:noBreakHyphen/>
        <w:t>аспарагиназой</w:t>
      </w:r>
      <w:r w:rsidR="008642DE" w:rsidRPr="009F500F">
        <w:rPr>
          <w:i/>
          <w:szCs w:val="24"/>
          <w:lang w:eastAsia="it-IT"/>
        </w:rPr>
        <w:t xml:space="preserve">. Некоторые протоколы и схемы, в частности педиатрические, предполагают применение именно пегаспарагиназы и дозы указанные не могут быть применены или перерасчитаны на нативную </w:t>
      </w:r>
      <w:r w:rsidR="008642DE" w:rsidRPr="009F500F">
        <w:rPr>
          <w:i/>
          <w:szCs w:val="24"/>
          <w:lang w:val="en-US" w:eastAsia="it-IT"/>
        </w:rPr>
        <w:t>L</w:t>
      </w:r>
      <w:r w:rsidR="008642DE" w:rsidRPr="009F500F">
        <w:rPr>
          <w:i/>
          <w:szCs w:val="24"/>
          <w:lang w:eastAsia="it-IT"/>
        </w:rPr>
        <w:t>-аспарагиназу.</w:t>
      </w:r>
      <w:r w:rsidRPr="009F500F">
        <w:rPr>
          <w:i/>
          <w:noProof/>
          <w:szCs w:val="24"/>
        </w:rPr>
        <w:t xml:space="preserve"> </w:t>
      </w:r>
    </w:p>
    <w:p w14:paraId="1BDC5D50" w14:textId="497D38D7" w:rsidR="00254823" w:rsidRPr="00EF17D2" w:rsidRDefault="00A7331E" w:rsidP="004905C2">
      <w:pPr>
        <w:pStyle w:val="2"/>
      </w:pPr>
      <w:bookmarkStart w:id="101" w:name="_Toc64565639"/>
      <w:r>
        <w:rPr>
          <w:shd w:val="clear" w:color="auto" w:fill="FFFFFF"/>
        </w:rPr>
        <w:lastRenderedPageBreak/>
        <w:t>3.</w:t>
      </w:r>
      <w:r w:rsidR="003C141E" w:rsidRPr="00713574">
        <w:rPr>
          <w:shd w:val="clear" w:color="auto" w:fill="FFFFFF"/>
        </w:rPr>
        <w:t>2</w:t>
      </w:r>
      <w:r w:rsidR="00713574">
        <w:rPr>
          <w:shd w:val="clear" w:color="auto" w:fill="FFFFFF"/>
        </w:rPr>
        <w:t>.</w:t>
      </w:r>
      <w:r w:rsidR="00254823" w:rsidRPr="00EF17D2">
        <w:t xml:space="preserve"> </w:t>
      </w:r>
      <w:r w:rsidR="00254823" w:rsidRPr="008F665B">
        <w:t>Прогностические</w:t>
      </w:r>
      <w:r w:rsidR="00254823" w:rsidRPr="00EF17D2">
        <w:t xml:space="preserve"> </w:t>
      </w:r>
      <w:r w:rsidR="00254823" w:rsidRPr="008F665B">
        <w:t>факторы</w:t>
      </w:r>
      <w:r w:rsidR="00254823" w:rsidRPr="00EF17D2">
        <w:t xml:space="preserve"> </w:t>
      </w:r>
      <w:r w:rsidR="00254823">
        <w:t>эффективности</w:t>
      </w:r>
      <w:r w:rsidR="00254823" w:rsidRPr="00EF17D2">
        <w:t xml:space="preserve"> </w:t>
      </w:r>
      <w:r w:rsidR="00254823">
        <w:t>лечения</w:t>
      </w:r>
      <w:bookmarkEnd w:id="97"/>
      <w:bookmarkEnd w:id="98"/>
      <w:bookmarkEnd w:id="99"/>
      <w:bookmarkEnd w:id="100"/>
      <w:bookmarkEnd w:id="101"/>
    </w:p>
    <w:p w14:paraId="6FF488E6" w14:textId="51CE2399" w:rsidR="00254823" w:rsidRPr="00C065B8" w:rsidRDefault="00254823" w:rsidP="00FF4C81">
      <w:pPr>
        <w:numPr>
          <w:ilvl w:val="0"/>
          <w:numId w:val="19"/>
        </w:numPr>
        <w:rPr>
          <w:i/>
        </w:rPr>
      </w:pPr>
      <w:r>
        <w:rPr>
          <w:b/>
        </w:rPr>
        <w:t>Рекомендуется</w:t>
      </w:r>
      <w:r>
        <w:t xml:space="preserve"> применять факторы риска с целью оценки группы риска </w:t>
      </w:r>
      <w:r w:rsidR="00AF57F1">
        <w:t xml:space="preserve">и </w:t>
      </w:r>
      <w:r>
        <w:t>определения показаний к использованию</w:t>
      </w:r>
      <w:r w:rsidRPr="00CA7FDC">
        <w:t xml:space="preserve"> в период перво</w:t>
      </w:r>
      <w:r>
        <w:t xml:space="preserve">й </w:t>
      </w:r>
      <w:r w:rsidR="00222052">
        <w:t>ПР</w:t>
      </w:r>
      <w:r>
        <w:t xml:space="preserve"> </w:t>
      </w:r>
      <w:r w:rsidRPr="00CA7FDC">
        <w:t>алло</w:t>
      </w:r>
      <w:r w:rsidR="00AA3350">
        <w:t>-</w:t>
      </w:r>
      <w:r w:rsidR="00F33796">
        <w:t>ТГСК</w:t>
      </w:r>
      <w:r w:rsidR="003C141E" w:rsidRPr="00AA3350">
        <w:t xml:space="preserve"> </w:t>
      </w:r>
      <w:r w:rsidR="00AF57F1">
        <w:t xml:space="preserve">в </w:t>
      </w:r>
      <w:r w:rsidR="000A3C5F" w:rsidRPr="000A3C5F">
        <w:t>соответствии с конк</w:t>
      </w:r>
      <w:r w:rsidR="00AF57F1" w:rsidRPr="000A3C5F">
        <w:t>ретным протоколом лечения</w:t>
      </w:r>
      <w:r w:rsidR="00250B38">
        <w:t xml:space="preserve"> </w:t>
      </w:r>
      <w:r w:rsidR="00250B38">
        <w:rPr>
          <w:lang w:val="en-US"/>
        </w:rPr>
        <w:fldChar w:fldCharType="begin" w:fldLock="1"/>
      </w:r>
      <w:r w:rsidR="002466C9">
        <w:rPr>
          <w:lang w:val="en-US"/>
        </w:rPr>
        <w:instrText>ADDIN</w:instrText>
      </w:r>
      <w:r w:rsidR="002466C9" w:rsidRPr="00B929AC">
        <w:instrText xml:space="preserve"> </w:instrText>
      </w:r>
      <w:r w:rsidR="002466C9">
        <w:rPr>
          <w:lang w:val="en-US"/>
        </w:rPr>
        <w:instrText>CSL</w:instrText>
      </w:r>
      <w:r w:rsidR="002466C9" w:rsidRPr="00B929AC">
        <w:instrText>_</w:instrText>
      </w:r>
      <w:r w:rsidR="002466C9">
        <w:rPr>
          <w:lang w:val="en-US"/>
        </w:rPr>
        <w:instrText>CITATION</w:instrText>
      </w:r>
      <w:r w:rsidR="002466C9" w:rsidRPr="00B929AC">
        <w:instrText xml:space="preserve"> {"</w:instrText>
      </w:r>
      <w:r w:rsidR="002466C9">
        <w:rPr>
          <w:lang w:val="en-US"/>
        </w:rPr>
        <w:instrText>citationItems</w:instrText>
      </w:r>
      <w:r w:rsidR="002466C9" w:rsidRPr="00B929AC">
        <w:instrText>":[{"</w:instrText>
      </w:r>
      <w:r w:rsidR="002466C9">
        <w:rPr>
          <w:lang w:val="en-US"/>
        </w:rPr>
        <w:instrText>id</w:instrText>
      </w:r>
      <w:r w:rsidR="002466C9" w:rsidRPr="00B929AC">
        <w:instrText>":"</w:instrText>
      </w:r>
      <w:r w:rsidR="002466C9">
        <w:rPr>
          <w:lang w:val="en-US"/>
        </w:rPr>
        <w:instrText>ITEM</w:instrText>
      </w:r>
      <w:r w:rsidR="002466C9" w:rsidRPr="00B929AC">
        <w:instrText>-1","</w:instrText>
      </w:r>
      <w:r w:rsidR="002466C9">
        <w:rPr>
          <w:lang w:val="en-US"/>
        </w:rPr>
        <w:instrText>itemData</w:instrText>
      </w:r>
      <w:r w:rsidR="002466C9" w:rsidRPr="00B929AC">
        <w:instrText>":{"</w:instrText>
      </w:r>
      <w:r w:rsidR="002466C9">
        <w:rPr>
          <w:lang w:val="en-US"/>
        </w:rPr>
        <w:instrText>ISSN</w:instrText>
      </w:r>
      <w:r w:rsidR="002466C9" w:rsidRPr="00B929AC">
        <w:instrText>":"0006-4971","</w:instrText>
      </w:r>
      <w:r w:rsidR="002466C9">
        <w:rPr>
          <w:lang w:val="en-US"/>
        </w:rPr>
        <w:instrText>PMID</w:instrText>
      </w:r>
      <w:r w:rsidR="002466C9" w:rsidRPr="00B929AC">
        <w:instrText>":"3422030","</w:instrText>
      </w:r>
      <w:r w:rsidR="002466C9">
        <w:rPr>
          <w:lang w:val="en-US"/>
        </w:rPr>
        <w:instrText>abstract</w:instrText>
      </w:r>
      <w:r w:rsidR="002466C9" w:rsidRPr="00B929AC">
        <w:instrText>":"</w:instrText>
      </w:r>
      <w:r w:rsidR="002466C9">
        <w:rPr>
          <w:lang w:val="en-US"/>
        </w:rPr>
        <w:instrText>In</w:instrText>
      </w:r>
      <w:r w:rsidR="002466C9" w:rsidRPr="00B929AC">
        <w:instrText xml:space="preserve"> </w:instrText>
      </w:r>
      <w:r w:rsidR="002466C9">
        <w:rPr>
          <w:lang w:val="en-US"/>
        </w:rPr>
        <w:instrText>a</w:instrText>
      </w:r>
      <w:r w:rsidR="002466C9" w:rsidRPr="00B929AC">
        <w:instrText xml:space="preserve"> </w:instrText>
      </w:r>
      <w:r w:rsidR="002466C9">
        <w:rPr>
          <w:lang w:val="en-US"/>
        </w:rPr>
        <w:instrText>prospective</w:instrText>
      </w:r>
      <w:r w:rsidR="002466C9" w:rsidRPr="00B929AC">
        <w:instrText xml:space="preserve"> </w:instrText>
      </w:r>
      <w:r w:rsidR="002466C9">
        <w:rPr>
          <w:lang w:val="en-US"/>
        </w:rPr>
        <w:instrText>multicenter</w:instrText>
      </w:r>
      <w:r w:rsidR="002466C9" w:rsidRPr="00B929AC">
        <w:instrText xml:space="preserve"> </w:instrText>
      </w:r>
      <w:r w:rsidR="002466C9">
        <w:rPr>
          <w:lang w:val="en-US"/>
        </w:rPr>
        <w:instrText>study</w:instrText>
      </w:r>
      <w:r w:rsidR="002466C9" w:rsidRPr="00B929AC">
        <w:instrText xml:space="preserve">, 368 </w:instrText>
      </w:r>
      <w:r w:rsidR="002466C9">
        <w:rPr>
          <w:lang w:val="en-US"/>
        </w:rPr>
        <w:instrText>acute</w:instrText>
      </w:r>
      <w:r w:rsidR="002466C9" w:rsidRPr="00B929AC">
        <w:instrText xml:space="preserve"> </w:instrText>
      </w:r>
      <w:r w:rsidR="002466C9">
        <w:rPr>
          <w:lang w:val="en-US"/>
        </w:rPr>
        <w:instrText>lymphoblastic</w:instrText>
      </w:r>
      <w:r w:rsidR="002466C9" w:rsidRPr="00B929AC">
        <w:instrText xml:space="preserve"> </w:instrText>
      </w:r>
      <w:r w:rsidR="002466C9">
        <w:rPr>
          <w:lang w:val="en-US"/>
        </w:rPr>
        <w:instrText>leukemia</w:instrText>
      </w:r>
      <w:r w:rsidR="002466C9" w:rsidRPr="00B929AC">
        <w:instrText xml:space="preserve"> (</w:instrText>
      </w:r>
      <w:r w:rsidR="002466C9">
        <w:rPr>
          <w:lang w:val="en-US"/>
        </w:rPr>
        <w:instrText>ALL</w:instrText>
      </w:r>
      <w:r w:rsidR="002466C9" w:rsidRPr="00B929AC">
        <w:instrText xml:space="preserve">) </w:instrText>
      </w:r>
      <w:r w:rsidR="002466C9">
        <w:rPr>
          <w:lang w:val="en-US"/>
        </w:rPr>
        <w:instrText>patients</w:instrText>
      </w:r>
      <w:r w:rsidR="002466C9" w:rsidRPr="00B929AC">
        <w:instrText xml:space="preserve"> </w:instrText>
      </w:r>
      <w:r w:rsidR="002466C9">
        <w:rPr>
          <w:lang w:val="en-US"/>
        </w:rPr>
        <w:instrText>aged</w:instrText>
      </w:r>
      <w:r w:rsidR="002466C9" w:rsidRPr="00B929AC">
        <w:instrText xml:space="preserve"> 15 </w:instrText>
      </w:r>
      <w:r w:rsidR="002466C9">
        <w:rPr>
          <w:lang w:val="en-US"/>
        </w:rPr>
        <w:instrText>to</w:instrText>
      </w:r>
      <w:r w:rsidR="002466C9" w:rsidRPr="00B929AC">
        <w:instrText xml:space="preserve"> 65 </w:instrText>
      </w:r>
      <w:r w:rsidR="002466C9">
        <w:rPr>
          <w:lang w:val="en-US"/>
        </w:rPr>
        <w:instrText>years</w:instrText>
      </w:r>
      <w:r w:rsidR="002466C9" w:rsidRPr="00B929AC">
        <w:instrText xml:space="preserve"> </w:instrText>
      </w:r>
      <w:r w:rsidR="002466C9">
        <w:rPr>
          <w:lang w:val="en-US"/>
        </w:rPr>
        <w:instrText>were</w:instrText>
      </w:r>
      <w:r w:rsidR="002466C9" w:rsidRPr="00B929AC">
        <w:instrText xml:space="preserve"> </w:instrText>
      </w:r>
      <w:r w:rsidR="002466C9">
        <w:rPr>
          <w:lang w:val="en-US"/>
        </w:rPr>
        <w:instrText>treated</w:instrText>
      </w:r>
      <w:r w:rsidR="002466C9" w:rsidRPr="00B929AC">
        <w:instrText xml:space="preserve"> </w:instrText>
      </w:r>
      <w:r w:rsidR="002466C9">
        <w:rPr>
          <w:lang w:val="en-US"/>
        </w:rPr>
        <w:instrText>with</w:instrText>
      </w:r>
      <w:r w:rsidR="002466C9" w:rsidRPr="00B929AC">
        <w:instrText xml:space="preserve"> </w:instrText>
      </w:r>
      <w:r w:rsidR="002466C9">
        <w:rPr>
          <w:lang w:val="en-US"/>
        </w:rPr>
        <w:instrText>an</w:instrText>
      </w:r>
      <w:r w:rsidR="002466C9" w:rsidRPr="00B929AC">
        <w:instrText xml:space="preserve"> </w:instrText>
      </w:r>
      <w:r w:rsidR="002466C9">
        <w:rPr>
          <w:lang w:val="en-US"/>
        </w:rPr>
        <w:instrText>intensified</w:instrText>
      </w:r>
      <w:r w:rsidR="002466C9" w:rsidRPr="00B929AC">
        <w:instrText xml:space="preserve"> </w:instrText>
      </w:r>
      <w:r w:rsidR="002466C9">
        <w:rPr>
          <w:lang w:val="en-US"/>
        </w:rPr>
        <w:instrText>induction</w:instrText>
      </w:r>
      <w:r w:rsidR="002466C9" w:rsidRPr="00B929AC">
        <w:instrText xml:space="preserve"> </w:instrText>
      </w:r>
      <w:r w:rsidR="002466C9">
        <w:rPr>
          <w:lang w:val="en-US"/>
        </w:rPr>
        <w:instrText>and</w:instrText>
      </w:r>
      <w:r w:rsidR="002466C9" w:rsidRPr="00B929AC">
        <w:instrText xml:space="preserve"> </w:instrText>
      </w:r>
      <w:r w:rsidR="002466C9">
        <w:rPr>
          <w:lang w:val="en-US"/>
        </w:rPr>
        <w:instrText>reinduction</w:instrText>
      </w:r>
      <w:r w:rsidR="002466C9" w:rsidRPr="00B929AC">
        <w:instrText xml:space="preserve"> </w:instrText>
      </w:r>
      <w:r w:rsidR="002466C9">
        <w:rPr>
          <w:lang w:val="en-US"/>
        </w:rPr>
        <w:instrText>regimen</w:instrText>
      </w:r>
      <w:r w:rsidR="002466C9" w:rsidRPr="00B929AC">
        <w:instrText xml:space="preserve">; 272 (73.9%) </w:instrText>
      </w:r>
      <w:r w:rsidR="002466C9">
        <w:rPr>
          <w:lang w:val="en-US"/>
        </w:rPr>
        <w:instrText>achieved</w:instrText>
      </w:r>
      <w:r w:rsidR="002466C9" w:rsidRPr="00B929AC">
        <w:instrText xml:space="preserve"> </w:instrText>
      </w:r>
      <w:r w:rsidR="002466C9">
        <w:rPr>
          <w:lang w:val="en-US"/>
        </w:rPr>
        <w:instrText>complete</w:instrText>
      </w:r>
      <w:r w:rsidR="002466C9" w:rsidRPr="00B929AC">
        <w:instrText xml:space="preserve"> </w:instrText>
      </w:r>
      <w:r w:rsidR="002466C9">
        <w:rPr>
          <w:lang w:val="en-US"/>
        </w:rPr>
        <w:instrText>remission</w:instrText>
      </w:r>
      <w:r w:rsidR="002466C9" w:rsidRPr="00B929AC">
        <w:instrText xml:space="preserve"> (</w:instrText>
      </w:r>
      <w:r w:rsidR="002466C9">
        <w:rPr>
          <w:lang w:val="en-US"/>
        </w:rPr>
        <w:instrText>CR</w:instrText>
      </w:r>
      <w:r w:rsidR="002466C9" w:rsidRPr="00B929AC">
        <w:instrText xml:space="preserve">). </w:instrText>
      </w:r>
      <w:r w:rsidR="002466C9">
        <w:rPr>
          <w:lang w:val="en-US"/>
        </w:rPr>
        <w:instrText>The</w:instrText>
      </w:r>
      <w:r w:rsidR="002466C9" w:rsidRPr="00B929AC">
        <w:instrText xml:space="preserve"> </w:instrText>
      </w:r>
      <w:r w:rsidR="002466C9">
        <w:rPr>
          <w:lang w:val="en-US"/>
        </w:rPr>
        <w:instrText>median</w:instrText>
      </w:r>
      <w:r w:rsidR="002466C9" w:rsidRPr="00B929AC">
        <w:instrText xml:space="preserve"> </w:instrText>
      </w:r>
      <w:r w:rsidR="002466C9">
        <w:rPr>
          <w:lang w:val="en-US"/>
        </w:rPr>
        <w:instrText>remission</w:instrText>
      </w:r>
      <w:r w:rsidR="002466C9" w:rsidRPr="00B929AC">
        <w:instrText xml:space="preserve"> </w:instrText>
      </w:r>
      <w:r w:rsidR="002466C9">
        <w:rPr>
          <w:lang w:val="en-US"/>
        </w:rPr>
        <w:instrText>duration</w:instrText>
      </w:r>
      <w:r w:rsidR="002466C9" w:rsidRPr="00B929AC">
        <w:instrText xml:space="preserve"> (</w:instrText>
      </w:r>
      <w:r w:rsidR="002466C9">
        <w:rPr>
          <w:lang w:val="en-US"/>
        </w:rPr>
        <w:instrText>MRD</w:instrText>
      </w:r>
      <w:r w:rsidR="002466C9" w:rsidRPr="00B929AC">
        <w:instrText xml:space="preserve">) </w:instrText>
      </w:r>
      <w:r w:rsidR="002466C9">
        <w:rPr>
          <w:lang w:val="en-US"/>
        </w:rPr>
        <w:instrText>is</w:instrText>
      </w:r>
      <w:r w:rsidR="002466C9" w:rsidRPr="00B929AC">
        <w:instrText xml:space="preserve"> 24.3 </w:instrText>
      </w:r>
      <w:r w:rsidR="002466C9">
        <w:rPr>
          <w:lang w:val="en-US"/>
        </w:rPr>
        <w:instrText>months</w:instrText>
      </w:r>
      <w:r w:rsidR="002466C9" w:rsidRPr="00B929AC">
        <w:instrText xml:space="preserve">, </w:instrText>
      </w:r>
      <w:r w:rsidR="002466C9">
        <w:rPr>
          <w:lang w:val="en-US"/>
        </w:rPr>
        <w:instrText>and</w:instrText>
      </w:r>
      <w:r w:rsidR="002466C9" w:rsidRPr="00B929AC">
        <w:instrText xml:space="preserve"> </w:instrText>
      </w:r>
      <w:r w:rsidR="002466C9">
        <w:rPr>
          <w:lang w:val="en-US"/>
        </w:rPr>
        <w:instrText>the</w:instrText>
      </w:r>
      <w:r w:rsidR="002466C9" w:rsidRPr="00B929AC">
        <w:instrText xml:space="preserve"> </w:instrText>
      </w:r>
      <w:r w:rsidR="002466C9">
        <w:rPr>
          <w:lang w:val="en-US"/>
        </w:rPr>
        <w:instrText>probability</w:instrText>
      </w:r>
      <w:r w:rsidR="002466C9" w:rsidRPr="00B929AC">
        <w:instrText xml:space="preserve"> </w:instrText>
      </w:r>
      <w:r w:rsidR="002466C9">
        <w:rPr>
          <w:lang w:val="en-US"/>
        </w:rPr>
        <w:instrText>of</w:instrText>
      </w:r>
      <w:r w:rsidR="002466C9" w:rsidRPr="00B929AC">
        <w:instrText xml:space="preserve"> </w:instrText>
      </w:r>
      <w:r w:rsidR="002466C9">
        <w:rPr>
          <w:lang w:val="en-US"/>
        </w:rPr>
        <w:instrText>being</w:instrText>
      </w:r>
      <w:r w:rsidR="002466C9" w:rsidRPr="00B929AC">
        <w:instrText xml:space="preserve"> </w:instrText>
      </w:r>
      <w:r w:rsidR="002466C9">
        <w:rPr>
          <w:lang w:val="en-US"/>
        </w:rPr>
        <w:instrText>in</w:instrText>
      </w:r>
      <w:r w:rsidR="002466C9" w:rsidRPr="00B929AC">
        <w:instrText xml:space="preserve"> </w:instrText>
      </w:r>
      <w:r w:rsidR="002466C9">
        <w:rPr>
          <w:lang w:val="en-US"/>
        </w:rPr>
        <w:instrText>continuous</w:instrText>
      </w:r>
      <w:r w:rsidR="002466C9" w:rsidRPr="00B929AC">
        <w:instrText xml:space="preserve"> </w:instrText>
      </w:r>
      <w:r w:rsidR="002466C9">
        <w:rPr>
          <w:lang w:val="en-US"/>
        </w:rPr>
        <w:instrText>CR</w:instrText>
      </w:r>
      <w:r w:rsidR="002466C9" w:rsidRPr="00B929AC">
        <w:instrText xml:space="preserve"> (</w:instrText>
      </w:r>
      <w:r w:rsidR="002466C9">
        <w:rPr>
          <w:lang w:val="en-US"/>
        </w:rPr>
        <w:instrText>CCR</w:instrText>
      </w:r>
      <w:r w:rsidR="002466C9" w:rsidRPr="00B929AC">
        <w:instrText xml:space="preserve">) </w:instrText>
      </w:r>
      <w:r w:rsidR="002466C9">
        <w:rPr>
          <w:lang w:val="en-US"/>
        </w:rPr>
        <w:instrText>at</w:instrText>
      </w:r>
      <w:r w:rsidR="002466C9" w:rsidRPr="00B929AC">
        <w:instrText xml:space="preserve"> </w:instrText>
      </w:r>
      <w:r w:rsidR="002466C9">
        <w:rPr>
          <w:lang w:val="en-US"/>
        </w:rPr>
        <w:instrText>greater</w:instrText>
      </w:r>
      <w:r w:rsidR="002466C9" w:rsidRPr="00B929AC">
        <w:instrText xml:space="preserve"> </w:instrText>
      </w:r>
      <w:r w:rsidR="002466C9">
        <w:rPr>
          <w:lang w:val="en-US"/>
        </w:rPr>
        <w:instrText>than</w:instrText>
      </w:r>
      <w:r w:rsidR="002466C9" w:rsidRPr="00B929AC">
        <w:instrText xml:space="preserve"> 5 </w:instrText>
      </w:r>
      <w:r w:rsidR="002466C9">
        <w:rPr>
          <w:lang w:val="en-US"/>
        </w:rPr>
        <w:instrText>years</w:instrText>
      </w:r>
      <w:r w:rsidR="002466C9" w:rsidRPr="00B929AC">
        <w:instrText xml:space="preserve"> </w:instrText>
      </w:r>
      <w:r w:rsidR="002466C9">
        <w:rPr>
          <w:lang w:val="en-US"/>
        </w:rPr>
        <w:instrText>is</w:instrText>
      </w:r>
      <w:r w:rsidR="002466C9" w:rsidRPr="00B929AC">
        <w:instrText xml:space="preserve"> .37. </w:instrText>
      </w:r>
      <w:r w:rsidR="002466C9">
        <w:rPr>
          <w:lang w:val="en-US"/>
        </w:rPr>
        <w:instrText>The</w:instrText>
      </w:r>
      <w:r w:rsidR="002466C9" w:rsidRPr="00B929AC">
        <w:instrText xml:space="preserve"> </w:instrText>
      </w:r>
      <w:r w:rsidR="002466C9">
        <w:rPr>
          <w:lang w:val="en-US"/>
        </w:rPr>
        <w:instrText>median</w:instrText>
      </w:r>
      <w:r w:rsidR="002466C9" w:rsidRPr="00B929AC">
        <w:instrText xml:space="preserve"> </w:instrText>
      </w:r>
      <w:r w:rsidR="002466C9">
        <w:rPr>
          <w:lang w:val="en-US"/>
        </w:rPr>
        <w:instrText>survival</w:instrText>
      </w:r>
      <w:r w:rsidR="002466C9" w:rsidRPr="00B929AC">
        <w:instrText xml:space="preserve"> </w:instrText>
      </w:r>
      <w:r w:rsidR="002466C9">
        <w:rPr>
          <w:lang w:val="en-US"/>
        </w:rPr>
        <w:instrText>for</w:instrText>
      </w:r>
      <w:r w:rsidR="002466C9" w:rsidRPr="00B929AC">
        <w:instrText xml:space="preserve"> </w:instrText>
      </w:r>
      <w:r w:rsidR="002466C9">
        <w:rPr>
          <w:lang w:val="en-US"/>
        </w:rPr>
        <w:instrText>all</w:instrText>
      </w:r>
      <w:r w:rsidR="002466C9" w:rsidRPr="00B929AC">
        <w:instrText xml:space="preserve"> 368 </w:instrText>
      </w:r>
      <w:r w:rsidR="002466C9">
        <w:rPr>
          <w:lang w:val="en-US"/>
        </w:rPr>
        <w:instrText>patients</w:instrText>
      </w:r>
      <w:r w:rsidR="002466C9" w:rsidRPr="00B929AC">
        <w:instrText xml:space="preserve"> </w:instrText>
      </w:r>
      <w:r w:rsidR="002466C9">
        <w:rPr>
          <w:lang w:val="en-US"/>
        </w:rPr>
        <w:instrText>is</w:instrText>
      </w:r>
      <w:r w:rsidR="002466C9" w:rsidRPr="00B929AC">
        <w:instrText xml:space="preserve"> 27.5 </w:instrText>
      </w:r>
      <w:r w:rsidR="002466C9">
        <w:rPr>
          <w:lang w:val="en-US"/>
        </w:rPr>
        <w:instrText>months</w:instrText>
      </w:r>
      <w:r w:rsidR="002466C9" w:rsidRPr="00B929AC">
        <w:instrText xml:space="preserve">, </w:instrText>
      </w:r>
      <w:r w:rsidR="002466C9">
        <w:rPr>
          <w:lang w:val="en-US"/>
        </w:rPr>
        <w:instrText>and</w:instrText>
      </w:r>
      <w:r w:rsidR="002466C9" w:rsidRPr="00B929AC">
        <w:instrText xml:space="preserve"> </w:instrText>
      </w:r>
      <w:r w:rsidR="002466C9">
        <w:rPr>
          <w:lang w:val="en-US"/>
        </w:rPr>
        <w:instrText>the</w:instrText>
      </w:r>
      <w:r w:rsidR="002466C9" w:rsidRPr="00B929AC">
        <w:instrText xml:space="preserve"> </w:instrText>
      </w:r>
      <w:r w:rsidR="002466C9">
        <w:rPr>
          <w:lang w:val="en-US"/>
        </w:rPr>
        <w:instrText>probability</w:instrText>
      </w:r>
      <w:r w:rsidR="002466C9" w:rsidRPr="00B929AC">
        <w:instrText xml:space="preserve"> </w:instrText>
      </w:r>
      <w:r w:rsidR="002466C9">
        <w:rPr>
          <w:lang w:val="en-US"/>
        </w:rPr>
        <w:instrText>of</w:instrText>
      </w:r>
      <w:r w:rsidR="002466C9" w:rsidRPr="00B929AC">
        <w:instrText xml:space="preserve"> </w:instrText>
      </w:r>
      <w:r w:rsidR="002466C9">
        <w:rPr>
          <w:lang w:val="en-US"/>
        </w:rPr>
        <w:instrText>being</w:instrText>
      </w:r>
      <w:r w:rsidR="002466C9" w:rsidRPr="00B929AC">
        <w:instrText xml:space="preserve"> </w:instrText>
      </w:r>
      <w:r w:rsidR="002466C9">
        <w:rPr>
          <w:lang w:val="en-US"/>
        </w:rPr>
        <w:instrText>alive</w:instrText>
      </w:r>
      <w:r w:rsidR="002466C9" w:rsidRPr="00B929AC">
        <w:instrText xml:space="preserve"> </w:instrText>
      </w:r>
      <w:r w:rsidR="002466C9">
        <w:rPr>
          <w:lang w:val="en-US"/>
        </w:rPr>
        <w:instrText>at</w:instrText>
      </w:r>
      <w:r w:rsidR="002466C9" w:rsidRPr="00B929AC">
        <w:instrText xml:space="preserve"> 5 </w:instrText>
      </w:r>
      <w:r w:rsidR="002466C9">
        <w:rPr>
          <w:lang w:val="en-US"/>
        </w:rPr>
        <w:instrText>years</w:instrText>
      </w:r>
      <w:r w:rsidR="002466C9" w:rsidRPr="00B929AC">
        <w:instrText xml:space="preserve"> </w:instrText>
      </w:r>
      <w:r w:rsidR="002466C9">
        <w:rPr>
          <w:lang w:val="en-US"/>
        </w:rPr>
        <w:instrText>is</w:instrText>
      </w:r>
      <w:r w:rsidR="002466C9" w:rsidRPr="00B929AC">
        <w:instrText xml:space="preserve"> .39. </w:instrText>
      </w:r>
      <w:r w:rsidR="002466C9">
        <w:rPr>
          <w:lang w:val="en-US"/>
        </w:rPr>
        <w:instrText>For</w:instrText>
      </w:r>
      <w:r w:rsidR="002466C9" w:rsidRPr="00B929AC">
        <w:instrText xml:space="preserve"> </w:instrText>
      </w:r>
      <w:r w:rsidR="002466C9">
        <w:rPr>
          <w:lang w:val="en-US"/>
        </w:rPr>
        <w:instrText>the</w:instrText>
      </w:r>
      <w:r w:rsidR="002466C9" w:rsidRPr="00B929AC">
        <w:instrText xml:space="preserve"> 272 </w:instrText>
      </w:r>
      <w:r w:rsidR="002466C9">
        <w:rPr>
          <w:lang w:val="en-US"/>
        </w:rPr>
        <w:instrText>patients</w:instrText>
      </w:r>
      <w:r w:rsidR="002466C9" w:rsidRPr="00B929AC">
        <w:instrText xml:space="preserve"> </w:instrText>
      </w:r>
      <w:r w:rsidR="002466C9">
        <w:rPr>
          <w:lang w:val="en-US"/>
        </w:rPr>
        <w:instrText>in</w:instrText>
      </w:r>
      <w:r w:rsidR="002466C9" w:rsidRPr="00B929AC">
        <w:instrText xml:space="preserve"> </w:instrText>
      </w:r>
      <w:r w:rsidR="002466C9">
        <w:rPr>
          <w:lang w:val="en-US"/>
        </w:rPr>
        <w:instrText>remission</w:instrText>
      </w:r>
      <w:r w:rsidR="002466C9" w:rsidRPr="00B929AC">
        <w:instrText xml:space="preserve"> </w:instrText>
      </w:r>
      <w:r w:rsidR="002466C9">
        <w:rPr>
          <w:lang w:val="en-US"/>
        </w:rPr>
        <w:instrText>the</w:instrText>
      </w:r>
      <w:r w:rsidR="002466C9" w:rsidRPr="00B929AC">
        <w:instrText xml:space="preserve"> </w:instrText>
      </w:r>
      <w:r w:rsidR="002466C9">
        <w:rPr>
          <w:lang w:val="en-US"/>
        </w:rPr>
        <w:instrText>median</w:instrText>
      </w:r>
      <w:r w:rsidR="002466C9" w:rsidRPr="00B929AC">
        <w:instrText xml:space="preserve"> </w:instrText>
      </w:r>
      <w:r w:rsidR="002466C9">
        <w:rPr>
          <w:lang w:val="en-US"/>
        </w:rPr>
        <w:instrText>survival</w:instrText>
      </w:r>
      <w:r w:rsidR="002466C9" w:rsidRPr="00B929AC">
        <w:instrText xml:space="preserve"> </w:instrText>
      </w:r>
      <w:r w:rsidR="002466C9">
        <w:rPr>
          <w:lang w:val="en-US"/>
        </w:rPr>
        <w:instrText>is</w:instrText>
      </w:r>
      <w:r w:rsidR="002466C9" w:rsidRPr="00B929AC">
        <w:instrText xml:space="preserve"> 58.4 </w:instrText>
      </w:r>
      <w:r w:rsidR="002466C9">
        <w:rPr>
          <w:lang w:val="en-US"/>
        </w:rPr>
        <w:instrText>months</w:instrText>
      </w:r>
      <w:r w:rsidR="002466C9" w:rsidRPr="00B929AC">
        <w:instrText xml:space="preserve">, </w:instrText>
      </w:r>
      <w:r w:rsidR="002466C9">
        <w:rPr>
          <w:lang w:val="en-US"/>
        </w:rPr>
        <w:instrText>and</w:instrText>
      </w:r>
      <w:r w:rsidR="002466C9" w:rsidRPr="00B929AC">
        <w:instrText xml:space="preserve"> </w:instrText>
      </w:r>
      <w:r w:rsidR="002466C9">
        <w:rPr>
          <w:lang w:val="en-US"/>
        </w:rPr>
        <w:instrText>the</w:instrText>
      </w:r>
      <w:r w:rsidR="002466C9" w:rsidRPr="00B929AC">
        <w:instrText xml:space="preserve"> </w:instrText>
      </w:r>
      <w:r w:rsidR="002466C9">
        <w:rPr>
          <w:lang w:val="en-US"/>
        </w:rPr>
        <w:instrText>probability</w:instrText>
      </w:r>
      <w:r w:rsidR="002466C9" w:rsidRPr="00B929AC">
        <w:instrText xml:space="preserve"> </w:instrText>
      </w:r>
      <w:r w:rsidR="002466C9">
        <w:rPr>
          <w:lang w:val="en-US"/>
        </w:rPr>
        <w:instrText>of</w:instrText>
      </w:r>
      <w:r w:rsidR="002466C9" w:rsidRPr="00B929AC">
        <w:instrText xml:space="preserve"> </w:instrText>
      </w:r>
      <w:r w:rsidR="002466C9">
        <w:rPr>
          <w:lang w:val="en-US"/>
        </w:rPr>
        <w:instrText>being</w:instrText>
      </w:r>
      <w:r w:rsidR="002466C9" w:rsidRPr="00B929AC">
        <w:instrText xml:space="preserve"> </w:instrText>
      </w:r>
      <w:r w:rsidR="002466C9">
        <w:rPr>
          <w:lang w:val="en-US"/>
        </w:rPr>
        <w:instrText>alive</w:instrText>
      </w:r>
      <w:r w:rsidR="002466C9" w:rsidRPr="00B929AC">
        <w:instrText xml:space="preserve"> </w:instrText>
      </w:r>
      <w:r w:rsidR="002466C9">
        <w:rPr>
          <w:lang w:val="en-US"/>
        </w:rPr>
        <w:instrText>at</w:instrText>
      </w:r>
      <w:r w:rsidR="002466C9" w:rsidRPr="00B929AC">
        <w:instrText xml:space="preserve"> 5 </w:instrText>
      </w:r>
      <w:r w:rsidR="002466C9">
        <w:rPr>
          <w:lang w:val="en-US"/>
        </w:rPr>
        <w:instrText>years</w:instrText>
      </w:r>
      <w:r w:rsidR="002466C9" w:rsidRPr="00B929AC">
        <w:instrText xml:space="preserve"> </w:instrText>
      </w:r>
      <w:r w:rsidR="002466C9">
        <w:rPr>
          <w:lang w:val="en-US"/>
        </w:rPr>
        <w:instrText>is</w:instrText>
      </w:r>
      <w:r w:rsidR="002466C9" w:rsidRPr="00B929AC">
        <w:instrText xml:space="preserve"> .49. </w:instrText>
      </w:r>
      <w:r w:rsidR="002466C9">
        <w:rPr>
          <w:lang w:val="en-US"/>
        </w:rPr>
        <w:instrText>A</w:instrText>
      </w:r>
      <w:r w:rsidR="002466C9" w:rsidRPr="00B929AC">
        <w:instrText xml:space="preserve"> </w:instrText>
      </w:r>
      <w:r w:rsidR="002466C9">
        <w:rPr>
          <w:lang w:val="en-US"/>
        </w:rPr>
        <w:instrText>lower</w:instrText>
      </w:r>
      <w:r w:rsidR="002466C9" w:rsidRPr="00B929AC">
        <w:instrText xml:space="preserve"> </w:instrText>
      </w:r>
      <w:r w:rsidR="002466C9">
        <w:rPr>
          <w:lang w:val="en-US"/>
        </w:rPr>
        <w:instrText>CR</w:instrText>
      </w:r>
      <w:r w:rsidR="002466C9" w:rsidRPr="00B929AC">
        <w:instrText xml:space="preserve"> </w:instrText>
      </w:r>
      <w:r w:rsidR="002466C9">
        <w:rPr>
          <w:lang w:val="en-US"/>
        </w:rPr>
        <w:instrText>rate</w:instrText>
      </w:r>
      <w:r w:rsidR="002466C9" w:rsidRPr="00B929AC">
        <w:instrText xml:space="preserve"> </w:instrText>
      </w:r>
      <w:r w:rsidR="002466C9">
        <w:rPr>
          <w:lang w:val="en-US"/>
        </w:rPr>
        <w:instrText>was</w:instrText>
      </w:r>
      <w:r w:rsidR="002466C9" w:rsidRPr="00B929AC">
        <w:instrText xml:space="preserve"> </w:instrText>
      </w:r>
      <w:r w:rsidR="002466C9">
        <w:rPr>
          <w:lang w:val="en-US"/>
        </w:rPr>
        <w:instrText>seen</w:instrText>
      </w:r>
      <w:r w:rsidR="002466C9" w:rsidRPr="00B929AC">
        <w:instrText xml:space="preserve"> </w:instrText>
      </w:r>
      <w:r w:rsidR="002466C9">
        <w:rPr>
          <w:lang w:val="en-US"/>
        </w:rPr>
        <w:instrText>for</w:instrText>
      </w:r>
      <w:r w:rsidR="002466C9" w:rsidRPr="00B929AC">
        <w:instrText xml:space="preserve"> </w:instrText>
      </w:r>
      <w:r w:rsidR="002466C9">
        <w:rPr>
          <w:lang w:val="en-US"/>
        </w:rPr>
        <w:instrText>patients</w:instrText>
      </w:r>
      <w:r w:rsidR="002466C9" w:rsidRPr="00B929AC">
        <w:instrText xml:space="preserve"> </w:instrText>
      </w:r>
      <w:r w:rsidR="002466C9">
        <w:rPr>
          <w:lang w:val="en-US"/>
        </w:rPr>
        <w:instrText>with</w:instrText>
      </w:r>
      <w:r w:rsidR="002466C9" w:rsidRPr="00B929AC">
        <w:instrText xml:space="preserve"> </w:instrText>
      </w:r>
      <w:r w:rsidR="002466C9">
        <w:rPr>
          <w:lang w:val="en-US"/>
        </w:rPr>
        <w:instrText>bleeding</w:instrText>
      </w:r>
      <w:r w:rsidR="002466C9" w:rsidRPr="00B929AC">
        <w:instrText xml:space="preserve"> </w:instrText>
      </w:r>
      <w:r w:rsidR="002466C9">
        <w:rPr>
          <w:lang w:val="en-US"/>
        </w:rPr>
        <w:instrText>at</w:instrText>
      </w:r>
      <w:r w:rsidR="002466C9" w:rsidRPr="00B929AC">
        <w:instrText xml:space="preserve"> </w:instrText>
      </w:r>
      <w:r w:rsidR="002466C9">
        <w:rPr>
          <w:lang w:val="en-US"/>
        </w:rPr>
        <w:instrText>diagnosis</w:instrText>
      </w:r>
      <w:r w:rsidR="002466C9" w:rsidRPr="00B929AC">
        <w:instrText xml:space="preserve"> </w:instrText>
      </w:r>
      <w:r w:rsidR="002466C9">
        <w:rPr>
          <w:lang w:val="en-US"/>
        </w:rPr>
        <w:instrText>or</w:instrText>
      </w:r>
      <w:r w:rsidR="002466C9" w:rsidRPr="00B929AC">
        <w:instrText xml:space="preserve"> </w:instrText>
      </w:r>
      <w:r w:rsidR="002466C9">
        <w:rPr>
          <w:lang w:val="en-US"/>
        </w:rPr>
        <w:instrText>with</w:instrText>
      </w:r>
      <w:r w:rsidR="002466C9" w:rsidRPr="00B929AC">
        <w:instrText xml:space="preserve"> </w:instrText>
      </w:r>
      <w:r w:rsidR="002466C9">
        <w:rPr>
          <w:lang w:val="en-US"/>
        </w:rPr>
        <w:instrText>splenomegaly</w:instrText>
      </w:r>
      <w:r w:rsidR="002466C9" w:rsidRPr="00B929AC">
        <w:instrText>/</w:instrText>
      </w:r>
      <w:r w:rsidR="002466C9">
        <w:rPr>
          <w:lang w:val="en-US"/>
        </w:rPr>
        <w:instrText>hepatosplenomegaly</w:instrText>
      </w:r>
      <w:r w:rsidR="002466C9" w:rsidRPr="00B929AC">
        <w:instrText xml:space="preserve">. </w:instrText>
      </w:r>
      <w:r w:rsidR="002466C9">
        <w:rPr>
          <w:lang w:val="en-US"/>
        </w:rPr>
        <w:instrText>The</w:instrText>
      </w:r>
      <w:r w:rsidR="002466C9" w:rsidRPr="00B929AC">
        <w:instrText xml:space="preserve"> </w:instrText>
      </w:r>
      <w:r w:rsidR="002466C9">
        <w:rPr>
          <w:lang w:val="en-US"/>
        </w:rPr>
        <w:instrText>prognostic</w:instrText>
      </w:r>
      <w:r w:rsidR="002466C9" w:rsidRPr="00B929AC">
        <w:instrText xml:space="preserve"> </w:instrText>
      </w:r>
      <w:r w:rsidR="002466C9">
        <w:rPr>
          <w:lang w:val="en-US"/>
        </w:rPr>
        <w:instrText>factors</w:instrText>
      </w:r>
      <w:r w:rsidR="002466C9" w:rsidRPr="00B929AC">
        <w:instrText xml:space="preserve"> </w:instrText>
      </w:r>
      <w:r w:rsidR="002466C9">
        <w:rPr>
          <w:lang w:val="en-US"/>
        </w:rPr>
        <w:instrText>unfavorable</w:instrText>
      </w:r>
      <w:r w:rsidR="002466C9" w:rsidRPr="00B929AC">
        <w:instrText xml:space="preserve"> </w:instrText>
      </w:r>
      <w:r w:rsidR="002466C9">
        <w:rPr>
          <w:lang w:val="en-US"/>
        </w:rPr>
        <w:instrText>for</w:instrText>
      </w:r>
      <w:r w:rsidR="002466C9" w:rsidRPr="00B929AC">
        <w:instrText xml:space="preserve"> </w:instrText>
      </w:r>
      <w:r w:rsidR="002466C9">
        <w:rPr>
          <w:lang w:val="en-US"/>
        </w:rPr>
        <w:instrText>remission</w:instrText>
      </w:r>
      <w:r w:rsidR="002466C9" w:rsidRPr="00B929AC">
        <w:instrText xml:space="preserve"> </w:instrText>
      </w:r>
      <w:r w:rsidR="002466C9">
        <w:rPr>
          <w:lang w:val="en-US"/>
        </w:rPr>
        <w:instrText>duration</w:instrText>
      </w:r>
      <w:r w:rsidR="002466C9" w:rsidRPr="00B929AC">
        <w:instrText xml:space="preserve"> </w:instrText>
      </w:r>
      <w:r w:rsidR="002466C9">
        <w:rPr>
          <w:lang w:val="en-US"/>
        </w:rPr>
        <w:instrText>were</w:instrText>
      </w:r>
      <w:r w:rsidR="002466C9" w:rsidRPr="00B929AC">
        <w:instrText xml:space="preserve"> </w:instrText>
      </w:r>
      <w:r w:rsidR="002466C9">
        <w:rPr>
          <w:lang w:val="en-US"/>
        </w:rPr>
        <w:instrText>time</w:instrText>
      </w:r>
      <w:r w:rsidR="002466C9" w:rsidRPr="00B929AC">
        <w:instrText xml:space="preserve"> </w:instrText>
      </w:r>
      <w:r w:rsidR="002466C9">
        <w:rPr>
          <w:lang w:val="en-US"/>
        </w:rPr>
        <w:instrText>to</w:instrText>
      </w:r>
      <w:r w:rsidR="002466C9" w:rsidRPr="00B929AC">
        <w:instrText xml:space="preserve"> </w:instrText>
      </w:r>
      <w:r w:rsidR="002466C9">
        <w:rPr>
          <w:lang w:val="en-US"/>
        </w:rPr>
        <w:instrText>CR</w:instrText>
      </w:r>
      <w:r w:rsidR="002466C9" w:rsidRPr="00B929AC">
        <w:instrText xml:space="preserve"> </w:instrText>
      </w:r>
      <w:r w:rsidR="002466C9">
        <w:rPr>
          <w:lang w:val="en-US"/>
        </w:rPr>
        <w:instrText>greater</w:instrText>
      </w:r>
      <w:r w:rsidR="002466C9" w:rsidRPr="00B929AC">
        <w:instrText xml:space="preserve"> </w:instrText>
      </w:r>
      <w:r w:rsidR="002466C9">
        <w:rPr>
          <w:lang w:val="en-US"/>
        </w:rPr>
        <w:instrText>than</w:instrText>
      </w:r>
      <w:r w:rsidR="002466C9" w:rsidRPr="00B929AC">
        <w:instrText xml:space="preserve"> 4 </w:instrText>
      </w:r>
      <w:r w:rsidR="002466C9">
        <w:rPr>
          <w:lang w:val="en-US"/>
        </w:rPr>
        <w:instrText>weeks</w:instrText>
      </w:r>
      <w:r w:rsidR="002466C9" w:rsidRPr="00B929AC">
        <w:instrText xml:space="preserve"> </w:instrText>
      </w:r>
      <w:r w:rsidR="002466C9">
        <w:rPr>
          <w:lang w:val="en-US"/>
        </w:rPr>
        <w:instrText>v</w:instrText>
      </w:r>
      <w:r w:rsidR="002466C9" w:rsidRPr="00B929AC">
        <w:instrText xml:space="preserve"> </w:instrText>
      </w:r>
      <w:r w:rsidR="002466C9">
        <w:rPr>
          <w:lang w:val="en-US"/>
        </w:rPr>
        <w:instrText>less</w:instrText>
      </w:r>
      <w:r w:rsidR="002466C9" w:rsidRPr="00B929AC">
        <w:instrText xml:space="preserve"> </w:instrText>
      </w:r>
      <w:r w:rsidR="002466C9">
        <w:rPr>
          <w:lang w:val="en-US"/>
        </w:rPr>
        <w:instrText>than</w:instrText>
      </w:r>
      <w:r w:rsidR="002466C9" w:rsidRPr="00B929AC">
        <w:instrText xml:space="preserve"> 4 </w:instrText>
      </w:r>
      <w:r w:rsidR="002466C9">
        <w:rPr>
          <w:lang w:val="en-US"/>
        </w:rPr>
        <w:instrText>weeks</w:instrText>
      </w:r>
      <w:r w:rsidR="002466C9" w:rsidRPr="00B929AC">
        <w:instrText xml:space="preserve"> (</w:instrText>
      </w:r>
      <w:r w:rsidR="002466C9">
        <w:rPr>
          <w:lang w:val="en-US"/>
        </w:rPr>
        <w:instrText>P</w:instrText>
      </w:r>
      <w:r w:rsidR="002466C9" w:rsidRPr="00B929AC">
        <w:instrText xml:space="preserve"> = .0002), </w:instrText>
      </w:r>
      <w:r w:rsidR="002466C9">
        <w:rPr>
          <w:lang w:val="en-US"/>
        </w:rPr>
        <w:instrText>age</w:instrText>
      </w:r>
      <w:r w:rsidR="002466C9" w:rsidRPr="00B929AC">
        <w:instrText xml:space="preserve"> </w:instrText>
      </w:r>
      <w:r w:rsidR="002466C9">
        <w:rPr>
          <w:lang w:val="en-US"/>
        </w:rPr>
        <w:instrText>greater</w:instrText>
      </w:r>
      <w:r w:rsidR="002466C9" w:rsidRPr="00B929AC">
        <w:instrText xml:space="preserve"> </w:instrText>
      </w:r>
      <w:r w:rsidR="002466C9">
        <w:rPr>
          <w:lang w:val="en-US"/>
        </w:rPr>
        <w:instrText>than</w:instrText>
      </w:r>
      <w:r w:rsidR="002466C9" w:rsidRPr="00B929AC">
        <w:instrText xml:space="preserve"> 35 </w:instrText>
      </w:r>
      <w:r w:rsidR="002466C9">
        <w:rPr>
          <w:lang w:val="en-US"/>
        </w:rPr>
        <w:instrText>years</w:instrText>
      </w:r>
      <w:r w:rsidR="002466C9" w:rsidRPr="00B929AC">
        <w:instrText xml:space="preserve"> </w:instrText>
      </w:r>
      <w:r w:rsidR="002466C9">
        <w:rPr>
          <w:lang w:val="en-US"/>
        </w:rPr>
        <w:instrText>v</w:instrText>
      </w:r>
      <w:r w:rsidR="002466C9" w:rsidRPr="00B929AC">
        <w:instrText xml:space="preserve"> </w:instrText>
      </w:r>
      <w:r w:rsidR="002466C9">
        <w:rPr>
          <w:lang w:val="en-US"/>
        </w:rPr>
        <w:instrText>less</w:instrText>
      </w:r>
      <w:r w:rsidR="002466C9" w:rsidRPr="00B929AC">
        <w:instrText xml:space="preserve"> </w:instrText>
      </w:r>
      <w:r w:rsidR="002466C9">
        <w:rPr>
          <w:lang w:val="en-US"/>
        </w:rPr>
        <w:instrText>than</w:instrText>
      </w:r>
      <w:r w:rsidR="002466C9" w:rsidRPr="00B929AC">
        <w:instrText xml:space="preserve"> 35 </w:instrText>
      </w:r>
      <w:r w:rsidR="002466C9">
        <w:rPr>
          <w:lang w:val="en-US"/>
        </w:rPr>
        <w:instrText>years</w:instrText>
      </w:r>
      <w:r w:rsidR="002466C9" w:rsidRPr="00B929AC">
        <w:instrText xml:space="preserve"> (</w:instrText>
      </w:r>
      <w:r w:rsidR="002466C9">
        <w:rPr>
          <w:lang w:val="en-US"/>
        </w:rPr>
        <w:instrText>P</w:instrText>
      </w:r>
      <w:r w:rsidR="002466C9" w:rsidRPr="00B929AC">
        <w:instrText xml:space="preserve"> = .0008), </w:instrText>
      </w:r>
      <w:r w:rsidR="002466C9">
        <w:rPr>
          <w:lang w:val="en-US"/>
        </w:rPr>
        <w:instrText>leukocyte</w:instrText>
      </w:r>
      <w:r w:rsidR="002466C9" w:rsidRPr="00B929AC">
        <w:instrText xml:space="preserve"> </w:instrText>
      </w:r>
      <w:r w:rsidR="002466C9">
        <w:rPr>
          <w:lang w:val="en-US"/>
        </w:rPr>
        <w:instrText>count</w:instrText>
      </w:r>
      <w:r w:rsidR="002466C9" w:rsidRPr="00B929AC">
        <w:instrText xml:space="preserve"> </w:instrText>
      </w:r>
      <w:r w:rsidR="002466C9">
        <w:rPr>
          <w:lang w:val="en-US"/>
        </w:rPr>
        <w:instrText>greater</w:instrText>
      </w:r>
      <w:r w:rsidR="002466C9" w:rsidRPr="00B929AC">
        <w:instrText xml:space="preserve"> </w:instrText>
      </w:r>
      <w:r w:rsidR="002466C9">
        <w:rPr>
          <w:lang w:val="en-US"/>
        </w:rPr>
        <w:instrText>than</w:instrText>
      </w:r>
      <w:r w:rsidR="002466C9" w:rsidRPr="00B929AC">
        <w:instrText xml:space="preserve"> 30,000/</w:instrText>
      </w:r>
      <w:r w:rsidR="002466C9">
        <w:rPr>
          <w:lang w:val="en-US"/>
        </w:rPr>
        <w:instrText>microL</w:instrText>
      </w:r>
      <w:r w:rsidR="002466C9" w:rsidRPr="00B929AC">
        <w:instrText xml:space="preserve"> </w:instrText>
      </w:r>
      <w:r w:rsidR="002466C9">
        <w:rPr>
          <w:lang w:val="en-US"/>
        </w:rPr>
        <w:instrText>v</w:instrText>
      </w:r>
      <w:r w:rsidR="002466C9" w:rsidRPr="00B929AC">
        <w:instrText xml:space="preserve"> </w:instrText>
      </w:r>
      <w:r w:rsidR="002466C9">
        <w:rPr>
          <w:lang w:val="en-US"/>
        </w:rPr>
        <w:instrText>less</w:instrText>
      </w:r>
      <w:r w:rsidR="002466C9" w:rsidRPr="00B929AC">
        <w:instrText xml:space="preserve"> </w:instrText>
      </w:r>
      <w:r w:rsidR="002466C9">
        <w:rPr>
          <w:lang w:val="en-US"/>
        </w:rPr>
        <w:instrText>than</w:instrText>
      </w:r>
      <w:r w:rsidR="002466C9" w:rsidRPr="00B929AC">
        <w:instrText xml:space="preserve"> 30,000/</w:instrText>
      </w:r>
      <w:r w:rsidR="002466C9">
        <w:rPr>
          <w:lang w:val="en-US"/>
        </w:rPr>
        <w:instrText>microL</w:instrText>
      </w:r>
      <w:r w:rsidR="002466C9" w:rsidRPr="00B929AC">
        <w:instrText xml:space="preserve"> (</w:instrText>
      </w:r>
      <w:r w:rsidR="002466C9">
        <w:rPr>
          <w:lang w:val="en-US"/>
        </w:rPr>
        <w:instrText>P</w:instrText>
      </w:r>
      <w:r w:rsidR="002466C9" w:rsidRPr="00B929AC">
        <w:instrText xml:space="preserve"> = .0112), </w:instrText>
      </w:r>
      <w:r w:rsidR="002466C9">
        <w:rPr>
          <w:lang w:val="en-US"/>
        </w:rPr>
        <w:instrText>and</w:instrText>
      </w:r>
      <w:r w:rsidR="002466C9" w:rsidRPr="00B929AC">
        <w:instrText xml:space="preserve"> </w:instrText>
      </w:r>
      <w:r w:rsidR="002466C9">
        <w:rPr>
          <w:lang w:val="en-US"/>
        </w:rPr>
        <w:instrText>null</w:instrText>
      </w:r>
      <w:r w:rsidR="002466C9" w:rsidRPr="00B929AC">
        <w:instrText xml:space="preserve"> </w:instrText>
      </w:r>
      <w:r w:rsidR="002466C9">
        <w:rPr>
          <w:lang w:val="en-US"/>
        </w:rPr>
        <w:instrText>ALL</w:instrText>
      </w:r>
      <w:r w:rsidR="002466C9" w:rsidRPr="00B929AC">
        <w:instrText xml:space="preserve"> </w:instrText>
      </w:r>
      <w:r w:rsidR="002466C9">
        <w:rPr>
          <w:lang w:val="en-US"/>
        </w:rPr>
        <w:instrText>v</w:instrText>
      </w:r>
      <w:r w:rsidR="002466C9" w:rsidRPr="00B929AC">
        <w:instrText xml:space="preserve"> </w:instrText>
      </w:r>
      <w:r w:rsidR="002466C9">
        <w:rPr>
          <w:lang w:val="en-US"/>
        </w:rPr>
        <w:instrText>common</w:instrText>
      </w:r>
      <w:r w:rsidR="002466C9" w:rsidRPr="00B929AC">
        <w:instrText xml:space="preserve"> </w:instrText>
      </w:r>
      <w:r w:rsidR="002466C9">
        <w:rPr>
          <w:lang w:val="en-US"/>
        </w:rPr>
        <w:instrText>ALL</w:instrText>
      </w:r>
      <w:r w:rsidR="002466C9" w:rsidRPr="00B929AC">
        <w:instrText xml:space="preserve"> (</w:instrText>
      </w:r>
      <w:r w:rsidR="002466C9">
        <w:rPr>
          <w:lang w:val="en-US"/>
        </w:rPr>
        <w:instrText>c</w:instrText>
      </w:r>
      <w:r w:rsidR="002466C9" w:rsidRPr="00B929AC">
        <w:instrText>-</w:instrText>
      </w:r>
      <w:r w:rsidR="002466C9">
        <w:rPr>
          <w:lang w:val="en-US"/>
        </w:rPr>
        <w:instrText>ALL</w:instrText>
      </w:r>
      <w:r w:rsidR="002466C9" w:rsidRPr="00B929AC">
        <w:instrText>)/</w:instrText>
      </w:r>
      <w:r w:rsidR="002466C9">
        <w:rPr>
          <w:lang w:val="en-US"/>
        </w:rPr>
        <w:instrText>T</w:instrText>
      </w:r>
      <w:r w:rsidR="002466C9" w:rsidRPr="00B929AC">
        <w:instrText xml:space="preserve"> </w:instrText>
      </w:r>
      <w:r w:rsidR="002466C9">
        <w:rPr>
          <w:lang w:val="en-US"/>
        </w:rPr>
        <w:instrText>cell</w:instrText>
      </w:r>
      <w:r w:rsidR="002466C9" w:rsidRPr="00B929AC">
        <w:instrText xml:space="preserve"> </w:instrText>
      </w:r>
      <w:r w:rsidR="002466C9">
        <w:rPr>
          <w:lang w:val="en-US"/>
        </w:rPr>
        <w:instrText>ALL</w:instrText>
      </w:r>
      <w:r w:rsidR="002466C9" w:rsidRPr="00B929AC">
        <w:instrText xml:space="preserve"> (</w:instrText>
      </w:r>
      <w:r w:rsidR="002466C9">
        <w:rPr>
          <w:lang w:val="en-US"/>
        </w:rPr>
        <w:instrText>T</w:instrText>
      </w:r>
      <w:r w:rsidR="002466C9" w:rsidRPr="00B929AC">
        <w:instrText>-</w:instrText>
      </w:r>
      <w:r w:rsidR="002466C9">
        <w:rPr>
          <w:lang w:val="en-US"/>
        </w:rPr>
        <w:instrText>ALL</w:instrText>
      </w:r>
      <w:r w:rsidR="002466C9" w:rsidRPr="00B929AC">
        <w:instrText>) (</w:instrText>
      </w:r>
      <w:r w:rsidR="002466C9">
        <w:rPr>
          <w:lang w:val="en-US"/>
        </w:rPr>
        <w:instrText>P</w:instrText>
      </w:r>
      <w:r w:rsidR="002466C9" w:rsidRPr="00B929AC">
        <w:instrText xml:space="preserve"> = .05). </w:instrText>
      </w:r>
      <w:r w:rsidR="002466C9">
        <w:rPr>
          <w:lang w:val="en-US"/>
        </w:rPr>
        <w:instrText>The</w:instrText>
      </w:r>
      <w:r w:rsidR="002466C9" w:rsidRPr="00B929AC">
        <w:instrText xml:space="preserve"> </w:instrText>
      </w:r>
      <w:r w:rsidR="002466C9">
        <w:rPr>
          <w:lang w:val="en-US"/>
        </w:rPr>
        <w:instrText>remission</w:instrText>
      </w:r>
      <w:r w:rsidR="002466C9" w:rsidRPr="00B929AC">
        <w:instrText xml:space="preserve"> </w:instrText>
      </w:r>
      <w:r w:rsidR="002466C9">
        <w:rPr>
          <w:lang w:val="en-US"/>
        </w:rPr>
        <w:instrText>duration</w:instrText>
      </w:r>
      <w:r w:rsidR="002466C9" w:rsidRPr="00B929AC">
        <w:instrText xml:space="preserve"> </w:instrText>
      </w:r>
      <w:r w:rsidR="002466C9">
        <w:rPr>
          <w:lang w:val="en-US"/>
        </w:rPr>
        <w:instrText>correlated</w:instrText>
      </w:r>
      <w:r w:rsidR="002466C9" w:rsidRPr="00B929AC">
        <w:instrText xml:space="preserve"> </w:instrText>
      </w:r>
      <w:r w:rsidR="002466C9">
        <w:rPr>
          <w:lang w:val="en-US"/>
        </w:rPr>
        <w:instrText>strongly</w:instrText>
      </w:r>
      <w:r w:rsidR="002466C9" w:rsidRPr="00B929AC">
        <w:instrText xml:space="preserve"> (</w:instrText>
      </w:r>
      <w:r w:rsidR="002466C9">
        <w:rPr>
          <w:lang w:val="en-US"/>
        </w:rPr>
        <w:instrText>P</w:instrText>
      </w:r>
      <w:r w:rsidR="002466C9" w:rsidRPr="00B929AC">
        <w:instrText xml:space="preserve"> = .0001) </w:instrText>
      </w:r>
      <w:r w:rsidR="002466C9">
        <w:rPr>
          <w:lang w:val="en-US"/>
        </w:rPr>
        <w:instrText>with</w:instrText>
      </w:r>
      <w:r w:rsidR="002466C9" w:rsidRPr="00B929AC">
        <w:instrText xml:space="preserve"> </w:instrText>
      </w:r>
      <w:r w:rsidR="002466C9">
        <w:rPr>
          <w:lang w:val="en-US"/>
        </w:rPr>
        <w:instrText>the</w:instrText>
      </w:r>
      <w:r w:rsidR="002466C9" w:rsidRPr="00B929AC">
        <w:instrText xml:space="preserve"> </w:instrText>
      </w:r>
      <w:r w:rsidR="002466C9">
        <w:rPr>
          <w:lang w:val="en-US"/>
        </w:rPr>
        <w:instrText>number</w:instrText>
      </w:r>
      <w:r w:rsidR="002466C9" w:rsidRPr="00B929AC">
        <w:instrText xml:space="preserve"> </w:instrText>
      </w:r>
      <w:r w:rsidR="002466C9">
        <w:rPr>
          <w:lang w:val="en-US"/>
        </w:rPr>
        <w:instrText>of</w:instrText>
      </w:r>
      <w:r w:rsidR="002466C9" w:rsidRPr="00B929AC">
        <w:instrText xml:space="preserve"> </w:instrText>
      </w:r>
      <w:r w:rsidR="002466C9">
        <w:rPr>
          <w:lang w:val="en-US"/>
        </w:rPr>
        <w:instrText>these</w:instrText>
      </w:r>
      <w:r w:rsidR="002466C9" w:rsidRPr="00B929AC">
        <w:instrText xml:space="preserve"> </w:instrText>
      </w:r>
      <w:r w:rsidR="002466C9">
        <w:rPr>
          <w:lang w:val="en-US"/>
        </w:rPr>
        <w:instrText>independent</w:instrText>
      </w:r>
      <w:r w:rsidR="002466C9" w:rsidRPr="00B929AC">
        <w:instrText xml:space="preserve"> </w:instrText>
      </w:r>
      <w:r w:rsidR="002466C9">
        <w:rPr>
          <w:lang w:val="en-US"/>
        </w:rPr>
        <w:instrText>prognostic</w:instrText>
      </w:r>
      <w:r w:rsidR="002466C9" w:rsidRPr="00B929AC">
        <w:instrText xml:space="preserve"> </w:instrText>
      </w:r>
      <w:r w:rsidR="002466C9">
        <w:rPr>
          <w:lang w:val="en-US"/>
        </w:rPr>
        <w:instrText>factors</w:instrText>
      </w:r>
      <w:r w:rsidR="002466C9" w:rsidRPr="00B929AC">
        <w:instrText xml:space="preserve">. </w:instrText>
      </w:r>
      <w:r w:rsidR="002466C9">
        <w:rPr>
          <w:lang w:val="en-US"/>
        </w:rPr>
        <w:instrText>In</w:instrText>
      </w:r>
      <w:r w:rsidR="002466C9" w:rsidRPr="00B929AC">
        <w:instrText xml:space="preserve"> </w:instrText>
      </w:r>
      <w:r w:rsidR="002466C9">
        <w:rPr>
          <w:lang w:val="en-US"/>
        </w:rPr>
        <w:instrText>patients</w:instrText>
      </w:r>
      <w:r w:rsidR="002466C9" w:rsidRPr="00B929AC">
        <w:instrText xml:space="preserve"> </w:instrText>
      </w:r>
      <w:r w:rsidR="002466C9">
        <w:rPr>
          <w:lang w:val="en-US"/>
        </w:rPr>
        <w:instrText>with</w:instrText>
      </w:r>
      <w:r w:rsidR="002466C9" w:rsidRPr="00B929AC">
        <w:instrText xml:space="preserve"> </w:instrText>
      </w:r>
      <w:r w:rsidR="002466C9">
        <w:rPr>
          <w:lang w:val="en-US"/>
        </w:rPr>
        <w:instrText>none</w:instrText>
      </w:r>
      <w:r w:rsidR="002466C9" w:rsidRPr="00B929AC">
        <w:instrText xml:space="preserve"> </w:instrText>
      </w:r>
      <w:r w:rsidR="002466C9">
        <w:rPr>
          <w:lang w:val="en-US"/>
        </w:rPr>
        <w:instrText>of</w:instrText>
      </w:r>
      <w:r w:rsidR="002466C9" w:rsidRPr="00B929AC">
        <w:instrText xml:space="preserve"> </w:instrText>
      </w:r>
      <w:r w:rsidR="002466C9">
        <w:rPr>
          <w:lang w:val="en-US"/>
        </w:rPr>
        <w:instrText>these</w:instrText>
      </w:r>
      <w:r w:rsidR="002466C9" w:rsidRPr="00B929AC">
        <w:instrText xml:space="preserve"> </w:instrText>
      </w:r>
      <w:r w:rsidR="002466C9">
        <w:rPr>
          <w:lang w:val="en-US"/>
        </w:rPr>
        <w:instrText>adverse</w:instrText>
      </w:r>
      <w:r w:rsidR="002466C9" w:rsidRPr="00B929AC">
        <w:instrText xml:space="preserve"> </w:instrText>
      </w:r>
      <w:r w:rsidR="002466C9">
        <w:rPr>
          <w:lang w:val="en-US"/>
        </w:rPr>
        <w:instrText>factors</w:instrText>
      </w:r>
      <w:r w:rsidR="002466C9" w:rsidRPr="00B929AC">
        <w:instrText xml:space="preserve"> </w:instrText>
      </w:r>
      <w:r w:rsidR="002466C9">
        <w:rPr>
          <w:lang w:val="en-US"/>
        </w:rPr>
        <w:instrText>the</w:instrText>
      </w:r>
      <w:r w:rsidR="002466C9" w:rsidRPr="00B929AC">
        <w:instrText xml:space="preserve"> </w:instrText>
      </w:r>
      <w:r w:rsidR="002466C9">
        <w:rPr>
          <w:lang w:val="en-US"/>
        </w:rPr>
        <w:instrText>MRD</w:instrText>
      </w:r>
      <w:r w:rsidR="002466C9" w:rsidRPr="00B929AC">
        <w:instrText xml:space="preserve"> </w:instrText>
      </w:r>
      <w:r w:rsidR="002466C9">
        <w:rPr>
          <w:lang w:val="en-US"/>
        </w:rPr>
        <w:instrText>has</w:instrText>
      </w:r>
      <w:r w:rsidR="002466C9" w:rsidRPr="00B929AC">
        <w:instrText xml:space="preserve"> </w:instrText>
      </w:r>
      <w:r w:rsidR="002466C9">
        <w:rPr>
          <w:lang w:val="en-US"/>
        </w:rPr>
        <w:instrText>not</w:instrText>
      </w:r>
      <w:r w:rsidR="002466C9" w:rsidRPr="00B929AC">
        <w:instrText xml:space="preserve"> </w:instrText>
      </w:r>
      <w:r w:rsidR="002466C9">
        <w:rPr>
          <w:lang w:val="en-US"/>
        </w:rPr>
        <w:instrText>yet</w:instrText>
      </w:r>
      <w:r w:rsidR="002466C9" w:rsidRPr="00B929AC">
        <w:instrText xml:space="preserve"> </w:instrText>
      </w:r>
      <w:r w:rsidR="002466C9">
        <w:rPr>
          <w:lang w:val="en-US"/>
        </w:rPr>
        <w:instrText>been</w:instrText>
      </w:r>
      <w:r w:rsidR="002466C9" w:rsidRPr="00B929AC">
        <w:instrText xml:space="preserve"> </w:instrText>
      </w:r>
      <w:r w:rsidR="002466C9">
        <w:rPr>
          <w:lang w:val="en-US"/>
        </w:rPr>
        <w:instrText>reached</w:instrText>
      </w:r>
      <w:r w:rsidR="002466C9" w:rsidRPr="00B929AC">
        <w:instrText xml:space="preserve">, </w:instrText>
      </w:r>
      <w:r w:rsidR="002466C9">
        <w:rPr>
          <w:lang w:val="en-US"/>
        </w:rPr>
        <w:instrText>with</w:instrText>
      </w:r>
      <w:r w:rsidR="002466C9" w:rsidRPr="00B929AC">
        <w:instrText xml:space="preserve"> </w:instrText>
      </w:r>
      <w:r w:rsidR="002466C9">
        <w:rPr>
          <w:lang w:val="en-US"/>
        </w:rPr>
        <w:instrText>one</w:instrText>
      </w:r>
      <w:r w:rsidR="002466C9" w:rsidRPr="00B929AC">
        <w:instrText xml:space="preserve"> </w:instrText>
      </w:r>
      <w:r w:rsidR="002466C9">
        <w:rPr>
          <w:lang w:val="en-US"/>
        </w:rPr>
        <w:instrText>adverse</w:instrText>
      </w:r>
      <w:r w:rsidR="002466C9" w:rsidRPr="00B929AC">
        <w:instrText xml:space="preserve"> </w:instrText>
      </w:r>
      <w:r w:rsidR="002466C9">
        <w:rPr>
          <w:lang w:val="en-US"/>
        </w:rPr>
        <w:instrText>factor</w:instrText>
      </w:r>
      <w:r w:rsidR="002466C9" w:rsidRPr="00B929AC">
        <w:instrText xml:space="preserve"> </w:instrText>
      </w:r>
      <w:r w:rsidR="002466C9">
        <w:rPr>
          <w:lang w:val="en-US"/>
        </w:rPr>
        <w:instrText>the</w:instrText>
      </w:r>
      <w:r w:rsidR="002466C9" w:rsidRPr="00B929AC">
        <w:instrText xml:space="preserve"> </w:instrText>
      </w:r>
      <w:r w:rsidR="002466C9">
        <w:rPr>
          <w:lang w:val="en-US"/>
        </w:rPr>
        <w:instrText>MRD</w:instrText>
      </w:r>
      <w:r w:rsidR="002466C9" w:rsidRPr="00B929AC">
        <w:instrText xml:space="preserve"> </w:instrText>
      </w:r>
      <w:r w:rsidR="002466C9">
        <w:rPr>
          <w:lang w:val="en-US"/>
        </w:rPr>
        <w:instrText>is</w:instrText>
      </w:r>
      <w:r w:rsidR="002466C9" w:rsidRPr="00B929AC">
        <w:instrText xml:space="preserve"> 21.9 </w:instrText>
      </w:r>
      <w:r w:rsidR="002466C9">
        <w:rPr>
          <w:lang w:val="en-US"/>
        </w:rPr>
        <w:instrText>months</w:instrText>
      </w:r>
      <w:r w:rsidR="002466C9" w:rsidRPr="00B929AC">
        <w:instrText xml:space="preserve">, </w:instrText>
      </w:r>
      <w:r w:rsidR="002466C9">
        <w:rPr>
          <w:lang w:val="en-US"/>
        </w:rPr>
        <w:instrText>and</w:instrText>
      </w:r>
      <w:r w:rsidR="002466C9" w:rsidRPr="00B929AC">
        <w:instrText xml:space="preserve"> </w:instrText>
      </w:r>
      <w:r w:rsidR="002466C9">
        <w:rPr>
          <w:lang w:val="en-US"/>
        </w:rPr>
        <w:instrText>with</w:instrText>
      </w:r>
      <w:r w:rsidR="002466C9" w:rsidRPr="00B929AC">
        <w:instrText xml:space="preserve"> </w:instrText>
      </w:r>
      <w:r w:rsidR="002466C9">
        <w:rPr>
          <w:lang w:val="en-US"/>
        </w:rPr>
        <w:instrText>two</w:instrText>
      </w:r>
      <w:r w:rsidR="002466C9" w:rsidRPr="00B929AC">
        <w:instrText xml:space="preserve"> </w:instrText>
      </w:r>
      <w:r w:rsidR="002466C9">
        <w:rPr>
          <w:lang w:val="en-US"/>
        </w:rPr>
        <w:instrText>or</w:instrText>
      </w:r>
      <w:r w:rsidR="002466C9" w:rsidRPr="00B929AC">
        <w:instrText xml:space="preserve"> </w:instrText>
      </w:r>
      <w:r w:rsidR="002466C9">
        <w:rPr>
          <w:lang w:val="en-US"/>
        </w:rPr>
        <w:instrText>three</w:instrText>
      </w:r>
      <w:r w:rsidR="002466C9" w:rsidRPr="00B929AC">
        <w:instrText xml:space="preserve"> </w:instrText>
      </w:r>
      <w:r w:rsidR="002466C9">
        <w:rPr>
          <w:lang w:val="en-US"/>
        </w:rPr>
        <w:instrText>adverse</w:instrText>
      </w:r>
      <w:r w:rsidR="002466C9" w:rsidRPr="00B929AC">
        <w:instrText xml:space="preserve"> </w:instrText>
      </w:r>
      <w:r w:rsidR="002466C9">
        <w:rPr>
          <w:lang w:val="en-US"/>
        </w:rPr>
        <w:instrText>factors</w:instrText>
      </w:r>
      <w:r w:rsidR="002466C9" w:rsidRPr="00B929AC">
        <w:instrText xml:space="preserve"> </w:instrText>
      </w:r>
      <w:r w:rsidR="002466C9">
        <w:rPr>
          <w:lang w:val="en-US"/>
        </w:rPr>
        <w:instrText>the</w:instrText>
      </w:r>
      <w:r w:rsidR="002466C9" w:rsidRPr="00B929AC">
        <w:instrText xml:space="preserve"> </w:instrText>
      </w:r>
      <w:r w:rsidR="002466C9">
        <w:rPr>
          <w:lang w:val="en-US"/>
        </w:rPr>
        <w:instrText>MRD</w:instrText>
      </w:r>
      <w:r w:rsidR="002466C9" w:rsidRPr="00B929AC">
        <w:instrText xml:space="preserve"> </w:instrText>
      </w:r>
      <w:r w:rsidR="002466C9">
        <w:rPr>
          <w:lang w:val="en-US"/>
        </w:rPr>
        <w:instrText>is</w:instrText>
      </w:r>
      <w:r w:rsidR="002466C9" w:rsidRPr="00B929AC">
        <w:instrText xml:space="preserve"> </w:instrText>
      </w:r>
      <w:r w:rsidR="002466C9">
        <w:rPr>
          <w:lang w:val="en-US"/>
        </w:rPr>
        <w:instrText>only</w:instrText>
      </w:r>
      <w:r w:rsidR="002466C9" w:rsidRPr="00B929AC">
        <w:instrText xml:space="preserve"> 9.6 </w:instrText>
      </w:r>
      <w:r w:rsidR="002466C9">
        <w:rPr>
          <w:lang w:val="en-US"/>
        </w:rPr>
        <w:instrText>months</w:instrText>
      </w:r>
      <w:r w:rsidR="002466C9" w:rsidRPr="00B929AC">
        <w:instrText xml:space="preserve">. </w:instrText>
      </w:r>
      <w:r w:rsidR="002466C9">
        <w:rPr>
          <w:lang w:val="en-US"/>
        </w:rPr>
        <w:instrText>For</w:instrText>
      </w:r>
      <w:r w:rsidR="002466C9" w:rsidRPr="00B929AC">
        <w:instrText xml:space="preserve"> </w:instrText>
      </w:r>
      <w:r w:rsidR="002466C9">
        <w:rPr>
          <w:lang w:val="en-US"/>
        </w:rPr>
        <w:instrText>the</w:instrText>
      </w:r>
      <w:r w:rsidR="002466C9" w:rsidRPr="00B929AC">
        <w:instrText xml:space="preserve"> </w:instrText>
      </w:r>
      <w:r w:rsidR="002466C9">
        <w:rPr>
          <w:lang w:val="en-US"/>
        </w:rPr>
        <w:instrText>immunologic</w:instrText>
      </w:r>
      <w:r w:rsidR="002466C9" w:rsidRPr="00B929AC">
        <w:instrText xml:space="preserve"> </w:instrText>
      </w:r>
      <w:r w:rsidR="002466C9">
        <w:rPr>
          <w:lang w:val="en-US"/>
        </w:rPr>
        <w:instrText>subtype</w:instrText>
      </w:r>
      <w:r w:rsidR="002466C9" w:rsidRPr="00B929AC">
        <w:instrText xml:space="preserve"> </w:instrText>
      </w:r>
      <w:r w:rsidR="002466C9">
        <w:rPr>
          <w:lang w:val="en-US"/>
        </w:rPr>
        <w:instrText>T</w:instrText>
      </w:r>
      <w:r w:rsidR="002466C9" w:rsidRPr="00B929AC">
        <w:instrText>-</w:instrText>
      </w:r>
      <w:r w:rsidR="002466C9">
        <w:rPr>
          <w:lang w:val="en-US"/>
        </w:rPr>
        <w:instrText>ALL</w:instrText>
      </w:r>
      <w:r w:rsidR="002466C9" w:rsidRPr="00B929AC">
        <w:instrText xml:space="preserve">, </w:instrText>
      </w:r>
      <w:r w:rsidR="002466C9">
        <w:rPr>
          <w:lang w:val="en-US"/>
        </w:rPr>
        <w:instrText>the</w:instrText>
      </w:r>
      <w:r w:rsidR="002466C9" w:rsidRPr="00B929AC">
        <w:instrText xml:space="preserve"> </w:instrText>
      </w:r>
      <w:r w:rsidR="002466C9">
        <w:rPr>
          <w:lang w:val="en-US"/>
        </w:rPr>
        <w:instrText>probability</w:instrText>
      </w:r>
      <w:r w:rsidR="002466C9" w:rsidRPr="00B929AC">
        <w:instrText xml:space="preserve"> </w:instrText>
      </w:r>
      <w:r w:rsidR="002466C9">
        <w:rPr>
          <w:lang w:val="en-US"/>
        </w:rPr>
        <w:instrText>of</w:instrText>
      </w:r>
      <w:r w:rsidR="002466C9" w:rsidRPr="00B929AC">
        <w:instrText xml:space="preserve"> </w:instrText>
      </w:r>
      <w:r w:rsidR="002466C9">
        <w:rPr>
          <w:lang w:val="en-US"/>
        </w:rPr>
        <w:instrText>being</w:instrText>
      </w:r>
      <w:r w:rsidR="002466C9" w:rsidRPr="00B929AC">
        <w:instrText xml:space="preserve"> </w:instrText>
      </w:r>
      <w:r w:rsidR="002466C9">
        <w:rPr>
          <w:lang w:val="en-US"/>
        </w:rPr>
        <w:instrText>in</w:instrText>
      </w:r>
      <w:r w:rsidR="002466C9" w:rsidRPr="00B929AC">
        <w:instrText xml:space="preserve"> </w:instrText>
      </w:r>
      <w:r w:rsidR="002466C9">
        <w:rPr>
          <w:lang w:val="en-US"/>
        </w:rPr>
        <w:instrText>CCR</w:instrText>
      </w:r>
      <w:r w:rsidR="002466C9" w:rsidRPr="00B929AC">
        <w:instrText xml:space="preserve"> </w:instrText>
      </w:r>
      <w:r w:rsidR="002466C9">
        <w:rPr>
          <w:lang w:val="en-US"/>
        </w:rPr>
        <w:instrText>at</w:instrText>
      </w:r>
      <w:r w:rsidR="002466C9" w:rsidRPr="00B929AC">
        <w:instrText xml:space="preserve"> </w:instrText>
      </w:r>
      <w:r w:rsidR="002466C9">
        <w:rPr>
          <w:lang w:val="en-US"/>
        </w:rPr>
        <w:instrText>greater</w:instrText>
      </w:r>
      <w:r w:rsidR="002466C9" w:rsidRPr="00B929AC">
        <w:instrText xml:space="preserve"> </w:instrText>
      </w:r>
      <w:r w:rsidR="002466C9">
        <w:rPr>
          <w:lang w:val="en-US"/>
        </w:rPr>
        <w:instrText>than</w:instrText>
      </w:r>
      <w:r w:rsidR="002466C9" w:rsidRPr="00B929AC">
        <w:instrText xml:space="preserve"> 5 </w:instrText>
      </w:r>
      <w:r w:rsidR="002466C9">
        <w:rPr>
          <w:lang w:val="en-US"/>
        </w:rPr>
        <w:instrText>years</w:instrText>
      </w:r>
      <w:r w:rsidR="002466C9" w:rsidRPr="00B929AC">
        <w:instrText xml:space="preserve"> </w:instrText>
      </w:r>
      <w:r w:rsidR="002466C9">
        <w:rPr>
          <w:lang w:val="en-US"/>
        </w:rPr>
        <w:instrText>is</w:instrText>
      </w:r>
      <w:r w:rsidR="002466C9" w:rsidRPr="00B929AC">
        <w:instrText xml:space="preserve"> .55; </w:instrText>
      </w:r>
      <w:r w:rsidR="002466C9">
        <w:rPr>
          <w:lang w:val="en-US"/>
        </w:rPr>
        <w:instrText>for</w:instrText>
      </w:r>
      <w:r w:rsidR="002466C9" w:rsidRPr="00B929AC">
        <w:instrText xml:space="preserve"> </w:instrText>
      </w:r>
      <w:r w:rsidR="002466C9">
        <w:rPr>
          <w:lang w:val="en-US"/>
        </w:rPr>
        <w:instrText>c</w:instrText>
      </w:r>
      <w:r w:rsidR="002466C9" w:rsidRPr="00B929AC">
        <w:instrText>-</w:instrText>
      </w:r>
      <w:r w:rsidR="002466C9">
        <w:rPr>
          <w:lang w:val="en-US"/>
        </w:rPr>
        <w:instrText>ALL</w:instrText>
      </w:r>
      <w:r w:rsidR="002466C9" w:rsidRPr="00B929AC">
        <w:instrText xml:space="preserve">, .34; </w:instrText>
      </w:r>
      <w:r w:rsidR="002466C9">
        <w:rPr>
          <w:lang w:val="en-US"/>
        </w:rPr>
        <w:instrText>and</w:instrText>
      </w:r>
      <w:r w:rsidR="002466C9" w:rsidRPr="00B929AC">
        <w:instrText xml:space="preserve"> </w:instrText>
      </w:r>
      <w:r w:rsidR="002466C9">
        <w:rPr>
          <w:lang w:val="en-US"/>
        </w:rPr>
        <w:instrText>for</w:instrText>
      </w:r>
      <w:r w:rsidR="002466C9" w:rsidRPr="00B929AC">
        <w:instrText xml:space="preserve"> </w:instrText>
      </w:r>
      <w:r w:rsidR="002466C9">
        <w:rPr>
          <w:lang w:val="en-US"/>
        </w:rPr>
        <w:instrText>null</w:instrText>
      </w:r>
      <w:r w:rsidR="002466C9" w:rsidRPr="00B929AC">
        <w:instrText xml:space="preserve"> </w:instrText>
      </w:r>
      <w:r w:rsidR="002466C9">
        <w:rPr>
          <w:lang w:val="en-US"/>
        </w:rPr>
        <w:instrText>ALL</w:instrText>
      </w:r>
      <w:r w:rsidR="002466C9" w:rsidRPr="00B929AC">
        <w:instrText xml:space="preserve">, .24. </w:instrText>
      </w:r>
      <w:r w:rsidR="002466C9">
        <w:rPr>
          <w:lang w:val="en-US"/>
        </w:rPr>
        <w:instrText>According</w:instrText>
      </w:r>
      <w:r w:rsidR="002466C9" w:rsidRPr="00B929AC">
        <w:instrText xml:space="preserve"> </w:instrText>
      </w:r>
      <w:r w:rsidR="002466C9">
        <w:rPr>
          <w:lang w:val="en-US"/>
        </w:rPr>
        <w:instrText>to</w:instrText>
      </w:r>
      <w:r w:rsidR="002466C9" w:rsidRPr="00B929AC">
        <w:instrText xml:space="preserve"> </w:instrText>
      </w:r>
      <w:r w:rsidR="002466C9">
        <w:rPr>
          <w:lang w:val="en-US"/>
        </w:rPr>
        <w:instrText>these</w:instrText>
      </w:r>
      <w:r w:rsidR="002466C9" w:rsidRPr="00B929AC">
        <w:instrText xml:space="preserve"> </w:instrText>
      </w:r>
      <w:r w:rsidR="002466C9">
        <w:rPr>
          <w:lang w:val="en-US"/>
        </w:rPr>
        <w:instrText>results</w:instrText>
      </w:r>
      <w:r w:rsidR="002466C9" w:rsidRPr="00B929AC">
        <w:instrText xml:space="preserve">, </w:instrText>
      </w:r>
      <w:r w:rsidR="002466C9">
        <w:rPr>
          <w:lang w:val="en-US"/>
        </w:rPr>
        <w:instrText>patients</w:instrText>
      </w:r>
      <w:r w:rsidR="002466C9" w:rsidRPr="00B929AC">
        <w:instrText xml:space="preserve"> </w:instrText>
      </w:r>
      <w:r w:rsidR="002466C9">
        <w:rPr>
          <w:lang w:val="en-US"/>
        </w:rPr>
        <w:instrText>were</w:instrText>
      </w:r>
      <w:r w:rsidR="002466C9" w:rsidRPr="00B929AC">
        <w:instrText xml:space="preserve"> </w:instrText>
      </w:r>
      <w:r w:rsidR="002466C9">
        <w:rPr>
          <w:lang w:val="en-US"/>
        </w:rPr>
        <w:instrText>stratified</w:instrText>
      </w:r>
      <w:r w:rsidR="002466C9" w:rsidRPr="00B929AC">
        <w:instrText xml:space="preserve"> </w:instrText>
      </w:r>
      <w:r w:rsidR="002466C9">
        <w:rPr>
          <w:lang w:val="en-US"/>
        </w:rPr>
        <w:instrText>into</w:instrText>
      </w:r>
      <w:r w:rsidR="002466C9" w:rsidRPr="00B929AC">
        <w:instrText xml:space="preserve"> </w:instrText>
      </w:r>
      <w:r w:rsidR="002466C9">
        <w:rPr>
          <w:lang w:val="en-US"/>
        </w:rPr>
        <w:instrText>a</w:instrText>
      </w:r>
      <w:r w:rsidR="002466C9" w:rsidRPr="00B929AC">
        <w:instrText xml:space="preserve"> </w:instrText>
      </w:r>
      <w:r w:rsidR="002466C9">
        <w:rPr>
          <w:lang w:val="en-US"/>
        </w:rPr>
        <w:instrText>low</w:instrText>
      </w:r>
      <w:r w:rsidR="002466C9" w:rsidRPr="00B929AC">
        <w:instrText>-</w:instrText>
      </w:r>
      <w:r w:rsidR="002466C9">
        <w:rPr>
          <w:lang w:val="en-US"/>
        </w:rPr>
        <w:instrText>risk</w:instrText>
      </w:r>
      <w:r w:rsidR="002466C9" w:rsidRPr="00B929AC">
        <w:instrText xml:space="preserve"> </w:instrText>
      </w:r>
      <w:r w:rsidR="002466C9">
        <w:rPr>
          <w:lang w:val="en-US"/>
        </w:rPr>
        <w:instrText>group</w:instrText>
      </w:r>
      <w:r w:rsidR="002466C9" w:rsidRPr="00B929AC">
        <w:instrText xml:space="preserve"> </w:instrText>
      </w:r>
      <w:r w:rsidR="002466C9">
        <w:rPr>
          <w:lang w:val="en-US"/>
        </w:rPr>
        <w:instrText>with</w:instrText>
      </w:r>
      <w:r w:rsidR="002466C9" w:rsidRPr="00B929AC">
        <w:instrText xml:space="preserve"> </w:instrText>
      </w:r>
      <w:r w:rsidR="002466C9">
        <w:rPr>
          <w:lang w:val="en-US"/>
        </w:rPr>
        <w:instrText>a</w:instrText>
      </w:r>
      <w:r w:rsidR="002466C9" w:rsidRPr="00B929AC">
        <w:instrText xml:space="preserve"> </w:instrText>
      </w:r>
      <w:r w:rsidR="002466C9">
        <w:rPr>
          <w:lang w:val="en-US"/>
        </w:rPr>
        <w:instrText>CCR</w:instrText>
      </w:r>
      <w:r w:rsidR="002466C9" w:rsidRPr="00B929AC">
        <w:instrText xml:space="preserve"> </w:instrText>
      </w:r>
      <w:r w:rsidR="002466C9">
        <w:rPr>
          <w:lang w:val="en-US"/>
        </w:rPr>
        <w:instrText>rate</w:instrText>
      </w:r>
      <w:r w:rsidR="002466C9" w:rsidRPr="00B929AC">
        <w:instrText xml:space="preserve"> </w:instrText>
      </w:r>
      <w:r w:rsidR="002466C9">
        <w:rPr>
          <w:lang w:val="en-US"/>
        </w:rPr>
        <w:instrText>of</w:instrText>
      </w:r>
      <w:r w:rsidR="002466C9" w:rsidRPr="00B929AC">
        <w:instrText xml:space="preserve"> .62 </w:instrText>
      </w:r>
      <w:r w:rsidR="002466C9">
        <w:rPr>
          <w:lang w:val="en-US"/>
        </w:rPr>
        <w:instrText>and</w:instrText>
      </w:r>
      <w:r w:rsidR="002466C9" w:rsidRPr="00B929AC">
        <w:instrText xml:space="preserve"> </w:instrText>
      </w:r>
      <w:r w:rsidR="002466C9">
        <w:rPr>
          <w:lang w:val="en-US"/>
        </w:rPr>
        <w:instrText>a</w:instrText>
      </w:r>
      <w:r w:rsidR="002466C9" w:rsidRPr="00B929AC">
        <w:instrText xml:space="preserve"> </w:instrText>
      </w:r>
      <w:r w:rsidR="002466C9">
        <w:rPr>
          <w:lang w:val="en-US"/>
        </w:rPr>
        <w:instrText>high</w:instrText>
      </w:r>
      <w:r w:rsidR="002466C9" w:rsidRPr="00B929AC">
        <w:instrText>-</w:instrText>
      </w:r>
      <w:r w:rsidR="002466C9">
        <w:rPr>
          <w:lang w:val="en-US"/>
        </w:rPr>
        <w:instrText>risk</w:instrText>
      </w:r>
      <w:r w:rsidR="002466C9" w:rsidRPr="00B929AC">
        <w:instrText xml:space="preserve"> </w:instrText>
      </w:r>
      <w:r w:rsidR="002466C9">
        <w:rPr>
          <w:lang w:val="en-US"/>
        </w:rPr>
        <w:instrText>group</w:instrText>
      </w:r>
      <w:r w:rsidR="002466C9" w:rsidRPr="00B929AC">
        <w:instrText xml:space="preserve"> </w:instrText>
      </w:r>
      <w:r w:rsidR="002466C9">
        <w:rPr>
          <w:lang w:val="en-US"/>
        </w:rPr>
        <w:instrText>with</w:instrText>
      </w:r>
      <w:r w:rsidR="002466C9" w:rsidRPr="00B929AC">
        <w:instrText xml:space="preserve"> </w:instrText>
      </w:r>
      <w:r w:rsidR="002466C9">
        <w:rPr>
          <w:lang w:val="en-US"/>
        </w:rPr>
        <w:instrText>a</w:instrText>
      </w:r>
      <w:r w:rsidR="002466C9" w:rsidRPr="00B929AC">
        <w:instrText xml:space="preserve"> </w:instrText>
      </w:r>
      <w:r w:rsidR="002466C9">
        <w:rPr>
          <w:lang w:val="en-US"/>
        </w:rPr>
        <w:instrText>CCR</w:instrText>
      </w:r>
      <w:r w:rsidR="002466C9" w:rsidRPr="00B929AC">
        <w:instrText xml:space="preserve"> </w:instrText>
      </w:r>
      <w:r w:rsidR="002466C9">
        <w:rPr>
          <w:lang w:val="en-US"/>
        </w:rPr>
        <w:instrText>rate</w:instrText>
      </w:r>
      <w:r w:rsidR="002466C9" w:rsidRPr="00B929AC">
        <w:instrText xml:space="preserve"> </w:instrText>
      </w:r>
      <w:r w:rsidR="002466C9">
        <w:rPr>
          <w:lang w:val="en-US"/>
        </w:rPr>
        <w:instrText>of</w:instrText>
      </w:r>
      <w:r w:rsidR="002466C9" w:rsidRPr="00B929AC">
        <w:instrText xml:space="preserve"> .28, </w:instrText>
      </w:r>
      <w:r w:rsidR="002466C9">
        <w:rPr>
          <w:lang w:val="en-US"/>
        </w:rPr>
        <w:instrText>with</w:instrText>
      </w:r>
      <w:r w:rsidR="002466C9" w:rsidRPr="00B929AC">
        <w:instrText xml:space="preserve"> </w:instrText>
      </w:r>
      <w:r w:rsidR="002466C9">
        <w:rPr>
          <w:lang w:val="en-US"/>
        </w:rPr>
        <w:instrText>the</w:instrText>
      </w:r>
      <w:r w:rsidR="002466C9" w:rsidRPr="00B929AC">
        <w:instrText xml:space="preserve"> </w:instrText>
      </w:r>
      <w:r w:rsidR="002466C9">
        <w:rPr>
          <w:lang w:val="en-US"/>
        </w:rPr>
        <w:instrText>latter</w:instrText>
      </w:r>
      <w:r w:rsidR="002466C9" w:rsidRPr="00B929AC">
        <w:instrText xml:space="preserve"> </w:instrText>
      </w:r>
      <w:r w:rsidR="002466C9">
        <w:rPr>
          <w:lang w:val="en-US"/>
        </w:rPr>
        <w:instrText>now</w:instrText>
      </w:r>
      <w:r w:rsidR="002466C9" w:rsidRPr="00B929AC">
        <w:instrText xml:space="preserve"> </w:instrText>
      </w:r>
      <w:r w:rsidR="002466C9">
        <w:rPr>
          <w:lang w:val="en-US"/>
        </w:rPr>
        <w:instrText>allocated</w:instrText>
      </w:r>
      <w:r w:rsidR="002466C9" w:rsidRPr="00B929AC">
        <w:instrText xml:space="preserve"> </w:instrText>
      </w:r>
      <w:r w:rsidR="002466C9">
        <w:rPr>
          <w:lang w:val="en-US"/>
        </w:rPr>
        <w:instrText>to</w:instrText>
      </w:r>
      <w:r w:rsidR="002466C9" w:rsidRPr="00B929AC">
        <w:instrText xml:space="preserve"> </w:instrText>
      </w:r>
      <w:r w:rsidR="002466C9">
        <w:rPr>
          <w:lang w:val="en-US"/>
        </w:rPr>
        <w:instrText>either</w:instrText>
      </w:r>
      <w:r w:rsidR="002466C9" w:rsidRPr="00B929AC">
        <w:instrText xml:space="preserve"> </w:instrText>
      </w:r>
      <w:r w:rsidR="002466C9">
        <w:rPr>
          <w:lang w:val="en-US"/>
        </w:rPr>
        <w:instrText>further</w:instrText>
      </w:r>
      <w:r w:rsidR="002466C9" w:rsidRPr="00B929AC">
        <w:instrText xml:space="preserve"> </w:instrText>
      </w:r>
      <w:r w:rsidR="002466C9">
        <w:rPr>
          <w:lang w:val="en-US"/>
        </w:rPr>
        <w:instrText>chemotherapy</w:instrText>
      </w:r>
      <w:r w:rsidR="002466C9" w:rsidRPr="00B929AC">
        <w:instrText xml:space="preserve"> </w:instrText>
      </w:r>
      <w:r w:rsidR="002466C9">
        <w:rPr>
          <w:lang w:val="en-US"/>
        </w:rPr>
        <w:instrText>or</w:instrText>
      </w:r>
      <w:r w:rsidR="002466C9" w:rsidRPr="00B929AC">
        <w:instrText xml:space="preserve"> </w:instrText>
      </w:r>
      <w:r w:rsidR="002466C9">
        <w:rPr>
          <w:lang w:val="en-US"/>
        </w:rPr>
        <w:instrText>bone</w:instrText>
      </w:r>
      <w:r w:rsidR="002466C9" w:rsidRPr="00B929AC">
        <w:instrText xml:space="preserve"> </w:instrText>
      </w:r>
      <w:r w:rsidR="002466C9">
        <w:rPr>
          <w:lang w:val="en-US"/>
        </w:rPr>
        <w:instrText>marrow</w:instrText>
      </w:r>
      <w:r w:rsidR="002466C9" w:rsidRPr="00B929AC">
        <w:instrText xml:space="preserve"> </w:instrText>
      </w:r>
      <w:r w:rsidR="002466C9">
        <w:rPr>
          <w:lang w:val="en-US"/>
        </w:rPr>
        <w:instrText>transplantation</w:instrText>
      </w:r>
      <w:r w:rsidR="002466C9" w:rsidRPr="00B929AC">
        <w:instrText xml:space="preserve"> </w:instrText>
      </w:r>
      <w:r w:rsidR="002466C9">
        <w:rPr>
          <w:lang w:val="en-US"/>
        </w:rPr>
        <w:instrText>in</w:instrText>
      </w:r>
      <w:r w:rsidR="002466C9" w:rsidRPr="00B929AC">
        <w:instrText xml:space="preserve"> </w:instrText>
      </w:r>
      <w:r w:rsidR="002466C9">
        <w:rPr>
          <w:lang w:val="en-US"/>
        </w:rPr>
        <w:instrText>first</w:instrText>
      </w:r>
      <w:r w:rsidR="002466C9" w:rsidRPr="00B929AC">
        <w:instrText xml:space="preserve"> </w:instrText>
      </w:r>
      <w:r w:rsidR="002466C9">
        <w:rPr>
          <w:lang w:val="en-US"/>
        </w:rPr>
        <w:instrText>remission</w:instrText>
      </w:r>
      <w:r w:rsidR="002466C9" w:rsidRPr="00B929AC">
        <w:instrText>.","</w:instrText>
      </w:r>
      <w:r w:rsidR="002466C9">
        <w:rPr>
          <w:lang w:val="en-US"/>
        </w:rPr>
        <w:instrText>author</w:instrText>
      </w:r>
      <w:r w:rsidR="002466C9" w:rsidRPr="00B929AC">
        <w:instrText>":[{"</w:instrText>
      </w:r>
      <w:r w:rsidR="002466C9">
        <w:rPr>
          <w:lang w:val="en-US"/>
        </w:rPr>
        <w:instrText>dropping</w:instrText>
      </w:r>
      <w:r w:rsidR="002466C9" w:rsidRPr="00B929AC">
        <w:instrText>-</w:instrText>
      </w:r>
      <w:r w:rsidR="002466C9">
        <w:rPr>
          <w:lang w:val="en-US"/>
        </w:rPr>
        <w:instrText>particle</w:instrText>
      </w:r>
      <w:r w:rsidR="002466C9" w:rsidRPr="00B929AC">
        <w:instrText>":"","</w:instrText>
      </w:r>
      <w:r w:rsidR="002466C9">
        <w:rPr>
          <w:lang w:val="en-US"/>
        </w:rPr>
        <w:instrText>family</w:instrText>
      </w:r>
      <w:r w:rsidR="002466C9" w:rsidRPr="00B929AC">
        <w:instrText>":"</w:instrText>
      </w:r>
      <w:r w:rsidR="002466C9">
        <w:rPr>
          <w:lang w:val="en-US"/>
        </w:rPr>
        <w:instrText>Hoelzer</w:instrText>
      </w:r>
      <w:r w:rsidR="002466C9" w:rsidRPr="00B929AC">
        <w:instrText>","</w:instrText>
      </w:r>
      <w:r w:rsidR="002466C9">
        <w:rPr>
          <w:lang w:val="en-US"/>
        </w:rPr>
        <w:instrText>given</w:instrText>
      </w:r>
      <w:r w:rsidR="002466C9" w:rsidRPr="00B929AC">
        <w:instrText>":"</w:instrText>
      </w:r>
      <w:r w:rsidR="002466C9">
        <w:rPr>
          <w:lang w:val="en-US"/>
        </w:rPr>
        <w:instrText>D</w:instrText>
      </w:r>
      <w:r w:rsidR="002466C9" w:rsidRPr="00B929AC">
        <w:instrText>","</w:instrText>
      </w:r>
      <w:r w:rsidR="002466C9">
        <w:rPr>
          <w:lang w:val="en-US"/>
        </w:rPr>
        <w:instrText>non</w:instrText>
      </w:r>
      <w:r w:rsidR="002466C9" w:rsidRPr="00B929AC">
        <w:instrText>-</w:instrText>
      </w:r>
      <w:r w:rsidR="002466C9">
        <w:rPr>
          <w:lang w:val="en-US"/>
        </w:rPr>
        <w:instrText>dropping</w:instrText>
      </w:r>
      <w:r w:rsidR="002466C9" w:rsidRPr="00B929AC">
        <w:instrText>-</w:instrText>
      </w:r>
      <w:r w:rsidR="002466C9">
        <w:rPr>
          <w:lang w:val="en-US"/>
        </w:rPr>
        <w:instrText>particle</w:instrText>
      </w:r>
      <w:r w:rsidR="002466C9" w:rsidRPr="00B929AC">
        <w:instrText>":"","</w:instrText>
      </w:r>
      <w:r w:rsidR="002466C9">
        <w:rPr>
          <w:lang w:val="en-US"/>
        </w:rPr>
        <w:instrText>parse</w:instrText>
      </w:r>
      <w:r w:rsidR="002466C9" w:rsidRPr="00B929AC">
        <w:instrText>-</w:instrText>
      </w:r>
      <w:r w:rsidR="002466C9">
        <w:rPr>
          <w:lang w:val="en-US"/>
        </w:rPr>
        <w:instrText>names</w:instrText>
      </w:r>
      <w:r w:rsidR="002466C9" w:rsidRPr="00B929AC">
        <w:instrText>":</w:instrText>
      </w:r>
      <w:r w:rsidR="002466C9">
        <w:rPr>
          <w:lang w:val="en-US"/>
        </w:rPr>
        <w:instrText>false</w:instrText>
      </w:r>
      <w:r w:rsidR="002466C9" w:rsidRPr="00B929AC">
        <w:instrText>,"</w:instrText>
      </w:r>
      <w:r w:rsidR="002466C9">
        <w:rPr>
          <w:lang w:val="en-US"/>
        </w:rPr>
        <w:instrText>suffix</w:instrText>
      </w:r>
      <w:r w:rsidR="002466C9" w:rsidRPr="00B929AC">
        <w:instrText>":""},{"</w:instrText>
      </w:r>
      <w:r w:rsidR="002466C9">
        <w:rPr>
          <w:lang w:val="en-US"/>
        </w:rPr>
        <w:instrText>dropping</w:instrText>
      </w:r>
      <w:r w:rsidR="002466C9" w:rsidRPr="00B929AC">
        <w:instrText>-</w:instrText>
      </w:r>
      <w:r w:rsidR="002466C9">
        <w:rPr>
          <w:lang w:val="en-US"/>
        </w:rPr>
        <w:instrText>particle</w:instrText>
      </w:r>
      <w:r w:rsidR="002466C9" w:rsidRPr="00B929AC">
        <w:instrText>":"","</w:instrText>
      </w:r>
      <w:r w:rsidR="002466C9">
        <w:rPr>
          <w:lang w:val="en-US"/>
        </w:rPr>
        <w:instrText>family</w:instrText>
      </w:r>
      <w:r w:rsidR="002466C9" w:rsidRPr="00B929AC">
        <w:instrText>":"</w:instrText>
      </w:r>
      <w:r w:rsidR="002466C9">
        <w:rPr>
          <w:lang w:val="en-US"/>
        </w:rPr>
        <w:instrText>Thiel</w:instrText>
      </w:r>
      <w:r w:rsidR="002466C9" w:rsidRPr="00B929AC">
        <w:instrText>","</w:instrText>
      </w:r>
      <w:r w:rsidR="002466C9">
        <w:rPr>
          <w:lang w:val="en-US"/>
        </w:rPr>
        <w:instrText>given</w:instrText>
      </w:r>
      <w:r w:rsidR="002466C9" w:rsidRPr="00B929AC">
        <w:instrText>":"</w:instrText>
      </w:r>
      <w:r w:rsidR="002466C9">
        <w:rPr>
          <w:lang w:val="en-US"/>
        </w:rPr>
        <w:instrText>E</w:instrText>
      </w:r>
      <w:r w:rsidR="002466C9" w:rsidRPr="00B929AC">
        <w:instrText>","</w:instrText>
      </w:r>
      <w:r w:rsidR="002466C9">
        <w:rPr>
          <w:lang w:val="en-US"/>
        </w:rPr>
        <w:instrText>non</w:instrText>
      </w:r>
      <w:r w:rsidR="002466C9" w:rsidRPr="00B929AC">
        <w:instrText>-</w:instrText>
      </w:r>
      <w:r w:rsidR="002466C9">
        <w:rPr>
          <w:lang w:val="en-US"/>
        </w:rPr>
        <w:instrText>dropping</w:instrText>
      </w:r>
      <w:r w:rsidR="002466C9" w:rsidRPr="00B929AC">
        <w:instrText>-</w:instrText>
      </w:r>
      <w:r w:rsidR="002466C9">
        <w:rPr>
          <w:lang w:val="en-US"/>
        </w:rPr>
        <w:instrText>particle</w:instrText>
      </w:r>
      <w:r w:rsidR="002466C9" w:rsidRPr="00B929AC">
        <w:instrText>":"","</w:instrText>
      </w:r>
      <w:r w:rsidR="002466C9">
        <w:rPr>
          <w:lang w:val="en-US"/>
        </w:rPr>
        <w:instrText>parse</w:instrText>
      </w:r>
      <w:r w:rsidR="002466C9" w:rsidRPr="00B929AC">
        <w:instrText>-</w:instrText>
      </w:r>
      <w:r w:rsidR="002466C9">
        <w:rPr>
          <w:lang w:val="en-US"/>
        </w:rPr>
        <w:instrText>names</w:instrText>
      </w:r>
      <w:r w:rsidR="002466C9" w:rsidRPr="00B929AC">
        <w:instrText>":</w:instrText>
      </w:r>
      <w:r w:rsidR="002466C9">
        <w:rPr>
          <w:lang w:val="en-US"/>
        </w:rPr>
        <w:instrText>false</w:instrText>
      </w:r>
      <w:r w:rsidR="002466C9" w:rsidRPr="00B929AC">
        <w:instrText>,"</w:instrText>
      </w:r>
      <w:r w:rsidR="002466C9">
        <w:rPr>
          <w:lang w:val="en-US"/>
        </w:rPr>
        <w:instrText>suffix</w:instrText>
      </w:r>
      <w:r w:rsidR="002466C9" w:rsidRPr="00B929AC">
        <w:instrText>":""},{"</w:instrText>
      </w:r>
      <w:r w:rsidR="002466C9">
        <w:rPr>
          <w:lang w:val="en-US"/>
        </w:rPr>
        <w:instrText>dropping</w:instrText>
      </w:r>
      <w:r w:rsidR="002466C9" w:rsidRPr="00B929AC">
        <w:instrText>-</w:instrText>
      </w:r>
      <w:r w:rsidR="002466C9">
        <w:rPr>
          <w:lang w:val="en-US"/>
        </w:rPr>
        <w:instrText>particle</w:instrText>
      </w:r>
      <w:r w:rsidR="002466C9" w:rsidRPr="00B929AC">
        <w:instrText>":"","</w:instrText>
      </w:r>
      <w:r w:rsidR="002466C9">
        <w:rPr>
          <w:lang w:val="en-US"/>
        </w:rPr>
        <w:instrText>family</w:instrText>
      </w:r>
      <w:r w:rsidR="002466C9" w:rsidRPr="00B929AC">
        <w:instrText>":"</w:instrText>
      </w:r>
      <w:r w:rsidR="002466C9">
        <w:rPr>
          <w:lang w:val="en-US"/>
        </w:rPr>
        <w:instrText>L</w:instrText>
      </w:r>
      <w:r w:rsidR="002466C9" w:rsidRPr="00B929AC">
        <w:instrText>ö</w:instrText>
      </w:r>
      <w:r w:rsidR="002466C9">
        <w:rPr>
          <w:lang w:val="en-US"/>
        </w:rPr>
        <w:instrText>ffler</w:instrText>
      </w:r>
      <w:r w:rsidR="002466C9" w:rsidRPr="00B929AC">
        <w:instrText>","</w:instrText>
      </w:r>
      <w:r w:rsidR="002466C9">
        <w:rPr>
          <w:lang w:val="en-US"/>
        </w:rPr>
        <w:instrText>given</w:instrText>
      </w:r>
      <w:r w:rsidR="002466C9" w:rsidRPr="00B929AC">
        <w:instrText>":"</w:instrText>
      </w:r>
      <w:r w:rsidR="002466C9">
        <w:rPr>
          <w:lang w:val="en-US"/>
        </w:rPr>
        <w:instrText>H</w:instrText>
      </w:r>
      <w:r w:rsidR="002466C9" w:rsidRPr="00B929AC">
        <w:instrText>","</w:instrText>
      </w:r>
      <w:r w:rsidR="002466C9">
        <w:rPr>
          <w:lang w:val="en-US"/>
        </w:rPr>
        <w:instrText>non</w:instrText>
      </w:r>
      <w:r w:rsidR="002466C9" w:rsidRPr="00B929AC">
        <w:instrText>-</w:instrText>
      </w:r>
      <w:r w:rsidR="002466C9">
        <w:rPr>
          <w:lang w:val="en-US"/>
        </w:rPr>
        <w:instrText>dropping</w:instrText>
      </w:r>
      <w:r w:rsidR="002466C9" w:rsidRPr="00B929AC">
        <w:instrText>-</w:instrText>
      </w:r>
      <w:r w:rsidR="002466C9">
        <w:rPr>
          <w:lang w:val="en-US"/>
        </w:rPr>
        <w:instrText>particle</w:instrText>
      </w:r>
      <w:r w:rsidR="002466C9" w:rsidRPr="00B929AC">
        <w:instrText>":"","</w:instrText>
      </w:r>
      <w:r w:rsidR="002466C9">
        <w:rPr>
          <w:lang w:val="en-US"/>
        </w:rPr>
        <w:instrText>parse</w:instrText>
      </w:r>
      <w:r w:rsidR="002466C9" w:rsidRPr="00B929AC">
        <w:instrText>-</w:instrText>
      </w:r>
      <w:r w:rsidR="002466C9">
        <w:rPr>
          <w:lang w:val="en-US"/>
        </w:rPr>
        <w:instrText>names</w:instrText>
      </w:r>
      <w:r w:rsidR="002466C9" w:rsidRPr="00B929AC">
        <w:instrText>":</w:instrText>
      </w:r>
      <w:r w:rsidR="002466C9">
        <w:rPr>
          <w:lang w:val="en-US"/>
        </w:rPr>
        <w:instrText>false</w:instrText>
      </w:r>
      <w:r w:rsidR="002466C9" w:rsidRPr="00B929AC">
        <w:instrText>,"</w:instrText>
      </w:r>
      <w:r w:rsidR="002466C9">
        <w:rPr>
          <w:lang w:val="en-US"/>
        </w:rPr>
        <w:instrText>suffix</w:instrText>
      </w:r>
      <w:r w:rsidR="002466C9" w:rsidRPr="00B929AC">
        <w:instrText>":""},{"</w:instrText>
      </w:r>
      <w:r w:rsidR="002466C9">
        <w:rPr>
          <w:lang w:val="en-US"/>
        </w:rPr>
        <w:instrText>dropping</w:instrText>
      </w:r>
      <w:r w:rsidR="002466C9" w:rsidRPr="00B929AC">
        <w:instrText>-</w:instrText>
      </w:r>
      <w:r w:rsidR="002466C9">
        <w:rPr>
          <w:lang w:val="en-US"/>
        </w:rPr>
        <w:instrText>particle</w:instrText>
      </w:r>
      <w:r w:rsidR="002466C9" w:rsidRPr="00B929AC">
        <w:instrText>":"","</w:instrText>
      </w:r>
      <w:r w:rsidR="002466C9">
        <w:rPr>
          <w:lang w:val="en-US"/>
        </w:rPr>
        <w:instrText>family</w:instrText>
      </w:r>
      <w:r w:rsidR="002466C9" w:rsidRPr="00B929AC">
        <w:instrText>":"</w:instrText>
      </w:r>
      <w:r w:rsidR="002466C9">
        <w:rPr>
          <w:lang w:val="en-US"/>
        </w:rPr>
        <w:instrText>B</w:instrText>
      </w:r>
      <w:r w:rsidR="002466C9" w:rsidRPr="00B929AC">
        <w:instrText>ü</w:instrText>
      </w:r>
      <w:r w:rsidR="002466C9">
        <w:rPr>
          <w:lang w:val="en-US"/>
        </w:rPr>
        <w:instrText>chner</w:instrText>
      </w:r>
      <w:r w:rsidR="002466C9" w:rsidRPr="00B929AC">
        <w:instrText>","</w:instrText>
      </w:r>
      <w:r w:rsidR="002466C9">
        <w:rPr>
          <w:lang w:val="en-US"/>
        </w:rPr>
        <w:instrText>given</w:instrText>
      </w:r>
      <w:r w:rsidR="002466C9" w:rsidRPr="00B929AC">
        <w:instrText>":"</w:instrText>
      </w:r>
      <w:r w:rsidR="002466C9">
        <w:rPr>
          <w:lang w:val="en-US"/>
        </w:rPr>
        <w:instrText>T</w:instrText>
      </w:r>
      <w:r w:rsidR="002466C9" w:rsidRPr="00B929AC">
        <w:instrText>","</w:instrText>
      </w:r>
      <w:r w:rsidR="002466C9">
        <w:rPr>
          <w:lang w:val="en-US"/>
        </w:rPr>
        <w:instrText>non</w:instrText>
      </w:r>
      <w:r w:rsidR="002466C9" w:rsidRPr="00B929AC">
        <w:instrText>-</w:instrText>
      </w:r>
      <w:r w:rsidR="002466C9">
        <w:rPr>
          <w:lang w:val="en-US"/>
        </w:rPr>
        <w:instrText>dropping</w:instrText>
      </w:r>
      <w:r w:rsidR="002466C9" w:rsidRPr="00B929AC">
        <w:instrText>-</w:instrText>
      </w:r>
      <w:r w:rsidR="002466C9">
        <w:rPr>
          <w:lang w:val="en-US"/>
        </w:rPr>
        <w:instrText>particle</w:instrText>
      </w:r>
      <w:r w:rsidR="002466C9" w:rsidRPr="00B929AC">
        <w:instrText>":"","</w:instrText>
      </w:r>
      <w:r w:rsidR="002466C9">
        <w:rPr>
          <w:lang w:val="en-US"/>
        </w:rPr>
        <w:instrText>parse</w:instrText>
      </w:r>
      <w:r w:rsidR="002466C9" w:rsidRPr="00B929AC">
        <w:instrText>-</w:instrText>
      </w:r>
      <w:r w:rsidR="002466C9">
        <w:rPr>
          <w:lang w:val="en-US"/>
        </w:rPr>
        <w:instrText>names</w:instrText>
      </w:r>
      <w:r w:rsidR="002466C9" w:rsidRPr="00B929AC">
        <w:instrText>":</w:instrText>
      </w:r>
      <w:r w:rsidR="002466C9">
        <w:rPr>
          <w:lang w:val="en-US"/>
        </w:rPr>
        <w:instrText>false</w:instrText>
      </w:r>
      <w:r w:rsidR="002466C9" w:rsidRPr="00B929AC">
        <w:instrText>,"</w:instrText>
      </w:r>
      <w:r w:rsidR="002466C9">
        <w:rPr>
          <w:lang w:val="en-US"/>
        </w:rPr>
        <w:instrText>suffix</w:instrText>
      </w:r>
      <w:r w:rsidR="002466C9" w:rsidRPr="00B929AC">
        <w:instrText>":""},{"</w:instrText>
      </w:r>
      <w:r w:rsidR="002466C9">
        <w:rPr>
          <w:lang w:val="en-US"/>
        </w:rPr>
        <w:instrText>dropping</w:instrText>
      </w:r>
      <w:r w:rsidR="002466C9" w:rsidRPr="00B929AC">
        <w:instrText>-</w:instrText>
      </w:r>
      <w:r w:rsidR="002466C9">
        <w:rPr>
          <w:lang w:val="en-US"/>
        </w:rPr>
        <w:instrText>particle</w:instrText>
      </w:r>
      <w:r w:rsidR="002466C9" w:rsidRPr="00B929AC">
        <w:instrText>":"","</w:instrText>
      </w:r>
      <w:r w:rsidR="002466C9">
        <w:rPr>
          <w:lang w:val="en-US"/>
        </w:rPr>
        <w:instrText>family</w:instrText>
      </w:r>
      <w:r w:rsidR="002466C9" w:rsidRPr="00B929AC">
        <w:instrText>":"</w:instrText>
      </w:r>
      <w:r w:rsidR="002466C9">
        <w:rPr>
          <w:lang w:val="en-US"/>
        </w:rPr>
        <w:instrText>Ganser</w:instrText>
      </w:r>
      <w:r w:rsidR="002466C9" w:rsidRPr="00B929AC">
        <w:instrText>","</w:instrText>
      </w:r>
      <w:r w:rsidR="002466C9">
        <w:rPr>
          <w:lang w:val="en-US"/>
        </w:rPr>
        <w:instrText>given</w:instrText>
      </w:r>
      <w:r w:rsidR="002466C9" w:rsidRPr="00B929AC">
        <w:instrText>":"</w:instrText>
      </w:r>
      <w:r w:rsidR="002466C9">
        <w:rPr>
          <w:lang w:val="en-US"/>
        </w:rPr>
        <w:instrText>A</w:instrText>
      </w:r>
      <w:r w:rsidR="002466C9" w:rsidRPr="00B929AC">
        <w:instrText>","</w:instrText>
      </w:r>
      <w:r w:rsidR="002466C9">
        <w:rPr>
          <w:lang w:val="en-US"/>
        </w:rPr>
        <w:instrText>non</w:instrText>
      </w:r>
      <w:r w:rsidR="002466C9" w:rsidRPr="00B929AC">
        <w:instrText>-</w:instrText>
      </w:r>
      <w:r w:rsidR="002466C9">
        <w:rPr>
          <w:lang w:val="en-US"/>
        </w:rPr>
        <w:instrText>dropping</w:instrText>
      </w:r>
      <w:r w:rsidR="002466C9" w:rsidRPr="00B929AC">
        <w:instrText>-</w:instrText>
      </w:r>
      <w:r w:rsidR="002466C9">
        <w:rPr>
          <w:lang w:val="en-US"/>
        </w:rPr>
        <w:instrText>particle</w:instrText>
      </w:r>
      <w:r w:rsidR="002466C9" w:rsidRPr="00B929AC">
        <w:instrText>":"","</w:instrText>
      </w:r>
      <w:r w:rsidR="002466C9">
        <w:rPr>
          <w:lang w:val="en-US"/>
        </w:rPr>
        <w:instrText>parse</w:instrText>
      </w:r>
      <w:r w:rsidR="002466C9" w:rsidRPr="00B929AC">
        <w:instrText>-</w:instrText>
      </w:r>
      <w:r w:rsidR="002466C9">
        <w:rPr>
          <w:lang w:val="en-US"/>
        </w:rPr>
        <w:instrText>names</w:instrText>
      </w:r>
      <w:r w:rsidR="002466C9" w:rsidRPr="00B929AC">
        <w:instrText>":</w:instrText>
      </w:r>
      <w:r w:rsidR="002466C9">
        <w:rPr>
          <w:lang w:val="en-US"/>
        </w:rPr>
        <w:instrText>false</w:instrText>
      </w:r>
      <w:r w:rsidR="002466C9" w:rsidRPr="00B929AC">
        <w:instrText>,"</w:instrText>
      </w:r>
      <w:r w:rsidR="002466C9">
        <w:rPr>
          <w:lang w:val="en-US"/>
        </w:rPr>
        <w:instrText>suffix</w:instrText>
      </w:r>
      <w:r w:rsidR="002466C9" w:rsidRPr="00B929AC">
        <w:instrText>":""},{"</w:instrText>
      </w:r>
      <w:r w:rsidR="002466C9">
        <w:rPr>
          <w:lang w:val="en-US"/>
        </w:rPr>
        <w:instrText>dropping</w:instrText>
      </w:r>
      <w:r w:rsidR="002466C9" w:rsidRPr="00B929AC">
        <w:instrText>-</w:instrText>
      </w:r>
      <w:r w:rsidR="002466C9">
        <w:rPr>
          <w:lang w:val="en-US"/>
        </w:rPr>
        <w:instrText>particle</w:instrText>
      </w:r>
      <w:r w:rsidR="002466C9" w:rsidRPr="00B929AC">
        <w:instrText>":"","</w:instrText>
      </w:r>
      <w:r w:rsidR="002466C9">
        <w:rPr>
          <w:lang w:val="en-US"/>
        </w:rPr>
        <w:instrText>family</w:instrText>
      </w:r>
      <w:r w:rsidR="002466C9" w:rsidRPr="00B929AC">
        <w:instrText>":"</w:instrText>
      </w:r>
      <w:r w:rsidR="002466C9">
        <w:rPr>
          <w:lang w:val="en-US"/>
        </w:rPr>
        <w:instrText>Heil</w:instrText>
      </w:r>
      <w:r w:rsidR="002466C9" w:rsidRPr="00B929AC">
        <w:instrText>","</w:instrText>
      </w:r>
      <w:r w:rsidR="002466C9">
        <w:rPr>
          <w:lang w:val="en-US"/>
        </w:rPr>
        <w:instrText>given</w:instrText>
      </w:r>
      <w:r w:rsidR="002466C9" w:rsidRPr="00B929AC">
        <w:instrText>":"</w:instrText>
      </w:r>
      <w:r w:rsidR="002466C9">
        <w:rPr>
          <w:lang w:val="en-US"/>
        </w:rPr>
        <w:instrText>G</w:instrText>
      </w:r>
      <w:r w:rsidR="002466C9" w:rsidRPr="00B929AC">
        <w:instrText>","</w:instrText>
      </w:r>
      <w:r w:rsidR="002466C9">
        <w:rPr>
          <w:lang w:val="en-US"/>
        </w:rPr>
        <w:instrText>non</w:instrText>
      </w:r>
      <w:r w:rsidR="002466C9" w:rsidRPr="00B929AC">
        <w:instrText>-</w:instrText>
      </w:r>
      <w:r w:rsidR="002466C9">
        <w:rPr>
          <w:lang w:val="en-US"/>
        </w:rPr>
        <w:instrText>dropping</w:instrText>
      </w:r>
      <w:r w:rsidR="002466C9" w:rsidRPr="00B929AC">
        <w:instrText>-</w:instrText>
      </w:r>
      <w:r w:rsidR="002466C9">
        <w:rPr>
          <w:lang w:val="en-US"/>
        </w:rPr>
        <w:instrText>particle</w:instrText>
      </w:r>
      <w:r w:rsidR="002466C9" w:rsidRPr="00B929AC">
        <w:instrText>":"","</w:instrText>
      </w:r>
      <w:r w:rsidR="002466C9">
        <w:rPr>
          <w:lang w:val="en-US"/>
        </w:rPr>
        <w:instrText>parse</w:instrText>
      </w:r>
      <w:r w:rsidR="002466C9" w:rsidRPr="00B929AC">
        <w:instrText>-</w:instrText>
      </w:r>
      <w:r w:rsidR="002466C9">
        <w:rPr>
          <w:lang w:val="en-US"/>
        </w:rPr>
        <w:instrText>names</w:instrText>
      </w:r>
      <w:r w:rsidR="002466C9" w:rsidRPr="00B929AC">
        <w:instrText>":</w:instrText>
      </w:r>
      <w:r w:rsidR="002466C9">
        <w:rPr>
          <w:lang w:val="en-US"/>
        </w:rPr>
        <w:instrText>false</w:instrText>
      </w:r>
      <w:r w:rsidR="002466C9" w:rsidRPr="00B929AC">
        <w:instrText>,"</w:instrText>
      </w:r>
      <w:r w:rsidR="002466C9">
        <w:rPr>
          <w:lang w:val="en-US"/>
        </w:rPr>
        <w:instrText>suffix</w:instrText>
      </w:r>
      <w:r w:rsidR="002466C9" w:rsidRPr="00B929AC">
        <w:instrText>":""},{"</w:instrText>
      </w:r>
      <w:r w:rsidR="002466C9">
        <w:rPr>
          <w:lang w:val="en-US"/>
        </w:rPr>
        <w:instrText>dropping</w:instrText>
      </w:r>
      <w:r w:rsidR="002466C9" w:rsidRPr="00B929AC">
        <w:instrText>-</w:instrText>
      </w:r>
      <w:r w:rsidR="002466C9">
        <w:rPr>
          <w:lang w:val="en-US"/>
        </w:rPr>
        <w:instrText>particle</w:instrText>
      </w:r>
      <w:r w:rsidR="002466C9" w:rsidRPr="00B929AC">
        <w:instrText>":"","</w:instrText>
      </w:r>
      <w:r w:rsidR="002466C9">
        <w:rPr>
          <w:lang w:val="en-US"/>
        </w:rPr>
        <w:instrText>family</w:instrText>
      </w:r>
      <w:r w:rsidR="002466C9" w:rsidRPr="00B929AC">
        <w:instrText>":"</w:instrText>
      </w:r>
      <w:r w:rsidR="002466C9">
        <w:rPr>
          <w:lang w:val="en-US"/>
        </w:rPr>
        <w:instrText>Koch</w:instrText>
      </w:r>
      <w:r w:rsidR="002466C9" w:rsidRPr="00B929AC">
        <w:instrText>","</w:instrText>
      </w:r>
      <w:r w:rsidR="002466C9">
        <w:rPr>
          <w:lang w:val="en-US"/>
        </w:rPr>
        <w:instrText>given</w:instrText>
      </w:r>
      <w:r w:rsidR="002466C9" w:rsidRPr="00B929AC">
        <w:instrText>":"</w:instrText>
      </w:r>
      <w:r w:rsidR="002466C9">
        <w:rPr>
          <w:lang w:val="en-US"/>
        </w:rPr>
        <w:instrText>P</w:instrText>
      </w:r>
      <w:r w:rsidR="002466C9" w:rsidRPr="00B929AC">
        <w:instrText>","</w:instrText>
      </w:r>
      <w:r w:rsidR="002466C9">
        <w:rPr>
          <w:lang w:val="en-US"/>
        </w:rPr>
        <w:instrText>non</w:instrText>
      </w:r>
      <w:r w:rsidR="002466C9" w:rsidRPr="00B929AC">
        <w:instrText>-</w:instrText>
      </w:r>
      <w:r w:rsidR="002466C9">
        <w:rPr>
          <w:lang w:val="en-US"/>
        </w:rPr>
        <w:instrText>dropping</w:instrText>
      </w:r>
      <w:r w:rsidR="002466C9" w:rsidRPr="00B929AC">
        <w:instrText>-</w:instrText>
      </w:r>
      <w:r w:rsidR="002466C9">
        <w:rPr>
          <w:lang w:val="en-US"/>
        </w:rPr>
        <w:instrText>particle</w:instrText>
      </w:r>
      <w:r w:rsidR="002466C9" w:rsidRPr="00B929AC">
        <w:instrText>":"","</w:instrText>
      </w:r>
      <w:r w:rsidR="002466C9">
        <w:rPr>
          <w:lang w:val="en-US"/>
        </w:rPr>
        <w:instrText>parse</w:instrText>
      </w:r>
      <w:r w:rsidR="002466C9" w:rsidRPr="00B929AC">
        <w:instrText>-</w:instrText>
      </w:r>
      <w:r w:rsidR="002466C9">
        <w:rPr>
          <w:lang w:val="en-US"/>
        </w:rPr>
        <w:instrText>names</w:instrText>
      </w:r>
      <w:r w:rsidR="002466C9" w:rsidRPr="00B929AC">
        <w:instrText>":</w:instrText>
      </w:r>
      <w:r w:rsidR="002466C9">
        <w:rPr>
          <w:lang w:val="en-US"/>
        </w:rPr>
        <w:instrText>false</w:instrText>
      </w:r>
      <w:r w:rsidR="002466C9" w:rsidRPr="00B929AC">
        <w:instrText>,"</w:instrText>
      </w:r>
      <w:r w:rsidR="002466C9">
        <w:rPr>
          <w:lang w:val="en-US"/>
        </w:rPr>
        <w:instrText>suffix</w:instrText>
      </w:r>
      <w:r w:rsidR="002466C9" w:rsidRPr="00B929AC">
        <w:instrText>":""},{"</w:instrText>
      </w:r>
      <w:r w:rsidR="002466C9">
        <w:rPr>
          <w:lang w:val="en-US"/>
        </w:rPr>
        <w:instrText>dropping</w:instrText>
      </w:r>
      <w:r w:rsidR="002466C9" w:rsidRPr="00B929AC">
        <w:instrText>-</w:instrText>
      </w:r>
      <w:r w:rsidR="002466C9">
        <w:rPr>
          <w:lang w:val="en-US"/>
        </w:rPr>
        <w:instrText>particle</w:instrText>
      </w:r>
      <w:r w:rsidR="002466C9" w:rsidRPr="00B929AC">
        <w:instrText>":"","</w:instrText>
      </w:r>
      <w:r w:rsidR="002466C9">
        <w:rPr>
          <w:lang w:val="en-US"/>
        </w:rPr>
        <w:instrText>family</w:instrText>
      </w:r>
      <w:r w:rsidR="002466C9" w:rsidRPr="00B929AC">
        <w:instrText>":"</w:instrText>
      </w:r>
      <w:r w:rsidR="002466C9">
        <w:rPr>
          <w:lang w:val="en-US"/>
        </w:rPr>
        <w:instrText>Freund</w:instrText>
      </w:r>
      <w:r w:rsidR="002466C9" w:rsidRPr="00B929AC">
        <w:instrText>","</w:instrText>
      </w:r>
      <w:r w:rsidR="002466C9">
        <w:rPr>
          <w:lang w:val="en-US"/>
        </w:rPr>
        <w:instrText>given</w:instrText>
      </w:r>
      <w:r w:rsidR="002466C9" w:rsidRPr="00B929AC">
        <w:instrText>":"</w:instrText>
      </w:r>
      <w:r w:rsidR="002466C9">
        <w:rPr>
          <w:lang w:val="en-US"/>
        </w:rPr>
        <w:instrText>M</w:instrText>
      </w:r>
      <w:r w:rsidR="002466C9" w:rsidRPr="00B929AC">
        <w:instrText>","</w:instrText>
      </w:r>
      <w:r w:rsidR="002466C9">
        <w:rPr>
          <w:lang w:val="en-US"/>
        </w:rPr>
        <w:instrText>non</w:instrText>
      </w:r>
      <w:r w:rsidR="002466C9" w:rsidRPr="00B929AC">
        <w:instrText>-</w:instrText>
      </w:r>
      <w:r w:rsidR="002466C9">
        <w:rPr>
          <w:lang w:val="en-US"/>
        </w:rPr>
        <w:instrText>dropping</w:instrText>
      </w:r>
      <w:r w:rsidR="002466C9" w:rsidRPr="00B929AC">
        <w:instrText>-</w:instrText>
      </w:r>
      <w:r w:rsidR="002466C9">
        <w:rPr>
          <w:lang w:val="en-US"/>
        </w:rPr>
        <w:instrText>particle</w:instrText>
      </w:r>
      <w:r w:rsidR="002466C9" w:rsidRPr="00B929AC">
        <w:instrText>":"","</w:instrText>
      </w:r>
      <w:r w:rsidR="002466C9">
        <w:rPr>
          <w:lang w:val="en-US"/>
        </w:rPr>
        <w:instrText>parse</w:instrText>
      </w:r>
      <w:r w:rsidR="002466C9" w:rsidRPr="00B929AC">
        <w:instrText>-</w:instrText>
      </w:r>
      <w:r w:rsidR="002466C9">
        <w:rPr>
          <w:lang w:val="en-US"/>
        </w:rPr>
        <w:instrText>names</w:instrText>
      </w:r>
      <w:r w:rsidR="002466C9" w:rsidRPr="00B929AC">
        <w:instrText>":</w:instrText>
      </w:r>
      <w:r w:rsidR="002466C9">
        <w:rPr>
          <w:lang w:val="en-US"/>
        </w:rPr>
        <w:instrText>false</w:instrText>
      </w:r>
      <w:r w:rsidR="002466C9" w:rsidRPr="00B929AC">
        <w:instrText>,"</w:instrText>
      </w:r>
      <w:r w:rsidR="002466C9">
        <w:rPr>
          <w:lang w:val="en-US"/>
        </w:rPr>
        <w:instrText>suffix</w:instrText>
      </w:r>
      <w:r w:rsidR="002466C9" w:rsidRPr="00B929AC">
        <w:instrText>":""},{"</w:instrText>
      </w:r>
      <w:r w:rsidR="002466C9">
        <w:rPr>
          <w:lang w:val="en-US"/>
        </w:rPr>
        <w:instrText>dropping</w:instrText>
      </w:r>
      <w:r w:rsidR="002466C9" w:rsidRPr="00B929AC">
        <w:instrText>-</w:instrText>
      </w:r>
      <w:r w:rsidR="002466C9">
        <w:rPr>
          <w:lang w:val="en-US"/>
        </w:rPr>
        <w:instrText>particle</w:instrText>
      </w:r>
      <w:r w:rsidR="002466C9" w:rsidRPr="00B929AC">
        <w:instrText>":"","</w:instrText>
      </w:r>
      <w:r w:rsidR="002466C9">
        <w:rPr>
          <w:lang w:val="en-US"/>
        </w:rPr>
        <w:instrText>family</w:instrText>
      </w:r>
      <w:r w:rsidR="002466C9" w:rsidRPr="00B929AC">
        <w:instrText>":"</w:instrText>
      </w:r>
      <w:r w:rsidR="002466C9">
        <w:rPr>
          <w:lang w:val="en-US"/>
        </w:rPr>
        <w:instrText>Diedrich</w:instrText>
      </w:r>
      <w:r w:rsidR="002466C9" w:rsidRPr="00B929AC">
        <w:instrText>","</w:instrText>
      </w:r>
      <w:r w:rsidR="002466C9">
        <w:rPr>
          <w:lang w:val="en-US"/>
        </w:rPr>
        <w:instrText>given</w:instrText>
      </w:r>
      <w:r w:rsidR="002466C9" w:rsidRPr="00B929AC">
        <w:instrText>":"</w:instrText>
      </w:r>
      <w:r w:rsidR="002466C9">
        <w:rPr>
          <w:lang w:val="en-US"/>
        </w:rPr>
        <w:instrText>H","non-dropping-particle":"","parse-names":false,"suffix":""},{"dropping-particle":"","family":"Rühl","given":"H","non-dropping-particle":"","parse-names":false,"suffix":""}],"container-title":"Blood","id":"ITEM-1","issue":"1","issued":{"date-parts":[["1988","1"]]},"page":"123-31","title":"Prognostic factors in a multicenter study for treatment of acute lymphoblastic leukemia in adults.","type":"article-journal","volume":"71"},"uris":["http://www.mendeley.com/documents/?uuid=82ae800d-f6a9-370a-9b57-ccaa6e14204b"]}],"mendeley":{"formattedCitation":"[11]","plainTextFormattedCitation":"[11]","previouslyFormattedCitation":"[11]"},"properties":{"noteIndex":0},"schema":"https://github.com/citation-style-language/schema/raw/master/csl-citation.json"}</w:instrText>
      </w:r>
      <w:r w:rsidR="00250B38">
        <w:rPr>
          <w:lang w:val="en-US"/>
        </w:rPr>
        <w:fldChar w:fldCharType="separate"/>
      </w:r>
      <w:r w:rsidR="00A66456" w:rsidRPr="00A66456">
        <w:rPr>
          <w:noProof/>
          <w:lang w:val="en-US"/>
        </w:rPr>
        <w:t>[11]</w:t>
      </w:r>
      <w:r w:rsidR="00250B38">
        <w:rPr>
          <w:lang w:val="en-US"/>
        </w:rPr>
        <w:fldChar w:fldCharType="end"/>
      </w:r>
      <w:r w:rsidR="00250B38" w:rsidRPr="00CC4EA1">
        <w:t>.</w:t>
      </w:r>
    </w:p>
    <w:p w14:paraId="1334C5CC" w14:textId="3E2FA1B4" w:rsidR="00254823" w:rsidRDefault="00254823" w:rsidP="00A7331E">
      <w:pPr>
        <w:ind w:firstLine="709"/>
        <w:contextualSpacing/>
        <w:rPr>
          <w:b/>
        </w:rPr>
      </w:pPr>
      <w:r w:rsidRPr="00617969">
        <w:rPr>
          <w:b/>
        </w:rPr>
        <w:t>Уровень убедительности рекомендаций</w:t>
      </w:r>
      <w:r w:rsidRPr="00617969" w:rsidDel="00670C55">
        <w:rPr>
          <w:b/>
        </w:rPr>
        <w:t xml:space="preserve"> </w:t>
      </w:r>
      <w:r w:rsidR="00713574">
        <w:rPr>
          <w:b/>
        </w:rPr>
        <w:t xml:space="preserve">– </w:t>
      </w:r>
      <w:r w:rsidR="007A051C">
        <w:rPr>
          <w:b/>
        </w:rPr>
        <w:t>С</w:t>
      </w:r>
      <w:r w:rsidRPr="00617969">
        <w:rPr>
          <w:b/>
        </w:rPr>
        <w:t xml:space="preserve"> (уровень </w:t>
      </w:r>
      <w:r w:rsidRPr="00617969">
        <w:rPr>
          <w:b/>
          <w:spacing w:val="-1"/>
        </w:rPr>
        <w:t xml:space="preserve">достоверности доказательств </w:t>
      </w:r>
      <w:r>
        <w:rPr>
          <w:b/>
        </w:rPr>
        <w:t xml:space="preserve">– </w:t>
      </w:r>
      <w:r w:rsidR="007A051C">
        <w:rPr>
          <w:b/>
        </w:rPr>
        <w:t>5</w:t>
      </w:r>
      <w:r w:rsidR="00A7331E">
        <w:rPr>
          <w:b/>
        </w:rPr>
        <w:t>)</w:t>
      </w:r>
      <w:r w:rsidR="00713574">
        <w:rPr>
          <w:b/>
        </w:rPr>
        <w:t>.</w:t>
      </w:r>
    </w:p>
    <w:p w14:paraId="6A94E412" w14:textId="77777777" w:rsidR="00254823" w:rsidRPr="00EC10A2" w:rsidRDefault="00254823" w:rsidP="00A7331E">
      <w:pPr>
        <w:spacing w:before="120"/>
        <w:ind w:firstLine="709"/>
        <w:contextualSpacing/>
        <w:rPr>
          <w:i/>
        </w:rPr>
      </w:pPr>
      <w:r>
        <w:rPr>
          <w:b/>
        </w:rPr>
        <w:t xml:space="preserve">Комментарии: </w:t>
      </w:r>
      <w:r w:rsidR="00FE5C5B">
        <w:rPr>
          <w:i/>
        </w:rPr>
        <w:t>п</w:t>
      </w:r>
      <w:r w:rsidR="00FE5C5B" w:rsidRPr="00EC10A2">
        <w:rPr>
          <w:i/>
        </w:rPr>
        <w:t xml:space="preserve">оложение </w:t>
      </w:r>
      <w:r w:rsidRPr="00EC10A2">
        <w:rPr>
          <w:i/>
        </w:rPr>
        <w:t xml:space="preserve">о прогностических факторах при </w:t>
      </w:r>
      <w:r w:rsidR="00222052">
        <w:rPr>
          <w:i/>
        </w:rPr>
        <w:t>ОЛ</w:t>
      </w:r>
      <w:r w:rsidRPr="00EC10A2">
        <w:rPr>
          <w:i/>
        </w:rPr>
        <w:t xml:space="preserve"> возникло с появлением адекватной </w:t>
      </w:r>
      <w:r w:rsidR="00FE5C5B">
        <w:rPr>
          <w:i/>
        </w:rPr>
        <w:t>ХТ</w:t>
      </w:r>
      <w:r w:rsidRPr="00EC10A2">
        <w:rPr>
          <w:i/>
        </w:rPr>
        <w:t xml:space="preserve">, </w:t>
      </w:r>
      <w:r w:rsidR="00713574">
        <w:rPr>
          <w:i/>
        </w:rPr>
        <w:t>так</w:t>
      </w:r>
      <w:r w:rsidRPr="00EC10A2">
        <w:rPr>
          <w:i/>
        </w:rPr>
        <w:t xml:space="preserve"> как только использование стандартных программ позволяет выделить </w:t>
      </w:r>
      <w:r w:rsidR="00EF50E6" w:rsidRPr="00EF50E6">
        <w:rPr>
          <w:i/>
          <w:szCs w:val="24"/>
        </w:rPr>
        <w:t>пациентов</w:t>
      </w:r>
      <w:r w:rsidRPr="00EC10A2">
        <w:rPr>
          <w:i/>
        </w:rPr>
        <w:t xml:space="preserve"> с определенными клиническими, морфологическими, иммунофенотипическими, цитогенетическими, молекулярно-генетическими характеристиками заболевания, у которых удается или не удается добиться эффекта. Детальное изучение причин неуспеха при использовании стандартных протоколов приводит к формированию</w:t>
      </w:r>
      <w:r w:rsidR="00713574">
        <w:rPr>
          <w:i/>
        </w:rPr>
        <w:t xml:space="preserve"> групп риска и, соответственно,</w:t>
      </w:r>
      <w:r w:rsidR="00FE5C5B">
        <w:rPr>
          <w:i/>
        </w:rPr>
        <w:t xml:space="preserve"> </w:t>
      </w:r>
      <w:r w:rsidRPr="00EC10A2">
        <w:rPr>
          <w:i/>
        </w:rPr>
        <w:t xml:space="preserve">созданию новых дифференцированных подходов к лечению этих </w:t>
      </w:r>
      <w:r w:rsidR="00A7331E">
        <w:rPr>
          <w:i/>
        </w:rPr>
        <w:t>пациентов</w:t>
      </w:r>
      <w:r w:rsidRPr="00EC10A2">
        <w:rPr>
          <w:i/>
        </w:rPr>
        <w:t xml:space="preserve">. Следует подчеркнуть, что наличие у пациента фактора неблагоприятного прогноза ни в коем случае не может быть основанием для перехода к паллиативной терапии. Все факторы прогноза используют и исследуют только в контексте возможности такого изменения терапии, которое повысило бы ее эффективность у таких </w:t>
      </w:r>
      <w:r w:rsidR="00A7331E">
        <w:rPr>
          <w:i/>
        </w:rPr>
        <w:t>пациентов</w:t>
      </w:r>
      <w:r w:rsidRPr="00EC10A2">
        <w:rPr>
          <w:i/>
        </w:rPr>
        <w:t xml:space="preserve">. </w:t>
      </w:r>
    </w:p>
    <w:p w14:paraId="6CFE72E2" w14:textId="77777777" w:rsidR="00254823" w:rsidRPr="00EC10A2" w:rsidRDefault="00254823" w:rsidP="00A7331E">
      <w:pPr>
        <w:ind w:firstLine="709"/>
        <w:contextualSpacing/>
        <w:rPr>
          <w:i/>
        </w:rPr>
      </w:pPr>
      <w:r w:rsidRPr="00EC10A2">
        <w:rPr>
          <w:i/>
        </w:rPr>
        <w:t xml:space="preserve">В течение как минимум двух десятилетий для взрослых </w:t>
      </w:r>
      <w:r w:rsidR="00A7331E">
        <w:rPr>
          <w:i/>
        </w:rPr>
        <w:t>пациентов</w:t>
      </w:r>
      <w:r w:rsidRPr="00EC10A2">
        <w:rPr>
          <w:i/>
        </w:rPr>
        <w:t xml:space="preserve"> </w:t>
      </w:r>
      <w:r w:rsidR="00222052">
        <w:rPr>
          <w:i/>
        </w:rPr>
        <w:t>ОЛЛ</w:t>
      </w:r>
      <w:r w:rsidRPr="00EC10A2">
        <w:rPr>
          <w:i/>
        </w:rPr>
        <w:t xml:space="preserve"> так называемые факторы риска, ассоциированные с эффективностью лечения, остаются неизменными. Исключение составляют </w:t>
      </w:r>
      <w:r w:rsidRPr="00EC10A2">
        <w:rPr>
          <w:i/>
          <w:lang w:val="en-US"/>
        </w:rPr>
        <w:t>Ph</w:t>
      </w:r>
      <w:r w:rsidRPr="00EC10A2">
        <w:rPr>
          <w:i/>
        </w:rPr>
        <w:t>-позитивные ОЛЛ и В-ОЛ</w:t>
      </w:r>
      <w:r w:rsidR="00A7331E">
        <w:rPr>
          <w:i/>
        </w:rPr>
        <w:t>Л</w:t>
      </w:r>
      <w:r w:rsidR="003C141E" w:rsidRPr="003C141E">
        <w:rPr>
          <w:i/>
        </w:rPr>
        <w:t xml:space="preserve"> </w:t>
      </w:r>
      <w:r w:rsidRPr="00EC10A2">
        <w:rPr>
          <w:i/>
        </w:rPr>
        <w:t xml:space="preserve">со зрелым иммунофенотипом, которые были выделены в совершенно отдельные группы, нуждающиеся в особом терапевтическом воздействии </w:t>
      </w:r>
      <w:r w:rsidR="00FE5C5B">
        <w:rPr>
          <w:i/>
        </w:rPr>
        <w:t>(ИТК</w:t>
      </w:r>
      <w:r w:rsidR="00950F44">
        <w:rPr>
          <w:i/>
        </w:rPr>
        <w:t xml:space="preserve"> </w:t>
      </w:r>
      <w:r w:rsidR="001B018E">
        <w:rPr>
          <w:i/>
        </w:rPr>
        <w:t>и блоковая иммунохимиотерапия соответственно),</w:t>
      </w:r>
      <w:r w:rsidRPr="00EC10A2">
        <w:rPr>
          <w:i/>
        </w:rPr>
        <w:t xml:space="preserve"> и прогноз при которых вследствие этого изменился существенным образом. </w:t>
      </w:r>
    </w:p>
    <w:p w14:paraId="788A3AF7" w14:textId="3B7497ED" w:rsidR="00254823" w:rsidRDefault="00254823" w:rsidP="00A7331E">
      <w:pPr>
        <w:ind w:firstLine="709"/>
        <w:contextualSpacing/>
        <w:rPr>
          <w:i/>
        </w:rPr>
      </w:pPr>
      <w:r w:rsidRPr="00EC10A2">
        <w:rPr>
          <w:i/>
        </w:rPr>
        <w:t xml:space="preserve">При </w:t>
      </w:r>
      <w:r w:rsidRPr="00EC10A2">
        <w:rPr>
          <w:i/>
          <w:lang w:val="en-US"/>
        </w:rPr>
        <w:t>Ph</w:t>
      </w:r>
      <w:r w:rsidRPr="00EC10A2">
        <w:rPr>
          <w:i/>
        </w:rPr>
        <w:t xml:space="preserve">-негативных ОЛЛ, несмотря на интенсификацию терапии, выполнение значительного числа </w:t>
      </w:r>
      <w:r w:rsidR="00222052">
        <w:rPr>
          <w:i/>
        </w:rPr>
        <w:t>алло-</w:t>
      </w:r>
      <w:r w:rsidR="00F33796">
        <w:rPr>
          <w:i/>
        </w:rPr>
        <w:t>ТГСК</w:t>
      </w:r>
      <w:r w:rsidRPr="00EC10A2">
        <w:rPr>
          <w:i/>
        </w:rPr>
        <w:t xml:space="preserve"> на разных протоколах разных исследовательских групп</w:t>
      </w:r>
      <w:r w:rsidR="00FE5C5B">
        <w:rPr>
          <w:i/>
        </w:rPr>
        <w:t>,</w:t>
      </w:r>
      <w:r w:rsidRPr="00EC10A2">
        <w:rPr>
          <w:i/>
        </w:rPr>
        <w:t xml:space="preserve"> определенные клинико-лабораторные параметры продолжают определять прогноз заболевания, </w:t>
      </w:r>
      <w:r w:rsidR="001B018E">
        <w:rPr>
          <w:i/>
        </w:rPr>
        <w:t>так же</w:t>
      </w:r>
      <w:r w:rsidR="00FE5C5B">
        <w:rPr>
          <w:i/>
        </w:rPr>
        <w:t xml:space="preserve"> </w:t>
      </w:r>
      <w:r w:rsidRPr="00EC10A2">
        <w:rPr>
          <w:i/>
        </w:rPr>
        <w:t xml:space="preserve">как и несколько десятков лет назад. Для </w:t>
      </w:r>
      <w:r w:rsidRPr="00EC10A2">
        <w:rPr>
          <w:i/>
          <w:lang w:val="en-US"/>
        </w:rPr>
        <w:t>Ph</w:t>
      </w:r>
      <w:r w:rsidRPr="00EC10A2">
        <w:rPr>
          <w:i/>
        </w:rPr>
        <w:t xml:space="preserve">-негативных В-клеточных </w:t>
      </w:r>
      <w:r w:rsidR="00DA0821">
        <w:rPr>
          <w:i/>
        </w:rPr>
        <w:t>ОЛЛ</w:t>
      </w:r>
      <w:r w:rsidRPr="00EC10A2">
        <w:rPr>
          <w:i/>
        </w:rPr>
        <w:t xml:space="preserve"> факторами риска большинством исследователей признаются</w:t>
      </w:r>
      <w:r w:rsidR="00020217">
        <w:rPr>
          <w:i/>
        </w:rPr>
        <w:t>:</w:t>
      </w:r>
      <w:r w:rsidRPr="00EC10A2">
        <w:rPr>
          <w:i/>
        </w:rPr>
        <w:t xml:space="preserve"> более старший возраст (30 лет и более), инициальный лейкоцитоз (30</w:t>
      </w:r>
      <w:r w:rsidR="003C141E" w:rsidRPr="003C141E">
        <w:rPr>
          <w:i/>
        </w:rPr>
        <w:t xml:space="preserve"> </w:t>
      </w:r>
      <w:r w:rsidR="001B018E">
        <w:rPr>
          <w:i/>
        </w:rPr>
        <w:t>×</w:t>
      </w:r>
      <w:r w:rsidR="003C141E">
        <w:rPr>
          <w:i/>
        </w:rPr>
        <w:t xml:space="preserve"> </w:t>
      </w:r>
      <w:r w:rsidRPr="00EC10A2">
        <w:rPr>
          <w:i/>
        </w:rPr>
        <w:t>10</w:t>
      </w:r>
      <w:r w:rsidRPr="00EC10A2">
        <w:rPr>
          <w:i/>
          <w:vertAlign w:val="superscript"/>
        </w:rPr>
        <w:t>9</w:t>
      </w:r>
      <w:r w:rsidRPr="00EC10A2">
        <w:rPr>
          <w:i/>
        </w:rPr>
        <w:t>/л и более), ранний фенотип (ранний</w:t>
      </w:r>
      <w:r w:rsidR="00DA0821">
        <w:rPr>
          <w:i/>
        </w:rPr>
        <w:t xml:space="preserve"> </w:t>
      </w:r>
      <w:r w:rsidRPr="00EC10A2">
        <w:rPr>
          <w:i/>
        </w:rPr>
        <w:t xml:space="preserve">пре-В или </w:t>
      </w:r>
      <w:r w:rsidRPr="00EC10A2">
        <w:rPr>
          <w:i/>
          <w:lang w:val="en-US"/>
        </w:rPr>
        <w:t>BI</w:t>
      </w:r>
      <w:r w:rsidRPr="00EC10A2">
        <w:rPr>
          <w:i/>
        </w:rPr>
        <w:t xml:space="preserve"> по классификации </w:t>
      </w:r>
      <w:r w:rsidRPr="00EC10A2">
        <w:rPr>
          <w:i/>
          <w:lang w:val="en-US"/>
        </w:rPr>
        <w:t>EGIL</w:t>
      </w:r>
      <w:r w:rsidRPr="00EC10A2">
        <w:rPr>
          <w:i/>
        </w:rPr>
        <w:t>),</w:t>
      </w:r>
      <w:r w:rsidR="001B018E">
        <w:rPr>
          <w:i/>
        </w:rPr>
        <w:t xml:space="preserve"> увеличение показателя ЛДГ в 2</w:t>
      </w:r>
      <w:r w:rsidRPr="00EC10A2">
        <w:rPr>
          <w:i/>
        </w:rPr>
        <w:t xml:space="preserve"> раза и более, позднее (более чем на 35</w:t>
      </w:r>
      <w:r w:rsidR="001B018E">
        <w:rPr>
          <w:i/>
        </w:rPr>
        <w:t>-й</w:t>
      </w:r>
      <w:r w:rsidRPr="00EC10A2">
        <w:rPr>
          <w:i/>
        </w:rPr>
        <w:t xml:space="preserve"> день) достижение </w:t>
      </w:r>
      <w:r w:rsidR="00DA0821">
        <w:rPr>
          <w:i/>
        </w:rPr>
        <w:t>ПР</w:t>
      </w:r>
      <w:r w:rsidRPr="00EC10A2">
        <w:rPr>
          <w:i/>
        </w:rPr>
        <w:t xml:space="preserve">, обнаружение </w:t>
      </w:r>
      <w:r w:rsidRPr="00EC10A2">
        <w:rPr>
          <w:i/>
          <w:lang w:val="en-US"/>
        </w:rPr>
        <w:t>t</w:t>
      </w:r>
      <w:r w:rsidRPr="00EC10A2">
        <w:rPr>
          <w:i/>
        </w:rPr>
        <w:t>(4;11). Для Т-клеточных ОЛЛ – ранние и зрелый иммунофенотипы (</w:t>
      </w:r>
      <w:r w:rsidRPr="00EC10A2">
        <w:rPr>
          <w:i/>
          <w:lang w:val="en-US"/>
        </w:rPr>
        <w:t>TI</w:t>
      </w:r>
      <w:r w:rsidRPr="00EC10A2">
        <w:rPr>
          <w:i/>
        </w:rPr>
        <w:t>/</w:t>
      </w:r>
      <w:r w:rsidRPr="00EC10A2">
        <w:rPr>
          <w:i/>
          <w:lang w:val="en-US"/>
        </w:rPr>
        <w:t>II</w:t>
      </w:r>
      <w:r w:rsidRPr="00EC10A2">
        <w:rPr>
          <w:i/>
        </w:rPr>
        <w:t xml:space="preserve"> и </w:t>
      </w:r>
      <w:r w:rsidRPr="00EC10A2">
        <w:rPr>
          <w:i/>
          <w:lang w:val="en-US"/>
        </w:rPr>
        <w:t>TIV</w:t>
      </w:r>
      <w:r w:rsidRPr="00EC10A2">
        <w:rPr>
          <w:i/>
        </w:rPr>
        <w:t xml:space="preserve"> по классификации </w:t>
      </w:r>
      <w:r w:rsidRPr="00EC10A2">
        <w:rPr>
          <w:i/>
          <w:lang w:val="en-US"/>
        </w:rPr>
        <w:t>EGIL</w:t>
      </w:r>
      <w:r w:rsidRPr="00EC10A2">
        <w:rPr>
          <w:i/>
        </w:rPr>
        <w:t>), инициальный лейкоцитоз (100</w:t>
      </w:r>
      <w:r w:rsidR="001B018E">
        <w:rPr>
          <w:i/>
        </w:rPr>
        <w:t xml:space="preserve"> ×</w:t>
      </w:r>
      <w:r w:rsidR="003C141E">
        <w:rPr>
          <w:i/>
        </w:rPr>
        <w:t xml:space="preserve"> </w:t>
      </w:r>
      <w:r w:rsidRPr="00EC10A2">
        <w:rPr>
          <w:i/>
        </w:rPr>
        <w:t>10</w:t>
      </w:r>
      <w:r w:rsidRPr="00EC10A2">
        <w:rPr>
          <w:i/>
          <w:vertAlign w:val="superscript"/>
        </w:rPr>
        <w:t>9</w:t>
      </w:r>
      <w:r w:rsidRPr="00EC10A2">
        <w:rPr>
          <w:i/>
        </w:rPr>
        <w:t xml:space="preserve">/л и более), позднее достижение </w:t>
      </w:r>
      <w:r w:rsidR="00DA0821">
        <w:rPr>
          <w:i/>
        </w:rPr>
        <w:t>ПР</w:t>
      </w:r>
      <w:r w:rsidRPr="009F500F">
        <w:rPr>
          <w:i/>
        </w:rPr>
        <w:t xml:space="preserve">. </w:t>
      </w:r>
      <w:r w:rsidR="00AF0D22" w:rsidRPr="009F500F">
        <w:rPr>
          <w:i/>
        </w:rPr>
        <w:t xml:space="preserve">А также отдельно выделяют </w:t>
      </w:r>
      <w:r w:rsidR="00AF0D22" w:rsidRPr="009F500F">
        <w:rPr>
          <w:i/>
        </w:rPr>
        <w:lastRenderedPageBreak/>
        <w:t>Т-ОЛЛ из ранних предшественников (</w:t>
      </w:r>
      <w:r w:rsidR="00AF0D22" w:rsidRPr="009F500F">
        <w:rPr>
          <w:i/>
          <w:lang w:val="en-US"/>
        </w:rPr>
        <w:t>ETP</w:t>
      </w:r>
      <w:r w:rsidR="00AF0D22" w:rsidRPr="009F500F">
        <w:rPr>
          <w:i/>
        </w:rPr>
        <w:t xml:space="preserve"> вариант), пациенты этой группы должны рассматриваться как группа очень высокого риска. </w:t>
      </w:r>
      <w:r w:rsidRPr="009F500F">
        <w:rPr>
          <w:i/>
        </w:rPr>
        <w:t xml:space="preserve">Помимо этого, последние десять лет </w:t>
      </w:r>
      <w:r w:rsidRPr="00EC10A2">
        <w:rPr>
          <w:i/>
        </w:rPr>
        <w:t xml:space="preserve">ключевым фактором прогноза для всех ОЛЛ стал показатель, оценивающий </w:t>
      </w:r>
      <w:r w:rsidR="00DA0821">
        <w:rPr>
          <w:i/>
        </w:rPr>
        <w:t>МОБ</w:t>
      </w:r>
      <w:r w:rsidRPr="00EC10A2">
        <w:rPr>
          <w:i/>
        </w:rPr>
        <w:t>: при ее обнаружении с чувствительностью метода 10</w:t>
      </w:r>
      <w:r w:rsidR="001B018E">
        <w:rPr>
          <w:i/>
          <w:vertAlign w:val="superscript"/>
        </w:rPr>
        <w:t>–</w:t>
      </w:r>
      <w:r w:rsidRPr="00EC10A2">
        <w:rPr>
          <w:i/>
          <w:vertAlign w:val="superscript"/>
        </w:rPr>
        <w:t>4</w:t>
      </w:r>
      <w:r w:rsidRPr="00EC10A2">
        <w:rPr>
          <w:i/>
        </w:rPr>
        <w:t xml:space="preserve"> в течение 6 месяцев лечения прогно</w:t>
      </w:r>
      <w:r>
        <w:rPr>
          <w:i/>
        </w:rPr>
        <w:t>з определяется как негативный. П</w:t>
      </w:r>
      <w:r w:rsidRPr="00686342">
        <w:rPr>
          <w:i/>
        </w:rPr>
        <w:t>ациентам</w:t>
      </w:r>
      <w:r>
        <w:rPr>
          <w:i/>
        </w:rPr>
        <w:t xml:space="preserve"> с ОЛЛ</w:t>
      </w:r>
      <w:r>
        <w:t xml:space="preserve"> </w:t>
      </w:r>
      <w:r w:rsidRPr="00EC10A2">
        <w:rPr>
          <w:i/>
        </w:rPr>
        <w:t xml:space="preserve">определение группы риска, по которой определяется терапевтическая тактика, </w:t>
      </w:r>
      <w:r>
        <w:rPr>
          <w:i/>
        </w:rPr>
        <w:t xml:space="preserve">должно выполняться </w:t>
      </w:r>
      <w:r w:rsidRPr="00EC10A2">
        <w:rPr>
          <w:i/>
        </w:rPr>
        <w:t>только в рамках того протокола, который используется</w:t>
      </w:r>
      <w:r>
        <w:t xml:space="preserve"> </w:t>
      </w:r>
      <w:r w:rsidRPr="00EC10A2">
        <w:rPr>
          <w:i/>
        </w:rPr>
        <w:t xml:space="preserve">у конкретного </w:t>
      </w:r>
      <w:r w:rsidR="00A7331E">
        <w:rPr>
          <w:i/>
        </w:rPr>
        <w:t>пациента</w:t>
      </w:r>
      <w:r w:rsidR="001B018E">
        <w:t xml:space="preserve"> </w:t>
      </w:r>
      <w:r w:rsidR="00250B38">
        <w:fldChar w:fldCharType="begin" w:fldLock="1"/>
      </w:r>
      <w:r w:rsidR="002466C9">
        <w:instrText>ADDIN CSL_CITATION {"citationItems":[{"id":"ITEM-1","itemData":{"id":"ITEM-1","issued":{"date-parts":[["2012"]]},"number-of-pages":"1056","title":"Программное лечение заболеваний системы крови: Сборник алгоритмов диагностики и протоколов лечения заболеваний системы крови. Под ред. В.Г. Савченко","type":"book"},"uris":["http://www.mendeley.com/documents/?uuid=36484a90-27ae-40a9-a194-b0461fb47d9d"]},{"id":"ITEM-2","itemData":{"author":[{"dropping-particle":"","family":"Савченко","given":"Валерий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доп.","id":"ITEM-2","issued":{"date-parts":[["2007"]]},"page":"409-502","title":"Острые лейкозы","type":"chapter"},"uris":["http://www.mendeley.com/documents/?uuid=08f85f58-ddaa-48eb-b937-65d15d14b213"]},{"id":"ITEM-3","itemData":{"author":[{"dropping-particle":"","family":"Brown","given":"Patrick A","non-dropping-particle":"","parse-names":false,"suffix":""},{"dropping-particle":"","family":"Shah","given":"Bijal","non-dropping-particle":"","parse-names":false,"suffix":""},{"dropping-particle":"","family":"Advani","given":"Anjali","non-dropping-particle":"","parse-names":false,"suffix":""},{"dropping-particle":"","family":"Aoun","given":"Patricia","non-dropping-particle":"","parse-names":false,"suffix":""},{"dropping-particle":"","family":"Bhatnagar","given":"Bhavana","non-dropping-particle":"","parse-names":false,"suffix":""},{"dropping-particle":"","family":"Boyer","given":"Michael W","non-dropping-particle":"","parse-names":false,"suffix":""},{"dropping-particle":"","family":"Bryan","given":"Teresa","non-dropping-particle":"","parse-names":false,"suffix":""},{"dropping-particle":"","family":"Burke","given":"Patrick W","non-dropping-particle":"","parse-names":false,"suffix":""},{"dropping-particle":"","family":"Cassaday","given":"Ryan D","non-dropping-particle":"","parse-names":false,"suffix":""},{"dropping-particle":"","family":"Coutre","given":"Steven E","non-dropping-particle":"","parse-names":false,"suffix":""},{"dropping-particle":"","family":"Coccia","given":"Peter F","non-dropping-particle":"","parse-names":false,"suffix":""},{"dropping-particle":"","family":"DeAngelo","given":"Daniel J","non-dropping-particle":"","parse-names":false,"suffix":""},{"dropping-particle":"","family":"Fathi","given":"Amir","non-dropping-particle":"","parse-names":false,"suffix":""},{"dropping-particle":"","family":"Jain","given":"Nitin","non-dropping-particle":"","parse-names":false,"suffix":""},{"dropping-particle":"","family":"Kirby","given":"Suzanne","non-dropping-particle":"","parse-names":false,"suffix":""},{"dropping-particle":"","family":"Litzow","given":"Mark","non-dropping-particle":"","parse-names":false,"suffix":""},{"dropping-particle":"","family":"Liu","given":"Arthur","non-dropping-particle":"","parse-names":false,"suffix":""},{"dropping-particle":"","family":"Logan","given":"Aaron","non-dropping-particle":"","parse-names":false,"suffix":""},{"dropping-particle":"","family":"Massaro","given":"Stephanie","non-dropping-particle":"","parse-names":false,"suffix":""},{"dropping-particle":"","family":"Mattison","given":"Ryan J","non-dropping-particle":"","parse-names":false,"suffix":""},{"dropping-particle":"","family":"Oluwole","given":"Olalekan","non-dropping-particle":"","parse-names":false,"suffix":""},{"dropping-particle":"","family":"Papadantonakis","given":"Nikolaos","non-dropping-particle":"","parse-names":false,"suffix":""},{"dropping-particle":"","family":"Park","given":"Jae","non-dropping-particle":"","parse-names":false,"suffix":""},{"dropping-particle":"","family":"Rubnitz","given":"Jeffrey E","non-dropping-particle":"","parse-names":false,"suffix":""},{"dropping-particle":"","family":"Uy","given":"Geoffrey L","non-dropping-particle":"","parse-names":false,"suffix":""},{"dropping-particle":"","family":"Wang","given":"Eunice S","non-dropping-particle":"","parse-names":false,"suffix":""},{"dropping-particle":"","family":"Wieduwilt","given":"Matthew","non-dropping-particle":"","parse-names":false,"suffix":""},{"dropping-particle":"","family":"Gregory","given":"Kristina","non-dropping-particle":"","parse-names":false,"suffix":""}],"id":"ITEM-3","issued":{"date-parts":[["2019"]]},"number-of-pages":"115","title":"NCCN Clinical Practice Guidelines in Oncology. Acute Lymphoblastic Leukemia. Version 2.2019","type":"report"},"uris":["http://www.mendeley.com/documents/?uuid=ef92918b-8a57-37b1-bea5-284dfdf15541"]},{"id":"ITEM-4","itemData":{"author":[{"dropping-particle":"","family":"Gökbuget","given":"N.","non-dropping-particle":"","parse-names":false,"suffix":""},{"dropping-particle":"","family":"Bassan","given":"R.","non-dropping-particle":"","parse-names":false,"suffix":""},{"dropping-particle":"","family":"Dombret","given":"H.","non-dropping-particle":"","parse-names":false,"suffix":""},{"dropping-particle":"","family":"Doubek","given":"M.","non-dropping-particle":"","parse-names":false,"suffix":""},{"dropping-particle":"","family":"Fielding","given":"A.K.","non-dropping-particle":"","parse-names":false,"suffix":""},{"dropping-particle":"","family":"Foà","given":"R.","non-dropping-particle":"","parse-names":false,"suffix":""},{"dropping-particle":"","family":"Giebel","given":"S.","non-dropping-particle":"","parse-names":false,"suffix":""},{"dropping-particle":"","family":"Hoelzer","given":"D.","non-dropping-particle":"","parse-names":false,"suffix":""},{"dropping-particle":"","family":"Martinelli","given":"G.","non-dropping-particle":"","parse-names":false,"suffix":""},{"dropping-particle":"","family":"Meloni","given":"G.","non-dropping-particle":"","parse-names":false,"suffix":""},{"dropping-particle":"","family":"Delia Moicean","given":"A.","non-dropping-particle":"","parse-names":false,"suffix":""},{"dropping-particle":"","family":"Ottmann","given":"O.","non-dropping-particle":"","parse-names":false,"suffix":""},{"dropping-particle":"","family":"Piccaluga","given":"P.P.","non-dropping-particle":"","parse-names":false,"suffix":""},{"dropping-particle":"","family":"Ribera","given":"J.M.","non-dropping-particle":"","parse-names":false,"suffix":""},{"dropping-particle":"","family":"Rousselot","given":"P.","non-dropping-particle":"","parse-names":false,"suffix":""},{"dropping-particle":"","family":"Walewski","given":"J.","non-dropping-particle":"","parse-names":false,"suffix":""}],"container-title":"UNI-MED Verlag AG","id":"ITEM-4","issued":{"date-parts":[["2011"]]},"number-of-pages":"204","title":"Recommendations of the European Working Group for Adult ALL (EWALL)","type":"book"},"uris":["http://www.mendeley.com/documents/?uuid=aba58166-cd2b-4f70-bb6a-5fdd9e1b42de"]},{"id":"ITEM-5","itemData":{"ISSN":"0006-4971","PMID":"3422030","abstract":"In a prospective multicenter study, 368 acute lymphoblastic leukemia (ALL) patients aged 15 to 65 years were treated with an intensified induction and reinduction regimen; 272 (73.9%) achieved complete remission (CR). The median remission duration (MRD) is 24.3 months, and the probability of being in continuous CR (CCR) at greater than 5 years is .37. The median survival for all 368 patients is 27.5 months, and the probability of being alive at 5 years is .39. For the 272 patients in remission the median survival is 58.4 months, and the probability of being alive at 5 years is .49. A lower CR rate was seen for patients with bleeding at diagnosis or with splenomegaly/hepatosplenomegaly. The prognostic factors unfavorable for remission duration were time to CR greater than 4 weeks v less than 4 weeks (P = .0002), age greater than 35 years v less than 35 years (P = .0008), leukocyte count greater than 30,000/microL v less than 30,000/microL (P = .0112), and null ALL v common ALL (c-ALL)/T cell ALL (T-ALL) (P = .05). The remission duration correlated strongly (P = .0001) with the number of these independent prognostic factors. In patients with none of these adverse factors the MRD has not yet been reached, with one adverse factor the MRD is 21.9 months, and with two or three adverse factors the MRD is only 9.6 months. For the immunologic subtype T-ALL, the probability of being in CCR at greater than 5 years is .55; for c-ALL, .34; and for null ALL, .24. According to these results, patients were stratified into a low-risk group with a CCR rate of .62 and a high-risk group with a CCR rate of .28, with the latter now allocated to either further chemotherapy or bone marrow transplantation in first remission.","author":[{"dropping-particle":"","family":"Hoelzer","given":"D","non-dropping-particle":"","parse-names":false,"suffix":""},{"dropping-particle":"","family":"Thiel","given":"E","non-dropping-particle":"","parse-names":false,"suffix":""},{"dropping-particle":"","family":"Löffler","given":"H","non-dropping-particle":"","parse-names":false,"suffix":""},{"dropping-particle":"","family":"Büchner","given":"T","non-dropping-particle":"","parse-names":false,"suffix":""},{"dropping-particle":"","family":"Ganser","given":"A","non-dropping-particle":"","parse-names":false,"suffix":""},{"dropping-particle":"","family":"Heil","given":"G","non-dropping-particle":"","parse-names":false,"suffix":""},{"dropping-particle":"","family":"Koch","given":"P","non-dropping-particle":"","parse-names":false,"suffix":""},{"dropping-particle":"","family":"Freund","given":"M","non-dropping-particle":"","parse-names":false,"suffix":""},{"dropping-particle":"","family":"Diedrich","given":"H","non-dropping-particle":"","parse-names":false,"suffix":""},{"dropping-particle":"","family":"Rühl","given":"H","non-dropping-particle":"","parse-names":false,"suffix":""}],"container-title":"Blood","id":"ITEM-5","issue":"1","issued":{"date-parts":[["1988","1"]]},"page":"123-31","title":"Prognostic factors in a multicenter study for treatment of acute lymphoblastic leukemia in adults.","type":"article-journal","volume":"71"},"uris":["http://www.mendeley.com/documents/?uuid=82ae800d-f6a9-370a-9b57-ccaa6e14204b"]}],"mendeley":{"formattedCitation":"[1,2,4,5,11]","plainTextFormattedCitation":"[1,2,4,5,11]","previouslyFormattedCitation":"[1,2,4,5,11]"},"properties":{"noteIndex":0},"schema":"https://github.com/citation-style-language/schema/raw/master/csl-citation.json"}</w:instrText>
      </w:r>
      <w:r w:rsidR="00250B38">
        <w:fldChar w:fldCharType="separate"/>
      </w:r>
      <w:r w:rsidR="00A66456" w:rsidRPr="00A66456">
        <w:rPr>
          <w:noProof/>
        </w:rPr>
        <w:t>[1,2,4,5,11]</w:t>
      </w:r>
      <w:r w:rsidR="00250B38">
        <w:fldChar w:fldCharType="end"/>
      </w:r>
      <w:r w:rsidR="00250B38" w:rsidRPr="00CE2586">
        <w:rPr>
          <w:color w:val="000000"/>
        </w:rPr>
        <w:t>.</w:t>
      </w:r>
    </w:p>
    <w:p w14:paraId="6A05011A" w14:textId="77777777" w:rsidR="00254823" w:rsidRDefault="00254823" w:rsidP="00A7331E">
      <w:pPr>
        <w:ind w:firstLine="709"/>
        <w:contextualSpacing/>
        <w:rPr>
          <w:i/>
        </w:rPr>
      </w:pPr>
      <w:r w:rsidRPr="00224E00">
        <w:rPr>
          <w:i/>
        </w:rPr>
        <w:t>Необходимо считать невыполнение протокола терапии, нерегламентированное снижение доз препаратов, длительные интервалы без лечения, не предусмотренные протоколом, грубыми нарушениями химиотерапевтического протокола, и оценивать таки</w:t>
      </w:r>
      <w:r w:rsidR="00A7331E">
        <w:rPr>
          <w:i/>
        </w:rPr>
        <w:t>х пациентов как пациентов</w:t>
      </w:r>
      <w:r w:rsidR="00A7331E" w:rsidRPr="00A47B1D">
        <w:rPr>
          <w:i/>
        </w:rPr>
        <w:t xml:space="preserve"> </w:t>
      </w:r>
      <w:r w:rsidR="00A7331E">
        <w:rPr>
          <w:i/>
        </w:rPr>
        <w:t xml:space="preserve">с крайне </w:t>
      </w:r>
      <w:r w:rsidRPr="00224E00">
        <w:rPr>
          <w:i/>
        </w:rPr>
        <w:t>неблагоприятными исходами терапии</w:t>
      </w:r>
      <w:r w:rsidR="002F69E5">
        <w:t xml:space="preserve"> </w:t>
      </w:r>
      <w:r w:rsidR="00250B38">
        <w:fldChar w:fldCharType="begin" w:fldLock="1"/>
      </w:r>
      <w:r w:rsidR="00250B38">
        <w:instrText>ADDIN CSL_CITATION {"citationItems":[{"id":"ITEM-1","itemData":{"id":"ITEM-1","issued":{"date-parts":[["2012"]]},"number-of-pages":"1056","title":"Программное лечение заболеваний системы крови: Сборник алгоритмов диагностики и протоколов лечения заболеваний системы крови. Под ред. В.Г. Савченко","type":"book"},"uris":["http://www.mendeley.com/documents/?uuid=36484a90-27ae-40a9-a194-b0461fb47d9d"]},{"id":"ITEM-2","itemData":{"author":[{"dropping-particle":"","family":"Савченко","given":"Валерий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доп.","id":"ITEM-2","issued":{"date-parts":[["2007"]]},"page":"409-502","title":"Острые лейкозы","type":"chapter"},"uris":["http://www.mendeley.com/documents/?uuid=08f85f58-ddaa-48eb-b937-65d15d14b213"]}],"mendeley":{"formattedCitation":"[1,2]","plainTextFormattedCitation":"[1,2]","previouslyFormattedCitation":"[1,2]"},"properties":{"noteIndex":0},"schema":"https://github.com/citation-style-language/schema/raw/master/csl-citation.json"}</w:instrText>
      </w:r>
      <w:r w:rsidR="00250B38">
        <w:fldChar w:fldCharType="separate"/>
      </w:r>
      <w:r w:rsidR="00250B38" w:rsidRPr="00113282">
        <w:rPr>
          <w:noProof/>
        </w:rPr>
        <w:t>[1,2]</w:t>
      </w:r>
      <w:r w:rsidR="00250B38">
        <w:fldChar w:fldCharType="end"/>
      </w:r>
      <w:r w:rsidR="00250B38" w:rsidRPr="00CE2586">
        <w:rPr>
          <w:color w:val="000000"/>
        </w:rPr>
        <w:t xml:space="preserve">. </w:t>
      </w:r>
      <w:r w:rsidR="00250B38" w:rsidRPr="00224E00">
        <w:rPr>
          <w:i/>
        </w:rPr>
        <w:t xml:space="preserve"> </w:t>
      </w:r>
    </w:p>
    <w:p w14:paraId="699CECE1" w14:textId="77777777" w:rsidR="00C76CE3" w:rsidRDefault="00C76CE3" w:rsidP="004905C2">
      <w:pPr>
        <w:pStyle w:val="2"/>
      </w:pPr>
      <w:bookmarkStart w:id="102" w:name="_Toc26796710"/>
      <w:bookmarkStart w:id="103" w:name="_Toc64467926"/>
    </w:p>
    <w:p w14:paraId="5D082786" w14:textId="180742DE" w:rsidR="00113282" w:rsidRPr="00B25135" w:rsidRDefault="00113282" w:rsidP="004905C2">
      <w:pPr>
        <w:pStyle w:val="2"/>
      </w:pPr>
      <w:bookmarkStart w:id="104" w:name="_Toc64565640"/>
      <w:r w:rsidRPr="00216384">
        <w:t>3.3</w:t>
      </w:r>
      <w:r w:rsidR="0000256F">
        <w:t>.</w:t>
      </w:r>
      <w:r w:rsidRPr="00216384">
        <w:t xml:space="preserve"> </w:t>
      </w:r>
      <w:r w:rsidRPr="00921B8D">
        <w:t>Прогностическая значимость</w:t>
      </w:r>
      <w:r w:rsidR="002D67CB" w:rsidRPr="002D67CB">
        <w:t xml:space="preserve"> </w:t>
      </w:r>
      <w:r w:rsidR="00B25135">
        <w:t>МОБ</w:t>
      </w:r>
      <w:bookmarkEnd w:id="102"/>
      <w:bookmarkEnd w:id="103"/>
      <w:bookmarkEnd w:id="104"/>
    </w:p>
    <w:p w14:paraId="1CE11ACC" w14:textId="20CB3931" w:rsidR="00113282" w:rsidRDefault="00113282" w:rsidP="00113282">
      <w:pPr>
        <w:shd w:val="clear" w:color="auto" w:fill="FFFFFF"/>
        <w:ind w:firstLine="851"/>
        <w:rPr>
          <w:i/>
        </w:rPr>
      </w:pPr>
      <w:r w:rsidRPr="00986171">
        <w:rPr>
          <w:i/>
        </w:rPr>
        <w:t xml:space="preserve">Известно, что персистирование </w:t>
      </w:r>
      <w:r w:rsidR="00AF128D">
        <w:rPr>
          <w:i/>
        </w:rPr>
        <w:t>МОБ</w:t>
      </w:r>
      <w:r w:rsidRPr="00986171">
        <w:rPr>
          <w:i/>
        </w:rPr>
        <w:t xml:space="preserve"> после </w:t>
      </w:r>
      <w:r w:rsidR="0000256F">
        <w:rPr>
          <w:i/>
        </w:rPr>
        <w:t>ИТ</w:t>
      </w:r>
      <w:r w:rsidRPr="00986171">
        <w:rPr>
          <w:i/>
        </w:rPr>
        <w:t xml:space="preserve">/консолидационной терапии ассоциируется с неблагоприятным прогнозом и высокой частотой рецидивов, несмотря на продолжение </w:t>
      </w:r>
      <w:r w:rsidR="00FE5C5B">
        <w:rPr>
          <w:i/>
        </w:rPr>
        <w:t>ХТ</w:t>
      </w:r>
      <w:r w:rsidR="00B91309">
        <w:rPr>
          <w:i/>
        </w:rPr>
        <w:t xml:space="preserve">, и при </w:t>
      </w:r>
      <w:r w:rsidR="00B91309">
        <w:rPr>
          <w:i/>
          <w:lang w:val="en-US"/>
        </w:rPr>
        <w:t>Ph</w:t>
      </w:r>
      <w:r w:rsidR="00B91309" w:rsidRPr="00B91309">
        <w:rPr>
          <w:i/>
        </w:rPr>
        <w:t>-</w:t>
      </w:r>
      <w:r w:rsidR="00B91309">
        <w:rPr>
          <w:i/>
        </w:rPr>
        <w:t>позитивных и Ph-негативных ОЛЛ</w:t>
      </w:r>
      <w:r w:rsidR="0000256F">
        <w:rPr>
          <w:i/>
        </w:rPr>
        <w:t xml:space="preserve"> </w:t>
      </w:r>
      <w:r w:rsidR="00250B38">
        <w:rPr>
          <w:i/>
        </w:rPr>
        <w:fldChar w:fldCharType="begin" w:fldLock="1"/>
      </w:r>
      <w:r w:rsidR="002466C9">
        <w:rPr>
          <w:i/>
        </w:rPr>
        <w:instrText>ADDIN CSL_CITATION {"citationItems":[{"id":"ITEM-1","itemData":{"DOI":"10.1182/blood-2011-09-377713","ISSN":"1528-0020","PMID":"22442346","abstract":"Quantification of minimal residual disease (MRD) by real-time PCR directed to TCR and Ig gene rearrangements allows a refined evaluation of response in acute lymphoblastic leukemia (ALL). The German Multicenter Study Group for Adult ALL prospectively evaluated molecular response after induction/consolidation chemotherapy according to standardized methods and terminology in patients with Philadelphia chromosome-negative ALL. The cytologic complete response (CR) rate was 89% after induction phases 1 and 2. At this time point the molecular CR rate was 70% in 580 patients with cytologic CR and evaluable MRD. Patients with molecular CR after consolidation had a significantly higher probability of continuous complete remission (CCR; 74% vs 35%; P &lt; .0001) and of overall survival (80% vs 42%; P = .0001) compared with patients with molecular failure. Patients with molecular failure without stem cell transplantation (SCT) in first CR relapsed after a median time of 7.6 months; CCR and survival at 5 years only reached 12% and 33%, respectively. Quantitative MRD assessment identified patients with molecular failure as a new high-risk group. These patients display resistance to conventional drugs and are candidates for treatment with targeted, experimental drugs and allogeneic SCT. Molecular response was shown to be highly predictive for outcome and therefore constitutes a relevant study end point. The studies are registered at www.clinicaltrials.gov as NCT00199056 and NCT00198991.","author":[{"dropping-particle":"","family":"Gökbuget","given":"Nicola","non-dropping-particle":"","parse-names":false,"suffix":""},{"dropping-particle":"","family":"Kneba","given":"Michael","non-dropping-particle":"","parse-names":false,"suffix":""},{"dropping-particle":"","family":"Raff","given":"Thorsten","non-dropping-particle":"","parse-names":false,"suffix":""},{"dropping-particle":"","family":"Trautmann","given":"Heiko","non-dropping-particle":"","parse-names":false,"suffix":""},{"dropping-particle":"","family":"Bartram","given":"Claus-Rainer","non-dropping-particle":"","parse-names":false,"suffix":""},{"dropping-particle":"","family":"Arnold","given":"Renate","non-dropping-particle":"","parse-names":false,"suffix":""},{"dropping-particle":"","family":"Fietkau","given":"Rainer","non-dropping-particle":"","parse-names":false,"suffix":""},{"dropping-particle":"","family":"Freund","given":"Mathias","non-dropping-particle":"","parse-names":false,"suffix":""},{"dropping-particle":"","family":"Ganser","given":"Arnold","non-dropping-particle":"","parse-names":false,"suffix":""},{"dropping-particle":"","family":"Ludwig","given":"Wolf-Dieter","non-dropping-particle":"","parse-names":false,"suffix":""},{"dropping-particle":"","family":"Maschmeyer","given":"Georg","non-dropping-particle":"","parse-names":false,"suffix":""},{"dropping-particle":"","family":"Rieder","given":"Harald","non-dropping-particle":"","parse-names":false,"suffix":""},{"dropping-particle":"","family":"Schwartz","given":"Stefan","non-dropping-particle":"","parse-names":false,"suffix":""},{"dropping-particle":"","family":"Serve","given":"Hubert","non-dropping-particle":"","parse-names":false,"suffix":""},{"dropping-particle":"","family":"Thiel","given":"Eckhard","non-dropping-particle":"","parse-names":false,"suffix":""},{"dropping-particle":"","family":"Brüggemann","given":"Monika","non-dropping-particle":"","parse-names":false,"suffix":""},{"dropping-particle":"","family":"Hoelzer","given":"Dieter","non-dropping-particle":"","parse-names":false,"suffix":""},{"dropping-particle":"","family":"German Multicenter Study Group for Adult Acute Lymphoblastic Leukemia","given":"","non-dropping-particle":"","parse-names":false,"suffix":""}],"container-title":"Blood","id":"ITEM-1","issue":"9","issued":{"date-parts":[["2012","8","30"]]},"page":"1868-76","title":"Adult patients with acute lymphoblastic leukemia and molecular failure display a poor prognosis and are candidates for stem cell transplantation and targeted therapies.","type":"article-journal","volume":"120"},"uris":["http://www.mendeley.com/documents/?uuid=8085a756-02e2-3c8c-b56c-bec838e6ba45"]},{"id":"ITEM-2","itemData":{"DOI":"10.1038/sj.leu.2403001","ISSN":"0887-6924","PMID":"12886244","abstract":"Minimal residual disease (MRD) can be detected in the marrows of children undergoing chemotherapy either by flow cytometry or polymerase chain reaction. In this study, we used four-color flow cytometry to detect MRD in 1016 children undergoing therapy on Children's Oncology Group therapeutic protocols for precursor-B-cell ALL. Compliance was excellent, with follow-up samples received at the end of induction on nearly 95% of cases; sensitivity of detection at this time point was at least 1/10,000 in more than 90% of cases. Overall, 28.6% of patients had detectable MRD at the end of induction. Patients with M3 marrows at day 8 were much more likely to be MRD positive (MRD+) than those with M2 or M1 marrows. Different genetically defined groups of patients varied in their prevalence of MRD. Specifically, almost all patients with BCR-ABL had high levels of end-of-induction MRD. Only 8.4% of patients with TEL-AML1 were MRD+&gt;0.01% compared with 20.3% of patients with trisomies of chromosomes 4 and 10. Our results show that MRD correlates with conventional measures of slow early response. However, the high frequency of MRD positivity in favorable trisomy patients suggests that the clinical significance of MRD positivity at the end of induction may not be the same in all patient groups.","author":[{"dropping-particle":"","family":"Borowitz","given":"M J","non-dropping-particle":"","parse-names":false,"suffix":""},{"dropping-particle":"","family":"Pullen","given":"D J","non-dropping-particle":"","parse-names":false,"suffix":""},{"dropping-particle":"","family":"Shuster","given":"J J","non-dropping-particle":"","parse-names":false,"suffix":""},{"dropping-particle":"","family":"Viswanatha","given":"D","non-dropping-particle":"","parse-names":false,"suffix":""},{"dropping-particle":"","family":"Montgomery","given":"K","non-dropping-particle":"","parse-names":false,"suffix":""},{"dropping-particle":"","family":"Willman","given":"C L","non-dropping-particle":"","parse-names":false,"suffix":""},{"dropping-particle":"","family":"Camitta","given":"B","non-dropping-particle":"","parse-names":false,"suffix":""},{"dropping-particle":"","family":"Children's Oncology Group study","given":"","non-dropping-particle":"","parse-names":false,"suffix":""}],"container-title":"Leukemia","id":"ITEM-2","issue":"8","issued":{"date-parts":[["2003","8"]]},"page":"1566-72","title":"Minimal residual disease detection in childhood precursor-B-cell acute lymphoblastic leukemia: relation to other risk factors. A Children's Oncology Group study.","type":"article-journal","volume":"17"},"uris":["http://www.mendeley.com/documents/?uuid=2c61a8dd-1a97-3338-85b9-d13331ee94bd"]},{"id":"ITEM-3","itemData":{"DOI":"10.1016/j.ejca.2012.11.010","ISSN":"09598049","abstract":"Purpose: This blinded prospective study was performed to optimise the risk assessment of children with a late isolated, combined or an early combined bone marrow (BM) relapse of precursor B-cell acute lymphoblastic leukaemia (ALL). The aim was to develop a reliable tool to identify patients with an intermediate risk relapse who are in need of haematopoietic stem cell transplantation (HSCT). Methods: Included were 80 children and adolescents with first intermediate risk BM relapse of ALL recruited in trial ALL-REZ BFM P95/96. We assessed the prognostic value of minimal residual disease (MRD) after induction therapy quantified by PCR using leukaemia clone-specific T-cell receptor/immunoglobulin gene rearrangements. Results: Molecular good responders (MRD &lt; 10 -3, n = 46) had a probability of event-free survival (pEFS) at 10 years of 76% standard error (SE) ± 6% and a cumulative incidence of second relapse (CIR) at 10 years of 21% SE ± 6%; pEFS of molecular poor responders (MRD ≥ 10-3, n = 34) at 10 years was 18% SE ± 7% and CIR 61% SE ± 9% (p &lt; 0.001). Cox regression analysis revealed MRD after induction to be the strongest independent prognostic parameter with a 6.6-fold increased risk (95% confidence interval 3.3-13.5, p &lt; 0.001) for molecular poor responders to suffer a subsequent adverse event compared to good responders. Conclusion: In patients with intermediate risk BM relapse of ALL, low MRD after induction is associated with an excellent long-term prognosis with conventional chemo-/radiotherapy whereas patients with insufficient response have an extremely poor prognosis. Therefore, in the subsequent trial ALL-REZ BFM 2002, MRD is used to allocate molecular good responders to conventional post-induction therapy and molecular poor responders to allogeneic HSCT. © 2012 Elsevier Ltd. All rights reserved.","author":[{"dropping-particle":"","family":"Eckert","given":"Cornelia","non-dropping-particle":"","parse-names":false,"suffix":""},{"dropping-particle":"","family":"Stackelberg","given":"Arend","non-dropping-particle":"Von","parse-names":false,"suffix":""},{"dropping-particle":"","family":"Seeger","given":"Karl","non-dropping-particle":"","parse-names":false,"suffix":""},{"dropping-particle":"","family":"Groeneveld","given":"Tom W.L.","non-dropping-particle":"","parse-names":false,"suffix":""},{"dropping-particle":"","family":"Peters","given":"Christina","non-dropping-particle":"","parse-names":false,"suffix":""},{"dropping-particle":"","family":"Klingebiel","given":"Thomas","non-dropping-particle":"","parse-names":false,"suffix":""},{"dropping-particle":"","family":"Borkhardt","given":"Arndt","non-dropping-particle":"","parse-names":false,"suffix":""},{"dropping-particle":"","family":"Schrappe","given":"Martin","non-dropping-particle":"","parse-names":false,"suffix":""},{"dropping-particle":"","family":"Escherich","given":"Gabriele","non-dropping-particle":"","parse-names":false,"suffix":""},{"dropping-particle":"","family":"Henze","given":"Günter","non-dropping-particle":"","parse-names":false,"suffix":""}],"container-title":"European Journal of Cancer","id":"ITEM-3","issue":"6","issued":{"date-parts":[["2013","4"]]},"page":"1346-1355","title":"Minimal residual disease after induction is the strongest predictor of prognosis in intermediate risk relapsed acute lymphoblastic leukaemia-Long-term results of trial ALL-REZ BFM P95/96","type":"article-journal","volume":"49"},"uris":["http://www.mendeley.com/documents/?uuid=1002e51c-07e7-3a6b-8fe7-25cb30fa4cc2"]},{"id":"ITEM-4","itemData":{"DOI":"10.1182/blood-2014-01-547695","ISSN":"15280020","abstract":"With intensified pediatric-like therapy and genetic disease dissection, the field of adult acute lymphoblastic leukemia (ALL) has evolved recently. In this new context, we aimed to reassess the value of conventional risk factors with regard to new genetic alterations and early response to therapy, as assessed by immunoglobulin/T-cell receptor minimal residual disease (MRD) levels. The study was performed in 423 younger adults with Philadelphia chromosome-negative ALL in first remission (265 B-cell precursor [BCP] and 158 T-cell ALL), with cumulative incidence of relapse (CIR) as the primary end point. In addition to conventional risk factors, the most frequent currently available genetic alterations were included in the analysis. A higher specific hazard of relapse was independently associated with postinduction MRD level ≥10 -4  and unfavorable genetic characteristics (ie, MLL gene rearrangement or focal IKZF1 gene deletion in BCP-ALL and no NOTCH1/FBXW7 mutation and/or N/K-RAS mutation and/or PTEN gene alteration in T-cell ALL). These 2 factors allowed definition of a new risk classification that is strongly associated with higher CIR and shorter relapse-free and overall survival. These results indicate that genetic abnormalities are important predictors of outcomein adult ALL not fully recapitulated by early response to therapy. Patients included in this study were treated in the multicenter GRAALL-2003 and GRAALL-2005 trials. Both trials were registered at http://www.clinicaltrials.gov as #NCT00222027 and #NCT00327678, respectively. © 2014 by The American Society of Hematology.","author":[{"dropping-particle":"","family":"Beldjord","given":"Kheira","non-dropping-particle":"","parse-names":false,"suffix":""},{"dropping-particle":"","family":"Chevret","given":"Sylvie","non-dropping-particle":"","parse-names":false,"suffix":""},{"dropping-particle":"","family":"Asnafi","given":"Vahid","non-dropping-particle":"","parse-names":false,"suffix":""},{"dropping-particle":"","family":"Huguet","given":"Françoise","non-dropping-particle":"","parse-names":false,"suffix":""},{"dropping-particle":"","family":"Boulland","given":"Marie Laure","non-dropping-particle":"","parse-names":false,"suffix":""},{"dropping-particle":"","family":"Leguay","given":"Thibaut","non-dropping-particle":"","parse-names":false,"suffix":""},{"dropping-particle":"","family":"Thomas","given":"Xavier","non-dropping-particle":"","parse-names":false,"suffix":""},{"dropping-particle":"","family":"Cayuela","given":"Jean Michel","non-dropping-particle":"","parse-names":false,"suffix":""},{"dropping-particle":"","family":"Grardel","given":"Nathalie","non-dropping-particle":"","parse-names":false,"suffix":""},{"dropping-particle":"","family":"Chalandon","given":"Yves","non-dropping-particle":"","parse-names":false,"suffix":""},{"dropping-particle":"","family":"Boissel","given":"Nicolas","non-dropping-particle":"","parse-names":false,"suffix":""},{"dropping-particle":"","family":"Schaefer","given":"Beat","non-dropping-particle":"","parse-names":false,"suffix":""},{"dropping-particle":"","family":"Delabesse","given":"Eric","non-dropping-particle":"","parse-names":false,"suffix":""},{"dropping-particle":"","family":"Cavé","given":"Hélène","non-dropping-particle":"","parse-names":false,"suffix":""},{"dropping-particle":"","family":"Chevallier","given":"Patrice","non-dropping-particle":"","parse-names":false,"suffix":""},{"dropping-particle":"","family":"Buzyn","given":"Agnes̀","non-dropping-particle":"","parse-names":false,"suffix":""},{"dropping-particle":"","family":"Fest","given":"Thierry","non-dropping-particle":"","parse-names":false,"suffix":""},{"dropping-particle":"","family":"Reman","given":"Oumedaly","non-dropping-particle":"","parse-names":false,"suffix":""},{"dropping-particle":"","family":"Vernant","given":"Jean Paul","non-dropping-particle":"","parse-names":false,"suffix":""},{"dropping-particle":"","family":"Lhéritier","given":"Veŕonique","non-dropping-particle":"","parse-names":false,"suffix":""},{"dropping-particle":"","family":"Béńe","given":"Marie C.","non-dropping-particle":"","parse-names":false,"suffix":""},{"dropping-particle":"","family":"Lafage","given":"Marina","non-dropping-particle":"","parse-names":false,"suffix":""},{"dropping-particle":"","family":"Macintyre","given":"Elizabeth","non-dropping-particle":"","parse-names":false,"suffix":""},{"dropping-particle":"","family":"Ifrah","given":"Norbert","non-dropping-particle":"","parse-names":false,"suffix":""},{"dropping-particle":"","family":"Dombret","given":"Hervé","non-dropping-particle":"","parse-names":false,"suffix":""}],"container-title":"Blood","id":"ITEM-4","issue":"24","issued":{"date-parts":[["2014","6","12"]]},"page":"3739-3749","publisher":"American Society of Hematology","title":"Oncogenetics and minimal residual disease are independent outcome predictors in adult patients with acute lymphoblastic leukemia","type":"article-journal","volume":"123"},"uris":["http://www.mendeley.com/documents/?uuid=4e91b125-e7ae-348f-bfbd-d9e8b0e68780"]},{"id":"ITEM-5","itemData":{"DOI":"10.1182/blood-2008-11-185132","ISSN":"1528-0020","PMID":"19141862","abstract":"Clinical risk classification is inaccurate in predicting relapse in adult patients with acute lymphoblastic leukemia, sometimes resulting in patients receiving inappropriate chemotherapy or stem cell transplantation (SCT). We studied minimal residual disease (MRD) as a predictive factor for recurrence and as a decisional tool for postconsolidation maintenance (in MRD(neg)) or SCT (in MRD(pos)). MRD was tested at weeks 10, 16, and 22 using real-time quantitative polymerase chain reaction with 1 or more sensitive probes. Only patients with t(9;22) or t(4;11) were immediately eligible for allogeneic SCT. Of 280 registered patients (236 in remission), 34 underwent an early SCT, 60 suffered from relapse or severe toxicity, and 142 were evaluable for MRD at the end of consolidation. Of these, 58 were MRD(neg), 54 MRD(pos), and 30 were not assessable. Five-year overall survival/disease-free survival rates were 0.75/0.72 in the MRD(neg) group compared with 0.33/0.14 in MRD(pos) (P = .001), regardless of the clinical risk class. MRD was the most significant risk factor for relapse (hazard ratio, 5.22). MRD results at weeks 16 to 22 correlated strongly with the earlier time point (P = .001) using a level of 10(-4) or higher to define persistent disease. MRD analysis during early postremission therapy improves risk definitions and bolsters risk-oriented strategies. ClinicalTrials.gov identifier: NCT00358072.","author":[{"dropping-particle":"","family":"Bassan","given":"Renato","non-dropping-particle":"","parse-names":false,"suffix":""},{"dropping-particle":"","family":"Spinelli","given":"Orietta","non-dropping-particle":"","parse-names":false,"suffix":""},{"dropping-particle":"","family":"Oldani","given":"Elena","non-dropping-particle":"","parse-names":false,"suffix":""},{"dropping-particle":"","family":"Intermesoli","given":"Tamara","non-dropping-particle":"","parse-names":false,"suffix":""},{"dropping-particle":"","family":"Tosi","given":"Manuela","non-dropping-particle":"","parse-names":false,"suffix":""},{"dropping-particle":"","family":"Peruta","given":"Barbara","non-dropping-particle":"","parse-names":false,"suffix":""},{"dropping-particle":"","family":"Rossi","given":"Giuseppe","non-dropping-particle":"","parse-names":false,"suffix":""},{"dropping-particle":"","family":"Borlenghi","given":"Erika","non-dropping-particle":"","parse-names":false,"suffix":""},{"dropping-particle":"","family":"Pogliani","given":"Enrico M","non-dropping-particle":"","parse-names":false,"suffix":""},{"dropping-particle":"","family":"Terruzzi","given":"Elisabetta","non-dropping-particle":"","parse-names":false,"suffix":""},{"dropping-particle":"","family":"Fabris","given":"Pietro","non-dropping-particle":"","parse-names":false,"suffix":""},{"dropping-particle":"","family":"Cassibba","given":"Vincenzo","non-dropping-particle":"","parse-names":false,"suffix":""},{"dropping-particle":"","family":"Lambertenghi-Deliliers","given":"Giorgio","non-dropping-particle":"","parse-names":false,"suffix":""},{"dropping-particle":"","family":"Cortelezzi","given":"Agostino","non-dropping-particle":"","parse-names":false,"suffix":""},{"dropping-particle":"","family":"Bosi","given":"Alberto","non-dropping-particle":"","parse-names":false,"suffix":""},{"dropping-particle":"","family":"Gianfaldoni","given":"Giacomo","non-dropping-particle":"","parse-names":false,"suffix":""},{"dropping-particle":"","family":"Ciceri","given":"Fabio","non-dropping-particle":"","parse-names":false,"suffix":""},{"dropping-particle":"","family":"Bernardi","given":"Massimo","non-dropping-particle":"","parse-names":false,"suffix":""},{"dropping-particle":"","family":"Gallamini","given":"Andrea","non-dropping-particle":"","parse-names":false,"suffix":""},{"dropping-particle":"","family":"Mattei","given":"Daniele","non-dropping-particle":"","parse-names":false,"suffix":""},{"dropping-particle":"","family":"Bona","given":"Eros","non-dropping-particle":"Di","parse-names":false,"suffix":""},{"dropping-particle":"","family":"Romani","given":"Claudio","non-dropping-particle":"","parse-names":false,"suffix":""},{"dropping-particle":"","family":"Scattolin","given":"Anna Maria","non-dropping-particle":"","parse-names":false,"suffix":""},{"dropping-particle":"","family":"Barbui","given":"Tiziano","non-dropping-particle":"","parse-names":false,"suffix":""},{"dropping-particle":"","family":"Rambaldi","given":"Alessandro","non-dropping-particle":"","parse-names":false,"suffix":""}],"container-title":"Blood","id":"ITEM-5","issue":"18","issued":{"date-parts":[["2009","4","30"]]},"page":"4153-62","title":"Improved risk classification for risk-specific therapy based on the molecular study of minimal residual disease (MRD) in adult acute lymphoblastic leukemia (ALL).","type":"article-journal","volume":"113"},"uris":["http://www.mendeley.com/documents/?uuid=9558a952-a739-3b5d-bc51-81353ea2b642"]},{"id":"ITEM-6","itemData":{"DOI":"10.1200/JCO.2013.52.2425","ISSN":"15277755","abstract":"PURPOSE: Minimal residual disease (MRD) is an important prognostic factor in adults with acute lymphoblastic leukemia (ALL) and may be used for treatment decisions. The Programa Español de Tratamientos en Hematología (PETHEMA) ALL-AR-03 trial (Treatment of High Risk Adult Acute Lymphoblastic Leukemia [LAL-AR/2003]) assigned adolescent and adult patients (age 15 to 60 years) with high-risk ALL (HR-ALL) without the Philadelphia (Ph) chromosome to chemotherapy or to allogeneic hematopoietic stem-cell transplantation (allo-HSCT) according to early cytologic response (day 14) and flow-MRD level after consolidation.\\n\\nPATIENTS AND METHODS: Patients with good early cytologic response (&lt; 10% blasts in bone marrow at day 14 of induction) and a flow-MRD level less than 5 × 10(-4) at the end of consolidation were assigned to delayed consolidation and maintenance therapy, and allo-HSCT was scheduled in patients with poor early cytologic response or flow-MRD level ≥ 5 × 10(-4).\\n\\nRESULTS: Complete remission was attained in 282 (87%) of 326 patients, and 179 (76%) of 236 patients who completed early consolidation were assigned by intention-to treat to receive allo-HSCT (71) or chemotherapy (108). Five-year disease-free survival (DFS) and overall survival (OS) probabilities were 37% and 35% for the whole series, 32% and 37% for patients assigned to allo-HSCT, and 55% and 59% for those assigned to chemotherapy. Multivariable analysis showed poor MRD clearance (≥ 1 × 10(-3) after induction and ≥ 5 × 10(-4) after early consolidation) as the only prognostic factor for DFS and OS.\\n\\nCONCLUSION: Prognosis for Ph-negative HR-ALL in adolescents and adults with good early response to induction and low flow-MRD levels after consolidation is quite favorable when allo-HSCT is avoided. In this study, the pattern of MRD clearance was the only prognostic factor for DFS and OS.","author":[{"dropping-particle":"","family":"Ribera","given":"Josep Maria","non-dropping-particle":"","parse-names":false,"suffix":""},{"dropping-particle":"","family":"Oriol","given":"Albert","non-dropping-particle":"","parse-names":false,"suffix":""},{"dropping-particle":"","family":"Morgades","given":"Mireia","non-dropping-particle":"","parse-names":false,"suffix":""},{"dropping-particle":"","family":"Montesinos","given":"Pau","non-dropping-particle":"","parse-names":false,"suffix":""},{"dropping-particle":"","family":"Sarrà","given":"Josep","non-dropping-particle":"","parse-names":false,"suffix":""},{"dropping-particle":"","family":"González-Campos","given":"José","non-dropping-particle":"","parse-names":false,"suffix":""},{"dropping-particle":"","family":"Brunet","given":"Salut","non-dropping-particle":"","parse-names":false,"suffix":""},{"dropping-particle":"","family":"Tormo","given":"Mar","non-dropping-particle":"","parse-names":false,"suffix":""},{"dropping-particle":"","family":"Fernández-Abellán","given":"Pascual","non-dropping-particle":"","parse-names":false,"suffix":""},{"dropping-particle":"","family":"Guàrdia","given":"Ramon","non-dropping-particle":"","parse-names":false,"suffix":""},{"dropping-particle":"","family":"Bernal","given":"María Teresa","non-dropping-particle":"","parse-names":false,"suffix":""},{"dropping-particle":"","family":"Esteve","given":"Jordi","non-dropping-particle":"","parse-names":false,"suffix":""},{"dropping-particle":"","family":"Barba","given":"Pere","non-dropping-particle":"","parse-names":false,"suffix":""},{"dropping-particle":"","family":"Moreno","given":"María José","non-dropping-particle":"","parse-names":false,"suffix":""},{"dropping-particle":"","family":"Bermúdez","given":"Arancha","non-dropping-particle":"","parse-names":false,"suffix":""},{"dropping-particle":"","family":"Cladera","given":"Antonia","non-dropping-particle":"","parse-names":false,"suffix":""},{"dropping-particle":"","family":"Escoda","given":"Lourdes","non-dropping-particle":"","parse-names":false,"suffix":""},{"dropping-particle":"","family":"García-Boyero","given":"Raimundo","non-dropping-particle":"","parse-names":false,"suffix":""},{"dropping-particle":"","family":"Potro","given":"Eloy","non-dropping-particle":"Del","parse-names":false,"suffix":""},{"dropping-particle":"","family":"Bergua","given":"Juan","non-dropping-particle":"","parse-names":false,"suffix":""},{"dropping-particle":"","family":"Amigo","given":"María Luz","non-dropping-particle":"","parse-names":false,"suffix":""},{"dropping-particle":"","family":"Grande","given":"Carlos","non-dropping-particle":"","parse-names":false,"suffix":""},{"dropping-particle":"","family":"Rabuñal","given":"María José","non-dropping-particle":"","parse-names":false,"suffix":""},{"dropping-particle":"","family":"Hernández-Rivas","given":"Jesús María","non-dropping-particle":"","parse-names":false,"suffix":""},{"dropping-particle":"","family":"Feliu","given":"Evarist","non-dropping-particle":"","parse-names":false,"suffix":""}],"container-title":"Journal of Clinical Oncology","id":"ITEM-6","issue":"15","issued":{"date-parts":[["2014","5","20"]]},"page":"1595-1604","publisher":"American Society of Clinical Oncology","title":"Treatment of high-risk Philadelphia chromosome-negative acute lymphoblastic leukemia in adolescents and adults according to early cytologic response and minimal residual disease after consolidation assessed by flow cytometry: Final results of the PETHEMA ALL-AR-03 trial","type":"article-journal","volume":"32"},"uris":["http://www.mendeley.com/documents/?uuid=176b3284-6c5b-3e4c-a358-35ed170b56c9"]},{"id":"ITEM-7","itemData":{"DOI":"10.1038/leu.2008.5","ISSN":"1476-5551","PMID":"18239620","abstract":"Detection of minimal residual disease (MRD) is the most sensitive method to evaluate treatment response and one of the strongest predictors of outcome in childhood acute lymphoblastic leukemia (ALL). The 10-year update on the I-BFM-SG MRD study 91 demonstrates stable results (event-free survival), that is, standard risk group (MRD-SR) 93%, intermediate risk group (MRD-IR) 74%, and high risk group (MRD-HR) 16%. In multicenter trial AIEOP-BFM ALL 2000, patients were stratified by MRD detection using quantitative PCR after induction (TP1) and consolidation treatment (TP2). From 1 July 2000 to 31 October 2004, PCR target identification was performed in 3341 patients: 2365 (71%) patients had two or more sensitive targets (&lt; or =10(-4)), 671 (20%) patients revealed only one sensitive target, 217 (6%) patients had targets with lower sensitivity, and 88 (3%) patients had no targets. MRD-based risk group assignment was feasible in 2594 (78%) patients: 40% were classified as MRD-SR (two sensitive targets, MRD negativity at both time points), 8% as MRD-HR (MRD &gt; or =10(-3) at TP2), and 52% as MRD-IR. The remaining 823 patients were stratified according to clinical risk features: HR (n=108) and IR (n=715). In conclusion, MRD-PCR-based stratification using stringent criteria is feasible in almost 80% of patients in an international multicenter trial.","author":[{"dropping-particle":"","family":"Flohr","given":"T","non-dropping-particle":"","parse-names":false,"suffix":""},{"dropping-particle":"","family":"Schrauder","given":"A","non-dropping-particle":"","parse-names":false,"suffix":""},{"dropping-particle":"","family":"Cazzaniga","given":"G","non-dropping-particle":"","parse-names":false,"suffix":""},{"dropping-particle":"","family":"Panzer-Grümayer","given":"R","non-dropping-particle":"","parse-names":false,"suffix":""},{"dropping-particle":"","family":"Velden","given":"V","non-dropping-particle":"van der","parse-names":false,"suffix":""},{"dropping-particle":"","family":"Fischer","given":"S","non-dropping-particle":"","parse-names":false,"suffix":""},{"dropping-particle":"","family":"Stanulla","given":"M","non-dropping-particle":"","parse-names":false,"suffix":""},{"dropping-particle":"","family":"Basso","given":"G","non-dropping-particle":"","parse-names":false,"suffix":""},{"dropping-particle":"","family":"Niggli","given":"F K","non-dropping-particle":"","parse-names":false,"suffix":""},{"dropping-particle":"","family":"Schäfer","given":"B W","non-dropping-particle":"","parse-names":false,"suffix":""},{"dropping-particle":"","family":"Sutton","given":"R","non-dropping-particle":"","parse-names":false,"suffix":""},{"dropping-particle":"","family":"Koehler","given":"R","non-dropping-particle":"","parse-names":false,"suffix":""},{"dropping-particle":"","family":"Zimmermann","given":"M","non-dropping-particle":"","parse-names":false,"suffix":""},{"dropping-particle":"","family":"Valsecchi","given":"M G","non-dropping-particle":"","parse-names":false,"suffix":""},{"dropping-particle":"","family":"Gadner","given":"H","non-dropping-particle":"","parse-names":false,"suffix":""},{"dropping-particle":"","family":"Masera","given":"G","non-dropping-particle":"","parse-names":false,"suffix":""},{"dropping-particle":"","family":"Schrappe","given":"M","non-dropping-particle":"","parse-names":false,"suffix":""},{"dropping-particle":"","family":"Dongen","given":"J J M","non-dropping-particle":"van","parse-names":false,"suffix":""},{"dropping-particle":"","family":"Biondi","given":"A","non-dropping-particle":"","parse-names":false,"suffix":""},{"dropping-particle":"","family":"Bartram","given":"C R","non-dropping-particle":"","parse-names":false,"suffix":""},{"dropping-particle":"","family":"International BFM Study Group (I-BFM-SG)","given":"","non-dropping-particle":"","parse-names":false,"suffix":""}],"container-title":"Leukemia","id":"ITEM-7","issue":"4","issued":{"date-parts":[["2008","4"]]},"page":"771-82","title":"Minimal residual disease-directed risk stratification using real-time quantitative PCR analysis of immunoglobulin and T-cell receptor gene rearrangements in the international multicenter trial AIEOP-BFM ALL 2000 for childhood acute lymphoblastic leukemia.","type":"article-journal","volume":"22"},"uris":["http://www.mendeley.com/documents/?uuid=2b21631b-63ba-306c-a850-5ed28a61b869"]}],"mendeley":{"formattedCitation":"[55,67–72]","plainTextFormattedCitation":"[55,67–72]","previouslyFormattedCitation":"[55,67–72]"},"properties":{"noteIndex":0},"schema":"https://github.com/citation-style-language/schema/raw/master/csl-citation.json"}</w:instrText>
      </w:r>
      <w:r w:rsidR="00250B38">
        <w:rPr>
          <w:i/>
        </w:rPr>
        <w:fldChar w:fldCharType="separate"/>
      </w:r>
      <w:r w:rsidR="00A66456" w:rsidRPr="00A66456">
        <w:rPr>
          <w:noProof/>
        </w:rPr>
        <w:t>[55,67–72]</w:t>
      </w:r>
      <w:r w:rsidR="00250B38">
        <w:rPr>
          <w:i/>
        </w:rPr>
        <w:fldChar w:fldCharType="end"/>
      </w:r>
      <w:r w:rsidR="00250B38" w:rsidRPr="00986171">
        <w:rPr>
          <w:i/>
        </w:rPr>
        <w:t>.</w:t>
      </w:r>
    </w:p>
    <w:p w14:paraId="02CDB2CB" w14:textId="77777777" w:rsidR="00113282" w:rsidRPr="00BD2656" w:rsidRDefault="00113282" w:rsidP="00113282">
      <w:pPr>
        <w:shd w:val="clear" w:color="auto" w:fill="FFFFFF"/>
        <w:ind w:firstLine="851"/>
        <w:rPr>
          <w:i/>
        </w:rPr>
      </w:pPr>
      <w:r w:rsidRPr="00986171">
        <w:rPr>
          <w:i/>
        </w:rPr>
        <w:t xml:space="preserve">Также крайне неблагоприятным фактором является молекулярный рецидив. Медиана времени от детекции </w:t>
      </w:r>
      <w:r w:rsidR="00AF128D">
        <w:rPr>
          <w:i/>
        </w:rPr>
        <w:t>МОБ</w:t>
      </w:r>
      <w:r w:rsidRPr="00986171">
        <w:rPr>
          <w:i/>
        </w:rPr>
        <w:t xml:space="preserve"> в </w:t>
      </w:r>
      <w:r w:rsidR="00DA0821">
        <w:rPr>
          <w:i/>
        </w:rPr>
        <w:t>КМ</w:t>
      </w:r>
      <w:r w:rsidRPr="00986171">
        <w:rPr>
          <w:i/>
        </w:rPr>
        <w:t xml:space="preserve"> до развития гематологического развернут</w:t>
      </w:r>
      <w:r w:rsidR="0000256F">
        <w:rPr>
          <w:i/>
        </w:rPr>
        <w:t>ого рецидива составляет около 2–</w:t>
      </w:r>
      <w:r w:rsidRPr="00986171">
        <w:rPr>
          <w:i/>
        </w:rPr>
        <w:t xml:space="preserve">4 месяцев. </w:t>
      </w:r>
    </w:p>
    <w:p w14:paraId="2850CF71" w14:textId="1F3F1603" w:rsidR="00113282" w:rsidRDefault="00113282" w:rsidP="00FF4C81">
      <w:pPr>
        <w:numPr>
          <w:ilvl w:val="0"/>
          <w:numId w:val="19"/>
        </w:numPr>
        <w:shd w:val="clear" w:color="auto" w:fill="FFFFFF"/>
      </w:pPr>
      <w:r>
        <w:rPr>
          <w:b/>
        </w:rPr>
        <w:t>Рекомендуется</w:t>
      </w:r>
      <w:r>
        <w:rPr>
          <w:i/>
        </w:rPr>
        <w:t xml:space="preserve"> </w:t>
      </w:r>
      <w:r w:rsidRPr="005F0042">
        <w:t xml:space="preserve">лечение </w:t>
      </w:r>
      <w:r w:rsidRPr="00CC64BA">
        <w:t>молекулярного рецидива</w:t>
      </w:r>
      <w:r w:rsidR="00AF57F1" w:rsidRPr="00CC64BA">
        <w:t xml:space="preserve"> </w:t>
      </w:r>
      <w:r w:rsidR="00B91309" w:rsidRPr="00CC64BA">
        <w:t>Ph+</w:t>
      </w:r>
      <w:r w:rsidR="00E9082E">
        <w:t xml:space="preserve"> ОЛЛ и Ph– </w:t>
      </w:r>
      <w:r w:rsidR="00B91309" w:rsidRPr="00CC64BA">
        <w:t>ОЛЛ</w:t>
      </w:r>
      <w:r w:rsidRPr="00CC64BA">
        <w:t xml:space="preserve"> в соответствии со стандартами, разработанными для развернутого морфологического рецидива, как минимум при ОЛЛ у взрослых</w:t>
      </w:r>
      <w:r w:rsidR="00250B38">
        <w:t xml:space="preserve"> </w:t>
      </w:r>
      <w:r w:rsidR="00250B38">
        <w:rPr>
          <w:i/>
        </w:rPr>
        <w:fldChar w:fldCharType="begin" w:fldLock="1"/>
      </w:r>
      <w:r w:rsidR="002466C9">
        <w:rPr>
          <w:i/>
        </w:rPr>
        <w:instrText>ADDIN CSL_CITATION {"citationItems":[{"id":"ITEM-1","itemData":{"DOI":"10.1182/blood-2014-01-547695","ISSN":"15280020","abstract":"With intensified pediatric-like therapy and genetic disease dissection, the field of adult acute lymphoblastic leukemia (ALL) has evolved recently. In this new context, we aimed to reassess the value of conventional risk factors with regard to new genetic alterations and early response to therapy, as assessed by immunoglobulin/T-cell receptor minimal residual disease (MRD) levels. The study was performed in 423 younger adults with Philadelphia chromosome-negative ALL in first remission (265 B-cell precursor [BCP] and 158 T-cell ALL), with cumulative incidence of relapse (CIR) as the primary end point. In addition to conventional risk factors, the most frequent currently available genetic alterations were included in the analysis. A higher specific hazard of relapse was independently associated with postinduction MRD level ≥10 -4  and unfavorable genetic characteristics (ie, MLL gene rearrangement or focal IKZF1 gene deletion in BCP-ALL and no NOTCH1/FBXW7 mutation and/or N/K-RAS mutation and/or PTEN gene alteration in T-cell ALL). These 2 factors allowed definition of a new risk classification that is strongly associated with higher CIR and shorter relapse-free and overall survival. These results indicate that genetic abnormalities are important predictors of outcomein adult ALL not fully recapitulated by early response to therapy. Patients included in this study were treated in the multicenter GRAALL-2003 and GRAALL-2005 trials. Both trials were registered at http://www.clinicaltrials.gov as #NCT00222027 and #NCT00327678, respectively. © 2014 by The American Society of Hematology.","author":[{"dropping-particle":"","family":"Beldjord","given":"Kheira","non-dropping-particle":"","parse-names":false,"suffix":""},{"dropping-particle":"","family":"Chevret","given":"Sylvie","non-dropping-particle":"","parse-names":false,"suffix":""},{"dropping-particle":"","family":"Asnafi","given":"Vahid","non-dropping-particle":"","parse-names":false,"suffix":""},{"dropping-particle":"","family":"Huguet","given":"Françoise","non-dropping-particle":"","parse-names":false,"suffix":""},{"dropping-particle":"","family":"Boulland","given":"Marie Laure","non-dropping-particle":"","parse-names":false,"suffix":""},{"dropping-particle":"","family":"Leguay","given":"Thibaut","non-dropping-particle":"","parse-names":false,"suffix":""},{"dropping-particle":"","family":"Thomas","given":"Xavier","non-dropping-particle":"","parse-names":false,"suffix":""},{"dropping-particle":"","family":"Cayuela","given":"Jean Michel","non-dropping-particle":"","parse-names":false,"suffix":""},{"dropping-particle":"","family":"Grardel","given":"Nathalie","non-dropping-particle":"","parse-names":false,"suffix":""},{"dropping-particle":"","family":"Chalandon","given":"Yves","non-dropping-particle":"","parse-names":false,"suffix":""},{"dropping-particle":"","family":"Boissel","given":"Nicolas","non-dropping-particle":"","parse-names":false,"suffix":""},{"dropping-particle":"","family":"Schaefer","given":"Beat","non-dropping-particle":"","parse-names":false,"suffix":""},{"dropping-particle":"","family":"Delabesse","given":"Eric","non-dropping-particle":"","parse-names":false,"suffix":""},{"dropping-particle":"","family":"Cavé","given":"Hélène","non-dropping-particle":"","parse-names":false,"suffix":""},{"dropping-particle":"","family":"Chevallier","given":"Patrice","non-dropping-particle":"","parse-names":false,"suffix":""},{"dropping-particle":"","family":"Buzyn","given":"Agnes̀","non-dropping-particle":"","parse-names":false,"suffix":""},{"dropping-particle":"","family":"Fest","given":"Thierry","non-dropping-particle":"","parse-names":false,"suffix":""},{"dropping-particle":"","family":"Reman","given":"Oumedaly","non-dropping-particle":"","parse-names":false,"suffix":""},{"dropping-particle":"","family":"Vernant","given":"Jean Paul","non-dropping-particle":"","parse-names":false,"suffix":""},{"dropping-particle":"","family":"Lhéritier","given":"Veŕonique","non-dropping-particle":"","parse-names":false,"suffix":""},{"dropping-particle":"","family":"Béńe","given":"Marie C.","non-dropping-particle":"","parse-names":false,"suffix":""},{"dropping-particle":"","family":"Lafage","given":"Marina","non-dropping-particle":"","parse-names":false,"suffix":""},{"dropping-particle":"","family":"Macintyre","given":"Elizabeth","non-dropping-particle":"","parse-names":false,"suffix":""},{"dropping-particle":"","family":"Ifrah","given":"Norbert","non-dropping-particle":"","parse-names":false,"suffix":""},{"dropping-particle":"","family":"Dombret","given":"Hervé","non-dropping-particle":"","parse-names":false,"suffix":""}],"container-title":"Blood","id":"ITEM-1","issue":"24","issued":{"date-parts":[["2014","6","12"]]},"page":"3739-3749","publisher":"American Society of Hematology","title":"Oncogenetics and minimal residual disease are independent outcome predictors in adult patients with acute lymphoblastic leukemia","type":"article-journal","volume":"123"},"uris":["http://www.mendeley.com/documents/?uuid=4e91b125-e7ae-348f-bfbd-d9e8b0e68780"]},{"id":"ITEM-2","itemData":{"DOI":"10.1182/blood-2008-11-185132","ISSN":"1528-0020","PMID":"19141862","abstract":"Clinical risk classification is inaccurate in predicting relapse in adult patients with acute lymphoblastic leukemia, sometimes resulting in patients receiving inappropriate chemotherapy or stem cell transplantation (SCT). We studied minimal residual disease (MRD) as a predictive factor for recurrence and as a decisional tool for postconsolidation maintenance (in MRD(neg)) or SCT (in MRD(pos)). MRD was tested at weeks 10, 16, and 22 using real-time quantitative polymerase chain reaction with 1 or more sensitive probes. Only patients with t(9;22) or t(4;11) were immediately eligible for allogeneic SCT. Of 280 registered patients (236 in remission), 34 underwent an early SCT, 60 suffered from relapse or severe toxicity, and 142 were evaluable for MRD at the end of consolidation. Of these, 58 were MRD(neg), 54 MRD(pos), and 30 were not assessable. Five-year overall survival/disease-free survival rates were 0.75/0.72 in the MRD(neg) group compared with 0.33/0.14 in MRD(pos) (P = .001), regardless of the clinical risk class. MRD was the most significant risk factor for relapse (hazard ratio, 5.22). MRD results at weeks 16 to 22 correlated strongly with the earlier time point (P = .001) using a level of 10(-4) or higher to define persistent disease. MRD analysis during early postremission therapy improves risk definitions and bolsters risk-oriented strategies. ClinicalTrials.gov identifier: NCT00358072.","author":[{"dropping-particle":"","family":"Bassan","given":"Renato","non-dropping-particle":"","parse-names":false,"suffix":""},{"dropping-particle":"","family":"Spinelli","given":"Orietta","non-dropping-particle":"","parse-names":false,"suffix":""},{"dropping-particle":"","family":"Oldani","given":"Elena","non-dropping-particle":"","parse-names":false,"suffix":""},{"dropping-particle":"","family":"Intermesoli","given":"Tamara","non-dropping-particle":"","parse-names":false,"suffix":""},{"dropping-particle":"","family":"Tosi","given":"Manuela","non-dropping-particle":"","parse-names":false,"suffix":""},{"dropping-particle":"","family":"Peruta","given":"Barbara","non-dropping-particle":"","parse-names":false,"suffix":""},{"dropping-particle":"","family":"Rossi","given":"Giuseppe","non-dropping-particle":"","parse-names":false,"suffix":""},{"dropping-particle":"","family":"Borlenghi","given":"Erika","non-dropping-particle":"","parse-names":false,"suffix":""},{"dropping-particle":"","family":"Pogliani","given":"Enrico M","non-dropping-particle":"","parse-names":false,"suffix":""},{"dropping-particle":"","family":"Terruzzi","given":"Elisabetta","non-dropping-particle":"","parse-names":false,"suffix":""},{"dropping-particle":"","family":"Fabris","given":"Pietro","non-dropping-particle":"","parse-names":false,"suffix":""},{"dropping-particle":"","family":"Cassibba","given":"Vincenzo","non-dropping-particle":"","parse-names":false,"suffix":""},{"dropping-particle":"","family":"Lambertenghi-Deliliers","given":"Giorgio","non-dropping-particle":"","parse-names":false,"suffix":""},{"dropping-particle":"","family":"Cortelezzi","given":"Agostino","non-dropping-particle":"","parse-names":false,"suffix":""},{"dropping-particle":"","family":"Bosi","given":"Alberto","non-dropping-particle":"","parse-names":false,"suffix":""},{"dropping-particle":"","family":"Gianfaldoni","given":"Giacomo","non-dropping-particle":"","parse-names":false,"suffix":""},{"dropping-particle":"","family":"Ciceri","given":"Fabio","non-dropping-particle":"","parse-names":false,"suffix":""},{"dropping-particle":"","family":"Bernardi","given":"Massimo","non-dropping-particle":"","parse-names":false,"suffix":""},{"dropping-particle":"","family":"Gallamini","given":"Andrea","non-dropping-particle":"","parse-names":false,"suffix":""},{"dropping-particle":"","family":"Mattei","given":"Daniele","non-dropping-particle":"","parse-names":false,"suffix":""},{"dropping-particle":"","family":"Bona","given":"Eros","non-dropping-particle":"Di","parse-names":false,"suffix":""},{"dropping-particle":"","family":"Romani","given":"Claudio","non-dropping-particle":"","parse-names":false,"suffix":""},{"dropping-particle":"","family":"Scattolin","given":"Anna Maria","non-dropping-particle":"","parse-names":false,"suffix":""},{"dropping-particle":"","family":"Barbui","given":"Tiziano","non-dropping-particle":"","parse-names":false,"suffix":""},{"dropping-particle":"","family":"Rambaldi","given":"Alessandro","non-dropping-particle":"","parse-names":false,"suffix":""}],"container-title":"Blood","id":"ITEM-2","issue":"18","issued":{"date-parts":[["2009","4","30"]]},"page":"4153-62","title":"Improved risk classification for risk-specific therapy based on the molecular study of minimal residual disease (MRD) in adult acute lymphoblastic leukemia (ALL).","type":"article-journal","volume":"113"},"uris":["http://www.mendeley.com/documents/?uuid=9558a952-a739-3b5d-bc51-81353ea2b642"]},{"id":"ITEM-3","itemData":{"DOI":"10.1200/JCO.2013.52.2425","ISSN":"15277755","abstract":"PURPOSE: Minimal residual disease (MRD) is an important prognostic factor in adults with acute lymphoblastic leukemia (ALL) and may be used for treatment decisions. The Programa Español de Tratamientos en Hematología (PETHEMA) ALL-AR-03 trial (Treatment of High Risk Adult Acute Lymphoblastic Leukemia [LAL-AR/2003]) assigned adolescent and adult patients (age 15 to 60 years) with high-risk ALL (HR-ALL) without the Philadelphia (Ph) chromosome to chemotherapy or to allogeneic hematopoietic stem-cell transplantation (allo-HSCT) according to early cytologic response (day 14) and flow-MRD level after consolidation.\\n\\nPATIENTS AND METHODS: Patients with good early cytologic response (&lt; 10% blasts in bone marrow at day 14 of induction) and a flow-MRD level less than 5 × 10(-4) at the end of consolidation were assigned to delayed consolidation and maintenance therapy, and allo-HSCT was scheduled in patients with poor early cytologic response or flow-MRD level ≥ 5 × 10(-4).\\n\\nRESULTS: Complete remission was attained in 282 (87%) of 326 patients, and 179 (76%) of 236 patients who completed early consolidation were assigned by intention-to treat to receive allo-HSCT (71) or chemotherapy (108). Five-year disease-free survival (DFS) and overall survival (OS) probabilities were 37% and 35% for the whole series, 32% and 37% for patients assigned to allo-HSCT, and 55% and 59% for those assigned to chemotherapy. Multivariable analysis showed poor MRD clearance (≥ 1 × 10(-3) after induction and ≥ 5 × 10(-4) after early consolidation) as the only prognostic factor for DFS and OS.\\n\\nCONCLUSION: Prognosis for Ph-negative HR-ALL in adolescents and adults with good early response to induction and low flow-MRD levels after consolidation is quite favorable when allo-HSCT is avoided. In this study, the pattern of MRD clearance was the only prognostic factor for DFS and OS.","author":[{"dropping-particle":"","family":"Ribera","given":"Josep Maria","non-dropping-particle":"","parse-names":false,"suffix":""},{"dropping-particle":"","family":"Oriol","given":"Albert","non-dropping-particle":"","parse-names":false,"suffix":""},{"dropping-particle":"","family":"Morgades","given":"Mireia","non-dropping-particle":"","parse-names":false,"suffix":""},{"dropping-particle":"","family":"Montesinos","given":"Pau","non-dropping-particle":"","parse-names":false,"suffix":""},{"dropping-particle":"","family":"Sarrà","given":"Josep","non-dropping-particle":"","parse-names":false,"suffix":""},{"dropping-particle":"","family":"González-Campos","given":"José","non-dropping-particle":"","parse-names":false,"suffix":""},{"dropping-particle":"","family":"Brunet","given":"Salut","non-dropping-particle":"","parse-names":false,"suffix":""},{"dropping-particle":"","family":"Tormo","given":"Mar","non-dropping-particle":"","parse-names":false,"suffix":""},{"dropping-particle":"","family":"Fernández-Abellán","given":"Pascual","non-dropping-particle":"","parse-names":false,"suffix":""},{"dropping-particle":"","family":"Guàrdia","given":"Ramon","non-dropping-particle":"","parse-names":false,"suffix":""},{"dropping-particle":"","family":"Bernal","given":"María Teresa","non-dropping-particle":"","parse-names":false,"suffix":""},{"dropping-particle":"","family":"Esteve","given":"Jordi","non-dropping-particle":"","parse-names":false,"suffix":""},{"dropping-particle":"","family":"Barba","given":"Pere","non-dropping-particle":"","parse-names":false,"suffix":""},{"dropping-particle":"","family":"Moreno","given":"María José","non-dropping-particle":"","parse-names":false,"suffix":""},{"dropping-particle":"","family":"Bermúdez","given":"Arancha","non-dropping-particle":"","parse-names":false,"suffix":""},{"dropping-particle":"","family":"Cladera","given":"Antonia","non-dropping-particle":"","parse-names":false,"suffix":""},{"dropping-particle":"","family":"Escoda","given":"Lourdes","non-dropping-particle":"","parse-names":false,"suffix":""},{"dropping-particle":"","family":"García-Boyero","given":"Raimundo","non-dropping-particle":"","parse-names":false,"suffix":""},{"dropping-particle":"","family":"Potro","given":"Eloy","non-dropping-particle":"Del","parse-names":false,"suffix":""},{"dropping-particle":"","family":"Bergua","given":"Juan","non-dropping-particle":"","parse-names":false,"suffix":""},{"dropping-particle":"","family":"Amigo","given":"María Luz","non-dropping-particle":"","parse-names":false,"suffix":""},{"dropping-particle":"","family":"Grande","given":"Carlos","non-dropping-particle":"","parse-names":false,"suffix":""},{"dropping-particle":"","family":"Rabuñal","given":"María José","non-dropping-particle":"","parse-names":false,"suffix":""},{"dropping-particle":"","family":"Hernández-Rivas","given":"Jesús María","non-dropping-particle":"","parse-names":false,"suffix":""},{"dropping-particle":"","family":"Feliu","given":"Evarist","non-dropping-particle":"","parse-names":false,"suffix":""}],"container-title":"Journal of Clinical Oncology","id":"ITEM-3","issue":"15","issued":{"date-parts":[["2014","5","20"]]},"page":"1595-1604","publisher":"American Society of Clinical Oncology","title":"Treatment of high-risk Philadelphia chromosome-negative acute lymphoblastic leukemia in adolescents and adults according to early cytologic response and minimal residual disease after consolidation assessed by flow cytometry: Final results of the PETHEMA ALL-AR-03 trial","type":"article-journal","volume":"32"},"uris":["http://www.mendeley.com/documents/?uuid=176b3284-6c5b-3e4c-a358-35ed170b56c9"]}],"mendeley":{"formattedCitation":"[69–71]","plainTextFormattedCitation":"[69–71]","previouslyFormattedCitation":"[69–71]"},"properties":{"noteIndex":0},"schema":"https://github.com/citation-style-language/schema/raw/master/csl-citation.json"}</w:instrText>
      </w:r>
      <w:r w:rsidR="00250B38">
        <w:rPr>
          <w:i/>
        </w:rPr>
        <w:fldChar w:fldCharType="separate"/>
      </w:r>
      <w:r w:rsidR="00A66456" w:rsidRPr="00A66456">
        <w:rPr>
          <w:noProof/>
        </w:rPr>
        <w:t>[69–71]</w:t>
      </w:r>
      <w:r w:rsidR="00250B38">
        <w:rPr>
          <w:i/>
        </w:rPr>
        <w:fldChar w:fldCharType="end"/>
      </w:r>
      <w:r w:rsidR="00250B38" w:rsidRPr="005F0042">
        <w:t xml:space="preserve">. </w:t>
      </w:r>
      <w:r w:rsidR="00216384" w:rsidRPr="00216384">
        <w:t xml:space="preserve"> </w:t>
      </w:r>
    </w:p>
    <w:p w14:paraId="3F32F6A6" w14:textId="6CC88B6A" w:rsidR="00113282" w:rsidRPr="00921B8D" w:rsidRDefault="00113282" w:rsidP="00113282">
      <w:pPr>
        <w:shd w:val="clear" w:color="auto" w:fill="FFFFFF"/>
        <w:ind w:firstLine="709"/>
        <w:contextualSpacing/>
      </w:pPr>
      <w:r>
        <w:rPr>
          <w:rStyle w:val="aff5"/>
        </w:rPr>
        <w:t xml:space="preserve">Уровень убедительности рекомендаций </w:t>
      </w:r>
      <w:r w:rsidR="0000256F">
        <w:rPr>
          <w:rStyle w:val="aff5"/>
        </w:rPr>
        <w:t xml:space="preserve">– </w:t>
      </w:r>
      <w:r w:rsidR="007A051C">
        <w:rPr>
          <w:rStyle w:val="aff5"/>
        </w:rPr>
        <w:t>С</w:t>
      </w:r>
      <w:r w:rsidR="00B77619">
        <w:rPr>
          <w:rStyle w:val="aff5"/>
        </w:rPr>
        <w:t xml:space="preserve"> </w:t>
      </w:r>
      <w:r>
        <w:rPr>
          <w:rStyle w:val="aff5"/>
        </w:rPr>
        <w:t xml:space="preserve">(уровень достоверности доказательств – </w:t>
      </w:r>
      <w:r w:rsidR="007A051C">
        <w:rPr>
          <w:rStyle w:val="aff5"/>
        </w:rPr>
        <w:t>5</w:t>
      </w:r>
      <w:r>
        <w:rPr>
          <w:rStyle w:val="aff5"/>
        </w:rPr>
        <w:t>)</w:t>
      </w:r>
      <w:r w:rsidR="0000256F">
        <w:rPr>
          <w:rStyle w:val="aff5"/>
        </w:rPr>
        <w:t>.</w:t>
      </w:r>
    </w:p>
    <w:p w14:paraId="212D0B8F" w14:textId="2E34D4A9" w:rsidR="00113282" w:rsidRPr="00986171" w:rsidRDefault="00113282" w:rsidP="00113282">
      <w:pPr>
        <w:shd w:val="clear" w:color="auto" w:fill="FFFFFF"/>
        <w:ind w:firstLine="709"/>
        <w:contextualSpacing/>
        <w:rPr>
          <w:i/>
        </w:rPr>
      </w:pPr>
      <w:r w:rsidRPr="003E0CC5">
        <w:rPr>
          <w:b/>
        </w:rPr>
        <w:t xml:space="preserve">Комментарий: </w:t>
      </w:r>
      <w:r w:rsidR="00AF71B5">
        <w:rPr>
          <w:i/>
        </w:rPr>
        <w:t>п</w:t>
      </w:r>
      <w:r w:rsidR="00CC64BA">
        <w:rPr>
          <w:i/>
        </w:rPr>
        <w:t xml:space="preserve">ри молекулярном рецидиве </w:t>
      </w:r>
      <w:r w:rsidR="00CC64BA">
        <w:rPr>
          <w:i/>
          <w:lang w:val="en-US"/>
        </w:rPr>
        <w:t>Ph</w:t>
      </w:r>
      <w:r w:rsidR="00CC64BA" w:rsidRPr="00AF71B5">
        <w:rPr>
          <w:i/>
        </w:rPr>
        <w:t>+</w:t>
      </w:r>
      <w:r w:rsidR="00E9082E">
        <w:rPr>
          <w:i/>
        </w:rPr>
        <w:t xml:space="preserve"> </w:t>
      </w:r>
      <w:r w:rsidR="00CC64BA">
        <w:rPr>
          <w:i/>
        </w:rPr>
        <w:t xml:space="preserve">ОЛЛ необходимо выполнить смену ИТК, рекомендовано при этом исследование </w:t>
      </w:r>
      <w:r w:rsidR="00AF71B5">
        <w:rPr>
          <w:i/>
        </w:rPr>
        <w:t>мутационного статуса BCR-ABL гена с целью назначения эффективного ИТК. Кроме того, и при Ph-</w:t>
      </w:r>
      <w:r w:rsidR="0000256F">
        <w:rPr>
          <w:i/>
        </w:rPr>
        <w:t>,</w:t>
      </w:r>
      <w:r w:rsidR="00AF71B5">
        <w:rPr>
          <w:i/>
        </w:rPr>
        <w:t xml:space="preserve"> и при Ph+</w:t>
      </w:r>
      <w:r w:rsidR="00E9082E">
        <w:rPr>
          <w:i/>
        </w:rPr>
        <w:t xml:space="preserve"> </w:t>
      </w:r>
      <w:r w:rsidR="00AF71B5">
        <w:rPr>
          <w:i/>
        </w:rPr>
        <w:t>ОЛЛ показана высокая эффктивность применения блинатумомаба</w:t>
      </w:r>
      <w:r w:rsidR="00001246">
        <w:rPr>
          <w:i/>
        </w:rPr>
        <w:t>**</w:t>
      </w:r>
      <w:r w:rsidR="00AF71B5">
        <w:rPr>
          <w:i/>
        </w:rPr>
        <w:t xml:space="preserve"> </w:t>
      </w:r>
      <w:r w:rsidR="00C40D21">
        <w:rPr>
          <w:i/>
        </w:rPr>
        <w:fldChar w:fldCharType="begin" w:fldLock="1"/>
      </w:r>
      <w:r w:rsidR="002466C9">
        <w:rPr>
          <w:i/>
        </w:rPr>
        <w:instrText>ADDIN CSL_CITATION {"citationItems":[{"id":"ITEM-1","itemData":{"DOI":"10.1200/JCO.2014.56.3247","ISSN":"15277755","abstract":"© 2014 by American Society of Clinical Oncology.Purpose: Patients with relapsed or refractory acute lymphoblastic leukemia (ALL) have a dismal prognosis. CD19 is homogenously expressed in B-precursor ALL and can be targeted by the investigational bispecific T cell-engager antibody blinatumomab. A phase II trial was performed to determine clinical activity in this patient cohort. Patients and Methods: Thirty-six patients with relapsed or refractory B-precursor ALL were treated with blinatumomab in cycles of 4-week continuous infusion followed by a 2-week treatment-free interval in a single-arm study with a dose-finding stage and an extension stage. The primary end point was complete remission (CR) or CR with partial hematologic recovery (CRh). Major secondary end points included minimal residual disease (MRD) response, rate of allogeneic hematopoietic stem-cell transplantation (HSCT) realization, relapse-free survival (RFS), overall survival (OS), and incidence of adverse events (AEs). Results: Median age was 32 years (range, 18 to 77 years). Twenty-five patients (69%) achieved a CR or CRh, with 88% of the responders achieving an MRD response. Median OS was 9.8 months (95% CI, 8.5 to 14.9), and median RFS was 7.6 months (95% CI, 4.5 to 9.5). Thirteen responders (52%) underwent HSCT after achieving a CR or CRh. The most frequent AE during treatment was pyrexia (grade 1 or 2, 75%; grade 3, 6%). In six patients with nervous system or psychiatric disorder AEs and in two patients with cytokine release syndrome, treatment had to be interrupted or discontinued. These medical events were resolved clinically. Conclusion: The data support further investigation of blinatumomab for the treatment of adult patients with relapsed or refractory ALL in a larger confirmatory study.","author":[{"dropping-particle":"","family":"Topp","given":"Max S.","non-dropping-particle":"","parse-names":false,"suffix":""},{"dropping-particle":"","family":"Gökbuget","given":"Nicola","non-dropping-particle":"","parse-names":false,"suffix":""},{"dropping-particle":"","family":"Zugmaier","given":"Gerhard","non-dropping-particle":"","parse-names":false,"suffix":""},{"dropping-particle":"","family":"Klappers","given":"Petra","non-dropping-particle":"","parse-names":false,"suffix":""},{"dropping-particle":"","family":"Stelljes","given":"Matthias","non-dropping-particle":"","parse-names":false,"suffix":""},{"dropping-particle":"","family":"Neumann","given":"Svenja","non-dropping-particle":"","parse-names":false,"suffix":""},{"dropping-particle":"","family":"Viardot","given":"Andreas","non-dropping-particle":"","parse-names":false,"suffix":""},{"dropping-particle":"","family":"Marks","given":"Reinhard","non-dropping-particle":"","parse-names":false,"suffix":""},{"dropping-particle":"","family":"Diedrich","given":"Helmut","non-dropping-particle":"","parse-names":false,"suffix":""},{"dropping-particle":"","family":"Faul","given":"Christoph","non-dropping-particle":"","parse-names":false,"suffix":""},{"dropping-particle":"","family":"Reichle","given":"Albrecht","non-dropping-particle":"","parse-names":false,"suffix":""},{"dropping-particle":"","family":"Horst","given":"Heinz August","non-dropping-particle":"","parse-names":false,"suffix":""},{"dropping-particle":"","family":"Brüggemann","given":"Monika","non-dropping-particle":"","parse-names":false,"suffix":""},{"dropping-particle":"","family":"Wessiepe","given":"Dorothea","non-dropping-particle":"","parse-names":false,"suffix":""},{"dropping-particle":"","family":"Holland","given":"Chris","non-dropping-particle":"","parse-names":false,"suffix":""},{"dropping-particle":"","family":"Alekar","given":"Shilpa","non-dropping-particle":"","parse-names":false,"suffix":""},{"dropping-particle":"","family":"Mergen","given":"Noemi","non-dropping-particle":"","parse-names":false,"suffix":""},{"dropping-particle":"","family":"Einsele","given":"Hermann","non-dropping-particle":"","parse-names":false,"suffix":""},{"dropping-particle":"","family":"Hoelzer","given":"Dieter","non-dropping-particle":"","parse-names":false,"suffix":""},{"dropping-particle":"","family":"Bargou","given":"Ralf C.","non-dropping-particle":"","parse-names":false,"suffix":""}],"container-title":"Journal of Clinical Oncology","id":"ITEM-1","issue":"36","issued":{"date-parts":[["2014","12","20"]]},"page":"4134-4140","publisher":"American Society of Clinical Oncology","title":"Phase II trial of the anti-CD19 bispecific T cell-engager blinatumomab shows hematologic and molecular remissions in patients with relapsed or refractory B-precursor acute lymphoblastic leukemia","type":"article-journal","volume":"32"},"uris":["http://www.mendeley.com/documents/?uuid=81941d15-d42b-3c74-9227-402b6678d03f"]}],"mendeley":{"formattedCitation":"[73]","plainTextFormattedCitation":"[73]","previouslyFormattedCitation":"[73]"},"properties":{"noteIndex":0},"schema":"https://github.com/citation-style-language/schema/raw/master/csl-citation.json"}</w:instrText>
      </w:r>
      <w:r w:rsidR="00C40D21">
        <w:rPr>
          <w:i/>
        </w:rPr>
        <w:fldChar w:fldCharType="separate"/>
      </w:r>
      <w:r w:rsidR="00A66456" w:rsidRPr="00A66456">
        <w:rPr>
          <w:noProof/>
        </w:rPr>
        <w:t>[73]</w:t>
      </w:r>
      <w:r w:rsidR="00C40D21">
        <w:rPr>
          <w:i/>
        </w:rPr>
        <w:fldChar w:fldCharType="end"/>
      </w:r>
      <w:r w:rsidR="00AF71B5">
        <w:rPr>
          <w:i/>
        </w:rPr>
        <w:t xml:space="preserve">, в том числе с включением ИТК, при молекулярном рецидиве или персистенции МРБ. </w:t>
      </w:r>
      <w:r w:rsidR="002B32C4" w:rsidRPr="00AF71B5">
        <w:rPr>
          <w:i/>
        </w:rPr>
        <w:t>Наличие молекулярного рецидива может являться критерием включения в КИ по использованию экспериментальных лекарственных средств.</w:t>
      </w:r>
    </w:p>
    <w:p w14:paraId="58212AD7" w14:textId="77777777" w:rsidR="00113282" w:rsidRDefault="00113282" w:rsidP="00113282">
      <w:pPr>
        <w:shd w:val="clear" w:color="auto" w:fill="FFFFFF"/>
        <w:ind w:firstLine="709"/>
        <w:contextualSpacing/>
        <w:rPr>
          <w:i/>
        </w:rPr>
      </w:pPr>
      <w:r w:rsidRPr="00986171">
        <w:rPr>
          <w:i/>
        </w:rPr>
        <w:t xml:space="preserve">Фактором негативного прогноза в плане безрецидивного течения заболевания является </w:t>
      </w:r>
      <w:r w:rsidR="00AF128D">
        <w:rPr>
          <w:i/>
        </w:rPr>
        <w:t>о</w:t>
      </w:r>
      <w:r w:rsidRPr="00986171">
        <w:rPr>
          <w:bCs/>
          <w:i/>
        </w:rPr>
        <w:t xml:space="preserve">бнаружение </w:t>
      </w:r>
      <w:r w:rsidR="00AF128D">
        <w:rPr>
          <w:bCs/>
          <w:i/>
        </w:rPr>
        <w:t>МОБ</w:t>
      </w:r>
      <w:r w:rsidRPr="00986171">
        <w:rPr>
          <w:bCs/>
          <w:i/>
        </w:rPr>
        <w:t xml:space="preserve"> </w:t>
      </w:r>
      <w:r w:rsidRPr="00986171">
        <w:rPr>
          <w:i/>
        </w:rPr>
        <w:t xml:space="preserve">как до, так и после </w:t>
      </w:r>
      <w:r w:rsidR="00F33796">
        <w:rPr>
          <w:i/>
        </w:rPr>
        <w:t>ТГСК</w:t>
      </w:r>
      <w:r w:rsidRPr="00986171">
        <w:rPr>
          <w:i/>
        </w:rPr>
        <w:t>. Вероятность развития рецидива достоверно выше у</w:t>
      </w:r>
      <w:r w:rsidRPr="00EF50E6">
        <w:rPr>
          <w:szCs w:val="24"/>
        </w:rPr>
        <w:t xml:space="preserve"> </w:t>
      </w:r>
      <w:r w:rsidRPr="00EF50E6">
        <w:rPr>
          <w:i/>
          <w:szCs w:val="24"/>
        </w:rPr>
        <w:t>пациентов</w:t>
      </w:r>
      <w:r>
        <w:rPr>
          <w:i/>
        </w:rPr>
        <w:t>, у к</w:t>
      </w:r>
      <w:r w:rsidR="00DA0821">
        <w:rPr>
          <w:i/>
        </w:rPr>
        <w:t>оторых</w:t>
      </w:r>
      <w:r>
        <w:rPr>
          <w:i/>
        </w:rPr>
        <w:t xml:space="preserve"> </w:t>
      </w:r>
      <w:r w:rsidR="00DA0821" w:rsidRPr="00DA0821">
        <w:rPr>
          <w:i/>
        </w:rPr>
        <w:t xml:space="preserve">определяется </w:t>
      </w:r>
      <w:r w:rsidR="00AF128D">
        <w:rPr>
          <w:i/>
        </w:rPr>
        <w:t>МОБ</w:t>
      </w:r>
      <w:r>
        <w:rPr>
          <w:i/>
        </w:rPr>
        <w:t>.</w:t>
      </w:r>
    </w:p>
    <w:p w14:paraId="3F6F53A7" w14:textId="77777777" w:rsidR="00C76CE3" w:rsidRDefault="00C76CE3" w:rsidP="004905C2">
      <w:pPr>
        <w:pStyle w:val="2"/>
      </w:pPr>
      <w:bookmarkStart w:id="105" w:name="_Toc5373982"/>
      <w:bookmarkStart w:id="106" w:name="_Toc13484813"/>
      <w:bookmarkStart w:id="107" w:name="_Toc26796711"/>
      <w:bookmarkStart w:id="108" w:name="_Toc64467927"/>
      <w:bookmarkStart w:id="109" w:name="_Toc426795072"/>
    </w:p>
    <w:p w14:paraId="0B75554C" w14:textId="4438505A" w:rsidR="00254823" w:rsidRPr="00E834A0" w:rsidRDefault="00254823" w:rsidP="004905C2">
      <w:pPr>
        <w:pStyle w:val="2"/>
      </w:pPr>
      <w:bookmarkStart w:id="110" w:name="_Toc64565641"/>
      <w:r>
        <w:t>3.</w:t>
      </w:r>
      <w:r w:rsidR="00216384" w:rsidRPr="00216384">
        <w:t>4</w:t>
      </w:r>
      <w:r w:rsidR="003232D3">
        <w:t>.</w:t>
      </w:r>
      <w:r>
        <w:t xml:space="preserve"> Лечение </w:t>
      </w:r>
      <w:r w:rsidR="00BA13EC">
        <w:t>пациентов с</w:t>
      </w:r>
      <w:r w:rsidRPr="00D53B07">
        <w:t xml:space="preserve"> </w:t>
      </w:r>
      <w:r w:rsidRPr="00D53B07">
        <w:rPr>
          <w:lang w:val="en-US"/>
        </w:rPr>
        <w:t>Ph</w:t>
      </w:r>
      <w:r w:rsidR="00511DA5">
        <w:t>–</w:t>
      </w:r>
      <w:r w:rsidRPr="00D53B07">
        <w:t xml:space="preserve"> </w:t>
      </w:r>
      <w:bookmarkEnd w:id="105"/>
      <w:bookmarkEnd w:id="106"/>
      <w:r w:rsidR="00E834A0">
        <w:t>ОЛЛ</w:t>
      </w:r>
      <w:bookmarkEnd w:id="107"/>
      <w:bookmarkEnd w:id="108"/>
      <w:bookmarkEnd w:id="110"/>
    </w:p>
    <w:p w14:paraId="2F55FA42" w14:textId="21BF74FB" w:rsidR="00254823" w:rsidRDefault="00254823" w:rsidP="00A7331E">
      <w:pPr>
        <w:ind w:firstLine="709"/>
        <w:contextualSpacing/>
        <w:rPr>
          <w:b/>
        </w:rPr>
      </w:pPr>
      <w:r w:rsidRPr="00257CE3">
        <w:rPr>
          <w:b/>
        </w:rPr>
        <w:t xml:space="preserve">Выбор программы </w:t>
      </w:r>
      <w:r w:rsidR="001B4D72" w:rsidRPr="009F500F">
        <w:rPr>
          <w:b/>
        </w:rPr>
        <w:t>Х</w:t>
      </w:r>
      <w:r w:rsidR="00DA0821">
        <w:rPr>
          <w:b/>
        </w:rPr>
        <w:t>Т</w:t>
      </w:r>
      <w:r w:rsidRPr="00257CE3">
        <w:rPr>
          <w:b/>
        </w:rPr>
        <w:t xml:space="preserve"> у </w:t>
      </w:r>
      <w:r w:rsidR="005327B1" w:rsidRPr="00257CE3">
        <w:rPr>
          <w:b/>
        </w:rPr>
        <w:t>пациентов</w:t>
      </w:r>
      <w:r w:rsidRPr="00257CE3">
        <w:rPr>
          <w:b/>
        </w:rPr>
        <w:t xml:space="preserve"> в возрасте до 55 лет</w:t>
      </w:r>
      <w:bookmarkEnd w:id="109"/>
    </w:p>
    <w:p w14:paraId="106E91EB" w14:textId="77777777" w:rsidR="00254823" w:rsidRPr="005327B1" w:rsidRDefault="00254823" w:rsidP="005327B1">
      <w:pPr>
        <w:ind w:firstLine="709"/>
        <w:contextualSpacing/>
        <w:rPr>
          <w:i/>
        </w:rPr>
      </w:pPr>
      <w:r w:rsidRPr="00222B1B">
        <w:rPr>
          <w:i/>
        </w:rPr>
        <w:t>Различные исследовательские группы применяют различные схемы терапии</w:t>
      </w:r>
      <w:r w:rsidR="005A172A">
        <w:rPr>
          <w:i/>
        </w:rPr>
        <w:t xml:space="preserve"> (п</w:t>
      </w:r>
      <w:r>
        <w:rPr>
          <w:i/>
        </w:rPr>
        <w:t xml:space="preserve">риложение </w:t>
      </w:r>
      <w:r w:rsidR="00B673E8">
        <w:rPr>
          <w:i/>
        </w:rPr>
        <w:t>А3.1</w:t>
      </w:r>
      <w:r>
        <w:rPr>
          <w:i/>
        </w:rPr>
        <w:t>)</w:t>
      </w:r>
      <w:r w:rsidRPr="00222B1B">
        <w:rPr>
          <w:i/>
        </w:rPr>
        <w:t>, единого протоко</w:t>
      </w:r>
      <w:r>
        <w:rPr>
          <w:i/>
        </w:rPr>
        <w:t>ла терапии ОЛЛ не существует. О</w:t>
      </w:r>
      <w:r w:rsidRPr="00222B1B">
        <w:rPr>
          <w:i/>
        </w:rPr>
        <w:t>бщий принцип терапии</w:t>
      </w:r>
      <w:r>
        <w:rPr>
          <w:i/>
        </w:rPr>
        <w:t xml:space="preserve"> представляет собой </w:t>
      </w:r>
      <w:r w:rsidRPr="00222B1B">
        <w:rPr>
          <w:i/>
        </w:rPr>
        <w:t>выполнение предфазы, индукции ремиссии, консолидации ремиссии, поддерживающ</w:t>
      </w:r>
      <w:r>
        <w:rPr>
          <w:i/>
        </w:rPr>
        <w:t>ей терапии</w:t>
      </w:r>
      <w:r w:rsidR="005327B1">
        <w:rPr>
          <w:i/>
        </w:rPr>
        <w:t>.</w:t>
      </w:r>
    </w:p>
    <w:p w14:paraId="7CE092F9" w14:textId="123707E4" w:rsidR="00254823" w:rsidRPr="005F0042" w:rsidRDefault="00254823" w:rsidP="00FF4C81">
      <w:pPr>
        <w:numPr>
          <w:ilvl w:val="0"/>
          <w:numId w:val="19"/>
        </w:numPr>
      </w:pPr>
      <w:r w:rsidRPr="00E91307">
        <w:rPr>
          <w:b/>
        </w:rPr>
        <w:t>Рекомендуется</w:t>
      </w:r>
      <w:r w:rsidRPr="0013685E">
        <w:t xml:space="preserve"> </w:t>
      </w:r>
      <w:r w:rsidR="005327B1" w:rsidRPr="005327B1">
        <w:t>пациентам</w:t>
      </w:r>
      <w:r w:rsidRPr="005327B1">
        <w:t xml:space="preserve"> </w:t>
      </w:r>
      <w:r>
        <w:t xml:space="preserve">с </w:t>
      </w:r>
      <w:r>
        <w:rPr>
          <w:lang w:val="en-US"/>
        </w:rPr>
        <w:t>Ph</w:t>
      </w:r>
      <w:r>
        <w:t xml:space="preserve">-негативным ОЛЛ в возрасте моложе 55 лет </w:t>
      </w:r>
      <w:r w:rsidRPr="0013685E">
        <w:t>выполн</w:t>
      </w:r>
      <w:r>
        <w:t>ять терапию по</w:t>
      </w:r>
      <w:r w:rsidRPr="0013685E">
        <w:t xml:space="preserve"> протокол</w:t>
      </w:r>
      <w:r>
        <w:t>у</w:t>
      </w:r>
      <w:r w:rsidRPr="0013685E">
        <w:t xml:space="preserve"> ОЛЛ-</w:t>
      </w:r>
      <w:r w:rsidRPr="009F500F">
        <w:t>2009</w:t>
      </w:r>
      <w:r w:rsidR="00AF0D22" w:rsidRPr="009F500F">
        <w:t xml:space="preserve"> или ОЛЛ-2016</w:t>
      </w:r>
      <w:r w:rsidR="005A172A" w:rsidRPr="009F500F">
        <w:t xml:space="preserve"> </w:t>
      </w:r>
      <w:r w:rsidR="005A172A">
        <w:t>(см. п</w:t>
      </w:r>
      <w:r>
        <w:t xml:space="preserve">риложение </w:t>
      </w:r>
      <w:r w:rsidR="00110732">
        <w:t>А3.1</w:t>
      </w:r>
      <w:r>
        <w:t>)</w:t>
      </w:r>
      <w:r w:rsidR="003232D3">
        <w:t xml:space="preserve"> </w:t>
      </w:r>
      <w:r w:rsidR="00C40D21">
        <w:fldChar w:fldCharType="begin" w:fldLock="1"/>
      </w:r>
      <w:r w:rsidR="002466C9">
        <w:instrText>ADDIN CSL_CITATION {"citationItems":[{"id":"ITEM-1","itemData":{"author":[{"dropping-particle":"","family":"Паровичникова","given":"Е. Н.","non-dropping-particle":"","parse-names":false,"suffix":""},{"dropping-particle":"","family":"Соколов","given":"А. Н.","non-dropping-particle":"","parse-names":false,"suffix":""},{"dropping-particle":"","family":"Троицкая","given":"В. В.","non-dropping-particle":"","parse-names":false,"suffix":""},{"dropping-particle":"","family":"Клясова","given":"Г. А.","non-dropping-particle":"","parse-names":false,"suffix":""},{"dropping-particle":"","family":"Русинов","given":"М. А.","non-dropping-particle":"","parse-names":false,"suffix":""},{"dropping-particle":"","family":"Ахмерзаева","given":"З. Х.","non-dropping-particle":"","parse-names":false,"suffix":""},{"dropping-particle":"","family":"Кузьмина","given":"Л. А.","non-dropping-particle":"","parse-names":false,"suffix":""},{"dropping-particle":"","family":"Бондаренко","given":"С. Н.","non-dropping-particle":"","parse-names":false,"suffix":""},{"dropping-particle":"","family":"Баранова","given":"О. Ю.","non-dropping-particle":"","parse-names":false,"suffix":""},{"dropping-particle":"","family":"Капорская","given":"Т. С.","non-dropping-particle":"","parse-names":false,"suffix":""},{"dropping-particle":"","family":"Зотина","given":"Е. Н.","non-dropping-particle":"","parse-names":false,"suffix":""},{"dropping-particle":"","family":"Зинина","given":"Е. Е.","non-dropping-particle":"","parse-names":false,"suffix":""},{"dropping-particle":"","family":"Самойлова","given":"О. С.","non-dropping-particle":"","parse-names":false,"suffix":""},{"dropping-particle":"","family":"Гаврилова","given":"Л. В.","non-dropping-particle":"","parse-names":false,"suffix":""},{"dropping-particle":"","family":"Капланов","given":"К. Д.","non-dropping-particle":"","parse-names":false,"suffix":""},{"dropping-particle":"","family":"Константинова","given":"Т. С.","non-dropping-particle":"","parse-names":false,"suffix":""},{"dropping-particle":"","family":"Лапин","given":"В. А.","non-dropping-particle":"","parse-names":false,"suffix":""},{"dropping-particle":"","family":"Кравченко","given":"С. К.","non-dropping-particle":"","parse-names":false,"suffix":""},{"dropping-particle":"","family":"Грибанова","given":"Е. О.","non-dropping-particle":"","parse-names":false,"suffix":""},{"dropping-particle":"","family":"Звонков","given":"Е. Е.","non-dropping-particle":"","parse-names":false,"suffix":""},{"dropping-particle":"","family":"Гаврилина","given":"О. А.","non-dropping-particle":"","parse-names":false,"suffix":""},{"dropping-particle":"","family":"Басхаева","given":"Г. А.","non-dropping-particle":"","parse-names":false,"suffix":""},{"dropping-particle":"","family":"Галстян","given":"Г. М.","non-dropping-particle":"","parse-names":false,"suffix":""},{"dropping-particle":"","family":"Обухова","given":"Т. Н.","non-dropping-particle":"","parse-names":false,"suffix":""},{"dropping-particle":"","family":"Гальцева","given":"И. В.","non-dropping-particle":"","parse-names":false,"suffix":""},{"dropping-particle":"","family":"Куликов","given":"С. М.","non-dropping-particle":"","parse-names":false,"suffix":""},{"dropping-particle":"","family":"Савченко","given":"В. Г.","non-dropping-particle":"","parse-names":false,"suffix":""}],"container-title":"Терапевтический архив","id":"ITEM-1","issue":"7","issued":{"date-parts":[["2016"]]},"page":"15-24","title":"Острые Ph-негативные лимфобластные лейкозы взрослых: факторы риска при использовании протокола ОЛЛ-2009","type":"article-journal","volume":"88"},"uris":["http://www.mendeley.com/documents/?uuid=d6ffd749-eb80-4bcb-9819-7bd025632cb5"]}],"mendeley":{"formattedCitation":"[66]","plainTextFormattedCitation":"[66]","previouslyFormattedCitation":"[66]"},"properties":{"noteIndex":0},"schema":"https://github.com/citation-style-language/schema/raw/master/csl-citation.json"}</w:instrText>
      </w:r>
      <w:r w:rsidR="00C40D21">
        <w:fldChar w:fldCharType="separate"/>
      </w:r>
      <w:r w:rsidR="00A66456" w:rsidRPr="00A66456">
        <w:rPr>
          <w:noProof/>
        </w:rPr>
        <w:t>[66]</w:t>
      </w:r>
      <w:r w:rsidR="00C40D21">
        <w:fldChar w:fldCharType="end"/>
      </w:r>
      <w:r w:rsidR="00C40D21" w:rsidRPr="00E91307">
        <w:t>.</w:t>
      </w:r>
    </w:p>
    <w:p w14:paraId="4E7359E9" w14:textId="77777777" w:rsidR="00254823" w:rsidRPr="00E91307" w:rsidRDefault="00254823" w:rsidP="005327B1">
      <w:pPr>
        <w:ind w:firstLine="709"/>
        <w:contextualSpacing/>
      </w:pPr>
      <w:r w:rsidRPr="00E91307">
        <w:rPr>
          <w:b/>
          <w:color w:val="000000"/>
        </w:rPr>
        <w:t>Урове</w:t>
      </w:r>
      <w:r>
        <w:rPr>
          <w:b/>
          <w:color w:val="000000"/>
        </w:rPr>
        <w:t xml:space="preserve">нь убедительности рекомендаций </w:t>
      </w:r>
      <w:r w:rsidR="00C23E7E">
        <w:rPr>
          <w:b/>
          <w:color w:val="000000"/>
        </w:rPr>
        <w:t xml:space="preserve">– </w:t>
      </w:r>
      <w:r w:rsidR="009714E0">
        <w:rPr>
          <w:b/>
          <w:color w:val="000000"/>
          <w:lang w:val="en-US"/>
        </w:rPr>
        <w:t>C</w:t>
      </w:r>
      <w:r w:rsidRPr="00E91307">
        <w:rPr>
          <w:b/>
          <w:color w:val="000000"/>
        </w:rPr>
        <w:t xml:space="preserve"> (уровень </w:t>
      </w:r>
      <w:r>
        <w:rPr>
          <w:b/>
          <w:color w:val="000000"/>
        </w:rPr>
        <w:t xml:space="preserve">достоверности доказательств – </w:t>
      </w:r>
      <w:r w:rsidR="009714E0">
        <w:rPr>
          <w:b/>
          <w:color w:val="000000"/>
        </w:rPr>
        <w:t>4</w:t>
      </w:r>
      <w:r w:rsidR="005327B1">
        <w:rPr>
          <w:b/>
          <w:color w:val="000000"/>
        </w:rPr>
        <w:t>)</w:t>
      </w:r>
      <w:r w:rsidR="00C23E7E">
        <w:rPr>
          <w:b/>
          <w:color w:val="000000"/>
        </w:rPr>
        <w:t>.</w:t>
      </w:r>
    </w:p>
    <w:p w14:paraId="3A4D186F" w14:textId="6CB08095" w:rsidR="00254823" w:rsidRDefault="00254823" w:rsidP="00FF4C81">
      <w:pPr>
        <w:numPr>
          <w:ilvl w:val="0"/>
          <w:numId w:val="19"/>
        </w:numPr>
      </w:pPr>
      <w:r w:rsidRPr="00E91307">
        <w:rPr>
          <w:b/>
        </w:rPr>
        <w:t>Рекомендуется</w:t>
      </w:r>
      <w:r w:rsidRPr="00E91307">
        <w:t xml:space="preserve"> в качестве альтернативы для молодых </w:t>
      </w:r>
      <w:r>
        <w:t>пациентов</w:t>
      </w:r>
      <w:r w:rsidR="00A12C9B">
        <w:t xml:space="preserve"> в возрасте до 30 лет протокол р</w:t>
      </w:r>
      <w:r>
        <w:t>осси</w:t>
      </w:r>
      <w:r w:rsidRPr="00E91307">
        <w:t xml:space="preserve">йской педиатрической группы по лечению </w:t>
      </w:r>
      <w:r w:rsidRPr="009F500F">
        <w:t xml:space="preserve">ОЛЛ – </w:t>
      </w:r>
      <w:r w:rsidR="00AF0D22" w:rsidRPr="009F500F">
        <w:t>МВ-2015</w:t>
      </w:r>
      <w:r w:rsidR="00415AEF" w:rsidRPr="009F500F">
        <w:t xml:space="preserve"> или </w:t>
      </w:r>
      <w:r w:rsidR="00415AEF" w:rsidRPr="009F500F">
        <w:rPr>
          <w:lang w:val="en-US"/>
        </w:rPr>
        <w:t>ALL</w:t>
      </w:r>
      <w:r w:rsidR="00415AEF" w:rsidRPr="009F500F">
        <w:t xml:space="preserve"> </w:t>
      </w:r>
      <w:r w:rsidR="00415AEF" w:rsidRPr="009F500F">
        <w:rPr>
          <w:lang w:val="en-US"/>
        </w:rPr>
        <w:t>IC</w:t>
      </w:r>
      <w:r w:rsidR="00415AEF" w:rsidRPr="009F500F">
        <w:t>-</w:t>
      </w:r>
      <w:r w:rsidR="00415AEF" w:rsidRPr="009F500F">
        <w:rPr>
          <w:lang w:val="en-US"/>
        </w:rPr>
        <w:t>BFM</w:t>
      </w:r>
      <w:r w:rsidR="00415AEF" w:rsidRPr="009F500F">
        <w:t xml:space="preserve"> 2002</w:t>
      </w:r>
      <w:r w:rsidR="005A172A" w:rsidRPr="009F500F">
        <w:t xml:space="preserve"> </w:t>
      </w:r>
      <w:r w:rsidR="00415AEF" w:rsidRPr="009F500F">
        <w:t xml:space="preserve">(см. КР ОЛЛ дети 2020 </w:t>
      </w:r>
      <w:r w:rsidR="00415AEF" w:rsidRPr="009F500F">
        <w:rPr>
          <w:lang w:val="en-US"/>
        </w:rPr>
        <w:t>ID</w:t>
      </w:r>
      <w:r w:rsidR="00415AEF" w:rsidRPr="009F500F">
        <w:t>529</w:t>
      </w:r>
      <w:r w:rsidRPr="009F500F">
        <w:t>)</w:t>
      </w:r>
      <w:r w:rsidR="00C40D21" w:rsidRPr="009F500F">
        <w:t xml:space="preserve"> </w:t>
      </w:r>
      <w:r w:rsidR="00C40D21" w:rsidRPr="00415AEF">
        <w:rPr>
          <w:color w:val="FF0000"/>
        </w:rPr>
        <w:t xml:space="preserve"> </w:t>
      </w:r>
      <w:r w:rsidR="00C40D21">
        <w:fldChar w:fldCharType="begin" w:fldLock="1"/>
      </w:r>
      <w:r w:rsidR="002466C9">
        <w:instrText>ADDIN CSL_CITATION {"citationItems":[{"id":"ITEM-1","itemData":{"author":[{"dropping-particle":"","family":"Пшонкин","given":"А.В.","non-dropping-particle":"","parse-names":false,"suffix":""},{"dropping-particle":"","family":"Румянцева","given":"Ю.В.","non-dropping-particle":"","parse-names":false,"suffix":""},{"dropping-particle":"","family":"Литвинов","given":"Д.В.","non-dropping-particle":"","parse-names":false,"suffix":""},{"dropping-particle":"","family":"Карелин","given":"А.Ф.","non-dropping-particle":"","parse-names":false,"suffix":""},{"dropping-particle":"","family":"Бойченко","given":"Э.Г.","non-dropping-particle":"","parse-names":false,"suffix":""},{"dropping-particle":"","family":"Лагойко","given":"С.Н.","non-dropping-particle":"","parse-names":false,"suffix":""},{"dropping-particle":"","family":"Быданов","given":"О.И.","non-dropping-particle":"","parse-names":false,"suffix":""},{"dropping-particle":"","family":"Жарикова","given":"Л.И.","non-dropping-particle":"","parse-names":false,"suffix":""},{"dropping-particle":"","family":"Алейникова","given":"О.В.","non-dropping-particle":"","parse-names":false,"suffix":""},{"dropping-particle":"","family":"Тютикова","given":"Е.С.","non-dropping-particle":"","parse-names":false,"suffix":""},{"dropping-particle":"","family":"Дигоева","given":"М.А.","non-dropping-particle":"","parse-names":false,"suffix":""},{"dropping-particle":"","family":"Аракаев","given":"О.Р.","non-dropping-particle":"","parse-names":false,"suffix":""},{"dropping-particle":"","family":"Стренева","given":"О.В.","non-dropping-particle":"","parse-names":false,"suffix":""},{"dropping-particle":"","family":"Шамардина","given":"А.В.","non-dropping-particle":"","parse-names":false,"suffix":""},{"dropping-particle":"","family":"Шарапова","given":"Г.Р.","non-dropping-particle":"","parse-names":false,"suffix":""},{"dropping-particle":"","family":"Мякова","given":"Н.В.","non-dropping-particle":"","parse-names":false,"suffix":""},{"dropping-particle":"","family":"Пономарева","given":"Н.И.","non-dropping-particle":"","parse-names":false,"suffix":""},{"dropping-particle":"","family":"Хачатрян","given":"Л.А.","non-dropping-particle":"","parse-names":false,"suffix":""},{"dropping-particle":"","family":"Кондратчик","given":"К.Л.","non-dropping-particle":"","parse-names":false,"suffix":""},{"dropping-particle":"","family":"Мансурова","given":"Е.Г.","non-dropping-particle":"","parse-names":false,"suffix":""},{"dropping-particle":"","family":"Минкина","given":"Л.М.","non-dropping-particle":"","parse-names":false,"suffix":""},{"dropping-particle":"","family":"Ольшанская","given":"Ю.В.","non-dropping-particle":"","parse-names":false,"suffix":""},{"dropping-particle":"","family":"Юдина","given":"Н.Б.","non-dropping-particle":"","parse-names":false,"suffix":""},{"dropping-particle":"","family":"Гербек","given":"И.Э.","non-dropping-particle":"","parse-names":false,"suffix":""},{"dropping-particle":"","family":"Шапочник","given":"А.П.","non-dropping-particle":"","parse-names":false,"suffix":""},{"dropping-particle":"","family":"Карачунский","given":"А.И.","non-dropping-particle":"","parse-names":false,"suffix":""}],"container-title":"Российский журнал детской гематологии и онкологии","id":"ITEM-1","issue":"1","issued":{"date-parts":[["2016"]]},"page":"35-43","title":"Лечение острого лимфобластного лейкоза у подростков и молодых взрослых: опыт Москва–Берлин.","type":"article-journal","volume":"3"},"uris":["http://www.mendeley.com/documents/?uuid=b76c2947-2dd0-463c-a2df-d73b173ec793"]}],"mendeley":{"formattedCitation":"[74]","plainTextFormattedCitation":"[74]","previouslyFormattedCitation":"[74]"},"properties":{"noteIndex":0},"schema":"https://github.com/citation-style-language/schema/raw/master/csl-citation.json"}</w:instrText>
      </w:r>
      <w:r w:rsidR="00C40D21">
        <w:fldChar w:fldCharType="separate"/>
      </w:r>
      <w:r w:rsidR="00A66456" w:rsidRPr="00A66456">
        <w:rPr>
          <w:noProof/>
        </w:rPr>
        <w:t>[74]</w:t>
      </w:r>
      <w:r w:rsidR="00C40D21">
        <w:fldChar w:fldCharType="end"/>
      </w:r>
      <w:r w:rsidR="00C40D21" w:rsidRPr="00E91307">
        <w:t>.</w:t>
      </w:r>
      <w:r w:rsidR="00C40D21" w:rsidRPr="00E91307">
        <w:rPr>
          <w:b/>
          <w:color w:val="000000"/>
        </w:rPr>
        <w:t xml:space="preserve"> </w:t>
      </w:r>
      <w:r w:rsidR="00C23E7E">
        <w:t xml:space="preserve"> </w:t>
      </w:r>
    </w:p>
    <w:p w14:paraId="3AAF3D88" w14:textId="77777777" w:rsidR="00254823" w:rsidRPr="00E91307" w:rsidRDefault="00254823" w:rsidP="005327B1">
      <w:pPr>
        <w:ind w:firstLine="709"/>
      </w:pPr>
      <w:r w:rsidRPr="00E91307">
        <w:rPr>
          <w:b/>
          <w:color w:val="000000"/>
        </w:rPr>
        <w:t>Урове</w:t>
      </w:r>
      <w:r>
        <w:rPr>
          <w:b/>
          <w:color w:val="000000"/>
        </w:rPr>
        <w:t xml:space="preserve">нь убедительности рекомендаций </w:t>
      </w:r>
      <w:r w:rsidR="00C23E7E">
        <w:rPr>
          <w:b/>
          <w:color w:val="000000"/>
        </w:rPr>
        <w:t xml:space="preserve">– </w:t>
      </w:r>
      <w:r w:rsidRPr="005E1583">
        <w:rPr>
          <w:b/>
          <w:color w:val="000000"/>
        </w:rPr>
        <w:t>В</w:t>
      </w:r>
      <w:r w:rsidRPr="00E91307">
        <w:rPr>
          <w:b/>
          <w:color w:val="000000"/>
        </w:rPr>
        <w:t xml:space="preserve"> (уровень </w:t>
      </w:r>
      <w:r>
        <w:rPr>
          <w:b/>
          <w:color w:val="000000"/>
        </w:rPr>
        <w:t xml:space="preserve">достоверности доказательств – </w:t>
      </w:r>
      <w:r w:rsidR="009714E0" w:rsidRPr="00C41548">
        <w:rPr>
          <w:b/>
          <w:color w:val="000000"/>
        </w:rPr>
        <w:t>3</w:t>
      </w:r>
      <w:r w:rsidR="005327B1">
        <w:rPr>
          <w:b/>
          <w:color w:val="000000"/>
        </w:rPr>
        <w:t>)</w:t>
      </w:r>
      <w:r w:rsidR="00C23E7E">
        <w:rPr>
          <w:b/>
          <w:color w:val="000000"/>
        </w:rPr>
        <w:t>.</w:t>
      </w:r>
    </w:p>
    <w:p w14:paraId="6FD850C3" w14:textId="5486AE49" w:rsidR="00254823" w:rsidRPr="00A76769" w:rsidRDefault="00254823" w:rsidP="00FF4C81">
      <w:pPr>
        <w:numPr>
          <w:ilvl w:val="0"/>
          <w:numId w:val="19"/>
        </w:numPr>
        <w:rPr>
          <w:b/>
          <w:color w:val="000000"/>
        </w:rPr>
      </w:pPr>
      <w:r w:rsidRPr="00E91307">
        <w:rPr>
          <w:b/>
        </w:rPr>
        <w:t>Рекомендуется</w:t>
      </w:r>
      <w:r w:rsidRPr="00E91307">
        <w:t xml:space="preserve"> в качестве альтернативы</w:t>
      </w:r>
      <w:r w:rsidR="005327B1">
        <w:t xml:space="preserve"> протоколу ОЛЛ-2009</w:t>
      </w:r>
      <w:r w:rsidR="00415AEF" w:rsidRPr="00415AEF">
        <w:t xml:space="preserve"> </w:t>
      </w:r>
      <w:r w:rsidR="00415AEF" w:rsidRPr="005050B4">
        <w:t>или ОЛЛ-2016</w:t>
      </w:r>
      <w:r w:rsidR="005327B1" w:rsidRPr="005050B4">
        <w:t xml:space="preserve"> </w:t>
      </w:r>
      <w:r w:rsidR="005327B1">
        <w:t xml:space="preserve">применение </w:t>
      </w:r>
      <w:r w:rsidRPr="00E91307">
        <w:t>программ лечения немецких (</w:t>
      </w:r>
      <w:r w:rsidRPr="00E91307">
        <w:rPr>
          <w:lang w:val="en-US"/>
        </w:rPr>
        <w:t>GMALL</w:t>
      </w:r>
      <w:r w:rsidRPr="00E91307">
        <w:t>), французских (</w:t>
      </w:r>
      <w:r w:rsidRPr="00E91307">
        <w:rPr>
          <w:lang w:val="en-US"/>
        </w:rPr>
        <w:t>GRAAL</w:t>
      </w:r>
      <w:r w:rsidRPr="00E91307">
        <w:t>) и американских</w:t>
      </w:r>
      <w:r w:rsidR="00767EEF">
        <w:t xml:space="preserve"> </w:t>
      </w:r>
      <w:r w:rsidR="00767EEF" w:rsidRPr="00E91307">
        <w:t>(</w:t>
      </w:r>
      <w:r w:rsidR="00767EEF" w:rsidRPr="00E91307">
        <w:rPr>
          <w:lang w:val="en-US"/>
        </w:rPr>
        <w:t>MD</w:t>
      </w:r>
      <w:r w:rsidR="00E13058">
        <w:t xml:space="preserve"> </w:t>
      </w:r>
      <w:r w:rsidR="00767EEF" w:rsidRPr="00E91307">
        <w:rPr>
          <w:lang w:val="en-US"/>
        </w:rPr>
        <w:t>Anderson</w:t>
      </w:r>
      <w:r w:rsidR="00E13058">
        <w:t xml:space="preserve"> </w:t>
      </w:r>
      <w:r w:rsidR="00767EEF" w:rsidRPr="00E91307">
        <w:rPr>
          <w:lang w:val="en-US"/>
        </w:rPr>
        <w:t>CRC</w:t>
      </w:r>
      <w:r w:rsidR="00767EEF" w:rsidRPr="00E91307">
        <w:t xml:space="preserve">) </w:t>
      </w:r>
      <w:r w:rsidR="00274558" w:rsidRPr="00E91307">
        <w:t xml:space="preserve">исследователей </w:t>
      </w:r>
      <w:r w:rsidRPr="00E91307">
        <w:t>(программ</w:t>
      </w:r>
      <w:r w:rsidR="005A172A">
        <w:t>ы терапии приведены в п</w:t>
      </w:r>
      <w:r>
        <w:t xml:space="preserve">риложении </w:t>
      </w:r>
      <w:r w:rsidR="00110732">
        <w:t>А3.1</w:t>
      </w:r>
      <w:r w:rsidRPr="00E91307">
        <w:t>)</w:t>
      </w:r>
      <w:r w:rsidR="00C40D21" w:rsidRPr="00C41548">
        <w:t xml:space="preserve"> </w:t>
      </w:r>
      <w:r w:rsidR="00C40D21">
        <w:fldChar w:fldCharType="begin" w:fldLock="1"/>
      </w:r>
      <w:r w:rsidR="002466C9">
        <w:instrText>ADDIN CSL_CITATION {"citationItems":[{"id":"ITEM-1","itemData":{"ISSN":"1520-4391","PMID":"12446423","abstract":"This is a comprehensive overview on the most recent developments in diagnosis and treatment of acute lymphoblastic leukemia (ALL). Dr. Dieter Hoelzer and colleagues give an overview of current chemotherapy approaches, prognostic factors, risk stratification, and new treatment options such as tyrosine kinase inhibitors and monoclonal antibodies. Furthermore the role of minimal residual disease (MRD) for individual treatment decisions in prospective clinical studies in adult ALL is reviewed. Drs. Ching-Hon Pui and Mary Relling discuss late treatment sequelae in childhood ALL. The relation between the risk of second cancer and treatment schedule, pharmacogenetics, and gene expression profile studies is described. Also pathogenesis, risk factors, and management of other complications such as endocrinopathy, bone demineralization, obesity, and avascular necrosis of bone is reviewed. Dr. Fred Appelbaum addresses long-term results, late sequelae and quality of life in ALL patients after stem cell transplantation. New options for reduction of relapse risk, e.g., by intensified conditioning regimens or donor lymphocyte infusions, for reduction of mortality and new approaches such as nonmyeloablative transplantation in ALL are discussed. Drs. Jacques van Dongen and Tomasz Szczepanski demonstrate the prognostic value of MRD detection via flow cytometry or PCR analysis in childhood ALL. They discuss the relation between MRD results and type of treatment protocol, timing of the follow-up samples, and the applied technique and underline the importance of standardization and quality control. They also review MRD-based risk group definition and clinical consequences.","author":[{"dropping-particle":"","family":"Hoelzer","given":"Dieter","non-dropping-particle":"","parse-names":false,"suffix":""},{"dropping-particle":"","family":"Gökbuget","given":"Nicola","non-dropping-particle":"","parse-names":false,"suffix":""},{"dropping-particle":"","family":"Ottmann","given":"Oliver","non-dropping-particle":"","parse-names":false,"suffix":""},{"dropping-particle":"","family":"Pui","given":"Ching-Hon","non-dropping-particle":"","parse-names":false,"suffix":""},{"dropping-particle":"V","family":"Relling","given":"Mary","non-dropping-particle":"","parse-names":false,"suffix":""},{"dropping-particle":"","family":"Appelbaum","given":"Frederick R","non-dropping-particle":"","parse-names":false,"suffix":""},{"dropping-particle":"","family":"Dongen","given":"Jacques J M","non-dropping-particle":"van","parse-names":false,"suffix":""},{"dropping-particle":"","family":"Szczepański","given":"Tomasz","non-dropping-particle":"","parse-names":false,"suffix":""}],"container-title":"Hematology. American Society of Hematology. Education Program","id":"ITEM-1","issued":{"date-parts":[["2002"]]},"page":"162-92","title":"Acute lymphoblastic leukemia.","type":"article-journal"},"uris":["http://www.mendeley.com/documents/?uuid=7755ba11-36ce-3d39-adf4-d29461c6663e"]},{"id":"ITEM-2","itemData":{"DOI":"10.1200/JCO.2008.18.6916","ISSN":"0732183X","abstract":"Purpose Retrospective comparisons have suggested that adolescents or teenagers with acute lymphoblastic leukemia (ALL) benefit from pediatric rather than adult chemotherapy regimens. Thus, the aim of the present phase II study was to test a pediatric-inspired treatment, including intensified doses of nonmyelotoxic drugs, such as prednisone, vincristine, or L-asparaginase, in adult patients with ALL up to the age of 60 years. Patients and Methods Between 2003 and 2005, 225 adult patients (median age, 31 years; range, 15 to 60 years) with Philadelphia chromosome-negative ALL were enrolled onto the Group for Research on Adult Acute Lymphoblastic Leukemia 2003 protocol, which included several pediatric options. Some adult options, such as allogeneic stem-cell transplantation for patients with high-risk ALL, were nevertheless retained. Results were retrospectively compared with the historical France-Belgium Group for Lymphoblastic Acute Leukemia in Adults 94 (LALA-94) trial experience in 712 patients age 15 to 55 years. Results Complete remission rate was 93.5%. At 42 months, event-free survival (EFS) and overall survival (OS) rates were 55% (95% CI, 48% to 52%) and 60% (95% CI, 53% to 66%), respectively. Age remained an important bad prognostic factor, with 45 years of age as best cutoff. In older versus younger patients, there was a higher cumulative incidence of chemotherapy-related deaths (23% v 5%, respectively; P  &lt;  .001) and deaths in first CR (22% 5%, respectively; P  &lt;  .001), whereas the incidence of relapse remained stable (30% v 32%, respectively). Complete remission rate (P = .02), EFS (P  &lt;  .001), and OS (P  &lt;  .001) compared favorably with the previous LALA- 94 experience. Conclusion These results suggest that pediatric-inspired therapy markedly improves the outcome of adult patients with ALL, at least until the age of 45 years. © 2009 by American Society of Clinical Oncology.","author":[{"dropping-particle":"","family":"Huguet","given":"Franģoise","non-dropping-particle":"","parse-names":false,"suffix":""},{"dropping-particle":"","family":"Leguay","given":"Thibaut","non-dropping-particle":"","parse-names":false,"suffix":""},{"dropping-particle":"","family":"Raffoux","given":"Emmanuel","non-dropping-particle":"","parse-names":false,"suffix":""},{"dropping-particle":"","family":"Thomas","given":"Xavier","non-dropping-particle":"","parse-names":false,"suffix":""},{"dropping-particle":"","family":"Beldjord","given":"Kheira","non-dropping-particle":"","parse-names":false,"suffix":""},{"dropping-particle":"","family":"Delabesse","given":"Eric","non-dropping-particle":"","parse-names":false,"suffix":""},{"dropping-particle":"","family":"Chevallier","given":"Patrice","non-dropping-particle":"","parse-names":false,"suffix":""},{"dropping-particle":"","family":"Buzyn","given":"Agnes","non-dropping-particle":"","parse-names":false,"suffix":""},{"dropping-particle":"","family":"Delannoy","given":"André","non-dropping-particle":"","parse-names":false,"suffix":""},{"dropping-particle":"","family":"Chalandon","given":"Yves","non-dropping-particle":"","parse-names":false,"suffix":""},{"dropping-particle":"","family":"Vernant","given":"Jean Paul","non-dropping-particle":"","parse-names":false,"suffix":""},{"dropping-particle":"","family":"Lafage-Pochitaloff","given":"Marina","non-dropping-particle":"","parse-names":false,"suffix":""},{"dropping-particle":"","family":"Chassevent","given":"Agnès","non-dropping-particle":"","parse-names":false,"suffix":""},{"dropping-particle":"","family":"Lhéritier","given":"Véronique","non-dropping-particle":"","parse-names":false,"suffix":""},{"dropping-particle":"","family":"Macintyre","given":"Elizabeth","non-dropping-particle":"","parse-names":false,"suffix":""},{"dropping-particle":"","family":"Béné","given":"Marie Christine","non-dropping-particle":"","parse-names":false,"suffix":""},{"dropping-particle":"","family":"Ifrah","given":"Norbert","non-dropping-particle":"","parse-names":false,"suffix":""},{"dropping-particle":"","family":"Dombret","given":"Hervé","non-dropping-particle":"","parse-names":false,"suffix":""}],"container-title":"Journal of Clinical Oncology","id":"ITEM-2","issue":"6","issued":{"date-parts":[["2009","2","20"]]},"page":"911-918","title":"Pediatric-inspired therapy in adults with philadelphia chromosome-negative acute lymphoblastic leukemia: The GRAALL-2003 study","type":"article-journal","volume":"27"},"uris":["http://www.mendeley.com/documents/?uuid=e37d607a-45e1-3b96-89ff-aaa1fa27423f"]},{"id":"ITEM-3","itemData":{"DOI":"10.1007/978-3-540-72304-2_13","author":[{"dropping-particle":"","family":"Gökbuget","given":"Nicola","non-dropping-particle":"","parse-names":false,"suffix":""},{"dropping-particle":"","family":"Arnold","given":"Renate","non-dropping-particle":"","parse-names":false,"suffix":""},{"dropping-particle":"","family":"Böhme","given":"Angelika","non-dropping-particle":"","parse-names":false,"suffix":""},{"dropping-particle":"","family":"Fietkau","given":"Rainer","non-dropping-particle":"","parse-names":false,"suffix":""},{"dropping-particle":"","family":"Freund","given":"Matthias","non-dropping-particle":"","parse-names":false,"suffix":""},{"dropping-particle":"","family":"Ganser","given":"Arnold","non-dropping-particle":"","parse-names":false,"suffix":""},{"dropping-particle":"","family":"Kneba","given":"Michael","non-dropping-particle":"","parse-names":false,"suffix":""},{"dropping-particle":"","family":"Lipp","given":"Thomas","non-dropping-particle":"","parse-names":false,"suffix":""},{"dropping-particle":"","family":"Ludwig","given":"Wolf-Dieter","non-dropping-particle":"","parse-names":false,"suffix":""},{"dropping-particle":"","family":"Maschmeyer","given":"Georg","non-dropping-particle":"","parse-names":false,"suffix":""},{"dropping-particle":"","family":"Messerer","given":"Dorle","non-dropping-particle":"","parse-names":false,"suffix":""},{"dropping-particle":"","family":"Rieder","given":"Harald","non-dropping-particle":"","parse-names":false,"suffix":""},{"dropping-particle":"","family":"Thiel","given":"Eckhard","non-dropping-particle":"","parse-names":false,"suffix":""},{"dropping-particle":"","family":"Hoelzer","given":"Dieter","non-dropping-particle":"","parse-names":false,"suffix":""}],"container-title":"Acute Leukemias","id":"ITEM-3","issued":{"date-parts":[["2007","11","20"]]},"page":"167-176","publisher":"Springer Berlin Heidelberg","title":"Treatment of Adult ALL According to Protocols of the German Multicenter Study Group for Adult ALL (GMALL)","type":"chapter"},"uris":["http://www.mendeley.com/documents/?uuid=041dd834-7e53-39ef-81de-3316191c9bb1"]},{"id":"ITEM-4","itemData":{"container-title":"The University of Texas MD Anderson Cancer Center","id":"ITEM-4","issued":{"date-parts":[["2019"]]},"title":"Acute Lymphoblastic Leukemia and Lymphoblastic Page 1 of 8 Lymphoma (ALL) – Adult","type":"article"},"uris":["http://www.mendeley.com/documents/?uuid=693905a9-5b8e-36f0-a7b8-04d6e3b4779a"]}],"mendeley":{"formattedCitation":"[75–78]","plainTextFormattedCitation":"[75–78]","previouslyFormattedCitation":"[75–78]"},"properties":{"noteIndex":0},"schema":"https://github.com/citation-style-language/schema/raw/master/csl-citation.json"}</w:instrText>
      </w:r>
      <w:r w:rsidR="00C40D21">
        <w:fldChar w:fldCharType="separate"/>
      </w:r>
      <w:r w:rsidR="00A66456" w:rsidRPr="00A66456">
        <w:rPr>
          <w:noProof/>
        </w:rPr>
        <w:t>[75–78]</w:t>
      </w:r>
      <w:r w:rsidR="00C40D21">
        <w:fldChar w:fldCharType="end"/>
      </w:r>
      <w:r w:rsidR="00C40D21" w:rsidRPr="00E91307">
        <w:t>.</w:t>
      </w:r>
      <w:r w:rsidR="00C40D21" w:rsidRPr="00E91307">
        <w:rPr>
          <w:b/>
          <w:color w:val="000000"/>
        </w:rPr>
        <w:t xml:space="preserve"> </w:t>
      </w:r>
      <w:bookmarkStart w:id="111" w:name="_Toc426795073"/>
      <w:r w:rsidRPr="00E91307">
        <w:rPr>
          <w:b/>
          <w:color w:val="000000"/>
        </w:rPr>
        <w:t xml:space="preserve"> </w:t>
      </w:r>
    </w:p>
    <w:p w14:paraId="589F382F" w14:textId="77777777" w:rsidR="00254823" w:rsidRPr="00E91307" w:rsidRDefault="00254823" w:rsidP="005327B1">
      <w:pPr>
        <w:ind w:firstLine="709"/>
        <w:contextualSpacing/>
      </w:pPr>
      <w:r w:rsidRPr="00273471">
        <w:rPr>
          <w:b/>
          <w:color w:val="000000"/>
        </w:rPr>
        <w:t xml:space="preserve">Уровень убедительности рекомендаций </w:t>
      </w:r>
      <w:r w:rsidR="00C23E7E" w:rsidRPr="00273471">
        <w:rPr>
          <w:b/>
          <w:color w:val="000000"/>
        </w:rPr>
        <w:t xml:space="preserve">– </w:t>
      </w:r>
      <w:r w:rsidR="00A91416">
        <w:rPr>
          <w:b/>
          <w:color w:val="000000"/>
          <w:lang w:val="en-US"/>
        </w:rPr>
        <w:t>C</w:t>
      </w:r>
      <w:r w:rsidR="00A91416" w:rsidRPr="00273471">
        <w:rPr>
          <w:b/>
          <w:color w:val="000000"/>
        </w:rPr>
        <w:t xml:space="preserve"> </w:t>
      </w:r>
      <w:r w:rsidRPr="00273471">
        <w:rPr>
          <w:b/>
          <w:color w:val="000000"/>
        </w:rPr>
        <w:t xml:space="preserve">(уровень достоверности доказательств – </w:t>
      </w:r>
      <w:r w:rsidR="00A91416" w:rsidRPr="00A91416">
        <w:rPr>
          <w:b/>
          <w:color w:val="000000"/>
        </w:rPr>
        <w:t>5</w:t>
      </w:r>
      <w:r w:rsidR="005327B1" w:rsidRPr="00273471">
        <w:rPr>
          <w:b/>
          <w:color w:val="000000"/>
        </w:rPr>
        <w:t>)</w:t>
      </w:r>
      <w:r w:rsidR="00C23E7E" w:rsidRPr="00273471">
        <w:rPr>
          <w:b/>
          <w:color w:val="000000"/>
        </w:rPr>
        <w:t>.</w:t>
      </w:r>
    </w:p>
    <w:p w14:paraId="6F3B39EA" w14:textId="77777777" w:rsidR="00254823" w:rsidRPr="00C36EE0" w:rsidRDefault="00254823" w:rsidP="00FF4C81">
      <w:pPr>
        <w:numPr>
          <w:ilvl w:val="0"/>
          <w:numId w:val="19"/>
        </w:numPr>
        <w:rPr>
          <w:b/>
          <w:color w:val="000000"/>
        </w:rPr>
      </w:pPr>
      <w:r w:rsidRPr="00E91307">
        <w:rPr>
          <w:b/>
        </w:rPr>
        <w:t>Рекомендуется</w:t>
      </w:r>
      <w:r w:rsidRPr="00E91307">
        <w:t xml:space="preserve"> использовать факторы риска, определяющие стратегию терапии ОЛЛ, в зависимости от конкретного выбранного врачом протокола лечения</w:t>
      </w:r>
      <w:r w:rsidR="00677E22">
        <w:t xml:space="preserve"> (см. раздел 3.2 </w:t>
      </w:r>
      <w:r w:rsidR="00C23E7E">
        <w:t>«</w:t>
      </w:r>
      <w:r w:rsidR="00677E22">
        <w:t>Прогностические факторы эффективности лечения</w:t>
      </w:r>
      <w:r w:rsidR="00C23E7E">
        <w:t>»</w:t>
      </w:r>
      <w:r w:rsidR="00677E22">
        <w:t>)</w:t>
      </w:r>
      <w:r w:rsidR="00C40D21" w:rsidRPr="00A91416">
        <w:t xml:space="preserve"> </w:t>
      </w:r>
      <w:r w:rsidR="00A91416">
        <w:fldChar w:fldCharType="begin" w:fldLock="1"/>
      </w:r>
      <w:r w:rsidR="00A91416">
        <w:instrText>ADDIN CSL_CITATION {"citationItems":[{"id":"ITEM-1","itemData":{"id":"ITEM-1","issued":{"date-parts":[["2012"]]},"number-of-pages":"1056","title":"Программное лечение заболеваний системы крови: Сборник алгоритмов диагностики и протоколов лечения заболеваний системы крови. Под ред. В.Г. Савченко","type":"book"},"uris":["http://www.mendeley.com/documents/?uuid=36484a90-27ae-40a9-a194-b0461fb47d9d"]},{"id":"ITEM-2","itemData":{"author":[{"dropping-particle":"","family":"Савченко","given":"Валерий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доп.","id":"ITEM-2","issued":{"date-parts":[["2007"]]},"page":"409-502","title":"Острые лейкозы","type":"chapter"},"uris":["http://www.mendeley.com/documents/?uuid=08f85f58-ddaa-48eb-b937-65d15d14b213"]}],"mendeley":{"formattedCitation":"[1,2]","plainTextFormattedCitation":"[1,2]","previouslyFormattedCitation":"[1,2]"},"properties":{"noteIndex":0},"schema":"https://github.com/citation-style-language/schema/raw/master/csl-citation.json"}</w:instrText>
      </w:r>
      <w:r w:rsidR="00A91416">
        <w:fldChar w:fldCharType="separate"/>
      </w:r>
      <w:r w:rsidR="00A91416" w:rsidRPr="00113282">
        <w:rPr>
          <w:noProof/>
        </w:rPr>
        <w:t>[1,2]</w:t>
      </w:r>
      <w:r w:rsidR="00A91416">
        <w:fldChar w:fldCharType="end"/>
      </w:r>
      <w:r w:rsidR="00A91416" w:rsidRPr="00CE2586">
        <w:rPr>
          <w:color w:val="000000"/>
        </w:rPr>
        <w:t xml:space="preserve">. </w:t>
      </w:r>
      <w:r w:rsidR="00A91416" w:rsidRPr="00224E00">
        <w:rPr>
          <w:i/>
        </w:rPr>
        <w:t xml:space="preserve"> </w:t>
      </w:r>
    </w:p>
    <w:p w14:paraId="4E29B3DA" w14:textId="77777777" w:rsidR="00254823" w:rsidRPr="005E1583" w:rsidRDefault="00254823" w:rsidP="005327B1">
      <w:pPr>
        <w:ind w:firstLine="709"/>
        <w:rPr>
          <w:i/>
        </w:rPr>
      </w:pPr>
      <w:r w:rsidRPr="00E91307">
        <w:rPr>
          <w:b/>
          <w:color w:val="000000"/>
        </w:rPr>
        <w:t>Урове</w:t>
      </w:r>
      <w:r>
        <w:rPr>
          <w:b/>
          <w:color w:val="000000"/>
        </w:rPr>
        <w:t xml:space="preserve">нь убедительности рекомендаций </w:t>
      </w:r>
      <w:r w:rsidR="00C23E7E">
        <w:rPr>
          <w:b/>
          <w:color w:val="000000"/>
        </w:rPr>
        <w:t xml:space="preserve">– </w:t>
      </w:r>
      <w:r w:rsidR="00EB7D04">
        <w:rPr>
          <w:b/>
          <w:color w:val="000000"/>
        </w:rPr>
        <w:t>С</w:t>
      </w:r>
      <w:r w:rsidR="00EB7D04" w:rsidRPr="00E91307">
        <w:rPr>
          <w:b/>
          <w:color w:val="000000"/>
        </w:rPr>
        <w:t xml:space="preserve"> </w:t>
      </w:r>
      <w:r w:rsidRPr="00E91307">
        <w:rPr>
          <w:b/>
          <w:color w:val="000000"/>
        </w:rPr>
        <w:t xml:space="preserve">(уровень </w:t>
      </w:r>
      <w:r>
        <w:rPr>
          <w:b/>
          <w:color w:val="000000"/>
        </w:rPr>
        <w:t xml:space="preserve">достоверности доказательств – </w:t>
      </w:r>
      <w:r w:rsidR="00A91416" w:rsidRPr="00A91416">
        <w:rPr>
          <w:b/>
          <w:color w:val="000000"/>
        </w:rPr>
        <w:t>5</w:t>
      </w:r>
      <w:r w:rsidR="005327B1">
        <w:rPr>
          <w:b/>
          <w:color w:val="000000"/>
        </w:rPr>
        <w:t>)</w:t>
      </w:r>
      <w:r w:rsidR="00C23E7E">
        <w:rPr>
          <w:b/>
          <w:color w:val="000000"/>
        </w:rPr>
        <w:t>.</w:t>
      </w:r>
    </w:p>
    <w:p w14:paraId="30E59720" w14:textId="706B6C45" w:rsidR="00254823" w:rsidRPr="00E91307" w:rsidRDefault="00254823" w:rsidP="005327B1">
      <w:pPr>
        <w:ind w:firstLine="709"/>
      </w:pPr>
      <w:r>
        <w:rPr>
          <w:b/>
          <w:color w:val="000000"/>
        </w:rPr>
        <w:t xml:space="preserve">Комментарии: </w:t>
      </w:r>
      <w:r w:rsidR="00110732" w:rsidRPr="008F6CF0">
        <w:rPr>
          <w:i/>
        </w:rPr>
        <w:t xml:space="preserve">независимо </w:t>
      </w:r>
      <w:r w:rsidR="00C23E7E">
        <w:rPr>
          <w:i/>
        </w:rPr>
        <w:t>от выбранного протокола терапии</w:t>
      </w:r>
      <w:r w:rsidRPr="008F6CF0">
        <w:rPr>
          <w:i/>
        </w:rPr>
        <w:t xml:space="preserve"> </w:t>
      </w:r>
      <w:r w:rsidR="005327B1">
        <w:rPr>
          <w:i/>
        </w:rPr>
        <w:t>пациентов с</w:t>
      </w:r>
      <w:r w:rsidRPr="008F6CF0">
        <w:rPr>
          <w:i/>
        </w:rPr>
        <w:t xml:space="preserve"> ОЛЛ с </w:t>
      </w:r>
      <w:r w:rsidRPr="008F6CF0">
        <w:rPr>
          <w:i/>
          <w:lang w:val="en-US"/>
        </w:rPr>
        <w:t>t</w:t>
      </w:r>
      <w:r w:rsidRPr="008F6CF0">
        <w:rPr>
          <w:i/>
        </w:rPr>
        <w:t xml:space="preserve">(9;22), </w:t>
      </w:r>
      <w:r w:rsidRPr="008F6CF0">
        <w:rPr>
          <w:i/>
          <w:lang w:val="en-US"/>
        </w:rPr>
        <w:t>t</w:t>
      </w:r>
      <w:r w:rsidRPr="008F6CF0">
        <w:rPr>
          <w:i/>
        </w:rPr>
        <w:t>(4;11)</w:t>
      </w:r>
      <w:r w:rsidR="00AF0D22">
        <w:rPr>
          <w:i/>
        </w:rPr>
        <w:t xml:space="preserve">, </w:t>
      </w:r>
      <w:r w:rsidR="00AF0D22" w:rsidRPr="009F500F">
        <w:rPr>
          <w:i/>
          <w:lang w:val="en-US"/>
        </w:rPr>
        <w:t>ETP</w:t>
      </w:r>
      <w:r w:rsidR="00AF0D22" w:rsidRPr="009F500F">
        <w:rPr>
          <w:i/>
        </w:rPr>
        <w:t xml:space="preserve"> вариант</w:t>
      </w:r>
      <w:r w:rsidRPr="009F500F">
        <w:rPr>
          <w:i/>
        </w:rPr>
        <w:t xml:space="preserve"> </w:t>
      </w:r>
      <w:r w:rsidRPr="008F6CF0">
        <w:rPr>
          <w:i/>
        </w:rPr>
        <w:t>необходимо относить к группе очень высокого риска и у всех с самого начала рассматривать возможность выполнения алло</w:t>
      </w:r>
      <w:r w:rsidR="00274558">
        <w:rPr>
          <w:i/>
        </w:rPr>
        <w:t>-</w:t>
      </w:r>
      <w:r w:rsidR="00F33796">
        <w:rPr>
          <w:i/>
        </w:rPr>
        <w:t>ТГСК</w:t>
      </w:r>
      <w:r w:rsidRPr="008F6CF0">
        <w:rPr>
          <w:i/>
        </w:rPr>
        <w:t>.</w:t>
      </w:r>
    </w:p>
    <w:p w14:paraId="72E373CC" w14:textId="77777777" w:rsidR="00254823" w:rsidRDefault="00254823" w:rsidP="00FF4C81">
      <w:pPr>
        <w:numPr>
          <w:ilvl w:val="0"/>
          <w:numId w:val="19"/>
        </w:numPr>
        <w:shd w:val="clear" w:color="auto" w:fill="FFFFFF"/>
        <w:rPr>
          <w:b/>
          <w:color w:val="000000"/>
        </w:rPr>
      </w:pPr>
      <w:r w:rsidRPr="00E91307">
        <w:rPr>
          <w:b/>
        </w:rPr>
        <w:t>Рекомендуется</w:t>
      </w:r>
      <w:r w:rsidRPr="00E91307">
        <w:t xml:space="preserve"> при грубых нарушениях </w:t>
      </w:r>
      <w:r w:rsidRPr="00C23E7E">
        <w:rPr>
          <w:b/>
        </w:rPr>
        <w:t>любого</w:t>
      </w:r>
      <w:r w:rsidRPr="00E91307">
        <w:t xml:space="preserve"> протокола переводить </w:t>
      </w:r>
      <w:r w:rsidR="00EF50E6">
        <w:rPr>
          <w:szCs w:val="24"/>
        </w:rPr>
        <w:t>пациентов</w:t>
      </w:r>
      <w:r w:rsidRPr="00E91307">
        <w:t xml:space="preserve"> в группу очень высокого риска и принимать </w:t>
      </w:r>
      <w:r w:rsidR="00444E79">
        <w:t>решение о возможности выполнения</w:t>
      </w:r>
      <w:r w:rsidRPr="00E91307">
        <w:t xml:space="preserve"> алло</w:t>
      </w:r>
      <w:r w:rsidR="00274558">
        <w:t>-</w:t>
      </w:r>
      <w:r w:rsidR="00F33796">
        <w:t>ТГСК</w:t>
      </w:r>
      <w:r w:rsidR="00677E22">
        <w:t xml:space="preserve"> (см. раздел 3.2 </w:t>
      </w:r>
      <w:r w:rsidR="00444E79">
        <w:t>«</w:t>
      </w:r>
      <w:r w:rsidR="00677E22">
        <w:t>Прогностические факторы эффективности лечения</w:t>
      </w:r>
      <w:r w:rsidR="00444E79">
        <w:t>»</w:t>
      </w:r>
      <w:r w:rsidR="00677E22">
        <w:t>)</w:t>
      </w:r>
      <w:r w:rsidR="00A91416" w:rsidRPr="00A91416">
        <w:t xml:space="preserve"> </w:t>
      </w:r>
      <w:r w:rsidR="00A91416">
        <w:lastRenderedPageBreak/>
        <w:fldChar w:fldCharType="begin" w:fldLock="1"/>
      </w:r>
      <w:r w:rsidR="00A91416">
        <w:instrText>ADDIN CSL_CITATION {"citationItems":[{"id":"ITEM-1","itemData":{"id":"ITEM-1","issued":{"date-parts":[["2012"]]},"number-of-pages":"1056","title":"Программное лечение заболеваний системы крови: Сборник алгоритмов диагностики и протоколов лечения заболеваний системы крови. Под ред. В.Г. Савченко","type":"book"},"uris":["http://www.mendeley.com/documents/?uuid=36484a90-27ae-40a9-a194-b0461fb47d9d"]},{"id":"ITEM-2","itemData":{"author":[{"dropping-particle":"","family":"Савченко","given":"Валерий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доп.","id":"ITEM-2","issued":{"date-parts":[["2007"]]},"page":"409-502","title":"Острые лейкозы","type":"chapter"},"uris":["http://www.mendeley.com/documents/?uuid=08f85f58-ddaa-48eb-b937-65d15d14b213"]}],"mendeley":{"formattedCitation":"[1,2]","plainTextFormattedCitation":"[1,2]","previouslyFormattedCitation":"[1,2]"},"properties":{"noteIndex":0},"schema":"https://github.com/citation-style-language/schema/raw/master/csl-citation.json"}</w:instrText>
      </w:r>
      <w:r w:rsidR="00A91416">
        <w:fldChar w:fldCharType="separate"/>
      </w:r>
      <w:r w:rsidR="00A91416" w:rsidRPr="00113282">
        <w:rPr>
          <w:noProof/>
        </w:rPr>
        <w:t>[1,2]</w:t>
      </w:r>
      <w:r w:rsidR="00A91416">
        <w:fldChar w:fldCharType="end"/>
      </w:r>
      <w:r w:rsidR="00A91416" w:rsidRPr="00CE2586">
        <w:rPr>
          <w:color w:val="000000"/>
        </w:rPr>
        <w:t xml:space="preserve">. </w:t>
      </w:r>
      <w:bookmarkEnd w:id="111"/>
    </w:p>
    <w:p w14:paraId="1ADE5CC3" w14:textId="77777777" w:rsidR="00254823" w:rsidRDefault="00254823" w:rsidP="005327B1">
      <w:pPr>
        <w:shd w:val="clear" w:color="auto" w:fill="FFFFFF"/>
        <w:ind w:firstLine="709"/>
        <w:contextualSpacing/>
        <w:rPr>
          <w:b/>
        </w:rPr>
      </w:pPr>
      <w:r w:rsidRPr="00273471">
        <w:rPr>
          <w:b/>
          <w:color w:val="000000"/>
        </w:rPr>
        <w:t xml:space="preserve">Уровень убедительности рекомендаций </w:t>
      </w:r>
      <w:r w:rsidR="00444E79" w:rsidRPr="00273471">
        <w:rPr>
          <w:b/>
          <w:color w:val="000000"/>
        </w:rPr>
        <w:t xml:space="preserve">– </w:t>
      </w:r>
      <w:r w:rsidR="00C57561" w:rsidRPr="00273471">
        <w:rPr>
          <w:b/>
          <w:color w:val="000000"/>
        </w:rPr>
        <w:t>С</w:t>
      </w:r>
      <w:r w:rsidRPr="00273471">
        <w:rPr>
          <w:b/>
          <w:color w:val="000000"/>
        </w:rPr>
        <w:t xml:space="preserve"> (уровень достоверности доказательств – </w:t>
      </w:r>
      <w:r w:rsidR="00C57561" w:rsidRPr="00273471">
        <w:rPr>
          <w:b/>
          <w:color w:val="000000"/>
        </w:rPr>
        <w:t>5</w:t>
      </w:r>
      <w:r w:rsidR="005327B1" w:rsidRPr="00273471">
        <w:rPr>
          <w:b/>
          <w:color w:val="000000"/>
        </w:rPr>
        <w:t>)</w:t>
      </w:r>
      <w:r w:rsidR="00444E79" w:rsidRPr="00273471">
        <w:rPr>
          <w:b/>
          <w:color w:val="000000"/>
        </w:rPr>
        <w:t>.</w:t>
      </w:r>
    </w:p>
    <w:p w14:paraId="5F995DDC" w14:textId="77777777" w:rsidR="00254823" w:rsidRDefault="00254823" w:rsidP="00C0620D">
      <w:pPr>
        <w:contextualSpacing/>
        <w:rPr>
          <w:b/>
        </w:rPr>
      </w:pPr>
      <w:r w:rsidRPr="00C36EE0">
        <w:rPr>
          <w:b/>
        </w:rPr>
        <w:t>Пре</w:t>
      </w:r>
      <w:r>
        <w:rPr>
          <w:b/>
        </w:rPr>
        <w:t>д</w:t>
      </w:r>
      <w:r w:rsidRPr="00C36EE0">
        <w:rPr>
          <w:b/>
        </w:rPr>
        <w:t>фаза</w:t>
      </w:r>
    </w:p>
    <w:p w14:paraId="19B2A388" w14:textId="77777777" w:rsidR="00254823" w:rsidRPr="005327B1" w:rsidRDefault="00254823" w:rsidP="00444E79">
      <w:pPr>
        <w:contextualSpacing/>
        <w:rPr>
          <w:b/>
          <w:i/>
        </w:rPr>
      </w:pPr>
      <w:r w:rsidRPr="005327B1">
        <w:rPr>
          <w:rFonts w:eastAsia="Arial Unicode MS"/>
          <w:i/>
          <w:color w:val="000000"/>
          <w:u w:color="000000"/>
        </w:rPr>
        <w:t>Предфазу необходимо начинать сразу после того, как все</w:t>
      </w:r>
      <w:r w:rsidRPr="005327B1">
        <w:rPr>
          <w:b/>
          <w:i/>
          <w:color w:val="000000"/>
        </w:rPr>
        <w:t xml:space="preserve"> </w:t>
      </w:r>
      <w:r w:rsidRPr="005327B1">
        <w:rPr>
          <w:rFonts w:eastAsia="Arial Unicode MS"/>
          <w:i/>
          <w:color w:val="000000"/>
          <w:u w:color="000000"/>
        </w:rPr>
        <w:t>диагностические мероприятия будут завершены</w:t>
      </w:r>
      <w:r w:rsidR="00444E79">
        <w:rPr>
          <w:rFonts w:eastAsia="Arial Unicode MS"/>
          <w:i/>
          <w:color w:val="000000"/>
          <w:u w:color="000000"/>
        </w:rPr>
        <w:t>.</w:t>
      </w:r>
    </w:p>
    <w:p w14:paraId="75384D61" w14:textId="7016DC0B" w:rsidR="00254823" w:rsidRPr="00677E22" w:rsidRDefault="00254823" w:rsidP="00FF4C81">
      <w:pPr>
        <w:numPr>
          <w:ilvl w:val="0"/>
          <w:numId w:val="19"/>
        </w:numPr>
        <w:rPr>
          <w:rFonts w:eastAsia="Arial Unicode MS"/>
          <w:color w:val="000000"/>
          <w:u w:color="000000"/>
        </w:rPr>
      </w:pPr>
      <w:r w:rsidRPr="00617969">
        <w:rPr>
          <w:b/>
          <w:color w:val="000000"/>
        </w:rPr>
        <w:t xml:space="preserve">Рекомендуется </w:t>
      </w:r>
      <w:r w:rsidRPr="00ED4813">
        <w:rPr>
          <w:color w:val="000000"/>
        </w:rPr>
        <w:t>всем пациентам с верифицированным диагнозом</w:t>
      </w:r>
      <w:r>
        <w:rPr>
          <w:b/>
          <w:color w:val="000000"/>
        </w:rPr>
        <w:t xml:space="preserve"> </w:t>
      </w:r>
      <w:r w:rsidRPr="00617969">
        <w:rPr>
          <w:rFonts w:ascii="Arial Unicode MS" w:eastAsia="Arial Unicode MS"/>
          <w:color w:val="000000"/>
          <w:u w:color="000000"/>
        </w:rPr>
        <w:t>начинать</w:t>
      </w:r>
      <w:r w:rsidRPr="00617969">
        <w:rPr>
          <w:rFonts w:ascii="Arial Unicode MS" w:eastAsia="Arial Unicode MS"/>
          <w:color w:val="000000"/>
          <w:u w:color="000000"/>
        </w:rPr>
        <w:t xml:space="preserve"> </w:t>
      </w:r>
      <w:r w:rsidRPr="00677E22">
        <w:rPr>
          <w:rFonts w:eastAsia="Arial Unicode MS"/>
          <w:color w:val="000000"/>
          <w:u w:color="000000"/>
        </w:rPr>
        <w:t>предфазу преднизолоном**</w:t>
      </w:r>
      <w:r w:rsidR="00677E22" w:rsidRPr="00677E22">
        <w:rPr>
          <w:rFonts w:eastAsia="Arial Unicode MS"/>
          <w:color w:val="000000"/>
          <w:u w:color="000000"/>
        </w:rPr>
        <w:t xml:space="preserve"> с целью циторедукции и определения</w:t>
      </w:r>
      <w:r w:rsidR="00677E22">
        <w:rPr>
          <w:rFonts w:ascii="Arial Unicode MS" w:eastAsia="Arial Unicode MS"/>
          <w:color w:val="000000"/>
          <w:u w:color="000000"/>
        </w:rPr>
        <w:t xml:space="preserve"> </w:t>
      </w:r>
      <w:r w:rsidR="00677E22" w:rsidRPr="00677E22">
        <w:rPr>
          <w:rFonts w:eastAsia="Arial Unicode MS"/>
          <w:color w:val="000000"/>
          <w:u w:color="000000"/>
        </w:rPr>
        <w:t>чувствительности к преднизолону**</w:t>
      </w:r>
      <w:r w:rsidR="00444E79">
        <w:rPr>
          <w:rFonts w:eastAsia="Arial Unicode MS"/>
          <w:color w:val="000000"/>
          <w:u w:color="000000"/>
        </w:rPr>
        <w:t xml:space="preserve"> </w:t>
      </w:r>
      <w:r w:rsidR="00C40D21" w:rsidRPr="00677E22">
        <w:rPr>
          <w:rFonts w:eastAsia="Arial Unicode MS"/>
          <w:color w:val="000000"/>
          <w:u w:color="000000"/>
        </w:rPr>
        <w:fldChar w:fldCharType="begin" w:fldLock="1"/>
      </w:r>
      <w:r w:rsidR="002466C9">
        <w:rPr>
          <w:rFonts w:eastAsia="Arial Unicode MS"/>
          <w:color w:val="000000"/>
          <w:u w:color="000000"/>
        </w:rPr>
        <w:instrText>ADDIN CSL_CITATION {"citationItems":[{"id":"ITEM-1","itemData":{"DOI":"10.1056/NEJMra052603","ISSN":"00284793","PMID":"16407512","author":[{"dropping-particle":"","family":"Pui","given":"Ching Hon","non-dropping-particle":"","parse-names":false,"suffix":""},{"dropping-particle":"","family":"Evans","given":"William E.","non-dropping-particle":"","parse-names":false,"suffix":""}],"container-title":"New England Journal of Medicine","id":"ITEM-1","issue":"2","issued":{"date-parts":[["2006","1","12"]]},"page":"166-178","title":"Treatment of acute lymphoblastic leukemia","type":"article","volume":"354"},"uris":["http://www.mendeley.com/documents/?uuid=b8a51261-52cc-30d2-a8ee-e8fd5efb9999"]}],"mendeley":{"formattedCitation":"[79]","plainTextFormattedCitation":"[79]","previouslyFormattedCitation":"[79]"},"properties":{"noteIndex":0},"schema":"https://github.com/citation-style-language/schema/raw/master/csl-citation.json"}</w:instrText>
      </w:r>
      <w:r w:rsidR="00C40D21" w:rsidRPr="00677E22">
        <w:rPr>
          <w:rFonts w:eastAsia="Arial Unicode MS"/>
          <w:color w:val="000000"/>
          <w:u w:color="000000"/>
        </w:rPr>
        <w:fldChar w:fldCharType="separate"/>
      </w:r>
      <w:r w:rsidR="00A66456" w:rsidRPr="00A66456">
        <w:rPr>
          <w:rFonts w:eastAsia="Arial Unicode MS"/>
          <w:noProof/>
          <w:color w:val="000000"/>
          <w:u w:color="000000"/>
        </w:rPr>
        <w:t>[79]</w:t>
      </w:r>
      <w:r w:rsidR="00C40D21" w:rsidRPr="00677E22">
        <w:rPr>
          <w:rFonts w:eastAsia="Arial Unicode MS"/>
          <w:color w:val="000000"/>
          <w:u w:color="000000"/>
        </w:rPr>
        <w:fldChar w:fldCharType="end"/>
      </w:r>
      <w:r w:rsidR="00C40D21" w:rsidRPr="00677E22">
        <w:rPr>
          <w:rFonts w:eastAsia="Arial Unicode MS"/>
          <w:color w:val="000000"/>
          <w:u w:color="000000"/>
        </w:rPr>
        <w:t>.</w:t>
      </w:r>
      <w:r w:rsidR="00C40D21" w:rsidRPr="00444E79">
        <w:rPr>
          <w:rFonts w:eastAsia="Arial Unicode MS"/>
          <w:color w:val="000000"/>
          <w:u w:color="000000"/>
        </w:rPr>
        <w:t xml:space="preserve"> </w:t>
      </w:r>
    </w:p>
    <w:p w14:paraId="0BFD6C31" w14:textId="77777777" w:rsidR="00254823" w:rsidRDefault="00254823" w:rsidP="005327B1">
      <w:pPr>
        <w:ind w:firstLine="709"/>
        <w:contextualSpacing/>
        <w:rPr>
          <w:b/>
          <w:color w:val="000000"/>
        </w:rPr>
      </w:pPr>
      <w:r w:rsidRPr="00044D02">
        <w:rPr>
          <w:b/>
          <w:color w:val="000000"/>
        </w:rPr>
        <w:t xml:space="preserve">Уровень убедительности рекомендаций </w:t>
      </w:r>
      <w:r w:rsidR="00444E79" w:rsidRPr="00044D02">
        <w:rPr>
          <w:b/>
          <w:color w:val="000000"/>
        </w:rPr>
        <w:t xml:space="preserve">– </w:t>
      </w:r>
      <w:r w:rsidR="007E7881" w:rsidRPr="00044D02">
        <w:rPr>
          <w:b/>
          <w:color w:val="000000"/>
        </w:rPr>
        <w:t xml:space="preserve">С </w:t>
      </w:r>
      <w:r w:rsidRPr="00044D02">
        <w:rPr>
          <w:b/>
          <w:color w:val="000000"/>
        </w:rPr>
        <w:t xml:space="preserve">(уровень достоверности доказательств – </w:t>
      </w:r>
      <w:r w:rsidR="007E7881" w:rsidRPr="00044D02">
        <w:rPr>
          <w:b/>
          <w:color w:val="000000"/>
        </w:rPr>
        <w:t>5</w:t>
      </w:r>
      <w:r w:rsidR="005327B1" w:rsidRPr="00044D02">
        <w:rPr>
          <w:b/>
          <w:color w:val="000000"/>
        </w:rPr>
        <w:t>)</w:t>
      </w:r>
      <w:r w:rsidR="00444E79" w:rsidRPr="00044D02">
        <w:rPr>
          <w:b/>
          <w:color w:val="000000"/>
        </w:rPr>
        <w:t>.</w:t>
      </w:r>
    </w:p>
    <w:p w14:paraId="142C4149" w14:textId="77777777" w:rsidR="00254823" w:rsidRPr="00444E79" w:rsidRDefault="00254823" w:rsidP="00444E79">
      <w:pPr>
        <w:ind w:firstLine="709"/>
        <w:contextualSpacing/>
        <w:rPr>
          <w:b/>
          <w:color w:val="000000"/>
        </w:rPr>
      </w:pPr>
      <w:r>
        <w:rPr>
          <w:b/>
          <w:color w:val="000000"/>
        </w:rPr>
        <w:t xml:space="preserve">Комментарии: </w:t>
      </w:r>
      <w:r w:rsidR="009A08AF" w:rsidRPr="00E91307">
        <w:rPr>
          <w:i/>
        </w:rPr>
        <w:t xml:space="preserve">монотерапия </w:t>
      </w:r>
      <w:r w:rsidRPr="00767EEF">
        <w:rPr>
          <w:i/>
        </w:rPr>
        <w:t>глюкокортикостерои</w:t>
      </w:r>
      <w:r w:rsidR="00444E79">
        <w:rPr>
          <w:i/>
        </w:rPr>
        <w:t>дами является основой предфазы –</w:t>
      </w:r>
      <w:r w:rsidRPr="00767EEF">
        <w:rPr>
          <w:i/>
        </w:rPr>
        <w:t xml:space="preserve"> инициальной терапии ОЛЛ</w:t>
      </w:r>
      <w:r w:rsidR="00767EEF" w:rsidRPr="00767EEF">
        <w:rPr>
          <w:i/>
        </w:rPr>
        <w:t xml:space="preserve">. </w:t>
      </w:r>
      <w:r w:rsidRPr="00767EEF">
        <w:rPr>
          <w:i/>
        </w:rPr>
        <w:t>Длительность префазы составляет 7 дней</w:t>
      </w:r>
      <w:r w:rsidR="00444E79">
        <w:rPr>
          <w:i/>
        </w:rPr>
        <w:t>,</w:t>
      </w:r>
      <w:r w:rsidRPr="00767EEF">
        <w:rPr>
          <w:i/>
        </w:rPr>
        <w:t xml:space="preserve"> и непосредственно после нее следует индукционная фаза I. Предфаза позволяет стабилизировать состояние </w:t>
      </w:r>
      <w:r w:rsidR="005327B1" w:rsidRPr="00767EEF">
        <w:rPr>
          <w:i/>
        </w:rPr>
        <w:t>пациентов</w:t>
      </w:r>
      <w:r w:rsidRPr="00767EEF">
        <w:rPr>
          <w:i/>
        </w:rPr>
        <w:t>, к</w:t>
      </w:r>
      <w:r w:rsidRPr="00E91307">
        <w:rPr>
          <w:i/>
        </w:rPr>
        <w:t>оторые поступают в отделение гематологии с тяжелыми инфекционными осложнениями, метаболическими нарушениями и/или серьезными кровотечениями (антибиотиками и противогрибковыми средствами, трансфузионной терапи</w:t>
      </w:r>
      <w:r w:rsidR="00274558">
        <w:rPr>
          <w:i/>
        </w:rPr>
        <w:t>ей</w:t>
      </w:r>
      <w:r w:rsidRPr="00E91307">
        <w:rPr>
          <w:i/>
        </w:rPr>
        <w:t>, заместительной терапи</w:t>
      </w:r>
      <w:r w:rsidR="00274558">
        <w:rPr>
          <w:i/>
        </w:rPr>
        <w:t>ей,</w:t>
      </w:r>
      <w:r w:rsidRPr="00E91307">
        <w:rPr>
          <w:i/>
        </w:rPr>
        <w:t xml:space="preserve"> факторами свертывания, аллопуринолом</w:t>
      </w:r>
      <w:r w:rsidR="005327B1">
        <w:rPr>
          <w:i/>
        </w:rPr>
        <w:t>**</w:t>
      </w:r>
      <w:r w:rsidRPr="00E91307">
        <w:rPr>
          <w:i/>
        </w:rPr>
        <w:t>/разбуриказой</w:t>
      </w:r>
      <w:r w:rsidR="00F40B18">
        <w:rPr>
          <w:i/>
        </w:rPr>
        <w:t>**</w:t>
      </w:r>
      <w:r w:rsidR="00444E79">
        <w:rPr>
          <w:i/>
        </w:rPr>
        <w:t>), и начать 1-ю</w:t>
      </w:r>
      <w:r w:rsidRPr="00E91307">
        <w:rPr>
          <w:i/>
        </w:rPr>
        <w:t xml:space="preserve"> фазу индукции без задержки или с минимальными отклонениями. Во время выполнения предфазы осуществляется цитогенетическая диагностика, что позволяет выделить </w:t>
      </w:r>
      <w:r w:rsidR="005327B1">
        <w:rPr>
          <w:i/>
        </w:rPr>
        <w:t>пациентов</w:t>
      </w:r>
      <w:r w:rsidRPr="00E91307">
        <w:rPr>
          <w:i/>
        </w:rPr>
        <w:t xml:space="preserve"> с </w:t>
      </w:r>
      <w:r w:rsidRPr="00E91307">
        <w:rPr>
          <w:i/>
          <w:lang w:val="en-US"/>
        </w:rPr>
        <w:t>Ph</w:t>
      </w:r>
      <w:r w:rsidRPr="00E91307">
        <w:rPr>
          <w:i/>
        </w:rPr>
        <w:t>-позитивным ОЛЛ и без</w:t>
      </w:r>
      <w:r w:rsidR="00274558">
        <w:rPr>
          <w:i/>
        </w:rPr>
        <w:t>отлагательно</w:t>
      </w:r>
      <w:r w:rsidRPr="00E91307">
        <w:rPr>
          <w:i/>
        </w:rPr>
        <w:t xml:space="preserve"> нач</w:t>
      </w:r>
      <w:r>
        <w:rPr>
          <w:i/>
        </w:rPr>
        <w:t xml:space="preserve">ать им первую фазу индукции по </w:t>
      </w:r>
      <w:r w:rsidRPr="00E91307">
        <w:rPr>
          <w:i/>
        </w:rPr>
        <w:t xml:space="preserve">менее токсичному протоколу для </w:t>
      </w:r>
      <w:r w:rsidRPr="00E91307">
        <w:rPr>
          <w:i/>
          <w:lang w:val="en-US"/>
        </w:rPr>
        <w:t>Ph</w:t>
      </w:r>
      <w:r w:rsidRPr="00E91307">
        <w:rPr>
          <w:i/>
        </w:rPr>
        <w:t>+</w:t>
      </w:r>
      <w:r w:rsidR="00E9082E">
        <w:rPr>
          <w:i/>
        </w:rPr>
        <w:t xml:space="preserve"> </w:t>
      </w:r>
      <w:r w:rsidRPr="00E91307">
        <w:rPr>
          <w:i/>
        </w:rPr>
        <w:t xml:space="preserve">ОЛЛ. Есть небольшая доля взрослых </w:t>
      </w:r>
      <w:r w:rsidR="005327B1">
        <w:rPr>
          <w:i/>
        </w:rPr>
        <w:t>пациентов с</w:t>
      </w:r>
      <w:r w:rsidRPr="00E91307">
        <w:rPr>
          <w:i/>
        </w:rPr>
        <w:t xml:space="preserve"> ОЛЛ, у которых регистрируется очень высокая чувств</w:t>
      </w:r>
      <w:r w:rsidR="005327B1">
        <w:rPr>
          <w:i/>
        </w:rPr>
        <w:t>ительность опухолевых клет</w:t>
      </w:r>
      <w:r w:rsidR="00DA0821">
        <w:rPr>
          <w:i/>
        </w:rPr>
        <w:t>ок</w:t>
      </w:r>
      <w:r w:rsidR="005327B1">
        <w:rPr>
          <w:i/>
        </w:rPr>
        <w:t xml:space="preserve"> к п</w:t>
      </w:r>
      <w:r w:rsidRPr="00E91307">
        <w:rPr>
          <w:i/>
        </w:rPr>
        <w:t>реднизолону</w:t>
      </w:r>
      <w:r>
        <w:rPr>
          <w:i/>
        </w:rPr>
        <w:t>**</w:t>
      </w:r>
      <w:r w:rsidRPr="00E91307">
        <w:rPr>
          <w:i/>
        </w:rPr>
        <w:t>, и полная ремиссия</w:t>
      </w:r>
      <w:r w:rsidR="009B2897">
        <w:rPr>
          <w:i/>
        </w:rPr>
        <w:t xml:space="preserve"> (далее – ПР)</w:t>
      </w:r>
      <w:r w:rsidRPr="00E91307">
        <w:rPr>
          <w:i/>
        </w:rPr>
        <w:t xml:space="preserve"> может быть достигнута после 7 дней монотерапии глюкокортикоидами.</w:t>
      </w:r>
      <w:r w:rsidRPr="00E91307">
        <w:rPr>
          <w:b/>
          <w:i/>
          <w:color w:val="000000"/>
        </w:rPr>
        <w:t xml:space="preserve"> </w:t>
      </w:r>
      <w:r w:rsidRPr="00E91307">
        <w:rPr>
          <w:i/>
        </w:rPr>
        <w:t>Несмотря на то, что в ряде протоколов предфаза не является обя</w:t>
      </w:r>
      <w:r w:rsidR="00444E79">
        <w:rPr>
          <w:i/>
        </w:rPr>
        <w:t>зательным компонентом, например</w:t>
      </w:r>
      <w:r w:rsidR="00C11BDE">
        <w:rPr>
          <w:i/>
        </w:rPr>
        <w:t>,</w:t>
      </w:r>
      <w:r w:rsidRPr="00E91307">
        <w:rPr>
          <w:i/>
        </w:rPr>
        <w:t xml:space="preserve"> в программе MDAC</w:t>
      </w:r>
      <w:r w:rsidRPr="00E91307">
        <w:rPr>
          <w:i/>
          <w:lang w:val="en-US"/>
        </w:rPr>
        <w:t>R</w:t>
      </w:r>
      <w:r w:rsidR="00444E79">
        <w:rPr>
          <w:i/>
        </w:rPr>
        <w:t>C (Hyper-CVAD), р</w:t>
      </w:r>
      <w:r w:rsidRPr="00E91307">
        <w:rPr>
          <w:i/>
        </w:rPr>
        <w:t xml:space="preserve">оссийские эксперты полагают, что выполнение предфазы крайне целесообразно. </w:t>
      </w:r>
    </w:p>
    <w:p w14:paraId="00D14AD1" w14:textId="77777777" w:rsidR="00254823" w:rsidRPr="00C36EE0" w:rsidRDefault="00254823" w:rsidP="00C0620D">
      <w:pPr>
        <w:rPr>
          <w:b/>
        </w:rPr>
      </w:pPr>
      <w:r w:rsidRPr="00C36EE0">
        <w:rPr>
          <w:b/>
        </w:rPr>
        <w:t>Индукция ремиссии</w:t>
      </w:r>
    </w:p>
    <w:p w14:paraId="782FD75D" w14:textId="77777777" w:rsidR="00254823" w:rsidRPr="00F41CD7" w:rsidRDefault="00254823" w:rsidP="00FF4C81">
      <w:pPr>
        <w:numPr>
          <w:ilvl w:val="0"/>
          <w:numId w:val="19"/>
        </w:numPr>
        <w:shd w:val="clear" w:color="auto" w:fill="FFFFFF"/>
      </w:pPr>
      <w:r w:rsidRPr="00F41CD7">
        <w:rPr>
          <w:b/>
        </w:rPr>
        <w:t>Рекомендуется</w:t>
      </w:r>
      <w:r w:rsidRPr="00F41CD7">
        <w:t xml:space="preserve"> всем пациентам строго выполнять индукционный курс терапии согласно выбранному протоколу лечения </w:t>
      </w:r>
      <w:r w:rsidRPr="00F41CD7">
        <w:rPr>
          <w:lang w:val="en-US"/>
        </w:rPr>
        <w:t>Ph</w:t>
      </w:r>
      <w:r w:rsidRPr="00F41CD7">
        <w:t>-негативных ОЛЛ</w:t>
      </w:r>
      <w:r w:rsidR="00A97B24" w:rsidRPr="00A97B24">
        <w:t xml:space="preserve"> </w:t>
      </w:r>
      <w:r w:rsidR="00A97B24">
        <w:fldChar w:fldCharType="begin" w:fldLock="1"/>
      </w:r>
      <w:r w:rsidR="00A97B24">
        <w:instrText>ADDIN CSL_CITATION {"citationItems":[{"id":"ITEM-1","itemData":{"id":"ITEM-1","issued":{"date-parts":[["2012"]]},"number-of-pages":"1056","title":"Программное лечение заболеваний системы крови: Сборник алгоритмов диагностики и протоколов лечения заболеваний системы крови. Под ред. В.Г. Савченко","type":"book"},"uris":["http://www.mendeley.com/documents/?uuid=36484a90-27ae-40a9-a194-b0461fb47d9d"]},{"id":"ITEM-2","itemData":{"author":[{"dropping-particle":"","family":"Савченко","given":"Валерий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доп.","id":"ITEM-2","issued":{"date-parts":[["2007"]]},"page":"409-502","title":"Острые лейкозы","type":"chapter"},"uris":["http://www.mendeley.com/documents/?uuid=08f85f58-ddaa-48eb-b937-65d15d14b213"]}],"mendeley":{"formattedCitation":"[1,2]","plainTextFormattedCitation":"[1,2]","previouslyFormattedCitation":"[1,2]"},"properties":{"noteIndex":0},"schema":"https://github.com/citation-style-language/schema/raw/master/csl-citation.json"}</w:instrText>
      </w:r>
      <w:r w:rsidR="00A97B24">
        <w:fldChar w:fldCharType="separate"/>
      </w:r>
      <w:r w:rsidR="00A97B24" w:rsidRPr="00113282">
        <w:rPr>
          <w:noProof/>
        </w:rPr>
        <w:t>[1,2]</w:t>
      </w:r>
      <w:r w:rsidR="00A97B24">
        <w:fldChar w:fldCharType="end"/>
      </w:r>
      <w:r w:rsidR="00A97B24" w:rsidRPr="00CE2586">
        <w:rPr>
          <w:color w:val="000000"/>
        </w:rPr>
        <w:t xml:space="preserve">. </w:t>
      </w:r>
      <w:r w:rsidR="00A97B24" w:rsidRPr="00224E00">
        <w:rPr>
          <w:i/>
        </w:rPr>
        <w:t xml:space="preserve"> </w:t>
      </w:r>
    </w:p>
    <w:p w14:paraId="5E6607C4" w14:textId="77777777" w:rsidR="00254823" w:rsidRPr="00444E79" w:rsidRDefault="00254823" w:rsidP="005327B1">
      <w:pPr>
        <w:ind w:firstLine="709"/>
        <w:contextualSpacing/>
        <w:rPr>
          <w:b/>
          <w:color w:val="000000"/>
          <w:lang w:val="uk-UA"/>
        </w:rPr>
      </w:pPr>
      <w:r w:rsidRPr="00A97B24">
        <w:rPr>
          <w:b/>
          <w:color w:val="000000"/>
        </w:rPr>
        <w:t xml:space="preserve">Уровень убедительности рекомендаций </w:t>
      </w:r>
      <w:r w:rsidR="00444E79" w:rsidRPr="00A97B24">
        <w:rPr>
          <w:b/>
          <w:color w:val="000000"/>
        </w:rPr>
        <w:t>–</w:t>
      </w:r>
      <w:r w:rsidR="00444E79" w:rsidRPr="00A97B24">
        <w:rPr>
          <w:b/>
          <w:color w:val="000000"/>
          <w:lang w:val="uk-UA"/>
        </w:rPr>
        <w:t xml:space="preserve"> </w:t>
      </w:r>
      <w:r w:rsidR="00A97B24" w:rsidRPr="00A97B24">
        <w:rPr>
          <w:b/>
          <w:color w:val="000000"/>
          <w:lang w:val="en-US"/>
        </w:rPr>
        <w:t>C</w:t>
      </w:r>
      <w:r w:rsidR="00A97B24" w:rsidRPr="00044D02">
        <w:rPr>
          <w:b/>
          <w:color w:val="000000"/>
        </w:rPr>
        <w:t xml:space="preserve"> </w:t>
      </w:r>
      <w:r w:rsidRPr="00044D02">
        <w:rPr>
          <w:b/>
          <w:color w:val="000000"/>
        </w:rPr>
        <w:t xml:space="preserve">(уровень достоверности доказательств – </w:t>
      </w:r>
      <w:r w:rsidR="00A97B24" w:rsidRPr="00A91416">
        <w:rPr>
          <w:b/>
          <w:color w:val="000000"/>
        </w:rPr>
        <w:t>5</w:t>
      </w:r>
      <w:r w:rsidR="005327B1" w:rsidRPr="00044D02">
        <w:rPr>
          <w:b/>
          <w:color w:val="000000"/>
        </w:rPr>
        <w:t>)</w:t>
      </w:r>
      <w:r w:rsidR="00444E79" w:rsidRPr="00044D02">
        <w:rPr>
          <w:b/>
          <w:color w:val="000000"/>
          <w:lang w:val="uk-UA"/>
        </w:rPr>
        <w:t>.</w:t>
      </w:r>
    </w:p>
    <w:p w14:paraId="0B44CEAF" w14:textId="77777777" w:rsidR="00254823" w:rsidRPr="005403B9" w:rsidRDefault="00254823" w:rsidP="000303AC">
      <w:pPr>
        <w:ind w:firstLine="709"/>
        <w:contextualSpacing/>
        <w:rPr>
          <w:i/>
          <w:lang w:eastAsia="zh-CN"/>
        </w:rPr>
      </w:pPr>
      <w:r w:rsidRPr="001B5C80">
        <w:rPr>
          <w:b/>
          <w:lang w:eastAsia="zh-CN"/>
        </w:rPr>
        <w:t>Комментарии:</w:t>
      </w:r>
      <w:r>
        <w:rPr>
          <w:lang w:eastAsia="zh-CN"/>
        </w:rPr>
        <w:t xml:space="preserve"> </w:t>
      </w:r>
      <w:r w:rsidRPr="00A97B24">
        <w:rPr>
          <w:bCs/>
          <w:i/>
          <w:lang w:val="en-US"/>
        </w:rPr>
        <w:t>I</w:t>
      </w:r>
      <w:r w:rsidRPr="00A97B24">
        <w:rPr>
          <w:bCs/>
          <w:i/>
        </w:rPr>
        <w:t xml:space="preserve"> фаза индукции</w:t>
      </w:r>
      <w:r w:rsidRPr="005403B9">
        <w:rPr>
          <w:i/>
        </w:rPr>
        <w:t xml:space="preserve"> является наиболее критичной, ее </w:t>
      </w:r>
      <w:r w:rsidRPr="005403B9">
        <w:rPr>
          <w:i/>
        </w:rPr>
        <w:lastRenderedPageBreak/>
        <w:t xml:space="preserve">продолжительность составляет 4 недели (или 2 недели в протоколе Hyper-CVAD). Именно во время выполнения этого этапа </w:t>
      </w:r>
      <w:r w:rsidR="00DA0821">
        <w:rPr>
          <w:i/>
        </w:rPr>
        <w:t>ИТ</w:t>
      </w:r>
      <w:r w:rsidRPr="005403B9">
        <w:rPr>
          <w:i/>
        </w:rPr>
        <w:t xml:space="preserve"> регистрируется самое большое число осложнений</w:t>
      </w:r>
      <w:r w:rsidR="00444E79">
        <w:rPr>
          <w:i/>
        </w:rPr>
        <w:t>,</w:t>
      </w:r>
      <w:r w:rsidRPr="005403B9">
        <w:rPr>
          <w:i/>
        </w:rPr>
        <w:t xml:space="preserve"> как токсических, так и инфекционных</w:t>
      </w:r>
      <w:r w:rsidR="00A706DB">
        <w:rPr>
          <w:i/>
        </w:rPr>
        <w:t>,</w:t>
      </w:r>
      <w:r w:rsidRPr="005403B9">
        <w:rPr>
          <w:i/>
        </w:rPr>
        <w:t xml:space="preserve"> с ожидаемой частотой ранних летальных исходов приблизительно ≥5</w:t>
      </w:r>
      <w:r w:rsidR="00444E79">
        <w:rPr>
          <w:i/>
        </w:rPr>
        <w:t xml:space="preserve"> %. В р</w:t>
      </w:r>
      <w:r w:rsidRPr="005403B9">
        <w:rPr>
          <w:i/>
        </w:rPr>
        <w:t xml:space="preserve">оссийском многоцентровом </w:t>
      </w:r>
      <w:r w:rsidR="00DA0821">
        <w:rPr>
          <w:i/>
        </w:rPr>
        <w:t>КИ</w:t>
      </w:r>
      <w:r w:rsidRPr="005403B9">
        <w:rPr>
          <w:i/>
        </w:rPr>
        <w:t xml:space="preserve">, включившем информацию по 300 </w:t>
      </w:r>
      <w:r w:rsidR="00444E79">
        <w:rPr>
          <w:i/>
        </w:rPr>
        <w:t>пациентам</w:t>
      </w:r>
      <w:r w:rsidR="000303AC">
        <w:rPr>
          <w:i/>
        </w:rPr>
        <w:t xml:space="preserve"> с</w:t>
      </w:r>
      <w:r w:rsidRPr="005403B9">
        <w:rPr>
          <w:i/>
        </w:rPr>
        <w:t xml:space="preserve"> ОЛЛ в возрасте от 15 до 55 лет, показатель ранней летальности составил 9</w:t>
      </w:r>
      <w:r w:rsidR="00444E79">
        <w:rPr>
          <w:i/>
        </w:rPr>
        <w:t xml:space="preserve"> </w:t>
      </w:r>
      <w:r w:rsidRPr="005403B9">
        <w:rPr>
          <w:i/>
        </w:rPr>
        <w:t>%.</w:t>
      </w:r>
    </w:p>
    <w:p w14:paraId="69B9D94D" w14:textId="77777777" w:rsidR="00254823" w:rsidRPr="005403B9" w:rsidRDefault="00254823" w:rsidP="000303AC">
      <w:pPr>
        <w:shd w:val="clear" w:color="auto" w:fill="FFFFFF"/>
        <w:ind w:firstLine="709"/>
        <w:contextualSpacing/>
        <w:rPr>
          <w:i/>
        </w:rPr>
      </w:pPr>
      <w:r w:rsidRPr="005403B9">
        <w:rPr>
          <w:i/>
        </w:rPr>
        <w:t>В этот период необходимо выполнять весь объем сопроводительной терапии, включая мониторинг и коррекцию плазменного гемостаза, тромбоцитопении, анемии, лечение инфекционных осложнений, метаболических нарушений (сахарного диабета), психических расстройств, неврологической симптоматики, острых гепатитов, панкреатитов и т.</w:t>
      </w:r>
      <w:r w:rsidR="00D42FCD">
        <w:rPr>
          <w:i/>
          <w:lang w:val="en-US"/>
        </w:rPr>
        <w:t> </w:t>
      </w:r>
      <w:r w:rsidRPr="005403B9">
        <w:rPr>
          <w:i/>
        </w:rPr>
        <w:t>д. В случае развития крайне тяжелых осложнений и/или глубокой цитопении (лейкоцитов менее 500 кл в мкл) цито</w:t>
      </w:r>
      <w:r>
        <w:rPr>
          <w:i/>
        </w:rPr>
        <w:t>статическая терапия</w:t>
      </w:r>
      <w:r w:rsidRPr="005403B9">
        <w:rPr>
          <w:i/>
        </w:rPr>
        <w:t xml:space="preserve"> должна быть прервана (кроме преднизолона</w:t>
      </w:r>
      <w:r>
        <w:rPr>
          <w:i/>
        </w:rPr>
        <w:t>**</w:t>
      </w:r>
      <w:r w:rsidRPr="005403B9">
        <w:rPr>
          <w:i/>
        </w:rPr>
        <w:t xml:space="preserve">) и возобновлена с момента остановки при коррекции осложнений и восстановлении показателей крови. </w:t>
      </w:r>
    </w:p>
    <w:p w14:paraId="19D254FD" w14:textId="77777777" w:rsidR="00254823" w:rsidRPr="005403B9" w:rsidRDefault="00254823" w:rsidP="000303AC">
      <w:pPr>
        <w:shd w:val="clear" w:color="auto" w:fill="FFFFFF"/>
        <w:ind w:firstLine="709"/>
        <w:contextualSpacing/>
        <w:rPr>
          <w:i/>
        </w:rPr>
      </w:pPr>
      <w:r w:rsidRPr="005403B9">
        <w:rPr>
          <w:i/>
        </w:rPr>
        <w:t>Все программы лечения включают винкристин</w:t>
      </w:r>
      <w:r w:rsidR="00457E7B">
        <w:rPr>
          <w:i/>
        </w:rPr>
        <w:t>**</w:t>
      </w:r>
      <w:r w:rsidR="00A706DB">
        <w:rPr>
          <w:i/>
        </w:rPr>
        <w:t>,</w:t>
      </w:r>
      <w:r w:rsidRPr="005403B9">
        <w:rPr>
          <w:i/>
        </w:rPr>
        <w:t xml:space="preserve"> </w:t>
      </w:r>
      <w:r>
        <w:rPr>
          <w:i/>
        </w:rPr>
        <w:t>п</w:t>
      </w:r>
      <w:r w:rsidRPr="005403B9">
        <w:rPr>
          <w:i/>
        </w:rPr>
        <w:t>реднизолон</w:t>
      </w:r>
      <w:r>
        <w:rPr>
          <w:i/>
        </w:rPr>
        <w:t>**</w:t>
      </w:r>
      <w:r w:rsidRPr="005403B9">
        <w:rPr>
          <w:i/>
        </w:rPr>
        <w:t xml:space="preserve"> и антрациклины (даунорубицин</w:t>
      </w:r>
      <w:r>
        <w:rPr>
          <w:i/>
        </w:rPr>
        <w:t>**</w:t>
      </w:r>
      <w:r w:rsidRPr="005403B9">
        <w:rPr>
          <w:i/>
        </w:rPr>
        <w:t xml:space="preserve">). </w:t>
      </w:r>
    </w:p>
    <w:p w14:paraId="3513249C" w14:textId="77777777" w:rsidR="00254823" w:rsidRPr="005403B9" w:rsidRDefault="00254823" w:rsidP="000303AC">
      <w:pPr>
        <w:shd w:val="clear" w:color="auto" w:fill="FFFFFF"/>
        <w:ind w:firstLine="709"/>
        <w:contextualSpacing/>
        <w:rPr>
          <w:i/>
        </w:rPr>
      </w:pPr>
      <w:r w:rsidRPr="005403B9">
        <w:rPr>
          <w:i/>
        </w:rPr>
        <w:t>Применение того или иного глюкокортикостероидного гормона (преднизолон</w:t>
      </w:r>
      <w:r>
        <w:rPr>
          <w:i/>
        </w:rPr>
        <w:t>**</w:t>
      </w:r>
      <w:r w:rsidRPr="005403B9">
        <w:rPr>
          <w:i/>
        </w:rPr>
        <w:t>, метилпреднизолон</w:t>
      </w:r>
      <w:r>
        <w:rPr>
          <w:i/>
        </w:rPr>
        <w:t>**</w:t>
      </w:r>
      <w:r w:rsidRPr="005403B9">
        <w:rPr>
          <w:i/>
        </w:rPr>
        <w:t>, дексаметазон</w:t>
      </w:r>
      <w:r>
        <w:rPr>
          <w:i/>
        </w:rPr>
        <w:t>**</w:t>
      </w:r>
      <w:r w:rsidRPr="005403B9">
        <w:rPr>
          <w:i/>
        </w:rPr>
        <w:t>) определяется выбранным протоколом лечения. Преднизолон</w:t>
      </w:r>
      <w:r>
        <w:rPr>
          <w:i/>
        </w:rPr>
        <w:t>**</w:t>
      </w:r>
      <w:r w:rsidR="000303AC">
        <w:rPr>
          <w:i/>
        </w:rPr>
        <w:t xml:space="preserve"> иногда заменяют на д</w:t>
      </w:r>
      <w:r w:rsidRPr="005403B9">
        <w:rPr>
          <w:i/>
        </w:rPr>
        <w:t>ексаметазон</w:t>
      </w:r>
      <w:r>
        <w:rPr>
          <w:i/>
        </w:rPr>
        <w:t>**</w:t>
      </w:r>
      <w:r w:rsidRPr="005403B9">
        <w:rPr>
          <w:i/>
        </w:rPr>
        <w:t xml:space="preserve"> после оценки чувствитель</w:t>
      </w:r>
      <w:r w:rsidR="000303AC">
        <w:rPr>
          <w:i/>
        </w:rPr>
        <w:t>ности к нему, поскольку д</w:t>
      </w:r>
      <w:r w:rsidRPr="005403B9">
        <w:rPr>
          <w:i/>
        </w:rPr>
        <w:t>ексаметазон</w:t>
      </w:r>
      <w:r w:rsidR="000303AC">
        <w:rPr>
          <w:i/>
        </w:rPr>
        <w:t>**</w:t>
      </w:r>
      <w:r w:rsidRPr="005403B9">
        <w:rPr>
          <w:i/>
        </w:rPr>
        <w:t xml:space="preserve"> обладает бо</w:t>
      </w:r>
      <w:r w:rsidR="00465085">
        <w:rPr>
          <w:i/>
        </w:rPr>
        <w:t xml:space="preserve">лее выраженным цитостатическим </w:t>
      </w:r>
      <w:r w:rsidR="00A12C9B">
        <w:rPr>
          <w:i/>
        </w:rPr>
        <w:t>эффектом и проникает в ЦНС. В р</w:t>
      </w:r>
      <w:r w:rsidRPr="005403B9">
        <w:rPr>
          <w:i/>
        </w:rPr>
        <w:t xml:space="preserve">оссийском протоколе </w:t>
      </w:r>
      <w:r w:rsidR="00A12C9B">
        <w:rPr>
          <w:i/>
        </w:rPr>
        <w:t>«</w:t>
      </w:r>
      <w:r w:rsidRPr="005403B9">
        <w:rPr>
          <w:i/>
        </w:rPr>
        <w:t>ОЛЛ-2009</w:t>
      </w:r>
      <w:r w:rsidR="00A12C9B">
        <w:rPr>
          <w:i/>
        </w:rPr>
        <w:t>»</w:t>
      </w:r>
      <w:r w:rsidRPr="005403B9">
        <w:rPr>
          <w:i/>
        </w:rPr>
        <w:t xml:space="preserve"> </w:t>
      </w:r>
      <w:r w:rsidR="000303AC">
        <w:rPr>
          <w:i/>
        </w:rPr>
        <w:t>п</w:t>
      </w:r>
      <w:r w:rsidRPr="005403B9">
        <w:rPr>
          <w:i/>
        </w:rPr>
        <w:t>реднизолон</w:t>
      </w:r>
      <w:r>
        <w:rPr>
          <w:i/>
        </w:rPr>
        <w:t>**</w:t>
      </w:r>
      <w:r w:rsidR="000303AC">
        <w:rPr>
          <w:i/>
        </w:rPr>
        <w:t xml:space="preserve"> заменяют на д</w:t>
      </w:r>
      <w:r w:rsidRPr="005403B9">
        <w:rPr>
          <w:i/>
        </w:rPr>
        <w:t>ексаметазон</w:t>
      </w:r>
      <w:r>
        <w:rPr>
          <w:i/>
        </w:rPr>
        <w:t>**</w:t>
      </w:r>
      <w:r w:rsidRPr="005403B9">
        <w:rPr>
          <w:i/>
        </w:rPr>
        <w:t xml:space="preserve"> при констатации инициальной нейролейкемии или на 7</w:t>
      </w:r>
      <w:r w:rsidR="005A172A">
        <w:rPr>
          <w:i/>
        </w:rPr>
        <w:t>-й</w:t>
      </w:r>
      <w:r w:rsidRPr="005403B9">
        <w:rPr>
          <w:i/>
        </w:rPr>
        <w:t xml:space="preserve"> день, если процент бластных клеток в </w:t>
      </w:r>
      <w:r w:rsidR="00F07B8A">
        <w:rPr>
          <w:i/>
        </w:rPr>
        <w:t>КМ</w:t>
      </w:r>
      <w:r w:rsidRPr="005403B9">
        <w:rPr>
          <w:i/>
        </w:rPr>
        <w:t xml:space="preserve"> после предфазы равен или превышает 25</w:t>
      </w:r>
      <w:r w:rsidR="005A172A">
        <w:rPr>
          <w:i/>
        </w:rPr>
        <w:t xml:space="preserve"> </w:t>
      </w:r>
      <w:r w:rsidRPr="005403B9">
        <w:rPr>
          <w:i/>
        </w:rPr>
        <w:t>%. Дексаметазон</w:t>
      </w:r>
      <w:r>
        <w:rPr>
          <w:i/>
        </w:rPr>
        <w:t>**</w:t>
      </w:r>
      <w:r w:rsidRPr="005403B9">
        <w:rPr>
          <w:i/>
        </w:rPr>
        <w:t xml:space="preserve"> более токсичен и требует тщательного</w:t>
      </w:r>
      <w:r w:rsidR="00F07B8A">
        <w:rPr>
          <w:i/>
        </w:rPr>
        <w:t xml:space="preserve"> мониторирования</w:t>
      </w:r>
      <w:r w:rsidRPr="005403B9">
        <w:rPr>
          <w:i/>
        </w:rPr>
        <w:t xml:space="preserve"> с целью снижения риска серьезных инфекций. Что касается антрациклинов, то оптимальным препаратом можно считать даунорубицин</w:t>
      </w:r>
      <w:r>
        <w:rPr>
          <w:i/>
        </w:rPr>
        <w:t>**</w:t>
      </w:r>
      <w:r w:rsidRPr="005403B9">
        <w:rPr>
          <w:i/>
        </w:rPr>
        <w:t xml:space="preserve">. Способ их введения может </w:t>
      </w:r>
      <w:r w:rsidR="005A172A">
        <w:rPr>
          <w:i/>
        </w:rPr>
        <w:t>отличаться (3 дня подряд, 1 раз в неделю, 2 раза через 2</w:t>
      </w:r>
      <w:r w:rsidRPr="005403B9">
        <w:rPr>
          <w:i/>
        </w:rPr>
        <w:t xml:space="preserve"> недели), но этот параметр не оказывает влияния на частоту достижения </w:t>
      </w:r>
      <w:r w:rsidR="00F07B8A">
        <w:rPr>
          <w:i/>
        </w:rPr>
        <w:t>ПР</w:t>
      </w:r>
      <w:r w:rsidRPr="005403B9">
        <w:rPr>
          <w:i/>
        </w:rPr>
        <w:t xml:space="preserve"> и их продолжительность.</w:t>
      </w:r>
    </w:p>
    <w:p w14:paraId="3A703F14" w14:textId="2918A1BA" w:rsidR="00254823" w:rsidRPr="00AA5606" w:rsidRDefault="005A172A" w:rsidP="000303AC">
      <w:pPr>
        <w:shd w:val="clear" w:color="auto" w:fill="FFFFFF"/>
        <w:ind w:firstLine="709"/>
        <w:contextualSpacing/>
        <w:rPr>
          <w:i/>
          <w:strike/>
        </w:rPr>
      </w:pPr>
      <w:r>
        <w:rPr>
          <w:i/>
        </w:rPr>
        <w:t xml:space="preserve">Часто в </w:t>
      </w:r>
      <w:r>
        <w:rPr>
          <w:i/>
          <w:lang w:val="en-US"/>
        </w:rPr>
        <w:t>I</w:t>
      </w:r>
      <w:r w:rsidR="00254823" w:rsidRPr="005403B9">
        <w:rPr>
          <w:i/>
        </w:rPr>
        <w:t xml:space="preserve"> фазе индукции применяют аспарагиназу</w:t>
      </w:r>
      <w:r w:rsidR="00254823">
        <w:rPr>
          <w:i/>
        </w:rPr>
        <w:t>**</w:t>
      </w:r>
      <w:r w:rsidR="00254823" w:rsidRPr="005403B9">
        <w:rPr>
          <w:i/>
        </w:rPr>
        <w:t>, которая в дальнейшем может использоваться и на протяжении всей программы лечения ОЛЛ. Полагают, что этот препарат увеличивает продолжительность ПР (но не вероятность ее достижения). Однако ранняя отмена аспарагиназы</w:t>
      </w:r>
      <w:r w:rsidR="00254823">
        <w:rPr>
          <w:i/>
        </w:rPr>
        <w:t>**</w:t>
      </w:r>
      <w:r w:rsidR="00254823" w:rsidRPr="005403B9">
        <w:rPr>
          <w:i/>
        </w:rPr>
        <w:t xml:space="preserve"> вследствие развития токсических реакций не оказыва</w:t>
      </w:r>
      <w:r w:rsidR="00F07B8A">
        <w:rPr>
          <w:i/>
        </w:rPr>
        <w:t>ет</w:t>
      </w:r>
      <w:r w:rsidR="00254823" w:rsidRPr="005403B9">
        <w:rPr>
          <w:i/>
        </w:rPr>
        <w:t xml:space="preserve"> влияния</w:t>
      </w:r>
      <w:r w:rsidR="00F07B8A">
        <w:rPr>
          <w:i/>
        </w:rPr>
        <w:t xml:space="preserve"> на</w:t>
      </w:r>
      <w:r w:rsidR="00254823" w:rsidRPr="005403B9">
        <w:rPr>
          <w:i/>
        </w:rPr>
        <w:t xml:space="preserve"> долгосрочные результаты, в то время как нарушения коагуляционного гемостаза отмечаются часто (более чем у 60</w:t>
      </w:r>
      <w:r>
        <w:rPr>
          <w:i/>
        </w:rPr>
        <w:t xml:space="preserve"> </w:t>
      </w:r>
      <w:r w:rsidR="00254823" w:rsidRPr="005403B9">
        <w:rPr>
          <w:i/>
        </w:rPr>
        <w:t xml:space="preserve">%) и требуют </w:t>
      </w:r>
      <w:r w:rsidR="00254823" w:rsidRPr="005403B9">
        <w:rPr>
          <w:i/>
        </w:rPr>
        <w:lastRenderedPageBreak/>
        <w:t>мониторинга коагуляционных параметров</w:t>
      </w:r>
      <w:r w:rsidR="00F07B8A">
        <w:rPr>
          <w:i/>
        </w:rPr>
        <w:t xml:space="preserve">, а </w:t>
      </w:r>
      <w:r>
        <w:rPr>
          <w:i/>
        </w:rPr>
        <w:t>при необходимости –</w:t>
      </w:r>
      <w:r w:rsidR="00F07B8A">
        <w:rPr>
          <w:i/>
        </w:rPr>
        <w:t xml:space="preserve"> </w:t>
      </w:r>
      <w:r w:rsidR="00254823" w:rsidRPr="005403B9">
        <w:rPr>
          <w:i/>
        </w:rPr>
        <w:t xml:space="preserve">замещения антитромбина III и/или фибриногена. </w:t>
      </w:r>
    </w:p>
    <w:p w14:paraId="7F30A3E6" w14:textId="77777777" w:rsidR="00254823" w:rsidRPr="005403B9" w:rsidRDefault="005A172A" w:rsidP="000303AC">
      <w:pPr>
        <w:shd w:val="clear" w:color="auto" w:fill="FFFFFF"/>
        <w:ind w:firstLine="709"/>
        <w:contextualSpacing/>
        <w:rPr>
          <w:i/>
        </w:rPr>
      </w:pPr>
      <w:r>
        <w:rPr>
          <w:i/>
        </w:rPr>
        <w:t xml:space="preserve">В период </w:t>
      </w:r>
      <w:r>
        <w:rPr>
          <w:i/>
          <w:lang w:val="en-US"/>
        </w:rPr>
        <w:t>I</w:t>
      </w:r>
      <w:r w:rsidR="00254823" w:rsidRPr="005403B9">
        <w:rPr>
          <w:i/>
        </w:rPr>
        <w:t xml:space="preserve"> фазы </w:t>
      </w:r>
      <w:r w:rsidR="001F082E">
        <w:rPr>
          <w:i/>
        </w:rPr>
        <w:t xml:space="preserve">ИТ </w:t>
      </w:r>
      <w:r w:rsidR="00254823" w:rsidRPr="005403B9">
        <w:rPr>
          <w:i/>
        </w:rPr>
        <w:t>должно быть выполнено 5 люмбальных пункций с пр</w:t>
      </w:r>
      <w:r>
        <w:rPr>
          <w:i/>
        </w:rPr>
        <w:t>офилактическим введением трех п</w:t>
      </w:r>
      <w:r w:rsidR="00254823" w:rsidRPr="005403B9">
        <w:rPr>
          <w:i/>
        </w:rPr>
        <w:t>р</w:t>
      </w:r>
      <w:r>
        <w:rPr>
          <w:i/>
        </w:rPr>
        <w:t>е</w:t>
      </w:r>
      <w:r w:rsidR="00254823" w:rsidRPr="005403B9">
        <w:rPr>
          <w:i/>
        </w:rPr>
        <w:t>паратов (метотрексат</w:t>
      </w:r>
      <w:r w:rsidR="00254823">
        <w:rPr>
          <w:i/>
        </w:rPr>
        <w:t>**</w:t>
      </w:r>
      <w:r w:rsidR="00254823" w:rsidRPr="005403B9">
        <w:rPr>
          <w:i/>
        </w:rPr>
        <w:t>, цитарабин</w:t>
      </w:r>
      <w:r w:rsidR="00254823">
        <w:rPr>
          <w:i/>
        </w:rPr>
        <w:t>**</w:t>
      </w:r>
      <w:r w:rsidR="00254823" w:rsidRPr="005403B9">
        <w:rPr>
          <w:i/>
        </w:rPr>
        <w:t>, дексаметазон</w:t>
      </w:r>
      <w:r w:rsidR="00254823">
        <w:rPr>
          <w:i/>
        </w:rPr>
        <w:t>**</w:t>
      </w:r>
      <w:r w:rsidR="00254823" w:rsidRPr="005403B9">
        <w:rPr>
          <w:i/>
        </w:rPr>
        <w:t>)</w:t>
      </w:r>
      <w:r>
        <w:rPr>
          <w:i/>
        </w:rPr>
        <w:t>.</w:t>
      </w:r>
    </w:p>
    <w:p w14:paraId="080CB342" w14:textId="77777777" w:rsidR="00254823" w:rsidRPr="005403B9" w:rsidRDefault="00254823" w:rsidP="000303AC">
      <w:pPr>
        <w:shd w:val="clear" w:color="auto" w:fill="FFFFFF"/>
        <w:ind w:firstLine="709"/>
        <w:contextualSpacing/>
        <w:rPr>
          <w:i/>
        </w:rPr>
      </w:pPr>
      <w:r w:rsidRPr="00A97B24">
        <w:rPr>
          <w:bCs/>
          <w:i/>
        </w:rPr>
        <w:t>II фаза индукции</w:t>
      </w:r>
      <w:r w:rsidR="005A172A">
        <w:rPr>
          <w:i/>
        </w:rPr>
        <w:t xml:space="preserve"> составляет по длительности 3–</w:t>
      </w:r>
      <w:r w:rsidRPr="005403B9">
        <w:rPr>
          <w:i/>
        </w:rPr>
        <w:t>4 недели в большинстве протоколов и предусматривает использование циклофосфамида</w:t>
      </w:r>
      <w:r>
        <w:rPr>
          <w:i/>
        </w:rPr>
        <w:t>**</w:t>
      </w:r>
      <w:r w:rsidRPr="005403B9">
        <w:rPr>
          <w:i/>
        </w:rPr>
        <w:t>, стандартных доз цитарабина</w:t>
      </w:r>
      <w:r>
        <w:rPr>
          <w:i/>
        </w:rPr>
        <w:t>**</w:t>
      </w:r>
      <w:r w:rsidRPr="005403B9">
        <w:rPr>
          <w:i/>
        </w:rPr>
        <w:t xml:space="preserve"> и меркаптопурина</w:t>
      </w:r>
      <w:r>
        <w:rPr>
          <w:i/>
        </w:rPr>
        <w:t>**</w:t>
      </w:r>
      <w:r w:rsidRPr="005403B9">
        <w:rPr>
          <w:i/>
        </w:rPr>
        <w:t xml:space="preserve">. На этом этапе также выполняют </w:t>
      </w:r>
      <w:r w:rsidR="00780B99">
        <w:rPr>
          <w:i/>
        </w:rPr>
        <w:t xml:space="preserve">спинномозговые </w:t>
      </w:r>
      <w:r w:rsidRPr="005403B9">
        <w:rPr>
          <w:i/>
        </w:rPr>
        <w:t>пункции</w:t>
      </w:r>
      <w:r w:rsidR="00780B99">
        <w:rPr>
          <w:i/>
        </w:rPr>
        <w:t xml:space="preserve">. </w:t>
      </w:r>
    </w:p>
    <w:p w14:paraId="6A459276" w14:textId="77777777" w:rsidR="00254823" w:rsidRPr="005403B9" w:rsidRDefault="00254823" w:rsidP="000303AC">
      <w:pPr>
        <w:shd w:val="clear" w:color="auto" w:fill="FFFFFF"/>
        <w:ind w:firstLine="709"/>
        <w:contextualSpacing/>
        <w:rPr>
          <w:i/>
        </w:rPr>
      </w:pPr>
      <w:r w:rsidRPr="005403B9">
        <w:rPr>
          <w:i/>
        </w:rPr>
        <w:t xml:space="preserve">В протоколе </w:t>
      </w:r>
      <w:r w:rsidRPr="005403B9">
        <w:rPr>
          <w:i/>
          <w:lang w:val="en-US"/>
        </w:rPr>
        <w:t>Hy</w:t>
      </w:r>
      <w:r w:rsidRPr="005403B9">
        <w:rPr>
          <w:i/>
        </w:rPr>
        <w:t>р</w:t>
      </w:r>
      <w:r w:rsidRPr="005403B9">
        <w:rPr>
          <w:i/>
          <w:lang w:val="en-US"/>
        </w:rPr>
        <w:t>er</w:t>
      </w:r>
      <w:r w:rsidRPr="005403B9">
        <w:rPr>
          <w:i/>
        </w:rPr>
        <w:t>-</w:t>
      </w:r>
      <w:r w:rsidRPr="005403B9">
        <w:rPr>
          <w:i/>
          <w:lang w:val="en-US"/>
        </w:rPr>
        <w:t>CVAD</w:t>
      </w:r>
      <w:r w:rsidR="005A172A">
        <w:rPr>
          <w:i/>
        </w:rPr>
        <w:t xml:space="preserve"> 2-й</w:t>
      </w:r>
      <w:r w:rsidRPr="005403B9">
        <w:rPr>
          <w:i/>
        </w:rPr>
        <w:t xml:space="preserve"> этап </w:t>
      </w:r>
      <w:r w:rsidR="005A099E">
        <w:rPr>
          <w:i/>
        </w:rPr>
        <w:t>ИТ</w:t>
      </w:r>
      <w:r w:rsidRPr="005403B9">
        <w:rPr>
          <w:i/>
        </w:rPr>
        <w:t xml:space="preserve"> представляет собой выс</w:t>
      </w:r>
      <w:r w:rsidR="005A172A">
        <w:rPr>
          <w:i/>
        </w:rPr>
        <w:t>о</w:t>
      </w:r>
      <w:r w:rsidRPr="005403B9">
        <w:rPr>
          <w:i/>
        </w:rPr>
        <w:t>кодозный курс с включением цитарабина</w:t>
      </w:r>
      <w:r>
        <w:rPr>
          <w:i/>
        </w:rPr>
        <w:t>**</w:t>
      </w:r>
      <w:r w:rsidRPr="005403B9">
        <w:rPr>
          <w:i/>
        </w:rPr>
        <w:t xml:space="preserve"> и метотрексата</w:t>
      </w:r>
      <w:r>
        <w:rPr>
          <w:i/>
        </w:rPr>
        <w:t>**</w:t>
      </w:r>
      <w:r w:rsidRPr="005403B9">
        <w:rPr>
          <w:i/>
        </w:rPr>
        <w:t xml:space="preserve">. </w:t>
      </w:r>
    </w:p>
    <w:p w14:paraId="0A10AE82" w14:textId="77777777" w:rsidR="00254823" w:rsidRDefault="00254823" w:rsidP="000303AC">
      <w:pPr>
        <w:shd w:val="clear" w:color="auto" w:fill="FFFFFF"/>
        <w:ind w:firstLine="709"/>
        <w:contextualSpacing/>
        <w:rPr>
          <w:i/>
        </w:rPr>
      </w:pPr>
      <w:r w:rsidRPr="005403B9">
        <w:rPr>
          <w:i/>
        </w:rPr>
        <w:t xml:space="preserve">Недостижение </w:t>
      </w:r>
      <w:r w:rsidR="00F07B8A">
        <w:rPr>
          <w:i/>
        </w:rPr>
        <w:t>ПР</w:t>
      </w:r>
      <w:r w:rsidRPr="005403B9">
        <w:rPr>
          <w:i/>
        </w:rPr>
        <w:t xml:space="preserve"> после этой фазы индукции расценивается как рефрактерность, и </w:t>
      </w:r>
      <w:r w:rsidR="000303AC">
        <w:rPr>
          <w:i/>
        </w:rPr>
        <w:t>пациенты</w:t>
      </w:r>
      <w:r w:rsidRPr="005403B9">
        <w:rPr>
          <w:i/>
        </w:rPr>
        <w:t xml:space="preserve"> переводятся на программы лечения рефрактерных форм ОЛЛ, которые существенно отличаются</w:t>
      </w:r>
      <w:r w:rsidR="00FC508A">
        <w:rPr>
          <w:i/>
        </w:rPr>
        <w:t>,</w:t>
      </w:r>
      <w:r w:rsidRPr="005403B9">
        <w:rPr>
          <w:i/>
        </w:rPr>
        <w:t xml:space="preserve"> в зависимости от иммунофенотипического варианта.</w:t>
      </w:r>
      <w:bookmarkStart w:id="112" w:name="_Toc426795075"/>
      <w:r>
        <w:rPr>
          <w:i/>
        </w:rPr>
        <w:t xml:space="preserve"> Протоколы </w:t>
      </w:r>
      <w:r w:rsidR="00640FEA">
        <w:rPr>
          <w:i/>
        </w:rPr>
        <w:t xml:space="preserve">ХТ </w:t>
      </w:r>
      <w:r>
        <w:rPr>
          <w:i/>
        </w:rPr>
        <w:t>при</w:t>
      </w:r>
      <w:r w:rsidR="00465085">
        <w:rPr>
          <w:i/>
        </w:rPr>
        <w:t>ведены в п</w:t>
      </w:r>
      <w:r>
        <w:rPr>
          <w:i/>
        </w:rPr>
        <w:t xml:space="preserve">риложении </w:t>
      </w:r>
      <w:bookmarkStart w:id="113" w:name="_Toc464042693"/>
      <w:bookmarkStart w:id="114" w:name="_Toc465073989"/>
      <w:bookmarkStart w:id="115" w:name="_Toc505347347"/>
      <w:bookmarkEnd w:id="112"/>
      <w:r w:rsidR="001F082E">
        <w:rPr>
          <w:i/>
        </w:rPr>
        <w:t>А3.1</w:t>
      </w:r>
      <w:r w:rsidR="005A172A">
        <w:rPr>
          <w:i/>
        </w:rPr>
        <w:t>.</w:t>
      </w:r>
    </w:p>
    <w:p w14:paraId="3D036B72" w14:textId="77777777" w:rsidR="00B47998" w:rsidRDefault="00B47998" w:rsidP="00FF4C81">
      <w:pPr>
        <w:numPr>
          <w:ilvl w:val="0"/>
          <w:numId w:val="19"/>
        </w:numPr>
        <w:contextualSpacing/>
        <w:rPr>
          <w:lang w:eastAsia="zh-CN"/>
        </w:rPr>
      </w:pPr>
      <w:r w:rsidRPr="001B5C80">
        <w:rPr>
          <w:b/>
          <w:lang w:eastAsia="zh-CN"/>
        </w:rPr>
        <w:t>Рекомендуется</w:t>
      </w:r>
      <w:r>
        <w:rPr>
          <w:lang w:eastAsia="zh-CN"/>
        </w:rPr>
        <w:t xml:space="preserve"> всем пациенам с 15-го дня от начала лечения на все время ХТ выполнять профилактику пневмоцистной пневмонии </w:t>
      </w:r>
      <w:r w:rsidR="00EA5960" w:rsidRPr="00A91416">
        <w:rPr>
          <w:lang w:eastAsia="zh-CN"/>
        </w:rPr>
        <w:t>#</w:t>
      </w:r>
      <w:r>
        <w:rPr>
          <w:lang w:eastAsia="zh-CN"/>
        </w:rPr>
        <w:t>ко-тримоксазолом</w:t>
      </w:r>
      <w:r w:rsidR="00A97B24" w:rsidRPr="00A91416">
        <w:rPr>
          <w:lang w:eastAsia="zh-CN"/>
        </w:rPr>
        <w:t xml:space="preserve"> [</w:t>
      </w:r>
      <w:r w:rsidR="00A97B24">
        <w:rPr>
          <w:lang w:eastAsia="zh-CN"/>
        </w:rPr>
        <w:t>сульфаметоксазол+Триметоприм</w:t>
      </w:r>
      <w:r w:rsidR="00A97B24" w:rsidRPr="00A91416">
        <w:rPr>
          <w:lang w:eastAsia="zh-CN"/>
        </w:rPr>
        <w:t>]**</w:t>
      </w:r>
      <w:r>
        <w:rPr>
          <w:lang w:eastAsia="zh-CN"/>
        </w:rPr>
        <w:t xml:space="preserve"> (480 мг 1 раз в день ежедневно)</w:t>
      </w:r>
      <w:r w:rsidR="00A91416" w:rsidRPr="00A91416">
        <w:rPr>
          <w:lang w:eastAsia="zh-CN"/>
        </w:rPr>
        <w:t xml:space="preserve"> </w:t>
      </w:r>
      <w:r w:rsidR="00A91416">
        <w:fldChar w:fldCharType="begin" w:fldLock="1"/>
      </w:r>
      <w:r w:rsidR="00A91416">
        <w:instrText>ADDIN CSL_CITATION {"citationItems":[{"id":"ITEM-1","itemData":{"id":"ITEM-1","issued":{"date-parts":[["2012"]]},"number-of-pages":"1056","title":"Программное лечение заболеваний системы крови: Сборник алгоритмов диагностики и протоколов лечения заболеваний системы крови. Под ред. В.Г. Савченко","type":"book"},"uris":["http://www.mendeley.com/documents/?uuid=36484a90-27ae-40a9-a194-b0461fb47d9d"]},{"id":"ITEM-2","itemData":{"author":[{"dropping-particle":"","family":"Савченко","given":"Валерий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доп.","id":"ITEM-2","issued":{"date-parts":[["2007"]]},"page":"409-502","title":"Острые лейкозы","type":"chapter"},"uris":["http://www.mendeley.com/documents/?uuid=08f85f58-ddaa-48eb-b937-65d15d14b213"]}],"mendeley":{"formattedCitation":"[1,2]","plainTextFormattedCitation":"[1,2]","previouslyFormattedCitation":"[1,2]"},"properties":{"noteIndex":0},"schema":"https://github.com/citation-style-language/schema/raw/master/csl-citation.json"}</w:instrText>
      </w:r>
      <w:r w:rsidR="00A91416">
        <w:fldChar w:fldCharType="separate"/>
      </w:r>
      <w:r w:rsidR="00A91416" w:rsidRPr="00113282">
        <w:rPr>
          <w:noProof/>
        </w:rPr>
        <w:t>[1,2]</w:t>
      </w:r>
      <w:r w:rsidR="00A91416">
        <w:fldChar w:fldCharType="end"/>
      </w:r>
      <w:r w:rsidR="00A91416" w:rsidRPr="00CE2586">
        <w:rPr>
          <w:color w:val="000000"/>
        </w:rPr>
        <w:t xml:space="preserve">. </w:t>
      </w:r>
      <w:r w:rsidR="00A91416" w:rsidRPr="00224E00">
        <w:rPr>
          <w:i/>
        </w:rPr>
        <w:t xml:space="preserve"> </w:t>
      </w:r>
      <w:r>
        <w:rPr>
          <w:lang w:eastAsia="zh-CN"/>
        </w:rPr>
        <w:t xml:space="preserve"> </w:t>
      </w:r>
    </w:p>
    <w:p w14:paraId="473DD36C" w14:textId="77777777" w:rsidR="00B47998" w:rsidRPr="00F41CD7" w:rsidRDefault="00B47998" w:rsidP="00B47998">
      <w:pPr>
        <w:ind w:firstLine="709"/>
        <w:contextualSpacing/>
        <w:rPr>
          <w:b/>
          <w:color w:val="000000"/>
        </w:rPr>
      </w:pPr>
      <w:r w:rsidRPr="00044D02">
        <w:rPr>
          <w:b/>
          <w:color w:val="000000"/>
        </w:rPr>
        <w:t xml:space="preserve">Уровень убедительности рекомендаций – </w:t>
      </w:r>
      <w:r w:rsidR="00A91416">
        <w:rPr>
          <w:b/>
          <w:color w:val="000000"/>
          <w:lang w:val="en-US"/>
        </w:rPr>
        <w:t>C</w:t>
      </w:r>
      <w:r w:rsidRPr="00044D02">
        <w:rPr>
          <w:b/>
          <w:color w:val="000000"/>
        </w:rPr>
        <w:t xml:space="preserve"> (уровень достоверности доказательств – </w:t>
      </w:r>
      <w:r w:rsidR="00A91416" w:rsidRPr="00A91416">
        <w:rPr>
          <w:b/>
          <w:color w:val="000000"/>
        </w:rPr>
        <w:t>5</w:t>
      </w:r>
      <w:r w:rsidRPr="00044D02">
        <w:rPr>
          <w:b/>
          <w:color w:val="000000"/>
        </w:rPr>
        <w:t>).</w:t>
      </w:r>
    </w:p>
    <w:p w14:paraId="29E4BC5D" w14:textId="77777777" w:rsidR="00254823" w:rsidRDefault="00254823" w:rsidP="00C0620D">
      <w:pPr>
        <w:ind w:firstLine="709"/>
        <w:contextualSpacing/>
        <w:rPr>
          <w:b/>
        </w:rPr>
      </w:pPr>
      <w:r w:rsidRPr="00C36EE0">
        <w:rPr>
          <w:b/>
        </w:rPr>
        <w:t>Консолидация</w:t>
      </w:r>
      <w:bookmarkStart w:id="116" w:name="_Toc465073990"/>
      <w:bookmarkStart w:id="117" w:name="_Toc505347348"/>
      <w:bookmarkStart w:id="118" w:name="_Toc464042694"/>
      <w:bookmarkEnd w:id="113"/>
      <w:bookmarkEnd w:id="114"/>
      <w:bookmarkEnd w:id="115"/>
    </w:p>
    <w:p w14:paraId="471B055D" w14:textId="77777777" w:rsidR="00B47998" w:rsidRPr="00EB4B65" w:rsidRDefault="00B47998" w:rsidP="00FF4C81">
      <w:pPr>
        <w:numPr>
          <w:ilvl w:val="0"/>
          <w:numId w:val="19"/>
        </w:numPr>
        <w:contextualSpacing/>
        <w:rPr>
          <w:bCs/>
          <w:lang w:eastAsia="zh-CN"/>
        </w:rPr>
      </w:pPr>
      <w:r w:rsidRPr="00EB4B65">
        <w:rPr>
          <w:b/>
          <w:lang w:eastAsia="zh-CN"/>
        </w:rPr>
        <w:t xml:space="preserve">Рекомендуется </w:t>
      </w:r>
      <w:r w:rsidRPr="00EB4B65">
        <w:rPr>
          <w:bCs/>
          <w:lang w:eastAsia="zh-CN"/>
        </w:rPr>
        <w:t>всем пациентам</w:t>
      </w:r>
      <w:r>
        <w:rPr>
          <w:bCs/>
          <w:lang w:eastAsia="zh-CN"/>
        </w:rPr>
        <w:t xml:space="preserve">, достигшим ПР после завершения индукционного этапа, </w:t>
      </w:r>
      <w:r w:rsidRPr="00EB4B65">
        <w:rPr>
          <w:bCs/>
          <w:lang w:eastAsia="zh-CN"/>
        </w:rPr>
        <w:t>выполн</w:t>
      </w:r>
      <w:r>
        <w:rPr>
          <w:bCs/>
          <w:lang w:eastAsia="zh-CN"/>
        </w:rPr>
        <w:t>и</w:t>
      </w:r>
      <w:r w:rsidRPr="00EB4B65">
        <w:rPr>
          <w:bCs/>
          <w:lang w:eastAsia="zh-CN"/>
        </w:rPr>
        <w:t>ть</w:t>
      </w:r>
      <w:r>
        <w:rPr>
          <w:bCs/>
          <w:lang w:eastAsia="zh-CN"/>
        </w:rPr>
        <w:t xml:space="preserve"> этап консолидирующего лечения строго по тому же протоколу, по которому проводилась индукция </w:t>
      </w:r>
      <w:r>
        <w:fldChar w:fldCharType="begin" w:fldLock="1"/>
      </w:r>
      <w:r>
        <w:instrText>ADDIN CSL_CITATION {"citationItems":[{"id":"ITEM-1","itemData":{"id":"ITEM-1","issued":{"date-parts":[["2012"]]},"number-of-pages":"1056","title":"Программное лечение заболеваний системы крови: Сборник алгоритмов диагностики и протоколов лечения заболеваний системы крови. Под ред. В.Г. Савченко","type":"book"},"uris":["http://www.mendeley.com/documents/?uuid=36484a90-27ae-40a9-a194-b0461fb47d9d"]},{"id":"ITEM-2","itemData":{"author":[{"dropping-particle":"","family":"Савченко","given":"Валерий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доп.","id":"ITEM-2","issued":{"date-parts":[["2007"]]},"page":"409-502","title":"Острые лейкозы","type":"chapter"},"uris":["http://www.mendeley.com/documents/?uuid=08f85f58-ddaa-48eb-b937-65d15d14b213"]},{"id":"ITEM-3","itemData":{"author":[{"dropping-particle":"","family":"Brown","given":"Patrick A","non-dropping-particle":"","parse-names":false,"suffix":""},{"dropping-particle":"","family":"Shah","given":"Bijal","non-dropping-particle":"","parse-names":false,"suffix":""},{"dropping-particle":"","family":"Advani","given":"Anjali","non-dropping-particle":"","parse-names":false,"suffix":""},{"dropping-particle":"","family":"Aoun","given":"Patricia","non-dropping-particle":"","parse-names":false,"suffix":""},{"dropping-particle":"","family":"Bhatnagar","given":"Bhavana","non-dropping-particle":"","parse-names":false,"suffix":""},{"dropping-particle":"","family":"Boyer","given":"Michael W","non-dropping-particle":"","parse-names":false,"suffix":""},{"dropping-particle":"","family":"Bryan","given":"Teresa","non-dropping-particle":"","parse-names":false,"suffix":""},{"dropping-particle":"","family":"Burke","given":"Patrick W","non-dropping-particle":"","parse-names":false,"suffix":""},{"dropping-particle":"","family":"Cassaday","given":"Ryan D","non-dropping-particle":"","parse-names":false,"suffix":""},{"dropping-particle":"","family":"Coutre","given":"Steven E","non-dropping-particle":"","parse-names":false,"suffix":""},{"dropping-particle":"","family":"Coccia","given":"Peter F","non-dropping-particle":"","parse-names":false,"suffix":""},{"dropping-particle":"","family":"DeAngelo","given":"Daniel J","non-dropping-particle":"","parse-names":false,"suffix":""},{"dropping-particle":"","family":"Fathi","given":"Amir","non-dropping-particle":"","parse-names":false,"suffix":""},{"dropping-particle":"","family":"Jain","given":"Nitin","non-dropping-particle":"","parse-names":false,"suffix":""},{"dropping-particle":"","family":"Kirby","given":"Suzanne","non-dropping-particle":"","parse-names":false,"suffix":""},{"dropping-particle":"","family":"Litzow","given":"Mark","non-dropping-particle":"","parse-names":false,"suffix":""},{"dropping-particle":"","family":"Liu","given":"Arthur","non-dropping-particle":"","parse-names":false,"suffix":""},{"dropping-particle":"","family":"Logan","given":"Aaron","non-dropping-particle":"","parse-names":false,"suffix":""},{"dropping-particle":"","family":"Massaro","given":"Stephanie","non-dropping-particle":"","parse-names":false,"suffix":""},{"dropping-particle":"","family":"Mattison","given":"Ryan J","non-dropping-particle":"","parse-names":false,"suffix":""},{"dropping-particle":"","family":"Oluwole","given":"Olalekan","non-dropping-particle":"","parse-names":false,"suffix":""},{"dropping-particle":"","family":"Papadantonakis","given":"Nikolaos","non-dropping-particle":"","parse-names":false,"suffix":""},{"dropping-particle":"","family":"Park","given":"Jae","non-dropping-particle":"","parse-names":false,"suffix":""},{"dropping-particle":"","family":"Rubnitz","given":"Jeffrey E","non-dropping-particle":"","parse-names":false,"suffix":""},{"dropping-particle":"","family":"Uy","given":"Geoffrey L","non-dropping-particle":"","parse-names":false,"suffix":""},{"dropping-particle":"","family":"Wang","given":"Eunice S","non-dropping-particle":"","parse-names":false,"suffix":""},{"dropping-particle":"","family":"Wieduwilt","given":"Matthew","non-dropping-particle":"","parse-names":false,"suffix":""},{"dropping-particle":"","family":"Gregory","given":"Kristina","non-dropping-particle":"","parse-names":false,"suffix":""}],"id":"ITEM-3","issued":{"date-parts":[["2019"]]},"number-of-pages":"115","title":"NCCN Clinical Practice Guidelines in Oncology. Acute Lymphoblastic Leukemia. Version 2.2019","type":"report"},"uris":["http://www.mendeley.com/documents/?uuid=ef92918b-8a57-37b1-bea5-284dfdf15541"]},{"id":"ITEM-4","itemData":{"author":[{"dropping-particle":"","family":"Gökbuget","given":"N.","non-dropping-particle":"","parse-names":false,"suffix":""},{"dropping-particle":"","family":"Bassan","given":"R.","non-dropping-particle":"","parse-names":false,"suffix":""},{"dropping-particle":"","family":"Dombret","given":"H.","non-dropping-particle":"","parse-names":false,"suffix":""},{"dropping-particle":"","family":"Doubek","given":"M.","non-dropping-particle":"","parse-names":false,"suffix":""},{"dropping-particle":"","family":"Fielding","given":"A.K.","non-dropping-particle":"","parse-names":false,"suffix":""},{"dropping-particle":"","family":"Foà","given":"R.","non-dropping-particle":"","parse-names":false,"suffix":""},{"dropping-particle":"","family":"Giebel","given":"S.","non-dropping-particle":"","parse-names":false,"suffix":""},{"dropping-particle":"","family":"Hoelzer","given":"D.","non-dropping-particle":"","parse-names":false,"suffix":""},{"dropping-particle":"","family":"Martinelli","given":"G.","non-dropping-particle":"","parse-names":false,"suffix":""},{"dropping-particle":"","family":"Meloni","given":"G.","non-dropping-particle":"","parse-names":false,"suffix":""},{"dropping-particle":"","family":"Delia Moicean","given":"A.","non-dropping-particle":"","parse-names":false,"suffix":""},{"dropping-particle":"","family":"Ottmann","given":"O.","non-dropping-particle":"","parse-names":false,"suffix":""},{"dropping-particle":"","family":"Piccaluga","given":"P.P.","non-dropping-particle":"","parse-names":false,"suffix":""},{"dropping-particle":"","family":"Ribera","given":"J.M.","non-dropping-particle":"","parse-names":false,"suffix":""},{"dropping-particle":"","family":"Rousselot","given":"P.","non-dropping-particle":"","parse-names":false,"suffix":""},{"dropping-particle":"","family":"Walewski","given":"J.","non-dropping-particle":"","parse-names":false,"suffix":""}],"container-title":"UNI-MED Verlag AG","id":"ITEM-4","issued":{"date-parts":[["2011"]]},"number-of-pages":"204","title":"Recommendations of the European Working Group for Adult ALL (EWALL)","type":"book"},"uris":["http://www.mendeley.com/documents/?uuid=aba58166-cd2b-4f70-bb6a-5fdd9e1b42de"]}],"mendeley":{"formattedCitation":"[1,2,4,5]","plainTextFormattedCitation":"[1,2,4,5]","previouslyFormattedCitation":"[1,2,4,5]"},"properties":{"noteIndex":0},"schema":"https://github.com/citation-style-language/schema/raw/master/csl-citation.json"}</w:instrText>
      </w:r>
      <w:r>
        <w:fldChar w:fldCharType="separate"/>
      </w:r>
      <w:r w:rsidRPr="00B30EAF">
        <w:rPr>
          <w:noProof/>
        </w:rPr>
        <w:t>[1,2,4,5]</w:t>
      </w:r>
      <w:r>
        <w:fldChar w:fldCharType="end"/>
      </w:r>
      <w:r w:rsidRPr="00EB4B65">
        <w:rPr>
          <w:bCs/>
          <w:lang w:eastAsia="zh-CN"/>
        </w:rPr>
        <w:t xml:space="preserve">. </w:t>
      </w:r>
    </w:p>
    <w:p w14:paraId="72A9A8DC" w14:textId="77777777" w:rsidR="00B47998" w:rsidRPr="00EB4B65" w:rsidRDefault="00B47998" w:rsidP="00EB4B65">
      <w:pPr>
        <w:ind w:firstLine="709"/>
        <w:contextualSpacing/>
        <w:rPr>
          <w:b/>
          <w:color w:val="000000"/>
        </w:rPr>
      </w:pPr>
      <w:r w:rsidRPr="00EB4B65">
        <w:rPr>
          <w:b/>
          <w:color w:val="000000"/>
        </w:rPr>
        <w:t xml:space="preserve">Уровень убедительности рекомендаций – </w:t>
      </w:r>
      <w:r>
        <w:rPr>
          <w:b/>
          <w:color w:val="000000"/>
        </w:rPr>
        <w:t>С</w:t>
      </w:r>
      <w:r w:rsidRPr="00EB4B65">
        <w:rPr>
          <w:b/>
          <w:color w:val="000000"/>
        </w:rPr>
        <w:t xml:space="preserve"> (уровень достоверности доказательств – </w:t>
      </w:r>
      <w:r>
        <w:rPr>
          <w:b/>
          <w:color w:val="000000"/>
        </w:rPr>
        <w:t>5</w:t>
      </w:r>
      <w:r w:rsidRPr="00EB4B65">
        <w:rPr>
          <w:b/>
          <w:color w:val="000000"/>
        </w:rPr>
        <w:t>).</w:t>
      </w:r>
    </w:p>
    <w:p w14:paraId="71BFE539" w14:textId="1CC88F4D" w:rsidR="00254823" w:rsidRPr="00C36EE0" w:rsidRDefault="00B47998" w:rsidP="00254823">
      <w:pPr>
        <w:shd w:val="clear" w:color="auto" w:fill="FFFFFF"/>
        <w:ind w:firstLine="709"/>
        <w:contextualSpacing/>
        <w:rPr>
          <w:i/>
          <w:color w:val="C00000"/>
        </w:rPr>
      </w:pPr>
      <w:r w:rsidRPr="001B5C80">
        <w:rPr>
          <w:b/>
          <w:lang w:eastAsia="zh-CN"/>
        </w:rPr>
        <w:t>Комментарии:</w:t>
      </w:r>
      <w:r>
        <w:rPr>
          <w:b/>
          <w:lang w:eastAsia="zh-CN"/>
        </w:rPr>
        <w:t xml:space="preserve"> </w:t>
      </w:r>
      <w:bookmarkEnd w:id="116"/>
      <w:bookmarkEnd w:id="117"/>
      <w:bookmarkEnd w:id="118"/>
      <w:r w:rsidRPr="00C36EE0">
        <w:rPr>
          <w:i/>
        </w:rPr>
        <w:t>терапия</w:t>
      </w:r>
      <w:r w:rsidR="00254823" w:rsidRPr="00C36EE0">
        <w:rPr>
          <w:i/>
        </w:rPr>
        <w:t xml:space="preserve">, которую проводят после достижения </w:t>
      </w:r>
      <w:r w:rsidR="00F07B8A">
        <w:rPr>
          <w:i/>
        </w:rPr>
        <w:t>ПР</w:t>
      </w:r>
      <w:r w:rsidR="00254823" w:rsidRPr="00C36EE0">
        <w:rPr>
          <w:i/>
        </w:rPr>
        <w:t xml:space="preserve"> – консолидация</w:t>
      </w:r>
      <w:r w:rsidR="007B7A83">
        <w:rPr>
          <w:i/>
        </w:rPr>
        <w:t>,</w:t>
      </w:r>
      <w:r w:rsidR="00640FEA" w:rsidRPr="00C36EE0">
        <w:rPr>
          <w:i/>
        </w:rPr>
        <w:t xml:space="preserve"> </w:t>
      </w:r>
      <w:r w:rsidR="00254823" w:rsidRPr="00C36EE0">
        <w:rPr>
          <w:i/>
        </w:rPr>
        <w:t>в разных протоколах лечения существенно отличается по своей интенсивности. Большинство европейских исследовательских групп п</w:t>
      </w:r>
      <w:r w:rsidR="007B7A83">
        <w:rPr>
          <w:i/>
        </w:rPr>
        <w:t>рименяют высокодозные протоколы</w:t>
      </w:r>
      <w:r w:rsidR="00254823" w:rsidRPr="00C36EE0">
        <w:rPr>
          <w:i/>
        </w:rPr>
        <w:t xml:space="preserve"> с включением нескольких курсов цитарабина** и метотрексата** в высоких дозах, обладающих значимым миелосупрессивным эффектом и сопровождающихся длительными периодами миелотоксического агранулоцитоза и периодами без лечения. Широко</w:t>
      </w:r>
      <w:r w:rsidR="00F07B8A">
        <w:rPr>
          <w:i/>
        </w:rPr>
        <w:t xml:space="preserve"> </w:t>
      </w:r>
      <w:r w:rsidR="00254823" w:rsidRPr="00C36EE0">
        <w:rPr>
          <w:i/>
        </w:rPr>
        <w:t xml:space="preserve">используемый американский протокол </w:t>
      </w:r>
      <w:r w:rsidR="00254823" w:rsidRPr="00C36EE0">
        <w:rPr>
          <w:i/>
          <w:lang w:val="en-US"/>
        </w:rPr>
        <w:t>Hyper</w:t>
      </w:r>
      <w:r w:rsidR="004148AD">
        <w:rPr>
          <w:i/>
        </w:rPr>
        <w:t>-</w:t>
      </w:r>
      <w:r w:rsidR="00254823" w:rsidRPr="00C36EE0">
        <w:rPr>
          <w:i/>
          <w:lang w:val="en-US"/>
        </w:rPr>
        <w:t>CVAD</w:t>
      </w:r>
      <w:r w:rsidR="00254823" w:rsidRPr="00C36EE0">
        <w:rPr>
          <w:i/>
        </w:rPr>
        <w:t xml:space="preserve"> этапом консолидации называет 4 последовательных чередующихся курса, аналогичных индукции, два из которых – </w:t>
      </w:r>
      <w:r w:rsidR="00254823" w:rsidRPr="00C36EE0">
        <w:rPr>
          <w:i/>
        </w:rPr>
        <w:lastRenderedPageBreak/>
        <w:t>высокодозные</w:t>
      </w:r>
      <w:r w:rsidR="007B7A83">
        <w:rPr>
          <w:i/>
        </w:rPr>
        <w:t xml:space="preserve"> </w:t>
      </w:r>
      <w:r w:rsidR="00C632E7">
        <w:rPr>
          <w:i/>
        </w:rPr>
        <w:fldChar w:fldCharType="begin" w:fldLock="1"/>
      </w:r>
      <w:r w:rsidR="002466C9">
        <w:rPr>
          <w:i/>
        </w:rPr>
        <w:instrText>ADDIN CSL_CITATION {"citationItems":[{"id":"ITEM-1","itemData":{"DOI":"10.1002/cncr.20668","ISSN":"0008543X","abstract":"BACKGROUND. Modern intensive chemotherapy regimens have improved the prognosis for patients with adult acute lymphocytic leukemia (ALL). With these regimens, the complete response rates are now reported to be &gt; 80%, and the long-term survival rates range from 30% to 45%. The current analysis updated the long-term results with the original hyperfractionated cyclophosphamide, vincristine, doxorubicin, and dexamethasone (Hyper-CVAD) program, with a median follow-up time of 63 months. METHODS. Between 1992 and 2000, 288 patients were treated with Hyper-CVAD. The median age of the patients was 40 years, and 59 patients (20%) were ≥ age 60 years. The incidence of Philadelphia chromosome (Ph)-positive ALL was 17%, and the incidence of of T-cell ALL was 13%. RESULTS. A complete response (CR) was achieved in 92% of patients. The induction mortality rate was 5% (2% if the patient's age was &lt; 60 years, and 15% if the patient's age was ≥ 60 years). With a median follow-up time of 63 months, the 5-year survival rate was 38% and the 5-year CR duration rate was 38%. Multivariate analysis of prognostic factors for CR duration identified the following adverse factors: age ≥ 45 years, leukocytosis ≥ 50 × 109/L, poor performance status (an Eastern Cooperative Oncology Group score of 3-4), Ph-positive disease, French-American-British L2 morphology, &gt; 1 course to achieve CR, and Day 14 bone marrow blasts &gt; 5%. Patients were divided into low-risk (risk score 0-1; 37%), intermediate risk (risk score 2-3; 36%), and poor-risk groups (risk score ≥ 4; 27%) with 5-year CR duration rates of 52%, 37%, and 10%, respectively. CONCLUSIONS. Compared with the previous VAD regimens, Hyper-CVAD was associated with significantly better CR rates, CR duration, and survival. The long-term follow-up results of Hyper-CVAD were favorable. Comparison of Hyper-CVAD with other established adult ALL regimens is warranted. © 2004 American Cancer Society.","author":[{"dropping-particle":"","family":"Kantarjian","given":"Hagop","non-dropping-particle":"","parse-names":false,"suffix":""},{"dropping-particle":"","family":"Thomas","given":"Deborah","non-dropping-particle":"","parse-names":false,"suffix":""},{"dropping-particle":"","family":"O'Brien","given":"Susan","non-dropping-particle":"","parse-names":false,"suffix":""},{"dropping-particle":"","family":"Cortes","given":"Jorge","non-dropping-particle":"","parse-names":false,"suffix":""},{"dropping-particle":"","family":"Giles","given":"Francis","non-dropping-particle":"","parse-names":false,"suffix":""},{"dropping-particle":"","family":"Jeha","given":"Sima","non-dropping-particle":"","parse-names":false,"suffix":""},{"dropping-particle":"","family":"Bueso-Ramos","given":"Carlos E.","non-dropping-particle":"","parse-names":false,"suffix":""},{"dropping-particle":"","family":"Pierce","given":"Sherry","non-dropping-particle":"","parse-names":false,"suffix":""},{"dropping-particle":"","family":"Shan","given":"Jianqin","non-dropping-particle":"","parse-names":false,"suffix":""},{"dropping-particle":"","family":"Koller","given":"Charles","non-dropping-particle":"","parse-names":false,"suffix":""},{"dropping-particle":"","family":"Beran","given":"Miloslav","non-dropping-particle":"","parse-names":false,"suffix":""},{"dropping-particle":"","family":"Keating","given":"Michael","non-dropping-particle":"","parse-names":false,"suffix":""},{"dropping-particle":"","family":"Freireich","given":"Emil J.","non-dropping-particle":"","parse-names":false,"suffix":""}],"container-title":"Cancer","id":"ITEM-1","issue":"12","issued":{"date-parts":[["2004","12","15"]]},"page":"2788-2801","title":"Long-term follow-up results of hyperfractionated cyclophosphamide, vincristine, doxorubicin, and dexamethasone (Hyper-CVAD), a dose-intensive regimen, in adult acute lymphocytic leukemia","type":"article-journal","volume":"101"},"uris":["http://www.mendeley.com/documents/?uuid=6ee8bfd0-5b92-3504-a816-e7cae91350fc"]}],"mendeley":{"formattedCitation":"[56]","plainTextFormattedCitation":"[56]","previouslyFormattedCitation":"[56]"},"properties":{"noteIndex":0},"schema":"https://github.com/citation-style-language/schema/raw/master/csl-citation.json"}</w:instrText>
      </w:r>
      <w:r w:rsidR="00C632E7">
        <w:rPr>
          <w:i/>
        </w:rPr>
        <w:fldChar w:fldCharType="separate"/>
      </w:r>
      <w:r w:rsidR="00A66456" w:rsidRPr="00A66456">
        <w:rPr>
          <w:noProof/>
        </w:rPr>
        <w:t>[56]</w:t>
      </w:r>
      <w:r w:rsidR="00C632E7">
        <w:rPr>
          <w:i/>
        </w:rPr>
        <w:fldChar w:fldCharType="end"/>
      </w:r>
      <w:r w:rsidR="00C632E7" w:rsidRPr="00C36EE0">
        <w:rPr>
          <w:i/>
        </w:rPr>
        <w:t>.</w:t>
      </w:r>
      <w:r w:rsidR="00254823" w:rsidRPr="00C36EE0">
        <w:rPr>
          <w:i/>
        </w:rPr>
        <w:t xml:space="preserve"> Принципиально отличающимся подходом является этап консолидации </w:t>
      </w:r>
      <w:r w:rsidR="00F07B8A">
        <w:rPr>
          <w:i/>
        </w:rPr>
        <w:t>в</w:t>
      </w:r>
      <w:r w:rsidR="00F07B8A" w:rsidRPr="00C36EE0">
        <w:rPr>
          <w:i/>
        </w:rPr>
        <w:t xml:space="preserve"> </w:t>
      </w:r>
      <w:r w:rsidR="00254823" w:rsidRPr="00C36EE0">
        <w:rPr>
          <w:i/>
        </w:rPr>
        <w:t xml:space="preserve">российском протоколе </w:t>
      </w:r>
      <w:r w:rsidR="004148AD">
        <w:rPr>
          <w:i/>
        </w:rPr>
        <w:t>«</w:t>
      </w:r>
      <w:r w:rsidR="00254823" w:rsidRPr="00C36EE0">
        <w:rPr>
          <w:i/>
        </w:rPr>
        <w:t>ОЛЛ-2009</w:t>
      </w:r>
      <w:r w:rsidR="004148AD">
        <w:rPr>
          <w:i/>
        </w:rPr>
        <w:t>»</w:t>
      </w:r>
      <w:r w:rsidR="00254823" w:rsidRPr="00C36EE0">
        <w:rPr>
          <w:i/>
        </w:rPr>
        <w:t>, который представляет собой непрерывное цитостатическое низкодозное воздействие. Интерва</w:t>
      </w:r>
      <w:r w:rsidR="007B7A83">
        <w:rPr>
          <w:i/>
        </w:rPr>
        <w:t xml:space="preserve">л между завершением </w:t>
      </w:r>
      <w:r w:rsidR="007B7A83">
        <w:rPr>
          <w:i/>
          <w:lang w:val="en-US"/>
        </w:rPr>
        <w:t>II</w:t>
      </w:r>
      <w:r w:rsidR="00254823" w:rsidRPr="00C36EE0">
        <w:rPr>
          <w:i/>
        </w:rPr>
        <w:t xml:space="preserve"> фазы индукции и началом этапа консолида</w:t>
      </w:r>
      <w:r w:rsidR="00254823">
        <w:rPr>
          <w:i/>
        </w:rPr>
        <w:t xml:space="preserve">ции представляет собой 7 дней, </w:t>
      </w:r>
      <w:r w:rsidR="00254823" w:rsidRPr="00C36EE0">
        <w:rPr>
          <w:i/>
        </w:rPr>
        <w:t>все ос</w:t>
      </w:r>
      <w:r w:rsidR="007B7A83">
        <w:rPr>
          <w:i/>
        </w:rPr>
        <w:t>тальные этапы консолидации (1–</w:t>
      </w:r>
      <w:r w:rsidR="00254823" w:rsidRPr="00C36EE0">
        <w:rPr>
          <w:i/>
        </w:rPr>
        <w:t>3</w:t>
      </w:r>
      <w:r w:rsidR="007B7A83">
        <w:rPr>
          <w:i/>
        </w:rPr>
        <w:t>-й</w:t>
      </w:r>
      <w:r w:rsidR="00254823" w:rsidRPr="00C36EE0">
        <w:rPr>
          <w:i/>
        </w:rPr>
        <w:t xml:space="preserve"> этапы) проводят без перерывов. Консолидация 4 в протоколе ОЛЛ-2009</w:t>
      </w:r>
      <w:r w:rsidR="00465085">
        <w:rPr>
          <w:i/>
        </w:rPr>
        <w:t xml:space="preserve"> (см. приложение </w:t>
      </w:r>
      <w:r w:rsidR="001F082E">
        <w:rPr>
          <w:i/>
        </w:rPr>
        <w:t>А3.</w:t>
      </w:r>
      <w:r w:rsidR="00254823">
        <w:rPr>
          <w:i/>
        </w:rPr>
        <w:t>1)</w:t>
      </w:r>
      <w:r w:rsidR="00254823" w:rsidRPr="00C36EE0">
        <w:rPr>
          <w:i/>
        </w:rPr>
        <w:t xml:space="preserve"> представлена однократным введением метотрексата</w:t>
      </w:r>
      <w:r w:rsidR="00254823">
        <w:rPr>
          <w:i/>
        </w:rPr>
        <w:t>**</w:t>
      </w:r>
      <w:r w:rsidR="00254823" w:rsidRPr="00C36EE0">
        <w:rPr>
          <w:i/>
        </w:rPr>
        <w:t xml:space="preserve"> в высокой дозе (1,5 г/м</w:t>
      </w:r>
      <w:r w:rsidR="00254823" w:rsidRPr="00C36EE0">
        <w:rPr>
          <w:i/>
          <w:vertAlign w:val="superscript"/>
        </w:rPr>
        <w:t>2</w:t>
      </w:r>
      <w:r w:rsidR="007B7A83">
        <w:rPr>
          <w:i/>
        </w:rPr>
        <w:t>) на фоне 3</w:t>
      </w:r>
      <w:r w:rsidR="00254823" w:rsidRPr="00C36EE0">
        <w:rPr>
          <w:i/>
        </w:rPr>
        <w:t xml:space="preserve"> дней дексаметазона** и однократным введением аспарагиназы**; консолидация 5 – однодневным введением цитарабина</w:t>
      </w:r>
      <w:r w:rsidR="00254823">
        <w:rPr>
          <w:i/>
        </w:rPr>
        <w:t>**</w:t>
      </w:r>
      <w:r w:rsidR="00254823" w:rsidRPr="00C36EE0">
        <w:rPr>
          <w:i/>
        </w:rPr>
        <w:t xml:space="preserve"> в дозе 2 г/м</w:t>
      </w:r>
      <w:r w:rsidR="00254823" w:rsidRPr="00C36EE0">
        <w:rPr>
          <w:i/>
          <w:vertAlign w:val="superscript"/>
        </w:rPr>
        <w:t>2</w:t>
      </w:r>
      <w:r w:rsidR="00254823" w:rsidRPr="00C36EE0">
        <w:rPr>
          <w:i/>
        </w:rPr>
        <w:t xml:space="preserve"> 2 раза в день</w:t>
      </w:r>
      <w:r w:rsidR="00345E37">
        <w:rPr>
          <w:i/>
        </w:rPr>
        <w:t xml:space="preserve"> </w:t>
      </w:r>
      <w:r w:rsidR="007B7A83">
        <w:rPr>
          <w:i/>
        </w:rPr>
        <w:t>на фоне 3</w:t>
      </w:r>
      <w:r w:rsidR="00345E37" w:rsidRPr="00C36EE0">
        <w:rPr>
          <w:i/>
        </w:rPr>
        <w:t xml:space="preserve"> дней дексаметазона** и однократным введением аспарагиназы**</w:t>
      </w:r>
      <w:r w:rsidR="007B7A83">
        <w:rPr>
          <w:i/>
        </w:rPr>
        <w:t xml:space="preserve"> </w:t>
      </w:r>
      <w:r w:rsidR="00C632E7">
        <w:rPr>
          <w:i/>
        </w:rPr>
        <w:fldChar w:fldCharType="begin" w:fldLock="1"/>
      </w:r>
      <w:r w:rsidR="002466C9">
        <w:rPr>
          <w:i/>
        </w:rPr>
        <w:instrText>ADDIN CSL_CITATION {"citationItems":[{"id":"ITEM-1","itemData":{"author":[{"dropping-particle":"","family":"Паровичникова","given":"Е. Н.","non-dropping-particle":"","parse-names":false,"suffix":""},{"dropping-particle":"","family":"Соколов","given":"А. Н.","non-dropping-particle":"","parse-names":false,"suffix":""},{"dropping-particle":"","family":"Троицкая","given":"В. В.","non-dropping-particle":"","parse-names":false,"suffix":""},{"dropping-particle":"","family":"Клясова","given":"Г. А.","non-dropping-particle":"","parse-names":false,"suffix":""},{"dropping-particle":"","family":"Русинов","given":"М. А.","non-dropping-particle":"","parse-names":false,"suffix":""},{"dropping-particle":"","family":"Ахмерзаева","given":"З. Х.","non-dropping-particle":"","parse-names":false,"suffix":""},{"dropping-particle":"","family":"Кузьмина","given":"Л. А.","non-dropping-particle":"","parse-names":false,"suffix":""},{"dropping-particle":"","family":"Бондаренко","given":"С. Н.","non-dropping-particle":"","parse-names":false,"suffix":""},{"dropping-particle":"","family":"Баранова","given":"О. Ю.","non-dropping-particle":"","parse-names":false,"suffix":""},{"dropping-particle":"","family":"Капорская","given":"Т. С.","non-dropping-particle":"","parse-names":false,"suffix":""},{"dropping-particle":"","family":"Зотина","given":"Е. Н.","non-dropping-particle":"","parse-names":false,"suffix":""},{"dropping-particle":"","family":"Зинина","given":"Е. Е.","non-dropping-particle":"","parse-names":false,"suffix":""},{"dropping-particle":"","family":"Самойлова","given":"О. С.","non-dropping-particle":"","parse-names":false,"suffix":""},{"dropping-particle":"","family":"Гаврилова","given":"Л. В.","non-dropping-particle":"","parse-names":false,"suffix":""},{"dropping-particle":"","family":"Капланов","given":"К. Д.","non-dropping-particle":"","parse-names":false,"suffix":""},{"dropping-particle":"","family":"Константинова","given":"Т. С.","non-dropping-particle":"","parse-names":false,"suffix":""},{"dropping-particle":"","family":"Лапин","given":"В. А.","non-dropping-particle":"","parse-names":false,"suffix":""},{"dropping-particle":"","family":"Кравченко","given":"С. К.","non-dropping-particle":"","parse-names":false,"suffix":""},{"dropping-particle":"","family":"Грибанова","given":"Е. О.","non-dropping-particle":"","parse-names":false,"suffix":""},{"dropping-particle":"","family":"Звонков","given":"Е. Е.","non-dropping-particle":"","parse-names":false,"suffix":""},{"dropping-particle":"","family":"Гаврилина","given":"О. А.","non-dropping-particle":"","parse-names":false,"suffix":""},{"dropping-particle":"","family":"Басхаева","given":"Г. А.","non-dropping-particle":"","parse-names":false,"suffix":""},{"dropping-particle":"","family":"Галстян","given":"Г. М.","non-dropping-particle":"","parse-names":false,"suffix":""},{"dropping-particle":"","family":"Обухова","given":"Т. Н.","non-dropping-particle":"","parse-names":false,"suffix":""},{"dropping-particle":"","family":"Гальцева","given":"И. В.","non-dropping-particle":"","parse-names":false,"suffix":""},{"dropping-particle":"","family":"Куликов","given":"С. М.","non-dropping-particle":"","parse-names":false,"suffix":""},{"dropping-particle":"","family":"Савченко","given":"В. Г.","non-dropping-particle":"","parse-names":false,"suffix":""}],"container-title":"Терапевтический архив","id":"ITEM-1","issue":"7","issued":{"date-parts":[["2016"]]},"page":"15-24","title":"Острые Ph-негативные лимфобластные лейкозы взрослых: факторы риска при использовании протокола ОЛЛ-2009","type":"article-journal","volume":"88"},"uris":["http://www.mendeley.com/documents/?uuid=d6ffd749-eb80-4bcb-9819-7bd025632cb5"]}],"mendeley":{"formattedCitation":"[66]","plainTextFormattedCitation":"[66]","previouslyFormattedCitation":"[66]"},"properties":{"noteIndex":0},"schema":"https://github.com/citation-style-language/schema/raw/master/csl-citation.json"}</w:instrText>
      </w:r>
      <w:r w:rsidR="00C632E7">
        <w:rPr>
          <w:i/>
        </w:rPr>
        <w:fldChar w:fldCharType="separate"/>
      </w:r>
      <w:r w:rsidR="00A66456" w:rsidRPr="00A66456">
        <w:rPr>
          <w:noProof/>
        </w:rPr>
        <w:t>[66]</w:t>
      </w:r>
      <w:r w:rsidR="00C632E7">
        <w:rPr>
          <w:i/>
        </w:rPr>
        <w:fldChar w:fldCharType="end"/>
      </w:r>
      <w:r w:rsidR="00C632E7" w:rsidRPr="00862C73">
        <w:rPr>
          <w:i/>
        </w:rPr>
        <w:t>.</w:t>
      </w:r>
    </w:p>
    <w:p w14:paraId="69C9ABB9" w14:textId="77777777" w:rsidR="00254823" w:rsidRDefault="00254823" w:rsidP="00254823">
      <w:pPr>
        <w:shd w:val="clear" w:color="auto" w:fill="FFFFFF"/>
        <w:ind w:firstLine="709"/>
        <w:contextualSpacing/>
        <w:rPr>
          <w:i/>
        </w:rPr>
      </w:pPr>
      <w:r w:rsidRPr="00C36EE0">
        <w:rPr>
          <w:i/>
        </w:rPr>
        <w:t>Хотелось бы отметить, что в российских гематологических центрах фактически отсутствует возможность мониторинга концентрации метотрексата</w:t>
      </w:r>
      <w:r>
        <w:rPr>
          <w:i/>
        </w:rPr>
        <w:t>**</w:t>
      </w:r>
      <w:r w:rsidRPr="00C36EE0">
        <w:rPr>
          <w:i/>
        </w:rPr>
        <w:t>, что неукоснительно требуется при выполнении высокодозной терапии. Вследствие этого даже однократное использвание метотрексата</w:t>
      </w:r>
      <w:r w:rsidR="00640FEA">
        <w:rPr>
          <w:i/>
        </w:rPr>
        <w:t>**</w:t>
      </w:r>
      <w:r w:rsidRPr="00C36EE0">
        <w:rPr>
          <w:i/>
        </w:rPr>
        <w:t xml:space="preserve"> в высокой дозе сопровождается летальностью</w:t>
      </w:r>
      <w:r w:rsidRPr="00A5114B">
        <w:rPr>
          <w:i/>
        </w:rPr>
        <w:t>, связанной с токсичностью препарата</w:t>
      </w:r>
      <w:r w:rsidR="00A5114B">
        <w:rPr>
          <w:i/>
        </w:rPr>
        <w:t>.</w:t>
      </w:r>
      <w:r w:rsidR="00640FEA">
        <w:rPr>
          <w:i/>
        </w:rPr>
        <w:t xml:space="preserve"> </w:t>
      </w:r>
      <w:r w:rsidRPr="00C36EE0">
        <w:rPr>
          <w:i/>
        </w:rPr>
        <w:t>В связи с этим хотелось бы обратить внимание гематологов, которые выбирают иные зарубежные программы лечения, на то, что в этих протоколах метотрексат</w:t>
      </w:r>
      <w:r>
        <w:rPr>
          <w:i/>
        </w:rPr>
        <w:t>**</w:t>
      </w:r>
      <w:r w:rsidRPr="00C36EE0">
        <w:rPr>
          <w:i/>
        </w:rPr>
        <w:t xml:space="preserve"> в высок</w:t>
      </w:r>
      <w:r w:rsidR="007B7A83">
        <w:rPr>
          <w:i/>
        </w:rPr>
        <w:t>их дозах применяют неоднократно</w:t>
      </w:r>
      <w:r w:rsidRPr="00C36EE0">
        <w:rPr>
          <w:i/>
        </w:rPr>
        <w:t xml:space="preserve"> и использование метотрексата</w:t>
      </w:r>
      <w:r>
        <w:rPr>
          <w:i/>
        </w:rPr>
        <w:t>**</w:t>
      </w:r>
      <w:r w:rsidRPr="00C36EE0">
        <w:rPr>
          <w:i/>
        </w:rPr>
        <w:t xml:space="preserve"> в</w:t>
      </w:r>
      <w:r w:rsidR="0075012C">
        <w:rPr>
          <w:i/>
        </w:rPr>
        <w:t xml:space="preserve"> предписанных</w:t>
      </w:r>
      <w:r w:rsidRPr="00C36EE0">
        <w:rPr>
          <w:i/>
        </w:rPr>
        <w:t xml:space="preserve"> дозах без наличия адекватного мониторинга с высокой вероятностью может закончит</w:t>
      </w:r>
      <w:r w:rsidR="00112812">
        <w:rPr>
          <w:i/>
        </w:rPr>
        <w:t>ь</w:t>
      </w:r>
      <w:r w:rsidRPr="00C36EE0">
        <w:rPr>
          <w:i/>
        </w:rPr>
        <w:t xml:space="preserve">ся летальным исходом. </w:t>
      </w:r>
    </w:p>
    <w:p w14:paraId="30BB018A" w14:textId="2D07148E" w:rsidR="004B1614" w:rsidRPr="009F500F" w:rsidRDefault="004B1614" w:rsidP="00254823">
      <w:pPr>
        <w:shd w:val="clear" w:color="auto" w:fill="FFFFFF"/>
        <w:ind w:firstLine="709"/>
        <w:contextualSpacing/>
        <w:rPr>
          <w:i/>
        </w:rPr>
      </w:pPr>
      <w:r w:rsidRPr="009F500F">
        <w:rPr>
          <w:i/>
        </w:rPr>
        <w:t>Протокол «ОЛЛ-2016» полностью соответствует принципам терапии протоколу «ОЛЛ-2009», однако в нем предусмотрен уход от применения высоких доз метотрексата и цитарабина в консолидации 4 и 5, и консолидация 4 и 5 представляет собой 4-х недельные курсы с априменением меркаптопурина, метотрексата, цитарабина с стандартных дозах при ОЛЛ. Результаты многоцентрового исследования показали, что по долгосрочным результатам эффективность обоих протоколов сопоставима.</w:t>
      </w:r>
    </w:p>
    <w:p w14:paraId="78CDC753" w14:textId="77777777" w:rsidR="00254823" w:rsidRPr="00C36EE0" w:rsidRDefault="00254823" w:rsidP="00FF4C81">
      <w:pPr>
        <w:numPr>
          <w:ilvl w:val="0"/>
          <w:numId w:val="19"/>
        </w:numPr>
        <w:contextualSpacing/>
        <w:rPr>
          <w:lang w:eastAsia="zh-CN"/>
        </w:rPr>
      </w:pPr>
      <w:r w:rsidRPr="00C36EE0">
        <w:rPr>
          <w:b/>
          <w:lang w:eastAsia="zh-CN"/>
        </w:rPr>
        <w:t>Рекомендуется</w:t>
      </w:r>
      <w:r>
        <w:rPr>
          <w:b/>
          <w:lang w:eastAsia="zh-CN"/>
        </w:rPr>
        <w:t xml:space="preserve"> </w:t>
      </w:r>
      <w:r w:rsidRPr="009A7FA9">
        <w:rPr>
          <w:lang w:eastAsia="zh-CN"/>
        </w:rPr>
        <w:t>пациентам</w:t>
      </w:r>
      <w:r w:rsidRPr="00C36EE0">
        <w:rPr>
          <w:lang w:eastAsia="zh-CN"/>
        </w:rPr>
        <w:t xml:space="preserve"> использование метотрексата** в вы</w:t>
      </w:r>
      <w:r w:rsidR="000303AC">
        <w:rPr>
          <w:lang w:eastAsia="zh-CN"/>
        </w:rPr>
        <w:t>соких дозах согл</w:t>
      </w:r>
      <w:r w:rsidR="00A87BDE">
        <w:rPr>
          <w:lang w:eastAsia="zh-CN"/>
        </w:rPr>
        <w:t xml:space="preserve">асно </w:t>
      </w:r>
      <w:r w:rsidR="006E70DD">
        <w:rPr>
          <w:lang w:eastAsia="zh-CN"/>
        </w:rPr>
        <w:t xml:space="preserve">протоколам </w:t>
      </w:r>
      <w:r w:rsidRPr="00C36EE0">
        <w:rPr>
          <w:lang w:eastAsia="zh-CN"/>
        </w:rPr>
        <w:t>лечения только в гематологических центрах, где есть возможность осуществлять измерение концентрации препарата в сыворотке крови</w:t>
      </w:r>
      <w:r w:rsidR="00C632E7">
        <w:rPr>
          <w:lang w:eastAsia="zh-CN"/>
        </w:rPr>
        <w:t>, для предотвращения тяжелых нежелательных явлений, обусловленных неадекватной элиминацией метотрексата</w:t>
      </w:r>
      <w:r w:rsidRPr="00C36EE0">
        <w:rPr>
          <w:lang w:eastAsia="zh-CN"/>
        </w:rPr>
        <w:t>. При отсутствии этой возможности целесообразно выбирать протоколы без высокодозных курсов</w:t>
      </w:r>
      <w:r w:rsidR="00112812">
        <w:t xml:space="preserve"> </w:t>
      </w:r>
      <w:r w:rsidR="00C632E7">
        <w:fldChar w:fldCharType="begin" w:fldLock="1"/>
      </w:r>
      <w:r w:rsidR="00C632E7">
        <w:instrText>ADDIN CSL_CITATION {"citationItems":[{"id":"ITEM-1","itemData":{"id":"ITEM-1","issued":{"date-parts":[["2012"]]},"number-of-pages":"1056","title":"Программное лечение заболеваний системы крови: Сборник алгоритмов диагностики и протоколов лечения заболеваний системы крови. Под ред. В.Г. Савченко","type":"book"},"uris":["http://www.mendeley.com/documents/?uuid=36484a90-27ae-40a9-a194-b0461fb47d9d"]},{"id":"ITEM-2","itemData":{"author":[{"dropping-particle":"","family":"Савченко","given":"Валерий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доп.","id":"ITEM-2","issued":{"date-parts":[["2007"]]},"page":"409-502","title":"Острые лейкозы","type":"chapter"},"uris":["http://www.mendeley.com/documents/?uuid=08f85f58-ddaa-48eb-b937-65d15d14b213"]},{"id":"ITEM-3","itemData":{"author":[{"dropping-particle":"","family":"Brown","given":"Patrick A","non-dropping-particle":"","parse-names":false,"suffix":""},{"dropping-particle":"","family":"Shah","given":"Bijal","non-dropping-particle":"","parse-names":false,"suffix":""},{"dropping-particle":"","family":"Advani","given":"Anjali","non-dropping-particle":"","parse-names":false,"suffix":""},{"dropping-particle":"","family":"Aoun","given":"Patricia","non-dropping-particle":"","parse-names":false,"suffix":""},{"dropping-particle":"","family":"Bhatnagar","given":"Bhavana","non-dropping-particle":"","parse-names":false,"suffix":""},{"dropping-particle":"","family":"Boyer","given":"Michael W","non-dropping-particle":"","parse-names":false,"suffix":""},{"dropping-particle":"","family":"Bryan","given":"Teresa","non-dropping-particle":"","parse-names":false,"suffix":""},{"dropping-particle":"","family":"Burke","given":"Patrick W","non-dropping-particle":"","parse-names":false,"suffix":""},{"dropping-particle":"","family":"Cassaday","given":"Ryan D","non-dropping-particle":"","parse-names":false,"suffix":""},{"dropping-particle":"","family":"Coutre","given":"Steven E","non-dropping-particle":"","parse-names":false,"suffix":""},{"dropping-particle":"","family":"Coccia","given":"Peter F","non-dropping-particle":"","parse-names":false,"suffix":""},{"dropping-particle":"","family":"DeAngelo","given":"Daniel J","non-dropping-particle":"","parse-names":false,"suffix":""},{"dropping-particle":"","family":"Fathi","given":"Amir","non-dropping-particle":"","parse-names":false,"suffix":""},{"dropping-particle":"","family":"Jain","given":"Nitin","non-dropping-particle":"","parse-names":false,"suffix":""},{"dropping-particle":"","family":"Kirby","given":"Suzanne","non-dropping-particle":"","parse-names":false,"suffix":""},{"dropping-particle":"","family":"Litzow","given":"Mark","non-dropping-particle":"","parse-names":false,"suffix":""},{"dropping-particle":"","family":"Liu","given":"Arthur","non-dropping-particle":"","parse-names":false,"suffix":""},{"dropping-particle":"","family":"Logan","given":"Aaron","non-dropping-particle":"","parse-names":false,"suffix":""},{"dropping-particle":"","family":"Massaro","given":"Stephanie","non-dropping-particle":"","parse-names":false,"suffix":""},{"dropping-particle":"","family":"Mattison","given":"Ryan J","non-dropping-particle":"","parse-names":false,"suffix":""},{"dropping-particle":"","family":"Oluwole","given":"Olalekan","non-dropping-particle":"","parse-names":false,"suffix":""},{"dropping-particle":"","family":"Papadantonakis","given":"Nikolaos","non-dropping-particle":"","parse-names":false,"suffix":""},{"dropping-particle":"","family":"Park","given":"Jae","non-dropping-particle":"","parse-names":false,"suffix":""},{"dropping-particle":"","family":"Rubnitz","given":"Jeffrey E","non-dropping-particle":"","parse-names":false,"suffix":""},{"dropping-particle":"","family":"Uy","given":"Geoffrey L","non-dropping-particle":"","parse-names":false,"suffix":""},{"dropping-particle":"","family":"Wang","given":"Eunice S","non-dropping-particle":"","parse-names":false,"suffix":""},{"dropping-particle":"","family":"Wieduwilt","given":"Matthew","non-dropping-particle":"","parse-names":false,"suffix":""},{"dropping-particle":"","family":"Gregory","given":"Kristina","non-dropping-particle":"","parse-names":false,"suffix":""}],"id":"ITEM-3","issued":{"date-parts":[["2019"]]},"number-of-pages":"115","title":"NCCN Clinical Practice Guidelines in Oncology. Acute Lymphoblastic Leukemia. Version 2.2019","type":"report"},"uris":["http://www.mendeley.com/documents/?uuid=ef92918b-8a57-37b1-bea5-284dfdf15541"]},{"id":"ITEM-4","itemData":{"author":[{"dropping-particle":"","family":"Gökbuget","given":"N.","non-dropping-particle":"","parse-names":false,"suffix":""},{"dropping-particle":"","family":"Bassan","given":"R.","non-dropping-particle":"","parse-names":false,"suffix":""},{"dropping-particle":"","family":"Dombret","given":"H.","non-dropping-particle":"","parse-names":false,"suffix":""},{"dropping-particle":"","family":"Doubek","given":"M.","non-dropping-particle":"","parse-names":false,"suffix":""},{"dropping-particle":"","family":"Fielding","given":"A.K.","non-dropping-particle":"","parse-names":false,"suffix":""},{"dropping-particle":"","family":"Foà","given":"R.","non-dropping-particle":"","parse-names":false,"suffix":""},{"dropping-particle":"","family":"Giebel","given":"S.","non-dropping-particle":"","parse-names":false,"suffix":""},{"dropping-particle":"","family":"Hoelzer","given":"D.","non-dropping-particle":"","parse-names":false,"suffix":""},{"dropping-particle":"","family":"Martinelli","given":"G.","non-dropping-particle":"","parse-names":false,"suffix":""},{"dropping-particle":"","family":"Meloni","given":"G.","non-dropping-particle":"","parse-names":false,"suffix":""},{"dropping-particle":"","family":"Delia Moicean","given":"A.","non-dropping-particle":"","parse-names":false,"suffix":""},{"dropping-particle":"","family":"Ottmann","given":"O.","non-dropping-particle":"","parse-names":false,"suffix":""},{"dropping-particle":"","family":"Piccaluga","given":"P.P.","non-dropping-particle":"","parse-names":false,"suffix":""},{"dropping-particle":"","family":"Ribera","given":"J.M.","non-dropping-particle":"","parse-names":false,"suffix":""},{"dropping-particle":"","family":"Rousselot","given":"P.","non-dropping-particle":"","parse-names":false,"suffix":""},{"dropping-particle":"","family":"Walewski","given":"J.","non-dropping-particle":"","parse-names":false,"suffix":""}],"container-title":"UNI-MED Verlag AG","id":"ITEM-4","issued":{"date-parts":[["2011"]]},"number-of-pages":"204","title":"Recommendations of the European Working Group for Adult ALL (EWALL)","type":"book"},"uris":["http://www.mendeley.com/documents/?uuid=aba58166-cd2b-4f70-bb6a-5fdd9e1b42de"]}],"mendeley":{"formattedCitation":"[1,2,4,5]","plainTextFormattedCitation":"[1,2,4,5]","previouslyFormattedCitation":"[1,2,4,5]"},"properties":{"noteIndex":0},"schema":"https://github.com/citation-style-language/schema/raw/master/csl-citation.json"}</w:instrText>
      </w:r>
      <w:r w:rsidR="00C632E7">
        <w:fldChar w:fldCharType="separate"/>
      </w:r>
      <w:r w:rsidR="00C632E7" w:rsidRPr="00B30EAF">
        <w:rPr>
          <w:noProof/>
        </w:rPr>
        <w:t>[1,2,4,5]</w:t>
      </w:r>
      <w:r w:rsidR="00C632E7">
        <w:fldChar w:fldCharType="end"/>
      </w:r>
      <w:r w:rsidR="00C632E7">
        <w:rPr>
          <w:lang w:eastAsia="zh-CN"/>
        </w:rPr>
        <w:t>.</w:t>
      </w:r>
    </w:p>
    <w:p w14:paraId="0964A34E" w14:textId="77777777" w:rsidR="00254823" w:rsidRPr="00C36EE0" w:rsidRDefault="00254823" w:rsidP="000303AC">
      <w:pPr>
        <w:ind w:firstLine="709"/>
        <w:contextualSpacing/>
        <w:rPr>
          <w:b/>
          <w:color w:val="000000"/>
        </w:rPr>
      </w:pPr>
      <w:r w:rsidRPr="00C36EE0">
        <w:rPr>
          <w:b/>
          <w:color w:val="000000"/>
        </w:rPr>
        <w:t>Урове</w:t>
      </w:r>
      <w:r>
        <w:rPr>
          <w:b/>
          <w:color w:val="000000"/>
        </w:rPr>
        <w:t xml:space="preserve">нь убедительности рекомендаций </w:t>
      </w:r>
      <w:r w:rsidR="00112812">
        <w:rPr>
          <w:b/>
          <w:color w:val="000000"/>
        </w:rPr>
        <w:t xml:space="preserve">– </w:t>
      </w:r>
      <w:r w:rsidR="0075012C">
        <w:rPr>
          <w:b/>
          <w:color w:val="000000"/>
        </w:rPr>
        <w:t>С</w:t>
      </w:r>
      <w:r w:rsidRPr="00C36EE0">
        <w:rPr>
          <w:b/>
          <w:color w:val="000000"/>
        </w:rPr>
        <w:t xml:space="preserve"> (уровень </w:t>
      </w:r>
      <w:r>
        <w:rPr>
          <w:b/>
          <w:color w:val="000000"/>
        </w:rPr>
        <w:t>достоверности доказательств – 5</w:t>
      </w:r>
      <w:r w:rsidR="000303AC">
        <w:rPr>
          <w:b/>
          <w:color w:val="000000"/>
        </w:rPr>
        <w:t>)</w:t>
      </w:r>
      <w:r w:rsidR="00112812">
        <w:rPr>
          <w:b/>
          <w:color w:val="000000"/>
        </w:rPr>
        <w:t>.</w:t>
      </w:r>
    </w:p>
    <w:p w14:paraId="74D9AD64" w14:textId="77777777" w:rsidR="00254823" w:rsidRPr="00C36EE0" w:rsidRDefault="00254823" w:rsidP="00FF4C81">
      <w:pPr>
        <w:numPr>
          <w:ilvl w:val="0"/>
          <w:numId w:val="19"/>
        </w:numPr>
        <w:contextualSpacing/>
        <w:rPr>
          <w:lang w:eastAsia="zh-CN"/>
        </w:rPr>
      </w:pPr>
      <w:r w:rsidRPr="00C36EE0">
        <w:rPr>
          <w:b/>
          <w:lang w:eastAsia="zh-CN"/>
        </w:rPr>
        <w:lastRenderedPageBreak/>
        <w:t>Рекомендуется</w:t>
      </w:r>
      <w:r w:rsidRPr="00C36EE0">
        <w:rPr>
          <w:lang w:eastAsia="zh-CN"/>
        </w:rPr>
        <w:t xml:space="preserve"> </w:t>
      </w:r>
      <w:r>
        <w:rPr>
          <w:lang w:eastAsia="zh-CN"/>
        </w:rPr>
        <w:t xml:space="preserve">всем пациентам </w:t>
      </w:r>
      <w:r w:rsidRPr="00C36EE0">
        <w:rPr>
          <w:lang w:eastAsia="zh-CN"/>
        </w:rPr>
        <w:t xml:space="preserve">неукоснительно соблюдать </w:t>
      </w:r>
      <w:r>
        <w:rPr>
          <w:lang w:eastAsia="zh-CN"/>
        </w:rPr>
        <w:t>временной регламент протоколов</w:t>
      </w:r>
      <w:r w:rsidR="00C632E7">
        <w:rPr>
          <w:lang w:eastAsia="zh-CN"/>
        </w:rPr>
        <w:t xml:space="preserve"> </w:t>
      </w:r>
      <w:r w:rsidR="00C632E7">
        <w:fldChar w:fldCharType="begin" w:fldLock="1"/>
      </w:r>
      <w:r w:rsidR="00C632E7">
        <w:instrText>ADDIN CSL_CITATION {"citationItems":[{"id":"ITEM-1","itemData":{"id":"ITEM-1","issued":{"date-parts":[["2012"]]},"number-of-pages":"1056","title":"Программное лечение заболеваний системы крови: Сборник алгоритмов диагностики и протоколов лечения заболеваний системы крови. Под ред. В.Г. Савченко","type":"book"},"uris":["http://www.mendeley.com/documents/?uuid=36484a90-27ae-40a9-a194-b0461fb47d9d"]},{"id":"ITEM-2","itemData":{"author":[{"dropping-particle":"","family":"Савченко","given":"Валерий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доп.","id":"ITEM-2","issued":{"date-parts":[["2007"]]},"page":"409-502","title":"Острые лейкозы","type":"chapter"},"uris":["http://www.mendeley.com/documents/?uuid=08f85f58-ddaa-48eb-b937-65d15d14b213"]},{"id":"ITEM-3","itemData":{"author":[{"dropping-particle":"","family":"Brown","given":"Patrick A","non-dropping-particle":"","parse-names":false,"suffix":""},{"dropping-particle":"","family":"Shah","given":"Bijal","non-dropping-particle":"","parse-names":false,"suffix":""},{"dropping-particle":"","family":"Advani","given":"Anjali","non-dropping-particle":"","parse-names":false,"suffix":""},{"dropping-particle":"","family":"Aoun","given":"Patricia","non-dropping-particle":"","parse-names":false,"suffix":""},{"dropping-particle":"","family":"Bhatnagar","given":"Bhavana","non-dropping-particle":"","parse-names":false,"suffix":""},{"dropping-particle":"","family":"Boyer","given":"Michael W","non-dropping-particle":"","parse-names":false,"suffix":""},{"dropping-particle":"","family":"Bryan","given":"Teresa","non-dropping-particle":"","parse-names":false,"suffix":""},{"dropping-particle":"","family":"Burke","given":"Patrick W","non-dropping-particle":"","parse-names":false,"suffix":""},{"dropping-particle":"","family":"Cassaday","given":"Ryan D","non-dropping-particle":"","parse-names":false,"suffix":""},{"dropping-particle":"","family":"Coutre","given":"Steven E","non-dropping-particle":"","parse-names":false,"suffix":""},{"dropping-particle":"","family":"Coccia","given":"Peter F","non-dropping-particle":"","parse-names":false,"suffix":""},{"dropping-particle":"","family":"DeAngelo","given":"Daniel J","non-dropping-particle":"","parse-names":false,"suffix":""},{"dropping-particle":"","family":"Fathi","given":"Amir","non-dropping-particle":"","parse-names":false,"suffix":""},{"dropping-particle":"","family":"Jain","given":"Nitin","non-dropping-particle":"","parse-names":false,"suffix":""},{"dropping-particle":"","family":"Kirby","given":"Suzanne","non-dropping-particle":"","parse-names":false,"suffix":""},{"dropping-particle":"","family":"Litzow","given":"Mark","non-dropping-particle":"","parse-names":false,"suffix":""},{"dropping-particle":"","family":"Liu","given":"Arthur","non-dropping-particle":"","parse-names":false,"suffix":""},{"dropping-particle":"","family":"Logan","given":"Aaron","non-dropping-particle":"","parse-names":false,"suffix":""},{"dropping-particle":"","family":"Massaro","given":"Stephanie","non-dropping-particle":"","parse-names":false,"suffix":""},{"dropping-particle":"","family":"Mattison","given":"Ryan J","non-dropping-particle":"","parse-names":false,"suffix":""},{"dropping-particle":"","family":"Oluwole","given":"Olalekan","non-dropping-particle":"","parse-names":false,"suffix":""},{"dropping-particle":"","family":"Papadantonakis","given":"Nikolaos","non-dropping-particle":"","parse-names":false,"suffix":""},{"dropping-particle":"","family":"Park","given":"Jae","non-dropping-particle":"","parse-names":false,"suffix":""},{"dropping-particle":"","family":"Rubnitz","given":"Jeffrey E","non-dropping-particle":"","parse-names":false,"suffix":""},{"dropping-particle":"","family":"Uy","given":"Geoffrey L","non-dropping-particle":"","parse-names":false,"suffix":""},{"dropping-particle":"","family":"Wang","given":"Eunice S","non-dropping-particle":"","parse-names":false,"suffix":""},{"dropping-particle":"","family":"Wieduwilt","given":"Matthew","non-dropping-particle":"","parse-names":false,"suffix":""},{"dropping-particle":"","family":"Gregory","given":"Kristina","non-dropping-particle":"","parse-names":false,"suffix":""}],"id":"ITEM-3","issued":{"date-parts":[["2019"]]},"number-of-pages":"115","title":"NCCN Clinical Practice Guidelines in Oncology. Acute Lymphoblastic Leukemia. Version 2.2019","type":"report"},"uris":["http://www.mendeley.com/documents/?uuid=ef92918b-8a57-37b1-bea5-284dfdf15541"]},{"id":"ITEM-4","itemData":{"author":[{"dropping-particle":"","family":"Gökbuget","given":"N.","non-dropping-particle":"","parse-names":false,"suffix":""},{"dropping-particle":"","family":"Bassan","given":"R.","non-dropping-particle":"","parse-names":false,"suffix":""},{"dropping-particle":"","family":"Dombret","given":"H.","non-dropping-particle":"","parse-names":false,"suffix":""},{"dropping-particle":"","family":"Doubek","given":"M.","non-dropping-particle":"","parse-names":false,"suffix":""},{"dropping-particle":"","family":"Fielding","given":"A.K.","non-dropping-particle":"","parse-names":false,"suffix":""},{"dropping-particle":"","family":"Foà","given":"R.","non-dropping-particle":"","parse-names":false,"suffix":""},{"dropping-particle":"","family":"Giebel","given":"S.","non-dropping-particle":"","parse-names":false,"suffix":""},{"dropping-particle":"","family":"Hoelzer","given":"D.","non-dropping-particle":"","parse-names":false,"suffix":""},{"dropping-particle":"","family":"Martinelli","given":"G.","non-dropping-particle":"","parse-names":false,"suffix":""},{"dropping-particle":"","family":"Meloni","given":"G.","non-dropping-particle":"","parse-names":false,"suffix":""},{"dropping-particle":"","family":"Delia Moicean","given":"A.","non-dropping-particle":"","parse-names":false,"suffix":""},{"dropping-particle":"","family":"Ottmann","given":"O.","non-dropping-particle":"","parse-names":false,"suffix":""},{"dropping-particle":"","family":"Piccaluga","given":"P.P.","non-dropping-particle":"","parse-names":false,"suffix":""},{"dropping-particle":"","family":"Ribera","given":"J.M.","non-dropping-particle":"","parse-names":false,"suffix":""},{"dropping-particle":"","family":"Rousselot","given":"P.","non-dropping-particle":"","parse-names":false,"suffix":""},{"dropping-particle":"","family":"Walewski","given":"J.","non-dropping-particle":"","parse-names":false,"suffix":""}],"container-title":"UNI-MED Verlag AG","id":"ITEM-4","issued":{"date-parts":[["2011"]]},"number-of-pages":"204","title":"Recommendations of the European Working Group for Adult ALL (EWALL)","type":"book"},"uris":["http://www.mendeley.com/documents/?uuid=aba58166-cd2b-4f70-bb6a-5fdd9e1b42de"]}],"mendeley":{"formattedCitation":"[1,2,4,5]","plainTextFormattedCitation":"[1,2,4,5]","previouslyFormattedCitation":"[1,2,4,5]"},"properties":{"noteIndex":0},"schema":"https://github.com/citation-style-language/schema/raw/master/csl-citation.json"}</w:instrText>
      </w:r>
      <w:r w:rsidR="00C632E7">
        <w:fldChar w:fldCharType="separate"/>
      </w:r>
      <w:r w:rsidR="00C632E7" w:rsidRPr="00B30EAF">
        <w:rPr>
          <w:noProof/>
        </w:rPr>
        <w:t>[1,2,4,5]</w:t>
      </w:r>
      <w:r w:rsidR="00C632E7">
        <w:fldChar w:fldCharType="end"/>
      </w:r>
      <w:r w:rsidR="00C632E7">
        <w:rPr>
          <w:lang w:eastAsia="zh-CN"/>
        </w:rPr>
        <w:t>.</w:t>
      </w:r>
      <w:r w:rsidR="00C632E7">
        <w:rPr>
          <w:i/>
        </w:rPr>
        <w:t xml:space="preserve"> </w:t>
      </w:r>
      <w:r w:rsidR="0075012C">
        <w:rPr>
          <w:i/>
        </w:rPr>
        <w:t xml:space="preserve"> </w:t>
      </w:r>
    </w:p>
    <w:p w14:paraId="5DDDCF29" w14:textId="77777777" w:rsidR="00254823" w:rsidRPr="007A530F" w:rsidRDefault="00254823" w:rsidP="000303AC">
      <w:pPr>
        <w:ind w:firstLine="709"/>
        <w:contextualSpacing/>
        <w:rPr>
          <w:b/>
          <w:color w:val="000000"/>
        </w:rPr>
      </w:pPr>
      <w:r w:rsidRPr="00C36EE0">
        <w:rPr>
          <w:b/>
          <w:color w:val="000000"/>
        </w:rPr>
        <w:t>Урове</w:t>
      </w:r>
      <w:r>
        <w:rPr>
          <w:b/>
          <w:color w:val="000000"/>
        </w:rPr>
        <w:t xml:space="preserve">нь убедительности рекомендаций </w:t>
      </w:r>
      <w:r w:rsidR="007A530F">
        <w:rPr>
          <w:b/>
          <w:color w:val="000000"/>
        </w:rPr>
        <w:t>–</w:t>
      </w:r>
      <w:r w:rsidR="007A530F" w:rsidRPr="007A530F">
        <w:rPr>
          <w:b/>
          <w:color w:val="000000"/>
        </w:rPr>
        <w:t xml:space="preserve"> </w:t>
      </w:r>
      <w:r w:rsidR="0075012C">
        <w:rPr>
          <w:b/>
          <w:color w:val="000000"/>
        </w:rPr>
        <w:t>С</w:t>
      </w:r>
      <w:r w:rsidRPr="00C36EE0">
        <w:rPr>
          <w:b/>
          <w:color w:val="000000"/>
        </w:rPr>
        <w:t xml:space="preserve"> (уровень</w:t>
      </w:r>
      <w:r>
        <w:rPr>
          <w:b/>
          <w:color w:val="000000"/>
        </w:rPr>
        <w:t xml:space="preserve"> достоверности доказательств – 5</w:t>
      </w:r>
      <w:r w:rsidR="000303AC">
        <w:rPr>
          <w:b/>
          <w:color w:val="000000"/>
        </w:rPr>
        <w:t>)</w:t>
      </w:r>
      <w:r w:rsidR="007A530F">
        <w:rPr>
          <w:b/>
          <w:color w:val="000000"/>
        </w:rPr>
        <w:t>.</w:t>
      </w:r>
    </w:p>
    <w:p w14:paraId="21613F39" w14:textId="77777777" w:rsidR="003C3808" w:rsidRPr="00C36EE0" w:rsidRDefault="00254823" w:rsidP="00FF4C81">
      <w:pPr>
        <w:numPr>
          <w:ilvl w:val="0"/>
          <w:numId w:val="19"/>
        </w:numPr>
        <w:ind w:left="714" w:hanging="357"/>
        <w:contextualSpacing/>
        <w:rPr>
          <w:lang w:eastAsia="zh-CN"/>
        </w:rPr>
      </w:pPr>
      <w:r w:rsidRPr="003C3808">
        <w:rPr>
          <w:b/>
          <w:lang w:eastAsia="zh-CN"/>
        </w:rPr>
        <w:t xml:space="preserve">Рекомендуется </w:t>
      </w:r>
      <w:r w:rsidRPr="009A7FA9">
        <w:rPr>
          <w:lang w:eastAsia="zh-CN"/>
        </w:rPr>
        <w:t>всем</w:t>
      </w:r>
      <w:r w:rsidRPr="003C3808">
        <w:rPr>
          <w:b/>
          <w:lang w:eastAsia="zh-CN"/>
        </w:rPr>
        <w:t xml:space="preserve"> </w:t>
      </w:r>
      <w:r w:rsidRPr="009A7FA9">
        <w:rPr>
          <w:lang w:eastAsia="zh-CN"/>
        </w:rPr>
        <w:t xml:space="preserve">пациентам </w:t>
      </w:r>
      <w:r w:rsidRPr="00C36EE0">
        <w:rPr>
          <w:lang w:eastAsia="zh-CN"/>
        </w:rPr>
        <w:t>на всех этапах консолидации выполнять профилактику п</w:t>
      </w:r>
      <w:r>
        <w:rPr>
          <w:lang w:eastAsia="zh-CN"/>
        </w:rPr>
        <w:t xml:space="preserve">невмоцистной пневмонии </w:t>
      </w:r>
      <w:r w:rsidR="00EA5960" w:rsidRPr="003C3808">
        <w:rPr>
          <w:lang w:eastAsia="zh-CN"/>
        </w:rPr>
        <w:t>#</w:t>
      </w:r>
      <w:r>
        <w:rPr>
          <w:lang w:eastAsia="zh-CN"/>
        </w:rPr>
        <w:t>ко-тримо</w:t>
      </w:r>
      <w:r w:rsidRPr="00C36EE0">
        <w:rPr>
          <w:lang w:eastAsia="zh-CN"/>
        </w:rPr>
        <w:t>ксазол</w:t>
      </w:r>
      <w:r>
        <w:rPr>
          <w:lang w:eastAsia="zh-CN"/>
        </w:rPr>
        <w:t>ом</w:t>
      </w:r>
      <w:r w:rsidR="00A91416">
        <w:rPr>
          <w:lang w:eastAsia="zh-CN"/>
        </w:rPr>
        <w:t xml:space="preserve"> </w:t>
      </w:r>
      <w:r w:rsidR="00A91416" w:rsidRPr="003C3808">
        <w:rPr>
          <w:lang w:eastAsia="zh-CN"/>
        </w:rPr>
        <w:t>[</w:t>
      </w:r>
      <w:r w:rsidR="00A91416">
        <w:rPr>
          <w:lang w:eastAsia="zh-CN"/>
        </w:rPr>
        <w:t>сульфаметоксазол + триметоприм</w:t>
      </w:r>
      <w:r w:rsidR="00A91416" w:rsidRPr="003C3808">
        <w:rPr>
          <w:lang w:eastAsia="zh-CN"/>
        </w:rPr>
        <w:t>]</w:t>
      </w:r>
      <w:r>
        <w:rPr>
          <w:lang w:eastAsia="zh-CN"/>
        </w:rPr>
        <w:t>**</w:t>
      </w:r>
      <w:r w:rsidRPr="00C36EE0">
        <w:rPr>
          <w:lang w:eastAsia="zh-CN"/>
        </w:rPr>
        <w:t xml:space="preserve"> (480 мг 1 раз в день ежедневно)</w:t>
      </w:r>
      <w:r w:rsidR="003C3808" w:rsidRPr="003C3808">
        <w:rPr>
          <w:lang w:eastAsia="zh-CN"/>
        </w:rPr>
        <w:t xml:space="preserve"> </w:t>
      </w:r>
      <w:r w:rsidR="003C3808">
        <w:fldChar w:fldCharType="begin" w:fldLock="1"/>
      </w:r>
      <w:r w:rsidR="003C3808">
        <w:instrText>ADDIN CSL_CITATION {"citationItems":[{"id":"ITEM-1","itemData":{"id":"ITEM-1","issued":{"date-parts":[["2012"]]},"number-of-pages":"1056","title":"Программное лечение заболеваний системы крови: Сборник алгоритмов диагностики и протоколов лечения заболеваний системы крови. Под ред. В.Г. Савченко","type":"book"},"uris":["http://www.mendeley.com/documents/?uuid=36484a90-27ae-40a9-a194-b0461fb47d9d"]},{"id":"ITEM-2","itemData":{"author":[{"dropping-particle":"","family":"Савченко","given":"Валерий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доп.","id":"ITEM-2","issued":{"date-parts":[["2007"]]},"page":"409-502","title":"Острые лейкозы","type":"chapter"},"uris":["http://www.mendeley.com/documents/?uuid=08f85f58-ddaa-48eb-b937-65d15d14b213"]}],"mendeley":{"formattedCitation":"[1,2]","plainTextFormattedCitation":"[1,2]","previouslyFormattedCitation":"[1,2]"},"properties":{"noteIndex":0},"schema":"https://github.com/citation-style-language/schema/raw/master/csl-citation.json"}</w:instrText>
      </w:r>
      <w:r w:rsidR="003C3808">
        <w:fldChar w:fldCharType="separate"/>
      </w:r>
      <w:r w:rsidR="003C3808" w:rsidRPr="00113282">
        <w:rPr>
          <w:noProof/>
        </w:rPr>
        <w:t>[1,2]</w:t>
      </w:r>
      <w:r w:rsidR="003C3808">
        <w:fldChar w:fldCharType="end"/>
      </w:r>
      <w:r w:rsidR="003C3808" w:rsidRPr="003C3808">
        <w:rPr>
          <w:color w:val="000000"/>
        </w:rPr>
        <w:t xml:space="preserve">. </w:t>
      </w:r>
      <w:r w:rsidR="003C3808" w:rsidRPr="003C3808">
        <w:rPr>
          <w:i/>
        </w:rPr>
        <w:t xml:space="preserve"> </w:t>
      </w:r>
      <w:r w:rsidR="006F730B">
        <w:rPr>
          <w:lang w:eastAsia="zh-CN"/>
        </w:rPr>
        <w:t xml:space="preserve"> </w:t>
      </w:r>
    </w:p>
    <w:p w14:paraId="2AC333B1" w14:textId="77777777" w:rsidR="00254823" w:rsidRPr="003C3808" w:rsidRDefault="00254823" w:rsidP="003C3808">
      <w:pPr>
        <w:ind w:firstLine="709"/>
        <w:contextualSpacing/>
        <w:rPr>
          <w:b/>
          <w:color w:val="000000"/>
        </w:rPr>
      </w:pPr>
      <w:r w:rsidRPr="00044D02">
        <w:rPr>
          <w:b/>
          <w:color w:val="000000"/>
        </w:rPr>
        <w:t xml:space="preserve">Уровень убедительности рекомендаций </w:t>
      </w:r>
      <w:r w:rsidR="00B826AE" w:rsidRPr="00044D02">
        <w:rPr>
          <w:b/>
          <w:color w:val="000000"/>
        </w:rPr>
        <w:t xml:space="preserve">– </w:t>
      </w:r>
      <w:r w:rsidR="003C3808" w:rsidRPr="003C3808">
        <w:rPr>
          <w:b/>
          <w:color w:val="000000"/>
        </w:rPr>
        <w:t>C</w:t>
      </w:r>
      <w:r w:rsidR="003C3808" w:rsidRPr="00044D02">
        <w:rPr>
          <w:b/>
          <w:color w:val="000000"/>
        </w:rPr>
        <w:t xml:space="preserve"> </w:t>
      </w:r>
      <w:r w:rsidRPr="00044D02">
        <w:rPr>
          <w:b/>
          <w:color w:val="000000"/>
        </w:rPr>
        <w:t xml:space="preserve">(уровень достоверности доказательств – </w:t>
      </w:r>
      <w:r w:rsidR="003C3808" w:rsidRPr="003C3808">
        <w:rPr>
          <w:b/>
          <w:color w:val="000000"/>
        </w:rPr>
        <w:t>5</w:t>
      </w:r>
      <w:r w:rsidR="000303AC" w:rsidRPr="00044D02">
        <w:rPr>
          <w:b/>
          <w:color w:val="000000"/>
        </w:rPr>
        <w:t>)</w:t>
      </w:r>
      <w:r w:rsidR="00B826AE" w:rsidRPr="00044D02">
        <w:rPr>
          <w:b/>
          <w:color w:val="000000"/>
        </w:rPr>
        <w:t>.</w:t>
      </w:r>
    </w:p>
    <w:p w14:paraId="1DA2D9CE" w14:textId="77777777" w:rsidR="00254823" w:rsidRPr="00C36EE0" w:rsidRDefault="00254823" w:rsidP="008163CC">
      <w:pPr>
        <w:ind w:firstLine="709"/>
        <w:contextualSpacing/>
        <w:rPr>
          <w:b/>
        </w:rPr>
      </w:pPr>
      <w:bookmarkStart w:id="119" w:name="_Toc426795080"/>
      <w:r w:rsidRPr="00C36EE0">
        <w:rPr>
          <w:b/>
        </w:rPr>
        <w:t>Профилактика и лечение нейроле</w:t>
      </w:r>
      <w:r w:rsidR="000303AC">
        <w:rPr>
          <w:b/>
        </w:rPr>
        <w:t>йкемии</w:t>
      </w:r>
    </w:p>
    <w:p w14:paraId="0B8A78C6" w14:textId="77777777" w:rsidR="00254823" w:rsidRPr="00817C55" w:rsidRDefault="00254823" w:rsidP="008B7E05">
      <w:pPr>
        <w:shd w:val="clear" w:color="auto" w:fill="FFFFFF"/>
        <w:tabs>
          <w:tab w:val="left" w:pos="178"/>
        </w:tabs>
        <w:ind w:firstLine="709"/>
        <w:contextualSpacing/>
        <w:rPr>
          <w:i/>
        </w:rPr>
      </w:pPr>
      <w:r w:rsidRPr="00817C55">
        <w:rPr>
          <w:i/>
        </w:rPr>
        <w:t xml:space="preserve">Начало профилактики поражения ЦНС, как ключевого компонента терапии ОЛЛ, проводится одновременно с началом системной </w:t>
      </w:r>
      <w:r w:rsidR="00EE7553">
        <w:rPr>
          <w:i/>
        </w:rPr>
        <w:t>ИТ</w:t>
      </w:r>
      <w:r w:rsidR="00C632E7">
        <w:rPr>
          <w:i/>
        </w:rPr>
        <w:t xml:space="preserve"> </w:t>
      </w:r>
      <w:r w:rsidR="00C632E7">
        <w:fldChar w:fldCharType="begin" w:fldLock="1"/>
      </w:r>
      <w:r w:rsidR="00C632E7">
        <w:instrText>ADDIN CSL_CITATION {"citationItems":[{"id":"ITEM-1","itemData":{"id":"ITEM-1","issued":{"date-parts":[["2012"]]},"number-of-pages":"1056","title":"Программное лечение заболеваний системы крови: Сборник алгоритмов диагностики и протоколов лечения заболеваний системы крови. Под ред. В.Г. Савченко","type":"book"},"uris":["http://www.mendeley.com/documents/?uuid=36484a90-27ae-40a9-a194-b0461fb47d9d"]},{"id":"ITEM-2","itemData":{"author":[{"dropping-particle":"","family":"Савченко","given":"Валерий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доп.","id":"ITEM-2","issued":{"date-parts":[["2007"]]},"page":"409-502","title":"Острые лейкозы","type":"chapter"},"uris":["http://www.mendeley.com/documents/?uuid=08f85f58-ddaa-48eb-b937-65d15d14b213"]},{"id":"ITEM-3","itemData":{"author":[{"dropping-particle":"","family":"Brown","given":"Patrick A","non-dropping-particle":"","parse-names":false,"suffix":""},{"dropping-particle":"","family":"Shah","given":"Bijal","non-dropping-particle":"","parse-names":false,"suffix":""},{"dropping-particle":"","family":"Advani","given":"Anjali","non-dropping-particle":"","parse-names":false,"suffix":""},{"dropping-particle":"","family":"Aoun","given":"Patricia","non-dropping-particle":"","parse-names":false,"suffix":""},{"dropping-particle":"","family":"Bhatnagar","given":"Bhavana","non-dropping-particle":"","parse-names":false,"suffix":""},{"dropping-particle":"","family":"Boyer","given":"Michael W","non-dropping-particle":"","parse-names":false,"suffix":""},{"dropping-particle":"","family":"Bryan","given":"Teresa","non-dropping-particle":"","parse-names":false,"suffix":""},{"dropping-particle":"","family":"Burke","given":"Patrick W","non-dropping-particle":"","parse-names":false,"suffix":""},{"dropping-particle":"","family":"Cassaday","given":"Ryan D","non-dropping-particle":"","parse-names":false,"suffix":""},{"dropping-particle":"","family":"Coutre","given":"Steven E","non-dropping-particle":"","parse-names":false,"suffix":""},{"dropping-particle":"","family":"Coccia","given":"Peter F","non-dropping-particle":"","parse-names":false,"suffix":""},{"dropping-particle":"","family":"DeAngelo","given":"Daniel J","non-dropping-particle":"","parse-names":false,"suffix":""},{"dropping-particle":"","family":"Fathi","given":"Amir","non-dropping-particle":"","parse-names":false,"suffix":""},{"dropping-particle":"","family":"Jain","given":"Nitin","non-dropping-particle":"","parse-names":false,"suffix":""},{"dropping-particle":"","family":"Kirby","given":"Suzanne","non-dropping-particle":"","parse-names":false,"suffix":""},{"dropping-particle":"","family":"Litzow","given":"Mark","non-dropping-particle":"","parse-names":false,"suffix":""},{"dropping-particle":"","family":"Liu","given":"Arthur","non-dropping-particle":"","parse-names":false,"suffix":""},{"dropping-particle":"","family":"Logan","given":"Aaron","non-dropping-particle":"","parse-names":false,"suffix":""},{"dropping-particle":"","family":"Massaro","given":"Stephanie","non-dropping-particle":"","parse-names":false,"suffix":""},{"dropping-particle":"","family":"Mattison","given":"Ryan J","non-dropping-particle":"","parse-names":false,"suffix":""},{"dropping-particle":"","family":"Oluwole","given":"Olalekan","non-dropping-particle":"","parse-names":false,"suffix":""},{"dropping-particle":"","family":"Papadantonakis","given":"Nikolaos","non-dropping-particle":"","parse-names":false,"suffix":""},{"dropping-particle":"","family":"Park","given":"Jae","non-dropping-particle":"","parse-names":false,"suffix":""},{"dropping-particle":"","family":"Rubnitz","given":"Jeffrey E","non-dropping-particle":"","parse-names":false,"suffix":""},{"dropping-particle":"","family":"Uy","given":"Geoffrey L","non-dropping-particle":"","parse-names":false,"suffix":""},{"dropping-particle":"","family":"Wang","given":"Eunice S","non-dropping-particle":"","parse-names":false,"suffix":""},{"dropping-particle":"","family":"Wieduwilt","given":"Matthew","non-dropping-particle":"","parse-names":false,"suffix":""},{"dropping-particle":"","family":"Gregory","given":"Kristina","non-dropping-particle":"","parse-names":false,"suffix":""}],"id":"ITEM-3","issued":{"date-parts":[["2019"]]},"number-of-pages":"115","title":"NCCN Clinical Practice Guidelines in Oncology. Acute Lymphoblastic Leukemia. Version 2.2019","type":"report"},"uris":["http://www.mendeley.com/documents/?uuid=ef92918b-8a57-37b1-bea5-284dfdf15541"]},{"id":"ITEM-4","itemData":{"author":[{"dropping-particle":"","family":"Gökbuget","given":"N.","non-dropping-particle":"","parse-names":false,"suffix":""},{"dropping-particle":"","family":"Bassan","given":"R.","non-dropping-particle":"","parse-names":false,"suffix":""},{"dropping-particle":"","family":"Dombret","given":"H.","non-dropping-particle":"","parse-names":false,"suffix":""},{"dropping-particle":"","family":"Doubek","given":"M.","non-dropping-particle":"","parse-names":false,"suffix":""},{"dropping-particle":"","family":"Fielding","given":"A.K.","non-dropping-particle":"","parse-names":false,"suffix":""},{"dropping-particle":"","family":"Foà","given":"R.","non-dropping-particle":"","parse-names":false,"suffix":""},{"dropping-particle":"","family":"Giebel","given":"S.","non-dropping-particle":"","parse-names":false,"suffix":""},{"dropping-particle":"","family":"Hoelzer","given":"D.","non-dropping-particle":"","parse-names":false,"suffix":""},{"dropping-particle":"","family":"Martinelli","given":"G.","non-dropping-particle":"","parse-names":false,"suffix":""},{"dropping-particle":"","family":"Meloni","given":"G.","non-dropping-particle":"","parse-names":false,"suffix":""},{"dropping-particle":"","family":"Delia Moicean","given":"A.","non-dropping-particle":"","parse-names":false,"suffix":""},{"dropping-particle":"","family":"Ottmann","given":"O.","non-dropping-particle":"","parse-names":false,"suffix":""},{"dropping-particle":"","family":"Piccaluga","given":"P.P.","non-dropping-particle":"","parse-names":false,"suffix":""},{"dropping-particle":"","family":"Ribera","given":"J.M.","non-dropping-particle":"","parse-names":false,"suffix":""},{"dropping-particle":"","family":"Rousselot","given":"P.","non-dropping-particle":"","parse-names":false,"suffix":""},{"dropping-particle":"","family":"Walewski","given":"J.","non-dropping-particle":"","parse-names":false,"suffix":""}],"container-title":"UNI-MED Verlag AG","id":"ITEM-4","issued":{"date-parts":[["2011"]]},"number-of-pages":"204","title":"Recommendations of the European Working Group for Adult ALL (EWALL)","type":"book"},"uris":["http://www.mendeley.com/documents/?uuid=aba58166-cd2b-4f70-bb6a-5fdd9e1b42de"]}],"mendeley":{"formattedCitation":"[1,2,4,5]","plainTextFormattedCitation":"[1,2,4,5]","previouslyFormattedCitation":"[1,2,4,5]"},"properties":{"noteIndex":0},"schema":"https://github.com/citation-style-language/schema/raw/master/csl-citation.json"}</w:instrText>
      </w:r>
      <w:r w:rsidR="00C632E7">
        <w:fldChar w:fldCharType="separate"/>
      </w:r>
      <w:r w:rsidR="00C632E7" w:rsidRPr="00B30EAF">
        <w:rPr>
          <w:noProof/>
        </w:rPr>
        <w:t>[1,2,4,5]</w:t>
      </w:r>
      <w:r w:rsidR="00C632E7">
        <w:fldChar w:fldCharType="end"/>
      </w:r>
      <w:r w:rsidR="00C632E7">
        <w:rPr>
          <w:lang w:eastAsia="zh-CN"/>
        </w:rPr>
        <w:t>.</w:t>
      </w:r>
    </w:p>
    <w:p w14:paraId="5A47FB9A" w14:textId="77777777" w:rsidR="00EC13A1" w:rsidRPr="008B7E05" w:rsidRDefault="00EC13A1" w:rsidP="00FF4C81">
      <w:pPr>
        <w:numPr>
          <w:ilvl w:val="0"/>
          <w:numId w:val="19"/>
        </w:numPr>
        <w:contextualSpacing/>
        <w:rPr>
          <w:b/>
          <w:color w:val="000000"/>
        </w:rPr>
      </w:pPr>
      <w:r w:rsidRPr="00CD475C">
        <w:rPr>
          <w:b/>
        </w:rPr>
        <w:t xml:space="preserve">Рекомендуется </w:t>
      </w:r>
      <w:r w:rsidRPr="00CD475C">
        <w:t xml:space="preserve">всем пациентам в качестве профилактики нейролейкемии осуществлять </w:t>
      </w:r>
      <w:r>
        <w:t xml:space="preserve">спинномозговые </w:t>
      </w:r>
      <w:r w:rsidRPr="00CD475C">
        <w:t>пункции с интратекальным введением трех препаратов: метотрексата** (15 мг), цитар</w:t>
      </w:r>
      <w:r>
        <w:t>абина** (</w:t>
      </w:r>
      <w:r w:rsidRPr="00862C73">
        <w:t>30 мг</w:t>
      </w:r>
      <w:r w:rsidRPr="00CD475C">
        <w:t>), преднизо</w:t>
      </w:r>
      <w:r>
        <w:t>ло</w:t>
      </w:r>
      <w:r w:rsidRPr="00CD475C">
        <w:t xml:space="preserve">на** (40 мг) или дексаметазона** (4 мг) согласно схеме выбранного протокола (см. приложение </w:t>
      </w:r>
      <w:r>
        <w:t>А3.</w:t>
      </w:r>
      <w:r w:rsidRPr="00CD475C">
        <w:t>1)</w:t>
      </w:r>
      <w:r w:rsidR="003C3808">
        <w:t xml:space="preserve"> </w:t>
      </w:r>
      <w:r w:rsidR="003C3808" w:rsidRPr="003C3808">
        <w:t xml:space="preserve">[1,2].  </w:t>
      </w:r>
      <w:r w:rsidRPr="00A31FE0">
        <w:t xml:space="preserve"> </w:t>
      </w:r>
    </w:p>
    <w:p w14:paraId="168C1B37" w14:textId="77777777" w:rsidR="00EC13A1" w:rsidRDefault="00EC13A1" w:rsidP="00555B7E">
      <w:pPr>
        <w:ind w:firstLine="709"/>
        <w:contextualSpacing/>
        <w:rPr>
          <w:b/>
          <w:color w:val="000000"/>
        </w:rPr>
      </w:pPr>
      <w:r w:rsidRPr="0079717E">
        <w:rPr>
          <w:b/>
          <w:color w:val="000000"/>
        </w:rPr>
        <w:t>Уровень убедительности рекомендаций – С (уровень достоверности доказательств – 5).</w:t>
      </w:r>
    </w:p>
    <w:p w14:paraId="17FCBF69" w14:textId="77777777" w:rsidR="00EC13A1" w:rsidRPr="00EB4B65" w:rsidRDefault="00EC13A1" w:rsidP="00555B7E">
      <w:pPr>
        <w:ind w:firstLine="709"/>
        <w:contextualSpacing/>
        <w:rPr>
          <w:b/>
          <w:color w:val="000000"/>
        </w:rPr>
      </w:pPr>
      <w:r>
        <w:rPr>
          <w:b/>
          <w:color w:val="000000"/>
        </w:rPr>
        <w:t>Комментарии:</w:t>
      </w:r>
      <w:r w:rsidRPr="00EB4B65">
        <w:rPr>
          <w:b/>
          <w:color w:val="000000"/>
        </w:rPr>
        <w:t xml:space="preserve"> </w:t>
      </w:r>
      <w:r w:rsidRPr="00EB4B65">
        <w:rPr>
          <w:bCs/>
          <w:i/>
          <w:iCs/>
          <w:color w:val="000000"/>
        </w:rPr>
        <w:t>интратекальное введение химиопрепаратов рекомендуется выполнять всем пациентам в момент первой, так называемой диагностической спинномозговой пункции с лечебно-профилактической целью.</w:t>
      </w:r>
    </w:p>
    <w:p w14:paraId="5647DBFC" w14:textId="5029654B" w:rsidR="00254823" w:rsidRPr="008B7E05" w:rsidRDefault="00254823" w:rsidP="00FF4C81">
      <w:pPr>
        <w:numPr>
          <w:ilvl w:val="0"/>
          <w:numId w:val="19"/>
        </w:numPr>
        <w:contextualSpacing/>
        <w:rPr>
          <w:b/>
          <w:color w:val="000000"/>
        </w:rPr>
      </w:pPr>
      <w:r w:rsidRPr="00104A3D">
        <w:rPr>
          <w:b/>
        </w:rPr>
        <w:t>Не рекомендуется</w:t>
      </w:r>
      <w:r>
        <w:t xml:space="preserve"> при высоком </w:t>
      </w:r>
      <w:r w:rsidR="004B1614">
        <w:t xml:space="preserve">инициальном лейкоцитозе (более </w:t>
      </w:r>
      <w:r w:rsidR="004B1614" w:rsidRPr="00722BD4">
        <w:t>3</w:t>
      </w:r>
      <w:r w:rsidRPr="00722BD4">
        <w:t>0</w:t>
      </w:r>
      <w:r w:rsidR="00722BD4">
        <w:t xml:space="preserve"> </w:t>
      </w:r>
      <w:r w:rsidR="00722BD4" w:rsidRPr="00E2048B">
        <w:rPr>
          <w:bCs/>
          <w:szCs w:val="24"/>
        </w:rPr>
        <w:t>х10</w:t>
      </w:r>
      <w:r w:rsidR="00722BD4" w:rsidRPr="00E2048B">
        <w:rPr>
          <w:bCs/>
          <w:szCs w:val="24"/>
          <w:vertAlign w:val="superscript"/>
        </w:rPr>
        <w:t>9</w:t>
      </w:r>
      <w:r w:rsidR="00722BD4" w:rsidRPr="00E2048B">
        <w:rPr>
          <w:bCs/>
          <w:szCs w:val="24"/>
        </w:rPr>
        <w:t>/л</w:t>
      </w:r>
      <w:r>
        <w:t>), выполнение</w:t>
      </w:r>
      <w:r w:rsidR="00A00906">
        <w:t xml:space="preserve"> спинномозговой </w:t>
      </w:r>
      <w:r w:rsidR="009F4C62">
        <w:t>пункции в 1-й</w:t>
      </w:r>
      <w:r>
        <w:t xml:space="preserve"> день терапии</w:t>
      </w:r>
      <w:r w:rsidR="00EE7553">
        <w:t>;</w:t>
      </w:r>
      <w:r>
        <w:t xml:space="preserve"> ее выполнение должно быть отложено до момента снижения числа бластных клеток в периферической крови для избежания контаминации бластными клетками спинномозговой жидкости при травматичной пункции</w:t>
      </w:r>
      <w:r w:rsidR="003C3808">
        <w:t xml:space="preserve"> </w:t>
      </w:r>
      <w:r w:rsidR="003C3808" w:rsidRPr="003C3808">
        <w:t xml:space="preserve">[1,2].  </w:t>
      </w:r>
      <w:r w:rsidR="00EC13A1">
        <w:t xml:space="preserve"> </w:t>
      </w:r>
    </w:p>
    <w:p w14:paraId="1DCF3F45" w14:textId="77777777" w:rsidR="008B7E05" w:rsidRDefault="00254823" w:rsidP="008B7E05">
      <w:pPr>
        <w:ind w:firstLine="709"/>
        <w:contextualSpacing/>
        <w:rPr>
          <w:b/>
          <w:color w:val="000000"/>
        </w:rPr>
      </w:pPr>
      <w:r w:rsidRPr="00044D02">
        <w:rPr>
          <w:b/>
          <w:color w:val="000000"/>
        </w:rPr>
        <w:t xml:space="preserve">Уровень убедительности рекомендаций </w:t>
      </w:r>
      <w:r w:rsidR="009F4C62" w:rsidRPr="00044D02">
        <w:rPr>
          <w:b/>
          <w:color w:val="000000"/>
        </w:rPr>
        <w:t xml:space="preserve">– </w:t>
      </w:r>
      <w:r w:rsidR="003C3808" w:rsidRPr="003C3808">
        <w:rPr>
          <w:b/>
          <w:color w:val="000000"/>
        </w:rPr>
        <w:t>С</w:t>
      </w:r>
      <w:r w:rsidR="003C3808" w:rsidRPr="00044D02">
        <w:rPr>
          <w:b/>
          <w:color w:val="000000"/>
        </w:rPr>
        <w:t xml:space="preserve"> </w:t>
      </w:r>
      <w:r w:rsidRPr="00044D02">
        <w:rPr>
          <w:b/>
          <w:color w:val="000000"/>
        </w:rPr>
        <w:t xml:space="preserve">(уровень достоверности доказательств – </w:t>
      </w:r>
      <w:r w:rsidR="003C3808" w:rsidRPr="003C3808">
        <w:rPr>
          <w:b/>
          <w:color w:val="000000"/>
        </w:rPr>
        <w:t>5</w:t>
      </w:r>
      <w:r w:rsidR="008B7E05" w:rsidRPr="00044D02">
        <w:rPr>
          <w:b/>
          <w:color w:val="000000"/>
        </w:rPr>
        <w:t>)</w:t>
      </w:r>
      <w:r w:rsidR="009F4C62" w:rsidRPr="00044D02">
        <w:rPr>
          <w:b/>
          <w:color w:val="000000"/>
        </w:rPr>
        <w:t>.</w:t>
      </w:r>
    </w:p>
    <w:p w14:paraId="32BB030C" w14:textId="44770FC0" w:rsidR="00254823" w:rsidRPr="007A547A" w:rsidRDefault="00555B7E" w:rsidP="00FF4C81">
      <w:pPr>
        <w:numPr>
          <w:ilvl w:val="0"/>
          <w:numId w:val="19"/>
        </w:numPr>
        <w:contextualSpacing/>
        <w:rPr>
          <w:b/>
          <w:color w:val="000000"/>
        </w:rPr>
      </w:pPr>
      <w:r>
        <w:rPr>
          <w:b/>
        </w:rPr>
        <w:t>Р</w:t>
      </w:r>
      <w:r w:rsidR="00254823" w:rsidRPr="00CD475C">
        <w:rPr>
          <w:b/>
        </w:rPr>
        <w:t>екомендуется</w:t>
      </w:r>
      <w:r w:rsidR="00254823" w:rsidRPr="00CD475C">
        <w:t xml:space="preserve"> </w:t>
      </w:r>
      <w:r w:rsidR="00254823">
        <w:t xml:space="preserve">выполнение </w:t>
      </w:r>
      <w:r w:rsidR="00254823" w:rsidRPr="007A547A">
        <w:t>профилактической лучевой т</w:t>
      </w:r>
      <w:r w:rsidR="00A12C9B">
        <w:t>ерапии</w:t>
      </w:r>
      <w:r w:rsidR="00000D77">
        <w:t xml:space="preserve"> (ЛТ)</w:t>
      </w:r>
      <w:r w:rsidR="00A12C9B">
        <w:t xml:space="preserve"> (в дозе 24</w:t>
      </w:r>
      <w:r w:rsidR="002A76AB">
        <w:t>-30</w:t>
      </w:r>
      <w:r w:rsidR="00A12C9B">
        <w:t xml:space="preserve"> Гр) </w:t>
      </w:r>
      <w:r>
        <w:t>только у пациентов, получающих лечение в рамках</w:t>
      </w:r>
      <w:r w:rsidR="00254823" w:rsidRPr="00CB0B5F">
        <w:t xml:space="preserve"> </w:t>
      </w:r>
      <w:r w:rsidR="00254823">
        <w:t>зарубежных протоколов</w:t>
      </w:r>
      <w:r>
        <w:t>, включающих ЛТ в программу</w:t>
      </w:r>
      <w:r w:rsidR="003C3808">
        <w:t xml:space="preserve"> </w:t>
      </w:r>
      <w:r w:rsidR="003C3808" w:rsidRPr="003C3808">
        <w:rPr>
          <w:iCs/>
        </w:rPr>
        <w:t>(см. приложение А3.1)</w:t>
      </w:r>
      <w:r>
        <w:t xml:space="preserve">, либо  у пациентов, у которых </w:t>
      </w:r>
      <w:r w:rsidR="00254823">
        <w:t xml:space="preserve">вследствие анатомических особенностей </w:t>
      </w:r>
      <w:r>
        <w:t xml:space="preserve">не могут быть выполнены </w:t>
      </w:r>
      <w:r w:rsidR="000255CD">
        <w:t>спинномозговы</w:t>
      </w:r>
      <w:r>
        <w:t>е</w:t>
      </w:r>
      <w:r w:rsidR="000255CD">
        <w:t xml:space="preserve"> </w:t>
      </w:r>
      <w:r w:rsidR="00254823">
        <w:t>пункци</w:t>
      </w:r>
      <w:r>
        <w:t>и</w:t>
      </w:r>
      <w:r w:rsidR="000255CD">
        <w:t xml:space="preserve"> </w:t>
      </w:r>
      <w:r>
        <w:fldChar w:fldCharType="begin" w:fldLock="1"/>
      </w:r>
      <w:r w:rsidR="002466C9">
        <w:instrText>ADDIN CSL_CITATION {"citationItems":[{"id":"ITEM-1","itemData":{"DOI":"10.1002/cncr.20668","ISSN":"0008543X","abstract":"BACKGROUND. Modern intensive chemotherapy regimens have improved the prognosis for patients with adult acute lymphocytic leukemia (ALL). With these regimens, the complete response rates are now reported to be &gt; 80%, and the long-term survival rates range from 30% to 45%. The current analysis updated the long-term results with the original hyperfractionated cyclophosphamide, vincristine, doxorubicin, and dexamethasone (Hyper-CVAD) program, with a median follow-up time of 63 months. METHODS. Between 1992 and 2000, 288 patients were treated with Hyper-CVAD. The median age of the patients was 40 years, and 59 patients (20%) were ≥ age 60 years. The incidence of Philadelphia chromosome (Ph)-positive ALL was 17%, and the incidence of of T-cell ALL was 13%. RESULTS. A complete response (CR) was achieved in 92% of patients. The induction mortality rate was 5% (2% if the patient's age was &lt; 60 years, and 15% if the patient's age was ≥ 60 years). With a median follow-up time of 63 months, the 5-year survival rate was 38% and the 5-year CR duration rate was 38%. Multivariate analysis of prognostic factors for CR duration identified the following adverse factors: age ≥ 45 years, leukocytosis ≥ 50 × 109/L, poor performance status (an Eastern Cooperative Oncology Group score of 3-4), Ph-positive disease, French-American-British L2 morphology, &gt; 1 course to achieve CR, and Day 14 bone marrow blasts &gt; 5%. Patients were divided into low-risk (risk score 0-1; 37%), intermediate risk (risk score 2-3; 36%), and poor-risk groups (risk score ≥ 4; 27%) with 5-year CR duration rates of 52%, 37%, and 10%, respectively. CONCLUSIONS. Compared with the previous VAD regimens, Hyper-CVAD was associated with significantly better CR rates, CR duration, and survival. The long-term follow-up results of Hyper-CVAD were favorable. Comparison of Hyper-CVAD with other established adult ALL regimens is warranted. © 2004 American Cancer Society.","author":[{"dropping-particle":"","family":"Kantarjian","given":"Hagop","non-dropping-particle":"","parse-names":false,"suffix":""},{"dropping-particle":"","family":"Thomas","given":"Deborah","non-dropping-particle":"","parse-names":false,"suffix":""},{"dropping-particle":"","family":"O'Brien","given":"Susan","non-dropping-particle":"","parse-names":false,"suffix":""},{"dropping-particle":"","family":"Cortes","given":"Jorge","non-dropping-particle":"","parse-names":false,"suffix":""},{"dropping-particle":"","family":"Giles","given":"Francis","non-dropping-particle":"","parse-names":false,"suffix":""},{"dropping-particle":"","family":"Jeha","given":"Sima","non-dropping-particle":"","parse-names":false,"suffix":""},{"dropping-particle":"","family":"Bueso-Ramos","given":"Carlos E.","non-dropping-particle":"","parse-names":false,"suffix":""},{"dropping-particle":"","family":"Pierce","given":"Sherry","non-dropping-particle":"","parse-names":false,"suffix":""},{"dropping-particle":"","family":"Shan","given":"Jianqin","non-dropping-particle":"","parse-names":false,"suffix":""},{"dropping-particle":"","family":"Koller","given":"Charles","non-dropping-particle":"","parse-names":false,"suffix":""},{"dropping-particle":"","family":"Beran","given":"Miloslav","non-dropping-particle":"","parse-names":false,"suffix":""},{"dropping-particle":"","family":"Keating","given":"Michael","non-dropping-particle":"","parse-names":false,"suffix":""},{"dropping-particle":"","family":"Freireich","given":"Emil J.","non-dropping-particle":"","parse-names":false,"suffix":""}],"container-title":"Cancer","id":"ITEM-1","issue":"12","issued":{"date-parts":[["2004","12","15"]]},"page":"2788-2801","title":"Long-term follow-up results of hyperfractionated cyclophosphamide, vincristine, doxorubicin, and dexamethasone (Hyper-CVAD), a dose-intensive regimen, in adult acute lymphocytic leukemia","type":"article-journal","volume":"101"},"uris":["http://www.mendeley.com/documents/?uuid=6ee8bfd0-5b92-3504-a816-e7cae91350fc"]}],"mendeley":{"formattedCitation":"[56]","plainTextFormattedCitation":"[56]","previouslyFormattedCitation":"[56]"},"properties":{"noteIndex":0},"schema":"https://github.com/citation-style-language/schema/raw/master/csl-citation.json"}</w:instrText>
      </w:r>
      <w:r>
        <w:fldChar w:fldCharType="separate"/>
      </w:r>
      <w:r w:rsidR="00A66456" w:rsidRPr="00A66456">
        <w:rPr>
          <w:noProof/>
        </w:rPr>
        <w:t>[56]</w:t>
      </w:r>
      <w:r>
        <w:fldChar w:fldCharType="end"/>
      </w:r>
      <w:r>
        <w:t>.</w:t>
      </w:r>
    </w:p>
    <w:p w14:paraId="4B70BA0D" w14:textId="623887CB" w:rsidR="00254823" w:rsidRDefault="00254823" w:rsidP="008B7E05">
      <w:pPr>
        <w:ind w:firstLine="709"/>
        <w:contextualSpacing/>
        <w:rPr>
          <w:b/>
          <w:color w:val="000000"/>
        </w:rPr>
      </w:pPr>
      <w:r w:rsidRPr="00E75911">
        <w:rPr>
          <w:b/>
          <w:color w:val="000000"/>
        </w:rPr>
        <w:lastRenderedPageBreak/>
        <w:t xml:space="preserve">Уровень убедительности рекомендаций </w:t>
      </w:r>
      <w:r w:rsidR="00046612" w:rsidRPr="00E75911">
        <w:rPr>
          <w:b/>
          <w:color w:val="000000"/>
        </w:rPr>
        <w:t xml:space="preserve">– </w:t>
      </w:r>
      <w:r w:rsidR="007A051C">
        <w:rPr>
          <w:b/>
          <w:color w:val="000000"/>
        </w:rPr>
        <w:t>С</w:t>
      </w:r>
      <w:r w:rsidRPr="00E75911">
        <w:rPr>
          <w:b/>
          <w:color w:val="000000"/>
        </w:rPr>
        <w:t xml:space="preserve"> (уровень достоверности доказательств – </w:t>
      </w:r>
      <w:r w:rsidR="007A051C">
        <w:rPr>
          <w:b/>
          <w:color w:val="000000"/>
        </w:rPr>
        <w:t>5</w:t>
      </w:r>
      <w:r w:rsidR="008B7E05" w:rsidRPr="00E75911">
        <w:rPr>
          <w:b/>
          <w:color w:val="000000"/>
        </w:rPr>
        <w:t>)</w:t>
      </w:r>
      <w:r w:rsidR="00046612" w:rsidRPr="00E75911">
        <w:rPr>
          <w:b/>
          <w:color w:val="000000"/>
        </w:rPr>
        <w:t>.</w:t>
      </w:r>
    </w:p>
    <w:p w14:paraId="3E9E64A2" w14:textId="0E29A58F" w:rsidR="00EC13A1" w:rsidRPr="00046612" w:rsidRDefault="00EC13A1" w:rsidP="00555B7E">
      <w:pPr>
        <w:ind w:firstLine="709"/>
        <w:contextualSpacing/>
        <w:rPr>
          <w:b/>
          <w:color w:val="000000"/>
        </w:rPr>
      </w:pPr>
      <w:r>
        <w:rPr>
          <w:b/>
          <w:color w:val="000000"/>
        </w:rPr>
        <w:t>Комментарии:</w:t>
      </w:r>
      <w:r w:rsidRPr="003A413B">
        <w:rPr>
          <w:b/>
          <w:color w:val="000000"/>
        </w:rPr>
        <w:t xml:space="preserve"> </w:t>
      </w:r>
      <w:r w:rsidR="00555B7E">
        <w:rPr>
          <w:bCs/>
          <w:i/>
          <w:iCs/>
          <w:color w:val="000000"/>
        </w:rPr>
        <w:t>в рамках Российского протокола выполнение профилактической ЛТ не рекомендуется</w:t>
      </w:r>
      <w:r w:rsidR="003C3808">
        <w:rPr>
          <w:bCs/>
          <w:i/>
          <w:iCs/>
          <w:color w:val="000000"/>
        </w:rPr>
        <w:t xml:space="preserve"> </w:t>
      </w:r>
      <w:r w:rsidR="003C3808">
        <w:fldChar w:fldCharType="begin" w:fldLock="1"/>
      </w:r>
      <w:r w:rsidR="002466C9">
        <w:instrText>ADDIN CSL_CITATION {"citationItems":[{"id":"ITEM-1","itemData":{"author":[{"dropping-particle":"","family":"Паровичникова","given":"Е. Н.","non-dropping-particle":"","parse-names":false,"suffix":""},{"dropping-particle":"","family":"Соколов","given":"А. Н.","non-dropping-particle":"","parse-names":false,"suffix":""},{"dropping-particle":"","family":"Троицкая","given":"В. В.","non-dropping-particle":"","parse-names":false,"suffix":""},{"dropping-particle":"","family":"Клясова","given":"Г. А.","non-dropping-particle":"","parse-names":false,"suffix":""},{"dropping-particle":"","family":"Русинов","given":"М. А.","non-dropping-particle":"","parse-names":false,"suffix":""},{"dropping-particle":"","family":"Ахмерзаева","given":"З. Х.","non-dropping-particle":"","parse-names":false,"suffix":""},{"dropping-particle":"","family":"Кузьмина","given":"Л. А.","non-dropping-particle":"","parse-names":false,"suffix":""},{"dropping-particle":"","family":"Бондаренко","given":"С. Н.","non-dropping-particle":"","parse-names":false,"suffix":""},{"dropping-particle":"","family":"Баранова","given":"О. Ю.","non-dropping-particle":"","parse-names":false,"suffix":""},{"dropping-particle":"","family":"Капорская","given":"Т. С.","non-dropping-particle":"","parse-names":false,"suffix":""},{"dropping-particle":"","family":"Зотина","given":"Е. Н.","non-dropping-particle":"","parse-names":false,"suffix":""},{"dropping-particle":"","family":"Зинина","given":"Е. Е.","non-dropping-particle":"","parse-names":false,"suffix":""},{"dropping-particle":"","family":"Самойлова","given":"О. С.","non-dropping-particle":"","parse-names":false,"suffix":""},{"dropping-particle":"","family":"Гаврилова","given":"Л. В.","non-dropping-particle":"","parse-names":false,"suffix":""},{"dropping-particle":"","family":"Капланов","given":"К. Д.","non-dropping-particle":"","parse-names":false,"suffix":""},{"dropping-particle":"","family":"Константинова","given":"Т. С.","non-dropping-particle":"","parse-names":false,"suffix":""},{"dropping-particle":"","family":"Лапин","given":"В. А.","non-dropping-particle":"","parse-names":false,"suffix":""},{"dropping-particle":"","family":"Кравченко","given":"С. К.","non-dropping-particle":"","parse-names":false,"suffix":""},{"dropping-particle":"","family":"Грибанова","given":"Е. О.","non-dropping-particle":"","parse-names":false,"suffix":""},{"dropping-particle":"","family":"Звонков","given":"Е. Е.","non-dropping-particle":"","parse-names":false,"suffix":""},{"dropping-particle":"","family":"Гаврилина","given":"О. А.","non-dropping-particle":"","parse-names":false,"suffix":""},{"dropping-particle":"","family":"Басхаева","given":"Г. А.","non-dropping-particle":"","parse-names":false,"suffix":""},{"dropping-particle":"","family":"Галстян","given":"Г. М.","non-dropping-particle":"","parse-names":false,"suffix":""},{"dropping-particle":"","family":"Обухова","given":"Т. Н.","non-dropping-particle":"","parse-names":false,"suffix":""},{"dropping-particle":"","family":"Гальцева","given":"И. В.","non-dropping-particle":"","parse-names":false,"suffix":""},{"dropping-particle":"","family":"Куликов","given":"С. М.","non-dropping-particle":"","parse-names":false,"suffix":""},{"dropping-particle":"","family":"Савченко","given":"В. Г.","non-dropping-particle":"","parse-names":false,"suffix":""}],"container-title":"Терапевтический архив","id":"ITEM-1","issue":"7","issued":{"date-parts":[["2016"]]},"page":"15-24","title":"Острые Ph-негативные лимфобластные лейкозы взрослых: факторы риска при использовании протокола ОЛЛ-2009","type":"article-journal","volume":"88"},"uris":["http://www.mendeley.com/documents/?uuid=d6ffd749-eb80-4bcb-9819-7bd025632cb5"]}],"mendeley":{"formattedCitation":"[66]","plainTextFormattedCitation":"[66]","previouslyFormattedCitation":"[66]"},"properties":{"noteIndex":0},"schema":"https://github.com/citation-style-language/schema/raw/master/csl-citation.json"}</w:instrText>
      </w:r>
      <w:r w:rsidR="003C3808">
        <w:fldChar w:fldCharType="separate"/>
      </w:r>
      <w:r w:rsidR="00A66456" w:rsidRPr="00A66456">
        <w:rPr>
          <w:noProof/>
        </w:rPr>
        <w:t>[66]</w:t>
      </w:r>
      <w:r w:rsidR="003C3808">
        <w:fldChar w:fldCharType="end"/>
      </w:r>
      <w:r w:rsidR="003C3808">
        <w:t>.</w:t>
      </w:r>
    </w:p>
    <w:p w14:paraId="5D876182" w14:textId="41C19EF1" w:rsidR="00254823" w:rsidRPr="00325279" w:rsidRDefault="00254823" w:rsidP="00FF4C81">
      <w:pPr>
        <w:pStyle w:val="1e"/>
        <w:numPr>
          <w:ilvl w:val="0"/>
          <w:numId w:val="19"/>
        </w:numPr>
        <w:shd w:val="clear" w:color="auto" w:fill="FFFFFF"/>
        <w:spacing w:before="0" w:beforeAutospacing="0" w:after="0" w:afterAutospacing="0"/>
        <w:jc w:val="both"/>
      </w:pPr>
      <w:r w:rsidRPr="001E51AC">
        <w:rPr>
          <w:b/>
        </w:rPr>
        <w:t>Рекомендуется</w:t>
      </w:r>
      <w:r w:rsidRPr="00D2131C">
        <w:t xml:space="preserve"> </w:t>
      </w:r>
      <w:r>
        <w:t>всем пациентам</w:t>
      </w:r>
      <w:r w:rsidR="00555B7E">
        <w:t xml:space="preserve"> микроскопическое исследование спинномозговой жидкости, подсчет клеток в счетной камере (определение цитоза) и/или цитологическое исследование клеток спинномозговой жидкости</w:t>
      </w:r>
      <w:r>
        <w:t xml:space="preserve"> </w:t>
      </w:r>
      <w:r w:rsidR="00253239">
        <w:t>для исключения/подтверждения нейролейкемии</w:t>
      </w:r>
      <w:r w:rsidR="00555B7E">
        <w:t xml:space="preserve"> </w:t>
      </w:r>
      <w:r w:rsidR="00555B7E">
        <w:fldChar w:fldCharType="begin" w:fldLock="1"/>
      </w:r>
      <w:r w:rsidR="002466C9">
        <w:instrText>ADDIN CSL_CITATION {"citationItems":[{"id":"ITEM-1","itemData":{"DOI":"10.1179/102453308X343374","ISSN":"1607-8454","PMID":"18854093","abstract":"Central nervous system (CNS) involvement is identified at the time of diagnosis in less than 10% of adult acute lymphoblastic leukemia (ALL). These patients can attain long-term disease-free survival. CNS disease at presentation does not appear to be an independent poor prognostic factor. Because of the difficulty in treating CNS leukemia, innovative treatments and alternative delivery techniques are needed. The outcome in such patients is a reflection of an aggressive systemic and CNS-directed therapy. However, CNS toxicity represents the dose-limiting side effect of treatment. With effective CNS prophylaxis including intrathecal chemotherapy, high-dose systemic administration of certain agents and cranial irradiation, most adults with ALL without CNS disease at diagnosis may remain free of CNS leukemia. Leukemic relapse remains a major therapeutic problem and CNS involvement at the time of relapse occurs in 1-15% of cases. Adult ALL with CNS recurrence remains of poor prognosis and is generally associated with a systemic relapse.","author":[{"dropping-particle":"","family":"Thomas","given":"Xavier","non-dropping-particle":"","parse-names":false,"suffix":""},{"dropping-particle":"","family":"Le","given":"Quoc-Hung","non-dropping-particle":"","parse-names":false,"suffix":""}],"container-title":"Hematology (Amsterdam, Netherlands)","id":"ITEM-1","issue":"5","issued":{"date-parts":[["2008","10"]]},"page":"293-302","title":"Central nervous system involvement in adult acute lymphoblastic leukemia.","type":"article-journal","volume":"13"},"uris":["http://www.mendeley.com/documents/?uuid=3d5b1d9c-6171-3cf7-86e6-b237edded1ab"]}],"mendeley":{"formattedCitation":"[39]","plainTextFormattedCitation":"[39]","previouslyFormattedCitation":"[39]"},"properties":{"noteIndex":0},"schema":"https://github.com/citation-style-language/schema/raw/master/csl-citation.json"}</w:instrText>
      </w:r>
      <w:r w:rsidR="00555B7E">
        <w:fldChar w:fldCharType="separate"/>
      </w:r>
      <w:r w:rsidR="00A66456" w:rsidRPr="00A66456">
        <w:rPr>
          <w:noProof/>
        </w:rPr>
        <w:t>[39]</w:t>
      </w:r>
      <w:r w:rsidR="00555B7E">
        <w:fldChar w:fldCharType="end"/>
      </w:r>
      <w:r w:rsidR="00555B7E">
        <w:t>.</w:t>
      </w:r>
      <w:r w:rsidR="004B1614">
        <w:rPr>
          <w:bCs/>
          <w:color w:val="FF0000"/>
        </w:rPr>
        <w:t>.</w:t>
      </w:r>
    </w:p>
    <w:p w14:paraId="2DB49D15" w14:textId="77777777" w:rsidR="00254823" w:rsidRDefault="00254823" w:rsidP="008B7E05">
      <w:pPr>
        <w:ind w:firstLine="709"/>
        <w:contextualSpacing/>
        <w:rPr>
          <w:b/>
          <w:color w:val="000000"/>
        </w:rPr>
      </w:pPr>
      <w:r w:rsidRPr="00617969">
        <w:rPr>
          <w:b/>
          <w:color w:val="000000"/>
        </w:rPr>
        <w:t>Урове</w:t>
      </w:r>
      <w:r>
        <w:rPr>
          <w:b/>
          <w:color w:val="000000"/>
        </w:rPr>
        <w:t xml:space="preserve">нь убедительности рекомендаций </w:t>
      </w:r>
      <w:r w:rsidR="00046612">
        <w:rPr>
          <w:b/>
          <w:color w:val="000000"/>
        </w:rPr>
        <w:t xml:space="preserve">– </w:t>
      </w:r>
      <w:r w:rsidR="009D6E02">
        <w:rPr>
          <w:b/>
          <w:color w:val="000000"/>
        </w:rPr>
        <w:t>С</w:t>
      </w:r>
      <w:r w:rsidRPr="00617969">
        <w:rPr>
          <w:b/>
          <w:color w:val="000000"/>
        </w:rPr>
        <w:t xml:space="preserve"> (уровень</w:t>
      </w:r>
      <w:r>
        <w:rPr>
          <w:b/>
          <w:color w:val="000000"/>
        </w:rPr>
        <w:t xml:space="preserve"> достоверности доказательств – </w:t>
      </w:r>
      <w:r w:rsidR="009D6E02">
        <w:rPr>
          <w:b/>
          <w:color w:val="000000"/>
        </w:rPr>
        <w:t>5</w:t>
      </w:r>
      <w:r w:rsidR="008B7E05">
        <w:rPr>
          <w:b/>
          <w:color w:val="000000"/>
        </w:rPr>
        <w:t>)</w:t>
      </w:r>
      <w:r w:rsidR="00046612">
        <w:rPr>
          <w:b/>
          <w:color w:val="000000"/>
        </w:rPr>
        <w:t>.</w:t>
      </w:r>
    </w:p>
    <w:p w14:paraId="04FAF4D7" w14:textId="3509B933" w:rsidR="00254823" w:rsidRPr="00104A3D" w:rsidRDefault="00F64B76" w:rsidP="008B7E05">
      <w:pPr>
        <w:ind w:firstLine="709"/>
        <w:contextualSpacing/>
        <w:rPr>
          <w:b/>
          <w:color w:val="000000"/>
        </w:rPr>
      </w:pPr>
      <w:r>
        <w:rPr>
          <w:b/>
          <w:color w:val="000000"/>
        </w:rPr>
        <w:t>Комментарии</w:t>
      </w:r>
      <w:r w:rsidR="00254823">
        <w:rPr>
          <w:b/>
          <w:color w:val="000000"/>
        </w:rPr>
        <w:t>:</w:t>
      </w:r>
      <w:r w:rsidR="00254823" w:rsidRPr="00104A3D">
        <w:t xml:space="preserve"> </w:t>
      </w:r>
      <w:r w:rsidR="00254823" w:rsidRPr="00104A3D">
        <w:rPr>
          <w:i/>
        </w:rPr>
        <w:t>диагноз нейролейкемии устанавливают при обнаружении в спинномозговой жидкости бластных клеток (в любом количестве) или так называемого цитоза более 15/3 (или 5 клеток в микролитре</w:t>
      </w:r>
      <w:r w:rsidR="00254823">
        <w:rPr>
          <w:i/>
        </w:rPr>
        <w:t>)</w:t>
      </w:r>
      <w:r w:rsidR="00254823" w:rsidRPr="00104A3D">
        <w:rPr>
          <w:i/>
        </w:rPr>
        <w:t>.</w:t>
      </w:r>
      <w:r w:rsidR="004B1614" w:rsidRPr="004B1614">
        <w:rPr>
          <w:bCs/>
          <w:color w:val="FF0000"/>
        </w:rPr>
        <w:t xml:space="preserve"> </w:t>
      </w:r>
      <w:r w:rsidR="004B1614" w:rsidRPr="009F500F">
        <w:rPr>
          <w:bCs/>
          <w:i/>
        </w:rPr>
        <w:t>Микроскопическое исследование спинномозговой жидкости необходимо выполнять всем пациентам при цитозе ≥ 5/мкл. Рекомендуется с целью повышения точности анализа использовать для приготовления цитологических препаратов ликвора цитологическую центрифугу</w:t>
      </w:r>
    </w:p>
    <w:p w14:paraId="2A8F9727" w14:textId="213D2D6C" w:rsidR="00254823" w:rsidRDefault="00254823" w:rsidP="00FF4C81">
      <w:pPr>
        <w:numPr>
          <w:ilvl w:val="0"/>
          <w:numId w:val="19"/>
        </w:numPr>
        <w:shd w:val="clear" w:color="auto" w:fill="FFFFFF"/>
        <w:tabs>
          <w:tab w:val="left" w:pos="178"/>
        </w:tabs>
        <w:contextualSpacing/>
      </w:pPr>
      <w:r w:rsidRPr="00104A3D">
        <w:rPr>
          <w:b/>
        </w:rPr>
        <w:t>Рекомендуется</w:t>
      </w:r>
      <w:r>
        <w:t xml:space="preserve"> всем пациентам при констатации нейролейкемии в момент первой диагностической </w:t>
      </w:r>
      <w:r w:rsidR="00DB6DE9">
        <w:t xml:space="preserve">спинномозговой </w:t>
      </w:r>
      <w:r>
        <w:t xml:space="preserve">пункции перевести </w:t>
      </w:r>
      <w:r w:rsidR="008B7E05">
        <w:t>пациента</w:t>
      </w:r>
      <w:r>
        <w:t xml:space="preserve"> на дексаметазон** (дозы согласно протоколу те</w:t>
      </w:r>
      <w:r w:rsidR="00C20FF9">
        <w:t>рапии</w:t>
      </w:r>
      <w:r w:rsidR="00555B7E">
        <w:t xml:space="preserve"> – см. приложение А3.1</w:t>
      </w:r>
      <w:r w:rsidR="00C20FF9">
        <w:t>), как</w:t>
      </w:r>
      <w:r w:rsidR="00FC508A">
        <w:t xml:space="preserve"> </w:t>
      </w:r>
      <w:r>
        <w:t>препарат, проникающий через гематоэнцефалический барьер</w:t>
      </w:r>
      <w:r w:rsidR="0084655B" w:rsidRPr="0084655B">
        <w:t xml:space="preserve"> </w:t>
      </w:r>
      <w:r w:rsidR="0084655B">
        <w:fldChar w:fldCharType="begin" w:fldLock="1"/>
      </w:r>
      <w:r w:rsidR="002466C9">
        <w:instrText>ADDIN CSL_CITATION {"citationItems":[{"id":"ITEM-1","itemData":{"DOI":"10.1016/S1470-2045(10)70114-5.Glucocorticoid","ISBN":"1470-2045","ISSN":"1474-5488","PMID":"20947430","abstract":"Glucocorticoids (prednisone and dexamethasone) play an essential role in the treatment of acute lymphoblastic leukemia (ALL) but their optimal doses and bioequivalence have not been established. Pre-clinical studies showed that dexamethasone has a longer half-life and better central nervous system (CNS) penetration. In prospective randomized trials, dexamethasone yielded better control of CNS leukemia. At a prednisone (mg)/dexamethasone (mg) dose ratio less than 7, dexamethasone treatment (6–18 mg/m2/day) yielded event-free survival superior to that of prednisone (40–120 mg/m2/day), and high-dose dexamethasone (10–18 mg/m2/day) overcame drug resistance in T-ALL and high-risk ALL. However, dexamethasone caused more adverse effects, including infection, bone fracture, osteonecrosis, mood and behavior problems, and myopathy. In studies using a dose ratio greater than 7, the two drugs showed no difference in efficacy. Therefore, the relative efficacy of prednisone and dexamethasone is dose dependent and must be carefully weighed against toxicity. Moreover, although dexamethasone generally exhibited greater activity against ALL cells in vitro, the dose ratio of the two drugs that exerted equivalent cytotoxicity ranged widely among individual samples. Selection of the type and dosage of glucocorticoid should be based on the risk of relapse, the treatment phase, and the concomitant chemotherapeutic drugs.","author":[{"dropping-particle":"","family":"Inaba","given":"Hiroto","non-dropping-particle":"","parse-names":false,"suffix":""},{"dropping-particle":"","family":"Pui","given":"Ching-Hon","non-dropping-particle":"","parse-names":false,"suffix":""}],"container-title":"Lancet Oncol.","id":"ITEM-1","issue":"11","issued":{"date-parts":[["2012"]]},"page":"1096-1106","title":"Glucocorticoid use in acute lymphoblastic leukemia: comparison of prednisone and dexamethasone","type":"article-journal","volume":"11"},"uris":["http://www.mendeley.com/documents/?uuid=cb8e84f9-ecc4-3e15-a334-fc16500ff6df"]}],"mendeley":{"formattedCitation":"[80]","plainTextFormattedCitation":"[80]","previouslyFormattedCitation":"[80]"},"properties":{"noteIndex":0},"schema":"https://github.com/citation-style-language/schema/raw/master/csl-citation.json"}</w:instrText>
      </w:r>
      <w:r w:rsidR="0084655B">
        <w:fldChar w:fldCharType="separate"/>
      </w:r>
      <w:r w:rsidR="00A66456" w:rsidRPr="00A66456">
        <w:rPr>
          <w:noProof/>
        </w:rPr>
        <w:t>[80]</w:t>
      </w:r>
      <w:r w:rsidR="0084655B">
        <w:fldChar w:fldCharType="end"/>
      </w:r>
      <w:r w:rsidR="0084655B" w:rsidRPr="0084655B">
        <w:t>.</w:t>
      </w:r>
      <w:r w:rsidR="00F64B76">
        <w:t xml:space="preserve"> </w:t>
      </w:r>
    </w:p>
    <w:p w14:paraId="61A66BBD" w14:textId="77777777" w:rsidR="00254823" w:rsidRDefault="00254823" w:rsidP="008B7E05">
      <w:pPr>
        <w:ind w:firstLine="709"/>
        <w:contextualSpacing/>
        <w:rPr>
          <w:b/>
          <w:color w:val="000000"/>
        </w:rPr>
      </w:pPr>
      <w:r w:rsidRPr="00251B6F">
        <w:rPr>
          <w:b/>
          <w:color w:val="000000"/>
        </w:rPr>
        <w:t xml:space="preserve">Уровень убедительности рекомендаций </w:t>
      </w:r>
      <w:r w:rsidR="00F64B76" w:rsidRPr="00251B6F">
        <w:rPr>
          <w:b/>
          <w:color w:val="000000"/>
        </w:rPr>
        <w:t xml:space="preserve">– </w:t>
      </w:r>
      <w:r w:rsidR="002A76AB">
        <w:rPr>
          <w:b/>
          <w:color w:val="000000"/>
        </w:rPr>
        <w:t>С</w:t>
      </w:r>
      <w:r w:rsidR="002A76AB" w:rsidRPr="00251B6F">
        <w:rPr>
          <w:b/>
          <w:color w:val="000000"/>
        </w:rPr>
        <w:t xml:space="preserve"> </w:t>
      </w:r>
      <w:r w:rsidRPr="00251B6F">
        <w:rPr>
          <w:b/>
          <w:color w:val="000000"/>
        </w:rPr>
        <w:t xml:space="preserve">(уровень достоверности доказательств – </w:t>
      </w:r>
      <w:r w:rsidR="002A76AB">
        <w:rPr>
          <w:b/>
          <w:color w:val="000000"/>
        </w:rPr>
        <w:t>5</w:t>
      </w:r>
      <w:r w:rsidR="008B7E05" w:rsidRPr="00251B6F">
        <w:rPr>
          <w:b/>
          <w:color w:val="000000"/>
        </w:rPr>
        <w:t>)</w:t>
      </w:r>
      <w:r w:rsidR="00F64B76" w:rsidRPr="00251B6F">
        <w:rPr>
          <w:b/>
          <w:color w:val="000000"/>
        </w:rPr>
        <w:t>.</w:t>
      </w:r>
    </w:p>
    <w:p w14:paraId="488010D2" w14:textId="77777777" w:rsidR="00254823" w:rsidRPr="001E66FD" w:rsidRDefault="00254823" w:rsidP="008163CC">
      <w:pPr>
        <w:rPr>
          <w:b/>
        </w:rPr>
      </w:pPr>
      <w:r w:rsidRPr="001E66FD">
        <w:rPr>
          <w:b/>
        </w:rPr>
        <w:t>Поддерживающая терапия</w:t>
      </w:r>
    </w:p>
    <w:p w14:paraId="741215FD" w14:textId="77777777" w:rsidR="00254823" w:rsidRDefault="00254823" w:rsidP="008B7E05">
      <w:pPr>
        <w:shd w:val="clear" w:color="auto" w:fill="FFFFFF"/>
        <w:tabs>
          <w:tab w:val="left" w:pos="206"/>
        </w:tabs>
        <w:ind w:firstLine="709"/>
        <w:contextualSpacing/>
        <w:rPr>
          <w:i/>
        </w:rPr>
      </w:pPr>
      <w:r w:rsidRPr="00A54690">
        <w:rPr>
          <w:i/>
        </w:rPr>
        <w:t>Поддерживающая терапия является неотъемлемой и необходимой частью стандартной терапии ОЛЛ у взрослых</w:t>
      </w:r>
      <w:r w:rsidR="00F64B76">
        <w:rPr>
          <w:i/>
        </w:rPr>
        <w:t>,</w:t>
      </w:r>
      <w:r w:rsidRPr="00A54690">
        <w:rPr>
          <w:i/>
        </w:rPr>
        <w:t xml:space="preserve"> за исключением ОЛЛ из зрелых B-лимфоцитов. Ее продолжительность составляет в среднем 2 года.</w:t>
      </w:r>
      <w:r>
        <w:rPr>
          <w:i/>
        </w:rPr>
        <w:t xml:space="preserve"> </w:t>
      </w:r>
    </w:p>
    <w:p w14:paraId="74E2729C" w14:textId="77777777" w:rsidR="00254823" w:rsidRPr="009E32F8" w:rsidRDefault="00B91F7D" w:rsidP="00FF4C81">
      <w:pPr>
        <w:numPr>
          <w:ilvl w:val="0"/>
          <w:numId w:val="19"/>
        </w:numPr>
        <w:shd w:val="clear" w:color="auto" w:fill="FFFFFF"/>
        <w:tabs>
          <w:tab w:val="left" w:pos="206"/>
        </w:tabs>
      </w:pPr>
      <w:r>
        <w:t>П</w:t>
      </w:r>
      <w:r w:rsidR="00254823" w:rsidRPr="006B45B9">
        <w:t>ациентам</w:t>
      </w:r>
      <w:r w:rsidR="00254823" w:rsidRPr="003D7916">
        <w:t xml:space="preserve"> </w:t>
      </w:r>
      <w:r>
        <w:t xml:space="preserve">с </w:t>
      </w:r>
      <w:r>
        <w:rPr>
          <w:lang w:val="en-US"/>
        </w:rPr>
        <w:t>Ph</w:t>
      </w:r>
      <w:r w:rsidRPr="00EB4B65">
        <w:t>-</w:t>
      </w:r>
      <w:r>
        <w:t>ОЛЛ</w:t>
      </w:r>
      <w:r w:rsidR="00AC7867">
        <w:t xml:space="preserve"> </w:t>
      </w:r>
      <w:r w:rsidR="00254823">
        <w:t>(кроме терапии зрелого</w:t>
      </w:r>
      <w:r w:rsidR="001B0FC5">
        <w:t xml:space="preserve"> варианта В-ОЛЛ) </w:t>
      </w:r>
      <w:r>
        <w:rPr>
          <w:b/>
        </w:rPr>
        <w:t>рекомендуется</w:t>
      </w:r>
      <w:r>
        <w:t xml:space="preserve"> </w:t>
      </w:r>
      <w:r w:rsidR="00224301">
        <w:t>проведение</w:t>
      </w:r>
      <w:r>
        <w:t xml:space="preserve"> </w:t>
      </w:r>
      <w:r w:rsidR="001B0FC5">
        <w:t>поддерживающе</w:t>
      </w:r>
      <w:r>
        <w:t>й</w:t>
      </w:r>
      <w:r w:rsidR="001B0FC5">
        <w:t xml:space="preserve"> </w:t>
      </w:r>
      <w:r>
        <w:t>терапии</w:t>
      </w:r>
      <w:r w:rsidR="00DB6DE9">
        <w:t>,</w:t>
      </w:r>
      <w:r w:rsidR="00254823">
        <w:t xml:space="preserve"> состояще</w:t>
      </w:r>
      <w:r>
        <w:t>й</w:t>
      </w:r>
      <w:r w:rsidR="00F64B76">
        <w:t xml:space="preserve"> из</w:t>
      </w:r>
      <w:r w:rsidR="008B7E05">
        <w:t xml:space="preserve"> ежедневного приема </w:t>
      </w:r>
      <w:r w:rsidR="00254823" w:rsidRPr="003D7916">
        <w:t>меркаптопурина</w:t>
      </w:r>
      <w:r w:rsidR="008B7E05">
        <w:t>**</w:t>
      </w:r>
      <w:r w:rsidR="00254823" w:rsidRPr="003D7916">
        <w:t>, метотрексата</w:t>
      </w:r>
      <w:r w:rsidR="008B7E05">
        <w:t>**</w:t>
      </w:r>
      <w:r w:rsidR="00254823">
        <w:t xml:space="preserve"> (дозировка согласно</w:t>
      </w:r>
      <w:r w:rsidR="00AC7867">
        <w:t xml:space="preserve"> применяемому у данного пациента</w:t>
      </w:r>
      <w:r w:rsidR="00254823">
        <w:t xml:space="preserve"> протоколу</w:t>
      </w:r>
      <w:r w:rsidR="00AC7867">
        <w:t xml:space="preserve"> лечения</w:t>
      </w:r>
      <w:r w:rsidR="004A111F">
        <w:t>,</w:t>
      </w:r>
      <w:r w:rsidR="004F4A8D">
        <w:t xml:space="preserve"> см.</w:t>
      </w:r>
      <w:r w:rsidR="004A111F" w:rsidRPr="004A111F">
        <w:t xml:space="preserve"> </w:t>
      </w:r>
      <w:r w:rsidR="004A111F" w:rsidRPr="00F31C01">
        <w:t xml:space="preserve">приложение </w:t>
      </w:r>
      <w:r w:rsidR="004A111F">
        <w:t>А3.</w:t>
      </w:r>
      <w:r w:rsidR="004A111F" w:rsidRPr="00F31C01">
        <w:t>1</w:t>
      </w:r>
      <w:r w:rsidR="00254823">
        <w:t>)</w:t>
      </w:r>
      <w:r w:rsidR="00254823" w:rsidRPr="003D7916">
        <w:t xml:space="preserve"> – 1 раз в неделю, </w:t>
      </w:r>
      <w:r w:rsidR="00254823" w:rsidRPr="00F31C01">
        <w:t>п</w:t>
      </w:r>
      <w:r w:rsidR="00254823">
        <w:t>ульсов глюкокортикостероидных гормонов и винкристин</w:t>
      </w:r>
      <w:r w:rsidR="00254823" w:rsidRPr="00F31C01">
        <w:t>а</w:t>
      </w:r>
      <w:r w:rsidR="00254823">
        <w:t>**</w:t>
      </w:r>
      <w:r w:rsidR="00F64B76">
        <w:t xml:space="preserve"> – 1</w:t>
      </w:r>
      <w:r w:rsidR="00254823" w:rsidRPr="00F31C01">
        <w:t xml:space="preserve"> раз в месяц</w:t>
      </w:r>
      <w:r w:rsidR="00AC7867">
        <w:t xml:space="preserve"> </w:t>
      </w:r>
      <w:r w:rsidR="00AC7867">
        <w:fldChar w:fldCharType="begin" w:fldLock="1"/>
      </w:r>
      <w:r w:rsidR="00AC7867">
        <w:instrText>ADDIN CSL_CITATION {"citationItems":[{"id":"ITEM-1","itemData":{"id":"ITEM-1","issued":{"date-parts":[["2012"]]},"number-of-pages":"1056","title":"Программное лечение заболеваний системы крови: Сборник алгоритмов диагностики и протоколов лечения заболеваний системы крови. Под ред. В.Г. Савченко","type":"book"},"uris":["http://www.mendeley.com/documents/?uuid=36484a90-27ae-40a9-a194-b0461fb47d9d"]},{"id":"ITEM-2","itemData":{"author":[{"dropping-particle":"","family":"Савченко","given":"Валерий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доп.","id":"ITEM-2","issued":{"date-parts":[["2007"]]},"page":"409-502","title":"Острые лейкозы","type":"chapter"},"uris":["http://www.mendeley.com/documents/?uuid=08f85f58-ddaa-48eb-b937-65d15d14b213"]},{"id":"ITEM-3","itemData":{"author":[{"dropping-particle":"","family":"Brown","given":"Patrick A","non-dropping-particle":"","parse-names":false,"suffix":""},{"dropping-particle":"","family":"Shah","given":"Bijal","non-dropping-particle":"","parse-names":false,"suffix":""},{"dropping-particle":"","family":"Advani","given":"Anjali","non-dropping-particle":"","parse-names":false,"suffix":""},{"dropping-particle":"","family":"Aoun","given":"Patricia","non-dropping-particle":"","parse-names":false,"suffix":""},{"dropping-particle":"","family":"Bhatnagar","given":"Bhavana","non-dropping-particle":"","parse-names":false,"suffix":""},{"dropping-particle":"","family":"Boyer","given":"Michael W","non-dropping-particle":"","parse-names":false,"suffix":""},{"dropping-particle":"","family":"Bryan","given":"Teresa","non-dropping-particle":"","parse-names":false,"suffix":""},{"dropping-particle":"","family":"Burke","given":"Patrick W","non-dropping-particle":"","parse-names":false,"suffix":""},{"dropping-particle":"","family":"Cassaday","given":"Ryan D","non-dropping-particle":"","parse-names":false,"suffix":""},{"dropping-particle":"","family":"Coutre","given":"Steven E","non-dropping-particle":"","parse-names":false,"suffix":""},{"dropping-particle":"","family":"Coccia","given":"Peter F","non-dropping-particle":"","parse-names":false,"suffix":""},{"dropping-particle":"","family":"DeAngelo","given":"Daniel J","non-dropping-particle":"","parse-names":false,"suffix":""},{"dropping-particle":"","family":"Fathi","given":"Amir","non-dropping-particle":"","parse-names":false,"suffix":""},{"dropping-particle":"","family":"Jain","given":"Nitin","non-dropping-particle":"","parse-names":false,"suffix":""},{"dropping-particle":"","family":"Kirby","given":"Suzanne","non-dropping-particle":"","parse-names":false,"suffix":""},{"dropping-particle":"","family":"Litzow","given":"Mark","non-dropping-particle":"","parse-names":false,"suffix":""},{"dropping-particle":"","family":"Liu","given":"Arthur","non-dropping-particle":"","parse-names":false,"suffix":""},{"dropping-particle":"","family":"Logan","given":"Aaron","non-dropping-particle":"","parse-names":false,"suffix":""},{"dropping-particle":"","family":"Massaro","given":"Stephanie","non-dropping-particle":"","parse-names":false,"suffix":""},{"dropping-particle":"","family":"Mattison","given":"Ryan J","non-dropping-particle":"","parse-names":false,"suffix":""},{"dropping-particle":"","family":"Oluwole","given":"Olalekan","non-dropping-particle":"","parse-names":false,"suffix":""},{"dropping-particle":"","family":"Papadantonakis","given":"Nikolaos","non-dropping-particle":"","parse-names":false,"suffix":""},{"dropping-particle":"","family":"Park","given":"Jae","non-dropping-particle":"","parse-names":false,"suffix":""},{"dropping-particle":"","family":"Rubnitz","given":"Jeffrey E","non-dropping-particle":"","parse-names":false,"suffix":""},{"dropping-particle":"","family":"Uy","given":"Geoffrey L","non-dropping-particle":"","parse-names":false,"suffix":""},{"dropping-particle":"","family":"Wang","given":"Eunice S","non-dropping-particle":"","parse-names":false,"suffix":""},{"dropping-particle":"","family":"Wieduwilt","given":"Matthew","non-dropping-particle":"","parse-names":false,"suffix":""},{"dropping-particle":"","family":"Gregory","given":"Kristina","non-dropping-particle":"","parse-names":false,"suffix":""}],"id":"ITEM-3","issued":{"date-parts":[["2019"]]},"number-of-pages":"115","title":"NCCN Clinical Practice Guidelines in Oncology. Acute Lymphoblastic Leukemia. Version 2.2019","type":"report"},"uris":["http://www.mendeley.com/documents/?uuid=ef92918b-8a57-37b1-bea5-284dfdf15541"]},{"id":"ITEM-4","itemData":{"author":[{"dropping-particle":"","family":"Gökbuget","given":"N.","non-dropping-particle":"","parse-names":false,"suffix":""},{"dropping-particle":"","family":"Bassan","given":"R.","non-dropping-particle":"","parse-names":false,"suffix":""},{"dropping-particle":"","family":"Dombret","given":"H.","non-dropping-particle":"","parse-names":false,"suffix":""},{"dropping-particle":"","family":"Doubek","given":"M.","non-dropping-particle":"","parse-names":false,"suffix":""},{"dropping-particle":"","family":"Fielding","given":"A.K.","non-dropping-particle":"","parse-names":false,"suffix":""},{"dropping-particle":"","family":"Foà","given":"R.","non-dropping-particle":"","parse-names":false,"suffix":""},{"dropping-particle":"","family":"Giebel","given":"S.","non-dropping-particle":"","parse-names":false,"suffix":""},{"dropping-particle":"","family":"Hoelzer","given":"D.","non-dropping-particle":"","parse-names":false,"suffix":""},{"dropping-particle":"","family":"Martinelli","given":"G.","non-dropping-particle":"","parse-names":false,"suffix":""},{"dropping-particle":"","family":"Meloni","given":"G.","non-dropping-particle":"","parse-names":false,"suffix":""},{"dropping-particle":"","family":"Delia Moicean","given":"A.","non-dropping-particle":"","parse-names":false,"suffix":""},{"dropping-particle":"","family":"Ottmann","given":"O.","non-dropping-particle":"","parse-names":false,"suffix":""},{"dropping-particle":"","family":"Piccaluga","given":"P.P.","non-dropping-particle":"","parse-names":false,"suffix":""},{"dropping-particle":"","family":"Ribera","given":"J.M.","non-dropping-particle":"","parse-names":false,"suffix":""},{"dropping-particle":"","family":"Rousselot","given":"P.","non-dropping-particle":"","parse-names":false,"suffix":""},{"dropping-particle":"","family":"Walewski","given":"J.","non-dropping-particle":"","parse-names":false,"suffix":""}],"container-title":"UNI-MED Verlag AG","id":"ITEM-4","issued":{"date-parts":[["2011"]]},"number-of-pages":"204","title":"Recommendations of the European Working Group for Adult ALL (EWALL)","type":"book"},"uris":["http://www.mendeley.com/documents/?uuid=aba58166-cd2b-4f70-bb6a-5fdd9e1b42de"]}],"mendeley":{"formattedCitation":"[1,2,4,5]","plainTextFormattedCitation":"[1,2,4,5]","previouslyFormattedCitation":"[1,2,4,5]"},"properties":{"noteIndex":0},"schema":"https://github.com/citation-style-language/schema/raw/master/csl-citation.json"}</w:instrText>
      </w:r>
      <w:r w:rsidR="00AC7867">
        <w:fldChar w:fldCharType="separate"/>
      </w:r>
      <w:r w:rsidR="00AC7867" w:rsidRPr="00B30EAF">
        <w:rPr>
          <w:noProof/>
        </w:rPr>
        <w:t>[1,2,4,5]</w:t>
      </w:r>
      <w:r w:rsidR="00AC7867">
        <w:fldChar w:fldCharType="end"/>
      </w:r>
      <w:r w:rsidR="00AC7867">
        <w:t>.</w:t>
      </w:r>
    </w:p>
    <w:p w14:paraId="2E53B37F" w14:textId="77777777" w:rsidR="00254823" w:rsidRDefault="00254823" w:rsidP="008B7E05">
      <w:pPr>
        <w:ind w:firstLine="709"/>
        <w:contextualSpacing/>
        <w:rPr>
          <w:b/>
          <w:color w:val="000000"/>
        </w:rPr>
      </w:pPr>
      <w:r w:rsidRPr="00617969">
        <w:rPr>
          <w:b/>
          <w:color w:val="000000"/>
        </w:rPr>
        <w:t>Урове</w:t>
      </w:r>
      <w:r>
        <w:rPr>
          <w:b/>
          <w:color w:val="000000"/>
        </w:rPr>
        <w:t xml:space="preserve">нь убедительности рекомендаций </w:t>
      </w:r>
      <w:r w:rsidR="00F64B76">
        <w:rPr>
          <w:b/>
          <w:color w:val="000000"/>
        </w:rPr>
        <w:t xml:space="preserve">– </w:t>
      </w:r>
      <w:r w:rsidR="00AC7867">
        <w:rPr>
          <w:b/>
          <w:color w:val="000000"/>
        </w:rPr>
        <w:t>С</w:t>
      </w:r>
      <w:r w:rsidR="00AC7867" w:rsidRPr="00617969">
        <w:rPr>
          <w:b/>
          <w:color w:val="000000"/>
        </w:rPr>
        <w:t xml:space="preserve"> </w:t>
      </w:r>
      <w:r w:rsidRPr="00617969">
        <w:rPr>
          <w:b/>
          <w:color w:val="000000"/>
        </w:rPr>
        <w:t>(уровень</w:t>
      </w:r>
      <w:r>
        <w:rPr>
          <w:b/>
          <w:color w:val="000000"/>
        </w:rPr>
        <w:t xml:space="preserve"> достоверности доказательств – </w:t>
      </w:r>
      <w:r w:rsidR="00AC7867">
        <w:rPr>
          <w:b/>
          <w:color w:val="000000"/>
        </w:rPr>
        <w:t>5</w:t>
      </w:r>
      <w:r w:rsidR="008B7E05">
        <w:rPr>
          <w:b/>
          <w:color w:val="000000"/>
        </w:rPr>
        <w:t>)</w:t>
      </w:r>
      <w:r w:rsidR="00F64B76">
        <w:rPr>
          <w:b/>
          <w:color w:val="000000"/>
        </w:rPr>
        <w:t>.</w:t>
      </w:r>
    </w:p>
    <w:p w14:paraId="5C19ED78" w14:textId="77777777" w:rsidR="004A111F" w:rsidRPr="00EB4B65" w:rsidRDefault="004A111F" w:rsidP="004A111F">
      <w:pPr>
        <w:ind w:firstLine="709"/>
        <w:contextualSpacing/>
      </w:pPr>
      <w:r>
        <w:rPr>
          <w:b/>
          <w:color w:val="000000"/>
        </w:rPr>
        <w:t>Комментарии:</w:t>
      </w:r>
      <w:r w:rsidRPr="004A111F">
        <w:t xml:space="preserve"> </w:t>
      </w:r>
      <w:r w:rsidRPr="00EB4B65">
        <w:rPr>
          <w:i/>
        </w:rPr>
        <w:t xml:space="preserve">этот этап лечения может осложняться развитием </w:t>
      </w:r>
      <w:r w:rsidRPr="00EB4B65">
        <w:rPr>
          <w:i/>
        </w:rPr>
        <w:lastRenderedPageBreak/>
        <w:t>миелотоксического агранулоцитоза, поэтому необходимо четко выполнять рекомендации по коррекции доз цитостатических препаратов</w:t>
      </w:r>
    </w:p>
    <w:p w14:paraId="69B808BB" w14:textId="77777777" w:rsidR="00254823" w:rsidRDefault="00224301" w:rsidP="00FF4C81">
      <w:pPr>
        <w:numPr>
          <w:ilvl w:val="0"/>
          <w:numId w:val="19"/>
        </w:numPr>
        <w:shd w:val="clear" w:color="auto" w:fill="FFFFFF"/>
        <w:tabs>
          <w:tab w:val="left" w:pos="206"/>
        </w:tabs>
      </w:pPr>
      <w:r>
        <w:t>П</w:t>
      </w:r>
      <w:r w:rsidR="00254823" w:rsidRPr="006B45B9">
        <w:t>ациентам</w:t>
      </w:r>
      <w:r w:rsidR="00AC7867">
        <w:t xml:space="preserve"> </w:t>
      </w:r>
      <w:r>
        <w:rPr>
          <w:b/>
        </w:rPr>
        <w:t>рекомендуется</w:t>
      </w:r>
      <w:r>
        <w:t xml:space="preserve"> проведение поддерживающей терапии </w:t>
      </w:r>
      <w:r w:rsidR="00254823">
        <w:t xml:space="preserve">с учетом </w:t>
      </w:r>
      <w:r w:rsidR="00AC7867">
        <w:t xml:space="preserve">указанных </w:t>
      </w:r>
      <w:r w:rsidR="00254823">
        <w:t xml:space="preserve">в </w:t>
      </w:r>
      <w:r w:rsidR="00AC7867">
        <w:t xml:space="preserve">применяемом у данного пациента </w:t>
      </w:r>
      <w:r w:rsidR="00254823">
        <w:t>протоколе</w:t>
      </w:r>
      <w:r w:rsidR="00AC7867">
        <w:t xml:space="preserve"> лечения</w:t>
      </w:r>
      <w:r w:rsidR="00254823">
        <w:t xml:space="preserve"> </w:t>
      </w:r>
      <w:r w:rsidR="00AC7867">
        <w:t xml:space="preserve">рекомендаций </w:t>
      </w:r>
      <w:r w:rsidR="00254823">
        <w:t>по редукции доз с целью минимизации числа инфе</w:t>
      </w:r>
      <w:r w:rsidR="00F64B76">
        <w:t>к</w:t>
      </w:r>
      <w:r w:rsidR="00254823">
        <w:t xml:space="preserve">ционных осложнений, связанных с развитием цитопенического синдрома (см. приложение </w:t>
      </w:r>
      <w:r w:rsidR="0057050E">
        <w:t>А3.</w:t>
      </w:r>
      <w:r w:rsidR="00254823">
        <w:t>1)</w:t>
      </w:r>
      <w:r w:rsidR="00AC7867">
        <w:t xml:space="preserve"> </w:t>
      </w:r>
      <w:r w:rsidR="00AC7867">
        <w:fldChar w:fldCharType="begin" w:fldLock="1"/>
      </w:r>
      <w:r w:rsidR="00AC7867">
        <w:instrText>ADDIN CSL_CITATION {"citationItems":[{"id":"ITEM-1","itemData":{"id":"ITEM-1","issued":{"date-parts":[["2012"]]},"number-of-pages":"1056","title":"Программное лечение заболеваний системы крови: Сборник алгоритмов диагностики и протоколов лечения заболеваний системы крови. Под ред. В.Г. Савченко","type":"book"},"uris":["http://www.mendeley.com/documents/?uuid=36484a90-27ae-40a9-a194-b0461fb47d9d"]},{"id":"ITEM-2","itemData":{"author":[{"dropping-particle":"","family":"Савченко","given":"Валерий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доп.","id":"ITEM-2","issued":{"date-parts":[["2007"]]},"page":"409-502","title":"Острые лейкозы","type":"chapter"},"uris":["http://www.mendeley.com/documents/?uuid=08f85f58-ddaa-48eb-b937-65d15d14b213"]},{"id":"ITEM-3","itemData":{"author":[{"dropping-particle":"","family":"Brown","given":"Patrick A","non-dropping-particle":"","parse-names":false,"suffix":""},{"dropping-particle":"","family":"Shah","given":"Bijal","non-dropping-particle":"","parse-names":false,"suffix":""},{"dropping-particle":"","family":"Advani","given":"Anjali","non-dropping-particle":"","parse-names":false,"suffix":""},{"dropping-particle":"","family":"Aoun","given":"Patricia","non-dropping-particle":"","parse-names":false,"suffix":""},{"dropping-particle":"","family":"Bhatnagar","given":"Bhavana","non-dropping-particle":"","parse-names":false,"suffix":""},{"dropping-particle":"","family":"Boyer","given":"Michael W","non-dropping-particle":"","parse-names":false,"suffix":""},{"dropping-particle":"","family":"Bryan","given":"Teresa","non-dropping-particle":"","parse-names":false,"suffix":""},{"dropping-particle":"","family":"Burke","given":"Patrick W","non-dropping-particle":"","parse-names":false,"suffix":""},{"dropping-particle":"","family":"Cassaday","given":"Ryan D","non-dropping-particle":"","parse-names":false,"suffix":""},{"dropping-particle":"","family":"Coutre","given":"Steven E","non-dropping-particle":"","parse-names":false,"suffix":""},{"dropping-particle":"","family":"Coccia","given":"Peter F","non-dropping-particle":"","parse-names":false,"suffix":""},{"dropping-particle":"","family":"DeAngelo","given":"Daniel J","non-dropping-particle":"","parse-names":false,"suffix":""},{"dropping-particle":"","family":"Fathi","given":"Amir","non-dropping-particle":"","parse-names":false,"suffix":""},{"dropping-particle":"","family":"Jain","given":"Nitin","non-dropping-particle":"","parse-names":false,"suffix":""},{"dropping-particle":"","family":"Kirby","given":"Suzanne","non-dropping-particle":"","parse-names":false,"suffix":""},{"dropping-particle":"","family":"Litzow","given":"Mark","non-dropping-particle":"","parse-names":false,"suffix":""},{"dropping-particle":"","family":"Liu","given":"Arthur","non-dropping-particle":"","parse-names":false,"suffix":""},{"dropping-particle":"","family":"Logan","given":"Aaron","non-dropping-particle":"","parse-names":false,"suffix":""},{"dropping-particle":"","family":"Massaro","given":"Stephanie","non-dropping-particle":"","parse-names":false,"suffix":""},{"dropping-particle":"","family":"Mattison","given":"Ryan J","non-dropping-particle":"","parse-names":false,"suffix":""},{"dropping-particle":"","family":"Oluwole","given":"Olalekan","non-dropping-particle":"","parse-names":false,"suffix":""},{"dropping-particle":"","family":"Papadantonakis","given":"Nikolaos","non-dropping-particle":"","parse-names":false,"suffix":""},{"dropping-particle":"","family":"Park","given":"Jae","non-dropping-particle":"","parse-names":false,"suffix":""},{"dropping-particle":"","family":"Rubnitz","given":"Jeffrey E","non-dropping-particle":"","parse-names":false,"suffix":""},{"dropping-particle":"","family":"Uy","given":"Geoffrey L","non-dropping-particle":"","parse-names":false,"suffix":""},{"dropping-particle":"","family":"Wang","given":"Eunice S","non-dropping-particle":"","parse-names":false,"suffix":""},{"dropping-particle":"","family":"Wieduwilt","given":"Matthew","non-dropping-particle":"","parse-names":false,"suffix":""},{"dropping-particle":"","family":"Gregory","given":"Kristina","non-dropping-particle":"","parse-names":false,"suffix":""}],"id":"ITEM-3","issued":{"date-parts":[["2019"]]},"number-of-pages":"115","title":"NCCN Clinical Practice Guidelines in Oncology. Acute Lymphoblastic Leukemia. Version 2.2019","type":"report"},"uris":["http://www.mendeley.com/documents/?uuid=ef92918b-8a57-37b1-bea5-284dfdf15541"]},{"id":"ITEM-4","itemData":{"author":[{"dropping-particle":"","family":"Gökbuget","given":"N.","non-dropping-particle":"","parse-names":false,"suffix":""},{"dropping-particle":"","family":"Bassan","given":"R.","non-dropping-particle":"","parse-names":false,"suffix":""},{"dropping-particle":"","family":"Dombret","given":"H.","non-dropping-particle":"","parse-names":false,"suffix":""},{"dropping-particle":"","family":"Doubek","given":"M.","non-dropping-particle":"","parse-names":false,"suffix":""},{"dropping-particle":"","family":"Fielding","given":"A.K.","non-dropping-particle":"","parse-names":false,"suffix":""},{"dropping-particle":"","family":"Foà","given":"R.","non-dropping-particle":"","parse-names":false,"suffix":""},{"dropping-particle":"","family":"Giebel","given":"S.","non-dropping-particle":"","parse-names":false,"suffix":""},{"dropping-particle":"","family":"Hoelzer","given":"D.","non-dropping-particle":"","parse-names":false,"suffix":""},{"dropping-particle":"","family":"Martinelli","given":"G.","non-dropping-particle":"","parse-names":false,"suffix":""},{"dropping-particle":"","family":"Meloni","given":"G.","non-dropping-particle":"","parse-names":false,"suffix":""},{"dropping-particle":"","family":"Delia Moicean","given":"A.","non-dropping-particle":"","parse-names":false,"suffix":""},{"dropping-particle":"","family":"Ottmann","given":"O.","non-dropping-particle":"","parse-names":false,"suffix":""},{"dropping-particle":"","family":"Piccaluga","given":"P.P.","non-dropping-particle":"","parse-names":false,"suffix":""},{"dropping-particle":"","family":"Ribera","given":"J.M.","non-dropping-particle":"","parse-names":false,"suffix":""},{"dropping-particle":"","family":"Rousselot","given":"P.","non-dropping-particle":"","parse-names":false,"suffix":""},{"dropping-particle":"","family":"Walewski","given":"J.","non-dropping-particle":"","parse-names":false,"suffix":""}],"container-title":"UNI-MED Verlag AG","id":"ITEM-4","issued":{"date-parts":[["2011"]]},"number-of-pages":"204","title":"Recommendations of the European Working Group for Adult ALL (EWALL)","type":"book"},"uris":["http://www.mendeley.com/documents/?uuid=aba58166-cd2b-4f70-bb6a-5fdd9e1b42de"]}],"mendeley":{"formattedCitation":"[1,2,4,5]","plainTextFormattedCitation":"[1,2,4,5]","previouslyFormattedCitation":"[1,2,4,5]"},"properties":{"noteIndex":0},"schema":"https://github.com/citation-style-language/schema/raw/master/csl-citation.json"}</w:instrText>
      </w:r>
      <w:r w:rsidR="00AC7867">
        <w:fldChar w:fldCharType="separate"/>
      </w:r>
      <w:r w:rsidR="00AC7867" w:rsidRPr="00B30EAF">
        <w:rPr>
          <w:noProof/>
        </w:rPr>
        <w:t>[1,2,4,5]</w:t>
      </w:r>
      <w:r w:rsidR="00AC7867">
        <w:fldChar w:fldCharType="end"/>
      </w:r>
      <w:r w:rsidR="00254823">
        <w:t>.</w:t>
      </w:r>
    </w:p>
    <w:p w14:paraId="5433DC9A" w14:textId="77777777" w:rsidR="00254823" w:rsidRPr="003D7916" w:rsidRDefault="00254823" w:rsidP="008B7E05">
      <w:pPr>
        <w:ind w:firstLine="709"/>
        <w:contextualSpacing/>
        <w:rPr>
          <w:b/>
          <w:color w:val="000000"/>
        </w:rPr>
      </w:pPr>
      <w:r w:rsidRPr="00617969">
        <w:rPr>
          <w:b/>
          <w:color w:val="000000"/>
        </w:rPr>
        <w:t>Урове</w:t>
      </w:r>
      <w:r>
        <w:rPr>
          <w:b/>
          <w:color w:val="000000"/>
        </w:rPr>
        <w:t xml:space="preserve">нь убедительности рекомендаций </w:t>
      </w:r>
      <w:r w:rsidR="00F64B76">
        <w:rPr>
          <w:b/>
          <w:color w:val="000000"/>
        </w:rPr>
        <w:t xml:space="preserve">– </w:t>
      </w:r>
      <w:r w:rsidR="00AC7867">
        <w:rPr>
          <w:b/>
          <w:color w:val="000000"/>
        </w:rPr>
        <w:t>С</w:t>
      </w:r>
      <w:r w:rsidR="00AC7867" w:rsidRPr="00617969">
        <w:rPr>
          <w:b/>
          <w:color w:val="000000"/>
        </w:rPr>
        <w:t xml:space="preserve"> </w:t>
      </w:r>
      <w:r w:rsidRPr="00617969">
        <w:rPr>
          <w:b/>
          <w:color w:val="000000"/>
        </w:rPr>
        <w:t>(уровень</w:t>
      </w:r>
      <w:r>
        <w:rPr>
          <w:b/>
          <w:color w:val="000000"/>
        </w:rPr>
        <w:t xml:space="preserve"> достоверности доказательств – </w:t>
      </w:r>
      <w:r w:rsidR="00AC7867">
        <w:rPr>
          <w:b/>
          <w:color w:val="000000"/>
        </w:rPr>
        <w:t>5</w:t>
      </w:r>
      <w:r w:rsidR="008B7E05">
        <w:rPr>
          <w:b/>
          <w:color w:val="000000"/>
        </w:rPr>
        <w:t>)</w:t>
      </w:r>
      <w:r w:rsidR="00F64B76">
        <w:rPr>
          <w:b/>
          <w:color w:val="000000"/>
        </w:rPr>
        <w:t>.</w:t>
      </w:r>
    </w:p>
    <w:p w14:paraId="64A2E4A6" w14:textId="77777777" w:rsidR="00254823" w:rsidRPr="00F66138" w:rsidRDefault="00254823" w:rsidP="00FF4C81">
      <w:pPr>
        <w:numPr>
          <w:ilvl w:val="0"/>
          <w:numId w:val="19"/>
        </w:numPr>
        <w:shd w:val="clear" w:color="auto" w:fill="FFFFFF"/>
      </w:pPr>
      <w:r w:rsidRPr="0057050E">
        <w:rPr>
          <w:b/>
        </w:rPr>
        <w:t>Не рекомендуется</w:t>
      </w:r>
      <w:r w:rsidRPr="0057050E">
        <w:t xml:space="preserve"> проведение поддерживающей терапии после алло</w:t>
      </w:r>
      <w:r w:rsidR="00780B99">
        <w:t>-</w:t>
      </w:r>
      <w:r w:rsidR="00F33796">
        <w:t>ТГСК</w:t>
      </w:r>
      <w:r w:rsidRPr="007E35D0">
        <w:t xml:space="preserve"> (исключение составляет Ph/BCR-ABL-позитивный ОЛЛ</w:t>
      </w:r>
      <w:r w:rsidR="00A46FF0">
        <w:t>, пр</w:t>
      </w:r>
      <w:r w:rsidR="00A5114B">
        <w:t>и</w:t>
      </w:r>
      <w:r w:rsidR="00A46FF0">
        <w:t xml:space="preserve"> котором</w:t>
      </w:r>
      <w:r w:rsidRPr="007E35D0">
        <w:t xml:space="preserve"> показано применение ИТК после алло</w:t>
      </w:r>
      <w:r w:rsidR="00780B99">
        <w:t>-</w:t>
      </w:r>
      <w:r w:rsidR="00F33796">
        <w:t>ТГСК</w:t>
      </w:r>
      <w:r w:rsidRPr="007E35D0">
        <w:t xml:space="preserve"> в течение 2 лет)</w:t>
      </w:r>
      <w:r w:rsidR="00AC7867">
        <w:t xml:space="preserve"> </w:t>
      </w:r>
      <w:r w:rsidR="00AC7867">
        <w:fldChar w:fldCharType="begin" w:fldLock="1"/>
      </w:r>
      <w:r w:rsidR="00AC7867">
        <w:instrText>ADDIN CSL_CITATION {"citationItems":[{"id":"ITEM-1","itemData":{"id":"ITEM-1","issued":{"date-parts":[["2012"]]},"number-of-pages":"1056","title":"Программное лечение заболеваний системы крови: Сборник алгоритмов диагностики и протоколов лечения заболеваний системы крови. Под ред. В.Г. Савченко","type":"book"},"uris":["http://www.mendeley.com/documents/?uuid=36484a90-27ae-40a9-a194-b0461fb47d9d"]},{"id":"ITEM-2","itemData":{"author":[{"dropping-particle":"","family":"Савченко","given":"Валерий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доп.","id":"ITEM-2","issued":{"date-parts":[["2007"]]},"page":"409-502","title":"Острые лейкозы","type":"chapter"},"uris":["http://www.mendeley.com/documents/?uuid=08f85f58-ddaa-48eb-b937-65d15d14b213"]},{"id":"ITEM-3","itemData":{"author":[{"dropping-particle":"","family":"Brown","given":"Patrick A","non-dropping-particle":"","parse-names":false,"suffix":""},{"dropping-particle":"","family":"Shah","given":"Bijal","non-dropping-particle":"","parse-names":false,"suffix":""},{"dropping-particle":"","family":"Advani","given":"Anjali","non-dropping-particle":"","parse-names":false,"suffix":""},{"dropping-particle":"","family":"Aoun","given":"Patricia","non-dropping-particle":"","parse-names":false,"suffix":""},{"dropping-particle":"","family":"Bhatnagar","given":"Bhavana","non-dropping-particle":"","parse-names":false,"suffix":""},{"dropping-particle":"","family":"Boyer","given":"Michael W","non-dropping-particle":"","parse-names":false,"suffix":""},{"dropping-particle":"","family":"Bryan","given":"Teresa","non-dropping-particle":"","parse-names":false,"suffix":""},{"dropping-particle":"","family":"Burke","given":"Patrick W","non-dropping-particle":"","parse-names":false,"suffix":""},{"dropping-particle":"","family":"Cassaday","given":"Ryan D","non-dropping-particle":"","parse-names":false,"suffix":""},{"dropping-particle":"","family":"Coutre","given":"Steven E","non-dropping-particle":"","parse-names":false,"suffix":""},{"dropping-particle":"","family":"Coccia","given":"Peter F","non-dropping-particle":"","parse-names":false,"suffix":""},{"dropping-particle":"","family":"DeAngelo","given":"Daniel J","non-dropping-particle":"","parse-names":false,"suffix":""},{"dropping-particle":"","family":"Fathi","given":"Amir","non-dropping-particle":"","parse-names":false,"suffix":""},{"dropping-particle":"","family":"Jain","given":"Nitin","non-dropping-particle":"","parse-names":false,"suffix":""},{"dropping-particle":"","family":"Kirby","given":"Suzanne","non-dropping-particle":"","parse-names":false,"suffix":""},{"dropping-particle":"","family":"Litzow","given":"Mark","non-dropping-particle":"","parse-names":false,"suffix":""},{"dropping-particle":"","family":"Liu","given":"Arthur","non-dropping-particle":"","parse-names":false,"suffix":""},{"dropping-particle":"","family":"Logan","given":"Aaron","non-dropping-particle":"","parse-names":false,"suffix":""},{"dropping-particle":"","family":"Massaro","given":"Stephanie","non-dropping-particle":"","parse-names":false,"suffix":""},{"dropping-particle":"","family":"Mattison","given":"Ryan J","non-dropping-particle":"","parse-names":false,"suffix":""},{"dropping-particle":"","family":"Oluwole","given":"Olalekan","non-dropping-particle":"","parse-names":false,"suffix":""},{"dropping-particle":"","family":"Papadantonakis","given":"Nikolaos","non-dropping-particle":"","parse-names":false,"suffix":""},{"dropping-particle":"","family":"Park","given":"Jae","non-dropping-particle":"","parse-names":false,"suffix":""},{"dropping-particle":"","family":"Rubnitz","given":"Jeffrey E","non-dropping-particle":"","parse-names":false,"suffix":""},{"dropping-particle":"","family":"Uy","given":"Geoffrey L","non-dropping-particle":"","parse-names":false,"suffix":""},{"dropping-particle":"","family":"Wang","given":"Eunice S","non-dropping-particle":"","parse-names":false,"suffix":""},{"dropping-particle":"","family":"Wieduwilt","given":"Matthew","non-dropping-particle":"","parse-names":false,"suffix":""},{"dropping-particle":"","family":"Gregory","given":"Kristina","non-dropping-particle":"","parse-names":false,"suffix":""}],"id":"ITEM-3","issued":{"date-parts":[["2019"]]},"number-of-pages":"115","title":"NCCN Clinical Practice Guidelines in Oncology. Acute Lymphoblastic Leukemia. Version 2.2019","type":"report"},"uris":["http://www.mendeley.com/documents/?uuid=ef92918b-8a57-37b1-bea5-284dfdf15541"]},{"id":"ITEM-4","itemData":{"author":[{"dropping-particle":"","family":"Gökbuget","given":"N.","non-dropping-particle":"","parse-names":false,"suffix":""},{"dropping-particle":"","family":"Bassan","given":"R.","non-dropping-particle":"","parse-names":false,"suffix":""},{"dropping-particle":"","family":"Dombret","given":"H.","non-dropping-particle":"","parse-names":false,"suffix":""},{"dropping-particle":"","family":"Doubek","given":"M.","non-dropping-particle":"","parse-names":false,"suffix":""},{"dropping-particle":"","family":"Fielding","given":"A.K.","non-dropping-particle":"","parse-names":false,"suffix":""},{"dropping-particle":"","family":"Foà","given":"R.","non-dropping-particle":"","parse-names":false,"suffix":""},{"dropping-particle":"","family":"Giebel","given":"S.","non-dropping-particle":"","parse-names":false,"suffix":""},{"dropping-particle":"","family":"Hoelzer","given":"D.","non-dropping-particle":"","parse-names":false,"suffix":""},{"dropping-particle":"","family":"Martinelli","given":"G.","non-dropping-particle":"","parse-names":false,"suffix":""},{"dropping-particle":"","family":"Meloni","given":"G.","non-dropping-particle":"","parse-names":false,"suffix":""},{"dropping-particle":"","family":"Delia Moicean","given":"A.","non-dropping-particle":"","parse-names":false,"suffix":""},{"dropping-particle":"","family":"Ottmann","given":"O.","non-dropping-particle":"","parse-names":false,"suffix":""},{"dropping-particle":"","family":"Piccaluga","given":"P.P.","non-dropping-particle":"","parse-names":false,"suffix":""},{"dropping-particle":"","family":"Ribera","given":"J.M.","non-dropping-particle":"","parse-names":false,"suffix":""},{"dropping-particle":"","family":"Rousselot","given":"P.","non-dropping-particle":"","parse-names":false,"suffix":""},{"dropping-particle":"","family":"Walewski","given":"J.","non-dropping-particle":"","parse-names":false,"suffix":""}],"container-title":"UNI-MED Verlag AG","id":"ITEM-4","issued":{"date-parts":[["2011"]]},"number-of-pages":"204","title":"Recommendations of the European Working Group for Adult ALL (EWALL)","type":"book"},"uris":["http://www.mendeley.com/documents/?uuid=aba58166-cd2b-4f70-bb6a-5fdd9e1b42de"]}],"mendeley":{"formattedCitation":"[1,2,4,5]","plainTextFormattedCitation":"[1,2,4,5]","previouslyFormattedCitation":"[1,2,4,5]"},"properties":{"noteIndex":0},"schema":"https://github.com/citation-style-language/schema/raw/master/csl-citation.json"}</w:instrText>
      </w:r>
      <w:r w:rsidR="00AC7867">
        <w:fldChar w:fldCharType="separate"/>
      </w:r>
      <w:r w:rsidR="00AC7867" w:rsidRPr="00B30EAF">
        <w:rPr>
          <w:noProof/>
        </w:rPr>
        <w:t>[1,2,4,5]</w:t>
      </w:r>
      <w:r w:rsidR="00AC7867">
        <w:fldChar w:fldCharType="end"/>
      </w:r>
      <w:r w:rsidR="00F64B76">
        <w:t xml:space="preserve"> </w:t>
      </w:r>
    </w:p>
    <w:p w14:paraId="582A92F0" w14:textId="77777777" w:rsidR="00254823" w:rsidRPr="009E32F8" w:rsidRDefault="00254823" w:rsidP="0057050E">
      <w:pPr>
        <w:ind w:firstLine="709"/>
        <w:contextualSpacing/>
        <w:rPr>
          <w:b/>
        </w:rPr>
      </w:pPr>
      <w:r w:rsidRPr="009E32F8">
        <w:rPr>
          <w:b/>
        </w:rPr>
        <w:t xml:space="preserve">Уровень убедительности рекомендаций </w:t>
      </w:r>
      <w:r w:rsidR="00F64B76">
        <w:rPr>
          <w:b/>
        </w:rPr>
        <w:t xml:space="preserve">– </w:t>
      </w:r>
      <w:r w:rsidR="009C6085">
        <w:rPr>
          <w:b/>
          <w:lang w:val="en-US"/>
        </w:rPr>
        <w:t>C</w:t>
      </w:r>
      <w:r w:rsidRPr="009E32F8">
        <w:rPr>
          <w:b/>
        </w:rPr>
        <w:t xml:space="preserve"> (уровень д</w:t>
      </w:r>
      <w:r w:rsidR="008B7E05">
        <w:rPr>
          <w:b/>
        </w:rPr>
        <w:t>остоверности доказательств – 5)</w:t>
      </w:r>
      <w:r w:rsidR="00F64B76">
        <w:rPr>
          <w:b/>
        </w:rPr>
        <w:t>.</w:t>
      </w:r>
    </w:p>
    <w:p w14:paraId="7453EAD5" w14:textId="77777777" w:rsidR="00254823" w:rsidRPr="00C8379D" w:rsidRDefault="00254823" w:rsidP="00FF4C81">
      <w:pPr>
        <w:numPr>
          <w:ilvl w:val="0"/>
          <w:numId w:val="19"/>
        </w:numPr>
        <w:shd w:val="clear" w:color="auto" w:fill="FFFFFF"/>
      </w:pPr>
      <w:r w:rsidRPr="009E32F8">
        <w:rPr>
          <w:b/>
        </w:rPr>
        <w:t>Рекомендуется</w:t>
      </w:r>
      <w:r w:rsidRPr="007E35D0">
        <w:t xml:space="preserve"> проведение поддерживающей терапии </w:t>
      </w:r>
      <w:r w:rsidR="00224301" w:rsidRPr="00224301">
        <w:t xml:space="preserve"> </w:t>
      </w:r>
      <w:r w:rsidR="00224301" w:rsidRPr="007E35D0">
        <w:t xml:space="preserve">пациентам </w:t>
      </w:r>
      <w:r w:rsidRPr="007E35D0">
        <w:t>после ауто</w:t>
      </w:r>
      <w:r w:rsidR="00780B99">
        <w:t>-</w:t>
      </w:r>
      <w:r w:rsidR="00F33796">
        <w:t>ТГСК</w:t>
      </w:r>
      <w:r w:rsidRPr="007E35D0">
        <w:t xml:space="preserve"> с учетом редукции доз препаратов</w:t>
      </w:r>
      <w:r w:rsidR="004F4A8D">
        <w:t xml:space="preserve">, результатов регулярного исследования клинического и биохимического анализов крови, и при отсутствии </w:t>
      </w:r>
      <w:r w:rsidRPr="007E35D0">
        <w:t>инфекционных осложнений</w:t>
      </w:r>
      <w:r w:rsidR="00F64B76">
        <w:t xml:space="preserve"> </w:t>
      </w:r>
      <w:r w:rsidR="004F4A8D">
        <w:fldChar w:fldCharType="begin" w:fldLock="1"/>
      </w:r>
      <w:r w:rsidR="004F4A8D">
        <w:instrText>ADDIN CSL_CITATION {"citationItems":[{"id":"ITEM-1","itemData":{"id":"ITEM-1","issued":{"date-parts":[["2012"]]},"number-of-pages":"1056","title":"Программное лечение заболеваний системы крови: Сборник алгоритмов диагностики и протоколов лечения заболеваний системы крови. Под ред. В.Г. Савченко","type":"book"},"uris":["http://www.mendeley.com/documents/?uuid=36484a90-27ae-40a9-a194-b0461fb47d9d"]},{"id":"ITEM-2","itemData":{"author":[{"dropping-particle":"","family":"Савченко","given":"Валерий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доп.","id":"ITEM-2","issued":{"date-parts":[["2007"]]},"page":"409-502","title":"Острые лейкозы","type":"chapter"},"uris":["http://www.mendeley.com/documents/?uuid=08f85f58-ddaa-48eb-b937-65d15d14b213"]},{"id":"ITEM-3","itemData":{"author":[{"dropping-particle":"","family":"Brown","given":"Patrick A","non-dropping-particle":"","parse-names":false,"suffix":""},{"dropping-particle":"","family":"Shah","given":"Bijal","non-dropping-particle":"","parse-names":false,"suffix":""},{"dropping-particle":"","family":"Advani","given":"Anjali","non-dropping-particle":"","parse-names":false,"suffix":""},{"dropping-particle":"","family":"Aoun","given":"Patricia","non-dropping-particle":"","parse-names":false,"suffix":""},{"dropping-particle":"","family":"Bhatnagar","given":"Bhavana","non-dropping-particle":"","parse-names":false,"suffix":""},{"dropping-particle":"","family":"Boyer","given":"Michael W","non-dropping-particle":"","parse-names":false,"suffix":""},{"dropping-particle":"","family":"Bryan","given":"Teresa","non-dropping-particle":"","parse-names":false,"suffix":""},{"dropping-particle":"","family":"Burke","given":"Patrick W","non-dropping-particle":"","parse-names":false,"suffix":""},{"dropping-particle":"","family":"Cassaday","given":"Ryan D","non-dropping-particle":"","parse-names":false,"suffix":""},{"dropping-particle":"","family":"Coutre","given":"Steven E","non-dropping-particle":"","parse-names":false,"suffix":""},{"dropping-particle":"","family":"Coccia","given":"Peter F","non-dropping-particle":"","parse-names":false,"suffix":""},{"dropping-particle":"","family":"DeAngelo","given":"Daniel J","non-dropping-particle":"","parse-names":false,"suffix":""},{"dropping-particle":"","family":"Fathi","given":"Amir","non-dropping-particle":"","parse-names":false,"suffix":""},{"dropping-particle":"","family":"Jain","given":"Nitin","non-dropping-particle":"","parse-names":false,"suffix":""},{"dropping-particle":"","family":"Kirby","given":"Suzanne","non-dropping-particle":"","parse-names":false,"suffix":""},{"dropping-particle":"","family":"Litzow","given":"Mark","non-dropping-particle":"","parse-names":false,"suffix":""},{"dropping-particle":"","family":"Liu","given":"Arthur","non-dropping-particle":"","parse-names":false,"suffix":""},{"dropping-particle":"","family":"Logan","given":"Aaron","non-dropping-particle":"","parse-names":false,"suffix":""},{"dropping-particle":"","family":"Massaro","given":"Stephanie","non-dropping-particle":"","parse-names":false,"suffix":""},{"dropping-particle":"","family":"Mattison","given":"Ryan J","non-dropping-particle":"","parse-names":false,"suffix":""},{"dropping-particle":"","family":"Oluwole","given":"Olalekan","non-dropping-particle":"","parse-names":false,"suffix":""},{"dropping-particle":"","family":"Papadantonakis","given":"Nikolaos","non-dropping-particle":"","parse-names":false,"suffix":""},{"dropping-particle":"","family":"Park","given":"Jae","non-dropping-particle":"","parse-names":false,"suffix":""},{"dropping-particle":"","family":"Rubnitz","given":"Jeffrey E","non-dropping-particle":"","parse-names":false,"suffix":""},{"dropping-particle":"","family":"Uy","given":"Geoffrey L","non-dropping-particle":"","parse-names":false,"suffix":""},{"dropping-particle":"","family":"Wang","given":"Eunice S","non-dropping-particle":"","parse-names":false,"suffix":""},{"dropping-particle":"","family":"Wieduwilt","given":"Matthew","non-dropping-particle":"","parse-names":false,"suffix":""},{"dropping-particle":"","family":"Gregory","given":"Kristina","non-dropping-particle":"","parse-names":false,"suffix":""}],"id":"ITEM-3","issued":{"date-parts":[["2019"]]},"number-of-pages":"115","title":"NCCN Clinical Practice Guidelines in Oncology. Acute Lymphoblastic Leukemia. Version 2.2019","type":"report"},"uris":["http://www.mendeley.com/documents/?uuid=ef92918b-8a57-37b1-bea5-284dfdf15541"]},{"id":"ITEM-4","itemData":{"author":[{"dropping-particle":"","family":"Gökbuget","given":"N.","non-dropping-particle":"","parse-names":false,"suffix":""},{"dropping-particle":"","family":"Bassan","given":"R.","non-dropping-particle":"","parse-names":false,"suffix":""},{"dropping-particle":"","family":"Dombret","given":"H.","non-dropping-particle":"","parse-names":false,"suffix":""},{"dropping-particle":"","family":"Doubek","given":"M.","non-dropping-particle":"","parse-names":false,"suffix":""},{"dropping-particle":"","family":"Fielding","given":"A.K.","non-dropping-particle":"","parse-names":false,"suffix":""},{"dropping-particle":"","family":"Foà","given":"R.","non-dropping-particle":"","parse-names":false,"suffix":""},{"dropping-particle":"","family":"Giebel","given":"S.","non-dropping-particle":"","parse-names":false,"suffix":""},{"dropping-particle":"","family":"Hoelzer","given":"D.","non-dropping-particle":"","parse-names":false,"suffix":""},{"dropping-particle":"","family":"Martinelli","given":"G.","non-dropping-particle":"","parse-names":false,"suffix":""},{"dropping-particle":"","family":"Meloni","given":"G.","non-dropping-particle":"","parse-names":false,"suffix":""},{"dropping-particle":"","family":"Delia Moicean","given":"A.","non-dropping-particle":"","parse-names":false,"suffix":""},{"dropping-particle":"","family":"Ottmann","given":"O.","non-dropping-particle":"","parse-names":false,"suffix":""},{"dropping-particle":"","family":"Piccaluga","given":"P.P.","non-dropping-particle":"","parse-names":false,"suffix":""},{"dropping-particle":"","family":"Ribera","given":"J.M.","non-dropping-particle":"","parse-names":false,"suffix":""},{"dropping-particle":"","family":"Rousselot","given":"P.","non-dropping-particle":"","parse-names":false,"suffix":""},{"dropping-particle":"","family":"Walewski","given":"J.","non-dropping-particle":"","parse-names":false,"suffix":""}],"container-title":"UNI-MED Verlag AG","id":"ITEM-4","issued":{"date-parts":[["2011"]]},"number-of-pages":"204","title":"Recommendations of the European Working Group for Adult ALL (EWALL)","type":"book"},"uris":["http://www.mendeley.com/documents/?uuid=aba58166-cd2b-4f70-bb6a-5fdd9e1b42de"]}],"mendeley":{"formattedCitation":"[1,2,4,5]","plainTextFormattedCitation":"[1,2,4,5]","previouslyFormattedCitation":"[1,2,4,5]"},"properties":{"noteIndex":0},"schema":"https://github.com/citation-style-language/schema/raw/master/csl-citation.json"}</w:instrText>
      </w:r>
      <w:r w:rsidR="004F4A8D">
        <w:fldChar w:fldCharType="separate"/>
      </w:r>
      <w:r w:rsidR="004F4A8D" w:rsidRPr="00B30EAF">
        <w:rPr>
          <w:noProof/>
        </w:rPr>
        <w:t>[1,2,4,5]</w:t>
      </w:r>
      <w:r w:rsidR="004F4A8D">
        <w:fldChar w:fldCharType="end"/>
      </w:r>
    </w:p>
    <w:p w14:paraId="5264F1ED" w14:textId="77777777" w:rsidR="00254823" w:rsidRPr="00104A3D" w:rsidRDefault="00254823" w:rsidP="0057050E">
      <w:pPr>
        <w:ind w:firstLine="709"/>
        <w:contextualSpacing/>
        <w:rPr>
          <w:b/>
          <w:color w:val="000000"/>
        </w:rPr>
      </w:pPr>
      <w:r w:rsidRPr="00617969">
        <w:rPr>
          <w:b/>
          <w:color w:val="000000"/>
        </w:rPr>
        <w:t>Урове</w:t>
      </w:r>
      <w:r>
        <w:rPr>
          <w:b/>
          <w:color w:val="000000"/>
        </w:rPr>
        <w:t xml:space="preserve">нь убедительности рекомендаций </w:t>
      </w:r>
      <w:r w:rsidR="00F64B76">
        <w:rPr>
          <w:b/>
          <w:color w:val="000000"/>
        </w:rPr>
        <w:t xml:space="preserve">– </w:t>
      </w:r>
      <w:r w:rsidR="004F4A8D">
        <w:rPr>
          <w:b/>
          <w:color w:val="000000"/>
        </w:rPr>
        <w:t>С</w:t>
      </w:r>
      <w:r w:rsidR="004F4A8D" w:rsidRPr="00617969">
        <w:rPr>
          <w:b/>
          <w:color w:val="000000"/>
        </w:rPr>
        <w:t xml:space="preserve"> </w:t>
      </w:r>
      <w:r w:rsidRPr="00617969">
        <w:rPr>
          <w:b/>
          <w:color w:val="000000"/>
        </w:rPr>
        <w:t>(уровень</w:t>
      </w:r>
      <w:r>
        <w:rPr>
          <w:b/>
          <w:color w:val="000000"/>
        </w:rPr>
        <w:t xml:space="preserve"> достоверности доказательств – </w:t>
      </w:r>
      <w:r w:rsidR="004F4A8D">
        <w:rPr>
          <w:b/>
          <w:color w:val="000000"/>
        </w:rPr>
        <w:t>5</w:t>
      </w:r>
      <w:r w:rsidR="008B7E05">
        <w:rPr>
          <w:b/>
          <w:color w:val="000000"/>
        </w:rPr>
        <w:t>)</w:t>
      </w:r>
      <w:r w:rsidR="00F64B76">
        <w:rPr>
          <w:b/>
          <w:color w:val="000000"/>
        </w:rPr>
        <w:t>.</w:t>
      </w:r>
    </w:p>
    <w:p w14:paraId="05A1F761" w14:textId="77777777" w:rsidR="00254823" w:rsidRPr="00BB1BD4" w:rsidRDefault="00254823" w:rsidP="00FF4C81">
      <w:pPr>
        <w:pStyle w:val="1e"/>
        <w:numPr>
          <w:ilvl w:val="0"/>
          <w:numId w:val="19"/>
        </w:numPr>
        <w:shd w:val="clear" w:color="auto" w:fill="FFFFFF"/>
        <w:spacing w:before="0" w:beforeAutospacing="0" w:after="0" w:afterAutospacing="0"/>
        <w:contextualSpacing/>
        <w:jc w:val="both"/>
      </w:pPr>
      <w:r w:rsidRPr="00BB1BD4">
        <w:t xml:space="preserve">Всем пациентам </w:t>
      </w:r>
      <w:r w:rsidRPr="00C8379D">
        <w:rPr>
          <w:b/>
        </w:rPr>
        <w:t>рекомендуется</w:t>
      </w:r>
      <w:r w:rsidRPr="00BB1BD4">
        <w:t xml:space="preserve"> при</w:t>
      </w:r>
      <w:r w:rsidR="008B7E05">
        <w:t>ем</w:t>
      </w:r>
      <w:r w:rsidR="0084655B" w:rsidRPr="0084655B">
        <w:t xml:space="preserve"> </w:t>
      </w:r>
      <w:r w:rsidR="0084655B" w:rsidRPr="003C3808">
        <w:rPr>
          <w:lang w:eastAsia="zh-CN"/>
        </w:rPr>
        <w:t>#</w:t>
      </w:r>
      <w:r w:rsidR="0084655B">
        <w:rPr>
          <w:lang w:eastAsia="zh-CN"/>
        </w:rPr>
        <w:t>ко-тримо</w:t>
      </w:r>
      <w:r w:rsidR="0084655B" w:rsidRPr="00C36EE0">
        <w:rPr>
          <w:lang w:eastAsia="zh-CN"/>
        </w:rPr>
        <w:t>ксазол</w:t>
      </w:r>
      <w:r w:rsidR="0084655B">
        <w:rPr>
          <w:lang w:eastAsia="zh-CN"/>
        </w:rPr>
        <w:t xml:space="preserve">а </w:t>
      </w:r>
      <w:r w:rsidR="0084655B" w:rsidRPr="003C3808">
        <w:rPr>
          <w:lang w:eastAsia="zh-CN"/>
        </w:rPr>
        <w:t>[</w:t>
      </w:r>
      <w:r w:rsidR="0084655B">
        <w:rPr>
          <w:lang w:eastAsia="zh-CN"/>
        </w:rPr>
        <w:t>сульфаметоксазол + триметоприм</w:t>
      </w:r>
      <w:r w:rsidR="0084655B" w:rsidRPr="003C3808">
        <w:rPr>
          <w:lang w:eastAsia="zh-CN"/>
        </w:rPr>
        <w:t>]</w:t>
      </w:r>
      <w:r w:rsidR="0084655B">
        <w:rPr>
          <w:lang w:eastAsia="zh-CN"/>
        </w:rPr>
        <w:t>**</w:t>
      </w:r>
      <w:r w:rsidR="0084655B" w:rsidRPr="00C36EE0">
        <w:rPr>
          <w:lang w:eastAsia="zh-CN"/>
        </w:rPr>
        <w:t xml:space="preserve"> (480 мг 1 раз в день ежедневно</w:t>
      </w:r>
      <w:r w:rsidR="0084655B" w:rsidRPr="0084655B">
        <w:rPr>
          <w:lang w:eastAsia="zh-CN"/>
        </w:rPr>
        <w:t>)</w:t>
      </w:r>
      <w:r w:rsidR="0084655B" w:rsidRPr="0084655B">
        <w:t xml:space="preserve"> </w:t>
      </w:r>
      <w:r w:rsidR="0084655B" w:rsidRPr="00BB1BD4">
        <w:t>во время всей поддерживающей терапии</w:t>
      </w:r>
      <w:r w:rsidR="0084655B" w:rsidRPr="003C3808">
        <w:rPr>
          <w:lang w:eastAsia="zh-CN"/>
        </w:rPr>
        <w:t xml:space="preserve"> </w:t>
      </w:r>
      <w:r w:rsidRPr="00BB1BD4">
        <w:t xml:space="preserve">с целью профилактики пневмоцистной пневмонии </w:t>
      </w:r>
      <w:r w:rsidR="0084655B">
        <w:fldChar w:fldCharType="begin" w:fldLock="1"/>
      </w:r>
      <w:r w:rsidR="0084655B">
        <w:instrText>ADDIN CSL_CITATION {"citationItems":[{"id":"ITEM-1","itemData":{"id":"ITEM-1","issued":{"date-parts":[["2012"]]},"number-of-pages":"1056","title":"Программное лечение заболеваний системы крови: Сборник алгоритмов диагностики и протоколов лечения заболеваний системы крови. Под ред. В.Г. Савченко","type":"book"},"uris":["http://www.mendeley.com/documents/?uuid=36484a90-27ae-40a9-a194-b0461fb47d9d"]},{"id":"ITEM-2","itemData":{"author":[{"dropping-particle":"","family":"Савченко","given":"Валерий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доп.","id":"ITEM-2","issued":{"date-parts":[["2007"]]},"page":"409-502","title":"Острые лейкозы","type":"chapter"},"uris":["http://www.mendeley.com/documents/?uuid=08f85f58-ddaa-48eb-b937-65d15d14b213"]}],"mendeley":{"formattedCitation":"[1,2]","plainTextFormattedCitation":"[1,2]","previouslyFormattedCitation":"[1,2]"},"properties":{"noteIndex":0},"schema":"https://github.com/citation-style-language/schema/raw/master/csl-citation.json"}</w:instrText>
      </w:r>
      <w:r w:rsidR="0084655B">
        <w:fldChar w:fldCharType="separate"/>
      </w:r>
      <w:r w:rsidR="0084655B" w:rsidRPr="00113282">
        <w:rPr>
          <w:noProof/>
        </w:rPr>
        <w:t>[1,2]</w:t>
      </w:r>
      <w:r w:rsidR="0084655B">
        <w:fldChar w:fldCharType="end"/>
      </w:r>
      <w:r w:rsidR="0084655B" w:rsidRPr="003C3808">
        <w:rPr>
          <w:color w:val="000000"/>
        </w:rPr>
        <w:t xml:space="preserve">. </w:t>
      </w:r>
      <w:r w:rsidR="0084655B" w:rsidRPr="003C3808">
        <w:rPr>
          <w:i/>
        </w:rPr>
        <w:t xml:space="preserve"> </w:t>
      </w:r>
      <w:r w:rsidR="0084655B">
        <w:rPr>
          <w:lang w:eastAsia="zh-CN"/>
        </w:rPr>
        <w:t xml:space="preserve"> </w:t>
      </w:r>
      <w:r w:rsidR="0084655B">
        <w:t xml:space="preserve"> </w:t>
      </w:r>
    </w:p>
    <w:p w14:paraId="319BF564" w14:textId="77777777" w:rsidR="00254823" w:rsidRDefault="00254823" w:rsidP="009952B7">
      <w:pPr>
        <w:ind w:firstLine="709"/>
        <w:contextualSpacing/>
        <w:rPr>
          <w:b/>
          <w:color w:val="000000"/>
        </w:rPr>
      </w:pPr>
      <w:r w:rsidRPr="00044D02">
        <w:rPr>
          <w:b/>
          <w:color w:val="000000"/>
        </w:rPr>
        <w:t xml:space="preserve">Уровень убедительности рекомендаций </w:t>
      </w:r>
      <w:r w:rsidR="0084655B">
        <w:rPr>
          <w:b/>
          <w:color w:val="000000"/>
        </w:rPr>
        <w:t>С</w:t>
      </w:r>
      <w:r w:rsidR="0084655B" w:rsidRPr="00044D02">
        <w:rPr>
          <w:b/>
          <w:color w:val="000000"/>
        </w:rPr>
        <w:t xml:space="preserve"> </w:t>
      </w:r>
      <w:r w:rsidRPr="00044D02">
        <w:rPr>
          <w:b/>
          <w:color w:val="000000"/>
        </w:rPr>
        <w:t xml:space="preserve">(уровень достоверности доказательств – </w:t>
      </w:r>
      <w:r w:rsidR="0084655B">
        <w:rPr>
          <w:b/>
          <w:color w:val="000000"/>
        </w:rPr>
        <w:t>5</w:t>
      </w:r>
      <w:r w:rsidR="008B7E05" w:rsidRPr="00044D02">
        <w:rPr>
          <w:b/>
          <w:color w:val="000000"/>
        </w:rPr>
        <w:t>)</w:t>
      </w:r>
      <w:r w:rsidR="006912AB" w:rsidRPr="00044D02">
        <w:rPr>
          <w:b/>
          <w:color w:val="000000"/>
        </w:rPr>
        <w:t>.</w:t>
      </w:r>
    </w:p>
    <w:p w14:paraId="770E41C6" w14:textId="23AEC48B" w:rsidR="007A4E36" w:rsidRPr="009F500F" w:rsidRDefault="00FC704A" w:rsidP="004B1614">
      <w:pPr>
        <w:pStyle w:val="afff3"/>
        <w:numPr>
          <w:ilvl w:val="0"/>
          <w:numId w:val="19"/>
        </w:numPr>
      </w:pPr>
      <w:r w:rsidRPr="009F500F">
        <w:rPr>
          <w:b/>
          <w:bCs/>
        </w:rPr>
        <w:t xml:space="preserve">Рекомендуется </w:t>
      </w:r>
      <w:r w:rsidRPr="009F500F">
        <w:t xml:space="preserve">при персистенции МОБ при </w:t>
      </w:r>
      <w:r w:rsidRPr="009F500F">
        <w:rPr>
          <w:lang w:val="en-US"/>
        </w:rPr>
        <w:t>Ph</w:t>
      </w:r>
      <w:r w:rsidRPr="009F500F">
        <w:t>-негативных В-ОЛЛ после окончания индукции (протокола ОЛЛ-2009 или ОЛЛ-2016) проведение 1-2 курсов таргетной терапии (блинатумомаб</w:t>
      </w:r>
      <w:r w:rsidR="004B1614" w:rsidRPr="009F500F">
        <w:t>**</w:t>
      </w:r>
      <w:r w:rsidRPr="009F500F">
        <w:t xml:space="preserve"> или </w:t>
      </w:r>
      <w:r w:rsidR="004B1614" w:rsidRPr="009F500F">
        <w:t>#</w:t>
      </w:r>
      <w:r w:rsidRPr="009F500F">
        <w:t xml:space="preserve">инотузомаб озогамицин) с целью быстрой редукции остаточного опухолевого клона с дальнейшим продолжением консолидации согласно изначально начатого протокола. </w:t>
      </w:r>
    </w:p>
    <w:p w14:paraId="78FE4E00" w14:textId="77777777" w:rsidR="004B1614" w:rsidRPr="004B1614" w:rsidRDefault="004B1614" w:rsidP="004B1614">
      <w:pPr>
        <w:ind w:firstLine="709"/>
        <w:contextualSpacing/>
        <w:rPr>
          <w:b/>
          <w:color w:val="000000"/>
        </w:rPr>
      </w:pPr>
      <w:r w:rsidRPr="004B1614">
        <w:rPr>
          <w:b/>
          <w:bCs/>
          <w:color w:val="000000"/>
        </w:rPr>
        <w:t>Уровень убедительности рекомендаций – C (уровень достоверности доказательств –5).</w:t>
      </w:r>
    </w:p>
    <w:p w14:paraId="5112AC3F" w14:textId="77777777" w:rsidR="004B1614" w:rsidRPr="009952B7" w:rsidRDefault="004B1614" w:rsidP="009952B7">
      <w:pPr>
        <w:ind w:firstLine="709"/>
        <w:contextualSpacing/>
        <w:rPr>
          <w:b/>
          <w:color w:val="000000"/>
        </w:rPr>
      </w:pPr>
    </w:p>
    <w:p w14:paraId="4721DD29" w14:textId="77777777" w:rsidR="00254823" w:rsidRPr="001E66FD" w:rsidRDefault="00254823" w:rsidP="008163CC">
      <w:pPr>
        <w:rPr>
          <w:b/>
        </w:rPr>
      </w:pPr>
      <w:r w:rsidRPr="00296285">
        <w:rPr>
          <w:b/>
        </w:rPr>
        <w:t xml:space="preserve">Лечение </w:t>
      </w:r>
      <w:r w:rsidR="00F2174B" w:rsidRPr="00296285">
        <w:rPr>
          <w:b/>
        </w:rPr>
        <w:t>лимфобластной лимфомы</w:t>
      </w:r>
      <w:r w:rsidR="00C20FF9" w:rsidRPr="00F2174B">
        <w:rPr>
          <w:b/>
        </w:rPr>
        <w:t xml:space="preserve"> </w:t>
      </w:r>
    </w:p>
    <w:p w14:paraId="792E53F2" w14:textId="6E4DD767" w:rsidR="00254823" w:rsidRDefault="00254823" w:rsidP="00FF4C81">
      <w:pPr>
        <w:numPr>
          <w:ilvl w:val="0"/>
          <w:numId w:val="19"/>
        </w:numPr>
        <w:shd w:val="clear" w:color="auto" w:fill="FFFFFF"/>
        <w:tabs>
          <w:tab w:val="left" w:pos="192"/>
        </w:tabs>
      </w:pPr>
      <w:r w:rsidRPr="00DE30A1">
        <w:rPr>
          <w:b/>
        </w:rPr>
        <w:t>Ре</w:t>
      </w:r>
      <w:r>
        <w:rPr>
          <w:b/>
        </w:rPr>
        <w:t>комендуе</w:t>
      </w:r>
      <w:r w:rsidRPr="00DE30A1">
        <w:rPr>
          <w:b/>
        </w:rPr>
        <w:t>т</w:t>
      </w:r>
      <w:r>
        <w:rPr>
          <w:b/>
        </w:rPr>
        <w:t>с</w:t>
      </w:r>
      <w:r w:rsidRPr="00DE30A1">
        <w:rPr>
          <w:b/>
        </w:rPr>
        <w:t>я</w:t>
      </w:r>
      <w:r>
        <w:t xml:space="preserve"> во всех случаях экстрамедуллярного поражения (</w:t>
      </w:r>
      <w:r w:rsidRPr="00F2174B">
        <w:t xml:space="preserve">даже </w:t>
      </w:r>
      <w:r w:rsidR="00A46FF0" w:rsidRPr="00F2174B">
        <w:t xml:space="preserve">при </w:t>
      </w:r>
      <w:r w:rsidRPr="00F2174B">
        <w:lastRenderedPageBreak/>
        <w:t xml:space="preserve">отсутствии поражения </w:t>
      </w:r>
      <w:r w:rsidR="006C6261" w:rsidRPr="00F2174B">
        <w:t>КМ</w:t>
      </w:r>
      <w:r w:rsidRPr="00F2174B">
        <w:t>)</w:t>
      </w:r>
      <w:r w:rsidRPr="00CA7FDC">
        <w:t xml:space="preserve"> </w:t>
      </w:r>
      <w:r>
        <w:t>проводить терапию</w:t>
      </w:r>
      <w:r w:rsidR="008B7E05">
        <w:t xml:space="preserve"> пациентам</w:t>
      </w:r>
      <w:r>
        <w:t xml:space="preserve"> по протоколу лечения ОЛЛ (см. приложение </w:t>
      </w:r>
      <w:r w:rsidR="009C6085">
        <w:rPr>
          <w:lang w:val="en-US"/>
        </w:rPr>
        <w:t>A</w:t>
      </w:r>
      <w:r w:rsidR="009C6085" w:rsidRPr="009C6085">
        <w:t>3.1</w:t>
      </w:r>
      <w:r>
        <w:t>)</w:t>
      </w:r>
      <w:r w:rsidR="009952B7">
        <w:t xml:space="preserve"> </w:t>
      </w:r>
      <w:r w:rsidR="004F4A8D">
        <w:rPr>
          <w:lang w:val="en-US"/>
        </w:rPr>
        <w:fldChar w:fldCharType="begin" w:fldLock="1"/>
      </w:r>
      <w:r w:rsidR="002466C9">
        <w:rPr>
          <w:lang w:val="en-US"/>
        </w:rPr>
        <w:instrText>ADDIN</w:instrText>
      </w:r>
      <w:r w:rsidR="002466C9" w:rsidRPr="00B929AC">
        <w:instrText xml:space="preserve"> </w:instrText>
      </w:r>
      <w:r w:rsidR="002466C9">
        <w:rPr>
          <w:lang w:val="en-US"/>
        </w:rPr>
        <w:instrText>CSL</w:instrText>
      </w:r>
      <w:r w:rsidR="002466C9" w:rsidRPr="00B929AC">
        <w:instrText>_</w:instrText>
      </w:r>
      <w:r w:rsidR="002466C9">
        <w:rPr>
          <w:lang w:val="en-US"/>
        </w:rPr>
        <w:instrText>CITATION</w:instrText>
      </w:r>
      <w:r w:rsidR="002466C9" w:rsidRPr="00B929AC">
        <w:instrText xml:space="preserve"> {"</w:instrText>
      </w:r>
      <w:r w:rsidR="002466C9">
        <w:rPr>
          <w:lang w:val="en-US"/>
        </w:rPr>
        <w:instrText>citationItems</w:instrText>
      </w:r>
      <w:r w:rsidR="002466C9" w:rsidRPr="00B929AC">
        <w:instrText>":[{"</w:instrText>
      </w:r>
      <w:r w:rsidR="002466C9">
        <w:rPr>
          <w:lang w:val="en-US"/>
        </w:rPr>
        <w:instrText>id</w:instrText>
      </w:r>
      <w:r w:rsidR="002466C9" w:rsidRPr="00B929AC">
        <w:instrText>":"</w:instrText>
      </w:r>
      <w:r w:rsidR="002466C9">
        <w:rPr>
          <w:lang w:val="en-US"/>
        </w:rPr>
        <w:instrText>ITEM</w:instrText>
      </w:r>
      <w:r w:rsidR="002466C9" w:rsidRPr="00B929AC">
        <w:instrText>-1","</w:instrText>
      </w:r>
      <w:r w:rsidR="002466C9">
        <w:rPr>
          <w:lang w:val="en-US"/>
        </w:rPr>
        <w:instrText>itemData</w:instrText>
      </w:r>
      <w:r w:rsidR="002466C9" w:rsidRPr="00B929AC">
        <w:instrText>":{"</w:instrText>
      </w:r>
      <w:r w:rsidR="002466C9">
        <w:rPr>
          <w:lang w:val="en-US"/>
        </w:rPr>
        <w:instrText>DOI</w:instrText>
      </w:r>
      <w:r w:rsidR="002466C9" w:rsidRPr="00B929AC">
        <w:instrText>":"10.1111/</w:instrText>
      </w:r>
      <w:r w:rsidR="002466C9">
        <w:rPr>
          <w:lang w:val="en-US"/>
        </w:rPr>
        <w:instrText>ejh</w:instrText>
      </w:r>
      <w:r w:rsidR="002466C9" w:rsidRPr="00B929AC">
        <w:instrText>.12722","</w:instrText>
      </w:r>
      <w:r w:rsidR="002466C9">
        <w:rPr>
          <w:lang w:val="en-US"/>
        </w:rPr>
        <w:instrText>ISSN</w:instrText>
      </w:r>
      <w:r w:rsidR="002466C9" w:rsidRPr="00B929AC">
        <w:instrText>":"1600-0609","</w:instrText>
      </w:r>
      <w:r w:rsidR="002466C9">
        <w:rPr>
          <w:lang w:val="en-US"/>
        </w:rPr>
        <w:instrText>PMID</w:instrText>
      </w:r>
      <w:r w:rsidR="002466C9" w:rsidRPr="00B929AC">
        <w:instrText>":"26679753","</w:instrText>
      </w:r>
      <w:r w:rsidR="002466C9">
        <w:rPr>
          <w:lang w:val="en-US"/>
        </w:rPr>
        <w:instrText>abstract</w:instrText>
      </w:r>
      <w:r w:rsidR="002466C9" w:rsidRPr="00B929AC">
        <w:instrText>":"</w:instrText>
      </w:r>
      <w:r w:rsidR="002466C9">
        <w:rPr>
          <w:lang w:val="en-US"/>
        </w:rPr>
        <w:instrText>Lymphoblastic</w:instrText>
      </w:r>
      <w:r w:rsidR="002466C9" w:rsidRPr="00B929AC">
        <w:instrText xml:space="preserve"> </w:instrText>
      </w:r>
      <w:r w:rsidR="002466C9">
        <w:rPr>
          <w:lang w:val="en-US"/>
        </w:rPr>
        <w:instrText>lymphoma</w:instrText>
      </w:r>
      <w:r w:rsidR="002466C9" w:rsidRPr="00B929AC">
        <w:instrText xml:space="preserve"> </w:instrText>
      </w:r>
      <w:r w:rsidR="002466C9">
        <w:rPr>
          <w:lang w:val="en-US"/>
        </w:rPr>
        <w:instrText>is</w:instrText>
      </w:r>
      <w:r w:rsidR="002466C9" w:rsidRPr="00B929AC">
        <w:instrText xml:space="preserve"> </w:instrText>
      </w:r>
      <w:r w:rsidR="002466C9">
        <w:rPr>
          <w:lang w:val="en-US"/>
        </w:rPr>
        <w:instrText>a</w:instrText>
      </w:r>
      <w:r w:rsidR="002466C9" w:rsidRPr="00B929AC">
        <w:instrText xml:space="preserve"> </w:instrText>
      </w:r>
      <w:r w:rsidR="002466C9">
        <w:rPr>
          <w:lang w:val="en-US"/>
        </w:rPr>
        <w:instrText>rare</w:instrText>
      </w:r>
      <w:r w:rsidR="002466C9" w:rsidRPr="00B929AC">
        <w:instrText xml:space="preserve"> </w:instrText>
      </w:r>
      <w:r w:rsidR="002466C9">
        <w:rPr>
          <w:lang w:val="en-US"/>
        </w:rPr>
        <w:instrText>aggressive</w:instrText>
      </w:r>
      <w:r w:rsidR="002466C9" w:rsidRPr="00B929AC">
        <w:instrText xml:space="preserve"> </w:instrText>
      </w:r>
      <w:r w:rsidR="002466C9">
        <w:rPr>
          <w:lang w:val="en-US"/>
        </w:rPr>
        <w:instrText>neoplasm</w:instrText>
      </w:r>
      <w:r w:rsidR="002466C9" w:rsidRPr="00B929AC">
        <w:instrText xml:space="preserve"> </w:instrText>
      </w:r>
      <w:r w:rsidR="002466C9">
        <w:rPr>
          <w:lang w:val="en-US"/>
        </w:rPr>
        <w:instrText>of</w:instrText>
      </w:r>
      <w:r w:rsidR="002466C9" w:rsidRPr="00B929AC">
        <w:instrText xml:space="preserve"> </w:instrText>
      </w:r>
      <w:r w:rsidR="002466C9">
        <w:rPr>
          <w:lang w:val="en-US"/>
        </w:rPr>
        <w:instrText>T</w:instrText>
      </w:r>
      <w:r w:rsidR="002466C9" w:rsidRPr="00B929AC">
        <w:instrText>-/</w:instrText>
      </w:r>
      <w:r w:rsidR="002466C9">
        <w:rPr>
          <w:lang w:val="en-US"/>
        </w:rPr>
        <w:instrText>B</w:instrText>
      </w:r>
      <w:r w:rsidR="002466C9" w:rsidRPr="00B929AC">
        <w:instrText>-</w:instrText>
      </w:r>
      <w:r w:rsidR="002466C9">
        <w:rPr>
          <w:lang w:val="en-US"/>
        </w:rPr>
        <w:instrText>precursors</w:instrText>
      </w:r>
      <w:r w:rsidR="002466C9" w:rsidRPr="00B929AC">
        <w:instrText xml:space="preserve"> </w:instrText>
      </w:r>
      <w:r w:rsidR="002466C9">
        <w:rPr>
          <w:lang w:val="en-US"/>
        </w:rPr>
        <w:instrText>resembling</w:instrText>
      </w:r>
      <w:r w:rsidR="002466C9" w:rsidRPr="00B929AC">
        <w:instrText xml:space="preserve"> </w:instrText>
      </w:r>
      <w:r w:rsidR="002466C9">
        <w:rPr>
          <w:lang w:val="en-US"/>
        </w:rPr>
        <w:instrText>acute</w:instrText>
      </w:r>
      <w:r w:rsidR="002466C9" w:rsidRPr="00B929AC">
        <w:instrText xml:space="preserve"> </w:instrText>
      </w:r>
      <w:r w:rsidR="002466C9">
        <w:rPr>
          <w:lang w:val="en-US"/>
        </w:rPr>
        <w:instrText>lymphoblastic</w:instrText>
      </w:r>
      <w:r w:rsidR="002466C9" w:rsidRPr="00B929AC">
        <w:instrText xml:space="preserve"> </w:instrText>
      </w:r>
      <w:r w:rsidR="002466C9">
        <w:rPr>
          <w:lang w:val="en-US"/>
        </w:rPr>
        <w:instrText>leukemia</w:instrText>
      </w:r>
      <w:r w:rsidR="002466C9" w:rsidRPr="00B929AC">
        <w:instrText xml:space="preserve">, </w:instrText>
      </w:r>
      <w:r w:rsidR="002466C9">
        <w:rPr>
          <w:lang w:val="en-US"/>
        </w:rPr>
        <w:instrText>with</w:instrText>
      </w:r>
      <w:r w:rsidR="002466C9" w:rsidRPr="00B929AC">
        <w:instrText xml:space="preserve"> </w:instrText>
      </w:r>
      <w:r w:rsidR="002466C9">
        <w:rPr>
          <w:lang w:val="en-US"/>
        </w:rPr>
        <w:instrText>no</w:instrText>
      </w:r>
      <w:r w:rsidR="002466C9" w:rsidRPr="00B929AC">
        <w:instrText xml:space="preserve"> </w:instrText>
      </w:r>
      <w:r w:rsidR="002466C9">
        <w:rPr>
          <w:lang w:val="en-US"/>
        </w:rPr>
        <w:instrText>or</w:instrText>
      </w:r>
      <w:r w:rsidR="002466C9" w:rsidRPr="00B929AC">
        <w:instrText xml:space="preserve"> </w:instrText>
      </w:r>
      <w:r w:rsidR="002466C9">
        <w:rPr>
          <w:lang w:val="en-US"/>
        </w:rPr>
        <w:instrText>limited</w:instrText>
      </w:r>
      <w:r w:rsidR="002466C9" w:rsidRPr="00B929AC">
        <w:instrText xml:space="preserve"> </w:instrText>
      </w:r>
      <w:r w:rsidR="002466C9">
        <w:rPr>
          <w:lang w:val="en-US"/>
        </w:rPr>
        <w:instrText>bone</w:instrText>
      </w:r>
      <w:r w:rsidR="002466C9" w:rsidRPr="00B929AC">
        <w:instrText xml:space="preserve"> </w:instrText>
      </w:r>
      <w:r w:rsidR="002466C9">
        <w:rPr>
          <w:lang w:val="en-US"/>
        </w:rPr>
        <w:instrText>marrow</w:instrText>
      </w:r>
      <w:r w:rsidR="002466C9" w:rsidRPr="00B929AC">
        <w:instrText xml:space="preserve"> </w:instrText>
      </w:r>
      <w:r w:rsidR="002466C9">
        <w:rPr>
          <w:lang w:val="en-US"/>
        </w:rPr>
        <w:instrText>involvement</w:instrText>
      </w:r>
      <w:r w:rsidR="002466C9" w:rsidRPr="00B929AC">
        <w:instrText xml:space="preserve"> (&lt;25%), </w:instrText>
      </w:r>
      <w:r w:rsidR="002466C9">
        <w:rPr>
          <w:lang w:val="en-US"/>
        </w:rPr>
        <w:instrText>that</w:instrText>
      </w:r>
      <w:r w:rsidR="002466C9" w:rsidRPr="00B929AC">
        <w:instrText xml:space="preserve"> </w:instrText>
      </w:r>
      <w:r w:rsidR="002466C9">
        <w:rPr>
          <w:lang w:val="en-US"/>
        </w:rPr>
        <w:instrText>develops</w:instrText>
      </w:r>
      <w:r w:rsidR="002466C9" w:rsidRPr="00B929AC">
        <w:instrText xml:space="preserve"> </w:instrText>
      </w:r>
      <w:r w:rsidR="002466C9">
        <w:rPr>
          <w:lang w:val="en-US"/>
        </w:rPr>
        <w:instrText>more</w:instrText>
      </w:r>
      <w:r w:rsidR="002466C9" w:rsidRPr="00B929AC">
        <w:instrText xml:space="preserve"> </w:instrText>
      </w:r>
      <w:r w:rsidR="002466C9">
        <w:rPr>
          <w:lang w:val="en-US"/>
        </w:rPr>
        <w:instrText>frequently</w:instrText>
      </w:r>
      <w:r w:rsidR="002466C9" w:rsidRPr="00B929AC">
        <w:instrText xml:space="preserve"> </w:instrText>
      </w:r>
      <w:r w:rsidR="002466C9">
        <w:rPr>
          <w:lang w:val="en-US"/>
        </w:rPr>
        <w:instrText>in</w:instrText>
      </w:r>
      <w:r w:rsidR="002466C9" w:rsidRPr="00B929AC">
        <w:instrText xml:space="preserve"> </w:instrText>
      </w:r>
      <w:r w:rsidR="002466C9">
        <w:rPr>
          <w:lang w:val="en-US"/>
        </w:rPr>
        <w:instrText>children</w:instrText>
      </w:r>
      <w:r w:rsidR="002466C9" w:rsidRPr="00B929AC">
        <w:instrText xml:space="preserve"> </w:instrText>
      </w:r>
      <w:r w:rsidR="002466C9">
        <w:rPr>
          <w:lang w:val="en-US"/>
        </w:rPr>
        <w:instrText>and</w:instrText>
      </w:r>
      <w:r w:rsidR="002466C9" w:rsidRPr="00B929AC">
        <w:instrText xml:space="preserve"> </w:instrText>
      </w:r>
      <w:r w:rsidR="002466C9">
        <w:rPr>
          <w:lang w:val="en-US"/>
        </w:rPr>
        <w:instrText>young</w:instrText>
      </w:r>
      <w:r w:rsidR="002466C9" w:rsidRPr="00B929AC">
        <w:instrText xml:space="preserve"> </w:instrText>
      </w:r>
      <w:r w:rsidR="002466C9">
        <w:rPr>
          <w:lang w:val="en-US"/>
        </w:rPr>
        <w:instrText>adults</w:instrText>
      </w:r>
      <w:r w:rsidR="002466C9" w:rsidRPr="00B929AC">
        <w:instrText xml:space="preserve"> </w:instrText>
      </w:r>
      <w:r w:rsidR="002466C9">
        <w:rPr>
          <w:lang w:val="en-US"/>
        </w:rPr>
        <w:instrText>and</w:instrText>
      </w:r>
      <w:r w:rsidR="002466C9" w:rsidRPr="00B929AC">
        <w:instrText xml:space="preserve"> </w:instrText>
      </w:r>
      <w:r w:rsidR="002466C9">
        <w:rPr>
          <w:lang w:val="en-US"/>
        </w:rPr>
        <w:instrText>is</w:instrText>
      </w:r>
      <w:r w:rsidR="002466C9" w:rsidRPr="00B929AC">
        <w:instrText xml:space="preserve"> </w:instrText>
      </w:r>
      <w:r w:rsidR="002466C9">
        <w:rPr>
          <w:lang w:val="en-US"/>
        </w:rPr>
        <w:instrText>typically</w:instrText>
      </w:r>
      <w:r w:rsidR="002466C9" w:rsidRPr="00B929AC">
        <w:instrText xml:space="preserve"> </w:instrText>
      </w:r>
      <w:r w:rsidR="002466C9">
        <w:rPr>
          <w:lang w:val="en-US"/>
        </w:rPr>
        <w:instrText>characterized</w:instrText>
      </w:r>
      <w:r w:rsidR="002466C9" w:rsidRPr="00B929AC">
        <w:instrText xml:space="preserve"> </w:instrText>
      </w:r>
      <w:r w:rsidR="002466C9">
        <w:rPr>
          <w:lang w:val="en-US"/>
        </w:rPr>
        <w:instrText>by</w:instrText>
      </w:r>
      <w:r w:rsidR="002466C9" w:rsidRPr="00B929AC">
        <w:instrText xml:space="preserve"> </w:instrText>
      </w:r>
      <w:r w:rsidR="002466C9">
        <w:rPr>
          <w:lang w:val="en-US"/>
        </w:rPr>
        <w:instrText>a</w:instrText>
      </w:r>
      <w:r w:rsidR="002466C9" w:rsidRPr="00B929AC">
        <w:instrText xml:space="preserve"> </w:instrText>
      </w:r>
      <w:r w:rsidR="002466C9">
        <w:rPr>
          <w:lang w:val="en-US"/>
        </w:rPr>
        <w:instrText>grossly</w:instrText>
      </w:r>
      <w:r w:rsidR="002466C9" w:rsidRPr="00B929AC">
        <w:instrText xml:space="preserve"> </w:instrText>
      </w:r>
      <w:r w:rsidR="002466C9">
        <w:rPr>
          <w:lang w:val="en-US"/>
        </w:rPr>
        <w:instrText>enlarged</w:instrText>
      </w:r>
      <w:r w:rsidR="002466C9" w:rsidRPr="00B929AC">
        <w:instrText xml:space="preserve"> </w:instrText>
      </w:r>
      <w:r w:rsidR="002466C9">
        <w:rPr>
          <w:lang w:val="en-US"/>
        </w:rPr>
        <w:instrText>mediastinum</w:instrText>
      </w:r>
      <w:r w:rsidR="002466C9" w:rsidRPr="00B929AC">
        <w:instrText xml:space="preserve">, </w:instrText>
      </w:r>
      <w:r w:rsidR="002466C9">
        <w:rPr>
          <w:lang w:val="en-US"/>
        </w:rPr>
        <w:instrText>and</w:instrText>
      </w:r>
      <w:r w:rsidR="002466C9" w:rsidRPr="00B929AC">
        <w:instrText xml:space="preserve"> </w:instrText>
      </w:r>
      <w:r w:rsidR="002466C9">
        <w:rPr>
          <w:lang w:val="en-US"/>
        </w:rPr>
        <w:instrText>whose</w:instrText>
      </w:r>
      <w:r w:rsidR="002466C9" w:rsidRPr="00B929AC">
        <w:instrText xml:space="preserve"> </w:instrText>
      </w:r>
      <w:r w:rsidR="002466C9">
        <w:rPr>
          <w:lang w:val="en-US"/>
        </w:rPr>
        <w:instrText>diagnostic</w:instrText>
      </w:r>
      <w:r w:rsidR="002466C9" w:rsidRPr="00B929AC">
        <w:instrText xml:space="preserve"> </w:instrText>
      </w:r>
      <w:r w:rsidR="002466C9">
        <w:rPr>
          <w:lang w:val="en-US"/>
        </w:rPr>
        <w:instrText>hallmark</w:instrText>
      </w:r>
      <w:r w:rsidR="002466C9" w:rsidRPr="00B929AC">
        <w:instrText xml:space="preserve"> </w:instrText>
      </w:r>
      <w:r w:rsidR="002466C9">
        <w:rPr>
          <w:lang w:val="en-US"/>
        </w:rPr>
        <w:instrText>is</w:instrText>
      </w:r>
      <w:r w:rsidR="002466C9" w:rsidRPr="00B929AC">
        <w:instrText xml:space="preserve"> </w:instrText>
      </w:r>
      <w:r w:rsidR="002466C9">
        <w:rPr>
          <w:lang w:val="en-US"/>
        </w:rPr>
        <w:instrText>the</w:instrText>
      </w:r>
      <w:r w:rsidR="002466C9" w:rsidRPr="00B929AC">
        <w:instrText xml:space="preserve"> </w:instrText>
      </w:r>
      <w:r w:rsidR="002466C9">
        <w:rPr>
          <w:lang w:val="en-US"/>
        </w:rPr>
        <w:instrText>expression</w:instrText>
      </w:r>
      <w:r w:rsidR="002466C9" w:rsidRPr="00B929AC">
        <w:instrText xml:space="preserve"> </w:instrText>
      </w:r>
      <w:r w:rsidR="002466C9">
        <w:rPr>
          <w:lang w:val="en-US"/>
        </w:rPr>
        <w:instrText>of</w:instrText>
      </w:r>
      <w:r w:rsidR="002466C9" w:rsidRPr="00B929AC">
        <w:instrText xml:space="preserve"> </w:instrText>
      </w:r>
      <w:r w:rsidR="002466C9">
        <w:rPr>
          <w:lang w:val="en-US"/>
        </w:rPr>
        <w:instrText>a</w:instrText>
      </w:r>
      <w:r w:rsidR="002466C9" w:rsidRPr="00B929AC">
        <w:instrText xml:space="preserve"> </w:instrText>
      </w:r>
      <w:r w:rsidR="002466C9">
        <w:rPr>
          <w:lang w:val="en-US"/>
        </w:rPr>
        <w:instrText>T</w:instrText>
      </w:r>
      <w:r w:rsidR="002466C9" w:rsidRPr="00B929AC">
        <w:instrText>-/</w:instrText>
      </w:r>
      <w:r w:rsidR="002466C9">
        <w:rPr>
          <w:lang w:val="en-US"/>
        </w:rPr>
        <w:instrText>B</w:instrText>
      </w:r>
      <w:r w:rsidR="002466C9" w:rsidRPr="00B929AC">
        <w:instrText>-</w:instrText>
      </w:r>
      <w:r w:rsidR="002466C9">
        <w:rPr>
          <w:lang w:val="en-US"/>
        </w:rPr>
        <w:instrText>precursor</w:instrText>
      </w:r>
      <w:r w:rsidR="002466C9" w:rsidRPr="00B929AC">
        <w:instrText xml:space="preserve"> </w:instrText>
      </w:r>
      <w:r w:rsidR="002466C9">
        <w:rPr>
          <w:lang w:val="en-US"/>
        </w:rPr>
        <w:instrText>cell</w:instrText>
      </w:r>
      <w:r w:rsidR="002466C9" w:rsidRPr="00B929AC">
        <w:instrText xml:space="preserve"> </w:instrText>
      </w:r>
      <w:r w:rsidR="002466C9">
        <w:rPr>
          <w:lang w:val="en-US"/>
        </w:rPr>
        <w:instrText>immunophenotype</w:instrText>
      </w:r>
      <w:r w:rsidR="002466C9" w:rsidRPr="00B929AC">
        <w:instrText xml:space="preserve">, </w:instrText>
      </w:r>
      <w:r w:rsidR="002466C9">
        <w:rPr>
          <w:lang w:val="en-US"/>
        </w:rPr>
        <w:instrText>the</w:instrText>
      </w:r>
      <w:r w:rsidR="002466C9" w:rsidRPr="00B929AC">
        <w:instrText xml:space="preserve"> </w:instrText>
      </w:r>
      <w:r w:rsidR="002466C9">
        <w:rPr>
          <w:lang w:val="en-US"/>
        </w:rPr>
        <w:instrText>T</w:instrText>
      </w:r>
      <w:r w:rsidR="002466C9" w:rsidRPr="00B929AC">
        <w:instrText>-</w:instrText>
      </w:r>
      <w:r w:rsidR="002466C9">
        <w:rPr>
          <w:lang w:val="en-US"/>
        </w:rPr>
        <w:instrText>cell</w:instrText>
      </w:r>
      <w:r w:rsidR="002466C9" w:rsidRPr="00B929AC">
        <w:instrText xml:space="preserve"> </w:instrText>
      </w:r>
      <w:r w:rsidR="002466C9">
        <w:rPr>
          <w:lang w:val="en-US"/>
        </w:rPr>
        <w:instrText>subset</w:instrText>
      </w:r>
      <w:r w:rsidR="002466C9" w:rsidRPr="00B929AC">
        <w:instrText xml:space="preserve"> </w:instrText>
      </w:r>
      <w:r w:rsidR="002466C9">
        <w:rPr>
          <w:lang w:val="en-US"/>
        </w:rPr>
        <w:instrText>accounting</w:instrText>
      </w:r>
      <w:r w:rsidR="002466C9" w:rsidRPr="00B929AC">
        <w:instrText xml:space="preserve"> </w:instrText>
      </w:r>
      <w:r w:rsidR="002466C9">
        <w:rPr>
          <w:lang w:val="en-US"/>
        </w:rPr>
        <w:instrText>for</w:instrText>
      </w:r>
      <w:r w:rsidR="002466C9" w:rsidRPr="00B929AC">
        <w:instrText xml:space="preserve"> 90% </w:instrText>
      </w:r>
      <w:r w:rsidR="002466C9">
        <w:rPr>
          <w:lang w:val="en-US"/>
        </w:rPr>
        <w:instrText>of</w:instrText>
      </w:r>
      <w:r w:rsidR="002466C9" w:rsidRPr="00B929AC">
        <w:instrText xml:space="preserve"> </w:instrText>
      </w:r>
      <w:r w:rsidR="002466C9">
        <w:rPr>
          <w:lang w:val="en-US"/>
        </w:rPr>
        <w:instrText>all</w:instrText>
      </w:r>
      <w:r w:rsidR="002466C9" w:rsidRPr="00B929AC">
        <w:instrText xml:space="preserve"> </w:instrText>
      </w:r>
      <w:r w:rsidR="002466C9">
        <w:rPr>
          <w:lang w:val="en-US"/>
        </w:rPr>
        <w:instrText>cases</w:instrText>
      </w:r>
      <w:r w:rsidR="002466C9" w:rsidRPr="00B929AC">
        <w:instrText xml:space="preserve">. </w:instrText>
      </w:r>
      <w:r w:rsidR="002466C9">
        <w:rPr>
          <w:lang w:val="en-US"/>
        </w:rPr>
        <w:instrText>The</w:instrText>
      </w:r>
      <w:r w:rsidR="002466C9" w:rsidRPr="00B929AC">
        <w:instrText xml:space="preserve"> </w:instrText>
      </w:r>
      <w:r w:rsidR="002466C9">
        <w:rPr>
          <w:lang w:val="en-US"/>
        </w:rPr>
        <w:instrText>adoption</w:instrText>
      </w:r>
      <w:r w:rsidR="002466C9" w:rsidRPr="00B929AC">
        <w:instrText xml:space="preserve"> </w:instrText>
      </w:r>
      <w:r w:rsidR="002466C9">
        <w:rPr>
          <w:lang w:val="en-US"/>
        </w:rPr>
        <w:instrText>of</w:instrText>
      </w:r>
      <w:r w:rsidR="002466C9" w:rsidRPr="00B929AC">
        <w:instrText xml:space="preserve"> </w:instrText>
      </w:r>
      <w:r w:rsidR="002466C9">
        <w:rPr>
          <w:lang w:val="en-US"/>
        </w:rPr>
        <w:instrText>pediatric</w:instrText>
      </w:r>
      <w:r w:rsidR="002466C9" w:rsidRPr="00B929AC">
        <w:instrText>-</w:instrText>
      </w:r>
      <w:r w:rsidR="002466C9">
        <w:rPr>
          <w:lang w:val="en-US"/>
        </w:rPr>
        <w:instrText>derived</w:instrText>
      </w:r>
      <w:r w:rsidR="002466C9" w:rsidRPr="00B929AC">
        <w:instrText xml:space="preserve">, </w:instrText>
      </w:r>
      <w:r w:rsidR="002466C9">
        <w:rPr>
          <w:lang w:val="en-US"/>
        </w:rPr>
        <w:instrText>intensive</w:instrText>
      </w:r>
      <w:r w:rsidR="002466C9" w:rsidRPr="00B929AC">
        <w:instrText xml:space="preserve"> </w:instrText>
      </w:r>
      <w:r w:rsidR="002466C9">
        <w:rPr>
          <w:lang w:val="en-US"/>
        </w:rPr>
        <w:instrText>lymphoblastic</w:instrText>
      </w:r>
      <w:r w:rsidR="002466C9" w:rsidRPr="00B929AC">
        <w:instrText xml:space="preserve"> </w:instrText>
      </w:r>
      <w:r w:rsidR="002466C9">
        <w:rPr>
          <w:lang w:val="en-US"/>
        </w:rPr>
        <w:instrText>leukemia</w:instrText>
      </w:r>
      <w:r w:rsidR="002466C9" w:rsidRPr="00B929AC">
        <w:instrText>-</w:instrText>
      </w:r>
      <w:r w:rsidR="002466C9">
        <w:rPr>
          <w:lang w:val="en-US"/>
        </w:rPr>
        <w:instrText>like</w:instrText>
      </w:r>
      <w:r w:rsidR="002466C9" w:rsidRPr="00B929AC">
        <w:instrText xml:space="preserve"> </w:instrText>
      </w:r>
      <w:r w:rsidR="002466C9">
        <w:rPr>
          <w:lang w:val="en-US"/>
        </w:rPr>
        <w:instrText>protocols</w:instrText>
      </w:r>
      <w:r w:rsidR="002466C9" w:rsidRPr="00B929AC">
        <w:instrText xml:space="preserve"> </w:instrText>
      </w:r>
      <w:r w:rsidR="002466C9">
        <w:rPr>
          <w:lang w:val="en-US"/>
        </w:rPr>
        <w:instrText>led</w:instrText>
      </w:r>
      <w:r w:rsidR="002466C9" w:rsidRPr="00B929AC">
        <w:instrText xml:space="preserve"> </w:instrText>
      </w:r>
      <w:r w:rsidR="002466C9">
        <w:rPr>
          <w:lang w:val="en-US"/>
        </w:rPr>
        <w:instrText>to</w:instrText>
      </w:r>
      <w:r w:rsidR="002466C9" w:rsidRPr="00B929AC">
        <w:instrText xml:space="preserve"> </w:instrText>
      </w:r>
      <w:r w:rsidR="002466C9">
        <w:rPr>
          <w:lang w:val="en-US"/>
        </w:rPr>
        <w:instrText>significantly</w:instrText>
      </w:r>
      <w:r w:rsidR="002466C9" w:rsidRPr="00B929AC">
        <w:instrText xml:space="preserve"> </w:instrText>
      </w:r>
      <w:r w:rsidR="002466C9">
        <w:rPr>
          <w:lang w:val="en-US"/>
        </w:rPr>
        <w:instrText>improved</w:instrText>
      </w:r>
      <w:r w:rsidR="002466C9" w:rsidRPr="00B929AC">
        <w:instrText xml:space="preserve"> </w:instrText>
      </w:r>
      <w:r w:rsidR="002466C9">
        <w:rPr>
          <w:lang w:val="en-US"/>
        </w:rPr>
        <w:instrText>results</w:instrText>
      </w:r>
      <w:r w:rsidR="002466C9" w:rsidRPr="00B929AC">
        <w:instrText xml:space="preserve">, </w:instrText>
      </w:r>
      <w:r w:rsidR="002466C9">
        <w:rPr>
          <w:lang w:val="en-US"/>
        </w:rPr>
        <w:instrText>with</w:instrText>
      </w:r>
      <w:r w:rsidR="002466C9" w:rsidRPr="00B929AC">
        <w:instrText xml:space="preserve"> </w:instrText>
      </w:r>
      <w:r w:rsidR="002466C9">
        <w:rPr>
          <w:lang w:val="en-US"/>
        </w:rPr>
        <w:instrText>survival</w:instrText>
      </w:r>
      <w:r w:rsidR="002466C9" w:rsidRPr="00B929AC">
        <w:instrText xml:space="preserve"> </w:instrText>
      </w:r>
      <w:r w:rsidR="002466C9">
        <w:rPr>
          <w:lang w:val="en-US"/>
        </w:rPr>
        <w:instrText>rates</w:instrText>
      </w:r>
      <w:r w:rsidR="002466C9" w:rsidRPr="00B929AC">
        <w:instrText xml:space="preserve"> </w:instrText>
      </w:r>
      <w:r w:rsidR="002466C9">
        <w:rPr>
          <w:lang w:val="en-US"/>
        </w:rPr>
        <w:instrText>of</w:instrText>
      </w:r>
      <w:r w:rsidR="002466C9" w:rsidRPr="00B929AC">
        <w:instrText xml:space="preserve"> </w:instrText>
      </w:r>
      <w:r w:rsidR="002466C9">
        <w:rPr>
          <w:lang w:val="en-US"/>
        </w:rPr>
        <w:instrText>about</w:instrText>
      </w:r>
      <w:r w:rsidR="002466C9" w:rsidRPr="00B929AC">
        <w:instrText xml:space="preserve"> 70% </w:instrText>
      </w:r>
      <w:r w:rsidR="002466C9">
        <w:rPr>
          <w:lang w:val="en-US"/>
        </w:rPr>
        <w:instrText>and</w:instrText>
      </w:r>
      <w:r w:rsidR="002466C9" w:rsidRPr="00B929AC">
        <w:instrText xml:space="preserve"> 90% </w:instrText>
      </w:r>
      <w:r w:rsidR="002466C9">
        <w:rPr>
          <w:lang w:val="en-US"/>
        </w:rPr>
        <w:instrText>in</w:instrText>
      </w:r>
      <w:r w:rsidR="002466C9" w:rsidRPr="00B929AC">
        <w:instrText xml:space="preserve"> </w:instrText>
      </w:r>
      <w:r w:rsidR="002466C9">
        <w:rPr>
          <w:lang w:val="en-US"/>
        </w:rPr>
        <w:instrText>adults</w:instrText>
      </w:r>
      <w:r w:rsidR="002466C9" w:rsidRPr="00B929AC">
        <w:instrText xml:space="preserve"> </w:instrText>
      </w:r>
      <w:r w:rsidR="002466C9">
        <w:rPr>
          <w:lang w:val="en-US"/>
        </w:rPr>
        <w:instrText>and</w:instrText>
      </w:r>
      <w:r w:rsidR="002466C9" w:rsidRPr="00B929AC">
        <w:instrText xml:space="preserve"> </w:instrText>
      </w:r>
      <w:r w:rsidR="002466C9">
        <w:rPr>
          <w:lang w:val="en-US"/>
        </w:rPr>
        <w:instrText>children</w:instrText>
      </w:r>
      <w:r w:rsidR="002466C9" w:rsidRPr="00B929AC">
        <w:instrText xml:space="preserve">, </w:instrText>
      </w:r>
      <w:r w:rsidR="002466C9">
        <w:rPr>
          <w:lang w:val="en-US"/>
        </w:rPr>
        <w:instrText>respectively</w:instrText>
      </w:r>
      <w:r w:rsidR="002466C9" w:rsidRPr="00B929AC">
        <w:instrText xml:space="preserve">. </w:instrText>
      </w:r>
      <w:r w:rsidR="002466C9">
        <w:rPr>
          <w:lang w:val="en-US"/>
        </w:rPr>
        <w:instrText>Adequate</w:instrText>
      </w:r>
      <w:r w:rsidR="002466C9" w:rsidRPr="00B929AC">
        <w:instrText xml:space="preserve"> </w:instrText>
      </w:r>
      <w:r w:rsidR="002466C9">
        <w:rPr>
          <w:lang w:val="en-US"/>
        </w:rPr>
        <w:instrText>central</w:instrText>
      </w:r>
      <w:r w:rsidR="002466C9" w:rsidRPr="00B929AC">
        <w:instrText xml:space="preserve"> </w:instrText>
      </w:r>
      <w:r w:rsidR="002466C9">
        <w:rPr>
          <w:lang w:val="en-US"/>
        </w:rPr>
        <w:instrText>nervous</w:instrText>
      </w:r>
      <w:r w:rsidR="002466C9" w:rsidRPr="00B929AC">
        <w:instrText xml:space="preserve"> </w:instrText>
      </w:r>
      <w:r w:rsidR="002466C9">
        <w:rPr>
          <w:lang w:val="en-US"/>
        </w:rPr>
        <w:instrText>system</w:instrText>
      </w:r>
      <w:r w:rsidR="002466C9" w:rsidRPr="00B929AC">
        <w:instrText xml:space="preserve"> </w:instrText>
      </w:r>
      <w:r w:rsidR="002466C9">
        <w:rPr>
          <w:lang w:val="en-US"/>
        </w:rPr>
        <w:instrText>prophylaxis</w:instrText>
      </w:r>
      <w:r w:rsidR="002466C9" w:rsidRPr="00B929AC">
        <w:instrText xml:space="preserve"> </w:instrText>
      </w:r>
      <w:r w:rsidR="002466C9">
        <w:rPr>
          <w:lang w:val="en-US"/>
        </w:rPr>
        <w:instrText>and</w:instrText>
      </w:r>
      <w:r w:rsidR="002466C9" w:rsidRPr="00B929AC">
        <w:instrText xml:space="preserve"> </w:instrText>
      </w:r>
      <w:r w:rsidR="002466C9">
        <w:rPr>
          <w:lang w:val="en-US"/>
        </w:rPr>
        <w:instrText>mediastinal</w:instrText>
      </w:r>
      <w:r w:rsidR="002466C9" w:rsidRPr="00B929AC">
        <w:instrText xml:space="preserve"> </w:instrText>
      </w:r>
      <w:r w:rsidR="002466C9">
        <w:rPr>
          <w:lang w:val="en-US"/>
        </w:rPr>
        <w:instrText>irradiation</w:instrText>
      </w:r>
      <w:r w:rsidR="002466C9" w:rsidRPr="00B929AC">
        <w:instrText xml:space="preserve"> </w:instrText>
      </w:r>
      <w:r w:rsidR="002466C9">
        <w:rPr>
          <w:lang w:val="en-US"/>
        </w:rPr>
        <w:instrText>contributed</w:instrText>
      </w:r>
      <w:r w:rsidR="002466C9" w:rsidRPr="00B929AC">
        <w:instrText xml:space="preserve"> </w:instrText>
      </w:r>
      <w:r w:rsidR="002466C9">
        <w:rPr>
          <w:lang w:val="en-US"/>
        </w:rPr>
        <w:instrText>to</w:instrText>
      </w:r>
      <w:r w:rsidR="002466C9" w:rsidRPr="00B929AC">
        <w:instrText xml:space="preserve"> </w:instrText>
      </w:r>
      <w:r w:rsidR="002466C9">
        <w:rPr>
          <w:lang w:val="en-US"/>
        </w:rPr>
        <w:instrText>the</w:instrText>
      </w:r>
      <w:r w:rsidR="002466C9" w:rsidRPr="00B929AC">
        <w:instrText xml:space="preserve"> </w:instrText>
      </w:r>
      <w:r w:rsidR="002466C9">
        <w:rPr>
          <w:lang w:val="en-US"/>
        </w:rPr>
        <w:instrText>therapeutic</w:instrText>
      </w:r>
      <w:r w:rsidR="002466C9" w:rsidRPr="00B929AC">
        <w:instrText xml:space="preserve"> </w:instrText>
      </w:r>
      <w:r w:rsidR="002466C9">
        <w:rPr>
          <w:lang w:val="en-US"/>
        </w:rPr>
        <w:instrText>success</w:instrText>
      </w:r>
      <w:r w:rsidR="002466C9" w:rsidRPr="00B929AC">
        <w:instrText xml:space="preserve">; </w:instrText>
      </w:r>
      <w:r w:rsidR="002466C9">
        <w:rPr>
          <w:lang w:val="en-US"/>
        </w:rPr>
        <w:instrText>however</w:instrText>
      </w:r>
      <w:r w:rsidR="002466C9" w:rsidRPr="00B929AC">
        <w:instrText xml:space="preserve">, </w:instrText>
      </w:r>
      <w:r w:rsidR="002466C9">
        <w:rPr>
          <w:lang w:val="en-US"/>
        </w:rPr>
        <w:instrText>the</w:instrText>
      </w:r>
      <w:r w:rsidR="002466C9" w:rsidRPr="00B929AC">
        <w:instrText xml:space="preserve"> </w:instrText>
      </w:r>
      <w:r w:rsidR="002466C9">
        <w:rPr>
          <w:lang w:val="en-US"/>
        </w:rPr>
        <w:instrText>role</w:instrText>
      </w:r>
      <w:r w:rsidR="002466C9" w:rsidRPr="00B929AC">
        <w:instrText xml:space="preserve"> </w:instrText>
      </w:r>
      <w:r w:rsidR="002466C9">
        <w:rPr>
          <w:lang w:val="en-US"/>
        </w:rPr>
        <w:instrText>of</w:instrText>
      </w:r>
      <w:r w:rsidR="002466C9" w:rsidRPr="00B929AC">
        <w:instrText xml:space="preserve"> </w:instrText>
      </w:r>
      <w:r w:rsidR="002466C9">
        <w:rPr>
          <w:lang w:val="en-US"/>
        </w:rPr>
        <w:instrText>radiation</w:instrText>
      </w:r>
      <w:r w:rsidR="002466C9" w:rsidRPr="00B929AC">
        <w:instrText xml:space="preserve"> </w:instrText>
      </w:r>
      <w:r w:rsidR="002466C9">
        <w:rPr>
          <w:lang w:val="en-US"/>
        </w:rPr>
        <w:instrText>therapy</w:instrText>
      </w:r>
      <w:r w:rsidR="002466C9" w:rsidRPr="00B929AC">
        <w:instrText xml:space="preserve"> </w:instrText>
      </w:r>
      <w:r w:rsidR="002466C9">
        <w:rPr>
          <w:lang w:val="en-US"/>
        </w:rPr>
        <w:instrText>is</w:instrText>
      </w:r>
      <w:r w:rsidR="002466C9" w:rsidRPr="00B929AC">
        <w:instrText xml:space="preserve"> </w:instrText>
      </w:r>
      <w:r w:rsidR="002466C9">
        <w:rPr>
          <w:lang w:val="en-US"/>
        </w:rPr>
        <w:instrText>debated</w:instrText>
      </w:r>
      <w:r w:rsidR="002466C9" w:rsidRPr="00B929AC">
        <w:instrText xml:space="preserve"> </w:instrText>
      </w:r>
      <w:r w:rsidR="002466C9">
        <w:rPr>
          <w:lang w:val="en-US"/>
        </w:rPr>
        <w:instrText>due</w:instrText>
      </w:r>
      <w:r w:rsidR="002466C9" w:rsidRPr="00B929AC">
        <w:instrText xml:space="preserve"> </w:instrText>
      </w:r>
      <w:r w:rsidR="002466C9">
        <w:rPr>
          <w:lang w:val="en-US"/>
        </w:rPr>
        <w:instrText>to</w:instrText>
      </w:r>
      <w:r w:rsidR="002466C9" w:rsidRPr="00B929AC">
        <w:instrText xml:space="preserve"> </w:instrText>
      </w:r>
      <w:r w:rsidR="002466C9">
        <w:rPr>
          <w:lang w:val="en-US"/>
        </w:rPr>
        <w:instrText>toxicity</w:instrText>
      </w:r>
      <w:r w:rsidR="002466C9" w:rsidRPr="00B929AC">
        <w:instrText xml:space="preserve"> </w:instrText>
      </w:r>
      <w:r w:rsidR="002466C9">
        <w:rPr>
          <w:lang w:val="en-US"/>
        </w:rPr>
        <w:instrText>concerns</w:instrText>
      </w:r>
      <w:r w:rsidR="002466C9" w:rsidRPr="00B929AC">
        <w:instrText xml:space="preserve"> </w:instrText>
      </w:r>
      <w:r w:rsidR="002466C9">
        <w:rPr>
          <w:lang w:val="en-US"/>
        </w:rPr>
        <w:instrText>and</w:instrText>
      </w:r>
      <w:r w:rsidR="002466C9" w:rsidRPr="00B929AC">
        <w:instrText xml:space="preserve"> </w:instrText>
      </w:r>
      <w:r w:rsidR="002466C9">
        <w:rPr>
          <w:lang w:val="en-US"/>
        </w:rPr>
        <w:instrText>the</w:instrText>
      </w:r>
      <w:r w:rsidR="002466C9" w:rsidRPr="00B929AC">
        <w:instrText xml:space="preserve"> </w:instrText>
      </w:r>
      <w:r w:rsidR="002466C9">
        <w:rPr>
          <w:lang w:val="en-US"/>
        </w:rPr>
        <w:instrText>excellent</w:instrText>
      </w:r>
      <w:r w:rsidR="002466C9" w:rsidRPr="00B929AC">
        <w:instrText xml:space="preserve"> </w:instrText>
      </w:r>
      <w:r w:rsidR="002466C9">
        <w:rPr>
          <w:lang w:val="en-US"/>
        </w:rPr>
        <w:instrText>results</w:instrText>
      </w:r>
      <w:r w:rsidR="002466C9" w:rsidRPr="00B929AC">
        <w:instrText xml:space="preserve"> </w:instrText>
      </w:r>
      <w:r w:rsidR="002466C9">
        <w:rPr>
          <w:lang w:val="en-US"/>
        </w:rPr>
        <w:instrText>obtained</w:instrText>
      </w:r>
      <w:r w:rsidR="002466C9" w:rsidRPr="00B929AC">
        <w:instrText xml:space="preserve"> </w:instrText>
      </w:r>
      <w:r w:rsidR="002466C9">
        <w:rPr>
          <w:lang w:val="en-US"/>
        </w:rPr>
        <w:instrText>with</w:instrText>
      </w:r>
      <w:r w:rsidR="002466C9" w:rsidRPr="00B929AC">
        <w:instrText xml:space="preserve"> </w:instrText>
      </w:r>
      <w:r w:rsidR="002466C9">
        <w:rPr>
          <w:lang w:val="en-US"/>
        </w:rPr>
        <w:instrText>radiation</w:instrText>
      </w:r>
      <w:r w:rsidR="002466C9" w:rsidRPr="00B929AC">
        <w:instrText>-</w:instrText>
      </w:r>
      <w:r w:rsidR="002466C9">
        <w:rPr>
          <w:lang w:val="en-US"/>
        </w:rPr>
        <w:instrText>free</w:instrText>
      </w:r>
      <w:r w:rsidR="002466C9" w:rsidRPr="00B929AC">
        <w:instrText xml:space="preserve"> </w:instrText>
      </w:r>
      <w:r w:rsidR="002466C9">
        <w:rPr>
          <w:lang w:val="en-US"/>
        </w:rPr>
        <w:instrText>programs</w:instrText>
      </w:r>
      <w:r w:rsidR="002466C9" w:rsidRPr="00B929AC">
        <w:instrText xml:space="preserve"> </w:instrText>
      </w:r>
      <w:r w:rsidR="002466C9">
        <w:rPr>
          <w:lang w:val="en-US"/>
        </w:rPr>
        <w:instrText>especially</w:instrText>
      </w:r>
      <w:r w:rsidR="002466C9" w:rsidRPr="00B929AC">
        <w:instrText xml:space="preserve"> </w:instrText>
      </w:r>
      <w:r w:rsidR="002466C9">
        <w:rPr>
          <w:lang w:val="en-US"/>
        </w:rPr>
        <w:instrText>in</w:instrText>
      </w:r>
      <w:r w:rsidR="002466C9" w:rsidRPr="00B929AC">
        <w:instrText xml:space="preserve"> </w:instrText>
      </w:r>
      <w:r w:rsidR="002466C9">
        <w:rPr>
          <w:lang w:val="en-US"/>
        </w:rPr>
        <w:instrText>pediatric</w:instrText>
      </w:r>
      <w:r w:rsidR="002466C9" w:rsidRPr="00B929AC">
        <w:instrText xml:space="preserve"> </w:instrText>
      </w:r>
      <w:r w:rsidR="002466C9">
        <w:rPr>
          <w:lang w:val="en-US"/>
        </w:rPr>
        <w:instrText>patients</w:instrText>
      </w:r>
      <w:r w:rsidR="002466C9" w:rsidRPr="00B929AC">
        <w:instrText xml:space="preserve">. </w:instrText>
      </w:r>
      <w:r w:rsidR="002466C9">
        <w:rPr>
          <w:lang w:val="en-US"/>
        </w:rPr>
        <w:instrText>With</w:instrText>
      </w:r>
      <w:r w:rsidR="002466C9" w:rsidRPr="00B929AC">
        <w:instrText xml:space="preserve"> </w:instrText>
      </w:r>
      <w:r w:rsidR="002466C9">
        <w:rPr>
          <w:lang w:val="en-US"/>
        </w:rPr>
        <w:instrText>these</w:instrText>
      </w:r>
      <w:r w:rsidR="002466C9" w:rsidRPr="00B929AC">
        <w:instrText xml:space="preserve"> </w:instrText>
      </w:r>
      <w:r w:rsidR="002466C9">
        <w:rPr>
          <w:lang w:val="en-US"/>
        </w:rPr>
        <w:instrText>modern</w:instrText>
      </w:r>
      <w:r w:rsidR="002466C9" w:rsidRPr="00B929AC">
        <w:instrText xml:space="preserve"> </w:instrText>
      </w:r>
      <w:r w:rsidR="002466C9">
        <w:rPr>
          <w:lang w:val="en-US"/>
        </w:rPr>
        <w:instrText>schedules</w:instrText>
      </w:r>
      <w:r w:rsidR="002466C9" w:rsidRPr="00B929AC">
        <w:instrText xml:space="preserve">, </w:instrText>
      </w:r>
      <w:r w:rsidR="002466C9">
        <w:rPr>
          <w:lang w:val="en-US"/>
        </w:rPr>
        <w:instrText>localized</w:instrText>
      </w:r>
      <w:r w:rsidR="002466C9" w:rsidRPr="00B929AC">
        <w:instrText xml:space="preserve"> </w:instrText>
      </w:r>
      <w:r w:rsidR="002466C9">
        <w:rPr>
          <w:lang w:val="en-US"/>
        </w:rPr>
        <w:instrText>radiotherapy</w:instrText>
      </w:r>
      <w:r w:rsidR="002466C9" w:rsidRPr="00B929AC">
        <w:instrText xml:space="preserve"> </w:instrText>
      </w:r>
      <w:r w:rsidR="002466C9">
        <w:rPr>
          <w:lang w:val="en-US"/>
        </w:rPr>
        <w:instrText>and</w:instrText>
      </w:r>
      <w:r w:rsidR="002466C9" w:rsidRPr="00B929AC">
        <w:instrText>/</w:instrText>
      </w:r>
      <w:r w:rsidR="002466C9">
        <w:rPr>
          <w:lang w:val="en-US"/>
        </w:rPr>
        <w:instrText>or</w:instrText>
      </w:r>
      <w:r w:rsidR="002466C9" w:rsidRPr="00B929AC">
        <w:instrText xml:space="preserve"> </w:instrText>
      </w:r>
      <w:r w:rsidR="002466C9">
        <w:rPr>
          <w:lang w:val="en-US"/>
        </w:rPr>
        <w:instrText>hematopoietic</w:instrText>
      </w:r>
      <w:r w:rsidR="002466C9" w:rsidRPr="00B929AC">
        <w:instrText xml:space="preserve"> </w:instrText>
      </w:r>
      <w:r w:rsidR="002466C9">
        <w:rPr>
          <w:lang w:val="en-US"/>
        </w:rPr>
        <w:instrText>stem</w:instrText>
      </w:r>
      <w:r w:rsidR="002466C9" w:rsidRPr="00B929AC">
        <w:instrText xml:space="preserve"> </w:instrText>
      </w:r>
      <w:r w:rsidR="002466C9">
        <w:rPr>
          <w:lang w:val="en-US"/>
        </w:rPr>
        <w:instrText>cell</w:instrText>
      </w:r>
      <w:r w:rsidR="002466C9" w:rsidRPr="00B929AC">
        <w:instrText xml:space="preserve"> </w:instrText>
      </w:r>
      <w:r w:rsidR="002466C9">
        <w:rPr>
          <w:lang w:val="en-US"/>
        </w:rPr>
        <w:instrText>transplants</w:instrText>
      </w:r>
      <w:r w:rsidR="002466C9" w:rsidRPr="00B929AC">
        <w:instrText xml:space="preserve"> </w:instrText>
      </w:r>
      <w:r w:rsidR="002466C9">
        <w:rPr>
          <w:lang w:val="en-US"/>
        </w:rPr>
        <w:instrText>could</w:instrText>
      </w:r>
      <w:r w:rsidR="002466C9" w:rsidRPr="00B929AC">
        <w:instrText xml:space="preserve"> </w:instrText>
      </w:r>
      <w:r w:rsidR="002466C9">
        <w:rPr>
          <w:lang w:val="en-US"/>
        </w:rPr>
        <w:instrText>be</w:instrText>
      </w:r>
      <w:r w:rsidR="002466C9" w:rsidRPr="00B929AC">
        <w:instrText xml:space="preserve"> </w:instrText>
      </w:r>
      <w:r w:rsidR="002466C9">
        <w:rPr>
          <w:lang w:val="en-US"/>
        </w:rPr>
        <w:instrText>generally</w:instrText>
      </w:r>
      <w:r w:rsidR="002466C9" w:rsidRPr="00B929AC">
        <w:instrText xml:space="preserve"> </w:instrText>
      </w:r>
      <w:r w:rsidR="002466C9">
        <w:rPr>
          <w:lang w:val="en-US"/>
        </w:rPr>
        <w:instrText>omitted</w:instrText>
      </w:r>
      <w:r w:rsidR="002466C9" w:rsidRPr="00B929AC">
        <w:instrText xml:space="preserve">, </w:instrText>
      </w:r>
      <w:r w:rsidR="002466C9">
        <w:rPr>
          <w:lang w:val="en-US"/>
        </w:rPr>
        <w:instrText>and</w:instrText>
      </w:r>
      <w:r w:rsidR="002466C9" w:rsidRPr="00B929AC">
        <w:instrText xml:space="preserve"> </w:instrText>
      </w:r>
      <w:r w:rsidR="002466C9">
        <w:rPr>
          <w:lang w:val="en-US"/>
        </w:rPr>
        <w:instrText>considered</w:instrText>
      </w:r>
      <w:r w:rsidR="002466C9" w:rsidRPr="00B929AC">
        <w:instrText xml:space="preserve"> </w:instrText>
      </w:r>
      <w:r w:rsidR="002466C9">
        <w:rPr>
          <w:lang w:val="en-US"/>
        </w:rPr>
        <w:instrText>only</w:instrText>
      </w:r>
      <w:r w:rsidR="002466C9" w:rsidRPr="00B929AC">
        <w:instrText xml:space="preserve"> </w:instrText>
      </w:r>
      <w:r w:rsidR="002466C9">
        <w:rPr>
          <w:lang w:val="en-US"/>
        </w:rPr>
        <w:instrText>for</w:instrText>
      </w:r>
      <w:r w:rsidR="002466C9" w:rsidRPr="00B929AC">
        <w:instrText xml:space="preserve"> </w:instrText>
      </w:r>
      <w:r w:rsidR="002466C9">
        <w:rPr>
          <w:lang w:val="en-US"/>
        </w:rPr>
        <w:instrText>high</w:instrText>
      </w:r>
      <w:r w:rsidR="002466C9" w:rsidRPr="00B929AC">
        <w:instrText>-</w:instrText>
      </w:r>
      <w:r w:rsidR="002466C9">
        <w:rPr>
          <w:lang w:val="en-US"/>
        </w:rPr>
        <w:instrText>risk</w:instrText>
      </w:r>
      <w:r w:rsidR="002466C9" w:rsidRPr="00B929AC">
        <w:instrText xml:space="preserve"> </w:instrText>
      </w:r>
      <w:r w:rsidR="002466C9">
        <w:rPr>
          <w:lang w:val="en-US"/>
        </w:rPr>
        <w:instrText>patients</w:instrText>
      </w:r>
      <w:r w:rsidR="002466C9" w:rsidRPr="00B929AC">
        <w:instrText xml:space="preserve"> </w:instrText>
      </w:r>
      <w:r w:rsidR="002466C9">
        <w:rPr>
          <w:lang w:val="en-US"/>
        </w:rPr>
        <w:instrText>identified</w:instrText>
      </w:r>
      <w:r w:rsidR="002466C9" w:rsidRPr="00B929AC">
        <w:instrText xml:space="preserve"> </w:instrText>
      </w:r>
      <w:r w:rsidR="002466C9">
        <w:rPr>
          <w:lang w:val="en-US"/>
        </w:rPr>
        <w:instrText>through</w:instrText>
      </w:r>
      <w:r w:rsidR="002466C9" w:rsidRPr="00B929AC">
        <w:instrText xml:space="preserve"> </w:instrText>
      </w:r>
      <w:r w:rsidR="002466C9">
        <w:rPr>
          <w:lang w:val="en-US"/>
        </w:rPr>
        <w:instrText>postinduction</w:instrText>
      </w:r>
      <w:r w:rsidR="002466C9" w:rsidRPr="00B929AC">
        <w:instrText xml:space="preserve"> </w:instrText>
      </w:r>
      <w:r w:rsidR="002466C9">
        <w:rPr>
          <w:lang w:val="en-US"/>
        </w:rPr>
        <w:instrText>computed</w:instrText>
      </w:r>
      <w:r w:rsidR="002466C9" w:rsidRPr="00B929AC">
        <w:instrText xml:space="preserve"> </w:instrText>
      </w:r>
      <w:r w:rsidR="002466C9">
        <w:rPr>
          <w:lang w:val="en-US"/>
        </w:rPr>
        <w:instrText>tomography</w:instrText>
      </w:r>
      <w:r w:rsidR="002466C9" w:rsidRPr="00B929AC">
        <w:instrText>/</w:instrText>
      </w:r>
      <w:r w:rsidR="002466C9">
        <w:rPr>
          <w:lang w:val="en-US"/>
        </w:rPr>
        <w:instrText>positron</w:instrText>
      </w:r>
      <w:r w:rsidR="002466C9" w:rsidRPr="00B929AC">
        <w:instrText>-</w:instrText>
      </w:r>
      <w:r w:rsidR="002466C9">
        <w:rPr>
          <w:lang w:val="en-US"/>
        </w:rPr>
        <w:instrText>emission</w:instrText>
      </w:r>
      <w:r w:rsidR="002466C9" w:rsidRPr="00B929AC">
        <w:instrText xml:space="preserve"> </w:instrText>
      </w:r>
      <w:r w:rsidR="002466C9">
        <w:rPr>
          <w:lang w:val="en-US"/>
        </w:rPr>
        <w:instrText>tomography</w:instrText>
      </w:r>
      <w:r w:rsidR="002466C9" w:rsidRPr="00B929AC">
        <w:instrText xml:space="preserve"> </w:instrText>
      </w:r>
      <w:r w:rsidR="002466C9">
        <w:rPr>
          <w:lang w:val="en-US"/>
        </w:rPr>
        <w:instrText>scans</w:instrText>
      </w:r>
      <w:r w:rsidR="002466C9" w:rsidRPr="00B929AC">
        <w:instrText xml:space="preserve">, </w:instrText>
      </w:r>
      <w:r w:rsidR="002466C9">
        <w:rPr>
          <w:lang w:val="en-US"/>
        </w:rPr>
        <w:instrText>minimal</w:instrText>
      </w:r>
      <w:r w:rsidR="002466C9" w:rsidRPr="00B929AC">
        <w:instrText xml:space="preserve"> </w:instrText>
      </w:r>
      <w:r w:rsidR="002466C9">
        <w:rPr>
          <w:lang w:val="en-US"/>
        </w:rPr>
        <w:instrText>residual</w:instrText>
      </w:r>
      <w:r w:rsidR="002466C9" w:rsidRPr="00B929AC">
        <w:instrText xml:space="preserve"> </w:instrText>
      </w:r>
      <w:r w:rsidR="002466C9">
        <w:rPr>
          <w:lang w:val="en-US"/>
        </w:rPr>
        <w:instrText>disease</w:instrText>
      </w:r>
      <w:r w:rsidR="002466C9" w:rsidRPr="00B929AC">
        <w:instrText xml:space="preserve"> </w:instrText>
      </w:r>
      <w:r w:rsidR="002466C9">
        <w:rPr>
          <w:lang w:val="en-US"/>
        </w:rPr>
        <w:instrText>analysis</w:instrText>
      </w:r>
      <w:r w:rsidR="002466C9" w:rsidRPr="00B929AC">
        <w:instrText xml:space="preserve">, </w:instrText>
      </w:r>
      <w:r w:rsidR="002466C9">
        <w:rPr>
          <w:lang w:val="en-US"/>
        </w:rPr>
        <w:instrText>and</w:instrText>
      </w:r>
      <w:r w:rsidR="002466C9" w:rsidRPr="00B929AC">
        <w:instrText xml:space="preserve"> </w:instrText>
      </w:r>
      <w:r w:rsidR="002466C9">
        <w:rPr>
          <w:lang w:val="en-US"/>
        </w:rPr>
        <w:instrText>new</w:instrText>
      </w:r>
      <w:r w:rsidR="002466C9" w:rsidRPr="00B929AC">
        <w:instrText xml:space="preserve"> </w:instrText>
      </w:r>
      <w:r w:rsidR="002466C9">
        <w:rPr>
          <w:lang w:val="en-US"/>
        </w:rPr>
        <w:instrText>genetics</w:instrText>
      </w:r>
      <w:r w:rsidR="002466C9" w:rsidRPr="00B929AC">
        <w:instrText xml:space="preserve"> </w:instrText>
      </w:r>
      <w:r w:rsidR="002466C9">
        <w:rPr>
          <w:lang w:val="en-US"/>
        </w:rPr>
        <w:instrText>and</w:instrText>
      </w:r>
      <w:r w:rsidR="002466C9" w:rsidRPr="00B929AC">
        <w:instrText xml:space="preserve"> </w:instrText>
      </w:r>
      <w:r w:rsidR="002466C9">
        <w:rPr>
          <w:lang w:val="en-US"/>
        </w:rPr>
        <w:instrText>genomics</w:instrText>
      </w:r>
      <w:r w:rsidR="002466C9" w:rsidRPr="00B929AC">
        <w:instrText xml:space="preserve">. </w:instrText>
      </w:r>
      <w:r w:rsidR="002466C9">
        <w:rPr>
          <w:lang w:val="en-US"/>
        </w:rPr>
        <w:instrText>New</w:instrText>
      </w:r>
      <w:r w:rsidR="002466C9" w:rsidRPr="00B929AC">
        <w:instrText xml:space="preserve"> </w:instrText>
      </w:r>
      <w:r w:rsidR="002466C9">
        <w:rPr>
          <w:lang w:val="en-US"/>
        </w:rPr>
        <w:instrText>clinical</w:instrText>
      </w:r>
      <w:r w:rsidR="002466C9" w:rsidRPr="00B929AC">
        <w:instrText xml:space="preserve"> </w:instrText>
      </w:r>
      <w:r w:rsidR="002466C9">
        <w:rPr>
          <w:lang w:val="en-US"/>
        </w:rPr>
        <w:instrText>studies</w:instrText>
      </w:r>
      <w:r w:rsidR="002466C9" w:rsidRPr="00B929AC">
        <w:instrText xml:space="preserve"> </w:instrText>
      </w:r>
      <w:r w:rsidR="002466C9">
        <w:rPr>
          <w:lang w:val="en-US"/>
        </w:rPr>
        <w:instrText>will</w:instrText>
      </w:r>
      <w:r w:rsidR="002466C9" w:rsidRPr="00B929AC">
        <w:instrText xml:space="preserve"> </w:instrText>
      </w:r>
      <w:r w:rsidR="002466C9">
        <w:rPr>
          <w:lang w:val="en-US"/>
        </w:rPr>
        <w:instrText>have</w:instrText>
      </w:r>
      <w:r w:rsidR="002466C9" w:rsidRPr="00B929AC">
        <w:instrText xml:space="preserve"> </w:instrText>
      </w:r>
      <w:r w:rsidR="002466C9">
        <w:rPr>
          <w:lang w:val="en-US"/>
        </w:rPr>
        <w:instrText>to</w:instrText>
      </w:r>
      <w:r w:rsidR="002466C9" w:rsidRPr="00B929AC">
        <w:instrText xml:space="preserve"> </w:instrText>
      </w:r>
      <w:r w:rsidR="002466C9">
        <w:rPr>
          <w:lang w:val="en-US"/>
        </w:rPr>
        <w:instrText>confirm</w:instrText>
      </w:r>
      <w:r w:rsidR="002466C9" w:rsidRPr="00B929AC">
        <w:instrText xml:space="preserve"> </w:instrText>
      </w:r>
      <w:r w:rsidR="002466C9">
        <w:rPr>
          <w:lang w:val="en-US"/>
        </w:rPr>
        <w:instrText>the</w:instrText>
      </w:r>
      <w:r w:rsidR="002466C9" w:rsidRPr="00B929AC">
        <w:instrText xml:space="preserve"> </w:instrText>
      </w:r>
      <w:r w:rsidR="002466C9">
        <w:rPr>
          <w:lang w:val="en-US"/>
        </w:rPr>
        <w:instrText>value</w:instrText>
      </w:r>
      <w:r w:rsidR="002466C9" w:rsidRPr="00B929AC">
        <w:instrText xml:space="preserve"> </w:instrText>
      </w:r>
      <w:r w:rsidR="002466C9">
        <w:rPr>
          <w:lang w:val="en-US"/>
        </w:rPr>
        <w:instrText>of</w:instrText>
      </w:r>
      <w:r w:rsidR="002466C9" w:rsidRPr="00B929AC">
        <w:instrText xml:space="preserve"> </w:instrText>
      </w:r>
      <w:r w:rsidR="002466C9">
        <w:rPr>
          <w:lang w:val="en-US"/>
        </w:rPr>
        <w:instrText>these</w:instrText>
      </w:r>
      <w:r w:rsidR="002466C9" w:rsidRPr="00B929AC">
        <w:instrText xml:space="preserve"> </w:instrText>
      </w:r>
      <w:r w:rsidR="002466C9">
        <w:rPr>
          <w:lang w:val="en-US"/>
        </w:rPr>
        <w:instrText>assays</w:instrText>
      </w:r>
      <w:r w:rsidR="002466C9" w:rsidRPr="00B929AC">
        <w:instrText xml:space="preserve"> </w:instrText>
      </w:r>
      <w:r w:rsidR="002466C9">
        <w:rPr>
          <w:lang w:val="en-US"/>
        </w:rPr>
        <w:instrText>for</w:instrText>
      </w:r>
      <w:r w:rsidR="002466C9" w:rsidRPr="00B929AC">
        <w:instrText xml:space="preserve"> </w:instrText>
      </w:r>
      <w:r w:rsidR="002466C9">
        <w:rPr>
          <w:lang w:val="en-US"/>
        </w:rPr>
        <w:instrText>risk</w:instrText>
      </w:r>
      <w:r w:rsidR="002466C9" w:rsidRPr="00B929AC">
        <w:instrText>-</w:instrText>
      </w:r>
      <w:r w:rsidR="002466C9">
        <w:rPr>
          <w:lang w:val="en-US"/>
        </w:rPr>
        <w:instrText>oriented</w:instrText>
      </w:r>
      <w:r w:rsidR="002466C9" w:rsidRPr="00B929AC">
        <w:instrText xml:space="preserve"> </w:instrText>
      </w:r>
      <w:r w:rsidR="002466C9">
        <w:rPr>
          <w:lang w:val="en-US"/>
        </w:rPr>
        <w:instrText>therapy</w:instrText>
      </w:r>
      <w:r w:rsidR="002466C9" w:rsidRPr="00B929AC">
        <w:instrText xml:space="preserve">, </w:instrText>
      </w:r>
      <w:r w:rsidR="002466C9">
        <w:rPr>
          <w:lang w:val="en-US"/>
        </w:rPr>
        <w:instrText>while</w:instrText>
      </w:r>
      <w:r w:rsidR="002466C9" w:rsidRPr="00B929AC">
        <w:instrText xml:space="preserve"> </w:instrText>
      </w:r>
      <w:r w:rsidR="002466C9">
        <w:rPr>
          <w:lang w:val="en-US"/>
        </w:rPr>
        <w:instrText>further</w:instrText>
      </w:r>
      <w:r w:rsidR="002466C9" w:rsidRPr="00B929AC">
        <w:instrText xml:space="preserve"> </w:instrText>
      </w:r>
      <w:r w:rsidR="002466C9">
        <w:rPr>
          <w:lang w:val="en-US"/>
        </w:rPr>
        <w:instrText>therapeutic</w:instrText>
      </w:r>
      <w:r w:rsidR="002466C9" w:rsidRPr="00B929AC">
        <w:instrText xml:space="preserve"> </w:instrText>
      </w:r>
      <w:r w:rsidR="002466C9">
        <w:rPr>
          <w:lang w:val="en-US"/>
        </w:rPr>
        <w:instrText>progress</w:instrText>
      </w:r>
      <w:r w:rsidR="002466C9" w:rsidRPr="00B929AC">
        <w:instrText xml:space="preserve"> </w:instrText>
      </w:r>
      <w:r w:rsidR="002466C9">
        <w:rPr>
          <w:lang w:val="en-US"/>
        </w:rPr>
        <w:instrText>is</w:instrText>
      </w:r>
      <w:r w:rsidR="002466C9" w:rsidRPr="00B929AC">
        <w:instrText xml:space="preserve"> </w:instrText>
      </w:r>
      <w:r w:rsidR="002466C9">
        <w:rPr>
          <w:lang w:val="en-US"/>
        </w:rPr>
        <w:instrText>expected</w:instrText>
      </w:r>
      <w:r w:rsidR="002466C9" w:rsidRPr="00B929AC">
        <w:instrText xml:space="preserve"> </w:instrText>
      </w:r>
      <w:r w:rsidR="002466C9">
        <w:rPr>
          <w:lang w:val="en-US"/>
        </w:rPr>
        <w:instrText>from</w:instrText>
      </w:r>
      <w:r w:rsidR="002466C9" w:rsidRPr="00B929AC">
        <w:instrText xml:space="preserve"> </w:instrText>
      </w:r>
      <w:r w:rsidR="002466C9">
        <w:rPr>
          <w:lang w:val="en-US"/>
        </w:rPr>
        <w:instrText>the</w:instrText>
      </w:r>
      <w:r w:rsidR="002466C9" w:rsidRPr="00B929AC">
        <w:instrText xml:space="preserve"> </w:instrText>
      </w:r>
      <w:r w:rsidR="002466C9">
        <w:rPr>
          <w:lang w:val="en-US"/>
        </w:rPr>
        <w:instrText>introduction</w:instrText>
      </w:r>
      <w:r w:rsidR="002466C9" w:rsidRPr="00B929AC">
        <w:instrText xml:space="preserve"> </w:instrText>
      </w:r>
      <w:r w:rsidR="002466C9">
        <w:rPr>
          <w:lang w:val="en-US"/>
        </w:rPr>
        <w:instrText>of</w:instrText>
      </w:r>
      <w:r w:rsidR="002466C9" w:rsidRPr="00B929AC">
        <w:instrText xml:space="preserve"> </w:instrText>
      </w:r>
      <w:r w:rsidR="002466C9">
        <w:rPr>
          <w:lang w:val="en-US"/>
        </w:rPr>
        <w:instrText>new</w:instrText>
      </w:r>
      <w:r w:rsidR="002466C9" w:rsidRPr="00B929AC">
        <w:instrText xml:space="preserve"> </w:instrText>
      </w:r>
      <w:r w:rsidR="002466C9">
        <w:rPr>
          <w:lang w:val="en-US"/>
        </w:rPr>
        <w:instrText>drugs</w:instrText>
      </w:r>
      <w:r w:rsidR="002466C9" w:rsidRPr="00B929AC">
        <w:instrText xml:space="preserve"> </w:instrText>
      </w:r>
      <w:r w:rsidR="002466C9">
        <w:rPr>
          <w:lang w:val="en-US"/>
        </w:rPr>
        <w:instrText>and</w:instrText>
      </w:r>
      <w:r w:rsidR="002466C9" w:rsidRPr="00B929AC">
        <w:instrText xml:space="preserve"> </w:instrText>
      </w:r>
      <w:r w:rsidR="002466C9">
        <w:rPr>
          <w:lang w:val="en-US"/>
        </w:rPr>
        <w:instrText>targeting</w:instrText>
      </w:r>
      <w:r w:rsidR="002466C9" w:rsidRPr="00B929AC">
        <w:instrText xml:space="preserve"> </w:instrText>
      </w:r>
      <w:r w:rsidR="002466C9">
        <w:rPr>
          <w:lang w:val="en-US"/>
        </w:rPr>
        <w:instrText>agents</w:instrText>
      </w:r>
      <w:r w:rsidR="002466C9" w:rsidRPr="00B929AC">
        <w:instrText>.","</w:instrText>
      </w:r>
      <w:r w:rsidR="002466C9">
        <w:rPr>
          <w:lang w:val="en-US"/>
        </w:rPr>
        <w:instrText>author</w:instrText>
      </w:r>
      <w:r w:rsidR="002466C9" w:rsidRPr="00B929AC">
        <w:instrText>":[{"</w:instrText>
      </w:r>
      <w:r w:rsidR="002466C9">
        <w:rPr>
          <w:lang w:val="en-US"/>
        </w:rPr>
        <w:instrText>dropping</w:instrText>
      </w:r>
      <w:r w:rsidR="002466C9" w:rsidRPr="00B929AC">
        <w:instrText>-</w:instrText>
      </w:r>
      <w:r w:rsidR="002466C9">
        <w:rPr>
          <w:lang w:val="en-US"/>
        </w:rPr>
        <w:instrText>particle</w:instrText>
      </w:r>
      <w:r w:rsidR="002466C9" w:rsidRPr="00B929AC">
        <w:instrText>":"","</w:instrText>
      </w:r>
      <w:r w:rsidR="002466C9">
        <w:rPr>
          <w:lang w:val="en-US"/>
        </w:rPr>
        <w:instrText>family</w:instrText>
      </w:r>
      <w:r w:rsidR="002466C9" w:rsidRPr="00B929AC">
        <w:instrText>":"</w:instrText>
      </w:r>
      <w:r w:rsidR="002466C9">
        <w:rPr>
          <w:lang w:val="en-US"/>
        </w:rPr>
        <w:instrText>Bassan</w:instrText>
      </w:r>
      <w:r w:rsidR="002466C9" w:rsidRPr="00B929AC">
        <w:instrText>","</w:instrText>
      </w:r>
      <w:r w:rsidR="002466C9">
        <w:rPr>
          <w:lang w:val="en-US"/>
        </w:rPr>
        <w:instrText>given</w:instrText>
      </w:r>
      <w:r w:rsidR="002466C9" w:rsidRPr="00B929AC">
        <w:instrText>":"</w:instrText>
      </w:r>
      <w:r w:rsidR="002466C9">
        <w:rPr>
          <w:lang w:val="en-US"/>
        </w:rPr>
        <w:instrText>Renato</w:instrText>
      </w:r>
      <w:r w:rsidR="002466C9" w:rsidRPr="00B929AC">
        <w:instrText>","</w:instrText>
      </w:r>
      <w:r w:rsidR="002466C9">
        <w:rPr>
          <w:lang w:val="en-US"/>
        </w:rPr>
        <w:instrText>non</w:instrText>
      </w:r>
      <w:r w:rsidR="002466C9" w:rsidRPr="00B929AC">
        <w:instrText>-</w:instrText>
      </w:r>
      <w:r w:rsidR="002466C9">
        <w:rPr>
          <w:lang w:val="en-US"/>
        </w:rPr>
        <w:instrText>dropping</w:instrText>
      </w:r>
      <w:r w:rsidR="002466C9" w:rsidRPr="00B929AC">
        <w:instrText>-</w:instrText>
      </w:r>
      <w:r w:rsidR="002466C9">
        <w:rPr>
          <w:lang w:val="en-US"/>
        </w:rPr>
        <w:instrText>particle</w:instrText>
      </w:r>
      <w:r w:rsidR="002466C9" w:rsidRPr="00B929AC">
        <w:instrText>":"","</w:instrText>
      </w:r>
      <w:r w:rsidR="002466C9">
        <w:rPr>
          <w:lang w:val="en-US"/>
        </w:rPr>
        <w:instrText>parse</w:instrText>
      </w:r>
      <w:r w:rsidR="002466C9" w:rsidRPr="00B929AC">
        <w:instrText>-</w:instrText>
      </w:r>
      <w:r w:rsidR="002466C9">
        <w:rPr>
          <w:lang w:val="en-US"/>
        </w:rPr>
        <w:instrText>names</w:instrText>
      </w:r>
      <w:r w:rsidR="002466C9" w:rsidRPr="00B929AC">
        <w:instrText>":</w:instrText>
      </w:r>
      <w:r w:rsidR="002466C9">
        <w:rPr>
          <w:lang w:val="en-US"/>
        </w:rPr>
        <w:instrText>false</w:instrText>
      </w:r>
      <w:r w:rsidR="002466C9" w:rsidRPr="00B929AC">
        <w:instrText>,"</w:instrText>
      </w:r>
      <w:r w:rsidR="002466C9">
        <w:rPr>
          <w:lang w:val="en-US"/>
        </w:rPr>
        <w:instrText>suffix</w:instrText>
      </w:r>
      <w:r w:rsidR="002466C9" w:rsidRPr="00B929AC">
        <w:instrText>":""},{"</w:instrText>
      </w:r>
      <w:r w:rsidR="002466C9">
        <w:rPr>
          <w:lang w:val="en-US"/>
        </w:rPr>
        <w:instrText>dropping</w:instrText>
      </w:r>
      <w:r w:rsidR="002466C9" w:rsidRPr="00B929AC">
        <w:instrText>-</w:instrText>
      </w:r>
      <w:r w:rsidR="002466C9">
        <w:rPr>
          <w:lang w:val="en-US"/>
        </w:rPr>
        <w:instrText>particle</w:instrText>
      </w:r>
      <w:r w:rsidR="002466C9" w:rsidRPr="00B929AC">
        <w:instrText>":"","</w:instrText>
      </w:r>
      <w:r w:rsidR="002466C9">
        <w:rPr>
          <w:lang w:val="en-US"/>
        </w:rPr>
        <w:instrText>family</w:instrText>
      </w:r>
      <w:r w:rsidR="002466C9" w:rsidRPr="00B929AC">
        <w:instrText>":"</w:instrText>
      </w:r>
      <w:r w:rsidR="002466C9">
        <w:rPr>
          <w:lang w:val="en-US"/>
        </w:rPr>
        <w:instrText>Maino</w:instrText>
      </w:r>
      <w:r w:rsidR="002466C9" w:rsidRPr="00B929AC">
        <w:instrText>","</w:instrText>
      </w:r>
      <w:r w:rsidR="002466C9">
        <w:rPr>
          <w:lang w:val="en-US"/>
        </w:rPr>
        <w:instrText>given</w:instrText>
      </w:r>
      <w:r w:rsidR="002466C9" w:rsidRPr="00B929AC">
        <w:instrText>":"</w:instrText>
      </w:r>
      <w:r w:rsidR="002466C9">
        <w:rPr>
          <w:lang w:val="en-US"/>
        </w:rPr>
        <w:instrText>Elena</w:instrText>
      </w:r>
      <w:r w:rsidR="002466C9" w:rsidRPr="00B929AC">
        <w:instrText>","</w:instrText>
      </w:r>
      <w:r w:rsidR="002466C9">
        <w:rPr>
          <w:lang w:val="en-US"/>
        </w:rPr>
        <w:instrText>non</w:instrText>
      </w:r>
      <w:r w:rsidR="002466C9" w:rsidRPr="00B929AC">
        <w:instrText>-</w:instrText>
      </w:r>
      <w:r w:rsidR="002466C9">
        <w:rPr>
          <w:lang w:val="en-US"/>
        </w:rPr>
        <w:instrText>dropping</w:instrText>
      </w:r>
      <w:r w:rsidR="002466C9" w:rsidRPr="00B929AC">
        <w:instrText>-</w:instrText>
      </w:r>
      <w:r w:rsidR="002466C9">
        <w:rPr>
          <w:lang w:val="en-US"/>
        </w:rPr>
        <w:instrText>particle</w:instrText>
      </w:r>
      <w:r w:rsidR="002466C9" w:rsidRPr="00B929AC">
        <w:instrText>":"","</w:instrText>
      </w:r>
      <w:r w:rsidR="002466C9">
        <w:rPr>
          <w:lang w:val="en-US"/>
        </w:rPr>
        <w:instrText>parse</w:instrText>
      </w:r>
      <w:r w:rsidR="002466C9" w:rsidRPr="00B929AC">
        <w:instrText>-</w:instrText>
      </w:r>
      <w:r w:rsidR="002466C9">
        <w:rPr>
          <w:lang w:val="en-US"/>
        </w:rPr>
        <w:instrText>names</w:instrText>
      </w:r>
      <w:r w:rsidR="002466C9" w:rsidRPr="00B929AC">
        <w:instrText>":</w:instrText>
      </w:r>
      <w:r w:rsidR="002466C9">
        <w:rPr>
          <w:lang w:val="en-US"/>
        </w:rPr>
        <w:instrText>false</w:instrText>
      </w:r>
      <w:r w:rsidR="002466C9" w:rsidRPr="00B929AC">
        <w:instrText>,"</w:instrText>
      </w:r>
      <w:r w:rsidR="002466C9">
        <w:rPr>
          <w:lang w:val="en-US"/>
        </w:rPr>
        <w:instrText>suffix</w:instrText>
      </w:r>
      <w:r w:rsidR="002466C9" w:rsidRPr="00B929AC">
        <w:instrText>":""},{"</w:instrText>
      </w:r>
      <w:r w:rsidR="002466C9">
        <w:rPr>
          <w:lang w:val="en-US"/>
        </w:rPr>
        <w:instrText>dropping</w:instrText>
      </w:r>
      <w:r w:rsidR="002466C9" w:rsidRPr="00B929AC">
        <w:instrText>-</w:instrText>
      </w:r>
      <w:r w:rsidR="002466C9">
        <w:rPr>
          <w:lang w:val="en-US"/>
        </w:rPr>
        <w:instrText>particle</w:instrText>
      </w:r>
      <w:r w:rsidR="002466C9" w:rsidRPr="00B929AC">
        <w:instrText>":"","</w:instrText>
      </w:r>
      <w:r w:rsidR="002466C9">
        <w:rPr>
          <w:lang w:val="en-US"/>
        </w:rPr>
        <w:instrText>family</w:instrText>
      </w:r>
      <w:r w:rsidR="002466C9" w:rsidRPr="00B929AC">
        <w:instrText>":"</w:instrText>
      </w:r>
      <w:r w:rsidR="002466C9">
        <w:rPr>
          <w:lang w:val="en-US"/>
        </w:rPr>
        <w:instrText>Cortelazzo</w:instrText>
      </w:r>
      <w:r w:rsidR="002466C9" w:rsidRPr="00B929AC">
        <w:instrText>","</w:instrText>
      </w:r>
      <w:r w:rsidR="002466C9">
        <w:rPr>
          <w:lang w:val="en-US"/>
        </w:rPr>
        <w:instrText>given</w:instrText>
      </w:r>
      <w:r w:rsidR="002466C9" w:rsidRPr="00B929AC">
        <w:instrText>":"</w:instrText>
      </w:r>
      <w:r w:rsidR="002466C9">
        <w:rPr>
          <w:lang w:val="en-US"/>
        </w:rPr>
        <w:instrText>Sergio</w:instrText>
      </w:r>
      <w:r w:rsidR="002466C9" w:rsidRPr="00B929AC">
        <w:instrText>","</w:instrText>
      </w:r>
      <w:r w:rsidR="002466C9">
        <w:rPr>
          <w:lang w:val="en-US"/>
        </w:rPr>
        <w:instrText>non</w:instrText>
      </w:r>
      <w:r w:rsidR="002466C9" w:rsidRPr="00B929AC">
        <w:instrText>-</w:instrText>
      </w:r>
      <w:r w:rsidR="002466C9">
        <w:rPr>
          <w:lang w:val="en-US"/>
        </w:rPr>
        <w:instrText>dropping</w:instrText>
      </w:r>
      <w:r w:rsidR="002466C9" w:rsidRPr="00B929AC">
        <w:instrText>-</w:instrText>
      </w:r>
      <w:r w:rsidR="002466C9">
        <w:rPr>
          <w:lang w:val="en-US"/>
        </w:rPr>
        <w:instrText>particle</w:instrText>
      </w:r>
      <w:r w:rsidR="002466C9" w:rsidRPr="00B929AC">
        <w:instrText>":"","</w:instrText>
      </w:r>
      <w:r w:rsidR="002466C9">
        <w:rPr>
          <w:lang w:val="en-US"/>
        </w:rPr>
        <w:instrText>parse</w:instrText>
      </w:r>
      <w:r w:rsidR="002466C9" w:rsidRPr="00B929AC">
        <w:instrText>-</w:instrText>
      </w:r>
      <w:r w:rsidR="002466C9">
        <w:rPr>
          <w:lang w:val="en-US"/>
        </w:rPr>
        <w:instrText>names</w:instrText>
      </w:r>
      <w:r w:rsidR="002466C9" w:rsidRPr="00B929AC">
        <w:instrText>":</w:instrText>
      </w:r>
      <w:r w:rsidR="002466C9">
        <w:rPr>
          <w:lang w:val="en-US"/>
        </w:rPr>
        <w:instrText>false</w:instrText>
      </w:r>
      <w:r w:rsidR="002466C9" w:rsidRPr="00B929AC">
        <w:instrText>,"</w:instrText>
      </w:r>
      <w:r w:rsidR="002466C9">
        <w:rPr>
          <w:lang w:val="en-US"/>
        </w:rPr>
        <w:instrText>suffix</w:instrText>
      </w:r>
      <w:r w:rsidR="002466C9" w:rsidRPr="00B929AC">
        <w:instrText>":""}],"</w:instrText>
      </w:r>
      <w:r w:rsidR="002466C9">
        <w:rPr>
          <w:lang w:val="en-US"/>
        </w:rPr>
        <w:instrText>container</w:instrText>
      </w:r>
      <w:r w:rsidR="002466C9" w:rsidRPr="00B929AC">
        <w:instrText>-</w:instrText>
      </w:r>
      <w:r w:rsidR="002466C9">
        <w:rPr>
          <w:lang w:val="en-US"/>
        </w:rPr>
        <w:instrText>title</w:instrText>
      </w:r>
      <w:r w:rsidR="002466C9" w:rsidRPr="00B929AC">
        <w:instrText>":"</w:instrText>
      </w:r>
      <w:r w:rsidR="002466C9">
        <w:rPr>
          <w:lang w:val="en-US"/>
        </w:rPr>
        <w:instrText>European</w:instrText>
      </w:r>
      <w:r w:rsidR="002466C9" w:rsidRPr="00B929AC">
        <w:instrText xml:space="preserve"> </w:instrText>
      </w:r>
      <w:r w:rsidR="002466C9">
        <w:rPr>
          <w:lang w:val="en-US"/>
        </w:rPr>
        <w:instrText>journal</w:instrText>
      </w:r>
      <w:r w:rsidR="002466C9" w:rsidRPr="00B929AC">
        <w:instrText xml:space="preserve"> </w:instrText>
      </w:r>
      <w:r w:rsidR="002466C9">
        <w:rPr>
          <w:lang w:val="en-US"/>
        </w:rPr>
        <w:instrText>of</w:instrText>
      </w:r>
      <w:r w:rsidR="002466C9" w:rsidRPr="00B929AC">
        <w:instrText xml:space="preserve"> </w:instrText>
      </w:r>
      <w:r w:rsidR="002466C9">
        <w:rPr>
          <w:lang w:val="en-US"/>
        </w:rPr>
        <w:instrText>haematology</w:instrText>
      </w:r>
      <w:r w:rsidR="002466C9" w:rsidRPr="00B929AC">
        <w:instrText>","</w:instrText>
      </w:r>
      <w:r w:rsidR="002466C9">
        <w:rPr>
          <w:lang w:val="en-US"/>
        </w:rPr>
        <w:instrText>id</w:instrText>
      </w:r>
      <w:r w:rsidR="002466C9" w:rsidRPr="00B929AC">
        <w:instrText>":"</w:instrText>
      </w:r>
      <w:r w:rsidR="002466C9">
        <w:rPr>
          <w:lang w:val="en-US"/>
        </w:rPr>
        <w:instrText>ITEM</w:instrText>
      </w:r>
      <w:r w:rsidR="002466C9" w:rsidRPr="00B929AC">
        <w:instrText>-1","</w:instrText>
      </w:r>
      <w:r w:rsidR="002466C9">
        <w:rPr>
          <w:lang w:val="en-US"/>
        </w:rPr>
        <w:instrText>issue</w:instrText>
      </w:r>
      <w:r w:rsidR="002466C9" w:rsidRPr="00B929AC">
        <w:instrText>":"5","</w:instrText>
      </w:r>
      <w:r w:rsidR="002466C9">
        <w:rPr>
          <w:lang w:val="en-US"/>
        </w:rPr>
        <w:instrText>issued</w:instrText>
      </w:r>
      <w:r w:rsidR="002466C9" w:rsidRPr="00B929AC">
        <w:instrText>":{"</w:instrText>
      </w:r>
      <w:r w:rsidR="002466C9">
        <w:rPr>
          <w:lang w:val="en-US"/>
        </w:rPr>
        <w:instrText>date</w:instrText>
      </w:r>
      <w:r w:rsidR="002466C9" w:rsidRPr="00B929AC">
        <w:instrText>-</w:instrText>
      </w:r>
      <w:r w:rsidR="002466C9">
        <w:rPr>
          <w:lang w:val="en-US"/>
        </w:rPr>
        <w:instrText>parts</w:instrText>
      </w:r>
      <w:r w:rsidR="002466C9" w:rsidRPr="00B929AC">
        <w:instrText>":[["2016","5"]]},"</w:instrText>
      </w:r>
      <w:r w:rsidR="002466C9">
        <w:rPr>
          <w:lang w:val="en-US"/>
        </w:rPr>
        <w:instrText>page</w:instrText>
      </w:r>
      <w:r w:rsidR="002466C9" w:rsidRPr="00B929AC">
        <w:instrText>":"447-60","</w:instrText>
      </w:r>
      <w:r w:rsidR="002466C9">
        <w:rPr>
          <w:lang w:val="en-US"/>
        </w:rPr>
        <w:instrText>title</w:instrText>
      </w:r>
      <w:r w:rsidR="002466C9" w:rsidRPr="00B929AC">
        <w:instrText>":"</w:instrText>
      </w:r>
      <w:r w:rsidR="002466C9">
        <w:rPr>
          <w:lang w:val="en-US"/>
        </w:rPr>
        <w:instrText>Lymphoblastic</w:instrText>
      </w:r>
      <w:r w:rsidR="002466C9" w:rsidRPr="00B929AC">
        <w:instrText xml:space="preserve"> </w:instrText>
      </w:r>
      <w:r w:rsidR="002466C9">
        <w:rPr>
          <w:lang w:val="en-US"/>
        </w:rPr>
        <w:instrText>lymphoma</w:instrText>
      </w:r>
      <w:r w:rsidR="002466C9" w:rsidRPr="00B929AC">
        <w:instrText xml:space="preserve">: </w:instrText>
      </w:r>
      <w:r w:rsidR="002466C9">
        <w:rPr>
          <w:lang w:val="en-US"/>
        </w:rPr>
        <w:instrText>an</w:instrText>
      </w:r>
      <w:r w:rsidR="002466C9" w:rsidRPr="00B929AC">
        <w:instrText xml:space="preserve"> </w:instrText>
      </w:r>
      <w:r w:rsidR="002466C9">
        <w:rPr>
          <w:lang w:val="en-US"/>
        </w:rPr>
        <w:instrText>updated</w:instrText>
      </w:r>
      <w:r w:rsidR="002466C9" w:rsidRPr="00B929AC">
        <w:instrText xml:space="preserve"> </w:instrText>
      </w:r>
      <w:r w:rsidR="002466C9">
        <w:rPr>
          <w:lang w:val="en-US"/>
        </w:rPr>
        <w:instrText>review</w:instrText>
      </w:r>
      <w:r w:rsidR="002466C9" w:rsidRPr="00B929AC">
        <w:instrText xml:space="preserve"> </w:instrText>
      </w:r>
      <w:r w:rsidR="002466C9">
        <w:rPr>
          <w:lang w:val="en-US"/>
        </w:rPr>
        <w:instrText>on</w:instrText>
      </w:r>
      <w:r w:rsidR="002466C9" w:rsidRPr="00B929AC">
        <w:instrText xml:space="preserve"> </w:instrText>
      </w:r>
      <w:r w:rsidR="002466C9">
        <w:rPr>
          <w:lang w:val="en-US"/>
        </w:rPr>
        <w:instrText>biology</w:instrText>
      </w:r>
      <w:r w:rsidR="002466C9" w:rsidRPr="00B929AC">
        <w:instrText xml:space="preserve">, </w:instrText>
      </w:r>
      <w:r w:rsidR="002466C9">
        <w:rPr>
          <w:lang w:val="en-US"/>
        </w:rPr>
        <w:instrText>diagnosis</w:instrText>
      </w:r>
      <w:r w:rsidR="002466C9" w:rsidRPr="00B929AC">
        <w:instrText xml:space="preserve">, </w:instrText>
      </w:r>
      <w:r w:rsidR="002466C9">
        <w:rPr>
          <w:lang w:val="en-US"/>
        </w:rPr>
        <w:instrText>and</w:instrText>
      </w:r>
      <w:r w:rsidR="002466C9" w:rsidRPr="00B929AC">
        <w:instrText xml:space="preserve"> </w:instrText>
      </w:r>
      <w:r w:rsidR="002466C9">
        <w:rPr>
          <w:lang w:val="en-US"/>
        </w:rPr>
        <w:instrText>treatment</w:instrText>
      </w:r>
      <w:r w:rsidR="002466C9" w:rsidRPr="00B929AC">
        <w:instrText>.","</w:instrText>
      </w:r>
      <w:r w:rsidR="002466C9">
        <w:rPr>
          <w:lang w:val="en-US"/>
        </w:rPr>
        <w:instrText>type</w:instrText>
      </w:r>
      <w:r w:rsidR="002466C9" w:rsidRPr="00B929AC">
        <w:instrText>":"</w:instrText>
      </w:r>
      <w:r w:rsidR="002466C9">
        <w:rPr>
          <w:lang w:val="en-US"/>
        </w:rPr>
        <w:instrText>article</w:instrText>
      </w:r>
      <w:r w:rsidR="002466C9" w:rsidRPr="00B929AC">
        <w:instrText>-</w:instrText>
      </w:r>
      <w:r w:rsidR="002466C9">
        <w:rPr>
          <w:lang w:val="en-US"/>
        </w:rPr>
        <w:instrText>journal</w:instrText>
      </w:r>
      <w:r w:rsidR="002466C9" w:rsidRPr="00B929AC">
        <w:instrText>","</w:instrText>
      </w:r>
      <w:r w:rsidR="002466C9">
        <w:rPr>
          <w:lang w:val="en-US"/>
        </w:rPr>
        <w:instrText>volume</w:instrText>
      </w:r>
      <w:r w:rsidR="002466C9" w:rsidRPr="00B929AC">
        <w:instrText>":"96"},"</w:instrText>
      </w:r>
      <w:r w:rsidR="002466C9">
        <w:rPr>
          <w:lang w:val="en-US"/>
        </w:rPr>
        <w:instrText>uris</w:instrText>
      </w:r>
      <w:r w:rsidR="002466C9" w:rsidRPr="00B929AC">
        <w:instrText>":["</w:instrText>
      </w:r>
      <w:r w:rsidR="002466C9">
        <w:rPr>
          <w:lang w:val="en-US"/>
        </w:rPr>
        <w:instrText>http</w:instrText>
      </w:r>
      <w:r w:rsidR="002466C9" w:rsidRPr="00B929AC">
        <w:instrText>://</w:instrText>
      </w:r>
      <w:r w:rsidR="002466C9">
        <w:rPr>
          <w:lang w:val="en-US"/>
        </w:rPr>
        <w:instrText>www</w:instrText>
      </w:r>
      <w:r w:rsidR="002466C9" w:rsidRPr="00B929AC">
        <w:instrText>.</w:instrText>
      </w:r>
      <w:r w:rsidR="002466C9">
        <w:rPr>
          <w:lang w:val="en-US"/>
        </w:rPr>
        <w:instrText>mendeley</w:instrText>
      </w:r>
      <w:r w:rsidR="002466C9" w:rsidRPr="00B929AC">
        <w:instrText>.</w:instrText>
      </w:r>
      <w:r w:rsidR="002466C9">
        <w:rPr>
          <w:lang w:val="en-US"/>
        </w:rPr>
        <w:instrText>com</w:instrText>
      </w:r>
      <w:r w:rsidR="002466C9" w:rsidRPr="00B929AC">
        <w:instrText>/</w:instrText>
      </w:r>
      <w:r w:rsidR="002466C9">
        <w:rPr>
          <w:lang w:val="en-US"/>
        </w:rPr>
        <w:instrText>documents</w:instrText>
      </w:r>
      <w:r w:rsidR="002466C9" w:rsidRPr="00B929AC">
        <w:instrText>/?</w:instrText>
      </w:r>
      <w:r w:rsidR="002466C9">
        <w:rPr>
          <w:lang w:val="en-US"/>
        </w:rPr>
        <w:instrText>uuid</w:instrText>
      </w:r>
      <w:r w:rsidR="002466C9" w:rsidRPr="00B929AC">
        <w:instrText>=7</w:instrText>
      </w:r>
      <w:r w:rsidR="002466C9">
        <w:rPr>
          <w:lang w:val="en-US"/>
        </w:rPr>
        <w:instrText>feba</w:instrText>
      </w:r>
      <w:r w:rsidR="002466C9" w:rsidRPr="00B929AC">
        <w:instrText>565-014</w:instrText>
      </w:r>
      <w:r w:rsidR="002466C9">
        <w:rPr>
          <w:lang w:val="en-US"/>
        </w:rPr>
        <w:instrText>f</w:instrText>
      </w:r>
      <w:r w:rsidR="002466C9" w:rsidRPr="00B929AC">
        <w:instrText>-3600-86</w:instrText>
      </w:r>
      <w:r w:rsidR="002466C9">
        <w:rPr>
          <w:lang w:val="en-US"/>
        </w:rPr>
        <w:instrText>ec</w:instrText>
      </w:r>
      <w:r w:rsidR="002466C9" w:rsidRPr="00B929AC">
        <w:instrText>-0963</w:instrText>
      </w:r>
      <w:r w:rsidR="002466C9">
        <w:rPr>
          <w:lang w:val="en-US"/>
        </w:rPr>
        <w:instrText>b</w:instrText>
      </w:r>
      <w:r w:rsidR="002466C9" w:rsidRPr="00B929AC">
        <w:instrText>3</w:instrText>
      </w:r>
      <w:r w:rsidR="002466C9">
        <w:rPr>
          <w:lang w:val="en-US"/>
        </w:rPr>
        <w:instrText>e</w:instrText>
      </w:r>
      <w:r w:rsidR="002466C9" w:rsidRPr="00B929AC">
        <w:instrText>847</w:instrText>
      </w:r>
      <w:r w:rsidR="002466C9">
        <w:rPr>
          <w:lang w:val="en-US"/>
        </w:rPr>
        <w:instrText>bb</w:instrText>
      </w:r>
      <w:r w:rsidR="002466C9" w:rsidRPr="00B929AC">
        <w:instrText>"]}],"</w:instrText>
      </w:r>
      <w:r w:rsidR="002466C9">
        <w:rPr>
          <w:lang w:val="en-US"/>
        </w:rPr>
        <w:instrText>mendeley</w:instrText>
      </w:r>
      <w:r w:rsidR="002466C9" w:rsidRPr="00B929AC">
        <w:instrText>":{"</w:instrText>
      </w:r>
      <w:r w:rsidR="002466C9">
        <w:rPr>
          <w:lang w:val="en-US"/>
        </w:rPr>
        <w:instrText>formattedCitation</w:instrText>
      </w:r>
      <w:r w:rsidR="002466C9" w:rsidRPr="00B929AC">
        <w:instrText>":"[13]","</w:instrText>
      </w:r>
      <w:r w:rsidR="002466C9">
        <w:rPr>
          <w:lang w:val="en-US"/>
        </w:rPr>
        <w:instrText>plainTextFormattedCitation</w:instrText>
      </w:r>
      <w:r w:rsidR="002466C9" w:rsidRPr="00B929AC">
        <w:instrText>":"[13]","</w:instrText>
      </w:r>
      <w:r w:rsidR="002466C9">
        <w:rPr>
          <w:lang w:val="en-US"/>
        </w:rPr>
        <w:instrText>previouslyFormattedCitation</w:instrText>
      </w:r>
      <w:r w:rsidR="002466C9" w:rsidRPr="00B929AC">
        <w:instrText>":"[13]"},"</w:instrText>
      </w:r>
      <w:r w:rsidR="002466C9">
        <w:rPr>
          <w:lang w:val="en-US"/>
        </w:rPr>
        <w:instrText>properties</w:instrText>
      </w:r>
      <w:r w:rsidR="002466C9" w:rsidRPr="00B929AC">
        <w:instrText>":{"</w:instrText>
      </w:r>
      <w:r w:rsidR="002466C9">
        <w:rPr>
          <w:lang w:val="en-US"/>
        </w:rPr>
        <w:instrText>noteIndex</w:instrText>
      </w:r>
      <w:r w:rsidR="002466C9" w:rsidRPr="00B929AC">
        <w:instrText>":0},"</w:instrText>
      </w:r>
      <w:r w:rsidR="002466C9">
        <w:rPr>
          <w:lang w:val="en-US"/>
        </w:rPr>
        <w:instrText>schema</w:instrText>
      </w:r>
      <w:r w:rsidR="002466C9" w:rsidRPr="00B929AC">
        <w:instrText>":"</w:instrText>
      </w:r>
      <w:r w:rsidR="002466C9">
        <w:rPr>
          <w:lang w:val="en-US"/>
        </w:rPr>
        <w:instrText>https</w:instrText>
      </w:r>
      <w:r w:rsidR="002466C9" w:rsidRPr="00B929AC">
        <w:instrText>://</w:instrText>
      </w:r>
      <w:r w:rsidR="002466C9">
        <w:rPr>
          <w:lang w:val="en-US"/>
        </w:rPr>
        <w:instrText>github</w:instrText>
      </w:r>
      <w:r w:rsidR="002466C9" w:rsidRPr="00B929AC">
        <w:instrText>.</w:instrText>
      </w:r>
      <w:r w:rsidR="002466C9">
        <w:rPr>
          <w:lang w:val="en-US"/>
        </w:rPr>
        <w:instrText>com</w:instrText>
      </w:r>
      <w:r w:rsidR="002466C9" w:rsidRPr="00B929AC">
        <w:instrText>/</w:instrText>
      </w:r>
      <w:r w:rsidR="002466C9">
        <w:rPr>
          <w:lang w:val="en-US"/>
        </w:rPr>
        <w:instrText>citation</w:instrText>
      </w:r>
      <w:r w:rsidR="002466C9" w:rsidRPr="00B929AC">
        <w:instrText>-</w:instrText>
      </w:r>
      <w:r w:rsidR="002466C9">
        <w:rPr>
          <w:lang w:val="en-US"/>
        </w:rPr>
        <w:instrText>style</w:instrText>
      </w:r>
      <w:r w:rsidR="002466C9" w:rsidRPr="00B929AC">
        <w:instrText>-</w:instrText>
      </w:r>
      <w:r w:rsidR="002466C9">
        <w:rPr>
          <w:lang w:val="en-US"/>
        </w:rPr>
        <w:instrText>language</w:instrText>
      </w:r>
      <w:r w:rsidR="002466C9" w:rsidRPr="00B929AC">
        <w:instrText>/</w:instrText>
      </w:r>
      <w:r w:rsidR="002466C9">
        <w:rPr>
          <w:lang w:val="en-US"/>
        </w:rPr>
        <w:instrText>schema</w:instrText>
      </w:r>
      <w:r w:rsidR="002466C9" w:rsidRPr="00B929AC">
        <w:instrText>/</w:instrText>
      </w:r>
      <w:r w:rsidR="002466C9">
        <w:rPr>
          <w:lang w:val="en-US"/>
        </w:rPr>
        <w:instrText>raw</w:instrText>
      </w:r>
      <w:r w:rsidR="002466C9" w:rsidRPr="00B929AC">
        <w:instrText>/</w:instrText>
      </w:r>
      <w:r w:rsidR="002466C9">
        <w:rPr>
          <w:lang w:val="en-US"/>
        </w:rPr>
        <w:instrText>master</w:instrText>
      </w:r>
      <w:r w:rsidR="002466C9" w:rsidRPr="00B929AC">
        <w:instrText>/</w:instrText>
      </w:r>
      <w:r w:rsidR="002466C9">
        <w:rPr>
          <w:lang w:val="en-US"/>
        </w:rPr>
        <w:instrText>csl</w:instrText>
      </w:r>
      <w:r w:rsidR="002466C9" w:rsidRPr="00B929AC">
        <w:instrText>-</w:instrText>
      </w:r>
      <w:r w:rsidR="002466C9">
        <w:rPr>
          <w:lang w:val="en-US"/>
        </w:rPr>
        <w:instrText>citation</w:instrText>
      </w:r>
      <w:r w:rsidR="002466C9" w:rsidRPr="00B929AC">
        <w:instrText>.</w:instrText>
      </w:r>
      <w:r w:rsidR="002466C9">
        <w:rPr>
          <w:lang w:val="en-US"/>
        </w:rPr>
        <w:instrText>json</w:instrText>
      </w:r>
      <w:r w:rsidR="002466C9" w:rsidRPr="00B929AC">
        <w:instrText>"}</w:instrText>
      </w:r>
      <w:r w:rsidR="004F4A8D">
        <w:rPr>
          <w:lang w:val="en-US"/>
        </w:rPr>
        <w:fldChar w:fldCharType="separate"/>
      </w:r>
      <w:r w:rsidR="00A66456" w:rsidRPr="00A66456">
        <w:rPr>
          <w:noProof/>
        </w:rPr>
        <w:t>[13]</w:t>
      </w:r>
      <w:r w:rsidR="004F4A8D">
        <w:rPr>
          <w:lang w:val="en-US"/>
        </w:rPr>
        <w:fldChar w:fldCharType="end"/>
      </w:r>
      <w:r w:rsidR="004F4A8D">
        <w:t>.</w:t>
      </w:r>
    </w:p>
    <w:p w14:paraId="015753E5" w14:textId="77777777" w:rsidR="00254823" w:rsidRPr="00DE30A1" w:rsidRDefault="00254823" w:rsidP="008B7E05">
      <w:pPr>
        <w:ind w:firstLine="709"/>
        <w:contextualSpacing/>
        <w:rPr>
          <w:b/>
          <w:color w:val="000000"/>
        </w:rPr>
      </w:pPr>
      <w:r w:rsidRPr="00617969">
        <w:rPr>
          <w:b/>
          <w:color w:val="000000"/>
        </w:rPr>
        <w:t>Урове</w:t>
      </w:r>
      <w:r>
        <w:rPr>
          <w:b/>
          <w:color w:val="000000"/>
        </w:rPr>
        <w:t xml:space="preserve">нь убедительности рекомендаций </w:t>
      </w:r>
      <w:r w:rsidR="00043560">
        <w:rPr>
          <w:b/>
          <w:color w:val="000000"/>
        </w:rPr>
        <w:t xml:space="preserve">– </w:t>
      </w:r>
      <w:r w:rsidR="007607D3">
        <w:rPr>
          <w:b/>
          <w:color w:val="000000"/>
        </w:rPr>
        <w:t>С</w:t>
      </w:r>
      <w:r w:rsidR="007607D3" w:rsidRPr="00617969">
        <w:rPr>
          <w:b/>
          <w:color w:val="000000"/>
        </w:rPr>
        <w:t xml:space="preserve"> </w:t>
      </w:r>
      <w:r w:rsidRPr="00617969">
        <w:rPr>
          <w:b/>
          <w:color w:val="000000"/>
        </w:rPr>
        <w:t>(уровень</w:t>
      </w:r>
      <w:r>
        <w:rPr>
          <w:b/>
          <w:color w:val="000000"/>
        </w:rPr>
        <w:t xml:space="preserve"> достоверности доказательств – </w:t>
      </w:r>
      <w:r w:rsidR="007607D3">
        <w:rPr>
          <w:b/>
          <w:color w:val="000000"/>
        </w:rPr>
        <w:t>5</w:t>
      </w:r>
      <w:r w:rsidR="008B7E05">
        <w:rPr>
          <w:b/>
          <w:color w:val="000000"/>
        </w:rPr>
        <w:t>)</w:t>
      </w:r>
      <w:r w:rsidR="00043560">
        <w:rPr>
          <w:b/>
          <w:color w:val="000000"/>
        </w:rPr>
        <w:t>.</w:t>
      </w:r>
    </w:p>
    <w:p w14:paraId="0E3A17BD" w14:textId="77777777" w:rsidR="00254823" w:rsidRPr="00595DE4" w:rsidRDefault="00254823" w:rsidP="00956D03">
      <w:pPr>
        <w:numPr>
          <w:ilvl w:val="0"/>
          <w:numId w:val="6"/>
        </w:numPr>
        <w:shd w:val="clear" w:color="auto" w:fill="FFFFFF"/>
        <w:tabs>
          <w:tab w:val="left" w:pos="192"/>
        </w:tabs>
      </w:pPr>
      <w:r w:rsidRPr="000D3705">
        <w:rPr>
          <w:b/>
        </w:rPr>
        <w:t>Рекомендуется</w:t>
      </w:r>
      <w:r w:rsidRPr="000D3705">
        <w:t xml:space="preserve"> всем пациентам выполнить</w:t>
      </w:r>
      <w:r w:rsidR="00EB4B65">
        <w:t xml:space="preserve"> </w:t>
      </w:r>
      <w:r w:rsidR="00EB4B65" w:rsidRPr="00EB4B65">
        <w:t>дистанционн</w:t>
      </w:r>
      <w:r w:rsidR="00EB4B65">
        <w:t>ую</w:t>
      </w:r>
      <w:r w:rsidR="00EB4B65" w:rsidRPr="00EB4B65">
        <w:t xml:space="preserve"> лучев</w:t>
      </w:r>
      <w:r w:rsidR="00EB4B65">
        <w:t>ую</w:t>
      </w:r>
      <w:r w:rsidR="00EB4B65" w:rsidRPr="00EB4B65">
        <w:t xml:space="preserve"> терапи</w:t>
      </w:r>
      <w:r w:rsidR="00EB4B65">
        <w:t>ю</w:t>
      </w:r>
      <w:r w:rsidR="00EB4B65" w:rsidRPr="00EB4B65">
        <w:t xml:space="preserve"> при поражении средостения</w:t>
      </w:r>
      <w:r w:rsidRPr="000D3705">
        <w:t xml:space="preserve"> в дозе 36 Гр в конце консолидации или после ауто</w:t>
      </w:r>
      <w:r w:rsidR="00780B99" w:rsidRPr="000D3705">
        <w:t>-</w:t>
      </w:r>
      <w:r w:rsidR="00F33796" w:rsidRPr="000D3705">
        <w:t>ТГСК</w:t>
      </w:r>
      <w:r w:rsidRPr="000D3705">
        <w:t>, если размеры средостения после выполнения всех этапов консолидации остаются увеличенными (3 см и более)</w:t>
      </w:r>
      <w:r w:rsidR="00043560" w:rsidRPr="000D3705">
        <w:t xml:space="preserve"> </w:t>
      </w:r>
      <w:r w:rsidR="003B27D9">
        <w:fldChar w:fldCharType="begin" w:fldLock="1"/>
      </w:r>
      <w:r w:rsidR="003B27D9">
        <w:instrText>ADDIN CSL_CITATION {"citationItems":[{"id":"ITEM-1","itemData":{"id":"ITEM-1","issued":{"date-parts":[["2012"]]},"number-of-pages":"1056","title":"Программное лечение заболеваний системы крови: Сборник алгоритмов диагностики и протоколов лечения заболеваний системы крови. Под ред. В.Г. Савченко","type":"book"},"uris":["http://www.mendeley.com/documents/?uuid=36484a90-27ae-40a9-a194-b0461fb47d9d"]},{"id":"ITEM-2","itemData":{"author":[{"dropping-particle":"","family":"Савченко","given":"Валерий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доп.","id":"ITEM-2","issued":{"date-parts":[["2007"]]},"page":"409-502","title":"Острые лейкозы","type":"chapter"},"uris":["http://www.mendeley.com/documents/?uuid=08f85f58-ddaa-48eb-b937-65d15d14b213"]},{"id":"ITEM-3","itemData":{"author":[{"dropping-particle":"","family":"Brown","given":"Patrick A","non-dropping-particle":"","parse-names":false,"suffix":""},{"dropping-particle":"","family":"Shah","given":"Bijal","non-dropping-particle":"","parse-names":false,"suffix":""},{"dropping-particle":"","family":"Advani","given":"Anjali","non-dropping-particle":"","parse-names":false,"suffix":""},{"dropping-particle":"","family":"Aoun","given":"Patricia","non-dropping-particle":"","parse-names":false,"suffix":""},{"dropping-particle":"","family":"Bhatnagar","given":"Bhavana","non-dropping-particle":"","parse-names":false,"suffix":""},{"dropping-particle":"","family":"Boyer","given":"Michael W","non-dropping-particle":"","parse-names":false,"suffix":""},{"dropping-particle":"","family":"Bryan","given":"Teresa","non-dropping-particle":"","parse-names":false,"suffix":""},{"dropping-particle":"","family":"Burke","given":"Patrick W","non-dropping-particle":"","parse-names":false,"suffix":""},{"dropping-particle":"","family":"Cassaday","given":"Ryan D","non-dropping-particle":"","parse-names":false,"suffix":""},{"dropping-particle":"","family":"Coutre","given":"Steven E","non-dropping-particle":"","parse-names":false,"suffix":""},{"dropping-particle":"","family":"Coccia","given":"Peter F","non-dropping-particle":"","parse-names":false,"suffix":""},{"dropping-particle":"","family":"DeAngelo","given":"Daniel J","non-dropping-particle":"","parse-names":false,"suffix":""},{"dropping-particle":"","family":"Fathi","given":"Amir","non-dropping-particle":"","parse-names":false,"suffix":""},{"dropping-particle":"","family":"Jain","given":"Nitin","non-dropping-particle":"","parse-names":false,"suffix":""},{"dropping-particle":"","family":"Kirby","given":"Suzanne","non-dropping-particle":"","parse-names":false,"suffix":""},{"dropping-particle":"","family":"Litzow","given":"Mark","non-dropping-particle":"","parse-names":false,"suffix":""},{"dropping-particle":"","family":"Liu","given":"Arthur","non-dropping-particle":"","parse-names":false,"suffix":""},{"dropping-particle":"","family":"Logan","given":"Aaron","non-dropping-particle":"","parse-names":false,"suffix":""},{"dropping-particle":"","family":"Massaro","given":"Stephanie","non-dropping-particle":"","parse-names":false,"suffix":""},{"dropping-particle":"","family":"Mattison","given":"Ryan J","non-dropping-particle":"","parse-names":false,"suffix":""},{"dropping-particle":"","family":"Oluwole","given":"Olalekan","non-dropping-particle":"","parse-names":false,"suffix":""},{"dropping-particle":"","family":"Papadantonakis","given":"Nikolaos","non-dropping-particle":"","parse-names":false,"suffix":""},{"dropping-particle":"","family":"Park","given":"Jae","non-dropping-particle":"","parse-names":false,"suffix":""},{"dropping-particle":"","family":"Rubnitz","given":"Jeffrey E","non-dropping-particle":"","parse-names":false,"suffix":""},{"dropping-particle":"","family":"Uy","given":"Geoffrey L","non-dropping-particle":"","parse-names":false,"suffix":""},{"dropping-particle":"","family":"Wang","given":"Eunice S","non-dropping-particle":"","parse-names":false,"suffix":""},{"dropping-particle":"","family":"Wieduwilt","given":"Matthew","non-dropping-particle":"","parse-names":false,"suffix":""},{"dropping-particle":"","family":"Gregory","given":"Kristina","non-dropping-particle":"","parse-names":false,"suffix":""}],"id":"ITEM-3","issued":{"date-parts":[["2019"]]},"number-of-pages":"115","title":"NCCN Clinical Practice Guidelines in Oncology. Acute Lymphoblastic Leukemia. Version 2.2019","type":"report"},"uris":["http://www.mendeley.com/documents/?uuid=ef92918b-8a57-37b1-bea5-284dfdf15541"]},{"id":"ITEM-4","itemData":{"author":[{"dropping-particle":"","family":"Gökbuget","given":"N.","non-dropping-particle":"","parse-names":false,"suffix":""},{"dropping-particle":"","family":"Bassan","given":"R.","non-dropping-particle":"","parse-names":false,"suffix":""},{"dropping-particle":"","family":"Dombret","given":"H.","non-dropping-particle":"","parse-names":false,"suffix":""},{"dropping-particle":"","family":"Doubek","given":"M.","non-dropping-particle":"","parse-names":false,"suffix":""},{"dropping-particle":"","family":"Fielding","given":"A.K.","non-dropping-particle":"","parse-names":false,"suffix":""},{"dropping-particle":"","family":"Foà","given":"R.","non-dropping-particle":"","parse-names":false,"suffix":""},{"dropping-particle":"","family":"Giebel","given":"S.","non-dropping-particle":"","parse-names":false,"suffix":""},{"dropping-particle":"","family":"Hoelzer","given":"D.","non-dropping-particle":"","parse-names":false,"suffix":""},{"dropping-particle":"","family":"Martinelli","given":"G.","non-dropping-particle":"","parse-names":false,"suffix":""},{"dropping-particle":"","family":"Meloni","given":"G.","non-dropping-particle":"","parse-names":false,"suffix":""},{"dropping-particle":"","family":"Delia Moicean","given":"A.","non-dropping-particle":"","parse-names":false,"suffix":""},{"dropping-particle":"","family":"Ottmann","given":"O.","non-dropping-particle":"","parse-names":false,"suffix":""},{"dropping-particle":"","family":"Piccaluga","given":"P.P.","non-dropping-particle":"","parse-names":false,"suffix":""},{"dropping-particle":"","family":"Ribera","given":"J.M.","non-dropping-particle":"","parse-names":false,"suffix":""},{"dropping-particle":"","family":"Rousselot","given":"P.","non-dropping-particle":"","parse-names":false,"suffix":""},{"dropping-particle":"","family":"Walewski","given":"J.","non-dropping-particle":"","parse-names":false,"suffix":""}],"container-title":"UNI-MED Verlag AG","id":"ITEM-4","issued":{"date-parts":[["2011"]]},"number-of-pages":"204","title":"Recommendations of the European Working Group for Adult ALL (EWALL)","type":"book"},"uris":["http://www.mendeley.com/documents/?uuid=aba58166-cd2b-4f70-bb6a-5fdd9e1b42de"]}],"mendeley":{"formattedCitation":"[1,2,4,5]","plainTextFormattedCitation":"[1,2,4,5]","previouslyFormattedCitation":"[1,2,4,5]"},"properties":{"noteIndex":0},"schema":"https://github.com/citation-style-language/schema/raw/master/csl-citation.json"}</w:instrText>
      </w:r>
      <w:r w:rsidR="003B27D9">
        <w:fldChar w:fldCharType="separate"/>
      </w:r>
      <w:r w:rsidR="003B27D9" w:rsidRPr="00B30EAF">
        <w:rPr>
          <w:noProof/>
        </w:rPr>
        <w:t>[1,2,4,5]</w:t>
      </w:r>
      <w:r w:rsidR="003B27D9">
        <w:fldChar w:fldCharType="end"/>
      </w:r>
      <w:r w:rsidR="003B27D9">
        <w:rPr>
          <w:lang w:eastAsia="zh-CN"/>
        </w:rPr>
        <w:t>.</w:t>
      </w:r>
    </w:p>
    <w:p w14:paraId="65AD7331" w14:textId="77777777" w:rsidR="00254823" w:rsidRPr="00A54690" w:rsidRDefault="00254823" w:rsidP="008B7E05">
      <w:pPr>
        <w:ind w:firstLine="709"/>
        <w:contextualSpacing/>
        <w:rPr>
          <w:b/>
          <w:color w:val="000000"/>
        </w:rPr>
      </w:pPr>
      <w:r w:rsidRPr="00595DE4">
        <w:rPr>
          <w:b/>
          <w:color w:val="000000"/>
        </w:rPr>
        <w:t xml:space="preserve">Уровень убедительности рекомендаций </w:t>
      </w:r>
      <w:r w:rsidR="00043560" w:rsidRPr="00E15368">
        <w:rPr>
          <w:b/>
          <w:color w:val="000000"/>
        </w:rPr>
        <w:t xml:space="preserve">– </w:t>
      </w:r>
      <w:r w:rsidR="009C6085" w:rsidRPr="00E15368">
        <w:rPr>
          <w:b/>
          <w:color w:val="000000"/>
          <w:lang w:val="en-US"/>
        </w:rPr>
        <w:t>C</w:t>
      </w:r>
      <w:r w:rsidRPr="000D3705">
        <w:rPr>
          <w:b/>
          <w:color w:val="000000"/>
        </w:rPr>
        <w:t xml:space="preserve"> (уровень достоверности доказательств – 5</w:t>
      </w:r>
      <w:r w:rsidR="008B7E05" w:rsidRPr="000D3705">
        <w:rPr>
          <w:b/>
          <w:color w:val="000000"/>
        </w:rPr>
        <w:t>)</w:t>
      </w:r>
      <w:r w:rsidR="00043560" w:rsidRPr="000D3705">
        <w:rPr>
          <w:b/>
          <w:color w:val="000000"/>
        </w:rPr>
        <w:t>.</w:t>
      </w:r>
    </w:p>
    <w:p w14:paraId="4A2919B8" w14:textId="77777777" w:rsidR="00254823" w:rsidRDefault="00043560" w:rsidP="008B7E05">
      <w:pPr>
        <w:shd w:val="clear" w:color="auto" w:fill="FFFFFF"/>
        <w:tabs>
          <w:tab w:val="left" w:pos="192"/>
        </w:tabs>
        <w:ind w:firstLine="709"/>
        <w:contextualSpacing/>
      </w:pPr>
      <w:r>
        <w:rPr>
          <w:b/>
        </w:rPr>
        <w:t>Комментарии</w:t>
      </w:r>
      <w:r w:rsidR="00254823" w:rsidRPr="00DE30A1">
        <w:rPr>
          <w:b/>
        </w:rPr>
        <w:t>:</w:t>
      </w:r>
      <w:r w:rsidR="00254823">
        <w:t xml:space="preserve"> </w:t>
      </w:r>
      <w:r w:rsidR="00DB60B8" w:rsidRPr="00DE30A1">
        <w:rPr>
          <w:i/>
        </w:rPr>
        <w:t xml:space="preserve">при </w:t>
      </w:r>
      <w:r w:rsidR="00254823" w:rsidRPr="00DE30A1">
        <w:rPr>
          <w:i/>
        </w:rPr>
        <w:t xml:space="preserve">ОЛЛ поражение лимфатических узлов, печени, селезенки, средостенных лимфоузлов и тимуса не относят к экстрамедуллярным, поскольку вышеперечисленные органы являются частью </w:t>
      </w:r>
      <w:r>
        <w:rPr>
          <w:i/>
        </w:rPr>
        <w:t>лимфатической системы организма</w:t>
      </w:r>
      <w:r w:rsidR="00254823" w:rsidRPr="00DE30A1">
        <w:rPr>
          <w:i/>
        </w:rPr>
        <w:t xml:space="preserve"> и при ОЛЛ их вовлечение в процесс является обычным проявлен</w:t>
      </w:r>
      <w:r w:rsidR="00A46FF0">
        <w:rPr>
          <w:i/>
        </w:rPr>
        <w:t>и</w:t>
      </w:r>
      <w:r w:rsidR="00254823" w:rsidRPr="00DE30A1">
        <w:rPr>
          <w:i/>
        </w:rPr>
        <w:t>ем заболевания. К экстрамедуллярным относят нейролейкемию (см. выше), п</w:t>
      </w:r>
      <w:r w:rsidR="00254823">
        <w:rPr>
          <w:i/>
        </w:rPr>
        <w:t>оражение кожи (кожн</w:t>
      </w:r>
      <w:r w:rsidR="00254823" w:rsidRPr="00DE30A1">
        <w:rPr>
          <w:i/>
        </w:rPr>
        <w:t>ые лейкемиды), мягких тканей</w:t>
      </w:r>
      <w:r w:rsidR="006C6261">
        <w:rPr>
          <w:i/>
        </w:rPr>
        <w:t>,</w:t>
      </w:r>
      <w:r w:rsidR="00254823" w:rsidRPr="00DE30A1">
        <w:rPr>
          <w:i/>
        </w:rPr>
        <w:t xml:space="preserve"> костей, яичек, яичников и др.</w:t>
      </w:r>
      <w:r w:rsidR="008B7E05">
        <w:t xml:space="preserve"> </w:t>
      </w:r>
    </w:p>
    <w:p w14:paraId="02E5F6FF" w14:textId="77777777" w:rsidR="00C76CE3" w:rsidRDefault="00C76CE3" w:rsidP="004905C2">
      <w:pPr>
        <w:pStyle w:val="2"/>
      </w:pPr>
      <w:bookmarkStart w:id="120" w:name="_Toc13484814"/>
      <w:bookmarkStart w:id="121" w:name="_Toc26796712"/>
      <w:bookmarkStart w:id="122" w:name="_Toc64467928"/>
    </w:p>
    <w:p w14:paraId="25CC9431" w14:textId="2CE90808" w:rsidR="00254823" w:rsidRPr="003F09A1" w:rsidRDefault="00254823" w:rsidP="004905C2">
      <w:pPr>
        <w:pStyle w:val="2"/>
      </w:pPr>
      <w:bookmarkStart w:id="123" w:name="_Toc64565642"/>
      <w:r>
        <w:t>3.</w:t>
      </w:r>
      <w:r w:rsidR="00B50EF2">
        <w:t>5</w:t>
      </w:r>
      <w:r w:rsidR="00043560">
        <w:t>.</w:t>
      </w:r>
      <w:r w:rsidR="00465085">
        <w:t xml:space="preserve"> </w:t>
      </w:r>
      <w:r w:rsidR="00D71675" w:rsidRPr="00296285">
        <w:rPr>
          <w:lang w:val="en-US"/>
        </w:rPr>
        <w:t>Ph</w:t>
      </w:r>
      <w:r w:rsidR="00511DA5">
        <w:t>–</w:t>
      </w:r>
      <w:r w:rsidR="00D71675" w:rsidRPr="00296285">
        <w:t xml:space="preserve"> </w:t>
      </w:r>
      <w:r w:rsidR="00D600BD">
        <w:t>ОЛЛ</w:t>
      </w:r>
      <w:r w:rsidRPr="00D53B07">
        <w:t xml:space="preserve"> у пожилых </w:t>
      </w:r>
      <w:r w:rsidR="008B7E05">
        <w:t>пациентов</w:t>
      </w:r>
      <w:bookmarkEnd w:id="120"/>
      <w:bookmarkEnd w:id="121"/>
      <w:bookmarkEnd w:id="122"/>
      <w:bookmarkEnd w:id="123"/>
    </w:p>
    <w:p w14:paraId="345DE84E" w14:textId="77777777" w:rsidR="00254823" w:rsidRPr="00296285" w:rsidRDefault="00254823" w:rsidP="00956D03">
      <w:pPr>
        <w:numPr>
          <w:ilvl w:val="0"/>
          <w:numId w:val="6"/>
        </w:numPr>
        <w:contextualSpacing/>
      </w:pPr>
      <w:r w:rsidRPr="009B0527">
        <w:rPr>
          <w:b/>
        </w:rPr>
        <w:t>Рекомендуется</w:t>
      </w:r>
      <w:r>
        <w:t xml:space="preserve"> лечение у</w:t>
      </w:r>
      <w:r w:rsidRPr="0086275F">
        <w:t xml:space="preserve"> </w:t>
      </w:r>
      <w:r w:rsidRPr="00296285">
        <w:t>пациентов старше 55 лет начинать с предфазы кортикостероидами</w:t>
      </w:r>
      <w:r w:rsidR="001B0FC5" w:rsidRPr="00296285">
        <w:t xml:space="preserve"> (дозировка согласно </w:t>
      </w:r>
      <w:r w:rsidRPr="00296285">
        <w:t>протоколу</w:t>
      </w:r>
      <w:r w:rsidR="00DB60B8" w:rsidRPr="00296285">
        <w:t>,</w:t>
      </w:r>
      <w:r w:rsidRPr="00296285">
        <w:t xml:space="preserve"> представленному в приложении </w:t>
      </w:r>
      <w:r w:rsidR="00DB60B8" w:rsidRPr="00296285">
        <w:t>А3.1</w:t>
      </w:r>
      <w:r w:rsidRPr="00296285">
        <w:t>)</w:t>
      </w:r>
      <w:r w:rsidR="0084655B">
        <w:t xml:space="preserve"> </w:t>
      </w:r>
      <w:r w:rsidR="0084655B">
        <w:fldChar w:fldCharType="begin" w:fldLock="1"/>
      </w:r>
      <w:r w:rsidR="0084655B">
        <w:instrText>ADDIN CSL_CITATION {"citationItems":[{"id":"ITEM-1","itemData":{"id":"ITEM-1","issued":{"date-parts":[["2012"]]},"number-of-pages":"1056","title":"Программное лечение заболеваний системы крови: Сборник алгоритмов диагностики и протоколов лечения заболеваний системы крови. Под ред. В.Г. Савченко","type":"book"},"uris":["http://www.mendeley.com/documents/?uuid=36484a90-27ae-40a9-a194-b0461fb47d9d"]},{"id":"ITEM-2","itemData":{"author":[{"dropping-particle":"","family":"Савченко","given":"Валерий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доп.","id":"ITEM-2","issued":{"date-parts":[["2007"]]},"page":"409-502","title":"Острые лейкозы","type":"chapter"},"uris":["http://www.mendeley.com/documents/?uuid=08f85f58-ddaa-48eb-b937-65d15d14b213"]},{"id":"ITEM-3","itemData":{"author":[{"dropping-particle":"","family":"Brown","given":"Patrick A","non-dropping-particle":"","parse-names":false,"suffix":""},{"dropping-particle":"","family":"Shah","given":"Bijal","non-dropping-particle":"","parse-names":false,"suffix":""},{"dropping-particle":"","family":"Advani","given":"Anjali","non-dropping-particle":"","parse-names":false,"suffix":""},{"dropping-particle":"","family":"Aoun","given":"Patricia","non-dropping-particle":"","parse-names":false,"suffix":""},{"dropping-particle":"","family":"Bhatnagar","given":"Bhavana","non-dropping-particle":"","parse-names":false,"suffix":""},{"dropping-particle":"","family":"Boyer","given":"Michael W","non-dropping-particle":"","parse-names":false,"suffix":""},{"dropping-particle":"","family":"Bryan","given":"Teresa","non-dropping-particle":"","parse-names":false,"suffix":""},{"dropping-particle":"","family":"Burke","given":"Patrick W","non-dropping-particle":"","parse-names":false,"suffix":""},{"dropping-particle":"","family":"Cassaday","given":"Ryan D","non-dropping-particle":"","parse-names":false,"suffix":""},{"dropping-particle":"","family":"Coutre","given":"Steven E","non-dropping-particle":"","parse-names":false,"suffix":""},{"dropping-particle":"","family":"Coccia","given":"Peter F","non-dropping-particle":"","parse-names":false,"suffix":""},{"dropping-particle":"","family":"DeAngelo","given":"Daniel J","non-dropping-particle":"","parse-names":false,"suffix":""},{"dropping-particle":"","family":"Fathi","given":"Amir","non-dropping-particle":"","parse-names":false,"suffix":""},{"dropping-particle":"","family":"Jain","given":"Nitin","non-dropping-particle":"","parse-names":false,"suffix":""},{"dropping-particle":"","family":"Kirby","given":"Suzanne","non-dropping-particle":"","parse-names":false,"suffix":""},{"dropping-particle":"","family":"Litzow","given":"Mark","non-dropping-particle":"","parse-names":false,"suffix":""},{"dropping-particle":"","family":"Liu","given":"Arthur","non-dropping-particle":"","parse-names":false,"suffix":""},{"dropping-particle":"","family":"Logan","given":"Aaron","non-dropping-particle":"","parse-names":false,"suffix":""},{"dropping-particle":"","family":"Massaro","given":"Stephanie","non-dropping-particle":"","parse-names":false,"suffix":""},{"dropping-particle":"","family":"Mattison","given":"Ryan J","non-dropping-particle":"","parse-names":false,"suffix":""},{"dropping-particle":"","family":"Oluwole","given":"Olalekan","non-dropping-particle":"","parse-names":false,"suffix":""},{"dropping-particle":"","family":"Papadantonakis","given":"Nikolaos","non-dropping-particle":"","parse-names":false,"suffix":""},{"dropping-particle":"","family":"Park","given":"Jae","non-dropping-particle":"","parse-names":false,"suffix":""},{"dropping-particle":"","family":"Rubnitz","given":"Jeffrey E","non-dropping-particle":"","parse-names":false,"suffix":""},{"dropping-particle":"","family":"Uy","given":"Geoffrey L","non-dropping-particle":"","parse-names":false,"suffix":""},{"dropping-particle":"","family":"Wang","given":"Eunice S","non-dropping-particle":"","parse-names":false,"suffix":""},{"dropping-particle":"","family":"Wieduwilt","given":"Matthew","non-dropping-particle":"","parse-names":false,"suffix":""},{"dropping-particle":"","family":"Gregory","given":"Kristina","non-dropping-particle":"","parse-names":false,"suffix":""}],"id":"ITEM-3","issued":{"date-parts":[["2019"]]},"number-of-pages":"115","title":"NCCN Clinical Practice Guidelines in Oncology. Acute Lymphoblastic Leukemia. Version 2.2019","type":"report"},"uris":["http://www.mendeley.com/documents/?uuid=ef92918b-8a57-37b1-bea5-284dfdf15541"]},{"id":"ITEM-4","itemData":{"author":[{"dropping-particle":"","family":"Gökbuget","given":"N.","non-dropping-particle":"","parse-names":false,"suffix":""},{"dropping-particle":"","family":"Bassan","given":"R.","non-dropping-particle":"","parse-names":false,"suffix":""},{"dropping-particle":"","family":"Dombret","given":"H.","non-dropping-particle":"","parse-names":false,"suffix":""},{"dropping-particle":"","family":"Doubek","given":"M.","non-dropping-particle":"","parse-names":false,"suffix":""},{"dropping-particle":"","family":"Fielding","given":"A.K.","non-dropping-particle":"","parse-names":false,"suffix":""},{"dropping-particle":"","family":"Foà","given":"R.","non-dropping-particle":"","parse-names":false,"suffix":""},{"dropping-particle":"","family":"Giebel","given":"S.","non-dropping-particle":"","parse-names":false,"suffix":""},{"dropping-particle":"","family":"Hoelzer","given":"D.","non-dropping-particle":"","parse-names":false,"suffix":""},{"dropping-particle":"","family":"Martinelli","given":"G.","non-dropping-particle":"","parse-names":false,"suffix":""},{"dropping-particle":"","family":"Meloni","given":"G.","non-dropping-particle":"","parse-names":false,"suffix":""},{"dropping-particle":"","family":"Delia Moicean","given":"A.","non-dropping-particle":"","parse-names":false,"suffix":""},{"dropping-particle":"","family":"Ottmann","given":"O.","non-dropping-particle":"","parse-names":false,"suffix":""},{"dropping-particle":"","family":"Piccaluga","given":"P.P.","non-dropping-particle":"","parse-names":false,"suffix":""},{"dropping-particle":"","family":"Ribera","given":"J.M.","non-dropping-particle":"","parse-names":false,"suffix":""},{"dropping-particle":"","family":"Rousselot","given":"P.","non-dropping-particle":"","parse-names":false,"suffix":""},{"dropping-particle":"","family":"Walewski","given":"J.","non-dropping-particle":"","parse-names":false,"suffix":""}],"container-title":"UNI-MED Verlag AG","id":"ITEM-4","issued":{"date-parts":[["2011"]]},"number-of-pages":"204","title":"Recommendations of the European Working Group for Adult ALL (EWALL)","type":"book"},"uris":["http://www.mendeley.com/documents/?uuid=aba58166-cd2b-4f70-bb6a-5fdd9e1b42de"]}],"mendeley":{"formattedCitation":"[1,2,4,5]","plainTextFormattedCitation":"[1,2,4,5]","previouslyFormattedCitation":"[1,2,4,5]"},"properties":{"noteIndex":0},"schema":"https://github.com/citation-style-language/schema/raw/master/csl-citation.json"}</w:instrText>
      </w:r>
      <w:r w:rsidR="0084655B">
        <w:fldChar w:fldCharType="separate"/>
      </w:r>
      <w:r w:rsidR="0084655B" w:rsidRPr="00B30EAF">
        <w:rPr>
          <w:noProof/>
        </w:rPr>
        <w:t>[1,2,4,5]</w:t>
      </w:r>
      <w:r w:rsidR="0084655B">
        <w:fldChar w:fldCharType="end"/>
      </w:r>
      <w:r w:rsidR="0084655B">
        <w:rPr>
          <w:lang w:eastAsia="zh-CN"/>
        </w:rPr>
        <w:t>.</w:t>
      </w:r>
      <w:r w:rsidR="003B27D9">
        <w:t xml:space="preserve"> </w:t>
      </w:r>
    </w:p>
    <w:p w14:paraId="11A5BD46" w14:textId="77777777" w:rsidR="00254823" w:rsidRPr="00296285" w:rsidRDefault="00254823" w:rsidP="00316D4F">
      <w:pPr>
        <w:ind w:firstLine="709"/>
        <w:contextualSpacing/>
        <w:rPr>
          <w:b/>
          <w:color w:val="000000"/>
        </w:rPr>
      </w:pPr>
      <w:r w:rsidRPr="0084655B">
        <w:rPr>
          <w:b/>
          <w:color w:val="000000"/>
        </w:rPr>
        <w:t xml:space="preserve">Уровень убедительности рекомендаций </w:t>
      </w:r>
      <w:r w:rsidR="0052452E" w:rsidRPr="0084655B">
        <w:rPr>
          <w:b/>
          <w:color w:val="000000"/>
        </w:rPr>
        <w:t xml:space="preserve">– </w:t>
      </w:r>
      <w:r w:rsidR="0084655B" w:rsidRPr="0084655B">
        <w:rPr>
          <w:b/>
          <w:color w:val="000000"/>
        </w:rPr>
        <w:t xml:space="preserve">С </w:t>
      </w:r>
      <w:r w:rsidRPr="0084655B">
        <w:rPr>
          <w:b/>
          <w:color w:val="000000"/>
        </w:rPr>
        <w:t xml:space="preserve">(уровень достоверности доказательств – </w:t>
      </w:r>
      <w:r w:rsidR="0084655B" w:rsidRPr="0084655B">
        <w:rPr>
          <w:b/>
          <w:color w:val="000000"/>
        </w:rPr>
        <w:t>5</w:t>
      </w:r>
      <w:r w:rsidR="00316D4F" w:rsidRPr="0084655B">
        <w:rPr>
          <w:b/>
          <w:color w:val="000000"/>
        </w:rPr>
        <w:t>)</w:t>
      </w:r>
      <w:r w:rsidR="0052452E" w:rsidRPr="0084655B">
        <w:rPr>
          <w:b/>
          <w:color w:val="000000"/>
        </w:rPr>
        <w:t>.</w:t>
      </w:r>
    </w:p>
    <w:p w14:paraId="1E5ADE1B" w14:textId="77777777" w:rsidR="00254823" w:rsidRPr="00296285" w:rsidRDefault="00254823" w:rsidP="00FF4C81">
      <w:pPr>
        <w:numPr>
          <w:ilvl w:val="0"/>
          <w:numId w:val="19"/>
        </w:numPr>
        <w:contextualSpacing/>
      </w:pPr>
      <w:r w:rsidRPr="00296285">
        <w:rPr>
          <w:b/>
        </w:rPr>
        <w:t>Рекомендуется</w:t>
      </w:r>
      <w:r w:rsidRPr="00296285">
        <w:t xml:space="preserve"> пациентам</w:t>
      </w:r>
      <w:r w:rsidR="007C303D">
        <w:t xml:space="preserve"> старше 55 лет</w:t>
      </w:r>
      <w:r w:rsidR="003B27D9">
        <w:t xml:space="preserve"> с </w:t>
      </w:r>
      <w:r w:rsidRPr="00296285">
        <w:t>Ph-негативными ОЛЛ</w:t>
      </w:r>
      <w:r w:rsidR="003B27D9">
        <w:t xml:space="preserve"> с</w:t>
      </w:r>
      <w:r w:rsidRPr="00296285">
        <w:t xml:space="preserve"> </w:t>
      </w:r>
      <w:r w:rsidR="003B27D9">
        <w:t>удовлетворительным соматическим статусом</w:t>
      </w:r>
      <w:r w:rsidR="00A3072F" w:rsidRPr="0084655B">
        <w:t xml:space="preserve"> </w:t>
      </w:r>
      <w:r w:rsidR="00A3072F">
        <w:t>без тяжелой сопутствующей патологии</w:t>
      </w:r>
      <w:r w:rsidR="003B27D9" w:rsidRPr="00296285">
        <w:t xml:space="preserve"> </w:t>
      </w:r>
      <w:r w:rsidR="00465085" w:rsidRPr="00296285">
        <w:t>проведение</w:t>
      </w:r>
      <w:r w:rsidR="00465085" w:rsidRPr="00296285">
        <w:rPr>
          <w:b/>
        </w:rPr>
        <w:t xml:space="preserve"> </w:t>
      </w:r>
      <w:r w:rsidR="00A5702E" w:rsidRPr="00296285">
        <w:t>ИТ</w:t>
      </w:r>
      <w:r w:rsidRPr="00296285">
        <w:t xml:space="preserve"> цитостатическими препаратами в сниженных дозах с последующими курсами консолида</w:t>
      </w:r>
      <w:r w:rsidR="00465085" w:rsidRPr="00296285">
        <w:t>ции и поддерживающей терапи</w:t>
      </w:r>
      <w:r w:rsidR="00A46FF0" w:rsidRPr="00296285">
        <w:t>и</w:t>
      </w:r>
      <w:r w:rsidR="00465085" w:rsidRPr="00296285">
        <w:t xml:space="preserve"> (п</w:t>
      </w:r>
      <w:r w:rsidRPr="00296285">
        <w:t xml:space="preserve">риложение </w:t>
      </w:r>
      <w:r w:rsidR="00A5702E" w:rsidRPr="00296285">
        <w:t>А3.1</w:t>
      </w:r>
      <w:r w:rsidRPr="00296285">
        <w:t>, протокол ОЛЛ-2009 для пациентов старше 55 лет)</w:t>
      </w:r>
      <w:r w:rsidR="0084655B">
        <w:t xml:space="preserve"> </w:t>
      </w:r>
      <w:r w:rsidR="0084655B">
        <w:fldChar w:fldCharType="begin" w:fldLock="1"/>
      </w:r>
      <w:r w:rsidR="0084655B">
        <w:instrText>ADDIN CSL_CITATION {"citationItems":[{"id":"ITEM-1","itemData":{"id":"ITEM-1","issued":{"date-parts":[["2012"]]},"number-of-pages":"1056","title":"Программное лечение заболеваний системы крови: Сборник алгоритмов диагностики и протоколов лечения заболеваний системы крови. Под ред. В.Г. Савченко","type":"book"},"uris":["http://www.mendeley.com/documents/?uuid=36484a90-27ae-40a9-a194-b0461fb47d9d"]},{"id":"ITEM-2","itemData":{"author":[{"dropping-particle":"","family":"Савченко","given":"Валерий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доп.","id":"ITEM-2","issued":{"date-parts":[["2007"]]},"page":"409-502","title":"Острые лейкозы","type":"chapter"},"uris":["http://www.mendeley.com/documents/?uuid=08f85f58-ddaa-48eb-b937-65d15d14b213"]},{"id":"ITEM-3","itemData":{"author":[{"dropping-particle":"","family":"Brown","given":"Patrick A","non-dropping-particle":"","parse-names":false,"suffix":""},{"dropping-particle":"","family":"Shah","given":"Bijal","non-dropping-particle":"","parse-names":false,"suffix":""},{"dropping-particle":"","family":"Advani","given":"Anjali","non-dropping-particle":"","parse-names":false,"suffix":""},{"dropping-particle":"","family":"Aoun","given":"Patricia","non-dropping-particle":"","parse-names":false,"suffix":""},{"dropping-particle":"","family":"Bhatnagar","given":"Bhavana","non-dropping-particle":"","parse-names":false,"suffix":""},{"dropping-particle":"","family":"Boyer","given":"Michael W","non-dropping-particle":"","parse-names":false,"suffix":""},{"dropping-particle":"","family":"Bryan","given":"Teresa","non-dropping-particle":"","parse-names":false,"suffix":""},{"dropping-particle":"","family":"Burke","given":"Patrick W","non-dropping-particle":"","parse-names":false,"suffix":""},{"dropping-particle":"","family":"Cassaday","given":"Ryan D","non-dropping-particle":"","parse-names":false,"suffix":""},{"dropping-particle":"","family":"Coutre","given":"Steven E","non-dropping-particle":"","parse-names":false,"suffix":""},{"dropping-particle":"","family":"Coccia","given":"Peter F","non-dropping-particle":"","parse-names":false,"suffix":""},{"dropping-particle":"","family":"DeAngelo","given":"Daniel J","non-dropping-particle":"","parse-names":false,"suffix":""},{"dropping-particle":"","family":"Fathi","given":"Amir","non-dropping-particle":"","parse-names":false,"suffix":""},{"dropping-particle":"","family":"Jain","given":"Nitin","non-dropping-particle":"","parse-names":false,"suffix":""},{"dropping-particle":"","family":"Kirby","given":"Suzanne","non-dropping-particle":"","parse-names":false,"suffix":""},{"dropping-particle":"","family":"Litzow","given":"Mark","non-dropping-particle":"","parse-names":false,"suffix":""},{"dropping-particle":"","family":"Liu","given":"Arthur","non-dropping-particle":"","parse-names":false,"suffix":""},{"dropping-particle":"","family":"Logan","given":"Aaron","non-dropping-particle":"","parse-names":false,"suffix":""},{"dropping-particle":"","family":"Massaro","given":"Stephanie","non-dropping-particle":"","parse-names":false,"suffix":""},{"dropping-particle":"","family":"Mattison","given":"Ryan J","non-dropping-particle":"","parse-names":false,"suffix":""},{"dropping-particle":"","family":"Oluwole","given":"Olalekan","non-dropping-particle":"","parse-names":false,"suffix":""},{"dropping-particle":"","family":"Papadantonakis","given":"Nikolaos","non-dropping-particle":"","parse-names":false,"suffix":""},{"dropping-particle":"","family":"Park","given":"Jae","non-dropping-particle":"","parse-names":false,"suffix":""},{"dropping-particle":"","family":"Rubnitz","given":"Jeffrey E","non-dropping-particle":"","parse-names":false,"suffix":""},{"dropping-particle":"","family":"Uy","given":"Geoffrey L","non-dropping-particle":"","parse-names":false,"suffix":""},{"dropping-particle":"","family":"Wang","given":"Eunice S","non-dropping-particle":"","parse-names":false,"suffix":""},{"dropping-particle":"","family":"Wieduwilt","given":"Matthew","non-dropping-particle":"","parse-names":false,"suffix":""},{"dropping-particle":"","family":"Gregory","given":"Kristina","non-dropping-particle":"","parse-names":false,"suffix":""}],"id":"ITEM-3","issued":{"date-parts":[["2019"]]},"number-of-pages":"115","title":"NCCN Clinical Practice Guidelines in Oncology. Acute Lymphoblastic Leukemia. Version 2.2019","type":"report"},"uris":["http://www.mendeley.com/documents/?uuid=ef92918b-8a57-37b1-bea5-284dfdf15541"]},{"id":"ITEM-4","itemData":{"author":[{"dropping-particle":"","family":"Gökbuget","given":"N.","non-dropping-particle":"","parse-names":false,"suffix":""},{"dropping-particle":"","family":"Bassan","given":"R.","non-dropping-particle":"","parse-names":false,"suffix":""},{"dropping-particle":"","family":"Dombret","given":"H.","non-dropping-particle":"","parse-names":false,"suffix":""},{"dropping-particle":"","family":"Doubek","given":"M.","non-dropping-particle":"","parse-names":false,"suffix":""},{"dropping-particle":"","family":"Fielding","given":"A.K.","non-dropping-particle":"","parse-names":false,"suffix":""},{"dropping-particle":"","family":"Foà","given":"R.","non-dropping-particle":"","parse-names":false,"suffix":""},{"dropping-particle":"","family":"Giebel","given":"S.","non-dropping-particle":"","parse-names":false,"suffix":""},{"dropping-particle":"","family":"Hoelzer","given":"D.","non-dropping-particle":"","parse-names":false,"suffix":""},{"dropping-particle":"","family":"Martinelli","given":"G.","non-dropping-particle":"","parse-names":false,"suffix":""},{"dropping-particle":"","family":"Meloni","given":"G.","non-dropping-particle":"","parse-names":false,"suffix":""},{"dropping-particle":"","family":"Delia Moicean","given":"A.","non-dropping-particle":"","parse-names":false,"suffix":""},{"dropping-particle":"","family":"Ottmann","given":"O.","non-dropping-particle":"","parse-names":false,"suffix":""},{"dropping-particle":"","family":"Piccaluga","given":"P.P.","non-dropping-particle":"","parse-names":false,"suffix":""},{"dropping-particle":"","family":"Ribera","given":"J.M.","non-dropping-particle":"","parse-names":false,"suffix":""},{"dropping-particle":"","family":"Rousselot","given":"P.","non-dropping-particle":"","parse-names":false,"suffix":""},{"dropping-particle":"","family":"Walewski","given":"J.","non-dropping-particle":"","parse-names":false,"suffix":""}],"container-title":"UNI-MED Verlag AG","id":"ITEM-4","issued":{"date-parts":[["2011"]]},"number-of-pages":"204","title":"Recommendations of the European Working Group for Adult ALL (EWALL)","type":"book"},"uris":["http://www.mendeley.com/documents/?uuid=aba58166-cd2b-4f70-bb6a-5fdd9e1b42de"]}],"mendeley":{"formattedCitation":"[1,2,4,5]","plainTextFormattedCitation":"[1,2,4,5]","previouslyFormattedCitation":"[1,2,4,5]"},"properties":{"noteIndex":0},"schema":"https://github.com/citation-style-language/schema/raw/master/csl-citation.json"}</w:instrText>
      </w:r>
      <w:r w:rsidR="0084655B">
        <w:fldChar w:fldCharType="separate"/>
      </w:r>
      <w:r w:rsidR="0084655B" w:rsidRPr="00B30EAF">
        <w:rPr>
          <w:noProof/>
        </w:rPr>
        <w:t>[1,2,4,5]</w:t>
      </w:r>
      <w:r w:rsidR="0084655B">
        <w:fldChar w:fldCharType="end"/>
      </w:r>
      <w:r w:rsidR="0084655B">
        <w:rPr>
          <w:lang w:eastAsia="zh-CN"/>
        </w:rPr>
        <w:t>.</w:t>
      </w:r>
      <w:r w:rsidR="0084655B">
        <w:t xml:space="preserve"> </w:t>
      </w:r>
      <w:r w:rsidR="003B27D9">
        <w:t xml:space="preserve"> </w:t>
      </w:r>
    </w:p>
    <w:p w14:paraId="1F0763B7" w14:textId="77777777" w:rsidR="00254823" w:rsidRPr="00296285" w:rsidRDefault="00254823" w:rsidP="00316D4F">
      <w:pPr>
        <w:ind w:firstLine="709"/>
        <w:contextualSpacing/>
        <w:rPr>
          <w:b/>
          <w:color w:val="000000"/>
        </w:rPr>
      </w:pPr>
      <w:r w:rsidRPr="0084655B">
        <w:rPr>
          <w:b/>
          <w:color w:val="000000"/>
        </w:rPr>
        <w:t xml:space="preserve">Уровень убедительности рекомендаций </w:t>
      </w:r>
      <w:r w:rsidR="0052452E" w:rsidRPr="0084655B">
        <w:rPr>
          <w:b/>
          <w:color w:val="000000"/>
        </w:rPr>
        <w:t xml:space="preserve">– </w:t>
      </w:r>
      <w:r w:rsidR="0084655B" w:rsidRPr="0084655B">
        <w:rPr>
          <w:b/>
          <w:color w:val="000000"/>
        </w:rPr>
        <w:t xml:space="preserve">С </w:t>
      </w:r>
      <w:r w:rsidRPr="0084655B">
        <w:rPr>
          <w:b/>
          <w:color w:val="000000"/>
        </w:rPr>
        <w:t xml:space="preserve">(уровень достоверности доказательств – </w:t>
      </w:r>
      <w:r w:rsidR="0084655B" w:rsidRPr="0084655B">
        <w:rPr>
          <w:b/>
          <w:color w:val="000000"/>
        </w:rPr>
        <w:t>5</w:t>
      </w:r>
      <w:r w:rsidR="00316D4F" w:rsidRPr="0084655B">
        <w:rPr>
          <w:b/>
          <w:color w:val="000000"/>
        </w:rPr>
        <w:t>)</w:t>
      </w:r>
      <w:r w:rsidR="0052452E" w:rsidRPr="0084655B">
        <w:rPr>
          <w:b/>
          <w:color w:val="000000"/>
        </w:rPr>
        <w:t>.</w:t>
      </w:r>
    </w:p>
    <w:p w14:paraId="798915E7" w14:textId="370A305D" w:rsidR="00254823" w:rsidRPr="00296285" w:rsidRDefault="00254823" w:rsidP="00FF4C81">
      <w:pPr>
        <w:numPr>
          <w:ilvl w:val="0"/>
          <w:numId w:val="19"/>
        </w:numPr>
        <w:contextualSpacing/>
      </w:pPr>
      <w:r w:rsidRPr="00296285">
        <w:rPr>
          <w:b/>
        </w:rPr>
        <w:t>Не рекомендуется</w:t>
      </w:r>
      <w:r w:rsidRPr="00296285">
        <w:t xml:space="preserve"> </w:t>
      </w:r>
      <w:r w:rsidR="00316D4F" w:rsidRPr="00296285">
        <w:t>пациентам</w:t>
      </w:r>
      <w:r w:rsidRPr="00296285">
        <w:t xml:space="preserve"> ОЛЛ в возрасте старше 65 лет рассматривать возможность выполнения алло</w:t>
      </w:r>
      <w:r w:rsidR="00780B99" w:rsidRPr="00296285">
        <w:t>-</w:t>
      </w:r>
      <w:r w:rsidR="00F33796" w:rsidRPr="00296285">
        <w:t>ТГСК</w:t>
      </w:r>
      <w:r w:rsidRPr="00296285">
        <w:t xml:space="preserve"> в связи с высоким риском летальности</w:t>
      </w:r>
      <w:r w:rsidR="003B27D9">
        <w:t xml:space="preserve"> </w:t>
      </w:r>
      <w:r w:rsidR="003B27D9" w:rsidRPr="00296285">
        <w:fldChar w:fldCharType="begin" w:fldLock="1"/>
      </w:r>
      <w:r w:rsidR="002466C9">
        <w:instrText>ADDIN CSL_CITATION {"citationItems":[{"id":"ITEM-1","itemData":{"DOI":"10.2217/ijh-2017-0023","ISSN":"2045-1393","PMID":"30302234","abstract":"The management of acute lymphoblastic leukemia (ALL) in older patients is challenging. Older patients often have multiple comorbidities and poor performance status, and disease factors associated with poor prognosis are more common in this age group. Patient and disease-related factors should be taken into account to determine whether intensive therapy is appropriate. The use of comorbidity indices and comprehensive geriatric assessment tools can be valuable in this setting. Fit patients should be considered for aggressive therapies including allogeneic hematopoietic stem cell transplantation, whereas low intensity options may be more suitable for the frail. The Philadelphia (Ph) chromosome is present in up to half of the cases of ALL in older patients. The incorporation of TK inhibitors into the treatment plans of older patients with Ph-positive ALL has improved the outcomes significantly. For less fit patients with Ph-positive ALL, the use of TK inhibitors with reduced-intensity chemotherapy or steroids alone results in high rates of remission, but, without further consolidation, relapses are inevitable. Many novel targeted and immunotherapeutic agents are being developed, offering more effective and tolerable treatment options.","author":[{"dropping-particle":"","family":"Sawalha","given":"Yazeed","non-dropping-particle":"","parse-names":false,"suffix":""},{"dropping-particle":"","family":"Advani","given":"Anjali S","non-dropping-particle":"","parse-names":false,"suffix":""}],"container-title":"International journal of hematologic oncology","id":"ITEM-1","issue":"1","issued":{"date-parts":[["2018","3"]]},"page":"IJH02","title":"Management of older adults with acute lymphoblastic leukemia: challenges &amp; current approaches.","type":"article-journal","volume":"7"},"uris":["http://www.mendeley.com/documents/?uuid=e25fa6ec-b8a0-32e9-8add-524632e6d1ae"]}],"mendeley":{"formattedCitation":"[81]","plainTextFormattedCitation":"[81]","previouslyFormattedCitation":"[81]"},"properties":{"noteIndex":0},"schema":"https://github.com/citation-style-language/schema/raw/master/csl-citation.json"}</w:instrText>
      </w:r>
      <w:r w:rsidR="003B27D9" w:rsidRPr="00296285">
        <w:fldChar w:fldCharType="separate"/>
      </w:r>
      <w:r w:rsidR="00A66456" w:rsidRPr="00A66456">
        <w:rPr>
          <w:noProof/>
        </w:rPr>
        <w:t>[81]</w:t>
      </w:r>
      <w:r w:rsidR="003B27D9" w:rsidRPr="00296285">
        <w:fldChar w:fldCharType="end"/>
      </w:r>
      <w:r w:rsidR="003B27D9" w:rsidRPr="00296285">
        <w:t>.</w:t>
      </w:r>
      <w:r w:rsidR="0052452E">
        <w:t xml:space="preserve"> </w:t>
      </w:r>
    </w:p>
    <w:p w14:paraId="1B1A487D" w14:textId="77777777" w:rsidR="00254823" w:rsidRPr="00296285" w:rsidRDefault="00254823" w:rsidP="00316D4F">
      <w:pPr>
        <w:ind w:firstLine="709"/>
        <w:contextualSpacing/>
        <w:rPr>
          <w:b/>
          <w:color w:val="000000"/>
        </w:rPr>
      </w:pPr>
      <w:r w:rsidRPr="00DF2A9E">
        <w:rPr>
          <w:b/>
          <w:color w:val="000000"/>
        </w:rPr>
        <w:t xml:space="preserve">Уровень убедительности рекомендаций </w:t>
      </w:r>
      <w:r w:rsidR="0052452E" w:rsidRPr="00DF2A9E">
        <w:rPr>
          <w:b/>
          <w:color w:val="000000"/>
        </w:rPr>
        <w:t xml:space="preserve">– </w:t>
      </w:r>
      <w:r w:rsidR="00DF2A9E" w:rsidRPr="00490BF2">
        <w:rPr>
          <w:b/>
          <w:color w:val="000000"/>
        </w:rPr>
        <w:t>С</w:t>
      </w:r>
      <w:r w:rsidR="00DF2A9E" w:rsidRPr="00DF2A9E">
        <w:rPr>
          <w:b/>
          <w:color w:val="000000"/>
        </w:rPr>
        <w:t xml:space="preserve"> </w:t>
      </w:r>
      <w:r w:rsidRPr="00DF2A9E">
        <w:rPr>
          <w:b/>
          <w:color w:val="000000"/>
        </w:rPr>
        <w:t xml:space="preserve">(уровень достоверности доказательств – </w:t>
      </w:r>
      <w:r w:rsidR="00DF2A9E" w:rsidRPr="00490BF2">
        <w:rPr>
          <w:b/>
          <w:color w:val="000000"/>
        </w:rPr>
        <w:t>5</w:t>
      </w:r>
      <w:r w:rsidR="00316D4F" w:rsidRPr="00DF2A9E">
        <w:rPr>
          <w:b/>
          <w:color w:val="000000"/>
        </w:rPr>
        <w:t>)</w:t>
      </w:r>
      <w:r w:rsidR="0052452E" w:rsidRPr="00DF2A9E">
        <w:rPr>
          <w:b/>
          <w:color w:val="000000"/>
        </w:rPr>
        <w:t>.</w:t>
      </w:r>
    </w:p>
    <w:p w14:paraId="5A5BA9C4" w14:textId="42BB917F" w:rsidR="00254823" w:rsidRPr="00296285" w:rsidRDefault="00254823" w:rsidP="00956D03">
      <w:pPr>
        <w:numPr>
          <w:ilvl w:val="0"/>
          <w:numId w:val="6"/>
        </w:numPr>
        <w:shd w:val="clear" w:color="auto" w:fill="FFFFFF"/>
        <w:tabs>
          <w:tab w:val="left" w:pos="192"/>
        </w:tabs>
      </w:pPr>
      <w:r w:rsidRPr="00296285">
        <w:rPr>
          <w:b/>
        </w:rPr>
        <w:lastRenderedPageBreak/>
        <w:t>Рекомендуется</w:t>
      </w:r>
      <w:r w:rsidRPr="00296285">
        <w:t xml:space="preserve"> пациентам старше 65 лет проводить лечение по программам </w:t>
      </w:r>
      <w:r w:rsidR="00A46FF0" w:rsidRPr="00296285">
        <w:t xml:space="preserve">ХТ </w:t>
      </w:r>
      <w:r w:rsidRPr="00296285">
        <w:t xml:space="preserve">с коррекцией доз цитостатических препаратов (см. приложение </w:t>
      </w:r>
      <w:r w:rsidR="00A5702E" w:rsidRPr="00296285">
        <w:t>А3.1</w:t>
      </w:r>
      <w:r w:rsidRPr="00296285">
        <w:t>)</w:t>
      </w:r>
      <w:r w:rsidR="00A3072F" w:rsidRPr="00490BF2">
        <w:t xml:space="preserve"> </w:t>
      </w:r>
      <w:r w:rsidR="00A3072F" w:rsidRPr="00296285">
        <w:fldChar w:fldCharType="begin" w:fldLock="1"/>
      </w:r>
      <w:r w:rsidR="002466C9">
        <w:instrText>ADDIN CSL_CITATION {"citationItems":[{"id":"ITEM-1","itemData":{"id":"ITEM-1","issued":{"date-parts":[["2012"]]},"number-of-pages":"1056","title":"Программное лечение заболеваний системы крови: Сборник алгоритмов диагностики и протоколов лечения заболеваний системы крови. Под ред. В.Г. Савченко","type":"book"},"uris":["http://www.mendeley.com/documents/?uuid=36484a90-27ae-40a9-a194-b0461fb47d9d"]},{"id":"ITEM-2","itemData":{"author":[{"dropping-particle":"","family":"Савченко","given":"Валерий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доп.","id":"ITEM-2","issued":{"date-parts":[["2007"]]},"page":"409-502","title":"Острые лейкозы","type":"chapter"},"uris":["http://www.mendeley.com/documents/?uuid=08f85f58-ddaa-48eb-b937-65d15d14b213"]},{"id":"ITEM-3","itemData":{"author":[{"dropping-particle":"","family":"Brown","given":"Patrick A","non-dropping-particle":"","parse-names":false,"suffix":""},{"dropping-particle":"","family":"Shah","given":"Bijal","non-dropping-particle":"","parse-names":false,"suffix":""},{"dropping-particle":"","family":"Advani","given":"Anjali","non-dropping-particle":"","parse-names":false,"suffix":""},{"dropping-particle":"","family":"Aoun","given":"Patricia","non-dropping-particle":"","parse-names":false,"suffix":""},{"dropping-particle":"","family":"Bhatnagar","given":"Bhavana","non-dropping-particle":"","parse-names":false,"suffix":""},{"dropping-particle":"","family":"Boyer","given":"Michael W","non-dropping-particle":"","parse-names":false,"suffix":""},{"dropping-particle":"","family":"Bryan","given":"Teresa","non-dropping-particle":"","parse-names":false,"suffix":""},{"dropping-particle":"","family":"Burke","given":"Patrick W","non-dropping-particle":"","parse-names":false,"suffix":""},{"dropping-particle":"","family":"Cassaday","given":"Ryan D","non-dropping-particle":"","parse-names":false,"suffix":""},{"dropping-particle":"","family":"Coutre","given":"Steven E","non-dropping-particle":"","parse-names":false,"suffix":""},{"dropping-particle":"","family":"Coccia","given":"Peter F","non-dropping-particle":"","parse-names":false,"suffix":""},{"dropping-particle":"","family":"DeAngelo","given":"Daniel J","non-dropping-particle":"","parse-names":false,"suffix":""},{"dropping-particle":"","family":"Fathi","given":"Amir","non-dropping-particle":"","parse-names":false,"suffix":""},{"dropping-particle":"","family":"Jain","given":"Nitin","non-dropping-particle":"","parse-names":false,"suffix":""},{"dropping-particle":"","family":"Kirby","given":"Suzanne","non-dropping-particle":"","parse-names":false,"suffix":""},{"dropping-particle":"","family":"Litzow","given":"Mark","non-dropping-particle":"","parse-names":false,"suffix":""},{"dropping-particle":"","family":"Liu","given":"Arthur","non-dropping-particle":"","parse-names":false,"suffix":""},{"dropping-particle":"","family":"Logan","given":"Aaron","non-dropping-particle":"","parse-names":false,"suffix":""},{"dropping-particle":"","family":"Massaro","given":"Stephanie","non-dropping-particle":"","parse-names":false,"suffix":""},{"dropping-particle":"","family":"Mattison","given":"Ryan J","non-dropping-particle":"","parse-names":false,"suffix":""},{"dropping-particle":"","family":"Oluwole","given":"Olalekan","non-dropping-particle":"","parse-names":false,"suffix":""},{"dropping-particle":"","family":"Papadantonakis","given":"Nikolaos","non-dropping-particle":"","parse-names":false,"suffix":""},{"dropping-particle":"","family":"Park","given":"Jae","non-dropping-particle":"","parse-names":false,"suffix":""},{"dropping-particle":"","family":"Rubnitz","given":"Jeffrey E","non-dropping-particle":"","parse-names":false,"suffix":""},{"dropping-particle":"","family":"Uy","given":"Geoffrey L","non-dropping-particle":"","parse-names":false,"suffix":""},{"dropping-particle":"","family":"Wang","given":"Eunice S","non-dropping-particle":"","parse-names":false,"suffix":""},{"dropping-particle":"","family":"Wieduwilt","given":"Matthew","non-dropping-particle":"","parse-names":false,"suffix":""},{"dropping-particle":"","family":"Gregory","given":"Kristina","non-dropping-particle":"","parse-names":false,"suffix":""}],"id":"ITEM-3","issued":{"date-parts":[["2019"]]},"number-of-pages":"115","title":"NCCN Clinical Practice Guidelines in Oncology. Acute Lymphoblastic Leukemia. Version 2.2019","type":"report"},"uris":["http://www.mendeley.com/documents/?uuid=ef92918b-8a57-37b1-bea5-284dfdf15541"]},{"id":"ITEM-4","itemData":{"author":[{"dropping-particle":"","family":"Gökbuget","given":"N.","non-dropping-particle":"","parse-names":false,"suffix":""},{"dropping-particle":"","family":"Bassan","given":"R.","non-dropping-particle":"","parse-names":false,"suffix":""},{"dropping-particle":"","family":"Dombret","given":"H.","non-dropping-particle":"","parse-names":false,"suffix":""},{"dropping-particle":"","family":"Doubek","given":"M.","non-dropping-particle":"","parse-names":false,"suffix":""},{"dropping-particle":"","family":"Fielding","given":"A.K.","non-dropping-particle":"","parse-names":false,"suffix":""},{"dropping-particle":"","family":"Foà","given":"R.","non-dropping-particle":"","parse-names":false,"suffix":""},{"dropping-particle":"","family":"Giebel","given":"S.","non-dropping-particle":"","parse-names":false,"suffix":""},{"dropping-particle":"","family":"Hoelzer","given":"D.","non-dropping-particle":"","parse-names":false,"suffix":""},{"dropping-particle":"","family":"Martinelli","given":"G.","non-dropping-particle":"","parse-names":false,"suffix":""},{"dropping-particle":"","family":"Meloni","given":"G.","non-dropping-particle":"","parse-names":false,"suffix":""},{"dropping-particle":"","family":"Delia Moicean","given":"A.","non-dropping-particle":"","parse-names":false,"suffix":""},{"dropping-particle":"","family":"Ottmann","given":"O.","non-dropping-particle":"","parse-names":false,"suffix":""},{"dropping-particle":"","family":"Piccaluga","given":"P.P.","non-dropping-particle":"","parse-names":false,"suffix":""},{"dropping-particle":"","family":"Ribera","given":"J.M.","non-dropping-particle":"","parse-names":false,"suffix":""},{"dropping-particle":"","family":"Rousselot","given":"P.","non-dropping-particle":"","parse-names":false,"suffix":""},{"dropping-particle":"","family":"Walewski","given":"J.","non-dropping-particle":"","parse-names":false,"suffix":""}],"container-title":"UNI-MED Verlag AG","id":"ITEM-4","issued":{"date-parts":[["2011"]]},"number-of-pages":"204","title":"Recommendations of the European Working Group for Adult ALL (EWALL)","type":"book"},"uris":["http://www.mendeley.com/documents/?uuid=aba58166-cd2b-4f70-bb6a-5fdd9e1b42de"]},{"id":"ITEM-5","itemData":{"DOI":"10.2217/ijh-2017-0023","ISSN":"2045-1393","PMID":"30302234","abstract":"The management of acute lymphoblastic leukemia (ALL) in older patients is challenging. Older patients often have multiple comorbidities and poor performance status, and disease factors associated with poor prognosis are more common in this age group. Patient and disease-related factors should be taken into account to determine whether intensive therapy is appropriate. The use of comorbidity indices and comprehensive geriatric assessment tools can be valuable in this setting. Fit patients should be considered for aggressive therapies including allogeneic hematopoietic stem cell transplantation, whereas low intensity options may be more suitable for the frail. The Philadelphia (Ph) chromosome is present in up to half of the cases of ALL in older patients. The incorporation of TK inhibitors into the treatment plans of older patients with Ph-positive ALL has improved the outcomes significantly. For less fit patients with Ph-positive ALL, the use of TK inhibitors with reduced-intensity chemotherapy or steroids alone results in high rates of remission, but, without further consolidation, relapses are inevitable. Many novel targeted and immunotherapeutic agents are being developed, offering more effective and tolerable treatment options.","author":[{"dropping-particle":"","family":"Sawalha","given":"Yazeed","non-dropping-particle":"","parse-names":false,"suffix":""},{"dropping-particle":"","family":"Advani","given":"Anjali S","non-dropping-particle":"","parse-names":false,"suffix":""}],"container-title":"International journal of hematologic oncology","id":"ITEM-5","issue":"1","issued":{"date-parts":[["2018","3"]]},"page":"IJH02","title":"Management of older adults with acute lymphoblastic leukemia: challenges &amp; current approaches.","type":"article-journal","volume":"7"},"uris":["http://www.mendeley.com/documents/?uuid=e25fa6ec-b8a0-32e9-8add-524632e6d1ae"]}],"mendeley":{"formattedCitation":"[1,2,4,5,81]","plainTextFormattedCitation":"[1,2,4,5,81]","previouslyFormattedCitation":"[1,2,4,5,81]"},"properties":{"noteIndex":0},"schema":"https://github.com/citation-style-language/schema/raw/master/csl-citation.json"}</w:instrText>
      </w:r>
      <w:r w:rsidR="00A3072F" w:rsidRPr="00296285">
        <w:fldChar w:fldCharType="separate"/>
      </w:r>
      <w:r w:rsidR="00A66456" w:rsidRPr="00A66456">
        <w:rPr>
          <w:noProof/>
        </w:rPr>
        <w:t>[1,2,4,5,81]</w:t>
      </w:r>
      <w:r w:rsidR="00A3072F" w:rsidRPr="00296285">
        <w:fldChar w:fldCharType="end"/>
      </w:r>
      <w:r w:rsidR="00A3072F" w:rsidRPr="00296285">
        <w:rPr>
          <w:lang w:eastAsia="zh-CN"/>
        </w:rPr>
        <w:t>.</w:t>
      </w:r>
      <w:r w:rsidR="005A4BCE">
        <w:t xml:space="preserve"> </w:t>
      </w:r>
    </w:p>
    <w:p w14:paraId="098CB38D" w14:textId="77777777" w:rsidR="00254823" w:rsidRPr="00296285" w:rsidRDefault="00254823" w:rsidP="00316D4F">
      <w:pPr>
        <w:ind w:firstLine="709"/>
        <w:contextualSpacing/>
        <w:rPr>
          <w:b/>
          <w:color w:val="000000"/>
        </w:rPr>
      </w:pPr>
      <w:r w:rsidRPr="00296285">
        <w:rPr>
          <w:b/>
          <w:color w:val="000000"/>
        </w:rPr>
        <w:t xml:space="preserve">Уровень убедительности рекомендаций </w:t>
      </w:r>
      <w:r w:rsidR="005A4BCE">
        <w:rPr>
          <w:b/>
          <w:color w:val="000000"/>
        </w:rPr>
        <w:t xml:space="preserve">– </w:t>
      </w:r>
      <w:r w:rsidR="00935558" w:rsidRPr="00296285">
        <w:rPr>
          <w:b/>
          <w:color w:val="000000"/>
        </w:rPr>
        <w:t>С</w:t>
      </w:r>
      <w:r w:rsidRPr="00296285">
        <w:rPr>
          <w:b/>
          <w:color w:val="000000"/>
        </w:rPr>
        <w:t xml:space="preserve"> (уровень достоверности доказательств – 5</w:t>
      </w:r>
      <w:r w:rsidR="00316D4F" w:rsidRPr="00296285">
        <w:rPr>
          <w:b/>
          <w:color w:val="000000"/>
        </w:rPr>
        <w:t>)</w:t>
      </w:r>
      <w:r w:rsidR="005A4BCE">
        <w:rPr>
          <w:b/>
          <w:color w:val="000000"/>
        </w:rPr>
        <w:t>.</w:t>
      </w:r>
    </w:p>
    <w:p w14:paraId="75D0D88C" w14:textId="2396B3FE" w:rsidR="00254823" w:rsidRPr="00296285" w:rsidRDefault="00254823" w:rsidP="00956D03">
      <w:pPr>
        <w:numPr>
          <w:ilvl w:val="0"/>
          <w:numId w:val="6"/>
        </w:numPr>
        <w:contextualSpacing/>
      </w:pPr>
      <w:r w:rsidRPr="00296285">
        <w:rPr>
          <w:b/>
        </w:rPr>
        <w:t>Рекомендуется</w:t>
      </w:r>
      <w:r w:rsidRPr="00296285">
        <w:t xml:space="preserve"> </w:t>
      </w:r>
      <w:r w:rsidR="00AE1E7C" w:rsidRPr="00296285">
        <w:t xml:space="preserve">пациентам </w:t>
      </w:r>
      <w:r w:rsidR="00316D4F" w:rsidRPr="00296285">
        <w:t>с</w:t>
      </w:r>
      <w:r w:rsidRPr="00296285">
        <w:rPr>
          <w:b/>
        </w:rPr>
        <w:t xml:space="preserve"> </w:t>
      </w:r>
      <w:r w:rsidRPr="00296285">
        <w:t>Ph-негативными ОЛЛ</w:t>
      </w:r>
      <w:r w:rsidR="00A3072F">
        <w:t xml:space="preserve"> в неу</w:t>
      </w:r>
      <w:r w:rsidR="00F40DB0">
        <w:t xml:space="preserve">довлетворительном соматиическом статусе и/или с тяжелой сопутствующей патологией </w:t>
      </w:r>
      <w:r w:rsidRPr="00296285">
        <w:t xml:space="preserve"> выполнение паллиативной терапии</w:t>
      </w:r>
      <w:r w:rsidR="00F40DB0">
        <w:t xml:space="preserve"> – купирование симптомов заболевания, проведение</w:t>
      </w:r>
      <w:r w:rsidRPr="00296285">
        <w:t xml:space="preserve"> заместительной терапии трансфузионными средами</w:t>
      </w:r>
      <w:r w:rsidR="00F40DB0">
        <w:t xml:space="preserve"> </w:t>
      </w:r>
      <w:r w:rsidR="00F40DB0" w:rsidRPr="00296285">
        <w:fldChar w:fldCharType="begin" w:fldLock="1"/>
      </w:r>
      <w:r w:rsidR="002466C9">
        <w:instrText>ADDIN CSL_CITATION {"citationItems":[{"id":"ITEM-1","itemData":{"DOI":"10.2217/ijh-2017-0023","ISSN":"2045-1393","PMID":"30302234","abstract":"The management of acute lymphoblastic leukemia (ALL) in older patients is challenging. Older patients often have multiple comorbidities and poor performance status, and disease factors associated with poor prognosis are more common in this age group. Patient and disease-related factors should be taken into account to determine whether intensive therapy is appropriate. The use of comorbidity indices and comprehensive geriatric assessment tools can be valuable in this setting. Fit patients should be considered for aggressive therapies including allogeneic hematopoietic stem cell transplantation, whereas low intensity options may be more suitable for the frail. The Philadelphia (Ph) chromosome is present in up to half of the cases of ALL in older patients. The incorporation of TK inhibitors into the treatment plans of older patients with Ph-positive ALL has improved the outcomes significantly. For less fit patients with Ph-positive ALL, the use of TK inhibitors with reduced-intensity chemotherapy or steroids alone results in high rates of remission, but, without further consolidation, relapses are inevitable. Many novel targeted and immunotherapeutic agents are being developed, offering more effective and tolerable treatment options.","author":[{"dropping-particle":"","family":"Sawalha","given":"Yazeed","non-dropping-particle":"","parse-names":false,"suffix":""},{"dropping-particle":"","family":"Advani","given":"Anjali S","non-dropping-particle":"","parse-names":false,"suffix":""}],"container-title":"International journal of hematologic oncology","id":"ITEM-1","issue":"1","issued":{"date-parts":[["2018","3"]]},"page":"IJH02","title":"Management of older adults with acute lymphoblastic leukemia: challenges &amp; current approaches.","type":"article-journal","volume":"7"},"uris":["http://www.mendeley.com/documents/?uuid=e25fa6ec-b8a0-32e9-8add-524632e6d1ae"]}],"mendeley":{"formattedCitation":"[81]","plainTextFormattedCitation":"[81]","previouslyFormattedCitation":"[81]"},"properties":{"noteIndex":0},"schema":"https://github.com/citation-style-language/schema/raw/master/csl-citation.json"}</w:instrText>
      </w:r>
      <w:r w:rsidR="00F40DB0" w:rsidRPr="00296285">
        <w:fldChar w:fldCharType="separate"/>
      </w:r>
      <w:r w:rsidR="00A66456" w:rsidRPr="00A66456">
        <w:rPr>
          <w:noProof/>
        </w:rPr>
        <w:t>[81]</w:t>
      </w:r>
      <w:r w:rsidR="00F40DB0" w:rsidRPr="00296285">
        <w:fldChar w:fldCharType="end"/>
      </w:r>
      <w:r w:rsidR="00F40DB0" w:rsidRPr="00296285">
        <w:t>.</w:t>
      </w:r>
    </w:p>
    <w:p w14:paraId="68107921" w14:textId="77777777" w:rsidR="00254823" w:rsidRPr="00C27FEB" w:rsidRDefault="00254823" w:rsidP="00C27FEB">
      <w:pPr>
        <w:ind w:firstLine="709"/>
        <w:contextualSpacing/>
        <w:rPr>
          <w:b/>
          <w:color w:val="000000"/>
        </w:rPr>
      </w:pPr>
      <w:r w:rsidRPr="00296285">
        <w:rPr>
          <w:b/>
          <w:color w:val="000000"/>
        </w:rPr>
        <w:t xml:space="preserve">Уровень убедительности рекомендаций </w:t>
      </w:r>
      <w:r w:rsidR="005A4BCE">
        <w:rPr>
          <w:b/>
          <w:color w:val="000000"/>
        </w:rPr>
        <w:t xml:space="preserve">– </w:t>
      </w:r>
      <w:r w:rsidRPr="00296285">
        <w:rPr>
          <w:b/>
          <w:color w:val="000000"/>
          <w:lang w:val="en-US"/>
        </w:rPr>
        <w:t>C</w:t>
      </w:r>
      <w:r w:rsidRPr="00296285">
        <w:rPr>
          <w:b/>
          <w:color w:val="000000"/>
        </w:rPr>
        <w:t xml:space="preserve"> (уровень достоверности доказательств – </w:t>
      </w:r>
      <w:r w:rsidR="00DF2A9E">
        <w:rPr>
          <w:b/>
          <w:color w:val="000000"/>
        </w:rPr>
        <w:t>5</w:t>
      </w:r>
      <w:r w:rsidR="00316D4F" w:rsidRPr="00296285">
        <w:rPr>
          <w:b/>
          <w:color w:val="000000"/>
        </w:rPr>
        <w:t>)</w:t>
      </w:r>
      <w:r w:rsidR="005A4BCE">
        <w:rPr>
          <w:b/>
          <w:color w:val="000000"/>
        </w:rPr>
        <w:t>.</w:t>
      </w:r>
    </w:p>
    <w:p w14:paraId="5B03D402" w14:textId="77777777" w:rsidR="00AD293A" w:rsidRPr="00296285" w:rsidRDefault="00AD293A" w:rsidP="00316D4F">
      <w:pPr>
        <w:ind w:firstLine="709"/>
        <w:contextualSpacing/>
        <w:rPr>
          <w:i/>
        </w:rPr>
      </w:pPr>
    </w:p>
    <w:p w14:paraId="3CE93595" w14:textId="77777777" w:rsidR="00E2464F" w:rsidRPr="00296285" w:rsidRDefault="00254823" w:rsidP="004905C2">
      <w:pPr>
        <w:pStyle w:val="2"/>
      </w:pPr>
      <w:bookmarkStart w:id="124" w:name="_Toc13484815"/>
      <w:bookmarkStart w:id="125" w:name="_Toc26796713"/>
      <w:bookmarkStart w:id="126" w:name="_Toc64467929"/>
      <w:bookmarkStart w:id="127" w:name="_Toc64565643"/>
      <w:r w:rsidRPr="00296285">
        <w:t>3.</w:t>
      </w:r>
      <w:r w:rsidR="00B50EF2" w:rsidRPr="00296285">
        <w:t>6</w:t>
      </w:r>
      <w:r w:rsidR="005A4BCE">
        <w:t>.</w:t>
      </w:r>
      <w:r w:rsidR="00465085" w:rsidRPr="00296285">
        <w:t xml:space="preserve"> </w:t>
      </w:r>
      <w:r w:rsidRPr="00296285">
        <w:t xml:space="preserve">Лечение </w:t>
      </w:r>
      <w:r w:rsidR="00316D4F" w:rsidRPr="00296285">
        <w:t xml:space="preserve">пациентов с </w:t>
      </w:r>
      <w:r w:rsidR="00E9082E">
        <w:t>Ph+</w:t>
      </w:r>
      <w:r w:rsidR="005F0E5D" w:rsidRPr="00296285">
        <w:t xml:space="preserve"> </w:t>
      </w:r>
      <w:bookmarkEnd w:id="124"/>
      <w:r w:rsidR="00D600BD">
        <w:t>ОЛЛ</w:t>
      </w:r>
      <w:bookmarkEnd w:id="125"/>
      <w:bookmarkEnd w:id="126"/>
      <w:bookmarkEnd w:id="127"/>
    </w:p>
    <w:p w14:paraId="59B95B56" w14:textId="47956F4A" w:rsidR="00254823" w:rsidRPr="007916D1" w:rsidRDefault="00E95851" w:rsidP="005A099E">
      <w:pPr>
        <w:contextualSpacing/>
        <w:rPr>
          <w:b/>
        </w:rPr>
      </w:pPr>
      <w:r w:rsidRPr="007916D1">
        <w:rPr>
          <w:b/>
        </w:rPr>
        <w:t>Х</w:t>
      </w:r>
      <w:r w:rsidR="005A099E" w:rsidRPr="007916D1">
        <w:rPr>
          <w:b/>
        </w:rPr>
        <w:t>Т</w:t>
      </w:r>
    </w:p>
    <w:p w14:paraId="36F1D3A6" w14:textId="04F8F45B" w:rsidR="00254823" w:rsidRPr="00296285" w:rsidRDefault="00FE531A" w:rsidP="00956D03">
      <w:pPr>
        <w:numPr>
          <w:ilvl w:val="0"/>
          <w:numId w:val="6"/>
        </w:numPr>
        <w:shd w:val="clear" w:color="auto" w:fill="FFFFFF"/>
        <w:tabs>
          <w:tab w:val="left" w:pos="288"/>
        </w:tabs>
      </w:pPr>
      <w:r>
        <w:t xml:space="preserve">Пациентам </w:t>
      </w:r>
      <w:r w:rsidR="00254823" w:rsidRPr="00296285">
        <w:t>в возрасте &lt;55 лет, либо кандидат</w:t>
      </w:r>
      <w:r w:rsidR="00A46FF0" w:rsidRPr="00296285">
        <w:t>ам</w:t>
      </w:r>
      <w:r w:rsidR="00254823" w:rsidRPr="00296285">
        <w:t xml:space="preserve"> для выполнения алло</w:t>
      </w:r>
      <w:r w:rsidR="00780B99" w:rsidRPr="00296285">
        <w:t>-</w:t>
      </w:r>
      <w:r w:rsidR="00254823" w:rsidRPr="00296285">
        <w:t>ТГСК</w:t>
      </w:r>
      <w:r w:rsidRPr="00F40DB0">
        <w:t xml:space="preserve"> </w:t>
      </w:r>
      <w:r w:rsidRPr="00E95851">
        <w:rPr>
          <w:b/>
        </w:rPr>
        <w:t>рекомендуется</w:t>
      </w:r>
      <w:r w:rsidR="00254823" w:rsidRPr="00296285">
        <w:t xml:space="preserve"> </w:t>
      </w:r>
      <w:r>
        <w:t xml:space="preserve">проведение </w:t>
      </w:r>
      <w:r w:rsidR="00254823" w:rsidRPr="00296285">
        <w:t>терапи</w:t>
      </w:r>
      <w:r>
        <w:t>и</w:t>
      </w:r>
      <w:r w:rsidR="00254823" w:rsidRPr="00296285">
        <w:t xml:space="preserve"> иматинибом** (600 мг/сут) в комбинации с </w:t>
      </w:r>
      <w:r w:rsidR="00A46FF0" w:rsidRPr="00296285">
        <w:t xml:space="preserve">ХТ </w:t>
      </w:r>
      <w:r w:rsidR="005A4BCE">
        <w:t>на основе 4–</w:t>
      </w:r>
      <w:r w:rsidR="00254823" w:rsidRPr="00296285">
        <w:t xml:space="preserve">5 препаратов </w:t>
      </w:r>
      <w:r w:rsidR="005A4BCE">
        <w:t>(схему</w:t>
      </w:r>
      <w:r w:rsidR="00316D4F" w:rsidRPr="00296285">
        <w:t xml:space="preserve"> терапии см. </w:t>
      </w:r>
      <w:r w:rsidR="005A4BCE">
        <w:t>в приложении</w:t>
      </w:r>
      <w:r w:rsidR="00316D4F" w:rsidRPr="00296285">
        <w:t xml:space="preserve"> </w:t>
      </w:r>
      <w:r w:rsidR="005F0E5D" w:rsidRPr="00296285">
        <w:t>А3.1</w:t>
      </w:r>
      <w:r w:rsidR="00254823" w:rsidRPr="00296285">
        <w:t>)</w:t>
      </w:r>
      <w:r w:rsidR="00F40DB0">
        <w:t xml:space="preserve"> </w:t>
      </w:r>
      <w:r w:rsidR="00F40DB0" w:rsidRPr="00296285">
        <w:fldChar w:fldCharType="begin" w:fldLock="1"/>
      </w:r>
      <w:r w:rsidR="002466C9">
        <w:instrText xml:space="preserve">ADDIN CSL_CITATION {"citationItems":[{"id":"ITEM-1","itemData":{"DOI":"10.1002/ajh.24926","ISSN":"1096-8652","PMID":"28971501","abstract":"Philadelphia chromosome-positive (Ph-positive) acute lymphoblastic leukemia (ALL) is a biologically, clinically, and genetically distinct subtype of precursor-B ALL. The Ph chromosome, results from a reciprocal translocation of the ABL1 kinase gene on chromosome 9 to the breakpoint cluster region (BCR) gene on chromosome 22. Depending on the translocation breakpoint, typically a p210 BCR-ABL1 or a p190 BCR-ABL onc protein are generated; both are constitutively active tyrosine kinases that play a central role to alter signaling pathways of cell proliferation, survival, and self-renewal, leading to leukemogenesis. In Ph-positive ALL, the p190-BCR-ABL (minor [m]-bcr) subtype is more frequent than the p210-BCR-ABL (major [M]-bcr) subtype, commonly found in chronic myeloid leukemia. The Philadelphia chromosome is the most frequent recurrent cytogenetic abnormality in elderly patients with ALL. Its incidence increases with age, reaching </w:instrText>
      </w:r>
      <w:r w:rsidR="002466C9">
        <w:rPr>
          <w:rFonts w:ascii="Cambria Math" w:hAnsi="Cambria Math" w:cs="Cambria Math"/>
        </w:rPr>
        <w:instrText>∼</w:instrText>
      </w:r>
      <w:r w:rsidR="002466C9">
        <w:instrText>50% in patients with ALL aged 60 years and over. Patients traditionally had a very poor outcome with chemotherapy, particularly if they do not undergo allogeneic hematopoietic cell transplantation (allo-HCT) in first complete remission (CR1). With the availability of multiple tyrosine kinase inhibitors (TKI), the therapeutic armamentarium is expanding quickly. However, there is no consensus on how to best treat Ph-positive ALL. With modern therapy, improved outcomes have led to the emergence of a number of controversies, including the need for intensive chemotherapy, the ideal TKI, and whether all eligible patients should receive an allo-HSCT, and if so, what type. Here, we discuss these controversies in light of the available literature.","author":[{"dropping-particle":"","family":"Fakih","given":"Riad","non-dropping-particle":"El","parse-names":false,"suffix":""},{"dropping-particle":"","family":"Jabbour","given":"Elias","non-dropping-particle":"","parse-names":false,"suffix":""},{"dropping-particle":"","family":"Ravandi","given":"Farhad","non-dropping-particle":"","parse-names":false,"suffix":""},{"dropping-particle":"","family":"Hassanein","given":"Mona","non-dropping-particle":"","parse-names":false,"suffix":""},{"dropping-particle":"","family":"Anjum","given":"Farhan","non-dropping-particle":"","parse-names":false,"suffix":""},{"dropping-particle":"","family":"Ahmed","given":"Syed","non-dropping-particle":"","parse-names":false,"suffix":""},{"dropping-particle":"","family":"Kantarjian","given":"Hagop","non-dropping-particle":"","parse-names":false,"suffix":""}],"container-title":"American journal of hematology","id":"ITEM-1","issue":"2","issued":{"date-parts":[["2018","2"]]},"page":"286-295","title":"Current paradigms in the management of Philadelphia chromosome positive acute lymphoblastic leukemia in adults.","type":"article-journal","volume":"93"},"uris":["http://www.mendeley.com/documents/?uuid=a659863f-b726-3b17-95e8-c59bf5045469"]}],"mendeley":{"formattedCitation":"[52]","plainTextFormattedCitation":"[52]","previouslyFormattedCitation":"[52]"},"properties":{"noteIndex":0},"schema":"https://github.com/citation-style-language/schema/raw/master/csl-citation.json"}</w:instrText>
      </w:r>
      <w:r w:rsidR="00F40DB0" w:rsidRPr="00296285">
        <w:fldChar w:fldCharType="separate"/>
      </w:r>
      <w:r w:rsidR="00A66456" w:rsidRPr="00A66456">
        <w:rPr>
          <w:noProof/>
        </w:rPr>
        <w:t>[52]</w:t>
      </w:r>
      <w:r w:rsidR="00F40DB0" w:rsidRPr="00296285">
        <w:fldChar w:fldCharType="end"/>
      </w:r>
      <w:r w:rsidR="00F40DB0" w:rsidRPr="00296285">
        <w:t>.</w:t>
      </w:r>
    </w:p>
    <w:p w14:paraId="7651663C" w14:textId="77777777" w:rsidR="00254823" w:rsidRPr="00296285" w:rsidRDefault="00254823" w:rsidP="00316D4F">
      <w:pPr>
        <w:shd w:val="clear" w:color="auto" w:fill="FFFFFF"/>
        <w:tabs>
          <w:tab w:val="left" w:pos="288"/>
        </w:tabs>
        <w:ind w:firstLine="709"/>
        <w:contextualSpacing/>
        <w:rPr>
          <w:b/>
          <w:color w:val="000000"/>
          <w:szCs w:val="27"/>
        </w:rPr>
      </w:pPr>
      <w:r w:rsidRPr="00296285">
        <w:rPr>
          <w:b/>
          <w:color w:val="000000"/>
          <w:szCs w:val="27"/>
        </w:rPr>
        <w:t xml:space="preserve">Уровень убедительности рекомендаций </w:t>
      </w:r>
      <w:r w:rsidR="00282C1C">
        <w:rPr>
          <w:b/>
          <w:color w:val="000000"/>
          <w:szCs w:val="27"/>
        </w:rPr>
        <w:t xml:space="preserve">– </w:t>
      </w:r>
      <w:r w:rsidR="00DF2A9E">
        <w:rPr>
          <w:b/>
          <w:color w:val="000000"/>
          <w:szCs w:val="27"/>
        </w:rPr>
        <w:t>С</w:t>
      </w:r>
      <w:r w:rsidR="00DF2A9E" w:rsidRPr="00296285">
        <w:rPr>
          <w:b/>
          <w:color w:val="000000"/>
          <w:szCs w:val="27"/>
        </w:rPr>
        <w:t xml:space="preserve"> </w:t>
      </w:r>
      <w:r w:rsidRPr="00296285">
        <w:rPr>
          <w:b/>
          <w:color w:val="000000"/>
          <w:szCs w:val="27"/>
        </w:rPr>
        <w:t>(уровень д</w:t>
      </w:r>
      <w:r w:rsidR="00316D4F" w:rsidRPr="00296285">
        <w:rPr>
          <w:b/>
          <w:color w:val="000000"/>
          <w:szCs w:val="27"/>
        </w:rPr>
        <w:t xml:space="preserve">остоверности доказательств – </w:t>
      </w:r>
      <w:r w:rsidR="00DF2A9E">
        <w:rPr>
          <w:b/>
          <w:color w:val="000000"/>
          <w:szCs w:val="27"/>
        </w:rPr>
        <w:t>5</w:t>
      </w:r>
      <w:r w:rsidR="00316D4F" w:rsidRPr="00296285">
        <w:rPr>
          <w:b/>
          <w:color w:val="000000"/>
          <w:szCs w:val="27"/>
        </w:rPr>
        <w:t>)</w:t>
      </w:r>
      <w:r w:rsidR="00282C1C">
        <w:rPr>
          <w:b/>
          <w:color w:val="000000"/>
          <w:szCs w:val="27"/>
        </w:rPr>
        <w:t>.</w:t>
      </w:r>
    </w:p>
    <w:p w14:paraId="2BCC1152" w14:textId="77777777" w:rsidR="00254823" w:rsidRPr="0050379F" w:rsidRDefault="00282C1C" w:rsidP="00316D4F">
      <w:pPr>
        <w:shd w:val="clear" w:color="auto" w:fill="FFFFFF"/>
        <w:ind w:firstLine="709"/>
        <w:contextualSpacing/>
      </w:pPr>
      <w:r>
        <w:rPr>
          <w:b/>
          <w:color w:val="000000"/>
          <w:szCs w:val="27"/>
        </w:rPr>
        <w:t>Комментарии</w:t>
      </w:r>
      <w:r w:rsidR="00254823" w:rsidRPr="00296285">
        <w:rPr>
          <w:b/>
          <w:color w:val="000000"/>
          <w:szCs w:val="27"/>
        </w:rPr>
        <w:t xml:space="preserve">: </w:t>
      </w:r>
      <w:r w:rsidR="00AE1E7C" w:rsidRPr="00296285">
        <w:rPr>
          <w:i/>
        </w:rPr>
        <w:t xml:space="preserve">обнаружение </w:t>
      </w:r>
      <w:r w:rsidR="00254823" w:rsidRPr="00296285">
        <w:rPr>
          <w:i/>
        </w:rPr>
        <w:t>у ~30</w:t>
      </w:r>
      <w:r>
        <w:rPr>
          <w:i/>
        </w:rPr>
        <w:t xml:space="preserve"> </w:t>
      </w:r>
      <w:r w:rsidR="00254823" w:rsidRPr="00296285">
        <w:rPr>
          <w:i/>
        </w:rPr>
        <w:t xml:space="preserve">% </w:t>
      </w:r>
      <w:r w:rsidR="00316D4F" w:rsidRPr="00296285">
        <w:rPr>
          <w:i/>
        </w:rPr>
        <w:t>пациентов с</w:t>
      </w:r>
      <w:r w:rsidR="00254823" w:rsidRPr="00296285">
        <w:rPr>
          <w:i/>
        </w:rPr>
        <w:t xml:space="preserve"> ОЛЛ транслокации </w:t>
      </w:r>
      <w:r w:rsidR="00254823" w:rsidRPr="00296285">
        <w:rPr>
          <w:i/>
          <w:lang w:val="en-US"/>
        </w:rPr>
        <w:t>t</w:t>
      </w:r>
      <w:r w:rsidR="00254823" w:rsidRPr="00296285">
        <w:rPr>
          <w:i/>
        </w:rPr>
        <w:t>(9;22) и, соответственно, химерного транскрипта BCR-ABL позволяет использовать в лечении этой формы ОЛЛ иматиниб**</w:t>
      </w:r>
      <w:r w:rsidR="00A5114B" w:rsidRPr="00296285">
        <w:rPr>
          <w:i/>
        </w:rPr>
        <w:t xml:space="preserve"> </w:t>
      </w:r>
      <w:r w:rsidR="00254823" w:rsidRPr="00296285">
        <w:rPr>
          <w:i/>
        </w:rPr>
        <w:t>–</w:t>
      </w:r>
      <w:r w:rsidR="00316D4F" w:rsidRPr="00296285">
        <w:rPr>
          <w:i/>
        </w:rPr>
        <w:t xml:space="preserve"> </w:t>
      </w:r>
      <w:r>
        <w:rPr>
          <w:i/>
        </w:rPr>
        <w:t>ИТК 1-го</w:t>
      </w:r>
      <w:r w:rsidR="00254823" w:rsidRPr="00296285">
        <w:rPr>
          <w:i/>
        </w:rPr>
        <w:t xml:space="preserve"> поколения, подавляющ</w:t>
      </w:r>
      <w:r w:rsidR="00A46FF0" w:rsidRPr="00296285">
        <w:rPr>
          <w:i/>
        </w:rPr>
        <w:t>ий</w:t>
      </w:r>
      <w:r w:rsidR="00254823" w:rsidRPr="00296285">
        <w:rPr>
          <w:i/>
        </w:rPr>
        <w:t xml:space="preserve"> активность тирозинкиназы BCR-ABL, </w:t>
      </w:r>
      <w:r w:rsidR="00A46FF0" w:rsidRPr="00296285">
        <w:rPr>
          <w:i/>
        </w:rPr>
        <w:t xml:space="preserve">позволяющий </w:t>
      </w:r>
      <w:r w:rsidR="00254823" w:rsidRPr="00296285">
        <w:rPr>
          <w:i/>
        </w:rPr>
        <w:t>достичь в монорежиме гематологический ответ у 70</w:t>
      </w:r>
      <w:r>
        <w:rPr>
          <w:i/>
        </w:rPr>
        <w:t xml:space="preserve"> </w:t>
      </w:r>
      <w:r w:rsidR="00254823" w:rsidRPr="00296285">
        <w:rPr>
          <w:i/>
        </w:rPr>
        <w:t xml:space="preserve">% </w:t>
      </w:r>
      <w:r w:rsidR="00F84735" w:rsidRPr="00296285">
        <w:rPr>
          <w:i/>
        </w:rPr>
        <w:t>пациентов</w:t>
      </w:r>
      <w:r w:rsidR="00254823" w:rsidRPr="00296285">
        <w:rPr>
          <w:i/>
        </w:rPr>
        <w:t>, с часто</w:t>
      </w:r>
      <w:r w:rsidR="00254823" w:rsidRPr="0050379F">
        <w:rPr>
          <w:i/>
        </w:rPr>
        <w:t xml:space="preserve">той </w:t>
      </w:r>
      <w:r w:rsidR="00F84735">
        <w:rPr>
          <w:i/>
        </w:rPr>
        <w:t xml:space="preserve">достижения </w:t>
      </w:r>
      <w:r w:rsidR="00C863DF">
        <w:rPr>
          <w:i/>
        </w:rPr>
        <w:t>ПР</w:t>
      </w:r>
      <w:r>
        <w:rPr>
          <w:i/>
        </w:rPr>
        <w:t xml:space="preserve"> лишь в 19–</w:t>
      </w:r>
      <w:r w:rsidR="00254823" w:rsidRPr="0050379F">
        <w:rPr>
          <w:i/>
        </w:rPr>
        <w:t>20</w:t>
      </w:r>
      <w:r>
        <w:rPr>
          <w:i/>
        </w:rPr>
        <w:t xml:space="preserve"> </w:t>
      </w:r>
      <w:r w:rsidR="00254823" w:rsidRPr="0050379F">
        <w:rPr>
          <w:i/>
        </w:rPr>
        <w:t>% случа</w:t>
      </w:r>
      <w:r>
        <w:rPr>
          <w:i/>
        </w:rPr>
        <w:t>е</w:t>
      </w:r>
      <w:r w:rsidR="00254823" w:rsidRPr="0050379F">
        <w:rPr>
          <w:i/>
        </w:rPr>
        <w:t xml:space="preserve">в. В связи с </w:t>
      </w:r>
      <w:r w:rsidR="00A46FF0">
        <w:rPr>
          <w:i/>
        </w:rPr>
        <w:t>этим</w:t>
      </w:r>
      <w:r w:rsidR="00A46FF0" w:rsidRPr="0050379F">
        <w:rPr>
          <w:i/>
        </w:rPr>
        <w:t xml:space="preserve"> </w:t>
      </w:r>
      <w:r w:rsidR="00254823" w:rsidRPr="0050379F">
        <w:rPr>
          <w:i/>
        </w:rPr>
        <w:t>в настоящее время разрабатываются различные комбинированные схемы с использованием цитостатических препарат</w:t>
      </w:r>
      <w:r>
        <w:rPr>
          <w:i/>
        </w:rPr>
        <w:t>ов, позволяющих достичь ПР у 90–</w:t>
      </w:r>
      <w:r w:rsidR="00254823" w:rsidRPr="0050379F">
        <w:rPr>
          <w:i/>
        </w:rPr>
        <w:t>95</w:t>
      </w:r>
      <w:r>
        <w:rPr>
          <w:i/>
        </w:rPr>
        <w:t xml:space="preserve"> </w:t>
      </w:r>
      <w:r w:rsidR="00254823" w:rsidRPr="0050379F">
        <w:rPr>
          <w:i/>
        </w:rPr>
        <w:t xml:space="preserve">% </w:t>
      </w:r>
      <w:r w:rsidR="00316D4F">
        <w:rPr>
          <w:i/>
        </w:rPr>
        <w:t>пациентов</w:t>
      </w:r>
      <w:r w:rsidR="00254823" w:rsidRPr="0050379F">
        <w:rPr>
          <w:i/>
        </w:rPr>
        <w:t xml:space="preserve">, а также улучшить качества ответа перед </w:t>
      </w:r>
      <w:r w:rsidR="00C863DF">
        <w:rPr>
          <w:i/>
        </w:rPr>
        <w:t>ТГСК</w:t>
      </w:r>
      <w:r w:rsidR="00254823" w:rsidRPr="0050379F">
        <w:rPr>
          <w:i/>
        </w:rPr>
        <w:t>.</w:t>
      </w:r>
      <w:r w:rsidR="00254823">
        <w:t xml:space="preserve"> </w:t>
      </w:r>
    </w:p>
    <w:p w14:paraId="4EC144A4" w14:textId="150D8D59" w:rsidR="00254823" w:rsidRPr="003A6598" w:rsidRDefault="00254823" w:rsidP="00956D03">
      <w:pPr>
        <w:numPr>
          <w:ilvl w:val="0"/>
          <w:numId w:val="6"/>
        </w:numPr>
        <w:shd w:val="clear" w:color="auto" w:fill="FFFFFF"/>
        <w:tabs>
          <w:tab w:val="left" w:pos="288"/>
        </w:tabs>
      </w:pPr>
      <w:r>
        <w:rPr>
          <w:b/>
        </w:rPr>
        <w:t>Рекомендуется</w:t>
      </w:r>
      <w:r>
        <w:t xml:space="preserve"> пациентам старше 55 лет, не являющимся кандидатами на выполнение ТГСК</w:t>
      </w:r>
      <w:r w:rsidR="00AE1E7C">
        <w:t>,</w:t>
      </w:r>
      <w:r>
        <w:t xml:space="preserve"> терапия иматинибом</w:t>
      </w:r>
      <w:r w:rsidRPr="00177CA8">
        <w:t>**</w:t>
      </w:r>
      <w:r>
        <w:t xml:space="preserve"> с возможным добавлением к нему глюкокортикостероидов и/или </w:t>
      </w:r>
      <w:r w:rsidR="00C863DF">
        <w:t>ХТ</w:t>
      </w:r>
      <w:r w:rsidR="00F40DB0">
        <w:t xml:space="preserve"> </w:t>
      </w:r>
      <w:r w:rsidR="00F40DB0">
        <w:fldChar w:fldCharType="begin" w:fldLock="1"/>
      </w:r>
      <w:r w:rsidR="002466C9">
        <w:instrText>ADDIN CSL_CITATION {"citationItems":[{"id":"ITEM-1","itemData":{"DOI":"10.2217/ijh-2017-0023","ISSN":"2045-1393","PMID":"30302234","abstract":"The management of acute lymphoblastic leukemia (ALL) in older patients is challenging. Older patients often have multiple comorbidities and poor performance status, and disease factors associated with poor prognosis are more common in this age group. Patient and disease-related factors should be taken into account to determine whether intensive therapy is appropriate. The use of comorbidity indices and comprehensive geriatric assessment tools can be valuable in this setting. Fit patients should be considered for aggressive therapies including allogeneic hematopoietic stem cell transplantation, whereas low intensity options may be more suitable for the frail. The Philadelphia (Ph) chromosome is present in up to half of the cases of ALL in older patients. The incorporation of TK inhibitors into the treatment plans of older patients with Ph-positive ALL has improved the outcomes significantly. For less fit patients with Ph-positive ALL, the use of TK inhibitors with reduced-intensity chemotherapy or steroids alone results in high rates of remission, but, without further consolidation, relapses are inevitable. Many novel targeted and immunotherapeutic agents are being developed, offering more effective and tolerable treatment options.","author":[{"dropping-particle":"","family":"Sawalha","given":"Yazeed","non-dropping-particle":"","parse-names":false,"suffix":""},{"dropping-particle":"","family":"Advani","given":"Anjali S","non-dropping-particle":"","parse-names":false,"suffix":""}],"container-title":"International journal of hematologic oncology","id":"ITEM-1","issue":"1","issued":{"date-parts":[["2018","3"]]},"page":"IJH02","title":"Management of older adults with acute lymphoblastic leukemia: challenges &amp; current approaches.","type":"article-journal","volume":"7"},"uris":["http://www.mendeley.com/documents/?uuid=e25fa6ec-b8a0-32e9-8add-524632e6d1ae"]}],"mendeley":{"formattedCitation":"[81]","plainTextFormattedCitation":"[81]","previouslyFormattedCitation":"[81]"},"properties":{"noteIndex":0},"schema":"https://github.com/citation-style-language/schema/raw/master/csl-citation.json"}</w:instrText>
      </w:r>
      <w:r w:rsidR="00F40DB0">
        <w:fldChar w:fldCharType="separate"/>
      </w:r>
      <w:r w:rsidR="00A66456" w:rsidRPr="00A66456">
        <w:rPr>
          <w:noProof/>
        </w:rPr>
        <w:t>[81]</w:t>
      </w:r>
      <w:r w:rsidR="00F40DB0">
        <w:fldChar w:fldCharType="end"/>
      </w:r>
      <w:r w:rsidR="00F40DB0">
        <w:t>.</w:t>
      </w:r>
    </w:p>
    <w:p w14:paraId="677316DA" w14:textId="77777777" w:rsidR="00254823" w:rsidRDefault="00254823" w:rsidP="00316D4F">
      <w:pPr>
        <w:shd w:val="clear" w:color="auto" w:fill="FFFFFF"/>
        <w:tabs>
          <w:tab w:val="left" w:pos="288"/>
        </w:tabs>
        <w:ind w:firstLine="709"/>
        <w:contextualSpacing/>
        <w:rPr>
          <w:b/>
          <w:color w:val="000000"/>
          <w:szCs w:val="27"/>
        </w:rPr>
      </w:pPr>
      <w:r w:rsidRPr="001B39AB">
        <w:rPr>
          <w:b/>
          <w:color w:val="000000"/>
        </w:rPr>
        <w:t xml:space="preserve">Уровень убедительности рекомендаций </w:t>
      </w:r>
      <w:r w:rsidR="00282C1C" w:rsidRPr="001B39AB">
        <w:rPr>
          <w:b/>
          <w:color w:val="000000"/>
        </w:rPr>
        <w:t xml:space="preserve">– </w:t>
      </w:r>
      <w:r w:rsidR="00002D28">
        <w:rPr>
          <w:b/>
          <w:color w:val="000000"/>
          <w:lang w:val="en-US"/>
        </w:rPr>
        <w:t>C</w:t>
      </w:r>
      <w:r w:rsidR="00002D28" w:rsidRPr="001B39AB">
        <w:rPr>
          <w:b/>
          <w:color w:val="000000"/>
        </w:rPr>
        <w:t xml:space="preserve"> </w:t>
      </w:r>
      <w:r w:rsidRPr="001B39AB">
        <w:rPr>
          <w:b/>
          <w:color w:val="000000"/>
        </w:rPr>
        <w:t>(уровень д</w:t>
      </w:r>
      <w:r w:rsidR="00316D4F" w:rsidRPr="001B39AB">
        <w:rPr>
          <w:b/>
          <w:color w:val="000000"/>
        </w:rPr>
        <w:t xml:space="preserve">остоверности доказательств – </w:t>
      </w:r>
      <w:r w:rsidR="00002D28" w:rsidRPr="002A76AB">
        <w:rPr>
          <w:b/>
          <w:color w:val="000000"/>
        </w:rPr>
        <w:t>5</w:t>
      </w:r>
      <w:r w:rsidR="00316D4F" w:rsidRPr="001B39AB">
        <w:rPr>
          <w:b/>
          <w:color w:val="000000"/>
        </w:rPr>
        <w:t>)</w:t>
      </w:r>
      <w:r w:rsidR="00282C1C" w:rsidRPr="001B39AB">
        <w:rPr>
          <w:b/>
          <w:color w:val="000000"/>
        </w:rPr>
        <w:t>.</w:t>
      </w:r>
    </w:p>
    <w:p w14:paraId="454089C7" w14:textId="77777777" w:rsidR="00254823" w:rsidRPr="00570BCA" w:rsidRDefault="00282C1C" w:rsidP="00316D4F">
      <w:pPr>
        <w:shd w:val="clear" w:color="auto" w:fill="FFFFFF"/>
        <w:ind w:firstLine="709"/>
        <w:contextualSpacing/>
        <w:rPr>
          <w:i/>
        </w:rPr>
      </w:pPr>
      <w:r>
        <w:rPr>
          <w:b/>
        </w:rPr>
        <w:t>Комментарии</w:t>
      </w:r>
      <w:r w:rsidR="00254823" w:rsidRPr="0050379F">
        <w:rPr>
          <w:b/>
        </w:rPr>
        <w:t>:</w:t>
      </w:r>
      <w:r w:rsidR="00254823" w:rsidRPr="0050379F">
        <w:t xml:space="preserve"> </w:t>
      </w:r>
      <w:r w:rsidR="00AD293A" w:rsidRPr="0050379F">
        <w:rPr>
          <w:i/>
        </w:rPr>
        <w:t xml:space="preserve">терапевтические </w:t>
      </w:r>
      <w:r w:rsidR="00254823" w:rsidRPr="0050379F">
        <w:rPr>
          <w:i/>
        </w:rPr>
        <w:t xml:space="preserve">подходы </w:t>
      </w:r>
      <w:r w:rsidR="00501817">
        <w:rPr>
          <w:i/>
        </w:rPr>
        <w:t xml:space="preserve">к </w:t>
      </w:r>
      <w:r w:rsidR="00254823" w:rsidRPr="0050379F">
        <w:rPr>
          <w:i/>
        </w:rPr>
        <w:t>лечени</w:t>
      </w:r>
      <w:r w:rsidR="00501817">
        <w:rPr>
          <w:i/>
        </w:rPr>
        <w:t>ю</w:t>
      </w:r>
      <w:r w:rsidR="00254823">
        <w:rPr>
          <w:i/>
        </w:rPr>
        <w:t xml:space="preserve"> пациентов старше 55 лет</w:t>
      </w:r>
      <w:r w:rsidR="00254823" w:rsidRPr="0050379F">
        <w:rPr>
          <w:i/>
        </w:rPr>
        <w:t xml:space="preserve"> направлены в большей степени на снижение интенсивности терапии за счет применения в качестве базовой терапии иматиниба</w:t>
      </w:r>
      <w:r w:rsidR="00254823">
        <w:rPr>
          <w:i/>
        </w:rPr>
        <w:t>**</w:t>
      </w:r>
      <w:r w:rsidR="00254823" w:rsidRPr="0050379F">
        <w:rPr>
          <w:i/>
        </w:rPr>
        <w:t xml:space="preserve"> (в фиксированной дозе 800 мг/сутки) в </w:t>
      </w:r>
      <w:r w:rsidR="00254823" w:rsidRPr="0050379F">
        <w:rPr>
          <w:i/>
        </w:rPr>
        <w:lastRenderedPageBreak/>
        <w:t xml:space="preserve">комбинации с </w:t>
      </w:r>
      <w:r w:rsidR="00254823" w:rsidRPr="00570BCA">
        <w:rPr>
          <w:i/>
        </w:rPr>
        <w:t>пероральным преднизолоном</w:t>
      </w:r>
      <w:r w:rsidR="00254823">
        <w:rPr>
          <w:i/>
        </w:rPr>
        <w:t>**</w:t>
      </w:r>
      <w:r w:rsidR="00254823" w:rsidRPr="00570BCA">
        <w:rPr>
          <w:i/>
        </w:rPr>
        <w:t xml:space="preserve"> (в дозе 40 мг/м</w:t>
      </w:r>
      <w:r w:rsidR="00254823" w:rsidRPr="00570BCA">
        <w:rPr>
          <w:i/>
          <w:vertAlign w:val="superscript"/>
        </w:rPr>
        <w:t>2</w:t>
      </w:r>
      <w:r w:rsidR="00254823" w:rsidRPr="00570BCA">
        <w:rPr>
          <w:i/>
        </w:rPr>
        <w:t xml:space="preserve"> в сутки), а также </w:t>
      </w:r>
      <w:r>
        <w:rPr>
          <w:i/>
        </w:rPr>
        <w:t xml:space="preserve">с </w:t>
      </w:r>
      <w:r w:rsidR="00254823" w:rsidRPr="00570BCA">
        <w:rPr>
          <w:i/>
        </w:rPr>
        <w:t xml:space="preserve">низкоинтенсивными режимами </w:t>
      </w:r>
      <w:r w:rsidR="00C863DF">
        <w:rPr>
          <w:i/>
        </w:rPr>
        <w:t>ХТ</w:t>
      </w:r>
      <w:r w:rsidR="00C863DF" w:rsidRPr="00570BCA">
        <w:rPr>
          <w:i/>
        </w:rPr>
        <w:t xml:space="preserve"> </w:t>
      </w:r>
      <w:r w:rsidR="00254823" w:rsidRPr="00570BCA">
        <w:rPr>
          <w:i/>
        </w:rPr>
        <w:t>(винкристином</w:t>
      </w:r>
      <w:r w:rsidR="00254823">
        <w:rPr>
          <w:i/>
        </w:rPr>
        <w:t>**</w:t>
      </w:r>
      <w:r w:rsidR="00254823" w:rsidRPr="00570BCA">
        <w:rPr>
          <w:i/>
        </w:rPr>
        <w:t xml:space="preserve"> и дексаметазоном**).</w:t>
      </w:r>
    </w:p>
    <w:p w14:paraId="57F2764D" w14:textId="7EFF8CA5" w:rsidR="00254823" w:rsidRPr="003A6598" w:rsidRDefault="00254823" w:rsidP="00956D03">
      <w:pPr>
        <w:numPr>
          <w:ilvl w:val="0"/>
          <w:numId w:val="6"/>
        </w:numPr>
        <w:contextualSpacing/>
      </w:pPr>
      <w:r w:rsidRPr="00C27FEB">
        <w:rPr>
          <w:b/>
        </w:rPr>
        <w:t>Рекомендуется</w:t>
      </w:r>
      <w:r w:rsidRPr="003A6598">
        <w:t xml:space="preserve"> выполнять профилактику нейролейкемии </w:t>
      </w:r>
      <w:r w:rsidR="00316D4F">
        <w:t xml:space="preserve">всем пациентам </w:t>
      </w:r>
      <w:r w:rsidRPr="003A6598">
        <w:t xml:space="preserve">согласно выбранному протоколу (см. приложение </w:t>
      </w:r>
      <w:r w:rsidR="009230D2">
        <w:rPr>
          <w:lang w:val="en-US"/>
        </w:rPr>
        <w:t>A</w:t>
      </w:r>
      <w:r w:rsidR="009230D2" w:rsidRPr="009230D2">
        <w:t>3.</w:t>
      </w:r>
      <w:r w:rsidRPr="003A6598">
        <w:t>1)</w:t>
      </w:r>
      <w:r w:rsidR="00F40DB0">
        <w:t xml:space="preserve"> </w:t>
      </w:r>
      <w:r w:rsidR="00F40DB0">
        <w:fldChar w:fldCharType="begin" w:fldLock="1"/>
      </w:r>
      <w:r w:rsidR="002466C9">
        <w:instrText>ADDIN CSL_CITATION {"citationItems":[{"id":"ITEM-1","itemData":{"DOI":"10.1179/102453308X343374","ISSN":"1607-8454","PMID":"18854093","abstract":"Central nervous system (CNS) involvement is identified at the time of diagnosis in less than 10% of adult acute lymphoblastic leukemia (ALL). These patients can attain long-term disease-free survival. CNS disease at presentation does not appear to be an independent poor prognostic factor. Because of the difficulty in treating CNS leukemia, innovative treatments and alternative delivery techniques are needed. The outcome in such patients is a reflection of an aggressive systemic and CNS-directed therapy. However, CNS toxicity represents the dose-limiting side effect of treatment. With effective CNS prophylaxis including intrathecal chemotherapy, high-dose systemic administration of certain agents and cranial irradiation, most adults with ALL without CNS disease at diagnosis may remain free of CNS leukemia. Leukemic relapse remains a major therapeutic problem and CNS involvement at the time of relapse occurs in 1-15% of cases. Adult ALL with CNS recurrence remains of poor prognosis and is generally associated with a systemic relapse.","author":[{"dropping-particle":"","family":"Thomas","given":"Xavier","non-dropping-particle":"","parse-names":false,"suffix":""},{"dropping-particle":"","family":"Le","given":"Quoc-Hung","non-dropping-particle":"","parse-names":false,"suffix":""}],"container-title":"Hematology (Amsterdam, Netherlands)","id":"ITEM-1","issue":"5","issued":{"date-parts":[["2008","10"]]},"page":"293-302","title":"Central nervous system involvement in adult acute lymphoblastic leukemia.","type":"article-journal","volume":"13"},"uris":["http://www.mendeley.com/documents/?uuid=3d5b1d9c-6171-3cf7-86e6-b237edded1ab"]}],"mendeley":{"formattedCitation":"[39]","plainTextFormattedCitation":"[39]","previouslyFormattedCitation":"[39]"},"properties":{"noteIndex":0},"schema":"https://github.com/citation-style-language/schema/raw/master/csl-citation.json"}</w:instrText>
      </w:r>
      <w:r w:rsidR="00F40DB0">
        <w:fldChar w:fldCharType="separate"/>
      </w:r>
      <w:r w:rsidR="00A66456" w:rsidRPr="00A66456">
        <w:rPr>
          <w:noProof/>
        </w:rPr>
        <w:t>[39]</w:t>
      </w:r>
      <w:r w:rsidR="00F40DB0">
        <w:fldChar w:fldCharType="end"/>
      </w:r>
      <w:r w:rsidR="00F40DB0">
        <w:t>.</w:t>
      </w:r>
    </w:p>
    <w:p w14:paraId="0BB14E1A" w14:textId="77777777" w:rsidR="00254823" w:rsidRDefault="00254823" w:rsidP="00316D4F">
      <w:pPr>
        <w:ind w:firstLine="709"/>
        <w:contextualSpacing/>
        <w:rPr>
          <w:b/>
          <w:color w:val="000000"/>
          <w:szCs w:val="27"/>
        </w:rPr>
      </w:pPr>
      <w:r>
        <w:rPr>
          <w:b/>
          <w:color w:val="000000"/>
          <w:szCs w:val="27"/>
        </w:rPr>
        <w:t xml:space="preserve">Уровень убедительности рекомендаций </w:t>
      </w:r>
      <w:r w:rsidR="00282C1C">
        <w:rPr>
          <w:b/>
          <w:color w:val="000000"/>
          <w:szCs w:val="27"/>
        </w:rPr>
        <w:t xml:space="preserve">– </w:t>
      </w:r>
      <w:r w:rsidR="00527579">
        <w:rPr>
          <w:b/>
          <w:color w:val="000000"/>
          <w:szCs w:val="27"/>
        </w:rPr>
        <w:t>С</w:t>
      </w:r>
      <w:r>
        <w:rPr>
          <w:b/>
          <w:color w:val="000000"/>
          <w:szCs w:val="27"/>
        </w:rPr>
        <w:t xml:space="preserve"> (уровень д</w:t>
      </w:r>
      <w:r w:rsidR="00316D4F">
        <w:rPr>
          <w:b/>
          <w:color w:val="000000"/>
          <w:szCs w:val="27"/>
        </w:rPr>
        <w:t xml:space="preserve">остоверности доказательств – </w:t>
      </w:r>
      <w:r w:rsidR="00527579">
        <w:rPr>
          <w:b/>
          <w:color w:val="000000"/>
          <w:szCs w:val="27"/>
        </w:rPr>
        <w:t>5</w:t>
      </w:r>
      <w:r w:rsidR="00316D4F">
        <w:rPr>
          <w:b/>
          <w:color w:val="000000"/>
          <w:szCs w:val="27"/>
        </w:rPr>
        <w:t>)</w:t>
      </w:r>
      <w:r w:rsidR="00282C1C">
        <w:rPr>
          <w:b/>
          <w:color w:val="000000"/>
          <w:szCs w:val="27"/>
        </w:rPr>
        <w:t>.</w:t>
      </w:r>
    </w:p>
    <w:p w14:paraId="2C0E0507" w14:textId="77777777" w:rsidR="00254823" w:rsidRPr="00282C1C" w:rsidRDefault="00282C1C" w:rsidP="00282C1C">
      <w:pPr>
        <w:ind w:firstLine="709"/>
        <w:contextualSpacing/>
        <w:rPr>
          <w:i/>
        </w:rPr>
      </w:pPr>
      <w:r>
        <w:rPr>
          <w:b/>
          <w:color w:val="000000"/>
          <w:szCs w:val="27"/>
        </w:rPr>
        <w:t>Комментарии</w:t>
      </w:r>
      <w:r w:rsidR="00254823">
        <w:rPr>
          <w:b/>
          <w:color w:val="000000"/>
          <w:szCs w:val="27"/>
        </w:rPr>
        <w:t xml:space="preserve">: </w:t>
      </w:r>
      <w:r w:rsidR="009230D2">
        <w:rPr>
          <w:i/>
        </w:rPr>
        <w:t>иматиниб</w:t>
      </w:r>
      <w:r w:rsidR="00254823">
        <w:rPr>
          <w:i/>
        </w:rPr>
        <w:t xml:space="preserve">** </w:t>
      </w:r>
      <w:r w:rsidR="00254823" w:rsidRPr="0050379F">
        <w:rPr>
          <w:i/>
        </w:rPr>
        <w:t>недостаточно прони</w:t>
      </w:r>
      <w:r w:rsidR="00F6538E">
        <w:rPr>
          <w:i/>
        </w:rPr>
        <w:t xml:space="preserve">кает через гематоэнцефалический </w:t>
      </w:r>
      <w:r w:rsidR="00254823" w:rsidRPr="0050379F">
        <w:rPr>
          <w:i/>
        </w:rPr>
        <w:t>барьер</w:t>
      </w:r>
      <w:r>
        <w:rPr>
          <w:i/>
        </w:rPr>
        <w:t>,</w:t>
      </w:r>
      <w:r w:rsidR="00254823" w:rsidRPr="0050379F">
        <w:rPr>
          <w:i/>
        </w:rPr>
        <w:t xml:space="preserve"> и его концентрация в спинномоз</w:t>
      </w:r>
      <w:r>
        <w:rPr>
          <w:i/>
        </w:rPr>
        <w:t>говой жидкости достигает лишь 1–</w:t>
      </w:r>
      <w:r w:rsidR="00254823" w:rsidRPr="0050379F">
        <w:rPr>
          <w:i/>
        </w:rPr>
        <w:t>2</w:t>
      </w:r>
      <w:r>
        <w:rPr>
          <w:i/>
        </w:rPr>
        <w:t xml:space="preserve"> </w:t>
      </w:r>
      <w:r w:rsidR="00254823" w:rsidRPr="0050379F">
        <w:rPr>
          <w:i/>
        </w:rPr>
        <w:t>% от таковой в сыворотке крови. Поэтому всем пациентам с Ph+ ОЛЛ необходимо проведен</w:t>
      </w:r>
      <w:r w:rsidR="00254823">
        <w:rPr>
          <w:i/>
        </w:rPr>
        <w:t xml:space="preserve">ие активной нейропрофилактики. </w:t>
      </w:r>
    </w:p>
    <w:p w14:paraId="30E39F42" w14:textId="77777777" w:rsidR="00254823" w:rsidRPr="001E66FD" w:rsidRDefault="00254823" w:rsidP="008163CC">
      <w:pPr>
        <w:rPr>
          <w:b/>
        </w:rPr>
      </w:pPr>
      <w:r w:rsidRPr="001E66FD">
        <w:rPr>
          <w:b/>
        </w:rPr>
        <w:t>Постиндукционная терапия</w:t>
      </w:r>
      <w:r w:rsidR="00E2464F">
        <w:rPr>
          <w:b/>
        </w:rPr>
        <w:t xml:space="preserve"> </w:t>
      </w:r>
    </w:p>
    <w:p w14:paraId="276165EB" w14:textId="0FA45EF1" w:rsidR="00254823" w:rsidRPr="00570BCA" w:rsidRDefault="00254823" w:rsidP="00956D03">
      <w:pPr>
        <w:numPr>
          <w:ilvl w:val="0"/>
          <w:numId w:val="6"/>
        </w:numPr>
        <w:rPr>
          <w:color w:val="222222"/>
          <w:spacing w:val="3"/>
        </w:rPr>
      </w:pPr>
      <w:r w:rsidRPr="0006296E">
        <w:rPr>
          <w:b/>
        </w:rPr>
        <w:t>Рекомендуется</w:t>
      </w:r>
      <w:r w:rsidRPr="00570BCA">
        <w:t xml:space="preserve"> выполнение алло</w:t>
      </w:r>
      <w:r w:rsidR="00501817">
        <w:t>-</w:t>
      </w:r>
      <w:r w:rsidRPr="00570BCA">
        <w:t>ТГСК от сиб</w:t>
      </w:r>
      <w:r w:rsidR="00316D4F">
        <w:t>линга или неродственного донора</w:t>
      </w:r>
      <w:r w:rsidRPr="00570BCA">
        <w:t xml:space="preserve"> пациентам, которые имеют показания и относятся к группе высокого риска</w:t>
      </w:r>
      <w:r w:rsidR="00253239">
        <w:t xml:space="preserve"> (см. раздел 3.2 </w:t>
      </w:r>
      <w:r w:rsidR="00282C1C">
        <w:t>«</w:t>
      </w:r>
      <w:r w:rsidR="00253239">
        <w:t>Прогностические факторы эффективности лечения</w:t>
      </w:r>
      <w:r w:rsidR="00282C1C">
        <w:t>»</w:t>
      </w:r>
      <w:r w:rsidR="00253239">
        <w:t>)</w:t>
      </w:r>
      <w:r w:rsidR="00282C1C">
        <w:t xml:space="preserve"> </w:t>
      </w:r>
      <w:r w:rsidR="00F40DB0">
        <w:fldChar w:fldCharType="begin" w:fldLock="1"/>
      </w:r>
      <w:r w:rsidR="002466C9">
        <w:instrText>ADDIN CSL_CITATION {"citationItems":[{"id":"ITEM-1","itemData":{"DOI":"10.3324/haematol.2011.048348","ISSN":"03906078","author":[{"dropping-particle":"","family":"Ribera","given":"Josep Maria","non-dropping-particle":"","parse-names":false,"suffix":""}],"container-title":"Haematologica","id":"ITEM-1","issue":"8","issued":{"date-parts":[["2011","8"]]},"page":"1083-1086","title":"Allogeneic stem cell transplantation for adult acute lymphoblastic leukemia: When and how","type":"article-magazine","volume":"96"},"uris":["http://www.mendeley.com/documents/?uuid=90e6b733-8ee3-3ff2-999f-2ef3dbd93139"]},{"id":"ITEM-2","itemData":{"DOI":"10.1182/blood-2011-09-377713","ISSN":"1528-0020","PMID":"22442346","abstract":"Quantification of minimal residual disease (MRD) by real-time PCR directed to TCR and Ig gene rearrangements allows a refined evaluation of response in acute lymphoblastic leukemia (ALL). The German Multicenter Study Group for Adult ALL prospectively evaluated molecular response after induction/consolidation chemotherapy according to standardized methods and terminology in patients with Philadelphia chromosome-negative ALL. The cytologic complete response (CR) rate was 89% after induction phases 1 and 2. At this time point the molecular CR rate was 70% in 580 patients with cytologic CR and evaluable MRD. Patients with molecular CR after consolidation had a significantly higher probability of continuous complete remission (CCR; 74% vs 35%; P &lt; .0001) and of overall survival (80% vs 42%; P = .0001) compared with patients with molecular failure. Patients with molecular failure without stem cell transplantation (SCT) in first CR relapsed after a median time of 7.6 months; CCR and survival at 5 years only reached 12% and 33%, respectively. Quantitative MRD assessment identified patients with molecular failure as a new high-risk group. These patients display resistance to conventional drugs and are candidates for treatment with targeted, experimental drugs and allogeneic SCT. Molecular response was shown to be highly predictive for outcome and therefore constitutes a relevant study end point. The studies are registered at www.clinicaltrials.gov as NCT00199056 and NCT00198991.","author":[{"dropping-particle":"","family":"Gökbuget","given":"Nicola","non-dropping-particle":"","parse-names":false,"suffix":""},{"dropping-particle":"","family":"Kneba","given":"Michael","non-dropping-particle":"","parse-names":false,"suffix":""},{"dropping-particle":"","family":"Raff","given":"Thorsten","non-dropping-particle":"","parse-names":false,"suffix":""},{"dropping-particle":"","family":"Trautmann","given":"Heiko","non-dropping-particle":"","parse-names":false,"suffix":""},{"dropping-particle":"","family":"Bartram","given":"Claus-Rainer","non-dropping-particle":"","parse-names":false,"suffix":""},{"dropping-particle":"","family":"Arnold","given":"Renate","non-dropping-particle":"","parse-names":false,"suffix":""},{"dropping-particle":"","family":"Fietkau","given":"Rainer","non-dropping-particle":"","parse-names":false,"suffix":""},{"dropping-particle":"","family":"Freund","given":"Mathias","non-dropping-particle":"","parse-names":false,"suffix":""},{"dropping-particle":"","family":"Ganser","given":"Arnold","non-dropping-particle":"","parse-names":false,"suffix":""},{"dropping-particle":"","family":"Ludwig","given":"Wolf-Dieter","non-dropping-particle":"","parse-names":false,"suffix":""},{"dropping-particle":"","family":"Maschmeyer","given":"Georg","non-dropping-particle":"","parse-names":false,"suffix":""},{"dropping-particle":"","family":"Rieder","given":"Harald","non-dropping-particle":"","parse-names":false,"suffix":""},{"dropping-particle":"","family":"Schwartz","given":"Stefan","non-dropping-particle":"","parse-names":false,"suffix":""},{"dropping-particle":"","family":"Serve","given":"Hubert","non-dropping-particle":"","parse-names":false,"suffix":""},{"dropping-particle":"","family":"Thiel","given":"Eckhard","non-dropping-particle":"","parse-names":false,"suffix":""},{"dropping-particle":"","family":"Brüggemann","given":"Monika","non-dropping-particle":"","parse-names":false,"suffix":""},{"dropping-particle":"","family":"Hoelzer","given":"Dieter","non-dropping-particle":"","parse-names":false,"suffix":""},{"dropping-particle":"","family":"German Multicenter Study Group for Adult Acute Lymphoblastic Leukemia","given":"","non-dropping-particle":"","parse-names":false,"suffix":""}],"container-title":"Blood","id":"ITEM-2","issue":"9","issued":{"date-parts":[["2012","8","30"]]},"page":"1868-76","title":"Adult patients with acute lymphoblastic leukemia and molecular failure display a poor prognosis and are candidates for stem cell transplantation and targeted therapies.","type":"article-journal","volume":"120"},"uris":["http://www.mendeley.com/documents/?uuid=8085a756-02e2-3c8c-b56c-bec838e6ba45"]}],"mendeley":{"formattedCitation":"[47,55]","plainTextFormattedCitation":"[47,55]","previouslyFormattedCitation":"[47,55]"},"properties":{"noteIndex":0},"schema":"https://github.com/citation-style-language/schema/raw/master/csl-citation.json"}</w:instrText>
      </w:r>
      <w:r w:rsidR="00F40DB0">
        <w:fldChar w:fldCharType="separate"/>
      </w:r>
      <w:r w:rsidR="00A66456" w:rsidRPr="00A66456">
        <w:rPr>
          <w:noProof/>
        </w:rPr>
        <w:t>[47,55]</w:t>
      </w:r>
      <w:r w:rsidR="00F40DB0">
        <w:fldChar w:fldCharType="end"/>
      </w:r>
      <w:r w:rsidR="00F40DB0">
        <w:t>.</w:t>
      </w:r>
    </w:p>
    <w:p w14:paraId="5E8FB206" w14:textId="77777777" w:rsidR="00254823" w:rsidRDefault="00254823" w:rsidP="00316D4F">
      <w:pPr>
        <w:shd w:val="clear" w:color="auto" w:fill="FFFFFF"/>
        <w:tabs>
          <w:tab w:val="left" w:pos="288"/>
        </w:tabs>
        <w:ind w:firstLine="709"/>
        <w:contextualSpacing/>
      </w:pPr>
      <w:r>
        <w:rPr>
          <w:b/>
          <w:color w:val="000000"/>
          <w:szCs w:val="27"/>
        </w:rPr>
        <w:t xml:space="preserve">Уровень убедительности рекомендаций </w:t>
      </w:r>
      <w:r w:rsidR="00282C1C">
        <w:rPr>
          <w:b/>
          <w:color w:val="000000"/>
          <w:szCs w:val="27"/>
        </w:rPr>
        <w:t xml:space="preserve">– </w:t>
      </w:r>
      <w:r w:rsidR="00B70DCD">
        <w:rPr>
          <w:b/>
          <w:color w:val="000000"/>
          <w:szCs w:val="27"/>
        </w:rPr>
        <w:t xml:space="preserve">С </w:t>
      </w:r>
      <w:r>
        <w:rPr>
          <w:b/>
          <w:color w:val="000000"/>
          <w:szCs w:val="27"/>
        </w:rPr>
        <w:t>(уровень д</w:t>
      </w:r>
      <w:r w:rsidR="00316D4F">
        <w:rPr>
          <w:b/>
          <w:color w:val="000000"/>
          <w:szCs w:val="27"/>
        </w:rPr>
        <w:t xml:space="preserve">остоверности доказательств – </w:t>
      </w:r>
      <w:r w:rsidR="00B70DCD">
        <w:rPr>
          <w:b/>
          <w:color w:val="000000"/>
          <w:szCs w:val="27"/>
        </w:rPr>
        <w:t>4</w:t>
      </w:r>
      <w:r w:rsidR="00316D4F">
        <w:rPr>
          <w:b/>
          <w:color w:val="000000"/>
          <w:szCs w:val="27"/>
        </w:rPr>
        <w:t>)</w:t>
      </w:r>
      <w:r w:rsidR="00282C1C">
        <w:rPr>
          <w:b/>
          <w:color w:val="000000"/>
          <w:szCs w:val="27"/>
        </w:rPr>
        <w:t>.</w:t>
      </w:r>
    </w:p>
    <w:p w14:paraId="49AD7F39" w14:textId="751E7C24" w:rsidR="00254823" w:rsidRDefault="00254823" w:rsidP="00956D03">
      <w:pPr>
        <w:numPr>
          <w:ilvl w:val="0"/>
          <w:numId w:val="6"/>
        </w:numPr>
        <w:shd w:val="clear" w:color="auto" w:fill="FFFFFF"/>
        <w:tabs>
          <w:tab w:val="left" w:pos="288"/>
        </w:tabs>
      </w:pPr>
      <w:r>
        <w:rPr>
          <w:b/>
        </w:rPr>
        <w:t>Рекомендуется</w:t>
      </w:r>
      <w:r>
        <w:t xml:space="preserve"> выполнение ауто</w:t>
      </w:r>
      <w:r w:rsidR="00501817">
        <w:t>-</w:t>
      </w:r>
      <w:r>
        <w:t xml:space="preserve">ТГСК при отсутствии </w:t>
      </w:r>
      <w:r>
        <w:rPr>
          <w:lang w:val="en-US"/>
        </w:rPr>
        <w:t>HLA</w:t>
      </w:r>
      <w:r>
        <w:t xml:space="preserve">-идентичного донора у </w:t>
      </w:r>
      <w:r w:rsidR="00AF128D">
        <w:t>МОБ</w:t>
      </w:r>
      <w:r>
        <w:t>-негативных пациентов с последующей поддерживающей терапией ИТК</w:t>
      </w:r>
      <w:r w:rsidR="00DD7518" w:rsidRPr="00DD7518">
        <w:t xml:space="preserve"> </w:t>
      </w:r>
      <w:r w:rsidR="00282C1C">
        <w:t xml:space="preserve"> </w:t>
      </w:r>
      <w:r w:rsidR="00F40DB0">
        <w:fldChar w:fldCharType="begin" w:fldLock="1"/>
      </w:r>
      <w:r w:rsidR="002466C9">
        <w:instrText>ADDIN CSL_CITATION {"citationItems":[{"id":"ITEM-1","itemData":{"DOI":"10.3324/haematol.2013.085811","ISSN":"03906078","abstract":"Allogeneic stem cell transplantation is the standard approach to Philadelphia chromosome positive acute lym-phoblastic leukemia. We hypothesized that imatinib plus sequential chemotherapy will result in significant leukemia cell cytoreduction in patients with Philadelphia chromosome positive acute lymphoblastic leukemia, allowing collection of normal hematopoietic stem cells uncontaminated by residual BCR/ABL1+ lymphoblasts and thus reduce the likelihood of relapse after autologous stem cell transplantation for patients under 60 years of age without sibling donors. We enrolled 58 patients; 19 underwent autologous and 15 underwent allogeneic stem cell transplantation on study. Imatinib plus sequential chemotherapy resulted in reverse-transcriptase polymerase chain reaction-negative stem cells in 9 patients and remained minimally positive in 4 (6 were not evaluable). Overall survival (median 6.0 years vs. not reached) and disease-free survival (median 3.5 vs. 4.1 years) were similar between those who underwent autologous and those who underwent allogeneic stem cell transplantation. We conclude that autologous stem cell transplantation represents a safe and effective alternative for allogeneic stem cell transplantation in Philadelphia chromosome positive acute lymphoblastic leukemia patients without sibling donors (clinicaltrials.gov identifier:00039377). © 2013 Ferrata Storti Foundation.","author":[{"dropping-particle":"","family":"Wetzler","given":"Meir","non-dropping-particle":"","parse-names":false,"suffix":""},{"dropping-particle":"","family":"Watson","given":"Dorothy","non-dropping-particle":"","parse-names":false,"suffix":""},{"dropping-particle":"","family":"Stock","given":"Wendy","non-dropping-particle":"","parse-names":false,"suffix":""},{"dropping-particle":"","family":"Koval","given":"Gregory","non-dropping-particle":"","parse-names":false,"suffix":""},{"dropping-particle":"","family":"Mulkey","given":"Flora A.","non-dropping-particle":"","parse-names":false,"suffix":""},{"dropping-particle":"","family":"Hoke","given":"Eva E.","non-dropping-particle":"","parse-names":false,"suffix":""},{"dropping-particle":"","family":"McCarty","given":"John M.","non-dropping-particle":"","parse-names":false,"suffix":""},{"dropping-particle":"","family":"Blum","given":"William G.","non-dropping-particle":"","parse-names":false,"suffix":""},{"dropping-particle":"","family":"Powell","given":"Bayard L.","non-dropping-particle":"","parse-names":false,"suffix":""},{"dropping-particle":"","family":"Marcucci","given":"Guido","non-dropping-particle":"","parse-names":false,"suffix":""},{"dropping-particle":"","family":"Bloomfield","given":"Clara D.","non-dropping-particle":"","parse-names":false,"suffix":""},{"dropping-particle":"","family":"Linker","given":"Charles A.","non-dropping-particle":"","parse-names":false,"suffix":""},{"dropping-particle":"","family":"Larson","given":"Richard A.","non-dropping-particle":"","parse-names":false,"suffix":""}],"container-title":"Haematologica","id":"ITEM-1","issue":"1","issued":{"date-parts":[["2014","1","1"]]},"page":"111-115","title":"Autologous transplantation for Philadelphia chromosome-positive acute lymphoblastic leukemia achieves outcomes similar to allogeneic transplantation: Results of CALGB study 10001 (alliance)","type":"article-journal","volume":"99"},"uris":["http://www.mendeley.com/documents/?uuid=c6adfc0f-cf4b-3113-a3aa-6eb1a006c948"]}],"mendeley":{"formattedCitation":"[82]","plainTextFormattedCitation":"[82]","previouslyFormattedCitation":"[82]"},"properties":{"noteIndex":0},"schema":"https://github.com/citation-style-language/schema/raw/master/csl-citation.json"}</w:instrText>
      </w:r>
      <w:r w:rsidR="00F40DB0">
        <w:fldChar w:fldCharType="separate"/>
      </w:r>
      <w:r w:rsidR="00A66456" w:rsidRPr="00A66456">
        <w:rPr>
          <w:noProof/>
        </w:rPr>
        <w:t>[82]</w:t>
      </w:r>
      <w:r w:rsidR="00F40DB0">
        <w:fldChar w:fldCharType="end"/>
      </w:r>
      <w:r w:rsidR="00F40DB0">
        <w:t>.</w:t>
      </w:r>
    </w:p>
    <w:p w14:paraId="1FF68EE4" w14:textId="77777777" w:rsidR="00254823" w:rsidRPr="00316D4F" w:rsidRDefault="00254823" w:rsidP="00316D4F">
      <w:pPr>
        <w:shd w:val="clear" w:color="auto" w:fill="FFFFFF"/>
        <w:tabs>
          <w:tab w:val="left" w:pos="288"/>
        </w:tabs>
        <w:ind w:firstLine="709"/>
        <w:contextualSpacing/>
      </w:pPr>
      <w:r w:rsidRPr="0050379F">
        <w:rPr>
          <w:b/>
          <w:color w:val="000000"/>
          <w:szCs w:val="27"/>
        </w:rPr>
        <w:t>Урове</w:t>
      </w:r>
      <w:r>
        <w:rPr>
          <w:b/>
          <w:color w:val="000000"/>
          <w:szCs w:val="27"/>
        </w:rPr>
        <w:t xml:space="preserve">нь убедительности рекомендаций </w:t>
      </w:r>
      <w:r w:rsidR="00282C1C">
        <w:rPr>
          <w:b/>
          <w:color w:val="000000"/>
          <w:szCs w:val="27"/>
        </w:rPr>
        <w:t xml:space="preserve">– </w:t>
      </w:r>
      <w:r w:rsidR="00002D28">
        <w:rPr>
          <w:b/>
          <w:color w:val="000000"/>
          <w:szCs w:val="27"/>
          <w:lang w:val="en-US"/>
        </w:rPr>
        <w:t>B</w:t>
      </w:r>
      <w:r w:rsidR="00002D28" w:rsidRPr="0050379F">
        <w:rPr>
          <w:b/>
          <w:color w:val="000000"/>
          <w:szCs w:val="27"/>
        </w:rPr>
        <w:t xml:space="preserve"> </w:t>
      </w:r>
      <w:r w:rsidRPr="0050379F">
        <w:rPr>
          <w:b/>
          <w:color w:val="000000"/>
          <w:szCs w:val="27"/>
        </w:rPr>
        <w:t xml:space="preserve">(уровень </w:t>
      </w:r>
      <w:r>
        <w:rPr>
          <w:b/>
          <w:color w:val="000000"/>
          <w:szCs w:val="27"/>
        </w:rPr>
        <w:t xml:space="preserve">достоверности доказательств – </w:t>
      </w:r>
      <w:r w:rsidR="00002D28" w:rsidRPr="00AE06CA">
        <w:rPr>
          <w:b/>
          <w:color w:val="000000"/>
          <w:szCs w:val="27"/>
        </w:rPr>
        <w:t>3</w:t>
      </w:r>
      <w:r w:rsidR="00316D4F">
        <w:rPr>
          <w:b/>
          <w:color w:val="000000"/>
          <w:szCs w:val="27"/>
        </w:rPr>
        <w:t>)</w:t>
      </w:r>
      <w:r w:rsidR="00282C1C">
        <w:rPr>
          <w:b/>
          <w:color w:val="000000"/>
          <w:szCs w:val="27"/>
        </w:rPr>
        <w:t>.</w:t>
      </w:r>
    </w:p>
    <w:p w14:paraId="50D48ADB" w14:textId="77777777" w:rsidR="00316D4F" w:rsidRDefault="00254823" w:rsidP="008163CC">
      <w:pPr>
        <w:rPr>
          <w:b/>
        </w:rPr>
      </w:pPr>
      <w:r w:rsidRPr="001E66FD">
        <w:rPr>
          <w:b/>
        </w:rPr>
        <w:t xml:space="preserve">Поддерживающая </w:t>
      </w:r>
      <w:r w:rsidR="00E2464F" w:rsidRPr="001E66FD">
        <w:rPr>
          <w:b/>
        </w:rPr>
        <w:t>терапия</w:t>
      </w:r>
      <w:r w:rsidR="00E2464F">
        <w:rPr>
          <w:b/>
        </w:rPr>
        <w:t xml:space="preserve"> </w:t>
      </w:r>
    </w:p>
    <w:p w14:paraId="04DFDF16" w14:textId="0B32DDE5" w:rsidR="00254823" w:rsidRPr="00316D4F" w:rsidRDefault="00254823" w:rsidP="00956D03">
      <w:pPr>
        <w:numPr>
          <w:ilvl w:val="0"/>
          <w:numId w:val="6"/>
        </w:numPr>
        <w:jc w:val="left"/>
        <w:rPr>
          <w:b/>
        </w:rPr>
      </w:pPr>
      <w:r>
        <w:rPr>
          <w:b/>
        </w:rPr>
        <w:t>Рекомендуется</w:t>
      </w:r>
      <w:r>
        <w:t xml:space="preserve"> всем пациентам с Ph+ ОЛЛ</w:t>
      </w:r>
      <w:r w:rsidR="00316D4F">
        <w:t xml:space="preserve"> использование комбинации ИТК с </w:t>
      </w:r>
      <w:r w:rsidR="00501817">
        <w:t xml:space="preserve">пероральной </w:t>
      </w:r>
      <w:r w:rsidR="00C863DF">
        <w:t>ХТ</w:t>
      </w:r>
      <w:r w:rsidR="00282C1C">
        <w:t xml:space="preserve"> </w:t>
      </w:r>
      <w:r w:rsidR="00F40DB0">
        <w:fldChar w:fldCharType="begin" w:fldLock="1"/>
      </w:r>
      <w:r w:rsidR="002466C9">
        <w:instrText xml:space="preserve">ADDIN CSL_CITATION {"citationItems":[{"id":"ITEM-1","itemData":{"DOI":"10.1002/ajh.24926","ISSN":"1096-8652","PMID":"28971501","abstract":"Philadelphia chromosome-positive (Ph-positive) acute lymphoblastic leukemia (ALL) is a biologically, clinically, and genetically distinct subtype of precursor-B ALL. The Ph chromosome, results from a reciprocal translocation of the ABL1 kinase gene on chromosome 9 to the breakpoint cluster region (BCR) gene on chromosome 22. Depending on the translocation breakpoint, typically a p210 BCR-ABL1 or a p190 BCR-ABL onc protein are generated; both are constitutively active tyrosine kinases that play a central role to alter signaling pathways of cell proliferation, survival, and self-renewal, leading to leukemogenesis. In Ph-positive ALL, the p190-BCR-ABL (minor [m]-bcr) subtype is more frequent than the p210-BCR-ABL (major [M]-bcr) subtype, commonly found in chronic myeloid leukemia. The Philadelphia chromosome is the most frequent recurrent cytogenetic abnormality in elderly patients with ALL. Its incidence increases with age, reaching </w:instrText>
      </w:r>
      <w:r w:rsidR="002466C9">
        <w:rPr>
          <w:rFonts w:ascii="Cambria Math" w:hAnsi="Cambria Math" w:cs="Cambria Math"/>
        </w:rPr>
        <w:instrText>∼</w:instrText>
      </w:r>
      <w:r w:rsidR="002466C9">
        <w:instrText>50% in patients with ALL aged 60 years and over. Patients traditionally had a very poor outcome with chemotherapy, particularly if they do not undergo allogeneic hematopoietic cell transplantation (allo-HCT) in first complete remission (CR1). With the availability of multiple tyrosine kinase inhibitors (TKI), the therapeutic armamentarium is expanding quickly. However, there is no consensus on how to best treat Ph-positive ALL. With modern therapy, improved outcomes have led to the emergence of a number of controversies, including the need for intensive chemotherapy, the ideal TKI, and whether all eligible patients should receive an allo-HSCT, and if so, what type. Here, we discuss these controversies in light of the available literature.","author":[{"dropping-particle":"","family":"Fakih","given":"Riad","non-dropping-particle":"El","parse-names":false,"suffix":""},{"dropping-particle":"","family":"Jabbour","given":"Elias","non-dropping-particle":"","parse-names":false,"suffix":""},{"dropping-particle":"","family":"Ravandi","given":"Farhad","non-dropping-particle":"","parse-names":false,"suffix":""},{"dropping-particle":"","family":"Hassanein","given":"Mona","non-dropping-particle":"","parse-names":false,"suffix":""},{"dropping-particle":"","family":"Anjum","given":"Farhan","non-dropping-particle":"","parse-names":false,"suffix":""},{"dropping-particle":"","family":"Ahmed","given":"Syed","non-dropping-particle":"","parse-names":false,"suffix":""},{"dropping-particle":"","family":"Kantarjian","given":"Hagop","non-dropping-particle":"","parse-names":false,"suffix":""}],"container-title":"American journal of hematology","id":"ITEM-1","issue":"2","issued":{"date-parts":[["2018","2"]]},"page":"286-295","title":"Current paradigms in the management of Philadelphia chromosome positive acute lymphoblastic leukemia in adults.","type":"article-journal","volume":"93"},"uris":["http://www.mendeley.com/documents/?uuid=a659863f-b726-3b17-95e8-c59bf5045469"]}],"mendeley":{"formattedCitation":"[52]","plainTextFormattedCitation":"[52]","previouslyFormattedCitation":"[52]"},"properties":{"noteIndex":0},"schema":"https://github.com/citation-style-language/schema/raw/master/csl-citation.json"}</w:instrText>
      </w:r>
      <w:r w:rsidR="00F40DB0">
        <w:fldChar w:fldCharType="separate"/>
      </w:r>
      <w:r w:rsidR="00A66456" w:rsidRPr="00A66456">
        <w:rPr>
          <w:noProof/>
        </w:rPr>
        <w:t>[52]</w:t>
      </w:r>
      <w:r w:rsidR="00F40DB0">
        <w:fldChar w:fldCharType="end"/>
      </w:r>
      <w:r w:rsidR="00F40DB0">
        <w:t>.</w:t>
      </w:r>
    </w:p>
    <w:p w14:paraId="1B7DF535" w14:textId="77777777" w:rsidR="00254823" w:rsidRPr="00F84735" w:rsidRDefault="00254823" w:rsidP="00F84735">
      <w:pPr>
        <w:shd w:val="clear" w:color="auto" w:fill="FFFFFF"/>
        <w:tabs>
          <w:tab w:val="left" w:pos="288"/>
        </w:tabs>
        <w:ind w:firstLine="709"/>
        <w:contextualSpacing/>
        <w:rPr>
          <w:b/>
          <w:color w:val="000000"/>
          <w:szCs w:val="27"/>
        </w:rPr>
      </w:pPr>
      <w:r>
        <w:rPr>
          <w:b/>
          <w:color w:val="000000"/>
          <w:szCs w:val="27"/>
        </w:rPr>
        <w:t xml:space="preserve">Уровень убедительности рекомендаций </w:t>
      </w:r>
      <w:r w:rsidR="00282C1C">
        <w:rPr>
          <w:b/>
          <w:color w:val="000000"/>
          <w:szCs w:val="27"/>
        </w:rPr>
        <w:t xml:space="preserve">– </w:t>
      </w:r>
      <w:r>
        <w:rPr>
          <w:b/>
          <w:color w:val="000000"/>
          <w:szCs w:val="27"/>
          <w:lang w:val="en-US"/>
        </w:rPr>
        <w:t>B</w:t>
      </w:r>
      <w:r>
        <w:rPr>
          <w:b/>
          <w:color w:val="000000"/>
          <w:szCs w:val="27"/>
        </w:rPr>
        <w:t xml:space="preserve"> (уровень д</w:t>
      </w:r>
      <w:r w:rsidR="00316D4F">
        <w:rPr>
          <w:b/>
          <w:color w:val="000000"/>
          <w:szCs w:val="27"/>
        </w:rPr>
        <w:t xml:space="preserve">остоверности доказательств – </w:t>
      </w:r>
      <w:r w:rsidR="002E4FC4">
        <w:rPr>
          <w:b/>
          <w:color w:val="000000"/>
          <w:szCs w:val="27"/>
        </w:rPr>
        <w:t>3</w:t>
      </w:r>
      <w:r w:rsidR="00316D4F">
        <w:rPr>
          <w:b/>
          <w:color w:val="000000"/>
          <w:szCs w:val="27"/>
        </w:rPr>
        <w:t>)</w:t>
      </w:r>
      <w:r w:rsidR="00282C1C">
        <w:rPr>
          <w:b/>
          <w:color w:val="000000"/>
          <w:szCs w:val="27"/>
        </w:rPr>
        <w:t>.</w:t>
      </w:r>
    </w:p>
    <w:p w14:paraId="4A34BE28" w14:textId="77777777" w:rsidR="00D71675" w:rsidRPr="00296285" w:rsidRDefault="00D71675" w:rsidP="008163CC">
      <w:pPr>
        <w:ind w:firstLine="709"/>
        <w:rPr>
          <w:b/>
          <w:color w:val="000000"/>
        </w:rPr>
      </w:pPr>
      <w:r w:rsidRPr="00296285">
        <w:rPr>
          <w:b/>
          <w:color w:val="000000"/>
        </w:rPr>
        <w:t xml:space="preserve">Терапия </w:t>
      </w:r>
      <w:r w:rsidRPr="00296285">
        <w:rPr>
          <w:b/>
          <w:color w:val="000000"/>
          <w:lang w:val="en-US"/>
        </w:rPr>
        <w:t>Ph</w:t>
      </w:r>
      <w:r w:rsidRPr="00296285">
        <w:rPr>
          <w:b/>
          <w:color w:val="000000"/>
        </w:rPr>
        <w:t xml:space="preserve">-позитивного </w:t>
      </w:r>
      <w:r w:rsidR="00282C1C">
        <w:rPr>
          <w:b/>
          <w:color w:val="000000"/>
        </w:rPr>
        <w:t>ОЛЛ</w:t>
      </w:r>
      <w:r w:rsidRPr="00296285">
        <w:rPr>
          <w:b/>
          <w:color w:val="000000"/>
        </w:rPr>
        <w:t xml:space="preserve"> у пожилых пациентов</w:t>
      </w:r>
    </w:p>
    <w:p w14:paraId="646FDE71" w14:textId="1C99F478" w:rsidR="00D71675" w:rsidRPr="00296285" w:rsidRDefault="00D71675" w:rsidP="00956D03">
      <w:pPr>
        <w:numPr>
          <w:ilvl w:val="0"/>
          <w:numId w:val="6"/>
        </w:numPr>
      </w:pPr>
      <w:r w:rsidRPr="00296285">
        <w:rPr>
          <w:b/>
        </w:rPr>
        <w:t>Рекомендуется</w:t>
      </w:r>
      <w:r w:rsidRPr="00296285">
        <w:t xml:space="preserve"> всем пациентам </w:t>
      </w:r>
      <w:r w:rsidR="00282C1C">
        <w:t xml:space="preserve">с </w:t>
      </w:r>
      <w:r w:rsidRPr="00296285">
        <w:t>Ph-позитивным ОЛЛ</w:t>
      </w:r>
      <w:r w:rsidR="003775CB" w:rsidRPr="00296285">
        <w:t xml:space="preserve"> старше 55 лет</w:t>
      </w:r>
      <w:r w:rsidRPr="00296285">
        <w:t xml:space="preserve"> проведени</w:t>
      </w:r>
      <w:r w:rsidR="00E95851">
        <w:t xml:space="preserve">е </w:t>
      </w:r>
      <w:r w:rsidR="00E95851" w:rsidRPr="009F500F">
        <w:t>Х</w:t>
      </w:r>
      <w:r w:rsidR="00282C1C">
        <w:t>Т иматинибом** +/– стероидами +/–</w:t>
      </w:r>
      <w:r w:rsidRPr="00296285">
        <w:t xml:space="preserve"> винкристином** с последующей консолидационной терапией</w:t>
      </w:r>
      <w:r w:rsidR="00282C1C">
        <w:t xml:space="preserve"> и поддерживающей </w:t>
      </w:r>
      <w:r w:rsidR="00DD7518">
        <w:t xml:space="preserve">терапией </w:t>
      </w:r>
      <w:r w:rsidR="00282C1C">
        <w:t>(схему</w:t>
      </w:r>
      <w:r w:rsidRPr="00296285">
        <w:t xml:space="preserve"> протокола см.</w:t>
      </w:r>
      <w:r w:rsidR="00282C1C">
        <w:t xml:space="preserve"> в</w:t>
      </w:r>
      <w:r w:rsidRPr="00296285">
        <w:t xml:space="preserve"> </w:t>
      </w:r>
      <w:r w:rsidR="00282C1C">
        <w:t>приложении</w:t>
      </w:r>
      <w:r w:rsidRPr="00296285">
        <w:t xml:space="preserve"> А3.1)</w:t>
      </w:r>
      <w:r w:rsidR="00282C1C">
        <w:t xml:space="preserve"> </w:t>
      </w:r>
      <w:r w:rsidR="00DD7518">
        <w:fldChar w:fldCharType="begin" w:fldLock="1"/>
      </w:r>
      <w:r w:rsidR="002466C9">
        <w:instrText xml:space="preserve">ADDIN CSL_CITATION {"citationItems":[{"id":"ITEM-1","itemData":{"DOI":"10.1002/ajh.24926","ISSN":"1096-8652","PMID":"28971501","abstract":"Philadelphia chromosome-positive (Ph-positive) acute lymphoblastic leukemia (ALL) is a biologically, clinically, and genetically distinct subtype of precursor-B ALL. The Ph chromosome, results from a reciprocal translocation of the ABL1 kinase gene on chromosome 9 to the breakpoint cluster region (BCR) gene on chromosome 22. Depending on the translocation breakpoint, typically a p210 BCR-ABL1 or a p190 BCR-ABL onc protein are generated; both are constitutively active tyrosine kinases that play a central role to alter signaling pathways of cell proliferation, survival, and self-renewal, leading to leukemogenesis. In Ph-positive ALL, the p190-BCR-ABL (minor [m]-bcr) subtype is more frequent than the p210-BCR-ABL (major [M]-bcr) subtype, commonly found in chronic myeloid leukemia. The Philadelphia chromosome is the most frequent recurrent cytogenetic abnormality in elderly patients with ALL. Its incidence increases with age, reaching </w:instrText>
      </w:r>
      <w:r w:rsidR="002466C9">
        <w:rPr>
          <w:rFonts w:ascii="Cambria Math" w:hAnsi="Cambria Math" w:cs="Cambria Math"/>
        </w:rPr>
        <w:instrText>∼</w:instrText>
      </w:r>
      <w:r w:rsidR="002466C9">
        <w:instrText>50% in patients with ALL aged 60 years and over. Patients traditionally had a very poor outcome with chemotherapy, particularly if they do not undergo allogeneic hematopoietic cell transplantation (allo-HCT) in first complete remission (CR1). With the availability of multiple tyrosine kinase inhibitors (TKI), the therapeutic armamentarium is expanding quickly. However, there is no consensus on how to best treat Ph-positive ALL. With modern therapy, improved outcomes have led to the emergence of a number of controversies, including the need for intensive chemotherapy, the ideal TKI, and whether all eligible patients should receive an allo-HSCT, and if so, what type. Here, we discuss these controversies in light of the available literature.","author":[{"dropping-particle":"","family":"Fakih","given":"Riad","non-dropping-particle":"El","parse-names":false,"suffix":""},{"dropping-particle":"","family":"Jabbour","given":"Elias","non-dropping-particle":"","parse-names":false,"suffix":""},{"dropping-particle":"","family":"Ravandi","given":"Farhad","non-dropping-particle":"","parse-names":false,"suffix":""},{"dropping-particle":"","family":"Hassanein","given":"Mona","non-dropping-particle":"","parse-names":false,"suffix":""},{"dropping-particle":"","family":"Anjum","given":"Farhan","non-dropping-particle":"","parse-names":false,"suffix":""},{"dropping-particle":"","family":"Ahmed","given":"Syed","non-dropping-particle":"","parse-names":false,"suffix":""},{"dropping-particle":"","family":"Kantarjian","given":"Hagop","non-dropping-particle":"","parse-names":false,"suffix":""}],"container-title":"American journal of hematology","id":"ITEM-1","issue":"2","issued":{"date-parts":[["2018","2"]]},"page":"286-295","title":"Current paradigms in the management of Philadelphia chromosome positive acute lymphoblastic leukemia in adults.","type":"article-journal","volume":"93"},"uris":["http://www.mendeley.com/documents/?uuid=a659863f-b726-3b17-95e8-c59bf5045469"]},{"id":"ITEM-2","itemData":{"DOI":"10.2217/ijh-2017-0023","ISSN":"2045-1393","PMID":"30302234","abstract":"The management of acute lymphoblastic leukemia (ALL) in older patients is challenging. Older patients often have multiple comorbidities and poor performance status, and disease factors associated with poor prognosis are more common in this age group. Patient and disease-related factors should be taken into account to determine whether intensive therapy is appropriate. The use of comorbidity indices and comprehensive geriatric assessment tools can be valuable in this setting. Fit patients should be considered for aggressive therapies including allogeneic hematopoietic stem cell transplantation, whereas low intensity options may be more suitable for the frail. The Philadelphia (Ph) chromosome is present in up to half of the cases of ALL in older patients. The incorporation of TK inhibitors into the treatment plans of older patients with Ph-positive ALL has improved the outcomes significantly. For less fit patients with Ph-positive ALL, the use of TK inhibitors with reduced-intensity chemotherapy or steroids alone results in high rates of remission, but, without further consolidation, relapses are inevitable. Many novel targeted and immunotherapeutic agents are being developed, offering more effective and tolerable treatment options.","author":[{"dropping-particle":"","family":"Sawalha","given":"Yazeed","non-dropping-particle":"","parse-names":false,"suffix":""},{"dropping-particle":"","family":"Advani","given":"Anjali S","non-dropping-particle":"","parse-names":false,"suffix":""}],"container-title":"International journal of hematologic oncology","id":"ITEM-2","issue":"1","issued":{"date-parts":[["2018","3"]]},"page":"IJH02","title":"Management of older adults with acute lymphoblastic leukemia: challenges &amp; current approaches.","type":"article-journal","volume":"7"},"uris":["http://www.mendeley.com/documents/?uuid=e25fa6ec-b8a0-32e9-8add-524632e6d1ae"]}],"mendeley":{"formattedCitation":"[52,81]","plainTextFormattedCitation":"[52,81]","previouslyFormattedCitation":"[52,81]"},"properties":{"noteIndex":0},"schema":"https://github.com/citation-style-language/schema/raw/master/csl-citation.json"}</w:instrText>
      </w:r>
      <w:r w:rsidR="00DD7518">
        <w:fldChar w:fldCharType="separate"/>
      </w:r>
      <w:r w:rsidR="00A66456" w:rsidRPr="00A66456">
        <w:rPr>
          <w:noProof/>
        </w:rPr>
        <w:t>[52,81]</w:t>
      </w:r>
      <w:r w:rsidR="00DD7518">
        <w:fldChar w:fldCharType="end"/>
      </w:r>
      <w:r w:rsidR="00F40DB0">
        <w:t>.</w:t>
      </w:r>
      <w:r w:rsidR="00F40DB0" w:rsidRPr="00282C1C">
        <w:t xml:space="preserve"> </w:t>
      </w:r>
    </w:p>
    <w:p w14:paraId="32B5940E" w14:textId="77777777" w:rsidR="00D71675" w:rsidRPr="00296285" w:rsidRDefault="00D71675" w:rsidP="00D71675">
      <w:pPr>
        <w:ind w:firstLine="709"/>
        <w:contextualSpacing/>
        <w:rPr>
          <w:b/>
          <w:color w:val="000000"/>
        </w:rPr>
      </w:pPr>
      <w:r w:rsidRPr="00DD7518">
        <w:rPr>
          <w:b/>
          <w:color w:val="000000"/>
        </w:rPr>
        <w:t>Уровень убедительности рекомендаций</w:t>
      </w:r>
      <w:r w:rsidR="00282C1C" w:rsidRPr="00DD7518">
        <w:rPr>
          <w:b/>
          <w:color w:val="000000"/>
        </w:rPr>
        <w:t xml:space="preserve"> –</w:t>
      </w:r>
      <w:r w:rsidRPr="00DD7518">
        <w:rPr>
          <w:b/>
          <w:color w:val="000000"/>
        </w:rPr>
        <w:t xml:space="preserve"> </w:t>
      </w:r>
      <w:r w:rsidR="003701E0" w:rsidRPr="00DD7518">
        <w:rPr>
          <w:b/>
          <w:color w:val="000000"/>
        </w:rPr>
        <w:t xml:space="preserve">С </w:t>
      </w:r>
      <w:r w:rsidRPr="00DD7518">
        <w:rPr>
          <w:b/>
          <w:color w:val="000000"/>
        </w:rPr>
        <w:t xml:space="preserve">(уровень достоверности доказательств – </w:t>
      </w:r>
      <w:r w:rsidR="003701E0" w:rsidRPr="00DD7518">
        <w:rPr>
          <w:b/>
          <w:color w:val="000000"/>
        </w:rPr>
        <w:t>5</w:t>
      </w:r>
      <w:r w:rsidRPr="00DD7518">
        <w:rPr>
          <w:b/>
          <w:color w:val="000000"/>
        </w:rPr>
        <w:t>)</w:t>
      </w:r>
      <w:r w:rsidR="00282C1C" w:rsidRPr="00DD7518">
        <w:rPr>
          <w:b/>
          <w:color w:val="000000"/>
        </w:rPr>
        <w:t>.</w:t>
      </w:r>
    </w:p>
    <w:p w14:paraId="7AFDB25A" w14:textId="2EF112AC" w:rsidR="00D71675" w:rsidRPr="00296285" w:rsidRDefault="00D71675" w:rsidP="00956D03">
      <w:pPr>
        <w:numPr>
          <w:ilvl w:val="0"/>
          <w:numId w:val="6"/>
        </w:numPr>
        <w:contextualSpacing/>
      </w:pPr>
      <w:r w:rsidRPr="00296285">
        <w:rPr>
          <w:b/>
        </w:rPr>
        <w:t>Рекомендуется</w:t>
      </w:r>
      <w:r w:rsidRPr="00296285">
        <w:t xml:space="preserve"> пациентам старше 55 лет с Ph-позитивным ОЛЛ в</w:t>
      </w:r>
      <w:r w:rsidR="00282C1C">
        <w:t>ыполнять алло-ТГСК с немиелоабля</w:t>
      </w:r>
      <w:r w:rsidRPr="00296285">
        <w:t xml:space="preserve">тивными режимами кондиционирования после оценки рисков </w:t>
      </w:r>
      <w:r w:rsidRPr="00296285">
        <w:lastRenderedPageBreak/>
        <w:t>трансплантационной летальности и коморбидности</w:t>
      </w:r>
      <w:r w:rsidR="00282C1C">
        <w:t xml:space="preserve"> </w:t>
      </w:r>
      <w:r w:rsidR="00F40DB0" w:rsidRPr="00296285">
        <w:fldChar w:fldCharType="begin" w:fldLock="1"/>
      </w:r>
      <w:r w:rsidR="002466C9">
        <w:instrText>ADDIN CSL_CITATION {"citationItems":[{"id":"ITEM-1","itemData":{"DOI":"10.2217/ijh-2017-0023","ISSN":"2045-1393","PMID":"30302234","abstract":"The management of acute lymphoblastic leukemia (ALL) in older patients is challenging. Older patients often have multiple comorbidities and poor performance status, and disease factors associated with poor prognosis are more common in this age group. Patient and disease-related factors should be taken into account to determine whether intensive therapy is appropriate. The use of comorbidity indices and comprehensive geriatric assessment tools can be valuable in this setting. Fit patients should be considered for aggressive therapies including allogeneic hematopoietic stem cell transplantation, whereas low intensity options may be more suitable for the frail. The Philadelphia (Ph) chromosome is present in up to half of the cases of ALL in older patients. The incorporation of TK inhibitors into the treatment plans of older patients with Ph-positive ALL has improved the outcomes significantly. For less fit patients with Ph-positive ALL, the use of TK inhibitors with reduced-intensity chemotherapy or steroids alone results in high rates of remission, but, without further consolidation, relapses are inevitable. Many novel targeted and immunotherapeutic agents are being developed, offering more effective and tolerable treatment options.","author":[{"dropping-particle":"","family":"Sawalha","given":"Yazeed","non-dropping-particle":"","parse-names":false,"suffix":""},{"dropping-particle":"","family":"Advani","given":"Anjali S","non-dropping-particle":"","parse-names":false,"suffix":""}],"container-title":"International journal of hematologic oncology","id":"ITEM-1","issue":"1","issued":{"date-parts":[["2018","3"]]},"page":"IJH02","title":"Management of older adults with acute lymphoblastic leukemia: challenges &amp; current approaches.","type":"article-journal","volume":"7"},"uris":["http://www.mendeley.com/documents/?uuid=e25fa6ec-b8a0-32e9-8add-524632e6d1ae"]}],"mendeley":{"formattedCitation":"[81]","plainTextFormattedCitation":"[81]","previouslyFormattedCitation":"[81]"},"properties":{"noteIndex":0},"schema":"https://github.com/citation-style-language/schema/raw/master/csl-citation.json"}</w:instrText>
      </w:r>
      <w:r w:rsidR="00F40DB0" w:rsidRPr="00296285">
        <w:fldChar w:fldCharType="separate"/>
      </w:r>
      <w:r w:rsidR="00A66456" w:rsidRPr="00A66456">
        <w:rPr>
          <w:noProof/>
        </w:rPr>
        <w:t>[81]</w:t>
      </w:r>
      <w:r w:rsidR="00F40DB0" w:rsidRPr="00296285">
        <w:fldChar w:fldCharType="end"/>
      </w:r>
      <w:r w:rsidR="00F40DB0" w:rsidRPr="00296285">
        <w:t>.</w:t>
      </w:r>
    </w:p>
    <w:p w14:paraId="71B01BA8" w14:textId="77777777" w:rsidR="00D71675" w:rsidRPr="00296285" w:rsidRDefault="00D71675" w:rsidP="00D71675">
      <w:pPr>
        <w:ind w:firstLine="709"/>
        <w:contextualSpacing/>
        <w:rPr>
          <w:b/>
          <w:color w:val="000000"/>
        </w:rPr>
      </w:pPr>
      <w:r w:rsidRPr="00296285">
        <w:rPr>
          <w:b/>
          <w:color w:val="000000"/>
        </w:rPr>
        <w:t xml:space="preserve">Уровень убедительности рекомендаций </w:t>
      </w:r>
      <w:r w:rsidR="00282C1C">
        <w:rPr>
          <w:b/>
          <w:color w:val="000000"/>
        </w:rPr>
        <w:t xml:space="preserve">– </w:t>
      </w:r>
      <w:r w:rsidR="003701E0">
        <w:rPr>
          <w:b/>
          <w:color w:val="000000"/>
        </w:rPr>
        <w:t>С</w:t>
      </w:r>
      <w:r w:rsidR="003701E0" w:rsidRPr="00296285">
        <w:rPr>
          <w:b/>
          <w:color w:val="000000"/>
        </w:rPr>
        <w:t xml:space="preserve"> </w:t>
      </w:r>
      <w:r w:rsidRPr="00296285">
        <w:rPr>
          <w:b/>
          <w:color w:val="000000"/>
        </w:rPr>
        <w:t xml:space="preserve">(уровень достоверности доказательств – </w:t>
      </w:r>
      <w:r w:rsidR="003701E0">
        <w:rPr>
          <w:b/>
          <w:color w:val="000000"/>
        </w:rPr>
        <w:t>5</w:t>
      </w:r>
      <w:r w:rsidRPr="00296285">
        <w:rPr>
          <w:b/>
          <w:color w:val="000000"/>
        </w:rPr>
        <w:t>)</w:t>
      </w:r>
      <w:r w:rsidR="00282C1C">
        <w:rPr>
          <w:b/>
          <w:color w:val="000000"/>
        </w:rPr>
        <w:t>.</w:t>
      </w:r>
    </w:p>
    <w:p w14:paraId="0C21EAB4" w14:textId="77777777" w:rsidR="003775CB" w:rsidRPr="003775CB" w:rsidRDefault="00282C1C" w:rsidP="003775CB">
      <w:pPr>
        <w:ind w:firstLine="709"/>
        <w:rPr>
          <w:i/>
        </w:rPr>
      </w:pPr>
      <w:r>
        <w:rPr>
          <w:b/>
        </w:rPr>
        <w:t>Комментарии</w:t>
      </w:r>
      <w:r w:rsidR="00D71675" w:rsidRPr="00296285">
        <w:rPr>
          <w:b/>
        </w:rPr>
        <w:t>:</w:t>
      </w:r>
      <w:r w:rsidR="00D71675" w:rsidRPr="00296285">
        <w:t xml:space="preserve"> </w:t>
      </w:r>
      <w:r w:rsidR="00D71675" w:rsidRPr="00296285">
        <w:rPr>
          <w:i/>
        </w:rPr>
        <w:t xml:space="preserve">результаты лечения у пожилых пациентов значительно хуже, нежели у детей и более молодых взрослых. Это объясняется ограниченными возможностями проведения интенсивной терапии за счет соматического статуса </w:t>
      </w:r>
      <w:r w:rsidR="00D71675" w:rsidRPr="00296285">
        <w:rPr>
          <w:i/>
          <w:szCs w:val="24"/>
        </w:rPr>
        <w:t>пациентов</w:t>
      </w:r>
      <w:r w:rsidR="00D71675" w:rsidRPr="00296285">
        <w:rPr>
          <w:i/>
        </w:rPr>
        <w:t xml:space="preserve"> и сопутствующих заболеваний в пожилом возрасте, а также неблагоприятными факторами прогноза, присущими </w:t>
      </w:r>
      <w:r w:rsidR="00D71675" w:rsidRPr="00296285">
        <w:rPr>
          <w:i/>
          <w:szCs w:val="24"/>
        </w:rPr>
        <w:t>пациентам</w:t>
      </w:r>
      <w:r w:rsidR="00D71675" w:rsidRPr="00296285">
        <w:rPr>
          <w:i/>
        </w:rPr>
        <w:t xml:space="preserve"> данной возрастной группы. </w:t>
      </w:r>
      <w:r w:rsidR="00D71675" w:rsidRPr="00296285">
        <w:rPr>
          <w:i/>
          <w:szCs w:val="24"/>
        </w:rPr>
        <w:t>Пациенты с</w:t>
      </w:r>
      <w:r w:rsidR="00D71675" w:rsidRPr="00296285">
        <w:rPr>
          <w:i/>
        </w:rPr>
        <w:t xml:space="preserve"> ОЛЛ пожилого возраста в настоящее время определяются как отдельная группа пациентов, требующая использования специфичных для данного возраста протоколов. В большинстве исследований для ОЛЛ в старшую возрастную группу включают </w:t>
      </w:r>
      <w:r w:rsidR="00D71675" w:rsidRPr="00296285">
        <w:rPr>
          <w:i/>
          <w:szCs w:val="24"/>
        </w:rPr>
        <w:t>пациентов</w:t>
      </w:r>
      <w:r w:rsidR="00D71675" w:rsidRPr="00296285">
        <w:rPr>
          <w:i/>
        </w:rPr>
        <w:t xml:space="preserve"> в возрасте 55 лет и старше.</w:t>
      </w:r>
      <w:r w:rsidR="003775CB" w:rsidRPr="00296285">
        <w:rPr>
          <w:i/>
        </w:rPr>
        <w:t xml:space="preserve"> При эт</w:t>
      </w:r>
      <w:r>
        <w:rPr>
          <w:i/>
        </w:rPr>
        <w:t>ом у пациентов старше 55 лет 30–</w:t>
      </w:r>
      <w:r w:rsidR="003775CB" w:rsidRPr="00296285">
        <w:rPr>
          <w:i/>
        </w:rPr>
        <w:t>50</w:t>
      </w:r>
      <w:r>
        <w:rPr>
          <w:i/>
        </w:rPr>
        <w:t xml:space="preserve"> </w:t>
      </w:r>
      <w:r w:rsidR="003775CB" w:rsidRPr="00296285">
        <w:rPr>
          <w:i/>
        </w:rPr>
        <w:t xml:space="preserve">% составляют </w:t>
      </w:r>
      <w:r w:rsidR="003775CB" w:rsidRPr="00296285">
        <w:rPr>
          <w:i/>
          <w:lang w:val="en-US"/>
        </w:rPr>
        <w:t>Ph</w:t>
      </w:r>
      <w:r w:rsidR="003775CB" w:rsidRPr="00296285">
        <w:rPr>
          <w:i/>
        </w:rPr>
        <w:t>+</w:t>
      </w:r>
      <w:r>
        <w:rPr>
          <w:i/>
        </w:rPr>
        <w:t xml:space="preserve"> </w:t>
      </w:r>
      <w:r w:rsidR="003775CB" w:rsidRPr="00296285">
        <w:rPr>
          <w:i/>
        </w:rPr>
        <w:t>ОЛЛ.</w:t>
      </w:r>
    </w:p>
    <w:p w14:paraId="0C35B9CF" w14:textId="77777777" w:rsidR="00254823" w:rsidRDefault="00254823" w:rsidP="008163CC">
      <w:pPr>
        <w:ind w:firstLine="709"/>
        <w:rPr>
          <w:b/>
          <w:color w:val="000000"/>
        </w:rPr>
      </w:pPr>
      <w:r>
        <w:rPr>
          <w:b/>
          <w:color w:val="000000"/>
        </w:rPr>
        <w:t>Стратегии</w:t>
      </w:r>
      <w:r w:rsidR="00E2464F">
        <w:rPr>
          <w:b/>
          <w:color w:val="000000"/>
        </w:rPr>
        <w:t xml:space="preserve"> лечения</w:t>
      </w:r>
      <w:r>
        <w:rPr>
          <w:b/>
          <w:color w:val="000000"/>
        </w:rPr>
        <w:t xml:space="preserve"> в период после трансплантации</w:t>
      </w:r>
      <w:r w:rsidR="00E2464F">
        <w:rPr>
          <w:b/>
          <w:color w:val="000000"/>
        </w:rPr>
        <w:t xml:space="preserve"> </w:t>
      </w:r>
    </w:p>
    <w:p w14:paraId="0425F971" w14:textId="4BB1476A" w:rsidR="00254823" w:rsidRDefault="00254823" w:rsidP="00956D03">
      <w:pPr>
        <w:numPr>
          <w:ilvl w:val="0"/>
          <w:numId w:val="6"/>
        </w:numPr>
        <w:shd w:val="clear" w:color="auto" w:fill="FFFFFF"/>
        <w:tabs>
          <w:tab w:val="left" w:pos="346"/>
        </w:tabs>
        <w:rPr>
          <w:color w:val="000000"/>
        </w:rPr>
      </w:pPr>
      <w:r>
        <w:rPr>
          <w:b/>
          <w:color w:val="000000"/>
        </w:rPr>
        <w:t>Рекомендуется</w:t>
      </w:r>
      <w:r>
        <w:rPr>
          <w:color w:val="000000"/>
        </w:rPr>
        <w:t xml:space="preserve"> использование иматиниба** в качестве поддерживающей </w:t>
      </w:r>
      <w:r w:rsidR="006B658B">
        <w:rPr>
          <w:color w:val="000000"/>
        </w:rPr>
        <w:t>терапии после алло</w:t>
      </w:r>
      <w:r w:rsidR="00501817">
        <w:rPr>
          <w:color w:val="000000"/>
        </w:rPr>
        <w:t>-</w:t>
      </w:r>
      <w:r w:rsidR="006B658B">
        <w:rPr>
          <w:color w:val="000000"/>
        </w:rPr>
        <w:t>ТГСК (п</w:t>
      </w:r>
      <w:r>
        <w:rPr>
          <w:color w:val="000000"/>
        </w:rPr>
        <w:t xml:space="preserve">риложение </w:t>
      </w:r>
      <w:r w:rsidR="00332E49">
        <w:rPr>
          <w:color w:val="000000"/>
        </w:rPr>
        <w:t>А3.</w:t>
      </w:r>
      <w:r>
        <w:rPr>
          <w:color w:val="000000"/>
        </w:rPr>
        <w:t>1); кроме того, данная терапия рекомендуется при обнаружении транскриптов р190 или р210 при условии отсутствия мутаций, ассоциированных с резистентностью к иматинибу</w:t>
      </w:r>
      <w:r w:rsidR="00F84735" w:rsidRPr="00F84735">
        <w:rPr>
          <w:color w:val="000000"/>
        </w:rPr>
        <w:t>**</w:t>
      </w:r>
      <w:r w:rsidR="00282C1C">
        <w:rPr>
          <w:color w:val="000000"/>
        </w:rPr>
        <w:t xml:space="preserve"> </w:t>
      </w:r>
      <w:r w:rsidR="00F40DB0">
        <w:rPr>
          <w:color w:val="000000"/>
        </w:rPr>
        <w:fldChar w:fldCharType="begin" w:fldLock="1"/>
      </w:r>
      <w:r w:rsidR="002466C9">
        <w:rPr>
          <w:color w:val="000000"/>
        </w:rPr>
        <w:instrText>ADDIN CSL_CITATION {"citationItems":[{"id":"ITEM-1","itemData":{"author":[{"dropping-particle":"","family":"Гаврилина","given":"О.А.","non-dropping-particle":"","parse-names":false,"suffix":""},{"dropping-particle":"","family":"Паровичникова","given":"Е.Н.","non-dropping-particle":"","parse-names":false,"suffix":""},{"dropping-particle":"","family":"Троицкая","given":"В.В.","non-dropping-particle":"","parse-names":false,"suffix":""},{"dropping-particle":"","family":"Кузьмина","given":"Л.А.","non-dropping-particle":"","parse-names":false,"suffix":""},{"dropping-particle":"","family":"Бондаренко","given":"С. Н.","non-dropping-particle":"","parse-names":false,"suffix":""},{"dropping-particle":"","family":"Соколов","given":"А.Н.","non-dropping-particle":"","parse-names":false,"suffix":""},{"dropping-particle":"","family":"Лапин","given":"В.А.","non-dropping-particle":"","parse-names":false,"suffix":""},{"dropping-particle":"","family":"Зарубина","given":"К.И.","non-dropping-particle":"","parse-names":false,"suffix":""},{"dropping-particle":"","family":"Басхаева","given":"Г.А.","non-dropping-particle":"","parse-names":false,"suffix":""},{"dropping-particle":"","family":"Лукьянова","given":"И.А.","non-dropping-particle":"","parse-names":false,"suffix":""},{"dropping-particle":"","family":"Клясова","given":"Г.А.","non-dropping-particle":"","parse-names":false,"suffix":""},{"dropping-particle":"","family":"Судариков","given":"А.Б.","non-dropping-particle":"","parse-names":false,"suffix":""},{"dropping-particle":"","family":"Обухова","given":"Т.Н.","non-dropping-particle":"","parse-names":false,"suffix":""},{"dropping-particle":"","family":"Савченко","given":"В.Г.","non-dropping-particle":"","parse-names":false,"suffix":""}],"container-title":"Гематология и трансфузиология","id":"ITEM-1","issue":"4","issued":{"date-parts":[["2017"]]},"page":"172-180","title":"Результаты ретроспективного многоцентрового исследования терапии Ph-позитивных острых лимфобластных лейкозов по протоколам российской исследовательской группы","type":"article-journal","volume":"62"},"uris":["http://www.mendeley.com/documents/?uuid=cf66f0e5-7013-44af-a861-aadfd7f1d2fe"]}],"mendeley":{"formattedCitation":"[83]","plainTextFormattedCitation":"[83]","previouslyFormattedCitation":"[83]"},"properties":{"noteIndex":0},"schema":"https://github.com/citation-style-language/schema/raw/master/csl-citation.json"}</w:instrText>
      </w:r>
      <w:r w:rsidR="00F40DB0">
        <w:rPr>
          <w:color w:val="000000"/>
        </w:rPr>
        <w:fldChar w:fldCharType="separate"/>
      </w:r>
      <w:r w:rsidR="00A66456" w:rsidRPr="00A66456">
        <w:rPr>
          <w:noProof/>
          <w:color w:val="000000"/>
        </w:rPr>
        <w:t>[83]</w:t>
      </w:r>
      <w:r w:rsidR="00F40DB0">
        <w:rPr>
          <w:color w:val="000000"/>
        </w:rPr>
        <w:fldChar w:fldCharType="end"/>
      </w:r>
      <w:r w:rsidR="00F40DB0">
        <w:t>.</w:t>
      </w:r>
    </w:p>
    <w:p w14:paraId="3FDF2337" w14:textId="77777777" w:rsidR="00254823" w:rsidRDefault="00254823" w:rsidP="00316D4F">
      <w:pPr>
        <w:shd w:val="clear" w:color="auto" w:fill="FFFFFF"/>
        <w:tabs>
          <w:tab w:val="left" w:pos="288"/>
        </w:tabs>
        <w:ind w:firstLine="709"/>
        <w:contextualSpacing/>
        <w:rPr>
          <w:b/>
          <w:color w:val="000000"/>
          <w:szCs w:val="27"/>
        </w:rPr>
      </w:pPr>
      <w:r>
        <w:rPr>
          <w:b/>
          <w:color w:val="000000"/>
          <w:szCs w:val="27"/>
        </w:rPr>
        <w:t xml:space="preserve">Уровень убедительности рекомендаций </w:t>
      </w:r>
      <w:r w:rsidR="00282C1C">
        <w:rPr>
          <w:b/>
          <w:color w:val="000000"/>
          <w:szCs w:val="27"/>
        </w:rPr>
        <w:t xml:space="preserve">– </w:t>
      </w:r>
      <w:r w:rsidR="009C2729">
        <w:rPr>
          <w:b/>
          <w:color w:val="000000"/>
          <w:szCs w:val="27"/>
        </w:rPr>
        <w:t>С</w:t>
      </w:r>
      <w:r>
        <w:rPr>
          <w:b/>
          <w:color w:val="000000"/>
          <w:szCs w:val="27"/>
        </w:rPr>
        <w:t xml:space="preserve"> (уровень д</w:t>
      </w:r>
      <w:r w:rsidR="00316D4F">
        <w:rPr>
          <w:b/>
          <w:color w:val="000000"/>
          <w:szCs w:val="27"/>
        </w:rPr>
        <w:t xml:space="preserve">остоверности доказательств – </w:t>
      </w:r>
      <w:r w:rsidR="009C2729">
        <w:rPr>
          <w:b/>
          <w:color w:val="000000"/>
          <w:szCs w:val="27"/>
        </w:rPr>
        <w:t>4</w:t>
      </w:r>
      <w:r w:rsidR="00316D4F">
        <w:rPr>
          <w:b/>
          <w:color w:val="000000"/>
          <w:szCs w:val="27"/>
        </w:rPr>
        <w:t>)</w:t>
      </w:r>
      <w:r w:rsidR="00282C1C">
        <w:rPr>
          <w:b/>
          <w:color w:val="000000"/>
          <w:szCs w:val="27"/>
        </w:rPr>
        <w:t>.</w:t>
      </w:r>
    </w:p>
    <w:p w14:paraId="6E56D38A" w14:textId="09DBE4F5" w:rsidR="00254823" w:rsidRDefault="00254823" w:rsidP="00956D03">
      <w:pPr>
        <w:numPr>
          <w:ilvl w:val="0"/>
          <w:numId w:val="6"/>
        </w:numPr>
        <w:shd w:val="clear" w:color="auto" w:fill="FFFFFF"/>
        <w:tabs>
          <w:tab w:val="left" w:pos="288"/>
        </w:tabs>
        <w:rPr>
          <w:b/>
          <w:color w:val="000000"/>
          <w:szCs w:val="27"/>
        </w:rPr>
      </w:pPr>
      <w:r>
        <w:rPr>
          <w:b/>
          <w:color w:val="000000"/>
        </w:rPr>
        <w:t>Рекомендуется</w:t>
      </w:r>
      <w:r w:rsidR="00282C1C">
        <w:rPr>
          <w:color w:val="000000"/>
        </w:rPr>
        <w:t xml:space="preserve"> переход на ИТК 2-го</w:t>
      </w:r>
      <w:r>
        <w:rPr>
          <w:color w:val="000000"/>
        </w:rPr>
        <w:t xml:space="preserve"> поколения при развитии резистентности к иматинибу** (дазатиниб**, </w:t>
      </w:r>
      <w:r w:rsidR="00501817" w:rsidRPr="00344267">
        <w:rPr>
          <w:color w:val="000000"/>
        </w:rPr>
        <w:t>#</w:t>
      </w:r>
      <w:r w:rsidR="00465085">
        <w:rPr>
          <w:color w:val="000000"/>
        </w:rPr>
        <w:t>нилотиниб**) (п</w:t>
      </w:r>
      <w:r>
        <w:rPr>
          <w:color w:val="000000"/>
        </w:rPr>
        <w:t xml:space="preserve">риложение </w:t>
      </w:r>
      <w:r w:rsidR="00332E49">
        <w:rPr>
          <w:color w:val="000000"/>
        </w:rPr>
        <w:t>А3.</w:t>
      </w:r>
      <w:r>
        <w:rPr>
          <w:color w:val="000000"/>
        </w:rPr>
        <w:t>1)</w:t>
      </w:r>
      <w:r w:rsidR="00282C1C">
        <w:rPr>
          <w:color w:val="000000"/>
        </w:rPr>
        <w:t xml:space="preserve"> </w:t>
      </w:r>
      <w:r w:rsidR="00F40DB0">
        <w:rPr>
          <w:color w:val="000000"/>
        </w:rPr>
        <w:fldChar w:fldCharType="begin" w:fldLock="1"/>
      </w:r>
      <w:r w:rsidR="002466C9">
        <w:rPr>
          <w:color w:val="000000"/>
        </w:rPr>
        <w:instrText>ADDIN CSL_CITATION {"citationItems":[{"id":"ITEM-1","itemData":{"author":[{"dropping-particle":"","family":"Гаврилина","given":"О.А.","non-dropping-particle":"","parse-names":false,"suffix":""},{"dropping-particle":"","family":"Паровичникова","given":"Е.Н.","non-dropping-particle":"","parse-names":false,"suffix":""},{"dropping-particle":"","family":"Троицкая","given":"В.В.","non-dropping-particle":"","parse-names":false,"suffix":""},{"dropping-particle":"","family":"Кузьмина","given":"Л.А.","non-dropping-particle":"","parse-names":false,"suffix":""},{"dropping-particle":"","family":"Бондаренко","given":"С. Н.","non-dropping-particle":"","parse-names":false,"suffix":""},{"dropping-particle":"","family":"Соколов","given":"А.Н.","non-dropping-particle":"","parse-names":false,"suffix":""},{"dropping-particle":"","family":"Лапин","given":"В.А.","non-dropping-particle":"","parse-names":false,"suffix":""},{"dropping-particle":"","family":"Зарубина","given":"К.И.","non-dropping-particle":"","parse-names":false,"suffix":""},{"dropping-particle":"","family":"Басхаева","given":"Г.А.","non-dropping-particle":"","parse-names":false,"suffix":""},{"dropping-particle":"","family":"Лукьянова","given":"И.А.","non-dropping-particle":"","parse-names":false,"suffix":""},{"dropping-particle":"","family":"Клясова","given":"Г.А.","non-dropping-particle":"","parse-names":false,"suffix":""},{"dropping-particle":"","family":"Судариков","given":"А.Б.","non-dropping-particle":"","parse-names":false,"suffix":""},{"dropping-particle":"","family":"Обухова","given":"Т.Н.","non-dropping-particle":"","parse-names":false,"suffix":""},{"dropping-particle":"","family":"Савченко","given":"В.Г.","non-dropping-particle":"","parse-names":false,"suffix":""}],"container-title":"Гематология и трансфузиология","id":"ITEM-1","issue":"4","issued":{"date-parts":[["2017"]]},"page":"172-180","title":"Результаты ретроспективного многоцентрового исследования терапии Ph-позитивных острых лимфобластных лейкозов по протоколам российской исследовательской группы","type":"article-journal","volume":"62"},"uris":["http://www.mendeley.com/documents/?uuid=cf66f0e5-7013-44af-a861-aadfd7f1d2fe"]}],"mendeley":{"formattedCitation":"[83]","plainTextFormattedCitation":"[83]","previouslyFormattedCitation":"[83]"},"properties":{"noteIndex":0},"schema":"https://github.com/citation-style-language/schema/raw/master/csl-citation.json"}</w:instrText>
      </w:r>
      <w:r w:rsidR="00F40DB0">
        <w:rPr>
          <w:color w:val="000000"/>
        </w:rPr>
        <w:fldChar w:fldCharType="separate"/>
      </w:r>
      <w:r w:rsidR="00A66456" w:rsidRPr="00A66456">
        <w:rPr>
          <w:noProof/>
          <w:color w:val="000000"/>
        </w:rPr>
        <w:t>[83]</w:t>
      </w:r>
      <w:r w:rsidR="00F40DB0">
        <w:rPr>
          <w:color w:val="000000"/>
        </w:rPr>
        <w:fldChar w:fldCharType="end"/>
      </w:r>
      <w:r w:rsidR="00F40DB0">
        <w:t>.</w:t>
      </w:r>
    </w:p>
    <w:p w14:paraId="13FE37D1" w14:textId="77777777" w:rsidR="00254823" w:rsidRDefault="00254823" w:rsidP="00316D4F">
      <w:pPr>
        <w:shd w:val="clear" w:color="auto" w:fill="FFFFFF"/>
        <w:tabs>
          <w:tab w:val="left" w:pos="288"/>
        </w:tabs>
        <w:ind w:firstLine="709"/>
        <w:contextualSpacing/>
        <w:rPr>
          <w:b/>
          <w:color w:val="000000"/>
          <w:szCs w:val="27"/>
        </w:rPr>
      </w:pPr>
      <w:r>
        <w:rPr>
          <w:b/>
          <w:color w:val="000000"/>
          <w:szCs w:val="27"/>
        </w:rPr>
        <w:t xml:space="preserve">Уровень убедительности рекомендаций </w:t>
      </w:r>
      <w:r w:rsidR="00282C1C">
        <w:rPr>
          <w:b/>
          <w:color w:val="000000"/>
          <w:szCs w:val="27"/>
        </w:rPr>
        <w:t xml:space="preserve">– </w:t>
      </w:r>
      <w:r w:rsidR="009C2729">
        <w:rPr>
          <w:b/>
          <w:color w:val="000000"/>
          <w:szCs w:val="27"/>
        </w:rPr>
        <w:t>С</w:t>
      </w:r>
      <w:r>
        <w:rPr>
          <w:b/>
          <w:color w:val="000000"/>
          <w:szCs w:val="27"/>
        </w:rPr>
        <w:t xml:space="preserve"> (уровень д</w:t>
      </w:r>
      <w:r w:rsidR="00316D4F">
        <w:rPr>
          <w:b/>
          <w:color w:val="000000"/>
          <w:szCs w:val="27"/>
        </w:rPr>
        <w:t xml:space="preserve">остоверности доказательств – </w:t>
      </w:r>
      <w:r w:rsidR="009C2729">
        <w:rPr>
          <w:b/>
          <w:color w:val="000000"/>
          <w:szCs w:val="27"/>
        </w:rPr>
        <w:t>4</w:t>
      </w:r>
      <w:r w:rsidR="00316D4F">
        <w:rPr>
          <w:b/>
          <w:color w:val="000000"/>
          <w:szCs w:val="27"/>
        </w:rPr>
        <w:t>)</w:t>
      </w:r>
      <w:r w:rsidR="00282C1C">
        <w:rPr>
          <w:b/>
          <w:color w:val="000000"/>
          <w:szCs w:val="27"/>
        </w:rPr>
        <w:t>.</w:t>
      </w:r>
    </w:p>
    <w:p w14:paraId="1AB008F2" w14:textId="77777777" w:rsidR="00254823" w:rsidRPr="00935280" w:rsidRDefault="00254823" w:rsidP="00316D4F">
      <w:pPr>
        <w:shd w:val="clear" w:color="auto" w:fill="FFFFFF"/>
        <w:tabs>
          <w:tab w:val="left" w:pos="288"/>
        </w:tabs>
        <w:ind w:firstLine="709"/>
        <w:contextualSpacing/>
        <w:rPr>
          <w:b/>
          <w:i/>
          <w:color w:val="000000"/>
          <w:szCs w:val="27"/>
        </w:rPr>
      </w:pPr>
      <w:r>
        <w:rPr>
          <w:b/>
          <w:color w:val="000000"/>
          <w:szCs w:val="27"/>
        </w:rPr>
        <w:t xml:space="preserve">Комментарии: </w:t>
      </w:r>
      <w:r>
        <w:rPr>
          <w:i/>
          <w:color w:val="000000"/>
        </w:rPr>
        <w:t>выбор препарата должен быть основан на анализе мутационного статуса.</w:t>
      </w:r>
    </w:p>
    <w:p w14:paraId="6E53F258" w14:textId="77777777" w:rsidR="00254823" w:rsidRPr="001E66FD" w:rsidRDefault="00254823" w:rsidP="008163CC">
      <w:pPr>
        <w:rPr>
          <w:b/>
        </w:rPr>
      </w:pPr>
      <w:r w:rsidRPr="001E66FD">
        <w:rPr>
          <w:b/>
        </w:rPr>
        <w:t>Рецидив</w:t>
      </w:r>
    </w:p>
    <w:p w14:paraId="25851048" w14:textId="13016BEE" w:rsidR="00254823" w:rsidRPr="009A4899" w:rsidRDefault="00254823" w:rsidP="00956D03">
      <w:pPr>
        <w:numPr>
          <w:ilvl w:val="0"/>
          <w:numId w:val="6"/>
        </w:numPr>
        <w:shd w:val="clear" w:color="auto" w:fill="FFFFFF"/>
      </w:pPr>
      <w:r>
        <w:rPr>
          <w:b/>
        </w:rPr>
        <w:t>Рекомендуется</w:t>
      </w:r>
      <w:r>
        <w:t xml:space="preserve"> </w:t>
      </w:r>
      <w:r w:rsidR="00253239">
        <w:t xml:space="preserve">у пациентов с ОЛЛ с рецидивом заболевания </w:t>
      </w:r>
      <w:r>
        <w:t>использование дазати</w:t>
      </w:r>
      <w:r w:rsidR="00162CD5">
        <w:t xml:space="preserve">ниба**, </w:t>
      </w:r>
      <w:r w:rsidR="00F84735" w:rsidRPr="00F84735">
        <w:t>#</w:t>
      </w:r>
      <w:r>
        <w:t>нилотиниба</w:t>
      </w:r>
      <w:r w:rsidRPr="009F500F">
        <w:t>**</w:t>
      </w:r>
      <w:r w:rsidR="00162CD5" w:rsidRPr="009F500F">
        <w:t xml:space="preserve">, #бозутиниба** и </w:t>
      </w:r>
      <w:r w:rsidR="00162CD5" w:rsidRPr="009F500F">
        <w:rPr>
          <w:i/>
        </w:rPr>
        <w:t>#понатиниба**</w:t>
      </w:r>
      <w:r w:rsidRPr="009F500F">
        <w:t xml:space="preserve"> </w:t>
      </w:r>
      <w:r w:rsidR="00501817" w:rsidRPr="009F500F">
        <w:t xml:space="preserve">при </w:t>
      </w:r>
      <w:r w:rsidRPr="009F500F">
        <w:t xml:space="preserve">отсутствии </w:t>
      </w:r>
      <w:r>
        <w:t>мутаций, ассоциированных с резистентностью к ним</w:t>
      </w:r>
      <w:r w:rsidR="00F40DB0">
        <w:t xml:space="preserve"> (см. приложение А3.1)</w:t>
      </w:r>
      <w:r w:rsidR="00BB6815">
        <w:t xml:space="preserve"> </w:t>
      </w:r>
      <w:r w:rsidR="00BB6815">
        <w:fldChar w:fldCharType="begin" w:fldLock="1"/>
      </w:r>
      <w:r w:rsidR="002466C9">
        <w:instrText xml:space="preserve">ADDIN CSL_CITATION {"citationItems":[{"id":"ITEM-1","itemData":{"DOI":"10.1002/ajh.24926","ISSN":"1096-8652","PMID":"28971501","abstract":"Philadelphia chromosome-positive (Ph-positive) acute lymphoblastic leukemia (ALL) is a biologically, clinically, and genetically distinct subtype of precursor-B ALL. The Ph chromosome, results from a reciprocal translocation of the ABL1 kinase gene on chromosome 9 to the breakpoint cluster region (BCR) gene on chromosome 22. Depending on the translocation breakpoint, typically a p210 BCR-ABL1 or a p190 BCR-ABL onc protein are generated; both are constitutively active tyrosine kinases that play a central role to alter signaling pathways of cell proliferation, survival, and self-renewal, leading to leukemogenesis. In Ph-positive ALL, the p190-BCR-ABL (minor [m]-bcr) subtype is more frequent than the p210-BCR-ABL (major [M]-bcr) subtype, commonly found in chronic myeloid leukemia. The Philadelphia chromosome is the most frequent recurrent cytogenetic abnormality in elderly patients with ALL. Its incidence increases with age, reaching </w:instrText>
      </w:r>
      <w:r w:rsidR="002466C9">
        <w:rPr>
          <w:rFonts w:ascii="Cambria Math" w:hAnsi="Cambria Math" w:cs="Cambria Math"/>
        </w:rPr>
        <w:instrText>∼</w:instrText>
      </w:r>
      <w:r w:rsidR="002466C9">
        <w:instrText>50% in patients with ALL aged 60 years and over. Patients traditionally had a very poor outcome with chemotherapy, particularly if they do not undergo allogeneic hematopoietic cell transplantation (allo-HCT) in first complete remission (CR1). With the availability of multiple tyrosine kinase inhibitors (TKI), the therapeutic armamentarium is expanding quickly. However, there is no consensus on how to best treat Ph-positive ALL. With modern therapy, improved outcomes have led to the emergence of a number of controversies, including the need for intensive chemotherapy, the ideal TKI, and whether all eligible patients should receive an allo-HSCT, and if so, what type. Here, we discuss these controversies in light of the available literature.","author":[{"dropping-particle":"","family":"Fakih","given":"Riad","non-dropping-particle":"El","parse-names":false,"suffix":""},{"dropping-particle":"","family":"Jabbour","given":"Elias","non-dropping-particle":"","parse-names":false,"suffix":""},{"dropping-particle":"","family":"Ravandi","given":"Farhad","non-dropping-particle":"","parse-names":false,"suffix":""},{"dropping-particle":"","family":"Hassanein","given":"Mona","non-dropping-particle":"","parse-names":false,"suffix":""},{"dropping-particle":"","family":"Anjum","given":"Farhan","non-dropping-particle":"","parse-names":false,"suffix":""},{"dropping-particle":"","family":"Ahmed","given":"Syed","non-dropping-particle":"","parse-names":false,"suffix":""},{"dropping-particle":"","family":"Kantarjian","given":"Hagop","non-dropping-particle":"","parse-names":false,"suffix":""}],"container-title":"American journal of hematology","id":"ITEM-1","issue":"2","issued":{"date-parts":[["2018","2"]]},"page":"286-295","title":"Current paradigms in the management of Philadelphia chromosome positive acute lymphoblastic leukemia in adults.","type":"article-journal","volume":"93"},"uris":["http://www.mendeley.com/documents/?uuid=a659863f-b726-3b17-95e8-c59bf5045469"]}],"mendeley":{"formattedCitation":"[52]","plainTextFormattedCitation":"[52]","previouslyFormattedCitation":"[52]"},"properties":{"noteIndex":0},"schema":"https://github.com/citation-style-language/schema/raw/master/csl-citation.json"}</w:instrText>
      </w:r>
      <w:r w:rsidR="00BB6815">
        <w:fldChar w:fldCharType="separate"/>
      </w:r>
      <w:r w:rsidR="00A66456" w:rsidRPr="00A66456">
        <w:rPr>
          <w:noProof/>
        </w:rPr>
        <w:t>[52]</w:t>
      </w:r>
      <w:r w:rsidR="00BB6815">
        <w:fldChar w:fldCharType="end"/>
      </w:r>
      <w:r w:rsidR="00BB6815">
        <w:t>.</w:t>
      </w:r>
    </w:p>
    <w:p w14:paraId="7CCE6CCC" w14:textId="77777777" w:rsidR="00254823" w:rsidRDefault="00254823" w:rsidP="00F84735">
      <w:pPr>
        <w:shd w:val="clear" w:color="auto" w:fill="FFFFFF"/>
        <w:ind w:firstLine="709"/>
        <w:contextualSpacing/>
        <w:rPr>
          <w:b/>
        </w:rPr>
      </w:pPr>
      <w:r>
        <w:rPr>
          <w:b/>
          <w:color w:val="000000"/>
          <w:szCs w:val="27"/>
        </w:rPr>
        <w:t xml:space="preserve">Уровень убедительности рекомендаций </w:t>
      </w:r>
      <w:r w:rsidR="00934296">
        <w:rPr>
          <w:b/>
          <w:color w:val="000000"/>
          <w:szCs w:val="27"/>
        </w:rPr>
        <w:t xml:space="preserve">– </w:t>
      </w:r>
      <w:r w:rsidR="00C960E8">
        <w:rPr>
          <w:b/>
          <w:color w:val="000000"/>
          <w:szCs w:val="27"/>
        </w:rPr>
        <w:t xml:space="preserve">С </w:t>
      </w:r>
      <w:r>
        <w:rPr>
          <w:b/>
          <w:color w:val="000000"/>
          <w:szCs w:val="27"/>
        </w:rPr>
        <w:t>(уровень д</w:t>
      </w:r>
      <w:r w:rsidR="00316D4F">
        <w:rPr>
          <w:b/>
          <w:color w:val="000000"/>
          <w:szCs w:val="27"/>
        </w:rPr>
        <w:t xml:space="preserve">остоверности доказательств – </w:t>
      </w:r>
      <w:r w:rsidR="00C960E8">
        <w:rPr>
          <w:b/>
          <w:color w:val="000000"/>
          <w:szCs w:val="27"/>
        </w:rPr>
        <w:t>5</w:t>
      </w:r>
      <w:r w:rsidR="00316D4F">
        <w:rPr>
          <w:b/>
          <w:color w:val="000000"/>
          <w:szCs w:val="27"/>
        </w:rPr>
        <w:t>)</w:t>
      </w:r>
      <w:r w:rsidR="00934296">
        <w:rPr>
          <w:b/>
          <w:color w:val="000000"/>
          <w:szCs w:val="27"/>
        </w:rPr>
        <w:t>.</w:t>
      </w:r>
    </w:p>
    <w:p w14:paraId="1630DBBA" w14:textId="77777777" w:rsidR="00254823" w:rsidRPr="00D53B07" w:rsidRDefault="00934296" w:rsidP="00F84735">
      <w:pPr>
        <w:shd w:val="clear" w:color="auto" w:fill="FFFFFF"/>
        <w:ind w:firstLine="709"/>
        <w:contextualSpacing/>
        <w:rPr>
          <w:b/>
        </w:rPr>
      </w:pPr>
      <w:r>
        <w:rPr>
          <w:b/>
        </w:rPr>
        <w:t>Комментарии</w:t>
      </w:r>
      <w:r w:rsidR="00254823">
        <w:rPr>
          <w:b/>
        </w:rPr>
        <w:t xml:space="preserve">: </w:t>
      </w:r>
      <w:r w:rsidR="00501817">
        <w:rPr>
          <w:i/>
        </w:rPr>
        <w:t>б</w:t>
      </w:r>
      <w:r w:rsidR="00501817" w:rsidRPr="00D53B07">
        <w:rPr>
          <w:i/>
        </w:rPr>
        <w:t xml:space="preserve">ластные </w:t>
      </w:r>
      <w:r w:rsidR="00254823" w:rsidRPr="00D53B07">
        <w:rPr>
          <w:i/>
        </w:rPr>
        <w:t>клетки при Ph+</w:t>
      </w:r>
      <w:r>
        <w:rPr>
          <w:i/>
        </w:rPr>
        <w:t xml:space="preserve"> </w:t>
      </w:r>
      <w:r w:rsidR="00254823" w:rsidRPr="00D53B07">
        <w:rPr>
          <w:i/>
        </w:rPr>
        <w:t xml:space="preserve">ОЛЛ характеризуются приобретенными генетическими аномалиями, что значимо влияет на его прогноз и способствует </w:t>
      </w:r>
      <w:r w:rsidR="00254823" w:rsidRPr="00D53B07">
        <w:rPr>
          <w:i/>
        </w:rPr>
        <w:lastRenderedPageBreak/>
        <w:t>прогрессированию заболевания. У взрослых наличие цитогенетических аномалий, помимо Ph-хромосомы, отмечается приблизительно в тре</w:t>
      </w:r>
      <w:r>
        <w:rPr>
          <w:i/>
        </w:rPr>
        <w:t>ти случаев. Приблизительно у 50–</w:t>
      </w:r>
      <w:r w:rsidR="00254823" w:rsidRPr="00D53B07">
        <w:rPr>
          <w:i/>
        </w:rPr>
        <w:t>80</w:t>
      </w:r>
      <w:r>
        <w:rPr>
          <w:i/>
        </w:rPr>
        <w:t xml:space="preserve"> </w:t>
      </w:r>
      <w:r w:rsidR="00254823" w:rsidRPr="00D53B07">
        <w:rPr>
          <w:i/>
        </w:rPr>
        <w:t>% пациентов, достигших ПР на фоне терапии иматинибом</w:t>
      </w:r>
      <w:r w:rsidR="00254823">
        <w:rPr>
          <w:i/>
        </w:rPr>
        <w:t>**</w:t>
      </w:r>
      <w:r w:rsidR="00254823" w:rsidRPr="00D53B07">
        <w:rPr>
          <w:i/>
        </w:rPr>
        <w:t xml:space="preserve">, в течение 1 года развивается рецидив, что часто ассоциируется с наличием точечной мутации киназного домена BCR-ABL, что делает фермент BCR-ABL нечувствительным к препарату. </w:t>
      </w:r>
      <w:r w:rsidR="00254823" w:rsidRPr="00D53B07">
        <w:rPr>
          <w:i/>
          <w:color w:val="000000"/>
        </w:rPr>
        <w:t>Приблизительно 80</w:t>
      </w:r>
      <w:r>
        <w:rPr>
          <w:i/>
          <w:color w:val="000000"/>
        </w:rPr>
        <w:t xml:space="preserve"> </w:t>
      </w:r>
      <w:r w:rsidR="00254823" w:rsidRPr="00D53B07">
        <w:rPr>
          <w:i/>
          <w:color w:val="000000"/>
        </w:rPr>
        <w:t>% пациентов с Ph+ ОЛЛ, у которых отмечается рецидив на фоне терапии иматинибом</w:t>
      </w:r>
      <w:r w:rsidR="00254823">
        <w:rPr>
          <w:i/>
          <w:color w:val="000000"/>
        </w:rPr>
        <w:t>**</w:t>
      </w:r>
      <w:r w:rsidR="00254823" w:rsidRPr="00D53B07">
        <w:rPr>
          <w:i/>
          <w:color w:val="000000"/>
        </w:rPr>
        <w:t xml:space="preserve">, имеют мутации bcr-abl, среди которых доминируют T315I. </w:t>
      </w:r>
      <w:r w:rsidR="00254823" w:rsidRPr="00D53B07">
        <w:rPr>
          <w:i/>
        </w:rPr>
        <w:t xml:space="preserve">Имеются данные, что </w:t>
      </w:r>
      <w:r w:rsidR="00501817">
        <w:rPr>
          <w:i/>
        </w:rPr>
        <w:t>эти</w:t>
      </w:r>
      <w:r w:rsidR="00501817" w:rsidRPr="00D53B07">
        <w:rPr>
          <w:i/>
        </w:rPr>
        <w:t xml:space="preserve"> </w:t>
      </w:r>
      <w:r w:rsidR="00254823" w:rsidRPr="00D53B07">
        <w:rPr>
          <w:i/>
        </w:rPr>
        <w:t>мутации могут возникать случайно в результате выраженной генетической нестабильности, что дает клеткам преимущество в росте в условиях селективного воздействия ИТК</w:t>
      </w:r>
      <w:r w:rsidR="00254823" w:rsidRPr="00EC7325">
        <w:t>.</w:t>
      </w:r>
    </w:p>
    <w:p w14:paraId="6B6A2DBC" w14:textId="77777777" w:rsidR="00254823" w:rsidRPr="00D53B07" w:rsidRDefault="00254823" w:rsidP="00F84735">
      <w:pPr>
        <w:shd w:val="clear" w:color="auto" w:fill="FFFFFF"/>
        <w:ind w:firstLine="709"/>
        <w:contextualSpacing/>
        <w:rPr>
          <w:i/>
        </w:rPr>
      </w:pPr>
      <w:r w:rsidRPr="00D53B07">
        <w:rPr>
          <w:i/>
        </w:rPr>
        <w:t>Дазатиниб</w:t>
      </w:r>
      <w:r w:rsidRPr="00C1710A">
        <w:rPr>
          <w:i/>
        </w:rPr>
        <w:t>**</w:t>
      </w:r>
      <w:r w:rsidRPr="00D53B07">
        <w:rPr>
          <w:i/>
        </w:rPr>
        <w:t xml:space="preserve"> является мультитаргетным ингибитором киназ BCR-ABL, SFK, киназы рецептора эфрина, PDGFR и Kit. Дазатиниб</w:t>
      </w:r>
      <w:r w:rsidRPr="00BC069A">
        <w:rPr>
          <w:i/>
        </w:rPr>
        <w:t>**</w:t>
      </w:r>
      <w:r w:rsidRPr="00D53B07">
        <w:rPr>
          <w:i/>
        </w:rPr>
        <w:t xml:space="preserve"> является более активным препаратом </w:t>
      </w:r>
      <w:r w:rsidR="00BA51C2">
        <w:rPr>
          <w:i/>
        </w:rPr>
        <w:t xml:space="preserve">по сравнению с </w:t>
      </w:r>
      <w:r w:rsidRPr="00D53B07">
        <w:rPr>
          <w:i/>
        </w:rPr>
        <w:t>иматиниб</w:t>
      </w:r>
      <w:r w:rsidR="00BA51C2">
        <w:rPr>
          <w:i/>
        </w:rPr>
        <w:t>ом</w:t>
      </w:r>
      <w:r>
        <w:rPr>
          <w:i/>
        </w:rPr>
        <w:t>**</w:t>
      </w:r>
      <w:r w:rsidRPr="00D53B07">
        <w:rPr>
          <w:i/>
        </w:rPr>
        <w:t xml:space="preserve"> и эффективен при резистентных к иматинибу</w:t>
      </w:r>
      <w:r>
        <w:rPr>
          <w:i/>
        </w:rPr>
        <w:t>**</w:t>
      </w:r>
      <w:r w:rsidRPr="00D53B07">
        <w:rPr>
          <w:i/>
        </w:rPr>
        <w:t xml:space="preserve"> конформациях киназного домена. Он способен ингибировать пролиферацию и активность киназы дикого типа, а также 14 из 15 мутантных вариантов BCR-ABL, за исключением мутации T315I. В </w:t>
      </w:r>
      <w:r w:rsidR="00BA51C2">
        <w:rPr>
          <w:i/>
        </w:rPr>
        <w:t>КИ</w:t>
      </w:r>
      <w:r w:rsidRPr="00D53B07">
        <w:rPr>
          <w:i/>
        </w:rPr>
        <w:t xml:space="preserve"> II фазы была подтверждена эффективность дазатиниба</w:t>
      </w:r>
      <w:r>
        <w:rPr>
          <w:i/>
        </w:rPr>
        <w:t>**</w:t>
      </w:r>
      <w:r w:rsidRPr="00D53B07">
        <w:rPr>
          <w:i/>
        </w:rPr>
        <w:t xml:space="preserve"> при резистентно</w:t>
      </w:r>
      <w:r w:rsidR="00501817">
        <w:rPr>
          <w:i/>
        </w:rPr>
        <w:t>сти</w:t>
      </w:r>
      <w:r w:rsidRPr="00D53B07">
        <w:rPr>
          <w:i/>
        </w:rPr>
        <w:t xml:space="preserve"> к иматинибу</w:t>
      </w:r>
      <w:r w:rsidRPr="00C1710A">
        <w:rPr>
          <w:i/>
        </w:rPr>
        <w:t>**</w:t>
      </w:r>
      <w:r w:rsidR="00485D39" w:rsidRPr="00485D39">
        <w:rPr>
          <w:i/>
        </w:rPr>
        <w:t xml:space="preserve"> </w:t>
      </w:r>
      <w:r w:rsidR="00BA51C2">
        <w:rPr>
          <w:i/>
        </w:rPr>
        <w:t>у пациентов с</w:t>
      </w:r>
      <w:r w:rsidRPr="00D53B07">
        <w:rPr>
          <w:i/>
        </w:rPr>
        <w:t xml:space="preserve"> Ph+</w:t>
      </w:r>
      <w:r w:rsidR="00934296">
        <w:rPr>
          <w:i/>
        </w:rPr>
        <w:t xml:space="preserve"> </w:t>
      </w:r>
      <w:r w:rsidRPr="00D53B07">
        <w:rPr>
          <w:i/>
        </w:rPr>
        <w:t xml:space="preserve">ОЛЛ, а также у пациентов, не переносивших </w:t>
      </w:r>
      <w:r w:rsidR="00501817">
        <w:rPr>
          <w:i/>
        </w:rPr>
        <w:t>им</w:t>
      </w:r>
      <w:r w:rsidR="005E502F">
        <w:rPr>
          <w:i/>
        </w:rPr>
        <w:t>а</w:t>
      </w:r>
      <w:r w:rsidR="00501817">
        <w:rPr>
          <w:i/>
        </w:rPr>
        <w:t>тиниб**</w:t>
      </w:r>
      <w:r w:rsidRPr="00D53B07">
        <w:rPr>
          <w:i/>
        </w:rPr>
        <w:t>. Дазатиниб</w:t>
      </w:r>
      <w:r w:rsidRPr="00C1710A">
        <w:rPr>
          <w:i/>
        </w:rPr>
        <w:t>**</w:t>
      </w:r>
      <w:r w:rsidRPr="00D53B07">
        <w:rPr>
          <w:i/>
        </w:rPr>
        <w:t xml:space="preserve"> хорошо переносится, однако часто осложняется г</w:t>
      </w:r>
      <w:r w:rsidR="00934296">
        <w:rPr>
          <w:i/>
        </w:rPr>
        <w:t xml:space="preserve">ематологической токсичностью </w:t>
      </w:r>
      <w:r w:rsidR="00934296">
        <w:rPr>
          <w:i/>
          <w:lang w:val="en-US"/>
        </w:rPr>
        <w:t>III</w:t>
      </w:r>
      <w:r w:rsidR="00934296" w:rsidRPr="00934296">
        <w:rPr>
          <w:i/>
        </w:rPr>
        <w:t>–</w:t>
      </w:r>
      <w:r w:rsidR="00934296">
        <w:rPr>
          <w:i/>
          <w:lang w:val="en-US"/>
        </w:rPr>
        <w:t>IV</w:t>
      </w:r>
      <w:r w:rsidR="00934296">
        <w:rPr>
          <w:i/>
        </w:rPr>
        <w:t xml:space="preserve"> ст</w:t>
      </w:r>
      <w:r w:rsidR="00934296" w:rsidRPr="00934296">
        <w:rPr>
          <w:i/>
        </w:rPr>
        <w:t>.</w:t>
      </w:r>
      <w:r w:rsidRPr="00D53B07">
        <w:rPr>
          <w:i/>
        </w:rPr>
        <w:t>, особенно в распространенных фазах заболевания. Негематологическими побочными эффектами данного препарата являются диарея, тошнота, головная боль, периферические отеки и плевральный выпот. Однако проблемой также является резистентность к дазатинибу</w:t>
      </w:r>
      <w:r>
        <w:rPr>
          <w:i/>
        </w:rPr>
        <w:t>**</w:t>
      </w:r>
      <w:r w:rsidRPr="00D53B07">
        <w:rPr>
          <w:i/>
        </w:rPr>
        <w:t xml:space="preserve">, </w:t>
      </w:r>
      <w:r w:rsidR="00501817" w:rsidRPr="00D53B07">
        <w:rPr>
          <w:i/>
        </w:rPr>
        <w:t xml:space="preserve">наиболее частой причиной </w:t>
      </w:r>
      <w:r w:rsidR="00501817">
        <w:rPr>
          <w:i/>
        </w:rPr>
        <w:t xml:space="preserve">которой </w:t>
      </w:r>
      <w:r w:rsidR="00501817" w:rsidRPr="00D53B07">
        <w:rPr>
          <w:i/>
        </w:rPr>
        <w:t>является</w:t>
      </w:r>
      <w:r w:rsidR="00501817" w:rsidRPr="00D53B07" w:rsidDel="00501817">
        <w:rPr>
          <w:i/>
        </w:rPr>
        <w:t xml:space="preserve"> </w:t>
      </w:r>
      <w:r w:rsidRPr="00D53B07">
        <w:rPr>
          <w:i/>
        </w:rPr>
        <w:t xml:space="preserve">мутация T315I. </w:t>
      </w:r>
    </w:p>
    <w:p w14:paraId="636963DB" w14:textId="453EED99" w:rsidR="00254823" w:rsidRDefault="00254823" w:rsidP="00F84735">
      <w:pPr>
        <w:shd w:val="clear" w:color="auto" w:fill="FFFFFF"/>
        <w:ind w:firstLine="709"/>
        <w:contextualSpacing/>
        <w:rPr>
          <w:i/>
        </w:rPr>
      </w:pPr>
      <w:r w:rsidRPr="00D53B07">
        <w:rPr>
          <w:i/>
        </w:rPr>
        <w:t xml:space="preserve">В настоящее время </w:t>
      </w:r>
      <w:r w:rsidR="00F84735" w:rsidRPr="009F500F">
        <w:rPr>
          <w:i/>
        </w:rPr>
        <w:t>#</w:t>
      </w:r>
      <w:r w:rsidRPr="009F500F">
        <w:rPr>
          <w:i/>
        </w:rPr>
        <w:t>нилотиниб**</w:t>
      </w:r>
      <w:r w:rsidR="00162CD5" w:rsidRPr="009F500F">
        <w:rPr>
          <w:i/>
        </w:rPr>
        <w:t xml:space="preserve">, </w:t>
      </w:r>
      <w:r w:rsidR="00F84735" w:rsidRPr="009F500F">
        <w:rPr>
          <w:i/>
        </w:rPr>
        <w:t>#боз</w:t>
      </w:r>
      <w:r w:rsidRPr="009F500F">
        <w:rPr>
          <w:i/>
        </w:rPr>
        <w:t>утиниб**</w:t>
      </w:r>
      <w:r w:rsidR="00162CD5" w:rsidRPr="009F500F">
        <w:rPr>
          <w:i/>
        </w:rPr>
        <w:t xml:space="preserve"> и #понатиниб** </w:t>
      </w:r>
      <w:r w:rsidRPr="009F500F">
        <w:rPr>
          <w:i/>
        </w:rPr>
        <w:t xml:space="preserve"> </w:t>
      </w:r>
      <w:r w:rsidRPr="00D53B07">
        <w:rPr>
          <w:i/>
        </w:rPr>
        <w:t>могут рассматриваться в качестве альтернативы иматинибу</w:t>
      </w:r>
      <w:r>
        <w:rPr>
          <w:i/>
        </w:rPr>
        <w:t>**</w:t>
      </w:r>
      <w:r w:rsidRPr="00D53B07">
        <w:rPr>
          <w:i/>
        </w:rPr>
        <w:t xml:space="preserve"> и дазатинибу</w:t>
      </w:r>
      <w:r>
        <w:rPr>
          <w:i/>
        </w:rPr>
        <w:t>**</w:t>
      </w:r>
      <w:r w:rsidRPr="00D53B07">
        <w:rPr>
          <w:i/>
        </w:rPr>
        <w:t>. В то же время до сих пор они формально для лечения ОЛЛ не зарегистрированы. Назначение того или иного ИТК должно быть осуществлено после оп</w:t>
      </w:r>
      <w:r w:rsidR="00F84735">
        <w:rPr>
          <w:i/>
        </w:rPr>
        <w:t>ределения мутационного статуса.</w:t>
      </w:r>
    </w:p>
    <w:p w14:paraId="23D42290" w14:textId="77777777" w:rsidR="00C76CE3" w:rsidRDefault="00C76CE3" w:rsidP="004905C2">
      <w:pPr>
        <w:pStyle w:val="2"/>
      </w:pPr>
      <w:bookmarkStart w:id="128" w:name="_Toc13484816"/>
      <w:bookmarkStart w:id="129" w:name="_Toc26796714"/>
      <w:bookmarkStart w:id="130" w:name="_Toc64467930"/>
    </w:p>
    <w:p w14:paraId="5D28AB63" w14:textId="62484AD3" w:rsidR="0006296E" w:rsidRPr="00F84735" w:rsidRDefault="00254823" w:rsidP="004905C2">
      <w:pPr>
        <w:pStyle w:val="2"/>
      </w:pPr>
      <w:bookmarkStart w:id="131" w:name="_Toc64565644"/>
      <w:r>
        <w:t>3.</w:t>
      </w:r>
      <w:r w:rsidR="00B50EF2">
        <w:t>7</w:t>
      </w:r>
      <w:r w:rsidR="00934296">
        <w:t>.</w:t>
      </w:r>
      <w:r w:rsidRPr="00EC7325">
        <w:t xml:space="preserve"> Особые состояния при лечении</w:t>
      </w:r>
      <w:r w:rsidR="002D67CB">
        <w:t xml:space="preserve"> острого лимфо</w:t>
      </w:r>
      <w:r w:rsidR="0087392F">
        <w:t xml:space="preserve">бластного </w:t>
      </w:r>
      <w:r w:rsidR="002D67CB">
        <w:t>лейкоза</w:t>
      </w:r>
      <w:bookmarkEnd w:id="128"/>
      <w:bookmarkEnd w:id="129"/>
      <w:bookmarkEnd w:id="130"/>
      <w:bookmarkEnd w:id="131"/>
    </w:p>
    <w:p w14:paraId="7C43E534" w14:textId="77777777" w:rsidR="00254823" w:rsidRPr="00BC069A" w:rsidRDefault="00254823" w:rsidP="008163CC">
      <w:pPr>
        <w:rPr>
          <w:b/>
        </w:rPr>
      </w:pPr>
      <w:r w:rsidRPr="00BC069A">
        <w:rPr>
          <w:b/>
        </w:rPr>
        <w:t>Гиперлейкоцитозы</w:t>
      </w:r>
    </w:p>
    <w:p w14:paraId="53BCFFD7" w14:textId="191E7216" w:rsidR="00254823" w:rsidRPr="00CD6A2F" w:rsidRDefault="00254823" w:rsidP="00956D03">
      <w:pPr>
        <w:pStyle w:val="1e"/>
        <w:numPr>
          <w:ilvl w:val="0"/>
          <w:numId w:val="6"/>
        </w:numPr>
        <w:shd w:val="clear" w:color="auto" w:fill="FFFFFF"/>
        <w:spacing w:before="0" w:beforeAutospacing="0" w:after="0" w:afterAutospacing="0"/>
        <w:jc w:val="both"/>
      </w:pPr>
      <w:r w:rsidRPr="005F142F">
        <w:rPr>
          <w:b/>
        </w:rPr>
        <w:t>Рекомендуется</w:t>
      </w:r>
      <w:r w:rsidR="00465085">
        <w:t xml:space="preserve"> всем пациентам </w:t>
      </w:r>
      <w:r w:rsidRPr="00570BCA">
        <w:t>про</w:t>
      </w:r>
      <w:r w:rsidR="00465085">
        <w:t xml:space="preserve">ведение сеансов </w:t>
      </w:r>
      <w:r w:rsidR="003920EE">
        <w:t xml:space="preserve">лейкоцитафереза </w:t>
      </w:r>
      <w:r w:rsidRPr="00570BCA">
        <w:t xml:space="preserve">при бессимптомном течении гиперлейкоцитоза при числе лейкоцитов </w:t>
      </w:r>
      <w:r w:rsidRPr="00570BCA">
        <w:sym w:font="Symbol" w:char="F03E"/>
      </w:r>
      <w:r w:rsidRPr="00570BCA">
        <w:t>300</w:t>
      </w:r>
      <w:r w:rsidR="00BA7EA3">
        <w:rPr>
          <w:lang w:val="en-US"/>
        </w:rPr>
        <w:t> </w:t>
      </w:r>
      <w:r w:rsidR="00DA7BC3" w:rsidRPr="00DA7BC3">
        <w:t>×</w:t>
      </w:r>
      <w:r w:rsidR="00BA7EA3">
        <w:rPr>
          <w:lang w:val="en-US"/>
        </w:rPr>
        <w:t> </w:t>
      </w:r>
      <w:r w:rsidRPr="00570BCA">
        <w:t>10</w:t>
      </w:r>
      <w:r w:rsidRPr="00570BCA">
        <w:rPr>
          <w:vertAlign w:val="superscript"/>
        </w:rPr>
        <w:t>9</w:t>
      </w:r>
      <w:r w:rsidRPr="00570BCA">
        <w:t xml:space="preserve">/л, а </w:t>
      </w:r>
      <w:r w:rsidR="00501817">
        <w:t xml:space="preserve">также </w:t>
      </w:r>
      <w:r w:rsidRPr="00570BCA">
        <w:t xml:space="preserve">при наличии клинической картины лейкостазов </w:t>
      </w:r>
      <w:r>
        <w:t xml:space="preserve">при числе лейкоцитов </w:t>
      </w:r>
      <w:r w:rsidRPr="00570BCA">
        <w:sym w:font="Symbol" w:char="F03E"/>
      </w:r>
      <w:r w:rsidRPr="00570BCA">
        <w:t>150</w:t>
      </w:r>
      <w:r w:rsidR="00BA7EA3">
        <w:rPr>
          <w:lang w:val="en-US"/>
        </w:rPr>
        <w:t> </w:t>
      </w:r>
      <w:r w:rsidR="00DA7BC3" w:rsidRPr="00DA7BC3">
        <w:t>×</w:t>
      </w:r>
      <w:r w:rsidR="00BA7EA3">
        <w:rPr>
          <w:lang w:val="en-US"/>
        </w:rPr>
        <w:t> </w:t>
      </w:r>
      <w:r w:rsidRPr="00570BCA">
        <w:t>10</w:t>
      </w:r>
      <w:r w:rsidRPr="00570BCA">
        <w:rPr>
          <w:vertAlign w:val="superscript"/>
        </w:rPr>
        <w:t>9</w:t>
      </w:r>
      <w:r w:rsidRPr="00570BCA">
        <w:t>/л</w:t>
      </w:r>
      <w:r w:rsidR="00BB6815">
        <w:t xml:space="preserve"> </w:t>
      </w:r>
      <w:r w:rsidR="00BB6815">
        <w:fldChar w:fldCharType="begin" w:fldLock="1"/>
      </w:r>
      <w:r w:rsidR="002466C9">
        <w:instrText>ADDIN CSL_CITATION {"citationItems":[{"id":"ITEM-1","itemData":{"DOI":"10.1188/17.CJON.E267-E271","ISSN":"1538067X","abstract":"Background: Hyperleukocytosis, a peripheral white blood cell count greater than 100,000/mm5, is most commonly seen in patients with newly diagnosed or relapsed acute lymphoblastic leukemia and acute myeloid leukemia. Leukostasis is a reduction in blood flow related to hyperviscosity. Hyperleukocytosis, causing leukostasis, is an oncologic emergency and requires an exacting assessment and rapid response with appropriate intervention to prevent morbidity and mortality in the first week after diagnosis. Objectives: The objectives of this article are to equip oncology nurse to identify patients with hyperleukocytosis and to provide nursing interventions that will ensure safe, quality care. Methods: A case study is used to demonstrate key concepts that are critical in early assessment, identification, and treatment of patients with leukostasis. Findings: Oncology nurses well versed in the pathophysiology, clinical presentation, and management of leukostasis can make a significant contribution to the safe management of patients with cancer.","author":[{"dropping-particle":"","family":"Blackburn","given":"Lisa M.","non-dropping-particle":"","parse-names":false,"suffix":""},{"dropping-particle":"","family":"Brown","given":"Shelly","non-dropping-particle":"","parse-names":false,"suffix":""},{"dropping-particle":"","family":"Munyon","given":"Aimee","non-dropping-particle":"","parse-names":false,"suffix":""},{"dropping-particle":"","family":"Orovets","given":"Michelle","non-dropping-particle":"","parse-names":false,"suffix":""}],"container-title":"Clinical Journal of Oncology Nursing","id":"ITEM-1","issue":"6","issued":{"date-parts":[["2017","12","1"]]},"page":"E267-E271","publisher":"Oncology Nursing Society","title":"Leukostasis: Management to prevent crisis in acute leukemia","type":"article-journal","volume":"21"},"uris":["http://www.mendeley.com/documents/?uuid=0eee6985-4b42-30f3-a5fe-4bdb83208af2"]}],"mendeley":{"formattedCitation":"[84]","plainTextFormattedCitation":"[84]","previouslyFormattedCitation":"[84]"},"properties":{"noteIndex":0},"schema":"https://github.com/citation-style-language/schema/raw/master/csl-citation.json"}</w:instrText>
      </w:r>
      <w:r w:rsidR="00BB6815">
        <w:fldChar w:fldCharType="separate"/>
      </w:r>
      <w:r w:rsidR="00A66456" w:rsidRPr="00A66456">
        <w:rPr>
          <w:noProof/>
        </w:rPr>
        <w:t>[84]</w:t>
      </w:r>
      <w:r w:rsidR="00BB6815">
        <w:fldChar w:fldCharType="end"/>
      </w:r>
      <w:r w:rsidR="00BB6815">
        <w:t xml:space="preserve">. </w:t>
      </w:r>
      <w:r w:rsidR="00501817">
        <w:t xml:space="preserve"> </w:t>
      </w:r>
    </w:p>
    <w:p w14:paraId="14AFB001" w14:textId="77777777" w:rsidR="00254823" w:rsidRPr="00CD6A2F" w:rsidRDefault="00254823" w:rsidP="00F84735">
      <w:pPr>
        <w:shd w:val="clear" w:color="auto" w:fill="FFFFFF"/>
        <w:ind w:firstLine="709"/>
        <w:contextualSpacing/>
        <w:rPr>
          <w:b/>
        </w:rPr>
      </w:pPr>
      <w:r w:rsidRPr="00CD6A2F">
        <w:rPr>
          <w:b/>
        </w:rPr>
        <w:lastRenderedPageBreak/>
        <w:t xml:space="preserve">Уровень убедительности рекомендаций </w:t>
      </w:r>
      <w:r w:rsidR="00DA7BC3">
        <w:rPr>
          <w:b/>
        </w:rPr>
        <w:t xml:space="preserve">– </w:t>
      </w:r>
      <w:r w:rsidR="003C36AB">
        <w:rPr>
          <w:b/>
        </w:rPr>
        <w:t>С</w:t>
      </w:r>
      <w:r w:rsidRPr="00CD6A2F">
        <w:rPr>
          <w:b/>
        </w:rPr>
        <w:t xml:space="preserve"> (уровень</w:t>
      </w:r>
      <w:r>
        <w:rPr>
          <w:b/>
        </w:rPr>
        <w:t xml:space="preserve"> достоверности доказательств – </w:t>
      </w:r>
      <w:r w:rsidR="003C36AB">
        <w:rPr>
          <w:b/>
        </w:rPr>
        <w:t>5</w:t>
      </w:r>
      <w:r w:rsidR="006B658B">
        <w:rPr>
          <w:b/>
        </w:rPr>
        <w:t>)</w:t>
      </w:r>
      <w:r w:rsidR="00DA7BC3">
        <w:rPr>
          <w:b/>
        </w:rPr>
        <w:t>.</w:t>
      </w:r>
    </w:p>
    <w:p w14:paraId="32FFC21F" w14:textId="77777777" w:rsidR="00F84735" w:rsidRPr="00D744DA" w:rsidRDefault="00DA7BC3" w:rsidP="00D744DA">
      <w:pPr>
        <w:ind w:firstLine="720"/>
        <w:rPr>
          <w:szCs w:val="24"/>
        </w:rPr>
      </w:pPr>
      <w:r>
        <w:rPr>
          <w:b/>
          <w:bCs/>
        </w:rPr>
        <w:t>Комментарии</w:t>
      </w:r>
      <w:r w:rsidR="00254823" w:rsidRPr="003920EE">
        <w:rPr>
          <w:b/>
          <w:bCs/>
        </w:rPr>
        <w:t>:</w:t>
      </w:r>
      <w:r w:rsidR="00254823" w:rsidRPr="00570BCA">
        <w:t xml:space="preserve"> </w:t>
      </w:r>
      <w:r w:rsidR="009F6442" w:rsidRPr="00570BCA">
        <w:rPr>
          <w:i/>
        </w:rPr>
        <w:t xml:space="preserve">число </w:t>
      </w:r>
      <w:r w:rsidR="00254823" w:rsidRPr="00570BCA">
        <w:rPr>
          <w:i/>
        </w:rPr>
        <w:t>лейкоцитов</w:t>
      </w:r>
      <w:r w:rsidR="00254823" w:rsidRPr="00230ACC">
        <w:rPr>
          <w:i/>
        </w:rPr>
        <w:t xml:space="preserve"> в гемограмме </w:t>
      </w:r>
      <w:r w:rsidR="00254823" w:rsidRPr="00230ACC">
        <w:rPr>
          <w:i/>
        </w:rPr>
        <w:sym w:font="Symbol" w:char="F03E"/>
      </w:r>
      <w:r w:rsidR="00254823" w:rsidRPr="00230ACC">
        <w:rPr>
          <w:i/>
        </w:rPr>
        <w:t>100</w:t>
      </w:r>
      <w:r w:rsidR="00BA7EA3">
        <w:rPr>
          <w:i/>
          <w:lang w:val="en-US"/>
        </w:rPr>
        <w:t> </w:t>
      </w:r>
      <w:r w:rsidRPr="00DA7BC3">
        <w:rPr>
          <w:i/>
        </w:rPr>
        <w:t>×</w:t>
      </w:r>
      <w:r w:rsidR="00BA7EA3">
        <w:rPr>
          <w:i/>
          <w:lang w:val="en-US"/>
        </w:rPr>
        <w:t> </w:t>
      </w:r>
      <w:r w:rsidR="00254823" w:rsidRPr="00230ACC">
        <w:rPr>
          <w:i/>
        </w:rPr>
        <w:t>10</w:t>
      </w:r>
      <w:r w:rsidR="00254823" w:rsidRPr="00230ACC">
        <w:rPr>
          <w:i/>
          <w:vertAlign w:val="superscript"/>
        </w:rPr>
        <w:t>9</w:t>
      </w:r>
      <w:r w:rsidR="00254823" w:rsidRPr="00230ACC">
        <w:rPr>
          <w:i/>
        </w:rPr>
        <w:t xml:space="preserve">/л в дебюте ОЛЛ наблюдается </w:t>
      </w:r>
      <w:r w:rsidR="000C49F5">
        <w:rPr>
          <w:i/>
        </w:rPr>
        <w:t xml:space="preserve">в </w:t>
      </w:r>
      <w:r>
        <w:rPr>
          <w:i/>
        </w:rPr>
        <w:t>10–</w:t>
      </w:r>
      <w:r w:rsidR="00254823" w:rsidRPr="00230ACC">
        <w:rPr>
          <w:i/>
        </w:rPr>
        <w:t>30</w:t>
      </w:r>
      <w:r>
        <w:rPr>
          <w:i/>
        </w:rPr>
        <w:t xml:space="preserve"> </w:t>
      </w:r>
      <w:r w:rsidR="00254823" w:rsidRPr="00230ACC">
        <w:rPr>
          <w:i/>
        </w:rPr>
        <w:t xml:space="preserve">% </w:t>
      </w:r>
      <w:r w:rsidR="000C49F5">
        <w:rPr>
          <w:i/>
        </w:rPr>
        <w:t>случ</w:t>
      </w:r>
      <w:r w:rsidR="00E57C9C">
        <w:rPr>
          <w:i/>
        </w:rPr>
        <w:t>а</w:t>
      </w:r>
      <w:r w:rsidR="000C49F5">
        <w:rPr>
          <w:i/>
        </w:rPr>
        <w:t xml:space="preserve">ев </w:t>
      </w:r>
      <w:r w:rsidR="00254823" w:rsidRPr="00230ACC">
        <w:rPr>
          <w:i/>
        </w:rPr>
        <w:t>ОЛЛ и является, как и при других варианта</w:t>
      </w:r>
      <w:r w:rsidR="00BA51C2">
        <w:rPr>
          <w:i/>
        </w:rPr>
        <w:t>х ОЛ</w:t>
      </w:r>
      <w:r w:rsidR="00254823" w:rsidRPr="00230ACC">
        <w:rPr>
          <w:i/>
        </w:rPr>
        <w:t>, фактором неблагоприятного прогноза. Чаще гиперлейкоцитоз при ОЛЛ развивается в молодом возрасте, у мужчин, при Т-клеточном варианте (в 38</w:t>
      </w:r>
      <w:r>
        <w:rPr>
          <w:i/>
        </w:rPr>
        <w:t xml:space="preserve"> </w:t>
      </w:r>
      <w:r w:rsidR="00254823" w:rsidRPr="00230ACC">
        <w:rPr>
          <w:i/>
        </w:rPr>
        <w:t xml:space="preserve">% случаев число лейкоцитов </w:t>
      </w:r>
      <w:r w:rsidR="00254823" w:rsidRPr="00230ACC">
        <w:rPr>
          <w:i/>
        </w:rPr>
        <w:sym w:font="Symbol" w:char="F03E"/>
      </w:r>
      <w:r w:rsidR="00254823" w:rsidRPr="00230ACC">
        <w:rPr>
          <w:i/>
        </w:rPr>
        <w:t>100</w:t>
      </w:r>
      <w:r w:rsidR="009F6442">
        <w:rPr>
          <w:i/>
          <w:lang w:val="en-US"/>
        </w:rPr>
        <w:t> </w:t>
      </w:r>
      <w:r w:rsidRPr="00DA7BC3">
        <w:rPr>
          <w:i/>
        </w:rPr>
        <w:t>×</w:t>
      </w:r>
      <w:r w:rsidR="009F6442">
        <w:rPr>
          <w:i/>
          <w:lang w:val="en-US"/>
        </w:rPr>
        <w:t> </w:t>
      </w:r>
      <w:r w:rsidR="00254823" w:rsidRPr="00230ACC">
        <w:rPr>
          <w:i/>
        </w:rPr>
        <w:t>10</w:t>
      </w:r>
      <w:r w:rsidR="00254823" w:rsidRPr="00230ACC">
        <w:rPr>
          <w:i/>
          <w:vertAlign w:val="superscript"/>
        </w:rPr>
        <w:t>9</w:t>
      </w:r>
      <w:r w:rsidR="00254823" w:rsidRPr="00230ACC">
        <w:rPr>
          <w:i/>
        </w:rPr>
        <w:t xml:space="preserve">/л), при наличии поражения средостения, массивной гепатоспленомегалии, нейролейкемии, а также при </w:t>
      </w:r>
      <w:r w:rsidR="00254823" w:rsidRPr="00230ACC">
        <w:rPr>
          <w:i/>
          <w:lang w:val="en-US"/>
        </w:rPr>
        <w:t>Ph</w:t>
      </w:r>
      <w:r w:rsidR="00254823" w:rsidRPr="00230ACC">
        <w:rPr>
          <w:i/>
        </w:rPr>
        <w:t>+</w:t>
      </w:r>
      <w:r>
        <w:rPr>
          <w:i/>
        </w:rPr>
        <w:t xml:space="preserve"> </w:t>
      </w:r>
      <w:r w:rsidR="00254823" w:rsidRPr="00230ACC">
        <w:rPr>
          <w:i/>
        </w:rPr>
        <w:t xml:space="preserve">ОЛЛ и </w:t>
      </w:r>
      <w:r w:rsidR="00254823" w:rsidRPr="00230ACC">
        <w:rPr>
          <w:i/>
          <w:lang w:val="en-US"/>
        </w:rPr>
        <w:t>MLL</w:t>
      </w:r>
      <w:r w:rsidR="00254823" w:rsidRPr="00230ACC">
        <w:rPr>
          <w:i/>
        </w:rPr>
        <w:t>-лейкемии.</w:t>
      </w:r>
      <w:r w:rsidR="00254823">
        <w:t xml:space="preserve"> </w:t>
      </w:r>
      <w:r w:rsidR="00254823" w:rsidRPr="00230ACC">
        <w:rPr>
          <w:i/>
        </w:rPr>
        <w:t>Клинические проявления гиперлейкоцитоза при ОЛЛ обусловлены проявлениями лейкостазов. Однако тяжесть их значительно меньше</w:t>
      </w:r>
      <w:r w:rsidR="001152A4">
        <w:rPr>
          <w:i/>
        </w:rPr>
        <w:t>,</w:t>
      </w:r>
      <w:r w:rsidR="00254823" w:rsidRPr="00230ACC">
        <w:rPr>
          <w:i/>
        </w:rPr>
        <w:t xml:space="preserve"> чем при</w:t>
      </w:r>
      <w:r w:rsidR="00D744DA" w:rsidRPr="00D744DA">
        <w:rPr>
          <w:szCs w:val="24"/>
        </w:rPr>
        <w:t xml:space="preserve"> </w:t>
      </w:r>
      <w:r w:rsidR="00D744DA" w:rsidRPr="00D744DA">
        <w:rPr>
          <w:i/>
          <w:szCs w:val="24"/>
        </w:rPr>
        <w:t>остром миелоидном лейкозе</w:t>
      </w:r>
      <w:r w:rsidR="00254823" w:rsidRPr="00230ACC">
        <w:rPr>
          <w:i/>
        </w:rPr>
        <w:t xml:space="preserve"> </w:t>
      </w:r>
      <w:r w:rsidR="00D744DA">
        <w:rPr>
          <w:i/>
        </w:rPr>
        <w:t xml:space="preserve">(далее – </w:t>
      </w:r>
      <w:r w:rsidR="00254823" w:rsidRPr="00230ACC">
        <w:rPr>
          <w:i/>
        </w:rPr>
        <w:t>ОМЛ</w:t>
      </w:r>
      <w:r w:rsidR="00D744DA">
        <w:rPr>
          <w:i/>
        </w:rPr>
        <w:t>)</w:t>
      </w:r>
      <w:r>
        <w:rPr>
          <w:i/>
        </w:rPr>
        <w:t>,</w:t>
      </w:r>
      <w:r w:rsidR="00254823" w:rsidRPr="00230ACC">
        <w:rPr>
          <w:i/>
        </w:rPr>
        <w:t xml:space="preserve"> и</w:t>
      </w:r>
      <w:r w:rsidR="000C49F5">
        <w:rPr>
          <w:i/>
        </w:rPr>
        <w:t>,</w:t>
      </w:r>
      <w:r w:rsidR="00254823" w:rsidRPr="00230ACC">
        <w:rPr>
          <w:i/>
        </w:rPr>
        <w:t xml:space="preserve"> соответстве</w:t>
      </w:r>
      <w:r>
        <w:rPr>
          <w:i/>
        </w:rPr>
        <w:t>нно, ниже ранняя летальность (2–</w:t>
      </w:r>
      <w:r w:rsidR="00254823" w:rsidRPr="00230ACC">
        <w:rPr>
          <w:i/>
        </w:rPr>
        <w:t>6</w:t>
      </w:r>
      <w:r>
        <w:rPr>
          <w:i/>
        </w:rPr>
        <w:t xml:space="preserve"> </w:t>
      </w:r>
      <w:r w:rsidR="00254823" w:rsidRPr="00230ACC">
        <w:rPr>
          <w:i/>
        </w:rPr>
        <w:t xml:space="preserve">%). Реже встречается клиника лейкостазов, проявляющаяся признаками тканевой гипоксии, ДВС-синдромом, органной дисфункцией, геморрагическими осложнениями, в том числе </w:t>
      </w:r>
      <w:r w:rsidR="000C49F5">
        <w:rPr>
          <w:i/>
        </w:rPr>
        <w:t xml:space="preserve">со стороны </w:t>
      </w:r>
      <w:r>
        <w:rPr>
          <w:i/>
        </w:rPr>
        <w:t>ЦНС (2–</w:t>
      </w:r>
      <w:r w:rsidR="00254823" w:rsidRPr="00230ACC">
        <w:rPr>
          <w:i/>
        </w:rPr>
        <w:t>3</w:t>
      </w:r>
      <w:r>
        <w:rPr>
          <w:i/>
        </w:rPr>
        <w:t xml:space="preserve"> </w:t>
      </w:r>
      <w:r w:rsidR="00254823" w:rsidRPr="00230ACC">
        <w:rPr>
          <w:i/>
        </w:rPr>
        <w:t>%), а также поражением легочной т</w:t>
      </w:r>
      <w:r w:rsidR="00254823">
        <w:rPr>
          <w:i/>
        </w:rPr>
        <w:t xml:space="preserve">кани с развитием </w:t>
      </w:r>
      <w:r>
        <w:rPr>
          <w:i/>
        </w:rPr>
        <w:t>острого респираторного дистресс-</w:t>
      </w:r>
      <w:r w:rsidR="000C49F5">
        <w:rPr>
          <w:i/>
        </w:rPr>
        <w:t>синдрома (</w:t>
      </w:r>
      <w:r>
        <w:rPr>
          <w:i/>
        </w:rPr>
        <w:t xml:space="preserve">далее – </w:t>
      </w:r>
      <w:r w:rsidR="000C49F5">
        <w:rPr>
          <w:i/>
        </w:rPr>
        <w:t xml:space="preserve">ОРДС) </w:t>
      </w:r>
      <w:r w:rsidR="00254823">
        <w:rPr>
          <w:i/>
        </w:rPr>
        <w:t>(6</w:t>
      </w:r>
      <w:r>
        <w:rPr>
          <w:i/>
        </w:rPr>
        <w:t xml:space="preserve"> </w:t>
      </w:r>
      <w:r w:rsidR="00254823">
        <w:rPr>
          <w:i/>
        </w:rPr>
        <w:t xml:space="preserve">%) и </w:t>
      </w:r>
      <w:r w:rsidR="00254823" w:rsidRPr="00230ACC">
        <w:rPr>
          <w:i/>
        </w:rPr>
        <w:t xml:space="preserve">почечной недостаточностью. Терапия данного состояния при ОЛЛ преимущественно направлена на предотвращение </w:t>
      </w:r>
      <w:r w:rsidR="00254823" w:rsidRPr="00B07E4F">
        <w:rPr>
          <w:i/>
        </w:rPr>
        <w:t>синдрома</w:t>
      </w:r>
      <w:r w:rsidR="00BA51C2">
        <w:rPr>
          <w:i/>
        </w:rPr>
        <w:t xml:space="preserve"> лизиса опухоли</w:t>
      </w:r>
      <w:r w:rsidR="00254823" w:rsidRPr="00B07E4F">
        <w:rPr>
          <w:i/>
        </w:rPr>
        <w:t xml:space="preserve"> и ДВС-синдрома на фоне начала </w:t>
      </w:r>
      <w:r w:rsidR="00BA51C2">
        <w:rPr>
          <w:i/>
        </w:rPr>
        <w:t>ХТ</w:t>
      </w:r>
      <w:r w:rsidR="00254823" w:rsidRPr="00B07E4F">
        <w:rPr>
          <w:i/>
        </w:rPr>
        <w:t>.</w:t>
      </w:r>
      <w:r w:rsidR="00254823" w:rsidRPr="00B07E4F">
        <w:t xml:space="preserve"> </w:t>
      </w:r>
      <w:r w:rsidR="00254823" w:rsidRPr="00B07E4F">
        <w:rPr>
          <w:i/>
        </w:rPr>
        <w:t>Для этого применяются лейкоцитаферезы, однако</w:t>
      </w:r>
      <w:r w:rsidR="00DE6F05">
        <w:rPr>
          <w:i/>
        </w:rPr>
        <w:t xml:space="preserve"> </w:t>
      </w:r>
      <w:r w:rsidR="00254823" w:rsidRPr="00B07E4F">
        <w:rPr>
          <w:i/>
        </w:rPr>
        <w:t>эффективность их при ОЛЛ значимо ниже, чем при ОМЛ.</w:t>
      </w:r>
    </w:p>
    <w:p w14:paraId="18C6FC1A" w14:textId="77777777" w:rsidR="00254823" w:rsidRPr="00F84735" w:rsidRDefault="00254823" w:rsidP="00956D03">
      <w:pPr>
        <w:numPr>
          <w:ilvl w:val="0"/>
          <w:numId w:val="6"/>
        </w:numPr>
        <w:shd w:val="clear" w:color="auto" w:fill="FFFFFF"/>
        <w:contextualSpacing/>
      </w:pPr>
      <w:r w:rsidRPr="0028375D">
        <w:rPr>
          <w:b/>
        </w:rPr>
        <w:t>Рекомендуется</w:t>
      </w:r>
      <w:r w:rsidRPr="00B07E4F">
        <w:t xml:space="preserve"> всем пациентам с момента диагностики ОЛЛ проведение терапии аллопуринолом**, адекватная гидратационная терапия (до 3 л/м</w:t>
      </w:r>
      <w:r w:rsidRPr="00B07E4F">
        <w:rPr>
          <w:vertAlign w:val="superscript"/>
        </w:rPr>
        <w:t>2</w:t>
      </w:r>
      <w:r w:rsidRPr="00B07E4F">
        <w:t>), при необходимости – форсированный диурез с помощью инфузий и петлевых диуретиков с целью профилактики синдрома</w:t>
      </w:r>
      <w:r w:rsidR="00BA51C2">
        <w:t xml:space="preserve"> лизиса опухоли</w:t>
      </w:r>
      <w:r w:rsidR="00DD7518">
        <w:t xml:space="preserve"> </w:t>
      </w:r>
      <w:r w:rsidR="00A61017" w:rsidRPr="00296285">
        <w:fldChar w:fldCharType="begin" w:fldLock="1"/>
      </w:r>
      <w:r w:rsidR="00A61017">
        <w:instrText>ADDIN CSL_CITATION {"citationItems":[{"id":"ITEM-1","itemData":{"id":"ITEM-1","issued":{"date-parts":[["2012"]]},"number-of-pages":"1056","title":"Программное лечение заболеваний системы крови: Сборник алгоритмов диагностики и протоколов лечения заболеваний системы крови. Под ред. В.Г. Савченко","type":"book"},"uris":["http://www.mendeley.com/documents/?uuid=36484a90-27ae-40a9-a194-b0461fb47d9d"]},{"id":"ITEM-2","itemData":{"author":[{"dropping-particle":"","family":"Савченко","given":"Валерий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доп.","id":"ITEM-2","issued":{"date-parts":[["2007"]]},"page":"409-502","title":"Острые лейкозы","type":"chapter"},"uris":["http://www.mendeley.com/documents/?uuid=08f85f58-ddaa-48eb-b937-65d15d14b213"]}],"mendeley":{"formattedCitation":"[1,2]","plainTextFormattedCitation":"[1,2]","previouslyFormattedCitation":"[1,2]"},"properties":{"noteIndex":0},"schema":"https://github.com/citation-style-language/schema/raw/master/csl-citation.json"}</w:instrText>
      </w:r>
      <w:r w:rsidR="00A61017" w:rsidRPr="00296285">
        <w:fldChar w:fldCharType="separate"/>
      </w:r>
      <w:r w:rsidR="00A61017" w:rsidRPr="00A61017">
        <w:rPr>
          <w:noProof/>
        </w:rPr>
        <w:t>[1,2]</w:t>
      </w:r>
      <w:r w:rsidR="00A61017" w:rsidRPr="00296285">
        <w:fldChar w:fldCharType="end"/>
      </w:r>
      <w:r w:rsidR="00A61017" w:rsidRPr="00296285">
        <w:rPr>
          <w:lang w:eastAsia="zh-CN"/>
        </w:rPr>
        <w:t>.</w:t>
      </w:r>
      <w:r w:rsidR="00A61017">
        <w:t xml:space="preserve"> </w:t>
      </w:r>
      <w:r w:rsidR="00BB6815">
        <w:t xml:space="preserve"> </w:t>
      </w:r>
    </w:p>
    <w:p w14:paraId="24C226F2" w14:textId="77777777" w:rsidR="00254823" w:rsidRPr="00230ACC" w:rsidRDefault="00254823" w:rsidP="00F84735">
      <w:pPr>
        <w:shd w:val="clear" w:color="auto" w:fill="FFFFFF"/>
        <w:ind w:firstLine="709"/>
        <w:contextualSpacing/>
        <w:rPr>
          <w:b/>
        </w:rPr>
      </w:pPr>
      <w:r w:rsidRPr="00A61017">
        <w:rPr>
          <w:b/>
        </w:rPr>
        <w:t xml:space="preserve">Уровень убедительности рекомендаций </w:t>
      </w:r>
      <w:r w:rsidR="00064AE6" w:rsidRPr="00A61017">
        <w:rPr>
          <w:b/>
        </w:rPr>
        <w:t xml:space="preserve">– </w:t>
      </w:r>
      <w:r w:rsidR="002A76AB">
        <w:rPr>
          <w:b/>
        </w:rPr>
        <w:t>С</w:t>
      </w:r>
      <w:r w:rsidRPr="00A61017">
        <w:rPr>
          <w:b/>
        </w:rPr>
        <w:t xml:space="preserve"> (уровень</w:t>
      </w:r>
      <w:r w:rsidRPr="00A61017">
        <w:rPr>
          <w:b/>
          <w:color w:val="000000"/>
          <w:szCs w:val="27"/>
        </w:rPr>
        <w:t xml:space="preserve"> достоверности доказательств</w:t>
      </w:r>
      <w:r w:rsidR="00F84735" w:rsidRPr="00A61017">
        <w:rPr>
          <w:b/>
          <w:color w:val="000000"/>
          <w:szCs w:val="27"/>
        </w:rPr>
        <w:t xml:space="preserve"> – </w:t>
      </w:r>
      <w:r w:rsidR="002A76AB">
        <w:rPr>
          <w:b/>
          <w:color w:val="000000"/>
          <w:szCs w:val="27"/>
        </w:rPr>
        <w:t>5</w:t>
      </w:r>
      <w:r w:rsidR="00F84735" w:rsidRPr="00A61017">
        <w:rPr>
          <w:b/>
          <w:color w:val="000000"/>
          <w:szCs w:val="27"/>
        </w:rPr>
        <w:t>)</w:t>
      </w:r>
      <w:r w:rsidR="00064AE6" w:rsidRPr="00A61017">
        <w:rPr>
          <w:b/>
          <w:color w:val="000000"/>
          <w:szCs w:val="27"/>
        </w:rPr>
        <w:t>.</w:t>
      </w:r>
    </w:p>
    <w:p w14:paraId="475CDFEA" w14:textId="4F1352BF" w:rsidR="00254823" w:rsidRPr="00D53B07" w:rsidRDefault="00E34915" w:rsidP="00956D03">
      <w:pPr>
        <w:numPr>
          <w:ilvl w:val="0"/>
          <w:numId w:val="6"/>
        </w:numPr>
        <w:shd w:val="clear" w:color="auto" w:fill="FFFFFF"/>
        <w:suppressAutoHyphens/>
      </w:pPr>
      <w:r>
        <w:t>В</w:t>
      </w:r>
      <w:r w:rsidR="00254823">
        <w:t xml:space="preserve">сем пациентам при быстром снижении числа лейкоцитов на фоне </w:t>
      </w:r>
      <w:r w:rsidR="003775CB">
        <w:t>предфазы преднизолоном</w:t>
      </w:r>
      <w:r w:rsidR="002D6147">
        <w:t>**</w:t>
      </w:r>
      <w:r w:rsidR="00254823">
        <w:t xml:space="preserve"> </w:t>
      </w:r>
      <w:r>
        <w:rPr>
          <w:b/>
        </w:rPr>
        <w:t>рекомендуется</w:t>
      </w:r>
      <w:r>
        <w:t xml:space="preserve"> </w:t>
      </w:r>
      <w:r w:rsidR="00254823">
        <w:t>проведение плазмаферез</w:t>
      </w:r>
      <w:r w:rsidR="00964AA0">
        <w:t>а</w:t>
      </w:r>
      <w:r w:rsidR="00254823">
        <w:t xml:space="preserve"> с целью удаления токсичных продуктов распада опухолевых клеток</w:t>
      </w:r>
      <w:r w:rsidR="00BB6815">
        <w:t xml:space="preserve"> </w:t>
      </w:r>
      <w:r w:rsidR="00BB6815">
        <w:fldChar w:fldCharType="begin" w:fldLock="1"/>
      </w:r>
      <w:r w:rsidR="002466C9">
        <w:instrText>ADDIN CSL_CITATION {"citationItems":[{"id":"ITEM-1","itemData":{"DOI":"10.1188/17.CJON.E267-E271","ISSN":"1538067X","abstract":"Background: Hyperleukocytosis, a peripheral white blood cell count greater than 100,000/mm5, is most commonly seen in patients with newly diagnosed or relapsed acute lymphoblastic leukemia and acute myeloid leukemia. Leukostasis is a reduction in blood flow related to hyperviscosity. Hyperleukocytosis, causing leukostasis, is an oncologic emergency and requires an exacting assessment and rapid response with appropriate intervention to prevent morbidity and mortality in the first week after diagnosis. Objectives: The objectives of this article are to equip oncology nurse to identify patients with hyperleukocytosis and to provide nursing interventions that will ensure safe, quality care. Methods: A case study is used to demonstrate key concepts that are critical in early assessment, identification, and treatment of patients with leukostasis. Findings: Oncology nurses well versed in the pathophysiology, clinical presentation, and management of leukostasis can make a significant contribution to the safe management of patients with cancer.","author":[{"dropping-particle":"","family":"Blackburn","given":"Lisa M.","non-dropping-particle":"","parse-names":false,"suffix":""},{"dropping-particle":"","family":"Brown","given":"Shelly","non-dropping-particle":"","parse-names":false,"suffix":""},{"dropping-particle":"","family":"Munyon","given":"Aimee","non-dropping-particle":"","parse-names":false,"suffix":""},{"dropping-particle":"","family":"Orovets","given":"Michelle","non-dropping-particle":"","parse-names":false,"suffix":""}],"container-title":"Clinical Journal of Oncology Nursing","id":"ITEM-1","issue":"6","issued":{"date-parts":[["2017","12","1"]]},"page":"E267-E271","publisher":"Oncology Nursing Society","title":"Leukostasis: Management to prevent crisis in acute leukemia","type":"article-journal","volume":"21"},"uris":["http://www.mendeley.com/documents/?uuid=0eee6985-4b42-30f3-a5fe-4bdb83208af2"]}],"mendeley":{"formattedCitation":"[84]","plainTextFormattedCitation":"[84]","previouslyFormattedCitation":"[84]"},"properties":{"noteIndex":0},"schema":"https://github.com/citation-style-language/schema/raw/master/csl-citation.json"}</w:instrText>
      </w:r>
      <w:r w:rsidR="00BB6815">
        <w:fldChar w:fldCharType="separate"/>
      </w:r>
      <w:r w:rsidR="00A66456" w:rsidRPr="00A66456">
        <w:rPr>
          <w:noProof/>
        </w:rPr>
        <w:t>[84]</w:t>
      </w:r>
      <w:r w:rsidR="00BB6815">
        <w:fldChar w:fldCharType="end"/>
      </w:r>
      <w:r w:rsidR="00BB6815">
        <w:t xml:space="preserve">. </w:t>
      </w:r>
    </w:p>
    <w:p w14:paraId="5106F138" w14:textId="77777777" w:rsidR="00254823" w:rsidRDefault="00254823" w:rsidP="00F84735">
      <w:pPr>
        <w:shd w:val="clear" w:color="auto" w:fill="FFFFFF"/>
        <w:suppressAutoHyphens/>
        <w:ind w:firstLine="709"/>
        <w:contextualSpacing/>
      </w:pPr>
      <w:r w:rsidRPr="00D53B07">
        <w:rPr>
          <w:b/>
          <w:color w:val="000000"/>
          <w:szCs w:val="27"/>
        </w:rPr>
        <w:t>Урове</w:t>
      </w:r>
      <w:r>
        <w:rPr>
          <w:b/>
          <w:color w:val="000000"/>
          <w:szCs w:val="27"/>
        </w:rPr>
        <w:t xml:space="preserve">нь убедительности рекомендаций </w:t>
      </w:r>
      <w:r w:rsidR="00064AE6">
        <w:rPr>
          <w:b/>
          <w:color w:val="000000"/>
          <w:szCs w:val="27"/>
        </w:rPr>
        <w:t xml:space="preserve">– </w:t>
      </w:r>
      <w:r w:rsidR="00964AA0">
        <w:rPr>
          <w:b/>
          <w:color w:val="000000"/>
          <w:szCs w:val="27"/>
        </w:rPr>
        <w:t>С</w:t>
      </w:r>
      <w:r w:rsidRPr="00D53B07">
        <w:rPr>
          <w:b/>
          <w:color w:val="000000"/>
          <w:szCs w:val="27"/>
        </w:rPr>
        <w:t xml:space="preserve"> (уровень </w:t>
      </w:r>
      <w:r>
        <w:rPr>
          <w:b/>
          <w:color w:val="000000"/>
          <w:szCs w:val="27"/>
        </w:rPr>
        <w:t xml:space="preserve">достоверности доказательств – </w:t>
      </w:r>
      <w:r w:rsidR="00964AA0">
        <w:rPr>
          <w:b/>
          <w:color w:val="000000"/>
          <w:szCs w:val="27"/>
        </w:rPr>
        <w:t>5</w:t>
      </w:r>
      <w:r w:rsidR="00F84735">
        <w:rPr>
          <w:b/>
          <w:color w:val="000000"/>
          <w:szCs w:val="27"/>
        </w:rPr>
        <w:t>)</w:t>
      </w:r>
      <w:r w:rsidR="00064AE6">
        <w:rPr>
          <w:b/>
          <w:color w:val="000000"/>
          <w:szCs w:val="27"/>
        </w:rPr>
        <w:t>.</w:t>
      </w:r>
    </w:p>
    <w:p w14:paraId="1260C9B0" w14:textId="19C191EB" w:rsidR="00254823" w:rsidRDefault="00254823" w:rsidP="00956D03">
      <w:pPr>
        <w:numPr>
          <w:ilvl w:val="0"/>
          <w:numId w:val="6"/>
        </w:numPr>
        <w:shd w:val="clear" w:color="auto" w:fill="FFFFFF"/>
        <w:suppressAutoHyphens/>
      </w:pPr>
      <w:r>
        <w:rPr>
          <w:b/>
        </w:rPr>
        <w:t>Рекомендуется</w:t>
      </w:r>
      <w:r>
        <w:t xml:space="preserve"> всем пациентам профилактика синдрома </w:t>
      </w:r>
      <w:r w:rsidR="004951A9">
        <w:t>лизиса опухоли</w:t>
      </w:r>
      <w:r w:rsidR="00BB6815">
        <w:t xml:space="preserve"> </w:t>
      </w:r>
      <w:r w:rsidR="00BB6815">
        <w:fldChar w:fldCharType="begin" w:fldLock="1"/>
      </w:r>
      <w:r w:rsidR="002466C9">
        <w:instrText>ADDIN CSL_CITATION {"citationItems":[{"id":"ITEM-1","itemData":{"DOI":"10.1188/17.CJON.E267-E271","ISSN":"1538067X","abstract":"Background: Hyperleukocytosis, a peripheral white blood cell count greater than 100,000/mm5, is most commonly seen in patients with newly diagnosed or relapsed acute lymphoblastic leukemia and acute myeloid leukemia. Leukostasis is a reduction in blood flow related to hyperviscosity. Hyperleukocytosis, causing leukostasis, is an oncologic emergency and requires an exacting assessment and rapid response with appropriate intervention to prevent morbidity and mortality in the first week after diagnosis. Objectives: The objectives of this article are to equip oncology nurse to identify patients with hyperleukocytosis and to provide nursing interventions that will ensure safe, quality care. Methods: A case study is used to demonstrate key concepts that are critical in early assessment, identification, and treatment of patients with leukostasis. Findings: Oncology nurses well versed in the pathophysiology, clinical presentation, and management of leukostasis can make a significant contribution to the safe management of patients with cancer.","author":[{"dropping-particle":"","family":"Blackburn","given":"Lisa M.","non-dropping-particle":"","parse-names":false,"suffix":""},{"dropping-particle":"","family":"Brown","given":"Shelly","non-dropping-particle":"","parse-names":false,"suffix":""},{"dropping-particle":"","family":"Munyon","given":"Aimee","non-dropping-particle":"","parse-names":false,"suffix":""},{"dropping-particle":"","family":"Orovets","given":"Michelle","non-dropping-particle":"","parse-names":false,"suffix":""}],"container-title":"Clinical Journal of Oncology Nursing","id":"ITEM-1","issue":"6","issued":{"date-parts":[["2017","12","1"]]},"page":"E267-E271","publisher":"Oncology Nursing Society","title":"Leukostasis: Management to prevent crisis in acute leukemia","type":"article-journal","volume":"21"},"uris":["http://www.mendeley.com/documents/?uuid=0eee6985-4b42-30f3-a5fe-4bdb83208af2"]}],"mendeley":{"formattedCitation":"[84]","plainTextFormattedCitation":"[84]","previouslyFormattedCitation":"[84]"},"properties":{"noteIndex":0},"schema":"https://github.com/citation-style-language/schema/raw/master/csl-citation.json"}</w:instrText>
      </w:r>
      <w:r w:rsidR="00BB6815">
        <w:fldChar w:fldCharType="separate"/>
      </w:r>
      <w:r w:rsidR="00A66456" w:rsidRPr="00A66456">
        <w:rPr>
          <w:noProof/>
        </w:rPr>
        <w:t>[84]</w:t>
      </w:r>
      <w:r w:rsidR="00BB6815">
        <w:fldChar w:fldCharType="end"/>
      </w:r>
      <w:r w:rsidR="00BB6815">
        <w:t xml:space="preserve">. </w:t>
      </w:r>
    </w:p>
    <w:p w14:paraId="26261E56" w14:textId="77777777" w:rsidR="00254823" w:rsidRDefault="00254823" w:rsidP="00F84735">
      <w:pPr>
        <w:shd w:val="clear" w:color="auto" w:fill="FFFFFF"/>
        <w:ind w:firstLine="709"/>
        <w:contextualSpacing/>
        <w:rPr>
          <w:b/>
          <w:color w:val="000000"/>
          <w:szCs w:val="27"/>
        </w:rPr>
      </w:pPr>
      <w:r w:rsidRPr="00BD6A13">
        <w:rPr>
          <w:b/>
          <w:color w:val="000000"/>
        </w:rPr>
        <w:t xml:space="preserve">Уровень убедительности рекомендаций </w:t>
      </w:r>
      <w:r w:rsidR="0028730C" w:rsidRPr="00BD6A13">
        <w:rPr>
          <w:b/>
          <w:color w:val="000000"/>
        </w:rPr>
        <w:t xml:space="preserve">– </w:t>
      </w:r>
      <w:r w:rsidR="00552DB3" w:rsidRPr="00BD6A13">
        <w:rPr>
          <w:b/>
          <w:color w:val="000000"/>
        </w:rPr>
        <w:t xml:space="preserve">С </w:t>
      </w:r>
      <w:r w:rsidRPr="00BD6A13">
        <w:rPr>
          <w:b/>
          <w:color w:val="000000"/>
        </w:rPr>
        <w:t>(уровень д</w:t>
      </w:r>
      <w:r w:rsidR="00F84735" w:rsidRPr="00BD6A13">
        <w:rPr>
          <w:b/>
          <w:color w:val="000000"/>
        </w:rPr>
        <w:t xml:space="preserve">остоверности доказательств – </w:t>
      </w:r>
      <w:r w:rsidR="00552DB3" w:rsidRPr="00BD6A13">
        <w:rPr>
          <w:b/>
          <w:color w:val="000000"/>
        </w:rPr>
        <w:t>5</w:t>
      </w:r>
      <w:r w:rsidR="00F84735" w:rsidRPr="00BD6A13">
        <w:rPr>
          <w:b/>
          <w:color w:val="000000"/>
        </w:rPr>
        <w:t>)</w:t>
      </w:r>
      <w:r w:rsidR="0028730C" w:rsidRPr="00BD6A13">
        <w:rPr>
          <w:b/>
          <w:color w:val="000000"/>
        </w:rPr>
        <w:t>.</w:t>
      </w:r>
    </w:p>
    <w:p w14:paraId="1F6681F7" w14:textId="77777777" w:rsidR="00254823" w:rsidRPr="00BB10E6" w:rsidRDefault="00D600BD" w:rsidP="008163CC">
      <w:pPr>
        <w:ind w:firstLine="720"/>
        <w:contextualSpacing/>
        <w:rPr>
          <w:b/>
        </w:rPr>
      </w:pPr>
      <w:r>
        <w:rPr>
          <w:b/>
        </w:rPr>
        <w:t>ОЛЛ</w:t>
      </w:r>
      <w:r w:rsidR="002D67CB">
        <w:rPr>
          <w:b/>
        </w:rPr>
        <w:t xml:space="preserve"> </w:t>
      </w:r>
      <w:r w:rsidR="00254823" w:rsidRPr="00BB10E6">
        <w:rPr>
          <w:b/>
        </w:rPr>
        <w:t>при беременности</w:t>
      </w:r>
    </w:p>
    <w:p w14:paraId="3A94A777" w14:textId="77777777" w:rsidR="00254823" w:rsidRPr="00920FB2" w:rsidRDefault="00254823" w:rsidP="00254823">
      <w:pPr>
        <w:ind w:firstLine="708"/>
        <w:rPr>
          <w:i/>
        </w:rPr>
      </w:pPr>
      <w:r w:rsidRPr="00920FB2">
        <w:rPr>
          <w:i/>
        </w:rPr>
        <w:t xml:space="preserve">Частота злокачественных новообразований, ассоциированных с беременностью, </w:t>
      </w:r>
      <w:r w:rsidRPr="00920FB2">
        <w:rPr>
          <w:i/>
        </w:rPr>
        <w:lastRenderedPageBreak/>
        <w:t>относительно низкая и составляет 0,02–0,1</w:t>
      </w:r>
      <w:r w:rsidR="0062641D">
        <w:rPr>
          <w:i/>
        </w:rPr>
        <w:t xml:space="preserve"> </w:t>
      </w:r>
      <w:r w:rsidRPr="00920FB2">
        <w:rPr>
          <w:i/>
        </w:rPr>
        <w:t>% всех беременностей. Лейкозы в период беременности встречаются редко (пр</w:t>
      </w:r>
      <w:r w:rsidR="0062641D">
        <w:rPr>
          <w:i/>
        </w:rPr>
        <w:t>иблизительно 1 случай на 75 000–</w:t>
      </w:r>
      <w:r w:rsidRPr="00920FB2">
        <w:rPr>
          <w:i/>
        </w:rPr>
        <w:t xml:space="preserve">100 000 беременностей). Большинство из них представляют собой </w:t>
      </w:r>
      <w:r w:rsidR="00BA51C2">
        <w:rPr>
          <w:i/>
        </w:rPr>
        <w:t>ОЛ</w:t>
      </w:r>
      <w:r w:rsidRPr="00920FB2">
        <w:rPr>
          <w:i/>
        </w:rPr>
        <w:t xml:space="preserve">, треть которых приходится на ОЛЛ. Относительная редкость этих патологических состояний является основным лимитирующим фактором, затрудняющим проведение крупных проспективных исследований, оценку принципов лечения и исходов; в результате описаны лишь небольшие ретроспективные исследования и отдельные случаи. Также беременность является критерием исключения в большинстве </w:t>
      </w:r>
      <w:r w:rsidR="00BA51C2">
        <w:rPr>
          <w:i/>
        </w:rPr>
        <w:t>КИ</w:t>
      </w:r>
      <w:r w:rsidRPr="00920FB2">
        <w:rPr>
          <w:i/>
        </w:rPr>
        <w:t xml:space="preserve">, что также ограничивает возможность выработки единых подходов к ведению этих </w:t>
      </w:r>
      <w:r w:rsidR="00EF50E6" w:rsidRPr="00EF50E6">
        <w:rPr>
          <w:i/>
          <w:szCs w:val="24"/>
        </w:rPr>
        <w:t>пациентов</w:t>
      </w:r>
      <w:r w:rsidRPr="00920FB2">
        <w:rPr>
          <w:i/>
        </w:rPr>
        <w:t xml:space="preserve"> и оценке результатов их лечения. В рамках многоцентрового </w:t>
      </w:r>
      <w:r w:rsidR="000C49F5">
        <w:rPr>
          <w:i/>
        </w:rPr>
        <w:t>КИ</w:t>
      </w:r>
      <w:r w:rsidRPr="00920FB2">
        <w:rPr>
          <w:i/>
        </w:rPr>
        <w:t xml:space="preserve"> (ALL-2009) (ClinicalTrials.gov</w:t>
      </w:r>
      <w:r w:rsidR="009C1CA8">
        <w:rPr>
          <w:i/>
        </w:rPr>
        <w:t>:</w:t>
      </w:r>
      <w:r w:rsidRPr="00920FB2">
        <w:rPr>
          <w:i/>
        </w:rPr>
        <w:t xml:space="preserve"> NCT01193933) было принято решение о включении в исследование женщин, </w:t>
      </w:r>
      <w:r w:rsidR="009C1CA8" w:rsidRPr="00920FB2">
        <w:rPr>
          <w:i/>
        </w:rPr>
        <w:t xml:space="preserve">которым </w:t>
      </w:r>
      <w:r w:rsidRPr="00920FB2">
        <w:rPr>
          <w:i/>
        </w:rPr>
        <w:t>диагноз ОЛЛ был установлен на различных сроках беременности.</w:t>
      </w:r>
    </w:p>
    <w:p w14:paraId="73E945B0" w14:textId="77777777" w:rsidR="00254823" w:rsidRPr="00920FB2" w:rsidRDefault="0062641D" w:rsidP="003D1E78">
      <w:pPr>
        <w:ind w:firstLine="709"/>
        <w:contextualSpacing/>
        <w:rPr>
          <w:i/>
        </w:rPr>
      </w:pPr>
      <w:r>
        <w:rPr>
          <w:i/>
        </w:rPr>
        <w:t>Всего с 1990 по 2016 г.</w:t>
      </w:r>
      <w:r w:rsidR="00A12C9B">
        <w:rPr>
          <w:i/>
        </w:rPr>
        <w:t xml:space="preserve"> врачами р</w:t>
      </w:r>
      <w:r w:rsidR="00254823" w:rsidRPr="00920FB2">
        <w:rPr>
          <w:i/>
        </w:rPr>
        <w:t>оссийской исследовательской групп</w:t>
      </w:r>
      <w:r w:rsidR="000C49F5">
        <w:rPr>
          <w:i/>
        </w:rPr>
        <w:t>ы</w:t>
      </w:r>
      <w:r w:rsidR="00254823" w:rsidRPr="00920FB2">
        <w:rPr>
          <w:i/>
        </w:rPr>
        <w:t xml:space="preserve"> по лечению лейкозов </w:t>
      </w:r>
      <w:r>
        <w:rPr>
          <w:i/>
        </w:rPr>
        <w:t>были исследованы</w:t>
      </w:r>
      <w:r w:rsidR="00254823" w:rsidRPr="00920FB2">
        <w:rPr>
          <w:i/>
        </w:rPr>
        <w:t xml:space="preserve"> 28 беременных женщин с ОЛЛ. Распределение по иммунологическим вар</w:t>
      </w:r>
      <w:r>
        <w:rPr>
          <w:i/>
        </w:rPr>
        <w:t>иантам ОЛЛ соответствует таковому</w:t>
      </w:r>
      <w:r w:rsidR="00254823" w:rsidRPr="00920FB2">
        <w:rPr>
          <w:i/>
        </w:rPr>
        <w:t xml:space="preserve"> в общей популя</w:t>
      </w:r>
      <w:r w:rsidR="00254823">
        <w:rPr>
          <w:i/>
        </w:rPr>
        <w:t xml:space="preserve">ции </w:t>
      </w:r>
      <w:r w:rsidR="00EF50E6" w:rsidRPr="00EF50E6">
        <w:rPr>
          <w:i/>
          <w:szCs w:val="24"/>
        </w:rPr>
        <w:t>пациентов</w:t>
      </w:r>
      <w:r w:rsidR="00EF50E6">
        <w:rPr>
          <w:i/>
        </w:rPr>
        <w:t xml:space="preserve"> с </w:t>
      </w:r>
      <w:r w:rsidR="00254823">
        <w:rPr>
          <w:i/>
        </w:rPr>
        <w:t>ОЛЛ: в 68</w:t>
      </w:r>
      <w:r>
        <w:rPr>
          <w:i/>
        </w:rPr>
        <w:t xml:space="preserve"> </w:t>
      </w:r>
      <w:r w:rsidR="00254823">
        <w:rPr>
          <w:i/>
        </w:rPr>
        <w:t xml:space="preserve">% случаев </w:t>
      </w:r>
      <w:r w:rsidR="00254823" w:rsidRPr="00920FB2">
        <w:rPr>
          <w:i/>
        </w:rPr>
        <w:t>диагно</w:t>
      </w:r>
      <w:r>
        <w:rPr>
          <w:i/>
        </w:rPr>
        <w:t>стирован В-ОЛЛ и в 32 % – Т-ОЛЛ.</w:t>
      </w:r>
      <w:r w:rsidR="00254823" w:rsidRPr="00920FB2">
        <w:rPr>
          <w:i/>
        </w:rPr>
        <w:t xml:space="preserve"> Была отмечена более высокая частота встречаемости факторов негативного прогноза у </w:t>
      </w:r>
      <w:r w:rsidR="00F84735">
        <w:rPr>
          <w:i/>
        </w:rPr>
        <w:t>пациентов</w:t>
      </w:r>
      <w:r>
        <w:rPr>
          <w:i/>
        </w:rPr>
        <w:t xml:space="preserve"> на фоне беременности. Т</w:t>
      </w:r>
      <w:r w:rsidR="00254823" w:rsidRPr="00920FB2">
        <w:rPr>
          <w:i/>
        </w:rPr>
        <w:t>ак</w:t>
      </w:r>
      <w:r>
        <w:rPr>
          <w:i/>
        </w:rPr>
        <w:t>,</w:t>
      </w:r>
      <w:r w:rsidR="00254823" w:rsidRPr="00920FB2">
        <w:rPr>
          <w:i/>
        </w:rPr>
        <w:t xml:space="preserve"> </w:t>
      </w:r>
      <w:r w:rsidR="00254823" w:rsidRPr="00920FB2">
        <w:rPr>
          <w:i/>
          <w:lang w:val="en-US"/>
        </w:rPr>
        <w:t>MLL</w:t>
      </w:r>
      <w:r w:rsidR="00254823" w:rsidRPr="00920FB2">
        <w:rPr>
          <w:i/>
        </w:rPr>
        <w:t>-лейкемия (</w:t>
      </w:r>
      <w:r w:rsidR="00254823" w:rsidRPr="00920FB2">
        <w:rPr>
          <w:rFonts w:eastAsia="Arial"/>
          <w:bCs/>
          <w:i/>
          <w:color w:val="000000"/>
          <w:kern w:val="24"/>
          <w:lang w:val="en-US"/>
        </w:rPr>
        <w:t>t</w:t>
      </w:r>
      <w:r w:rsidR="00254823" w:rsidRPr="00920FB2">
        <w:rPr>
          <w:rFonts w:eastAsia="Arial"/>
          <w:bCs/>
          <w:i/>
          <w:color w:val="000000"/>
          <w:kern w:val="24"/>
        </w:rPr>
        <w:t>(4;11)) была выявлена практически в 10 раз чаще на фо</w:t>
      </w:r>
      <w:r>
        <w:rPr>
          <w:rFonts w:eastAsia="Arial"/>
          <w:bCs/>
          <w:i/>
          <w:color w:val="000000"/>
          <w:kern w:val="24"/>
        </w:rPr>
        <w:t>не берменности</w:t>
      </w:r>
      <w:r w:rsidR="00254823" w:rsidRPr="00920FB2">
        <w:rPr>
          <w:rFonts w:eastAsia="Arial"/>
          <w:bCs/>
          <w:i/>
          <w:color w:val="000000"/>
          <w:kern w:val="24"/>
        </w:rPr>
        <w:t xml:space="preserve"> в сравнении с общей популяцией обследованных </w:t>
      </w:r>
      <w:r w:rsidR="00EF50E6" w:rsidRPr="00EF50E6">
        <w:rPr>
          <w:i/>
          <w:szCs w:val="24"/>
        </w:rPr>
        <w:t>пациентов</w:t>
      </w:r>
      <w:r w:rsidR="00EF50E6">
        <w:rPr>
          <w:i/>
          <w:szCs w:val="24"/>
        </w:rPr>
        <w:t xml:space="preserve"> с</w:t>
      </w:r>
      <w:r>
        <w:rPr>
          <w:rFonts w:eastAsia="Arial"/>
          <w:bCs/>
          <w:i/>
          <w:color w:val="000000"/>
          <w:kern w:val="24"/>
        </w:rPr>
        <w:t xml:space="preserve"> ОЛЛ (27,3</w:t>
      </w:r>
      <w:r w:rsidR="00254823" w:rsidRPr="00920FB2">
        <w:rPr>
          <w:rFonts w:eastAsia="Arial"/>
          <w:bCs/>
          <w:i/>
          <w:color w:val="000000"/>
          <w:kern w:val="24"/>
        </w:rPr>
        <w:t xml:space="preserve"> и 3,2</w:t>
      </w:r>
      <w:r>
        <w:rPr>
          <w:rFonts w:eastAsia="Arial"/>
          <w:bCs/>
          <w:i/>
          <w:color w:val="000000"/>
          <w:kern w:val="24"/>
        </w:rPr>
        <w:t xml:space="preserve"> % соответственно). Также</w:t>
      </w:r>
      <w:r w:rsidR="00254823" w:rsidRPr="00920FB2">
        <w:rPr>
          <w:rFonts w:eastAsia="Arial"/>
          <w:bCs/>
          <w:i/>
          <w:color w:val="000000"/>
          <w:kern w:val="24"/>
        </w:rPr>
        <w:t xml:space="preserve"> по совокупности факторов</w:t>
      </w:r>
      <w:r w:rsidR="00F84735">
        <w:rPr>
          <w:rFonts w:eastAsia="Arial"/>
          <w:bCs/>
          <w:i/>
          <w:color w:val="000000"/>
          <w:kern w:val="24"/>
        </w:rPr>
        <w:t xml:space="preserve"> прогноза и ответа на предфазу п</w:t>
      </w:r>
      <w:r w:rsidR="00254823" w:rsidRPr="00920FB2">
        <w:rPr>
          <w:rFonts w:eastAsia="Arial"/>
          <w:bCs/>
          <w:i/>
          <w:color w:val="000000"/>
          <w:kern w:val="24"/>
        </w:rPr>
        <w:t>реднизолоном</w:t>
      </w:r>
      <w:r w:rsidR="00254823">
        <w:rPr>
          <w:rFonts w:eastAsia="Arial"/>
          <w:bCs/>
          <w:i/>
          <w:color w:val="000000"/>
          <w:kern w:val="24"/>
        </w:rPr>
        <w:t>**</w:t>
      </w:r>
      <w:r w:rsidR="00254823" w:rsidRPr="00920FB2">
        <w:rPr>
          <w:rFonts w:eastAsia="Arial"/>
          <w:bCs/>
          <w:i/>
          <w:color w:val="000000"/>
          <w:kern w:val="24"/>
        </w:rPr>
        <w:t xml:space="preserve"> практически все </w:t>
      </w:r>
      <w:r w:rsidR="00EF50E6">
        <w:rPr>
          <w:i/>
          <w:szCs w:val="24"/>
        </w:rPr>
        <w:t>пациенты</w:t>
      </w:r>
      <w:r w:rsidR="00EF50E6" w:rsidRPr="00920FB2">
        <w:rPr>
          <w:rFonts w:eastAsia="Arial"/>
          <w:bCs/>
          <w:i/>
          <w:color w:val="000000"/>
          <w:kern w:val="24"/>
        </w:rPr>
        <w:t xml:space="preserve"> </w:t>
      </w:r>
      <w:r w:rsidR="00254823" w:rsidRPr="00920FB2">
        <w:rPr>
          <w:rFonts w:eastAsia="Arial"/>
          <w:bCs/>
          <w:i/>
          <w:color w:val="000000"/>
          <w:kern w:val="24"/>
        </w:rPr>
        <w:t>были отнесены к группе высокого риска. При проведении терапии по протоколу ОЛЛ-2009 у беременных женщин отме</w:t>
      </w:r>
      <w:r w:rsidR="000C49F5">
        <w:rPr>
          <w:rFonts w:eastAsia="Arial"/>
          <w:bCs/>
          <w:i/>
          <w:color w:val="000000"/>
          <w:kern w:val="24"/>
        </w:rPr>
        <w:t>чено</w:t>
      </w:r>
      <w:r w:rsidR="00254823" w:rsidRPr="00920FB2">
        <w:rPr>
          <w:rFonts w:eastAsia="Arial"/>
          <w:bCs/>
          <w:i/>
          <w:color w:val="000000"/>
          <w:kern w:val="24"/>
        </w:rPr>
        <w:t>, что в сравнении с общей популяци</w:t>
      </w:r>
      <w:r w:rsidR="000C49F5">
        <w:rPr>
          <w:rFonts w:eastAsia="Arial"/>
          <w:bCs/>
          <w:i/>
          <w:color w:val="000000"/>
          <w:kern w:val="24"/>
        </w:rPr>
        <w:t>ей</w:t>
      </w:r>
      <w:r w:rsidR="00254823" w:rsidRPr="00920FB2">
        <w:rPr>
          <w:rFonts w:eastAsia="Arial"/>
          <w:bCs/>
          <w:i/>
          <w:color w:val="000000"/>
          <w:kern w:val="24"/>
        </w:rPr>
        <w:t xml:space="preserve"> </w:t>
      </w:r>
      <w:r w:rsidR="00EF50E6" w:rsidRPr="00EF50E6">
        <w:rPr>
          <w:i/>
          <w:szCs w:val="24"/>
        </w:rPr>
        <w:t>пациентов</w:t>
      </w:r>
      <w:r w:rsidR="00254823" w:rsidRPr="00920FB2">
        <w:rPr>
          <w:rFonts w:eastAsia="Arial"/>
          <w:bCs/>
          <w:i/>
          <w:color w:val="000000"/>
          <w:kern w:val="24"/>
        </w:rPr>
        <w:t xml:space="preserve"> статистически значимых различий как в частоте инфекционных и токсических осложнений, так и </w:t>
      </w:r>
      <w:r>
        <w:rPr>
          <w:rFonts w:eastAsia="Arial"/>
          <w:bCs/>
          <w:i/>
          <w:color w:val="000000"/>
          <w:kern w:val="24"/>
        </w:rPr>
        <w:t xml:space="preserve">в </w:t>
      </w:r>
      <w:r w:rsidR="00254823" w:rsidRPr="00920FB2">
        <w:rPr>
          <w:rFonts w:eastAsia="Arial"/>
          <w:bCs/>
          <w:i/>
          <w:color w:val="000000"/>
          <w:kern w:val="24"/>
        </w:rPr>
        <w:t>длительности интервалов в лечении по протоколу выявлено не было.</w:t>
      </w:r>
    </w:p>
    <w:p w14:paraId="57235963" w14:textId="74AFCF8F" w:rsidR="00254823" w:rsidRPr="00BB10E6" w:rsidRDefault="00254823" w:rsidP="003D1E78">
      <w:pPr>
        <w:ind w:firstLine="709"/>
        <w:contextualSpacing/>
      </w:pPr>
      <w:r w:rsidRPr="00BB10E6">
        <w:rPr>
          <w:i/>
        </w:rPr>
        <w:t xml:space="preserve">Проведение лечения ОЛЛ на фоне беременности </w:t>
      </w:r>
      <w:r w:rsidR="000C49F5">
        <w:rPr>
          <w:i/>
        </w:rPr>
        <w:t>осуществляется</w:t>
      </w:r>
      <w:r w:rsidR="000C49F5" w:rsidRPr="00BB10E6">
        <w:rPr>
          <w:i/>
        </w:rPr>
        <w:t xml:space="preserve"> </w:t>
      </w:r>
      <w:r w:rsidRPr="00BB10E6">
        <w:rPr>
          <w:i/>
        </w:rPr>
        <w:t>муль</w:t>
      </w:r>
      <w:r w:rsidR="0062641D">
        <w:rPr>
          <w:i/>
        </w:rPr>
        <w:t>ти</w:t>
      </w:r>
      <w:r w:rsidRPr="00BB10E6">
        <w:rPr>
          <w:i/>
        </w:rPr>
        <w:t>дисциплинарной командой врачей, включающей гематолога, акушера-гинеколога, анестезиолога-реаниматолога, в стационаре, имеющ</w:t>
      </w:r>
      <w:r w:rsidR="000C49F5">
        <w:rPr>
          <w:i/>
        </w:rPr>
        <w:t>ем</w:t>
      </w:r>
      <w:r w:rsidRPr="00BB10E6">
        <w:rPr>
          <w:i/>
        </w:rPr>
        <w:t xml:space="preserve"> возможности оказания акушерской помощи родоразрешения в экстренных ситуациях</w:t>
      </w:r>
      <w:r w:rsidR="00BB6815">
        <w:rPr>
          <w:i/>
        </w:rPr>
        <w:t xml:space="preserve"> </w:t>
      </w:r>
      <w:r w:rsidR="00BB6815">
        <w:rPr>
          <w:i/>
        </w:rPr>
        <w:fldChar w:fldCharType="begin" w:fldLock="1"/>
      </w:r>
      <w:r w:rsidR="002466C9">
        <w:rPr>
          <w:i/>
        </w:rPr>
        <w:instrText>ADDIN CSL_CITATION {"citationItems":[{"id":"ITEM-1","itemData":{"ISSN":"0145-2126","PMID":"12620288","abstract":"The incidence of acute leukemia in pregnancy is low and the management of acute leukemia during pregnancy is difficult. We have observed a total of 10 pregnancies in 8 patients. Six of the patients had acute myeloblastic leukemia (AML) and two of them had acute lymphoblastic leukemia (ALL). Three of the pregnancies were diagnosed when the leukemia was in remission, six at the time of leukemia diagnosis and one at the time of leukemic relapse. Six of the pregnancies were found in first trimester, three in the second and one early in the third. Three pregnancies ended with spontaneous abortion, three with intrauterine death and three with medical termination. One of spontaneous abortions and one intrauterine death developed during combination chemotherapy (daunorubicin, cytarabine). Only 1 healthy baby survived from the 10 pregnancies and this child was the not exposed to chemotherapeutic agents. None of the cases had gynecologic and obstetric complications. Five of eight pregnant women with leukemia died because of the primary disease.","author":[{"dropping-particle":"","family":"Ali","given":"Ridvan","non-dropping-particle":"","parse-names":false,"suffix":""},{"dropping-particle":"","family":"Ozkalemkaş","given":"Fahir","non-dropping-particle":"","parse-names":false,"suffix":""},{"dropping-particle":"","family":"Ozçelik","given":"Tülay","non-dropping-particle":"","parse-names":false,"suffix":""},{"dropping-particle":"","family":"Ozkocaman","given":"Vildan","non-dropping-particle":"","parse-names":false,"suffix":""},{"dropping-particle":"","family":"Ozan","given":"Ulkü","non-dropping-particle":"","parse-names":false,"suffix":""},{"dropping-particle":"","family":"Kimya","given":"Yalçin","non-dropping-particle":"","parse-names":false,"suffix":""},{"dropping-particle":"","family":"Tunali","given":"Ahmet","non-dropping-particle":"","parse-names":false,"suffix":""}],"container-title":"Leukemia research","id":"ITEM-1","issue":"5","issued":{"date-parts":[["2003","5"]]},"page":"381-5","title":"Maternal and fetal outcomes in pregnancy complicated with acute leukemia: a single institutional experience with 10 pregnancies at 16 years.","type":"article-journal","volume":"27"},"uris":["http://www.mendeley.com/documents/?uuid=3efbb736-0e18-30ce-b8a9-7755f1aafdf8"]},{"id":"ITEM-2","itemData":{"author":[{"dropping-particle":"","family":"Троицкая","given":"В.В.","non-dropping-particle":"","parse-names":false,"suffix":""},{"dropping-particle":"","family":"Паровичникова","given":"Е.Н.","non-dropping-particle":"","parse-names":false,"suffix":""},{"dropping-particle":"","family":"Соколов","given":"А.Н.","non-dropping-particle":"","parse-names":false,"suffix":""},{"dropping-particle":"","family":"Кохно","given":"А.В.","non-dropping-particle":"","parse-names":false,"suffix":""},{"dropping-particle":"","family":"Галстян","given":"Г.М.","non-dropping-particle":"","parse-names":false,"suffix":""},{"dropping-particle":"","family":"Гаврилина","given":"О.А.","non-dropping-particle":"","parse-names":false,"suffix":""},{"dropping-particle":"","family":"Фидарова","given":"З.Т.","non-dropping-particle":"","parse-names":false,"suffix":""},{"dropping-particle":"","family":"Лукьянова","given":"И.А.","non-dropping-particle":"","parse-names":false,"suffix":""},{"dropping-particle":"","family":"Махиня","given":"С.А.","non-dropping-particle":"","parse-names":false,"suffix":""},{"dropping-particle":"","family":"Латышкевич","given":"О.А.","non-dropping-particle":"","parse-names":false,"suffix":""},{"dropping-particle":"","family":"Оленев","given":"А.С.","non-dropping-particle":"","parse-names":false,"suffix":""},{"dropping-particle":"","family":"Кузьмина","given":"Л.А.","non-dropping-particle":"","parse-names":false,"suffix":""},{"dropping-particle":"","family":"Клясова","given":"Г.А.","non-dropping-particle":"","parse-names":false,"suffix":""},{"dropping-particle":"","family":"Капорская","given":"Т.С.","non-dropping-particle":"","parse-names":false,"suffix":""},{"dropping-particle":"","family":"Лапин","given":"В.А.","non-dropping-particle":"","parse-names":false,"suffix":""},{"dropping-particle":"","family":"Сердюк","given":"О.Д.","non-dropping-particle":"","parse-names":false,"suffix":""},{"dropping-particle":"","family":"Чабаева","given":"Ю.А.","non-dropping-particle":"","parse-names":false,"suffix":""},{"dropping-particle":"","family":"Куликов","given":"С.М.","non-dropping-particle":"","parse-names":false,"suffix":""},{"dropping-particle":"","family":"Савченко","given":"В.Г.","non-dropping-particle":"","parse-names":false,"suffix":""}],"container-title":"Гематология и трансфузиология","id":"ITEM-2","issue":"3","issued":{"date-parts":[["2018"]]},"page":"209-230","title":"Лечение острых лимфобластных лейкозов у беременных по протоколу ОЛЛ-2009","type":"article-journal","volume":"63"},"uris":["http://www.mendeley.com/documents/?uuid=325bbae0-d207-4564-bce2-b481dab9070c"]}],"mendeley":{"formattedCitation":"[85,86]","plainTextFormattedCitation":"[85,86]","previouslyFormattedCitation":"[85,86]"},"properties":{"noteIndex":0},"schema":"https://github.com/citation-style-language/schema/raw/master/csl-citation.json"}</w:instrText>
      </w:r>
      <w:r w:rsidR="00BB6815">
        <w:rPr>
          <w:i/>
        </w:rPr>
        <w:fldChar w:fldCharType="separate"/>
      </w:r>
      <w:r w:rsidR="00A66456" w:rsidRPr="00A66456">
        <w:rPr>
          <w:noProof/>
        </w:rPr>
        <w:t>[85,86]</w:t>
      </w:r>
      <w:r w:rsidR="00BB6815">
        <w:rPr>
          <w:i/>
        </w:rPr>
        <w:fldChar w:fldCharType="end"/>
      </w:r>
      <w:r w:rsidR="00BB6815" w:rsidRPr="00BB10E6">
        <w:rPr>
          <w:i/>
        </w:rPr>
        <w:t>.</w:t>
      </w:r>
    </w:p>
    <w:p w14:paraId="02290CE6" w14:textId="66A338CA" w:rsidR="00254823" w:rsidRDefault="00254823" w:rsidP="00956D03">
      <w:pPr>
        <w:numPr>
          <w:ilvl w:val="0"/>
          <w:numId w:val="6"/>
        </w:numPr>
        <w:shd w:val="clear" w:color="auto" w:fill="FFFFFF"/>
        <w:tabs>
          <w:tab w:val="left" w:pos="230"/>
        </w:tabs>
      </w:pPr>
      <w:r>
        <w:rPr>
          <w:b/>
        </w:rPr>
        <w:t>Не рекомендуется</w:t>
      </w:r>
      <w:r>
        <w:t xml:space="preserve"> при установлении диагноза ОЛЛ во время беременности отсрочка начала лечени</w:t>
      </w:r>
      <w:r w:rsidR="00D514C9">
        <w:t>я</w:t>
      </w:r>
      <w:r>
        <w:t xml:space="preserve"> лейкоза</w:t>
      </w:r>
      <w:r w:rsidR="00BB6815">
        <w:t xml:space="preserve"> </w:t>
      </w:r>
      <w:r w:rsidR="00BB6815">
        <w:rPr>
          <w:i/>
        </w:rPr>
        <w:fldChar w:fldCharType="begin" w:fldLock="1"/>
      </w:r>
      <w:r w:rsidR="002466C9">
        <w:rPr>
          <w:i/>
        </w:rPr>
        <w:instrText>ADDIN CSL_CITATION {"citationItems":[{"id":"ITEM-1","itemData":{"author":[{"dropping-particle":"","family":"Троицкая","given":"В.В.","non-dropping-particle":"","parse-names":false,"suffix":""},{"dropping-particle":"","family":"Паровичникова","given":"Е.Н.","non-dropping-particle":"","parse-names":false,"suffix":""},{"dropping-particle":"","family":"Соколов","given":"А.Н.","non-dropping-particle":"","parse-names":false,"suffix":""},{"dropping-particle":"","family":"Кохно","given":"А.В.","non-dropping-particle":"","parse-names":false,"suffix":""},{"dropping-particle":"","family":"Галстян","given":"Г.М.","non-dropping-particle":"","parse-names":false,"suffix":""},{"dropping-particle":"","family":"Гаврилина","given":"О.А.","non-dropping-particle":"","parse-names":false,"suffix":""},{"dropping-particle":"","family":"Фидарова","given":"З.Т.","non-dropping-particle":"","parse-names":false,"suffix":""},{"dropping-particle":"","family":"Лукьянова","given":"И.А.","non-dropping-particle":"","parse-names":false,"suffix":""},{"dropping-particle":"","family":"Махиня","given":"С.А.","non-dropping-particle":"","parse-names":false,"suffix":""},{"dropping-particle":"","family":"Латышкевич","given":"О.А.","non-dropping-particle":"","parse-names":false,"suffix":""},{"dropping-particle":"","family":"Оленев","given":"А.С.","non-dropping-particle":"","parse-names":false,"suffix":""},{"dropping-particle":"","family":"Кузьмина","given":"Л.А.","non-dropping-particle":"","parse-names":false,"suffix":""},{"dropping-particle":"","family":"Клясова","given":"Г.А.","non-dropping-particle":"","parse-names":false,"suffix":""},{"dropping-particle":"","family":"Капорская","given":"Т.С.","non-dropping-particle":"","parse-names":false,"suffix":""},{"dropping-particle":"","family":"Лапин","given":"В.А.","non-dropping-particle":"","parse-names":false,"suffix":""},{"dropping-particle":"","family":"Сердюк","given":"О.Д.","non-dropping-particle":"","parse-names":false,"suffix":""},{"dropping-particle":"","family":"Чабаева","given":"Ю.А.","non-dropping-particle":"","parse-names":false,"suffix":""},{"dropping-particle":"","family":"Куликов","given":"С.М.","non-dropping-particle":"","parse-names":false,"suffix":""},{"dropping-particle":"","family":"Савченко","given":"В.Г.","non-dropping-particle":"","parse-names":false,"suffix":""}],"container-title":"Гематология и трансфузиология","id":"ITEM-1","issue":"3","issued":{"date-parts":[["2018"]]},"page":"209-230","title":"Лечение острых лимфобластных лейкозов у беременных по протоколу ОЛЛ-2009","type":"article-journal","volume":"63"},"uris":["http://www.mendeley.com/documents/?uuid=325bbae0-d207-4564-bce2-b481dab9070c"]}],"mendeley":{"formattedCitation":"[86]","plainTextFormattedCitation":"[86]","previouslyFormattedCitation":"[86]"},"properties":{"noteIndex":0},"schema":"https://github.com/citation-style-language/schema/raw/master/csl-citation.json"}</w:instrText>
      </w:r>
      <w:r w:rsidR="00BB6815">
        <w:rPr>
          <w:i/>
        </w:rPr>
        <w:fldChar w:fldCharType="separate"/>
      </w:r>
      <w:r w:rsidR="00A66456" w:rsidRPr="00A66456">
        <w:rPr>
          <w:noProof/>
        </w:rPr>
        <w:t>[86]</w:t>
      </w:r>
      <w:r w:rsidR="00BB6815">
        <w:rPr>
          <w:i/>
        </w:rPr>
        <w:fldChar w:fldCharType="end"/>
      </w:r>
      <w:r w:rsidR="00BB6815" w:rsidRPr="00BB10E6">
        <w:rPr>
          <w:i/>
        </w:rPr>
        <w:t>.</w:t>
      </w:r>
      <w:r w:rsidR="00F007CC">
        <w:t xml:space="preserve"> </w:t>
      </w:r>
    </w:p>
    <w:p w14:paraId="7BE0968A" w14:textId="77777777" w:rsidR="00254823" w:rsidRPr="00470F9C" w:rsidRDefault="00254823" w:rsidP="003D1E78">
      <w:pPr>
        <w:shd w:val="clear" w:color="auto" w:fill="FFFFFF"/>
        <w:tabs>
          <w:tab w:val="left" w:pos="230"/>
        </w:tabs>
        <w:ind w:firstLine="709"/>
        <w:contextualSpacing/>
        <w:rPr>
          <w:b/>
        </w:rPr>
      </w:pPr>
      <w:r w:rsidRPr="00470F9C">
        <w:rPr>
          <w:b/>
        </w:rPr>
        <w:t xml:space="preserve">Уровень убедительности рекомендаций </w:t>
      </w:r>
      <w:r w:rsidR="00713EF2">
        <w:rPr>
          <w:b/>
        </w:rPr>
        <w:t xml:space="preserve">– </w:t>
      </w:r>
      <w:r w:rsidR="00552DB3">
        <w:rPr>
          <w:b/>
        </w:rPr>
        <w:t>С</w:t>
      </w:r>
      <w:r w:rsidR="00552DB3" w:rsidRPr="00470F9C">
        <w:rPr>
          <w:b/>
        </w:rPr>
        <w:t xml:space="preserve"> </w:t>
      </w:r>
      <w:r w:rsidRPr="00470F9C">
        <w:rPr>
          <w:b/>
        </w:rPr>
        <w:t>(уровень д</w:t>
      </w:r>
      <w:r w:rsidR="003D1E78">
        <w:rPr>
          <w:b/>
        </w:rPr>
        <w:t xml:space="preserve">остоверности доказательств – </w:t>
      </w:r>
      <w:r w:rsidR="00552DB3">
        <w:rPr>
          <w:b/>
        </w:rPr>
        <w:t>4</w:t>
      </w:r>
      <w:r w:rsidR="003D1E78">
        <w:rPr>
          <w:b/>
        </w:rPr>
        <w:t>)</w:t>
      </w:r>
      <w:r w:rsidR="00713EF2">
        <w:rPr>
          <w:b/>
        </w:rPr>
        <w:t>.</w:t>
      </w:r>
    </w:p>
    <w:p w14:paraId="71FC14CF" w14:textId="7FB0139F" w:rsidR="00254823" w:rsidRPr="008A733D" w:rsidRDefault="00254823" w:rsidP="00956D03">
      <w:pPr>
        <w:numPr>
          <w:ilvl w:val="0"/>
          <w:numId w:val="6"/>
        </w:numPr>
        <w:shd w:val="clear" w:color="auto" w:fill="FFFFFF"/>
        <w:tabs>
          <w:tab w:val="left" w:pos="230"/>
        </w:tabs>
      </w:pPr>
      <w:r w:rsidRPr="00470F9C">
        <w:rPr>
          <w:b/>
        </w:rPr>
        <w:t>Рекомендуется</w:t>
      </w:r>
      <w:r w:rsidRPr="00B07E4F">
        <w:t xml:space="preserve"> при диагностике ОЛЛ в течение</w:t>
      </w:r>
      <w:r w:rsidR="008A733D">
        <w:t xml:space="preserve"> первого триместра беременности</w:t>
      </w:r>
      <w:r w:rsidRPr="00B07E4F">
        <w:t xml:space="preserve"> </w:t>
      </w:r>
      <w:r w:rsidRPr="00B07E4F">
        <w:lastRenderedPageBreak/>
        <w:t>рассмотреть вопрос об искусственном прерывании беременности по медицинским показаниям</w:t>
      </w:r>
      <w:r w:rsidR="00BB6815">
        <w:t xml:space="preserve">  </w:t>
      </w:r>
      <w:r w:rsidR="00BB6815">
        <w:rPr>
          <w:i/>
        </w:rPr>
        <w:fldChar w:fldCharType="begin" w:fldLock="1"/>
      </w:r>
      <w:r w:rsidR="002466C9">
        <w:rPr>
          <w:i/>
        </w:rPr>
        <w:instrText>ADDIN CSL_CITATION {"citationItems":[{"id":"ITEM-1","itemData":{"author":[{"dropping-particle":"","family":"Троицкая","given":"В.В.","non-dropping-particle":"","parse-names":false,"suffix":""},{"dropping-particle":"","family":"Паровичникова","given":"Е.Н.","non-dropping-particle":"","parse-names":false,"suffix":""},{"dropping-particle":"","family":"Соколов","given":"А.Н.","non-dropping-particle":"","parse-names":false,"suffix":""},{"dropping-particle":"","family":"Кохно","given":"А.В.","non-dropping-particle":"","parse-names":false,"suffix":""},{"dropping-particle":"","family":"Галстян","given":"Г.М.","non-dropping-particle":"","parse-names":false,"suffix":""},{"dropping-particle":"","family":"Гаврилина","given":"О.А.","non-dropping-particle":"","parse-names":false,"suffix":""},{"dropping-particle":"","family":"Фидарова","given":"З.Т.","non-dropping-particle":"","parse-names":false,"suffix":""},{"dropping-particle":"","family":"Лукьянова","given":"И.А.","non-dropping-particle":"","parse-names":false,"suffix":""},{"dropping-particle":"","family":"Махиня","given":"С.А.","non-dropping-particle":"","parse-names":false,"suffix":""},{"dropping-particle":"","family":"Латышкевич","given":"О.А.","non-dropping-particle":"","parse-names":false,"suffix":""},{"dropping-particle":"","family":"Оленев","given":"А.С.","non-dropping-particle":"","parse-names":false,"suffix":""},{"dropping-particle":"","family":"Кузьмина","given":"Л.А.","non-dropping-particle":"","parse-names":false,"suffix":""},{"dropping-particle":"","family":"Клясова","given":"Г.А.","non-dropping-particle":"","parse-names":false,"suffix":""},{"dropping-particle":"","family":"Капорская","given":"Т.С.","non-dropping-particle":"","parse-names":false,"suffix":""},{"dropping-particle":"","family":"Лапин","given":"В.А.","non-dropping-particle":"","parse-names":false,"suffix":""},{"dropping-particle":"","family":"Сердюк","given":"О.Д.","non-dropping-particle":"","parse-names":false,"suffix":""},{"dropping-particle":"","family":"Чабаева","given":"Ю.А.","non-dropping-particle":"","parse-names":false,"suffix":""},{"dropping-particle":"","family":"Куликов","given":"С.М.","non-dropping-particle":"","parse-names":false,"suffix":""},{"dropping-particle":"","family":"Савченко","given":"В.Г.","non-dropping-particle":"","parse-names":false,"suffix":""}],"container-title":"Гематология и трансфузиология","id":"ITEM-1","issue":"3","issued":{"date-parts":[["2018"]]},"page":"209-230","title":"Лечение острых лимфобластных лейкозов у беременных по протоколу ОЛЛ-2009","type":"article-journal","volume":"63"},"uris":["http://www.mendeley.com/documents/?uuid=325bbae0-d207-4564-bce2-b481dab9070c"]}],"mendeley":{"formattedCitation":"[86]","plainTextFormattedCitation":"[86]","previouslyFormattedCitation":"[86]"},"properties":{"noteIndex":0},"schema":"https://github.com/citation-style-language/schema/raw/master/csl-citation.json"}</w:instrText>
      </w:r>
      <w:r w:rsidR="00BB6815">
        <w:rPr>
          <w:i/>
        </w:rPr>
        <w:fldChar w:fldCharType="separate"/>
      </w:r>
      <w:r w:rsidR="00A66456" w:rsidRPr="00A66456">
        <w:rPr>
          <w:noProof/>
        </w:rPr>
        <w:t>[86]</w:t>
      </w:r>
      <w:r w:rsidR="00BB6815">
        <w:rPr>
          <w:i/>
        </w:rPr>
        <w:fldChar w:fldCharType="end"/>
      </w:r>
      <w:r w:rsidR="008A733D" w:rsidRPr="008A733D">
        <w:t>.</w:t>
      </w:r>
    </w:p>
    <w:p w14:paraId="6EB73086" w14:textId="77777777" w:rsidR="00254823" w:rsidRPr="008A733D" w:rsidRDefault="00254823" w:rsidP="003D1E78">
      <w:pPr>
        <w:shd w:val="clear" w:color="auto" w:fill="FFFFFF"/>
        <w:tabs>
          <w:tab w:val="left" w:pos="230"/>
        </w:tabs>
        <w:ind w:firstLine="709"/>
        <w:contextualSpacing/>
        <w:rPr>
          <w:b/>
        </w:rPr>
      </w:pPr>
      <w:r w:rsidRPr="00D93103">
        <w:rPr>
          <w:b/>
        </w:rPr>
        <w:t>Уровень убедительности рекомендаций</w:t>
      </w:r>
      <w:r w:rsidR="008A733D" w:rsidRPr="008A733D">
        <w:rPr>
          <w:b/>
        </w:rPr>
        <w:t xml:space="preserve"> </w:t>
      </w:r>
      <w:r w:rsidR="008A733D">
        <w:rPr>
          <w:b/>
        </w:rPr>
        <w:t>–</w:t>
      </w:r>
      <w:r w:rsidRPr="00D93103">
        <w:rPr>
          <w:b/>
        </w:rPr>
        <w:t xml:space="preserve"> </w:t>
      </w:r>
      <w:r w:rsidR="00552DB3">
        <w:rPr>
          <w:b/>
        </w:rPr>
        <w:t>С</w:t>
      </w:r>
      <w:r w:rsidR="00552DB3" w:rsidRPr="00D93103">
        <w:rPr>
          <w:b/>
        </w:rPr>
        <w:t xml:space="preserve"> </w:t>
      </w:r>
      <w:r w:rsidRPr="00D93103">
        <w:rPr>
          <w:b/>
        </w:rPr>
        <w:t>(уровень д</w:t>
      </w:r>
      <w:r w:rsidR="003D1E78">
        <w:rPr>
          <w:b/>
        </w:rPr>
        <w:t xml:space="preserve">остоверности доказательств – </w:t>
      </w:r>
      <w:r w:rsidR="00552DB3">
        <w:rPr>
          <w:b/>
        </w:rPr>
        <w:t>4</w:t>
      </w:r>
      <w:r w:rsidR="003D1E78">
        <w:rPr>
          <w:b/>
        </w:rPr>
        <w:t>)</w:t>
      </w:r>
      <w:r w:rsidR="008A733D">
        <w:rPr>
          <w:b/>
        </w:rPr>
        <w:t>.</w:t>
      </w:r>
    </w:p>
    <w:p w14:paraId="04CD711B" w14:textId="77777777" w:rsidR="00254823" w:rsidRPr="00A41659" w:rsidRDefault="00254823" w:rsidP="003D1E78">
      <w:pPr>
        <w:shd w:val="clear" w:color="auto" w:fill="FFFFFF"/>
        <w:tabs>
          <w:tab w:val="left" w:pos="230"/>
        </w:tabs>
        <w:ind w:firstLine="709"/>
        <w:contextualSpacing/>
        <w:rPr>
          <w:b/>
        </w:rPr>
      </w:pPr>
      <w:r w:rsidRPr="00D93103">
        <w:rPr>
          <w:b/>
        </w:rPr>
        <w:t>Комментарии</w:t>
      </w:r>
      <w:r w:rsidRPr="008A733D">
        <w:rPr>
          <w:b/>
        </w:rPr>
        <w:t>:</w:t>
      </w:r>
      <w:r w:rsidRPr="00B07E4F">
        <w:t xml:space="preserve"> </w:t>
      </w:r>
      <w:r w:rsidRPr="00B07E4F">
        <w:rPr>
          <w:i/>
        </w:rPr>
        <w:t xml:space="preserve">если женщина и ее семья настаивают на </w:t>
      </w:r>
      <w:r w:rsidR="001D225E">
        <w:rPr>
          <w:i/>
        </w:rPr>
        <w:t xml:space="preserve">сохранении </w:t>
      </w:r>
      <w:r w:rsidRPr="00A41659">
        <w:rPr>
          <w:i/>
        </w:rPr>
        <w:t>беременности, лечение может быть начато и в первом триметре беременности.</w:t>
      </w:r>
    </w:p>
    <w:p w14:paraId="5878C5FD" w14:textId="5CF3B48E" w:rsidR="00254823" w:rsidRPr="00A41659" w:rsidRDefault="005D4EB8" w:rsidP="00956D03">
      <w:pPr>
        <w:numPr>
          <w:ilvl w:val="0"/>
          <w:numId w:val="6"/>
        </w:numPr>
        <w:contextualSpacing/>
      </w:pPr>
      <w:r>
        <w:t>П</w:t>
      </w:r>
      <w:r w:rsidR="00254823" w:rsidRPr="00A41659">
        <w:t xml:space="preserve">ри </w:t>
      </w:r>
      <w:r>
        <w:t>выявлении</w:t>
      </w:r>
      <w:r w:rsidRPr="00A41659">
        <w:t xml:space="preserve"> </w:t>
      </w:r>
      <w:r w:rsidR="00254823" w:rsidRPr="00A41659">
        <w:t>ОЛЛ на сро</w:t>
      </w:r>
      <w:r w:rsidR="008A733D">
        <w:t>ке беременности 13–</w:t>
      </w:r>
      <w:r w:rsidR="00A61017" w:rsidRPr="00A41659">
        <w:t>3</w:t>
      </w:r>
      <w:r w:rsidR="00A61017">
        <w:t>6</w:t>
      </w:r>
      <w:r w:rsidR="00A61017" w:rsidRPr="00A41659">
        <w:t xml:space="preserve"> </w:t>
      </w:r>
      <w:r w:rsidR="00254823" w:rsidRPr="00A41659">
        <w:t xml:space="preserve">недели (после завершения первого триместра беременности) </w:t>
      </w:r>
      <w:r>
        <w:rPr>
          <w:b/>
        </w:rPr>
        <w:t>р</w:t>
      </w:r>
      <w:r w:rsidRPr="003D1E78">
        <w:rPr>
          <w:b/>
        </w:rPr>
        <w:t>екомендуется</w:t>
      </w:r>
      <w:r w:rsidRPr="00A41659">
        <w:t xml:space="preserve"> </w:t>
      </w:r>
      <w:r w:rsidR="00254823" w:rsidRPr="00A41659">
        <w:t xml:space="preserve">начало проведения </w:t>
      </w:r>
      <w:r w:rsidR="008341FE">
        <w:t>ХТ</w:t>
      </w:r>
      <w:r w:rsidR="000F53B8">
        <w:t xml:space="preserve"> </w:t>
      </w:r>
      <w:r w:rsidR="00254823" w:rsidRPr="00A41659">
        <w:t xml:space="preserve">при условии </w:t>
      </w:r>
      <w:r w:rsidR="006C4C50">
        <w:t xml:space="preserve">возможности своевременного проведения всего комплекса диагностических и лечебных мероприятий как по поводу ОЛЛ, так и по поводу беременности </w:t>
      </w:r>
      <w:r w:rsidR="006C4C50">
        <w:rPr>
          <w:i/>
        </w:rPr>
        <w:fldChar w:fldCharType="begin" w:fldLock="1"/>
      </w:r>
      <w:r w:rsidR="002466C9">
        <w:rPr>
          <w:i/>
        </w:rPr>
        <w:instrText>ADDIN CSL_CITATION {"citationItems":[{"id":"ITEM-1","itemData":{"author":[{"dropping-particle":"","family":"Троицкая","given":"В.В.","non-dropping-particle":"","parse-names":false,"suffix":""},{"dropping-particle":"","family":"Паровичникова","given":"Е.Н.","non-dropping-particle":"","parse-names":false,"suffix":""},{"dropping-particle":"","family":"Соколов","given":"А.Н.","non-dropping-particle":"","parse-names":false,"suffix":""},{"dropping-particle":"","family":"Кохно","given":"А.В.","non-dropping-particle":"","parse-names":false,"suffix":""},{"dropping-particle":"","family":"Галстян","given":"Г.М.","non-dropping-particle":"","parse-names":false,"suffix":""},{"dropping-particle":"","family":"Гаврилина","given":"О.А.","non-dropping-particle":"","parse-names":false,"suffix":""},{"dropping-particle":"","family":"Фидарова","given":"З.Т.","non-dropping-particle":"","parse-names":false,"suffix":""},{"dropping-particle":"","family":"Лукьянова","given":"И.А.","non-dropping-particle":"","parse-names":false,"suffix":""},{"dropping-particle":"","family":"Махиня","given":"С.А.","non-dropping-particle":"","parse-names":false,"suffix":""},{"dropping-particle":"","family":"Латышкевич","given":"О.А.","non-dropping-particle":"","parse-names":false,"suffix":""},{"dropping-particle":"","family":"Оленев","given":"А.С.","non-dropping-particle":"","parse-names":false,"suffix":""},{"dropping-particle":"","family":"Кузьмина","given":"Л.А.","non-dropping-particle":"","parse-names":false,"suffix":""},{"dropping-particle":"","family":"Клясова","given":"Г.А.","non-dropping-particle":"","parse-names":false,"suffix":""},{"dropping-particle":"","family":"Капорская","given":"Т.С.","non-dropping-particle":"","parse-names":false,"suffix":""},{"dropping-particle":"","family":"Лапин","given":"В.А.","non-dropping-particle":"","parse-names":false,"suffix":""},{"dropping-particle":"","family":"Сердюк","given":"О.Д.","non-dropping-particle":"","parse-names":false,"suffix":""},{"dropping-particle":"","family":"Чабаева","given":"Ю.А.","non-dropping-particle":"","parse-names":false,"suffix":""},{"dropping-particle":"","family":"Куликов","given":"С.М.","non-dropping-particle":"","parse-names":false,"suffix":""},{"dropping-particle":"","family":"Савченко","given":"В.Г.","non-dropping-particle":"","parse-names":false,"suffix":""}],"container-title":"Гематология и трансфузиология","id":"ITEM-1","issue":"3","issued":{"date-parts":[["2018"]]},"page":"209-230","title":"Лечение острых лимфобластных лейкозов у беременных по протоколу ОЛЛ-2009","type":"article-journal","volume":"63"},"uris":["http://www.mendeley.com/documents/?uuid=325bbae0-d207-4564-bce2-b481dab9070c"]}],"mendeley":{"formattedCitation":"[86]","plainTextFormattedCitation":"[86]","previouslyFormattedCitation":"[86]"},"properties":{"noteIndex":0},"schema":"https://github.com/citation-style-language/schema/raw/master/csl-citation.json"}</w:instrText>
      </w:r>
      <w:r w:rsidR="006C4C50">
        <w:rPr>
          <w:i/>
        </w:rPr>
        <w:fldChar w:fldCharType="separate"/>
      </w:r>
      <w:r w:rsidR="00A66456" w:rsidRPr="00A66456">
        <w:rPr>
          <w:noProof/>
        </w:rPr>
        <w:t>[86]</w:t>
      </w:r>
      <w:r w:rsidR="006C4C50">
        <w:rPr>
          <w:i/>
        </w:rPr>
        <w:fldChar w:fldCharType="end"/>
      </w:r>
      <w:r w:rsidR="006C4C50" w:rsidRPr="008A733D">
        <w:t>.</w:t>
      </w:r>
      <w:r w:rsidR="00254823" w:rsidRPr="00A41659">
        <w:t xml:space="preserve"> </w:t>
      </w:r>
    </w:p>
    <w:p w14:paraId="2C50690E" w14:textId="77777777" w:rsidR="00254823" w:rsidRPr="00C909BD" w:rsidRDefault="00254823" w:rsidP="003D1E78">
      <w:pPr>
        <w:shd w:val="clear" w:color="auto" w:fill="FFFFFF"/>
        <w:tabs>
          <w:tab w:val="left" w:pos="230"/>
        </w:tabs>
        <w:ind w:firstLine="709"/>
        <w:contextualSpacing/>
        <w:rPr>
          <w:b/>
          <w:color w:val="000000"/>
          <w:szCs w:val="27"/>
        </w:rPr>
      </w:pPr>
      <w:r w:rsidRPr="00A41659">
        <w:rPr>
          <w:b/>
        </w:rPr>
        <w:t xml:space="preserve">Уровень убедительности рекомендаций </w:t>
      </w:r>
      <w:r w:rsidR="008A733D">
        <w:rPr>
          <w:b/>
        </w:rPr>
        <w:t xml:space="preserve">– </w:t>
      </w:r>
      <w:r w:rsidR="00552DB3">
        <w:rPr>
          <w:b/>
        </w:rPr>
        <w:t>С</w:t>
      </w:r>
      <w:r w:rsidR="00552DB3" w:rsidRPr="00A41659">
        <w:rPr>
          <w:b/>
        </w:rPr>
        <w:t xml:space="preserve"> </w:t>
      </w:r>
      <w:r w:rsidRPr="00A41659">
        <w:rPr>
          <w:b/>
        </w:rPr>
        <w:t>(уровень</w:t>
      </w:r>
      <w:r>
        <w:rPr>
          <w:b/>
          <w:color w:val="000000"/>
          <w:szCs w:val="27"/>
        </w:rPr>
        <w:t xml:space="preserve"> д</w:t>
      </w:r>
      <w:r w:rsidR="003D1E78">
        <w:rPr>
          <w:b/>
          <w:color w:val="000000"/>
          <w:szCs w:val="27"/>
        </w:rPr>
        <w:t xml:space="preserve">остоверности доказательств – </w:t>
      </w:r>
      <w:r w:rsidR="00552DB3">
        <w:rPr>
          <w:b/>
          <w:color w:val="000000"/>
          <w:szCs w:val="27"/>
        </w:rPr>
        <w:t>4</w:t>
      </w:r>
      <w:r w:rsidR="003D1E78">
        <w:rPr>
          <w:b/>
          <w:color w:val="000000"/>
          <w:szCs w:val="27"/>
        </w:rPr>
        <w:t>)</w:t>
      </w:r>
      <w:r w:rsidR="008A733D">
        <w:rPr>
          <w:b/>
          <w:color w:val="000000"/>
          <w:szCs w:val="27"/>
        </w:rPr>
        <w:t>.</w:t>
      </w:r>
    </w:p>
    <w:p w14:paraId="23DB1860" w14:textId="75CC9BB8" w:rsidR="00254823" w:rsidRDefault="005D4EB8" w:rsidP="00956D03">
      <w:pPr>
        <w:numPr>
          <w:ilvl w:val="0"/>
          <w:numId w:val="6"/>
        </w:numPr>
        <w:shd w:val="clear" w:color="auto" w:fill="FFFFFF"/>
        <w:tabs>
          <w:tab w:val="left" w:pos="230"/>
        </w:tabs>
        <w:contextualSpacing/>
      </w:pPr>
      <w:r>
        <w:t>П</w:t>
      </w:r>
      <w:r w:rsidR="00254823">
        <w:t xml:space="preserve">ри </w:t>
      </w:r>
      <w:r>
        <w:t xml:space="preserve">выявлении </w:t>
      </w:r>
      <w:r w:rsidR="00254823">
        <w:t>ОЛЛ после 36</w:t>
      </w:r>
      <w:r w:rsidR="008A733D">
        <w:t>-й</w:t>
      </w:r>
      <w:r w:rsidR="00254823">
        <w:t xml:space="preserve"> недели </w:t>
      </w:r>
      <w:r w:rsidR="00595DE4">
        <w:t xml:space="preserve">беременности </w:t>
      </w:r>
      <w:r>
        <w:rPr>
          <w:b/>
        </w:rPr>
        <w:t>рекомендуется</w:t>
      </w:r>
      <w:r>
        <w:t xml:space="preserve"> </w:t>
      </w:r>
      <w:r w:rsidR="00254823">
        <w:t>родоразрешение в ходе предфазы преднизолоном</w:t>
      </w:r>
      <w:r w:rsidR="00254823" w:rsidRPr="00C27512">
        <w:t>**</w:t>
      </w:r>
      <w:r w:rsidR="00254823">
        <w:t xml:space="preserve"> с последующи</w:t>
      </w:r>
      <w:r w:rsidR="003D1E78">
        <w:t>м проведением</w:t>
      </w:r>
      <w:r w:rsidR="00A61017">
        <w:t xml:space="preserve"> ХТ </w:t>
      </w:r>
      <w:r w:rsidR="00A61017">
        <w:fldChar w:fldCharType="begin" w:fldLock="1"/>
      </w:r>
      <w:r w:rsidR="002466C9">
        <w:instrText>ADDIN CSL_CITATION {"citationItems":[{"id":"ITEM-1","itemData":{"DOI":"10.1080/10428194.2017.1375104","ISSN":"1042-8194","author":[{"dropping-particle":"","family":"Vlijm-Kievit","given":"Anniek","non-dropping-particle":"","parse-names":false,"suffix":""},{"dropping-particle":"","family":"Jorna","given":"Nori G. E.","non-dropping-particle":"","parse-names":false,"suffix":""},{"dropping-particle":"","family":"Moll","given":"Etelka","non-dropping-particle":"","parse-names":false,"suffix":""},{"dropping-particle":"","family":"Pajkrt","given":"Eva","non-dropping-particle":"","parse-names":false,"suffix":""},{"dropping-particle":"","family":"Pals","given":"Steven T.","non-dropping-particle":"","parse-names":false,"suffix":""},{"dropping-particle":"","family":"Middeldorp","given":"Saskia","non-dropping-particle":"","parse-names":false,"suffix":""},{"dropping-particle":"","family":"Biemond","given":"Bart J.","non-dropping-particle":"","parse-names":false,"suffix":""},{"dropping-particle":"","family":"Zeerleder","given":"Sacha S.","non-dropping-particle":"","parse-names":false,"suffix":""},{"dropping-particle":"","family":"Tio","given":"Marieke A.","non-dropping-particle":"","parse-names":false,"suffix":""},{"dropping-particle":"","family":"Kemper","given":"E. Marleen","non-dropping-particle":"","parse-names":false,"suffix":""},{"dropping-particle":"","family":"Hazenberg","given":"Mette D.","non-dropping-particle":"","parse-names":false,"suffix":""}],"container-title":"Leukemia &amp; Lymphoma","id":"ITEM-1","issue":"5","issued":{"date-parts":[["2018","5","4"]]},"page":"1274-1276","title":"Acute lymphoblastic leukemia during the third trimester of pregnancy","type":"article-journal","volume":"59"},"uris":["http://www.mendeley.com/documents/?uuid=5827ab90-5ef3-3b45-8db7-54cc2521127b"]}],"mendeley":{"formattedCitation":"[87]","plainTextFormattedCitation":"[87]","previouslyFormattedCitation":"[87]"},"properties":{"noteIndex":0},"schema":"https://github.com/citation-style-language/schema/raw/master/csl-citation.json"}</w:instrText>
      </w:r>
      <w:r w:rsidR="00A61017">
        <w:fldChar w:fldCharType="separate"/>
      </w:r>
      <w:r w:rsidR="00A66456" w:rsidRPr="00A66456">
        <w:rPr>
          <w:noProof/>
        </w:rPr>
        <w:t>[87]</w:t>
      </w:r>
      <w:r w:rsidR="00A61017">
        <w:fldChar w:fldCharType="end"/>
      </w:r>
      <w:r w:rsidR="006C4C50" w:rsidRPr="008A733D">
        <w:t xml:space="preserve">. </w:t>
      </w:r>
      <w:r w:rsidR="003D1E78">
        <w:t xml:space="preserve"> </w:t>
      </w:r>
    </w:p>
    <w:p w14:paraId="2742EFFF" w14:textId="77777777" w:rsidR="00254823" w:rsidRPr="00D9705A" w:rsidRDefault="00254823" w:rsidP="003D1E78">
      <w:pPr>
        <w:shd w:val="clear" w:color="auto" w:fill="FFFFFF"/>
        <w:tabs>
          <w:tab w:val="left" w:pos="230"/>
        </w:tabs>
        <w:ind w:firstLine="709"/>
        <w:contextualSpacing/>
        <w:rPr>
          <w:b/>
          <w:color w:val="000000"/>
        </w:rPr>
      </w:pPr>
      <w:r w:rsidRPr="00A41659">
        <w:rPr>
          <w:b/>
          <w:color w:val="000000"/>
        </w:rPr>
        <w:t>Уровень убедительности рекомендац</w:t>
      </w:r>
      <w:r>
        <w:rPr>
          <w:b/>
          <w:color w:val="000000"/>
        </w:rPr>
        <w:t xml:space="preserve">ий </w:t>
      </w:r>
      <w:r w:rsidR="008A733D">
        <w:rPr>
          <w:b/>
          <w:color w:val="000000"/>
        </w:rPr>
        <w:t xml:space="preserve">– </w:t>
      </w:r>
      <w:r w:rsidR="00552DB3">
        <w:rPr>
          <w:b/>
          <w:color w:val="000000"/>
        </w:rPr>
        <w:t>С</w:t>
      </w:r>
      <w:r w:rsidR="00552DB3" w:rsidRPr="00A41659">
        <w:rPr>
          <w:b/>
          <w:color w:val="000000"/>
        </w:rPr>
        <w:t xml:space="preserve"> </w:t>
      </w:r>
      <w:r w:rsidRPr="00A41659">
        <w:rPr>
          <w:b/>
          <w:color w:val="000000"/>
        </w:rPr>
        <w:t>(уровень</w:t>
      </w:r>
      <w:r>
        <w:rPr>
          <w:b/>
          <w:color w:val="000000"/>
        </w:rPr>
        <w:t xml:space="preserve"> достоверности </w:t>
      </w:r>
      <w:r w:rsidRPr="00D9705A">
        <w:rPr>
          <w:b/>
          <w:color w:val="000000"/>
        </w:rPr>
        <w:t xml:space="preserve">доказательств – </w:t>
      </w:r>
      <w:r w:rsidR="00552DB3">
        <w:rPr>
          <w:b/>
          <w:color w:val="000000"/>
        </w:rPr>
        <w:t>4</w:t>
      </w:r>
      <w:r w:rsidRPr="00D9705A">
        <w:rPr>
          <w:b/>
          <w:color w:val="000000"/>
        </w:rPr>
        <w:t>).</w:t>
      </w:r>
    </w:p>
    <w:p w14:paraId="4DFDCA4D" w14:textId="3DC5930C" w:rsidR="00254823" w:rsidRPr="00D9705A" w:rsidRDefault="00254823" w:rsidP="00956D03">
      <w:pPr>
        <w:numPr>
          <w:ilvl w:val="0"/>
          <w:numId w:val="6"/>
        </w:numPr>
        <w:contextualSpacing/>
        <w:rPr>
          <w:color w:val="251F1C"/>
          <w:spacing w:val="-7"/>
        </w:rPr>
      </w:pPr>
      <w:r w:rsidRPr="00D9705A">
        <w:rPr>
          <w:b/>
        </w:rPr>
        <w:t>Рекомендуется</w:t>
      </w:r>
      <w:r w:rsidRPr="00D9705A">
        <w:t xml:space="preserve"> использование любых лекарственных веществ, в том числе цитостатических и </w:t>
      </w:r>
      <w:r w:rsidR="000C49F5" w:rsidRPr="00D9705A">
        <w:t xml:space="preserve">антибактериальных </w:t>
      </w:r>
      <w:r w:rsidRPr="00D9705A">
        <w:t>препаратов</w:t>
      </w:r>
      <w:r w:rsidR="00484A1C" w:rsidRPr="00D9705A">
        <w:t xml:space="preserve"> </w:t>
      </w:r>
      <w:r w:rsidRPr="00D9705A">
        <w:t>во время беременности</w:t>
      </w:r>
      <w:r w:rsidR="00484A1C" w:rsidRPr="00D9705A">
        <w:t>,</w:t>
      </w:r>
      <w:r w:rsidRPr="00D9705A">
        <w:t xml:space="preserve"> руководствуясь соотношением </w:t>
      </w:r>
      <w:r w:rsidR="008A733D">
        <w:t xml:space="preserve">«риск – </w:t>
      </w:r>
      <w:r w:rsidRPr="00D9705A">
        <w:t>по</w:t>
      </w:r>
      <w:r w:rsidR="008A733D">
        <w:t>льза»</w:t>
      </w:r>
      <w:r w:rsidRPr="00D9705A">
        <w:t xml:space="preserve"> для матери и плода</w:t>
      </w:r>
      <w:r w:rsidR="006C4C50">
        <w:t xml:space="preserve"> </w:t>
      </w:r>
      <w:r w:rsidR="006C4C50">
        <w:rPr>
          <w:i/>
        </w:rPr>
        <w:fldChar w:fldCharType="begin" w:fldLock="1"/>
      </w:r>
      <w:r w:rsidR="002466C9">
        <w:rPr>
          <w:i/>
        </w:rPr>
        <w:instrText>ADDIN CSL_CITATION {"citationItems":[{"id":"ITEM-1","itemData":{"author":[{"dropping-particle":"","family":"Троицкая","given":"В.В.","non-dropping-particle":"","parse-names":false,"suffix":""},{"dropping-particle":"","family":"Паровичникова","given":"Е.Н.","non-dropping-particle":"","parse-names":false,"suffix":""},{"dropping-particle":"","family":"Соколов","given":"А.Н.","non-dropping-particle":"","parse-names":false,"suffix":""},{"dropping-particle":"","family":"Кохно","given":"А.В.","non-dropping-particle":"","parse-names":false,"suffix":""},{"dropping-particle":"","family":"Галстян","given":"Г.М.","non-dropping-particle":"","parse-names":false,"suffix":""},{"dropping-particle":"","family":"Гаврилина","given":"О.А.","non-dropping-particle":"","parse-names":false,"suffix":""},{"dropping-particle":"","family":"Фидарова","given":"З.Т.","non-dropping-particle":"","parse-names":false,"suffix":""},{"dropping-particle":"","family":"Лукьянова","given":"И.А.","non-dropping-particle":"","parse-names":false,"suffix":""},{"dropping-particle":"","family":"Махиня","given":"С.А.","non-dropping-particle":"","parse-names":false,"suffix":""},{"dropping-particle":"","family":"Латышкевич","given":"О.А.","non-dropping-particle":"","parse-names":false,"suffix":""},{"dropping-particle":"","family":"Оленев","given":"А.С.","non-dropping-particle":"","parse-names":false,"suffix":""},{"dropping-particle":"","family":"Кузьмина","given":"Л.А.","non-dropping-particle":"","parse-names":false,"suffix":""},{"dropping-particle":"","family":"Клясова","given":"Г.А.","non-dropping-particle":"","parse-names":false,"suffix":""},{"dropping-particle":"","family":"Капорская","given":"Т.С.","non-dropping-particle":"","parse-names":false,"suffix":""},{"dropping-particle":"","family":"Лапин","given":"В.А.","non-dropping-particle":"","parse-names":false,"suffix":""},{"dropping-particle":"","family":"Сердюк","given":"О.Д.","non-dropping-particle":"","parse-names":false,"suffix":""},{"dropping-particle":"","family":"Чабаева","given":"Ю.А.","non-dropping-particle":"","parse-names":false,"suffix":""},{"dropping-particle":"","family":"Куликов","given":"С.М.","non-dropping-particle":"","parse-names":false,"suffix":""},{"dropping-particle":"","family":"Савченко","given":"В.Г.","non-dropping-particle":"","parse-names":false,"suffix":""}],"container-title":"Гематология и трансфузиология","id":"ITEM-1","issue":"3","issued":{"date-parts":[["2018"]]},"page":"209-230","title":"Лечение острых лимфобластных лейкозов у беременных по протоколу ОЛЛ-2009","type":"article-journal","volume":"63"},"uris":["http://www.mendeley.com/documents/?uuid=325bbae0-d207-4564-bce2-b481dab9070c"]}],"mendeley":{"formattedCitation":"[86]","plainTextFormattedCitation":"[86]","previouslyFormattedCitation":"[86]"},"properties":{"noteIndex":0},"schema":"https://github.com/citation-style-language/schema/raw/master/csl-citation.json"}</w:instrText>
      </w:r>
      <w:r w:rsidR="006C4C50">
        <w:rPr>
          <w:i/>
        </w:rPr>
        <w:fldChar w:fldCharType="separate"/>
      </w:r>
      <w:r w:rsidR="00A66456" w:rsidRPr="00A66456">
        <w:rPr>
          <w:noProof/>
        </w:rPr>
        <w:t>[86]</w:t>
      </w:r>
      <w:r w:rsidR="006C4C50">
        <w:rPr>
          <w:i/>
        </w:rPr>
        <w:fldChar w:fldCharType="end"/>
      </w:r>
      <w:r w:rsidR="006C4C50" w:rsidRPr="008A733D">
        <w:t>.</w:t>
      </w:r>
      <w:r w:rsidR="006A0970" w:rsidRPr="00D9705A">
        <w:t xml:space="preserve"> </w:t>
      </w:r>
    </w:p>
    <w:p w14:paraId="1C46BC73" w14:textId="77777777" w:rsidR="00254823" w:rsidRPr="00C909BD" w:rsidRDefault="00254823" w:rsidP="003D1E78">
      <w:pPr>
        <w:shd w:val="clear" w:color="auto" w:fill="FFFFFF"/>
        <w:tabs>
          <w:tab w:val="left" w:pos="230"/>
        </w:tabs>
        <w:ind w:firstLine="709"/>
        <w:contextualSpacing/>
        <w:rPr>
          <w:b/>
          <w:color w:val="000000"/>
          <w:szCs w:val="27"/>
        </w:rPr>
      </w:pPr>
      <w:r>
        <w:rPr>
          <w:b/>
          <w:color w:val="000000"/>
          <w:szCs w:val="27"/>
        </w:rPr>
        <w:t xml:space="preserve">Уровень убедительности рекомендаций </w:t>
      </w:r>
      <w:r w:rsidR="008A733D">
        <w:rPr>
          <w:b/>
          <w:color w:val="000000"/>
          <w:szCs w:val="27"/>
        </w:rPr>
        <w:t xml:space="preserve">– </w:t>
      </w:r>
      <w:r w:rsidR="006C169E">
        <w:rPr>
          <w:b/>
          <w:color w:val="000000"/>
          <w:szCs w:val="27"/>
        </w:rPr>
        <w:t xml:space="preserve">С </w:t>
      </w:r>
      <w:r>
        <w:rPr>
          <w:b/>
          <w:color w:val="000000"/>
          <w:szCs w:val="27"/>
        </w:rPr>
        <w:t>(уровень д</w:t>
      </w:r>
      <w:r w:rsidR="003D1E78">
        <w:rPr>
          <w:b/>
          <w:color w:val="000000"/>
          <w:szCs w:val="27"/>
        </w:rPr>
        <w:t xml:space="preserve">остоверности доказательств – </w:t>
      </w:r>
      <w:r w:rsidR="006C169E">
        <w:rPr>
          <w:b/>
          <w:color w:val="000000"/>
          <w:szCs w:val="27"/>
        </w:rPr>
        <w:t>4</w:t>
      </w:r>
      <w:r w:rsidR="003D1E78">
        <w:rPr>
          <w:b/>
          <w:color w:val="000000"/>
          <w:szCs w:val="27"/>
        </w:rPr>
        <w:t>)</w:t>
      </w:r>
      <w:r w:rsidR="008A733D">
        <w:rPr>
          <w:b/>
          <w:color w:val="000000"/>
          <w:szCs w:val="27"/>
        </w:rPr>
        <w:t>.</w:t>
      </w:r>
    </w:p>
    <w:p w14:paraId="60B83E66" w14:textId="77777777" w:rsidR="00254823" w:rsidRDefault="00254823" w:rsidP="003D1E78">
      <w:pPr>
        <w:shd w:val="clear" w:color="auto" w:fill="FFFFFF"/>
        <w:tabs>
          <w:tab w:val="left" w:pos="230"/>
        </w:tabs>
        <w:ind w:firstLine="709"/>
        <w:contextualSpacing/>
        <w:rPr>
          <w:i/>
        </w:rPr>
      </w:pPr>
      <w:r>
        <w:rPr>
          <w:b/>
          <w:color w:val="000000"/>
          <w:szCs w:val="27"/>
        </w:rPr>
        <w:t>Комментарии</w:t>
      </w:r>
      <w:r w:rsidRPr="00BB10E6">
        <w:rPr>
          <w:b/>
          <w:i/>
          <w:color w:val="000000"/>
          <w:szCs w:val="27"/>
        </w:rPr>
        <w:t xml:space="preserve">: </w:t>
      </w:r>
      <w:r w:rsidRPr="00BB10E6">
        <w:rPr>
          <w:i/>
        </w:rPr>
        <w:t>соблюдение</w:t>
      </w:r>
      <w:r w:rsidR="008A733D">
        <w:rPr>
          <w:i/>
        </w:rPr>
        <w:t xml:space="preserve"> доз цитостатических препаратов</w:t>
      </w:r>
      <w:r w:rsidRPr="00BB10E6">
        <w:rPr>
          <w:i/>
        </w:rPr>
        <w:t xml:space="preserve"> в соответствии с выбранной программой лечения (без редукции доз), рассчитанных на поверхность тела </w:t>
      </w:r>
      <w:r w:rsidR="00EF50E6">
        <w:rPr>
          <w:i/>
          <w:szCs w:val="24"/>
        </w:rPr>
        <w:t>пациентки</w:t>
      </w:r>
      <w:r w:rsidRPr="00BB10E6">
        <w:rPr>
          <w:i/>
        </w:rPr>
        <w:t xml:space="preserve"> с корректировкой по весу во время лечения. </w:t>
      </w:r>
    </w:p>
    <w:p w14:paraId="173EB8DB" w14:textId="77777777" w:rsidR="00D9705A" w:rsidRPr="00D9705A" w:rsidRDefault="005F593A" w:rsidP="003D1E78">
      <w:pPr>
        <w:shd w:val="clear" w:color="auto" w:fill="FFFFFF"/>
        <w:tabs>
          <w:tab w:val="left" w:pos="230"/>
        </w:tabs>
        <w:ind w:firstLine="709"/>
        <w:contextualSpacing/>
        <w:rPr>
          <w:i/>
          <w:iCs/>
        </w:rPr>
      </w:pPr>
      <w:r>
        <w:rPr>
          <w:i/>
          <w:iCs/>
        </w:rPr>
        <w:t>При развитии</w:t>
      </w:r>
      <w:r w:rsidR="008A733D">
        <w:rPr>
          <w:i/>
          <w:iCs/>
        </w:rPr>
        <w:t xml:space="preserve"> </w:t>
      </w:r>
      <w:r w:rsidR="00D9705A" w:rsidRPr="00D9705A">
        <w:rPr>
          <w:i/>
          <w:iCs/>
        </w:rPr>
        <w:t xml:space="preserve">угрожающих </w:t>
      </w:r>
      <w:r>
        <w:rPr>
          <w:i/>
          <w:iCs/>
        </w:rPr>
        <w:t xml:space="preserve">жизни </w:t>
      </w:r>
      <w:r w:rsidR="00D9705A" w:rsidRPr="00D9705A">
        <w:rPr>
          <w:i/>
          <w:iCs/>
        </w:rPr>
        <w:t>осложнений (например, пневмоцистной пневмонии, ЦМВ-инфекции) использовать регламентированные препараты (например, ко-тримаксазол**, ганцикловир** и другие) допустимо.</w:t>
      </w:r>
    </w:p>
    <w:p w14:paraId="5C466F51" w14:textId="0DEEAF23" w:rsidR="00254823" w:rsidRDefault="00254823" w:rsidP="00956D03">
      <w:pPr>
        <w:numPr>
          <w:ilvl w:val="0"/>
          <w:numId w:val="6"/>
        </w:numPr>
        <w:shd w:val="clear" w:color="auto" w:fill="FFFFFF"/>
        <w:tabs>
          <w:tab w:val="left" w:pos="230"/>
        </w:tabs>
      </w:pPr>
      <w:r w:rsidRPr="005F13B3">
        <w:rPr>
          <w:b/>
        </w:rPr>
        <w:t>Рекомендуется</w:t>
      </w:r>
      <w:r w:rsidRPr="005F13B3">
        <w:t xml:space="preserve"> с</w:t>
      </w:r>
      <w:r>
        <w:t xml:space="preserve"> учетом возможного тератогенного воздействия </w:t>
      </w:r>
      <w:r w:rsidR="00F03AB4" w:rsidRPr="00344267">
        <w:t>#</w:t>
      </w:r>
      <w:r>
        <w:t>метотрексата</w:t>
      </w:r>
      <w:r w:rsidR="00F03AB4" w:rsidRPr="00344267">
        <w:t>**</w:t>
      </w:r>
      <w:r>
        <w:t xml:space="preserve"> выполнение интратекальных введений цитостатических препаратов на фоне беременности без</w:t>
      </w:r>
      <w:r w:rsidR="006B658B">
        <w:t xml:space="preserve"> использования</w:t>
      </w:r>
      <w:r w:rsidR="00595CCF">
        <w:t xml:space="preserve"> </w:t>
      </w:r>
      <w:r w:rsidR="00595CCF" w:rsidRPr="00595CCF">
        <w:t>#</w:t>
      </w:r>
      <w:r w:rsidR="006B658B">
        <w:t>метотрексата</w:t>
      </w:r>
      <w:r w:rsidR="00595CCF">
        <w:t>**</w:t>
      </w:r>
      <w:r w:rsidR="005F13B3">
        <w:rPr>
          <w:i/>
        </w:rPr>
        <w:t xml:space="preserve"> </w:t>
      </w:r>
      <w:r w:rsidR="006C4C50">
        <w:rPr>
          <w:i/>
        </w:rPr>
        <w:fldChar w:fldCharType="begin" w:fldLock="1"/>
      </w:r>
      <w:r w:rsidR="002466C9">
        <w:rPr>
          <w:i/>
        </w:rPr>
        <w:instrText>ADDIN CSL_CITATION {"citationItems":[{"id":"ITEM-1","itemData":{"ISSN":"0145-2126","PMID":"12620288","abstract":"The incidence of acute leukemia in pregnancy is low and the management of acute leukemia during pregnancy is difficult. We have observed a total of 10 pregnancies in 8 patients. Six of the patients had acute myeloblastic leukemia (AML) and two of them had acute lymphoblastic leukemia (ALL). Three of the pregnancies were diagnosed when the leukemia was in remission, six at the time of leukemia diagnosis and one at the time of leukemic relapse. Six of the pregnancies were found in first trimester, three in the second and one early in the third. Three pregnancies ended with spontaneous abortion, three with intrauterine death and three with medical termination. One of spontaneous abortions and one intrauterine death developed during combination chemotherapy (daunorubicin, cytarabine). Only 1 healthy baby survived from the 10 pregnancies and this child was the not exposed to chemotherapeutic agents. None of the cases had gynecologic and obstetric complications. Five of eight pregnant women with leukemia died because of the primary disease.","author":[{"dropping-particle":"","family":"Ali","given":"Ridvan","non-dropping-particle":"","parse-names":false,"suffix":""},{"dropping-particle":"","family":"Ozkalemkaş","given":"Fahir","non-dropping-particle":"","parse-names":false,"suffix":""},{"dropping-particle":"","family":"Ozçelik","given":"Tülay","non-dropping-particle":"","parse-names":false,"suffix":""},{"dropping-particle":"","family":"Ozkocaman","given":"Vildan","non-dropping-particle":"","parse-names":false,"suffix":""},{"dropping-particle":"","family":"Ozan","given":"Ulkü","non-dropping-particle":"","parse-names":false,"suffix":""},{"dropping-particle":"","family":"Kimya","given":"Yalçin","non-dropping-particle":"","parse-names":false,"suffix":""},{"dropping-particle":"","family":"Tunali","given":"Ahmet","non-dropping-particle":"","parse-names":false,"suffix":""}],"container-title":"Leukemia research","id":"ITEM-1","issue":"5","issued":{"date-parts":[["2003","5"]]},"page":"381-5","title":"Maternal and fetal outcomes in pregnancy complicated with acute leukemia: a single institutional experience with 10 pregnancies at 16 years.","type":"article-journal","volume":"27"},"uris":["http://www.mendeley.com/documents/?uuid=3efbb736-0e18-30ce-b8a9-7755f1aafdf8"]},{"id":"ITEM-2","itemData":{"author":[{"dropping-particle":"","family":"Троицкая","given":"В.В.","non-dropping-particle":"","parse-names":false,"suffix":""},{"dropping-particle":"","family":"Паровичникова","given":"Е.Н.","non-dropping-particle":"","parse-names":false,"suffix":""},{"dropping-particle":"","family":"Соколов","given":"А.Н.","non-dropping-particle":"","parse-names":false,"suffix":""},{"dropping-particle":"","family":"Кохно","given":"А.В.","non-dropping-particle":"","parse-names":false,"suffix":""},{"dropping-particle":"","family":"Галстян","given":"Г.М.","non-dropping-particle":"","parse-names":false,"suffix":""},{"dropping-particle":"","family":"Гаврилина","given":"О.А.","non-dropping-particle":"","parse-names":false,"suffix":""},{"dropping-particle":"","family":"Фидарова","given":"З.Т.","non-dropping-particle":"","parse-names":false,"suffix":""},{"dropping-particle":"","family":"Лукьянова","given":"И.А.","non-dropping-particle":"","parse-names":false,"suffix":""},{"dropping-particle":"","family":"Махиня","given":"С.А.","non-dropping-particle":"","parse-names":false,"suffix":""},{"dropping-particle":"","family":"Латышкевич","given":"О.А.","non-dropping-particle":"","parse-names":false,"suffix":""},{"dropping-particle":"","family":"Оленев","given":"А.С.","non-dropping-particle":"","parse-names":false,"suffix":""},{"dropping-particle":"","family":"Кузьмина","given":"Л.А.","non-dropping-particle":"","parse-names":false,"suffix":""},{"dropping-particle":"","family":"Клясова","given":"Г.А.","non-dropping-particle":"","parse-names":false,"suffix":""},{"dropping-particle":"","family":"Капорская","given":"Т.С.","non-dropping-particle":"","parse-names":false,"suffix":""},{"dropping-particle":"","family":"Лапин","given":"В.А.","non-dropping-particle":"","parse-names":false,"suffix":""},{"dropping-particle":"","family":"Сердюк","given":"О.Д.","non-dropping-particle":"","parse-names":false,"suffix":""},{"dropping-particle":"","family":"Чабаева","given":"Ю.А.","non-dropping-particle":"","parse-names":false,"suffix":""},{"dropping-particle":"","family":"Куликов","given":"С.М.","non-dropping-particle":"","parse-names":false,"suffix":""},{"dropping-particle":"","family":"Савченко","given":"В.Г.","non-dropping-particle":"","parse-names":false,"suffix":""}],"container-title":"Гематология и трансфузиология","id":"ITEM-2","issue":"3","issued":{"date-parts":[["2018"]]},"page":"209-230","title":"Лечение острых лимфобластных лейкозов у беременных по протоколу ОЛЛ-2009","type":"article-journal","volume":"63"},"uris":["http://www.mendeley.com/documents/?uuid=325bbae0-d207-4564-bce2-b481dab9070c"]}],"mendeley":{"formattedCitation":"[85,86]","plainTextFormattedCitation":"[85,86]","previouslyFormattedCitation":"[85,86]"},"properties":{"noteIndex":0},"schema":"https://github.com/citation-style-language/schema/raw/master/csl-citation.json"}</w:instrText>
      </w:r>
      <w:r w:rsidR="006C4C50">
        <w:rPr>
          <w:i/>
        </w:rPr>
        <w:fldChar w:fldCharType="separate"/>
      </w:r>
      <w:r w:rsidR="00A66456" w:rsidRPr="00A66456">
        <w:rPr>
          <w:noProof/>
        </w:rPr>
        <w:t>[85,86]</w:t>
      </w:r>
      <w:r w:rsidR="006C4C50">
        <w:rPr>
          <w:i/>
        </w:rPr>
        <w:fldChar w:fldCharType="end"/>
      </w:r>
      <w:r w:rsidR="006C4C50">
        <w:t>.</w:t>
      </w:r>
    </w:p>
    <w:p w14:paraId="15295464" w14:textId="77777777" w:rsidR="00254823" w:rsidRPr="00C909BD" w:rsidRDefault="00254823" w:rsidP="003D1E78">
      <w:pPr>
        <w:shd w:val="clear" w:color="auto" w:fill="FFFFFF"/>
        <w:tabs>
          <w:tab w:val="left" w:pos="230"/>
        </w:tabs>
        <w:ind w:firstLine="709"/>
        <w:contextualSpacing/>
        <w:rPr>
          <w:b/>
          <w:color w:val="000000"/>
          <w:szCs w:val="27"/>
        </w:rPr>
      </w:pPr>
      <w:r>
        <w:rPr>
          <w:b/>
          <w:color w:val="000000"/>
          <w:szCs w:val="27"/>
        </w:rPr>
        <w:t xml:space="preserve">Уровень убедительности рекомендаций </w:t>
      </w:r>
      <w:r w:rsidR="005F13B3">
        <w:rPr>
          <w:b/>
          <w:color w:val="000000"/>
          <w:szCs w:val="27"/>
        </w:rPr>
        <w:t xml:space="preserve">– </w:t>
      </w:r>
      <w:r w:rsidR="006C169E">
        <w:rPr>
          <w:b/>
          <w:color w:val="000000"/>
          <w:szCs w:val="27"/>
        </w:rPr>
        <w:t xml:space="preserve">С </w:t>
      </w:r>
      <w:r>
        <w:rPr>
          <w:b/>
          <w:color w:val="000000"/>
          <w:szCs w:val="27"/>
        </w:rPr>
        <w:t>(уровень д</w:t>
      </w:r>
      <w:r w:rsidR="003D1E78">
        <w:rPr>
          <w:b/>
          <w:color w:val="000000"/>
          <w:szCs w:val="27"/>
        </w:rPr>
        <w:t xml:space="preserve">остоверности доказательств – </w:t>
      </w:r>
      <w:r w:rsidR="006C169E">
        <w:rPr>
          <w:b/>
          <w:color w:val="000000"/>
          <w:szCs w:val="27"/>
        </w:rPr>
        <w:t>4</w:t>
      </w:r>
      <w:r w:rsidR="003D1E78">
        <w:rPr>
          <w:b/>
          <w:color w:val="000000"/>
          <w:szCs w:val="27"/>
        </w:rPr>
        <w:t>)</w:t>
      </w:r>
      <w:r w:rsidR="005F13B3">
        <w:rPr>
          <w:b/>
          <w:color w:val="000000"/>
          <w:szCs w:val="27"/>
        </w:rPr>
        <w:t>.</w:t>
      </w:r>
    </w:p>
    <w:p w14:paraId="6D972B42" w14:textId="1C45811A" w:rsidR="00254823" w:rsidRDefault="00254823" w:rsidP="00956D03">
      <w:pPr>
        <w:numPr>
          <w:ilvl w:val="0"/>
          <w:numId w:val="6"/>
        </w:numPr>
        <w:shd w:val="clear" w:color="auto" w:fill="FFFFFF"/>
        <w:tabs>
          <w:tab w:val="left" w:pos="230"/>
        </w:tabs>
      </w:pPr>
      <w:r>
        <w:rPr>
          <w:b/>
        </w:rPr>
        <w:lastRenderedPageBreak/>
        <w:t>Рекомендуется</w:t>
      </w:r>
      <w:r>
        <w:t xml:space="preserve"> с учетом возм</w:t>
      </w:r>
      <w:r w:rsidR="00764437">
        <w:t>ожных коагулогических нарушений</w:t>
      </w:r>
      <w:r>
        <w:t xml:space="preserve"> перенести введения аспарагиназы** на этапы лечения после родоразрешения</w:t>
      </w:r>
      <w:r w:rsidR="00764437">
        <w:rPr>
          <w:i/>
        </w:rPr>
        <w:t xml:space="preserve"> </w:t>
      </w:r>
      <w:r w:rsidR="006C4C50">
        <w:t xml:space="preserve"> </w:t>
      </w:r>
      <w:r w:rsidR="006C4C50">
        <w:rPr>
          <w:i/>
        </w:rPr>
        <w:fldChar w:fldCharType="begin" w:fldLock="1"/>
      </w:r>
      <w:r w:rsidR="002466C9">
        <w:rPr>
          <w:i/>
        </w:rPr>
        <w:instrText>ADDIN CSL_CITATION {"citationItems":[{"id":"ITEM-1","itemData":{"author":[{"dropping-particle":"","family":"Троицкая","given":"В.В.","non-dropping-particle":"","parse-names":false,"suffix":""},{"dropping-particle":"","family":"Паровичникова","given":"Е.Н.","non-dropping-particle":"","parse-names":false,"suffix":""},{"dropping-particle":"","family":"Соколов","given":"А.Н.","non-dropping-particle":"","parse-names":false,"suffix":""},{"dropping-particle":"","family":"Кохно","given":"А.В.","non-dropping-particle":"","parse-names":false,"suffix":""},{"dropping-particle":"","family":"Галстян","given":"Г.М.","non-dropping-particle":"","parse-names":false,"suffix":""},{"dropping-particle":"","family":"Гаврилина","given":"О.А.","non-dropping-particle":"","parse-names":false,"suffix":""},{"dropping-particle":"","family":"Фидарова","given":"З.Т.","non-dropping-particle":"","parse-names":false,"suffix":""},{"dropping-particle":"","family":"Лукьянова","given":"И.А.","non-dropping-particle":"","parse-names":false,"suffix":""},{"dropping-particle":"","family":"Махиня","given":"С.А.","non-dropping-particle":"","parse-names":false,"suffix":""},{"dropping-particle":"","family":"Латышкевич","given":"О.А.","non-dropping-particle":"","parse-names":false,"suffix":""},{"dropping-particle":"","family":"Оленев","given":"А.С.","non-dropping-particle":"","parse-names":false,"suffix":""},{"dropping-particle":"","family":"Кузьмина","given":"Л.А.","non-dropping-particle":"","parse-names":false,"suffix":""},{"dropping-particle":"","family":"Клясова","given":"Г.А.","non-dropping-particle":"","parse-names":false,"suffix":""},{"dropping-particle":"","family":"Капорская","given":"Т.С.","non-dropping-particle":"","parse-names":false,"suffix":""},{"dropping-particle":"","family":"Лапин","given":"В.А.","non-dropping-particle":"","parse-names":false,"suffix":""},{"dropping-particle":"","family":"Сердюк","given":"О.Д.","non-dropping-particle":"","parse-names":false,"suffix":""},{"dropping-particle":"","family":"Чабаева","given":"Ю.А.","non-dropping-particle":"","parse-names":false,"suffix":""},{"dropping-particle":"","family":"Куликов","given":"С.М.","non-dropping-particle":"","parse-names":false,"suffix":""},{"dropping-particle":"","family":"Савченко","given":"В.Г.","non-dropping-particle":"","parse-names":false,"suffix":""}],"container-title":"Гематология и трансфузиология","id":"ITEM-1","issue":"3","issued":{"date-parts":[["2018"]]},"page":"209-230","title":"Лечение острых лимфобластных лейкозов у беременных по протоколу ОЛЛ-2009","type":"article-journal","volume":"63"},"uris":["http://www.mendeley.com/documents/?uuid=325bbae0-d207-4564-bce2-b481dab9070c"]}],"mendeley":{"formattedCitation":"[86]","plainTextFormattedCitation":"[86]","previouslyFormattedCitation":"[86]"},"properties":{"noteIndex":0},"schema":"https://github.com/citation-style-language/schema/raw/master/csl-citation.json"}</w:instrText>
      </w:r>
      <w:r w:rsidR="006C4C50">
        <w:rPr>
          <w:i/>
        </w:rPr>
        <w:fldChar w:fldCharType="separate"/>
      </w:r>
      <w:r w:rsidR="00A66456" w:rsidRPr="00A66456">
        <w:rPr>
          <w:noProof/>
        </w:rPr>
        <w:t>[86]</w:t>
      </w:r>
      <w:r w:rsidR="006C4C50">
        <w:rPr>
          <w:i/>
        </w:rPr>
        <w:fldChar w:fldCharType="end"/>
      </w:r>
      <w:r w:rsidR="006C4C50">
        <w:rPr>
          <w:i/>
        </w:rPr>
        <w:t>.</w:t>
      </w:r>
      <w:r w:rsidR="006C4C50" w:rsidRPr="00764437" w:rsidDel="006C4C50">
        <w:t xml:space="preserve"> </w:t>
      </w:r>
    </w:p>
    <w:p w14:paraId="5B638640" w14:textId="77777777" w:rsidR="00254823" w:rsidRPr="00C909BD" w:rsidRDefault="00254823" w:rsidP="003D1E78">
      <w:pPr>
        <w:shd w:val="clear" w:color="auto" w:fill="FFFFFF"/>
        <w:tabs>
          <w:tab w:val="left" w:pos="230"/>
        </w:tabs>
        <w:ind w:firstLine="709"/>
        <w:contextualSpacing/>
        <w:rPr>
          <w:b/>
          <w:color w:val="000000"/>
          <w:szCs w:val="27"/>
        </w:rPr>
      </w:pPr>
      <w:r>
        <w:rPr>
          <w:b/>
          <w:color w:val="000000"/>
          <w:szCs w:val="27"/>
        </w:rPr>
        <w:t xml:space="preserve">Уровень убедительности рекомендаций </w:t>
      </w:r>
      <w:r w:rsidR="00764437">
        <w:rPr>
          <w:b/>
          <w:color w:val="000000"/>
          <w:szCs w:val="27"/>
        </w:rPr>
        <w:t xml:space="preserve">– </w:t>
      </w:r>
      <w:r w:rsidR="006C169E">
        <w:rPr>
          <w:b/>
          <w:color w:val="000000"/>
          <w:szCs w:val="27"/>
        </w:rPr>
        <w:t xml:space="preserve">С </w:t>
      </w:r>
      <w:r>
        <w:rPr>
          <w:b/>
          <w:color w:val="000000"/>
          <w:szCs w:val="27"/>
        </w:rPr>
        <w:t>(уровень д</w:t>
      </w:r>
      <w:r w:rsidR="003D1E78">
        <w:rPr>
          <w:b/>
          <w:color w:val="000000"/>
          <w:szCs w:val="27"/>
        </w:rPr>
        <w:t xml:space="preserve">остоверности доказательств – </w:t>
      </w:r>
      <w:r w:rsidR="006C169E">
        <w:rPr>
          <w:b/>
          <w:color w:val="000000"/>
          <w:szCs w:val="27"/>
        </w:rPr>
        <w:t>4</w:t>
      </w:r>
      <w:r w:rsidR="003D1E78">
        <w:rPr>
          <w:b/>
          <w:color w:val="000000"/>
          <w:szCs w:val="27"/>
        </w:rPr>
        <w:t>)</w:t>
      </w:r>
      <w:r w:rsidR="00764437">
        <w:rPr>
          <w:b/>
          <w:color w:val="000000"/>
          <w:szCs w:val="27"/>
        </w:rPr>
        <w:t>.</w:t>
      </w:r>
    </w:p>
    <w:p w14:paraId="14222815" w14:textId="2F43F814" w:rsidR="00254823" w:rsidRPr="00A250E7" w:rsidRDefault="00254823" w:rsidP="00956D03">
      <w:pPr>
        <w:numPr>
          <w:ilvl w:val="0"/>
          <w:numId w:val="6"/>
        </w:numPr>
      </w:pPr>
      <w:r w:rsidRPr="003D1E78">
        <w:rPr>
          <w:b/>
        </w:rPr>
        <w:t>Рекомендуется</w:t>
      </w:r>
      <w:r w:rsidRPr="00062D63">
        <w:t xml:space="preserve"> при Ph+</w:t>
      </w:r>
      <w:r w:rsidR="00764437">
        <w:t xml:space="preserve"> </w:t>
      </w:r>
      <w:r w:rsidRPr="00062D63">
        <w:t xml:space="preserve">ОЛЛ на фоне беременности проведение терапии иматинибом** в </w:t>
      </w:r>
      <w:r w:rsidR="00764437">
        <w:t>сочетании с глюкокортикоидами (п</w:t>
      </w:r>
      <w:r w:rsidRPr="00062D63">
        <w:t xml:space="preserve">риложение </w:t>
      </w:r>
      <w:r w:rsidR="00595CCF">
        <w:t>А3.1</w:t>
      </w:r>
      <w:r w:rsidRPr="00062D63">
        <w:t>)</w:t>
      </w:r>
      <w:r w:rsidR="00AD7F64" w:rsidRPr="00AD7F64">
        <w:t xml:space="preserve"> </w:t>
      </w:r>
      <w:r w:rsidR="006C4C50">
        <w:t xml:space="preserve"> </w:t>
      </w:r>
      <w:r w:rsidR="006C4C50">
        <w:fldChar w:fldCharType="begin" w:fldLock="1"/>
      </w:r>
      <w:r w:rsidR="002466C9">
        <w:instrText>ADDIN CSL_CITATION {"citationItems":[{"id":"ITEM-1","itemData":{"DOI":"10.1177/1078155214568582","ISSN":"1477092X","abstract":"© SAGE Publications. BCR-ABL inhibitors administered in conjunction with chemotherapy have significantly improved outcomes in Philadelphia chromosome-positive acute lymphoblastic leukemia but, for patients diagnosed during pregnancy, data on risks to the fetus are limited. We report a woman treated with chemotherapy and imatinib mesylate who delivered a healthy baby at 30 weeks, and we discuss available data.","author":[{"dropping-particle":"","family":"Mainor","given":"Candace B.","non-dropping-particle":"","parse-names":false,"suffix":""},{"dropping-particle":"","family":"Duffy","given":"Alison P.","non-dropping-particle":"","parse-names":false,"suffix":""},{"dropping-particle":"","family":"Atkins","given":"Kristin L.","non-dropping-particle":"","parse-names":false,"suffix":""},{"dropping-particle":"","family":"Kimball","given":"Amy S.","non-dropping-particle":"","parse-names":false,"suffix":""},{"dropping-particle":"","family":"Baer","given":"Maria R.","non-dropping-particle":"","parse-names":false,"suffix":""}],"container-title":"Journal of Oncology Pharmacy Practice","id":"ITEM-1","issue":"2","issued":{"date-parts":[["2016","4","1"]]},"page":"374-377","publisher":"SAGE Publications Ltd","title":"Treatment of Philadelphia chromosome-positive acute lymphoblastic leukemia in pregnancy","type":"article-journal","volume":"22"},"uris":["http://www.mendeley.com/documents/?uuid=7c0f25ce-62e6-3a0b-8de1-b2b648976cf5"]}],"mendeley":{"formattedCitation":"[88]","plainTextFormattedCitation":"[88]","previouslyFormattedCitation":"[88]"},"properties":{"noteIndex":0},"schema":"https://github.com/citation-style-language/schema/raw/master/csl-citation.json"}</w:instrText>
      </w:r>
      <w:r w:rsidR="006C4C50">
        <w:fldChar w:fldCharType="separate"/>
      </w:r>
      <w:r w:rsidR="00A66456" w:rsidRPr="00A66456">
        <w:rPr>
          <w:noProof/>
        </w:rPr>
        <w:t>[88]</w:t>
      </w:r>
      <w:r w:rsidR="006C4C50">
        <w:fldChar w:fldCharType="end"/>
      </w:r>
      <w:r w:rsidR="006C4C50">
        <w:t>.</w:t>
      </w:r>
    </w:p>
    <w:p w14:paraId="7D687781" w14:textId="77777777" w:rsidR="00254823" w:rsidRPr="00C909BD" w:rsidRDefault="00254823" w:rsidP="003D1E78">
      <w:pPr>
        <w:shd w:val="clear" w:color="auto" w:fill="FFFFFF"/>
        <w:tabs>
          <w:tab w:val="left" w:pos="216"/>
        </w:tabs>
        <w:ind w:firstLine="709"/>
        <w:contextualSpacing/>
        <w:rPr>
          <w:b/>
          <w:color w:val="000000"/>
          <w:szCs w:val="27"/>
        </w:rPr>
      </w:pPr>
      <w:r>
        <w:rPr>
          <w:b/>
          <w:color w:val="000000"/>
          <w:szCs w:val="27"/>
        </w:rPr>
        <w:t xml:space="preserve">Уровень убедительности рекомендаций </w:t>
      </w:r>
      <w:r w:rsidR="00764437">
        <w:rPr>
          <w:b/>
          <w:color w:val="000000"/>
          <w:szCs w:val="27"/>
        </w:rPr>
        <w:t xml:space="preserve">– </w:t>
      </w:r>
      <w:r w:rsidR="006C4C50">
        <w:rPr>
          <w:b/>
          <w:color w:val="000000"/>
          <w:szCs w:val="27"/>
        </w:rPr>
        <w:t xml:space="preserve">С </w:t>
      </w:r>
      <w:r>
        <w:rPr>
          <w:b/>
          <w:color w:val="000000"/>
          <w:szCs w:val="27"/>
        </w:rPr>
        <w:t>(уровень дост</w:t>
      </w:r>
      <w:r w:rsidR="003D1E78">
        <w:rPr>
          <w:b/>
          <w:color w:val="000000"/>
          <w:szCs w:val="27"/>
        </w:rPr>
        <w:t xml:space="preserve">оверности доказательств – </w:t>
      </w:r>
      <w:r w:rsidR="006C4C50">
        <w:rPr>
          <w:b/>
          <w:color w:val="000000"/>
          <w:szCs w:val="27"/>
        </w:rPr>
        <w:t>4</w:t>
      </w:r>
      <w:r w:rsidR="003D1E78">
        <w:rPr>
          <w:b/>
          <w:color w:val="000000"/>
          <w:szCs w:val="27"/>
        </w:rPr>
        <w:t>)</w:t>
      </w:r>
      <w:r w:rsidR="00764437">
        <w:rPr>
          <w:b/>
          <w:color w:val="000000"/>
          <w:szCs w:val="27"/>
        </w:rPr>
        <w:t>.</w:t>
      </w:r>
    </w:p>
    <w:p w14:paraId="2BBD93D0" w14:textId="5F1CB8AE" w:rsidR="00254823" w:rsidRDefault="00254823" w:rsidP="00956D03">
      <w:pPr>
        <w:numPr>
          <w:ilvl w:val="0"/>
          <w:numId w:val="6"/>
        </w:numPr>
        <w:shd w:val="clear" w:color="auto" w:fill="FFFFFF"/>
        <w:tabs>
          <w:tab w:val="left" w:pos="230"/>
        </w:tabs>
        <w:rPr>
          <w:color w:val="FF0000"/>
        </w:rPr>
      </w:pPr>
      <w:r w:rsidRPr="00595CCF">
        <w:rPr>
          <w:b/>
        </w:rPr>
        <w:t>Рекомендуется</w:t>
      </w:r>
      <w:r w:rsidRPr="00595CCF">
        <w:t xml:space="preserve"> предпочитать метилпреднизолон** и преднизолон**</w:t>
      </w:r>
      <w:r w:rsidRPr="00C909BD">
        <w:t xml:space="preserve"> дексаметазону</w:t>
      </w:r>
      <w:r>
        <w:t>**</w:t>
      </w:r>
      <w:r w:rsidRPr="00C909BD">
        <w:t xml:space="preserve"> ввиду возможности развития неблагоприятных неврологических последствий у плода в случае</w:t>
      </w:r>
      <w:r w:rsidR="00F03AB4">
        <w:t xml:space="preserve"> применения последнего</w:t>
      </w:r>
      <w:r w:rsidR="006C4C50">
        <w:t xml:space="preserve"> </w:t>
      </w:r>
      <w:r w:rsidR="006C4C50">
        <w:fldChar w:fldCharType="begin" w:fldLock="1"/>
      </w:r>
      <w:r w:rsidR="002466C9">
        <w:instrText>ADDIN CSL_CITATION {"citationItems":[{"id":"ITEM-1","itemData":{"DOI":"10.1093/humupd/dmv047","ISSN":"14602369","abstract":"Background: The use of antenatal steroid therapy is common in pregnancy. In early pregnancy, steroids may be used in women for the treatment of recurrent miscarriage or fetal abnormalities such as congenital adrenal hyperplasia. In mid-late pregnancy, the antenatal administration of corticosteroids to expectant mothers in anticipation of preterm birth is one of the most important advances in perinatal medicine; antenatal corticosteroids are now standard care for pregnancies at risk of premature delivery in high- and middle-income countries. The widespread uptake of this therapy is due to a compelling body of evidence demonstrating improved neonatal outcomes following antenatal corticosteroid exposure, stemming most notably from corticosteroid-driven maturation of fetal pulmonary function. As we approach the 50th anniversary of landmark work in this area by Liggins and Howie, it is apparent that much remains to be understood with regards to how we might best apply antenatal corticosteroid therapy to improve pregnancy outcomes at both early and mid to late gestation. Methods: Drawing on advances in laboratory science, pre-clinical and clinical studies, we performed a narrative review of the scientific literature to provide a timely update on the benefits, risks and uncertainties regarding antenatal corticosteroid use in pregnancy. Three, well-established therapeutic uses of antenatal steroids, namely recurrent miscarriage, congenital adrenal hyperplasia and preterm birth, were selected to frame the review. Results: Even the most well-established antenatal steroid therapies lack the comprehensive pharmacokinetic and dose-response data necessary to optimize dosing regimens. New insights into complex, tissue-specific corticosteroid signalling by genomic-dependent and independent mechanisms have not been used to inform corticosteroid treatment strategies. There is growing evidence that some fetal corticosteroid treatments are either ineffective, or may result in adverse outcomes, in addition to lasting epigenetic changes in a variety of homeostatic mechanisms. Nowhere is the need to better understand the intricacies of corticosteroid therapy better conveyed than in the findings of Althabe and colleagues who recently reported an increase in overall neonatal mortality and maternal morbidity in association with antenatal corticosteroid administration in low-resource settings. Conclusions: New research to clarify the benefits and potential risks of antenatal cort…","author":[{"dropping-particle":"","family":"Kemp","given":"M. W.","non-dropping-particle":"","parse-names":false,"suffix":""},{"dropping-particle":"","family":"Newnham","given":"J. P.","non-dropping-particle":"","parse-names":false,"suffix":""},{"dropping-particle":"","family":"Challis","given":"J. G.","non-dropping-particle":"","parse-names":false,"suffix":""},{"dropping-particle":"","family":"Jobe","given":"A. H.","non-dropping-particle":"","parse-names":false,"suffix":""},{"dropping-particle":"","family":"Stock","given":"S. J.","non-dropping-particle":"","parse-names":false,"suffix":""}],"container-title":"Human Reproduction Update","id":"ITEM-1","issue":"2","issued":{"date-parts":[["2016","3","1"]]},"page":"240-259","publisher":"Oxford University Press","title":"The clinical use of corticosteroids in pregnancy","type":"article","volume":"22"},"uris":["http://www.mendeley.com/documents/?uuid=c7c1d677-90f8-3885-a787-2a90f07cd9cd"]}],"mendeley":{"formattedCitation":"[89]","plainTextFormattedCitation":"[89]","previouslyFormattedCitation":"[89]"},"properties":{"noteIndex":0},"schema":"https://github.com/citation-style-language/schema/raw/master/csl-citation.json"}</w:instrText>
      </w:r>
      <w:r w:rsidR="006C4C50">
        <w:fldChar w:fldCharType="separate"/>
      </w:r>
      <w:r w:rsidR="00A66456" w:rsidRPr="00A66456">
        <w:rPr>
          <w:noProof/>
        </w:rPr>
        <w:t>[89]</w:t>
      </w:r>
      <w:r w:rsidR="006C4C50">
        <w:fldChar w:fldCharType="end"/>
      </w:r>
      <w:r w:rsidR="006C4C50">
        <w:t>.</w:t>
      </w:r>
      <w:r w:rsidR="006C4C50" w:rsidRPr="00764437">
        <w:t xml:space="preserve"> </w:t>
      </w:r>
    </w:p>
    <w:p w14:paraId="22DC6775" w14:textId="77777777" w:rsidR="00254823" w:rsidRPr="00C909BD" w:rsidRDefault="00254823" w:rsidP="003D1E78">
      <w:pPr>
        <w:shd w:val="clear" w:color="auto" w:fill="FFFFFF"/>
        <w:tabs>
          <w:tab w:val="left" w:pos="230"/>
        </w:tabs>
        <w:ind w:firstLine="709"/>
        <w:contextualSpacing/>
        <w:rPr>
          <w:b/>
          <w:color w:val="000000"/>
          <w:szCs w:val="27"/>
        </w:rPr>
      </w:pPr>
      <w:r>
        <w:rPr>
          <w:b/>
          <w:color w:val="000000"/>
          <w:szCs w:val="27"/>
        </w:rPr>
        <w:t xml:space="preserve">Уровень убедительности рекомендаций </w:t>
      </w:r>
      <w:r w:rsidR="00764437">
        <w:rPr>
          <w:b/>
          <w:color w:val="000000"/>
          <w:szCs w:val="27"/>
        </w:rPr>
        <w:t xml:space="preserve">– </w:t>
      </w:r>
      <w:r w:rsidR="006C4C50">
        <w:rPr>
          <w:b/>
          <w:color w:val="000000"/>
          <w:szCs w:val="27"/>
        </w:rPr>
        <w:t xml:space="preserve">С </w:t>
      </w:r>
      <w:r>
        <w:rPr>
          <w:b/>
          <w:color w:val="000000"/>
          <w:szCs w:val="27"/>
        </w:rPr>
        <w:t>(уровень д</w:t>
      </w:r>
      <w:r w:rsidR="003D1E78">
        <w:rPr>
          <w:b/>
          <w:color w:val="000000"/>
          <w:szCs w:val="27"/>
        </w:rPr>
        <w:t xml:space="preserve">остоверности доказательств – </w:t>
      </w:r>
      <w:r w:rsidR="006C4C50">
        <w:rPr>
          <w:b/>
          <w:color w:val="000000"/>
          <w:szCs w:val="27"/>
        </w:rPr>
        <w:t>4</w:t>
      </w:r>
      <w:r w:rsidR="003D1E78">
        <w:rPr>
          <w:b/>
          <w:color w:val="000000"/>
          <w:szCs w:val="27"/>
        </w:rPr>
        <w:t>)</w:t>
      </w:r>
      <w:r w:rsidR="00764437">
        <w:rPr>
          <w:b/>
          <w:color w:val="000000"/>
          <w:szCs w:val="27"/>
        </w:rPr>
        <w:t>.</w:t>
      </w:r>
    </w:p>
    <w:p w14:paraId="7C79C59F" w14:textId="312EF8B5" w:rsidR="00254823" w:rsidRDefault="00254823" w:rsidP="00956D03">
      <w:pPr>
        <w:numPr>
          <w:ilvl w:val="0"/>
          <w:numId w:val="6"/>
        </w:numPr>
        <w:shd w:val="clear" w:color="auto" w:fill="FFFFFF"/>
        <w:tabs>
          <w:tab w:val="left" w:pos="230"/>
        </w:tabs>
      </w:pPr>
      <w:r>
        <w:rPr>
          <w:b/>
        </w:rPr>
        <w:t>Рекомендуется</w:t>
      </w:r>
      <w:r>
        <w:t xml:space="preserve"> планировать срок родоразрешения с учетом дней введе</w:t>
      </w:r>
      <w:r w:rsidR="00764437">
        <w:t>ния цитостатических препаратов</w:t>
      </w:r>
      <w:r>
        <w:t xml:space="preserve"> не ранее</w:t>
      </w:r>
      <w:r w:rsidR="00764437">
        <w:t xml:space="preserve"> чем через 2–</w:t>
      </w:r>
      <w:r>
        <w:t>3 недели после введе</w:t>
      </w:r>
      <w:r w:rsidR="003D0ADB">
        <w:t xml:space="preserve">ния цитостатических препаратов </w:t>
      </w:r>
      <w:r>
        <w:t xml:space="preserve">с целью </w:t>
      </w:r>
      <w:r w:rsidR="003920EE">
        <w:t xml:space="preserve">уменьшения </w:t>
      </w:r>
      <w:r>
        <w:t>вероятн</w:t>
      </w:r>
      <w:r w:rsidR="006B658B">
        <w:t>ости миелосупрессии у плода</w:t>
      </w:r>
      <w:r w:rsidR="00AD7F64" w:rsidRPr="00AD7F64">
        <w:t xml:space="preserve"> </w:t>
      </w:r>
      <w:r w:rsidR="006C4C50">
        <w:rPr>
          <w:i/>
        </w:rPr>
        <w:fldChar w:fldCharType="begin" w:fldLock="1"/>
      </w:r>
      <w:r w:rsidR="002466C9">
        <w:rPr>
          <w:i/>
        </w:rPr>
        <w:instrText>ADDIN CSL_CITATION {"citationItems":[{"id":"ITEM-1","itemData":{"DOI":"10.1089/jayao.2014.0014","ISSN":"2156-5333","abstract":"The usual age range of acute lymphoblastic malignancies (acute lymphoblastic leukemia and advanced-stage lymphoblastic lymphoma) includes teenagers and young adults (&lt;22 years of age) and coincides with the age of fertility. Concurrence of acute lymphoblastic malignancy with pregnancy is therefore most likely to happen during the younger childbearing ages. However, the therapeutic challenges posed by the dual diagnosis of lymphoblastic malignancy and pregnancy have not specifically been studied in the context of age, and management guidelines for pregnant young patients are lacking. Inconsistency in defining the legal decision-making rights of pregnant teenaged patients adds a further level of complexity in this age group. Management of this challenging combination in the young patient therefore entails unique ethical considerations. Here we present two illustrative cases of teenage pregnancy complicated by acute lymphoblastic malignancy, review the available literature, and offer suggestions for the therapeutic management of such cases in adolescent and young adult patients. Importantly, practical management recommendations are provided in the context of clinical ethics principles that are universally applicable, including in developing countries, where the highest incidence of adolescent pregnancies has been documented.","author":[{"dropping-particle":"","family":"Zaidi","given":"Alia","non-dropping-particle":"","parse-names":false,"suffix":""},{"dropping-particle":"","family":"Johnson","given":"Liza-Marie","non-dropping-particle":"","parse-names":false,"suffix":""},{"dropping-particle":"","family":"Church","given":"Christopher L.","non-dropping-particle":"","parse-names":false,"suffix":""},{"dropping-particle":"","family":"Gomez-Garcia","given":"Wendy C.","non-dropping-particle":"","parse-names":false,"suffix":""},{"dropping-particle":"","family":"Popescu","given":"Marcela I.","non-dropping-particle":"","parse-names":false,"suffix":""},{"dropping-particle":"","family":"Margolin","given":"Judith F.","non-dropping-particle":"","parse-names":false,"suffix":""},{"dropping-particle":"","family":"Ribeiro","given":"Raul C.","non-dropping-particle":"","parse-names":false,"suffix":""}],"container-title":"Journal of Adolescent and Young Adult Oncology","id":"ITEM-1","issue":"4","issued":{"date-parts":[["2014","12"]]},"page":"160-175","publisher":"Mary Ann Liebert Inc","title":"Management of Concurrent Pregnancy and Acute Lymphoblastic Malignancy in Teenaged Patients: Two Illustrative Cases and Review of the Literature","type":"article-journal","volume":"3"},"uris":["http://www.mendeley.com/documents/?uuid=134f7b1a-469b-332b-beda-48421c288e41"]}],"mendeley":{"formattedCitation":"[90]","plainTextFormattedCitation":"[90]","previouslyFormattedCitation":"[90]"},"properties":{"noteIndex":0},"schema":"https://github.com/citation-style-language/schema/raw/master/csl-citation.json"}</w:instrText>
      </w:r>
      <w:r w:rsidR="006C4C50">
        <w:rPr>
          <w:i/>
        </w:rPr>
        <w:fldChar w:fldCharType="separate"/>
      </w:r>
      <w:r w:rsidR="00A66456" w:rsidRPr="00A66456">
        <w:rPr>
          <w:noProof/>
        </w:rPr>
        <w:t>[90]</w:t>
      </w:r>
      <w:r w:rsidR="006C4C50">
        <w:rPr>
          <w:i/>
        </w:rPr>
        <w:fldChar w:fldCharType="end"/>
      </w:r>
      <w:r w:rsidR="006C4C50">
        <w:rPr>
          <w:i/>
        </w:rPr>
        <w:t>.</w:t>
      </w:r>
      <w:r w:rsidR="006C4C50" w:rsidRPr="00764437" w:rsidDel="006C4C50">
        <w:t xml:space="preserve"> </w:t>
      </w:r>
      <w:r w:rsidR="00595CCF" w:rsidRPr="00595CCF">
        <w:t xml:space="preserve"> </w:t>
      </w:r>
    </w:p>
    <w:p w14:paraId="669F67F6" w14:textId="050732B5" w:rsidR="00254823" w:rsidRPr="00AD7F64" w:rsidRDefault="00254823" w:rsidP="003D1E78">
      <w:pPr>
        <w:shd w:val="clear" w:color="auto" w:fill="FFFFFF"/>
        <w:tabs>
          <w:tab w:val="left" w:pos="230"/>
        </w:tabs>
        <w:ind w:firstLine="709"/>
        <w:contextualSpacing/>
        <w:rPr>
          <w:b/>
          <w:color w:val="000000"/>
          <w:szCs w:val="27"/>
        </w:rPr>
      </w:pPr>
      <w:r w:rsidRPr="00AD7F64">
        <w:rPr>
          <w:b/>
          <w:color w:val="000000"/>
          <w:szCs w:val="27"/>
        </w:rPr>
        <w:t xml:space="preserve">Уровень убедительности рекомендаций </w:t>
      </w:r>
      <w:r w:rsidR="003D0ADB" w:rsidRPr="00AD7F64">
        <w:rPr>
          <w:b/>
          <w:color w:val="000000"/>
          <w:szCs w:val="27"/>
        </w:rPr>
        <w:t xml:space="preserve">– </w:t>
      </w:r>
      <w:r w:rsidR="006C169E" w:rsidRPr="00AD7F64">
        <w:rPr>
          <w:b/>
          <w:color w:val="000000"/>
          <w:szCs w:val="27"/>
        </w:rPr>
        <w:t xml:space="preserve">С </w:t>
      </w:r>
      <w:r w:rsidRPr="00AD7F64">
        <w:rPr>
          <w:b/>
          <w:color w:val="000000"/>
          <w:szCs w:val="27"/>
        </w:rPr>
        <w:t>(уровень д</w:t>
      </w:r>
      <w:r w:rsidR="003D1E78" w:rsidRPr="00AD7F64">
        <w:rPr>
          <w:b/>
          <w:color w:val="000000"/>
          <w:szCs w:val="27"/>
        </w:rPr>
        <w:t xml:space="preserve">остоверности доказательств – </w:t>
      </w:r>
      <w:r w:rsidR="001A5A50">
        <w:rPr>
          <w:b/>
          <w:color w:val="000000"/>
          <w:szCs w:val="27"/>
        </w:rPr>
        <w:t>5</w:t>
      </w:r>
      <w:r w:rsidR="003D1E78" w:rsidRPr="00AD7F64">
        <w:rPr>
          <w:b/>
          <w:color w:val="000000"/>
          <w:szCs w:val="27"/>
        </w:rPr>
        <w:t>)</w:t>
      </w:r>
      <w:r w:rsidR="003D0ADB" w:rsidRPr="00AD7F64">
        <w:rPr>
          <w:b/>
          <w:color w:val="000000"/>
          <w:szCs w:val="27"/>
        </w:rPr>
        <w:t>.</w:t>
      </w:r>
    </w:p>
    <w:p w14:paraId="0C64244F" w14:textId="6F4AEABC" w:rsidR="00254823" w:rsidRPr="00AD7F64" w:rsidRDefault="00254823" w:rsidP="00956D03">
      <w:pPr>
        <w:numPr>
          <w:ilvl w:val="0"/>
          <w:numId w:val="6"/>
        </w:numPr>
        <w:shd w:val="clear" w:color="auto" w:fill="FFFFFF"/>
        <w:tabs>
          <w:tab w:val="left" w:pos="230"/>
        </w:tabs>
      </w:pPr>
      <w:r w:rsidRPr="00AD7F64">
        <w:rPr>
          <w:b/>
        </w:rPr>
        <w:t>Рекомендуется</w:t>
      </w:r>
      <w:r w:rsidRPr="00AD7F64">
        <w:t xml:space="preserve"> выполнять родоразреш</w:t>
      </w:r>
      <w:r w:rsidR="006B658B" w:rsidRPr="00AD7F64">
        <w:t>ение путем кесарева сечения</w:t>
      </w:r>
      <w:r w:rsidR="006C4C50" w:rsidRPr="00AD7F64">
        <w:t xml:space="preserve"> </w:t>
      </w:r>
      <w:r w:rsidR="006C4C50" w:rsidRPr="00AD7F64">
        <w:rPr>
          <w:i/>
        </w:rPr>
        <w:fldChar w:fldCharType="begin" w:fldLock="1"/>
      </w:r>
      <w:r w:rsidR="002466C9">
        <w:rPr>
          <w:i/>
        </w:rPr>
        <w:instrText>ADDIN CSL_CITATION {"citationItems":[{"id":"ITEM-1","itemData":{"DOI":"10.1089/jayao.2014.0014","ISSN":"2156-5333","abstract":"The usual age range of acute lymphoblastic malignancies (acute lymphoblastic leukemia and advanced-stage lymphoblastic lymphoma) includes teenagers and young adults (&lt;22 years of age) and coincides with the age of fertility. Concurrence of acute lymphoblastic malignancy with pregnancy is therefore most likely to happen during the younger childbearing ages. However, the therapeutic challenges posed by the dual diagnosis of lymphoblastic malignancy and pregnancy have not specifically been studied in the context of age, and management guidelines for pregnant young patients are lacking. Inconsistency in defining the legal decision-making rights of pregnant teenaged patients adds a further level of complexity in this age group. Management of this challenging combination in the young patient therefore entails unique ethical considerations. Here we present two illustrative cases of teenage pregnancy complicated by acute lymphoblastic malignancy, review the available literature, and offer suggestions for the therapeutic management of such cases in adolescent and young adult patients. Importantly, practical management recommendations are provided in the context of clinical ethics principles that are universally applicable, including in developing countries, where the highest incidence of adolescent pregnancies has been documented.","author":[{"dropping-particle":"","family":"Zaidi","given":"Alia","non-dropping-particle":"","parse-names":false,"suffix":""},{"dropping-particle":"","family":"Johnson","given":"Liza-Marie","non-dropping-particle":"","parse-names":false,"suffix":""},{"dropping-particle":"","family":"Church","given":"Christopher L.","non-dropping-particle":"","parse-names":false,"suffix":""},{"dropping-particle":"","family":"Gomez-Garcia","given":"Wendy C.","non-dropping-particle":"","parse-names":false,"suffix":""},{"dropping-particle":"","family":"Popescu","given":"Marcela I.","non-dropping-particle":"","parse-names":false,"suffix":""},{"dropping-particle":"","family":"Margolin","given":"Judith F.","non-dropping-particle":"","parse-names":false,"suffix":""},{"dropping-particle":"","family":"Ribeiro","given":"Raul C.","non-dropping-particle":"","parse-names":false,"suffix":""}],"container-title":"Journal of Adolescent and Young Adult Oncology","id":"ITEM-1","issue":"4","issued":{"date-parts":[["2014","12"]]},"page":"160-175","publisher":"Mary Ann Liebert Inc","title":"Management of Concurrent Pregnancy and Acute Lymphoblastic Malignancy in Teenaged Patients: Two Illustrative Cases and Review of the Literature","type":"article-journal","volume":"3"},"uris":["http://www.mendeley.com/documents/?uuid=134f7b1a-469b-332b-beda-48421c288e41"]}],"mendeley":{"formattedCitation":"[90]","plainTextFormattedCitation":"[90]","previouslyFormattedCitation":"[90]"},"properties":{"noteIndex":0},"schema":"https://github.com/citation-style-language/schema/raw/master/csl-citation.json"}</w:instrText>
      </w:r>
      <w:r w:rsidR="006C4C50" w:rsidRPr="00AD7F64">
        <w:rPr>
          <w:i/>
        </w:rPr>
        <w:fldChar w:fldCharType="separate"/>
      </w:r>
      <w:r w:rsidR="00A66456" w:rsidRPr="00A66456">
        <w:rPr>
          <w:noProof/>
        </w:rPr>
        <w:t>[90]</w:t>
      </w:r>
      <w:r w:rsidR="006C4C50" w:rsidRPr="00AD7F64">
        <w:rPr>
          <w:i/>
        </w:rPr>
        <w:fldChar w:fldCharType="end"/>
      </w:r>
      <w:r w:rsidR="006C4C50" w:rsidRPr="00AD7F64">
        <w:rPr>
          <w:i/>
        </w:rPr>
        <w:t>.</w:t>
      </w:r>
      <w:r w:rsidR="006C4C50" w:rsidRPr="00AD7F64" w:rsidDel="006C4C50">
        <w:t xml:space="preserve"> </w:t>
      </w:r>
    </w:p>
    <w:p w14:paraId="78D1994D" w14:textId="717A143A" w:rsidR="00254823" w:rsidRPr="00AD7F64" w:rsidRDefault="00254823" w:rsidP="003D1E78">
      <w:pPr>
        <w:shd w:val="clear" w:color="auto" w:fill="FFFFFF"/>
        <w:tabs>
          <w:tab w:val="left" w:pos="230"/>
        </w:tabs>
        <w:ind w:firstLine="709"/>
        <w:contextualSpacing/>
        <w:rPr>
          <w:b/>
          <w:color w:val="000000"/>
          <w:szCs w:val="27"/>
        </w:rPr>
      </w:pPr>
      <w:r w:rsidRPr="00F446D6">
        <w:rPr>
          <w:b/>
          <w:color w:val="000000"/>
        </w:rPr>
        <w:t xml:space="preserve">Уровень убедительности рекомендаций </w:t>
      </w:r>
      <w:r w:rsidR="003D0ADB" w:rsidRPr="00F446D6">
        <w:rPr>
          <w:b/>
          <w:color w:val="000000"/>
        </w:rPr>
        <w:t xml:space="preserve">– </w:t>
      </w:r>
      <w:r w:rsidR="006C169E" w:rsidRPr="00F446D6">
        <w:rPr>
          <w:b/>
          <w:color w:val="000000"/>
        </w:rPr>
        <w:t xml:space="preserve">С </w:t>
      </w:r>
      <w:r w:rsidRPr="00F446D6">
        <w:rPr>
          <w:b/>
          <w:color w:val="000000"/>
        </w:rPr>
        <w:t>(уровень д</w:t>
      </w:r>
      <w:r w:rsidR="003D1E78" w:rsidRPr="00F446D6">
        <w:rPr>
          <w:b/>
          <w:color w:val="000000"/>
        </w:rPr>
        <w:t xml:space="preserve">остоверности доказательств – </w:t>
      </w:r>
      <w:r w:rsidR="001A5A50">
        <w:rPr>
          <w:b/>
          <w:color w:val="000000"/>
        </w:rPr>
        <w:t>5</w:t>
      </w:r>
      <w:r w:rsidR="003D1E78" w:rsidRPr="00F446D6">
        <w:rPr>
          <w:b/>
          <w:color w:val="000000"/>
        </w:rPr>
        <w:t>)</w:t>
      </w:r>
      <w:r w:rsidR="003D0ADB" w:rsidRPr="00F446D6">
        <w:rPr>
          <w:b/>
          <w:color w:val="000000"/>
        </w:rPr>
        <w:t>.</w:t>
      </w:r>
    </w:p>
    <w:p w14:paraId="1BF31E6E" w14:textId="77777777" w:rsidR="00254823" w:rsidRPr="00C909BD" w:rsidRDefault="00254823" w:rsidP="003D1E78">
      <w:pPr>
        <w:shd w:val="clear" w:color="auto" w:fill="FFFFFF"/>
        <w:tabs>
          <w:tab w:val="left" w:pos="230"/>
        </w:tabs>
        <w:ind w:firstLine="709"/>
        <w:contextualSpacing/>
        <w:rPr>
          <w:b/>
          <w:i/>
          <w:color w:val="000000"/>
          <w:szCs w:val="27"/>
        </w:rPr>
      </w:pPr>
      <w:r w:rsidRPr="00AD7F64">
        <w:rPr>
          <w:b/>
          <w:color w:val="000000"/>
          <w:szCs w:val="22"/>
        </w:rPr>
        <w:t>Комментарии:</w:t>
      </w:r>
      <w:r w:rsidRPr="00AD7F64">
        <w:rPr>
          <w:b/>
          <w:color w:val="000000"/>
          <w:szCs w:val="27"/>
        </w:rPr>
        <w:t xml:space="preserve"> </w:t>
      </w:r>
      <w:r w:rsidRPr="00AD7F64">
        <w:rPr>
          <w:i/>
        </w:rPr>
        <w:t>выбор способа родоразрешения определяется состоянием плода,</w:t>
      </w:r>
      <w:r>
        <w:rPr>
          <w:i/>
        </w:rPr>
        <w:t xml:space="preserve"> соматическим статусом пациентки, гематологическими показателями и строго в соответс</w:t>
      </w:r>
      <w:r w:rsidR="00610359">
        <w:rPr>
          <w:i/>
        </w:rPr>
        <w:t>твии с акушерскими показаниями.</w:t>
      </w:r>
      <w:r>
        <w:rPr>
          <w:i/>
        </w:rPr>
        <w:t xml:space="preserve"> Самопроизвольные роды могут быть выбраны как способ родоразрешения только при наличии у </w:t>
      </w:r>
      <w:r w:rsidR="003D1E78">
        <w:rPr>
          <w:i/>
        </w:rPr>
        <w:t>пациентов</w:t>
      </w:r>
      <w:r>
        <w:rPr>
          <w:i/>
        </w:rPr>
        <w:t xml:space="preserve"> ремиссии ОЛЛ</w:t>
      </w:r>
      <w:r w:rsidR="00DE6F05">
        <w:rPr>
          <w:i/>
        </w:rPr>
        <w:t>,</w:t>
      </w:r>
      <w:r w:rsidR="00950F44">
        <w:rPr>
          <w:i/>
        </w:rPr>
        <w:t xml:space="preserve"> </w:t>
      </w:r>
      <w:r>
        <w:rPr>
          <w:i/>
        </w:rPr>
        <w:t xml:space="preserve">удовлетворительных показателей гемограммы и </w:t>
      </w:r>
      <w:r w:rsidR="007D2DB8">
        <w:rPr>
          <w:i/>
        </w:rPr>
        <w:t xml:space="preserve">при </w:t>
      </w:r>
      <w:r w:rsidR="003D1E78">
        <w:rPr>
          <w:i/>
        </w:rPr>
        <w:t>хорошем соматическом статусе пациента</w:t>
      </w:r>
      <w:r>
        <w:rPr>
          <w:i/>
        </w:rPr>
        <w:t xml:space="preserve"> и состоянии плода. В остальных ситуациях предпочтительно выполнять родоразрешение методом кесарева сечения</w:t>
      </w:r>
      <w:r>
        <w:rPr>
          <w:i/>
          <w:color w:val="FF0000"/>
        </w:rPr>
        <w:t>.</w:t>
      </w:r>
    </w:p>
    <w:p w14:paraId="58E31463" w14:textId="1DA4C0D3" w:rsidR="00254823" w:rsidRDefault="00254823" w:rsidP="00956D03">
      <w:pPr>
        <w:numPr>
          <w:ilvl w:val="0"/>
          <w:numId w:val="6"/>
        </w:numPr>
        <w:shd w:val="clear" w:color="auto" w:fill="FFFFFF"/>
        <w:tabs>
          <w:tab w:val="left" w:pos="230"/>
        </w:tabs>
      </w:pPr>
      <w:r>
        <w:rPr>
          <w:b/>
        </w:rPr>
        <w:t>Не рекомендуется</w:t>
      </w:r>
      <w:r>
        <w:t xml:space="preserve"> выполнять эпидуральную анестезию при тромбоцитопении &lt;80</w:t>
      </w:r>
      <w:r w:rsidR="00595CCF">
        <w:rPr>
          <w:lang w:val="en-US"/>
        </w:rPr>
        <w:t> </w:t>
      </w:r>
      <w:r w:rsidR="00610359" w:rsidRPr="00610359">
        <w:t>×</w:t>
      </w:r>
      <w:r w:rsidR="00595CCF">
        <w:rPr>
          <w:lang w:val="en-US"/>
        </w:rPr>
        <w:t> </w:t>
      </w:r>
      <w:r>
        <w:t>10</w:t>
      </w:r>
      <w:r>
        <w:rPr>
          <w:vertAlign w:val="superscript"/>
        </w:rPr>
        <w:t>9</w:t>
      </w:r>
      <w:r>
        <w:t>/л и/или нейтропени</w:t>
      </w:r>
      <w:r w:rsidR="00DE6F05">
        <w:t>и</w:t>
      </w:r>
      <w:r>
        <w:t xml:space="preserve"> &lt;1</w:t>
      </w:r>
      <w:r w:rsidR="00595CCF">
        <w:rPr>
          <w:lang w:val="en-US"/>
        </w:rPr>
        <w:t> </w:t>
      </w:r>
      <w:r w:rsidR="00610359" w:rsidRPr="00610359">
        <w:t>×</w:t>
      </w:r>
      <w:r w:rsidR="00595CCF">
        <w:rPr>
          <w:lang w:val="en-US"/>
        </w:rPr>
        <w:t> </w:t>
      </w:r>
      <w:r>
        <w:t>10</w:t>
      </w:r>
      <w:r>
        <w:rPr>
          <w:vertAlign w:val="superscript"/>
        </w:rPr>
        <w:t>9</w:t>
      </w:r>
      <w:r>
        <w:t>/л</w:t>
      </w:r>
      <w:r>
        <w:rPr>
          <w:color w:val="FF0000"/>
        </w:rPr>
        <w:t xml:space="preserve"> </w:t>
      </w:r>
      <w:r w:rsidRPr="00C73363">
        <w:rPr>
          <w:color w:val="000000"/>
        </w:rPr>
        <w:t>при родоразрешении</w:t>
      </w:r>
      <w:r>
        <w:rPr>
          <w:color w:val="000000"/>
        </w:rPr>
        <w:t xml:space="preserve"> во изб</w:t>
      </w:r>
      <w:r w:rsidR="00E92B1B">
        <w:rPr>
          <w:color w:val="000000"/>
        </w:rPr>
        <w:t>ежание</w:t>
      </w:r>
      <w:r>
        <w:rPr>
          <w:color w:val="000000"/>
        </w:rPr>
        <w:t xml:space="preserve"> </w:t>
      </w:r>
      <w:r w:rsidR="003D1E78">
        <w:rPr>
          <w:color w:val="000000"/>
        </w:rPr>
        <w:t>осложнений,</w:t>
      </w:r>
      <w:r>
        <w:rPr>
          <w:color w:val="000000"/>
        </w:rPr>
        <w:t xml:space="preserve"> связанных с</w:t>
      </w:r>
      <w:r w:rsidR="004664C2">
        <w:rPr>
          <w:color w:val="000000"/>
        </w:rPr>
        <w:t>о спинномозговой</w:t>
      </w:r>
      <w:r>
        <w:rPr>
          <w:color w:val="000000"/>
        </w:rPr>
        <w:t xml:space="preserve"> пункцией</w:t>
      </w:r>
      <w:r w:rsidR="006C4C50">
        <w:rPr>
          <w:color w:val="000000"/>
        </w:rPr>
        <w:t xml:space="preserve"> </w:t>
      </w:r>
      <w:r w:rsidR="006C4C50">
        <w:rPr>
          <w:i/>
        </w:rPr>
        <w:fldChar w:fldCharType="begin" w:fldLock="1"/>
      </w:r>
      <w:r w:rsidR="002466C9">
        <w:rPr>
          <w:i/>
        </w:rPr>
        <w:instrText>ADDIN CSL_CITATION {"citationItems":[{"id":"ITEM-1","itemData":{"DOI":"10.1111/j.1365-2141.2009.07899.x","ISSN":"00071048","abstract":"Neuraxial anaesthesia is increasingly performed in thrombocytopenic patients at the time of delivery of pregnancy. There is a lack of data regarding the optimum platelet count at which spinal procedures can be safely performed. Reports are often confounded by the presence of other risk factors for spinal haematomata, such as anticoagulants, antiplatelet agents and other acquired or congenital coagulopathies/platelet function defects or rapidly falling platelet counts. In the absence of these additional risk factors, a platelet count of 80 × 109/l is a 'safe' count for placing an epidural or spinal anaesthetic and 40 × 109/l is a 'safe' count for lumbar puncture. It is likely that lower platelet counts may also be safe but there is insufficient published evidence to make recommendations for lower levels at this stage. For patients with platelet counts of 50-80 × 109/l requiring epidural or spinal anaesthesia and patients with a platelet count 20-40 × 109/l requiring a lumbar puncture, an individual decision based on assessment of risks and benefits should be made. © 2009 Blackwell Publishing Ltd.","author":[{"dropping-particle":"","family":"Veen","given":"Joost J.","non-dropping-particle":"Van","parse-names":false,"suffix":""},{"dropping-particle":"","family":"Nokes","given":"Timothy J.","non-dropping-particle":"","parse-names":false,"suffix":""},{"dropping-particle":"","family":"Makris","given":"Mike","non-dropping-particle":"","parse-names":false,"suffix":""}],"container-title":"British Journal of Haematology","id":"ITEM-1","issue":"1","issued":{"date-parts":[["2010","1","1"]]},"page":"15-25","publisher":"John Wiley &amp; Sons, Ltd","title":"The risk of spinal haematoma following neuraxial anaesthesia or lumbar puncture in thrombocytopenic individuals","type":"article","volume":"148"},"uris":["http://www.mendeley.com/documents/?uuid=9a5d3e79-e0cd-3e00-9ae8-716aa8f0bd5c"]}],"mendeley":{"formattedCitation":"[91]","plainTextFormattedCitation":"[91]","previouslyFormattedCitation":"[91]"},"properties":{"noteIndex":0},"schema":"https://github.com/citation-style-language/schema/raw/master/csl-citation.json"}</w:instrText>
      </w:r>
      <w:r w:rsidR="006C4C50">
        <w:rPr>
          <w:i/>
        </w:rPr>
        <w:fldChar w:fldCharType="separate"/>
      </w:r>
      <w:r w:rsidR="00A66456" w:rsidRPr="00A66456">
        <w:rPr>
          <w:noProof/>
        </w:rPr>
        <w:t>[91]</w:t>
      </w:r>
      <w:r w:rsidR="006C4C50">
        <w:rPr>
          <w:i/>
        </w:rPr>
        <w:fldChar w:fldCharType="end"/>
      </w:r>
      <w:r w:rsidR="006C4C50">
        <w:rPr>
          <w:i/>
        </w:rPr>
        <w:t>.</w:t>
      </w:r>
      <w:r w:rsidR="006C4C50" w:rsidRPr="00764437" w:rsidDel="006C4C50">
        <w:t xml:space="preserve"> </w:t>
      </w:r>
    </w:p>
    <w:p w14:paraId="1A91FD2C" w14:textId="77777777" w:rsidR="00254823" w:rsidRPr="00C909BD" w:rsidRDefault="00254823" w:rsidP="003D1E78">
      <w:pPr>
        <w:shd w:val="clear" w:color="auto" w:fill="FFFFFF"/>
        <w:tabs>
          <w:tab w:val="left" w:pos="230"/>
        </w:tabs>
        <w:ind w:firstLine="709"/>
        <w:contextualSpacing/>
        <w:rPr>
          <w:b/>
          <w:color w:val="000000"/>
          <w:szCs w:val="27"/>
        </w:rPr>
      </w:pPr>
      <w:r w:rsidRPr="001D2A2A">
        <w:rPr>
          <w:b/>
          <w:color w:val="000000"/>
        </w:rPr>
        <w:t xml:space="preserve">Уровень убедительности рекомендаций </w:t>
      </w:r>
      <w:r w:rsidR="00610359" w:rsidRPr="001D2A2A">
        <w:rPr>
          <w:b/>
          <w:color w:val="000000"/>
        </w:rPr>
        <w:t xml:space="preserve">– </w:t>
      </w:r>
      <w:r w:rsidR="004664C2" w:rsidRPr="001D2A2A">
        <w:rPr>
          <w:b/>
          <w:color w:val="000000"/>
        </w:rPr>
        <w:t>С</w:t>
      </w:r>
      <w:r w:rsidRPr="001D2A2A">
        <w:rPr>
          <w:b/>
          <w:color w:val="000000"/>
        </w:rPr>
        <w:t xml:space="preserve"> (уровень д</w:t>
      </w:r>
      <w:r w:rsidR="003D1E78" w:rsidRPr="001D2A2A">
        <w:rPr>
          <w:b/>
          <w:color w:val="000000"/>
        </w:rPr>
        <w:t xml:space="preserve">остоверности доказательств – </w:t>
      </w:r>
      <w:r w:rsidR="006C169E" w:rsidRPr="001D2A2A">
        <w:rPr>
          <w:b/>
          <w:color w:val="000000"/>
        </w:rPr>
        <w:t>4</w:t>
      </w:r>
      <w:r w:rsidR="003D1E78" w:rsidRPr="001D2A2A">
        <w:rPr>
          <w:b/>
          <w:color w:val="000000"/>
        </w:rPr>
        <w:t>)</w:t>
      </w:r>
      <w:r w:rsidR="00610359" w:rsidRPr="001D2A2A">
        <w:rPr>
          <w:b/>
          <w:color w:val="000000"/>
        </w:rPr>
        <w:t>.</w:t>
      </w:r>
    </w:p>
    <w:p w14:paraId="6DAA4757" w14:textId="77475157" w:rsidR="00254823" w:rsidRDefault="00254823" w:rsidP="00956D03">
      <w:pPr>
        <w:numPr>
          <w:ilvl w:val="0"/>
          <w:numId w:val="6"/>
        </w:numPr>
        <w:shd w:val="clear" w:color="auto" w:fill="FFFFFF"/>
        <w:tabs>
          <w:tab w:val="left" w:pos="230"/>
        </w:tabs>
      </w:pPr>
      <w:r>
        <w:rPr>
          <w:b/>
        </w:rPr>
        <w:lastRenderedPageBreak/>
        <w:t xml:space="preserve">Рекомендуется </w:t>
      </w:r>
      <w:r w:rsidRPr="009E450E">
        <w:t>пациенткам</w:t>
      </w:r>
      <w:r>
        <w:t xml:space="preserve"> при плановом преждевреме</w:t>
      </w:r>
      <w:r w:rsidR="00610359">
        <w:t>нном родоразрешении на сроке 24–</w:t>
      </w:r>
      <w:r>
        <w:t xml:space="preserve">35 недель проводить профилактику </w:t>
      </w:r>
      <w:r w:rsidR="004026F8">
        <w:t xml:space="preserve">острого респираторнрого </w:t>
      </w:r>
      <w:r w:rsidR="004026F8">
        <w:rPr>
          <w:szCs w:val="24"/>
        </w:rPr>
        <w:t>дистресс-</w:t>
      </w:r>
      <w:r w:rsidR="004026F8" w:rsidRPr="00E13058">
        <w:rPr>
          <w:szCs w:val="24"/>
        </w:rPr>
        <w:t>синдром</w:t>
      </w:r>
      <w:r w:rsidR="004026F8">
        <w:rPr>
          <w:szCs w:val="24"/>
        </w:rPr>
        <w:t>а</w:t>
      </w:r>
      <w:r w:rsidR="004026F8">
        <w:t xml:space="preserve"> (</w:t>
      </w:r>
      <w:r w:rsidR="00F03AB4">
        <w:t>ОРДС</w:t>
      </w:r>
      <w:r w:rsidR="004026F8">
        <w:t>)</w:t>
      </w:r>
      <w:r w:rsidR="007D2DB8">
        <w:t xml:space="preserve"> </w:t>
      </w:r>
      <w:r w:rsidR="00E92B1B" w:rsidRPr="001A5A50">
        <w:t>плода</w:t>
      </w:r>
      <w:r w:rsidR="001A5A50">
        <w:t xml:space="preserve"> в соответствии с профильными рекомендациями </w:t>
      </w:r>
      <w:r w:rsidR="00305195">
        <w:fldChar w:fldCharType="begin" w:fldLock="1"/>
      </w:r>
      <w:r w:rsidR="002466C9">
        <w:instrText>ADDIN CSL_CITATION {"citationItems":[{"id":"ITEM-1","itemData":{"id":"ITEM-1","issued":{"date-parts":[["2013"]]},"page":"20","title":"Преждевременные роды. Клинические рекомендации (протокол лечения).","type":"article"},"uris":["http://www.mendeley.com/documents/?uuid=49709aa7-b732-4cdd-9f47-e3fb9b5dca48"]}],"mendeley":{"formattedCitation":"[92]","plainTextFormattedCitation":"[92]","previouslyFormattedCitation":"[92]"},"properties":{"noteIndex":0},"schema":"https://github.com/citation-style-language/schema/raw/master/csl-citation.json"}</w:instrText>
      </w:r>
      <w:r w:rsidR="00305195">
        <w:fldChar w:fldCharType="separate"/>
      </w:r>
      <w:r w:rsidR="00A66456" w:rsidRPr="00A66456">
        <w:rPr>
          <w:noProof/>
        </w:rPr>
        <w:t>[92]</w:t>
      </w:r>
      <w:r w:rsidR="00305195">
        <w:fldChar w:fldCharType="end"/>
      </w:r>
      <w:r w:rsidR="00E92B1B">
        <w:t xml:space="preserve"> </w:t>
      </w:r>
    </w:p>
    <w:p w14:paraId="387FC3F3" w14:textId="77777777" w:rsidR="00254823" w:rsidRPr="00C909BD" w:rsidRDefault="00254823" w:rsidP="003D1E78">
      <w:pPr>
        <w:shd w:val="clear" w:color="auto" w:fill="FFFFFF"/>
        <w:tabs>
          <w:tab w:val="left" w:pos="230"/>
        </w:tabs>
        <w:ind w:firstLine="709"/>
        <w:contextualSpacing/>
        <w:rPr>
          <w:b/>
          <w:color w:val="000000"/>
          <w:szCs w:val="27"/>
        </w:rPr>
      </w:pPr>
      <w:r w:rsidRPr="001D2A2A">
        <w:rPr>
          <w:b/>
          <w:color w:val="000000"/>
        </w:rPr>
        <w:t xml:space="preserve">Уровень убедительности рекомендаций </w:t>
      </w:r>
      <w:r w:rsidR="00E92B1B" w:rsidRPr="001D2A2A">
        <w:rPr>
          <w:b/>
          <w:color w:val="000000"/>
        </w:rPr>
        <w:t xml:space="preserve">– </w:t>
      </w:r>
      <w:r w:rsidR="004664C2" w:rsidRPr="001D2A2A">
        <w:rPr>
          <w:b/>
          <w:color w:val="000000"/>
        </w:rPr>
        <w:t>С</w:t>
      </w:r>
      <w:r w:rsidRPr="001D2A2A">
        <w:rPr>
          <w:b/>
          <w:color w:val="000000"/>
        </w:rPr>
        <w:t xml:space="preserve"> (уровень д</w:t>
      </w:r>
      <w:r w:rsidR="003D1E78" w:rsidRPr="001D2A2A">
        <w:rPr>
          <w:b/>
          <w:color w:val="000000"/>
        </w:rPr>
        <w:t xml:space="preserve">остоверности доказательств – </w:t>
      </w:r>
      <w:r w:rsidR="004664C2" w:rsidRPr="001D2A2A">
        <w:rPr>
          <w:b/>
          <w:color w:val="000000"/>
        </w:rPr>
        <w:t>5</w:t>
      </w:r>
      <w:r w:rsidR="003D1E78" w:rsidRPr="001D2A2A">
        <w:rPr>
          <w:b/>
          <w:color w:val="000000"/>
        </w:rPr>
        <w:t>)</w:t>
      </w:r>
      <w:r w:rsidR="00E92B1B" w:rsidRPr="001D2A2A">
        <w:rPr>
          <w:b/>
          <w:color w:val="000000"/>
        </w:rPr>
        <w:t>.</w:t>
      </w:r>
    </w:p>
    <w:p w14:paraId="188D181F" w14:textId="1F70573F" w:rsidR="00254823" w:rsidRDefault="00254823" w:rsidP="00956D03">
      <w:pPr>
        <w:numPr>
          <w:ilvl w:val="0"/>
          <w:numId w:val="6"/>
        </w:numPr>
        <w:shd w:val="clear" w:color="auto" w:fill="FFFFFF"/>
        <w:tabs>
          <w:tab w:val="left" w:pos="230"/>
        </w:tabs>
      </w:pPr>
      <w:r>
        <w:rPr>
          <w:b/>
        </w:rPr>
        <w:t xml:space="preserve">Рекомендуется </w:t>
      </w:r>
      <w:r w:rsidRPr="009E450E">
        <w:t>пациенткам</w:t>
      </w:r>
      <w:r>
        <w:t xml:space="preserve"> в послеродовом пе</w:t>
      </w:r>
      <w:r w:rsidR="00E92B1B">
        <w:t>риоде проведение утеротонической</w:t>
      </w:r>
      <w:r>
        <w:t xml:space="preserve"> терапии (окситоцином**) и медикаментозное подавление лактации</w:t>
      </w:r>
      <w:r w:rsidR="006C4C50">
        <w:t xml:space="preserve"> </w:t>
      </w:r>
      <w:r w:rsidR="00826C33">
        <w:fldChar w:fldCharType="begin" w:fldLock="1"/>
      </w:r>
      <w:r w:rsidR="002466C9">
        <w:instrText>ADDIN CSL_CITATION {"citationItems":[{"id":"ITEM-1","itemData":{"author":[{"dropping-particle":"","family":"Троицкая","given":"В.В.","non-dropping-particle":"","parse-names":false,"suffix":""},{"dropping-particle":"","family":"Паровичникова","given":"Е.Н.","non-dropping-particle":"","parse-names":false,"suffix":""},{"dropping-particle":"","family":"Соколов","given":"А.Н.","non-dropping-particle":"","parse-names":false,"suffix":""},{"dropping-particle":"","family":"Кохно","given":"А.В.","non-dropping-particle":"","parse-names":false,"suffix":""},{"dropping-particle":"","family":"Галстян","given":"Г.М.","non-dropping-particle":"","parse-names":false,"suffix":""},{"dropping-particle":"","family":"Гаврилина","given":"О.А.","non-dropping-particle":"","parse-names":false,"suffix":""},{"dropping-particle":"","family":"Фидарова","given":"З.Т.","non-dropping-particle":"","parse-names":false,"suffix":""},{"dropping-particle":"","family":"Лукьянова","given":"И.А.","non-dropping-particle":"","parse-names":false,"suffix":""},{"dropping-particle":"","family":"Махиня","given":"С.А.","non-dropping-particle":"","parse-names":false,"suffix":""},{"dropping-particle":"","family":"Латышкевич","given":"О.А.","non-dropping-particle":"","parse-names":false,"suffix":""},{"dropping-particle":"","family":"Оленев","given":"А.С.","non-dropping-particle":"","parse-names":false,"suffix":""},{"dropping-particle":"","family":"Кузьмина","given":"Л.А.","non-dropping-particle":"","parse-names":false,"suffix":""},{"dropping-particle":"","family":"Клясова","given":"Г.А.","non-dropping-particle":"","parse-names":false,"suffix":""},{"dropping-particle":"","family":"Капорская","given":"Т.С.","non-dropping-particle":"","parse-names":false,"suffix":""},{"dropping-particle":"","family":"Лапин","given":"В.А.","non-dropping-particle":"","parse-names":false,"suffix":""},{"dropping-particle":"","family":"Сердюк","given":"О.Д.","non-dropping-particle":"","parse-names":false,"suffix":""},{"dropping-particle":"","family":"Чабаева","given":"Ю.А.","non-dropping-particle":"","parse-names":false,"suffix":""},{"dropping-particle":"","family":"Куликов","given":"С.М.","non-dropping-particle":"","parse-names":false,"suffix":""},{"dropping-particle":"","family":"Савченко","given":"В.Г.","non-dropping-particle":"","parse-names":false,"suffix":""}],"container-title":"Гематология и трансфузиология","id":"ITEM-1","issue":"3","issued":{"date-parts":[["2018"]]},"page":"209-230","title":"Лечение острых лимфобластных лейкозов у беременных по протоколу ОЛЛ-2009","type":"article-journal","volume":"63"},"uris":["http://www.mendeley.com/documents/?uuid=325bbae0-d207-4564-bce2-b481dab9070c"]}],"mendeley":{"formattedCitation":"[86]","plainTextFormattedCitation":"[86]","previouslyFormattedCitation":"[86]"},"properties":{"noteIndex":0},"schema":"https://github.com/citation-style-language/schema/raw/master/csl-citation.json"}</w:instrText>
      </w:r>
      <w:r w:rsidR="00826C33">
        <w:fldChar w:fldCharType="separate"/>
      </w:r>
      <w:r w:rsidR="00A66456" w:rsidRPr="00A66456">
        <w:rPr>
          <w:noProof/>
        </w:rPr>
        <w:t>[86]</w:t>
      </w:r>
      <w:r w:rsidR="00826C33">
        <w:fldChar w:fldCharType="end"/>
      </w:r>
    </w:p>
    <w:p w14:paraId="2D35AD00" w14:textId="439DC905" w:rsidR="00C76CE3" w:rsidRPr="00EC7111" w:rsidRDefault="00254823" w:rsidP="00EC7111">
      <w:pPr>
        <w:shd w:val="clear" w:color="auto" w:fill="FFFFFF"/>
        <w:tabs>
          <w:tab w:val="left" w:pos="230"/>
        </w:tabs>
        <w:ind w:firstLine="709"/>
        <w:contextualSpacing/>
        <w:rPr>
          <w:b/>
          <w:color w:val="000000"/>
          <w:szCs w:val="27"/>
        </w:rPr>
      </w:pPr>
      <w:r w:rsidRPr="001D2A2A">
        <w:rPr>
          <w:b/>
          <w:color w:val="000000"/>
        </w:rPr>
        <w:t xml:space="preserve">Уровень убедительности рекомендаций </w:t>
      </w:r>
      <w:r w:rsidR="00E92B1B" w:rsidRPr="001D2A2A">
        <w:rPr>
          <w:b/>
          <w:color w:val="000000"/>
        </w:rPr>
        <w:t xml:space="preserve">– </w:t>
      </w:r>
      <w:r w:rsidR="00206420" w:rsidRPr="001D2A2A">
        <w:rPr>
          <w:b/>
          <w:color w:val="000000"/>
        </w:rPr>
        <w:t>С</w:t>
      </w:r>
      <w:r w:rsidRPr="001D2A2A">
        <w:rPr>
          <w:b/>
          <w:color w:val="000000"/>
        </w:rPr>
        <w:t xml:space="preserve"> (уровень достоверно</w:t>
      </w:r>
      <w:r w:rsidR="003D1E78" w:rsidRPr="001D2A2A">
        <w:rPr>
          <w:b/>
          <w:color w:val="000000"/>
        </w:rPr>
        <w:t xml:space="preserve">сти доказательств – </w:t>
      </w:r>
      <w:r w:rsidR="00206420" w:rsidRPr="001D2A2A">
        <w:rPr>
          <w:b/>
          <w:color w:val="000000"/>
        </w:rPr>
        <w:t>5</w:t>
      </w:r>
      <w:r w:rsidR="003D1E78" w:rsidRPr="001D2A2A">
        <w:rPr>
          <w:b/>
          <w:color w:val="000000"/>
        </w:rPr>
        <w:t>)</w:t>
      </w:r>
      <w:r w:rsidR="00E92B1B" w:rsidRPr="001D2A2A">
        <w:rPr>
          <w:b/>
          <w:color w:val="000000"/>
        </w:rPr>
        <w:t>.</w:t>
      </w:r>
      <w:bookmarkStart w:id="132" w:name="_Toc13484817"/>
      <w:bookmarkStart w:id="133" w:name="_Toc26796715"/>
      <w:bookmarkStart w:id="134" w:name="_Toc64467931"/>
    </w:p>
    <w:p w14:paraId="44E6DE92" w14:textId="46100C41" w:rsidR="00254823" w:rsidRPr="00B50EF2" w:rsidRDefault="00B50EF2" w:rsidP="004905C2">
      <w:pPr>
        <w:pStyle w:val="2"/>
      </w:pPr>
      <w:bookmarkStart w:id="135" w:name="_Toc13484818"/>
      <w:bookmarkStart w:id="136" w:name="_Toc26796716"/>
      <w:bookmarkStart w:id="137" w:name="_Toc64467932"/>
      <w:bookmarkStart w:id="138" w:name="_Toc64565645"/>
      <w:bookmarkEnd w:id="132"/>
      <w:bookmarkEnd w:id="133"/>
      <w:bookmarkEnd w:id="134"/>
      <w:r w:rsidRPr="00B50EF2">
        <w:t>3.</w:t>
      </w:r>
      <w:r w:rsidR="00C76CE3">
        <w:t>8</w:t>
      </w:r>
      <w:r w:rsidR="00D458F7">
        <w:t>.</w:t>
      </w:r>
      <w:r w:rsidRPr="00B50EF2">
        <w:t xml:space="preserve"> </w:t>
      </w:r>
      <w:r w:rsidR="00254823" w:rsidRPr="00B50EF2">
        <w:t>Лимфобластные лимфомы</w:t>
      </w:r>
      <w:bookmarkEnd w:id="135"/>
      <w:bookmarkEnd w:id="136"/>
      <w:bookmarkEnd w:id="137"/>
      <w:bookmarkEnd w:id="138"/>
    </w:p>
    <w:p w14:paraId="67F57256" w14:textId="77777777" w:rsidR="00595275" w:rsidRDefault="00254823" w:rsidP="00595275">
      <w:pPr>
        <w:shd w:val="clear" w:color="auto" w:fill="FFFFFF"/>
        <w:tabs>
          <w:tab w:val="left" w:pos="211"/>
        </w:tabs>
        <w:ind w:firstLine="567"/>
        <w:rPr>
          <w:i/>
        </w:rPr>
      </w:pPr>
      <w:r w:rsidRPr="00C17225">
        <w:rPr>
          <w:i/>
        </w:rPr>
        <w:t xml:space="preserve">Ранние публикации об использовании стандартных протоколов </w:t>
      </w:r>
      <w:r w:rsidR="000F53B8">
        <w:rPr>
          <w:i/>
        </w:rPr>
        <w:t>ХТ</w:t>
      </w:r>
      <w:r w:rsidRPr="00C17225">
        <w:rPr>
          <w:i/>
        </w:rPr>
        <w:t xml:space="preserve">, предназначенных для лечения </w:t>
      </w:r>
      <w:r w:rsidR="00163A76">
        <w:rPr>
          <w:i/>
        </w:rPr>
        <w:t>неходжкинских лимфом (</w:t>
      </w:r>
      <w:r w:rsidR="001F2537">
        <w:rPr>
          <w:i/>
        </w:rPr>
        <w:t xml:space="preserve">далее – </w:t>
      </w:r>
      <w:r w:rsidR="00163A76">
        <w:rPr>
          <w:i/>
        </w:rPr>
        <w:t>НХЛ)</w:t>
      </w:r>
      <w:r w:rsidRPr="00C17225">
        <w:rPr>
          <w:i/>
        </w:rPr>
        <w:t>, в частности CHOP подобных режимов, приводили к достижен</w:t>
      </w:r>
      <w:r w:rsidR="001F2537">
        <w:rPr>
          <w:i/>
        </w:rPr>
        <w:t>ию крайне низкой частоты ПР (53–</w:t>
      </w:r>
      <w:r w:rsidRPr="00C17225">
        <w:rPr>
          <w:i/>
        </w:rPr>
        <w:t>71</w:t>
      </w:r>
      <w:r w:rsidR="001F2537">
        <w:rPr>
          <w:i/>
        </w:rPr>
        <w:t xml:space="preserve"> </w:t>
      </w:r>
      <w:r w:rsidRPr="00C17225">
        <w:rPr>
          <w:i/>
        </w:rPr>
        <w:t xml:space="preserve">%) и выживаемости без признаков заболевания </w:t>
      </w:r>
      <w:r w:rsidR="00487D2C">
        <w:rPr>
          <w:i/>
        </w:rPr>
        <w:t>(23–</w:t>
      </w:r>
      <w:r w:rsidRPr="00C17225">
        <w:rPr>
          <w:i/>
        </w:rPr>
        <w:t>53</w:t>
      </w:r>
      <w:r w:rsidR="00487D2C">
        <w:rPr>
          <w:i/>
        </w:rPr>
        <w:t xml:space="preserve"> </w:t>
      </w:r>
      <w:r w:rsidRPr="00C17225">
        <w:rPr>
          <w:i/>
        </w:rPr>
        <w:t>%</w:t>
      </w:r>
      <w:r w:rsidR="00487D2C">
        <w:rPr>
          <w:i/>
        </w:rPr>
        <w:t>)</w:t>
      </w:r>
      <w:r w:rsidRPr="00C17225">
        <w:rPr>
          <w:i/>
        </w:rPr>
        <w:t>. С середины 70</w:t>
      </w:r>
      <w:r w:rsidR="00487D2C">
        <w:rPr>
          <w:i/>
        </w:rPr>
        <w:t>-х годов</w:t>
      </w:r>
      <w:r w:rsidRPr="00C17225">
        <w:rPr>
          <w:i/>
        </w:rPr>
        <w:t xml:space="preserve"> в лечении лимфобластных </w:t>
      </w:r>
      <w:r w:rsidR="00163A76">
        <w:rPr>
          <w:i/>
        </w:rPr>
        <w:t xml:space="preserve">НХЛ </w:t>
      </w:r>
      <w:r w:rsidRPr="00C17225">
        <w:rPr>
          <w:i/>
        </w:rPr>
        <w:t>у взрослых используют ОЛЛ-ориентированные программы ХТ</w:t>
      </w:r>
      <w:r>
        <w:rPr>
          <w:i/>
        </w:rPr>
        <w:t>.</w:t>
      </w:r>
    </w:p>
    <w:p w14:paraId="4E302B47" w14:textId="32D18309" w:rsidR="00254823" w:rsidRPr="00BE54B4" w:rsidRDefault="00254823" w:rsidP="00956D03">
      <w:pPr>
        <w:numPr>
          <w:ilvl w:val="0"/>
          <w:numId w:val="6"/>
        </w:numPr>
        <w:shd w:val="clear" w:color="auto" w:fill="FFFFFF"/>
        <w:tabs>
          <w:tab w:val="center" w:pos="709"/>
        </w:tabs>
        <w:contextualSpacing/>
      </w:pPr>
      <w:r w:rsidRPr="009B372C">
        <w:rPr>
          <w:b/>
        </w:rPr>
        <w:t>Рекомендуется</w:t>
      </w:r>
      <w:r>
        <w:t xml:space="preserve"> лечение ЛБЛ по следующим протоколам </w:t>
      </w:r>
      <w:r w:rsidR="00163A76">
        <w:t>ХТ</w:t>
      </w:r>
      <w:r w:rsidR="00D514C9">
        <w:t xml:space="preserve">: ОЛЛ-2009, </w:t>
      </w:r>
      <w:r w:rsidR="00162CD5" w:rsidRPr="00661456">
        <w:t>ОЛЛ-2016</w:t>
      </w:r>
      <w:r w:rsidR="00162CD5" w:rsidRPr="00162CD5">
        <w:rPr>
          <w:color w:val="FF0000"/>
        </w:rPr>
        <w:t xml:space="preserve">, </w:t>
      </w:r>
      <w:r w:rsidR="00D514C9">
        <w:t>Hyper-</w:t>
      </w:r>
      <w:r w:rsidRPr="00D514C9">
        <w:rPr>
          <w:lang w:val="en-US"/>
        </w:rPr>
        <w:t>CVAD</w:t>
      </w:r>
      <w:r w:rsidR="001632B0">
        <w:t xml:space="preserve"> </w:t>
      </w:r>
      <w:r w:rsidRPr="00D514C9">
        <w:t>±</w:t>
      </w:r>
      <w:r w:rsidR="001632B0">
        <w:t xml:space="preserve"> </w:t>
      </w:r>
      <w:r w:rsidRPr="00D514C9">
        <w:rPr>
          <w:lang w:val="en-US"/>
        </w:rPr>
        <w:t>R</w:t>
      </w:r>
      <w:r w:rsidRPr="00D514C9">
        <w:t xml:space="preserve">, </w:t>
      </w:r>
      <w:r w:rsidRPr="00D514C9">
        <w:rPr>
          <w:lang w:val="en-US"/>
        </w:rPr>
        <w:t>GRAALL</w:t>
      </w:r>
      <w:r w:rsidRPr="00D514C9">
        <w:t xml:space="preserve">-2003, </w:t>
      </w:r>
      <w:r w:rsidRPr="00D514C9">
        <w:rPr>
          <w:lang w:val="en-US"/>
        </w:rPr>
        <w:t>PETHEMA</w:t>
      </w:r>
      <w:r w:rsidRPr="00D514C9">
        <w:t xml:space="preserve"> </w:t>
      </w:r>
      <w:r w:rsidRPr="00D514C9">
        <w:rPr>
          <w:lang w:val="en-US"/>
        </w:rPr>
        <w:t>ALL</w:t>
      </w:r>
      <w:r w:rsidRPr="00D514C9">
        <w:t xml:space="preserve">-96, </w:t>
      </w:r>
      <w:r w:rsidRPr="00D514C9">
        <w:rPr>
          <w:lang w:val="en-US"/>
        </w:rPr>
        <w:t>GMALL</w:t>
      </w:r>
      <w:r w:rsidRPr="00D514C9">
        <w:t xml:space="preserve">-2003 (см. </w:t>
      </w:r>
      <w:r w:rsidR="003D7C48" w:rsidRPr="00E40FB8">
        <w:t>приложение</w:t>
      </w:r>
      <w:r w:rsidR="003D7C48" w:rsidRPr="00D514C9">
        <w:t xml:space="preserve"> </w:t>
      </w:r>
      <w:r w:rsidR="003D7C48">
        <w:t>А</w:t>
      </w:r>
      <w:r w:rsidR="003D7C48" w:rsidRPr="00D514C9">
        <w:t>3.</w:t>
      </w:r>
      <w:r w:rsidRPr="00D514C9">
        <w:t>1)</w:t>
      </w:r>
      <w:r w:rsidR="00BF7F2C">
        <w:t xml:space="preserve"> </w:t>
      </w:r>
      <w:r w:rsidR="00A27AD5">
        <w:fldChar w:fldCharType="begin" w:fldLock="1"/>
      </w:r>
      <w:r w:rsidR="002466C9">
        <w:rPr>
          <w:lang w:val="en-US"/>
        </w:rPr>
        <w:instrText>ADDIN</w:instrText>
      </w:r>
      <w:r w:rsidR="002466C9" w:rsidRPr="00B929AC">
        <w:instrText xml:space="preserve"> </w:instrText>
      </w:r>
      <w:r w:rsidR="002466C9">
        <w:rPr>
          <w:lang w:val="en-US"/>
        </w:rPr>
        <w:instrText>CSL</w:instrText>
      </w:r>
      <w:r w:rsidR="002466C9" w:rsidRPr="00B929AC">
        <w:instrText>_</w:instrText>
      </w:r>
      <w:r w:rsidR="002466C9">
        <w:rPr>
          <w:lang w:val="en-US"/>
        </w:rPr>
        <w:instrText>CITATION</w:instrText>
      </w:r>
      <w:r w:rsidR="002466C9" w:rsidRPr="00B929AC">
        <w:instrText xml:space="preserve"> {"</w:instrText>
      </w:r>
      <w:r w:rsidR="002466C9">
        <w:rPr>
          <w:lang w:val="en-US"/>
        </w:rPr>
        <w:instrText>citationItems</w:instrText>
      </w:r>
      <w:r w:rsidR="002466C9" w:rsidRPr="00B929AC">
        <w:instrText>":[{"</w:instrText>
      </w:r>
      <w:r w:rsidR="002466C9">
        <w:rPr>
          <w:lang w:val="en-US"/>
        </w:rPr>
        <w:instrText>id</w:instrText>
      </w:r>
      <w:r w:rsidR="002466C9" w:rsidRPr="00B929AC">
        <w:instrText>":"</w:instrText>
      </w:r>
      <w:r w:rsidR="002466C9">
        <w:rPr>
          <w:lang w:val="en-US"/>
        </w:rPr>
        <w:instrText>ITEM</w:instrText>
      </w:r>
      <w:r w:rsidR="002466C9" w:rsidRPr="00B929AC">
        <w:instrText>-1","</w:instrText>
      </w:r>
      <w:r w:rsidR="002466C9">
        <w:rPr>
          <w:lang w:val="en-US"/>
        </w:rPr>
        <w:instrText>itemData</w:instrText>
      </w:r>
      <w:r w:rsidR="002466C9" w:rsidRPr="00B929AC">
        <w:instrText>":{"</w:instrText>
      </w:r>
      <w:r w:rsidR="002466C9">
        <w:rPr>
          <w:lang w:val="en-US"/>
        </w:rPr>
        <w:instrText>DOI</w:instrText>
      </w:r>
      <w:r w:rsidR="002466C9" w:rsidRPr="00B929AC">
        <w:instrText>":"10.1111/</w:instrText>
      </w:r>
      <w:r w:rsidR="002466C9">
        <w:rPr>
          <w:lang w:val="en-US"/>
        </w:rPr>
        <w:instrText>ejh</w:instrText>
      </w:r>
      <w:r w:rsidR="002466C9" w:rsidRPr="00B929AC">
        <w:instrText>.12722","</w:instrText>
      </w:r>
      <w:r w:rsidR="002466C9">
        <w:rPr>
          <w:lang w:val="en-US"/>
        </w:rPr>
        <w:instrText>ISSN</w:instrText>
      </w:r>
      <w:r w:rsidR="002466C9" w:rsidRPr="00B929AC">
        <w:instrText>":"1600-0609","</w:instrText>
      </w:r>
      <w:r w:rsidR="002466C9">
        <w:rPr>
          <w:lang w:val="en-US"/>
        </w:rPr>
        <w:instrText>PMID</w:instrText>
      </w:r>
      <w:r w:rsidR="002466C9" w:rsidRPr="00B929AC">
        <w:instrText>":"26679753","</w:instrText>
      </w:r>
      <w:r w:rsidR="002466C9">
        <w:rPr>
          <w:lang w:val="en-US"/>
        </w:rPr>
        <w:instrText>abstract</w:instrText>
      </w:r>
      <w:r w:rsidR="002466C9" w:rsidRPr="00B929AC">
        <w:instrText>":"</w:instrText>
      </w:r>
      <w:r w:rsidR="002466C9">
        <w:rPr>
          <w:lang w:val="en-US"/>
        </w:rPr>
        <w:instrText>Lymphoblastic</w:instrText>
      </w:r>
      <w:r w:rsidR="002466C9" w:rsidRPr="00B929AC">
        <w:instrText xml:space="preserve"> </w:instrText>
      </w:r>
      <w:r w:rsidR="002466C9">
        <w:rPr>
          <w:lang w:val="en-US"/>
        </w:rPr>
        <w:instrText>lymphoma</w:instrText>
      </w:r>
      <w:r w:rsidR="002466C9" w:rsidRPr="00B929AC">
        <w:instrText xml:space="preserve"> </w:instrText>
      </w:r>
      <w:r w:rsidR="002466C9">
        <w:rPr>
          <w:lang w:val="en-US"/>
        </w:rPr>
        <w:instrText>is</w:instrText>
      </w:r>
      <w:r w:rsidR="002466C9" w:rsidRPr="00B929AC">
        <w:instrText xml:space="preserve"> </w:instrText>
      </w:r>
      <w:r w:rsidR="002466C9">
        <w:rPr>
          <w:lang w:val="en-US"/>
        </w:rPr>
        <w:instrText>a</w:instrText>
      </w:r>
      <w:r w:rsidR="002466C9" w:rsidRPr="00B929AC">
        <w:instrText xml:space="preserve"> </w:instrText>
      </w:r>
      <w:r w:rsidR="002466C9">
        <w:rPr>
          <w:lang w:val="en-US"/>
        </w:rPr>
        <w:instrText>rare</w:instrText>
      </w:r>
      <w:r w:rsidR="002466C9" w:rsidRPr="00B929AC">
        <w:instrText xml:space="preserve"> </w:instrText>
      </w:r>
      <w:r w:rsidR="002466C9">
        <w:rPr>
          <w:lang w:val="en-US"/>
        </w:rPr>
        <w:instrText>aggressive</w:instrText>
      </w:r>
      <w:r w:rsidR="002466C9" w:rsidRPr="00B929AC">
        <w:instrText xml:space="preserve"> </w:instrText>
      </w:r>
      <w:r w:rsidR="002466C9">
        <w:rPr>
          <w:lang w:val="en-US"/>
        </w:rPr>
        <w:instrText>neoplasm</w:instrText>
      </w:r>
      <w:r w:rsidR="002466C9" w:rsidRPr="00B929AC">
        <w:instrText xml:space="preserve"> </w:instrText>
      </w:r>
      <w:r w:rsidR="002466C9">
        <w:rPr>
          <w:lang w:val="en-US"/>
        </w:rPr>
        <w:instrText>of</w:instrText>
      </w:r>
      <w:r w:rsidR="002466C9" w:rsidRPr="00B929AC">
        <w:instrText xml:space="preserve"> </w:instrText>
      </w:r>
      <w:r w:rsidR="002466C9">
        <w:rPr>
          <w:lang w:val="en-US"/>
        </w:rPr>
        <w:instrText>T</w:instrText>
      </w:r>
      <w:r w:rsidR="002466C9" w:rsidRPr="00B929AC">
        <w:instrText>-/</w:instrText>
      </w:r>
      <w:r w:rsidR="002466C9">
        <w:rPr>
          <w:lang w:val="en-US"/>
        </w:rPr>
        <w:instrText>B</w:instrText>
      </w:r>
      <w:r w:rsidR="002466C9" w:rsidRPr="00B929AC">
        <w:instrText>-</w:instrText>
      </w:r>
      <w:r w:rsidR="002466C9">
        <w:rPr>
          <w:lang w:val="en-US"/>
        </w:rPr>
        <w:instrText>precursors</w:instrText>
      </w:r>
      <w:r w:rsidR="002466C9" w:rsidRPr="00B929AC">
        <w:instrText xml:space="preserve"> </w:instrText>
      </w:r>
      <w:r w:rsidR="002466C9">
        <w:rPr>
          <w:lang w:val="en-US"/>
        </w:rPr>
        <w:instrText>resembling</w:instrText>
      </w:r>
      <w:r w:rsidR="002466C9" w:rsidRPr="00B929AC">
        <w:instrText xml:space="preserve"> </w:instrText>
      </w:r>
      <w:r w:rsidR="002466C9">
        <w:rPr>
          <w:lang w:val="en-US"/>
        </w:rPr>
        <w:instrText>acute</w:instrText>
      </w:r>
      <w:r w:rsidR="002466C9" w:rsidRPr="00B929AC">
        <w:instrText xml:space="preserve"> </w:instrText>
      </w:r>
      <w:r w:rsidR="002466C9">
        <w:rPr>
          <w:lang w:val="en-US"/>
        </w:rPr>
        <w:instrText>lymphoblastic</w:instrText>
      </w:r>
      <w:r w:rsidR="002466C9" w:rsidRPr="00B929AC">
        <w:instrText xml:space="preserve"> </w:instrText>
      </w:r>
      <w:r w:rsidR="002466C9">
        <w:rPr>
          <w:lang w:val="en-US"/>
        </w:rPr>
        <w:instrText>leukemia</w:instrText>
      </w:r>
      <w:r w:rsidR="002466C9" w:rsidRPr="00B929AC">
        <w:instrText xml:space="preserve">, </w:instrText>
      </w:r>
      <w:r w:rsidR="002466C9">
        <w:rPr>
          <w:lang w:val="en-US"/>
        </w:rPr>
        <w:instrText>with</w:instrText>
      </w:r>
      <w:r w:rsidR="002466C9" w:rsidRPr="00B929AC">
        <w:instrText xml:space="preserve"> </w:instrText>
      </w:r>
      <w:r w:rsidR="002466C9">
        <w:rPr>
          <w:lang w:val="en-US"/>
        </w:rPr>
        <w:instrText>no</w:instrText>
      </w:r>
      <w:r w:rsidR="002466C9" w:rsidRPr="00B929AC">
        <w:instrText xml:space="preserve"> </w:instrText>
      </w:r>
      <w:r w:rsidR="002466C9">
        <w:rPr>
          <w:lang w:val="en-US"/>
        </w:rPr>
        <w:instrText>or</w:instrText>
      </w:r>
      <w:r w:rsidR="002466C9" w:rsidRPr="00B929AC">
        <w:instrText xml:space="preserve"> </w:instrText>
      </w:r>
      <w:r w:rsidR="002466C9">
        <w:rPr>
          <w:lang w:val="en-US"/>
        </w:rPr>
        <w:instrText>limited</w:instrText>
      </w:r>
      <w:r w:rsidR="002466C9" w:rsidRPr="00B929AC">
        <w:instrText xml:space="preserve"> </w:instrText>
      </w:r>
      <w:r w:rsidR="002466C9">
        <w:rPr>
          <w:lang w:val="en-US"/>
        </w:rPr>
        <w:instrText>bone</w:instrText>
      </w:r>
      <w:r w:rsidR="002466C9" w:rsidRPr="00B929AC">
        <w:instrText xml:space="preserve"> </w:instrText>
      </w:r>
      <w:r w:rsidR="002466C9">
        <w:rPr>
          <w:lang w:val="en-US"/>
        </w:rPr>
        <w:instrText>marrow</w:instrText>
      </w:r>
      <w:r w:rsidR="002466C9" w:rsidRPr="00B929AC">
        <w:instrText xml:space="preserve"> </w:instrText>
      </w:r>
      <w:r w:rsidR="002466C9">
        <w:rPr>
          <w:lang w:val="en-US"/>
        </w:rPr>
        <w:instrText>involvement</w:instrText>
      </w:r>
      <w:r w:rsidR="002466C9" w:rsidRPr="00B929AC">
        <w:instrText xml:space="preserve"> (&lt;25%), </w:instrText>
      </w:r>
      <w:r w:rsidR="002466C9">
        <w:rPr>
          <w:lang w:val="en-US"/>
        </w:rPr>
        <w:instrText>that</w:instrText>
      </w:r>
      <w:r w:rsidR="002466C9" w:rsidRPr="00B929AC">
        <w:instrText xml:space="preserve"> </w:instrText>
      </w:r>
      <w:r w:rsidR="002466C9">
        <w:rPr>
          <w:lang w:val="en-US"/>
        </w:rPr>
        <w:instrText>develops</w:instrText>
      </w:r>
      <w:r w:rsidR="002466C9" w:rsidRPr="00B929AC">
        <w:instrText xml:space="preserve"> </w:instrText>
      </w:r>
      <w:r w:rsidR="002466C9">
        <w:rPr>
          <w:lang w:val="en-US"/>
        </w:rPr>
        <w:instrText>more</w:instrText>
      </w:r>
      <w:r w:rsidR="002466C9" w:rsidRPr="00B929AC">
        <w:instrText xml:space="preserve"> </w:instrText>
      </w:r>
      <w:r w:rsidR="002466C9">
        <w:rPr>
          <w:lang w:val="en-US"/>
        </w:rPr>
        <w:instrText>frequently</w:instrText>
      </w:r>
      <w:r w:rsidR="002466C9" w:rsidRPr="00B929AC">
        <w:instrText xml:space="preserve"> </w:instrText>
      </w:r>
      <w:r w:rsidR="002466C9">
        <w:rPr>
          <w:lang w:val="en-US"/>
        </w:rPr>
        <w:instrText>in</w:instrText>
      </w:r>
      <w:r w:rsidR="002466C9" w:rsidRPr="00B929AC">
        <w:instrText xml:space="preserve"> </w:instrText>
      </w:r>
      <w:r w:rsidR="002466C9">
        <w:rPr>
          <w:lang w:val="en-US"/>
        </w:rPr>
        <w:instrText>children</w:instrText>
      </w:r>
      <w:r w:rsidR="002466C9" w:rsidRPr="00B929AC">
        <w:instrText xml:space="preserve"> </w:instrText>
      </w:r>
      <w:r w:rsidR="002466C9">
        <w:rPr>
          <w:lang w:val="en-US"/>
        </w:rPr>
        <w:instrText>and</w:instrText>
      </w:r>
      <w:r w:rsidR="002466C9" w:rsidRPr="00B929AC">
        <w:instrText xml:space="preserve"> </w:instrText>
      </w:r>
      <w:r w:rsidR="002466C9">
        <w:rPr>
          <w:lang w:val="en-US"/>
        </w:rPr>
        <w:instrText>young</w:instrText>
      </w:r>
      <w:r w:rsidR="002466C9" w:rsidRPr="00B929AC">
        <w:instrText xml:space="preserve"> </w:instrText>
      </w:r>
      <w:r w:rsidR="002466C9">
        <w:rPr>
          <w:lang w:val="en-US"/>
        </w:rPr>
        <w:instrText>adults</w:instrText>
      </w:r>
      <w:r w:rsidR="002466C9" w:rsidRPr="00B929AC">
        <w:instrText xml:space="preserve"> </w:instrText>
      </w:r>
      <w:r w:rsidR="002466C9">
        <w:rPr>
          <w:lang w:val="en-US"/>
        </w:rPr>
        <w:instrText>and</w:instrText>
      </w:r>
      <w:r w:rsidR="002466C9" w:rsidRPr="00B929AC">
        <w:instrText xml:space="preserve"> </w:instrText>
      </w:r>
      <w:r w:rsidR="002466C9">
        <w:rPr>
          <w:lang w:val="en-US"/>
        </w:rPr>
        <w:instrText>is</w:instrText>
      </w:r>
      <w:r w:rsidR="002466C9" w:rsidRPr="00B929AC">
        <w:instrText xml:space="preserve"> </w:instrText>
      </w:r>
      <w:r w:rsidR="002466C9">
        <w:rPr>
          <w:lang w:val="en-US"/>
        </w:rPr>
        <w:instrText>typically</w:instrText>
      </w:r>
      <w:r w:rsidR="002466C9" w:rsidRPr="00B929AC">
        <w:instrText xml:space="preserve"> </w:instrText>
      </w:r>
      <w:r w:rsidR="002466C9">
        <w:rPr>
          <w:lang w:val="en-US"/>
        </w:rPr>
        <w:instrText>characterized</w:instrText>
      </w:r>
      <w:r w:rsidR="002466C9" w:rsidRPr="00B929AC">
        <w:instrText xml:space="preserve"> </w:instrText>
      </w:r>
      <w:r w:rsidR="002466C9">
        <w:rPr>
          <w:lang w:val="en-US"/>
        </w:rPr>
        <w:instrText>by</w:instrText>
      </w:r>
      <w:r w:rsidR="002466C9" w:rsidRPr="00B929AC">
        <w:instrText xml:space="preserve"> </w:instrText>
      </w:r>
      <w:r w:rsidR="002466C9">
        <w:rPr>
          <w:lang w:val="en-US"/>
        </w:rPr>
        <w:instrText>a</w:instrText>
      </w:r>
      <w:r w:rsidR="002466C9" w:rsidRPr="00B929AC">
        <w:instrText xml:space="preserve"> </w:instrText>
      </w:r>
      <w:r w:rsidR="002466C9">
        <w:rPr>
          <w:lang w:val="en-US"/>
        </w:rPr>
        <w:instrText>grossly</w:instrText>
      </w:r>
      <w:r w:rsidR="002466C9" w:rsidRPr="00B929AC">
        <w:instrText xml:space="preserve"> </w:instrText>
      </w:r>
      <w:r w:rsidR="002466C9">
        <w:rPr>
          <w:lang w:val="en-US"/>
        </w:rPr>
        <w:instrText>enlarged</w:instrText>
      </w:r>
      <w:r w:rsidR="002466C9" w:rsidRPr="00B929AC">
        <w:instrText xml:space="preserve"> </w:instrText>
      </w:r>
      <w:r w:rsidR="002466C9">
        <w:rPr>
          <w:lang w:val="en-US"/>
        </w:rPr>
        <w:instrText>mediastinum</w:instrText>
      </w:r>
      <w:r w:rsidR="002466C9" w:rsidRPr="00B929AC">
        <w:instrText xml:space="preserve">, </w:instrText>
      </w:r>
      <w:r w:rsidR="002466C9">
        <w:rPr>
          <w:lang w:val="en-US"/>
        </w:rPr>
        <w:instrText>and</w:instrText>
      </w:r>
      <w:r w:rsidR="002466C9" w:rsidRPr="00B929AC">
        <w:instrText xml:space="preserve"> </w:instrText>
      </w:r>
      <w:r w:rsidR="002466C9">
        <w:rPr>
          <w:lang w:val="en-US"/>
        </w:rPr>
        <w:instrText>whose</w:instrText>
      </w:r>
      <w:r w:rsidR="002466C9" w:rsidRPr="00B929AC">
        <w:instrText xml:space="preserve"> </w:instrText>
      </w:r>
      <w:r w:rsidR="002466C9">
        <w:rPr>
          <w:lang w:val="en-US"/>
        </w:rPr>
        <w:instrText>diagnostic</w:instrText>
      </w:r>
      <w:r w:rsidR="002466C9" w:rsidRPr="00B929AC">
        <w:instrText xml:space="preserve"> </w:instrText>
      </w:r>
      <w:r w:rsidR="002466C9">
        <w:rPr>
          <w:lang w:val="en-US"/>
        </w:rPr>
        <w:instrText>hallmark</w:instrText>
      </w:r>
      <w:r w:rsidR="002466C9" w:rsidRPr="00B929AC">
        <w:instrText xml:space="preserve"> </w:instrText>
      </w:r>
      <w:r w:rsidR="002466C9">
        <w:rPr>
          <w:lang w:val="en-US"/>
        </w:rPr>
        <w:instrText>is</w:instrText>
      </w:r>
      <w:r w:rsidR="002466C9" w:rsidRPr="00B929AC">
        <w:instrText xml:space="preserve"> </w:instrText>
      </w:r>
      <w:r w:rsidR="002466C9">
        <w:rPr>
          <w:lang w:val="en-US"/>
        </w:rPr>
        <w:instrText>the</w:instrText>
      </w:r>
      <w:r w:rsidR="002466C9" w:rsidRPr="00B929AC">
        <w:instrText xml:space="preserve"> </w:instrText>
      </w:r>
      <w:r w:rsidR="002466C9">
        <w:rPr>
          <w:lang w:val="en-US"/>
        </w:rPr>
        <w:instrText>expression</w:instrText>
      </w:r>
      <w:r w:rsidR="002466C9" w:rsidRPr="00B929AC">
        <w:instrText xml:space="preserve"> </w:instrText>
      </w:r>
      <w:r w:rsidR="002466C9">
        <w:rPr>
          <w:lang w:val="en-US"/>
        </w:rPr>
        <w:instrText>of</w:instrText>
      </w:r>
      <w:r w:rsidR="002466C9" w:rsidRPr="00B929AC">
        <w:instrText xml:space="preserve"> </w:instrText>
      </w:r>
      <w:r w:rsidR="002466C9">
        <w:rPr>
          <w:lang w:val="en-US"/>
        </w:rPr>
        <w:instrText>a</w:instrText>
      </w:r>
      <w:r w:rsidR="002466C9" w:rsidRPr="00B929AC">
        <w:instrText xml:space="preserve"> </w:instrText>
      </w:r>
      <w:r w:rsidR="002466C9">
        <w:rPr>
          <w:lang w:val="en-US"/>
        </w:rPr>
        <w:instrText>T</w:instrText>
      </w:r>
      <w:r w:rsidR="002466C9" w:rsidRPr="00B929AC">
        <w:instrText>-/</w:instrText>
      </w:r>
      <w:r w:rsidR="002466C9">
        <w:rPr>
          <w:lang w:val="en-US"/>
        </w:rPr>
        <w:instrText>B</w:instrText>
      </w:r>
      <w:r w:rsidR="002466C9" w:rsidRPr="00B929AC">
        <w:instrText>-</w:instrText>
      </w:r>
      <w:r w:rsidR="002466C9">
        <w:rPr>
          <w:lang w:val="en-US"/>
        </w:rPr>
        <w:instrText>precursor</w:instrText>
      </w:r>
      <w:r w:rsidR="002466C9" w:rsidRPr="00B929AC">
        <w:instrText xml:space="preserve"> </w:instrText>
      </w:r>
      <w:r w:rsidR="002466C9">
        <w:rPr>
          <w:lang w:val="en-US"/>
        </w:rPr>
        <w:instrText>cell</w:instrText>
      </w:r>
      <w:r w:rsidR="002466C9" w:rsidRPr="00B929AC">
        <w:instrText xml:space="preserve"> </w:instrText>
      </w:r>
      <w:r w:rsidR="002466C9">
        <w:rPr>
          <w:lang w:val="en-US"/>
        </w:rPr>
        <w:instrText>immunophenotype</w:instrText>
      </w:r>
      <w:r w:rsidR="002466C9" w:rsidRPr="00B929AC">
        <w:instrText xml:space="preserve">, </w:instrText>
      </w:r>
      <w:r w:rsidR="002466C9">
        <w:rPr>
          <w:lang w:val="en-US"/>
        </w:rPr>
        <w:instrText>the</w:instrText>
      </w:r>
      <w:r w:rsidR="002466C9" w:rsidRPr="00B929AC">
        <w:instrText xml:space="preserve"> </w:instrText>
      </w:r>
      <w:r w:rsidR="002466C9">
        <w:rPr>
          <w:lang w:val="en-US"/>
        </w:rPr>
        <w:instrText>T</w:instrText>
      </w:r>
      <w:r w:rsidR="002466C9" w:rsidRPr="00B929AC">
        <w:instrText>-</w:instrText>
      </w:r>
      <w:r w:rsidR="002466C9">
        <w:rPr>
          <w:lang w:val="en-US"/>
        </w:rPr>
        <w:instrText>cell</w:instrText>
      </w:r>
      <w:r w:rsidR="002466C9" w:rsidRPr="00B929AC">
        <w:instrText xml:space="preserve"> </w:instrText>
      </w:r>
      <w:r w:rsidR="002466C9">
        <w:rPr>
          <w:lang w:val="en-US"/>
        </w:rPr>
        <w:instrText>subset</w:instrText>
      </w:r>
      <w:r w:rsidR="002466C9" w:rsidRPr="00B929AC">
        <w:instrText xml:space="preserve"> </w:instrText>
      </w:r>
      <w:r w:rsidR="002466C9">
        <w:rPr>
          <w:lang w:val="en-US"/>
        </w:rPr>
        <w:instrText>accounting</w:instrText>
      </w:r>
      <w:r w:rsidR="002466C9" w:rsidRPr="00B929AC">
        <w:instrText xml:space="preserve"> </w:instrText>
      </w:r>
      <w:r w:rsidR="002466C9">
        <w:rPr>
          <w:lang w:val="en-US"/>
        </w:rPr>
        <w:instrText>for</w:instrText>
      </w:r>
      <w:r w:rsidR="002466C9" w:rsidRPr="00B929AC">
        <w:instrText xml:space="preserve"> 90% </w:instrText>
      </w:r>
      <w:r w:rsidR="002466C9">
        <w:rPr>
          <w:lang w:val="en-US"/>
        </w:rPr>
        <w:instrText>of</w:instrText>
      </w:r>
      <w:r w:rsidR="002466C9" w:rsidRPr="00B929AC">
        <w:instrText xml:space="preserve"> </w:instrText>
      </w:r>
      <w:r w:rsidR="002466C9">
        <w:rPr>
          <w:lang w:val="en-US"/>
        </w:rPr>
        <w:instrText>all</w:instrText>
      </w:r>
      <w:r w:rsidR="002466C9" w:rsidRPr="00B929AC">
        <w:instrText xml:space="preserve"> </w:instrText>
      </w:r>
      <w:r w:rsidR="002466C9">
        <w:rPr>
          <w:lang w:val="en-US"/>
        </w:rPr>
        <w:instrText>cases</w:instrText>
      </w:r>
      <w:r w:rsidR="002466C9" w:rsidRPr="00B929AC">
        <w:instrText xml:space="preserve">. </w:instrText>
      </w:r>
      <w:r w:rsidR="002466C9">
        <w:rPr>
          <w:lang w:val="en-US"/>
        </w:rPr>
        <w:instrText>The</w:instrText>
      </w:r>
      <w:r w:rsidR="002466C9" w:rsidRPr="00B929AC">
        <w:instrText xml:space="preserve"> </w:instrText>
      </w:r>
      <w:r w:rsidR="002466C9">
        <w:rPr>
          <w:lang w:val="en-US"/>
        </w:rPr>
        <w:instrText>adoption</w:instrText>
      </w:r>
      <w:r w:rsidR="002466C9" w:rsidRPr="00B929AC">
        <w:instrText xml:space="preserve"> </w:instrText>
      </w:r>
      <w:r w:rsidR="002466C9">
        <w:rPr>
          <w:lang w:val="en-US"/>
        </w:rPr>
        <w:instrText>of</w:instrText>
      </w:r>
      <w:r w:rsidR="002466C9" w:rsidRPr="00B929AC">
        <w:instrText xml:space="preserve"> </w:instrText>
      </w:r>
      <w:r w:rsidR="002466C9">
        <w:rPr>
          <w:lang w:val="en-US"/>
        </w:rPr>
        <w:instrText>pediatric</w:instrText>
      </w:r>
      <w:r w:rsidR="002466C9" w:rsidRPr="00B929AC">
        <w:instrText>-</w:instrText>
      </w:r>
      <w:r w:rsidR="002466C9">
        <w:rPr>
          <w:lang w:val="en-US"/>
        </w:rPr>
        <w:instrText>derived</w:instrText>
      </w:r>
      <w:r w:rsidR="002466C9" w:rsidRPr="00B929AC">
        <w:instrText xml:space="preserve">, </w:instrText>
      </w:r>
      <w:r w:rsidR="002466C9">
        <w:rPr>
          <w:lang w:val="en-US"/>
        </w:rPr>
        <w:instrText>intensive</w:instrText>
      </w:r>
      <w:r w:rsidR="002466C9" w:rsidRPr="00B929AC">
        <w:instrText xml:space="preserve"> </w:instrText>
      </w:r>
      <w:r w:rsidR="002466C9">
        <w:rPr>
          <w:lang w:val="en-US"/>
        </w:rPr>
        <w:instrText>lymphoblastic</w:instrText>
      </w:r>
      <w:r w:rsidR="002466C9" w:rsidRPr="00B929AC">
        <w:instrText xml:space="preserve"> </w:instrText>
      </w:r>
      <w:r w:rsidR="002466C9">
        <w:rPr>
          <w:lang w:val="en-US"/>
        </w:rPr>
        <w:instrText>leukemia</w:instrText>
      </w:r>
      <w:r w:rsidR="002466C9" w:rsidRPr="00B929AC">
        <w:instrText>-</w:instrText>
      </w:r>
      <w:r w:rsidR="002466C9">
        <w:rPr>
          <w:lang w:val="en-US"/>
        </w:rPr>
        <w:instrText>like</w:instrText>
      </w:r>
      <w:r w:rsidR="002466C9" w:rsidRPr="00B929AC">
        <w:instrText xml:space="preserve"> </w:instrText>
      </w:r>
      <w:r w:rsidR="002466C9">
        <w:rPr>
          <w:lang w:val="en-US"/>
        </w:rPr>
        <w:instrText>protocols</w:instrText>
      </w:r>
      <w:r w:rsidR="002466C9" w:rsidRPr="00B929AC">
        <w:instrText xml:space="preserve"> </w:instrText>
      </w:r>
      <w:r w:rsidR="002466C9">
        <w:rPr>
          <w:lang w:val="en-US"/>
        </w:rPr>
        <w:instrText>led</w:instrText>
      </w:r>
      <w:r w:rsidR="002466C9" w:rsidRPr="00B929AC">
        <w:instrText xml:space="preserve"> </w:instrText>
      </w:r>
      <w:r w:rsidR="002466C9">
        <w:rPr>
          <w:lang w:val="en-US"/>
        </w:rPr>
        <w:instrText>to</w:instrText>
      </w:r>
      <w:r w:rsidR="002466C9" w:rsidRPr="00B929AC">
        <w:instrText xml:space="preserve"> </w:instrText>
      </w:r>
      <w:r w:rsidR="002466C9">
        <w:rPr>
          <w:lang w:val="en-US"/>
        </w:rPr>
        <w:instrText>significantly</w:instrText>
      </w:r>
      <w:r w:rsidR="002466C9" w:rsidRPr="00B929AC">
        <w:instrText xml:space="preserve"> </w:instrText>
      </w:r>
      <w:r w:rsidR="002466C9">
        <w:rPr>
          <w:lang w:val="en-US"/>
        </w:rPr>
        <w:instrText>improved</w:instrText>
      </w:r>
      <w:r w:rsidR="002466C9" w:rsidRPr="00B929AC">
        <w:instrText xml:space="preserve"> </w:instrText>
      </w:r>
      <w:r w:rsidR="002466C9">
        <w:rPr>
          <w:lang w:val="en-US"/>
        </w:rPr>
        <w:instrText>results</w:instrText>
      </w:r>
      <w:r w:rsidR="002466C9" w:rsidRPr="00B929AC">
        <w:instrText xml:space="preserve">, </w:instrText>
      </w:r>
      <w:r w:rsidR="002466C9">
        <w:rPr>
          <w:lang w:val="en-US"/>
        </w:rPr>
        <w:instrText>with</w:instrText>
      </w:r>
      <w:r w:rsidR="002466C9" w:rsidRPr="00B929AC">
        <w:instrText xml:space="preserve"> </w:instrText>
      </w:r>
      <w:r w:rsidR="002466C9">
        <w:rPr>
          <w:lang w:val="en-US"/>
        </w:rPr>
        <w:instrText>survival</w:instrText>
      </w:r>
      <w:r w:rsidR="002466C9" w:rsidRPr="00B929AC">
        <w:instrText xml:space="preserve"> </w:instrText>
      </w:r>
      <w:r w:rsidR="002466C9">
        <w:rPr>
          <w:lang w:val="en-US"/>
        </w:rPr>
        <w:instrText>rates</w:instrText>
      </w:r>
      <w:r w:rsidR="002466C9" w:rsidRPr="00B929AC">
        <w:instrText xml:space="preserve"> </w:instrText>
      </w:r>
      <w:r w:rsidR="002466C9">
        <w:rPr>
          <w:lang w:val="en-US"/>
        </w:rPr>
        <w:instrText>of</w:instrText>
      </w:r>
      <w:r w:rsidR="002466C9" w:rsidRPr="00B929AC">
        <w:instrText xml:space="preserve"> </w:instrText>
      </w:r>
      <w:r w:rsidR="002466C9">
        <w:rPr>
          <w:lang w:val="en-US"/>
        </w:rPr>
        <w:instrText>about</w:instrText>
      </w:r>
      <w:r w:rsidR="002466C9" w:rsidRPr="00B929AC">
        <w:instrText xml:space="preserve"> 70% </w:instrText>
      </w:r>
      <w:r w:rsidR="002466C9">
        <w:rPr>
          <w:lang w:val="en-US"/>
        </w:rPr>
        <w:instrText>and</w:instrText>
      </w:r>
      <w:r w:rsidR="002466C9" w:rsidRPr="00B929AC">
        <w:instrText xml:space="preserve"> 90% </w:instrText>
      </w:r>
      <w:r w:rsidR="002466C9">
        <w:rPr>
          <w:lang w:val="en-US"/>
        </w:rPr>
        <w:instrText>in</w:instrText>
      </w:r>
      <w:r w:rsidR="002466C9" w:rsidRPr="00B929AC">
        <w:instrText xml:space="preserve"> </w:instrText>
      </w:r>
      <w:r w:rsidR="002466C9">
        <w:rPr>
          <w:lang w:val="en-US"/>
        </w:rPr>
        <w:instrText>adults</w:instrText>
      </w:r>
      <w:r w:rsidR="002466C9" w:rsidRPr="00B929AC">
        <w:instrText xml:space="preserve"> </w:instrText>
      </w:r>
      <w:r w:rsidR="002466C9">
        <w:rPr>
          <w:lang w:val="en-US"/>
        </w:rPr>
        <w:instrText>and</w:instrText>
      </w:r>
      <w:r w:rsidR="002466C9" w:rsidRPr="00B929AC">
        <w:instrText xml:space="preserve"> </w:instrText>
      </w:r>
      <w:r w:rsidR="002466C9">
        <w:rPr>
          <w:lang w:val="en-US"/>
        </w:rPr>
        <w:instrText>children</w:instrText>
      </w:r>
      <w:r w:rsidR="002466C9" w:rsidRPr="00B929AC">
        <w:instrText xml:space="preserve">, </w:instrText>
      </w:r>
      <w:r w:rsidR="002466C9">
        <w:rPr>
          <w:lang w:val="en-US"/>
        </w:rPr>
        <w:instrText>respectively</w:instrText>
      </w:r>
      <w:r w:rsidR="002466C9" w:rsidRPr="00B929AC">
        <w:instrText xml:space="preserve">. </w:instrText>
      </w:r>
      <w:r w:rsidR="002466C9">
        <w:rPr>
          <w:lang w:val="en-US"/>
        </w:rPr>
        <w:instrText>Adequate</w:instrText>
      </w:r>
      <w:r w:rsidR="002466C9" w:rsidRPr="00B929AC">
        <w:instrText xml:space="preserve"> </w:instrText>
      </w:r>
      <w:r w:rsidR="002466C9">
        <w:rPr>
          <w:lang w:val="en-US"/>
        </w:rPr>
        <w:instrText>central</w:instrText>
      </w:r>
      <w:r w:rsidR="002466C9" w:rsidRPr="00B929AC">
        <w:instrText xml:space="preserve"> </w:instrText>
      </w:r>
      <w:r w:rsidR="002466C9">
        <w:rPr>
          <w:lang w:val="en-US"/>
        </w:rPr>
        <w:instrText>nervous</w:instrText>
      </w:r>
      <w:r w:rsidR="002466C9" w:rsidRPr="00B929AC">
        <w:instrText xml:space="preserve"> </w:instrText>
      </w:r>
      <w:r w:rsidR="002466C9">
        <w:rPr>
          <w:lang w:val="en-US"/>
        </w:rPr>
        <w:instrText>system</w:instrText>
      </w:r>
      <w:r w:rsidR="002466C9" w:rsidRPr="00B929AC">
        <w:instrText xml:space="preserve"> </w:instrText>
      </w:r>
      <w:r w:rsidR="002466C9">
        <w:rPr>
          <w:lang w:val="en-US"/>
        </w:rPr>
        <w:instrText>prophylaxis</w:instrText>
      </w:r>
      <w:r w:rsidR="002466C9" w:rsidRPr="00B929AC">
        <w:instrText xml:space="preserve"> </w:instrText>
      </w:r>
      <w:r w:rsidR="002466C9">
        <w:rPr>
          <w:lang w:val="en-US"/>
        </w:rPr>
        <w:instrText>and</w:instrText>
      </w:r>
      <w:r w:rsidR="002466C9" w:rsidRPr="00B929AC">
        <w:instrText xml:space="preserve"> </w:instrText>
      </w:r>
      <w:r w:rsidR="002466C9">
        <w:rPr>
          <w:lang w:val="en-US"/>
        </w:rPr>
        <w:instrText>mediastinal</w:instrText>
      </w:r>
      <w:r w:rsidR="002466C9" w:rsidRPr="00B929AC">
        <w:instrText xml:space="preserve"> </w:instrText>
      </w:r>
      <w:r w:rsidR="002466C9">
        <w:rPr>
          <w:lang w:val="en-US"/>
        </w:rPr>
        <w:instrText>irradiation</w:instrText>
      </w:r>
      <w:r w:rsidR="002466C9" w:rsidRPr="00B929AC">
        <w:instrText xml:space="preserve"> </w:instrText>
      </w:r>
      <w:r w:rsidR="002466C9">
        <w:rPr>
          <w:lang w:val="en-US"/>
        </w:rPr>
        <w:instrText>contributed</w:instrText>
      </w:r>
      <w:r w:rsidR="002466C9" w:rsidRPr="00B929AC">
        <w:instrText xml:space="preserve"> </w:instrText>
      </w:r>
      <w:r w:rsidR="002466C9">
        <w:rPr>
          <w:lang w:val="en-US"/>
        </w:rPr>
        <w:instrText>to</w:instrText>
      </w:r>
      <w:r w:rsidR="002466C9" w:rsidRPr="00B929AC">
        <w:instrText xml:space="preserve"> </w:instrText>
      </w:r>
      <w:r w:rsidR="002466C9">
        <w:rPr>
          <w:lang w:val="en-US"/>
        </w:rPr>
        <w:instrText>the</w:instrText>
      </w:r>
      <w:r w:rsidR="002466C9" w:rsidRPr="00B929AC">
        <w:instrText xml:space="preserve"> </w:instrText>
      </w:r>
      <w:r w:rsidR="002466C9">
        <w:rPr>
          <w:lang w:val="en-US"/>
        </w:rPr>
        <w:instrText>therapeutic</w:instrText>
      </w:r>
      <w:r w:rsidR="002466C9" w:rsidRPr="00124904">
        <w:instrText xml:space="preserve"> </w:instrText>
      </w:r>
      <w:r w:rsidR="002466C9">
        <w:rPr>
          <w:lang w:val="en-US"/>
        </w:rPr>
        <w:instrText>success</w:instrText>
      </w:r>
      <w:r w:rsidR="002466C9" w:rsidRPr="00124904">
        <w:instrText xml:space="preserve">; </w:instrText>
      </w:r>
      <w:r w:rsidR="002466C9">
        <w:rPr>
          <w:lang w:val="en-US"/>
        </w:rPr>
        <w:instrText>however</w:instrText>
      </w:r>
      <w:r w:rsidR="002466C9" w:rsidRPr="00124904">
        <w:instrText xml:space="preserve">, </w:instrText>
      </w:r>
      <w:r w:rsidR="002466C9">
        <w:rPr>
          <w:lang w:val="en-US"/>
        </w:rPr>
        <w:instrText>the</w:instrText>
      </w:r>
      <w:r w:rsidR="002466C9" w:rsidRPr="00124904">
        <w:instrText xml:space="preserve"> </w:instrText>
      </w:r>
      <w:r w:rsidR="002466C9">
        <w:rPr>
          <w:lang w:val="en-US"/>
        </w:rPr>
        <w:instrText>role</w:instrText>
      </w:r>
      <w:r w:rsidR="002466C9" w:rsidRPr="00124904">
        <w:instrText xml:space="preserve"> </w:instrText>
      </w:r>
      <w:r w:rsidR="002466C9">
        <w:rPr>
          <w:lang w:val="en-US"/>
        </w:rPr>
        <w:instrText>of</w:instrText>
      </w:r>
      <w:r w:rsidR="002466C9" w:rsidRPr="00124904">
        <w:instrText xml:space="preserve"> </w:instrText>
      </w:r>
      <w:r w:rsidR="002466C9">
        <w:rPr>
          <w:lang w:val="en-US"/>
        </w:rPr>
        <w:instrText>radiation</w:instrText>
      </w:r>
      <w:r w:rsidR="002466C9" w:rsidRPr="00124904">
        <w:instrText xml:space="preserve"> </w:instrText>
      </w:r>
      <w:r w:rsidR="002466C9">
        <w:rPr>
          <w:lang w:val="en-US"/>
        </w:rPr>
        <w:instrText>therapy</w:instrText>
      </w:r>
      <w:r w:rsidR="002466C9" w:rsidRPr="00124904">
        <w:instrText xml:space="preserve"> </w:instrText>
      </w:r>
      <w:r w:rsidR="002466C9">
        <w:rPr>
          <w:lang w:val="en-US"/>
        </w:rPr>
        <w:instrText>is</w:instrText>
      </w:r>
      <w:r w:rsidR="002466C9" w:rsidRPr="00124904">
        <w:instrText xml:space="preserve"> </w:instrText>
      </w:r>
      <w:r w:rsidR="002466C9">
        <w:rPr>
          <w:lang w:val="en-US"/>
        </w:rPr>
        <w:instrText>debated</w:instrText>
      </w:r>
      <w:r w:rsidR="002466C9" w:rsidRPr="00124904">
        <w:instrText xml:space="preserve"> </w:instrText>
      </w:r>
      <w:r w:rsidR="002466C9">
        <w:rPr>
          <w:lang w:val="en-US"/>
        </w:rPr>
        <w:instrText>due</w:instrText>
      </w:r>
      <w:r w:rsidR="002466C9" w:rsidRPr="00124904">
        <w:instrText xml:space="preserve"> </w:instrText>
      </w:r>
      <w:r w:rsidR="002466C9">
        <w:rPr>
          <w:lang w:val="en-US"/>
        </w:rPr>
        <w:instrText>to</w:instrText>
      </w:r>
      <w:r w:rsidR="002466C9" w:rsidRPr="00124904">
        <w:instrText xml:space="preserve"> </w:instrText>
      </w:r>
      <w:r w:rsidR="002466C9">
        <w:rPr>
          <w:lang w:val="en-US"/>
        </w:rPr>
        <w:instrText>toxicity</w:instrText>
      </w:r>
      <w:r w:rsidR="002466C9" w:rsidRPr="00124904">
        <w:instrText xml:space="preserve"> </w:instrText>
      </w:r>
      <w:r w:rsidR="002466C9">
        <w:rPr>
          <w:lang w:val="en-US"/>
        </w:rPr>
        <w:instrText>concerns</w:instrText>
      </w:r>
      <w:r w:rsidR="002466C9" w:rsidRPr="00124904">
        <w:instrText xml:space="preserve"> </w:instrText>
      </w:r>
      <w:r w:rsidR="002466C9">
        <w:rPr>
          <w:lang w:val="en-US"/>
        </w:rPr>
        <w:instrText>and</w:instrText>
      </w:r>
      <w:r w:rsidR="002466C9" w:rsidRPr="00124904">
        <w:instrText xml:space="preserve"> </w:instrText>
      </w:r>
      <w:r w:rsidR="002466C9">
        <w:rPr>
          <w:lang w:val="en-US"/>
        </w:rPr>
        <w:instrText>the</w:instrText>
      </w:r>
      <w:r w:rsidR="002466C9" w:rsidRPr="00124904">
        <w:instrText xml:space="preserve"> </w:instrText>
      </w:r>
      <w:r w:rsidR="002466C9">
        <w:rPr>
          <w:lang w:val="en-US"/>
        </w:rPr>
        <w:instrText>excellent</w:instrText>
      </w:r>
      <w:r w:rsidR="002466C9" w:rsidRPr="00124904">
        <w:instrText xml:space="preserve"> </w:instrText>
      </w:r>
      <w:r w:rsidR="002466C9">
        <w:rPr>
          <w:lang w:val="en-US"/>
        </w:rPr>
        <w:instrText>results</w:instrText>
      </w:r>
      <w:r w:rsidR="002466C9" w:rsidRPr="00124904">
        <w:instrText xml:space="preserve"> </w:instrText>
      </w:r>
      <w:r w:rsidR="002466C9">
        <w:rPr>
          <w:lang w:val="en-US"/>
        </w:rPr>
        <w:instrText>obtained</w:instrText>
      </w:r>
      <w:r w:rsidR="002466C9" w:rsidRPr="00124904">
        <w:instrText xml:space="preserve"> </w:instrText>
      </w:r>
      <w:r w:rsidR="002466C9">
        <w:rPr>
          <w:lang w:val="en-US"/>
        </w:rPr>
        <w:instrText>with</w:instrText>
      </w:r>
      <w:r w:rsidR="002466C9" w:rsidRPr="00124904">
        <w:instrText xml:space="preserve"> </w:instrText>
      </w:r>
      <w:r w:rsidR="002466C9">
        <w:rPr>
          <w:lang w:val="en-US"/>
        </w:rPr>
        <w:instrText>radiation</w:instrText>
      </w:r>
      <w:r w:rsidR="002466C9" w:rsidRPr="00124904">
        <w:instrText>-</w:instrText>
      </w:r>
      <w:r w:rsidR="002466C9">
        <w:rPr>
          <w:lang w:val="en-US"/>
        </w:rPr>
        <w:instrText>free</w:instrText>
      </w:r>
      <w:r w:rsidR="002466C9" w:rsidRPr="00124904">
        <w:instrText xml:space="preserve"> </w:instrText>
      </w:r>
      <w:r w:rsidR="002466C9">
        <w:rPr>
          <w:lang w:val="en-US"/>
        </w:rPr>
        <w:instrText>programs</w:instrText>
      </w:r>
      <w:r w:rsidR="002466C9" w:rsidRPr="00124904">
        <w:instrText xml:space="preserve"> </w:instrText>
      </w:r>
      <w:r w:rsidR="002466C9">
        <w:rPr>
          <w:lang w:val="en-US"/>
        </w:rPr>
        <w:instrText>especially</w:instrText>
      </w:r>
      <w:r w:rsidR="002466C9" w:rsidRPr="00124904">
        <w:instrText xml:space="preserve"> </w:instrText>
      </w:r>
      <w:r w:rsidR="002466C9">
        <w:rPr>
          <w:lang w:val="en-US"/>
        </w:rPr>
        <w:instrText>in</w:instrText>
      </w:r>
      <w:r w:rsidR="002466C9" w:rsidRPr="00124904">
        <w:instrText xml:space="preserve"> </w:instrText>
      </w:r>
      <w:r w:rsidR="002466C9">
        <w:rPr>
          <w:lang w:val="en-US"/>
        </w:rPr>
        <w:instrText>pediatric</w:instrText>
      </w:r>
      <w:r w:rsidR="002466C9" w:rsidRPr="00124904">
        <w:instrText xml:space="preserve"> </w:instrText>
      </w:r>
      <w:r w:rsidR="002466C9">
        <w:rPr>
          <w:lang w:val="en-US"/>
        </w:rPr>
        <w:instrText>patients</w:instrText>
      </w:r>
      <w:r w:rsidR="002466C9" w:rsidRPr="00124904">
        <w:instrText xml:space="preserve">. </w:instrText>
      </w:r>
      <w:r w:rsidR="002466C9">
        <w:rPr>
          <w:lang w:val="en-US"/>
        </w:rPr>
        <w:instrText>With</w:instrText>
      </w:r>
      <w:r w:rsidR="002466C9" w:rsidRPr="00124904">
        <w:instrText xml:space="preserve"> </w:instrText>
      </w:r>
      <w:r w:rsidR="002466C9">
        <w:rPr>
          <w:lang w:val="en-US"/>
        </w:rPr>
        <w:instrText>these</w:instrText>
      </w:r>
      <w:r w:rsidR="002466C9" w:rsidRPr="00124904">
        <w:instrText xml:space="preserve"> </w:instrText>
      </w:r>
      <w:r w:rsidR="002466C9">
        <w:rPr>
          <w:lang w:val="en-US"/>
        </w:rPr>
        <w:instrText>modern</w:instrText>
      </w:r>
      <w:r w:rsidR="002466C9" w:rsidRPr="00124904">
        <w:instrText xml:space="preserve"> </w:instrText>
      </w:r>
      <w:r w:rsidR="002466C9">
        <w:rPr>
          <w:lang w:val="en-US"/>
        </w:rPr>
        <w:instrText>schedules</w:instrText>
      </w:r>
      <w:r w:rsidR="002466C9" w:rsidRPr="00124904">
        <w:instrText xml:space="preserve">, </w:instrText>
      </w:r>
      <w:r w:rsidR="002466C9">
        <w:rPr>
          <w:lang w:val="en-US"/>
        </w:rPr>
        <w:instrText>localized</w:instrText>
      </w:r>
      <w:r w:rsidR="002466C9" w:rsidRPr="00124904">
        <w:instrText xml:space="preserve"> </w:instrText>
      </w:r>
      <w:r w:rsidR="002466C9">
        <w:rPr>
          <w:lang w:val="en-US"/>
        </w:rPr>
        <w:instrText>radiotherapy</w:instrText>
      </w:r>
      <w:r w:rsidR="002466C9" w:rsidRPr="00124904">
        <w:instrText xml:space="preserve"> </w:instrText>
      </w:r>
      <w:r w:rsidR="002466C9">
        <w:rPr>
          <w:lang w:val="en-US"/>
        </w:rPr>
        <w:instrText>and</w:instrText>
      </w:r>
      <w:r w:rsidR="002466C9" w:rsidRPr="00124904">
        <w:instrText>/</w:instrText>
      </w:r>
      <w:r w:rsidR="002466C9">
        <w:rPr>
          <w:lang w:val="en-US"/>
        </w:rPr>
        <w:instrText>or</w:instrText>
      </w:r>
      <w:r w:rsidR="002466C9" w:rsidRPr="00124904">
        <w:instrText xml:space="preserve"> </w:instrText>
      </w:r>
      <w:r w:rsidR="002466C9">
        <w:rPr>
          <w:lang w:val="en-US"/>
        </w:rPr>
        <w:instrText>hematopoietic</w:instrText>
      </w:r>
      <w:r w:rsidR="002466C9" w:rsidRPr="00124904">
        <w:instrText xml:space="preserve"> </w:instrText>
      </w:r>
      <w:r w:rsidR="002466C9">
        <w:rPr>
          <w:lang w:val="en-US"/>
        </w:rPr>
        <w:instrText>stem</w:instrText>
      </w:r>
      <w:r w:rsidR="002466C9" w:rsidRPr="00124904">
        <w:instrText xml:space="preserve"> </w:instrText>
      </w:r>
      <w:r w:rsidR="002466C9">
        <w:rPr>
          <w:lang w:val="en-US"/>
        </w:rPr>
        <w:instrText>cell</w:instrText>
      </w:r>
      <w:r w:rsidR="002466C9" w:rsidRPr="00124904">
        <w:instrText xml:space="preserve"> </w:instrText>
      </w:r>
      <w:r w:rsidR="002466C9">
        <w:rPr>
          <w:lang w:val="en-US"/>
        </w:rPr>
        <w:instrText>transplants</w:instrText>
      </w:r>
      <w:r w:rsidR="002466C9" w:rsidRPr="00124904">
        <w:instrText xml:space="preserve"> </w:instrText>
      </w:r>
      <w:r w:rsidR="002466C9">
        <w:rPr>
          <w:lang w:val="en-US"/>
        </w:rPr>
        <w:instrText>could</w:instrText>
      </w:r>
      <w:r w:rsidR="002466C9" w:rsidRPr="00124904">
        <w:instrText xml:space="preserve"> </w:instrText>
      </w:r>
      <w:r w:rsidR="002466C9">
        <w:rPr>
          <w:lang w:val="en-US"/>
        </w:rPr>
        <w:instrText>be</w:instrText>
      </w:r>
      <w:r w:rsidR="002466C9" w:rsidRPr="00124904">
        <w:instrText xml:space="preserve"> </w:instrText>
      </w:r>
      <w:r w:rsidR="002466C9">
        <w:rPr>
          <w:lang w:val="en-US"/>
        </w:rPr>
        <w:instrText>generally</w:instrText>
      </w:r>
      <w:r w:rsidR="002466C9" w:rsidRPr="00124904">
        <w:instrText xml:space="preserve"> </w:instrText>
      </w:r>
      <w:r w:rsidR="002466C9">
        <w:rPr>
          <w:lang w:val="en-US"/>
        </w:rPr>
        <w:instrText>omitted</w:instrText>
      </w:r>
      <w:r w:rsidR="002466C9" w:rsidRPr="00124904">
        <w:instrText xml:space="preserve">, </w:instrText>
      </w:r>
      <w:r w:rsidR="002466C9">
        <w:rPr>
          <w:lang w:val="en-US"/>
        </w:rPr>
        <w:instrText>and</w:instrText>
      </w:r>
      <w:r w:rsidR="002466C9" w:rsidRPr="00124904">
        <w:instrText xml:space="preserve"> </w:instrText>
      </w:r>
      <w:r w:rsidR="002466C9">
        <w:rPr>
          <w:lang w:val="en-US"/>
        </w:rPr>
        <w:instrText>considered</w:instrText>
      </w:r>
      <w:r w:rsidR="002466C9" w:rsidRPr="00124904">
        <w:instrText xml:space="preserve"> </w:instrText>
      </w:r>
      <w:r w:rsidR="002466C9">
        <w:rPr>
          <w:lang w:val="en-US"/>
        </w:rPr>
        <w:instrText>only</w:instrText>
      </w:r>
      <w:r w:rsidR="002466C9" w:rsidRPr="00124904">
        <w:instrText xml:space="preserve"> </w:instrText>
      </w:r>
      <w:r w:rsidR="002466C9">
        <w:rPr>
          <w:lang w:val="en-US"/>
        </w:rPr>
        <w:instrText>for</w:instrText>
      </w:r>
      <w:r w:rsidR="002466C9" w:rsidRPr="00124904">
        <w:instrText xml:space="preserve"> </w:instrText>
      </w:r>
      <w:r w:rsidR="002466C9">
        <w:rPr>
          <w:lang w:val="en-US"/>
        </w:rPr>
        <w:instrText>high</w:instrText>
      </w:r>
      <w:r w:rsidR="002466C9" w:rsidRPr="00124904">
        <w:instrText>-</w:instrText>
      </w:r>
      <w:r w:rsidR="002466C9">
        <w:rPr>
          <w:lang w:val="en-US"/>
        </w:rPr>
        <w:instrText>risk</w:instrText>
      </w:r>
      <w:r w:rsidR="002466C9" w:rsidRPr="00124904">
        <w:instrText xml:space="preserve"> </w:instrText>
      </w:r>
      <w:r w:rsidR="002466C9">
        <w:rPr>
          <w:lang w:val="en-US"/>
        </w:rPr>
        <w:instrText>patients</w:instrText>
      </w:r>
      <w:r w:rsidR="002466C9" w:rsidRPr="00124904">
        <w:instrText xml:space="preserve"> </w:instrText>
      </w:r>
      <w:r w:rsidR="002466C9">
        <w:rPr>
          <w:lang w:val="en-US"/>
        </w:rPr>
        <w:instrText>identified</w:instrText>
      </w:r>
      <w:r w:rsidR="002466C9" w:rsidRPr="00124904">
        <w:instrText xml:space="preserve"> </w:instrText>
      </w:r>
      <w:r w:rsidR="002466C9">
        <w:rPr>
          <w:lang w:val="en-US"/>
        </w:rPr>
        <w:instrText>through</w:instrText>
      </w:r>
      <w:r w:rsidR="002466C9" w:rsidRPr="00124904">
        <w:instrText xml:space="preserve"> </w:instrText>
      </w:r>
      <w:r w:rsidR="002466C9">
        <w:rPr>
          <w:lang w:val="en-US"/>
        </w:rPr>
        <w:instrText>postinduction</w:instrText>
      </w:r>
      <w:r w:rsidR="002466C9" w:rsidRPr="00124904">
        <w:instrText xml:space="preserve"> </w:instrText>
      </w:r>
      <w:r w:rsidR="002466C9">
        <w:rPr>
          <w:lang w:val="en-US"/>
        </w:rPr>
        <w:instrText>computed</w:instrText>
      </w:r>
      <w:r w:rsidR="002466C9" w:rsidRPr="00124904">
        <w:instrText xml:space="preserve"> </w:instrText>
      </w:r>
      <w:r w:rsidR="002466C9">
        <w:rPr>
          <w:lang w:val="en-US"/>
        </w:rPr>
        <w:instrText>tomography</w:instrText>
      </w:r>
      <w:r w:rsidR="002466C9" w:rsidRPr="00124904">
        <w:instrText>/</w:instrText>
      </w:r>
      <w:r w:rsidR="002466C9">
        <w:rPr>
          <w:lang w:val="en-US"/>
        </w:rPr>
        <w:instrText>positron</w:instrText>
      </w:r>
      <w:r w:rsidR="002466C9" w:rsidRPr="00124904">
        <w:instrText>-</w:instrText>
      </w:r>
      <w:r w:rsidR="002466C9">
        <w:rPr>
          <w:lang w:val="en-US"/>
        </w:rPr>
        <w:instrText>emission</w:instrText>
      </w:r>
      <w:r w:rsidR="002466C9" w:rsidRPr="00124904">
        <w:instrText xml:space="preserve"> </w:instrText>
      </w:r>
      <w:r w:rsidR="002466C9">
        <w:rPr>
          <w:lang w:val="en-US"/>
        </w:rPr>
        <w:instrText>tomography</w:instrText>
      </w:r>
      <w:r w:rsidR="002466C9" w:rsidRPr="00124904">
        <w:instrText xml:space="preserve"> </w:instrText>
      </w:r>
      <w:r w:rsidR="002466C9">
        <w:rPr>
          <w:lang w:val="en-US"/>
        </w:rPr>
        <w:instrText>scans</w:instrText>
      </w:r>
      <w:r w:rsidR="002466C9" w:rsidRPr="00124904">
        <w:instrText xml:space="preserve">, </w:instrText>
      </w:r>
      <w:r w:rsidR="002466C9">
        <w:rPr>
          <w:lang w:val="en-US"/>
        </w:rPr>
        <w:instrText>minimal</w:instrText>
      </w:r>
      <w:r w:rsidR="002466C9" w:rsidRPr="00124904">
        <w:instrText xml:space="preserve"> </w:instrText>
      </w:r>
      <w:r w:rsidR="002466C9">
        <w:rPr>
          <w:lang w:val="en-US"/>
        </w:rPr>
        <w:instrText>residual</w:instrText>
      </w:r>
      <w:r w:rsidR="002466C9" w:rsidRPr="00124904">
        <w:instrText xml:space="preserve"> </w:instrText>
      </w:r>
      <w:r w:rsidR="002466C9">
        <w:rPr>
          <w:lang w:val="en-US"/>
        </w:rPr>
        <w:instrText>disease</w:instrText>
      </w:r>
      <w:r w:rsidR="002466C9" w:rsidRPr="00124904">
        <w:instrText xml:space="preserve"> </w:instrText>
      </w:r>
      <w:r w:rsidR="002466C9">
        <w:rPr>
          <w:lang w:val="en-US"/>
        </w:rPr>
        <w:instrText>analysis</w:instrText>
      </w:r>
      <w:r w:rsidR="002466C9" w:rsidRPr="00124904">
        <w:instrText xml:space="preserve">, </w:instrText>
      </w:r>
      <w:r w:rsidR="002466C9">
        <w:rPr>
          <w:lang w:val="en-US"/>
        </w:rPr>
        <w:instrText>and</w:instrText>
      </w:r>
      <w:r w:rsidR="002466C9" w:rsidRPr="00124904">
        <w:instrText xml:space="preserve"> </w:instrText>
      </w:r>
      <w:r w:rsidR="002466C9">
        <w:rPr>
          <w:lang w:val="en-US"/>
        </w:rPr>
        <w:instrText>new</w:instrText>
      </w:r>
      <w:r w:rsidR="002466C9" w:rsidRPr="00124904">
        <w:instrText xml:space="preserve"> </w:instrText>
      </w:r>
      <w:r w:rsidR="002466C9">
        <w:rPr>
          <w:lang w:val="en-US"/>
        </w:rPr>
        <w:instrText>genetics</w:instrText>
      </w:r>
      <w:r w:rsidR="002466C9" w:rsidRPr="00124904">
        <w:instrText xml:space="preserve"> </w:instrText>
      </w:r>
      <w:r w:rsidR="002466C9">
        <w:rPr>
          <w:lang w:val="en-US"/>
        </w:rPr>
        <w:instrText>and</w:instrText>
      </w:r>
      <w:r w:rsidR="002466C9" w:rsidRPr="00124904">
        <w:instrText xml:space="preserve"> </w:instrText>
      </w:r>
      <w:r w:rsidR="002466C9">
        <w:rPr>
          <w:lang w:val="en-US"/>
        </w:rPr>
        <w:instrText>genomics</w:instrText>
      </w:r>
      <w:r w:rsidR="002466C9" w:rsidRPr="00124904">
        <w:instrText xml:space="preserve">. </w:instrText>
      </w:r>
      <w:r w:rsidR="002466C9">
        <w:rPr>
          <w:lang w:val="en-US"/>
        </w:rPr>
        <w:instrText>New</w:instrText>
      </w:r>
      <w:r w:rsidR="002466C9" w:rsidRPr="00124904">
        <w:instrText xml:space="preserve"> </w:instrText>
      </w:r>
      <w:r w:rsidR="002466C9">
        <w:rPr>
          <w:lang w:val="en-US"/>
        </w:rPr>
        <w:instrText>clinical</w:instrText>
      </w:r>
      <w:r w:rsidR="002466C9" w:rsidRPr="00124904">
        <w:instrText xml:space="preserve"> </w:instrText>
      </w:r>
      <w:r w:rsidR="002466C9">
        <w:rPr>
          <w:lang w:val="en-US"/>
        </w:rPr>
        <w:instrText>studies</w:instrText>
      </w:r>
      <w:r w:rsidR="002466C9" w:rsidRPr="00124904">
        <w:instrText xml:space="preserve"> </w:instrText>
      </w:r>
      <w:r w:rsidR="002466C9">
        <w:rPr>
          <w:lang w:val="en-US"/>
        </w:rPr>
        <w:instrText>will</w:instrText>
      </w:r>
      <w:r w:rsidR="002466C9" w:rsidRPr="00124904">
        <w:instrText xml:space="preserve"> </w:instrText>
      </w:r>
      <w:r w:rsidR="002466C9">
        <w:rPr>
          <w:lang w:val="en-US"/>
        </w:rPr>
        <w:instrText>have</w:instrText>
      </w:r>
      <w:r w:rsidR="002466C9" w:rsidRPr="00124904">
        <w:instrText xml:space="preserve"> </w:instrText>
      </w:r>
      <w:r w:rsidR="002466C9">
        <w:rPr>
          <w:lang w:val="en-US"/>
        </w:rPr>
        <w:instrText>to</w:instrText>
      </w:r>
      <w:r w:rsidR="002466C9" w:rsidRPr="00124904">
        <w:instrText xml:space="preserve"> </w:instrText>
      </w:r>
      <w:r w:rsidR="002466C9">
        <w:rPr>
          <w:lang w:val="en-US"/>
        </w:rPr>
        <w:instrText>confirm</w:instrText>
      </w:r>
      <w:r w:rsidR="002466C9" w:rsidRPr="00124904">
        <w:instrText xml:space="preserve"> </w:instrText>
      </w:r>
      <w:r w:rsidR="002466C9">
        <w:rPr>
          <w:lang w:val="en-US"/>
        </w:rPr>
        <w:instrText>the</w:instrText>
      </w:r>
      <w:r w:rsidR="002466C9" w:rsidRPr="00124904">
        <w:instrText xml:space="preserve"> </w:instrText>
      </w:r>
      <w:r w:rsidR="002466C9">
        <w:rPr>
          <w:lang w:val="en-US"/>
        </w:rPr>
        <w:instrText>value</w:instrText>
      </w:r>
      <w:r w:rsidR="002466C9" w:rsidRPr="00124904">
        <w:instrText xml:space="preserve"> </w:instrText>
      </w:r>
      <w:r w:rsidR="002466C9">
        <w:rPr>
          <w:lang w:val="en-US"/>
        </w:rPr>
        <w:instrText>of</w:instrText>
      </w:r>
      <w:r w:rsidR="002466C9" w:rsidRPr="00124904">
        <w:instrText xml:space="preserve"> </w:instrText>
      </w:r>
      <w:r w:rsidR="002466C9">
        <w:rPr>
          <w:lang w:val="en-US"/>
        </w:rPr>
        <w:instrText>these</w:instrText>
      </w:r>
      <w:r w:rsidR="002466C9" w:rsidRPr="00124904">
        <w:instrText xml:space="preserve"> </w:instrText>
      </w:r>
      <w:r w:rsidR="002466C9">
        <w:rPr>
          <w:lang w:val="en-US"/>
        </w:rPr>
        <w:instrText>assays</w:instrText>
      </w:r>
      <w:r w:rsidR="002466C9" w:rsidRPr="00124904">
        <w:instrText xml:space="preserve"> </w:instrText>
      </w:r>
      <w:r w:rsidR="002466C9">
        <w:rPr>
          <w:lang w:val="en-US"/>
        </w:rPr>
        <w:instrText>for</w:instrText>
      </w:r>
      <w:r w:rsidR="002466C9" w:rsidRPr="00124904">
        <w:instrText xml:space="preserve"> </w:instrText>
      </w:r>
      <w:r w:rsidR="002466C9">
        <w:rPr>
          <w:lang w:val="en-US"/>
        </w:rPr>
        <w:instrText>risk</w:instrText>
      </w:r>
      <w:r w:rsidR="002466C9" w:rsidRPr="00124904">
        <w:instrText>-</w:instrText>
      </w:r>
      <w:r w:rsidR="002466C9">
        <w:rPr>
          <w:lang w:val="en-US"/>
        </w:rPr>
        <w:instrText>oriented</w:instrText>
      </w:r>
      <w:r w:rsidR="002466C9" w:rsidRPr="00124904">
        <w:instrText xml:space="preserve"> </w:instrText>
      </w:r>
      <w:r w:rsidR="002466C9">
        <w:rPr>
          <w:lang w:val="en-US"/>
        </w:rPr>
        <w:instrText>therapy</w:instrText>
      </w:r>
      <w:r w:rsidR="002466C9" w:rsidRPr="00124904">
        <w:instrText xml:space="preserve">, </w:instrText>
      </w:r>
      <w:r w:rsidR="002466C9">
        <w:rPr>
          <w:lang w:val="en-US"/>
        </w:rPr>
        <w:instrText>while</w:instrText>
      </w:r>
      <w:r w:rsidR="002466C9" w:rsidRPr="00124904">
        <w:instrText xml:space="preserve"> </w:instrText>
      </w:r>
      <w:r w:rsidR="002466C9">
        <w:rPr>
          <w:lang w:val="en-US"/>
        </w:rPr>
        <w:instrText>further</w:instrText>
      </w:r>
      <w:r w:rsidR="002466C9" w:rsidRPr="00124904">
        <w:instrText xml:space="preserve"> </w:instrText>
      </w:r>
      <w:r w:rsidR="002466C9">
        <w:rPr>
          <w:lang w:val="en-US"/>
        </w:rPr>
        <w:instrText>therapeutic</w:instrText>
      </w:r>
      <w:r w:rsidR="002466C9" w:rsidRPr="00124904">
        <w:instrText xml:space="preserve"> </w:instrText>
      </w:r>
      <w:r w:rsidR="002466C9">
        <w:rPr>
          <w:lang w:val="en-US"/>
        </w:rPr>
        <w:instrText>progress</w:instrText>
      </w:r>
      <w:r w:rsidR="002466C9" w:rsidRPr="00124904">
        <w:instrText xml:space="preserve"> </w:instrText>
      </w:r>
      <w:r w:rsidR="002466C9">
        <w:rPr>
          <w:lang w:val="en-US"/>
        </w:rPr>
        <w:instrText>is</w:instrText>
      </w:r>
      <w:r w:rsidR="002466C9" w:rsidRPr="00124904">
        <w:instrText xml:space="preserve"> </w:instrText>
      </w:r>
      <w:r w:rsidR="002466C9">
        <w:rPr>
          <w:lang w:val="en-US"/>
        </w:rPr>
        <w:instrText>expected</w:instrText>
      </w:r>
      <w:r w:rsidR="002466C9" w:rsidRPr="00124904">
        <w:instrText xml:space="preserve"> </w:instrText>
      </w:r>
      <w:r w:rsidR="002466C9">
        <w:rPr>
          <w:lang w:val="en-US"/>
        </w:rPr>
        <w:instrText>from</w:instrText>
      </w:r>
      <w:r w:rsidR="002466C9" w:rsidRPr="00124904">
        <w:instrText xml:space="preserve"> </w:instrText>
      </w:r>
      <w:r w:rsidR="002466C9">
        <w:rPr>
          <w:lang w:val="en-US"/>
        </w:rPr>
        <w:instrText>the</w:instrText>
      </w:r>
      <w:r w:rsidR="002466C9" w:rsidRPr="00124904">
        <w:instrText xml:space="preserve"> </w:instrText>
      </w:r>
      <w:r w:rsidR="002466C9">
        <w:rPr>
          <w:lang w:val="en-US"/>
        </w:rPr>
        <w:instrText>introduction</w:instrText>
      </w:r>
      <w:r w:rsidR="002466C9" w:rsidRPr="00124904">
        <w:instrText xml:space="preserve"> </w:instrText>
      </w:r>
      <w:r w:rsidR="002466C9">
        <w:rPr>
          <w:lang w:val="en-US"/>
        </w:rPr>
        <w:instrText>of</w:instrText>
      </w:r>
      <w:r w:rsidR="002466C9" w:rsidRPr="00124904">
        <w:instrText xml:space="preserve"> </w:instrText>
      </w:r>
      <w:r w:rsidR="002466C9">
        <w:rPr>
          <w:lang w:val="en-US"/>
        </w:rPr>
        <w:instrText>new</w:instrText>
      </w:r>
      <w:r w:rsidR="002466C9" w:rsidRPr="00124904">
        <w:instrText xml:space="preserve"> </w:instrText>
      </w:r>
      <w:r w:rsidR="002466C9">
        <w:rPr>
          <w:lang w:val="en-US"/>
        </w:rPr>
        <w:instrText>drugs</w:instrText>
      </w:r>
      <w:r w:rsidR="002466C9" w:rsidRPr="00124904">
        <w:instrText xml:space="preserve"> </w:instrText>
      </w:r>
      <w:r w:rsidR="002466C9">
        <w:rPr>
          <w:lang w:val="en-US"/>
        </w:rPr>
        <w:instrText>and</w:instrText>
      </w:r>
      <w:r w:rsidR="002466C9" w:rsidRPr="00124904">
        <w:instrText xml:space="preserve"> </w:instrText>
      </w:r>
      <w:r w:rsidR="002466C9">
        <w:rPr>
          <w:lang w:val="en-US"/>
        </w:rPr>
        <w:instrText>targeting</w:instrText>
      </w:r>
      <w:r w:rsidR="002466C9" w:rsidRPr="00124904">
        <w:instrText xml:space="preserve"> </w:instrText>
      </w:r>
      <w:r w:rsidR="002466C9">
        <w:rPr>
          <w:lang w:val="en-US"/>
        </w:rPr>
        <w:instrText>agents</w:instrText>
      </w:r>
      <w:r w:rsidR="002466C9" w:rsidRPr="00124904">
        <w:instrText>.","</w:instrText>
      </w:r>
      <w:r w:rsidR="002466C9">
        <w:rPr>
          <w:lang w:val="en-US"/>
        </w:rPr>
        <w:instrText>author</w:instrText>
      </w:r>
      <w:r w:rsidR="002466C9" w:rsidRPr="00124904">
        <w:instrText>":[{"</w:instrText>
      </w:r>
      <w:r w:rsidR="002466C9">
        <w:rPr>
          <w:lang w:val="en-US"/>
        </w:rPr>
        <w:instrText>dropping</w:instrText>
      </w:r>
      <w:r w:rsidR="002466C9" w:rsidRPr="00124904">
        <w:instrText>-</w:instrText>
      </w:r>
      <w:r w:rsidR="002466C9">
        <w:rPr>
          <w:lang w:val="en-US"/>
        </w:rPr>
        <w:instrText>particle</w:instrText>
      </w:r>
      <w:r w:rsidR="002466C9" w:rsidRPr="00124904">
        <w:instrText>":"","</w:instrText>
      </w:r>
      <w:r w:rsidR="002466C9">
        <w:rPr>
          <w:lang w:val="en-US"/>
        </w:rPr>
        <w:instrText>family</w:instrText>
      </w:r>
      <w:r w:rsidR="002466C9" w:rsidRPr="00124904">
        <w:instrText>":"</w:instrText>
      </w:r>
      <w:r w:rsidR="002466C9">
        <w:rPr>
          <w:lang w:val="en-US"/>
        </w:rPr>
        <w:instrText>Bassan</w:instrText>
      </w:r>
      <w:r w:rsidR="002466C9" w:rsidRPr="00124904">
        <w:instrText>","</w:instrText>
      </w:r>
      <w:r w:rsidR="002466C9">
        <w:rPr>
          <w:lang w:val="en-US"/>
        </w:rPr>
        <w:instrText>given</w:instrText>
      </w:r>
      <w:r w:rsidR="002466C9" w:rsidRPr="00124904">
        <w:instrText>":"</w:instrText>
      </w:r>
      <w:r w:rsidR="002466C9">
        <w:rPr>
          <w:lang w:val="en-US"/>
        </w:rPr>
        <w:instrText>Renato</w:instrText>
      </w:r>
      <w:r w:rsidR="002466C9" w:rsidRPr="00124904">
        <w:instrText>","</w:instrText>
      </w:r>
      <w:r w:rsidR="002466C9">
        <w:rPr>
          <w:lang w:val="en-US"/>
        </w:rPr>
        <w:instrText>non</w:instrText>
      </w:r>
      <w:r w:rsidR="002466C9" w:rsidRPr="00124904">
        <w:instrText>-</w:instrText>
      </w:r>
      <w:r w:rsidR="002466C9">
        <w:rPr>
          <w:lang w:val="en-US"/>
        </w:rPr>
        <w:instrText>dropping</w:instrText>
      </w:r>
      <w:r w:rsidR="002466C9" w:rsidRPr="00124904">
        <w:instrText>-</w:instrText>
      </w:r>
      <w:r w:rsidR="002466C9">
        <w:rPr>
          <w:lang w:val="en-US"/>
        </w:rPr>
        <w:instrText>particle</w:instrText>
      </w:r>
      <w:r w:rsidR="002466C9" w:rsidRPr="00124904">
        <w:instrText>":"","</w:instrText>
      </w:r>
      <w:r w:rsidR="002466C9">
        <w:rPr>
          <w:lang w:val="en-US"/>
        </w:rPr>
        <w:instrText>parse</w:instrText>
      </w:r>
      <w:r w:rsidR="002466C9" w:rsidRPr="00124904">
        <w:instrText>-</w:instrText>
      </w:r>
      <w:r w:rsidR="002466C9">
        <w:rPr>
          <w:lang w:val="en-US"/>
        </w:rPr>
        <w:instrText>names</w:instrText>
      </w:r>
      <w:r w:rsidR="002466C9" w:rsidRPr="00124904">
        <w:instrText>":</w:instrText>
      </w:r>
      <w:r w:rsidR="002466C9">
        <w:rPr>
          <w:lang w:val="en-US"/>
        </w:rPr>
        <w:instrText>false</w:instrText>
      </w:r>
      <w:r w:rsidR="002466C9" w:rsidRPr="00124904">
        <w:instrText>,"</w:instrText>
      </w:r>
      <w:r w:rsidR="002466C9">
        <w:rPr>
          <w:lang w:val="en-US"/>
        </w:rPr>
        <w:instrText>suffix</w:instrText>
      </w:r>
      <w:r w:rsidR="002466C9" w:rsidRPr="00124904">
        <w:instrText>":""},{"</w:instrText>
      </w:r>
      <w:r w:rsidR="002466C9">
        <w:rPr>
          <w:lang w:val="en-US"/>
        </w:rPr>
        <w:instrText>dropping</w:instrText>
      </w:r>
      <w:r w:rsidR="002466C9" w:rsidRPr="00124904">
        <w:instrText>-</w:instrText>
      </w:r>
      <w:r w:rsidR="002466C9">
        <w:rPr>
          <w:lang w:val="en-US"/>
        </w:rPr>
        <w:instrText>particle</w:instrText>
      </w:r>
      <w:r w:rsidR="002466C9" w:rsidRPr="00124904">
        <w:instrText>":"","</w:instrText>
      </w:r>
      <w:r w:rsidR="002466C9">
        <w:rPr>
          <w:lang w:val="en-US"/>
        </w:rPr>
        <w:instrText>family</w:instrText>
      </w:r>
      <w:r w:rsidR="002466C9" w:rsidRPr="00124904">
        <w:instrText>":"</w:instrText>
      </w:r>
      <w:r w:rsidR="002466C9">
        <w:rPr>
          <w:lang w:val="en-US"/>
        </w:rPr>
        <w:instrText>Maino</w:instrText>
      </w:r>
      <w:r w:rsidR="002466C9" w:rsidRPr="00124904">
        <w:instrText>","</w:instrText>
      </w:r>
      <w:r w:rsidR="002466C9">
        <w:rPr>
          <w:lang w:val="en-US"/>
        </w:rPr>
        <w:instrText>given</w:instrText>
      </w:r>
      <w:r w:rsidR="002466C9" w:rsidRPr="00124904">
        <w:instrText>":"</w:instrText>
      </w:r>
      <w:r w:rsidR="002466C9">
        <w:rPr>
          <w:lang w:val="en-US"/>
        </w:rPr>
        <w:instrText>Elena</w:instrText>
      </w:r>
      <w:r w:rsidR="002466C9" w:rsidRPr="00124904">
        <w:instrText>","</w:instrText>
      </w:r>
      <w:r w:rsidR="002466C9">
        <w:rPr>
          <w:lang w:val="en-US"/>
        </w:rPr>
        <w:instrText>non</w:instrText>
      </w:r>
      <w:r w:rsidR="002466C9" w:rsidRPr="00124904">
        <w:instrText>-</w:instrText>
      </w:r>
      <w:r w:rsidR="002466C9">
        <w:rPr>
          <w:lang w:val="en-US"/>
        </w:rPr>
        <w:instrText>dropping</w:instrText>
      </w:r>
      <w:r w:rsidR="002466C9" w:rsidRPr="00124904">
        <w:instrText>-</w:instrText>
      </w:r>
      <w:r w:rsidR="002466C9">
        <w:rPr>
          <w:lang w:val="en-US"/>
        </w:rPr>
        <w:instrText>particle</w:instrText>
      </w:r>
      <w:r w:rsidR="002466C9" w:rsidRPr="00124904">
        <w:instrText>":"","</w:instrText>
      </w:r>
      <w:r w:rsidR="002466C9">
        <w:rPr>
          <w:lang w:val="en-US"/>
        </w:rPr>
        <w:instrText>parse</w:instrText>
      </w:r>
      <w:r w:rsidR="002466C9" w:rsidRPr="00124904">
        <w:instrText>-</w:instrText>
      </w:r>
      <w:r w:rsidR="002466C9">
        <w:rPr>
          <w:lang w:val="en-US"/>
        </w:rPr>
        <w:instrText>names</w:instrText>
      </w:r>
      <w:r w:rsidR="002466C9" w:rsidRPr="00124904">
        <w:instrText>":</w:instrText>
      </w:r>
      <w:r w:rsidR="002466C9">
        <w:rPr>
          <w:lang w:val="en-US"/>
        </w:rPr>
        <w:instrText>false</w:instrText>
      </w:r>
      <w:r w:rsidR="002466C9" w:rsidRPr="00124904">
        <w:instrText>,"</w:instrText>
      </w:r>
      <w:r w:rsidR="002466C9">
        <w:rPr>
          <w:lang w:val="en-US"/>
        </w:rPr>
        <w:instrText>suffix</w:instrText>
      </w:r>
      <w:r w:rsidR="002466C9" w:rsidRPr="00124904">
        <w:instrText>":""},{"</w:instrText>
      </w:r>
      <w:r w:rsidR="002466C9">
        <w:rPr>
          <w:lang w:val="en-US"/>
        </w:rPr>
        <w:instrText>dropping</w:instrText>
      </w:r>
      <w:r w:rsidR="002466C9" w:rsidRPr="00124904">
        <w:instrText>-</w:instrText>
      </w:r>
      <w:r w:rsidR="002466C9">
        <w:rPr>
          <w:lang w:val="en-US"/>
        </w:rPr>
        <w:instrText>particle</w:instrText>
      </w:r>
      <w:r w:rsidR="002466C9" w:rsidRPr="00124904">
        <w:instrText>":"","</w:instrText>
      </w:r>
      <w:r w:rsidR="002466C9">
        <w:rPr>
          <w:lang w:val="en-US"/>
        </w:rPr>
        <w:instrText>family</w:instrText>
      </w:r>
      <w:r w:rsidR="002466C9" w:rsidRPr="00124904">
        <w:instrText>":"</w:instrText>
      </w:r>
      <w:r w:rsidR="002466C9">
        <w:rPr>
          <w:lang w:val="en-US"/>
        </w:rPr>
        <w:instrText>Cortelazzo</w:instrText>
      </w:r>
      <w:r w:rsidR="002466C9" w:rsidRPr="00124904">
        <w:instrText>","</w:instrText>
      </w:r>
      <w:r w:rsidR="002466C9">
        <w:rPr>
          <w:lang w:val="en-US"/>
        </w:rPr>
        <w:instrText>given</w:instrText>
      </w:r>
      <w:r w:rsidR="002466C9" w:rsidRPr="00124904">
        <w:instrText>":"</w:instrText>
      </w:r>
      <w:r w:rsidR="002466C9">
        <w:rPr>
          <w:lang w:val="en-US"/>
        </w:rPr>
        <w:instrText>Sergio</w:instrText>
      </w:r>
      <w:r w:rsidR="002466C9" w:rsidRPr="00124904">
        <w:instrText>","</w:instrText>
      </w:r>
      <w:r w:rsidR="002466C9">
        <w:rPr>
          <w:lang w:val="en-US"/>
        </w:rPr>
        <w:instrText>non</w:instrText>
      </w:r>
      <w:r w:rsidR="002466C9" w:rsidRPr="00124904">
        <w:instrText>-</w:instrText>
      </w:r>
      <w:r w:rsidR="002466C9">
        <w:rPr>
          <w:lang w:val="en-US"/>
        </w:rPr>
        <w:instrText>dropping</w:instrText>
      </w:r>
      <w:r w:rsidR="002466C9" w:rsidRPr="00124904">
        <w:instrText>-</w:instrText>
      </w:r>
      <w:r w:rsidR="002466C9">
        <w:rPr>
          <w:lang w:val="en-US"/>
        </w:rPr>
        <w:instrText>particle</w:instrText>
      </w:r>
      <w:r w:rsidR="002466C9" w:rsidRPr="00124904">
        <w:instrText>":"","</w:instrText>
      </w:r>
      <w:r w:rsidR="002466C9">
        <w:rPr>
          <w:lang w:val="en-US"/>
        </w:rPr>
        <w:instrText>parse</w:instrText>
      </w:r>
      <w:r w:rsidR="002466C9" w:rsidRPr="00124904">
        <w:instrText>-</w:instrText>
      </w:r>
      <w:r w:rsidR="002466C9">
        <w:rPr>
          <w:lang w:val="en-US"/>
        </w:rPr>
        <w:instrText>names</w:instrText>
      </w:r>
      <w:r w:rsidR="002466C9" w:rsidRPr="00124904">
        <w:instrText>":</w:instrText>
      </w:r>
      <w:r w:rsidR="002466C9">
        <w:rPr>
          <w:lang w:val="en-US"/>
        </w:rPr>
        <w:instrText>false</w:instrText>
      </w:r>
      <w:r w:rsidR="002466C9" w:rsidRPr="00124904">
        <w:instrText>,"</w:instrText>
      </w:r>
      <w:r w:rsidR="002466C9">
        <w:rPr>
          <w:lang w:val="en-US"/>
        </w:rPr>
        <w:instrText>suffix</w:instrText>
      </w:r>
      <w:r w:rsidR="002466C9" w:rsidRPr="00124904">
        <w:instrText>":""}],"</w:instrText>
      </w:r>
      <w:r w:rsidR="002466C9">
        <w:rPr>
          <w:lang w:val="en-US"/>
        </w:rPr>
        <w:instrText>container</w:instrText>
      </w:r>
      <w:r w:rsidR="002466C9" w:rsidRPr="00124904">
        <w:instrText>-</w:instrText>
      </w:r>
      <w:r w:rsidR="002466C9">
        <w:rPr>
          <w:lang w:val="en-US"/>
        </w:rPr>
        <w:instrText>title</w:instrText>
      </w:r>
      <w:r w:rsidR="002466C9" w:rsidRPr="00124904">
        <w:instrText>":"</w:instrText>
      </w:r>
      <w:r w:rsidR="002466C9">
        <w:rPr>
          <w:lang w:val="en-US"/>
        </w:rPr>
        <w:instrText>European</w:instrText>
      </w:r>
      <w:r w:rsidR="002466C9" w:rsidRPr="00124904">
        <w:instrText xml:space="preserve"> </w:instrText>
      </w:r>
      <w:r w:rsidR="002466C9">
        <w:rPr>
          <w:lang w:val="en-US"/>
        </w:rPr>
        <w:instrText>journal</w:instrText>
      </w:r>
      <w:r w:rsidR="002466C9" w:rsidRPr="00124904">
        <w:instrText xml:space="preserve"> </w:instrText>
      </w:r>
      <w:r w:rsidR="002466C9">
        <w:rPr>
          <w:lang w:val="en-US"/>
        </w:rPr>
        <w:instrText>of</w:instrText>
      </w:r>
      <w:r w:rsidR="002466C9" w:rsidRPr="00124904">
        <w:instrText xml:space="preserve"> </w:instrText>
      </w:r>
      <w:r w:rsidR="002466C9">
        <w:rPr>
          <w:lang w:val="en-US"/>
        </w:rPr>
        <w:instrText>haematology</w:instrText>
      </w:r>
      <w:r w:rsidR="002466C9" w:rsidRPr="00124904">
        <w:instrText>","</w:instrText>
      </w:r>
      <w:r w:rsidR="002466C9">
        <w:rPr>
          <w:lang w:val="en-US"/>
        </w:rPr>
        <w:instrText>id</w:instrText>
      </w:r>
      <w:r w:rsidR="002466C9" w:rsidRPr="00124904">
        <w:instrText>":"</w:instrText>
      </w:r>
      <w:r w:rsidR="002466C9">
        <w:rPr>
          <w:lang w:val="en-US"/>
        </w:rPr>
        <w:instrText>ITEM</w:instrText>
      </w:r>
      <w:r w:rsidR="002466C9" w:rsidRPr="00124904">
        <w:instrText>-1","</w:instrText>
      </w:r>
      <w:r w:rsidR="002466C9">
        <w:rPr>
          <w:lang w:val="en-US"/>
        </w:rPr>
        <w:instrText>issue</w:instrText>
      </w:r>
      <w:r w:rsidR="002466C9" w:rsidRPr="00124904">
        <w:instrText>":"5","</w:instrText>
      </w:r>
      <w:r w:rsidR="002466C9">
        <w:rPr>
          <w:lang w:val="en-US"/>
        </w:rPr>
        <w:instrText>issued</w:instrText>
      </w:r>
      <w:r w:rsidR="002466C9" w:rsidRPr="00124904">
        <w:instrText>":{"</w:instrText>
      </w:r>
      <w:r w:rsidR="002466C9">
        <w:rPr>
          <w:lang w:val="en-US"/>
        </w:rPr>
        <w:instrText>date</w:instrText>
      </w:r>
      <w:r w:rsidR="002466C9" w:rsidRPr="00124904">
        <w:instrText>-</w:instrText>
      </w:r>
      <w:r w:rsidR="002466C9">
        <w:rPr>
          <w:lang w:val="en-US"/>
        </w:rPr>
        <w:instrText>parts</w:instrText>
      </w:r>
      <w:r w:rsidR="002466C9" w:rsidRPr="00124904">
        <w:instrText>":[["2016","5"]]},"</w:instrText>
      </w:r>
      <w:r w:rsidR="002466C9">
        <w:rPr>
          <w:lang w:val="en-US"/>
        </w:rPr>
        <w:instrText>page</w:instrText>
      </w:r>
      <w:r w:rsidR="002466C9" w:rsidRPr="00124904">
        <w:instrText>":"447-60","</w:instrText>
      </w:r>
      <w:r w:rsidR="002466C9">
        <w:rPr>
          <w:lang w:val="en-US"/>
        </w:rPr>
        <w:instrText>title</w:instrText>
      </w:r>
      <w:r w:rsidR="002466C9" w:rsidRPr="00124904">
        <w:instrText>":"</w:instrText>
      </w:r>
      <w:r w:rsidR="002466C9">
        <w:rPr>
          <w:lang w:val="en-US"/>
        </w:rPr>
        <w:instrText>Lymphoblastic</w:instrText>
      </w:r>
      <w:r w:rsidR="002466C9" w:rsidRPr="00124904">
        <w:instrText xml:space="preserve"> </w:instrText>
      </w:r>
      <w:r w:rsidR="002466C9">
        <w:rPr>
          <w:lang w:val="en-US"/>
        </w:rPr>
        <w:instrText>lymphoma</w:instrText>
      </w:r>
      <w:r w:rsidR="002466C9" w:rsidRPr="00124904">
        <w:instrText xml:space="preserve">: </w:instrText>
      </w:r>
      <w:r w:rsidR="002466C9">
        <w:rPr>
          <w:lang w:val="en-US"/>
        </w:rPr>
        <w:instrText>an</w:instrText>
      </w:r>
      <w:r w:rsidR="002466C9" w:rsidRPr="00124904">
        <w:instrText xml:space="preserve"> </w:instrText>
      </w:r>
      <w:r w:rsidR="002466C9">
        <w:rPr>
          <w:lang w:val="en-US"/>
        </w:rPr>
        <w:instrText>updated</w:instrText>
      </w:r>
      <w:r w:rsidR="002466C9" w:rsidRPr="00124904">
        <w:instrText xml:space="preserve"> </w:instrText>
      </w:r>
      <w:r w:rsidR="002466C9">
        <w:rPr>
          <w:lang w:val="en-US"/>
        </w:rPr>
        <w:instrText>review</w:instrText>
      </w:r>
      <w:r w:rsidR="002466C9" w:rsidRPr="00124904">
        <w:instrText xml:space="preserve"> </w:instrText>
      </w:r>
      <w:r w:rsidR="002466C9">
        <w:rPr>
          <w:lang w:val="en-US"/>
        </w:rPr>
        <w:instrText>on</w:instrText>
      </w:r>
      <w:r w:rsidR="002466C9" w:rsidRPr="00124904">
        <w:instrText xml:space="preserve"> </w:instrText>
      </w:r>
      <w:r w:rsidR="002466C9">
        <w:rPr>
          <w:lang w:val="en-US"/>
        </w:rPr>
        <w:instrText>biology</w:instrText>
      </w:r>
      <w:r w:rsidR="002466C9" w:rsidRPr="00124904">
        <w:instrText xml:space="preserve">, </w:instrText>
      </w:r>
      <w:r w:rsidR="002466C9">
        <w:rPr>
          <w:lang w:val="en-US"/>
        </w:rPr>
        <w:instrText>diagnosis</w:instrText>
      </w:r>
      <w:r w:rsidR="002466C9" w:rsidRPr="00124904">
        <w:instrText xml:space="preserve">, </w:instrText>
      </w:r>
      <w:r w:rsidR="002466C9">
        <w:rPr>
          <w:lang w:val="en-US"/>
        </w:rPr>
        <w:instrText>and</w:instrText>
      </w:r>
      <w:r w:rsidR="002466C9" w:rsidRPr="00124904">
        <w:instrText xml:space="preserve"> </w:instrText>
      </w:r>
      <w:r w:rsidR="002466C9">
        <w:rPr>
          <w:lang w:val="en-US"/>
        </w:rPr>
        <w:instrText>treatment</w:instrText>
      </w:r>
      <w:r w:rsidR="002466C9" w:rsidRPr="00124904">
        <w:instrText>.","</w:instrText>
      </w:r>
      <w:r w:rsidR="002466C9">
        <w:rPr>
          <w:lang w:val="en-US"/>
        </w:rPr>
        <w:instrText>type</w:instrText>
      </w:r>
      <w:r w:rsidR="002466C9" w:rsidRPr="00124904">
        <w:instrText>":"</w:instrText>
      </w:r>
      <w:r w:rsidR="002466C9">
        <w:rPr>
          <w:lang w:val="en-US"/>
        </w:rPr>
        <w:instrText>article</w:instrText>
      </w:r>
      <w:r w:rsidR="002466C9" w:rsidRPr="00124904">
        <w:instrText>-</w:instrText>
      </w:r>
      <w:r w:rsidR="002466C9">
        <w:rPr>
          <w:lang w:val="en-US"/>
        </w:rPr>
        <w:instrText>journal</w:instrText>
      </w:r>
      <w:r w:rsidR="002466C9" w:rsidRPr="00124904">
        <w:instrText>","</w:instrText>
      </w:r>
      <w:r w:rsidR="002466C9">
        <w:rPr>
          <w:lang w:val="en-US"/>
        </w:rPr>
        <w:instrText>volume</w:instrText>
      </w:r>
      <w:r w:rsidR="002466C9" w:rsidRPr="00124904">
        <w:instrText>":"96"},"</w:instrText>
      </w:r>
      <w:r w:rsidR="002466C9">
        <w:rPr>
          <w:lang w:val="en-US"/>
        </w:rPr>
        <w:instrText>uris</w:instrText>
      </w:r>
      <w:r w:rsidR="002466C9" w:rsidRPr="00124904">
        <w:instrText>":["</w:instrText>
      </w:r>
      <w:r w:rsidR="002466C9">
        <w:rPr>
          <w:lang w:val="en-US"/>
        </w:rPr>
        <w:instrText>http</w:instrText>
      </w:r>
      <w:r w:rsidR="002466C9" w:rsidRPr="00124904">
        <w:instrText>://</w:instrText>
      </w:r>
      <w:r w:rsidR="002466C9">
        <w:rPr>
          <w:lang w:val="en-US"/>
        </w:rPr>
        <w:instrText>www</w:instrText>
      </w:r>
      <w:r w:rsidR="002466C9" w:rsidRPr="00124904">
        <w:instrText>.</w:instrText>
      </w:r>
      <w:r w:rsidR="002466C9">
        <w:rPr>
          <w:lang w:val="en-US"/>
        </w:rPr>
        <w:instrText>mendeley</w:instrText>
      </w:r>
      <w:r w:rsidR="002466C9" w:rsidRPr="00124904">
        <w:instrText>.</w:instrText>
      </w:r>
      <w:r w:rsidR="002466C9">
        <w:rPr>
          <w:lang w:val="en-US"/>
        </w:rPr>
        <w:instrText>com</w:instrText>
      </w:r>
      <w:r w:rsidR="002466C9" w:rsidRPr="00124904">
        <w:instrText>/</w:instrText>
      </w:r>
      <w:r w:rsidR="002466C9">
        <w:rPr>
          <w:lang w:val="en-US"/>
        </w:rPr>
        <w:instrText>documents</w:instrText>
      </w:r>
      <w:r w:rsidR="002466C9" w:rsidRPr="00124904">
        <w:instrText>/?</w:instrText>
      </w:r>
      <w:r w:rsidR="002466C9">
        <w:rPr>
          <w:lang w:val="en-US"/>
        </w:rPr>
        <w:instrText>uuid</w:instrText>
      </w:r>
      <w:r w:rsidR="002466C9" w:rsidRPr="00124904">
        <w:instrText>=7</w:instrText>
      </w:r>
      <w:r w:rsidR="002466C9">
        <w:rPr>
          <w:lang w:val="en-US"/>
        </w:rPr>
        <w:instrText>feba</w:instrText>
      </w:r>
      <w:r w:rsidR="002466C9" w:rsidRPr="00124904">
        <w:instrText>565-014</w:instrText>
      </w:r>
      <w:r w:rsidR="002466C9">
        <w:rPr>
          <w:lang w:val="en-US"/>
        </w:rPr>
        <w:instrText>f</w:instrText>
      </w:r>
      <w:r w:rsidR="002466C9" w:rsidRPr="00124904">
        <w:instrText>-3600-86</w:instrText>
      </w:r>
      <w:r w:rsidR="002466C9">
        <w:rPr>
          <w:lang w:val="en-US"/>
        </w:rPr>
        <w:instrText>ec</w:instrText>
      </w:r>
      <w:r w:rsidR="002466C9" w:rsidRPr="00124904">
        <w:instrText>-0963</w:instrText>
      </w:r>
      <w:r w:rsidR="002466C9">
        <w:rPr>
          <w:lang w:val="en-US"/>
        </w:rPr>
        <w:instrText>b</w:instrText>
      </w:r>
      <w:r w:rsidR="002466C9" w:rsidRPr="00124904">
        <w:instrText>3</w:instrText>
      </w:r>
      <w:r w:rsidR="002466C9">
        <w:rPr>
          <w:lang w:val="en-US"/>
        </w:rPr>
        <w:instrText>e</w:instrText>
      </w:r>
      <w:r w:rsidR="002466C9" w:rsidRPr="00124904">
        <w:instrText>847</w:instrText>
      </w:r>
      <w:r w:rsidR="002466C9">
        <w:rPr>
          <w:lang w:val="en-US"/>
        </w:rPr>
        <w:instrText>bb</w:instrText>
      </w:r>
      <w:r w:rsidR="002466C9" w:rsidRPr="00124904">
        <w:instrText>"]},{"</w:instrText>
      </w:r>
      <w:r w:rsidR="002466C9">
        <w:rPr>
          <w:lang w:val="en-US"/>
        </w:rPr>
        <w:instrText>id</w:instrText>
      </w:r>
      <w:r w:rsidR="002466C9" w:rsidRPr="00124904">
        <w:instrText>":"</w:instrText>
      </w:r>
      <w:r w:rsidR="002466C9">
        <w:rPr>
          <w:lang w:val="en-US"/>
        </w:rPr>
        <w:instrText>ITEM</w:instrText>
      </w:r>
      <w:r w:rsidR="002466C9" w:rsidRPr="00124904">
        <w:instrText>-2","</w:instrText>
      </w:r>
      <w:r w:rsidR="002466C9">
        <w:rPr>
          <w:lang w:val="en-US"/>
        </w:rPr>
        <w:instrText>itemData</w:instrText>
      </w:r>
      <w:r w:rsidR="002466C9" w:rsidRPr="00124904">
        <w:instrText>":{"</w:instrText>
      </w:r>
      <w:r w:rsidR="002466C9">
        <w:rPr>
          <w:lang w:val="en-US"/>
        </w:rPr>
        <w:instrText>DOI</w:instrText>
      </w:r>
      <w:r w:rsidR="002466C9" w:rsidRPr="00124904">
        <w:instrText>":"10.1016/</w:instrText>
      </w:r>
      <w:r w:rsidR="002466C9">
        <w:rPr>
          <w:lang w:val="en-US"/>
        </w:rPr>
        <w:instrText>j</w:instrText>
      </w:r>
      <w:r w:rsidR="002466C9" w:rsidRPr="00124904">
        <w:instrText>.</w:instrText>
      </w:r>
      <w:r w:rsidR="002466C9">
        <w:rPr>
          <w:lang w:val="en-US"/>
        </w:rPr>
        <w:instrText>critrevonc</w:instrText>
      </w:r>
      <w:r w:rsidR="002466C9" w:rsidRPr="00124904">
        <w:instrText>.2017.03.020","</w:instrText>
      </w:r>
      <w:r w:rsidR="002466C9">
        <w:rPr>
          <w:lang w:val="en-US"/>
        </w:rPr>
        <w:instrText>ISSN</w:instrText>
      </w:r>
      <w:r w:rsidR="002466C9" w:rsidRPr="00124904">
        <w:instrText>":"1879-0461","</w:instrText>
      </w:r>
      <w:r w:rsidR="002466C9">
        <w:rPr>
          <w:lang w:val="en-US"/>
        </w:rPr>
        <w:instrText>PMID</w:instrText>
      </w:r>
      <w:r w:rsidR="002466C9" w:rsidRPr="00124904">
        <w:instrText>":"28427520","</w:instrText>
      </w:r>
      <w:r w:rsidR="002466C9">
        <w:rPr>
          <w:lang w:val="en-US"/>
        </w:rPr>
        <w:instrText>abstract</w:instrText>
      </w:r>
      <w:r w:rsidR="002466C9" w:rsidRPr="00124904">
        <w:instrText>":"</w:instrText>
      </w:r>
      <w:r w:rsidR="002466C9">
        <w:rPr>
          <w:lang w:val="en-US"/>
        </w:rPr>
        <w:instrText>Lymphoblastic</w:instrText>
      </w:r>
      <w:r w:rsidR="002466C9" w:rsidRPr="00124904">
        <w:instrText xml:space="preserve"> </w:instrText>
      </w:r>
      <w:r w:rsidR="002466C9">
        <w:rPr>
          <w:lang w:val="en-US"/>
        </w:rPr>
        <w:instrText>lymphoma</w:instrText>
      </w:r>
      <w:r w:rsidR="002466C9" w:rsidRPr="00124904">
        <w:instrText xml:space="preserve"> (</w:instrText>
      </w:r>
      <w:r w:rsidR="002466C9">
        <w:rPr>
          <w:lang w:val="en-US"/>
        </w:rPr>
        <w:instrText>LBL</w:instrText>
      </w:r>
      <w:r w:rsidR="002466C9" w:rsidRPr="00124904">
        <w:instrText xml:space="preserve">) </w:instrText>
      </w:r>
      <w:r w:rsidR="002466C9">
        <w:rPr>
          <w:lang w:val="en-US"/>
        </w:rPr>
        <w:instrText>is</w:instrText>
      </w:r>
      <w:r w:rsidR="002466C9" w:rsidRPr="00124904">
        <w:instrText xml:space="preserve"> </w:instrText>
      </w:r>
      <w:r w:rsidR="002466C9">
        <w:rPr>
          <w:lang w:val="en-US"/>
        </w:rPr>
        <w:instrText>a</w:instrText>
      </w:r>
      <w:r w:rsidR="002466C9" w:rsidRPr="00124904">
        <w:instrText xml:space="preserve"> </w:instrText>
      </w:r>
      <w:r w:rsidR="002466C9">
        <w:rPr>
          <w:lang w:val="en-US"/>
        </w:rPr>
        <w:instrText>neoplasm</w:instrText>
      </w:r>
      <w:r w:rsidR="002466C9" w:rsidRPr="00124904">
        <w:instrText xml:space="preserve"> </w:instrText>
      </w:r>
      <w:r w:rsidR="002466C9">
        <w:rPr>
          <w:lang w:val="en-US"/>
        </w:rPr>
        <w:instrText>of</w:instrText>
      </w:r>
      <w:r w:rsidR="002466C9" w:rsidRPr="00124904">
        <w:instrText xml:space="preserve"> </w:instrText>
      </w:r>
      <w:r w:rsidR="002466C9">
        <w:rPr>
          <w:lang w:val="en-US"/>
        </w:rPr>
        <w:instrText>immature</w:instrText>
      </w:r>
      <w:r w:rsidR="002466C9" w:rsidRPr="00124904">
        <w:instrText xml:space="preserve"> </w:instrText>
      </w:r>
      <w:r w:rsidR="002466C9">
        <w:rPr>
          <w:lang w:val="en-US"/>
        </w:rPr>
        <w:instrText>B</w:instrText>
      </w:r>
      <w:r w:rsidR="002466C9" w:rsidRPr="00124904">
        <w:instrText xml:space="preserve"> </w:instrText>
      </w:r>
      <w:r w:rsidR="002466C9">
        <w:rPr>
          <w:lang w:val="en-US"/>
        </w:rPr>
        <w:instrText>cells</w:instrText>
      </w:r>
      <w:r w:rsidR="002466C9" w:rsidRPr="00124904">
        <w:instrText xml:space="preserve"> </w:instrText>
      </w:r>
      <w:r w:rsidR="002466C9">
        <w:rPr>
          <w:lang w:val="en-US"/>
        </w:rPr>
        <w:instrText>committed</w:instrText>
      </w:r>
      <w:r w:rsidR="002466C9" w:rsidRPr="00124904">
        <w:instrText xml:space="preserve"> </w:instrText>
      </w:r>
      <w:r w:rsidR="002466C9">
        <w:rPr>
          <w:lang w:val="en-US"/>
        </w:rPr>
        <w:instrText>to</w:instrText>
      </w:r>
      <w:r w:rsidR="002466C9" w:rsidRPr="00124904">
        <w:instrText xml:space="preserve"> </w:instrText>
      </w:r>
      <w:r w:rsidR="002466C9">
        <w:rPr>
          <w:lang w:val="en-US"/>
        </w:rPr>
        <w:instrText>the</w:instrText>
      </w:r>
      <w:r w:rsidR="002466C9" w:rsidRPr="00124904">
        <w:instrText xml:space="preserve"> </w:instrText>
      </w:r>
      <w:r w:rsidR="002466C9">
        <w:rPr>
          <w:lang w:val="en-US"/>
        </w:rPr>
        <w:instrText>B</w:instrText>
      </w:r>
      <w:r w:rsidR="002466C9" w:rsidRPr="00124904">
        <w:instrText>-(</w:instrText>
      </w:r>
      <w:r w:rsidR="002466C9">
        <w:rPr>
          <w:lang w:val="en-US"/>
        </w:rPr>
        <w:instrText>B</w:instrText>
      </w:r>
      <w:r w:rsidR="002466C9" w:rsidRPr="00124904">
        <w:instrText>-</w:instrText>
      </w:r>
      <w:r w:rsidR="002466C9">
        <w:rPr>
          <w:lang w:val="en-US"/>
        </w:rPr>
        <w:instrText>LBL</w:instrText>
      </w:r>
      <w:r w:rsidR="002466C9" w:rsidRPr="00124904">
        <w:instrText xml:space="preserve">) </w:instrText>
      </w:r>
      <w:r w:rsidR="002466C9">
        <w:rPr>
          <w:lang w:val="en-US"/>
        </w:rPr>
        <w:instrText>or</w:instrText>
      </w:r>
      <w:r w:rsidR="002466C9" w:rsidRPr="00124904">
        <w:instrText xml:space="preserve"> </w:instrText>
      </w:r>
      <w:r w:rsidR="002466C9">
        <w:rPr>
          <w:lang w:val="en-US"/>
        </w:rPr>
        <w:instrText>T</w:instrText>
      </w:r>
      <w:r w:rsidR="002466C9" w:rsidRPr="00124904">
        <w:instrText>-</w:instrText>
      </w:r>
      <w:r w:rsidR="002466C9">
        <w:rPr>
          <w:lang w:val="en-US"/>
        </w:rPr>
        <w:instrText>cell</w:instrText>
      </w:r>
      <w:r w:rsidR="002466C9" w:rsidRPr="00124904">
        <w:instrText xml:space="preserve"> </w:instrText>
      </w:r>
      <w:r w:rsidR="002466C9">
        <w:rPr>
          <w:lang w:val="en-US"/>
        </w:rPr>
        <w:instrText>lineage</w:instrText>
      </w:r>
      <w:r w:rsidR="002466C9" w:rsidRPr="00124904">
        <w:instrText xml:space="preserve"> (</w:instrText>
      </w:r>
      <w:r w:rsidR="002466C9">
        <w:rPr>
          <w:lang w:val="en-US"/>
        </w:rPr>
        <w:instrText>T</w:instrText>
      </w:r>
      <w:r w:rsidR="002466C9" w:rsidRPr="00124904">
        <w:instrText>-</w:instrText>
      </w:r>
      <w:r w:rsidR="002466C9">
        <w:rPr>
          <w:lang w:val="en-US"/>
        </w:rPr>
        <w:instrText>LBL</w:instrText>
      </w:r>
      <w:r w:rsidR="002466C9" w:rsidRPr="00124904">
        <w:instrText xml:space="preserve">) </w:instrText>
      </w:r>
      <w:r w:rsidR="002466C9">
        <w:rPr>
          <w:lang w:val="en-US"/>
        </w:rPr>
        <w:instrText>that</w:instrText>
      </w:r>
      <w:r w:rsidR="002466C9" w:rsidRPr="00124904">
        <w:instrText xml:space="preserve"> </w:instrText>
      </w:r>
      <w:r w:rsidR="002466C9">
        <w:rPr>
          <w:lang w:val="en-US"/>
        </w:rPr>
        <w:instrText>accounts</w:instrText>
      </w:r>
      <w:r w:rsidR="002466C9" w:rsidRPr="00124904">
        <w:instrText xml:space="preserve"> </w:instrText>
      </w:r>
      <w:r w:rsidR="002466C9">
        <w:rPr>
          <w:lang w:val="en-US"/>
        </w:rPr>
        <w:instrText>for</w:instrText>
      </w:r>
      <w:r w:rsidR="002466C9" w:rsidRPr="00124904">
        <w:instrText xml:space="preserve"> </w:instrText>
      </w:r>
      <w:r w:rsidR="002466C9">
        <w:rPr>
          <w:lang w:val="en-US"/>
        </w:rPr>
        <w:instrText>approximately</w:instrText>
      </w:r>
      <w:r w:rsidR="002466C9" w:rsidRPr="00124904">
        <w:instrText xml:space="preserve"> 2% </w:instrText>
      </w:r>
      <w:r w:rsidR="002466C9">
        <w:rPr>
          <w:lang w:val="en-US"/>
        </w:rPr>
        <w:instrText>of</w:instrText>
      </w:r>
      <w:r w:rsidR="002466C9" w:rsidRPr="00124904">
        <w:instrText xml:space="preserve"> </w:instrText>
      </w:r>
      <w:r w:rsidR="002466C9">
        <w:rPr>
          <w:lang w:val="en-US"/>
        </w:rPr>
        <w:instrText>all</w:instrText>
      </w:r>
      <w:r w:rsidR="002466C9" w:rsidRPr="00124904">
        <w:instrText xml:space="preserve"> </w:instrText>
      </w:r>
      <w:r w:rsidR="002466C9">
        <w:rPr>
          <w:lang w:val="en-US"/>
        </w:rPr>
        <w:instrText>lymphomas</w:instrText>
      </w:r>
      <w:r w:rsidR="002466C9" w:rsidRPr="00124904">
        <w:instrText xml:space="preserve">. </w:instrText>
      </w:r>
      <w:r w:rsidR="002466C9">
        <w:rPr>
          <w:lang w:val="en-US"/>
        </w:rPr>
        <w:instrText>Although</w:instrText>
      </w:r>
      <w:r w:rsidR="002466C9" w:rsidRPr="00124904">
        <w:instrText xml:space="preserve"> </w:instrText>
      </w:r>
      <w:r w:rsidR="002466C9">
        <w:rPr>
          <w:lang w:val="en-US"/>
        </w:rPr>
        <w:instrText>histological</w:instrText>
      </w:r>
      <w:r w:rsidR="002466C9" w:rsidRPr="00124904">
        <w:instrText xml:space="preserve"> </w:instrText>
      </w:r>
      <w:r w:rsidR="002466C9">
        <w:rPr>
          <w:lang w:val="en-US"/>
        </w:rPr>
        <w:instrText>features</w:instrText>
      </w:r>
      <w:r w:rsidR="002466C9" w:rsidRPr="00124904">
        <w:instrText xml:space="preserve"> </w:instrText>
      </w:r>
      <w:r w:rsidR="002466C9">
        <w:rPr>
          <w:lang w:val="en-US"/>
        </w:rPr>
        <w:instrText>are</w:instrText>
      </w:r>
      <w:r w:rsidR="002466C9" w:rsidRPr="00124904">
        <w:instrText xml:space="preserve"> </w:instrText>
      </w:r>
      <w:r w:rsidR="002466C9">
        <w:rPr>
          <w:lang w:val="en-US"/>
        </w:rPr>
        <w:instrText>usually</w:instrText>
      </w:r>
      <w:r w:rsidR="002466C9" w:rsidRPr="00124904">
        <w:instrText xml:space="preserve"> </w:instrText>
      </w:r>
      <w:r w:rsidR="002466C9">
        <w:rPr>
          <w:lang w:val="en-US"/>
        </w:rPr>
        <w:instrText>sufficient</w:instrText>
      </w:r>
      <w:r w:rsidR="002466C9" w:rsidRPr="00124904">
        <w:instrText xml:space="preserve"> </w:instrText>
      </w:r>
      <w:r w:rsidR="002466C9">
        <w:rPr>
          <w:lang w:val="en-US"/>
        </w:rPr>
        <w:instrText>to</w:instrText>
      </w:r>
      <w:r w:rsidR="002466C9" w:rsidRPr="00124904">
        <w:instrText xml:space="preserve"> </w:instrText>
      </w:r>
      <w:r w:rsidR="002466C9">
        <w:rPr>
          <w:lang w:val="en-US"/>
        </w:rPr>
        <w:instrText>distinguish</w:instrText>
      </w:r>
      <w:r w:rsidR="002466C9" w:rsidRPr="00124904">
        <w:instrText xml:space="preserve"> </w:instrText>
      </w:r>
      <w:r w:rsidR="002466C9">
        <w:rPr>
          <w:lang w:val="en-US"/>
        </w:rPr>
        <w:instrText>lymphoblastic</w:instrText>
      </w:r>
      <w:r w:rsidR="002466C9" w:rsidRPr="00124904">
        <w:instrText xml:space="preserve"> </w:instrText>
      </w:r>
      <w:r w:rsidR="002466C9">
        <w:rPr>
          <w:lang w:val="en-US"/>
        </w:rPr>
        <w:instrText>from</w:instrText>
      </w:r>
      <w:r w:rsidR="002466C9" w:rsidRPr="00124904">
        <w:instrText xml:space="preserve"> </w:instrText>
      </w:r>
      <w:r w:rsidR="002466C9">
        <w:rPr>
          <w:lang w:val="en-US"/>
        </w:rPr>
        <w:instrText>mature</w:instrText>
      </w:r>
      <w:r w:rsidR="002466C9" w:rsidRPr="00124904">
        <w:instrText xml:space="preserve"> </w:instrText>
      </w:r>
      <w:r w:rsidR="002466C9">
        <w:rPr>
          <w:lang w:val="en-US"/>
        </w:rPr>
        <w:instrText>B</w:instrText>
      </w:r>
      <w:r w:rsidR="002466C9" w:rsidRPr="00124904">
        <w:instrText xml:space="preserve">- </w:instrText>
      </w:r>
      <w:r w:rsidR="002466C9">
        <w:rPr>
          <w:lang w:val="en-US"/>
        </w:rPr>
        <w:instrText>or</w:instrText>
      </w:r>
      <w:r w:rsidR="002466C9" w:rsidRPr="00124904">
        <w:instrText xml:space="preserve"> </w:instrText>
      </w:r>
      <w:r w:rsidR="002466C9">
        <w:rPr>
          <w:lang w:val="en-US"/>
        </w:rPr>
        <w:instrText>T</w:instrText>
      </w:r>
      <w:r w:rsidR="002466C9" w:rsidRPr="00124904">
        <w:instrText>-</w:instrText>
      </w:r>
      <w:r w:rsidR="002466C9">
        <w:rPr>
          <w:lang w:val="en-US"/>
        </w:rPr>
        <w:instrText>cell</w:instrText>
      </w:r>
      <w:r w:rsidR="002466C9" w:rsidRPr="00124904">
        <w:instrText xml:space="preserve"> </w:instrText>
      </w:r>
      <w:r w:rsidR="002466C9">
        <w:rPr>
          <w:lang w:val="en-US"/>
        </w:rPr>
        <w:instrText>neoplasms</w:instrText>
      </w:r>
      <w:r w:rsidR="002466C9" w:rsidRPr="00124904">
        <w:instrText xml:space="preserve">, </w:instrText>
      </w:r>
      <w:r w:rsidR="002466C9">
        <w:rPr>
          <w:lang w:val="en-US"/>
        </w:rPr>
        <w:instrText>of</w:instrText>
      </w:r>
      <w:r w:rsidR="002466C9" w:rsidRPr="00124904">
        <w:instrText xml:space="preserve"> </w:instrText>
      </w:r>
      <w:r w:rsidR="002466C9">
        <w:rPr>
          <w:lang w:val="en-US"/>
        </w:rPr>
        <w:instrText>greater</w:instrText>
      </w:r>
      <w:r w:rsidR="002466C9" w:rsidRPr="00124904">
        <w:instrText xml:space="preserve"> </w:instrText>
      </w:r>
      <w:r w:rsidR="002466C9">
        <w:rPr>
          <w:lang w:val="en-US"/>
        </w:rPr>
        <w:instrText>importance</w:instrText>
      </w:r>
      <w:r w:rsidR="002466C9" w:rsidRPr="00124904">
        <w:instrText xml:space="preserve"> </w:instrText>
      </w:r>
      <w:r w:rsidR="002466C9">
        <w:rPr>
          <w:lang w:val="en-US"/>
        </w:rPr>
        <w:instrText>for</w:instrText>
      </w:r>
      <w:r w:rsidR="002466C9" w:rsidRPr="00124904">
        <w:instrText xml:space="preserve"> </w:instrText>
      </w:r>
      <w:r w:rsidR="002466C9">
        <w:rPr>
          <w:lang w:val="en-US"/>
        </w:rPr>
        <w:instrText>diagnosis</w:instrText>
      </w:r>
      <w:r w:rsidR="002466C9" w:rsidRPr="00124904">
        <w:instrText xml:space="preserve"> </w:instrText>
      </w:r>
      <w:r w:rsidR="002466C9">
        <w:rPr>
          <w:lang w:val="en-US"/>
        </w:rPr>
        <w:instrText>is</w:instrText>
      </w:r>
      <w:r w:rsidR="002466C9" w:rsidRPr="00124904">
        <w:instrText xml:space="preserve"> </w:instrText>
      </w:r>
      <w:r w:rsidR="002466C9">
        <w:rPr>
          <w:lang w:val="en-US"/>
        </w:rPr>
        <w:instrText>the</w:instrText>
      </w:r>
      <w:r w:rsidR="002466C9" w:rsidRPr="00124904">
        <w:instrText xml:space="preserve"> </w:instrText>
      </w:r>
      <w:r w:rsidR="002466C9">
        <w:rPr>
          <w:lang w:val="en-US"/>
        </w:rPr>
        <w:instrText>characterization</w:instrText>
      </w:r>
      <w:r w:rsidR="002466C9" w:rsidRPr="00124904">
        <w:instrText xml:space="preserve"> </w:instrText>
      </w:r>
      <w:r w:rsidR="002466C9">
        <w:rPr>
          <w:lang w:val="en-US"/>
        </w:rPr>
        <w:instrText>of</w:instrText>
      </w:r>
      <w:r w:rsidR="002466C9" w:rsidRPr="00124904">
        <w:instrText xml:space="preserve"> </w:instrText>
      </w:r>
      <w:r w:rsidR="002466C9">
        <w:rPr>
          <w:lang w:val="en-US"/>
        </w:rPr>
        <w:instrText>immunophenotype</w:instrText>
      </w:r>
      <w:r w:rsidR="002466C9" w:rsidRPr="00124904">
        <w:instrText xml:space="preserve"> </w:instrText>
      </w:r>
      <w:r w:rsidR="002466C9">
        <w:rPr>
          <w:lang w:val="en-US"/>
        </w:rPr>
        <w:instrText>by</w:instrText>
      </w:r>
      <w:r w:rsidR="002466C9" w:rsidRPr="00124904">
        <w:instrText xml:space="preserve"> </w:instrText>
      </w:r>
      <w:r w:rsidR="002466C9">
        <w:rPr>
          <w:lang w:val="en-US"/>
        </w:rPr>
        <w:instrText>flow</w:instrText>
      </w:r>
      <w:r w:rsidR="002466C9" w:rsidRPr="00124904">
        <w:instrText xml:space="preserve"> </w:instrText>
      </w:r>
      <w:r w:rsidR="002466C9">
        <w:rPr>
          <w:lang w:val="en-US"/>
        </w:rPr>
        <w:instrText>cytometry</w:instrText>
      </w:r>
      <w:r w:rsidR="002466C9" w:rsidRPr="00124904">
        <w:instrText xml:space="preserve">. </w:instrText>
      </w:r>
      <w:r w:rsidR="002466C9">
        <w:rPr>
          <w:lang w:val="en-US"/>
        </w:rPr>
        <w:instrText>LBL</w:instrText>
      </w:r>
      <w:r w:rsidR="002466C9" w:rsidRPr="00124904">
        <w:instrText xml:space="preserve"> </w:instrText>
      </w:r>
      <w:r w:rsidR="002466C9">
        <w:rPr>
          <w:lang w:val="en-US"/>
        </w:rPr>
        <w:instrText>occurs</w:instrText>
      </w:r>
      <w:r w:rsidR="002466C9" w:rsidRPr="00124904">
        <w:instrText xml:space="preserve"> </w:instrText>
      </w:r>
      <w:r w:rsidR="002466C9">
        <w:rPr>
          <w:lang w:val="en-US"/>
        </w:rPr>
        <w:instrText>more</w:instrText>
      </w:r>
      <w:r w:rsidR="002466C9" w:rsidRPr="00124904">
        <w:instrText xml:space="preserve"> </w:instrText>
      </w:r>
      <w:r w:rsidR="002466C9">
        <w:rPr>
          <w:lang w:val="en-US"/>
        </w:rPr>
        <w:instrText>commonly</w:instrText>
      </w:r>
      <w:r w:rsidR="002466C9" w:rsidRPr="00124904">
        <w:instrText xml:space="preserve"> </w:instrText>
      </w:r>
      <w:r w:rsidR="002466C9">
        <w:rPr>
          <w:lang w:val="en-US"/>
        </w:rPr>
        <w:instrText>in</w:instrText>
      </w:r>
      <w:r w:rsidR="002466C9" w:rsidRPr="00124904">
        <w:instrText xml:space="preserve"> </w:instrText>
      </w:r>
      <w:r w:rsidR="002466C9">
        <w:rPr>
          <w:lang w:val="en-US"/>
        </w:rPr>
        <w:instrText>children</w:instrText>
      </w:r>
      <w:r w:rsidR="002466C9" w:rsidRPr="00124904">
        <w:instrText xml:space="preserve"> </w:instrText>
      </w:r>
      <w:r w:rsidR="002466C9">
        <w:rPr>
          <w:lang w:val="en-US"/>
        </w:rPr>
        <w:instrText>than</w:instrText>
      </w:r>
      <w:r w:rsidR="002466C9" w:rsidRPr="00124904">
        <w:instrText xml:space="preserve"> </w:instrText>
      </w:r>
      <w:r w:rsidR="002466C9">
        <w:rPr>
          <w:lang w:val="en-US"/>
        </w:rPr>
        <w:instrText>in</w:instrText>
      </w:r>
      <w:r w:rsidR="002466C9" w:rsidRPr="00124904">
        <w:instrText xml:space="preserve"> </w:instrText>
      </w:r>
      <w:r w:rsidR="002466C9">
        <w:rPr>
          <w:lang w:val="en-US"/>
        </w:rPr>
        <w:instrText>adults</w:instrText>
      </w:r>
      <w:r w:rsidR="002466C9" w:rsidRPr="00124904">
        <w:instrText xml:space="preserve">, </w:instrText>
      </w:r>
      <w:r w:rsidR="002466C9">
        <w:rPr>
          <w:lang w:val="en-US"/>
        </w:rPr>
        <w:instrText>mostly in males. A bone marrow involvement &lt;25% (or 20% according to WHO) formally distinguishes LBL from ALL. The prognosis of LBL has dramatically improved with the use of intensive ALL-type chemotherapy regimens, which includes intensive intrathecal chemotherapy prophylaxis and consolidation with mediastinal irradiation. Patients with adverse prognostic features assessed by postinduction CT/positron emission tomography scans (PET) and minimal residual disease analysis (MRD) should be considered for high-dose chemotherapy and stem cell transplantation. Further therapeutic progresses are expected from the introduction of new drugs and targeting agents.","author":[{"dropping-particle":"","family":"Cortelazzo","given":"Sergio","non-dropping-particle":"","parse-names":false,"suffix":""},{"dropping-particle":"","family":"Ferreri","given":"Andrés","non-dropping-particle":"","parse-names":false,"suffix":""},{"dropping-particle":"","family":"Hoelzer","given":"Dieter","non-dropping-particle":"","parse-names":false,"suffix":""},{"dropping-particle":"","family":"Ponzoni","given":"Maurilio","non-dropping-particle":"","parse-names":false,"suffix":""}],"container-title":"Critical reviews in oncology/hematology","id":"ITEM-2","issued":{"date-parts":[["2017","5"]]},"page":"304-317","title":"Lymphoblastic lymphoma.","type":"article-journal","volume":"113"},"uris":["http://www.mendeley.com/documents/?uuid=e2eed080-a739-3358-b728-ef768a4e754e"]},{"id":"ITEM-3","itemData":{"author":[{"dropping-particle":"","family":"Паровичникова","given":"Е. Н.","non-dropping-particle":"","parse-names":false,"suffix":""},{"dropping-particle":"","family":"Соколов","given":"А. Н.","non-dropping-particle":"","parse-names":false,"suffix":""},{"dropping-particle":"","family":"Троицкая","given":"В. В.","non-dropping-particle":"","parse-names":false,"suffix":""},{"dropping-particle":"","family":"Клясова","given":"Г. А.","non-dropping-particle":"","parse-names":false,"suffix":""},{"dropping-particle":"","family":"Русинов","given":"М. А.","non-dropping-particle":"","parse-names":false,"suffix":""},{"dropping-particle":"","family":"Ахмерзаева","given":"З. Х.","non-dropping-particle":"","parse-names":false,"suffix":""},{"dropping-particle":"","family":"Кузьмина","given":"Л. А.","non-dropping-particle":"","parse-names":false,"suffix":""},{"dropping-particle":"","family":"Бондаренко","given":"С. Н.","non-dropping-particle":"","parse-names":false,"suffix":""},{"dropping-particle":"","family":"Баранова","given":"О. Ю.","non-dropping-particle":"","parse-names":false,"suffix":""},{"dropping-particle":"","family":"Капорская","given":"Т. С.","non-dropping-particle":"","parse-names":false,"suffix":""},{"dropping-particle":"","family":"Зотина","given":"Е. Н.","non-dropping-particle":"","parse-names":false,"suffix":""},{"dropping-particle":"","family":"Зинина","given":"Е. Е.","non-dropping-particle":"","parse-names":false,"suffix":""},{"dropping-particle":"","family":"Самойлова","given":"О. С.","non-dropping-particle":"","parse-names":false,"suffix":""},{"dropping-particle":"","family":"Гаврилова","given":"Л. В.","non-dropping-particle":"","parse-names":false,"suffix":""},{"dropping-particle":"","family":"Капланов","given":"К. Д.","non-dropping-particle":"","parse-names":false,"suffix":""},{"dropping-particle":"","family":"Константинова","given":"Т. С.","non-dropping-particle":"","parse-names":false,"suffix":""},{"dropping-particle":"","family":"Лапин","given":"В. А.","non-dropping-particle":"","parse-names":false,"suffix":""},{"dropping-particle":"","family":"Кравченко","given":"С. К.","non-dropping-particle":"","parse-names":false,"suffix":""},{"dropping-particle":"","family":"Грибанова","given":"Е. О.","non-dropping-particle":"","parse-names":false,"suffix":""},{"dropping-particle":"","family":"Звонков","given":"Е. Е.","non-dropping-particle":"","parse-names":false,"suffix":""},{"dropping-particle":"","family":"Гаврилина","given":"О. А.","non-dropping-particle":"","parse-names":false,"suffix":""},{"dropping-particle":"","family":"Басхаева","given":"Г. А.","non-dropping-particle":"","parse-names":false,"suffix":""},{"dropping-particle":"","family":"Галстян","given":"Г. М.","non-dropping-particle":"","parse-names":false,"suffix":""},{"dropping-particle":"","family":"Обухова","given":"Т. Н.","non-dropping-particle":"","parse-names":false,"suffix":""},{"dropping-particle":"","family":"Гальцева","given":"И. В.","non-dropping-particle":"","parse-names":false,"suffix":""},{"dropping-particle":"","family":"Куликов","given":"С. М.","non-dropping-particle":"","parse-names":false,"suffix":""},{"dropping-particle":"","family":"Савченко","given":"В. Г.","non-dropping-particle":"","parse-names":false,"suffix":""}],"container-title":"Терапевтический архив","id":"ITEM-3","issue":"7","issued":{"date-parts":[["2016"]]},"page":"15-24","title":"Острые Ph-негативные лимфобластные лейкозы взрослых: факторы риска при использовании протокола ОЛЛ-2009","type":"article-journal","volume":"88"},"uris":["http://www.mendeley.com/documents/?uuid=d6ffd749-eb80-4bcb-9819-7bd025632cb5"]}],"mendeley":{"formattedCitation":"[13,14,66]","plainTextFormattedCitation":"[13,14,66]","previouslyFormattedCitation":"[13,14,66]"},"properties":{"noteIndex":0},"schema":"https://github.com/citation-style-language/schema/raw/master/csl-citation.json"}</w:instrText>
      </w:r>
      <w:r w:rsidR="00A27AD5">
        <w:fldChar w:fldCharType="separate"/>
      </w:r>
      <w:r w:rsidR="00A66456" w:rsidRPr="00A66456">
        <w:rPr>
          <w:noProof/>
        </w:rPr>
        <w:t>[13,14,66]</w:t>
      </w:r>
      <w:r w:rsidR="00A27AD5">
        <w:fldChar w:fldCharType="end"/>
      </w:r>
      <w:r w:rsidR="00A27AD5">
        <w:t>.</w:t>
      </w:r>
      <w:r w:rsidR="00A27AD5" w:rsidRPr="00BF7F2C">
        <w:t xml:space="preserve"> </w:t>
      </w:r>
    </w:p>
    <w:p w14:paraId="28F91B0F" w14:textId="77777777" w:rsidR="00254823" w:rsidRDefault="00254823" w:rsidP="00595275">
      <w:pPr>
        <w:ind w:firstLine="709"/>
        <w:contextualSpacing/>
        <w:rPr>
          <w:b/>
        </w:rPr>
      </w:pPr>
      <w:r>
        <w:rPr>
          <w:b/>
        </w:rPr>
        <w:t xml:space="preserve">Уровень убедительности рекомендаций </w:t>
      </w:r>
      <w:r w:rsidR="00BF7F2C">
        <w:rPr>
          <w:b/>
        </w:rPr>
        <w:t xml:space="preserve">– </w:t>
      </w:r>
      <w:r w:rsidR="007506C6">
        <w:rPr>
          <w:b/>
        </w:rPr>
        <w:t xml:space="preserve">С </w:t>
      </w:r>
      <w:r>
        <w:rPr>
          <w:b/>
        </w:rPr>
        <w:t xml:space="preserve">(уровень </w:t>
      </w:r>
      <w:r>
        <w:rPr>
          <w:b/>
          <w:spacing w:val="-1"/>
        </w:rPr>
        <w:t xml:space="preserve">достоверности доказательств </w:t>
      </w:r>
      <w:r w:rsidR="00595275">
        <w:rPr>
          <w:b/>
        </w:rPr>
        <w:t xml:space="preserve">– </w:t>
      </w:r>
      <w:r w:rsidR="007506C6">
        <w:rPr>
          <w:b/>
        </w:rPr>
        <w:t>5</w:t>
      </w:r>
      <w:r w:rsidR="00595275">
        <w:rPr>
          <w:b/>
        </w:rPr>
        <w:t>)</w:t>
      </w:r>
      <w:r w:rsidR="00BF7F2C">
        <w:rPr>
          <w:b/>
        </w:rPr>
        <w:t>.</w:t>
      </w:r>
    </w:p>
    <w:p w14:paraId="778FE73C" w14:textId="77777777" w:rsidR="00254823" w:rsidRPr="00431841" w:rsidRDefault="00254823" w:rsidP="00595275">
      <w:pPr>
        <w:ind w:firstLine="709"/>
        <w:contextualSpacing/>
        <w:rPr>
          <w:i/>
        </w:rPr>
      </w:pPr>
      <w:r>
        <w:rPr>
          <w:b/>
        </w:rPr>
        <w:t xml:space="preserve">Комментарии: </w:t>
      </w:r>
      <w:r w:rsidR="00B45EBF">
        <w:rPr>
          <w:i/>
        </w:rPr>
        <w:t xml:space="preserve">поскольку </w:t>
      </w:r>
      <w:r>
        <w:rPr>
          <w:i/>
        </w:rPr>
        <w:t>режимы терапии, разработанные для НХЛ, не были успешными при ЛБЛ, представляется, что режимы тер</w:t>
      </w:r>
      <w:r w:rsidR="00595275">
        <w:rPr>
          <w:i/>
        </w:rPr>
        <w:t xml:space="preserve">апии, используемые при лечении </w:t>
      </w:r>
      <w:r>
        <w:rPr>
          <w:i/>
        </w:rPr>
        <w:t>ОЛЛ, обеспечат более благоприятные результаты.</w:t>
      </w:r>
    </w:p>
    <w:p w14:paraId="66A6F25D" w14:textId="6CAA505C" w:rsidR="00254823" w:rsidRDefault="00FD64DA" w:rsidP="00956D03">
      <w:pPr>
        <w:numPr>
          <w:ilvl w:val="0"/>
          <w:numId w:val="6"/>
        </w:numPr>
        <w:shd w:val="clear" w:color="auto" w:fill="FFFFFF"/>
        <w:tabs>
          <w:tab w:val="left" w:pos="709"/>
        </w:tabs>
        <w:contextualSpacing/>
        <w:rPr>
          <w:b/>
        </w:rPr>
      </w:pPr>
      <w:r>
        <w:rPr>
          <w:b/>
        </w:rPr>
        <w:t>Рекомендую</w:t>
      </w:r>
      <w:r w:rsidR="00254823" w:rsidRPr="009B372C">
        <w:rPr>
          <w:b/>
        </w:rPr>
        <w:t>тся</w:t>
      </w:r>
      <w:r w:rsidR="00254823">
        <w:t xml:space="preserve"> обязательная профилактика и лечение поражения ЦНС, вклю</w:t>
      </w:r>
      <w:r w:rsidR="00BF7F2C">
        <w:t>чающие интратекальное введение</w:t>
      </w:r>
      <w:r w:rsidR="00254823">
        <w:t xml:space="preserve"> цитостатиков</w:t>
      </w:r>
      <w:r w:rsidR="00A27AD5">
        <w:t xml:space="preserve"> </w:t>
      </w:r>
      <w:r w:rsidR="00A27AD5">
        <w:fldChar w:fldCharType="begin" w:fldLock="1"/>
      </w:r>
      <w:r w:rsidR="002466C9">
        <w:rPr>
          <w:lang w:val="en-US"/>
        </w:rPr>
        <w:instrText>ADDIN</w:instrText>
      </w:r>
      <w:r w:rsidR="002466C9" w:rsidRPr="00B929AC">
        <w:instrText xml:space="preserve"> </w:instrText>
      </w:r>
      <w:r w:rsidR="002466C9">
        <w:rPr>
          <w:lang w:val="en-US"/>
        </w:rPr>
        <w:instrText>CSL</w:instrText>
      </w:r>
      <w:r w:rsidR="002466C9" w:rsidRPr="00B929AC">
        <w:instrText>_</w:instrText>
      </w:r>
      <w:r w:rsidR="002466C9">
        <w:rPr>
          <w:lang w:val="en-US"/>
        </w:rPr>
        <w:instrText>CITATION</w:instrText>
      </w:r>
      <w:r w:rsidR="002466C9" w:rsidRPr="00B929AC">
        <w:instrText xml:space="preserve"> {"</w:instrText>
      </w:r>
      <w:r w:rsidR="002466C9">
        <w:rPr>
          <w:lang w:val="en-US"/>
        </w:rPr>
        <w:instrText>citationItems</w:instrText>
      </w:r>
      <w:r w:rsidR="002466C9" w:rsidRPr="00B929AC">
        <w:instrText>":[{"</w:instrText>
      </w:r>
      <w:r w:rsidR="002466C9">
        <w:rPr>
          <w:lang w:val="en-US"/>
        </w:rPr>
        <w:instrText>id</w:instrText>
      </w:r>
      <w:r w:rsidR="002466C9" w:rsidRPr="00B929AC">
        <w:instrText>":"</w:instrText>
      </w:r>
      <w:r w:rsidR="002466C9">
        <w:rPr>
          <w:lang w:val="en-US"/>
        </w:rPr>
        <w:instrText>ITEM</w:instrText>
      </w:r>
      <w:r w:rsidR="002466C9" w:rsidRPr="00B929AC">
        <w:instrText>-1","</w:instrText>
      </w:r>
      <w:r w:rsidR="002466C9">
        <w:rPr>
          <w:lang w:val="en-US"/>
        </w:rPr>
        <w:instrText>itemData</w:instrText>
      </w:r>
      <w:r w:rsidR="002466C9" w:rsidRPr="00B929AC">
        <w:instrText>":{"</w:instrText>
      </w:r>
      <w:r w:rsidR="002466C9">
        <w:rPr>
          <w:lang w:val="en-US"/>
        </w:rPr>
        <w:instrText>DOI</w:instrText>
      </w:r>
      <w:r w:rsidR="002466C9" w:rsidRPr="00B929AC">
        <w:instrText>":"10.1111/</w:instrText>
      </w:r>
      <w:r w:rsidR="002466C9">
        <w:rPr>
          <w:lang w:val="en-US"/>
        </w:rPr>
        <w:instrText>ejh</w:instrText>
      </w:r>
      <w:r w:rsidR="002466C9" w:rsidRPr="00B929AC">
        <w:instrText>.12722","</w:instrText>
      </w:r>
      <w:r w:rsidR="002466C9">
        <w:rPr>
          <w:lang w:val="en-US"/>
        </w:rPr>
        <w:instrText>ISSN</w:instrText>
      </w:r>
      <w:r w:rsidR="002466C9" w:rsidRPr="00B929AC">
        <w:instrText>":"1600-0609","</w:instrText>
      </w:r>
      <w:r w:rsidR="002466C9">
        <w:rPr>
          <w:lang w:val="en-US"/>
        </w:rPr>
        <w:instrText>PMID</w:instrText>
      </w:r>
      <w:r w:rsidR="002466C9" w:rsidRPr="00B929AC">
        <w:instrText>":"26679753","</w:instrText>
      </w:r>
      <w:r w:rsidR="002466C9">
        <w:rPr>
          <w:lang w:val="en-US"/>
        </w:rPr>
        <w:instrText>abstract</w:instrText>
      </w:r>
      <w:r w:rsidR="002466C9" w:rsidRPr="00B929AC">
        <w:instrText>":"</w:instrText>
      </w:r>
      <w:r w:rsidR="002466C9">
        <w:rPr>
          <w:lang w:val="en-US"/>
        </w:rPr>
        <w:instrText>Lymphoblastic</w:instrText>
      </w:r>
      <w:r w:rsidR="002466C9" w:rsidRPr="00B929AC">
        <w:instrText xml:space="preserve"> </w:instrText>
      </w:r>
      <w:r w:rsidR="002466C9">
        <w:rPr>
          <w:lang w:val="en-US"/>
        </w:rPr>
        <w:instrText>lymphoma</w:instrText>
      </w:r>
      <w:r w:rsidR="002466C9" w:rsidRPr="00B929AC">
        <w:instrText xml:space="preserve"> </w:instrText>
      </w:r>
      <w:r w:rsidR="002466C9">
        <w:rPr>
          <w:lang w:val="en-US"/>
        </w:rPr>
        <w:instrText>is</w:instrText>
      </w:r>
      <w:r w:rsidR="002466C9" w:rsidRPr="00B929AC">
        <w:instrText xml:space="preserve"> </w:instrText>
      </w:r>
      <w:r w:rsidR="002466C9">
        <w:rPr>
          <w:lang w:val="en-US"/>
        </w:rPr>
        <w:instrText>a</w:instrText>
      </w:r>
      <w:r w:rsidR="002466C9" w:rsidRPr="00B929AC">
        <w:instrText xml:space="preserve"> </w:instrText>
      </w:r>
      <w:r w:rsidR="002466C9">
        <w:rPr>
          <w:lang w:val="en-US"/>
        </w:rPr>
        <w:instrText>rare</w:instrText>
      </w:r>
      <w:r w:rsidR="002466C9" w:rsidRPr="00B929AC">
        <w:instrText xml:space="preserve"> </w:instrText>
      </w:r>
      <w:r w:rsidR="002466C9">
        <w:rPr>
          <w:lang w:val="en-US"/>
        </w:rPr>
        <w:instrText>aggressive</w:instrText>
      </w:r>
      <w:r w:rsidR="002466C9" w:rsidRPr="00B929AC">
        <w:instrText xml:space="preserve"> </w:instrText>
      </w:r>
      <w:r w:rsidR="002466C9">
        <w:rPr>
          <w:lang w:val="en-US"/>
        </w:rPr>
        <w:instrText>neoplasm</w:instrText>
      </w:r>
      <w:r w:rsidR="002466C9" w:rsidRPr="00B929AC">
        <w:instrText xml:space="preserve"> </w:instrText>
      </w:r>
      <w:r w:rsidR="002466C9">
        <w:rPr>
          <w:lang w:val="en-US"/>
        </w:rPr>
        <w:instrText>of</w:instrText>
      </w:r>
      <w:r w:rsidR="002466C9" w:rsidRPr="00B929AC">
        <w:instrText xml:space="preserve"> </w:instrText>
      </w:r>
      <w:r w:rsidR="002466C9">
        <w:rPr>
          <w:lang w:val="en-US"/>
        </w:rPr>
        <w:instrText>T</w:instrText>
      </w:r>
      <w:r w:rsidR="002466C9" w:rsidRPr="00B929AC">
        <w:instrText>-/</w:instrText>
      </w:r>
      <w:r w:rsidR="002466C9">
        <w:rPr>
          <w:lang w:val="en-US"/>
        </w:rPr>
        <w:instrText>B</w:instrText>
      </w:r>
      <w:r w:rsidR="002466C9" w:rsidRPr="00B929AC">
        <w:instrText>-</w:instrText>
      </w:r>
      <w:r w:rsidR="002466C9">
        <w:rPr>
          <w:lang w:val="en-US"/>
        </w:rPr>
        <w:instrText>precursors</w:instrText>
      </w:r>
      <w:r w:rsidR="002466C9" w:rsidRPr="00B929AC">
        <w:instrText xml:space="preserve"> </w:instrText>
      </w:r>
      <w:r w:rsidR="002466C9">
        <w:rPr>
          <w:lang w:val="en-US"/>
        </w:rPr>
        <w:instrText>resembling</w:instrText>
      </w:r>
      <w:r w:rsidR="002466C9" w:rsidRPr="00B929AC">
        <w:instrText xml:space="preserve"> </w:instrText>
      </w:r>
      <w:r w:rsidR="002466C9">
        <w:rPr>
          <w:lang w:val="en-US"/>
        </w:rPr>
        <w:instrText>acute</w:instrText>
      </w:r>
      <w:r w:rsidR="002466C9" w:rsidRPr="00B929AC">
        <w:instrText xml:space="preserve"> </w:instrText>
      </w:r>
      <w:r w:rsidR="002466C9">
        <w:rPr>
          <w:lang w:val="en-US"/>
        </w:rPr>
        <w:instrText>lymphoblastic</w:instrText>
      </w:r>
      <w:r w:rsidR="002466C9" w:rsidRPr="00B929AC">
        <w:instrText xml:space="preserve"> </w:instrText>
      </w:r>
      <w:r w:rsidR="002466C9">
        <w:rPr>
          <w:lang w:val="en-US"/>
        </w:rPr>
        <w:instrText>leukemia</w:instrText>
      </w:r>
      <w:r w:rsidR="002466C9" w:rsidRPr="00B929AC">
        <w:instrText xml:space="preserve">, </w:instrText>
      </w:r>
      <w:r w:rsidR="002466C9">
        <w:rPr>
          <w:lang w:val="en-US"/>
        </w:rPr>
        <w:instrText>with</w:instrText>
      </w:r>
      <w:r w:rsidR="002466C9" w:rsidRPr="00B929AC">
        <w:instrText xml:space="preserve"> </w:instrText>
      </w:r>
      <w:r w:rsidR="002466C9">
        <w:rPr>
          <w:lang w:val="en-US"/>
        </w:rPr>
        <w:instrText>no</w:instrText>
      </w:r>
      <w:r w:rsidR="002466C9" w:rsidRPr="00B929AC">
        <w:instrText xml:space="preserve"> </w:instrText>
      </w:r>
      <w:r w:rsidR="002466C9">
        <w:rPr>
          <w:lang w:val="en-US"/>
        </w:rPr>
        <w:instrText>or</w:instrText>
      </w:r>
      <w:r w:rsidR="002466C9" w:rsidRPr="00B929AC">
        <w:instrText xml:space="preserve"> </w:instrText>
      </w:r>
      <w:r w:rsidR="002466C9">
        <w:rPr>
          <w:lang w:val="en-US"/>
        </w:rPr>
        <w:instrText>limited</w:instrText>
      </w:r>
      <w:r w:rsidR="002466C9" w:rsidRPr="00B929AC">
        <w:instrText xml:space="preserve"> </w:instrText>
      </w:r>
      <w:r w:rsidR="002466C9">
        <w:rPr>
          <w:lang w:val="en-US"/>
        </w:rPr>
        <w:instrText>bone</w:instrText>
      </w:r>
      <w:r w:rsidR="002466C9" w:rsidRPr="00B929AC">
        <w:instrText xml:space="preserve"> </w:instrText>
      </w:r>
      <w:r w:rsidR="002466C9">
        <w:rPr>
          <w:lang w:val="en-US"/>
        </w:rPr>
        <w:instrText>marrow</w:instrText>
      </w:r>
      <w:r w:rsidR="002466C9" w:rsidRPr="00B929AC">
        <w:instrText xml:space="preserve"> </w:instrText>
      </w:r>
      <w:r w:rsidR="002466C9">
        <w:rPr>
          <w:lang w:val="en-US"/>
        </w:rPr>
        <w:instrText>involvement</w:instrText>
      </w:r>
      <w:r w:rsidR="002466C9" w:rsidRPr="00B929AC">
        <w:instrText xml:space="preserve"> (&lt;25%), </w:instrText>
      </w:r>
      <w:r w:rsidR="002466C9">
        <w:rPr>
          <w:lang w:val="en-US"/>
        </w:rPr>
        <w:instrText>that</w:instrText>
      </w:r>
      <w:r w:rsidR="002466C9" w:rsidRPr="00B929AC">
        <w:instrText xml:space="preserve"> </w:instrText>
      </w:r>
      <w:r w:rsidR="002466C9">
        <w:rPr>
          <w:lang w:val="en-US"/>
        </w:rPr>
        <w:instrText>develops</w:instrText>
      </w:r>
      <w:r w:rsidR="002466C9" w:rsidRPr="00B929AC">
        <w:instrText xml:space="preserve"> </w:instrText>
      </w:r>
      <w:r w:rsidR="002466C9">
        <w:rPr>
          <w:lang w:val="en-US"/>
        </w:rPr>
        <w:instrText>more</w:instrText>
      </w:r>
      <w:r w:rsidR="002466C9" w:rsidRPr="00B929AC">
        <w:instrText xml:space="preserve"> </w:instrText>
      </w:r>
      <w:r w:rsidR="002466C9">
        <w:rPr>
          <w:lang w:val="en-US"/>
        </w:rPr>
        <w:instrText>frequently</w:instrText>
      </w:r>
      <w:r w:rsidR="002466C9" w:rsidRPr="00B929AC">
        <w:instrText xml:space="preserve"> </w:instrText>
      </w:r>
      <w:r w:rsidR="002466C9">
        <w:rPr>
          <w:lang w:val="en-US"/>
        </w:rPr>
        <w:instrText>in</w:instrText>
      </w:r>
      <w:r w:rsidR="002466C9" w:rsidRPr="00B929AC">
        <w:instrText xml:space="preserve"> </w:instrText>
      </w:r>
      <w:r w:rsidR="002466C9">
        <w:rPr>
          <w:lang w:val="en-US"/>
        </w:rPr>
        <w:instrText>children</w:instrText>
      </w:r>
      <w:r w:rsidR="002466C9" w:rsidRPr="00B929AC">
        <w:instrText xml:space="preserve"> </w:instrText>
      </w:r>
      <w:r w:rsidR="002466C9">
        <w:rPr>
          <w:lang w:val="en-US"/>
        </w:rPr>
        <w:instrText>and</w:instrText>
      </w:r>
      <w:r w:rsidR="002466C9" w:rsidRPr="00B929AC">
        <w:instrText xml:space="preserve"> </w:instrText>
      </w:r>
      <w:r w:rsidR="002466C9">
        <w:rPr>
          <w:lang w:val="en-US"/>
        </w:rPr>
        <w:instrText>young</w:instrText>
      </w:r>
      <w:r w:rsidR="002466C9" w:rsidRPr="00B929AC">
        <w:instrText xml:space="preserve"> </w:instrText>
      </w:r>
      <w:r w:rsidR="002466C9">
        <w:rPr>
          <w:lang w:val="en-US"/>
        </w:rPr>
        <w:instrText>adults</w:instrText>
      </w:r>
      <w:r w:rsidR="002466C9" w:rsidRPr="00B929AC">
        <w:instrText xml:space="preserve"> </w:instrText>
      </w:r>
      <w:r w:rsidR="002466C9">
        <w:rPr>
          <w:lang w:val="en-US"/>
        </w:rPr>
        <w:instrText>and</w:instrText>
      </w:r>
      <w:r w:rsidR="002466C9" w:rsidRPr="00B929AC">
        <w:instrText xml:space="preserve"> </w:instrText>
      </w:r>
      <w:r w:rsidR="002466C9">
        <w:rPr>
          <w:lang w:val="en-US"/>
        </w:rPr>
        <w:instrText>is</w:instrText>
      </w:r>
      <w:r w:rsidR="002466C9" w:rsidRPr="00B929AC">
        <w:instrText xml:space="preserve"> </w:instrText>
      </w:r>
      <w:r w:rsidR="002466C9">
        <w:rPr>
          <w:lang w:val="en-US"/>
        </w:rPr>
        <w:instrText>typically</w:instrText>
      </w:r>
      <w:r w:rsidR="002466C9" w:rsidRPr="00B929AC">
        <w:instrText xml:space="preserve"> </w:instrText>
      </w:r>
      <w:r w:rsidR="002466C9">
        <w:rPr>
          <w:lang w:val="en-US"/>
        </w:rPr>
        <w:instrText>characterized</w:instrText>
      </w:r>
      <w:r w:rsidR="002466C9" w:rsidRPr="00B929AC">
        <w:instrText xml:space="preserve"> </w:instrText>
      </w:r>
      <w:r w:rsidR="002466C9">
        <w:rPr>
          <w:lang w:val="en-US"/>
        </w:rPr>
        <w:instrText>by</w:instrText>
      </w:r>
      <w:r w:rsidR="002466C9" w:rsidRPr="00B929AC">
        <w:instrText xml:space="preserve"> </w:instrText>
      </w:r>
      <w:r w:rsidR="002466C9">
        <w:rPr>
          <w:lang w:val="en-US"/>
        </w:rPr>
        <w:instrText>a</w:instrText>
      </w:r>
      <w:r w:rsidR="002466C9" w:rsidRPr="00B929AC">
        <w:instrText xml:space="preserve"> </w:instrText>
      </w:r>
      <w:r w:rsidR="002466C9">
        <w:rPr>
          <w:lang w:val="en-US"/>
        </w:rPr>
        <w:instrText>grossly</w:instrText>
      </w:r>
      <w:r w:rsidR="002466C9" w:rsidRPr="00B929AC">
        <w:instrText xml:space="preserve"> </w:instrText>
      </w:r>
      <w:r w:rsidR="002466C9">
        <w:rPr>
          <w:lang w:val="en-US"/>
        </w:rPr>
        <w:instrText>enlarged</w:instrText>
      </w:r>
      <w:r w:rsidR="002466C9" w:rsidRPr="00B929AC">
        <w:instrText xml:space="preserve"> </w:instrText>
      </w:r>
      <w:r w:rsidR="002466C9">
        <w:rPr>
          <w:lang w:val="en-US"/>
        </w:rPr>
        <w:instrText>mediastinum</w:instrText>
      </w:r>
      <w:r w:rsidR="002466C9" w:rsidRPr="00B929AC">
        <w:instrText xml:space="preserve">, </w:instrText>
      </w:r>
      <w:r w:rsidR="002466C9">
        <w:rPr>
          <w:lang w:val="en-US"/>
        </w:rPr>
        <w:instrText>and</w:instrText>
      </w:r>
      <w:r w:rsidR="002466C9" w:rsidRPr="00B929AC">
        <w:instrText xml:space="preserve"> </w:instrText>
      </w:r>
      <w:r w:rsidR="002466C9">
        <w:rPr>
          <w:lang w:val="en-US"/>
        </w:rPr>
        <w:instrText>whose</w:instrText>
      </w:r>
      <w:r w:rsidR="002466C9" w:rsidRPr="00B929AC">
        <w:instrText xml:space="preserve"> </w:instrText>
      </w:r>
      <w:r w:rsidR="002466C9">
        <w:rPr>
          <w:lang w:val="en-US"/>
        </w:rPr>
        <w:instrText>diagnostic</w:instrText>
      </w:r>
      <w:r w:rsidR="002466C9" w:rsidRPr="00B929AC">
        <w:instrText xml:space="preserve"> </w:instrText>
      </w:r>
      <w:r w:rsidR="002466C9">
        <w:rPr>
          <w:lang w:val="en-US"/>
        </w:rPr>
        <w:instrText>hallmark</w:instrText>
      </w:r>
      <w:r w:rsidR="002466C9" w:rsidRPr="00B929AC">
        <w:instrText xml:space="preserve"> </w:instrText>
      </w:r>
      <w:r w:rsidR="002466C9">
        <w:rPr>
          <w:lang w:val="en-US"/>
        </w:rPr>
        <w:instrText>is</w:instrText>
      </w:r>
      <w:r w:rsidR="002466C9" w:rsidRPr="00B929AC">
        <w:instrText xml:space="preserve"> </w:instrText>
      </w:r>
      <w:r w:rsidR="002466C9">
        <w:rPr>
          <w:lang w:val="en-US"/>
        </w:rPr>
        <w:instrText>the</w:instrText>
      </w:r>
      <w:r w:rsidR="002466C9" w:rsidRPr="00B929AC">
        <w:instrText xml:space="preserve"> </w:instrText>
      </w:r>
      <w:r w:rsidR="002466C9">
        <w:rPr>
          <w:lang w:val="en-US"/>
        </w:rPr>
        <w:instrText>expression</w:instrText>
      </w:r>
      <w:r w:rsidR="002466C9" w:rsidRPr="00B929AC">
        <w:instrText xml:space="preserve"> </w:instrText>
      </w:r>
      <w:r w:rsidR="002466C9">
        <w:rPr>
          <w:lang w:val="en-US"/>
        </w:rPr>
        <w:instrText>of</w:instrText>
      </w:r>
      <w:r w:rsidR="002466C9" w:rsidRPr="00B929AC">
        <w:instrText xml:space="preserve"> </w:instrText>
      </w:r>
      <w:r w:rsidR="002466C9">
        <w:rPr>
          <w:lang w:val="en-US"/>
        </w:rPr>
        <w:instrText>a</w:instrText>
      </w:r>
      <w:r w:rsidR="002466C9" w:rsidRPr="00B929AC">
        <w:instrText xml:space="preserve"> </w:instrText>
      </w:r>
      <w:r w:rsidR="002466C9">
        <w:rPr>
          <w:lang w:val="en-US"/>
        </w:rPr>
        <w:instrText>T</w:instrText>
      </w:r>
      <w:r w:rsidR="002466C9" w:rsidRPr="00B929AC">
        <w:instrText>-/</w:instrText>
      </w:r>
      <w:r w:rsidR="002466C9">
        <w:rPr>
          <w:lang w:val="en-US"/>
        </w:rPr>
        <w:instrText>B</w:instrText>
      </w:r>
      <w:r w:rsidR="002466C9" w:rsidRPr="00B929AC">
        <w:instrText>-</w:instrText>
      </w:r>
      <w:r w:rsidR="002466C9">
        <w:rPr>
          <w:lang w:val="en-US"/>
        </w:rPr>
        <w:instrText>precursor</w:instrText>
      </w:r>
      <w:r w:rsidR="002466C9" w:rsidRPr="00B929AC">
        <w:instrText xml:space="preserve"> </w:instrText>
      </w:r>
      <w:r w:rsidR="002466C9">
        <w:rPr>
          <w:lang w:val="en-US"/>
        </w:rPr>
        <w:instrText>cell</w:instrText>
      </w:r>
      <w:r w:rsidR="002466C9" w:rsidRPr="00B929AC">
        <w:instrText xml:space="preserve"> </w:instrText>
      </w:r>
      <w:r w:rsidR="002466C9">
        <w:rPr>
          <w:lang w:val="en-US"/>
        </w:rPr>
        <w:instrText>immunophenotype</w:instrText>
      </w:r>
      <w:r w:rsidR="002466C9" w:rsidRPr="00B929AC">
        <w:instrText xml:space="preserve">, </w:instrText>
      </w:r>
      <w:r w:rsidR="002466C9">
        <w:rPr>
          <w:lang w:val="en-US"/>
        </w:rPr>
        <w:instrText>the</w:instrText>
      </w:r>
      <w:r w:rsidR="002466C9" w:rsidRPr="00B929AC">
        <w:instrText xml:space="preserve"> </w:instrText>
      </w:r>
      <w:r w:rsidR="002466C9">
        <w:rPr>
          <w:lang w:val="en-US"/>
        </w:rPr>
        <w:instrText>T</w:instrText>
      </w:r>
      <w:r w:rsidR="002466C9" w:rsidRPr="00B929AC">
        <w:instrText>-</w:instrText>
      </w:r>
      <w:r w:rsidR="002466C9">
        <w:rPr>
          <w:lang w:val="en-US"/>
        </w:rPr>
        <w:instrText>cell</w:instrText>
      </w:r>
      <w:r w:rsidR="002466C9" w:rsidRPr="00B929AC">
        <w:instrText xml:space="preserve"> </w:instrText>
      </w:r>
      <w:r w:rsidR="002466C9">
        <w:rPr>
          <w:lang w:val="en-US"/>
        </w:rPr>
        <w:instrText>subset</w:instrText>
      </w:r>
      <w:r w:rsidR="002466C9" w:rsidRPr="00B929AC">
        <w:instrText xml:space="preserve"> </w:instrText>
      </w:r>
      <w:r w:rsidR="002466C9">
        <w:rPr>
          <w:lang w:val="en-US"/>
        </w:rPr>
        <w:instrText>accounting</w:instrText>
      </w:r>
      <w:r w:rsidR="002466C9" w:rsidRPr="00B929AC">
        <w:instrText xml:space="preserve"> </w:instrText>
      </w:r>
      <w:r w:rsidR="002466C9">
        <w:rPr>
          <w:lang w:val="en-US"/>
        </w:rPr>
        <w:instrText>for</w:instrText>
      </w:r>
      <w:r w:rsidR="002466C9" w:rsidRPr="00B929AC">
        <w:instrText xml:space="preserve"> 90% </w:instrText>
      </w:r>
      <w:r w:rsidR="002466C9">
        <w:rPr>
          <w:lang w:val="en-US"/>
        </w:rPr>
        <w:instrText>of</w:instrText>
      </w:r>
      <w:r w:rsidR="002466C9" w:rsidRPr="00B929AC">
        <w:instrText xml:space="preserve"> </w:instrText>
      </w:r>
      <w:r w:rsidR="002466C9">
        <w:rPr>
          <w:lang w:val="en-US"/>
        </w:rPr>
        <w:instrText>all</w:instrText>
      </w:r>
      <w:r w:rsidR="002466C9" w:rsidRPr="00B929AC">
        <w:instrText xml:space="preserve"> </w:instrText>
      </w:r>
      <w:r w:rsidR="002466C9">
        <w:rPr>
          <w:lang w:val="en-US"/>
        </w:rPr>
        <w:instrText>cases</w:instrText>
      </w:r>
      <w:r w:rsidR="002466C9" w:rsidRPr="00B929AC">
        <w:instrText xml:space="preserve">. </w:instrText>
      </w:r>
      <w:r w:rsidR="002466C9">
        <w:rPr>
          <w:lang w:val="en-US"/>
        </w:rPr>
        <w:instrText>The</w:instrText>
      </w:r>
      <w:r w:rsidR="002466C9" w:rsidRPr="00B929AC">
        <w:instrText xml:space="preserve"> </w:instrText>
      </w:r>
      <w:r w:rsidR="002466C9">
        <w:rPr>
          <w:lang w:val="en-US"/>
        </w:rPr>
        <w:instrText>adoption</w:instrText>
      </w:r>
      <w:r w:rsidR="002466C9" w:rsidRPr="00B929AC">
        <w:instrText xml:space="preserve"> </w:instrText>
      </w:r>
      <w:r w:rsidR="002466C9">
        <w:rPr>
          <w:lang w:val="en-US"/>
        </w:rPr>
        <w:instrText>of</w:instrText>
      </w:r>
      <w:r w:rsidR="002466C9" w:rsidRPr="00B929AC">
        <w:instrText xml:space="preserve"> </w:instrText>
      </w:r>
      <w:r w:rsidR="002466C9">
        <w:rPr>
          <w:lang w:val="en-US"/>
        </w:rPr>
        <w:instrText>pediatric</w:instrText>
      </w:r>
      <w:r w:rsidR="002466C9" w:rsidRPr="00B929AC">
        <w:instrText>-</w:instrText>
      </w:r>
      <w:r w:rsidR="002466C9">
        <w:rPr>
          <w:lang w:val="en-US"/>
        </w:rPr>
        <w:instrText>derived</w:instrText>
      </w:r>
      <w:r w:rsidR="002466C9" w:rsidRPr="00B929AC">
        <w:instrText xml:space="preserve">, </w:instrText>
      </w:r>
      <w:r w:rsidR="002466C9">
        <w:rPr>
          <w:lang w:val="en-US"/>
        </w:rPr>
        <w:instrText>intensive</w:instrText>
      </w:r>
      <w:r w:rsidR="002466C9" w:rsidRPr="00B929AC">
        <w:instrText xml:space="preserve"> </w:instrText>
      </w:r>
      <w:r w:rsidR="002466C9">
        <w:rPr>
          <w:lang w:val="en-US"/>
        </w:rPr>
        <w:instrText>lymphoblastic</w:instrText>
      </w:r>
      <w:r w:rsidR="002466C9" w:rsidRPr="00B929AC">
        <w:instrText xml:space="preserve"> </w:instrText>
      </w:r>
      <w:r w:rsidR="002466C9">
        <w:rPr>
          <w:lang w:val="en-US"/>
        </w:rPr>
        <w:instrText>leukemia</w:instrText>
      </w:r>
      <w:r w:rsidR="002466C9" w:rsidRPr="00B929AC">
        <w:instrText>-</w:instrText>
      </w:r>
      <w:r w:rsidR="002466C9">
        <w:rPr>
          <w:lang w:val="en-US"/>
        </w:rPr>
        <w:instrText>like</w:instrText>
      </w:r>
      <w:r w:rsidR="002466C9" w:rsidRPr="00B929AC">
        <w:instrText xml:space="preserve"> </w:instrText>
      </w:r>
      <w:r w:rsidR="002466C9">
        <w:rPr>
          <w:lang w:val="en-US"/>
        </w:rPr>
        <w:instrText>protocols</w:instrText>
      </w:r>
      <w:r w:rsidR="002466C9" w:rsidRPr="00B929AC">
        <w:instrText xml:space="preserve"> </w:instrText>
      </w:r>
      <w:r w:rsidR="002466C9">
        <w:rPr>
          <w:lang w:val="en-US"/>
        </w:rPr>
        <w:instrText>led</w:instrText>
      </w:r>
      <w:r w:rsidR="002466C9" w:rsidRPr="00B929AC">
        <w:instrText xml:space="preserve"> </w:instrText>
      </w:r>
      <w:r w:rsidR="002466C9">
        <w:rPr>
          <w:lang w:val="en-US"/>
        </w:rPr>
        <w:instrText>to</w:instrText>
      </w:r>
      <w:r w:rsidR="002466C9" w:rsidRPr="00B929AC">
        <w:instrText xml:space="preserve"> </w:instrText>
      </w:r>
      <w:r w:rsidR="002466C9">
        <w:rPr>
          <w:lang w:val="en-US"/>
        </w:rPr>
        <w:instrText>significantly</w:instrText>
      </w:r>
      <w:r w:rsidR="002466C9" w:rsidRPr="00B929AC">
        <w:instrText xml:space="preserve"> </w:instrText>
      </w:r>
      <w:r w:rsidR="002466C9">
        <w:rPr>
          <w:lang w:val="en-US"/>
        </w:rPr>
        <w:instrText>improved</w:instrText>
      </w:r>
      <w:r w:rsidR="002466C9" w:rsidRPr="00B929AC">
        <w:instrText xml:space="preserve"> </w:instrText>
      </w:r>
      <w:r w:rsidR="002466C9">
        <w:rPr>
          <w:lang w:val="en-US"/>
        </w:rPr>
        <w:instrText>results</w:instrText>
      </w:r>
      <w:r w:rsidR="002466C9" w:rsidRPr="00B929AC">
        <w:instrText xml:space="preserve">, </w:instrText>
      </w:r>
      <w:r w:rsidR="002466C9">
        <w:rPr>
          <w:lang w:val="en-US"/>
        </w:rPr>
        <w:instrText>with</w:instrText>
      </w:r>
      <w:r w:rsidR="002466C9" w:rsidRPr="00B929AC">
        <w:instrText xml:space="preserve"> </w:instrText>
      </w:r>
      <w:r w:rsidR="002466C9">
        <w:rPr>
          <w:lang w:val="en-US"/>
        </w:rPr>
        <w:instrText>survival</w:instrText>
      </w:r>
      <w:r w:rsidR="002466C9" w:rsidRPr="00B929AC">
        <w:instrText xml:space="preserve"> </w:instrText>
      </w:r>
      <w:r w:rsidR="002466C9">
        <w:rPr>
          <w:lang w:val="en-US"/>
        </w:rPr>
        <w:instrText>rates</w:instrText>
      </w:r>
      <w:r w:rsidR="002466C9" w:rsidRPr="00B929AC">
        <w:instrText xml:space="preserve"> </w:instrText>
      </w:r>
      <w:r w:rsidR="002466C9">
        <w:rPr>
          <w:lang w:val="en-US"/>
        </w:rPr>
        <w:instrText>of</w:instrText>
      </w:r>
      <w:r w:rsidR="002466C9" w:rsidRPr="00B929AC">
        <w:instrText xml:space="preserve"> </w:instrText>
      </w:r>
      <w:r w:rsidR="002466C9">
        <w:rPr>
          <w:lang w:val="en-US"/>
        </w:rPr>
        <w:instrText>about</w:instrText>
      </w:r>
      <w:r w:rsidR="002466C9" w:rsidRPr="00B929AC">
        <w:instrText xml:space="preserve"> 70% </w:instrText>
      </w:r>
      <w:r w:rsidR="002466C9">
        <w:rPr>
          <w:lang w:val="en-US"/>
        </w:rPr>
        <w:instrText>and</w:instrText>
      </w:r>
      <w:r w:rsidR="002466C9" w:rsidRPr="00B929AC">
        <w:instrText xml:space="preserve"> 90% </w:instrText>
      </w:r>
      <w:r w:rsidR="002466C9">
        <w:rPr>
          <w:lang w:val="en-US"/>
        </w:rPr>
        <w:instrText>in</w:instrText>
      </w:r>
      <w:r w:rsidR="002466C9" w:rsidRPr="00B929AC">
        <w:instrText xml:space="preserve"> </w:instrText>
      </w:r>
      <w:r w:rsidR="002466C9">
        <w:rPr>
          <w:lang w:val="en-US"/>
        </w:rPr>
        <w:instrText>adults</w:instrText>
      </w:r>
      <w:r w:rsidR="002466C9" w:rsidRPr="00B929AC">
        <w:instrText xml:space="preserve"> </w:instrText>
      </w:r>
      <w:r w:rsidR="002466C9">
        <w:rPr>
          <w:lang w:val="en-US"/>
        </w:rPr>
        <w:instrText>and</w:instrText>
      </w:r>
      <w:r w:rsidR="002466C9" w:rsidRPr="00B929AC">
        <w:instrText xml:space="preserve"> </w:instrText>
      </w:r>
      <w:r w:rsidR="002466C9">
        <w:rPr>
          <w:lang w:val="en-US"/>
        </w:rPr>
        <w:instrText>children</w:instrText>
      </w:r>
      <w:r w:rsidR="002466C9" w:rsidRPr="00B929AC">
        <w:instrText xml:space="preserve">, </w:instrText>
      </w:r>
      <w:r w:rsidR="002466C9">
        <w:rPr>
          <w:lang w:val="en-US"/>
        </w:rPr>
        <w:instrText>respectively</w:instrText>
      </w:r>
      <w:r w:rsidR="002466C9" w:rsidRPr="00B929AC">
        <w:instrText xml:space="preserve">. </w:instrText>
      </w:r>
      <w:r w:rsidR="002466C9">
        <w:rPr>
          <w:lang w:val="en-US"/>
        </w:rPr>
        <w:instrText>Adequate</w:instrText>
      </w:r>
      <w:r w:rsidR="002466C9" w:rsidRPr="00B929AC">
        <w:instrText xml:space="preserve"> </w:instrText>
      </w:r>
      <w:r w:rsidR="002466C9">
        <w:rPr>
          <w:lang w:val="en-US"/>
        </w:rPr>
        <w:instrText>central</w:instrText>
      </w:r>
      <w:r w:rsidR="002466C9" w:rsidRPr="00B929AC">
        <w:instrText xml:space="preserve"> </w:instrText>
      </w:r>
      <w:r w:rsidR="002466C9">
        <w:rPr>
          <w:lang w:val="en-US"/>
        </w:rPr>
        <w:instrText>nervous</w:instrText>
      </w:r>
      <w:r w:rsidR="002466C9" w:rsidRPr="00B929AC">
        <w:instrText xml:space="preserve"> </w:instrText>
      </w:r>
      <w:r w:rsidR="002466C9">
        <w:rPr>
          <w:lang w:val="en-US"/>
        </w:rPr>
        <w:instrText>system</w:instrText>
      </w:r>
      <w:r w:rsidR="002466C9" w:rsidRPr="00B929AC">
        <w:instrText xml:space="preserve"> </w:instrText>
      </w:r>
      <w:r w:rsidR="002466C9">
        <w:rPr>
          <w:lang w:val="en-US"/>
        </w:rPr>
        <w:instrText>prophylaxis</w:instrText>
      </w:r>
      <w:r w:rsidR="002466C9" w:rsidRPr="00B929AC">
        <w:instrText xml:space="preserve"> </w:instrText>
      </w:r>
      <w:r w:rsidR="002466C9">
        <w:rPr>
          <w:lang w:val="en-US"/>
        </w:rPr>
        <w:instrText>and</w:instrText>
      </w:r>
      <w:r w:rsidR="002466C9" w:rsidRPr="00B929AC">
        <w:instrText xml:space="preserve"> </w:instrText>
      </w:r>
      <w:r w:rsidR="002466C9">
        <w:rPr>
          <w:lang w:val="en-US"/>
        </w:rPr>
        <w:instrText>mediastinal</w:instrText>
      </w:r>
      <w:r w:rsidR="002466C9" w:rsidRPr="00B929AC">
        <w:instrText xml:space="preserve"> </w:instrText>
      </w:r>
      <w:r w:rsidR="002466C9">
        <w:rPr>
          <w:lang w:val="en-US"/>
        </w:rPr>
        <w:instrText>irradiation</w:instrText>
      </w:r>
      <w:r w:rsidR="002466C9" w:rsidRPr="00B929AC">
        <w:instrText xml:space="preserve"> </w:instrText>
      </w:r>
      <w:r w:rsidR="002466C9">
        <w:rPr>
          <w:lang w:val="en-US"/>
        </w:rPr>
        <w:instrText>contributed</w:instrText>
      </w:r>
      <w:r w:rsidR="002466C9" w:rsidRPr="00B929AC">
        <w:instrText xml:space="preserve"> </w:instrText>
      </w:r>
      <w:r w:rsidR="002466C9">
        <w:rPr>
          <w:lang w:val="en-US"/>
        </w:rPr>
        <w:instrText>to</w:instrText>
      </w:r>
      <w:r w:rsidR="002466C9" w:rsidRPr="00B929AC">
        <w:instrText xml:space="preserve"> </w:instrText>
      </w:r>
      <w:r w:rsidR="002466C9">
        <w:rPr>
          <w:lang w:val="en-US"/>
        </w:rPr>
        <w:instrText>the</w:instrText>
      </w:r>
      <w:r w:rsidR="002466C9" w:rsidRPr="00B929AC">
        <w:instrText xml:space="preserve"> </w:instrText>
      </w:r>
      <w:r w:rsidR="002466C9">
        <w:rPr>
          <w:lang w:val="en-US"/>
        </w:rPr>
        <w:instrText>therapeutic</w:instrText>
      </w:r>
      <w:r w:rsidR="002466C9" w:rsidRPr="00B929AC">
        <w:instrText xml:space="preserve"> </w:instrText>
      </w:r>
      <w:r w:rsidR="002466C9">
        <w:rPr>
          <w:lang w:val="en-US"/>
        </w:rPr>
        <w:instrText>success</w:instrText>
      </w:r>
      <w:r w:rsidR="002466C9" w:rsidRPr="00B929AC">
        <w:instrText xml:space="preserve">; </w:instrText>
      </w:r>
      <w:r w:rsidR="002466C9">
        <w:rPr>
          <w:lang w:val="en-US"/>
        </w:rPr>
        <w:instrText>however</w:instrText>
      </w:r>
      <w:r w:rsidR="002466C9" w:rsidRPr="00B929AC">
        <w:instrText xml:space="preserve">, </w:instrText>
      </w:r>
      <w:r w:rsidR="002466C9">
        <w:rPr>
          <w:lang w:val="en-US"/>
        </w:rPr>
        <w:instrText>the</w:instrText>
      </w:r>
      <w:r w:rsidR="002466C9" w:rsidRPr="00B929AC">
        <w:instrText xml:space="preserve"> </w:instrText>
      </w:r>
      <w:r w:rsidR="002466C9">
        <w:rPr>
          <w:lang w:val="en-US"/>
        </w:rPr>
        <w:instrText>role</w:instrText>
      </w:r>
      <w:r w:rsidR="002466C9" w:rsidRPr="00B929AC">
        <w:instrText xml:space="preserve"> </w:instrText>
      </w:r>
      <w:r w:rsidR="002466C9">
        <w:rPr>
          <w:lang w:val="en-US"/>
        </w:rPr>
        <w:instrText>of</w:instrText>
      </w:r>
      <w:r w:rsidR="002466C9" w:rsidRPr="00B929AC">
        <w:instrText xml:space="preserve"> </w:instrText>
      </w:r>
      <w:r w:rsidR="002466C9">
        <w:rPr>
          <w:lang w:val="en-US"/>
        </w:rPr>
        <w:instrText>radiation</w:instrText>
      </w:r>
      <w:r w:rsidR="002466C9" w:rsidRPr="00B929AC">
        <w:instrText xml:space="preserve"> </w:instrText>
      </w:r>
      <w:r w:rsidR="002466C9">
        <w:rPr>
          <w:lang w:val="en-US"/>
        </w:rPr>
        <w:instrText>therapy</w:instrText>
      </w:r>
      <w:r w:rsidR="002466C9" w:rsidRPr="00B929AC">
        <w:instrText xml:space="preserve"> </w:instrText>
      </w:r>
      <w:r w:rsidR="002466C9">
        <w:rPr>
          <w:lang w:val="en-US"/>
        </w:rPr>
        <w:instrText>is</w:instrText>
      </w:r>
      <w:r w:rsidR="002466C9" w:rsidRPr="00B929AC">
        <w:instrText xml:space="preserve"> </w:instrText>
      </w:r>
      <w:r w:rsidR="002466C9">
        <w:rPr>
          <w:lang w:val="en-US"/>
        </w:rPr>
        <w:instrText>debated</w:instrText>
      </w:r>
      <w:r w:rsidR="002466C9" w:rsidRPr="00B929AC">
        <w:instrText xml:space="preserve"> </w:instrText>
      </w:r>
      <w:r w:rsidR="002466C9">
        <w:rPr>
          <w:lang w:val="en-US"/>
        </w:rPr>
        <w:instrText>due</w:instrText>
      </w:r>
      <w:r w:rsidR="002466C9" w:rsidRPr="00B929AC">
        <w:instrText xml:space="preserve"> </w:instrText>
      </w:r>
      <w:r w:rsidR="002466C9">
        <w:rPr>
          <w:lang w:val="en-US"/>
        </w:rPr>
        <w:instrText>to</w:instrText>
      </w:r>
      <w:r w:rsidR="002466C9" w:rsidRPr="00B929AC">
        <w:instrText xml:space="preserve"> </w:instrText>
      </w:r>
      <w:r w:rsidR="002466C9">
        <w:rPr>
          <w:lang w:val="en-US"/>
        </w:rPr>
        <w:instrText>toxicity</w:instrText>
      </w:r>
      <w:r w:rsidR="002466C9" w:rsidRPr="00B929AC">
        <w:instrText xml:space="preserve"> </w:instrText>
      </w:r>
      <w:r w:rsidR="002466C9">
        <w:rPr>
          <w:lang w:val="en-US"/>
        </w:rPr>
        <w:instrText>concerns</w:instrText>
      </w:r>
      <w:r w:rsidR="002466C9" w:rsidRPr="00B929AC">
        <w:instrText xml:space="preserve"> </w:instrText>
      </w:r>
      <w:r w:rsidR="002466C9">
        <w:rPr>
          <w:lang w:val="en-US"/>
        </w:rPr>
        <w:instrText>and</w:instrText>
      </w:r>
      <w:r w:rsidR="002466C9" w:rsidRPr="00B929AC">
        <w:instrText xml:space="preserve"> </w:instrText>
      </w:r>
      <w:r w:rsidR="002466C9">
        <w:rPr>
          <w:lang w:val="en-US"/>
        </w:rPr>
        <w:instrText>the</w:instrText>
      </w:r>
      <w:r w:rsidR="002466C9" w:rsidRPr="00B929AC">
        <w:instrText xml:space="preserve"> </w:instrText>
      </w:r>
      <w:r w:rsidR="002466C9">
        <w:rPr>
          <w:lang w:val="en-US"/>
        </w:rPr>
        <w:instrText>excellent</w:instrText>
      </w:r>
      <w:r w:rsidR="002466C9" w:rsidRPr="00B929AC">
        <w:instrText xml:space="preserve"> </w:instrText>
      </w:r>
      <w:r w:rsidR="002466C9">
        <w:rPr>
          <w:lang w:val="en-US"/>
        </w:rPr>
        <w:instrText>results</w:instrText>
      </w:r>
      <w:r w:rsidR="002466C9" w:rsidRPr="00B929AC">
        <w:instrText xml:space="preserve"> </w:instrText>
      </w:r>
      <w:r w:rsidR="002466C9">
        <w:rPr>
          <w:lang w:val="en-US"/>
        </w:rPr>
        <w:instrText>obtained</w:instrText>
      </w:r>
      <w:r w:rsidR="002466C9" w:rsidRPr="00B929AC">
        <w:instrText xml:space="preserve"> </w:instrText>
      </w:r>
      <w:r w:rsidR="002466C9">
        <w:rPr>
          <w:lang w:val="en-US"/>
        </w:rPr>
        <w:instrText>with</w:instrText>
      </w:r>
      <w:r w:rsidR="002466C9" w:rsidRPr="00B929AC">
        <w:instrText xml:space="preserve"> </w:instrText>
      </w:r>
      <w:r w:rsidR="002466C9">
        <w:rPr>
          <w:lang w:val="en-US"/>
        </w:rPr>
        <w:instrText>radiation</w:instrText>
      </w:r>
      <w:r w:rsidR="002466C9" w:rsidRPr="00B929AC">
        <w:instrText>-</w:instrText>
      </w:r>
      <w:r w:rsidR="002466C9">
        <w:rPr>
          <w:lang w:val="en-US"/>
        </w:rPr>
        <w:instrText>free</w:instrText>
      </w:r>
      <w:r w:rsidR="002466C9" w:rsidRPr="00B929AC">
        <w:instrText xml:space="preserve"> </w:instrText>
      </w:r>
      <w:r w:rsidR="002466C9">
        <w:rPr>
          <w:lang w:val="en-US"/>
        </w:rPr>
        <w:instrText>programs</w:instrText>
      </w:r>
      <w:r w:rsidR="002466C9" w:rsidRPr="00B929AC">
        <w:instrText xml:space="preserve"> </w:instrText>
      </w:r>
      <w:r w:rsidR="002466C9">
        <w:rPr>
          <w:lang w:val="en-US"/>
        </w:rPr>
        <w:instrText>especially</w:instrText>
      </w:r>
      <w:r w:rsidR="002466C9" w:rsidRPr="00B929AC">
        <w:instrText xml:space="preserve"> </w:instrText>
      </w:r>
      <w:r w:rsidR="002466C9">
        <w:rPr>
          <w:lang w:val="en-US"/>
        </w:rPr>
        <w:instrText>in</w:instrText>
      </w:r>
      <w:r w:rsidR="002466C9" w:rsidRPr="00B929AC">
        <w:instrText xml:space="preserve"> </w:instrText>
      </w:r>
      <w:r w:rsidR="002466C9">
        <w:rPr>
          <w:lang w:val="en-US"/>
        </w:rPr>
        <w:instrText>pediatric</w:instrText>
      </w:r>
      <w:r w:rsidR="002466C9" w:rsidRPr="00B929AC">
        <w:instrText xml:space="preserve"> </w:instrText>
      </w:r>
      <w:r w:rsidR="002466C9">
        <w:rPr>
          <w:lang w:val="en-US"/>
        </w:rPr>
        <w:instrText>patients</w:instrText>
      </w:r>
      <w:r w:rsidR="002466C9" w:rsidRPr="00B929AC">
        <w:instrText xml:space="preserve">. </w:instrText>
      </w:r>
      <w:r w:rsidR="002466C9">
        <w:rPr>
          <w:lang w:val="en-US"/>
        </w:rPr>
        <w:instrText>With</w:instrText>
      </w:r>
      <w:r w:rsidR="002466C9" w:rsidRPr="00B929AC">
        <w:instrText xml:space="preserve"> </w:instrText>
      </w:r>
      <w:r w:rsidR="002466C9">
        <w:rPr>
          <w:lang w:val="en-US"/>
        </w:rPr>
        <w:instrText>these</w:instrText>
      </w:r>
      <w:r w:rsidR="002466C9" w:rsidRPr="00B929AC">
        <w:instrText xml:space="preserve"> </w:instrText>
      </w:r>
      <w:r w:rsidR="002466C9">
        <w:rPr>
          <w:lang w:val="en-US"/>
        </w:rPr>
        <w:instrText>modern</w:instrText>
      </w:r>
      <w:r w:rsidR="002466C9" w:rsidRPr="00B929AC">
        <w:instrText xml:space="preserve"> </w:instrText>
      </w:r>
      <w:r w:rsidR="002466C9">
        <w:rPr>
          <w:lang w:val="en-US"/>
        </w:rPr>
        <w:instrText>schedules</w:instrText>
      </w:r>
      <w:r w:rsidR="002466C9" w:rsidRPr="00B929AC">
        <w:instrText xml:space="preserve">, </w:instrText>
      </w:r>
      <w:r w:rsidR="002466C9">
        <w:rPr>
          <w:lang w:val="en-US"/>
        </w:rPr>
        <w:instrText>localized</w:instrText>
      </w:r>
      <w:r w:rsidR="002466C9" w:rsidRPr="00B929AC">
        <w:instrText xml:space="preserve"> </w:instrText>
      </w:r>
      <w:r w:rsidR="002466C9">
        <w:rPr>
          <w:lang w:val="en-US"/>
        </w:rPr>
        <w:instrText>radiotherapy</w:instrText>
      </w:r>
      <w:r w:rsidR="002466C9" w:rsidRPr="00B929AC">
        <w:instrText xml:space="preserve"> </w:instrText>
      </w:r>
      <w:r w:rsidR="002466C9">
        <w:rPr>
          <w:lang w:val="en-US"/>
        </w:rPr>
        <w:instrText>and</w:instrText>
      </w:r>
      <w:r w:rsidR="002466C9" w:rsidRPr="00B929AC">
        <w:instrText>/</w:instrText>
      </w:r>
      <w:r w:rsidR="002466C9">
        <w:rPr>
          <w:lang w:val="en-US"/>
        </w:rPr>
        <w:instrText>or</w:instrText>
      </w:r>
      <w:r w:rsidR="002466C9" w:rsidRPr="00B929AC">
        <w:instrText xml:space="preserve"> </w:instrText>
      </w:r>
      <w:r w:rsidR="002466C9">
        <w:rPr>
          <w:lang w:val="en-US"/>
        </w:rPr>
        <w:instrText>hematopoietic</w:instrText>
      </w:r>
      <w:r w:rsidR="002466C9" w:rsidRPr="00B929AC">
        <w:instrText xml:space="preserve"> </w:instrText>
      </w:r>
      <w:r w:rsidR="002466C9">
        <w:rPr>
          <w:lang w:val="en-US"/>
        </w:rPr>
        <w:instrText>stem</w:instrText>
      </w:r>
      <w:r w:rsidR="002466C9" w:rsidRPr="00B929AC">
        <w:instrText xml:space="preserve"> </w:instrText>
      </w:r>
      <w:r w:rsidR="002466C9">
        <w:rPr>
          <w:lang w:val="en-US"/>
        </w:rPr>
        <w:instrText>cell</w:instrText>
      </w:r>
      <w:r w:rsidR="002466C9" w:rsidRPr="00B929AC">
        <w:instrText xml:space="preserve"> </w:instrText>
      </w:r>
      <w:r w:rsidR="002466C9">
        <w:rPr>
          <w:lang w:val="en-US"/>
        </w:rPr>
        <w:instrText>transplants</w:instrText>
      </w:r>
      <w:r w:rsidR="002466C9" w:rsidRPr="00B929AC">
        <w:instrText xml:space="preserve"> </w:instrText>
      </w:r>
      <w:r w:rsidR="002466C9">
        <w:rPr>
          <w:lang w:val="en-US"/>
        </w:rPr>
        <w:instrText>could</w:instrText>
      </w:r>
      <w:r w:rsidR="002466C9" w:rsidRPr="00B929AC">
        <w:instrText xml:space="preserve"> </w:instrText>
      </w:r>
      <w:r w:rsidR="002466C9">
        <w:rPr>
          <w:lang w:val="en-US"/>
        </w:rPr>
        <w:instrText>be</w:instrText>
      </w:r>
      <w:r w:rsidR="002466C9" w:rsidRPr="00B929AC">
        <w:instrText xml:space="preserve"> </w:instrText>
      </w:r>
      <w:r w:rsidR="002466C9">
        <w:rPr>
          <w:lang w:val="en-US"/>
        </w:rPr>
        <w:instrText>generally</w:instrText>
      </w:r>
      <w:r w:rsidR="002466C9" w:rsidRPr="00B929AC">
        <w:instrText xml:space="preserve"> </w:instrText>
      </w:r>
      <w:r w:rsidR="002466C9">
        <w:rPr>
          <w:lang w:val="en-US"/>
        </w:rPr>
        <w:instrText>omitted</w:instrText>
      </w:r>
      <w:r w:rsidR="002466C9" w:rsidRPr="00B929AC">
        <w:instrText xml:space="preserve">, </w:instrText>
      </w:r>
      <w:r w:rsidR="002466C9">
        <w:rPr>
          <w:lang w:val="en-US"/>
        </w:rPr>
        <w:instrText>and</w:instrText>
      </w:r>
      <w:r w:rsidR="002466C9" w:rsidRPr="00B929AC">
        <w:instrText xml:space="preserve"> </w:instrText>
      </w:r>
      <w:r w:rsidR="002466C9">
        <w:rPr>
          <w:lang w:val="en-US"/>
        </w:rPr>
        <w:instrText>considered</w:instrText>
      </w:r>
      <w:r w:rsidR="002466C9" w:rsidRPr="00B929AC">
        <w:instrText xml:space="preserve"> </w:instrText>
      </w:r>
      <w:r w:rsidR="002466C9">
        <w:rPr>
          <w:lang w:val="en-US"/>
        </w:rPr>
        <w:instrText>only</w:instrText>
      </w:r>
      <w:r w:rsidR="002466C9" w:rsidRPr="00B929AC">
        <w:instrText xml:space="preserve"> </w:instrText>
      </w:r>
      <w:r w:rsidR="002466C9">
        <w:rPr>
          <w:lang w:val="en-US"/>
        </w:rPr>
        <w:instrText>for</w:instrText>
      </w:r>
      <w:r w:rsidR="002466C9" w:rsidRPr="00B929AC">
        <w:instrText xml:space="preserve"> </w:instrText>
      </w:r>
      <w:r w:rsidR="002466C9">
        <w:rPr>
          <w:lang w:val="en-US"/>
        </w:rPr>
        <w:instrText>high</w:instrText>
      </w:r>
      <w:r w:rsidR="002466C9" w:rsidRPr="00B929AC">
        <w:instrText>-</w:instrText>
      </w:r>
      <w:r w:rsidR="002466C9">
        <w:rPr>
          <w:lang w:val="en-US"/>
        </w:rPr>
        <w:instrText>risk</w:instrText>
      </w:r>
      <w:r w:rsidR="002466C9" w:rsidRPr="00B929AC">
        <w:instrText xml:space="preserve"> </w:instrText>
      </w:r>
      <w:r w:rsidR="002466C9">
        <w:rPr>
          <w:lang w:val="en-US"/>
        </w:rPr>
        <w:instrText>patients</w:instrText>
      </w:r>
      <w:r w:rsidR="002466C9" w:rsidRPr="00B929AC">
        <w:instrText xml:space="preserve"> </w:instrText>
      </w:r>
      <w:r w:rsidR="002466C9">
        <w:rPr>
          <w:lang w:val="en-US"/>
        </w:rPr>
        <w:instrText>identified</w:instrText>
      </w:r>
      <w:r w:rsidR="002466C9" w:rsidRPr="00B929AC">
        <w:instrText xml:space="preserve"> </w:instrText>
      </w:r>
      <w:r w:rsidR="002466C9">
        <w:rPr>
          <w:lang w:val="en-US"/>
        </w:rPr>
        <w:instrText>through</w:instrText>
      </w:r>
      <w:r w:rsidR="002466C9" w:rsidRPr="00B929AC">
        <w:instrText xml:space="preserve"> </w:instrText>
      </w:r>
      <w:r w:rsidR="002466C9">
        <w:rPr>
          <w:lang w:val="en-US"/>
        </w:rPr>
        <w:instrText>postinduction</w:instrText>
      </w:r>
      <w:r w:rsidR="002466C9" w:rsidRPr="00B929AC">
        <w:instrText xml:space="preserve"> </w:instrText>
      </w:r>
      <w:r w:rsidR="002466C9">
        <w:rPr>
          <w:lang w:val="en-US"/>
        </w:rPr>
        <w:instrText>computed</w:instrText>
      </w:r>
      <w:r w:rsidR="002466C9" w:rsidRPr="00B929AC">
        <w:instrText xml:space="preserve"> </w:instrText>
      </w:r>
      <w:r w:rsidR="002466C9">
        <w:rPr>
          <w:lang w:val="en-US"/>
        </w:rPr>
        <w:instrText>tomography</w:instrText>
      </w:r>
      <w:r w:rsidR="002466C9" w:rsidRPr="00B929AC">
        <w:instrText>/</w:instrText>
      </w:r>
      <w:r w:rsidR="002466C9">
        <w:rPr>
          <w:lang w:val="en-US"/>
        </w:rPr>
        <w:instrText>positron</w:instrText>
      </w:r>
      <w:r w:rsidR="002466C9" w:rsidRPr="00B929AC">
        <w:instrText>-</w:instrText>
      </w:r>
      <w:r w:rsidR="002466C9">
        <w:rPr>
          <w:lang w:val="en-US"/>
        </w:rPr>
        <w:instrText>emission</w:instrText>
      </w:r>
      <w:r w:rsidR="002466C9" w:rsidRPr="00B929AC">
        <w:instrText xml:space="preserve"> </w:instrText>
      </w:r>
      <w:r w:rsidR="002466C9">
        <w:rPr>
          <w:lang w:val="en-US"/>
        </w:rPr>
        <w:instrText>tomography</w:instrText>
      </w:r>
      <w:r w:rsidR="002466C9" w:rsidRPr="00B929AC">
        <w:instrText xml:space="preserve"> </w:instrText>
      </w:r>
      <w:r w:rsidR="002466C9">
        <w:rPr>
          <w:lang w:val="en-US"/>
        </w:rPr>
        <w:instrText>scans</w:instrText>
      </w:r>
      <w:r w:rsidR="002466C9" w:rsidRPr="00B929AC">
        <w:instrText xml:space="preserve">, </w:instrText>
      </w:r>
      <w:r w:rsidR="002466C9">
        <w:rPr>
          <w:lang w:val="en-US"/>
        </w:rPr>
        <w:instrText>minimal</w:instrText>
      </w:r>
      <w:r w:rsidR="002466C9" w:rsidRPr="00B929AC">
        <w:instrText xml:space="preserve"> </w:instrText>
      </w:r>
      <w:r w:rsidR="002466C9">
        <w:rPr>
          <w:lang w:val="en-US"/>
        </w:rPr>
        <w:instrText>residual</w:instrText>
      </w:r>
      <w:r w:rsidR="002466C9" w:rsidRPr="00B929AC">
        <w:instrText xml:space="preserve"> </w:instrText>
      </w:r>
      <w:r w:rsidR="002466C9">
        <w:rPr>
          <w:lang w:val="en-US"/>
        </w:rPr>
        <w:instrText>disease</w:instrText>
      </w:r>
      <w:r w:rsidR="002466C9" w:rsidRPr="00B929AC">
        <w:instrText xml:space="preserve"> </w:instrText>
      </w:r>
      <w:r w:rsidR="002466C9">
        <w:rPr>
          <w:lang w:val="en-US"/>
        </w:rPr>
        <w:instrText>analysis</w:instrText>
      </w:r>
      <w:r w:rsidR="002466C9" w:rsidRPr="00B929AC">
        <w:instrText xml:space="preserve">, </w:instrText>
      </w:r>
      <w:r w:rsidR="002466C9">
        <w:rPr>
          <w:lang w:val="en-US"/>
        </w:rPr>
        <w:instrText>and</w:instrText>
      </w:r>
      <w:r w:rsidR="002466C9" w:rsidRPr="00B929AC">
        <w:instrText xml:space="preserve"> </w:instrText>
      </w:r>
      <w:r w:rsidR="002466C9">
        <w:rPr>
          <w:lang w:val="en-US"/>
        </w:rPr>
        <w:instrText>new</w:instrText>
      </w:r>
      <w:r w:rsidR="002466C9" w:rsidRPr="00B929AC">
        <w:instrText xml:space="preserve"> </w:instrText>
      </w:r>
      <w:r w:rsidR="002466C9">
        <w:rPr>
          <w:lang w:val="en-US"/>
        </w:rPr>
        <w:instrText>genetics</w:instrText>
      </w:r>
      <w:r w:rsidR="002466C9" w:rsidRPr="00B929AC">
        <w:instrText xml:space="preserve"> </w:instrText>
      </w:r>
      <w:r w:rsidR="002466C9">
        <w:rPr>
          <w:lang w:val="en-US"/>
        </w:rPr>
        <w:instrText>and</w:instrText>
      </w:r>
      <w:r w:rsidR="002466C9" w:rsidRPr="00B929AC">
        <w:instrText xml:space="preserve"> </w:instrText>
      </w:r>
      <w:r w:rsidR="002466C9">
        <w:rPr>
          <w:lang w:val="en-US"/>
        </w:rPr>
        <w:instrText>genomics</w:instrText>
      </w:r>
      <w:r w:rsidR="002466C9" w:rsidRPr="00B929AC">
        <w:instrText xml:space="preserve">. </w:instrText>
      </w:r>
      <w:r w:rsidR="002466C9">
        <w:rPr>
          <w:lang w:val="en-US"/>
        </w:rPr>
        <w:instrText>New</w:instrText>
      </w:r>
      <w:r w:rsidR="002466C9" w:rsidRPr="00B929AC">
        <w:instrText xml:space="preserve"> </w:instrText>
      </w:r>
      <w:r w:rsidR="002466C9">
        <w:rPr>
          <w:lang w:val="en-US"/>
        </w:rPr>
        <w:instrText>clinical</w:instrText>
      </w:r>
      <w:r w:rsidR="002466C9" w:rsidRPr="00B929AC">
        <w:instrText xml:space="preserve"> </w:instrText>
      </w:r>
      <w:r w:rsidR="002466C9">
        <w:rPr>
          <w:lang w:val="en-US"/>
        </w:rPr>
        <w:instrText>studies</w:instrText>
      </w:r>
      <w:r w:rsidR="002466C9" w:rsidRPr="00B929AC">
        <w:instrText xml:space="preserve"> </w:instrText>
      </w:r>
      <w:r w:rsidR="002466C9">
        <w:rPr>
          <w:lang w:val="en-US"/>
        </w:rPr>
        <w:instrText>will</w:instrText>
      </w:r>
      <w:r w:rsidR="002466C9" w:rsidRPr="00B929AC">
        <w:instrText xml:space="preserve"> </w:instrText>
      </w:r>
      <w:r w:rsidR="002466C9">
        <w:rPr>
          <w:lang w:val="en-US"/>
        </w:rPr>
        <w:instrText>have</w:instrText>
      </w:r>
      <w:r w:rsidR="002466C9" w:rsidRPr="00B929AC">
        <w:instrText xml:space="preserve"> </w:instrText>
      </w:r>
      <w:r w:rsidR="002466C9">
        <w:rPr>
          <w:lang w:val="en-US"/>
        </w:rPr>
        <w:instrText>to</w:instrText>
      </w:r>
      <w:r w:rsidR="002466C9" w:rsidRPr="00B929AC">
        <w:instrText xml:space="preserve"> </w:instrText>
      </w:r>
      <w:r w:rsidR="002466C9">
        <w:rPr>
          <w:lang w:val="en-US"/>
        </w:rPr>
        <w:instrText>confirm</w:instrText>
      </w:r>
      <w:r w:rsidR="002466C9" w:rsidRPr="00B929AC">
        <w:instrText xml:space="preserve"> </w:instrText>
      </w:r>
      <w:r w:rsidR="002466C9">
        <w:rPr>
          <w:lang w:val="en-US"/>
        </w:rPr>
        <w:instrText>the</w:instrText>
      </w:r>
      <w:r w:rsidR="002466C9" w:rsidRPr="00B929AC">
        <w:instrText xml:space="preserve"> </w:instrText>
      </w:r>
      <w:r w:rsidR="002466C9">
        <w:rPr>
          <w:lang w:val="en-US"/>
        </w:rPr>
        <w:instrText>value</w:instrText>
      </w:r>
      <w:r w:rsidR="002466C9" w:rsidRPr="00B929AC">
        <w:instrText xml:space="preserve"> </w:instrText>
      </w:r>
      <w:r w:rsidR="002466C9">
        <w:rPr>
          <w:lang w:val="en-US"/>
        </w:rPr>
        <w:instrText>of</w:instrText>
      </w:r>
      <w:r w:rsidR="002466C9" w:rsidRPr="00B929AC">
        <w:instrText xml:space="preserve"> </w:instrText>
      </w:r>
      <w:r w:rsidR="002466C9">
        <w:rPr>
          <w:lang w:val="en-US"/>
        </w:rPr>
        <w:instrText>these</w:instrText>
      </w:r>
      <w:r w:rsidR="002466C9" w:rsidRPr="00B929AC">
        <w:instrText xml:space="preserve"> </w:instrText>
      </w:r>
      <w:r w:rsidR="002466C9">
        <w:rPr>
          <w:lang w:val="en-US"/>
        </w:rPr>
        <w:instrText>assays</w:instrText>
      </w:r>
      <w:r w:rsidR="002466C9" w:rsidRPr="00B929AC">
        <w:instrText xml:space="preserve"> </w:instrText>
      </w:r>
      <w:r w:rsidR="002466C9">
        <w:rPr>
          <w:lang w:val="en-US"/>
        </w:rPr>
        <w:instrText>for</w:instrText>
      </w:r>
      <w:r w:rsidR="002466C9" w:rsidRPr="00B929AC">
        <w:instrText xml:space="preserve"> </w:instrText>
      </w:r>
      <w:r w:rsidR="002466C9">
        <w:rPr>
          <w:lang w:val="en-US"/>
        </w:rPr>
        <w:instrText>risk</w:instrText>
      </w:r>
      <w:r w:rsidR="002466C9" w:rsidRPr="00B929AC">
        <w:instrText>-</w:instrText>
      </w:r>
      <w:r w:rsidR="002466C9">
        <w:rPr>
          <w:lang w:val="en-US"/>
        </w:rPr>
        <w:instrText>oriented</w:instrText>
      </w:r>
      <w:r w:rsidR="002466C9" w:rsidRPr="00B929AC">
        <w:instrText xml:space="preserve"> </w:instrText>
      </w:r>
      <w:r w:rsidR="002466C9">
        <w:rPr>
          <w:lang w:val="en-US"/>
        </w:rPr>
        <w:instrText>therapy</w:instrText>
      </w:r>
      <w:r w:rsidR="002466C9" w:rsidRPr="00B929AC">
        <w:instrText xml:space="preserve">, </w:instrText>
      </w:r>
      <w:r w:rsidR="002466C9">
        <w:rPr>
          <w:lang w:val="en-US"/>
        </w:rPr>
        <w:instrText>while</w:instrText>
      </w:r>
      <w:r w:rsidR="002466C9" w:rsidRPr="00B929AC">
        <w:instrText xml:space="preserve"> </w:instrText>
      </w:r>
      <w:r w:rsidR="002466C9">
        <w:rPr>
          <w:lang w:val="en-US"/>
        </w:rPr>
        <w:instrText>further</w:instrText>
      </w:r>
      <w:r w:rsidR="002466C9" w:rsidRPr="00B929AC">
        <w:instrText xml:space="preserve"> </w:instrText>
      </w:r>
      <w:r w:rsidR="002466C9">
        <w:rPr>
          <w:lang w:val="en-US"/>
        </w:rPr>
        <w:instrText>therapeutic</w:instrText>
      </w:r>
      <w:r w:rsidR="002466C9" w:rsidRPr="00B929AC">
        <w:instrText xml:space="preserve"> </w:instrText>
      </w:r>
      <w:r w:rsidR="002466C9">
        <w:rPr>
          <w:lang w:val="en-US"/>
        </w:rPr>
        <w:instrText>progress</w:instrText>
      </w:r>
      <w:r w:rsidR="002466C9" w:rsidRPr="00B929AC">
        <w:instrText xml:space="preserve"> </w:instrText>
      </w:r>
      <w:r w:rsidR="002466C9">
        <w:rPr>
          <w:lang w:val="en-US"/>
        </w:rPr>
        <w:instrText>is</w:instrText>
      </w:r>
      <w:r w:rsidR="002466C9" w:rsidRPr="00B929AC">
        <w:instrText xml:space="preserve"> </w:instrText>
      </w:r>
      <w:r w:rsidR="002466C9">
        <w:rPr>
          <w:lang w:val="en-US"/>
        </w:rPr>
        <w:instrText>expected</w:instrText>
      </w:r>
      <w:r w:rsidR="002466C9" w:rsidRPr="00B929AC">
        <w:instrText xml:space="preserve"> </w:instrText>
      </w:r>
      <w:r w:rsidR="002466C9">
        <w:rPr>
          <w:lang w:val="en-US"/>
        </w:rPr>
        <w:instrText>from</w:instrText>
      </w:r>
      <w:r w:rsidR="002466C9" w:rsidRPr="00B929AC">
        <w:instrText xml:space="preserve"> </w:instrText>
      </w:r>
      <w:r w:rsidR="002466C9">
        <w:rPr>
          <w:lang w:val="en-US"/>
        </w:rPr>
        <w:instrText>the</w:instrText>
      </w:r>
      <w:r w:rsidR="002466C9" w:rsidRPr="00B929AC">
        <w:instrText xml:space="preserve"> </w:instrText>
      </w:r>
      <w:r w:rsidR="002466C9">
        <w:rPr>
          <w:lang w:val="en-US"/>
        </w:rPr>
        <w:instrText>introduction</w:instrText>
      </w:r>
      <w:r w:rsidR="002466C9" w:rsidRPr="00B929AC">
        <w:instrText xml:space="preserve"> </w:instrText>
      </w:r>
      <w:r w:rsidR="002466C9">
        <w:rPr>
          <w:lang w:val="en-US"/>
        </w:rPr>
        <w:instrText>of</w:instrText>
      </w:r>
      <w:r w:rsidR="002466C9" w:rsidRPr="00B929AC">
        <w:instrText xml:space="preserve"> </w:instrText>
      </w:r>
      <w:r w:rsidR="002466C9">
        <w:rPr>
          <w:lang w:val="en-US"/>
        </w:rPr>
        <w:instrText>new</w:instrText>
      </w:r>
      <w:r w:rsidR="002466C9" w:rsidRPr="00B929AC">
        <w:instrText xml:space="preserve"> </w:instrText>
      </w:r>
      <w:r w:rsidR="002466C9">
        <w:rPr>
          <w:lang w:val="en-US"/>
        </w:rPr>
        <w:instrText>drugs</w:instrText>
      </w:r>
      <w:r w:rsidR="002466C9" w:rsidRPr="00B929AC">
        <w:instrText xml:space="preserve"> </w:instrText>
      </w:r>
      <w:r w:rsidR="002466C9">
        <w:rPr>
          <w:lang w:val="en-US"/>
        </w:rPr>
        <w:instrText>and</w:instrText>
      </w:r>
      <w:r w:rsidR="002466C9" w:rsidRPr="00B929AC">
        <w:instrText xml:space="preserve"> </w:instrText>
      </w:r>
      <w:r w:rsidR="002466C9">
        <w:rPr>
          <w:lang w:val="en-US"/>
        </w:rPr>
        <w:instrText>targeting</w:instrText>
      </w:r>
      <w:r w:rsidR="002466C9" w:rsidRPr="00B929AC">
        <w:instrText xml:space="preserve"> </w:instrText>
      </w:r>
      <w:r w:rsidR="002466C9">
        <w:rPr>
          <w:lang w:val="en-US"/>
        </w:rPr>
        <w:instrText>agents</w:instrText>
      </w:r>
      <w:r w:rsidR="002466C9" w:rsidRPr="00B929AC">
        <w:instrText>.","</w:instrText>
      </w:r>
      <w:r w:rsidR="002466C9">
        <w:rPr>
          <w:lang w:val="en-US"/>
        </w:rPr>
        <w:instrText>author</w:instrText>
      </w:r>
      <w:r w:rsidR="002466C9" w:rsidRPr="00B929AC">
        <w:instrText>":[{"</w:instrText>
      </w:r>
      <w:r w:rsidR="002466C9">
        <w:rPr>
          <w:lang w:val="en-US"/>
        </w:rPr>
        <w:instrText>dropping</w:instrText>
      </w:r>
      <w:r w:rsidR="002466C9" w:rsidRPr="00B929AC">
        <w:instrText>-</w:instrText>
      </w:r>
      <w:r w:rsidR="002466C9">
        <w:rPr>
          <w:lang w:val="en-US"/>
        </w:rPr>
        <w:instrText>particle</w:instrText>
      </w:r>
      <w:r w:rsidR="002466C9" w:rsidRPr="00B929AC">
        <w:instrText>":"","</w:instrText>
      </w:r>
      <w:r w:rsidR="002466C9">
        <w:rPr>
          <w:lang w:val="en-US"/>
        </w:rPr>
        <w:instrText>family</w:instrText>
      </w:r>
      <w:r w:rsidR="002466C9" w:rsidRPr="00B929AC">
        <w:instrText>":"</w:instrText>
      </w:r>
      <w:r w:rsidR="002466C9">
        <w:rPr>
          <w:lang w:val="en-US"/>
        </w:rPr>
        <w:instrText>Bassan</w:instrText>
      </w:r>
      <w:r w:rsidR="002466C9" w:rsidRPr="00B929AC">
        <w:instrText>","</w:instrText>
      </w:r>
      <w:r w:rsidR="002466C9">
        <w:rPr>
          <w:lang w:val="en-US"/>
        </w:rPr>
        <w:instrText>given</w:instrText>
      </w:r>
      <w:r w:rsidR="002466C9" w:rsidRPr="00B929AC">
        <w:instrText>":"</w:instrText>
      </w:r>
      <w:r w:rsidR="002466C9">
        <w:rPr>
          <w:lang w:val="en-US"/>
        </w:rPr>
        <w:instrText>Renato</w:instrText>
      </w:r>
      <w:r w:rsidR="002466C9" w:rsidRPr="00B929AC">
        <w:instrText>","</w:instrText>
      </w:r>
      <w:r w:rsidR="002466C9">
        <w:rPr>
          <w:lang w:val="en-US"/>
        </w:rPr>
        <w:instrText>non</w:instrText>
      </w:r>
      <w:r w:rsidR="002466C9" w:rsidRPr="00B929AC">
        <w:instrText>-</w:instrText>
      </w:r>
      <w:r w:rsidR="002466C9">
        <w:rPr>
          <w:lang w:val="en-US"/>
        </w:rPr>
        <w:instrText>dropping</w:instrText>
      </w:r>
      <w:r w:rsidR="002466C9" w:rsidRPr="00B929AC">
        <w:instrText>-</w:instrText>
      </w:r>
      <w:r w:rsidR="002466C9">
        <w:rPr>
          <w:lang w:val="en-US"/>
        </w:rPr>
        <w:instrText>particle</w:instrText>
      </w:r>
      <w:r w:rsidR="002466C9" w:rsidRPr="00B929AC">
        <w:instrText>":"","</w:instrText>
      </w:r>
      <w:r w:rsidR="002466C9">
        <w:rPr>
          <w:lang w:val="en-US"/>
        </w:rPr>
        <w:instrText>parse</w:instrText>
      </w:r>
      <w:r w:rsidR="002466C9" w:rsidRPr="00B929AC">
        <w:instrText>-</w:instrText>
      </w:r>
      <w:r w:rsidR="002466C9">
        <w:rPr>
          <w:lang w:val="en-US"/>
        </w:rPr>
        <w:instrText>names</w:instrText>
      </w:r>
      <w:r w:rsidR="002466C9" w:rsidRPr="00B929AC">
        <w:instrText>":</w:instrText>
      </w:r>
      <w:r w:rsidR="002466C9">
        <w:rPr>
          <w:lang w:val="en-US"/>
        </w:rPr>
        <w:instrText>false</w:instrText>
      </w:r>
      <w:r w:rsidR="002466C9" w:rsidRPr="00B929AC">
        <w:instrText>,"</w:instrText>
      </w:r>
      <w:r w:rsidR="002466C9">
        <w:rPr>
          <w:lang w:val="en-US"/>
        </w:rPr>
        <w:instrText>suffix</w:instrText>
      </w:r>
      <w:r w:rsidR="002466C9" w:rsidRPr="00B929AC">
        <w:instrText>":""},{"</w:instrText>
      </w:r>
      <w:r w:rsidR="002466C9">
        <w:rPr>
          <w:lang w:val="en-US"/>
        </w:rPr>
        <w:instrText>dropping</w:instrText>
      </w:r>
      <w:r w:rsidR="002466C9" w:rsidRPr="00B929AC">
        <w:instrText>-</w:instrText>
      </w:r>
      <w:r w:rsidR="002466C9">
        <w:rPr>
          <w:lang w:val="en-US"/>
        </w:rPr>
        <w:instrText>particle</w:instrText>
      </w:r>
      <w:r w:rsidR="002466C9" w:rsidRPr="00B929AC">
        <w:instrText>":"","</w:instrText>
      </w:r>
      <w:r w:rsidR="002466C9">
        <w:rPr>
          <w:lang w:val="en-US"/>
        </w:rPr>
        <w:instrText>family</w:instrText>
      </w:r>
      <w:r w:rsidR="002466C9" w:rsidRPr="00B929AC">
        <w:instrText>":"</w:instrText>
      </w:r>
      <w:r w:rsidR="002466C9">
        <w:rPr>
          <w:lang w:val="en-US"/>
        </w:rPr>
        <w:instrText>Maino</w:instrText>
      </w:r>
      <w:r w:rsidR="002466C9" w:rsidRPr="00B929AC">
        <w:instrText>","</w:instrText>
      </w:r>
      <w:r w:rsidR="002466C9">
        <w:rPr>
          <w:lang w:val="en-US"/>
        </w:rPr>
        <w:instrText>given</w:instrText>
      </w:r>
      <w:r w:rsidR="002466C9" w:rsidRPr="00B929AC">
        <w:instrText>":"</w:instrText>
      </w:r>
      <w:r w:rsidR="002466C9">
        <w:rPr>
          <w:lang w:val="en-US"/>
        </w:rPr>
        <w:instrText>Elena</w:instrText>
      </w:r>
      <w:r w:rsidR="002466C9" w:rsidRPr="00B929AC">
        <w:instrText>","</w:instrText>
      </w:r>
      <w:r w:rsidR="002466C9">
        <w:rPr>
          <w:lang w:val="en-US"/>
        </w:rPr>
        <w:instrText>non</w:instrText>
      </w:r>
      <w:r w:rsidR="002466C9" w:rsidRPr="00B929AC">
        <w:instrText>-</w:instrText>
      </w:r>
      <w:r w:rsidR="002466C9">
        <w:rPr>
          <w:lang w:val="en-US"/>
        </w:rPr>
        <w:instrText>dropping</w:instrText>
      </w:r>
      <w:r w:rsidR="002466C9" w:rsidRPr="00B929AC">
        <w:instrText>-</w:instrText>
      </w:r>
      <w:r w:rsidR="002466C9">
        <w:rPr>
          <w:lang w:val="en-US"/>
        </w:rPr>
        <w:instrText>particle</w:instrText>
      </w:r>
      <w:r w:rsidR="002466C9" w:rsidRPr="00B929AC">
        <w:instrText>":"","</w:instrText>
      </w:r>
      <w:r w:rsidR="002466C9">
        <w:rPr>
          <w:lang w:val="en-US"/>
        </w:rPr>
        <w:instrText>parse</w:instrText>
      </w:r>
      <w:r w:rsidR="002466C9" w:rsidRPr="00B929AC">
        <w:instrText>-</w:instrText>
      </w:r>
      <w:r w:rsidR="002466C9">
        <w:rPr>
          <w:lang w:val="en-US"/>
        </w:rPr>
        <w:instrText>names</w:instrText>
      </w:r>
      <w:r w:rsidR="002466C9" w:rsidRPr="00B929AC">
        <w:instrText>":</w:instrText>
      </w:r>
      <w:r w:rsidR="002466C9">
        <w:rPr>
          <w:lang w:val="en-US"/>
        </w:rPr>
        <w:instrText>false</w:instrText>
      </w:r>
      <w:r w:rsidR="002466C9" w:rsidRPr="00B929AC">
        <w:instrText>,"</w:instrText>
      </w:r>
      <w:r w:rsidR="002466C9">
        <w:rPr>
          <w:lang w:val="en-US"/>
        </w:rPr>
        <w:instrText>suffix</w:instrText>
      </w:r>
      <w:r w:rsidR="002466C9" w:rsidRPr="00B929AC">
        <w:instrText>":""},{"</w:instrText>
      </w:r>
      <w:r w:rsidR="002466C9">
        <w:rPr>
          <w:lang w:val="en-US"/>
        </w:rPr>
        <w:instrText>dropping</w:instrText>
      </w:r>
      <w:r w:rsidR="002466C9" w:rsidRPr="00B929AC">
        <w:instrText>-</w:instrText>
      </w:r>
      <w:r w:rsidR="002466C9">
        <w:rPr>
          <w:lang w:val="en-US"/>
        </w:rPr>
        <w:instrText>particle</w:instrText>
      </w:r>
      <w:r w:rsidR="002466C9" w:rsidRPr="00B929AC">
        <w:instrText>":"","</w:instrText>
      </w:r>
      <w:r w:rsidR="002466C9">
        <w:rPr>
          <w:lang w:val="en-US"/>
        </w:rPr>
        <w:instrText>family</w:instrText>
      </w:r>
      <w:r w:rsidR="002466C9" w:rsidRPr="00B929AC">
        <w:instrText>":"</w:instrText>
      </w:r>
      <w:r w:rsidR="002466C9">
        <w:rPr>
          <w:lang w:val="en-US"/>
        </w:rPr>
        <w:instrText>Cortelazzo</w:instrText>
      </w:r>
      <w:r w:rsidR="002466C9" w:rsidRPr="00B929AC">
        <w:instrText>","</w:instrText>
      </w:r>
      <w:r w:rsidR="002466C9">
        <w:rPr>
          <w:lang w:val="en-US"/>
        </w:rPr>
        <w:instrText>given</w:instrText>
      </w:r>
      <w:r w:rsidR="002466C9" w:rsidRPr="00B929AC">
        <w:instrText>":"</w:instrText>
      </w:r>
      <w:r w:rsidR="002466C9">
        <w:rPr>
          <w:lang w:val="en-US"/>
        </w:rPr>
        <w:instrText>Sergio</w:instrText>
      </w:r>
      <w:r w:rsidR="002466C9" w:rsidRPr="00B929AC">
        <w:instrText>","</w:instrText>
      </w:r>
      <w:r w:rsidR="002466C9">
        <w:rPr>
          <w:lang w:val="en-US"/>
        </w:rPr>
        <w:instrText>non</w:instrText>
      </w:r>
      <w:r w:rsidR="002466C9" w:rsidRPr="00B929AC">
        <w:instrText>-</w:instrText>
      </w:r>
      <w:r w:rsidR="002466C9">
        <w:rPr>
          <w:lang w:val="en-US"/>
        </w:rPr>
        <w:instrText>dropping</w:instrText>
      </w:r>
      <w:r w:rsidR="002466C9" w:rsidRPr="00B929AC">
        <w:instrText>-</w:instrText>
      </w:r>
      <w:r w:rsidR="002466C9">
        <w:rPr>
          <w:lang w:val="en-US"/>
        </w:rPr>
        <w:instrText>particle</w:instrText>
      </w:r>
      <w:r w:rsidR="002466C9" w:rsidRPr="00B929AC">
        <w:instrText>":"","</w:instrText>
      </w:r>
      <w:r w:rsidR="002466C9">
        <w:rPr>
          <w:lang w:val="en-US"/>
        </w:rPr>
        <w:instrText>parse</w:instrText>
      </w:r>
      <w:r w:rsidR="002466C9" w:rsidRPr="00B929AC">
        <w:instrText>-</w:instrText>
      </w:r>
      <w:r w:rsidR="002466C9">
        <w:rPr>
          <w:lang w:val="en-US"/>
        </w:rPr>
        <w:instrText>names</w:instrText>
      </w:r>
      <w:r w:rsidR="002466C9" w:rsidRPr="00B929AC">
        <w:instrText>":</w:instrText>
      </w:r>
      <w:r w:rsidR="002466C9">
        <w:rPr>
          <w:lang w:val="en-US"/>
        </w:rPr>
        <w:instrText>false</w:instrText>
      </w:r>
      <w:r w:rsidR="002466C9" w:rsidRPr="00B929AC">
        <w:instrText>,"</w:instrText>
      </w:r>
      <w:r w:rsidR="002466C9">
        <w:rPr>
          <w:lang w:val="en-US"/>
        </w:rPr>
        <w:instrText>suffix</w:instrText>
      </w:r>
      <w:r w:rsidR="002466C9" w:rsidRPr="00B929AC">
        <w:instrText>":""}],"</w:instrText>
      </w:r>
      <w:r w:rsidR="002466C9">
        <w:rPr>
          <w:lang w:val="en-US"/>
        </w:rPr>
        <w:instrText>container</w:instrText>
      </w:r>
      <w:r w:rsidR="002466C9" w:rsidRPr="00B929AC">
        <w:instrText>-</w:instrText>
      </w:r>
      <w:r w:rsidR="002466C9">
        <w:rPr>
          <w:lang w:val="en-US"/>
        </w:rPr>
        <w:instrText>title</w:instrText>
      </w:r>
      <w:r w:rsidR="002466C9" w:rsidRPr="00B929AC">
        <w:instrText>":"</w:instrText>
      </w:r>
      <w:r w:rsidR="002466C9">
        <w:rPr>
          <w:lang w:val="en-US"/>
        </w:rPr>
        <w:instrText>European</w:instrText>
      </w:r>
      <w:r w:rsidR="002466C9" w:rsidRPr="00B929AC">
        <w:instrText xml:space="preserve"> </w:instrText>
      </w:r>
      <w:r w:rsidR="002466C9">
        <w:rPr>
          <w:lang w:val="en-US"/>
        </w:rPr>
        <w:instrText>journal</w:instrText>
      </w:r>
      <w:r w:rsidR="002466C9" w:rsidRPr="00B929AC">
        <w:instrText xml:space="preserve"> </w:instrText>
      </w:r>
      <w:r w:rsidR="002466C9">
        <w:rPr>
          <w:lang w:val="en-US"/>
        </w:rPr>
        <w:instrText>of</w:instrText>
      </w:r>
      <w:r w:rsidR="002466C9" w:rsidRPr="00B929AC">
        <w:instrText xml:space="preserve"> </w:instrText>
      </w:r>
      <w:r w:rsidR="002466C9">
        <w:rPr>
          <w:lang w:val="en-US"/>
        </w:rPr>
        <w:instrText>haematology</w:instrText>
      </w:r>
      <w:r w:rsidR="002466C9" w:rsidRPr="00B929AC">
        <w:instrText>","</w:instrText>
      </w:r>
      <w:r w:rsidR="002466C9">
        <w:rPr>
          <w:lang w:val="en-US"/>
        </w:rPr>
        <w:instrText>id</w:instrText>
      </w:r>
      <w:r w:rsidR="002466C9" w:rsidRPr="00B929AC">
        <w:instrText>":"</w:instrText>
      </w:r>
      <w:r w:rsidR="002466C9">
        <w:rPr>
          <w:lang w:val="en-US"/>
        </w:rPr>
        <w:instrText>ITEM</w:instrText>
      </w:r>
      <w:r w:rsidR="002466C9" w:rsidRPr="00B929AC">
        <w:instrText>-1","</w:instrText>
      </w:r>
      <w:r w:rsidR="002466C9">
        <w:rPr>
          <w:lang w:val="en-US"/>
        </w:rPr>
        <w:instrText>issue</w:instrText>
      </w:r>
      <w:r w:rsidR="002466C9" w:rsidRPr="00B929AC">
        <w:instrText>":"5","</w:instrText>
      </w:r>
      <w:r w:rsidR="002466C9">
        <w:rPr>
          <w:lang w:val="en-US"/>
        </w:rPr>
        <w:instrText>issued</w:instrText>
      </w:r>
      <w:r w:rsidR="002466C9" w:rsidRPr="00B929AC">
        <w:instrText>":{"</w:instrText>
      </w:r>
      <w:r w:rsidR="002466C9">
        <w:rPr>
          <w:lang w:val="en-US"/>
        </w:rPr>
        <w:instrText>date</w:instrText>
      </w:r>
      <w:r w:rsidR="002466C9" w:rsidRPr="00B929AC">
        <w:instrText>-</w:instrText>
      </w:r>
      <w:r w:rsidR="002466C9">
        <w:rPr>
          <w:lang w:val="en-US"/>
        </w:rPr>
        <w:instrText>parts</w:instrText>
      </w:r>
      <w:r w:rsidR="002466C9" w:rsidRPr="00B929AC">
        <w:instrText>":[["2016","5"]]},"</w:instrText>
      </w:r>
      <w:r w:rsidR="002466C9">
        <w:rPr>
          <w:lang w:val="en-US"/>
        </w:rPr>
        <w:instrText>page</w:instrText>
      </w:r>
      <w:r w:rsidR="002466C9" w:rsidRPr="00B929AC">
        <w:instrText>":"447-60","</w:instrText>
      </w:r>
      <w:r w:rsidR="002466C9">
        <w:rPr>
          <w:lang w:val="en-US"/>
        </w:rPr>
        <w:instrText>title</w:instrText>
      </w:r>
      <w:r w:rsidR="002466C9" w:rsidRPr="00B929AC">
        <w:instrText>":"</w:instrText>
      </w:r>
      <w:r w:rsidR="002466C9">
        <w:rPr>
          <w:lang w:val="en-US"/>
        </w:rPr>
        <w:instrText>Lymphoblastic</w:instrText>
      </w:r>
      <w:r w:rsidR="002466C9" w:rsidRPr="00B929AC">
        <w:instrText xml:space="preserve"> </w:instrText>
      </w:r>
      <w:r w:rsidR="002466C9">
        <w:rPr>
          <w:lang w:val="en-US"/>
        </w:rPr>
        <w:instrText>lymphoma</w:instrText>
      </w:r>
      <w:r w:rsidR="002466C9" w:rsidRPr="00B929AC">
        <w:instrText xml:space="preserve">: </w:instrText>
      </w:r>
      <w:r w:rsidR="002466C9">
        <w:rPr>
          <w:lang w:val="en-US"/>
        </w:rPr>
        <w:instrText>an</w:instrText>
      </w:r>
      <w:r w:rsidR="002466C9" w:rsidRPr="00B929AC">
        <w:instrText xml:space="preserve"> </w:instrText>
      </w:r>
      <w:r w:rsidR="002466C9">
        <w:rPr>
          <w:lang w:val="en-US"/>
        </w:rPr>
        <w:instrText>updated</w:instrText>
      </w:r>
      <w:r w:rsidR="002466C9" w:rsidRPr="00B929AC">
        <w:instrText xml:space="preserve"> </w:instrText>
      </w:r>
      <w:r w:rsidR="002466C9">
        <w:rPr>
          <w:lang w:val="en-US"/>
        </w:rPr>
        <w:instrText>review</w:instrText>
      </w:r>
      <w:r w:rsidR="002466C9" w:rsidRPr="00B929AC">
        <w:instrText xml:space="preserve"> </w:instrText>
      </w:r>
      <w:r w:rsidR="002466C9">
        <w:rPr>
          <w:lang w:val="en-US"/>
        </w:rPr>
        <w:instrText>on</w:instrText>
      </w:r>
      <w:r w:rsidR="002466C9" w:rsidRPr="00B929AC">
        <w:instrText xml:space="preserve"> </w:instrText>
      </w:r>
      <w:r w:rsidR="002466C9">
        <w:rPr>
          <w:lang w:val="en-US"/>
        </w:rPr>
        <w:instrText>biology</w:instrText>
      </w:r>
      <w:r w:rsidR="002466C9" w:rsidRPr="00B929AC">
        <w:instrText xml:space="preserve">, </w:instrText>
      </w:r>
      <w:r w:rsidR="002466C9">
        <w:rPr>
          <w:lang w:val="en-US"/>
        </w:rPr>
        <w:instrText>diagnosis</w:instrText>
      </w:r>
      <w:r w:rsidR="002466C9" w:rsidRPr="00B929AC">
        <w:instrText xml:space="preserve">, </w:instrText>
      </w:r>
      <w:r w:rsidR="002466C9">
        <w:rPr>
          <w:lang w:val="en-US"/>
        </w:rPr>
        <w:instrText>and</w:instrText>
      </w:r>
      <w:r w:rsidR="002466C9" w:rsidRPr="00B929AC">
        <w:instrText xml:space="preserve"> </w:instrText>
      </w:r>
      <w:r w:rsidR="002466C9">
        <w:rPr>
          <w:lang w:val="en-US"/>
        </w:rPr>
        <w:instrText>treatment</w:instrText>
      </w:r>
      <w:r w:rsidR="002466C9" w:rsidRPr="00B929AC">
        <w:instrText>.","</w:instrText>
      </w:r>
      <w:r w:rsidR="002466C9">
        <w:rPr>
          <w:lang w:val="en-US"/>
        </w:rPr>
        <w:instrText>type</w:instrText>
      </w:r>
      <w:r w:rsidR="002466C9" w:rsidRPr="00B929AC">
        <w:instrText>":"</w:instrText>
      </w:r>
      <w:r w:rsidR="002466C9">
        <w:rPr>
          <w:lang w:val="en-US"/>
        </w:rPr>
        <w:instrText>article</w:instrText>
      </w:r>
      <w:r w:rsidR="002466C9" w:rsidRPr="00B929AC">
        <w:instrText>-</w:instrText>
      </w:r>
      <w:r w:rsidR="002466C9">
        <w:rPr>
          <w:lang w:val="en-US"/>
        </w:rPr>
        <w:instrText>journal</w:instrText>
      </w:r>
      <w:r w:rsidR="002466C9" w:rsidRPr="00B929AC">
        <w:instrText>","</w:instrText>
      </w:r>
      <w:r w:rsidR="002466C9">
        <w:rPr>
          <w:lang w:val="en-US"/>
        </w:rPr>
        <w:instrText>volume</w:instrText>
      </w:r>
      <w:r w:rsidR="002466C9" w:rsidRPr="00B929AC">
        <w:instrText>":"96"},"</w:instrText>
      </w:r>
      <w:r w:rsidR="002466C9">
        <w:rPr>
          <w:lang w:val="en-US"/>
        </w:rPr>
        <w:instrText>uris</w:instrText>
      </w:r>
      <w:r w:rsidR="002466C9" w:rsidRPr="00B929AC">
        <w:instrText>":["</w:instrText>
      </w:r>
      <w:r w:rsidR="002466C9">
        <w:rPr>
          <w:lang w:val="en-US"/>
        </w:rPr>
        <w:instrText>http</w:instrText>
      </w:r>
      <w:r w:rsidR="002466C9" w:rsidRPr="00B929AC">
        <w:instrText>://</w:instrText>
      </w:r>
      <w:r w:rsidR="002466C9">
        <w:rPr>
          <w:lang w:val="en-US"/>
        </w:rPr>
        <w:instrText>www</w:instrText>
      </w:r>
      <w:r w:rsidR="002466C9" w:rsidRPr="00B929AC">
        <w:instrText>.</w:instrText>
      </w:r>
      <w:r w:rsidR="002466C9">
        <w:rPr>
          <w:lang w:val="en-US"/>
        </w:rPr>
        <w:instrText>mendeley</w:instrText>
      </w:r>
      <w:r w:rsidR="002466C9" w:rsidRPr="00B929AC">
        <w:instrText>.</w:instrText>
      </w:r>
      <w:r w:rsidR="002466C9">
        <w:rPr>
          <w:lang w:val="en-US"/>
        </w:rPr>
        <w:instrText>com</w:instrText>
      </w:r>
      <w:r w:rsidR="002466C9" w:rsidRPr="00B929AC">
        <w:instrText>/</w:instrText>
      </w:r>
      <w:r w:rsidR="002466C9">
        <w:rPr>
          <w:lang w:val="en-US"/>
        </w:rPr>
        <w:instrText>documents</w:instrText>
      </w:r>
      <w:r w:rsidR="002466C9" w:rsidRPr="00B929AC">
        <w:instrText>/?</w:instrText>
      </w:r>
      <w:r w:rsidR="002466C9">
        <w:rPr>
          <w:lang w:val="en-US"/>
        </w:rPr>
        <w:instrText>uuid</w:instrText>
      </w:r>
      <w:r w:rsidR="002466C9" w:rsidRPr="00B929AC">
        <w:instrText>=7</w:instrText>
      </w:r>
      <w:r w:rsidR="002466C9">
        <w:rPr>
          <w:lang w:val="en-US"/>
        </w:rPr>
        <w:instrText>feba</w:instrText>
      </w:r>
      <w:r w:rsidR="002466C9" w:rsidRPr="00B929AC">
        <w:instrText>565-014</w:instrText>
      </w:r>
      <w:r w:rsidR="002466C9">
        <w:rPr>
          <w:lang w:val="en-US"/>
        </w:rPr>
        <w:instrText>f</w:instrText>
      </w:r>
      <w:r w:rsidR="002466C9" w:rsidRPr="00B929AC">
        <w:instrText>-3600-86</w:instrText>
      </w:r>
      <w:r w:rsidR="002466C9">
        <w:rPr>
          <w:lang w:val="en-US"/>
        </w:rPr>
        <w:instrText>ec</w:instrText>
      </w:r>
      <w:r w:rsidR="002466C9" w:rsidRPr="00B929AC">
        <w:instrText>-0963</w:instrText>
      </w:r>
      <w:r w:rsidR="002466C9">
        <w:rPr>
          <w:lang w:val="en-US"/>
        </w:rPr>
        <w:instrText>b</w:instrText>
      </w:r>
      <w:r w:rsidR="002466C9" w:rsidRPr="00B929AC">
        <w:instrText>3</w:instrText>
      </w:r>
      <w:r w:rsidR="002466C9">
        <w:rPr>
          <w:lang w:val="en-US"/>
        </w:rPr>
        <w:instrText>e</w:instrText>
      </w:r>
      <w:r w:rsidR="002466C9" w:rsidRPr="00B929AC">
        <w:instrText>847</w:instrText>
      </w:r>
      <w:r w:rsidR="002466C9">
        <w:rPr>
          <w:lang w:val="en-US"/>
        </w:rPr>
        <w:instrText>bb</w:instrText>
      </w:r>
      <w:r w:rsidR="002466C9" w:rsidRPr="00B929AC">
        <w:instrText>"]},{"</w:instrText>
      </w:r>
      <w:r w:rsidR="002466C9">
        <w:rPr>
          <w:lang w:val="en-US"/>
        </w:rPr>
        <w:instrText>id</w:instrText>
      </w:r>
      <w:r w:rsidR="002466C9" w:rsidRPr="00B929AC">
        <w:instrText>":"</w:instrText>
      </w:r>
      <w:r w:rsidR="002466C9">
        <w:rPr>
          <w:lang w:val="en-US"/>
        </w:rPr>
        <w:instrText>ITEM</w:instrText>
      </w:r>
      <w:r w:rsidR="002466C9" w:rsidRPr="00B929AC">
        <w:instrText>-2","</w:instrText>
      </w:r>
      <w:r w:rsidR="002466C9">
        <w:rPr>
          <w:lang w:val="en-US"/>
        </w:rPr>
        <w:instrText>itemData</w:instrText>
      </w:r>
      <w:r w:rsidR="002466C9" w:rsidRPr="00B929AC">
        <w:instrText>":{"</w:instrText>
      </w:r>
      <w:r w:rsidR="002466C9">
        <w:rPr>
          <w:lang w:val="en-US"/>
        </w:rPr>
        <w:instrText>DOI</w:instrText>
      </w:r>
      <w:r w:rsidR="002466C9" w:rsidRPr="00B929AC">
        <w:instrText>":"10.1016/</w:instrText>
      </w:r>
      <w:r w:rsidR="002466C9">
        <w:rPr>
          <w:lang w:val="en-US"/>
        </w:rPr>
        <w:instrText>j</w:instrText>
      </w:r>
      <w:r w:rsidR="002466C9" w:rsidRPr="00B929AC">
        <w:instrText>.</w:instrText>
      </w:r>
      <w:r w:rsidR="002466C9">
        <w:rPr>
          <w:lang w:val="en-US"/>
        </w:rPr>
        <w:instrText>critrevonc</w:instrText>
      </w:r>
      <w:r w:rsidR="002466C9" w:rsidRPr="00B929AC">
        <w:instrText>.2017.03.020","</w:instrText>
      </w:r>
      <w:r w:rsidR="002466C9">
        <w:rPr>
          <w:lang w:val="en-US"/>
        </w:rPr>
        <w:instrText>ISSN</w:instrText>
      </w:r>
      <w:r w:rsidR="002466C9" w:rsidRPr="00B929AC">
        <w:instrText>":"1879-0461","</w:instrText>
      </w:r>
      <w:r w:rsidR="002466C9">
        <w:rPr>
          <w:lang w:val="en-US"/>
        </w:rPr>
        <w:instrText>PMID</w:instrText>
      </w:r>
      <w:r w:rsidR="002466C9" w:rsidRPr="00B929AC">
        <w:instrText>":"28427520","</w:instrText>
      </w:r>
      <w:r w:rsidR="002466C9">
        <w:rPr>
          <w:lang w:val="en-US"/>
        </w:rPr>
        <w:instrText>abstract</w:instrText>
      </w:r>
      <w:r w:rsidR="002466C9" w:rsidRPr="00B929AC">
        <w:instrText>":"</w:instrText>
      </w:r>
      <w:r w:rsidR="002466C9">
        <w:rPr>
          <w:lang w:val="en-US"/>
        </w:rPr>
        <w:instrText>Lymphoblastic</w:instrText>
      </w:r>
      <w:r w:rsidR="002466C9" w:rsidRPr="00B929AC">
        <w:instrText xml:space="preserve"> </w:instrText>
      </w:r>
      <w:r w:rsidR="002466C9">
        <w:rPr>
          <w:lang w:val="en-US"/>
        </w:rPr>
        <w:instrText>lymphoma</w:instrText>
      </w:r>
      <w:r w:rsidR="002466C9" w:rsidRPr="00B929AC">
        <w:instrText xml:space="preserve"> (</w:instrText>
      </w:r>
      <w:r w:rsidR="002466C9">
        <w:rPr>
          <w:lang w:val="en-US"/>
        </w:rPr>
        <w:instrText>LBL</w:instrText>
      </w:r>
      <w:r w:rsidR="002466C9" w:rsidRPr="00B929AC">
        <w:instrText xml:space="preserve">) </w:instrText>
      </w:r>
      <w:r w:rsidR="002466C9">
        <w:rPr>
          <w:lang w:val="en-US"/>
        </w:rPr>
        <w:instrText>is</w:instrText>
      </w:r>
      <w:r w:rsidR="002466C9" w:rsidRPr="00B929AC">
        <w:instrText xml:space="preserve"> </w:instrText>
      </w:r>
      <w:r w:rsidR="002466C9">
        <w:rPr>
          <w:lang w:val="en-US"/>
        </w:rPr>
        <w:instrText>a</w:instrText>
      </w:r>
      <w:r w:rsidR="002466C9" w:rsidRPr="00B929AC">
        <w:instrText xml:space="preserve"> </w:instrText>
      </w:r>
      <w:r w:rsidR="002466C9">
        <w:rPr>
          <w:lang w:val="en-US"/>
        </w:rPr>
        <w:instrText>neoplasm</w:instrText>
      </w:r>
      <w:r w:rsidR="002466C9" w:rsidRPr="00B929AC">
        <w:instrText xml:space="preserve"> </w:instrText>
      </w:r>
      <w:r w:rsidR="002466C9">
        <w:rPr>
          <w:lang w:val="en-US"/>
        </w:rPr>
        <w:instrText>of</w:instrText>
      </w:r>
      <w:r w:rsidR="002466C9" w:rsidRPr="00B929AC">
        <w:instrText xml:space="preserve"> </w:instrText>
      </w:r>
      <w:r w:rsidR="002466C9">
        <w:rPr>
          <w:lang w:val="en-US"/>
        </w:rPr>
        <w:instrText>immature</w:instrText>
      </w:r>
      <w:r w:rsidR="002466C9" w:rsidRPr="00B929AC">
        <w:instrText xml:space="preserve"> </w:instrText>
      </w:r>
      <w:r w:rsidR="002466C9">
        <w:rPr>
          <w:lang w:val="en-US"/>
        </w:rPr>
        <w:instrText>B</w:instrText>
      </w:r>
      <w:r w:rsidR="002466C9" w:rsidRPr="00B929AC">
        <w:instrText xml:space="preserve"> </w:instrText>
      </w:r>
      <w:r w:rsidR="002466C9">
        <w:rPr>
          <w:lang w:val="en-US"/>
        </w:rPr>
        <w:instrText>cells</w:instrText>
      </w:r>
      <w:r w:rsidR="002466C9" w:rsidRPr="00B929AC">
        <w:instrText xml:space="preserve"> </w:instrText>
      </w:r>
      <w:r w:rsidR="002466C9">
        <w:rPr>
          <w:lang w:val="en-US"/>
        </w:rPr>
        <w:instrText>committed</w:instrText>
      </w:r>
      <w:r w:rsidR="002466C9" w:rsidRPr="00B929AC">
        <w:instrText xml:space="preserve"> </w:instrText>
      </w:r>
      <w:r w:rsidR="002466C9">
        <w:rPr>
          <w:lang w:val="en-US"/>
        </w:rPr>
        <w:instrText>to</w:instrText>
      </w:r>
      <w:r w:rsidR="002466C9" w:rsidRPr="00B929AC">
        <w:instrText xml:space="preserve"> </w:instrText>
      </w:r>
      <w:r w:rsidR="002466C9">
        <w:rPr>
          <w:lang w:val="en-US"/>
        </w:rPr>
        <w:instrText>the</w:instrText>
      </w:r>
      <w:r w:rsidR="002466C9" w:rsidRPr="00B929AC">
        <w:instrText xml:space="preserve"> </w:instrText>
      </w:r>
      <w:r w:rsidR="002466C9">
        <w:rPr>
          <w:lang w:val="en-US"/>
        </w:rPr>
        <w:instrText>B</w:instrText>
      </w:r>
      <w:r w:rsidR="002466C9" w:rsidRPr="00B929AC">
        <w:instrText>-(</w:instrText>
      </w:r>
      <w:r w:rsidR="002466C9">
        <w:rPr>
          <w:lang w:val="en-US"/>
        </w:rPr>
        <w:instrText>B</w:instrText>
      </w:r>
      <w:r w:rsidR="002466C9" w:rsidRPr="00B929AC">
        <w:instrText>-</w:instrText>
      </w:r>
      <w:r w:rsidR="002466C9">
        <w:rPr>
          <w:lang w:val="en-US"/>
        </w:rPr>
        <w:instrText>LBL</w:instrText>
      </w:r>
      <w:r w:rsidR="002466C9" w:rsidRPr="00B929AC">
        <w:instrText xml:space="preserve">) </w:instrText>
      </w:r>
      <w:r w:rsidR="002466C9">
        <w:rPr>
          <w:lang w:val="en-US"/>
        </w:rPr>
        <w:instrText>or</w:instrText>
      </w:r>
      <w:r w:rsidR="002466C9" w:rsidRPr="00B929AC">
        <w:instrText xml:space="preserve"> </w:instrText>
      </w:r>
      <w:r w:rsidR="002466C9">
        <w:rPr>
          <w:lang w:val="en-US"/>
        </w:rPr>
        <w:instrText>T</w:instrText>
      </w:r>
      <w:r w:rsidR="002466C9" w:rsidRPr="00B929AC">
        <w:instrText>-</w:instrText>
      </w:r>
      <w:r w:rsidR="002466C9">
        <w:rPr>
          <w:lang w:val="en-US"/>
        </w:rPr>
        <w:instrText>cell</w:instrText>
      </w:r>
      <w:r w:rsidR="002466C9" w:rsidRPr="00B929AC">
        <w:instrText xml:space="preserve"> </w:instrText>
      </w:r>
      <w:r w:rsidR="002466C9">
        <w:rPr>
          <w:lang w:val="en-US"/>
        </w:rPr>
        <w:instrText>lineage</w:instrText>
      </w:r>
      <w:r w:rsidR="002466C9" w:rsidRPr="00B929AC">
        <w:instrText xml:space="preserve"> (</w:instrText>
      </w:r>
      <w:r w:rsidR="002466C9">
        <w:rPr>
          <w:lang w:val="en-US"/>
        </w:rPr>
        <w:instrText>T</w:instrText>
      </w:r>
      <w:r w:rsidR="002466C9" w:rsidRPr="00B929AC">
        <w:instrText>-</w:instrText>
      </w:r>
      <w:r w:rsidR="002466C9">
        <w:rPr>
          <w:lang w:val="en-US"/>
        </w:rPr>
        <w:instrText>LBL</w:instrText>
      </w:r>
      <w:r w:rsidR="002466C9" w:rsidRPr="00B929AC">
        <w:instrText xml:space="preserve">) </w:instrText>
      </w:r>
      <w:r w:rsidR="002466C9">
        <w:rPr>
          <w:lang w:val="en-US"/>
        </w:rPr>
        <w:instrText>that</w:instrText>
      </w:r>
      <w:r w:rsidR="002466C9" w:rsidRPr="00B929AC">
        <w:instrText xml:space="preserve"> </w:instrText>
      </w:r>
      <w:r w:rsidR="002466C9">
        <w:rPr>
          <w:lang w:val="en-US"/>
        </w:rPr>
        <w:instrText>accounts</w:instrText>
      </w:r>
      <w:r w:rsidR="002466C9" w:rsidRPr="00B929AC">
        <w:instrText xml:space="preserve"> </w:instrText>
      </w:r>
      <w:r w:rsidR="002466C9">
        <w:rPr>
          <w:lang w:val="en-US"/>
        </w:rPr>
        <w:instrText>for</w:instrText>
      </w:r>
      <w:r w:rsidR="002466C9" w:rsidRPr="00B929AC">
        <w:instrText xml:space="preserve"> </w:instrText>
      </w:r>
      <w:r w:rsidR="002466C9">
        <w:rPr>
          <w:lang w:val="en-US"/>
        </w:rPr>
        <w:instrText>approximately</w:instrText>
      </w:r>
      <w:r w:rsidR="002466C9" w:rsidRPr="00B929AC">
        <w:instrText xml:space="preserve"> 2% </w:instrText>
      </w:r>
      <w:r w:rsidR="002466C9">
        <w:rPr>
          <w:lang w:val="en-US"/>
        </w:rPr>
        <w:instrText>of</w:instrText>
      </w:r>
      <w:r w:rsidR="002466C9" w:rsidRPr="00B929AC">
        <w:instrText xml:space="preserve"> </w:instrText>
      </w:r>
      <w:r w:rsidR="002466C9">
        <w:rPr>
          <w:lang w:val="en-US"/>
        </w:rPr>
        <w:instrText>all</w:instrText>
      </w:r>
      <w:r w:rsidR="002466C9" w:rsidRPr="00B929AC">
        <w:instrText xml:space="preserve"> </w:instrText>
      </w:r>
      <w:r w:rsidR="002466C9">
        <w:rPr>
          <w:lang w:val="en-US"/>
        </w:rPr>
        <w:instrText>lymphomas</w:instrText>
      </w:r>
      <w:r w:rsidR="002466C9" w:rsidRPr="00B929AC">
        <w:instrText xml:space="preserve">. </w:instrText>
      </w:r>
      <w:r w:rsidR="002466C9">
        <w:rPr>
          <w:lang w:val="en-US"/>
        </w:rPr>
        <w:instrText>Although</w:instrText>
      </w:r>
      <w:r w:rsidR="002466C9" w:rsidRPr="00B929AC">
        <w:instrText xml:space="preserve"> </w:instrText>
      </w:r>
      <w:r w:rsidR="002466C9">
        <w:rPr>
          <w:lang w:val="en-US"/>
        </w:rPr>
        <w:instrText>histological</w:instrText>
      </w:r>
      <w:r w:rsidR="002466C9" w:rsidRPr="00B929AC">
        <w:instrText xml:space="preserve"> </w:instrText>
      </w:r>
      <w:r w:rsidR="002466C9">
        <w:rPr>
          <w:lang w:val="en-US"/>
        </w:rPr>
        <w:instrText>features</w:instrText>
      </w:r>
      <w:r w:rsidR="002466C9" w:rsidRPr="00B929AC">
        <w:instrText xml:space="preserve"> </w:instrText>
      </w:r>
      <w:r w:rsidR="002466C9">
        <w:rPr>
          <w:lang w:val="en-US"/>
        </w:rPr>
        <w:instrText>are</w:instrText>
      </w:r>
      <w:r w:rsidR="002466C9" w:rsidRPr="00B929AC">
        <w:instrText xml:space="preserve"> </w:instrText>
      </w:r>
      <w:r w:rsidR="002466C9">
        <w:rPr>
          <w:lang w:val="en-US"/>
        </w:rPr>
        <w:instrText>usually</w:instrText>
      </w:r>
      <w:r w:rsidR="002466C9" w:rsidRPr="00B929AC">
        <w:instrText xml:space="preserve"> </w:instrText>
      </w:r>
      <w:r w:rsidR="002466C9">
        <w:rPr>
          <w:lang w:val="en-US"/>
        </w:rPr>
        <w:instrText>sufficient</w:instrText>
      </w:r>
      <w:r w:rsidR="002466C9" w:rsidRPr="00B929AC">
        <w:instrText xml:space="preserve"> </w:instrText>
      </w:r>
      <w:r w:rsidR="002466C9">
        <w:rPr>
          <w:lang w:val="en-US"/>
        </w:rPr>
        <w:instrText>to</w:instrText>
      </w:r>
      <w:r w:rsidR="002466C9" w:rsidRPr="00B929AC">
        <w:instrText xml:space="preserve"> </w:instrText>
      </w:r>
      <w:r w:rsidR="002466C9">
        <w:rPr>
          <w:lang w:val="en-US"/>
        </w:rPr>
        <w:instrText>distinguish</w:instrText>
      </w:r>
      <w:r w:rsidR="002466C9" w:rsidRPr="00B929AC">
        <w:instrText xml:space="preserve"> </w:instrText>
      </w:r>
      <w:r w:rsidR="002466C9">
        <w:rPr>
          <w:lang w:val="en-US"/>
        </w:rPr>
        <w:instrText>lymphoblastic</w:instrText>
      </w:r>
      <w:r w:rsidR="002466C9" w:rsidRPr="00B929AC">
        <w:instrText xml:space="preserve"> </w:instrText>
      </w:r>
      <w:r w:rsidR="002466C9">
        <w:rPr>
          <w:lang w:val="en-US"/>
        </w:rPr>
        <w:instrText>from</w:instrText>
      </w:r>
      <w:r w:rsidR="002466C9" w:rsidRPr="00B929AC">
        <w:instrText xml:space="preserve"> </w:instrText>
      </w:r>
      <w:r w:rsidR="002466C9">
        <w:rPr>
          <w:lang w:val="en-US"/>
        </w:rPr>
        <w:instrText>mature</w:instrText>
      </w:r>
      <w:r w:rsidR="002466C9" w:rsidRPr="00B929AC">
        <w:instrText xml:space="preserve"> </w:instrText>
      </w:r>
      <w:r w:rsidR="002466C9">
        <w:rPr>
          <w:lang w:val="en-US"/>
        </w:rPr>
        <w:instrText>B</w:instrText>
      </w:r>
      <w:r w:rsidR="002466C9" w:rsidRPr="00B929AC">
        <w:instrText xml:space="preserve">- </w:instrText>
      </w:r>
      <w:r w:rsidR="002466C9">
        <w:rPr>
          <w:lang w:val="en-US"/>
        </w:rPr>
        <w:instrText>or</w:instrText>
      </w:r>
      <w:r w:rsidR="002466C9" w:rsidRPr="00B929AC">
        <w:instrText xml:space="preserve"> </w:instrText>
      </w:r>
      <w:r w:rsidR="002466C9">
        <w:rPr>
          <w:lang w:val="en-US"/>
        </w:rPr>
        <w:instrText>T</w:instrText>
      </w:r>
      <w:r w:rsidR="002466C9" w:rsidRPr="00B929AC">
        <w:instrText>-</w:instrText>
      </w:r>
      <w:r w:rsidR="002466C9">
        <w:rPr>
          <w:lang w:val="en-US"/>
        </w:rPr>
        <w:instrText>cell</w:instrText>
      </w:r>
      <w:r w:rsidR="002466C9" w:rsidRPr="00B929AC">
        <w:instrText xml:space="preserve"> </w:instrText>
      </w:r>
      <w:r w:rsidR="002466C9">
        <w:rPr>
          <w:lang w:val="en-US"/>
        </w:rPr>
        <w:instrText>neoplasms</w:instrText>
      </w:r>
      <w:r w:rsidR="002466C9" w:rsidRPr="00B929AC">
        <w:instrText xml:space="preserve">, </w:instrText>
      </w:r>
      <w:r w:rsidR="002466C9">
        <w:rPr>
          <w:lang w:val="en-US"/>
        </w:rPr>
        <w:instrText>of</w:instrText>
      </w:r>
      <w:r w:rsidR="002466C9" w:rsidRPr="00B929AC">
        <w:instrText xml:space="preserve"> </w:instrText>
      </w:r>
      <w:r w:rsidR="002466C9">
        <w:rPr>
          <w:lang w:val="en-US"/>
        </w:rPr>
        <w:instrText>greater</w:instrText>
      </w:r>
      <w:r w:rsidR="002466C9" w:rsidRPr="00B929AC">
        <w:instrText xml:space="preserve"> </w:instrText>
      </w:r>
      <w:r w:rsidR="002466C9">
        <w:rPr>
          <w:lang w:val="en-US"/>
        </w:rPr>
        <w:instrText>importance</w:instrText>
      </w:r>
      <w:r w:rsidR="002466C9" w:rsidRPr="00B929AC">
        <w:instrText xml:space="preserve"> </w:instrText>
      </w:r>
      <w:r w:rsidR="002466C9">
        <w:rPr>
          <w:lang w:val="en-US"/>
        </w:rPr>
        <w:instrText>for</w:instrText>
      </w:r>
      <w:r w:rsidR="002466C9" w:rsidRPr="00B929AC">
        <w:instrText xml:space="preserve"> </w:instrText>
      </w:r>
      <w:r w:rsidR="002466C9">
        <w:rPr>
          <w:lang w:val="en-US"/>
        </w:rPr>
        <w:instrText>diagnosis</w:instrText>
      </w:r>
      <w:r w:rsidR="002466C9" w:rsidRPr="00B929AC">
        <w:instrText xml:space="preserve"> </w:instrText>
      </w:r>
      <w:r w:rsidR="002466C9">
        <w:rPr>
          <w:lang w:val="en-US"/>
        </w:rPr>
        <w:instrText>is</w:instrText>
      </w:r>
      <w:r w:rsidR="002466C9" w:rsidRPr="00B929AC">
        <w:instrText xml:space="preserve"> </w:instrText>
      </w:r>
      <w:r w:rsidR="002466C9">
        <w:rPr>
          <w:lang w:val="en-US"/>
        </w:rPr>
        <w:instrText>the</w:instrText>
      </w:r>
      <w:r w:rsidR="002466C9" w:rsidRPr="00B929AC">
        <w:instrText xml:space="preserve"> </w:instrText>
      </w:r>
      <w:r w:rsidR="002466C9">
        <w:rPr>
          <w:lang w:val="en-US"/>
        </w:rPr>
        <w:instrText>characterization</w:instrText>
      </w:r>
      <w:r w:rsidR="002466C9" w:rsidRPr="00B929AC">
        <w:instrText xml:space="preserve"> </w:instrText>
      </w:r>
      <w:r w:rsidR="002466C9">
        <w:rPr>
          <w:lang w:val="en-US"/>
        </w:rPr>
        <w:instrText>of</w:instrText>
      </w:r>
      <w:r w:rsidR="002466C9" w:rsidRPr="00B929AC">
        <w:instrText xml:space="preserve"> </w:instrText>
      </w:r>
      <w:r w:rsidR="002466C9">
        <w:rPr>
          <w:lang w:val="en-US"/>
        </w:rPr>
        <w:instrText>immunophenotype</w:instrText>
      </w:r>
      <w:r w:rsidR="002466C9" w:rsidRPr="00B929AC">
        <w:instrText xml:space="preserve"> </w:instrText>
      </w:r>
      <w:r w:rsidR="002466C9">
        <w:rPr>
          <w:lang w:val="en-US"/>
        </w:rPr>
        <w:instrText>by</w:instrText>
      </w:r>
      <w:r w:rsidR="002466C9" w:rsidRPr="00B929AC">
        <w:instrText xml:space="preserve"> </w:instrText>
      </w:r>
      <w:r w:rsidR="002466C9">
        <w:rPr>
          <w:lang w:val="en-US"/>
        </w:rPr>
        <w:instrText>flow</w:instrText>
      </w:r>
      <w:r w:rsidR="002466C9" w:rsidRPr="00B929AC">
        <w:instrText xml:space="preserve"> </w:instrText>
      </w:r>
      <w:r w:rsidR="002466C9">
        <w:rPr>
          <w:lang w:val="en-US"/>
        </w:rPr>
        <w:instrText>cytometry</w:instrText>
      </w:r>
      <w:r w:rsidR="002466C9" w:rsidRPr="00B929AC">
        <w:instrText xml:space="preserve">. </w:instrText>
      </w:r>
      <w:r w:rsidR="002466C9">
        <w:rPr>
          <w:lang w:val="en-US"/>
        </w:rPr>
        <w:instrText>LBL</w:instrText>
      </w:r>
      <w:r w:rsidR="002466C9" w:rsidRPr="00B929AC">
        <w:instrText xml:space="preserve"> </w:instrText>
      </w:r>
      <w:r w:rsidR="002466C9">
        <w:rPr>
          <w:lang w:val="en-US"/>
        </w:rPr>
        <w:instrText>occurs</w:instrText>
      </w:r>
      <w:r w:rsidR="002466C9" w:rsidRPr="00B929AC">
        <w:instrText xml:space="preserve"> </w:instrText>
      </w:r>
      <w:r w:rsidR="002466C9">
        <w:rPr>
          <w:lang w:val="en-US"/>
        </w:rPr>
        <w:instrText>more</w:instrText>
      </w:r>
      <w:r w:rsidR="002466C9" w:rsidRPr="00B929AC">
        <w:instrText xml:space="preserve"> </w:instrText>
      </w:r>
      <w:r w:rsidR="002466C9">
        <w:rPr>
          <w:lang w:val="en-US"/>
        </w:rPr>
        <w:instrText>commonly</w:instrText>
      </w:r>
      <w:r w:rsidR="002466C9" w:rsidRPr="00B929AC">
        <w:instrText xml:space="preserve"> </w:instrText>
      </w:r>
      <w:r w:rsidR="002466C9">
        <w:rPr>
          <w:lang w:val="en-US"/>
        </w:rPr>
        <w:instrText>in</w:instrText>
      </w:r>
      <w:r w:rsidR="002466C9" w:rsidRPr="00B929AC">
        <w:instrText xml:space="preserve"> </w:instrText>
      </w:r>
      <w:r w:rsidR="002466C9">
        <w:rPr>
          <w:lang w:val="en-US"/>
        </w:rPr>
        <w:instrText>children</w:instrText>
      </w:r>
      <w:r w:rsidR="002466C9" w:rsidRPr="00B929AC">
        <w:instrText xml:space="preserve"> </w:instrText>
      </w:r>
      <w:r w:rsidR="002466C9">
        <w:rPr>
          <w:lang w:val="en-US"/>
        </w:rPr>
        <w:instrText>than</w:instrText>
      </w:r>
      <w:r w:rsidR="002466C9" w:rsidRPr="00B929AC">
        <w:instrText xml:space="preserve"> </w:instrText>
      </w:r>
      <w:r w:rsidR="002466C9">
        <w:rPr>
          <w:lang w:val="en-US"/>
        </w:rPr>
        <w:instrText>in</w:instrText>
      </w:r>
      <w:r w:rsidR="002466C9" w:rsidRPr="00B929AC">
        <w:instrText xml:space="preserve"> </w:instrText>
      </w:r>
      <w:r w:rsidR="002466C9">
        <w:rPr>
          <w:lang w:val="en-US"/>
        </w:rPr>
        <w:instrText>adults</w:instrText>
      </w:r>
      <w:r w:rsidR="002466C9" w:rsidRPr="00B929AC">
        <w:instrText xml:space="preserve">, </w:instrText>
      </w:r>
      <w:r w:rsidR="002466C9">
        <w:rPr>
          <w:lang w:val="en-US"/>
        </w:rPr>
        <w:instrText>mostly</w:instrText>
      </w:r>
      <w:r w:rsidR="002466C9" w:rsidRPr="00B929AC">
        <w:instrText xml:space="preserve"> </w:instrText>
      </w:r>
      <w:r w:rsidR="002466C9">
        <w:rPr>
          <w:lang w:val="en-US"/>
        </w:rPr>
        <w:instrText>in</w:instrText>
      </w:r>
      <w:r w:rsidR="002466C9" w:rsidRPr="00B929AC">
        <w:instrText xml:space="preserve"> </w:instrText>
      </w:r>
      <w:r w:rsidR="002466C9">
        <w:rPr>
          <w:lang w:val="en-US"/>
        </w:rPr>
        <w:instrText>males</w:instrText>
      </w:r>
      <w:r w:rsidR="002466C9" w:rsidRPr="00B929AC">
        <w:instrText xml:space="preserve">. </w:instrText>
      </w:r>
      <w:r w:rsidR="002466C9">
        <w:rPr>
          <w:lang w:val="en-US"/>
        </w:rPr>
        <w:instrText>A</w:instrText>
      </w:r>
      <w:r w:rsidR="002466C9" w:rsidRPr="00B929AC">
        <w:instrText xml:space="preserve"> </w:instrText>
      </w:r>
      <w:r w:rsidR="002466C9">
        <w:rPr>
          <w:lang w:val="en-US"/>
        </w:rPr>
        <w:instrText>bone</w:instrText>
      </w:r>
      <w:r w:rsidR="002466C9" w:rsidRPr="00B929AC">
        <w:instrText xml:space="preserve"> </w:instrText>
      </w:r>
      <w:r w:rsidR="002466C9">
        <w:rPr>
          <w:lang w:val="en-US"/>
        </w:rPr>
        <w:instrText>marrow</w:instrText>
      </w:r>
      <w:r w:rsidR="002466C9" w:rsidRPr="00B929AC">
        <w:instrText xml:space="preserve"> </w:instrText>
      </w:r>
      <w:r w:rsidR="002466C9">
        <w:rPr>
          <w:lang w:val="en-US"/>
        </w:rPr>
        <w:instrText>involvement &lt;25% (or 20% according to WHO) formally distinguishes LBL from ALL. The prognosis of LBL has dramatically improved with the use of intensive ALL-type chemotherapy regimens, which includes intensive intrathecal chemotherapy prophylaxis and consolidation with mediastinal irradiation. Patients with adverse prognostic features assessed by postinduction CT/positron emission tomography scans (PET) and minimal residual disease analysis (MRD) should be considered for high-dose chemotherapy and stem cell transplantation. Further therapeutic progresses are expected from the introduction of new drugs and targeting agents.","author":[{"dropping-particle":"","family":"Cortelazzo","given":"Sergio","non-dropping-particle":"","parse-names":false,"suffix":""},{"dropping-particle":"","family":"Ferreri","given":"Andrés","non-dropping-particle":"","parse-names":false,"suffix":""},{"dropping-particle":"","family":"Hoelzer","given":"Dieter","non-dropping-particle":"","parse-names":false,"suffix":""},{"dropping-particle":"","family":"Ponzoni","given":"Maurilio","non-dropping-particle":"","parse-names":false,"suffix":""}],"container-title":"Critical reviews in oncology/hematology","id":"ITEM-2","issued":{"date-parts":[["2017","5"]]},"page":"304-317","title":"Lymphoblastic lymphoma.","type":"article-journal","volume":"113"},"uris":["http://www.mendeley.com/documents/?uuid=e2eed080-a739-3358-b728-ef768a4e754e"]}],"mendeley":{"formattedCitation":"[13,14]","plainTextFormattedCitation":"[13,14]","previouslyFormattedCitation":"[13,14]"},"properties":{"noteIndex":0},"schema":"https://github.com/citation-style-language/schema/raw/master/csl-citation.json"}</w:instrText>
      </w:r>
      <w:r w:rsidR="00A27AD5">
        <w:fldChar w:fldCharType="separate"/>
      </w:r>
      <w:r w:rsidR="00A66456" w:rsidRPr="00A66456">
        <w:rPr>
          <w:noProof/>
        </w:rPr>
        <w:t>[13,14]</w:t>
      </w:r>
      <w:r w:rsidR="00A27AD5">
        <w:fldChar w:fldCharType="end"/>
      </w:r>
      <w:r w:rsidR="00A27AD5">
        <w:t>.</w:t>
      </w:r>
      <w:r w:rsidR="00B45EBF">
        <w:t xml:space="preserve"> </w:t>
      </w:r>
    </w:p>
    <w:p w14:paraId="2DACC682" w14:textId="77777777" w:rsidR="00254823" w:rsidRDefault="00254823" w:rsidP="00595275">
      <w:pPr>
        <w:ind w:firstLine="709"/>
        <w:contextualSpacing/>
        <w:rPr>
          <w:b/>
        </w:rPr>
      </w:pPr>
      <w:r>
        <w:rPr>
          <w:b/>
        </w:rPr>
        <w:t xml:space="preserve">Уровень убедительности рекомендаций </w:t>
      </w:r>
      <w:r w:rsidR="00BF7F2C">
        <w:rPr>
          <w:b/>
        </w:rPr>
        <w:t xml:space="preserve">– </w:t>
      </w:r>
      <w:r w:rsidR="005D78D7">
        <w:rPr>
          <w:b/>
        </w:rPr>
        <w:t>С</w:t>
      </w:r>
      <w:r>
        <w:rPr>
          <w:b/>
        </w:rPr>
        <w:t xml:space="preserve"> (уровень </w:t>
      </w:r>
      <w:r>
        <w:rPr>
          <w:b/>
          <w:spacing w:val="-1"/>
        </w:rPr>
        <w:t xml:space="preserve">достоверности доказательств </w:t>
      </w:r>
      <w:r w:rsidR="00595275">
        <w:rPr>
          <w:b/>
        </w:rPr>
        <w:t xml:space="preserve">– </w:t>
      </w:r>
      <w:r w:rsidR="005D78D7">
        <w:rPr>
          <w:b/>
        </w:rPr>
        <w:t>5</w:t>
      </w:r>
      <w:r w:rsidR="00595275">
        <w:rPr>
          <w:b/>
        </w:rPr>
        <w:t>)</w:t>
      </w:r>
      <w:r w:rsidR="00BF7F2C">
        <w:rPr>
          <w:b/>
        </w:rPr>
        <w:t>.</w:t>
      </w:r>
    </w:p>
    <w:p w14:paraId="58483235" w14:textId="77777777" w:rsidR="00254823" w:rsidRPr="00BD2656" w:rsidRDefault="00595275" w:rsidP="00595275">
      <w:pPr>
        <w:ind w:firstLine="709"/>
        <w:contextualSpacing/>
        <w:rPr>
          <w:i/>
        </w:rPr>
      </w:pPr>
      <w:r>
        <w:rPr>
          <w:b/>
        </w:rPr>
        <w:t>Комментарии</w:t>
      </w:r>
      <w:r w:rsidR="00254823">
        <w:rPr>
          <w:b/>
        </w:rPr>
        <w:t xml:space="preserve">: </w:t>
      </w:r>
      <w:r w:rsidR="00254823">
        <w:rPr>
          <w:i/>
        </w:rPr>
        <w:t xml:space="preserve">от использования краниального облучения для профилактики ЦНС поражения в большинстве протоколов отказались, </w:t>
      </w:r>
      <w:r w:rsidR="00B56FEA">
        <w:rPr>
          <w:i/>
        </w:rPr>
        <w:t xml:space="preserve">его применяют только пациентам </w:t>
      </w:r>
      <w:r w:rsidR="00254823">
        <w:rPr>
          <w:i/>
        </w:rPr>
        <w:t>с инициальным поражение</w:t>
      </w:r>
      <w:r w:rsidR="00BF7F2C">
        <w:rPr>
          <w:i/>
        </w:rPr>
        <w:t>м ЦНС (краниальное облучение 12–</w:t>
      </w:r>
      <w:r w:rsidR="00254823">
        <w:rPr>
          <w:i/>
        </w:rPr>
        <w:t>18 Гр на линейном γ-ускорителе).</w:t>
      </w:r>
    </w:p>
    <w:p w14:paraId="64BAF1F2" w14:textId="793D8D61" w:rsidR="00254823" w:rsidRDefault="00254823" w:rsidP="00956D03">
      <w:pPr>
        <w:numPr>
          <w:ilvl w:val="0"/>
          <w:numId w:val="6"/>
        </w:numPr>
        <w:contextualSpacing/>
      </w:pPr>
      <w:r w:rsidRPr="00FD64DA">
        <w:rPr>
          <w:b/>
        </w:rPr>
        <w:t>Рекомендуется</w:t>
      </w:r>
      <w:r w:rsidRPr="00FD64DA">
        <w:t xml:space="preserve"> </w:t>
      </w:r>
      <w:r w:rsidRPr="00D631CF">
        <w:t>всем пациентам</w:t>
      </w:r>
      <w:r>
        <w:t xml:space="preserve"> лучевая терапия резидуальных опухолевых образований средостения</w:t>
      </w:r>
      <w:r w:rsidR="00A27AD5">
        <w:t xml:space="preserve"> </w:t>
      </w:r>
      <w:r w:rsidR="00A27AD5">
        <w:fldChar w:fldCharType="begin" w:fldLock="1"/>
      </w:r>
      <w:r w:rsidR="002466C9">
        <w:rPr>
          <w:lang w:val="en-US"/>
        </w:rPr>
        <w:instrText>ADDIN</w:instrText>
      </w:r>
      <w:r w:rsidR="002466C9" w:rsidRPr="00B929AC">
        <w:instrText xml:space="preserve"> </w:instrText>
      </w:r>
      <w:r w:rsidR="002466C9">
        <w:rPr>
          <w:lang w:val="en-US"/>
        </w:rPr>
        <w:instrText>CSL</w:instrText>
      </w:r>
      <w:r w:rsidR="002466C9" w:rsidRPr="00B929AC">
        <w:instrText>_</w:instrText>
      </w:r>
      <w:r w:rsidR="002466C9">
        <w:rPr>
          <w:lang w:val="en-US"/>
        </w:rPr>
        <w:instrText>CITATION</w:instrText>
      </w:r>
      <w:r w:rsidR="002466C9" w:rsidRPr="00B929AC">
        <w:instrText xml:space="preserve"> {"</w:instrText>
      </w:r>
      <w:r w:rsidR="002466C9">
        <w:rPr>
          <w:lang w:val="en-US"/>
        </w:rPr>
        <w:instrText>citationItems</w:instrText>
      </w:r>
      <w:r w:rsidR="002466C9" w:rsidRPr="00B929AC">
        <w:instrText>":[{"</w:instrText>
      </w:r>
      <w:r w:rsidR="002466C9">
        <w:rPr>
          <w:lang w:val="en-US"/>
        </w:rPr>
        <w:instrText>id</w:instrText>
      </w:r>
      <w:r w:rsidR="002466C9" w:rsidRPr="00B929AC">
        <w:instrText>":"</w:instrText>
      </w:r>
      <w:r w:rsidR="002466C9">
        <w:rPr>
          <w:lang w:val="en-US"/>
        </w:rPr>
        <w:instrText>ITEM</w:instrText>
      </w:r>
      <w:r w:rsidR="002466C9" w:rsidRPr="00B929AC">
        <w:instrText>-1","</w:instrText>
      </w:r>
      <w:r w:rsidR="002466C9">
        <w:rPr>
          <w:lang w:val="en-US"/>
        </w:rPr>
        <w:instrText>itemData</w:instrText>
      </w:r>
      <w:r w:rsidR="002466C9" w:rsidRPr="00B929AC">
        <w:instrText>":{"</w:instrText>
      </w:r>
      <w:r w:rsidR="002466C9">
        <w:rPr>
          <w:lang w:val="en-US"/>
        </w:rPr>
        <w:instrText>DOI</w:instrText>
      </w:r>
      <w:r w:rsidR="002466C9" w:rsidRPr="00B929AC">
        <w:instrText>":"10.1111/</w:instrText>
      </w:r>
      <w:r w:rsidR="002466C9">
        <w:rPr>
          <w:lang w:val="en-US"/>
        </w:rPr>
        <w:instrText>ejh</w:instrText>
      </w:r>
      <w:r w:rsidR="002466C9" w:rsidRPr="00B929AC">
        <w:instrText>.12722","</w:instrText>
      </w:r>
      <w:r w:rsidR="002466C9">
        <w:rPr>
          <w:lang w:val="en-US"/>
        </w:rPr>
        <w:instrText>ISSN</w:instrText>
      </w:r>
      <w:r w:rsidR="002466C9" w:rsidRPr="00B929AC">
        <w:instrText>":"1600-0609","</w:instrText>
      </w:r>
      <w:r w:rsidR="002466C9">
        <w:rPr>
          <w:lang w:val="en-US"/>
        </w:rPr>
        <w:instrText>PMID</w:instrText>
      </w:r>
      <w:r w:rsidR="002466C9" w:rsidRPr="00B929AC">
        <w:instrText>":"26679753","</w:instrText>
      </w:r>
      <w:r w:rsidR="002466C9">
        <w:rPr>
          <w:lang w:val="en-US"/>
        </w:rPr>
        <w:instrText>abstract</w:instrText>
      </w:r>
      <w:r w:rsidR="002466C9" w:rsidRPr="00B929AC">
        <w:instrText>":"</w:instrText>
      </w:r>
      <w:r w:rsidR="002466C9">
        <w:rPr>
          <w:lang w:val="en-US"/>
        </w:rPr>
        <w:instrText>Lymphoblastic</w:instrText>
      </w:r>
      <w:r w:rsidR="002466C9" w:rsidRPr="00B929AC">
        <w:instrText xml:space="preserve"> </w:instrText>
      </w:r>
      <w:r w:rsidR="002466C9">
        <w:rPr>
          <w:lang w:val="en-US"/>
        </w:rPr>
        <w:instrText>lymphoma</w:instrText>
      </w:r>
      <w:r w:rsidR="002466C9" w:rsidRPr="00B929AC">
        <w:instrText xml:space="preserve"> </w:instrText>
      </w:r>
      <w:r w:rsidR="002466C9">
        <w:rPr>
          <w:lang w:val="en-US"/>
        </w:rPr>
        <w:instrText>is</w:instrText>
      </w:r>
      <w:r w:rsidR="002466C9" w:rsidRPr="00B929AC">
        <w:instrText xml:space="preserve"> </w:instrText>
      </w:r>
      <w:r w:rsidR="002466C9">
        <w:rPr>
          <w:lang w:val="en-US"/>
        </w:rPr>
        <w:instrText>a</w:instrText>
      </w:r>
      <w:r w:rsidR="002466C9" w:rsidRPr="00B929AC">
        <w:instrText xml:space="preserve"> </w:instrText>
      </w:r>
      <w:r w:rsidR="002466C9">
        <w:rPr>
          <w:lang w:val="en-US"/>
        </w:rPr>
        <w:instrText>rare</w:instrText>
      </w:r>
      <w:r w:rsidR="002466C9" w:rsidRPr="00B929AC">
        <w:instrText xml:space="preserve"> </w:instrText>
      </w:r>
      <w:r w:rsidR="002466C9">
        <w:rPr>
          <w:lang w:val="en-US"/>
        </w:rPr>
        <w:instrText>aggressive</w:instrText>
      </w:r>
      <w:r w:rsidR="002466C9" w:rsidRPr="00B929AC">
        <w:instrText xml:space="preserve"> </w:instrText>
      </w:r>
      <w:r w:rsidR="002466C9">
        <w:rPr>
          <w:lang w:val="en-US"/>
        </w:rPr>
        <w:instrText>neoplasm</w:instrText>
      </w:r>
      <w:r w:rsidR="002466C9" w:rsidRPr="00B929AC">
        <w:instrText xml:space="preserve"> </w:instrText>
      </w:r>
      <w:r w:rsidR="002466C9">
        <w:rPr>
          <w:lang w:val="en-US"/>
        </w:rPr>
        <w:instrText>of</w:instrText>
      </w:r>
      <w:r w:rsidR="002466C9" w:rsidRPr="00B929AC">
        <w:instrText xml:space="preserve"> </w:instrText>
      </w:r>
      <w:r w:rsidR="002466C9">
        <w:rPr>
          <w:lang w:val="en-US"/>
        </w:rPr>
        <w:instrText>T</w:instrText>
      </w:r>
      <w:r w:rsidR="002466C9" w:rsidRPr="00B929AC">
        <w:instrText>-/</w:instrText>
      </w:r>
      <w:r w:rsidR="002466C9">
        <w:rPr>
          <w:lang w:val="en-US"/>
        </w:rPr>
        <w:instrText>B</w:instrText>
      </w:r>
      <w:r w:rsidR="002466C9" w:rsidRPr="00B929AC">
        <w:instrText>-</w:instrText>
      </w:r>
      <w:r w:rsidR="002466C9">
        <w:rPr>
          <w:lang w:val="en-US"/>
        </w:rPr>
        <w:instrText>precursors</w:instrText>
      </w:r>
      <w:r w:rsidR="002466C9" w:rsidRPr="00B929AC">
        <w:instrText xml:space="preserve"> </w:instrText>
      </w:r>
      <w:r w:rsidR="002466C9">
        <w:rPr>
          <w:lang w:val="en-US"/>
        </w:rPr>
        <w:instrText>resembling</w:instrText>
      </w:r>
      <w:r w:rsidR="002466C9" w:rsidRPr="00B929AC">
        <w:instrText xml:space="preserve"> </w:instrText>
      </w:r>
      <w:r w:rsidR="002466C9">
        <w:rPr>
          <w:lang w:val="en-US"/>
        </w:rPr>
        <w:instrText>acute</w:instrText>
      </w:r>
      <w:r w:rsidR="002466C9" w:rsidRPr="00B929AC">
        <w:instrText xml:space="preserve"> </w:instrText>
      </w:r>
      <w:r w:rsidR="002466C9">
        <w:rPr>
          <w:lang w:val="en-US"/>
        </w:rPr>
        <w:instrText>lymphoblastic</w:instrText>
      </w:r>
      <w:r w:rsidR="002466C9" w:rsidRPr="00B929AC">
        <w:instrText xml:space="preserve"> </w:instrText>
      </w:r>
      <w:r w:rsidR="002466C9">
        <w:rPr>
          <w:lang w:val="en-US"/>
        </w:rPr>
        <w:instrText>leukemia</w:instrText>
      </w:r>
      <w:r w:rsidR="002466C9" w:rsidRPr="00B929AC">
        <w:instrText xml:space="preserve">, </w:instrText>
      </w:r>
      <w:r w:rsidR="002466C9">
        <w:rPr>
          <w:lang w:val="en-US"/>
        </w:rPr>
        <w:instrText>with</w:instrText>
      </w:r>
      <w:r w:rsidR="002466C9" w:rsidRPr="00B929AC">
        <w:instrText xml:space="preserve"> </w:instrText>
      </w:r>
      <w:r w:rsidR="002466C9">
        <w:rPr>
          <w:lang w:val="en-US"/>
        </w:rPr>
        <w:instrText>no</w:instrText>
      </w:r>
      <w:r w:rsidR="002466C9" w:rsidRPr="00B929AC">
        <w:instrText xml:space="preserve"> </w:instrText>
      </w:r>
      <w:r w:rsidR="002466C9">
        <w:rPr>
          <w:lang w:val="en-US"/>
        </w:rPr>
        <w:instrText>or</w:instrText>
      </w:r>
      <w:r w:rsidR="002466C9" w:rsidRPr="00B929AC">
        <w:instrText xml:space="preserve"> </w:instrText>
      </w:r>
      <w:r w:rsidR="002466C9">
        <w:rPr>
          <w:lang w:val="en-US"/>
        </w:rPr>
        <w:instrText>limited</w:instrText>
      </w:r>
      <w:r w:rsidR="002466C9" w:rsidRPr="00B929AC">
        <w:instrText xml:space="preserve"> </w:instrText>
      </w:r>
      <w:r w:rsidR="002466C9">
        <w:rPr>
          <w:lang w:val="en-US"/>
        </w:rPr>
        <w:instrText>bone</w:instrText>
      </w:r>
      <w:r w:rsidR="002466C9" w:rsidRPr="00B929AC">
        <w:instrText xml:space="preserve"> </w:instrText>
      </w:r>
      <w:r w:rsidR="002466C9">
        <w:rPr>
          <w:lang w:val="en-US"/>
        </w:rPr>
        <w:instrText>marrow</w:instrText>
      </w:r>
      <w:r w:rsidR="002466C9" w:rsidRPr="00B929AC">
        <w:instrText xml:space="preserve"> </w:instrText>
      </w:r>
      <w:r w:rsidR="002466C9">
        <w:rPr>
          <w:lang w:val="en-US"/>
        </w:rPr>
        <w:instrText>involvement</w:instrText>
      </w:r>
      <w:r w:rsidR="002466C9" w:rsidRPr="00B929AC">
        <w:instrText xml:space="preserve"> (&lt;25%), </w:instrText>
      </w:r>
      <w:r w:rsidR="002466C9">
        <w:rPr>
          <w:lang w:val="en-US"/>
        </w:rPr>
        <w:instrText>that</w:instrText>
      </w:r>
      <w:r w:rsidR="002466C9" w:rsidRPr="00B929AC">
        <w:instrText xml:space="preserve"> </w:instrText>
      </w:r>
      <w:r w:rsidR="002466C9">
        <w:rPr>
          <w:lang w:val="en-US"/>
        </w:rPr>
        <w:instrText>develops</w:instrText>
      </w:r>
      <w:r w:rsidR="002466C9" w:rsidRPr="00B929AC">
        <w:instrText xml:space="preserve"> </w:instrText>
      </w:r>
      <w:r w:rsidR="002466C9">
        <w:rPr>
          <w:lang w:val="en-US"/>
        </w:rPr>
        <w:instrText>more</w:instrText>
      </w:r>
      <w:r w:rsidR="002466C9" w:rsidRPr="00B929AC">
        <w:instrText xml:space="preserve"> </w:instrText>
      </w:r>
      <w:r w:rsidR="002466C9">
        <w:rPr>
          <w:lang w:val="en-US"/>
        </w:rPr>
        <w:instrText>frequently</w:instrText>
      </w:r>
      <w:r w:rsidR="002466C9" w:rsidRPr="00B929AC">
        <w:instrText xml:space="preserve"> </w:instrText>
      </w:r>
      <w:r w:rsidR="002466C9">
        <w:rPr>
          <w:lang w:val="en-US"/>
        </w:rPr>
        <w:instrText>in</w:instrText>
      </w:r>
      <w:r w:rsidR="002466C9" w:rsidRPr="00B929AC">
        <w:instrText xml:space="preserve"> </w:instrText>
      </w:r>
      <w:r w:rsidR="002466C9">
        <w:rPr>
          <w:lang w:val="en-US"/>
        </w:rPr>
        <w:instrText>children</w:instrText>
      </w:r>
      <w:r w:rsidR="002466C9" w:rsidRPr="00B929AC">
        <w:instrText xml:space="preserve"> </w:instrText>
      </w:r>
      <w:r w:rsidR="002466C9">
        <w:rPr>
          <w:lang w:val="en-US"/>
        </w:rPr>
        <w:instrText>and</w:instrText>
      </w:r>
      <w:r w:rsidR="002466C9" w:rsidRPr="00B929AC">
        <w:instrText xml:space="preserve"> </w:instrText>
      </w:r>
      <w:r w:rsidR="002466C9">
        <w:rPr>
          <w:lang w:val="en-US"/>
        </w:rPr>
        <w:instrText>young</w:instrText>
      </w:r>
      <w:r w:rsidR="002466C9" w:rsidRPr="00B929AC">
        <w:instrText xml:space="preserve"> </w:instrText>
      </w:r>
      <w:r w:rsidR="002466C9">
        <w:rPr>
          <w:lang w:val="en-US"/>
        </w:rPr>
        <w:instrText>adults</w:instrText>
      </w:r>
      <w:r w:rsidR="002466C9" w:rsidRPr="00B929AC">
        <w:instrText xml:space="preserve"> </w:instrText>
      </w:r>
      <w:r w:rsidR="002466C9">
        <w:rPr>
          <w:lang w:val="en-US"/>
        </w:rPr>
        <w:instrText>and</w:instrText>
      </w:r>
      <w:r w:rsidR="002466C9" w:rsidRPr="00B929AC">
        <w:instrText xml:space="preserve"> </w:instrText>
      </w:r>
      <w:r w:rsidR="002466C9">
        <w:rPr>
          <w:lang w:val="en-US"/>
        </w:rPr>
        <w:instrText>is</w:instrText>
      </w:r>
      <w:r w:rsidR="002466C9" w:rsidRPr="00B929AC">
        <w:instrText xml:space="preserve"> </w:instrText>
      </w:r>
      <w:r w:rsidR="002466C9">
        <w:rPr>
          <w:lang w:val="en-US"/>
        </w:rPr>
        <w:instrText>typically</w:instrText>
      </w:r>
      <w:r w:rsidR="002466C9" w:rsidRPr="00B929AC">
        <w:instrText xml:space="preserve"> </w:instrText>
      </w:r>
      <w:r w:rsidR="002466C9">
        <w:rPr>
          <w:lang w:val="en-US"/>
        </w:rPr>
        <w:instrText>characterized</w:instrText>
      </w:r>
      <w:r w:rsidR="002466C9" w:rsidRPr="00B929AC">
        <w:instrText xml:space="preserve"> </w:instrText>
      </w:r>
      <w:r w:rsidR="002466C9">
        <w:rPr>
          <w:lang w:val="en-US"/>
        </w:rPr>
        <w:instrText>by</w:instrText>
      </w:r>
      <w:r w:rsidR="002466C9" w:rsidRPr="00B929AC">
        <w:instrText xml:space="preserve"> </w:instrText>
      </w:r>
      <w:r w:rsidR="002466C9">
        <w:rPr>
          <w:lang w:val="en-US"/>
        </w:rPr>
        <w:instrText>a</w:instrText>
      </w:r>
      <w:r w:rsidR="002466C9" w:rsidRPr="00B929AC">
        <w:instrText xml:space="preserve"> </w:instrText>
      </w:r>
      <w:r w:rsidR="002466C9">
        <w:rPr>
          <w:lang w:val="en-US"/>
        </w:rPr>
        <w:instrText>grossly</w:instrText>
      </w:r>
      <w:r w:rsidR="002466C9" w:rsidRPr="00B929AC">
        <w:instrText xml:space="preserve"> </w:instrText>
      </w:r>
      <w:r w:rsidR="002466C9">
        <w:rPr>
          <w:lang w:val="en-US"/>
        </w:rPr>
        <w:instrText>enlarged</w:instrText>
      </w:r>
      <w:r w:rsidR="002466C9" w:rsidRPr="00B929AC">
        <w:instrText xml:space="preserve"> </w:instrText>
      </w:r>
      <w:r w:rsidR="002466C9">
        <w:rPr>
          <w:lang w:val="en-US"/>
        </w:rPr>
        <w:instrText>mediastinum</w:instrText>
      </w:r>
      <w:r w:rsidR="002466C9" w:rsidRPr="00B929AC">
        <w:instrText xml:space="preserve">, </w:instrText>
      </w:r>
      <w:r w:rsidR="002466C9">
        <w:rPr>
          <w:lang w:val="en-US"/>
        </w:rPr>
        <w:instrText>and</w:instrText>
      </w:r>
      <w:r w:rsidR="002466C9" w:rsidRPr="00B929AC">
        <w:instrText xml:space="preserve"> </w:instrText>
      </w:r>
      <w:r w:rsidR="002466C9">
        <w:rPr>
          <w:lang w:val="en-US"/>
        </w:rPr>
        <w:instrText>whose</w:instrText>
      </w:r>
      <w:r w:rsidR="002466C9" w:rsidRPr="00B929AC">
        <w:instrText xml:space="preserve"> </w:instrText>
      </w:r>
      <w:r w:rsidR="002466C9">
        <w:rPr>
          <w:lang w:val="en-US"/>
        </w:rPr>
        <w:instrText>diagnostic</w:instrText>
      </w:r>
      <w:r w:rsidR="002466C9" w:rsidRPr="00B929AC">
        <w:instrText xml:space="preserve"> </w:instrText>
      </w:r>
      <w:r w:rsidR="002466C9">
        <w:rPr>
          <w:lang w:val="en-US"/>
        </w:rPr>
        <w:instrText>hallmark</w:instrText>
      </w:r>
      <w:r w:rsidR="002466C9" w:rsidRPr="00B929AC">
        <w:instrText xml:space="preserve"> </w:instrText>
      </w:r>
      <w:r w:rsidR="002466C9">
        <w:rPr>
          <w:lang w:val="en-US"/>
        </w:rPr>
        <w:instrText>is</w:instrText>
      </w:r>
      <w:r w:rsidR="002466C9" w:rsidRPr="00B929AC">
        <w:instrText xml:space="preserve"> </w:instrText>
      </w:r>
      <w:r w:rsidR="002466C9">
        <w:rPr>
          <w:lang w:val="en-US"/>
        </w:rPr>
        <w:instrText>the</w:instrText>
      </w:r>
      <w:r w:rsidR="002466C9" w:rsidRPr="00B929AC">
        <w:instrText xml:space="preserve"> </w:instrText>
      </w:r>
      <w:r w:rsidR="002466C9">
        <w:rPr>
          <w:lang w:val="en-US"/>
        </w:rPr>
        <w:instrText>expression</w:instrText>
      </w:r>
      <w:r w:rsidR="002466C9" w:rsidRPr="00B929AC">
        <w:instrText xml:space="preserve"> </w:instrText>
      </w:r>
      <w:r w:rsidR="002466C9">
        <w:rPr>
          <w:lang w:val="en-US"/>
        </w:rPr>
        <w:instrText>of</w:instrText>
      </w:r>
      <w:r w:rsidR="002466C9" w:rsidRPr="00B929AC">
        <w:instrText xml:space="preserve"> </w:instrText>
      </w:r>
      <w:r w:rsidR="002466C9">
        <w:rPr>
          <w:lang w:val="en-US"/>
        </w:rPr>
        <w:instrText>a</w:instrText>
      </w:r>
      <w:r w:rsidR="002466C9" w:rsidRPr="00B929AC">
        <w:instrText xml:space="preserve"> </w:instrText>
      </w:r>
      <w:r w:rsidR="002466C9">
        <w:rPr>
          <w:lang w:val="en-US"/>
        </w:rPr>
        <w:instrText>T</w:instrText>
      </w:r>
      <w:r w:rsidR="002466C9" w:rsidRPr="00B929AC">
        <w:instrText>-/</w:instrText>
      </w:r>
      <w:r w:rsidR="002466C9">
        <w:rPr>
          <w:lang w:val="en-US"/>
        </w:rPr>
        <w:instrText>B</w:instrText>
      </w:r>
      <w:r w:rsidR="002466C9" w:rsidRPr="00B929AC">
        <w:instrText>-</w:instrText>
      </w:r>
      <w:r w:rsidR="002466C9">
        <w:rPr>
          <w:lang w:val="en-US"/>
        </w:rPr>
        <w:instrText>precursor</w:instrText>
      </w:r>
      <w:r w:rsidR="002466C9" w:rsidRPr="00B929AC">
        <w:instrText xml:space="preserve"> </w:instrText>
      </w:r>
      <w:r w:rsidR="002466C9">
        <w:rPr>
          <w:lang w:val="en-US"/>
        </w:rPr>
        <w:instrText>cell</w:instrText>
      </w:r>
      <w:r w:rsidR="002466C9" w:rsidRPr="00B929AC">
        <w:instrText xml:space="preserve"> </w:instrText>
      </w:r>
      <w:r w:rsidR="002466C9">
        <w:rPr>
          <w:lang w:val="en-US"/>
        </w:rPr>
        <w:instrText>immunophenotype</w:instrText>
      </w:r>
      <w:r w:rsidR="002466C9" w:rsidRPr="00B929AC">
        <w:instrText xml:space="preserve">, </w:instrText>
      </w:r>
      <w:r w:rsidR="002466C9">
        <w:rPr>
          <w:lang w:val="en-US"/>
        </w:rPr>
        <w:instrText>the</w:instrText>
      </w:r>
      <w:r w:rsidR="002466C9" w:rsidRPr="00B929AC">
        <w:instrText xml:space="preserve"> </w:instrText>
      </w:r>
      <w:r w:rsidR="002466C9">
        <w:rPr>
          <w:lang w:val="en-US"/>
        </w:rPr>
        <w:instrText>T</w:instrText>
      </w:r>
      <w:r w:rsidR="002466C9" w:rsidRPr="00B929AC">
        <w:instrText>-</w:instrText>
      </w:r>
      <w:r w:rsidR="002466C9">
        <w:rPr>
          <w:lang w:val="en-US"/>
        </w:rPr>
        <w:instrText>cell</w:instrText>
      </w:r>
      <w:r w:rsidR="002466C9" w:rsidRPr="00B929AC">
        <w:instrText xml:space="preserve"> </w:instrText>
      </w:r>
      <w:r w:rsidR="002466C9">
        <w:rPr>
          <w:lang w:val="en-US"/>
        </w:rPr>
        <w:instrText>subset</w:instrText>
      </w:r>
      <w:r w:rsidR="002466C9" w:rsidRPr="00B929AC">
        <w:instrText xml:space="preserve"> </w:instrText>
      </w:r>
      <w:r w:rsidR="002466C9">
        <w:rPr>
          <w:lang w:val="en-US"/>
        </w:rPr>
        <w:instrText>accounting</w:instrText>
      </w:r>
      <w:r w:rsidR="002466C9" w:rsidRPr="00B929AC">
        <w:instrText xml:space="preserve"> </w:instrText>
      </w:r>
      <w:r w:rsidR="002466C9">
        <w:rPr>
          <w:lang w:val="en-US"/>
        </w:rPr>
        <w:instrText>for</w:instrText>
      </w:r>
      <w:r w:rsidR="002466C9" w:rsidRPr="00B929AC">
        <w:instrText xml:space="preserve"> 90% </w:instrText>
      </w:r>
      <w:r w:rsidR="002466C9">
        <w:rPr>
          <w:lang w:val="en-US"/>
        </w:rPr>
        <w:instrText>of</w:instrText>
      </w:r>
      <w:r w:rsidR="002466C9" w:rsidRPr="00B929AC">
        <w:instrText xml:space="preserve"> </w:instrText>
      </w:r>
      <w:r w:rsidR="002466C9">
        <w:rPr>
          <w:lang w:val="en-US"/>
        </w:rPr>
        <w:instrText>all</w:instrText>
      </w:r>
      <w:r w:rsidR="002466C9" w:rsidRPr="00B929AC">
        <w:instrText xml:space="preserve"> </w:instrText>
      </w:r>
      <w:r w:rsidR="002466C9">
        <w:rPr>
          <w:lang w:val="en-US"/>
        </w:rPr>
        <w:instrText>cases</w:instrText>
      </w:r>
      <w:r w:rsidR="002466C9" w:rsidRPr="00B929AC">
        <w:instrText xml:space="preserve">. </w:instrText>
      </w:r>
      <w:r w:rsidR="002466C9">
        <w:rPr>
          <w:lang w:val="en-US"/>
        </w:rPr>
        <w:instrText>The</w:instrText>
      </w:r>
      <w:r w:rsidR="002466C9" w:rsidRPr="00B929AC">
        <w:instrText xml:space="preserve"> </w:instrText>
      </w:r>
      <w:r w:rsidR="002466C9">
        <w:rPr>
          <w:lang w:val="en-US"/>
        </w:rPr>
        <w:instrText>adoption</w:instrText>
      </w:r>
      <w:r w:rsidR="002466C9" w:rsidRPr="00B929AC">
        <w:instrText xml:space="preserve"> </w:instrText>
      </w:r>
      <w:r w:rsidR="002466C9">
        <w:rPr>
          <w:lang w:val="en-US"/>
        </w:rPr>
        <w:instrText>of</w:instrText>
      </w:r>
      <w:r w:rsidR="002466C9" w:rsidRPr="00B929AC">
        <w:instrText xml:space="preserve"> </w:instrText>
      </w:r>
      <w:r w:rsidR="002466C9">
        <w:rPr>
          <w:lang w:val="en-US"/>
        </w:rPr>
        <w:instrText>pediatric</w:instrText>
      </w:r>
      <w:r w:rsidR="002466C9" w:rsidRPr="00B929AC">
        <w:instrText>-</w:instrText>
      </w:r>
      <w:r w:rsidR="002466C9">
        <w:rPr>
          <w:lang w:val="en-US"/>
        </w:rPr>
        <w:instrText>derived</w:instrText>
      </w:r>
      <w:r w:rsidR="002466C9" w:rsidRPr="00B929AC">
        <w:instrText xml:space="preserve">, </w:instrText>
      </w:r>
      <w:r w:rsidR="002466C9">
        <w:rPr>
          <w:lang w:val="en-US"/>
        </w:rPr>
        <w:instrText>intensive</w:instrText>
      </w:r>
      <w:r w:rsidR="002466C9" w:rsidRPr="00B929AC">
        <w:instrText xml:space="preserve"> </w:instrText>
      </w:r>
      <w:r w:rsidR="002466C9">
        <w:rPr>
          <w:lang w:val="en-US"/>
        </w:rPr>
        <w:instrText>lymphoblastic</w:instrText>
      </w:r>
      <w:r w:rsidR="002466C9" w:rsidRPr="00B929AC">
        <w:instrText xml:space="preserve"> </w:instrText>
      </w:r>
      <w:r w:rsidR="002466C9">
        <w:rPr>
          <w:lang w:val="en-US"/>
        </w:rPr>
        <w:instrText>leukemia</w:instrText>
      </w:r>
      <w:r w:rsidR="002466C9" w:rsidRPr="00B929AC">
        <w:instrText>-</w:instrText>
      </w:r>
      <w:r w:rsidR="002466C9">
        <w:rPr>
          <w:lang w:val="en-US"/>
        </w:rPr>
        <w:instrText>like</w:instrText>
      </w:r>
      <w:r w:rsidR="002466C9" w:rsidRPr="00B929AC">
        <w:instrText xml:space="preserve"> </w:instrText>
      </w:r>
      <w:r w:rsidR="002466C9">
        <w:rPr>
          <w:lang w:val="en-US"/>
        </w:rPr>
        <w:instrText>protocols</w:instrText>
      </w:r>
      <w:r w:rsidR="002466C9" w:rsidRPr="00B929AC">
        <w:instrText xml:space="preserve"> </w:instrText>
      </w:r>
      <w:r w:rsidR="002466C9">
        <w:rPr>
          <w:lang w:val="en-US"/>
        </w:rPr>
        <w:instrText>led</w:instrText>
      </w:r>
      <w:r w:rsidR="002466C9" w:rsidRPr="00B929AC">
        <w:instrText xml:space="preserve"> </w:instrText>
      </w:r>
      <w:r w:rsidR="002466C9">
        <w:rPr>
          <w:lang w:val="en-US"/>
        </w:rPr>
        <w:instrText>to</w:instrText>
      </w:r>
      <w:r w:rsidR="002466C9" w:rsidRPr="00B929AC">
        <w:instrText xml:space="preserve"> </w:instrText>
      </w:r>
      <w:r w:rsidR="002466C9">
        <w:rPr>
          <w:lang w:val="en-US"/>
        </w:rPr>
        <w:instrText>significantly</w:instrText>
      </w:r>
      <w:r w:rsidR="002466C9" w:rsidRPr="00B929AC">
        <w:instrText xml:space="preserve"> </w:instrText>
      </w:r>
      <w:r w:rsidR="002466C9">
        <w:rPr>
          <w:lang w:val="en-US"/>
        </w:rPr>
        <w:instrText>improved</w:instrText>
      </w:r>
      <w:r w:rsidR="002466C9" w:rsidRPr="00B929AC">
        <w:instrText xml:space="preserve"> </w:instrText>
      </w:r>
      <w:r w:rsidR="002466C9">
        <w:rPr>
          <w:lang w:val="en-US"/>
        </w:rPr>
        <w:instrText>results</w:instrText>
      </w:r>
      <w:r w:rsidR="002466C9" w:rsidRPr="00B929AC">
        <w:instrText xml:space="preserve">, </w:instrText>
      </w:r>
      <w:r w:rsidR="002466C9">
        <w:rPr>
          <w:lang w:val="en-US"/>
        </w:rPr>
        <w:instrText>with</w:instrText>
      </w:r>
      <w:r w:rsidR="002466C9" w:rsidRPr="00B929AC">
        <w:instrText xml:space="preserve"> </w:instrText>
      </w:r>
      <w:r w:rsidR="002466C9">
        <w:rPr>
          <w:lang w:val="en-US"/>
        </w:rPr>
        <w:instrText>survival</w:instrText>
      </w:r>
      <w:r w:rsidR="002466C9" w:rsidRPr="00B929AC">
        <w:instrText xml:space="preserve"> </w:instrText>
      </w:r>
      <w:r w:rsidR="002466C9">
        <w:rPr>
          <w:lang w:val="en-US"/>
        </w:rPr>
        <w:instrText>rates</w:instrText>
      </w:r>
      <w:r w:rsidR="002466C9" w:rsidRPr="00B929AC">
        <w:instrText xml:space="preserve"> </w:instrText>
      </w:r>
      <w:r w:rsidR="002466C9">
        <w:rPr>
          <w:lang w:val="en-US"/>
        </w:rPr>
        <w:instrText>of</w:instrText>
      </w:r>
      <w:r w:rsidR="002466C9" w:rsidRPr="00B929AC">
        <w:instrText xml:space="preserve"> </w:instrText>
      </w:r>
      <w:r w:rsidR="002466C9">
        <w:rPr>
          <w:lang w:val="en-US"/>
        </w:rPr>
        <w:instrText>about</w:instrText>
      </w:r>
      <w:r w:rsidR="002466C9" w:rsidRPr="00B929AC">
        <w:instrText xml:space="preserve"> 70% </w:instrText>
      </w:r>
      <w:r w:rsidR="002466C9">
        <w:rPr>
          <w:lang w:val="en-US"/>
        </w:rPr>
        <w:instrText>and</w:instrText>
      </w:r>
      <w:r w:rsidR="002466C9" w:rsidRPr="00B929AC">
        <w:instrText xml:space="preserve"> 90% </w:instrText>
      </w:r>
      <w:r w:rsidR="002466C9">
        <w:rPr>
          <w:lang w:val="en-US"/>
        </w:rPr>
        <w:instrText>in</w:instrText>
      </w:r>
      <w:r w:rsidR="002466C9" w:rsidRPr="00B929AC">
        <w:instrText xml:space="preserve"> </w:instrText>
      </w:r>
      <w:r w:rsidR="002466C9">
        <w:rPr>
          <w:lang w:val="en-US"/>
        </w:rPr>
        <w:instrText>adults</w:instrText>
      </w:r>
      <w:r w:rsidR="002466C9" w:rsidRPr="00B929AC">
        <w:instrText xml:space="preserve"> </w:instrText>
      </w:r>
      <w:r w:rsidR="002466C9">
        <w:rPr>
          <w:lang w:val="en-US"/>
        </w:rPr>
        <w:instrText>and</w:instrText>
      </w:r>
      <w:r w:rsidR="002466C9" w:rsidRPr="00B929AC">
        <w:instrText xml:space="preserve"> </w:instrText>
      </w:r>
      <w:r w:rsidR="002466C9">
        <w:rPr>
          <w:lang w:val="en-US"/>
        </w:rPr>
        <w:instrText>children</w:instrText>
      </w:r>
      <w:r w:rsidR="002466C9" w:rsidRPr="00B929AC">
        <w:instrText xml:space="preserve">, </w:instrText>
      </w:r>
      <w:r w:rsidR="002466C9">
        <w:rPr>
          <w:lang w:val="en-US"/>
        </w:rPr>
        <w:instrText>respectively</w:instrText>
      </w:r>
      <w:r w:rsidR="002466C9" w:rsidRPr="00B929AC">
        <w:instrText xml:space="preserve">. </w:instrText>
      </w:r>
      <w:r w:rsidR="002466C9">
        <w:rPr>
          <w:lang w:val="en-US"/>
        </w:rPr>
        <w:instrText>Adequate</w:instrText>
      </w:r>
      <w:r w:rsidR="002466C9" w:rsidRPr="00B929AC">
        <w:instrText xml:space="preserve"> </w:instrText>
      </w:r>
      <w:r w:rsidR="002466C9">
        <w:rPr>
          <w:lang w:val="en-US"/>
        </w:rPr>
        <w:instrText>central</w:instrText>
      </w:r>
      <w:r w:rsidR="002466C9" w:rsidRPr="00B929AC">
        <w:instrText xml:space="preserve"> </w:instrText>
      </w:r>
      <w:r w:rsidR="002466C9">
        <w:rPr>
          <w:lang w:val="en-US"/>
        </w:rPr>
        <w:instrText>nervous</w:instrText>
      </w:r>
      <w:r w:rsidR="002466C9" w:rsidRPr="00B929AC">
        <w:instrText xml:space="preserve"> </w:instrText>
      </w:r>
      <w:r w:rsidR="002466C9">
        <w:rPr>
          <w:lang w:val="en-US"/>
        </w:rPr>
        <w:instrText>system</w:instrText>
      </w:r>
      <w:r w:rsidR="002466C9" w:rsidRPr="00B929AC">
        <w:instrText xml:space="preserve"> </w:instrText>
      </w:r>
      <w:r w:rsidR="002466C9">
        <w:rPr>
          <w:lang w:val="en-US"/>
        </w:rPr>
        <w:instrText>prophylaxis</w:instrText>
      </w:r>
      <w:r w:rsidR="002466C9" w:rsidRPr="00B929AC">
        <w:instrText xml:space="preserve"> </w:instrText>
      </w:r>
      <w:r w:rsidR="002466C9">
        <w:rPr>
          <w:lang w:val="en-US"/>
        </w:rPr>
        <w:instrText>and</w:instrText>
      </w:r>
      <w:r w:rsidR="002466C9" w:rsidRPr="00B929AC">
        <w:instrText xml:space="preserve"> </w:instrText>
      </w:r>
      <w:r w:rsidR="002466C9">
        <w:rPr>
          <w:lang w:val="en-US"/>
        </w:rPr>
        <w:instrText>mediastinal</w:instrText>
      </w:r>
      <w:r w:rsidR="002466C9" w:rsidRPr="00B929AC">
        <w:instrText xml:space="preserve"> </w:instrText>
      </w:r>
      <w:r w:rsidR="002466C9">
        <w:rPr>
          <w:lang w:val="en-US"/>
        </w:rPr>
        <w:instrText>irradiation</w:instrText>
      </w:r>
      <w:r w:rsidR="002466C9" w:rsidRPr="00B929AC">
        <w:instrText xml:space="preserve"> </w:instrText>
      </w:r>
      <w:r w:rsidR="002466C9">
        <w:rPr>
          <w:lang w:val="en-US"/>
        </w:rPr>
        <w:instrText>contributed</w:instrText>
      </w:r>
      <w:r w:rsidR="002466C9" w:rsidRPr="00B929AC">
        <w:instrText xml:space="preserve"> </w:instrText>
      </w:r>
      <w:r w:rsidR="002466C9">
        <w:rPr>
          <w:lang w:val="en-US"/>
        </w:rPr>
        <w:instrText>to</w:instrText>
      </w:r>
      <w:r w:rsidR="002466C9" w:rsidRPr="00B929AC">
        <w:instrText xml:space="preserve"> </w:instrText>
      </w:r>
      <w:r w:rsidR="002466C9">
        <w:rPr>
          <w:lang w:val="en-US"/>
        </w:rPr>
        <w:instrText>the</w:instrText>
      </w:r>
      <w:r w:rsidR="002466C9" w:rsidRPr="00B929AC">
        <w:instrText xml:space="preserve"> </w:instrText>
      </w:r>
      <w:r w:rsidR="002466C9">
        <w:rPr>
          <w:lang w:val="en-US"/>
        </w:rPr>
        <w:instrText>therapeutic</w:instrText>
      </w:r>
      <w:r w:rsidR="002466C9" w:rsidRPr="00B929AC">
        <w:instrText xml:space="preserve"> </w:instrText>
      </w:r>
      <w:r w:rsidR="002466C9">
        <w:rPr>
          <w:lang w:val="en-US"/>
        </w:rPr>
        <w:instrText>success</w:instrText>
      </w:r>
      <w:r w:rsidR="002466C9" w:rsidRPr="00B929AC">
        <w:instrText xml:space="preserve">; </w:instrText>
      </w:r>
      <w:r w:rsidR="002466C9">
        <w:rPr>
          <w:lang w:val="en-US"/>
        </w:rPr>
        <w:instrText>however</w:instrText>
      </w:r>
      <w:r w:rsidR="002466C9" w:rsidRPr="00B929AC">
        <w:instrText xml:space="preserve">, </w:instrText>
      </w:r>
      <w:r w:rsidR="002466C9">
        <w:rPr>
          <w:lang w:val="en-US"/>
        </w:rPr>
        <w:instrText>the</w:instrText>
      </w:r>
      <w:r w:rsidR="002466C9" w:rsidRPr="00B929AC">
        <w:instrText xml:space="preserve"> </w:instrText>
      </w:r>
      <w:r w:rsidR="002466C9">
        <w:rPr>
          <w:lang w:val="en-US"/>
        </w:rPr>
        <w:instrText>role</w:instrText>
      </w:r>
      <w:r w:rsidR="002466C9" w:rsidRPr="00B929AC">
        <w:instrText xml:space="preserve"> </w:instrText>
      </w:r>
      <w:r w:rsidR="002466C9">
        <w:rPr>
          <w:lang w:val="en-US"/>
        </w:rPr>
        <w:instrText>of</w:instrText>
      </w:r>
      <w:r w:rsidR="002466C9" w:rsidRPr="00B929AC">
        <w:instrText xml:space="preserve"> </w:instrText>
      </w:r>
      <w:r w:rsidR="002466C9">
        <w:rPr>
          <w:lang w:val="en-US"/>
        </w:rPr>
        <w:instrText>radiation</w:instrText>
      </w:r>
      <w:r w:rsidR="002466C9" w:rsidRPr="00B929AC">
        <w:instrText xml:space="preserve"> </w:instrText>
      </w:r>
      <w:r w:rsidR="002466C9">
        <w:rPr>
          <w:lang w:val="en-US"/>
        </w:rPr>
        <w:instrText>therapy</w:instrText>
      </w:r>
      <w:r w:rsidR="002466C9" w:rsidRPr="00B929AC">
        <w:instrText xml:space="preserve"> </w:instrText>
      </w:r>
      <w:r w:rsidR="002466C9">
        <w:rPr>
          <w:lang w:val="en-US"/>
        </w:rPr>
        <w:instrText>is</w:instrText>
      </w:r>
      <w:r w:rsidR="002466C9" w:rsidRPr="00B929AC">
        <w:instrText xml:space="preserve"> </w:instrText>
      </w:r>
      <w:r w:rsidR="002466C9">
        <w:rPr>
          <w:lang w:val="en-US"/>
        </w:rPr>
        <w:instrText>debated</w:instrText>
      </w:r>
      <w:r w:rsidR="002466C9" w:rsidRPr="00B929AC">
        <w:instrText xml:space="preserve"> </w:instrText>
      </w:r>
      <w:r w:rsidR="002466C9">
        <w:rPr>
          <w:lang w:val="en-US"/>
        </w:rPr>
        <w:instrText>due</w:instrText>
      </w:r>
      <w:r w:rsidR="002466C9" w:rsidRPr="00B929AC">
        <w:instrText xml:space="preserve"> </w:instrText>
      </w:r>
      <w:r w:rsidR="002466C9">
        <w:rPr>
          <w:lang w:val="en-US"/>
        </w:rPr>
        <w:instrText>to</w:instrText>
      </w:r>
      <w:r w:rsidR="002466C9" w:rsidRPr="00B929AC">
        <w:instrText xml:space="preserve"> </w:instrText>
      </w:r>
      <w:r w:rsidR="002466C9">
        <w:rPr>
          <w:lang w:val="en-US"/>
        </w:rPr>
        <w:instrText>toxicity</w:instrText>
      </w:r>
      <w:r w:rsidR="002466C9" w:rsidRPr="00B929AC">
        <w:instrText xml:space="preserve"> </w:instrText>
      </w:r>
      <w:r w:rsidR="002466C9">
        <w:rPr>
          <w:lang w:val="en-US"/>
        </w:rPr>
        <w:instrText>concerns</w:instrText>
      </w:r>
      <w:r w:rsidR="002466C9" w:rsidRPr="00B929AC">
        <w:instrText xml:space="preserve"> </w:instrText>
      </w:r>
      <w:r w:rsidR="002466C9">
        <w:rPr>
          <w:lang w:val="en-US"/>
        </w:rPr>
        <w:instrText>and</w:instrText>
      </w:r>
      <w:r w:rsidR="002466C9" w:rsidRPr="00B929AC">
        <w:instrText xml:space="preserve"> </w:instrText>
      </w:r>
      <w:r w:rsidR="002466C9">
        <w:rPr>
          <w:lang w:val="en-US"/>
        </w:rPr>
        <w:instrText>the</w:instrText>
      </w:r>
      <w:r w:rsidR="002466C9" w:rsidRPr="00B929AC">
        <w:instrText xml:space="preserve"> </w:instrText>
      </w:r>
      <w:r w:rsidR="002466C9">
        <w:rPr>
          <w:lang w:val="en-US"/>
        </w:rPr>
        <w:instrText>excellent</w:instrText>
      </w:r>
      <w:r w:rsidR="002466C9" w:rsidRPr="00B929AC">
        <w:instrText xml:space="preserve"> </w:instrText>
      </w:r>
      <w:r w:rsidR="002466C9">
        <w:rPr>
          <w:lang w:val="en-US"/>
        </w:rPr>
        <w:instrText>results</w:instrText>
      </w:r>
      <w:r w:rsidR="002466C9" w:rsidRPr="00B929AC">
        <w:instrText xml:space="preserve"> </w:instrText>
      </w:r>
      <w:r w:rsidR="002466C9">
        <w:rPr>
          <w:lang w:val="en-US"/>
        </w:rPr>
        <w:instrText>obtained</w:instrText>
      </w:r>
      <w:r w:rsidR="002466C9" w:rsidRPr="00B929AC">
        <w:instrText xml:space="preserve"> </w:instrText>
      </w:r>
      <w:r w:rsidR="002466C9">
        <w:rPr>
          <w:lang w:val="en-US"/>
        </w:rPr>
        <w:instrText>with</w:instrText>
      </w:r>
      <w:r w:rsidR="002466C9" w:rsidRPr="00B929AC">
        <w:instrText xml:space="preserve"> </w:instrText>
      </w:r>
      <w:r w:rsidR="002466C9">
        <w:rPr>
          <w:lang w:val="en-US"/>
        </w:rPr>
        <w:instrText>radiation</w:instrText>
      </w:r>
      <w:r w:rsidR="002466C9" w:rsidRPr="00B929AC">
        <w:instrText>-</w:instrText>
      </w:r>
      <w:r w:rsidR="002466C9">
        <w:rPr>
          <w:lang w:val="en-US"/>
        </w:rPr>
        <w:instrText>free</w:instrText>
      </w:r>
      <w:r w:rsidR="002466C9" w:rsidRPr="00B929AC">
        <w:instrText xml:space="preserve"> </w:instrText>
      </w:r>
      <w:r w:rsidR="002466C9">
        <w:rPr>
          <w:lang w:val="en-US"/>
        </w:rPr>
        <w:instrText>programs</w:instrText>
      </w:r>
      <w:r w:rsidR="002466C9" w:rsidRPr="00B929AC">
        <w:instrText xml:space="preserve"> </w:instrText>
      </w:r>
      <w:r w:rsidR="002466C9">
        <w:rPr>
          <w:lang w:val="en-US"/>
        </w:rPr>
        <w:instrText>especially</w:instrText>
      </w:r>
      <w:r w:rsidR="002466C9" w:rsidRPr="00B929AC">
        <w:instrText xml:space="preserve"> </w:instrText>
      </w:r>
      <w:r w:rsidR="002466C9">
        <w:rPr>
          <w:lang w:val="en-US"/>
        </w:rPr>
        <w:instrText>in</w:instrText>
      </w:r>
      <w:r w:rsidR="002466C9" w:rsidRPr="00B929AC">
        <w:instrText xml:space="preserve"> </w:instrText>
      </w:r>
      <w:r w:rsidR="002466C9">
        <w:rPr>
          <w:lang w:val="en-US"/>
        </w:rPr>
        <w:instrText>pediatric</w:instrText>
      </w:r>
      <w:r w:rsidR="002466C9" w:rsidRPr="00B929AC">
        <w:instrText xml:space="preserve"> </w:instrText>
      </w:r>
      <w:r w:rsidR="002466C9">
        <w:rPr>
          <w:lang w:val="en-US"/>
        </w:rPr>
        <w:instrText>patients</w:instrText>
      </w:r>
      <w:r w:rsidR="002466C9" w:rsidRPr="00B929AC">
        <w:instrText xml:space="preserve">. </w:instrText>
      </w:r>
      <w:r w:rsidR="002466C9">
        <w:rPr>
          <w:lang w:val="en-US"/>
        </w:rPr>
        <w:instrText>With</w:instrText>
      </w:r>
      <w:r w:rsidR="002466C9" w:rsidRPr="00B929AC">
        <w:instrText xml:space="preserve"> </w:instrText>
      </w:r>
      <w:r w:rsidR="002466C9">
        <w:rPr>
          <w:lang w:val="en-US"/>
        </w:rPr>
        <w:instrText>these</w:instrText>
      </w:r>
      <w:r w:rsidR="002466C9" w:rsidRPr="00B929AC">
        <w:instrText xml:space="preserve"> </w:instrText>
      </w:r>
      <w:r w:rsidR="002466C9">
        <w:rPr>
          <w:lang w:val="en-US"/>
        </w:rPr>
        <w:instrText>modern</w:instrText>
      </w:r>
      <w:r w:rsidR="002466C9" w:rsidRPr="00B929AC">
        <w:instrText xml:space="preserve"> </w:instrText>
      </w:r>
      <w:r w:rsidR="002466C9">
        <w:rPr>
          <w:lang w:val="en-US"/>
        </w:rPr>
        <w:instrText>schedules</w:instrText>
      </w:r>
      <w:r w:rsidR="002466C9" w:rsidRPr="00B929AC">
        <w:instrText xml:space="preserve">, </w:instrText>
      </w:r>
      <w:r w:rsidR="002466C9">
        <w:rPr>
          <w:lang w:val="en-US"/>
        </w:rPr>
        <w:instrText>localized</w:instrText>
      </w:r>
      <w:r w:rsidR="002466C9" w:rsidRPr="00B929AC">
        <w:instrText xml:space="preserve"> </w:instrText>
      </w:r>
      <w:r w:rsidR="002466C9">
        <w:rPr>
          <w:lang w:val="en-US"/>
        </w:rPr>
        <w:instrText>radiotherapy</w:instrText>
      </w:r>
      <w:r w:rsidR="002466C9" w:rsidRPr="00B929AC">
        <w:instrText xml:space="preserve"> </w:instrText>
      </w:r>
      <w:r w:rsidR="002466C9">
        <w:rPr>
          <w:lang w:val="en-US"/>
        </w:rPr>
        <w:instrText>and</w:instrText>
      </w:r>
      <w:r w:rsidR="002466C9" w:rsidRPr="00B929AC">
        <w:instrText>/</w:instrText>
      </w:r>
      <w:r w:rsidR="002466C9">
        <w:rPr>
          <w:lang w:val="en-US"/>
        </w:rPr>
        <w:instrText>or</w:instrText>
      </w:r>
      <w:r w:rsidR="002466C9" w:rsidRPr="00B929AC">
        <w:instrText xml:space="preserve"> </w:instrText>
      </w:r>
      <w:r w:rsidR="002466C9">
        <w:rPr>
          <w:lang w:val="en-US"/>
        </w:rPr>
        <w:instrText>hematopoietic</w:instrText>
      </w:r>
      <w:r w:rsidR="002466C9" w:rsidRPr="00B929AC">
        <w:instrText xml:space="preserve"> </w:instrText>
      </w:r>
      <w:r w:rsidR="002466C9">
        <w:rPr>
          <w:lang w:val="en-US"/>
        </w:rPr>
        <w:instrText>stem</w:instrText>
      </w:r>
      <w:r w:rsidR="002466C9" w:rsidRPr="00B929AC">
        <w:instrText xml:space="preserve"> </w:instrText>
      </w:r>
      <w:r w:rsidR="002466C9">
        <w:rPr>
          <w:lang w:val="en-US"/>
        </w:rPr>
        <w:instrText>cell</w:instrText>
      </w:r>
      <w:r w:rsidR="002466C9" w:rsidRPr="00B929AC">
        <w:instrText xml:space="preserve"> </w:instrText>
      </w:r>
      <w:r w:rsidR="002466C9">
        <w:rPr>
          <w:lang w:val="en-US"/>
        </w:rPr>
        <w:instrText>transplants</w:instrText>
      </w:r>
      <w:r w:rsidR="002466C9" w:rsidRPr="00B929AC">
        <w:instrText xml:space="preserve"> </w:instrText>
      </w:r>
      <w:r w:rsidR="002466C9">
        <w:rPr>
          <w:lang w:val="en-US"/>
        </w:rPr>
        <w:instrText>could</w:instrText>
      </w:r>
      <w:r w:rsidR="002466C9" w:rsidRPr="00B929AC">
        <w:instrText xml:space="preserve"> </w:instrText>
      </w:r>
      <w:r w:rsidR="002466C9">
        <w:rPr>
          <w:lang w:val="en-US"/>
        </w:rPr>
        <w:instrText>be</w:instrText>
      </w:r>
      <w:r w:rsidR="002466C9" w:rsidRPr="00B929AC">
        <w:instrText xml:space="preserve"> </w:instrText>
      </w:r>
      <w:r w:rsidR="002466C9">
        <w:rPr>
          <w:lang w:val="en-US"/>
        </w:rPr>
        <w:instrText>generally</w:instrText>
      </w:r>
      <w:r w:rsidR="002466C9" w:rsidRPr="00B929AC">
        <w:instrText xml:space="preserve"> </w:instrText>
      </w:r>
      <w:r w:rsidR="002466C9">
        <w:rPr>
          <w:lang w:val="en-US"/>
        </w:rPr>
        <w:instrText>omitted</w:instrText>
      </w:r>
      <w:r w:rsidR="002466C9" w:rsidRPr="00B929AC">
        <w:instrText xml:space="preserve">, </w:instrText>
      </w:r>
      <w:r w:rsidR="002466C9">
        <w:rPr>
          <w:lang w:val="en-US"/>
        </w:rPr>
        <w:instrText>and</w:instrText>
      </w:r>
      <w:r w:rsidR="002466C9" w:rsidRPr="00B929AC">
        <w:instrText xml:space="preserve"> </w:instrText>
      </w:r>
      <w:r w:rsidR="002466C9">
        <w:rPr>
          <w:lang w:val="en-US"/>
        </w:rPr>
        <w:instrText>considered</w:instrText>
      </w:r>
      <w:r w:rsidR="002466C9" w:rsidRPr="00B929AC">
        <w:instrText xml:space="preserve"> </w:instrText>
      </w:r>
      <w:r w:rsidR="002466C9">
        <w:rPr>
          <w:lang w:val="en-US"/>
        </w:rPr>
        <w:instrText>only</w:instrText>
      </w:r>
      <w:r w:rsidR="002466C9" w:rsidRPr="00B929AC">
        <w:instrText xml:space="preserve"> </w:instrText>
      </w:r>
      <w:r w:rsidR="002466C9">
        <w:rPr>
          <w:lang w:val="en-US"/>
        </w:rPr>
        <w:instrText>for</w:instrText>
      </w:r>
      <w:r w:rsidR="002466C9" w:rsidRPr="00B929AC">
        <w:instrText xml:space="preserve"> </w:instrText>
      </w:r>
      <w:r w:rsidR="002466C9">
        <w:rPr>
          <w:lang w:val="en-US"/>
        </w:rPr>
        <w:instrText>high</w:instrText>
      </w:r>
      <w:r w:rsidR="002466C9" w:rsidRPr="00B929AC">
        <w:instrText>-</w:instrText>
      </w:r>
      <w:r w:rsidR="002466C9">
        <w:rPr>
          <w:lang w:val="en-US"/>
        </w:rPr>
        <w:instrText>risk</w:instrText>
      </w:r>
      <w:r w:rsidR="002466C9" w:rsidRPr="00B929AC">
        <w:instrText xml:space="preserve"> </w:instrText>
      </w:r>
      <w:r w:rsidR="002466C9">
        <w:rPr>
          <w:lang w:val="en-US"/>
        </w:rPr>
        <w:instrText>patients</w:instrText>
      </w:r>
      <w:r w:rsidR="002466C9" w:rsidRPr="00B929AC">
        <w:instrText xml:space="preserve"> </w:instrText>
      </w:r>
      <w:r w:rsidR="002466C9">
        <w:rPr>
          <w:lang w:val="en-US"/>
        </w:rPr>
        <w:instrText>identified</w:instrText>
      </w:r>
      <w:r w:rsidR="002466C9" w:rsidRPr="00B929AC">
        <w:instrText xml:space="preserve"> </w:instrText>
      </w:r>
      <w:r w:rsidR="002466C9">
        <w:rPr>
          <w:lang w:val="en-US"/>
        </w:rPr>
        <w:instrText>through</w:instrText>
      </w:r>
      <w:r w:rsidR="002466C9" w:rsidRPr="00B929AC">
        <w:instrText xml:space="preserve"> </w:instrText>
      </w:r>
      <w:r w:rsidR="002466C9">
        <w:rPr>
          <w:lang w:val="en-US"/>
        </w:rPr>
        <w:instrText>postinduction</w:instrText>
      </w:r>
      <w:r w:rsidR="002466C9" w:rsidRPr="00B929AC">
        <w:instrText xml:space="preserve"> </w:instrText>
      </w:r>
      <w:r w:rsidR="002466C9">
        <w:rPr>
          <w:lang w:val="en-US"/>
        </w:rPr>
        <w:instrText>computed</w:instrText>
      </w:r>
      <w:r w:rsidR="002466C9" w:rsidRPr="00B929AC">
        <w:instrText xml:space="preserve"> </w:instrText>
      </w:r>
      <w:r w:rsidR="002466C9">
        <w:rPr>
          <w:lang w:val="en-US"/>
        </w:rPr>
        <w:instrText>tomography</w:instrText>
      </w:r>
      <w:r w:rsidR="002466C9" w:rsidRPr="00B929AC">
        <w:instrText>/</w:instrText>
      </w:r>
      <w:r w:rsidR="002466C9">
        <w:rPr>
          <w:lang w:val="en-US"/>
        </w:rPr>
        <w:instrText>positron</w:instrText>
      </w:r>
      <w:r w:rsidR="002466C9" w:rsidRPr="00B929AC">
        <w:instrText>-</w:instrText>
      </w:r>
      <w:r w:rsidR="002466C9">
        <w:rPr>
          <w:lang w:val="en-US"/>
        </w:rPr>
        <w:instrText>emission</w:instrText>
      </w:r>
      <w:r w:rsidR="002466C9" w:rsidRPr="00B929AC">
        <w:instrText xml:space="preserve"> </w:instrText>
      </w:r>
      <w:r w:rsidR="002466C9">
        <w:rPr>
          <w:lang w:val="en-US"/>
        </w:rPr>
        <w:instrText>tomography</w:instrText>
      </w:r>
      <w:r w:rsidR="002466C9" w:rsidRPr="00B929AC">
        <w:instrText xml:space="preserve"> </w:instrText>
      </w:r>
      <w:r w:rsidR="002466C9">
        <w:rPr>
          <w:lang w:val="en-US"/>
        </w:rPr>
        <w:instrText>scans</w:instrText>
      </w:r>
      <w:r w:rsidR="002466C9" w:rsidRPr="00B929AC">
        <w:instrText xml:space="preserve">, </w:instrText>
      </w:r>
      <w:r w:rsidR="002466C9">
        <w:rPr>
          <w:lang w:val="en-US"/>
        </w:rPr>
        <w:instrText>minimal</w:instrText>
      </w:r>
      <w:r w:rsidR="002466C9" w:rsidRPr="00B929AC">
        <w:instrText xml:space="preserve"> </w:instrText>
      </w:r>
      <w:r w:rsidR="002466C9">
        <w:rPr>
          <w:lang w:val="en-US"/>
        </w:rPr>
        <w:instrText>residual</w:instrText>
      </w:r>
      <w:r w:rsidR="002466C9" w:rsidRPr="00B929AC">
        <w:instrText xml:space="preserve"> </w:instrText>
      </w:r>
      <w:r w:rsidR="002466C9">
        <w:rPr>
          <w:lang w:val="en-US"/>
        </w:rPr>
        <w:instrText>disease</w:instrText>
      </w:r>
      <w:r w:rsidR="002466C9" w:rsidRPr="00B929AC">
        <w:instrText xml:space="preserve"> </w:instrText>
      </w:r>
      <w:r w:rsidR="002466C9">
        <w:rPr>
          <w:lang w:val="en-US"/>
        </w:rPr>
        <w:instrText>analysis</w:instrText>
      </w:r>
      <w:r w:rsidR="002466C9" w:rsidRPr="00B929AC">
        <w:instrText xml:space="preserve">, </w:instrText>
      </w:r>
      <w:r w:rsidR="002466C9">
        <w:rPr>
          <w:lang w:val="en-US"/>
        </w:rPr>
        <w:instrText>and</w:instrText>
      </w:r>
      <w:r w:rsidR="002466C9" w:rsidRPr="00B929AC">
        <w:instrText xml:space="preserve"> </w:instrText>
      </w:r>
      <w:r w:rsidR="002466C9">
        <w:rPr>
          <w:lang w:val="en-US"/>
        </w:rPr>
        <w:instrText>new</w:instrText>
      </w:r>
      <w:r w:rsidR="002466C9" w:rsidRPr="00B929AC">
        <w:instrText xml:space="preserve"> </w:instrText>
      </w:r>
      <w:r w:rsidR="002466C9">
        <w:rPr>
          <w:lang w:val="en-US"/>
        </w:rPr>
        <w:instrText>genetics</w:instrText>
      </w:r>
      <w:r w:rsidR="002466C9" w:rsidRPr="00B929AC">
        <w:instrText xml:space="preserve"> </w:instrText>
      </w:r>
      <w:r w:rsidR="002466C9">
        <w:rPr>
          <w:lang w:val="en-US"/>
        </w:rPr>
        <w:instrText>and</w:instrText>
      </w:r>
      <w:r w:rsidR="002466C9" w:rsidRPr="00B929AC">
        <w:instrText xml:space="preserve"> </w:instrText>
      </w:r>
      <w:r w:rsidR="002466C9">
        <w:rPr>
          <w:lang w:val="en-US"/>
        </w:rPr>
        <w:instrText>genomics</w:instrText>
      </w:r>
      <w:r w:rsidR="002466C9" w:rsidRPr="00B929AC">
        <w:instrText xml:space="preserve">. </w:instrText>
      </w:r>
      <w:r w:rsidR="002466C9">
        <w:rPr>
          <w:lang w:val="en-US"/>
        </w:rPr>
        <w:instrText>New</w:instrText>
      </w:r>
      <w:r w:rsidR="002466C9" w:rsidRPr="00B929AC">
        <w:instrText xml:space="preserve"> </w:instrText>
      </w:r>
      <w:r w:rsidR="002466C9">
        <w:rPr>
          <w:lang w:val="en-US"/>
        </w:rPr>
        <w:instrText>clinical</w:instrText>
      </w:r>
      <w:r w:rsidR="002466C9" w:rsidRPr="00B929AC">
        <w:instrText xml:space="preserve"> </w:instrText>
      </w:r>
      <w:r w:rsidR="002466C9">
        <w:rPr>
          <w:lang w:val="en-US"/>
        </w:rPr>
        <w:instrText>studies</w:instrText>
      </w:r>
      <w:r w:rsidR="002466C9" w:rsidRPr="00B929AC">
        <w:instrText xml:space="preserve"> </w:instrText>
      </w:r>
      <w:r w:rsidR="002466C9">
        <w:rPr>
          <w:lang w:val="en-US"/>
        </w:rPr>
        <w:instrText>will</w:instrText>
      </w:r>
      <w:r w:rsidR="002466C9" w:rsidRPr="00B929AC">
        <w:instrText xml:space="preserve"> </w:instrText>
      </w:r>
      <w:r w:rsidR="002466C9">
        <w:rPr>
          <w:lang w:val="en-US"/>
        </w:rPr>
        <w:instrText>have</w:instrText>
      </w:r>
      <w:r w:rsidR="002466C9" w:rsidRPr="00B929AC">
        <w:instrText xml:space="preserve"> </w:instrText>
      </w:r>
      <w:r w:rsidR="002466C9">
        <w:rPr>
          <w:lang w:val="en-US"/>
        </w:rPr>
        <w:instrText>to</w:instrText>
      </w:r>
      <w:r w:rsidR="002466C9" w:rsidRPr="00B929AC">
        <w:instrText xml:space="preserve"> </w:instrText>
      </w:r>
      <w:r w:rsidR="002466C9">
        <w:rPr>
          <w:lang w:val="en-US"/>
        </w:rPr>
        <w:instrText>confirm</w:instrText>
      </w:r>
      <w:r w:rsidR="002466C9" w:rsidRPr="00B929AC">
        <w:instrText xml:space="preserve"> </w:instrText>
      </w:r>
      <w:r w:rsidR="002466C9">
        <w:rPr>
          <w:lang w:val="en-US"/>
        </w:rPr>
        <w:instrText>the</w:instrText>
      </w:r>
      <w:r w:rsidR="002466C9" w:rsidRPr="00B929AC">
        <w:instrText xml:space="preserve"> </w:instrText>
      </w:r>
      <w:r w:rsidR="002466C9">
        <w:rPr>
          <w:lang w:val="en-US"/>
        </w:rPr>
        <w:instrText>value</w:instrText>
      </w:r>
      <w:r w:rsidR="002466C9" w:rsidRPr="00B929AC">
        <w:instrText xml:space="preserve"> </w:instrText>
      </w:r>
      <w:r w:rsidR="002466C9">
        <w:rPr>
          <w:lang w:val="en-US"/>
        </w:rPr>
        <w:instrText>of</w:instrText>
      </w:r>
      <w:r w:rsidR="002466C9" w:rsidRPr="00B929AC">
        <w:instrText xml:space="preserve"> </w:instrText>
      </w:r>
      <w:r w:rsidR="002466C9">
        <w:rPr>
          <w:lang w:val="en-US"/>
        </w:rPr>
        <w:instrText>these</w:instrText>
      </w:r>
      <w:r w:rsidR="002466C9" w:rsidRPr="00B929AC">
        <w:instrText xml:space="preserve"> </w:instrText>
      </w:r>
      <w:r w:rsidR="002466C9">
        <w:rPr>
          <w:lang w:val="en-US"/>
        </w:rPr>
        <w:instrText>assays</w:instrText>
      </w:r>
      <w:r w:rsidR="002466C9" w:rsidRPr="00B929AC">
        <w:instrText xml:space="preserve"> </w:instrText>
      </w:r>
      <w:r w:rsidR="002466C9">
        <w:rPr>
          <w:lang w:val="en-US"/>
        </w:rPr>
        <w:instrText>for</w:instrText>
      </w:r>
      <w:r w:rsidR="002466C9" w:rsidRPr="00B929AC">
        <w:instrText xml:space="preserve"> </w:instrText>
      </w:r>
      <w:r w:rsidR="002466C9">
        <w:rPr>
          <w:lang w:val="en-US"/>
        </w:rPr>
        <w:instrText>risk</w:instrText>
      </w:r>
      <w:r w:rsidR="002466C9" w:rsidRPr="00B929AC">
        <w:instrText>-</w:instrText>
      </w:r>
      <w:r w:rsidR="002466C9">
        <w:rPr>
          <w:lang w:val="en-US"/>
        </w:rPr>
        <w:instrText>oriented</w:instrText>
      </w:r>
      <w:r w:rsidR="002466C9" w:rsidRPr="00B929AC">
        <w:instrText xml:space="preserve"> </w:instrText>
      </w:r>
      <w:r w:rsidR="002466C9">
        <w:rPr>
          <w:lang w:val="en-US"/>
        </w:rPr>
        <w:instrText>therapy</w:instrText>
      </w:r>
      <w:r w:rsidR="002466C9" w:rsidRPr="00B929AC">
        <w:instrText xml:space="preserve">, </w:instrText>
      </w:r>
      <w:r w:rsidR="002466C9">
        <w:rPr>
          <w:lang w:val="en-US"/>
        </w:rPr>
        <w:instrText>while</w:instrText>
      </w:r>
      <w:r w:rsidR="002466C9" w:rsidRPr="00B929AC">
        <w:instrText xml:space="preserve"> </w:instrText>
      </w:r>
      <w:r w:rsidR="002466C9">
        <w:rPr>
          <w:lang w:val="en-US"/>
        </w:rPr>
        <w:instrText>further</w:instrText>
      </w:r>
      <w:r w:rsidR="002466C9" w:rsidRPr="00B929AC">
        <w:instrText xml:space="preserve"> </w:instrText>
      </w:r>
      <w:r w:rsidR="002466C9">
        <w:rPr>
          <w:lang w:val="en-US"/>
        </w:rPr>
        <w:instrText>therapeutic</w:instrText>
      </w:r>
      <w:r w:rsidR="002466C9" w:rsidRPr="00B929AC">
        <w:instrText xml:space="preserve"> </w:instrText>
      </w:r>
      <w:r w:rsidR="002466C9">
        <w:rPr>
          <w:lang w:val="en-US"/>
        </w:rPr>
        <w:instrText>progress</w:instrText>
      </w:r>
      <w:r w:rsidR="002466C9" w:rsidRPr="00B929AC">
        <w:instrText xml:space="preserve"> </w:instrText>
      </w:r>
      <w:r w:rsidR="002466C9">
        <w:rPr>
          <w:lang w:val="en-US"/>
        </w:rPr>
        <w:instrText>is</w:instrText>
      </w:r>
      <w:r w:rsidR="002466C9" w:rsidRPr="00B929AC">
        <w:instrText xml:space="preserve"> </w:instrText>
      </w:r>
      <w:r w:rsidR="002466C9">
        <w:rPr>
          <w:lang w:val="en-US"/>
        </w:rPr>
        <w:instrText>expected</w:instrText>
      </w:r>
      <w:r w:rsidR="002466C9" w:rsidRPr="00B929AC">
        <w:instrText xml:space="preserve"> </w:instrText>
      </w:r>
      <w:r w:rsidR="002466C9">
        <w:rPr>
          <w:lang w:val="en-US"/>
        </w:rPr>
        <w:instrText>from</w:instrText>
      </w:r>
      <w:r w:rsidR="002466C9" w:rsidRPr="00B929AC">
        <w:instrText xml:space="preserve"> </w:instrText>
      </w:r>
      <w:r w:rsidR="002466C9">
        <w:rPr>
          <w:lang w:val="en-US"/>
        </w:rPr>
        <w:instrText>the</w:instrText>
      </w:r>
      <w:r w:rsidR="002466C9" w:rsidRPr="00B929AC">
        <w:instrText xml:space="preserve"> </w:instrText>
      </w:r>
      <w:r w:rsidR="002466C9">
        <w:rPr>
          <w:lang w:val="en-US"/>
        </w:rPr>
        <w:instrText>introduction</w:instrText>
      </w:r>
      <w:r w:rsidR="002466C9" w:rsidRPr="00B929AC">
        <w:instrText xml:space="preserve"> </w:instrText>
      </w:r>
      <w:r w:rsidR="002466C9">
        <w:rPr>
          <w:lang w:val="en-US"/>
        </w:rPr>
        <w:instrText>of</w:instrText>
      </w:r>
      <w:r w:rsidR="002466C9" w:rsidRPr="00B929AC">
        <w:instrText xml:space="preserve"> </w:instrText>
      </w:r>
      <w:r w:rsidR="002466C9">
        <w:rPr>
          <w:lang w:val="en-US"/>
        </w:rPr>
        <w:instrText>new</w:instrText>
      </w:r>
      <w:r w:rsidR="002466C9" w:rsidRPr="00B929AC">
        <w:instrText xml:space="preserve"> </w:instrText>
      </w:r>
      <w:r w:rsidR="002466C9">
        <w:rPr>
          <w:lang w:val="en-US"/>
        </w:rPr>
        <w:instrText>drugs</w:instrText>
      </w:r>
      <w:r w:rsidR="002466C9" w:rsidRPr="00B929AC">
        <w:instrText xml:space="preserve"> </w:instrText>
      </w:r>
      <w:r w:rsidR="002466C9">
        <w:rPr>
          <w:lang w:val="en-US"/>
        </w:rPr>
        <w:instrText>and</w:instrText>
      </w:r>
      <w:r w:rsidR="002466C9" w:rsidRPr="00B929AC">
        <w:instrText xml:space="preserve"> </w:instrText>
      </w:r>
      <w:r w:rsidR="002466C9">
        <w:rPr>
          <w:lang w:val="en-US"/>
        </w:rPr>
        <w:instrText>targeting</w:instrText>
      </w:r>
      <w:r w:rsidR="002466C9" w:rsidRPr="00B929AC">
        <w:instrText xml:space="preserve"> </w:instrText>
      </w:r>
      <w:r w:rsidR="002466C9">
        <w:rPr>
          <w:lang w:val="en-US"/>
        </w:rPr>
        <w:instrText>agents</w:instrText>
      </w:r>
      <w:r w:rsidR="002466C9" w:rsidRPr="00B929AC">
        <w:instrText>.","</w:instrText>
      </w:r>
      <w:r w:rsidR="002466C9">
        <w:rPr>
          <w:lang w:val="en-US"/>
        </w:rPr>
        <w:instrText>author</w:instrText>
      </w:r>
      <w:r w:rsidR="002466C9" w:rsidRPr="00B929AC">
        <w:instrText>":[{"</w:instrText>
      </w:r>
      <w:r w:rsidR="002466C9">
        <w:rPr>
          <w:lang w:val="en-US"/>
        </w:rPr>
        <w:instrText>dropping</w:instrText>
      </w:r>
      <w:r w:rsidR="002466C9" w:rsidRPr="00B929AC">
        <w:instrText>-</w:instrText>
      </w:r>
      <w:r w:rsidR="002466C9">
        <w:rPr>
          <w:lang w:val="en-US"/>
        </w:rPr>
        <w:instrText>particle</w:instrText>
      </w:r>
      <w:r w:rsidR="002466C9" w:rsidRPr="00B929AC">
        <w:instrText>":"","</w:instrText>
      </w:r>
      <w:r w:rsidR="002466C9">
        <w:rPr>
          <w:lang w:val="en-US"/>
        </w:rPr>
        <w:instrText>family</w:instrText>
      </w:r>
      <w:r w:rsidR="002466C9" w:rsidRPr="00B929AC">
        <w:instrText>":"</w:instrText>
      </w:r>
      <w:r w:rsidR="002466C9">
        <w:rPr>
          <w:lang w:val="en-US"/>
        </w:rPr>
        <w:instrText>Bassan</w:instrText>
      </w:r>
      <w:r w:rsidR="002466C9" w:rsidRPr="00B929AC">
        <w:instrText>","</w:instrText>
      </w:r>
      <w:r w:rsidR="002466C9">
        <w:rPr>
          <w:lang w:val="en-US"/>
        </w:rPr>
        <w:instrText>given</w:instrText>
      </w:r>
      <w:r w:rsidR="002466C9" w:rsidRPr="00B929AC">
        <w:instrText>":"</w:instrText>
      </w:r>
      <w:r w:rsidR="002466C9">
        <w:rPr>
          <w:lang w:val="en-US"/>
        </w:rPr>
        <w:instrText>Renato</w:instrText>
      </w:r>
      <w:r w:rsidR="002466C9" w:rsidRPr="00B929AC">
        <w:instrText>","</w:instrText>
      </w:r>
      <w:r w:rsidR="002466C9">
        <w:rPr>
          <w:lang w:val="en-US"/>
        </w:rPr>
        <w:instrText>non</w:instrText>
      </w:r>
      <w:r w:rsidR="002466C9" w:rsidRPr="00B929AC">
        <w:instrText>-</w:instrText>
      </w:r>
      <w:r w:rsidR="002466C9">
        <w:rPr>
          <w:lang w:val="en-US"/>
        </w:rPr>
        <w:instrText>dropping</w:instrText>
      </w:r>
      <w:r w:rsidR="002466C9" w:rsidRPr="00B929AC">
        <w:instrText>-</w:instrText>
      </w:r>
      <w:r w:rsidR="002466C9">
        <w:rPr>
          <w:lang w:val="en-US"/>
        </w:rPr>
        <w:instrText>particle</w:instrText>
      </w:r>
      <w:r w:rsidR="002466C9" w:rsidRPr="00B929AC">
        <w:instrText>":"","</w:instrText>
      </w:r>
      <w:r w:rsidR="002466C9">
        <w:rPr>
          <w:lang w:val="en-US"/>
        </w:rPr>
        <w:instrText>parse</w:instrText>
      </w:r>
      <w:r w:rsidR="002466C9" w:rsidRPr="00B929AC">
        <w:instrText>-</w:instrText>
      </w:r>
      <w:r w:rsidR="002466C9">
        <w:rPr>
          <w:lang w:val="en-US"/>
        </w:rPr>
        <w:instrText>names</w:instrText>
      </w:r>
      <w:r w:rsidR="002466C9" w:rsidRPr="00B929AC">
        <w:instrText>":</w:instrText>
      </w:r>
      <w:r w:rsidR="002466C9">
        <w:rPr>
          <w:lang w:val="en-US"/>
        </w:rPr>
        <w:instrText>false</w:instrText>
      </w:r>
      <w:r w:rsidR="002466C9" w:rsidRPr="00B929AC">
        <w:instrText>,"</w:instrText>
      </w:r>
      <w:r w:rsidR="002466C9">
        <w:rPr>
          <w:lang w:val="en-US"/>
        </w:rPr>
        <w:instrText>suffix</w:instrText>
      </w:r>
      <w:r w:rsidR="002466C9" w:rsidRPr="00B929AC">
        <w:instrText>":""},{"</w:instrText>
      </w:r>
      <w:r w:rsidR="002466C9">
        <w:rPr>
          <w:lang w:val="en-US"/>
        </w:rPr>
        <w:instrText>dropping</w:instrText>
      </w:r>
      <w:r w:rsidR="002466C9" w:rsidRPr="00B929AC">
        <w:instrText>-</w:instrText>
      </w:r>
      <w:r w:rsidR="002466C9">
        <w:rPr>
          <w:lang w:val="en-US"/>
        </w:rPr>
        <w:instrText>particle</w:instrText>
      </w:r>
      <w:r w:rsidR="002466C9" w:rsidRPr="00B929AC">
        <w:instrText>":"","</w:instrText>
      </w:r>
      <w:r w:rsidR="002466C9">
        <w:rPr>
          <w:lang w:val="en-US"/>
        </w:rPr>
        <w:instrText>family</w:instrText>
      </w:r>
      <w:r w:rsidR="002466C9" w:rsidRPr="00B929AC">
        <w:instrText>":"</w:instrText>
      </w:r>
      <w:r w:rsidR="002466C9">
        <w:rPr>
          <w:lang w:val="en-US"/>
        </w:rPr>
        <w:instrText>Maino</w:instrText>
      </w:r>
      <w:r w:rsidR="002466C9" w:rsidRPr="00B929AC">
        <w:instrText>","</w:instrText>
      </w:r>
      <w:r w:rsidR="002466C9">
        <w:rPr>
          <w:lang w:val="en-US"/>
        </w:rPr>
        <w:instrText>given</w:instrText>
      </w:r>
      <w:r w:rsidR="002466C9" w:rsidRPr="00B929AC">
        <w:instrText>":"</w:instrText>
      </w:r>
      <w:r w:rsidR="002466C9">
        <w:rPr>
          <w:lang w:val="en-US"/>
        </w:rPr>
        <w:instrText>Elena</w:instrText>
      </w:r>
      <w:r w:rsidR="002466C9" w:rsidRPr="00B929AC">
        <w:instrText>","</w:instrText>
      </w:r>
      <w:r w:rsidR="002466C9">
        <w:rPr>
          <w:lang w:val="en-US"/>
        </w:rPr>
        <w:instrText>non</w:instrText>
      </w:r>
      <w:r w:rsidR="002466C9" w:rsidRPr="00B929AC">
        <w:instrText>-</w:instrText>
      </w:r>
      <w:r w:rsidR="002466C9">
        <w:rPr>
          <w:lang w:val="en-US"/>
        </w:rPr>
        <w:instrText>dropping</w:instrText>
      </w:r>
      <w:r w:rsidR="002466C9" w:rsidRPr="00B929AC">
        <w:instrText>-</w:instrText>
      </w:r>
      <w:r w:rsidR="002466C9">
        <w:rPr>
          <w:lang w:val="en-US"/>
        </w:rPr>
        <w:instrText>particle</w:instrText>
      </w:r>
      <w:r w:rsidR="002466C9" w:rsidRPr="00B929AC">
        <w:instrText>":"","</w:instrText>
      </w:r>
      <w:r w:rsidR="002466C9">
        <w:rPr>
          <w:lang w:val="en-US"/>
        </w:rPr>
        <w:instrText>parse</w:instrText>
      </w:r>
      <w:r w:rsidR="002466C9" w:rsidRPr="00B929AC">
        <w:instrText>-</w:instrText>
      </w:r>
      <w:r w:rsidR="002466C9">
        <w:rPr>
          <w:lang w:val="en-US"/>
        </w:rPr>
        <w:instrText>names</w:instrText>
      </w:r>
      <w:r w:rsidR="002466C9" w:rsidRPr="00B929AC">
        <w:instrText>":</w:instrText>
      </w:r>
      <w:r w:rsidR="002466C9">
        <w:rPr>
          <w:lang w:val="en-US"/>
        </w:rPr>
        <w:instrText>false</w:instrText>
      </w:r>
      <w:r w:rsidR="002466C9" w:rsidRPr="00B929AC">
        <w:instrText>,"</w:instrText>
      </w:r>
      <w:r w:rsidR="002466C9">
        <w:rPr>
          <w:lang w:val="en-US"/>
        </w:rPr>
        <w:instrText>suffix</w:instrText>
      </w:r>
      <w:r w:rsidR="002466C9" w:rsidRPr="00B929AC">
        <w:instrText>":""},{"</w:instrText>
      </w:r>
      <w:r w:rsidR="002466C9">
        <w:rPr>
          <w:lang w:val="en-US"/>
        </w:rPr>
        <w:instrText>dropping</w:instrText>
      </w:r>
      <w:r w:rsidR="002466C9" w:rsidRPr="00B929AC">
        <w:instrText>-</w:instrText>
      </w:r>
      <w:r w:rsidR="002466C9">
        <w:rPr>
          <w:lang w:val="en-US"/>
        </w:rPr>
        <w:instrText>particle</w:instrText>
      </w:r>
      <w:r w:rsidR="002466C9" w:rsidRPr="00B929AC">
        <w:instrText>":"","</w:instrText>
      </w:r>
      <w:r w:rsidR="002466C9">
        <w:rPr>
          <w:lang w:val="en-US"/>
        </w:rPr>
        <w:instrText>family</w:instrText>
      </w:r>
      <w:r w:rsidR="002466C9" w:rsidRPr="00B929AC">
        <w:instrText>":"</w:instrText>
      </w:r>
      <w:r w:rsidR="002466C9">
        <w:rPr>
          <w:lang w:val="en-US"/>
        </w:rPr>
        <w:instrText>Cortelazzo</w:instrText>
      </w:r>
      <w:r w:rsidR="002466C9" w:rsidRPr="00B929AC">
        <w:instrText>","</w:instrText>
      </w:r>
      <w:r w:rsidR="002466C9">
        <w:rPr>
          <w:lang w:val="en-US"/>
        </w:rPr>
        <w:instrText>given</w:instrText>
      </w:r>
      <w:r w:rsidR="002466C9" w:rsidRPr="00B929AC">
        <w:instrText>":"</w:instrText>
      </w:r>
      <w:r w:rsidR="002466C9">
        <w:rPr>
          <w:lang w:val="en-US"/>
        </w:rPr>
        <w:instrText>Sergio</w:instrText>
      </w:r>
      <w:r w:rsidR="002466C9" w:rsidRPr="00B929AC">
        <w:instrText>","</w:instrText>
      </w:r>
      <w:r w:rsidR="002466C9">
        <w:rPr>
          <w:lang w:val="en-US"/>
        </w:rPr>
        <w:instrText>non</w:instrText>
      </w:r>
      <w:r w:rsidR="002466C9" w:rsidRPr="00B929AC">
        <w:instrText>-</w:instrText>
      </w:r>
      <w:r w:rsidR="002466C9">
        <w:rPr>
          <w:lang w:val="en-US"/>
        </w:rPr>
        <w:instrText>dropping</w:instrText>
      </w:r>
      <w:r w:rsidR="002466C9" w:rsidRPr="00B929AC">
        <w:instrText>-</w:instrText>
      </w:r>
      <w:r w:rsidR="002466C9">
        <w:rPr>
          <w:lang w:val="en-US"/>
        </w:rPr>
        <w:instrText>particle</w:instrText>
      </w:r>
      <w:r w:rsidR="002466C9" w:rsidRPr="00B929AC">
        <w:instrText>":"","</w:instrText>
      </w:r>
      <w:r w:rsidR="002466C9">
        <w:rPr>
          <w:lang w:val="en-US"/>
        </w:rPr>
        <w:instrText>parse</w:instrText>
      </w:r>
      <w:r w:rsidR="002466C9" w:rsidRPr="00B929AC">
        <w:instrText>-</w:instrText>
      </w:r>
      <w:r w:rsidR="002466C9">
        <w:rPr>
          <w:lang w:val="en-US"/>
        </w:rPr>
        <w:instrText>names</w:instrText>
      </w:r>
      <w:r w:rsidR="002466C9" w:rsidRPr="00B929AC">
        <w:instrText>":</w:instrText>
      </w:r>
      <w:r w:rsidR="002466C9">
        <w:rPr>
          <w:lang w:val="en-US"/>
        </w:rPr>
        <w:instrText>false</w:instrText>
      </w:r>
      <w:r w:rsidR="002466C9" w:rsidRPr="00B929AC">
        <w:instrText>,"</w:instrText>
      </w:r>
      <w:r w:rsidR="002466C9">
        <w:rPr>
          <w:lang w:val="en-US"/>
        </w:rPr>
        <w:instrText>suffix</w:instrText>
      </w:r>
      <w:r w:rsidR="002466C9" w:rsidRPr="00B929AC">
        <w:instrText>":""}],"</w:instrText>
      </w:r>
      <w:r w:rsidR="002466C9">
        <w:rPr>
          <w:lang w:val="en-US"/>
        </w:rPr>
        <w:instrText>container</w:instrText>
      </w:r>
      <w:r w:rsidR="002466C9" w:rsidRPr="00B929AC">
        <w:instrText>-</w:instrText>
      </w:r>
      <w:r w:rsidR="002466C9">
        <w:rPr>
          <w:lang w:val="en-US"/>
        </w:rPr>
        <w:instrText>title</w:instrText>
      </w:r>
      <w:r w:rsidR="002466C9" w:rsidRPr="00B929AC">
        <w:instrText>":"</w:instrText>
      </w:r>
      <w:r w:rsidR="002466C9">
        <w:rPr>
          <w:lang w:val="en-US"/>
        </w:rPr>
        <w:instrText>European</w:instrText>
      </w:r>
      <w:r w:rsidR="002466C9" w:rsidRPr="00B929AC">
        <w:instrText xml:space="preserve"> </w:instrText>
      </w:r>
      <w:r w:rsidR="002466C9">
        <w:rPr>
          <w:lang w:val="en-US"/>
        </w:rPr>
        <w:instrText>journal</w:instrText>
      </w:r>
      <w:r w:rsidR="002466C9" w:rsidRPr="00B929AC">
        <w:instrText xml:space="preserve"> </w:instrText>
      </w:r>
      <w:r w:rsidR="002466C9">
        <w:rPr>
          <w:lang w:val="en-US"/>
        </w:rPr>
        <w:instrText>of</w:instrText>
      </w:r>
      <w:r w:rsidR="002466C9" w:rsidRPr="00B929AC">
        <w:instrText xml:space="preserve"> </w:instrText>
      </w:r>
      <w:r w:rsidR="002466C9">
        <w:rPr>
          <w:lang w:val="en-US"/>
        </w:rPr>
        <w:instrText>haematology</w:instrText>
      </w:r>
      <w:r w:rsidR="002466C9" w:rsidRPr="00B929AC">
        <w:instrText>","</w:instrText>
      </w:r>
      <w:r w:rsidR="002466C9">
        <w:rPr>
          <w:lang w:val="en-US"/>
        </w:rPr>
        <w:instrText>id</w:instrText>
      </w:r>
      <w:r w:rsidR="002466C9" w:rsidRPr="00B929AC">
        <w:instrText>":"</w:instrText>
      </w:r>
      <w:r w:rsidR="002466C9">
        <w:rPr>
          <w:lang w:val="en-US"/>
        </w:rPr>
        <w:instrText>ITEM</w:instrText>
      </w:r>
      <w:r w:rsidR="002466C9" w:rsidRPr="00B929AC">
        <w:instrText>-1","</w:instrText>
      </w:r>
      <w:r w:rsidR="002466C9">
        <w:rPr>
          <w:lang w:val="en-US"/>
        </w:rPr>
        <w:instrText>issue</w:instrText>
      </w:r>
      <w:r w:rsidR="002466C9" w:rsidRPr="00B929AC">
        <w:instrText>":"5","</w:instrText>
      </w:r>
      <w:r w:rsidR="002466C9">
        <w:rPr>
          <w:lang w:val="en-US"/>
        </w:rPr>
        <w:instrText>issued</w:instrText>
      </w:r>
      <w:r w:rsidR="002466C9" w:rsidRPr="00B929AC">
        <w:instrText>":{"</w:instrText>
      </w:r>
      <w:r w:rsidR="002466C9">
        <w:rPr>
          <w:lang w:val="en-US"/>
        </w:rPr>
        <w:instrText>date</w:instrText>
      </w:r>
      <w:r w:rsidR="002466C9" w:rsidRPr="00B929AC">
        <w:instrText>-</w:instrText>
      </w:r>
      <w:r w:rsidR="002466C9">
        <w:rPr>
          <w:lang w:val="en-US"/>
        </w:rPr>
        <w:instrText>parts</w:instrText>
      </w:r>
      <w:r w:rsidR="002466C9" w:rsidRPr="00B929AC">
        <w:instrText>":[["2016","5"]]},"</w:instrText>
      </w:r>
      <w:r w:rsidR="002466C9">
        <w:rPr>
          <w:lang w:val="en-US"/>
        </w:rPr>
        <w:instrText>page</w:instrText>
      </w:r>
      <w:r w:rsidR="002466C9" w:rsidRPr="00B929AC">
        <w:instrText>":"447-60","</w:instrText>
      </w:r>
      <w:r w:rsidR="002466C9">
        <w:rPr>
          <w:lang w:val="en-US"/>
        </w:rPr>
        <w:instrText>title</w:instrText>
      </w:r>
      <w:r w:rsidR="002466C9" w:rsidRPr="00B929AC">
        <w:instrText>":"</w:instrText>
      </w:r>
      <w:r w:rsidR="002466C9">
        <w:rPr>
          <w:lang w:val="en-US"/>
        </w:rPr>
        <w:instrText>Lymphoblastic</w:instrText>
      </w:r>
      <w:r w:rsidR="002466C9" w:rsidRPr="00B929AC">
        <w:instrText xml:space="preserve"> </w:instrText>
      </w:r>
      <w:r w:rsidR="002466C9">
        <w:rPr>
          <w:lang w:val="en-US"/>
        </w:rPr>
        <w:instrText>lymphoma</w:instrText>
      </w:r>
      <w:r w:rsidR="002466C9" w:rsidRPr="00B929AC">
        <w:instrText xml:space="preserve">: </w:instrText>
      </w:r>
      <w:r w:rsidR="002466C9">
        <w:rPr>
          <w:lang w:val="en-US"/>
        </w:rPr>
        <w:instrText>an</w:instrText>
      </w:r>
      <w:r w:rsidR="002466C9" w:rsidRPr="00B929AC">
        <w:instrText xml:space="preserve"> </w:instrText>
      </w:r>
      <w:r w:rsidR="002466C9">
        <w:rPr>
          <w:lang w:val="en-US"/>
        </w:rPr>
        <w:instrText>updated</w:instrText>
      </w:r>
      <w:r w:rsidR="002466C9" w:rsidRPr="00B929AC">
        <w:instrText xml:space="preserve"> </w:instrText>
      </w:r>
      <w:r w:rsidR="002466C9">
        <w:rPr>
          <w:lang w:val="en-US"/>
        </w:rPr>
        <w:instrText>review</w:instrText>
      </w:r>
      <w:r w:rsidR="002466C9" w:rsidRPr="00B929AC">
        <w:instrText xml:space="preserve"> </w:instrText>
      </w:r>
      <w:r w:rsidR="002466C9">
        <w:rPr>
          <w:lang w:val="en-US"/>
        </w:rPr>
        <w:instrText>on</w:instrText>
      </w:r>
      <w:r w:rsidR="002466C9" w:rsidRPr="00B929AC">
        <w:instrText xml:space="preserve"> </w:instrText>
      </w:r>
      <w:r w:rsidR="002466C9">
        <w:rPr>
          <w:lang w:val="en-US"/>
        </w:rPr>
        <w:instrText>biology</w:instrText>
      </w:r>
      <w:r w:rsidR="002466C9" w:rsidRPr="00B929AC">
        <w:instrText xml:space="preserve">, </w:instrText>
      </w:r>
      <w:r w:rsidR="002466C9">
        <w:rPr>
          <w:lang w:val="en-US"/>
        </w:rPr>
        <w:instrText>diagnosis</w:instrText>
      </w:r>
      <w:r w:rsidR="002466C9" w:rsidRPr="00B929AC">
        <w:instrText xml:space="preserve">, </w:instrText>
      </w:r>
      <w:r w:rsidR="002466C9">
        <w:rPr>
          <w:lang w:val="en-US"/>
        </w:rPr>
        <w:instrText>and</w:instrText>
      </w:r>
      <w:r w:rsidR="002466C9" w:rsidRPr="00B929AC">
        <w:instrText xml:space="preserve"> </w:instrText>
      </w:r>
      <w:r w:rsidR="002466C9">
        <w:rPr>
          <w:lang w:val="en-US"/>
        </w:rPr>
        <w:instrText>treatment</w:instrText>
      </w:r>
      <w:r w:rsidR="002466C9" w:rsidRPr="00B929AC">
        <w:instrText>.","</w:instrText>
      </w:r>
      <w:r w:rsidR="002466C9">
        <w:rPr>
          <w:lang w:val="en-US"/>
        </w:rPr>
        <w:instrText>type</w:instrText>
      </w:r>
      <w:r w:rsidR="002466C9" w:rsidRPr="00B929AC">
        <w:instrText>":"</w:instrText>
      </w:r>
      <w:r w:rsidR="002466C9">
        <w:rPr>
          <w:lang w:val="en-US"/>
        </w:rPr>
        <w:instrText>article</w:instrText>
      </w:r>
      <w:r w:rsidR="002466C9" w:rsidRPr="00B929AC">
        <w:instrText>-</w:instrText>
      </w:r>
      <w:r w:rsidR="002466C9">
        <w:rPr>
          <w:lang w:val="en-US"/>
        </w:rPr>
        <w:instrText>journal</w:instrText>
      </w:r>
      <w:r w:rsidR="002466C9" w:rsidRPr="00B929AC">
        <w:instrText>","</w:instrText>
      </w:r>
      <w:r w:rsidR="002466C9">
        <w:rPr>
          <w:lang w:val="en-US"/>
        </w:rPr>
        <w:instrText>volume</w:instrText>
      </w:r>
      <w:r w:rsidR="002466C9" w:rsidRPr="00B929AC">
        <w:instrText>":"96"},"</w:instrText>
      </w:r>
      <w:r w:rsidR="002466C9">
        <w:rPr>
          <w:lang w:val="en-US"/>
        </w:rPr>
        <w:instrText>uris</w:instrText>
      </w:r>
      <w:r w:rsidR="002466C9" w:rsidRPr="00B929AC">
        <w:instrText>":["</w:instrText>
      </w:r>
      <w:r w:rsidR="002466C9">
        <w:rPr>
          <w:lang w:val="en-US"/>
        </w:rPr>
        <w:instrText>http</w:instrText>
      </w:r>
      <w:r w:rsidR="002466C9" w:rsidRPr="00B929AC">
        <w:instrText>://</w:instrText>
      </w:r>
      <w:r w:rsidR="002466C9">
        <w:rPr>
          <w:lang w:val="en-US"/>
        </w:rPr>
        <w:instrText>www</w:instrText>
      </w:r>
      <w:r w:rsidR="002466C9" w:rsidRPr="00B929AC">
        <w:instrText>.</w:instrText>
      </w:r>
      <w:r w:rsidR="002466C9">
        <w:rPr>
          <w:lang w:val="en-US"/>
        </w:rPr>
        <w:instrText>mendeley</w:instrText>
      </w:r>
      <w:r w:rsidR="002466C9" w:rsidRPr="00B929AC">
        <w:instrText>.</w:instrText>
      </w:r>
      <w:r w:rsidR="002466C9">
        <w:rPr>
          <w:lang w:val="en-US"/>
        </w:rPr>
        <w:instrText>com</w:instrText>
      </w:r>
      <w:r w:rsidR="002466C9" w:rsidRPr="00B929AC">
        <w:instrText>/</w:instrText>
      </w:r>
      <w:r w:rsidR="002466C9">
        <w:rPr>
          <w:lang w:val="en-US"/>
        </w:rPr>
        <w:instrText>documents</w:instrText>
      </w:r>
      <w:r w:rsidR="002466C9" w:rsidRPr="00B929AC">
        <w:instrText>/?</w:instrText>
      </w:r>
      <w:r w:rsidR="002466C9">
        <w:rPr>
          <w:lang w:val="en-US"/>
        </w:rPr>
        <w:instrText>uuid</w:instrText>
      </w:r>
      <w:r w:rsidR="002466C9" w:rsidRPr="00B929AC">
        <w:instrText>=7</w:instrText>
      </w:r>
      <w:r w:rsidR="002466C9">
        <w:rPr>
          <w:lang w:val="en-US"/>
        </w:rPr>
        <w:instrText>feba</w:instrText>
      </w:r>
      <w:r w:rsidR="002466C9" w:rsidRPr="00B929AC">
        <w:instrText>565-014</w:instrText>
      </w:r>
      <w:r w:rsidR="002466C9">
        <w:rPr>
          <w:lang w:val="en-US"/>
        </w:rPr>
        <w:instrText>f</w:instrText>
      </w:r>
      <w:r w:rsidR="002466C9" w:rsidRPr="00B929AC">
        <w:instrText>-3600-86</w:instrText>
      </w:r>
      <w:r w:rsidR="002466C9">
        <w:rPr>
          <w:lang w:val="en-US"/>
        </w:rPr>
        <w:instrText>ec</w:instrText>
      </w:r>
      <w:r w:rsidR="002466C9" w:rsidRPr="00B929AC">
        <w:instrText>-0963</w:instrText>
      </w:r>
      <w:r w:rsidR="002466C9">
        <w:rPr>
          <w:lang w:val="en-US"/>
        </w:rPr>
        <w:instrText>b</w:instrText>
      </w:r>
      <w:r w:rsidR="002466C9" w:rsidRPr="00B929AC">
        <w:instrText>3</w:instrText>
      </w:r>
      <w:r w:rsidR="002466C9">
        <w:rPr>
          <w:lang w:val="en-US"/>
        </w:rPr>
        <w:instrText>e</w:instrText>
      </w:r>
      <w:r w:rsidR="002466C9" w:rsidRPr="00B929AC">
        <w:instrText>847</w:instrText>
      </w:r>
      <w:r w:rsidR="002466C9">
        <w:rPr>
          <w:lang w:val="en-US"/>
        </w:rPr>
        <w:instrText>bb</w:instrText>
      </w:r>
      <w:r w:rsidR="002466C9" w:rsidRPr="00B929AC">
        <w:instrText>"]},{"</w:instrText>
      </w:r>
      <w:r w:rsidR="002466C9">
        <w:rPr>
          <w:lang w:val="en-US"/>
        </w:rPr>
        <w:instrText>id</w:instrText>
      </w:r>
      <w:r w:rsidR="002466C9" w:rsidRPr="00B929AC">
        <w:instrText>":"</w:instrText>
      </w:r>
      <w:r w:rsidR="002466C9">
        <w:rPr>
          <w:lang w:val="en-US"/>
        </w:rPr>
        <w:instrText>ITEM</w:instrText>
      </w:r>
      <w:r w:rsidR="002466C9" w:rsidRPr="00B929AC">
        <w:instrText>-2","</w:instrText>
      </w:r>
      <w:r w:rsidR="002466C9">
        <w:rPr>
          <w:lang w:val="en-US"/>
        </w:rPr>
        <w:instrText>itemData</w:instrText>
      </w:r>
      <w:r w:rsidR="002466C9" w:rsidRPr="00B929AC">
        <w:instrText>":{"</w:instrText>
      </w:r>
      <w:r w:rsidR="002466C9">
        <w:rPr>
          <w:lang w:val="en-US"/>
        </w:rPr>
        <w:instrText>DOI</w:instrText>
      </w:r>
      <w:r w:rsidR="002466C9" w:rsidRPr="00B929AC">
        <w:instrText>":"10.1016/</w:instrText>
      </w:r>
      <w:r w:rsidR="002466C9">
        <w:rPr>
          <w:lang w:val="en-US"/>
        </w:rPr>
        <w:instrText>j</w:instrText>
      </w:r>
      <w:r w:rsidR="002466C9" w:rsidRPr="00B929AC">
        <w:instrText>.</w:instrText>
      </w:r>
      <w:r w:rsidR="002466C9">
        <w:rPr>
          <w:lang w:val="en-US"/>
        </w:rPr>
        <w:instrText>critrevonc</w:instrText>
      </w:r>
      <w:r w:rsidR="002466C9" w:rsidRPr="00B929AC">
        <w:instrText>.2017.03.020","</w:instrText>
      </w:r>
      <w:r w:rsidR="002466C9">
        <w:rPr>
          <w:lang w:val="en-US"/>
        </w:rPr>
        <w:instrText>ISSN</w:instrText>
      </w:r>
      <w:r w:rsidR="002466C9" w:rsidRPr="00B929AC">
        <w:instrText>":"1879-0461","</w:instrText>
      </w:r>
      <w:r w:rsidR="002466C9">
        <w:rPr>
          <w:lang w:val="en-US"/>
        </w:rPr>
        <w:instrText>PMID</w:instrText>
      </w:r>
      <w:r w:rsidR="002466C9" w:rsidRPr="00B929AC">
        <w:instrText>":"28427520","</w:instrText>
      </w:r>
      <w:r w:rsidR="002466C9">
        <w:rPr>
          <w:lang w:val="en-US"/>
        </w:rPr>
        <w:instrText>abstract</w:instrText>
      </w:r>
      <w:r w:rsidR="002466C9" w:rsidRPr="00B929AC">
        <w:instrText>":"</w:instrText>
      </w:r>
      <w:r w:rsidR="002466C9">
        <w:rPr>
          <w:lang w:val="en-US"/>
        </w:rPr>
        <w:instrText>Lymphoblastic</w:instrText>
      </w:r>
      <w:r w:rsidR="002466C9" w:rsidRPr="00B929AC">
        <w:instrText xml:space="preserve"> </w:instrText>
      </w:r>
      <w:r w:rsidR="002466C9">
        <w:rPr>
          <w:lang w:val="en-US"/>
        </w:rPr>
        <w:instrText>lymphoma</w:instrText>
      </w:r>
      <w:r w:rsidR="002466C9" w:rsidRPr="00B929AC">
        <w:instrText xml:space="preserve"> (</w:instrText>
      </w:r>
      <w:r w:rsidR="002466C9">
        <w:rPr>
          <w:lang w:val="en-US"/>
        </w:rPr>
        <w:instrText>LBL</w:instrText>
      </w:r>
      <w:r w:rsidR="002466C9" w:rsidRPr="00B929AC">
        <w:instrText xml:space="preserve">) </w:instrText>
      </w:r>
      <w:r w:rsidR="002466C9">
        <w:rPr>
          <w:lang w:val="en-US"/>
        </w:rPr>
        <w:instrText>is</w:instrText>
      </w:r>
      <w:r w:rsidR="002466C9" w:rsidRPr="00B929AC">
        <w:instrText xml:space="preserve"> </w:instrText>
      </w:r>
      <w:r w:rsidR="002466C9">
        <w:rPr>
          <w:lang w:val="en-US"/>
        </w:rPr>
        <w:instrText>a</w:instrText>
      </w:r>
      <w:r w:rsidR="002466C9" w:rsidRPr="00B929AC">
        <w:instrText xml:space="preserve"> </w:instrText>
      </w:r>
      <w:r w:rsidR="002466C9">
        <w:rPr>
          <w:lang w:val="en-US"/>
        </w:rPr>
        <w:instrText>neoplasm</w:instrText>
      </w:r>
      <w:r w:rsidR="002466C9" w:rsidRPr="00B929AC">
        <w:instrText xml:space="preserve"> </w:instrText>
      </w:r>
      <w:r w:rsidR="002466C9">
        <w:rPr>
          <w:lang w:val="en-US"/>
        </w:rPr>
        <w:instrText>of</w:instrText>
      </w:r>
      <w:r w:rsidR="002466C9" w:rsidRPr="00B929AC">
        <w:instrText xml:space="preserve"> </w:instrText>
      </w:r>
      <w:r w:rsidR="002466C9">
        <w:rPr>
          <w:lang w:val="en-US"/>
        </w:rPr>
        <w:instrText>immature</w:instrText>
      </w:r>
      <w:r w:rsidR="002466C9" w:rsidRPr="00B929AC">
        <w:instrText xml:space="preserve"> </w:instrText>
      </w:r>
      <w:r w:rsidR="002466C9">
        <w:rPr>
          <w:lang w:val="en-US"/>
        </w:rPr>
        <w:instrText>B</w:instrText>
      </w:r>
      <w:r w:rsidR="002466C9" w:rsidRPr="00B929AC">
        <w:instrText xml:space="preserve"> </w:instrText>
      </w:r>
      <w:r w:rsidR="002466C9">
        <w:rPr>
          <w:lang w:val="en-US"/>
        </w:rPr>
        <w:instrText>cells</w:instrText>
      </w:r>
      <w:r w:rsidR="002466C9" w:rsidRPr="00B929AC">
        <w:instrText xml:space="preserve"> </w:instrText>
      </w:r>
      <w:r w:rsidR="002466C9">
        <w:rPr>
          <w:lang w:val="en-US"/>
        </w:rPr>
        <w:instrText>committed</w:instrText>
      </w:r>
      <w:r w:rsidR="002466C9" w:rsidRPr="00B929AC">
        <w:instrText xml:space="preserve"> </w:instrText>
      </w:r>
      <w:r w:rsidR="002466C9">
        <w:rPr>
          <w:lang w:val="en-US"/>
        </w:rPr>
        <w:instrText>to</w:instrText>
      </w:r>
      <w:r w:rsidR="002466C9" w:rsidRPr="00B929AC">
        <w:instrText xml:space="preserve"> </w:instrText>
      </w:r>
      <w:r w:rsidR="002466C9">
        <w:rPr>
          <w:lang w:val="en-US"/>
        </w:rPr>
        <w:instrText>the</w:instrText>
      </w:r>
      <w:r w:rsidR="002466C9" w:rsidRPr="00B929AC">
        <w:instrText xml:space="preserve"> </w:instrText>
      </w:r>
      <w:r w:rsidR="002466C9">
        <w:rPr>
          <w:lang w:val="en-US"/>
        </w:rPr>
        <w:instrText>B</w:instrText>
      </w:r>
      <w:r w:rsidR="002466C9" w:rsidRPr="00B929AC">
        <w:instrText>-(</w:instrText>
      </w:r>
      <w:r w:rsidR="002466C9">
        <w:rPr>
          <w:lang w:val="en-US"/>
        </w:rPr>
        <w:instrText>B</w:instrText>
      </w:r>
      <w:r w:rsidR="002466C9" w:rsidRPr="00B929AC">
        <w:instrText>-</w:instrText>
      </w:r>
      <w:r w:rsidR="002466C9">
        <w:rPr>
          <w:lang w:val="en-US"/>
        </w:rPr>
        <w:instrText>LBL</w:instrText>
      </w:r>
      <w:r w:rsidR="002466C9" w:rsidRPr="00B929AC">
        <w:instrText xml:space="preserve">) </w:instrText>
      </w:r>
      <w:r w:rsidR="002466C9">
        <w:rPr>
          <w:lang w:val="en-US"/>
        </w:rPr>
        <w:instrText>or</w:instrText>
      </w:r>
      <w:r w:rsidR="002466C9" w:rsidRPr="00B929AC">
        <w:instrText xml:space="preserve"> </w:instrText>
      </w:r>
      <w:r w:rsidR="002466C9">
        <w:rPr>
          <w:lang w:val="en-US"/>
        </w:rPr>
        <w:instrText>T</w:instrText>
      </w:r>
      <w:r w:rsidR="002466C9" w:rsidRPr="00B929AC">
        <w:instrText>-</w:instrText>
      </w:r>
      <w:r w:rsidR="002466C9">
        <w:rPr>
          <w:lang w:val="en-US"/>
        </w:rPr>
        <w:instrText>cell</w:instrText>
      </w:r>
      <w:r w:rsidR="002466C9" w:rsidRPr="00B929AC">
        <w:instrText xml:space="preserve"> </w:instrText>
      </w:r>
      <w:r w:rsidR="002466C9">
        <w:rPr>
          <w:lang w:val="en-US"/>
        </w:rPr>
        <w:instrText>lineage</w:instrText>
      </w:r>
      <w:r w:rsidR="002466C9" w:rsidRPr="00B929AC">
        <w:instrText xml:space="preserve"> (</w:instrText>
      </w:r>
      <w:r w:rsidR="002466C9">
        <w:rPr>
          <w:lang w:val="en-US"/>
        </w:rPr>
        <w:instrText>T</w:instrText>
      </w:r>
      <w:r w:rsidR="002466C9" w:rsidRPr="00B929AC">
        <w:instrText>-</w:instrText>
      </w:r>
      <w:r w:rsidR="002466C9">
        <w:rPr>
          <w:lang w:val="en-US"/>
        </w:rPr>
        <w:instrText>LBL</w:instrText>
      </w:r>
      <w:r w:rsidR="002466C9" w:rsidRPr="00B929AC">
        <w:instrText xml:space="preserve">) </w:instrText>
      </w:r>
      <w:r w:rsidR="002466C9">
        <w:rPr>
          <w:lang w:val="en-US"/>
        </w:rPr>
        <w:instrText>that</w:instrText>
      </w:r>
      <w:r w:rsidR="002466C9" w:rsidRPr="00B929AC">
        <w:instrText xml:space="preserve"> </w:instrText>
      </w:r>
      <w:r w:rsidR="002466C9">
        <w:rPr>
          <w:lang w:val="en-US"/>
        </w:rPr>
        <w:instrText>accounts</w:instrText>
      </w:r>
      <w:r w:rsidR="002466C9" w:rsidRPr="00B929AC">
        <w:instrText xml:space="preserve"> </w:instrText>
      </w:r>
      <w:r w:rsidR="002466C9">
        <w:rPr>
          <w:lang w:val="en-US"/>
        </w:rPr>
        <w:instrText>for</w:instrText>
      </w:r>
      <w:r w:rsidR="002466C9" w:rsidRPr="00B929AC">
        <w:instrText xml:space="preserve"> </w:instrText>
      </w:r>
      <w:r w:rsidR="002466C9">
        <w:rPr>
          <w:lang w:val="en-US"/>
        </w:rPr>
        <w:instrText>approximately</w:instrText>
      </w:r>
      <w:r w:rsidR="002466C9" w:rsidRPr="00B929AC">
        <w:instrText xml:space="preserve"> 2% </w:instrText>
      </w:r>
      <w:r w:rsidR="002466C9">
        <w:rPr>
          <w:lang w:val="en-US"/>
        </w:rPr>
        <w:instrText>of</w:instrText>
      </w:r>
      <w:r w:rsidR="002466C9" w:rsidRPr="00B929AC">
        <w:instrText xml:space="preserve"> </w:instrText>
      </w:r>
      <w:r w:rsidR="002466C9">
        <w:rPr>
          <w:lang w:val="en-US"/>
        </w:rPr>
        <w:instrText>all</w:instrText>
      </w:r>
      <w:r w:rsidR="002466C9" w:rsidRPr="00B929AC">
        <w:instrText xml:space="preserve"> </w:instrText>
      </w:r>
      <w:r w:rsidR="002466C9">
        <w:rPr>
          <w:lang w:val="en-US"/>
        </w:rPr>
        <w:instrText>lymphomas</w:instrText>
      </w:r>
      <w:r w:rsidR="002466C9" w:rsidRPr="00B929AC">
        <w:instrText xml:space="preserve">. </w:instrText>
      </w:r>
      <w:r w:rsidR="002466C9">
        <w:rPr>
          <w:lang w:val="en-US"/>
        </w:rPr>
        <w:instrText>Although</w:instrText>
      </w:r>
      <w:r w:rsidR="002466C9" w:rsidRPr="00B929AC">
        <w:instrText xml:space="preserve"> </w:instrText>
      </w:r>
      <w:r w:rsidR="002466C9">
        <w:rPr>
          <w:lang w:val="en-US"/>
        </w:rPr>
        <w:instrText>histological</w:instrText>
      </w:r>
      <w:r w:rsidR="002466C9" w:rsidRPr="00B929AC">
        <w:instrText xml:space="preserve"> </w:instrText>
      </w:r>
      <w:r w:rsidR="002466C9">
        <w:rPr>
          <w:lang w:val="en-US"/>
        </w:rPr>
        <w:instrText>features</w:instrText>
      </w:r>
      <w:r w:rsidR="002466C9" w:rsidRPr="00B929AC">
        <w:instrText xml:space="preserve"> </w:instrText>
      </w:r>
      <w:r w:rsidR="002466C9">
        <w:rPr>
          <w:lang w:val="en-US"/>
        </w:rPr>
        <w:instrText>are</w:instrText>
      </w:r>
      <w:r w:rsidR="002466C9" w:rsidRPr="00B929AC">
        <w:instrText xml:space="preserve"> </w:instrText>
      </w:r>
      <w:r w:rsidR="002466C9">
        <w:rPr>
          <w:lang w:val="en-US"/>
        </w:rPr>
        <w:instrText>usually</w:instrText>
      </w:r>
      <w:r w:rsidR="002466C9" w:rsidRPr="00B929AC">
        <w:instrText xml:space="preserve"> </w:instrText>
      </w:r>
      <w:r w:rsidR="002466C9">
        <w:rPr>
          <w:lang w:val="en-US"/>
        </w:rPr>
        <w:instrText>sufficient</w:instrText>
      </w:r>
      <w:r w:rsidR="002466C9" w:rsidRPr="00B929AC">
        <w:instrText xml:space="preserve"> </w:instrText>
      </w:r>
      <w:r w:rsidR="002466C9">
        <w:rPr>
          <w:lang w:val="en-US"/>
        </w:rPr>
        <w:instrText>to</w:instrText>
      </w:r>
      <w:r w:rsidR="002466C9" w:rsidRPr="00B929AC">
        <w:instrText xml:space="preserve"> </w:instrText>
      </w:r>
      <w:r w:rsidR="002466C9">
        <w:rPr>
          <w:lang w:val="en-US"/>
        </w:rPr>
        <w:instrText>distinguish</w:instrText>
      </w:r>
      <w:r w:rsidR="002466C9" w:rsidRPr="00B929AC">
        <w:instrText xml:space="preserve"> </w:instrText>
      </w:r>
      <w:r w:rsidR="002466C9">
        <w:rPr>
          <w:lang w:val="en-US"/>
        </w:rPr>
        <w:instrText>lymphoblastic</w:instrText>
      </w:r>
      <w:r w:rsidR="002466C9" w:rsidRPr="00B929AC">
        <w:instrText xml:space="preserve"> </w:instrText>
      </w:r>
      <w:r w:rsidR="002466C9">
        <w:rPr>
          <w:lang w:val="en-US"/>
        </w:rPr>
        <w:instrText>from</w:instrText>
      </w:r>
      <w:r w:rsidR="002466C9" w:rsidRPr="00B929AC">
        <w:instrText xml:space="preserve"> </w:instrText>
      </w:r>
      <w:r w:rsidR="002466C9">
        <w:rPr>
          <w:lang w:val="en-US"/>
        </w:rPr>
        <w:instrText>mature</w:instrText>
      </w:r>
      <w:r w:rsidR="002466C9" w:rsidRPr="00B929AC">
        <w:instrText xml:space="preserve"> </w:instrText>
      </w:r>
      <w:r w:rsidR="002466C9">
        <w:rPr>
          <w:lang w:val="en-US"/>
        </w:rPr>
        <w:instrText>B</w:instrText>
      </w:r>
      <w:r w:rsidR="002466C9" w:rsidRPr="00B929AC">
        <w:instrText xml:space="preserve">- </w:instrText>
      </w:r>
      <w:r w:rsidR="002466C9">
        <w:rPr>
          <w:lang w:val="en-US"/>
        </w:rPr>
        <w:instrText>or</w:instrText>
      </w:r>
      <w:r w:rsidR="002466C9" w:rsidRPr="00B929AC">
        <w:instrText xml:space="preserve"> </w:instrText>
      </w:r>
      <w:r w:rsidR="002466C9">
        <w:rPr>
          <w:lang w:val="en-US"/>
        </w:rPr>
        <w:instrText>T</w:instrText>
      </w:r>
      <w:r w:rsidR="002466C9" w:rsidRPr="00B929AC">
        <w:instrText>-</w:instrText>
      </w:r>
      <w:r w:rsidR="002466C9">
        <w:rPr>
          <w:lang w:val="en-US"/>
        </w:rPr>
        <w:instrText>cell</w:instrText>
      </w:r>
      <w:r w:rsidR="002466C9" w:rsidRPr="00B929AC">
        <w:instrText xml:space="preserve"> </w:instrText>
      </w:r>
      <w:r w:rsidR="002466C9">
        <w:rPr>
          <w:lang w:val="en-US"/>
        </w:rPr>
        <w:instrText>neoplasms</w:instrText>
      </w:r>
      <w:r w:rsidR="002466C9" w:rsidRPr="00B929AC">
        <w:instrText xml:space="preserve">, </w:instrText>
      </w:r>
      <w:r w:rsidR="002466C9">
        <w:rPr>
          <w:lang w:val="en-US"/>
        </w:rPr>
        <w:instrText>of</w:instrText>
      </w:r>
      <w:r w:rsidR="002466C9" w:rsidRPr="00B929AC">
        <w:instrText xml:space="preserve"> </w:instrText>
      </w:r>
      <w:r w:rsidR="002466C9">
        <w:rPr>
          <w:lang w:val="en-US"/>
        </w:rPr>
        <w:instrText>greater</w:instrText>
      </w:r>
      <w:r w:rsidR="002466C9" w:rsidRPr="00B929AC">
        <w:instrText xml:space="preserve"> </w:instrText>
      </w:r>
      <w:r w:rsidR="002466C9">
        <w:rPr>
          <w:lang w:val="en-US"/>
        </w:rPr>
        <w:instrText>importance</w:instrText>
      </w:r>
      <w:r w:rsidR="002466C9" w:rsidRPr="00B929AC">
        <w:instrText xml:space="preserve"> </w:instrText>
      </w:r>
      <w:r w:rsidR="002466C9">
        <w:rPr>
          <w:lang w:val="en-US"/>
        </w:rPr>
        <w:instrText>for</w:instrText>
      </w:r>
      <w:r w:rsidR="002466C9" w:rsidRPr="00B929AC">
        <w:instrText xml:space="preserve"> </w:instrText>
      </w:r>
      <w:r w:rsidR="002466C9">
        <w:rPr>
          <w:lang w:val="en-US"/>
        </w:rPr>
        <w:instrText>diagnosis</w:instrText>
      </w:r>
      <w:r w:rsidR="002466C9" w:rsidRPr="00B929AC">
        <w:instrText xml:space="preserve"> </w:instrText>
      </w:r>
      <w:r w:rsidR="002466C9">
        <w:rPr>
          <w:lang w:val="en-US"/>
        </w:rPr>
        <w:instrText>is</w:instrText>
      </w:r>
      <w:r w:rsidR="002466C9" w:rsidRPr="00B929AC">
        <w:instrText xml:space="preserve"> </w:instrText>
      </w:r>
      <w:r w:rsidR="002466C9">
        <w:rPr>
          <w:lang w:val="en-US"/>
        </w:rPr>
        <w:instrText>the</w:instrText>
      </w:r>
      <w:r w:rsidR="002466C9" w:rsidRPr="00B929AC">
        <w:instrText xml:space="preserve"> </w:instrText>
      </w:r>
      <w:r w:rsidR="002466C9">
        <w:rPr>
          <w:lang w:val="en-US"/>
        </w:rPr>
        <w:instrText>characterization</w:instrText>
      </w:r>
      <w:r w:rsidR="002466C9" w:rsidRPr="00B929AC">
        <w:instrText xml:space="preserve"> </w:instrText>
      </w:r>
      <w:r w:rsidR="002466C9">
        <w:rPr>
          <w:lang w:val="en-US"/>
        </w:rPr>
        <w:instrText>of</w:instrText>
      </w:r>
      <w:r w:rsidR="002466C9" w:rsidRPr="00B929AC">
        <w:instrText xml:space="preserve"> </w:instrText>
      </w:r>
      <w:r w:rsidR="002466C9">
        <w:rPr>
          <w:lang w:val="en-US"/>
        </w:rPr>
        <w:instrText>immunophenotype</w:instrText>
      </w:r>
      <w:r w:rsidR="002466C9" w:rsidRPr="00B929AC">
        <w:instrText xml:space="preserve"> </w:instrText>
      </w:r>
      <w:r w:rsidR="002466C9">
        <w:rPr>
          <w:lang w:val="en-US"/>
        </w:rPr>
        <w:instrText>by</w:instrText>
      </w:r>
      <w:r w:rsidR="002466C9" w:rsidRPr="00B929AC">
        <w:instrText xml:space="preserve"> </w:instrText>
      </w:r>
      <w:r w:rsidR="002466C9">
        <w:rPr>
          <w:lang w:val="en-US"/>
        </w:rPr>
        <w:instrText>flow</w:instrText>
      </w:r>
      <w:r w:rsidR="002466C9" w:rsidRPr="00B929AC">
        <w:instrText xml:space="preserve"> </w:instrText>
      </w:r>
      <w:r w:rsidR="002466C9">
        <w:rPr>
          <w:lang w:val="en-US"/>
        </w:rPr>
        <w:instrText>cytometry</w:instrText>
      </w:r>
      <w:r w:rsidR="002466C9" w:rsidRPr="00B929AC">
        <w:instrText xml:space="preserve">. </w:instrText>
      </w:r>
      <w:r w:rsidR="002466C9">
        <w:rPr>
          <w:lang w:val="en-US"/>
        </w:rPr>
        <w:instrText>LBL</w:instrText>
      </w:r>
      <w:r w:rsidR="002466C9" w:rsidRPr="00B929AC">
        <w:instrText xml:space="preserve"> </w:instrText>
      </w:r>
      <w:r w:rsidR="002466C9">
        <w:rPr>
          <w:lang w:val="en-US"/>
        </w:rPr>
        <w:instrText>occurs</w:instrText>
      </w:r>
      <w:r w:rsidR="002466C9" w:rsidRPr="00B929AC">
        <w:instrText xml:space="preserve"> </w:instrText>
      </w:r>
      <w:r w:rsidR="002466C9">
        <w:rPr>
          <w:lang w:val="en-US"/>
        </w:rPr>
        <w:instrText>more</w:instrText>
      </w:r>
      <w:r w:rsidR="002466C9" w:rsidRPr="00B929AC">
        <w:instrText xml:space="preserve"> </w:instrText>
      </w:r>
      <w:r w:rsidR="002466C9">
        <w:rPr>
          <w:lang w:val="en-US"/>
        </w:rPr>
        <w:instrText>commonly</w:instrText>
      </w:r>
      <w:r w:rsidR="002466C9" w:rsidRPr="00B929AC">
        <w:instrText xml:space="preserve"> </w:instrText>
      </w:r>
      <w:r w:rsidR="002466C9">
        <w:rPr>
          <w:lang w:val="en-US"/>
        </w:rPr>
        <w:instrText>in</w:instrText>
      </w:r>
      <w:r w:rsidR="002466C9" w:rsidRPr="00B929AC">
        <w:instrText xml:space="preserve"> </w:instrText>
      </w:r>
      <w:r w:rsidR="002466C9">
        <w:rPr>
          <w:lang w:val="en-US"/>
        </w:rPr>
        <w:instrText>children</w:instrText>
      </w:r>
      <w:r w:rsidR="002466C9" w:rsidRPr="00B929AC">
        <w:instrText xml:space="preserve"> </w:instrText>
      </w:r>
      <w:r w:rsidR="002466C9">
        <w:rPr>
          <w:lang w:val="en-US"/>
        </w:rPr>
        <w:instrText>than</w:instrText>
      </w:r>
      <w:r w:rsidR="002466C9" w:rsidRPr="00B929AC">
        <w:instrText xml:space="preserve"> </w:instrText>
      </w:r>
      <w:r w:rsidR="002466C9">
        <w:rPr>
          <w:lang w:val="en-US"/>
        </w:rPr>
        <w:instrText>in</w:instrText>
      </w:r>
      <w:r w:rsidR="002466C9" w:rsidRPr="00B929AC">
        <w:instrText xml:space="preserve"> </w:instrText>
      </w:r>
      <w:r w:rsidR="002466C9">
        <w:rPr>
          <w:lang w:val="en-US"/>
        </w:rPr>
        <w:instrText>adults</w:instrText>
      </w:r>
      <w:r w:rsidR="002466C9" w:rsidRPr="00B929AC">
        <w:instrText xml:space="preserve">, </w:instrText>
      </w:r>
      <w:r w:rsidR="002466C9">
        <w:rPr>
          <w:lang w:val="en-US"/>
        </w:rPr>
        <w:instrText>mostly</w:instrText>
      </w:r>
      <w:r w:rsidR="002466C9" w:rsidRPr="00B929AC">
        <w:instrText xml:space="preserve"> </w:instrText>
      </w:r>
      <w:r w:rsidR="002466C9">
        <w:rPr>
          <w:lang w:val="en-US"/>
        </w:rPr>
        <w:instrText>in</w:instrText>
      </w:r>
      <w:r w:rsidR="002466C9" w:rsidRPr="00B929AC">
        <w:instrText xml:space="preserve"> </w:instrText>
      </w:r>
      <w:r w:rsidR="002466C9">
        <w:rPr>
          <w:lang w:val="en-US"/>
        </w:rPr>
        <w:instrText>males</w:instrText>
      </w:r>
      <w:r w:rsidR="002466C9" w:rsidRPr="00B929AC">
        <w:instrText xml:space="preserve">. </w:instrText>
      </w:r>
      <w:r w:rsidR="002466C9">
        <w:rPr>
          <w:lang w:val="en-US"/>
        </w:rPr>
        <w:instrText>A</w:instrText>
      </w:r>
      <w:r w:rsidR="002466C9" w:rsidRPr="00B929AC">
        <w:instrText xml:space="preserve"> </w:instrText>
      </w:r>
      <w:r w:rsidR="002466C9">
        <w:rPr>
          <w:lang w:val="en-US"/>
        </w:rPr>
        <w:instrText>bone</w:instrText>
      </w:r>
      <w:r w:rsidR="002466C9" w:rsidRPr="00B929AC">
        <w:instrText xml:space="preserve"> </w:instrText>
      </w:r>
      <w:r w:rsidR="002466C9">
        <w:rPr>
          <w:lang w:val="en-US"/>
        </w:rPr>
        <w:instrText>marrow</w:instrText>
      </w:r>
      <w:r w:rsidR="002466C9" w:rsidRPr="00B929AC">
        <w:instrText xml:space="preserve"> </w:instrText>
      </w:r>
      <w:r w:rsidR="002466C9">
        <w:rPr>
          <w:lang w:val="en-US"/>
        </w:rPr>
        <w:instrText>involvement</w:instrText>
      </w:r>
      <w:r w:rsidR="002466C9" w:rsidRPr="00B929AC">
        <w:instrText xml:space="preserve"> &lt;25% (</w:instrText>
      </w:r>
      <w:r w:rsidR="002466C9">
        <w:rPr>
          <w:lang w:val="en-US"/>
        </w:rPr>
        <w:instrText>or</w:instrText>
      </w:r>
      <w:r w:rsidR="002466C9" w:rsidRPr="00B929AC">
        <w:instrText xml:space="preserve"> </w:instrText>
      </w:r>
      <w:r w:rsidR="002466C9">
        <w:rPr>
          <w:lang w:val="en-US"/>
        </w:rPr>
        <w:instrText>20% according to WHO) formally distinguishes LBL from ALL. The prognosis of LBL has dramatically improved with the use of intensive ALL-type chemotherapy regimens, which includes intensive intrathecal chemotherapy prophylaxis and consolidation with mediastinal irradiation. Patients with adverse prognostic features assessed by postinduction CT/positron emission tomography scans (PET) and minimal residual disease analysis (MRD) should be considered for high-dose chemotherapy and stem cell transplantation. Further therapeutic progresses are expected from the introduction of new drugs and targeting agents.","author":[{"dropping-particle":"","family":"Cortelazzo","given":"Sergio","non-dropping-particle":"","parse-names":false,"suffix":""},{"dropping-particle":"","family":"Ferreri","given":"Andrés","non-dropping-particle":"","parse-names":false,"suffix":""},{"dropping-particle":"","family":"Hoelzer","given":"Dieter","non-dropping-particle":"","parse-names":false,"suffix":""},{"dropping-particle":"","family":"Ponzoni","given":"Maurilio","non-dropping-particle":"","parse-names":false,"suffix":""}],"container-title":"Critical reviews in oncology/hematology","id":"ITEM-2","issued":{"date-parts":[["2017","5"]]},"page":"304-317","title":"Lymphoblastic lymphoma.","type":"article-journal","volume":"113"},"uris":["http://www.mendeley.com/documents/?uuid=e2eed080-a739-3358-b728-ef768a4e754e"]}],"mendeley":{"formattedCitation":"[13,14]","plainTextFormattedCitation":"[13,14]","previouslyFormattedCitation":"[13,14]"},"properties":{"noteIndex":0},"schema":"https://github.com/citation-style-language/schema/raw/master/csl-citation.json"}</w:instrText>
      </w:r>
      <w:r w:rsidR="00A27AD5">
        <w:fldChar w:fldCharType="separate"/>
      </w:r>
      <w:r w:rsidR="00A66456" w:rsidRPr="00A66456">
        <w:rPr>
          <w:noProof/>
        </w:rPr>
        <w:t>[13,14]</w:t>
      </w:r>
      <w:r w:rsidR="00A27AD5">
        <w:fldChar w:fldCharType="end"/>
      </w:r>
      <w:r w:rsidR="00A27AD5">
        <w:t>.</w:t>
      </w:r>
      <w:r w:rsidR="00FD64DA">
        <w:t xml:space="preserve"> </w:t>
      </w:r>
    </w:p>
    <w:p w14:paraId="72E0B0D2" w14:textId="77777777" w:rsidR="00254823" w:rsidRDefault="00254823" w:rsidP="00595275">
      <w:pPr>
        <w:ind w:firstLine="709"/>
        <w:contextualSpacing/>
        <w:rPr>
          <w:b/>
        </w:rPr>
      </w:pPr>
      <w:r>
        <w:rPr>
          <w:b/>
        </w:rPr>
        <w:t xml:space="preserve">Уровень убедительности рекомендаций </w:t>
      </w:r>
      <w:r w:rsidR="00FD64DA">
        <w:rPr>
          <w:b/>
        </w:rPr>
        <w:t xml:space="preserve">– </w:t>
      </w:r>
      <w:r w:rsidR="005D78D7">
        <w:rPr>
          <w:b/>
        </w:rPr>
        <w:t>С</w:t>
      </w:r>
      <w:r>
        <w:rPr>
          <w:b/>
        </w:rPr>
        <w:t xml:space="preserve"> (уровень </w:t>
      </w:r>
      <w:r>
        <w:rPr>
          <w:b/>
          <w:spacing w:val="-1"/>
        </w:rPr>
        <w:t xml:space="preserve">достоверности </w:t>
      </w:r>
      <w:r>
        <w:rPr>
          <w:b/>
          <w:spacing w:val="-1"/>
        </w:rPr>
        <w:lastRenderedPageBreak/>
        <w:t xml:space="preserve">доказательств </w:t>
      </w:r>
      <w:r w:rsidR="00595275">
        <w:rPr>
          <w:b/>
        </w:rPr>
        <w:t xml:space="preserve">– </w:t>
      </w:r>
      <w:r w:rsidR="005D78D7">
        <w:rPr>
          <w:b/>
        </w:rPr>
        <w:t>5</w:t>
      </w:r>
      <w:r w:rsidR="00595275">
        <w:rPr>
          <w:b/>
        </w:rPr>
        <w:t>)</w:t>
      </w:r>
      <w:r w:rsidR="00FD64DA">
        <w:rPr>
          <w:b/>
        </w:rPr>
        <w:t>.</w:t>
      </w:r>
    </w:p>
    <w:p w14:paraId="30EC5550" w14:textId="77777777" w:rsidR="00254823" w:rsidRPr="00F0711B" w:rsidRDefault="00595275" w:rsidP="00595275">
      <w:pPr>
        <w:shd w:val="clear" w:color="auto" w:fill="FFFFFF"/>
        <w:tabs>
          <w:tab w:val="left" w:pos="163"/>
        </w:tabs>
        <w:ind w:firstLine="709"/>
        <w:contextualSpacing/>
        <w:rPr>
          <w:i/>
        </w:rPr>
      </w:pPr>
      <w:r>
        <w:rPr>
          <w:b/>
        </w:rPr>
        <w:t>Комментарии</w:t>
      </w:r>
      <w:r w:rsidR="00254823">
        <w:rPr>
          <w:b/>
        </w:rPr>
        <w:t xml:space="preserve">: </w:t>
      </w:r>
      <w:r w:rsidR="00B45EBF">
        <w:rPr>
          <w:i/>
        </w:rPr>
        <w:t xml:space="preserve">в </w:t>
      </w:r>
      <w:r w:rsidR="00254823">
        <w:rPr>
          <w:i/>
        </w:rPr>
        <w:t>большинстве случаев поражение медиастинальных лимф</w:t>
      </w:r>
      <w:r w:rsidR="00315A72">
        <w:rPr>
          <w:i/>
        </w:rPr>
        <w:t>атических узлов при</w:t>
      </w:r>
      <w:r w:rsidR="00254823">
        <w:rPr>
          <w:i/>
        </w:rPr>
        <w:t xml:space="preserve"> ЛБЛ характеризуется весьма хорошим ответом на первичную </w:t>
      </w:r>
      <w:r w:rsidR="007E582E">
        <w:rPr>
          <w:i/>
        </w:rPr>
        <w:t>ХТ</w:t>
      </w:r>
      <w:r w:rsidR="00254823">
        <w:rPr>
          <w:i/>
        </w:rPr>
        <w:t>. Четкое определение резидуальной опухолевой массы средостения отсутствует; в качестве такового могут расцениват</w:t>
      </w:r>
      <w:r>
        <w:rPr>
          <w:i/>
        </w:rPr>
        <w:t>ься остаточн</w:t>
      </w:r>
      <w:r w:rsidR="006A0970">
        <w:rPr>
          <w:i/>
        </w:rPr>
        <w:t>ая</w:t>
      </w:r>
      <w:r>
        <w:rPr>
          <w:i/>
        </w:rPr>
        <w:t xml:space="preserve"> опухол</w:t>
      </w:r>
      <w:r w:rsidR="006A0970">
        <w:rPr>
          <w:i/>
        </w:rPr>
        <w:t>ь</w:t>
      </w:r>
      <w:r>
        <w:rPr>
          <w:i/>
        </w:rPr>
        <w:t xml:space="preserve"> размером</w:t>
      </w:r>
      <w:r w:rsidR="0045078A">
        <w:rPr>
          <w:i/>
        </w:rPr>
        <w:t xml:space="preserve"> &gt;</w:t>
      </w:r>
      <w:r w:rsidR="00254823">
        <w:rPr>
          <w:i/>
        </w:rPr>
        <w:t>3 см</w:t>
      </w:r>
      <w:r w:rsidR="007E582E">
        <w:rPr>
          <w:i/>
        </w:rPr>
        <w:t>,</w:t>
      </w:r>
      <w:r w:rsidR="00254823">
        <w:rPr>
          <w:i/>
        </w:rPr>
        <w:t xml:space="preserve"> по данным КТ, и/или положительный результат ПЭТ. Лучевая терапия резидуальных опухолевых образований средостения, как представляется, является наилучшим вариантом терапии. Вопрос об оптимальной дозе в данном случае (24 или 36 Гр) остается открытым.</w:t>
      </w:r>
    </w:p>
    <w:p w14:paraId="75919CA0" w14:textId="77777777" w:rsidR="00254823" w:rsidRDefault="00254823" w:rsidP="00956D03">
      <w:pPr>
        <w:numPr>
          <w:ilvl w:val="0"/>
          <w:numId w:val="6"/>
        </w:numPr>
        <w:shd w:val="clear" w:color="auto" w:fill="FFFFFF"/>
        <w:contextualSpacing/>
      </w:pPr>
      <w:r w:rsidRPr="009B372C">
        <w:rPr>
          <w:b/>
        </w:rPr>
        <w:t>Рекомендуется</w:t>
      </w:r>
      <w:r>
        <w:rPr>
          <w:b/>
        </w:rPr>
        <w:t xml:space="preserve"> </w:t>
      </w:r>
      <w:r>
        <w:t>считать ремиссию полной у всех пациентов</w:t>
      </w:r>
      <w:r>
        <w:rPr>
          <w:b/>
        </w:rPr>
        <w:t xml:space="preserve"> </w:t>
      </w:r>
      <w:r w:rsidRPr="00F0711B">
        <w:rPr>
          <w:szCs w:val="28"/>
        </w:rPr>
        <w:t>при лечении</w:t>
      </w:r>
      <w:r w:rsidR="00B56FEA">
        <w:rPr>
          <w:szCs w:val="28"/>
        </w:rPr>
        <w:t xml:space="preserve"> ЛБЛ из Т- и В-предшественников </w:t>
      </w:r>
      <w:r>
        <w:rPr>
          <w:szCs w:val="28"/>
        </w:rPr>
        <w:t>при наличии критериев</w:t>
      </w:r>
      <w:r>
        <w:t xml:space="preserve"> (на 70-й день </w:t>
      </w:r>
      <w:r w:rsidR="005A099E">
        <w:t>ИТ</w:t>
      </w:r>
      <w:r>
        <w:t xml:space="preserve"> либо после индукции): </w:t>
      </w:r>
    </w:p>
    <w:p w14:paraId="6E3299A9" w14:textId="77777777" w:rsidR="00254823" w:rsidRDefault="0045078A" w:rsidP="0045078A">
      <w:pPr>
        <w:shd w:val="clear" w:color="auto" w:fill="FFFFFF"/>
        <w:contextualSpacing/>
      </w:pPr>
      <w:r>
        <w:t>1. О</w:t>
      </w:r>
      <w:r w:rsidR="00254823">
        <w:t xml:space="preserve">тсутствие </w:t>
      </w:r>
      <w:r w:rsidR="00254823" w:rsidRPr="009C1CA8">
        <w:t>доказательства наличия остаточного образования (при массивном поражении могут оставаться резидуальные образования менее 3 см)</w:t>
      </w:r>
      <w:r w:rsidR="00DC41FE" w:rsidRPr="009C1CA8">
        <w:t xml:space="preserve"> или сокращение размеров опухоли более чем на 75</w:t>
      </w:r>
      <w:r>
        <w:t xml:space="preserve"> </w:t>
      </w:r>
      <w:r w:rsidR="00DC41FE" w:rsidRPr="009C1CA8">
        <w:t>% от исходного</w:t>
      </w:r>
      <w:r w:rsidR="00D631CF">
        <w:t>.</w:t>
      </w:r>
    </w:p>
    <w:p w14:paraId="263DEC32" w14:textId="77777777" w:rsidR="00254823" w:rsidRDefault="00D631CF" w:rsidP="00595275">
      <w:pPr>
        <w:shd w:val="clear" w:color="auto" w:fill="FFFFFF"/>
        <w:tabs>
          <w:tab w:val="left" w:pos="709"/>
        </w:tabs>
        <w:ind w:firstLine="709"/>
        <w:contextualSpacing/>
      </w:pPr>
      <w:r>
        <w:t>2. П</w:t>
      </w:r>
      <w:r w:rsidR="00254823">
        <w:t xml:space="preserve">рисутствие в </w:t>
      </w:r>
      <w:r w:rsidR="005D126B">
        <w:t>КМ</w:t>
      </w:r>
      <w:r w:rsidR="00254823">
        <w:t xml:space="preserve"> менее 5</w:t>
      </w:r>
      <w:r>
        <w:t xml:space="preserve"> </w:t>
      </w:r>
      <w:r w:rsidR="00254823">
        <w:t>% бластов при восстановлении показателей нормального кроветворения</w:t>
      </w:r>
      <w:r>
        <w:t>.</w:t>
      </w:r>
    </w:p>
    <w:p w14:paraId="309B011F" w14:textId="19CAB74B" w:rsidR="00254823" w:rsidRDefault="00D631CF" w:rsidP="00956D03">
      <w:pPr>
        <w:numPr>
          <w:ilvl w:val="0"/>
          <w:numId w:val="6"/>
        </w:numPr>
        <w:contextualSpacing/>
      </w:pPr>
      <w:r>
        <w:t>3. О</w:t>
      </w:r>
      <w:r w:rsidR="00254823">
        <w:t>тсутствие лимфобласт</w:t>
      </w:r>
      <w:r w:rsidR="005D126B">
        <w:t>ов</w:t>
      </w:r>
      <w:r w:rsidR="00254823">
        <w:t xml:space="preserve"> при исследовании ликвора на 29</w:t>
      </w:r>
      <w:r>
        <w:t>-й</w:t>
      </w:r>
      <w:r w:rsidR="00254823">
        <w:t xml:space="preserve"> день протокола</w:t>
      </w:r>
      <w:r w:rsidR="00A27AD5">
        <w:t xml:space="preserve"> </w:t>
      </w:r>
      <w:r w:rsidR="00A27AD5">
        <w:fldChar w:fldCharType="begin" w:fldLock="1"/>
      </w:r>
      <w:r w:rsidR="002466C9">
        <w:rPr>
          <w:lang w:val="en-US"/>
        </w:rPr>
        <w:instrText>ADDIN</w:instrText>
      </w:r>
      <w:r w:rsidR="002466C9" w:rsidRPr="00B929AC">
        <w:instrText xml:space="preserve"> </w:instrText>
      </w:r>
      <w:r w:rsidR="002466C9">
        <w:rPr>
          <w:lang w:val="en-US"/>
        </w:rPr>
        <w:instrText>CSL</w:instrText>
      </w:r>
      <w:r w:rsidR="002466C9" w:rsidRPr="00B929AC">
        <w:instrText>_</w:instrText>
      </w:r>
      <w:r w:rsidR="002466C9">
        <w:rPr>
          <w:lang w:val="en-US"/>
        </w:rPr>
        <w:instrText>CITATION</w:instrText>
      </w:r>
      <w:r w:rsidR="002466C9" w:rsidRPr="00B929AC">
        <w:instrText xml:space="preserve"> {"</w:instrText>
      </w:r>
      <w:r w:rsidR="002466C9">
        <w:rPr>
          <w:lang w:val="en-US"/>
        </w:rPr>
        <w:instrText>citationItems</w:instrText>
      </w:r>
      <w:r w:rsidR="002466C9" w:rsidRPr="00B929AC">
        <w:instrText>":[{"</w:instrText>
      </w:r>
      <w:r w:rsidR="002466C9">
        <w:rPr>
          <w:lang w:val="en-US"/>
        </w:rPr>
        <w:instrText>id</w:instrText>
      </w:r>
      <w:r w:rsidR="002466C9" w:rsidRPr="00B929AC">
        <w:instrText>":"</w:instrText>
      </w:r>
      <w:r w:rsidR="002466C9">
        <w:rPr>
          <w:lang w:val="en-US"/>
        </w:rPr>
        <w:instrText>ITEM</w:instrText>
      </w:r>
      <w:r w:rsidR="002466C9" w:rsidRPr="00B929AC">
        <w:instrText>-1","</w:instrText>
      </w:r>
      <w:r w:rsidR="002466C9">
        <w:rPr>
          <w:lang w:val="en-US"/>
        </w:rPr>
        <w:instrText>itemData</w:instrText>
      </w:r>
      <w:r w:rsidR="002466C9" w:rsidRPr="00B929AC">
        <w:instrText>":{"</w:instrText>
      </w:r>
      <w:r w:rsidR="002466C9">
        <w:rPr>
          <w:lang w:val="en-US"/>
        </w:rPr>
        <w:instrText>DOI</w:instrText>
      </w:r>
      <w:r w:rsidR="002466C9" w:rsidRPr="00B929AC">
        <w:instrText>":"10.1111/</w:instrText>
      </w:r>
      <w:r w:rsidR="002466C9">
        <w:rPr>
          <w:lang w:val="en-US"/>
        </w:rPr>
        <w:instrText>ejh</w:instrText>
      </w:r>
      <w:r w:rsidR="002466C9" w:rsidRPr="00B929AC">
        <w:instrText>.12722","</w:instrText>
      </w:r>
      <w:r w:rsidR="002466C9">
        <w:rPr>
          <w:lang w:val="en-US"/>
        </w:rPr>
        <w:instrText>ISSN</w:instrText>
      </w:r>
      <w:r w:rsidR="002466C9" w:rsidRPr="00B929AC">
        <w:instrText>":"1600-0609","</w:instrText>
      </w:r>
      <w:r w:rsidR="002466C9">
        <w:rPr>
          <w:lang w:val="en-US"/>
        </w:rPr>
        <w:instrText>PMID</w:instrText>
      </w:r>
      <w:r w:rsidR="002466C9" w:rsidRPr="00B929AC">
        <w:instrText>":"26679753","</w:instrText>
      </w:r>
      <w:r w:rsidR="002466C9">
        <w:rPr>
          <w:lang w:val="en-US"/>
        </w:rPr>
        <w:instrText>abstract</w:instrText>
      </w:r>
      <w:r w:rsidR="002466C9" w:rsidRPr="00B929AC">
        <w:instrText>":"</w:instrText>
      </w:r>
      <w:r w:rsidR="002466C9">
        <w:rPr>
          <w:lang w:val="en-US"/>
        </w:rPr>
        <w:instrText>Lymphoblastic</w:instrText>
      </w:r>
      <w:r w:rsidR="002466C9" w:rsidRPr="00B929AC">
        <w:instrText xml:space="preserve"> </w:instrText>
      </w:r>
      <w:r w:rsidR="002466C9">
        <w:rPr>
          <w:lang w:val="en-US"/>
        </w:rPr>
        <w:instrText>lymphoma</w:instrText>
      </w:r>
      <w:r w:rsidR="002466C9" w:rsidRPr="00B929AC">
        <w:instrText xml:space="preserve"> </w:instrText>
      </w:r>
      <w:r w:rsidR="002466C9">
        <w:rPr>
          <w:lang w:val="en-US"/>
        </w:rPr>
        <w:instrText>is</w:instrText>
      </w:r>
      <w:r w:rsidR="002466C9" w:rsidRPr="00B929AC">
        <w:instrText xml:space="preserve"> </w:instrText>
      </w:r>
      <w:r w:rsidR="002466C9">
        <w:rPr>
          <w:lang w:val="en-US"/>
        </w:rPr>
        <w:instrText>a</w:instrText>
      </w:r>
      <w:r w:rsidR="002466C9" w:rsidRPr="00B929AC">
        <w:instrText xml:space="preserve"> </w:instrText>
      </w:r>
      <w:r w:rsidR="002466C9">
        <w:rPr>
          <w:lang w:val="en-US"/>
        </w:rPr>
        <w:instrText>rare</w:instrText>
      </w:r>
      <w:r w:rsidR="002466C9" w:rsidRPr="00B929AC">
        <w:instrText xml:space="preserve"> </w:instrText>
      </w:r>
      <w:r w:rsidR="002466C9">
        <w:rPr>
          <w:lang w:val="en-US"/>
        </w:rPr>
        <w:instrText>aggressive</w:instrText>
      </w:r>
      <w:r w:rsidR="002466C9" w:rsidRPr="00B929AC">
        <w:instrText xml:space="preserve"> </w:instrText>
      </w:r>
      <w:r w:rsidR="002466C9">
        <w:rPr>
          <w:lang w:val="en-US"/>
        </w:rPr>
        <w:instrText>neoplasm</w:instrText>
      </w:r>
      <w:r w:rsidR="002466C9" w:rsidRPr="00B929AC">
        <w:instrText xml:space="preserve"> </w:instrText>
      </w:r>
      <w:r w:rsidR="002466C9">
        <w:rPr>
          <w:lang w:val="en-US"/>
        </w:rPr>
        <w:instrText>of</w:instrText>
      </w:r>
      <w:r w:rsidR="002466C9" w:rsidRPr="00B929AC">
        <w:instrText xml:space="preserve"> </w:instrText>
      </w:r>
      <w:r w:rsidR="002466C9">
        <w:rPr>
          <w:lang w:val="en-US"/>
        </w:rPr>
        <w:instrText>T</w:instrText>
      </w:r>
      <w:r w:rsidR="002466C9" w:rsidRPr="00B929AC">
        <w:instrText>-/</w:instrText>
      </w:r>
      <w:r w:rsidR="002466C9">
        <w:rPr>
          <w:lang w:val="en-US"/>
        </w:rPr>
        <w:instrText>B</w:instrText>
      </w:r>
      <w:r w:rsidR="002466C9" w:rsidRPr="00B929AC">
        <w:instrText>-</w:instrText>
      </w:r>
      <w:r w:rsidR="002466C9">
        <w:rPr>
          <w:lang w:val="en-US"/>
        </w:rPr>
        <w:instrText>precursors</w:instrText>
      </w:r>
      <w:r w:rsidR="002466C9" w:rsidRPr="00B929AC">
        <w:instrText xml:space="preserve"> </w:instrText>
      </w:r>
      <w:r w:rsidR="002466C9">
        <w:rPr>
          <w:lang w:val="en-US"/>
        </w:rPr>
        <w:instrText>resembling</w:instrText>
      </w:r>
      <w:r w:rsidR="002466C9" w:rsidRPr="00B929AC">
        <w:instrText xml:space="preserve"> </w:instrText>
      </w:r>
      <w:r w:rsidR="002466C9">
        <w:rPr>
          <w:lang w:val="en-US"/>
        </w:rPr>
        <w:instrText>acute</w:instrText>
      </w:r>
      <w:r w:rsidR="002466C9" w:rsidRPr="00B929AC">
        <w:instrText xml:space="preserve"> </w:instrText>
      </w:r>
      <w:r w:rsidR="002466C9">
        <w:rPr>
          <w:lang w:val="en-US"/>
        </w:rPr>
        <w:instrText>lymphoblastic</w:instrText>
      </w:r>
      <w:r w:rsidR="002466C9" w:rsidRPr="00B929AC">
        <w:instrText xml:space="preserve"> </w:instrText>
      </w:r>
      <w:r w:rsidR="002466C9">
        <w:rPr>
          <w:lang w:val="en-US"/>
        </w:rPr>
        <w:instrText>leukemia</w:instrText>
      </w:r>
      <w:r w:rsidR="002466C9" w:rsidRPr="00B929AC">
        <w:instrText xml:space="preserve">, </w:instrText>
      </w:r>
      <w:r w:rsidR="002466C9">
        <w:rPr>
          <w:lang w:val="en-US"/>
        </w:rPr>
        <w:instrText>with</w:instrText>
      </w:r>
      <w:r w:rsidR="002466C9" w:rsidRPr="00B929AC">
        <w:instrText xml:space="preserve"> </w:instrText>
      </w:r>
      <w:r w:rsidR="002466C9">
        <w:rPr>
          <w:lang w:val="en-US"/>
        </w:rPr>
        <w:instrText>no</w:instrText>
      </w:r>
      <w:r w:rsidR="002466C9" w:rsidRPr="00B929AC">
        <w:instrText xml:space="preserve"> </w:instrText>
      </w:r>
      <w:r w:rsidR="002466C9">
        <w:rPr>
          <w:lang w:val="en-US"/>
        </w:rPr>
        <w:instrText>or</w:instrText>
      </w:r>
      <w:r w:rsidR="002466C9" w:rsidRPr="00B929AC">
        <w:instrText xml:space="preserve"> </w:instrText>
      </w:r>
      <w:r w:rsidR="002466C9">
        <w:rPr>
          <w:lang w:val="en-US"/>
        </w:rPr>
        <w:instrText>limited</w:instrText>
      </w:r>
      <w:r w:rsidR="002466C9" w:rsidRPr="00B929AC">
        <w:instrText xml:space="preserve"> </w:instrText>
      </w:r>
      <w:r w:rsidR="002466C9">
        <w:rPr>
          <w:lang w:val="en-US"/>
        </w:rPr>
        <w:instrText>bone</w:instrText>
      </w:r>
      <w:r w:rsidR="002466C9" w:rsidRPr="00B929AC">
        <w:instrText xml:space="preserve"> </w:instrText>
      </w:r>
      <w:r w:rsidR="002466C9">
        <w:rPr>
          <w:lang w:val="en-US"/>
        </w:rPr>
        <w:instrText>marrow</w:instrText>
      </w:r>
      <w:r w:rsidR="002466C9" w:rsidRPr="00B929AC">
        <w:instrText xml:space="preserve"> </w:instrText>
      </w:r>
      <w:r w:rsidR="002466C9">
        <w:rPr>
          <w:lang w:val="en-US"/>
        </w:rPr>
        <w:instrText>involvement</w:instrText>
      </w:r>
      <w:r w:rsidR="002466C9" w:rsidRPr="00B929AC">
        <w:instrText xml:space="preserve"> (&lt;25%), </w:instrText>
      </w:r>
      <w:r w:rsidR="002466C9">
        <w:rPr>
          <w:lang w:val="en-US"/>
        </w:rPr>
        <w:instrText>that</w:instrText>
      </w:r>
      <w:r w:rsidR="002466C9" w:rsidRPr="00B929AC">
        <w:instrText xml:space="preserve"> </w:instrText>
      </w:r>
      <w:r w:rsidR="002466C9">
        <w:rPr>
          <w:lang w:val="en-US"/>
        </w:rPr>
        <w:instrText>develops</w:instrText>
      </w:r>
      <w:r w:rsidR="002466C9" w:rsidRPr="00B929AC">
        <w:instrText xml:space="preserve"> </w:instrText>
      </w:r>
      <w:r w:rsidR="002466C9">
        <w:rPr>
          <w:lang w:val="en-US"/>
        </w:rPr>
        <w:instrText>more</w:instrText>
      </w:r>
      <w:r w:rsidR="002466C9" w:rsidRPr="00B929AC">
        <w:instrText xml:space="preserve"> </w:instrText>
      </w:r>
      <w:r w:rsidR="002466C9">
        <w:rPr>
          <w:lang w:val="en-US"/>
        </w:rPr>
        <w:instrText>frequently</w:instrText>
      </w:r>
      <w:r w:rsidR="002466C9" w:rsidRPr="00B929AC">
        <w:instrText xml:space="preserve"> </w:instrText>
      </w:r>
      <w:r w:rsidR="002466C9">
        <w:rPr>
          <w:lang w:val="en-US"/>
        </w:rPr>
        <w:instrText>in</w:instrText>
      </w:r>
      <w:r w:rsidR="002466C9" w:rsidRPr="00B929AC">
        <w:instrText xml:space="preserve"> </w:instrText>
      </w:r>
      <w:r w:rsidR="002466C9">
        <w:rPr>
          <w:lang w:val="en-US"/>
        </w:rPr>
        <w:instrText>children</w:instrText>
      </w:r>
      <w:r w:rsidR="002466C9" w:rsidRPr="00B929AC">
        <w:instrText xml:space="preserve"> </w:instrText>
      </w:r>
      <w:r w:rsidR="002466C9">
        <w:rPr>
          <w:lang w:val="en-US"/>
        </w:rPr>
        <w:instrText>and</w:instrText>
      </w:r>
      <w:r w:rsidR="002466C9" w:rsidRPr="00B929AC">
        <w:instrText xml:space="preserve"> </w:instrText>
      </w:r>
      <w:r w:rsidR="002466C9">
        <w:rPr>
          <w:lang w:val="en-US"/>
        </w:rPr>
        <w:instrText>young</w:instrText>
      </w:r>
      <w:r w:rsidR="002466C9" w:rsidRPr="00B929AC">
        <w:instrText xml:space="preserve"> </w:instrText>
      </w:r>
      <w:r w:rsidR="002466C9">
        <w:rPr>
          <w:lang w:val="en-US"/>
        </w:rPr>
        <w:instrText>adults</w:instrText>
      </w:r>
      <w:r w:rsidR="002466C9" w:rsidRPr="00B929AC">
        <w:instrText xml:space="preserve"> </w:instrText>
      </w:r>
      <w:r w:rsidR="002466C9">
        <w:rPr>
          <w:lang w:val="en-US"/>
        </w:rPr>
        <w:instrText>and</w:instrText>
      </w:r>
      <w:r w:rsidR="002466C9" w:rsidRPr="00B929AC">
        <w:instrText xml:space="preserve"> </w:instrText>
      </w:r>
      <w:r w:rsidR="002466C9">
        <w:rPr>
          <w:lang w:val="en-US"/>
        </w:rPr>
        <w:instrText>is</w:instrText>
      </w:r>
      <w:r w:rsidR="002466C9" w:rsidRPr="00B929AC">
        <w:instrText xml:space="preserve"> </w:instrText>
      </w:r>
      <w:r w:rsidR="002466C9">
        <w:rPr>
          <w:lang w:val="en-US"/>
        </w:rPr>
        <w:instrText>typically</w:instrText>
      </w:r>
      <w:r w:rsidR="002466C9" w:rsidRPr="00B929AC">
        <w:instrText xml:space="preserve"> </w:instrText>
      </w:r>
      <w:r w:rsidR="002466C9">
        <w:rPr>
          <w:lang w:val="en-US"/>
        </w:rPr>
        <w:instrText>characterized</w:instrText>
      </w:r>
      <w:r w:rsidR="002466C9" w:rsidRPr="00B929AC">
        <w:instrText xml:space="preserve"> </w:instrText>
      </w:r>
      <w:r w:rsidR="002466C9">
        <w:rPr>
          <w:lang w:val="en-US"/>
        </w:rPr>
        <w:instrText>by</w:instrText>
      </w:r>
      <w:r w:rsidR="002466C9" w:rsidRPr="00B929AC">
        <w:instrText xml:space="preserve"> </w:instrText>
      </w:r>
      <w:r w:rsidR="002466C9">
        <w:rPr>
          <w:lang w:val="en-US"/>
        </w:rPr>
        <w:instrText>a</w:instrText>
      </w:r>
      <w:r w:rsidR="002466C9" w:rsidRPr="00B929AC">
        <w:instrText xml:space="preserve"> </w:instrText>
      </w:r>
      <w:r w:rsidR="002466C9">
        <w:rPr>
          <w:lang w:val="en-US"/>
        </w:rPr>
        <w:instrText>grossly</w:instrText>
      </w:r>
      <w:r w:rsidR="002466C9" w:rsidRPr="00B929AC">
        <w:instrText xml:space="preserve"> </w:instrText>
      </w:r>
      <w:r w:rsidR="002466C9">
        <w:rPr>
          <w:lang w:val="en-US"/>
        </w:rPr>
        <w:instrText>enlarged</w:instrText>
      </w:r>
      <w:r w:rsidR="002466C9" w:rsidRPr="00B929AC">
        <w:instrText xml:space="preserve"> </w:instrText>
      </w:r>
      <w:r w:rsidR="002466C9">
        <w:rPr>
          <w:lang w:val="en-US"/>
        </w:rPr>
        <w:instrText>mediastinum</w:instrText>
      </w:r>
      <w:r w:rsidR="002466C9" w:rsidRPr="00B929AC">
        <w:instrText xml:space="preserve">, </w:instrText>
      </w:r>
      <w:r w:rsidR="002466C9">
        <w:rPr>
          <w:lang w:val="en-US"/>
        </w:rPr>
        <w:instrText>and</w:instrText>
      </w:r>
      <w:r w:rsidR="002466C9" w:rsidRPr="00B929AC">
        <w:instrText xml:space="preserve"> </w:instrText>
      </w:r>
      <w:r w:rsidR="002466C9">
        <w:rPr>
          <w:lang w:val="en-US"/>
        </w:rPr>
        <w:instrText>whose</w:instrText>
      </w:r>
      <w:r w:rsidR="002466C9" w:rsidRPr="00B929AC">
        <w:instrText xml:space="preserve"> </w:instrText>
      </w:r>
      <w:r w:rsidR="002466C9">
        <w:rPr>
          <w:lang w:val="en-US"/>
        </w:rPr>
        <w:instrText>diagnostic</w:instrText>
      </w:r>
      <w:r w:rsidR="002466C9" w:rsidRPr="00B929AC">
        <w:instrText xml:space="preserve"> </w:instrText>
      </w:r>
      <w:r w:rsidR="002466C9">
        <w:rPr>
          <w:lang w:val="en-US"/>
        </w:rPr>
        <w:instrText>hallmark</w:instrText>
      </w:r>
      <w:r w:rsidR="002466C9" w:rsidRPr="00B929AC">
        <w:instrText xml:space="preserve"> </w:instrText>
      </w:r>
      <w:r w:rsidR="002466C9">
        <w:rPr>
          <w:lang w:val="en-US"/>
        </w:rPr>
        <w:instrText>is</w:instrText>
      </w:r>
      <w:r w:rsidR="002466C9" w:rsidRPr="00B929AC">
        <w:instrText xml:space="preserve"> </w:instrText>
      </w:r>
      <w:r w:rsidR="002466C9">
        <w:rPr>
          <w:lang w:val="en-US"/>
        </w:rPr>
        <w:instrText>the</w:instrText>
      </w:r>
      <w:r w:rsidR="002466C9" w:rsidRPr="00B929AC">
        <w:instrText xml:space="preserve"> </w:instrText>
      </w:r>
      <w:r w:rsidR="002466C9">
        <w:rPr>
          <w:lang w:val="en-US"/>
        </w:rPr>
        <w:instrText>expression</w:instrText>
      </w:r>
      <w:r w:rsidR="002466C9" w:rsidRPr="00B929AC">
        <w:instrText xml:space="preserve"> </w:instrText>
      </w:r>
      <w:r w:rsidR="002466C9">
        <w:rPr>
          <w:lang w:val="en-US"/>
        </w:rPr>
        <w:instrText>of</w:instrText>
      </w:r>
      <w:r w:rsidR="002466C9" w:rsidRPr="00B929AC">
        <w:instrText xml:space="preserve"> </w:instrText>
      </w:r>
      <w:r w:rsidR="002466C9">
        <w:rPr>
          <w:lang w:val="en-US"/>
        </w:rPr>
        <w:instrText>a</w:instrText>
      </w:r>
      <w:r w:rsidR="002466C9" w:rsidRPr="00B929AC">
        <w:instrText xml:space="preserve"> </w:instrText>
      </w:r>
      <w:r w:rsidR="002466C9">
        <w:rPr>
          <w:lang w:val="en-US"/>
        </w:rPr>
        <w:instrText>T</w:instrText>
      </w:r>
      <w:r w:rsidR="002466C9" w:rsidRPr="00B929AC">
        <w:instrText>-/</w:instrText>
      </w:r>
      <w:r w:rsidR="002466C9">
        <w:rPr>
          <w:lang w:val="en-US"/>
        </w:rPr>
        <w:instrText>B</w:instrText>
      </w:r>
      <w:r w:rsidR="002466C9" w:rsidRPr="00B929AC">
        <w:instrText>-</w:instrText>
      </w:r>
      <w:r w:rsidR="002466C9">
        <w:rPr>
          <w:lang w:val="en-US"/>
        </w:rPr>
        <w:instrText>precursor</w:instrText>
      </w:r>
      <w:r w:rsidR="002466C9" w:rsidRPr="00B929AC">
        <w:instrText xml:space="preserve"> </w:instrText>
      </w:r>
      <w:r w:rsidR="002466C9">
        <w:rPr>
          <w:lang w:val="en-US"/>
        </w:rPr>
        <w:instrText>cell</w:instrText>
      </w:r>
      <w:r w:rsidR="002466C9" w:rsidRPr="00B929AC">
        <w:instrText xml:space="preserve"> </w:instrText>
      </w:r>
      <w:r w:rsidR="002466C9">
        <w:rPr>
          <w:lang w:val="en-US"/>
        </w:rPr>
        <w:instrText>immunophenotype</w:instrText>
      </w:r>
      <w:r w:rsidR="002466C9" w:rsidRPr="00B929AC">
        <w:instrText xml:space="preserve">, </w:instrText>
      </w:r>
      <w:r w:rsidR="002466C9">
        <w:rPr>
          <w:lang w:val="en-US"/>
        </w:rPr>
        <w:instrText>the</w:instrText>
      </w:r>
      <w:r w:rsidR="002466C9" w:rsidRPr="00B929AC">
        <w:instrText xml:space="preserve"> </w:instrText>
      </w:r>
      <w:r w:rsidR="002466C9">
        <w:rPr>
          <w:lang w:val="en-US"/>
        </w:rPr>
        <w:instrText>T</w:instrText>
      </w:r>
      <w:r w:rsidR="002466C9" w:rsidRPr="00B929AC">
        <w:instrText>-</w:instrText>
      </w:r>
      <w:r w:rsidR="002466C9">
        <w:rPr>
          <w:lang w:val="en-US"/>
        </w:rPr>
        <w:instrText>cell</w:instrText>
      </w:r>
      <w:r w:rsidR="002466C9" w:rsidRPr="00B929AC">
        <w:instrText xml:space="preserve"> </w:instrText>
      </w:r>
      <w:r w:rsidR="002466C9">
        <w:rPr>
          <w:lang w:val="en-US"/>
        </w:rPr>
        <w:instrText>subset</w:instrText>
      </w:r>
      <w:r w:rsidR="002466C9" w:rsidRPr="00B929AC">
        <w:instrText xml:space="preserve"> </w:instrText>
      </w:r>
      <w:r w:rsidR="002466C9">
        <w:rPr>
          <w:lang w:val="en-US"/>
        </w:rPr>
        <w:instrText>accounting</w:instrText>
      </w:r>
      <w:r w:rsidR="002466C9" w:rsidRPr="00B929AC">
        <w:instrText xml:space="preserve"> </w:instrText>
      </w:r>
      <w:r w:rsidR="002466C9">
        <w:rPr>
          <w:lang w:val="en-US"/>
        </w:rPr>
        <w:instrText>for</w:instrText>
      </w:r>
      <w:r w:rsidR="002466C9" w:rsidRPr="00B929AC">
        <w:instrText xml:space="preserve"> 90% </w:instrText>
      </w:r>
      <w:r w:rsidR="002466C9">
        <w:rPr>
          <w:lang w:val="en-US"/>
        </w:rPr>
        <w:instrText>of</w:instrText>
      </w:r>
      <w:r w:rsidR="002466C9" w:rsidRPr="00B929AC">
        <w:instrText xml:space="preserve"> </w:instrText>
      </w:r>
      <w:r w:rsidR="002466C9">
        <w:rPr>
          <w:lang w:val="en-US"/>
        </w:rPr>
        <w:instrText>all</w:instrText>
      </w:r>
      <w:r w:rsidR="002466C9" w:rsidRPr="00B929AC">
        <w:instrText xml:space="preserve"> </w:instrText>
      </w:r>
      <w:r w:rsidR="002466C9">
        <w:rPr>
          <w:lang w:val="en-US"/>
        </w:rPr>
        <w:instrText>cases</w:instrText>
      </w:r>
      <w:r w:rsidR="002466C9" w:rsidRPr="00B929AC">
        <w:instrText xml:space="preserve">. </w:instrText>
      </w:r>
      <w:r w:rsidR="002466C9">
        <w:rPr>
          <w:lang w:val="en-US"/>
        </w:rPr>
        <w:instrText>The</w:instrText>
      </w:r>
      <w:r w:rsidR="002466C9" w:rsidRPr="00B929AC">
        <w:instrText xml:space="preserve"> </w:instrText>
      </w:r>
      <w:r w:rsidR="002466C9">
        <w:rPr>
          <w:lang w:val="en-US"/>
        </w:rPr>
        <w:instrText>adoption</w:instrText>
      </w:r>
      <w:r w:rsidR="002466C9" w:rsidRPr="00B929AC">
        <w:instrText xml:space="preserve"> </w:instrText>
      </w:r>
      <w:r w:rsidR="002466C9">
        <w:rPr>
          <w:lang w:val="en-US"/>
        </w:rPr>
        <w:instrText>of</w:instrText>
      </w:r>
      <w:r w:rsidR="002466C9" w:rsidRPr="00B929AC">
        <w:instrText xml:space="preserve"> </w:instrText>
      </w:r>
      <w:r w:rsidR="002466C9">
        <w:rPr>
          <w:lang w:val="en-US"/>
        </w:rPr>
        <w:instrText>pediatric</w:instrText>
      </w:r>
      <w:r w:rsidR="002466C9" w:rsidRPr="00B929AC">
        <w:instrText>-</w:instrText>
      </w:r>
      <w:r w:rsidR="002466C9">
        <w:rPr>
          <w:lang w:val="en-US"/>
        </w:rPr>
        <w:instrText>derived</w:instrText>
      </w:r>
      <w:r w:rsidR="002466C9" w:rsidRPr="00B929AC">
        <w:instrText xml:space="preserve">, </w:instrText>
      </w:r>
      <w:r w:rsidR="002466C9">
        <w:rPr>
          <w:lang w:val="en-US"/>
        </w:rPr>
        <w:instrText>intensive</w:instrText>
      </w:r>
      <w:r w:rsidR="002466C9" w:rsidRPr="00B929AC">
        <w:instrText xml:space="preserve"> </w:instrText>
      </w:r>
      <w:r w:rsidR="002466C9">
        <w:rPr>
          <w:lang w:val="en-US"/>
        </w:rPr>
        <w:instrText>lymphoblastic</w:instrText>
      </w:r>
      <w:r w:rsidR="002466C9" w:rsidRPr="00B929AC">
        <w:instrText xml:space="preserve"> </w:instrText>
      </w:r>
      <w:r w:rsidR="002466C9">
        <w:rPr>
          <w:lang w:val="en-US"/>
        </w:rPr>
        <w:instrText>leukemia</w:instrText>
      </w:r>
      <w:r w:rsidR="002466C9" w:rsidRPr="00B929AC">
        <w:instrText>-</w:instrText>
      </w:r>
      <w:r w:rsidR="002466C9">
        <w:rPr>
          <w:lang w:val="en-US"/>
        </w:rPr>
        <w:instrText>like</w:instrText>
      </w:r>
      <w:r w:rsidR="002466C9" w:rsidRPr="00B929AC">
        <w:instrText xml:space="preserve"> </w:instrText>
      </w:r>
      <w:r w:rsidR="002466C9">
        <w:rPr>
          <w:lang w:val="en-US"/>
        </w:rPr>
        <w:instrText>protocols</w:instrText>
      </w:r>
      <w:r w:rsidR="002466C9" w:rsidRPr="00B929AC">
        <w:instrText xml:space="preserve"> </w:instrText>
      </w:r>
      <w:r w:rsidR="002466C9">
        <w:rPr>
          <w:lang w:val="en-US"/>
        </w:rPr>
        <w:instrText>led</w:instrText>
      </w:r>
      <w:r w:rsidR="002466C9" w:rsidRPr="00B929AC">
        <w:instrText xml:space="preserve"> </w:instrText>
      </w:r>
      <w:r w:rsidR="002466C9">
        <w:rPr>
          <w:lang w:val="en-US"/>
        </w:rPr>
        <w:instrText>to</w:instrText>
      </w:r>
      <w:r w:rsidR="002466C9" w:rsidRPr="00B929AC">
        <w:instrText xml:space="preserve"> </w:instrText>
      </w:r>
      <w:r w:rsidR="002466C9">
        <w:rPr>
          <w:lang w:val="en-US"/>
        </w:rPr>
        <w:instrText>significantly</w:instrText>
      </w:r>
      <w:r w:rsidR="002466C9" w:rsidRPr="00B929AC">
        <w:instrText xml:space="preserve"> </w:instrText>
      </w:r>
      <w:r w:rsidR="002466C9">
        <w:rPr>
          <w:lang w:val="en-US"/>
        </w:rPr>
        <w:instrText>improved</w:instrText>
      </w:r>
      <w:r w:rsidR="002466C9" w:rsidRPr="00B929AC">
        <w:instrText xml:space="preserve"> </w:instrText>
      </w:r>
      <w:r w:rsidR="002466C9">
        <w:rPr>
          <w:lang w:val="en-US"/>
        </w:rPr>
        <w:instrText>results</w:instrText>
      </w:r>
      <w:r w:rsidR="002466C9" w:rsidRPr="00B929AC">
        <w:instrText xml:space="preserve">, </w:instrText>
      </w:r>
      <w:r w:rsidR="002466C9">
        <w:rPr>
          <w:lang w:val="en-US"/>
        </w:rPr>
        <w:instrText>with</w:instrText>
      </w:r>
      <w:r w:rsidR="002466C9" w:rsidRPr="00B929AC">
        <w:instrText xml:space="preserve"> </w:instrText>
      </w:r>
      <w:r w:rsidR="002466C9">
        <w:rPr>
          <w:lang w:val="en-US"/>
        </w:rPr>
        <w:instrText>survival</w:instrText>
      </w:r>
      <w:r w:rsidR="002466C9" w:rsidRPr="00B929AC">
        <w:instrText xml:space="preserve"> </w:instrText>
      </w:r>
      <w:r w:rsidR="002466C9">
        <w:rPr>
          <w:lang w:val="en-US"/>
        </w:rPr>
        <w:instrText>rates</w:instrText>
      </w:r>
      <w:r w:rsidR="002466C9" w:rsidRPr="00B929AC">
        <w:instrText xml:space="preserve"> </w:instrText>
      </w:r>
      <w:r w:rsidR="002466C9">
        <w:rPr>
          <w:lang w:val="en-US"/>
        </w:rPr>
        <w:instrText>of</w:instrText>
      </w:r>
      <w:r w:rsidR="002466C9" w:rsidRPr="00B929AC">
        <w:instrText xml:space="preserve"> </w:instrText>
      </w:r>
      <w:r w:rsidR="002466C9">
        <w:rPr>
          <w:lang w:val="en-US"/>
        </w:rPr>
        <w:instrText>about</w:instrText>
      </w:r>
      <w:r w:rsidR="002466C9" w:rsidRPr="00B929AC">
        <w:instrText xml:space="preserve"> 70% </w:instrText>
      </w:r>
      <w:r w:rsidR="002466C9">
        <w:rPr>
          <w:lang w:val="en-US"/>
        </w:rPr>
        <w:instrText>and</w:instrText>
      </w:r>
      <w:r w:rsidR="002466C9" w:rsidRPr="00B929AC">
        <w:instrText xml:space="preserve"> 90% </w:instrText>
      </w:r>
      <w:r w:rsidR="002466C9">
        <w:rPr>
          <w:lang w:val="en-US"/>
        </w:rPr>
        <w:instrText>in</w:instrText>
      </w:r>
      <w:r w:rsidR="002466C9" w:rsidRPr="00B929AC">
        <w:instrText xml:space="preserve"> </w:instrText>
      </w:r>
      <w:r w:rsidR="002466C9">
        <w:rPr>
          <w:lang w:val="en-US"/>
        </w:rPr>
        <w:instrText>adults</w:instrText>
      </w:r>
      <w:r w:rsidR="002466C9" w:rsidRPr="00B929AC">
        <w:instrText xml:space="preserve"> </w:instrText>
      </w:r>
      <w:r w:rsidR="002466C9">
        <w:rPr>
          <w:lang w:val="en-US"/>
        </w:rPr>
        <w:instrText>and</w:instrText>
      </w:r>
      <w:r w:rsidR="002466C9" w:rsidRPr="00B929AC">
        <w:instrText xml:space="preserve"> </w:instrText>
      </w:r>
      <w:r w:rsidR="002466C9">
        <w:rPr>
          <w:lang w:val="en-US"/>
        </w:rPr>
        <w:instrText>children</w:instrText>
      </w:r>
      <w:r w:rsidR="002466C9" w:rsidRPr="00B929AC">
        <w:instrText xml:space="preserve">, </w:instrText>
      </w:r>
      <w:r w:rsidR="002466C9">
        <w:rPr>
          <w:lang w:val="en-US"/>
        </w:rPr>
        <w:instrText>respectively</w:instrText>
      </w:r>
      <w:r w:rsidR="002466C9" w:rsidRPr="00B929AC">
        <w:instrText xml:space="preserve">. </w:instrText>
      </w:r>
      <w:r w:rsidR="002466C9">
        <w:rPr>
          <w:lang w:val="en-US"/>
        </w:rPr>
        <w:instrText>Adequate</w:instrText>
      </w:r>
      <w:r w:rsidR="002466C9" w:rsidRPr="00B929AC">
        <w:instrText xml:space="preserve"> </w:instrText>
      </w:r>
      <w:r w:rsidR="002466C9">
        <w:rPr>
          <w:lang w:val="en-US"/>
        </w:rPr>
        <w:instrText>central</w:instrText>
      </w:r>
      <w:r w:rsidR="002466C9" w:rsidRPr="00B929AC">
        <w:instrText xml:space="preserve"> </w:instrText>
      </w:r>
      <w:r w:rsidR="002466C9">
        <w:rPr>
          <w:lang w:val="en-US"/>
        </w:rPr>
        <w:instrText>nervous</w:instrText>
      </w:r>
      <w:r w:rsidR="002466C9" w:rsidRPr="00B929AC">
        <w:instrText xml:space="preserve"> </w:instrText>
      </w:r>
      <w:r w:rsidR="002466C9">
        <w:rPr>
          <w:lang w:val="en-US"/>
        </w:rPr>
        <w:instrText>system</w:instrText>
      </w:r>
      <w:r w:rsidR="002466C9" w:rsidRPr="00B929AC">
        <w:instrText xml:space="preserve"> </w:instrText>
      </w:r>
      <w:r w:rsidR="002466C9">
        <w:rPr>
          <w:lang w:val="en-US"/>
        </w:rPr>
        <w:instrText>prophylaxis</w:instrText>
      </w:r>
      <w:r w:rsidR="002466C9" w:rsidRPr="00B929AC">
        <w:instrText xml:space="preserve"> </w:instrText>
      </w:r>
      <w:r w:rsidR="002466C9">
        <w:rPr>
          <w:lang w:val="en-US"/>
        </w:rPr>
        <w:instrText>and</w:instrText>
      </w:r>
      <w:r w:rsidR="002466C9" w:rsidRPr="00B929AC">
        <w:instrText xml:space="preserve"> </w:instrText>
      </w:r>
      <w:r w:rsidR="002466C9">
        <w:rPr>
          <w:lang w:val="en-US"/>
        </w:rPr>
        <w:instrText>mediastinal</w:instrText>
      </w:r>
      <w:r w:rsidR="002466C9" w:rsidRPr="00B929AC">
        <w:instrText xml:space="preserve"> </w:instrText>
      </w:r>
      <w:r w:rsidR="002466C9">
        <w:rPr>
          <w:lang w:val="en-US"/>
        </w:rPr>
        <w:instrText>irradiation</w:instrText>
      </w:r>
      <w:r w:rsidR="002466C9" w:rsidRPr="00B929AC">
        <w:instrText xml:space="preserve"> </w:instrText>
      </w:r>
      <w:r w:rsidR="002466C9">
        <w:rPr>
          <w:lang w:val="en-US"/>
        </w:rPr>
        <w:instrText>contributed</w:instrText>
      </w:r>
      <w:r w:rsidR="002466C9" w:rsidRPr="00B929AC">
        <w:instrText xml:space="preserve"> </w:instrText>
      </w:r>
      <w:r w:rsidR="002466C9">
        <w:rPr>
          <w:lang w:val="en-US"/>
        </w:rPr>
        <w:instrText>to</w:instrText>
      </w:r>
      <w:r w:rsidR="002466C9" w:rsidRPr="00B929AC">
        <w:instrText xml:space="preserve"> </w:instrText>
      </w:r>
      <w:r w:rsidR="002466C9">
        <w:rPr>
          <w:lang w:val="en-US"/>
        </w:rPr>
        <w:instrText>the</w:instrText>
      </w:r>
      <w:r w:rsidR="002466C9" w:rsidRPr="00B929AC">
        <w:instrText xml:space="preserve"> </w:instrText>
      </w:r>
      <w:r w:rsidR="002466C9">
        <w:rPr>
          <w:lang w:val="en-US"/>
        </w:rPr>
        <w:instrText>therapeutic</w:instrText>
      </w:r>
      <w:r w:rsidR="002466C9" w:rsidRPr="00B929AC">
        <w:instrText xml:space="preserve"> </w:instrText>
      </w:r>
      <w:r w:rsidR="002466C9">
        <w:rPr>
          <w:lang w:val="en-US"/>
        </w:rPr>
        <w:instrText>success</w:instrText>
      </w:r>
      <w:r w:rsidR="002466C9" w:rsidRPr="00B929AC">
        <w:instrText xml:space="preserve">; </w:instrText>
      </w:r>
      <w:r w:rsidR="002466C9">
        <w:rPr>
          <w:lang w:val="en-US"/>
        </w:rPr>
        <w:instrText>however</w:instrText>
      </w:r>
      <w:r w:rsidR="002466C9" w:rsidRPr="00B929AC">
        <w:instrText xml:space="preserve">, </w:instrText>
      </w:r>
      <w:r w:rsidR="002466C9">
        <w:rPr>
          <w:lang w:val="en-US"/>
        </w:rPr>
        <w:instrText>the</w:instrText>
      </w:r>
      <w:r w:rsidR="002466C9" w:rsidRPr="00B929AC">
        <w:instrText xml:space="preserve"> </w:instrText>
      </w:r>
      <w:r w:rsidR="002466C9">
        <w:rPr>
          <w:lang w:val="en-US"/>
        </w:rPr>
        <w:instrText>role</w:instrText>
      </w:r>
      <w:r w:rsidR="002466C9" w:rsidRPr="00B929AC">
        <w:instrText xml:space="preserve"> </w:instrText>
      </w:r>
      <w:r w:rsidR="002466C9">
        <w:rPr>
          <w:lang w:val="en-US"/>
        </w:rPr>
        <w:instrText>of</w:instrText>
      </w:r>
      <w:r w:rsidR="002466C9" w:rsidRPr="00B929AC">
        <w:instrText xml:space="preserve"> </w:instrText>
      </w:r>
      <w:r w:rsidR="002466C9">
        <w:rPr>
          <w:lang w:val="en-US"/>
        </w:rPr>
        <w:instrText>radiation</w:instrText>
      </w:r>
      <w:r w:rsidR="002466C9" w:rsidRPr="00B929AC">
        <w:instrText xml:space="preserve"> </w:instrText>
      </w:r>
      <w:r w:rsidR="002466C9">
        <w:rPr>
          <w:lang w:val="en-US"/>
        </w:rPr>
        <w:instrText>therapy</w:instrText>
      </w:r>
      <w:r w:rsidR="002466C9" w:rsidRPr="00B929AC">
        <w:instrText xml:space="preserve"> </w:instrText>
      </w:r>
      <w:r w:rsidR="002466C9">
        <w:rPr>
          <w:lang w:val="en-US"/>
        </w:rPr>
        <w:instrText>is</w:instrText>
      </w:r>
      <w:r w:rsidR="002466C9" w:rsidRPr="00B929AC">
        <w:instrText xml:space="preserve"> </w:instrText>
      </w:r>
      <w:r w:rsidR="002466C9">
        <w:rPr>
          <w:lang w:val="en-US"/>
        </w:rPr>
        <w:instrText>debated</w:instrText>
      </w:r>
      <w:r w:rsidR="002466C9" w:rsidRPr="00B929AC">
        <w:instrText xml:space="preserve"> </w:instrText>
      </w:r>
      <w:r w:rsidR="002466C9">
        <w:rPr>
          <w:lang w:val="en-US"/>
        </w:rPr>
        <w:instrText>due</w:instrText>
      </w:r>
      <w:r w:rsidR="002466C9" w:rsidRPr="00B929AC">
        <w:instrText xml:space="preserve"> </w:instrText>
      </w:r>
      <w:r w:rsidR="002466C9">
        <w:rPr>
          <w:lang w:val="en-US"/>
        </w:rPr>
        <w:instrText>to</w:instrText>
      </w:r>
      <w:r w:rsidR="002466C9" w:rsidRPr="00B929AC">
        <w:instrText xml:space="preserve"> </w:instrText>
      </w:r>
      <w:r w:rsidR="002466C9">
        <w:rPr>
          <w:lang w:val="en-US"/>
        </w:rPr>
        <w:instrText>toxicity</w:instrText>
      </w:r>
      <w:r w:rsidR="002466C9" w:rsidRPr="00B929AC">
        <w:instrText xml:space="preserve"> </w:instrText>
      </w:r>
      <w:r w:rsidR="002466C9">
        <w:rPr>
          <w:lang w:val="en-US"/>
        </w:rPr>
        <w:instrText>concerns</w:instrText>
      </w:r>
      <w:r w:rsidR="002466C9" w:rsidRPr="00B929AC">
        <w:instrText xml:space="preserve"> </w:instrText>
      </w:r>
      <w:r w:rsidR="002466C9">
        <w:rPr>
          <w:lang w:val="en-US"/>
        </w:rPr>
        <w:instrText>and</w:instrText>
      </w:r>
      <w:r w:rsidR="002466C9" w:rsidRPr="00B929AC">
        <w:instrText xml:space="preserve"> </w:instrText>
      </w:r>
      <w:r w:rsidR="002466C9">
        <w:rPr>
          <w:lang w:val="en-US"/>
        </w:rPr>
        <w:instrText>the</w:instrText>
      </w:r>
      <w:r w:rsidR="002466C9" w:rsidRPr="00B929AC">
        <w:instrText xml:space="preserve"> </w:instrText>
      </w:r>
      <w:r w:rsidR="002466C9">
        <w:rPr>
          <w:lang w:val="en-US"/>
        </w:rPr>
        <w:instrText>excellent</w:instrText>
      </w:r>
      <w:r w:rsidR="002466C9" w:rsidRPr="00B929AC">
        <w:instrText xml:space="preserve"> </w:instrText>
      </w:r>
      <w:r w:rsidR="002466C9">
        <w:rPr>
          <w:lang w:val="en-US"/>
        </w:rPr>
        <w:instrText>results</w:instrText>
      </w:r>
      <w:r w:rsidR="002466C9" w:rsidRPr="00B929AC">
        <w:instrText xml:space="preserve"> </w:instrText>
      </w:r>
      <w:r w:rsidR="002466C9">
        <w:rPr>
          <w:lang w:val="en-US"/>
        </w:rPr>
        <w:instrText>obtained</w:instrText>
      </w:r>
      <w:r w:rsidR="002466C9" w:rsidRPr="00B929AC">
        <w:instrText xml:space="preserve"> </w:instrText>
      </w:r>
      <w:r w:rsidR="002466C9">
        <w:rPr>
          <w:lang w:val="en-US"/>
        </w:rPr>
        <w:instrText>with</w:instrText>
      </w:r>
      <w:r w:rsidR="002466C9" w:rsidRPr="00B929AC">
        <w:instrText xml:space="preserve"> </w:instrText>
      </w:r>
      <w:r w:rsidR="002466C9">
        <w:rPr>
          <w:lang w:val="en-US"/>
        </w:rPr>
        <w:instrText>radiation</w:instrText>
      </w:r>
      <w:r w:rsidR="002466C9" w:rsidRPr="00B929AC">
        <w:instrText>-</w:instrText>
      </w:r>
      <w:r w:rsidR="002466C9">
        <w:rPr>
          <w:lang w:val="en-US"/>
        </w:rPr>
        <w:instrText>free</w:instrText>
      </w:r>
      <w:r w:rsidR="002466C9" w:rsidRPr="00B929AC">
        <w:instrText xml:space="preserve"> </w:instrText>
      </w:r>
      <w:r w:rsidR="002466C9">
        <w:rPr>
          <w:lang w:val="en-US"/>
        </w:rPr>
        <w:instrText>programs</w:instrText>
      </w:r>
      <w:r w:rsidR="002466C9" w:rsidRPr="00B929AC">
        <w:instrText xml:space="preserve"> </w:instrText>
      </w:r>
      <w:r w:rsidR="002466C9">
        <w:rPr>
          <w:lang w:val="en-US"/>
        </w:rPr>
        <w:instrText>especially</w:instrText>
      </w:r>
      <w:r w:rsidR="002466C9" w:rsidRPr="00B929AC">
        <w:instrText xml:space="preserve"> </w:instrText>
      </w:r>
      <w:r w:rsidR="002466C9">
        <w:rPr>
          <w:lang w:val="en-US"/>
        </w:rPr>
        <w:instrText>in</w:instrText>
      </w:r>
      <w:r w:rsidR="002466C9" w:rsidRPr="00B929AC">
        <w:instrText xml:space="preserve"> </w:instrText>
      </w:r>
      <w:r w:rsidR="002466C9">
        <w:rPr>
          <w:lang w:val="en-US"/>
        </w:rPr>
        <w:instrText>pediatric</w:instrText>
      </w:r>
      <w:r w:rsidR="002466C9" w:rsidRPr="00B929AC">
        <w:instrText xml:space="preserve"> </w:instrText>
      </w:r>
      <w:r w:rsidR="002466C9">
        <w:rPr>
          <w:lang w:val="en-US"/>
        </w:rPr>
        <w:instrText>patients</w:instrText>
      </w:r>
      <w:r w:rsidR="002466C9" w:rsidRPr="00B929AC">
        <w:instrText xml:space="preserve">. </w:instrText>
      </w:r>
      <w:r w:rsidR="002466C9">
        <w:rPr>
          <w:lang w:val="en-US"/>
        </w:rPr>
        <w:instrText>With</w:instrText>
      </w:r>
      <w:r w:rsidR="002466C9" w:rsidRPr="00B929AC">
        <w:instrText xml:space="preserve"> </w:instrText>
      </w:r>
      <w:r w:rsidR="002466C9">
        <w:rPr>
          <w:lang w:val="en-US"/>
        </w:rPr>
        <w:instrText>these</w:instrText>
      </w:r>
      <w:r w:rsidR="002466C9" w:rsidRPr="00B929AC">
        <w:instrText xml:space="preserve"> </w:instrText>
      </w:r>
      <w:r w:rsidR="002466C9">
        <w:rPr>
          <w:lang w:val="en-US"/>
        </w:rPr>
        <w:instrText>modern</w:instrText>
      </w:r>
      <w:r w:rsidR="002466C9" w:rsidRPr="00B929AC">
        <w:instrText xml:space="preserve"> </w:instrText>
      </w:r>
      <w:r w:rsidR="002466C9">
        <w:rPr>
          <w:lang w:val="en-US"/>
        </w:rPr>
        <w:instrText>schedules</w:instrText>
      </w:r>
      <w:r w:rsidR="002466C9" w:rsidRPr="00B929AC">
        <w:instrText xml:space="preserve">, </w:instrText>
      </w:r>
      <w:r w:rsidR="002466C9">
        <w:rPr>
          <w:lang w:val="en-US"/>
        </w:rPr>
        <w:instrText>localized</w:instrText>
      </w:r>
      <w:r w:rsidR="002466C9" w:rsidRPr="00B929AC">
        <w:instrText xml:space="preserve"> </w:instrText>
      </w:r>
      <w:r w:rsidR="002466C9">
        <w:rPr>
          <w:lang w:val="en-US"/>
        </w:rPr>
        <w:instrText>radiotherapy</w:instrText>
      </w:r>
      <w:r w:rsidR="002466C9" w:rsidRPr="00B929AC">
        <w:instrText xml:space="preserve"> </w:instrText>
      </w:r>
      <w:r w:rsidR="002466C9">
        <w:rPr>
          <w:lang w:val="en-US"/>
        </w:rPr>
        <w:instrText>and</w:instrText>
      </w:r>
      <w:r w:rsidR="002466C9" w:rsidRPr="00B929AC">
        <w:instrText>/</w:instrText>
      </w:r>
      <w:r w:rsidR="002466C9">
        <w:rPr>
          <w:lang w:val="en-US"/>
        </w:rPr>
        <w:instrText>or</w:instrText>
      </w:r>
      <w:r w:rsidR="002466C9" w:rsidRPr="00B929AC">
        <w:instrText xml:space="preserve"> </w:instrText>
      </w:r>
      <w:r w:rsidR="002466C9">
        <w:rPr>
          <w:lang w:val="en-US"/>
        </w:rPr>
        <w:instrText>hematopoietic</w:instrText>
      </w:r>
      <w:r w:rsidR="002466C9" w:rsidRPr="00B929AC">
        <w:instrText xml:space="preserve"> </w:instrText>
      </w:r>
      <w:r w:rsidR="002466C9">
        <w:rPr>
          <w:lang w:val="en-US"/>
        </w:rPr>
        <w:instrText>stem</w:instrText>
      </w:r>
      <w:r w:rsidR="002466C9" w:rsidRPr="00B929AC">
        <w:instrText xml:space="preserve"> </w:instrText>
      </w:r>
      <w:r w:rsidR="002466C9">
        <w:rPr>
          <w:lang w:val="en-US"/>
        </w:rPr>
        <w:instrText>cell</w:instrText>
      </w:r>
      <w:r w:rsidR="002466C9" w:rsidRPr="00B929AC">
        <w:instrText xml:space="preserve"> </w:instrText>
      </w:r>
      <w:r w:rsidR="002466C9">
        <w:rPr>
          <w:lang w:val="en-US"/>
        </w:rPr>
        <w:instrText>transplants</w:instrText>
      </w:r>
      <w:r w:rsidR="002466C9" w:rsidRPr="00B929AC">
        <w:instrText xml:space="preserve"> </w:instrText>
      </w:r>
      <w:r w:rsidR="002466C9">
        <w:rPr>
          <w:lang w:val="en-US"/>
        </w:rPr>
        <w:instrText>could</w:instrText>
      </w:r>
      <w:r w:rsidR="002466C9" w:rsidRPr="00B929AC">
        <w:instrText xml:space="preserve"> </w:instrText>
      </w:r>
      <w:r w:rsidR="002466C9">
        <w:rPr>
          <w:lang w:val="en-US"/>
        </w:rPr>
        <w:instrText>be</w:instrText>
      </w:r>
      <w:r w:rsidR="002466C9" w:rsidRPr="00B929AC">
        <w:instrText xml:space="preserve"> </w:instrText>
      </w:r>
      <w:r w:rsidR="002466C9">
        <w:rPr>
          <w:lang w:val="en-US"/>
        </w:rPr>
        <w:instrText>generally</w:instrText>
      </w:r>
      <w:r w:rsidR="002466C9" w:rsidRPr="00B929AC">
        <w:instrText xml:space="preserve"> </w:instrText>
      </w:r>
      <w:r w:rsidR="002466C9">
        <w:rPr>
          <w:lang w:val="en-US"/>
        </w:rPr>
        <w:instrText>omitted</w:instrText>
      </w:r>
      <w:r w:rsidR="002466C9" w:rsidRPr="00B929AC">
        <w:instrText xml:space="preserve">, </w:instrText>
      </w:r>
      <w:r w:rsidR="002466C9">
        <w:rPr>
          <w:lang w:val="en-US"/>
        </w:rPr>
        <w:instrText>and</w:instrText>
      </w:r>
      <w:r w:rsidR="002466C9" w:rsidRPr="00B929AC">
        <w:instrText xml:space="preserve"> </w:instrText>
      </w:r>
      <w:r w:rsidR="002466C9">
        <w:rPr>
          <w:lang w:val="en-US"/>
        </w:rPr>
        <w:instrText>considered</w:instrText>
      </w:r>
      <w:r w:rsidR="002466C9" w:rsidRPr="00B929AC">
        <w:instrText xml:space="preserve"> </w:instrText>
      </w:r>
      <w:r w:rsidR="002466C9">
        <w:rPr>
          <w:lang w:val="en-US"/>
        </w:rPr>
        <w:instrText>only</w:instrText>
      </w:r>
      <w:r w:rsidR="002466C9" w:rsidRPr="00B929AC">
        <w:instrText xml:space="preserve"> </w:instrText>
      </w:r>
      <w:r w:rsidR="002466C9">
        <w:rPr>
          <w:lang w:val="en-US"/>
        </w:rPr>
        <w:instrText>for</w:instrText>
      </w:r>
      <w:r w:rsidR="002466C9" w:rsidRPr="00B929AC">
        <w:instrText xml:space="preserve"> </w:instrText>
      </w:r>
      <w:r w:rsidR="002466C9">
        <w:rPr>
          <w:lang w:val="en-US"/>
        </w:rPr>
        <w:instrText>high</w:instrText>
      </w:r>
      <w:r w:rsidR="002466C9" w:rsidRPr="00B929AC">
        <w:instrText>-</w:instrText>
      </w:r>
      <w:r w:rsidR="002466C9">
        <w:rPr>
          <w:lang w:val="en-US"/>
        </w:rPr>
        <w:instrText>risk</w:instrText>
      </w:r>
      <w:r w:rsidR="002466C9" w:rsidRPr="00B929AC">
        <w:instrText xml:space="preserve"> </w:instrText>
      </w:r>
      <w:r w:rsidR="002466C9">
        <w:rPr>
          <w:lang w:val="en-US"/>
        </w:rPr>
        <w:instrText>patients</w:instrText>
      </w:r>
      <w:r w:rsidR="002466C9" w:rsidRPr="00B929AC">
        <w:instrText xml:space="preserve"> </w:instrText>
      </w:r>
      <w:r w:rsidR="002466C9">
        <w:rPr>
          <w:lang w:val="en-US"/>
        </w:rPr>
        <w:instrText>identified</w:instrText>
      </w:r>
      <w:r w:rsidR="002466C9" w:rsidRPr="00B929AC">
        <w:instrText xml:space="preserve"> </w:instrText>
      </w:r>
      <w:r w:rsidR="002466C9">
        <w:rPr>
          <w:lang w:val="en-US"/>
        </w:rPr>
        <w:instrText>through</w:instrText>
      </w:r>
      <w:r w:rsidR="002466C9" w:rsidRPr="00B929AC">
        <w:instrText xml:space="preserve"> </w:instrText>
      </w:r>
      <w:r w:rsidR="002466C9">
        <w:rPr>
          <w:lang w:val="en-US"/>
        </w:rPr>
        <w:instrText>postinduction</w:instrText>
      </w:r>
      <w:r w:rsidR="002466C9" w:rsidRPr="00B929AC">
        <w:instrText xml:space="preserve"> </w:instrText>
      </w:r>
      <w:r w:rsidR="002466C9">
        <w:rPr>
          <w:lang w:val="en-US"/>
        </w:rPr>
        <w:instrText>computed</w:instrText>
      </w:r>
      <w:r w:rsidR="002466C9" w:rsidRPr="00B929AC">
        <w:instrText xml:space="preserve"> </w:instrText>
      </w:r>
      <w:r w:rsidR="002466C9">
        <w:rPr>
          <w:lang w:val="en-US"/>
        </w:rPr>
        <w:instrText>tomography</w:instrText>
      </w:r>
      <w:r w:rsidR="002466C9" w:rsidRPr="00B929AC">
        <w:instrText>/</w:instrText>
      </w:r>
      <w:r w:rsidR="002466C9">
        <w:rPr>
          <w:lang w:val="en-US"/>
        </w:rPr>
        <w:instrText>positron</w:instrText>
      </w:r>
      <w:r w:rsidR="002466C9" w:rsidRPr="00B929AC">
        <w:instrText>-</w:instrText>
      </w:r>
      <w:r w:rsidR="002466C9">
        <w:rPr>
          <w:lang w:val="en-US"/>
        </w:rPr>
        <w:instrText>emission</w:instrText>
      </w:r>
      <w:r w:rsidR="002466C9" w:rsidRPr="00B929AC">
        <w:instrText xml:space="preserve"> </w:instrText>
      </w:r>
      <w:r w:rsidR="002466C9">
        <w:rPr>
          <w:lang w:val="en-US"/>
        </w:rPr>
        <w:instrText>tomography</w:instrText>
      </w:r>
      <w:r w:rsidR="002466C9" w:rsidRPr="00B929AC">
        <w:instrText xml:space="preserve"> </w:instrText>
      </w:r>
      <w:r w:rsidR="002466C9">
        <w:rPr>
          <w:lang w:val="en-US"/>
        </w:rPr>
        <w:instrText>scans</w:instrText>
      </w:r>
      <w:r w:rsidR="002466C9" w:rsidRPr="00B929AC">
        <w:instrText xml:space="preserve">, </w:instrText>
      </w:r>
      <w:r w:rsidR="002466C9">
        <w:rPr>
          <w:lang w:val="en-US"/>
        </w:rPr>
        <w:instrText>minimal</w:instrText>
      </w:r>
      <w:r w:rsidR="002466C9" w:rsidRPr="00B929AC">
        <w:instrText xml:space="preserve"> </w:instrText>
      </w:r>
      <w:r w:rsidR="002466C9">
        <w:rPr>
          <w:lang w:val="en-US"/>
        </w:rPr>
        <w:instrText>residual</w:instrText>
      </w:r>
      <w:r w:rsidR="002466C9" w:rsidRPr="00B929AC">
        <w:instrText xml:space="preserve"> </w:instrText>
      </w:r>
      <w:r w:rsidR="002466C9">
        <w:rPr>
          <w:lang w:val="en-US"/>
        </w:rPr>
        <w:instrText>disease</w:instrText>
      </w:r>
      <w:r w:rsidR="002466C9" w:rsidRPr="00B929AC">
        <w:instrText xml:space="preserve"> </w:instrText>
      </w:r>
      <w:r w:rsidR="002466C9">
        <w:rPr>
          <w:lang w:val="en-US"/>
        </w:rPr>
        <w:instrText>analysis</w:instrText>
      </w:r>
      <w:r w:rsidR="002466C9" w:rsidRPr="00B929AC">
        <w:instrText xml:space="preserve">, </w:instrText>
      </w:r>
      <w:r w:rsidR="002466C9">
        <w:rPr>
          <w:lang w:val="en-US"/>
        </w:rPr>
        <w:instrText>and</w:instrText>
      </w:r>
      <w:r w:rsidR="002466C9" w:rsidRPr="00B929AC">
        <w:instrText xml:space="preserve"> </w:instrText>
      </w:r>
      <w:r w:rsidR="002466C9">
        <w:rPr>
          <w:lang w:val="en-US"/>
        </w:rPr>
        <w:instrText>new</w:instrText>
      </w:r>
      <w:r w:rsidR="002466C9" w:rsidRPr="00B929AC">
        <w:instrText xml:space="preserve"> </w:instrText>
      </w:r>
      <w:r w:rsidR="002466C9">
        <w:rPr>
          <w:lang w:val="en-US"/>
        </w:rPr>
        <w:instrText>genetics</w:instrText>
      </w:r>
      <w:r w:rsidR="002466C9" w:rsidRPr="00B929AC">
        <w:instrText xml:space="preserve"> </w:instrText>
      </w:r>
      <w:r w:rsidR="002466C9">
        <w:rPr>
          <w:lang w:val="en-US"/>
        </w:rPr>
        <w:instrText>and</w:instrText>
      </w:r>
      <w:r w:rsidR="002466C9" w:rsidRPr="00B929AC">
        <w:instrText xml:space="preserve"> </w:instrText>
      </w:r>
      <w:r w:rsidR="002466C9">
        <w:rPr>
          <w:lang w:val="en-US"/>
        </w:rPr>
        <w:instrText>genomics</w:instrText>
      </w:r>
      <w:r w:rsidR="002466C9" w:rsidRPr="00B929AC">
        <w:instrText xml:space="preserve">. </w:instrText>
      </w:r>
      <w:r w:rsidR="002466C9">
        <w:rPr>
          <w:lang w:val="en-US"/>
        </w:rPr>
        <w:instrText>New</w:instrText>
      </w:r>
      <w:r w:rsidR="002466C9" w:rsidRPr="00B929AC">
        <w:instrText xml:space="preserve"> </w:instrText>
      </w:r>
      <w:r w:rsidR="002466C9">
        <w:rPr>
          <w:lang w:val="en-US"/>
        </w:rPr>
        <w:instrText>clinical</w:instrText>
      </w:r>
      <w:r w:rsidR="002466C9" w:rsidRPr="00B929AC">
        <w:instrText xml:space="preserve"> </w:instrText>
      </w:r>
      <w:r w:rsidR="002466C9">
        <w:rPr>
          <w:lang w:val="en-US"/>
        </w:rPr>
        <w:instrText>studies</w:instrText>
      </w:r>
      <w:r w:rsidR="002466C9" w:rsidRPr="00B929AC">
        <w:instrText xml:space="preserve"> </w:instrText>
      </w:r>
      <w:r w:rsidR="002466C9">
        <w:rPr>
          <w:lang w:val="en-US"/>
        </w:rPr>
        <w:instrText>will</w:instrText>
      </w:r>
      <w:r w:rsidR="002466C9" w:rsidRPr="00B929AC">
        <w:instrText xml:space="preserve"> </w:instrText>
      </w:r>
      <w:r w:rsidR="002466C9">
        <w:rPr>
          <w:lang w:val="en-US"/>
        </w:rPr>
        <w:instrText>have</w:instrText>
      </w:r>
      <w:r w:rsidR="002466C9" w:rsidRPr="00B929AC">
        <w:instrText xml:space="preserve"> </w:instrText>
      </w:r>
      <w:r w:rsidR="002466C9">
        <w:rPr>
          <w:lang w:val="en-US"/>
        </w:rPr>
        <w:instrText>to</w:instrText>
      </w:r>
      <w:r w:rsidR="002466C9" w:rsidRPr="00B929AC">
        <w:instrText xml:space="preserve"> </w:instrText>
      </w:r>
      <w:r w:rsidR="002466C9">
        <w:rPr>
          <w:lang w:val="en-US"/>
        </w:rPr>
        <w:instrText>confirm</w:instrText>
      </w:r>
      <w:r w:rsidR="002466C9" w:rsidRPr="00B929AC">
        <w:instrText xml:space="preserve"> </w:instrText>
      </w:r>
      <w:r w:rsidR="002466C9">
        <w:rPr>
          <w:lang w:val="en-US"/>
        </w:rPr>
        <w:instrText>the</w:instrText>
      </w:r>
      <w:r w:rsidR="002466C9" w:rsidRPr="00B929AC">
        <w:instrText xml:space="preserve"> </w:instrText>
      </w:r>
      <w:r w:rsidR="002466C9">
        <w:rPr>
          <w:lang w:val="en-US"/>
        </w:rPr>
        <w:instrText>value</w:instrText>
      </w:r>
      <w:r w:rsidR="002466C9" w:rsidRPr="00B929AC">
        <w:instrText xml:space="preserve"> </w:instrText>
      </w:r>
      <w:r w:rsidR="002466C9">
        <w:rPr>
          <w:lang w:val="en-US"/>
        </w:rPr>
        <w:instrText>of</w:instrText>
      </w:r>
      <w:r w:rsidR="002466C9" w:rsidRPr="00B929AC">
        <w:instrText xml:space="preserve"> </w:instrText>
      </w:r>
      <w:r w:rsidR="002466C9">
        <w:rPr>
          <w:lang w:val="en-US"/>
        </w:rPr>
        <w:instrText>these</w:instrText>
      </w:r>
      <w:r w:rsidR="002466C9" w:rsidRPr="00B929AC">
        <w:instrText xml:space="preserve"> </w:instrText>
      </w:r>
      <w:r w:rsidR="002466C9">
        <w:rPr>
          <w:lang w:val="en-US"/>
        </w:rPr>
        <w:instrText>assays</w:instrText>
      </w:r>
      <w:r w:rsidR="002466C9" w:rsidRPr="00B929AC">
        <w:instrText xml:space="preserve"> </w:instrText>
      </w:r>
      <w:r w:rsidR="002466C9">
        <w:rPr>
          <w:lang w:val="en-US"/>
        </w:rPr>
        <w:instrText>for</w:instrText>
      </w:r>
      <w:r w:rsidR="002466C9" w:rsidRPr="00B929AC">
        <w:instrText xml:space="preserve"> </w:instrText>
      </w:r>
      <w:r w:rsidR="002466C9">
        <w:rPr>
          <w:lang w:val="en-US"/>
        </w:rPr>
        <w:instrText>risk</w:instrText>
      </w:r>
      <w:r w:rsidR="002466C9" w:rsidRPr="00B929AC">
        <w:instrText>-</w:instrText>
      </w:r>
      <w:r w:rsidR="002466C9">
        <w:rPr>
          <w:lang w:val="en-US"/>
        </w:rPr>
        <w:instrText>oriented</w:instrText>
      </w:r>
      <w:r w:rsidR="002466C9" w:rsidRPr="00B929AC">
        <w:instrText xml:space="preserve"> </w:instrText>
      </w:r>
      <w:r w:rsidR="002466C9">
        <w:rPr>
          <w:lang w:val="en-US"/>
        </w:rPr>
        <w:instrText>therapy</w:instrText>
      </w:r>
      <w:r w:rsidR="002466C9" w:rsidRPr="00B929AC">
        <w:instrText xml:space="preserve">, </w:instrText>
      </w:r>
      <w:r w:rsidR="002466C9">
        <w:rPr>
          <w:lang w:val="en-US"/>
        </w:rPr>
        <w:instrText>while</w:instrText>
      </w:r>
      <w:r w:rsidR="002466C9" w:rsidRPr="00B929AC">
        <w:instrText xml:space="preserve"> </w:instrText>
      </w:r>
      <w:r w:rsidR="002466C9">
        <w:rPr>
          <w:lang w:val="en-US"/>
        </w:rPr>
        <w:instrText>further</w:instrText>
      </w:r>
      <w:r w:rsidR="002466C9" w:rsidRPr="00B929AC">
        <w:instrText xml:space="preserve"> </w:instrText>
      </w:r>
      <w:r w:rsidR="002466C9">
        <w:rPr>
          <w:lang w:val="en-US"/>
        </w:rPr>
        <w:instrText>therapeutic</w:instrText>
      </w:r>
      <w:r w:rsidR="002466C9" w:rsidRPr="00B929AC">
        <w:instrText xml:space="preserve"> </w:instrText>
      </w:r>
      <w:r w:rsidR="002466C9">
        <w:rPr>
          <w:lang w:val="en-US"/>
        </w:rPr>
        <w:instrText>progress</w:instrText>
      </w:r>
      <w:r w:rsidR="002466C9" w:rsidRPr="00B929AC">
        <w:instrText xml:space="preserve"> </w:instrText>
      </w:r>
      <w:r w:rsidR="002466C9">
        <w:rPr>
          <w:lang w:val="en-US"/>
        </w:rPr>
        <w:instrText>is</w:instrText>
      </w:r>
      <w:r w:rsidR="002466C9" w:rsidRPr="00B929AC">
        <w:instrText xml:space="preserve"> </w:instrText>
      </w:r>
      <w:r w:rsidR="002466C9">
        <w:rPr>
          <w:lang w:val="en-US"/>
        </w:rPr>
        <w:instrText>expected</w:instrText>
      </w:r>
      <w:r w:rsidR="002466C9" w:rsidRPr="00B929AC">
        <w:instrText xml:space="preserve"> </w:instrText>
      </w:r>
      <w:r w:rsidR="002466C9">
        <w:rPr>
          <w:lang w:val="en-US"/>
        </w:rPr>
        <w:instrText>from</w:instrText>
      </w:r>
      <w:r w:rsidR="002466C9" w:rsidRPr="00B929AC">
        <w:instrText xml:space="preserve"> </w:instrText>
      </w:r>
      <w:r w:rsidR="002466C9">
        <w:rPr>
          <w:lang w:val="en-US"/>
        </w:rPr>
        <w:instrText>the</w:instrText>
      </w:r>
      <w:r w:rsidR="002466C9" w:rsidRPr="00B929AC">
        <w:instrText xml:space="preserve"> </w:instrText>
      </w:r>
      <w:r w:rsidR="002466C9">
        <w:rPr>
          <w:lang w:val="en-US"/>
        </w:rPr>
        <w:instrText>introduction</w:instrText>
      </w:r>
      <w:r w:rsidR="002466C9" w:rsidRPr="00B929AC">
        <w:instrText xml:space="preserve"> </w:instrText>
      </w:r>
      <w:r w:rsidR="002466C9">
        <w:rPr>
          <w:lang w:val="en-US"/>
        </w:rPr>
        <w:instrText>of</w:instrText>
      </w:r>
      <w:r w:rsidR="002466C9" w:rsidRPr="00B929AC">
        <w:instrText xml:space="preserve"> </w:instrText>
      </w:r>
      <w:r w:rsidR="002466C9">
        <w:rPr>
          <w:lang w:val="en-US"/>
        </w:rPr>
        <w:instrText>new</w:instrText>
      </w:r>
      <w:r w:rsidR="002466C9" w:rsidRPr="00B929AC">
        <w:instrText xml:space="preserve"> </w:instrText>
      </w:r>
      <w:r w:rsidR="002466C9">
        <w:rPr>
          <w:lang w:val="en-US"/>
        </w:rPr>
        <w:instrText>drugs</w:instrText>
      </w:r>
      <w:r w:rsidR="002466C9" w:rsidRPr="00B929AC">
        <w:instrText xml:space="preserve"> </w:instrText>
      </w:r>
      <w:r w:rsidR="002466C9">
        <w:rPr>
          <w:lang w:val="en-US"/>
        </w:rPr>
        <w:instrText>and</w:instrText>
      </w:r>
      <w:r w:rsidR="002466C9" w:rsidRPr="00B929AC">
        <w:instrText xml:space="preserve"> </w:instrText>
      </w:r>
      <w:r w:rsidR="002466C9">
        <w:rPr>
          <w:lang w:val="en-US"/>
        </w:rPr>
        <w:instrText>targeting</w:instrText>
      </w:r>
      <w:r w:rsidR="002466C9" w:rsidRPr="00B929AC">
        <w:instrText xml:space="preserve"> </w:instrText>
      </w:r>
      <w:r w:rsidR="002466C9">
        <w:rPr>
          <w:lang w:val="en-US"/>
        </w:rPr>
        <w:instrText>agents</w:instrText>
      </w:r>
      <w:r w:rsidR="002466C9" w:rsidRPr="00B929AC">
        <w:instrText>.","</w:instrText>
      </w:r>
      <w:r w:rsidR="002466C9">
        <w:rPr>
          <w:lang w:val="en-US"/>
        </w:rPr>
        <w:instrText>author</w:instrText>
      </w:r>
      <w:r w:rsidR="002466C9" w:rsidRPr="00B929AC">
        <w:instrText>":[{"</w:instrText>
      </w:r>
      <w:r w:rsidR="002466C9">
        <w:rPr>
          <w:lang w:val="en-US"/>
        </w:rPr>
        <w:instrText>dropping</w:instrText>
      </w:r>
      <w:r w:rsidR="002466C9" w:rsidRPr="00B929AC">
        <w:instrText>-</w:instrText>
      </w:r>
      <w:r w:rsidR="002466C9">
        <w:rPr>
          <w:lang w:val="en-US"/>
        </w:rPr>
        <w:instrText>particle</w:instrText>
      </w:r>
      <w:r w:rsidR="002466C9" w:rsidRPr="00B929AC">
        <w:instrText>":"","</w:instrText>
      </w:r>
      <w:r w:rsidR="002466C9">
        <w:rPr>
          <w:lang w:val="en-US"/>
        </w:rPr>
        <w:instrText>family</w:instrText>
      </w:r>
      <w:r w:rsidR="002466C9" w:rsidRPr="00B929AC">
        <w:instrText>":"</w:instrText>
      </w:r>
      <w:r w:rsidR="002466C9">
        <w:rPr>
          <w:lang w:val="en-US"/>
        </w:rPr>
        <w:instrText>Bassan</w:instrText>
      </w:r>
      <w:r w:rsidR="002466C9" w:rsidRPr="00B929AC">
        <w:instrText>","</w:instrText>
      </w:r>
      <w:r w:rsidR="002466C9">
        <w:rPr>
          <w:lang w:val="en-US"/>
        </w:rPr>
        <w:instrText>given</w:instrText>
      </w:r>
      <w:r w:rsidR="002466C9" w:rsidRPr="00B929AC">
        <w:instrText>":"</w:instrText>
      </w:r>
      <w:r w:rsidR="002466C9">
        <w:rPr>
          <w:lang w:val="en-US"/>
        </w:rPr>
        <w:instrText>Renato</w:instrText>
      </w:r>
      <w:r w:rsidR="002466C9" w:rsidRPr="00B929AC">
        <w:instrText>","</w:instrText>
      </w:r>
      <w:r w:rsidR="002466C9">
        <w:rPr>
          <w:lang w:val="en-US"/>
        </w:rPr>
        <w:instrText>non</w:instrText>
      </w:r>
      <w:r w:rsidR="002466C9" w:rsidRPr="00B929AC">
        <w:instrText>-</w:instrText>
      </w:r>
      <w:r w:rsidR="002466C9">
        <w:rPr>
          <w:lang w:val="en-US"/>
        </w:rPr>
        <w:instrText>dropping</w:instrText>
      </w:r>
      <w:r w:rsidR="002466C9" w:rsidRPr="00B929AC">
        <w:instrText>-</w:instrText>
      </w:r>
      <w:r w:rsidR="002466C9">
        <w:rPr>
          <w:lang w:val="en-US"/>
        </w:rPr>
        <w:instrText>particle</w:instrText>
      </w:r>
      <w:r w:rsidR="002466C9" w:rsidRPr="00B929AC">
        <w:instrText>":"","</w:instrText>
      </w:r>
      <w:r w:rsidR="002466C9">
        <w:rPr>
          <w:lang w:val="en-US"/>
        </w:rPr>
        <w:instrText>parse</w:instrText>
      </w:r>
      <w:r w:rsidR="002466C9" w:rsidRPr="00B929AC">
        <w:instrText>-</w:instrText>
      </w:r>
      <w:r w:rsidR="002466C9">
        <w:rPr>
          <w:lang w:val="en-US"/>
        </w:rPr>
        <w:instrText>names</w:instrText>
      </w:r>
      <w:r w:rsidR="002466C9" w:rsidRPr="00B929AC">
        <w:instrText>":</w:instrText>
      </w:r>
      <w:r w:rsidR="002466C9">
        <w:rPr>
          <w:lang w:val="en-US"/>
        </w:rPr>
        <w:instrText>false</w:instrText>
      </w:r>
      <w:r w:rsidR="002466C9" w:rsidRPr="00B929AC">
        <w:instrText>,"</w:instrText>
      </w:r>
      <w:r w:rsidR="002466C9">
        <w:rPr>
          <w:lang w:val="en-US"/>
        </w:rPr>
        <w:instrText>suffix</w:instrText>
      </w:r>
      <w:r w:rsidR="002466C9" w:rsidRPr="00B929AC">
        <w:instrText>":""},{"</w:instrText>
      </w:r>
      <w:r w:rsidR="002466C9">
        <w:rPr>
          <w:lang w:val="en-US"/>
        </w:rPr>
        <w:instrText>dropping</w:instrText>
      </w:r>
      <w:r w:rsidR="002466C9" w:rsidRPr="00B929AC">
        <w:instrText>-</w:instrText>
      </w:r>
      <w:r w:rsidR="002466C9">
        <w:rPr>
          <w:lang w:val="en-US"/>
        </w:rPr>
        <w:instrText>particle</w:instrText>
      </w:r>
      <w:r w:rsidR="002466C9" w:rsidRPr="00B929AC">
        <w:instrText>":"","</w:instrText>
      </w:r>
      <w:r w:rsidR="002466C9">
        <w:rPr>
          <w:lang w:val="en-US"/>
        </w:rPr>
        <w:instrText>family</w:instrText>
      </w:r>
      <w:r w:rsidR="002466C9" w:rsidRPr="00B929AC">
        <w:instrText>":"</w:instrText>
      </w:r>
      <w:r w:rsidR="002466C9">
        <w:rPr>
          <w:lang w:val="en-US"/>
        </w:rPr>
        <w:instrText>Maino</w:instrText>
      </w:r>
      <w:r w:rsidR="002466C9" w:rsidRPr="00B929AC">
        <w:instrText>","</w:instrText>
      </w:r>
      <w:r w:rsidR="002466C9">
        <w:rPr>
          <w:lang w:val="en-US"/>
        </w:rPr>
        <w:instrText>given</w:instrText>
      </w:r>
      <w:r w:rsidR="002466C9" w:rsidRPr="00B929AC">
        <w:instrText>":"</w:instrText>
      </w:r>
      <w:r w:rsidR="002466C9">
        <w:rPr>
          <w:lang w:val="en-US"/>
        </w:rPr>
        <w:instrText>Elena</w:instrText>
      </w:r>
      <w:r w:rsidR="002466C9" w:rsidRPr="00B929AC">
        <w:instrText>","</w:instrText>
      </w:r>
      <w:r w:rsidR="002466C9">
        <w:rPr>
          <w:lang w:val="en-US"/>
        </w:rPr>
        <w:instrText>non</w:instrText>
      </w:r>
      <w:r w:rsidR="002466C9" w:rsidRPr="00B929AC">
        <w:instrText>-</w:instrText>
      </w:r>
      <w:r w:rsidR="002466C9">
        <w:rPr>
          <w:lang w:val="en-US"/>
        </w:rPr>
        <w:instrText>dropping</w:instrText>
      </w:r>
      <w:r w:rsidR="002466C9" w:rsidRPr="00B929AC">
        <w:instrText>-</w:instrText>
      </w:r>
      <w:r w:rsidR="002466C9">
        <w:rPr>
          <w:lang w:val="en-US"/>
        </w:rPr>
        <w:instrText>particle</w:instrText>
      </w:r>
      <w:r w:rsidR="002466C9" w:rsidRPr="00B929AC">
        <w:instrText>":"","</w:instrText>
      </w:r>
      <w:r w:rsidR="002466C9">
        <w:rPr>
          <w:lang w:val="en-US"/>
        </w:rPr>
        <w:instrText>parse</w:instrText>
      </w:r>
      <w:r w:rsidR="002466C9" w:rsidRPr="00B929AC">
        <w:instrText>-</w:instrText>
      </w:r>
      <w:r w:rsidR="002466C9">
        <w:rPr>
          <w:lang w:val="en-US"/>
        </w:rPr>
        <w:instrText>names</w:instrText>
      </w:r>
      <w:r w:rsidR="002466C9" w:rsidRPr="00B929AC">
        <w:instrText>":</w:instrText>
      </w:r>
      <w:r w:rsidR="002466C9">
        <w:rPr>
          <w:lang w:val="en-US"/>
        </w:rPr>
        <w:instrText>false</w:instrText>
      </w:r>
      <w:r w:rsidR="002466C9" w:rsidRPr="00B929AC">
        <w:instrText>,"</w:instrText>
      </w:r>
      <w:r w:rsidR="002466C9">
        <w:rPr>
          <w:lang w:val="en-US"/>
        </w:rPr>
        <w:instrText>suffix</w:instrText>
      </w:r>
      <w:r w:rsidR="002466C9" w:rsidRPr="00B929AC">
        <w:instrText>":""},{"</w:instrText>
      </w:r>
      <w:r w:rsidR="002466C9">
        <w:rPr>
          <w:lang w:val="en-US"/>
        </w:rPr>
        <w:instrText>dropping</w:instrText>
      </w:r>
      <w:r w:rsidR="002466C9" w:rsidRPr="00B929AC">
        <w:instrText>-</w:instrText>
      </w:r>
      <w:r w:rsidR="002466C9">
        <w:rPr>
          <w:lang w:val="en-US"/>
        </w:rPr>
        <w:instrText>particle</w:instrText>
      </w:r>
      <w:r w:rsidR="002466C9" w:rsidRPr="00B929AC">
        <w:instrText>":"","</w:instrText>
      </w:r>
      <w:r w:rsidR="002466C9">
        <w:rPr>
          <w:lang w:val="en-US"/>
        </w:rPr>
        <w:instrText>family</w:instrText>
      </w:r>
      <w:r w:rsidR="002466C9" w:rsidRPr="00B929AC">
        <w:instrText>":"</w:instrText>
      </w:r>
      <w:r w:rsidR="002466C9">
        <w:rPr>
          <w:lang w:val="en-US"/>
        </w:rPr>
        <w:instrText>Cortelazzo</w:instrText>
      </w:r>
      <w:r w:rsidR="002466C9" w:rsidRPr="00B929AC">
        <w:instrText>","</w:instrText>
      </w:r>
      <w:r w:rsidR="002466C9">
        <w:rPr>
          <w:lang w:val="en-US"/>
        </w:rPr>
        <w:instrText>given</w:instrText>
      </w:r>
      <w:r w:rsidR="002466C9" w:rsidRPr="00B929AC">
        <w:instrText>":"</w:instrText>
      </w:r>
      <w:r w:rsidR="002466C9">
        <w:rPr>
          <w:lang w:val="en-US"/>
        </w:rPr>
        <w:instrText>Sergio</w:instrText>
      </w:r>
      <w:r w:rsidR="002466C9" w:rsidRPr="00B929AC">
        <w:instrText>","</w:instrText>
      </w:r>
      <w:r w:rsidR="002466C9">
        <w:rPr>
          <w:lang w:val="en-US"/>
        </w:rPr>
        <w:instrText>non</w:instrText>
      </w:r>
      <w:r w:rsidR="002466C9" w:rsidRPr="00B929AC">
        <w:instrText>-</w:instrText>
      </w:r>
      <w:r w:rsidR="002466C9">
        <w:rPr>
          <w:lang w:val="en-US"/>
        </w:rPr>
        <w:instrText>dropping</w:instrText>
      </w:r>
      <w:r w:rsidR="002466C9" w:rsidRPr="00B929AC">
        <w:instrText>-</w:instrText>
      </w:r>
      <w:r w:rsidR="002466C9">
        <w:rPr>
          <w:lang w:val="en-US"/>
        </w:rPr>
        <w:instrText>particle</w:instrText>
      </w:r>
      <w:r w:rsidR="002466C9" w:rsidRPr="00B929AC">
        <w:instrText>":"","</w:instrText>
      </w:r>
      <w:r w:rsidR="002466C9">
        <w:rPr>
          <w:lang w:val="en-US"/>
        </w:rPr>
        <w:instrText>parse</w:instrText>
      </w:r>
      <w:r w:rsidR="002466C9" w:rsidRPr="00B929AC">
        <w:instrText>-</w:instrText>
      </w:r>
      <w:r w:rsidR="002466C9">
        <w:rPr>
          <w:lang w:val="en-US"/>
        </w:rPr>
        <w:instrText>names</w:instrText>
      </w:r>
      <w:r w:rsidR="002466C9" w:rsidRPr="00B929AC">
        <w:instrText>":</w:instrText>
      </w:r>
      <w:r w:rsidR="002466C9">
        <w:rPr>
          <w:lang w:val="en-US"/>
        </w:rPr>
        <w:instrText>false</w:instrText>
      </w:r>
      <w:r w:rsidR="002466C9" w:rsidRPr="00B929AC">
        <w:instrText>,"</w:instrText>
      </w:r>
      <w:r w:rsidR="002466C9">
        <w:rPr>
          <w:lang w:val="en-US"/>
        </w:rPr>
        <w:instrText>suffix</w:instrText>
      </w:r>
      <w:r w:rsidR="002466C9" w:rsidRPr="00B929AC">
        <w:instrText>":""}],"</w:instrText>
      </w:r>
      <w:r w:rsidR="002466C9">
        <w:rPr>
          <w:lang w:val="en-US"/>
        </w:rPr>
        <w:instrText>container</w:instrText>
      </w:r>
      <w:r w:rsidR="002466C9" w:rsidRPr="00B929AC">
        <w:instrText>-</w:instrText>
      </w:r>
      <w:r w:rsidR="002466C9">
        <w:rPr>
          <w:lang w:val="en-US"/>
        </w:rPr>
        <w:instrText>title</w:instrText>
      </w:r>
      <w:r w:rsidR="002466C9" w:rsidRPr="00B929AC">
        <w:instrText>":"</w:instrText>
      </w:r>
      <w:r w:rsidR="002466C9">
        <w:rPr>
          <w:lang w:val="en-US"/>
        </w:rPr>
        <w:instrText>European</w:instrText>
      </w:r>
      <w:r w:rsidR="002466C9" w:rsidRPr="00B929AC">
        <w:instrText xml:space="preserve"> </w:instrText>
      </w:r>
      <w:r w:rsidR="002466C9">
        <w:rPr>
          <w:lang w:val="en-US"/>
        </w:rPr>
        <w:instrText>journal</w:instrText>
      </w:r>
      <w:r w:rsidR="002466C9" w:rsidRPr="00B929AC">
        <w:instrText xml:space="preserve"> </w:instrText>
      </w:r>
      <w:r w:rsidR="002466C9">
        <w:rPr>
          <w:lang w:val="en-US"/>
        </w:rPr>
        <w:instrText>of</w:instrText>
      </w:r>
      <w:r w:rsidR="002466C9" w:rsidRPr="00B929AC">
        <w:instrText xml:space="preserve"> </w:instrText>
      </w:r>
      <w:r w:rsidR="002466C9">
        <w:rPr>
          <w:lang w:val="en-US"/>
        </w:rPr>
        <w:instrText>haematology</w:instrText>
      </w:r>
      <w:r w:rsidR="002466C9" w:rsidRPr="00B929AC">
        <w:instrText>","</w:instrText>
      </w:r>
      <w:r w:rsidR="002466C9">
        <w:rPr>
          <w:lang w:val="en-US"/>
        </w:rPr>
        <w:instrText>id</w:instrText>
      </w:r>
      <w:r w:rsidR="002466C9" w:rsidRPr="00B929AC">
        <w:instrText>":"</w:instrText>
      </w:r>
      <w:r w:rsidR="002466C9">
        <w:rPr>
          <w:lang w:val="en-US"/>
        </w:rPr>
        <w:instrText>ITEM</w:instrText>
      </w:r>
      <w:r w:rsidR="002466C9" w:rsidRPr="00B929AC">
        <w:instrText>-1","</w:instrText>
      </w:r>
      <w:r w:rsidR="002466C9">
        <w:rPr>
          <w:lang w:val="en-US"/>
        </w:rPr>
        <w:instrText>issue</w:instrText>
      </w:r>
      <w:r w:rsidR="002466C9" w:rsidRPr="00B929AC">
        <w:instrText>":"5","</w:instrText>
      </w:r>
      <w:r w:rsidR="002466C9">
        <w:rPr>
          <w:lang w:val="en-US"/>
        </w:rPr>
        <w:instrText>issued</w:instrText>
      </w:r>
      <w:r w:rsidR="002466C9" w:rsidRPr="00B929AC">
        <w:instrText>":{"</w:instrText>
      </w:r>
      <w:r w:rsidR="002466C9">
        <w:rPr>
          <w:lang w:val="en-US"/>
        </w:rPr>
        <w:instrText>date</w:instrText>
      </w:r>
      <w:r w:rsidR="002466C9" w:rsidRPr="00B929AC">
        <w:instrText>-</w:instrText>
      </w:r>
      <w:r w:rsidR="002466C9">
        <w:rPr>
          <w:lang w:val="en-US"/>
        </w:rPr>
        <w:instrText>parts</w:instrText>
      </w:r>
      <w:r w:rsidR="002466C9" w:rsidRPr="00B929AC">
        <w:instrText>":[["2016","5"]]},"</w:instrText>
      </w:r>
      <w:r w:rsidR="002466C9">
        <w:rPr>
          <w:lang w:val="en-US"/>
        </w:rPr>
        <w:instrText>page</w:instrText>
      </w:r>
      <w:r w:rsidR="002466C9" w:rsidRPr="00B929AC">
        <w:instrText>":"447-60","</w:instrText>
      </w:r>
      <w:r w:rsidR="002466C9">
        <w:rPr>
          <w:lang w:val="en-US"/>
        </w:rPr>
        <w:instrText>title</w:instrText>
      </w:r>
      <w:r w:rsidR="002466C9" w:rsidRPr="00B929AC">
        <w:instrText>":"</w:instrText>
      </w:r>
      <w:r w:rsidR="002466C9">
        <w:rPr>
          <w:lang w:val="en-US"/>
        </w:rPr>
        <w:instrText>Lymphoblastic</w:instrText>
      </w:r>
      <w:r w:rsidR="002466C9" w:rsidRPr="00B929AC">
        <w:instrText xml:space="preserve"> </w:instrText>
      </w:r>
      <w:r w:rsidR="002466C9">
        <w:rPr>
          <w:lang w:val="en-US"/>
        </w:rPr>
        <w:instrText>lymphoma</w:instrText>
      </w:r>
      <w:r w:rsidR="002466C9" w:rsidRPr="00B929AC">
        <w:instrText xml:space="preserve">: </w:instrText>
      </w:r>
      <w:r w:rsidR="002466C9">
        <w:rPr>
          <w:lang w:val="en-US"/>
        </w:rPr>
        <w:instrText>an</w:instrText>
      </w:r>
      <w:r w:rsidR="002466C9" w:rsidRPr="00B929AC">
        <w:instrText xml:space="preserve"> </w:instrText>
      </w:r>
      <w:r w:rsidR="002466C9">
        <w:rPr>
          <w:lang w:val="en-US"/>
        </w:rPr>
        <w:instrText>updated</w:instrText>
      </w:r>
      <w:r w:rsidR="002466C9" w:rsidRPr="00B929AC">
        <w:instrText xml:space="preserve"> </w:instrText>
      </w:r>
      <w:r w:rsidR="002466C9">
        <w:rPr>
          <w:lang w:val="en-US"/>
        </w:rPr>
        <w:instrText>review</w:instrText>
      </w:r>
      <w:r w:rsidR="002466C9" w:rsidRPr="00B929AC">
        <w:instrText xml:space="preserve"> </w:instrText>
      </w:r>
      <w:r w:rsidR="002466C9">
        <w:rPr>
          <w:lang w:val="en-US"/>
        </w:rPr>
        <w:instrText>on</w:instrText>
      </w:r>
      <w:r w:rsidR="002466C9" w:rsidRPr="00B929AC">
        <w:instrText xml:space="preserve"> </w:instrText>
      </w:r>
      <w:r w:rsidR="002466C9">
        <w:rPr>
          <w:lang w:val="en-US"/>
        </w:rPr>
        <w:instrText>biology</w:instrText>
      </w:r>
      <w:r w:rsidR="002466C9" w:rsidRPr="00B929AC">
        <w:instrText xml:space="preserve">, </w:instrText>
      </w:r>
      <w:r w:rsidR="002466C9">
        <w:rPr>
          <w:lang w:val="en-US"/>
        </w:rPr>
        <w:instrText>diagnosis</w:instrText>
      </w:r>
      <w:r w:rsidR="002466C9" w:rsidRPr="00B929AC">
        <w:instrText xml:space="preserve">, </w:instrText>
      </w:r>
      <w:r w:rsidR="002466C9">
        <w:rPr>
          <w:lang w:val="en-US"/>
        </w:rPr>
        <w:instrText>and</w:instrText>
      </w:r>
      <w:r w:rsidR="002466C9" w:rsidRPr="00B929AC">
        <w:instrText xml:space="preserve"> </w:instrText>
      </w:r>
      <w:r w:rsidR="002466C9">
        <w:rPr>
          <w:lang w:val="en-US"/>
        </w:rPr>
        <w:instrText>treatment</w:instrText>
      </w:r>
      <w:r w:rsidR="002466C9" w:rsidRPr="00B929AC">
        <w:instrText>.","</w:instrText>
      </w:r>
      <w:r w:rsidR="002466C9">
        <w:rPr>
          <w:lang w:val="en-US"/>
        </w:rPr>
        <w:instrText>type</w:instrText>
      </w:r>
      <w:r w:rsidR="002466C9" w:rsidRPr="00B929AC">
        <w:instrText>":"</w:instrText>
      </w:r>
      <w:r w:rsidR="002466C9">
        <w:rPr>
          <w:lang w:val="en-US"/>
        </w:rPr>
        <w:instrText>article</w:instrText>
      </w:r>
      <w:r w:rsidR="002466C9" w:rsidRPr="00B929AC">
        <w:instrText>-</w:instrText>
      </w:r>
      <w:r w:rsidR="002466C9">
        <w:rPr>
          <w:lang w:val="en-US"/>
        </w:rPr>
        <w:instrText>journal</w:instrText>
      </w:r>
      <w:r w:rsidR="002466C9" w:rsidRPr="00B929AC">
        <w:instrText>","</w:instrText>
      </w:r>
      <w:r w:rsidR="002466C9">
        <w:rPr>
          <w:lang w:val="en-US"/>
        </w:rPr>
        <w:instrText>volume</w:instrText>
      </w:r>
      <w:r w:rsidR="002466C9" w:rsidRPr="00B929AC">
        <w:instrText>":"96"},"</w:instrText>
      </w:r>
      <w:r w:rsidR="002466C9">
        <w:rPr>
          <w:lang w:val="en-US"/>
        </w:rPr>
        <w:instrText>uris</w:instrText>
      </w:r>
      <w:r w:rsidR="002466C9" w:rsidRPr="00B929AC">
        <w:instrText>":["</w:instrText>
      </w:r>
      <w:r w:rsidR="002466C9">
        <w:rPr>
          <w:lang w:val="en-US"/>
        </w:rPr>
        <w:instrText>http</w:instrText>
      </w:r>
      <w:r w:rsidR="002466C9" w:rsidRPr="00B929AC">
        <w:instrText>://</w:instrText>
      </w:r>
      <w:r w:rsidR="002466C9">
        <w:rPr>
          <w:lang w:val="en-US"/>
        </w:rPr>
        <w:instrText>www</w:instrText>
      </w:r>
      <w:r w:rsidR="002466C9" w:rsidRPr="00B929AC">
        <w:instrText>.</w:instrText>
      </w:r>
      <w:r w:rsidR="002466C9">
        <w:rPr>
          <w:lang w:val="en-US"/>
        </w:rPr>
        <w:instrText>mendeley</w:instrText>
      </w:r>
      <w:r w:rsidR="002466C9" w:rsidRPr="00B929AC">
        <w:instrText>.</w:instrText>
      </w:r>
      <w:r w:rsidR="002466C9">
        <w:rPr>
          <w:lang w:val="en-US"/>
        </w:rPr>
        <w:instrText>com</w:instrText>
      </w:r>
      <w:r w:rsidR="002466C9" w:rsidRPr="00B929AC">
        <w:instrText>/</w:instrText>
      </w:r>
      <w:r w:rsidR="002466C9">
        <w:rPr>
          <w:lang w:val="en-US"/>
        </w:rPr>
        <w:instrText>documents</w:instrText>
      </w:r>
      <w:r w:rsidR="002466C9" w:rsidRPr="00B929AC">
        <w:instrText>/?</w:instrText>
      </w:r>
      <w:r w:rsidR="002466C9">
        <w:rPr>
          <w:lang w:val="en-US"/>
        </w:rPr>
        <w:instrText>uuid</w:instrText>
      </w:r>
      <w:r w:rsidR="002466C9" w:rsidRPr="00B929AC">
        <w:instrText>=7</w:instrText>
      </w:r>
      <w:r w:rsidR="002466C9">
        <w:rPr>
          <w:lang w:val="en-US"/>
        </w:rPr>
        <w:instrText>feba</w:instrText>
      </w:r>
      <w:r w:rsidR="002466C9" w:rsidRPr="00B929AC">
        <w:instrText>565-014</w:instrText>
      </w:r>
      <w:r w:rsidR="002466C9">
        <w:rPr>
          <w:lang w:val="en-US"/>
        </w:rPr>
        <w:instrText>f</w:instrText>
      </w:r>
      <w:r w:rsidR="002466C9" w:rsidRPr="00B929AC">
        <w:instrText>-3600-86</w:instrText>
      </w:r>
      <w:r w:rsidR="002466C9">
        <w:rPr>
          <w:lang w:val="en-US"/>
        </w:rPr>
        <w:instrText>ec</w:instrText>
      </w:r>
      <w:r w:rsidR="002466C9" w:rsidRPr="00B929AC">
        <w:instrText>-0963</w:instrText>
      </w:r>
      <w:r w:rsidR="002466C9">
        <w:rPr>
          <w:lang w:val="en-US"/>
        </w:rPr>
        <w:instrText>b</w:instrText>
      </w:r>
      <w:r w:rsidR="002466C9" w:rsidRPr="00B929AC">
        <w:instrText>3</w:instrText>
      </w:r>
      <w:r w:rsidR="002466C9">
        <w:rPr>
          <w:lang w:val="en-US"/>
        </w:rPr>
        <w:instrText>e</w:instrText>
      </w:r>
      <w:r w:rsidR="002466C9" w:rsidRPr="00B929AC">
        <w:instrText>847</w:instrText>
      </w:r>
      <w:r w:rsidR="002466C9">
        <w:rPr>
          <w:lang w:val="en-US"/>
        </w:rPr>
        <w:instrText>bb</w:instrText>
      </w:r>
      <w:r w:rsidR="002466C9" w:rsidRPr="00B929AC">
        <w:instrText>"]},{"</w:instrText>
      </w:r>
      <w:r w:rsidR="002466C9">
        <w:rPr>
          <w:lang w:val="en-US"/>
        </w:rPr>
        <w:instrText>id</w:instrText>
      </w:r>
      <w:r w:rsidR="002466C9" w:rsidRPr="00B929AC">
        <w:instrText>":"</w:instrText>
      </w:r>
      <w:r w:rsidR="002466C9">
        <w:rPr>
          <w:lang w:val="en-US"/>
        </w:rPr>
        <w:instrText>ITEM</w:instrText>
      </w:r>
      <w:r w:rsidR="002466C9" w:rsidRPr="00B929AC">
        <w:instrText>-2","</w:instrText>
      </w:r>
      <w:r w:rsidR="002466C9">
        <w:rPr>
          <w:lang w:val="en-US"/>
        </w:rPr>
        <w:instrText>itemData</w:instrText>
      </w:r>
      <w:r w:rsidR="002466C9" w:rsidRPr="00B929AC">
        <w:instrText>":{"</w:instrText>
      </w:r>
      <w:r w:rsidR="002466C9">
        <w:rPr>
          <w:lang w:val="en-US"/>
        </w:rPr>
        <w:instrText>DOI</w:instrText>
      </w:r>
      <w:r w:rsidR="002466C9" w:rsidRPr="00B929AC">
        <w:instrText>":"10.1016/</w:instrText>
      </w:r>
      <w:r w:rsidR="002466C9">
        <w:rPr>
          <w:lang w:val="en-US"/>
        </w:rPr>
        <w:instrText>j</w:instrText>
      </w:r>
      <w:r w:rsidR="002466C9" w:rsidRPr="00B929AC">
        <w:instrText>.</w:instrText>
      </w:r>
      <w:r w:rsidR="002466C9">
        <w:rPr>
          <w:lang w:val="en-US"/>
        </w:rPr>
        <w:instrText>critrevonc</w:instrText>
      </w:r>
      <w:r w:rsidR="002466C9" w:rsidRPr="00B929AC">
        <w:instrText>.2017.03.020","</w:instrText>
      </w:r>
      <w:r w:rsidR="002466C9">
        <w:rPr>
          <w:lang w:val="en-US"/>
        </w:rPr>
        <w:instrText>ISSN</w:instrText>
      </w:r>
      <w:r w:rsidR="002466C9" w:rsidRPr="00B929AC">
        <w:instrText>":"1879-0461","</w:instrText>
      </w:r>
      <w:r w:rsidR="002466C9">
        <w:rPr>
          <w:lang w:val="en-US"/>
        </w:rPr>
        <w:instrText>PMID</w:instrText>
      </w:r>
      <w:r w:rsidR="002466C9" w:rsidRPr="00B929AC">
        <w:instrText>":"28427520","</w:instrText>
      </w:r>
      <w:r w:rsidR="002466C9">
        <w:rPr>
          <w:lang w:val="en-US"/>
        </w:rPr>
        <w:instrText>abstract</w:instrText>
      </w:r>
      <w:r w:rsidR="002466C9" w:rsidRPr="00B929AC">
        <w:instrText>":"</w:instrText>
      </w:r>
      <w:r w:rsidR="002466C9">
        <w:rPr>
          <w:lang w:val="en-US"/>
        </w:rPr>
        <w:instrText>Lymphoblastic</w:instrText>
      </w:r>
      <w:r w:rsidR="002466C9" w:rsidRPr="00B929AC">
        <w:instrText xml:space="preserve"> </w:instrText>
      </w:r>
      <w:r w:rsidR="002466C9">
        <w:rPr>
          <w:lang w:val="en-US"/>
        </w:rPr>
        <w:instrText>lymphoma</w:instrText>
      </w:r>
      <w:r w:rsidR="002466C9" w:rsidRPr="00B929AC">
        <w:instrText xml:space="preserve"> (</w:instrText>
      </w:r>
      <w:r w:rsidR="002466C9">
        <w:rPr>
          <w:lang w:val="en-US"/>
        </w:rPr>
        <w:instrText>LBL</w:instrText>
      </w:r>
      <w:r w:rsidR="002466C9" w:rsidRPr="00B929AC">
        <w:instrText xml:space="preserve">) </w:instrText>
      </w:r>
      <w:r w:rsidR="002466C9">
        <w:rPr>
          <w:lang w:val="en-US"/>
        </w:rPr>
        <w:instrText>is</w:instrText>
      </w:r>
      <w:r w:rsidR="002466C9" w:rsidRPr="00B929AC">
        <w:instrText xml:space="preserve"> </w:instrText>
      </w:r>
      <w:r w:rsidR="002466C9">
        <w:rPr>
          <w:lang w:val="en-US"/>
        </w:rPr>
        <w:instrText>a</w:instrText>
      </w:r>
      <w:r w:rsidR="002466C9" w:rsidRPr="00B929AC">
        <w:instrText xml:space="preserve"> </w:instrText>
      </w:r>
      <w:r w:rsidR="002466C9">
        <w:rPr>
          <w:lang w:val="en-US"/>
        </w:rPr>
        <w:instrText>neoplasm</w:instrText>
      </w:r>
      <w:r w:rsidR="002466C9" w:rsidRPr="00B929AC">
        <w:instrText xml:space="preserve"> </w:instrText>
      </w:r>
      <w:r w:rsidR="002466C9">
        <w:rPr>
          <w:lang w:val="en-US"/>
        </w:rPr>
        <w:instrText>of</w:instrText>
      </w:r>
      <w:r w:rsidR="002466C9" w:rsidRPr="00B929AC">
        <w:instrText xml:space="preserve"> </w:instrText>
      </w:r>
      <w:r w:rsidR="002466C9">
        <w:rPr>
          <w:lang w:val="en-US"/>
        </w:rPr>
        <w:instrText>immature</w:instrText>
      </w:r>
      <w:r w:rsidR="002466C9" w:rsidRPr="00B929AC">
        <w:instrText xml:space="preserve"> </w:instrText>
      </w:r>
      <w:r w:rsidR="002466C9">
        <w:rPr>
          <w:lang w:val="en-US"/>
        </w:rPr>
        <w:instrText>B</w:instrText>
      </w:r>
      <w:r w:rsidR="002466C9" w:rsidRPr="00B929AC">
        <w:instrText xml:space="preserve"> </w:instrText>
      </w:r>
      <w:r w:rsidR="002466C9">
        <w:rPr>
          <w:lang w:val="en-US"/>
        </w:rPr>
        <w:instrText>cells</w:instrText>
      </w:r>
      <w:r w:rsidR="002466C9" w:rsidRPr="00B929AC">
        <w:instrText xml:space="preserve"> </w:instrText>
      </w:r>
      <w:r w:rsidR="002466C9">
        <w:rPr>
          <w:lang w:val="en-US"/>
        </w:rPr>
        <w:instrText>committed</w:instrText>
      </w:r>
      <w:r w:rsidR="002466C9" w:rsidRPr="00B929AC">
        <w:instrText xml:space="preserve"> </w:instrText>
      </w:r>
      <w:r w:rsidR="002466C9">
        <w:rPr>
          <w:lang w:val="en-US"/>
        </w:rPr>
        <w:instrText>to</w:instrText>
      </w:r>
      <w:r w:rsidR="002466C9" w:rsidRPr="00B929AC">
        <w:instrText xml:space="preserve"> </w:instrText>
      </w:r>
      <w:r w:rsidR="002466C9">
        <w:rPr>
          <w:lang w:val="en-US"/>
        </w:rPr>
        <w:instrText>the</w:instrText>
      </w:r>
      <w:r w:rsidR="002466C9" w:rsidRPr="00B929AC">
        <w:instrText xml:space="preserve"> </w:instrText>
      </w:r>
      <w:r w:rsidR="002466C9">
        <w:rPr>
          <w:lang w:val="en-US"/>
        </w:rPr>
        <w:instrText>B</w:instrText>
      </w:r>
      <w:r w:rsidR="002466C9" w:rsidRPr="00B929AC">
        <w:instrText>-(</w:instrText>
      </w:r>
      <w:r w:rsidR="002466C9">
        <w:rPr>
          <w:lang w:val="en-US"/>
        </w:rPr>
        <w:instrText>B</w:instrText>
      </w:r>
      <w:r w:rsidR="002466C9" w:rsidRPr="00B929AC">
        <w:instrText>-</w:instrText>
      </w:r>
      <w:r w:rsidR="002466C9">
        <w:rPr>
          <w:lang w:val="en-US"/>
        </w:rPr>
        <w:instrText>LBL</w:instrText>
      </w:r>
      <w:r w:rsidR="002466C9" w:rsidRPr="00B929AC">
        <w:instrText xml:space="preserve">) </w:instrText>
      </w:r>
      <w:r w:rsidR="002466C9">
        <w:rPr>
          <w:lang w:val="en-US"/>
        </w:rPr>
        <w:instrText>or</w:instrText>
      </w:r>
      <w:r w:rsidR="002466C9" w:rsidRPr="00B929AC">
        <w:instrText xml:space="preserve"> </w:instrText>
      </w:r>
      <w:r w:rsidR="002466C9">
        <w:rPr>
          <w:lang w:val="en-US"/>
        </w:rPr>
        <w:instrText>T</w:instrText>
      </w:r>
      <w:r w:rsidR="002466C9" w:rsidRPr="00B929AC">
        <w:instrText>-</w:instrText>
      </w:r>
      <w:r w:rsidR="002466C9">
        <w:rPr>
          <w:lang w:val="en-US"/>
        </w:rPr>
        <w:instrText>cell</w:instrText>
      </w:r>
      <w:r w:rsidR="002466C9" w:rsidRPr="00B929AC">
        <w:instrText xml:space="preserve"> </w:instrText>
      </w:r>
      <w:r w:rsidR="002466C9">
        <w:rPr>
          <w:lang w:val="en-US"/>
        </w:rPr>
        <w:instrText>lineage</w:instrText>
      </w:r>
      <w:r w:rsidR="002466C9" w:rsidRPr="00B929AC">
        <w:instrText xml:space="preserve"> (</w:instrText>
      </w:r>
      <w:r w:rsidR="002466C9">
        <w:rPr>
          <w:lang w:val="en-US"/>
        </w:rPr>
        <w:instrText>T</w:instrText>
      </w:r>
      <w:r w:rsidR="002466C9" w:rsidRPr="00B929AC">
        <w:instrText>-</w:instrText>
      </w:r>
      <w:r w:rsidR="002466C9">
        <w:rPr>
          <w:lang w:val="en-US"/>
        </w:rPr>
        <w:instrText>LBL</w:instrText>
      </w:r>
      <w:r w:rsidR="002466C9" w:rsidRPr="00B929AC">
        <w:instrText xml:space="preserve">) </w:instrText>
      </w:r>
      <w:r w:rsidR="002466C9">
        <w:rPr>
          <w:lang w:val="en-US"/>
        </w:rPr>
        <w:instrText>that</w:instrText>
      </w:r>
      <w:r w:rsidR="002466C9" w:rsidRPr="00B929AC">
        <w:instrText xml:space="preserve"> </w:instrText>
      </w:r>
      <w:r w:rsidR="002466C9">
        <w:rPr>
          <w:lang w:val="en-US"/>
        </w:rPr>
        <w:instrText>accounts</w:instrText>
      </w:r>
      <w:r w:rsidR="002466C9" w:rsidRPr="00B929AC">
        <w:instrText xml:space="preserve"> </w:instrText>
      </w:r>
      <w:r w:rsidR="002466C9">
        <w:rPr>
          <w:lang w:val="en-US"/>
        </w:rPr>
        <w:instrText>for</w:instrText>
      </w:r>
      <w:r w:rsidR="002466C9" w:rsidRPr="00B929AC">
        <w:instrText xml:space="preserve"> </w:instrText>
      </w:r>
      <w:r w:rsidR="002466C9">
        <w:rPr>
          <w:lang w:val="en-US"/>
        </w:rPr>
        <w:instrText>approximately</w:instrText>
      </w:r>
      <w:r w:rsidR="002466C9" w:rsidRPr="00B929AC">
        <w:instrText xml:space="preserve"> 2% </w:instrText>
      </w:r>
      <w:r w:rsidR="002466C9">
        <w:rPr>
          <w:lang w:val="en-US"/>
        </w:rPr>
        <w:instrText>of</w:instrText>
      </w:r>
      <w:r w:rsidR="002466C9" w:rsidRPr="00B929AC">
        <w:instrText xml:space="preserve"> </w:instrText>
      </w:r>
      <w:r w:rsidR="002466C9">
        <w:rPr>
          <w:lang w:val="en-US"/>
        </w:rPr>
        <w:instrText>all</w:instrText>
      </w:r>
      <w:r w:rsidR="002466C9" w:rsidRPr="00B929AC">
        <w:instrText xml:space="preserve"> </w:instrText>
      </w:r>
      <w:r w:rsidR="002466C9">
        <w:rPr>
          <w:lang w:val="en-US"/>
        </w:rPr>
        <w:instrText>lymphomas</w:instrText>
      </w:r>
      <w:r w:rsidR="002466C9" w:rsidRPr="00B929AC">
        <w:instrText xml:space="preserve">. </w:instrText>
      </w:r>
      <w:r w:rsidR="002466C9">
        <w:rPr>
          <w:lang w:val="en-US"/>
        </w:rPr>
        <w:instrText>Although</w:instrText>
      </w:r>
      <w:r w:rsidR="002466C9" w:rsidRPr="00B929AC">
        <w:instrText xml:space="preserve"> </w:instrText>
      </w:r>
      <w:r w:rsidR="002466C9">
        <w:rPr>
          <w:lang w:val="en-US"/>
        </w:rPr>
        <w:instrText>histological</w:instrText>
      </w:r>
      <w:r w:rsidR="002466C9" w:rsidRPr="00B929AC">
        <w:instrText xml:space="preserve"> </w:instrText>
      </w:r>
      <w:r w:rsidR="002466C9">
        <w:rPr>
          <w:lang w:val="en-US"/>
        </w:rPr>
        <w:instrText>features</w:instrText>
      </w:r>
      <w:r w:rsidR="002466C9" w:rsidRPr="00B929AC">
        <w:instrText xml:space="preserve"> </w:instrText>
      </w:r>
      <w:r w:rsidR="002466C9">
        <w:rPr>
          <w:lang w:val="en-US"/>
        </w:rPr>
        <w:instrText>are</w:instrText>
      </w:r>
      <w:r w:rsidR="002466C9" w:rsidRPr="00B929AC">
        <w:instrText xml:space="preserve"> </w:instrText>
      </w:r>
      <w:r w:rsidR="002466C9">
        <w:rPr>
          <w:lang w:val="en-US"/>
        </w:rPr>
        <w:instrText>usually</w:instrText>
      </w:r>
      <w:r w:rsidR="002466C9" w:rsidRPr="00B929AC">
        <w:instrText xml:space="preserve"> </w:instrText>
      </w:r>
      <w:r w:rsidR="002466C9">
        <w:rPr>
          <w:lang w:val="en-US"/>
        </w:rPr>
        <w:instrText>sufficient</w:instrText>
      </w:r>
      <w:r w:rsidR="002466C9" w:rsidRPr="00B929AC">
        <w:instrText xml:space="preserve"> </w:instrText>
      </w:r>
      <w:r w:rsidR="002466C9">
        <w:rPr>
          <w:lang w:val="en-US"/>
        </w:rPr>
        <w:instrText>to</w:instrText>
      </w:r>
      <w:r w:rsidR="002466C9" w:rsidRPr="00B929AC">
        <w:instrText xml:space="preserve"> </w:instrText>
      </w:r>
      <w:r w:rsidR="002466C9">
        <w:rPr>
          <w:lang w:val="en-US"/>
        </w:rPr>
        <w:instrText>distinguish</w:instrText>
      </w:r>
      <w:r w:rsidR="002466C9" w:rsidRPr="00B929AC">
        <w:instrText xml:space="preserve"> </w:instrText>
      </w:r>
      <w:r w:rsidR="002466C9">
        <w:rPr>
          <w:lang w:val="en-US"/>
        </w:rPr>
        <w:instrText>lymphoblastic</w:instrText>
      </w:r>
      <w:r w:rsidR="002466C9" w:rsidRPr="00B929AC">
        <w:instrText xml:space="preserve"> </w:instrText>
      </w:r>
      <w:r w:rsidR="002466C9">
        <w:rPr>
          <w:lang w:val="en-US"/>
        </w:rPr>
        <w:instrText>from</w:instrText>
      </w:r>
      <w:r w:rsidR="002466C9" w:rsidRPr="00B929AC">
        <w:instrText xml:space="preserve"> </w:instrText>
      </w:r>
      <w:r w:rsidR="002466C9">
        <w:rPr>
          <w:lang w:val="en-US"/>
        </w:rPr>
        <w:instrText>mature</w:instrText>
      </w:r>
      <w:r w:rsidR="002466C9" w:rsidRPr="00B929AC">
        <w:instrText xml:space="preserve"> </w:instrText>
      </w:r>
      <w:r w:rsidR="002466C9">
        <w:rPr>
          <w:lang w:val="en-US"/>
        </w:rPr>
        <w:instrText>B</w:instrText>
      </w:r>
      <w:r w:rsidR="002466C9" w:rsidRPr="00B929AC">
        <w:instrText xml:space="preserve">- </w:instrText>
      </w:r>
      <w:r w:rsidR="002466C9">
        <w:rPr>
          <w:lang w:val="en-US"/>
        </w:rPr>
        <w:instrText>or</w:instrText>
      </w:r>
      <w:r w:rsidR="002466C9" w:rsidRPr="00B929AC">
        <w:instrText xml:space="preserve"> </w:instrText>
      </w:r>
      <w:r w:rsidR="002466C9">
        <w:rPr>
          <w:lang w:val="en-US"/>
        </w:rPr>
        <w:instrText>T</w:instrText>
      </w:r>
      <w:r w:rsidR="002466C9" w:rsidRPr="00B929AC">
        <w:instrText>-</w:instrText>
      </w:r>
      <w:r w:rsidR="002466C9">
        <w:rPr>
          <w:lang w:val="en-US"/>
        </w:rPr>
        <w:instrText>cell</w:instrText>
      </w:r>
      <w:r w:rsidR="002466C9" w:rsidRPr="00B929AC">
        <w:instrText xml:space="preserve"> </w:instrText>
      </w:r>
      <w:r w:rsidR="002466C9">
        <w:rPr>
          <w:lang w:val="en-US"/>
        </w:rPr>
        <w:instrText>neoplasms</w:instrText>
      </w:r>
      <w:r w:rsidR="002466C9" w:rsidRPr="00B929AC">
        <w:instrText xml:space="preserve">, </w:instrText>
      </w:r>
      <w:r w:rsidR="002466C9">
        <w:rPr>
          <w:lang w:val="en-US"/>
        </w:rPr>
        <w:instrText>of</w:instrText>
      </w:r>
      <w:r w:rsidR="002466C9" w:rsidRPr="00B929AC">
        <w:instrText xml:space="preserve"> </w:instrText>
      </w:r>
      <w:r w:rsidR="002466C9">
        <w:rPr>
          <w:lang w:val="en-US"/>
        </w:rPr>
        <w:instrText>greater</w:instrText>
      </w:r>
      <w:r w:rsidR="002466C9" w:rsidRPr="00B929AC">
        <w:instrText xml:space="preserve"> </w:instrText>
      </w:r>
      <w:r w:rsidR="002466C9">
        <w:rPr>
          <w:lang w:val="en-US"/>
        </w:rPr>
        <w:instrText>importance</w:instrText>
      </w:r>
      <w:r w:rsidR="002466C9" w:rsidRPr="00B929AC">
        <w:instrText xml:space="preserve"> </w:instrText>
      </w:r>
      <w:r w:rsidR="002466C9">
        <w:rPr>
          <w:lang w:val="en-US"/>
        </w:rPr>
        <w:instrText>for</w:instrText>
      </w:r>
      <w:r w:rsidR="002466C9" w:rsidRPr="00B929AC">
        <w:instrText xml:space="preserve"> </w:instrText>
      </w:r>
      <w:r w:rsidR="002466C9">
        <w:rPr>
          <w:lang w:val="en-US"/>
        </w:rPr>
        <w:instrText>diagnosis</w:instrText>
      </w:r>
      <w:r w:rsidR="002466C9" w:rsidRPr="00B929AC">
        <w:instrText xml:space="preserve"> </w:instrText>
      </w:r>
      <w:r w:rsidR="002466C9">
        <w:rPr>
          <w:lang w:val="en-US"/>
        </w:rPr>
        <w:instrText>is</w:instrText>
      </w:r>
      <w:r w:rsidR="002466C9" w:rsidRPr="00B929AC">
        <w:instrText xml:space="preserve"> </w:instrText>
      </w:r>
      <w:r w:rsidR="002466C9">
        <w:rPr>
          <w:lang w:val="en-US"/>
        </w:rPr>
        <w:instrText>the</w:instrText>
      </w:r>
      <w:r w:rsidR="002466C9" w:rsidRPr="00B929AC">
        <w:instrText xml:space="preserve"> </w:instrText>
      </w:r>
      <w:r w:rsidR="002466C9">
        <w:rPr>
          <w:lang w:val="en-US"/>
        </w:rPr>
        <w:instrText>characterization</w:instrText>
      </w:r>
      <w:r w:rsidR="002466C9" w:rsidRPr="00B929AC">
        <w:instrText xml:space="preserve"> </w:instrText>
      </w:r>
      <w:r w:rsidR="002466C9">
        <w:rPr>
          <w:lang w:val="en-US"/>
        </w:rPr>
        <w:instrText>of</w:instrText>
      </w:r>
      <w:r w:rsidR="002466C9" w:rsidRPr="00B929AC">
        <w:instrText xml:space="preserve"> </w:instrText>
      </w:r>
      <w:r w:rsidR="002466C9">
        <w:rPr>
          <w:lang w:val="en-US"/>
        </w:rPr>
        <w:instrText>immunophenotype</w:instrText>
      </w:r>
      <w:r w:rsidR="002466C9" w:rsidRPr="00B929AC">
        <w:instrText xml:space="preserve"> </w:instrText>
      </w:r>
      <w:r w:rsidR="002466C9">
        <w:rPr>
          <w:lang w:val="en-US"/>
        </w:rPr>
        <w:instrText>by</w:instrText>
      </w:r>
      <w:r w:rsidR="002466C9" w:rsidRPr="00B929AC">
        <w:instrText xml:space="preserve"> </w:instrText>
      </w:r>
      <w:r w:rsidR="002466C9">
        <w:rPr>
          <w:lang w:val="en-US"/>
        </w:rPr>
        <w:instrText>flow</w:instrText>
      </w:r>
      <w:r w:rsidR="002466C9" w:rsidRPr="00B929AC">
        <w:instrText xml:space="preserve"> </w:instrText>
      </w:r>
      <w:r w:rsidR="002466C9">
        <w:rPr>
          <w:lang w:val="en-US"/>
        </w:rPr>
        <w:instrText>cytometry</w:instrText>
      </w:r>
      <w:r w:rsidR="002466C9" w:rsidRPr="00B929AC">
        <w:instrText xml:space="preserve">. </w:instrText>
      </w:r>
      <w:r w:rsidR="002466C9">
        <w:rPr>
          <w:lang w:val="en-US"/>
        </w:rPr>
        <w:instrText>LBL</w:instrText>
      </w:r>
      <w:r w:rsidR="002466C9" w:rsidRPr="00B929AC">
        <w:instrText xml:space="preserve"> </w:instrText>
      </w:r>
      <w:r w:rsidR="002466C9">
        <w:rPr>
          <w:lang w:val="en-US"/>
        </w:rPr>
        <w:instrText>occurs</w:instrText>
      </w:r>
      <w:r w:rsidR="002466C9" w:rsidRPr="00B929AC">
        <w:instrText xml:space="preserve"> </w:instrText>
      </w:r>
      <w:r w:rsidR="002466C9">
        <w:rPr>
          <w:lang w:val="en-US"/>
        </w:rPr>
        <w:instrText>more</w:instrText>
      </w:r>
      <w:r w:rsidR="002466C9" w:rsidRPr="00B929AC">
        <w:instrText xml:space="preserve"> </w:instrText>
      </w:r>
      <w:r w:rsidR="002466C9">
        <w:rPr>
          <w:lang w:val="en-US"/>
        </w:rPr>
        <w:instrText>commonly</w:instrText>
      </w:r>
      <w:r w:rsidR="002466C9" w:rsidRPr="00B929AC">
        <w:instrText xml:space="preserve"> </w:instrText>
      </w:r>
      <w:r w:rsidR="002466C9">
        <w:rPr>
          <w:lang w:val="en-US"/>
        </w:rPr>
        <w:instrText>in</w:instrText>
      </w:r>
      <w:r w:rsidR="002466C9" w:rsidRPr="00B929AC">
        <w:instrText xml:space="preserve"> </w:instrText>
      </w:r>
      <w:r w:rsidR="002466C9">
        <w:rPr>
          <w:lang w:val="en-US"/>
        </w:rPr>
        <w:instrText>children</w:instrText>
      </w:r>
      <w:r w:rsidR="002466C9" w:rsidRPr="00B929AC">
        <w:instrText xml:space="preserve"> </w:instrText>
      </w:r>
      <w:r w:rsidR="002466C9">
        <w:rPr>
          <w:lang w:val="en-US"/>
        </w:rPr>
        <w:instrText>than</w:instrText>
      </w:r>
      <w:r w:rsidR="002466C9" w:rsidRPr="00B929AC">
        <w:instrText xml:space="preserve"> </w:instrText>
      </w:r>
      <w:r w:rsidR="002466C9">
        <w:rPr>
          <w:lang w:val="en-US"/>
        </w:rPr>
        <w:instrText>in</w:instrText>
      </w:r>
      <w:r w:rsidR="002466C9" w:rsidRPr="00B929AC">
        <w:instrText xml:space="preserve"> </w:instrText>
      </w:r>
      <w:r w:rsidR="002466C9">
        <w:rPr>
          <w:lang w:val="en-US"/>
        </w:rPr>
        <w:instrText>adults</w:instrText>
      </w:r>
      <w:r w:rsidR="002466C9" w:rsidRPr="00B929AC">
        <w:instrText xml:space="preserve">, </w:instrText>
      </w:r>
      <w:r w:rsidR="002466C9">
        <w:rPr>
          <w:lang w:val="en-US"/>
        </w:rPr>
        <w:instrText>mostly</w:instrText>
      </w:r>
      <w:r w:rsidR="002466C9" w:rsidRPr="00B929AC">
        <w:instrText xml:space="preserve"> </w:instrText>
      </w:r>
      <w:r w:rsidR="002466C9">
        <w:rPr>
          <w:lang w:val="en-US"/>
        </w:rPr>
        <w:instrText>in</w:instrText>
      </w:r>
      <w:r w:rsidR="002466C9" w:rsidRPr="00B929AC">
        <w:instrText xml:space="preserve"> </w:instrText>
      </w:r>
      <w:r w:rsidR="002466C9">
        <w:rPr>
          <w:lang w:val="en-US"/>
        </w:rPr>
        <w:instrText>males</w:instrText>
      </w:r>
      <w:r w:rsidR="002466C9" w:rsidRPr="00B929AC">
        <w:instrText xml:space="preserve">. </w:instrText>
      </w:r>
      <w:r w:rsidR="002466C9">
        <w:rPr>
          <w:lang w:val="en-US"/>
        </w:rPr>
        <w:instrText>A</w:instrText>
      </w:r>
      <w:r w:rsidR="002466C9" w:rsidRPr="00B929AC">
        <w:instrText xml:space="preserve"> </w:instrText>
      </w:r>
      <w:r w:rsidR="002466C9">
        <w:rPr>
          <w:lang w:val="en-US"/>
        </w:rPr>
        <w:instrText>bone</w:instrText>
      </w:r>
      <w:r w:rsidR="002466C9" w:rsidRPr="00B929AC">
        <w:instrText xml:space="preserve"> </w:instrText>
      </w:r>
      <w:r w:rsidR="002466C9">
        <w:rPr>
          <w:lang w:val="en-US"/>
        </w:rPr>
        <w:instrText>marrow</w:instrText>
      </w:r>
      <w:r w:rsidR="002466C9" w:rsidRPr="00B929AC">
        <w:instrText xml:space="preserve"> </w:instrText>
      </w:r>
      <w:r w:rsidR="002466C9">
        <w:rPr>
          <w:lang w:val="en-US"/>
        </w:rPr>
        <w:instrText>involvement</w:instrText>
      </w:r>
      <w:r w:rsidR="002466C9" w:rsidRPr="00B929AC">
        <w:instrText xml:space="preserve"> &lt;25% (</w:instrText>
      </w:r>
      <w:r w:rsidR="002466C9">
        <w:rPr>
          <w:lang w:val="en-US"/>
        </w:rPr>
        <w:instrText>or</w:instrText>
      </w:r>
      <w:r w:rsidR="002466C9" w:rsidRPr="00B929AC">
        <w:instrText xml:space="preserve"> 20% </w:instrText>
      </w:r>
      <w:r w:rsidR="002466C9">
        <w:rPr>
          <w:lang w:val="en-US"/>
        </w:rPr>
        <w:instrText>according</w:instrText>
      </w:r>
      <w:r w:rsidR="002466C9" w:rsidRPr="00B929AC">
        <w:instrText xml:space="preserve"> </w:instrText>
      </w:r>
      <w:r w:rsidR="002466C9">
        <w:rPr>
          <w:lang w:val="en-US"/>
        </w:rPr>
        <w:instrText>to</w:instrText>
      </w:r>
      <w:r w:rsidR="002466C9" w:rsidRPr="00B929AC">
        <w:instrText xml:space="preserve"> </w:instrText>
      </w:r>
      <w:r w:rsidR="002466C9">
        <w:rPr>
          <w:lang w:val="en-US"/>
        </w:rPr>
        <w:instrText>WHO) formally distinguishes LBL from ALL. The prognosis of LBL has dramatically improved with the use of intensive ALL-type chemotherapy regimens, which includes intensive intrathecal chemotherapy prophylaxis and consolidation with mediastinal irradiation. Patients with adverse prognostic features assessed by postinduction CT/positron emission tomography scans (PET) and minimal residual disease analysis (MRD) should be considered for high-dose chemotherapy and stem cell transplantation. Further therapeutic progresses are expected from the introduction of new drugs and targeting agents.","author":[{"dropping-particle":"","family":"Cortelazzo","given":"Sergio","non-dropping-particle":"","parse-names":false,"suffix":""},{"dropping-particle":"","family":"Ferreri","given":"Andrés","non-dropping-particle":"","parse-names":false,"suffix":""},{"dropping-particle":"","family":"Hoelzer","given":"Dieter","non-dropping-particle":"","parse-names":false,"suffix":""},{"dropping-particle":"","family":"Ponzoni","given":"Maurilio","non-dropping-particle":"","parse-names":false,"suffix":""}],"container-title":"Critical reviews in oncology/hematology","id":"ITEM-2","issued":{"date-parts":[["2017","5"]]},"page":"304-317","title":"Lymphoblastic lymphoma.","type":"article-journal","volume":"113"},"uris":["http://www.mendeley.com/documents/?uuid=e2eed080-a739-3358-b728-ef768a4e754e"]}],"mendeley":{"formattedCitation":"[13,14]","plainTextFormattedCitation":"[13,14]","previouslyFormattedCitation":"[13,14]"},"properties":{"noteIndex":0},"schema":"https://github.com/citation-style-language/schema/raw/master/csl-citation.json"}</w:instrText>
      </w:r>
      <w:r w:rsidR="00A27AD5">
        <w:fldChar w:fldCharType="separate"/>
      </w:r>
      <w:r w:rsidR="00A66456" w:rsidRPr="00A66456">
        <w:rPr>
          <w:noProof/>
        </w:rPr>
        <w:t>[13,14]</w:t>
      </w:r>
      <w:r w:rsidR="00A27AD5">
        <w:fldChar w:fldCharType="end"/>
      </w:r>
      <w:r w:rsidR="00A27AD5">
        <w:t>.</w:t>
      </w:r>
      <w:r w:rsidR="00B45EBF">
        <w:t xml:space="preserve"> </w:t>
      </w:r>
    </w:p>
    <w:p w14:paraId="4586DCA0" w14:textId="77777777" w:rsidR="00254823" w:rsidRDefault="00254823" w:rsidP="00595275">
      <w:pPr>
        <w:tabs>
          <w:tab w:val="left" w:pos="709"/>
        </w:tabs>
        <w:ind w:firstLine="709"/>
        <w:contextualSpacing/>
        <w:rPr>
          <w:b/>
        </w:rPr>
      </w:pPr>
      <w:r>
        <w:rPr>
          <w:b/>
        </w:rPr>
        <w:t xml:space="preserve">Уровень убедительности рекомендаций </w:t>
      </w:r>
      <w:r w:rsidR="00D631CF">
        <w:rPr>
          <w:b/>
        </w:rPr>
        <w:t xml:space="preserve">– </w:t>
      </w:r>
      <w:r w:rsidR="005D78D7">
        <w:rPr>
          <w:b/>
        </w:rPr>
        <w:t>С</w:t>
      </w:r>
      <w:r>
        <w:rPr>
          <w:b/>
        </w:rPr>
        <w:t xml:space="preserve"> (уровень </w:t>
      </w:r>
      <w:r>
        <w:rPr>
          <w:b/>
          <w:spacing w:val="-1"/>
        </w:rPr>
        <w:t xml:space="preserve">достоверности доказательств </w:t>
      </w:r>
      <w:r w:rsidR="00595275">
        <w:rPr>
          <w:b/>
        </w:rPr>
        <w:t xml:space="preserve">– </w:t>
      </w:r>
      <w:r w:rsidR="005D78D7">
        <w:rPr>
          <w:b/>
        </w:rPr>
        <w:t>5</w:t>
      </w:r>
      <w:r w:rsidR="00595275">
        <w:rPr>
          <w:b/>
        </w:rPr>
        <w:t>)</w:t>
      </w:r>
      <w:r w:rsidR="00D631CF">
        <w:rPr>
          <w:b/>
        </w:rPr>
        <w:t>.</w:t>
      </w:r>
    </w:p>
    <w:p w14:paraId="61CAC236" w14:textId="77777777" w:rsidR="00254823" w:rsidRPr="00894576" w:rsidRDefault="00595275" w:rsidP="008163CC">
      <w:pPr>
        <w:rPr>
          <w:b/>
        </w:rPr>
      </w:pPr>
      <w:r>
        <w:rPr>
          <w:b/>
        </w:rPr>
        <w:t>Лечение рецидива</w:t>
      </w:r>
    </w:p>
    <w:p w14:paraId="3A897486" w14:textId="77777777" w:rsidR="00254823" w:rsidRPr="00894576" w:rsidRDefault="00254823" w:rsidP="00254823">
      <w:pPr>
        <w:shd w:val="clear" w:color="auto" w:fill="FFFFFF"/>
        <w:ind w:firstLine="567"/>
        <w:rPr>
          <w:i/>
        </w:rPr>
      </w:pPr>
      <w:r w:rsidRPr="00894576">
        <w:rPr>
          <w:i/>
        </w:rPr>
        <w:t xml:space="preserve">Прогноз при рецидиве </w:t>
      </w:r>
      <w:r w:rsidR="005D126B">
        <w:rPr>
          <w:i/>
        </w:rPr>
        <w:t>ЛБЛ</w:t>
      </w:r>
      <w:r w:rsidRPr="00894576">
        <w:rPr>
          <w:i/>
        </w:rPr>
        <w:t xml:space="preserve"> крайне неблагоприятный. Рецидивы ЛБЛ развиваются, как правило, в первые 2 года после достижения ремиссии </w:t>
      </w:r>
      <w:r w:rsidR="007E582E">
        <w:rPr>
          <w:i/>
        </w:rPr>
        <w:t xml:space="preserve">и </w:t>
      </w:r>
      <w:r w:rsidRPr="00894576">
        <w:rPr>
          <w:i/>
        </w:rPr>
        <w:t xml:space="preserve">чаще </w:t>
      </w:r>
      <w:r w:rsidR="007E582E">
        <w:rPr>
          <w:i/>
        </w:rPr>
        <w:t xml:space="preserve">бывают </w:t>
      </w:r>
      <w:r w:rsidRPr="00894576">
        <w:rPr>
          <w:i/>
        </w:rPr>
        <w:t>локальны</w:t>
      </w:r>
      <w:r w:rsidR="007E582E">
        <w:rPr>
          <w:i/>
        </w:rPr>
        <w:t>ми</w:t>
      </w:r>
      <w:r w:rsidRPr="00894576">
        <w:rPr>
          <w:i/>
        </w:rPr>
        <w:t>. Терапия рецидива определяется характеристиками рецидива (локализация и сроки развития) и тактикой лечения 1-го острого периода. Используют протоколы лечения рецидивов ОЛЛ, высокодозную терапию, преп</w:t>
      </w:r>
      <w:r w:rsidR="00D631CF">
        <w:rPr>
          <w:i/>
        </w:rPr>
        <w:t>араты, не применявшиеся в 1-м остром периоде</w:t>
      </w:r>
      <w:r w:rsidRPr="00894576">
        <w:rPr>
          <w:i/>
        </w:rPr>
        <w:t xml:space="preserve"> (курсы ICE, препараты </w:t>
      </w:r>
      <w:r w:rsidR="00B61893" w:rsidRPr="00894576">
        <w:rPr>
          <w:i/>
        </w:rPr>
        <w:t>неларабин</w:t>
      </w:r>
      <w:r w:rsidR="00B61893">
        <w:rPr>
          <w:i/>
        </w:rPr>
        <w:t>**</w:t>
      </w:r>
      <w:r w:rsidR="00B61893" w:rsidRPr="00894576">
        <w:rPr>
          <w:i/>
        </w:rPr>
        <w:t xml:space="preserve">, </w:t>
      </w:r>
      <w:r w:rsidR="005E541D" w:rsidRPr="0086666D">
        <w:rPr>
          <w:i/>
        </w:rPr>
        <w:t>#</w:t>
      </w:r>
      <w:r w:rsidRPr="00894576">
        <w:rPr>
          <w:i/>
        </w:rPr>
        <w:t>гемцитабин</w:t>
      </w:r>
      <w:r w:rsidR="003E78AE">
        <w:rPr>
          <w:i/>
        </w:rPr>
        <w:t>**</w:t>
      </w:r>
      <w:r w:rsidR="00D631CF">
        <w:rPr>
          <w:i/>
        </w:rPr>
        <w:t xml:space="preserve"> и</w:t>
      </w:r>
      <w:r w:rsidRPr="00894576">
        <w:rPr>
          <w:i/>
        </w:rPr>
        <w:t xml:space="preserve"> др.</w:t>
      </w:r>
      <w:r w:rsidR="003E78AE">
        <w:rPr>
          <w:i/>
        </w:rPr>
        <w:t xml:space="preserve"> – см. приложение А3.1</w:t>
      </w:r>
      <w:r w:rsidRPr="00894576">
        <w:rPr>
          <w:i/>
        </w:rPr>
        <w:t>); при достижении второй ремиссии рекомендуется алло</w:t>
      </w:r>
      <w:r w:rsidR="007E582E">
        <w:rPr>
          <w:i/>
        </w:rPr>
        <w:t>-</w:t>
      </w:r>
      <w:r w:rsidRPr="00894576">
        <w:rPr>
          <w:i/>
        </w:rPr>
        <w:t>ТГСК. Эффективность терапии рецидивов Т-клеточных ЛБЛ остается крайне низкой, В-ЛБЛ</w:t>
      </w:r>
      <w:r w:rsidR="004A688B">
        <w:rPr>
          <w:i/>
        </w:rPr>
        <w:t xml:space="preserve"> –</w:t>
      </w:r>
      <w:r w:rsidRPr="00894576">
        <w:rPr>
          <w:i/>
        </w:rPr>
        <w:t xml:space="preserve"> несколько лучше. </w:t>
      </w:r>
    </w:p>
    <w:p w14:paraId="46480987" w14:textId="4EDC1019" w:rsidR="009629F5" w:rsidRDefault="00254823" w:rsidP="00956D03">
      <w:pPr>
        <w:numPr>
          <w:ilvl w:val="0"/>
          <w:numId w:val="6"/>
        </w:numPr>
        <w:contextualSpacing/>
      </w:pPr>
      <w:r w:rsidRPr="009B372C">
        <w:rPr>
          <w:b/>
        </w:rPr>
        <w:t>Рекомендуется</w:t>
      </w:r>
      <w:r>
        <w:t xml:space="preserve"> алло</w:t>
      </w:r>
      <w:r w:rsidR="00DD0967" w:rsidRPr="00950F44">
        <w:t>-</w:t>
      </w:r>
      <w:r w:rsidR="00466A20">
        <w:t xml:space="preserve">ТГСК </w:t>
      </w:r>
      <w:r>
        <w:t xml:space="preserve">при рецидивах и рефрактерном течении после достижения ответа на </w:t>
      </w:r>
      <w:r w:rsidR="005D126B">
        <w:t>ХТ</w:t>
      </w:r>
      <w:r w:rsidR="00A27AD5">
        <w:t xml:space="preserve"> </w:t>
      </w:r>
      <w:r w:rsidR="00A27AD5">
        <w:fldChar w:fldCharType="begin" w:fldLock="1"/>
      </w:r>
      <w:r w:rsidR="002466C9">
        <w:rPr>
          <w:lang w:val="en-US"/>
        </w:rPr>
        <w:instrText>ADDIN</w:instrText>
      </w:r>
      <w:r w:rsidR="002466C9" w:rsidRPr="00B929AC">
        <w:instrText xml:space="preserve"> </w:instrText>
      </w:r>
      <w:r w:rsidR="002466C9">
        <w:rPr>
          <w:lang w:val="en-US"/>
        </w:rPr>
        <w:instrText>CSL</w:instrText>
      </w:r>
      <w:r w:rsidR="002466C9" w:rsidRPr="00B929AC">
        <w:instrText>_</w:instrText>
      </w:r>
      <w:r w:rsidR="002466C9">
        <w:rPr>
          <w:lang w:val="en-US"/>
        </w:rPr>
        <w:instrText>CITATION</w:instrText>
      </w:r>
      <w:r w:rsidR="002466C9" w:rsidRPr="00B929AC">
        <w:instrText xml:space="preserve"> {"</w:instrText>
      </w:r>
      <w:r w:rsidR="002466C9">
        <w:rPr>
          <w:lang w:val="en-US"/>
        </w:rPr>
        <w:instrText>citationItems</w:instrText>
      </w:r>
      <w:r w:rsidR="002466C9" w:rsidRPr="00B929AC">
        <w:instrText>":[{"</w:instrText>
      </w:r>
      <w:r w:rsidR="002466C9">
        <w:rPr>
          <w:lang w:val="en-US"/>
        </w:rPr>
        <w:instrText>id</w:instrText>
      </w:r>
      <w:r w:rsidR="002466C9" w:rsidRPr="00B929AC">
        <w:instrText>":"</w:instrText>
      </w:r>
      <w:r w:rsidR="002466C9">
        <w:rPr>
          <w:lang w:val="en-US"/>
        </w:rPr>
        <w:instrText>ITEM</w:instrText>
      </w:r>
      <w:r w:rsidR="002466C9" w:rsidRPr="00B929AC">
        <w:instrText>-1","</w:instrText>
      </w:r>
      <w:r w:rsidR="002466C9">
        <w:rPr>
          <w:lang w:val="en-US"/>
        </w:rPr>
        <w:instrText>itemData</w:instrText>
      </w:r>
      <w:r w:rsidR="002466C9" w:rsidRPr="00B929AC">
        <w:instrText>":{"</w:instrText>
      </w:r>
      <w:r w:rsidR="002466C9">
        <w:rPr>
          <w:lang w:val="en-US"/>
        </w:rPr>
        <w:instrText>DOI</w:instrText>
      </w:r>
      <w:r w:rsidR="002466C9" w:rsidRPr="00B929AC">
        <w:instrText>":"10.1111/</w:instrText>
      </w:r>
      <w:r w:rsidR="002466C9">
        <w:rPr>
          <w:lang w:val="en-US"/>
        </w:rPr>
        <w:instrText>ejh</w:instrText>
      </w:r>
      <w:r w:rsidR="002466C9" w:rsidRPr="00B929AC">
        <w:instrText>.12722","</w:instrText>
      </w:r>
      <w:r w:rsidR="002466C9">
        <w:rPr>
          <w:lang w:val="en-US"/>
        </w:rPr>
        <w:instrText>ISSN</w:instrText>
      </w:r>
      <w:r w:rsidR="002466C9" w:rsidRPr="00B929AC">
        <w:instrText>":"1600-0609","</w:instrText>
      </w:r>
      <w:r w:rsidR="002466C9">
        <w:rPr>
          <w:lang w:val="en-US"/>
        </w:rPr>
        <w:instrText>PMID</w:instrText>
      </w:r>
      <w:r w:rsidR="002466C9" w:rsidRPr="00B929AC">
        <w:instrText>":"26679753","</w:instrText>
      </w:r>
      <w:r w:rsidR="002466C9">
        <w:rPr>
          <w:lang w:val="en-US"/>
        </w:rPr>
        <w:instrText>abstract</w:instrText>
      </w:r>
      <w:r w:rsidR="002466C9" w:rsidRPr="00B929AC">
        <w:instrText>":"</w:instrText>
      </w:r>
      <w:r w:rsidR="002466C9">
        <w:rPr>
          <w:lang w:val="en-US"/>
        </w:rPr>
        <w:instrText>Lymphoblastic</w:instrText>
      </w:r>
      <w:r w:rsidR="002466C9" w:rsidRPr="00B929AC">
        <w:instrText xml:space="preserve"> </w:instrText>
      </w:r>
      <w:r w:rsidR="002466C9">
        <w:rPr>
          <w:lang w:val="en-US"/>
        </w:rPr>
        <w:instrText>lymphoma</w:instrText>
      </w:r>
      <w:r w:rsidR="002466C9" w:rsidRPr="00B929AC">
        <w:instrText xml:space="preserve"> </w:instrText>
      </w:r>
      <w:r w:rsidR="002466C9">
        <w:rPr>
          <w:lang w:val="en-US"/>
        </w:rPr>
        <w:instrText>is</w:instrText>
      </w:r>
      <w:r w:rsidR="002466C9" w:rsidRPr="00B929AC">
        <w:instrText xml:space="preserve"> </w:instrText>
      </w:r>
      <w:r w:rsidR="002466C9">
        <w:rPr>
          <w:lang w:val="en-US"/>
        </w:rPr>
        <w:instrText>a</w:instrText>
      </w:r>
      <w:r w:rsidR="002466C9" w:rsidRPr="00B929AC">
        <w:instrText xml:space="preserve"> </w:instrText>
      </w:r>
      <w:r w:rsidR="002466C9">
        <w:rPr>
          <w:lang w:val="en-US"/>
        </w:rPr>
        <w:instrText>rare</w:instrText>
      </w:r>
      <w:r w:rsidR="002466C9" w:rsidRPr="00B929AC">
        <w:instrText xml:space="preserve"> </w:instrText>
      </w:r>
      <w:r w:rsidR="002466C9">
        <w:rPr>
          <w:lang w:val="en-US"/>
        </w:rPr>
        <w:instrText>aggressive</w:instrText>
      </w:r>
      <w:r w:rsidR="002466C9" w:rsidRPr="00B929AC">
        <w:instrText xml:space="preserve"> </w:instrText>
      </w:r>
      <w:r w:rsidR="002466C9">
        <w:rPr>
          <w:lang w:val="en-US"/>
        </w:rPr>
        <w:instrText>neoplasm</w:instrText>
      </w:r>
      <w:r w:rsidR="002466C9" w:rsidRPr="00B929AC">
        <w:instrText xml:space="preserve"> </w:instrText>
      </w:r>
      <w:r w:rsidR="002466C9">
        <w:rPr>
          <w:lang w:val="en-US"/>
        </w:rPr>
        <w:instrText>of</w:instrText>
      </w:r>
      <w:r w:rsidR="002466C9" w:rsidRPr="00B929AC">
        <w:instrText xml:space="preserve"> </w:instrText>
      </w:r>
      <w:r w:rsidR="002466C9">
        <w:rPr>
          <w:lang w:val="en-US"/>
        </w:rPr>
        <w:instrText>T</w:instrText>
      </w:r>
      <w:r w:rsidR="002466C9" w:rsidRPr="00B929AC">
        <w:instrText>-/</w:instrText>
      </w:r>
      <w:r w:rsidR="002466C9">
        <w:rPr>
          <w:lang w:val="en-US"/>
        </w:rPr>
        <w:instrText>B</w:instrText>
      </w:r>
      <w:r w:rsidR="002466C9" w:rsidRPr="00B929AC">
        <w:instrText>-</w:instrText>
      </w:r>
      <w:r w:rsidR="002466C9">
        <w:rPr>
          <w:lang w:val="en-US"/>
        </w:rPr>
        <w:instrText>precursors</w:instrText>
      </w:r>
      <w:r w:rsidR="002466C9" w:rsidRPr="00B929AC">
        <w:instrText xml:space="preserve"> </w:instrText>
      </w:r>
      <w:r w:rsidR="002466C9">
        <w:rPr>
          <w:lang w:val="en-US"/>
        </w:rPr>
        <w:instrText>resembling</w:instrText>
      </w:r>
      <w:r w:rsidR="002466C9" w:rsidRPr="00B929AC">
        <w:instrText xml:space="preserve"> </w:instrText>
      </w:r>
      <w:r w:rsidR="002466C9">
        <w:rPr>
          <w:lang w:val="en-US"/>
        </w:rPr>
        <w:instrText>acute</w:instrText>
      </w:r>
      <w:r w:rsidR="002466C9" w:rsidRPr="00B929AC">
        <w:instrText xml:space="preserve"> </w:instrText>
      </w:r>
      <w:r w:rsidR="002466C9">
        <w:rPr>
          <w:lang w:val="en-US"/>
        </w:rPr>
        <w:instrText>lymphoblastic</w:instrText>
      </w:r>
      <w:r w:rsidR="002466C9" w:rsidRPr="00B929AC">
        <w:instrText xml:space="preserve"> </w:instrText>
      </w:r>
      <w:r w:rsidR="002466C9">
        <w:rPr>
          <w:lang w:val="en-US"/>
        </w:rPr>
        <w:instrText>leukemia</w:instrText>
      </w:r>
      <w:r w:rsidR="002466C9" w:rsidRPr="00B929AC">
        <w:instrText xml:space="preserve">, </w:instrText>
      </w:r>
      <w:r w:rsidR="002466C9">
        <w:rPr>
          <w:lang w:val="en-US"/>
        </w:rPr>
        <w:instrText>with</w:instrText>
      </w:r>
      <w:r w:rsidR="002466C9" w:rsidRPr="00B929AC">
        <w:instrText xml:space="preserve"> </w:instrText>
      </w:r>
      <w:r w:rsidR="002466C9">
        <w:rPr>
          <w:lang w:val="en-US"/>
        </w:rPr>
        <w:instrText>no</w:instrText>
      </w:r>
      <w:r w:rsidR="002466C9" w:rsidRPr="00B929AC">
        <w:instrText xml:space="preserve"> </w:instrText>
      </w:r>
      <w:r w:rsidR="002466C9">
        <w:rPr>
          <w:lang w:val="en-US"/>
        </w:rPr>
        <w:instrText>or</w:instrText>
      </w:r>
      <w:r w:rsidR="002466C9" w:rsidRPr="00B929AC">
        <w:instrText xml:space="preserve"> </w:instrText>
      </w:r>
      <w:r w:rsidR="002466C9">
        <w:rPr>
          <w:lang w:val="en-US"/>
        </w:rPr>
        <w:instrText>limited</w:instrText>
      </w:r>
      <w:r w:rsidR="002466C9" w:rsidRPr="00B929AC">
        <w:instrText xml:space="preserve"> </w:instrText>
      </w:r>
      <w:r w:rsidR="002466C9">
        <w:rPr>
          <w:lang w:val="en-US"/>
        </w:rPr>
        <w:instrText>bone</w:instrText>
      </w:r>
      <w:r w:rsidR="002466C9" w:rsidRPr="00B929AC">
        <w:instrText xml:space="preserve"> </w:instrText>
      </w:r>
      <w:r w:rsidR="002466C9">
        <w:rPr>
          <w:lang w:val="en-US"/>
        </w:rPr>
        <w:instrText>marrow</w:instrText>
      </w:r>
      <w:r w:rsidR="002466C9" w:rsidRPr="00B929AC">
        <w:instrText xml:space="preserve"> </w:instrText>
      </w:r>
      <w:r w:rsidR="002466C9">
        <w:rPr>
          <w:lang w:val="en-US"/>
        </w:rPr>
        <w:instrText>involvement</w:instrText>
      </w:r>
      <w:r w:rsidR="002466C9" w:rsidRPr="00B929AC">
        <w:instrText xml:space="preserve"> (&lt;25%), </w:instrText>
      </w:r>
      <w:r w:rsidR="002466C9">
        <w:rPr>
          <w:lang w:val="en-US"/>
        </w:rPr>
        <w:instrText>that</w:instrText>
      </w:r>
      <w:r w:rsidR="002466C9" w:rsidRPr="00B929AC">
        <w:instrText xml:space="preserve"> </w:instrText>
      </w:r>
      <w:r w:rsidR="002466C9">
        <w:rPr>
          <w:lang w:val="en-US"/>
        </w:rPr>
        <w:instrText>develops</w:instrText>
      </w:r>
      <w:r w:rsidR="002466C9" w:rsidRPr="00B929AC">
        <w:instrText xml:space="preserve"> </w:instrText>
      </w:r>
      <w:r w:rsidR="002466C9">
        <w:rPr>
          <w:lang w:val="en-US"/>
        </w:rPr>
        <w:instrText>more</w:instrText>
      </w:r>
      <w:r w:rsidR="002466C9" w:rsidRPr="00B929AC">
        <w:instrText xml:space="preserve"> </w:instrText>
      </w:r>
      <w:r w:rsidR="002466C9">
        <w:rPr>
          <w:lang w:val="en-US"/>
        </w:rPr>
        <w:instrText>frequently</w:instrText>
      </w:r>
      <w:r w:rsidR="002466C9" w:rsidRPr="00B929AC">
        <w:instrText xml:space="preserve"> </w:instrText>
      </w:r>
      <w:r w:rsidR="002466C9">
        <w:rPr>
          <w:lang w:val="en-US"/>
        </w:rPr>
        <w:instrText>in</w:instrText>
      </w:r>
      <w:r w:rsidR="002466C9" w:rsidRPr="00B929AC">
        <w:instrText xml:space="preserve"> </w:instrText>
      </w:r>
      <w:r w:rsidR="002466C9">
        <w:rPr>
          <w:lang w:val="en-US"/>
        </w:rPr>
        <w:instrText>children</w:instrText>
      </w:r>
      <w:r w:rsidR="002466C9" w:rsidRPr="00B929AC">
        <w:instrText xml:space="preserve"> </w:instrText>
      </w:r>
      <w:r w:rsidR="002466C9">
        <w:rPr>
          <w:lang w:val="en-US"/>
        </w:rPr>
        <w:instrText>and</w:instrText>
      </w:r>
      <w:r w:rsidR="002466C9" w:rsidRPr="00B929AC">
        <w:instrText xml:space="preserve"> </w:instrText>
      </w:r>
      <w:r w:rsidR="002466C9">
        <w:rPr>
          <w:lang w:val="en-US"/>
        </w:rPr>
        <w:instrText>young</w:instrText>
      </w:r>
      <w:r w:rsidR="002466C9" w:rsidRPr="00B929AC">
        <w:instrText xml:space="preserve"> </w:instrText>
      </w:r>
      <w:r w:rsidR="002466C9">
        <w:rPr>
          <w:lang w:val="en-US"/>
        </w:rPr>
        <w:instrText>adults</w:instrText>
      </w:r>
      <w:r w:rsidR="002466C9" w:rsidRPr="00B929AC">
        <w:instrText xml:space="preserve"> </w:instrText>
      </w:r>
      <w:r w:rsidR="002466C9">
        <w:rPr>
          <w:lang w:val="en-US"/>
        </w:rPr>
        <w:instrText>and</w:instrText>
      </w:r>
      <w:r w:rsidR="002466C9" w:rsidRPr="00B929AC">
        <w:instrText xml:space="preserve"> </w:instrText>
      </w:r>
      <w:r w:rsidR="002466C9">
        <w:rPr>
          <w:lang w:val="en-US"/>
        </w:rPr>
        <w:instrText>is</w:instrText>
      </w:r>
      <w:r w:rsidR="002466C9" w:rsidRPr="00B929AC">
        <w:instrText xml:space="preserve"> </w:instrText>
      </w:r>
      <w:r w:rsidR="002466C9">
        <w:rPr>
          <w:lang w:val="en-US"/>
        </w:rPr>
        <w:instrText>typically</w:instrText>
      </w:r>
      <w:r w:rsidR="002466C9" w:rsidRPr="00B929AC">
        <w:instrText xml:space="preserve"> </w:instrText>
      </w:r>
      <w:r w:rsidR="002466C9">
        <w:rPr>
          <w:lang w:val="en-US"/>
        </w:rPr>
        <w:instrText>characterized</w:instrText>
      </w:r>
      <w:r w:rsidR="002466C9" w:rsidRPr="00B929AC">
        <w:instrText xml:space="preserve"> </w:instrText>
      </w:r>
      <w:r w:rsidR="002466C9">
        <w:rPr>
          <w:lang w:val="en-US"/>
        </w:rPr>
        <w:instrText>by</w:instrText>
      </w:r>
      <w:r w:rsidR="002466C9" w:rsidRPr="00B929AC">
        <w:instrText xml:space="preserve"> </w:instrText>
      </w:r>
      <w:r w:rsidR="002466C9">
        <w:rPr>
          <w:lang w:val="en-US"/>
        </w:rPr>
        <w:instrText>a</w:instrText>
      </w:r>
      <w:r w:rsidR="002466C9" w:rsidRPr="00B929AC">
        <w:instrText xml:space="preserve"> </w:instrText>
      </w:r>
      <w:r w:rsidR="002466C9">
        <w:rPr>
          <w:lang w:val="en-US"/>
        </w:rPr>
        <w:instrText>grossly</w:instrText>
      </w:r>
      <w:r w:rsidR="002466C9" w:rsidRPr="00B929AC">
        <w:instrText xml:space="preserve"> </w:instrText>
      </w:r>
      <w:r w:rsidR="002466C9">
        <w:rPr>
          <w:lang w:val="en-US"/>
        </w:rPr>
        <w:instrText>enlarged</w:instrText>
      </w:r>
      <w:r w:rsidR="002466C9" w:rsidRPr="00B929AC">
        <w:instrText xml:space="preserve"> </w:instrText>
      </w:r>
      <w:r w:rsidR="002466C9">
        <w:rPr>
          <w:lang w:val="en-US"/>
        </w:rPr>
        <w:instrText>mediastinum</w:instrText>
      </w:r>
      <w:r w:rsidR="002466C9" w:rsidRPr="00B929AC">
        <w:instrText xml:space="preserve">, </w:instrText>
      </w:r>
      <w:r w:rsidR="002466C9">
        <w:rPr>
          <w:lang w:val="en-US"/>
        </w:rPr>
        <w:instrText>and</w:instrText>
      </w:r>
      <w:r w:rsidR="002466C9" w:rsidRPr="00B929AC">
        <w:instrText xml:space="preserve"> </w:instrText>
      </w:r>
      <w:r w:rsidR="002466C9">
        <w:rPr>
          <w:lang w:val="en-US"/>
        </w:rPr>
        <w:instrText>whose</w:instrText>
      </w:r>
      <w:r w:rsidR="002466C9" w:rsidRPr="00B929AC">
        <w:instrText xml:space="preserve"> </w:instrText>
      </w:r>
      <w:r w:rsidR="002466C9">
        <w:rPr>
          <w:lang w:val="en-US"/>
        </w:rPr>
        <w:instrText>diagnostic</w:instrText>
      </w:r>
      <w:r w:rsidR="002466C9" w:rsidRPr="00B929AC">
        <w:instrText xml:space="preserve"> </w:instrText>
      </w:r>
      <w:r w:rsidR="002466C9">
        <w:rPr>
          <w:lang w:val="en-US"/>
        </w:rPr>
        <w:instrText>hallmark</w:instrText>
      </w:r>
      <w:r w:rsidR="002466C9" w:rsidRPr="00B929AC">
        <w:instrText xml:space="preserve"> </w:instrText>
      </w:r>
      <w:r w:rsidR="002466C9">
        <w:rPr>
          <w:lang w:val="en-US"/>
        </w:rPr>
        <w:instrText>is</w:instrText>
      </w:r>
      <w:r w:rsidR="002466C9" w:rsidRPr="00B929AC">
        <w:instrText xml:space="preserve"> </w:instrText>
      </w:r>
      <w:r w:rsidR="002466C9">
        <w:rPr>
          <w:lang w:val="en-US"/>
        </w:rPr>
        <w:instrText>the</w:instrText>
      </w:r>
      <w:r w:rsidR="002466C9" w:rsidRPr="00B929AC">
        <w:instrText xml:space="preserve"> </w:instrText>
      </w:r>
      <w:r w:rsidR="002466C9">
        <w:rPr>
          <w:lang w:val="en-US"/>
        </w:rPr>
        <w:instrText>expression</w:instrText>
      </w:r>
      <w:r w:rsidR="002466C9" w:rsidRPr="00B929AC">
        <w:instrText xml:space="preserve"> </w:instrText>
      </w:r>
      <w:r w:rsidR="002466C9">
        <w:rPr>
          <w:lang w:val="en-US"/>
        </w:rPr>
        <w:instrText>of</w:instrText>
      </w:r>
      <w:r w:rsidR="002466C9" w:rsidRPr="00B929AC">
        <w:instrText xml:space="preserve"> </w:instrText>
      </w:r>
      <w:r w:rsidR="002466C9">
        <w:rPr>
          <w:lang w:val="en-US"/>
        </w:rPr>
        <w:instrText>a</w:instrText>
      </w:r>
      <w:r w:rsidR="002466C9" w:rsidRPr="00B929AC">
        <w:instrText xml:space="preserve"> </w:instrText>
      </w:r>
      <w:r w:rsidR="002466C9">
        <w:rPr>
          <w:lang w:val="en-US"/>
        </w:rPr>
        <w:instrText>T</w:instrText>
      </w:r>
      <w:r w:rsidR="002466C9" w:rsidRPr="00B929AC">
        <w:instrText>-/</w:instrText>
      </w:r>
      <w:r w:rsidR="002466C9">
        <w:rPr>
          <w:lang w:val="en-US"/>
        </w:rPr>
        <w:instrText>B</w:instrText>
      </w:r>
      <w:r w:rsidR="002466C9" w:rsidRPr="00B929AC">
        <w:instrText>-</w:instrText>
      </w:r>
      <w:r w:rsidR="002466C9">
        <w:rPr>
          <w:lang w:val="en-US"/>
        </w:rPr>
        <w:instrText>precursor</w:instrText>
      </w:r>
      <w:r w:rsidR="002466C9" w:rsidRPr="00B929AC">
        <w:instrText xml:space="preserve"> </w:instrText>
      </w:r>
      <w:r w:rsidR="002466C9">
        <w:rPr>
          <w:lang w:val="en-US"/>
        </w:rPr>
        <w:instrText>cell</w:instrText>
      </w:r>
      <w:r w:rsidR="002466C9" w:rsidRPr="00B929AC">
        <w:instrText xml:space="preserve"> </w:instrText>
      </w:r>
      <w:r w:rsidR="002466C9">
        <w:rPr>
          <w:lang w:val="en-US"/>
        </w:rPr>
        <w:instrText>immunophenotype</w:instrText>
      </w:r>
      <w:r w:rsidR="002466C9" w:rsidRPr="00B929AC">
        <w:instrText xml:space="preserve">, </w:instrText>
      </w:r>
      <w:r w:rsidR="002466C9">
        <w:rPr>
          <w:lang w:val="en-US"/>
        </w:rPr>
        <w:instrText>the</w:instrText>
      </w:r>
      <w:r w:rsidR="002466C9" w:rsidRPr="00B929AC">
        <w:instrText xml:space="preserve"> </w:instrText>
      </w:r>
      <w:r w:rsidR="002466C9">
        <w:rPr>
          <w:lang w:val="en-US"/>
        </w:rPr>
        <w:instrText>T</w:instrText>
      </w:r>
      <w:r w:rsidR="002466C9" w:rsidRPr="00B929AC">
        <w:instrText>-</w:instrText>
      </w:r>
      <w:r w:rsidR="002466C9">
        <w:rPr>
          <w:lang w:val="en-US"/>
        </w:rPr>
        <w:instrText>cell</w:instrText>
      </w:r>
      <w:r w:rsidR="002466C9" w:rsidRPr="00B929AC">
        <w:instrText xml:space="preserve"> </w:instrText>
      </w:r>
      <w:r w:rsidR="002466C9">
        <w:rPr>
          <w:lang w:val="en-US"/>
        </w:rPr>
        <w:instrText>subset</w:instrText>
      </w:r>
      <w:r w:rsidR="002466C9" w:rsidRPr="00B929AC">
        <w:instrText xml:space="preserve"> </w:instrText>
      </w:r>
      <w:r w:rsidR="002466C9">
        <w:rPr>
          <w:lang w:val="en-US"/>
        </w:rPr>
        <w:instrText>accounting</w:instrText>
      </w:r>
      <w:r w:rsidR="002466C9" w:rsidRPr="00B929AC">
        <w:instrText xml:space="preserve"> </w:instrText>
      </w:r>
      <w:r w:rsidR="002466C9">
        <w:rPr>
          <w:lang w:val="en-US"/>
        </w:rPr>
        <w:instrText>for</w:instrText>
      </w:r>
      <w:r w:rsidR="002466C9" w:rsidRPr="00B929AC">
        <w:instrText xml:space="preserve"> 90% </w:instrText>
      </w:r>
      <w:r w:rsidR="002466C9">
        <w:rPr>
          <w:lang w:val="en-US"/>
        </w:rPr>
        <w:instrText>of</w:instrText>
      </w:r>
      <w:r w:rsidR="002466C9" w:rsidRPr="00B929AC">
        <w:instrText xml:space="preserve"> </w:instrText>
      </w:r>
      <w:r w:rsidR="002466C9">
        <w:rPr>
          <w:lang w:val="en-US"/>
        </w:rPr>
        <w:instrText>all</w:instrText>
      </w:r>
      <w:r w:rsidR="002466C9" w:rsidRPr="00B929AC">
        <w:instrText xml:space="preserve"> </w:instrText>
      </w:r>
      <w:r w:rsidR="002466C9">
        <w:rPr>
          <w:lang w:val="en-US"/>
        </w:rPr>
        <w:instrText>cases</w:instrText>
      </w:r>
      <w:r w:rsidR="002466C9" w:rsidRPr="00B929AC">
        <w:instrText xml:space="preserve">. </w:instrText>
      </w:r>
      <w:r w:rsidR="002466C9">
        <w:rPr>
          <w:lang w:val="en-US"/>
        </w:rPr>
        <w:instrText>The</w:instrText>
      </w:r>
      <w:r w:rsidR="002466C9" w:rsidRPr="00B929AC">
        <w:instrText xml:space="preserve"> </w:instrText>
      </w:r>
      <w:r w:rsidR="002466C9">
        <w:rPr>
          <w:lang w:val="en-US"/>
        </w:rPr>
        <w:instrText>adoption</w:instrText>
      </w:r>
      <w:r w:rsidR="002466C9" w:rsidRPr="00B929AC">
        <w:instrText xml:space="preserve"> </w:instrText>
      </w:r>
      <w:r w:rsidR="002466C9">
        <w:rPr>
          <w:lang w:val="en-US"/>
        </w:rPr>
        <w:instrText>of</w:instrText>
      </w:r>
      <w:r w:rsidR="002466C9" w:rsidRPr="00B929AC">
        <w:instrText xml:space="preserve"> </w:instrText>
      </w:r>
      <w:r w:rsidR="002466C9">
        <w:rPr>
          <w:lang w:val="en-US"/>
        </w:rPr>
        <w:instrText>pediatric</w:instrText>
      </w:r>
      <w:r w:rsidR="002466C9" w:rsidRPr="00B929AC">
        <w:instrText>-</w:instrText>
      </w:r>
      <w:r w:rsidR="002466C9">
        <w:rPr>
          <w:lang w:val="en-US"/>
        </w:rPr>
        <w:instrText>derived</w:instrText>
      </w:r>
      <w:r w:rsidR="002466C9" w:rsidRPr="00B929AC">
        <w:instrText xml:space="preserve">, </w:instrText>
      </w:r>
      <w:r w:rsidR="002466C9">
        <w:rPr>
          <w:lang w:val="en-US"/>
        </w:rPr>
        <w:instrText>intensive</w:instrText>
      </w:r>
      <w:r w:rsidR="002466C9" w:rsidRPr="00B929AC">
        <w:instrText xml:space="preserve"> </w:instrText>
      </w:r>
      <w:r w:rsidR="002466C9">
        <w:rPr>
          <w:lang w:val="en-US"/>
        </w:rPr>
        <w:instrText>lymphoblastic</w:instrText>
      </w:r>
      <w:r w:rsidR="002466C9" w:rsidRPr="00B929AC">
        <w:instrText xml:space="preserve"> </w:instrText>
      </w:r>
      <w:r w:rsidR="002466C9">
        <w:rPr>
          <w:lang w:val="en-US"/>
        </w:rPr>
        <w:instrText>leukemia</w:instrText>
      </w:r>
      <w:r w:rsidR="002466C9" w:rsidRPr="00B929AC">
        <w:instrText>-</w:instrText>
      </w:r>
      <w:r w:rsidR="002466C9">
        <w:rPr>
          <w:lang w:val="en-US"/>
        </w:rPr>
        <w:instrText>like</w:instrText>
      </w:r>
      <w:r w:rsidR="002466C9" w:rsidRPr="00B929AC">
        <w:instrText xml:space="preserve"> </w:instrText>
      </w:r>
      <w:r w:rsidR="002466C9">
        <w:rPr>
          <w:lang w:val="en-US"/>
        </w:rPr>
        <w:instrText>protocols</w:instrText>
      </w:r>
      <w:r w:rsidR="002466C9" w:rsidRPr="00B929AC">
        <w:instrText xml:space="preserve"> </w:instrText>
      </w:r>
      <w:r w:rsidR="002466C9">
        <w:rPr>
          <w:lang w:val="en-US"/>
        </w:rPr>
        <w:instrText>led</w:instrText>
      </w:r>
      <w:r w:rsidR="002466C9" w:rsidRPr="00B929AC">
        <w:instrText xml:space="preserve"> </w:instrText>
      </w:r>
      <w:r w:rsidR="002466C9">
        <w:rPr>
          <w:lang w:val="en-US"/>
        </w:rPr>
        <w:instrText>to</w:instrText>
      </w:r>
      <w:r w:rsidR="002466C9" w:rsidRPr="00B929AC">
        <w:instrText xml:space="preserve"> </w:instrText>
      </w:r>
      <w:r w:rsidR="002466C9">
        <w:rPr>
          <w:lang w:val="en-US"/>
        </w:rPr>
        <w:instrText>significantly</w:instrText>
      </w:r>
      <w:r w:rsidR="002466C9" w:rsidRPr="00B929AC">
        <w:instrText xml:space="preserve"> </w:instrText>
      </w:r>
      <w:r w:rsidR="002466C9">
        <w:rPr>
          <w:lang w:val="en-US"/>
        </w:rPr>
        <w:instrText>improved</w:instrText>
      </w:r>
      <w:r w:rsidR="002466C9" w:rsidRPr="00B929AC">
        <w:instrText xml:space="preserve"> </w:instrText>
      </w:r>
      <w:r w:rsidR="002466C9">
        <w:rPr>
          <w:lang w:val="en-US"/>
        </w:rPr>
        <w:instrText>results</w:instrText>
      </w:r>
      <w:r w:rsidR="002466C9" w:rsidRPr="00B929AC">
        <w:instrText xml:space="preserve">, </w:instrText>
      </w:r>
      <w:r w:rsidR="002466C9">
        <w:rPr>
          <w:lang w:val="en-US"/>
        </w:rPr>
        <w:instrText>with</w:instrText>
      </w:r>
      <w:r w:rsidR="002466C9" w:rsidRPr="00B929AC">
        <w:instrText xml:space="preserve"> </w:instrText>
      </w:r>
      <w:r w:rsidR="002466C9">
        <w:rPr>
          <w:lang w:val="en-US"/>
        </w:rPr>
        <w:instrText>survival</w:instrText>
      </w:r>
      <w:r w:rsidR="002466C9" w:rsidRPr="00B929AC">
        <w:instrText xml:space="preserve"> </w:instrText>
      </w:r>
      <w:r w:rsidR="002466C9">
        <w:rPr>
          <w:lang w:val="en-US"/>
        </w:rPr>
        <w:instrText>rates</w:instrText>
      </w:r>
      <w:r w:rsidR="002466C9" w:rsidRPr="00B929AC">
        <w:instrText xml:space="preserve"> </w:instrText>
      </w:r>
      <w:r w:rsidR="002466C9">
        <w:rPr>
          <w:lang w:val="en-US"/>
        </w:rPr>
        <w:instrText>of</w:instrText>
      </w:r>
      <w:r w:rsidR="002466C9" w:rsidRPr="00B929AC">
        <w:instrText xml:space="preserve"> </w:instrText>
      </w:r>
      <w:r w:rsidR="002466C9">
        <w:rPr>
          <w:lang w:val="en-US"/>
        </w:rPr>
        <w:instrText>about</w:instrText>
      </w:r>
      <w:r w:rsidR="002466C9" w:rsidRPr="00B929AC">
        <w:instrText xml:space="preserve"> 70% </w:instrText>
      </w:r>
      <w:r w:rsidR="002466C9">
        <w:rPr>
          <w:lang w:val="en-US"/>
        </w:rPr>
        <w:instrText>and</w:instrText>
      </w:r>
      <w:r w:rsidR="002466C9" w:rsidRPr="00B929AC">
        <w:instrText xml:space="preserve"> 90% </w:instrText>
      </w:r>
      <w:r w:rsidR="002466C9">
        <w:rPr>
          <w:lang w:val="en-US"/>
        </w:rPr>
        <w:instrText>in</w:instrText>
      </w:r>
      <w:r w:rsidR="002466C9" w:rsidRPr="00B929AC">
        <w:instrText xml:space="preserve"> </w:instrText>
      </w:r>
      <w:r w:rsidR="002466C9">
        <w:rPr>
          <w:lang w:val="en-US"/>
        </w:rPr>
        <w:instrText>adults</w:instrText>
      </w:r>
      <w:r w:rsidR="002466C9" w:rsidRPr="00B929AC">
        <w:instrText xml:space="preserve"> </w:instrText>
      </w:r>
      <w:r w:rsidR="002466C9">
        <w:rPr>
          <w:lang w:val="en-US"/>
        </w:rPr>
        <w:instrText>and</w:instrText>
      </w:r>
      <w:r w:rsidR="002466C9" w:rsidRPr="00B929AC">
        <w:instrText xml:space="preserve"> </w:instrText>
      </w:r>
      <w:r w:rsidR="002466C9">
        <w:rPr>
          <w:lang w:val="en-US"/>
        </w:rPr>
        <w:instrText>children</w:instrText>
      </w:r>
      <w:r w:rsidR="002466C9" w:rsidRPr="00B929AC">
        <w:instrText xml:space="preserve">, </w:instrText>
      </w:r>
      <w:r w:rsidR="002466C9">
        <w:rPr>
          <w:lang w:val="en-US"/>
        </w:rPr>
        <w:instrText>respectively</w:instrText>
      </w:r>
      <w:r w:rsidR="002466C9" w:rsidRPr="00B929AC">
        <w:instrText xml:space="preserve">. </w:instrText>
      </w:r>
      <w:r w:rsidR="002466C9">
        <w:rPr>
          <w:lang w:val="en-US"/>
        </w:rPr>
        <w:instrText>Adequate</w:instrText>
      </w:r>
      <w:r w:rsidR="002466C9" w:rsidRPr="00B929AC">
        <w:instrText xml:space="preserve"> </w:instrText>
      </w:r>
      <w:r w:rsidR="002466C9">
        <w:rPr>
          <w:lang w:val="en-US"/>
        </w:rPr>
        <w:instrText>central</w:instrText>
      </w:r>
      <w:r w:rsidR="002466C9" w:rsidRPr="00B929AC">
        <w:instrText xml:space="preserve"> </w:instrText>
      </w:r>
      <w:r w:rsidR="002466C9">
        <w:rPr>
          <w:lang w:val="en-US"/>
        </w:rPr>
        <w:instrText>nervous</w:instrText>
      </w:r>
      <w:r w:rsidR="002466C9" w:rsidRPr="00B929AC">
        <w:instrText xml:space="preserve"> </w:instrText>
      </w:r>
      <w:r w:rsidR="002466C9">
        <w:rPr>
          <w:lang w:val="en-US"/>
        </w:rPr>
        <w:instrText>system</w:instrText>
      </w:r>
      <w:r w:rsidR="002466C9" w:rsidRPr="00B929AC">
        <w:instrText xml:space="preserve"> </w:instrText>
      </w:r>
      <w:r w:rsidR="002466C9">
        <w:rPr>
          <w:lang w:val="en-US"/>
        </w:rPr>
        <w:instrText>prophylaxis</w:instrText>
      </w:r>
      <w:r w:rsidR="002466C9" w:rsidRPr="00B929AC">
        <w:instrText xml:space="preserve"> </w:instrText>
      </w:r>
      <w:r w:rsidR="002466C9">
        <w:rPr>
          <w:lang w:val="en-US"/>
        </w:rPr>
        <w:instrText>and</w:instrText>
      </w:r>
      <w:r w:rsidR="002466C9" w:rsidRPr="00B929AC">
        <w:instrText xml:space="preserve"> </w:instrText>
      </w:r>
      <w:r w:rsidR="002466C9">
        <w:rPr>
          <w:lang w:val="en-US"/>
        </w:rPr>
        <w:instrText>mediastinal</w:instrText>
      </w:r>
      <w:r w:rsidR="002466C9" w:rsidRPr="00B929AC">
        <w:instrText xml:space="preserve"> </w:instrText>
      </w:r>
      <w:r w:rsidR="002466C9">
        <w:rPr>
          <w:lang w:val="en-US"/>
        </w:rPr>
        <w:instrText>irradiation</w:instrText>
      </w:r>
      <w:r w:rsidR="002466C9" w:rsidRPr="00B929AC">
        <w:instrText xml:space="preserve"> </w:instrText>
      </w:r>
      <w:r w:rsidR="002466C9">
        <w:rPr>
          <w:lang w:val="en-US"/>
        </w:rPr>
        <w:instrText>contributed</w:instrText>
      </w:r>
      <w:r w:rsidR="002466C9" w:rsidRPr="00B929AC">
        <w:instrText xml:space="preserve"> </w:instrText>
      </w:r>
      <w:r w:rsidR="002466C9">
        <w:rPr>
          <w:lang w:val="en-US"/>
        </w:rPr>
        <w:instrText>to</w:instrText>
      </w:r>
      <w:r w:rsidR="002466C9" w:rsidRPr="00B929AC">
        <w:instrText xml:space="preserve"> </w:instrText>
      </w:r>
      <w:r w:rsidR="002466C9">
        <w:rPr>
          <w:lang w:val="en-US"/>
        </w:rPr>
        <w:instrText>the</w:instrText>
      </w:r>
      <w:r w:rsidR="002466C9" w:rsidRPr="00B929AC">
        <w:instrText xml:space="preserve"> </w:instrText>
      </w:r>
      <w:r w:rsidR="002466C9">
        <w:rPr>
          <w:lang w:val="en-US"/>
        </w:rPr>
        <w:instrText>therapeutic</w:instrText>
      </w:r>
      <w:r w:rsidR="002466C9" w:rsidRPr="00B929AC">
        <w:instrText xml:space="preserve"> </w:instrText>
      </w:r>
      <w:r w:rsidR="002466C9">
        <w:rPr>
          <w:lang w:val="en-US"/>
        </w:rPr>
        <w:instrText>success</w:instrText>
      </w:r>
      <w:r w:rsidR="002466C9" w:rsidRPr="00B929AC">
        <w:instrText xml:space="preserve">; </w:instrText>
      </w:r>
      <w:r w:rsidR="002466C9">
        <w:rPr>
          <w:lang w:val="en-US"/>
        </w:rPr>
        <w:instrText>however</w:instrText>
      </w:r>
      <w:r w:rsidR="002466C9" w:rsidRPr="00B929AC">
        <w:instrText xml:space="preserve">, </w:instrText>
      </w:r>
      <w:r w:rsidR="002466C9">
        <w:rPr>
          <w:lang w:val="en-US"/>
        </w:rPr>
        <w:instrText>the</w:instrText>
      </w:r>
      <w:r w:rsidR="002466C9" w:rsidRPr="00B929AC">
        <w:instrText xml:space="preserve"> </w:instrText>
      </w:r>
      <w:r w:rsidR="002466C9">
        <w:rPr>
          <w:lang w:val="en-US"/>
        </w:rPr>
        <w:instrText>role</w:instrText>
      </w:r>
      <w:r w:rsidR="002466C9" w:rsidRPr="00B929AC">
        <w:instrText xml:space="preserve"> </w:instrText>
      </w:r>
      <w:r w:rsidR="002466C9">
        <w:rPr>
          <w:lang w:val="en-US"/>
        </w:rPr>
        <w:instrText>of</w:instrText>
      </w:r>
      <w:r w:rsidR="002466C9" w:rsidRPr="00B929AC">
        <w:instrText xml:space="preserve"> </w:instrText>
      </w:r>
      <w:r w:rsidR="002466C9">
        <w:rPr>
          <w:lang w:val="en-US"/>
        </w:rPr>
        <w:instrText>radiation</w:instrText>
      </w:r>
      <w:r w:rsidR="002466C9" w:rsidRPr="00B929AC">
        <w:instrText xml:space="preserve"> </w:instrText>
      </w:r>
      <w:r w:rsidR="002466C9">
        <w:rPr>
          <w:lang w:val="en-US"/>
        </w:rPr>
        <w:instrText>therapy</w:instrText>
      </w:r>
      <w:r w:rsidR="002466C9" w:rsidRPr="00B929AC">
        <w:instrText xml:space="preserve"> </w:instrText>
      </w:r>
      <w:r w:rsidR="002466C9">
        <w:rPr>
          <w:lang w:val="en-US"/>
        </w:rPr>
        <w:instrText>is</w:instrText>
      </w:r>
      <w:r w:rsidR="002466C9" w:rsidRPr="00B929AC">
        <w:instrText xml:space="preserve"> </w:instrText>
      </w:r>
      <w:r w:rsidR="002466C9">
        <w:rPr>
          <w:lang w:val="en-US"/>
        </w:rPr>
        <w:instrText>debated</w:instrText>
      </w:r>
      <w:r w:rsidR="002466C9" w:rsidRPr="00B929AC">
        <w:instrText xml:space="preserve"> </w:instrText>
      </w:r>
      <w:r w:rsidR="002466C9">
        <w:rPr>
          <w:lang w:val="en-US"/>
        </w:rPr>
        <w:instrText>due</w:instrText>
      </w:r>
      <w:r w:rsidR="002466C9" w:rsidRPr="00B929AC">
        <w:instrText xml:space="preserve"> </w:instrText>
      </w:r>
      <w:r w:rsidR="002466C9">
        <w:rPr>
          <w:lang w:val="en-US"/>
        </w:rPr>
        <w:instrText>to</w:instrText>
      </w:r>
      <w:r w:rsidR="002466C9" w:rsidRPr="00B929AC">
        <w:instrText xml:space="preserve"> </w:instrText>
      </w:r>
      <w:r w:rsidR="002466C9">
        <w:rPr>
          <w:lang w:val="en-US"/>
        </w:rPr>
        <w:instrText>toxicity</w:instrText>
      </w:r>
      <w:r w:rsidR="002466C9" w:rsidRPr="00B929AC">
        <w:instrText xml:space="preserve"> </w:instrText>
      </w:r>
      <w:r w:rsidR="002466C9">
        <w:rPr>
          <w:lang w:val="en-US"/>
        </w:rPr>
        <w:instrText>concerns</w:instrText>
      </w:r>
      <w:r w:rsidR="002466C9" w:rsidRPr="00B929AC">
        <w:instrText xml:space="preserve"> </w:instrText>
      </w:r>
      <w:r w:rsidR="002466C9">
        <w:rPr>
          <w:lang w:val="en-US"/>
        </w:rPr>
        <w:instrText>and</w:instrText>
      </w:r>
      <w:r w:rsidR="002466C9" w:rsidRPr="00B929AC">
        <w:instrText xml:space="preserve"> </w:instrText>
      </w:r>
      <w:r w:rsidR="002466C9">
        <w:rPr>
          <w:lang w:val="en-US"/>
        </w:rPr>
        <w:instrText>the</w:instrText>
      </w:r>
      <w:r w:rsidR="002466C9" w:rsidRPr="00B929AC">
        <w:instrText xml:space="preserve"> </w:instrText>
      </w:r>
      <w:r w:rsidR="002466C9">
        <w:rPr>
          <w:lang w:val="en-US"/>
        </w:rPr>
        <w:instrText>excellent</w:instrText>
      </w:r>
      <w:r w:rsidR="002466C9" w:rsidRPr="00B929AC">
        <w:instrText xml:space="preserve"> </w:instrText>
      </w:r>
      <w:r w:rsidR="002466C9">
        <w:rPr>
          <w:lang w:val="en-US"/>
        </w:rPr>
        <w:instrText>results</w:instrText>
      </w:r>
      <w:r w:rsidR="002466C9" w:rsidRPr="00B929AC">
        <w:instrText xml:space="preserve"> </w:instrText>
      </w:r>
      <w:r w:rsidR="002466C9">
        <w:rPr>
          <w:lang w:val="en-US"/>
        </w:rPr>
        <w:instrText>obtained</w:instrText>
      </w:r>
      <w:r w:rsidR="002466C9" w:rsidRPr="00B929AC">
        <w:instrText xml:space="preserve"> </w:instrText>
      </w:r>
      <w:r w:rsidR="002466C9">
        <w:rPr>
          <w:lang w:val="en-US"/>
        </w:rPr>
        <w:instrText>with</w:instrText>
      </w:r>
      <w:r w:rsidR="002466C9" w:rsidRPr="00B929AC">
        <w:instrText xml:space="preserve"> </w:instrText>
      </w:r>
      <w:r w:rsidR="002466C9">
        <w:rPr>
          <w:lang w:val="en-US"/>
        </w:rPr>
        <w:instrText>radiation</w:instrText>
      </w:r>
      <w:r w:rsidR="002466C9" w:rsidRPr="00B929AC">
        <w:instrText>-</w:instrText>
      </w:r>
      <w:r w:rsidR="002466C9">
        <w:rPr>
          <w:lang w:val="en-US"/>
        </w:rPr>
        <w:instrText>free</w:instrText>
      </w:r>
      <w:r w:rsidR="002466C9" w:rsidRPr="00B929AC">
        <w:instrText xml:space="preserve"> </w:instrText>
      </w:r>
      <w:r w:rsidR="002466C9">
        <w:rPr>
          <w:lang w:val="en-US"/>
        </w:rPr>
        <w:instrText>programs</w:instrText>
      </w:r>
      <w:r w:rsidR="002466C9" w:rsidRPr="00B929AC">
        <w:instrText xml:space="preserve"> </w:instrText>
      </w:r>
      <w:r w:rsidR="002466C9">
        <w:rPr>
          <w:lang w:val="en-US"/>
        </w:rPr>
        <w:instrText>especially</w:instrText>
      </w:r>
      <w:r w:rsidR="002466C9" w:rsidRPr="00B929AC">
        <w:instrText xml:space="preserve"> </w:instrText>
      </w:r>
      <w:r w:rsidR="002466C9">
        <w:rPr>
          <w:lang w:val="en-US"/>
        </w:rPr>
        <w:instrText>in</w:instrText>
      </w:r>
      <w:r w:rsidR="002466C9" w:rsidRPr="00B929AC">
        <w:instrText xml:space="preserve"> </w:instrText>
      </w:r>
      <w:r w:rsidR="002466C9">
        <w:rPr>
          <w:lang w:val="en-US"/>
        </w:rPr>
        <w:instrText>pediatric</w:instrText>
      </w:r>
      <w:r w:rsidR="002466C9" w:rsidRPr="00B929AC">
        <w:instrText xml:space="preserve"> </w:instrText>
      </w:r>
      <w:r w:rsidR="002466C9">
        <w:rPr>
          <w:lang w:val="en-US"/>
        </w:rPr>
        <w:instrText>patients</w:instrText>
      </w:r>
      <w:r w:rsidR="002466C9" w:rsidRPr="00B929AC">
        <w:instrText xml:space="preserve">. </w:instrText>
      </w:r>
      <w:r w:rsidR="002466C9">
        <w:rPr>
          <w:lang w:val="en-US"/>
        </w:rPr>
        <w:instrText>With</w:instrText>
      </w:r>
      <w:r w:rsidR="002466C9" w:rsidRPr="00B929AC">
        <w:instrText xml:space="preserve"> </w:instrText>
      </w:r>
      <w:r w:rsidR="002466C9">
        <w:rPr>
          <w:lang w:val="en-US"/>
        </w:rPr>
        <w:instrText>these</w:instrText>
      </w:r>
      <w:r w:rsidR="002466C9" w:rsidRPr="00B929AC">
        <w:instrText xml:space="preserve"> </w:instrText>
      </w:r>
      <w:r w:rsidR="002466C9">
        <w:rPr>
          <w:lang w:val="en-US"/>
        </w:rPr>
        <w:instrText>modern</w:instrText>
      </w:r>
      <w:r w:rsidR="002466C9" w:rsidRPr="00B929AC">
        <w:instrText xml:space="preserve"> </w:instrText>
      </w:r>
      <w:r w:rsidR="002466C9">
        <w:rPr>
          <w:lang w:val="en-US"/>
        </w:rPr>
        <w:instrText>schedules</w:instrText>
      </w:r>
      <w:r w:rsidR="002466C9" w:rsidRPr="00B929AC">
        <w:instrText xml:space="preserve">, </w:instrText>
      </w:r>
      <w:r w:rsidR="002466C9">
        <w:rPr>
          <w:lang w:val="en-US"/>
        </w:rPr>
        <w:instrText>localized</w:instrText>
      </w:r>
      <w:r w:rsidR="002466C9" w:rsidRPr="00B929AC">
        <w:instrText xml:space="preserve"> </w:instrText>
      </w:r>
      <w:r w:rsidR="002466C9">
        <w:rPr>
          <w:lang w:val="en-US"/>
        </w:rPr>
        <w:instrText>radiotherapy</w:instrText>
      </w:r>
      <w:r w:rsidR="002466C9" w:rsidRPr="00B929AC">
        <w:instrText xml:space="preserve"> </w:instrText>
      </w:r>
      <w:r w:rsidR="002466C9">
        <w:rPr>
          <w:lang w:val="en-US"/>
        </w:rPr>
        <w:instrText>and</w:instrText>
      </w:r>
      <w:r w:rsidR="002466C9" w:rsidRPr="00B929AC">
        <w:instrText>/</w:instrText>
      </w:r>
      <w:r w:rsidR="002466C9">
        <w:rPr>
          <w:lang w:val="en-US"/>
        </w:rPr>
        <w:instrText>or</w:instrText>
      </w:r>
      <w:r w:rsidR="002466C9" w:rsidRPr="00B929AC">
        <w:instrText xml:space="preserve"> </w:instrText>
      </w:r>
      <w:r w:rsidR="002466C9">
        <w:rPr>
          <w:lang w:val="en-US"/>
        </w:rPr>
        <w:instrText>hematopoietic</w:instrText>
      </w:r>
      <w:r w:rsidR="002466C9" w:rsidRPr="00B929AC">
        <w:instrText xml:space="preserve"> </w:instrText>
      </w:r>
      <w:r w:rsidR="002466C9">
        <w:rPr>
          <w:lang w:val="en-US"/>
        </w:rPr>
        <w:instrText>stem</w:instrText>
      </w:r>
      <w:r w:rsidR="002466C9" w:rsidRPr="00B929AC">
        <w:instrText xml:space="preserve"> </w:instrText>
      </w:r>
      <w:r w:rsidR="002466C9">
        <w:rPr>
          <w:lang w:val="en-US"/>
        </w:rPr>
        <w:instrText>cell</w:instrText>
      </w:r>
      <w:r w:rsidR="002466C9" w:rsidRPr="00B929AC">
        <w:instrText xml:space="preserve"> </w:instrText>
      </w:r>
      <w:r w:rsidR="002466C9">
        <w:rPr>
          <w:lang w:val="en-US"/>
        </w:rPr>
        <w:instrText>transplants</w:instrText>
      </w:r>
      <w:r w:rsidR="002466C9" w:rsidRPr="00B929AC">
        <w:instrText xml:space="preserve"> </w:instrText>
      </w:r>
      <w:r w:rsidR="002466C9">
        <w:rPr>
          <w:lang w:val="en-US"/>
        </w:rPr>
        <w:instrText>could</w:instrText>
      </w:r>
      <w:r w:rsidR="002466C9" w:rsidRPr="00B929AC">
        <w:instrText xml:space="preserve"> </w:instrText>
      </w:r>
      <w:r w:rsidR="002466C9">
        <w:rPr>
          <w:lang w:val="en-US"/>
        </w:rPr>
        <w:instrText>be</w:instrText>
      </w:r>
      <w:r w:rsidR="002466C9" w:rsidRPr="00B929AC">
        <w:instrText xml:space="preserve"> </w:instrText>
      </w:r>
      <w:r w:rsidR="002466C9">
        <w:rPr>
          <w:lang w:val="en-US"/>
        </w:rPr>
        <w:instrText>generally</w:instrText>
      </w:r>
      <w:r w:rsidR="002466C9" w:rsidRPr="00B929AC">
        <w:instrText xml:space="preserve"> </w:instrText>
      </w:r>
      <w:r w:rsidR="002466C9">
        <w:rPr>
          <w:lang w:val="en-US"/>
        </w:rPr>
        <w:instrText>omitted</w:instrText>
      </w:r>
      <w:r w:rsidR="002466C9" w:rsidRPr="00B929AC">
        <w:instrText xml:space="preserve">, </w:instrText>
      </w:r>
      <w:r w:rsidR="002466C9">
        <w:rPr>
          <w:lang w:val="en-US"/>
        </w:rPr>
        <w:instrText>and</w:instrText>
      </w:r>
      <w:r w:rsidR="002466C9" w:rsidRPr="00B929AC">
        <w:instrText xml:space="preserve"> </w:instrText>
      </w:r>
      <w:r w:rsidR="002466C9">
        <w:rPr>
          <w:lang w:val="en-US"/>
        </w:rPr>
        <w:instrText>considered</w:instrText>
      </w:r>
      <w:r w:rsidR="002466C9" w:rsidRPr="00B929AC">
        <w:instrText xml:space="preserve"> </w:instrText>
      </w:r>
      <w:r w:rsidR="002466C9">
        <w:rPr>
          <w:lang w:val="en-US"/>
        </w:rPr>
        <w:instrText>only</w:instrText>
      </w:r>
      <w:r w:rsidR="002466C9" w:rsidRPr="00B929AC">
        <w:instrText xml:space="preserve"> </w:instrText>
      </w:r>
      <w:r w:rsidR="002466C9">
        <w:rPr>
          <w:lang w:val="en-US"/>
        </w:rPr>
        <w:instrText>for</w:instrText>
      </w:r>
      <w:r w:rsidR="002466C9" w:rsidRPr="00B929AC">
        <w:instrText xml:space="preserve"> </w:instrText>
      </w:r>
      <w:r w:rsidR="002466C9">
        <w:rPr>
          <w:lang w:val="en-US"/>
        </w:rPr>
        <w:instrText>high</w:instrText>
      </w:r>
      <w:r w:rsidR="002466C9" w:rsidRPr="00B929AC">
        <w:instrText>-</w:instrText>
      </w:r>
      <w:r w:rsidR="002466C9">
        <w:rPr>
          <w:lang w:val="en-US"/>
        </w:rPr>
        <w:instrText>risk</w:instrText>
      </w:r>
      <w:r w:rsidR="002466C9" w:rsidRPr="00B929AC">
        <w:instrText xml:space="preserve"> </w:instrText>
      </w:r>
      <w:r w:rsidR="002466C9">
        <w:rPr>
          <w:lang w:val="en-US"/>
        </w:rPr>
        <w:instrText>patients</w:instrText>
      </w:r>
      <w:r w:rsidR="002466C9" w:rsidRPr="00B929AC">
        <w:instrText xml:space="preserve"> </w:instrText>
      </w:r>
      <w:r w:rsidR="002466C9">
        <w:rPr>
          <w:lang w:val="en-US"/>
        </w:rPr>
        <w:instrText>identified</w:instrText>
      </w:r>
      <w:r w:rsidR="002466C9" w:rsidRPr="00B929AC">
        <w:instrText xml:space="preserve"> </w:instrText>
      </w:r>
      <w:r w:rsidR="002466C9">
        <w:rPr>
          <w:lang w:val="en-US"/>
        </w:rPr>
        <w:instrText>through</w:instrText>
      </w:r>
      <w:r w:rsidR="002466C9" w:rsidRPr="00B929AC">
        <w:instrText xml:space="preserve"> </w:instrText>
      </w:r>
      <w:r w:rsidR="002466C9">
        <w:rPr>
          <w:lang w:val="en-US"/>
        </w:rPr>
        <w:instrText>postinduction</w:instrText>
      </w:r>
      <w:r w:rsidR="002466C9" w:rsidRPr="00B929AC">
        <w:instrText xml:space="preserve"> </w:instrText>
      </w:r>
      <w:r w:rsidR="002466C9">
        <w:rPr>
          <w:lang w:val="en-US"/>
        </w:rPr>
        <w:instrText>computed</w:instrText>
      </w:r>
      <w:r w:rsidR="002466C9" w:rsidRPr="00B929AC">
        <w:instrText xml:space="preserve"> </w:instrText>
      </w:r>
      <w:r w:rsidR="002466C9">
        <w:rPr>
          <w:lang w:val="en-US"/>
        </w:rPr>
        <w:instrText>tomography</w:instrText>
      </w:r>
      <w:r w:rsidR="002466C9" w:rsidRPr="00B929AC">
        <w:instrText>/</w:instrText>
      </w:r>
      <w:r w:rsidR="002466C9">
        <w:rPr>
          <w:lang w:val="en-US"/>
        </w:rPr>
        <w:instrText>positron</w:instrText>
      </w:r>
      <w:r w:rsidR="002466C9" w:rsidRPr="00B929AC">
        <w:instrText>-</w:instrText>
      </w:r>
      <w:r w:rsidR="002466C9">
        <w:rPr>
          <w:lang w:val="en-US"/>
        </w:rPr>
        <w:instrText>emission</w:instrText>
      </w:r>
      <w:r w:rsidR="002466C9" w:rsidRPr="00B929AC">
        <w:instrText xml:space="preserve"> </w:instrText>
      </w:r>
      <w:r w:rsidR="002466C9">
        <w:rPr>
          <w:lang w:val="en-US"/>
        </w:rPr>
        <w:instrText>tomography</w:instrText>
      </w:r>
      <w:r w:rsidR="002466C9" w:rsidRPr="00B929AC">
        <w:instrText xml:space="preserve"> </w:instrText>
      </w:r>
      <w:r w:rsidR="002466C9">
        <w:rPr>
          <w:lang w:val="en-US"/>
        </w:rPr>
        <w:instrText>scans</w:instrText>
      </w:r>
      <w:r w:rsidR="002466C9" w:rsidRPr="00B929AC">
        <w:instrText xml:space="preserve">, </w:instrText>
      </w:r>
      <w:r w:rsidR="002466C9">
        <w:rPr>
          <w:lang w:val="en-US"/>
        </w:rPr>
        <w:instrText>minimal</w:instrText>
      </w:r>
      <w:r w:rsidR="002466C9" w:rsidRPr="00B929AC">
        <w:instrText xml:space="preserve"> </w:instrText>
      </w:r>
      <w:r w:rsidR="002466C9">
        <w:rPr>
          <w:lang w:val="en-US"/>
        </w:rPr>
        <w:instrText>residual</w:instrText>
      </w:r>
      <w:r w:rsidR="002466C9" w:rsidRPr="00B929AC">
        <w:instrText xml:space="preserve"> </w:instrText>
      </w:r>
      <w:r w:rsidR="002466C9">
        <w:rPr>
          <w:lang w:val="en-US"/>
        </w:rPr>
        <w:instrText>disease</w:instrText>
      </w:r>
      <w:r w:rsidR="002466C9" w:rsidRPr="00B929AC">
        <w:instrText xml:space="preserve"> </w:instrText>
      </w:r>
      <w:r w:rsidR="002466C9">
        <w:rPr>
          <w:lang w:val="en-US"/>
        </w:rPr>
        <w:instrText>analysis</w:instrText>
      </w:r>
      <w:r w:rsidR="002466C9" w:rsidRPr="00B929AC">
        <w:instrText xml:space="preserve">, </w:instrText>
      </w:r>
      <w:r w:rsidR="002466C9">
        <w:rPr>
          <w:lang w:val="en-US"/>
        </w:rPr>
        <w:instrText>and</w:instrText>
      </w:r>
      <w:r w:rsidR="002466C9" w:rsidRPr="00B929AC">
        <w:instrText xml:space="preserve"> </w:instrText>
      </w:r>
      <w:r w:rsidR="002466C9">
        <w:rPr>
          <w:lang w:val="en-US"/>
        </w:rPr>
        <w:instrText>new</w:instrText>
      </w:r>
      <w:r w:rsidR="002466C9" w:rsidRPr="00B929AC">
        <w:instrText xml:space="preserve"> </w:instrText>
      </w:r>
      <w:r w:rsidR="002466C9">
        <w:rPr>
          <w:lang w:val="en-US"/>
        </w:rPr>
        <w:instrText>genetics</w:instrText>
      </w:r>
      <w:r w:rsidR="002466C9" w:rsidRPr="00B929AC">
        <w:instrText xml:space="preserve"> </w:instrText>
      </w:r>
      <w:r w:rsidR="002466C9">
        <w:rPr>
          <w:lang w:val="en-US"/>
        </w:rPr>
        <w:instrText>and</w:instrText>
      </w:r>
      <w:r w:rsidR="002466C9" w:rsidRPr="00B929AC">
        <w:instrText xml:space="preserve"> </w:instrText>
      </w:r>
      <w:r w:rsidR="002466C9">
        <w:rPr>
          <w:lang w:val="en-US"/>
        </w:rPr>
        <w:instrText>genomics</w:instrText>
      </w:r>
      <w:r w:rsidR="002466C9" w:rsidRPr="00B929AC">
        <w:instrText xml:space="preserve">. </w:instrText>
      </w:r>
      <w:r w:rsidR="002466C9">
        <w:rPr>
          <w:lang w:val="en-US"/>
        </w:rPr>
        <w:instrText>New</w:instrText>
      </w:r>
      <w:r w:rsidR="002466C9" w:rsidRPr="00B929AC">
        <w:instrText xml:space="preserve"> </w:instrText>
      </w:r>
      <w:r w:rsidR="002466C9">
        <w:rPr>
          <w:lang w:val="en-US"/>
        </w:rPr>
        <w:instrText>clinical</w:instrText>
      </w:r>
      <w:r w:rsidR="002466C9" w:rsidRPr="00B929AC">
        <w:instrText xml:space="preserve"> </w:instrText>
      </w:r>
      <w:r w:rsidR="002466C9">
        <w:rPr>
          <w:lang w:val="en-US"/>
        </w:rPr>
        <w:instrText>studies</w:instrText>
      </w:r>
      <w:r w:rsidR="002466C9" w:rsidRPr="00B929AC">
        <w:instrText xml:space="preserve"> </w:instrText>
      </w:r>
      <w:r w:rsidR="002466C9">
        <w:rPr>
          <w:lang w:val="en-US"/>
        </w:rPr>
        <w:instrText>will</w:instrText>
      </w:r>
      <w:r w:rsidR="002466C9" w:rsidRPr="00B929AC">
        <w:instrText xml:space="preserve"> </w:instrText>
      </w:r>
      <w:r w:rsidR="002466C9">
        <w:rPr>
          <w:lang w:val="en-US"/>
        </w:rPr>
        <w:instrText>have</w:instrText>
      </w:r>
      <w:r w:rsidR="002466C9" w:rsidRPr="00B929AC">
        <w:instrText xml:space="preserve"> </w:instrText>
      </w:r>
      <w:r w:rsidR="002466C9">
        <w:rPr>
          <w:lang w:val="en-US"/>
        </w:rPr>
        <w:instrText>to</w:instrText>
      </w:r>
      <w:r w:rsidR="002466C9" w:rsidRPr="00B929AC">
        <w:instrText xml:space="preserve"> </w:instrText>
      </w:r>
      <w:r w:rsidR="002466C9">
        <w:rPr>
          <w:lang w:val="en-US"/>
        </w:rPr>
        <w:instrText>confirm</w:instrText>
      </w:r>
      <w:r w:rsidR="002466C9" w:rsidRPr="00B929AC">
        <w:instrText xml:space="preserve"> </w:instrText>
      </w:r>
      <w:r w:rsidR="002466C9">
        <w:rPr>
          <w:lang w:val="en-US"/>
        </w:rPr>
        <w:instrText>the</w:instrText>
      </w:r>
      <w:r w:rsidR="002466C9" w:rsidRPr="00B929AC">
        <w:instrText xml:space="preserve"> </w:instrText>
      </w:r>
      <w:r w:rsidR="002466C9">
        <w:rPr>
          <w:lang w:val="en-US"/>
        </w:rPr>
        <w:instrText>value</w:instrText>
      </w:r>
      <w:r w:rsidR="002466C9" w:rsidRPr="00B929AC">
        <w:instrText xml:space="preserve"> </w:instrText>
      </w:r>
      <w:r w:rsidR="002466C9">
        <w:rPr>
          <w:lang w:val="en-US"/>
        </w:rPr>
        <w:instrText>of</w:instrText>
      </w:r>
      <w:r w:rsidR="002466C9" w:rsidRPr="00B929AC">
        <w:instrText xml:space="preserve"> </w:instrText>
      </w:r>
      <w:r w:rsidR="002466C9">
        <w:rPr>
          <w:lang w:val="en-US"/>
        </w:rPr>
        <w:instrText>these</w:instrText>
      </w:r>
      <w:r w:rsidR="002466C9" w:rsidRPr="00B929AC">
        <w:instrText xml:space="preserve"> </w:instrText>
      </w:r>
      <w:r w:rsidR="002466C9">
        <w:rPr>
          <w:lang w:val="en-US"/>
        </w:rPr>
        <w:instrText>assays</w:instrText>
      </w:r>
      <w:r w:rsidR="002466C9" w:rsidRPr="00B929AC">
        <w:instrText xml:space="preserve"> </w:instrText>
      </w:r>
      <w:r w:rsidR="002466C9">
        <w:rPr>
          <w:lang w:val="en-US"/>
        </w:rPr>
        <w:instrText>for</w:instrText>
      </w:r>
      <w:r w:rsidR="002466C9" w:rsidRPr="00B929AC">
        <w:instrText xml:space="preserve"> </w:instrText>
      </w:r>
      <w:r w:rsidR="002466C9">
        <w:rPr>
          <w:lang w:val="en-US"/>
        </w:rPr>
        <w:instrText>risk</w:instrText>
      </w:r>
      <w:r w:rsidR="002466C9" w:rsidRPr="00B929AC">
        <w:instrText>-</w:instrText>
      </w:r>
      <w:r w:rsidR="002466C9">
        <w:rPr>
          <w:lang w:val="en-US"/>
        </w:rPr>
        <w:instrText>oriented</w:instrText>
      </w:r>
      <w:r w:rsidR="002466C9" w:rsidRPr="00B929AC">
        <w:instrText xml:space="preserve"> </w:instrText>
      </w:r>
      <w:r w:rsidR="002466C9">
        <w:rPr>
          <w:lang w:val="en-US"/>
        </w:rPr>
        <w:instrText>therapy</w:instrText>
      </w:r>
      <w:r w:rsidR="002466C9" w:rsidRPr="00B929AC">
        <w:instrText xml:space="preserve">, </w:instrText>
      </w:r>
      <w:r w:rsidR="002466C9">
        <w:rPr>
          <w:lang w:val="en-US"/>
        </w:rPr>
        <w:instrText>while</w:instrText>
      </w:r>
      <w:r w:rsidR="002466C9" w:rsidRPr="00B929AC">
        <w:instrText xml:space="preserve"> </w:instrText>
      </w:r>
      <w:r w:rsidR="002466C9">
        <w:rPr>
          <w:lang w:val="en-US"/>
        </w:rPr>
        <w:instrText>further</w:instrText>
      </w:r>
      <w:r w:rsidR="002466C9" w:rsidRPr="00B929AC">
        <w:instrText xml:space="preserve"> </w:instrText>
      </w:r>
      <w:r w:rsidR="002466C9">
        <w:rPr>
          <w:lang w:val="en-US"/>
        </w:rPr>
        <w:instrText>therapeutic</w:instrText>
      </w:r>
      <w:r w:rsidR="002466C9" w:rsidRPr="00B929AC">
        <w:instrText xml:space="preserve"> </w:instrText>
      </w:r>
      <w:r w:rsidR="002466C9">
        <w:rPr>
          <w:lang w:val="en-US"/>
        </w:rPr>
        <w:instrText>progress</w:instrText>
      </w:r>
      <w:r w:rsidR="002466C9" w:rsidRPr="00B929AC">
        <w:instrText xml:space="preserve"> </w:instrText>
      </w:r>
      <w:r w:rsidR="002466C9">
        <w:rPr>
          <w:lang w:val="en-US"/>
        </w:rPr>
        <w:instrText>is</w:instrText>
      </w:r>
      <w:r w:rsidR="002466C9" w:rsidRPr="00B929AC">
        <w:instrText xml:space="preserve"> </w:instrText>
      </w:r>
      <w:r w:rsidR="002466C9">
        <w:rPr>
          <w:lang w:val="en-US"/>
        </w:rPr>
        <w:instrText>expected</w:instrText>
      </w:r>
      <w:r w:rsidR="002466C9" w:rsidRPr="00B929AC">
        <w:instrText xml:space="preserve"> </w:instrText>
      </w:r>
      <w:r w:rsidR="002466C9">
        <w:rPr>
          <w:lang w:val="en-US"/>
        </w:rPr>
        <w:instrText>from</w:instrText>
      </w:r>
      <w:r w:rsidR="002466C9" w:rsidRPr="00B929AC">
        <w:instrText xml:space="preserve"> </w:instrText>
      </w:r>
      <w:r w:rsidR="002466C9">
        <w:rPr>
          <w:lang w:val="en-US"/>
        </w:rPr>
        <w:instrText>the</w:instrText>
      </w:r>
      <w:r w:rsidR="002466C9" w:rsidRPr="00B929AC">
        <w:instrText xml:space="preserve"> </w:instrText>
      </w:r>
      <w:r w:rsidR="002466C9">
        <w:rPr>
          <w:lang w:val="en-US"/>
        </w:rPr>
        <w:instrText>introduction</w:instrText>
      </w:r>
      <w:r w:rsidR="002466C9" w:rsidRPr="00B929AC">
        <w:instrText xml:space="preserve"> </w:instrText>
      </w:r>
      <w:r w:rsidR="002466C9">
        <w:rPr>
          <w:lang w:val="en-US"/>
        </w:rPr>
        <w:instrText>of</w:instrText>
      </w:r>
      <w:r w:rsidR="002466C9" w:rsidRPr="00B929AC">
        <w:instrText xml:space="preserve"> </w:instrText>
      </w:r>
      <w:r w:rsidR="002466C9">
        <w:rPr>
          <w:lang w:val="en-US"/>
        </w:rPr>
        <w:instrText>new</w:instrText>
      </w:r>
      <w:r w:rsidR="002466C9" w:rsidRPr="00B929AC">
        <w:instrText xml:space="preserve"> </w:instrText>
      </w:r>
      <w:r w:rsidR="002466C9">
        <w:rPr>
          <w:lang w:val="en-US"/>
        </w:rPr>
        <w:instrText>drugs</w:instrText>
      </w:r>
      <w:r w:rsidR="002466C9" w:rsidRPr="00B929AC">
        <w:instrText xml:space="preserve"> </w:instrText>
      </w:r>
      <w:r w:rsidR="002466C9">
        <w:rPr>
          <w:lang w:val="en-US"/>
        </w:rPr>
        <w:instrText>and</w:instrText>
      </w:r>
      <w:r w:rsidR="002466C9" w:rsidRPr="00B929AC">
        <w:instrText xml:space="preserve"> </w:instrText>
      </w:r>
      <w:r w:rsidR="002466C9">
        <w:rPr>
          <w:lang w:val="en-US"/>
        </w:rPr>
        <w:instrText>targeting</w:instrText>
      </w:r>
      <w:r w:rsidR="002466C9" w:rsidRPr="00B929AC">
        <w:instrText xml:space="preserve"> </w:instrText>
      </w:r>
      <w:r w:rsidR="002466C9">
        <w:rPr>
          <w:lang w:val="en-US"/>
        </w:rPr>
        <w:instrText>agents</w:instrText>
      </w:r>
      <w:r w:rsidR="002466C9" w:rsidRPr="00B929AC">
        <w:instrText>.","</w:instrText>
      </w:r>
      <w:r w:rsidR="002466C9">
        <w:rPr>
          <w:lang w:val="en-US"/>
        </w:rPr>
        <w:instrText>author</w:instrText>
      </w:r>
      <w:r w:rsidR="002466C9" w:rsidRPr="00B929AC">
        <w:instrText>":[{"</w:instrText>
      </w:r>
      <w:r w:rsidR="002466C9">
        <w:rPr>
          <w:lang w:val="en-US"/>
        </w:rPr>
        <w:instrText>dropping</w:instrText>
      </w:r>
      <w:r w:rsidR="002466C9" w:rsidRPr="00B929AC">
        <w:instrText>-</w:instrText>
      </w:r>
      <w:r w:rsidR="002466C9">
        <w:rPr>
          <w:lang w:val="en-US"/>
        </w:rPr>
        <w:instrText>particle</w:instrText>
      </w:r>
      <w:r w:rsidR="002466C9" w:rsidRPr="00B929AC">
        <w:instrText>":"","</w:instrText>
      </w:r>
      <w:r w:rsidR="002466C9">
        <w:rPr>
          <w:lang w:val="en-US"/>
        </w:rPr>
        <w:instrText>family</w:instrText>
      </w:r>
      <w:r w:rsidR="002466C9" w:rsidRPr="00B929AC">
        <w:instrText>":"</w:instrText>
      </w:r>
      <w:r w:rsidR="002466C9">
        <w:rPr>
          <w:lang w:val="en-US"/>
        </w:rPr>
        <w:instrText>Bassan</w:instrText>
      </w:r>
      <w:r w:rsidR="002466C9" w:rsidRPr="00B929AC">
        <w:instrText>","</w:instrText>
      </w:r>
      <w:r w:rsidR="002466C9">
        <w:rPr>
          <w:lang w:val="en-US"/>
        </w:rPr>
        <w:instrText>given</w:instrText>
      </w:r>
      <w:r w:rsidR="002466C9" w:rsidRPr="00B929AC">
        <w:instrText>":"</w:instrText>
      </w:r>
      <w:r w:rsidR="002466C9">
        <w:rPr>
          <w:lang w:val="en-US"/>
        </w:rPr>
        <w:instrText>Renato</w:instrText>
      </w:r>
      <w:r w:rsidR="002466C9" w:rsidRPr="00B929AC">
        <w:instrText>","</w:instrText>
      </w:r>
      <w:r w:rsidR="002466C9">
        <w:rPr>
          <w:lang w:val="en-US"/>
        </w:rPr>
        <w:instrText>non</w:instrText>
      </w:r>
      <w:r w:rsidR="002466C9" w:rsidRPr="00B929AC">
        <w:instrText>-</w:instrText>
      </w:r>
      <w:r w:rsidR="002466C9">
        <w:rPr>
          <w:lang w:val="en-US"/>
        </w:rPr>
        <w:instrText>dropping</w:instrText>
      </w:r>
      <w:r w:rsidR="002466C9" w:rsidRPr="00B929AC">
        <w:instrText>-</w:instrText>
      </w:r>
      <w:r w:rsidR="002466C9">
        <w:rPr>
          <w:lang w:val="en-US"/>
        </w:rPr>
        <w:instrText>particle</w:instrText>
      </w:r>
      <w:r w:rsidR="002466C9" w:rsidRPr="00B929AC">
        <w:instrText>":"","</w:instrText>
      </w:r>
      <w:r w:rsidR="002466C9">
        <w:rPr>
          <w:lang w:val="en-US"/>
        </w:rPr>
        <w:instrText>parse</w:instrText>
      </w:r>
      <w:r w:rsidR="002466C9" w:rsidRPr="00B929AC">
        <w:instrText>-</w:instrText>
      </w:r>
      <w:r w:rsidR="002466C9">
        <w:rPr>
          <w:lang w:val="en-US"/>
        </w:rPr>
        <w:instrText>names</w:instrText>
      </w:r>
      <w:r w:rsidR="002466C9" w:rsidRPr="00B929AC">
        <w:instrText>":</w:instrText>
      </w:r>
      <w:r w:rsidR="002466C9">
        <w:rPr>
          <w:lang w:val="en-US"/>
        </w:rPr>
        <w:instrText>false</w:instrText>
      </w:r>
      <w:r w:rsidR="002466C9" w:rsidRPr="00B929AC">
        <w:instrText>,"</w:instrText>
      </w:r>
      <w:r w:rsidR="002466C9">
        <w:rPr>
          <w:lang w:val="en-US"/>
        </w:rPr>
        <w:instrText>suffix</w:instrText>
      </w:r>
      <w:r w:rsidR="002466C9" w:rsidRPr="00B929AC">
        <w:instrText>":""},{"</w:instrText>
      </w:r>
      <w:r w:rsidR="002466C9">
        <w:rPr>
          <w:lang w:val="en-US"/>
        </w:rPr>
        <w:instrText>dropping</w:instrText>
      </w:r>
      <w:r w:rsidR="002466C9" w:rsidRPr="00B929AC">
        <w:instrText>-</w:instrText>
      </w:r>
      <w:r w:rsidR="002466C9">
        <w:rPr>
          <w:lang w:val="en-US"/>
        </w:rPr>
        <w:instrText>particle</w:instrText>
      </w:r>
      <w:r w:rsidR="002466C9" w:rsidRPr="00B929AC">
        <w:instrText>":"","</w:instrText>
      </w:r>
      <w:r w:rsidR="002466C9">
        <w:rPr>
          <w:lang w:val="en-US"/>
        </w:rPr>
        <w:instrText>family</w:instrText>
      </w:r>
      <w:r w:rsidR="002466C9" w:rsidRPr="00B929AC">
        <w:instrText>":"</w:instrText>
      </w:r>
      <w:r w:rsidR="002466C9">
        <w:rPr>
          <w:lang w:val="en-US"/>
        </w:rPr>
        <w:instrText>Maino</w:instrText>
      </w:r>
      <w:r w:rsidR="002466C9" w:rsidRPr="00B929AC">
        <w:instrText>","</w:instrText>
      </w:r>
      <w:r w:rsidR="002466C9">
        <w:rPr>
          <w:lang w:val="en-US"/>
        </w:rPr>
        <w:instrText>given</w:instrText>
      </w:r>
      <w:r w:rsidR="002466C9" w:rsidRPr="00B929AC">
        <w:instrText>":"</w:instrText>
      </w:r>
      <w:r w:rsidR="002466C9">
        <w:rPr>
          <w:lang w:val="en-US"/>
        </w:rPr>
        <w:instrText>Elena</w:instrText>
      </w:r>
      <w:r w:rsidR="002466C9" w:rsidRPr="00B929AC">
        <w:instrText>","</w:instrText>
      </w:r>
      <w:r w:rsidR="002466C9">
        <w:rPr>
          <w:lang w:val="en-US"/>
        </w:rPr>
        <w:instrText>non</w:instrText>
      </w:r>
      <w:r w:rsidR="002466C9" w:rsidRPr="00B929AC">
        <w:instrText>-</w:instrText>
      </w:r>
      <w:r w:rsidR="002466C9">
        <w:rPr>
          <w:lang w:val="en-US"/>
        </w:rPr>
        <w:instrText>dropping</w:instrText>
      </w:r>
      <w:r w:rsidR="002466C9" w:rsidRPr="00B929AC">
        <w:instrText>-</w:instrText>
      </w:r>
      <w:r w:rsidR="002466C9">
        <w:rPr>
          <w:lang w:val="en-US"/>
        </w:rPr>
        <w:instrText>particle</w:instrText>
      </w:r>
      <w:r w:rsidR="002466C9" w:rsidRPr="00B929AC">
        <w:instrText>":"","</w:instrText>
      </w:r>
      <w:r w:rsidR="002466C9">
        <w:rPr>
          <w:lang w:val="en-US"/>
        </w:rPr>
        <w:instrText>parse</w:instrText>
      </w:r>
      <w:r w:rsidR="002466C9" w:rsidRPr="00B929AC">
        <w:instrText>-</w:instrText>
      </w:r>
      <w:r w:rsidR="002466C9">
        <w:rPr>
          <w:lang w:val="en-US"/>
        </w:rPr>
        <w:instrText>names</w:instrText>
      </w:r>
      <w:r w:rsidR="002466C9" w:rsidRPr="00B929AC">
        <w:instrText>":</w:instrText>
      </w:r>
      <w:r w:rsidR="002466C9">
        <w:rPr>
          <w:lang w:val="en-US"/>
        </w:rPr>
        <w:instrText>false</w:instrText>
      </w:r>
      <w:r w:rsidR="002466C9" w:rsidRPr="00B929AC">
        <w:instrText>,"</w:instrText>
      </w:r>
      <w:r w:rsidR="002466C9">
        <w:rPr>
          <w:lang w:val="en-US"/>
        </w:rPr>
        <w:instrText>suffix</w:instrText>
      </w:r>
      <w:r w:rsidR="002466C9" w:rsidRPr="00B929AC">
        <w:instrText>":""},{"</w:instrText>
      </w:r>
      <w:r w:rsidR="002466C9">
        <w:rPr>
          <w:lang w:val="en-US"/>
        </w:rPr>
        <w:instrText>dropping</w:instrText>
      </w:r>
      <w:r w:rsidR="002466C9" w:rsidRPr="00B929AC">
        <w:instrText>-</w:instrText>
      </w:r>
      <w:r w:rsidR="002466C9">
        <w:rPr>
          <w:lang w:val="en-US"/>
        </w:rPr>
        <w:instrText>particle</w:instrText>
      </w:r>
      <w:r w:rsidR="002466C9" w:rsidRPr="00B929AC">
        <w:instrText>":"","</w:instrText>
      </w:r>
      <w:r w:rsidR="002466C9">
        <w:rPr>
          <w:lang w:val="en-US"/>
        </w:rPr>
        <w:instrText>family</w:instrText>
      </w:r>
      <w:r w:rsidR="002466C9" w:rsidRPr="00B929AC">
        <w:instrText>":"</w:instrText>
      </w:r>
      <w:r w:rsidR="002466C9">
        <w:rPr>
          <w:lang w:val="en-US"/>
        </w:rPr>
        <w:instrText>Cortelazzo</w:instrText>
      </w:r>
      <w:r w:rsidR="002466C9" w:rsidRPr="00B929AC">
        <w:instrText>","</w:instrText>
      </w:r>
      <w:r w:rsidR="002466C9">
        <w:rPr>
          <w:lang w:val="en-US"/>
        </w:rPr>
        <w:instrText>given</w:instrText>
      </w:r>
      <w:r w:rsidR="002466C9" w:rsidRPr="00B929AC">
        <w:instrText>":"</w:instrText>
      </w:r>
      <w:r w:rsidR="002466C9">
        <w:rPr>
          <w:lang w:val="en-US"/>
        </w:rPr>
        <w:instrText>Sergio</w:instrText>
      </w:r>
      <w:r w:rsidR="002466C9" w:rsidRPr="00B929AC">
        <w:instrText>","</w:instrText>
      </w:r>
      <w:r w:rsidR="002466C9">
        <w:rPr>
          <w:lang w:val="en-US"/>
        </w:rPr>
        <w:instrText>non</w:instrText>
      </w:r>
      <w:r w:rsidR="002466C9" w:rsidRPr="00B929AC">
        <w:instrText>-</w:instrText>
      </w:r>
      <w:r w:rsidR="002466C9">
        <w:rPr>
          <w:lang w:val="en-US"/>
        </w:rPr>
        <w:instrText>dropping</w:instrText>
      </w:r>
      <w:r w:rsidR="002466C9" w:rsidRPr="00B929AC">
        <w:instrText>-</w:instrText>
      </w:r>
      <w:r w:rsidR="002466C9">
        <w:rPr>
          <w:lang w:val="en-US"/>
        </w:rPr>
        <w:instrText>particle</w:instrText>
      </w:r>
      <w:r w:rsidR="002466C9" w:rsidRPr="00B929AC">
        <w:instrText>":"","</w:instrText>
      </w:r>
      <w:r w:rsidR="002466C9">
        <w:rPr>
          <w:lang w:val="en-US"/>
        </w:rPr>
        <w:instrText>parse</w:instrText>
      </w:r>
      <w:r w:rsidR="002466C9" w:rsidRPr="00B929AC">
        <w:instrText>-</w:instrText>
      </w:r>
      <w:r w:rsidR="002466C9">
        <w:rPr>
          <w:lang w:val="en-US"/>
        </w:rPr>
        <w:instrText>names</w:instrText>
      </w:r>
      <w:r w:rsidR="002466C9" w:rsidRPr="00B929AC">
        <w:instrText>":</w:instrText>
      </w:r>
      <w:r w:rsidR="002466C9">
        <w:rPr>
          <w:lang w:val="en-US"/>
        </w:rPr>
        <w:instrText>false</w:instrText>
      </w:r>
      <w:r w:rsidR="002466C9" w:rsidRPr="00B929AC">
        <w:instrText>,"</w:instrText>
      </w:r>
      <w:r w:rsidR="002466C9">
        <w:rPr>
          <w:lang w:val="en-US"/>
        </w:rPr>
        <w:instrText>suffix</w:instrText>
      </w:r>
      <w:r w:rsidR="002466C9" w:rsidRPr="00B929AC">
        <w:instrText>":""}],"</w:instrText>
      </w:r>
      <w:r w:rsidR="002466C9">
        <w:rPr>
          <w:lang w:val="en-US"/>
        </w:rPr>
        <w:instrText>container</w:instrText>
      </w:r>
      <w:r w:rsidR="002466C9" w:rsidRPr="00B929AC">
        <w:instrText>-</w:instrText>
      </w:r>
      <w:r w:rsidR="002466C9">
        <w:rPr>
          <w:lang w:val="en-US"/>
        </w:rPr>
        <w:instrText>title</w:instrText>
      </w:r>
      <w:r w:rsidR="002466C9" w:rsidRPr="00B929AC">
        <w:instrText>":"</w:instrText>
      </w:r>
      <w:r w:rsidR="002466C9">
        <w:rPr>
          <w:lang w:val="en-US"/>
        </w:rPr>
        <w:instrText>European</w:instrText>
      </w:r>
      <w:r w:rsidR="002466C9" w:rsidRPr="00B929AC">
        <w:instrText xml:space="preserve"> </w:instrText>
      </w:r>
      <w:r w:rsidR="002466C9">
        <w:rPr>
          <w:lang w:val="en-US"/>
        </w:rPr>
        <w:instrText>journal</w:instrText>
      </w:r>
      <w:r w:rsidR="002466C9" w:rsidRPr="00B929AC">
        <w:instrText xml:space="preserve"> </w:instrText>
      </w:r>
      <w:r w:rsidR="002466C9">
        <w:rPr>
          <w:lang w:val="en-US"/>
        </w:rPr>
        <w:instrText>of</w:instrText>
      </w:r>
      <w:r w:rsidR="002466C9" w:rsidRPr="00B929AC">
        <w:instrText xml:space="preserve"> </w:instrText>
      </w:r>
      <w:r w:rsidR="002466C9">
        <w:rPr>
          <w:lang w:val="en-US"/>
        </w:rPr>
        <w:instrText>haematology</w:instrText>
      </w:r>
      <w:r w:rsidR="002466C9" w:rsidRPr="00B929AC">
        <w:instrText>","</w:instrText>
      </w:r>
      <w:r w:rsidR="002466C9">
        <w:rPr>
          <w:lang w:val="en-US"/>
        </w:rPr>
        <w:instrText>id</w:instrText>
      </w:r>
      <w:r w:rsidR="002466C9" w:rsidRPr="00B929AC">
        <w:instrText>":"</w:instrText>
      </w:r>
      <w:r w:rsidR="002466C9">
        <w:rPr>
          <w:lang w:val="en-US"/>
        </w:rPr>
        <w:instrText>ITEM</w:instrText>
      </w:r>
      <w:r w:rsidR="002466C9" w:rsidRPr="00B929AC">
        <w:instrText>-1","</w:instrText>
      </w:r>
      <w:r w:rsidR="002466C9">
        <w:rPr>
          <w:lang w:val="en-US"/>
        </w:rPr>
        <w:instrText>issue</w:instrText>
      </w:r>
      <w:r w:rsidR="002466C9" w:rsidRPr="00B929AC">
        <w:instrText>":"5","</w:instrText>
      </w:r>
      <w:r w:rsidR="002466C9">
        <w:rPr>
          <w:lang w:val="en-US"/>
        </w:rPr>
        <w:instrText>issued</w:instrText>
      </w:r>
      <w:r w:rsidR="002466C9" w:rsidRPr="00B929AC">
        <w:instrText>":{"</w:instrText>
      </w:r>
      <w:r w:rsidR="002466C9">
        <w:rPr>
          <w:lang w:val="en-US"/>
        </w:rPr>
        <w:instrText>date</w:instrText>
      </w:r>
      <w:r w:rsidR="002466C9" w:rsidRPr="00B929AC">
        <w:instrText>-</w:instrText>
      </w:r>
      <w:r w:rsidR="002466C9">
        <w:rPr>
          <w:lang w:val="en-US"/>
        </w:rPr>
        <w:instrText>parts</w:instrText>
      </w:r>
      <w:r w:rsidR="002466C9" w:rsidRPr="00B929AC">
        <w:instrText>":[["2016","5"]]},"</w:instrText>
      </w:r>
      <w:r w:rsidR="002466C9">
        <w:rPr>
          <w:lang w:val="en-US"/>
        </w:rPr>
        <w:instrText>page</w:instrText>
      </w:r>
      <w:r w:rsidR="002466C9" w:rsidRPr="00B929AC">
        <w:instrText>":"447-60","</w:instrText>
      </w:r>
      <w:r w:rsidR="002466C9">
        <w:rPr>
          <w:lang w:val="en-US"/>
        </w:rPr>
        <w:instrText>title</w:instrText>
      </w:r>
      <w:r w:rsidR="002466C9" w:rsidRPr="00B929AC">
        <w:instrText>":"</w:instrText>
      </w:r>
      <w:r w:rsidR="002466C9">
        <w:rPr>
          <w:lang w:val="en-US"/>
        </w:rPr>
        <w:instrText>Lymphoblastic</w:instrText>
      </w:r>
      <w:r w:rsidR="002466C9" w:rsidRPr="00B929AC">
        <w:instrText xml:space="preserve"> </w:instrText>
      </w:r>
      <w:r w:rsidR="002466C9">
        <w:rPr>
          <w:lang w:val="en-US"/>
        </w:rPr>
        <w:instrText>lymphoma</w:instrText>
      </w:r>
      <w:r w:rsidR="002466C9" w:rsidRPr="00B929AC">
        <w:instrText xml:space="preserve">: </w:instrText>
      </w:r>
      <w:r w:rsidR="002466C9">
        <w:rPr>
          <w:lang w:val="en-US"/>
        </w:rPr>
        <w:instrText>an</w:instrText>
      </w:r>
      <w:r w:rsidR="002466C9" w:rsidRPr="00B929AC">
        <w:instrText xml:space="preserve"> </w:instrText>
      </w:r>
      <w:r w:rsidR="002466C9">
        <w:rPr>
          <w:lang w:val="en-US"/>
        </w:rPr>
        <w:instrText>updated</w:instrText>
      </w:r>
      <w:r w:rsidR="002466C9" w:rsidRPr="00B929AC">
        <w:instrText xml:space="preserve"> </w:instrText>
      </w:r>
      <w:r w:rsidR="002466C9">
        <w:rPr>
          <w:lang w:val="en-US"/>
        </w:rPr>
        <w:instrText>review</w:instrText>
      </w:r>
      <w:r w:rsidR="002466C9" w:rsidRPr="00B929AC">
        <w:instrText xml:space="preserve"> </w:instrText>
      </w:r>
      <w:r w:rsidR="002466C9">
        <w:rPr>
          <w:lang w:val="en-US"/>
        </w:rPr>
        <w:instrText>on</w:instrText>
      </w:r>
      <w:r w:rsidR="002466C9" w:rsidRPr="00B929AC">
        <w:instrText xml:space="preserve"> </w:instrText>
      </w:r>
      <w:r w:rsidR="002466C9">
        <w:rPr>
          <w:lang w:val="en-US"/>
        </w:rPr>
        <w:instrText>biology</w:instrText>
      </w:r>
      <w:r w:rsidR="002466C9" w:rsidRPr="00B929AC">
        <w:instrText xml:space="preserve">, </w:instrText>
      </w:r>
      <w:r w:rsidR="002466C9">
        <w:rPr>
          <w:lang w:val="en-US"/>
        </w:rPr>
        <w:instrText>diagnosis</w:instrText>
      </w:r>
      <w:r w:rsidR="002466C9" w:rsidRPr="00B929AC">
        <w:instrText xml:space="preserve">, </w:instrText>
      </w:r>
      <w:r w:rsidR="002466C9">
        <w:rPr>
          <w:lang w:val="en-US"/>
        </w:rPr>
        <w:instrText>and</w:instrText>
      </w:r>
      <w:r w:rsidR="002466C9" w:rsidRPr="00B929AC">
        <w:instrText xml:space="preserve"> </w:instrText>
      </w:r>
      <w:r w:rsidR="002466C9">
        <w:rPr>
          <w:lang w:val="en-US"/>
        </w:rPr>
        <w:instrText>treatment</w:instrText>
      </w:r>
      <w:r w:rsidR="002466C9" w:rsidRPr="00B929AC">
        <w:instrText>.","</w:instrText>
      </w:r>
      <w:r w:rsidR="002466C9">
        <w:rPr>
          <w:lang w:val="en-US"/>
        </w:rPr>
        <w:instrText>type</w:instrText>
      </w:r>
      <w:r w:rsidR="002466C9" w:rsidRPr="00B929AC">
        <w:instrText>":"</w:instrText>
      </w:r>
      <w:r w:rsidR="002466C9">
        <w:rPr>
          <w:lang w:val="en-US"/>
        </w:rPr>
        <w:instrText>article</w:instrText>
      </w:r>
      <w:r w:rsidR="002466C9" w:rsidRPr="00B929AC">
        <w:instrText>-</w:instrText>
      </w:r>
      <w:r w:rsidR="002466C9">
        <w:rPr>
          <w:lang w:val="en-US"/>
        </w:rPr>
        <w:instrText>journal</w:instrText>
      </w:r>
      <w:r w:rsidR="002466C9" w:rsidRPr="00B929AC">
        <w:instrText>","</w:instrText>
      </w:r>
      <w:r w:rsidR="002466C9">
        <w:rPr>
          <w:lang w:val="en-US"/>
        </w:rPr>
        <w:instrText>volume</w:instrText>
      </w:r>
      <w:r w:rsidR="002466C9" w:rsidRPr="00B929AC">
        <w:instrText>":"96"},"</w:instrText>
      </w:r>
      <w:r w:rsidR="002466C9">
        <w:rPr>
          <w:lang w:val="en-US"/>
        </w:rPr>
        <w:instrText>uris</w:instrText>
      </w:r>
      <w:r w:rsidR="002466C9" w:rsidRPr="00B929AC">
        <w:instrText>":["</w:instrText>
      </w:r>
      <w:r w:rsidR="002466C9">
        <w:rPr>
          <w:lang w:val="en-US"/>
        </w:rPr>
        <w:instrText>http</w:instrText>
      </w:r>
      <w:r w:rsidR="002466C9" w:rsidRPr="00B929AC">
        <w:instrText>://</w:instrText>
      </w:r>
      <w:r w:rsidR="002466C9">
        <w:rPr>
          <w:lang w:val="en-US"/>
        </w:rPr>
        <w:instrText>www</w:instrText>
      </w:r>
      <w:r w:rsidR="002466C9" w:rsidRPr="00B929AC">
        <w:instrText>.</w:instrText>
      </w:r>
      <w:r w:rsidR="002466C9">
        <w:rPr>
          <w:lang w:val="en-US"/>
        </w:rPr>
        <w:instrText>mendeley</w:instrText>
      </w:r>
      <w:r w:rsidR="002466C9" w:rsidRPr="00B929AC">
        <w:instrText>.</w:instrText>
      </w:r>
      <w:r w:rsidR="002466C9">
        <w:rPr>
          <w:lang w:val="en-US"/>
        </w:rPr>
        <w:instrText>com</w:instrText>
      </w:r>
      <w:r w:rsidR="002466C9" w:rsidRPr="00B929AC">
        <w:instrText>/</w:instrText>
      </w:r>
      <w:r w:rsidR="002466C9">
        <w:rPr>
          <w:lang w:val="en-US"/>
        </w:rPr>
        <w:instrText>documents</w:instrText>
      </w:r>
      <w:r w:rsidR="002466C9" w:rsidRPr="00B929AC">
        <w:instrText>/?</w:instrText>
      </w:r>
      <w:r w:rsidR="002466C9">
        <w:rPr>
          <w:lang w:val="en-US"/>
        </w:rPr>
        <w:instrText>uuid</w:instrText>
      </w:r>
      <w:r w:rsidR="002466C9" w:rsidRPr="00B929AC">
        <w:instrText>=7</w:instrText>
      </w:r>
      <w:r w:rsidR="002466C9">
        <w:rPr>
          <w:lang w:val="en-US"/>
        </w:rPr>
        <w:instrText>feba</w:instrText>
      </w:r>
      <w:r w:rsidR="002466C9" w:rsidRPr="00B929AC">
        <w:instrText>565-014</w:instrText>
      </w:r>
      <w:r w:rsidR="002466C9">
        <w:rPr>
          <w:lang w:val="en-US"/>
        </w:rPr>
        <w:instrText>f</w:instrText>
      </w:r>
      <w:r w:rsidR="002466C9" w:rsidRPr="00B929AC">
        <w:instrText>-3600-86</w:instrText>
      </w:r>
      <w:r w:rsidR="002466C9">
        <w:rPr>
          <w:lang w:val="en-US"/>
        </w:rPr>
        <w:instrText>ec</w:instrText>
      </w:r>
      <w:r w:rsidR="002466C9" w:rsidRPr="00B929AC">
        <w:instrText>-0963</w:instrText>
      </w:r>
      <w:r w:rsidR="002466C9">
        <w:rPr>
          <w:lang w:val="en-US"/>
        </w:rPr>
        <w:instrText>b</w:instrText>
      </w:r>
      <w:r w:rsidR="002466C9" w:rsidRPr="00B929AC">
        <w:instrText>3</w:instrText>
      </w:r>
      <w:r w:rsidR="002466C9">
        <w:rPr>
          <w:lang w:val="en-US"/>
        </w:rPr>
        <w:instrText>e</w:instrText>
      </w:r>
      <w:r w:rsidR="002466C9" w:rsidRPr="00B929AC">
        <w:instrText>847</w:instrText>
      </w:r>
      <w:r w:rsidR="002466C9">
        <w:rPr>
          <w:lang w:val="en-US"/>
        </w:rPr>
        <w:instrText>bb</w:instrText>
      </w:r>
      <w:r w:rsidR="002466C9" w:rsidRPr="00B929AC">
        <w:instrText>"]},{"</w:instrText>
      </w:r>
      <w:r w:rsidR="002466C9">
        <w:rPr>
          <w:lang w:val="en-US"/>
        </w:rPr>
        <w:instrText>id</w:instrText>
      </w:r>
      <w:r w:rsidR="002466C9" w:rsidRPr="00B929AC">
        <w:instrText>":"</w:instrText>
      </w:r>
      <w:r w:rsidR="002466C9">
        <w:rPr>
          <w:lang w:val="en-US"/>
        </w:rPr>
        <w:instrText>ITEM</w:instrText>
      </w:r>
      <w:r w:rsidR="002466C9" w:rsidRPr="00B929AC">
        <w:instrText>-2","</w:instrText>
      </w:r>
      <w:r w:rsidR="002466C9">
        <w:rPr>
          <w:lang w:val="en-US"/>
        </w:rPr>
        <w:instrText>itemData</w:instrText>
      </w:r>
      <w:r w:rsidR="002466C9" w:rsidRPr="00B929AC">
        <w:instrText>":{"</w:instrText>
      </w:r>
      <w:r w:rsidR="002466C9">
        <w:rPr>
          <w:lang w:val="en-US"/>
        </w:rPr>
        <w:instrText>DOI</w:instrText>
      </w:r>
      <w:r w:rsidR="002466C9" w:rsidRPr="00B929AC">
        <w:instrText>":"10.1016/</w:instrText>
      </w:r>
      <w:r w:rsidR="002466C9">
        <w:rPr>
          <w:lang w:val="en-US"/>
        </w:rPr>
        <w:instrText>j</w:instrText>
      </w:r>
      <w:r w:rsidR="002466C9" w:rsidRPr="00B929AC">
        <w:instrText>.</w:instrText>
      </w:r>
      <w:r w:rsidR="002466C9">
        <w:rPr>
          <w:lang w:val="en-US"/>
        </w:rPr>
        <w:instrText>critrevonc</w:instrText>
      </w:r>
      <w:r w:rsidR="002466C9" w:rsidRPr="00B929AC">
        <w:instrText>.2017.03.020","</w:instrText>
      </w:r>
      <w:r w:rsidR="002466C9">
        <w:rPr>
          <w:lang w:val="en-US"/>
        </w:rPr>
        <w:instrText>ISSN</w:instrText>
      </w:r>
      <w:r w:rsidR="002466C9" w:rsidRPr="00B929AC">
        <w:instrText>":"1879-0461","</w:instrText>
      </w:r>
      <w:r w:rsidR="002466C9">
        <w:rPr>
          <w:lang w:val="en-US"/>
        </w:rPr>
        <w:instrText>PMID</w:instrText>
      </w:r>
      <w:r w:rsidR="002466C9" w:rsidRPr="00B929AC">
        <w:instrText>":"28427520","</w:instrText>
      </w:r>
      <w:r w:rsidR="002466C9">
        <w:rPr>
          <w:lang w:val="en-US"/>
        </w:rPr>
        <w:instrText>abstract</w:instrText>
      </w:r>
      <w:r w:rsidR="002466C9" w:rsidRPr="00B929AC">
        <w:instrText>":"</w:instrText>
      </w:r>
      <w:r w:rsidR="002466C9">
        <w:rPr>
          <w:lang w:val="en-US"/>
        </w:rPr>
        <w:instrText>Lymphoblastic</w:instrText>
      </w:r>
      <w:r w:rsidR="002466C9" w:rsidRPr="00B929AC">
        <w:instrText xml:space="preserve"> </w:instrText>
      </w:r>
      <w:r w:rsidR="002466C9">
        <w:rPr>
          <w:lang w:val="en-US"/>
        </w:rPr>
        <w:instrText>lymphoma</w:instrText>
      </w:r>
      <w:r w:rsidR="002466C9" w:rsidRPr="00B929AC">
        <w:instrText xml:space="preserve"> (</w:instrText>
      </w:r>
      <w:r w:rsidR="002466C9">
        <w:rPr>
          <w:lang w:val="en-US"/>
        </w:rPr>
        <w:instrText>LBL</w:instrText>
      </w:r>
      <w:r w:rsidR="002466C9" w:rsidRPr="00B929AC">
        <w:instrText xml:space="preserve">) </w:instrText>
      </w:r>
      <w:r w:rsidR="002466C9">
        <w:rPr>
          <w:lang w:val="en-US"/>
        </w:rPr>
        <w:instrText>is</w:instrText>
      </w:r>
      <w:r w:rsidR="002466C9" w:rsidRPr="00B929AC">
        <w:instrText xml:space="preserve"> </w:instrText>
      </w:r>
      <w:r w:rsidR="002466C9">
        <w:rPr>
          <w:lang w:val="en-US"/>
        </w:rPr>
        <w:instrText>a</w:instrText>
      </w:r>
      <w:r w:rsidR="002466C9" w:rsidRPr="00B929AC">
        <w:instrText xml:space="preserve"> </w:instrText>
      </w:r>
      <w:r w:rsidR="002466C9">
        <w:rPr>
          <w:lang w:val="en-US"/>
        </w:rPr>
        <w:instrText>neoplasm</w:instrText>
      </w:r>
      <w:r w:rsidR="002466C9" w:rsidRPr="00B929AC">
        <w:instrText xml:space="preserve"> </w:instrText>
      </w:r>
      <w:r w:rsidR="002466C9">
        <w:rPr>
          <w:lang w:val="en-US"/>
        </w:rPr>
        <w:instrText>of</w:instrText>
      </w:r>
      <w:r w:rsidR="002466C9" w:rsidRPr="00B929AC">
        <w:instrText xml:space="preserve"> </w:instrText>
      </w:r>
      <w:r w:rsidR="002466C9">
        <w:rPr>
          <w:lang w:val="en-US"/>
        </w:rPr>
        <w:instrText>immature</w:instrText>
      </w:r>
      <w:r w:rsidR="002466C9" w:rsidRPr="00B929AC">
        <w:instrText xml:space="preserve"> </w:instrText>
      </w:r>
      <w:r w:rsidR="002466C9">
        <w:rPr>
          <w:lang w:val="en-US"/>
        </w:rPr>
        <w:instrText>B</w:instrText>
      </w:r>
      <w:r w:rsidR="002466C9" w:rsidRPr="00B929AC">
        <w:instrText xml:space="preserve"> </w:instrText>
      </w:r>
      <w:r w:rsidR="002466C9">
        <w:rPr>
          <w:lang w:val="en-US"/>
        </w:rPr>
        <w:instrText>cells</w:instrText>
      </w:r>
      <w:r w:rsidR="002466C9" w:rsidRPr="00B929AC">
        <w:instrText xml:space="preserve"> </w:instrText>
      </w:r>
      <w:r w:rsidR="002466C9">
        <w:rPr>
          <w:lang w:val="en-US"/>
        </w:rPr>
        <w:instrText>committed</w:instrText>
      </w:r>
      <w:r w:rsidR="002466C9" w:rsidRPr="00B929AC">
        <w:instrText xml:space="preserve"> </w:instrText>
      </w:r>
      <w:r w:rsidR="002466C9">
        <w:rPr>
          <w:lang w:val="en-US"/>
        </w:rPr>
        <w:instrText>to</w:instrText>
      </w:r>
      <w:r w:rsidR="002466C9" w:rsidRPr="00B929AC">
        <w:instrText xml:space="preserve"> </w:instrText>
      </w:r>
      <w:r w:rsidR="002466C9">
        <w:rPr>
          <w:lang w:val="en-US"/>
        </w:rPr>
        <w:instrText>the</w:instrText>
      </w:r>
      <w:r w:rsidR="002466C9" w:rsidRPr="00B929AC">
        <w:instrText xml:space="preserve"> </w:instrText>
      </w:r>
      <w:r w:rsidR="002466C9">
        <w:rPr>
          <w:lang w:val="en-US"/>
        </w:rPr>
        <w:instrText>B</w:instrText>
      </w:r>
      <w:r w:rsidR="002466C9" w:rsidRPr="00B929AC">
        <w:instrText>-(</w:instrText>
      </w:r>
      <w:r w:rsidR="002466C9">
        <w:rPr>
          <w:lang w:val="en-US"/>
        </w:rPr>
        <w:instrText>B</w:instrText>
      </w:r>
      <w:r w:rsidR="002466C9" w:rsidRPr="00B929AC">
        <w:instrText>-</w:instrText>
      </w:r>
      <w:r w:rsidR="002466C9">
        <w:rPr>
          <w:lang w:val="en-US"/>
        </w:rPr>
        <w:instrText>LBL</w:instrText>
      </w:r>
      <w:r w:rsidR="002466C9" w:rsidRPr="00B929AC">
        <w:instrText xml:space="preserve">) </w:instrText>
      </w:r>
      <w:r w:rsidR="002466C9">
        <w:rPr>
          <w:lang w:val="en-US"/>
        </w:rPr>
        <w:instrText>or</w:instrText>
      </w:r>
      <w:r w:rsidR="002466C9" w:rsidRPr="00B929AC">
        <w:instrText xml:space="preserve"> </w:instrText>
      </w:r>
      <w:r w:rsidR="002466C9">
        <w:rPr>
          <w:lang w:val="en-US"/>
        </w:rPr>
        <w:instrText>T</w:instrText>
      </w:r>
      <w:r w:rsidR="002466C9" w:rsidRPr="00B929AC">
        <w:instrText>-</w:instrText>
      </w:r>
      <w:r w:rsidR="002466C9">
        <w:rPr>
          <w:lang w:val="en-US"/>
        </w:rPr>
        <w:instrText>cell</w:instrText>
      </w:r>
      <w:r w:rsidR="002466C9" w:rsidRPr="00B929AC">
        <w:instrText xml:space="preserve"> </w:instrText>
      </w:r>
      <w:r w:rsidR="002466C9">
        <w:rPr>
          <w:lang w:val="en-US"/>
        </w:rPr>
        <w:instrText>lineage</w:instrText>
      </w:r>
      <w:r w:rsidR="002466C9" w:rsidRPr="00B929AC">
        <w:instrText xml:space="preserve"> (</w:instrText>
      </w:r>
      <w:r w:rsidR="002466C9">
        <w:rPr>
          <w:lang w:val="en-US"/>
        </w:rPr>
        <w:instrText>T</w:instrText>
      </w:r>
      <w:r w:rsidR="002466C9" w:rsidRPr="00B929AC">
        <w:instrText>-</w:instrText>
      </w:r>
      <w:r w:rsidR="002466C9">
        <w:rPr>
          <w:lang w:val="en-US"/>
        </w:rPr>
        <w:instrText>LBL</w:instrText>
      </w:r>
      <w:r w:rsidR="002466C9" w:rsidRPr="00B929AC">
        <w:instrText xml:space="preserve">) </w:instrText>
      </w:r>
      <w:r w:rsidR="002466C9">
        <w:rPr>
          <w:lang w:val="en-US"/>
        </w:rPr>
        <w:instrText>that</w:instrText>
      </w:r>
      <w:r w:rsidR="002466C9" w:rsidRPr="00B929AC">
        <w:instrText xml:space="preserve"> </w:instrText>
      </w:r>
      <w:r w:rsidR="002466C9">
        <w:rPr>
          <w:lang w:val="en-US"/>
        </w:rPr>
        <w:instrText>accounts</w:instrText>
      </w:r>
      <w:r w:rsidR="002466C9" w:rsidRPr="00B929AC">
        <w:instrText xml:space="preserve"> </w:instrText>
      </w:r>
      <w:r w:rsidR="002466C9">
        <w:rPr>
          <w:lang w:val="en-US"/>
        </w:rPr>
        <w:instrText>for</w:instrText>
      </w:r>
      <w:r w:rsidR="002466C9" w:rsidRPr="00B929AC">
        <w:instrText xml:space="preserve"> </w:instrText>
      </w:r>
      <w:r w:rsidR="002466C9">
        <w:rPr>
          <w:lang w:val="en-US"/>
        </w:rPr>
        <w:instrText>approximately</w:instrText>
      </w:r>
      <w:r w:rsidR="002466C9" w:rsidRPr="00B929AC">
        <w:instrText xml:space="preserve"> 2% </w:instrText>
      </w:r>
      <w:r w:rsidR="002466C9">
        <w:rPr>
          <w:lang w:val="en-US"/>
        </w:rPr>
        <w:instrText>of</w:instrText>
      </w:r>
      <w:r w:rsidR="002466C9" w:rsidRPr="00B929AC">
        <w:instrText xml:space="preserve"> </w:instrText>
      </w:r>
      <w:r w:rsidR="002466C9">
        <w:rPr>
          <w:lang w:val="en-US"/>
        </w:rPr>
        <w:instrText>all</w:instrText>
      </w:r>
      <w:r w:rsidR="002466C9" w:rsidRPr="00B929AC">
        <w:instrText xml:space="preserve"> </w:instrText>
      </w:r>
      <w:r w:rsidR="002466C9">
        <w:rPr>
          <w:lang w:val="en-US"/>
        </w:rPr>
        <w:instrText>lymphomas</w:instrText>
      </w:r>
      <w:r w:rsidR="002466C9" w:rsidRPr="00B929AC">
        <w:instrText xml:space="preserve">. </w:instrText>
      </w:r>
      <w:r w:rsidR="002466C9">
        <w:rPr>
          <w:lang w:val="en-US"/>
        </w:rPr>
        <w:instrText>Although</w:instrText>
      </w:r>
      <w:r w:rsidR="002466C9" w:rsidRPr="00B929AC">
        <w:instrText xml:space="preserve"> </w:instrText>
      </w:r>
      <w:r w:rsidR="002466C9">
        <w:rPr>
          <w:lang w:val="en-US"/>
        </w:rPr>
        <w:instrText>histological</w:instrText>
      </w:r>
      <w:r w:rsidR="002466C9" w:rsidRPr="00B929AC">
        <w:instrText xml:space="preserve"> </w:instrText>
      </w:r>
      <w:r w:rsidR="002466C9">
        <w:rPr>
          <w:lang w:val="en-US"/>
        </w:rPr>
        <w:instrText>features</w:instrText>
      </w:r>
      <w:r w:rsidR="002466C9" w:rsidRPr="00B929AC">
        <w:instrText xml:space="preserve"> </w:instrText>
      </w:r>
      <w:r w:rsidR="002466C9">
        <w:rPr>
          <w:lang w:val="en-US"/>
        </w:rPr>
        <w:instrText>are</w:instrText>
      </w:r>
      <w:r w:rsidR="002466C9" w:rsidRPr="00B929AC">
        <w:instrText xml:space="preserve"> </w:instrText>
      </w:r>
      <w:r w:rsidR="002466C9">
        <w:rPr>
          <w:lang w:val="en-US"/>
        </w:rPr>
        <w:instrText>usually</w:instrText>
      </w:r>
      <w:r w:rsidR="002466C9" w:rsidRPr="00B929AC">
        <w:instrText xml:space="preserve"> </w:instrText>
      </w:r>
      <w:r w:rsidR="002466C9">
        <w:rPr>
          <w:lang w:val="en-US"/>
        </w:rPr>
        <w:instrText>sufficient</w:instrText>
      </w:r>
      <w:r w:rsidR="002466C9" w:rsidRPr="00B929AC">
        <w:instrText xml:space="preserve"> </w:instrText>
      </w:r>
      <w:r w:rsidR="002466C9">
        <w:rPr>
          <w:lang w:val="en-US"/>
        </w:rPr>
        <w:instrText>to</w:instrText>
      </w:r>
      <w:r w:rsidR="002466C9" w:rsidRPr="00B929AC">
        <w:instrText xml:space="preserve"> </w:instrText>
      </w:r>
      <w:r w:rsidR="002466C9">
        <w:rPr>
          <w:lang w:val="en-US"/>
        </w:rPr>
        <w:instrText>distinguish</w:instrText>
      </w:r>
      <w:r w:rsidR="002466C9" w:rsidRPr="00B929AC">
        <w:instrText xml:space="preserve"> </w:instrText>
      </w:r>
      <w:r w:rsidR="002466C9">
        <w:rPr>
          <w:lang w:val="en-US"/>
        </w:rPr>
        <w:instrText>lymphoblastic</w:instrText>
      </w:r>
      <w:r w:rsidR="002466C9" w:rsidRPr="00B929AC">
        <w:instrText xml:space="preserve"> </w:instrText>
      </w:r>
      <w:r w:rsidR="002466C9">
        <w:rPr>
          <w:lang w:val="en-US"/>
        </w:rPr>
        <w:instrText>from</w:instrText>
      </w:r>
      <w:r w:rsidR="002466C9" w:rsidRPr="00B929AC">
        <w:instrText xml:space="preserve"> </w:instrText>
      </w:r>
      <w:r w:rsidR="002466C9">
        <w:rPr>
          <w:lang w:val="en-US"/>
        </w:rPr>
        <w:instrText>mature</w:instrText>
      </w:r>
      <w:r w:rsidR="002466C9" w:rsidRPr="00B929AC">
        <w:instrText xml:space="preserve"> </w:instrText>
      </w:r>
      <w:r w:rsidR="002466C9">
        <w:rPr>
          <w:lang w:val="en-US"/>
        </w:rPr>
        <w:instrText>B</w:instrText>
      </w:r>
      <w:r w:rsidR="002466C9" w:rsidRPr="00B929AC">
        <w:instrText xml:space="preserve">- </w:instrText>
      </w:r>
      <w:r w:rsidR="002466C9">
        <w:rPr>
          <w:lang w:val="en-US"/>
        </w:rPr>
        <w:instrText>or</w:instrText>
      </w:r>
      <w:r w:rsidR="002466C9" w:rsidRPr="00B929AC">
        <w:instrText xml:space="preserve"> </w:instrText>
      </w:r>
      <w:r w:rsidR="002466C9">
        <w:rPr>
          <w:lang w:val="en-US"/>
        </w:rPr>
        <w:instrText>T</w:instrText>
      </w:r>
      <w:r w:rsidR="002466C9" w:rsidRPr="00B929AC">
        <w:instrText>-</w:instrText>
      </w:r>
      <w:r w:rsidR="002466C9">
        <w:rPr>
          <w:lang w:val="en-US"/>
        </w:rPr>
        <w:instrText>cell</w:instrText>
      </w:r>
      <w:r w:rsidR="002466C9" w:rsidRPr="00B929AC">
        <w:instrText xml:space="preserve"> </w:instrText>
      </w:r>
      <w:r w:rsidR="002466C9">
        <w:rPr>
          <w:lang w:val="en-US"/>
        </w:rPr>
        <w:instrText>neoplasms</w:instrText>
      </w:r>
      <w:r w:rsidR="002466C9" w:rsidRPr="00B929AC">
        <w:instrText xml:space="preserve">, </w:instrText>
      </w:r>
      <w:r w:rsidR="002466C9">
        <w:rPr>
          <w:lang w:val="en-US"/>
        </w:rPr>
        <w:instrText>of</w:instrText>
      </w:r>
      <w:r w:rsidR="002466C9" w:rsidRPr="00B929AC">
        <w:instrText xml:space="preserve"> </w:instrText>
      </w:r>
      <w:r w:rsidR="002466C9">
        <w:rPr>
          <w:lang w:val="en-US"/>
        </w:rPr>
        <w:instrText>greater</w:instrText>
      </w:r>
      <w:r w:rsidR="002466C9" w:rsidRPr="00B929AC">
        <w:instrText xml:space="preserve"> </w:instrText>
      </w:r>
      <w:r w:rsidR="002466C9">
        <w:rPr>
          <w:lang w:val="en-US"/>
        </w:rPr>
        <w:instrText>importance</w:instrText>
      </w:r>
      <w:r w:rsidR="002466C9" w:rsidRPr="00B929AC">
        <w:instrText xml:space="preserve"> </w:instrText>
      </w:r>
      <w:r w:rsidR="002466C9">
        <w:rPr>
          <w:lang w:val="en-US"/>
        </w:rPr>
        <w:instrText>for</w:instrText>
      </w:r>
      <w:r w:rsidR="002466C9" w:rsidRPr="00B929AC">
        <w:instrText xml:space="preserve"> </w:instrText>
      </w:r>
      <w:r w:rsidR="002466C9">
        <w:rPr>
          <w:lang w:val="en-US"/>
        </w:rPr>
        <w:instrText>diagnosis</w:instrText>
      </w:r>
      <w:r w:rsidR="002466C9" w:rsidRPr="00B929AC">
        <w:instrText xml:space="preserve"> </w:instrText>
      </w:r>
      <w:r w:rsidR="002466C9">
        <w:rPr>
          <w:lang w:val="en-US"/>
        </w:rPr>
        <w:instrText>is</w:instrText>
      </w:r>
      <w:r w:rsidR="002466C9" w:rsidRPr="00B929AC">
        <w:instrText xml:space="preserve"> </w:instrText>
      </w:r>
      <w:r w:rsidR="002466C9">
        <w:rPr>
          <w:lang w:val="en-US"/>
        </w:rPr>
        <w:instrText>the</w:instrText>
      </w:r>
      <w:r w:rsidR="002466C9" w:rsidRPr="00B929AC">
        <w:instrText xml:space="preserve"> </w:instrText>
      </w:r>
      <w:r w:rsidR="002466C9">
        <w:rPr>
          <w:lang w:val="en-US"/>
        </w:rPr>
        <w:instrText>characterization</w:instrText>
      </w:r>
      <w:r w:rsidR="002466C9" w:rsidRPr="00B929AC">
        <w:instrText xml:space="preserve"> </w:instrText>
      </w:r>
      <w:r w:rsidR="002466C9">
        <w:rPr>
          <w:lang w:val="en-US"/>
        </w:rPr>
        <w:instrText>of</w:instrText>
      </w:r>
      <w:r w:rsidR="002466C9" w:rsidRPr="00B929AC">
        <w:instrText xml:space="preserve"> </w:instrText>
      </w:r>
      <w:r w:rsidR="002466C9">
        <w:rPr>
          <w:lang w:val="en-US"/>
        </w:rPr>
        <w:instrText>immunophenotype</w:instrText>
      </w:r>
      <w:r w:rsidR="002466C9" w:rsidRPr="00B929AC">
        <w:instrText xml:space="preserve"> </w:instrText>
      </w:r>
      <w:r w:rsidR="002466C9">
        <w:rPr>
          <w:lang w:val="en-US"/>
        </w:rPr>
        <w:instrText>by</w:instrText>
      </w:r>
      <w:r w:rsidR="002466C9" w:rsidRPr="00B929AC">
        <w:instrText xml:space="preserve"> </w:instrText>
      </w:r>
      <w:r w:rsidR="002466C9">
        <w:rPr>
          <w:lang w:val="en-US"/>
        </w:rPr>
        <w:instrText>flow</w:instrText>
      </w:r>
      <w:r w:rsidR="002466C9" w:rsidRPr="00B929AC">
        <w:instrText xml:space="preserve"> </w:instrText>
      </w:r>
      <w:r w:rsidR="002466C9">
        <w:rPr>
          <w:lang w:val="en-US"/>
        </w:rPr>
        <w:instrText>cytometry</w:instrText>
      </w:r>
      <w:r w:rsidR="002466C9" w:rsidRPr="00B929AC">
        <w:instrText xml:space="preserve">. </w:instrText>
      </w:r>
      <w:r w:rsidR="002466C9">
        <w:rPr>
          <w:lang w:val="en-US"/>
        </w:rPr>
        <w:instrText>LBL</w:instrText>
      </w:r>
      <w:r w:rsidR="002466C9" w:rsidRPr="00B929AC">
        <w:instrText xml:space="preserve"> </w:instrText>
      </w:r>
      <w:r w:rsidR="002466C9">
        <w:rPr>
          <w:lang w:val="en-US"/>
        </w:rPr>
        <w:instrText>occurs</w:instrText>
      </w:r>
      <w:r w:rsidR="002466C9" w:rsidRPr="00B929AC">
        <w:instrText xml:space="preserve"> </w:instrText>
      </w:r>
      <w:r w:rsidR="002466C9">
        <w:rPr>
          <w:lang w:val="en-US"/>
        </w:rPr>
        <w:instrText>more</w:instrText>
      </w:r>
      <w:r w:rsidR="002466C9" w:rsidRPr="00B929AC">
        <w:instrText xml:space="preserve"> </w:instrText>
      </w:r>
      <w:r w:rsidR="002466C9">
        <w:rPr>
          <w:lang w:val="en-US"/>
        </w:rPr>
        <w:instrText>commonly</w:instrText>
      </w:r>
      <w:r w:rsidR="002466C9" w:rsidRPr="00B929AC">
        <w:instrText xml:space="preserve"> </w:instrText>
      </w:r>
      <w:r w:rsidR="002466C9">
        <w:rPr>
          <w:lang w:val="en-US"/>
        </w:rPr>
        <w:instrText>in</w:instrText>
      </w:r>
      <w:r w:rsidR="002466C9" w:rsidRPr="00B929AC">
        <w:instrText xml:space="preserve"> </w:instrText>
      </w:r>
      <w:r w:rsidR="002466C9">
        <w:rPr>
          <w:lang w:val="en-US"/>
        </w:rPr>
        <w:instrText>children</w:instrText>
      </w:r>
      <w:r w:rsidR="002466C9" w:rsidRPr="00B929AC">
        <w:instrText xml:space="preserve"> </w:instrText>
      </w:r>
      <w:r w:rsidR="002466C9">
        <w:rPr>
          <w:lang w:val="en-US"/>
        </w:rPr>
        <w:instrText>than</w:instrText>
      </w:r>
      <w:r w:rsidR="002466C9" w:rsidRPr="00B929AC">
        <w:instrText xml:space="preserve"> </w:instrText>
      </w:r>
      <w:r w:rsidR="002466C9">
        <w:rPr>
          <w:lang w:val="en-US"/>
        </w:rPr>
        <w:instrText>in</w:instrText>
      </w:r>
      <w:r w:rsidR="002466C9" w:rsidRPr="00B929AC">
        <w:instrText xml:space="preserve"> </w:instrText>
      </w:r>
      <w:r w:rsidR="002466C9">
        <w:rPr>
          <w:lang w:val="en-US"/>
        </w:rPr>
        <w:instrText>adults</w:instrText>
      </w:r>
      <w:r w:rsidR="002466C9" w:rsidRPr="00B929AC">
        <w:instrText xml:space="preserve">, </w:instrText>
      </w:r>
      <w:r w:rsidR="002466C9">
        <w:rPr>
          <w:lang w:val="en-US"/>
        </w:rPr>
        <w:instrText>mostly</w:instrText>
      </w:r>
      <w:r w:rsidR="002466C9" w:rsidRPr="00B929AC">
        <w:instrText xml:space="preserve"> </w:instrText>
      </w:r>
      <w:r w:rsidR="002466C9">
        <w:rPr>
          <w:lang w:val="en-US"/>
        </w:rPr>
        <w:instrText>in</w:instrText>
      </w:r>
      <w:r w:rsidR="002466C9" w:rsidRPr="00B929AC">
        <w:instrText xml:space="preserve"> </w:instrText>
      </w:r>
      <w:r w:rsidR="002466C9">
        <w:rPr>
          <w:lang w:val="en-US"/>
        </w:rPr>
        <w:instrText>males</w:instrText>
      </w:r>
      <w:r w:rsidR="002466C9" w:rsidRPr="00B929AC">
        <w:instrText xml:space="preserve">. </w:instrText>
      </w:r>
      <w:r w:rsidR="002466C9">
        <w:rPr>
          <w:lang w:val="en-US"/>
        </w:rPr>
        <w:instrText>A</w:instrText>
      </w:r>
      <w:r w:rsidR="002466C9" w:rsidRPr="00B929AC">
        <w:instrText xml:space="preserve"> </w:instrText>
      </w:r>
      <w:r w:rsidR="002466C9">
        <w:rPr>
          <w:lang w:val="en-US"/>
        </w:rPr>
        <w:instrText>bone</w:instrText>
      </w:r>
      <w:r w:rsidR="002466C9" w:rsidRPr="00B929AC">
        <w:instrText xml:space="preserve"> </w:instrText>
      </w:r>
      <w:r w:rsidR="002466C9">
        <w:rPr>
          <w:lang w:val="en-US"/>
        </w:rPr>
        <w:instrText>marrow</w:instrText>
      </w:r>
      <w:r w:rsidR="002466C9" w:rsidRPr="00B929AC">
        <w:instrText xml:space="preserve"> </w:instrText>
      </w:r>
      <w:r w:rsidR="002466C9">
        <w:rPr>
          <w:lang w:val="en-US"/>
        </w:rPr>
        <w:instrText>involvement</w:instrText>
      </w:r>
      <w:r w:rsidR="002466C9" w:rsidRPr="00B929AC">
        <w:instrText xml:space="preserve"> &lt;25% (</w:instrText>
      </w:r>
      <w:r w:rsidR="002466C9">
        <w:rPr>
          <w:lang w:val="en-US"/>
        </w:rPr>
        <w:instrText>or</w:instrText>
      </w:r>
      <w:r w:rsidR="002466C9" w:rsidRPr="00B929AC">
        <w:instrText xml:space="preserve"> 20</w:instrText>
      </w:r>
      <w:r w:rsidR="002466C9">
        <w:rPr>
          <w:lang w:val="en-US"/>
        </w:rPr>
        <w:instrText>% according to WHO) formally distinguishes LBL from ALL. The prognosis of LBL has dramatically improved with the use of intensive ALL-type chemotherapy regimens, which includes intensive intrathecal chemotherapy prophylaxis and consolidation with mediastinal irradiation. Patients with adverse prognostic features assessed by postinduction CT/positron emission tomography scans (PET) and minimal residual disease analysis (MRD) should be considered for high-dose chemotherapy and stem cell transplantation. Further therapeutic progresses are expected from the introduction of new drugs and targeting agents.","author":[{"dropping-particle":"","family":"Cortelazzo","given":"Sergio","non-dropping-particle":"","parse-names":false,"suffix":""},{"dropping-particle":"","family":"Ferreri","given":"Andrés","non-dropping-particle":"","parse-names":false,"suffix":""},{"dropping-particle":"","family":"Hoelzer","given":"Dieter","non-dropping-particle":"","parse-names":false,"suffix":""},{"dropping-particle":"","family":"Ponzoni","given":"Maurilio","non-dropping-particle":"","parse-names":false,"suffix":""}],"container-title":"Critical reviews in oncology/hematology","id":"ITEM-2","issued":{"date-parts":[["2017","5"]]},"page":"304-317","title":"Lymphoblastic lymphoma.","type":"article-journal","volume":"113"},"uris":["http://www.mendeley.com/documents/?uuid=e2eed080-a739-3358-b728-ef768a4e754e"]}],"mendeley":{"formattedCitation":"[13,14]","plainTextFormattedCitation":"[13,14]","previouslyFormattedCitation":"[13,14]"},"properties":{"noteIndex":0},"schema":"https://github.com/citation-style-language/schema/raw/master/csl-citation.json"}</w:instrText>
      </w:r>
      <w:r w:rsidR="00A27AD5">
        <w:fldChar w:fldCharType="separate"/>
      </w:r>
      <w:r w:rsidR="00A66456" w:rsidRPr="00A66456">
        <w:rPr>
          <w:noProof/>
        </w:rPr>
        <w:t>[13,14]</w:t>
      </w:r>
      <w:r w:rsidR="00A27AD5">
        <w:fldChar w:fldCharType="end"/>
      </w:r>
      <w:r w:rsidR="00A27AD5">
        <w:t>.</w:t>
      </w:r>
      <w:r w:rsidR="009629F5">
        <w:t xml:space="preserve"> </w:t>
      </w:r>
    </w:p>
    <w:p w14:paraId="54A25982" w14:textId="77777777" w:rsidR="00254823" w:rsidRDefault="00254823" w:rsidP="00595275">
      <w:pPr>
        <w:shd w:val="clear" w:color="auto" w:fill="FFFFFF"/>
        <w:ind w:firstLine="709"/>
        <w:contextualSpacing/>
      </w:pPr>
      <w:r>
        <w:rPr>
          <w:b/>
        </w:rPr>
        <w:t xml:space="preserve">Уровень убедительности рекомендаций </w:t>
      </w:r>
      <w:r w:rsidR="00D631CF">
        <w:rPr>
          <w:b/>
        </w:rPr>
        <w:t xml:space="preserve">– </w:t>
      </w:r>
      <w:r w:rsidR="000734B4">
        <w:rPr>
          <w:b/>
        </w:rPr>
        <w:t>С</w:t>
      </w:r>
      <w:r>
        <w:rPr>
          <w:b/>
        </w:rPr>
        <w:t xml:space="preserve"> (уровень </w:t>
      </w:r>
      <w:r>
        <w:rPr>
          <w:b/>
          <w:spacing w:val="-1"/>
        </w:rPr>
        <w:t xml:space="preserve">достоверности доказательств </w:t>
      </w:r>
      <w:r w:rsidR="00595275">
        <w:rPr>
          <w:b/>
        </w:rPr>
        <w:t xml:space="preserve">– </w:t>
      </w:r>
      <w:r w:rsidR="000734B4">
        <w:rPr>
          <w:b/>
        </w:rPr>
        <w:t>5</w:t>
      </w:r>
      <w:r w:rsidR="00595275">
        <w:rPr>
          <w:b/>
        </w:rPr>
        <w:t>)</w:t>
      </w:r>
      <w:r w:rsidR="00D631CF">
        <w:rPr>
          <w:b/>
        </w:rPr>
        <w:t>.</w:t>
      </w:r>
    </w:p>
    <w:p w14:paraId="7350A56B" w14:textId="4D0CD7BC" w:rsidR="009629F5" w:rsidRDefault="00254823" w:rsidP="00595275">
      <w:pPr>
        <w:shd w:val="clear" w:color="auto" w:fill="FFFFFF"/>
        <w:ind w:firstLine="709"/>
        <w:contextualSpacing/>
        <w:rPr>
          <w:i/>
        </w:rPr>
      </w:pPr>
      <w:r>
        <w:rPr>
          <w:b/>
        </w:rPr>
        <w:t xml:space="preserve">Комментарии: </w:t>
      </w:r>
      <w:r w:rsidR="005F6590">
        <w:rPr>
          <w:i/>
        </w:rPr>
        <w:t>о</w:t>
      </w:r>
      <w:r>
        <w:rPr>
          <w:i/>
        </w:rPr>
        <w:t>пыт выполнения алло</w:t>
      </w:r>
      <w:r w:rsidR="004A688B" w:rsidRPr="004A688B">
        <w:rPr>
          <w:i/>
        </w:rPr>
        <w:t>-</w:t>
      </w:r>
      <w:r w:rsidR="004A688B">
        <w:rPr>
          <w:i/>
        </w:rPr>
        <w:t xml:space="preserve">ТГСК </w:t>
      </w:r>
      <w:r>
        <w:rPr>
          <w:i/>
        </w:rPr>
        <w:t>при ЛБЛ в первой ПР ограничен</w:t>
      </w:r>
      <w:r w:rsidR="00A27AD5">
        <w:rPr>
          <w:i/>
        </w:rPr>
        <w:t xml:space="preserve"> </w:t>
      </w:r>
      <w:r w:rsidR="00A27AD5">
        <w:fldChar w:fldCharType="begin" w:fldLock="1"/>
      </w:r>
      <w:r w:rsidR="002466C9">
        <w:rPr>
          <w:lang w:val="en-US"/>
        </w:rPr>
        <w:instrText>ADDIN</w:instrText>
      </w:r>
      <w:r w:rsidR="002466C9" w:rsidRPr="00B929AC">
        <w:instrText xml:space="preserve"> </w:instrText>
      </w:r>
      <w:r w:rsidR="002466C9">
        <w:rPr>
          <w:lang w:val="en-US"/>
        </w:rPr>
        <w:instrText>CSL</w:instrText>
      </w:r>
      <w:r w:rsidR="002466C9" w:rsidRPr="00B929AC">
        <w:instrText>_</w:instrText>
      </w:r>
      <w:r w:rsidR="002466C9">
        <w:rPr>
          <w:lang w:val="en-US"/>
        </w:rPr>
        <w:instrText>CITATION</w:instrText>
      </w:r>
      <w:r w:rsidR="002466C9" w:rsidRPr="00B929AC">
        <w:instrText xml:space="preserve"> {"</w:instrText>
      </w:r>
      <w:r w:rsidR="002466C9">
        <w:rPr>
          <w:lang w:val="en-US"/>
        </w:rPr>
        <w:instrText>citationItems</w:instrText>
      </w:r>
      <w:r w:rsidR="002466C9" w:rsidRPr="00B929AC">
        <w:instrText>":[{"</w:instrText>
      </w:r>
      <w:r w:rsidR="002466C9">
        <w:rPr>
          <w:lang w:val="en-US"/>
        </w:rPr>
        <w:instrText>id</w:instrText>
      </w:r>
      <w:r w:rsidR="002466C9" w:rsidRPr="00B929AC">
        <w:instrText>":"</w:instrText>
      </w:r>
      <w:r w:rsidR="002466C9">
        <w:rPr>
          <w:lang w:val="en-US"/>
        </w:rPr>
        <w:instrText>ITEM</w:instrText>
      </w:r>
      <w:r w:rsidR="002466C9" w:rsidRPr="00B929AC">
        <w:instrText>-1","</w:instrText>
      </w:r>
      <w:r w:rsidR="002466C9">
        <w:rPr>
          <w:lang w:val="en-US"/>
        </w:rPr>
        <w:instrText>itemData</w:instrText>
      </w:r>
      <w:r w:rsidR="002466C9" w:rsidRPr="00B929AC">
        <w:instrText>":{"</w:instrText>
      </w:r>
      <w:r w:rsidR="002466C9">
        <w:rPr>
          <w:lang w:val="en-US"/>
        </w:rPr>
        <w:instrText>DOI</w:instrText>
      </w:r>
      <w:r w:rsidR="002466C9" w:rsidRPr="00B929AC">
        <w:instrText>":"10.1111/</w:instrText>
      </w:r>
      <w:r w:rsidR="002466C9">
        <w:rPr>
          <w:lang w:val="en-US"/>
        </w:rPr>
        <w:instrText>ejh</w:instrText>
      </w:r>
      <w:r w:rsidR="002466C9" w:rsidRPr="00B929AC">
        <w:instrText>.12722","</w:instrText>
      </w:r>
      <w:r w:rsidR="002466C9">
        <w:rPr>
          <w:lang w:val="en-US"/>
        </w:rPr>
        <w:instrText>ISSN</w:instrText>
      </w:r>
      <w:r w:rsidR="002466C9" w:rsidRPr="00B929AC">
        <w:instrText>":"1600-0609","</w:instrText>
      </w:r>
      <w:r w:rsidR="002466C9">
        <w:rPr>
          <w:lang w:val="en-US"/>
        </w:rPr>
        <w:instrText>PMID</w:instrText>
      </w:r>
      <w:r w:rsidR="002466C9" w:rsidRPr="00B929AC">
        <w:instrText>":"26679753","</w:instrText>
      </w:r>
      <w:r w:rsidR="002466C9">
        <w:rPr>
          <w:lang w:val="en-US"/>
        </w:rPr>
        <w:instrText>abstract</w:instrText>
      </w:r>
      <w:r w:rsidR="002466C9" w:rsidRPr="00B929AC">
        <w:instrText>":"</w:instrText>
      </w:r>
      <w:r w:rsidR="002466C9">
        <w:rPr>
          <w:lang w:val="en-US"/>
        </w:rPr>
        <w:instrText>Lymphoblastic</w:instrText>
      </w:r>
      <w:r w:rsidR="002466C9" w:rsidRPr="00B929AC">
        <w:instrText xml:space="preserve"> </w:instrText>
      </w:r>
      <w:r w:rsidR="002466C9">
        <w:rPr>
          <w:lang w:val="en-US"/>
        </w:rPr>
        <w:instrText>lymphoma</w:instrText>
      </w:r>
      <w:r w:rsidR="002466C9" w:rsidRPr="00B929AC">
        <w:instrText xml:space="preserve"> </w:instrText>
      </w:r>
      <w:r w:rsidR="002466C9">
        <w:rPr>
          <w:lang w:val="en-US"/>
        </w:rPr>
        <w:instrText>is</w:instrText>
      </w:r>
      <w:r w:rsidR="002466C9" w:rsidRPr="00B929AC">
        <w:instrText xml:space="preserve"> </w:instrText>
      </w:r>
      <w:r w:rsidR="002466C9">
        <w:rPr>
          <w:lang w:val="en-US"/>
        </w:rPr>
        <w:instrText>a</w:instrText>
      </w:r>
      <w:r w:rsidR="002466C9" w:rsidRPr="00B929AC">
        <w:instrText xml:space="preserve"> </w:instrText>
      </w:r>
      <w:r w:rsidR="002466C9">
        <w:rPr>
          <w:lang w:val="en-US"/>
        </w:rPr>
        <w:instrText>rare</w:instrText>
      </w:r>
      <w:r w:rsidR="002466C9" w:rsidRPr="00B929AC">
        <w:instrText xml:space="preserve"> </w:instrText>
      </w:r>
      <w:r w:rsidR="002466C9">
        <w:rPr>
          <w:lang w:val="en-US"/>
        </w:rPr>
        <w:instrText>aggressive</w:instrText>
      </w:r>
      <w:r w:rsidR="002466C9" w:rsidRPr="00B929AC">
        <w:instrText xml:space="preserve"> </w:instrText>
      </w:r>
      <w:r w:rsidR="002466C9">
        <w:rPr>
          <w:lang w:val="en-US"/>
        </w:rPr>
        <w:instrText>neoplasm</w:instrText>
      </w:r>
      <w:r w:rsidR="002466C9" w:rsidRPr="00B929AC">
        <w:instrText xml:space="preserve"> </w:instrText>
      </w:r>
      <w:r w:rsidR="002466C9">
        <w:rPr>
          <w:lang w:val="en-US"/>
        </w:rPr>
        <w:instrText>of</w:instrText>
      </w:r>
      <w:r w:rsidR="002466C9" w:rsidRPr="00B929AC">
        <w:instrText xml:space="preserve"> </w:instrText>
      </w:r>
      <w:r w:rsidR="002466C9">
        <w:rPr>
          <w:lang w:val="en-US"/>
        </w:rPr>
        <w:instrText>T</w:instrText>
      </w:r>
      <w:r w:rsidR="002466C9" w:rsidRPr="00B929AC">
        <w:instrText>-/</w:instrText>
      </w:r>
      <w:r w:rsidR="002466C9">
        <w:rPr>
          <w:lang w:val="en-US"/>
        </w:rPr>
        <w:instrText>B</w:instrText>
      </w:r>
      <w:r w:rsidR="002466C9" w:rsidRPr="00B929AC">
        <w:instrText>-</w:instrText>
      </w:r>
      <w:r w:rsidR="002466C9">
        <w:rPr>
          <w:lang w:val="en-US"/>
        </w:rPr>
        <w:instrText>precursors</w:instrText>
      </w:r>
      <w:r w:rsidR="002466C9" w:rsidRPr="00B929AC">
        <w:instrText xml:space="preserve"> </w:instrText>
      </w:r>
      <w:r w:rsidR="002466C9">
        <w:rPr>
          <w:lang w:val="en-US"/>
        </w:rPr>
        <w:instrText>resembling</w:instrText>
      </w:r>
      <w:r w:rsidR="002466C9" w:rsidRPr="00B929AC">
        <w:instrText xml:space="preserve"> </w:instrText>
      </w:r>
      <w:r w:rsidR="002466C9">
        <w:rPr>
          <w:lang w:val="en-US"/>
        </w:rPr>
        <w:instrText>acute</w:instrText>
      </w:r>
      <w:r w:rsidR="002466C9" w:rsidRPr="00B929AC">
        <w:instrText xml:space="preserve"> </w:instrText>
      </w:r>
      <w:r w:rsidR="002466C9">
        <w:rPr>
          <w:lang w:val="en-US"/>
        </w:rPr>
        <w:instrText>lymphoblastic</w:instrText>
      </w:r>
      <w:r w:rsidR="002466C9" w:rsidRPr="00B929AC">
        <w:instrText xml:space="preserve"> </w:instrText>
      </w:r>
      <w:r w:rsidR="002466C9">
        <w:rPr>
          <w:lang w:val="en-US"/>
        </w:rPr>
        <w:instrText>leukemia</w:instrText>
      </w:r>
      <w:r w:rsidR="002466C9" w:rsidRPr="00B929AC">
        <w:instrText xml:space="preserve">, </w:instrText>
      </w:r>
      <w:r w:rsidR="002466C9">
        <w:rPr>
          <w:lang w:val="en-US"/>
        </w:rPr>
        <w:instrText>with</w:instrText>
      </w:r>
      <w:r w:rsidR="002466C9" w:rsidRPr="00B929AC">
        <w:instrText xml:space="preserve"> </w:instrText>
      </w:r>
      <w:r w:rsidR="002466C9">
        <w:rPr>
          <w:lang w:val="en-US"/>
        </w:rPr>
        <w:instrText>no</w:instrText>
      </w:r>
      <w:r w:rsidR="002466C9" w:rsidRPr="00B929AC">
        <w:instrText xml:space="preserve"> </w:instrText>
      </w:r>
      <w:r w:rsidR="002466C9">
        <w:rPr>
          <w:lang w:val="en-US"/>
        </w:rPr>
        <w:instrText>or</w:instrText>
      </w:r>
      <w:r w:rsidR="002466C9" w:rsidRPr="00B929AC">
        <w:instrText xml:space="preserve"> </w:instrText>
      </w:r>
      <w:r w:rsidR="002466C9">
        <w:rPr>
          <w:lang w:val="en-US"/>
        </w:rPr>
        <w:instrText>limited</w:instrText>
      </w:r>
      <w:r w:rsidR="002466C9" w:rsidRPr="00B929AC">
        <w:instrText xml:space="preserve"> </w:instrText>
      </w:r>
      <w:r w:rsidR="002466C9">
        <w:rPr>
          <w:lang w:val="en-US"/>
        </w:rPr>
        <w:instrText>bone</w:instrText>
      </w:r>
      <w:r w:rsidR="002466C9" w:rsidRPr="00B929AC">
        <w:instrText xml:space="preserve"> </w:instrText>
      </w:r>
      <w:r w:rsidR="002466C9">
        <w:rPr>
          <w:lang w:val="en-US"/>
        </w:rPr>
        <w:instrText>marrow</w:instrText>
      </w:r>
      <w:r w:rsidR="002466C9" w:rsidRPr="00B929AC">
        <w:instrText xml:space="preserve"> </w:instrText>
      </w:r>
      <w:r w:rsidR="002466C9">
        <w:rPr>
          <w:lang w:val="en-US"/>
        </w:rPr>
        <w:instrText>involvement</w:instrText>
      </w:r>
      <w:r w:rsidR="002466C9" w:rsidRPr="00B929AC">
        <w:instrText xml:space="preserve"> (&lt;25%), </w:instrText>
      </w:r>
      <w:r w:rsidR="002466C9">
        <w:rPr>
          <w:lang w:val="en-US"/>
        </w:rPr>
        <w:instrText>that</w:instrText>
      </w:r>
      <w:r w:rsidR="002466C9" w:rsidRPr="00B929AC">
        <w:instrText xml:space="preserve"> </w:instrText>
      </w:r>
      <w:r w:rsidR="002466C9">
        <w:rPr>
          <w:lang w:val="en-US"/>
        </w:rPr>
        <w:instrText>develops</w:instrText>
      </w:r>
      <w:r w:rsidR="002466C9" w:rsidRPr="00B929AC">
        <w:instrText xml:space="preserve"> </w:instrText>
      </w:r>
      <w:r w:rsidR="002466C9">
        <w:rPr>
          <w:lang w:val="en-US"/>
        </w:rPr>
        <w:instrText>more</w:instrText>
      </w:r>
      <w:r w:rsidR="002466C9" w:rsidRPr="00B929AC">
        <w:instrText xml:space="preserve"> </w:instrText>
      </w:r>
      <w:r w:rsidR="002466C9">
        <w:rPr>
          <w:lang w:val="en-US"/>
        </w:rPr>
        <w:instrText>frequently</w:instrText>
      </w:r>
      <w:r w:rsidR="002466C9" w:rsidRPr="00B929AC">
        <w:instrText xml:space="preserve"> </w:instrText>
      </w:r>
      <w:r w:rsidR="002466C9">
        <w:rPr>
          <w:lang w:val="en-US"/>
        </w:rPr>
        <w:instrText>in</w:instrText>
      </w:r>
      <w:r w:rsidR="002466C9" w:rsidRPr="00B929AC">
        <w:instrText xml:space="preserve"> </w:instrText>
      </w:r>
      <w:r w:rsidR="002466C9">
        <w:rPr>
          <w:lang w:val="en-US"/>
        </w:rPr>
        <w:instrText>children</w:instrText>
      </w:r>
      <w:r w:rsidR="002466C9" w:rsidRPr="00B929AC">
        <w:instrText xml:space="preserve"> </w:instrText>
      </w:r>
      <w:r w:rsidR="002466C9">
        <w:rPr>
          <w:lang w:val="en-US"/>
        </w:rPr>
        <w:instrText>and</w:instrText>
      </w:r>
      <w:r w:rsidR="002466C9" w:rsidRPr="00B929AC">
        <w:instrText xml:space="preserve"> </w:instrText>
      </w:r>
      <w:r w:rsidR="002466C9">
        <w:rPr>
          <w:lang w:val="en-US"/>
        </w:rPr>
        <w:instrText>young</w:instrText>
      </w:r>
      <w:r w:rsidR="002466C9" w:rsidRPr="00B929AC">
        <w:instrText xml:space="preserve"> </w:instrText>
      </w:r>
      <w:r w:rsidR="002466C9">
        <w:rPr>
          <w:lang w:val="en-US"/>
        </w:rPr>
        <w:instrText>adults</w:instrText>
      </w:r>
      <w:r w:rsidR="002466C9" w:rsidRPr="00B929AC">
        <w:instrText xml:space="preserve"> </w:instrText>
      </w:r>
      <w:r w:rsidR="002466C9">
        <w:rPr>
          <w:lang w:val="en-US"/>
        </w:rPr>
        <w:instrText>and</w:instrText>
      </w:r>
      <w:r w:rsidR="002466C9" w:rsidRPr="00B929AC">
        <w:instrText xml:space="preserve"> </w:instrText>
      </w:r>
      <w:r w:rsidR="002466C9">
        <w:rPr>
          <w:lang w:val="en-US"/>
        </w:rPr>
        <w:instrText>is</w:instrText>
      </w:r>
      <w:r w:rsidR="002466C9" w:rsidRPr="00B929AC">
        <w:instrText xml:space="preserve"> </w:instrText>
      </w:r>
      <w:r w:rsidR="002466C9">
        <w:rPr>
          <w:lang w:val="en-US"/>
        </w:rPr>
        <w:instrText>typically</w:instrText>
      </w:r>
      <w:r w:rsidR="002466C9" w:rsidRPr="00B929AC">
        <w:instrText xml:space="preserve"> </w:instrText>
      </w:r>
      <w:r w:rsidR="002466C9">
        <w:rPr>
          <w:lang w:val="en-US"/>
        </w:rPr>
        <w:instrText>characterized</w:instrText>
      </w:r>
      <w:r w:rsidR="002466C9" w:rsidRPr="00B929AC">
        <w:instrText xml:space="preserve"> </w:instrText>
      </w:r>
      <w:r w:rsidR="002466C9">
        <w:rPr>
          <w:lang w:val="en-US"/>
        </w:rPr>
        <w:instrText>by</w:instrText>
      </w:r>
      <w:r w:rsidR="002466C9" w:rsidRPr="00B929AC">
        <w:instrText xml:space="preserve"> </w:instrText>
      </w:r>
      <w:r w:rsidR="002466C9">
        <w:rPr>
          <w:lang w:val="en-US"/>
        </w:rPr>
        <w:instrText>a</w:instrText>
      </w:r>
      <w:r w:rsidR="002466C9" w:rsidRPr="00B929AC">
        <w:instrText xml:space="preserve"> </w:instrText>
      </w:r>
      <w:r w:rsidR="002466C9">
        <w:rPr>
          <w:lang w:val="en-US"/>
        </w:rPr>
        <w:instrText>grossly</w:instrText>
      </w:r>
      <w:r w:rsidR="002466C9" w:rsidRPr="00B929AC">
        <w:instrText xml:space="preserve"> </w:instrText>
      </w:r>
      <w:r w:rsidR="002466C9">
        <w:rPr>
          <w:lang w:val="en-US"/>
        </w:rPr>
        <w:instrText>enlarged</w:instrText>
      </w:r>
      <w:r w:rsidR="002466C9" w:rsidRPr="00B929AC">
        <w:instrText xml:space="preserve"> </w:instrText>
      </w:r>
      <w:r w:rsidR="002466C9">
        <w:rPr>
          <w:lang w:val="en-US"/>
        </w:rPr>
        <w:instrText>mediastinum</w:instrText>
      </w:r>
      <w:r w:rsidR="002466C9" w:rsidRPr="00B929AC">
        <w:instrText xml:space="preserve">, </w:instrText>
      </w:r>
      <w:r w:rsidR="002466C9">
        <w:rPr>
          <w:lang w:val="en-US"/>
        </w:rPr>
        <w:instrText>and</w:instrText>
      </w:r>
      <w:r w:rsidR="002466C9" w:rsidRPr="00B929AC">
        <w:instrText xml:space="preserve"> </w:instrText>
      </w:r>
      <w:r w:rsidR="002466C9">
        <w:rPr>
          <w:lang w:val="en-US"/>
        </w:rPr>
        <w:instrText>whose</w:instrText>
      </w:r>
      <w:r w:rsidR="002466C9" w:rsidRPr="00B929AC">
        <w:instrText xml:space="preserve"> </w:instrText>
      </w:r>
      <w:r w:rsidR="002466C9">
        <w:rPr>
          <w:lang w:val="en-US"/>
        </w:rPr>
        <w:instrText>diagnostic</w:instrText>
      </w:r>
      <w:r w:rsidR="002466C9" w:rsidRPr="00B929AC">
        <w:instrText xml:space="preserve"> </w:instrText>
      </w:r>
      <w:r w:rsidR="002466C9">
        <w:rPr>
          <w:lang w:val="en-US"/>
        </w:rPr>
        <w:instrText>hallmark</w:instrText>
      </w:r>
      <w:r w:rsidR="002466C9" w:rsidRPr="00B929AC">
        <w:instrText xml:space="preserve"> </w:instrText>
      </w:r>
      <w:r w:rsidR="002466C9">
        <w:rPr>
          <w:lang w:val="en-US"/>
        </w:rPr>
        <w:instrText>is</w:instrText>
      </w:r>
      <w:r w:rsidR="002466C9" w:rsidRPr="00B929AC">
        <w:instrText xml:space="preserve"> </w:instrText>
      </w:r>
      <w:r w:rsidR="002466C9">
        <w:rPr>
          <w:lang w:val="en-US"/>
        </w:rPr>
        <w:instrText>the</w:instrText>
      </w:r>
      <w:r w:rsidR="002466C9" w:rsidRPr="00B929AC">
        <w:instrText xml:space="preserve"> </w:instrText>
      </w:r>
      <w:r w:rsidR="002466C9">
        <w:rPr>
          <w:lang w:val="en-US"/>
        </w:rPr>
        <w:instrText>expression</w:instrText>
      </w:r>
      <w:r w:rsidR="002466C9" w:rsidRPr="00B929AC">
        <w:instrText xml:space="preserve"> </w:instrText>
      </w:r>
      <w:r w:rsidR="002466C9">
        <w:rPr>
          <w:lang w:val="en-US"/>
        </w:rPr>
        <w:instrText>of</w:instrText>
      </w:r>
      <w:r w:rsidR="002466C9" w:rsidRPr="00B929AC">
        <w:instrText xml:space="preserve"> </w:instrText>
      </w:r>
      <w:r w:rsidR="002466C9">
        <w:rPr>
          <w:lang w:val="en-US"/>
        </w:rPr>
        <w:instrText>a</w:instrText>
      </w:r>
      <w:r w:rsidR="002466C9" w:rsidRPr="00B929AC">
        <w:instrText xml:space="preserve"> </w:instrText>
      </w:r>
      <w:r w:rsidR="002466C9">
        <w:rPr>
          <w:lang w:val="en-US"/>
        </w:rPr>
        <w:instrText>T</w:instrText>
      </w:r>
      <w:r w:rsidR="002466C9" w:rsidRPr="00B929AC">
        <w:instrText>-/</w:instrText>
      </w:r>
      <w:r w:rsidR="002466C9">
        <w:rPr>
          <w:lang w:val="en-US"/>
        </w:rPr>
        <w:instrText>B</w:instrText>
      </w:r>
      <w:r w:rsidR="002466C9" w:rsidRPr="00B929AC">
        <w:instrText>-</w:instrText>
      </w:r>
      <w:r w:rsidR="002466C9">
        <w:rPr>
          <w:lang w:val="en-US"/>
        </w:rPr>
        <w:instrText>precursor</w:instrText>
      </w:r>
      <w:r w:rsidR="002466C9" w:rsidRPr="00B929AC">
        <w:instrText xml:space="preserve"> </w:instrText>
      </w:r>
      <w:r w:rsidR="002466C9">
        <w:rPr>
          <w:lang w:val="en-US"/>
        </w:rPr>
        <w:instrText>cell</w:instrText>
      </w:r>
      <w:r w:rsidR="002466C9" w:rsidRPr="00B929AC">
        <w:instrText xml:space="preserve"> </w:instrText>
      </w:r>
      <w:r w:rsidR="002466C9">
        <w:rPr>
          <w:lang w:val="en-US"/>
        </w:rPr>
        <w:instrText>immunophenotype</w:instrText>
      </w:r>
      <w:r w:rsidR="002466C9" w:rsidRPr="00B929AC">
        <w:instrText xml:space="preserve">, </w:instrText>
      </w:r>
      <w:r w:rsidR="002466C9">
        <w:rPr>
          <w:lang w:val="en-US"/>
        </w:rPr>
        <w:instrText>the</w:instrText>
      </w:r>
      <w:r w:rsidR="002466C9" w:rsidRPr="00B929AC">
        <w:instrText xml:space="preserve"> </w:instrText>
      </w:r>
      <w:r w:rsidR="002466C9">
        <w:rPr>
          <w:lang w:val="en-US"/>
        </w:rPr>
        <w:instrText>T</w:instrText>
      </w:r>
      <w:r w:rsidR="002466C9" w:rsidRPr="00B929AC">
        <w:instrText>-</w:instrText>
      </w:r>
      <w:r w:rsidR="002466C9">
        <w:rPr>
          <w:lang w:val="en-US"/>
        </w:rPr>
        <w:instrText>cell</w:instrText>
      </w:r>
      <w:r w:rsidR="002466C9" w:rsidRPr="00B929AC">
        <w:instrText xml:space="preserve"> </w:instrText>
      </w:r>
      <w:r w:rsidR="002466C9">
        <w:rPr>
          <w:lang w:val="en-US"/>
        </w:rPr>
        <w:instrText>subset</w:instrText>
      </w:r>
      <w:r w:rsidR="002466C9" w:rsidRPr="00B929AC">
        <w:instrText xml:space="preserve"> </w:instrText>
      </w:r>
      <w:r w:rsidR="002466C9">
        <w:rPr>
          <w:lang w:val="en-US"/>
        </w:rPr>
        <w:instrText>accounting</w:instrText>
      </w:r>
      <w:r w:rsidR="002466C9" w:rsidRPr="00B929AC">
        <w:instrText xml:space="preserve"> </w:instrText>
      </w:r>
      <w:r w:rsidR="002466C9">
        <w:rPr>
          <w:lang w:val="en-US"/>
        </w:rPr>
        <w:instrText>for</w:instrText>
      </w:r>
      <w:r w:rsidR="002466C9" w:rsidRPr="00B929AC">
        <w:instrText xml:space="preserve"> 90% </w:instrText>
      </w:r>
      <w:r w:rsidR="002466C9">
        <w:rPr>
          <w:lang w:val="en-US"/>
        </w:rPr>
        <w:instrText>of</w:instrText>
      </w:r>
      <w:r w:rsidR="002466C9" w:rsidRPr="00B929AC">
        <w:instrText xml:space="preserve"> </w:instrText>
      </w:r>
      <w:r w:rsidR="002466C9">
        <w:rPr>
          <w:lang w:val="en-US"/>
        </w:rPr>
        <w:instrText>all</w:instrText>
      </w:r>
      <w:r w:rsidR="002466C9" w:rsidRPr="00B929AC">
        <w:instrText xml:space="preserve"> </w:instrText>
      </w:r>
      <w:r w:rsidR="002466C9">
        <w:rPr>
          <w:lang w:val="en-US"/>
        </w:rPr>
        <w:instrText>cases</w:instrText>
      </w:r>
      <w:r w:rsidR="002466C9" w:rsidRPr="00B929AC">
        <w:instrText xml:space="preserve">. </w:instrText>
      </w:r>
      <w:r w:rsidR="002466C9">
        <w:rPr>
          <w:lang w:val="en-US"/>
        </w:rPr>
        <w:instrText>The</w:instrText>
      </w:r>
      <w:r w:rsidR="002466C9" w:rsidRPr="00B929AC">
        <w:instrText xml:space="preserve"> </w:instrText>
      </w:r>
      <w:r w:rsidR="002466C9">
        <w:rPr>
          <w:lang w:val="en-US"/>
        </w:rPr>
        <w:instrText>adoption</w:instrText>
      </w:r>
      <w:r w:rsidR="002466C9" w:rsidRPr="00B929AC">
        <w:instrText xml:space="preserve"> </w:instrText>
      </w:r>
      <w:r w:rsidR="002466C9">
        <w:rPr>
          <w:lang w:val="en-US"/>
        </w:rPr>
        <w:instrText>of</w:instrText>
      </w:r>
      <w:r w:rsidR="002466C9" w:rsidRPr="00B929AC">
        <w:instrText xml:space="preserve"> </w:instrText>
      </w:r>
      <w:r w:rsidR="002466C9">
        <w:rPr>
          <w:lang w:val="en-US"/>
        </w:rPr>
        <w:instrText>pediatric</w:instrText>
      </w:r>
      <w:r w:rsidR="002466C9" w:rsidRPr="00B929AC">
        <w:instrText>-</w:instrText>
      </w:r>
      <w:r w:rsidR="002466C9">
        <w:rPr>
          <w:lang w:val="en-US"/>
        </w:rPr>
        <w:instrText>derived</w:instrText>
      </w:r>
      <w:r w:rsidR="002466C9" w:rsidRPr="00B929AC">
        <w:instrText xml:space="preserve">, </w:instrText>
      </w:r>
      <w:r w:rsidR="002466C9">
        <w:rPr>
          <w:lang w:val="en-US"/>
        </w:rPr>
        <w:instrText>intensive</w:instrText>
      </w:r>
      <w:r w:rsidR="002466C9" w:rsidRPr="00B929AC">
        <w:instrText xml:space="preserve"> </w:instrText>
      </w:r>
      <w:r w:rsidR="002466C9">
        <w:rPr>
          <w:lang w:val="en-US"/>
        </w:rPr>
        <w:instrText>lymphoblastic</w:instrText>
      </w:r>
      <w:r w:rsidR="002466C9" w:rsidRPr="00B929AC">
        <w:instrText xml:space="preserve"> </w:instrText>
      </w:r>
      <w:r w:rsidR="002466C9">
        <w:rPr>
          <w:lang w:val="en-US"/>
        </w:rPr>
        <w:instrText>leukemia</w:instrText>
      </w:r>
      <w:r w:rsidR="002466C9" w:rsidRPr="00B929AC">
        <w:instrText>-</w:instrText>
      </w:r>
      <w:r w:rsidR="002466C9">
        <w:rPr>
          <w:lang w:val="en-US"/>
        </w:rPr>
        <w:instrText>like</w:instrText>
      </w:r>
      <w:r w:rsidR="002466C9" w:rsidRPr="00B929AC">
        <w:instrText xml:space="preserve"> </w:instrText>
      </w:r>
      <w:r w:rsidR="002466C9">
        <w:rPr>
          <w:lang w:val="en-US"/>
        </w:rPr>
        <w:instrText>protocols</w:instrText>
      </w:r>
      <w:r w:rsidR="002466C9" w:rsidRPr="00B929AC">
        <w:instrText xml:space="preserve"> </w:instrText>
      </w:r>
      <w:r w:rsidR="002466C9">
        <w:rPr>
          <w:lang w:val="en-US"/>
        </w:rPr>
        <w:instrText>led</w:instrText>
      </w:r>
      <w:r w:rsidR="002466C9" w:rsidRPr="00B929AC">
        <w:instrText xml:space="preserve"> </w:instrText>
      </w:r>
      <w:r w:rsidR="002466C9">
        <w:rPr>
          <w:lang w:val="en-US"/>
        </w:rPr>
        <w:instrText>to</w:instrText>
      </w:r>
      <w:r w:rsidR="002466C9" w:rsidRPr="00B929AC">
        <w:instrText xml:space="preserve"> </w:instrText>
      </w:r>
      <w:r w:rsidR="002466C9">
        <w:rPr>
          <w:lang w:val="en-US"/>
        </w:rPr>
        <w:instrText>significantly</w:instrText>
      </w:r>
      <w:r w:rsidR="002466C9" w:rsidRPr="00B929AC">
        <w:instrText xml:space="preserve"> </w:instrText>
      </w:r>
      <w:r w:rsidR="002466C9">
        <w:rPr>
          <w:lang w:val="en-US"/>
        </w:rPr>
        <w:instrText>improved</w:instrText>
      </w:r>
      <w:r w:rsidR="002466C9" w:rsidRPr="00B929AC">
        <w:instrText xml:space="preserve"> </w:instrText>
      </w:r>
      <w:r w:rsidR="002466C9">
        <w:rPr>
          <w:lang w:val="en-US"/>
        </w:rPr>
        <w:instrText>results</w:instrText>
      </w:r>
      <w:r w:rsidR="002466C9" w:rsidRPr="00B929AC">
        <w:instrText xml:space="preserve">, </w:instrText>
      </w:r>
      <w:r w:rsidR="002466C9">
        <w:rPr>
          <w:lang w:val="en-US"/>
        </w:rPr>
        <w:instrText>with</w:instrText>
      </w:r>
      <w:r w:rsidR="002466C9" w:rsidRPr="00B929AC">
        <w:instrText xml:space="preserve"> </w:instrText>
      </w:r>
      <w:r w:rsidR="002466C9">
        <w:rPr>
          <w:lang w:val="en-US"/>
        </w:rPr>
        <w:instrText>survival</w:instrText>
      </w:r>
      <w:r w:rsidR="002466C9" w:rsidRPr="00B929AC">
        <w:instrText xml:space="preserve"> </w:instrText>
      </w:r>
      <w:r w:rsidR="002466C9">
        <w:rPr>
          <w:lang w:val="en-US"/>
        </w:rPr>
        <w:instrText>rates</w:instrText>
      </w:r>
      <w:r w:rsidR="002466C9" w:rsidRPr="00B929AC">
        <w:instrText xml:space="preserve"> </w:instrText>
      </w:r>
      <w:r w:rsidR="002466C9">
        <w:rPr>
          <w:lang w:val="en-US"/>
        </w:rPr>
        <w:instrText>of</w:instrText>
      </w:r>
      <w:r w:rsidR="002466C9" w:rsidRPr="00B929AC">
        <w:instrText xml:space="preserve"> </w:instrText>
      </w:r>
      <w:r w:rsidR="002466C9">
        <w:rPr>
          <w:lang w:val="en-US"/>
        </w:rPr>
        <w:instrText>about</w:instrText>
      </w:r>
      <w:r w:rsidR="002466C9" w:rsidRPr="00B929AC">
        <w:instrText xml:space="preserve"> 70% </w:instrText>
      </w:r>
      <w:r w:rsidR="002466C9">
        <w:rPr>
          <w:lang w:val="en-US"/>
        </w:rPr>
        <w:instrText>and</w:instrText>
      </w:r>
      <w:r w:rsidR="002466C9" w:rsidRPr="00B929AC">
        <w:instrText xml:space="preserve"> 90% </w:instrText>
      </w:r>
      <w:r w:rsidR="002466C9">
        <w:rPr>
          <w:lang w:val="en-US"/>
        </w:rPr>
        <w:instrText>in</w:instrText>
      </w:r>
      <w:r w:rsidR="002466C9" w:rsidRPr="00B929AC">
        <w:instrText xml:space="preserve"> </w:instrText>
      </w:r>
      <w:r w:rsidR="002466C9">
        <w:rPr>
          <w:lang w:val="en-US"/>
        </w:rPr>
        <w:instrText>adults</w:instrText>
      </w:r>
      <w:r w:rsidR="002466C9" w:rsidRPr="00B929AC">
        <w:instrText xml:space="preserve"> </w:instrText>
      </w:r>
      <w:r w:rsidR="002466C9">
        <w:rPr>
          <w:lang w:val="en-US"/>
        </w:rPr>
        <w:instrText>and</w:instrText>
      </w:r>
      <w:r w:rsidR="002466C9" w:rsidRPr="00B929AC">
        <w:instrText xml:space="preserve"> </w:instrText>
      </w:r>
      <w:r w:rsidR="002466C9">
        <w:rPr>
          <w:lang w:val="en-US"/>
        </w:rPr>
        <w:instrText>children</w:instrText>
      </w:r>
      <w:r w:rsidR="002466C9" w:rsidRPr="00B929AC">
        <w:instrText xml:space="preserve">, </w:instrText>
      </w:r>
      <w:r w:rsidR="002466C9">
        <w:rPr>
          <w:lang w:val="en-US"/>
        </w:rPr>
        <w:instrText>respectively</w:instrText>
      </w:r>
      <w:r w:rsidR="002466C9" w:rsidRPr="00B929AC">
        <w:instrText xml:space="preserve">. </w:instrText>
      </w:r>
      <w:r w:rsidR="002466C9">
        <w:rPr>
          <w:lang w:val="en-US"/>
        </w:rPr>
        <w:instrText>Adequate</w:instrText>
      </w:r>
      <w:r w:rsidR="002466C9" w:rsidRPr="00B929AC">
        <w:instrText xml:space="preserve"> </w:instrText>
      </w:r>
      <w:r w:rsidR="002466C9">
        <w:rPr>
          <w:lang w:val="en-US"/>
        </w:rPr>
        <w:instrText>central</w:instrText>
      </w:r>
      <w:r w:rsidR="002466C9" w:rsidRPr="00B929AC">
        <w:instrText xml:space="preserve"> </w:instrText>
      </w:r>
      <w:r w:rsidR="002466C9">
        <w:rPr>
          <w:lang w:val="en-US"/>
        </w:rPr>
        <w:instrText>nervous</w:instrText>
      </w:r>
      <w:r w:rsidR="002466C9" w:rsidRPr="00B929AC">
        <w:instrText xml:space="preserve"> </w:instrText>
      </w:r>
      <w:r w:rsidR="002466C9">
        <w:rPr>
          <w:lang w:val="en-US"/>
        </w:rPr>
        <w:instrText>system</w:instrText>
      </w:r>
      <w:r w:rsidR="002466C9" w:rsidRPr="00B929AC">
        <w:instrText xml:space="preserve"> </w:instrText>
      </w:r>
      <w:r w:rsidR="002466C9">
        <w:rPr>
          <w:lang w:val="en-US"/>
        </w:rPr>
        <w:instrText>prophylaxis</w:instrText>
      </w:r>
      <w:r w:rsidR="002466C9" w:rsidRPr="00B929AC">
        <w:instrText xml:space="preserve"> </w:instrText>
      </w:r>
      <w:r w:rsidR="002466C9">
        <w:rPr>
          <w:lang w:val="en-US"/>
        </w:rPr>
        <w:instrText>and</w:instrText>
      </w:r>
      <w:r w:rsidR="002466C9" w:rsidRPr="00B929AC">
        <w:instrText xml:space="preserve"> </w:instrText>
      </w:r>
      <w:r w:rsidR="002466C9">
        <w:rPr>
          <w:lang w:val="en-US"/>
        </w:rPr>
        <w:instrText>mediastinal</w:instrText>
      </w:r>
      <w:r w:rsidR="002466C9" w:rsidRPr="00B929AC">
        <w:instrText xml:space="preserve"> </w:instrText>
      </w:r>
      <w:r w:rsidR="002466C9">
        <w:rPr>
          <w:lang w:val="en-US"/>
        </w:rPr>
        <w:instrText>irradiation</w:instrText>
      </w:r>
      <w:r w:rsidR="002466C9" w:rsidRPr="00B929AC">
        <w:instrText xml:space="preserve"> </w:instrText>
      </w:r>
      <w:r w:rsidR="002466C9">
        <w:rPr>
          <w:lang w:val="en-US"/>
        </w:rPr>
        <w:instrText>contributed</w:instrText>
      </w:r>
      <w:r w:rsidR="002466C9" w:rsidRPr="00B929AC">
        <w:instrText xml:space="preserve"> </w:instrText>
      </w:r>
      <w:r w:rsidR="002466C9">
        <w:rPr>
          <w:lang w:val="en-US"/>
        </w:rPr>
        <w:instrText>to</w:instrText>
      </w:r>
      <w:r w:rsidR="002466C9" w:rsidRPr="00B929AC">
        <w:instrText xml:space="preserve"> </w:instrText>
      </w:r>
      <w:r w:rsidR="002466C9">
        <w:rPr>
          <w:lang w:val="en-US"/>
        </w:rPr>
        <w:instrText>the</w:instrText>
      </w:r>
      <w:r w:rsidR="002466C9" w:rsidRPr="00B929AC">
        <w:instrText xml:space="preserve"> </w:instrText>
      </w:r>
      <w:r w:rsidR="002466C9">
        <w:rPr>
          <w:lang w:val="en-US"/>
        </w:rPr>
        <w:instrText>therapeutic</w:instrText>
      </w:r>
      <w:r w:rsidR="002466C9" w:rsidRPr="00B929AC">
        <w:instrText xml:space="preserve"> </w:instrText>
      </w:r>
      <w:r w:rsidR="002466C9">
        <w:rPr>
          <w:lang w:val="en-US"/>
        </w:rPr>
        <w:instrText>success</w:instrText>
      </w:r>
      <w:r w:rsidR="002466C9" w:rsidRPr="00B929AC">
        <w:instrText xml:space="preserve">; </w:instrText>
      </w:r>
      <w:r w:rsidR="002466C9">
        <w:rPr>
          <w:lang w:val="en-US"/>
        </w:rPr>
        <w:instrText>however</w:instrText>
      </w:r>
      <w:r w:rsidR="002466C9" w:rsidRPr="00B929AC">
        <w:instrText xml:space="preserve">, </w:instrText>
      </w:r>
      <w:r w:rsidR="002466C9">
        <w:rPr>
          <w:lang w:val="en-US"/>
        </w:rPr>
        <w:instrText>the</w:instrText>
      </w:r>
      <w:r w:rsidR="002466C9" w:rsidRPr="00B929AC">
        <w:instrText xml:space="preserve"> </w:instrText>
      </w:r>
      <w:r w:rsidR="002466C9">
        <w:rPr>
          <w:lang w:val="en-US"/>
        </w:rPr>
        <w:instrText>role</w:instrText>
      </w:r>
      <w:r w:rsidR="002466C9" w:rsidRPr="00B929AC">
        <w:instrText xml:space="preserve"> </w:instrText>
      </w:r>
      <w:r w:rsidR="002466C9">
        <w:rPr>
          <w:lang w:val="en-US"/>
        </w:rPr>
        <w:instrText>of</w:instrText>
      </w:r>
      <w:r w:rsidR="002466C9" w:rsidRPr="00B929AC">
        <w:instrText xml:space="preserve"> </w:instrText>
      </w:r>
      <w:r w:rsidR="002466C9">
        <w:rPr>
          <w:lang w:val="en-US"/>
        </w:rPr>
        <w:instrText>radiation</w:instrText>
      </w:r>
      <w:r w:rsidR="002466C9" w:rsidRPr="00B929AC">
        <w:instrText xml:space="preserve"> </w:instrText>
      </w:r>
      <w:r w:rsidR="002466C9">
        <w:rPr>
          <w:lang w:val="en-US"/>
        </w:rPr>
        <w:instrText>therapy</w:instrText>
      </w:r>
      <w:r w:rsidR="002466C9" w:rsidRPr="00B929AC">
        <w:instrText xml:space="preserve"> </w:instrText>
      </w:r>
      <w:r w:rsidR="002466C9">
        <w:rPr>
          <w:lang w:val="en-US"/>
        </w:rPr>
        <w:instrText>is</w:instrText>
      </w:r>
      <w:r w:rsidR="002466C9" w:rsidRPr="00B929AC">
        <w:instrText xml:space="preserve"> </w:instrText>
      </w:r>
      <w:r w:rsidR="002466C9">
        <w:rPr>
          <w:lang w:val="en-US"/>
        </w:rPr>
        <w:instrText>debated</w:instrText>
      </w:r>
      <w:r w:rsidR="002466C9" w:rsidRPr="00B929AC">
        <w:instrText xml:space="preserve"> </w:instrText>
      </w:r>
      <w:r w:rsidR="002466C9">
        <w:rPr>
          <w:lang w:val="en-US"/>
        </w:rPr>
        <w:instrText>due</w:instrText>
      </w:r>
      <w:r w:rsidR="002466C9" w:rsidRPr="00B929AC">
        <w:instrText xml:space="preserve"> </w:instrText>
      </w:r>
      <w:r w:rsidR="002466C9">
        <w:rPr>
          <w:lang w:val="en-US"/>
        </w:rPr>
        <w:instrText>to</w:instrText>
      </w:r>
      <w:r w:rsidR="002466C9" w:rsidRPr="00B929AC">
        <w:instrText xml:space="preserve"> </w:instrText>
      </w:r>
      <w:r w:rsidR="002466C9">
        <w:rPr>
          <w:lang w:val="en-US"/>
        </w:rPr>
        <w:instrText>toxicity</w:instrText>
      </w:r>
      <w:r w:rsidR="002466C9" w:rsidRPr="00B929AC">
        <w:instrText xml:space="preserve"> </w:instrText>
      </w:r>
      <w:r w:rsidR="002466C9">
        <w:rPr>
          <w:lang w:val="en-US"/>
        </w:rPr>
        <w:instrText>concerns</w:instrText>
      </w:r>
      <w:r w:rsidR="002466C9" w:rsidRPr="00B929AC">
        <w:instrText xml:space="preserve"> </w:instrText>
      </w:r>
      <w:r w:rsidR="002466C9">
        <w:rPr>
          <w:lang w:val="en-US"/>
        </w:rPr>
        <w:instrText>and</w:instrText>
      </w:r>
      <w:r w:rsidR="002466C9" w:rsidRPr="00B929AC">
        <w:instrText xml:space="preserve"> </w:instrText>
      </w:r>
      <w:r w:rsidR="002466C9">
        <w:rPr>
          <w:lang w:val="en-US"/>
        </w:rPr>
        <w:instrText>the</w:instrText>
      </w:r>
      <w:r w:rsidR="002466C9" w:rsidRPr="00B929AC">
        <w:instrText xml:space="preserve"> </w:instrText>
      </w:r>
      <w:r w:rsidR="002466C9">
        <w:rPr>
          <w:lang w:val="en-US"/>
        </w:rPr>
        <w:instrText>excellent</w:instrText>
      </w:r>
      <w:r w:rsidR="002466C9" w:rsidRPr="00B929AC">
        <w:instrText xml:space="preserve"> </w:instrText>
      </w:r>
      <w:r w:rsidR="002466C9">
        <w:rPr>
          <w:lang w:val="en-US"/>
        </w:rPr>
        <w:instrText>results</w:instrText>
      </w:r>
      <w:r w:rsidR="002466C9" w:rsidRPr="00B929AC">
        <w:instrText xml:space="preserve"> </w:instrText>
      </w:r>
      <w:r w:rsidR="002466C9">
        <w:rPr>
          <w:lang w:val="en-US"/>
        </w:rPr>
        <w:instrText>obtained</w:instrText>
      </w:r>
      <w:r w:rsidR="002466C9" w:rsidRPr="00B929AC">
        <w:instrText xml:space="preserve"> </w:instrText>
      </w:r>
      <w:r w:rsidR="002466C9">
        <w:rPr>
          <w:lang w:val="en-US"/>
        </w:rPr>
        <w:instrText>with</w:instrText>
      </w:r>
      <w:r w:rsidR="002466C9" w:rsidRPr="00B929AC">
        <w:instrText xml:space="preserve"> </w:instrText>
      </w:r>
      <w:r w:rsidR="002466C9">
        <w:rPr>
          <w:lang w:val="en-US"/>
        </w:rPr>
        <w:instrText>radiation</w:instrText>
      </w:r>
      <w:r w:rsidR="002466C9" w:rsidRPr="00B929AC">
        <w:instrText>-</w:instrText>
      </w:r>
      <w:r w:rsidR="002466C9">
        <w:rPr>
          <w:lang w:val="en-US"/>
        </w:rPr>
        <w:instrText>free</w:instrText>
      </w:r>
      <w:r w:rsidR="002466C9" w:rsidRPr="00B929AC">
        <w:instrText xml:space="preserve"> </w:instrText>
      </w:r>
      <w:r w:rsidR="002466C9">
        <w:rPr>
          <w:lang w:val="en-US"/>
        </w:rPr>
        <w:instrText>programs</w:instrText>
      </w:r>
      <w:r w:rsidR="002466C9" w:rsidRPr="00B929AC">
        <w:instrText xml:space="preserve"> </w:instrText>
      </w:r>
      <w:r w:rsidR="002466C9">
        <w:rPr>
          <w:lang w:val="en-US"/>
        </w:rPr>
        <w:instrText>especially</w:instrText>
      </w:r>
      <w:r w:rsidR="002466C9" w:rsidRPr="00B929AC">
        <w:instrText xml:space="preserve"> </w:instrText>
      </w:r>
      <w:r w:rsidR="002466C9">
        <w:rPr>
          <w:lang w:val="en-US"/>
        </w:rPr>
        <w:instrText>in</w:instrText>
      </w:r>
      <w:r w:rsidR="002466C9" w:rsidRPr="00B929AC">
        <w:instrText xml:space="preserve"> </w:instrText>
      </w:r>
      <w:r w:rsidR="002466C9">
        <w:rPr>
          <w:lang w:val="en-US"/>
        </w:rPr>
        <w:instrText>pediatric</w:instrText>
      </w:r>
      <w:r w:rsidR="002466C9" w:rsidRPr="00B929AC">
        <w:instrText xml:space="preserve"> </w:instrText>
      </w:r>
      <w:r w:rsidR="002466C9">
        <w:rPr>
          <w:lang w:val="en-US"/>
        </w:rPr>
        <w:instrText>patients</w:instrText>
      </w:r>
      <w:r w:rsidR="002466C9" w:rsidRPr="00B929AC">
        <w:instrText xml:space="preserve">. </w:instrText>
      </w:r>
      <w:r w:rsidR="002466C9">
        <w:rPr>
          <w:lang w:val="en-US"/>
        </w:rPr>
        <w:instrText>With</w:instrText>
      </w:r>
      <w:r w:rsidR="002466C9" w:rsidRPr="00B929AC">
        <w:instrText xml:space="preserve"> </w:instrText>
      </w:r>
      <w:r w:rsidR="002466C9">
        <w:rPr>
          <w:lang w:val="en-US"/>
        </w:rPr>
        <w:instrText>these</w:instrText>
      </w:r>
      <w:r w:rsidR="002466C9" w:rsidRPr="00B929AC">
        <w:instrText xml:space="preserve"> </w:instrText>
      </w:r>
      <w:r w:rsidR="002466C9">
        <w:rPr>
          <w:lang w:val="en-US"/>
        </w:rPr>
        <w:instrText>modern</w:instrText>
      </w:r>
      <w:r w:rsidR="002466C9" w:rsidRPr="00B929AC">
        <w:instrText xml:space="preserve"> </w:instrText>
      </w:r>
      <w:r w:rsidR="002466C9">
        <w:rPr>
          <w:lang w:val="en-US"/>
        </w:rPr>
        <w:instrText>schedules</w:instrText>
      </w:r>
      <w:r w:rsidR="002466C9" w:rsidRPr="00B929AC">
        <w:instrText xml:space="preserve">, </w:instrText>
      </w:r>
      <w:r w:rsidR="002466C9">
        <w:rPr>
          <w:lang w:val="en-US"/>
        </w:rPr>
        <w:instrText>localized</w:instrText>
      </w:r>
      <w:r w:rsidR="002466C9" w:rsidRPr="00B929AC">
        <w:instrText xml:space="preserve"> </w:instrText>
      </w:r>
      <w:r w:rsidR="002466C9">
        <w:rPr>
          <w:lang w:val="en-US"/>
        </w:rPr>
        <w:instrText>radiotherapy</w:instrText>
      </w:r>
      <w:r w:rsidR="002466C9" w:rsidRPr="00B929AC">
        <w:instrText xml:space="preserve"> </w:instrText>
      </w:r>
      <w:r w:rsidR="002466C9">
        <w:rPr>
          <w:lang w:val="en-US"/>
        </w:rPr>
        <w:instrText>and</w:instrText>
      </w:r>
      <w:r w:rsidR="002466C9" w:rsidRPr="00B929AC">
        <w:instrText>/</w:instrText>
      </w:r>
      <w:r w:rsidR="002466C9">
        <w:rPr>
          <w:lang w:val="en-US"/>
        </w:rPr>
        <w:instrText>or</w:instrText>
      </w:r>
      <w:r w:rsidR="002466C9" w:rsidRPr="00B929AC">
        <w:instrText xml:space="preserve"> </w:instrText>
      </w:r>
      <w:r w:rsidR="002466C9">
        <w:rPr>
          <w:lang w:val="en-US"/>
        </w:rPr>
        <w:instrText>hematopoietic</w:instrText>
      </w:r>
      <w:r w:rsidR="002466C9" w:rsidRPr="00B929AC">
        <w:instrText xml:space="preserve"> </w:instrText>
      </w:r>
      <w:r w:rsidR="002466C9">
        <w:rPr>
          <w:lang w:val="en-US"/>
        </w:rPr>
        <w:instrText>stem</w:instrText>
      </w:r>
      <w:r w:rsidR="002466C9" w:rsidRPr="00B929AC">
        <w:instrText xml:space="preserve"> </w:instrText>
      </w:r>
      <w:r w:rsidR="002466C9">
        <w:rPr>
          <w:lang w:val="en-US"/>
        </w:rPr>
        <w:instrText>cell</w:instrText>
      </w:r>
      <w:r w:rsidR="002466C9" w:rsidRPr="00B929AC">
        <w:instrText xml:space="preserve"> </w:instrText>
      </w:r>
      <w:r w:rsidR="002466C9">
        <w:rPr>
          <w:lang w:val="en-US"/>
        </w:rPr>
        <w:instrText>transplants</w:instrText>
      </w:r>
      <w:r w:rsidR="002466C9" w:rsidRPr="00B929AC">
        <w:instrText xml:space="preserve"> </w:instrText>
      </w:r>
      <w:r w:rsidR="002466C9">
        <w:rPr>
          <w:lang w:val="en-US"/>
        </w:rPr>
        <w:instrText>could</w:instrText>
      </w:r>
      <w:r w:rsidR="002466C9" w:rsidRPr="00B929AC">
        <w:instrText xml:space="preserve"> </w:instrText>
      </w:r>
      <w:r w:rsidR="002466C9">
        <w:rPr>
          <w:lang w:val="en-US"/>
        </w:rPr>
        <w:instrText>be</w:instrText>
      </w:r>
      <w:r w:rsidR="002466C9" w:rsidRPr="00B929AC">
        <w:instrText xml:space="preserve"> </w:instrText>
      </w:r>
      <w:r w:rsidR="002466C9">
        <w:rPr>
          <w:lang w:val="en-US"/>
        </w:rPr>
        <w:instrText>generally</w:instrText>
      </w:r>
      <w:r w:rsidR="002466C9" w:rsidRPr="00B929AC">
        <w:instrText xml:space="preserve"> </w:instrText>
      </w:r>
      <w:r w:rsidR="002466C9">
        <w:rPr>
          <w:lang w:val="en-US"/>
        </w:rPr>
        <w:instrText>omitted</w:instrText>
      </w:r>
      <w:r w:rsidR="002466C9" w:rsidRPr="00B929AC">
        <w:instrText xml:space="preserve">, </w:instrText>
      </w:r>
      <w:r w:rsidR="002466C9">
        <w:rPr>
          <w:lang w:val="en-US"/>
        </w:rPr>
        <w:instrText>and</w:instrText>
      </w:r>
      <w:r w:rsidR="002466C9" w:rsidRPr="00B929AC">
        <w:instrText xml:space="preserve"> </w:instrText>
      </w:r>
      <w:r w:rsidR="002466C9">
        <w:rPr>
          <w:lang w:val="en-US"/>
        </w:rPr>
        <w:instrText>considered</w:instrText>
      </w:r>
      <w:r w:rsidR="002466C9" w:rsidRPr="00B929AC">
        <w:instrText xml:space="preserve"> </w:instrText>
      </w:r>
      <w:r w:rsidR="002466C9">
        <w:rPr>
          <w:lang w:val="en-US"/>
        </w:rPr>
        <w:instrText>only</w:instrText>
      </w:r>
      <w:r w:rsidR="002466C9" w:rsidRPr="00B929AC">
        <w:instrText xml:space="preserve"> </w:instrText>
      </w:r>
      <w:r w:rsidR="002466C9">
        <w:rPr>
          <w:lang w:val="en-US"/>
        </w:rPr>
        <w:instrText>for</w:instrText>
      </w:r>
      <w:r w:rsidR="002466C9" w:rsidRPr="00B929AC">
        <w:instrText xml:space="preserve"> </w:instrText>
      </w:r>
      <w:r w:rsidR="002466C9">
        <w:rPr>
          <w:lang w:val="en-US"/>
        </w:rPr>
        <w:instrText>high</w:instrText>
      </w:r>
      <w:r w:rsidR="002466C9" w:rsidRPr="00B929AC">
        <w:instrText>-</w:instrText>
      </w:r>
      <w:r w:rsidR="002466C9">
        <w:rPr>
          <w:lang w:val="en-US"/>
        </w:rPr>
        <w:instrText>risk</w:instrText>
      </w:r>
      <w:r w:rsidR="002466C9" w:rsidRPr="00B929AC">
        <w:instrText xml:space="preserve"> </w:instrText>
      </w:r>
      <w:r w:rsidR="002466C9">
        <w:rPr>
          <w:lang w:val="en-US"/>
        </w:rPr>
        <w:instrText>patients</w:instrText>
      </w:r>
      <w:r w:rsidR="002466C9" w:rsidRPr="00B929AC">
        <w:instrText xml:space="preserve"> </w:instrText>
      </w:r>
      <w:r w:rsidR="002466C9">
        <w:rPr>
          <w:lang w:val="en-US"/>
        </w:rPr>
        <w:instrText>identified</w:instrText>
      </w:r>
      <w:r w:rsidR="002466C9" w:rsidRPr="00B929AC">
        <w:instrText xml:space="preserve"> </w:instrText>
      </w:r>
      <w:r w:rsidR="002466C9">
        <w:rPr>
          <w:lang w:val="en-US"/>
        </w:rPr>
        <w:instrText>through</w:instrText>
      </w:r>
      <w:r w:rsidR="002466C9" w:rsidRPr="00B929AC">
        <w:instrText xml:space="preserve"> </w:instrText>
      </w:r>
      <w:r w:rsidR="002466C9">
        <w:rPr>
          <w:lang w:val="en-US"/>
        </w:rPr>
        <w:instrText>postinduction</w:instrText>
      </w:r>
      <w:r w:rsidR="002466C9" w:rsidRPr="00B929AC">
        <w:instrText xml:space="preserve"> </w:instrText>
      </w:r>
      <w:r w:rsidR="002466C9">
        <w:rPr>
          <w:lang w:val="en-US"/>
        </w:rPr>
        <w:instrText>computed</w:instrText>
      </w:r>
      <w:r w:rsidR="002466C9" w:rsidRPr="00B929AC">
        <w:instrText xml:space="preserve"> </w:instrText>
      </w:r>
      <w:r w:rsidR="002466C9">
        <w:rPr>
          <w:lang w:val="en-US"/>
        </w:rPr>
        <w:instrText>tomography</w:instrText>
      </w:r>
      <w:r w:rsidR="002466C9" w:rsidRPr="00B929AC">
        <w:instrText>/</w:instrText>
      </w:r>
      <w:r w:rsidR="002466C9">
        <w:rPr>
          <w:lang w:val="en-US"/>
        </w:rPr>
        <w:instrText>positron</w:instrText>
      </w:r>
      <w:r w:rsidR="002466C9" w:rsidRPr="00B929AC">
        <w:instrText>-</w:instrText>
      </w:r>
      <w:r w:rsidR="002466C9">
        <w:rPr>
          <w:lang w:val="en-US"/>
        </w:rPr>
        <w:instrText>emission</w:instrText>
      </w:r>
      <w:r w:rsidR="002466C9" w:rsidRPr="00B929AC">
        <w:instrText xml:space="preserve"> </w:instrText>
      </w:r>
      <w:r w:rsidR="002466C9">
        <w:rPr>
          <w:lang w:val="en-US"/>
        </w:rPr>
        <w:instrText>tomography</w:instrText>
      </w:r>
      <w:r w:rsidR="002466C9" w:rsidRPr="00B929AC">
        <w:instrText xml:space="preserve"> </w:instrText>
      </w:r>
      <w:r w:rsidR="002466C9">
        <w:rPr>
          <w:lang w:val="en-US"/>
        </w:rPr>
        <w:instrText>scans</w:instrText>
      </w:r>
      <w:r w:rsidR="002466C9" w:rsidRPr="00B929AC">
        <w:instrText xml:space="preserve">, </w:instrText>
      </w:r>
      <w:r w:rsidR="002466C9">
        <w:rPr>
          <w:lang w:val="en-US"/>
        </w:rPr>
        <w:instrText>minimal</w:instrText>
      </w:r>
      <w:r w:rsidR="002466C9" w:rsidRPr="00B929AC">
        <w:instrText xml:space="preserve"> </w:instrText>
      </w:r>
      <w:r w:rsidR="002466C9">
        <w:rPr>
          <w:lang w:val="en-US"/>
        </w:rPr>
        <w:instrText>residual</w:instrText>
      </w:r>
      <w:r w:rsidR="002466C9" w:rsidRPr="00B929AC">
        <w:instrText xml:space="preserve"> </w:instrText>
      </w:r>
      <w:r w:rsidR="002466C9">
        <w:rPr>
          <w:lang w:val="en-US"/>
        </w:rPr>
        <w:instrText>disease</w:instrText>
      </w:r>
      <w:r w:rsidR="002466C9" w:rsidRPr="00B929AC">
        <w:instrText xml:space="preserve"> </w:instrText>
      </w:r>
      <w:r w:rsidR="002466C9">
        <w:rPr>
          <w:lang w:val="en-US"/>
        </w:rPr>
        <w:instrText>analysis</w:instrText>
      </w:r>
      <w:r w:rsidR="002466C9" w:rsidRPr="00B929AC">
        <w:instrText xml:space="preserve">, </w:instrText>
      </w:r>
      <w:r w:rsidR="002466C9">
        <w:rPr>
          <w:lang w:val="en-US"/>
        </w:rPr>
        <w:instrText>and</w:instrText>
      </w:r>
      <w:r w:rsidR="002466C9" w:rsidRPr="00B929AC">
        <w:instrText xml:space="preserve"> </w:instrText>
      </w:r>
      <w:r w:rsidR="002466C9">
        <w:rPr>
          <w:lang w:val="en-US"/>
        </w:rPr>
        <w:instrText>new</w:instrText>
      </w:r>
      <w:r w:rsidR="002466C9" w:rsidRPr="00B929AC">
        <w:instrText xml:space="preserve"> </w:instrText>
      </w:r>
      <w:r w:rsidR="002466C9">
        <w:rPr>
          <w:lang w:val="en-US"/>
        </w:rPr>
        <w:instrText>genetics</w:instrText>
      </w:r>
      <w:r w:rsidR="002466C9" w:rsidRPr="00B929AC">
        <w:instrText xml:space="preserve"> </w:instrText>
      </w:r>
      <w:r w:rsidR="002466C9">
        <w:rPr>
          <w:lang w:val="en-US"/>
        </w:rPr>
        <w:instrText>and</w:instrText>
      </w:r>
      <w:r w:rsidR="002466C9" w:rsidRPr="00B929AC">
        <w:instrText xml:space="preserve"> </w:instrText>
      </w:r>
      <w:r w:rsidR="002466C9">
        <w:rPr>
          <w:lang w:val="en-US"/>
        </w:rPr>
        <w:instrText>genomics</w:instrText>
      </w:r>
      <w:r w:rsidR="002466C9" w:rsidRPr="00B929AC">
        <w:instrText xml:space="preserve">. </w:instrText>
      </w:r>
      <w:r w:rsidR="002466C9">
        <w:rPr>
          <w:lang w:val="en-US"/>
        </w:rPr>
        <w:instrText>New</w:instrText>
      </w:r>
      <w:r w:rsidR="002466C9" w:rsidRPr="00B929AC">
        <w:instrText xml:space="preserve"> </w:instrText>
      </w:r>
      <w:r w:rsidR="002466C9">
        <w:rPr>
          <w:lang w:val="en-US"/>
        </w:rPr>
        <w:instrText>clinical</w:instrText>
      </w:r>
      <w:r w:rsidR="002466C9" w:rsidRPr="00B929AC">
        <w:instrText xml:space="preserve"> </w:instrText>
      </w:r>
      <w:r w:rsidR="002466C9">
        <w:rPr>
          <w:lang w:val="en-US"/>
        </w:rPr>
        <w:instrText>studies</w:instrText>
      </w:r>
      <w:r w:rsidR="002466C9" w:rsidRPr="00B929AC">
        <w:instrText xml:space="preserve"> </w:instrText>
      </w:r>
      <w:r w:rsidR="002466C9">
        <w:rPr>
          <w:lang w:val="en-US"/>
        </w:rPr>
        <w:instrText>will</w:instrText>
      </w:r>
      <w:r w:rsidR="002466C9" w:rsidRPr="00B929AC">
        <w:instrText xml:space="preserve"> </w:instrText>
      </w:r>
      <w:r w:rsidR="002466C9">
        <w:rPr>
          <w:lang w:val="en-US"/>
        </w:rPr>
        <w:instrText>have</w:instrText>
      </w:r>
      <w:r w:rsidR="002466C9" w:rsidRPr="00B929AC">
        <w:instrText xml:space="preserve"> </w:instrText>
      </w:r>
      <w:r w:rsidR="002466C9">
        <w:rPr>
          <w:lang w:val="en-US"/>
        </w:rPr>
        <w:instrText>to</w:instrText>
      </w:r>
      <w:r w:rsidR="002466C9" w:rsidRPr="00B929AC">
        <w:instrText xml:space="preserve"> </w:instrText>
      </w:r>
      <w:r w:rsidR="002466C9">
        <w:rPr>
          <w:lang w:val="en-US"/>
        </w:rPr>
        <w:instrText>confirm</w:instrText>
      </w:r>
      <w:r w:rsidR="002466C9" w:rsidRPr="00B929AC">
        <w:instrText xml:space="preserve"> </w:instrText>
      </w:r>
      <w:r w:rsidR="002466C9">
        <w:rPr>
          <w:lang w:val="en-US"/>
        </w:rPr>
        <w:instrText>the</w:instrText>
      </w:r>
      <w:r w:rsidR="002466C9" w:rsidRPr="00B929AC">
        <w:instrText xml:space="preserve"> </w:instrText>
      </w:r>
      <w:r w:rsidR="002466C9">
        <w:rPr>
          <w:lang w:val="en-US"/>
        </w:rPr>
        <w:instrText>value</w:instrText>
      </w:r>
      <w:r w:rsidR="002466C9" w:rsidRPr="00B929AC">
        <w:instrText xml:space="preserve"> </w:instrText>
      </w:r>
      <w:r w:rsidR="002466C9">
        <w:rPr>
          <w:lang w:val="en-US"/>
        </w:rPr>
        <w:instrText>of</w:instrText>
      </w:r>
      <w:r w:rsidR="002466C9" w:rsidRPr="00B929AC">
        <w:instrText xml:space="preserve"> </w:instrText>
      </w:r>
      <w:r w:rsidR="002466C9">
        <w:rPr>
          <w:lang w:val="en-US"/>
        </w:rPr>
        <w:instrText>these</w:instrText>
      </w:r>
      <w:r w:rsidR="002466C9" w:rsidRPr="00B929AC">
        <w:instrText xml:space="preserve"> </w:instrText>
      </w:r>
      <w:r w:rsidR="002466C9">
        <w:rPr>
          <w:lang w:val="en-US"/>
        </w:rPr>
        <w:instrText>assays</w:instrText>
      </w:r>
      <w:r w:rsidR="002466C9" w:rsidRPr="00B929AC">
        <w:instrText xml:space="preserve"> </w:instrText>
      </w:r>
      <w:r w:rsidR="002466C9">
        <w:rPr>
          <w:lang w:val="en-US"/>
        </w:rPr>
        <w:instrText>for</w:instrText>
      </w:r>
      <w:r w:rsidR="002466C9" w:rsidRPr="00B929AC">
        <w:instrText xml:space="preserve"> </w:instrText>
      </w:r>
      <w:r w:rsidR="002466C9">
        <w:rPr>
          <w:lang w:val="en-US"/>
        </w:rPr>
        <w:instrText>risk</w:instrText>
      </w:r>
      <w:r w:rsidR="002466C9" w:rsidRPr="00B929AC">
        <w:instrText>-</w:instrText>
      </w:r>
      <w:r w:rsidR="002466C9">
        <w:rPr>
          <w:lang w:val="en-US"/>
        </w:rPr>
        <w:instrText>oriented</w:instrText>
      </w:r>
      <w:r w:rsidR="002466C9" w:rsidRPr="00B929AC">
        <w:instrText xml:space="preserve"> </w:instrText>
      </w:r>
      <w:r w:rsidR="002466C9">
        <w:rPr>
          <w:lang w:val="en-US"/>
        </w:rPr>
        <w:instrText>therapy</w:instrText>
      </w:r>
      <w:r w:rsidR="002466C9" w:rsidRPr="00B929AC">
        <w:instrText xml:space="preserve">, </w:instrText>
      </w:r>
      <w:r w:rsidR="002466C9">
        <w:rPr>
          <w:lang w:val="en-US"/>
        </w:rPr>
        <w:instrText>while</w:instrText>
      </w:r>
      <w:r w:rsidR="002466C9" w:rsidRPr="00B929AC">
        <w:instrText xml:space="preserve"> </w:instrText>
      </w:r>
      <w:r w:rsidR="002466C9">
        <w:rPr>
          <w:lang w:val="en-US"/>
        </w:rPr>
        <w:instrText>further</w:instrText>
      </w:r>
      <w:r w:rsidR="002466C9" w:rsidRPr="00B929AC">
        <w:instrText xml:space="preserve"> </w:instrText>
      </w:r>
      <w:r w:rsidR="002466C9">
        <w:rPr>
          <w:lang w:val="en-US"/>
        </w:rPr>
        <w:instrText>therapeutic</w:instrText>
      </w:r>
      <w:r w:rsidR="002466C9" w:rsidRPr="00B929AC">
        <w:instrText xml:space="preserve"> </w:instrText>
      </w:r>
      <w:r w:rsidR="002466C9">
        <w:rPr>
          <w:lang w:val="en-US"/>
        </w:rPr>
        <w:instrText>progress</w:instrText>
      </w:r>
      <w:r w:rsidR="002466C9" w:rsidRPr="00B929AC">
        <w:instrText xml:space="preserve"> </w:instrText>
      </w:r>
      <w:r w:rsidR="002466C9">
        <w:rPr>
          <w:lang w:val="en-US"/>
        </w:rPr>
        <w:instrText>is</w:instrText>
      </w:r>
      <w:r w:rsidR="002466C9" w:rsidRPr="00B929AC">
        <w:instrText xml:space="preserve"> </w:instrText>
      </w:r>
      <w:r w:rsidR="002466C9">
        <w:rPr>
          <w:lang w:val="en-US"/>
        </w:rPr>
        <w:instrText>expected</w:instrText>
      </w:r>
      <w:r w:rsidR="002466C9" w:rsidRPr="00B929AC">
        <w:instrText xml:space="preserve"> </w:instrText>
      </w:r>
      <w:r w:rsidR="002466C9">
        <w:rPr>
          <w:lang w:val="en-US"/>
        </w:rPr>
        <w:instrText>from</w:instrText>
      </w:r>
      <w:r w:rsidR="002466C9" w:rsidRPr="00B929AC">
        <w:instrText xml:space="preserve"> </w:instrText>
      </w:r>
      <w:r w:rsidR="002466C9">
        <w:rPr>
          <w:lang w:val="en-US"/>
        </w:rPr>
        <w:instrText>the</w:instrText>
      </w:r>
      <w:r w:rsidR="002466C9" w:rsidRPr="00B929AC">
        <w:instrText xml:space="preserve"> </w:instrText>
      </w:r>
      <w:r w:rsidR="002466C9">
        <w:rPr>
          <w:lang w:val="en-US"/>
        </w:rPr>
        <w:instrText>introduction</w:instrText>
      </w:r>
      <w:r w:rsidR="002466C9" w:rsidRPr="00B929AC">
        <w:instrText xml:space="preserve"> </w:instrText>
      </w:r>
      <w:r w:rsidR="002466C9">
        <w:rPr>
          <w:lang w:val="en-US"/>
        </w:rPr>
        <w:instrText>of</w:instrText>
      </w:r>
      <w:r w:rsidR="002466C9" w:rsidRPr="00B929AC">
        <w:instrText xml:space="preserve"> </w:instrText>
      </w:r>
      <w:r w:rsidR="002466C9">
        <w:rPr>
          <w:lang w:val="en-US"/>
        </w:rPr>
        <w:instrText>new</w:instrText>
      </w:r>
      <w:r w:rsidR="002466C9" w:rsidRPr="00B929AC">
        <w:instrText xml:space="preserve"> </w:instrText>
      </w:r>
      <w:r w:rsidR="002466C9">
        <w:rPr>
          <w:lang w:val="en-US"/>
        </w:rPr>
        <w:instrText>drugs</w:instrText>
      </w:r>
      <w:r w:rsidR="002466C9" w:rsidRPr="00B929AC">
        <w:instrText xml:space="preserve"> </w:instrText>
      </w:r>
      <w:r w:rsidR="002466C9">
        <w:rPr>
          <w:lang w:val="en-US"/>
        </w:rPr>
        <w:instrText>and</w:instrText>
      </w:r>
      <w:r w:rsidR="002466C9" w:rsidRPr="00B929AC">
        <w:instrText xml:space="preserve"> </w:instrText>
      </w:r>
      <w:r w:rsidR="002466C9">
        <w:rPr>
          <w:lang w:val="en-US"/>
        </w:rPr>
        <w:instrText>targeting</w:instrText>
      </w:r>
      <w:r w:rsidR="002466C9" w:rsidRPr="00B929AC">
        <w:instrText xml:space="preserve"> </w:instrText>
      </w:r>
      <w:r w:rsidR="002466C9">
        <w:rPr>
          <w:lang w:val="en-US"/>
        </w:rPr>
        <w:instrText>agents</w:instrText>
      </w:r>
      <w:r w:rsidR="002466C9" w:rsidRPr="00B929AC">
        <w:instrText>.","</w:instrText>
      </w:r>
      <w:r w:rsidR="002466C9">
        <w:rPr>
          <w:lang w:val="en-US"/>
        </w:rPr>
        <w:instrText>author</w:instrText>
      </w:r>
      <w:r w:rsidR="002466C9" w:rsidRPr="00B929AC">
        <w:instrText>":[{"</w:instrText>
      </w:r>
      <w:r w:rsidR="002466C9">
        <w:rPr>
          <w:lang w:val="en-US"/>
        </w:rPr>
        <w:instrText>dropping</w:instrText>
      </w:r>
      <w:r w:rsidR="002466C9" w:rsidRPr="00B929AC">
        <w:instrText>-</w:instrText>
      </w:r>
      <w:r w:rsidR="002466C9">
        <w:rPr>
          <w:lang w:val="en-US"/>
        </w:rPr>
        <w:instrText>particle</w:instrText>
      </w:r>
      <w:r w:rsidR="002466C9" w:rsidRPr="00B929AC">
        <w:instrText>":"","</w:instrText>
      </w:r>
      <w:r w:rsidR="002466C9">
        <w:rPr>
          <w:lang w:val="en-US"/>
        </w:rPr>
        <w:instrText>family</w:instrText>
      </w:r>
      <w:r w:rsidR="002466C9" w:rsidRPr="00B929AC">
        <w:instrText>":"</w:instrText>
      </w:r>
      <w:r w:rsidR="002466C9">
        <w:rPr>
          <w:lang w:val="en-US"/>
        </w:rPr>
        <w:instrText>Bassan</w:instrText>
      </w:r>
      <w:r w:rsidR="002466C9" w:rsidRPr="00B929AC">
        <w:instrText>","</w:instrText>
      </w:r>
      <w:r w:rsidR="002466C9">
        <w:rPr>
          <w:lang w:val="en-US"/>
        </w:rPr>
        <w:instrText>given</w:instrText>
      </w:r>
      <w:r w:rsidR="002466C9" w:rsidRPr="00B929AC">
        <w:instrText>":"</w:instrText>
      </w:r>
      <w:r w:rsidR="002466C9">
        <w:rPr>
          <w:lang w:val="en-US"/>
        </w:rPr>
        <w:instrText>Renato</w:instrText>
      </w:r>
      <w:r w:rsidR="002466C9" w:rsidRPr="00B929AC">
        <w:instrText>","</w:instrText>
      </w:r>
      <w:r w:rsidR="002466C9">
        <w:rPr>
          <w:lang w:val="en-US"/>
        </w:rPr>
        <w:instrText>non</w:instrText>
      </w:r>
      <w:r w:rsidR="002466C9" w:rsidRPr="00B929AC">
        <w:instrText>-</w:instrText>
      </w:r>
      <w:r w:rsidR="002466C9">
        <w:rPr>
          <w:lang w:val="en-US"/>
        </w:rPr>
        <w:instrText>dropping</w:instrText>
      </w:r>
      <w:r w:rsidR="002466C9" w:rsidRPr="00B929AC">
        <w:instrText>-</w:instrText>
      </w:r>
      <w:r w:rsidR="002466C9">
        <w:rPr>
          <w:lang w:val="en-US"/>
        </w:rPr>
        <w:instrText>particle</w:instrText>
      </w:r>
      <w:r w:rsidR="002466C9" w:rsidRPr="00B929AC">
        <w:instrText>":"","</w:instrText>
      </w:r>
      <w:r w:rsidR="002466C9">
        <w:rPr>
          <w:lang w:val="en-US"/>
        </w:rPr>
        <w:instrText>parse</w:instrText>
      </w:r>
      <w:r w:rsidR="002466C9" w:rsidRPr="00B929AC">
        <w:instrText>-</w:instrText>
      </w:r>
      <w:r w:rsidR="002466C9">
        <w:rPr>
          <w:lang w:val="en-US"/>
        </w:rPr>
        <w:instrText>names</w:instrText>
      </w:r>
      <w:r w:rsidR="002466C9" w:rsidRPr="00B929AC">
        <w:instrText>":</w:instrText>
      </w:r>
      <w:r w:rsidR="002466C9">
        <w:rPr>
          <w:lang w:val="en-US"/>
        </w:rPr>
        <w:instrText>false</w:instrText>
      </w:r>
      <w:r w:rsidR="002466C9" w:rsidRPr="00B929AC">
        <w:instrText>,"</w:instrText>
      </w:r>
      <w:r w:rsidR="002466C9">
        <w:rPr>
          <w:lang w:val="en-US"/>
        </w:rPr>
        <w:instrText>suffix</w:instrText>
      </w:r>
      <w:r w:rsidR="002466C9" w:rsidRPr="00B929AC">
        <w:instrText>":""},{"</w:instrText>
      </w:r>
      <w:r w:rsidR="002466C9">
        <w:rPr>
          <w:lang w:val="en-US"/>
        </w:rPr>
        <w:instrText>dropping</w:instrText>
      </w:r>
      <w:r w:rsidR="002466C9" w:rsidRPr="00B929AC">
        <w:instrText>-</w:instrText>
      </w:r>
      <w:r w:rsidR="002466C9">
        <w:rPr>
          <w:lang w:val="en-US"/>
        </w:rPr>
        <w:instrText>particle</w:instrText>
      </w:r>
      <w:r w:rsidR="002466C9" w:rsidRPr="00B929AC">
        <w:instrText>":"","</w:instrText>
      </w:r>
      <w:r w:rsidR="002466C9">
        <w:rPr>
          <w:lang w:val="en-US"/>
        </w:rPr>
        <w:instrText>family</w:instrText>
      </w:r>
      <w:r w:rsidR="002466C9" w:rsidRPr="00B929AC">
        <w:instrText>":"</w:instrText>
      </w:r>
      <w:r w:rsidR="002466C9">
        <w:rPr>
          <w:lang w:val="en-US"/>
        </w:rPr>
        <w:instrText>Maino</w:instrText>
      </w:r>
      <w:r w:rsidR="002466C9" w:rsidRPr="00B929AC">
        <w:instrText>","</w:instrText>
      </w:r>
      <w:r w:rsidR="002466C9">
        <w:rPr>
          <w:lang w:val="en-US"/>
        </w:rPr>
        <w:instrText>given</w:instrText>
      </w:r>
      <w:r w:rsidR="002466C9" w:rsidRPr="00B929AC">
        <w:instrText>":"</w:instrText>
      </w:r>
      <w:r w:rsidR="002466C9">
        <w:rPr>
          <w:lang w:val="en-US"/>
        </w:rPr>
        <w:instrText>Elena</w:instrText>
      </w:r>
      <w:r w:rsidR="002466C9" w:rsidRPr="00B929AC">
        <w:instrText>","</w:instrText>
      </w:r>
      <w:r w:rsidR="002466C9">
        <w:rPr>
          <w:lang w:val="en-US"/>
        </w:rPr>
        <w:instrText>non</w:instrText>
      </w:r>
      <w:r w:rsidR="002466C9" w:rsidRPr="00B929AC">
        <w:instrText>-</w:instrText>
      </w:r>
      <w:r w:rsidR="002466C9">
        <w:rPr>
          <w:lang w:val="en-US"/>
        </w:rPr>
        <w:instrText>dropping</w:instrText>
      </w:r>
      <w:r w:rsidR="002466C9" w:rsidRPr="00B929AC">
        <w:instrText>-</w:instrText>
      </w:r>
      <w:r w:rsidR="002466C9">
        <w:rPr>
          <w:lang w:val="en-US"/>
        </w:rPr>
        <w:instrText>particle</w:instrText>
      </w:r>
      <w:r w:rsidR="002466C9" w:rsidRPr="00B929AC">
        <w:instrText>":"","</w:instrText>
      </w:r>
      <w:r w:rsidR="002466C9">
        <w:rPr>
          <w:lang w:val="en-US"/>
        </w:rPr>
        <w:instrText>parse</w:instrText>
      </w:r>
      <w:r w:rsidR="002466C9" w:rsidRPr="00B929AC">
        <w:instrText>-</w:instrText>
      </w:r>
      <w:r w:rsidR="002466C9">
        <w:rPr>
          <w:lang w:val="en-US"/>
        </w:rPr>
        <w:instrText>names</w:instrText>
      </w:r>
      <w:r w:rsidR="002466C9" w:rsidRPr="00B929AC">
        <w:instrText>":</w:instrText>
      </w:r>
      <w:r w:rsidR="002466C9">
        <w:rPr>
          <w:lang w:val="en-US"/>
        </w:rPr>
        <w:instrText>false</w:instrText>
      </w:r>
      <w:r w:rsidR="002466C9" w:rsidRPr="00B929AC">
        <w:instrText>,"</w:instrText>
      </w:r>
      <w:r w:rsidR="002466C9">
        <w:rPr>
          <w:lang w:val="en-US"/>
        </w:rPr>
        <w:instrText>suffix</w:instrText>
      </w:r>
      <w:r w:rsidR="002466C9" w:rsidRPr="00B929AC">
        <w:instrText>":""},{"</w:instrText>
      </w:r>
      <w:r w:rsidR="002466C9">
        <w:rPr>
          <w:lang w:val="en-US"/>
        </w:rPr>
        <w:instrText>dropping</w:instrText>
      </w:r>
      <w:r w:rsidR="002466C9" w:rsidRPr="00B929AC">
        <w:instrText>-</w:instrText>
      </w:r>
      <w:r w:rsidR="002466C9">
        <w:rPr>
          <w:lang w:val="en-US"/>
        </w:rPr>
        <w:instrText>particle</w:instrText>
      </w:r>
      <w:r w:rsidR="002466C9" w:rsidRPr="00B929AC">
        <w:instrText>":"","</w:instrText>
      </w:r>
      <w:r w:rsidR="002466C9">
        <w:rPr>
          <w:lang w:val="en-US"/>
        </w:rPr>
        <w:instrText>family</w:instrText>
      </w:r>
      <w:r w:rsidR="002466C9" w:rsidRPr="00B929AC">
        <w:instrText>":"</w:instrText>
      </w:r>
      <w:r w:rsidR="002466C9">
        <w:rPr>
          <w:lang w:val="en-US"/>
        </w:rPr>
        <w:instrText>Cortelazzo</w:instrText>
      </w:r>
      <w:r w:rsidR="002466C9" w:rsidRPr="00B929AC">
        <w:instrText>","</w:instrText>
      </w:r>
      <w:r w:rsidR="002466C9">
        <w:rPr>
          <w:lang w:val="en-US"/>
        </w:rPr>
        <w:instrText>given</w:instrText>
      </w:r>
      <w:r w:rsidR="002466C9" w:rsidRPr="00B929AC">
        <w:instrText>":"</w:instrText>
      </w:r>
      <w:r w:rsidR="002466C9">
        <w:rPr>
          <w:lang w:val="en-US"/>
        </w:rPr>
        <w:instrText>Sergio</w:instrText>
      </w:r>
      <w:r w:rsidR="002466C9" w:rsidRPr="00B929AC">
        <w:instrText>","</w:instrText>
      </w:r>
      <w:r w:rsidR="002466C9">
        <w:rPr>
          <w:lang w:val="en-US"/>
        </w:rPr>
        <w:instrText>non</w:instrText>
      </w:r>
      <w:r w:rsidR="002466C9" w:rsidRPr="00B929AC">
        <w:instrText>-</w:instrText>
      </w:r>
      <w:r w:rsidR="002466C9">
        <w:rPr>
          <w:lang w:val="en-US"/>
        </w:rPr>
        <w:instrText>dropping</w:instrText>
      </w:r>
      <w:r w:rsidR="002466C9" w:rsidRPr="00B929AC">
        <w:instrText>-</w:instrText>
      </w:r>
      <w:r w:rsidR="002466C9">
        <w:rPr>
          <w:lang w:val="en-US"/>
        </w:rPr>
        <w:instrText>particle</w:instrText>
      </w:r>
      <w:r w:rsidR="002466C9" w:rsidRPr="00B929AC">
        <w:instrText>":"","</w:instrText>
      </w:r>
      <w:r w:rsidR="002466C9">
        <w:rPr>
          <w:lang w:val="en-US"/>
        </w:rPr>
        <w:instrText>parse</w:instrText>
      </w:r>
      <w:r w:rsidR="002466C9" w:rsidRPr="00B929AC">
        <w:instrText>-</w:instrText>
      </w:r>
      <w:r w:rsidR="002466C9">
        <w:rPr>
          <w:lang w:val="en-US"/>
        </w:rPr>
        <w:instrText>names</w:instrText>
      </w:r>
      <w:r w:rsidR="002466C9" w:rsidRPr="00B929AC">
        <w:instrText>":</w:instrText>
      </w:r>
      <w:r w:rsidR="002466C9">
        <w:rPr>
          <w:lang w:val="en-US"/>
        </w:rPr>
        <w:instrText>false</w:instrText>
      </w:r>
      <w:r w:rsidR="002466C9" w:rsidRPr="00B929AC">
        <w:instrText>,"</w:instrText>
      </w:r>
      <w:r w:rsidR="002466C9">
        <w:rPr>
          <w:lang w:val="en-US"/>
        </w:rPr>
        <w:instrText>suffix</w:instrText>
      </w:r>
      <w:r w:rsidR="002466C9" w:rsidRPr="00B929AC">
        <w:instrText>":""}],"</w:instrText>
      </w:r>
      <w:r w:rsidR="002466C9">
        <w:rPr>
          <w:lang w:val="en-US"/>
        </w:rPr>
        <w:instrText>container</w:instrText>
      </w:r>
      <w:r w:rsidR="002466C9" w:rsidRPr="00B929AC">
        <w:instrText>-</w:instrText>
      </w:r>
      <w:r w:rsidR="002466C9">
        <w:rPr>
          <w:lang w:val="en-US"/>
        </w:rPr>
        <w:instrText>title</w:instrText>
      </w:r>
      <w:r w:rsidR="002466C9" w:rsidRPr="00B929AC">
        <w:instrText>":"</w:instrText>
      </w:r>
      <w:r w:rsidR="002466C9">
        <w:rPr>
          <w:lang w:val="en-US"/>
        </w:rPr>
        <w:instrText>European</w:instrText>
      </w:r>
      <w:r w:rsidR="002466C9" w:rsidRPr="00B929AC">
        <w:instrText xml:space="preserve"> </w:instrText>
      </w:r>
      <w:r w:rsidR="002466C9">
        <w:rPr>
          <w:lang w:val="en-US"/>
        </w:rPr>
        <w:instrText>journal</w:instrText>
      </w:r>
      <w:r w:rsidR="002466C9" w:rsidRPr="00B929AC">
        <w:instrText xml:space="preserve"> </w:instrText>
      </w:r>
      <w:r w:rsidR="002466C9">
        <w:rPr>
          <w:lang w:val="en-US"/>
        </w:rPr>
        <w:instrText>of</w:instrText>
      </w:r>
      <w:r w:rsidR="002466C9" w:rsidRPr="00B929AC">
        <w:instrText xml:space="preserve"> </w:instrText>
      </w:r>
      <w:r w:rsidR="002466C9">
        <w:rPr>
          <w:lang w:val="en-US"/>
        </w:rPr>
        <w:instrText>haematology</w:instrText>
      </w:r>
      <w:r w:rsidR="002466C9" w:rsidRPr="00B929AC">
        <w:instrText>","</w:instrText>
      </w:r>
      <w:r w:rsidR="002466C9">
        <w:rPr>
          <w:lang w:val="en-US"/>
        </w:rPr>
        <w:instrText>id</w:instrText>
      </w:r>
      <w:r w:rsidR="002466C9" w:rsidRPr="00B929AC">
        <w:instrText>":"</w:instrText>
      </w:r>
      <w:r w:rsidR="002466C9">
        <w:rPr>
          <w:lang w:val="en-US"/>
        </w:rPr>
        <w:instrText>ITEM</w:instrText>
      </w:r>
      <w:r w:rsidR="002466C9" w:rsidRPr="00B929AC">
        <w:instrText>-1","</w:instrText>
      </w:r>
      <w:r w:rsidR="002466C9">
        <w:rPr>
          <w:lang w:val="en-US"/>
        </w:rPr>
        <w:instrText>issue</w:instrText>
      </w:r>
      <w:r w:rsidR="002466C9" w:rsidRPr="00B929AC">
        <w:instrText>":"5","</w:instrText>
      </w:r>
      <w:r w:rsidR="002466C9">
        <w:rPr>
          <w:lang w:val="en-US"/>
        </w:rPr>
        <w:instrText>issued</w:instrText>
      </w:r>
      <w:r w:rsidR="002466C9" w:rsidRPr="00B929AC">
        <w:instrText>":{"</w:instrText>
      </w:r>
      <w:r w:rsidR="002466C9">
        <w:rPr>
          <w:lang w:val="en-US"/>
        </w:rPr>
        <w:instrText>date</w:instrText>
      </w:r>
      <w:r w:rsidR="002466C9" w:rsidRPr="00B929AC">
        <w:instrText>-</w:instrText>
      </w:r>
      <w:r w:rsidR="002466C9">
        <w:rPr>
          <w:lang w:val="en-US"/>
        </w:rPr>
        <w:instrText>parts</w:instrText>
      </w:r>
      <w:r w:rsidR="002466C9" w:rsidRPr="00B929AC">
        <w:instrText>":[["2016","5"]]},"</w:instrText>
      </w:r>
      <w:r w:rsidR="002466C9">
        <w:rPr>
          <w:lang w:val="en-US"/>
        </w:rPr>
        <w:instrText>page</w:instrText>
      </w:r>
      <w:r w:rsidR="002466C9" w:rsidRPr="00B929AC">
        <w:instrText>":"447-60","</w:instrText>
      </w:r>
      <w:r w:rsidR="002466C9">
        <w:rPr>
          <w:lang w:val="en-US"/>
        </w:rPr>
        <w:instrText>title</w:instrText>
      </w:r>
      <w:r w:rsidR="002466C9" w:rsidRPr="00B929AC">
        <w:instrText>":"</w:instrText>
      </w:r>
      <w:r w:rsidR="002466C9">
        <w:rPr>
          <w:lang w:val="en-US"/>
        </w:rPr>
        <w:instrText>Lymphoblastic</w:instrText>
      </w:r>
      <w:r w:rsidR="002466C9" w:rsidRPr="00B929AC">
        <w:instrText xml:space="preserve"> </w:instrText>
      </w:r>
      <w:r w:rsidR="002466C9">
        <w:rPr>
          <w:lang w:val="en-US"/>
        </w:rPr>
        <w:instrText>lymphoma</w:instrText>
      </w:r>
      <w:r w:rsidR="002466C9" w:rsidRPr="00B929AC">
        <w:instrText xml:space="preserve">: </w:instrText>
      </w:r>
      <w:r w:rsidR="002466C9">
        <w:rPr>
          <w:lang w:val="en-US"/>
        </w:rPr>
        <w:instrText>an</w:instrText>
      </w:r>
      <w:r w:rsidR="002466C9" w:rsidRPr="00B929AC">
        <w:instrText xml:space="preserve"> </w:instrText>
      </w:r>
      <w:r w:rsidR="002466C9">
        <w:rPr>
          <w:lang w:val="en-US"/>
        </w:rPr>
        <w:instrText>updated</w:instrText>
      </w:r>
      <w:r w:rsidR="002466C9" w:rsidRPr="00B929AC">
        <w:instrText xml:space="preserve"> </w:instrText>
      </w:r>
      <w:r w:rsidR="002466C9">
        <w:rPr>
          <w:lang w:val="en-US"/>
        </w:rPr>
        <w:instrText>review</w:instrText>
      </w:r>
      <w:r w:rsidR="002466C9" w:rsidRPr="00B929AC">
        <w:instrText xml:space="preserve"> </w:instrText>
      </w:r>
      <w:r w:rsidR="002466C9">
        <w:rPr>
          <w:lang w:val="en-US"/>
        </w:rPr>
        <w:instrText>on</w:instrText>
      </w:r>
      <w:r w:rsidR="002466C9" w:rsidRPr="00B929AC">
        <w:instrText xml:space="preserve"> </w:instrText>
      </w:r>
      <w:r w:rsidR="002466C9">
        <w:rPr>
          <w:lang w:val="en-US"/>
        </w:rPr>
        <w:instrText>biology</w:instrText>
      </w:r>
      <w:r w:rsidR="002466C9" w:rsidRPr="00B929AC">
        <w:instrText xml:space="preserve">, </w:instrText>
      </w:r>
      <w:r w:rsidR="002466C9">
        <w:rPr>
          <w:lang w:val="en-US"/>
        </w:rPr>
        <w:instrText>diagnosis</w:instrText>
      </w:r>
      <w:r w:rsidR="002466C9" w:rsidRPr="00B929AC">
        <w:instrText xml:space="preserve">, </w:instrText>
      </w:r>
      <w:r w:rsidR="002466C9">
        <w:rPr>
          <w:lang w:val="en-US"/>
        </w:rPr>
        <w:instrText>and</w:instrText>
      </w:r>
      <w:r w:rsidR="002466C9" w:rsidRPr="00B929AC">
        <w:instrText xml:space="preserve"> </w:instrText>
      </w:r>
      <w:r w:rsidR="002466C9">
        <w:rPr>
          <w:lang w:val="en-US"/>
        </w:rPr>
        <w:instrText>treatment</w:instrText>
      </w:r>
      <w:r w:rsidR="002466C9" w:rsidRPr="00B929AC">
        <w:instrText>.","</w:instrText>
      </w:r>
      <w:r w:rsidR="002466C9">
        <w:rPr>
          <w:lang w:val="en-US"/>
        </w:rPr>
        <w:instrText>type</w:instrText>
      </w:r>
      <w:r w:rsidR="002466C9" w:rsidRPr="00B929AC">
        <w:instrText>":"</w:instrText>
      </w:r>
      <w:r w:rsidR="002466C9">
        <w:rPr>
          <w:lang w:val="en-US"/>
        </w:rPr>
        <w:instrText>article</w:instrText>
      </w:r>
      <w:r w:rsidR="002466C9" w:rsidRPr="00B929AC">
        <w:instrText>-</w:instrText>
      </w:r>
      <w:r w:rsidR="002466C9">
        <w:rPr>
          <w:lang w:val="en-US"/>
        </w:rPr>
        <w:instrText>journal</w:instrText>
      </w:r>
      <w:r w:rsidR="002466C9" w:rsidRPr="00B929AC">
        <w:instrText>","</w:instrText>
      </w:r>
      <w:r w:rsidR="002466C9">
        <w:rPr>
          <w:lang w:val="en-US"/>
        </w:rPr>
        <w:instrText>volume</w:instrText>
      </w:r>
      <w:r w:rsidR="002466C9" w:rsidRPr="00B929AC">
        <w:instrText>":"96"},"</w:instrText>
      </w:r>
      <w:r w:rsidR="002466C9">
        <w:rPr>
          <w:lang w:val="en-US"/>
        </w:rPr>
        <w:instrText>uris</w:instrText>
      </w:r>
      <w:r w:rsidR="002466C9" w:rsidRPr="00B929AC">
        <w:instrText>":["</w:instrText>
      </w:r>
      <w:r w:rsidR="002466C9">
        <w:rPr>
          <w:lang w:val="en-US"/>
        </w:rPr>
        <w:instrText>http</w:instrText>
      </w:r>
      <w:r w:rsidR="002466C9" w:rsidRPr="00B929AC">
        <w:instrText>://</w:instrText>
      </w:r>
      <w:r w:rsidR="002466C9">
        <w:rPr>
          <w:lang w:val="en-US"/>
        </w:rPr>
        <w:instrText>www</w:instrText>
      </w:r>
      <w:r w:rsidR="002466C9" w:rsidRPr="00B929AC">
        <w:instrText>.</w:instrText>
      </w:r>
      <w:r w:rsidR="002466C9">
        <w:rPr>
          <w:lang w:val="en-US"/>
        </w:rPr>
        <w:instrText>mendeley</w:instrText>
      </w:r>
      <w:r w:rsidR="002466C9" w:rsidRPr="00B929AC">
        <w:instrText>.</w:instrText>
      </w:r>
      <w:r w:rsidR="002466C9">
        <w:rPr>
          <w:lang w:val="en-US"/>
        </w:rPr>
        <w:instrText>com</w:instrText>
      </w:r>
      <w:r w:rsidR="002466C9" w:rsidRPr="00B929AC">
        <w:instrText>/</w:instrText>
      </w:r>
      <w:r w:rsidR="002466C9">
        <w:rPr>
          <w:lang w:val="en-US"/>
        </w:rPr>
        <w:instrText>documents</w:instrText>
      </w:r>
      <w:r w:rsidR="002466C9" w:rsidRPr="00B929AC">
        <w:instrText>/?</w:instrText>
      </w:r>
      <w:r w:rsidR="002466C9">
        <w:rPr>
          <w:lang w:val="en-US"/>
        </w:rPr>
        <w:instrText>uuid</w:instrText>
      </w:r>
      <w:r w:rsidR="002466C9" w:rsidRPr="00B929AC">
        <w:instrText>=7</w:instrText>
      </w:r>
      <w:r w:rsidR="002466C9">
        <w:rPr>
          <w:lang w:val="en-US"/>
        </w:rPr>
        <w:instrText>feba</w:instrText>
      </w:r>
      <w:r w:rsidR="002466C9" w:rsidRPr="00B929AC">
        <w:instrText>565-014</w:instrText>
      </w:r>
      <w:r w:rsidR="002466C9">
        <w:rPr>
          <w:lang w:val="en-US"/>
        </w:rPr>
        <w:instrText>f</w:instrText>
      </w:r>
      <w:r w:rsidR="002466C9" w:rsidRPr="00B929AC">
        <w:instrText>-3600-86</w:instrText>
      </w:r>
      <w:r w:rsidR="002466C9">
        <w:rPr>
          <w:lang w:val="en-US"/>
        </w:rPr>
        <w:instrText>ec</w:instrText>
      </w:r>
      <w:r w:rsidR="002466C9" w:rsidRPr="00B929AC">
        <w:instrText>-0963</w:instrText>
      </w:r>
      <w:r w:rsidR="002466C9">
        <w:rPr>
          <w:lang w:val="en-US"/>
        </w:rPr>
        <w:instrText>b</w:instrText>
      </w:r>
      <w:r w:rsidR="002466C9" w:rsidRPr="00B929AC">
        <w:instrText>3</w:instrText>
      </w:r>
      <w:r w:rsidR="002466C9">
        <w:rPr>
          <w:lang w:val="en-US"/>
        </w:rPr>
        <w:instrText>e</w:instrText>
      </w:r>
      <w:r w:rsidR="002466C9" w:rsidRPr="00B929AC">
        <w:instrText>847</w:instrText>
      </w:r>
      <w:r w:rsidR="002466C9">
        <w:rPr>
          <w:lang w:val="en-US"/>
        </w:rPr>
        <w:instrText>bb</w:instrText>
      </w:r>
      <w:r w:rsidR="002466C9" w:rsidRPr="00B929AC">
        <w:instrText>"]}],"</w:instrText>
      </w:r>
      <w:r w:rsidR="002466C9">
        <w:rPr>
          <w:lang w:val="en-US"/>
        </w:rPr>
        <w:instrText>mendeley</w:instrText>
      </w:r>
      <w:r w:rsidR="002466C9" w:rsidRPr="00B929AC">
        <w:instrText>":{"</w:instrText>
      </w:r>
      <w:r w:rsidR="002466C9">
        <w:rPr>
          <w:lang w:val="en-US"/>
        </w:rPr>
        <w:instrText>formattedCitation</w:instrText>
      </w:r>
      <w:r w:rsidR="002466C9" w:rsidRPr="00B929AC">
        <w:instrText>":"[13]","</w:instrText>
      </w:r>
      <w:r w:rsidR="002466C9">
        <w:rPr>
          <w:lang w:val="en-US"/>
        </w:rPr>
        <w:instrText>plainTextFormattedCitation</w:instrText>
      </w:r>
      <w:r w:rsidR="002466C9" w:rsidRPr="00B929AC">
        <w:instrText>":"[13]","</w:instrText>
      </w:r>
      <w:r w:rsidR="002466C9">
        <w:rPr>
          <w:lang w:val="en-US"/>
        </w:rPr>
        <w:instrText>previouslyFormattedCitation</w:instrText>
      </w:r>
      <w:r w:rsidR="002466C9" w:rsidRPr="00B929AC">
        <w:instrText>":"[13]"},"</w:instrText>
      </w:r>
      <w:r w:rsidR="002466C9">
        <w:rPr>
          <w:lang w:val="en-US"/>
        </w:rPr>
        <w:instrText>properties</w:instrText>
      </w:r>
      <w:r w:rsidR="002466C9" w:rsidRPr="00B929AC">
        <w:instrText>":{"</w:instrText>
      </w:r>
      <w:r w:rsidR="002466C9">
        <w:rPr>
          <w:lang w:val="en-US"/>
        </w:rPr>
        <w:instrText>noteIndex</w:instrText>
      </w:r>
      <w:r w:rsidR="002466C9" w:rsidRPr="00B929AC">
        <w:instrText>":0},"</w:instrText>
      </w:r>
      <w:r w:rsidR="002466C9">
        <w:rPr>
          <w:lang w:val="en-US"/>
        </w:rPr>
        <w:instrText>schema</w:instrText>
      </w:r>
      <w:r w:rsidR="002466C9" w:rsidRPr="00B929AC">
        <w:instrText>":"</w:instrText>
      </w:r>
      <w:r w:rsidR="002466C9">
        <w:rPr>
          <w:lang w:val="en-US"/>
        </w:rPr>
        <w:instrText>https</w:instrText>
      </w:r>
      <w:r w:rsidR="002466C9" w:rsidRPr="00B929AC">
        <w:instrText>://</w:instrText>
      </w:r>
      <w:r w:rsidR="002466C9">
        <w:rPr>
          <w:lang w:val="en-US"/>
        </w:rPr>
        <w:instrText>github</w:instrText>
      </w:r>
      <w:r w:rsidR="002466C9" w:rsidRPr="00B929AC">
        <w:instrText>.</w:instrText>
      </w:r>
      <w:r w:rsidR="002466C9">
        <w:rPr>
          <w:lang w:val="en-US"/>
        </w:rPr>
        <w:instrText>com</w:instrText>
      </w:r>
      <w:r w:rsidR="002466C9" w:rsidRPr="00B929AC">
        <w:instrText>/</w:instrText>
      </w:r>
      <w:r w:rsidR="002466C9">
        <w:rPr>
          <w:lang w:val="en-US"/>
        </w:rPr>
        <w:instrText>citation</w:instrText>
      </w:r>
      <w:r w:rsidR="002466C9" w:rsidRPr="00B929AC">
        <w:instrText>-</w:instrText>
      </w:r>
      <w:r w:rsidR="002466C9">
        <w:rPr>
          <w:lang w:val="en-US"/>
        </w:rPr>
        <w:instrText>style</w:instrText>
      </w:r>
      <w:r w:rsidR="002466C9" w:rsidRPr="00B929AC">
        <w:instrText>-</w:instrText>
      </w:r>
      <w:r w:rsidR="002466C9">
        <w:rPr>
          <w:lang w:val="en-US"/>
        </w:rPr>
        <w:instrText>language</w:instrText>
      </w:r>
      <w:r w:rsidR="002466C9" w:rsidRPr="00B929AC">
        <w:instrText>/</w:instrText>
      </w:r>
      <w:r w:rsidR="002466C9">
        <w:rPr>
          <w:lang w:val="en-US"/>
        </w:rPr>
        <w:instrText>schema</w:instrText>
      </w:r>
      <w:r w:rsidR="002466C9" w:rsidRPr="00B929AC">
        <w:instrText>/</w:instrText>
      </w:r>
      <w:r w:rsidR="002466C9">
        <w:rPr>
          <w:lang w:val="en-US"/>
        </w:rPr>
        <w:instrText>raw</w:instrText>
      </w:r>
      <w:r w:rsidR="002466C9" w:rsidRPr="00B929AC">
        <w:instrText>/</w:instrText>
      </w:r>
      <w:r w:rsidR="002466C9">
        <w:rPr>
          <w:lang w:val="en-US"/>
        </w:rPr>
        <w:instrText>master</w:instrText>
      </w:r>
      <w:r w:rsidR="002466C9" w:rsidRPr="00B929AC">
        <w:instrText>/</w:instrText>
      </w:r>
      <w:r w:rsidR="002466C9">
        <w:rPr>
          <w:lang w:val="en-US"/>
        </w:rPr>
        <w:instrText>csl</w:instrText>
      </w:r>
      <w:r w:rsidR="002466C9" w:rsidRPr="00B929AC">
        <w:instrText>-</w:instrText>
      </w:r>
      <w:r w:rsidR="002466C9">
        <w:rPr>
          <w:lang w:val="en-US"/>
        </w:rPr>
        <w:instrText>citation</w:instrText>
      </w:r>
      <w:r w:rsidR="002466C9" w:rsidRPr="00B929AC">
        <w:instrText>.</w:instrText>
      </w:r>
      <w:r w:rsidR="002466C9">
        <w:rPr>
          <w:lang w:val="en-US"/>
        </w:rPr>
        <w:instrText>json</w:instrText>
      </w:r>
      <w:r w:rsidR="002466C9" w:rsidRPr="00B929AC">
        <w:instrText>"}</w:instrText>
      </w:r>
      <w:r w:rsidR="00A27AD5">
        <w:fldChar w:fldCharType="separate"/>
      </w:r>
      <w:r w:rsidR="00A66456" w:rsidRPr="00A66456">
        <w:rPr>
          <w:noProof/>
        </w:rPr>
        <w:t>[13]</w:t>
      </w:r>
      <w:r w:rsidR="00A27AD5">
        <w:fldChar w:fldCharType="end"/>
      </w:r>
      <w:r w:rsidR="00A27AD5">
        <w:t xml:space="preserve">. </w:t>
      </w:r>
    </w:p>
    <w:p w14:paraId="77E6E7DD" w14:textId="0B34100D" w:rsidR="00254823" w:rsidRPr="006B4D47" w:rsidRDefault="00254823" w:rsidP="004905C2">
      <w:pPr>
        <w:pStyle w:val="2"/>
      </w:pPr>
      <w:r>
        <w:lastRenderedPageBreak/>
        <w:t xml:space="preserve"> </w:t>
      </w:r>
      <w:bookmarkStart w:id="139" w:name="_Toc26796717"/>
      <w:bookmarkStart w:id="140" w:name="_Toc64467933"/>
      <w:bookmarkStart w:id="141" w:name="_Toc64565646"/>
      <w:bookmarkStart w:id="142" w:name="_Toc13484819"/>
      <w:r w:rsidR="0006296E" w:rsidRPr="000734B4">
        <w:t>3.</w:t>
      </w:r>
      <w:r w:rsidR="00C76CE3">
        <w:t>9</w:t>
      </w:r>
      <w:r w:rsidR="00344F3E" w:rsidRPr="000734B4">
        <w:t>.</w:t>
      </w:r>
      <w:r w:rsidR="00511DA5" w:rsidRPr="000734B4">
        <w:t xml:space="preserve"> Рецидивы Ph–</w:t>
      </w:r>
      <w:r w:rsidR="000C5FB3" w:rsidRPr="000734B4">
        <w:t xml:space="preserve"> </w:t>
      </w:r>
      <w:r w:rsidR="00344F3E" w:rsidRPr="006B4D47">
        <w:t>ОЛЛ</w:t>
      </w:r>
      <w:bookmarkEnd w:id="139"/>
      <w:bookmarkEnd w:id="140"/>
      <w:bookmarkEnd w:id="141"/>
      <w:r w:rsidR="009629F5" w:rsidRPr="006B4D47">
        <w:t xml:space="preserve"> </w:t>
      </w:r>
      <w:bookmarkEnd w:id="142"/>
    </w:p>
    <w:p w14:paraId="7059FBFF" w14:textId="77777777" w:rsidR="00254823" w:rsidRPr="00D5168F" w:rsidRDefault="00254823" w:rsidP="00595275">
      <w:pPr>
        <w:shd w:val="clear" w:color="auto" w:fill="FFFFFF"/>
        <w:ind w:firstLine="709"/>
        <w:contextualSpacing/>
        <w:rPr>
          <w:i/>
        </w:rPr>
      </w:pPr>
      <w:r w:rsidRPr="00C17225">
        <w:rPr>
          <w:i/>
        </w:rPr>
        <w:t>Рецидив лейкемии у взрослых пациентов с Ph-</w:t>
      </w:r>
      <w:r w:rsidR="00EB0AAD">
        <w:rPr>
          <w:i/>
        </w:rPr>
        <w:t xml:space="preserve"> </w:t>
      </w:r>
      <w:r w:rsidRPr="00C17225">
        <w:rPr>
          <w:i/>
        </w:rPr>
        <w:t>ОЛЛ остается неразрешенной терапевтической проблемой. Результаты лечения данной фазы заболевания невелики, и рецидив ОЛЛ до настоящего времени расценивается как обычно инкурабельное патологическое состояние. Хотя у ряда пациентов возможно достижение второй полной ремиссии (</w:t>
      </w:r>
      <w:r w:rsidR="00EB0AAD">
        <w:rPr>
          <w:i/>
        </w:rPr>
        <w:t xml:space="preserve">далее – </w:t>
      </w:r>
      <w:r w:rsidRPr="00C17225">
        <w:rPr>
          <w:i/>
        </w:rPr>
        <w:t>ПР2), частота ПР2 остается низкой, а медиана выживаемости после рецидива – короткой. Представляется общепринятым, что пациенты, у которых</w:t>
      </w:r>
      <w:r w:rsidR="005D126B">
        <w:rPr>
          <w:i/>
        </w:rPr>
        <w:t xml:space="preserve"> </w:t>
      </w:r>
      <w:r w:rsidRPr="00C17225">
        <w:rPr>
          <w:i/>
        </w:rPr>
        <w:t xml:space="preserve">отмечается рецидив заболевания, не могут быть излечены только путем </w:t>
      </w:r>
      <w:r w:rsidR="005D126B">
        <w:rPr>
          <w:i/>
        </w:rPr>
        <w:t>ХТ</w:t>
      </w:r>
      <w:r w:rsidRPr="00C17225">
        <w:rPr>
          <w:i/>
        </w:rPr>
        <w:t>. Единственным вариантом радикального лечения является алло</w:t>
      </w:r>
      <w:r w:rsidR="004A688B">
        <w:rPr>
          <w:i/>
        </w:rPr>
        <w:t>-</w:t>
      </w:r>
      <w:r w:rsidR="00F33796">
        <w:rPr>
          <w:i/>
        </w:rPr>
        <w:t>ТГСК</w:t>
      </w:r>
      <w:r w:rsidRPr="00C17225">
        <w:rPr>
          <w:i/>
        </w:rPr>
        <w:t>. В целом это требует достижения относительно стойкой ПР2 на фоне терапии спасения, которая должна ассоциироваться с минимальной токсичностью. В этом контексте рецидивы, развившиеся после алло</w:t>
      </w:r>
      <w:r w:rsidR="004A688B">
        <w:rPr>
          <w:i/>
        </w:rPr>
        <w:t>-</w:t>
      </w:r>
      <w:r w:rsidR="00F33796">
        <w:rPr>
          <w:i/>
        </w:rPr>
        <w:t>ТГСК</w:t>
      </w:r>
      <w:r w:rsidRPr="00C17225">
        <w:rPr>
          <w:i/>
        </w:rPr>
        <w:t xml:space="preserve">, являются еще более значительной терапевтической проблемой. Вследствие неблагоприятных общих исходов у этих пациентов сохраняется значительная потребность в разработке и исследовании новых лекарственных средств. Возможным вариантом лечения данной группы пациентов является включение в протоколы </w:t>
      </w:r>
      <w:r w:rsidR="005D126B">
        <w:rPr>
          <w:i/>
        </w:rPr>
        <w:t>КИ</w:t>
      </w:r>
      <w:r w:rsidRPr="00C17225">
        <w:rPr>
          <w:i/>
        </w:rPr>
        <w:t xml:space="preserve">, в том числе новых препаратов. </w:t>
      </w:r>
      <w:r w:rsidR="007E582E">
        <w:rPr>
          <w:i/>
        </w:rPr>
        <w:t>Т</w:t>
      </w:r>
      <w:r w:rsidR="007E582E" w:rsidRPr="00C17225">
        <w:rPr>
          <w:i/>
        </w:rPr>
        <w:t>аким образом</w:t>
      </w:r>
      <w:r w:rsidR="007E582E">
        <w:rPr>
          <w:i/>
        </w:rPr>
        <w:t>,</w:t>
      </w:r>
      <w:r w:rsidR="007E582E" w:rsidRPr="00C17225">
        <w:rPr>
          <w:i/>
        </w:rPr>
        <w:t xml:space="preserve"> </w:t>
      </w:r>
      <w:r w:rsidR="007E582E">
        <w:rPr>
          <w:i/>
        </w:rPr>
        <w:t>о</w:t>
      </w:r>
      <w:r w:rsidR="007E582E" w:rsidRPr="00C17225">
        <w:rPr>
          <w:i/>
        </w:rPr>
        <w:t xml:space="preserve">дним </w:t>
      </w:r>
      <w:r w:rsidRPr="00C17225">
        <w:rPr>
          <w:i/>
        </w:rPr>
        <w:t xml:space="preserve">из основных клинических решений у </w:t>
      </w:r>
      <w:r w:rsidR="00B61893">
        <w:rPr>
          <w:i/>
        </w:rPr>
        <w:t xml:space="preserve">пациентов с рецидивным Ph- ОЛЛ </w:t>
      </w:r>
      <w:r w:rsidRPr="00C17225">
        <w:rPr>
          <w:i/>
        </w:rPr>
        <w:t xml:space="preserve">является </w:t>
      </w:r>
      <w:r w:rsidRPr="000059F9">
        <w:rPr>
          <w:i/>
        </w:rPr>
        <w:t xml:space="preserve">выбор между стандартной </w:t>
      </w:r>
      <w:r w:rsidR="005D126B">
        <w:rPr>
          <w:i/>
        </w:rPr>
        <w:t>ХТ</w:t>
      </w:r>
      <w:r w:rsidR="005D126B" w:rsidRPr="000059F9">
        <w:rPr>
          <w:i/>
        </w:rPr>
        <w:t xml:space="preserve"> </w:t>
      </w:r>
      <w:r w:rsidRPr="000059F9">
        <w:rPr>
          <w:i/>
        </w:rPr>
        <w:t>спасения и экспериментальной терапией, за которыми должна следовать алло</w:t>
      </w:r>
      <w:r w:rsidR="004A688B">
        <w:rPr>
          <w:i/>
        </w:rPr>
        <w:t>-</w:t>
      </w:r>
      <w:r w:rsidR="00F33796">
        <w:rPr>
          <w:i/>
        </w:rPr>
        <w:t>ТГСК</w:t>
      </w:r>
      <w:r w:rsidRPr="000059F9">
        <w:rPr>
          <w:i/>
        </w:rPr>
        <w:t xml:space="preserve"> во всех случаях, когда это возможно; лечение данных пациентов производится в рамках </w:t>
      </w:r>
      <w:r w:rsidR="005D126B">
        <w:rPr>
          <w:i/>
        </w:rPr>
        <w:t>КИ</w:t>
      </w:r>
      <w:r w:rsidRPr="000059F9">
        <w:rPr>
          <w:i/>
        </w:rPr>
        <w:t>.</w:t>
      </w:r>
    </w:p>
    <w:p w14:paraId="4725696F" w14:textId="24C60834" w:rsidR="00254823" w:rsidRPr="009F500F" w:rsidRDefault="00254823" w:rsidP="00956D03">
      <w:pPr>
        <w:numPr>
          <w:ilvl w:val="0"/>
          <w:numId w:val="6"/>
        </w:numPr>
        <w:contextualSpacing/>
      </w:pPr>
      <w:r w:rsidRPr="0006296E">
        <w:rPr>
          <w:b/>
        </w:rPr>
        <w:t>Рекомендуется</w:t>
      </w:r>
      <w:r w:rsidRPr="00D5168F">
        <w:t xml:space="preserve"> всем пациентам при позднем рецидиве</w:t>
      </w:r>
      <w:r w:rsidR="00B61893">
        <w:t xml:space="preserve"> (более 6 месяцев от окончания поддерживающей терапии)</w:t>
      </w:r>
      <w:r w:rsidR="000C5FB3">
        <w:t xml:space="preserve"> </w:t>
      </w:r>
      <w:r w:rsidRPr="00D5168F">
        <w:t xml:space="preserve">использовать стандартную терапию </w:t>
      </w:r>
      <w:r w:rsidR="00B61893">
        <w:t>В-</w:t>
      </w:r>
      <w:r w:rsidRPr="00D5168F">
        <w:t>ОЛЛ</w:t>
      </w:r>
      <w:r w:rsidR="00B61893">
        <w:t xml:space="preserve"> и Т-ОЛЛ</w:t>
      </w:r>
      <w:r w:rsidR="009E7DB5">
        <w:t xml:space="preserve"> 1-й</w:t>
      </w:r>
      <w:r w:rsidR="006B658B">
        <w:t xml:space="preserve"> линии</w:t>
      </w:r>
      <w:r w:rsidR="00162CD5">
        <w:t xml:space="preserve"> </w:t>
      </w:r>
      <w:r w:rsidR="00162CD5" w:rsidRPr="009F500F">
        <w:t xml:space="preserve">или иммунотерапию (блинатумомабом** или инотузумаб озогамицин**), а также терапию </w:t>
      </w:r>
      <w:r w:rsidR="00162CD5" w:rsidRPr="009F500F">
        <w:rPr>
          <w:lang w:val="en-US"/>
        </w:rPr>
        <w:t>#</w:t>
      </w:r>
      <w:r w:rsidR="00162CD5" w:rsidRPr="009F500F">
        <w:t xml:space="preserve">венетоклакс** в сочетании с </w:t>
      </w:r>
      <w:r w:rsidR="00162CD5" w:rsidRPr="009F500F">
        <w:rPr>
          <w:lang w:val="en-US"/>
        </w:rPr>
        <w:t>#</w:t>
      </w:r>
      <w:r w:rsidR="00162CD5" w:rsidRPr="009F500F">
        <w:t xml:space="preserve">децитабином** </w:t>
      </w:r>
      <w:r w:rsidR="006B658B" w:rsidRPr="009F500F">
        <w:t xml:space="preserve"> (см. приложение </w:t>
      </w:r>
      <w:r w:rsidR="00B45EBF" w:rsidRPr="009F500F">
        <w:t>А3.</w:t>
      </w:r>
      <w:r w:rsidR="006B658B" w:rsidRPr="009F500F">
        <w:t>1)</w:t>
      </w:r>
      <w:r w:rsidR="009C3C1D" w:rsidRPr="009F500F">
        <w:t xml:space="preserve"> </w:t>
      </w:r>
      <w:r w:rsidR="009C3C1D" w:rsidRPr="009F500F">
        <w:fldChar w:fldCharType="begin" w:fldLock="1"/>
      </w:r>
      <w:r w:rsidR="002466C9" w:rsidRPr="009F500F">
        <w:instrText>ADDIN CSL_CITATION {"citationItems":[{"id":"ITEM-1","itemData":{"ISSN":"03906078","PMID":"15075076","abstract":"Introduction and Objectives. Few data are available on the long-term outcome of children who present with a very late relapse of acute lymphoblastic leukemia, so treatment of these patients remains controversial. The present study was aimed at investigating clinical features and treatment outcome of children with very late relapse, diagnosed and treated in Italy in the last 20 years. Design and Methods. All children diagnosed in Italian centers with a first relapse of acute lymphoblastic leukemia occurring ≥ 60 months after attainment of first complete remission were included in this study. These relapses were diagnosed between 1982 and 1997. Results. Ninety-three patients (58 males, 62.4%) had a first very late relapse occurring at a median time of 6.1 years (range 5.8-13.7 years) after the initial diagnosis. At a median follow-up time of 9.1 years after relapse, the overall 5-year survival (SE) and event-free-survival (SE) were 55.6% (5.2) and 39.5% (5.1), respectively. In multivariate analysis the site of relapse was the only significant predictor of duration of the second complete remission. Patients with isolated bone marrow relapse fared worse than those with combined or isolated extramedullary relapse [5-year event-free survival (SE) 24.5% (5.9), 51.3% (11.1) and 68.4% (10.7), respectively; (p=0.004)]. All 7 patients who underwent an allogeneic bone marrow transplantation from a matched related donor are alive in second complete remission. Interpretation and Conclusions. In this evaluation patients with a very late relapse isolated to the bone marrow had a poor outcome while re-treatment of extramedullary or combined relapse was associated with better cure rate. Our data suggest that patients with very late isolated bone marrow relapse should be treated intensively; bone marrow transplantation from a matched related donor may be indicated.","author":[{"dropping-particle":"","family":"Rizzari","given":"Carmelo","non-dropping-particle":"","parse-names":false,"suffix":""},{"dropping-particle":"","family":"Valsecchi","given":"Maria Grazia","non-dropping-particle":"","parse-names":false,"suffix":""},{"dropping-particle":"","family":"Arico","given":"Maurizio","non-dropping-particle":"","parse-names":false,"suffix":""},{"dropping-particle":"","family":"Miniero","given":"Roberto","non-dropping-particle":"","parse-names":false,"suffix":""},{"dropping-particle":"","family":"Messina","given":"Chiara","non-dropping-particle":"","parse-names":false,"suffix":""},{"dropping-particle":"","family":"Rossi","given":"Giulio","non-dropping-particle":"De","parse-names":false,"suffix":""},{"dropping-particle":"","family":"Testi","given":"Anna Maria","non-dropping-particle":"","parse-names":false,"suffix":""},{"dropping-particle":"","family":"Mura","given":"Rossella","non-dropping-particle":"","parse-names":false,"suffix":""},{"dropping-particle":"","family":"Galimberti","given":"Stefania","non-dropping-particle":"","parse-names":false,"suffix":""},{"dropping-particle":"","family":"Biondi","given":"Andrea","non-dropping-particle":"","parse-names":false,"suffix":""},{"dropping-particle":"","family":"Locatelli","given":"Franco","non-dropping-particle":"","parse-names":false,"suffix":""},{"dropping-particle":"","family":"Conter","given":"Valentino","non-dropping-particle":"","parse-names":false,"suffix":""}],"container-title":"Haematologica","id":"ITEM-1","issue":"4","issued":{"date-parts":[["2004","4"]]},"page":"427-434","title":"Outcome of very late relapse in children with acute lymphoblastic leukemia","type":"article-journal","volume":"89"},"uris":["http://www.mendeley.com/documents/?uuid=88c4b1db-8ed1-36fb-9edd-e4f808e0f04c"]}],"mendeley":{"formattedCitation":"[93]","plainTextFormattedCitation":"[93]","previouslyFormattedCitation":"[93]"},"properties":{"noteIndex":0},"schema":"https://github.com/citation-style-language/schema/raw/master/csl-citation.json"}</w:instrText>
      </w:r>
      <w:r w:rsidR="009C3C1D" w:rsidRPr="009F500F">
        <w:fldChar w:fldCharType="separate"/>
      </w:r>
      <w:r w:rsidR="00A66456" w:rsidRPr="009F500F">
        <w:rPr>
          <w:noProof/>
        </w:rPr>
        <w:t>[93]</w:t>
      </w:r>
      <w:r w:rsidR="009C3C1D" w:rsidRPr="009F500F">
        <w:fldChar w:fldCharType="end"/>
      </w:r>
      <w:r w:rsidR="009C3C1D" w:rsidRPr="009F500F">
        <w:t xml:space="preserve">. </w:t>
      </w:r>
      <w:r w:rsidR="000C5FB3" w:rsidRPr="009F500F">
        <w:t xml:space="preserve"> </w:t>
      </w:r>
    </w:p>
    <w:p w14:paraId="014AB4A6" w14:textId="77777777" w:rsidR="00254823" w:rsidRPr="00086FEB" w:rsidRDefault="00254823" w:rsidP="00595275">
      <w:pPr>
        <w:ind w:firstLine="709"/>
        <w:contextualSpacing/>
        <w:rPr>
          <w:b/>
        </w:rPr>
      </w:pPr>
      <w:r w:rsidRPr="000059F9">
        <w:rPr>
          <w:b/>
        </w:rPr>
        <w:t xml:space="preserve">Уровень убедительности рекомендаций </w:t>
      </w:r>
      <w:r w:rsidR="00CE5033">
        <w:rPr>
          <w:b/>
        </w:rPr>
        <w:t xml:space="preserve">– </w:t>
      </w:r>
      <w:r w:rsidR="00AE06CA">
        <w:rPr>
          <w:b/>
          <w:lang w:val="en-US"/>
        </w:rPr>
        <w:t>B</w:t>
      </w:r>
      <w:r w:rsidR="00AE06CA" w:rsidRPr="000059F9">
        <w:rPr>
          <w:b/>
        </w:rPr>
        <w:t xml:space="preserve"> </w:t>
      </w:r>
      <w:r w:rsidRPr="000059F9">
        <w:rPr>
          <w:b/>
        </w:rPr>
        <w:t>(уровень</w:t>
      </w:r>
      <w:r>
        <w:rPr>
          <w:b/>
        </w:rPr>
        <w:t xml:space="preserve"> </w:t>
      </w:r>
      <w:r>
        <w:rPr>
          <w:b/>
          <w:spacing w:val="-1"/>
        </w:rPr>
        <w:t xml:space="preserve">достоверности доказательств </w:t>
      </w:r>
      <w:r w:rsidR="00595275">
        <w:rPr>
          <w:b/>
        </w:rPr>
        <w:t xml:space="preserve">– </w:t>
      </w:r>
      <w:r w:rsidR="00AE06CA" w:rsidRPr="00AE06CA">
        <w:rPr>
          <w:b/>
        </w:rPr>
        <w:t>3</w:t>
      </w:r>
      <w:r w:rsidR="00595275">
        <w:rPr>
          <w:b/>
        </w:rPr>
        <w:t>)</w:t>
      </w:r>
      <w:r w:rsidR="00CE5033">
        <w:rPr>
          <w:b/>
        </w:rPr>
        <w:t>.</w:t>
      </w:r>
    </w:p>
    <w:p w14:paraId="2A00F84E" w14:textId="54C043FE" w:rsidR="00254823" w:rsidRDefault="00431841" w:rsidP="00956D03">
      <w:pPr>
        <w:numPr>
          <w:ilvl w:val="0"/>
          <w:numId w:val="6"/>
        </w:numPr>
        <w:contextualSpacing/>
      </w:pPr>
      <w:r>
        <w:rPr>
          <w:b/>
        </w:rPr>
        <w:t>Рекомендуется</w:t>
      </w:r>
      <w:r>
        <w:t xml:space="preserve"> всем пациентам п</w:t>
      </w:r>
      <w:r w:rsidRPr="009D6CB2">
        <w:t xml:space="preserve">ри раннем </w:t>
      </w:r>
      <w:r w:rsidRPr="00431841">
        <w:rPr>
          <w:color w:val="000000" w:themeColor="text1"/>
        </w:rPr>
        <w:t xml:space="preserve">рецидиве В-ОЛЛ использование экспериментальных комбинаций в рамках КИ, в том числе с применением </w:t>
      </w:r>
      <w:r w:rsidR="00BD4EC5" w:rsidRPr="009F500F">
        <w:t xml:space="preserve">#венетоклакса**, #децитабина**, </w:t>
      </w:r>
      <w:r w:rsidRPr="00431841">
        <w:rPr>
          <w:color w:val="000000" w:themeColor="text1"/>
        </w:rPr>
        <w:t xml:space="preserve">блинатумомаба** и инотузумаба озогамицина**. </w:t>
      </w:r>
      <w:r w:rsidR="00254823" w:rsidRPr="00431841">
        <w:rPr>
          <w:color w:val="000000" w:themeColor="text1"/>
        </w:rPr>
        <w:t xml:space="preserve">В </w:t>
      </w:r>
      <w:r w:rsidR="00254823" w:rsidRPr="009D6CB2">
        <w:t xml:space="preserve">качестве возможных </w:t>
      </w:r>
      <w:r w:rsidR="005D126B">
        <w:t>ХТ</w:t>
      </w:r>
      <w:r w:rsidR="005D126B" w:rsidRPr="009D6CB2">
        <w:t xml:space="preserve"> </w:t>
      </w:r>
      <w:r w:rsidR="00254823" w:rsidRPr="009D6CB2">
        <w:t>комбинаций</w:t>
      </w:r>
      <w:r>
        <w:t xml:space="preserve"> возможно</w:t>
      </w:r>
      <w:r w:rsidR="00254823" w:rsidRPr="009D6CB2">
        <w:t xml:space="preserve"> использовать программы </w:t>
      </w:r>
      <w:r w:rsidR="00254823" w:rsidRPr="009D6CB2">
        <w:rPr>
          <w:lang w:val="en-US"/>
        </w:rPr>
        <w:t>FLAGIda</w:t>
      </w:r>
      <w:r w:rsidR="00254823" w:rsidRPr="009D6CB2">
        <w:t xml:space="preserve"> или </w:t>
      </w:r>
      <w:r w:rsidR="00254823" w:rsidRPr="009D6CB2">
        <w:rPr>
          <w:lang w:val="en-US"/>
        </w:rPr>
        <w:t>Hyper</w:t>
      </w:r>
      <w:r w:rsidR="00254823" w:rsidRPr="009D6CB2">
        <w:t>-</w:t>
      </w:r>
      <w:r w:rsidR="00254823" w:rsidRPr="009D6CB2">
        <w:rPr>
          <w:lang w:val="en-US"/>
        </w:rPr>
        <w:t>CVAD</w:t>
      </w:r>
      <w:r w:rsidR="009C3C1D">
        <w:t xml:space="preserve">, либо </w:t>
      </w:r>
      <w:r w:rsidR="00CE5033">
        <w:t xml:space="preserve"> </w:t>
      </w:r>
      <w:r w:rsidR="00254823" w:rsidRPr="0018604E">
        <w:t>#</w:t>
      </w:r>
      <w:r w:rsidR="00254823">
        <w:t>бортезомиба</w:t>
      </w:r>
      <w:r w:rsidR="00254823" w:rsidRPr="009D6CB2">
        <w:t xml:space="preserve"> как в монотерапии, так и</w:t>
      </w:r>
      <w:r w:rsidR="00254823">
        <w:t xml:space="preserve"> в </w:t>
      </w:r>
      <w:r>
        <w:t>комбинации с митоксантроном</w:t>
      </w:r>
      <w:r w:rsidRPr="00E209F6">
        <w:t>**</w:t>
      </w:r>
      <w:r w:rsidRPr="009D6CB2">
        <w:t xml:space="preserve">, </w:t>
      </w:r>
      <w:r>
        <w:t>дексаметазоном</w:t>
      </w:r>
      <w:r w:rsidRPr="00E209F6">
        <w:t>**</w:t>
      </w:r>
      <w:r w:rsidRPr="009D6CB2">
        <w:t xml:space="preserve"> и </w:t>
      </w:r>
      <w:r>
        <w:t>аспарагиназой</w:t>
      </w:r>
      <w:r w:rsidRPr="00E209F6">
        <w:t>**</w:t>
      </w:r>
      <w:r w:rsidR="009C3C1D">
        <w:t xml:space="preserve"> </w:t>
      </w:r>
      <w:r w:rsidR="00254823">
        <w:t>(см. приложение</w:t>
      </w:r>
      <w:r w:rsidR="00B45EBF">
        <w:t xml:space="preserve"> А3.1</w:t>
      </w:r>
      <w:r w:rsidR="00254823">
        <w:t>)</w:t>
      </w:r>
      <w:r w:rsidR="009C3C1D">
        <w:t xml:space="preserve"> </w:t>
      </w:r>
      <w:r w:rsidR="009C3C1D">
        <w:fldChar w:fldCharType="begin" w:fldLock="1"/>
      </w:r>
      <w:r w:rsidR="002466C9">
        <w:instrText>ADDIN CSL_CITATION {"citationItems":[{"id":"ITEM-1","itemData":{"DOI":"10.2147/IJGM.S59537","ISSN":"1178-7074","PMID":"26109875","abstract":"Nine pretreated patients aged &gt;19 years with relapsed/refractory acute lymphoblastic leukemia (ALL) were treated with a combination of bortezomib plus chemotherapy before allogeneic hematopoietic stem cell transplantation (allo-HSCT). Eight (88.9%) patients, including two Philadelphia chromosome-positive ALL patients, achieved a complete remission. Furthermore, the evaluable patients have benefited from allo-HSCT after response to this reinduction treatment. We conclude that bortezomib-based chemotherapy was highly effective for adults with refractory/relapsed ALL before allo-HSCT. Therefore, this regimen deserves a larger series within prospective trials to confirm these results.","author":[{"dropping-particle":"","family":"Zhao","given":"Junmei","non-dropping-particle":"","parse-names":false,"suffix":""},{"dropping-particle":"","family":"Wang","given":"Chao","non-dropping-particle":"","parse-names":false,"suffix":""},{"dropping-particle":"","family":"Song","given":"Yongping","non-dropping-particle":"","parse-names":false,"suffix":""},{"dropping-particle":"","family":"Liu","given":"Yuzhang","non-dropping-particle":"","parse-names":false,"suffix":""},{"dropping-particle":"","family":"Fang","given":"Baijun","non-dropping-particle":"","parse-names":false,"suffix":""}],"container-title":"International journal of general medicine","id":"ITEM-1","issued":{"date-parts":[["2015"]]},"page":"211-4","title":"Treatment of refractory/relapsed adult acute lymphoblastic leukemia with bortezomib-based chemotherapy.","type":"article-journal","volume":"8"},"uris":["http://www.mendeley.com/documents/?uuid=3068d923-443d-33cf-9575-42fe908985a5"]}],"mendeley":{"formattedCitation":"[94]","plainTextFormattedCitation":"[94]","previouslyFormattedCitation":"[94]"},"properties":{"noteIndex":0},"schema":"https://github.com/citation-style-language/schema/raw/master/csl-citation.json"}</w:instrText>
      </w:r>
      <w:r w:rsidR="009C3C1D">
        <w:fldChar w:fldCharType="separate"/>
      </w:r>
      <w:r w:rsidR="00A66456" w:rsidRPr="00A66456">
        <w:rPr>
          <w:noProof/>
        </w:rPr>
        <w:t>[94]</w:t>
      </w:r>
      <w:r w:rsidR="009C3C1D">
        <w:fldChar w:fldCharType="end"/>
      </w:r>
      <w:r w:rsidR="009C3C1D">
        <w:t xml:space="preserve">. </w:t>
      </w:r>
      <w:r w:rsidR="000C5FB3">
        <w:t xml:space="preserve"> </w:t>
      </w:r>
    </w:p>
    <w:p w14:paraId="0242A46E" w14:textId="77777777" w:rsidR="00254823" w:rsidRPr="00086FEB" w:rsidRDefault="00254823" w:rsidP="00595275">
      <w:pPr>
        <w:ind w:firstLine="709"/>
        <w:contextualSpacing/>
        <w:rPr>
          <w:b/>
        </w:rPr>
      </w:pPr>
      <w:r>
        <w:rPr>
          <w:b/>
        </w:rPr>
        <w:t xml:space="preserve">Уровень убедительности рекомендаций </w:t>
      </w:r>
      <w:r w:rsidR="00CE5033">
        <w:rPr>
          <w:b/>
        </w:rPr>
        <w:t xml:space="preserve">– </w:t>
      </w:r>
      <w:r w:rsidR="007506C6">
        <w:rPr>
          <w:b/>
        </w:rPr>
        <w:t xml:space="preserve">С </w:t>
      </w:r>
      <w:r>
        <w:rPr>
          <w:b/>
        </w:rPr>
        <w:t xml:space="preserve">(уровень </w:t>
      </w:r>
      <w:r>
        <w:rPr>
          <w:b/>
          <w:spacing w:val="-1"/>
        </w:rPr>
        <w:t xml:space="preserve">достоверности </w:t>
      </w:r>
      <w:r>
        <w:rPr>
          <w:b/>
          <w:spacing w:val="-1"/>
        </w:rPr>
        <w:lastRenderedPageBreak/>
        <w:t xml:space="preserve">доказательств </w:t>
      </w:r>
      <w:r w:rsidR="00D43253">
        <w:rPr>
          <w:b/>
        </w:rPr>
        <w:t xml:space="preserve">– </w:t>
      </w:r>
      <w:r w:rsidR="007506C6">
        <w:rPr>
          <w:b/>
        </w:rPr>
        <w:t>4</w:t>
      </w:r>
      <w:r w:rsidR="00D43253">
        <w:rPr>
          <w:b/>
        </w:rPr>
        <w:t>)</w:t>
      </w:r>
      <w:r w:rsidR="00CE5033">
        <w:rPr>
          <w:b/>
        </w:rPr>
        <w:t>.</w:t>
      </w:r>
    </w:p>
    <w:p w14:paraId="396E89BF" w14:textId="097D7196" w:rsidR="00254823" w:rsidRDefault="00D43253" w:rsidP="00956D03">
      <w:pPr>
        <w:numPr>
          <w:ilvl w:val="0"/>
          <w:numId w:val="6"/>
        </w:numPr>
        <w:contextualSpacing/>
      </w:pPr>
      <w:r>
        <w:rPr>
          <w:b/>
        </w:rPr>
        <w:t>Рекомендуется</w:t>
      </w:r>
      <w:r w:rsidR="00254823" w:rsidRPr="009D6CB2">
        <w:t xml:space="preserve"> </w:t>
      </w:r>
      <w:r w:rsidR="00254823">
        <w:t>п</w:t>
      </w:r>
      <w:r w:rsidR="00254823" w:rsidRPr="009D6CB2">
        <w:t>редпочтительно</w:t>
      </w:r>
      <w:r w:rsidR="00254823">
        <w:t>е</w:t>
      </w:r>
      <w:r w:rsidR="00254823" w:rsidRPr="009D6CB2">
        <w:t xml:space="preserve"> использование </w:t>
      </w:r>
      <w:r w:rsidR="00254823">
        <w:t>дексаметазона** вместо преднизолона** в связи с большей эффективностью</w:t>
      </w:r>
      <w:r w:rsidR="000F2549">
        <w:t xml:space="preserve"> </w:t>
      </w:r>
      <w:r w:rsidR="000F2549">
        <w:fldChar w:fldCharType="begin" w:fldLock="1"/>
      </w:r>
      <w:r w:rsidR="002466C9">
        <w:instrText>ADDIN CSL_CITATION {"citationItems":[{"id":"ITEM-1","itemData":{"DOI":"10.1056/NEJMra052603","ISSN":"00284793","PMID":"16407512","author":[{"dropping-particle":"","family":"Pui","given":"Ching Hon","non-dropping-particle":"","parse-names":false,"suffix":""},{"dropping-particle":"","family":"Evans","given":"William E.","non-dropping-particle":"","parse-names":false,"suffix":""}],"container-title":"New England Journal of Medicine","id":"ITEM-1","issue":"2","issued":{"date-parts":[["2006","1","12"]]},"page":"166-178","title":"Treatment of acute lymphoblastic leukemia","type":"article","volume":"354"},"uris":["http://www.mendeley.com/documents/?uuid=b8a51261-52cc-30d2-a8ee-e8fd5efb9999"]}],"mendeley":{"formattedCitation":"[79]","plainTextFormattedCitation":"[79]","previouslyFormattedCitation":"[79]"},"properties":{"noteIndex":0},"schema":"https://github.com/citation-style-language/schema/raw/master/csl-citation.json"}</w:instrText>
      </w:r>
      <w:r w:rsidR="000F2549">
        <w:fldChar w:fldCharType="separate"/>
      </w:r>
      <w:r w:rsidR="00A66456" w:rsidRPr="00A66456">
        <w:rPr>
          <w:noProof/>
        </w:rPr>
        <w:t>[79]</w:t>
      </w:r>
      <w:r w:rsidR="000F2549">
        <w:fldChar w:fldCharType="end"/>
      </w:r>
      <w:r w:rsidR="000F2549">
        <w:rPr>
          <w:lang w:val="en-US"/>
        </w:rPr>
        <w:t>.</w:t>
      </w:r>
    </w:p>
    <w:p w14:paraId="60A72CFE" w14:textId="77777777" w:rsidR="00254823" w:rsidRPr="00086FEB" w:rsidRDefault="00254823" w:rsidP="00595275">
      <w:pPr>
        <w:ind w:firstLine="709"/>
        <w:contextualSpacing/>
        <w:rPr>
          <w:b/>
        </w:rPr>
      </w:pPr>
      <w:r>
        <w:rPr>
          <w:b/>
        </w:rPr>
        <w:t xml:space="preserve">Уровень убедительности рекомендаций </w:t>
      </w:r>
      <w:r w:rsidR="00CE5033">
        <w:rPr>
          <w:b/>
        </w:rPr>
        <w:t xml:space="preserve">– </w:t>
      </w:r>
      <w:r w:rsidR="00AE06CA">
        <w:rPr>
          <w:b/>
          <w:lang w:val="en-US"/>
        </w:rPr>
        <w:t>C</w:t>
      </w:r>
      <w:r>
        <w:rPr>
          <w:b/>
        </w:rPr>
        <w:t xml:space="preserve"> (уровень </w:t>
      </w:r>
      <w:r>
        <w:rPr>
          <w:b/>
          <w:spacing w:val="-1"/>
        </w:rPr>
        <w:t xml:space="preserve">достоверности доказательств </w:t>
      </w:r>
      <w:r w:rsidR="00D43253">
        <w:rPr>
          <w:b/>
        </w:rPr>
        <w:t xml:space="preserve">– </w:t>
      </w:r>
      <w:r w:rsidR="00AE06CA" w:rsidRPr="00AE06CA">
        <w:rPr>
          <w:b/>
        </w:rPr>
        <w:t>5</w:t>
      </w:r>
      <w:r w:rsidR="00D43253">
        <w:rPr>
          <w:b/>
        </w:rPr>
        <w:t>)</w:t>
      </w:r>
      <w:r w:rsidR="00CE5033">
        <w:rPr>
          <w:b/>
        </w:rPr>
        <w:t>.</w:t>
      </w:r>
    </w:p>
    <w:p w14:paraId="0875E67E" w14:textId="1D2752E8" w:rsidR="00254823" w:rsidRDefault="00254823" w:rsidP="00956D03">
      <w:pPr>
        <w:numPr>
          <w:ilvl w:val="0"/>
          <w:numId w:val="6"/>
        </w:numPr>
        <w:contextualSpacing/>
      </w:pPr>
      <w:r>
        <w:rPr>
          <w:b/>
        </w:rPr>
        <w:t>Рекомендуется</w:t>
      </w:r>
      <w:r>
        <w:t xml:space="preserve"> </w:t>
      </w:r>
      <w:r w:rsidR="000C5FB3">
        <w:t xml:space="preserve">всем </w:t>
      </w:r>
      <w:r>
        <w:t>п</w:t>
      </w:r>
      <w:r w:rsidRPr="009D6CB2">
        <w:t xml:space="preserve">ациентам, у которых достигнута </w:t>
      </w:r>
      <w:r w:rsidR="007E582E">
        <w:t>ПР2</w:t>
      </w:r>
      <w:r w:rsidRPr="009D6CB2">
        <w:t xml:space="preserve">, </w:t>
      </w:r>
      <w:r w:rsidR="009C3C1D">
        <w:t xml:space="preserve">консультанция в трансплантологическом центре для уточнения </w:t>
      </w:r>
      <w:r w:rsidRPr="009D6CB2">
        <w:t xml:space="preserve">возможности выполнения им </w:t>
      </w:r>
      <w:r w:rsidRPr="009D6CB2">
        <w:rPr>
          <w:lang w:val="en-US"/>
        </w:rPr>
        <w:t>HLA</w:t>
      </w:r>
      <w:r w:rsidRPr="009D6CB2">
        <w:t>-совместим</w:t>
      </w:r>
      <w:r w:rsidR="005D126B">
        <w:t>ой</w:t>
      </w:r>
      <w:r w:rsidRPr="009D6CB2">
        <w:t xml:space="preserve"> алло</w:t>
      </w:r>
      <w:r w:rsidR="004A688B">
        <w:t>-</w:t>
      </w:r>
      <w:r w:rsidR="00F33796">
        <w:t>ТГСК</w:t>
      </w:r>
      <w:r w:rsidR="009C3C1D">
        <w:t xml:space="preserve"> </w:t>
      </w:r>
      <w:r w:rsidR="009C3C1D">
        <w:fldChar w:fldCharType="begin" w:fldLock="1"/>
      </w:r>
      <w:r w:rsidR="002466C9">
        <w:instrText>ADDIN CSL_CITATION {"citationItems":[{"id":"ITEM-1","itemData":{"DOI":"10.1182/blood-2011-09-377713","ISSN":"1528-0020","PMID":"22442346","abstract":"Quantification of minimal residual disease (MRD) by real-time PCR directed to TCR and Ig gene rearrangements allows a refined evaluation of response in acute lymphoblastic leukemia (ALL). The German Multicenter Study Group for Adult ALL prospectively evaluated molecular response after induction/consolidation chemotherapy according to standardized methods and terminology in patients with Philadelphia chromosome-negative ALL. The cytologic complete response (CR) rate was 89% after induction phases 1 and 2. At this time point the molecular CR rate was 70% in 580 patients with cytologic CR and evaluable MRD. Patients with molecular CR after consolidation had a significantly higher probability of continuous complete remission (CCR; 74% vs 35%; P &lt; .0001) and of overall survival (80% vs 42%; P = .0001) compared with patients with molecular failure. Patients with molecular failure without stem cell transplantation (SCT) in first CR relapsed after a median time of 7.6 months; CCR and survival at 5 years only reached 12% and 33%, respectively. Quantitative MRD assessment identified patients with molecular failure as a new high-risk group. These patients display resistance to conventional drugs and are candidates for treatment with targeted, experimental drugs and allogeneic SCT. Molecular response was shown to be highly predictive for outcome and therefore constitutes a relevant study end point. The studies are registered at www.clinicaltrials.gov as NCT00199056 and NCT00198991.","author":[{"dropping-particle":"","family":"Gökbuget","given":"Nicola","non-dropping-particle":"","parse-names":false,"suffix":""},{"dropping-particle":"","family":"Kneba","given":"Michael","non-dropping-particle":"","parse-names":false,"suffix":""},{"dropping-particle":"","family":"Raff","given":"Thorsten","non-dropping-particle":"","parse-names":false,"suffix":""},{"dropping-particle":"","family":"Trautmann","given":"Heiko","non-dropping-particle":"","parse-names":false,"suffix":""},{"dropping-particle":"","family":"Bartram","given":"Claus-Rainer","non-dropping-particle":"","parse-names":false,"suffix":""},{"dropping-particle":"","family":"Arnold","given":"Renate","non-dropping-particle":"","parse-names":false,"suffix":""},{"dropping-particle":"","family":"Fietkau","given":"Rainer","non-dropping-particle":"","parse-names":false,"suffix":""},{"dropping-particle":"","family":"Freund","given":"Mathias","non-dropping-particle":"","parse-names":false,"suffix":""},{"dropping-particle":"","family":"Ganser","given":"Arnold","non-dropping-particle":"","parse-names":false,"suffix":""},{"dropping-particle":"","family":"Ludwig","given":"Wolf-Dieter","non-dropping-particle":"","parse-names":false,"suffix":""},{"dropping-particle":"","family":"Maschmeyer","given":"Georg","non-dropping-particle":"","parse-names":false,"suffix":""},{"dropping-particle":"","family":"Rieder","given":"Harald","non-dropping-particle":"","parse-names":false,"suffix":""},{"dropping-particle":"","family":"Schwartz","given":"Stefan","non-dropping-particle":"","parse-names":false,"suffix":""},{"dropping-particle":"","family":"Serve","given":"Hubert","non-dropping-particle":"","parse-names":false,"suffix":""},{"dropping-particle":"","family":"Thiel","given":"Eckhard","non-dropping-particle":"","parse-names":false,"suffix":""},{"dropping-particle":"","family":"Brüggemann","given":"Monika","non-dropping-particle":"","parse-names":false,"suffix":""},{"dropping-particle":"","family":"Hoelzer","given":"Dieter","non-dropping-particle":"","parse-names":false,"suffix":""},{"dropping-particle":"","family":"German Multicenter Study Group for Adult Acute Lymphoblastic Leukemia","given":"","non-dropping-particle":"","parse-names":false,"suffix":""}],"container-title":"Blood","id":"ITEM-1","issue":"9","issued":{"date-parts":[["2012","8","30"]]},"page":"1868-76","title":"Adult patients with acute lymphoblastic leukemia and molecular failure display a poor prognosis and are candidates for stem cell transplantation and targeted therapies.","type":"article-journal","volume":"120"},"uris":["http://www.mendeley.com/documents/?uuid=8085a756-02e2-3c8c-b56c-bec838e6ba45"]}],"mendeley":{"formattedCitation":"[55]","plainTextFormattedCitation":"[55]","previouslyFormattedCitation":"[55]"},"properties":{"noteIndex":0},"schema":"https://github.com/citation-style-language/schema/raw/master/csl-citation.json"}</w:instrText>
      </w:r>
      <w:r w:rsidR="009C3C1D">
        <w:fldChar w:fldCharType="separate"/>
      </w:r>
      <w:r w:rsidR="00A66456" w:rsidRPr="00A66456">
        <w:rPr>
          <w:noProof/>
        </w:rPr>
        <w:t>[55]</w:t>
      </w:r>
      <w:r w:rsidR="009C3C1D">
        <w:fldChar w:fldCharType="end"/>
      </w:r>
      <w:r w:rsidR="009C3C1D">
        <w:t>.</w:t>
      </w:r>
    </w:p>
    <w:p w14:paraId="2E181790" w14:textId="77777777" w:rsidR="00254823" w:rsidRPr="00086FEB" w:rsidRDefault="00254823" w:rsidP="00595275">
      <w:pPr>
        <w:ind w:firstLine="709"/>
        <w:contextualSpacing/>
        <w:rPr>
          <w:b/>
        </w:rPr>
      </w:pPr>
      <w:r>
        <w:rPr>
          <w:b/>
        </w:rPr>
        <w:t xml:space="preserve">Уровень убедительности рекомендаций </w:t>
      </w:r>
      <w:r w:rsidR="00CE5033">
        <w:rPr>
          <w:b/>
        </w:rPr>
        <w:t xml:space="preserve">– </w:t>
      </w:r>
      <w:r w:rsidR="00D352EF">
        <w:rPr>
          <w:b/>
        </w:rPr>
        <w:t xml:space="preserve">С </w:t>
      </w:r>
      <w:r>
        <w:rPr>
          <w:b/>
        </w:rPr>
        <w:t xml:space="preserve">(уровень </w:t>
      </w:r>
      <w:r>
        <w:rPr>
          <w:b/>
          <w:spacing w:val="-1"/>
        </w:rPr>
        <w:t xml:space="preserve">достоверности доказательств </w:t>
      </w:r>
      <w:r w:rsidR="00D43253">
        <w:rPr>
          <w:b/>
        </w:rPr>
        <w:t xml:space="preserve">– </w:t>
      </w:r>
      <w:r w:rsidR="00D352EF">
        <w:rPr>
          <w:b/>
        </w:rPr>
        <w:t>4</w:t>
      </w:r>
      <w:r w:rsidR="00D43253">
        <w:rPr>
          <w:b/>
        </w:rPr>
        <w:t>)</w:t>
      </w:r>
      <w:r w:rsidR="00CE5033">
        <w:rPr>
          <w:b/>
        </w:rPr>
        <w:t>.</w:t>
      </w:r>
    </w:p>
    <w:p w14:paraId="6D4CB418" w14:textId="260F34D6" w:rsidR="00254823" w:rsidRDefault="00254823" w:rsidP="00956D03">
      <w:pPr>
        <w:numPr>
          <w:ilvl w:val="0"/>
          <w:numId w:val="6"/>
        </w:numPr>
        <w:contextualSpacing/>
      </w:pPr>
      <w:r w:rsidRPr="0006296E">
        <w:rPr>
          <w:b/>
        </w:rPr>
        <w:t>Рекомендуется</w:t>
      </w:r>
      <w:r w:rsidRPr="000059F9">
        <w:t xml:space="preserve"> всем пациентам с ранним рецидивом или персистенцией </w:t>
      </w:r>
      <w:r w:rsidR="005D126B">
        <w:t>МОБ</w:t>
      </w:r>
      <w:r w:rsidRPr="000059F9">
        <w:t xml:space="preserve"> при В-клеточных ОЛЛ применение блинатумомаба** в монотерапии или в сочетании с </w:t>
      </w:r>
      <w:r w:rsidR="005D126B">
        <w:t>ИТК</w:t>
      </w:r>
      <w:r>
        <w:t xml:space="preserve"> в связи с эффективностью (приложение </w:t>
      </w:r>
      <w:r w:rsidR="00E26C3C">
        <w:t>А3.1</w:t>
      </w:r>
      <w:r>
        <w:t>)</w:t>
      </w:r>
      <w:r w:rsidR="009C3C1D">
        <w:t xml:space="preserve"> </w:t>
      </w:r>
      <w:r w:rsidR="009C3C1D">
        <w:fldChar w:fldCharType="begin" w:fldLock="1"/>
      </w:r>
      <w:r w:rsidR="002466C9">
        <w:instrText>ADDIN CSL_CITATION {"citationItems":[{"id":"ITEM-1","itemData":{"DOI":"10.1200/JCO.2014.56.3247","ISSN":"15277755","abstract":"© 2014 by American Society of Clinical Oncology.Purpose: Patients with relapsed or refractory acute lymphoblastic leukemia (ALL) have a dismal prognosis. CD19 is homogenously expressed in B-precursor ALL and can be targeted by the investigational bispecific T cell-engager antibody blinatumomab. A phase II trial was performed to determine clinical activity in this patient cohort. Patients and Methods: Thirty-six patients with relapsed or refractory B-precursor ALL were treated with blinatumomab in cycles of 4-week continuous infusion followed by a 2-week treatment-free interval in a single-arm study with a dose-finding stage and an extension stage. The primary end point was complete remission (CR) or CR with partial hematologic recovery (CRh). Major secondary end points included minimal residual disease (MRD) response, rate of allogeneic hematopoietic stem-cell transplantation (HSCT) realization, relapse-free survival (RFS), overall survival (OS), and incidence of adverse events (AEs). Results: Median age was 32 years (range, 18 to 77 years). Twenty-five patients (69%) achieved a CR or CRh, with 88% of the responders achieving an MRD response. Median OS was 9.8 months (95% CI, 8.5 to 14.9), and median RFS was 7.6 months (95% CI, 4.5 to 9.5). Thirteen responders (52%) underwent HSCT after achieving a CR or CRh. The most frequent AE during treatment was pyrexia (grade 1 or 2, 75%; grade 3, 6%). In six patients with nervous system or psychiatric disorder AEs and in two patients with cytokine release syndrome, treatment had to be interrupted or discontinued. These medical events were resolved clinically. Conclusion: The data support further investigation of blinatumomab for the treatment of adult patients with relapsed or refractory ALL in a larger confirmatory study.","author":[{"dropping-particle":"","family":"Topp","given":"Max S.","non-dropping-particle":"","parse-names":false,"suffix":""},{"dropping-particle":"","family":"Gökbuget","given":"Nicola","non-dropping-particle":"","parse-names":false,"suffix":""},{"dropping-particle":"","family":"Zugmaier","given":"Gerhard","non-dropping-particle":"","parse-names":false,"suffix":""},{"dropping-particle":"","family":"Klappers","given":"Petra","non-dropping-particle":"","parse-names":false,"suffix":""},{"dropping-particle":"","family":"Stelljes","given":"Matthias","non-dropping-particle":"","parse-names":false,"suffix":""},{"dropping-particle":"","family":"Neumann","given":"Svenja","non-dropping-particle":"","parse-names":false,"suffix":""},{"dropping-particle":"","family":"Viardot","given":"Andreas","non-dropping-particle":"","parse-names":false,"suffix":""},{"dropping-particle":"","family":"Marks","given":"Reinhard","non-dropping-particle":"","parse-names":false,"suffix":""},{"dropping-particle":"","family":"Diedrich","given":"Helmut","non-dropping-particle":"","parse-names":false,"suffix":""},{"dropping-particle":"","family":"Faul","given":"Christoph","non-dropping-particle":"","parse-names":false,"suffix":""},{"dropping-particle":"","family":"Reichle","given":"Albrecht","non-dropping-particle":"","parse-names":false,"suffix":""},{"dropping-particle":"","family":"Horst","given":"Heinz August","non-dropping-particle":"","parse-names":false,"suffix":""},{"dropping-particle":"","family":"Brüggemann","given":"Monika","non-dropping-particle":"","parse-names":false,"suffix":""},{"dropping-particle":"","family":"Wessiepe","given":"Dorothea","non-dropping-particle":"","parse-names":false,"suffix":""},{"dropping-particle":"","family":"Holland","given":"Chris","non-dropping-particle":"","parse-names":false,"suffix":""},{"dropping-particle":"","family":"Alekar","given":"Shilpa","non-dropping-particle":"","parse-names":false,"suffix":""},{"dropping-particle":"","family":"Mergen","given":"Noemi","non-dropping-particle":"","parse-names":false,"suffix":""},{"dropping-particle":"","family":"Einsele","given":"Hermann","non-dropping-particle":"","parse-names":false,"suffix":""},{"dropping-particle":"","family":"Hoelzer","given":"Dieter","non-dropping-particle":"","parse-names":false,"suffix":""},{"dropping-particle":"","family":"Bargou","given":"Ralf C.","non-dropping-particle":"","parse-names":false,"suffix":""}],"container-title":"Journal of Clinical Oncology","id":"ITEM-1","issue":"36","issued":{"date-parts":[["2014","12","20"]]},"page":"4134-4140","publisher":"American Society of Clinical Oncology","title":"Phase II trial of the anti-CD19 bispecific T cell-engager blinatumomab shows hematologic and molecular remissions in patients with relapsed or refractory B-precursor acute lymphoblastic leukemia","type":"article-journal","volume":"32"},"uris":["http://www.mendeley.com/documents/?uuid=81941d15-d42b-3c74-9227-402b6678d03f"]}],"mendeley":{"formattedCitation":"[73]","plainTextFormattedCitation":"[73]","previouslyFormattedCitation":"[73]"},"properties":{"noteIndex":0},"schema":"https://github.com/citation-style-language/schema/raw/master/csl-citation.json"}</w:instrText>
      </w:r>
      <w:r w:rsidR="009C3C1D">
        <w:fldChar w:fldCharType="separate"/>
      </w:r>
      <w:r w:rsidR="00A66456" w:rsidRPr="00A66456">
        <w:rPr>
          <w:noProof/>
        </w:rPr>
        <w:t>[73]</w:t>
      </w:r>
      <w:r w:rsidR="009C3C1D">
        <w:fldChar w:fldCharType="end"/>
      </w:r>
      <w:r w:rsidR="009C3C1D">
        <w:t>.</w:t>
      </w:r>
    </w:p>
    <w:p w14:paraId="32A5F32E" w14:textId="77777777" w:rsidR="00254823" w:rsidRDefault="00254823" w:rsidP="00595275">
      <w:pPr>
        <w:ind w:firstLine="709"/>
        <w:contextualSpacing/>
        <w:rPr>
          <w:b/>
        </w:rPr>
      </w:pPr>
      <w:r>
        <w:rPr>
          <w:b/>
        </w:rPr>
        <w:t xml:space="preserve">Уровень убедительности рекомендаций </w:t>
      </w:r>
      <w:r w:rsidR="00CE5033">
        <w:rPr>
          <w:b/>
        </w:rPr>
        <w:t xml:space="preserve">– </w:t>
      </w:r>
      <w:r w:rsidR="00D352EF">
        <w:rPr>
          <w:b/>
        </w:rPr>
        <w:t xml:space="preserve">С </w:t>
      </w:r>
      <w:r>
        <w:rPr>
          <w:b/>
        </w:rPr>
        <w:t xml:space="preserve">(уровень </w:t>
      </w:r>
      <w:r>
        <w:rPr>
          <w:b/>
          <w:spacing w:val="-1"/>
        </w:rPr>
        <w:t xml:space="preserve">достоверности доказательств </w:t>
      </w:r>
      <w:r w:rsidR="00D43253">
        <w:rPr>
          <w:b/>
        </w:rPr>
        <w:t xml:space="preserve">– </w:t>
      </w:r>
      <w:r w:rsidR="00D352EF">
        <w:rPr>
          <w:b/>
        </w:rPr>
        <w:t>4</w:t>
      </w:r>
      <w:r w:rsidR="00D43253">
        <w:rPr>
          <w:b/>
        </w:rPr>
        <w:t>)</w:t>
      </w:r>
      <w:r w:rsidR="00CE5033">
        <w:rPr>
          <w:b/>
        </w:rPr>
        <w:t>.</w:t>
      </w:r>
    </w:p>
    <w:p w14:paraId="6D17692D" w14:textId="1972F369" w:rsidR="00BD4EC5" w:rsidRPr="009F500F" w:rsidRDefault="00BD4EC5" w:rsidP="00BD4EC5">
      <w:pPr>
        <w:numPr>
          <w:ilvl w:val="0"/>
          <w:numId w:val="6"/>
        </w:numPr>
        <w:contextualSpacing/>
      </w:pPr>
      <w:r w:rsidRPr="009F500F">
        <w:rPr>
          <w:b/>
        </w:rPr>
        <w:t>Рекомендуется</w:t>
      </w:r>
      <w:r w:rsidRPr="009F500F">
        <w:t xml:space="preserve"> всем пациентам с ранним рецидивом или персистенцией МОБ при В-клеточных ОЛЛ применение #инотузумаба озогамицина** в связи с эффективностью (приложение А3.1).</w:t>
      </w:r>
    </w:p>
    <w:p w14:paraId="2DFA0ED2" w14:textId="228E7641" w:rsidR="00BD4EC5" w:rsidRPr="009F500F" w:rsidRDefault="00BD4EC5" w:rsidP="00BD4EC5">
      <w:pPr>
        <w:ind w:firstLine="709"/>
        <w:contextualSpacing/>
        <w:rPr>
          <w:b/>
        </w:rPr>
      </w:pPr>
      <w:r w:rsidRPr="009F500F">
        <w:rPr>
          <w:b/>
        </w:rPr>
        <w:t xml:space="preserve">Уровень убедительности рекомендаций – С (уровень </w:t>
      </w:r>
      <w:r w:rsidRPr="009F500F">
        <w:rPr>
          <w:b/>
          <w:spacing w:val="-1"/>
        </w:rPr>
        <w:t xml:space="preserve">достоверности доказательств </w:t>
      </w:r>
      <w:r w:rsidRPr="009F500F">
        <w:rPr>
          <w:b/>
        </w:rPr>
        <w:t>– 4).</w:t>
      </w:r>
    </w:p>
    <w:p w14:paraId="286C04AD" w14:textId="2262A2FA" w:rsidR="00EC7111" w:rsidRPr="009F500F" w:rsidRDefault="00EC7111" w:rsidP="00EC7111">
      <w:pPr>
        <w:numPr>
          <w:ilvl w:val="0"/>
          <w:numId w:val="6"/>
        </w:numPr>
        <w:contextualSpacing/>
      </w:pPr>
      <w:r w:rsidRPr="009F500F">
        <w:rPr>
          <w:b/>
        </w:rPr>
        <w:t>Рекомендуется</w:t>
      </w:r>
      <w:r w:rsidRPr="009F500F">
        <w:t xml:space="preserve"> всем пациентам с рецидивом при В-клеточных ОЛЛ </w:t>
      </w:r>
      <w:r w:rsidR="00111D8A" w:rsidRPr="009F500F">
        <w:t xml:space="preserve">рассмотреть возможность </w:t>
      </w:r>
      <w:r w:rsidRPr="009F500F">
        <w:t xml:space="preserve">применение </w:t>
      </w:r>
      <w:r w:rsidR="00111D8A" w:rsidRPr="009F500F">
        <w:t>терапии Т-клетками с химерным интигенным рецептором</w:t>
      </w:r>
      <w:r w:rsidRPr="009F500F">
        <w:t xml:space="preserve"> </w:t>
      </w:r>
      <w:r w:rsidR="00111D8A" w:rsidRPr="009F500F">
        <w:t>(</w:t>
      </w:r>
      <w:r w:rsidR="00111D8A" w:rsidRPr="009F500F">
        <w:rPr>
          <w:i/>
          <w:lang w:val="en-US"/>
        </w:rPr>
        <w:t>Chimeric</w:t>
      </w:r>
      <w:r w:rsidR="00111D8A" w:rsidRPr="009F500F">
        <w:rPr>
          <w:i/>
        </w:rPr>
        <w:t xml:space="preserve"> </w:t>
      </w:r>
      <w:r w:rsidR="00111D8A" w:rsidRPr="009F500F">
        <w:rPr>
          <w:i/>
          <w:lang w:val="en-US"/>
        </w:rPr>
        <w:t>Antigen</w:t>
      </w:r>
      <w:r w:rsidR="00111D8A" w:rsidRPr="009F500F">
        <w:rPr>
          <w:i/>
        </w:rPr>
        <w:t xml:space="preserve"> </w:t>
      </w:r>
      <w:r w:rsidR="00111D8A" w:rsidRPr="009F500F">
        <w:rPr>
          <w:i/>
          <w:lang w:val="en-US"/>
        </w:rPr>
        <w:t>Receptor</w:t>
      </w:r>
      <w:r w:rsidR="00111D8A" w:rsidRPr="009F500F">
        <w:rPr>
          <w:i/>
        </w:rPr>
        <w:t xml:space="preserve"> </w:t>
      </w:r>
      <w:r w:rsidR="00111D8A" w:rsidRPr="009F500F">
        <w:rPr>
          <w:i/>
          <w:lang w:val="en-US"/>
        </w:rPr>
        <w:t>T</w:t>
      </w:r>
      <w:r w:rsidR="00111D8A" w:rsidRPr="009F500F">
        <w:rPr>
          <w:i/>
        </w:rPr>
        <w:t>-</w:t>
      </w:r>
      <w:r w:rsidR="00111D8A" w:rsidRPr="009F500F">
        <w:rPr>
          <w:i/>
          <w:lang w:val="en-US"/>
        </w:rPr>
        <w:t>cell</w:t>
      </w:r>
      <w:r w:rsidR="00111D8A" w:rsidRPr="009F500F">
        <w:rPr>
          <w:i/>
        </w:rPr>
        <w:t xml:space="preserve"> - </w:t>
      </w:r>
      <w:r w:rsidR="00111D8A" w:rsidRPr="009F500F">
        <w:rPr>
          <w:i/>
          <w:lang w:val="en-US"/>
        </w:rPr>
        <w:t>CAR</w:t>
      </w:r>
      <w:r w:rsidR="00111D8A" w:rsidRPr="009F500F">
        <w:rPr>
          <w:i/>
        </w:rPr>
        <w:t>-</w:t>
      </w:r>
      <w:r w:rsidR="00111D8A" w:rsidRPr="009F500F">
        <w:rPr>
          <w:i/>
          <w:lang w:val="en-US"/>
        </w:rPr>
        <w:t>T</w:t>
      </w:r>
      <w:r w:rsidR="00111D8A" w:rsidRPr="009F500F">
        <w:rPr>
          <w:i/>
        </w:rPr>
        <w:t>)</w:t>
      </w:r>
      <w:r w:rsidR="00111D8A" w:rsidRPr="009F500F">
        <w:t xml:space="preserve"> </w:t>
      </w:r>
      <w:r w:rsidRPr="009F500F">
        <w:t>в связи с эффективностью</w:t>
      </w:r>
      <w:r w:rsidR="005B3BA9" w:rsidRPr="009F500F">
        <w:t xml:space="preserve"> [222-223]</w:t>
      </w:r>
      <w:r w:rsidRPr="009F500F">
        <w:t>.</w:t>
      </w:r>
    </w:p>
    <w:p w14:paraId="182A0818" w14:textId="1439F8AB" w:rsidR="00EC7111" w:rsidRPr="009F500F" w:rsidRDefault="00EC7111" w:rsidP="00EC7111">
      <w:pPr>
        <w:ind w:firstLine="709"/>
        <w:contextualSpacing/>
        <w:rPr>
          <w:b/>
        </w:rPr>
      </w:pPr>
      <w:r w:rsidRPr="009F500F">
        <w:rPr>
          <w:b/>
        </w:rPr>
        <w:t xml:space="preserve">Уровень убедительности рекомендаций – С (уровень </w:t>
      </w:r>
      <w:r w:rsidRPr="009F500F">
        <w:rPr>
          <w:b/>
          <w:spacing w:val="-1"/>
        </w:rPr>
        <w:t xml:space="preserve">достоверности доказательств </w:t>
      </w:r>
      <w:r w:rsidRPr="009F500F">
        <w:rPr>
          <w:b/>
        </w:rPr>
        <w:t>– 4).</w:t>
      </w:r>
    </w:p>
    <w:p w14:paraId="74AAFAAA" w14:textId="4357A6F2" w:rsidR="00111D8A" w:rsidRPr="009F500F" w:rsidRDefault="00111D8A" w:rsidP="00111D8A">
      <w:pPr>
        <w:ind w:firstLine="567"/>
        <w:textAlignment w:val="baseline"/>
        <w:rPr>
          <w:shd w:val="clear" w:color="auto" w:fill="FFFFFF"/>
        </w:rPr>
      </w:pPr>
      <w:r w:rsidRPr="009F500F">
        <w:rPr>
          <w:b/>
        </w:rPr>
        <w:t xml:space="preserve">Комментарии: </w:t>
      </w:r>
      <w:r w:rsidRPr="009F500F">
        <w:rPr>
          <w:i/>
        </w:rPr>
        <w:t>Внедрение в клиническую практику терапии Т-клетками с химерным антигенным рецептором (</w:t>
      </w:r>
      <w:r w:rsidRPr="009F500F">
        <w:rPr>
          <w:i/>
          <w:lang w:val="en-US"/>
        </w:rPr>
        <w:t>Chimeric</w:t>
      </w:r>
      <w:r w:rsidRPr="009F500F">
        <w:rPr>
          <w:i/>
        </w:rPr>
        <w:t xml:space="preserve"> </w:t>
      </w:r>
      <w:r w:rsidRPr="009F500F">
        <w:rPr>
          <w:i/>
          <w:lang w:val="en-US"/>
        </w:rPr>
        <w:t>Antigen</w:t>
      </w:r>
      <w:r w:rsidRPr="009F500F">
        <w:rPr>
          <w:i/>
        </w:rPr>
        <w:t xml:space="preserve"> </w:t>
      </w:r>
      <w:r w:rsidRPr="009F500F">
        <w:rPr>
          <w:i/>
          <w:lang w:val="en-US"/>
        </w:rPr>
        <w:t>Receptor</w:t>
      </w:r>
      <w:r w:rsidRPr="009F500F">
        <w:rPr>
          <w:i/>
        </w:rPr>
        <w:t xml:space="preserve"> </w:t>
      </w:r>
      <w:r w:rsidRPr="009F500F">
        <w:rPr>
          <w:i/>
          <w:lang w:val="en-US"/>
        </w:rPr>
        <w:t>T</w:t>
      </w:r>
      <w:r w:rsidRPr="009F500F">
        <w:rPr>
          <w:i/>
        </w:rPr>
        <w:t>-</w:t>
      </w:r>
      <w:r w:rsidRPr="009F500F">
        <w:rPr>
          <w:i/>
          <w:lang w:val="en-US"/>
        </w:rPr>
        <w:t>cell</w:t>
      </w:r>
      <w:r w:rsidRPr="009F500F">
        <w:rPr>
          <w:i/>
        </w:rPr>
        <w:t xml:space="preserve"> - </w:t>
      </w:r>
      <w:r w:rsidRPr="009F500F">
        <w:rPr>
          <w:i/>
          <w:lang w:val="en-US"/>
        </w:rPr>
        <w:t>CAR</w:t>
      </w:r>
      <w:r w:rsidRPr="009F500F">
        <w:rPr>
          <w:i/>
        </w:rPr>
        <w:t>-</w:t>
      </w:r>
      <w:r w:rsidRPr="009F500F">
        <w:rPr>
          <w:i/>
          <w:lang w:val="en-US"/>
        </w:rPr>
        <w:t>T</w:t>
      </w:r>
      <w:r w:rsidRPr="009F500F">
        <w:rPr>
          <w:i/>
        </w:rPr>
        <w:t xml:space="preserve">) открывает новые перспективы лечения этой группы больных. СAR-T-клетки представляют собой генно-инженерные модифицированные Т-лимфоциты, способные экспрессировать на своей поверхности химерный антигенный рецептор (CAR), распознающий специфический опухолевый антиген. CAR состоит из антиген-распознающего домена, который фактически является вариабельным фрагментом опухоль-специфичного моноклонального антитела с необходимой аминокислотной последовательностью для таргетного воздействия, соединенного с частью Т-клеточного рецептора, состоящего из </w:t>
      </w:r>
      <w:r w:rsidRPr="009F500F">
        <w:rPr>
          <w:i/>
        </w:rPr>
        <w:lastRenderedPageBreak/>
        <w:t xml:space="preserve">трансмембранного домена, сигнального домена и костимуляторных молекул, которые опосредует активацию Т-клетки. Как итог такого слияния, клетка с CAR способна распознавать опухолевый антиген, активироваться и уничтожать опухолевую клетку, то есть имеет преимущества как моноклонального антитела с высокой аффинностью и специфичностью, так и лимфоцита со способностью к пролиферации и цитотоксическому действию </w:t>
      </w:r>
      <w:r w:rsidRPr="009F500F">
        <w:rPr>
          <w:i/>
        </w:rPr>
        <w:fldChar w:fldCharType="begin" w:fldLock="1"/>
      </w:r>
      <w:r w:rsidRPr="009F500F">
        <w:rPr>
          <w:i/>
        </w:rPr>
        <w:instrText>ADDIN CSL_CITATION {"citationItems":[{"id":"ITEM-1","itemData":{"DOI":"10.1126/science.aar6711","ISSN":"10959203","PMID":"29567707","abstract":"Adoptive T cell transfer (ACT) is a new area of transfusion medicine involving the infusion of lymphocytes to mediate antitumor, antiviral, or anti-inflammatory effects. The field has rapidly advanced from a promising form of immuno-oncology in preclinical models to the recent commercial approvals of chimeric antigen receptor (CAR) T cells to treat leukemia and lymphoma. This Review describes opportunities and challenges for entering mainstream oncology that presently face the CAR T field, with a focus on the challenges that have emerged over the past several years.","author":[{"dropping-particle":"","family":"June","given":"Carl H.","non-dropping-particle":"","parse-names":false,"suffix":""},{"dropping-particle":"","family":"O'Connor","given":"Roddy S.","non-dropping-particle":"","parse-names":false,"suffix":""},{"dropping-particle":"","family":"Kawalekar","given":"Omkar U.","non-dropping-particle":"","parse-names":false,"suffix":""},{"dropping-particle":"","family":"Ghassemi","given":"Saba","non-dropping-particle":"","parse-names":false,"suffix":""},{"dropping-particle":"","family":"Milone","given":"Michael C.","non-dropping-particle":"","parse-names":false,"suffix":""}],"container-title":"Science","id":"ITEM-1","issue":"6382","issued":{"date-parts":[["2018","3"]]},"page":"1361-1365","publisher":"American Association for the Advancement of Science","title":"CAR T cell immunotherapy for human cancer","type":"article","volume":"359"},"uris":["http://www.mendeley.com/documents/?uuid=5996aa71-978e-4483-9fb1-5d36017d99e5"]}],"mendeley":{"formattedCitation":"[6]","plainTextFormattedCitation":"[6]","previouslyFormattedCitation":"[6]"},"properties":{"noteIndex":0},"schema":"https://github.com/citation-style-language/schema/raw/master/csl-citation.json"}</w:instrText>
      </w:r>
      <w:r w:rsidRPr="009F500F">
        <w:rPr>
          <w:i/>
        </w:rPr>
        <w:fldChar w:fldCharType="separate"/>
      </w:r>
      <w:r w:rsidR="005B3BA9" w:rsidRPr="009F500F">
        <w:rPr>
          <w:i/>
          <w:noProof/>
        </w:rPr>
        <w:t>[221</w:t>
      </w:r>
      <w:r w:rsidRPr="009F500F">
        <w:rPr>
          <w:i/>
          <w:noProof/>
        </w:rPr>
        <w:t>]</w:t>
      </w:r>
      <w:r w:rsidRPr="009F500F">
        <w:rPr>
          <w:i/>
        </w:rPr>
        <w:fldChar w:fldCharType="end"/>
      </w:r>
      <w:r w:rsidRPr="009F500F">
        <w:rPr>
          <w:i/>
        </w:rPr>
        <w:t>.</w:t>
      </w:r>
      <w:r w:rsidRPr="009F500F">
        <w:rPr>
          <w:shd w:val="clear" w:color="auto" w:fill="FFFFFF"/>
        </w:rPr>
        <w:t xml:space="preserve"> </w:t>
      </w:r>
      <w:r w:rsidRPr="009F500F">
        <w:rPr>
          <w:i/>
          <w:shd w:val="clear" w:color="auto" w:fill="FFFFFF"/>
        </w:rPr>
        <w:t xml:space="preserve">После получения результатов, свидетельствующих об эффективности CD19 CAR-T клеток в исследовании </w:t>
      </w:r>
      <w:r w:rsidRPr="009F500F">
        <w:rPr>
          <w:i/>
          <w:shd w:val="clear" w:color="auto" w:fill="FFFFFF"/>
          <w:lang w:val="en-US"/>
        </w:rPr>
        <w:t>ELIANA</w:t>
      </w:r>
      <w:r w:rsidRPr="009F500F">
        <w:rPr>
          <w:i/>
          <w:shd w:val="clear" w:color="auto" w:fill="FFFFFF"/>
        </w:rPr>
        <w:t xml:space="preserve"> в 2017 г. </w:t>
      </w:r>
      <w:r w:rsidRPr="009F500F">
        <w:rPr>
          <w:i/>
          <w:shd w:val="clear" w:color="auto" w:fill="FFFFFF"/>
        </w:rPr>
        <w:fldChar w:fldCharType="begin" w:fldLock="1"/>
      </w:r>
      <w:r w:rsidRPr="009F500F">
        <w:rPr>
          <w:i/>
          <w:shd w:val="clear" w:color="auto" w:fill="FFFFFF"/>
        </w:rPr>
        <w:instrText>ADDIN CSL_CITATION {"citationItems":[{"id":"ITEM-1","itemData":{"DOI":"10.1056/nejmoa1709866","ISSN":"0028-4793","PMID":"29385370","abstract":"BACKGROUND In a single-center phase 1-2a study, the anti-CD19 chimeric antigen receptor (CAR) T-cell therapy tisagenlecleucel produced high rates of complete remission and was associated with serious but mainly reversible toxic effects in children and young adults with relapsed or refractory B-cell acute lymphoblastic leukemia (ALL). METHODS We conducted a phase 2, single-cohort, 25-center, global study of tisagenlecleucel in pediatric and young adult patients with CD19+ relapsed or refractory B-cell ALL. The primary end point was the overall remission rate (the rate of complete remission or complete remission with incomplete hematologic recovery) within 3 months. RESULTS For this planned analysis, 75 patients received an infusion of tisagenlecleucel and could be evaluated for efficacy. The overall remission rate within 3 months was 81%, with all patients who had a response to treatment found to be negative for minimal residual disease, as assessed by means of flow cytometry. The rates of event-free survival and overall survival were 73% (95% confidence interval [CI], 60 to 82) and 90% (95% CI, 81 to 95), respectively, at 6 months and 50% (95% CI, 35 to 64) and 76% (95% CI, 63 to 86) at 12 months. The median duration of remission was not reached. Persistence of tisagenlecleucel in the blood was observed for as long as 20 months. Grade 3 or 4 adverse events that were suspected to be related to tisagenlecleucel occurred in 73% of patients. The cytokine release syndrome occurred in 77% of patients, 48% of whom received tocilizumab. Neurologic events occurred in 40% of patients and were managed with supportive care, and no cerebral edema was reported. CONCLUSIONS In this global study of CAR T-cell therapy, a single infusion of tisagenlecleucel provided durable remission with long-term persistence in pediatric and young adult patients with relapsed or refractory B-cell ALL, with transient high-grade toxic effects. (Funded by Novartis Pharmaceuticals; ClinicalTrials.gov number, NCT02435849 .).","author":[{"dropping-particle":"","family":"Maude","given":"Shannon L.","non-dropping-particle":"","parse-names":false,"suffix":""},{"dropping-particle":"","family":"Laetsch","given":"Theodore W.","non-dropping-particle":"","parse-names":false,"suffix":""},{"dropping-particle":"","family":"Buechner","given":"Jochen","non-dropping-particle":"","parse-names":false,"suffix":""},{"dropping-particle":"","family":"Rives","given":"Susana","non-dropping-particle":"","parse-names":false,"suffix":""},{"dropping-particle":"","family":"Boyer","given":"Michael","non-dropping-particle":"","parse-names":false,"suffix":""},{"dropping-particle":"","family":"Bittencourt","given":"Henrique","non-dropping-particle":"","parse-names":false,"suffix":""},{"dropping-particle":"","family":"Bader","given":"Peter","non-dropping-particle":"","parse-names":false,"suffix":""},{"dropping-particle":"","family":"Verneris","given":"Michael R.","non-dropping-particle":"","parse-names":false,"suffix":""},{"dropping-particle":"","family":"Stefanski","given":"Heather E.","non-dropping-particle":"","parse-names":false,"suffix":""},{"dropping-particle":"","family":"Myers","given":"Gary D.","non-dropping-particle":"","parse-names":false,"suffix":""},{"dropping-particle":"","family":"Qayed","given":"Muna","non-dropping-particle":"","parse-names":false,"suffix":""},{"dropping-particle":"","family":"Moerloose","given":"Barbara","non-dropping-particle":"De","parse-names":false,"suffix":""},{"dropping-particle":"","family":"Hiramatsu","given":"Hidefumi","non-dropping-particle":"","parse-names":false,"suffix":""},{"dropping-particle":"","family":"Schlis","given":"Krysta","non-dropping-particle":"","parse-names":false,"suffix":""},{"dropping-particle":"","family":"Davis","given":"Kara L.","non-dropping-particle":"","parse-names":false,"suffix":""},{"dropping-particle":"","family":"Martin","given":"Paul L.","non-dropping-particle":"","parse-names":false,"suffix":""},{"dropping-particle":"","family":"Nemecek","given":"Eneida R.","non-dropping-particle":"","parse-names":false,"suffix":""},{"dropping-particle":"","family":"Yanik","given":"Gregory A.","non-dropping-particle":"","parse-names":false,"suffix":""},{"dropping-particle":"","family":"Peters","given":"Christina","non-dropping-particle":"","parse-names":false,"suffix":""},{"dropping-particle":"","family":"Baruchel","given":"Andre","non-dropping-particle":"","parse-names":false,"suffix":""},{"dropping-particle":"","family":"Boissel","given":"Nicolas","non-dropping-particle":"","parse-names":false,"suffix":""},{"dropping-particle":"","family":"Mechinaud","given":"Francoise","non-dropping-particle":"","parse-names":false,"suffix":""},{"dropping-particle":"","family":"Balduzzi","given":"Adriana","non-dropping-particle":"","parse-names":false,"suffix":""},{"dropping-particle":"","family":"Krueger","given":"Joerg","non-dropping-particle":"","parse-names":false,"suffix":""},{"dropping-particle":"","family":"June","given":"Carl H.","non-dropping-particle":"","parse-names":false,"suffix":""},{"dropping-particle":"","family":"Levine","given":"Bruce L.","non-dropping-particle":"","parse-names":false,"suffix":""},{"dropping-particle":"","family":"Wood","given":"Patricia","non-dropping-particle":"","parse-names":false,"suffix":""},{"dropping-particle":"","family":"Taran","given":"Tetiana","non-dropping-particle":"","parse-names":false,"suffix":""},{"dropping-particle":"","family":"Leung","given":"Mimi","non-dropping-particle":"","parse-names":false,"suffix":""},{"dropping-particle":"","family":"Mueller","given":"Karen T.","non-dropping-particle":"","parse-names":false,"suffix":""},{"dropping-particle":"","family":"Zhang","given":"Yiyun","non-dropping-particle":"","parse-names":false,"suffix":""},{"dropping-particle":"","family":"Sen","given":"Kapildeb","non-dropping-particle":"","parse-names":false,"suffix":""},{"dropping-particle":"","family":"Lebwohl","given":"David","non-dropping-particle":"","parse-names":false,"suffix":""},{"dropping-particle":"","family":"Pulsipher","given":"Michael A.","non-dropping-particle":"","parse-names":false,"suffix":""},{"dropping-particle":"","family":"Grupp","given":"Stephan A.","non-dropping-particle":"","parse-names":false,"suffix":""}],"container-title":"N Engl J Med","id":"ITEM-1","issue":"5","issued":{"date-parts":[["2018"]]},"page":"439-448","title":"Tisagenlecleucel in Children and Young Adults with B-Cell Lymphoblastic Leukemia","type":"article-journal","volume":"378"},"uris":["http://www.mendeley.com/documents/?uuid=85ff83c8-6b28-4cb4-aa61-a131834d57f3"]}],"mendeley":{"formattedCitation":"[12]","plainTextFormattedCitation":"[12]","previouslyFormattedCitation":"[12]"},"properties":{"noteIndex":0},"schema":"https://github.com/citation-style-language/schema/raw/master/csl-citation.json"}</w:instrText>
      </w:r>
      <w:r w:rsidRPr="009F500F">
        <w:rPr>
          <w:i/>
          <w:shd w:val="clear" w:color="auto" w:fill="FFFFFF"/>
        </w:rPr>
        <w:fldChar w:fldCharType="separate"/>
      </w:r>
      <w:r w:rsidR="005B3BA9" w:rsidRPr="009F500F">
        <w:rPr>
          <w:i/>
          <w:noProof/>
          <w:shd w:val="clear" w:color="auto" w:fill="FFFFFF"/>
        </w:rPr>
        <w:t>[222</w:t>
      </w:r>
      <w:r w:rsidRPr="009F500F">
        <w:rPr>
          <w:i/>
          <w:noProof/>
          <w:shd w:val="clear" w:color="auto" w:fill="FFFFFF"/>
        </w:rPr>
        <w:t>]</w:t>
      </w:r>
      <w:r w:rsidRPr="009F500F">
        <w:rPr>
          <w:i/>
          <w:shd w:val="clear" w:color="auto" w:fill="FFFFFF"/>
        </w:rPr>
        <w:fldChar w:fldCharType="end"/>
      </w:r>
      <w:r w:rsidRPr="009F500F">
        <w:rPr>
          <w:i/>
          <w:shd w:val="clear" w:color="auto" w:fill="FFFFFF"/>
        </w:rPr>
        <w:t>, Управлением по санитарному надзору за качеством пищевых продуктов и медикаментов США (</w:t>
      </w:r>
      <w:r w:rsidRPr="009F500F">
        <w:rPr>
          <w:i/>
          <w:shd w:val="clear" w:color="auto" w:fill="FFFFFF"/>
          <w:lang w:val="en-US"/>
        </w:rPr>
        <w:t>Food</w:t>
      </w:r>
      <w:r w:rsidRPr="009F500F">
        <w:rPr>
          <w:i/>
          <w:shd w:val="clear" w:color="auto" w:fill="FFFFFF"/>
        </w:rPr>
        <w:t xml:space="preserve"> </w:t>
      </w:r>
      <w:r w:rsidRPr="009F500F">
        <w:rPr>
          <w:i/>
          <w:shd w:val="clear" w:color="auto" w:fill="FFFFFF"/>
          <w:lang w:val="en-US"/>
        </w:rPr>
        <w:t>and</w:t>
      </w:r>
      <w:r w:rsidRPr="009F500F">
        <w:rPr>
          <w:i/>
          <w:shd w:val="clear" w:color="auto" w:fill="FFFFFF"/>
        </w:rPr>
        <w:t xml:space="preserve"> </w:t>
      </w:r>
      <w:r w:rsidRPr="009F500F">
        <w:rPr>
          <w:i/>
          <w:shd w:val="clear" w:color="auto" w:fill="FFFFFF"/>
          <w:lang w:val="en-US"/>
        </w:rPr>
        <w:t>Drug</w:t>
      </w:r>
      <w:r w:rsidRPr="009F500F">
        <w:rPr>
          <w:i/>
          <w:shd w:val="clear" w:color="auto" w:fill="FFFFFF"/>
        </w:rPr>
        <w:t xml:space="preserve"> </w:t>
      </w:r>
      <w:r w:rsidRPr="009F500F">
        <w:rPr>
          <w:i/>
          <w:shd w:val="clear" w:color="auto" w:fill="FFFFFF"/>
          <w:lang w:val="en-US"/>
        </w:rPr>
        <w:t>Administration</w:t>
      </w:r>
      <w:r w:rsidRPr="009F500F">
        <w:rPr>
          <w:i/>
          <w:shd w:val="clear" w:color="auto" w:fill="FFFFFF"/>
        </w:rPr>
        <w:t xml:space="preserve">, </w:t>
      </w:r>
      <w:r w:rsidRPr="009F500F">
        <w:rPr>
          <w:i/>
          <w:shd w:val="clear" w:color="auto" w:fill="FFFFFF"/>
          <w:lang w:val="en-US"/>
        </w:rPr>
        <w:t>FDA</w:t>
      </w:r>
      <w:r w:rsidRPr="009F500F">
        <w:rPr>
          <w:i/>
          <w:shd w:val="clear" w:color="auto" w:fill="FFFFFF"/>
        </w:rPr>
        <w:t>) впервые был одобрен препарат CTL019 (Tisagenleucel, Kymriah</w:t>
      </w:r>
      <w:r w:rsidRPr="009F500F">
        <w:rPr>
          <w:i/>
          <w:shd w:val="clear" w:color="auto" w:fill="FFFFFF"/>
          <w:vertAlign w:val="superscript"/>
        </w:rPr>
        <w:t>©</w:t>
      </w:r>
      <w:r w:rsidRPr="009F500F">
        <w:rPr>
          <w:i/>
          <w:shd w:val="clear" w:color="auto" w:fill="FFFFFF"/>
        </w:rPr>
        <w:t xml:space="preserve">) для лечения детей и молодых взрослых до 25 лет с Р/Р </w:t>
      </w:r>
      <w:r w:rsidRPr="009F500F">
        <w:rPr>
          <w:i/>
          <w:shd w:val="clear" w:color="auto" w:fill="FFFFFF"/>
          <w:lang w:val="en-US"/>
        </w:rPr>
        <w:t>B</w:t>
      </w:r>
      <w:r w:rsidRPr="009F500F">
        <w:rPr>
          <w:i/>
          <w:shd w:val="clear" w:color="auto" w:fill="FFFFFF"/>
        </w:rPr>
        <w:t>-ОЛЛ, а в 2021 г. одобрен второй препарат, KTE-X19 (Brexucabtagene autoleucel, Tecartus</w:t>
      </w:r>
      <w:r w:rsidRPr="009F500F">
        <w:rPr>
          <w:i/>
          <w:shd w:val="clear" w:color="auto" w:fill="FFFFFF"/>
          <w:vertAlign w:val="superscript"/>
        </w:rPr>
        <w:t>©</w:t>
      </w:r>
      <w:r w:rsidRPr="009F500F">
        <w:rPr>
          <w:i/>
          <w:shd w:val="clear" w:color="auto" w:fill="FFFFFF"/>
        </w:rPr>
        <w:t xml:space="preserve">), для лечения взрослых больных Р/Р B-ОЛЛ (исследование </w:t>
      </w:r>
      <w:r w:rsidRPr="009F500F">
        <w:rPr>
          <w:i/>
          <w:shd w:val="clear" w:color="auto" w:fill="FFFFFF"/>
          <w:lang w:val="en-US"/>
        </w:rPr>
        <w:t>ZUMA</w:t>
      </w:r>
      <w:r w:rsidRPr="009F500F">
        <w:rPr>
          <w:i/>
          <w:shd w:val="clear" w:color="auto" w:fill="FFFFFF"/>
        </w:rPr>
        <w:t xml:space="preserve">-3 </w:t>
      </w:r>
      <w:r w:rsidRPr="009F500F">
        <w:rPr>
          <w:i/>
          <w:shd w:val="clear" w:color="auto" w:fill="FFFFFF"/>
        </w:rPr>
        <w:fldChar w:fldCharType="begin" w:fldLock="1"/>
      </w:r>
      <w:r w:rsidRPr="009F500F">
        <w:rPr>
          <w:i/>
          <w:shd w:val="clear" w:color="auto" w:fill="FFFFFF"/>
        </w:rPr>
        <w:instrText>ADDIN CSL_CITATION {"citationItems":[{"id":"ITEM-1","itemData":{"DOI":"10.1016/S0140-6736(21)01222-8","ISSN":"1474-547X","PMID":"34097852","abstract":"Background: Despite treatment with novel therapies and allogeneic stem-cell transplant (allo-SCT) consolidation, outcomes in adult patients with relapsed or refractory B-precursor acute lymphoblastic leukaemia remain poor, underlining the need for more effective therapies. Methods: We report the pivotal phase 2 results of ZUMA-3, an international, multicentre, single-arm, open-label study evaluating the efficacy and safety of the autologous anti-CD19 chimeric antigen receptor (CAR) T-cell therapy KTE-X19 in adult patients with relapsed or refractory B-precursor acute lymphoblastic leukaemia. Patients were enrolled at 25 sites in the USA, Canada, and Europe. Eligible patients were aged 18 years or older, with Eastern Cooperative Oncology Group performance status of 0–1, and morphological disease in the bone marrow (&gt;5% blasts). After leukapheresis and conditioning chemotherapy, patients received a single KTE-X19 infusion (1 × 106 CAR T cells per kg bodyweight). The primary endpoint was the rate of overall complete remission or complete remission with incomplete haematological recovery by central assessment. Duration of remission and relapse-free survival, overall survival, minimal residual disease (MRD) negativity rate, and allo-SCT rate were assessed as secondary endpoints. Efficacy and safety analyses were done in the treated population (all patients who received a dose of KTE-X19). This study is registered with ClinicalTrials.gov, NCT02614066. Findings: Between Oct 1, 2018, and Oct 9, 2019, 71 patients were enrolled and underwent leukapheresis. KTE-X19 was successfully manufactured for 65 (92%) patients and administered to 55 (77%). The median age of treated patients was 40 years (IQR 28–52). At the median follow-up of 16·4 months (13·8–19·6), 39 patients (71%; 95% CI 57–82, p&lt;0·0001) had complete remission or complete remission with incomplete haematological recovery, with 31 (56%) patients reaching complete remission. Median duration of remission was 12·8 months (95% CI 8·7–not estimable), median relapse-free survival was 11·6 months (2·7–15·5), and median overall survival was 18·2 months (15·9–not estimable). Among responders, the median overall survival was not reached, and 38 (97%) patients had MRD negativity. Ten (18%) patients received allo-SCT consolidation after KTE-X19 infusion. The most common adverse events of grade 3 or higher were anaemia (27 [49%] patients) and pyrexia (20 [36%] patients). 14 (25%) patients had infections of grade 3 or …","author":[{"dropping-particle":"","family":"Shah","given":"Bijal D.","non-dropping-particle":"","parse-names":false,"suffix":""},{"dropping-particle":"","family":"Ghobadi","given":"Armin","non-dropping-particle":"","parse-names":false,"suffix":""},{"dropping-particle":"","family":"Oluwole","given":"Olalekan O.","non-dropping-particle":"","parse-names":false,"suffix":""},{"dropping-particle":"","family":"Logan","given":"Aaron C.","non-dropping-particle":"","parse-names":false,"suffix":""},{"dropping-particle":"","family":"Boissel","given":"Nicolas","non-dropping-particle":"","parse-names":false,"suffix":""},{"dropping-particle":"","family":"Cassaday","given":"Ryan D.","non-dropping-particle":"","parse-names":false,"suffix":""},{"dropping-particle":"","family":"Leguay","given":"Thibaut","non-dropping-particle":"","parse-names":false,"suffix":""},{"dropping-particle":"","family":"Bishop","given":"Michael R.","non-dropping-particle":"","parse-names":false,"suffix":""},{"dropping-particle":"","family":"Topp","given":"Max S.","non-dropping-particle":"","parse-names":false,"suffix":""},{"dropping-particle":"","family":"Tzachanis","given":"Dimitrios","non-dropping-particle":"","parse-names":false,"suffix":""},{"dropping-particle":"","family":"O'Dwyer","given":"Kristen M.","non-dropping-particle":"","parse-names":false,"suffix":""},{"dropping-particle":"","family":"Arellano","given":"Martha L.","non-dropping-particle":"","parse-names":false,"suffix":""},{"dropping-particle":"","family":"Lin","given":"Yi","non-dropping-particle":"","parse-names":false,"suffix":""},{"dropping-particle":"","family":"Baer","given":"Maria R.","non-dropping-particle":"","parse-names":false,"suffix":""},{"dropping-particle":"","family":"Schiller","given":"Gary J.","non-dropping-particle":"","parse-names":false,"suffix":""},{"dropping-particle":"","family":"Park","given":"Jae H.","non-dropping-particle":"","parse-names":false,"suffix":""},{"dropping-particle":"","family":"Subklewe","given":"Marion","non-dropping-particle":"","parse-names":false,"suffix":""},{"dropping-particle":"","family":"Abedi","given":"Mehrdad","non-dropping-particle":"","parse-names":false,"suffix":""},{"dropping-particle":"","family":"Minnema","given":"Monique C.","non-dropping-particle":"","parse-names":false,"suffix":""},{"dropping-particle":"","family":"Wierda","given":"William G.","non-dropping-particle":"","parse-names":false,"suffix":""},{"dropping-particle":"","family":"DeAngelo","given":"Daniel J.","non-dropping-particle":"","parse-names":false,"suffix":""},{"dropping-particle":"","family":"Stiff","given":"Patrick","non-dropping-particle":"","parse-names":false,"suffix":""},{"dropping-particle":"","family":"Jeyakumar","given":"Deepa","non-dropping-particle":"","parse-names":false,"suffix":""},{"dropping-particle":"","family":"Feng","given":"Chaoling","non-dropping-particle":"","parse-names":false,"suffix":""},{"dropping-particle":"","family":"Dong","given":"Jinghui","non-dropping-particle":"","parse-names":false,"suffix":""},{"dropping-particle":"","family":"Shen","given":"Tong","non-dropping-particle":"","parse-names":false,"suffix":""},{"dropping-particle":"","family":"Milletti","given":"Francesca","non-dropping-particle":"","parse-names":false,"suffix":""},{"dropping-particle":"","family":"Rossi","given":"John M.","non-dropping-particle":"","parse-names":false,"suffix":""},{"dropping-particle":"","family":"Vezan","given":"Remus","non-dropping-particle":"","parse-names":false,"suffix":""},{"dropping-particle":"","family":"Masouleh","given":"Behzad Kharabi","non-dropping-particle":"","parse-names":false,"suffix":""},{"dropping-particle":"","family":"Houot","given":"Roch","non-dropping-particle":"","parse-names":false,"suffix":""}],"container-title":"Lancet","id":"ITEM-1","issue":"10299","issued":{"date-parts":[["2021","8"]]},"page":"491-502","publisher":"Lancet","title":"KTE-X19 for relapsed or refractory adult B-cell acute lymphoblastic leukaemia: phase 2 results of the single-arm, open-label, multicentre ZUMA-3 study","type":"article-journal","volume":"398"},"uris":["http://www.mendeley.com/documents/?uuid=cc71efba-45f3-44f3-b052-dc2cedb195be","http://www.mendeley.com/documents/?uuid=54678cbb-afc2-387e-9ec4-682cac7694b9"]}],"mendeley":{"formattedCitation":"[14]","plainTextFormattedCitation":"[14]","previouslyFormattedCitation":"[14]"},"properties":{"noteIndex":0},"schema":"https://github.com/citation-style-language/schema/raw/master/csl-citation.json"}</w:instrText>
      </w:r>
      <w:r w:rsidRPr="009F500F">
        <w:rPr>
          <w:i/>
          <w:shd w:val="clear" w:color="auto" w:fill="FFFFFF"/>
        </w:rPr>
        <w:fldChar w:fldCharType="separate"/>
      </w:r>
      <w:r w:rsidR="005B3BA9" w:rsidRPr="009F500F">
        <w:rPr>
          <w:i/>
          <w:noProof/>
          <w:shd w:val="clear" w:color="auto" w:fill="FFFFFF"/>
        </w:rPr>
        <w:t>[223</w:t>
      </w:r>
      <w:r w:rsidRPr="009F500F">
        <w:rPr>
          <w:i/>
          <w:noProof/>
          <w:shd w:val="clear" w:color="auto" w:fill="FFFFFF"/>
        </w:rPr>
        <w:t>]</w:t>
      </w:r>
      <w:r w:rsidRPr="009F500F">
        <w:rPr>
          <w:i/>
          <w:shd w:val="clear" w:color="auto" w:fill="FFFFFF"/>
        </w:rPr>
        <w:fldChar w:fldCharType="end"/>
      </w:r>
      <w:r w:rsidRPr="009F500F">
        <w:rPr>
          <w:i/>
          <w:shd w:val="clear" w:color="auto" w:fill="FFFFFF"/>
        </w:rPr>
        <w:t>).</w:t>
      </w:r>
      <w:r w:rsidRPr="009F500F">
        <w:rPr>
          <w:shd w:val="clear" w:color="auto" w:fill="FFFFFF"/>
        </w:rPr>
        <w:t xml:space="preserve"> </w:t>
      </w:r>
    </w:p>
    <w:p w14:paraId="236F0C4C" w14:textId="30BFC19D" w:rsidR="00254823" w:rsidRPr="008E2CAD" w:rsidRDefault="00254823" w:rsidP="00956D03">
      <w:pPr>
        <w:numPr>
          <w:ilvl w:val="0"/>
          <w:numId w:val="6"/>
        </w:numPr>
        <w:contextualSpacing/>
      </w:pPr>
      <w:r w:rsidRPr="0006296E">
        <w:rPr>
          <w:b/>
        </w:rPr>
        <w:t>Рекомендуется</w:t>
      </w:r>
      <w:r w:rsidRPr="000059F9">
        <w:t xml:space="preserve"> всем пациентам с ранним рецидивом или персистенцией </w:t>
      </w:r>
      <w:r w:rsidR="005D126B">
        <w:t>МОБ</w:t>
      </w:r>
      <w:r w:rsidRPr="000059F9">
        <w:t xml:space="preserve"> при Т-клеточных ОЛЛ применение неларабина** в сочетании с циклофосфа</w:t>
      </w:r>
      <w:r w:rsidR="004C2C6A">
        <w:t>мид</w:t>
      </w:r>
      <w:r w:rsidRPr="000059F9">
        <w:t xml:space="preserve">ом** и </w:t>
      </w:r>
      <w:r w:rsidR="00113194" w:rsidRPr="00113194">
        <w:t>#</w:t>
      </w:r>
      <w:r w:rsidRPr="000059F9">
        <w:t>этопозидом** (см. приложение</w:t>
      </w:r>
      <w:r w:rsidR="000305AB" w:rsidRPr="000305AB">
        <w:t xml:space="preserve"> </w:t>
      </w:r>
      <w:r w:rsidR="000305AB">
        <w:t>А3.1</w:t>
      </w:r>
      <w:r w:rsidRPr="000059F9">
        <w:t>)</w:t>
      </w:r>
      <w:r w:rsidR="005D19FC" w:rsidRPr="005D19FC">
        <w:t xml:space="preserve"> </w:t>
      </w:r>
      <w:r w:rsidR="005D19FC">
        <w:fldChar w:fldCharType="begin" w:fldLock="1"/>
      </w:r>
      <w:r w:rsidR="002466C9">
        <w:instrText>ADDIN CSL_CITATION {"citationItems":[{"id":"ITEM-1","itemData":{"DOI":"10.1111/bjh.13771","ISSN":"13652141","author":[{"dropping-particle":"","family":"Luskin","given":"Marlise R.","non-dropping-particle":"","parse-names":false,"suffix":""},{"dropping-particle":"","family":"Ganetsky","given":"Alex","non-dropping-particle":"","parse-names":false,"suffix":""},{"dropping-particle":"","family":"Landsburg","given":"Daniel J.","non-dropping-particle":"","parse-names":false,"suffix":""},{"dropping-particle":"","family":"Loren","given":"Alison W.","non-dropping-particle":"","parse-names":false,"suffix":""},{"dropping-particle":"","family":"Porter","given":"David L.","non-dropping-particle":"","parse-names":false,"suffix":""},{"dropping-particle":"","family":"Nasta","given":"Sunita D.","non-dropping-particle":"","parse-names":false,"suffix":""},{"dropping-particle":"","family":"Svoboda","given":"Jakub","non-dropping-particle":"","parse-names":false,"suffix":""},{"dropping-particle":"","family":"Luger","given":"Selina M.","non-dropping-particle":"","parse-names":false,"suffix":""},{"dropping-particle":"V.","family":"Frey","given":"Noelle","non-dropping-particle":"","parse-names":false,"suffix":""}],"container-title":"British Journal of Haematology","id":"ITEM-1","issue":"2","issued":{"date-parts":[["2016","7","1"]]},"page":"332-334","publisher":"Blackwell Publishing Ltd","title":"Nelarabine, cyclosphosphamide and etoposide for adults with relapsed T-cell acute lymphoblastic leukaemia and lymphoma","type":"article","volume":"174"},"uris":["http://www.mendeley.com/documents/?uuid=4cd55746-05ee-3926-bdbb-5f8c09ef215a"]}],"mendeley":{"formattedCitation":"[96]","plainTextFormattedCitation":"[96]","previouslyFormattedCitation":"[96]"},"properties":{"noteIndex":0},"schema":"https://github.com/citation-style-language/schema/raw/master/csl-citation.json"}</w:instrText>
      </w:r>
      <w:r w:rsidR="005D19FC">
        <w:fldChar w:fldCharType="separate"/>
      </w:r>
      <w:r w:rsidR="00A66456" w:rsidRPr="00A66456">
        <w:rPr>
          <w:noProof/>
        </w:rPr>
        <w:t>[96]</w:t>
      </w:r>
      <w:r w:rsidR="005D19FC">
        <w:fldChar w:fldCharType="end"/>
      </w:r>
      <w:r w:rsidR="005D19FC" w:rsidRPr="005D19FC">
        <w:t>.</w:t>
      </w:r>
    </w:p>
    <w:p w14:paraId="76377841" w14:textId="77777777" w:rsidR="00254823" w:rsidRDefault="00254823" w:rsidP="00595275">
      <w:pPr>
        <w:ind w:firstLine="709"/>
        <w:contextualSpacing/>
        <w:rPr>
          <w:b/>
        </w:rPr>
      </w:pPr>
      <w:r w:rsidRPr="005D19FC">
        <w:rPr>
          <w:b/>
        </w:rPr>
        <w:t>Уровень убедительности рекомендаций</w:t>
      </w:r>
      <w:r w:rsidR="00CE5033" w:rsidRPr="005D19FC">
        <w:rPr>
          <w:b/>
        </w:rPr>
        <w:t xml:space="preserve"> –</w:t>
      </w:r>
      <w:r w:rsidRPr="005D19FC">
        <w:rPr>
          <w:b/>
        </w:rPr>
        <w:t xml:space="preserve"> </w:t>
      </w:r>
      <w:r w:rsidR="005D19FC">
        <w:rPr>
          <w:b/>
          <w:lang w:val="en-US"/>
        </w:rPr>
        <w:t>B</w:t>
      </w:r>
      <w:r w:rsidR="005D19FC" w:rsidRPr="005D19FC">
        <w:rPr>
          <w:b/>
        </w:rPr>
        <w:t xml:space="preserve"> </w:t>
      </w:r>
      <w:r w:rsidRPr="005D19FC">
        <w:rPr>
          <w:b/>
        </w:rPr>
        <w:t xml:space="preserve">(уровень </w:t>
      </w:r>
      <w:r w:rsidRPr="005D19FC">
        <w:rPr>
          <w:b/>
          <w:spacing w:val="-1"/>
        </w:rPr>
        <w:t xml:space="preserve">достоверности доказательств </w:t>
      </w:r>
      <w:r w:rsidR="00D43253" w:rsidRPr="005D19FC">
        <w:rPr>
          <w:b/>
        </w:rPr>
        <w:t xml:space="preserve">– </w:t>
      </w:r>
      <w:r w:rsidR="005D19FC" w:rsidRPr="005D19FC">
        <w:rPr>
          <w:b/>
        </w:rPr>
        <w:t>3</w:t>
      </w:r>
      <w:r w:rsidR="00D43253" w:rsidRPr="005D19FC">
        <w:rPr>
          <w:b/>
        </w:rPr>
        <w:t>)</w:t>
      </w:r>
      <w:r w:rsidR="00CE5033" w:rsidRPr="005D19FC">
        <w:rPr>
          <w:b/>
        </w:rPr>
        <w:t>.</w:t>
      </w:r>
    </w:p>
    <w:p w14:paraId="490D3BBE" w14:textId="2DE3235B" w:rsidR="00254823" w:rsidRPr="008E2CAD" w:rsidRDefault="00254823" w:rsidP="00956D03">
      <w:pPr>
        <w:numPr>
          <w:ilvl w:val="0"/>
          <w:numId w:val="6"/>
        </w:numPr>
        <w:contextualSpacing/>
      </w:pPr>
      <w:r w:rsidRPr="0006296E">
        <w:rPr>
          <w:b/>
        </w:rPr>
        <w:t>Рекомендуется</w:t>
      </w:r>
      <w:r w:rsidRPr="000059F9">
        <w:t xml:space="preserve"> пациентам с рецидивом или персистенцией </w:t>
      </w:r>
      <w:r w:rsidR="00A976DD">
        <w:t>МОБ</w:t>
      </w:r>
      <w:r w:rsidRPr="000059F9">
        <w:t xml:space="preserve"> при Т-клеточных ОЛЛ </w:t>
      </w:r>
      <w:r>
        <w:t xml:space="preserve">(в том числе с коэкспрессией миелоидных маркеров) </w:t>
      </w:r>
      <w:r w:rsidRPr="000059F9">
        <w:t xml:space="preserve">применение </w:t>
      </w:r>
      <w:r w:rsidRPr="008E2CAD">
        <w:t>#</w:t>
      </w:r>
      <w:r>
        <w:t xml:space="preserve">венетоклакса </w:t>
      </w:r>
      <w:r w:rsidRPr="000059F9">
        <w:t>в сочетании с</w:t>
      </w:r>
      <w:r>
        <w:t xml:space="preserve"> #децитабином</w:t>
      </w:r>
      <w:r w:rsidRPr="000059F9">
        <w:t xml:space="preserve"> </w:t>
      </w:r>
      <w:r>
        <w:t xml:space="preserve">или в других комбинациях </w:t>
      </w:r>
      <w:r w:rsidRPr="000059F9">
        <w:t xml:space="preserve">(см. приложение </w:t>
      </w:r>
      <w:r w:rsidR="000305AB">
        <w:t>А3.</w:t>
      </w:r>
      <w:r w:rsidRPr="000059F9">
        <w:t>1)</w:t>
      </w:r>
      <w:r w:rsidR="009C3C1D" w:rsidRPr="009C3C1D">
        <w:t xml:space="preserve"> </w:t>
      </w:r>
      <w:r w:rsidR="009C3C1D">
        <w:fldChar w:fldCharType="begin" w:fldLock="1"/>
      </w:r>
      <w:r w:rsidR="002466C9">
        <w:instrText>ADDIN CSL_CITATION {"citationItems":[{"id":"ITEM-1","itemData":{"DOI":"10.1038/leu.2017.10","ISSN":"1476-5551","PMID":"28074072","abstract":"Inhibition of anti-apoptotic BCL-2 (B-cell lymphoma 2) has recently emerged as a promising new therapeutic strategy for the treatment of a variety of human cancers, including leukemia. Here, we used T-cell acute lymphoblastic leukemia (T-ALL) as a model system to identify novel synergistic drug combinations with the BH3 mimetic venetoclax (ABT-199). In vitro drug screening in primary leukemia specimens that were derived from patients with high risk of relapse or relapse and cell lines revealed synergistic activity between venetoclax and the BET (bromodomain and extraterminal) bromodomain inhibitor JQ1. Notably, this drug synergism was confirmed in vivo using T-ALL cell line and patient-derived xenograft models. Moreover, the therapeutic benefit of this drug combination might, at least in part, be mediated by an acute induction of the pro-apoptotic factor BCL2L11 and concomitant reduction of BCL-2 upon BET bromodomain inhibition, ultimately resulting in an enhanced binding of BIM (encoded by BCL2L11) to BCL-2. Altogether, our work provides a rationale to develop a new type of targeted combination therapy for selected subgroups of high-risk leukemia patients.","author":[{"dropping-particle":"","family":"Peirs","given":"S","non-dropping-particle":"","parse-names":false,"suffix":""},{"dropping-particle":"","family":"Frismantas","given":"V","non-dropping-particle":"","parse-names":false,"suffix":""},{"dropping-particle":"","family":"Matthijssens","given":"F","non-dropping-particle":"","parse-names":false,"suffix":""},{"dropping-particle":"","family":"Loocke","given":"W","non-dropping-particle":"Van","parse-names":false,"suffix":""},{"dropping-particle":"","family":"Pieters","given":"T","non-dropping-particle":"","parse-names":false,"suffix":""},{"dropping-particle":"","family":"Vandamme","given":"N","non-dropping-particle":"","parse-names":false,"suffix":""},{"dropping-particle":"","family":"Lintermans","given":"B","non-dropping-particle":"","parse-names":false,"suffix":""},{"dropping-particle":"","family":"Dobay","given":"M P","non-dropping-particle":"","parse-names":false,"suffix":""},{"dropping-particle":"","family":"Berx","given":"G","non-dropping-particle":"","parse-names":false,"suffix":""},{"dropping-particle":"","family":"Poppe","given":"B","non-dropping-particle":"","parse-names":false,"suffix":""},{"dropping-particle":"","family":"Goossens","given":"S","non-dropping-particle":"","parse-names":false,"suffix":""},{"dropping-particle":"","family":"Bornhauser","given":"B C","non-dropping-particle":"","parse-names":false,"suffix":""},{"dropping-particle":"","family":"Bourquin","given":"J-P","non-dropping-particle":"","parse-names":false,"suffix":""},{"dropping-particle":"","family":"Vlierberghe","given":"P","non-dropping-particle":"Van","parse-names":false,"suffix":""}],"container-title":"Leukemia","id":"ITEM-1","issue":"10","issued":{"date-parts":[["2017"]]},"page":"2037-2047","title":"Targeting BET proteins improves the therapeutic efficacy of BCL-2 inhibition in T-cell acute lymphoblastic leukemia.","type":"article-journal","volume":"31"},"uris":["http://www.mendeley.com/documents/?uuid=15e78bce-2cfc-39ff-8795-f5846d6ee891"]}],"mendeley":{"formattedCitation":"[97]","plainTextFormattedCitation":"[97]","previouslyFormattedCitation":"[97]"},"properties":{"noteIndex":0},"schema":"https://github.com/citation-style-language/schema/raw/master/csl-citation.json"}</w:instrText>
      </w:r>
      <w:r w:rsidR="009C3C1D">
        <w:fldChar w:fldCharType="separate"/>
      </w:r>
      <w:r w:rsidR="00A66456" w:rsidRPr="00A66456">
        <w:rPr>
          <w:noProof/>
        </w:rPr>
        <w:t>[97]</w:t>
      </w:r>
      <w:r w:rsidR="009C3C1D">
        <w:fldChar w:fldCharType="end"/>
      </w:r>
      <w:r w:rsidR="009C3C1D">
        <w:t>.</w:t>
      </w:r>
    </w:p>
    <w:p w14:paraId="38C50E8F" w14:textId="22219B2A" w:rsidR="00C76CE3" w:rsidRPr="005B3BA9" w:rsidRDefault="00254823" w:rsidP="005B3BA9">
      <w:pPr>
        <w:ind w:firstLine="709"/>
        <w:contextualSpacing/>
        <w:rPr>
          <w:b/>
        </w:rPr>
      </w:pPr>
      <w:r>
        <w:rPr>
          <w:b/>
        </w:rPr>
        <w:t xml:space="preserve">Уровень убедительности рекомендаций </w:t>
      </w:r>
      <w:r w:rsidR="00CE5033">
        <w:rPr>
          <w:b/>
        </w:rPr>
        <w:t xml:space="preserve">– </w:t>
      </w:r>
      <w:r w:rsidR="003B6E02">
        <w:rPr>
          <w:b/>
        </w:rPr>
        <w:t xml:space="preserve">С </w:t>
      </w:r>
      <w:r>
        <w:rPr>
          <w:b/>
        </w:rPr>
        <w:t xml:space="preserve">(уровень </w:t>
      </w:r>
      <w:r>
        <w:rPr>
          <w:b/>
          <w:spacing w:val="-1"/>
        </w:rPr>
        <w:t xml:space="preserve">достоверности доказательств </w:t>
      </w:r>
      <w:r w:rsidR="00D43253">
        <w:rPr>
          <w:b/>
        </w:rPr>
        <w:t xml:space="preserve">– </w:t>
      </w:r>
      <w:r w:rsidR="003B6E02">
        <w:rPr>
          <w:b/>
        </w:rPr>
        <w:t>5</w:t>
      </w:r>
      <w:r w:rsidR="00D43253">
        <w:rPr>
          <w:b/>
        </w:rPr>
        <w:t>)</w:t>
      </w:r>
      <w:r w:rsidR="00CE5033">
        <w:rPr>
          <w:b/>
        </w:rPr>
        <w:t>.</w:t>
      </w:r>
      <w:bookmarkStart w:id="143" w:name="_Toc26796718"/>
      <w:bookmarkStart w:id="144" w:name="_Toc64467934"/>
      <w:bookmarkStart w:id="145" w:name="_Toc13484820"/>
    </w:p>
    <w:p w14:paraId="3DE228E4" w14:textId="0C0ECD61" w:rsidR="00DD2199" w:rsidRPr="00DD2199" w:rsidRDefault="00EC6174" w:rsidP="004905C2">
      <w:pPr>
        <w:pStyle w:val="2"/>
        <w:rPr>
          <w:shd w:val="clear" w:color="auto" w:fill="FFFFFF"/>
        </w:rPr>
      </w:pPr>
      <w:bookmarkStart w:id="146" w:name="_Toc64565647"/>
      <w:r w:rsidRPr="00D4213D">
        <w:t>3.1</w:t>
      </w:r>
      <w:r w:rsidR="00C76CE3">
        <w:t>0</w:t>
      </w:r>
      <w:r w:rsidR="00CE5033">
        <w:t>.</w:t>
      </w:r>
      <w:r w:rsidRPr="00D4213D">
        <w:t xml:space="preserve"> </w:t>
      </w:r>
      <w:r w:rsidR="00254823" w:rsidRPr="0006296E">
        <w:t xml:space="preserve">Трансплантация </w:t>
      </w:r>
      <w:r w:rsidR="00254823" w:rsidRPr="00CE5033">
        <w:rPr>
          <w:rStyle w:val="30"/>
          <w:b/>
          <w:szCs w:val="24"/>
          <w:shd w:val="clear" w:color="auto" w:fill="FFFFFF"/>
        </w:rPr>
        <w:t>гемопоэтических стволовых</w:t>
      </w:r>
      <w:r w:rsidR="00254823" w:rsidRPr="0006296E">
        <w:rPr>
          <w:rStyle w:val="30"/>
          <w:szCs w:val="24"/>
          <w:shd w:val="clear" w:color="auto" w:fill="FFFFFF"/>
        </w:rPr>
        <w:t xml:space="preserve"> </w:t>
      </w:r>
      <w:r w:rsidR="00254823" w:rsidRPr="0006296E">
        <w:rPr>
          <w:shd w:val="clear" w:color="auto" w:fill="FFFFFF"/>
        </w:rPr>
        <w:t>клеток</w:t>
      </w:r>
      <w:bookmarkEnd w:id="143"/>
      <w:bookmarkEnd w:id="144"/>
      <w:bookmarkEnd w:id="146"/>
      <w:r w:rsidR="00254823" w:rsidRPr="0006296E">
        <w:rPr>
          <w:shd w:val="clear" w:color="auto" w:fill="FFFFFF"/>
        </w:rPr>
        <w:t xml:space="preserve"> </w:t>
      </w:r>
      <w:bookmarkEnd w:id="145"/>
    </w:p>
    <w:p w14:paraId="28479403" w14:textId="77777777" w:rsidR="00254823" w:rsidRPr="00031D44" w:rsidRDefault="00254823" w:rsidP="00DD2199">
      <w:bookmarkStart w:id="147" w:name="_Toc13484821"/>
      <w:r w:rsidRPr="00720458">
        <w:rPr>
          <w:rStyle w:val="30"/>
          <w:bCs w:val="0"/>
          <w:shd w:val="clear" w:color="auto" w:fill="FFFFFF"/>
        </w:rPr>
        <w:t>Аллогенная ТГСК</w:t>
      </w:r>
      <w:bookmarkEnd w:id="147"/>
    </w:p>
    <w:p w14:paraId="5D06011E" w14:textId="34B1604D" w:rsidR="00254823" w:rsidRPr="00031D44" w:rsidRDefault="00254823" w:rsidP="00D43253">
      <w:pPr>
        <w:shd w:val="clear" w:color="auto" w:fill="FFFFFF"/>
        <w:tabs>
          <w:tab w:val="left" w:pos="709"/>
        </w:tabs>
        <w:ind w:firstLine="709"/>
        <w:contextualSpacing/>
        <w:rPr>
          <w:i/>
          <w:shd w:val="clear" w:color="auto" w:fill="FFFFFF"/>
          <w:lang w:eastAsia="ar-SA"/>
        </w:rPr>
      </w:pPr>
      <w:r w:rsidRPr="00031D44">
        <w:rPr>
          <w:i/>
          <w:shd w:val="clear" w:color="auto" w:fill="FFFFFF"/>
          <w:lang w:eastAsia="ar-SA"/>
        </w:rPr>
        <w:t xml:space="preserve">Показания к выполнению </w:t>
      </w:r>
      <w:r w:rsidR="00A976DD">
        <w:rPr>
          <w:i/>
          <w:shd w:val="clear" w:color="auto" w:fill="FFFFFF"/>
          <w:lang w:eastAsia="ar-SA"/>
        </w:rPr>
        <w:t>алло-</w:t>
      </w:r>
      <w:r w:rsidR="00F33796">
        <w:rPr>
          <w:i/>
          <w:shd w:val="clear" w:color="auto" w:fill="FFFFFF"/>
          <w:lang w:eastAsia="ar-SA"/>
        </w:rPr>
        <w:t>ТГСК</w:t>
      </w:r>
      <w:r w:rsidRPr="00031D44">
        <w:rPr>
          <w:i/>
          <w:shd w:val="clear" w:color="auto" w:fill="FFFFFF"/>
          <w:lang w:eastAsia="ar-SA"/>
        </w:rPr>
        <w:t xml:space="preserve"> </w:t>
      </w:r>
      <w:r w:rsidR="004A688B" w:rsidRPr="00031D44">
        <w:rPr>
          <w:i/>
          <w:shd w:val="clear" w:color="auto" w:fill="FFFFFF"/>
          <w:lang w:eastAsia="ar-SA"/>
        </w:rPr>
        <w:t>определя</w:t>
      </w:r>
      <w:r w:rsidR="004A688B">
        <w:rPr>
          <w:i/>
          <w:shd w:val="clear" w:color="auto" w:fill="FFFFFF"/>
          <w:lang w:eastAsia="ar-SA"/>
        </w:rPr>
        <w:t>ю</w:t>
      </w:r>
      <w:r w:rsidR="004A688B" w:rsidRPr="00031D44">
        <w:rPr>
          <w:i/>
          <w:shd w:val="clear" w:color="auto" w:fill="FFFFFF"/>
          <w:lang w:eastAsia="ar-SA"/>
        </w:rPr>
        <w:t xml:space="preserve">тся </w:t>
      </w:r>
      <w:r w:rsidRPr="00031D44">
        <w:rPr>
          <w:i/>
          <w:shd w:val="clear" w:color="auto" w:fill="FFFFFF"/>
          <w:lang w:eastAsia="ar-SA"/>
        </w:rPr>
        <w:t xml:space="preserve">в зависимости от конкретного, выбранного гематологическим </w:t>
      </w:r>
      <w:r w:rsidR="00CE5033">
        <w:rPr>
          <w:i/>
          <w:shd w:val="clear" w:color="auto" w:fill="FFFFFF"/>
          <w:lang w:eastAsia="ar-SA"/>
        </w:rPr>
        <w:t>центром</w:t>
      </w:r>
      <w:r w:rsidRPr="00031D44">
        <w:rPr>
          <w:i/>
          <w:shd w:val="clear" w:color="auto" w:fill="FFFFFF"/>
          <w:lang w:eastAsia="ar-SA"/>
        </w:rPr>
        <w:t xml:space="preserve"> протокола лечения (ОЛЛ-2009, </w:t>
      </w:r>
      <w:r w:rsidR="00BD4EC5" w:rsidRPr="009F500F">
        <w:rPr>
          <w:i/>
          <w:shd w:val="clear" w:color="auto" w:fill="FFFFFF"/>
          <w:lang w:eastAsia="ar-SA"/>
        </w:rPr>
        <w:t xml:space="preserve">ОЛЛ-2016, </w:t>
      </w:r>
      <w:r w:rsidRPr="00031D44">
        <w:rPr>
          <w:i/>
          <w:shd w:val="clear" w:color="auto" w:fill="FFFFFF"/>
          <w:lang w:val="en-US" w:eastAsia="ar-SA"/>
        </w:rPr>
        <w:t>GMALL</w:t>
      </w:r>
      <w:r w:rsidRPr="00031D44">
        <w:rPr>
          <w:i/>
          <w:shd w:val="clear" w:color="auto" w:fill="FFFFFF"/>
          <w:lang w:eastAsia="ar-SA"/>
        </w:rPr>
        <w:t xml:space="preserve">, </w:t>
      </w:r>
      <w:r w:rsidRPr="00031D44">
        <w:rPr>
          <w:i/>
          <w:shd w:val="clear" w:color="auto" w:fill="FFFFFF"/>
          <w:lang w:val="en-US" w:eastAsia="ar-SA"/>
        </w:rPr>
        <w:t>GRAALL</w:t>
      </w:r>
      <w:r w:rsidRPr="00031D44">
        <w:rPr>
          <w:i/>
          <w:shd w:val="clear" w:color="auto" w:fill="FFFFFF"/>
          <w:lang w:eastAsia="ar-SA"/>
        </w:rPr>
        <w:t xml:space="preserve">, </w:t>
      </w:r>
      <w:r w:rsidRPr="00031D44">
        <w:rPr>
          <w:i/>
          <w:shd w:val="clear" w:color="auto" w:fill="FFFFFF"/>
          <w:lang w:val="en-US" w:eastAsia="ar-SA"/>
        </w:rPr>
        <w:t>MB</w:t>
      </w:r>
      <w:r w:rsidRPr="00031D44">
        <w:rPr>
          <w:i/>
          <w:shd w:val="clear" w:color="auto" w:fill="FFFFFF"/>
          <w:lang w:eastAsia="ar-SA"/>
        </w:rPr>
        <w:t xml:space="preserve">2008, </w:t>
      </w:r>
      <w:r w:rsidRPr="00031D44">
        <w:rPr>
          <w:i/>
          <w:shd w:val="clear" w:color="auto" w:fill="FFFFFF"/>
          <w:lang w:val="en-US" w:eastAsia="ar-SA"/>
        </w:rPr>
        <w:t>Hyper</w:t>
      </w:r>
      <w:r w:rsidR="004148AD">
        <w:rPr>
          <w:i/>
          <w:shd w:val="clear" w:color="auto" w:fill="FFFFFF"/>
          <w:lang w:eastAsia="ar-SA"/>
        </w:rPr>
        <w:t>-</w:t>
      </w:r>
      <w:r w:rsidRPr="00031D44">
        <w:rPr>
          <w:i/>
          <w:shd w:val="clear" w:color="auto" w:fill="FFFFFF"/>
          <w:lang w:val="en-US" w:eastAsia="ar-SA"/>
        </w:rPr>
        <w:t>CVAD</w:t>
      </w:r>
      <w:r w:rsidRPr="00031D44">
        <w:rPr>
          <w:i/>
          <w:shd w:val="clear" w:color="auto" w:fill="FFFFFF"/>
          <w:lang w:eastAsia="ar-SA"/>
        </w:rPr>
        <w:t>)</w:t>
      </w:r>
      <w:r>
        <w:rPr>
          <w:i/>
          <w:shd w:val="clear" w:color="auto" w:fill="FFFFFF"/>
          <w:lang w:eastAsia="ar-SA"/>
        </w:rPr>
        <w:t xml:space="preserve"> (см</w:t>
      </w:r>
      <w:r w:rsidR="00D4213D">
        <w:rPr>
          <w:i/>
          <w:shd w:val="clear" w:color="auto" w:fill="FFFFFF"/>
          <w:lang w:eastAsia="ar-SA"/>
        </w:rPr>
        <w:t>.</w:t>
      </w:r>
      <w:r>
        <w:rPr>
          <w:i/>
          <w:shd w:val="clear" w:color="auto" w:fill="FFFFFF"/>
          <w:lang w:eastAsia="ar-SA"/>
        </w:rPr>
        <w:t xml:space="preserve"> </w:t>
      </w:r>
      <w:r w:rsidR="00D4213D">
        <w:rPr>
          <w:i/>
          <w:shd w:val="clear" w:color="auto" w:fill="FFFFFF"/>
          <w:lang w:eastAsia="ar-SA"/>
        </w:rPr>
        <w:t>приложение А3.</w:t>
      </w:r>
      <w:r>
        <w:rPr>
          <w:i/>
          <w:shd w:val="clear" w:color="auto" w:fill="FFFFFF"/>
          <w:lang w:eastAsia="ar-SA"/>
        </w:rPr>
        <w:t xml:space="preserve">1 и </w:t>
      </w:r>
      <w:r w:rsidR="00D4213D">
        <w:rPr>
          <w:i/>
          <w:shd w:val="clear" w:color="auto" w:fill="FFFFFF"/>
          <w:lang w:eastAsia="ar-SA"/>
        </w:rPr>
        <w:t>А</w:t>
      </w:r>
      <w:r>
        <w:rPr>
          <w:i/>
          <w:shd w:val="clear" w:color="auto" w:fill="FFFFFF"/>
          <w:lang w:eastAsia="ar-SA"/>
        </w:rPr>
        <w:t>3</w:t>
      </w:r>
      <w:r w:rsidR="00D4213D">
        <w:rPr>
          <w:i/>
          <w:shd w:val="clear" w:color="auto" w:fill="FFFFFF"/>
          <w:lang w:eastAsia="ar-SA"/>
        </w:rPr>
        <w:t>.</w:t>
      </w:r>
      <w:r w:rsidR="00990338">
        <w:rPr>
          <w:i/>
          <w:shd w:val="clear" w:color="auto" w:fill="FFFFFF"/>
          <w:lang w:eastAsia="ar-SA"/>
        </w:rPr>
        <w:t>3</w:t>
      </w:r>
      <w:r>
        <w:rPr>
          <w:i/>
          <w:shd w:val="clear" w:color="auto" w:fill="FFFFFF"/>
          <w:lang w:eastAsia="ar-SA"/>
        </w:rPr>
        <w:t>)</w:t>
      </w:r>
      <w:r w:rsidR="009C3C1D">
        <w:rPr>
          <w:i/>
          <w:shd w:val="clear" w:color="auto" w:fill="FFFFFF"/>
          <w:lang w:eastAsia="ar-SA"/>
        </w:rPr>
        <w:t xml:space="preserve"> </w:t>
      </w:r>
      <w:r w:rsidR="009C3C1D">
        <w:rPr>
          <w:i/>
          <w:shd w:val="clear" w:color="auto" w:fill="FFFFFF"/>
          <w:lang w:eastAsia="ar-SA"/>
        </w:rPr>
        <w:fldChar w:fldCharType="begin" w:fldLock="1"/>
      </w:r>
      <w:r w:rsidR="002466C9">
        <w:rPr>
          <w:i/>
          <w:shd w:val="clear" w:color="auto" w:fill="FFFFFF"/>
          <w:lang w:eastAsia="ar-SA"/>
        </w:rPr>
        <w:instrText>ADDIN CSL_CITATION {"citationItems":[{"id":"ITEM-1","itemData":{"DOI":"10.1002/cncr.20668","ISSN":"0008543X","abstract":"BACKGROUND. Modern intensive chemotherapy regimens have improved the prognosis for patients with adult acute lymphocytic leukemia (ALL). With these regimens, the complete response rates are now reported to be &gt; 80%, and the long-term survival rates range from 30% to 45%. The current analysis updated the long-term results with the original hyperfractionated cyclophosphamide, vincristine, doxorubicin, and dexamethasone (Hyper-CVAD) program, with a median follow-up time of 63 months. METHODS. Between 1992 and 2000, 288 patients were treated with Hyper-CVAD. The median age of the patients was 40 years, and 59 patients (20%) were ≥ age 60 years. The incidence of Philadelphia chromosome (Ph)-positive ALL was 17%, and the incidence of of T-cell ALL was 13%. RESULTS. A complete response (CR) was achieved in 92% of patients. The induction mortality rate was 5% (2% if the patient's age was &lt; 60 years, and 15% if the patient's age was ≥ 60 years). With a median follow-up time of 63 months, the 5-year survival rate was 38% and the 5-year CR duration rate was 38%. Multivariate analysis of prognostic factors for CR duration identified the following adverse factors: age ≥ 45 years, leukocytosis ≥ 50 × 109/L, poor performance status (an Eastern Cooperative Oncology Group score of 3-4), Ph-positive disease, French-American-British L2 morphology, &gt; 1 course to achieve CR, and Day 14 bone marrow blasts &gt; 5%. Patients were divided into low-risk (risk score 0-1; 37%), intermediate risk (risk score 2-3; 36%), and poor-risk groups (risk score ≥ 4; 27%) with 5-year CR duration rates of 52%, 37%, and 10%, respectively. CONCLUSIONS. Compared with the previous VAD regimens, Hyper-CVAD was associated with significantly better CR rates, CR duration, and survival. The long-term follow-up results of Hyper-CVAD were favorable. Comparison of Hyper-CVAD with other established adult ALL regimens is warranted. © 2004 American Cancer Society.","author":[{"dropping-particle":"","family":"Kantarjian","given":"Hagop","non-dropping-particle":"","parse-names":false,"suffix":""},{"dropping-particle":"","family":"Thomas","given":"Deborah","non-dropping-particle":"","parse-names":false,"suffix":""},{"dropping-particle":"","family":"O'Brien","given":"Susan","non-dropping-particle":"","parse-names":false,"suffix":""},{"dropping-particle":"","family":"Cortes","given":"Jorge","non-dropping-particle":"","parse-names":false,"suffix":""},{"dropping-particle":"","family":"Giles","given":"Francis","non-dropping-particle":"","parse-names":false,"suffix":""},{"dropping-particle":"","family":"Jeha","given":"Sima","non-dropping-particle":"","parse-names":false,"suffix":""},{"dropping-particle":"","family":"Bueso-Ramos","given":"Carlos E.","non-dropping-particle":"","parse-names":false,"suffix":""},{"dropping-particle":"","family":"Pierce","given":"Sherry","non-dropping-particle":"","parse-names":false,"suffix":""},{"dropping-particle":"","family":"Shan","given":"Jianqin","non-dropping-particle":"","parse-names":false,"suffix":""},{"dropping-particle":"","family":"Koller","given":"Charles","non-dropping-particle":"","parse-names":false,"suffix":""},{"dropping-particle":"","family":"Beran","given":"Miloslav","non-dropping-particle":"","parse-names":false,"suffix":""},{"dropping-particle":"","family":"Keating","given":"Michael","non-dropping-particle":"","parse-names":false,"suffix":""},{"dropping-particle":"","family":"Freireich","given":"Emil J.","non-dropping-particle":"","parse-names":false,"suffix":""}],"container-title":"Cancer","id":"ITEM-1","issue":"12","issued":{"date-parts":[["2004","12","15"]]},"page":"2788-2801","title":"Long-term follow-up results of hyperfractionated cyclophosphamide, vincristine, doxorubicin, and dexamethasone (Hyper-CVAD), a dose-intensive regimen, in adult acute lymphocytic leukemia","type":"article-journal","volume":"101"},"uris":["http://www.mendeley.com/documents/?uuid=6ee8bfd0-5b92-3504-a816-e7cae91350fc"]},{"id":"ITEM-2","itemData":{"DOI":"10.1182/blood-2007-10-116582","ISSN":"00064971","abstract":"An international collaboration was set up to prospectively evaluate the role of allogeneic transplantation for adults with acute lymphoblastic leukemia (ALL) and compare autologous transplantation with standard chemotherapy. Patients received 2 phases of induction and, if in remission, were assigned to allogeneic transplantation if they had a compatible sibling donor. Other patients were randomized to chemotherapy for 2.5 years versus an autologous transplantation. A donor versus no-donor analysis showed that Philadelphia chromosome-negative patients with a donor had a 5-year improved overall survival (OS), 53% versus 45% (P = .01), and the relapse rate was significantly lower (P &lt; or = .001). The survival difference was significant in standard-risk patients, but not in high-risk patients with a high nonrelapse mortality rate in the high-risk donor group. Patients randomized to chemotherapy had a higher 5-year OS (46%) than those randomized to autologous transplantation (37%; P = .03). Matched related allogeneic transplantations for ALL in first complete remission provide the most potent antileukemic therapy and considerable survival benefit for standard-risk patients. However, the transplantation-related mortality for high-risk older patients was unacceptably high and abrogated the reduction in relapse risk. There is no evidence that a single autologous transplantation can replace consolidation/maintenance in any risk group. This study is registered at http://clinicaltrials.gov as NCT00002514.","author":[{"dropping-particle":"","family":"Goldstone","given":"Anthony H.","non-dropping-particle":"","parse-names":false,"suffix":""},{"dropping-particle":"","family":"Richards","given":"Susan M.","non-dropping-particle":"","parse-names":false,"suffix":""},{"dropping-particle":"","family":"Lazarus","given":"Hillard M.","non-dropping-particle":"","parse-names":false,"suffix":""},{"dropping-particle":"","family":"Tallman","given":"Martin S.","non-dropping-particle":"","parse-names":false,"suffix":""},{"dropping-particle":"","family":"Buck","given":"Georgina","non-dropping-particle":"","parse-names":false,"suffix":""},{"dropping-particle":"","family":"Fielding","given":"Adele K.","non-dropping-particle":"","parse-names":false,"suffix":""},{"dropping-particle":"","family":"Burnett","given":"Alan K.","non-dropping-particle":"","parse-names":false,"suffix":""},{"dropping-particle":"","family":"Chopra","given":"Raj","non-dropping-particle":"","parse-names":false,"suffix":""},{"dropping-particle":"","family":"Wiernik","given":"Peter H.","non-dropping-particle":"","parse-names":false,"suffix":""},{"dropping-particle":"","family":"Foroni","given":"Letizia","non-dropping-particle":"","parse-names":false,"suffix":""},{"dropping-particle":"","family":"Paietta","given":"Elisabeth","non-dropping-particle":"","parse-names":false,"suffix":""},{"dropping-particle":"","family":"Litzow","given":"Mark R.","non-dropping-particle":"","parse-names":false,"suffix":""},{"dropping-particle":"","family":"Marks","given":"David I.","non-dropping-particle":"","parse-names":false,"suffix":""},{"dropping-particle":"","family":"Durrant","given":"Jill","non-dropping-particle":"","parse-names":false,"suffix":""},{"dropping-particle":"","family":"McMillan","given":"Andrew","non-dropping-particle":"","parse-names":false,"suffix":""},{"dropping-particle":"","family":"Franklin","given":"Ian M.","non-dropping-particle":"","parse-names":false,"suffix":""},{"dropping-particle":"","family":"Luger","given":"Selina","non-dropping-particle":"","parse-names":false,"suffix":""},{"dropping-particle":"","family":"Ciobanu","given":"Niculae","non-dropping-particle":"","parse-names":false,"suffix":""},{"dropping-particle":"","family":"Rowe","given":"Jacob M.","non-dropping-particle":"","parse-names":false,"suffix":""}],"container-title":"Blood","id":"ITEM-2","issue":"4","issued":{"date-parts":[["2008","2","15"]]},"page":"1827-1833","title":"In adults with standard-risk acute lymphoblastic leukemia, the greatest benefit is achieved from a matched sibling allogeneic transplantation in first complete remission, and an autologous transplantation is less effective than conventional consolidation/maintenance chemotherapy in all patients: Final results of the International ALL Trial (MRC UKALLXII/ECOG E2993)","type":"article-journal","volume":"111"},"uris":["http://www.mendeley.com/documents/?uuid=d9fbdb4e-494f-3bf7-8539-980d7daed010"]},{"id":"ITEM-3","itemData":{"DOI":"10.1182/blood-2011-09-377713","ISSN":"1528-0020","PMID":"22442346","abstract":"Quantification of minimal residual disease (MRD) by real-time PCR directed to TCR and Ig gene rearrangements allows a refined evaluation of response in acute lymphoblastic leukemia (ALL). The German Multicenter Study Group for Adult ALL prospectively evaluated molecular response after induction/consolidation chemotherapy according to standardized methods and terminology in patients with Philadelphia chromosome-negative ALL. The cytologic complete response (CR) rate was 89% after induction phases 1 and 2. At this time point the molecular CR rate was 70% in 580 patients with cytologic CR and evaluable MRD. Patients with molecular CR after consolidation had a significantly higher probability of continuous complete remission (CCR; 74% vs 35%; P &lt; .0001) and of overall survival (80% vs 42%; P = .0001) compared with patients with molecular failure. Patients with molecular failure without stem cell transplantation (SCT) in first CR relapsed after a median time of 7.6 months; CCR and survival at 5 years only reached 12% and 33%, respectively. Quantitative MRD assessment identified patients with molecular failure as a new high-risk group. These patients display resistance to conventional drugs and are candidates for treatment with targeted, experimental drugs and allogeneic SCT. Molecular response was shown to be highly predictive for outcome and therefore constitutes a relevant study end point. The studies are registered at www.clinicaltrials.gov as NCT00199056 and NCT00198991.","author":[{"dropping-particle":"","family":"Gökbuget","given":"Nicola","non-dropping-particle":"","parse-names":false,"suffix":""},{"dropping-particle":"","family":"Kneba","given":"Michael","non-dropping-particle":"","parse-names":false,"suffix":""},{"dropping-particle":"","family":"Raff","given":"Thorsten","non-dropping-particle":"","parse-names":false,"suffix":""},{"dropping-particle":"","family":"Trautmann","given":"Heiko","non-dropping-particle":"","parse-names":false,"suffix":""},{"dropping-particle":"","family":"Bartram","given":"Claus-Rainer","non-dropping-particle":"","parse-names":false,"suffix":""},{"dropping-particle":"","family":"Arnold","given":"Renate","non-dropping-particle":"","parse-names":false,"suffix":""},{"dropping-particle":"","family":"Fietkau","given":"Rainer","non-dropping-particle":"","parse-names":false,"suffix":""},{"dropping-particle":"","family":"Freund","given":"Mathias","non-dropping-particle":"","parse-names":false,"suffix":""},{"dropping-particle":"","family":"Ganser","given":"Arnold","non-dropping-particle":"","parse-names":false,"suffix":""},{"dropping-particle":"","family":"Ludwig","given":"Wolf-Dieter","non-dropping-particle":"","parse-names":false,"suffix":""},{"dropping-particle":"","family":"Maschmeyer","given":"Georg","non-dropping-particle":"","parse-names":false,"suffix":""},{"dropping-particle":"","family":"Rieder","given":"Harald","non-dropping-particle":"","parse-names":false,"suffix":""},{"dropping-particle":"","family":"Schwartz","given":"Stefan","non-dropping-particle":"","parse-names":false,"suffix":""},{"dropping-particle":"","family":"Serve","given":"Hubert","non-dropping-particle":"","parse-names":false,"suffix":""},{"dropping-particle":"","family":"Thiel","given":"Eckhard","non-dropping-particle":"","parse-names":false,"suffix":""},{"dropping-particle":"","family":"Brüggemann","given":"Monika","non-dropping-particle":"","parse-names":false,"suffix":""},{"dropping-particle":"","family":"Hoelzer","given":"Dieter","non-dropping-particle":"","parse-names":false,"suffix":""},{"dropping-particle":"","family":"German Multicenter Study Group for Adult Acute Lymphoblastic Leukemia","given":"","non-dropping-particle":"","parse-names":false,"suffix":""}],"container-title":"Blood","id":"ITEM-3","issue":"9","issued":{"date-parts":[["2012","8","30"]]},"page":"1868-76","title":"Adult patients with acute lymphoblastic leukemia and molecular failure display a poor prognosis and are candidates for stem cell transplantation and targeted therapies.","type":"article-journal","volume":"120"},"uris":["http://www.mendeley.com/documents/?uuid=8085a756-02e2-3c8c-b56c-bec838e6ba45"]},{"id":"ITEM-4","itemData":{"DOI":"10.1200/JCO.2007.13.7265","ISSN":"0732183X","abstract":"Purpose: Retrospective studies have shown that adolescents and young adults with acute lymphoblastic leukemia (ALL) treated with pediatric protocols have better outcomes than similarly aged patients treated with adult protocols, but prospective studies comparing adolescents and young adults using pediatric schedules are scarce. The ALL-96 protocol was addressed to compare the toxicity and results of a pediatric-based protocol in adolescents (age 15-18 years) and young adults (age 19-30 years) with standard-risk (SR) ALL. Patients and Methods: Adolescents (n = 35) and young adults (n = 46) received a standard five-drug/5-week induction course followed by two cycles of early consolidation, maintenance with monthly reinforcement cycles up to 1 year in continuous complete remission (CR) and 1 year with standard maintenance chemotherapy up to 2 years in CR. Results: Adolescents and young adults were comparable in the main pretreatment ALL characteristics. The CR rate was 98% and. after a median follow-up of 4.2 years, 6-year event-free survival (EFS) and overall survival (OS) were 61% (95% CI, 51% to 72%) and 69% (95% CI, 59% to 79%), respectively, with no differences between adolescents and young adults. The hematologic toxicity in consolidation and reinforcement cycles was higher in young adults than in adolescents. Slow response to induction therapy was the only parameter associated with poor EFS (34% v 67%) and OS (40% v 76%). Conclusion: The response to the pediatric ALL-96 protocol was identical in adolescents and young adults despite a slight increase in hematologic toxicity observed in adults. This justifies the age-unrestricted use of pediatric regimens to treat patients with SR ALL. © 2008 by American Society of Clinical Oncology.","author":[{"dropping-particle":"","family":"Ribera","given":"Josep Maŕa","non-dropping-particle":"","parse-names":false,"suffix":""},{"dropping-particle":"","family":"Oriol","given":"Albert","non-dropping-particle":"","parse-names":false,"suffix":""},{"dropping-particle":"","family":"Sanz","given":"Miguel Angel","non-dropping-particle":"","parse-names":false,"suffix":""},{"dropping-particle":"","family":"Tormo","given":"Mar","non-dropping-particle":"","parse-names":false,"suffix":""},{"dropping-particle":"","family":"Fernández-Abellán","given":"Pascual","non-dropping-particle":"","parse-names":false,"suffix":""},{"dropping-particle":"","family":"Potro","given":"Eloy","non-dropping-particle":"Del","parse-names":false,"suffix":""},{"dropping-particle":"","family":"Abella","given":"Eugenia","non-dropping-particle":"","parse-names":false,"suffix":""},{"dropping-particle":"","family":"Bueno","given":"Javier","non-dropping-particle":"","parse-names":false,"suffix":""},{"dropping-particle":"","family":"Parody","given":"Ricardo","non-dropping-particle":"","parse-names":false,"suffix":""},{"dropping-particle":"","family":"Bastida","given":"Pilar","non-dropping-particle":"","parse-names":false,"suffix":""},{"dropping-particle":"","family":"Grande","given":"Carlos","non-dropping-particle":"","parse-names":false,"suffix":""},{"dropping-particle":"","family":"Heras","given":"Inmaculada","non-dropping-particle":"","parse-names":false,"suffix":""},{"dropping-particle":"","family":"Bethencourt","given":"Concepción","non-dropping-particle":"","parse-names":false,"suffix":""},{"dropping-particle":"","family":"Feliu","given":"Evarist","non-dropping-particle":"","parse-names":false,"suffix":""},{"dropping-particle":"","family":"Ortega","given":"Juan José","non-dropping-particle":"","parse-names":false,"suffix":""}],"container-title":"Journal of Clinical Oncology","id":"ITEM-4","issue":"11","issued":{"date-parts":[["2008"]]},"page":"1843-1849","title":"Comparison of the results of the treatment of adolescents and young adults with standard-risk acute lymphoblastic leukemia with the programa Español de tratamiento en hematología pediatric-based protocol ALL-96","type":"article-journal","volume":"26"},"uris":["http://www.mendeley.com/documents/?uuid=c0d4ade9-393d-359c-b301-306c33548565"]},{"id":"ITEM-5","itemData":{"author":[{"dropping-particle":"","family":"Паровичникова","given":"Е. Н.","non-dropping-particle":"","parse-names":false,"suffix":""},{"dropping-particle":"","family":"Соколов","given":"А. Н.","non-dropping-particle":"","parse-names":false,"suffix":""},{"dropping-particle":"","family":"Троицкая","given":"В. В.","non-dropping-particle":"","parse-names":false,"suffix":""},{"dropping-particle":"","family":"Клясова","given":"Г. А.","non-dropping-particle":"","parse-names":false,"suffix":""},{"dropping-particle":"","family":"Русинов","given":"М. А.","non-dropping-particle":"","parse-names":false,"suffix":""},{"dropping-particle":"","family":"Ахмерзаева","given":"З. Х.","non-dropping-particle":"","parse-names":false,"suffix":""},{"dropping-particle":"","family":"Кузьмина","given":"Л. А.","non-dropping-particle":"","parse-names":false,"suffix":""},{"dropping-particle":"","family":"Бондаренко","given":"С. Н.","non-dropping-particle":"","parse-names":false,"suffix":""},{"dropping-particle":"","family":"Баранова","given":"О. Ю.","non-dropping-particle":"","parse-names":false,"suffix":""},{"dropping-particle":"","family":"Капорская","given":"Т. С.","non-dropping-particle":"","parse-names":false,"suffix":""},{"dropping-particle":"","family":"Зотина","given":"Е. Н.","non-dropping-particle":"","parse-names":false,"suffix":""},{"dropping-particle":"","family":"Зинина","given":"Е. Е.","non-dropping-particle":"","parse-names":false,"suffix":""},{"dropping-particle":"","family":"Самойлова","given":"О. С.","non-dropping-particle":"","parse-names":false,"suffix":""},{"dropping-particle":"","family":"Гаврилова","given":"Л. В.","non-dropping-particle":"","parse-names":false,"suffix":""},{"dropping-particle":"","family":"Капланов","given":"К. Д.","non-dropping-particle":"","parse-names":false,"suffix":""},{"dropping-particle":"","family":"Константинова","given":"Т. С.","non-dropping-particle":"","parse-names":false,"suffix":""},{"dropping-particle":"","family":"Лапин","given":"В. А.","non-dropping-particle":"","parse-names":false,"suffix":""},{"dropping-particle":"","family":"Кравченко","given":"С. К.","non-dropping-particle":"","parse-names":false,"suffix":""},{"dropping-particle":"","family":"Грибанова","given":"Е. О.","non-dropping-particle":"","parse-names":false,"suffix":""},{"dropping-particle":"","family":"Звонков","given":"Е. Е.","non-dropping-particle":"","parse-names":false,"suffix":""},{"dropping-particle":"","family":"Гаврилина","given":"О. А.","non-dropping-particle":"","parse-names":false,"suffix":""},{"dropping-particle":"","family":"Басхаева","given":"Г. А.","non-dropping-particle":"","parse-names":false,"suffix":""},{"dropping-particle":"","family":"Галстян","given":"Г. М.","non-dropping-particle":"","parse-names":false,"suffix":""},{"dropping-particle":"","family":"Обухова","given":"Т. Н.","non-dropping-particle":"","parse-names":false,"suffix":""},{"dropping-particle":"","family":"Гальцева","given":"И. В.","non-dropping-particle":"","parse-names":false,"suffix":""},{"dropping-particle":"","family":"Куликов","given":"С. М.","non-dropping-particle":"","parse-names":false,"suffix":""},{"dropping-particle":"","family":"Савченко","given":"В. Г.","non-dropping-particle":"","parse-names":false,"suffix":""}],"container-title":"Терапевтический архив","id":"ITEM-5","issue":"7","issued":{"date-parts":[["2016"]]},"page":"15-24","title":"Острые Ph-негативные лимфобластные лейкозы взрослых: факторы риска при использовании протокола ОЛЛ-2009","type":"article-journal","volume":"88"},"uris":["http://www.mendeley.com/documents/?uuid=d6ffd749-eb80-4bcb-9819-7bd025632cb5"]}],"mendeley":{"formattedCitation":"[55,56,62,66,98]","plainTextFormattedCitation":"[55,56,62,66,98]","previouslyFormattedCitation":"[55,56,62,66,98]"},"properties":{"noteIndex":0},"schema":"https://github.com/citation-style-language/schema/raw/master/csl-citation.json"}</w:instrText>
      </w:r>
      <w:r w:rsidR="009C3C1D">
        <w:rPr>
          <w:i/>
          <w:shd w:val="clear" w:color="auto" w:fill="FFFFFF"/>
          <w:lang w:eastAsia="ar-SA"/>
        </w:rPr>
        <w:fldChar w:fldCharType="separate"/>
      </w:r>
      <w:r w:rsidR="00A66456" w:rsidRPr="00A66456">
        <w:rPr>
          <w:noProof/>
          <w:shd w:val="clear" w:color="auto" w:fill="FFFFFF"/>
          <w:lang w:eastAsia="ar-SA"/>
        </w:rPr>
        <w:t>[55,56,62,66,98]</w:t>
      </w:r>
      <w:r w:rsidR="009C3C1D">
        <w:rPr>
          <w:i/>
          <w:shd w:val="clear" w:color="auto" w:fill="FFFFFF"/>
          <w:lang w:eastAsia="ar-SA"/>
        </w:rPr>
        <w:fldChar w:fldCharType="end"/>
      </w:r>
      <w:r w:rsidR="009C3C1D">
        <w:rPr>
          <w:i/>
          <w:shd w:val="clear" w:color="auto" w:fill="FFFFFF"/>
          <w:lang w:eastAsia="ar-SA"/>
        </w:rPr>
        <w:t>.</w:t>
      </w:r>
      <w:r w:rsidR="009C3C1D" w:rsidRPr="00031D44">
        <w:rPr>
          <w:i/>
          <w:shd w:val="clear" w:color="auto" w:fill="FFFFFF"/>
          <w:lang w:eastAsia="ar-SA"/>
        </w:rPr>
        <w:t xml:space="preserve"> </w:t>
      </w:r>
    </w:p>
    <w:p w14:paraId="4A65C76C" w14:textId="7685F50D" w:rsidR="00254823" w:rsidRPr="009B230B" w:rsidRDefault="009B230B" w:rsidP="009B230B">
      <w:pPr>
        <w:numPr>
          <w:ilvl w:val="0"/>
          <w:numId w:val="6"/>
        </w:numPr>
        <w:shd w:val="clear" w:color="auto" w:fill="FFFFFF"/>
        <w:tabs>
          <w:tab w:val="left" w:pos="709"/>
        </w:tabs>
        <w:contextualSpacing/>
      </w:pPr>
      <w:r w:rsidRPr="009B230B">
        <w:t>П</w:t>
      </w:r>
      <w:r w:rsidR="00DD2199" w:rsidRPr="009B230B">
        <w:t>ациент</w:t>
      </w:r>
      <w:r w:rsidRPr="009B230B">
        <w:t>ам</w:t>
      </w:r>
      <w:r w:rsidR="00DD2199" w:rsidRPr="009B230B">
        <w:t xml:space="preserve"> </w:t>
      </w:r>
      <w:r w:rsidR="00D43253" w:rsidRPr="009B230B">
        <w:t>с</w:t>
      </w:r>
      <w:r w:rsidR="00254823" w:rsidRPr="009B230B">
        <w:t xml:space="preserve"> ОЛЛ в воз</w:t>
      </w:r>
      <w:r w:rsidR="00AE0E88" w:rsidRPr="009B230B">
        <w:t>расте до 55 лет</w:t>
      </w:r>
      <w:r w:rsidR="009C3C1D">
        <w:t>, получающим лечение по протоколу ОЛЛ 2009 (приложение А3.1),</w:t>
      </w:r>
      <w:r w:rsidR="00AE0E88" w:rsidRPr="009B230B">
        <w:t xml:space="preserve"> из группы очень</w:t>
      </w:r>
      <w:r w:rsidR="00D43253" w:rsidRPr="009B230B">
        <w:t xml:space="preserve"> высокого </w:t>
      </w:r>
      <w:r w:rsidR="00254823" w:rsidRPr="009B230B">
        <w:t>риска, которая устанавливается в дебюте заболевания (цитогенетические нарушения t(4;11) или t(1;19), а также Ph+ ОЛЛ (t(9;22/BCR-ABL</w:t>
      </w:r>
      <w:r w:rsidR="00D43253" w:rsidRPr="009F500F">
        <w:t>)</w:t>
      </w:r>
      <w:r w:rsidR="000F6FB0" w:rsidRPr="009F500F">
        <w:t xml:space="preserve"> и </w:t>
      </w:r>
      <w:r w:rsidR="000F6FB0" w:rsidRPr="009F500F">
        <w:rPr>
          <w:lang w:val="en-US"/>
        </w:rPr>
        <w:t>ETP</w:t>
      </w:r>
      <w:r w:rsidR="000F6FB0" w:rsidRPr="009F500F">
        <w:t xml:space="preserve"> вариант Т-ОЛЛ</w:t>
      </w:r>
      <w:r w:rsidR="00D43253" w:rsidRPr="009F500F">
        <w:t xml:space="preserve">), </w:t>
      </w:r>
      <w:r w:rsidR="00254823" w:rsidRPr="009B230B">
        <w:t>в связи высоким риском развития рецидива заболевания</w:t>
      </w:r>
      <w:r w:rsidR="002034F3" w:rsidRPr="009B230B">
        <w:t xml:space="preserve"> </w:t>
      </w:r>
      <w:r w:rsidRPr="009B230B">
        <w:t>рекомендуется выполн</w:t>
      </w:r>
      <w:r>
        <w:t>ение</w:t>
      </w:r>
      <w:r w:rsidRPr="009B230B">
        <w:t xml:space="preserve"> алло-ТГСК от совместимого родственного или неродственного донора</w:t>
      </w:r>
      <w:r w:rsidR="009C3C1D">
        <w:t xml:space="preserve"> </w:t>
      </w:r>
      <w:r w:rsidR="009C3C1D">
        <w:fldChar w:fldCharType="begin" w:fldLock="1"/>
      </w:r>
      <w:r w:rsidR="002466C9">
        <w:instrText>ADDIN CSL_CITATION {"citationItems":[{"id":"ITEM-1","itemData":{"author":[{"dropping-particle":"","family":"Паровичникова","given":"Е. Н.","non-dropping-particle":"","parse-names":false,"suffix":""},{"dropping-particle":"","family":"Соколов","given":"А. Н.","non-dropping-particle":"","parse-names":false,"suffix":""},{"dropping-particle":"","family":"Троицкая","given":"В. В.","non-dropping-particle":"","parse-names":false,"suffix":""},{"dropping-particle":"","family":"Клясова","given":"Г. А.","non-dropping-particle":"","parse-names":false,"suffix":""},{"dropping-particle":"","family":"Русинов","given":"М. А.","non-dropping-particle":"","parse-names":false,"suffix":""},{"dropping-particle":"","family":"Ахмерзаева","given":"З. Х.","non-dropping-particle":"","parse-names":false,"suffix":""},{"dropping-particle":"","family":"Кузьмина","given":"Л. А.","non-dropping-particle":"","parse-names":false,"suffix":""},{"dropping-particle":"","family":"Бондаренко","given":"С. Н.","non-dropping-particle":"","parse-names":false,"suffix":""},{"dropping-particle":"","family":"Баранова","given":"О. Ю.","non-dropping-particle":"","parse-names":false,"suffix":""},{"dropping-particle":"","family":"Капорская","given":"Т. С.","non-dropping-particle":"","parse-names":false,"suffix":""},{"dropping-particle":"","family":"Зотина","given":"Е. Н.","non-dropping-particle":"","parse-names":false,"suffix":""},{"dropping-particle":"","family":"Зинина","given":"Е. Е.","non-dropping-particle":"","parse-names":false,"suffix":""},{"dropping-particle":"","family":"Самойлова","given":"О. С.","non-dropping-particle":"","parse-names":false,"suffix":""},{"dropping-particle":"","family":"Гаврилова","given":"Л. В.","non-dropping-particle":"","parse-names":false,"suffix":""},{"dropping-particle":"","family":"Капланов","given":"К. Д.","non-dropping-particle":"","parse-names":false,"suffix":""},{"dropping-particle":"","family":"Константинова","given":"Т. С.","non-dropping-particle":"","parse-names":false,"suffix":""},{"dropping-particle":"","family":"Лапин","given":"В. А.","non-dropping-particle":"","parse-names":false,"suffix":""},{"dropping-particle":"","family":"Кравченко","given":"С. К.","non-dropping-particle":"","parse-names":false,"suffix":""},{"dropping-particle":"","family":"Грибанова","given":"Е. О.","non-dropping-particle":"","parse-names":false,"suffix":""},{"dropping-particle":"","family":"Звонков","given":"Е. Е.","non-dropping-particle":"","parse-names":false,"suffix":""},{"dropping-particle":"","family":"Гаврилина","given":"О. А.","non-dropping-particle":"","parse-names":false,"suffix":""},{"dropping-particle":"","family":"Басхаева","given":"Г. А.","non-dropping-particle":"","parse-names":false,"suffix":""},{"dropping-particle":"","family":"Галстян","given":"Г. М.","non-dropping-particle":"","parse-names":false,"suffix":""},{"dropping-particle":"","family":"Обухова","given":"Т. Н.","non-dropping-particle":"","parse-names":false,"suffix":""},{"dropping-particle":"","family":"Гальцева","given":"И. В.","non-dropping-particle":"","parse-names":false,"suffix":""},{"dropping-particle":"","family":"Куликов","given":"С. М.","non-dropping-particle":"","parse-names":false,"suffix":""},{"dropping-particle":"","family":"Савченко","given":"В. Г.","non-dropping-particle":"","parse-names":false,"suffix":""}],"container-title":"Терапевтический архив","id":"ITEM-1","issue":"7","issued":{"date-parts":[["2016"]]},"page":"15-24","title":"Острые Ph-негативные лимфобластные лейкозы взрослых: факторы риска при использовании протокола ОЛЛ-2009","type":"article-journal","volume":"88"},"uris":["http://www.mendeley.com/documents/?uuid=d6ffd749-eb80-4bcb-9819-7bd025632cb5"]},{"id":"ITEM-2","itemData":{"DOI":"10.1016/s1083-8791(00)70024-3","ISSN":"1083-8791","PMID":"11128809","abstract":"The prognosis for adult and pediatric patients with Philadelphia chromosome-positive (Ph+) acute lymphoblastic leukemia (ALL) treated with chemotherapy alone is extremely poor. An overview of the biology and clinical features of Ph+ ALL is presented in this review. The experience with chemotherapy and autologous stem cell transplantation (SCT) is summarized. Allogeneic SCT offers a curative option for patients who have an appropriately matched donor. Variables affecting outcome after allogeneic SCT, including age, stage of disease, source of stem cells, preparatory regimen, and molecular and cytogenetic details, are analyzed. The City of Hope/Stanford University experience with fractionated total body irradiation and high-dose etoposide is described, and future directions for monitoring and treating minimal residual disease are discussed.","author":[{"dropping-particle":"","family":"Snyder","given":"D S","non-dropping-particle":"","parse-names":false,"suffix":""}],"container-title":"Biology of blood and marrow transplantation : journal of the American Society for Blood and Marrow Transplantation","id":"ITEM-2","issue":"6","issued":{"date-parts":[["2000"]]},"page":"597-603","title":"Allogeneic stem cell transplantation for Philadelphia chromosome-positive acute lymphoblastic leukemia.","type":"article-journal","volume":"6"},"uris":["http://www.mendeley.com/documents/?uuid=b2ac07b4-659f-3fec-a34a-3ea5d4928ff4"]}],"mendeley":{"formattedCitation":"[66,99]","plainTextFormattedCitation":"[66,99]","previouslyFormattedCitation":"[66,99]"},"properties":{"noteIndex":0},"schema":"https://github.com/citation-style-language/schema/raw/master/csl-citation.json"}</w:instrText>
      </w:r>
      <w:r w:rsidR="009C3C1D">
        <w:fldChar w:fldCharType="separate"/>
      </w:r>
      <w:r w:rsidR="00A66456" w:rsidRPr="00A66456">
        <w:rPr>
          <w:noProof/>
        </w:rPr>
        <w:t>[66,99]</w:t>
      </w:r>
      <w:r w:rsidR="009C3C1D">
        <w:fldChar w:fldCharType="end"/>
      </w:r>
      <w:r w:rsidR="00D75543">
        <w:t>.</w:t>
      </w:r>
    </w:p>
    <w:p w14:paraId="3DA046D0" w14:textId="23A38956" w:rsidR="00254823" w:rsidRDefault="00254823" w:rsidP="00D43253">
      <w:pPr>
        <w:shd w:val="clear" w:color="auto" w:fill="FFFFFF"/>
        <w:tabs>
          <w:tab w:val="left" w:pos="709"/>
        </w:tabs>
        <w:ind w:firstLine="709"/>
        <w:contextualSpacing/>
        <w:rPr>
          <w:b/>
        </w:rPr>
      </w:pPr>
      <w:r w:rsidRPr="00740113">
        <w:rPr>
          <w:b/>
        </w:rPr>
        <w:lastRenderedPageBreak/>
        <w:t>Урове</w:t>
      </w:r>
      <w:r>
        <w:rPr>
          <w:b/>
        </w:rPr>
        <w:t xml:space="preserve">нь убедительности рекомендаций </w:t>
      </w:r>
      <w:r w:rsidR="00CE5033">
        <w:rPr>
          <w:b/>
        </w:rPr>
        <w:t xml:space="preserve">– </w:t>
      </w:r>
      <w:r w:rsidR="00A22DFD">
        <w:rPr>
          <w:b/>
        </w:rPr>
        <w:t>С</w:t>
      </w:r>
      <w:r w:rsidRPr="00740113">
        <w:rPr>
          <w:b/>
        </w:rPr>
        <w:t xml:space="preserve"> (уровень </w:t>
      </w:r>
      <w:r w:rsidRPr="00740113">
        <w:rPr>
          <w:b/>
          <w:spacing w:val="-1"/>
        </w:rPr>
        <w:t xml:space="preserve">достоверности доказательств </w:t>
      </w:r>
      <w:r>
        <w:rPr>
          <w:b/>
        </w:rPr>
        <w:t xml:space="preserve">– </w:t>
      </w:r>
      <w:r w:rsidR="00A22DFD">
        <w:rPr>
          <w:b/>
        </w:rPr>
        <w:t>5</w:t>
      </w:r>
      <w:r w:rsidR="00D43253">
        <w:rPr>
          <w:b/>
        </w:rPr>
        <w:t>)</w:t>
      </w:r>
      <w:r w:rsidR="00CE5033">
        <w:rPr>
          <w:b/>
        </w:rPr>
        <w:t>.</w:t>
      </w:r>
    </w:p>
    <w:p w14:paraId="48C96577" w14:textId="794B043A" w:rsidR="00254823" w:rsidRPr="00702B62" w:rsidRDefault="00254823" w:rsidP="00956D03">
      <w:pPr>
        <w:numPr>
          <w:ilvl w:val="0"/>
          <w:numId w:val="6"/>
        </w:numPr>
        <w:shd w:val="clear" w:color="auto" w:fill="FFFFFF"/>
        <w:tabs>
          <w:tab w:val="left" w:pos="709"/>
        </w:tabs>
        <w:contextualSpacing/>
        <w:rPr>
          <w:b/>
        </w:rPr>
      </w:pPr>
      <w:r>
        <w:rPr>
          <w:b/>
        </w:rPr>
        <w:t>Рекомендуется</w:t>
      </w:r>
      <w:r w:rsidRPr="00740113">
        <w:rPr>
          <w:shd w:val="clear" w:color="auto" w:fill="FFFFFF"/>
          <w:lang w:eastAsia="ar-SA"/>
        </w:rPr>
        <w:t xml:space="preserve"> рассматривать возможность выполнения ал</w:t>
      </w:r>
      <w:r>
        <w:rPr>
          <w:shd w:val="clear" w:color="auto" w:fill="FFFFFF"/>
          <w:lang w:eastAsia="ar-SA"/>
        </w:rPr>
        <w:t>л</w:t>
      </w:r>
      <w:r w:rsidRPr="00740113">
        <w:rPr>
          <w:shd w:val="clear" w:color="auto" w:fill="FFFFFF"/>
          <w:lang w:eastAsia="ar-SA"/>
        </w:rPr>
        <w:t>о-</w:t>
      </w:r>
      <w:r w:rsidR="00F33796">
        <w:rPr>
          <w:shd w:val="clear" w:color="auto" w:fill="FFFFFF"/>
          <w:lang w:eastAsia="ar-SA"/>
        </w:rPr>
        <w:t>ТГСК</w:t>
      </w:r>
      <w:r w:rsidRPr="00740113">
        <w:rPr>
          <w:shd w:val="clear" w:color="auto" w:fill="FFFFFF"/>
          <w:lang w:eastAsia="ar-SA"/>
        </w:rPr>
        <w:t xml:space="preserve"> у </w:t>
      </w:r>
      <w:r w:rsidR="00D43253" w:rsidRPr="00D43253">
        <w:t>пациентов</w:t>
      </w:r>
      <w:r w:rsidRPr="00D43253">
        <w:rPr>
          <w:shd w:val="clear" w:color="auto" w:fill="FFFFFF"/>
          <w:lang w:eastAsia="ar-SA"/>
        </w:rPr>
        <w:t xml:space="preserve"> </w:t>
      </w:r>
      <w:r w:rsidRPr="00740113">
        <w:rPr>
          <w:shd w:val="clear" w:color="auto" w:fill="FFFFFF"/>
          <w:lang w:eastAsia="ar-SA"/>
        </w:rPr>
        <w:t>в возрасте старше 55 лет из группы очень высокого риска</w:t>
      </w:r>
      <w:r w:rsidR="00CE5033">
        <w:rPr>
          <w:shd w:val="clear" w:color="auto" w:fill="FFFFFF"/>
          <w:lang w:eastAsia="ar-SA"/>
        </w:rPr>
        <w:t xml:space="preserve"> (см. раздел 3.2</w:t>
      </w:r>
      <w:r w:rsidR="0057213C">
        <w:rPr>
          <w:shd w:val="clear" w:color="auto" w:fill="FFFFFF"/>
          <w:lang w:eastAsia="ar-SA"/>
        </w:rPr>
        <w:t xml:space="preserve"> </w:t>
      </w:r>
      <w:r w:rsidR="00CE5033">
        <w:rPr>
          <w:shd w:val="clear" w:color="auto" w:fill="FFFFFF"/>
          <w:lang w:eastAsia="ar-SA"/>
        </w:rPr>
        <w:t>«П</w:t>
      </w:r>
      <w:r w:rsidR="0057213C">
        <w:rPr>
          <w:shd w:val="clear" w:color="auto" w:fill="FFFFFF"/>
          <w:lang w:eastAsia="ar-SA"/>
        </w:rPr>
        <w:t>рогностические факторы эффективности лечения</w:t>
      </w:r>
      <w:r w:rsidR="00CE5033">
        <w:rPr>
          <w:shd w:val="clear" w:color="auto" w:fill="FFFFFF"/>
          <w:lang w:eastAsia="ar-SA"/>
        </w:rPr>
        <w:t>»</w:t>
      </w:r>
      <w:r w:rsidR="0057213C">
        <w:rPr>
          <w:shd w:val="clear" w:color="auto" w:fill="FFFFFF"/>
          <w:lang w:eastAsia="ar-SA"/>
        </w:rPr>
        <w:t>) п</w:t>
      </w:r>
      <w:r w:rsidRPr="00740113">
        <w:rPr>
          <w:shd w:val="clear" w:color="auto" w:fill="FFFFFF"/>
          <w:lang w:eastAsia="ar-SA"/>
        </w:rPr>
        <w:t xml:space="preserve">ри наличии полностью </w:t>
      </w:r>
      <w:r w:rsidRPr="00740113">
        <w:rPr>
          <w:shd w:val="clear" w:color="auto" w:fill="FFFFFF"/>
          <w:lang w:val="en-US" w:eastAsia="ar-SA"/>
        </w:rPr>
        <w:t>HLA</w:t>
      </w:r>
      <w:r w:rsidRPr="00740113">
        <w:rPr>
          <w:shd w:val="clear" w:color="auto" w:fill="FFFFFF"/>
          <w:lang w:eastAsia="ar-SA"/>
        </w:rPr>
        <w:t xml:space="preserve">-совместимого донора и только при отсутствии значимой коморбидности, </w:t>
      </w:r>
      <w:r w:rsidR="00812B3E">
        <w:rPr>
          <w:shd w:val="clear" w:color="auto" w:fill="FFFFFF"/>
          <w:lang w:eastAsia="ar-SA"/>
        </w:rPr>
        <w:t>при которой</w:t>
      </w:r>
      <w:r w:rsidR="00812B3E" w:rsidRPr="00740113">
        <w:rPr>
          <w:shd w:val="clear" w:color="auto" w:fill="FFFFFF"/>
          <w:lang w:eastAsia="ar-SA"/>
        </w:rPr>
        <w:t xml:space="preserve"> </w:t>
      </w:r>
      <w:r w:rsidRPr="00740113">
        <w:rPr>
          <w:shd w:val="clear" w:color="auto" w:fill="FFFFFF"/>
          <w:lang w:eastAsia="ar-SA"/>
        </w:rPr>
        <w:t>риск трансплантационной летальности не пр</w:t>
      </w:r>
      <w:r>
        <w:rPr>
          <w:shd w:val="clear" w:color="auto" w:fill="FFFFFF"/>
          <w:lang w:eastAsia="ar-SA"/>
        </w:rPr>
        <w:t>евышал</w:t>
      </w:r>
      <w:r w:rsidR="00812B3E">
        <w:rPr>
          <w:shd w:val="clear" w:color="auto" w:fill="FFFFFF"/>
          <w:lang w:eastAsia="ar-SA"/>
        </w:rPr>
        <w:t xml:space="preserve"> бы</w:t>
      </w:r>
      <w:r>
        <w:rPr>
          <w:shd w:val="clear" w:color="auto" w:fill="FFFFFF"/>
          <w:lang w:eastAsia="ar-SA"/>
        </w:rPr>
        <w:t xml:space="preserve"> риски развития рецидива</w:t>
      </w:r>
      <w:r w:rsidR="00D75543">
        <w:rPr>
          <w:shd w:val="clear" w:color="auto" w:fill="FFFFFF"/>
          <w:lang w:eastAsia="ar-SA"/>
        </w:rPr>
        <w:t xml:space="preserve"> </w:t>
      </w:r>
      <w:r w:rsidR="00D75543">
        <w:rPr>
          <w:shd w:val="clear" w:color="auto" w:fill="FFFFFF"/>
          <w:lang w:eastAsia="ar-SA"/>
        </w:rPr>
        <w:fldChar w:fldCharType="begin" w:fldLock="1"/>
      </w:r>
      <w:r w:rsidR="002466C9">
        <w:rPr>
          <w:shd w:val="clear" w:color="auto" w:fill="FFFFFF"/>
          <w:lang w:eastAsia="ar-SA"/>
        </w:rPr>
        <w:instrText>ADDIN CSL_CITATION {"citationItems":[{"id":"ITEM-1","itemData":{"DOI":"10.1182/blood-2011-09-377713","ISSN":"1528-0020","PMID":"22442346","abstract":"Quantification of minimal residual disease (MRD) by real-time PCR directed to TCR and Ig gene rearrangements allows a refined evaluation of response in acute lymphoblastic leukemia (ALL). The German Multicenter Study Group for Adult ALL prospectively evaluated molecular response after induction/consolidation chemotherapy according to standardized methods and terminology in patients with Philadelphia chromosome-negative ALL. The cytologic complete response (CR) rate was 89% after induction phases 1 and 2. At this time point the molecular CR rate was 70% in 580 patients with cytologic CR and evaluable MRD. Patients with molecular CR after consolidation had a significantly higher probability of continuous complete remission (CCR; 74% vs 35%; P &lt; .0001) and of overall survival (80% vs 42%; P = .0001) compared with patients with molecular failure. Patients with molecular failure without stem cell transplantation (SCT) in first CR relapsed after a median time of 7.6 months; CCR and survival at 5 years only reached 12% and 33%, respectively. Quantitative MRD assessment identified patients with molecular failure as a new high-risk group. These patients display resistance to conventional drugs and are candidates for treatment with targeted, experimental drugs and allogeneic SCT. Molecular response was shown to be highly predictive for outcome and therefore constitutes a relevant study end point. The studies are registered at www.clinicaltrials.gov as NCT00199056 and NCT00198991.","author":[{"dropping-particle":"","family":"Gökbuget","given":"Nicola","non-dropping-particle":"","parse-names":false,"suffix":""},{"dropping-particle":"","family":"Kneba","given":"Michael","non-dropping-particle":"","parse-names":false,"suffix":""},{"dropping-particle":"","family":"Raff","given":"Thorsten","non-dropping-particle":"","parse-names":false,"suffix":""},{"dropping-particle":"","family":"Trautmann","given":"Heiko","non-dropping-particle":"","parse-names":false,"suffix":""},{"dropping-particle":"","family":"Bartram","given":"Claus-Rainer","non-dropping-particle":"","parse-names":false,"suffix":""},{"dropping-particle":"","family":"Arnold","given":"Renate","non-dropping-particle":"","parse-names":false,"suffix":""},{"dropping-particle":"","family":"Fietkau","given":"Rainer","non-dropping-particle":"","parse-names":false,"suffix":""},{"dropping-particle":"","family":"Freund","given":"Mathias","non-dropping-particle":"","parse-names":false,"suffix":""},{"dropping-particle":"","family":"Ganser","given":"Arnold","non-dropping-particle":"","parse-names":false,"suffix":""},{"dropping-particle":"","family":"Ludwig","given":"Wolf-Dieter","non-dropping-particle":"","parse-names":false,"suffix":""},{"dropping-particle":"","family":"Maschmeyer","given":"Georg","non-dropping-particle":"","parse-names":false,"suffix":""},{"dropping-particle":"","family":"Rieder","given":"Harald","non-dropping-particle":"","parse-names":false,"suffix":""},{"dropping-particle":"","family":"Schwartz","given":"Stefan","non-dropping-particle":"","parse-names":false,"suffix":""},{"dropping-particle":"","family":"Serve","given":"Hubert","non-dropping-particle":"","parse-names":false,"suffix":""},{"dropping-particle":"","family":"Thiel","given":"Eckhard","non-dropping-particle":"","parse-names":false,"suffix":""},{"dropping-particle":"","family":"Brüggemann","given":"Monika","non-dropping-particle":"","parse-names":false,"suffix":""},{"dropping-particle":"","family":"Hoelzer","given":"Dieter","non-dropping-particle":"","parse-names":false,"suffix":""},{"dropping-particle":"","family":"German Multicenter Study Group for Adult Acute Lymphoblastic Leukemia","given":"","non-dropping-particle":"","parse-names":false,"suffix":""}],"container-title":"Blood","id":"ITEM-1","issue":"9","issued":{"date-parts":[["2012","8","30"]]},"page":"1868-76","title":"Adult patients with acute lymphoblastic leukemia and molecular failure display a poor prognosis and are candidates for stem cell transplantation and targeted therapies.","type":"article-journal","volume":"120"},"uris":["http://www.mendeley.com/documents/?uuid=8085a756-02e2-3c8c-b56c-bec838e6ba45"]}],"mendeley":{"formattedCitation":"[55]","plainTextFormattedCitation":"[55]","previouslyFormattedCitation":"[55]"},"properties":{"noteIndex":0},"schema":"https://github.com/citation-style-language/schema/raw/master/csl-citation.json"}</w:instrText>
      </w:r>
      <w:r w:rsidR="00D75543">
        <w:rPr>
          <w:shd w:val="clear" w:color="auto" w:fill="FFFFFF"/>
          <w:lang w:eastAsia="ar-SA"/>
        </w:rPr>
        <w:fldChar w:fldCharType="separate"/>
      </w:r>
      <w:r w:rsidR="00A66456" w:rsidRPr="00A66456">
        <w:rPr>
          <w:noProof/>
          <w:shd w:val="clear" w:color="auto" w:fill="FFFFFF"/>
          <w:lang w:eastAsia="ar-SA"/>
        </w:rPr>
        <w:t>[55]</w:t>
      </w:r>
      <w:r w:rsidR="00D75543">
        <w:rPr>
          <w:shd w:val="clear" w:color="auto" w:fill="FFFFFF"/>
          <w:lang w:eastAsia="ar-SA"/>
        </w:rPr>
        <w:fldChar w:fldCharType="end"/>
      </w:r>
      <w:r w:rsidR="00D75543">
        <w:rPr>
          <w:bCs/>
          <w:spacing w:val="3"/>
        </w:rPr>
        <w:t>.</w:t>
      </w:r>
      <w:r w:rsidR="00D75543" w:rsidRPr="00740113">
        <w:rPr>
          <w:shd w:val="clear" w:color="auto" w:fill="FFFFFF"/>
          <w:lang w:eastAsia="ar-SA"/>
        </w:rPr>
        <w:t xml:space="preserve"> </w:t>
      </w:r>
      <w:r w:rsidR="002034F3">
        <w:rPr>
          <w:shd w:val="clear" w:color="auto" w:fill="FFFFFF"/>
          <w:lang w:eastAsia="ar-SA"/>
        </w:rPr>
        <w:t xml:space="preserve"> </w:t>
      </w:r>
    </w:p>
    <w:p w14:paraId="71466024" w14:textId="77777777" w:rsidR="00254823" w:rsidRDefault="00254823" w:rsidP="00D43253">
      <w:pPr>
        <w:shd w:val="clear" w:color="auto" w:fill="FFFFFF"/>
        <w:tabs>
          <w:tab w:val="left" w:pos="709"/>
        </w:tabs>
        <w:ind w:firstLine="709"/>
        <w:contextualSpacing/>
        <w:rPr>
          <w:b/>
        </w:rPr>
      </w:pPr>
      <w:r w:rsidRPr="00740113">
        <w:rPr>
          <w:b/>
        </w:rPr>
        <w:t>Урове</w:t>
      </w:r>
      <w:r>
        <w:rPr>
          <w:b/>
        </w:rPr>
        <w:t xml:space="preserve">нь убедительности рекомендаций </w:t>
      </w:r>
      <w:r w:rsidR="00CE5033">
        <w:rPr>
          <w:b/>
        </w:rPr>
        <w:t xml:space="preserve">– </w:t>
      </w:r>
      <w:r w:rsidR="003B6E02">
        <w:rPr>
          <w:b/>
          <w:lang w:val="en-US"/>
        </w:rPr>
        <w:t>C</w:t>
      </w:r>
      <w:r w:rsidR="003B6E02" w:rsidRPr="00740113">
        <w:rPr>
          <w:b/>
        </w:rPr>
        <w:t xml:space="preserve"> </w:t>
      </w:r>
      <w:r w:rsidRPr="00740113">
        <w:rPr>
          <w:b/>
        </w:rPr>
        <w:t xml:space="preserve">(уровень </w:t>
      </w:r>
      <w:r w:rsidRPr="00740113">
        <w:rPr>
          <w:b/>
          <w:spacing w:val="-1"/>
        </w:rPr>
        <w:t xml:space="preserve">достоверности доказательств </w:t>
      </w:r>
      <w:r>
        <w:rPr>
          <w:b/>
        </w:rPr>
        <w:t xml:space="preserve">– </w:t>
      </w:r>
      <w:r w:rsidR="003B6E02" w:rsidRPr="005D19FC">
        <w:rPr>
          <w:b/>
        </w:rPr>
        <w:t>4</w:t>
      </w:r>
      <w:r w:rsidR="00B56FEA">
        <w:rPr>
          <w:b/>
        </w:rPr>
        <w:t>)</w:t>
      </w:r>
      <w:r w:rsidR="00CE5033">
        <w:rPr>
          <w:b/>
        </w:rPr>
        <w:t>.</w:t>
      </w:r>
    </w:p>
    <w:p w14:paraId="6CCC3A5B" w14:textId="22E077C1" w:rsidR="007A4E36" w:rsidRPr="009F500F" w:rsidRDefault="00254823" w:rsidP="004C5E51">
      <w:pPr>
        <w:numPr>
          <w:ilvl w:val="0"/>
          <w:numId w:val="6"/>
        </w:numPr>
        <w:shd w:val="clear" w:color="auto" w:fill="FFFFFF"/>
        <w:tabs>
          <w:tab w:val="left" w:pos="709"/>
        </w:tabs>
        <w:rPr>
          <w:shd w:val="clear" w:color="auto" w:fill="FFFFFF"/>
          <w:lang w:eastAsia="ar-SA"/>
        </w:rPr>
      </w:pPr>
      <w:r w:rsidRPr="009F500F">
        <w:rPr>
          <w:b/>
        </w:rPr>
        <w:t>Рекомендуется</w:t>
      </w:r>
      <w:r w:rsidRPr="009F500F">
        <w:rPr>
          <w:shd w:val="clear" w:color="auto" w:fill="FFFFFF"/>
          <w:lang w:eastAsia="ar-SA"/>
        </w:rPr>
        <w:t xml:space="preserve"> </w:t>
      </w:r>
      <w:r w:rsidR="004C5E51" w:rsidRPr="009F500F">
        <w:rPr>
          <w:shd w:val="clear" w:color="auto" w:fill="FFFFFF"/>
          <w:lang w:eastAsia="ar-SA"/>
        </w:rPr>
        <w:t xml:space="preserve">выполнение ТГСК при длительной (после окончания </w:t>
      </w:r>
      <w:r w:rsidR="00E71357" w:rsidRPr="009F500F">
        <w:rPr>
          <w:shd w:val="clear" w:color="auto" w:fill="FFFFFF"/>
          <w:lang w:eastAsia="ar-SA"/>
        </w:rPr>
        <w:t>индукции/</w:t>
      </w:r>
      <w:r w:rsidR="004C5E51" w:rsidRPr="009F500F">
        <w:rPr>
          <w:shd w:val="clear" w:color="auto" w:fill="FFFFFF"/>
          <w:lang w:eastAsia="ar-SA"/>
        </w:rPr>
        <w:t>консолидации) персистенции МОБ, но после применения таргетной терапии направленной на быструю редукцию МОБ</w:t>
      </w:r>
      <w:r w:rsidR="006564A8" w:rsidRPr="009F500F">
        <w:rPr>
          <w:shd w:val="clear" w:color="auto" w:fill="FFFFFF"/>
          <w:lang w:eastAsia="ar-SA"/>
        </w:rPr>
        <w:t>,</w:t>
      </w:r>
      <w:r w:rsidRPr="009F500F">
        <w:rPr>
          <w:shd w:val="clear" w:color="auto" w:fill="FFFFFF"/>
          <w:lang w:eastAsia="ar-SA"/>
        </w:rPr>
        <w:t xml:space="preserve"> </w:t>
      </w:r>
      <w:r w:rsidR="000C5FB3" w:rsidRPr="009F500F">
        <w:rPr>
          <w:shd w:val="clear" w:color="auto" w:fill="FFFFFF"/>
          <w:lang w:eastAsia="ar-SA"/>
        </w:rPr>
        <w:t xml:space="preserve">но </w:t>
      </w:r>
      <w:r w:rsidRPr="009F500F">
        <w:rPr>
          <w:shd w:val="clear" w:color="auto" w:fill="FFFFFF"/>
          <w:lang w:eastAsia="ar-SA"/>
        </w:rPr>
        <w:t xml:space="preserve">для этого необходимо выполнять весь объем </w:t>
      </w:r>
      <w:r w:rsidR="007E582E" w:rsidRPr="009F500F">
        <w:rPr>
          <w:shd w:val="clear" w:color="auto" w:fill="FFFFFF"/>
          <w:lang w:eastAsia="ar-SA"/>
        </w:rPr>
        <w:t xml:space="preserve">ХТ </w:t>
      </w:r>
      <w:r w:rsidRPr="009F500F">
        <w:rPr>
          <w:shd w:val="clear" w:color="auto" w:fill="FFFFFF"/>
          <w:lang w:eastAsia="ar-SA"/>
        </w:rPr>
        <w:t xml:space="preserve">и мониторинг </w:t>
      </w:r>
      <w:r w:rsidR="00AF128D" w:rsidRPr="009F500F">
        <w:rPr>
          <w:shd w:val="clear" w:color="auto" w:fill="FFFFFF"/>
          <w:lang w:eastAsia="ar-SA"/>
        </w:rPr>
        <w:t>МОБ</w:t>
      </w:r>
      <w:r w:rsidRPr="009F500F">
        <w:rPr>
          <w:shd w:val="clear" w:color="auto" w:fill="FFFFFF"/>
          <w:lang w:eastAsia="ar-SA"/>
        </w:rPr>
        <w:t xml:space="preserve"> в предусмотренные временные точки согласно выбранному протоколу</w:t>
      </w:r>
      <w:r w:rsidR="00D75543" w:rsidRPr="009F500F">
        <w:rPr>
          <w:shd w:val="clear" w:color="auto" w:fill="FFFFFF"/>
          <w:lang w:eastAsia="ar-SA"/>
        </w:rPr>
        <w:t xml:space="preserve"> </w:t>
      </w:r>
      <w:r w:rsidR="00D75543" w:rsidRPr="009F500F">
        <w:rPr>
          <w:shd w:val="clear" w:color="auto" w:fill="FFFFFF"/>
          <w:lang w:eastAsia="ar-SA"/>
        </w:rPr>
        <w:fldChar w:fldCharType="begin" w:fldLock="1"/>
      </w:r>
      <w:r w:rsidR="002466C9" w:rsidRPr="009F500F">
        <w:rPr>
          <w:shd w:val="clear" w:color="auto" w:fill="FFFFFF"/>
          <w:lang w:eastAsia="ar-SA"/>
        </w:rPr>
        <w:instrText>ADDIN CSL_CITATION {"citationItems":[{"id":"ITEM-1","itemData":{"DOI":"10.1182/blood-2011-09-377713","ISSN":"1528-0020","PMID":"22442346","abstract":"Quantification of minimal residual disease (MRD) by real-time PCR directed to TCR and Ig gene rearrangements allows a refined evaluation of response in acute lymphoblastic leukemia (ALL). The German Multicenter Study Group for Adult ALL prospectively evaluated molecular response after induction/consolidation chemotherapy according to standardized methods and terminology in patients with Philadelphia chromosome-negative ALL. The cytologic complete response (CR) rate was 89% after induction phases 1 and 2. At this time point the molecular CR rate was 70% in 580 patients with cytologic CR and evaluable MRD. Patients with molecular CR after consolidation had a significantly higher probability of continuous complete remission (CCR; 74% vs 35%; P &lt; .0001) and of overall survival (80% vs 42%; P = .0001) compared with patients with molecular failure. Patients with molecular failure without stem cell transplantation (SCT) in first CR relapsed after a median time of 7.6 months; CCR and survival at 5 years only reached 12% and 33%, respectively. Quantitative MRD assessment identified patients with molecular failure as a new high-risk group. These patients display resistance to conventional drugs and are candidates for treatment with targeted, experimental drugs and allogeneic SCT. Molecular response was shown to be highly predictive for outcome and therefore constitutes a relevant study end point. The studies are registered at www.clinicaltrials.gov as NCT00199056 and NCT00198991.","author":[{"dropping-particle":"","family":"Gökbuget","given":"Nicola","non-dropping-particle":"","parse-names":false,"suffix":""},{"dropping-particle":"","family":"Kneba","given":"Michael","non-dropping-particle":"","parse-names":false,"suffix":""},{"dropping-particle":"","family":"Raff","given":"Thorsten","non-dropping-particle":"","parse-names":false,"suffix":""},{"dropping-particle":"","family":"Trautmann","given":"Heiko","non-dropping-particle":"","parse-names":false,"suffix":""},{"dropping-particle":"","family":"Bartram","given":"Claus-Rainer","non-dropping-particle":"","parse-names":false,"suffix":""},{"dropping-particle":"","family":"Arnold","given":"Renate","non-dropping-particle":"","parse-names":false,"suffix":""},{"dropping-particle":"","family":"Fietkau","given":"Rainer","non-dropping-particle":"","parse-names":false,"suffix":""},{"dropping-particle":"","family":"Freund","given":"Mathias","non-dropping-particle":"","parse-names":false,"suffix":""},{"dropping-particle":"","family":"Ganser","given":"Arnold","non-dropping-particle":"","parse-names":false,"suffix":""},{"dropping-particle":"","family":"Ludwig","given":"Wolf-Dieter","non-dropping-particle":"","parse-names":false,"suffix":""},{"dropping-particle":"","family":"Maschmeyer","given":"Georg","non-dropping-particle":"","parse-names":false,"suffix":""},{"dropping-particle":"","family":"Rieder","given":"Harald","non-dropping-particle":"","parse-names":false,"suffix":""},{"dropping-particle":"","family":"Schwartz","given":"Stefan","non-dropping-particle":"","parse-names":false,"suffix":""},{"dropping-particle":"","family":"Serve","given":"Hubert","non-dropping-particle":"","parse-names":false,"suffix":""},{"dropping-particle":"","family":"Thiel","given":"Eckhard","non-dropping-particle":"","parse-names":false,"suffix":""},{"dropping-particle":"","family":"Brüggemann","given":"Monika","non-dropping-particle":"","parse-names":false,"suffix":""},{"dropping-particle":"","family":"Hoelzer","given":"Dieter","non-dropping-particle":"","parse-names":false,"suffix":""},{"dropping-particle":"","family":"German Multicenter Study Group for Adult Acute Lymphoblastic Leukemia","given":"","non-dropping-particle":"","parse-names":false,"suffix":""}],"container-title":"Blood","id":"ITEM-1","issue":"9","issued":{"date-parts":[["2012","8","30"]]},"page":"1868-76","title":"Adult patients with acute lymphoblastic leukemia and molecular failure display a poor prognosis and are candidates for stem cell transplantation and targeted therapies.","type":"article-journal","volume":"120"},"uris":["http://www.mendeley.com/documents/?uuid=8085a756-02e2-3c8c-b56c-bec838e6ba45"]},{"id":"ITEM-2","itemData":{"DOI":"10.1182/blood-2014-01-547695","ISSN":"15280020","abstract":"With intensified pediatric-like therapy and genetic disease dissection, the field of adult acute lymphoblastic leukemia (ALL) has evolved recently. In this new context, we aimed to reassess the value of conventional risk factors with regard to new genetic alterations and early response to therapy, as assessed by immunoglobulin/T-cell receptor minimal residual disease (MRD) levels. The study was performed in 423 younger adults with Philadelphia chromosome-negative ALL in first remission (265 B-cell precursor [BCP] and 158 T-cell ALL), with cumulative incidence of relapse (CIR) as the primary end point. In addition to conventional risk factors, the most frequent currently available genetic alterations were included in the analysis. A higher specific hazard of relapse was independently associated with postinduction MRD level ≥10 -4  and unfavorable genetic characteristics (ie, MLL gene rearrangement or focal IKZF1 gene deletion in BCP-ALL and no NOTCH1/FBXW7 mutation and/or N/K-RAS mutation and/or PTEN gene alteration in T-cell ALL). These 2 factors allowed definition of a new risk classification that is strongly associated with higher CIR and shorter relapse-free and overall survival. These results indicate that genetic abnormalities are important predictors of outcomein adult ALL not fully recapitulated by early response to therapy. Patients included in this study were treated in the multicenter GRAALL-2003 and GRAALL-2005 trials. Both trials were registered at http://www.clinicaltrials.gov as #NCT00222027 and #NCT00327678, respectively. © 2014 by The American Society of Hematology.","author":[{"dropping-particle":"","family":"Beldjord","given":"Kheira","non-dropping-particle":"","parse-names":false,"suffix":""},{"dropping-particle":"","family":"Chevret","given":"Sylvie","non-dropping-particle":"","parse-names":false,"suffix":""},{"dropping-particle":"","family":"Asnafi","given":"Vahid","non-dropping-particle":"","parse-names":false,"suffix":""},{"dropping-particle":"","family":"Huguet","given":"Françoise","non-dropping-particle":"","parse-names":false,"suffix":""},{"dropping-particle":"","family":"Boulland","given":"Marie Laure","non-dropping-particle":"","parse-names":false,"suffix":""},{"dropping-particle":"","family":"Leguay","given":"Thibaut","non-dropping-particle":"","parse-names":false,"suffix":""},{"dropping-particle":"","family":"Thomas","given":"Xavier","non-dropping-particle":"","parse-names":false,"suffix":""},{"dropping-particle":"","family":"Cayuela","given":"Jean Michel","non-dropping-particle":"","parse-names":false,"suffix":""},{"dropping-particle":"","family":"Grardel","given":"Nathalie","non-dropping-particle":"","parse-names":false,"suffix":""},{"dropping-particle":"","family":"Chalandon","given":"Yves","non-dropping-particle":"","parse-names":false,"suffix":""},{"dropping-particle":"","family":"Boissel","given":"Nicolas","non-dropping-particle":"","parse-names":false,"suffix":""},{"dropping-particle":"","family":"Schaefer","given":"Beat","non-dropping-particle":"","parse-names":false,"suffix":""},{"dropping-particle":"","family":"Delabesse","given":"Eric","non-dropping-particle":"","parse-names":false,"suffix":""},{"dropping-particle":"","family":"Cavé","given":"Hélène","non-dropping-particle":"","parse-names":false,"suffix":""},{"dropping-particle":"","family":"Chevallier","given":"Patrice","non-dropping-particle":"","parse-names":false,"suffix":""},{"dropping-particle":"","family":"Buzyn","given":"Agnes̀","non-dropping-particle":"","parse-names":false,"suffix":""},{"dropping-particle":"","family":"Fest","given":"Thierry","non-dropping-particle":"","parse-names":false,"suffix":""},{"dropping-particle":"","family":"Reman","given":"Oumedaly","non-dropping-particle":"","parse-names":false,"suffix":""},{"dropping-particle":"","family":"Vernant","given":"Jean Paul","non-dropping-particle":"","parse-names":false,"suffix":""},{"dropping-particle":"","family":"Lhéritier","given":"Veŕonique","non-dropping-particle":"","parse-names":false,"suffix":""},{"dropping-particle":"","family":"Béńe","given":"Marie C.","non-dropping-particle":"","parse-names":false,"suffix":""},{"dropping-particle":"","family":"Lafage","given":"Marina","non-dropping-particle":"","parse-names":false,"suffix":""},{"dropping-particle":"","family":"Macintyre","given":"Elizabeth","non-dropping-particle":"","parse-names":false,"suffix":""},{"dropping-particle":"","family":"Ifrah","given":"Norbert","non-dropping-particle":"","parse-names":false,"suffix":""},{"dropping-particle":"","family":"Dombret","given":"Hervé","non-dropping-particle":"","parse-names":false,"suffix":""}],"container-title":"Blood","id":"ITEM-2","issue":"24","issued":{"date-parts":[["2014","6","12"]]},"page":"3739-3749","publisher":"American Society of Hematology","title":"Oncogenetics and minimal residual disease are independent outcome predictors in adult patients with acute lymphoblastic leukemia","type":"article-journal","volume":"123"},"uris":["http://www.mendeley.com/documents/?uuid=4e91b125-e7ae-348f-bfbd-d9e8b0e68780"]},{"id":"ITEM-3","itemData":{"DOI":"10.1182/blood-2008-11-185132","ISSN":"1528-0020","PMID":"19141862","abstract":"Clinical risk classification is inaccurate in predicting relapse in adult patients with acute lymphoblastic leukemia, sometimes resulting in patients receiving inappropriate chemotherapy or stem cell transplantation (SCT). We studied minimal residual disease (MRD) as a predictive factor for recurrence and as a decisional tool for postconsolidation maintenance (in MRD(neg)) or SCT (in MRD(pos)). MRD was tested at weeks 10, 16, and 22 using real-time quantitative polymerase chain reaction with 1 or more sensitive probes. Only patients with t(9;22) or t(4;11) were immediately eligible for allogeneic SCT. Of 280 registered patients (236 in remission), 34 underwent an early SCT, 60 suffered from relapse or severe toxicity, and 142 were evaluable for MRD at the end of consolidation. Of these, 58 were MRD(neg), 54 MRD(pos), and 30 were not assessable. Five-year overall survival/disease-free survival rates were 0.75/0.72 in the MRD(neg) group compared with 0.33/0.14 in MRD(pos) (P = .001), regardless of the clinical risk class. MRD was the most significant risk factor for relapse (hazard ratio, 5.22). MRD results at weeks 16 to 22 correlated strongly with the earlier time point (P = .001) using a level of 10(-4) or higher to define persistent disease. MRD analysis during early postremission therapy improves risk definitions and bolsters risk-oriented strategies. ClinicalTrials.gov identifier: NCT00358072.","author":[{"dropping-particle":"","family":"Bassan","given":"Renato","non-dropping-particle":"","parse-names":false,"suffix":""},{"dropping-particle":"","family":"Spinelli","given":"Orietta","non-dropping-particle":"","parse-names":false,"suffix":""},{"dropping-particle":"","family":"Oldani","given":"Elena","non-dropping-particle":"","parse-names":false,"suffix":""},{"dropping-particle":"","family":"Intermesoli","given":"Tamara","non-dropping-particle":"","parse-names":false,"suffix":""},{"dropping-particle":"","family":"Tosi","given":"Manuela","non-dropping-particle":"","parse-names":false,"suffix":""},{"dropping-particle":"","family":"Peruta","given":"Barbara","non-dropping-particle":"","parse-names":false,"suffix":""},{"dropping-particle":"","family":"Rossi","given":"Giuseppe","non-dropping-particle":"","parse-names":false,"suffix":""},{"dropping-particle":"","family":"Borlenghi","given":"Erika","non-dropping-particle":"","parse-names":false,"suffix":""},{"dropping-particle":"","family":"Pogliani","given":"Enrico M","non-dropping-particle":"","parse-names":false,"suffix":""},{"dropping-particle":"","family":"Terruzzi","given":"Elisabetta","non-dropping-particle":"","parse-names":false,"suffix":""},{"dropping-particle":"","family":"Fabris","given":"Pietro","non-dropping-particle":"","parse-names":false,"suffix":""},{"dropping-particle":"","family":"Cassibba","given":"Vincenzo","non-dropping-particle":"","parse-names":false,"suffix":""},{"dropping-particle":"","family":"Lambertenghi-Deliliers","given":"Giorgio","non-dropping-particle":"","parse-names":false,"suffix":""},{"dropping-particle":"","family":"Cortelezzi","given":"Agostino","non-dropping-particle":"","parse-names":false,"suffix":""},{"dropping-particle":"","family":"Bosi","given":"Alberto","non-dropping-particle":"","parse-names":false,"suffix":""},{"dropping-particle":"","family":"Gianfaldoni","given":"Giacomo","non-dropping-particle":"","parse-names":false,"suffix":""},{"dropping-particle":"","family":"Ciceri","given":"Fabio","non-dropping-particle":"","parse-names":false,"suffix":""},{"dropping-particle":"","family":"Bernardi","given":"Massimo","non-dropping-particle":"","parse-names":false,"suffix":""},{"dropping-particle":"","family":"Gallamini","given":"Andrea","non-dropping-particle":"","parse-names":false,"suffix":""},{"dropping-particle":"","family":"Mattei","given":"Daniele","non-dropping-particle":"","parse-names":false,"suffix":""},{"dropping-particle":"","family":"Bona","given":"Eros","non-dropping-particle":"Di","parse-names":false,"suffix":""},{"dropping-particle":"","family":"Romani","given":"Claudio","non-dropping-particle":"","parse-names":false,"suffix":""},{"dropping-particle":"","family":"Scattolin","given":"Anna Maria","non-dropping-particle":"","parse-names":false,"suffix":""},{"dropping-particle":"","family":"Barbui","given":"Tiziano","non-dropping-particle":"","parse-names":false,"suffix":""},{"dropping-particle":"","family":"Rambaldi","given":"Alessandro","non-dropping-particle":"","parse-names":false,"suffix":""}],"container-title":"Blood","id":"ITEM-3","issue":"18","issued":{"date-parts":[["2009","4","30"]]},"page":"4153-62","title":"Improved risk classification for risk-specific therapy based on the molecular study of minimal residual disease (MRD) in adult acute lymphoblastic leukemia (ALL).","type":"article-journal","volume":"113"},"uris":["http://www.mendeley.com/documents/?uuid=9558a952-a739-3b5d-bc51-81353ea2b642"]}],"mendeley":{"formattedCitation":"[55,69,70]","plainTextFormattedCitation":"[55,69,70]","previouslyFormattedCitation":"[55,69,70]"},"properties":{"noteIndex":0},"schema":"https://github.com/citation-style-language/schema/raw/master/csl-citation.json"}</w:instrText>
      </w:r>
      <w:r w:rsidR="00D75543" w:rsidRPr="009F500F">
        <w:rPr>
          <w:shd w:val="clear" w:color="auto" w:fill="FFFFFF"/>
          <w:lang w:eastAsia="ar-SA"/>
        </w:rPr>
        <w:fldChar w:fldCharType="separate"/>
      </w:r>
      <w:r w:rsidR="00A66456" w:rsidRPr="009F500F">
        <w:rPr>
          <w:noProof/>
          <w:shd w:val="clear" w:color="auto" w:fill="FFFFFF"/>
          <w:lang w:eastAsia="ar-SA"/>
        </w:rPr>
        <w:t>[55,69,70]</w:t>
      </w:r>
      <w:r w:rsidR="00D75543" w:rsidRPr="009F500F">
        <w:rPr>
          <w:shd w:val="clear" w:color="auto" w:fill="FFFFFF"/>
          <w:lang w:eastAsia="ar-SA"/>
        </w:rPr>
        <w:fldChar w:fldCharType="end"/>
      </w:r>
      <w:r w:rsidR="00D75543" w:rsidRPr="009F500F">
        <w:rPr>
          <w:bCs/>
          <w:spacing w:val="3"/>
        </w:rPr>
        <w:t>.</w:t>
      </w:r>
      <w:r w:rsidR="00D75543" w:rsidRPr="009F500F">
        <w:rPr>
          <w:shd w:val="clear" w:color="auto" w:fill="FFFFFF"/>
          <w:lang w:eastAsia="ar-SA"/>
        </w:rPr>
        <w:t xml:space="preserve"> </w:t>
      </w:r>
    </w:p>
    <w:p w14:paraId="6FCD3D93" w14:textId="77777777" w:rsidR="004C5E51" w:rsidRPr="009F500F" w:rsidRDefault="00254823" w:rsidP="004C5E51">
      <w:pPr>
        <w:shd w:val="clear" w:color="auto" w:fill="FFFFFF"/>
        <w:tabs>
          <w:tab w:val="left" w:pos="709"/>
        </w:tabs>
        <w:ind w:left="360"/>
        <w:contextualSpacing/>
        <w:rPr>
          <w:i/>
          <w:iCs/>
          <w:shd w:val="clear" w:color="auto" w:fill="FFFFFF"/>
          <w:lang w:eastAsia="ar-SA"/>
        </w:rPr>
      </w:pPr>
      <w:r w:rsidRPr="009F500F">
        <w:rPr>
          <w:b/>
        </w:rPr>
        <w:t xml:space="preserve">Уровень убедительности рекомендаций </w:t>
      </w:r>
      <w:r w:rsidR="00CE5033" w:rsidRPr="009F500F">
        <w:rPr>
          <w:b/>
        </w:rPr>
        <w:t xml:space="preserve">– </w:t>
      </w:r>
      <w:r w:rsidR="00A260C3" w:rsidRPr="009F500F">
        <w:rPr>
          <w:b/>
          <w:lang w:val="en-US"/>
        </w:rPr>
        <w:t>C</w:t>
      </w:r>
      <w:r w:rsidR="00A260C3" w:rsidRPr="009F500F">
        <w:rPr>
          <w:b/>
        </w:rPr>
        <w:t xml:space="preserve"> </w:t>
      </w:r>
      <w:r w:rsidRPr="009F500F">
        <w:rPr>
          <w:b/>
        </w:rPr>
        <w:t xml:space="preserve">(уровень </w:t>
      </w:r>
      <w:r w:rsidRPr="009F500F">
        <w:rPr>
          <w:b/>
          <w:spacing w:val="-1"/>
        </w:rPr>
        <w:t xml:space="preserve">достоверности доказательств </w:t>
      </w:r>
      <w:r w:rsidRPr="009F500F">
        <w:rPr>
          <w:b/>
        </w:rPr>
        <w:t xml:space="preserve">– </w:t>
      </w:r>
      <w:r w:rsidR="00A260C3" w:rsidRPr="009F500F">
        <w:rPr>
          <w:b/>
        </w:rPr>
        <w:t>4</w:t>
      </w:r>
      <w:r w:rsidR="00D43253" w:rsidRPr="009F500F">
        <w:rPr>
          <w:b/>
        </w:rPr>
        <w:t>)</w:t>
      </w:r>
      <w:r w:rsidR="00CE5033" w:rsidRPr="009F500F">
        <w:rPr>
          <w:b/>
        </w:rPr>
        <w:t>.</w:t>
      </w:r>
      <w:r w:rsidR="004C5E51" w:rsidRPr="009F500F">
        <w:rPr>
          <w:i/>
          <w:iCs/>
          <w:shd w:val="clear" w:color="auto" w:fill="FFFFFF"/>
          <w:lang w:eastAsia="ar-SA"/>
        </w:rPr>
        <w:t xml:space="preserve"> </w:t>
      </w:r>
    </w:p>
    <w:p w14:paraId="30B7AEF9" w14:textId="306AB86E" w:rsidR="00254823" w:rsidRPr="009F500F" w:rsidRDefault="004C5E51" w:rsidP="009F500F">
      <w:pPr>
        <w:shd w:val="clear" w:color="auto" w:fill="FFFFFF"/>
        <w:tabs>
          <w:tab w:val="left" w:pos="709"/>
        </w:tabs>
        <w:ind w:left="360"/>
        <w:contextualSpacing/>
        <w:rPr>
          <w:shd w:val="clear" w:color="auto" w:fill="FFFFFF"/>
          <w:lang w:eastAsia="ar-SA"/>
        </w:rPr>
      </w:pPr>
      <w:r w:rsidRPr="009F500F">
        <w:rPr>
          <w:i/>
          <w:iCs/>
          <w:shd w:val="clear" w:color="auto" w:fill="FFFFFF"/>
          <w:lang w:eastAsia="ar-SA"/>
        </w:rPr>
        <w:t xml:space="preserve">Комментарий: </w:t>
      </w:r>
      <w:r w:rsidRPr="009F500F">
        <w:rPr>
          <w:shd w:val="clear" w:color="auto" w:fill="FFFFFF"/>
          <w:lang w:eastAsia="ar-SA"/>
        </w:rPr>
        <w:t>выполнение ТГСК на фоне детектируемой МОБ имеет достоверно меньшую долгосрочную эффективность по сравнению с теми, кто получил ТГСК на фоне МОБ-негативного статуса.</w:t>
      </w:r>
    </w:p>
    <w:p w14:paraId="11C05C07" w14:textId="77777777" w:rsidR="00254823" w:rsidRPr="00BD2656" w:rsidRDefault="00254823" w:rsidP="00956D03">
      <w:pPr>
        <w:numPr>
          <w:ilvl w:val="0"/>
          <w:numId w:val="6"/>
        </w:numPr>
        <w:shd w:val="clear" w:color="auto" w:fill="FFFFFF"/>
        <w:tabs>
          <w:tab w:val="left" w:pos="709"/>
        </w:tabs>
        <w:contextualSpacing/>
        <w:rPr>
          <w:shd w:val="clear" w:color="auto" w:fill="FFFFFF"/>
          <w:lang w:eastAsia="ar-SA"/>
        </w:rPr>
      </w:pPr>
      <w:r w:rsidRPr="002034F3">
        <w:rPr>
          <w:b/>
        </w:rPr>
        <w:t>Рекомендуется</w:t>
      </w:r>
      <w:r w:rsidRPr="002034F3">
        <w:rPr>
          <w:shd w:val="clear" w:color="auto" w:fill="FFFFFF"/>
          <w:lang w:eastAsia="ar-SA"/>
        </w:rPr>
        <w:t xml:space="preserve"> всем пациентам выполнение алло</w:t>
      </w:r>
      <w:r w:rsidR="004A688B">
        <w:rPr>
          <w:shd w:val="clear" w:color="auto" w:fill="FFFFFF"/>
          <w:lang w:eastAsia="ar-SA"/>
        </w:rPr>
        <w:t>-</w:t>
      </w:r>
      <w:r w:rsidR="00F33796">
        <w:rPr>
          <w:shd w:val="clear" w:color="auto" w:fill="FFFFFF"/>
          <w:lang w:eastAsia="ar-SA"/>
        </w:rPr>
        <w:t>ТГСК</w:t>
      </w:r>
      <w:r w:rsidRPr="002034F3">
        <w:rPr>
          <w:shd w:val="clear" w:color="auto" w:fill="FFFFFF"/>
          <w:lang w:eastAsia="ar-SA"/>
        </w:rPr>
        <w:t xml:space="preserve"> от родственного</w:t>
      </w:r>
      <w:r w:rsidRPr="00740113">
        <w:rPr>
          <w:shd w:val="clear" w:color="auto" w:fill="FFFFFF"/>
          <w:lang w:eastAsia="ar-SA"/>
        </w:rPr>
        <w:t xml:space="preserve"> донора в первой </w:t>
      </w:r>
      <w:r w:rsidR="007E582E">
        <w:rPr>
          <w:shd w:val="clear" w:color="auto" w:fill="FFFFFF"/>
          <w:lang w:eastAsia="ar-SA"/>
        </w:rPr>
        <w:t>ПР</w:t>
      </w:r>
      <w:r w:rsidRPr="00740113">
        <w:rPr>
          <w:shd w:val="clear" w:color="auto" w:fill="FFFFFF"/>
          <w:lang w:eastAsia="ar-SA"/>
        </w:rPr>
        <w:t xml:space="preserve"> при неадекватном выполнении любого из протоколов программной терапии</w:t>
      </w:r>
      <w:r>
        <w:rPr>
          <w:shd w:val="clear" w:color="auto" w:fill="FFFFFF"/>
          <w:lang w:eastAsia="ar-SA"/>
        </w:rPr>
        <w:t xml:space="preserve"> в связи с высоким риском рецидива</w:t>
      </w:r>
      <w:r w:rsidR="002034F3">
        <w:rPr>
          <w:shd w:val="clear" w:color="auto" w:fill="FFFFFF"/>
          <w:lang w:eastAsia="ar-SA"/>
        </w:rPr>
        <w:t xml:space="preserve"> </w:t>
      </w:r>
      <w:r w:rsidR="00D75543">
        <w:fldChar w:fldCharType="begin" w:fldLock="1"/>
      </w:r>
      <w:r w:rsidR="00D75543">
        <w:instrText>ADDIN CSL_CITATION {"citationItems":[{"id":"ITEM-1","itemData":{"id":"ITEM-1","issued":{"date-parts":[["2012"]]},"number-of-pages":"1056","title":"Программное лечение заболеваний системы крови: Сборник алгоритмов диагностики и протоколов лечения заболеваний системы крови. Под ред. В.Г. Савченко","type":"book"},"uris":["http://www.mendeley.com/documents/?uuid=36484a90-27ae-40a9-a194-b0461fb47d9d"]},{"id":"ITEM-2","itemData":{"author":[{"dropping-particle":"","family":"Савченко","given":"Валерий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доп.","id":"ITEM-2","issued":{"date-parts":[["2007"]]},"page":"409-502","title":"Острые лейкозы","type":"chapter"},"uris":["http://www.mendeley.com/documents/?uuid=08f85f58-ddaa-48eb-b937-65d15d14b213"]}],"mendeley":{"formattedCitation":"[1,2]","plainTextFormattedCitation":"[1,2]","previouslyFormattedCitation":"[1,2]"},"properties":{"noteIndex":0},"schema":"https://github.com/citation-style-language/schema/raw/master/csl-citation.json"}</w:instrText>
      </w:r>
      <w:r w:rsidR="00D75543">
        <w:fldChar w:fldCharType="separate"/>
      </w:r>
      <w:r w:rsidR="00D75543" w:rsidRPr="001152A4">
        <w:rPr>
          <w:noProof/>
        </w:rPr>
        <w:t>[1,2]</w:t>
      </w:r>
      <w:r w:rsidR="00D75543">
        <w:fldChar w:fldCharType="end"/>
      </w:r>
      <w:r w:rsidR="00D75543">
        <w:t>.</w:t>
      </w:r>
      <w:r w:rsidR="00D75543" w:rsidRPr="00CE5033" w:rsidDel="00D75543">
        <w:t xml:space="preserve"> </w:t>
      </w:r>
    </w:p>
    <w:p w14:paraId="1B973CA8" w14:textId="77777777" w:rsidR="00254823" w:rsidRDefault="00254823" w:rsidP="00D43253">
      <w:pPr>
        <w:shd w:val="clear" w:color="auto" w:fill="FFFFFF"/>
        <w:tabs>
          <w:tab w:val="left" w:pos="709"/>
        </w:tabs>
        <w:ind w:firstLine="709"/>
        <w:contextualSpacing/>
        <w:rPr>
          <w:b/>
        </w:rPr>
      </w:pPr>
      <w:r w:rsidRPr="00740113">
        <w:rPr>
          <w:b/>
        </w:rPr>
        <w:t>Урове</w:t>
      </w:r>
      <w:r>
        <w:rPr>
          <w:b/>
        </w:rPr>
        <w:t xml:space="preserve">нь убедительности рекомендаций </w:t>
      </w:r>
      <w:r w:rsidR="00CE5033">
        <w:rPr>
          <w:b/>
        </w:rPr>
        <w:t xml:space="preserve">– </w:t>
      </w:r>
      <w:r w:rsidR="002034F3">
        <w:rPr>
          <w:b/>
        </w:rPr>
        <w:t>С</w:t>
      </w:r>
      <w:r w:rsidRPr="00740113">
        <w:rPr>
          <w:b/>
        </w:rPr>
        <w:t xml:space="preserve"> (уровень </w:t>
      </w:r>
      <w:r w:rsidRPr="00740113">
        <w:rPr>
          <w:b/>
          <w:spacing w:val="-1"/>
        </w:rPr>
        <w:t xml:space="preserve">достоверности доказательств </w:t>
      </w:r>
      <w:r>
        <w:rPr>
          <w:b/>
        </w:rPr>
        <w:t xml:space="preserve">– </w:t>
      </w:r>
      <w:r w:rsidRPr="00702B62">
        <w:rPr>
          <w:b/>
        </w:rPr>
        <w:t>5</w:t>
      </w:r>
      <w:r w:rsidR="00D43253">
        <w:rPr>
          <w:b/>
        </w:rPr>
        <w:t>)</w:t>
      </w:r>
      <w:r w:rsidR="00CE5033">
        <w:rPr>
          <w:b/>
        </w:rPr>
        <w:t>.</w:t>
      </w:r>
    </w:p>
    <w:p w14:paraId="13FEB0C8" w14:textId="4D8344BF" w:rsidR="00254823" w:rsidRPr="00702B62" w:rsidRDefault="00254823" w:rsidP="00956D03">
      <w:pPr>
        <w:numPr>
          <w:ilvl w:val="0"/>
          <w:numId w:val="6"/>
        </w:numPr>
        <w:shd w:val="clear" w:color="auto" w:fill="FFFFFF"/>
        <w:tabs>
          <w:tab w:val="left" w:pos="709"/>
        </w:tabs>
        <w:contextualSpacing/>
        <w:rPr>
          <w:b/>
        </w:rPr>
      </w:pPr>
      <w:r w:rsidRPr="00740113">
        <w:rPr>
          <w:b/>
          <w:shd w:val="clear" w:color="auto" w:fill="FFFFFF"/>
          <w:lang w:eastAsia="ar-SA"/>
        </w:rPr>
        <w:t>Р</w:t>
      </w:r>
      <w:r>
        <w:rPr>
          <w:b/>
          <w:shd w:val="clear" w:color="auto" w:fill="FFFFFF"/>
          <w:lang w:eastAsia="ar-SA"/>
        </w:rPr>
        <w:t>екомендуется</w:t>
      </w:r>
      <w:r w:rsidRPr="00740113">
        <w:rPr>
          <w:shd w:val="clear" w:color="auto" w:fill="FFFFFF"/>
          <w:lang w:eastAsia="ar-SA"/>
        </w:rPr>
        <w:t xml:space="preserve"> рассматривать возможнос</w:t>
      </w:r>
      <w:r>
        <w:rPr>
          <w:shd w:val="clear" w:color="auto" w:fill="FFFFFF"/>
          <w:lang w:eastAsia="ar-SA"/>
        </w:rPr>
        <w:t>ть выполнения алло-</w:t>
      </w:r>
      <w:r w:rsidR="00F33796">
        <w:rPr>
          <w:shd w:val="clear" w:color="auto" w:fill="FFFFFF"/>
          <w:lang w:eastAsia="ar-SA"/>
        </w:rPr>
        <w:t>ТГСК</w:t>
      </w:r>
      <w:r>
        <w:rPr>
          <w:shd w:val="clear" w:color="auto" w:fill="FFFFFF"/>
          <w:lang w:eastAsia="ar-SA"/>
        </w:rPr>
        <w:t xml:space="preserve"> у пациентов</w:t>
      </w:r>
      <w:r w:rsidR="00797055">
        <w:rPr>
          <w:shd w:val="clear" w:color="auto" w:fill="FFFFFF"/>
          <w:lang w:eastAsia="ar-SA"/>
        </w:rPr>
        <w:t xml:space="preserve"> во </w:t>
      </w:r>
      <w:r w:rsidRPr="00740113">
        <w:rPr>
          <w:shd w:val="clear" w:color="auto" w:fill="FFFFFF"/>
          <w:lang w:eastAsia="ar-SA"/>
        </w:rPr>
        <w:t xml:space="preserve">второй и более </w:t>
      </w:r>
      <w:r w:rsidR="00A976DD">
        <w:rPr>
          <w:shd w:val="clear" w:color="auto" w:fill="FFFFFF"/>
          <w:lang w:eastAsia="ar-SA"/>
        </w:rPr>
        <w:t xml:space="preserve">поздних </w:t>
      </w:r>
      <w:r w:rsidRPr="00740113">
        <w:rPr>
          <w:shd w:val="clear" w:color="auto" w:fill="FFFFFF"/>
          <w:lang w:eastAsia="ar-SA"/>
        </w:rPr>
        <w:t>ремиссиях заболевания</w:t>
      </w:r>
      <w:r>
        <w:rPr>
          <w:shd w:val="clear" w:color="auto" w:fill="FFFFFF"/>
          <w:lang w:eastAsia="ar-SA"/>
        </w:rPr>
        <w:t xml:space="preserve"> </w:t>
      </w:r>
      <w:r w:rsidR="002034F3">
        <w:rPr>
          <w:shd w:val="clear" w:color="auto" w:fill="FFFFFF"/>
          <w:lang w:eastAsia="ar-SA"/>
        </w:rPr>
        <w:t>с</w:t>
      </w:r>
      <w:r>
        <w:rPr>
          <w:shd w:val="clear" w:color="auto" w:fill="FFFFFF"/>
          <w:lang w:eastAsia="ar-SA"/>
        </w:rPr>
        <w:t xml:space="preserve"> целью улучшения долгосрочных результатов терапии</w:t>
      </w:r>
      <w:r w:rsidR="005E0AEA">
        <w:rPr>
          <w:shd w:val="clear" w:color="auto" w:fill="FFFFFF"/>
          <w:lang w:eastAsia="ar-SA"/>
        </w:rPr>
        <w:t xml:space="preserve"> </w:t>
      </w:r>
      <w:r w:rsidR="00D75543">
        <w:rPr>
          <w:shd w:val="clear" w:color="auto" w:fill="FFFFFF"/>
          <w:lang w:eastAsia="ar-SA"/>
        </w:rPr>
        <w:fldChar w:fldCharType="begin" w:fldLock="1"/>
      </w:r>
      <w:r w:rsidR="002466C9">
        <w:rPr>
          <w:shd w:val="clear" w:color="auto" w:fill="FFFFFF"/>
          <w:lang w:eastAsia="ar-SA"/>
        </w:rPr>
        <w:instrText>ADDIN CSL_CITATION {"citationItems":[{"id":"ITEM-1","itemData":{"DOI":"10.1182/blood-2006-05-018192","ISSN":"00064971","abstract":"Most adults with acute lymphoblastic leukemia (ALL) who achieve complete remission (CR) will relapse. We examined the outcome of 609 adults with recurring ALL, all of whom were previously treated on the Medical Research Council (MRC) UKALL12/ECOG2993 study, where the overall survival (OS) of newly diagnosed patients is 38% (95% confidence interval [CI]=36%-41%) at 5 years. By contrast, OS at 5 years after relapse was 7% (95% CI=4%-9%). Factors predicting a good outcome after salvage therapy were young age (OS of 12% in patients younger than 20 years vs OS of 3% in patients older than 50 years; 2P&lt;.001) and short duration of first remission (CR1) (OS of 11% in those with a CR1 of more than 2 years versus OS of 5% in those with a CR1 of less than 2 years; 2P&lt;.001). Treatment received in CR1 did not influence outcome after relapse. In a very highly selected subgroup of patients who were able to receive HSCT after relapse, some were long-term survivors. We conclude from a large, unselected series with mature follow-up that most adults with recurring ALL, whatever their prior treatment, cannot be rescued using currently available therapies. Prevention of recurrence is the best strategy for long-term survival in this disease.","author":[{"dropping-particle":"","family":"Fielding","given":"Adele K.","non-dropping-particle":"","parse-names":false,"suffix":""},{"dropping-particle":"","family":"Richards","given":"Susan M.","non-dropping-particle":"","parse-names":false,"suffix":""},{"dropping-particle":"","family":"Chopra","given":"Rajesh","non-dropping-particle":"","parse-names":false,"suffix":""},{"dropping-particle":"","family":"Lazarus","given":"Hillard M.","non-dropping-particle":"","parse-names":false,"suffix":""},{"dropping-particle":"","family":"Litzow","given":"Mark R.","non-dropping-particle":"","parse-names":false,"suffix":""},{"dropping-particle":"","family":"Buck","given":"Georgina","non-dropping-particle":"","parse-names":false,"suffix":""},{"dropping-particle":"","family":"Durrant","given":"I. Jill","non-dropping-particle":"","parse-names":false,"suffix":""},{"dropping-particle":"","family":"Luger","given":"Selina M.","non-dropping-particle":"","parse-names":false,"suffix":""},{"dropping-particle":"","family":"Marks","given":"David I.","non-dropping-particle":"","parse-names":false,"suffix":""},{"dropping-particle":"","family":"Franklin","given":"Ian M.","non-dropping-particle":"","parse-names":false,"suffix":""},{"dropping-particle":"","family":"McMillan","given":"Andrew K.","non-dropping-particle":"","parse-names":false,"suffix":""},{"dropping-particle":"","family":"Tallman","given":"Martin S.","non-dropping-particle":"","parse-names":false,"suffix":""},{"dropping-particle":"","family":"Rowe","given":"Jacob M.","non-dropping-particle":"","parse-names":false,"suffix":""},{"dropping-particle":"","family":"Goldstone","given":"Anthony H.","non-dropping-particle":"","parse-names":false,"suffix":""}],"container-title":"Blood","id":"ITEM-1","issue":"3","issued":{"date-parts":[["2007","2","1"]]},"page":"944-950","title":"Outcome of 609 adults after relapse of acute lymphoblastic leukemia (ALL); an MRC UKALL12/ECOG 2993 study","type":"article-journal","volume":"109"},"uris":["http://www.mendeley.com/documents/?uuid=b03ff003-44aa-34bf-bbdb-5c21c4da4b88"]}],"mendeley":{"formattedCitation":"[100]","plainTextFormattedCitation":"[100]","previouslyFormattedCitation":"[100]"},"properties":{"noteIndex":0},"schema":"https://github.com/citation-style-language/schema/raw/master/csl-citation.json"}</w:instrText>
      </w:r>
      <w:r w:rsidR="00D75543">
        <w:rPr>
          <w:shd w:val="clear" w:color="auto" w:fill="FFFFFF"/>
          <w:lang w:eastAsia="ar-SA"/>
        </w:rPr>
        <w:fldChar w:fldCharType="separate"/>
      </w:r>
      <w:r w:rsidR="00A66456" w:rsidRPr="00A66456">
        <w:rPr>
          <w:noProof/>
          <w:shd w:val="clear" w:color="auto" w:fill="FFFFFF"/>
          <w:lang w:eastAsia="ar-SA"/>
        </w:rPr>
        <w:t>[100]</w:t>
      </w:r>
      <w:r w:rsidR="00D75543">
        <w:rPr>
          <w:shd w:val="clear" w:color="auto" w:fill="FFFFFF"/>
          <w:lang w:eastAsia="ar-SA"/>
        </w:rPr>
        <w:fldChar w:fldCharType="end"/>
      </w:r>
      <w:r w:rsidR="00D75543">
        <w:rPr>
          <w:shd w:val="clear" w:color="auto" w:fill="FFFFFF"/>
          <w:lang w:eastAsia="ar-SA"/>
        </w:rPr>
        <w:t>.</w:t>
      </w:r>
    </w:p>
    <w:p w14:paraId="2CD0A187" w14:textId="77777777" w:rsidR="00254823" w:rsidRDefault="00254823" w:rsidP="00D43253">
      <w:pPr>
        <w:shd w:val="clear" w:color="auto" w:fill="FFFFFF"/>
        <w:tabs>
          <w:tab w:val="left" w:pos="709"/>
        </w:tabs>
        <w:ind w:firstLine="709"/>
        <w:contextualSpacing/>
        <w:rPr>
          <w:b/>
        </w:rPr>
      </w:pPr>
      <w:r w:rsidRPr="00740113">
        <w:rPr>
          <w:b/>
        </w:rPr>
        <w:t>Урове</w:t>
      </w:r>
      <w:r>
        <w:rPr>
          <w:b/>
        </w:rPr>
        <w:t xml:space="preserve">нь убедительности рекомендаций </w:t>
      </w:r>
      <w:r w:rsidR="005E0AEA">
        <w:rPr>
          <w:b/>
        </w:rPr>
        <w:t xml:space="preserve">– </w:t>
      </w:r>
      <w:r w:rsidR="00A260C3">
        <w:rPr>
          <w:b/>
        </w:rPr>
        <w:t>С</w:t>
      </w:r>
      <w:r w:rsidR="00A260C3" w:rsidRPr="00740113">
        <w:rPr>
          <w:b/>
        </w:rPr>
        <w:t xml:space="preserve"> </w:t>
      </w:r>
      <w:r w:rsidRPr="00740113">
        <w:rPr>
          <w:b/>
        </w:rPr>
        <w:t xml:space="preserve">(уровень </w:t>
      </w:r>
      <w:r w:rsidRPr="00740113">
        <w:rPr>
          <w:b/>
          <w:spacing w:val="-1"/>
        </w:rPr>
        <w:t xml:space="preserve">достоверности доказательств </w:t>
      </w:r>
      <w:r>
        <w:rPr>
          <w:b/>
        </w:rPr>
        <w:t xml:space="preserve">– </w:t>
      </w:r>
      <w:r w:rsidR="00A260C3">
        <w:rPr>
          <w:b/>
        </w:rPr>
        <w:t>4</w:t>
      </w:r>
      <w:r w:rsidR="00D43253">
        <w:rPr>
          <w:b/>
        </w:rPr>
        <w:t>)</w:t>
      </w:r>
      <w:r w:rsidR="005E0AEA">
        <w:rPr>
          <w:b/>
        </w:rPr>
        <w:t>.</w:t>
      </w:r>
    </w:p>
    <w:p w14:paraId="5AD18CB6" w14:textId="77777777" w:rsidR="00254823" w:rsidRPr="00031D44" w:rsidRDefault="00254823" w:rsidP="00D43253">
      <w:pPr>
        <w:shd w:val="clear" w:color="auto" w:fill="FFFFFF"/>
        <w:tabs>
          <w:tab w:val="left" w:pos="709"/>
        </w:tabs>
        <w:ind w:firstLine="709"/>
        <w:contextualSpacing/>
        <w:rPr>
          <w:b/>
          <w:i/>
        </w:rPr>
      </w:pPr>
      <w:r>
        <w:rPr>
          <w:b/>
        </w:rPr>
        <w:t>Комментарии:</w:t>
      </w:r>
      <w:r w:rsidRPr="00031D44">
        <w:rPr>
          <w:shd w:val="clear" w:color="auto" w:fill="FFFFFF"/>
        </w:rPr>
        <w:t xml:space="preserve"> </w:t>
      </w:r>
      <w:r w:rsidR="000D561E">
        <w:rPr>
          <w:i/>
          <w:shd w:val="clear" w:color="auto" w:fill="FFFFFF"/>
        </w:rPr>
        <w:t>а</w:t>
      </w:r>
      <w:r w:rsidR="000D561E" w:rsidRPr="00031D44">
        <w:rPr>
          <w:i/>
          <w:shd w:val="clear" w:color="auto" w:fill="FFFFFF"/>
        </w:rPr>
        <w:t>лло</w:t>
      </w:r>
      <w:r w:rsidRPr="00031D44">
        <w:rPr>
          <w:i/>
          <w:shd w:val="clear" w:color="auto" w:fill="FFFFFF"/>
        </w:rPr>
        <w:t>-</w:t>
      </w:r>
      <w:r w:rsidR="00F33796">
        <w:rPr>
          <w:i/>
          <w:shd w:val="clear" w:color="auto" w:fill="FFFFFF"/>
        </w:rPr>
        <w:t>ТГСК</w:t>
      </w:r>
      <w:r w:rsidRPr="00031D44">
        <w:rPr>
          <w:i/>
          <w:shd w:val="clear" w:color="auto" w:fill="FFFFFF"/>
        </w:rPr>
        <w:t xml:space="preserve"> в </w:t>
      </w:r>
      <w:r w:rsidR="000C5FB3">
        <w:rPr>
          <w:i/>
          <w:shd w:val="clear" w:color="auto" w:fill="FFFFFF"/>
        </w:rPr>
        <w:t xml:space="preserve">развернутом </w:t>
      </w:r>
      <w:r w:rsidRPr="00031D44">
        <w:rPr>
          <w:i/>
          <w:shd w:val="clear" w:color="auto" w:fill="FFFFFF"/>
        </w:rPr>
        <w:t xml:space="preserve">рецидиве заболевания и при рефрактерности к </w:t>
      </w:r>
      <w:r w:rsidR="00A976DD">
        <w:rPr>
          <w:i/>
          <w:shd w:val="clear" w:color="auto" w:fill="FFFFFF"/>
        </w:rPr>
        <w:t>ХТ</w:t>
      </w:r>
      <w:r w:rsidR="00A976DD" w:rsidRPr="00031D44">
        <w:rPr>
          <w:i/>
          <w:shd w:val="clear" w:color="auto" w:fill="FFFFFF"/>
        </w:rPr>
        <w:t xml:space="preserve"> </w:t>
      </w:r>
      <w:r w:rsidRPr="00031D44">
        <w:rPr>
          <w:i/>
          <w:shd w:val="clear" w:color="auto" w:fill="FFFFFF"/>
        </w:rPr>
        <w:t xml:space="preserve">воздействию не </w:t>
      </w:r>
      <w:r w:rsidR="00A260C3">
        <w:rPr>
          <w:i/>
          <w:shd w:val="clear" w:color="auto" w:fill="FFFFFF"/>
        </w:rPr>
        <w:t>целесообразна</w:t>
      </w:r>
      <w:r>
        <w:rPr>
          <w:i/>
          <w:shd w:val="clear" w:color="auto" w:fill="FFFFFF"/>
        </w:rPr>
        <w:t>.</w:t>
      </w:r>
    </w:p>
    <w:p w14:paraId="341005B3" w14:textId="54B53D6D" w:rsidR="00254823" w:rsidRPr="00702B62" w:rsidRDefault="00254823" w:rsidP="00956D03">
      <w:pPr>
        <w:numPr>
          <w:ilvl w:val="0"/>
          <w:numId w:val="6"/>
        </w:numPr>
        <w:shd w:val="clear" w:color="auto" w:fill="FFFFFF"/>
        <w:tabs>
          <w:tab w:val="left" w:pos="709"/>
        </w:tabs>
        <w:contextualSpacing/>
        <w:rPr>
          <w:shd w:val="clear" w:color="auto" w:fill="FFFFFF"/>
          <w:lang w:eastAsia="ar-SA"/>
        </w:rPr>
      </w:pPr>
      <w:r>
        <w:rPr>
          <w:b/>
        </w:rPr>
        <w:t>Рекомендуется</w:t>
      </w:r>
      <w:r w:rsidRPr="00740113">
        <w:t xml:space="preserve"> выполнять трансплантацию от альтернативного донора (гаплоидентичного, трансплантация пуповинной крови в рамках </w:t>
      </w:r>
      <w:r w:rsidR="007E582E">
        <w:t>КИ</w:t>
      </w:r>
      <w:r w:rsidR="000C5FB3">
        <w:t>)</w:t>
      </w:r>
      <w:r w:rsidRPr="00740113">
        <w:t xml:space="preserve"> при отсутствии </w:t>
      </w:r>
      <w:r w:rsidRPr="00740113">
        <w:rPr>
          <w:lang w:val="en-US"/>
        </w:rPr>
        <w:lastRenderedPageBreak/>
        <w:t>HLA</w:t>
      </w:r>
      <w:r w:rsidRPr="00740113">
        <w:t>-идентичного донора</w:t>
      </w:r>
      <w:r w:rsidR="00D75543">
        <w:t xml:space="preserve"> </w:t>
      </w:r>
      <w:r w:rsidR="00D75543">
        <w:rPr>
          <w:shd w:val="clear" w:color="auto" w:fill="FFFFFF"/>
          <w:lang w:eastAsia="ar-SA"/>
        </w:rPr>
        <w:fldChar w:fldCharType="begin" w:fldLock="1"/>
      </w:r>
      <w:r w:rsidR="002466C9">
        <w:rPr>
          <w:shd w:val="clear" w:color="auto" w:fill="FFFFFF"/>
          <w:lang w:eastAsia="ar-SA"/>
        </w:rPr>
        <w:instrText>ADDIN CSL_CITATION {"citationItems":[{"id":"ITEM-1","itemData":{"DOI":"10.1182/blood-2006-05-018192","ISSN":"00064971","abstract":"Most adults with acute lymphoblastic leukemia (ALL) who achieve complete remission (CR) will relapse. We examined the outcome of 609 adults with recurring ALL, all of whom were previously treated on the Medical Research Council (MRC) UKALL12/ECOG2993 study, where the overall survival (OS) of newly diagnosed patients is 38% (95% confidence interval [CI]=36%-41%) at 5 years. By contrast, OS at 5 years after relapse was 7% (95% CI=4%-9%). Factors predicting a good outcome after salvage therapy were young age (OS of 12% in patients younger than 20 years vs OS of 3% in patients older than 50 years; 2P&lt;.001) and short duration of first remission (CR1) (OS of 11% in those with a CR1 of more than 2 years versus OS of 5% in those with a CR1 of less than 2 years; 2P&lt;.001). Treatment received in CR1 did not influence outcome after relapse. In a very highly selected subgroup of patients who were able to receive HSCT after relapse, some were long-term survivors. We conclude from a large, unselected series with mature follow-up that most adults with recurring ALL, whatever their prior treatment, cannot be rescued using currently available therapies. Prevention of recurrence is the best strategy for long-term survival in this disease.","author":[{"dropping-particle":"","family":"Fielding","given":"Adele K.","non-dropping-particle":"","parse-names":false,"suffix":""},{"dropping-particle":"","family":"Richards","given":"Susan M.","non-dropping-particle":"","parse-names":false,"suffix":""},{"dropping-particle":"","family":"Chopra","given":"Rajesh","non-dropping-particle":"","parse-names":false,"suffix":""},{"dropping-particle":"","family":"Lazarus","given":"Hillard M.","non-dropping-particle":"","parse-names":false,"suffix":""},{"dropping-particle":"","family":"Litzow","given":"Mark R.","non-dropping-particle":"","parse-names":false,"suffix":""},{"dropping-particle":"","family":"Buck","given":"Georgina","non-dropping-particle":"","parse-names":false,"suffix":""},{"dropping-particle":"","family":"Durrant","given":"I. Jill","non-dropping-particle":"","parse-names":false,"suffix":""},{"dropping-particle":"","family":"Luger","given":"Selina M.","non-dropping-particle":"","parse-names":false,"suffix":""},{"dropping-particle":"","family":"Marks","given":"David I.","non-dropping-particle":"","parse-names":false,"suffix":""},{"dropping-particle":"","family":"Franklin","given":"Ian M.","non-dropping-particle":"","parse-names":false,"suffix":""},{"dropping-particle":"","family":"McMillan","given":"Andrew K.","non-dropping-particle":"","parse-names":false,"suffix":""},{"dropping-particle":"","family":"Tallman","given":"Martin S.","non-dropping-particle":"","parse-names":false,"suffix":""},{"dropping-particle":"","family":"Rowe","given":"Jacob M.","non-dropping-particle":"","parse-names":false,"suffix":""},{"dropping-particle":"","family":"Goldstone","given":"Anthony H.","non-dropping-particle":"","parse-names":false,"suffix":""}],"container-title":"Blood","id":"ITEM-1","issue":"3","issued":{"date-parts":[["2007","2","1"]]},"page":"944-950","title":"Outcome of 609 adults after relapse of acute lymphoblastic leukemia (ALL); an MRC UKALL12/ECOG 2993 study","type":"article-journal","volume":"109"},"uris":["http://www.mendeley.com/documents/?uuid=b03ff003-44aa-34bf-bbdb-5c21c4da4b88"]},{"id":"ITEM-2","itemData":{"DOI":"10.3324/haematol.2009.014274","ISSN":"1592-8721","PMID":"20145276","abstract":"BACKGROUND About one half of adults with acute lymphoblastic leukemia are not cured of the disease and ultimately die. The objective of this study was to explore the factors influencing the outcome of adult patients with relapsed acute lymphoblastic leukemia. DESIGN AND METHODS We analyzed the characteristics, the outcome and the prognostic factors for survival after first relapse in a series of 263 adult patients with acute lymphoblastic leukemia (excluding those with mature B-cell acute lymphoblastic leukemia) prospectively enrolled in four consecutive risk-adapted PETHEMA trials. RESULTS The median overall survival after relapse was 4.5 months (95% CI, 4-5 months) with a 5-year overall survival of 10% (95% CI, 8%-12%); 45% of patients receiving intensive second-line treatment achieved a second complete remission and 22% (95% CI, 14%-30%) of them remained disease free at 5 years. Factors predicting a good outcome after rescue therapy were age less than 30 years (2-year overall survival of 21% versus 10% for those over 30 years old; P&lt;0.022) and a first remission lasting more than 2 years (2-year overall survival of 36% versus 17% among those with a shorter first remission; P&lt;0.001). Patients under 30 years old whose first complete remission lasted longer than 2 years had a 5-year overall survival of 38% (95% CI, 23%-53%) and a 5-year disease-free survival of 53% (95% CI, 34%-72%). CONCLUSIONS The prognosis of adult patients with acute lymphoblastic leukemia who relapse is poor. Those aged less than 30 years with a first complete remission lasting longer than 2 years have reasonable possibilities of becoming long-term survivors while patients over this age or those who relapse early cannot be successfully rescued using the therapies currently available.","author":[{"dropping-particle":"","family":"Oriol","given":"Albert","non-dropping-particle":"","parse-names":false,"suffix":""},{"dropping-particle":"","family":"Vives","given":"Susana","non-dropping-particle":"","parse-names":false,"suffix":""},{"dropping-particle":"","family":"Hernández-Rivas","given":"Jesús-María","non-dropping-particle":"","parse-names":false,"suffix":""},{"dropping-particle":"","family":"Tormo","given":"Mar","non-dropping-particle":"","parse-names":false,"suffix":""},{"dropping-particle":"","family":"Heras","given":"Inmaculada","non-dropping-particle":"","parse-names":false,"suffix":""},{"dropping-particle":"","family":"Rivas","given":"Concepción","non-dropping-particle":"","parse-names":false,"suffix":""},{"dropping-particle":"","family":"Bethencourt","given":"Concepción","non-dropping-particle":"","parse-names":false,"suffix":""},{"dropping-particle":"","family":"Moscardó","given":"Federico","non-dropping-particle":"","parse-names":false,"suffix":""},{"dropping-particle":"","family":"Bueno","given":"Javier","non-dropping-particle":"","parse-names":false,"suffix":""},{"dropping-particle":"","family":"Grande","given":"Carlos","non-dropping-particle":"","parse-names":false,"suffix":""},{"dropping-particle":"","family":"Potro","given":"Eloy","non-dropping-particle":"del","parse-names":false,"suffix":""},{"dropping-particle":"","family":"Guardia","given":"Ramon","non-dropping-particle":"","parse-names":false,"suffix":""},{"dropping-particle":"","family":"Brunet","given":"Salut","non-dropping-particle":"","parse-names":false,"suffix":""},{"dropping-particle":"","family":"Bergua","given":"Juan","non-dropping-particle":"","parse-names":false,"suffix":""},{"dropping-particle":"","family":"Bernal","given":"Teresa","non-dropping-particle":"","parse-names":false,"suffix":""},{"dropping-particle":"","family":"Moreno","given":"Maria-José","non-dropping-particle":"","parse-names":false,"suffix":""},{"dropping-particle":"","family":"Calvo","given":"Carlota","non-dropping-particle":"","parse-names":false,"suffix":""},{"dropping-particle":"","family":"Bastida","given":"Pilar","non-dropping-particle":"","parse-names":false,"suffix":""},{"dropping-particle":"","family":"Feliu","given":"Evarist","non-dropping-particle":"","parse-names":false,"suffix":""},{"dropping-particle":"","family":"Ribera","given":"Josep-Maria","non-dropping-particle":"","parse-names":false,"suffix":""},{"dropping-particle":"","family":"Programa Español de Tratamiento en Hematologia Group","given":"","non-dropping-particle":"","parse-names":false,"suffix":""}],"container-title":"Haematologica","id":"ITEM-2","issue":"4","issued":{"date-parts":[["2010","4"]]},"page":"589-96","title":"Outcome after relapse of acute lymphoblastic leukemia in adult patients included in four consecutive risk-adapted trials by the PETHEMA Study Group.","type":"article-journal","volume":"95"},"uris":["http://www.mendeley.com/documents/?uuid=5bdde882-3bae-35da-828b-e154637dcce1"]},{"id":"ITEM-3","itemData":{"DOI":"10.2147/IJGM.S59537","ISSN":"1178-7074","PMID":"26109875","abstract":"Nine pretreated patients aged &gt;19 years with relapsed/refractory acute lymphoblastic leukemia (ALL) were treated with a combination of bortezomib plus chemotherapy before allogeneic hematopoietic stem cell transplantation (allo-HSCT). Eight (88.9%) patients, including two Philadelphia chromosome-positive ALL patients, achieved a complete remission. Furthermore, the evaluable patients have benefited from allo-HSCT after response to this reinduction treatment. We conclude that bortezomib-based chemotherapy was highly effective for adults with refractory/relapsed ALL before allo-HSCT. Therefore, this regimen deserves a larger series within prospective trials to confirm these results.","author":[{"dropping-particle":"","family":"Zhao","given":"Junmei","non-dropping-particle":"","parse-names":false,"suffix":""},{"dropping-particle":"","family":"Wang","given":"Chao","non-dropping-particle":"","parse-names":false,"suffix":""},{"dropping-particle":"","family":"Song","given":"Yongping","non-dropping-particle":"","parse-names":false,"suffix":""},{"dropping-particle":"","family":"Liu","given":"Yuzhang","non-dropping-particle":"","parse-names":false,"suffix":""},{"dropping-particle":"","family":"Fang","given":"Baijun","non-dropping-particle":"","parse-names":false,"suffix":""}],"container-title":"International journal of general medicine","id":"ITEM-3","issued":{"date-parts":[["2015"]]},"page":"211-4","title":"Treatment of refractory/relapsed adult acute lymphoblastic leukemia with bortezomib-based chemotherapy.","type":"article-journal","volume":"8"},"uris":["http://www.mendeley.com/documents/?uuid=3068d923-443d-33cf-9575-42fe908985a5"]}],"mendeley":{"formattedCitation":"[94,100,101]","plainTextFormattedCitation":"[94,100,101]","previouslyFormattedCitation":"[94,100,101]"},"properties":{"noteIndex":0},"schema":"https://github.com/citation-style-language/schema/raw/master/csl-citation.json"}</w:instrText>
      </w:r>
      <w:r w:rsidR="00D75543">
        <w:rPr>
          <w:shd w:val="clear" w:color="auto" w:fill="FFFFFF"/>
          <w:lang w:eastAsia="ar-SA"/>
        </w:rPr>
        <w:fldChar w:fldCharType="separate"/>
      </w:r>
      <w:r w:rsidR="00A66456" w:rsidRPr="00A66456">
        <w:rPr>
          <w:noProof/>
          <w:shd w:val="clear" w:color="auto" w:fill="FFFFFF"/>
          <w:lang w:eastAsia="ar-SA"/>
        </w:rPr>
        <w:t>[94,100,101]</w:t>
      </w:r>
      <w:r w:rsidR="00D75543">
        <w:rPr>
          <w:shd w:val="clear" w:color="auto" w:fill="FFFFFF"/>
          <w:lang w:eastAsia="ar-SA"/>
        </w:rPr>
        <w:fldChar w:fldCharType="end"/>
      </w:r>
      <w:r w:rsidR="00D75543">
        <w:rPr>
          <w:shd w:val="clear" w:color="auto" w:fill="FFFFFF"/>
          <w:lang w:eastAsia="ar-SA"/>
        </w:rPr>
        <w:t>.</w:t>
      </w:r>
      <w:r w:rsidR="00D75543">
        <w:t xml:space="preserve"> </w:t>
      </w:r>
      <w:r w:rsidR="005E0AEA">
        <w:rPr>
          <w:shd w:val="clear" w:color="auto" w:fill="FFFFFF"/>
          <w:lang w:eastAsia="ar-SA"/>
        </w:rPr>
        <w:t xml:space="preserve"> </w:t>
      </w:r>
    </w:p>
    <w:p w14:paraId="65B766DD" w14:textId="77777777" w:rsidR="00254823" w:rsidRDefault="00254823" w:rsidP="00D43253">
      <w:pPr>
        <w:shd w:val="clear" w:color="auto" w:fill="FFFFFF"/>
        <w:tabs>
          <w:tab w:val="left" w:pos="709"/>
        </w:tabs>
        <w:ind w:firstLine="709"/>
        <w:contextualSpacing/>
        <w:rPr>
          <w:b/>
        </w:rPr>
      </w:pPr>
      <w:r w:rsidRPr="00740113">
        <w:rPr>
          <w:b/>
        </w:rPr>
        <w:t>Урове</w:t>
      </w:r>
      <w:r>
        <w:rPr>
          <w:b/>
        </w:rPr>
        <w:t xml:space="preserve">нь убедительности рекомендаций </w:t>
      </w:r>
      <w:r w:rsidR="005E0AEA">
        <w:rPr>
          <w:b/>
        </w:rPr>
        <w:t xml:space="preserve">– </w:t>
      </w:r>
      <w:r w:rsidR="00A260C3">
        <w:rPr>
          <w:b/>
        </w:rPr>
        <w:t>С</w:t>
      </w:r>
      <w:r w:rsidR="00A260C3" w:rsidRPr="00740113">
        <w:rPr>
          <w:b/>
        </w:rPr>
        <w:t xml:space="preserve"> </w:t>
      </w:r>
      <w:r w:rsidRPr="00740113">
        <w:rPr>
          <w:b/>
        </w:rPr>
        <w:t xml:space="preserve">(уровень </w:t>
      </w:r>
      <w:r w:rsidRPr="00740113">
        <w:rPr>
          <w:b/>
          <w:spacing w:val="-1"/>
        </w:rPr>
        <w:t xml:space="preserve">достоверности доказательств </w:t>
      </w:r>
      <w:r>
        <w:rPr>
          <w:b/>
        </w:rPr>
        <w:t xml:space="preserve">– </w:t>
      </w:r>
      <w:r w:rsidR="00A260C3">
        <w:rPr>
          <w:b/>
        </w:rPr>
        <w:t>4</w:t>
      </w:r>
      <w:r w:rsidR="00D43253">
        <w:rPr>
          <w:b/>
        </w:rPr>
        <w:t>)</w:t>
      </w:r>
      <w:r w:rsidR="005E0AEA">
        <w:rPr>
          <w:b/>
        </w:rPr>
        <w:t>.</w:t>
      </w:r>
    </w:p>
    <w:p w14:paraId="5E8DF2AF" w14:textId="77777777" w:rsidR="00ED4AB8" w:rsidRPr="0006296E" w:rsidRDefault="00254823" w:rsidP="00ED4AB8">
      <w:pPr>
        <w:rPr>
          <w:shd w:val="clear" w:color="auto" w:fill="FFFFFF"/>
        </w:rPr>
      </w:pPr>
      <w:bookmarkStart w:id="148" w:name="_Toc13484822"/>
      <w:r w:rsidRPr="0006296E">
        <w:rPr>
          <w:rStyle w:val="30"/>
          <w:shd w:val="clear" w:color="auto" w:fill="FFFFFF"/>
        </w:rPr>
        <w:t>Ауто</w:t>
      </w:r>
      <w:bookmarkEnd w:id="148"/>
      <w:r w:rsidR="005E0AEA">
        <w:rPr>
          <w:shd w:val="clear" w:color="auto" w:fill="FFFFFF"/>
        </w:rPr>
        <w:t>-</w:t>
      </w:r>
      <w:r w:rsidR="005E0AEA" w:rsidRPr="005E0AEA">
        <w:rPr>
          <w:b/>
          <w:shd w:val="clear" w:color="auto" w:fill="FFFFFF"/>
        </w:rPr>
        <w:t>ТГСК</w:t>
      </w:r>
    </w:p>
    <w:p w14:paraId="06A41CAA" w14:textId="5BA3B4B3" w:rsidR="00254823" w:rsidRPr="008037AE" w:rsidRDefault="00254823" w:rsidP="00956D03">
      <w:pPr>
        <w:numPr>
          <w:ilvl w:val="0"/>
          <w:numId w:val="6"/>
        </w:numPr>
        <w:contextualSpacing/>
      </w:pPr>
      <w:r w:rsidRPr="0006296E">
        <w:rPr>
          <w:b/>
          <w:shd w:val="clear" w:color="auto" w:fill="FFFFFF"/>
          <w:lang w:eastAsia="ar-SA"/>
        </w:rPr>
        <w:t>Рекомендуется</w:t>
      </w:r>
      <w:r w:rsidRPr="000059F9">
        <w:rPr>
          <w:shd w:val="clear" w:color="auto" w:fill="FFFFFF"/>
          <w:lang w:eastAsia="ar-SA"/>
        </w:rPr>
        <w:t xml:space="preserve"> </w:t>
      </w:r>
      <w:r w:rsidRPr="000059F9">
        <w:t xml:space="preserve">выполнение </w:t>
      </w:r>
      <w:r w:rsidR="007E582E">
        <w:t>а</w:t>
      </w:r>
      <w:r w:rsidR="007E582E" w:rsidRPr="000059F9">
        <w:t>уто</w:t>
      </w:r>
      <w:r w:rsidRPr="000059F9">
        <w:t>-</w:t>
      </w:r>
      <w:r w:rsidR="00F33796">
        <w:t>ТГСК</w:t>
      </w:r>
      <w:r w:rsidRPr="000059F9">
        <w:t xml:space="preserve"> у пациентов с </w:t>
      </w:r>
      <w:r w:rsidRPr="00962693">
        <w:t>Ph</w:t>
      </w:r>
      <w:r w:rsidRPr="000059F9">
        <w:t>+ ОЛЛ (в случае невозм</w:t>
      </w:r>
      <w:r w:rsidR="00D43253">
        <w:t xml:space="preserve">ожностми выполнения алло-ТГСК) </w:t>
      </w:r>
      <w:r w:rsidRPr="000059F9">
        <w:t xml:space="preserve">при отсутствии минимальной резидуальной болезни с проведением поддерживающей терапии </w:t>
      </w:r>
      <w:r w:rsidR="00A976DD">
        <w:t>ИТК</w:t>
      </w:r>
      <w:r w:rsidR="00A976DD" w:rsidRPr="00E803CB">
        <w:t xml:space="preserve"> </w:t>
      </w:r>
      <w:r w:rsidRPr="000059F9">
        <w:t>после трансплантации</w:t>
      </w:r>
      <w:r w:rsidR="00D75543">
        <w:t xml:space="preserve"> </w:t>
      </w:r>
      <w:r w:rsidR="00D75543">
        <w:fldChar w:fldCharType="begin" w:fldLock="1"/>
      </w:r>
      <w:r w:rsidR="002466C9">
        <w:instrText>ADDIN CSL_CITATION {"citationItems":[{"id":"ITEM-1","itemData":{"author":[{"dropping-particle":"","family":"Гаврилина","given":"О.А.","non-dropping-particle":"","parse-names":false,"suffix":""},{"dropping-particle":"","family":"Паровичникова","given":"Е.Н.","non-dropping-particle":"","parse-names":false,"suffix":""},{"dropping-particle":"","family":"Троицкая","given":"В.В.","non-dropping-particle":"","parse-names":false,"suffix":""},{"dropping-particle":"","family":"Кузьмина","given":"Л.А.","non-dropping-particle":"","parse-names":false,"suffix":""},{"dropping-particle":"","family":"Бондаренко","given":"С. Н.","non-dropping-particle":"","parse-names":false,"suffix":""},{"dropping-particle":"","family":"Соколов","given":"А.Н.","non-dropping-particle":"","parse-names":false,"suffix":""},{"dropping-particle":"","family":"Лапин","given":"В.А.","non-dropping-particle":"","parse-names":false,"suffix":""},{"dropping-particle":"","family":"Зарубина","given":"К.И.","non-dropping-particle":"","parse-names":false,"suffix":""},{"dropping-particle":"","family":"Басхаева","given":"Г.А.","non-dropping-particle":"","parse-names":false,"suffix":""},{"dropping-particle":"","family":"Лукьянова","given":"И.А.","non-dropping-particle":"","parse-names":false,"suffix":""},{"dropping-particle":"","family":"Клясова","given":"Г.А.","non-dropping-particle":"","parse-names":false,"suffix":""},{"dropping-particle":"","family":"Судариков","given":"А.Б.","non-dropping-particle":"","parse-names":false,"suffix":""},{"dropping-particle":"","family":"Обухова","given":"Т.Н.","non-dropping-particle":"","parse-names":false,"suffix":""},{"dropping-particle":"","family":"Савченко","given":"В.Г.","non-dropping-particle":"","parse-names":false,"suffix":""}],"container-title":"Гематология и трансфузиология","id":"ITEM-1","issue":"4","issued":{"date-parts":[["2017"]]},"page":"172-180","title":"Результаты ретроспективного многоцентрового исследования терапии Ph-позитивных острых лимфобластных лейкозов по протоколам российской исследовательской группы","type":"article-journal","volume":"62"},"uris":["http://www.mendeley.com/documents/?uuid=cf66f0e5-7013-44af-a861-aadfd7f1d2fe"]}],"mendeley":{"formattedCitation":"[83]","plainTextFormattedCitation":"[83]","previouslyFormattedCitation":"[83]"},"properties":{"noteIndex":0},"schema":"https://github.com/citation-style-language/schema/raw/master/csl-citation.json"}</w:instrText>
      </w:r>
      <w:r w:rsidR="00D75543">
        <w:fldChar w:fldCharType="separate"/>
      </w:r>
      <w:r w:rsidR="00A66456" w:rsidRPr="00A66456">
        <w:rPr>
          <w:noProof/>
        </w:rPr>
        <w:t>[83]</w:t>
      </w:r>
      <w:r w:rsidR="00D75543">
        <w:fldChar w:fldCharType="end"/>
      </w:r>
      <w:r w:rsidR="00D75543">
        <w:t>.</w:t>
      </w:r>
      <w:r w:rsidR="005E0AEA">
        <w:t xml:space="preserve"> </w:t>
      </w:r>
    </w:p>
    <w:p w14:paraId="60EC4740" w14:textId="77777777" w:rsidR="00254823" w:rsidRPr="000059F9" w:rsidRDefault="00254823" w:rsidP="00D43253">
      <w:pPr>
        <w:ind w:firstLine="709"/>
        <w:contextualSpacing/>
        <w:rPr>
          <w:b/>
        </w:rPr>
      </w:pPr>
      <w:r w:rsidRPr="000059F9">
        <w:rPr>
          <w:b/>
        </w:rPr>
        <w:t>Уровень убедительности рекомендаций</w:t>
      </w:r>
      <w:r w:rsidR="005E0AEA">
        <w:rPr>
          <w:b/>
        </w:rPr>
        <w:t xml:space="preserve"> –</w:t>
      </w:r>
      <w:r w:rsidRPr="000059F9">
        <w:rPr>
          <w:b/>
        </w:rPr>
        <w:t xml:space="preserve"> </w:t>
      </w:r>
      <w:r w:rsidR="00116AC0">
        <w:rPr>
          <w:b/>
        </w:rPr>
        <w:t>С</w:t>
      </w:r>
      <w:r w:rsidRPr="000059F9">
        <w:rPr>
          <w:b/>
        </w:rPr>
        <w:t xml:space="preserve"> (уровень </w:t>
      </w:r>
      <w:r w:rsidRPr="000059F9">
        <w:rPr>
          <w:b/>
          <w:spacing w:val="-1"/>
        </w:rPr>
        <w:t xml:space="preserve">достоверности доказательств </w:t>
      </w:r>
      <w:r>
        <w:rPr>
          <w:b/>
        </w:rPr>
        <w:t xml:space="preserve">– </w:t>
      </w:r>
      <w:r w:rsidR="00116AC0">
        <w:rPr>
          <w:b/>
        </w:rPr>
        <w:t>4</w:t>
      </w:r>
      <w:r w:rsidR="00D43253">
        <w:rPr>
          <w:b/>
        </w:rPr>
        <w:t>)</w:t>
      </w:r>
      <w:r w:rsidR="005E0AEA">
        <w:rPr>
          <w:b/>
        </w:rPr>
        <w:t>.</w:t>
      </w:r>
    </w:p>
    <w:p w14:paraId="256AA91C" w14:textId="7783C642" w:rsidR="00254823" w:rsidRPr="004360A9" w:rsidRDefault="004360A9" w:rsidP="004905C2">
      <w:pPr>
        <w:pStyle w:val="2"/>
      </w:pPr>
      <w:bookmarkStart w:id="149" w:name="_Toc26796719"/>
      <w:bookmarkStart w:id="150" w:name="_Toc64467935"/>
      <w:bookmarkStart w:id="151" w:name="_Toc64565648"/>
      <w:r w:rsidRPr="004360A9">
        <w:t>3.1</w:t>
      </w:r>
      <w:r w:rsidR="009B5D68">
        <w:t>1</w:t>
      </w:r>
      <w:r w:rsidR="007561DA">
        <w:t>.</w:t>
      </w:r>
      <w:r>
        <w:t xml:space="preserve"> </w:t>
      </w:r>
      <w:bookmarkStart w:id="152" w:name="_Toc13484823"/>
      <w:r w:rsidR="00254823" w:rsidRPr="00D92B6E">
        <w:t>Сопроводительная терапия</w:t>
      </w:r>
      <w:bookmarkEnd w:id="149"/>
      <w:bookmarkEnd w:id="150"/>
      <w:bookmarkEnd w:id="151"/>
      <w:bookmarkEnd w:id="152"/>
    </w:p>
    <w:p w14:paraId="07E66421" w14:textId="77777777" w:rsidR="00254823" w:rsidRPr="004360A9" w:rsidRDefault="00254823" w:rsidP="004360A9">
      <w:pPr>
        <w:rPr>
          <w:b/>
        </w:rPr>
      </w:pPr>
      <w:bookmarkStart w:id="153" w:name="_Toc13484824"/>
      <w:r w:rsidRPr="004360A9">
        <w:rPr>
          <w:b/>
        </w:rPr>
        <w:t>Общие мероприятия</w:t>
      </w:r>
      <w:bookmarkEnd w:id="153"/>
    </w:p>
    <w:p w14:paraId="2C9BE802" w14:textId="211428C1" w:rsidR="00254823" w:rsidRPr="00C17225" w:rsidRDefault="00254823" w:rsidP="00254823">
      <w:pPr>
        <w:shd w:val="clear" w:color="auto" w:fill="FFFFFF"/>
        <w:rPr>
          <w:i/>
        </w:rPr>
      </w:pPr>
      <w:r w:rsidRPr="00231BC2">
        <w:rPr>
          <w:i/>
        </w:rPr>
        <w:t>Протоколы лечения ОЛЛ предусматривают проведение интенсивной индукционной и</w:t>
      </w:r>
      <w:r w:rsidRPr="00C17225">
        <w:rPr>
          <w:i/>
        </w:rPr>
        <w:t xml:space="preserve"> консолидационной </w:t>
      </w:r>
      <w:r w:rsidR="002F7A08">
        <w:rPr>
          <w:i/>
        </w:rPr>
        <w:t>ХТ</w:t>
      </w:r>
      <w:r w:rsidRPr="00C17225">
        <w:rPr>
          <w:i/>
        </w:rPr>
        <w:t>. При этом использование ци</w:t>
      </w:r>
      <w:r w:rsidR="007561DA">
        <w:rPr>
          <w:i/>
        </w:rPr>
        <w:t>тостатиков и иммуносупрессантов наряду с основным заболеванием</w:t>
      </w:r>
      <w:r w:rsidRPr="00C17225">
        <w:rPr>
          <w:i/>
        </w:rPr>
        <w:t xml:space="preserve"> может приводить к </w:t>
      </w:r>
      <w:r w:rsidR="00661456">
        <w:rPr>
          <w:i/>
        </w:rPr>
        <w:t xml:space="preserve">закономерно развивающимуся </w:t>
      </w:r>
      <w:r w:rsidRPr="00C17225">
        <w:rPr>
          <w:i/>
        </w:rPr>
        <w:t xml:space="preserve">широкому спектру </w:t>
      </w:r>
      <w:r w:rsidR="007561DA">
        <w:rPr>
          <w:i/>
        </w:rPr>
        <w:t>тяжелых осложнений, в частности</w:t>
      </w:r>
      <w:r w:rsidRPr="00C17225">
        <w:rPr>
          <w:i/>
        </w:rPr>
        <w:t xml:space="preserve"> к инфекциям, кровотечениям, мукозиту, проявлению токсичности со стороны различных органов, рвот</w:t>
      </w:r>
      <w:r w:rsidR="00D43253">
        <w:rPr>
          <w:i/>
        </w:rPr>
        <w:t>е и т.</w:t>
      </w:r>
      <w:r w:rsidR="00661456">
        <w:rPr>
          <w:i/>
        </w:rPr>
        <w:t>д, требующих коррекции непосредственно в процессе лечения ОЛЛ</w:t>
      </w:r>
      <w:r w:rsidR="00D43253">
        <w:rPr>
          <w:i/>
        </w:rPr>
        <w:t>. По этой причине пациенты с</w:t>
      </w:r>
      <w:r w:rsidRPr="00C17225">
        <w:rPr>
          <w:i/>
        </w:rPr>
        <w:t xml:space="preserve"> ОЛЛ нуждаются в тщательном мониторинге, а также в проведении соответствующей профилактической и поддерживающей терапии. </w:t>
      </w:r>
    </w:p>
    <w:p w14:paraId="74205A08" w14:textId="77777777" w:rsidR="00254823" w:rsidRPr="004360A9" w:rsidRDefault="00254823" w:rsidP="008163CC">
      <w:pPr>
        <w:rPr>
          <w:b/>
        </w:rPr>
      </w:pPr>
      <w:bookmarkStart w:id="154" w:name="_Toc13484825"/>
      <w:r w:rsidRPr="004360A9">
        <w:rPr>
          <w:b/>
        </w:rPr>
        <w:t>Aнтиэметическая профилактика и терапия</w:t>
      </w:r>
      <w:bookmarkEnd w:id="154"/>
    </w:p>
    <w:p w14:paraId="182AE5C9" w14:textId="2DB50ED6" w:rsidR="00254823" w:rsidRPr="009245B7" w:rsidRDefault="00254823" w:rsidP="00956D03">
      <w:pPr>
        <w:numPr>
          <w:ilvl w:val="0"/>
          <w:numId w:val="6"/>
        </w:numPr>
        <w:shd w:val="clear" w:color="auto" w:fill="FFFFFF"/>
      </w:pPr>
      <w:r>
        <w:rPr>
          <w:b/>
        </w:rPr>
        <w:t>Рекомендуется</w:t>
      </w:r>
      <w:r w:rsidRPr="009245B7">
        <w:t xml:space="preserve"> </w:t>
      </w:r>
      <w:r>
        <w:t xml:space="preserve">всем пациентам </w:t>
      </w:r>
      <w:r w:rsidRPr="009245B7">
        <w:t>проводить антиэмитическую терапию с</w:t>
      </w:r>
      <w:r>
        <w:t xml:space="preserve"> </w:t>
      </w:r>
      <w:r w:rsidRPr="009245B7">
        <w:t>цель</w:t>
      </w:r>
      <w:r>
        <w:t>ю</w:t>
      </w:r>
      <w:r w:rsidRPr="009245B7">
        <w:t xml:space="preserve"> полной профилактики тошноты и рвоты у пациентов, получающих </w:t>
      </w:r>
      <w:r w:rsidR="002F7A08">
        <w:t>ХТ</w:t>
      </w:r>
      <w:r w:rsidR="007561DA">
        <w:t xml:space="preserve"> </w:t>
      </w:r>
      <w:r w:rsidR="00D75543">
        <w:fldChar w:fldCharType="begin" w:fldLock="1"/>
      </w:r>
      <w:r w:rsidR="002466C9">
        <w:instrText>ADDIN CSL_CITATION {"citationItems":[{"id":"ITEM-1","itemData":{"DOI":"10.1007/s11912-015-0486-5","ISSN":"1534-6269","PMID":"26694923","abstract":"Nausea and vomiting are common in cancer patients. The most common cause of nausea and vomiting is the administration of cytotoxic chemotherapy. Apart from chemotherapy-induced nausea and vomiting (CINV), biological agents may also cause these symptoms. In this review, discussion will be focused on management of nausea and vomiting due to antineoplastic therapies. The cornerstone of effective management of nausea and vomiting secondary to these antineoplastic drugs is the prevention with the use of appropriate guideline-directed combination antiemetic regimen. Type 3 serotonin receptor antagonists (5HT3RAs), neurokinin-1 receptor antagonists (NK1RAs), and dexamethasone are the backbone antiemetic drugs. In recent years, newer drugs and preparations have been introduced for clinical use and include second-generation 5HT3RA, palonosetron; granisetron transdermal patch; the recently introduced NK1RA rolapitant; and the novel oral combined drug NEPA (netupitant plus palonosetron); and last but not least, the atypical antipsychotic olanzapine.","author":[{"dropping-particle":"","family":"Lau","given":"Thomas K H","non-dropping-particle":"","parse-names":false,"suffix":""},{"dropping-particle":"","family":"Yip","given":"Claudia H W","non-dropping-particle":"","parse-names":false,"suffix":""},{"dropping-particle":"","family":"Yeo","given":"Winnie","non-dropping-particle":"","parse-names":false,"suffix":""}],"container-title":"Current oncology reports","id":"ITEM-1","issue":"1","issued":{"date-parts":[["2016","1"]]},"page":"2","title":"State of the Art Antiemetic Therapy for Cancer Patients.","type":"article-journal","volume":"18"},"uris":["http://www.mendeley.com/documents/?uuid=25ca8ed9-86bf-3c14-bb2b-84abacf688a6"]}],"mendeley":{"formattedCitation":"[102]","plainTextFormattedCitation":"[102]","previouslyFormattedCitation":"[102]"},"properties":{"noteIndex":0},"schema":"https://github.com/citation-style-language/schema/raw/master/csl-citation.json"}</w:instrText>
      </w:r>
      <w:r w:rsidR="00D75543">
        <w:fldChar w:fldCharType="separate"/>
      </w:r>
      <w:r w:rsidR="00A66456" w:rsidRPr="00A66456">
        <w:rPr>
          <w:noProof/>
        </w:rPr>
        <w:t>[102]</w:t>
      </w:r>
      <w:r w:rsidR="00D75543">
        <w:fldChar w:fldCharType="end"/>
      </w:r>
      <w:r w:rsidR="00D75543" w:rsidRPr="009245B7">
        <w:t xml:space="preserve">. </w:t>
      </w:r>
    </w:p>
    <w:p w14:paraId="40BE13AE" w14:textId="77777777" w:rsidR="00254823" w:rsidRPr="00CA7FDC" w:rsidRDefault="00254823" w:rsidP="00B56FEA">
      <w:pPr>
        <w:shd w:val="clear" w:color="auto" w:fill="FFFFFF"/>
        <w:ind w:firstLine="709"/>
        <w:contextualSpacing/>
      </w:pPr>
      <w:r w:rsidRPr="00740113">
        <w:rPr>
          <w:b/>
        </w:rPr>
        <w:t>Урове</w:t>
      </w:r>
      <w:r>
        <w:rPr>
          <w:b/>
        </w:rPr>
        <w:t>нь убедительности рекомендаций</w:t>
      </w:r>
      <w:r w:rsidR="007561DA">
        <w:rPr>
          <w:b/>
        </w:rPr>
        <w:t xml:space="preserve"> –</w:t>
      </w:r>
      <w:r>
        <w:rPr>
          <w:b/>
        </w:rPr>
        <w:t xml:space="preserve"> </w:t>
      </w:r>
      <w:r w:rsidR="002118B9">
        <w:rPr>
          <w:b/>
        </w:rPr>
        <w:t>С</w:t>
      </w:r>
      <w:r w:rsidRPr="00740113">
        <w:rPr>
          <w:b/>
        </w:rPr>
        <w:t xml:space="preserve"> (уровень </w:t>
      </w:r>
      <w:r w:rsidRPr="00740113">
        <w:rPr>
          <w:b/>
          <w:spacing w:val="-1"/>
        </w:rPr>
        <w:t xml:space="preserve">достоверности доказательств </w:t>
      </w:r>
      <w:r>
        <w:rPr>
          <w:b/>
        </w:rPr>
        <w:t xml:space="preserve">– </w:t>
      </w:r>
      <w:r w:rsidR="002118B9">
        <w:rPr>
          <w:b/>
        </w:rPr>
        <w:t>5</w:t>
      </w:r>
      <w:r w:rsidR="00B56FEA">
        <w:rPr>
          <w:b/>
        </w:rPr>
        <w:t>)</w:t>
      </w:r>
      <w:r w:rsidR="007561DA">
        <w:rPr>
          <w:b/>
        </w:rPr>
        <w:t>.</w:t>
      </w:r>
    </w:p>
    <w:p w14:paraId="5705D4E0" w14:textId="457E5A5D" w:rsidR="0006296E" w:rsidRDefault="00797055" w:rsidP="00B56FEA">
      <w:pPr>
        <w:ind w:firstLine="709"/>
        <w:contextualSpacing/>
      </w:pPr>
      <w:r>
        <w:rPr>
          <w:b/>
        </w:rPr>
        <w:t>Комментарии</w:t>
      </w:r>
      <w:r w:rsidR="00254823" w:rsidRPr="00AE0E88">
        <w:rPr>
          <w:b/>
        </w:rPr>
        <w:t>:</w:t>
      </w:r>
      <w:r w:rsidR="00254823">
        <w:t xml:space="preserve"> </w:t>
      </w:r>
      <w:r w:rsidR="00254823" w:rsidRPr="009D1A44">
        <w:rPr>
          <w:i/>
          <w:iCs/>
        </w:rPr>
        <w:t>с антиэмитической целью применя</w:t>
      </w:r>
      <w:r w:rsidR="00A540F8" w:rsidRPr="009D1A44">
        <w:rPr>
          <w:i/>
          <w:iCs/>
        </w:rPr>
        <w:t>ются</w:t>
      </w:r>
      <w:r w:rsidR="00254823" w:rsidRPr="009D1A44">
        <w:rPr>
          <w:i/>
          <w:iCs/>
        </w:rPr>
        <w:t xml:space="preserve"> антагонисты рецепторов серотонина и кортикостероиды. Эти препараты рекомендуются для применения в комбинации при использовании режимов </w:t>
      </w:r>
      <w:r w:rsidR="002F7A08" w:rsidRPr="009D1A44">
        <w:rPr>
          <w:i/>
          <w:iCs/>
        </w:rPr>
        <w:t>ХТ</w:t>
      </w:r>
      <w:r w:rsidR="00254823" w:rsidRPr="009D1A44">
        <w:rPr>
          <w:i/>
          <w:iCs/>
        </w:rPr>
        <w:t>, характеризующихся умеренной и высокой эметогенностью. В о</w:t>
      </w:r>
      <w:r w:rsidR="007561DA">
        <w:rPr>
          <w:i/>
          <w:iCs/>
        </w:rPr>
        <w:t>тдельных ситуациях, в частности</w:t>
      </w:r>
      <w:r w:rsidR="00254823" w:rsidRPr="009D1A44">
        <w:rPr>
          <w:i/>
          <w:iCs/>
        </w:rPr>
        <w:t xml:space="preserve"> при проведении высокодозной комбинированной </w:t>
      </w:r>
      <w:r w:rsidR="002F7A08" w:rsidRPr="009D1A44">
        <w:rPr>
          <w:i/>
          <w:iCs/>
        </w:rPr>
        <w:t>ХТ</w:t>
      </w:r>
      <w:r w:rsidR="00254823" w:rsidRPr="009D1A44">
        <w:rPr>
          <w:i/>
          <w:iCs/>
        </w:rPr>
        <w:t>, выбор антиэметика должен определяться наиболе</w:t>
      </w:r>
      <w:r w:rsidR="00EC31EB" w:rsidRPr="009D1A44">
        <w:rPr>
          <w:i/>
          <w:iCs/>
        </w:rPr>
        <w:t>е эметогенным компонентом (</w:t>
      </w:r>
      <w:r w:rsidR="00990338" w:rsidRPr="009D1A44">
        <w:rPr>
          <w:i/>
          <w:iCs/>
        </w:rPr>
        <w:t>см</w:t>
      </w:r>
      <w:r w:rsidR="00EC31EB" w:rsidRPr="009D1A44">
        <w:rPr>
          <w:i/>
          <w:iCs/>
        </w:rPr>
        <w:t>. п</w:t>
      </w:r>
      <w:r w:rsidR="00254823" w:rsidRPr="009D1A44">
        <w:rPr>
          <w:i/>
          <w:iCs/>
        </w:rPr>
        <w:t xml:space="preserve">риложение </w:t>
      </w:r>
      <w:r w:rsidR="00990338" w:rsidRPr="009D1A44">
        <w:rPr>
          <w:i/>
          <w:iCs/>
        </w:rPr>
        <w:t>А3.</w:t>
      </w:r>
      <w:r w:rsidR="00604E24">
        <w:rPr>
          <w:i/>
          <w:iCs/>
        </w:rPr>
        <w:t>5</w:t>
      </w:r>
      <w:r w:rsidR="00254823" w:rsidRPr="009D1A44">
        <w:rPr>
          <w:i/>
          <w:iCs/>
        </w:rPr>
        <w:t>)</w:t>
      </w:r>
      <w:r w:rsidR="00D75543">
        <w:rPr>
          <w:i/>
          <w:iCs/>
        </w:rPr>
        <w:t xml:space="preserve"> </w:t>
      </w:r>
      <w:r w:rsidR="00D75543">
        <w:fldChar w:fldCharType="begin" w:fldLock="1"/>
      </w:r>
      <w:r w:rsidR="002466C9">
        <w:instrText>ADDIN CSL_CITATION {"citationItems":[{"id":"ITEM-1","itemData":{"DOI":"10.1007/s11912-015-0486-5","ISSN":"1534-6269","PMID":"26694923","abstract":"Nausea and vomiting are common in cancer patients. The most common cause of nausea and vomiting is the administration of cytotoxic chemotherapy. Apart from chemotherapy-induced nausea and vomiting (CINV), biological agents may also cause these symptoms. In this review, discussion will be focused on management of nausea and vomiting due to antineoplastic therapies. The cornerstone of effective management of nausea and vomiting secondary to these antineoplastic drugs is the prevention with the use of appropriate guideline-directed combination antiemetic regimen. Type 3 serotonin receptor antagonists (5HT3RAs), neurokinin-1 receptor antagonists (NK1RAs), and dexamethasone are the backbone antiemetic drugs. In recent years, newer drugs and preparations have been introduced for clinical use and include second-generation 5HT3RA, palonosetron; granisetron transdermal patch; the recently introduced NK1RA rolapitant; and the novel oral combined drug NEPA (netupitant plus palonosetron); and last but not least, the atypical antipsychotic olanzapine.","author":[{"dropping-particle":"","family":"Lau","given":"Thomas K H","non-dropping-particle":"","parse-names":false,"suffix":""},{"dropping-particle":"","family":"Yip","given":"Claudia H W","non-dropping-particle":"","parse-names":false,"suffix":""},{"dropping-particle":"","family":"Yeo","given":"Winnie","non-dropping-particle":"","parse-names":false,"suffix":""}],"container-title":"Current oncology reports","id":"ITEM-1","issue":"1","issued":{"date-parts":[["2016","1"]]},"page":"2","title":"State of the Art Antiemetic Therapy for Cancer Patients.","type":"article-journal","volume":"18"},"uris":["http://www.mendeley.com/documents/?uuid=25ca8ed9-86bf-3c14-bb2b-84abacf688a6"]}],"mendeley":{"formattedCitation":"[102]","plainTextFormattedCitation":"[102]","previouslyFormattedCitation":"[102]"},"properties":{"noteIndex":0},"schema":"https://github.com/citation-style-language/schema/raw/master/csl-citation.json"}</w:instrText>
      </w:r>
      <w:r w:rsidR="00D75543">
        <w:fldChar w:fldCharType="separate"/>
      </w:r>
      <w:r w:rsidR="00A66456" w:rsidRPr="00A66456">
        <w:rPr>
          <w:noProof/>
        </w:rPr>
        <w:t>[102]</w:t>
      </w:r>
      <w:r w:rsidR="00D75543">
        <w:fldChar w:fldCharType="end"/>
      </w:r>
      <w:r w:rsidR="00D75543" w:rsidRPr="009245B7">
        <w:t xml:space="preserve">. </w:t>
      </w:r>
    </w:p>
    <w:p w14:paraId="15C466FA" w14:textId="77777777" w:rsidR="00254823" w:rsidRPr="004360A9" w:rsidRDefault="00254823" w:rsidP="007561DA">
      <w:pPr>
        <w:rPr>
          <w:b/>
        </w:rPr>
      </w:pPr>
      <w:bookmarkStart w:id="155" w:name="_Toc13484826"/>
      <w:r w:rsidRPr="004360A9">
        <w:rPr>
          <w:b/>
        </w:rPr>
        <w:t>Трансфузионная терапия</w:t>
      </w:r>
      <w:bookmarkEnd w:id="155"/>
    </w:p>
    <w:p w14:paraId="2AAF30E1" w14:textId="77777777" w:rsidR="00254823" w:rsidRPr="009245B7" w:rsidRDefault="00254823" w:rsidP="00B56FEA">
      <w:pPr>
        <w:shd w:val="clear" w:color="auto" w:fill="FFFFFF"/>
        <w:ind w:firstLine="709"/>
        <w:contextualSpacing/>
        <w:rPr>
          <w:i/>
        </w:rPr>
      </w:pPr>
      <w:r w:rsidRPr="009245B7">
        <w:rPr>
          <w:i/>
        </w:rPr>
        <w:t xml:space="preserve">Успешное лечение </w:t>
      </w:r>
      <w:r w:rsidR="002F7A08">
        <w:rPr>
          <w:i/>
        </w:rPr>
        <w:t>ОЛ</w:t>
      </w:r>
      <w:r w:rsidRPr="009245B7">
        <w:rPr>
          <w:i/>
        </w:rPr>
        <w:t xml:space="preserve">, в частности ОЛЛ, невозможно при отсутствии заместительной терапии компонентами крови и сопроводительной терапии. </w:t>
      </w:r>
    </w:p>
    <w:p w14:paraId="1DF2FA16" w14:textId="77777777" w:rsidR="00254823" w:rsidRPr="00A82515" w:rsidRDefault="00254823" w:rsidP="00B56FEA">
      <w:pPr>
        <w:shd w:val="clear" w:color="auto" w:fill="FFFFFF"/>
        <w:ind w:firstLine="709"/>
        <w:contextualSpacing/>
        <w:rPr>
          <w:b/>
        </w:rPr>
      </w:pPr>
      <w:r w:rsidRPr="00CA7FDC">
        <w:rPr>
          <w:b/>
        </w:rPr>
        <w:lastRenderedPageBreak/>
        <w:t>Трансфузии эрит</w:t>
      </w:r>
      <w:r>
        <w:rPr>
          <w:b/>
        </w:rPr>
        <w:t>роцитной и тромбоцитарной массы</w:t>
      </w:r>
    </w:p>
    <w:p w14:paraId="0D70E960" w14:textId="6CBBC0B7" w:rsidR="00254823" w:rsidRPr="00A172AE" w:rsidRDefault="00254823" w:rsidP="00956D03">
      <w:pPr>
        <w:numPr>
          <w:ilvl w:val="0"/>
          <w:numId w:val="6"/>
        </w:numPr>
        <w:contextualSpacing/>
      </w:pPr>
      <w:r w:rsidRPr="0006296E">
        <w:rPr>
          <w:b/>
        </w:rPr>
        <w:t>Рекомендуется</w:t>
      </w:r>
      <w:r>
        <w:t xml:space="preserve"> осуществлять </w:t>
      </w:r>
      <w:r w:rsidRPr="00D40C9C">
        <w:t>т</w:t>
      </w:r>
      <w:r w:rsidRPr="00CA7FDC">
        <w:t>рансфузии эритроци</w:t>
      </w:r>
      <w:r w:rsidR="000C5FB3">
        <w:t>т</w:t>
      </w:r>
      <w:r w:rsidRPr="00CA7FDC">
        <w:t>ной массы</w:t>
      </w:r>
      <w:r>
        <w:t xml:space="preserve"> пациентам</w:t>
      </w:r>
      <w:r w:rsidRPr="00CA7FDC">
        <w:t xml:space="preserve"> для </w:t>
      </w:r>
      <w:r w:rsidRPr="00A172AE">
        <w:t>поддержания концентрации гемоглобина на уровне ≥8 г/дл</w:t>
      </w:r>
      <w:r w:rsidR="00D75543">
        <w:t xml:space="preserve"> </w:t>
      </w:r>
      <w:r w:rsidR="00D75543">
        <w:fldChar w:fldCharType="begin" w:fldLock="1"/>
      </w:r>
      <w:r w:rsidR="002466C9">
        <w:instrText>ADDIN CSL_CITATION {"citationItems":[{"id":"ITEM-1","itemData":{"DOI":"10.5045/br.2013.48.2.133","ISSN":"2287-979X","PMID":"23826583","abstract":"BACKGROUND Most children with acute lymphoblastic leukemia (ALL) receive blood transfusions. Transfusions may affect ALL outcomes through transfusion-related immunomodulation (TRIM). METHODS We analyzed overall survival (OS) and event-free survival (EFS) in relation to leukocyte reduced and irradiated (LR/IRR) blood products transfused during the induction phase in 136 children with ALL. Hazard ratios (HRs) for death and relapse were estimated through Cox regression analysis. RESULTS One hundred and twenty patients (89%) were transfused with packed red blood cells (PRBCs) and 79 (58%) with single donor platelets (SDPs). The median number of transfusions was 2 (interquartile range [IQR]=1-3 events) and 1 (IQR=0-3 events) for PRBCs and SDPs, respectively. Patients who had white blood cell (WBC) count &gt;50,000×10(9)/L, were classified as high risk according to the high National Cancer Institute criteria, displayed a T cell phenotype, or were minimal residual disease-positive at end of induction were more likely to receive &gt;3 transfusions during induction (P=0.001, 0.002, 0.03, and 0.01, respectively). In univariate analysis, PRBC, SDP, and fresh frozen plasma transfusions did not have any significant association with relapse or death. For PRBC transfusions, the HRs for EFS and OS were 1.02 (95% CI, 0.85-1.24; P=0. 76) and 1.03 (95% CI, 0.83-1.27; P=0.76), respectively. For SDP transfusions, HRs were 1.03 (95% CI, 0.90-1.18; P=0.64) and 0.98 (95% CI, 0.80-1.20; P=0.87) for EFS and OS, respectively. CONCLUSION LR/IRR blood products may not confer a TRIM effect in childhood ALL and are unlikely to affect outcome.","author":[{"dropping-particle":"","family":"Alkayed","given":"Khaldoun","non-dropping-particle":"","parse-names":false,"suffix":""},{"dropping-particle":"","family":"Hmood","given":"Ammar","non-dropping-particle":"Al","parse-names":false,"suffix":""},{"dropping-particle":"","family":"Madanat","given":"Faris","non-dropping-particle":"","parse-names":false,"suffix":""}],"container-title":"Blood research","id":"ITEM-1","issue":"2","issued":{"date-parts":[["2013","6"]]},"page":"133-8","title":"Prognostic effect of blood transfusion in children with acute lymphoblastic leukemia.","type":"article-journal","volume":"48"},"uris":["http://www.mendeley.com/documents/?uuid=8e2b9ea6-b826-3097-84bf-ae1dcdc7a488"]}],"mendeley":{"formattedCitation":"[103]","plainTextFormattedCitation":"[103]","previouslyFormattedCitation":"[103]"},"properties":{"noteIndex":0},"schema":"https://github.com/citation-style-language/schema/raw/master/csl-citation.json"}</w:instrText>
      </w:r>
      <w:r w:rsidR="00D75543">
        <w:fldChar w:fldCharType="separate"/>
      </w:r>
      <w:r w:rsidR="00A66456" w:rsidRPr="00A66456">
        <w:rPr>
          <w:noProof/>
        </w:rPr>
        <w:t>[103]</w:t>
      </w:r>
      <w:r w:rsidR="00D75543">
        <w:fldChar w:fldCharType="end"/>
      </w:r>
      <w:r w:rsidRPr="00A172AE">
        <w:t xml:space="preserve">. </w:t>
      </w:r>
    </w:p>
    <w:p w14:paraId="3FB5B103" w14:textId="563981D7" w:rsidR="00254823" w:rsidRPr="00A82515" w:rsidRDefault="00254823" w:rsidP="00B56FEA">
      <w:pPr>
        <w:ind w:firstLine="709"/>
        <w:contextualSpacing/>
        <w:rPr>
          <w:b/>
        </w:rPr>
      </w:pPr>
      <w:r w:rsidRPr="005A23D4">
        <w:rPr>
          <w:b/>
        </w:rPr>
        <w:t xml:space="preserve">Уровень убедительности рекомендаций </w:t>
      </w:r>
      <w:r w:rsidR="007561DA" w:rsidRPr="005A23D4">
        <w:rPr>
          <w:b/>
        </w:rPr>
        <w:t xml:space="preserve">– </w:t>
      </w:r>
      <w:r w:rsidR="00232209">
        <w:rPr>
          <w:b/>
        </w:rPr>
        <w:t>С</w:t>
      </w:r>
      <w:r w:rsidRPr="005A23D4">
        <w:rPr>
          <w:b/>
        </w:rPr>
        <w:t xml:space="preserve"> (уровень </w:t>
      </w:r>
      <w:r w:rsidRPr="005A23D4">
        <w:rPr>
          <w:b/>
          <w:spacing w:val="-1"/>
        </w:rPr>
        <w:t xml:space="preserve">достоверности доказательств </w:t>
      </w:r>
      <w:r w:rsidR="00B56FEA" w:rsidRPr="005A23D4">
        <w:rPr>
          <w:b/>
        </w:rPr>
        <w:t xml:space="preserve">– </w:t>
      </w:r>
      <w:r w:rsidR="00232209">
        <w:rPr>
          <w:b/>
        </w:rPr>
        <w:t>5</w:t>
      </w:r>
      <w:r w:rsidR="00B56FEA" w:rsidRPr="005A23D4">
        <w:rPr>
          <w:b/>
        </w:rPr>
        <w:t>)</w:t>
      </w:r>
      <w:r w:rsidR="007561DA" w:rsidRPr="005A23D4">
        <w:rPr>
          <w:b/>
        </w:rPr>
        <w:t>.</w:t>
      </w:r>
    </w:p>
    <w:p w14:paraId="38548F37" w14:textId="6BAC8718" w:rsidR="00254823" w:rsidRDefault="00254823" w:rsidP="00956D03">
      <w:pPr>
        <w:numPr>
          <w:ilvl w:val="0"/>
          <w:numId w:val="6"/>
        </w:numPr>
        <w:contextualSpacing/>
      </w:pPr>
      <w:r w:rsidRPr="00CA7FDC">
        <w:t>При наличии сопутствующей патол</w:t>
      </w:r>
      <w:r w:rsidR="007561DA">
        <w:t>огии сердца или легких, а также</w:t>
      </w:r>
      <w:r w:rsidRPr="00CA7FDC">
        <w:t xml:space="preserve"> если анемия сопровождается клинической симптоматикой, </w:t>
      </w:r>
      <w:r w:rsidRPr="00DD7901">
        <w:rPr>
          <w:b/>
        </w:rPr>
        <w:t>рекомендуется</w:t>
      </w:r>
      <w:r>
        <w:t xml:space="preserve"> выполнять</w:t>
      </w:r>
      <w:r w:rsidRPr="00CA7FDC">
        <w:t xml:space="preserve"> трансфузии эритроцитной массы и при более высоких значениях концентрации гемоглобина при наличии соответствующих клинических показаний</w:t>
      </w:r>
      <w:r w:rsidR="00D75543">
        <w:t xml:space="preserve"> </w:t>
      </w:r>
      <w:r w:rsidR="00D75543">
        <w:fldChar w:fldCharType="begin" w:fldLock="1"/>
      </w:r>
      <w:r w:rsidR="002466C9">
        <w:instrText>ADDIN CSL_CITATION {"citationItems":[{"id":"ITEM-1","itemData":{"DOI":"10.5045/br.2013.48.2.133","ISSN":"2287-979X","PMID":"23826583","abstract":"BACKGROUND Most children with acute lymphoblastic leukemia (ALL) receive blood transfusions. Transfusions may affect ALL outcomes through transfusion-related immunomodulation (TRIM). METHODS We analyzed overall survival (OS) and event-free survival (EFS) in relation to leukocyte reduced and irradiated (LR/IRR) blood products transfused during the induction phase in 136 children with ALL. Hazard ratios (HRs) for death and relapse were estimated through Cox regression analysis. RESULTS One hundred and twenty patients (89%) were transfused with packed red blood cells (PRBCs) and 79 (58%) with single donor platelets (SDPs). The median number of transfusions was 2 (interquartile range [IQR]=1-3 events) and 1 (IQR=0-3 events) for PRBCs and SDPs, respectively. Patients who had white blood cell (WBC) count &gt;50,000×10(9)/L, were classified as high risk according to the high National Cancer Institute criteria, displayed a T cell phenotype, or were minimal residual disease-positive at end of induction were more likely to receive &gt;3 transfusions during induction (P=0.001, 0.002, 0.03, and 0.01, respectively). In univariate analysis, PRBC, SDP, and fresh frozen plasma transfusions did not have any significant association with relapse or death. For PRBC transfusions, the HRs for EFS and OS were 1.02 (95% CI, 0.85-1.24; P=0. 76) and 1.03 (95% CI, 0.83-1.27; P=0.76), respectively. For SDP transfusions, HRs were 1.03 (95% CI, 0.90-1.18; P=0.64) and 0.98 (95% CI, 0.80-1.20; P=0.87) for EFS and OS, respectively. CONCLUSION LR/IRR blood products may not confer a TRIM effect in childhood ALL and are unlikely to affect outcome.","author":[{"dropping-particle":"","family":"Alkayed","given":"Khaldoun","non-dropping-particle":"","parse-names":false,"suffix":""},{"dropping-particle":"","family":"Hmood","given":"Ammar","non-dropping-particle":"Al","parse-names":false,"suffix":""},{"dropping-particle":"","family":"Madanat","given":"Faris","non-dropping-particle":"","parse-names":false,"suffix":""}],"container-title":"Blood research","id":"ITEM-1","issue":"2","issued":{"date-parts":[["2013","6"]]},"page":"133-8","title":"Prognostic effect of blood transfusion in children with acute lymphoblastic leukemia.","type":"article-journal","volume":"48"},"uris":["http://www.mendeley.com/documents/?uuid=8e2b9ea6-b826-3097-84bf-ae1dcdc7a488"]}],"mendeley":{"formattedCitation":"[103]","plainTextFormattedCitation":"[103]","previouslyFormattedCitation":"[103]"},"properties":{"noteIndex":0},"schema":"https://github.com/citation-style-language/schema/raw/master/csl-citation.json"}</w:instrText>
      </w:r>
      <w:r w:rsidR="00D75543">
        <w:fldChar w:fldCharType="separate"/>
      </w:r>
      <w:r w:rsidR="00A66456" w:rsidRPr="00A66456">
        <w:rPr>
          <w:noProof/>
        </w:rPr>
        <w:t>[103]</w:t>
      </w:r>
      <w:r w:rsidR="00D75543">
        <w:fldChar w:fldCharType="end"/>
      </w:r>
      <w:r w:rsidR="00D75543" w:rsidRPr="00A172AE">
        <w:t xml:space="preserve">. </w:t>
      </w:r>
      <w:r w:rsidR="007561DA">
        <w:t xml:space="preserve"> </w:t>
      </w:r>
    </w:p>
    <w:p w14:paraId="1F0703A1" w14:textId="3F1DAB07" w:rsidR="00254823" w:rsidRPr="00A82515" w:rsidRDefault="00254823" w:rsidP="00B56FEA">
      <w:pPr>
        <w:ind w:firstLine="709"/>
        <w:contextualSpacing/>
        <w:rPr>
          <w:b/>
        </w:rPr>
      </w:pPr>
      <w:r w:rsidRPr="005A23D4">
        <w:rPr>
          <w:b/>
        </w:rPr>
        <w:t xml:space="preserve">Уровень убедительности рекомендаций </w:t>
      </w:r>
      <w:r w:rsidR="007561DA" w:rsidRPr="005A23D4">
        <w:rPr>
          <w:b/>
        </w:rPr>
        <w:t xml:space="preserve">– </w:t>
      </w:r>
      <w:r w:rsidR="00232209">
        <w:rPr>
          <w:b/>
        </w:rPr>
        <w:t>С</w:t>
      </w:r>
      <w:r w:rsidRPr="005A23D4">
        <w:rPr>
          <w:b/>
        </w:rPr>
        <w:t xml:space="preserve"> (уровень </w:t>
      </w:r>
      <w:r w:rsidRPr="005A23D4">
        <w:rPr>
          <w:b/>
          <w:spacing w:val="-1"/>
        </w:rPr>
        <w:t xml:space="preserve">достоверности доказательств </w:t>
      </w:r>
      <w:r w:rsidR="00B56FEA" w:rsidRPr="005A23D4">
        <w:rPr>
          <w:b/>
        </w:rPr>
        <w:t xml:space="preserve">– </w:t>
      </w:r>
      <w:r w:rsidR="00232209">
        <w:rPr>
          <w:b/>
        </w:rPr>
        <w:t>5</w:t>
      </w:r>
      <w:r w:rsidR="00B56FEA" w:rsidRPr="005A23D4">
        <w:rPr>
          <w:b/>
        </w:rPr>
        <w:t>)</w:t>
      </w:r>
      <w:r w:rsidR="007561DA" w:rsidRPr="005A23D4">
        <w:rPr>
          <w:b/>
        </w:rPr>
        <w:t>.</w:t>
      </w:r>
    </w:p>
    <w:p w14:paraId="6B22F860" w14:textId="5C566A52" w:rsidR="00254823" w:rsidRPr="00CF1BC4" w:rsidRDefault="004360A9" w:rsidP="00956D03">
      <w:pPr>
        <w:numPr>
          <w:ilvl w:val="0"/>
          <w:numId w:val="6"/>
        </w:numPr>
        <w:contextualSpacing/>
        <w:rPr>
          <w:spacing w:val="-2"/>
        </w:rPr>
      </w:pPr>
      <w:r>
        <w:rPr>
          <w:b/>
        </w:rPr>
        <w:t>Рекомендую</w:t>
      </w:r>
      <w:r w:rsidR="00254823" w:rsidRPr="0006296E">
        <w:rPr>
          <w:b/>
        </w:rPr>
        <w:t>тся</w:t>
      </w:r>
      <w:r w:rsidR="00254823" w:rsidRPr="00A172AE">
        <w:t xml:space="preserve"> </w:t>
      </w:r>
      <w:r w:rsidR="001A2245">
        <w:t>выполнение</w:t>
      </w:r>
      <w:r w:rsidR="00254823" w:rsidRPr="00A172AE">
        <w:t xml:space="preserve"> трансфузии тромбоконцентратов </w:t>
      </w:r>
      <w:r w:rsidR="00A540F8" w:rsidRPr="00A172AE">
        <w:t xml:space="preserve">осуществлять </w:t>
      </w:r>
      <w:r w:rsidR="00254823" w:rsidRPr="00A172AE">
        <w:t xml:space="preserve">при снижении количества тромбоцитов &lt;10 </w:t>
      </w:r>
      <w:r w:rsidR="007561DA">
        <w:t>×</w:t>
      </w:r>
      <w:r w:rsidR="00254823" w:rsidRPr="00A172AE">
        <w:t xml:space="preserve"> 10</w:t>
      </w:r>
      <w:r w:rsidR="00254823" w:rsidRPr="00A172AE">
        <w:rPr>
          <w:vertAlign w:val="superscript"/>
        </w:rPr>
        <w:t>9</w:t>
      </w:r>
      <w:r w:rsidR="00254823" w:rsidRPr="00A172AE">
        <w:t xml:space="preserve"> /л</w:t>
      </w:r>
      <w:r w:rsidR="001A2245">
        <w:t xml:space="preserve">, </w:t>
      </w:r>
      <w:r w:rsidR="00254823" w:rsidRPr="00A172AE">
        <w:t>при более высоких значениях количе</w:t>
      </w:r>
      <w:r w:rsidR="007561DA">
        <w:t>ства тромбоцитов (20 ×</w:t>
      </w:r>
      <w:r w:rsidR="00254823" w:rsidRPr="00A172AE">
        <w:t xml:space="preserve"> 10</w:t>
      </w:r>
      <w:r w:rsidR="00254823" w:rsidRPr="00A172AE">
        <w:rPr>
          <w:vertAlign w:val="superscript"/>
        </w:rPr>
        <w:t>9</w:t>
      </w:r>
      <w:r w:rsidR="00254823" w:rsidRPr="00A172AE">
        <w:t xml:space="preserve"> /л) в сл</w:t>
      </w:r>
      <w:r w:rsidR="00797055">
        <w:t>учае повышения температуры тела</w:t>
      </w:r>
      <w:r w:rsidR="007561DA">
        <w:t xml:space="preserve"> &gt;</w:t>
      </w:r>
      <w:r w:rsidR="00254823" w:rsidRPr="00A172AE">
        <w:t>38</w:t>
      </w:r>
      <w:r w:rsidR="007561DA">
        <w:t xml:space="preserve"> </w:t>
      </w:r>
      <w:r w:rsidR="00254823" w:rsidRPr="00A172AE">
        <w:t>°C</w:t>
      </w:r>
      <w:r w:rsidR="001A2245">
        <w:t xml:space="preserve">, </w:t>
      </w:r>
      <w:r w:rsidR="00254823" w:rsidRPr="00A172AE">
        <w:t>при развитии к</w:t>
      </w:r>
      <w:r w:rsidR="007561DA">
        <w:t>линически значимых кровотечений</w:t>
      </w:r>
      <w:r w:rsidR="00254823" w:rsidRPr="00A172AE">
        <w:t xml:space="preserve"> либо перед выполнением инвазивных интервенционных вмешательств</w:t>
      </w:r>
      <w:r w:rsidR="00D75543">
        <w:t xml:space="preserve"> </w:t>
      </w:r>
      <w:r w:rsidR="00D75543">
        <w:fldChar w:fldCharType="begin" w:fldLock="1"/>
      </w:r>
      <w:r w:rsidR="002466C9">
        <w:instrText>ADDIN CSL_CITATION {"citationItems":[{"id":"ITEM-1","itemData":{"DOI":"10.1038/sj.leu.2404920","ISSN":"14765551","abstract":"Platelet transfusion and survival in adults with acute leukemia","author":[{"dropping-particle":"","family":"Blumberg","given":"N.","non-dropping-particle":"","parse-names":false,"suffix":""},{"dropping-particle":"","family":"Heal","given":"J. M.","non-dropping-particle":"","parse-names":false,"suffix":""},{"dropping-particle":"","family":"Liesveld","given":"J. L.","non-dropping-particle":"","parse-names":false,"suffix":""},{"dropping-particle":"","family":"Phillips","given":"G. L.","non-dropping-particle":"","parse-names":false,"suffix":""},{"dropping-particle":"","family":"Rowe","given":"J. M.","non-dropping-particle":"","parse-names":false,"suffix":""}],"container-title":"Leukemia","id":"ITEM-1","issue":"3","issued":{"date-parts":[["2008"]]},"page":"631-635","publisher":"Nature Publishing Group","title":"Platelet transfusion and survival in adults with acute leukemia","type":"bill","volume":"22"},"uris":["http://www.mendeley.com/documents/?uuid=7c400880-a01b-447d-add8-1e7c36e76bdb"]}],"mendeley":{"formattedCitation":"[104]","plainTextFormattedCitation":"[104]","previouslyFormattedCitation":"[104]"},"properties":{"noteIndex":0},"schema":"https://github.com/citation-style-language/schema/raw/master/csl-citation.json"}</w:instrText>
      </w:r>
      <w:r w:rsidR="00D75543">
        <w:fldChar w:fldCharType="separate"/>
      </w:r>
      <w:r w:rsidR="00A66456" w:rsidRPr="00A66456">
        <w:rPr>
          <w:noProof/>
        </w:rPr>
        <w:t>[104]</w:t>
      </w:r>
      <w:r w:rsidR="00D75543">
        <w:fldChar w:fldCharType="end"/>
      </w:r>
      <w:r w:rsidR="00D75543">
        <w:t>.</w:t>
      </w:r>
    </w:p>
    <w:p w14:paraId="379F6041" w14:textId="77777777" w:rsidR="00254823" w:rsidRPr="00A82515" w:rsidRDefault="00254823" w:rsidP="00B56FEA">
      <w:pPr>
        <w:ind w:firstLine="709"/>
        <w:contextualSpacing/>
        <w:rPr>
          <w:b/>
        </w:rPr>
      </w:pPr>
      <w:r w:rsidRPr="006514E3">
        <w:rPr>
          <w:b/>
        </w:rPr>
        <w:t xml:space="preserve">Уровень убедительности рекомендаций </w:t>
      </w:r>
      <w:r w:rsidR="007561DA" w:rsidRPr="006514E3">
        <w:rPr>
          <w:b/>
        </w:rPr>
        <w:t xml:space="preserve">– </w:t>
      </w:r>
      <w:r w:rsidR="005A23D4">
        <w:rPr>
          <w:b/>
          <w:lang w:val="en-US"/>
        </w:rPr>
        <w:t>C</w:t>
      </w:r>
      <w:r w:rsidRPr="006514E3">
        <w:rPr>
          <w:b/>
        </w:rPr>
        <w:t xml:space="preserve"> (уровень </w:t>
      </w:r>
      <w:r w:rsidRPr="006514E3">
        <w:rPr>
          <w:b/>
          <w:spacing w:val="-1"/>
        </w:rPr>
        <w:t xml:space="preserve">достоверности доказательств </w:t>
      </w:r>
      <w:r w:rsidR="00B56FEA" w:rsidRPr="006514E3">
        <w:rPr>
          <w:b/>
        </w:rPr>
        <w:t xml:space="preserve">– </w:t>
      </w:r>
      <w:r w:rsidR="005A23D4" w:rsidRPr="005A23D4">
        <w:rPr>
          <w:b/>
        </w:rPr>
        <w:t>5</w:t>
      </w:r>
      <w:r w:rsidR="00B56FEA" w:rsidRPr="006514E3">
        <w:rPr>
          <w:b/>
        </w:rPr>
        <w:t>)</w:t>
      </w:r>
      <w:r w:rsidR="007561DA" w:rsidRPr="006514E3">
        <w:rPr>
          <w:b/>
        </w:rPr>
        <w:t>.</w:t>
      </w:r>
    </w:p>
    <w:p w14:paraId="783C6E4F" w14:textId="77777777" w:rsidR="00254823" w:rsidRDefault="00254823" w:rsidP="00956D03">
      <w:pPr>
        <w:numPr>
          <w:ilvl w:val="0"/>
          <w:numId w:val="6"/>
        </w:numPr>
        <w:contextualSpacing/>
      </w:pPr>
      <w:r w:rsidRPr="00A82515">
        <w:rPr>
          <w:b/>
        </w:rPr>
        <w:t>Рекомендуется</w:t>
      </w:r>
      <w:r>
        <w:t xml:space="preserve"> облучение </w:t>
      </w:r>
      <w:r w:rsidRPr="00CA7FDC">
        <w:t>эритроцитн</w:t>
      </w:r>
      <w:r>
        <w:t xml:space="preserve">ой массы </w:t>
      </w:r>
      <w:r w:rsidRPr="00CA7FDC">
        <w:t xml:space="preserve">и </w:t>
      </w:r>
      <w:r w:rsidR="00EC31EB">
        <w:t>тромбо</w:t>
      </w:r>
      <w:r>
        <w:t>концентратов</w:t>
      </w:r>
      <w:r w:rsidRPr="00CA7FDC">
        <w:t xml:space="preserve"> с целью профилактики реакции «трансфузат против хозяина»</w:t>
      </w:r>
      <w:r w:rsidR="007561DA">
        <w:t xml:space="preserve"> </w:t>
      </w:r>
      <w:r w:rsidR="00D75543">
        <w:fldChar w:fldCharType="begin" w:fldLock="1"/>
      </w:r>
      <w:r w:rsidR="00D75543">
        <w:instrText>ADDIN CSL_CITATION {"citationItems":[{"id":"ITEM-1","itemData":{"id":"ITEM-1","issued":{"date-parts":[["2012"]]},"number-of-pages":"1056","title":"Программное лечение заболеваний системы крови: Сборник алгоритмов диагностики и протоколов лечения заболеваний системы крови. Под ред. В.Г. Савченко","type":"book"},"uris":["http://www.mendeley.com/documents/?uuid=36484a90-27ae-40a9-a194-b0461fb47d9d"]},{"id":"ITEM-2","itemData":{"author":[{"dropping-particle":"","family":"Савченко","given":"Валерий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доп.","id":"ITEM-2","issued":{"date-parts":[["2007"]]},"page":"409-502","title":"Острые лейкозы","type":"chapter"},"uris":["http://www.mendeley.com/documents/?uuid=08f85f58-ddaa-48eb-b937-65d15d14b213"]}],"mendeley":{"formattedCitation":"[1,2]","plainTextFormattedCitation":"[1,2]","previouslyFormattedCitation":"[1,2]"},"properties":{"noteIndex":0},"schema":"https://github.com/citation-style-language/schema/raw/master/csl-citation.json"}</w:instrText>
      </w:r>
      <w:r w:rsidR="00D75543">
        <w:fldChar w:fldCharType="separate"/>
      </w:r>
      <w:r w:rsidR="00D75543" w:rsidRPr="001943FA">
        <w:rPr>
          <w:noProof/>
        </w:rPr>
        <w:t>[1,2]</w:t>
      </w:r>
      <w:r w:rsidR="00D75543">
        <w:fldChar w:fldCharType="end"/>
      </w:r>
      <w:r w:rsidR="00D75543" w:rsidRPr="00CA7FDC">
        <w:t>.</w:t>
      </w:r>
    </w:p>
    <w:p w14:paraId="4160BE97" w14:textId="77777777" w:rsidR="00254823" w:rsidRDefault="00254823" w:rsidP="00B56FEA">
      <w:pPr>
        <w:ind w:firstLine="709"/>
        <w:contextualSpacing/>
        <w:rPr>
          <w:b/>
        </w:rPr>
      </w:pPr>
      <w:r>
        <w:rPr>
          <w:b/>
        </w:rPr>
        <w:t xml:space="preserve">Уровень убедительности рекомендаций </w:t>
      </w:r>
      <w:r w:rsidR="007561DA">
        <w:rPr>
          <w:b/>
        </w:rPr>
        <w:t xml:space="preserve">– </w:t>
      </w:r>
      <w:r w:rsidR="001943FA">
        <w:rPr>
          <w:b/>
          <w:lang w:val="en-US"/>
        </w:rPr>
        <w:t>C</w:t>
      </w:r>
      <w:r>
        <w:rPr>
          <w:b/>
        </w:rPr>
        <w:t xml:space="preserve"> (уровень </w:t>
      </w:r>
      <w:r>
        <w:rPr>
          <w:b/>
          <w:spacing w:val="-1"/>
        </w:rPr>
        <w:t xml:space="preserve">достоверности доказательств </w:t>
      </w:r>
      <w:r>
        <w:rPr>
          <w:b/>
        </w:rPr>
        <w:t xml:space="preserve">– </w:t>
      </w:r>
      <w:r w:rsidRPr="00702B62">
        <w:rPr>
          <w:b/>
        </w:rPr>
        <w:t>5</w:t>
      </w:r>
      <w:r w:rsidR="00B56FEA">
        <w:rPr>
          <w:b/>
        </w:rPr>
        <w:t>)</w:t>
      </w:r>
      <w:r w:rsidR="007561DA">
        <w:rPr>
          <w:b/>
        </w:rPr>
        <w:t>.</w:t>
      </w:r>
    </w:p>
    <w:p w14:paraId="377C844B" w14:textId="77777777" w:rsidR="00254823" w:rsidRPr="004360A9" w:rsidRDefault="00254823" w:rsidP="007561DA">
      <w:pPr>
        <w:rPr>
          <w:b/>
        </w:rPr>
      </w:pPr>
      <w:bookmarkStart w:id="156" w:name="_Toc13484827"/>
      <w:r w:rsidRPr="004360A9">
        <w:rPr>
          <w:b/>
        </w:rPr>
        <w:t xml:space="preserve">Профилактика </w:t>
      </w:r>
      <w:r w:rsidR="008C42FB" w:rsidRPr="004360A9">
        <w:rPr>
          <w:b/>
        </w:rPr>
        <w:t xml:space="preserve">геморрагических и </w:t>
      </w:r>
      <w:r w:rsidRPr="004360A9">
        <w:rPr>
          <w:b/>
        </w:rPr>
        <w:t>тромботических осложнений</w:t>
      </w:r>
      <w:bookmarkEnd w:id="156"/>
    </w:p>
    <w:p w14:paraId="3EEBF821" w14:textId="46C58B9F" w:rsidR="00254823" w:rsidRDefault="00254823" w:rsidP="00956D03">
      <w:pPr>
        <w:numPr>
          <w:ilvl w:val="0"/>
          <w:numId w:val="6"/>
        </w:numPr>
        <w:shd w:val="clear" w:color="auto" w:fill="FFFFFF"/>
      </w:pPr>
      <w:r>
        <w:rPr>
          <w:b/>
        </w:rPr>
        <w:t>Р</w:t>
      </w:r>
      <w:r w:rsidRPr="00DD7901">
        <w:rPr>
          <w:b/>
        </w:rPr>
        <w:t>екомендуется</w:t>
      </w:r>
      <w:r w:rsidRPr="00EF0613">
        <w:t xml:space="preserve"> пациентам </w:t>
      </w:r>
      <w:r w:rsidRPr="00CA7FDC">
        <w:t>на фоне терапии</w:t>
      </w:r>
      <w:r w:rsidRPr="005E6866">
        <w:t xml:space="preserve"> аспарагиназой</w:t>
      </w:r>
      <w:r w:rsidRPr="00702B62">
        <w:t>**</w:t>
      </w:r>
      <w:r w:rsidRPr="00CA7FDC">
        <w:t xml:space="preserve"> контролировать параметры свертывания крови</w:t>
      </w:r>
      <w:r>
        <w:t xml:space="preserve"> с целью начала заместительной терапии при их дефиците (например, режим дозирования антитромбина</w:t>
      </w:r>
      <w:r w:rsidRPr="00CA7FDC">
        <w:t xml:space="preserve"> с профилактической целью: </w:t>
      </w:r>
      <w:r w:rsidR="007561DA">
        <w:t>50 МЕ/кг массы тела в течение 7–</w:t>
      </w:r>
      <w:r w:rsidRPr="00CA7FDC">
        <w:t>10 последовательных дней с</w:t>
      </w:r>
      <w:r w:rsidR="00B56FEA">
        <w:t>о дня начала терапии а</w:t>
      </w:r>
      <w:r w:rsidRPr="00CA7FDC">
        <w:t>спарагиназой</w:t>
      </w:r>
      <w:r>
        <w:t>**</w:t>
      </w:r>
      <w:r w:rsidRPr="00CA7FDC">
        <w:t xml:space="preserve"> </w:t>
      </w:r>
      <w:r w:rsidRPr="00406B73">
        <w:t>(</w:t>
      </w:r>
      <w:r w:rsidRPr="00CA7FDC">
        <w:t>подкожно, в дозе 6000 МЕ/м</w:t>
      </w:r>
      <w:r>
        <w:rPr>
          <w:vertAlign w:val="superscript"/>
        </w:rPr>
        <w:t>2</w:t>
      </w:r>
      <w:r w:rsidR="00B56FEA">
        <w:t>, в течение 7 дней)</w:t>
      </w:r>
      <w:r w:rsidR="0056446F">
        <w:t xml:space="preserve"> </w:t>
      </w:r>
      <w:r w:rsidR="0056446F">
        <w:fldChar w:fldCharType="begin" w:fldLock="1"/>
      </w:r>
      <w:r w:rsidR="002466C9">
        <w:instrText>ADDIN CSL_CITATION {"citationItems":[{"id":"ITEM-1","itemData":{"DOI":"10.3109/10428194.2016.1165815","ISSN":"10292403","abstract":"Thrombosis is a well-recognized complication of asparaginase therapy for acute lymphoblastic leukemia (ALL), associated with the depletion of antithrombin (AT). Following a high incidence of thrombotic episodes during induction therapy for ALL in our tertiary referral center, we prospectively instituted a protocol of AT replacement. Forty-five consecutive adolescents and adults with ALL treated with asparaginase-containing phase I induction protocols were included in this observational study. Fifteen received standard therapy with no replacement; the subsequent 30 were managed with the protocol described. One or more low AT levels (&lt;70 iu/dl) were recorded in 76% of patients in the cohort managed using the protocol, resulting them in receiving an AT replacement. There was a significant reduction in the incidence of thrombosis with this strategy (0/30 vs. 5/15, p &lt; 0.001). We suggest that such a strategy should be studied in a prospective randomized sub-study within the context of a national ALL trial.","author":[{"dropping-particle":"","family":"Farrell","given":"Katrina","non-dropping-particle":"","parse-names":false,"suffix":""},{"dropping-particle":"","family":"Fyfe","given":"Andrew","non-dropping-particle":"","parse-names":false,"suffix":""},{"dropping-particle":"","family":"Allan","given":"Jonathan","non-dropping-particle":"","parse-names":false,"suffix":""},{"dropping-particle":"","family":"Tait","given":"R. Campbell","non-dropping-particle":"","parse-names":false,"suffix":""},{"dropping-particle":"","family":"Leach","given":"Mike","non-dropping-particle":"","parse-names":false,"suffix":""}],"container-title":"Leukemia and Lymphoma","id":"ITEM-1","issue":"11","issued":{"date-parts":[["2016","11","1"]]},"page":"2568-2574","publisher":"Taylor and Francis Ltd","title":"An antithrombin replacement strategy during asparaginase therapy for acute lymphoblastic leukemia is associated with a reduction in thrombotic events","type":"article-journal","volume":"57"},"uris":["http://www.mendeley.com/documents/?uuid=c71cf515-2d99-38d4-9dde-37feabac5502"]}],"mendeley":{"formattedCitation":"[105]","plainTextFormattedCitation":"[105]","previouslyFormattedCitation":"[105]"},"properties":{"noteIndex":0},"schema":"https://github.com/citation-style-language/schema/raw/master/csl-citation.json"}</w:instrText>
      </w:r>
      <w:r w:rsidR="0056446F">
        <w:fldChar w:fldCharType="separate"/>
      </w:r>
      <w:r w:rsidR="00A66456" w:rsidRPr="00A66456">
        <w:rPr>
          <w:noProof/>
        </w:rPr>
        <w:t>[105]</w:t>
      </w:r>
      <w:r w:rsidR="0056446F">
        <w:fldChar w:fldCharType="end"/>
      </w:r>
      <w:r w:rsidR="0056446F">
        <w:t>.</w:t>
      </w:r>
    </w:p>
    <w:p w14:paraId="7D9ADD61" w14:textId="77777777" w:rsidR="00254823" w:rsidRPr="00A82515" w:rsidRDefault="00254823" w:rsidP="00B56FEA">
      <w:pPr>
        <w:tabs>
          <w:tab w:val="left" w:pos="709"/>
        </w:tabs>
        <w:ind w:firstLine="709"/>
        <w:contextualSpacing/>
        <w:rPr>
          <w:b/>
        </w:rPr>
      </w:pPr>
      <w:r w:rsidRPr="003D481C">
        <w:rPr>
          <w:b/>
        </w:rPr>
        <w:t xml:space="preserve">Уровень убедительности рекомендаций </w:t>
      </w:r>
      <w:r w:rsidR="007561DA" w:rsidRPr="003D481C">
        <w:rPr>
          <w:b/>
        </w:rPr>
        <w:t xml:space="preserve">– </w:t>
      </w:r>
      <w:r w:rsidRPr="003D481C">
        <w:rPr>
          <w:b/>
          <w:lang w:val="en-US"/>
        </w:rPr>
        <w:t>B</w:t>
      </w:r>
      <w:r w:rsidRPr="003D481C">
        <w:rPr>
          <w:b/>
        </w:rPr>
        <w:t xml:space="preserve"> (уровень </w:t>
      </w:r>
      <w:r w:rsidRPr="003D481C">
        <w:rPr>
          <w:b/>
          <w:spacing w:val="-1"/>
        </w:rPr>
        <w:t xml:space="preserve">достоверности доказательств </w:t>
      </w:r>
      <w:r w:rsidR="00B56FEA" w:rsidRPr="003D481C">
        <w:rPr>
          <w:b/>
        </w:rPr>
        <w:t>– 3)</w:t>
      </w:r>
      <w:r w:rsidR="007561DA" w:rsidRPr="003D481C">
        <w:rPr>
          <w:b/>
        </w:rPr>
        <w:t>.</w:t>
      </w:r>
    </w:p>
    <w:p w14:paraId="392BD8CF" w14:textId="77777777" w:rsidR="00254823" w:rsidRPr="003D17AF" w:rsidRDefault="00254823" w:rsidP="00B56FEA">
      <w:pPr>
        <w:shd w:val="clear" w:color="auto" w:fill="FFFFFF"/>
        <w:ind w:firstLine="709"/>
        <w:contextualSpacing/>
        <w:rPr>
          <w:i/>
        </w:rPr>
      </w:pPr>
      <w:r w:rsidRPr="00B56FEA">
        <w:rPr>
          <w:b/>
        </w:rPr>
        <w:t>Комментарии:</w:t>
      </w:r>
      <w:r>
        <w:t xml:space="preserve"> </w:t>
      </w:r>
      <w:r w:rsidR="00952A3F">
        <w:t>т</w:t>
      </w:r>
      <w:r w:rsidRPr="003D17AF">
        <w:rPr>
          <w:i/>
        </w:rPr>
        <w:t>ерапия глюкокортикостероида</w:t>
      </w:r>
      <w:r w:rsidR="00C24361">
        <w:rPr>
          <w:i/>
        </w:rPr>
        <w:t xml:space="preserve">ми, антрациклинами и особенно </w:t>
      </w:r>
      <w:r w:rsidRPr="003D17AF">
        <w:rPr>
          <w:i/>
        </w:rPr>
        <w:t>аспарагиназой</w:t>
      </w:r>
      <w:r w:rsidRPr="00702B62">
        <w:rPr>
          <w:i/>
        </w:rPr>
        <w:t>**</w:t>
      </w:r>
      <w:r w:rsidRPr="003D17AF">
        <w:rPr>
          <w:i/>
        </w:rPr>
        <w:t xml:space="preserve"> может приводить к тяжелому приобретенному дефициту белков класса серпинов (ингибиторов серинсодержащих протеаз), преимущественно</w:t>
      </w:r>
      <w:r w:rsidR="000D561E">
        <w:rPr>
          <w:i/>
        </w:rPr>
        <w:t xml:space="preserve"> </w:t>
      </w:r>
      <w:r w:rsidRPr="003D17AF">
        <w:rPr>
          <w:i/>
        </w:rPr>
        <w:t>антитромбинов и альфа-1-антитрипсина. Распростра</w:t>
      </w:r>
      <w:r w:rsidR="007561DA">
        <w:rPr>
          <w:i/>
        </w:rPr>
        <w:t>ненность этих осложнений от 2,1–</w:t>
      </w:r>
      <w:r w:rsidRPr="003D17AF">
        <w:rPr>
          <w:i/>
        </w:rPr>
        <w:t>15</w:t>
      </w:r>
      <w:r w:rsidR="007561DA">
        <w:rPr>
          <w:i/>
        </w:rPr>
        <w:t xml:space="preserve"> </w:t>
      </w:r>
      <w:r w:rsidRPr="003D17AF">
        <w:rPr>
          <w:i/>
        </w:rPr>
        <w:t xml:space="preserve">%. </w:t>
      </w:r>
    </w:p>
    <w:p w14:paraId="62295FBA" w14:textId="77777777" w:rsidR="00254823" w:rsidRDefault="00254823" w:rsidP="00B56FEA">
      <w:pPr>
        <w:shd w:val="clear" w:color="auto" w:fill="FFFFFF"/>
        <w:ind w:firstLine="709"/>
        <w:contextualSpacing/>
        <w:rPr>
          <w:i/>
        </w:rPr>
      </w:pPr>
      <w:r>
        <w:rPr>
          <w:i/>
        </w:rPr>
        <w:lastRenderedPageBreak/>
        <w:t>Aнтитромбин</w:t>
      </w:r>
      <w:r w:rsidRPr="003D17AF">
        <w:rPr>
          <w:i/>
        </w:rPr>
        <w:t xml:space="preserve"> представляет собой основной физиологический ингибитор тромбина и факторов свертывания IXa, Xa, XIa. Он также является антагонистом фактора свертывания VII, ускоряя диссоциацию комплексов, образованных факто</w:t>
      </w:r>
      <w:r>
        <w:rPr>
          <w:i/>
        </w:rPr>
        <w:t>ром VIla и тканевым фактором. Aнтитромбин</w:t>
      </w:r>
      <w:r w:rsidRPr="003D17AF">
        <w:rPr>
          <w:i/>
        </w:rPr>
        <w:t xml:space="preserve"> образует необратимые связи с активными ферментами, </w:t>
      </w:r>
      <w:r w:rsidR="0027093F" w:rsidRPr="003D17AF">
        <w:rPr>
          <w:i/>
        </w:rPr>
        <w:t>лиша</w:t>
      </w:r>
      <w:r w:rsidR="0027093F">
        <w:rPr>
          <w:i/>
        </w:rPr>
        <w:t>я</w:t>
      </w:r>
      <w:r w:rsidR="0027093F" w:rsidRPr="003D17AF">
        <w:rPr>
          <w:i/>
        </w:rPr>
        <w:t xml:space="preserve"> </w:t>
      </w:r>
      <w:r w:rsidRPr="003D17AF">
        <w:rPr>
          <w:i/>
        </w:rPr>
        <w:t xml:space="preserve">их протеолитической активности. </w:t>
      </w:r>
      <w:r w:rsidR="00C24361">
        <w:rPr>
          <w:i/>
        </w:rPr>
        <w:t xml:space="preserve">Кроме того, при использовании </w:t>
      </w:r>
      <w:r w:rsidRPr="003D17AF">
        <w:rPr>
          <w:i/>
        </w:rPr>
        <w:t>аспарагиназы</w:t>
      </w:r>
      <w:r>
        <w:rPr>
          <w:i/>
        </w:rPr>
        <w:t>**</w:t>
      </w:r>
      <w:r w:rsidRPr="003D17AF">
        <w:rPr>
          <w:i/>
        </w:rPr>
        <w:t xml:space="preserve"> сообщалось об изменении кон</w:t>
      </w:r>
      <w:r>
        <w:rPr>
          <w:i/>
        </w:rPr>
        <w:t>формации молекулы антитромбина</w:t>
      </w:r>
      <w:r w:rsidRPr="003D17AF">
        <w:rPr>
          <w:i/>
        </w:rPr>
        <w:t>, что пр</w:t>
      </w:r>
      <w:r w:rsidR="007561DA">
        <w:rPr>
          <w:i/>
        </w:rPr>
        <w:t>иводило к утрате стабильности и в результате к</w:t>
      </w:r>
      <w:r w:rsidRPr="003D17AF">
        <w:rPr>
          <w:i/>
        </w:rPr>
        <w:t xml:space="preserve"> образованию агрегатов белка, накапливавшихся в цистернах эндоплазматического ретикулума. Таким образом, пациенты, которым вводят аспарагиназу</w:t>
      </w:r>
      <w:r>
        <w:rPr>
          <w:i/>
        </w:rPr>
        <w:t>**</w:t>
      </w:r>
      <w:r w:rsidRPr="003D17AF">
        <w:rPr>
          <w:i/>
        </w:rPr>
        <w:t>, характеризуются повышенным риском тромбозо</w:t>
      </w:r>
      <w:r>
        <w:rPr>
          <w:i/>
        </w:rPr>
        <w:t>в. Хотя снижение концентрации антитромбина</w:t>
      </w:r>
      <w:r w:rsidRPr="003D17AF">
        <w:rPr>
          <w:i/>
        </w:rPr>
        <w:t xml:space="preserve"> часто сопровождается гипофибриногенемией, было показано, что низкая концентрация фибриногена предрасполагает в большей степени к тром</w:t>
      </w:r>
      <w:r>
        <w:rPr>
          <w:i/>
        </w:rPr>
        <w:t xml:space="preserve">бозам, нежели к кровотечениям. </w:t>
      </w:r>
    </w:p>
    <w:p w14:paraId="684A5D4D" w14:textId="0C54A11F" w:rsidR="008C42FB" w:rsidRPr="007D4AC5" w:rsidRDefault="00BF279C" w:rsidP="00956D03">
      <w:pPr>
        <w:numPr>
          <w:ilvl w:val="0"/>
          <w:numId w:val="6"/>
        </w:numPr>
        <w:tabs>
          <w:tab w:val="left" w:pos="709"/>
        </w:tabs>
        <w:rPr>
          <w:b/>
        </w:rPr>
      </w:pPr>
      <w:r w:rsidRPr="007D4AC5">
        <w:rPr>
          <w:color w:val="000000"/>
          <w:shd w:val="clear" w:color="auto" w:fill="FFFFFF"/>
        </w:rPr>
        <w:t xml:space="preserve">При </w:t>
      </w:r>
      <w:r>
        <w:rPr>
          <w:color w:val="000000"/>
          <w:shd w:val="clear" w:color="auto" w:fill="FFFFFF"/>
        </w:rPr>
        <w:t xml:space="preserve">массивных экстрамедуллярных очагах поражения (чаще всего орагнов средостения при ОЛЛ/ЛБЛ), тромботических осложнениях на фоне терапии или наличии тромбозов в анамнезе </w:t>
      </w:r>
      <w:r w:rsidR="008C42FB" w:rsidRPr="007D4AC5">
        <w:rPr>
          <w:b/>
          <w:color w:val="000000"/>
          <w:shd w:val="clear" w:color="auto" w:fill="FFFFFF"/>
        </w:rPr>
        <w:t>рекомендуется</w:t>
      </w:r>
      <w:r w:rsidR="008C42FB">
        <w:rPr>
          <w:color w:val="000000"/>
          <w:shd w:val="clear" w:color="auto" w:fill="FFFFFF"/>
        </w:rPr>
        <w:t xml:space="preserve"> проводить антикоагулянтную терапию </w:t>
      </w:r>
      <w:r w:rsidR="008C42FB" w:rsidRPr="007D4AC5">
        <w:rPr>
          <w:color w:val="000000"/>
          <w:shd w:val="clear" w:color="auto" w:fill="FFFFFF"/>
        </w:rPr>
        <w:t xml:space="preserve">согласно существующим протоколам </w:t>
      </w:r>
      <w:r w:rsidR="008C42FB">
        <w:rPr>
          <w:color w:val="000000"/>
          <w:shd w:val="clear" w:color="auto" w:fill="FFFFFF"/>
        </w:rPr>
        <w:t xml:space="preserve">лечения венозных тромбоэмболических осложнений (см. соответствующие </w:t>
      </w:r>
      <w:r w:rsidR="008C42FB" w:rsidRPr="007D4AC5">
        <w:rPr>
          <w:color w:val="000000"/>
          <w:shd w:val="clear" w:color="auto" w:fill="FFFFFF"/>
        </w:rPr>
        <w:t xml:space="preserve">клинические рекомендации по </w:t>
      </w:r>
      <w:r w:rsidR="008C42FB">
        <w:rPr>
          <w:color w:val="000000"/>
          <w:shd w:val="clear" w:color="auto" w:fill="FFFFFF"/>
        </w:rPr>
        <w:t>диагностике, лечению и профилактике венозных тромбоэмболических осложнений</w:t>
      </w:r>
      <w:r w:rsidR="0056446F">
        <w:rPr>
          <w:color w:val="000000"/>
          <w:shd w:val="clear" w:color="auto" w:fill="FFFFFF"/>
        </w:rPr>
        <w:t xml:space="preserve"> </w:t>
      </w:r>
      <w:r w:rsidR="0056446F">
        <w:fldChar w:fldCharType="begin" w:fldLock="1"/>
      </w:r>
      <w:r w:rsidR="002466C9">
        <w:instrText>ADDIN CSL_CITATION {"citationItems":[{"id":"ITEM-1","itemData":{"id":"ITEM-1","issued":{"date-parts":[["2012"]]},"number-of-pages":"1056","title":"Программное лечение заболеваний системы крови: Сборник алгоритмов диагностики и протоколов лечения заболеваний системы крови. Под ред. В.Г. Савченко","type":"book"},"uris":["http://www.mendeley.com/documents/?uuid=36484a90-27ae-40a9-a194-b0461fb47d9d"]},{"id":"ITEM-2","itemData":{"author":[{"dropping-particle":"","family":"Савченко","given":"Валерий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доп.","id":"ITEM-2","issued":{"date-parts":[["2007"]]},"page":"409-502","title":"Острые лейкозы","type":"chapter"},"uris":["http://www.mendeley.com/documents/?uuid=08f85f58-ddaa-48eb-b937-65d15d14b213"]},{"id":"ITEM-3","itemData":{"author":[{"dropping-particle":"","family":"Gökbuget","given":"N.","non-dropping-particle":"","parse-names":false,"suffix":""},{"dropping-particle":"","family":"Bassan","given":"R.","non-dropping-particle":"","parse-names":false,"suffix":""},{"dropping-particle":"","family":"Dombret","given":"H.","non-dropping-particle":"","parse-names":false,"suffix":""},{"dropping-particle":"","family":"Doubek","given":"M.","non-dropping-particle":"","parse-names":false,"suffix":""},{"dropping-particle":"","family":"Fielding","given":"A.K.","non-dropping-particle":"","parse-names":false,"suffix":""},{"dropping-particle":"","family":"Foà","given":"R.","non-dropping-particle":"","parse-names":false,"suffix":""},{"dropping-particle":"","family":"Giebel","given":"S.","non-dropping-particle":"","parse-names":false,"suffix":""},{"dropping-particle":"","family":"Hoelzer","given":"D.","non-dropping-particle":"","parse-names":false,"suffix":""},{"dropping-particle":"","family":"Martinelli","given":"G.","non-dropping-particle":"","parse-names":false,"suffix":""},{"dropping-particle":"","family":"Meloni","given":"G.","non-dropping-particle":"","parse-names":false,"suffix":""},{"dropping-particle":"","family":"Delia Moicean","given":"A.","non-dropping-particle":"","parse-names":false,"suffix":""},{"dropping-particle":"","family":"Ottmann","given":"O.","non-dropping-particle":"","parse-names":false,"suffix":""},{"dropping-particle":"","family":"Piccaluga","given":"P.P.","non-dropping-particle":"","parse-names":false,"suffix":""},{"dropping-particle":"","family":"Ribera","given":"J.M.","non-dropping-particle":"","parse-names":false,"suffix":""},{"dropping-particle":"","family":"Rousselot","given":"P.","non-dropping-particle":"","parse-names":false,"suffix":""},{"dropping-particle":"","family":"Walewski","given":"J.","non-dropping-particle":"","parse-names":false,"suffix":""}],"container-title":"UNI-MED Verlag AG","id":"ITEM-3","issued":{"date-parts":[["2011"]]},"number-of-pages":"204","title":"Recommendations of the European Working Group for Adult ALL (EWALL)","type":"book"},"uris":["http://www.mendeley.com/documents/?uuid=aba58166-cd2b-4f70-bb6a-5fdd9e1b42de"]},{"id":"ITEM-4","itemData":{"author":[{"dropping-particle":"","family":"Brown","given":"Patrick A","non-dropping-particle":"","parse-names":false,"suffix":""},{"dropping-particle":"","family":"Shah","given":"Bijal","non-dropping-particle":"","parse-names":false,"suffix":""},{"dropping-particle":"","family":"Advani","given":"Anjali","non-dropping-particle":"","parse-names":false,"suffix":""},{"dropping-particle":"","family":"Aoun","given":"Patricia","non-dropping-particle":"","parse-names":false,"suffix":""},{"dropping-particle":"","family":"Bhatnagar","given":"Bhavana","non-dropping-particle":"","parse-names":false,"suffix":""},{"dropping-particle":"","family":"Boyer","given":"Michael W","non-dropping-particle":"","parse-names":false,"suffix":""},{"dropping-particle":"","family":"Bryan","given":"Teresa","non-dropping-particle":"","parse-names":false,"suffix":""},{"dropping-particle":"","family":"Burke","given":"Patrick W","non-dropping-particle":"","parse-names":false,"suffix":""},{"dropping-particle":"","family":"Cassaday","given":"Ryan D","non-dropping-particle":"","parse-names":false,"suffix":""},{"dropping-particle":"","family":"Coutre","given":"Steven E","non-dropping-particle":"","parse-names":false,"suffix":""},{"dropping-particle":"","family":"Coccia","given":"Peter F","non-dropping-particle":"","parse-names":false,"suffix":""},{"dropping-particle":"","family":"DeAngelo","given":"Daniel J","non-dropping-particle":"","parse-names":false,"suffix":""},{"dropping-particle":"","family":"Fathi","given":"Amir","non-dropping-particle":"","parse-names":false,"suffix":""},{"dropping-particle":"","family":"Jain","given":"Nitin","non-dropping-particle":"","parse-names":false,"suffix":""},{"dropping-particle":"","family":"Kirby","given":"Suzanne","non-dropping-particle":"","parse-names":false,"suffix":""},{"dropping-particle":"","family":"Litzow","given":"Mark","non-dropping-particle":"","parse-names":false,"suffix":""},{"dropping-particle":"","family":"Liu","given":"Arthur","non-dropping-particle":"","parse-names":false,"suffix":""},{"dropping-particle":"","family":"Logan","given":"Aaron","non-dropping-particle":"","parse-names":false,"suffix":""},{"dropping-particle":"","family":"Massaro","given":"Stephanie","non-dropping-particle":"","parse-names":false,"suffix":""},{"dropping-particle":"","family":"Mattison","given":"Ryan J","non-dropping-particle":"","parse-names":false,"suffix":""},{"dropping-particle":"","family":"Oluwole","given":"Olalekan","non-dropping-particle":"","parse-names":false,"suffix":""},{"dropping-particle":"","family":"Papadantonakis","given":"Nikolaos","non-dropping-particle":"","parse-names":false,"suffix":""},{"dropping-particle":"","family":"Park","given":"Jae","non-dropping-particle":"","parse-names":false,"suffix":""},{"dropping-particle":"","family":"Rubnitz","given":"Jeffrey E","non-dropping-particle":"","parse-names":false,"suffix":""},{"dropping-particle":"","family":"Uy","given":"Geoffrey L","non-dropping-particle":"","parse-names":false,"suffix":""},{"dropping-particle":"","family":"Wang","given":"Eunice S","non-dropping-particle":"","parse-names":false,"suffix":""},{"dropping-particle":"","family":"Wieduwilt","given":"Matthew","non-dropping-particle":"","parse-names":false,"suffix":""},{"dropping-particle":"","family":"Gregory","given":"Kristina","non-dropping-particle":"","parse-names":false,"suffix":""}],"id":"ITEM-4","issued":{"date-parts":[["2019"]]},"number-of-pages":"115","title":"NCCN Clinical Practice Guidelines in Oncology. Acute Lymphoblastic Leukemia. Version 2.2019","type":"report"},"uris":["http://www.mendeley.com/documents/?uuid=ef92918b-8a57-37b1-bea5-284dfdf15541"]},{"id":"ITEM-5","itemData":{"author":[{"dropping-particle":"","family":"Бокерия","given":"Л.А.","non-dropping-particle":"","parse-names":false,"suffix":""},{"dropping-particle":"","family":"Затевахин","given":"И.И.","non-dropping-particle":"","parse-names":false,"suffix":""},{"dropping-particle":"","family":"Кириенко","given":"А.И.","non-dropping-particle":"","parse-names":false,"suffix":""}],"container-title":"Флебология","id":"ITEM-5","issue":"2","issued":{"date-parts":[["2015"]]},"page":"3-52","title":"Российские клинические рекомендации по диагностике, лечению и профилактике венозных тромбоэмболических осложнений (ВТЭО).","type":"article-journal","volume":"4"},"uris":["http://www.mendeley.com/documents/?uuid=86c98716-7768-469e-9d28-62b6dd34948f"]}],"mendeley":{"formattedCitation":"[1,2,4,5,106]","plainTextFormattedCitation":"[1,2,4,5,106]","previouslyFormattedCitation":"[1,2,4,5,106]"},"properties":{"noteIndex":0},"schema":"https://github.com/citation-style-language/schema/raw/master/csl-citation.json"}</w:instrText>
      </w:r>
      <w:r w:rsidR="0056446F">
        <w:fldChar w:fldCharType="separate"/>
      </w:r>
      <w:r w:rsidR="00A66456" w:rsidRPr="00A66456">
        <w:rPr>
          <w:noProof/>
        </w:rPr>
        <w:t>[1,2,4,5,106]</w:t>
      </w:r>
      <w:r w:rsidR="0056446F">
        <w:fldChar w:fldCharType="end"/>
      </w:r>
      <w:r w:rsidR="0056446F">
        <w:rPr>
          <w:color w:val="000000"/>
          <w:shd w:val="clear" w:color="auto" w:fill="FFFFFF"/>
        </w:rPr>
        <w:t>.</w:t>
      </w:r>
      <w:r w:rsidR="008C42FB">
        <w:rPr>
          <w:color w:val="000000"/>
          <w:shd w:val="clear" w:color="auto" w:fill="FFFFFF"/>
        </w:rPr>
        <w:t xml:space="preserve"> </w:t>
      </w:r>
    </w:p>
    <w:p w14:paraId="07EA410C" w14:textId="77777777" w:rsidR="008C42FB" w:rsidRDefault="008C42FB" w:rsidP="008C42FB">
      <w:pPr>
        <w:tabs>
          <w:tab w:val="left" w:pos="709"/>
        </w:tabs>
        <w:ind w:firstLine="709"/>
        <w:rPr>
          <w:b/>
        </w:rPr>
      </w:pPr>
      <w:r>
        <w:rPr>
          <w:b/>
        </w:rPr>
        <w:t xml:space="preserve">Уровень убедительности рекомендаций </w:t>
      </w:r>
      <w:r w:rsidR="007561DA">
        <w:rPr>
          <w:b/>
        </w:rPr>
        <w:t xml:space="preserve">– </w:t>
      </w:r>
      <w:r>
        <w:rPr>
          <w:b/>
          <w:lang w:val="en-US"/>
        </w:rPr>
        <w:t>C</w:t>
      </w:r>
      <w:r>
        <w:rPr>
          <w:b/>
        </w:rPr>
        <w:t xml:space="preserve"> (уровень </w:t>
      </w:r>
      <w:r>
        <w:rPr>
          <w:b/>
          <w:spacing w:val="-1"/>
        </w:rPr>
        <w:t xml:space="preserve">достоверности доказательств </w:t>
      </w:r>
      <w:r>
        <w:rPr>
          <w:b/>
        </w:rPr>
        <w:t xml:space="preserve">– </w:t>
      </w:r>
      <w:r w:rsidRPr="003275EF">
        <w:rPr>
          <w:b/>
        </w:rPr>
        <w:t>5</w:t>
      </w:r>
      <w:r>
        <w:rPr>
          <w:b/>
        </w:rPr>
        <w:t>)</w:t>
      </w:r>
      <w:r w:rsidR="007561DA">
        <w:rPr>
          <w:b/>
        </w:rPr>
        <w:t>.</w:t>
      </w:r>
    </w:p>
    <w:p w14:paraId="40CE1651" w14:textId="77777777" w:rsidR="00254823" w:rsidRPr="004360A9" w:rsidRDefault="00254823" w:rsidP="008163CC">
      <w:pPr>
        <w:rPr>
          <w:b/>
        </w:rPr>
      </w:pPr>
      <w:bookmarkStart w:id="157" w:name="_Toc13484828"/>
      <w:r w:rsidRPr="004360A9">
        <w:rPr>
          <w:b/>
        </w:rPr>
        <w:t>Заместительная терапия иммуноглобулинами</w:t>
      </w:r>
      <w:bookmarkEnd w:id="157"/>
    </w:p>
    <w:p w14:paraId="3D3AFAAA" w14:textId="6797D134" w:rsidR="00254823" w:rsidRPr="00A172AE" w:rsidRDefault="00254823" w:rsidP="00956D03">
      <w:pPr>
        <w:numPr>
          <w:ilvl w:val="0"/>
          <w:numId w:val="6"/>
        </w:numPr>
        <w:contextualSpacing/>
      </w:pPr>
      <w:r w:rsidRPr="00C24361">
        <w:rPr>
          <w:b/>
        </w:rPr>
        <w:t>Рекомендуется</w:t>
      </w:r>
      <w:r w:rsidRPr="00A172AE">
        <w:t xml:space="preserve"> пациентам</w:t>
      </w:r>
      <w:r w:rsidR="006E4A71">
        <w:t xml:space="preserve"> с ОЛЛ</w:t>
      </w:r>
      <w:r w:rsidRPr="00A172AE">
        <w:t xml:space="preserve"> введение иммуноглобулинов при доказанной генерализованной вирусной инфекции (вирусами группы герпеса</w:t>
      </w:r>
      <w:r w:rsidR="00A540F8">
        <w:t>, цитомегаловирусом (</w:t>
      </w:r>
      <w:r w:rsidR="005873B0">
        <w:t xml:space="preserve">далее – </w:t>
      </w:r>
      <w:r w:rsidR="00A540F8" w:rsidRPr="00A172AE">
        <w:t>ЦМВ</w:t>
      </w:r>
      <w:r w:rsidR="00A540F8">
        <w:t>)</w:t>
      </w:r>
      <w:r w:rsidRPr="00A172AE">
        <w:t>), а также при снижении показателей норм</w:t>
      </w:r>
      <w:r w:rsidR="00A540F8">
        <w:t>ал</w:t>
      </w:r>
      <w:r w:rsidRPr="00A172AE">
        <w:t>ьных иммуноглобулинов ниже нормальных значений</w:t>
      </w:r>
      <w:r w:rsidR="0056446F">
        <w:t xml:space="preserve"> </w:t>
      </w:r>
      <w:r w:rsidR="0056446F">
        <w:fldChar w:fldCharType="begin" w:fldLock="1"/>
      </w:r>
      <w:r w:rsidR="002466C9">
        <w:instrText>ADDIN CSL_CITATION {"citationItems":[{"id":"ITEM-1","itemData":{"DOI":"10.1016/j.blre.2017.09.003","ISSN":"1532-1681","PMID":"28958644","abstract":"Immunoglobulins are used to prevent or reduce infection risk in primary immune deficiencies and in settings which exploit its anti-inflammatory and immune-modulatory effects. Rigorous proof of immunoglobulin efficacy in persons with lympho-proliferative neoplasms, plasma cell myeloma, and persons receiving hematopoietic cell transplants is lacking despite many clinical trials. Further, there are few consensus guidelines or algorithms for use in these conditions. Rapid development of new therapies targeting B-cell signaling and survival pathways and increased use of chimeric antigen receptor T-cell (CAR-T) therapy will likely result in more acquired deficiencies of humoral immunity and infections in persons with cancer. We review immunoglobulin formulations and discuss efficacy and potential adverse effects in the context of preventing infections and in graft-versus-host disease. We suggest an algorithm for evaluating acquired deficiencies of humoral immunity in persons with hematologic neoplasms and recommend appropriate use of immunoglobulin therapy.","author":[{"dropping-particle":"","family":"Ueda","given":"Masumi","non-dropping-particle":"","parse-names":false,"suffix":""},{"dropping-particle":"","family":"Berger","given":"Melvin","non-dropping-particle":"","parse-names":false,"suffix":""},{"dropping-particle":"","family":"Gale","given":"Robert Peter","non-dropping-particle":"","parse-names":false,"suffix":""},{"dropping-particle":"","family":"Lazarus","given":"Hillard M","non-dropping-particle":"","parse-names":false,"suffix":""}],"container-title":"Blood reviews","id":"ITEM-1","issue":"2","issued":{"date-parts":[["2018"]]},"page":"106-115","title":"Immunoglobulin therapy in hematologic neoplasms and after hematopoietic cell transplantation.","type":"article-journal","volume":"32"},"uris":["http://www.mendeley.com/documents/?uuid=d643d9c8-d23e-302a-a98e-c599827c01eb"]}],"mendeley":{"formattedCitation":"[107]","plainTextFormattedCitation":"[107]","previouslyFormattedCitation":"[107]"},"properties":{"noteIndex":0},"schema":"https://github.com/citation-style-language/schema/raw/master/csl-citation.json"}</w:instrText>
      </w:r>
      <w:r w:rsidR="0056446F">
        <w:fldChar w:fldCharType="separate"/>
      </w:r>
      <w:r w:rsidR="00A66456" w:rsidRPr="00A66456">
        <w:rPr>
          <w:noProof/>
        </w:rPr>
        <w:t>[107]</w:t>
      </w:r>
      <w:r w:rsidR="0056446F">
        <w:fldChar w:fldCharType="end"/>
      </w:r>
      <w:r w:rsidR="0056446F">
        <w:t>.</w:t>
      </w:r>
      <w:r w:rsidR="005873B0">
        <w:t xml:space="preserve"> </w:t>
      </w:r>
    </w:p>
    <w:p w14:paraId="1AAF326A" w14:textId="77777777" w:rsidR="00254823" w:rsidRPr="00A172AE" w:rsidRDefault="00254823" w:rsidP="00C24361">
      <w:pPr>
        <w:tabs>
          <w:tab w:val="left" w:pos="709"/>
        </w:tabs>
        <w:ind w:firstLine="709"/>
        <w:contextualSpacing/>
        <w:rPr>
          <w:b/>
        </w:rPr>
      </w:pPr>
      <w:r w:rsidRPr="00A172AE">
        <w:rPr>
          <w:b/>
        </w:rPr>
        <w:t xml:space="preserve">Уровень убедительности рекомендаций </w:t>
      </w:r>
      <w:r w:rsidR="00D41470">
        <w:rPr>
          <w:b/>
        </w:rPr>
        <w:t xml:space="preserve">– </w:t>
      </w:r>
      <w:r w:rsidR="006E4A71">
        <w:rPr>
          <w:b/>
        </w:rPr>
        <w:t>С</w:t>
      </w:r>
      <w:r w:rsidRPr="00A172AE">
        <w:rPr>
          <w:b/>
        </w:rPr>
        <w:t xml:space="preserve"> (уровень </w:t>
      </w:r>
      <w:r w:rsidRPr="00A172AE">
        <w:rPr>
          <w:b/>
          <w:spacing w:val="-1"/>
        </w:rPr>
        <w:t xml:space="preserve">достоверности доказательств </w:t>
      </w:r>
      <w:r>
        <w:rPr>
          <w:b/>
        </w:rPr>
        <w:t xml:space="preserve">– </w:t>
      </w:r>
      <w:r w:rsidR="006E4A71">
        <w:rPr>
          <w:b/>
        </w:rPr>
        <w:t>5</w:t>
      </w:r>
      <w:r w:rsidR="00C24361">
        <w:rPr>
          <w:b/>
        </w:rPr>
        <w:t>)</w:t>
      </w:r>
      <w:r w:rsidR="00D41470">
        <w:rPr>
          <w:b/>
        </w:rPr>
        <w:t>.</w:t>
      </w:r>
    </w:p>
    <w:p w14:paraId="4E2DBA23" w14:textId="77777777" w:rsidR="00254823" w:rsidRDefault="00254823" w:rsidP="00C24361">
      <w:pPr>
        <w:shd w:val="clear" w:color="auto" w:fill="FFFFFF"/>
        <w:ind w:firstLine="709"/>
        <w:contextualSpacing/>
        <w:rPr>
          <w:i/>
        </w:rPr>
      </w:pPr>
      <w:r w:rsidRPr="00C24361">
        <w:rPr>
          <w:b/>
        </w:rPr>
        <w:t>Комментарии:</w:t>
      </w:r>
      <w:r w:rsidRPr="00A172AE">
        <w:rPr>
          <w:b/>
        </w:rPr>
        <w:t xml:space="preserve"> </w:t>
      </w:r>
      <w:r w:rsidR="00A540F8">
        <w:rPr>
          <w:i/>
        </w:rPr>
        <w:t>у</w:t>
      </w:r>
      <w:r w:rsidR="00A540F8" w:rsidRPr="00A172AE">
        <w:rPr>
          <w:i/>
        </w:rPr>
        <w:t xml:space="preserve"> </w:t>
      </w:r>
      <w:r w:rsidRPr="00A172AE">
        <w:rPr>
          <w:i/>
        </w:rPr>
        <w:t xml:space="preserve">пациентов </w:t>
      </w:r>
      <w:r w:rsidR="00A1678A">
        <w:rPr>
          <w:i/>
        </w:rPr>
        <w:t xml:space="preserve">с </w:t>
      </w:r>
      <w:r w:rsidRPr="00A172AE">
        <w:rPr>
          <w:i/>
        </w:rPr>
        <w:t>ОЛЛ часто определяется гипогаммаглобулинемия, но до настоящего времени не было получено доказательств эффективности профилактических инфузий иммуноглобулинов.</w:t>
      </w:r>
      <w:r w:rsidR="00F813DD">
        <w:rPr>
          <w:i/>
        </w:rPr>
        <w:t xml:space="preserve"> Пациентам на фоне терапии блинатум</w:t>
      </w:r>
      <w:r w:rsidR="00A540F8">
        <w:rPr>
          <w:i/>
        </w:rPr>
        <w:t>у</w:t>
      </w:r>
      <w:r w:rsidR="00F813DD">
        <w:rPr>
          <w:i/>
        </w:rPr>
        <w:t>мабом</w:t>
      </w:r>
      <w:r w:rsidR="00C24361">
        <w:rPr>
          <w:i/>
        </w:rPr>
        <w:t>**</w:t>
      </w:r>
      <w:r w:rsidR="00F813DD">
        <w:rPr>
          <w:i/>
        </w:rPr>
        <w:t xml:space="preserve"> или ритуксимабом</w:t>
      </w:r>
      <w:r w:rsidR="00C24361">
        <w:rPr>
          <w:i/>
        </w:rPr>
        <w:t>**</w:t>
      </w:r>
      <w:r w:rsidR="00F813DD">
        <w:rPr>
          <w:i/>
        </w:rPr>
        <w:t xml:space="preserve"> необходимо контролировать содержание иммуноглобулинов</w:t>
      </w:r>
      <w:r w:rsidR="00C24361">
        <w:rPr>
          <w:i/>
        </w:rPr>
        <w:t xml:space="preserve"> </w:t>
      </w:r>
      <w:r w:rsidR="005A24D2">
        <w:rPr>
          <w:i/>
        </w:rPr>
        <w:t>1 раз в 2–</w:t>
      </w:r>
      <w:r w:rsidR="00F813DD">
        <w:rPr>
          <w:i/>
        </w:rPr>
        <w:t>4 недели</w:t>
      </w:r>
      <w:r w:rsidR="00A540F8">
        <w:rPr>
          <w:i/>
        </w:rPr>
        <w:t>,</w:t>
      </w:r>
      <w:r w:rsidR="00F813DD">
        <w:rPr>
          <w:i/>
        </w:rPr>
        <w:t xml:space="preserve"> в зависимости от клинической ситуации</w:t>
      </w:r>
      <w:r w:rsidR="00A540F8">
        <w:rPr>
          <w:i/>
        </w:rPr>
        <w:t>,</w:t>
      </w:r>
      <w:r w:rsidR="00F813DD">
        <w:rPr>
          <w:i/>
        </w:rPr>
        <w:t xml:space="preserve"> и</w:t>
      </w:r>
      <w:r w:rsidR="00A540F8">
        <w:rPr>
          <w:i/>
        </w:rPr>
        <w:t>,</w:t>
      </w:r>
      <w:r w:rsidR="00F813DD">
        <w:rPr>
          <w:i/>
        </w:rPr>
        <w:t xml:space="preserve"> при необходимости</w:t>
      </w:r>
      <w:r w:rsidR="00A540F8">
        <w:rPr>
          <w:i/>
        </w:rPr>
        <w:t>,</w:t>
      </w:r>
      <w:r w:rsidR="00F813DD">
        <w:rPr>
          <w:i/>
        </w:rPr>
        <w:t xml:space="preserve"> выполнять заместительную терапию иммуноглобулинами</w:t>
      </w:r>
      <w:r w:rsidR="005A24D2">
        <w:t xml:space="preserve"> </w:t>
      </w:r>
      <w:r w:rsidR="0056446F">
        <w:fldChar w:fldCharType="begin" w:fldLock="1"/>
      </w:r>
      <w:r w:rsidR="0056446F">
        <w:instrText>ADDIN CSL_CITATION {"citationItems":[{"id":"ITEM-1","itemData":{"id":"ITEM-1","issued":{"date-parts":[["2012"]]},"number-of-pages":"1056","title":"Программное лечение заболеваний системы крови: Сборник алгоритмов диагностики и протоколов лечения заболеваний системы крови. Под ред. В.Г. Савченко","type":"book"},"uris":["http://www.mendeley.com/documents/?uuid=36484a90-27ae-40a9-a194-b0461fb47d9d"]},{"id":"ITEM-2","itemData":{"author":[{"dropping-particle":"","family":"Савченко","given":"Валерий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доп.","id":"ITEM-2","issued":{"date-parts":[["2007"]]},"page":"409-502","title":"Острые лейкозы","type":"chapter"},"uris":["http://www.mendeley.com/documents/?uuid=08f85f58-ddaa-48eb-b937-65d15d14b213"]}],"mendeley":{"formattedCitation":"[1,2]","plainTextFormattedCitation":"[1,2]","previouslyFormattedCitation":"[1,2]"},"properties":{"noteIndex":0},"schema":"https://github.com/citation-style-language/schema/raw/master/csl-citation.json"}</w:instrText>
      </w:r>
      <w:r w:rsidR="0056446F">
        <w:fldChar w:fldCharType="separate"/>
      </w:r>
      <w:r w:rsidR="0056446F" w:rsidRPr="001943FA">
        <w:rPr>
          <w:noProof/>
        </w:rPr>
        <w:t>[1,2]</w:t>
      </w:r>
      <w:r w:rsidR="0056446F">
        <w:fldChar w:fldCharType="end"/>
      </w:r>
      <w:r w:rsidR="0056446F">
        <w:rPr>
          <w:i/>
        </w:rPr>
        <w:t>.</w:t>
      </w:r>
    </w:p>
    <w:p w14:paraId="4B4AC24E" w14:textId="77777777" w:rsidR="00254823" w:rsidRPr="004360A9" w:rsidRDefault="00254823" w:rsidP="008163CC">
      <w:pPr>
        <w:rPr>
          <w:b/>
        </w:rPr>
      </w:pPr>
      <w:bookmarkStart w:id="158" w:name="_Toc13484829"/>
      <w:r w:rsidRPr="004360A9">
        <w:rPr>
          <w:b/>
        </w:rPr>
        <w:lastRenderedPageBreak/>
        <w:t>Иная сопроводительная терапия</w:t>
      </w:r>
      <w:bookmarkEnd w:id="158"/>
    </w:p>
    <w:p w14:paraId="0E0D1244" w14:textId="77777777" w:rsidR="00254823" w:rsidRPr="00A172AE" w:rsidRDefault="00254823" w:rsidP="008163CC">
      <w:pPr>
        <w:shd w:val="clear" w:color="auto" w:fill="FFFFFF"/>
        <w:ind w:firstLine="720"/>
        <w:rPr>
          <w:b/>
        </w:rPr>
      </w:pPr>
      <w:r w:rsidRPr="00A172AE">
        <w:rPr>
          <w:b/>
        </w:rPr>
        <w:t>Факторы роста</w:t>
      </w:r>
    </w:p>
    <w:p w14:paraId="26826BB5" w14:textId="77777777" w:rsidR="00254823" w:rsidRPr="00A82515" w:rsidRDefault="00773D89" w:rsidP="00956D03">
      <w:pPr>
        <w:numPr>
          <w:ilvl w:val="0"/>
          <w:numId w:val="6"/>
        </w:numPr>
        <w:shd w:val="clear" w:color="auto" w:fill="FFFFFF"/>
        <w:tabs>
          <w:tab w:val="left" w:pos="283"/>
        </w:tabs>
        <w:rPr>
          <w:b/>
        </w:rPr>
      </w:pPr>
      <w:r>
        <w:rPr>
          <w:b/>
        </w:rPr>
        <w:t>Н</w:t>
      </w:r>
      <w:r w:rsidR="00254823" w:rsidRPr="00A82515">
        <w:rPr>
          <w:b/>
        </w:rPr>
        <w:t>е рекоменду</w:t>
      </w:r>
      <w:r w:rsidR="0056446F">
        <w:rPr>
          <w:b/>
        </w:rPr>
        <w:t>е</w:t>
      </w:r>
      <w:r w:rsidR="00254823" w:rsidRPr="00A82515">
        <w:rPr>
          <w:b/>
        </w:rPr>
        <w:t>т</w:t>
      </w:r>
      <w:r>
        <w:rPr>
          <w:b/>
        </w:rPr>
        <w:t>ся</w:t>
      </w:r>
      <w:r w:rsidR="00254823">
        <w:rPr>
          <w:b/>
        </w:rPr>
        <w:t xml:space="preserve"> </w:t>
      </w:r>
      <w:r>
        <w:t>назначение</w:t>
      </w:r>
      <w:r w:rsidRPr="00347405">
        <w:t xml:space="preserve"> </w:t>
      </w:r>
      <w:r w:rsidR="00254823" w:rsidRPr="00EF0613">
        <w:t xml:space="preserve">пациентам </w:t>
      </w:r>
      <w:r w:rsidR="00254823">
        <w:t>препарат</w:t>
      </w:r>
      <w:r>
        <w:t>ов</w:t>
      </w:r>
      <w:r w:rsidR="00254823">
        <w:t xml:space="preserve"> </w:t>
      </w:r>
      <w:r w:rsidR="00A540F8">
        <w:rPr>
          <w:szCs w:val="24"/>
        </w:rPr>
        <w:t>гранулоцитарных колониестимулирующих факторов (</w:t>
      </w:r>
      <w:r w:rsidR="00254823" w:rsidRPr="00347405">
        <w:t>Г-КСФ</w:t>
      </w:r>
      <w:r w:rsidR="00C24361">
        <w:t>**</w:t>
      </w:r>
      <w:r w:rsidR="00A540F8">
        <w:t>)</w:t>
      </w:r>
      <w:r w:rsidR="005A24D2">
        <w:t xml:space="preserve"> ни на одном этапе лечения ОЛЛ.</w:t>
      </w:r>
      <w:r w:rsidR="00254823" w:rsidRPr="00347405">
        <w:t xml:space="preserve"> Исключение составляют </w:t>
      </w:r>
      <w:r w:rsidR="00A540F8">
        <w:t>ЛБ</w:t>
      </w:r>
      <w:r w:rsidR="00254823" w:rsidRPr="00347405">
        <w:t xml:space="preserve"> без поражения </w:t>
      </w:r>
      <w:r w:rsidR="002F7A08">
        <w:t>КМ</w:t>
      </w:r>
      <w:r w:rsidR="00254823" w:rsidRPr="00347405">
        <w:t>, при которых возможно использовать Г-КСФ</w:t>
      </w:r>
      <w:r w:rsidR="00C24361">
        <w:t>**</w:t>
      </w:r>
      <w:r w:rsidR="00254823" w:rsidRPr="00347405">
        <w:t xml:space="preserve"> с целью </w:t>
      </w:r>
      <w:r w:rsidR="0056446F">
        <w:t xml:space="preserve">сохранения сроков выполнения </w:t>
      </w:r>
      <w:r w:rsidR="00254823" w:rsidRPr="00347405">
        <w:t>протокола</w:t>
      </w:r>
      <w:r w:rsidR="005A24D2">
        <w:t xml:space="preserve"> </w:t>
      </w:r>
      <w:r w:rsidR="0056446F">
        <w:fldChar w:fldCharType="begin" w:fldLock="1"/>
      </w:r>
      <w:r w:rsidR="0056446F">
        <w:instrText>ADDIN CSL_CITATION {"citationItems":[{"id":"ITEM-1","itemData":{"id":"ITEM-1","issued":{"date-parts":[["2012"]]},"number-of-pages":"1056","title":"Программное лечение заболеваний системы крови: Сборник алгоритмов диагностики и протоколов лечения заболеваний системы крови. Под ред. В.Г. Савченко","type":"book"},"uris":["http://www.mendeley.com/documents/?uuid=36484a90-27ae-40a9-a194-b0461fb47d9d"]},{"id":"ITEM-2","itemData":{"author":[{"dropping-particle":"","family":"Савченко","given":"Валерий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доп.","id":"ITEM-2","issued":{"date-parts":[["2007"]]},"page":"409-502","title":"Острые лейкозы","type":"chapter"},"uris":["http://www.mendeley.com/documents/?uuid=08f85f58-ddaa-48eb-b937-65d15d14b213"]}],"mendeley":{"formattedCitation":"[1,2]","plainTextFormattedCitation":"[1,2]","previouslyFormattedCitation":"[1,2]"},"properties":{"noteIndex":0},"schema":"https://github.com/citation-style-language/schema/raw/master/csl-citation.json"}</w:instrText>
      </w:r>
      <w:r w:rsidR="0056446F">
        <w:fldChar w:fldCharType="separate"/>
      </w:r>
      <w:r w:rsidR="0056446F" w:rsidRPr="001943FA">
        <w:rPr>
          <w:noProof/>
        </w:rPr>
        <w:t>[1,2]</w:t>
      </w:r>
      <w:r w:rsidR="0056446F">
        <w:fldChar w:fldCharType="end"/>
      </w:r>
      <w:r w:rsidR="0056446F" w:rsidRPr="00347405">
        <w:t>.</w:t>
      </w:r>
    </w:p>
    <w:p w14:paraId="746AD0A6" w14:textId="77777777" w:rsidR="00254823" w:rsidRDefault="00254823" w:rsidP="00C24361">
      <w:pPr>
        <w:tabs>
          <w:tab w:val="left" w:pos="709"/>
        </w:tabs>
        <w:ind w:firstLine="709"/>
        <w:rPr>
          <w:b/>
        </w:rPr>
      </w:pPr>
      <w:r>
        <w:rPr>
          <w:b/>
        </w:rPr>
        <w:t xml:space="preserve">Уровень убедительности рекомендаций </w:t>
      </w:r>
      <w:r w:rsidR="005A24D2">
        <w:rPr>
          <w:b/>
        </w:rPr>
        <w:t xml:space="preserve">– </w:t>
      </w:r>
      <w:r w:rsidR="001943FA">
        <w:rPr>
          <w:b/>
          <w:lang w:val="en-US"/>
        </w:rPr>
        <w:t>C</w:t>
      </w:r>
      <w:r>
        <w:rPr>
          <w:b/>
        </w:rPr>
        <w:t xml:space="preserve"> (уровень </w:t>
      </w:r>
      <w:r>
        <w:rPr>
          <w:b/>
          <w:spacing w:val="-1"/>
        </w:rPr>
        <w:t xml:space="preserve">достоверности доказательств </w:t>
      </w:r>
      <w:r>
        <w:rPr>
          <w:b/>
        </w:rPr>
        <w:t xml:space="preserve">– </w:t>
      </w:r>
      <w:r w:rsidRPr="00702B62">
        <w:rPr>
          <w:b/>
        </w:rPr>
        <w:t>5</w:t>
      </w:r>
      <w:r w:rsidR="00C24361">
        <w:rPr>
          <w:b/>
        </w:rPr>
        <w:t>)</w:t>
      </w:r>
      <w:r w:rsidR="005A24D2">
        <w:rPr>
          <w:b/>
        </w:rPr>
        <w:t>.</w:t>
      </w:r>
    </w:p>
    <w:p w14:paraId="40D35E99" w14:textId="77777777" w:rsidR="00254823" w:rsidRDefault="00254823" w:rsidP="00C24361">
      <w:pPr>
        <w:shd w:val="clear" w:color="auto" w:fill="FFFFFF"/>
        <w:tabs>
          <w:tab w:val="left" w:pos="283"/>
        </w:tabs>
        <w:ind w:firstLine="709"/>
        <w:rPr>
          <w:b/>
        </w:rPr>
      </w:pPr>
      <w:r w:rsidRPr="00C24361">
        <w:rPr>
          <w:b/>
        </w:rPr>
        <w:t>Комментарии:</w:t>
      </w:r>
      <w:r>
        <w:rPr>
          <w:b/>
        </w:rPr>
        <w:t xml:space="preserve"> </w:t>
      </w:r>
      <w:r w:rsidR="00A540F8">
        <w:rPr>
          <w:i/>
        </w:rPr>
        <w:t>в</w:t>
      </w:r>
      <w:r w:rsidR="00A540F8" w:rsidRPr="003D17AF">
        <w:rPr>
          <w:i/>
        </w:rPr>
        <w:t xml:space="preserve"> </w:t>
      </w:r>
      <w:r w:rsidRPr="003D17AF">
        <w:rPr>
          <w:i/>
        </w:rPr>
        <w:t>большинстве европейских национальных протокол</w:t>
      </w:r>
      <w:r w:rsidR="00005D3F">
        <w:rPr>
          <w:i/>
        </w:rPr>
        <w:t>ах</w:t>
      </w:r>
      <w:r w:rsidRPr="003D17AF">
        <w:rPr>
          <w:i/>
        </w:rPr>
        <w:t xml:space="preserve"> </w:t>
      </w:r>
      <w:r w:rsidR="002F7A08">
        <w:rPr>
          <w:i/>
        </w:rPr>
        <w:t>Г-КСФ</w:t>
      </w:r>
      <w:r w:rsidRPr="003D17AF">
        <w:rPr>
          <w:i/>
        </w:rPr>
        <w:t xml:space="preserve"> используется с профилактической целью в процессе индукции и консолидации ремиссии. </w:t>
      </w:r>
    </w:p>
    <w:p w14:paraId="07E0FBD0" w14:textId="77777777" w:rsidR="00254823" w:rsidRPr="00A82515" w:rsidRDefault="00254823" w:rsidP="008163CC">
      <w:pPr>
        <w:shd w:val="clear" w:color="auto" w:fill="FFFFFF"/>
        <w:rPr>
          <w:b/>
        </w:rPr>
      </w:pPr>
      <w:r w:rsidRPr="00CA7FDC">
        <w:rPr>
          <w:b/>
        </w:rPr>
        <w:t>Подавление менструации и сохранение фертильности</w:t>
      </w:r>
    </w:p>
    <w:p w14:paraId="5D290113" w14:textId="3A7D03DE" w:rsidR="00254823" w:rsidRPr="00A172AE" w:rsidRDefault="00254823" w:rsidP="00956D03">
      <w:pPr>
        <w:numPr>
          <w:ilvl w:val="0"/>
          <w:numId w:val="6"/>
        </w:numPr>
        <w:contextualSpacing/>
      </w:pPr>
      <w:r w:rsidRPr="00A172AE">
        <w:t xml:space="preserve">У всех женщин </w:t>
      </w:r>
      <w:r w:rsidR="00005D3F">
        <w:t xml:space="preserve">с ОЛЛ </w:t>
      </w:r>
      <w:r w:rsidRPr="00A172AE">
        <w:t xml:space="preserve">в пременопаузе </w:t>
      </w:r>
      <w:r w:rsidRPr="0006296E">
        <w:rPr>
          <w:b/>
        </w:rPr>
        <w:t>рекомендуется</w:t>
      </w:r>
      <w:r w:rsidRPr="00A172AE">
        <w:t xml:space="preserve"> подавление менструаций с целью минимизации рисков кровотечения на фоне тромбоцитопении</w:t>
      </w:r>
      <w:r w:rsidR="0042136A" w:rsidRPr="0042136A">
        <w:t xml:space="preserve"> </w:t>
      </w:r>
      <w:r w:rsidR="0042136A">
        <w:fldChar w:fldCharType="begin" w:fldLock="1"/>
      </w:r>
      <w:r w:rsidR="002466C9">
        <w:instrText>ADDIN CSL_CITATION {"citationItems":[{"id":"ITEM-1","itemData":{"DOI":"10.1592/phco.31.11.1092","ISSN":"02770008","abstract":"Abnormal uterine bleeding in women with a blood dyscrasia, such as leukemia, or who experience thrombocytopenia secondary to myelosuppressive chemotherapy is a clinical condition associated with significant morbidity. Consequently, effective management is necessary to prevent adverse outcomes. Prevention of menorrhagia, defined as heavy regular menstrual cycles with more than 80 ml of blood loss/cycle or a cycle duration longer than 7 days, in this patient population is the goal of therapy. Gonadotropin-releasing hormone analogs (e.g., leuprolide) are promising therapies that have been shown to decrease vaginal bleeding during periods of thrombocytopenia and to have minimal adverse effects other than those associated with gonadal inhibition. In patients who experience menorrhagia despite preventive therapies, or in patients who have thrombocytopenia and menorrhagia at diagnosis, treatment is indicated. For these women, treatment options may include platelet transfusions, antifibrinolytic therapy (e.g., tranexamic acid), continuous high-dose oral contraceptives, cyclic progestins, or other therapies for more refractory patients such as danazol, desmopressin, and recombinant factor VIIa. Hormonal therapies are often the mainstay of therapy in women with menorrhagia secondary to thrombocytopenia, but data for these agents are sparse. The most robust data for the treatment of menorrhagia are for tranexamic acid. Most women receiving tranexamic acid in randomized trials experienced meaningful reductions in menstrual bleeding, and this translated into improved quality of life; however, these trials were not performed in patients with cancer. Further clinical trials are warranted to evaluate both preventive and therapeutic agents for menorrhagia in premenopausal women with cancer who are receiving myelosuppressive chemotherapy.","author":[{"dropping-particle":"","family":"Bates","given":"Jill S.","non-dropping-particle":"","parse-names":false,"suffix":""},{"dropping-particle":"","family":"Buie","given":"Larry W.","non-dropping-particle":"","parse-names":false,"suffix":""},{"dropping-particle":"","family":"Woodis","given":"C. Brock","non-dropping-particle":"","parse-names":false,"suffix":""}],"container-title":"Pharmacotherapy","id":"ITEM-1","issue":"11","issued":{"date-parts":[["2011","11"]]},"page":"1092-1110","title":"Management of menorrhagia associated with chemotherapy-induced thrombocytopenia in women with hematologic malignancy","type":"article","volume":"31"},"uris":["http://www.mendeley.com/documents/?uuid=ddbc59b3-781f-3ca0-b708-85cf04dd9a4e"]}],"mendeley":{"formattedCitation":"[108]","plainTextFormattedCitation":"[108]","previouslyFormattedCitation":"[108]"},"properties":{"noteIndex":0},"schema":"https://github.com/citation-style-language/schema/raw/master/csl-citation.json"}</w:instrText>
      </w:r>
      <w:r w:rsidR="0042136A">
        <w:fldChar w:fldCharType="separate"/>
      </w:r>
      <w:r w:rsidR="00A66456" w:rsidRPr="00A66456">
        <w:rPr>
          <w:noProof/>
        </w:rPr>
        <w:t>[108]</w:t>
      </w:r>
      <w:r w:rsidR="0042136A">
        <w:fldChar w:fldCharType="end"/>
      </w:r>
      <w:r w:rsidR="0056446F">
        <w:t xml:space="preserve"> </w:t>
      </w:r>
    </w:p>
    <w:p w14:paraId="091B1DAF" w14:textId="77777777" w:rsidR="00254823" w:rsidRPr="00A82515" w:rsidRDefault="00254823" w:rsidP="00C24361">
      <w:pPr>
        <w:ind w:firstLine="709"/>
        <w:contextualSpacing/>
        <w:rPr>
          <w:b/>
        </w:rPr>
      </w:pPr>
      <w:r w:rsidRPr="003C7F22">
        <w:rPr>
          <w:b/>
        </w:rPr>
        <w:t xml:space="preserve">Уровень убедительности рекомендаций </w:t>
      </w:r>
      <w:r w:rsidR="005A24D2" w:rsidRPr="003C7F22">
        <w:rPr>
          <w:b/>
        </w:rPr>
        <w:t xml:space="preserve">– </w:t>
      </w:r>
      <w:r w:rsidR="00AE06CA">
        <w:rPr>
          <w:b/>
          <w:lang w:val="en-US"/>
        </w:rPr>
        <w:t>C</w:t>
      </w:r>
      <w:r w:rsidR="00AE06CA" w:rsidRPr="003C7F22">
        <w:rPr>
          <w:b/>
        </w:rPr>
        <w:t xml:space="preserve"> </w:t>
      </w:r>
      <w:r w:rsidRPr="003C7F22">
        <w:rPr>
          <w:b/>
        </w:rPr>
        <w:t xml:space="preserve">(уровень </w:t>
      </w:r>
      <w:r w:rsidRPr="003C7F22">
        <w:rPr>
          <w:b/>
          <w:spacing w:val="-1"/>
        </w:rPr>
        <w:t xml:space="preserve">достоверности доказательств </w:t>
      </w:r>
      <w:r w:rsidR="00C24361" w:rsidRPr="003C7F22">
        <w:rPr>
          <w:b/>
        </w:rPr>
        <w:t xml:space="preserve">– </w:t>
      </w:r>
      <w:r w:rsidR="00AE06CA" w:rsidRPr="00AE06CA">
        <w:rPr>
          <w:b/>
        </w:rPr>
        <w:t>5</w:t>
      </w:r>
      <w:r w:rsidR="00C24361" w:rsidRPr="003C7F22">
        <w:rPr>
          <w:b/>
        </w:rPr>
        <w:t>)</w:t>
      </w:r>
      <w:r w:rsidR="005A24D2" w:rsidRPr="003C7F22">
        <w:rPr>
          <w:b/>
        </w:rPr>
        <w:t>.</w:t>
      </w:r>
    </w:p>
    <w:p w14:paraId="704E65A3" w14:textId="77777777" w:rsidR="007D4AC5" w:rsidRDefault="007D4AC5" w:rsidP="008163CC">
      <w:pPr>
        <w:tabs>
          <w:tab w:val="left" w:pos="709"/>
        </w:tabs>
        <w:rPr>
          <w:b/>
        </w:rPr>
      </w:pPr>
      <w:r>
        <w:rPr>
          <w:b/>
        </w:rPr>
        <w:t>Обезболивающая терапия</w:t>
      </w:r>
    </w:p>
    <w:p w14:paraId="0A9E1EB8" w14:textId="5C9E8F4F" w:rsidR="007D4AC5" w:rsidRPr="005A24D2" w:rsidRDefault="007D4AC5" w:rsidP="00956D03">
      <w:pPr>
        <w:numPr>
          <w:ilvl w:val="0"/>
          <w:numId w:val="6"/>
        </w:numPr>
        <w:contextualSpacing/>
      </w:pPr>
      <w:r w:rsidRPr="007D4AC5">
        <w:rPr>
          <w:color w:val="000000"/>
          <w:shd w:val="clear" w:color="auto" w:fill="FFFFFF"/>
        </w:rPr>
        <w:t xml:space="preserve">При возникновении острого или хронического болевого синдрома пациенту </w:t>
      </w:r>
      <w:r w:rsidRPr="007D4AC5">
        <w:rPr>
          <w:b/>
          <w:color w:val="000000"/>
          <w:shd w:val="clear" w:color="auto" w:fill="FFFFFF"/>
        </w:rPr>
        <w:t>рекомендуется</w:t>
      </w:r>
      <w:r>
        <w:rPr>
          <w:color w:val="000000"/>
          <w:shd w:val="clear" w:color="auto" w:fill="FFFFFF"/>
        </w:rPr>
        <w:t xml:space="preserve"> проводить обезболивающую</w:t>
      </w:r>
      <w:r w:rsidRPr="007D4AC5">
        <w:rPr>
          <w:color w:val="000000"/>
          <w:shd w:val="clear" w:color="auto" w:fill="FFFFFF"/>
        </w:rPr>
        <w:t xml:space="preserve"> терапи</w:t>
      </w:r>
      <w:r>
        <w:rPr>
          <w:color w:val="000000"/>
          <w:shd w:val="clear" w:color="auto" w:fill="FFFFFF"/>
        </w:rPr>
        <w:t>ю</w:t>
      </w:r>
      <w:r w:rsidRPr="007D4AC5">
        <w:rPr>
          <w:color w:val="000000"/>
          <w:shd w:val="clear" w:color="auto" w:fill="FFFFFF"/>
        </w:rPr>
        <w:t xml:space="preserve"> согласно существующим протоколам обез</w:t>
      </w:r>
      <w:r w:rsidR="00C24361">
        <w:rPr>
          <w:color w:val="000000"/>
          <w:shd w:val="clear" w:color="auto" w:fill="FFFFFF"/>
        </w:rPr>
        <w:t xml:space="preserve">боливания (см. соответствующие </w:t>
      </w:r>
      <w:r w:rsidRPr="007D4AC5">
        <w:rPr>
          <w:color w:val="000000"/>
          <w:shd w:val="clear" w:color="auto" w:fill="FFFFFF"/>
        </w:rPr>
        <w:t xml:space="preserve">клинические рекомендации по хронической боли, клинические рекомендации </w:t>
      </w:r>
      <w:r w:rsidR="005A24D2">
        <w:rPr>
          <w:color w:val="000000"/>
          <w:shd w:val="clear" w:color="auto" w:fill="FFFFFF"/>
        </w:rPr>
        <w:t>по анестезиологии), в том числе,</w:t>
      </w:r>
      <w:r w:rsidRPr="007D4AC5">
        <w:rPr>
          <w:color w:val="000000"/>
          <w:shd w:val="clear" w:color="auto" w:fill="FFFFFF"/>
        </w:rPr>
        <w:t xml:space="preserve"> по показаниям</w:t>
      </w:r>
      <w:r w:rsidR="005A24D2">
        <w:rPr>
          <w:color w:val="000000"/>
          <w:shd w:val="clear" w:color="auto" w:fill="FFFFFF"/>
        </w:rPr>
        <w:t xml:space="preserve">, </w:t>
      </w:r>
      <w:r w:rsidRPr="007D4AC5">
        <w:rPr>
          <w:color w:val="000000"/>
          <w:shd w:val="clear" w:color="auto" w:fill="FFFFFF"/>
        </w:rPr>
        <w:t xml:space="preserve">с применением наркотических и психотропных лекарственных препаратов </w:t>
      </w:r>
      <w:r w:rsidR="0056446F">
        <w:fldChar w:fldCharType="begin" w:fldLock="1"/>
      </w:r>
      <w:r w:rsidR="002466C9">
        <w:instrText>ADDIN CSL_CITATION {"citationItems":[{"id":"ITEM-1","itemData":{"id":"ITEM-1","issued":{"date-parts":[["2012"]]},"number-of-pages":"1056","title":"Программное лечение заболеваний системы крови: Сборник алгоритмов диагностики и протоколов лечения заболеваний системы крови. Под ред. В.Г. Савченко","type":"book"},"uris":["http://www.mendeley.com/documents/?uuid=36484a90-27ae-40a9-a194-b0461fb47d9d"]},{"id":"ITEM-2","itemData":{"author":[{"dropping-particle":"","family":"Савченко","given":"Валерий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доп.","id":"ITEM-2","issued":{"date-parts":[["2007"]]},"page":"409-502","title":"Острые лейкозы","type":"chapter"},"uris":["http://www.mendeley.com/documents/?uuid=08f85f58-ddaa-48eb-b937-65d15d14b213"]},{"id":"ITEM-3","itemData":{"author":[{"dropping-particle":"","family":"Gökbuget","given":"N.","non-dropping-particle":"","parse-names":false,"suffix":""},{"dropping-particle":"","family":"Bassan","given":"R.","non-dropping-particle":"","parse-names":false,"suffix":""},{"dropping-particle":"","family":"Dombret","given":"H.","non-dropping-particle":"","parse-names":false,"suffix":""},{"dropping-particle":"","family":"Doubek","given":"M.","non-dropping-particle":"","parse-names":false,"suffix":""},{"dropping-particle":"","family":"Fielding","given":"A.K.","non-dropping-particle":"","parse-names":false,"suffix":""},{"dropping-particle":"","family":"Foà","given":"R.","non-dropping-particle":"","parse-names":false,"suffix":""},{"dropping-particle":"","family":"Giebel","given":"S.","non-dropping-particle":"","parse-names":false,"suffix":""},{"dropping-particle":"","family":"Hoelzer","given":"D.","non-dropping-particle":"","parse-names":false,"suffix":""},{"dropping-particle":"","family":"Martinelli","given":"G.","non-dropping-particle":"","parse-names":false,"suffix":""},{"dropping-particle":"","family":"Meloni","given":"G.","non-dropping-particle":"","parse-names":false,"suffix":""},{"dropping-particle":"","family":"Delia Moicean","given":"A.","non-dropping-particle":"","parse-names":false,"suffix":""},{"dropping-particle":"","family":"Ottmann","given":"O.","non-dropping-particle":"","parse-names":false,"suffix":""},{"dropping-particle":"","family":"Piccaluga","given":"P.P.","non-dropping-particle":"","parse-names":false,"suffix":""},{"dropping-particle":"","family":"Ribera","given":"J.M.","non-dropping-particle":"","parse-names":false,"suffix":""},{"dropping-particle":"","family":"Rousselot","given":"P.","non-dropping-particle":"","parse-names":false,"suffix":""},{"dropping-particle":"","family":"Walewski","given":"J.","non-dropping-particle":"","parse-names":false,"suffix":""}],"container-title":"UNI-MED Verlag AG","id":"ITEM-3","issued":{"date-parts":[["2011"]]},"number-of-pages":"204","title":"Recommendations of the European Working Group for Adult ALL (EWALL)","type":"book"},"uris":["http://www.mendeley.com/documents/?uuid=aba58166-cd2b-4f70-bb6a-5fdd9e1b42de"]},{"id":"ITEM-4","itemData":{"author":[{"dropping-particle":"","family":"Brown","given":"Patrick A","non-dropping-particle":"","parse-names":false,"suffix":""},{"dropping-particle":"","family":"Shah","given":"Bijal","non-dropping-particle":"","parse-names":false,"suffix":""},{"dropping-particle":"","family":"Advani","given":"Anjali","non-dropping-particle":"","parse-names":false,"suffix":""},{"dropping-particle":"","family":"Aoun","given":"Patricia","non-dropping-particle":"","parse-names":false,"suffix":""},{"dropping-particle":"","family":"Bhatnagar","given":"Bhavana","non-dropping-particle":"","parse-names":false,"suffix":""},{"dropping-particle":"","family":"Boyer","given":"Michael W","non-dropping-particle":"","parse-names":false,"suffix":""},{"dropping-particle":"","family":"Bryan","given":"Teresa","non-dropping-particle":"","parse-names":false,"suffix":""},{"dropping-particle":"","family":"Burke","given":"Patrick W","non-dropping-particle":"","parse-names":false,"suffix":""},{"dropping-particle":"","family":"Cassaday","given":"Ryan D","non-dropping-particle":"","parse-names":false,"suffix":""},{"dropping-particle":"","family":"Coutre","given":"Steven E","non-dropping-particle":"","parse-names":false,"suffix":""},{"dropping-particle":"","family":"Coccia","given":"Peter F","non-dropping-particle":"","parse-names":false,"suffix":""},{"dropping-particle":"","family":"DeAngelo","given":"Daniel J","non-dropping-particle":"","parse-names":false,"suffix":""},{"dropping-particle":"","family":"Fathi","given":"Amir","non-dropping-particle":"","parse-names":false,"suffix":""},{"dropping-particle":"","family":"Jain","given":"Nitin","non-dropping-particle":"","parse-names":false,"suffix":""},{"dropping-particle":"","family":"Kirby","given":"Suzanne","non-dropping-particle":"","parse-names":false,"suffix":""},{"dropping-particle":"","family":"Litzow","given":"Mark","non-dropping-particle":"","parse-names":false,"suffix":""},{"dropping-particle":"","family":"Liu","given":"Arthur","non-dropping-particle":"","parse-names":false,"suffix":""},{"dropping-particle":"","family":"Logan","given":"Aaron","non-dropping-particle":"","parse-names":false,"suffix":""},{"dropping-particle":"","family":"Massaro","given":"Stephanie","non-dropping-particle":"","parse-names":false,"suffix":""},{"dropping-particle":"","family":"Mattison","given":"Ryan J","non-dropping-particle":"","parse-names":false,"suffix":""},{"dropping-particle":"","family":"Oluwole","given":"Olalekan","non-dropping-particle":"","parse-names":false,"suffix":""},{"dropping-particle":"","family":"Papadantonakis","given":"Nikolaos","non-dropping-particle":"","parse-names":false,"suffix":""},{"dropping-particle":"","family":"Park","given":"Jae","non-dropping-particle":"","parse-names":false,"suffix":""},{"dropping-particle":"","family":"Rubnitz","given":"Jeffrey E","non-dropping-particle":"","parse-names":false,"suffix":""},{"dropping-particle":"","family":"Uy","given":"Geoffrey L","non-dropping-particle":"","parse-names":false,"suffix":""},{"dropping-particle":"","family":"Wang","given":"Eunice S","non-dropping-particle":"","parse-names":false,"suffix":""},{"dropping-particle":"","family":"Wieduwilt","given":"Matthew","non-dropping-particle":"","parse-names":false,"suffix":""},{"dropping-particle":"","family":"Gregory","given":"Kristina","non-dropping-particle":"","parse-names":false,"suffix":""}],"id":"ITEM-4","issued":{"date-parts":[["2019"]]},"number-of-pages":"115","title":"NCCN Clinical Practice Guidelines in Oncology. Acute Lymphoblastic Leukemia. Version 2.2019","type":"report"},"uris":["http://www.mendeley.com/documents/?uuid=ef92918b-8a57-37b1-bea5-284dfdf15541"]},{"id":"ITEM-5","itemData":{"author":[{"dropping-particle":"","family":"Абузарова","given":"Г.Р.","non-dropping-particle":"","parse-names":false,"suffix":""},{"dropping-particle":"","family":"Невзорова","given":"Д.В.","non-dropping-particle":"","parse-names":false,"suffix":""},{"dropping-particle":"","family":"Кумирова","given":"Э.В.","non-dropping-particle":"","parse-names":false,"suffix":""},{"dropping-particle":"","family":"Савва","given":"Н.Н.","non-dropping-particle":"","parse-names":false,"suffix":""},{"dropping-particle":"","family":"Арутюнов","given":"Г.П.","non-dropping-particle":"","parse-names":false,"suffix":""},{"dropping-particle":"","family":"Багненко","given":"С.Ф.","non-dropping-particle":"","parse-names":false,"suffix":""},{"dropping-particle":"","family":"Данилов","given":"А.Б.","non-dropping-particle":"","parse-names":false,"suffix":""},{"dropping-particle":"","family":"Данилов","given":"А.Б.","non-dropping-particle":"","parse-names":false,"suffix":""},{"dropping-particle":"","family":"Куняева","given":"Т.А.","non-dropping-particle":"","parse-names":false,"suffix":""},{"dropping-particle":"","family":"Николаева","given":"Н.М.","non-dropping-particle":"","parse-names":false,"suffix":""},{"dropping-particle":"","family":"Молчанов","given":"И.В.","non-dropping-particle":"","parse-names":false,"suffix":""},{"dropping-particle":"","family":"Падалкин","given":"В.П.","non-dropping-particle":"","parse-names":false,"suffix":""},{"dropping-particle":"","family":"Поляков","given":"В.Г.","non-dropping-particle":"","parse-names":false,"suffix":""},{"dropping-particle":"","family":"Пчелинцев","given":"М.В.","non-dropping-particle":"","parse-names":false,"suffix":""},{"dropping-particle":"","family":"Степаненко","given":"С.М.","non-dropping-particle":"","parse-names":false,"suffix":""}],"id":"ITEM-5","issued":{"date-parts":[["2016"]]},"number-of-pages":"94","publisher":"ФГБОУ ВО РНИМУ им. Н.И. Пирогова Минздрава России.","title":"Обезболивание взрослых и детей при оказании медицинской помощи. Методические рекомендации.","type":"book"},"uris":["http://www.mendeley.com/documents/?uuid=b9ffed91-f776-4e2f-87c8-ff7901014151"]}],"mendeley":{"formattedCitation":"[1,2,4,5,109]","plainTextFormattedCitation":"[1,2,4,5,109]","previouslyFormattedCitation":"[1,2,4,5,109]"},"properties":{"noteIndex":0},"schema":"https://github.com/citation-style-language/schema/raw/master/csl-citation.json"}</w:instrText>
      </w:r>
      <w:r w:rsidR="0056446F">
        <w:fldChar w:fldCharType="separate"/>
      </w:r>
      <w:r w:rsidR="00A66456" w:rsidRPr="00A66456">
        <w:rPr>
          <w:noProof/>
        </w:rPr>
        <w:t>[1,2,4,5,109]</w:t>
      </w:r>
      <w:r w:rsidR="0056446F">
        <w:fldChar w:fldCharType="end"/>
      </w:r>
      <w:r w:rsidR="0056446F">
        <w:rPr>
          <w:color w:val="000000"/>
          <w:shd w:val="clear" w:color="auto" w:fill="FFFFFF"/>
        </w:rPr>
        <w:t>.</w:t>
      </w:r>
    </w:p>
    <w:p w14:paraId="6F0D4019" w14:textId="77777777" w:rsidR="001943FA" w:rsidRPr="005A24D2" w:rsidRDefault="007D4AC5" w:rsidP="005A24D2">
      <w:pPr>
        <w:tabs>
          <w:tab w:val="left" w:pos="709"/>
        </w:tabs>
        <w:ind w:firstLine="709"/>
        <w:rPr>
          <w:b/>
        </w:rPr>
      </w:pPr>
      <w:r>
        <w:rPr>
          <w:b/>
        </w:rPr>
        <w:t xml:space="preserve">Уровень убедительности рекомендаций </w:t>
      </w:r>
      <w:r w:rsidR="005A24D2">
        <w:rPr>
          <w:b/>
        </w:rPr>
        <w:t xml:space="preserve">– </w:t>
      </w:r>
      <w:r w:rsidR="001943FA">
        <w:rPr>
          <w:b/>
          <w:lang w:val="en-US"/>
        </w:rPr>
        <w:t>C</w:t>
      </w:r>
      <w:r>
        <w:rPr>
          <w:b/>
        </w:rPr>
        <w:t xml:space="preserve"> (уровень </w:t>
      </w:r>
      <w:r>
        <w:rPr>
          <w:b/>
          <w:spacing w:val="-1"/>
        </w:rPr>
        <w:t xml:space="preserve">достоверности доказательств </w:t>
      </w:r>
      <w:r>
        <w:rPr>
          <w:b/>
        </w:rPr>
        <w:t xml:space="preserve">– </w:t>
      </w:r>
      <w:r w:rsidRPr="003275EF">
        <w:rPr>
          <w:b/>
        </w:rPr>
        <w:t>5</w:t>
      </w:r>
      <w:r w:rsidR="00C24361">
        <w:rPr>
          <w:b/>
        </w:rPr>
        <w:t>)</w:t>
      </w:r>
      <w:r w:rsidR="005A24D2">
        <w:rPr>
          <w:b/>
        </w:rPr>
        <w:t>.</w:t>
      </w:r>
    </w:p>
    <w:p w14:paraId="6A60F551" w14:textId="77777777" w:rsidR="009629F5" w:rsidRDefault="00DD2199" w:rsidP="00BE17C7">
      <w:pPr>
        <w:ind w:firstLine="709"/>
        <w:rPr>
          <w:i/>
          <w:iCs/>
          <w:szCs w:val="24"/>
        </w:rPr>
      </w:pPr>
      <w:r w:rsidRPr="001943FA">
        <w:rPr>
          <w:i/>
          <w:iCs/>
          <w:szCs w:val="24"/>
        </w:rPr>
        <w:t>Следует учесть, что у пациента могут быть нестандартные проявления болезни, а также сочетание конкретной болезни с другими патологиями, что может диктовать лечащему врачу изменения в алгоритме выбора оптимальной тактики диагностики и лечения.</w:t>
      </w:r>
    </w:p>
    <w:p w14:paraId="24B0168B" w14:textId="1B5014EF" w:rsidR="00BE3103" w:rsidRPr="002D1AAE" w:rsidRDefault="00BE17C7" w:rsidP="000A5734">
      <w:pPr>
        <w:pStyle w:val="11"/>
      </w:pPr>
      <w:bookmarkStart w:id="159" w:name="_Toc13484830"/>
      <w:bookmarkStart w:id="160" w:name="_Toc26796720"/>
      <w:bookmarkStart w:id="161" w:name="_Toc64467936"/>
      <w:bookmarkStart w:id="162" w:name="_Toc64565649"/>
      <w:r w:rsidRPr="002D1AAE">
        <w:lastRenderedPageBreak/>
        <w:t>4</w:t>
      </w:r>
      <w:r w:rsidR="00BE3103" w:rsidRPr="002D1AAE">
        <w:t xml:space="preserve">. </w:t>
      </w:r>
      <w:bookmarkEnd w:id="159"/>
      <w:bookmarkEnd w:id="160"/>
      <w:bookmarkEnd w:id="161"/>
      <w:r w:rsidR="001626BD" w:rsidRPr="001626BD">
        <w:t>Медицинская реабилитация и санаторно-курортное лечение, медицинские показания и противопоказания к применению методов медицинской реабилитации, в том числе основанных на использовании природных лечебных факторов</w:t>
      </w:r>
      <w:bookmarkEnd w:id="162"/>
    </w:p>
    <w:p w14:paraId="125D9E7A" w14:textId="77777777" w:rsidR="00254823" w:rsidRPr="008B2465" w:rsidRDefault="00254823" w:rsidP="00C24361">
      <w:pPr>
        <w:pStyle w:val="18"/>
        <w:ind w:firstLine="709"/>
        <w:contextualSpacing/>
        <w:jc w:val="both"/>
        <w:rPr>
          <w:i/>
        </w:rPr>
      </w:pPr>
      <w:r w:rsidRPr="008B2465">
        <w:rPr>
          <w:i/>
        </w:rPr>
        <w:t>Специал</w:t>
      </w:r>
      <w:r>
        <w:rPr>
          <w:i/>
        </w:rPr>
        <w:t>ьных методов реабилитации при ОЛ</w:t>
      </w:r>
      <w:r w:rsidRPr="008B2465">
        <w:rPr>
          <w:i/>
        </w:rPr>
        <w:t>Л не существует.</w:t>
      </w:r>
    </w:p>
    <w:p w14:paraId="2C9568D7" w14:textId="631D12AF" w:rsidR="00254823" w:rsidRPr="008B2465" w:rsidRDefault="00254823" w:rsidP="00956D03">
      <w:pPr>
        <w:pStyle w:val="18"/>
        <w:numPr>
          <w:ilvl w:val="0"/>
          <w:numId w:val="6"/>
        </w:numPr>
        <w:contextualSpacing/>
        <w:jc w:val="both"/>
      </w:pPr>
      <w:r w:rsidRPr="008B2465">
        <w:rPr>
          <w:b/>
        </w:rPr>
        <w:t>Рекомендуется</w:t>
      </w:r>
      <w:r w:rsidRPr="008B2465">
        <w:t xml:space="preserve"> пациентам проведение реабилитации при возникновении осложнений </w:t>
      </w:r>
      <w:r>
        <w:t>после завершения программы терапии ОЛЛ</w:t>
      </w:r>
      <w:r w:rsidRPr="008B2465">
        <w:t xml:space="preserve"> в рамках соответствующих нозологий</w:t>
      </w:r>
      <w:r w:rsidR="005A24D2">
        <w:t xml:space="preserve"> </w:t>
      </w:r>
      <w:r w:rsidR="0056446F">
        <w:fldChar w:fldCharType="begin" w:fldLock="1"/>
      </w:r>
      <w:r w:rsidR="002466C9">
        <w:instrText>ADDIN CSL_CITATION {"citationItems":[{"id":"ITEM-1","itemData":{"author":[{"dropping-particle":"","family":"Geludkova","given":"O.","non-dropping-particle":"","parse-names":false,"suffix":""},{"dropping-particle":"","family":"Borodina","given":"I.","non-dropping-particle":"","parse-names":false,"suffix":""},{"dropping-particle":"","family":"Rusanova","given":"M.","non-dropping-particle":"","parse-names":false,"suffix":""},{"dropping-particle":"","family":"Ishkova","given":"T.","non-dropping-particle":"","parse-names":false,"suffix":""},{"dropping-particle":"","family":"Teslenko","given":"B.","non-dropping-particle":"","parse-names":false,"suffix":""}],"container-title":"Medical and Pediatric Oncology","id":"ITEM-1","issue":"3","issued":{"date-parts":[["2001"]]},"page":"Abstract p168","title":"Quality of life in children with acute lymphoblastic leukemia (ALL) in remission","type":"article-journal","volume":"37"},"uris":["http://www.mendeley.com/documents/?uuid=b60b573e-8e7b-4787-9e8c-42a0f56236e7"]},{"id":"ITEM-2","itemData":{"DOI":"10.1097/PHM.0b013e31820be055","ISSN":"1537-7385","PMID":"21765268","abstract":"Patients facing hematologic malignancy and its treatment are highly vulnerable to profound physiologic, functional, and cognitive disability and often experience a significant increase in psychosocial stress. For optimal outcomes, this incredibly vulnerable oncology population will need earlier and more comprehensive involvement of rehabilitation services, including exercise strategies.Exercise interventions for those with cancer have not been well studied, particularly in those with hematologic malignancies. Of the research available to date, significant methodologic limitations exist. There is a strong need for further investigation into the effects of and guidelines for exercise interventions in this population of patients, particularly among those undergoing or having undergone hematopoietic stem cell transplantation, as this has historically been a difficult population to study because of the high morbidity and potential for medical complications. From the limited data available to date, exercise seems to be generally safe, feasible, efficacious, and capable of providing functional improvements for those with hematologic cancers.","author":[{"dropping-particle":"","family":"Paul","given":"Kelly L","non-dropping-particle":"","parse-names":false,"suffix":""}],"container-title":"American journal of physical medicine &amp; rehabilitation","id":"ITEM-2","issue":"5 Suppl 1","issued":{"date-parts":[["2011","5"]]},"page":"S88-94","title":"Rehabilitation and exercise considerations in hematologic malignancies.","type":"article-journal","volume":"90"},"uris":["http://www.mendeley.com/documents/?uuid=2b502bce-bc0a-35cf-9c9a-aab53cb19bfd"]}],"mendeley":{"formattedCitation":"[110,111]","plainTextFormattedCitation":"[110,111]","previouslyFormattedCitation":"[110,111]"},"properties":{"noteIndex":0},"schema":"https://github.com/citation-style-language/schema/raw/master/csl-citation.json"}</w:instrText>
      </w:r>
      <w:r w:rsidR="0056446F">
        <w:fldChar w:fldCharType="separate"/>
      </w:r>
      <w:r w:rsidR="00A66456" w:rsidRPr="00A66456">
        <w:rPr>
          <w:noProof/>
        </w:rPr>
        <w:t>[110,111]</w:t>
      </w:r>
      <w:r w:rsidR="0056446F">
        <w:fldChar w:fldCharType="end"/>
      </w:r>
      <w:r w:rsidR="0056446F" w:rsidRPr="008B2465">
        <w:t>.</w:t>
      </w:r>
    </w:p>
    <w:p w14:paraId="7AE3D49F" w14:textId="77777777" w:rsidR="00254823" w:rsidRPr="008B2465" w:rsidRDefault="00254823" w:rsidP="00C24361">
      <w:pPr>
        <w:pStyle w:val="18"/>
        <w:ind w:firstLine="709"/>
        <w:contextualSpacing/>
        <w:jc w:val="both"/>
      </w:pPr>
      <w:r w:rsidRPr="008B2465">
        <w:rPr>
          <w:rStyle w:val="aff5"/>
        </w:rPr>
        <w:t xml:space="preserve">Уровень убедительности рекомендаций </w:t>
      </w:r>
      <w:r w:rsidR="005A24D2">
        <w:rPr>
          <w:rStyle w:val="aff5"/>
        </w:rPr>
        <w:t xml:space="preserve">– </w:t>
      </w:r>
      <w:r>
        <w:rPr>
          <w:rStyle w:val="aff5"/>
          <w:lang w:val="en-US"/>
        </w:rPr>
        <w:t>C</w:t>
      </w:r>
      <w:r w:rsidRPr="008B2465">
        <w:rPr>
          <w:rStyle w:val="aff5"/>
        </w:rPr>
        <w:t xml:space="preserve"> (уровень</w:t>
      </w:r>
      <w:r>
        <w:rPr>
          <w:rStyle w:val="aff5"/>
        </w:rPr>
        <w:t xml:space="preserve"> достоверности доказательств – </w:t>
      </w:r>
      <w:r w:rsidR="001943FA" w:rsidRPr="001943FA">
        <w:rPr>
          <w:rStyle w:val="aff5"/>
        </w:rPr>
        <w:t>5</w:t>
      </w:r>
      <w:r w:rsidR="00C24361">
        <w:rPr>
          <w:rStyle w:val="aff5"/>
        </w:rPr>
        <w:t>)</w:t>
      </w:r>
      <w:r w:rsidR="005A24D2">
        <w:rPr>
          <w:rStyle w:val="aff5"/>
        </w:rPr>
        <w:t>.</w:t>
      </w:r>
    </w:p>
    <w:p w14:paraId="1160D3C5" w14:textId="77777777" w:rsidR="00254823" w:rsidRDefault="00254823" w:rsidP="00C24361">
      <w:pPr>
        <w:pStyle w:val="18"/>
        <w:ind w:firstLine="709"/>
        <w:contextualSpacing/>
        <w:jc w:val="both"/>
        <w:rPr>
          <w:i/>
        </w:rPr>
      </w:pPr>
      <w:r w:rsidRPr="008B2465">
        <w:rPr>
          <w:b/>
        </w:rPr>
        <w:t>Комментарии:</w:t>
      </w:r>
      <w:r w:rsidRPr="008B2465">
        <w:t xml:space="preserve"> </w:t>
      </w:r>
      <w:r w:rsidR="001943FA" w:rsidRPr="008B2465">
        <w:rPr>
          <w:i/>
        </w:rPr>
        <w:t xml:space="preserve">после </w:t>
      </w:r>
      <w:r w:rsidRPr="008B2465">
        <w:rPr>
          <w:i/>
        </w:rPr>
        <w:t>окончания лечения рекомендуется вести здоровый образ жизни, исключить инсоляцию и физио</w:t>
      </w:r>
      <w:r>
        <w:rPr>
          <w:i/>
        </w:rPr>
        <w:t xml:space="preserve">терапевтические </w:t>
      </w:r>
      <w:r w:rsidRPr="008B2465">
        <w:rPr>
          <w:i/>
        </w:rPr>
        <w:t>процедуры.</w:t>
      </w:r>
    </w:p>
    <w:p w14:paraId="4AA8F7B8" w14:textId="76B1406E" w:rsidR="007330FB" w:rsidRPr="007330FB" w:rsidRDefault="00BE17C7" w:rsidP="000A5734">
      <w:pPr>
        <w:pStyle w:val="11"/>
      </w:pPr>
      <w:bookmarkStart w:id="163" w:name="_Toc64467937"/>
      <w:bookmarkStart w:id="164" w:name="_Toc13484831"/>
      <w:bookmarkStart w:id="165" w:name="_Toc26796721"/>
      <w:bookmarkStart w:id="166" w:name="_Toc64565650"/>
      <w:r>
        <w:lastRenderedPageBreak/>
        <w:t>5</w:t>
      </w:r>
      <w:r w:rsidR="00BE3103">
        <w:t xml:space="preserve">. </w:t>
      </w:r>
      <w:bookmarkEnd w:id="163"/>
      <w:bookmarkEnd w:id="164"/>
      <w:bookmarkEnd w:id="165"/>
      <w:r w:rsidR="00291532" w:rsidRPr="00291532">
        <w:t>Профилактика и диспансерное наблюдение, медицинские показания и противопоказания к применению методов профилактики</w:t>
      </w:r>
      <w:bookmarkEnd w:id="166"/>
    </w:p>
    <w:p w14:paraId="4F342ECD" w14:textId="77777777" w:rsidR="00254823" w:rsidRPr="004B15E8" w:rsidRDefault="00254823" w:rsidP="00C24361">
      <w:pPr>
        <w:ind w:firstLine="709"/>
        <w:contextualSpacing/>
        <w:rPr>
          <w:i/>
          <w:iCs/>
        </w:rPr>
      </w:pPr>
      <w:r w:rsidRPr="004B15E8">
        <w:rPr>
          <w:i/>
          <w:iCs/>
        </w:rPr>
        <w:t>Профилактики возникновения ОЛЛ не существует</w:t>
      </w:r>
      <w:r w:rsidR="00C24361" w:rsidRPr="004B15E8">
        <w:rPr>
          <w:i/>
          <w:iCs/>
        </w:rPr>
        <w:t>.</w:t>
      </w:r>
    </w:p>
    <w:p w14:paraId="1FF449F6" w14:textId="77777777" w:rsidR="00254823" w:rsidRPr="008B2465" w:rsidRDefault="00254823" w:rsidP="00956D03">
      <w:pPr>
        <w:numPr>
          <w:ilvl w:val="0"/>
          <w:numId w:val="6"/>
        </w:numPr>
        <w:contextualSpacing/>
      </w:pPr>
      <w:r w:rsidRPr="008B2465">
        <w:rPr>
          <w:rStyle w:val="aff5"/>
        </w:rPr>
        <w:t>Рекомендуется</w:t>
      </w:r>
      <w:r w:rsidRPr="008B2465">
        <w:t xml:space="preserve"> посл</w:t>
      </w:r>
      <w:r>
        <w:t>е окончания программы терапии ОЛ</w:t>
      </w:r>
      <w:r w:rsidRPr="008B2465">
        <w:t xml:space="preserve">Л выполнять исследование </w:t>
      </w:r>
      <w:r w:rsidR="008F34D9">
        <w:t>ОАК</w:t>
      </w:r>
      <w:r w:rsidRPr="008B2465">
        <w:t xml:space="preserve"> каждый месяц в течение</w:t>
      </w:r>
      <w:r w:rsidR="005A24D2">
        <w:t xml:space="preserve"> первых 2 лет и затем 1 раз в 2–</w:t>
      </w:r>
      <w:r w:rsidRPr="008B2465">
        <w:t>3 месяца до 5 лет от начала лечения</w:t>
      </w:r>
      <w:r>
        <w:t xml:space="preserve"> с целью раннего выявления рецидива заболевания</w:t>
      </w:r>
      <w:r w:rsidR="005A24D2">
        <w:t xml:space="preserve"> </w:t>
      </w:r>
      <w:r w:rsidR="0056446F">
        <w:fldChar w:fldCharType="begin" w:fldLock="1"/>
      </w:r>
      <w:r w:rsidR="0056446F">
        <w:instrText>ADDIN CSL_CITATION {"citationItems":[{"id":"ITEM-1","itemData":{"id":"ITEM-1","issued":{"date-parts":[["2012"]]},"number-of-pages":"1056","title":"Программное лечение заболеваний системы крови: Сборник алгоритмов диагностики и протоколов лечения заболеваний системы крови. Под ред. В.Г. Савченко","type":"book"},"uris":["http://www.mendeley.com/documents/?uuid=36484a90-27ae-40a9-a194-b0461fb47d9d"]},{"id":"ITEM-2","itemData":{"author":[{"dropping-particle":"","family":"Савченко","given":"Валерий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доп.","id":"ITEM-2","issued":{"date-parts":[["2007"]]},"page":"409-502","title":"Острые лейкозы","type":"chapter"},"uris":["http://www.mendeley.com/documents/?uuid=08f85f58-ddaa-48eb-b937-65d15d14b213"]},{"id":"ITEM-3","itemData":{"author":[{"dropping-particle":"","family":"Gökbuget","given":"N.","non-dropping-particle":"","parse-names":false,"suffix":""},{"dropping-particle":"","family":"Bassan","given":"R.","non-dropping-particle":"","parse-names":false,"suffix":""},{"dropping-particle":"","family":"Dombret","given":"H.","non-dropping-particle":"","parse-names":false,"suffix":""},{"dropping-particle":"","family":"Doubek","given":"M.","non-dropping-particle":"","parse-names":false,"suffix":""},{"dropping-particle":"","family":"Fielding","given":"A.K.","non-dropping-particle":"","parse-names":false,"suffix":""},{"dropping-particle":"","family":"Foà","given":"R.","non-dropping-particle":"","parse-names":false,"suffix":""},{"dropping-particle":"","family":"Giebel","given":"S.","non-dropping-particle":"","parse-names":false,"suffix":""},{"dropping-particle":"","family":"Hoelzer","given":"D.","non-dropping-particle":"","parse-names":false,"suffix":""},{"dropping-particle":"","family":"Martinelli","given":"G.","non-dropping-particle":"","parse-names":false,"suffix":""},{"dropping-particle":"","family":"Meloni","given":"G.","non-dropping-particle":"","parse-names":false,"suffix":""},{"dropping-particle":"","family":"Delia Moicean","given":"A.","non-dropping-particle":"","parse-names":false,"suffix":""},{"dropping-particle":"","family":"Ottmann","given":"O.","non-dropping-particle":"","parse-names":false,"suffix":""},{"dropping-particle":"","family":"Piccaluga","given":"P.P.","non-dropping-particle":"","parse-names":false,"suffix":""},{"dropping-particle":"","family":"Ribera","given":"J.M.","non-dropping-particle":"","parse-names":false,"suffix":""},{"dropping-particle":"","family":"Rousselot","given":"P.","non-dropping-particle":"","parse-names":false,"suffix":""},{"dropping-particle":"","family":"Walewski","given":"J.","non-dropping-particle":"","parse-names":false,"suffix":""}],"container-title":"UNI-MED Verlag AG","id":"ITEM-3","issued":{"date-parts":[["2011"]]},"number-of-pages":"204","title":"Recommendations of the European Working Group for Adult ALL (EWALL)","type":"book"},"uris":["http://www.mendeley.com/documents/?uuid=aba58166-cd2b-4f70-bb6a-5fdd9e1b42de"]},{"id":"ITEM-4","itemData":{"author":[{"dropping-particle":"","family":"Brown","given":"Patrick A","non-dropping-particle":"","parse-names":false,"suffix":""},{"dropping-particle":"","family":"Shah","given":"Bijal","non-dropping-particle":"","parse-names":false,"suffix":""},{"dropping-particle":"","family":"Advani","given":"Anjali","non-dropping-particle":"","parse-names":false,"suffix":""},{"dropping-particle":"","family":"Aoun","given":"Patricia","non-dropping-particle":"","parse-names":false,"suffix":""},{"dropping-particle":"","family":"Bhatnagar","given":"Bhavana","non-dropping-particle":"","parse-names":false,"suffix":""},{"dropping-particle":"","family":"Boyer","given":"Michael W","non-dropping-particle":"","parse-names":false,"suffix":""},{"dropping-particle":"","family":"Bryan","given":"Teresa","non-dropping-particle":"","parse-names":false,"suffix":""},{"dropping-particle":"","family":"Burke","given":"Patrick W","non-dropping-particle":"","parse-names":false,"suffix":""},{"dropping-particle":"","family":"Cassaday","given":"Ryan D","non-dropping-particle":"","parse-names":false,"suffix":""},{"dropping-particle":"","family":"Coutre","given":"Steven E","non-dropping-particle":"","parse-names":false,"suffix":""},{"dropping-particle":"","family":"Coccia","given":"Peter F","non-dropping-particle":"","parse-names":false,"suffix":""},{"dropping-particle":"","family":"DeAngelo","given":"Daniel J","non-dropping-particle":"","parse-names":false,"suffix":""},{"dropping-particle":"","family":"Fathi","given":"Amir","non-dropping-particle":"","parse-names":false,"suffix":""},{"dropping-particle":"","family":"Jain","given":"Nitin","non-dropping-particle":"","parse-names":false,"suffix":""},{"dropping-particle":"","family":"Kirby","given":"Suzanne","non-dropping-particle":"","parse-names":false,"suffix":""},{"dropping-particle":"","family":"Litzow","given":"Mark","non-dropping-particle":"","parse-names":false,"suffix":""},{"dropping-particle":"","family":"Liu","given":"Arthur","non-dropping-particle":"","parse-names":false,"suffix":""},{"dropping-particle":"","family":"Logan","given":"Aaron","non-dropping-particle":"","parse-names":false,"suffix":""},{"dropping-particle":"","family":"Massaro","given":"Stephanie","non-dropping-particle":"","parse-names":false,"suffix":""},{"dropping-particle":"","family":"Mattison","given":"Ryan J","non-dropping-particle":"","parse-names":false,"suffix":""},{"dropping-particle":"","family":"Oluwole","given":"Olalekan","non-dropping-particle":"","parse-names":false,"suffix":""},{"dropping-particle":"","family":"Papadantonakis","given":"Nikolaos","non-dropping-particle":"","parse-names":false,"suffix":""},{"dropping-particle":"","family":"Park","given":"Jae","non-dropping-particle":"","parse-names":false,"suffix":""},{"dropping-particle":"","family":"Rubnitz","given":"Jeffrey E","non-dropping-particle":"","parse-names":false,"suffix":""},{"dropping-particle":"","family":"Uy","given":"Geoffrey L","non-dropping-particle":"","parse-names":false,"suffix":""},{"dropping-particle":"","family":"Wang","given":"Eunice S","non-dropping-particle":"","parse-names":false,"suffix":""},{"dropping-particle":"","family":"Wieduwilt","given":"Matthew","non-dropping-particle":"","parse-names":false,"suffix":""},{"dropping-particle":"","family":"Gregory","given":"Kristina","non-dropping-particle":"","parse-names":false,"suffix":""}],"id":"ITEM-4","issued":{"date-parts":[["2019"]]},"number-of-pages":"115","title":"NCCN Clinical Practice Guidelines in Oncology. Acute Lymphoblastic Leukemia. Version 2.2019","type":"report"},"uris":["http://www.mendeley.com/documents/?uuid=ef92918b-8a57-37b1-bea5-284dfdf15541"]}],"mendeley":{"formattedCitation":"[1,2,4,5]","plainTextFormattedCitation":"[1,2,4,5]","previouslyFormattedCitation":"[1,2,4,5]"},"properties":{"noteIndex":0},"schema":"https://github.com/citation-style-language/schema/raw/master/csl-citation.json"}</w:instrText>
      </w:r>
      <w:r w:rsidR="0056446F">
        <w:fldChar w:fldCharType="separate"/>
      </w:r>
      <w:r w:rsidR="0056446F" w:rsidRPr="00231BC2">
        <w:rPr>
          <w:noProof/>
        </w:rPr>
        <w:t>[1,2,4,5]</w:t>
      </w:r>
      <w:r w:rsidR="0056446F">
        <w:fldChar w:fldCharType="end"/>
      </w:r>
      <w:r w:rsidR="0056446F">
        <w:t>.</w:t>
      </w:r>
    </w:p>
    <w:p w14:paraId="79C633E3" w14:textId="77777777" w:rsidR="00254823" w:rsidRPr="008B2465" w:rsidRDefault="00254823" w:rsidP="00C24361">
      <w:pPr>
        <w:ind w:firstLine="709"/>
        <w:contextualSpacing/>
      </w:pPr>
      <w:r w:rsidRPr="008B2465">
        <w:rPr>
          <w:rStyle w:val="aff5"/>
        </w:rPr>
        <w:t xml:space="preserve">Уровень убедительности рекомендаций </w:t>
      </w:r>
      <w:r w:rsidR="005A24D2">
        <w:rPr>
          <w:rStyle w:val="aff5"/>
        </w:rPr>
        <w:t xml:space="preserve">– </w:t>
      </w:r>
      <w:r w:rsidR="001943FA">
        <w:rPr>
          <w:rStyle w:val="aff5"/>
          <w:lang w:val="en-US"/>
        </w:rPr>
        <w:t>C</w:t>
      </w:r>
      <w:r w:rsidRPr="008B2465">
        <w:rPr>
          <w:rStyle w:val="aff5"/>
        </w:rPr>
        <w:t xml:space="preserve"> (уровень д</w:t>
      </w:r>
      <w:r w:rsidR="00C24361">
        <w:rPr>
          <w:rStyle w:val="aff5"/>
        </w:rPr>
        <w:t>остоверности доказательств – 5)</w:t>
      </w:r>
      <w:r w:rsidR="005A24D2">
        <w:rPr>
          <w:rStyle w:val="aff5"/>
        </w:rPr>
        <w:t>.</w:t>
      </w:r>
    </w:p>
    <w:p w14:paraId="43C17D48" w14:textId="77777777" w:rsidR="005A24D2" w:rsidRDefault="00254823" w:rsidP="00956D03">
      <w:pPr>
        <w:numPr>
          <w:ilvl w:val="0"/>
          <w:numId w:val="6"/>
        </w:numPr>
        <w:contextualSpacing/>
      </w:pPr>
      <w:r w:rsidRPr="008B2465">
        <w:rPr>
          <w:rStyle w:val="aff5"/>
        </w:rPr>
        <w:t>Рекомендуется</w:t>
      </w:r>
      <w:r w:rsidRPr="008B2465">
        <w:t xml:space="preserve"> посл</w:t>
      </w:r>
      <w:r>
        <w:t>е окончания программы терапии ОЛ</w:t>
      </w:r>
      <w:r w:rsidRPr="008B2465">
        <w:t xml:space="preserve">Л в течение первого года выполнять пункции </w:t>
      </w:r>
      <w:r w:rsidR="002F7A08">
        <w:t>КМ</w:t>
      </w:r>
      <w:r w:rsidR="005A24D2">
        <w:t xml:space="preserve"> 1 раз в 3 мес</w:t>
      </w:r>
      <w:r>
        <w:t xml:space="preserve">, далее </w:t>
      </w:r>
      <w:r w:rsidR="005A24D2">
        <w:t>– 1 раз в 6 мес</w:t>
      </w:r>
      <w:r>
        <w:t xml:space="preserve"> в течение 2-го года, далее </w:t>
      </w:r>
      <w:r w:rsidR="005A24D2">
        <w:t xml:space="preserve">– </w:t>
      </w:r>
      <w:r>
        <w:t>1 раз в год до 5 лет наблюдения с целью динамического наблюдения</w:t>
      </w:r>
      <w:r w:rsidR="001943FA" w:rsidRPr="001943FA">
        <w:t xml:space="preserve"> </w:t>
      </w:r>
      <w:r w:rsidR="0056446F">
        <w:fldChar w:fldCharType="begin" w:fldLock="1"/>
      </w:r>
      <w:r w:rsidR="0056446F">
        <w:instrText>ADDIN CSL_CITATION {"citationItems":[{"id":"ITEM-1","itemData":{"id":"ITEM-1","issued":{"date-parts":[["2012"]]},"number-of-pages":"1056","title":"Программное лечение заболеваний системы крови: Сборник алгоритмов диагностики и протоколов лечения заболеваний системы крови. Под ред. В.Г. Савченко","type":"book"},"uris":["http://www.mendeley.com/documents/?uuid=36484a90-27ae-40a9-a194-b0461fb47d9d"]},{"id":"ITEM-2","itemData":{"author":[{"dropping-particle":"","family":"Савченко","given":"Валерий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доп.","id":"ITEM-2","issued":{"date-parts":[["2007"]]},"page":"409-502","title":"Острые лейкозы","type":"chapter"},"uris":["http://www.mendeley.com/documents/?uuid=08f85f58-ddaa-48eb-b937-65d15d14b213"]},{"id":"ITEM-3","itemData":{"author":[{"dropping-particle":"","family":"Gökbuget","given":"N.","non-dropping-particle":"","parse-names":false,"suffix":""},{"dropping-particle":"","family":"Bassan","given":"R.","non-dropping-particle":"","parse-names":false,"suffix":""},{"dropping-particle":"","family":"Dombret","given":"H.","non-dropping-particle":"","parse-names":false,"suffix":""},{"dropping-particle":"","family":"Doubek","given":"M.","non-dropping-particle":"","parse-names":false,"suffix":""},{"dropping-particle":"","family":"Fielding","given":"A.K.","non-dropping-particle":"","parse-names":false,"suffix":""},{"dropping-particle":"","family":"Foà","given":"R.","non-dropping-particle":"","parse-names":false,"suffix":""},{"dropping-particle":"","family":"Giebel","given":"S.","non-dropping-particle":"","parse-names":false,"suffix":""},{"dropping-particle":"","family":"Hoelzer","given":"D.","non-dropping-particle":"","parse-names":false,"suffix":""},{"dropping-particle":"","family":"Martinelli","given":"G.","non-dropping-particle":"","parse-names":false,"suffix":""},{"dropping-particle":"","family":"Meloni","given":"G.","non-dropping-particle":"","parse-names":false,"suffix":""},{"dropping-particle":"","family":"Delia Moicean","given":"A.","non-dropping-particle":"","parse-names":false,"suffix":""},{"dropping-particle":"","family":"Ottmann","given":"O.","non-dropping-particle":"","parse-names":false,"suffix":""},{"dropping-particle":"","family":"Piccaluga","given":"P.P.","non-dropping-particle":"","parse-names":false,"suffix":""},{"dropping-particle":"","family":"Ribera","given":"J.M.","non-dropping-particle":"","parse-names":false,"suffix":""},{"dropping-particle":"","family":"Rousselot","given":"P.","non-dropping-particle":"","parse-names":false,"suffix":""},{"dropping-particle":"","family":"Walewski","given":"J.","non-dropping-particle":"","parse-names":false,"suffix":""}],"container-title":"UNI-MED Verlag AG","id":"ITEM-3","issued":{"date-parts":[["2011"]]},"number-of-pages":"204","title":"Recommendations of the European Working Group for Adult ALL (EWALL)","type":"book"},"uris":["http://www.mendeley.com/documents/?uuid=aba58166-cd2b-4f70-bb6a-5fdd9e1b42de"]},{"id":"ITEM-4","itemData":{"author":[{"dropping-particle":"","family":"Brown","given":"Patrick A","non-dropping-particle":"","parse-names":false,"suffix":""},{"dropping-particle":"","family":"Shah","given":"Bijal","non-dropping-particle":"","parse-names":false,"suffix":""},{"dropping-particle":"","family":"Advani","given":"Anjali","non-dropping-particle":"","parse-names":false,"suffix":""},{"dropping-particle":"","family":"Aoun","given":"Patricia","non-dropping-particle":"","parse-names":false,"suffix":""},{"dropping-particle":"","family":"Bhatnagar","given":"Bhavana","non-dropping-particle":"","parse-names":false,"suffix":""},{"dropping-particle":"","family":"Boyer","given":"Michael W","non-dropping-particle":"","parse-names":false,"suffix":""},{"dropping-particle":"","family":"Bryan","given":"Teresa","non-dropping-particle":"","parse-names":false,"suffix":""},{"dropping-particle":"","family":"Burke","given":"Patrick W","non-dropping-particle":"","parse-names":false,"suffix":""},{"dropping-particle":"","family":"Cassaday","given":"Ryan D","non-dropping-particle":"","parse-names":false,"suffix":""},{"dropping-particle":"","family":"Coutre","given":"Steven E","non-dropping-particle":"","parse-names":false,"suffix":""},{"dropping-particle":"","family":"Coccia","given":"Peter F","non-dropping-particle":"","parse-names":false,"suffix":""},{"dropping-particle":"","family":"DeAngelo","given":"Daniel J","non-dropping-particle":"","parse-names":false,"suffix":""},{"dropping-particle":"","family":"Fathi","given":"Amir","non-dropping-particle":"","parse-names":false,"suffix":""},{"dropping-particle":"","family":"Jain","given":"Nitin","non-dropping-particle":"","parse-names":false,"suffix":""},{"dropping-particle":"","family":"Kirby","given":"Suzanne","non-dropping-particle":"","parse-names":false,"suffix":""},{"dropping-particle":"","family":"Litzow","given":"Mark","non-dropping-particle":"","parse-names":false,"suffix":""},{"dropping-particle":"","family":"Liu","given":"Arthur","non-dropping-particle":"","parse-names":false,"suffix":""},{"dropping-particle":"","family":"Logan","given":"Aaron","non-dropping-particle":"","parse-names":false,"suffix":""},{"dropping-particle":"","family":"Massaro","given":"Stephanie","non-dropping-particle":"","parse-names":false,"suffix":""},{"dropping-particle":"","family":"Mattison","given":"Ryan J","non-dropping-particle":"","parse-names":false,"suffix":""},{"dropping-particle":"","family":"Oluwole","given":"Olalekan","non-dropping-particle":"","parse-names":false,"suffix":""},{"dropping-particle":"","family":"Papadantonakis","given":"Nikolaos","non-dropping-particle":"","parse-names":false,"suffix":""},{"dropping-particle":"","family":"Park","given":"Jae","non-dropping-particle":"","parse-names":false,"suffix":""},{"dropping-particle":"","family":"Rubnitz","given":"Jeffrey E","non-dropping-particle":"","parse-names":false,"suffix":""},{"dropping-particle":"","family":"Uy","given":"Geoffrey L","non-dropping-particle":"","parse-names":false,"suffix":""},{"dropping-particle":"","family":"Wang","given":"Eunice S","non-dropping-particle":"","parse-names":false,"suffix":""},{"dropping-particle":"","family":"Wieduwilt","given":"Matthew","non-dropping-particle":"","parse-names":false,"suffix":""},{"dropping-particle":"","family":"Gregory","given":"Kristina","non-dropping-particle":"","parse-names":false,"suffix":""}],"id":"ITEM-4","issued":{"date-parts":[["2019"]]},"number-of-pages":"115","title":"NCCN Clinical Practice Guidelines in Oncology. Acute Lymphoblastic Leukemia. Version 2.2019","type":"report"},"uris":["http://www.mendeley.com/documents/?uuid=ef92918b-8a57-37b1-bea5-284dfdf15541"]}],"mendeley":{"formattedCitation":"[1,2,4,5]","plainTextFormattedCitation":"[1,2,4,5]","previouslyFormattedCitation":"[1,2,4,5]"},"properties":{"noteIndex":0},"schema":"https://github.com/citation-style-language/schema/raw/master/csl-citation.json"}</w:instrText>
      </w:r>
      <w:r w:rsidR="0056446F">
        <w:fldChar w:fldCharType="separate"/>
      </w:r>
      <w:r w:rsidR="0056446F" w:rsidRPr="00231BC2">
        <w:rPr>
          <w:noProof/>
        </w:rPr>
        <w:t>[1,2,4,5]</w:t>
      </w:r>
      <w:r w:rsidR="0056446F">
        <w:fldChar w:fldCharType="end"/>
      </w:r>
      <w:r w:rsidR="0056446F">
        <w:t>.</w:t>
      </w:r>
      <w:r w:rsidR="0056446F" w:rsidRPr="005A24D2" w:rsidDel="0056446F">
        <w:t xml:space="preserve"> </w:t>
      </w:r>
      <w:r w:rsidR="005A24D2">
        <w:t xml:space="preserve"> </w:t>
      </w:r>
    </w:p>
    <w:p w14:paraId="70F009B2" w14:textId="77777777" w:rsidR="00254823" w:rsidRPr="008B2465" w:rsidRDefault="00254823" w:rsidP="0056446F">
      <w:pPr>
        <w:ind w:firstLine="709"/>
        <w:contextualSpacing/>
      </w:pPr>
      <w:r w:rsidRPr="008B2465">
        <w:rPr>
          <w:rStyle w:val="aff5"/>
        </w:rPr>
        <w:t xml:space="preserve">Уровень убедительности рекомендаций </w:t>
      </w:r>
      <w:r w:rsidR="005A24D2">
        <w:rPr>
          <w:rStyle w:val="aff5"/>
        </w:rPr>
        <w:t xml:space="preserve">– </w:t>
      </w:r>
      <w:r w:rsidR="001943FA" w:rsidRPr="005A24D2">
        <w:rPr>
          <w:rStyle w:val="aff5"/>
          <w:lang w:val="en-US"/>
        </w:rPr>
        <w:t>C</w:t>
      </w:r>
      <w:r w:rsidRPr="008B2465">
        <w:rPr>
          <w:rStyle w:val="aff5"/>
        </w:rPr>
        <w:t xml:space="preserve"> (уровень д</w:t>
      </w:r>
      <w:r w:rsidR="00C24361">
        <w:rPr>
          <w:rStyle w:val="aff5"/>
        </w:rPr>
        <w:t>остоверности доказательств – 5)</w:t>
      </w:r>
      <w:r w:rsidR="005A24D2">
        <w:rPr>
          <w:rStyle w:val="aff5"/>
        </w:rPr>
        <w:t>.</w:t>
      </w:r>
    </w:p>
    <w:p w14:paraId="43B0EA00" w14:textId="0B958468" w:rsidR="008C42FB" w:rsidRDefault="00254823" w:rsidP="00BE17C7">
      <w:pPr>
        <w:ind w:firstLine="709"/>
        <w:contextualSpacing/>
        <w:rPr>
          <w:i/>
        </w:rPr>
      </w:pPr>
      <w:r w:rsidRPr="008B2465">
        <w:rPr>
          <w:rStyle w:val="aff5"/>
        </w:rPr>
        <w:t>Комментарии</w:t>
      </w:r>
      <w:r w:rsidRPr="008B2465">
        <w:rPr>
          <w:rStyle w:val="aff5"/>
          <w:i/>
          <w:iCs/>
        </w:rPr>
        <w:t>:</w:t>
      </w:r>
      <w:r w:rsidRPr="008B2465">
        <w:rPr>
          <w:rStyle w:val="affc"/>
        </w:rPr>
        <w:t xml:space="preserve"> </w:t>
      </w:r>
      <w:r w:rsidR="008F34D9">
        <w:rPr>
          <w:rStyle w:val="affc"/>
        </w:rPr>
        <w:t>в</w:t>
      </w:r>
      <w:r>
        <w:rPr>
          <w:rStyle w:val="affc"/>
        </w:rPr>
        <w:t xml:space="preserve">неплановое исследование </w:t>
      </w:r>
      <w:r w:rsidR="002F7A08">
        <w:rPr>
          <w:rStyle w:val="affc"/>
        </w:rPr>
        <w:t>КМ</w:t>
      </w:r>
      <w:r>
        <w:rPr>
          <w:rStyle w:val="affc"/>
        </w:rPr>
        <w:t xml:space="preserve"> показано при выявлении любых изменений гемограммы. </w:t>
      </w:r>
      <w:r w:rsidRPr="008B2465">
        <w:rPr>
          <w:i/>
        </w:rPr>
        <w:t>Большинство рец</w:t>
      </w:r>
      <w:r>
        <w:rPr>
          <w:i/>
        </w:rPr>
        <w:t>идивов происхо</w:t>
      </w:r>
      <w:r w:rsidR="005A24D2">
        <w:rPr>
          <w:i/>
        </w:rPr>
        <w:t>дят в течение 1–</w:t>
      </w:r>
      <w:r>
        <w:rPr>
          <w:i/>
        </w:rPr>
        <w:t xml:space="preserve">5 лет после </w:t>
      </w:r>
      <w:r w:rsidRPr="008B2465">
        <w:rPr>
          <w:i/>
        </w:rPr>
        <w:t>окончания терапии.</w:t>
      </w:r>
      <w:bookmarkEnd w:id="38"/>
      <w:bookmarkEnd w:id="119"/>
    </w:p>
    <w:p w14:paraId="750DD10C" w14:textId="77777777" w:rsidR="008C42FB" w:rsidRDefault="008C42FB" w:rsidP="0056446F"/>
    <w:p w14:paraId="29D15394" w14:textId="5ACFD478" w:rsidR="00A15420" w:rsidRDefault="00285CFF" w:rsidP="00285CFF">
      <w:pPr>
        <w:pStyle w:val="11"/>
      </w:pPr>
      <w:bookmarkStart w:id="167" w:name="_Toc26796722"/>
      <w:bookmarkStart w:id="168" w:name="_Toc64565651"/>
      <w:r w:rsidRPr="00F5470D">
        <w:lastRenderedPageBreak/>
        <w:t xml:space="preserve">6. </w:t>
      </w:r>
      <w:r w:rsidR="00A15420" w:rsidRPr="007F1FE4">
        <w:t>Организация оказания медицинской помощи</w:t>
      </w:r>
      <w:bookmarkEnd w:id="167"/>
      <w:bookmarkEnd w:id="168"/>
    </w:p>
    <w:p w14:paraId="5E802157" w14:textId="77777777" w:rsidR="00841090" w:rsidRPr="00370E41" w:rsidRDefault="00841090" w:rsidP="00841090">
      <w:pPr>
        <w:pStyle w:val="1d"/>
        <w:tabs>
          <w:tab w:val="left" w:pos="0"/>
        </w:tabs>
        <w:ind w:left="0" w:firstLine="709"/>
        <w:contextualSpacing/>
        <w:rPr>
          <w:bCs/>
          <w:iCs/>
          <w:color w:val="000000"/>
          <w:szCs w:val="28"/>
        </w:rPr>
      </w:pPr>
      <w:r w:rsidRPr="00370E41">
        <w:rPr>
          <w:bCs/>
          <w:iCs/>
          <w:color w:val="000000"/>
          <w:szCs w:val="28"/>
        </w:rPr>
        <w:t>Медицинская помощь, за исключением медицинской помощи в рамках клинической апробации, в соответствии с федеральным законом от 21.11.2011 № 323-ФЗ (ред. от 25.05.2019) «Об основах охраны здоровья граждан в Российской Федерации» организуется и оказывается:</w:t>
      </w:r>
    </w:p>
    <w:p w14:paraId="748BF8DE" w14:textId="77777777" w:rsidR="00841090" w:rsidRPr="00370E41" w:rsidRDefault="00540E41" w:rsidP="00841090">
      <w:pPr>
        <w:pStyle w:val="1d"/>
        <w:tabs>
          <w:tab w:val="left" w:pos="0"/>
        </w:tabs>
        <w:ind w:left="0" w:firstLine="709"/>
        <w:contextualSpacing/>
        <w:rPr>
          <w:bCs/>
          <w:iCs/>
          <w:color w:val="000000"/>
          <w:szCs w:val="28"/>
        </w:rPr>
      </w:pPr>
      <w:r>
        <w:rPr>
          <w:bCs/>
          <w:iCs/>
          <w:color w:val="000000"/>
          <w:szCs w:val="28"/>
        </w:rPr>
        <w:t xml:space="preserve">– </w:t>
      </w:r>
      <w:r w:rsidR="00841090" w:rsidRPr="00370E41">
        <w:rPr>
          <w:bCs/>
          <w:iCs/>
          <w:color w:val="000000"/>
          <w:szCs w:val="28"/>
        </w:rPr>
        <w:t>в соответствии с положением об организации оказания медицинской помощи по видам медицинской помощи, которое утверждается уполномоченным федеральным органом исполнительной власти;</w:t>
      </w:r>
    </w:p>
    <w:p w14:paraId="38D75CED" w14:textId="77777777" w:rsidR="00841090" w:rsidRPr="00370E41" w:rsidRDefault="00540E41" w:rsidP="00841090">
      <w:pPr>
        <w:pStyle w:val="1d"/>
        <w:tabs>
          <w:tab w:val="left" w:pos="0"/>
        </w:tabs>
        <w:ind w:left="0" w:firstLine="709"/>
        <w:contextualSpacing/>
        <w:rPr>
          <w:bCs/>
          <w:iCs/>
          <w:color w:val="000000"/>
          <w:szCs w:val="28"/>
        </w:rPr>
      </w:pPr>
      <w:r>
        <w:rPr>
          <w:bCs/>
          <w:iCs/>
          <w:color w:val="000000"/>
          <w:szCs w:val="28"/>
        </w:rPr>
        <w:t xml:space="preserve">– </w:t>
      </w:r>
      <w:r w:rsidR="00841090" w:rsidRPr="00370E41">
        <w:rPr>
          <w:bCs/>
          <w:iCs/>
          <w:color w:val="000000"/>
          <w:szCs w:val="28"/>
        </w:rPr>
        <w:t>в соответствии с порядком оказания помощи по профилю «гематология», обязательным для исполнения на территории Российской Федерации всеми медицинскими организациями;</w:t>
      </w:r>
    </w:p>
    <w:p w14:paraId="3914C8BD" w14:textId="77777777" w:rsidR="00841090" w:rsidRPr="00370E41" w:rsidRDefault="00540E41" w:rsidP="00841090">
      <w:pPr>
        <w:pStyle w:val="1d"/>
        <w:tabs>
          <w:tab w:val="left" w:pos="0"/>
        </w:tabs>
        <w:ind w:left="0" w:firstLine="709"/>
        <w:contextualSpacing/>
        <w:rPr>
          <w:bCs/>
          <w:iCs/>
          <w:color w:val="000000"/>
          <w:szCs w:val="28"/>
        </w:rPr>
      </w:pPr>
      <w:r>
        <w:rPr>
          <w:bCs/>
          <w:iCs/>
          <w:color w:val="000000"/>
          <w:szCs w:val="28"/>
        </w:rPr>
        <w:t xml:space="preserve">– </w:t>
      </w:r>
      <w:r w:rsidR="00841090" w:rsidRPr="00370E41">
        <w:rPr>
          <w:bCs/>
          <w:iCs/>
          <w:color w:val="000000"/>
          <w:szCs w:val="28"/>
        </w:rPr>
        <w:t>на основе настоящих клинических рекомендаций;</w:t>
      </w:r>
    </w:p>
    <w:p w14:paraId="6D65CFED" w14:textId="77777777" w:rsidR="00841090" w:rsidRPr="00370E41" w:rsidRDefault="00540E41" w:rsidP="00841090">
      <w:pPr>
        <w:pStyle w:val="1d"/>
        <w:tabs>
          <w:tab w:val="left" w:pos="0"/>
        </w:tabs>
        <w:ind w:left="0" w:firstLine="709"/>
        <w:contextualSpacing/>
        <w:rPr>
          <w:bCs/>
          <w:iCs/>
          <w:color w:val="000000"/>
          <w:szCs w:val="28"/>
        </w:rPr>
      </w:pPr>
      <w:r>
        <w:rPr>
          <w:bCs/>
          <w:iCs/>
          <w:color w:val="000000"/>
          <w:szCs w:val="28"/>
        </w:rPr>
        <w:t xml:space="preserve">– </w:t>
      </w:r>
      <w:r w:rsidR="00841090" w:rsidRPr="00370E41">
        <w:rPr>
          <w:bCs/>
          <w:iCs/>
          <w:color w:val="000000"/>
          <w:szCs w:val="28"/>
        </w:rPr>
        <w:t>с учетом стандартов медицинской помощи, утвержденных уполномоченным федеральным органом исполнительной власти.</w:t>
      </w:r>
    </w:p>
    <w:p w14:paraId="75E6AC0F" w14:textId="77777777" w:rsidR="00841090" w:rsidRPr="00370E41" w:rsidRDefault="00841090" w:rsidP="00841090">
      <w:pPr>
        <w:pStyle w:val="1d"/>
        <w:tabs>
          <w:tab w:val="left" w:pos="0"/>
        </w:tabs>
        <w:ind w:left="0" w:firstLine="709"/>
        <w:contextualSpacing/>
        <w:rPr>
          <w:bCs/>
          <w:iCs/>
          <w:color w:val="000000"/>
          <w:szCs w:val="28"/>
        </w:rPr>
      </w:pPr>
      <w:r w:rsidRPr="00370E41">
        <w:rPr>
          <w:bCs/>
          <w:iCs/>
          <w:color w:val="000000"/>
          <w:szCs w:val="28"/>
        </w:rPr>
        <w:t>Первичная специализированная медико-санитарная помощь оказывается врачом-гематологом и иными врачами-специалистами в центре амбулаторной гематологической/онкологической помощи либо в первичном гематологическом/онкологическом кабинете, первичном гематологическом отделении, поликлиническом отделении онкологического диспансера.</w:t>
      </w:r>
    </w:p>
    <w:p w14:paraId="2D63AA1F" w14:textId="02DE48DE" w:rsidR="00841090" w:rsidRPr="00370E41" w:rsidRDefault="00841090" w:rsidP="00841090">
      <w:pPr>
        <w:pStyle w:val="1d"/>
        <w:tabs>
          <w:tab w:val="left" w:pos="0"/>
        </w:tabs>
        <w:ind w:left="0" w:firstLine="709"/>
        <w:contextualSpacing/>
        <w:rPr>
          <w:bCs/>
          <w:iCs/>
          <w:color w:val="000000"/>
          <w:szCs w:val="28"/>
        </w:rPr>
      </w:pPr>
      <w:r w:rsidRPr="00370E41">
        <w:rPr>
          <w:bCs/>
          <w:iCs/>
          <w:color w:val="000000"/>
          <w:szCs w:val="28"/>
        </w:rPr>
        <w:t xml:space="preserve">При выявлении у больного </w:t>
      </w:r>
      <w:r w:rsidR="00EA1994">
        <w:rPr>
          <w:bCs/>
          <w:iCs/>
          <w:color w:val="000000"/>
          <w:szCs w:val="28"/>
        </w:rPr>
        <w:t>острого лимфобластного</w:t>
      </w:r>
      <w:r w:rsidR="00D67169">
        <w:rPr>
          <w:bCs/>
          <w:iCs/>
          <w:color w:val="000000"/>
          <w:szCs w:val="28"/>
        </w:rPr>
        <w:t xml:space="preserve"> лейкоза (далее – </w:t>
      </w:r>
      <w:r w:rsidR="00EA1994">
        <w:rPr>
          <w:bCs/>
          <w:iCs/>
          <w:color w:val="000000"/>
          <w:szCs w:val="28"/>
        </w:rPr>
        <w:t>ОЛ</w:t>
      </w:r>
      <w:r w:rsidRPr="00370E41">
        <w:rPr>
          <w:bCs/>
          <w:iCs/>
          <w:color w:val="000000"/>
          <w:szCs w:val="28"/>
        </w:rPr>
        <w:t>Л</w:t>
      </w:r>
      <w:r w:rsidR="00D67169">
        <w:rPr>
          <w:bCs/>
          <w:iCs/>
          <w:color w:val="000000"/>
          <w:szCs w:val="28"/>
        </w:rPr>
        <w:t>)</w:t>
      </w:r>
      <w:r w:rsidRPr="00370E41">
        <w:rPr>
          <w:bCs/>
          <w:iCs/>
          <w:color w:val="000000"/>
          <w:szCs w:val="28"/>
        </w:rPr>
        <w:t xml:space="preserve"> или подозрении на него врачи-терапевты, врачи-терапевты участковые, врачи общей практики (семейные врачи), врачи-специалисты, средние медицинские работники в установленном порядке направляют больного на консультацию в центр амбулаторной гематологической/онкологической помощи либо в первичный гематологический кабинет, первичное гематологическое отделение медицинской организации для оказания ему первичной специализированной медико-санитарной помощи.</w:t>
      </w:r>
    </w:p>
    <w:p w14:paraId="638225AD" w14:textId="77777777" w:rsidR="00841090" w:rsidRPr="00370E41" w:rsidRDefault="00841090" w:rsidP="00841090">
      <w:pPr>
        <w:pStyle w:val="1d"/>
        <w:tabs>
          <w:tab w:val="left" w:pos="0"/>
        </w:tabs>
        <w:ind w:left="0" w:firstLine="709"/>
        <w:contextualSpacing/>
        <w:rPr>
          <w:bCs/>
          <w:iCs/>
          <w:color w:val="000000"/>
          <w:szCs w:val="28"/>
        </w:rPr>
      </w:pPr>
      <w:r w:rsidRPr="00370E41">
        <w:rPr>
          <w:bCs/>
          <w:iCs/>
          <w:color w:val="000000"/>
          <w:szCs w:val="28"/>
        </w:rPr>
        <w:t>Врач-гематолог амбулаторного или стационарного звена гематологической помощи организует выполнение диагностических исследований, необходимых для установления диагноза, включая распространенность и стадию заболевания.</w:t>
      </w:r>
    </w:p>
    <w:p w14:paraId="12EC4374" w14:textId="77777777" w:rsidR="00841090" w:rsidRPr="00370E41" w:rsidRDefault="00841090" w:rsidP="00841090">
      <w:pPr>
        <w:pStyle w:val="1d"/>
        <w:tabs>
          <w:tab w:val="left" w:pos="0"/>
        </w:tabs>
        <w:ind w:left="0" w:firstLine="709"/>
        <w:contextualSpacing/>
        <w:rPr>
          <w:bCs/>
          <w:iCs/>
          <w:color w:val="000000"/>
          <w:szCs w:val="28"/>
        </w:rPr>
      </w:pPr>
      <w:r w:rsidRPr="00370E41">
        <w:rPr>
          <w:bCs/>
          <w:iCs/>
          <w:color w:val="000000"/>
          <w:szCs w:val="28"/>
        </w:rPr>
        <w:t>В случае невозможности проведения диагностических исследований пациент направляется лечащим врачом в медицинскую организацию, оказывающую медицинскую помощь больным с гематологическими заболеваниями для установления диагноза и оказания специализированной, в том числе высокотехнологичной, медицинской помощи.</w:t>
      </w:r>
    </w:p>
    <w:p w14:paraId="0CE4784F" w14:textId="61883A32" w:rsidR="00841090" w:rsidRPr="00370E41" w:rsidRDefault="00841090" w:rsidP="00841090">
      <w:pPr>
        <w:pStyle w:val="1d"/>
        <w:tabs>
          <w:tab w:val="left" w:pos="0"/>
        </w:tabs>
        <w:ind w:left="0" w:firstLine="709"/>
        <w:contextualSpacing/>
        <w:rPr>
          <w:bCs/>
          <w:iCs/>
          <w:color w:val="000000"/>
          <w:szCs w:val="28"/>
        </w:rPr>
      </w:pPr>
      <w:r w:rsidRPr="00370E41">
        <w:rPr>
          <w:bCs/>
          <w:iCs/>
          <w:color w:val="000000"/>
          <w:szCs w:val="28"/>
        </w:rPr>
        <w:t xml:space="preserve">При выявлении </w:t>
      </w:r>
      <w:r w:rsidR="00EA1994">
        <w:rPr>
          <w:bCs/>
          <w:iCs/>
          <w:color w:val="000000"/>
          <w:szCs w:val="28"/>
        </w:rPr>
        <w:t>ОЛ</w:t>
      </w:r>
      <w:r w:rsidRPr="00370E41">
        <w:rPr>
          <w:bCs/>
          <w:iCs/>
          <w:color w:val="000000"/>
          <w:szCs w:val="28"/>
        </w:rPr>
        <w:t xml:space="preserve">Л или подозрении на него в ходе оказания скорой медицинской </w:t>
      </w:r>
      <w:r w:rsidRPr="00370E41">
        <w:rPr>
          <w:bCs/>
          <w:iCs/>
          <w:color w:val="000000"/>
          <w:szCs w:val="28"/>
        </w:rPr>
        <w:lastRenderedPageBreak/>
        <w:t>помощи больного переводят или направляют в медицинские организации, оказывающие медицинскую помощь больным с гематологическими заболеваниями, для определения тактики ведения и необходимости применения дополнительно других методов специализированного противоопухолевого лечения.</w:t>
      </w:r>
    </w:p>
    <w:p w14:paraId="33E826E6" w14:textId="6356D963" w:rsidR="00841090" w:rsidRPr="00370E41" w:rsidRDefault="00841090" w:rsidP="00841090">
      <w:pPr>
        <w:pStyle w:val="1d"/>
        <w:tabs>
          <w:tab w:val="left" w:pos="0"/>
        </w:tabs>
        <w:ind w:left="0" w:firstLine="709"/>
        <w:contextualSpacing/>
        <w:rPr>
          <w:bCs/>
          <w:iCs/>
          <w:color w:val="000000"/>
          <w:szCs w:val="28"/>
        </w:rPr>
      </w:pPr>
      <w:r w:rsidRPr="00370E41">
        <w:rPr>
          <w:bCs/>
          <w:iCs/>
          <w:color w:val="000000"/>
          <w:szCs w:val="28"/>
        </w:rPr>
        <w:t xml:space="preserve">Специализированная, в том числе высокотехнологичная, медицинская помощь оказывается врачами-гематологами в медицинских организациях, оказывающих медицинскую помощь больным </w:t>
      </w:r>
      <w:r w:rsidR="00EA1994">
        <w:rPr>
          <w:bCs/>
          <w:iCs/>
          <w:color w:val="000000"/>
          <w:szCs w:val="28"/>
        </w:rPr>
        <w:t>ОЛ</w:t>
      </w:r>
      <w:r w:rsidRPr="00370E41">
        <w:rPr>
          <w:bCs/>
          <w:iCs/>
          <w:color w:val="000000"/>
          <w:szCs w:val="28"/>
        </w:rPr>
        <w:t>Л, имеющих лицензию, необходимую материально-техническую базу, сертифицированных специалистов, в стационарных условиях и условиях дневного стационара и включает в себя профилактику, диагностику, лечение гематологических заболеваний, требующих использования специальных методов и сложных уникальных медицинских технологий, а также медицинскую реабилитацию.</w:t>
      </w:r>
    </w:p>
    <w:p w14:paraId="6C2901DF" w14:textId="1731A6A3" w:rsidR="00841090" w:rsidRPr="00370E41" w:rsidRDefault="00841090" w:rsidP="00841090">
      <w:pPr>
        <w:pStyle w:val="1d"/>
        <w:tabs>
          <w:tab w:val="left" w:pos="0"/>
        </w:tabs>
        <w:ind w:left="0" w:firstLine="709"/>
        <w:contextualSpacing/>
        <w:rPr>
          <w:bCs/>
          <w:iCs/>
          <w:color w:val="000000"/>
          <w:szCs w:val="28"/>
        </w:rPr>
      </w:pPr>
      <w:r w:rsidRPr="00370E41">
        <w:rPr>
          <w:bCs/>
          <w:iCs/>
          <w:color w:val="000000"/>
          <w:szCs w:val="28"/>
        </w:rPr>
        <w:t xml:space="preserve">В медицинской организации, оказывающей медицинскую помощь больным </w:t>
      </w:r>
      <w:r w:rsidR="00EA1994">
        <w:rPr>
          <w:bCs/>
          <w:iCs/>
          <w:color w:val="000000"/>
          <w:szCs w:val="28"/>
        </w:rPr>
        <w:t>ОЛ</w:t>
      </w:r>
      <w:r w:rsidRPr="00370E41">
        <w:rPr>
          <w:bCs/>
          <w:iCs/>
          <w:color w:val="000000"/>
          <w:szCs w:val="28"/>
        </w:rPr>
        <w:t>Л, тактика медицинского обследования и лечения устанавливается врачами-гематологами с привлечением при необходимости других врачей-сп</w:t>
      </w:r>
      <w:r w:rsidR="00D67169">
        <w:rPr>
          <w:bCs/>
          <w:iCs/>
          <w:color w:val="000000"/>
          <w:szCs w:val="28"/>
        </w:rPr>
        <w:t xml:space="preserve">ециалистов, при необходимости </w:t>
      </w:r>
      <w:r w:rsidRPr="00370E41">
        <w:rPr>
          <w:bCs/>
          <w:iCs/>
          <w:color w:val="000000"/>
          <w:szCs w:val="28"/>
        </w:rPr>
        <w:t>с проведением консилиума. Решение консилиума врачей оформляется протоколом, подписывается участниками консилиума врачей и вносится в медицинскую документацию больного.</w:t>
      </w:r>
    </w:p>
    <w:p w14:paraId="7C39AA50" w14:textId="77777777" w:rsidR="00841090" w:rsidRDefault="00841090" w:rsidP="00841090">
      <w:pPr>
        <w:pStyle w:val="1d"/>
        <w:ind w:left="0" w:firstLine="709"/>
        <w:contextualSpacing/>
        <w:rPr>
          <w:b/>
          <w:color w:val="000000"/>
        </w:rPr>
      </w:pPr>
      <w:r w:rsidRPr="00370E41">
        <w:rPr>
          <w:bCs/>
          <w:iCs/>
          <w:color w:val="000000"/>
          <w:szCs w:val="28"/>
        </w:rPr>
        <w:t xml:space="preserve">Показания к госпитализации в круглосуточный или дневной стационар медицинской организации, оказывающей специализированную, в том числе высокотехнологичную, медицинскую помощь по профилю «онкология» </w:t>
      </w:r>
      <w:r w:rsidR="00D67169">
        <w:rPr>
          <w:bCs/>
          <w:iCs/>
          <w:color w:val="000000"/>
          <w:szCs w:val="28"/>
        </w:rPr>
        <w:t>определяются врачом-гематологом/</w:t>
      </w:r>
      <w:r w:rsidRPr="00370E41">
        <w:rPr>
          <w:bCs/>
          <w:iCs/>
          <w:color w:val="000000"/>
          <w:szCs w:val="28"/>
        </w:rPr>
        <w:t>консилиумом врачей с привлечением при необходимости других врачей-специалистов</w:t>
      </w:r>
      <w:r w:rsidR="00D67169">
        <w:rPr>
          <w:bCs/>
          <w:iCs/>
          <w:color w:val="000000"/>
          <w:szCs w:val="28"/>
        </w:rPr>
        <w:t>.</w:t>
      </w:r>
    </w:p>
    <w:p w14:paraId="4B47CB41" w14:textId="77777777" w:rsidR="007330FB" w:rsidRPr="00F43872" w:rsidRDefault="007330FB" w:rsidP="007330FB">
      <w:pPr>
        <w:pStyle w:val="1d"/>
        <w:ind w:left="0" w:firstLine="709"/>
        <w:contextualSpacing/>
        <w:rPr>
          <w:b/>
          <w:color w:val="000000"/>
        </w:rPr>
      </w:pPr>
      <w:r w:rsidRPr="00F43872">
        <w:rPr>
          <w:b/>
          <w:color w:val="000000"/>
        </w:rPr>
        <w:t xml:space="preserve">Показания для плановой госпитализации: </w:t>
      </w:r>
    </w:p>
    <w:p w14:paraId="1C4D50C3" w14:textId="5DDDB0D0" w:rsidR="007330FB" w:rsidRPr="00F43872" w:rsidRDefault="00D67169" w:rsidP="00D67169">
      <w:pPr>
        <w:pStyle w:val="1d"/>
        <w:ind w:left="0" w:firstLine="0"/>
        <w:contextualSpacing/>
        <w:rPr>
          <w:color w:val="000000"/>
        </w:rPr>
      </w:pPr>
      <w:r>
        <w:rPr>
          <w:color w:val="000000"/>
        </w:rPr>
        <w:t xml:space="preserve">1. </w:t>
      </w:r>
      <w:r w:rsidR="007330FB" w:rsidRPr="00F43872">
        <w:rPr>
          <w:color w:val="000000"/>
        </w:rPr>
        <w:t>Подозрение/установление диагноза О</w:t>
      </w:r>
      <w:r w:rsidR="00232209">
        <w:rPr>
          <w:color w:val="000000"/>
        </w:rPr>
        <w:t>Л</w:t>
      </w:r>
      <w:r w:rsidR="007330FB" w:rsidRPr="00F43872">
        <w:rPr>
          <w:color w:val="000000"/>
        </w:rPr>
        <w:t>Л</w:t>
      </w:r>
      <w:r>
        <w:rPr>
          <w:color w:val="000000"/>
        </w:rPr>
        <w:t>.</w:t>
      </w:r>
    </w:p>
    <w:p w14:paraId="5D1FFBA4" w14:textId="77777777" w:rsidR="007330FB" w:rsidRPr="00F43872" w:rsidRDefault="00D67169" w:rsidP="00D67169">
      <w:pPr>
        <w:pStyle w:val="1d"/>
        <w:ind w:left="0" w:firstLine="0"/>
        <w:contextualSpacing/>
        <w:rPr>
          <w:color w:val="000000"/>
        </w:rPr>
      </w:pPr>
      <w:r>
        <w:rPr>
          <w:color w:val="000000"/>
        </w:rPr>
        <w:t xml:space="preserve">2. </w:t>
      </w:r>
      <w:r w:rsidR="007330FB">
        <w:rPr>
          <w:color w:val="000000"/>
        </w:rPr>
        <w:t>Диагностика рецидива ОЛ</w:t>
      </w:r>
      <w:r w:rsidR="007330FB" w:rsidRPr="00F43872">
        <w:rPr>
          <w:color w:val="000000"/>
        </w:rPr>
        <w:t>Л</w:t>
      </w:r>
      <w:r>
        <w:rPr>
          <w:color w:val="000000"/>
        </w:rPr>
        <w:t>.</w:t>
      </w:r>
    </w:p>
    <w:p w14:paraId="2F05A243" w14:textId="77777777" w:rsidR="007330FB" w:rsidRPr="00F43872" w:rsidRDefault="00D67169" w:rsidP="00D67169">
      <w:pPr>
        <w:pStyle w:val="1d"/>
        <w:ind w:left="0" w:firstLine="0"/>
        <w:contextualSpacing/>
        <w:rPr>
          <w:color w:val="000000"/>
        </w:rPr>
      </w:pPr>
      <w:r>
        <w:rPr>
          <w:color w:val="000000"/>
        </w:rPr>
        <w:t>3.</w:t>
      </w:r>
      <w:r w:rsidR="007330FB" w:rsidRPr="00F43872">
        <w:rPr>
          <w:color w:val="000000"/>
        </w:rPr>
        <w:t xml:space="preserve"> Проведение очередного курса ХТ в условиях круглосуточного либо дневного стационара</w:t>
      </w:r>
      <w:r>
        <w:rPr>
          <w:color w:val="000000"/>
        </w:rPr>
        <w:t>.</w:t>
      </w:r>
    </w:p>
    <w:p w14:paraId="062EBC76" w14:textId="77777777" w:rsidR="00F33A8F" w:rsidRDefault="00D67169" w:rsidP="00D67169">
      <w:pPr>
        <w:pStyle w:val="1d"/>
        <w:ind w:left="0" w:firstLine="0"/>
        <w:contextualSpacing/>
        <w:rPr>
          <w:color w:val="000000"/>
        </w:rPr>
      </w:pPr>
      <w:r>
        <w:rPr>
          <w:color w:val="000000"/>
        </w:rPr>
        <w:t>4.</w:t>
      </w:r>
      <w:r w:rsidR="007330FB" w:rsidRPr="00F43872">
        <w:rPr>
          <w:color w:val="000000"/>
        </w:rPr>
        <w:t xml:space="preserve"> Проведение запланированной </w:t>
      </w:r>
      <w:r w:rsidR="00B94DB7">
        <w:rPr>
          <w:color w:val="000000"/>
        </w:rPr>
        <w:t>ТГСК</w:t>
      </w:r>
      <w:r>
        <w:rPr>
          <w:color w:val="000000"/>
        </w:rPr>
        <w:t>.</w:t>
      </w:r>
    </w:p>
    <w:p w14:paraId="4A009F5B" w14:textId="77777777" w:rsidR="007330FB" w:rsidRPr="00F43872" w:rsidRDefault="00D67169" w:rsidP="00D67169">
      <w:pPr>
        <w:pStyle w:val="1d"/>
        <w:ind w:left="0" w:firstLine="0"/>
        <w:contextualSpacing/>
        <w:rPr>
          <w:color w:val="000000"/>
        </w:rPr>
      </w:pPr>
      <w:r>
        <w:rPr>
          <w:color w:val="000000"/>
        </w:rPr>
        <w:t>5.</w:t>
      </w:r>
      <w:r w:rsidR="007330FB" w:rsidRPr="00F43872">
        <w:rPr>
          <w:color w:val="000000"/>
        </w:rPr>
        <w:t xml:space="preserve"> </w:t>
      </w:r>
      <w:r w:rsidR="00B94DB7">
        <w:rPr>
          <w:color w:val="000000"/>
        </w:rPr>
        <w:t>В</w:t>
      </w:r>
      <w:r w:rsidR="007330FB" w:rsidRPr="00F43872">
        <w:rPr>
          <w:color w:val="000000"/>
        </w:rPr>
        <w:t>ыполнение плано</w:t>
      </w:r>
      <w:r>
        <w:rPr>
          <w:color w:val="000000"/>
        </w:rPr>
        <w:t>вых хирургических вмешательств.</w:t>
      </w:r>
    </w:p>
    <w:p w14:paraId="14EE5182" w14:textId="77777777" w:rsidR="007330FB" w:rsidRPr="00F43872" w:rsidRDefault="00D67169" w:rsidP="00D67169">
      <w:pPr>
        <w:pStyle w:val="1d"/>
        <w:ind w:left="0" w:firstLine="0"/>
        <w:contextualSpacing/>
        <w:rPr>
          <w:color w:val="000000"/>
        </w:rPr>
      </w:pPr>
      <w:r>
        <w:rPr>
          <w:color w:val="000000"/>
        </w:rPr>
        <w:t>6.</w:t>
      </w:r>
      <w:r w:rsidR="008F34D9">
        <w:rPr>
          <w:color w:val="000000"/>
        </w:rPr>
        <w:t xml:space="preserve"> </w:t>
      </w:r>
      <w:r w:rsidR="00B94DB7">
        <w:rPr>
          <w:color w:val="000000"/>
        </w:rPr>
        <w:t>В</w:t>
      </w:r>
      <w:r w:rsidR="007330FB" w:rsidRPr="00F43872">
        <w:rPr>
          <w:color w:val="000000"/>
        </w:rPr>
        <w:t xml:space="preserve">ыполнение плановых экстракорпоральных методов очищения крови и </w:t>
      </w:r>
      <w:r>
        <w:rPr>
          <w:color w:val="000000"/>
        </w:rPr>
        <w:t>заместительной почечной терапии.</w:t>
      </w:r>
    </w:p>
    <w:p w14:paraId="15B9ADD6" w14:textId="77777777" w:rsidR="007330FB" w:rsidRPr="00F43872" w:rsidRDefault="00D67169" w:rsidP="00D67169">
      <w:pPr>
        <w:pStyle w:val="1d"/>
        <w:ind w:left="0" w:firstLine="0"/>
        <w:contextualSpacing/>
        <w:rPr>
          <w:color w:val="000000"/>
        </w:rPr>
      </w:pPr>
      <w:r>
        <w:rPr>
          <w:color w:val="000000"/>
        </w:rPr>
        <w:t>7.</w:t>
      </w:r>
      <w:r w:rsidR="007330FB" w:rsidRPr="00F43872">
        <w:rPr>
          <w:color w:val="000000"/>
        </w:rPr>
        <w:t xml:space="preserve"> </w:t>
      </w:r>
      <w:r w:rsidR="00B94DB7">
        <w:rPr>
          <w:color w:val="000000"/>
        </w:rPr>
        <w:t>П</w:t>
      </w:r>
      <w:r w:rsidR="007330FB" w:rsidRPr="00F43872">
        <w:rPr>
          <w:color w:val="000000"/>
        </w:rPr>
        <w:t>роведение заместит</w:t>
      </w:r>
      <w:r w:rsidR="007330FB">
        <w:rPr>
          <w:color w:val="000000"/>
        </w:rPr>
        <w:t>ельной гемокомпонентной терапии</w:t>
      </w:r>
      <w:r>
        <w:rPr>
          <w:color w:val="000000"/>
        </w:rPr>
        <w:t>.</w:t>
      </w:r>
    </w:p>
    <w:p w14:paraId="0F4EBAC5" w14:textId="77777777" w:rsidR="007330FB" w:rsidRPr="00F43872" w:rsidRDefault="007330FB" w:rsidP="007330FB">
      <w:pPr>
        <w:pStyle w:val="1d"/>
        <w:ind w:left="0" w:firstLine="709"/>
        <w:contextualSpacing/>
        <w:rPr>
          <w:b/>
          <w:color w:val="000000"/>
        </w:rPr>
      </w:pPr>
      <w:r w:rsidRPr="00F43872">
        <w:rPr>
          <w:b/>
          <w:color w:val="000000"/>
        </w:rPr>
        <w:t xml:space="preserve">Показания для экстренной госпитализации: </w:t>
      </w:r>
    </w:p>
    <w:p w14:paraId="5A5FCABE" w14:textId="77777777" w:rsidR="007330FB" w:rsidRPr="00F43872" w:rsidRDefault="007330FB" w:rsidP="007330FB">
      <w:pPr>
        <w:pStyle w:val="1d"/>
        <w:ind w:left="0" w:firstLine="0"/>
        <w:contextualSpacing/>
        <w:rPr>
          <w:color w:val="000000"/>
        </w:rPr>
      </w:pPr>
      <w:r w:rsidRPr="00F43872">
        <w:rPr>
          <w:color w:val="000000"/>
        </w:rPr>
        <w:t>Неотл</w:t>
      </w:r>
      <w:r>
        <w:rPr>
          <w:color w:val="000000"/>
        </w:rPr>
        <w:t>ожные состояния у пациентов с ОЛ</w:t>
      </w:r>
      <w:r w:rsidRPr="00F43872">
        <w:rPr>
          <w:color w:val="000000"/>
        </w:rPr>
        <w:t>Л и при подозрении на ОЛ:</w:t>
      </w:r>
    </w:p>
    <w:p w14:paraId="27F1B730" w14:textId="77777777" w:rsidR="007330FB" w:rsidRPr="00F43872" w:rsidRDefault="00E47EAE" w:rsidP="00E47EAE">
      <w:pPr>
        <w:pStyle w:val="1d"/>
        <w:ind w:left="0" w:firstLine="0"/>
        <w:contextualSpacing/>
        <w:rPr>
          <w:color w:val="000000"/>
        </w:rPr>
      </w:pPr>
      <w:r>
        <w:rPr>
          <w:color w:val="000000"/>
        </w:rPr>
        <w:t xml:space="preserve">– </w:t>
      </w:r>
      <w:r w:rsidR="007330FB" w:rsidRPr="00F43872">
        <w:rPr>
          <w:color w:val="000000"/>
        </w:rPr>
        <w:t>лейкоцитоз более 100</w:t>
      </w:r>
      <w:r w:rsidR="007330FB">
        <w:rPr>
          <w:color w:val="000000"/>
          <w:lang w:val="en-US"/>
        </w:rPr>
        <w:t> </w:t>
      </w:r>
      <w:r>
        <w:t>×</w:t>
      </w:r>
      <w:r w:rsidR="007330FB" w:rsidRPr="007330FB">
        <w:t>10</w:t>
      </w:r>
      <w:r w:rsidR="007330FB" w:rsidRPr="0086666D">
        <w:rPr>
          <w:vertAlign w:val="superscript"/>
        </w:rPr>
        <w:t>9</w:t>
      </w:r>
      <w:r w:rsidR="007330FB" w:rsidRPr="00F43872">
        <w:rPr>
          <w:color w:val="000000"/>
        </w:rPr>
        <w:t>/л</w:t>
      </w:r>
    </w:p>
    <w:p w14:paraId="7F0D6FF2" w14:textId="77777777" w:rsidR="007330FB" w:rsidRPr="00F43872" w:rsidRDefault="00E47EAE" w:rsidP="00E47EAE">
      <w:pPr>
        <w:pStyle w:val="1d"/>
        <w:ind w:left="0" w:firstLine="0"/>
        <w:contextualSpacing/>
        <w:rPr>
          <w:color w:val="000000"/>
        </w:rPr>
      </w:pPr>
      <w:r>
        <w:rPr>
          <w:color w:val="000000"/>
        </w:rPr>
        <w:lastRenderedPageBreak/>
        <w:t xml:space="preserve">– </w:t>
      </w:r>
      <w:r w:rsidR="007330FB" w:rsidRPr="00F43872">
        <w:rPr>
          <w:color w:val="000000"/>
        </w:rPr>
        <w:t xml:space="preserve">фебрильная лихорадка и инфекционные осложнения на фоне нейтропении после курса </w:t>
      </w:r>
      <w:r w:rsidR="00B94DB7">
        <w:rPr>
          <w:color w:val="000000"/>
        </w:rPr>
        <w:t>ХТ</w:t>
      </w:r>
      <w:r>
        <w:rPr>
          <w:color w:val="000000"/>
        </w:rPr>
        <w:t>;</w:t>
      </w:r>
    </w:p>
    <w:p w14:paraId="418C8A01" w14:textId="77777777" w:rsidR="007330FB" w:rsidRPr="00F43872" w:rsidRDefault="00E47EAE" w:rsidP="00E47EAE">
      <w:pPr>
        <w:pStyle w:val="1d"/>
        <w:ind w:left="0" w:firstLine="0"/>
        <w:contextualSpacing/>
        <w:rPr>
          <w:color w:val="000000"/>
        </w:rPr>
      </w:pPr>
      <w:r>
        <w:rPr>
          <w:color w:val="000000"/>
        </w:rPr>
        <w:t xml:space="preserve">– </w:t>
      </w:r>
      <w:r w:rsidR="007330FB" w:rsidRPr="00F43872">
        <w:rPr>
          <w:color w:val="000000"/>
        </w:rPr>
        <w:t>геморрагический синдром</w:t>
      </w:r>
      <w:r>
        <w:rPr>
          <w:color w:val="000000"/>
        </w:rPr>
        <w:t>;</w:t>
      </w:r>
      <w:r w:rsidR="007330FB" w:rsidRPr="00F43872">
        <w:rPr>
          <w:color w:val="000000"/>
        </w:rPr>
        <w:t xml:space="preserve"> </w:t>
      </w:r>
    </w:p>
    <w:p w14:paraId="47972234" w14:textId="77777777" w:rsidR="007330FB" w:rsidRPr="00F43872" w:rsidRDefault="00E47EAE" w:rsidP="00E47EAE">
      <w:pPr>
        <w:pStyle w:val="1d"/>
        <w:ind w:left="0" w:firstLine="0"/>
        <w:contextualSpacing/>
        <w:rPr>
          <w:color w:val="000000"/>
        </w:rPr>
      </w:pPr>
      <w:r>
        <w:rPr>
          <w:color w:val="000000"/>
        </w:rPr>
        <w:t xml:space="preserve">– </w:t>
      </w:r>
      <w:r w:rsidR="007330FB" w:rsidRPr="00F43872">
        <w:rPr>
          <w:color w:val="000000"/>
        </w:rPr>
        <w:t>тромботические осложнения</w:t>
      </w:r>
      <w:r>
        <w:rPr>
          <w:color w:val="000000"/>
        </w:rPr>
        <w:t>;</w:t>
      </w:r>
    </w:p>
    <w:p w14:paraId="0C07F691" w14:textId="77777777" w:rsidR="007330FB" w:rsidRPr="00F43872" w:rsidRDefault="00E47EAE" w:rsidP="00E47EAE">
      <w:pPr>
        <w:pStyle w:val="1d"/>
        <w:ind w:left="0" w:firstLine="0"/>
        <w:contextualSpacing/>
        <w:rPr>
          <w:color w:val="000000"/>
        </w:rPr>
      </w:pPr>
      <w:r>
        <w:rPr>
          <w:color w:val="000000"/>
        </w:rPr>
        <w:t xml:space="preserve">– </w:t>
      </w:r>
      <w:r w:rsidR="007330FB" w:rsidRPr="00F43872">
        <w:rPr>
          <w:color w:val="000000"/>
        </w:rPr>
        <w:t>необходимость проведения экстренной заместительной гемокомпонентной терапии</w:t>
      </w:r>
      <w:r>
        <w:rPr>
          <w:color w:val="000000"/>
        </w:rPr>
        <w:t>;</w:t>
      </w:r>
    </w:p>
    <w:p w14:paraId="288ACBB4" w14:textId="77777777" w:rsidR="007330FB" w:rsidRPr="00F43872" w:rsidRDefault="00E47EAE" w:rsidP="00E47EAE">
      <w:pPr>
        <w:pStyle w:val="1d"/>
        <w:ind w:left="0" w:firstLine="0"/>
        <w:contextualSpacing/>
        <w:rPr>
          <w:color w:val="000000"/>
        </w:rPr>
      </w:pPr>
      <w:r>
        <w:rPr>
          <w:color w:val="000000"/>
        </w:rPr>
        <w:t xml:space="preserve">– </w:t>
      </w:r>
      <w:r w:rsidR="007330FB" w:rsidRPr="00F43872">
        <w:rPr>
          <w:color w:val="000000"/>
        </w:rPr>
        <w:t>другие системные нарушения, обусловленные течением основного заболевания или р</w:t>
      </w:r>
      <w:r w:rsidR="008F34D9">
        <w:rPr>
          <w:color w:val="000000"/>
        </w:rPr>
        <w:t>а</w:t>
      </w:r>
      <w:r w:rsidR="007330FB" w:rsidRPr="00F43872">
        <w:rPr>
          <w:color w:val="000000"/>
        </w:rPr>
        <w:t xml:space="preserve">звившиеся </w:t>
      </w:r>
      <w:r w:rsidR="007330FB">
        <w:rPr>
          <w:color w:val="000000"/>
        </w:rPr>
        <w:t>вследствие проведенного лечения.</w:t>
      </w:r>
    </w:p>
    <w:p w14:paraId="6FB5869D" w14:textId="77777777" w:rsidR="007330FB" w:rsidRPr="00F43872" w:rsidRDefault="007330FB" w:rsidP="007330FB">
      <w:pPr>
        <w:pStyle w:val="1d"/>
        <w:ind w:left="0" w:firstLine="709"/>
        <w:contextualSpacing/>
        <w:rPr>
          <w:b/>
          <w:color w:val="000000"/>
        </w:rPr>
      </w:pPr>
      <w:r w:rsidRPr="00F43872">
        <w:rPr>
          <w:b/>
          <w:color w:val="000000"/>
        </w:rPr>
        <w:t>Показания к выписке пациента из стационара:</w:t>
      </w:r>
    </w:p>
    <w:p w14:paraId="21FA2727" w14:textId="77777777" w:rsidR="007330FB" w:rsidRPr="00F43872" w:rsidRDefault="00E47EAE" w:rsidP="007330FB">
      <w:pPr>
        <w:pStyle w:val="1d"/>
        <w:ind w:left="0" w:firstLine="709"/>
        <w:contextualSpacing/>
        <w:rPr>
          <w:color w:val="000000"/>
        </w:rPr>
      </w:pPr>
      <w:r>
        <w:rPr>
          <w:color w:val="000000"/>
        </w:rPr>
        <w:t>1.</w:t>
      </w:r>
      <w:r w:rsidR="007330FB" w:rsidRPr="00F43872">
        <w:rPr>
          <w:color w:val="000000"/>
        </w:rPr>
        <w:t xml:space="preserve"> Восстановление показателей периферической крови (лейкоциты более 1</w:t>
      </w:r>
      <w:r w:rsidR="007330FB">
        <w:rPr>
          <w:color w:val="000000"/>
          <w:lang w:val="en-US"/>
        </w:rPr>
        <w:t> </w:t>
      </w:r>
      <w:r w:rsidRPr="00E47EAE">
        <w:rPr>
          <w:color w:val="000000"/>
        </w:rPr>
        <w:t>×</w:t>
      </w:r>
      <w:r w:rsidR="007330FB">
        <w:rPr>
          <w:color w:val="000000"/>
          <w:lang w:val="en-US"/>
        </w:rPr>
        <w:t> </w:t>
      </w:r>
      <w:r w:rsidR="007330FB" w:rsidRPr="00F43872">
        <w:rPr>
          <w:color w:val="000000"/>
        </w:rPr>
        <w:t>10</w:t>
      </w:r>
      <w:r w:rsidR="007330FB" w:rsidRPr="00F43872">
        <w:rPr>
          <w:color w:val="000000"/>
          <w:vertAlign w:val="superscript"/>
        </w:rPr>
        <w:t>9</w:t>
      </w:r>
      <w:r w:rsidR="007330FB" w:rsidRPr="00F43872">
        <w:rPr>
          <w:color w:val="000000"/>
        </w:rPr>
        <w:t>/л, гранулоциты более 0,5</w:t>
      </w:r>
      <w:r w:rsidR="007330FB">
        <w:rPr>
          <w:color w:val="000000"/>
          <w:lang w:val="en-US"/>
        </w:rPr>
        <w:t> </w:t>
      </w:r>
      <w:r w:rsidRPr="00E47EAE">
        <w:rPr>
          <w:color w:val="000000"/>
        </w:rPr>
        <w:t>×</w:t>
      </w:r>
      <w:r w:rsidR="007330FB">
        <w:rPr>
          <w:color w:val="000000"/>
          <w:lang w:val="en-US"/>
        </w:rPr>
        <w:t> </w:t>
      </w:r>
      <w:r w:rsidR="007330FB" w:rsidRPr="00F43872">
        <w:rPr>
          <w:color w:val="000000"/>
        </w:rPr>
        <w:t>10</w:t>
      </w:r>
      <w:r w:rsidR="007330FB" w:rsidRPr="00F43872">
        <w:rPr>
          <w:color w:val="000000"/>
          <w:vertAlign w:val="superscript"/>
        </w:rPr>
        <w:t>9</w:t>
      </w:r>
      <w:r w:rsidR="007330FB" w:rsidRPr="00F43872">
        <w:rPr>
          <w:color w:val="000000"/>
        </w:rPr>
        <w:t>/л, тромбоциты более 50</w:t>
      </w:r>
      <w:r w:rsidR="007330FB">
        <w:rPr>
          <w:color w:val="000000"/>
          <w:lang w:val="en-US"/>
        </w:rPr>
        <w:t> </w:t>
      </w:r>
      <w:r w:rsidRPr="00E47EAE">
        <w:rPr>
          <w:color w:val="000000"/>
        </w:rPr>
        <w:t>×</w:t>
      </w:r>
      <w:r w:rsidR="007330FB">
        <w:rPr>
          <w:color w:val="000000"/>
          <w:lang w:val="en-US"/>
        </w:rPr>
        <w:t> </w:t>
      </w:r>
      <w:r w:rsidR="007330FB" w:rsidRPr="00F43872">
        <w:rPr>
          <w:color w:val="000000"/>
        </w:rPr>
        <w:t>10</w:t>
      </w:r>
      <w:r w:rsidR="007330FB" w:rsidRPr="00F43872">
        <w:rPr>
          <w:color w:val="000000"/>
          <w:vertAlign w:val="superscript"/>
        </w:rPr>
        <w:t>9</w:t>
      </w:r>
      <w:r>
        <w:rPr>
          <w:color w:val="000000"/>
        </w:rPr>
        <w:t>/л, гемоглобин</w:t>
      </w:r>
      <w:r w:rsidR="007330FB" w:rsidRPr="00F43872">
        <w:rPr>
          <w:color w:val="000000"/>
        </w:rPr>
        <w:t xml:space="preserve"> более 80 г/л) после очередного курса ХТ</w:t>
      </w:r>
      <w:r>
        <w:rPr>
          <w:color w:val="000000"/>
        </w:rPr>
        <w:t>.</w:t>
      </w:r>
    </w:p>
    <w:p w14:paraId="14BCCF39" w14:textId="77777777" w:rsidR="007330FB" w:rsidRPr="00F43872" w:rsidRDefault="00E47EAE" w:rsidP="007330FB">
      <w:pPr>
        <w:pStyle w:val="1d"/>
        <w:ind w:left="0" w:firstLine="709"/>
        <w:contextualSpacing/>
        <w:rPr>
          <w:color w:val="000000"/>
        </w:rPr>
      </w:pPr>
      <w:r>
        <w:rPr>
          <w:color w:val="000000"/>
        </w:rPr>
        <w:t>2.</w:t>
      </w:r>
      <w:r w:rsidR="007330FB" w:rsidRPr="00F43872">
        <w:rPr>
          <w:color w:val="000000"/>
        </w:rPr>
        <w:t xml:space="preserve"> Нор</w:t>
      </w:r>
      <w:r>
        <w:rPr>
          <w:color w:val="000000"/>
        </w:rPr>
        <w:t>мотермия в течение 3–</w:t>
      </w:r>
      <w:r w:rsidR="00E350DE">
        <w:rPr>
          <w:color w:val="000000"/>
        </w:rPr>
        <w:t>5 сут</w:t>
      </w:r>
      <w:r w:rsidR="007330FB" w:rsidRPr="00F43872">
        <w:rPr>
          <w:color w:val="000000"/>
        </w:rPr>
        <w:t xml:space="preserve"> и отсутствие неконтролируемых инфекционных осложнений в послекурсовом периоде</w:t>
      </w:r>
      <w:r w:rsidR="00E350DE">
        <w:rPr>
          <w:color w:val="000000"/>
        </w:rPr>
        <w:t>.</w:t>
      </w:r>
    </w:p>
    <w:p w14:paraId="2A667F32" w14:textId="77777777" w:rsidR="007330FB" w:rsidRPr="00F43872" w:rsidRDefault="00E350DE" w:rsidP="007330FB">
      <w:pPr>
        <w:pStyle w:val="1d"/>
        <w:ind w:left="0" w:firstLine="709"/>
        <w:contextualSpacing/>
        <w:rPr>
          <w:color w:val="000000"/>
        </w:rPr>
      </w:pPr>
      <w:r>
        <w:rPr>
          <w:color w:val="000000"/>
        </w:rPr>
        <w:t>3.</w:t>
      </w:r>
      <w:r w:rsidR="007330FB" w:rsidRPr="00F43872">
        <w:rPr>
          <w:color w:val="000000"/>
        </w:rPr>
        <w:t xml:space="preserve"> Купирование геморрагических осложнений</w:t>
      </w:r>
      <w:r>
        <w:rPr>
          <w:color w:val="000000"/>
        </w:rPr>
        <w:t>.</w:t>
      </w:r>
    </w:p>
    <w:p w14:paraId="392A7190" w14:textId="77777777" w:rsidR="007330FB" w:rsidRPr="00F43872" w:rsidRDefault="00E350DE" w:rsidP="007330FB">
      <w:pPr>
        <w:pStyle w:val="1d"/>
        <w:ind w:left="0" w:firstLine="709"/>
        <w:contextualSpacing/>
        <w:rPr>
          <w:color w:val="000000"/>
        </w:rPr>
      </w:pPr>
      <w:r>
        <w:rPr>
          <w:color w:val="000000"/>
        </w:rPr>
        <w:t>4.</w:t>
      </w:r>
      <w:r w:rsidR="007330FB" w:rsidRPr="00F43872">
        <w:rPr>
          <w:color w:val="000000"/>
        </w:rPr>
        <w:t xml:space="preserve"> </w:t>
      </w:r>
      <w:r w:rsidR="00B94DB7">
        <w:rPr>
          <w:color w:val="000000"/>
        </w:rPr>
        <w:t>К</w:t>
      </w:r>
      <w:r w:rsidR="007330FB" w:rsidRPr="00F43872">
        <w:rPr>
          <w:color w:val="000000"/>
        </w:rPr>
        <w:t>упирование тромботических осложнений</w:t>
      </w:r>
      <w:r>
        <w:rPr>
          <w:color w:val="000000"/>
        </w:rPr>
        <w:t>.</w:t>
      </w:r>
    </w:p>
    <w:p w14:paraId="2C537755" w14:textId="77777777" w:rsidR="007330FB" w:rsidRDefault="00E350DE" w:rsidP="007330FB">
      <w:pPr>
        <w:pStyle w:val="1d"/>
        <w:ind w:left="0" w:firstLine="709"/>
        <w:contextualSpacing/>
        <w:rPr>
          <w:color w:val="000000"/>
        </w:rPr>
      </w:pPr>
      <w:r>
        <w:rPr>
          <w:color w:val="000000"/>
        </w:rPr>
        <w:t>5.</w:t>
      </w:r>
      <w:r w:rsidR="007330FB" w:rsidRPr="00F43872">
        <w:rPr>
          <w:color w:val="000000"/>
        </w:rPr>
        <w:t xml:space="preserve"> Купирование системных нарушени</w:t>
      </w:r>
      <w:r w:rsidR="008F34D9">
        <w:rPr>
          <w:color w:val="000000"/>
        </w:rPr>
        <w:t>й</w:t>
      </w:r>
      <w:r w:rsidR="007330FB" w:rsidRPr="00F43872">
        <w:rPr>
          <w:color w:val="000000"/>
        </w:rPr>
        <w:t xml:space="preserve">, обусловленных течением основного заболевания или </w:t>
      </w:r>
      <w:r w:rsidR="0027093F" w:rsidRPr="00F43872">
        <w:rPr>
          <w:color w:val="000000"/>
        </w:rPr>
        <w:t>р</w:t>
      </w:r>
      <w:r w:rsidR="0027093F">
        <w:rPr>
          <w:color w:val="000000"/>
        </w:rPr>
        <w:t>а</w:t>
      </w:r>
      <w:r w:rsidR="0027093F" w:rsidRPr="00F43872">
        <w:rPr>
          <w:color w:val="000000"/>
        </w:rPr>
        <w:t xml:space="preserve">звившихся </w:t>
      </w:r>
      <w:r w:rsidR="007330FB" w:rsidRPr="00F43872">
        <w:rPr>
          <w:color w:val="000000"/>
        </w:rPr>
        <w:t>вследствие проведенного лечения</w:t>
      </w:r>
      <w:r w:rsidR="007330FB">
        <w:rPr>
          <w:color w:val="000000"/>
        </w:rPr>
        <w:t>.</w:t>
      </w:r>
    </w:p>
    <w:p w14:paraId="1915BF70" w14:textId="77777777" w:rsidR="00841090" w:rsidRDefault="00841090" w:rsidP="00E350DE">
      <w:pPr>
        <w:pStyle w:val="1d"/>
        <w:ind w:left="0" w:firstLine="0"/>
        <w:contextualSpacing/>
      </w:pPr>
      <w:r>
        <w:t xml:space="preserve">Заключение о целесообразности перевода больного в профильную медицинскую организацию осуществляется после предварительной консультации по предоставленным медицинским документам и/или предварительного осмотра больного врачами </w:t>
      </w:r>
      <w:r w:rsidR="00E350DE">
        <w:t xml:space="preserve">– </w:t>
      </w:r>
      <w:r>
        <w:t>специалистами медицинской организации, в которую планируется перевод.</w:t>
      </w:r>
    </w:p>
    <w:p w14:paraId="725DF111" w14:textId="77777777" w:rsidR="0056446F" w:rsidRDefault="0056446F" w:rsidP="0042136A">
      <w:pPr>
        <w:pStyle w:val="1d"/>
        <w:ind w:left="0" w:firstLine="0"/>
        <w:contextualSpacing/>
        <w:rPr>
          <w:b/>
        </w:rPr>
      </w:pPr>
      <w:r>
        <w:t>Перед началом проведения терапии рекомендуется информировать в</w:t>
      </w:r>
      <w:r w:rsidRPr="00CA7FDC">
        <w:t>се</w:t>
      </w:r>
      <w:r>
        <w:t>х пациентов</w:t>
      </w:r>
      <w:r w:rsidRPr="00CA7FDC">
        <w:t xml:space="preserve"> о риске беспло</w:t>
      </w:r>
      <w:r>
        <w:t>дия после проведения терапии и</w:t>
      </w:r>
      <w:r w:rsidRPr="00CA7FDC">
        <w:t xml:space="preserve"> потенциальных методах сохранения фертильности</w:t>
      </w:r>
      <w:r>
        <w:t xml:space="preserve">, а также </w:t>
      </w:r>
      <w:r w:rsidRPr="00CA7FDC">
        <w:t>о необходимости использования эффективных методов контрацепции в течение минимум одного года после завершения терапии</w:t>
      </w:r>
      <w:r>
        <w:t>.</w:t>
      </w:r>
    </w:p>
    <w:p w14:paraId="18F62106" w14:textId="77777777" w:rsidR="0056446F" w:rsidRPr="00FC4A8E" w:rsidRDefault="0056446F" w:rsidP="00E350DE">
      <w:pPr>
        <w:pStyle w:val="1d"/>
        <w:ind w:left="0" w:firstLine="0"/>
        <w:contextualSpacing/>
        <w:rPr>
          <w:color w:val="000000"/>
        </w:rPr>
      </w:pPr>
    </w:p>
    <w:p w14:paraId="5C896F75" w14:textId="77777777" w:rsidR="00ED3693" w:rsidRPr="00C81573" w:rsidRDefault="00ED3693" w:rsidP="00ED3693">
      <w:pPr>
        <w:pStyle w:val="aff9"/>
      </w:pPr>
      <w:bookmarkStart w:id="169" w:name="_Toc11747749"/>
      <w:bookmarkStart w:id="170" w:name="_Toc25184499"/>
      <w:bookmarkStart w:id="171" w:name="_Toc64565652"/>
      <w:r w:rsidRPr="00C81573">
        <w:t>7. Дополнительная информация (в том числе факторы, влияющие на исход заболеванияили состояния)</w:t>
      </w:r>
      <w:bookmarkEnd w:id="169"/>
      <w:bookmarkEnd w:id="170"/>
      <w:bookmarkEnd w:id="171"/>
    </w:p>
    <w:p w14:paraId="21772DBB" w14:textId="766DDF49" w:rsidR="0076030D" w:rsidRPr="004A2362" w:rsidRDefault="00FC258D" w:rsidP="004905C2">
      <w:pPr>
        <w:pStyle w:val="2"/>
      </w:pPr>
      <w:bookmarkStart w:id="172" w:name="_Toc64565653"/>
      <w:r w:rsidRPr="00FC258D">
        <w:t xml:space="preserve">7.1. </w:t>
      </w:r>
      <w:r w:rsidR="0076030D" w:rsidRPr="004A2362">
        <w:t>Полноценное соблюдение протоколов лечения (режима терапии)</w:t>
      </w:r>
      <w:bookmarkEnd w:id="172"/>
      <w:r w:rsidR="00D4700D">
        <w:t xml:space="preserve"> лейкоза</w:t>
      </w:r>
    </w:p>
    <w:p w14:paraId="74222FA1" w14:textId="79805BC4" w:rsidR="0076030D" w:rsidRDefault="0076030D" w:rsidP="00C24361">
      <w:pPr>
        <w:shd w:val="clear" w:color="auto" w:fill="FFFFFF"/>
        <w:ind w:firstLine="709"/>
        <w:contextualSpacing/>
        <w:rPr>
          <w:iCs/>
          <w:szCs w:val="24"/>
        </w:rPr>
      </w:pPr>
      <w:r w:rsidRPr="00FC258D">
        <w:rPr>
          <w:iCs/>
          <w:szCs w:val="24"/>
        </w:rPr>
        <w:t>Способность завершить полный курс индукционно-консолидационной терапии в течение указанного периода времени, а затем выполнять поддерживающую терапию в полном объеме является четким прогностическим фактором, неоднократно продемон</w:t>
      </w:r>
      <w:r w:rsidR="00D97442" w:rsidRPr="00FC258D">
        <w:rPr>
          <w:iCs/>
          <w:szCs w:val="24"/>
        </w:rPr>
        <w:t>стрировавшим свою значимость в р</w:t>
      </w:r>
      <w:r w:rsidRPr="00FC258D">
        <w:rPr>
          <w:iCs/>
          <w:szCs w:val="24"/>
        </w:rPr>
        <w:t xml:space="preserve">оссийских исследованиях. С этой концепцией </w:t>
      </w:r>
      <w:r w:rsidRPr="00FC258D">
        <w:rPr>
          <w:iCs/>
          <w:szCs w:val="24"/>
        </w:rPr>
        <w:lastRenderedPageBreak/>
        <w:t xml:space="preserve">согласны и зарубежные исследователи. Адекватное </w:t>
      </w:r>
      <w:r w:rsidR="00B94DB7" w:rsidRPr="00FC258D">
        <w:rPr>
          <w:iCs/>
          <w:szCs w:val="24"/>
        </w:rPr>
        <w:t xml:space="preserve">ХТ </w:t>
      </w:r>
      <w:r w:rsidRPr="00FC258D">
        <w:rPr>
          <w:iCs/>
          <w:szCs w:val="24"/>
        </w:rPr>
        <w:t>воздействие остается фундаментом успешного лечения. К сожалению, неадекватность выполне</w:t>
      </w:r>
      <w:r w:rsidR="0027093F" w:rsidRPr="00FC258D">
        <w:rPr>
          <w:iCs/>
          <w:szCs w:val="24"/>
        </w:rPr>
        <w:t>н</w:t>
      </w:r>
      <w:r w:rsidRPr="00FC258D">
        <w:rPr>
          <w:iCs/>
          <w:szCs w:val="24"/>
        </w:rPr>
        <w:t>ия протоколов лечения до сих является одной из основных причин значительно меньш</w:t>
      </w:r>
      <w:r w:rsidR="00E42C04" w:rsidRPr="00FC258D">
        <w:rPr>
          <w:iCs/>
          <w:szCs w:val="24"/>
        </w:rPr>
        <w:t>ей эффективности лечения пациентов с</w:t>
      </w:r>
      <w:r w:rsidRPr="00FC258D">
        <w:rPr>
          <w:iCs/>
          <w:szCs w:val="24"/>
        </w:rPr>
        <w:t xml:space="preserve"> </w:t>
      </w:r>
      <w:r w:rsidR="00B94DB7" w:rsidRPr="00FC258D">
        <w:rPr>
          <w:iCs/>
          <w:szCs w:val="24"/>
        </w:rPr>
        <w:t>ОЛ</w:t>
      </w:r>
      <w:r w:rsidRPr="00FC258D">
        <w:rPr>
          <w:iCs/>
          <w:szCs w:val="24"/>
        </w:rPr>
        <w:t xml:space="preserve"> во м</w:t>
      </w:r>
      <w:r w:rsidR="00E53122" w:rsidRPr="00FC258D">
        <w:rPr>
          <w:iCs/>
          <w:szCs w:val="24"/>
        </w:rPr>
        <w:t>ногих гематологических центрах.</w:t>
      </w:r>
    </w:p>
    <w:p w14:paraId="6FD10C1D" w14:textId="77E3DA19" w:rsidR="00D4700D" w:rsidRPr="00751ECD" w:rsidRDefault="00D4700D" w:rsidP="00D4700D">
      <w:pPr>
        <w:pStyle w:val="2"/>
      </w:pPr>
      <w:bookmarkStart w:id="173" w:name="_Toc64295958"/>
      <w:bookmarkStart w:id="174" w:name="_Toc64477688"/>
      <w:bookmarkStart w:id="175" w:name="_Toc64624786"/>
      <w:r>
        <w:t xml:space="preserve">7.2 </w:t>
      </w:r>
      <w:r w:rsidRPr="00C731E3">
        <w:t>Профилактика, диагностика и лечение геморрагических осложнений</w:t>
      </w:r>
      <w:bookmarkEnd w:id="173"/>
      <w:bookmarkEnd w:id="174"/>
      <w:bookmarkEnd w:id="175"/>
      <w:r>
        <w:t xml:space="preserve"> у пациентов с лейкозом</w:t>
      </w:r>
    </w:p>
    <w:p w14:paraId="41CA9C50" w14:textId="77777777" w:rsidR="00D4700D" w:rsidRDefault="00D4700D" w:rsidP="00D4700D">
      <w:pPr>
        <w:ind w:firstLine="709"/>
      </w:pPr>
      <w:r w:rsidRPr="00C731E3">
        <w:t xml:space="preserve">Геморрагические </w:t>
      </w:r>
      <w:r>
        <w:t>проявления</w:t>
      </w:r>
      <w:r w:rsidRPr="00C731E3">
        <w:t xml:space="preserve"> </w:t>
      </w:r>
      <w:r>
        <w:t>у пациентов</w:t>
      </w:r>
      <w:r>
        <w:rPr>
          <w:color w:val="FF0000"/>
        </w:rPr>
        <w:t xml:space="preserve"> </w:t>
      </w:r>
      <w:r w:rsidRPr="00751ECD">
        <w:t xml:space="preserve">с ОМЛ </w:t>
      </w:r>
      <w:r>
        <w:t xml:space="preserve">отличаются многообразием и могут быть </w:t>
      </w:r>
      <w:r w:rsidRPr="00B81EE6">
        <w:t xml:space="preserve">обусловлены как самим заболеванием, так и его осложнениями, </w:t>
      </w:r>
      <w:r>
        <w:t>в том числе вследствие</w:t>
      </w:r>
      <w:r w:rsidRPr="00B81EE6">
        <w:t xml:space="preserve"> проведения </w:t>
      </w:r>
      <w:r>
        <w:t xml:space="preserve">специфической терапии, а также появиться в результате проводимой антитромботической терапии. </w:t>
      </w:r>
      <w:r w:rsidRPr="00C731E3">
        <w:t xml:space="preserve">Геморрагические </w:t>
      </w:r>
      <w:r>
        <w:t xml:space="preserve">проявления могут встречаться на любом этапе диагностики и лечения заболевания ОМЛ. </w:t>
      </w:r>
      <w:r w:rsidRPr="0096696C">
        <w:t xml:space="preserve">Для предотвращения </w:t>
      </w:r>
      <w:r>
        <w:t>геморрагических нарушений</w:t>
      </w:r>
      <w:r w:rsidRPr="0096696C">
        <w:t xml:space="preserve"> требуется </w:t>
      </w:r>
      <w:r>
        <w:t xml:space="preserve">динамический лабораторный контроль </w:t>
      </w:r>
      <w:r w:rsidRPr="0096696C">
        <w:t xml:space="preserve">за показателями </w:t>
      </w:r>
      <w:r>
        <w:t xml:space="preserve">периферической </w:t>
      </w:r>
      <w:r w:rsidRPr="0096696C">
        <w:t>крови и коагулограммы</w:t>
      </w:r>
      <w:r>
        <w:t xml:space="preserve"> </w:t>
      </w:r>
      <w:r>
        <w:fldChar w:fldCharType="begin" w:fldLock="1"/>
      </w:r>
      <w:r>
        <w:instrText>ADDIN CSL_CITATION {"citationItems":[{"id":"ITEM-1","itemData":{"ISBN":"978-5-98811-165-8","author":[{"dropping-particle":"","family":"Пантелеев","given":"М.А.","non-dropping-particle":"","parse-names":false,"suffix":""},{"dropping-particle":"","family":"Васильев","given":"С.А.","non-dropping-particle":"","parse-names":false,"suffix":""},{"dropping-particle":"","family":"Синауридзе","given":"Е.И.","non-dropping-particle":"","parse-names":false,"suffix":""},{"dropping-particle":"","family":"Атауллаханов","given":"Ф.И.","non-dropping-particle":"","parse-names":false,"suffix":""}],"id":"ITEM-1","issued":{"date-parts":[["2010"]]},"number-of-pages":"192","title":"Практическая коагулология","type":"book"},"uris":["http://www.mendeley.com/documents/?uuid=36d7b04e-d654-47d2-a073-3cc2bb6e80ce"]}],"mendeley":{"formattedCitation":"[102]","plainTextFormattedCitation":"[102]","previouslyFormattedCitation":"[102]"},"properties":{"noteIndex":0},"schema":"https://github.com/citation-style-language/schema/raw/master/csl-citation.json"}</w:instrText>
      </w:r>
      <w:r>
        <w:fldChar w:fldCharType="separate"/>
      </w:r>
      <w:r>
        <w:rPr>
          <w:noProof/>
        </w:rPr>
        <w:t>[103</w:t>
      </w:r>
      <w:r w:rsidRPr="00AE5EE5">
        <w:rPr>
          <w:noProof/>
        </w:rPr>
        <w:t>]</w:t>
      </w:r>
      <w:r>
        <w:fldChar w:fldCharType="end"/>
      </w:r>
      <w:r w:rsidRPr="0096696C">
        <w:t>.</w:t>
      </w:r>
      <w:r w:rsidRPr="00D61164">
        <w:t xml:space="preserve"> </w:t>
      </w:r>
      <w:r w:rsidRPr="00C731E3">
        <w:t xml:space="preserve">Если появляются ранние признаки геморрагического синдрома или лабораторные </w:t>
      </w:r>
      <w:r>
        <w:t>параметры</w:t>
      </w:r>
      <w:r w:rsidRPr="00C731E3">
        <w:t xml:space="preserve"> указывают на выраженную гипокоагуляцию, </w:t>
      </w:r>
      <w:r>
        <w:t>необходимо решить вопрос о прекращении антикоагулянтной терапии в случае ее проведения или снижении доз препаратов.</w:t>
      </w:r>
    </w:p>
    <w:p w14:paraId="14DB7292" w14:textId="77777777" w:rsidR="00D4700D" w:rsidRDefault="00D4700D" w:rsidP="00D4700D">
      <w:pPr>
        <w:ind w:firstLine="709"/>
      </w:pPr>
      <w:r>
        <w:t>Диагностика и лечение геморрагических осложнений проводится непосредственно в период противоопухолевого химиотерапевтического лечения лейкоза.</w:t>
      </w:r>
    </w:p>
    <w:p w14:paraId="41C705C8" w14:textId="77777777" w:rsidR="00D4700D" w:rsidRDefault="00D4700D" w:rsidP="00D4700D"/>
    <w:p w14:paraId="0B35B315" w14:textId="77777777" w:rsidR="00D4700D" w:rsidRPr="00777FF8" w:rsidRDefault="00D4700D" w:rsidP="00D4700D">
      <w:pPr>
        <w:pStyle w:val="afff7"/>
        <w:spacing w:beforeAutospacing="0" w:afterAutospacing="0"/>
        <w:rPr>
          <w:i/>
          <w:iCs/>
          <w:u w:val="single"/>
        </w:rPr>
      </w:pPr>
      <w:r w:rsidRPr="00777FF8">
        <w:rPr>
          <w:i/>
          <w:iCs/>
          <w:u w:val="single"/>
        </w:rPr>
        <w:t>Клинические проявления.</w:t>
      </w:r>
    </w:p>
    <w:p w14:paraId="2623F5E9" w14:textId="77777777" w:rsidR="00D4700D" w:rsidRDefault="00D4700D" w:rsidP="00D4700D">
      <w:pPr>
        <w:pStyle w:val="afff3"/>
        <w:ind w:left="0" w:firstLine="709"/>
        <w:rPr>
          <w:szCs w:val="24"/>
        </w:rPr>
      </w:pPr>
      <w:r>
        <w:rPr>
          <w:szCs w:val="24"/>
        </w:rPr>
        <w:t>Геморрагический синдром</w:t>
      </w:r>
      <w:r w:rsidRPr="0096696C">
        <w:rPr>
          <w:szCs w:val="24"/>
        </w:rPr>
        <w:t xml:space="preserve"> </w:t>
      </w:r>
      <w:r>
        <w:rPr>
          <w:szCs w:val="24"/>
        </w:rPr>
        <w:t xml:space="preserve">может </w:t>
      </w:r>
      <w:r w:rsidRPr="0096696C">
        <w:rPr>
          <w:szCs w:val="24"/>
        </w:rPr>
        <w:t>проявля</w:t>
      </w:r>
      <w:r>
        <w:rPr>
          <w:szCs w:val="24"/>
        </w:rPr>
        <w:t>ть</w:t>
      </w:r>
      <w:r w:rsidRPr="0096696C">
        <w:rPr>
          <w:szCs w:val="24"/>
        </w:rPr>
        <w:t>ся в виде экхимозов и петехиальных высыпаний; носовых, десневых,</w:t>
      </w:r>
      <w:r>
        <w:rPr>
          <w:szCs w:val="24"/>
        </w:rPr>
        <w:t xml:space="preserve"> луночковых,</w:t>
      </w:r>
      <w:r w:rsidRPr="0096696C">
        <w:rPr>
          <w:szCs w:val="24"/>
        </w:rPr>
        <w:t xml:space="preserve"> геморроидальных, маточных и желудочно-кишечных кровотечений</w:t>
      </w:r>
      <w:r>
        <w:rPr>
          <w:szCs w:val="24"/>
        </w:rPr>
        <w:t xml:space="preserve"> (ЖКК)</w:t>
      </w:r>
      <w:r w:rsidRPr="0096696C">
        <w:rPr>
          <w:szCs w:val="24"/>
        </w:rPr>
        <w:t xml:space="preserve">; </w:t>
      </w:r>
      <w:r>
        <w:rPr>
          <w:szCs w:val="24"/>
        </w:rPr>
        <w:t xml:space="preserve">гематурии или </w:t>
      </w:r>
      <w:r w:rsidRPr="0096696C">
        <w:rPr>
          <w:szCs w:val="24"/>
        </w:rPr>
        <w:t xml:space="preserve">геморрагического цистита; </w:t>
      </w:r>
      <w:r>
        <w:rPr>
          <w:szCs w:val="24"/>
        </w:rPr>
        <w:t xml:space="preserve">кровоизлияний в орбиту; </w:t>
      </w:r>
      <w:r w:rsidRPr="0096696C">
        <w:rPr>
          <w:szCs w:val="24"/>
        </w:rPr>
        <w:t xml:space="preserve">внутримозговых гематом и </w:t>
      </w:r>
      <w:r>
        <w:rPr>
          <w:szCs w:val="24"/>
        </w:rPr>
        <w:t>кровоизлияний в центральную нервную систему (ЦНС), забрюшинных гематом, гемартрозов, гематом мягких тканей и межмышечных гематом</w:t>
      </w:r>
      <w:r w:rsidRPr="0096696C">
        <w:rPr>
          <w:szCs w:val="24"/>
        </w:rPr>
        <w:t xml:space="preserve">. </w:t>
      </w:r>
      <w:r>
        <w:rPr>
          <w:szCs w:val="24"/>
        </w:rPr>
        <w:t xml:space="preserve">Геморрагический синдром может быть спонтанным или посттравматическим/провокационным (после травм, инвазивных вмешательств и др.). </w:t>
      </w:r>
      <w:r w:rsidRPr="0096696C">
        <w:rPr>
          <w:szCs w:val="24"/>
        </w:rPr>
        <w:t xml:space="preserve">С целью ранней диагностики геморрагических осложнений необходимо ежедневно осматривать кожные покровы и слизистые больного, </w:t>
      </w:r>
      <w:r>
        <w:rPr>
          <w:szCs w:val="24"/>
        </w:rPr>
        <w:t>активно выяснять, имею</w:t>
      </w:r>
      <w:r w:rsidRPr="0096696C">
        <w:rPr>
          <w:szCs w:val="24"/>
        </w:rPr>
        <w:t>тся ли какие-либо проявления геморрагического синдрома.</w:t>
      </w:r>
      <w:r>
        <w:rPr>
          <w:szCs w:val="24"/>
        </w:rPr>
        <w:t xml:space="preserve"> Также необходим тщательный сбор анамнеза с уточнением наличия геморрагических проявлений до заболевания лимфомой у самого пациента, а также у его родственников первой линии, с детства, для исключения сочетания лимфомы с наследственными коагулопатиями и тромбоцитопатиями.</w:t>
      </w:r>
    </w:p>
    <w:p w14:paraId="4C9DB7D9" w14:textId="77777777" w:rsidR="00D4700D" w:rsidRDefault="00D4700D" w:rsidP="00D4700D">
      <w:pPr>
        <w:pStyle w:val="afff3"/>
        <w:ind w:left="0"/>
        <w:rPr>
          <w:szCs w:val="24"/>
        </w:rPr>
      </w:pPr>
    </w:p>
    <w:p w14:paraId="59A2CF41" w14:textId="77777777" w:rsidR="00D4700D" w:rsidRPr="00777FF8" w:rsidRDefault="00D4700D" w:rsidP="00D4700D">
      <w:pPr>
        <w:pStyle w:val="afff7"/>
        <w:spacing w:beforeAutospacing="0" w:afterAutospacing="0"/>
        <w:rPr>
          <w:i/>
          <w:iCs/>
          <w:u w:val="single"/>
        </w:rPr>
      </w:pPr>
      <w:r w:rsidRPr="00777FF8">
        <w:rPr>
          <w:i/>
          <w:iCs/>
          <w:u w:val="single"/>
        </w:rPr>
        <w:lastRenderedPageBreak/>
        <w:t>Лабораторная диагностика.</w:t>
      </w:r>
    </w:p>
    <w:p w14:paraId="55F5DF22" w14:textId="7B32DA34" w:rsidR="00D4700D" w:rsidRDefault="00D4700D" w:rsidP="00D4700D">
      <w:pPr>
        <w:ind w:firstLine="709"/>
      </w:pPr>
      <w:r>
        <w:t>Для определения конкретного нарушения, вследствие которого появились геморрагические проявления</w:t>
      </w:r>
      <w:r w:rsidRPr="006E084C">
        <w:t>,</w:t>
      </w:r>
      <w:r>
        <w:t xml:space="preserve"> помимо тщательного сбора анамнеза и жалоб, а также оценки проводимой специфической терапии, в том числе химиотерапии (ХТ</w:t>
      </w:r>
      <w:r w:rsidRPr="006E084C">
        <w:t>),</w:t>
      </w:r>
      <w:r>
        <w:t xml:space="preserve"> </w:t>
      </w:r>
      <w:r w:rsidRPr="004308D7">
        <w:t>обязательно проведение поэтапного лабораторного исследования.</w:t>
      </w:r>
      <w:r>
        <w:t xml:space="preserve"> </w:t>
      </w:r>
    </w:p>
    <w:p w14:paraId="547DF21E" w14:textId="77777777" w:rsidR="00D4700D" w:rsidRPr="009F1473" w:rsidRDefault="00D4700D" w:rsidP="00D4700D">
      <w:pPr>
        <w:ind w:firstLine="709"/>
      </w:pPr>
      <w:r w:rsidRPr="009F1473">
        <w:t>Необходимо проведение следующих исследований</w:t>
      </w:r>
      <w:r>
        <w:t xml:space="preserve"> </w:t>
      </w:r>
      <w:r>
        <w:fldChar w:fldCharType="begin" w:fldLock="1"/>
      </w:r>
      <w:r>
        <w:instrText>ADDIN CSL_CITATION {"citationItems":[{"id":"ITEM-1","itemData":{"DOI":"10.1111/ijlh.12822","ISSN":"1751553X","PMID":"29741250","abstract":"Introduction: Laboratory investigations for bleeding disorders are warranted when an individual has a personal and/or family history of bleeding, and/or laboratory findings that suggest the possibility of an inherited or acquired bleeding disorder. Methods: This review summarizes author's experience with ordering and reporting on diagnostic investigations for common and rare bleeding disorders, with consideration of recent articles on diagnosing bleeding disorders. An updated strategy is presented for investigating common and rare, congenital and acquired bleeding disorders. Results: An investigation of a suspected bleeding disorder requires a practical strategy that considers the clinical problem to be investigated, the pretest probability of true-positive and false-positive findings, the investigations can be performed locally or in a reference laboratory and limit the number of blood samples required to establish a diagnosis. It is often advantageous to simultaneously test for von Willebrand disease and platelet function disorders, and for coagulation defects, including fibrinogen disorders. An investigation for rarer bleeding disorders, including those affecting factor XIII, α2 antiplasmin, and plasminogen activator inhibitor-1, is appropriate when faced with a severe congenital or acquired bleeding problem that cannot be explained by the initial diagnostic investigations. Conclusion: An organized strategy for investigating bleeding disorders that consider important issues, confirms abnormal findings, encourages proper interpretation of the results, and provides a helpful framework for assessing both common and rare causes of bleeding.","author":[{"dropping-particle":"","family":"Hayward","given":"C. P.M.","non-dropping-particle":"","parse-names":false,"suffix":""}],"container-title":"International Journal of Laboratory Hematology","id":"ITEM-1","issued":{"date-parts":[["2018","5","1"]]},"page":"6-14","publisher":"Blackwell Publishing Ltd","title":"How I investigate for bleeding disorders","type":"article","volume":"40"},"uris":["http://www.mendeley.com/documents/?uuid=8c375aab-6218-4ed1-9ecf-6629bbffa285"]},{"id":"ITEM-2","itemData":{"ISBN":"978-5-98811-165-8","author":[{"dropping-particle":"","family":"Пантелеев","given":"М.А.","non-dropping-particle":"","parse-names":false,"suffix":""},{"dropping-particle":"","family":"Васильев","given":"С.А.","non-dropping-particle":"","parse-names":false,"suffix":""},{"dropping-particle":"","family":"Синауридзе","given":"Е.И.","non-dropping-particle":"","parse-names":false,"suffix":""},{"dropping-particle":"","family":"Атауллаханов","given":"Ф.И.","non-dropping-particle":"","parse-names":false,"suffix":""}],"id":"ITEM-2","issued":{"date-parts":[["2010"]]},"number-of-pages":"192","title":"Практическая коагулология","type":"book"},"uris":["http://www.mendeley.com/documents/?uuid=36d7b04e-d654-47d2-a073-3cc2bb6e80ce"]}],"mendeley":{"formattedCitation":"[102,103]","plainTextFormattedCitation":"[102,103]","previouslyFormattedCitation":"[102,103]"},"properties":{"noteIndex":0},"schema":"https://github.com/citation-style-language/schema/raw/master/csl-citation.json"}</w:instrText>
      </w:r>
      <w:r>
        <w:fldChar w:fldCharType="separate"/>
      </w:r>
      <w:r>
        <w:rPr>
          <w:noProof/>
        </w:rPr>
        <w:t>[103,104</w:t>
      </w:r>
      <w:r w:rsidRPr="00AE5EE5">
        <w:rPr>
          <w:noProof/>
        </w:rPr>
        <w:t>]</w:t>
      </w:r>
      <w:r>
        <w:fldChar w:fldCharType="end"/>
      </w:r>
      <w:r w:rsidRPr="009F1473">
        <w:t xml:space="preserve">: </w:t>
      </w:r>
    </w:p>
    <w:p w14:paraId="7EBE4FC5" w14:textId="4C50C556" w:rsidR="00D4700D" w:rsidRPr="00777FF8" w:rsidRDefault="00D4700D" w:rsidP="00461889">
      <w:pPr>
        <w:pStyle w:val="afff3"/>
        <w:widowControl/>
        <w:numPr>
          <w:ilvl w:val="1"/>
          <w:numId w:val="256"/>
        </w:numPr>
        <w:autoSpaceDE/>
        <w:autoSpaceDN/>
        <w:adjustRightInd/>
        <w:contextualSpacing w:val="0"/>
        <w:rPr>
          <w:szCs w:val="24"/>
        </w:rPr>
      </w:pPr>
      <w:r w:rsidRPr="00777FF8">
        <w:rPr>
          <w:szCs w:val="24"/>
        </w:rPr>
        <w:t>Исследование периферической крови с подсчетом количества эритроцитов, гемоглобина и гематокрита, тромбоцитов (с подсчетом в мазке по Фонио), лейкоцитов, лейкоцитарной формулы – обязательно при диагностике, далее - по показаниям с целью оценки динамики гематологических показателей и для контроля эффективности</w:t>
      </w:r>
      <w:r>
        <w:rPr>
          <w:szCs w:val="24"/>
        </w:rPr>
        <w:t xml:space="preserve"> </w:t>
      </w:r>
      <w:r w:rsidRPr="00777FF8">
        <w:rPr>
          <w:szCs w:val="24"/>
        </w:rPr>
        <w:t>лечения</w:t>
      </w:r>
      <w:r>
        <w:t xml:space="preserve">. </w:t>
      </w:r>
      <w:r w:rsidRPr="00777FF8">
        <w:rPr>
          <w:szCs w:val="24"/>
        </w:rPr>
        <w:t>При снижении количества тромбоцитов ≤ 20х10</w:t>
      </w:r>
      <w:r w:rsidRPr="00777FF8">
        <w:rPr>
          <w:szCs w:val="24"/>
          <w:vertAlign w:val="superscript"/>
        </w:rPr>
        <w:t>9</w:t>
      </w:r>
      <w:r w:rsidRPr="00777FF8">
        <w:rPr>
          <w:szCs w:val="24"/>
        </w:rPr>
        <w:t xml:space="preserve"> мкл геморрагические осложнения высоковероятны. Однако не всегда тяжесть геморрагических проявлений прямо коррелирует со степенью тромбоцитопении.</w:t>
      </w:r>
    </w:p>
    <w:p w14:paraId="660747D4" w14:textId="77777777" w:rsidR="00D4700D" w:rsidRDefault="00D4700D" w:rsidP="00461889">
      <w:pPr>
        <w:pStyle w:val="afff3"/>
        <w:widowControl/>
        <w:numPr>
          <w:ilvl w:val="1"/>
          <w:numId w:val="256"/>
        </w:numPr>
        <w:autoSpaceDE/>
        <w:autoSpaceDN/>
        <w:adjustRightInd/>
        <w:contextualSpacing w:val="0"/>
        <w:rPr>
          <w:szCs w:val="24"/>
        </w:rPr>
      </w:pPr>
      <w:r w:rsidRPr="00777FF8">
        <w:rPr>
          <w:szCs w:val="24"/>
        </w:rPr>
        <w:t>Коагулограмма с определением следующих показателей:</w:t>
      </w:r>
    </w:p>
    <w:p w14:paraId="405B753E" w14:textId="77777777" w:rsidR="00D4700D" w:rsidRDefault="00D4700D" w:rsidP="00461889">
      <w:pPr>
        <w:pStyle w:val="afff3"/>
        <w:widowControl/>
        <w:numPr>
          <w:ilvl w:val="2"/>
          <w:numId w:val="258"/>
        </w:numPr>
        <w:autoSpaceDE/>
        <w:autoSpaceDN/>
        <w:adjustRightInd/>
        <w:contextualSpacing w:val="0"/>
        <w:rPr>
          <w:szCs w:val="24"/>
        </w:rPr>
      </w:pPr>
      <w:r w:rsidRPr="00777FF8">
        <w:rPr>
          <w:szCs w:val="24"/>
        </w:rPr>
        <w:t>активированное частичное тромбопластиновое время (АЧТВ);</w:t>
      </w:r>
    </w:p>
    <w:p w14:paraId="0FADB494" w14:textId="77777777" w:rsidR="00D4700D" w:rsidRDefault="00D4700D" w:rsidP="00461889">
      <w:pPr>
        <w:pStyle w:val="afff3"/>
        <w:widowControl/>
        <w:numPr>
          <w:ilvl w:val="2"/>
          <w:numId w:val="258"/>
        </w:numPr>
        <w:autoSpaceDE/>
        <w:autoSpaceDN/>
        <w:adjustRightInd/>
        <w:contextualSpacing w:val="0"/>
        <w:rPr>
          <w:szCs w:val="24"/>
        </w:rPr>
      </w:pPr>
      <w:r w:rsidRPr="00777FF8">
        <w:rPr>
          <w:szCs w:val="24"/>
        </w:rPr>
        <w:t>тромбиновое время (ТВ);</w:t>
      </w:r>
    </w:p>
    <w:p w14:paraId="15F53835" w14:textId="77777777" w:rsidR="00D4700D" w:rsidRDefault="00D4700D" w:rsidP="00461889">
      <w:pPr>
        <w:pStyle w:val="afff3"/>
        <w:widowControl/>
        <w:numPr>
          <w:ilvl w:val="2"/>
          <w:numId w:val="258"/>
        </w:numPr>
        <w:autoSpaceDE/>
        <w:autoSpaceDN/>
        <w:adjustRightInd/>
        <w:contextualSpacing w:val="0"/>
        <w:rPr>
          <w:szCs w:val="24"/>
        </w:rPr>
      </w:pPr>
      <w:r w:rsidRPr="00777FF8">
        <w:rPr>
          <w:szCs w:val="24"/>
        </w:rPr>
        <w:t>протромбин по Квику (международное нормализованное отношение - МНО);</w:t>
      </w:r>
    </w:p>
    <w:p w14:paraId="7B7A03B2" w14:textId="77777777" w:rsidR="00D4700D" w:rsidRDefault="00D4700D" w:rsidP="00461889">
      <w:pPr>
        <w:pStyle w:val="afff3"/>
        <w:widowControl/>
        <w:numPr>
          <w:ilvl w:val="2"/>
          <w:numId w:val="258"/>
        </w:numPr>
        <w:autoSpaceDE/>
        <w:autoSpaceDN/>
        <w:adjustRightInd/>
        <w:contextualSpacing w:val="0"/>
        <w:rPr>
          <w:szCs w:val="24"/>
        </w:rPr>
      </w:pPr>
      <w:r w:rsidRPr="00777FF8">
        <w:rPr>
          <w:szCs w:val="24"/>
        </w:rPr>
        <w:t>плазменная концентрация фибриногена;</w:t>
      </w:r>
    </w:p>
    <w:p w14:paraId="12ECB795" w14:textId="51AF46E3" w:rsidR="00D4700D" w:rsidRDefault="00D4700D" w:rsidP="00461889">
      <w:pPr>
        <w:pStyle w:val="afff3"/>
        <w:widowControl/>
        <w:numPr>
          <w:ilvl w:val="2"/>
          <w:numId w:val="258"/>
        </w:numPr>
        <w:autoSpaceDE/>
        <w:autoSpaceDN/>
        <w:adjustRightInd/>
        <w:contextualSpacing w:val="0"/>
        <w:rPr>
          <w:szCs w:val="24"/>
        </w:rPr>
      </w:pPr>
      <w:r w:rsidRPr="00777FF8">
        <w:rPr>
          <w:szCs w:val="24"/>
        </w:rPr>
        <w:t>активность фактора Виллебранда (</w:t>
      </w:r>
      <w:r w:rsidRPr="00777FF8">
        <w:rPr>
          <w:szCs w:val="24"/>
          <w:lang w:val="en-US"/>
        </w:rPr>
        <w:t>vWF</w:t>
      </w:r>
      <w:r w:rsidRPr="00777FF8">
        <w:rPr>
          <w:szCs w:val="24"/>
        </w:rPr>
        <w:t xml:space="preserve">) и антигена </w:t>
      </w:r>
      <w:r w:rsidRPr="00777FF8">
        <w:rPr>
          <w:szCs w:val="24"/>
          <w:lang w:val="en-US"/>
        </w:rPr>
        <w:t>vWF</w:t>
      </w:r>
      <w:r w:rsidRPr="00777FF8">
        <w:rPr>
          <w:szCs w:val="24"/>
        </w:rPr>
        <w:t xml:space="preserve"> (</w:t>
      </w:r>
      <w:r w:rsidRPr="00777FF8">
        <w:rPr>
          <w:szCs w:val="24"/>
          <w:lang w:val="en-US"/>
        </w:rPr>
        <w:t>ag</w:t>
      </w:r>
      <w:r w:rsidRPr="00777FF8">
        <w:rPr>
          <w:szCs w:val="24"/>
        </w:rPr>
        <w:t>-</w:t>
      </w:r>
      <w:r w:rsidRPr="00777FF8">
        <w:rPr>
          <w:szCs w:val="24"/>
          <w:lang w:val="en-US"/>
        </w:rPr>
        <w:t>vWF</w:t>
      </w:r>
      <w:r w:rsidRPr="00777FF8">
        <w:rPr>
          <w:szCs w:val="24"/>
        </w:rPr>
        <w:t>) – по показаниям;</w:t>
      </w:r>
    </w:p>
    <w:p w14:paraId="1E4B829B" w14:textId="77777777" w:rsidR="00D4700D" w:rsidRDefault="00D4700D" w:rsidP="00461889">
      <w:pPr>
        <w:pStyle w:val="afff3"/>
        <w:widowControl/>
        <w:numPr>
          <w:ilvl w:val="2"/>
          <w:numId w:val="258"/>
        </w:numPr>
        <w:autoSpaceDE/>
        <w:autoSpaceDN/>
        <w:adjustRightInd/>
        <w:contextualSpacing w:val="0"/>
        <w:rPr>
          <w:szCs w:val="24"/>
        </w:rPr>
      </w:pPr>
      <w:r w:rsidRPr="00777FF8">
        <w:rPr>
          <w:szCs w:val="24"/>
        </w:rPr>
        <w:t xml:space="preserve">плазменная концентрация антитромбина III (АТ </w:t>
      </w:r>
      <w:r w:rsidRPr="00777FF8">
        <w:rPr>
          <w:szCs w:val="24"/>
          <w:lang w:val="en-US"/>
        </w:rPr>
        <w:t>III</w:t>
      </w:r>
      <w:r w:rsidRPr="00777FF8">
        <w:rPr>
          <w:szCs w:val="24"/>
        </w:rPr>
        <w:t>) – по показаниям;</w:t>
      </w:r>
    </w:p>
    <w:p w14:paraId="51DE45FB" w14:textId="77777777" w:rsidR="00D4700D" w:rsidRDefault="00D4700D" w:rsidP="00461889">
      <w:pPr>
        <w:pStyle w:val="afff3"/>
        <w:widowControl/>
        <w:numPr>
          <w:ilvl w:val="2"/>
          <w:numId w:val="258"/>
        </w:numPr>
        <w:autoSpaceDE/>
        <w:autoSpaceDN/>
        <w:adjustRightInd/>
        <w:contextualSpacing w:val="0"/>
        <w:rPr>
          <w:szCs w:val="24"/>
        </w:rPr>
      </w:pPr>
      <w:r w:rsidRPr="00777FF8">
        <w:rPr>
          <w:szCs w:val="24"/>
        </w:rPr>
        <w:t>агрегация тромбоцитов, индуцированная АДФ, адреналином, ристомицином, коллагеном, арахидоновой кислотой – по показаниям;</w:t>
      </w:r>
    </w:p>
    <w:p w14:paraId="572F8792" w14:textId="77777777" w:rsidR="00D4700D" w:rsidRDefault="00D4700D" w:rsidP="00461889">
      <w:pPr>
        <w:pStyle w:val="afff3"/>
        <w:widowControl/>
        <w:numPr>
          <w:ilvl w:val="2"/>
          <w:numId w:val="258"/>
        </w:numPr>
        <w:autoSpaceDE/>
        <w:autoSpaceDN/>
        <w:adjustRightInd/>
        <w:contextualSpacing w:val="0"/>
        <w:rPr>
          <w:szCs w:val="24"/>
        </w:rPr>
      </w:pPr>
      <w:r w:rsidRPr="00777FF8">
        <w:rPr>
          <w:szCs w:val="24"/>
        </w:rPr>
        <w:t xml:space="preserve">активность факторов свертывания крови </w:t>
      </w:r>
      <w:r w:rsidRPr="00777FF8">
        <w:rPr>
          <w:szCs w:val="24"/>
          <w:lang w:val="en-US"/>
        </w:rPr>
        <w:t>II</w:t>
      </w:r>
      <w:r w:rsidRPr="00777FF8">
        <w:rPr>
          <w:szCs w:val="24"/>
        </w:rPr>
        <w:t xml:space="preserve">, </w:t>
      </w:r>
      <w:r w:rsidRPr="00777FF8">
        <w:rPr>
          <w:szCs w:val="24"/>
          <w:lang w:val="en-US"/>
        </w:rPr>
        <w:t>V</w:t>
      </w:r>
      <w:r w:rsidRPr="00777FF8">
        <w:rPr>
          <w:szCs w:val="24"/>
        </w:rPr>
        <w:t xml:space="preserve">, </w:t>
      </w:r>
      <w:r w:rsidRPr="00777FF8">
        <w:rPr>
          <w:szCs w:val="24"/>
          <w:lang w:val="en-US"/>
        </w:rPr>
        <w:t>VII</w:t>
      </w:r>
      <w:r w:rsidRPr="00777FF8">
        <w:rPr>
          <w:szCs w:val="24"/>
        </w:rPr>
        <w:t xml:space="preserve">, </w:t>
      </w:r>
      <w:r w:rsidRPr="00777FF8">
        <w:rPr>
          <w:szCs w:val="24"/>
          <w:lang w:val="en-US"/>
        </w:rPr>
        <w:t>VIII</w:t>
      </w:r>
      <w:r w:rsidRPr="00777FF8">
        <w:rPr>
          <w:szCs w:val="24"/>
        </w:rPr>
        <w:t xml:space="preserve">, </w:t>
      </w:r>
      <w:r w:rsidRPr="00777FF8">
        <w:rPr>
          <w:szCs w:val="24"/>
          <w:lang w:val="en-US"/>
        </w:rPr>
        <w:t>IX</w:t>
      </w:r>
      <w:r w:rsidRPr="00777FF8">
        <w:rPr>
          <w:szCs w:val="24"/>
        </w:rPr>
        <w:t xml:space="preserve">, </w:t>
      </w:r>
      <w:r w:rsidRPr="00777FF8">
        <w:rPr>
          <w:szCs w:val="24"/>
          <w:lang w:val="en-US"/>
        </w:rPr>
        <w:t>X</w:t>
      </w:r>
      <w:r w:rsidRPr="00777FF8">
        <w:rPr>
          <w:szCs w:val="24"/>
        </w:rPr>
        <w:t xml:space="preserve">, </w:t>
      </w:r>
      <w:r w:rsidRPr="00777FF8">
        <w:rPr>
          <w:szCs w:val="24"/>
          <w:lang w:val="en-US"/>
        </w:rPr>
        <w:t>XI</w:t>
      </w:r>
      <w:r w:rsidRPr="00777FF8">
        <w:rPr>
          <w:szCs w:val="24"/>
        </w:rPr>
        <w:t xml:space="preserve">, </w:t>
      </w:r>
      <w:r w:rsidRPr="00777FF8">
        <w:rPr>
          <w:szCs w:val="24"/>
          <w:lang w:val="en-US"/>
        </w:rPr>
        <w:t>XII</w:t>
      </w:r>
      <w:r w:rsidRPr="00777FF8">
        <w:rPr>
          <w:szCs w:val="24"/>
        </w:rPr>
        <w:t xml:space="preserve">, </w:t>
      </w:r>
      <w:r w:rsidRPr="00777FF8">
        <w:rPr>
          <w:szCs w:val="24"/>
          <w:lang w:val="en-US"/>
        </w:rPr>
        <w:t>XIII</w:t>
      </w:r>
      <w:r w:rsidRPr="00777FF8">
        <w:rPr>
          <w:szCs w:val="24"/>
        </w:rPr>
        <w:t xml:space="preserve"> – по показаниям;</w:t>
      </w:r>
    </w:p>
    <w:p w14:paraId="5570E0A0" w14:textId="77777777" w:rsidR="00D4700D" w:rsidRPr="00777FF8" w:rsidRDefault="00D4700D" w:rsidP="00461889">
      <w:pPr>
        <w:pStyle w:val="afff3"/>
        <w:widowControl/>
        <w:numPr>
          <w:ilvl w:val="2"/>
          <w:numId w:val="258"/>
        </w:numPr>
        <w:autoSpaceDE/>
        <w:autoSpaceDN/>
        <w:adjustRightInd/>
        <w:contextualSpacing w:val="0"/>
        <w:rPr>
          <w:szCs w:val="24"/>
        </w:rPr>
      </w:pPr>
      <w:r w:rsidRPr="00777FF8">
        <w:rPr>
          <w:szCs w:val="24"/>
        </w:rPr>
        <w:t>XIIa-зависимый фибринолиз.</w:t>
      </w:r>
    </w:p>
    <w:p w14:paraId="66664C3D" w14:textId="77777777" w:rsidR="00D4700D" w:rsidRPr="00777FF8" w:rsidRDefault="00D4700D" w:rsidP="00D4700D">
      <w:pPr>
        <w:ind w:firstLine="720"/>
      </w:pPr>
      <w:r w:rsidRPr="00777FF8">
        <w:t xml:space="preserve">Для исследования показателей гемостаза забор крови производят строго натощак, с помощью вакуумных пробирок. Забор крови из катетеров запрещен. Кровь набирают в пробирки, содержащие 3,2% цитрат натрия в соотношении 1:9. Исследование должно проводиться не позднее 2-х часов после забора крови.  Достоверность результатов агрегабельности тромбоцитов можно оценить только при содержании в крови тромбоцитов </w:t>
      </w:r>
      <w:r w:rsidRPr="00777FF8">
        <w:lastRenderedPageBreak/>
        <w:t>≥ 100х10</w:t>
      </w:r>
      <w:r w:rsidRPr="00777FF8">
        <w:rPr>
          <w:vertAlign w:val="superscript"/>
        </w:rPr>
        <w:t>9</w:t>
      </w:r>
      <w:r w:rsidRPr="00777FF8">
        <w:t>/л.</w:t>
      </w:r>
    </w:p>
    <w:p w14:paraId="7D87B27F" w14:textId="77777777" w:rsidR="00D4700D" w:rsidRPr="00777FF8" w:rsidRDefault="00D4700D" w:rsidP="00D4700D">
      <w:pPr>
        <w:ind w:firstLine="720"/>
      </w:pPr>
      <w:r w:rsidRPr="00777FF8">
        <w:t xml:space="preserve">У пациентов с </w:t>
      </w:r>
      <w:r>
        <w:t>лейкоза</w:t>
      </w:r>
      <w:r w:rsidRPr="00777FF8">
        <w:t>ми  уменьшение  протромбина по Квику  (повышение МНО) может быть обусловлено различными видами приобретенного дефицита факторов протромбинового комплекса, в первую очередь вследствие тяжелой патологии печени, механической желтухи, вторичного антифосфолипидного синдрома, токсического действия антикоагулянтов непрямого действия, эндогенного дефицита витамина </w:t>
      </w:r>
      <w:r w:rsidRPr="00777FF8">
        <w:rPr>
          <w:lang w:val="en-US"/>
        </w:rPr>
        <w:t>K</w:t>
      </w:r>
      <w:r w:rsidRPr="00777FF8">
        <w:t>, тяжелых инфекций, онкологических заболеваний системы крови, системного амилоидоза и нефротического синдрома. Кроме того, подобные изменения характерны для наследственного дефицита К-зависимых факторов свертывания крови.</w:t>
      </w:r>
    </w:p>
    <w:p w14:paraId="59D7B962" w14:textId="77777777" w:rsidR="00D4700D" w:rsidRPr="00777FF8" w:rsidRDefault="00D4700D" w:rsidP="00D4700D">
      <w:pPr>
        <w:ind w:left="1418"/>
        <w:rPr>
          <w:b/>
        </w:rPr>
      </w:pPr>
      <w:r w:rsidRPr="00777FF8">
        <w:t>Пациентам с выявленным снижением активности FVIII или FIX рекомендуется выполнить определение специфического ингибитора к сниженному фактору.</w:t>
      </w:r>
      <w:r w:rsidRPr="00777FF8">
        <w:rPr>
          <w:b/>
        </w:rPr>
        <w:t xml:space="preserve"> </w:t>
      </w:r>
    </w:p>
    <w:p w14:paraId="43EFB932" w14:textId="77777777" w:rsidR="00D4700D" w:rsidRPr="00777FF8" w:rsidRDefault="00D4700D" w:rsidP="00461889">
      <w:pPr>
        <w:pStyle w:val="afff3"/>
        <w:widowControl/>
        <w:numPr>
          <w:ilvl w:val="1"/>
          <w:numId w:val="256"/>
        </w:numPr>
        <w:autoSpaceDE/>
        <w:autoSpaceDN/>
        <w:adjustRightInd/>
        <w:contextualSpacing w:val="0"/>
        <w:rPr>
          <w:szCs w:val="24"/>
        </w:rPr>
      </w:pPr>
      <w:r w:rsidRPr="00777FF8">
        <w:rPr>
          <w:szCs w:val="24"/>
        </w:rPr>
        <w:t xml:space="preserve">Биохимический анализ крови: общий белок, альбумины, общий и прямой/непрямой билирубин, АСТ, АЛТ, ЛДГ, мочевая кислота, мочевина, креатинин, щелочная фосфатаза, гамма-ГТП – при диагностике, далее по показаниям. </w:t>
      </w:r>
    </w:p>
    <w:p w14:paraId="5EA08FC6" w14:textId="77777777" w:rsidR="00D4700D" w:rsidRPr="00777FF8" w:rsidRDefault="00D4700D" w:rsidP="00D4700D">
      <w:pPr>
        <w:pStyle w:val="afff3"/>
        <w:ind w:left="1418"/>
        <w:rPr>
          <w:rStyle w:val="affc"/>
          <w:i w:val="0"/>
          <w:szCs w:val="24"/>
        </w:rPr>
      </w:pPr>
      <w:r w:rsidRPr="00961E65">
        <w:rPr>
          <w:rStyle w:val="aff5"/>
          <w:b w:val="0"/>
          <w:bCs w:val="0"/>
          <w:i/>
          <w:iCs/>
          <w:szCs w:val="24"/>
          <w:shd w:val="clear" w:color="auto" w:fill="FFFFFF"/>
        </w:rPr>
        <w:t>В</w:t>
      </w:r>
      <w:r w:rsidRPr="00777FF8">
        <w:rPr>
          <w:rStyle w:val="affc"/>
          <w:szCs w:val="24"/>
        </w:rPr>
        <w:t xml:space="preserve">ыполнение биохимического анализа крови необходимо для уточнения функциональной способности печени, почек, что важно для установления диагноза и выбора адекватной терапии. </w:t>
      </w:r>
    </w:p>
    <w:p w14:paraId="50B88C40" w14:textId="77777777" w:rsidR="00D4700D" w:rsidRPr="00777FF8" w:rsidRDefault="00D4700D" w:rsidP="00461889">
      <w:pPr>
        <w:pStyle w:val="afff3"/>
        <w:widowControl/>
        <w:numPr>
          <w:ilvl w:val="1"/>
          <w:numId w:val="256"/>
        </w:numPr>
        <w:autoSpaceDE/>
        <w:autoSpaceDN/>
        <w:adjustRightInd/>
        <w:contextualSpacing w:val="0"/>
        <w:rPr>
          <w:szCs w:val="24"/>
        </w:rPr>
      </w:pPr>
      <w:r w:rsidRPr="00777FF8">
        <w:rPr>
          <w:szCs w:val="24"/>
        </w:rPr>
        <w:t xml:space="preserve">Определение концентрации гомоцистеина – по показаниям. </w:t>
      </w:r>
    </w:p>
    <w:p w14:paraId="52E94D9D" w14:textId="77777777" w:rsidR="00D4700D" w:rsidRPr="00777FF8" w:rsidRDefault="00D4700D" w:rsidP="00461889">
      <w:pPr>
        <w:pStyle w:val="afff3"/>
        <w:widowControl/>
        <w:numPr>
          <w:ilvl w:val="1"/>
          <w:numId w:val="256"/>
        </w:numPr>
        <w:autoSpaceDE/>
        <w:autoSpaceDN/>
        <w:adjustRightInd/>
        <w:contextualSpacing w:val="0"/>
        <w:rPr>
          <w:szCs w:val="24"/>
        </w:rPr>
      </w:pPr>
      <w:r w:rsidRPr="00777FF8">
        <w:rPr>
          <w:szCs w:val="24"/>
        </w:rPr>
        <w:t>Для верификации диагноза антифосфолипидного синдрома (АФС) необходимо определение волчаночного антикогулянта, антител к кардиолипину IgG, IgM; антител к β2-гликопротеину-1 IgG, IgM с повторным их исследованием через 12 недель – по показаниям.</w:t>
      </w:r>
    </w:p>
    <w:p w14:paraId="5B535C1F" w14:textId="77777777" w:rsidR="00D4700D" w:rsidRPr="000E3106" w:rsidRDefault="00D4700D" w:rsidP="00461889">
      <w:pPr>
        <w:pStyle w:val="Numlist"/>
        <w:numPr>
          <w:ilvl w:val="1"/>
          <w:numId w:val="256"/>
        </w:numPr>
        <w:autoSpaceDE/>
        <w:autoSpaceDN/>
        <w:adjustRightInd/>
        <w:jc w:val="both"/>
      </w:pPr>
      <w:r>
        <w:t>Тромбоэластография, пространственная тромбодинамика и определение тромбинового</w:t>
      </w:r>
      <w:r w:rsidRPr="00CB6966">
        <w:t xml:space="preserve"> потенциал</w:t>
      </w:r>
      <w:r>
        <w:t>а – по показаниям</w:t>
      </w:r>
      <w:r w:rsidRPr="00CB6966">
        <w:t>.</w:t>
      </w:r>
      <w:r>
        <w:t xml:space="preserve"> </w:t>
      </w:r>
    </w:p>
    <w:p w14:paraId="2801F42B" w14:textId="77777777" w:rsidR="00D4700D" w:rsidRPr="00777FF8" w:rsidRDefault="00D4700D" w:rsidP="00461889">
      <w:pPr>
        <w:pStyle w:val="Numlist"/>
        <w:numPr>
          <w:ilvl w:val="1"/>
          <w:numId w:val="256"/>
        </w:numPr>
        <w:autoSpaceDE/>
        <w:autoSpaceDN/>
        <w:adjustRightInd/>
        <w:jc w:val="both"/>
        <w:rPr>
          <w:rStyle w:val="affc"/>
          <w:i w:val="0"/>
        </w:rPr>
      </w:pPr>
      <w:r w:rsidRPr="000E3106">
        <w:t xml:space="preserve">Молекулярно-генетическая диагностика мутаций генов </w:t>
      </w:r>
      <w:r w:rsidRPr="00777FF8">
        <w:rPr>
          <w:lang w:val="en-US"/>
        </w:rPr>
        <w:t>FI</w:t>
      </w:r>
      <w:r w:rsidRPr="00777FF8">
        <w:t xml:space="preserve">, </w:t>
      </w:r>
      <w:r w:rsidRPr="00777FF8">
        <w:rPr>
          <w:lang w:val="en-US"/>
        </w:rPr>
        <w:t>F</w:t>
      </w:r>
      <w:r w:rsidRPr="00777FF8">
        <w:t xml:space="preserve">II, </w:t>
      </w:r>
      <w:r w:rsidRPr="00777FF8">
        <w:rPr>
          <w:lang w:val="en-US"/>
        </w:rPr>
        <w:t>FV</w:t>
      </w:r>
      <w:r w:rsidRPr="00777FF8">
        <w:t xml:space="preserve">, </w:t>
      </w:r>
      <w:r w:rsidRPr="00777FF8">
        <w:rPr>
          <w:lang w:val="en-US"/>
        </w:rPr>
        <w:t>FVII</w:t>
      </w:r>
      <w:r w:rsidRPr="00777FF8">
        <w:t>,</w:t>
      </w:r>
      <w:r w:rsidRPr="000E3106">
        <w:rPr>
          <w:i/>
        </w:rPr>
        <w:t xml:space="preserve"> </w:t>
      </w:r>
      <w:r w:rsidRPr="00777FF8">
        <w:t xml:space="preserve">FVIII, FIX, </w:t>
      </w:r>
      <w:r w:rsidRPr="00777FF8">
        <w:rPr>
          <w:lang w:val="en-US"/>
        </w:rPr>
        <w:t>FX</w:t>
      </w:r>
      <w:r w:rsidRPr="00777FF8">
        <w:t xml:space="preserve">, </w:t>
      </w:r>
      <w:r w:rsidRPr="00777FF8">
        <w:rPr>
          <w:lang w:val="en-US"/>
        </w:rPr>
        <w:t>FXI</w:t>
      </w:r>
      <w:r w:rsidRPr="00777FF8">
        <w:t xml:space="preserve">, </w:t>
      </w:r>
      <w:r w:rsidRPr="00777FF8">
        <w:rPr>
          <w:lang w:val="en-US"/>
        </w:rPr>
        <w:t>FXII</w:t>
      </w:r>
      <w:r w:rsidRPr="00777FF8">
        <w:t xml:space="preserve">, </w:t>
      </w:r>
      <w:r w:rsidRPr="00777FF8">
        <w:rPr>
          <w:lang w:val="en-US"/>
        </w:rPr>
        <w:t>FXIII</w:t>
      </w:r>
      <w:r w:rsidRPr="00777FF8">
        <w:t xml:space="preserve"> - рекомендуется при выявлении у пациента изолированного снижения одного из перечисленных факторов свертывания крови </w:t>
      </w:r>
      <w:r w:rsidRPr="00777FF8">
        <w:rPr>
          <w:rStyle w:val="affc"/>
        </w:rPr>
        <w:t>для исключения наследственных форм заболеваний.</w:t>
      </w:r>
    </w:p>
    <w:p w14:paraId="6E00E677" w14:textId="77777777" w:rsidR="00D4700D" w:rsidRPr="00777FF8" w:rsidRDefault="00D4700D" w:rsidP="00461889">
      <w:pPr>
        <w:pStyle w:val="Numlist"/>
        <w:numPr>
          <w:ilvl w:val="1"/>
          <w:numId w:val="256"/>
        </w:numPr>
        <w:autoSpaceDE/>
        <w:autoSpaceDN/>
        <w:adjustRightInd/>
        <w:jc w:val="both"/>
        <w:rPr>
          <w:rStyle w:val="affc"/>
          <w:i w:val="0"/>
        </w:rPr>
      </w:pPr>
      <w:r w:rsidRPr="00777FF8">
        <w:rPr>
          <w:rStyle w:val="affc"/>
        </w:rPr>
        <w:t>Определение функциональной активности тромбоцитов – по показаниям.</w:t>
      </w:r>
    </w:p>
    <w:p w14:paraId="3396630F" w14:textId="77777777" w:rsidR="00D4700D" w:rsidRDefault="00D4700D" w:rsidP="00D4700D">
      <w:pPr>
        <w:pStyle w:val="Numlist"/>
        <w:ind w:firstLine="709"/>
      </w:pPr>
      <w:r w:rsidRPr="00C731E3">
        <w:t xml:space="preserve">Лабораторную оценку состояния системы свертывания крови </w:t>
      </w:r>
      <w:r>
        <w:t xml:space="preserve">в объеме, определяемым лечащим врачом, </w:t>
      </w:r>
      <w:r w:rsidRPr="00C731E3">
        <w:t xml:space="preserve">осуществляют </w:t>
      </w:r>
      <w:r>
        <w:t>при первичном</w:t>
      </w:r>
      <w:r w:rsidRPr="00C731E3">
        <w:t xml:space="preserve"> обследовании больного, до начала </w:t>
      </w:r>
      <w:r>
        <w:t xml:space="preserve">проведения специфической терапии, в том числе </w:t>
      </w:r>
      <w:r w:rsidRPr="00C731E3">
        <w:t xml:space="preserve">перед каждым курсом </w:t>
      </w:r>
      <w:r>
        <w:t xml:space="preserve">ХТ (по </w:t>
      </w:r>
      <w:r>
        <w:lastRenderedPageBreak/>
        <w:t>показаниям)</w:t>
      </w:r>
      <w:r w:rsidRPr="00C731E3">
        <w:t xml:space="preserve">, </w:t>
      </w:r>
      <w:r>
        <w:t xml:space="preserve">а также </w:t>
      </w:r>
      <w:r w:rsidRPr="00C731E3">
        <w:t>в случае разв</w:t>
      </w:r>
      <w:r>
        <w:t xml:space="preserve">ития геморрагических осложнений на любом этапе наблюдения и лечения гематологического пациента </w:t>
      </w:r>
      <w:r>
        <w:fldChar w:fldCharType="begin" w:fldLock="1"/>
      </w:r>
      <w:r>
        <w:instrText>ADDIN CSL_CITATION {"citationItems":[{"id":"ITEM-1","itemData":{"ISBN":"978-5-98811-165-8","author":[{"dropping-particle":"","family":"Пантелеев","given":"М.А.","non-dropping-particle":"","parse-names":false,"suffix":""},{"dropping-particle":"","family":"Васильев","given":"С.А.","non-dropping-particle":"","parse-names":false,"suffix":""},{"dropping-particle":"","family":"Синауридзе","given":"Е.И.","non-dropping-particle":"","parse-names":false,"suffix":""},{"dropping-particle":"","family":"Атауллаханов","given":"Ф.И.","non-dropping-particle":"","parse-names":false,"suffix":""}],"id":"ITEM-1","issued":{"date-parts":[["2010"]]},"number-of-pages":"192","title":"Практическая коагулология","type":"book"},"uris":["http://www.mendeley.com/documents/?uuid=36d7b04e-d654-47d2-a073-3cc2bb6e80ce"]},{"id":"ITEM-2","itemData":{"DOI":"10.1111/ijlh.12822","ISSN":"1751553X","PMID":"29741250","abstract":"Introduction: Laboratory investigations for bleeding disorders are warranted when an individual has a personal and/or family history of bleeding, and/or laboratory findings that suggest the possibility of an inherited or acquired bleeding disorder. Methods: This review summarizes author's experience with ordering and reporting on diagnostic investigations for common and rare bleeding disorders, with consideration of recent articles on diagnosing bleeding disorders. An updated strategy is presented for investigating common and rare, congenital and acquired bleeding disorders. Results: An investigation of a suspected bleeding disorder requires a practical strategy that considers the clinical problem to be investigated, the pretest probability of true-positive and false-positive findings, the investigations can be performed locally or in a reference laboratory and limit the number of blood samples required to establish a diagnosis. It is often advantageous to simultaneously test for von Willebrand disease and platelet function disorders, and for coagulation defects, including fibrinogen disorders. An investigation for rarer bleeding disorders, including those affecting factor XIII, α2 antiplasmin, and plasminogen activator inhibitor-1, is appropriate when faced with a severe congenital or acquired bleeding problem that cannot be explained by the initial diagnostic investigations. Conclusion: An organized strategy for investigating bleeding disorders that consider important issues, confirms abnormal findings, encourages proper interpretation of the results, and provides a helpful framework for assessing both common and rare causes of bleeding.","author":[{"dropping-particle":"","family":"Hayward","given":"C. P.M.","non-dropping-particle":"","parse-names":false,"suffix":""}],"container-title":"International Journal of Laboratory Hematology","id":"ITEM-2","issued":{"date-parts":[["2018","5","1"]]},"page":"6-14","publisher":"Blackwell Publishing Ltd","title":"How I investigate for bleeding disorders","type":"article","volume":"40"},"uris":["http://www.mendeley.com/documents/?uuid=8c375aab-6218-4ed1-9ecf-6629bbffa285"]}],"mendeley":{"formattedCitation":"[102,103]","plainTextFormattedCitation":"[102,103]","previouslyFormattedCitation":"[102,103]"},"properties":{"noteIndex":0},"schema":"https://github.com/citation-style-language/schema/raw/master/csl-citation.json"}</w:instrText>
      </w:r>
      <w:r>
        <w:fldChar w:fldCharType="separate"/>
      </w:r>
      <w:r>
        <w:rPr>
          <w:noProof/>
        </w:rPr>
        <w:t>[103,104</w:t>
      </w:r>
      <w:r w:rsidRPr="00AE5EE5">
        <w:rPr>
          <w:noProof/>
        </w:rPr>
        <w:t>]</w:t>
      </w:r>
      <w:r>
        <w:fldChar w:fldCharType="end"/>
      </w:r>
      <w:r>
        <w:t>.</w:t>
      </w:r>
    </w:p>
    <w:p w14:paraId="0989617E" w14:textId="77777777" w:rsidR="00D4700D" w:rsidRDefault="00D4700D" w:rsidP="00D4700D">
      <w:pPr>
        <w:pStyle w:val="afff7"/>
        <w:spacing w:beforeAutospacing="0" w:afterAutospacing="0"/>
        <w:rPr>
          <w:bCs/>
          <w:i/>
          <w:iCs/>
          <w:u w:val="single"/>
        </w:rPr>
      </w:pPr>
    </w:p>
    <w:p w14:paraId="11C84051" w14:textId="77777777" w:rsidR="00D4700D" w:rsidRPr="00777FF8" w:rsidRDefault="00D4700D" w:rsidP="00D4700D">
      <w:pPr>
        <w:pStyle w:val="afff7"/>
        <w:spacing w:beforeAutospacing="0" w:afterAutospacing="0"/>
        <w:rPr>
          <w:i/>
          <w:iCs/>
          <w:u w:val="single"/>
        </w:rPr>
      </w:pPr>
      <w:r w:rsidRPr="00777FF8">
        <w:rPr>
          <w:bCs/>
          <w:i/>
          <w:iCs/>
          <w:u w:val="single"/>
        </w:rPr>
        <w:t xml:space="preserve">Инструментальная диагностика. </w:t>
      </w:r>
    </w:p>
    <w:p w14:paraId="4A582789" w14:textId="77777777" w:rsidR="00D4700D" w:rsidRPr="000E3106" w:rsidRDefault="00D4700D" w:rsidP="00D4700D">
      <w:pPr>
        <w:pStyle w:val="aff1"/>
        <w:ind w:firstLine="709"/>
        <w:contextualSpacing/>
        <w:rPr>
          <w:sz w:val="24"/>
          <w:szCs w:val="24"/>
        </w:rPr>
      </w:pPr>
      <w:r>
        <w:rPr>
          <w:rStyle w:val="aff5"/>
          <w:sz w:val="24"/>
          <w:szCs w:val="24"/>
        </w:rPr>
        <w:t>Выполнение и</w:t>
      </w:r>
      <w:r w:rsidRPr="00952A93">
        <w:rPr>
          <w:rStyle w:val="aff5"/>
          <w:sz w:val="24"/>
          <w:szCs w:val="24"/>
        </w:rPr>
        <w:t>нструментальн</w:t>
      </w:r>
      <w:r>
        <w:rPr>
          <w:rStyle w:val="aff5"/>
          <w:sz w:val="24"/>
          <w:szCs w:val="24"/>
        </w:rPr>
        <w:t>ой</w:t>
      </w:r>
      <w:r w:rsidRPr="00952A93">
        <w:rPr>
          <w:rStyle w:val="aff5"/>
          <w:sz w:val="24"/>
          <w:szCs w:val="24"/>
        </w:rPr>
        <w:t xml:space="preserve"> диагностик</w:t>
      </w:r>
      <w:r>
        <w:rPr>
          <w:rStyle w:val="aff5"/>
          <w:sz w:val="24"/>
          <w:szCs w:val="24"/>
        </w:rPr>
        <w:t>и</w:t>
      </w:r>
      <w:r w:rsidRPr="000E3106">
        <w:rPr>
          <w:sz w:val="24"/>
          <w:szCs w:val="24"/>
        </w:rPr>
        <w:t xml:space="preserve"> </w:t>
      </w:r>
      <w:r>
        <w:rPr>
          <w:sz w:val="24"/>
          <w:szCs w:val="24"/>
        </w:rPr>
        <w:t>р</w:t>
      </w:r>
      <w:r w:rsidRPr="000E3106">
        <w:rPr>
          <w:sz w:val="24"/>
          <w:szCs w:val="24"/>
        </w:rPr>
        <w:t xml:space="preserve">екомендуется </w:t>
      </w:r>
      <w:r>
        <w:rPr>
          <w:sz w:val="24"/>
          <w:szCs w:val="24"/>
        </w:rPr>
        <w:t xml:space="preserve">по возможности и по показаниям </w:t>
      </w:r>
      <w:r w:rsidRPr="000E3106">
        <w:rPr>
          <w:sz w:val="24"/>
          <w:szCs w:val="24"/>
        </w:rPr>
        <w:t xml:space="preserve">всем пациентам с геморрагическими проявлениями на любом этапе обследования и лечения, наблюдения пациента и позволяет визуализировать кровотечения/кровоизлияния различных локализаций, а также </w:t>
      </w:r>
      <w:r>
        <w:rPr>
          <w:sz w:val="24"/>
          <w:szCs w:val="24"/>
        </w:rPr>
        <w:t>позволяет мониторировать проводимую терапию</w:t>
      </w:r>
      <w:r w:rsidRPr="000E3106">
        <w:rPr>
          <w:sz w:val="24"/>
          <w:szCs w:val="24"/>
        </w:rPr>
        <w:t xml:space="preserve"> геморрагического синдрома.</w:t>
      </w:r>
    </w:p>
    <w:p w14:paraId="32F190E1" w14:textId="77777777" w:rsidR="00D4700D" w:rsidRDefault="00D4700D" w:rsidP="00D4700D">
      <w:pPr>
        <w:pStyle w:val="aff1"/>
        <w:ind w:firstLine="709"/>
        <w:contextualSpacing/>
        <w:rPr>
          <w:sz w:val="24"/>
          <w:szCs w:val="24"/>
        </w:rPr>
      </w:pPr>
      <w:r w:rsidRPr="00751ECD">
        <w:rPr>
          <w:sz w:val="24"/>
          <w:szCs w:val="24"/>
        </w:rPr>
        <w:t xml:space="preserve">В зависимости от клинической картины, </w:t>
      </w:r>
      <w:r w:rsidRPr="000E3106">
        <w:rPr>
          <w:sz w:val="24"/>
          <w:szCs w:val="24"/>
        </w:rPr>
        <w:t>проводится: эзофагогастродуоденоскопия</w:t>
      </w:r>
      <w:r>
        <w:rPr>
          <w:sz w:val="24"/>
          <w:szCs w:val="24"/>
        </w:rPr>
        <w:t xml:space="preserve"> </w:t>
      </w:r>
      <w:r w:rsidRPr="006E084C">
        <w:rPr>
          <w:iCs/>
          <w:sz w:val="24"/>
          <w:szCs w:val="24"/>
        </w:rPr>
        <w:t>(ЭГДС)</w:t>
      </w:r>
      <w:r w:rsidRPr="006E084C">
        <w:rPr>
          <w:sz w:val="24"/>
          <w:szCs w:val="24"/>
        </w:rPr>
        <w:t>;</w:t>
      </w:r>
      <w:r w:rsidRPr="008922C4">
        <w:rPr>
          <w:sz w:val="24"/>
          <w:szCs w:val="24"/>
        </w:rPr>
        <w:t xml:space="preserve"> </w:t>
      </w:r>
      <w:r w:rsidRPr="000E3106">
        <w:rPr>
          <w:sz w:val="24"/>
          <w:szCs w:val="24"/>
        </w:rPr>
        <w:t xml:space="preserve"> </w:t>
      </w:r>
      <w:r>
        <w:rPr>
          <w:sz w:val="24"/>
          <w:szCs w:val="24"/>
        </w:rPr>
        <w:t>колоноскопия; бронхоскопия; видеокапсульная эндоскопия;</w:t>
      </w:r>
      <w:r w:rsidRPr="000E3106">
        <w:rPr>
          <w:sz w:val="24"/>
          <w:szCs w:val="24"/>
        </w:rPr>
        <w:t xml:space="preserve"> </w:t>
      </w:r>
      <w:r>
        <w:rPr>
          <w:sz w:val="24"/>
          <w:szCs w:val="24"/>
        </w:rPr>
        <w:t>ультразвуковое исследование (</w:t>
      </w:r>
      <w:r w:rsidRPr="000E3106">
        <w:rPr>
          <w:sz w:val="24"/>
          <w:szCs w:val="24"/>
        </w:rPr>
        <w:t>УЗИ</w:t>
      </w:r>
      <w:r>
        <w:rPr>
          <w:sz w:val="24"/>
          <w:szCs w:val="24"/>
        </w:rPr>
        <w:t>)</w:t>
      </w:r>
      <w:r w:rsidRPr="000E3106">
        <w:rPr>
          <w:sz w:val="24"/>
          <w:szCs w:val="24"/>
        </w:rPr>
        <w:t xml:space="preserve"> </w:t>
      </w:r>
      <w:r>
        <w:rPr>
          <w:sz w:val="24"/>
          <w:szCs w:val="24"/>
        </w:rPr>
        <w:t xml:space="preserve">органов брюшной полости, мочевыводящих путей, </w:t>
      </w:r>
      <w:r w:rsidRPr="000E3106">
        <w:rPr>
          <w:sz w:val="24"/>
          <w:szCs w:val="24"/>
        </w:rPr>
        <w:t xml:space="preserve">забрюшинного пространства, </w:t>
      </w:r>
      <w:r>
        <w:rPr>
          <w:sz w:val="24"/>
          <w:szCs w:val="24"/>
        </w:rPr>
        <w:t xml:space="preserve">органов </w:t>
      </w:r>
      <w:r w:rsidRPr="000E3106">
        <w:rPr>
          <w:sz w:val="24"/>
          <w:szCs w:val="24"/>
        </w:rPr>
        <w:t xml:space="preserve">малого таза, суставов </w:t>
      </w:r>
      <w:r>
        <w:rPr>
          <w:sz w:val="24"/>
          <w:szCs w:val="24"/>
        </w:rPr>
        <w:t>(</w:t>
      </w:r>
      <w:r w:rsidRPr="000E3106">
        <w:rPr>
          <w:sz w:val="24"/>
          <w:szCs w:val="24"/>
        </w:rPr>
        <w:t>при наличии гемартрозов</w:t>
      </w:r>
      <w:r>
        <w:rPr>
          <w:sz w:val="24"/>
          <w:szCs w:val="24"/>
        </w:rPr>
        <w:t>);</w:t>
      </w:r>
      <w:r w:rsidRPr="000E3106">
        <w:rPr>
          <w:sz w:val="24"/>
          <w:szCs w:val="24"/>
        </w:rPr>
        <w:t xml:space="preserve"> </w:t>
      </w:r>
      <w:r>
        <w:rPr>
          <w:sz w:val="24"/>
          <w:szCs w:val="24"/>
        </w:rPr>
        <w:t xml:space="preserve">рентгенологическое исследование органов грудной клетки, суставов; компьютерная томография (КТ) </w:t>
      </w:r>
      <w:r w:rsidRPr="000E3106">
        <w:rPr>
          <w:sz w:val="24"/>
          <w:szCs w:val="24"/>
        </w:rPr>
        <w:t>органов грудной клетки, головного мозга</w:t>
      </w:r>
      <w:r>
        <w:rPr>
          <w:sz w:val="24"/>
          <w:szCs w:val="24"/>
        </w:rPr>
        <w:t xml:space="preserve">, брюшной полости; магнитно-резонансная томография (МРТ) органов грудной клетки, головного мозга, органов брюшной полости и забрюшинного пространства, суставов, мягких тканей </w:t>
      </w:r>
      <w:r>
        <w:rPr>
          <w:sz w:val="24"/>
          <w:szCs w:val="24"/>
        </w:rPr>
        <w:fldChar w:fldCharType="begin" w:fldLock="1"/>
      </w:r>
      <w:r>
        <w:rPr>
          <w:sz w:val="24"/>
          <w:szCs w:val="24"/>
        </w:rPr>
        <w:instrText>ADDIN CSL_CITATION {"citationItems":[{"id":"ITEM-1","itemData":{"ISBN":"978-5-98811-165-8","author":[{"dropping-particle":"","family":"Пантелеев","given":"М.А.","non-dropping-particle":"","parse-names":false,"suffix":""},{"dropping-particle":"","family":"Васильев","given":"С.А.","non-dropping-particle":"","parse-names":false,"suffix":""},{"dropping-particle":"","family":"Синауридзе","given":"Е.И.","non-dropping-particle":"","parse-names":false,"suffix":""},{"dropping-particle":"","family":"Атауллаханов","given":"Ф.И.","non-dropping-particle":"","parse-names":false,"suffix":""}],"id":"ITEM-1","issued":{"date-parts":[["2010"]]},"number-of-pages":"192","title":"Практическая коагулология","type":"book"},"uris":["http://www.mendeley.com/documents/?uuid=36d7b04e-d654-47d2-a073-3cc2bb6e80ce"]},{"id":"ITEM-2","itemData":{"DOI":"10.1111/ijlh.12822","ISSN":"1751553X","PMID":"29741250","abstract":"Introduction: Laboratory investigations for bleeding disorders are warranted when an individual has a personal and/or family history of bleeding, and/or laboratory findings that suggest the possibility of an inherited or acquired bleeding disorder. Methods: This review summarizes author's experience with ordering and reporting on diagnostic investigations for common and rare bleeding disorders, with consideration of recent articles on diagnosing bleeding disorders. An updated strategy is presented for investigating common and rare, congenital and acquired bleeding disorders. Results: An investigation of a suspected bleeding disorder requires a practical strategy that considers the clinical problem to be investigated, the pretest probability of true-positive and false-positive findings, the investigations can be performed locally or in a reference laboratory and limit the number of blood samples required to establish a diagnosis. It is often advantageous to simultaneously test for von Willebrand disease and platelet function disorders, and for coagulation defects, including fibrinogen disorders. An investigation for rarer bleeding disorders, including those affecting factor XIII, α2 antiplasmin, and plasminogen activator inhibitor-1, is appropriate when faced with a severe congenital or acquired bleeding problem that cannot be explained by the initial diagnostic investigations. Conclusion: An organized strategy for investigating bleeding disorders that consider important issues, confirms abnormal findings, encourages proper interpretation of the results, and provides a helpful framework for assessing both common and rare causes of bleeding.","author":[{"dropping-particle":"","family":"Hayward","given":"C. P.M.","non-dropping-particle":"","parse-names":false,"suffix":""}],"container-title":"International Journal of Laboratory Hematology","id":"ITEM-2","issued":{"date-parts":[["2018","5","1"]]},"page":"6-14","publisher":"Blackwell Publishing Ltd","title":"How I investigate for bleeding disorders","type":"article","volume":"40"},"uris":["http://www.mendeley.com/documents/?uuid=8c375aab-6218-4ed1-9ecf-6629bbffa285"]}],"mendeley":{"formattedCitation":"[102,103]","plainTextFormattedCitation":"[102,103]","previouslyFormattedCitation":"[102,103]"},"properties":{"noteIndex":0},"schema":"https://github.com/citation-style-language/schema/raw/master/csl-citation.json"}</w:instrText>
      </w:r>
      <w:r>
        <w:rPr>
          <w:sz w:val="24"/>
          <w:szCs w:val="24"/>
        </w:rPr>
        <w:fldChar w:fldCharType="separate"/>
      </w:r>
      <w:r>
        <w:rPr>
          <w:noProof/>
          <w:sz w:val="24"/>
          <w:szCs w:val="24"/>
        </w:rPr>
        <w:t>[103,104</w:t>
      </w:r>
      <w:r w:rsidRPr="00AE5EE5">
        <w:rPr>
          <w:noProof/>
          <w:sz w:val="24"/>
          <w:szCs w:val="24"/>
        </w:rPr>
        <w:t>]</w:t>
      </w:r>
      <w:r>
        <w:rPr>
          <w:sz w:val="24"/>
          <w:szCs w:val="24"/>
        </w:rPr>
        <w:fldChar w:fldCharType="end"/>
      </w:r>
      <w:r>
        <w:rPr>
          <w:sz w:val="24"/>
          <w:szCs w:val="24"/>
        </w:rPr>
        <w:t>.</w:t>
      </w:r>
    </w:p>
    <w:p w14:paraId="2C5CB321" w14:textId="77777777" w:rsidR="00D4700D" w:rsidRPr="00777FF8" w:rsidRDefault="00D4700D" w:rsidP="00D4700D">
      <w:pPr>
        <w:pStyle w:val="afff7"/>
        <w:spacing w:beforeAutospacing="0" w:afterAutospacing="0"/>
        <w:rPr>
          <w:i/>
          <w:iCs/>
          <w:u w:val="single"/>
        </w:rPr>
      </w:pPr>
      <w:r w:rsidRPr="00777FF8">
        <w:rPr>
          <w:i/>
          <w:iCs/>
          <w:u w:val="single"/>
        </w:rPr>
        <w:t>Медикаментозная терапия.</w:t>
      </w:r>
    </w:p>
    <w:p w14:paraId="7B50B65A" w14:textId="77777777" w:rsidR="00D4700D" w:rsidRPr="00B4216D" w:rsidRDefault="00D4700D" w:rsidP="00D4700D">
      <w:pPr>
        <w:ind w:firstLine="709"/>
        <w:rPr>
          <w:color w:val="FF0000"/>
          <w:u w:val="single"/>
        </w:rPr>
      </w:pPr>
      <w:r w:rsidRPr="0063029A">
        <w:rPr>
          <w:u w:val="single"/>
        </w:rPr>
        <w:t>Геморрагические осложнения при проведении антикоагулянтной терапии</w:t>
      </w:r>
      <w:r>
        <w:rPr>
          <w:color w:val="FF0000"/>
          <w:u w:val="single"/>
        </w:rPr>
        <w:t xml:space="preserve"> </w:t>
      </w:r>
    </w:p>
    <w:p w14:paraId="627091D4" w14:textId="77777777" w:rsidR="00D4700D" w:rsidRPr="00C731E3" w:rsidRDefault="00D4700D" w:rsidP="00D4700D">
      <w:pPr>
        <w:ind w:firstLine="709"/>
      </w:pPr>
      <w:r w:rsidRPr="00C731E3">
        <w:t xml:space="preserve">Тяжелые </w:t>
      </w:r>
      <w:r w:rsidRPr="005600F6">
        <w:t xml:space="preserve">геморрагические осложнения при проведении антикоагулянтной терапии </w:t>
      </w:r>
      <w:r w:rsidRPr="00C731E3">
        <w:t>диктуют необходимость применения антидотов</w:t>
      </w:r>
      <w:r>
        <w:t xml:space="preserve"> </w:t>
      </w:r>
      <w:r>
        <w:fldChar w:fldCharType="begin" w:fldLock="1"/>
      </w:r>
      <w:r>
        <w:instrText>ADDIN CSL_CITATION {"citationItems":[{"id":"ITEM-1","itemData":{"ISBN":"978-5-98811-165-8","author":[{"dropping-particle":"","family":"Пантелеев","given":"М.А.","non-dropping-particle":"","parse-names":false,"suffix":""},{"dropping-particle":"","family":"Васильев","given":"С.А.","non-dropping-particle":"","parse-names":false,"suffix":""},{"dropping-particle":"","family":"Синауридзе","given":"Е.И.","non-dropping-particle":"","parse-names":false,"suffix":""},{"dropping-particle":"","family":"Атауллаханов","given":"Ф.И.","non-dropping-particle":"","parse-names":false,"suffix":""}],"id":"ITEM-1","issued":{"date-parts":[["2010"]]},"number-of-pages":"192","title":"Практическая коагулология","type":"book"},"uris":["http://www.mendeley.com/documents/?uuid=36d7b04e-d654-47d2-a073-3cc2bb6e80ce"]}],"mendeley":{"formattedCitation":"[102]","plainTextFormattedCitation":"[102]","previouslyFormattedCitation":"[102]"},"properties":{"noteIndex":0},"schema":"https://github.com/citation-style-language/schema/raw/master/csl-citation.json"}</w:instrText>
      </w:r>
      <w:r>
        <w:fldChar w:fldCharType="separate"/>
      </w:r>
      <w:r>
        <w:rPr>
          <w:noProof/>
        </w:rPr>
        <w:t>[103</w:t>
      </w:r>
      <w:r w:rsidRPr="00AE5EE5">
        <w:rPr>
          <w:noProof/>
        </w:rPr>
        <w:t>]</w:t>
      </w:r>
      <w:r>
        <w:fldChar w:fldCharType="end"/>
      </w:r>
      <w:r w:rsidRPr="00C731E3">
        <w:t>. При передозировке гепаринов в качестве антидота используют протамина сульфат: 1 мг его нейтрализует 80</w:t>
      </w:r>
      <w:r w:rsidRPr="00C731E3">
        <w:rPr>
          <w:i/>
        </w:rPr>
        <w:t>—</w:t>
      </w:r>
      <w:r>
        <w:t>120 Е</w:t>
      </w:r>
      <w:r w:rsidRPr="00C731E3">
        <w:t>д гепарина в крови. Действие препарата после в/в введения наступает мгновенно и продолжается в течение 2 ч. После в/в введения образуется комплекс протамин</w:t>
      </w:r>
      <w:r w:rsidRPr="00C731E3">
        <w:rPr>
          <w:i/>
        </w:rPr>
        <w:t>—</w:t>
      </w:r>
      <w:r w:rsidRPr="00C731E3">
        <w:t>гепарин, который может разрушаться с высвобождением гепарина. При передозировке может снижаться свертываемость крови, поскольку сам протамина сульфат проявляет антикоагулянтную активность. Если НФГ вводился в/в капельно, необходимо прекратить его инфузию и ввести 25</w:t>
      </w:r>
      <w:r w:rsidRPr="00C731E3">
        <w:rPr>
          <w:i/>
        </w:rPr>
        <w:t>—</w:t>
      </w:r>
      <w:r w:rsidRPr="00C731E3">
        <w:t>30 мг протамина сульфата.</w:t>
      </w:r>
    </w:p>
    <w:p w14:paraId="13976B07" w14:textId="77777777" w:rsidR="00D4700D" w:rsidRDefault="00D4700D" w:rsidP="00D4700D">
      <w:pPr>
        <w:ind w:firstLine="709"/>
      </w:pPr>
      <w:r w:rsidRPr="00C731E3">
        <w:t>При передозировке варфарина и значительном увеличении МНО (больше 3,5</w:t>
      </w:r>
      <w:r w:rsidRPr="00C731E3">
        <w:rPr>
          <w:i/>
        </w:rPr>
        <w:t>—</w:t>
      </w:r>
      <w:r w:rsidRPr="00C731E3">
        <w:t>4) без геморрагических проявлений корректируют дозу варфарина. Назначают препараты витамина К</w:t>
      </w:r>
      <w:r w:rsidRPr="00C731E3">
        <w:rPr>
          <w:vertAlign w:val="subscript"/>
        </w:rPr>
        <w:t>1</w:t>
      </w:r>
      <w:r w:rsidRPr="00C731E3">
        <w:t>.</w:t>
      </w:r>
      <w:r>
        <w:t xml:space="preserve"> </w:t>
      </w:r>
      <w:r w:rsidRPr="00C731E3">
        <w:t>Для купирования геморрагического синдрома при передозировке варфарина используют концентрат</w:t>
      </w:r>
      <w:r>
        <w:t>ы</w:t>
      </w:r>
      <w:r w:rsidRPr="00C731E3">
        <w:t xml:space="preserve"> факторов </w:t>
      </w:r>
      <w:r>
        <w:t xml:space="preserve">протромбинового комплекса (концентрат </w:t>
      </w:r>
      <w:r>
        <w:rPr>
          <w:lang w:val="en-US"/>
        </w:rPr>
        <w:t>II</w:t>
      </w:r>
      <w:r w:rsidRPr="00084FAC">
        <w:t>+</w:t>
      </w:r>
      <w:r>
        <w:rPr>
          <w:lang w:val="en-US"/>
        </w:rPr>
        <w:t>IX</w:t>
      </w:r>
      <w:r w:rsidRPr="00084FAC">
        <w:t>+</w:t>
      </w:r>
      <w:r>
        <w:rPr>
          <w:lang w:val="en-US"/>
        </w:rPr>
        <w:t>X</w:t>
      </w:r>
      <w:r>
        <w:t xml:space="preserve"> или концентрат </w:t>
      </w:r>
      <w:r>
        <w:rPr>
          <w:lang w:val="en-US"/>
        </w:rPr>
        <w:t>II</w:t>
      </w:r>
      <w:r w:rsidRPr="00084FAC">
        <w:t>+</w:t>
      </w:r>
      <w:r>
        <w:rPr>
          <w:lang w:val="en-US"/>
        </w:rPr>
        <w:t>VIIa</w:t>
      </w:r>
      <w:r w:rsidRPr="00084FAC">
        <w:t>+</w:t>
      </w:r>
      <w:r>
        <w:rPr>
          <w:lang w:val="en-US"/>
        </w:rPr>
        <w:t>IX</w:t>
      </w:r>
      <w:r w:rsidRPr="00084FAC">
        <w:t>+</w:t>
      </w:r>
      <w:r>
        <w:rPr>
          <w:lang w:val="en-US"/>
        </w:rPr>
        <w:t>X</w:t>
      </w:r>
      <w:r w:rsidRPr="00084FAC">
        <w:t>)</w:t>
      </w:r>
      <w:r>
        <w:t>, которые</w:t>
      </w:r>
      <w:r w:rsidRPr="00C731E3">
        <w:t xml:space="preserve"> вводят в/в в дозе </w:t>
      </w:r>
      <w:r>
        <w:t>20-50 МЕ/кг массы тела пациента</w:t>
      </w:r>
      <w:r w:rsidRPr="00C731E3">
        <w:t xml:space="preserve">. </w:t>
      </w:r>
      <w:r w:rsidRPr="00C731E3">
        <w:lastRenderedPageBreak/>
        <w:t xml:space="preserve">Альтернативой введения </w:t>
      </w:r>
      <w:r>
        <w:t>концентратов факторов протромбинового комплекса</w:t>
      </w:r>
      <w:r w:rsidRPr="00C731E3">
        <w:t xml:space="preserve"> является </w:t>
      </w:r>
      <w:r>
        <w:t>свежезамороженная плазма (</w:t>
      </w:r>
      <w:r w:rsidRPr="00C731E3">
        <w:t>СЗП</w:t>
      </w:r>
      <w:r>
        <w:t>)</w:t>
      </w:r>
      <w:r w:rsidRPr="00C731E3">
        <w:t xml:space="preserve"> в дозе 20</w:t>
      </w:r>
      <w:r w:rsidRPr="00C731E3">
        <w:rPr>
          <w:i/>
        </w:rPr>
        <w:t>—</w:t>
      </w:r>
      <w:r w:rsidRPr="00C731E3">
        <w:t>25 мл</w:t>
      </w:r>
      <w:r>
        <w:t>/</w:t>
      </w:r>
      <w:r w:rsidRPr="00C731E3">
        <w:t>кг массы тела. При тяжелых кровотечениях СЗП можно вводить в дозе 30</w:t>
      </w:r>
      <w:r w:rsidRPr="00C731E3">
        <w:rPr>
          <w:i/>
        </w:rPr>
        <w:t>—</w:t>
      </w:r>
      <w:r w:rsidRPr="00C731E3">
        <w:t xml:space="preserve">45 мл на кг массы тела. </w:t>
      </w:r>
      <w:r>
        <w:t>Для купирования геморрагического синдрома в некоторых случаях и</w:t>
      </w:r>
      <w:r w:rsidRPr="00C731E3">
        <w:t>спользуют также и эптаког альфа (активированный).</w:t>
      </w:r>
    </w:p>
    <w:p w14:paraId="32F1AC6F" w14:textId="77777777" w:rsidR="00D4700D" w:rsidRDefault="00D4700D" w:rsidP="00D4700D">
      <w:pPr>
        <w:ind w:firstLine="709"/>
      </w:pPr>
      <w:r>
        <w:t xml:space="preserve">При передозировке прямых ингибиторов фактора свертывания крови </w:t>
      </w:r>
      <w:r>
        <w:rPr>
          <w:lang w:val="en-US"/>
        </w:rPr>
        <w:t>Xa</w:t>
      </w:r>
      <w:r>
        <w:t xml:space="preserve"> (ривароксабан, апиксабан) используется андексанет альфа: 400 мг болюсно с продолжением в/в инфузии со скоростью 4 мг/мин в течение 2-х часов.</w:t>
      </w:r>
    </w:p>
    <w:p w14:paraId="7C70DD56" w14:textId="77777777" w:rsidR="00D4700D" w:rsidRDefault="00D4700D" w:rsidP="00D4700D">
      <w:pPr>
        <w:ind w:firstLine="709"/>
      </w:pPr>
      <w:r>
        <w:t xml:space="preserve">Антидот дабигатрана этексилата – </w:t>
      </w:r>
      <w:r w:rsidRPr="009F787D">
        <w:t>идаруцизумаб</w:t>
      </w:r>
      <w:r>
        <w:t>: вводится по 2,5 мг в/в дважды с интервалом в 15 мин.</w:t>
      </w:r>
    </w:p>
    <w:p w14:paraId="10E8233B" w14:textId="77777777" w:rsidR="00D4700D" w:rsidRPr="00C731E3" w:rsidRDefault="00D4700D" w:rsidP="00D4700D">
      <w:pPr>
        <w:ind w:firstLine="709"/>
      </w:pPr>
      <w:r>
        <w:t xml:space="preserve">Разработан универсальный антидот для всех ПОАК и гепаринов – </w:t>
      </w:r>
      <w:r w:rsidRPr="009F787D">
        <w:t>цирапарантаг</w:t>
      </w:r>
      <w:r>
        <w:t xml:space="preserve"> – вводится однократно 100,0 мг в/в.</w:t>
      </w:r>
    </w:p>
    <w:p w14:paraId="349C52FE" w14:textId="77777777" w:rsidR="00D4700D" w:rsidRDefault="00D4700D" w:rsidP="00D4700D">
      <w:pPr>
        <w:ind w:firstLine="709"/>
      </w:pPr>
      <w:r w:rsidRPr="00C731E3">
        <w:t xml:space="preserve">Решение о возможности применения или возобновления медикаментозной профилактики тромботических нарушений при цитостатической терапии должно приниматься на основании оценки соотношения ожидаемой пользы и возможного риска </w:t>
      </w:r>
      <w:r>
        <w:t>у каждого конкретного больного.</w:t>
      </w:r>
    </w:p>
    <w:p w14:paraId="6C28BBD4" w14:textId="77777777" w:rsidR="00D4700D" w:rsidRPr="005600F6" w:rsidRDefault="00D4700D" w:rsidP="00D4700D">
      <w:pPr>
        <w:ind w:firstLine="709"/>
        <w:rPr>
          <w:u w:val="single"/>
        </w:rPr>
      </w:pPr>
      <w:r w:rsidRPr="0063029A">
        <w:rPr>
          <w:u w:val="single"/>
        </w:rPr>
        <w:t>Геморрагический синдром у пациентов с лейкозами в экстренных ситуациях</w:t>
      </w:r>
    </w:p>
    <w:p w14:paraId="71BAA0E2" w14:textId="77777777" w:rsidR="00D4700D" w:rsidRDefault="00D4700D" w:rsidP="00D4700D">
      <w:pPr>
        <w:ind w:firstLine="709"/>
      </w:pPr>
      <w:r>
        <w:t xml:space="preserve">В случае развития геморрагического синдрома у пациентов с гематологическими заболеваниями в экстренных ситуациях используются по показаниям </w:t>
      </w:r>
      <w:r>
        <w:fldChar w:fldCharType="begin" w:fldLock="1"/>
      </w:r>
      <w:r>
        <w:instrText>ADDIN CSL_CITATION {"citationItems":[{"id":"ITEM-1","itemData":{"DOI":"10.1182/asheducation-2007.1.165","ISSN":"15204391","PMID":"18024625","abstract":"The rate of venous thromboembolism (VTE) in patients with acute leukemia or lymphomas is comparable with that of other \"high-risk\" cancer types. Chemotherapy and anti-angiogenic drugs increase the thrombotic risk in patients with lymphomas, acute leukemias and multiple myeloma (MM). Patients with hematologic malignancies often present with a hypercoagulable state or chronic disseminated intravascular coagulation (DIC) in the absence of active thrombosis and/or bleeding. Malignant cell procoagulant properties, cytotoxic therapies, and concomitant infections are major determinants for clotting activation in hematologic malignancies. In acute leukemia, clinical manifestations range from localized venous or arterial thrombosis to a diffuse, life-threatening thrombohemorrhagic syndrome (THS). All-trans retinoic acid (ATRA) has greatly improved the management of acute promyelocytic leukemia (APL), but has not significantly changed the rate of early hemorrhagic deaths and may actually promote thrombosis. Randomized, controlled trials (RCTs) of different prophylactic regimens to prevent VTE or THS in hematologic malignancies are urgently needed, particularly in patients with lymphoma or MM during chemotherapy and in patients with APL. Anticoagulant therapy is a particular challenge in patients with hematologic malignancies, since these patients are at very high risk for hemorrhage. No guidelines are available for the prophylaxis or treatment of VTE; extrapolations can be made from existing guidelines for management of patients with other malignancies; prolonged periods of treatment-induced thrombocytopenia in patients with hematologic malignancies, however, require a more judicious application of standard anticoagulant approaches. Use of the newer anticoagulants will require careful assessment of hemorrhagic risk in this group of high-risk patients but may be justified under special circumstances.","author":[{"dropping-particle":"","family":"Falanga","given":"Anna","non-dropping-particle":"","parse-names":false,"suffix":""},{"dropping-particle":"","family":"Rickles","given":"Frederick R.","non-dropping-particle":"","parse-names":false,"suffix":""}],"container-title":"Hematology / the Education Program of the American Society of Hematology. American Society of Hematology. Education Program","id":"ITEM-1","issued":{"date-parts":[["2007"]]},"page":"165-171","publisher":"Hematology Am Soc Hematol Educ Program","title":"Management of Thrombohemorrhagic Syndromes (THS) in hematologic malignancies.","type":"article-journal"},"uris":["http://www.mendeley.com/documents/?uuid=ee7b053b-4509-46bc-9d7c-5e9f427dbfe5"]},{"id":"ITEM-2","itemData":{"ISBN":"978-5-98811-165-8","author":[{"dropping-particle":"","family":"Пантелеев","given":"М.А.","non-dropping-particle":"","parse-names":false,"suffix":""},{"dropping-particle":"","family":"Васильев","given":"С.А.","non-dropping-particle":"","parse-names":false,"suffix":""},{"dropping-particle":"","family":"Синауридзе","given":"Е.И.","non-dropping-particle":"","parse-names":false,"suffix":""},{"dropping-particle":"","family":"Атауллаханов","given":"Ф.И.","non-dropping-particle":"","parse-names":false,"suffix":""}],"id":"ITEM-2","issued":{"date-parts":[["2010"]]},"number-of-pages":"192","title":"Практическая коагулология","type":"book"},"uris":["http://www.mendeley.com/documents/?uuid=36d7b04e-d654-47d2-a073-3cc2bb6e80ce"]}],"mendeley":{"formattedCitation":"[102,104]","plainTextFormattedCitation":"[102,104]","previouslyFormattedCitation":"[102,104]"},"properties":{"noteIndex":0},"schema":"https://github.com/citation-style-language/schema/raw/master/csl-citation.json"}</w:instrText>
      </w:r>
      <w:r>
        <w:fldChar w:fldCharType="separate"/>
      </w:r>
      <w:r>
        <w:rPr>
          <w:noProof/>
        </w:rPr>
        <w:t>[103,105</w:t>
      </w:r>
      <w:r w:rsidRPr="00AE5EE5">
        <w:rPr>
          <w:noProof/>
        </w:rPr>
        <w:t>]</w:t>
      </w:r>
      <w:r>
        <w:fldChar w:fldCharType="end"/>
      </w:r>
      <w:r>
        <w:t>:</w:t>
      </w:r>
    </w:p>
    <w:p w14:paraId="1FBAFB75" w14:textId="77777777" w:rsidR="00D4700D" w:rsidRDefault="00D4700D" w:rsidP="00461889">
      <w:pPr>
        <w:pStyle w:val="afff3"/>
        <w:widowControl/>
        <w:numPr>
          <w:ilvl w:val="1"/>
          <w:numId w:val="257"/>
        </w:numPr>
        <w:autoSpaceDE/>
        <w:autoSpaceDN/>
        <w:adjustRightInd/>
        <w:ind w:left="1437"/>
        <w:contextualSpacing w:val="0"/>
        <w:rPr>
          <w:szCs w:val="24"/>
        </w:rPr>
      </w:pPr>
      <w:r w:rsidRPr="00CD2AC0">
        <w:rPr>
          <w:szCs w:val="24"/>
        </w:rPr>
        <w:t xml:space="preserve">Препараты шунтирующего действия: </w:t>
      </w:r>
    </w:p>
    <w:p w14:paraId="634D8CFF" w14:textId="77777777" w:rsidR="00D4700D" w:rsidRDefault="00D4700D" w:rsidP="00461889">
      <w:pPr>
        <w:pStyle w:val="afff3"/>
        <w:widowControl/>
        <w:numPr>
          <w:ilvl w:val="2"/>
          <w:numId w:val="257"/>
        </w:numPr>
        <w:autoSpaceDE/>
        <w:autoSpaceDN/>
        <w:adjustRightInd/>
        <w:contextualSpacing w:val="0"/>
        <w:rPr>
          <w:szCs w:val="24"/>
        </w:rPr>
      </w:pPr>
      <w:r w:rsidRPr="00CD2AC0">
        <w:rPr>
          <w:szCs w:val="24"/>
        </w:rPr>
        <w:t>эптаког альфа (активированный) в дозе 90-120 мкг/кг массы тела пациента с интервалом в 2-3 часа;</w:t>
      </w:r>
    </w:p>
    <w:p w14:paraId="3126F625" w14:textId="77777777" w:rsidR="00D4700D" w:rsidRPr="00522573" w:rsidRDefault="00D4700D" w:rsidP="00461889">
      <w:pPr>
        <w:pStyle w:val="afff3"/>
        <w:widowControl/>
        <w:numPr>
          <w:ilvl w:val="2"/>
          <w:numId w:val="257"/>
        </w:numPr>
        <w:autoSpaceDE/>
        <w:autoSpaceDN/>
        <w:adjustRightInd/>
        <w:contextualSpacing w:val="0"/>
        <w:rPr>
          <w:szCs w:val="24"/>
        </w:rPr>
      </w:pPr>
      <w:r w:rsidRPr="00522573">
        <w:rPr>
          <w:szCs w:val="24"/>
        </w:rPr>
        <w:t xml:space="preserve">антиингибиторный коагулянтный комплекс (АИКК) в дозе 30-100 Ед/кг массы тела пациента с интервалом в 12-24 часа – до купирования кровотечения. </w:t>
      </w:r>
    </w:p>
    <w:p w14:paraId="3EBDA54F" w14:textId="77777777" w:rsidR="00D4700D" w:rsidRPr="00CD2AC0" w:rsidRDefault="00D4700D" w:rsidP="00D4700D">
      <w:pPr>
        <w:pStyle w:val="afff3"/>
        <w:ind w:left="1396"/>
        <w:rPr>
          <w:szCs w:val="24"/>
        </w:rPr>
      </w:pPr>
      <w:r w:rsidRPr="00CD2AC0">
        <w:rPr>
          <w:szCs w:val="24"/>
        </w:rPr>
        <w:t>При использовании препаратов шунтирующего действия возможны тромботические осложнения.</w:t>
      </w:r>
    </w:p>
    <w:p w14:paraId="0C7BA690" w14:textId="77777777" w:rsidR="00D4700D" w:rsidRDefault="00D4700D" w:rsidP="00461889">
      <w:pPr>
        <w:pStyle w:val="afff3"/>
        <w:widowControl/>
        <w:numPr>
          <w:ilvl w:val="1"/>
          <w:numId w:val="257"/>
        </w:numPr>
        <w:autoSpaceDE/>
        <w:autoSpaceDN/>
        <w:adjustRightInd/>
        <w:ind w:left="1437"/>
        <w:contextualSpacing w:val="0"/>
        <w:rPr>
          <w:szCs w:val="24"/>
        </w:rPr>
      </w:pPr>
      <w:r w:rsidRPr="00CD2AC0">
        <w:rPr>
          <w:szCs w:val="24"/>
        </w:rPr>
        <w:t>Трансфузии компонентов крови (дозы и режимы введения зависят от ситуации):</w:t>
      </w:r>
    </w:p>
    <w:p w14:paraId="7EB19423" w14:textId="77777777" w:rsidR="00D4700D" w:rsidRPr="00522573" w:rsidRDefault="00D4700D" w:rsidP="00461889">
      <w:pPr>
        <w:pStyle w:val="afff3"/>
        <w:widowControl/>
        <w:numPr>
          <w:ilvl w:val="2"/>
          <w:numId w:val="257"/>
        </w:numPr>
        <w:autoSpaceDE/>
        <w:autoSpaceDN/>
        <w:adjustRightInd/>
        <w:contextualSpacing w:val="0"/>
        <w:rPr>
          <w:szCs w:val="24"/>
        </w:rPr>
      </w:pPr>
      <w:r w:rsidRPr="00522573">
        <w:rPr>
          <w:szCs w:val="24"/>
        </w:rPr>
        <w:t>СЗП;</w:t>
      </w:r>
    </w:p>
    <w:p w14:paraId="7D8CFAE5" w14:textId="77777777" w:rsidR="00D4700D" w:rsidRPr="00522573" w:rsidRDefault="00D4700D" w:rsidP="00461889">
      <w:pPr>
        <w:pStyle w:val="afff3"/>
        <w:widowControl/>
        <w:numPr>
          <w:ilvl w:val="2"/>
          <w:numId w:val="257"/>
        </w:numPr>
        <w:autoSpaceDE/>
        <w:autoSpaceDN/>
        <w:adjustRightInd/>
        <w:contextualSpacing w:val="0"/>
        <w:rPr>
          <w:szCs w:val="24"/>
        </w:rPr>
      </w:pPr>
      <w:r w:rsidRPr="00522573">
        <w:rPr>
          <w:szCs w:val="24"/>
        </w:rPr>
        <w:t>криопреципитат;</w:t>
      </w:r>
    </w:p>
    <w:p w14:paraId="248230E2" w14:textId="77777777" w:rsidR="00D4700D" w:rsidRDefault="00D4700D" w:rsidP="00461889">
      <w:pPr>
        <w:pStyle w:val="afff3"/>
        <w:widowControl/>
        <w:numPr>
          <w:ilvl w:val="2"/>
          <w:numId w:val="257"/>
        </w:numPr>
        <w:autoSpaceDE/>
        <w:autoSpaceDN/>
        <w:adjustRightInd/>
        <w:contextualSpacing w:val="0"/>
        <w:rPr>
          <w:szCs w:val="24"/>
        </w:rPr>
      </w:pPr>
      <w:r w:rsidRPr="00522573">
        <w:rPr>
          <w:szCs w:val="24"/>
        </w:rPr>
        <w:t>концентрат нативной плазмы;</w:t>
      </w:r>
    </w:p>
    <w:p w14:paraId="319A1429" w14:textId="77777777" w:rsidR="00D4700D" w:rsidRPr="00522573" w:rsidRDefault="00D4700D" w:rsidP="00461889">
      <w:pPr>
        <w:pStyle w:val="afff3"/>
        <w:widowControl/>
        <w:numPr>
          <w:ilvl w:val="2"/>
          <w:numId w:val="257"/>
        </w:numPr>
        <w:autoSpaceDE/>
        <w:autoSpaceDN/>
        <w:adjustRightInd/>
        <w:contextualSpacing w:val="0"/>
        <w:rPr>
          <w:szCs w:val="24"/>
        </w:rPr>
      </w:pPr>
      <w:r w:rsidRPr="00522573">
        <w:rPr>
          <w:szCs w:val="24"/>
        </w:rPr>
        <w:t>тромбоконцентрат.</w:t>
      </w:r>
    </w:p>
    <w:p w14:paraId="7F043C5C" w14:textId="77777777" w:rsidR="00D4700D" w:rsidRDefault="00D4700D" w:rsidP="00461889">
      <w:pPr>
        <w:pStyle w:val="afff3"/>
        <w:widowControl/>
        <w:numPr>
          <w:ilvl w:val="1"/>
          <w:numId w:val="257"/>
        </w:numPr>
        <w:autoSpaceDE/>
        <w:autoSpaceDN/>
        <w:adjustRightInd/>
        <w:ind w:left="1437"/>
        <w:contextualSpacing w:val="0"/>
        <w:rPr>
          <w:szCs w:val="24"/>
        </w:rPr>
      </w:pPr>
      <w:r w:rsidRPr="00CD2AC0">
        <w:rPr>
          <w:szCs w:val="24"/>
        </w:rPr>
        <w:t>При дефиците факторов свертывания крови проводятся инфузии препаратов:</w:t>
      </w:r>
    </w:p>
    <w:p w14:paraId="608CA2F6" w14:textId="77777777" w:rsidR="00D4700D" w:rsidRDefault="00D4700D" w:rsidP="00461889">
      <w:pPr>
        <w:pStyle w:val="afff3"/>
        <w:widowControl/>
        <w:numPr>
          <w:ilvl w:val="2"/>
          <w:numId w:val="257"/>
        </w:numPr>
        <w:autoSpaceDE/>
        <w:autoSpaceDN/>
        <w:adjustRightInd/>
        <w:contextualSpacing w:val="0"/>
        <w:rPr>
          <w:szCs w:val="24"/>
        </w:rPr>
      </w:pPr>
      <w:r w:rsidRPr="00522573">
        <w:rPr>
          <w:szCs w:val="24"/>
        </w:rPr>
        <w:lastRenderedPageBreak/>
        <w:t xml:space="preserve">концентрат фактора свертывания крови </w:t>
      </w:r>
      <w:r w:rsidRPr="00522573">
        <w:rPr>
          <w:szCs w:val="24"/>
          <w:lang w:val="en-US"/>
        </w:rPr>
        <w:t>VII</w:t>
      </w:r>
      <w:r w:rsidRPr="00522573">
        <w:rPr>
          <w:szCs w:val="24"/>
        </w:rPr>
        <w:t xml:space="preserve"> (при наследственной гипопроконвертинемии, некоторых видах наследственных тромбоцитопатий);</w:t>
      </w:r>
    </w:p>
    <w:p w14:paraId="0E5495DB" w14:textId="77777777" w:rsidR="00D4700D" w:rsidRDefault="00D4700D" w:rsidP="00461889">
      <w:pPr>
        <w:pStyle w:val="afff3"/>
        <w:widowControl/>
        <w:numPr>
          <w:ilvl w:val="2"/>
          <w:numId w:val="257"/>
        </w:numPr>
        <w:autoSpaceDE/>
        <w:autoSpaceDN/>
        <w:adjustRightInd/>
        <w:contextualSpacing w:val="0"/>
        <w:rPr>
          <w:szCs w:val="24"/>
        </w:rPr>
      </w:pPr>
      <w:r w:rsidRPr="00522573">
        <w:rPr>
          <w:szCs w:val="24"/>
        </w:rPr>
        <w:t xml:space="preserve">концентраты фактора свертывания крови </w:t>
      </w:r>
      <w:r w:rsidRPr="00522573">
        <w:rPr>
          <w:szCs w:val="24"/>
          <w:lang w:val="en-US"/>
        </w:rPr>
        <w:t>VIII</w:t>
      </w:r>
      <w:r w:rsidRPr="00522573">
        <w:rPr>
          <w:szCs w:val="24"/>
        </w:rPr>
        <w:t xml:space="preserve"> (</w:t>
      </w:r>
      <w:r w:rsidRPr="00522573">
        <w:rPr>
          <w:szCs w:val="24"/>
          <w:lang w:val="en-US"/>
        </w:rPr>
        <w:t>FVIII</w:t>
      </w:r>
      <w:r w:rsidRPr="00522573">
        <w:rPr>
          <w:szCs w:val="24"/>
        </w:rPr>
        <w:t xml:space="preserve">), октоког альфа, мороктоког альфа, симоктоког альфа, туроктоког, эптаког альфа (активированный), </w:t>
      </w:r>
      <w:r w:rsidRPr="0063029A">
        <w:rPr>
          <w:szCs w:val="24"/>
        </w:rPr>
        <w:t>АИКК</w:t>
      </w:r>
      <w:r>
        <w:rPr>
          <w:szCs w:val="24"/>
        </w:rPr>
        <w:t>;</w:t>
      </w:r>
    </w:p>
    <w:p w14:paraId="5E05A7E8" w14:textId="77777777" w:rsidR="00D4700D" w:rsidRPr="00EB0207" w:rsidRDefault="00D4700D" w:rsidP="00461889">
      <w:pPr>
        <w:pStyle w:val="afff3"/>
        <w:widowControl/>
        <w:numPr>
          <w:ilvl w:val="2"/>
          <w:numId w:val="257"/>
        </w:numPr>
        <w:autoSpaceDE/>
        <w:autoSpaceDN/>
        <w:adjustRightInd/>
        <w:contextualSpacing w:val="0"/>
        <w:rPr>
          <w:strike/>
          <w:szCs w:val="24"/>
        </w:rPr>
      </w:pPr>
      <w:r w:rsidRPr="00522573">
        <w:rPr>
          <w:szCs w:val="24"/>
        </w:rPr>
        <w:t xml:space="preserve">концентрат фактора свертывания крови </w:t>
      </w:r>
      <w:r w:rsidRPr="00522573">
        <w:rPr>
          <w:szCs w:val="24"/>
          <w:lang w:val="en-US"/>
        </w:rPr>
        <w:t>IX</w:t>
      </w:r>
      <w:r w:rsidRPr="00522573">
        <w:rPr>
          <w:szCs w:val="24"/>
        </w:rPr>
        <w:t xml:space="preserve">, нонаког альфа, эптаког альфа (активированный), </w:t>
      </w:r>
      <w:r w:rsidRPr="0063029A">
        <w:rPr>
          <w:szCs w:val="24"/>
        </w:rPr>
        <w:t>АИКК</w:t>
      </w:r>
      <w:r>
        <w:rPr>
          <w:szCs w:val="24"/>
        </w:rPr>
        <w:t>.</w:t>
      </w:r>
    </w:p>
    <w:p w14:paraId="1A0755B6" w14:textId="77777777" w:rsidR="00D4700D" w:rsidRDefault="00D4700D" w:rsidP="00461889">
      <w:pPr>
        <w:pStyle w:val="afff3"/>
        <w:widowControl/>
        <w:numPr>
          <w:ilvl w:val="1"/>
          <w:numId w:val="257"/>
        </w:numPr>
        <w:autoSpaceDE/>
        <w:autoSpaceDN/>
        <w:adjustRightInd/>
        <w:ind w:left="1437"/>
        <w:contextualSpacing w:val="0"/>
        <w:rPr>
          <w:szCs w:val="24"/>
        </w:rPr>
      </w:pPr>
      <w:r w:rsidRPr="00CD2AC0">
        <w:rPr>
          <w:szCs w:val="24"/>
        </w:rPr>
        <w:t xml:space="preserve">Антифибринолитические препараты: транексамовая кислота по 750 мг х 2-3 раза в сут </w:t>
      </w:r>
      <w:r w:rsidRPr="00CD2AC0">
        <w:rPr>
          <w:szCs w:val="24"/>
          <w:lang w:val="en-US"/>
        </w:rPr>
        <w:t>per</w:t>
      </w:r>
      <w:r w:rsidRPr="00CD2AC0">
        <w:rPr>
          <w:szCs w:val="24"/>
        </w:rPr>
        <w:t xml:space="preserve"> </w:t>
      </w:r>
      <w:r w:rsidRPr="00CD2AC0">
        <w:rPr>
          <w:szCs w:val="24"/>
          <w:lang w:val="en-US"/>
        </w:rPr>
        <w:t>os</w:t>
      </w:r>
      <w:r w:rsidRPr="00CD2AC0">
        <w:rPr>
          <w:szCs w:val="24"/>
        </w:rPr>
        <w:t xml:space="preserve"> или 10-15 мг/кг массы тела пациента в/в каждые 8 часов до купирования кровотечения.</w:t>
      </w:r>
    </w:p>
    <w:p w14:paraId="2DDF56D9" w14:textId="77777777" w:rsidR="00D4700D" w:rsidRPr="00347B9A" w:rsidRDefault="00D4700D" w:rsidP="00D4700D">
      <w:pPr>
        <w:pStyle w:val="afff7"/>
        <w:spacing w:beforeAutospacing="0" w:afterAutospacing="0"/>
        <w:rPr>
          <w:i/>
          <w:iCs/>
          <w:u w:val="single"/>
        </w:rPr>
      </w:pPr>
      <w:r w:rsidRPr="00347B9A">
        <w:rPr>
          <w:i/>
          <w:iCs/>
          <w:u w:val="single"/>
        </w:rPr>
        <w:t>Особенности диагностики и лечения геморрагического синдрома при отдельных гематологических заболеваниях.</w:t>
      </w:r>
    </w:p>
    <w:p w14:paraId="6C138345" w14:textId="77777777" w:rsidR="00D4700D" w:rsidRPr="00EB0207" w:rsidRDefault="00D4700D" w:rsidP="00D4700D">
      <w:pPr>
        <w:ind w:firstLine="709"/>
        <w:rPr>
          <w:strike/>
          <w:u w:val="single"/>
        </w:rPr>
      </w:pPr>
      <w:r w:rsidRPr="00347B9A">
        <w:rPr>
          <w:u w:val="single"/>
        </w:rPr>
        <w:t>Особенности лечения геморрагического синдрома при острых лейкозах</w:t>
      </w:r>
    </w:p>
    <w:p w14:paraId="439FCFFF" w14:textId="77777777" w:rsidR="00D4700D" w:rsidRPr="00EB0207" w:rsidRDefault="00D4700D" w:rsidP="00D4700D">
      <w:pPr>
        <w:ind w:firstLine="709"/>
        <w:rPr>
          <w:strike/>
        </w:rPr>
      </w:pPr>
      <w:r w:rsidRPr="00347B9A">
        <w:t xml:space="preserve">Тромбоцитопения при острых лейкозах является одним из симптомов костно-мозговой недостаточности, и в 10-30% случаев выявляется в дебюте заболевания. Проявлением дисплазии в мегакариоцитарном ростке является обнаружение в анализе крови макроформ тромбоцитов, поэтому геморрагический синдром может развиваться при умеренной тромбоцитопении в связи с наличием функциональной неполноценности тромбоцитов. При развитии аллосенсибилизации целесообразно проведение 4-10 сеансов лечебного плазмафереза для повышения эффективности трансфузий концентратов тромбоцитов. </w:t>
      </w:r>
    </w:p>
    <w:p w14:paraId="64FB530F" w14:textId="77777777" w:rsidR="00D4700D" w:rsidRPr="00347B9A" w:rsidRDefault="00D4700D" w:rsidP="00D4700D">
      <w:pPr>
        <w:ind w:firstLine="709"/>
      </w:pPr>
      <w:r w:rsidRPr="00347B9A">
        <w:rPr>
          <w:u w:val="single"/>
        </w:rPr>
        <w:t>Особенности диагностики и лечения геморрагического синдрома при меноррагиях, внутричерепных кровоизлияниях и кровоизлияниях в ЦНС</w:t>
      </w:r>
      <w:r w:rsidRPr="00347B9A">
        <w:t xml:space="preserve"> приведены в соответствующих </w:t>
      </w:r>
      <w:r>
        <w:t xml:space="preserve">разделах 7.2, 7.3, 7.1 </w:t>
      </w:r>
      <w:r w:rsidRPr="00347B9A">
        <w:t>по сопроводительной терапии</w:t>
      </w:r>
      <w:r>
        <w:t xml:space="preserve"> при лечениии лейкоза.</w:t>
      </w:r>
    </w:p>
    <w:p w14:paraId="484AB6C3" w14:textId="27AB9E70" w:rsidR="00140063" w:rsidRPr="00140063" w:rsidRDefault="00D75364" w:rsidP="004905C2">
      <w:pPr>
        <w:pStyle w:val="2"/>
      </w:pPr>
      <w:bookmarkStart w:id="176" w:name="_Toc64565654"/>
      <w:r w:rsidRPr="00FC258D">
        <w:t>7.</w:t>
      </w:r>
      <w:r w:rsidR="00D4700D">
        <w:t>3</w:t>
      </w:r>
      <w:r w:rsidRPr="00FC258D">
        <w:t xml:space="preserve">. </w:t>
      </w:r>
      <w:r w:rsidR="00D35FE3">
        <w:t>Профилактика и л</w:t>
      </w:r>
      <w:r w:rsidR="00140063" w:rsidRPr="00611EC1">
        <w:t xml:space="preserve">ечение меноррагий у пациенток с </w:t>
      </w:r>
      <w:bookmarkEnd w:id="176"/>
      <w:r w:rsidR="00D4700D">
        <w:t>лейкозом</w:t>
      </w:r>
    </w:p>
    <w:p w14:paraId="7552218A" w14:textId="77777777" w:rsidR="00140063" w:rsidRPr="00611EC1" w:rsidRDefault="00140063" w:rsidP="00140063">
      <w:pPr>
        <w:ind w:firstLine="709"/>
        <w:rPr>
          <w:color w:val="000000"/>
          <w:szCs w:val="24"/>
        </w:rPr>
      </w:pPr>
    </w:p>
    <w:p w14:paraId="6ADDAF01" w14:textId="1B030309" w:rsidR="00140063" w:rsidRPr="00611EC1" w:rsidRDefault="00140063" w:rsidP="00140063">
      <w:pPr>
        <w:ind w:firstLine="709"/>
        <w:rPr>
          <w:color w:val="000000"/>
          <w:szCs w:val="24"/>
        </w:rPr>
      </w:pPr>
      <w:r w:rsidRPr="00611EC1">
        <w:rPr>
          <w:color w:val="000000"/>
          <w:szCs w:val="24"/>
        </w:rPr>
        <w:t xml:space="preserve">Аномальные маточные кровотечения (АМК) — распространенная патология </w:t>
      </w:r>
      <w:r w:rsidRPr="00611EC1">
        <w:rPr>
          <w:szCs w:val="24"/>
        </w:rPr>
        <w:t xml:space="preserve">у женщин с </w:t>
      </w:r>
      <w:r w:rsidR="00941AF9">
        <w:rPr>
          <w:szCs w:val="24"/>
        </w:rPr>
        <w:t>лейкозами</w:t>
      </w:r>
      <w:r w:rsidRPr="00611EC1">
        <w:rPr>
          <w:color w:val="000000"/>
          <w:szCs w:val="24"/>
        </w:rPr>
        <w:t xml:space="preserve">, которая включает нарушения менструального цикла, связанные с частотой, регулярностью, продолжительностью и объемом теряемой крови у пациенток. Частота встречаемости АМК </w:t>
      </w:r>
      <w:r w:rsidRPr="00611EC1">
        <w:rPr>
          <w:szCs w:val="24"/>
        </w:rPr>
        <w:t>в общей популяции</w:t>
      </w:r>
      <w:r w:rsidRPr="00611EC1">
        <w:rPr>
          <w:color w:val="FF0000"/>
          <w:szCs w:val="24"/>
        </w:rPr>
        <w:t xml:space="preserve"> </w:t>
      </w:r>
      <w:r w:rsidRPr="00611EC1">
        <w:rPr>
          <w:szCs w:val="24"/>
        </w:rPr>
        <w:t>женщин</w:t>
      </w:r>
      <w:r w:rsidRPr="00611EC1">
        <w:rPr>
          <w:color w:val="FF0000"/>
          <w:szCs w:val="24"/>
        </w:rPr>
        <w:t xml:space="preserve"> </w:t>
      </w:r>
      <w:r w:rsidRPr="00611EC1">
        <w:rPr>
          <w:color w:val="000000"/>
          <w:szCs w:val="24"/>
        </w:rPr>
        <w:t>варьирует от 14 до 30%, частота у пациенток с гематологическими заболеваниями неизвестна.</w:t>
      </w:r>
    </w:p>
    <w:p w14:paraId="5B4658CE" w14:textId="77777777" w:rsidR="00941AF9" w:rsidRPr="00611EC1" w:rsidRDefault="00941AF9" w:rsidP="00941AF9">
      <w:pPr>
        <w:pStyle w:val="afff3"/>
        <w:widowControl/>
        <w:numPr>
          <w:ilvl w:val="0"/>
          <w:numId w:val="228"/>
        </w:numPr>
        <w:autoSpaceDE/>
        <w:autoSpaceDN/>
        <w:adjustRightInd/>
        <w:rPr>
          <w:szCs w:val="24"/>
        </w:rPr>
      </w:pPr>
      <w:r w:rsidRPr="00611EC1">
        <w:rPr>
          <w:szCs w:val="24"/>
        </w:rPr>
        <w:t>Экстрагенитальная патология: врожденные или приобретенные нарушения гемостаза, тромбоцитопении.</w:t>
      </w:r>
    </w:p>
    <w:p w14:paraId="34C9B5C5" w14:textId="77777777" w:rsidR="00941AF9" w:rsidRPr="002D20EF" w:rsidRDefault="00941AF9" w:rsidP="00941AF9">
      <w:pPr>
        <w:pStyle w:val="afff3"/>
        <w:widowControl/>
        <w:numPr>
          <w:ilvl w:val="0"/>
          <w:numId w:val="228"/>
        </w:numPr>
        <w:autoSpaceDE/>
        <w:autoSpaceDN/>
        <w:adjustRightInd/>
        <w:rPr>
          <w:szCs w:val="24"/>
          <w:shd w:val="clear" w:color="auto" w:fill="FFFFFF"/>
        </w:rPr>
      </w:pPr>
      <w:r w:rsidRPr="002D20EF">
        <w:rPr>
          <w:szCs w:val="24"/>
        </w:rPr>
        <w:lastRenderedPageBreak/>
        <w:t>АМК в период диагностики и лечения лейкоза, а так же  после самопроизвольных родов или оперативного родоразрешения на фоне лейкоза</w:t>
      </w:r>
      <w:r>
        <w:rPr>
          <w:szCs w:val="24"/>
        </w:rPr>
        <w:t>.</w:t>
      </w:r>
    </w:p>
    <w:p w14:paraId="394F25BA" w14:textId="77777777" w:rsidR="00941AF9" w:rsidRPr="00751ECD" w:rsidRDefault="00941AF9" w:rsidP="00941AF9">
      <w:pPr>
        <w:pStyle w:val="afff3"/>
        <w:widowControl/>
        <w:numPr>
          <w:ilvl w:val="0"/>
          <w:numId w:val="228"/>
        </w:numPr>
        <w:autoSpaceDE/>
        <w:autoSpaceDN/>
        <w:adjustRightInd/>
        <w:rPr>
          <w:color w:val="000000"/>
          <w:szCs w:val="24"/>
          <w:shd w:val="clear" w:color="auto" w:fill="FFFFFF"/>
        </w:rPr>
      </w:pPr>
      <w:r w:rsidRPr="00751ECD">
        <w:rPr>
          <w:color w:val="000000"/>
          <w:szCs w:val="24"/>
          <w:shd w:val="clear" w:color="auto" w:fill="FFFFFF"/>
        </w:rPr>
        <w:t xml:space="preserve">Органическая гинекологическая патология: полип, лейомиома, гиперплазия эндометрия, злокачественные образования, патология яичников, шейки матки (выявленная на фоне </w:t>
      </w:r>
      <w:r w:rsidRPr="00751ECD">
        <w:rPr>
          <w:szCs w:val="24"/>
          <w:shd w:val="clear" w:color="auto" w:fill="FFFFFF"/>
        </w:rPr>
        <w:t>лейкоза</w:t>
      </w:r>
      <w:r w:rsidRPr="00751ECD">
        <w:rPr>
          <w:color w:val="000000"/>
          <w:szCs w:val="24"/>
          <w:shd w:val="clear" w:color="auto" w:fill="FFFFFF"/>
        </w:rPr>
        <w:t>).</w:t>
      </w:r>
    </w:p>
    <w:p w14:paraId="2C671E46" w14:textId="77777777" w:rsidR="00941AF9" w:rsidRDefault="00941AF9" w:rsidP="00140063">
      <w:pPr>
        <w:rPr>
          <w:b/>
          <w:szCs w:val="24"/>
        </w:rPr>
      </w:pPr>
    </w:p>
    <w:p w14:paraId="57F92273" w14:textId="77777777" w:rsidR="00140063" w:rsidRPr="00611EC1" w:rsidRDefault="00140063" w:rsidP="00140063">
      <w:pPr>
        <w:rPr>
          <w:color w:val="000000"/>
          <w:szCs w:val="24"/>
          <w:shd w:val="clear" w:color="auto" w:fill="FFFFFF"/>
        </w:rPr>
      </w:pPr>
      <w:r w:rsidRPr="00611EC1">
        <w:rPr>
          <w:b/>
          <w:szCs w:val="24"/>
        </w:rPr>
        <w:t xml:space="preserve">Диагностика </w:t>
      </w:r>
      <w:r w:rsidRPr="00611EC1">
        <w:rPr>
          <w:b/>
          <w:color w:val="000000"/>
          <w:szCs w:val="24"/>
          <w:shd w:val="clear" w:color="auto" w:fill="FFFFFF"/>
        </w:rPr>
        <w:t>маточных кровотечений</w:t>
      </w:r>
      <w:r w:rsidRPr="00611EC1">
        <w:rPr>
          <w:b/>
          <w:szCs w:val="24"/>
        </w:rPr>
        <w:t>.</w:t>
      </w:r>
    </w:p>
    <w:p w14:paraId="0BAB8B7E" w14:textId="3DB868DD" w:rsidR="00140063" w:rsidRPr="00611EC1" w:rsidRDefault="00140063" w:rsidP="00140063">
      <w:pPr>
        <w:ind w:firstLine="709"/>
        <w:rPr>
          <w:color w:val="000000"/>
          <w:szCs w:val="24"/>
          <w:shd w:val="clear" w:color="auto" w:fill="FFFFFF"/>
        </w:rPr>
      </w:pPr>
      <w:r w:rsidRPr="00611EC1">
        <w:rPr>
          <w:color w:val="1E1E1E"/>
          <w:spacing w:val="2"/>
          <w:szCs w:val="24"/>
        </w:rPr>
        <w:t xml:space="preserve">АМК проявляются обильными, длительными (более 7 дней), иногда болезненными </w:t>
      </w:r>
      <w:r w:rsidRPr="00611EC1">
        <w:rPr>
          <w:spacing w:val="2"/>
          <w:szCs w:val="24"/>
        </w:rPr>
        <w:t>кровянистыми</w:t>
      </w:r>
      <w:r w:rsidRPr="00611EC1">
        <w:rPr>
          <w:color w:val="FF0000"/>
          <w:spacing w:val="2"/>
          <w:szCs w:val="24"/>
        </w:rPr>
        <w:t xml:space="preserve"> </w:t>
      </w:r>
      <w:r w:rsidRPr="00611EC1">
        <w:rPr>
          <w:color w:val="1E1E1E"/>
          <w:spacing w:val="2"/>
          <w:szCs w:val="24"/>
        </w:rPr>
        <w:t>выделениями из половых путей</w:t>
      </w:r>
      <w:r w:rsidRPr="00320220">
        <w:rPr>
          <w:color w:val="1E1E1E"/>
          <w:spacing w:val="2"/>
          <w:szCs w:val="24"/>
        </w:rPr>
        <w:t xml:space="preserve"> </w:t>
      </w:r>
      <w:r>
        <w:rPr>
          <w:color w:val="1E1E1E"/>
          <w:spacing w:val="2"/>
          <w:szCs w:val="24"/>
        </w:rPr>
        <w:fldChar w:fldCharType="begin" w:fldLock="1"/>
      </w:r>
      <w:r w:rsidR="00A67ED2">
        <w:rPr>
          <w:color w:val="1E1E1E"/>
          <w:spacing w:val="2"/>
          <w:szCs w:val="24"/>
        </w:rPr>
        <w:instrText>ADDIN CSL_CITATION {"citationItems":[{"id":"ITEM-1","itemData":{"author":[{"dropping-particle":"","family":"Доброхотова","given":"Ю.Э.","non-dropping-particle":"","parse-names":false,"suffix":""},{"dropping-particle":"","family":"Сапрыкина","given":"Л.В.","non-dropping-particle":"","parse-names":false,"suffix":""},{"dropping-particle":"","family":"Филатова","given":"Л.А.","non-dropping-particle":"","parse-names":false,"suffix":""},{"dropping-particle":"","family":"Нариманова","given":"М.Р.","non-dropping-particle":"","parse-names":false,"suffix":""}],"container-title":"РМЖ. Мать и дитя","id":"ITEM-1","issue":"1","issued":{"date-parts":[["2020"]]},"page":"55-60","title":"Аномальные маточные кровотечения: алгоритмы ведения, методы терапии","type":"article-journal","volume":"3"},"uris":["http://www.mendeley.com/documents/?uuid=a12a992c-5fc5-4324-a2fd-7b01c09f94e9"]},{"id":"ITEM-2","itemData":{"author":[{"dropping-particle":"","family":"Чернуха","given":"Г.Е.","non-dropping-particle":"","parse-names":false,"suffix":""}],"container-title":"Гинекология: национальное руководство. Краткое издание. Под ред. Г.М. Савельевой. Г.Т. Сухих, В.Н. Серова, В.Е. Радзинского, И.Б. Манухина.","id":"ITEM-2","issued":{"date-parts":[["2020"]]},"page":"170-175","publisher":"М.: ГЭОТАР-Медиа","title":"Аномальные маточные кровотечения репродуктивного периода","type":"chapter"},"uris":["http://www.mendeley.com/documents/?uuid=2ef54431-bdc8-4c42-878d-b428dfa8ea1f"]}],"mendeley":{"formattedCitation":"[112,113]","plainTextFormattedCitation":"[112,113]","previouslyFormattedCitation":"[1,2]"},"properties":{"noteIndex":0},"schema":"https://github.com/citation-style-language/schema/raw/master/csl-citation.json"}</w:instrText>
      </w:r>
      <w:r>
        <w:rPr>
          <w:color w:val="1E1E1E"/>
          <w:spacing w:val="2"/>
          <w:szCs w:val="24"/>
        </w:rPr>
        <w:fldChar w:fldCharType="separate"/>
      </w:r>
      <w:r w:rsidR="00A67ED2" w:rsidRPr="00A67ED2">
        <w:rPr>
          <w:noProof/>
          <w:color w:val="1E1E1E"/>
          <w:spacing w:val="2"/>
          <w:szCs w:val="24"/>
        </w:rPr>
        <w:t>[112,113]</w:t>
      </w:r>
      <w:r>
        <w:rPr>
          <w:color w:val="1E1E1E"/>
          <w:spacing w:val="2"/>
          <w:szCs w:val="24"/>
        </w:rPr>
        <w:fldChar w:fldCharType="end"/>
      </w:r>
      <w:r w:rsidRPr="00611EC1">
        <w:rPr>
          <w:color w:val="1E1E1E"/>
          <w:spacing w:val="2"/>
          <w:szCs w:val="24"/>
        </w:rPr>
        <w:t>.</w:t>
      </w:r>
      <w:r w:rsidRPr="00611EC1">
        <w:rPr>
          <w:szCs w:val="24"/>
        </w:rPr>
        <w:t xml:space="preserve"> </w:t>
      </w:r>
    </w:p>
    <w:p w14:paraId="4F1321F6" w14:textId="77777777" w:rsidR="00140063" w:rsidRDefault="00140063" w:rsidP="00140063">
      <w:pPr>
        <w:shd w:val="clear" w:color="auto" w:fill="FFFFFF"/>
        <w:rPr>
          <w:b/>
          <w:bCs/>
          <w:color w:val="333333"/>
          <w:szCs w:val="24"/>
        </w:rPr>
      </w:pPr>
    </w:p>
    <w:p w14:paraId="2C0AB542" w14:textId="77777777" w:rsidR="00140063" w:rsidRPr="00611EC1" w:rsidRDefault="00140063" w:rsidP="00140063">
      <w:pPr>
        <w:shd w:val="clear" w:color="auto" w:fill="FFFFFF"/>
        <w:rPr>
          <w:i/>
          <w:color w:val="333333"/>
          <w:szCs w:val="24"/>
          <w:u w:val="single"/>
        </w:rPr>
      </w:pPr>
      <w:r w:rsidRPr="00611EC1">
        <w:rPr>
          <w:bCs/>
          <w:i/>
          <w:color w:val="333333"/>
          <w:szCs w:val="24"/>
          <w:u w:val="single"/>
        </w:rPr>
        <w:t xml:space="preserve">Обязательные методы </w:t>
      </w:r>
      <w:r w:rsidRPr="00611EC1">
        <w:rPr>
          <w:bCs/>
          <w:i/>
          <w:szCs w:val="24"/>
          <w:u w:val="single"/>
        </w:rPr>
        <w:t>первичного</w:t>
      </w:r>
      <w:r w:rsidRPr="00611EC1">
        <w:rPr>
          <w:bCs/>
          <w:i/>
          <w:color w:val="FF0000"/>
          <w:szCs w:val="24"/>
          <w:u w:val="single"/>
        </w:rPr>
        <w:t xml:space="preserve"> </w:t>
      </w:r>
      <w:r w:rsidRPr="00611EC1">
        <w:rPr>
          <w:bCs/>
          <w:i/>
          <w:color w:val="333333"/>
          <w:szCs w:val="24"/>
          <w:u w:val="single"/>
        </w:rPr>
        <w:t>обследования при АМК:</w:t>
      </w:r>
    </w:p>
    <w:p w14:paraId="31D8651E" w14:textId="77777777" w:rsidR="00140063" w:rsidRPr="00611EC1" w:rsidRDefault="00140063" w:rsidP="00140063">
      <w:pPr>
        <w:pStyle w:val="afff3"/>
        <w:widowControl/>
        <w:numPr>
          <w:ilvl w:val="0"/>
          <w:numId w:val="221"/>
        </w:numPr>
        <w:autoSpaceDE/>
        <w:autoSpaceDN/>
        <w:adjustRightInd/>
        <w:ind w:firstLine="709"/>
        <w:rPr>
          <w:spacing w:val="2"/>
          <w:szCs w:val="24"/>
        </w:rPr>
      </w:pPr>
      <w:r w:rsidRPr="00611EC1">
        <w:rPr>
          <w:color w:val="1E1E1E"/>
          <w:spacing w:val="2"/>
          <w:szCs w:val="24"/>
        </w:rPr>
        <w:t xml:space="preserve">Клинико-анамнестическое обследование (жалобы, анамнез, </w:t>
      </w:r>
      <w:r w:rsidRPr="00611EC1">
        <w:rPr>
          <w:szCs w:val="24"/>
        </w:rPr>
        <w:t>прием (осмотр, консультация) врача-акушера-гинеколога первичный, повторный).</w:t>
      </w:r>
      <w:r w:rsidRPr="00611EC1">
        <w:rPr>
          <w:spacing w:val="2"/>
          <w:szCs w:val="24"/>
        </w:rPr>
        <w:t xml:space="preserve"> </w:t>
      </w:r>
    </w:p>
    <w:p w14:paraId="55ABF5F5" w14:textId="77777777" w:rsidR="00140063" w:rsidRPr="00611EC1" w:rsidRDefault="00140063" w:rsidP="00140063">
      <w:pPr>
        <w:pStyle w:val="afff3"/>
        <w:widowControl/>
        <w:numPr>
          <w:ilvl w:val="0"/>
          <w:numId w:val="221"/>
        </w:numPr>
        <w:autoSpaceDE/>
        <w:autoSpaceDN/>
        <w:adjustRightInd/>
        <w:ind w:firstLine="709"/>
        <w:rPr>
          <w:color w:val="000000"/>
          <w:szCs w:val="24"/>
          <w:shd w:val="clear" w:color="auto" w:fill="FFFFFF"/>
        </w:rPr>
      </w:pPr>
      <w:r w:rsidRPr="00611EC1">
        <w:rPr>
          <w:color w:val="1E1E1E"/>
          <w:spacing w:val="2"/>
          <w:szCs w:val="24"/>
        </w:rPr>
        <w:t xml:space="preserve">Лабораторная диагностика: </w:t>
      </w:r>
    </w:p>
    <w:p w14:paraId="41078B79" w14:textId="2F829490" w:rsidR="00140063" w:rsidRPr="00611EC1" w:rsidRDefault="00140063" w:rsidP="00140063">
      <w:pPr>
        <w:pStyle w:val="afff3"/>
        <w:widowControl/>
        <w:numPr>
          <w:ilvl w:val="0"/>
          <w:numId w:val="224"/>
        </w:numPr>
        <w:autoSpaceDE/>
        <w:autoSpaceDN/>
        <w:adjustRightInd/>
        <w:ind w:firstLine="709"/>
        <w:rPr>
          <w:color w:val="000000"/>
          <w:szCs w:val="24"/>
          <w:shd w:val="clear" w:color="auto" w:fill="FFFFFF"/>
        </w:rPr>
      </w:pPr>
      <w:r w:rsidRPr="00611EC1">
        <w:rPr>
          <w:color w:val="1E1E1E"/>
          <w:spacing w:val="2"/>
          <w:szCs w:val="24"/>
        </w:rPr>
        <w:t>клинический анализ крови (гемоглобин, тромбоциты</w:t>
      </w:r>
      <w:r w:rsidRPr="00611EC1">
        <w:rPr>
          <w:color w:val="FF0000"/>
          <w:spacing w:val="2"/>
          <w:szCs w:val="24"/>
        </w:rPr>
        <w:t xml:space="preserve">, </w:t>
      </w:r>
      <w:r w:rsidRPr="00611EC1">
        <w:rPr>
          <w:spacing w:val="2"/>
          <w:szCs w:val="24"/>
        </w:rPr>
        <w:t xml:space="preserve">в том числе и с подсчетом в мазке крови по Фонио, </w:t>
      </w:r>
      <w:r w:rsidRPr="00611EC1">
        <w:rPr>
          <w:color w:val="1E1E1E"/>
          <w:spacing w:val="2"/>
          <w:szCs w:val="24"/>
        </w:rPr>
        <w:t xml:space="preserve">лейкоциты с лейкоцитарной формулой, СОЭ) </w:t>
      </w:r>
    </w:p>
    <w:p w14:paraId="597E8822" w14:textId="77777777" w:rsidR="00140063" w:rsidRPr="00611EC1" w:rsidRDefault="00140063" w:rsidP="00140063">
      <w:pPr>
        <w:pStyle w:val="afff3"/>
        <w:widowControl/>
        <w:numPr>
          <w:ilvl w:val="0"/>
          <w:numId w:val="224"/>
        </w:numPr>
        <w:autoSpaceDE/>
        <w:autoSpaceDN/>
        <w:adjustRightInd/>
        <w:ind w:firstLine="709"/>
        <w:rPr>
          <w:szCs w:val="24"/>
          <w:shd w:val="clear" w:color="auto" w:fill="FFFFFF"/>
        </w:rPr>
      </w:pPr>
      <w:r w:rsidRPr="00611EC1">
        <w:rPr>
          <w:spacing w:val="2"/>
          <w:szCs w:val="24"/>
        </w:rPr>
        <w:t>биохимический анализ крови (общий белок, мочевая кислота, билирубин общий, мочевина, креатинин, калий, натрий, кальций, АСТ, АЛТ, ЛДГ, железо сыворотки, глюкоза крови)</w:t>
      </w:r>
    </w:p>
    <w:p w14:paraId="66395EC2" w14:textId="77777777" w:rsidR="00140063" w:rsidRPr="00611EC1" w:rsidRDefault="00140063" w:rsidP="00140063">
      <w:pPr>
        <w:pStyle w:val="afff3"/>
        <w:widowControl/>
        <w:numPr>
          <w:ilvl w:val="0"/>
          <w:numId w:val="224"/>
        </w:numPr>
        <w:autoSpaceDE/>
        <w:autoSpaceDN/>
        <w:adjustRightInd/>
        <w:ind w:firstLine="709"/>
        <w:rPr>
          <w:szCs w:val="24"/>
          <w:shd w:val="clear" w:color="auto" w:fill="FFFFFF"/>
        </w:rPr>
      </w:pPr>
      <w:r w:rsidRPr="00611EC1">
        <w:rPr>
          <w:spacing w:val="2"/>
          <w:szCs w:val="24"/>
        </w:rPr>
        <w:t>развернутая коагулограмма (АЧТВ, протромбиновый индекс, концентрация фибриногена, X</w:t>
      </w:r>
      <w:r w:rsidRPr="00611EC1">
        <w:rPr>
          <w:spacing w:val="2"/>
          <w:szCs w:val="24"/>
          <w:lang w:val="en-US"/>
        </w:rPr>
        <w:t>IIa</w:t>
      </w:r>
      <w:r w:rsidRPr="00611EC1">
        <w:rPr>
          <w:spacing w:val="2"/>
          <w:szCs w:val="24"/>
        </w:rPr>
        <w:t xml:space="preserve"> зависимый фибринолиз, Фактор </w:t>
      </w:r>
      <w:r w:rsidRPr="00611EC1">
        <w:rPr>
          <w:spacing w:val="2"/>
          <w:szCs w:val="24"/>
          <w:lang w:val="en-US"/>
        </w:rPr>
        <w:t>VIII</w:t>
      </w:r>
      <w:r w:rsidRPr="00611EC1">
        <w:rPr>
          <w:spacing w:val="2"/>
          <w:szCs w:val="24"/>
        </w:rPr>
        <w:t>, Фактор Виллебранда, агрегация тромбоцитов с ристомицином).</w:t>
      </w:r>
    </w:p>
    <w:p w14:paraId="41F53395" w14:textId="77777777" w:rsidR="00140063" w:rsidRPr="00611EC1" w:rsidRDefault="00140063" w:rsidP="00140063">
      <w:pPr>
        <w:pStyle w:val="afff3"/>
        <w:widowControl/>
        <w:numPr>
          <w:ilvl w:val="0"/>
          <w:numId w:val="224"/>
        </w:numPr>
        <w:autoSpaceDE/>
        <w:autoSpaceDN/>
        <w:adjustRightInd/>
        <w:ind w:firstLine="709"/>
        <w:rPr>
          <w:color w:val="000000"/>
          <w:szCs w:val="24"/>
          <w:shd w:val="clear" w:color="auto" w:fill="FFFFFF"/>
        </w:rPr>
      </w:pPr>
      <w:r w:rsidRPr="00611EC1">
        <w:rPr>
          <w:color w:val="1E1E1E"/>
          <w:spacing w:val="2"/>
          <w:szCs w:val="24"/>
        </w:rPr>
        <w:t>тромбоэластограмма (при наличии возможности);</w:t>
      </w:r>
    </w:p>
    <w:p w14:paraId="76C8C5AD" w14:textId="77777777" w:rsidR="00140063" w:rsidRPr="00611EC1" w:rsidRDefault="00140063" w:rsidP="00140063">
      <w:pPr>
        <w:pStyle w:val="afff3"/>
        <w:widowControl/>
        <w:numPr>
          <w:ilvl w:val="0"/>
          <w:numId w:val="221"/>
        </w:numPr>
        <w:autoSpaceDE/>
        <w:autoSpaceDN/>
        <w:adjustRightInd/>
        <w:ind w:firstLine="709"/>
        <w:rPr>
          <w:szCs w:val="24"/>
        </w:rPr>
      </w:pPr>
      <w:r w:rsidRPr="00611EC1">
        <w:rPr>
          <w:color w:val="1E1E1E"/>
          <w:spacing w:val="2"/>
          <w:szCs w:val="24"/>
        </w:rPr>
        <w:t>Инструменальная диагностика:</w:t>
      </w:r>
    </w:p>
    <w:p w14:paraId="0F5462EE" w14:textId="77777777" w:rsidR="00140063" w:rsidRPr="00611EC1" w:rsidRDefault="00140063" w:rsidP="00140063">
      <w:pPr>
        <w:pStyle w:val="afff3"/>
        <w:widowControl/>
        <w:numPr>
          <w:ilvl w:val="0"/>
          <w:numId w:val="225"/>
        </w:numPr>
        <w:autoSpaceDE/>
        <w:autoSpaceDN/>
        <w:adjustRightInd/>
        <w:ind w:firstLine="709"/>
        <w:rPr>
          <w:szCs w:val="24"/>
        </w:rPr>
      </w:pPr>
      <w:r w:rsidRPr="00611EC1">
        <w:rPr>
          <w:color w:val="1E1E1E"/>
          <w:spacing w:val="2"/>
          <w:szCs w:val="24"/>
        </w:rPr>
        <w:t xml:space="preserve">Трансвагинальное </w:t>
      </w:r>
      <w:r w:rsidRPr="00611EC1">
        <w:rPr>
          <w:szCs w:val="24"/>
          <w:shd w:val="clear" w:color="auto" w:fill="FFFFFF"/>
        </w:rPr>
        <w:t>ультразвуковое исследование (ТВ</w:t>
      </w:r>
      <w:r w:rsidRPr="00611EC1">
        <w:rPr>
          <w:spacing w:val="2"/>
          <w:szCs w:val="24"/>
        </w:rPr>
        <w:t>УЗИ</w:t>
      </w:r>
      <w:r w:rsidRPr="00611EC1">
        <w:rPr>
          <w:color w:val="1E1E1E"/>
          <w:spacing w:val="2"/>
          <w:szCs w:val="24"/>
        </w:rPr>
        <w:t xml:space="preserve">) </w:t>
      </w:r>
    </w:p>
    <w:p w14:paraId="3363F949" w14:textId="77777777" w:rsidR="00140063" w:rsidRDefault="00140063" w:rsidP="00140063">
      <w:pPr>
        <w:ind w:firstLine="709"/>
        <w:rPr>
          <w:b/>
          <w:color w:val="1E1E1E"/>
          <w:spacing w:val="2"/>
          <w:szCs w:val="24"/>
        </w:rPr>
      </w:pPr>
    </w:p>
    <w:p w14:paraId="1D5F4189" w14:textId="7BCBD4F7" w:rsidR="00140063" w:rsidRPr="00611EC1" w:rsidRDefault="00140063" w:rsidP="00140063">
      <w:pPr>
        <w:ind w:firstLine="709"/>
        <w:rPr>
          <w:color w:val="FF0000"/>
          <w:spacing w:val="2"/>
          <w:szCs w:val="24"/>
        </w:rPr>
      </w:pPr>
      <w:r w:rsidRPr="00611EC1">
        <w:rPr>
          <w:i/>
          <w:color w:val="1E1E1E"/>
          <w:spacing w:val="2"/>
          <w:szCs w:val="24"/>
          <w:u w:val="single"/>
        </w:rPr>
        <w:t>Дополнительные методы обследования</w:t>
      </w:r>
      <w:r w:rsidRPr="00611EC1">
        <w:rPr>
          <w:b/>
          <w:color w:val="1E1E1E"/>
          <w:spacing w:val="2"/>
          <w:szCs w:val="24"/>
        </w:rPr>
        <w:t xml:space="preserve"> </w:t>
      </w:r>
      <w:r w:rsidRPr="00611EC1">
        <w:rPr>
          <w:color w:val="1E1E1E"/>
          <w:spacing w:val="2"/>
          <w:szCs w:val="24"/>
        </w:rPr>
        <w:t>проводятся при необходимости (по клиническим показаниям)</w:t>
      </w:r>
      <w:r>
        <w:rPr>
          <w:color w:val="1E1E1E"/>
          <w:spacing w:val="2"/>
          <w:szCs w:val="24"/>
        </w:rPr>
        <w:t xml:space="preserve"> </w:t>
      </w:r>
      <w:r>
        <w:rPr>
          <w:color w:val="1E1E1E"/>
          <w:spacing w:val="2"/>
          <w:szCs w:val="24"/>
        </w:rPr>
        <w:fldChar w:fldCharType="begin" w:fldLock="1"/>
      </w:r>
      <w:r w:rsidR="00A67ED2">
        <w:rPr>
          <w:color w:val="1E1E1E"/>
          <w:spacing w:val="2"/>
          <w:szCs w:val="24"/>
        </w:rPr>
        <w:instrText>ADDIN CSL_CITATION {"citationItems":[{"id":"ITEM-1","itemData":{"author":[{"dropping-particle":"","family":"Доброхотова","given":"Ю.Э.","non-dropping-particle":"","parse-names":false,"suffix":""},{"dropping-particle":"","family":"Сапрыкина","given":"Л.В.","non-dropping-particle":"","parse-names":false,"suffix":""},{"dropping-particle":"","family":"Филатова","given":"Л.А.","non-dropping-particle":"","parse-names":false,"suffix":""},{"dropping-particle":"","family":"Нариманова","given":"М.Р.","non-dropping-particle":"","parse-names":false,"suffix":""}],"container-title":"РМЖ. Мать и дитя","id":"ITEM-1","issue":"1","issued":{"date-parts":[["2020"]]},"page":"55-60","title":"Аномальные маточные кровотечения: алгоритмы ведения, методы терапии","type":"article-journal","volume":"3"},"uris":["http://www.mendeley.com/documents/?uuid=a12a992c-5fc5-4324-a2fd-7b01c09f94e9"]},{"id":"ITEM-2","itemData":{"author":[{"dropping-particle":"","family":"Чернуха","given":"Г.Е.","non-dropping-particle":"","parse-names":false,"suffix":""}],"container-title":"Гинекология: национальное руководство. Краткое издание. Под ред. Г.М. Савельевой. Г.Т. Сухих, В.Н. Серова, В.Е. Радзинского, И.Б. Манухина.","id":"ITEM-2","issued":{"date-parts":[["2020"]]},"page":"170-175","publisher":"М.: ГЭОТАР-Медиа","title":"Аномальные маточные кровотечения репродуктивного периода","type":"chapter"},"uris":["http://www.mendeley.com/documents/?uuid=2ef54431-bdc8-4c42-878d-b428dfa8ea1f"]}],"mendeley":{"formattedCitation":"[112,113]","plainTextFormattedCitation":"[112,113]","previouslyFormattedCitation":"[1,2]"},"properties":{"noteIndex":0},"schema":"https://github.com/citation-style-language/schema/raw/master/csl-citation.json"}</w:instrText>
      </w:r>
      <w:r>
        <w:rPr>
          <w:color w:val="1E1E1E"/>
          <w:spacing w:val="2"/>
          <w:szCs w:val="24"/>
        </w:rPr>
        <w:fldChar w:fldCharType="separate"/>
      </w:r>
      <w:r w:rsidR="00A67ED2" w:rsidRPr="00A67ED2">
        <w:rPr>
          <w:noProof/>
          <w:color w:val="1E1E1E"/>
          <w:spacing w:val="2"/>
          <w:szCs w:val="24"/>
        </w:rPr>
        <w:t>[112,113]</w:t>
      </w:r>
      <w:r>
        <w:rPr>
          <w:color w:val="1E1E1E"/>
          <w:spacing w:val="2"/>
          <w:szCs w:val="24"/>
        </w:rPr>
        <w:fldChar w:fldCharType="end"/>
      </w:r>
      <w:r w:rsidRPr="00611EC1">
        <w:rPr>
          <w:color w:val="1E1E1E"/>
          <w:spacing w:val="2"/>
          <w:szCs w:val="24"/>
        </w:rPr>
        <w:t xml:space="preserve">: </w:t>
      </w:r>
    </w:p>
    <w:p w14:paraId="6A61DA57" w14:textId="77777777" w:rsidR="00140063" w:rsidRPr="00611EC1" w:rsidRDefault="00140063" w:rsidP="00140063">
      <w:pPr>
        <w:pStyle w:val="afff3"/>
        <w:widowControl/>
        <w:numPr>
          <w:ilvl w:val="0"/>
          <w:numId w:val="227"/>
        </w:numPr>
        <w:autoSpaceDE/>
        <w:autoSpaceDN/>
        <w:adjustRightInd/>
        <w:ind w:firstLine="709"/>
        <w:rPr>
          <w:color w:val="1E1E1E"/>
          <w:spacing w:val="2"/>
          <w:szCs w:val="24"/>
        </w:rPr>
      </w:pPr>
      <w:r w:rsidRPr="00611EC1">
        <w:rPr>
          <w:color w:val="1E1E1E"/>
          <w:spacing w:val="2"/>
          <w:szCs w:val="24"/>
        </w:rPr>
        <w:t>МРТ органов малого таза.</w:t>
      </w:r>
    </w:p>
    <w:p w14:paraId="470236F0" w14:textId="77777777" w:rsidR="00140063" w:rsidRPr="00611EC1" w:rsidRDefault="00140063" w:rsidP="00140063">
      <w:pPr>
        <w:pStyle w:val="afff3"/>
        <w:widowControl/>
        <w:numPr>
          <w:ilvl w:val="0"/>
          <w:numId w:val="227"/>
        </w:numPr>
        <w:autoSpaceDE/>
        <w:autoSpaceDN/>
        <w:adjustRightInd/>
        <w:ind w:firstLine="709"/>
        <w:rPr>
          <w:color w:val="1E1E1E"/>
          <w:spacing w:val="2"/>
          <w:szCs w:val="24"/>
        </w:rPr>
      </w:pPr>
      <w:r w:rsidRPr="00611EC1">
        <w:rPr>
          <w:color w:val="1E1E1E"/>
          <w:spacing w:val="2"/>
          <w:szCs w:val="24"/>
        </w:rPr>
        <w:t xml:space="preserve">Определение онкомаркеров в сыворотке крови (при подозрении на </w:t>
      </w:r>
      <w:r w:rsidRPr="00611EC1">
        <w:rPr>
          <w:color w:val="000000"/>
          <w:szCs w:val="24"/>
          <w:shd w:val="clear" w:color="auto" w:fill="FFFFFF"/>
        </w:rPr>
        <w:t>злокачественные образования матки, яичников):</w:t>
      </w:r>
    </w:p>
    <w:p w14:paraId="3B026E47" w14:textId="77777777" w:rsidR="00140063" w:rsidRPr="00611EC1" w:rsidRDefault="00140063" w:rsidP="00140063">
      <w:pPr>
        <w:pStyle w:val="afff3"/>
        <w:widowControl/>
        <w:numPr>
          <w:ilvl w:val="0"/>
          <w:numId w:val="225"/>
        </w:numPr>
        <w:autoSpaceDE/>
        <w:autoSpaceDN/>
        <w:adjustRightInd/>
        <w:ind w:firstLine="709"/>
        <w:rPr>
          <w:spacing w:val="2"/>
          <w:szCs w:val="24"/>
        </w:rPr>
      </w:pPr>
      <w:r w:rsidRPr="00611EC1">
        <w:rPr>
          <w:spacing w:val="2"/>
          <w:szCs w:val="24"/>
        </w:rPr>
        <w:t>РЭА раково-эмбриональный антиген-рак матки, рак яичников.</w:t>
      </w:r>
    </w:p>
    <w:p w14:paraId="674D7282" w14:textId="77777777" w:rsidR="00140063" w:rsidRPr="00611EC1" w:rsidRDefault="00140063" w:rsidP="00140063">
      <w:pPr>
        <w:pStyle w:val="afff3"/>
        <w:widowControl/>
        <w:numPr>
          <w:ilvl w:val="0"/>
          <w:numId w:val="225"/>
        </w:numPr>
        <w:autoSpaceDE/>
        <w:autoSpaceDN/>
        <w:adjustRightInd/>
        <w:ind w:firstLine="709"/>
        <w:rPr>
          <w:spacing w:val="2"/>
          <w:szCs w:val="24"/>
        </w:rPr>
      </w:pPr>
      <w:r w:rsidRPr="00611EC1">
        <w:rPr>
          <w:spacing w:val="2"/>
          <w:szCs w:val="24"/>
        </w:rPr>
        <w:t>СА-125-рак яичников, рак матки,молочной железы.</w:t>
      </w:r>
    </w:p>
    <w:p w14:paraId="212EC177" w14:textId="77777777" w:rsidR="00140063" w:rsidRPr="00611EC1" w:rsidRDefault="00140063" w:rsidP="00140063">
      <w:pPr>
        <w:pStyle w:val="afff3"/>
        <w:widowControl/>
        <w:numPr>
          <w:ilvl w:val="0"/>
          <w:numId w:val="225"/>
        </w:numPr>
        <w:autoSpaceDE/>
        <w:autoSpaceDN/>
        <w:adjustRightInd/>
        <w:ind w:firstLine="709"/>
        <w:rPr>
          <w:spacing w:val="2"/>
          <w:szCs w:val="24"/>
        </w:rPr>
      </w:pPr>
      <w:r w:rsidRPr="00611EC1">
        <w:rPr>
          <w:spacing w:val="2"/>
          <w:szCs w:val="24"/>
        </w:rPr>
        <w:lastRenderedPageBreak/>
        <w:t>СА15-3- рак молочной железы.</w:t>
      </w:r>
    </w:p>
    <w:p w14:paraId="19C0BCB6" w14:textId="77777777" w:rsidR="00140063" w:rsidRPr="00611EC1" w:rsidRDefault="00140063" w:rsidP="00140063">
      <w:pPr>
        <w:pStyle w:val="afff3"/>
        <w:widowControl/>
        <w:numPr>
          <w:ilvl w:val="0"/>
          <w:numId w:val="225"/>
        </w:numPr>
        <w:autoSpaceDE/>
        <w:autoSpaceDN/>
        <w:adjustRightInd/>
        <w:ind w:firstLine="709"/>
        <w:rPr>
          <w:spacing w:val="2"/>
          <w:szCs w:val="24"/>
        </w:rPr>
      </w:pPr>
      <w:r w:rsidRPr="00611EC1">
        <w:rPr>
          <w:spacing w:val="2"/>
          <w:szCs w:val="24"/>
        </w:rPr>
        <w:t>ХГЧ-хорионкарцинома яичника.</w:t>
      </w:r>
    </w:p>
    <w:p w14:paraId="12145ABA" w14:textId="77777777" w:rsidR="00140063" w:rsidRPr="00611EC1" w:rsidRDefault="00140063" w:rsidP="00140063">
      <w:pPr>
        <w:pStyle w:val="afff3"/>
        <w:widowControl/>
        <w:numPr>
          <w:ilvl w:val="0"/>
          <w:numId w:val="225"/>
        </w:numPr>
        <w:autoSpaceDE/>
        <w:autoSpaceDN/>
        <w:adjustRightInd/>
        <w:ind w:firstLine="709"/>
        <w:rPr>
          <w:spacing w:val="2"/>
          <w:szCs w:val="24"/>
        </w:rPr>
      </w:pPr>
      <w:r w:rsidRPr="00611EC1">
        <w:rPr>
          <w:spacing w:val="2"/>
          <w:szCs w:val="24"/>
        </w:rPr>
        <w:t>СА72-4-рак яичников.</w:t>
      </w:r>
    </w:p>
    <w:p w14:paraId="31E9456C" w14:textId="77777777" w:rsidR="00140063" w:rsidRPr="00611EC1" w:rsidRDefault="00140063" w:rsidP="00140063">
      <w:pPr>
        <w:pStyle w:val="afff3"/>
        <w:widowControl/>
        <w:numPr>
          <w:ilvl w:val="0"/>
          <w:numId w:val="225"/>
        </w:numPr>
        <w:autoSpaceDE/>
        <w:autoSpaceDN/>
        <w:adjustRightInd/>
        <w:ind w:firstLine="709"/>
        <w:rPr>
          <w:spacing w:val="2"/>
          <w:szCs w:val="24"/>
        </w:rPr>
      </w:pPr>
      <w:r w:rsidRPr="00611EC1">
        <w:rPr>
          <w:spacing w:val="2"/>
          <w:szCs w:val="24"/>
        </w:rPr>
        <w:t>НЕ4-рак яичников.</w:t>
      </w:r>
    </w:p>
    <w:p w14:paraId="5D190E62" w14:textId="77777777" w:rsidR="00140063" w:rsidRPr="00611EC1" w:rsidRDefault="00140063" w:rsidP="00140063">
      <w:pPr>
        <w:pStyle w:val="afff3"/>
        <w:widowControl/>
        <w:numPr>
          <w:ilvl w:val="0"/>
          <w:numId w:val="227"/>
        </w:numPr>
        <w:autoSpaceDE/>
        <w:autoSpaceDN/>
        <w:adjustRightInd/>
        <w:ind w:firstLine="709"/>
        <w:rPr>
          <w:szCs w:val="24"/>
        </w:rPr>
      </w:pPr>
      <w:r w:rsidRPr="00611EC1">
        <w:rPr>
          <w:color w:val="1E1E1E"/>
          <w:spacing w:val="2"/>
          <w:szCs w:val="24"/>
        </w:rPr>
        <w:t xml:space="preserve">Гистероскопия и раздельное диагностическое выскабливание эндометрия и эндоцервикса (при внутриматочной патологии) с последующим </w:t>
      </w:r>
      <w:r w:rsidRPr="00611EC1">
        <w:rPr>
          <w:spacing w:val="2"/>
          <w:szCs w:val="24"/>
        </w:rPr>
        <w:t>гистологическим, и при необходимости микробиологическим исследованием биоптатов, отделяемого.</w:t>
      </w:r>
    </w:p>
    <w:p w14:paraId="2549B0C0" w14:textId="77777777" w:rsidR="00140063" w:rsidRPr="00611EC1" w:rsidRDefault="00140063" w:rsidP="00140063">
      <w:pPr>
        <w:ind w:firstLine="709"/>
        <w:rPr>
          <w:spacing w:val="2"/>
          <w:szCs w:val="24"/>
        </w:rPr>
      </w:pPr>
      <w:r w:rsidRPr="00611EC1">
        <w:rPr>
          <w:color w:val="1E1E1E"/>
          <w:spacing w:val="2"/>
          <w:szCs w:val="24"/>
        </w:rPr>
        <w:t xml:space="preserve">Повторные лабораторные и инструментальные исследования проводятся по </w:t>
      </w:r>
      <w:r w:rsidRPr="00611EC1">
        <w:rPr>
          <w:spacing w:val="2"/>
          <w:szCs w:val="24"/>
        </w:rPr>
        <w:t>клиническим показаниям на любом этапе диагностики, лечения и наблюдения пациентки с гематологическим заболеванием.</w:t>
      </w:r>
    </w:p>
    <w:p w14:paraId="170E85DA" w14:textId="77777777" w:rsidR="00140063" w:rsidRDefault="00140063" w:rsidP="00140063">
      <w:pPr>
        <w:rPr>
          <w:b/>
          <w:szCs w:val="24"/>
        </w:rPr>
      </w:pPr>
    </w:p>
    <w:p w14:paraId="2331B657" w14:textId="77777777" w:rsidR="00140063" w:rsidRPr="00611EC1" w:rsidRDefault="00140063" w:rsidP="00140063">
      <w:pPr>
        <w:rPr>
          <w:b/>
          <w:szCs w:val="24"/>
        </w:rPr>
      </w:pPr>
      <w:r w:rsidRPr="00611EC1">
        <w:rPr>
          <w:b/>
          <w:szCs w:val="24"/>
        </w:rPr>
        <w:t xml:space="preserve">Лечебная тактика при маточных кровотечениях: </w:t>
      </w:r>
    </w:p>
    <w:p w14:paraId="452CFFA5" w14:textId="716C9D35" w:rsidR="00140063" w:rsidRDefault="00140063" w:rsidP="00140063">
      <w:pPr>
        <w:ind w:left="142" w:firstLine="709"/>
        <w:rPr>
          <w:szCs w:val="24"/>
          <w:shd w:val="clear" w:color="auto" w:fill="FFFFFF"/>
        </w:rPr>
      </w:pPr>
      <w:r w:rsidRPr="00611EC1">
        <w:rPr>
          <w:szCs w:val="24"/>
          <w:shd w:val="clear" w:color="auto" w:fill="FFFFFF"/>
        </w:rPr>
        <w:t xml:space="preserve">Диагностика, тактика ведения и выбор метода терапии </w:t>
      </w:r>
      <w:r w:rsidRPr="00611EC1">
        <w:rPr>
          <w:szCs w:val="24"/>
        </w:rPr>
        <w:t xml:space="preserve">АМК у пациенток с </w:t>
      </w:r>
      <w:r w:rsidR="00941AF9">
        <w:rPr>
          <w:szCs w:val="24"/>
        </w:rPr>
        <w:t xml:space="preserve">лейкозом </w:t>
      </w:r>
      <w:r w:rsidRPr="00611EC1">
        <w:rPr>
          <w:szCs w:val="24"/>
          <w:shd w:val="clear" w:color="auto" w:fill="FFFFFF"/>
        </w:rPr>
        <w:t>осуществляется совместно с врачом-гематологом</w:t>
      </w:r>
      <w:r w:rsidR="00941AF9">
        <w:rPr>
          <w:szCs w:val="24"/>
          <w:shd w:val="clear" w:color="auto" w:fill="FFFFFF"/>
        </w:rPr>
        <w:t>,</w:t>
      </w:r>
      <w:r w:rsidR="00941AF9" w:rsidRPr="00941AF9">
        <w:t xml:space="preserve"> </w:t>
      </w:r>
      <w:r w:rsidR="00941AF9">
        <w:t xml:space="preserve">непосредственно в период проведения противоопухолевого химиотерапевтического лечения лейкоза. </w:t>
      </w:r>
      <w:r w:rsidRPr="00611EC1">
        <w:rPr>
          <w:szCs w:val="24"/>
          <w:shd w:val="clear" w:color="auto" w:fill="FFFFFF"/>
        </w:rPr>
        <w:t xml:space="preserve">Лечение АМК проводится дифференцированно, в соответствии с выявленной патологией. </w:t>
      </w:r>
    </w:p>
    <w:p w14:paraId="6A584730" w14:textId="77777777" w:rsidR="00140063" w:rsidRDefault="00140063" w:rsidP="00140063">
      <w:pPr>
        <w:shd w:val="clear" w:color="auto" w:fill="FFFFFF"/>
        <w:rPr>
          <w:bCs/>
          <w:i/>
          <w:color w:val="333333"/>
          <w:szCs w:val="24"/>
          <w:u w:val="single"/>
        </w:rPr>
      </w:pPr>
    </w:p>
    <w:p w14:paraId="57AFEC01" w14:textId="70647E8D" w:rsidR="00140063" w:rsidRPr="00611EC1" w:rsidRDefault="00140063" w:rsidP="00140063">
      <w:pPr>
        <w:shd w:val="clear" w:color="auto" w:fill="FFFFFF"/>
        <w:rPr>
          <w:bCs/>
          <w:i/>
          <w:color w:val="333333"/>
          <w:szCs w:val="24"/>
          <w:u w:val="single"/>
        </w:rPr>
      </w:pPr>
      <w:r w:rsidRPr="00611EC1">
        <w:rPr>
          <w:bCs/>
          <w:i/>
          <w:color w:val="333333"/>
          <w:szCs w:val="24"/>
          <w:u w:val="single"/>
        </w:rPr>
        <w:t>Основные цели терапии АМК</w:t>
      </w:r>
      <w:r>
        <w:rPr>
          <w:bCs/>
          <w:i/>
          <w:color w:val="333333"/>
          <w:szCs w:val="24"/>
          <w:u w:val="single"/>
        </w:rPr>
        <w:t xml:space="preserve"> </w:t>
      </w:r>
      <w:r>
        <w:rPr>
          <w:color w:val="1E1E1E"/>
          <w:spacing w:val="2"/>
          <w:szCs w:val="24"/>
        </w:rPr>
        <w:fldChar w:fldCharType="begin" w:fldLock="1"/>
      </w:r>
      <w:r w:rsidR="00A67ED2">
        <w:rPr>
          <w:color w:val="1E1E1E"/>
          <w:spacing w:val="2"/>
          <w:szCs w:val="24"/>
        </w:rPr>
        <w:instrText>ADDIN CSL_CITATION {"citationItems":[{"id":"ITEM-1","itemData":{"author":[{"dropping-particle":"","family":"Доброхотова","given":"Ю.Э.","non-dropping-particle":"","parse-names":false,"suffix":""},{"dropping-particle":"","family":"Сапрыкина","given":"Л.В.","non-dropping-particle":"","parse-names":false,"suffix":""},{"dropping-particle":"","family":"Филатова","given":"Л.А.","non-dropping-particle":"","parse-names":false,"suffix":""},{"dropping-particle":"","family":"Нариманова","given":"М.Р.","non-dropping-particle":"","parse-names":false,"suffix":""}],"container-title":"РМЖ. Мать и дитя","id":"ITEM-1","issue":"1","issued":{"date-parts":[["2020"]]},"page":"55-60","title":"Аномальные маточные кровотечения: алгоритмы ведения, методы терапии","type":"article-journal","volume":"3"},"uris":["http://www.mendeley.com/documents/?uuid=a12a992c-5fc5-4324-a2fd-7b01c09f94e9"]},{"id":"ITEM-2","itemData":{"author":[{"dropping-particle":"","family":"Чернуха","given":"Г.Е.","non-dropping-particle":"","parse-names":false,"suffix":""}],"container-title":"Гинекология: национальное руководство. Краткое издание. Под ред. Г.М. Савельевой. Г.Т. Сухих, В.Н. Серова, В.Е. Радзинского, И.Б. Манухина.","id":"ITEM-2","issued":{"date-parts":[["2020"]]},"page":"170-175","publisher":"М.: ГЭОТАР-Медиа","title":"Аномальные маточные кровотечения репродуктивного периода","type":"chapter"},"uris":["http://www.mendeley.com/documents/?uuid=2ef54431-bdc8-4c42-878d-b428dfa8ea1f"]}],"mendeley":{"formattedCitation":"[112,113]","plainTextFormattedCitation":"[112,113]","previouslyFormattedCitation":"[1,2]"},"properties":{"noteIndex":0},"schema":"https://github.com/citation-style-language/schema/raw/master/csl-citation.json"}</w:instrText>
      </w:r>
      <w:r>
        <w:rPr>
          <w:color w:val="1E1E1E"/>
          <w:spacing w:val="2"/>
          <w:szCs w:val="24"/>
        </w:rPr>
        <w:fldChar w:fldCharType="separate"/>
      </w:r>
      <w:r w:rsidR="00A67ED2" w:rsidRPr="00A67ED2">
        <w:rPr>
          <w:noProof/>
          <w:color w:val="1E1E1E"/>
          <w:spacing w:val="2"/>
          <w:szCs w:val="24"/>
        </w:rPr>
        <w:t>[112,113]</w:t>
      </w:r>
      <w:r>
        <w:rPr>
          <w:color w:val="1E1E1E"/>
          <w:spacing w:val="2"/>
          <w:szCs w:val="24"/>
        </w:rPr>
        <w:fldChar w:fldCharType="end"/>
      </w:r>
      <w:r w:rsidRPr="00611EC1">
        <w:rPr>
          <w:bCs/>
          <w:i/>
          <w:color w:val="333333"/>
          <w:szCs w:val="24"/>
          <w:u w:val="single"/>
        </w:rPr>
        <w:t xml:space="preserve">: </w:t>
      </w:r>
    </w:p>
    <w:p w14:paraId="12FDCDF7" w14:textId="77777777" w:rsidR="00140063" w:rsidRPr="00611EC1" w:rsidRDefault="00140063" w:rsidP="00140063">
      <w:pPr>
        <w:pStyle w:val="afff3"/>
        <w:widowControl/>
        <w:numPr>
          <w:ilvl w:val="0"/>
          <w:numId w:val="220"/>
        </w:numPr>
        <w:autoSpaceDE/>
        <w:autoSpaceDN/>
        <w:adjustRightInd/>
        <w:ind w:left="142" w:firstLine="709"/>
        <w:rPr>
          <w:szCs w:val="24"/>
          <w:shd w:val="clear" w:color="auto" w:fill="FFFFFF"/>
        </w:rPr>
      </w:pPr>
      <w:r w:rsidRPr="00611EC1">
        <w:rPr>
          <w:szCs w:val="24"/>
          <w:shd w:val="clear" w:color="auto" w:fill="FFFFFF"/>
        </w:rPr>
        <w:t xml:space="preserve">Остановка кровотечения; </w:t>
      </w:r>
    </w:p>
    <w:p w14:paraId="2DD329EA" w14:textId="77777777" w:rsidR="00140063" w:rsidRPr="00611EC1" w:rsidRDefault="00140063" w:rsidP="00140063">
      <w:pPr>
        <w:pStyle w:val="afff3"/>
        <w:widowControl/>
        <w:numPr>
          <w:ilvl w:val="0"/>
          <w:numId w:val="220"/>
        </w:numPr>
        <w:autoSpaceDE/>
        <w:autoSpaceDN/>
        <w:adjustRightInd/>
        <w:ind w:left="142" w:firstLine="709"/>
        <w:rPr>
          <w:szCs w:val="24"/>
          <w:shd w:val="clear" w:color="auto" w:fill="FFFFFF"/>
        </w:rPr>
      </w:pPr>
      <w:r w:rsidRPr="00611EC1">
        <w:rPr>
          <w:szCs w:val="24"/>
          <w:shd w:val="clear" w:color="auto" w:fill="FFFFFF"/>
        </w:rPr>
        <w:t xml:space="preserve">Профилактика рецидивов АМК. </w:t>
      </w:r>
    </w:p>
    <w:p w14:paraId="18FBBDCB" w14:textId="77777777" w:rsidR="00140063" w:rsidRPr="00611EC1" w:rsidRDefault="00140063" w:rsidP="00140063">
      <w:pPr>
        <w:ind w:left="142" w:firstLine="709"/>
        <w:rPr>
          <w:szCs w:val="24"/>
          <w:shd w:val="clear" w:color="auto" w:fill="FFFFFF"/>
        </w:rPr>
      </w:pPr>
      <w:r w:rsidRPr="00611EC1">
        <w:rPr>
          <w:szCs w:val="24"/>
          <w:shd w:val="clear" w:color="auto" w:fill="FFFFFF"/>
        </w:rPr>
        <w:t xml:space="preserve">Осуществление гемостаза возможно как посредством консервативных мероприятий, так и, в ряде случаев, оперативным путем. </w:t>
      </w:r>
    </w:p>
    <w:p w14:paraId="0CACC8AD" w14:textId="77777777" w:rsidR="00140063" w:rsidRDefault="00140063" w:rsidP="00140063">
      <w:pPr>
        <w:shd w:val="clear" w:color="auto" w:fill="FFFFFF"/>
        <w:rPr>
          <w:bCs/>
          <w:i/>
          <w:color w:val="333333"/>
          <w:szCs w:val="24"/>
          <w:u w:val="single"/>
        </w:rPr>
      </w:pPr>
    </w:p>
    <w:p w14:paraId="5B9B439A" w14:textId="63DE1911" w:rsidR="00140063" w:rsidRPr="00611EC1" w:rsidRDefault="00140063" w:rsidP="00140063">
      <w:pPr>
        <w:shd w:val="clear" w:color="auto" w:fill="FFFFFF"/>
        <w:rPr>
          <w:bCs/>
          <w:i/>
          <w:color w:val="333333"/>
          <w:szCs w:val="24"/>
          <w:u w:val="single"/>
        </w:rPr>
      </w:pPr>
      <w:r w:rsidRPr="00611EC1">
        <w:rPr>
          <w:bCs/>
          <w:i/>
          <w:color w:val="333333"/>
          <w:szCs w:val="24"/>
          <w:u w:val="single"/>
        </w:rPr>
        <w:t>Консервативные методы гемостаза</w:t>
      </w:r>
      <w:r>
        <w:rPr>
          <w:bCs/>
          <w:i/>
          <w:color w:val="333333"/>
          <w:szCs w:val="24"/>
          <w:u w:val="single"/>
        </w:rPr>
        <w:t xml:space="preserve"> </w:t>
      </w:r>
      <w:r>
        <w:rPr>
          <w:color w:val="1E1E1E"/>
          <w:spacing w:val="2"/>
          <w:szCs w:val="24"/>
        </w:rPr>
        <w:fldChar w:fldCharType="begin" w:fldLock="1"/>
      </w:r>
      <w:r w:rsidR="00A67ED2">
        <w:rPr>
          <w:color w:val="1E1E1E"/>
          <w:spacing w:val="2"/>
          <w:szCs w:val="24"/>
        </w:rPr>
        <w:instrText>ADDIN CSL_CITATION {"citationItems":[{"id":"ITEM-1","itemData":{"author":[{"dropping-particle":"","family":"Доброхотова","given":"Ю.Э.","non-dropping-particle":"","parse-names":false,"suffix":""},{"dropping-particle":"","family":"Сапрыкина","given":"Л.В.","non-dropping-particle":"","parse-names":false,"suffix":""},{"dropping-particle":"","family":"Филатова","given":"Л.А.","non-dropping-particle":"","parse-names":false,"suffix":""},{"dropping-particle":"","family":"Нариманова","given":"М.Р.","non-dropping-particle":"","parse-names":false,"suffix":""}],"container-title":"РМЖ. Мать и дитя","id":"ITEM-1","issue":"1","issued":{"date-parts":[["2020"]]},"page":"55-60","title":"Аномальные маточные кровотечения: алгоритмы ведения, методы терапии","type":"article-journal","volume":"3"},"uris":["http://www.mendeley.com/documents/?uuid=a12a992c-5fc5-4324-a2fd-7b01c09f94e9"]},{"id":"ITEM-2","itemData":{"author":[{"dropping-particle":"","family":"Чернуха","given":"Г.Е.","non-dropping-particle":"","parse-names":false,"suffix":""}],"container-title":"Гинекология: национальное руководство. Краткое издание. Под ред. Г.М. Савельевой. Г.Т. Сухих, В.Н. Серова, В.Е. Радзинского, И.Б. Манухина.","id":"ITEM-2","issued":{"date-parts":[["2020"]]},"page":"170-175","publisher":"М.: ГЭОТАР-Медиа","title":"Аномальные маточные кровотечения репродуктивного периода","type":"chapter"},"uris":["http://www.mendeley.com/documents/?uuid=2ef54431-bdc8-4c42-878d-b428dfa8ea1f"]}],"mendeley":{"formattedCitation":"[112,113]","plainTextFormattedCitation":"[112,113]","previouslyFormattedCitation":"[1,2]"},"properties":{"noteIndex":0},"schema":"https://github.com/citation-style-language/schema/raw/master/csl-citation.json"}</w:instrText>
      </w:r>
      <w:r>
        <w:rPr>
          <w:color w:val="1E1E1E"/>
          <w:spacing w:val="2"/>
          <w:szCs w:val="24"/>
        </w:rPr>
        <w:fldChar w:fldCharType="separate"/>
      </w:r>
      <w:r w:rsidR="00A67ED2" w:rsidRPr="00A67ED2">
        <w:rPr>
          <w:noProof/>
          <w:color w:val="1E1E1E"/>
          <w:spacing w:val="2"/>
          <w:szCs w:val="24"/>
        </w:rPr>
        <w:t>[112,113]</w:t>
      </w:r>
      <w:r>
        <w:rPr>
          <w:color w:val="1E1E1E"/>
          <w:spacing w:val="2"/>
          <w:szCs w:val="24"/>
        </w:rPr>
        <w:fldChar w:fldCharType="end"/>
      </w:r>
      <w:r w:rsidRPr="00611EC1">
        <w:rPr>
          <w:bCs/>
          <w:i/>
          <w:color w:val="333333"/>
          <w:szCs w:val="24"/>
          <w:u w:val="single"/>
        </w:rPr>
        <w:t>.</w:t>
      </w:r>
    </w:p>
    <w:p w14:paraId="6E7D51F8" w14:textId="77777777" w:rsidR="00140063" w:rsidRPr="00611EC1" w:rsidRDefault="00140063" w:rsidP="00140063">
      <w:pPr>
        <w:pStyle w:val="afff3"/>
        <w:widowControl/>
        <w:numPr>
          <w:ilvl w:val="0"/>
          <w:numId w:val="223"/>
        </w:numPr>
        <w:autoSpaceDE/>
        <w:autoSpaceDN/>
        <w:adjustRightInd/>
        <w:ind w:firstLine="709"/>
        <w:rPr>
          <w:szCs w:val="24"/>
          <w:shd w:val="clear" w:color="auto" w:fill="FFFFFF"/>
        </w:rPr>
      </w:pPr>
      <w:r w:rsidRPr="00611EC1">
        <w:rPr>
          <w:szCs w:val="24"/>
          <w:shd w:val="clear" w:color="auto" w:fill="FFFFFF"/>
        </w:rPr>
        <w:t>Заместительная гемотрансфузионная терапия компонентами крови:</w:t>
      </w:r>
    </w:p>
    <w:p w14:paraId="58BE8DEE" w14:textId="77777777" w:rsidR="00140063" w:rsidRPr="00611EC1" w:rsidRDefault="00140063" w:rsidP="00140063">
      <w:pPr>
        <w:pStyle w:val="afff3"/>
        <w:ind w:left="502" w:firstLine="709"/>
        <w:rPr>
          <w:strike/>
          <w:szCs w:val="24"/>
          <w:shd w:val="clear" w:color="auto" w:fill="FFFFFF"/>
        </w:rPr>
      </w:pPr>
      <w:r w:rsidRPr="00611EC1">
        <w:rPr>
          <w:szCs w:val="24"/>
          <w:shd w:val="clear" w:color="auto" w:fill="FFFFFF"/>
        </w:rPr>
        <w:t xml:space="preserve">- концентрат тромбоцитов; </w:t>
      </w:r>
    </w:p>
    <w:p w14:paraId="2157C099" w14:textId="77777777" w:rsidR="00140063" w:rsidRPr="00611EC1" w:rsidRDefault="00140063" w:rsidP="00140063">
      <w:pPr>
        <w:pStyle w:val="afff3"/>
        <w:ind w:left="502" w:firstLine="709"/>
        <w:rPr>
          <w:szCs w:val="24"/>
          <w:shd w:val="clear" w:color="auto" w:fill="FFFFFF"/>
        </w:rPr>
      </w:pPr>
      <w:r w:rsidRPr="00611EC1">
        <w:rPr>
          <w:szCs w:val="24"/>
          <w:shd w:val="clear" w:color="auto" w:fill="FFFFFF"/>
        </w:rPr>
        <w:t>- свежезамороженная плазма;</w:t>
      </w:r>
    </w:p>
    <w:p w14:paraId="3E847EF4" w14:textId="77777777" w:rsidR="00140063" w:rsidRPr="00611EC1" w:rsidRDefault="00140063" w:rsidP="00140063">
      <w:pPr>
        <w:pStyle w:val="afff3"/>
        <w:ind w:left="502" w:firstLine="709"/>
        <w:rPr>
          <w:szCs w:val="24"/>
          <w:shd w:val="clear" w:color="auto" w:fill="FFFFFF"/>
        </w:rPr>
      </w:pPr>
      <w:r w:rsidRPr="00611EC1">
        <w:rPr>
          <w:szCs w:val="24"/>
          <w:shd w:val="clear" w:color="auto" w:fill="FFFFFF"/>
        </w:rPr>
        <w:t>- криопреципитат;</w:t>
      </w:r>
    </w:p>
    <w:p w14:paraId="7C073A84" w14:textId="77777777" w:rsidR="00140063" w:rsidRPr="00611EC1" w:rsidRDefault="00140063" w:rsidP="00140063">
      <w:pPr>
        <w:pStyle w:val="afff3"/>
        <w:ind w:left="502" w:firstLine="709"/>
        <w:rPr>
          <w:szCs w:val="24"/>
          <w:shd w:val="clear" w:color="auto" w:fill="FFFFFF"/>
        </w:rPr>
      </w:pPr>
      <w:r w:rsidRPr="00611EC1">
        <w:rPr>
          <w:szCs w:val="24"/>
          <w:shd w:val="clear" w:color="auto" w:fill="FFFFFF"/>
        </w:rPr>
        <w:t>- эритроцитсодержащие компоненты крови</w:t>
      </w:r>
    </w:p>
    <w:p w14:paraId="3C5CDF07" w14:textId="77777777" w:rsidR="00140063" w:rsidRPr="00611EC1" w:rsidRDefault="00140063" w:rsidP="00140063">
      <w:pPr>
        <w:pStyle w:val="afff3"/>
        <w:widowControl/>
        <w:numPr>
          <w:ilvl w:val="0"/>
          <w:numId w:val="223"/>
        </w:numPr>
        <w:autoSpaceDE/>
        <w:autoSpaceDN/>
        <w:adjustRightInd/>
        <w:ind w:firstLine="709"/>
        <w:rPr>
          <w:szCs w:val="24"/>
          <w:shd w:val="clear" w:color="auto" w:fill="FFFFFF"/>
        </w:rPr>
      </w:pPr>
      <w:r w:rsidRPr="00611EC1">
        <w:rPr>
          <w:szCs w:val="24"/>
          <w:shd w:val="clear" w:color="auto" w:fill="FFFFFF"/>
        </w:rPr>
        <w:t xml:space="preserve">Ингибиторы фибринолиза: </w:t>
      </w:r>
    </w:p>
    <w:p w14:paraId="51E4D9CC" w14:textId="70BC8AAC" w:rsidR="00140063" w:rsidRPr="00611EC1" w:rsidRDefault="00140063" w:rsidP="00140063">
      <w:pPr>
        <w:pStyle w:val="afff3"/>
        <w:ind w:left="502" w:firstLine="709"/>
        <w:rPr>
          <w:szCs w:val="24"/>
          <w:shd w:val="clear" w:color="auto" w:fill="FFFFFF"/>
        </w:rPr>
      </w:pPr>
      <w:r w:rsidRPr="00611EC1">
        <w:rPr>
          <w:szCs w:val="24"/>
          <w:shd w:val="clear" w:color="auto" w:fill="FFFFFF"/>
        </w:rPr>
        <w:t>транексамовая кислота- 250 - 500 мг внутрь х 3-4 р/день; или внутривенно 1000 мг х 3–4 раза в сутки, курс лечения 5-7 дней; апротинин и др.</w:t>
      </w:r>
    </w:p>
    <w:p w14:paraId="5384412C" w14:textId="77777777" w:rsidR="00140063" w:rsidRPr="00611EC1" w:rsidRDefault="00140063" w:rsidP="00140063">
      <w:pPr>
        <w:pStyle w:val="afff3"/>
        <w:widowControl/>
        <w:numPr>
          <w:ilvl w:val="0"/>
          <w:numId w:val="223"/>
        </w:numPr>
        <w:autoSpaceDE/>
        <w:autoSpaceDN/>
        <w:adjustRightInd/>
        <w:ind w:firstLine="709"/>
        <w:rPr>
          <w:szCs w:val="24"/>
          <w:shd w:val="clear" w:color="auto" w:fill="FFFFFF"/>
        </w:rPr>
      </w:pPr>
      <w:r w:rsidRPr="00611EC1">
        <w:rPr>
          <w:szCs w:val="24"/>
          <w:shd w:val="clear" w:color="auto" w:fill="FFFFFF"/>
        </w:rPr>
        <w:t>Гормональный гемостаз</w:t>
      </w:r>
      <w:r w:rsidRPr="00611EC1">
        <w:rPr>
          <w:color w:val="333333"/>
          <w:szCs w:val="24"/>
          <w:shd w:val="clear" w:color="auto" w:fill="FFFFFF"/>
        </w:rPr>
        <w:t>:</w:t>
      </w:r>
    </w:p>
    <w:p w14:paraId="13C51B90" w14:textId="1E0CEBBE" w:rsidR="00140063" w:rsidRPr="00611EC1" w:rsidRDefault="00140063" w:rsidP="00140063">
      <w:pPr>
        <w:ind w:firstLine="709"/>
        <w:rPr>
          <w:color w:val="333333"/>
          <w:szCs w:val="24"/>
          <w:shd w:val="clear" w:color="auto" w:fill="FFFFFF"/>
        </w:rPr>
      </w:pPr>
      <w:r w:rsidRPr="00611EC1">
        <w:rPr>
          <w:szCs w:val="24"/>
          <w:shd w:val="clear" w:color="auto" w:fill="FFFFFF"/>
        </w:rPr>
        <w:lastRenderedPageBreak/>
        <w:t xml:space="preserve">        гормональный гемостаз может проводит</w:t>
      </w:r>
      <w:r>
        <w:rPr>
          <w:szCs w:val="24"/>
          <w:shd w:val="clear" w:color="auto" w:fill="FFFFFF"/>
        </w:rPr>
        <w:t>ь</w:t>
      </w:r>
      <w:r w:rsidRPr="00611EC1">
        <w:rPr>
          <w:szCs w:val="24"/>
          <w:shd w:val="clear" w:color="auto" w:fill="FFFFFF"/>
        </w:rPr>
        <w:t xml:space="preserve">ся </w:t>
      </w:r>
      <w:r w:rsidRPr="00611EC1">
        <w:rPr>
          <w:color w:val="333333"/>
          <w:szCs w:val="24"/>
          <w:shd w:val="clear" w:color="auto" w:fill="FFFFFF"/>
        </w:rPr>
        <w:t>комбинированными оральными контрацептивами (КОК) или п</w:t>
      </w:r>
      <w:r w:rsidRPr="00611EC1">
        <w:rPr>
          <w:color w:val="1E1E1E"/>
          <w:spacing w:val="2"/>
          <w:szCs w:val="24"/>
        </w:rPr>
        <w:t xml:space="preserve">репаратами группы прогестагенов.  </w:t>
      </w:r>
    </w:p>
    <w:p w14:paraId="0BBF3058" w14:textId="77777777" w:rsidR="00140063" w:rsidRPr="00611EC1" w:rsidRDefault="00140063" w:rsidP="00140063">
      <w:pPr>
        <w:ind w:left="142" w:firstLine="709"/>
        <w:rPr>
          <w:color w:val="000000"/>
          <w:szCs w:val="24"/>
          <w:shd w:val="clear" w:color="auto" w:fill="FFFFFF"/>
        </w:rPr>
      </w:pPr>
      <w:r w:rsidRPr="00611EC1">
        <w:rPr>
          <w:color w:val="000000"/>
          <w:szCs w:val="24"/>
          <w:shd w:val="clear" w:color="auto" w:fill="FFFFFF"/>
        </w:rPr>
        <w:t>Гормональный гемостаз КОК целесообразно проводить:</w:t>
      </w:r>
    </w:p>
    <w:p w14:paraId="40AE48F4" w14:textId="77777777" w:rsidR="00140063" w:rsidRPr="00611EC1" w:rsidRDefault="00140063" w:rsidP="00140063">
      <w:pPr>
        <w:ind w:left="142" w:firstLine="709"/>
        <w:rPr>
          <w:color w:val="000000"/>
          <w:szCs w:val="24"/>
          <w:shd w:val="clear" w:color="auto" w:fill="FFFFFF"/>
        </w:rPr>
      </w:pPr>
      <w:r w:rsidRPr="00611EC1">
        <w:rPr>
          <w:color w:val="000000"/>
          <w:szCs w:val="24"/>
          <w:shd w:val="clear" w:color="auto" w:fill="FFFFFF"/>
        </w:rPr>
        <w:t>- женщинам раннего и активного репродуктивного возраста, которые не относятся к группе риска относительно развития пролиферативных процессов эндометрия;</w:t>
      </w:r>
    </w:p>
    <w:p w14:paraId="7931A030" w14:textId="77777777" w:rsidR="00140063" w:rsidRPr="00611EC1" w:rsidRDefault="00140063" w:rsidP="00140063">
      <w:pPr>
        <w:ind w:left="142" w:firstLine="709"/>
        <w:rPr>
          <w:color w:val="000000"/>
          <w:szCs w:val="24"/>
          <w:shd w:val="clear" w:color="auto" w:fill="FFFFFF"/>
        </w:rPr>
      </w:pPr>
      <w:r w:rsidRPr="00611EC1">
        <w:rPr>
          <w:color w:val="000000"/>
          <w:szCs w:val="24"/>
          <w:shd w:val="clear" w:color="auto" w:fill="FFFFFF"/>
        </w:rPr>
        <w:t xml:space="preserve">- пациенткам, у которых диагностическое выскабливание проводилось не более 3 мес. назад и при этом не было выявлено патологических изменений эндометрия. </w:t>
      </w:r>
    </w:p>
    <w:p w14:paraId="7FDB52AF" w14:textId="77777777" w:rsidR="00140063" w:rsidRPr="00611EC1" w:rsidRDefault="00140063" w:rsidP="00140063">
      <w:pPr>
        <w:ind w:firstLine="709"/>
        <w:rPr>
          <w:szCs w:val="24"/>
          <w:shd w:val="clear" w:color="auto" w:fill="FFFFFF"/>
        </w:rPr>
      </w:pPr>
      <w:r w:rsidRPr="00611EC1">
        <w:rPr>
          <w:szCs w:val="24"/>
          <w:shd w:val="clear" w:color="auto" w:fill="FFFFFF"/>
        </w:rPr>
        <w:t>Различают монофазные, двухфазные и трехфазные КОК:</w:t>
      </w:r>
    </w:p>
    <w:p w14:paraId="1C001084" w14:textId="31B8EA9A" w:rsidR="00140063" w:rsidRPr="00611EC1" w:rsidRDefault="00140063" w:rsidP="00140063">
      <w:pPr>
        <w:pStyle w:val="afff3"/>
        <w:widowControl/>
        <w:numPr>
          <w:ilvl w:val="0"/>
          <w:numId w:val="226"/>
        </w:numPr>
        <w:autoSpaceDE/>
        <w:autoSpaceDN/>
        <w:adjustRightInd/>
        <w:ind w:firstLine="709"/>
        <w:rPr>
          <w:szCs w:val="24"/>
        </w:rPr>
      </w:pPr>
      <w:r w:rsidRPr="00611EC1">
        <w:rPr>
          <w:szCs w:val="24"/>
        </w:rPr>
        <w:t>Монофазные пероральные контрацептивы содержат в каждой таблетке одну и ту же доза обоих компонентов. Отличаются соотношением эстрогенной и гестагенной составляющих, а также видом гестагена. В качестве эстрогена, как правило, используют </w:t>
      </w:r>
      <w:r w:rsidRPr="00140063">
        <w:rPr>
          <w:bCs/>
          <w:szCs w:val="24"/>
        </w:rPr>
        <w:t>этинилэстрадиол</w:t>
      </w:r>
      <w:r w:rsidRPr="00611EC1">
        <w:rPr>
          <w:szCs w:val="24"/>
        </w:rPr>
        <w:t> (по строению наиболее близкий к эндогенному эстрадиолу). Содержание этинилэстрадиола в монофазных комбинированных контрацептивах колеблется от 0,02 до 0,05 мг, содержание гестагена, как правило – от 0,075 до 0,25 мг.</w:t>
      </w:r>
    </w:p>
    <w:p w14:paraId="4986650E" w14:textId="77777777" w:rsidR="00140063" w:rsidRPr="00611EC1" w:rsidRDefault="00140063" w:rsidP="00140063">
      <w:pPr>
        <w:pStyle w:val="afff3"/>
        <w:widowControl/>
        <w:numPr>
          <w:ilvl w:val="0"/>
          <w:numId w:val="226"/>
        </w:numPr>
        <w:autoSpaceDE/>
        <w:autoSpaceDN/>
        <w:adjustRightInd/>
        <w:ind w:firstLine="709"/>
        <w:rPr>
          <w:szCs w:val="24"/>
        </w:rPr>
      </w:pPr>
      <w:r w:rsidRPr="00611EC1">
        <w:rPr>
          <w:szCs w:val="24"/>
        </w:rPr>
        <w:t xml:space="preserve">Двухфазные пероральные контрацептивы </w:t>
      </w:r>
      <w:r w:rsidRPr="00611EC1">
        <w:rPr>
          <w:szCs w:val="24"/>
          <w:shd w:val="clear" w:color="auto" w:fill="FFFFFF"/>
        </w:rPr>
        <w:t>состоят из таблеток двух типов, предназначенных для приема соответственно в первую и вторую фазы менструального цикла. При этом содержание эстрогена во всех таблетках одинаково, а гестагена больше в таблетках, принимаемых во второй фазе.</w:t>
      </w:r>
    </w:p>
    <w:p w14:paraId="43DFA067" w14:textId="77777777" w:rsidR="00140063" w:rsidRPr="00611EC1" w:rsidRDefault="00140063" w:rsidP="00140063">
      <w:pPr>
        <w:pStyle w:val="afff3"/>
        <w:widowControl/>
        <w:numPr>
          <w:ilvl w:val="0"/>
          <w:numId w:val="226"/>
        </w:numPr>
        <w:autoSpaceDE/>
        <w:autoSpaceDN/>
        <w:adjustRightInd/>
        <w:ind w:firstLine="709"/>
        <w:rPr>
          <w:szCs w:val="24"/>
        </w:rPr>
      </w:pPr>
      <w:r w:rsidRPr="00611EC1">
        <w:rPr>
          <w:szCs w:val="24"/>
          <w:shd w:val="clear" w:color="auto" w:fill="FFFFFF"/>
        </w:rPr>
        <w:t xml:space="preserve">Трехфазные </w:t>
      </w:r>
      <w:r w:rsidRPr="00611EC1">
        <w:rPr>
          <w:szCs w:val="24"/>
        </w:rPr>
        <w:t xml:space="preserve">пероральные контрацептивы </w:t>
      </w:r>
      <w:r w:rsidRPr="00611EC1">
        <w:rPr>
          <w:szCs w:val="24"/>
          <w:shd w:val="clear" w:color="auto" w:fill="FFFFFF"/>
        </w:rPr>
        <w:t>включают таблетки трех видов, каждый из которых содержит разные количества и эстрогена, и гестагена.</w:t>
      </w:r>
    </w:p>
    <w:p w14:paraId="751972D8" w14:textId="77777777" w:rsidR="00140063" w:rsidRPr="00611EC1" w:rsidRDefault="00140063" w:rsidP="00140063">
      <w:pPr>
        <w:ind w:left="142" w:firstLine="709"/>
        <w:rPr>
          <w:szCs w:val="24"/>
          <w:shd w:val="clear" w:color="auto" w:fill="FFFFFF"/>
        </w:rPr>
      </w:pPr>
      <w:r w:rsidRPr="00611EC1">
        <w:rPr>
          <w:szCs w:val="24"/>
        </w:rPr>
        <w:t xml:space="preserve">Гемостатическая терапия </w:t>
      </w:r>
      <w:r w:rsidRPr="00611EC1">
        <w:rPr>
          <w:szCs w:val="24"/>
          <w:shd w:val="clear" w:color="auto" w:fill="FFFFFF"/>
        </w:rPr>
        <w:t xml:space="preserve">КОК проводится монофазными препаратами, содержащими этинилэстрадиола и гестагены группы норстероидов по схеме:  </w:t>
      </w:r>
      <w:r w:rsidRPr="00611EC1">
        <w:rPr>
          <w:color w:val="000000"/>
          <w:szCs w:val="24"/>
          <w:shd w:val="clear" w:color="auto" w:fill="FFFFFF"/>
        </w:rPr>
        <w:t xml:space="preserve">по 1 таб/час до 5 таб. в день в первые сутки </w:t>
      </w:r>
      <w:r w:rsidRPr="00611EC1">
        <w:rPr>
          <w:szCs w:val="24"/>
          <w:shd w:val="clear" w:color="auto" w:fill="FFFFFF"/>
        </w:rPr>
        <w:t>до достижения гемостаза, с постепенным ежедневным снижением дозы по 1 таб. в ден</w:t>
      </w:r>
      <w:r w:rsidRPr="00611EC1">
        <w:rPr>
          <w:color w:val="000000"/>
          <w:szCs w:val="24"/>
          <w:shd w:val="clear" w:color="auto" w:fill="FFFFFF"/>
        </w:rPr>
        <w:t xml:space="preserve">ь, общей продолжительностью терапии 21 день </w:t>
      </w:r>
      <w:r w:rsidRPr="00611EC1">
        <w:rPr>
          <w:spacing w:val="2"/>
          <w:szCs w:val="24"/>
        </w:rPr>
        <w:t>с первого дня гемостатической терапии</w:t>
      </w:r>
      <w:r w:rsidRPr="00611EC1">
        <w:rPr>
          <w:color w:val="000000"/>
          <w:szCs w:val="24"/>
          <w:shd w:val="clear" w:color="auto" w:fill="FFFFFF"/>
        </w:rPr>
        <w:t xml:space="preserve">, далее </w:t>
      </w:r>
      <w:r w:rsidRPr="00611EC1">
        <w:rPr>
          <w:spacing w:val="2"/>
          <w:szCs w:val="24"/>
        </w:rPr>
        <w:t xml:space="preserve">7-дн. перерыв, и прием в режиме контрацепции, или продолжение приема в непрерывном режиме (в зависимости от клинической ситуации). </w:t>
      </w:r>
    </w:p>
    <w:p w14:paraId="6C57CA18" w14:textId="77777777" w:rsidR="00140063" w:rsidRPr="00611EC1" w:rsidRDefault="00140063" w:rsidP="00140063">
      <w:pPr>
        <w:ind w:left="142" w:firstLine="709"/>
        <w:rPr>
          <w:szCs w:val="24"/>
          <w:shd w:val="clear" w:color="auto" w:fill="FFFFFF"/>
        </w:rPr>
      </w:pPr>
      <w:r w:rsidRPr="00611EC1">
        <w:rPr>
          <w:szCs w:val="24"/>
        </w:rPr>
        <w:t>В эту группу всходят препараты:</w:t>
      </w:r>
    </w:p>
    <w:p w14:paraId="7EF0DDD8" w14:textId="77777777" w:rsidR="00140063" w:rsidRPr="00611EC1" w:rsidRDefault="00140063" w:rsidP="00140063">
      <w:pPr>
        <w:ind w:left="142" w:firstLine="709"/>
        <w:rPr>
          <w:i/>
          <w:szCs w:val="24"/>
        </w:rPr>
      </w:pPr>
      <w:r w:rsidRPr="00611EC1">
        <w:rPr>
          <w:szCs w:val="24"/>
        </w:rPr>
        <w:t>1) этинилэстрадиол-0,03мг- левоноргестрел-0,15</w:t>
      </w:r>
    </w:p>
    <w:p w14:paraId="797BB3A8" w14:textId="77777777" w:rsidR="00140063" w:rsidRPr="00611EC1" w:rsidRDefault="00140063" w:rsidP="00140063">
      <w:pPr>
        <w:ind w:left="142" w:firstLine="709"/>
        <w:rPr>
          <w:szCs w:val="24"/>
        </w:rPr>
      </w:pPr>
      <w:r w:rsidRPr="00611EC1">
        <w:rPr>
          <w:szCs w:val="24"/>
        </w:rPr>
        <w:t xml:space="preserve">2) этинилэстрадиол-20мкг-дезогестрел-150мкг </w:t>
      </w:r>
    </w:p>
    <w:p w14:paraId="19A82E8B" w14:textId="77777777" w:rsidR="00140063" w:rsidRPr="00611EC1" w:rsidRDefault="00140063" w:rsidP="00140063">
      <w:pPr>
        <w:ind w:left="142" w:firstLine="709"/>
        <w:rPr>
          <w:szCs w:val="24"/>
        </w:rPr>
      </w:pPr>
      <w:r w:rsidRPr="00611EC1">
        <w:rPr>
          <w:szCs w:val="24"/>
        </w:rPr>
        <w:t xml:space="preserve">3) этинилэстрадиол-30мкг-дезогестрел-150мкг </w:t>
      </w:r>
    </w:p>
    <w:p w14:paraId="640E3D5F" w14:textId="77777777" w:rsidR="00140063" w:rsidRPr="00611EC1" w:rsidRDefault="00140063" w:rsidP="00140063">
      <w:pPr>
        <w:ind w:left="142" w:firstLine="709"/>
        <w:rPr>
          <w:szCs w:val="24"/>
        </w:rPr>
      </w:pPr>
      <w:r w:rsidRPr="00611EC1">
        <w:rPr>
          <w:szCs w:val="24"/>
        </w:rPr>
        <w:t xml:space="preserve">4) этинилэстрадиол-0,03мг-диеногест-2мг </w:t>
      </w:r>
    </w:p>
    <w:p w14:paraId="11554C2B" w14:textId="77777777" w:rsidR="00140063" w:rsidRPr="00611EC1" w:rsidRDefault="00140063" w:rsidP="00140063">
      <w:pPr>
        <w:ind w:left="142" w:firstLine="709"/>
        <w:rPr>
          <w:szCs w:val="24"/>
        </w:rPr>
      </w:pPr>
      <w:r w:rsidRPr="00611EC1">
        <w:rPr>
          <w:szCs w:val="24"/>
        </w:rPr>
        <w:t xml:space="preserve">5) этинилэстрадиол-20мкг –гестоден-75мкг </w:t>
      </w:r>
    </w:p>
    <w:p w14:paraId="1057BB41" w14:textId="77777777" w:rsidR="00140063" w:rsidRPr="00611EC1" w:rsidRDefault="00140063" w:rsidP="00140063">
      <w:pPr>
        <w:ind w:left="142" w:firstLine="709"/>
        <w:rPr>
          <w:szCs w:val="24"/>
        </w:rPr>
      </w:pPr>
      <w:r w:rsidRPr="00611EC1">
        <w:rPr>
          <w:szCs w:val="24"/>
        </w:rPr>
        <w:t>6) этинилэстрадиол-20мкг-</w:t>
      </w:r>
      <w:r w:rsidRPr="00611EC1">
        <w:rPr>
          <w:szCs w:val="24"/>
          <w:shd w:val="clear" w:color="auto" w:fill="FFFFFF"/>
        </w:rPr>
        <w:t xml:space="preserve"> дроспиренон- 3 мг</w:t>
      </w:r>
      <w:r w:rsidRPr="00611EC1">
        <w:rPr>
          <w:szCs w:val="24"/>
        </w:rPr>
        <w:t xml:space="preserve"> </w:t>
      </w:r>
    </w:p>
    <w:p w14:paraId="10B777D8" w14:textId="77777777" w:rsidR="00140063" w:rsidRPr="00611EC1" w:rsidRDefault="00140063" w:rsidP="00140063">
      <w:pPr>
        <w:ind w:left="142" w:firstLine="709"/>
        <w:rPr>
          <w:szCs w:val="24"/>
        </w:rPr>
      </w:pPr>
      <w:r w:rsidRPr="00611EC1">
        <w:rPr>
          <w:szCs w:val="24"/>
        </w:rPr>
        <w:lastRenderedPageBreak/>
        <w:t xml:space="preserve">7) этинилэстрадиол-30мкг- дроспиренон- 3 мг </w:t>
      </w:r>
    </w:p>
    <w:p w14:paraId="697D5B07" w14:textId="77777777" w:rsidR="00140063" w:rsidRPr="00611EC1" w:rsidRDefault="00140063" w:rsidP="00140063">
      <w:pPr>
        <w:ind w:left="142" w:firstLine="709"/>
        <w:rPr>
          <w:szCs w:val="24"/>
        </w:rPr>
      </w:pPr>
      <w:r w:rsidRPr="00611EC1">
        <w:rPr>
          <w:szCs w:val="24"/>
        </w:rPr>
        <w:t xml:space="preserve">8) этинилэстрадиол-30мкг- диеногест-2мг  </w:t>
      </w:r>
    </w:p>
    <w:p w14:paraId="091A1947" w14:textId="77777777" w:rsidR="00140063" w:rsidRPr="00611EC1" w:rsidRDefault="00140063" w:rsidP="00140063">
      <w:pPr>
        <w:ind w:left="142" w:firstLine="709"/>
        <w:rPr>
          <w:szCs w:val="24"/>
        </w:rPr>
      </w:pPr>
      <w:r w:rsidRPr="00611EC1">
        <w:rPr>
          <w:szCs w:val="24"/>
        </w:rPr>
        <w:t xml:space="preserve">9) этинилэстрадиол-35мкг-ципротерон ацетат-2мг </w:t>
      </w:r>
    </w:p>
    <w:p w14:paraId="49486453" w14:textId="77777777" w:rsidR="00140063" w:rsidRPr="00611EC1" w:rsidRDefault="00140063" w:rsidP="00140063">
      <w:pPr>
        <w:ind w:left="142" w:firstLine="709"/>
        <w:rPr>
          <w:szCs w:val="24"/>
        </w:rPr>
      </w:pPr>
      <w:r w:rsidRPr="00611EC1">
        <w:rPr>
          <w:szCs w:val="24"/>
        </w:rPr>
        <w:t xml:space="preserve">10) этинилэстрадиол-35мкг-ципротерон ацетат-2мг </w:t>
      </w:r>
    </w:p>
    <w:p w14:paraId="793DB272" w14:textId="77777777" w:rsidR="00140063" w:rsidRPr="00611EC1" w:rsidRDefault="00140063" w:rsidP="00140063">
      <w:pPr>
        <w:ind w:left="142" w:firstLine="709"/>
        <w:rPr>
          <w:szCs w:val="24"/>
        </w:rPr>
      </w:pPr>
      <w:r w:rsidRPr="00611EC1">
        <w:rPr>
          <w:szCs w:val="24"/>
        </w:rPr>
        <w:t xml:space="preserve">11) этинилэстрадиол-35мкг-ципротерон ацетат-2мг </w:t>
      </w:r>
    </w:p>
    <w:p w14:paraId="4EF3A7A4" w14:textId="77777777" w:rsidR="00140063" w:rsidRPr="00611EC1" w:rsidRDefault="00140063" w:rsidP="00140063">
      <w:pPr>
        <w:ind w:left="142" w:firstLine="709"/>
        <w:rPr>
          <w:spacing w:val="2"/>
          <w:szCs w:val="24"/>
        </w:rPr>
      </w:pPr>
      <w:r w:rsidRPr="00611EC1">
        <w:rPr>
          <w:color w:val="1E1E1E"/>
          <w:spacing w:val="2"/>
          <w:szCs w:val="24"/>
        </w:rPr>
        <w:t xml:space="preserve">Гемостатическая терапия препаратами группы прогестагенов:  Дидрогестерон 10 мг,  Норэтистерон 5мг проводится по схеме: по 1 </w:t>
      </w:r>
      <w:r w:rsidRPr="00611EC1">
        <w:rPr>
          <w:color w:val="000000"/>
          <w:szCs w:val="24"/>
          <w:shd w:val="clear" w:color="auto" w:fill="FFFFFF"/>
        </w:rPr>
        <w:t xml:space="preserve">таб/час до 5 таб. в день в первые сутки </w:t>
      </w:r>
      <w:r w:rsidRPr="00611EC1">
        <w:rPr>
          <w:szCs w:val="24"/>
          <w:shd w:val="clear" w:color="auto" w:fill="FFFFFF"/>
        </w:rPr>
        <w:t>до достижения гемостаза</w:t>
      </w:r>
      <w:r w:rsidRPr="00611EC1">
        <w:rPr>
          <w:color w:val="1E1E1E"/>
          <w:spacing w:val="2"/>
          <w:szCs w:val="24"/>
        </w:rPr>
        <w:t xml:space="preserve">, затем снижение дозы по 1/2 – 1 табл. в день до приема </w:t>
      </w:r>
      <w:r w:rsidRPr="00611EC1">
        <w:rPr>
          <w:spacing w:val="2"/>
          <w:szCs w:val="24"/>
        </w:rPr>
        <w:t>1таблетки х 1</w:t>
      </w:r>
      <w:r w:rsidRPr="00611EC1">
        <w:rPr>
          <w:color w:val="FF0000"/>
          <w:spacing w:val="2"/>
          <w:szCs w:val="24"/>
        </w:rPr>
        <w:t xml:space="preserve">  </w:t>
      </w:r>
      <w:r w:rsidRPr="00611EC1">
        <w:rPr>
          <w:color w:val="1E1E1E"/>
          <w:spacing w:val="2"/>
          <w:szCs w:val="24"/>
        </w:rPr>
        <w:t xml:space="preserve">раз в день, с последующей отменой или продолжением приема в непрерывном режиме, </w:t>
      </w:r>
      <w:r w:rsidRPr="00611EC1">
        <w:rPr>
          <w:spacing w:val="2"/>
          <w:szCs w:val="24"/>
        </w:rPr>
        <w:t>в зависимости от клинической ситуации.</w:t>
      </w:r>
    </w:p>
    <w:p w14:paraId="74730B87" w14:textId="77777777" w:rsidR="00140063" w:rsidRPr="00611EC1" w:rsidRDefault="00140063" w:rsidP="00140063">
      <w:pPr>
        <w:ind w:left="142" w:firstLine="709"/>
        <w:rPr>
          <w:color w:val="000000"/>
          <w:szCs w:val="24"/>
          <w:shd w:val="clear" w:color="auto" w:fill="FFFFFF"/>
        </w:rPr>
      </w:pPr>
      <w:r w:rsidRPr="00611EC1">
        <w:rPr>
          <w:color w:val="1E1E1E"/>
          <w:spacing w:val="2"/>
          <w:szCs w:val="24"/>
        </w:rPr>
        <w:t xml:space="preserve">При тяжелых меноррагиях целесообразно «выключение» менструации </w:t>
      </w:r>
      <w:r w:rsidRPr="00611EC1">
        <w:rPr>
          <w:szCs w:val="24"/>
          <w:shd w:val="clear" w:color="auto" w:fill="FFFFFF"/>
        </w:rPr>
        <w:t>агонистами</w:t>
      </w:r>
      <w:r w:rsidRPr="00611EC1">
        <w:rPr>
          <w:color w:val="FF0000"/>
          <w:szCs w:val="24"/>
          <w:shd w:val="clear" w:color="auto" w:fill="FFFFFF"/>
        </w:rPr>
        <w:t xml:space="preserve"> </w:t>
      </w:r>
      <w:r w:rsidRPr="00611EC1">
        <w:rPr>
          <w:szCs w:val="24"/>
          <w:shd w:val="clear" w:color="auto" w:fill="FFFFFF"/>
        </w:rPr>
        <w:t xml:space="preserve">гонадотропин-рилизинг-гормона (ГнРГ) – гозерелин </w:t>
      </w:r>
      <w:r w:rsidRPr="00611EC1">
        <w:rPr>
          <w:color w:val="000000"/>
          <w:szCs w:val="24"/>
          <w:shd w:val="clear" w:color="auto" w:fill="FFFFFF"/>
        </w:rPr>
        <w:t>3,6 мг п/к 1 раз в 28 дней, курс терапии до 6 месяцев.</w:t>
      </w:r>
    </w:p>
    <w:p w14:paraId="7C8E28C9" w14:textId="77777777" w:rsidR="00140063" w:rsidRPr="00611EC1" w:rsidRDefault="00140063" w:rsidP="00140063">
      <w:pPr>
        <w:ind w:left="142" w:firstLine="709"/>
        <w:rPr>
          <w:color w:val="000000"/>
          <w:szCs w:val="24"/>
          <w:shd w:val="clear" w:color="auto" w:fill="FFFFFF"/>
        </w:rPr>
      </w:pPr>
      <w:r w:rsidRPr="00611EC1">
        <w:rPr>
          <w:color w:val="000000"/>
          <w:szCs w:val="24"/>
          <w:shd w:val="clear" w:color="auto" w:fill="FFFFFF"/>
        </w:rPr>
        <w:t xml:space="preserve">При длительном течении АМК также проводится утеротоническая терапия препаратом окситоцин в/в капельно по 10 МЕ на 100 мл 0,9% физиологического раствора до прекращения кровотечения, данная терапия применяется при исключении органической  патологии матки. </w:t>
      </w:r>
    </w:p>
    <w:p w14:paraId="74BF92D7" w14:textId="77777777" w:rsidR="00140063" w:rsidRPr="00611EC1" w:rsidRDefault="00140063" w:rsidP="00140063">
      <w:pPr>
        <w:ind w:left="142" w:firstLine="709"/>
        <w:rPr>
          <w:color w:val="000000"/>
          <w:szCs w:val="24"/>
        </w:rPr>
      </w:pPr>
      <w:r w:rsidRPr="00611EC1">
        <w:rPr>
          <w:szCs w:val="24"/>
          <w:shd w:val="clear" w:color="auto" w:fill="FFFFFF"/>
        </w:rPr>
        <w:t>При терапии АМК у гематологической пациентки с показаниями к лечению в раннем или позднем послеродовом периоде проводится терапия, направленная на подавление лактации – каберголин 0,5</w:t>
      </w:r>
      <w:r>
        <w:rPr>
          <w:szCs w:val="24"/>
          <w:shd w:val="clear" w:color="auto" w:fill="FFFFFF"/>
        </w:rPr>
        <w:t xml:space="preserve"> </w:t>
      </w:r>
      <w:r w:rsidRPr="00611EC1">
        <w:rPr>
          <w:szCs w:val="24"/>
          <w:shd w:val="clear" w:color="auto" w:fill="FFFFFF"/>
        </w:rPr>
        <w:t xml:space="preserve">мг </w:t>
      </w:r>
      <w:r w:rsidRPr="00611EC1">
        <w:rPr>
          <w:color w:val="000000"/>
          <w:szCs w:val="24"/>
        </w:rPr>
        <w:t>1 мг (2 таб.) однократно в первый день после родов, или  для подавления установившейся лактации по 0,25 мг (1/2 таб.) 2 р/сут через каждые 12 ч в течение 2 дней (общая доза 1 мг). </w:t>
      </w:r>
    </w:p>
    <w:p w14:paraId="74712AA1" w14:textId="77777777" w:rsidR="00140063" w:rsidRPr="00611EC1" w:rsidRDefault="00140063" w:rsidP="00140063">
      <w:pPr>
        <w:ind w:left="142" w:firstLine="709"/>
        <w:rPr>
          <w:szCs w:val="24"/>
          <w:shd w:val="clear" w:color="auto" w:fill="FFFFFF"/>
        </w:rPr>
      </w:pPr>
      <w:r w:rsidRPr="00611EC1">
        <w:rPr>
          <w:szCs w:val="24"/>
          <w:shd w:val="clear" w:color="auto" w:fill="FFFFFF"/>
        </w:rPr>
        <w:t>При достижении гемостаза (купировании АМК) в  последующем проводится противорецидивная терапия пероральными контрацептивами в контрацептивном режиме или в непрерывном режиме (постоянно).</w:t>
      </w:r>
    </w:p>
    <w:p w14:paraId="347D4B50" w14:textId="77777777" w:rsidR="00140063" w:rsidRPr="00611EC1" w:rsidRDefault="00140063" w:rsidP="00140063">
      <w:pPr>
        <w:ind w:left="142" w:firstLine="709"/>
        <w:rPr>
          <w:szCs w:val="24"/>
          <w:shd w:val="clear" w:color="auto" w:fill="FFFFFF"/>
        </w:rPr>
      </w:pPr>
      <w:r w:rsidRPr="00611EC1">
        <w:rPr>
          <w:szCs w:val="24"/>
          <w:shd w:val="clear" w:color="auto" w:fill="FFFFFF"/>
        </w:rPr>
        <w:t>При подозрении / подтверждении воспалительного процесса (эндомиометрит) и/или с профилактической целью целесообразно назначение антибактериальной терапии, после получения результатов посева флоры из влагалища и чувствительности к антибиотикам.</w:t>
      </w:r>
    </w:p>
    <w:p w14:paraId="45BF1A66" w14:textId="77777777" w:rsidR="00140063" w:rsidRDefault="00140063" w:rsidP="00140063">
      <w:pPr>
        <w:shd w:val="clear" w:color="auto" w:fill="FFFFFF"/>
        <w:rPr>
          <w:bCs/>
          <w:i/>
          <w:color w:val="333333"/>
          <w:szCs w:val="24"/>
          <w:u w:val="single"/>
        </w:rPr>
      </w:pPr>
    </w:p>
    <w:p w14:paraId="4F6488D4" w14:textId="21B7B98D" w:rsidR="00140063" w:rsidRPr="00611EC1" w:rsidRDefault="00140063" w:rsidP="00140063">
      <w:pPr>
        <w:shd w:val="clear" w:color="auto" w:fill="FFFFFF"/>
        <w:rPr>
          <w:bCs/>
          <w:i/>
          <w:color w:val="333333"/>
          <w:szCs w:val="24"/>
          <w:u w:val="single"/>
        </w:rPr>
      </w:pPr>
      <w:r w:rsidRPr="00611EC1">
        <w:rPr>
          <w:bCs/>
          <w:i/>
          <w:color w:val="333333"/>
          <w:szCs w:val="24"/>
          <w:u w:val="single"/>
        </w:rPr>
        <w:t>Хирургические методы гемостаза</w:t>
      </w:r>
      <w:r>
        <w:rPr>
          <w:bCs/>
          <w:i/>
          <w:color w:val="333333"/>
          <w:szCs w:val="24"/>
          <w:u w:val="single"/>
        </w:rPr>
        <w:t xml:space="preserve"> </w:t>
      </w:r>
      <w:r>
        <w:rPr>
          <w:color w:val="1E1E1E"/>
          <w:spacing w:val="2"/>
          <w:szCs w:val="24"/>
        </w:rPr>
        <w:fldChar w:fldCharType="begin" w:fldLock="1"/>
      </w:r>
      <w:r w:rsidR="00A67ED2">
        <w:rPr>
          <w:color w:val="1E1E1E"/>
          <w:spacing w:val="2"/>
          <w:szCs w:val="24"/>
        </w:rPr>
        <w:instrText>ADDIN CSL_CITATION {"citationItems":[{"id":"ITEM-1","itemData":{"author":[{"dropping-particle":"","family":"Доброхотова","given":"Ю.Э.","non-dropping-particle":"","parse-names":false,"suffix":""},{"dropping-particle":"","family":"Сапрыкина","given":"Л.В.","non-dropping-particle":"","parse-names":false,"suffix":""},{"dropping-particle":"","family":"Филатова","given":"Л.А.","non-dropping-particle":"","parse-names":false,"suffix":""},{"dropping-particle":"","family":"Нариманова","given":"М.Р.","non-dropping-particle":"","parse-names":false,"suffix":""}],"container-title":"РМЖ. Мать и дитя","id":"ITEM-1","issue":"1","issued":{"date-parts":[["2020"]]},"page":"55-60","title":"Аномальные маточные кровотечения: алгоритмы ведения, методы терапии","type":"article-journal","volume":"3"},"uris":["http://www.mendeley.com/documents/?uuid=a12a992c-5fc5-4324-a2fd-7b01c09f94e9"]},{"id":"ITEM-2","itemData":{"author":[{"dropping-particle":"","family":"Чернуха","given":"Г.Е.","non-dropping-particle":"","parse-names":false,"suffix":""}],"container-title":"Гинекология: национальное руководство. Краткое издание. Под ред. Г.М. Савельевой. Г.Т. Сухих, В.Н. Серова, В.Е. Радзинского, И.Б. Манухина.","id":"ITEM-2","issued":{"date-parts":[["2020"]]},"page":"170-175","publisher":"М.: ГЭОТАР-Медиа","title":"Аномальные маточные кровотечения репродуктивного периода","type":"chapter"},"uris":["http://www.mendeley.com/documents/?uuid=2ef54431-bdc8-4c42-878d-b428dfa8ea1f"]}],"mendeley":{"formattedCitation":"[112,113]","plainTextFormattedCitation":"[112,113]","previouslyFormattedCitation":"[1,2]"},"properties":{"noteIndex":0},"schema":"https://github.com/citation-style-language/schema/raw/master/csl-citation.json"}</w:instrText>
      </w:r>
      <w:r>
        <w:rPr>
          <w:color w:val="1E1E1E"/>
          <w:spacing w:val="2"/>
          <w:szCs w:val="24"/>
        </w:rPr>
        <w:fldChar w:fldCharType="separate"/>
      </w:r>
      <w:r w:rsidR="00A67ED2" w:rsidRPr="00A67ED2">
        <w:rPr>
          <w:noProof/>
          <w:color w:val="1E1E1E"/>
          <w:spacing w:val="2"/>
          <w:szCs w:val="24"/>
        </w:rPr>
        <w:t>[112,113]</w:t>
      </w:r>
      <w:r>
        <w:rPr>
          <w:color w:val="1E1E1E"/>
          <w:spacing w:val="2"/>
          <w:szCs w:val="24"/>
        </w:rPr>
        <w:fldChar w:fldCharType="end"/>
      </w:r>
      <w:r w:rsidRPr="00611EC1">
        <w:rPr>
          <w:bCs/>
          <w:i/>
          <w:color w:val="333333"/>
          <w:szCs w:val="24"/>
          <w:u w:val="single"/>
        </w:rPr>
        <w:t>.</w:t>
      </w:r>
    </w:p>
    <w:p w14:paraId="5EE21BAF" w14:textId="77777777" w:rsidR="00140063" w:rsidRPr="00611EC1" w:rsidRDefault="00140063" w:rsidP="00140063">
      <w:pPr>
        <w:ind w:left="142" w:firstLine="709"/>
        <w:rPr>
          <w:b/>
          <w:color w:val="000000"/>
          <w:szCs w:val="24"/>
          <w:shd w:val="clear" w:color="auto" w:fill="FFFFFF"/>
        </w:rPr>
      </w:pPr>
      <w:r w:rsidRPr="00611EC1">
        <w:rPr>
          <w:szCs w:val="24"/>
          <w:shd w:val="clear" w:color="auto" w:fill="FFFFFF"/>
        </w:rPr>
        <w:t>При неэффективности или неприменимости в определенной клинической ситуации консервативных методов гемостаза могут применяться хирургические методы остановки АМК.</w:t>
      </w:r>
    </w:p>
    <w:p w14:paraId="234CED48" w14:textId="77777777" w:rsidR="00140063" w:rsidRPr="00611EC1" w:rsidRDefault="00140063" w:rsidP="00140063">
      <w:pPr>
        <w:pStyle w:val="afff3"/>
        <w:widowControl/>
        <w:numPr>
          <w:ilvl w:val="0"/>
          <w:numId w:val="222"/>
        </w:numPr>
        <w:autoSpaceDE/>
        <w:autoSpaceDN/>
        <w:adjustRightInd/>
        <w:ind w:firstLine="709"/>
        <w:rPr>
          <w:szCs w:val="24"/>
          <w:shd w:val="clear" w:color="auto" w:fill="FFFFFF"/>
        </w:rPr>
      </w:pPr>
      <w:r w:rsidRPr="00611EC1">
        <w:rPr>
          <w:szCs w:val="24"/>
          <w:shd w:val="clear" w:color="auto" w:fill="FFFFFF"/>
        </w:rPr>
        <w:lastRenderedPageBreak/>
        <w:t>Гистероскопия и раздельное диагностическое выскабливание стенок полости матки, резектоскопия при наличии внутриматочной патологии. Данная операция преследует как диагностическую (для исключения органической патологии полости матки), так и лечебную цель остановки АМК.</w:t>
      </w:r>
    </w:p>
    <w:p w14:paraId="59379B6D" w14:textId="77777777" w:rsidR="00140063" w:rsidRPr="00611EC1" w:rsidRDefault="00140063" w:rsidP="00140063">
      <w:pPr>
        <w:pStyle w:val="afff3"/>
        <w:widowControl/>
        <w:numPr>
          <w:ilvl w:val="0"/>
          <w:numId w:val="222"/>
        </w:numPr>
        <w:autoSpaceDE/>
        <w:autoSpaceDN/>
        <w:adjustRightInd/>
        <w:ind w:firstLine="709"/>
        <w:rPr>
          <w:szCs w:val="24"/>
          <w:shd w:val="clear" w:color="auto" w:fill="FFFFFF"/>
        </w:rPr>
      </w:pPr>
      <w:r w:rsidRPr="00611EC1">
        <w:rPr>
          <w:szCs w:val="24"/>
          <w:shd w:val="clear" w:color="auto" w:fill="FFFFFF"/>
        </w:rPr>
        <w:t>Гистерэктомия.</w:t>
      </w:r>
    </w:p>
    <w:p w14:paraId="45528E3F" w14:textId="77777777" w:rsidR="00140063" w:rsidRPr="00611EC1" w:rsidRDefault="00140063" w:rsidP="00140063">
      <w:pPr>
        <w:pStyle w:val="afff3"/>
        <w:widowControl/>
        <w:numPr>
          <w:ilvl w:val="0"/>
          <w:numId w:val="222"/>
        </w:numPr>
        <w:autoSpaceDE/>
        <w:autoSpaceDN/>
        <w:adjustRightInd/>
        <w:ind w:firstLine="709"/>
        <w:rPr>
          <w:szCs w:val="24"/>
          <w:shd w:val="clear" w:color="auto" w:fill="FFFFFF"/>
        </w:rPr>
      </w:pPr>
      <w:r w:rsidRPr="00611EC1">
        <w:rPr>
          <w:szCs w:val="24"/>
          <w:shd w:val="clear" w:color="auto" w:fill="FFFFFF"/>
        </w:rPr>
        <w:t>Эмболизация или склерозирование маточных сосудов — при их аномалиях.</w:t>
      </w:r>
    </w:p>
    <w:p w14:paraId="0B27E513" w14:textId="77777777" w:rsidR="00140063" w:rsidRPr="00611EC1" w:rsidRDefault="00140063" w:rsidP="00140063">
      <w:pPr>
        <w:pStyle w:val="afff3"/>
        <w:widowControl/>
        <w:numPr>
          <w:ilvl w:val="0"/>
          <w:numId w:val="222"/>
        </w:numPr>
        <w:autoSpaceDE/>
        <w:autoSpaceDN/>
        <w:adjustRightInd/>
        <w:ind w:firstLine="709"/>
        <w:rPr>
          <w:szCs w:val="24"/>
          <w:shd w:val="clear" w:color="auto" w:fill="FFFFFF"/>
        </w:rPr>
      </w:pPr>
      <w:r w:rsidRPr="00611EC1">
        <w:rPr>
          <w:szCs w:val="24"/>
          <w:shd w:val="clear" w:color="auto" w:fill="FFFFFF"/>
        </w:rPr>
        <w:t>Аблация эндометрия.</w:t>
      </w:r>
    </w:p>
    <w:p w14:paraId="148BC9BF" w14:textId="77777777" w:rsidR="00140063" w:rsidRPr="00611EC1" w:rsidRDefault="00140063" w:rsidP="00140063">
      <w:pPr>
        <w:pStyle w:val="afff3"/>
        <w:ind w:firstLine="709"/>
        <w:rPr>
          <w:b/>
          <w:szCs w:val="24"/>
          <w:shd w:val="clear" w:color="auto" w:fill="FFFFFF"/>
        </w:rPr>
      </w:pPr>
    </w:p>
    <w:p w14:paraId="51C74E92" w14:textId="731D06D8" w:rsidR="00140063" w:rsidRPr="00611EC1" w:rsidRDefault="00140063" w:rsidP="00140063">
      <w:pPr>
        <w:rPr>
          <w:b/>
          <w:szCs w:val="24"/>
        </w:rPr>
      </w:pPr>
      <w:r w:rsidRPr="00611EC1">
        <w:rPr>
          <w:b/>
          <w:szCs w:val="24"/>
        </w:rPr>
        <w:t>Методы профилактики АМК</w:t>
      </w:r>
    </w:p>
    <w:p w14:paraId="661E1AFE" w14:textId="6F0F07E8" w:rsidR="00140063" w:rsidRPr="00611EC1" w:rsidRDefault="00140063" w:rsidP="00140063">
      <w:pPr>
        <w:shd w:val="clear" w:color="auto" w:fill="FFFFFF"/>
        <w:ind w:left="142" w:firstLine="709"/>
        <w:rPr>
          <w:szCs w:val="24"/>
          <w:shd w:val="clear" w:color="auto" w:fill="FFFFFF"/>
        </w:rPr>
      </w:pPr>
      <w:r w:rsidRPr="00611EC1">
        <w:rPr>
          <w:szCs w:val="24"/>
        </w:rPr>
        <w:t xml:space="preserve">В репродуктивном периоде для профилактики АМК у пациенток с </w:t>
      </w:r>
      <w:r w:rsidR="00941AF9">
        <w:rPr>
          <w:szCs w:val="24"/>
        </w:rPr>
        <w:t>лейкозом</w:t>
      </w:r>
      <w:r w:rsidRPr="00611EC1">
        <w:rPr>
          <w:szCs w:val="24"/>
        </w:rPr>
        <w:t xml:space="preserve"> в период проведения химиотерапии или другого лечения с риском развития АМК проводится циклическая или непрерывная терапия КОК, или гестагенами во 2-й фазе менструального цикла до 6 месяцев,</w:t>
      </w:r>
      <w:r w:rsidRPr="00611EC1">
        <w:rPr>
          <w:szCs w:val="24"/>
          <w:shd w:val="clear" w:color="auto" w:fill="FFFFFF"/>
        </w:rPr>
        <w:t xml:space="preserve"> или агонистами ГнРГ (гозерелин 3,6 мг п/к 1 раз в 28 дней, курс терапии до 6 месяцев)</w:t>
      </w:r>
      <w:r>
        <w:rPr>
          <w:szCs w:val="24"/>
          <w:shd w:val="clear" w:color="auto" w:fill="FFFFFF"/>
        </w:rPr>
        <w:t xml:space="preserve"> </w:t>
      </w:r>
      <w:r>
        <w:rPr>
          <w:color w:val="1E1E1E"/>
          <w:spacing w:val="2"/>
          <w:szCs w:val="24"/>
        </w:rPr>
        <w:fldChar w:fldCharType="begin" w:fldLock="1"/>
      </w:r>
      <w:r w:rsidR="00A67ED2">
        <w:rPr>
          <w:color w:val="1E1E1E"/>
          <w:spacing w:val="2"/>
          <w:szCs w:val="24"/>
        </w:rPr>
        <w:instrText>ADDIN CSL_CITATION {"citationItems":[{"id":"ITEM-1","itemData":{"author":[{"dropping-particle":"","family":"Доброхотова","given":"Ю.Э.","non-dropping-particle":"","parse-names":false,"suffix":""},{"dropping-particle":"","family":"Сапрыкина","given":"Л.В.","non-dropping-particle":"","parse-names":false,"suffix":""},{"dropping-particle":"","family":"Филатова","given":"Л.А.","non-dropping-particle":"","parse-names":false,"suffix":""},{"dropping-particle":"","family":"Нариманова","given":"М.Р.","non-dropping-particle":"","parse-names":false,"suffix":""}],"container-title":"РМЖ. Мать и дитя","id":"ITEM-1","issue":"1","issued":{"date-parts":[["2020"]]},"page":"55-60","title":"Аномальные маточные кровотечения: алгоритмы ведения, методы терапии","type":"article-journal","volume":"3"},"uris":["http://www.mendeley.com/documents/?uuid=a12a992c-5fc5-4324-a2fd-7b01c09f94e9"]},{"id":"ITEM-2","itemData":{"author":[{"dropping-particle":"","family":"Чернуха","given":"Г.Е.","non-dropping-particle":"","parse-names":false,"suffix":""}],"container-title":"Гинекология: национальное руководство. Краткое издание. Под ред. Г.М. Савельевой. Г.Т. Сухих, В.Н. Серова, В.Е. Радзинского, И.Б. Манухина.","id":"ITEM-2","issued":{"date-parts":[["2020"]]},"page":"170-175","publisher":"М.: ГЭОТАР-Медиа","title":"Аномальные маточные кровотечения репродуктивного периода","type":"chapter"},"uris":["http://www.mendeley.com/documents/?uuid=2ef54431-bdc8-4c42-878d-b428dfa8ea1f"]}],"mendeley":{"formattedCitation":"[112,113]","plainTextFormattedCitation":"[112,113]","previouslyFormattedCitation":"[1,2]"},"properties":{"noteIndex":0},"schema":"https://github.com/citation-style-language/schema/raw/master/csl-citation.json"}</w:instrText>
      </w:r>
      <w:r>
        <w:rPr>
          <w:color w:val="1E1E1E"/>
          <w:spacing w:val="2"/>
          <w:szCs w:val="24"/>
        </w:rPr>
        <w:fldChar w:fldCharType="separate"/>
      </w:r>
      <w:r w:rsidR="00A67ED2" w:rsidRPr="00A67ED2">
        <w:rPr>
          <w:noProof/>
          <w:color w:val="1E1E1E"/>
          <w:spacing w:val="2"/>
          <w:szCs w:val="24"/>
        </w:rPr>
        <w:t>[112,113]</w:t>
      </w:r>
      <w:r>
        <w:rPr>
          <w:color w:val="1E1E1E"/>
          <w:spacing w:val="2"/>
          <w:szCs w:val="24"/>
        </w:rPr>
        <w:fldChar w:fldCharType="end"/>
      </w:r>
      <w:r w:rsidRPr="00611EC1">
        <w:rPr>
          <w:szCs w:val="24"/>
          <w:shd w:val="clear" w:color="auto" w:fill="FFFFFF"/>
        </w:rPr>
        <w:t>.</w:t>
      </w:r>
    </w:p>
    <w:p w14:paraId="2BFE67F4" w14:textId="1358BE86" w:rsidR="00140063" w:rsidRDefault="00140063" w:rsidP="00140063">
      <w:pPr>
        <w:shd w:val="clear" w:color="auto" w:fill="FFFFFF"/>
        <w:ind w:left="142" w:firstLine="709"/>
        <w:rPr>
          <w:szCs w:val="24"/>
          <w:shd w:val="clear" w:color="auto" w:fill="FFFFFF"/>
        </w:rPr>
      </w:pPr>
      <w:r w:rsidRPr="00611EC1">
        <w:rPr>
          <w:szCs w:val="24"/>
        </w:rPr>
        <w:t xml:space="preserve">У пациенток с </w:t>
      </w:r>
      <w:r w:rsidR="00941AF9">
        <w:rPr>
          <w:szCs w:val="24"/>
        </w:rPr>
        <w:t>лейкозом</w:t>
      </w:r>
      <w:r w:rsidRPr="00611EC1">
        <w:rPr>
          <w:szCs w:val="24"/>
        </w:rPr>
        <w:t xml:space="preserve"> в пре- и постменопаузальном периоде при необходимости выключения функции яичников для профилактики АМК (медикаментозная менопауза) применяются гестагены в непрерывном режиме – до 6 месяцев и </w:t>
      </w:r>
      <w:r w:rsidRPr="00611EC1">
        <w:rPr>
          <w:szCs w:val="24"/>
          <w:shd w:val="clear" w:color="auto" w:fill="FFFFFF"/>
        </w:rPr>
        <w:t xml:space="preserve"> агонисты ГнРГ (гозерелин 3,6 мг п/к 1 раз в 28 дней, курс терапии до 6</w:t>
      </w:r>
      <w:r>
        <w:rPr>
          <w:szCs w:val="24"/>
          <w:shd w:val="clear" w:color="auto" w:fill="FFFFFF"/>
        </w:rPr>
        <w:t xml:space="preserve"> </w:t>
      </w:r>
      <w:r w:rsidRPr="00611EC1">
        <w:rPr>
          <w:szCs w:val="24"/>
          <w:shd w:val="clear" w:color="auto" w:fill="FFFFFF"/>
        </w:rPr>
        <w:t>мес.).</w:t>
      </w:r>
    </w:p>
    <w:p w14:paraId="053294DE" w14:textId="0085B695" w:rsidR="00E66FB6" w:rsidRDefault="00E66FB6" w:rsidP="00140063">
      <w:pPr>
        <w:shd w:val="clear" w:color="auto" w:fill="FFFFFF"/>
        <w:ind w:left="142" w:firstLine="709"/>
        <w:rPr>
          <w:szCs w:val="24"/>
          <w:shd w:val="clear" w:color="auto" w:fill="FFFFFF"/>
        </w:rPr>
      </w:pPr>
    </w:p>
    <w:p w14:paraId="2EB1DCCA" w14:textId="133C9869" w:rsidR="00941AF9" w:rsidRPr="00EC5F42" w:rsidRDefault="00E66FB6" w:rsidP="004905C2">
      <w:pPr>
        <w:pStyle w:val="2"/>
      </w:pPr>
      <w:bookmarkStart w:id="177" w:name="_Toc64565655"/>
      <w:r w:rsidRPr="00FC258D">
        <w:t>7.</w:t>
      </w:r>
      <w:r w:rsidR="00D35FE3">
        <w:t>4</w:t>
      </w:r>
      <w:r>
        <w:t xml:space="preserve">. </w:t>
      </w:r>
      <w:bookmarkEnd w:id="177"/>
      <w:r w:rsidR="00941AF9" w:rsidRPr="00BA72AB">
        <w:t xml:space="preserve">Внутричерепные кровоизлияния </w:t>
      </w:r>
      <w:r w:rsidR="00941AF9" w:rsidRPr="00EC5F42">
        <w:t xml:space="preserve">у пациентов </w:t>
      </w:r>
      <w:r w:rsidR="00941AF9">
        <w:t>с лейкозом.</w:t>
      </w:r>
    </w:p>
    <w:p w14:paraId="4E7D8083" w14:textId="56A5B8DD" w:rsidR="004E3DE3" w:rsidRPr="004E3DE3" w:rsidRDefault="004E3DE3" w:rsidP="004905C2">
      <w:pPr>
        <w:pStyle w:val="2"/>
      </w:pPr>
    </w:p>
    <w:p w14:paraId="12514E3D" w14:textId="77777777" w:rsidR="00941AF9" w:rsidRDefault="004E3DE3" w:rsidP="00941AF9">
      <w:pPr>
        <w:ind w:firstLine="708"/>
        <w:rPr>
          <w:szCs w:val="24"/>
        </w:rPr>
      </w:pPr>
      <w:r w:rsidRPr="00BA72AB">
        <w:rPr>
          <w:szCs w:val="24"/>
        </w:rPr>
        <w:t>Внутричерепные кровоизлияния (ВЧК) – это нередкое (ожидаемое) осложнение основного заболевания и/или специфического (в том числе, химиотерапевтического) лечения у пациентов</w:t>
      </w:r>
      <w:r w:rsidR="00941AF9">
        <w:rPr>
          <w:szCs w:val="24"/>
        </w:rPr>
        <w:t xml:space="preserve"> с лейкозами</w:t>
      </w:r>
      <w:r w:rsidRPr="00BA72AB">
        <w:rPr>
          <w:szCs w:val="24"/>
        </w:rPr>
        <w:t>, часто сопряженное с патологией плазменного и/или тромбоцитарного гемостаза</w:t>
      </w:r>
      <w:r>
        <w:rPr>
          <w:szCs w:val="24"/>
        </w:rPr>
        <w:t xml:space="preserve"> </w:t>
      </w:r>
      <w:r>
        <w:rPr>
          <w:bCs/>
          <w:i/>
          <w:iCs/>
          <w:szCs w:val="24"/>
          <w:u w:val="single"/>
        </w:rPr>
        <w:fldChar w:fldCharType="begin" w:fldLock="1"/>
      </w:r>
      <w:r w:rsidR="00A67ED2">
        <w:rPr>
          <w:bCs/>
          <w:i/>
          <w:iCs/>
          <w:szCs w:val="24"/>
          <w:u w:val="single"/>
        </w:rPr>
        <w:instrText>ADDIN CSL_CITATION {"citationItems":[{"id":"ITEM-1","itemData":{"author":[{"dropping-particle":"","family":"Мамонов","given":"В.Е.","non-dropping-particle":"","parse-names":false,"suffix":""}],"container-title":"Гематология и трансфузиология","id":"ITEM-1","issue":"S1","issued":{"date-parts":[["2020"]]},"page":"174-175","title":"Неотложная нейрохирургия внутричерепных кровоизлияний у пациентов гематологического стационара","type":"article-journal","volume":"65"},"uris":["http://www.mendeley.com/documents/?uuid=e8b83040-80c7-4e36-8d57-5e123af5e4a6"]}],"mendeley":{"formattedCitation":"[114]","plainTextFormattedCitation":"[114]","previouslyFormattedCitation":"[1]"},"properties":{"noteIndex":0},"schema":"https://github.com/citation-style-language/schema/raw/master/csl-citation.json"}</w:instrText>
      </w:r>
      <w:r>
        <w:rPr>
          <w:bCs/>
          <w:i/>
          <w:iCs/>
          <w:szCs w:val="24"/>
          <w:u w:val="single"/>
        </w:rPr>
        <w:fldChar w:fldCharType="separate"/>
      </w:r>
      <w:r w:rsidR="00A67ED2" w:rsidRPr="00A67ED2">
        <w:rPr>
          <w:bCs/>
          <w:iCs/>
          <w:noProof/>
          <w:szCs w:val="24"/>
        </w:rPr>
        <w:t>[114]</w:t>
      </w:r>
      <w:r>
        <w:rPr>
          <w:bCs/>
          <w:i/>
          <w:iCs/>
          <w:szCs w:val="24"/>
          <w:u w:val="single"/>
        </w:rPr>
        <w:fldChar w:fldCharType="end"/>
      </w:r>
      <w:r w:rsidRPr="00BA72AB">
        <w:rPr>
          <w:szCs w:val="24"/>
        </w:rPr>
        <w:t xml:space="preserve">. Без оказания неотложной нейрохирургической помощи массивные ВЧК у гематологических больных закономерно приводят к фатальному исходу. </w:t>
      </w:r>
    </w:p>
    <w:p w14:paraId="6F6088C7" w14:textId="5433229F" w:rsidR="00941AF9" w:rsidRDefault="00941AF9" w:rsidP="00941AF9">
      <w:pPr>
        <w:ind w:firstLine="708"/>
      </w:pPr>
      <w:r>
        <w:t>Диагностика и лечение ВЧК, возникающих у пацентов с лейкозами, осуществляется непосредственно в период проведения противоопухолевого химиотерапевтического лечения лейкоза.</w:t>
      </w:r>
    </w:p>
    <w:p w14:paraId="12C1FF47" w14:textId="48C40AE6" w:rsidR="004E3DE3" w:rsidRPr="00BA72AB" w:rsidRDefault="004E3DE3" w:rsidP="004E3DE3">
      <w:pPr>
        <w:tabs>
          <w:tab w:val="left" w:pos="709"/>
        </w:tabs>
        <w:ind w:firstLine="709"/>
        <w:rPr>
          <w:szCs w:val="24"/>
        </w:rPr>
      </w:pPr>
      <w:r w:rsidRPr="00BA72AB">
        <w:rPr>
          <w:szCs w:val="24"/>
        </w:rPr>
        <w:t xml:space="preserve">Из всех ВЧК, требующих оперативного лечения, наиболее часто встречаются следующие (в порядке убывания): внутримозговая гематома с признаками внутричерепной гипертензии и дислокационного синдрома (в т.ч. с прорывом в желудочки) по данным компьютерной томографии (КТ) головного мозга; острые и подострые субдуральные (СДГ) и острые эпидуральные гематомы (ЭДГ); декомпенсация хронической субдуральной </w:t>
      </w:r>
      <w:r w:rsidRPr="00BA72AB">
        <w:rPr>
          <w:szCs w:val="24"/>
        </w:rPr>
        <w:lastRenderedPageBreak/>
        <w:t>гематомы (ХСДГ).</w:t>
      </w:r>
    </w:p>
    <w:p w14:paraId="376B116C" w14:textId="5FBACCF3" w:rsidR="004E3DE3" w:rsidRPr="00BA72AB" w:rsidRDefault="004E3DE3" w:rsidP="004E3DE3">
      <w:pPr>
        <w:tabs>
          <w:tab w:val="left" w:pos="709"/>
        </w:tabs>
        <w:ind w:firstLine="709"/>
        <w:rPr>
          <w:szCs w:val="24"/>
        </w:rPr>
      </w:pPr>
      <w:r w:rsidRPr="00BA72AB">
        <w:rPr>
          <w:szCs w:val="24"/>
        </w:rPr>
        <w:t xml:space="preserve"> Основные причины ВЧК у пациентов </w:t>
      </w:r>
      <w:r w:rsidR="00941AF9">
        <w:rPr>
          <w:szCs w:val="24"/>
        </w:rPr>
        <w:t xml:space="preserve">с лейкозом </w:t>
      </w:r>
      <w:r w:rsidRPr="00BA72AB">
        <w:rPr>
          <w:szCs w:val="24"/>
        </w:rPr>
        <w:t>– черепно-мозговая травма</w:t>
      </w:r>
      <w:r w:rsidR="00941AF9">
        <w:rPr>
          <w:szCs w:val="24"/>
        </w:rPr>
        <w:t xml:space="preserve"> </w:t>
      </w:r>
      <w:r w:rsidR="00941AF9">
        <w:t>(например, при падении пациента с низким количеством тромбоцитов)</w:t>
      </w:r>
      <w:r w:rsidR="00941AF9" w:rsidRPr="00BA72AB">
        <w:t>,</w:t>
      </w:r>
      <w:r w:rsidRPr="00BA72AB">
        <w:rPr>
          <w:szCs w:val="24"/>
        </w:rPr>
        <w:t xml:space="preserve"> нарушение венозного оттока (тромбоз синусов головного мозга), гипертонический криз, артериовенозная мальформация. При  этом у пациентов могут не выявляться нарушения гемостаза, или иметься различные его нарушения –  тромбоцитопения менее 50х10</w:t>
      </w:r>
      <w:r w:rsidRPr="00BA72AB">
        <w:rPr>
          <w:szCs w:val="24"/>
          <w:vertAlign w:val="superscript"/>
        </w:rPr>
        <w:t>9</w:t>
      </w:r>
      <w:r w:rsidRPr="00BA72AB">
        <w:rPr>
          <w:szCs w:val="24"/>
        </w:rPr>
        <w:t xml:space="preserve">/л и/или нарушение плазменного гемостаза (гипокоагуляция). </w:t>
      </w:r>
    </w:p>
    <w:p w14:paraId="218832C7" w14:textId="66EB262D" w:rsidR="004E3DE3" w:rsidRPr="00BA72AB" w:rsidRDefault="004E3DE3" w:rsidP="004E3DE3">
      <w:pPr>
        <w:pStyle w:val="afff3"/>
        <w:tabs>
          <w:tab w:val="left" w:pos="709"/>
        </w:tabs>
        <w:ind w:left="0" w:firstLine="709"/>
        <w:rPr>
          <w:szCs w:val="24"/>
        </w:rPr>
      </w:pPr>
      <w:r w:rsidRPr="00BA72AB">
        <w:rPr>
          <w:szCs w:val="24"/>
        </w:rPr>
        <w:t xml:space="preserve">Нейрохирургическое вмешательство позволяет сохранить жизнь у 60% пациентов с </w:t>
      </w:r>
      <w:r w:rsidR="00941AF9">
        <w:rPr>
          <w:szCs w:val="24"/>
        </w:rPr>
        <w:t xml:space="preserve">лейкозом и </w:t>
      </w:r>
      <w:r w:rsidRPr="00BA72AB">
        <w:rPr>
          <w:szCs w:val="24"/>
        </w:rPr>
        <w:t xml:space="preserve">массивными ВЧК и продолжить лечение основного онкогематологического заболевания, при этом регресса неврологической симптоматики удаётся добиться у более чем 40% оперированных </w:t>
      </w:r>
      <w:r w:rsidR="00941AF9">
        <w:rPr>
          <w:szCs w:val="24"/>
        </w:rPr>
        <w:t>пациентов</w:t>
      </w:r>
      <w:r w:rsidRPr="00BA72AB">
        <w:rPr>
          <w:szCs w:val="24"/>
        </w:rPr>
        <w:t>.</w:t>
      </w:r>
    </w:p>
    <w:p w14:paraId="0110CE45" w14:textId="77777777" w:rsidR="004E3DE3" w:rsidRDefault="004E3DE3" w:rsidP="004E3DE3">
      <w:pPr>
        <w:pStyle w:val="afff3"/>
        <w:rPr>
          <w:bCs/>
          <w:i/>
          <w:iCs/>
          <w:szCs w:val="24"/>
          <w:u w:val="single"/>
        </w:rPr>
      </w:pPr>
    </w:p>
    <w:p w14:paraId="7CC5D599" w14:textId="77777777" w:rsidR="004E3DE3" w:rsidRPr="003D7F7D" w:rsidRDefault="004E3DE3" w:rsidP="004E3DE3">
      <w:pPr>
        <w:pStyle w:val="afff3"/>
        <w:rPr>
          <w:bCs/>
          <w:i/>
          <w:iCs/>
          <w:szCs w:val="24"/>
          <w:u w:val="single"/>
        </w:rPr>
      </w:pPr>
      <w:r w:rsidRPr="003D7F7D">
        <w:rPr>
          <w:bCs/>
          <w:i/>
          <w:iCs/>
          <w:szCs w:val="24"/>
          <w:u w:val="single"/>
        </w:rPr>
        <w:t>Клиническая картина</w:t>
      </w:r>
    </w:p>
    <w:p w14:paraId="4CA0590D" w14:textId="77777777" w:rsidR="004E3DE3" w:rsidRPr="00BA72AB" w:rsidRDefault="004E3DE3" w:rsidP="004E3DE3">
      <w:pPr>
        <w:ind w:firstLine="708"/>
        <w:rPr>
          <w:szCs w:val="24"/>
        </w:rPr>
      </w:pPr>
      <w:r w:rsidRPr="00BA72AB">
        <w:rPr>
          <w:szCs w:val="24"/>
        </w:rPr>
        <w:t>Клиническая картина ВЧК зависит от локализации кровоизлияния.</w:t>
      </w:r>
    </w:p>
    <w:p w14:paraId="3E852083" w14:textId="77777777" w:rsidR="004E3DE3" w:rsidRPr="00BA72AB" w:rsidRDefault="004E3DE3" w:rsidP="004E3DE3">
      <w:pPr>
        <w:ind w:firstLine="708"/>
        <w:rPr>
          <w:szCs w:val="24"/>
        </w:rPr>
      </w:pPr>
      <w:r w:rsidRPr="00BA72AB">
        <w:rPr>
          <w:b/>
          <w:i/>
          <w:szCs w:val="24"/>
        </w:rPr>
        <w:t xml:space="preserve">Эпидуральные и острые субдуральные гематомы </w:t>
      </w:r>
      <w:r w:rsidRPr="00BA72AB">
        <w:rPr>
          <w:szCs w:val="24"/>
        </w:rPr>
        <w:t xml:space="preserve"> в большинстве случаев связаны с травмой. Спонтанные субдуральные гематомы выявляются у пациентов с грубой патологией плазменного и/или тромбоцитарного гемостаза. В клинической картине ЭДГ и СДГ присутствуют общемозговые симптомы – головная боль, тошнота, рвота, вялость, сонливость, апатия или тревожность, угнетение сознания. Быстро развивается гипертензионно-дислокационный стволовой синдром, который проявляется тяжёлым или крайне тяжелым состоянием, угнетением сознания до комы, выраженными стволовыми расстройствами, гемодинамическими нарушениями – артериальная гипертензия/гипотензия, брадикардия. Выделяют острые СДГ – до 2-х суток с момента травмы, подострые СДГ – до 14 суток, хронические СДГ – более 14 суток. ХСДГ</w:t>
      </w:r>
      <w:r w:rsidRPr="00BA72AB">
        <w:rPr>
          <w:color w:val="FF0000"/>
          <w:szCs w:val="24"/>
        </w:rPr>
        <w:t xml:space="preserve"> </w:t>
      </w:r>
      <w:r w:rsidRPr="00BA72AB">
        <w:rPr>
          <w:szCs w:val="24"/>
        </w:rPr>
        <w:t>характеризуются наличием капсулы, изолирующей СДГ от окружающего ликворного пространства.</w:t>
      </w:r>
    </w:p>
    <w:p w14:paraId="143D24CC" w14:textId="77777777" w:rsidR="004E3DE3" w:rsidRPr="00BA72AB" w:rsidRDefault="004E3DE3" w:rsidP="004E3DE3">
      <w:pPr>
        <w:ind w:firstLine="708"/>
        <w:rPr>
          <w:szCs w:val="24"/>
        </w:rPr>
      </w:pPr>
      <w:r w:rsidRPr="00BA72AB">
        <w:rPr>
          <w:b/>
          <w:i/>
          <w:szCs w:val="24"/>
        </w:rPr>
        <w:t xml:space="preserve">Хроническая субдуральная гематома (ХСДГ) </w:t>
      </w:r>
      <w:r w:rsidRPr="00BA72AB">
        <w:rPr>
          <w:szCs w:val="24"/>
        </w:rPr>
        <w:t>часто выявляется как находка при выполнении магнитно-резонансной томографии (МРТ) или КТ головного мозга у гематологических пациентов. Клинически ХСДГ может протекать бессимптомно, либо вызывать клинику гипертензионно-дисциркуляторного синдрома (угнетение сознания до умеренного или глубокого оглушения, головная боль, тошнота, рвота, психомоторное возбуждение, судорожный синдром, афатические нарушения, пирамидная недостаточность).</w:t>
      </w:r>
    </w:p>
    <w:p w14:paraId="08B96C79" w14:textId="77777777" w:rsidR="004E3DE3" w:rsidRPr="00BA72AB" w:rsidRDefault="004E3DE3" w:rsidP="004E3DE3">
      <w:pPr>
        <w:ind w:firstLine="708"/>
        <w:rPr>
          <w:szCs w:val="24"/>
        </w:rPr>
      </w:pPr>
      <w:r w:rsidRPr="00BA72AB">
        <w:rPr>
          <w:b/>
          <w:i/>
          <w:szCs w:val="24"/>
        </w:rPr>
        <w:t xml:space="preserve">Субарахноидальные кровоизлияния (САК) </w:t>
      </w:r>
      <w:r w:rsidRPr="00BA72AB">
        <w:rPr>
          <w:szCs w:val="24"/>
        </w:rPr>
        <w:t xml:space="preserve">у гематологических пациентов </w:t>
      </w:r>
      <w:r w:rsidRPr="00BA72AB">
        <w:rPr>
          <w:szCs w:val="24"/>
        </w:rPr>
        <w:lastRenderedPageBreak/>
        <w:t xml:space="preserve">встречаются часто как спутник кровоизлияний других локализаций либо спонтанное геморрагическое осложнение, не связанное с грубой цереброваскулярной патологией.  Как правило, клиническая картина соответствует </w:t>
      </w:r>
      <w:r w:rsidRPr="00BA72AB">
        <w:rPr>
          <w:szCs w:val="24"/>
          <w:lang w:val="en-US"/>
        </w:rPr>
        <w:t>I</w:t>
      </w:r>
      <w:r w:rsidRPr="00BA72AB">
        <w:rPr>
          <w:szCs w:val="24"/>
        </w:rPr>
        <w:t>-</w:t>
      </w:r>
      <w:r w:rsidRPr="00BA72AB">
        <w:rPr>
          <w:szCs w:val="24"/>
          <w:lang w:val="en-US"/>
        </w:rPr>
        <w:t>II</w:t>
      </w:r>
      <w:r w:rsidRPr="00BA72AB">
        <w:rPr>
          <w:szCs w:val="24"/>
        </w:rPr>
        <w:t xml:space="preserve"> стадии по классификации </w:t>
      </w:r>
      <w:r w:rsidRPr="00BA72AB">
        <w:rPr>
          <w:szCs w:val="24"/>
          <w:lang w:val="en-US"/>
        </w:rPr>
        <w:t>Hunt</w:t>
      </w:r>
      <w:r w:rsidRPr="00BA72AB">
        <w:rPr>
          <w:szCs w:val="24"/>
        </w:rPr>
        <w:t>&amp;</w:t>
      </w:r>
      <w:r w:rsidRPr="00BA72AB">
        <w:rPr>
          <w:szCs w:val="24"/>
          <w:lang w:val="en-US"/>
        </w:rPr>
        <w:t>Hess</w:t>
      </w:r>
      <w:r w:rsidRPr="00BA72AB">
        <w:rPr>
          <w:szCs w:val="24"/>
        </w:rPr>
        <w:t>, проявляется головной болью и менингеальной симптоматикой. Причиной развития САК у гематологических больных как правило служит патология плазменного и/или тромбоцитарного гемостаза. Гораздо реже наблюдаются классические САК, связанные с разрывом артериальной аневризмы или артериовенозной мальформации. В этих случаях клиническая картина определяется генерализованным вазоспазмом, может сопровождаться развитием гипертензионно-дислокационного синдрома вследствие образования внутричерепных гематом.</w:t>
      </w:r>
    </w:p>
    <w:p w14:paraId="4C830093" w14:textId="77777777" w:rsidR="004E3DE3" w:rsidRPr="00BA72AB" w:rsidRDefault="004E3DE3" w:rsidP="004E3DE3">
      <w:pPr>
        <w:ind w:firstLine="708"/>
        <w:rPr>
          <w:szCs w:val="24"/>
        </w:rPr>
      </w:pPr>
      <w:r w:rsidRPr="00BA72AB">
        <w:rPr>
          <w:b/>
          <w:i/>
          <w:szCs w:val="24"/>
        </w:rPr>
        <w:t xml:space="preserve">Внутримозговые, внутрижелудочковые и сочетанные гематомы, </w:t>
      </w:r>
      <w:r w:rsidRPr="00BA72AB">
        <w:rPr>
          <w:szCs w:val="24"/>
        </w:rPr>
        <w:t>наряду с патологией плазменного и/или тромбоцитарного гемостаза, в своем развитии связаны с артериальной гипертензией либо тромбозом венозных синусов. При остром нарушении мозгового кровообращения (ОНМК) по геморрагическому типу клиническая неврологическая симптоматика, помимо гипертензионно-дислокационного синдрома, зависит от того, в бассейне какой мозговой артерии произошло кровоизлияние. Гемипарез является характерным проявлением данного типа ВЧК. Наиболее часто ОНМК развивается в бассейне средней мозговой артерии и сопровождается прорывом крови в желудочки мозга. Состояние пациентов оценивается как крайне тяжелой, прогноз неблагоприятный.</w:t>
      </w:r>
    </w:p>
    <w:p w14:paraId="58B9DE18" w14:textId="77777777" w:rsidR="004E3DE3" w:rsidRPr="00BA72AB" w:rsidRDefault="004E3DE3" w:rsidP="004E3DE3">
      <w:pPr>
        <w:ind w:firstLine="708"/>
        <w:rPr>
          <w:szCs w:val="24"/>
        </w:rPr>
      </w:pPr>
      <w:r w:rsidRPr="00BA72AB">
        <w:rPr>
          <w:szCs w:val="24"/>
        </w:rPr>
        <w:t>Напротив, спонтанные внутримозговые гематомы нетипичных для ОНМК локализаций часто связаны с тромбозом синусов головного мозга. Клиническая картина в этих случаях более благоприятная, гипертензионно-дислокационный синдром прогрессирует медленно, отмечается появление парезов с контрлатеральной стороны, развитие афатических и ментальных расстройств.</w:t>
      </w:r>
    </w:p>
    <w:p w14:paraId="6D8A1EA0" w14:textId="77777777" w:rsidR="004E3DE3" w:rsidRPr="00BA72AB" w:rsidRDefault="004E3DE3" w:rsidP="004E3DE3">
      <w:pPr>
        <w:ind w:firstLine="708"/>
        <w:rPr>
          <w:szCs w:val="24"/>
        </w:rPr>
      </w:pPr>
      <w:r w:rsidRPr="00BA72AB">
        <w:rPr>
          <w:b/>
          <w:i/>
          <w:szCs w:val="24"/>
        </w:rPr>
        <w:t xml:space="preserve">Субтенториальные кровоизлияния </w:t>
      </w:r>
      <w:r w:rsidRPr="00BA72AB">
        <w:rPr>
          <w:szCs w:val="24"/>
        </w:rPr>
        <w:t>локализуются в структурах головного мозга под наметом мозжечка. Клиническая картина определяется степенью воздействия на стволовые структуры мозга и локализацией кровоизлияния. Пациентов может беспокоить головная боль, тошнота, рвота, нарушение походки, головокружение. При развитии поражения стволовых структур возникает угнетение сознания, гемодинамические и дыхательные расстройства.</w:t>
      </w:r>
    </w:p>
    <w:p w14:paraId="66C5CD25" w14:textId="77777777" w:rsidR="004E3DE3" w:rsidRDefault="004E3DE3" w:rsidP="004E3DE3">
      <w:pPr>
        <w:ind w:firstLine="709"/>
        <w:rPr>
          <w:bCs/>
          <w:i/>
          <w:iCs/>
          <w:szCs w:val="24"/>
          <w:u w:val="single"/>
        </w:rPr>
      </w:pPr>
    </w:p>
    <w:p w14:paraId="4D5BE95F" w14:textId="77777777" w:rsidR="004E3DE3" w:rsidRPr="00212356" w:rsidRDefault="004E3DE3" w:rsidP="004E3DE3">
      <w:pPr>
        <w:ind w:firstLine="709"/>
        <w:rPr>
          <w:bCs/>
          <w:i/>
          <w:iCs/>
          <w:szCs w:val="24"/>
          <w:u w:val="single"/>
        </w:rPr>
      </w:pPr>
      <w:r w:rsidRPr="00212356">
        <w:rPr>
          <w:bCs/>
          <w:i/>
          <w:iCs/>
          <w:szCs w:val="24"/>
          <w:u w:val="single"/>
        </w:rPr>
        <w:t>Инструментальная диагностика.</w:t>
      </w:r>
    </w:p>
    <w:p w14:paraId="5A14AEB0" w14:textId="77777777" w:rsidR="004E3DE3" w:rsidRPr="00BA72AB" w:rsidRDefault="004E3DE3" w:rsidP="004E3DE3">
      <w:pPr>
        <w:ind w:firstLine="709"/>
        <w:rPr>
          <w:szCs w:val="24"/>
        </w:rPr>
      </w:pPr>
      <w:r w:rsidRPr="00BA72AB">
        <w:rPr>
          <w:szCs w:val="24"/>
        </w:rPr>
        <w:t xml:space="preserve">КТ головного мозга  рекомендуется практически всем пациентам с гематологическим заболеванием при поступлении в стационар.  Это необходимо для </w:t>
      </w:r>
      <w:r w:rsidRPr="00BA72AB">
        <w:rPr>
          <w:szCs w:val="24"/>
        </w:rPr>
        <w:lastRenderedPageBreak/>
        <w:t>определения исходного статуса и динамики изменений как при наличии у пациентов неврологической симптоматики, так и без нее. При необходимости выполняется МРТ головного мозга.</w:t>
      </w:r>
    </w:p>
    <w:p w14:paraId="667E7339" w14:textId="77777777" w:rsidR="004E3DE3" w:rsidRPr="00BA72AB" w:rsidRDefault="004E3DE3" w:rsidP="004E3DE3">
      <w:pPr>
        <w:ind w:firstLine="709"/>
        <w:rPr>
          <w:szCs w:val="24"/>
        </w:rPr>
      </w:pPr>
      <w:r w:rsidRPr="00BA72AB">
        <w:rPr>
          <w:szCs w:val="24"/>
        </w:rPr>
        <w:t>Любое нарушение неврологического статуса, включая субъективное беспокойство пациента требует выполнения КТ/МРТ головного мозга для исключения ВЧК, учитывая возможность быстрого развития и прогрессирования ВЧК у гематологических пациентов.</w:t>
      </w:r>
    </w:p>
    <w:p w14:paraId="1C173105" w14:textId="77777777" w:rsidR="004E3DE3" w:rsidRPr="00BA72AB" w:rsidRDefault="004E3DE3" w:rsidP="004E3DE3">
      <w:pPr>
        <w:ind w:firstLine="709"/>
        <w:rPr>
          <w:szCs w:val="24"/>
        </w:rPr>
      </w:pPr>
      <w:r w:rsidRPr="00BA72AB">
        <w:rPr>
          <w:szCs w:val="24"/>
        </w:rPr>
        <w:t>КТ или МРТ головного мозга с внутривенным контрастированием выполняется в качестве дополнительного обследования и дифференциальной диагностики ВЧК с другой неврологической патологией.</w:t>
      </w:r>
    </w:p>
    <w:p w14:paraId="40C04217" w14:textId="77777777" w:rsidR="004E3DE3" w:rsidRDefault="004E3DE3" w:rsidP="004E3DE3">
      <w:pPr>
        <w:ind w:firstLine="709"/>
        <w:rPr>
          <w:szCs w:val="24"/>
        </w:rPr>
      </w:pPr>
      <w:r w:rsidRPr="00BA72AB">
        <w:rPr>
          <w:szCs w:val="24"/>
        </w:rPr>
        <w:t>Ангиография выполняется при подозрении на тромбоз венозных синусов, артериальную аневризму или артериовенозную мальформацию при выявлении признаков САК.</w:t>
      </w:r>
    </w:p>
    <w:p w14:paraId="2AB44BD1" w14:textId="77777777" w:rsidR="004E3DE3" w:rsidRPr="00BA72AB" w:rsidRDefault="004E3DE3" w:rsidP="004E3DE3">
      <w:pPr>
        <w:ind w:firstLine="709"/>
        <w:rPr>
          <w:szCs w:val="24"/>
        </w:rPr>
      </w:pPr>
    </w:p>
    <w:p w14:paraId="61CD5422" w14:textId="77777777" w:rsidR="004E3DE3" w:rsidRPr="00212356" w:rsidRDefault="004E3DE3" w:rsidP="004E3DE3">
      <w:pPr>
        <w:ind w:firstLine="709"/>
        <w:rPr>
          <w:bCs/>
          <w:i/>
          <w:iCs/>
          <w:szCs w:val="24"/>
          <w:u w:val="single"/>
        </w:rPr>
      </w:pPr>
      <w:r w:rsidRPr="00212356">
        <w:rPr>
          <w:bCs/>
          <w:i/>
          <w:iCs/>
          <w:szCs w:val="24"/>
          <w:u w:val="single"/>
        </w:rPr>
        <w:t>Лабораторная диагностика.</w:t>
      </w:r>
    </w:p>
    <w:p w14:paraId="1D2199EF" w14:textId="77777777" w:rsidR="004E3DE3" w:rsidRPr="00BA72AB" w:rsidRDefault="004E3DE3" w:rsidP="004E3DE3">
      <w:pPr>
        <w:ind w:firstLine="709"/>
        <w:rPr>
          <w:szCs w:val="24"/>
        </w:rPr>
      </w:pPr>
      <w:r w:rsidRPr="00BA72AB">
        <w:rPr>
          <w:szCs w:val="24"/>
        </w:rPr>
        <w:t xml:space="preserve">Лабораторная диагностика заключается в выявлении патологии плазменного и тромбоцитарного гемостаза, а также мониторинге терапии выявленных нарушений. </w:t>
      </w:r>
    </w:p>
    <w:p w14:paraId="2D1B29C9" w14:textId="77777777" w:rsidR="004E3DE3" w:rsidRPr="00BA72AB" w:rsidRDefault="004E3DE3" w:rsidP="004E3DE3">
      <w:pPr>
        <w:ind w:firstLine="709"/>
        <w:rPr>
          <w:szCs w:val="24"/>
        </w:rPr>
      </w:pPr>
      <w:r w:rsidRPr="00BA72AB">
        <w:rPr>
          <w:szCs w:val="24"/>
        </w:rPr>
        <w:t xml:space="preserve">Рекомендуемые исследования для выявления патологии гемостаза: </w:t>
      </w:r>
    </w:p>
    <w:p w14:paraId="061ED432" w14:textId="77777777" w:rsidR="004E3DE3" w:rsidRPr="00BA72AB" w:rsidRDefault="004E3DE3" w:rsidP="004E3DE3">
      <w:pPr>
        <w:pStyle w:val="afff3"/>
        <w:widowControl/>
        <w:numPr>
          <w:ilvl w:val="0"/>
          <w:numId w:val="231"/>
        </w:numPr>
        <w:autoSpaceDE/>
        <w:autoSpaceDN/>
        <w:adjustRightInd/>
        <w:rPr>
          <w:szCs w:val="24"/>
        </w:rPr>
      </w:pPr>
      <w:r w:rsidRPr="00BA72AB">
        <w:rPr>
          <w:szCs w:val="24"/>
        </w:rPr>
        <w:t xml:space="preserve">общий (клинический) анализ крови развернутый, с подсчетом количества тромбоцитов в крови по мазку (по Фонио), </w:t>
      </w:r>
    </w:p>
    <w:p w14:paraId="67BF4346" w14:textId="77777777" w:rsidR="004E3DE3" w:rsidRPr="00BA72AB" w:rsidRDefault="004E3DE3" w:rsidP="004E3DE3">
      <w:pPr>
        <w:pStyle w:val="afff3"/>
        <w:widowControl/>
        <w:numPr>
          <w:ilvl w:val="0"/>
          <w:numId w:val="231"/>
        </w:numPr>
        <w:autoSpaceDE/>
        <w:autoSpaceDN/>
        <w:adjustRightInd/>
        <w:rPr>
          <w:szCs w:val="24"/>
        </w:rPr>
      </w:pPr>
      <w:r w:rsidRPr="00BA72AB">
        <w:rPr>
          <w:szCs w:val="24"/>
        </w:rPr>
        <w:t xml:space="preserve">агрегация тромбоцитов с АДФ и ристомицином, </w:t>
      </w:r>
    </w:p>
    <w:p w14:paraId="2F84CEB7" w14:textId="77777777" w:rsidR="004E3DE3" w:rsidRPr="00BA72AB" w:rsidRDefault="004E3DE3" w:rsidP="004E3DE3">
      <w:pPr>
        <w:pStyle w:val="afff3"/>
        <w:widowControl/>
        <w:numPr>
          <w:ilvl w:val="0"/>
          <w:numId w:val="231"/>
        </w:numPr>
        <w:autoSpaceDE/>
        <w:autoSpaceDN/>
        <w:adjustRightInd/>
        <w:rPr>
          <w:szCs w:val="24"/>
        </w:rPr>
      </w:pPr>
      <w:r w:rsidRPr="00BA72AB">
        <w:rPr>
          <w:szCs w:val="24"/>
        </w:rPr>
        <w:t xml:space="preserve">коагулограмма – активированное частичное тромбопластиновое время (АЧТВ), протромбин, фибриноген, Д-димер, антитромбин </w:t>
      </w:r>
      <w:r w:rsidRPr="00BA72AB">
        <w:rPr>
          <w:szCs w:val="24"/>
          <w:lang w:val="en-US"/>
        </w:rPr>
        <w:t>III</w:t>
      </w:r>
      <w:r w:rsidRPr="00BA72AB">
        <w:rPr>
          <w:szCs w:val="24"/>
        </w:rPr>
        <w:t xml:space="preserve"> и др.</w:t>
      </w:r>
    </w:p>
    <w:p w14:paraId="14FB06BE" w14:textId="77777777" w:rsidR="004E3DE3" w:rsidRPr="00BA72AB" w:rsidRDefault="004E3DE3" w:rsidP="004E3DE3">
      <w:pPr>
        <w:pStyle w:val="afff3"/>
        <w:widowControl/>
        <w:numPr>
          <w:ilvl w:val="0"/>
          <w:numId w:val="231"/>
        </w:numPr>
        <w:autoSpaceDE/>
        <w:autoSpaceDN/>
        <w:adjustRightInd/>
        <w:rPr>
          <w:szCs w:val="24"/>
        </w:rPr>
      </w:pPr>
      <w:r w:rsidRPr="00BA72AB">
        <w:rPr>
          <w:szCs w:val="24"/>
        </w:rPr>
        <w:t>тромбоэластография (при необходимости).</w:t>
      </w:r>
    </w:p>
    <w:p w14:paraId="7D3E6CB4" w14:textId="77777777" w:rsidR="004E3DE3" w:rsidRPr="00BA72AB" w:rsidRDefault="004E3DE3" w:rsidP="004E3DE3">
      <w:pPr>
        <w:pStyle w:val="afff3"/>
        <w:widowControl/>
        <w:numPr>
          <w:ilvl w:val="0"/>
          <w:numId w:val="231"/>
        </w:numPr>
        <w:autoSpaceDE/>
        <w:autoSpaceDN/>
        <w:adjustRightInd/>
        <w:rPr>
          <w:szCs w:val="24"/>
        </w:rPr>
      </w:pPr>
      <w:r w:rsidRPr="00BA72AB">
        <w:rPr>
          <w:szCs w:val="24"/>
        </w:rPr>
        <w:t xml:space="preserve">маркеры тромбофилии (при тромбозе мозговых синусов): АЧТВ, протромбин, фибриноген, тромбиновое время, XII-а зависимый фибринолиз, протеины С и S, гомоцистеин, агрегация тромбоцитов, Д-димер, волчаночный антикоагулянт, антитела к бета2 гликопротеину 1, антитела к кардиолипину, мутации генов: V фактора Лейден, метилентетрагидрофолат-редуктазы, протромбина.  </w:t>
      </w:r>
    </w:p>
    <w:p w14:paraId="5EDD32BE" w14:textId="77777777" w:rsidR="004E3DE3" w:rsidRDefault="004E3DE3" w:rsidP="004E3DE3">
      <w:pPr>
        <w:ind w:firstLine="709"/>
        <w:rPr>
          <w:bCs/>
          <w:i/>
          <w:iCs/>
          <w:szCs w:val="24"/>
          <w:u w:val="single"/>
        </w:rPr>
      </w:pPr>
    </w:p>
    <w:p w14:paraId="66F09EE1" w14:textId="0FC528B4" w:rsidR="004E3DE3" w:rsidRPr="00212356" w:rsidRDefault="004E3DE3" w:rsidP="004E3DE3">
      <w:pPr>
        <w:ind w:firstLine="709"/>
        <w:rPr>
          <w:bCs/>
          <w:i/>
          <w:iCs/>
          <w:szCs w:val="24"/>
          <w:u w:val="single"/>
        </w:rPr>
      </w:pPr>
      <w:r w:rsidRPr="00212356">
        <w:rPr>
          <w:bCs/>
          <w:i/>
          <w:iCs/>
          <w:szCs w:val="24"/>
          <w:u w:val="single"/>
        </w:rPr>
        <w:t>Лечение</w:t>
      </w:r>
      <w:r>
        <w:rPr>
          <w:bCs/>
          <w:i/>
          <w:iCs/>
          <w:szCs w:val="24"/>
          <w:u w:val="single"/>
        </w:rPr>
        <w:t xml:space="preserve"> </w:t>
      </w:r>
      <w:r>
        <w:rPr>
          <w:bCs/>
          <w:i/>
          <w:iCs/>
          <w:szCs w:val="24"/>
          <w:u w:val="single"/>
        </w:rPr>
        <w:fldChar w:fldCharType="begin" w:fldLock="1"/>
      </w:r>
      <w:r w:rsidR="00A67ED2">
        <w:rPr>
          <w:bCs/>
          <w:i/>
          <w:iCs/>
          <w:szCs w:val="24"/>
          <w:u w:val="single"/>
        </w:rPr>
        <w:instrText>ADDIN CSL_CITATION {"citationItems":[{"id":"ITEM-1","itemData":{"author":[{"dropping-particle":"","family":"Мамонов","given":"В.Е.","non-dropping-particle":"","parse-names":false,"suffix":""}],"container-title":"Гематология и трансфузиология","id":"ITEM-1","issue":"S1","issued":{"date-parts":[["2020"]]},"page":"174-175","title":"Неотложная нейрохирургия внутричерепных кровоизлияний у пациентов гематологического стационара","type":"article-journal","volume":"65"},"uris":["http://www.mendeley.com/documents/?uuid=e8b83040-80c7-4e36-8d57-5e123af5e4a6"]}],"mendeley":{"formattedCitation":"[114]","plainTextFormattedCitation":"[114]","previouslyFormattedCitation":"[1]"},"properties":{"noteIndex":0},"schema":"https://github.com/citation-style-language/schema/raw/master/csl-citation.json"}</w:instrText>
      </w:r>
      <w:r>
        <w:rPr>
          <w:bCs/>
          <w:i/>
          <w:iCs/>
          <w:szCs w:val="24"/>
          <w:u w:val="single"/>
        </w:rPr>
        <w:fldChar w:fldCharType="separate"/>
      </w:r>
      <w:r w:rsidR="00A67ED2" w:rsidRPr="00A67ED2">
        <w:rPr>
          <w:bCs/>
          <w:iCs/>
          <w:noProof/>
          <w:szCs w:val="24"/>
        </w:rPr>
        <w:t>[114]</w:t>
      </w:r>
      <w:r>
        <w:rPr>
          <w:bCs/>
          <w:i/>
          <w:iCs/>
          <w:szCs w:val="24"/>
          <w:u w:val="single"/>
        </w:rPr>
        <w:fldChar w:fldCharType="end"/>
      </w:r>
    </w:p>
    <w:p w14:paraId="380C013E" w14:textId="2706775A" w:rsidR="004E3DE3" w:rsidRPr="00BA72AB" w:rsidRDefault="004E3DE3" w:rsidP="004E3DE3">
      <w:pPr>
        <w:pStyle w:val="afff3"/>
        <w:ind w:left="0" w:firstLine="720"/>
        <w:rPr>
          <w:szCs w:val="24"/>
        </w:rPr>
      </w:pPr>
      <w:r w:rsidRPr="00BA72AB">
        <w:rPr>
          <w:szCs w:val="24"/>
        </w:rPr>
        <w:t xml:space="preserve">Цель лечения ВЧК </w:t>
      </w:r>
      <w:r w:rsidR="00941AF9" w:rsidRPr="008B0B9C">
        <w:rPr>
          <w:szCs w:val="24"/>
        </w:rPr>
        <w:t>в период противоопухолевого лечения лейкоза</w:t>
      </w:r>
      <w:r w:rsidR="00941AF9">
        <w:rPr>
          <w:color w:val="FF0000"/>
          <w:szCs w:val="24"/>
        </w:rPr>
        <w:t xml:space="preserve"> </w:t>
      </w:r>
      <w:r w:rsidRPr="00BA72AB">
        <w:rPr>
          <w:szCs w:val="24"/>
        </w:rPr>
        <w:t xml:space="preserve">заключается в достижении эффективного гемостаза для остановки кровотечения и борьба с гипертензионно-дислокационным синдромом. В случаях небольших по объёму ВЧК, не угрожающих жизни пациента, при достижении эффективного гемостаза санагенез </w:t>
      </w:r>
      <w:r w:rsidRPr="00BA72AB">
        <w:rPr>
          <w:szCs w:val="24"/>
        </w:rPr>
        <w:lastRenderedPageBreak/>
        <w:t xml:space="preserve">гематомы происходит в течение 2-3 недель. Нейрохирургическое вмешательство в данной ситуации не требуется. </w:t>
      </w:r>
    </w:p>
    <w:p w14:paraId="3F9889C1" w14:textId="77777777" w:rsidR="004E3DE3" w:rsidRPr="00BA72AB" w:rsidRDefault="004E3DE3" w:rsidP="004E3DE3">
      <w:pPr>
        <w:pStyle w:val="afff3"/>
        <w:ind w:left="0" w:firstLine="720"/>
        <w:rPr>
          <w:szCs w:val="24"/>
        </w:rPr>
      </w:pPr>
      <w:r w:rsidRPr="00BA72AB">
        <w:rPr>
          <w:szCs w:val="24"/>
        </w:rPr>
        <w:t xml:space="preserve">При выявлении ВЧК пациент переводится в реанимационное отделение, где проводится экстренная диагностика состояния гемостаза, и проводится коррекция тромбоцитопении и гипокоагуляции. Пациентам с дефицитом факторов свертывания препараты факторов </w:t>
      </w:r>
      <w:r w:rsidRPr="00BA72AB">
        <w:rPr>
          <w:szCs w:val="24"/>
          <w:lang w:val="en-US"/>
        </w:rPr>
        <w:t>VIII</w:t>
      </w:r>
      <w:r w:rsidRPr="00BA72AB">
        <w:rPr>
          <w:szCs w:val="24"/>
        </w:rPr>
        <w:t xml:space="preserve">, </w:t>
      </w:r>
      <w:r w:rsidRPr="00BA72AB">
        <w:rPr>
          <w:szCs w:val="24"/>
          <w:lang w:val="en-US"/>
        </w:rPr>
        <w:t>IX</w:t>
      </w:r>
      <w:r w:rsidRPr="00BA72AB">
        <w:rPr>
          <w:szCs w:val="24"/>
        </w:rPr>
        <w:t xml:space="preserve">, рекомбинантного активированного фактора </w:t>
      </w:r>
      <w:r w:rsidRPr="00BA72AB">
        <w:rPr>
          <w:szCs w:val="24"/>
          <w:lang w:val="en-US"/>
        </w:rPr>
        <w:t>VII</w:t>
      </w:r>
      <w:r w:rsidRPr="00BA72AB">
        <w:rPr>
          <w:szCs w:val="24"/>
        </w:rPr>
        <w:t xml:space="preserve"> или препарат активированного протромбинового комплекса (при наличии ингибитора) вводятся в рекомендуемых дозах при подозрении на ВЧК ещё до направления на КТ головного мозга.</w:t>
      </w:r>
    </w:p>
    <w:p w14:paraId="59E98FF9" w14:textId="77777777" w:rsidR="004E3DE3" w:rsidRPr="00BA72AB" w:rsidRDefault="004E3DE3" w:rsidP="004E3DE3">
      <w:pPr>
        <w:pStyle w:val="afff3"/>
        <w:ind w:left="0" w:firstLine="720"/>
        <w:rPr>
          <w:szCs w:val="24"/>
        </w:rPr>
      </w:pPr>
      <w:r w:rsidRPr="00BA72AB">
        <w:rPr>
          <w:szCs w:val="24"/>
        </w:rPr>
        <w:t>После достижения эффективного гемостаза мультидисциплинарной командой (гематолог, нейрохирург, реаниматолог) решается вопрос о возможности и целесообразности выполнения нейрохирургического вмешательства. Цель нейрохирургической операции – борьба с гипертензионно-дислокационным синдромом. Операция выполняется по жизненным показаниям. При оказании ургентной нейрохирургической помощи гематологическим пациентам принципиальным является фактор времени. Оптимальным является выполнение трепанации черепа не позднее 4-х часов с момента диагностики ВЧК. Нужно учитывать, что у гематологических пациентов редко удаётся добиться идеального гемостаза и редко удаётся выявить непосредственный источник кровотечения. Необходимо, как правило, использовать дополнительные местные гемостатические материалы – Тахокомб, Серджисел. Операция заканчивается дренированием полости гематомы тонким дренажем с пассивной аспирацией.</w:t>
      </w:r>
    </w:p>
    <w:p w14:paraId="70451BA5" w14:textId="77777777" w:rsidR="004E3DE3" w:rsidRPr="00BA72AB" w:rsidRDefault="004E3DE3" w:rsidP="004E3DE3">
      <w:pPr>
        <w:pStyle w:val="afff3"/>
        <w:ind w:left="0" w:firstLine="720"/>
        <w:rPr>
          <w:szCs w:val="24"/>
        </w:rPr>
      </w:pPr>
      <w:r w:rsidRPr="00BA72AB">
        <w:rPr>
          <w:szCs w:val="24"/>
        </w:rPr>
        <w:t>При острых субдуральных и эпидуральных гематомах, при развитии у пациента гипертензионно-дислокационного синдрома и смещения срединных структур головного мозга более 9 мм выполняется костно-пластическая краниотомия, удаление и дренирование гематомы головного мозга. При выявлении на операции признаков отёка / набухания вещества головного мозга объём вмешательства расширяется до декомпрессивной трепанации с пластикой твердой мозговой оболочки.</w:t>
      </w:r>
    </w:p>
    <w:p w14:paraId="26428121" w14:textId="77777777" w:rsidR="004E3DE3" w:rsidRPr="00BA72AB" w:rsidRDefault="004E3DE3" w:rsidP="004E3DE3">
      <w:pPr>
        <w:pStyle w:val="afff3"/>
        <w:ind w:left="0" w:firstLine="720"/>
        <w:rPr>
          <w:szCs w:val="24"/>
        </w:rPr>
      </w:pPr>
      <w:r w:rsidRPr="00BA72AB">
        <w:rPr>
          <w:szCs w:val="24"/>
        </w:rPr>
        <w:t xml:space="preserve">Субарахноидальные кровоизлияния (САК) у гематологических пациентов, как правило, требуют консервативного лечения, либо эндоваскулярной диагностики и эндоваскулярного нейрохирургического лечения. Показания к эндоваскулярному вмешательству также определяются коллегиально специалистами: нейрохирург, ангиохирург, реаниматолог, гематолог. </w:t>
      </w:r>
    </w:p>
    <w:p w14:paraId="60608FF3" w14:textId="77777777" w:rsidR="004E3DE3" w:rsidRPr="00BA72AB" w:rsidRDefault="004E3DE3" w:rsidP="004E3DE3">
      <w:pPr>
        <w:pStyle w:val="afff3"/>
        <w:ind w:left="0" w:firstLine="720"/>
        <w:rPr>
          <w:szCs w:val="24"/>
        </w:rPr>
      </w:pPr>
      <w:r w:rsidRPr="00BA72AB">
        <w:rPr>
          <w:szCs w:val="24"/>
        </w:rPr>
        <w:t xml:space="preserve">Внутримозговые гематомы и внутрижелудочковые кровоизлияния у гематологических пациентов требуют нейрохирургического вмешательства только по жизненным показаниям, так как любая дополнительная травма вещества головного мозга </w:t>
      </w:r>
      <w:r w:rsidRPr="00BA72AB">
        <w:rPr>
          <w:szCs w:val="24"/>
        </w:rPr>
        <w:lastRenderedPageBreak/>
        <w:t>при удалении внутримозговых гематом усугубляет неврологических дефицит, и кроме того, у гематологических пациентов имеется высокий риск рецидива гематомы. При нетипичных локализациях спонтанных внутримозговых гематом требуется исключить тромбоз венозных синусов. При подтверждении тромбоза целесообразно выполнить эндоваскулярное вмешательство с целью восстановления кровотока (локальный эндоваскулярный трансвенозный тромболизис, эндоваскулярная тромбэктомия аспирационная). В случае принятия решения об открытом оперативном вмешательстве выполняется декомпрессивная краниотомия, удаление и дренирование внутримозговой гематомы. При кровоизлиянии в желудочки головного мозга у гематологических пациентов выполнение только вентрикулостомии неэффективно.</w:t>
      </w:r>
    </w:p>
    <w:p w14:paraId="737F499F" w14:textId="77777777" w:rsidR="004E3DE3" w:rsidRPr="00BA72AB" w:rsidRDefault="004E3DE3" w:rsidP="004E3DE3">
      <w:pPr>
        <w:pStyle w:val="afff3"/>
        <w:ind w:left="0" w:firstLine="720"/>
        <w:rPr>
          <w:szCs w:val="24"/>
        </w:rPr>
      </w:pPr>
      <w:r w:rsidRPr="00BA72AB">
        <w:rPr>
          <w:szCs w:val="24"/>
        </w:rPr>
        <w:t>Хронические субдуральные гематомы (ХСДГ) требуют нейрохирургического лечения в плановом порядке при наличии клинических проявлений. Свою эффективность у гематологических пациентов показал подход, заключающийся в выполнении закрытого дренирования ХСДГ.</w:t>
      </w:r>
    </w:p>
    <w:p w14:paraId="75384BA0" w14:textId="77777777" w:rsidR="004E3DE3" w:rsidRDefault="004E3DE3" w:rsidP="004E3DE3">
      <w:pPr>
        <w:pStyle w:val="afff3"/>
        <w:ind w:left="0" w:firstLine="720"/>
        <w:rPr>
          <w:szCs w:val="24"/>
        </w:rPr>
      </w:pPr>
      <w:r w:rsidRPr="00BA72AB">
        <w:rPr>
          <w:szCs w:val="24"/>
        </w:rPr>
        <w:t xml:space="preserve">По клиническим показаниям производится гемотрансфузионная терапия: трансфузии тромбоконцентрата, свежезамороженной плазмы, криопреципитата, эритроцитсодержащих компонентов крови. При тромбозах венозных синусов подбор антикоагулянтной терапии производится индивидуально с учетом лабораторных данных и факторов риска кровотечения. Исход нейрохирургических вмешательств при ВЧК зависит </w:t>
      </w:r>
    </w:p>
    <w:p w14:paraId="0BBA2480" w14:textId="77777777" w:rsidR="004E3DE3" w:rsidRDefault="004E3DE3" w:rsidP="004E3DE3">
      <w:pPr>
        <w:rPr>
          <w:szCs w:val="24"/>
        </w:rPr>
      </w:pPr>
      <w:r w:rsidRPr="0005409C">
        <w:rPr>
          <w:szCs w:val="24"/>
        </w:rPr>
        <w:t>от комплекса факторов (таб.1)</w:t>
      </w:r>
    </w:p>
    <w:p w14:paraId="1C33CE51" w14:textId="77777777" w:rsidR="001647AE" w:rsidRDefault="001647AE" w:rsidP="004E3DE3">
      <w:pPr>
        <w:rPr>
          <w:szCs w:val="24"/>
        </w:rPr>
      </w:pPr>
    </w:p>
    <w:p w14:paraId="30967618" w14:textId="77777777" w:rsidR="004E3DE3" w:rsidRPr="00BA72AB" w:rsidRDefault="004E3DE3" w:rsidP="004E3DE3">
      <w:pPr>
        <w:rPr>
          <w:szCs w:val="24"/>
        </w:rPr>
      </w:pPr>
      <w:r w:rsidRPr="0005409C">
        <w:rPr>
          <w:szCs w:val="24"/>
        </w:rPr>
        <w:t>Таблица 1. Прогностические факторы исхода нейрохирургических вмешательств при ВЧК</w:t>
      </w:r>
      <w:r w:rsidRPr="00BA72AB">
        <w:rPr>
          <w:szCs w:val="24"/>
        </w:rPr>
        <w:t xml:space="preserve"> у гематологических пациентов.</w:t>
      </w:r>
    </w:p>
    <w:tbl>
      <w:tblPr>
        <w:tblStyle w:val="ae"/>
        <w:tblW w:w="0" w:type="auto"/>
        <w:tblLook w:val="04A0" w:firstRow="1" w:lastRow="0" w:firstColumn="1" w:lastColumn="0" w:noHBand="0" w:noVBand="1"/>
      </w:tblPr>
      <w:tblGrid>
        <w:gridCol w:w="4672"/>
        <w:gridCol w:w="4673"/>
      </w:tblGrid>
      <w:tr w:rsidR="004E3DE3" w:rsidRPr="00BA72AB" w14:paraId="2D88E726" w14:textId="77777777" w:rsidTr="00CD5E09">
        <w:tc>
          <w:tcPr>
            <w:tcW w:w="4672" w:type="dxa"/>
          </w:tcPr>
          <w:p w14:paraId="173D4BC4" w14:textId="77777777" w:rsidR="004E3DE3" w:rsidRPr="00BA72AB" w:rsidRDefault="004E3DE3" w:rsidP="00CD5E09">
            <w:pPr>
              <w:jc w:val="center"/>
              <w:rPr>
                <w:szCs w:val="24"/>
              </w:rPr>
            </w:pPr>
            <w:r w:rsidRPr="00BA72AB">
              <w:rPr>
                <w:szCs w:val="24"/>
              </w:rPr>
              <w:t>Благоприятные факторы</w:t>
            </w:r>
          </w:p>
        </w:tc>
        <w:tc>
          <w:tcPr>
            <w:tcW w:w="4673" w:type="dxa"/>
          </w:tcPr>
          <w:p w14:paraId="259057E6" w14:textId="77777777" w:rsidR="004E3DE3" w:rsidRPr="00BA72AB" w:rsidRDefault="004E3DE3" w:rsidP="00CD5E09">
            <w:pPr>
              <w:jc w:val="center"/>
              <w:rPr>
                <w:szCs w:val="24"/>
              </w:rPr>
            </w:pPr>
            <w:r w:rsidRPr="00BA72AB">
              <w:rPr>
                <w:szCs w:val="24"/>
              </w:rPr>
              <w:t>Неблагоприятные факторы</w:t>
            </w:r>
          </w:p>
        </w:tc>
      </w:tr>
      <w:tr w:rsidR="004E3DE3" w:rsidRPr="00BA72AB" w14:paraId="7F0B5689" w14:textId="77777777" w:rsidTr="00CD5E09">
        <w:tc>
          <w:tcPr>
            <w:tcW w:w="4672" w:type="dxa"/>
          </w:tcPr>
          <w:p w14:paraId="7818796A" w14:textId="77777777" w:rsidR="004E3DE3" w:rsidRPr="00BA72AB" w:rsidRDefault="004E3DE3" w:rsidP="004E3DE3">
            <w:pPr>
              <w:widowControl/>
              <w:numPr>
                <w:ilvl w:val="0"/>
                <w:numId w:val="229"/>
              </w:numPr>
              <w:autoSpaceDE/>
              <w:autoSpaceDN/>
              <w:adjustRightInd/>
              <w:rPr>
                <w:szCs w:val="24"/>
              </w:rPr>
            </w:pPr>
            <w:r w:rsidRPr="00BA72AB">
              <w:rPr>
                <w:szCs w:val="24"/>
              </w:rPr>
              <w:t>оболочечные гематомы</w:t>
            </w:r>
          </w:p>
          <w:p w14:paraId="5DF6C4D4" w14:textId="77777777" w:rsidR="004E3DE3" w:rsidRPr="00BA72AB" w:rsidRDefault="004E3DE3" w:rsidP="004E3DE3">
            <w:pPr>
              <w:widowControl/>
              <w:numPr>
                <w:ilvl w:val="0"/>
                <w:numId w:val="229"/>
              </w:numPr>
              <w:autoSpaceDE/>
              <w:autoSpaceDN/>
              <w:adjustRightInd/>
              <w:rPr>
                <w:szCs w:val="24"/>
              </w:rPr>
            </w:pPr>
            <w:r w:rsidRPr="00BA72AB">
              <w:rPr>
                <w:szCs w:val="24"/>
              </w:rPr>
              <w:t>диагностика в течение первых 4 часов</w:t>
            </w:r>
          </w:p>
          <w:p w14:paraId="5EE9D374" w14:textId="77777777" w:rsidR="004E3DE3" w:rsidRPr="00BA72AB" w:rsidRDefault="004E3DE3" w:rsidP="004E3DE3">
            <w:pPr>
              <w:widowControl/>
              <w:numPr>
                <w:ilvl w:val="0"/>
                <w:numId w:val="229"/>
              </w:numPr>
              <w:autoSpaceDE/>
              <w:autoSpaceDN/>
              <w:adjustRightInd/>
              <w:rPr>
                <w:szCs w:val="24"/>
              </w:rPr>
            </w:pPr>
            <w:r w:rsidRPr="00BA72AB">
              <w:rPr>
                <w:szCs w:val="24"/>
              </w:rPr>
              <w:t>контролируемые нарушения гемостаза</w:t>
            </w:r>
          </w:p>
          <w:p w14:paraId="4B61EC32" w14:textId="77777777" w:rsidR="004E3DE3" w:rsidRPr="00BA72AB" w:rsidRDefault="004E3DE3" w:rsidP="004E3DE3">
            <w:pPr>
              <w:widowControl/>
              <w:numPr>
                <w:ilvl w:val="0"/>
                <w:numId w:val="229"/>
              </w:numPr>
              <w:autoSpaceDE/>
              <w:autoSpaceDN/>
              <w:adjustRightInd/>
              <w:rPr>
                <w:szCs w:val="24"/>
              </w:rPr>
            </w:pPr>
            <w:r w:rsidRPr="00BA72AB">
              <w:rPr>
                <w:szCs w:val="24"/>
              </w:rPr>
              <w:t>супратенториальная локализация</w:t>
            </w:r>
          </w:p>
          <w:p w14:paraId="06AF18F4" w14:textId="77777777" w:rsidR="004E3DE3" w:rsidRPr="00BA72AB" w:rsidRDefault="004E3DE3" w:rsidP="004E3DE3">
            <w:pPr>
              <w:widowControl/>
              <w:numPr>
                <w:ilvl w:val="0"/>
                <w:numId w:val="229"/>
              </w:numPr>
              <w:autoSpaceDE/>
              <w:autoSpaceDN/>
              <w:adjustRightInd/>
              <w:rPr>
                <w:szCs w:val="24"/>
              </w:rPr>
            </w:pPr>
            <w:r w:rsidRPr="00BA72AB">
              <w:rPr>
                <w:szCs w:val="24"/>
              </w:rPr>
              <w:t>уровень сознания – более 8 баллов ШКГ</w:t>
            </w:r>
          </w:p>
        </w:tc>
        <w:tc>
          <w:tcPr>
            <w:tcW w:w="4673" w:type="dxa"/>
          </w:tcPr>
          <w:p w14:paraId="065CF381" w14:textId="77777777" w:rsidR="004E3DE3" w:rsidRPr="00BA72AB" w:rsidRDefault="004E3DE3" w:rsidP="004E3DE3">
            <w:pPr>
              <w:widowControl/>
              <w:numPr>
                <w:ilvl w:val="0"/>
                <w:numId w:val="230"/>
              </w:numPr>
              <w:autoSpaceDE/>
              <w:autoSpaceDN/>
              <w:adjustRightInd/>
              <w:rPr>
                <w:szCs w:val="24"/>
              </w:rPr>
            </w:pPr>
            <w:r w:rsidRPr="00BA72AB">
              <w:rPr>
                <w:szCs w:val="24"/>
              </w:rPr>
              <w:t>внутримозговые, внутрижелудочковые и сочетанные гематомы</w:t>
            </w:r>
          </w:p>
          <w:p w14:paraId="36F64B72" w14:textId="77777777" w:rsidR="004E3DE3" w:rsidRPr="00BA72AB" w:rsidRDefault="004E3DE3" w:rsidP="004E3DE3">
            <w:pPr>
              <w:widowControl/>
              <w:numPr>
                <w:ilvl w:val="0"/>
                <w:numId w:val="230"/>
              </w:numPr>
              <w:autoSpaceDE/>
              <w:autoSpaceDN/>
              <w:adjustRightInd/>
              <w:rPr>
                <w:szCs w:val="24"/>
              </w:rPr>
            </w:pPr>
            <w:r w:rsidRPr="00BA72AB">
              <w:rPr>
                <w:szCs w:val="24"/>
              </w:rPr>
              <w:t>поздняя диагностика</w:t>
            </w:r>
          </w:p>
          <w:p w14:paraId="21B91501" w14:textId="77777777" w:rsidR="004E3DE3" w:rsidRPr="00BA72AB" w:rsidRDefault="004E3DE3" w:rsidP="004E3DE3">
            <w:pPr>
              <w:widowControl/>
              <w:numPr>
                <w:ilvl w:val="0"/>
                <w:numId w:val="230"/>
              </w:numPr>
              <w:autoSpaceDE/>
              <w:autoSpaceDN/>
              <w:adjustRightInd/>
              <w:rPr>
                <w:szCs w:val="24"/>
              </w:rPr>
            </w:pPr>
            <w:r w:rsidRPr="00BA72AB">
              <w:rPr>
                <w:szCs w:val="24"/>
              </w:rPr>
              <w:t>неконтролируемые нарушения гемостаза</w:t>
            </w:r>
          </w:p>
          <w:p w14:paraId="546790DE" w14:textId="77777777" w:rsidR="004E3DE3" w:rsidRPr="00BA72AB" w:rsidRDefault="004E3DE3" w:rsidP="004E3DE3">
            <w:pPr>
              <w:widowControl/>
              <w:numPr>
                <w:ilvl w:val="0"/>
                <w:numId w:val="230"/>
              </w:numPr>
              <w:autoSpaceDE/>
              <w:autoSpaceDN/>
              <w:adjustRightInd/>
              <w:rPr>
                <w:szCs w:val="24"/>
              </w:rPr>
            </w:pPr>
            <w:r w:rsidRPr="00BA72AB">
              <w:rPr>
                <w:szCs w:val="24"/>
              </w:rPr>
              <w:t>субтенториальная локализация</w:t>
            </w:r>
          </w:p>
          <w:p w14:paraId="242D75C2" w14:textId="77777777" w:rsidR="004E3DE3" w:rsidRPr="00BA72AB" w:rsidRDefault="004E3DE3" w:rsidP="004E3DE3">
            <w:pPr>
              <w:widowControl/>
              <w:numPr>
                <w:ilvl w:val="0"/>
                <w:numId w:val="230"/>
              </w:numPr>
              <w:autoSpaceDE/>
              <w:autoSpaceDN/>
              <w:adjustRightInd/>
              <w:rPr>
                <w:szCs w:val="24"/>
              </w:rPr>
            </w:pPr>
            <w:r w:rsidRPr="00BA72AB">
              <w:rPr>
                <w:szCs w:val="24"/>
              </w:rPr>
              <w:t>глубокое угнетение сознания менее 8 баллов ШКГ</w:t>
            </w:r>
          </w:p>
        </w:tc>
      </w:tr>
    </w:tbl>
    <w:p w14:paraId="7103B569" w14:textId="77777777" w:rsidR="004E3DE3" w:rsidRDefault="004E3DE3" w:rsidP="004E3DE3">
      <w:pPr>
        <w:pStyle w:val="afff3"/>
        <w:rPr>
          <w:b/>
          <w:szCs w:val="24"/>
        </w:rPr>
      </w:pPr>
    </w:p>
    <w:p w14:paraId="50923627" w14:textId="3C1FCEDF" w:rsidR="00AF6F6C" w:rsidRPr="00CC254E" w:rsidRDefault="00420B8A" w:rsidP="00AF6F6C">
      <w:pPr>
        <w:pStyle w:val="2"/>
      </w:pPr>
      <w:bookmarkStart w:id="178" w:name="_Toc64624789"/>
      <w:r>
        <w:lastRenderedPageBreak/>
        <w:t>7.5</w:t>
      </w:r>
      <w:r w:rsidR="00AF6F6C">
        <w:t xml:space="preserve"> </w:t>
      </w:r>
      <w:bookmarkStart w:id="179" w:name="_Toc64295957"/>
      <w:bookmarkStart w:id="180" w:name="_Toc64479345"/>
      <w:r w:rsidR="00AF6F6C">
        <w:t>Профилактика, диагностика и лечение тромботических осложнений</w:t>
      </w:r>
      <w:bookmarkEnd w:id="178"/>
      <w:bookmarkEnd w:id="179"/>
      <w:bookmarkEnd w:id="180"/>
    </w:p>
    <w:p w14:paraId="14346930" w14:textId="77777777" w:rsidR="00AF6F6C" w:rsidRDefault="00AF6F6C" w:rsidP="00AF6F6C"/>
    <w:p w14:paraId="39B402F2" w14:textId="77777777" w:rsidR="00AF6F6C" w:rsidRDefault="00AF6F6C" w:rsidP="00AF6F6C">
      <w:pPr>
        <w:ind w:firstLine="709"/>
      </w:pPr>
      <w:r>
        <w:t xml:space="preserve">При </w:t>
      </w:r>
      <w:r w:rsidRPr="008B0B9C">
        <w:t>лейкозах</w:t>
      </w:r>
      <w:r>
        <w:t>, как первично, так и в процессе их химиотерапевтического и иного лечения часто возникают тромботические осложнения, требующие профилактики и терапии. Частота тромботических нарушений при опухолях системы крови различна, проведение химиотерапии увеличивает частоту тромботических осложнений практически в 2 раза с 2.21% до 4.24% относительно исходного уровня</w:t>
      </w:r>
      <w:r w:rsidRPr="002470CB">
        <w:t xml:space="preserve"> </w:t>
      </w:r>
      <w:r>
        <w:fldChar w:fldCharType="begin" w:fldLock="1"/>
      </w:r>
      <w:r>
        <w:instrText>ADDIN CSL_CITATION {"citationItems":[{"id":"ITEM-1","itemData":{"DOI":"10.1016/j.critrevonc.2018.02.003","ISSN":"18790461","PMID":"29548485","abstract":"Venous Thromboembolism (VTE) frequently complicates the course of hematologic malignancies (HM) and its incidence is similar to that observed in high-risk solid tumors. Despite that, pharmacologic prophylaxis and treatment of VTE in patients with HM is challenging, mainly because a severe thrombocytopenia frequently complicates the course of treatments or may be present since diagnosis, thus increasing the risk of bleeding. Therefore, in this setting, safe and effective methods of VTE prophylaxis and treatment have not been well defined and hematologists generally refer to guidelines produced for cancer patients that give indications on anticoagulation in patients with thrombocytopenia. In this review, besides to summarize the incidence and the available data on prophylaxis and treatment of VTE in HM, we give some advices on how to use antithrombotic drugs in patients with HM according to platelets count.","author":[{"dropping-particle":"","family":"Annibali","given":"Ombretta","non-dropping-particle":"","parse-names":false,"suffix":""},{"dropping-particle":"","family":"Napolitano","given":"Mariasanta","non-dropping-particle":"","parse-names":false,"suffix":""},{"dropping-particle":"","family":"Avvisati","given":"Giuseppe","non-dropping-particle":"","parse-names":false,"suffix":""},{"dropping-particle":"","family":"Siragusa","given":"Sergio","non-dropping-particle":"","parse-names":false,"suffix":""}],"container-title":"Critical Reviews in Oncology/Hematology","id":"ITEM-1","issued":{"date-parts":[["2018","4","1"]]},"page":"41-50","publisher":"Elsevier Ireland Ltd","title":"Incidence of venous thromboembolism and use of anticoagulation in hematological malignancies: Critical review of the literature","type":"article","volume":"124"},"uris":["http://www.mendeley.com/documents/?uuid=22f80e37-ad15-39e0-a4bd-123ad1adb983"]},{"id":"ITEM-2","itemData":{"DOI":"10.1097/CCO.0b013e3283592331","ISSN":"10408746","PMID":"23014188","abstract":"Purpose of Review: This review summarizes the current knowledge of the epidemiology, prophylaxis, and treatment of venous thromboembolism (VTE) in patients with lymphoma, multiple myeloma or acute leukemia. Recent Findings: Hematologic malignancies are associated with a high risk of thrombotic complications. The incidence of these events is greatly variable and is influenced by many factors, including the type and the stage of disease, antitumor therapies, and the use of central venous device (CVD). Epidemiological data allow an estimate of the incidence of VTE in acute leukemia, lymphomas, and multiple myeloma. The effect of chemotherapy on the incidence of thrombosis is particularly evident in acute leukemia as it causes the exacerbation of the clotting/bleeding syndrome typical of this disease. The role of chemotherapy is also relevant in lymphoma, and in multiple myeloma, in which the use of immunomodulating agents, in combination with chemotherapy and steroids significantly increases the risk of VTE. Summary: Thrombotic complications have a significant impact on morbidity and mortality of hematological cancer patients, therefore, in this setting, the issue of thromboprophylaxis to prevent VTE is important. However, no clear recommendation in these conditions is available, with the exception of multiple myeloma. Large prospective randomized clinical trials are needed to establish the best practice for prevention and treatment of VTE in these types of malignant diseases. © 2012 Wolters Kluwer Health | Lippincott Williams &amp; Wilkins.","author":[{"dropping-particle":"","family":"Falanga","given":"Anna","non-dropping-particle":"","parse-names":false,"suffix":""},{"dropping-particle":"","family":"Marchetti","given":"Marina","non-dropping-particle":"","parse-names":false,"suffix":""},{"dropping-particle":"","family":"Russo","given":"Laura","non-dropping-particle":"","parse-names":false,"suffix":""}],"container-title":"Current Opinion in Oncology","id":"ITEM-2","issue":"6","issued":{"date-parts":[["2012","11"]]},"page":"702-710","publisher":"Curr Opin Oncol","title":"Venous thromboembolism in the hematologic malignancies","type":"article","volume":"24"},"uris":["http://www.mendeley.com/documents/?uuid=59d797ff-66d3-3605-b564-548d92885ee6"]}],"mendeley":{"formattedCitation":"[108,109]","plainTextFormattedCitation":"[108,109]","previouslyFormattedCitation":"[108,109]"},"properties":{"noteIndex":0},"schema":"https://github.com/citation-style-language/schema/raw/master/csl-citation.json"}</w:instrText>
      </w:r>
      <w:r>
        <w:fldChar w:fldCharType="separate"/>
      </w:r>
      <w:r>
        <w:rPr>
          <w:noProof/>
        </w:rPr>
        <w:t>[109,110</w:t>
      </w:r>
      <w:r w:rsidRPr="008A5D58">
        <w:rPr>
          <w:noProof/>
        </w:rPr>
        <w:t>]</w:t>
      </w:r>
      <w:r>
        <w:fldChar w:fldCharType="end"/>
      </w:r>
      <w:r>
        <w:t xml:space="preserve">. </w:t>
      </w:r>
    </w:p>
    <w:p w14:paraId="49E1D3B5" w14:textId="77777777" w:rsidR="00AF6F6C" w:rsidRDefault="00AF6F6C" w:rsidP="00AF6F6C">
      <w:pPr>
        <w:ind w:firstLine="708"/>
      </w:pPr>
      <w:r>
        <w:t>Диагностика и лечение тромботических осложнений, закономерно возникающих у пацентов с лейкозами, осуществляется непосредственно в период проведения противоопухолевого химиотерапевтического лечения лейкоза.</w:t>
      </w:r>
    </w:p>
    <w:p w14:paraId="77839FC4" w14:textId="77777777" w:rsidR="00AF6F6C" w:rsidRDefault="00AF6F6C" w:rsidP="00AF6F6C">
      <w:pPr>
        <w:ind w:firstLine="709"/>
      </w:pPr>
    </w:p>
    <w:p w14:paraId="0F951A51" w14:textId="77777777" w:rsidR="00AF6F6C" w:rsidRDefault="00AF6F6C" w:rsidP="00AF6F6C">
      <w:pPr>
        <w:ind w:firstLine="709"/>
      </w:pPr>
      <w:r>
        <w:t xml:space="preserve">Причинами тромбозов у пациентов </w:t>
      </w:r>
      <w:r w:rsidRPr="008B0B9C">
        <w:t xml:space="preserve">с лейкозами </w:t>
      </w:r>
      <w:r>
        <w:t xml:space="preserve">могут быть </w:t>
      </w:r>
      <w:r>
        <w:fldChar w:fldCharType="begin" w:fldLock="1"/>
      </w:r>
      <w:r>
        <w:instrText>ADDIN CSL_CITATION {"citationItems":[{"id":"ITEM-1","itemData":{"author":[{"dropping-particle":"","family":"Воробьев","given":"А.И.","non-dropping-particle":"","parse-names":false,"suffix":""},{"dropping-particle":"","family":"Васильев","given":"С.А.","non-dropping-particle":"","parse-names":false,"suffix":""},{"dropping-particle":"","family":"Городецкий","given":"В.М.","non-dropping-particle":"","parse-names":false,"suffix":""},{"dropping-particle":"","family":"Шевелев","given":"А.А.","non-dropping-particle":"","parse-names":false,"suffix":""},{"dropping-particle":"","family":"Горгидзе","given":"Л.А.","non-dropping-particle":"","parse-names":false,"suffix":""},{"dropping-particle":"","family":"Кременецкая","given":"О.С.","non-dropping-particle":"","parse-names":false,"suffix":""},{"dropping-particle":"","family":"Шкловский-Корди","given":"Н.Е.","non-dropping-particle":"","parse-names":false,"suffix":""}],"container-title":"Гематология и трансфузиология","id":"ITEM-1","issue":"3","issued":{"date-parts":[["2016"]]},"page":"116-122","title":"Гиперкоагуляционный синдром: классификация, патогенез, диагностика, терапия","type":"article-journal","volume":"61"},"uris":["http://www.mendeley.com/documents/?uuid=9198cd60-8a8e-46bc-9cfc-b0a20a2d96ea"]}],"mendeley":{"formattedCitation":"[110]","plainTextFormattedCitation":"[110]","previouslyFormattedCitation":"[110]"},"properties":{"noteIndex":0},"schema":"https://github.com/citation-style-language/schema/raw/master/csl-citation.json"}</w:instrText>
      </w:r>
      <w:r>
        <w:fldChar w:fldCharType="separate"/>
      </w:r>
      <w:r>
        <w:rPr>
          <w:noProof/>
        </w:rPr>
        <w:t>[111</w:t>
      </w:r>
      <w:r w:rsidRPr="008A5D58">
        <w:rPr>
          <w:noProof/>
        </w:rPr>
        <w:t>]</w:t>
      </w:r>
      <w:r>
        <w:fldChar w:fldCharType="end"/>
      </w:r>
      <w:r>
        <w:t>:</w:t>
      </w:r>
    </w:p>
    <w:p w14:paraId="661F4F7E" w14:textId="77777777" w:rsidR="00AF6F6C" w:rsidRPr="00F62DEE" w:rsidRDefault="00AF6F6C" w:rsidP="00461889">
      <w:pPr>
        <w:widowControl/>
        <w:numPr>
          <w:ilvl w:val="0"/>
          <w:numId w:val="264"/>
        </w:numPr>
        <w:autoSpaceDE/>
        <w:autoSpaceDN/>
        <w:adjustRightInd/>
      </w:pPr>
      <w:r w:rsidRPr="00E5560E">
        <w:t xml:space="preserve">механические факторы </w:t>
      </w:r>
      <w:r w:rsidRPr="00B32E86">
        <w:t xml:space="preserve">(сдавление экстрамедулярным очагом кровеносного сосуда, </w:t>
      </w:r>
      <w:r w:rsidRPr="00E5560E">
        <w:t>центральный или периферический венозные катетеры, нарушение целостности эндотелия некоторыми химиопрепаратами и др.);</w:t>
      </w:r>
    </w:p>
    <w:p w14:paraId="5A398C35" w14:textId="77777777" w:rsidR="00AF6F6C" w:rsidRPr="00F62DEE" w:rsidRDefault="00AF6F6C" w:rsidP="00461889">
      <w:pPr>
        <w:widowControl/>
        <w:numPr>
          <w:ilvl w:val="0"/>
          <w:numId w:val="264"/>
        </w:numPr>
        <w:autoSpaceDE/>
        <w:autoSpaceDN/>
        <w:adjustRightInd/>
      </w:pPr>
      <w:r w:rsidRPr="00E5560E">
        <w:t>коагулогические факторы (повышение или снижение активности факторов свертывания крови, повышение агрегационных свойств тромбоцитов и гипертромбоцитоз);</w:t>
      </w:r>
    </w:p>
    <w:p w14:paraId="6CC4BB9F" w14:textId="77777777" w:rsidR="00AF6F6C" w:rsidRPr="00F62DEE" w:rsidRDefault="00AF6F6C" w:rsidP="00461889">
      <w:pPr>
        <w:widowControl/>
        <w:numPr>
          <w:ilvl w:val="0"/>
          <w:numId w:val="264"/>
        </w:numPr>
        <w:autoSpaceDE/>
        <w:autoSpaceDN/>
        <w:adjustRightInd/>
      </w:pPr>
      <w:r w:rsidRPr="00E5560E">
        <w:t xml:space="preserve">реологические факторы (в том числе за счет гиперлейкоцитоза, эритроцитоза, гипертромбоцитоза); </w:t>
      </w:r>
    </w:p>
    <w:p w14:paraId="525EB1F4" w14:textId="77777777" w:rsidR="00AF6F6C" w:rsidRPr="00F62DEE" w:rsidRDefault="00AF6F6C" w:rsidP="00461889">
      <w:pPr>
        <w:widowControl/>
        <w:numPr>
          <w:ilvl w:val="0"/>
          <w:numId w:val="264"/>
        </w:numPr>
        <w:autoSpaceDE/>
        <w:autoSpaceDN/>
        <w:adjustRightInd/>
      </w:pPr>
      <w:r w:rsidRPr="00E5560E">
        <w:t>химиолучевая терапия.</w:t>
      </w:r>
    </w:p>
    <w:p w14:paraId="15DDCCC3" w14:textId="77777777" w:rsidR="00AF6F6C" w:rsidRDefault="00AF6F6C" w:rsidP="00AF6F6C">
      <w:r>
        <w:t>Эти факторы часто сочетаются друг с другом.</w:t>
      </w:r>
    </w:p>
    <w:p w14:paraId="790516A0" w14:textId="77777777" w:rsidR="00AF6F6C" w:rsidRDefault="00AF6F6C" w:rsidP="00AF6F6C">
      <w:pPr>
        <w:ind w:firstLine="567"/>
      </w:pPr>
    </w:p>
    <w:p w14:paraId="5341E465" w14:textId="77777777" w:rsidR="00AF6F6C" w:rsidRPr="00E5560E" w:rsidRDefault="00AF6F6C" w:rsidP="00AF6F6C">
      <w:pPr>
        <w:rPr>
          <w:i/>
          <w:iCs/>
          <w:u w:val="single"/>
        </w:rPr>
      </w:pPr>
      <w:r w:rsidRPr="00E5560E">
        <w:rPr>
          <w:i/>
          <w:iCs/>
          <w:u w:val="single"/>
        </w:rPr>
        <w:t>Клинические проявления тромботических осложнений.</w:t>
      </w:r>
    </w:p>
    <w:p w14:paraId="21E3E2AA" w14:textId="77777777" w:rsidR="00AF6F6C" w:rsidRDefault="00AF6F6C" w:rsidP="00AF6F6C">
      <w:pPr>
        <w:ind w:firstLine="709"/>
      </w:pPr>
      <w:r>
        <w:t xml:space="preserve">Тромботические осложнения имеют гетерогенные проявления и подтверждаются различными лабораторными (коагулологическими, молекулярно-генетическими, биохимическими, цитологическими) и инструментальными методами. </w:t>
      </w:r>
    </w:p>
    <w:p w14:paraId="3E7B63C8" w14:textId="77777777" w:rsidR="00AF6F6C" w:rsidRDefault="00AF6F6C" w:rsidP="00AF6F6C">
      <w:pPr>
        <w:ind w:firstLine="709"/>
      </w:pPr>
      <w:r>
        <w:t xml:space="preserve">Для тромбозов характерны следующие признаки </w:t>
      </w:r>
      <w:r>
        <w:fldChar w:fldCharType="begin" w:fldLock="1"/>
      </w:r>
      <w:r>
        <w:instrText>ADDIN CSL_CITATION {"citationItems":[{"id":"ITEM-1","itemData":{"author":[{"dropping-particle":"","family":"Воробьев","given":"А.И.","non-dropping-particle":"","parse-names":false,"suffix":""},{"dropping-particle":"","family":"Васильев","given":"С.А.","non-dropping-particle":"","parse-names":false,"suffix":""},{"dropping-particle":"","family":"Городецкий","given":"В.М.","non-dropping-particle":"","parse-names":false,"suffix":""},{"dropping-particle":"","family":"Шевелев","given":"А.А.","non-dropping-particle":"","parse-names":false,"suffix":""},{"dropping-particle":"","family":"Горгидзе","given":"Л.А.","non-dropping-particle":"","parse-names":false,"suffix":""},{"dropping-particle":"","family":"Кременецкая","given":"О.С.","non-dropping-particle":"","parse-names":false,"suffix":""},{"dropping-particle":"","family":"Шкловский-Корди","given":"Н.Е.","non-dropping-particle":"","parse-names":false,"suffix":""}],"container-title":"Гематология и трансфузиология","id":"ITEM-1","issue":"3","issued":{"date-parts":[["2016"]]},"page":"116-122","title":"Гиперкоагуляционный синдром: классификация, патогенез, диагностика, терапия","type":"article-journal","volume":"61"},"uris":["http://www.mendeley.com/documents/?uuid=9198cd60-8a8e-46bc-9cfc-b0a20a2d96ea"]},{"id":"ITEM-2","itemData":{"ISBN":"978-5-98811-165-8","author":[{"dropping-particle":"","family":"Пантелеев","given":"М.А.","non-dropping-particle":"","parse-names":false,"suffix":""},{"dropping-particle":"","family":"Васильев","given":"С.А.","non-dropping-particle":"","parse-names":false,"suffix":""},{"dropping-particle":"","family":"Синауридзе","given":"Е.И.","non-dropping-particle":"","parse-names":false,"suffix":""},{"dropping-particle":"","family":"Атауллаханов","given":"Ф.И.","non-dropping-particle":"","parse-names":false,"suffix":""}],"id":"ITEM-2","issued":{"date-parts":[["2010"]]},"number-of-pages":"192","title":"Практическая коагулология","type":"book"},"uris":["http://www.mendeley.com/documents/?uuid=36d7b04e-d654-47d2-a073-3cc2bb6e80ce"]}],"mendeley":{"formattedCitation":"[102,110]","plainTextFormattedCitation":"[102,110]","previouslyFormattedCitation":"[102,110]"},"properties":{"noteIndex":0},"schema":"https://github.com/citation-style-language/schema/raw/master/csl-citation.json"}</w:instrText>
      </w:r>
      <w:r>
        <w:fldChar w:fldCharType="separate"/>
      </w:r>
      <w:r>
        <w:rPr>
          <w:noProof/>
        </w:rPr>
        <w:t>[103,111</w:t>
      </w:r>
      <w:r w:rsidRPr="008A5D58">
        <w:rPr>
          <w:noProof/>
        </w:rPr>
        <w:t>]</w:t>
      </w:r>
      <w:r>
        <w:fldChar w:fldCharType="end"/>
      </w:r>
      <w:r>
        <w:t xml:space="preserve">: </w:t>
      </w:r>
    </w:p>
    <w:p w14:paraId="1EAFC933" w14:textId="77777777" w:rsidR="00AF6F6C" w:rsidRDefault="00AF6F6C" w:rsidP="00461889">
      <w:pPr>
        <w:widowControl/>
        <w:numPr>
          <w:ilvl w:val="0"/>
          <w:numId w:val="267"/>
        </w:numPr>
        <w:autoSpaceDE/>
        <w:autoSpaceDN/>
        <w:adjustRightInd/>
      </w:pPr>
      <w:r>
        <w:t>отек на месте тромбоза (венозный тромбоз);</w:t>
      </w:r>
    </w:p>
    <w:p w14:paraId="58C65F53" w14:textId="77777777" w:rsidR="00AF6F6C" w:rsidRDefault="00AF6F6C" w:rsidP="00461889">
      <w:pPr>
        <w:widowControl/>
        <w:numPr>
          <w:ilvl w:val="0"/>
          <w:numId w:val="267"/>
        </w:numPr>
        <w:autoSpaceDE/>
        <w:autoSpaceDN/>
        <w:adjustRightInd/>
      </w:pPr>
      <w:r>
        <w:t>умеренные болевые ощущения - чувство распирания, постоянные локальные боли (венозные и артериальные тромбозы);</w:t>
      </w:r>
    </w:p>
    <w:p w14:paraId="4D43DD07" w14:textId="77777777" w:rsidR="00AF6F6C" w:rsidRDefault="00AF6F6C" w:rsidP="00461889">
      <w:pPr>
        <w:widowControl/>
        <w:numPr>
          <w:ilvl w:val="0"/>
          <w:numId w:val="267"/>
        </w:numPr>
        <w:autoSpaceDE/>
        <w:autoSpaceDN/>
        <w:adjustRightInd/>
      </w:pPr>
      <w:r>
        <w:t xml:space="preserve">повышение кожной температуры непосредственно в области тромбоза (венозные тромбозы); </w:t>
      </w:r>
    </w:p>
    <w:p w14:paraId="3F832245" w14:textId="77777777" w:rsidR="00AF6F6C" w:rsidRDefault="00AF6F6C" w:rsidP="00461889">
      <w:pPr>
        <w:widowControl/>
        <w:numPr>
          <w:ilvl w:val="0"/>
          <w:numId w:val="267"/>
        </w:numPr>
        <w:autoSpaceDE/>
        <w:autoSpaceDN/>
        <w:adjustRightInd/>
      </w:pPr>
      <w:r>
        <w:t>резкая болезненность, цианоз (синюшность), снижение температуры в области тромбообразования и прилежащих тканях (артериальные тромбозы);</w:t>
      </w:r>
    </w:p>
    <w:p w14:paraId="24C68AE8" w14:textId="77777777" w:rsidR="00AF6F6C" w:rsidRDefault="00AF6F6C" w:rsidP="00461889">
      <w:pPr>
        <w:widowControl/>
        <w:numPr>
          <w:ilvl w:val="0"/>
          <w:numId w:val="267"/>
        </w:numPr>
        <w:autoSpaceDE/>
        <w:autoSpaceDN/>
        <w:adjustRightInd/>
      </w:pPr>
      <w:r>
        <w:lastRenderedPageBreak/>
        <w:t>перемежающаяся хромота (артериальные тромбозы);</w:t>
      </w:r>
    </w:p>
    <w:p w14:paraId="6FCBB7F3" w14:textId="77777777" w:rsidR="00AF6F6C" w:rsidRDefault="00AF6F6C" w:rsidP="00461889">
      <w:pPr>
        <w:widowControl/>
        <w:numPr>
          <w:ilvl w:val="0"/>
          <w:numId w:val="267"/>
        </w:numPr>
        <w:autoSpaceDE/>
        <w:autoSpaceDN/>
        <w:adjustRightInd/>
      </w:pPr>
      <w:r>
        <w:t>при незначительных неокклюзирующих венозных и артериальных тромбозах клинические проявления могут быть минимальными или отсутствовать;</w:t>
      </w:r>
    </w:p>
    <w:p w14:paraId="755CE507" w14:textId="77777777" w:rsidR="00AF6F6C" w:rsidRDefault="00AF6F6C" w:rsidP="00461889">
      <w:pPr>
        <w:widowControl/>
        <w:numPr>
          <w:ilvl w:val="0"/>
          <w:numId w:val="267"/>
        </w:numPr>
        <w:autoSpaceDE/>
        <w:autoSpaceDN/>
        <w:adjustRightInd/>
      </w:pPr>
      <w:r>
        <w:t>головные боли, неврологическая симптоматика, нарушение сознания (признаки ишемического инсульта).</w:t>
      </w:r>
    </w:p>
    <w:p w14:paraId="07CB3236" w14:textId="77777777" w:rsidR="00AF6F6C" w:rsidRDefault="00AF6F6C" w:rsidP="00461889">
      <w:pPr>
        <w:widowControl/>
        <w:numPr>
          <w:ilvl w:val="0"/>
          <w:numId w:val="267"/>
        </w:numPr>
        <w:autoSpaceDE/>
        <w:autoSpaceDN/>
        <w:adjustRightInd/>
      </w:pPr>
      <w:r>
        <w:t>синдром сдавления венозного ствола или вены;</w:t>
      </w:r>
    </w:p>
    <w:p w14:paraId="1951EE0D" w14:textId="77777777" w:rsidR="00AF6F6C" w:rsidRDefault="00AF6F6C" w:rsidP="00461889">
      <w:pPr>
        <w:widowControl/>
        <w:numPr>
          <w:ilvl w:val="0"/>
          <w:numId w:val="267"/>
        </w:numPr>
        <w:autoSpaceDE/>
        <w:autoSpaceDN/>
        <w:adjustRightInd/>
      </w:pPr>
      <w:r>
        <w:t>расширение венозной сети;</w:t>
      </w:r>
    </w:p>
    <w:p w14:paraId="7726378B" w14:textId="77777777" w:rsidR="00AF6F6C" w:rsidRDefault="00AF6F6C" w:rsidP="00461889">
      <w:pPr>
        <w:widowControl/>
        <w:numPr>
          <w:ilvl w:val="0"/>
          <w:numId w:val="267"/>
        </w:numPr>
        <w:autoSpaceDE/>
        <w:autoSpaceDN/>
        <w:adjustRightInd/>
      </w:pPr>
      <w:r>
        <w:t xml:space="preserve"> признаки дыхательной недостаточности при тромбоэмболии легочной артерии (ТЭЛА).</w:t>
      </w:r>
    </w:p>
    <w:p w14:paraId="102DD300" w14:textId="77777777" w:rsidR="00AF6F6C" w:rsidRDefault="00AF6F6C" w:rsidP="00AF6F6C">
      <w:pPr>
        <w:ind w:firstLine="709"/>
      </w:pPr>
      <w:r>
        <w:t xml:space="preserve">Для оценки риска развития тромботических нарушений и их рецидивов при лимфоме необходим тщательный сбор анамнеза с уточнением наличия тромбозов у пациента и родственников первой линии, а также оценка общего состояния пациента и выявление сопутствующих заболеваний. </w:t>
      </w:r>
    </w:p>
    <w:p w14:paraId="49045215" w14:textId="77777777" w:rsidR="00AF6F6C" w:rsidRDefault="00AF6F6C" w:rsidP="00AF6F6C">
      <w:pPr>
        <w:pStyle w:val="Numlist"/>
        <w:ind w:firstLine="360"/>
        <w:rPr>
          <w:b/>
        </w:rPr>
      </w:pPr>
    </w:p>
    <w:p w14:paraId="45CDDA7A" w14:textId="77777777" w:rsidR="00AF6F6C" w:rsidRDefault="00AF6F6C" w:rsidP="00AF6F6C">
      <w:pPr>
        <w:pStyle w:val="Numlist"/>
        <w:ind w:firstLine="709"/>
      </w:pPr>
      <w:r w:rsidRPr="00D74B57">
        <w:rPr>
          <w:bCs/>
          <w:i/>
          <w:iCs/>
          <w:u w:val="single"/>
        </w:rPr>
        <w:t>Лабораторная диагностика</w:t>
      </w:r>
      <w:r>
        <w:rPr>
          <w:b/>
        </w:rPr>
        <w:t xml:space="preserve"> </w:t>
      </w:r>
      <w:r>
        <w:t xml:space="preserve">тромботических осложнений должна включать следующие исследования </w:t>
      </w:r>
      <w:r>
        <w:fldChar w:fldCharType="begin" w:fldLock="1"/>
      </w:r>
      <w:r>
        <w:instrText>ADDIN CSL_CITATION {"citationItems":[{"id":"ITEM-1","itemData":{"author":[{"dropping-particle":"","family":"Воробьев","given":"А.И.","non-dropping-particle":"","parse-names":false,"suffix":""},{"dropping-particle":"","family":"Васильев","given":"С.А.","non-dropping-particle":"","parse-names":false,"suffix":""},{"dropping-particle":"","family":"Городецкий","given":"В.М.","non-dropping-particle":"","parse-names":false,"suffix":""},{"dropping-particle":"","family":"Шевелев","given":"А.А.","non-dropping-particle":"","parse-names":false,"suffix":""},{"dropping-particle":"","family":"Горгидзе","given":"Л.А.","non-dropping-particle":"","parse-names":false,"suffix":""},{"dropping-particle":"","family":"Кременецкая","given":"О.С.","non-dropping-particle":"","parse-names":false,"suffix":""},{"dropping-particle":"","family":"Шкловский-Корди","given":"Н.Е.","non-dropping-particle":"","parse-names":false,"suffix":""}],"container-title":"Гематология и трансфузиология","id":"ITEM-1","issue":"3","issued":{"date-parts":[["2016"]]},"page":"116-122","title":"Гиперкоагуляционный синдром: классификация, патогенез, диагностика, терапия","type":"article-journal","volume":"61"},"uris":["http://www.mendeley.com/documents/?uuid=9198cd60-8a8e-46bc-9cfc-b0a20a2d96ea"]},{"id":"ITEM-2","itemData":{"ISBN":"978-5-98811-165-8","author":[{"dropping-particle":"","family":"Пантелеев","given":"М.А.","non-dropping-particle":"","parse-names":false,"suffix":""},{"dropping-particle":"","family":"Васильев","given":"С.А.","non-dropping-particle":"","parse-names":false,"suffix":""},{"dropping-particle":"","family":"Синауридзе","given":"Е.И.","non-dropping-particle":"","parse-names":false,"suffix":""},{"dropping-particle":"","family":"Атауллаханов","given":"Ф.И.","non-dropping-particle":"","parse-names":false,"suffix":""}],"id":"ITEM-2","issued":{"date-parts":[["2010"]]},"number-of-pages":"192","title":"Практическая коагулология","type":"book"},"uris":["http://www.mendeley.com/documents/?uuid=36d7b04e-d654-47d2-a073-3cc2bb6e80ce"]}],"mendeley":{"formattedCitation":"[102,110]","plainTextFormattedCitation":"[102,110]","previouslyFormattedCitation":"[102,110]"},"properties":{"noteIndex":0},"schema":"https://github.com/citation-style-language/schema/raw/master/csl-citation.json"}</w:instrText>
      </w:r>
      <w:r>
        <w:fldChar w:fldCharType="separate"/>
      </w:r>
      <w:r>
        <w:rPr>
          <w:noProof/>
        </w:rPr>
        <w:t>[103,111</w:t>
      </w:r>
      <w:r w:rsidRPr="008A5D58">
        <w:rPr>
          <w:noProof/>
        </w:rPr>
        <w:t>]</w:t>
      </w:r>
      <w:r>
        <w:fldChar w:fldCharType="end"/>
      </w:r>
      <w:r>
        <w:t xml:space="preserve">: </w:t>
      </w:r>
    </w:p>
    <w:p w14:paraId="054354EA" w14:textId="77777777" w:rsidR="00AF6F6C" w:rsidRDefault="00AF6F6C" w:rsidP="00AF6F6C">
      <w:r>
        <w:t>1) Исследование периферической крови с подсчетом количества эритроцитов, гемоглобина и гематокрита, тромбоцитов (с подсчетом в мазке по Фонио), лейкоцитов, лейкоцитарной формулы – обязательно при диагностике, далее по показаниям с целью оценки динамики гематологических показателей и для контроля эффективности лечения.</w:t>
      </w:r>
    </w:p>
    <w:p w14:paraId="031D3947" w14:textId="77777777" w:rsidR="00AF6F6C" w:rsidRDefault="00AF6F6C" w:rsidP="00AF6F6C">
      <w:r>
        <w:t>2) Коагулограмма с определением следующих показателей:</w:t>
      </w:r>
    </w:p>
    <w:p w14:paraId="132B08FA" w14:textId="77777777" w:rsidR="00AF6F6C" w:rsidRDefault="00AF6F6C" w:rsidP="00461889">
      <w:pPr>
        <w:pStyle w:val="afff3"/>
        <w:numPr>
          <w:ilvl w:val="0"/>
          <w:numId w:val="263"/>
        </w:numPr>
        <w:autoSpaceDE/>
        <w:autoSpaceDN/>
        <w:adjustRightInd/>
        <w:ind w:left="1418" w:hanging="567"/>
        <w:rPr>
          <w:szCs w:val="24"/>
        </w:rPr>
      </w:pPr>
      <w:r>
        <w:rPr>
          <w:szCs w:val="24"/>
        </w:rPr>
        <w:t>активированное частичное тромбопластиновое время (АЧТВ);</w:t>
      </w:r>
    </w:p>
    <w:p w14:paraId="75040A6E" w14:textId="77777777" w:rsidR="00AF6F6C" w:rsidRDefault="00AF6F6C" w:rsidP="00461889">
      <w:pPr>
        <w:pStyle w:val="afff3"/>
        <w:numPr>
          <w:ilvl w:val="0"/>
          <w:numId w:val="263"/>
        </w:numPr>
        <w:autoSpaceDE/>
        <w:autoSpaceDN/>
        <w:adjustRightInd/>
        <w:ind w:left="1418" w:hanging="567"/>
        <w:rPr>
          <w:szCs w:val="24"/>
        </w:rPr>
      </w:pPr>
      <w:r>
        <w:rPr>
          <w:szCs w:val="24"/>
        </w:rPr>
        <w:t>тромбиновое время (ТВ);</w:t>
      </w:r>
    </w:p>
    <w:p w14:paraId="371103DD" w14:textId="77777777" w:rsidR="00AF6F6C" w:rsidRDefault="00AF6F6C" w:rsidP="00461889">
      <w:pPr>
        <w:pStyle w:val="afff3"/>
        <w:numPr>
          <w:ilvl w:val="0"/>
          <w:numId w:val="263"/>
        </w:numPr>
        <w:autoSpaceDE/>
        <w:autoSpaceDN/>
        <w:adjustRightInd/>
        <w:ind w:left="1418" w:hanging="567"/>
        <w:rPr>
          <w:szCs w:val="24"/>
        </w:rPr>
      </w:pPr>
      <w:r>
        <w:rPr>
          <w:szCs w:val="24"/>
        </w:rPr>
        <w:t>протромбин по Квику (международное нормализованное отношение - МНО);</w:t>
      </w:r>
    </w:p>
    <w:p w14:paraId="22CE1053" w14:textId="77777777" w:rsidR="00AF6F6C" w:rsidRDefault="00AF6F6C" w:rsidP="00461889">
      <w:pPr>
        <w:pStyle w:val="afff3"/>
        <w:numPr>
          <w:ilvl w:val="0"/>
          <w:numId w:val="263"/>
        </w:numPr>
        <w:autoSpaceDE/>
        <w:autoSpaceDN/>
        <w:adjustRightInd/>
        <w:ind w:left="1418" w:hanging="567"/>
        <w:rPr>
          <w:szCs w:val="24"/>
        </w:rPr>
      </w:pPr>
      <w:r>
        <w:rPr>
          <w:szCs w:val="24"/>
        </w:rPr>
        <w:t>плазменная концентрация фибриногена;</w:t>
      </w:r>
    </w:p>
    <w:p w14:paraId="56550E3A" w14:textId="77777777" w:rsidR="00AF6F6C" w:rsidRDefault="00AF6F6C" w:rsidP="00461889">
      <w:pPr>
        <w:pStyle w:val="afff3"/>
        <w:numPr>
          <w:ilvl w:val="0"/>
          <w:numId w:val="263"/>
        </w:numPr>
        <w:autoSpaceDE/>
        <w:autoSpaceDN/>
        <w:adjustRightInd/>
        <w:ind w:left="1418" w:hanging="567"/>
        <w:rPr>
          <w:szCs w:val="24"/>
        </w:rPr>
      </w:pPr>
      <w:r>
        <w:rPr>
          <w:szCs w:val="24"/>
        </w:rPr>
        <w:t xml:space="preserve">плазменная концентрация антитромбина III (АТ </w:t>
      </w:r>
      <w:r>
        <w:rPr>
          <w:szCs w:val="24"/>
          <w:lang w:val="en-US"/>
        </w:rPr>
        <w:t>III</w:t>
      </w:r>
      <w:r>
        <w:rPr>
          <w:szCs w:val="24"/>
        </w:rPr>
        <w:t>), особенно для групп высокого риска;</w:t>
      </w:r>
    </w:p>
    <w:p w14:paraId="180FAB41" w14:textId="77777777" w:rsidR="00AF6F6C" w:rsidRDefault="00AF6F6C" w:rsidP="00461889">
      <w:pPr>
        <w:pStyle w:val="afff3"/>
        <w:numPr>
          <w:ilvl w:val="0"/>
          <w:numId w:val="263"/>
        </w:numPr>
        <w:autoSpaceDE/>
        <w:autoSpaceDN/>
        <w:adjustRightInd/>
        <w:ind w:left="1418" w:hanging="567"/>
        <w:rPr>
          <w:szCs w:val="24"/>
        </w:rPr>
      </w:pPr>
      <w:r>
        <w:rPr>
          <w:szCs w:val="24"/>
        </w:rPr>
        <w:t>агрегация тромбоцитов, индуцированная АДФ и адреналином для пациентов, получающих терапию, соответственно клопидогрелом или ацетилсалициловой кислотой;</w:t>
      </w:r>
    </w:p>
    <w:p w14:paraId="2C298A79" w14:textId="77777777" w:rsidR="00AF6F6C" w:rsidRDefault="00AF6F6C" w:rsidP="00461889">
      <w:pPr>
        <w:pStyle w:val="afff3"/>
        <w:numPr>
          <w:ilvl w:val="0"/>
          <w:numId w:val="263"/>
        </w:numPr>
        <w:autoSpaceDE/>
        <w:autoSpaceDN/>
        <w:adjustRightInd/>
        <w:ind w:left="1418" w:hanging="567"/>
        <w:rPr>
          <w:szCs w:val="24"/>
        </w:rPr>
      </w:pPr>
      <w:r>
        <w:rPr>
          <w:szCs w:val="24"/>
        </w:rPr>
        <w:t>D-димер</w:t>
      </w:r>
      <w:r>
        <w:rPr>
          <w:szCs w:val="24"/>
          <w:lang w:val="en-US"/>
        </w:rPr>
        <w:t xml:space="preserve"> </w:t>
      </w:r>
      <w:r>
        <w:rPr>
          <w:szCs w:val="24"/>
          <w:lang w:val="en-US"/>
        </w:rPr>
        <w:fldChar w:fldCharType="begin" w:fldLock="1"/>
      </w:r>
      <w:r>
        <w:rPr>
          <w:szCs w:val="24"/>
          <w:lang w:val="en-US"/>
        </w:rPr>
        <w:instrText>ADDIN CSL_CITATION {"citationItems":[{"id":"ITEM-1","itemData":{"author":[{"dropping-particle":"","family":"Greenberg","given":"C.S.","non-dropping-particle":"","parse-names":false,"suffix":""}],"container-title":"Clinical Advances in Hematology &amp; Oncology","id":"ITEM-1","issue":"8","issued":{"date-parts":[["2017"]]},"page":"580-583","title":"The role of D-dimer testing in clinical hematology and oncology","type":"article-journal","volume":"15"},"uris":["http://www.mendeley.com/documents/?uuid=bcd25bdb-3f17-4690-af2f-221107e95f2a"]}],"mendeley":{"formattedCitation":"[111]","plainTextFormattedCitation":"[111]","previouslyFormattedCitation":"[111]"},"properties":{"noteIndex":0},"schema":"https://github.com/citation-style-language/schema/raw/master/csl-citation.json"}</w:instrText>
      </w:r>
      <w:r>
        <w:rPr>
          <w:szCs w:val="24"/>
          <w:lang w:val="en-US"/>
        </w:rPr>
        <w:fldChar w:fldCharType="separate"/>
      </w:r>
      <w:r>
        <w:rPr>
          <w:noProof/>
          <w:szCs w:val="24"/>
          <w:lang w:val="en-US"/>
        </w:rPr>
        <w:t>[112</w:t>
      </w:r>
      <w:r w:rsidRPr="008A5D58">
        <w:rPr>
          <w:noProof/>
          <w:szCs w:val="24"/>
          <w:lang w:val="en-US"/>
        </w:rPr>
        <w:t>]</w:t>
      </w:r>
      <w:r>
        <w:rPr>
          <w:szCs w:val="24"/>
          <w:lang w:val="en-US"/>
        </w:rPr>
        <w:fldChar w:fldCharType="end"/>
      </w:r>
      <w:r>
        <w:rPr>
          <w:szCs w:val="24"/>
        </w:rPr>
        <w:t>;</w:t>
      </w:r>
    </w:p>
    <w:p w14:paraId="50B1FDBA" w14:textId="77777777" w:rsidR="00AF6F6C" w:rsidRDefault="00AF6F6C" w:rsidP="00461889">
      <w:pPr>
        <w:pStyle w:val="afff3"/>
        <w:numPr>
          <w:ilvl w:val="0"/>
          <w:numId w:val="263"/>
        </w:numPr>
        <w:autoSpaceDE/>
        <w:autoSpaceDN/>
        <w:adjustRightInd/>
        <w:ind w:left="1418" w:hanging="567"/>
        <w:rPr>
          <w:szCs w:val="24"/>
        </w:rPr>
      </w:pPr>
      <w:r>
        <w:rPr>
          <w:szCs w:val="24"/>
        </w:rPr>
        <w:t>протеин С;</w:t>
      </w:r>
    </w:p>
    <w:p w14:paraId="575FA422" w14:textId="77777777" w:rsidR="00AF6F6C" w:rsidRDefault="00AF6F6C" w:rsidP="00461889">
      <w:pPr>
        <w:pStyle w:val="afff3"/>
        <w:numPr>
          <w:ilvl w:val="0"/>
          <w:numId w:val="263"/>
        </w:numPr>
        <w:autoSpaceDE/>
        <w:autoSpaceDN/>
        <w:adjustRightInd/>
        <w:ind w:left="1418" w:hanging="567"/>
        <w:rPr>
          <w:szCs w:val="24"/>
        </w:rPr>
      </w:pPr>
      <w:r>
        <w:rPr>
          <w:szCs w:val="24"/>
        </w:rPr>
        <w:t xml:space="preserve">протеин </w:t>
      </w:r>
      <w:r>
        <w:rPr>
          <w:szCs w:val="24"/>
          <w:lang w:val="en-US"/>
        </w:rPr>
        <w:t>S</w:t>
      </w:r>
      <w:r>
        <w:rPr>
          <w:szCs w:val="24"/>
        </w:rPr>
        <w:t>;</w:t>
      </w:r>
    </w:p>
    <w:p w14:paraId="0B2884D8" w14:textId="77777777" w:rsidR="00AF6F6C" w:rsidRDefault="00AF6F6C" w:rsidP="00461889">
      <w:pPr>
        <w:pStyle w:val="afff3"/>
        <w:numPr>
          <w:ilvl w:val="0"/>
          <w:numId w:val="263"/>
        </w:numPr>
        <w:autoSpaceDE/>
        <w:autoSpaceDN/>
        <w:adjustRightInd/>
        <w:ind w:left="1418" w:hanging="567"/>
        <w:rPr>
          <w:szCs w:val="24"/>
        </w:rPr>
      </w:pPr>
      <w:r>
        <w:rPr>
          <w:szCs w:val="24"/>
        </w:rPr>
        <w:t>XIIa-зависимый фибринолиз;</w:t>
      </w:r>
    </w:p>
    <w:p w14:paraId="2C7D19CD" w14:textId="77777777" w:rsidR="00AF6F6C" w:rsidRDefault="00AF6F6C" w:rsidP="00AF6F6C">
      <w:pPr>
        <w:ind w:firstLine="709"/>
      </w:pPr>
      <w:r>
        <w:lastRenderedPageBreak/>
        <w:t>Для исследования показателей гемостаза забор крови производят строго натощак, с помощью вакуумных пробирок. Забор крови из катетеров запрещен. Кровь набирают в пробирки, содержащие 3,2% цитрат натрия в соотношении 1:9. Исследование должно проводиться в течение 2-х часов после забора крови.  Достоверность результатов агрегабельности тромбоцитов можно оценить только при содержании в крови тромбоцитов ≥ 100 х 10</w:t>
      </w:r>
      <w:r>
        <w:rPr>
          <w:vertAlign w:val="superscript"/>
        </w:rPr>
        <w:t>9</w:t>
      </w:r>
      <w:r>
        <w:t>/л.</w:t>
      </w:r>
    </w:p>
    <w:p w14:paraId="5653A450" w14:textId="77777777" w:rsidR="00AF6F6C" w:rsidRDefault="00AF6F6C" w:rsidP="00AF6F6C">
      <w:pPr>
        <w:ind w:firstLine="709"/>
      </w:pPr>
      <w:r>
        <w:t xml:space="preserve">Повышенная концентрация </w:t>
      </w:r>
      <w:r>
        <w:rPr>
          <w:lang w:val="en-US"/>
        </w:rPr>
        <w:t>D</w:t>
      </w:r>
      <w:r>
        <w:t xml:space="preserve">-димера у </w:t>
      </w:r>
      <w:r w:rsidRPr="008B0B9C">
        <w:t xml:space="preserve">пациентов с лейкозами </w:t>
      </w:r>
      <w:r>
        <w:t>встречается при различных ситуациях, не всегда обусловленных венозными тромбо-эмболическими осложнениями (ВТЭО): синдром диссеминированного внутрисосудистого свертывания (ДВС-синдром), гиперфибринолиз, сепсис, поражения печени, серповидноклеточная анемия и др</w:t>
      </w:r>
      <w:r w:rsidRPr="00B06F48">
        <w:t xml:space="preserve"> </w:t>
      </w:r>
      <w:r>
        <w:fldChar w:fldCharType="begin" w:fldLock="1"/>
      </w:r>
      <w:r>
        <w:instrText>ADDIN CSL_CITATION {"citationItems":[{"id":"ITEM-1","itemData":{"author":[{"dropping-particle":"","family":"Greenberg","given":"C.S.","non-dropping-particle":"","parse-names":false,"suffix":""}],"container-title":"Clinical Advances in Hematology &amp; Oncology","id":"ITEM-1","issue":"8","issued":{"date-parts":[["2017"]]},"page":"580-583","title":"The role of D-dimer testing in clinical hematology and oncology","type":"article-journal","volume":"15"},"uris":["http://www.mendeley.com/documents/?uuid=bcd25bdb-3f17-4690-af2f-221107e95f2a"]}],"mendeley":{"formattedCitation":"[111]","plainTextFormattedCitation":"[111]","previouslyFormattedCitation":"[111]"},"properties":{"noteIndex":0},"schema":"https://github.com/citation-style-language/schema/raw/master/csl-citation.json"}</w:instrText>
      </w:r>
      <w:r>
        <w:fldChar w:fldCharType="separate"/>
      </w:r>
      <w:r>
        <w:rPr>
          <w:noProof/>
        </w:rPr>
        <w:t>[112</w:t>
      </w:r>
      <w:r w:rsidRPr="008A5D58">
        <w:rPr>
          <w:noProof/>
        </w:rPr>
        <w:t>]</w:t>
      </w:r>
      <w:r>
        <w:fldChar w:fldCharType="end"/>
      </w:r>
      <w:r>
        <w:t xml:space="preserve">. Поэтому не рекомендуется начинать тромбопрофилактику ориентируясь только на повышенную концентрацию </w:t>
      </w:r>
      <w:r>
        <w:rPr>
          <w:lang w:val="en-US"/>
        </w:rPr>
        <w:t>D</w:t>
      </w:r>
      <w:r>
        <w:t>-димера. При концентрации D-димера выше порогового значения рекомендуется дополнительное проведение инструментальных методов обследования.</w:t>
      </w:r>
    </w:p>
    <w:p w14:paraId="61D37EE8" w14:textId="77777777" w:rsidR="00AF6F6C" w:rsidRPr="0076706D" w:rsidRDefault="00AF6F6C" w:rsidP="00AF6F6C">
      <w:pPr>
        <w:rPr>
          <w:i/>
        </w:rPr>
      </w:pPr>
      <w:r>
        <w:t xml:space="preserve">3) Биохимический анализ крови: общий белок, альбумины, общий и прямой/непрямой билирубин, АСТ, АЛТ, ЛДГ, мочевая кислота, мочевина, креатинин, щелочная фосфатаза, </w:t>
      </w:r>
      <w:r w:rsidRPr="002B7BF0">
        <w:t xml:space="preserve">холестерин, триглицериды, индекс атерогенности </w:t>
      </w:r>
      <w:r>
        <w:t xml:space="preserve">– на этапе диагностике, далее по показаниям. </w:t>
      </w:r>
      <w:r>
        <w:rPr>
          <w:rStyle w:val="aff5"/>
          <w:b w:val="0"/>
          <w:iCs/>
          <w:shd w:val="clear" w:color="auto" w:fill="FFFFFF"/>
        </w:rPr>
        <w:t>В</w:t>
      </w:r>
      <w:r w:rsidRPr="0076706D">
        <w:rPr>
          <w:rStyle w:val="affc"/>
          <w:i w:val="0"/>
        </w:rPr>
        <w:t xml:space="preserve">ыполнение биохимического анализа крови необходимо для уточнения функциональной способности печени, что важно для выбора адекватной терапии. </w:t>
      </w:r>
    </w:p>
    <w:p w14:paraId="09B86F10" w14:textId="77777777" w:rsidR="00AF6F6C" w:rsidRDefault="00AF6F6C" w:rsidP="00AF6F6C">
      <w:r>
        <w:t>4) Определение концентрации гомоцистеина – важно в диагностике гипергомоцистеинемии.</w:t>
      </w:r>
    </w:p>
    <w:p w14:paraId="0389780E" w14:textId="77777777" w:rsidR="00AF6F6C" w:rsidRDefault="00AF6F6C" w:rsidP="00AF6F6C">
      <w:r>
        <w:t xml:space="preserve">5) Исследование мутации генов факторов, участвующих в гемостазе (протромбина G20210A, фактора V Лейден, </w:t>
      </w:r>
      <w:r w:rsidRPr="00A042E1">
        <w:t>метилентетрагидрофолатредуктазы</w:t>
      </w:r>
      <w:r>
        <w:t>), важно для верификации формы и варианта наследственных тромбофилий, определяется по показаниям.</w:t>
      </w:r>
    </w:p>
    <w:p w14:paraId="4BCF7040" w14:textId="77777777" w:rsidR="00AF6F6C" w:rsidRPr="00494FA4" w:rsidRDefault="00AF6F6C" w:rsidP="00AF6F6C">
      <w:r>
        <w:t xml:space="preserve">6) Тромбоэластография, пространственная тромбодинамика и определение тромбинового потенциала – по показаниям. </w:t>
      </w:r>
    </w:p>
    <w:p w14:paraId="701225CF" w14:textId="77777777" w:rsidR="00AF6F6C" w:rsidRDefault="00AF6F6C" w:rsidP="00AF6F6C">
      <w:pPr>
        <w:pStyle w:val="Numlist"/>
      </w:pPr>
      <w:r>
        <w:t>Лабораторную оценку состояния системы свертывания крови осуществляют при первичном обследовании больного, до начала проведения специфической терапии, в том числе перед каждым курсом ХТ (по показаниям), а также в случае развития тромботических нарушений на любом этапе диагностики, наблюдения, лечения.</w:t>
      </w:r>
    </w:p>
    <w:p w14:paraId="034158E2" w14:textId="77777777" w:rsidR="00AF6F6C" w:rsidRDefault="00AF6F6C" w:rsidP="00AF6F6C">
      <w:pPr>
        <w:rPr>
          <w:b/>
        </w:rPr>
      </w:pPr>
    </w:p>
    <w:p w14:paraId="7CFB921E" w14:textId="77777777" w:rsidR="00AF6F6C" w:rsidRDefault="00AF6F6C" w:rsidP="00AF6F6C">
      <w:pPr>
        <w:ind w:firstLine="709"/>
      </w:pPr>
      <w:r w:rsidRPr="004C1787">
        <w:rPr>
          <w:bCs/>
          <w:i/>
          <w:iCs/>
          <w:u w:val="single"/>
        </w:rPr>
        <w:t>Инструментальная диагностика</w:t>
      </w:r>
      <w:r>
        <w:t xml:space="preserve"> рекомендуется для определения выраженности и уточнения локализации тромботических осложнений. Выбор метода зависит от клинической картины и данных лабораторного обследования. Проводятся следующие виды </w:t>
      </w:r>
      <w:r>
        <w:lastRenderedPageBreak/>
        <w:t xml:space="preserve">исследования </w:t>
      </w:r>
      <w:r>
        <w:fldChar w:fldCharType="begin" w:fldLock="1"/>
      </w:r>
      <w:r>
        <w:instrText>ADDIN CSL_CITATION {"citationItems":[{"id":"ITEM-1","itemData":{"author":[{"dropping-particle":"","family":"Воробьев","given":"А.И.","non-dropping-particle":"","parse-names":false,"suffix":""},{"dropping-particle":"","family":"Васильев","given":"С.А.","non-dropping-particle":"","parse-names":false,"suffix":""},{"dropping-particle":"","family":"Городецкий","given":"В.М.","non-dropping-particle":"","parse-names":false,"suffix":""},{"dropping-particle":"","family":"Шевелев","given":"А.А.","non-dropping-particle":"","parse-names":false,"suffix":""},{"dropping-particle":"","family":"Горгидзе","given":"Л.А.","non-dropping-particle":"","parse-names":false,"suffix":""},{"dropping-particle":"","family":"Кременецкая","given":"О.С.","non-dropping-particle":"","parse-names":false,"suffix":""},{"dropping-particle":"","family":"Шкловский-Корди","given":"Н.Е.","non-dropping-particle":"","parse-names":false,"suffix":""}],"container-title":"Гематология и трансфузиология","id":"ITEM-1","issue":"3","issued":{"date-parts":[["2016"]]},"page":"116-122","title":"Гиперкоагуляционный синдром: классификация, патогенез, диагностика, терапия","type":"article-journal","volume":"61"},"uris":["http://www.mendeley.com/documents/?uuid=9198cd60-8a8e-46bc-9cfc-b0a20a2d96ea"]},{"id":"ITEM-2","itemData":{"ISBN":"978-5-98811-165-8","author":[{"dropping-particle":"","family":"Пантелеев","given":"М.А.","non-dropping-particle":"","parse-names":false,"suffix":""},{"dropping-particle":"","family":"Васильев","given":"С.А.","non-dropping-particle":"","parse-names":false,"suffix":""},{"dropping-particle":"","family":"Синауридзе","given":"Е.И.","non-dropping-particle":"","parse-names":false,"suffix":""},{"dropping-particle":"","family":"Атауллаханов","given":"Ф.И.","non-dropping-particle":"","parse-names":false,"suffix":""}],"id":"ITEM-2","issued":{"date-parts":[["2010"]]},"number-of-pages":"192","title":"Практическая коагулология","type":"book"},"uris":["http://www.mendeley.com/documents/?uuid=36d7b04e-d654-47d2-a073-3cc2bb6e80ce"]}],"mendeley":{"formattedCitation":"[102,110]","plainTextFormattedCitation":"[102,110]","previouslyFormattedCitation":"[102,110]"},"properties":{"noteIndex":0},"schema":"https://github.com/citation-style-language/schema/raw/master/csl-citation.json"}</w:instrText>
      </w:r>
      <w:r>
        <w:fldChar w:fldCharType="separate"/>
      </w:r>
      <w:r>
        <w:rPr>
          <w:noProof/>
        </w:rPr>
        <w:t>[103,111</w:t>
      </w:r>
      <w:r w:rsidRPr="008A5D58">
        <w:rPr>
          <w:noProof/>
        </w:rPr>
        <w:t>]</w:t>
      </w:r>
      <w:r>
        <w:fldChar w:fldCharType="end"/>
      </w:r>
      <w:r>
        <w:t>:</w:t>
      </w:r>
    </w:p>
    <w:p w14:paraId="5A2175B2" w14:textId="77777777" w:rsidR="00AF6F6C" w:rsidRDefault="00AF6F6C" w:rsidP="00461889">
      <w:pPr>
        <w:pStyle w:val="afff3"/>
        <w:widowControl/>
        <w:numPr>
          <w:ilvl w:val="0"/>
          <w:numId w:val="266"/>
        </w:numPr>
        <w:autoSpaceDE/>
        <w:autoSpaceDN/>
        <w:adjustRightInd/>
        <w:spacing w:after="200"/>
        <w:ind w:left="1134"/>
        <w:rPr>
          <w:szCs w:val="24"/>
        </w:rPr>
      </w:pPr>
      <w:r>
        <w:rPr>
          <w:szCs w:val="24"/>
        </w:rPr>
        <w:t>УЗИ сосудов, при котором определяются локализация тромбоза, размеры тромба, окклюзирующий или неокклюзирующий характер тромбоза, флотирующий или нефлотирующий характер тромба.</w:t>
      </w:r>
    </w:p>
    <w:p w14:paraId="50AD14B1" w14:textId="77777777" w:rsidR="00AF6F6C" w:rsidRDefault="00AF6F6C" w:rsidP="00461889">
      <w:pPr>
        <w:pStyle w:val="afff3"/>
        <w:widowControl/>
        <w:numPr>
          <w:ilvl w:val="0"/>
          <w:numId w:val="266"/>
        </w:numPr>
        <w:autoSpaceDE/>
        <w:autoSpaceDN/>
        <w:adjustRightInd/>
        <w:ind w:left="1134"/>
        <w:rPr>
          <w:bCs/>
          <w:szCs w:val="24"/>
        </w:rPr>
      </w:pPr>
      <w:r>
        <w:rPr>
          <w:bCs/>
          <w:szCs w:val="24"/>
        </w:rPr>
        <w:t xml:space="preserve">УЗИ органов брюшной полости (размеры печени, селезенки, </w:t>
      </w:r>
      <w:r w:rsidRPr="00A042E1">
        <w:rPr>
          <w:bCs/>
          <w:szCs w:val="24"/>
        </w:rPr>
        <w:t>вены портальной системы и собственные вены печени</w:t>
      </w:r>
      <w:r>
        <w:rPr>
          <w:bCs/>
          <w:szCs w:val="24"/>
        </w:rPr>
        <w:t>), гемодинамические критерии портальной гипертензии при органомегалии и подозрении на тромбоз.</w:t>
      </w:r>
    </w:p>
    <w:p w14:paraId="1AFF9AC7" w14:textId="77777777" w:rsidR="00AF6F6C" w:rsidRDefault="00AF6F6C" w:rsidP="00461889">
      <w:pPr>
        <w:pStyle w:val="afff3"/>
        <w:widowControl/>
        <w:numPr>
          <w:ilvl w:val="0"/>
          <w:numId w:val="266"/>
        </w:numPr>
        <w:autoSpaceDE/>
        <w:autoSpaceDN/>
        <w:adjustRightInd/>
        <w:ind w:left="1134"/>
        <w:rPr>
          <w:bCs/>
          <w:szCs w:val="24"/>
        </w:rPr>
      </w:pPr>
      <w:r w:rsidRPr="0065075D">
        <w:rPr>
          <w:iCs/>
          <w:szCs w:val="24"/>
        </w:rPr>
        <w:t xml:space="preserve">КТ </w:t>
      </w:r>
      <w:r w:rsidRPr="0065075D">
        <w:rPr>
          <w:bCs/>
          <w:szCs w:val="24"/>
        </w:rPr>
        <w:t xml:space="preserve">органов грудной клетки и брюшной полости с внутривенным контрастным </w:t>
      </w:r>
      <w:r>
        <w:rPr>
          <w:bCs/>
          <w:szCs w:val="24"/>
        </w:rPr>
        <w:t xml:space="preserve">усилением </w:t>
      </w:r>
      <w:r w:rsidRPr="0065075D">
        <w:rPr>
          <w:bCs/>
          <w:szCs w:val="24"/>
        </w:rPr>
        <w:t>для диагностики ТЭЛА, тромбоза вен и артерий брюшной полости, инфарктов паренхиматозных органов, оценки коллатералей.</w:t>
      </w:r>
    </w:p>
    <w:p w14:paraId="5AE17AEA" w14:textId="77777777" w:rsidR="00AF6F6C" w:rsidRPr="004C1787" w:rsidRDefault="00AF6F6C" w:rsidP="00461889">
      <w:pPr>
        <w:pStyle w:val="afff3"/>
        <w:widowControl/>
        <w:numPr>
          <w:ilvl w:val="0"/>
          <w:numId w:val="266"/>
        </w:numPr>
        <w:autoSpaceDE/>
        <w:autoSpaceDN/>
        <w:adjustRightInd/>
        <w:ind w:left="1134"/>
        <w:rPr>
          <w:bCs/>
          <w:szCs w:val="24"/>
        </w:rPr>
      </w:pPr>
      <w:r w:rsidRPr="004C1787">
        <w:rPr>
          <w:iCs/>
          <w:color w:val="000000"/>
          <w:szCs w:val="24"/>
        </w:rPr>
        <w:t>Магнитно-резонансная томография (МРТ)</w:t>
      </w:r>
      <w:r w:rsidRPr="004C1787">
        <w:rPr>
          <w:i/>
          <w:iCs/>
          <w:color w:val="000000"/>
          <w:szCs w:val="24"/>
        </w:rPr>
        <w:t xml:space="preserve"> </w:t>
      </w:r>
      <w:r w:rsidRPr="004C1787">
        <w:rPr>
          <w:szCs w:val="24"/>
        </w:rPr>
        <w:t>с внутривенным контрастным усилением головного мозга для выявления тромботических изменений в сосудах головного мозга, ишемических инсультов, кровоизлияний в головной мозг. МРТ органов грудной клетки и брюшной полости – при невозможности проведения КТ.</w:t>
      </w:r>
    </w:p>
    <w:p w14:paraId="17354CCF" w14:textId="77777777" w:rsidR="00AF6F6C" w:rsidRPr="004C1787" w:rsidRDefault="00AF6F6C" w:rsidP="00461889">
      <w:pPr>
        <w:pStyle w:val="afff3"/>
        <w:widowControl/>
        <w:numPr>
          <w:ilvl w:val="0"/>
          <w:numId w:val="266"/>
        </w:numPr>
        <w:autoSpaceDE/>
        <w:autoSpaceDN/>
        <w:adjustRightInd/>
        <w:ind w:left="1134"/>
        <w:rPr>
          <w:bCs/>
          <w:szCs w:val="24"/>
        </w:rPr>
      </w:pPr>
      <w:r w:rsidRPr="004C1787">
        <w:rPr>
          <w:iCs/>
          <w:szCs w:val="24"/>
        </w:rPr>
        <w:t xml:space="preserve">Эзофагогастродуоденоскопия (ЭГДС) </w:t>
      </w:r>
      <w:r w:rsidRPr="004C1787">
        <w:rPr>
          <w:szCs w:val="24"/>
        </w:rPr>
        <w:t>с целью определения наличия варикозно расширенных вен пищевода и желудка даже при отсутствии симптоматики портальной гипертензии (в том числе и портальной гипертензионной гастропатии). Этот метод исследования может носить как диагностический, так и лечебный характер в отношении источника возникшего кровотечения. Желудочно-кишечное кровотечение, в том числе и анамнестическое, должно рассматриваться как абсолютное показание к неотложному эндоскопическому исследованию, которое тем эффективнее, чем раньше выполнено от начала кровотечения. Очень важным моментом диагностической ЭГДС является определение источника кровотечения: варикозно расширенные вены пищевода и/или язвы желудка или двенадцатиперстной кишки, а</w:t>
      </w:r>
      <w:r w:rsidRPr="004C1787">
        <w:rPr>
          <w:i/>
          <w:color w:val="4BACC6" w:themeColor="accent5"/>
          <w:szCs w:val="24"/>
        </w:rPr>
        <w:t xml:space="preserve"> </w:t>
      </w:r>
      <w:r w:rsidRPr="004C1787">
        <w:rPr>
          <w:szCs w:val="24"/>
        </w:rPr>
        <w:t>также оценка степени</w:t>
      </w:r>
      <w:r w:rsidRPr="004C1787">
        <w:rPr>
          <w:i/>
          <w:color w:val="4BACC6" w:themeColor="accent5"/>
          <w:szCs w:val="24"/>
        </w:rPr>
        <w:t xml:space="preserve"> </w:t>
      </w:r>
      <w:r w:rsidRPr="004C1787">
        <w:rPr>
          <w:szCs w:val="24"/>
        </w:rPr>
        <w:t>устойчивости гемостаза из обнаруженных источников. Исследование выполняется всем пациентам на этапе диагностики, далее проводится мониторинг при выявлении патологии каждые 6 месяцев, и по показаниям.</w:t>
      </w:r>
    </w:p>
    <w:p w14:paraId="72D066F4" w14:textId="77777777" w:rsidR="00AF6F6C" w:rsidRPr="004C1787" w:rsidRDefault="00AF6F6C" w:rsidP="00461889">
      <w:pPr>
        <w:pStyle w:val="afff3"/>
        <w:widowControl/>
        <w:numPr>
          <w:ilvl w:val="0"/>
          <w:numId w:val="266"/>
        </w:numPr>
        <w:autoSpaceDE/>
        <w:autoSpaceDN/>
        <w:adjustRightInd/>
        <w:ind w:left="1134"/>
        <w:rPr>
          <w:bCs/>
          <w:szCs w:val="24"/>
        </w:rPr>
      </w:pPr>
      <w:r w:rsidRPr="004C1787">
        <w:rPr>
          <w:iCs/>
          <w:szCs w:val="24"/>
        </w:rPr>
        <w:t xml:space="preserve">Рентгенологическое исследование пищевода и желудка </w:t>
      </w:r>
      <w:r w:rsidRPr="004C1787">
        <w:rPr>
          <w:szCs w:val="24"/>
        </w:rPr>
        <w:t xml:space="preserve">позволяет определить протяжённость варикозного расширения вен по длине пищевода, состояние нижнего пищеводного сфинктера и его функциональные возможности (по показаниям).  </w:t>
      </w:r>
    </w:p>
    <w:p w14:paraId="400AA2F7" w14:textId="77777777" w:rsidR="00AF6F6C" w:rsidRPr="004C1787" w:rsidRDefault="00AF6F6C" w:rsidP="00461889">
      <w:pPr>
        <w:pStyle w:val="afff3"/>
        <w:widowControl/>
        <w:numPr>
          <w:ilvl w:val="0"/>
          <w:numId w:val="266"/>
        </w:numPr>
        <w:autoSpaceDE/>
        <w:autoSpaceDN/>
        <w:adjustRightInd/>
        <w:ind w:left="1134"/>
        <w:rPr>
          <w:bCs/>
          <w:szCs w:val="24"/>
        </w:rPr>
      </w:pPr>
      <w:r w:rsidRPr="004C1787">
        <w:rPr>
          <w:szCs w:val="24"/>
        </w:rPr>
        <w:lastRenderedPageBreak/>
        <w:t>Контрастные артерио- и венографии выявляют локализацию и анатомические особенности тромботических процессов.</w:t>
      </w:r>
    </w:p>
    <w:p w14:paraId="731AAF2D" w14:textId="77777777" w:rsidR="00AF6F6C" w:rsidRPr="004C1787" w:rsidRDefault="00AF6F6C" w:rsidP="00461889">
      <w:pPr>
        <w:pStyle w:val="afff3"/>
        <w:widowControl/>
        <w:numPr>
          <w:ilvl w:val="0"/>
          <w:numId w:val="266"/>
        </w:numPr>
        <w:autoSpaceDE/>
        <w:autoSpaceDN/>
        <w:adjustRightInd/>
        <w:ind w:left="1134"/>
        <w:rPr>
          <w:bCs/>
          <w:szCs w:val="24"/>
        </w:rPr>
      </w:pPr>
      <w:r w:rsidRPr="004C1787">
        <w:rPr>
          <w:szCs w:val="24"/>
        </w:rPr>
        <w:t>ЭхоКГ для оценки легочной гипертензии.</w:t>
      </w:r>
    </w:p>
    <w:p w14:paraId="61BF3C32" w14:textId="77777777" w:rsidR="00AF6F6C" w:rsidRPr="004C1787" w:rsidRDefault="00AF6F6C" w:rsidP="00461889">
      <w:pPr>
        <w:pStyle w:val="afff3"/>
        <w:widowControl/>
        <w:numPr>
          <w:ilvl w:val="0"/>
          <w:numId w:val="266"/>
        </w:numPr>
        <w:autoSpaceDE/>
        <w:autoSpaceDN/>
        <w:adjustRightInd/>
        <w:ind w:left="1134"/>
        <w:rPr>
          <w:bCs/>
          <w:szCs w:val="24"/>
        </w:rPr>
      </w:pPr>
      <w:r>
        <w:t>Для установления объема опухолевого поражения и степени компрессии сосудов опухолью возможно проведение по показаниям КТ и УЗИ органов и полостей.</w:t>
      </w:r>
    </w:p>
    <w:p w14:paraId="007524E8" w14:textId="77777777" w:rsidR="00AF6F6C" w:rsidRDefault="00AF6F6C" w:rsidP="00AF6F6C">
      <w:pPr>
        <w:pStyle w:val="Numlist"/>
        <w:ind w:firstLine="709"/>
        <w:rPr>
          <w:b/>
        </w:rPr>
      </w:pPr>
    </w:p>
    <w:p w14:paraId="29158A7C" w14:textId="77777777" w:rsidR="00AF6F6C" w:rsidRDefault="00AF6F6C" w:rsidP="00AF6F6C">
      <w:pPr>
        <w:pStyle w:val="Numlist"/>
        <w:ind w:firstLine="709"/>
      </w:pPr>
      <w:r w:rsidRPr="004C1787">
        <w:rPr>
          <w:bCs/>
          <w:i/>
          <w:iCs/>
        </w:rPr>
        <w:t>Консультации специалистов</w:t>
      </w:r>
      <w:r>
        <w:t xml:space="preserve"> проводятся при необходимости уточнения тактики ведения пациентов с тромботическими осложнениями. По показаниям возможны консультации: ангиохирурга, травматолога-ортопеда, хирурга, уролога, невролога, кардиолога, ревматолога, оториноларинголога, гепатолога и др. специалистов </w:t>
      </w:r>
      <w:r>
        <w:fldChar w:fldCharType="begin" w:fldLock="1"/>
      </w:r>
      <w:r>
        <w:instrText>ADDIN CSL_CITATION {"citationItems":[{"id":"ITEM-1","itemData":{"author":[{"dropping-particle":"","family":"Воробьев","given":"А.И.","non-dropping-particle":"","parse-names":false,"suffix":""},{"dropping-particle":"","family":"Васильев","given":"С.А.","non-dropping-particle":"","parse-names":false,"suffix":""},{"dropping-particle":"","family":"Городецкий","given":"В.М.","non-dropping-particle":"","parse-names":false,"suffix":""},{"dropping-particle":"","family":"Шевелев","given":"А.А.","non-dropping-particle":"","parse-names":false,"suffix":""},{"dropping-particle":"","family":"Горгидзе","given":"Л.А.","non-dropping-particle":"","parse-names":false,"suffix":""},{"dropping-particle":"","family":"Кременецкая","given":"О.С.","non-dropping-particle":"","parse-names":false,"suffix":""},{"dropping-particle":"","family":"Шкловский-Корди","given":"Н.Е.","non-dropping-particle":"","parse-names":false,"suffix":""}],"container-title":"Гематология и трансфузиология","id":"ITEM-1","issue":"3","issued":{"date-parts":[["2016"]]},"page":"116-122","title":"Гиперкоагуляционный синдром: классификация, патогенез, диагностика, терапия","type":"article-journal","volume":"61"},"uris":["http://www.mendeley.com/documents/?uuid=9198cd60-8a8e-46bc-9cfc-b0a20a2d96ea"]}],"mendeley":{"formattedCitation":"[110]","plainTextFormattedCitation":"[110]","previouslyFormattedCitation":"[110]"},"properties":{"noteIndex":0},"schema":"https://github.com/citation-style-language/schema/raw/master/csl-citation.json"}</w:instrText>
      </w:r>
      <w:r>
        <w:fldChar w:fldCharType="separate"/>
      </w:r>
      <w:r>
        <w:rPr>
          <w:noProof/>
        </w:rPr>
        <w:t>[111</w:t>
      </w:r>
      <w:r w:rsidRPr="008A5D58">
        <w:rPr>
          <w:noProof/>
        </w:rPr>
        <w:t>]</w:t>
      </w:r>
      <w:r>
        <w:fldChar w:fldCharType="end"/>
      </w:r>
      <w:r>
        <w:t>.</w:t>
      </w:r>
    </w:p>
    <w:p w14:paraId="3A6E8559" w14:textId="77777777" w:rsidR="00AF6F6C" w:rsidRDefault="00AF6F6C" w:rsidP="00AF6F6C">
      <w:pPr>
        <w:rPr>
          <w:b/>
        </w:rPr>
      </w:pPr>
    </w:p>
    <w:p w14:paraId="3CFE858E" w14:textId="77777777" w:rsidR="00AF6F6C" w:rsidRPr="004C1787" w:rsidRDefault="00AF6F6C" w:rsidP="00AF6F6C">
      <w:pPr>
        <w:rPr>
          <w:bCs/>
          <w:i/>
          <w:iCs/>
          <w:u w:val="single"/>
        </w:rPr>
      </w:pPr>
      <w:r w:rsidRPr="004C1787">
        <w:rPr>
          <w:bCs/>
          <w:i/>
          <w:iCs/>
          <w:u w:val="single"/>
        </w:rPr>
        <w:t>Общие принципы профилактики ВТЭО</w:t>
      </w:r>
      <w:r>
        <w:rPr>
          <w:bCs/>
          <w:i/>
          <w:iCs/>
          <w:u w:val="single"/>
        </w:rPr>
        <w:t xml:space="preserve"> </w:t>
      </w:r>
      <w:r>
        <w:rPr>
          <w:i/>
          <w:iCs/>
          <w:u w:val="single"/>
        </w:rPr>
        <w:t>у пациентов с лейкозом.</w:t>
      </w:r>
    </w:p>
    <w:p w14:paraId="0B566F0F" w14:textId="77777777" w:rsidR="00AF6F6C" w:rsidRDefault="00AF6F6C" w:rsidP="00AF6F6C">
      <w:pPr>
        <w:pStyle w:val="Numlist"/>
        <w:ind w:firstLine="709"/>
      </w:pPr>
      <w:r>
        <w:t>Риск тромботических осложнений при проведении химиотерапии у пациента с лейкозом может быть высоким. На более высокий риск развития тромботических нарушений указывают тромбозы в анамнезе; привычное невынашивание беременности; одновременное выявление трех и более показателей, характеризующих гиперкоагуляционное состояние, а именно укорочение (замедление) АЧТВ, повышение концентрации протромбина, фибриногена, D-димера, угнетение (замедление) XIIa-зависимого фибринолиза; повышение количества тромбоцитов и их агрегабельности; гиперкоагуляция при тромбоэластографии, тромбодинамике, в тесте определения тромбинового потенциала; генетические тромбофилии (мутации генов протромбина G20210A, фактора V Лейден); дефицит АТ III, протеина С и протеина S; гипергомоцистеинемия; наличие АФС; применение овариопротекторов и глюкокортикоидов.</w:t>
      </w:r>
    </w:p>
    <w:p w14:paraId="0DEF3718" w14:textId="77777777" w:rsidR="00AF6F6C" w:rsidRPr="00F855C8" w:rsidRDefault="00AF6F6C" w:rsidP="00AF6F6C">
      <w:pPr>
        <w:ind w:firstLine="709"/>
      </w:pPr>
      <w:r>
        <w:t>С целью определения тактики ведения пациента у</w:t>
      </w:r>
      <w:r w:rsidRPr="00F855C8">
        <w:t xml:space="preserve"> каждого больного должна быть оценена степень риска развития ВТЭО; у больных, получающих лекарственную противоопухолевую терапию, следует учитывать до</w:t>
      </w:r>
      <w:r>
        <w:t>полнительные факторы риска ВТЭО.</w:t>
      </w:r>
      <w:r w:rsidRPr="00F855C8">
        <w:t xml:space="preserve"> </w:t>
      </w:r>
    </w:p>
    <w:p w14:paraId="2D214061" w14:textId="77777777" w:rsidR="00AF6F6C" w:rsidRPr="00111FC7" w:rsidRDefault="00AF6F6C" w:rsidP="00AF6F6C">
      <w:pPr>
        <w:ind w:firstLine="709"/>
      </w:pPr>
      <w:r w:rsidRPr="00111FC7">
        <w:t>Профилактические мероприятия следует проводить у всех больных, относящихся к группам риска</w:t>
      </w:r>
      <w:r>
        <w:t xml:space="preserve"> </w:t>
      </w:r>
      <w:r>
        <w:fldChar w:fldCharType="begin" w:fldLock="1"/>
      </w:r>
      <w:r>
        <w:instrText>ADDIN CSL_CITATION {"citationItems":[{"id":"ITEM-1","itemData":{"author":[{"dropping-particle":"","family":"Воробьев","given":"А.И.","non-dropping-particle":"","parse-names":false,"suffix":""},{"dropping-particle":"","family":"Васильев","given":"С.А.","non-dropping-particle":"","parse-names":false,"suffix":""},{"dropping-particle":"","family":"Городецкий","given":"В.М.","non-dropping-particle":"","parse-names":false,"suffix":""},{"dropping-particle":"","family":"Шевелев","given":"А.А.","non-dropping-particle":"","parse-names":false,"suffix":""},{"dropping-particle":"","family":"Горгидзе","given":"Л.А.","non-dropping-particle":"","parse-names":false,"suffix":""},{"dropping-particle":"","family":"Кременецкая","given":"О.С.","non-dropping-particle":"","parse-names":false,"suffix":""},{"dropping-particle":"","family":"Шкловский-Корди","given":"Н.Е.","non-dropping-particle":"","parse-names":false,"suffix":""}],"container-title":"Гематология и трансфузиология","id":"ITEM-1","issue":"3","issued":{"date-parts":[["2016"]]},"page":"116-122","title":"Гиперкоагуляционный синдром: классификация, патогенез, диагностика, терапия","type":"article-journal","volume":"61"},"uris":["http://www.mendeley.com/documents/?uuid=9198cd60-8a8e-46bc-9cfc-b0a20a2d96ea"]},{"id":"ITEM-2","itemData":{"ISBN":"978-5-98811-165-8","author":[{"dropping-particle":"","family":"Пантелеев","given":"М.А.","non-dropping-particle":"","parse-names":false,"suffix":""},{"dropping-particle":"","family":"Васильев","given":"С.А.","non-dropping-particle":"","parse-names":false,"suffix":""},{"dropping-particle":"","family":"Синауридзе","given":"Е.И.","non-dropping-particle":"","parse-names":false,"suffix":""},{"dropping-particle":"","family":"Атауллаханов","given":"Ф.И.","non-dropping-particle":"","parse-names":false,"suffix":""}],"id":"ITEM-2","issued":{"date-parts":[["2010"]]},"number-of-pages":"192","title":"Практическая коагулология","type":"book"},"uris":["http://www.mendeley.com/documents/?uuid=36d7b04e-d654-47d2-a073-3cc2bb6e80ce"]}],"mendeley":{"formattedCitation":"[102,110]","plainTextFormattedCitation":"[102,110]","previouslyFormattedCitation":"[102,110]"},"properties":{"noteIndex":0},"schema":"https://github.com/citation-style-language/schema/raw/master/csl-citation.json"}</w:instrText>
      </w:r>
      <w:r>
        <w:fldChar w:fldCharType="separate"/>
      </w:r>
      <w:r>
        <w:rPr>
          <w:noProof/>
        </w:rPr>
        <w:t>[103,111</w:t>
      </w:r>
      <w:r w:rsidRPr="008A5D58">
        <w:rPr>
          <w:noProof/>
        </w:rPr>
        <w:t>]</w:t>
      </w:r>
      <w:r>
        <w:fldChar w:fldCharType="end"/>
      </w:r>
      <w:r w:rsidRPr="00111FC7">
        <w:t>:</w:t>
      </w:r>
    </w:p>
    <w:p w14:paraId="6FAF869A" w14:textId="77777777" w:rsidR="00AF6F6C" w:rsidRDefault="00AF6F6C" w:rsidP="00461889">
      <w:pPr>
        <w:pStyle w:val="afff3"/>
        <w:widowControl/>
        <w:numPr>
          <w:ilvl w:val="0"/>
          <w:numId w:val="259"/>
        </w:numPr>
        <w:autoSpaceDE/>
        <w:autoSpaceDN/>
        <w:adjustRightInd/>
        <w:rPr>
          <w:szCs w:val="24"/>
        </w:rPr>
      </w:pPr>
      <w:r>
        <w:rPr>
          <w:szCs w:val="24"/>
        </w:rPr>
        <w:t xml:space="preserve">обеспечение максимально возможной активности мышц нижних конечностей пациентов, находящихся на длительном постельном режиме, местные процедуры, увеличивающие объемный поток крови через глубокие вены нижних </w:t>
      </w:r>
      <w:r>
        <w:rPr>
          <w:szCs w:val="24"/>
        </w:rPr>
        <w:lastRenderedPageBreak/>
        <w:t>конечностей (эластическая компрессия нижних конечностей, перемежающаяся пневмокомпрессия, венозный насос для стопы);</w:t>
      </w:r>
    </w:p>
    <w:p w14:paraId="3BCBB915" w14:textId="77777777" w:rsidR="00AF6F6C" w:rsidRDefault="00AF6F6C" w:rsidP="00461889">
      <w:pPr>
        <w:pStyle w:val="afff3"/>
        <w:widowControl/>
        <w:numPr>
          <w:ilvl w:val="0"/>
          <w:numId w:val="259"/>
        </w:numPr>
        <w:autoSpaceDE/>
        <w:autoSpaceDN/>
        <w:adjustRightInd/>
        <w:rPr>
          <w:szCs w:val="24"/>
        </w:rPr>
      </w:pPr>
      <w:r>
        <w:rPr>
          <w:szCs w:val="24"/>
        </w:rPr>
        <w:t>массаж, активные и пассивные нагрузки на верхние конечности, улучшающие циркуляцию крови; механические способы профилактики (компрессионный трикотаж, перемежающаяся пневматическая компрессия);</w:t>
      </w:r>
    </w:p>
    <w:p w14:paraId="11882D47" w14:textId="77777777" w:rsidR="00AF6F6C" w:rsidRPr="0019724D" w:rsidRDefault="00AF6F6C" w:rsidP="00461889">
      <w:pPr>
        <w:pStyle w:val="afff3"/>
        <w:widowControl/>
        <w:numPr>
          <w:ilvl w:val="0"/>
          <w:numId w:val="259"/>
        </w:numPr>
        <w:autoSpaceDE/>
        <w:autoSpaceDN/>
        <w:adjustRightInd/>
        <w:rPr>
          <w:szCs w:val="24"/>
        </w:rPr>
      </w:pPr>
      <w:r>
        <w:rPr>
          <w:szCs w:val="24"/>
        </w:rPr>
        <w:t>о</w:t>
      </w:r>
      <w:r w:rsidRPr="0019724D">
        <w:rPr>
          <w:szCs w:val="24"/>
        </w:rPr>
        <w:t xml:space="preserve">собенно важно применять механические способы профилактики при наличии противопоказаний к использованию антикоагулянтов; </w:t>
      </w:r>
    </w:p>
    <w:p w14:paraId="303DBDAF" w14:textId="77777777" w:rsidR="00AF6F6C" w:rsidRDefault="00AF6F6C" w:rsidP="00461889">
      <w:pPr>
        <w:pStyle w:val="afff3"/>
        <w:widowControl/>
        <w:numPr>
          <w:ilvl w:val="0"/>
          <w:numId w:val="259"/>
        </w:numPr>
        <w:autoSpaceDE/>
        <w:autoSpaceDN/>
        <w:adjustRightInd/>
        <w:rPr>
          <w:szCs w:val="24"/>
        </w:rPr>
      </w:pPr>
      <w:r>
        <w:rPr>
          <w:szCs w:val="24"/>
        </w:rPr>
        <w:t>у больных с крайне высоким риском ВТЭО медикаментозная и механическая профилактика должны сочетаться;</w:t>
      </w:r>
    </w:p>
    <w:p w14:paraId="4BA2A197" w14:textId="77777777" w:rsidR="00AF6F6C" w:rsidRDefault="00AF6F6C" w:rsidP="00461889">
      <w:pPr>
        <w:pStyle w:val="afff3"/>
        <w:widowControl/>
        <w:numPr>
          <w:ilvl w:val="0"/>
          <w:numId w:val="259"/>
        </w:numPr>
        <w:autoSpaceDE/>
        <w:autoSpaceDN/>
        <w:adjustRightInd/>
        <w:rPr>
          <w:szCs w:val="24"/>
        </w:rPr>
      </w:pPr>
      <w:r>
        <w:rPr>
          <w:szCs w:val="24"/>
        </w:rPr>
        <w:t xml:space="preserve">проведение лекарственной тромбопрофилактики прямыми (парентеральными и пероральными) и непрямыми антикоагулянтами; </w:t>
      </w:r>
    </w:p>
    <w:p w14:paraId="391DEE7B" w14:textId="77777777" w:rsidR="00AF6F6C" w:rsidRDefault="00AF6F6C" w:rsidP="00461889">
      <w:pPr>
        <w:pStyle w:val="afff3"/>
        <w:widowControl/>
        <w:numPr>
          <w:ilvl w:val="0"/>
          <w:numId w:val="259"/>
        </w:numPr>
        <w:autoSpaceDE/>
        <w:autoSpaceDN/>
        <w:adjustRightInd/>
        <w:rPr>
          <w:szCs w:val="24"/>
        </w:rPr>
      </w:pPr>
      <w:r>
        <w:rPr>
          <w:szCs w:val="24"/>
        </w:rPr>
        <w:t xml:space="preserve">наличие острого кровотечения является абсолютным противопоказанием к назначению препаратов антикоагулянтного, антитромботического и антиагрегантного действия; </w:t>
      </w:r>
    </w:p>
    <w:p w14:paraId="4C52A93E" w14:textId="77777777" w:rsidR="00AF6F6C" w:rsidRDefault="00AF6F6C" w:rsidP="00461889">
      <w:pPr>
        <w:pStyle w:val="afff3"/>
        <w:widowControl/>
        <w:numPr>
          <w:ilvl w:val="0"/>
          <w:numId w:val="259"/>
        </w:numPr>
        <w:autoSpaceDE/>
        <w:autoSpaceDN/>
        <w:adjustRightInd/>
        <w:rPr>
          <w:szCs w:val="24"/>
        </w:rPr>
      </w:pPr>
      <w:r>
        <w:rPr>
          <w:szCs w:val="24"/>
        </w:rPr>
        <w:t xml:space="preserve">установка кава-фильтра в нижней полой вене при повторных ТЭЛА при применении адекватной схемы антикоагулянтной лекарственной профилактики;  </w:t>
      </w:r>
    </w:p>
    <w:p w14:paraId="1A339115" w14:textId="77777777" w:rsidR="00AF6F6C" w:rsidRDefault="00AF6F6C" w:rsidP="00461889">
      <w:pPr>
        <w:pStyle w:val="afff3"/>
        <w:widowControl/>
        <w:numPr>
          <w:ilvl w:val="0"/>
          <w:numId w:val="259"/>
        </w:numPr>
        <w:autoSpaceDE/>
        <w:autoSpaceDN/>
        <w:adjustRightInd/>
        <w:rPr>
          <w:szCs w:val="24"/>
        </w:rPr>
      </w:pPr>
      <w:r>
        <w:rPr>
          <w:szCs w:val="24"/>
        </w:rPr>
        <w:t xml:space="preserve">у пациентов после оперативных вмешательств - максимальная и возможно более ранняя активизация, включая методы пассивной нагрузки. </w:t>
      </w:r>
    </w:p>
    <w:p w14:paraId="47519923" w14:textId="77777777" w:rsidR="00AF6F6C" w:rsidRPr="008F4F80" w:rsidRDefault="00AF6F6C" w:rsidP="00461889">
      <w:pPr>
        <w:pStyle w:val="afff3"/>
        <w:widowControl/>
        <w:numPr>
          <w:ilvl w:val="0"/>
          <w:numId w:val="259"/>
        </w:numPr>
        <w:autoSpaceDE/>
        <w:autoSpaceDN/>
        <w:adjustRightInd/>
        <w:rPr>
          <w:szCs w:val="24"/>
        </w:rPr>
      </w:pPr>
      <w:r w:rsidRPr="008F4F80">
        <w:t>Проводить профилактику следует до тех пор, пока сохраняется высокий риск развития тромботических осложнений (месяцы и годы).</w:t>
      </w:r>
    </w:p>
    <w:p w14:paraId="206CAAA2" w14:textId="77777777" w:rsidR="00AF6F6C" w:rsidRDefault="00AF6F6C" w:rsidP="00AF6F6C">
      <w:pPr>
        <w:pStyle w:val="3"/>
        <w:ind w:firstLine="709"/>
        <w:rPr>
          <w:b w:val="0"/>
          <w:bCs w:val="0"/>
          <w:i/>
          <w:iCs/>
          <w:szCs w:val="24"/>
          <w:u w:val="single"/>
        </w:rPr>
      </w:pPr>
    </w:p>
    <w:p w14:paraId="03DAD74E" w14:textId="77777777" w:rsidR="00AF6F6C" w:rsidRPr="00CC01E1" w:rsidRDefault="00AF6F6C" w:rsidP="00AF6F6C">
      <w:pPr>
        <w:pStyle w:val="afff7"/>
        <w:spacing w:beforeAutospacing="0" w:afterAutospacing="0"/>
        <w:rPr>
          <w:i/>
          <w:iCs/>
          <w:u w:val="single"/>
        </w:rPr>
      </w:pPr>
      <w:r w:rsidRPr="00F149A1">
        <w:rPr>
          <w:i/>
          <w:iCs/>
          <w:u w:val="single"/>
        </w:rPr>
        <w:t>Профилактика и лечение тромботических нарушений</w:t>
      </w:r>
      <w:r>
        <w:rPr>
          <w:i/>
          <w:iCs/>
          <w:u w:val="single"/>
        </w:rPr>
        <w:t xml:space="preserve"> у пациентов с лейкозом.</w:t>
      </w:r>
    </w:p>
    <w:p w14:paraId="7D8285A0" w14:textId="77777777" w:rsidR="00AF6F6C" w:rsidRDefault="00AF6F6C" w:rsidP="00AF6F6C">
      <w:pPr>
        <w:ind w:firstLine="709"/>
        <w:contextualSpacing/>
      </w:pPr>
      <w:r>
        <w:t xml:space="preserve">При выявлении ВТЭО и определении его давности, локализации, распространенности, назначается соответствующая терапия </w:t>
      </w:r>
      <w:r>
        <w:fldChar w:fldCharType="begin" w:fldLock="1"/>
      </w:r>
      <w:r>
        <w:instrText>ADDIN CSL_CITATION {"citationItems":[{"id":"ITEM-1","itemData":{"author":[{"dropping-particle":"","family":"Воробьев","given":"А.И.","non-dropping-particle":"","parse-names":false,"suffix":""},{"dropping-particle":"","family":"Васильев","given":"С.А.","non-dropping-particle":"","parse-names":false,"suffix":""},{"dropping-particle":"","family":"Городецкий","given":"В.М.","non-dropping-particle":"","parse-names":false,"suffix":""},{"dropping-particle":"","family":"Шевелев","given":"А.А.","non-dropping-particle":"","parse-names":false,"suffix":""},{"dropping-particle":"","family":"Горгидзе","given":"Л.А.","non-dropping-particle":"","parse-names":false,"suffix":""},{"dropping-particle":"","family":"Кременецкая","given":"О.С.","non-dropping-particle":"","parse-names":false,"suffix":""},{"dropping-particle":"","family":"Шкловский-Корди","given":"Н.Е.","non-dropping-particle":"","parse-names":false,"suffix":""}],"container-title":"Гематология и трансфузиология","id":"ITEM-1","issue":"3","issued":{"date-parts":[["2016"]]},"page":"116-122","title":"Гиперкоагуляционный синдром: классификация, патогенез, диагностика, терапия","type":"article-journal","volume":"61"},"uris":["http://www.mendeley.com/documents/?uuid=9198cd60-8a8e-46bc-9cfc-b0a20a2d96ea"]},{"id":"ITEM-2","itemData":{"ISBN":"978-5-98811-165-8","author":[{"dropping-particle":"","family":"Пантелеев","given":"М.А.","non-dropping-particle":"","parse-names":false,"suffix":""},{"dropping-particle":"","family":"Васильев","given":"С.А.","non-dropping-particle":"","parse-names":false,"suffix":""},{"dropping-particle":"","family":"Синауридзе","given":"Е.И.","non-dropping-particle":"","parse-names":false,"suffix":""},{"dropping-particle":"","family":"Атауллаханов","given":"Ф.И.","non-dropping-particle":"","parse-names":false,"suffix":""}],"id":"ITEM-2","issued":{"date-parts":[["2010"]]},"number-of-pages":"192","title":"Практическая коагулология","type":"book"},"uris":["http://www.mendeley.com/documents/?uuid=36d7b04e-d654-47d2-a073-3cc2bb6e80ce"]}],"mendeley":{"formattedCitation":"[102,110]","plainTextFormattedCitation":"[102,110]","previouslyFormattedCitation":"[102,110]"},"properties":{"noteIndex":0},"schema":"https://github.com/citation-style-language/schema/raw/master/csl-citation.json"}</w:instrText>
      </w:r>
      <w:r>
        <w:fldChar w:fldCharType="separate"/>
      </w:r>
      <w:r>
        <w:rPr>
          <w:noProof/>
        </w:rPr>
        <w:t>[103,111</w:t>
      </w:r>
      <w:r w:rsidRPr="008A5D58">
        <w:rPr>
          <w:noProof/>
        </w:rPr>
        <w:t>]</w:t>
      </w:r>
      <w:r>
        <w:fldChar w:fldCharType="end"/>
      </w:r>
      <w:r>
        <w:t>. Терапия должна проводиться в течение всего периода проведения специфической терапии основного гематологического заболевания в стационарных и/или амбулаторных условиях. Пациенты с острыми тромбозами чаще всего нуждаются в госпитализации в стационар.</w:t>
      </w:r>
    </w:p>
    <w:p w14:paraId="134D5778" w14:textId="77777777" w:rsidR="00AF6F6C" w:rsidRDefault="00AF6F6C" w:rsidP="00AF6F6C">
      <w:pPr>
        <w:rPr>
          <w:u w:val="single"/>
        </w:rPr>
      </w:pPr>
    </w:p>
    <w:p w14:paraId="19215250" w14:textId="77777777" w:rsidR="00AF6F6C" w:rsidRDefault="00AF6F6C" w:rsidP="00AF6F6C">
      <w:pPr>
        <w:rPr>
          <w:u w:val="single"/>
        </w:rPr>
      </w:pPr>
      <w:r>
        <w:rPr>
          <w:u w:val="single"/>
        </w:rPr>
        <w:t>Медикаментозная терапия.</w:t>
      </w:r>
    </w:p>
    <w:p w14:paraId="2E5F97FD" w14:textId="77777777" w:rsidR="00AF6F6C" w:rsidRPr="003F7AC3" w:rsidRDefault="00AF6F6C" w:rsidP="00AF6F6C">
      <w:pPr>
        <w:ind w:firstLine="708"/>
      </w:pPr>
      <w:r w:rsidRPr="003F7AC3">
        <w:t>1) Антикоагулянтная терапия</w:t>
      </w:r>
      <w:r>
        <w:t xml:space="preserve"> </w:t>
      </w:r>
      <w:r>
        <w:fldChar w:fldCharType="begin" w:fldLock="1"/>
      </w:r>
      <w:r>
        <w:instrText>ADDIN CSL_CITATION {"citationItems":[{"id":"ITEM-1","itemData":{"author":[{"dropping-particle":"","family":"Воробьев","given":"А.И.","non-dropping-particle":"","parse-names":false,"suffix":""},{"dropping-particle":"","family":"Васильев","given":"С.А.","non-dropping-particle":"","parse-names":false,"suffix":""},{"dropping-particle":"","family":"Городецкий","given":"В.М.","non-dropping-particle":"","parse-names":false,"suffix":""},{"dropping-particle":"","family":"Шевелев","given":"А.А.","non-dropping-particle":"","parse-names":false,"suffix":""},{"dropping-particle":"","family":"Горгидзе","given":"Л.А.","non-dropping-particle":"","parse-names":false,"suffix":""},{"dropping-particle":"","family":"Кременецкая","given":"О.С.","non-dropping-particle":"","parse-names":false,"suffix":""},{"dropping-particle":"","family":"Шкловский-Корди","given":"Н.Е.","non-dropping-particle":"","parse-names":false,"suffix":""}],"container-title":"Гематология и трансфузиология","id":"ITEM-1","issue":"3","issued":{"date-parts":[["2016"]]},"page":"116-122","title":"Гиперкоагуляционный синдром: классификация, патогенез, диагностика, терапия","type":"article-journal","volume":"61"},"uris":["http://www.mendeley.com/documents/?uuid=9198cd60-8a8e-46bc-9cfc-b0a20a2d96ea"]},{"id":"ITEM-2","itemData":{"DOI":"10.1016/j.critrevonc.2018.02.003","ISSN":"18790461","PMID":"29548485","abstract":"Venous Thromboembolism (VTE) frequently complicates the course of hematologic malignancies (HM) and its incidence is similar to that observed in high-risk solid tumors. Despite that, pharmacologic prophylaxis and treatment of VTE in patients with HM is challenging, mainly because a severe thrombocytopenia frequently complicates the course of treatments or may be present since diagnosis, thus increasing the risk of bleeding. Therefore, in this setting, safe and effective methods of VTE prophylaxis and treatment have not been well defined and hematologists generally refer to guidelines produced for cancer patients that give indications on anticoagulation in patients with thrombocytopenia. In this review, besides to summarize the incidence and the available data on prophylaxis and treatment of VTE in HM, we give some advices on how to use antithrombotic drugs in patients with HM according to platelets count.","author":[{"dropping-particle":"","family":"Annibali","given":"Ombretta","non-dropping-particle":"","parse-names":false,"suffix":""},{"dropping-particle":"","family":"Napolitano","given":"Mariasanta","non-dropping-particle":"","parse-names":false,"suffix":""},{"dropping-particle":"","family":"Avvisati","given":"Giuseppe","non-dropping-particle":"","parse-names":false,"suffix":""},{"dropping-particle":"","family":"Siragusa","given":"Sergio","non-dropping-particle":"","parse-names":false,"suffix":""}],"container-title":"Critical Reviews in Oncology/Hematology","id":"ITEM-2","issued":{"date-parts":[["2018","4","1"]]},"page":"41-50","publisher":"Elsevier Ireland Ltd","title":"Incidence of venous thromboembolism and use of anticoagulation in hematological malignancies: Critical review of the literature","type":"article","volume":"124"},"uris":["http://www.mendeley.com/documents/?uuid=22f80e37-ad15-39e0-a4bd-123ad1adb983"]},{"id":"ITEM-3","itemData":{"ISBN":"978-5-98811-165-8","author":[{"dropping-particle":"","family":"Пантелеев","given":"М.А.","non-dropping-particle":"","parse-names":false,"suffix":""},{"dropping-particle":"","family":"Васильев","given":"С.А.","non-dropping-particle":"","parse-names":false,"suffix":""},{"dropping-particle":"","family":"Синауридзе","given":"Е.И.","non-dropping-particle":"","parse-names":false,"suffix":""},{"dropping-particle":"","family":"Атауллаханов","given":"Ф.И.","non-dropping-particle":"","parse-names":false,"suffix":""}],"id":"ITEM-3","issued":{"date-parts":[["2010"]]},"number-of-pages":"192","title":"Практическая коагулология","type":"book"},"uris":["http://www.mendeley.com/documents/?uuid=36d7b04e-d654-47d2-a073-3cc2bb6e80ce"]}],"mendeley":{"formattedCitation":"[102,108,110]","plainTextFormattedCitation":"[102,108,110]","previouslyFormattedCitation":"[102,108,110]"},"properties":{"noteIndex":0},"schema":"https://github.com/citation-style-language/schema/raw/master/csl-citation.json"}</w:instrText>
      </w:r>
      <w:r>
        <w:fldChar w:fldCharType="separate"/>
      </w:r>
      <w:r>
        <w:rPr>
          <w:noProof/>
        </w:rPr>
        <w:t>[103,109,111</w:t>
      </w:r>
      <w:r w:rsidRPr="008A5D58">
        <w:rPr>
          <w:noProof/>
        </w:rPr>
        <w:t>]</w:t>
      </w:r>
      <w:r>
        <w:fldChar w:fldCharType="end"/>
      </w:r>
      <w:r>
        <w:t>.</w:t>
      </w:r>
    </w:p>
    <w:p w14:paraId="24567EFB" w14:textId="77777777" w:rsidR="00AF6F6C" w:rsidRDefault="00AF6F6C" w:rsidP="00AF6F6C">
      <w:pPr>
        <w:ind w:firstLine="709"/>
      </w:pPr>
      <w:r>
        <w:t>Осуществляется лечение нефракционированным гепарином (НФГ), предпочтительно путем постоянного внутривенного введения при помощи инфузомата</w:t>
      </w:r>
      <w:r w:rsidRPr="00987C04">
        <w:t xml:space="preserve"> </w:t>
      </w:r>
      <w:r>
        <w:fldChar w:fldCharType="begin" w:fldLock="1"/>
      </w:r>
      <w:r>
        <w:instrText>ADDIN CSL_CITATION {"citationItems":[{"id":"ITEM-1","itemData":{"author":[{"dropping-particle":"","family":"Weitz","given":"I. C.","non-dropping-particle":"","parse-names":false,"suffix":""},{"dropping-particle":"","family":"Israel","given":"V. K.","non-dropping-particle":"","parse-names":false,"suffix":""},{"dropping-particle":"","family":"Waisman","given":"James R","non-dropping-particle":"","parse-names":false,"suffix":""},{"dropping-particle":"","family":"Presant","given":"Cary A","non-dropping-particle":"","parse-names":false,"suffix":""},{"dropping-particle":"","family":"Rochanda","given":"Leanne","non-dropping-particle":"","parse-names":false,"suffix":""},{"dropping-particle":"","family":"Liebman","given":"Howard A","non-dropping-particle":"","parse-names":false,"suffix":""}],"container-title":"Thrombosis and Haemostasis","id":"ITEM-1","issue":"2","issued":{"date-parts":[["2002"]]},"page":"213-220","title":"Chemotherapy-induced activation of hemostasis: effect of a low molecular weight heparin (dalteparin sodium) on plasma markers of hemostatic activation","type":"article-journal","volume":"88"},"uris":["http://www.mendeley.com/documents/?uuid=4bd2d375-bafa-4614-b494-989a99e4214d"]}],"mendeley":{"formattedCitation":"[112]","plainTextFormattedCitation":"[112]","previouslyFormattedCitation":"[112]"},"properties":{"noteIndex":0},"schema":"https://github.com/citation-style-language/schema/raw/master/csl-citation.json"}</w:instrText>
      </w:r>
      <w:r>
        <w:fldChar w:fldCharType="separate"/>
      </w:r>
      <w:r>
        <w:rPr>
          <w:noProof/>
        </w:rPr>
        <w:t>[113</w:t>
      </w:r>
      <w:r w:rsidRPr="008A5D58">
        <w:rPr>
          <w:noProof/>
        </w:rPr>
        <w:t>]</w:t>
      </w:r>
      <w:r>
        <w:fldChar w:fldCharType="end"/>
      </w:r>
      <w:r>
        <w:t xml:space="preserve">. Доза гепарина подбирается по АЧТВ, которое должно составлять 1,5-2 нормы. Начальная доза гепарина составляет 1000 МЕ/час. Профилактические и лечебные режимы </w:t>
      </w:r>
      <w:r>
        <w:lastRenderedPageBreak/>
        <w:t xml:space="preserve">введения НФГ представлены в таблицах 1 и 2. </w:t>
      </w:r>
    </w:p>
    <w:p w14:paraId="25523442" w14:textId="77777777" w:rsidR="00AF6F6C" w:rsidRDefault="00AF6F6C" w:rsidP="00AF6F6C">
      <w:pPr>
        <w:ind w:firstLine="709"/>
      </w:pPr>
      <w:r>
        <w:t>Если количество тромбоцитов в крови меньше 100 х 10</w:t>
      </w:r>
      <w:r>
        <w:rPr>
          <w:vertAlign w:val="superscript"/>
        </w:rPr>
        <w:t>9</w:t>
      </w:r>
      <w:r>
        <w:t>/л, дозу НФГ снижают вдвое; если меньше 50х10</w:t>
      </w:r>
      <w:r>
        <w:rPr>
          <w:vertAlign w:val="superscript"/>
        </w:rPr>
        <w:t>9</w:t>
      </w:r>
      <w:r>
        <w:t>/л, НФГ отменяют. При развитии геморрагического синдрома любой тяжести введение НФГ прекращают и вводят протамина сульфат или свежезамороженную плазму (СЗП) 10</w:t>
      </w:r>
      <w:r>
        <w:rPr>
          <w:i/>
        </w:rPr>
        <w:t>—</w:t>
      </w:r>
      <w:r>
        <w:t xml:space="preserve">15 мл на кг массы тела. При гепаринотерапии обязателен контроль количества тромбоцитов в крови каждые 2-3 дня. В случае развития гепарин-индуцированной тромбоцитопении </w:t>
      </w:r>
      <w:r>
        <w:rPr>
          <w:lang w:val="en-US"/>
        </w:rPr>
        <w:t>II</w:t>
      </w:r>
      <w:r>
        <w:t xml:space="preserve"> типа (ГИТ </w:t>
      </w:r>
      <w:r>
        <w:rPr>
          <w:lang w:val="en-US"/>
        </w:rPr>
        <w:t>II</w:t>
      </w:r>
      <w:r>
        <w:t>) любые формы гепарина отменяются, не допускается промывка гепарином катетеров. При этом с антикоагулянтной целью применяются фондапаринукс или прямые оральные антикоагулянты (ривароксабан, дабигатран, апиксабан)</w:t>
      </w:r>
      <w:r w:rsidRPr="00E425CD">
        <w:t xml:space="preserve"> </w:t>
      </w:r>
      <w:r>
        <w:fldChar w:fldCharType="begin" w:fldLock="1"/>
      </w:r>
      <w:r>
        <w:instrText>ADDIN CSL_CITATION {"citationItems":[{"id":"ITEM-1","itemData":{"DOI":"10.1016/j.thromres.2015.01.009","ISSN":"18792472","PMID":"25613925","abstract":"Background Heparin induced thrombocytopenia (HIT) is a potentially catastrophic syndrome with a high incidence of vascular thrombosis. There are little data on the efficacy of new oral anticoagulants (NOAC) in this setting. This study reports on the outcome of patients with HIT, treated with NOAC. Materials and Methods We retrospectively identified 22 patients with HIT who were treated by our group with a combination of NOAC and a short course of argatroban. These patients were evaluated in a prospective fashion for development of outcomes at a mean follow up of 19 ± 3 months. Results There were a total of 5 deep and 2 superficial vein thromboses diagnosed at index hospitalization. No patient developed arterial thrombosis. All patients tolerated NOAC and their platelet count normalized before discharge. At 19 months of follow-up, 6 patients had died of non-thrombotic causes. There was no bleeding, limb loss or recurrent venous thromboembolism in any patient. Conclusions In patients with HIT, a short course of parenteral treatment with argatroban followed by administration of a NOAC is highly safe and effective in prevention of thrombosis and normalization of platelet count. Development of HIT however, portends a poor prognosis independent of vascular thrombosis.","author":[{"dropping-particle":"","family":"Sharifi","given":"Mohsen","non-dropping-particle":"","parse-names":false,"suffix":""},{"dropping-particle":"","family":"Bay","given":"Curt","non-dropping-particle":"","parse-names":false,"suffix":""},{"dropping-particle":"","family":"Vajo","given":"Zoltan","non-dropping-particle":"","parse-names":false,"suffix":""},{"dropping-particle":"","family":"Freeman","given":"Wilbur","non-dropping-particle":"","parse-names":false,"suffix":""},{"dropping-particle":"","family":"Sharifi","given":"Mirali","non-dropping-particle":"","parse-names":false,"suffix":""},{"dropping-particle":"","family":"Schwartz","given":"Frederic","non-dropping-particle":"","parse-names":false,"suffix":""}],"container-title":"Thrombosis Research","id":"ITEM-1","issue":"4","issued":{"date-parts":[["2015","4","1"]]},"page":"607-609","publisher":"Elsevier Ltd","title":"New oral anticoagulants in the treatment of heparin- Induced thrombocytopenia","type":"article-journal","volume":"135"},"uris":["http://www.mendeley.com/documents/?uuid=c18762a2-54f4-3dcb-8daf-003be3aa9168"]}],"mendeley":{"formattedCitation":"[113]","plainTextFormattedCitation":"[113]","previouslyFormattedCitation":"[113]"},"properties":{"noteIndex":0},"schema":"https://github.com/citation-style-language/schema/raw/master/csl-citation.json"}</w:instrText>
      </w:r>
      <w:r>
        <w:fldChar w:fldCharType="separate"/>
      </w:r>
      <w:r>
        <w:rPr>
          <w:noProof/>
        </w:rPr>
        <w:t>[114</w:t>
      </w:r>
      <w:r w:rsidRPr="008A5D58">
        <w:rPr>
          <w:noProof/>
        </w:rPr>
        <w:t>]</w:t>
      </w:r>
      <w:r>
        <w:fldChar w:fldCharType="end"/>
      </w:r>
      <w:r>
        <w:t xml:space="preserve">. </w:t>
      </w:r>
    </w:p>
    <w:p w14:paraId="5DAB8FFB" w14:textId="77777777" w:rsidR="00AF6F6C" w:rsidRDefault="00AF6F6C" w:rsidP="00AF6F6C">
      <w:pPr>
        <w:ind w:firstLine="709"/>
      </w:pPr>
      <w:r>
        <w:t>ГИТ необходимо дифференцировать с миелотоксической тромбоцитопенией. Дифференциальным признаком является панцитопения при миелотоксичности и изолированная тромбоцитопения при ГИТ. Изолированное снижение тромбоцитов может быть и при инфекционных осложнениях – как признак потребления при микротромбировании.</w:t>
      </w:r>
    </w:p>
    <w:p w14:paraId="19BF7F61" w14:textId="77777777" w:rsidR="00AF6F6C" w:rsidRDefault="00AF6F6C" w:rsidP="00AF6F6C">
      <w:pPr>
        <w:ind w:firstLine="709"/>
      </w:pPr>
      <w:r>
        <w:t>Альтернативой НФГ является подкожное введение низкомолекулярного гепарина (НМГ). Доза подбирается из расчета 100 анти-</w:t>
      </w:r>
      <w:r>
        <w:rPr>
          <w:lang w:val="en-US"/>
        </w:rPr>
        <w:t>Xa</w:t>
      </w:r>
      <w:r>
        <w:t xml:space="preserve"> МЕ на кг массы тела. Препарат НМГ вводится подкожно 1-2 раза в день. Профилактические и лечебные режимы введения НМГ представлены в таблицах 1 и 2. </w:t>
      </w:r>
    </w:p>
    <w:p w14:paraId="628674FE" w14:textId="77777777" w:rsidR="00AF6F6C" w:rsidRDefault="00AF6F6C" w:rsidP="00AF6F6C">
      <w:pPr>
        <w:ind w:firstLine="709"/>
      </w:pPr>
      <w:r>
        <w:t>Для контроля используется анти-</w:t>
      </w:r>
      <w:r>
        <w:rPr>
          <w:lang w:val="en-US"/>
        </w:rPr>
        <w:t>X</w:t>
      </w:r>
      <w:r>
        <w:t>а активность, максимальный пик которой должен составлять 0,3-1,0 МЕ/мл через 3-4 часа после введения НМГ, а именно:</w:t>
      </w:r>
    </w:p>
    <w:p w14:paraId="5B431C6C" w14:textId="77777777" w:rsidR="00AF6F6C" w:rsidRDefault="00AF6F6C" w:rsidP="00461889">
      <w:pPr>
        <w:pStyle w:val="afff3"/>
        <w:widowControl/>
        <w:numPr>
          <w:ilvl w:val="0"/>
          <w:numId w:val="256"/>
        </w:numPr>
        <w:autoSpaceDE/>
        <w:autoSpaceDN/>
        <w:adjustRightInd/>
        <w:ind w:left="1134"/>
        <w:rPr>
          <w:szCs w:val="24"/>
        </w:rPr>
      </w:pPr>
      <w:r>
        <w:rPr>
          <w:szCs w:val="24"/>
        </w:rPr>
        <w:t xml:space="preserve">при профилактической дозе НМГ – 0,3-0,4 МЕ/мл плазмы, </w:t>
      </w:r>
    </w:p>
    <w:p w14:paraId="38A64782" w14:textId="77777777" w:rsidR="00AF6F6C" w:rsidRDefault="00AF6F6C" w:rsidP="00461889">
      <w:pPr>
        <w:pStyle w:val="afff3"/>
        <w:widowControl/>
        <w:numPr>
          <w:ilvl w:val="0"/>
          <w:numId w:val="260"/>
        </w:numPr>
        <w:autoSpaceDE/>
        <w:autoSpaceDN/>
        <w:adjustRightInd/>
        <w:ind w:left="1134"/>
        <w:rPr>
          <w:szCs w:val="24"/>
        </w:rPr>
      </w:pPr>
      <w:r>
        <w:rPr>
          <w:szCs w:val="24"/>
        </w:rPr>
        <w:t>при лечебной дозе НМГ при введении 2 р/сут – 0,5-1,0 МЕ/мл плазмы,</w:t>
      </w:r>
    </w:p>
    <w:p w14:paraId="5E120BC2" w14:textId="77777777" w:rsidR="00AF6F6C" w:rsidRDefault="00AF6F6C" w:rsidP="00461889">
      <w:pPr>
        <w:pStyle w:val="afff3"/>
        <w:widowControl/>
        <w:numPr>
          <w:ilvl w:val="0"/>
          <w:numId w:val="260"/>
        </w:numPr>
        <w:autoSpaceDE/>
        <w:autoSpaceDN/>
        <w:adjustRightInd/>
        <w:ind w:left="1134"/>
        <w:rPr>
          <w:szCs w:val="24"/>
        </w:rPr>
      </w:pPr>
      <w:r>
        <w:rPr>
          <w:szCs w:val="24"/>
        </w:rPr>
        <w:t>при лечебной дозе НМГ при введении 1 р/сут – 1,0-2,0 МЕ/мл плазмы.</w:t>
      </w:r>
    </w:p>
    <w:p w14:paraId="755A00E4" w14:textId="77777777" w:rsidR="00AF6F6C" w:rsidRDefault="00AF6F6C" w:rsidP="00AF6F6C">
      <w:pPr>
        <w:ind w:left="708"/>
        <w:rPr>
          <w:bCs/>
        </w:rPr>
      </w:pPr>
    </w:p>
    <w:p w14:paraId="18E12EDB" w14:textId="77777777" w:rsidR="00AF6F6C" w:rsidRPr="00B46409" w:rsidRDefault="00AF6F6C" w:rsidP="00AF6F6C">
      <w:pPr>
        <w:rPr>
          <w:bCs/>
        </w:rPr>
      </w:pPr>
      <w:r>
        <w:rPr>
          <w:bCs/>
        </w:rPr>
        <w:t>Таблица 1</w:t>
      </w:r>
      <w:r w:rsidRPr="00B46409">
        <w:rPr>
          <w:bCs/>
        </w:rPr>
        <w:t xml:space="preserve">. Дозы антикоагулянтных препаратов </w:t>
      </w:r>
      <w:r w:rsidRPr="00B46409">
        <w:rPr>
          <w:bCs/>
          <w:iCs/>
        </w:rPr>
        <w:t>для профилактики</w:t>
      </w:r>
      <w:r>
        <w:rPr>
          <w:bCs/>
          <w:iCs/>
        </w:rPr>
        <w:t xml:space="preserve"> </w:t>
      </w:r>
      <w:r w:rsidRPr="00B46409">
        <w:rPr>
          <w:bCs/>
        </w:rPr>
        <w:t>тромботических осложнений</w:t>
      </w:r>
    </w:p>
    <w:tbl>
      <w:tblPr>
        <w:tblStyle w:val="1ff1"/>
        <w:tblW w:w="8676"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3998"/>
        <w:gridCol w:w="4678"/>
      </w:tblGrid>
      <w:tr w:rsidR="00AF6F6C" w:rsidRPr="00B46409" w14:paraId="188A20E2" w14:textId="77777777" w:rsidTr="00143441">
        <w:trPr>
          <w:trHeight w:val="452"/>
        </w:trPr>
        <w:tc>
          <w:tcPr>
            <w:tcW w:w="3998" w:type="dxa"/>
            <w:shd w:val="clear" w:color="auto" w:fill="auto"/>
          </w:tcPr>
          <w:p w14:paraId="11CF3D23" w14:textId="77777777" w:rsidR="00AF6F6C" w:rsidRPr="00B46409" w:rsidRDefault="00AF6F6C" w:rsidP="00143441">
            <w:pPr>
              <w:jc w:val="center"/>
              <w:rPr>
                <w:bCs/>
              </w:rPr>
            </w:pPr>
            <w:r w:rsidRPr="00B46409">
              <w:rPr>
                <w:rFonts w:eastAsiaTheme="majorEastAsia"/>
                <w:bCs/>
              </w:rPr>
              <w:t>Терапия</w:t>
            </w:r>
          </w:p>
        </w:tc>
        <w:tc>
          <w:tcPr>
            <w:tcW w:w="4678" w:type="dxa"/>
            <w:shd w:val="clear" w:color="auto" w:fill="auto"/>
          </w:tcPr>
          <w:p w14:paraId="56691652" w14:textId="77777777" w:rsidR="00AF6F6C" w:rsidRPr="00B46409" w:rsidRDefault="00AF6F6C" w:rsidP="00143441">
            <w:pPr>
              <w:jc w:val="center"/>
              <w:rPr>
                <w:bCs/>
              </w:rPr>
            </w:pPr>
            <w:r w:rsidRPr="00B46409">
              <w:rPr>
                <w:rFonts w:eastAsiaTheme="majorEastAsia"/>
                <w:bCs/>
              </w:rPr>
              <w:t>Дозы</w:t>
            </w:r>
          </w:p>
        </w:tc>
      </w:tr>
      <w:tr w:rsidR="00AF6F6C" w:rsidRPr="00B46409" w14:paraId="5DDD89B7" w14:textId="77777777" w:rsidTr="00143441">
        <w:trPr>
          <w:trHeight w:val="452"/>
        </w:trPr>
        <w:tc>
          <w:tcPr>
            <w:tcW w:w="3998" w:type="dxa"/>
            <w:shd w:val="clear" w:color="auto" w:fill="auto"/>
          </w:tcPr>
          <w:p w14:paraId="061C3075" w14:textId="77777777" w:rsidR="00AF6F6C" w:rsidRPr="00B46409" w:rsidRDefault="00AF6F6C" w:rsidP="00143441">
            <w:pPr>
              <w:rPr>
                <w:bCs/>
              </w:rPr>
            </w:pPr>
            <w:r w:rsidRPr="00B46409">
              <w:rPr>
                <w:rFonts w:eastAsiaTheme="majorEastAsia"/>
                <w:bCs/>
              </w:rPr>
              <w:t>Нефракционированный гепарин</w:t>
            </w:r>
          </w:p>
        </w:tc>
        <w:tc>
          <w:tcPr>
            <w:tcW w:w="4678" w:type="dxa"/>
            <w:shd w:val="clear" w:color="auto" w:fill="auto"/>
          </w:tcPr>
          <w:p w14:paraId="027BAE62" w14:textId="77777777" w:rsidR="00AF6F6C" w:rsidRPr="00B46409" w:rsidRDefault="00AF6F6C" w:rsidP="00143441">
            <w:pPr>
              <w:rPr>
                <w:bCs/>
              </w:rPr>
            </w:pPr>
            <w:r>
              <w:rPr>
                <w:rFonts w:eastAsiaTheme="majorEastAsia"/>
                <w:bCs/>
              </w:rPr>
              <w:t>500 МЕ/час</w:t>
            </w:r>
            <w:r w:rsidRPr="00B46409">
              <w:rPr>
                <w:rFonts w:eastAsiaTheme="majorEastAsia"/>
                <w:bCs/>
              </w:rPr>
              <w:t xml:space="preserve"> </w:t>
            </w:r>
            <w:r>
              <w:rPr>
                <w:rFonts w:eastAsiaTheme="majorEastAsia"/>
                <w:bCs/>
              </w:rPr>
              <w:t>в/в непрерывно</w:t>
            </w:r>
            <w:r w:rsidRPr="00A4634E">
              <w:rPr>
                <w:bCs/>
                <w:color w:val="000000" w:themeColor="dark1" w:themeShade="BF"/>
                <w:kern w:val="2"/>
                <w:lang w:eastAsia="ru-RU"/>
              </w:rPr>
              <w:t xml:space="preserve"> под контролем АЧТВ</w:t>
            </w:r>
          </w:p>
        </w:tc>
      </w:tr>
      <w:tr w:rsidR="00AF6F6C" w:rsidRPr="00B46409" w14:paraId="45EB17B8" w14:textId="77777777" w:rsidTr="00143441">
        <w:trPr>
          <w:trHeight w:val="452"/>
        </w:trPr>
        <w:tc>
          <w:tcPr>
            <w:tcW w:w="3998" w:type="dxa"/>
            <w:shd w:val="clear" w:color="auto" w:fill="auto"/>
          </w:tcPr>
          <w:p w14:paraId="16F92074" w14:textId="77777777" w:rsidR="00AF6F6C" w:rsidRPr="00B46409" w:rsidRDefault="00AF6F6C" w:rsidP="00143441">
            <w:pPr>
              <w:rPr>
                <w:bCs/>
              </w:rPr>
            </w:pPr>
            <w:r w:rsidRPr="00B46409">
              <w:rPr>
                <w:rFonts w:eastAsiaTheme="majorEastAsia"/>
                <w:bCs/>
              </w:rPr>
              <w:t>Далтепарин натрия</w:t>
            </w:r>
          </w:p>
        </w:tc>
        <w:tc>
          <w:tcPr>
            <w:tcW w:w="4678" w:type="dxa"/>
            <w:shd w:val="clear" w:color="auto" w:fill="auto"/>
          </w:tcPr>
          <w:p w14:paraId="6E5ECCFE" w14:textId="77777777" w:rsidR="00AF6F6C" w:rsidRPr="00B46409" w:rsidRDefault="00AF6F6C" w:rsidP="00143441">
            <w:pPr>
              <w:rPr>
                <w:bCs/>
              </w:rPr>
            </w:pPr>
            <w:r w:rsidRPr="00B46409">
              <w:rPr>
                <w:rFonts w:eastAsiaTheme="majorEastAsia"/>
                <w:bCs/>
              </w:rPr>
              <w:t>5000 МЕ 1 раз в день, п/к</w:t>
            </w:r>
          </w:p>
        </w:tc>
      </w:tr>
      <w:tr w:rsidR="00AF6F6C" w:rsidRPr="00B46409" w14:paraId="1A0C759A" w14:textId="77777777" w:rsidTr="00143441">
        <w:trPr>
          <w:trHeight w:val="452"/>
        </w:trPr>
        <w:tc>
          <w:tcPr>
            <w:tcW w:w="3998" w:type="dxa"/>
            <w:shd w:val="clear" w:color="auto" w:fill="auto"/>
          </w:tcPr>
          <w:p w14:paraId="66F9D9F7" w14:textId="77777777" w:rsidR="00AF6F6C" w:rsidRPr="00B46409" w:rsidRDefault="00AF6F6C" w:rsidP="00143441">
            <w:pPr>
              <w:rPr>
                <w:bCs/>
              </w:rPr>
            </w:pPr>
            <w:r w:rsidRPr="00B46409">
              <w:rPr>
                <w:rFonts w:eastAsiaTheme="majorEastAsia"/>
                <w:bCs/>
              </w:rPr>
              <w:t>Эноксапарин натрия</w:t>
            </w:r>
          </w:p>
        </w:tc>
        <w:tc>
          <w:tcPr>
            <w:tcW w:w="4678" w:type="dxa"/>
            <w:shd w:val="clear" w:color="auto" w:fill="auto"/>
          </w:tcPr>
          <w:p w14:paraId="1A2BB6B1" w14:textId="77777777" w:rsidR="00AF6F6C" w:rsidRPr="00B46409" w:rsidRDefault="00AF6F6C" w:rsidP="00143441">
            <w:pPr>
              <w:rPr>
                <w:bCs/>
              </w:rPr>
            </w:pPr>
            <w:r w:rsidRPr="00B46409">
              <w:rPr>
                <w:rFonts w:eastAsiaTheme="majorEastAsia"/>
                <w:bCs/>
              </w:rPr>
              <w:t>0,4 мл 1 раз в день, п/к</w:t>
            </w:r>
          </w:p>
        </w:tc>
      </w:tr>
      <w:tr w:rsidR="00AF6F6C" w:rsidRPr="00B46409" w14:paraId="4AA81B43" w14:textId="77777777" w:rsidTr="00143441">
        <w:trPr>
          <w:trHeight w:val="452"/>
        </w:trPr>
        <w:tc>
          <w:tcPr>
            <w:tcW w:w="3998" w:type="dxa"/>
            <w:shd w:val="clear" w:color="auto" w:fill="auto"/>
          </w:tcPr>
          <w:p w14:paraId="6B084B7E" w14:textId="77777777" w:rsidR="00AF6F6C" w:rsidRPr="00B46409" w:rsidRDefault="00AF6F6C" w:rsidP="00143441">
            <w:pPr>
              <w:rPr>
                <w:bCs/>
              </w:rPr>
            </w:pPr>
            <w:r w:rsidRPr="00B46409">
              <w:rPr>
                <w:rFonts w:eastAsiaTheme="majorEastAsia"/>
                <w:bCs/>
              </w:rPr>
              <w:t>Надропарин кальция</w:t>
            </w:r>
          </w:p>
        </w:tc>
        <w:tc>
          <w:tcPr>
            <w:tcW w:w="4678" w:type="dxa"/>
            <w:shd w:val="clear" w:color="auto" w:fill="auto"/>
          </w:tcPr>
          <w:p w14:paraId="3845039B" w14:textId="77777777" w:rsidR="00AF6F6C" w:rsidRPr="00B46409" w:rsidRDefault="00AF6F6C" w:rsidP="00143441">
            <w:pPr>
              <w:rPr>
                <w:bCs/>
              </w:rPr>
            </w:pPr>
            <w:r w:rsidRPr="00B46409">
              <w:rPr>
                <w:rFonts w:eastAsiaTheme="majorEastAsia"/>
                <w:bCs/>
              </w:rPr>
              <w:t>0,3 мл 1 раз в день, п/к</w:t>
            </w:r>
          </w:p>
        </w:tc>
      </w:tr>
      <w:tr w:rsidR="00AF6F6C" w:rsidRPr="00B46409" w14:paraId="4A4B585B" w14:textId="77777777" w:rsidTr="00143441">
        <w:trPr>
          <w:trHeight w:val="452"/>
        </w:trPr>
        <w:tc>
          <w:tcPr>
            <w:tcW w:w="3998" w:type="dxa"/>
            <w:shd w:val="clear" w:color="auto" w:fill="auto"/>
          </w:tcPr>
          <w:p w14:paraId="2E2ABDE5" w14:textId="77777777" w:rsidR="00AF6F6C" w:rsidRPr="00B46409" w:rsidRDefault="00AF6F6C" w:rsidP="00143441">
            <w:pPr>
              <w:rPr>
                <w:bCs/>
              </w:rPr>
            </w:pPr>
            <w:r w:rsidRPr="00B46409">
              <w:rPr>
                <w:rFonts w:eastAsiaTheme="majorEastAsia"/>
                <w:bCs/>
              </w:rPr>
              <w:lastRenderedPageBreak/>
              <w:t>Фондапаринукс натрия</w:t>
            </w:r>
          </w:p>
        </w:tc>
        <w:tc>
          <w:tcPr>
            <w:tcW w:w="4678" w:type="dxa"/>
            <w:shd w:val="clear" w:color="auto" w:fill="auto"/>
          </w:tcPr>
          <w:p w14:paraId="38C3CAE4" w14:textId="77777777" w:rsidR="00AF6F6C" w:rsidRPr="00B46409" w:rsidRDefault="00AF6F6C" w:rsidP="00143441">
            <w:pPr>
              <w:rPr>
                <w:bCs/>
              </w:rPr>
            </w:pPr>
            <w:r w:rsidRPr="00B46409">
              <w:rPr>
                <w:rFonts w:eastAsiaTheme="majorEastAsia"/>
                <w:bCs/>
              </w:rPr>
              <w:t>2,5 мг 1 раз в день, п/к</w:t>
            </w:r>
          </w:p>
        </w:tc>
      </w:tr>
      <w:tr w:rsidR="00AF6F6C" w:rsidRPr="00B46409" w14:paraId="5F113DE6" w14:textId="77777777" w:rsidTr="00143441">
        <w:trPr>
          <w:trHeight w:val="452"/>
        </w:trPr>
        <w:tc>
          <w:tcPr>
            <w:tcW w:w="3998" w:type="dxa"/>
            <w:shd w:val="clear" w:color="auto" w:fill="auto"/>
          </w:tcPr>
          <w:p w14:paraId="4789787E" w14:textId="77777777" w:rsidR="00AF6F6C" w:rsidRPr="00A4634E" w:rsidRDefault="00AF6F6C" w:rsidP="00143441">
            <w:pPr>
              <w:rPr>
                <w:lang w:eastAsia="ru-RU"/>
              </w:rPr>
            </w:pPr>
            <w:r w:rsidRPr="00A4634E">
              <w:rPr>
                <w:bCs/>
                <w:color w:val="000000" w:themeColor="dark1" w:themeShade="BF"/>
                <w:kern w:val="2"/>
                <w:lang w:eastAsia="ru-RU"/>
              </w:rPr>
              <w:t>Варфарин</w:t>
            </w:r>
          </w:p>
        </w:tc>
        <w:tc>
          <w:tcPr>
            <w:tcW w:w="4678" w:type="dxa"/>
            <w:shd w:val="clear" w:color="auto" w:fill="auto"/>
          </w:tcPr>
          <w:p w14:paraId="7FE06704" w14:textId="77777777" w:rsidR="00AF6F6C" w:rsidRPr="00A4634E" w:rsidRDefault="00AF6F6C" w:rsidP="00143441">
            <w:pPr>
              <w:rPr>
                <w:lang w:eastAsia="ru-RU"/>
              </w:rPr>
            </w:pPr>
            <w:r w:rsidRPr="00A4634E">
              <w:rPr>
                <w:bCs/>
                <w:color w:val="000000" w:themeColor="dark1" w:themeShade="BF"/>
                <w:kern w:val="2"/>
                <w:lang w:eastAsia="ru-RU"/>
              </w:rPr>
              <w:t xml:space="preserve">Перорально, </w:t>
            </w:r>
            <w:r>
              <w:rPr>
                <w:bCs/>
                <w:color w:val="000000" w:themeColor="dark1" w:themeShade="BF"/>
                <w:kern w:val="2"/>
                <w:lang w:eastAsia="ru-RU"/>
              </w:rPr>
              <w:t>под контролем МНО (ц</w:t>
            </w:r>
            <w:r w:rsidRPr="00A4634E">
              <w:rPr>
                <w:bCs/>
                <w:color w:val="000000" w:themeColor="dark1" w:themeShade="BF"/>
                <w:kern w:val="2"/>
                <w:lang w:eastAsia="ru-RU"/>
              </w:rPr>
              <w:t>елевые значе</w:t>
            </w:r>
            <w:r>
              <w:rPr>
                <w:bCs/>
                <w:color w:val="000000" w:themeColor="dark1" w:themeShade="BF"/>
                <w:kern w:val="2"/>
                <w:lang w:eastAsia="ru-RU"/>
              </w:rPr>
              <w:t>ния МНО: 2.0-2.5)</w:t>
            </w:r>
            <w:r w:rsidRPr="00A4634E">
              <w:rPr>
                <w:bCs/>
                <w:color w:val="000000" w:themeColor="dark1" w:themeShade="BF"/>
                <w:kern w:val="2"/>
                <w:lang w:eastAsia="ru-RU"/>
              </w:rPr>
              <w:t xml:space="preserve">, </w:t>
            </w:r>
          </w:p>
          <w:p w14:paraId="5EDCFE36" w14:textId="77777777" w:rsidR="00AF6F6C" w:rsidRPr="00A4634E" w:rsidRDefault="00AF6F6C" w:rsidP="00143441">
            <w:pPr>
              <w:rPr>
                <w:lang w:eastAsia="ru-RU"/>
              </w:rPr>
            </w:pPr>
            <w:r w:rsidRPr="00A4634E">
              <w:rPr>
                <w:bCs/>
                <w:color w:val="000000" w:themeColor="dark1" w:themeShade="BF"/>
                <w:kern w:val="2"/>
                <w:lang w:eastAsia="ru-RU"/>
              </w:rPr>
              <w:t>после НМГ или НФГ</w:t>
            </w:r>
          </w:p>
        </w:tc>
      </w:tr>
      <w:tr w:rsidR="00AF6F6C" w:rsidRPr="00B46409" w14:paraId="71E8AA52" w14:textId="77777777" w:rsidTr="00143441">
        <w:trPr>
          <w:trHeight w:val="452"/>
        </w:trPr>
        <w:tc>
          <w:tcPr>
            <w:tcW w:w="3998" w:type="dxa"/>
            <w:shd w:val="clear" w:color="auto" w:fill="auto"/>
          </w:tcPr>
          <w:p w14:paraId="33808A0E" w14:textId="77777777" w:rsidR="00AF6F6C" w:rsidRPr="00A4634E" w:rsidRDefault="00AF6F6C" w:rsidP="00143441">
            <w:pPr>
              <w:rPr>
                <w:lang w:eastAsia="ru-RU"/>
              </w:rPr>
            </w:pPr>
            <w:r w:rsidRPr="00A4634E">
              <w:rPr>
                <w:bCs/>
                <w:color w:val="000000" w:themeColor="dark1" w:themeShade="BF"/>
                <w:kern w:val="2"/>
                <w:lang w:eastAsia="ru-RU"/>
              </w:rPr>
              <w:t>Ривароксабан</w:t>
            </w:r>
          </w:p>
        </w:tc>
        <w:tc>
          <w:tcPr>
            <w:tcW w:w="4678" w:type="dxa"/>
            <w:shd w:val="clear" w:color="auto" w:fill="auto"/>
          </w:tcPr>
          <w:p w14:paraId="653D0B55" w14:textId="77777777" w:rsidR="00AF6F6C" w:rsidRPr="00A4634E" w:rsidRDefault="00AF6F6C" w:rsidP="00143441">
            <w:pPr>
              <w:rPr>
                <w:lang w:eastAsia="ru-RU"/>
              </w:rPr>
            </w:pPr>
            <w:r>
              <w:rPr>
                <w:bCs/>
                <w:color w:val="000000" w:themeColor="dark1" w:themeShade="BF"/>
                <w:kern w:val="2"/>
                <w:lang w:eastAsia="ru-RU"/>
              </w:rPr>
              <w:t>10-</w:t>
            </w:r>
            <w:r w:rsidRPr="00A4634E">
              <w:rPr>
                <w:bCs/>
                <w:color w:val="000000" w:themeColor="dark1" w:themeShade="BF"/>
                <w:kern w:val="2"/>
                <w:lang w:eastAsia="ru-RU"/>
              </w:rPr>
              <w:t>20 мг утром, перорально</w:t>
            </w:r>
          </w:p>
        </w:tc>
      </w:tr>
      <w:tr w:rsidR="00AF6F6C" w:rsidRPr="00B46409" w14:paraId="5654EFD3" w14:textId="77777777" w:rsidTr="00143441">
        <w:trPr>
          <w:trHeight w:val="452"/>
        </w:trPr>
        <w:tc>
          <w:tcPr>
            <w:tcW w:w="3998" w:type="dxa"/>
            <w:shd w:val="clear" w:color="auto" w:fill="auto"/>
          </w:tcPr>
          <w:p w14:paraId="05DB01F4" w14:textId="77777777" w:rsidR="00AF6F6C" w:rsidRPr="00A4634E" w:rsidRDefault="00AF6F6C" w:rsidP="00143441">
            <w:pPr>
              <w:rPr>
                <w:lang w:eastAsia="ru-RU"/>
              </w:rPr>
            </w:pPr>
            <w:r w:rsidRPr="00A4634E">
              <w:rPr>
                <w:bCs/>
                <w:color w:val="000000" w:themeColor="dark1" w:themeShade="BF"/>
                <w:kern w:val="2"/>
                <w:lang w:eastAsia="ru-RU"/>
              </w:rPr>
              <w:t>Апиксабан</w:t>
            </w:r>
          </w:p>
        </w:tc>
        <w:tc>
          <w:tcPr>
            <w:tcW w:w="4678" w:type="dxa"/>
            <w:shd w:val="clear" w:color="auto" w:fill="auto"/>
          </w:tcPr>
          <w:p w14:paraId="3DE6B25A" w14:textId="77777777" w:rsidR="00AF6F6C" w:rsidRPr="00A4634E" w:rsidRDefault="00AF6F6C" w:rsidP="00143441">
            <w:pPr>
              <w:rPr>
                <w:lang w:eastAsia="ru-RU"/>
              </w:rPr>
            </w:pPr>
            <w:r>
              <w:rPr>
                <w:bCs/>
                <w:color w:val="000000" w:themeColor="dark1" w:themeShade="BF"/>
                <w:kern w:val="2"/>
                <w:lang w:eastAsia="ru-RU"/>
              </w:rPr>
              <w:t>2,5</w:t>
            </w:r>
            <w:r w:rsidRPr="00A4634E">
              <w:rPr>
                <w:bCs/>
                <w:color w:val="000000" w:themeColor="dark1" w:themeShade="BF"/>
                <w:kern w:val="2"/>
                <w:lang w:eastAsia="ru-RU"/>
              </w:rPr>
              <w:t xml:space="preserve"> мг х 2 р/сутки, перорально</w:t>
            </w:r>
          </w:p>
        </w:tc>
      </w:tr>
      <w:tr w:rsidR="00AF6F6C" w:rsidRPr="00B46409" w14:paraId="6BB2690F" w14:textId="77777777" w:rsidTr="00143441">
        <w:trPr>
          <w:trHeight w:val="452"/>
        </w:trPr>
        <w:tc>
          <w:tcPr>
            <w:tcW w:w="3998" w:type="dxa"/>
            <w:shd w:val="clear" w:color="auto" w:fill="auto"/>
          </w:tcPr>
          <w:p w14:paraId="13815649" w14:textId="77777777" w:rsidR="00AF6F6C" w:rsidRPr="00A4634E" w:rsidRDefault="00AF6F6C" w:rsidP="00143441">
            <w:pPr>
              <w:rPr>
                <w:lang w:eastAsia="ru-RU"/>
              </w:rPr>
            </w:pPr>
            <w:r w:rsidRPr="00A4634E">
              <w:rPr>
                <w:bCs/>
                <w:color w:val="000000" w:themeColor="dark1" w:themeShade="BF"/>
                <w:kern w:val="2"/>
                <w:lang w:eastAsia="ru-RU"/>
              </w:rPr>
              <w:t>Дабигатран этексилат</w:t>
            </w:r>
          </w:p>
        </w:tc>
        <w:tc>
          <w:tcPr>
            <w:tcW w:w="4678" w:type="dxa"/>
            <w:shd w:val="clear" w:color="auto" w:fill="auto"/>
          </w:tcPr>
          <w:p w14:paraId="63D7DFD2" w14:textId="77777777" w:rsidR="00AF6F6C" w:rsidRPr="00A4634E" w:rsidRDefault="00AF6F6C" w:rsidP="00143441">
            <w:pPr>
              <w:rPr>
                <w:lang w:eastAsia="ru-RU"/>
              </w:rPr>
            </w:pPr>
            <w:r>
              <w:rPr>
                <w:bCs/>
                <w:color w:val="000000" w:themeColor="dark1" w:themeShade="BF"/>
                <w:kern w:val="2"/>
                <w:lang w:eastAsia="ru-RU"/>
              </w:rPr>
              <w:t>110-</w:t>
            </w:r>
            <w:r w:rsidRPr="00A4634E">
              <w:rPr>
                <w:bCs/>
                <w:color w:val="000000" w:themeColor="dark1" w:themeShade="BF"/>
                <w:kern w:val="2"/>
                <w:lang w:eastAsia="ru-RU"/>
              </w:rPr>
              <w:t>150 мг х 2р/сутки, перорально</w:t>
            </w:r>
          </w:p>
        </w:tc>
      </w:tr>
    </w:tbl>
    <w:p w14:paraId="36754243" w14:textId="77777777" w:rsidR="00AF6F6C" w:rsidRDefault="00AF6F6C" w:rsidP="00AF6F6C">
      <w:pPr>
        <w:rPr>
          <w:b/>
          <w:bCs/>
        </w:rPr>
      </w:pPr>
    </w:p>
    <w:p w14:paraId="4B7BC7B3" w14:textId="77777777" w:rsidR="00AF6F6C" w:rsidRPr="00A4634E" w:rsidRDefault="00AF6F6C" w:rsidP="00AF6F6C">
      <w:r w:rsidRPr="00A4634E">
        <w:rPr>
          <w:bCs/>
        </w:rPr>
        <w:t xml:space="preserve">Таблица </w:t>
      </w:r>
      <w:r>
        <w:rPr>
          <w:bCs/>
        </w:rPr>
        <w:t>2</w:t>
      </w:r>
      <w:r w:rsidRPr="00A4634E">
        <w:rPr>
          <w:bCs/>
        </w:rPr>
        <w:t xml:space="preserve">. Режимы антикоагулянтной терапии </w:t>
      </w:r>
      <w:r w:rsidRPr="00A4634E">
        <w:rPr>
          <w:bCs/>
          <w:iCs/>
        </w:rPr>
        <w:t xml:space="preserve">для лечения </w:t>
      </w:r>
      <w:r w:rsidRPr="00A4634E">
        <w:rPr>
          <w:bCs/>
        </w:rPr>
        <w:t>тромботических осложнений</w:t>
      </w:r>
    </w:p>
    <w:tbl>
      <w:tblPr>
        <w:tblStyle w:val="1ff1"/>
        <w:tblW w:w="8676"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3573"/>
        <w:gridCol w:w="5103"/>
      </w:tblGrid>
      <w:tr w:rsidR="00AF6F6C" w:rsidRPr="00A4634E" w14:paraId="7FA885AA" w14:textId="77777777" w:rsidTr="00143441">
        <w:trPr>
          <w:trHeight w:val="333"/>
        </w:trPr>
        <w:tc>
          <w:tcPr>
            <w:tcW w:w="3573" w:type="dxa"/>
            <w:shd w:val="clear" w:color="auto" w:fill="auto"/>
          </w:tcPr>
          <w:p w14:paraId="66A9032E" w14:textId="77777777" w:rsidR="00AF6F6C" w:rsidRPr="00A4634E" w:rsidRDefault="00AF6F6C" w:rsidP="00143441">
            <w:pPr>
              <w:jc w:val="center"/>
              <w:rPr>
                <w:lang w:eastAsia="ru-RU"/>
              </w:rPr>
            </w:pPr>
            <w:r>
              <w:rPr>
                <w:bCs/>
                <w:color w:val="000000" w:themeColor="text1" w:themeShade="BF"/>
                <w:kern w:val="2"/>
                <w:lang w:eastAsia="ru-RU"/>
              </w:rPr>
              <w:t>Препарат</w:t>
            </w:r>
          </w:p>
        </w:tc>
        <w:tc>
          <w:tcPr>
            <w:tcW w:w="5103" w:type="dxa"/>
            <w:shd w:val="clear" w:color="auto" w:fill="auto"/>
          </w:tcPr>
          <w:p w14:paraId="7CEBDDCA" w14:textId="77777777" w:rsidR="00AF6F6C" w:rsidRPr="00A4634E" w:rsidRDefault="00AF6F6C" w:rsidP="00143441">
            <w:pPr>
              <w:jc w:val="center"/>
              <w:rPr>
                <w:lang w:eastAsia="ru-RU"/>
              </w:rPr>
            </w:pPr>
            <w:r w:rsidRPr="00A4634E">
              <w:rPr>
                <w:bCs/>
                <w:color w:val="000000" w:themeColor="text1" w:themeShade="BF"/>
                <w:kern w:val="2"/>
                <w:lang w:eastAsia="ru-RU"/>
              </w:rPr>
              <w:t>Доза</w:t>
            </w:r>
          </w:p>
        </w:tc>
      </w:tr>
      <w:tr w:rsidR="00AF6F6C" w:rsidRPr="00A4634E" w14:paraId="0908CC5A" w14:textId="77777777" w:rsidTr="00143441">
        <w:trPr>
          <w:trHeight w:val="574"/>
        </w:trPr>
        <w:tc>
          <w:tcPr>
            <w:tcW w:w="3573" w:type="dxa"/>
            <w:shd w:val="clear" w:color="auto" w:fill="auto"/>
          </w:tcPr>
          <w:p w14:paraId="7F1CD18D" w14:textId="77777777" w:rsidR="00AF6F6C" w:rsidRPr="00A4634E" w:rsidRDefault="00AF6F6C" w:rsidP="00143441">
            <w:pPr>
              <w:rPr>
                <w:lang w:eastAsia="ru-RU"/>
              </w:rPr>
            </w:pPr>
            <w:r w:rsidRPr="00A4634E">
              <w:rPr>
                <w:bCs/>
                <w:color w:val="000000" w:themeColor="dark1" w:themeShade="BF"/>
                <w:kern w:val="2"/>
                <w:lang w:eastAsia="ru-RU"/>
              </w:rPr>
              <w:t>Нефракционированный гепарин</w:t>
            </w:r>
          </w:p>
        </w:tc>
        <w:tc>
          <w:tcPr>
            <w:tcW w:w="5103" w:type="dxa"/>
            <w:shd w:val="clear" w:color="auto" w:fill="auto"/>
          </w:tcPr>
          <w:p w14:paraId="0FA005BD" w14:textId="77777777" w:rsidR="00AF6F6C" w:rsidRPr="00A4634E" w:rsidRDefault="00AF6F6C" w:rsidP="00143441">
            <w:pPr>
              <w:rPr>
                <w:lang w:eastAsia="ru-RU"/>
              </w:rPr>
            </w:pPr>
            <w:r>
              <w:rPr>
                <w:bCs/>
                <w:color w:val="000000" w:themeColor="dark1" w:themeShade="BF"/>
                <w:kern w:val="2"/>
                <w:lang w:eastAsia="ru-RU"/>
              </w:rPr>
              <w:t>1000 МЕ/час в/в непрерывно</w:t>
            </w:r>
            <w:r w:rsidRPr="00A4634E">
              <w:rPr>
                <w:bCs/>
                <w:color w:val="000000" w:themeColor="dark1" w:themeShade="BF"/>
                <w:kern w:val="2"/>
                <w:lang w:eastAsia="ru-RU"/>
              </w:rPr>
              <w:t xml:space="preserve"> под контролем АЧТВ</w:t>
            </w:r>
          </w:p>
        </w:tc>
      </w:tr>
      <w:tr w:rsidR="00AF6F6C" w:rsidRPr="00A4634E" w14:paraId="0658AA17" w14:textId="77777777" w:rsidTr="00143441">
        <w:trPr>
          <w:trHeight w:val="574"/>
        </w:trPr>
        <w:tc>
          <w:tcPr>
            <w:tcW w:w="3573" w:type="dxa"/>
            <w:shd w:val="clear" w:color="auto" w:fill="auto"/>
          </w:tcPr>
          <w:p w14:paraId="31943E03" w14:textId="77777777" w:rsidR="00AF6F6C" w:rsidRPr="00A4634E" w:rsidRDefault="00AF6F6C" w:rsidP="00143441">
            <w:pPr>
              <w:rPr>
                <w:lang w:eastAsia="ru-RU"/>
              </w:rPr>
            </w:pPr>
            <w:r w:rsidRPr="00A4634E">
              <w:rPr>
                <w:bCs/>
                <w:color w:val="000000" w:themeColor="dark1" w:themeShade="BF"/>
                <w:kern w:val="2"/>
                <w:lang w:eastAsia="ru-RU"/>
              </w:rPr>
              <w:t>Далтепарин натрия</w:t>
            </w:r>
          </w:p>
        </w:tc>
        <w:tc>
          <w:tcPr>
            <w:tcW w:w="5103" w:type="dxa"/>
            <w:shd w:val="clear" w:color="auto" w:fill="auto"/>
          </w:tcPr>
          <w:p w14:paraId="1F1BBE1A" w14:textId="77777777" w:rsidR="00AF6F6C" w:rsidRPr="00A4634E" w:rsidRDefault="00AF6F6C" w:rsidP="00143441">
            <w:pPr>
              <w:rPr>
                <w:lang w:eastAsia="ru-RU"/>
              </w:rPr>
            </w:pPr>
            <w:r>
              <w:rPr>
                <w:bCs/>
                <w:color w:val="000000" w:themeColor="dark1" w:themeShade="BF"/>
                <w:kern w:val="2"/>
                <w:lang w:eastAsia="ru-RU"/>
              </w:rPr>
              <w:t xml:space="preserve">100 МЕ/кг каждые 12 ч или 200 МЕ/кг 1 раз в день, </w:t>
            </w:r>
            <w:r w:rsidRPr="00A4634E">
              <w:rPr>
                <w:bCs/>
                <w:color w:val="000000" w:themeColor="dark1" w:themeShade="BF"/>
                <w:kern w:val="2"/>
                <w:lang w:eastAsia="ru-RU"/>
              </w:rPr>
              <w:t>п/к</w:t>
            </w:r>
          </w:p>
        </w:tc>
      </w:tr>
      <w:tr w:rsidR="00AF6F6C" w:rsidRPr="00A4634E" w14:paraId="29FF646C" w14:textId="77777777" w:rsidTr="00143441">
        <w:trPr>
          <w:trHeight w:val="333"/>
        </w:trPr>
        <w:tc>
          <w:tcPr>
            <w:tcW w:w="3573" w:type="dxa"/>
            <w:shd w:val="clear" w:color="auto" w:fill="auto"/>
          </w:tcPr>
          <w:p w14:paraId="1281E224" w14:textId="77777777" w:rsidR="00AF6F6C" w:rsidRPr="00A4634E" w:rsidRDefault="00AF6F6C" w:rsidP="00143441">
            <w:pPr>
              <w:rPr>
                <w:lang w:eastAsia="ru-RU"/>
              </w:rPr>
            </w:pPr>
            <w:r w:rsidRPr="00A4634E">
              <w:rPr>
                <w:bCs/>
                <w:color w:val="000000" w:themeColor="dark1" w:themeShade="BF"/>
                <w:kern w:val="2"/>
                <w:lang w:eastAsia="ru-RU"/>
              </w:rPr>
              <w:t>Эноксапарин натрия</w:t>
            </w:r>
          </w:p>
        </w:tc>
        <w:tc>
          <w:tcPr>
            <w:tcW w:w="5103" w:type="dxa"/>
            <w:shd w:val="clear" w:color="auto" w:fill="auto"/>
          </w:tcPr>
          <w:p w14:paraId="1BCD31E2" w14:textId="77777777" w:rsidR="00AF6F6C" w:rsidRPr="00A4634E" w:rsidRDefault="00AF6F6C" w:rsidP="00143441">
            <w:pPr>
              <w:rPr>
                <w:lang w:eastAsia="ru-RU"/>
              </w:rPr>
            </w:pPr>
            <w:r w:rsidRPr="00A4634E">
              <w:rPr>
                <w:bCs/>
                <w:color w:val="000000" w:themeColor="dark1" w:themeShade="BF"/>
                <w:kern w:val="2"/>
                <w:lang w:eastAsia="ru-RU"/>
              </w:rPr>
              <w:t xml:space="preserve">100 МЕ/кг каждые 12 ч </w:t>
            </w:r>
            <w:r>
              <w:rPr>
                <w:bCs/>
                <w:color w:val="000000" w:themeColor="dark1" w:themeShade="BF"/>
                <w:kern w:val="2"/>
                <w:lang w:eastAsia="ru-RU"/>
              </w:rPr>
              <w:t>или</w:t>
            </w:r>
            <w:r w:rsidRPr="00A4634E">
              <w:rPr>
                <w:bCs/>
                <w:color w:val="000000" w:themeColor="dark1" w:themeShade="BF"/>
                <w:kern w:val="2"/>
                <w:lang w:eastAsia="ru-RU"/>
              </w:rPr>
              <w:t xml:space="preserve"> 1,5 мг/кг 1 раз в день, п/к</w:t>
            </w:r>
          </w:p>
        </w:tc>
      </w:tr>
      <w:tr w:rsidR="00AF6F6C" w:rsidRPr="00A4634E" w14:paraId="0F4A244F" w14:textId="77777777" w:rsidTr="00143441">
        <w:trPr>
          <w:trHeight w:val="333"/>
        </w:trPr>
        <w:tc>
          <w:tcPr>
            <w:tcW w:w="3573" w:type="dxa"/>
            <w:shd w:val="clear" w:color="auto" w:fill="auto"/>
          </w:tcPr>
          <w:p w14:paraId="45BC5B5A" w14:textId="77777777" w:rsidR="00AF6F6C" w:rsidRPr="00A4634E" w:rsidRDefault="00AF6F6C" w:rsidP="00143441">
            <w:pPr>
              <w:rPr>
                <w:lang w:eastAsia="ru-RU"/>
              </w:rPr>
            </w:pPr>
            <w:r w:rsidRPr="00A4634E">
              <w:rPr>
                <w:bCs/>
                <w:color w:val="000000" w:themeColor="dark1" w:themeShade="BF"/>
                <w:kern w:val="2"/>
                <w:lang w:eastAsia="ru-RU"/>
              </w:rPr>
              <w:t>Надропарин кальция</w:t>
            </w:r>
          </w:p>
        </w:tc>
        <w:tc>
          <w:tcPr>
            <w:tcW w:w="5103" w:type="dxa"/>
            <w:shd w:val="clear" w:color="auto" w:fill="auto"/>
          </w:tcPr>
          <w:p w14:paraId="6609568C" w14:textId="77777777" w:rsidR="00AF6F6C" w:rsidRPr="00A4634E" w:rsidRDefault="00AF6F6C" w:rsidP="00143441">
            <w:pPr>
              <w:rPr>
                <w:lang w:eastAsia="ru-RU"/>
              </w:rPr>
            </w:pPr>
            <w:r w:rsidRPr="00A4634E">
              <w:rPr>
                <w:bCs/>
                <w:color w:val="000000" w:themeColor="dark1" w:themeShade="BF"/>
                <w:kern w:val="2"/>
                <w:lang w:eastAsia="ru-RU"/>
              </w:rPr>
              <w:t>86 МЕ/кг х 2 раза в день, п/к</w:t>
            </w:r>
          </w:p>
        </w:tc>
      </w:tr>
      <w:tr w:rsidR="00AF6F6C" w:rsidRPr="00A4634E" w14:paraId="76D94B8C" w14:textId="77777777" w:rsidTr="00143441">
        <w:trPr>
          <w:trHeight w:val="821"/>
        </w:trPr>
        <w:tc>
          <w:tcPr>
            <w:tcW w:w="3573" w:type="dxa"/>
            <w:shd w:val="clear" w:color="auto" w:fill="auto"/>
          </w:tcPr>
          <w:p w14:paraId="2A5FB04F" w14:textId="77777777" w:rsidR="00AF6F6C" w:rsidRPr="00A4634E" w:rsidRDefault="00AF6F6C" w:rsidP="00143441">
            <w:pPr>
              <w:rPr>
                <w:lang w:eastAsia="ru-RU"/>
              </w:rPr>
            </w:pPr>
            <w:r w:rsidRPr="00A4634E">
              <w:rPr>
                <w:bCs/>
                <w:color w:val="000000" w:themeColor="dark1" w:themeShade="BF"/>
                <w:kern w:val="2"/>
                <w:lang w:eastAsia="ru-RU"/>
              </w:rPr>
              <w:t>Фондапаринукс натрия</w:t>
            </w:r>
          </w:p>
        </w:tc>
        <w:tc>
          <w:tcPr>
            <w:tcW w:w="5103" w:type="dxa"/>
            <w:shd w:val="clear" w:color="auto" w:fill="auto"/>
          </w:tcPr>
          <w:p w14:paraId="33FB96B9" w14:textId="77777777" w:rsidR="00AF6F6C" w:rsidRPr="00A4634E" w:rsidRDefault="00AF6F6C" w:rsidP="00143441">
            <w:pPr>
              <w:rPr>
                <w:lang w:eastAsia="ru-RU"/>
              </w:rPr>
            </w:pPr>
            <w:r w:rsidRPr="00A4634E">
              <w:rPr>
                <w:bCs/>
                <w:color w:val="000000" w:themeColor="dark1" w:themeShade="BF"/>
                <w:kern w:val="2"/>
                <w:lang w:eastAsia="ru-RU"/>
              </w:rPr>
              <w:t>менее 50 кг: 5 мг 1 раз в день</w:t>
            </w:r>
            <w:r>
              <w:rPr>
                <w:bCs/>
                <w:color w:val="000000" w:themeColor="dark1" w:themeShade="BF"/>
                <w:kern w:val="2"/>
                <w:lang w:eastAsia="ru-RU"/>
              </w:rPr>
              <w:t>, п/к</w:t>
            </w:r>
          </w:p>
          <w:p w14:paraId="55D210BF" w14:textId="77777777" w:rsidR="00AF6F6C" w:rsidRPr="00A4634E" w:rsidRDefault="00AF6F6C" w:rsidP="00143441">
            <w:pPr>
              <w:rPr>
                <w:lang w:eastAsia="ru-RU"/>
              </w:rPr>
            </w:pPr>
            <w:r w:rsidRPr="00A4634E">
              <w:rPr>
                <w:bCs/>
                <w:color w:val="000000" w:themeColor="dark1" w:themeShade="BF"/>
                <w:kern w:val="2"/>
                <w:lang w:eastAsia="ru-RU"/>
              </w:rPr>
              <w:t>50—100 кг: 7,5 мг 1 раз в д</w:t>
            </w:r>
            <w:r>
              <w:rPr>
                <w:bCs/>
                <w:color w:val="000000" w:themeColor="dark1" w:themeShade="BF"/>
                <w:kern w:val="2"/>
                <w:lang w:eastAsia="ru-RU"/>
              </w:rPr>
              <w:t xml:space="preserve">ень, п/к                         </w:t>
            </w:r>
            <w:r w:rsidRPr="00A4634E">
              <w:rPr>
                <w:bCs/>
                <w:color w:val="000000" w:themeColor="dark1" w:themeShade="BF"/>
                <w:kern w:val="2"/>
                <w:lang w:eastAsia="ru-RU"/>
              </w:rPr>
              <w:t>более 100 кг: 10 мг 1 раз в день</w:t>
            </w:r>
            <w:r>
              <w:rPr>
                <w:bCs/>
                <w:color w:val="000000" w:themeColor="dark1" w:themeShade="BF"/>
                <w:kern w:val="2"/>
                <w:lang w:eastAsia="ru-RU"/>
              </w:rPr>
              <w:t>, п/к</w:t>
            </w:r>
          </w:p>
        </w:tc>
      </w:tr>
      <w:tr w:rsidR="00AF6F6C" w:rsidRPr="00A4634E" w14:paraId="042FEB62" w14:textId="77777777" w:rsidTr="00143441">
        <w:trPr>
          <w:trHeight w:val="821"/>
        </w:trPr>
        <w:tc>
          <w:tcPr>
            <w:tcW w:w="3573" w:type="dxa"/>
            <w:shd w:val="clear" w:color="auto" w:fill="auto"/>
          </w:tcPr>
          <w:p w14:paraId="093423BD" w14:textId="77777777" w:rsidR="00AF6F6C" w:rsidRPr="00A4634E" w:rsidRDefault="00AF6F6C" w:rsidP="00143441">
            <w:pPr>
              <w:rPr>
                <w:lang w:eastAsia="ru-RU"/>
              </w:rPr>
            </w:pPr>
            <w:r w:rsidRPr="00A4634E">
              <w:rPr>
                <w:bCs/>
                <w:color w:val="000000" w:themeColor="dark1" w:themeShade="BF"/>
                <w:kern w:val="2"/>
                <w:lang w:eastAsia="ru-RU"/>
              </w:rPr>
              <w:t>Варфарин</w:t>
            </w:r>
          </w:p>
        </w:tc>
        <w:tc>
          <w:tcPr>
            <w:tcW w:w="5103" w:type="dxa"/>
            <w:shd w:val="clear" w:color="auto" w:fill="auto"/>
          </w:tcPr>
          <w:p w14:paraId="304BB01A" w14:textId="77777777" w:rsidR="00AF6F6C" w:rsidRPr="00A4634E" w:rsidRDefault="00AF6F6C" w:rsidP="00143441">
            <w:pPr>
              <w:rPr>
                <w:lang w:eastAsia="ru-RU"/>
              </w:rPr>
            </w:pPr>
            <w:r w:rsidRPr="00A4634E">
              <w:rPr>
                <w:bCs/>
                <w:color w:val="000000" w:themeColor="dark1" w:themeShade="BF"/>
                <w:kern w:val="2"/>
                <w:lang w:eastAsia="ru-RU"/>
              </w:rPr>
              <w:t xml:space="preserve">Перорально, целевые значения МНО: 2.0—3.0, </w:t>
            </w:r>
          </w:p>
          <w:p w14:paraId="62AF8FE3" w14:textId="77777777" w:rsidR="00AF6F6C" w:rsidRPr="00A4634E" w:rsidRDefault="00AF6F6C" w:rsidP="00143441">
            <w:pPr>
              <w:rPr>
                <w:lang w:eastAsia="ru-RU"/>
              </w:rPr>
            </w:pPr>
            <w:r w:rsidRPr="00A4634E">
              <w:rPr>
                <w:bCs/>
                <w:color w:val="000000" w:themeColor="dark1" w:themeShade="BF"/>
                <w:kern w:val="2"/>
                <w:lang w:eastAsia="ru-RU"/>
              </w:rPr>
              <w:t>после НМГ или НФГ</w:t>
            </w:r>
          </w:p>
        </w:tc>
      </w:tr>
      <w:tr w:rsidR="00AF6F6C" w:rsidRPr="00A4634E" w14:paraId="6DA848AF" w14:textId="77777777" w:rsidTr="00143441">
        <w:trPr>
          <w:trHeight w:val="387"/>
        </w:trPr>
        <w:tc>
          <w:tcPr>
            <w:tcW w:w="3573" w:type="dxa"/>
            <w:shd w:val="clear" w:color="auto" w:fill="auto"/>
          </w:tcPr>
          <w:p w14:paraId="3D65C201" w14:textId="77777777" w:rsidR="00AF6F6C" w:rsidRPr="00A4634E" w:rsidRDefault="00AF6F6C" w:rsidP="00143441">
            <w:pPr>
              <w:rPr>
                <w:lang w:eastAsia="ru-RU"/>
              </w:rPr>
            </w:pPr>
            <w:r w:rsidRPr="00A4634E">
              <w:rPr>
                <w:bCs/>
                <w:color w:val="000000" w:themeColor="dark1" w:themeShade="BF"/>
                <w:kern w:val="2"/>
                <w:lang w:eastAsia="ru-RU"/>
              </w:rPr>
              <w:t>Ривароксабан</w:t>
            </w:r>
          </w:p>
        </w:tc>
        <w:tc>
          <w:tcPr>
            <w:tcW w:w="5103" w:type="dxa"/>
            <w:shd w:val="clear" w:color="auto" w:fill="auto"/>
          </w:tcPr>
          <w:p w14:paraId="03D06B12" w14:textId="77777777" w:rsidR="00AF6F6C" w:rsidRPr="00A4634E" w:rsidRDefault="00AF6F6C" w:rsidP="00143441">
            <w:pPr>
              <w:rPr>
                <w:lang w:eastAsia="ru-RU"/>
              </w:rPr>
            </w:pPr>
            <w:r w:rsidRPr="00A4634E">
              <w:rPr>
                <w:bCs/>
                <w:color w:val="000000" w:themeColor="dark1" w:themeShade="BF"/>
                <w:kern w:val="2"/>
                <w:lang w:eastAsia="ru-RU"/>
              </w:rPr>
              <w:t>15 мг х 2 р/сутки в течение 21 дня, далее 20 мг утром, перорально</w:t>
            </w:r>
          </w:p>
        </w:tc>
      </w:tr>
      <w:tr w:rsidR="00AF6F6C" w:rsidRPr="00A4634E" w14:paraId="244BEE90" w14:textId="77777777" w:rsidTr="00143441">
        <w:trPr>
          <w:trHeight w:val="333"/>
        </w:trPr>
        <w:tc>
          <w:tcPr>
            <w:tcW w:w="3573" w:type="dxa"/>
            <w:shd w:val="clear" w:color="auto" w:fill="auto"/>
          </w:tcPr>
          <w:p w14:paraId="6BF955C9" w14:textId="77777777" w:rsidR="00AF6F6C" w:rsidRPr="00A4634E" w:rsidRDefault="00AF6F6C" w:rsidP="00143441">
            <w:pPr>
              <w:rPr>
                <w:lang w:eastAsia="ru-RU"/>
              </w:rPr>
            </w:pPr>
            <w:r w:rsidRPr="00A4634E">
              <w:rPr>
                <w:bCs/>
                <w:color w:val="000000" w:themeColor="dark1" w:themeShade="BF"/>
                <w:kern w:val="2"/>
                <w:lang w:eastAsia="ru-RU"/>
              </w:rPr>
              <w:t>Апиксабан</w:t>
            </w:r>
          </w:p>
        </w:tc>
        <w:tc>
          <w:tcPr>
            <w:tcW w:w="5103" w:type="dxa"/>
            <w:shd w:val="clear" w:color="auto" w:fill="auto"/>
          </w:tcPr>
          <w:p w14:paraId="575CF5BB" w14:textId="77777777" w:rsidR="00AF6F6C" w:rsidRPr="00A4634E" w:rsidRDefault="00AF6F6C" w:rsidP="00143441">
            <w:pPr>
              <w:rPr>
                <w:lang w:eastAsia="ru-RU"/>
              </w:rPr>
            </w:pPr>
            <w:r w:rsidRPr="00A4634E">
              <w:rPr>
                <w:bCs/>
                <w:color w:val="000000" w:themeColor="dark1" w:themeShade="BF"/>
                <w:kern w:val="2"/>
                <w:lang w:eastAsia="ru-RU"/>
              </w:rPr>
              <w:t>5,0 мг х 2 р/сутки, перорально</w:t>
            </w:r>
          </w:p>
        </w:tc>
      </w:tr>
      <w:tr w:rsidR="00AF6F6C" w:rsidRPr="00A4634E" w14:paraId="3D4EF4C7" w14:textId="77777777" w:rsidTr="00143441">
        <w:trPr>
          <w:trHeight w:val="333"/>
        </w:trPr>
        <w:tc>
          <w:tcPr>
            <w:tcW w:w="3573" w:type="dxa"/>
            <w:shd w:val="clear" w:color="auto" w:fill="auto"/>
          </w:tcPr>
          <w:p w14:paraId="100BC5CF" w14:textId="77777777" w:rsidR="00AF6F6C" w:rsidRPr="00A4634E" w:rsidRDefault="00AF6F6C" w:rsidP="00143441">
            <w:pPr>
              <w:rPr>
                <w:lang w:eastAsia="ru-RU"/>
              </w:rPr>
            </w:pPr>
            <w:r w:rsidRPr="00A4634E">
              <w:rPr>
                <w:bCs/>
                <w:color w:val="000000" w:themeColor="dark1" w:themeShade="BF"/>
                <w:kern w:val="2"/>
                <w:lang w:eastAsia="ru-RU"/>
              </w:rPr>
              <w:t>Дабигатран этексилат</w:t>
            </w:r>
          </w:p>
        </w:tc>
        <w:tc>
          <w:tcPr>
            <w:tcW w:w="5103" w:type="dxa"/>
            <w:shd w:val="clear" w:color="auto" w:fill="auto"/>
          </w:tcPr>
          <w:p w14:paraId="2EB05238" w14:textId="77777777" w:rsidR="00AF6F6C" w:rsidRPr="00A4634E" w:rsidRDefault="00AF6F6C" w:rsidP="00143441">
            <w:pPr>
              <w:rPr>
                <w:lang w:eastAsia="ru-RU"/>
              </w:rPr>
            </w:pPr>
            <w:r w:rsidRPr="00A4634E">
              <w:rPr>
                <w:bCs/>
                <w:color w:val="000000" w:themeColor="dark1" w:themeShade="BF"/>
                <w:kern w:val="2"/>
                <w:lang w:eastAsia="ru-RU"/>
              </w:rPr>
              <w:t>150 мг х 2р/сутки, перорально</w:t>
            </w:r>
          </w:p>
        </w:tc>
      </w:tr>
    </w:tbl>
    <w:p w14:paraId="1911463F" w14:textId="77777777" w:rsidR="00AF6F6C" w:rsidRDefault="00AF6F6C" w:rsidP="00AF6F6C"/>
    <w:p w14:paraId="46C08B18" w14:textId="77777777" w:rsidR="00AF6F6C" w:rsidRDefault="00AF6F6C" w:rsidP="00AF6F6C">
      <w:pPr>
        <w:ind w:firstLine="709"/>
      </w:pPr>
      <w:r>
        <w:t>При длительной терапии НМГ рекомендуется мониторинг анти-Ха активности и коррекция дозы НМГ (при необходимости) один раз в месяц.</w:t>
      </w:r>
    </w:p>
    <w:p w14:paraId="63A4F800" w14:textId="77777777" w:rsidR="00AF6F6C" w:rsidRDefault="00AF6F6C" w:rsidP="00AF6F6C">
      <w:pPr>
        <w:ind w:firstLine="709"/>
      </w:pPr>
      <w:r>
        <w:t xml:space="preserve">Мониторинг анти-Ха активности абсолютно необходим в случае рецидивирующего тромбоза при использовании терапевтических доз НМГ или у пациентов с почечной недостаточностью. Больным с нарушением функции почек рекомендуется коррекция дозы НМГ и мониторинг анти-Ха активности с частотой один раз в неделю. Для больных с клинически выраженной почечной недостаточностью (клиренс креатинина &lt;30 мл/мин) </w:t>
      </w:r>
      <w:r>
        <w:lastRenderedPageBreak/>
        <w:t>дозу НМГ корректируют таким образом, чтобы она соответствовала уровню анти-Ха 0,2</w:t>
      </w:r>
      <w:r>
        <w:rPr>
          <w:i/>
        </w:rPr>
        <w:t>—</w:t>
      </w:r>
      <w:r>
        <w:t>0,3 анти-</w:t>
      </w:r>
      <w:r>
        <w:rPr>
          <w:lang w:val="en-US"/>
        </w:rPr>
        <w:t>Xa</w:t>
      </w:r>
      <w:r>
        <w:t xml:space="preserve"> МЕ/мл. </w:t>
      </w:r>
    </w:p>
    <w:p w14:paraId="4ACB0180" w14:textId="77777777" w:rsidR="00AF6F6C" w:rsidRDefault="00AF6F6C" w:rsidP="00AF6F6C">
      <w:pPr>
        <w:ind w:firstLine="709"/>
      </w:pPr>
      <w:r>
        <w:t>Для выявления возможного накопления НМГ после нескольких введений следует проанализировать анти-Ха активность через 4 часа после третьего введения, если НМГ вводится дважды в день, или через 4 часа после второго введения, если препарат вводится один раз в сутки.</w:t>
      </w:r>
    </w:p>
    <w:p w14:paraId="69055BBF" w14:textId="77777777" w:rsidR="00AF6F6C" w:rsidRDefault="00AF6F6C" w:rsidP="00AF6F6C">
      <w:pPr>
        <w:ind w:firstLine="709"/>
      </w:pPr>
      <w:r>
        <w:t>Коррекция дозы НМГ у онкогематологических пациентов в связи с высоким риском кровотечений по причине тромбоцитопений заключается в двукратном снижении дозы при количестве тромбоцитов &lt;70×10</w:t>
      </w:r>
      <w:r>
        <w:rPr>
          <w:vertAlign w:val="superscript"/>
        </w:rPr>
        <w:t>9</w:t>
      </w:r>
      <w:r>
        <w:t>/л; временная отмена НМГ при количестве тромбоцитов &lt;30×10</w:t>
      </w:r>
      <w:r>
        <w:rPr>
          <w:vertAlign w:val="superscript"/>
        </w:rPr>
        <w:t>9</w:t>
      </w:r>
      <w:r>
        <w:t>/л. При острых тромбозах и тромбоцитопении в отсутствии геморрагических проявлений целесообразно использовать внутривенное с помощью инфузомата введение НФГ под контролем АЧТВ.</w:t>
      </w:r>
    </w:p>
    <w:p w14:paraId="0D9D9CD6" w14:textId="77777777" w:rsidR="00AF6F6C" w:rsidRDefault="00AF6F6C" w:rsidP="00AF6F6C">
      <w:pPr>
        <w:ind w:firstLine="709"/>
      </w:pPr>
      <w:r>
        <w:t xml:space="preserve">В отдельных случаях тромбозов, а также при ГИТ </w:t>
      </w:r>
      <w:r>
        <w:rPr>
          <w:lang w:val="en-US"/>
        </w:rPr>
        <w:t>II</w:t>
      </w:r>
      <w:r>
        <w:t xml:space="preserve"> применяется фондапаринукс 5 мг подкожно (п/к) 1 раз в день при весе пациента более 50кг. При весе пациента 75 кг и более фондапаринукс вводится в дозе 7,5 мг.</w:t>
      </w:r>
    </w:p>
    <w:p w14:paraId="7296672D" w14:textId="77777777" w:rsidR="00AF6F6C" w:rsidRDefault="00AF6F6C" w:rsidP="00AF6F6C">
      <w:pPr>
        <w:ind w:firstLine="709"/>
      </w:pPr>
      <w:r>
        <w:t>Прямые оральные антикоагулянты (ПОАК)</w:t>
      </w:r>
      <w:r>
        <w:rPr>
          <w:lang w:val="en-US"/>
        </w:rPr>
        <w:t xml:space="preserve"> </w:t>
      </w:r>
      <w:r>
        <w:fldChar w:fldCharType="begin" w:fldLock="1"/>
      </w:r>
      <w:r>
        <w:instrText>ADDIN CSL_CITATION {"citationItems":[{"id":"ITEM-1","itemData":{"DOI":"10.1016/j.thromres.2015.01.009","ISSN":"18792472","PMID":"25613925","abstract":"Background Heparin induced thrombocytopenia (HIT) is a potentially catastrophic syndrome with a high incidence of vascular thrombosis. There are little data on the efficacy of new oral anticoagulants (NOAC) in this setting. This study reports on the outcome of patients with HIT, treated with NOAC. Materials and Methods We retrospectively identified 22 patients with HIT who were treated by our group with a combination of NOAC and a short course of argatroban. These patients were evaluated in a prospective fashion for development of outcomes at a mean follow up of 19 ± 3 months. Results There were a total of 5 deep and 2 superficial vein thromboses diagnosed at index hospitalization. No patient developed arterial thrombosis. All patients tolerated NOAC and their platelet count normalized before discharge. At 19 months of follow-up, 6 patients had died of non-thrombotic causes. There was no bleeding, limb loss or recurrent venous thromboembolism in any patient. Conclusions In patients with HIT, a short course of parenteral treatment with argatroban followed by administration of a NOAC is highly safe and effective in prevention of thrombosis and normalization of platelet count. Development of HIT however, portends a poor prognosis independent of vascular thrombosis.","author":[{"dropping-particle":"","family":"Sharifi","given":"Mohsen","non-dropping-particle":"","parse-names":false,"suffix":""},{"dropping-particle":"","family":"Bay","given":"Curt","non-dropping-particle":"","parse-names":false,"suffix":""},{"dropping-particle":"","family":"Vajo","given":"Zoltan","non-dropping-particle":"","parse-names":false,"suffix":""},{"dropping-particle":"","family":"Freeman","given":"Wilbur","non-dropping-particle":"","parse-names":false,"suffix":""},{"dropping-particle":"","family":"Sharifi","given":"Mirali","non-dropping-particle":"","parse-names":false,"suffix":""},{"dropping-particle":"","family":"Schwartz","given":"Frederic","non-dropping-particle":"","parse-names":false,"suffix":""}],"container-title":"Thrombosis Research","id":"ITEM-1","issue":"4","issued":{"date-parts":[["2015","4","1"]]},"page":"607-609","publisher":"Elsevier Ltd","title":"New oral anticoagulants in the treatment of heparin- Induced thrombocytopenia","type":"article-journal","volume":"135"},"uris":["http://www.mendeley.com/documents/?uuid=c18762a2-54f4-3dcb-8daf-003be3aa9168"]}],"mendeley":{"formattedCitation":"[113]","plainTextFormattedCitation":"[113]","previouslyFormattedCitation":"[113]"},"properties":{"noteIndex":0},"schema":"https://github.com/citation-style-language/schema/raw/master/csl-citation.json"}</w:instrText>
      </w:r>
      <w:r>
        <w:fldChar w:fldCharType="separate"/>
      </w:r>
      <w:r>
        <w:rPr>
          <w:noProof/>
        </w:rPr>
        <w:t>[114</w:t>
      </w:r>
      <w:r w:rsidRPr="008A5D58">
        <w:rPr>
          <w:noProof/>
        </w:rPr>
        <w:t>]</w:t>
      </w:r>
      <w:r>
        <w:fldChar w:fldCharType="end"/>
      </w:r>
      <w:r>
        <w:t xml:space="preserve">: </w:t>
      </w:r>
    </w:p>
    <w:p w14:paraId="0F011459" w14:textId="77777777" w:rsidR="00AF6F6C" w:rsidRPr="00C83EC0" w:rsidRDefault="00AF6F6C" w:rsidP="00461889">
      <w:pPr>
        <w:pStyle w:val="afff3"/>
        <w:widowControl/>
        <w:numPr>
          <w:ilvl w:val="0"/>
          <w:numId w:val="268"/>
        </w:numPr>
        <w:autoSpaceDE/>
        <w:autoSpaceDN/>
        <w:adjustRightInd/>
        <w:ind w:left="1134"/>
        <w:contextualSpacing w:val="0"/>
        <w:rPr>
          <w:szCs w:val="24"/>
        </w:rPr>
      </w:pPr>
      <w:r w:rsidRPr="00C83EC0">
        <w:rPr>
          <w:szCs w:val="24"/>
        </w:rPr>
        <w:t>ривароксабан в дозе 15 мг 2 раза в сутки во время еды в первые 3 недели, затем в дозе 20 мг 1 раз в сутки во время еды. Доза ривароксабана должна быть скорректирована у пациентов с нарушенной выделительной функцией почек. Следует помнить, что протромбиновое время и АЧТВ не отражают истинной концентрации и эффект ПОАК;</w:t>
      </w:r>
    </w:p>
    <w:p w14:paraId="37765C7F" w14:textId="77777777" w:rsidR="00AF6F6C" w:rsidRPr="00C83EC0" w:rsidRDefault="00AF6F6C" w:rsidP="00461889">
      <w:pPr>
        <w:pStyle w:val="afff3"/>
        <w:widowControl/>
        <w:numPr>
          <w:ilvl w:val="0"/>
          <w:numId w:val="268"/>
        </w:numPr>
        <w:autoSpaceDE/>
        <w:autoSpaceDN/>
        <w:adjustRightInd/>
        <w:ind w:left="1134"/>
        <w:contextualSpacing w:val="0"/>
        <w:rPr>
          <w:szCs w:val="24"/>
        </w:rPr>
      </w:pPr>
      <w:r w:rsidRPr="00C83EC0">
        <w:rPr>
          <w:szCs w:val="24"/>
        </w:rPr>
        <w:t>дабигатрана этексилат назначают в дозе 150 г 2 раза в сутки; исследование тромбинового времени помогает подбирать необходимую дозу дабигатрана этексилата. При его удлинении более 120</w:t>
      </w:r>
      <w:r w:rsidRPr="00C83EC0">
        <w:rPr>
          <w:i/>
          <w:szCs w:val="24"/>
        </w:rPr>
        <w:t>—</w:t>
      </w:r>
      <w:r w:rsidRPr="00C83EC0">
        <w:rPr>
          <w:szCs w:val="24"/>
        </w:rPr>
        <w:t xml:space="preserve">150 сек дозу препарата уменьшают до 110 мг 2 раза в сутки. Больным старше 75 лет дабигатрана этексилата назначают в дозе 75 мг 2 раза в сутки; </w:t>
      </w:r>
    </w:p>
    <w:p w14:paraId="52C73686" w14:textId="77777777" w:rsidR="00AF6F6C" w:rsidRPr="00C83EC0" w:rsidRDefault="00AF6F6C" w:rsidP="00461889">
      <w:pPr>
        <w:pStyle w:val="afff3"/>
        <w:widowControl/>
        <w:numPr>
          <w:ilvl w:val="0"/>
          <w:numId w:val="268"/>
        </w:numPr>
        <w:autoSpaceDE/>
        <w:autoSpaceDN/>
        <w:adjustRightInd/>
        <w:ind w:left="1134"/>
        <w:contextualSpacing w:val="0"/>
        <w:rPr>
          <w:szCs w:val="24"/>
        </w:rPr>
      </w:pPr>
      <w:r w:rsidRPr="00C83EC0">
        <w:rPr>
          <w:szCs w:val="24"/>
        </w:rPr>
        <w:t>апиксабан применяют в дозе 5 мг 2 раза в сутки. Больным старше 75 лет апиксабан назначают в дозе 2,5 мг 2 раза в сутки. Лабораторный контроль не проводится;</w:t>
      </w:r>
    </w:p>
    <w:p w14:paraId="3F8389F9" w14:textId="77777777" w:rsidR="00AF6F6C" w:rsidRPr="00C83EC0" w:rsidRDefault="00AF6F6C" w:rsidP="00461889">
      <w:pPr>
        <w:pStyle w:val="afff3"/>
        <w:widowControl/>
        <w:numPr>
          <w:ilvl w:val="0"/>
          <w:numId w:val="268"/>
        </w:numPr>
        <w:autoSpaceDE/>
        <w:autoSpaceDN/>
        <w:adjustRightInd/>
        <w:ind w:left="1134"/>
        <w:contextualSpacing w:val="0"/>
        <w:rPr>
          <w:szCs w:val="24"/>
        </w:rPr>
      </w:pPr>
      <w:r w:rsidRPr="00C83EC0">
        <w:rPr>
          <w:szCs w:val="24"/>
        </w:rPr>
        <w:t>сулодексид 250 ЛЕ х 2 раза в день.</w:t>
      </w:r>
    </w:p>
    <w:p w14:paraId="3450E063" w14:textId="77777777" w:rsidR="00AF6F6C" w:rsidRDefault="00AF6F6C" w:rsidP="00AF6F6C">
      <w:pPr>
        <w:ind w:firstLine="709"/>
      </w:pPr>
      <w:r>
        <w:t xml:space="preserve">Антагонист витамина К (АВК) – варфарин. Препарат следует принимать один раз в день в фиксированное время (предпочтительнее вечером) после еды. Доза варфарина корригируется по показателю МНО. Целевые значения МНО при лечении варфарином составляют 2-2,5. У пациентов с искусственными клапанами сердца МНО на терапии </w:t>
      </w:r>
      <w:r>
        <w:lastRenderedPageBreak/>
        <w:t>варфарином должно составлять 3.0-4.0.</w:t>
      </w:r>
      <w:r>
        <w:rPr>
          <w:rFonts w:ascii="Arial" w:hAnsi="Arial" w:cs="Arial"/>
          <w:color w:val="FF0000"/>
        </w:rPr>
        <w:t xml:space="preserve"> </w:t>
      </w:r>
      <w:r>
        <w:t>Начальная доза препарата для пациентов, которые ранее не применяли варфарин, составляет 2,5-5,0 мг/сут. Для пациентов, которые ранее применяли варфарин, рекомендуемая стартовая доза составляет двойную дозу известной поддерживающей дозы препарата и назначается в течение первых 2-х дней. В случае необходимости перевода пациента с инъекций НМГ на длительный прием АВК, рекомендуется в течение первых 4-5 дней приема варфарина продолжать инъекции НМГ в профилактической дозе во избежание тромботических осложнений вследствие угнетения активности протеина С АВК. Первый контроль MHO следует проводить через 24-48 часов после начала приема варфарина. На протяжении первой недели определение MHO рекомендуется проводить ежедневно. Через 3-4 дня одновременного применения варфарина и гепарина проводят исследование МНО. При достижении МНО 2,0 и более - гепарин отменяется. Если МНО меньше 2,0, то дозу варфарина увеличивают на 0,5 таблетки и продолжают одновременные применение варфарина и гепарина в течение 3 дней. Вновь проводят исследование МНО. Если МНО 2,0 и более, то гепарин отменяется. Схема подбора дозы варфарина представлена в таблице 3. В дальнейшем лабораторный контроль проводят регулярно каждые 4-8 недель.</w:t>
      </w:r>
    </w:p>
    <w:p w14:paraId="1DBD0205" w14:textId="77777777" w:rsidR="00AF6F6C" w:rsidRDefault="00AF6F6C" w:rsidP="00AF6F6C">
      <w:pPr>
        <w:ind w:firstLine="708"/>
      </w:pPr>
    </w:p>
    <w:p w14:paraId="77033B4D" w14:textId="77777777" w:rsidR="00AF6F6C" w:rsidRPr="00B46409" w:rsidRDefault="00AF6F6C" w:rsidP="00AF6F6C">
      <w:r w:rsidRPr="00B46409">
        <w:t xml:space="preserve">Таблица </w:t>
      </w:r>
      <w:r>
        <w:t>3</w:t>
      </w:r>
      <w:r w:rsidRPr="00B46409">
        <w:t xml:space="preserve">. </w:t>
      </w:r>
      <w:r w:rsidRPr="00B46409">
        <w:rPr>
          <w:bCs/>
        </w:rPr>
        <w:t>Коррекция дозы варфарина в зависимости от МНО</w:t>
      </w:r>
    </w:p>
    <w:tbl>
      <w:tblPr>
        <w:tblStyle w:val="1ff1"/>
        <w:tblW w:w="896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4394"/>
        <w:gridCol w:w="4570"/>
      </w:tblGrid>
      <w:tr w:rsidR="00AF6F6C" w14:paraId="66322BDA" w14:textId="77777777" w:rsidTr="00143441">
        <w:trPr>
          <w:trHeight w:val="374"/>
        </w:trPr>
        <w:tc>
          <w:tcPr>
            <w:tcW w:w="4394" w:type="dxa"/>
            <w:shd w:val="clear" w:color="auto" w:fill="auto"/>
          </w:tcPr>
          <w:p w14:paraId="5206EFBC" w14:textId="77777777" w:rsidR="00AF6F6C" w:rsidRPr="007C4816" w:rsidRDefault="00AF6F6C" w:rsidP="00143441">
            <w:pPr>
              <w:jc w:val="center"/>
            </w:pPr>
            <w:r w:rsidRPr="007C4816">
              <w:rPr>
                <w:rFonts w:eastAsiaTheme="majorEastAsia"/>
                <w:bCs/>
              </w:rPr>
              <w:t xml:space="preserve"> </w:t>
            </w:r>
            <w:r>
              <w:rPr>
                <w:rFonts w:eastAsiaTheme="majorEastAsia"/>
                <w:bCs/>
              </w:rPr>
              <w:t>Дни приема варфарина 2-5</w:t>
            </w:r>
          </w:p>
        </w:tc>
        <w:tc>
          <w:tcPr>
            <w:tcW w:w="4570" w:type="dxa"/>
            <w:shd w:val="clear" w:color="auto" w:fill="auto"/>
          </w:tcPr>
          <w:p w14:paraId="6F27D563" w14:textId="77777777" w:rsidR="00AF6F6C" w:rsidRPr="007C4816" w:rsidRDefault="00AF6F6C" w:rsidP="00143441">
            <w:pPr>
              <w:jc w:val="center"/>
            </w:pPr>
            <w:r w:rsidRPr="007C4816">
              <w:rPr>
                <w:rFonts w:eastAsiaTheme="majorEastAsia"/>
                <w:bCs/>
              </w:rPr>
              <w:t xml:space="preserve"> </w:t>
            </w:r>
            <w:r>
              <w:rPr>
                <w:rFonts w:eastAsiaTheme="majorEastAsia"/>
                <w:bCs/>
              </w:rPr>
              <w:t>Дни приема варфарина 6 и далее</w:t>
            </w:r>
          </w:p>
        </w:tc>
      </w:tr>
      <w:tr w:rsidR="00AF6F6C" w14:paraId="1AAF98D3" w14:textId="77777777" w:rsidTr="00143441">
        <w:trPr>
          <w:trHeight w:val="714"/>
        </w:trPr>
        <w:tc>
          <w:tcPr>
            <w:tcW w:w="4394" w:type="dxa"/>
            <w:shd w:val="clear" w:color="auto" w:fill="auto"/>
          </w:tcPr>
          <w:p w14:paraId="2DC931D3" w14:textId="77777777" w:rsidR="00AF6F6C" w:rsidRPr="007C4816" w:rsidRDefault="00AF6F6C" w:rsidP="00143441">
            <w:r w:rsidRPr="007C4816">
              <w:rPr>
                <w:rFonts w:eastAsiaTheme="majorEastAsia"/>
                <w:bCs/>
              </w:rPr>
              <w:t>МНО</w:t>
            </w:r>
            <w:r>
              <w:rPr>
                <w:rFonts w:eastAsiaTheme="majorEastAsia"/>
                <w:bCs/>
              </w:rPr>
              <w:t xml:space="preserve"> 1.1–</w:t>
            </w:r>
            <w:r w:rsidRPr="007C4816">
              <w:rPr>
                <w:rFonts w:eastAsiaTheme="majorEastAsia"/>
                <w:bCs/>
              </w:rPr>
              <w:t>1.3 – повторить инициальную дозу</w:t>
            </w:r>
          </w:p>
        </w:tc>
        <w:tc>
          <w:tcPr>
            <w:tcW w:w="4570" w:type="dxa"/>
            <w:shd w:val="clear" w:color="auto" w:fill="auto"/>
          </w:tcPr>
          <w:p w14:paraId="1A892726" w14:textId="77777777" w:rsidR="00AF6F6C" w:rsidRPr="007C4816" w:rsidRDefault="00AF6F6C" w:rsidP="00143441">
            <w:r w:rsidRPr="007C4816">
              <w:rPr>
                <w:rFonts w:eastAsiaTheme="majorEastAsia"/>
                <w:bCs/>
              </w:rPr>
              <w:t>МНО</w:t>
            </w:r>
            <w:r>
              <w:rPr>
                <w:rFonts w:eastAsiaTheme="majorEastAsia"/>
                <w:bCs/>
              </w:rPr>
              <w:t xml:space="preserve"> 1.1–</w:t>
            </w:r>
            <w:r w:rsidRPr="007C4816">
              <w:rPr>
                <w:rFonts w:eastAsiaTheme="majorEastAsia"/>
                <w:bCs/>
              </w:rPr>
              <w:t>1.4 – увеличить дозу на 20%</w:t>
            </w:r>
          </w:p>
        </w:tc>
      </w:tr>
      <w:tr w:rsidR="00AF6F6C" w14:paraId="47A7041F" w14:textId="77777777" w:rsidTr="00143441">
        <w:trPr>
          <w:trHeight w:val="515"/>
        </w:trPr>
        <w:tc>
          <w:tcPr>
            <w:tcW w:w="4394" w:type="dxa"/>
            <w:shd w:val="clear" w:color="auto" w:fill="auto"/>
          </w:tcPr>
          <w:p w14:paraId="5D869D15" w14:textId="77777777" w:rsidR="00AF6F6C" w:rsidRPr="007C4816" w:rsidRDefault="00AF6F6C" w:rsidP="00143441">
            <w:r w:rsidRPr="007C4816">
              <w:rPr>
                <w:rFonts w:eastAsiaTheme="majorEastAsia"/>
                <w:bCs/>
              </w:rPr>
              <w:t>МНО 1.4–1.9 – 50% инициальной дозы</w:t>
            </w:r>
          </w:p>
        </w:tc>
        <w:tc>
          <w:tcPr>
            <w:tcW w:w="4570" w:type="dxa"/>
            <w:shd w:val="clear" w:color="auto" w:fill="auto"/>
          </w:tcPr>
          <w:p w14:paraId="104524F2" w14:textId="77777777" w:rsidR="00AF6F6C" w:rsidRPr="007C4816" w:rsidRDefault="00AF6F6C" w:rsidP="00143441">
            <w:r w:rsidRPr="007C4816">
              <w:rPr>
                <w:rFonts w:eastAsiaTheme="majorEastAsia"/>
                <w:bCs/>
              </w:rPr>
              <w:t xml:space="preserve">МНО </w:t>
            </w:r>
            <w:r>
              <w:rPr>
                <w:rFonts w:eastAsiaTheme="majorEastAsia"/>
                <w:bCs/>
              </w:rPr>
              <w:t>1.5–</w:t>
            </w:r>
            <w:r w:rsidRPr="007C4816">
              <w:rPr>
                <w:rFonts w:eastAsiaTheme="majorEastAsia"/>
                <w:bCs/>
              </w:rPr>
              <w:t>1.9 – увеличить дозу на 10%</w:t>
            </w:r>
          </w:p>
        </w:tc>
      </w:tr>
      <w:tr w:rsidR="00AF6F6C" w14:paraId="10D830E3" w14:textId="77777777" w:rsidTr="00143441">
        <w:trPr>
          <w:trHeight w:val="539"/>
        </w:trPr>
        <w:tc>
          <w:tcPr>
            <w:tcW w:w="4394" w:type="dxa"/>
            <w:shd w:val="clear" w:color="auto" w:fill="auto"/>
          </w:tcPr>
          <w:p w14:paraId="6D55F98B" w14:textId="77777777" w:rsidR="00AF6F6C" w:rsidRPr="007C4816" w:rsidRDefault="00AF6F6C" w:rsidP="00143441">
            <w:r w:rsidRPr="007C4816">
              <w:rPr>
                <w:rFonts w:eastAsiaTheme="majorEastAsia"/>
                <w:bCs/>
              </w:rPr>
              <w:t xml:space="preserve">МНО </w:t>
            </w:r>
            <w:r>
              <w:rPr>
                <w:rFonts w:eastAsiaTheme="majorEastAsia"/>
                <w:bCs/>
              </w:rPr>
              <w:t>2.0</w:t>
            </w:r>
            <w:r w:rsidRPr="007C4816">
              <w:rPr>
                <w:rFonts w:eastAsiaTheme="majorEastAsia"/>
                <w:bCs/>
              </w:rPr>
              <w:t>–3.0 – 50% инициальной дозы</w:t>
            </w:r>
          </w:p>
        </w:tc>
        <w:tc>
          <w:tcPr>
            <w:tcW w:w="4570" w:type="dxa"/>
            <w:shd w:val="clear" w:color="auto" w:fill="auto"/>
          </w:tcPr>
          <w:p w14:paraId="165332FF" w14:textId="77777777" w:rsidR="00AF6F6C" w:rsidRPr="007C4816" w:rsidRDefault="00AF6F6C" w:rsidP="00143441">
            <w:r w:rsidRPr="007C4816">
              <w:rPr>
                <w:rFonts w:eastAsiaTheme="majorEastAsia"/>
                <w:bCs/>
              </w:rPr>
              <w:t xml:space="preserve">МНО </w:t>
            </w:r>
            <w:r>
              <w:rPr>
                <w:rFonts w:eastAsiaTheme="majorEastAsia"/>
                <w:bCs/>
              </w:rPr>
              <w:t>2.0</w:t>
            </w:r>
            <w:r w:rsidRPr="007C4816">
              <w:rPr>
                <w:rFonts w:eastAsiaTheme="majorEastAsia"/>
                <w:bCs/>
              </w:rPr>
              <w:t>–3.0 – продолжать без изменений</w:t>
            </w:r>
          </w:p>
        </w:tc>
      </w:tr>
      <w:tr w:rsidR="00AF6F6C" w14:paraId="5C7B9607" w14:textId="77777777" w:rsidTr="00143441">
        <w:trPr>
          <w:trHeight w:val="437"/>
        </w:trPr>
        <w:tc>
          <w:tcPr>
            <w:tcW w:w="4394" w:type="dxa"/>
            <w:shd w:val="clear" w:color="auto" w:fill="auto"/>
          </w:tcPr>
          <w:p w14:paraId="50D83C8C" w14:textId="77777777" w:rsidR="00AF6F6C" w:rsidRPr="007C4816" w:rsidRDefault="00AF6F6C" w:rsidP="00143441">
            <w:r w:rsidRPr="007C4816">
              <w:rPr>
                <w:rFonts w:eastAsiaTheme="majorEastAsia"/>
                <w:bCs/>
              </w:rPr>
              <w:t>МНО 3.1–3.5 – 25% инициальной дозы</w:t>
            </w:r>
          </w:p>
        </w:tc>
        <w:tc>
          <w:tcPr>
            <w:tcW w:w="4570" w:type="dxa"/>
            <w:shd w:val="clear" w:color="auto" w:fill="auto"/>
          </w:tcPr>
          <w:p w14:paraId="129796A9" w14:textId="77777777" w:rsidR="00AF6F6C" w:rsidRPr="007C4816" w:rsidRDefault="00AF6F6C" w:rsidP="00143441">
            <w:r w:rsidRPr="007C4816">
              <w:rPr>
                <w:rFonts w:eastAsiaTheme="majorEastAsia"/>
                <w:bCs/>
              </w:rPr>
              <w:t xml:space="preserve">МНО </w:t>
            </w:r>
            <w:r>
              <w:rPr>
                <w:rFonts w:eastAsiaTheme="majorEastAsia"/>
                <w:bCs/>
              </w:rPr>
              <w:t>3.1–</w:t>
            </w:r>
            <w:r w:rsidRPr="007C4816">
              <w:rPr>
                <w:rFonts w:eastAsiaTheme="majorEastAsia"/>
                <w:bCs/>
              </w:rPr>
              <w:t>3.5 – уменьшить дозу на 10%</w:t>
            </w:r>
          </w:p>
        </w:tc>
      </w:tr>
      <w:tr w:rsidR="00AF6F6C" w14:paraId="34E22942" w14:textId="77777777" w:rsidTr="00143441">
        <w:trPr>
          <w:trHeight w:val="565"/>
        </w:trPr>
        <w:tc>
          <w:tcPr>
            <w:tcW w:w="4394" w:type="dxa"/>
            <w:vMerge w:val="restart"/>
            <w:shd w:val="clear" w:color="auto" w:fill="auto"/>
          </w:tcPr>
          <w:p w14:paraId="0C377312" w14:textId="77777777" w:rsidR="00AF6F6C" w:rsidRPr="007C4816" w:rsidRDefault="00AF6F6C" w:rsidP="00143441">
            <w:r w:rsidRPr="007C4816">
              <w:rPr>
                <w:rFonts w:eastAsiaTheme="majorEastAsia"/>
                <w:bCs/>
              </w:rPr>
              <w:t>МНО &gt;</w:t>
            </w:r>
            <w:r w:rsidRPr="007C4816">
              <w:rPr>
                <w:rFonts w:eastAsiaTheme="majorEastAsia"/>
                <w:bCs/>
                <w:lang w:val="pl-PL"/>
              </w:rPr>
              <w:t xml:space="preserve"> 3</w:t>
            </w:r>
            <w:r w:rsidRPr="007C4816">
              <w:rPr>
                <w:rFonts w:eastAsiaTheme="majorEastAsia"/>
                <w:bCs/>
              </w:rPr>
              <w:t xml:space="preserve">.5 – пауза до тех пор, пока МНО не станет &lt; 3.5, затем начать повторный прием </w:t>
            </w:r>
            <w:r>
              <w:rPr>
                <w:rFonts w:eastAsiaTheme="majorEastAsia"/>
                <w:bCs/>
              </w:rPr>
              <w:t>50% предшествующей дозы</w:t>
            </w:r>
          </w:p>
          <w:p w14:paraId="46463BED" w14:textId="77777777" w:rsidR="00AF6F6C" w:rsidRPr="007C4816" w:rsidRDefault="00AF6F6C" w:rsidP="00143441">
            <w:pPr>
              <w:jc w:val="center"/>
            </w:pPr>
          </w:p>
        </w:tc>
        <w:tc>
          <w:tcPr>
            <w:tcW w:w="4570" w:type="dxa"/>
            <w:shd w:val="clear" w:color="auto" w:fill="auto"/>
          </w:tcPr>
          <w:p w14:paraId="0F75CA64" w14:textId="77777777" w:rsidR="00AF6F6C" w:rsidRPr="007C4816" w:rsidRDefault="00AF6F6C" w:rsidP="00143441">
            <w:r w:rsidRPr="007C4816">
              <w:rPr>
                <w:rFonts w:eastAsiaTheme="majorEastAsia"/>
                <w:bCs/>
              </w:rPr>
              <w:t xml:space="preserve">МНО </w:t>
            </w:r>
            <w:r>
              <w:rPr>
                <w:rFonts w:eastAsiaTheme="majorEastAsia"/>
                <w:bCs/>
              </w:rPr>
              <w:t>3.6</w:t>
            </w:r>
            <w:r w:rsidRPr="007C4816">
              <w:rPr>
                <w:rFonts w:eastAsiaTheme="majorEastAsia"/>
                <w:bCs/>
              </w:rPr>
              <w:t>–4.0 – однократно 50% дозы, затем в уменьшенной на 20%</w:t>
            </w:r>
            <w:r>
              <w:rPr>
                <w:rFonts w:eastAsiaTheme="majorEastAsia"/>
                <w:bCs/>
              </w:rPr>
              <w:t xml:space="preserve"> дозе</w:t>
            </w:r>
          </w:p>
        </w:tc>
      </w:tr>
      <w:tr w:rsidR="00AF6F6C" w14:paraId="59989417" w14:textId="77777777" w:rsidTr="00143441">
        <w:trPr>
          <w:trHeight w:val="755"/>
        </w:trPr>
        <w:tc>
          <w:tcPr>
            <w:tcW w:w="4394" w:type="dxa"/>
            <w:vMerge/>
            <w:shd w:val="clear" w:color="auto" w:fill="auto"/>
          </w:tcPr>
          <w:p w14:paraId="63559507" w14:textId="77777777" w:rsidR="00AF6F6C" w:rsidRPr="007C4816" w:rsidRDefault="00AF6F6C" w:rsidP="00143441">
            <w:pPr>
              <w:jc w:val="center"/>
              <w:rPr>
                <w:rFonts w:eastAsiaTheme="majorEastAsia"/>
                <w:bCs/>
              </w:rPr>
            </w:pPr>
          </w:p>
        </w:tc>
        <w:tc>
          <w:tcPr>
            <w:tcW w:w="4570" w:type="dxa"/>
            <w:shd w:val="clear" w:color="auto" w:fill="auto"/>
          </w:tcPr>
          <w:p w14:paraId="65431564" w14:textId="77777777" w:rsidR="00AF6F6C" w:rsidRPr="007C4816" w:rsidRDefault="00AF6F6C" w:rsidP="00143441">
            <w:r w:rsidRPr="007C4816">
              <w:rPr>
                <w:rFonts w:eastAsiaTheme="majorEastAsia"/>
                <w:bCs/>
              </w:rPr>
              <w:t>МНО &gt; 4.0 пауза до тех пор, пока МНО не станет &lt; 3.5, затем начать повторный прием (25% предшествующей дозы)</w:t>
            </w:r>
          </w:p>
        </w:tc>
      </w:tr>
    </w:tbl>
    <w:p w14:paraId="4D760C5F" w14:textId="77777777" w:rsidR="00AF6F6C" w:rsidRDefault="00AF6F6C" w:rsidP="00AF6F6C">
      <w:pPr>
        <w:rPr>
          <w:strike/>
        </w:rPr>
      </w:pPr>
    </w:p>
    <w:p w14:paraId="44C5866E" w14:textId="77777777" w:rsidR="00AF6F6C" w:rsidRDefault="00AF6F6C" w:rsidP="00AF6F6C">
      <w:pPr>
        <w:ind w:firstLine="709"/>
      </w:pPr>
      <w:r>
        <w:t xml:space="preserve">В случае если при лечении варфарином появляется патологическая кровоточивость, необходимо определить протромбин по Квику (МНО), отменить варфарин. В лечении тяжелых варфариновых кровотечений используются: концентраты протромбинового комплекса или свежезамороженная плазма (СЗП). </w:t>
      </w:r>
    </w:p>
    <w:p w14:paraId="68C315B5" w14:textId="77777777" w:rsidR="00AF6F6C" w:rsidRDefault="00AF6F6C" w:rsidP="00AF6F6C">
      <w:pPr>
        <w:ind w:firstLine="709"/>
      </w:pPr>
      <w:r>
        <w:lastRenderedPageBreak/>
        <w:t>Перевод пациентов с парентеральных препаратов на прямые пероральные антитромботические средства может производиться по следующему алгоритму:</w:t>
      </w:r>
    </w:p>
    <w:p w14:paraId="1F24A23D" w14:textId="77777777" w:rsidR="00AF6F6C" w:rsidRDefault="00AF6F6C" w:rsidP="00461889">
      <w:pPr>
        <w:pStyle w:val="afff3"/>
        <w:widowControl/>
        <w:numPr>
          <w:ilvl w:val="0"/>
          <w:numId w:val="261"/>
        </w:numPr>
        <w:autoSpaceDE/>
        <w:autoSpaceDN/>
        <w:adjustRightInd/>
        <w:ind w:left="1134"/>
        <w:rPr>
          <w:szCs w:val="24"/>
        </w:rPr>
      </w:pPr>
      <w:r>
        <w:rPr>
          <w:szCs w:val="24"/>
        </w:rPr>
        <w:t>лечение прямыми пероральными антикоагулянтами должно быть начато за 0-2 часа до следующего планового введения парентерального антикоагулянта;</w:t>
      </w:r>
    </w:p>
    <w:p w14:paraId="5B70BDB3" w14:textId="77777777" w:rsidR="00AF6F6C" w:rsidRDefault="00AF6F6C" w:rsidP="00461889">
      <w:pPr>
        <w:pStyle w:val="afff3"/>
        <w:widowControl/>
        <w:numPr>
          <w:ilvl w:val="0"/>
          <w:numId w:val="261"/>
        </w:numPr>
        <w:autoSpaceDE/>
        <w:autoSpaceDN/>
        <w:adjustRightInd/>
        <w:ind w:left="1134"/>
        <w:rPr>
          <w:szCs w:val="24"/>
        </w:rPr>
      </w:pPr>
      <w:r>
        <w:rPr>
          <w:szCs w:val="24"/>
        </w:rPr>
        <w:t>замена введения очередной дозы парентерального препарата приемом дозы перорального антикоагулянта для НМГ и фондапаринукса – через 24 часа, для НФГ – через 8 часов (для ривароксабана – прием пероральной формы сразу после отмены НФГ).</w:t>
      </w:r>
    </w:p>
    <w:p w14:paraId="0F2A5712" w14:textId="77777777" w:rsidR="00AF6F6C" w:rsidRDefault="00AF6F6C" w:rsidP="00AF6F6C">
      <w:pPr>
        <w:ind w:firstLine="709"/>
      </w:pPr>
      <w:r>
        <w:t>Препараты АВК и ПОАК можно использовать в виде монотерапии для профилактики тромботических нарушений во время ХТ и других видов специфического лечения.</w:t>
      </w:r>
    </w:p>
    <w:p w14:paraId="665AF540" w14:textId="77777777" w:rsidR="00AF6F6C" w:rsidRDefault="00AF6F6C" w:rsidP="00AF6F6C">
      <w:pPr>
        <w:ind w:firstLine="709"/>
      </w:pPr>
      <w:r>
        <w:t>В настоящее время перевод пациентов с приема пероральных антикоагулянтов к парентеральному введению антикоагулянтов осуществляется по следующему алгоритму:</w:t>
      </w:r>
    </w:p>
    <w:p w14:paraId="4A7F7C6E" w14:textId="77777777" w:rsidR="00AF6F6C" w:rsidRDefault="00AF6F6C" w:rsidP="00461889">
      <w:pPr>
        <w:pStyle w:val="afff3"/>
        <w:widowControl/>
        <w:numPr>
          <w:ilvl w:val="0"/>
          <w:numId w:val="262"/>
        </w:numPr>
        <w:autoSpaceDE/>
        <w:autoSpaceDN/>
        <w:adjustRightInd/>
        <w:ind w:left="1134"/>
        <w:rPr>
          <w:szCs w:val="24"/>
        </w:rPr>
      </w:pPr>
      <w:r>
        <w:rPr>
          <w:szCs w:val="24"/>
        </w:rPr>
        <w:t>для дабигатрана этексилата или ривароксабана необходим перерыв 24 часа с приема последней дозы, после чего нужно ввести парентеральный антикоагулянт;</w:t>
      </w:r>
    </w:p>
    <w:p w14:paraId="17D55C2F" w14:textId="77777777" w:rsidR="00AF6F6C" w:rsidRDefault="00AF6F6C" w:rsidP="00461889">
      <w:pPr>
        <w:pStyle w:val="afff3"/>
        <w:widowControl/>
        <w:numPr>
          <w:ilvl w:val="0"/>
          <w:numId w:val="262"/>
        </w:numPr>
        <w:autoSpaceDE/>
        <w:autoSpaceDN/>
        <w:adjustRightInd/>
        <w:ind w:left="1134"/>
        <w:rPr>
          <w:szCs w:val="24"/>
        </w:rPr>
      </w:pPr>
      <w:r>
        <w:rPr>
          <w:szCs w:val="24"/>
        </w:rPr>
        <w:t>для апиксабана – выждать 12 часов с приема последней дозы и ввести парентеральный антикоагулянт.</w:t>
      </w:r>
    </w:p>
    <w:p w14:paraId="6F3E30D7" w14:textId="77777777" w:rsidR="00AF6F6C" w:rsidRDefault="00AF6F6C" w:rsidP="00AF6F6C">
      <w:pPr>
        <w:ind w:firstLine="708"/>
        <w:rPr>
          <w:bCs/>
        </w:rPr>
      </w:pPr>
      <w:r w:rsidRPr="00CC01E1">
        <w:rPr>
          <w:bCs/>
        </w:rPr>
        <w:t>При</w:t>
      </w:r>
      <w:r>
        <w:rPr>
          <w:bCs/>
          <w:color w:val="FF0000"/>
        </w:rPr>
        <w:t xml:space="preserve"> </w:t>
      </w:r>
      <w:r>
        <w:rPr>
          <w:bCs/>
        </w:rPr>
        <w:t>высоком риске тромботических осложнений в случае проведения хирургического вмешательства необходимо обязательное проведение антитромботической профилактики. Дозы и режимы лекарственных препаратов представлены в таблице 4.</w:t>
      </w:r>
    </w:p>
    <w:p w14:paraId="3FE4AA08" w14:textId="77777777" w:rsidR="00AF6F6C" w:rsidRDefault="00AF6F6C" w:rsidP="00AF6F6C">
      <w:pPr>
        <w:rPr>
          <w:bCs/>
        </w:rPr>
      </w:pPr>
    </w:p>
    <w:p w14:paraId="425BCD8C" w14:textId="77777777" w:rsidR="00AF6F6C" w:rsidRPr="00B46409" w:rsidRDefault="00AF6F6C" w:rsidP="00AF6F6C">
      <w:pPr>
        <w:rPr>
          <w:bCs/>
        </w:rPr>
      </w:pPr>
      <w:r w:rsidRPr="00B46409">
        <w:rPr>
          <w:bCs/>
        </w:rPr>
        <w:t xml:space="preserve">Таблица </w:t>
      </w:r>
      <w:r>
        <w:rPr>
          <w:bCs/>
        </w:rPr>
        <w:t>4</w:t>
      </w:r>
      <w:r w:rsidRPr="00B46409">
        <w:rPr>
          <w:bCs/>
        </w:rPr>
        <w:t xml:space="preserve">. Дозы антикоагулянтных препаратов </w:t>
      </w:r>
      <w:r w:rsidRPr="00B46409">
        <w:rPr>
          <w:bCs/>
          <w:iCs/>
        </w:rPr>
        <w:t>для профилактики</w:t>
      </w:r>
      <w:r>
        <w:rPr>
          <w:bCs/>
          <w:iCs/>
        </w:rPr>
        <w:t xml:space="preserve"> </w:t>
      </w:r>
      <w:r w:rsidRPr="00B46409">
        <w:rPr>
          <w:bCs/>
        </w:rPr>
        <w:t>тромботических осложнений при проведении хирургических вмешательств</w:t>
      </w:r>
    </w:p>
    <w:tbl>
      <w:tblPr>
        <w:tblStyle w:val="1ff1"/>
        <w:tblW w:w="7938"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3258"/>
        <w:gridCol w:w="4680"/>
      </w:tblGrid>
      <w:tr w:rsidR="00AF6F6C" w:rsidRPr="00B46409" w14:paraId="02257A17" w14:textId="77777777" w:rsidTr="00143441">
        <w:trPr>
          <w:trHeight w:val="452"/>
        </w:trPr>
        <w:tc>
          <w:tcPr>
            <w:tcW w:w="3258" w:type="dxa"/>
            <w:shd w:val="clear" w:color="auto" w:fill="auto"/>
          </w:tcPr>
          <w:p w14:paraId="56E94920" w14:textId="77777777" w:rsidR="00AF6F6C" w:rsidRPr="00B46409" w:rsidRDefault="00AF6F6C" w:rsidP="00143441">
            <w:pPr>
              <w:rPr>
                <w:bCs/>
              </w:rPr>
            </w:pPr>
            <w:r w:rsidRPr="00B46409">
              <w:rPr>
                <w:rFonts w:eastAsiaTheme="majorEastAsia"/>
                <w:bCs/>
              </w:rPr>
              <w:t>Нефракционированный гепарин</w:t>
            </w:r>
          </w:p>
        </w:tc>
        <w:tc>
          <w:tcPr>
            <w:tcW w:w="4680" w:type="dxa"/>
            <w:shd w:val="clear" w:color="auto" w:fill="auto"/>
          </w:tcPr>
          <w:p w14:paraId="4EA74596" w14:textId="77777777" w:rsidR="00AF6F6C" w:rsidRPr="00B46409" w:rsidRDefault="00AF6F6C" w:rsidP="00143441">
            <w:pPr>
              <w:rPr>
                <w:bCs/>
              </w:rPr>
            </w:pPr>
            <w:r w:rsidRPr="00B46409">
              <w:rPr>
                <w:rFonts w:eastAsiaTheme="majorEastAsia"/>
                <w:bCs/>
              </w:rPr>
              <w:t>5000 МЕ за 10—12 ч перед операцией и 5000 МЕ 1 раз в день после, п/к</w:t>
            </w:r>
          </w:p>
        </w:tc>
      </w:tr>
      <w:tr w:rsidR="00AF6F6C" w:rsidRPr="00B46409" w14:paraId="2AB47D82" w14:textId="77777777" w:rsidTr="00143441">
        <w:trPr>
          <w:trHeight w:val="452"/>
        </w:trPr>
        <w:tc>
          <w:tcPr>
            <w:tcW w:w="3258" w:type="dxa"/>
            <w:shd w:val="clear" w:color="auto" w:fill="auto"/>
          </w:tcPr>
          <w:p w14:paraId="72C97BBA" w14:textId="77777777" w:rsidR="00AF6F6C" w:rsidRPr="00B46409" w:rsidRDefault="00AF6F6C" w:rsidP="00143441">
            <w:pPr>
              <w:rPr>
                <w:bCs/>
              </w:rPr>
            </w:pPr>
            <w:r w:rsidRPr="00B46409">
              <w:rPr>
                <w:rFonts w:eastAsiaTheme="majorEastAsia"/>
                <w:bCs/>
              </w:rPr>
              <w:t>Далтепарин натрия</w:t>
            </w:r>
          </w:p>
        </w:tc>
        <w:tc>
          <w:tcPr>
            <w:tcW w:w="4680" w:type="dxa"/>
            <w:shd w:val="clear" w:color="auto" w:fill="auto"/>
          </w:tcPr>
          <w:p w14:paraId="369C7154" w14:textId="77777777" w:rsidR="00AF6F6C" w:rsidRPr="00B46409" w:rsidRDefault="00AF6F6C" w:rsidP="00143441">
            <w:pPr>
              <w:rPr>
                <w:bCs/>
              </w:rPr>
            </w:pPr>
            <w:r w:rsidRPr="00B46409">
              <w:rPr>
                <w:rFonts w:eastAsiaTheme="majorEastAsia"/>
                <w:bCs/>
              </w:rPr>
              <w:t>5000 МЕ за 10—12 ч перед операцией и 5000 МЕ 1 раз в день после, п/к</w:t>
            </w:r>
          </w:p>
        </w:tc>
      </w:tr>
      <w:tr w:rsidR="00AF6F6C" w:rsidRPr="00B46409" w14:paraId="4A3C66C8" w14:textId="77777777" w:rsidTr="00143441">
        <w:trPr>
          <w:trHeight w:val="561"/>
        </w:trPr>
        <w:tc>
          <w:tcPr>
            <w:tcW w:w="3258" w:type="dxa"/>
            <w:shd w:val="clear" w:color="auto" w:fill="auto"/>
          </w:tcPr>
          <w:p w14:paraId="693F9D78" w14:textId="77777777" w:rsidR="00AF6F6C" w:rsidRPr="00B46409" w:rsidRDefault="00AF6F6C" w:rsidP="00143441">
            <w:pPr>
              <w:rPr>
                <w:bCs/>
              </w:rPr>
            </w:pPr>
            <w:r w:rsidRPr="00B46409">
              <w:rPr>
                <w:rFonts w:eastAsiaTheme="majorEastAsia"/>
                <w:bCs/>
              </w:rPr>
              <w:t>Эноксапарин натрия</w:t>
            </w:r>
          </w:p>
        </w:tc>
        <w:tc>
          <w:tcPr>
            <w:tcW w:w="4680" w:type="dxa"/>
            <w:shd w:val="clear" w:color="auto" w:fill="auto"/>
          </w:tcPr>
          <w:p w14:paraId="4888FC1B" w14:textId="77777777" w:rsidR="00AF6F6C" w:rsidRPr="00B46409" w:rsidRDefault="00AF6F6C" w:rsidP="00143441">
            <w:pPr>
              <w:rPr>
                <w:bCs/>
              </w:rPr>
            </w:pPr>
            <w:r w:rsidRPr="00B46409">
              <w:rPr>
                <w:rFonts w:eastAsiaTheme="majorEastAsia"/>
                <w:bCs/>
              </w:rPr>
              <w:t>0,4 мл за 10—12 ч перед операцией и 0,4 мл 1 раз в день после, п/к</w:t>
            </w:r>
          </w:p>
        </w:tc>
      </w:tr>
      <w:tr w:rsidR="00AF6F6C" w:rsidRPr="00B46409" w14:paraId="17BDB672" w14:textId="77777777" w:rsidTr="00143441">
        <w:trPr>
          <w:trHeight w:val="452"/>
        </w:trPr>
        <w:tc>
          <w:tcPr>
            <w:tcW w:w="3258" w:type="dxa"/>
            <w:shd w:val="clear" w:color="auto" w:fill="auto"/>
          </w:tcPr>
          <w:p w14:paraId="0A3FF1BB" w14:textId="77777777" w:rsidR="00AF6F6C" w:rsidRPr="00B46409" w:rsidRDefault="00AF6F6C" w:rsidP="00143441">
            <w:pPr>
              <w:rPr>
                <w:bCs/>
              </w:rPr>
            </w:pPr>
            <w:r w:rsidRPr="00B46409">
              <w:rPr>
                <w:rFonts w:eastAsiaTheme="majorEastAsia"/>
                <w:bCs/>
              </w:rPr>
              <w:t>Надропарин кальция</w:t>
            </w:r>
          </w:p>
        </w:tc>
        <w:tc>
          <w:tcPr>
            <w:tcW w:w="4680" w:type="dxa"/>
            <w:shd w:val="clear" w:color="auto" w:fill="auto"/>
          </w:tcPr>
          <w:p w14:paraId="52295C10" w14:textId="77777777" w:rsidR="00AF6F6C" w:rsidRPr="00B46409" w:rsidRDefault="00AF6F6C" w:rsidP="00143441">
            <w:pPr>
              <w:rPr>
                <w:bCs/>
              </w:rPr>
            </w:pPr>
            <w:r w:rsidRPr="00B46409">
              <w:rPr>
                <w:rFonts w:eastAsiaTheme="majorEastAsia"/>
                <w:bCs/>
              </w:rPr>
              <w:t>0,3 мл за 10—12 ч перед операцией и 0,3 мл 1 раз в день после, п/к</w:t>
            </w:r>
          </w:p>
        </w:tc>
      </w:tr>
      <w:tr w:rsidR="00AF6F6C" w:rsidRPr="00B46409" w14:paraId="248E2B10" w14:textId="77777777" w:rsidTr="00143441">
        <w:trPr>
          <w:trHeight w:val="780"/>
        </w:trPr>
        <w:tc>
          <w:tcPr>
            <w:tcW w:w="3258" w:type="dxa"/>
            <w:shd w:val="clear" w:color="auto" w:fill="auto"/>
          </w:tcPr>
          <w:p w14:paraId="640CE4B7" w14:textId="77777777" w:rsidR="00AF6F6C" w:rsidRPr="00B46409" w:rsidRDefault="00AF6F6C" w:rsidP="00143441">
            <w:pPr>
              <w:rPr>
                <w:bCs/>
              </w:rPr>
            </w:pPr>
            <w:r w:rsidRPr="00B46409">
              <w:rPr>
                <w:rFonts w:eastAsiaTheme="majorEastAsia"/>
                <w:bCs/>
              </w:rPr>
              <w:t>Фондапаринукс натрия</w:t>
            </w:r>
          </w:p>
        </w:tc>
        <w:tc>
          <w:tcPr>
            <w:tcW w:w="4680" w:type="dxa"/>
            <w:shd w:val="clear" w:color="auto" w:fill="auto"/>
          </w:tcPr>
          <w:p w14:paraId="5DAF2E40" w14:textId="77777777" w:rsidR="00AF6F6C" w:rsidRPr="00B46409" w:rsidRDefault="00AF6F6C" w:rsidP="00143441">
            <w:pPr>
              <w:rPr>
                <w:bCs/>
              </w:rPr>
            </w:pPr>
            <w:r w:rsidRPr="00B46409">
              <w:rPr>
                <w:rFonts w:eastAsiaTheme="majorEastAsia"/>
                <w:bCs/>
              </w:rPr>
              <w:t xml:space="preserve">2,5 мг ежедневно 1 раз в день перед оперативным лечением и через 6—8 ч </w:t>
            </w:r>
            <w:r w:rsidRPr="00B46409">
              <w:rPr>
                <w:rFonts w:eastAsiaTheme="majorEastAsia"/>
                <w:bCs/>
              </w:rPr>
              <w:lastRenderedPageBreak/>
              <w:t>после, п/к</w:t>
            </w:r>
          </w:p>
        </w:tc>
      </w:tr>
    </w:tbl>
    <w:p w14:paraId="7D16C82B" w14:textId="77777777" w:rsidR="00AF6F6C" w:rsidRDefault="00AF6F6C" w:rsidP="00AF6F6C">
      <w:pPr>
        <w:rPr>
          <w:b/>
          <w:bCs/>
        </w:rPr>
      </w:pPr>
    </w:p>
    <w:p w14:paraId="6E0A2523" w14:textId="77777777" w:rsidR="00AF6F6C" w:rsidRPr="00C14067" w:rsidRDefault="00AF6F6C" w:rsidP="00AF6F6C">
      <w:pPr>
        <w:ind w:firstLine="709"/>
      </w:pPr>
      <w:r>
        <w:t>Длительность терапии определяется причиной, видом и локализацией тромботического осложнения. Обязательно учитываются данные анамнеза пациента по предшествующим тромботическим событиям. В некоторых ситуациях антикоагулянтная терапия проводится пожизненно.</w:t>
      </w:r>
    </w:p>
    <w:p w14:paraId="163F91F3" w14:textId="77777777" w:rsidR="00AF6F6C" w:rsidRDefault="00AF6F6C" w:rsidP="00AF6F6C">
      <w:pPr>
        <w:ind w:firstLine="709"/>
        <w:rPr>
          <w:u w:val="single"/>
        </w:rPr>
      </w:pPr>
    </w:p>
    <w:p w14:paraId="1FCECFDA" w14:textId="77777777" w:rsidR="00AF6F6C" w:rsidRPr="00307C3E" w:rsidRDefault="00AF6F6C" w:rsidP="00AF6F6C">
      <w:pPr>
        <w:ind w:firstLine="709"/>
      </w:pPr>
      <w:r w:rsidRPr="00307C3E">
        <w:t>2) Фибринолитическая терапия</w:t>
      </w:r>
      <w:r>
        <w:t xml:space="preserve"> </w:t>
      </w:r>
      <w:r>
        <w:fldChar w:fldCharType="begin" w:fldLock="1"/>
      </w:r>
      <w:r>
        <w:instrText>ADDIN CSL_CITATION {"citationItems":[{"id":"ITEM-1","itemData":{"author":[{"dropping-particle":"","family":"Воробьев","given":"А.И.","non-dropping-particle":"","parse-names":false,"suffix":""},{"dropping-particle":"","family":"Васильев","given":"С.А.","non-dropping-particle":"","parse-names":false,"suffix":""},{"dropping-particle":"","family":"Городецкий","given":"В.М.","non-dropping-particle":"","parse-names":false,"suffix":""},{"dropping-particle":"","family":"Шевелев","given":"А.А.","non-dropping-particle":"","parse-names":false,"suffix":""},{"dropping-particle":"","family":"Горгидзе","given":"Л.А.","non-dropping-particle":"","parse-names":false,"suffix":""},{"dropping-particle":"","family":"Кременецкая","given":"О.С.","non-dropping-particle":"","parse-names":false,"suffix":""},{"dropping-particle":"","family":"Шкловский-Корди","given":"Н.Е.","non-dropping-particle":"","parse-names":false,"suffix":""}],"container-title":"Гематология и трансфузиология","id":"ITEM-1","issue":"3","issued":{"date-parts":[["2016"]]},"page":"116-122","title":"Гиперкоагуляционный синдром: классификация, патогенез, диагностика, терапия","type":"article-journal","volume":"61"},"uris":["http://www.mendeley.com/documents/?uuid=9198cd60-8a8e-46bc-9cfc-b0a20a2d96ea"]},{"id":"ITEM-2","itemData":{"ISBN":"978-5-98811-165-8","author":[{"dropping-particle":"","family":"Пантелеев","given":"М.А.","non-dropping-particle":"","parse-names":false,"suffix":""},{"dropping-particle":"","family":"Васильев","given":"С.А.","non-dropping-particle":"","parse-names":false,"suffix":""},{"dropping-particle":"","family":"Синауридзе","given":"Е.И.","non-dropping-particle":"","parse-names":false,"suffix":""},{"dropping-particle":"","family":"Атауллаханов","given":"Ф.И.","non-dropping-particle":"","parse-names":false,"suffix":""}],"id":"ITEM-2","issued":{"date-parts":[["2010"]]},"number-of-pages":"192","title":"Практическая коагулология","type":"book"},"uris":["http://www.mendeley.com/documents/?uuid=36d7b04e-d654-47d2-a073-3cc2bb6e80ce"]}],"mendeley":{"formattedCitation":"[102,110]","plainTextFormattedCitation":"[102,110]","previouslyFormattedCitation":"[102,110]"},"properties":{"noteIndex":0},"schema":"https://github.com/citation-style-language/schema/raw/master/csl-citation.json"}</w:instrText>
      </w:r>
      <w:r>
        <w:fldChar w:fldCharType="separate"/>
      </w:r>
      <w:r>
        <w:rPr>
          <w:noProof/>
        </w:rPr>
        <w:t>[103,111</w:t>
      </w:r>
      <w:r w:rsidRPr="008A5D58">
        <w:rPr>
          <w:noProof/>
        </w:rPr>
        <w:t>]</w:t>
      </w:r>
      <w:r>
        <w:fldChar w:fldCharType="end"/>
      </w:r>
      <w:r w:rsidRPr="00307C3E">
        <w:t>.</w:t>
      </w:r>
    </w:p>
    <w:p w14:paraId="5C0896FD" w14:textId="77777777" w:rsidR="00AF6F6C" w:rsidRDefault="00AF6F6C" w:rsidP="00AF6F6C">
      <w:pPr>
        <w:ind w:firstLine="709"/>
        <w:rPr>
          <w:sz w:val="28"/>
          <w:szCs w:val="28"/>
        </w:rPr>
      </w:pPr>
      <w:r>
        <w:t xml:space="preserve">Тромболизис эффективен при ТЭЛА, в раннем периоде острого инфаркта миокарда и ишемического инсульта, тромбозе синусов головного мозга, а также при угрозе формирования гангрены вследствие венозной окклюзии. С целью тромболизиса используются такие препараты, как стрептокиназа, урокиназа, алтеплаза. Дозы фибринолитических препаратов и режимы их применения различны и зависят от показаний. </w:t>
      </w:r>
    </w:p>
    <w:p w14:paraId="50955BF9" w14:textId="77777777" w:rsidR="00AF6F6C" w:rsidRDefault="00AF6F6C" w:rsidP="00AF6F6C">
      <w:pPr>
        <w:ind w:firstLine="709"/>
        <w:rPr>
          <w:u w:val="single"/>
        </w:rPr>
      </w:pPr>
    </w:p>
    <w:p w14:paraId="0CF64729" w14:textId="77777777" w:rsidR="00AF6F6C" w:rsidRPr="00307C3E" w:rsidRDefault="00AF6F6C" w:rsidP="00AF6F6C">
      <w:pPr>
        <w:ind w:firstLine="709"/>
      </w:pPr>
      <w:r w:rsidRPr="00307C3E">
        <w:t>3) Антиагрегантная терапия</w:t>
      </w:r>
      <w:r>
        <w:t xml:space="preserve"> </w:t>
      </w:r>
      <w:r>
        <w:fldChar w:fldCharType="begin" w:fldLock="1"/>
      </w:r>
      <w:r>
        <w:instrText>ADDIN CSL_CITATION {"citationItems":[{"id":"ITEM-1","itemData":{"author":[{"dropping-particle":"","family":"Воробьев","given":"А.И.","non-dropping-particle":"","parse-names":false,"suffix":""},{"dropping-particle":"","family":"Васильев","given":"С.А.","non-dropping-particle":"","parse-names":false,"suffix":""},{"dropping-particle":"","family":"Городецкий","given":"В.М.","non-dropping-particle":"","parse-names":false,"suffix":""},{"dropping-particle":"","family":"Шевелев","given":"А.А.","non-dropping-particle":"","parse-names":false,"suffix":""},{"dropping-particle":"","family":"Горгидзе","given":"Л.А.","non-dropping-particle":"","parse-names":false,"suffix":""},{"dropping-particle":"","family":"Кременецкая","given":"О.С.","non-dropping-particle":"","parse-names":false,"suffix":""},{"dropping-particle":"","family":"Шкловский-Корди","given":"Н.Е.","non-dropping-particle":"","parse-names":false,"suffix":""}],"container-title":"Гематология и трансфузиология","id":"ITEM-1","issue":"3","issued":{"date-parts":[["2016"]]},"page":"116-122","title":"Гиперкоагуляционный синдром: классификация, патогенез, диагностика, терапия","type":"article-journal","volume":"61"},"uris":["http://www.mendeley.com/documents/?uuid=9198cd60-8a8e-46bc-9cfc-b0a20a2d96ea"]},{"id":"ITEM-2","itemData":{"ISBN":"978-5-98811-165-8","author":[{"dropping-particle":"","family":"Пантелеев","given":"М.А.","non-dropping-particle":"","parse-names":false,"suffix":""},{"dropping-particle":"","family":"Васильев","given":"С.А.","non-dropping-particle":"","parse-names":false,"suffix":""},{"dropping-particle":"","family":"Синауридзе","given":"Е.И.","non-dropping-particle":"","parse-names":false,"suffix":""},{"dropping-particle":"","family":"Атауллаханов","given":"Ф.И.","non-dropping-particle":"","parse-names":false,"suffix":""}],"id":"ITEM-2","issued":{"date-parts":[["2010"]]},"number-of-pages":"192","title":"Практическая коагулология","type":"book"},"uris":["http://www.mendeley.com/documents/?uuid=36d7b04e-d654-47d2-a073-3cc2bb6e80ce"]}],"mendeley":{"formattedCitation":"[102,110]","plainTextFormattedCitation":"[102,110]","previouslyFormattedCitation":"[102,110]"},"properties":{"noteIndex":0},"schema":"https://github.com/citation-style-language/schema/raw/master/csl-citation.json"}</w:instrText>
      </w:r>
      <w:r>
        <w:fldChar w:fldCharType="separate"/>
      </w:r>
      <w:r>
        <w:rPr>
          <w:noProof/>
        </w:rPr>
        <w:t>[103,111</w:t>
      </w:r>
      <w:r w:rsidRPr="008A5D58">
        <w:rPr>
          <w:noProof/>
        </w:rPr>
        <w:t>]</w:t>
      </w:r>
      <w:r>
        <w:fldChar w:fldCharType="end"/>
      </w:r>
      <w:r w:rsidRPr="00307C3E">
        <w:t>.</w:t>
      </w:r>
    </w:p>
    <w:p w14:paraId="5F14B25B" w14:textId="77777777" w:rsidR="00AF6F6C" w:rsidRDefault="00AF6F6C" w:rsidP="00AF6F6C">
      <w:pPr>
        <w:ind w:firstLine="709"/>
      </w:pPr>
      <w:r w:rsidRPr="00A4634E">
        <w:t>Антиагрегантная терапия</w:t>
      </w:r>
      <w:r>
        <w:t xml:space="preserve"> применяется при артериальных тромбозах, венозных тромбозах, гипертромбоцитозах.  Используются следующие препараты:</w:t>
      </w:r>
    </w:p>
    <w:p w14:paraId="380B2B52" w14:textId="77777777" w:rsidR="00AF6F6C" w:rsidRDefault="00AF6F6C" w:rsidP="00461889">
      <w:pPr>
        <w:widowControl/>
        <w:numPr>
          <w:ilvl w:val="0"/>
          <w:numId w:val="265"/>
        </w:numPr>
        <w:autoSpaceDE/>
        <w:autoSpaceDN/>
        <w:adjustRightInd/>
        <w:ind w:left="1134"/>
      </w:pPr>
      <w:r>
        <w:t xml:space="preserve">Ацетилсалициловая кислота 75-150 мг в сутки. Подбор осуществляют с учетом показателей адреналин-индуцированной агрегации тромбоцитов. Агрегация должна составлять менее 50%. </w:t>
      </w:r>
    </w:p>
    <w:p w14:paraId="1F89AF99" w14:textId="77777777" w:rsidR="00AF6F6C" w:rsidRDefault="00AF6F6C" w:rsidP="00461889">
      <w:pPr>
        <w:pStyle w:val="afff3"/>
        <w:widowControl/>
        <w:numPr>
          <w:ilvl w:val="0"/>
          <w:numId w:val="265"/>
        </w:numPr>
        <w:autoSpaceDE/>
        <w:autoSpaceDN/>
        <w:adjustRightInd/>
        <w:ind w:left="1134"/>
        <w:rPr>
          <w:szCs w:val="24"/>
        </w:rPr>
      </w:pPr>
      <w:r w:rsidRPr="00A4634E">
        <w:rPr>
          <w:szCs w:val="24"/>
        </w:rPr>
        <w:t xml:space="preserve">Клопидогрел (непрямой ингибитор АДФ-рецептора тромбоцитов </w:t>
      </w:r>
      <w:r w:rsidRPr="00A4634E">
        <w:rPr>
          <w:szCs w:val="24"/>
          <w:lang w:val="en-US"/>
        </w:rPr>
        <w:t>P</w:t>
      </w:r>
      <w:r w:rsidRPr="00A4634E">
        <w:rPr>
          <w:szCs w:val="24"/>
        </w:rPr>
        <w:t>2</w:t>
      </w:r>
      <w:r w:rsidRPr="00A4634E">
        <w:rPr>
          <w:szCs w:val="24"/>
          <w:lang w:val="en-US"/>
        </w:rPr>
        <w:t>Y</w:t>
      </w:r>
      <w:r w:rsidRPr="00A4634E">
        <w:rPr>
          <w:szCs w:val="24"/>
        </w:rPr>
        <w:t>12) 75 мг/сут; в острых случаях клопидогрел принимается внутрь в дозе 300–600 мг/сут. Подбор осуществляют с учетом АДФ-индуцированной агрегации тромбоцитов. Агрегация должна составлять менее 45</w:t>
      </w:r>
      <w:r w:rsidRPr="00A4634E">
        <w:rPr>
          <w:i/>
          <w:szCs w:val="24"/>
        </w:rPr>
        <w:t>—</w:t>
      </w:r>
      <w:r w:rsidRPr="00A4634E">
        <w:rPr>
          <w:szCs w:val="24"/>
        </w:rPr>
        <w:t xml:space="preserve">50%. </w:t>
      </w:r>
    </w:p>
    <w:p w14:paraId="00224D03" w14:textId="77777777" w:rsidR="00AF6F6C" w:rsidRPr="00A4634E" w:rsidRDefault="00AF6F6C" w:rsidP="00461889">
      <w:pPr>
        <w:pStyle w:val="afff3"/>
        <w:widowControl/>
        <w:numPr>
          <w:ilvl w:val="0"/>
          <w:numId w:val="265"/>
        </w:numPr>
        <w:autoSpaceDE/>
        <w:autoSpaceDN/>
        <w:adjustRightInd/>
        <w:ind w:left="1134"/>
        <w:rPr>
          <w:szCs w:val="24"/>
        </w:rPr>
      </w:pPr>
      <w:r w:rsidRPr="00A4634E">
        <w:rPr>
          <w:szCs w:val="24"/>
        </w:rPr>
        <w:t>Дипиридамол 25-75 мг/сут.</w:t>
      </w:r>
    </w:p>
    <w:p w14:paraId="3EF12A0E" w14:textId="77777777" w:rsidR="00AF6F6C" w:rsidRDefault="00AF6F6C" w:rsidP="00461889">
      <w:pPr>
        <w:widowControl/>
        <w:numPr>
          <w:ilvl w:val="0"/>
          <w:numId w:val="265"/>
        </w:numPr>
        <w:autoSpaceDE/>
        <w:autoSpaceDN/>
        <w:adjustRightInd/>
        <w:ind w:left="1134"/>
      </w:pPr>
      <w:r>
        <w:t>Пентоксифиллин 0,1 х 3 раза в день; или 400 мг 2-3раза в день.</w:t>
      </w:r>
    </w:p>
    <w:p w14:paraId="44E73D3E" w14:textId="77777777" w:rsidR="00AF6F6C" w:rsidRPr="003A104D" w:rsidRDefault="00AF6F6C" w:rsidP="00461889">
      <w:pPr>
        <w:pStyle w:val="afff3"/>
        <w:widowControl/>
        <w:numPr>
          <w:ilvl w:val="0"/>
          <w:numId w:val="265"/>
        </w:numPr>
        <w:autoSpaceDE/>
        <w:autoSpaceDN/>
        <w:adjustRightInd/>
        <w:spacing w:after="200"/>
        <w:ind w:left="1134"/>
      </w:pPr>
      <w:r>
        <w:rPr>
          <w:szCs w:val="24"/>
        </w:rPr>
        <w:t>Тикагрелор (прямой ингибитор АДФ-рецептора тромбоцитов Р2</w:t>
      </w:r>
      <w:r>
        <w:rPr>
          <w:szCs w:val="24"/>
          <w:lang w:val="en-US"/>
        </w:rPr>
        <w:t>Y</w:t>
      </w:r>
      <w:r>
        <w:rPr>
          <w:szCs w:val="24"/>
        </w:rPr>
        <w:t>12) 90 мг х 2 раза в день совместно с ацетилсалициловой кислотой. Применяется при проведении химиотерапии у больных ишемической болезнью сердца. Подбор осуществляют с учетом АДФ-индуцированной агрегации тромбоцитов. Агрегация должна составлять менее 30—40%.</w:t>
      </w:r>
    </w:p>
    <w:p w14:paraId="762559CC" w14:textId="77777777" w:rsidR="00AF6F6C" w:rsidRPr="00A4634E" w:rsidRDefault="00AF6F6C" w:rsidP="00461889">
      <w:pPr>
        <w:pStyle w:val="afff3"/>
        <w:widowControl/>
        <w:numPr>
          <w:ilvl w:val="0"/>
          <w:numId w:val="265"/>
        </w:numPr>
        <w:autoSpaceDE/>
        <w:autoSpaceDN/>
        <w:adjustRightInd/>
        <w:spacing w:after="200"/>
        <w:ind w:left="1134"/>
      </w:pPr>
      <w:r w:rsidRPr="00A4634E">
        <w:rPr>
          <w:szCs w:val="24"/>
        </w:rPr>
        <w:t xml:space="preserve">Прасугрел (прямой ингибитор АДФ-рецептора тромбоцитов P2Y12) 10мг: 1 день 6 таб., затем 1 таб. в день с ацетилсалициловой кислотой. Применяется при </w:t>
      </w:r>
      <w:r w:rsidRPr="00A4634E">
        <w:rPr>
          <w:szCs w:val="24"/>
        </w:rPr>
        <w:lastRenderedPageBreak/>
        <w:t>проведении химиотерапии у больных с ишемической болезнью сердца. Подбор осуществляется с учетом АДФ-индуцир</w:t>
      </w:r>
      <w:r>
        <w:rPr>
          <w:szCs w:val="24"/>
        </w:rPr>
        <w:t>ованной агрегации тромбоцитов (а</w:t>
      </w:r>
      <w:r w:rsidRPr="00A4634E">
        <w:rPr>
          <w:szCs w:val="24"/>
        </w:rPr>
        <w:t>грегация должна составлять менее 30-40%</w:t>
      </w:r>
      <w:r>
        <w:rPr>
          <w:szCs w:val="24"/>
        </w:rPr>
        <w:t>)</w:t>
      </w:r>
      <w:r w:rsidRPr="00A4634E">
        <w:rPr>
          <w:szCs w:val="24"/>
        </w:rPr>
        <w:t>.</w:t>
      </w:r>
    </w:p>
    <w:p w14:paraId="11F2E4FE" w14:textId="77777777" w:rsidR="00AF6F6C" w:rsidRPr="003A104D" w:rsidRDefault="00AF6F6C" w:rsidP="00461889">
      <w:pPr>
        <w:pStyle w:val="afff3"/>
        <w:widowControl/>
        <w:numPr>
          <w:ilvl w:val="0"/>
          <w:numId w:val="265"/>
        </w:numPr>
        <w:autoSpaceDE/>
        <w:autoSpaceDN/>
        <w:adjustRightInd/>
        <w:spacing w:after="200"/>
        <w:ind w:left="1134"/>
      </w:pPr>
      <w:r w:rsidRPr="008832AD">
        <w:rPr>
          <w:szCs w:val="24"/>
        </w:rPr>
        <w:t>Изосорбида мононитрат</w:t>
      </w:r>
      <w:r w:rsidRPr="003A104D">
        <w:rPr>
          <w:szCs w:val="24"/>
        </w:rPr>
        <w:t xml:space="preserve"> 40 мг х 1-2 раза в день. Обладает наряду с дезагрегационными свойствами выраженным сосудорасширяющим эффектом.</w:t>
      </w:r>
    </w:p>
    <w:p w14:paraId="2E479DBF" w14:textId="77777777" w:rsidR="00AF6F6C" w:rsidRDefault="00AF6F6C" w:rsidP="00461889">
      <w:pPr>
        <w:pStyle w:val="afff3"/>
        <w:widowControl/>
        <w:numPr>
          <w:ilvl w:val="0"/>
          <w:numId w:val="265"/>
        </w:numPr>
        <w:autoSpaceDE/>
        <w:autoSpaceDN/>
        <w:adjustRightInd/>
        <w:spacing w:after="200"/>
        <w:ind w:left="1134"/>
      </w:pPr>
      <w:r w:rsidRPr="003A104D">
        <w:rPr>
          <w:szCs w:val="24"/>
        </w:rPr>
        <w:t>Возможно использование никотиновой кислоты в инъекционной или таблетированной формах. Доза никотиновой кислоты подбирается по эритематозному эффекту, который проявляется легким покраснением лица и верхней половины туловища, тахикардией, небольшим чувством жара.</w:t>
      </w:r>
    </w:p>
    <w:p w14:paraId="0C7B6814" w14:textId="77777777" w:rsidR="00AF6F6C" w:rsidRDefault="00AF6F6C" w:rsidP="00AF6F6C">
      <w:pPr>
        <w:ind w:firstLine="709"/>
      </w:pPr>
      <w:r w:rsidRPr="006F5CEC">
        <w:t>4)  Вазопротекторная терапия</w:t>
      </w:r>
      <w:r>
        <w:t xml:space="preserve"> </w:t>
      </w:r>
      <w:r>
        <w:fldChar w:fldCharType="begin" w:fldLock="1"/>
      </w:r>
      <w:r>
        <w:instrText>ADDIN CSL_CITATION {"citationItems":[{"id":"ITEM-1","itemData":{"author":[{"dropping-particle":"","family":"Воробьев","given":"А.И.","non-dropping-particle":"","parse-names":false,"suffix":""},{"dropping-particle":"","family":"Васильев","given":"С.А.","non-dropping-particle":"","parse-names":false,"suffix":""},{"dropping-particle":"","family":"Городецкий","given":"В.М.","non-dropping-particle":"","parse-names":false,"suffix":""},{"dropping-particle":"","family":"Шевелев","given":"А.А.","non-dropping-particle":"","parse-names":false,"suffix":""},{"dropping-particle":"","family":"Горгидзе","given":"Л.А.","non-dropping-particle":"","parse-names":false,"suffix":""},{"dropping-particle":"","family":"Кременецкая","given":"О.С.","non-dropping-particle":"","parse-names":false,"suffix":""},{"dropping-particle":"","family":"Шкловский-Корди","given":"Н.Е.","non-dropping-particle":"","parse-names":false,"suffix":""}],"container-title":"Гематология и трансфузиология","id":"ITEM-1","issue":"3","issued":{"date-parts":[["2016"]]},"page":"116-122","title":"Гиперкоагуляционный синдром: классификация, патогенез, диагностика, терапия","type":"article-journal","volume":"61"},"uris":["http://www.mendeley.com/documents/?uuid=9198cd60-8a8e-46bc-9cfc-b0a20a2d96ea"]}],"mendeley":{"formattedCitation":"[110]","plainTextFormattedCitation":"[110]","previouslyFormattedCitation":"[110]"},"properties":{"noteIndex":0},"schema":"https://github.com/citation-style-language/schema/raw/master/csl-citation.json"}</w:instrText>
      </w:r>
      <w:r>
        <w:fldChar w:fldCharType="separate"/>
      </w:r>
      <w:r>
        <w:rPr>
          <w:noProof/>
        </w:rPr>
        <w:t>[111</w:t>
      </w:r>
      <w:r w:rsidRPr="008A5D58">
        <w:rPr>
          <w:noProof/>
        </w:rPr>
        <w:t>]</w:t>
      </w:r>
      <w:r>
        <w:fldChar w:fldCharType="end"/>
      </w:r>
      <w:r w:rsidRPr="006F5CEC">
        <w:t>:</w:t>
      </w:r>
    </w:p>
    <w:p w14:paraId="755489E0" w14:textId="77777777" w:rsidR="00AF6F6C" w:rsidRDefault="00AF6F6C" w:rsidP="00461889">
      <w:pPr>
        <w:pStyle w:val="afff3"/>
        <w:widowControl/>
        <w:numPr>
          <w:ilvl w:val="0"/>
          <w:numId w:val="269"/>
        </w:numPr>
        <w:autoSpaceDE/>
        <w:autoSpaceDN/>
        <w:adjustRightInd/>
        <w:contextualSpacing w:val="0"/>
        <w:rPr>
          <w:szCs w:val="24"/>
        </w:rPr>
      </w:pPr>
      <w:r w:rsidRPr="00440427">
        <w:rPr>
          <w:color w:val="333333"/>
          <w:szCs w:val="24"/>
        </w:rPr>
        <w:t>сухой экстракт красных листьев винограда</w:t>
      </w:r>
      <w:r w:rsidRPr="00440427">
        <w:rPr>
          <w:szCs w:val="24"/>
        </w:rPr>
        <w:t xml:space="preserve"> 2 капс. утром натощак;</w:t>
      </w:r>
    </w:p>
    <w:p w14:paraId="473A4292" w14:textId="77777777" w:rsidR="00AF6F6C" w:rsidRDefault="00AF6F6C" w:rsidP="00461889">
      <w:pPr>
        <w:pStyle w:val="afff3"/>
        <w:widowControl/>
        <w:numPr>
          <w:ilvl w:val="0"/>
          <w:numId w:val="269"/>
        </w:numPr>
        <w:autoSpaceDE/>
        <w:autoSpaceDN/>
        <w:adjustRightInd/>
        <w:contextualSpacing w:val="0"/>
        <w:rPr>
          <w:szCs w:val="24"/>
        </w:rPr>
      </w:pPr>
      <w:r w:rsidRPr="00440427">
        <w:rPr>
          <w:szCs w:val="24"/>
        </w:rPr>
        <w:t>диосмин-содержащие препараты;</w:t>
      </w:r>
    </w:p>
    <w:p w14:paraId="2118BFF8" w14:textId="77777777" w:rsidR="00AF6F6C" w:rsidRPr="00440427" w:rsidRDefault="00AF6F6C" w:rsidP="00461889">
      <w:pPr>
        <w:pStyle w:val="afff3"/>
        <w:widowControl/>
        <w:numPr>
          <w:ilvl w:val="0"/>
          <w:numId w:val="269"/>
        </w:numPr>
        <w:autoSpaceDE/>
        <w:autoSpaceDN/>
        <w:adjustRightInd/>
        <w:contextualSpacing w:val="0"/>
        <w:rPr>
          <w:szCs w:val="24"/>
        </w:rPr>
      </w:pPr>
      <w:r w:rsidRPr="00440427">
        <w:rPr>
          <w:szCs w:val="24"/>
        </w:rPr>
        <w:t>алпростадил 20 мкг в/в капельно 1 раз в  сутки 10-14 дней.</w:t>
      </w:r>
    </w:p>
    <w:p w14:paraId="4D895A45" w14:textId="77777777" w:rsidR="00AF6F6C" w:rsidRDefault="00AF6F6C" w:rsidP="00AF6F6C">
      <w:pPr>
        <w:rPr>
          <w:u w:val="single"/>
        </w:rPr>
      </w:pPr>
    </w:p>
    <w:p w14:paraId="2958E65B" w14:textId="77777777" w:rsidR="00AF6F6C" w:rsidRDefault="00AF6F6C" w:rsidP="00AF6F6C">
      <w:pPr>
        <w:ind w:firstLine="709"/>
      </w:pPr>
      <w:r w:rsidRPr="00440427">
        <w:t>5) Коррекция тромбофилических состояний</w:t>
      </w:r>
      <w:r>
        <w:t xml:space="preserve"> </w:t>
      </w:r>
      <w:r>
        <w:fldChar w:fldCharType="begin" w:fldLock="1"/>
      </w:r>
      <w:r>
        <w:instrText>ADDIN CSL_CITATION {"citationItems":[{"id":"ITEM-1","itemData":{"author":[{"dropping-particle":"","family":"Воробьев","given":"А.И.","non-dropping-particle":"","parse-names":false,"suffix":""},{"dropping-particle":"","family":"Васильев","given":"С.А.","non-dropping-particle":"","parse-names":false,"suffix":""},{"dropping-particle":"","family":"Городецкий","given":"В.М.","non-dropping-particle":"","parse-names":false,"suffix":""},{"dropping-particle":"","family":"Шевелев","given":"А.А.","non-dropping-particle":"","parse-names":false,"suffix":""},{"dropping-particle":"","family":"Горгидзе","given":"Л.А.","non-dropping-particle":"","parse-names":false,"suffix":""},{"dropping-particle":"","family":"Кременецкая","given":"О.С.","non-dropping-particle":"","parse-names":false,"suffix":""},{"dropping-particle":"","family":"Шкловский-Корди","given":"Н.Е.","non-dropping-particle":"","parse-names":false,"suffix":""}],"container-title":"Гематология и трансфузиология","id":"ITEM-1","issue":"3","issued":{"date-parts":[["2016"]]},"page":"116-122","title":"Гиперкоагуляционный синдром: классификация, патогенез, диагностика, терапия","type":"article-journal","volume":"61"},"uris":["http://www.mendeley.com/documents/?uuid=9198cd60-8a8e-46bc-9cfc-b0a20a2d96ea"]}],"mendeley":{"formattedCitation":"[110]","plainTextFormattedCitation":"[110]","previouslyFormattedCitation":"[110]"},"properties":{"noteIndex":0},"schema":"https://github.com/citation-style-language/schema/raw/master/csl-citation.json"}</w:instrText>
      </w:r>
      <w:r>
        <w:fldChar w:fldCharType="separate"/>
      </w:r>
      <w:r>
        <w:rPr>
          <w:noProof/>
        </w:rPr>
        <w:t>[111</w:t>
      </w:r>
      <w:r w:rsidRPr="008A5D58">
        <w:rPr>
          <w:noProof/>
        </w:rPr>
        <w:t>]</w:t>
      </w:r>
      <w:r>
        <w:fldChar w:fldCharType="end"/>
      </w:r>
      <w:r w:rsidRPr="00440427">
        <w:t>:</w:t>
      </w:r>
    </w:p>
    <w:p w14:paraId="5289EA01" w14:textId="77777777" w:rsidR="00AF6F6C" w:rsidRDefault="00AF6F6C" w:rsidP="00461889">
      <w:pPr>
        <w:pStyle w:val="afff3"/>
        <w:widowControl/>
        <w:numPr>
          <w:ilvl w:val="0"/>
          <w:numId w:val="271"/>
        </w:numPr>
        <w:autoSpaceDE/>
        <w:autoSpaceDN/>
        <w:adjustRightInd/>
        <w:contextualSpacing w:val="0"/>
        <w:rPr>
          <w:szCs w:val="24"/>
        </w:rPr>
      </w:pPr>
      <w:r w:rsidRPr="00B54A88">
        <w:rPr>
          <w:szCs w:val="24"/>
        </w:rPr>
        <w:t>При гипергомоцистеинемии используются витамины В6, В12, фолиевая кислота.</w:t>
      </w:r>
    </w:p>
    <w:p w14:paraId="0FE30401" w14:textId="77777777" w:rsidR="00AF6F6C" w:rsidRPr="00B54A88" w:rsidRDefault="00AF6F6C" w:rsidP="00461889">
      <w:pPr>
        <w:pStyle w:val="afff3"/>
        <w:widowControl/>
        <w:numPr>
          <w:ilvl w:val="0"/>
          <w:numId w:val="271"/>
        </w:numPr>
        <w:autoSpaceDE/>
        <w:autoSpaceDN/>
        <w:adjustRightInd/>
        <w:contextualSpacing w:val="0"/>
        <w:rPr>
          <w:szCs w:val="24"/>
        </w:rPr>
      </w:pPr>
      <w:r w:rsidRPr="00B54A88">
        <w:rPr>
          <w:szCs w:val="24"/>
        </w:rPr>
        <w:t xml:space="preserve">При применении гепаринов может развиться резистентность к ним, наиболее часто обусловленная дефицитом АТ III вследствие его увеличенного потребления, длительной гепаринотерапией, патологией печени и действием лекарственных препаратов. Препарат Антитромбин </w:t>
      </w:r>
      <w:r w:rsidRPr="00B54A88">
        <w:rPr>
          <w:szCs w:val="24"/>
          <w:lang w:val="en-US"/>
        </w:rPr>
        <w:t>III</w:t>
      </w:r>
      <w:r w:rsidRPr="00B54A88">
        <w:rPr>
          <w:szCs w:val="24"/>
        </w:rPr>
        <w:t xml:space="preserve"> показан также при наследственном и приобретенном дефиците АТ </w:t>
      </w:r>
      <w:r w:rsidRPr="00B54A88">
        <w:rPr>
          <w:szCs w:val="24"/>
          <w:lang w:val="en-US"/>
        </w:rPr>
        <w:t>III</w:t>
      </w:r>
      <w:r w:rsidRPr="00B54A88">
        <w:rPr>
          <w:szCs w:val="24"/>
        </w:rPr>
        <w:t>.</w:t>
      </w:r>
    </w:p>
    <w:p w14:paraId="131D5376" w14:textId="77777777" w:rsidR="00AF6F6C" w:rsidRPr="00B54A88" w:rsidRDefault="00AF6F6C" w:rsidP="00461889">
      <w:pPr>
        <w:pStyle w:val="afff3"/>
        <w:widowControl/>
        <w:numPr>
          <w:ilvl w:val="0"/>
          <w:numId w:val="270"/>
        </w:numPr>
        <w:autoSpaceDE/>
        <w:autoSpaceDN/>
        <w:adjustRightInd/>
        <w:contextualSpacing w:val="0"/>
        <w:rPr>
          <w:szCs w:val="24"/>
        </w:rPr>
      </w:pPr>
      <w:r w:rsidRPr="00B54A88">
        <w:rPr>
          <w:szCs w:val="24"/>
        </w:rPr>
        <w:t xml:space="preserve">Для коррекции дефицита АТ </w:t>
      </w:r>
      <w:r w:rsidRPr="00B54A88">
        <w:rPr>
          <w:szCs w:val="24"/>
          <w:lang w:val="en-US"/>
        </w:rPr>
        <w:t>III</w:t>
      </w:r>
      <w:r w:rsidRPr="00B54A88">
        <w:rPr>
          <w:szCs w:val="24"/>
        </w:rPr>
        <w:t xml:space="preserve"> используют СЗП или концентрат АТ III в дозе, рассчитываемой по формуле:</w:t>
      </w:r>
    </w:p>
    <w:p w14:paraId="67179913" w14:textId="77777777" w:rsidR="00AF6F6C" w:rsidRDefault="00AF6F6C" w:rsidP="00461889">
      <w:pPr>
        <w:pStyle w:val="afff3"/>
        <w:widowControl/>
        <w:numPr>
          <w:ilvl w:val="0"/>
          <w:numId w:val="270"/>
        </w:numPr>
        <w:autoSpaceDE/>
        <w:autoSpaceDN/>
        <w:adjustRightInd/>
        <w:contextualSpacing w:val="0"/>
        <w:rPr>
          <w:szCs w:val="24"/>
        </w:rPr>
      </w:pPr>
      <w:r w:rsidRPr="00B54A88">
        <w:rPr>
          <w:szCs w:val="24"/>
        </w:rPr>
        <w:t xml:space="preserve">Необходимая доза АТ </w:t>
      </w:r>
      <w:r w:rsidRPr="00B54A88">
        <w:rPr>
          <w:szCs w:val="24"/>
          <w:lang w:val="en-US"/>
        </w:rPr>
        <w:t>III</w:t>
      </w:r>
      <w:r w:rsidRPr="00B54A88">
        <w:rPr>
          <w:szCs w:val="24"/>
        </w:rPr>
        <w:t xml:space="preserve"> (ME) = масса тела (кг) × (целевое значение – исходная  активность АТ </w:t>
      </w:r>
      <w:r w:rsidRPr="00B54A88">
        <w:rPr>
          <w:szCs w:val="24"/>
          <w:lang w:val="en-US"/>
        </w:rPr>
        <w:t>III</w:t>
      </w:r>
      <w:r w:rsidRPr="00B54A88">
        <w:rPr>
          <w:szCs w:val="24"/>
        </w:rPr>
        <w:t xml:space="preserve"> (%)) × 0.5</w:t>
      </w:r>
    </w:p>
    <w:p w14:paraId="0F586B7C" w14:textId="77777777" w:rsidR="00AF6F6C" w:rsidRDefault="00AF6F6C" w:rsidP="00461889">
      <w:pPr>
        <w:pStyle w:val="afff3"/>
        <w:widowControl/>
        <w:numPr>
          <w:ilvl w:val="0"/>
          <w:numId w:val="270"/>
        </w:numPr>
        <w:autoSpaceDE/>
        <w:autoSpaceDN/>
        <w:adjustRightInd/>
        <w:contextualSpacing w:val="0"/>
        <w:rPr>
          <w:szCs w:val="24"/>
        </w:rPr>
      </w:pPr>
      <w:r w:rsidRPr="00B54A88">
        <w:rPr>
          <w:szCs w:val="24"/>
        </w:rPr>
        <w:t xml:space="preserve">При дефиците плазменных антикоагулянтов, таких как АТ </w:t>
      </w:r>
      <w:r w:rsidRPr="00B54A88">
        <w:rPr>
          <w:szCs w:val="24"/>
          <w:lang w:val="en-US"/>
        </w:rPr>
        <w:t>III</w:t>
      </w:r>
      <w:r w:rsidRPr="00B54A88">
        <w:rPr>
          <w:szCs w:val="24"/>
        </w:rPr>
        <w:t xml:space="preserve">, протеин С, протеин </w:t>
      </w:r>
      <w:r w:rsidRPr="00B54A88">
        <w:rPr>
          <w:szCs w:val="24"/>
          <w:lang w:val="en-US"/>
        </w:rPr>
        <w:t>S</w:t>
      </w:r>
      <w:r w:rsidRPr="00B54A88">
        <w:rPr>
          <w:szCs w:val="24"/>
        </w:rPr>
        <w:t xml:space="preserve"> применяется СЗП. </w:t>
      </w:r>
    </w:p>
    <w:p w14:paraId="4E203802" w14:textId="77777777" w:rsidR="00AF6F6C" w:rsidRDefault="00AF6F6C" w:rsidP="00461889">
      <w:pPr>
        <w:pStyle w:val="afff3"/>
        <w:widowControl/>
        <w:numPr>
          <w:ilvl w:val="0"/>
          <w:numId w:val="270"/>
        </w:numPr>
        <w:autoSpaceDE/>
        <w:autoSpaceDN/>
        <w:adjustRightInd/>
        <w:contextualSpacing w:val="0"/>
        <w:rPr>
          <w:szCs w:val="24"/>
        </w:rPr>
      </w:pPr>
      <w:r w:rsidRPr="00B54A88">
        <w:rPr>
          <w:szCs w:val="24"/>
        </w:rPr>
        <w:t xml:space="preserve">При глубоком дефиците протеина С возможно использование препарата очищенного протеина С (Сепротин).  </w:t>
      </w:r>
    </w:p>
    <w:p w14:paraId="451174E6" w14:textId="77777777" w:rsidR="00AF6F6C" w:rsidRPr="00B54A88" w:rsidRDefault="00AF6F6C" w:rsidP="00461889">
      <w:pPr>
        <w:pStyle w:val="afff3"/>
        <w:widowControl/>
        <w:numPr>
          <w:ilvl w:val="0"/>
          <w:numId w:val="270"/>
        </w:numPr>
        <w:autoSpaceDE/>
        <w:autoSpaceDN/>
        <w:adjustRightInd/>
        <w:contextualSpacing w:val="0"/>
        <w:rPr>
          <w:szCs w:val="24"/>
        </w:rPr>
      </w:pPr>
      <w:r w:rsidRPr="00B54A88">
        <w:rPr>
          <w:szCs w:val="24"/>
        </w:rPr>
        <w:t>В комплексной терапии АФС может быть эффективна комбинация: дипиридамол, витамин Е, плаквенил.</w:t>
      </w:r>
    </w:p>
    <w:p w14:paraId="49BE8308" w14:textId="77777777" w:rsidR="00AF6F6C" w:rsidRDefault="00AF6F6C" w:rsidP="00AF6F6C"/>
    <w:p w14:paraId="2CB59DD4" w14:textId="77777777" w:rsidR="00AF6F6C" w:rsidRDefault="00AF6F6C" w:rsidP="00AF6F6C">
      <w:pPr>
        <w:ind w:firstLine="709"/>
        <w:rPr>
          <w:u w:val="single"/>
        </w:rPr>
      </w:pPr>
      <w:r>
        <w:rPr>
          <w:u w:val="single"/>
        </w:rPr>
        <w:t xml:space="preserve">Инструментальные методы лечения. </w:t>
      </w:r>
    </w:p>
    <w:p w14:paraId="4E749246" w14:textId="77777777" w:rsidR="00AF6F6C" w:rsidRDefault="00AF6F6C" w:rsidP="00AF6F6C">
      <w:pPr>
        <w:ind w:firstLine="709"/>
      </w:pPr>
      <w:r w:rsidRPr="00482DE7">
        <w:lastRenderedPageBreak/>
        <w:t>1)  Кава-фильтр</w:t>
      </w:r>
      <w:r>
        <w:t xml:space="preserve"> устанавливается либо для профилактики ТЭЛА (если были эпизоды ТЭЛА ранее), либо при наличии флотирующего тромба в крупных венозных стволах </w:t>
      </w:r>
      <w:r>
        <w:fldChar w:fldCharType="begin" w:fldLock="1"/>
      </w:r>
      <w:r>
        <w:instrText>ADDIN CSL_CITATION {"citationItems":[{"id":"ITEM-1","itemData":{"author":[{"dropping-particle":"","family":"Воробьев","given":"А.И.","non-dropping-particle":"","parse-names":false,"suffix":""},{"dropping-particle":"","family":"Васильев","given":"С.А.","non-dropping-particle":"","parse-names":false,"suffix":""},{"dropping-particle":"","family":"Городецкий","given":"В.М.","non-dropping-particle":"","parse-names":false,"suffix":""},{"dropping-particle":"","family":"Шевелев","given":"А.А.","non-dropping-particle":"","parse-names":false,"suffix":""},{"dropping-particle":"","family":"Горгидзе","given":"Л.А.","non-dropping-particle":"","parse-names":false,"suffix":""},{"dropping-particle":"","family":"Кременецкая","given":"О.С.","non-dropping-particle":"","parse-names":false,"suffix":""},{"dropping-particle":"","family":"Шкловский-Корди","given":"Н.Е.","non-dropping-particle":"","parse-names":false,"suffix":""}],"container-title":"Гематология и трансфузиология","id":"ITEM-1","issue":"3","issued":{"date-parts":[["2016"]]},"page":"116-122","title":"Гиперкоагуляционный синдром: классификация, патогенез, диагностика, терапия","type":"article-journal","volume":"61"},"uris":["http://www.mendeley.com/documents/?uuid=9198cd60-8a8e-46bc-9cfc-b0a20a2d96ea"]}],"mendeley":{"formattedCitation":"[110]","plainTextFormattedCitation":"[110]","previouslyFormattedCitation":"[110]"},"properties":{"noteIndex":0},"schema":"https://github.com/citation-style-language/schema/raw/master/csl-citation.json"}</w:instrText>
      </w:r>
      <w:r>
        <w:fldChar w:fldCharType="separate"/>
      </w:r>
      <w:r>
        <w:rPr>
          <w:noProof/>
        </w:rPr>
        <w:t>[111</w:t>
      </w:r>
      <w:r w:rsidRPr="008A5D58">
        <w:rPr>
          <w:noProof/>
        </w:rPr>
        <w:t>]</w:t>
      </w:r>
      <w:r>
        <w:fldChar w:fldCharType="end"/>
      </w:r>
      <w:r>
        <w:t>. Показаниями для постановки венозного кава-фильтра является неэффективность или невозможность проведения антикоагулянтной терапии у больных с тромбозами глубоких вен нижних конечностей в следующих случаях:</w:t>
      </w:r>
    </w:p>
    <w:p w14:paraId="691C7379" w14:textId="77777777" w:rsidR="00AF6F6C" w:rsidRPr="005650C3" w:rsidRDefault="00AF6F6C" w:rsidP="00461889">
      <w:pPr>
        <w:pStyle w:val="afff3"/>
        <w:widowControl/>
        <w:numPr>
          <w:ilvl w:val="0"/>
          <w:numId w:val="270"/>
        </w:numPr>
        <w:autoSpaceDE/>
        <w:autoSpaceDN/>
        <w:adjustRightInd/>
        <w:contextualSpacing w:val="0"/>
        <w:rPr>
          <w:szCs w:val="24"/>
        </w:rPr>
      </w:pPr>
      <w:r w:rsidRPr="005650C3">
        <w:rPr>
          <w:szCs w:val="24"/>
        </w:rPr>
        <w:t>рецидивирующая ТЭЛА, несмотря на адекватную антикоагулянтную терапию;</w:t>
      </w:r>
    </w:p>
    <w:p w14:paraId="0386E651" w14:textId="77777777" w:rsidR="00AF6F6C" w:rsidRPr="005650C3" w:rsidRDefault="00AF6F6C" w:rsidP="00461889">
      <w:pPr>
        <w:pStyle w:val="afff3"/>
        <w:widowControl/>
        <w:numPr>
          <w:ilvl w:val="0"/>
          <w:numId w:val="270"/>
        </w:numPr>
        <w:autoSpaceDE/>
        <w:autoSpaceDN/>
        <w:adjustRightInd/>
        <w:contextualSpacing w:val="0"/>
        <w:rPr>
          <w:szCs w:val="24"/>
        </w:rPr>
      </w:pPr>
      <w:r w:rsidRPr="005650C3">
        <w:rPr>
          <w:szCs w:val="24"/>
        </w:rPr>
        <w:t>наличие противопоказаний к антикоагулянтной терапии;</w:t>
      </w:r>
    </w:p>
    <w:p w14:paraId="693E607B" w14:textId="77777777" w:rsidR="00AF6F6C" w:rsidRPr="005650C3" w:rsidRDefault="00AF6F6C" w:rsidP="00461889">
      <w:pPr>
        <w:pStyle w:val="afff3"/>
        <w:widowControl/>
        <w:numPr>
          <w:ilvl w:val="0"/>
          <w:numId w:val="270"/>
        </w:numPr>
        <w:autoSpaceDE/>
        <w:autoSpaceDN/>
        <w:adjustRightInd/>
        <w:contextualSpacing w:val="0"/>
        <w:rPr>
          <w:szCs w:val="24"/>
        </w:rPr>
      </w:pPr>
      <w:r w:rsidRPr="005650C3">
        <w:rPr>
          <w:szCs w:val="24"/>
        </w:rPr>
        <w:t>осложнения антикоагулянтной терапии, делающие невозможным</w:t>
      </w:r>
    </w:p>
    <w:p w14:paraId="19082B39" w14:textId="77777777" w:rsidR="00AF6F6C" w:rsidRPr="005650C3" w:rsidRDefault="00AF6F6C" w:rsidP="00461889">
      <w:pPr>
        <w:pStyle w:val="afff3"/>
        <w:widowControl/>
        <w:numPr>
          <w:ilvl w:val="0"/>
          <w:numId w:val="270"/>
        </w:numPr>
        <w:autoSpaceDE/>
        <w:autoSpaceDN/>
        <w:adjustRightInd/>
        <w:contextualSpacing w:val="0"/>
        <w:rPr>
          <w:szCs w:val="24"/>
        </w:rPr>
      </w:pPr>
      <w:r w:rsidRPr="005650C3">
        <w:rPr>
          <w:szCs w:val="24"/>
        </w:rPr>
        <w:t>дальнейшую гипокоагуляцию;</w:t>
      </w:r>
    </w:p>
    <w:p w14:paraId="696EE9B2" w14:textId="77777777" w:rsidR="00AF6F6C" w:rsidRPr="005650C3" w:rsidRDefault="00AF6F6C" w:rsidP="00461889">
      <w:pPr>
        <w:pStyle w:val="afff3"/>
        <w:widowControl/>
        <w:numPr>
          <w:ilvl w:val="0"/>
          <w:numId w:val="270"/>
        </w:numPr>
        <w:autoSpaceDE/>
        <w:autoSpaceDN/>
        <w:adjustRightInd/>
        <w:contextualSpacing w:val="0"/>
        <w:rPr>
          <w:szCs w:val="24"/>
        </w:rPr>
      </w:pPr>
      <w:r w:rsidRPr="005650C3">
        <w:rPr>
          <w:szCs w:val="24"/>
        </w:rPr>
        <w:t>невозможность достигнуть или поддерживать лечебный антикоагулянтный эффект.</w:t>
      </w:r>
    </w:p>
    <w:p w14:paraId="5F083026" w14:textId="77777777" w:rsidR="00AF6F6C" w:rsidRPr="00A13E2A" w:rsidRDefault="00AF6F6C" w:rsidP="00AF6F6C">
      <w:pPr>
        <w:ind w:firstLine="709"/>
      </w:pPr>
      <w:r w:rsidRPr="00A13E2A">
        <w:t>При исчезновении угрозы ВТЭО кава-фильтр удаляется (обычно через 1,5-2 мес).</w:t>
      </w:r>
    </w:p>
    <w:p w14:paraId="582BFD84" w14:textId="77777777" w:rsidR="00AF6F6C" w:rsidRDefault="00AF6F6C" w:rsidP="00AF6F6C">
      <w:pPr>
        <w:ind w:left="1459" w:firstLine="709"/>
      </w:pPr>
    </w:p>
    <w:p w14:paraId="2AA99762" w14:textId="77777777" w:rsidR="00AF6F6C" w:rsidRDefault="00AF6F6C" w:rsidP="00AF6F6C">
      <w:pPr>
        <w:ind w:firstLine="709"/>
      </w:pPr>
      <w:r w:rsidRPr="00482DE7">
        <w:t>2) Эндоваскулярная тромбоэкстракция</w:t>
      </w:r>
      <w:r>
        <w:t xml:space="preserve"> используется при острых тромбозах сосудов головного мозга, ТЭЛА, остром коронарном синдроме, а также при угрозе формирования некрозов тканей и органов </w:t>
      </w:r>
      <w:r>
        <w:fldChar w:fldCharType="begin" w:fldLock="1"/>
      </w:r>
      <w:r>
        <w:instrText>ADDIN CSL_CITATION {"citationItems":[{"id":"ITEM-1","itemData":{"author":[{"dropping-particle":"","family":"Воробьев","given":"А.И.","non-dropping-particle":"","parse-names":false,"suffix":""},{"dropping-particle":"","family":"Васильев","given":"С.А.","non-dropping-particle":"","parse-names":false,"suffix":""},{"dropping-particle":"","family":"Городецкий","given":"В.М.","non-dropping-particle":"","parse-names":false,"suffix":""},{"dropping-particle":"","family":"Шевелев","given":"А.А.","non-dropping-particle":"","parse-names":false,"suffix":""},{"dropping-particle":"","family":"Горгидзе","given":"Л.А.","non-dropping-particle":"","parse-names":false,"suffix":""},{"dropping-particle":"","family":"Кременецкая","given":"О.С.","non-dropping-particle":"","parse-names":false,"suffix":""},{"dropping-particle":"","family":"Шкловский-Корди","given":"Н.Е.","non-dropping-particle":"","parse-names":false,"suffix":""}],"container-title":"Гематология и трансфузиология","id":"ITEM-1","issue":"3","issued":{"date-parts":[["2016"]]},"page":"116-122","title":"Гиперкоагуляционный синдром: классификация, патогенез, диагностика, терапия","type":"article-journal","volume":"61"},"uris":["http://www.mendeley.com/documents/?uuid=9198cd60-8a8e-46bc-9cfc-b0a20a2d96ea"]}],"mendeley":{"formattedCitation":"[110]","plainTextFormattedCitation":"[110]","previouslyFormattedCitation":"[110]"},"properties":{"noteIndex":0},"schema":"https://github.com/citation-style-language/schema/raw/master/csl-citation.json"}</w:instrText>
      </w:r>
      <w:r>
        <w:fldChar w:fldCharType="separate"/>
      </w:r>
      <w:r>
        <w:rPr>
          <w:noProof/>
        </w:rPr>
        <w:t>[111</w:t>
      </w:r>
      <w:r w:rsidRPr="008A5D58">
        <w:rPr>
          <w:noProof/>
        </w:rPr>
        <w:t>]</w:t>
      </w:r>
      <w:r>
        <w:fldChar w:fldCharType="end"/>
      </w:r>
      <w:r>
        <w:t xml:space="preserve">. При необходимости устанавливаются различные сосудистые стенты. </w:t>
      </w:r>
    </w:p>
    <w:p w14:paraId="472149B1" w14:textId="77777777" w:rsidR="00AF6F6C" w:rsidRDefault="00AF6F6C" w:rsidP="00AF6F6C">
      <w:pPr>
        <w:ind w:left="708" w:firstLine="709"/>
      </w:pPr>
    </w:p>
    <w:p w14:paraId="6314E2E4" w14:textId="77777777" w:rsidR="00AF6F6C" w:rsidRDefault="00AF6F6C" w:rsidP="00AF6F6C">
      <w:pPr>
        <w:ind w:firstLine="709"/>
      </w:pPr>
      <w:r w:rsidRPr="00482DE7">
        <w:t>3) Плазмаферез (ПФ)</w:t>
      </w:r>
      <w:r>
        <w:t xml:space="preserve"> эффективен в комплексной терапии АФС и катастрофического АФС, ТТП и других видах ТМА, гипергомоцистеинемии, повышении активности факторов свертывания крови, при рецидивирующих тромбозах с угрозой развития тяжелых трофических нарушений. Объем, интенсивность, способы замещения ПФ зависят от характеристики заболеваний. </w:t>
      </w:r>
    </w:p>
    <w:p w14:paraId="33512BA1" w14:textId="77777777" w:rsidR="00AF6F6C" w:rsidRDefault="00AF6F6C" w:rsidP="00AF6F6C">
      <w:pPr>
        <w:ind w:left="1429"/>
      </w:pPr>
    </w:p>
    <w:p w14:paraId="4C03A16B" w14:textId="77777777" w:rsidR="00AF6F6C" w:rsidRPr="00111FC7" w:rsidRDefault="00AF6F6C" w:rsidP="00AF6F6C">
      <w:pPr>
        <w:ind w:firstLine="708"/>
        <w:rPr>
          <w:u w:val="single"/>
        </w:rPr>
      </w:pPr>
      <w:r w:rsidRPr="00111FC7">
        <w:rPr>
          <w:u w:val="single"/>
        </w:rPr>
        <w:t xml:space="preserve">Хирургическое лечение.   </w:t>
      </w:r>
    </w:p>
    <w:p w14:paraId="42546F38" w14:textId="77777777" w:rsidR="00AF6F6C" w:rsidRPr="00A13E2A" w:rsidRDefault="00AF6F6C" w:rsidP="00AF6F6C">
      <w:pPr>
        <w:ind w:firstLine="709"/>
        <w:contextualSpacing/>
        <w:rPr>
          <w:b/>
        </w:rPr>
      </w:pPr>
      <w:r w:rsidRPr="00A13E2A">
        <w:t xml:space="preserve">Диагностику и лечение артериальных тромбозов необходимо строго осуществлять совместно с ангиохирургом, часто в условиях специализированного ангиологического хирургического стационара. При ТЭЛА с тяжелыми гемодинамическими расстройствами (АД в легочной артерии более 60-65 мм.рт.ст.) показано хирургическое удаление тромбов из легочной артерии.  </w:t>
      </w:r>
    </w:p>
    <w:p w14:paraId="3C3BA005" w14:textId="77777777" w:rsidR="00AF6F6C" w:rsidRPr="00A13E2A" w:rsidRDefault="00AF6F6C" w:rsidP="00AF6F6C">
      <w:pPr>
        <w:ind w:firstLine="709"/>
        <w:rPr>
          <w:b/>
        </w:rPr>
      </w:pPr>
      <w:r w:rsidRPr="00A13E2A">
        <w:t>При развитии некротических изменений в результате окклюзирующих тромбозов показано экстренное хирургическое пособие.</w:t>
      </w:r>
    </w:p>
    <w:p w14:paraId="5676B023" w14:textId="77777777" w:rsidR="00AF6F6C" w:rsidRPr="00A13E2A" w:rsidRDefault="00AF6F6C" w:rsidP="00AF6F6C">
      <w:pPr>
        <w:ind w:firstLine="709"/>
        <w:rPr>
          <w:b/>
        </w:rPr>
      </w:pPr>
      <w:r w:rsidRPr="00A13E2A">
        <w:t xml:space="preserve">При флотирующих тромбах возможны применение эндоваскулярной </w:t>
      </w:r>
      <w:r w:rsidRPr="00A13E2A">
        <w:lastRenderedPageBreak/>
        <w:t xml:space="preserve">тромбоэкстракции, установка кава-фильтра, хирургическая перевязка сосудов, прошивание нижней полой вены и др. </w:t>
      </w:r>
    </w:p>
    <w:p w14:paraId="22502421" w14:textId="77777777" w:rsidR="00AF6F6C" w:rsidRDefault="00AF6F6C" w:rsidP="00AF6F6C">
      <w:pPr>
        <w:ind w:firstLine="709"/>
      </w:pPr>
      <w:r>
        <w:t xml:space="preserve">Целью терапии тромбозов является максимально возможное лизирование тромбов и максимальная реканализация сосуда. Длительность терапии тромбоза составляет, как правило, не менее 3-х месяцев. Однако продолжительность лечения тромбозов по показаниям может составлять от 6 до 12 мес. При некоторых тромбофилиях профилактическая антитромботическая терапия может продолжаться пожизненно. </w:t>
      </w:r>
    </w:p>
    <w:p w14:paraId="7786D1AA" w14:textId="77777777" w:rsidR="00AF6F6C" w:rsidRDefault="00AF6F6C" w:rsidP="00AF6F6C">
      <w:pPr>
        <w:ind w:firstLine="709"/>
      </w:pPr>
      <w:r>
        <w:t xml:space="preserve">При сохранении таких факторов риска, как иммобилизация, гнойная инфекция, длительная катетеризация центральных сосудов, продолжающаяся ХТ или другие виды специфической терапии, сахарный диабет, сохраняющаяся злокачественная опухоль, генетические тромбофилии (исключая дефицит АТ </w:t>
      </w:r>
      <w:r>
        <w:rPr>
          <w:lang w:val="en-US"/>
        </w:rPr>
        <w:t>III</w:t>
      </w:r>
      <w:r>
        <w:t xml:space="preserve">), целесообразно продлить антикоагулянтную профилактику. В этом случае дополнительным аргументом может служить сохранение тромбинемии (высокая концентрация </w:t>
      </w:r>
      <w:r>
        <w:rPr>
          <w:lang w:val="en-US"/>
        </w:rPr>
        <w:t>D</w:t>
      </w:r>
      <w:r>
        <w:t>-димера), а также признаки замедления кровотока в глубоких венах нижних конечностей или таза при УЗДГ. Завершение противотромботического курса проводится индивидуально с учетом динамики факторов риска и тромбинемии.</w:t>
      </w:r>
    </w:p>
    <w:p w14:paraId="79F53F81" w14:textId="77777777" w:rsidR="00AF6F6C" w:rsidRPr="00BA72AB" w:rsidRDefault="00AF6F6C" w:rsidP="004E3DE3">
      <w:pPr>
        <w:pStyle w:val="afff3"/>
        <w:rPr>
          <w:b/>
          <w:szCs w:val="24"/>
        </w:rPr>
      </w:pPr>
    </w:p>
    <w:p w14:paraId="5BD27937" w14:textId="57EBC5C0" w:rsidR="000A7D43" w:rsidRPr="000A7D43" w:rsidRDefault="004E3DE3" w:rsidP="004905C2">
      <w:pPr>
        <w:pStyle w:val="2"/>
      </w:pPr>
      <w:bookmarkStart w:id="181" w:name="_Toc64565656"/>
      <w:r w:rsidRPr="00FC258D">
        <w:t>7.</w:t>
      </w:r>
      <w:r w:rsidR="00420B8A">
        <w:t>6</w:t>
      </w:r>
      <w:r>
        <w:t xml:space="preserve">. </w:t>
      </w:r>
      <w:r w:rsidR="000A7D43" w:rsidRPr="00FB583E">
        <w:t xml:space="preserve">Диагностика и лечение неврологических проявлений при </w:t>
      </w:r>
      <w:bookmarkEnd w:id="181"/>
      <w:r w:rsidR="00941AF9">
        <w:t>лейкозе</w:t>
      </w:r>
    </w:p>
    <w:p w14:paraId="34811FED" w14:textId="77777777" w:rsidR="000A7D43" w:rsidRPr="00FB583E" w:rsidRDefault="000A7D43" w:rsidP="000A7D43">
      <w:pPr>
        <w:rPr>
          <w:b/>
          <w:szCs w:val="24"/>
          <w:u w:val="single"/>
        </w:rPr>
      </w:pPr>
    </w:p>
    <w:p w14:paraId="58B2A4FB" w14:textId="3D3847D7" w:rsidR="000A7D43" w:rsidRDefault="000A7D43" w:rsidP="000A7D43">
      <w:pPr>
        <w:ind w:firstLine="709"/>
        <w:rPr>
          <w:szCs w:val="24"/>
        </w:rPr>
      </w:pPr>
      <w:r w:rsidRPr="00FB583E">
        <w:rPr>
          <w:szCs w:val="24"/>
        </w:rPr>
        <w:t xml:space="preserve">Вовлечение центральной нервной системы (ЦНС) и периферической нервной системы может выявляться при </w:t>
      </w:r>
      <w:r w:rsidR="00385510">
        <w:rPr>
          <w:szCs w:val="24"/>
        </w:rPr>
        <w:t>ОЛЛ</w:t>
      </w:r>
      <w:r w:rsidRPr="00FB583E">
        <w:rPr>
          <w:szCs w:val="24"/>
        </w:rPr>
        <w:t xml:space="preserve">. Неврологические проявления могут быть как проявлением специфического поражения нервной системы (опухолевое поражение ЦНС), так и проявлением осложнений гематологического заболевания и его лечения (геморрагические, тромботические, токсические поражения нервной системы). Для диагностики и лечения неврологических проявлений и осложнений гематологических заболеваний применяется комплекс неврологических исследований и терапия сообразно виду нарушения, с учетом характера основного гематологического заболевания. </w:t>
      </w:r>
    </w:p>
    <w:p w14:paraId="587021E0" w14:textId="77777777" w:rsidR="000A7D43" w:rsidRPr="00FB583E" w:rsidRDefault="000A7D43" w:rsidP="000A7D43">
      <w:pPr>
        <w:ind w:firstLine="709"/>
        <w:rPr>
          <w:szCs w:val="24"/>
        </w:rPr>
      </w:pPr>
    </w:p>
    <w:p w14:paraId="60D06F68" w14:textId="3F5B1C7C" w:rsidR="000A7D43" w:rsidRPr="00FB583E" w:rsidRDefault="000A7D43" w:rsidP="000A7D43">
      <w:pPr>
        <w:rPr>
          <w:i/>
          <w:szCs w:val="24"/>
          <w:u w:val="single"/>
        </w:rPr>
      </w:pPr>
      <w:r w:rsidRPr="00FB583E">
        <w:rPr>
          <w:i/>
          <w:szCs w:val="24"/>
          <w:u w:val="single"/>
        </w:rPr>
        <w:t xml:space="preserve">Специфическое поражение ЦНС при </w:t>
      </w:r>
      <w:r w:rsidR="00385510">
        <w:rPr>
          <w:i/>
          <w:szCs w:val="24"/>
          <w:u w:val="single"/>
        </w:rPr>
        <w:t>лейкозе</w:t>
      </w:r>
      <w:r w:rsidRPr="00FB583E">
        <w:rPr>
          <w:i/>
          <w:szCs w:val="24"/>
          <w:u w:val="single"/>
        </w:rPr>
        <w:t xml:space="preserve">. </w:t>
      </w:r>
    </w:p>
    <w:p w14:paraId="374ECB3D" w14:textId="07D7DC82" w:rsidR="000A7D43" w:rsidRPr="00FB583E" w:rsidRDefault="000A7D43" w:rsidP="000A7D43">
      <w:pPr>
        <w:ind w:firstLine="708"/>
        <w:rPr>
          <w:szCs w:val="24"/>
        </w:rPr>
      </w:pPr>
      <w:r w:rsidRPr="00FB583E">
        <w:rPr>
          <w:szCs w:val="24"/>
        </w:rPr>
        <w:t>Специфическое опухолевое поражение ЦНС с вовлечением головного мозга, спинного мозга и оболочек может быть проявлением лейкоз</w:t>
      </w:r>
      <w:r w:rsidR="00385510">
        <w:rPr>
          <w:szCs w:val="24"/>
        </w:rPr>
        <w:t xml:space="preserve">а. </w:t>
      </w:r>
      <w:r w:rsidRPr="00FB583E">
        <w:rPr>
          <w:szCs w:val="24"/>
        </w:rPr>
        <w:t xml:space="preserve">Чаще всего опухолевое поражение ЦНС локализуется в лобной доле – 50%, реже отмечается в мозолистом теле и глубинных структурах мозга (40%) мультифокальное поражение (35%), лептоменингеальное поражение (16%), изолированное поражение спинного мозга (1%). </w:t>
      </w:r>
      <w:r w:rsidRPr="00FB583E">
        <w:rPr>
          <w:szCs w:val="24"/>
        </w:rPr>
        <w:lastRenderedPageBreak/>
        <w:t>Кроме того, специфическое поражение ЦНС может развиваться по типу лейкемической инфильтрации оболочек мозга и поражения спиномозговой жидкости (нейролейкемия).</w:t>
      </w:r>
    </w:p>
    <w:p w14:paraId="64D7B08F" w14:textId="66BC7B40" w:rsidR="000A7D43" w:rsidRPr="00FB583E" w:rsidRDefault="000A7D43" w:rsidP="000A7D43">
      <w:pPr>
        <w:ind w:firstLine="708"/>
        <w:rPr>
          <w:b/>
          <w:szCs w:val="24"/>
        </w:rPr>
      </w:pPr>
      <w:r w:rsidRPr="00FB583E">
        <w:rPr>
          <w:b/>
          <w:szCs w:val="24"/>
        </w:rPr>
        <w:t xml:space="preserve">Диагностика поражения ЦНС при </w:t>
      </w:r>
      <w:r w:rsidR="00385510">
        <w:rPr>
          <w:b/>
          <w:szCs w:val="24"/>
        </w:rPr>
        <w:t>лейкозе</w:t>
      </w:r>
      <w:r w:rsidRPr="00FB583E">
        <w:rPr>
          <w:b/>
          <w:szCs w:val="24"/>
        </w:rPr>
        <w:t>.</w:t>
      </w:r>
    </w:p>
    <w:p w14:paraId="419D5024" w14:textId="77777777" w:rsidR="000A7D43" w:rsidRPr="00FB583E" w:rsidRDefault="000A7D43" w:rsidP="000A7D43">
      <w:pPr>
        <w:ind w:firstLine="708"/>
        <w:rPr>
          <w:szCs w:val="24"/>
        </w:rPr>
      </w:pPr>
      <w:r w:rsidRPr="00FB583E">
        <w:rPr>
          <w:szCs w:val="24"/>
        </w:rPr>
        <w:t>Клиническая картина</w:t>
      </w:r>
      <w:r w:rsidRPr="00FB583E">
        <w:rPr>
          <w:b/>
          <w:szCs w:val="24"/>
        </w:rPr>
        <w:t xml:space="preserve"> </w:t>
      </w:r>
      <w:r w:rsidRPr="00FB583E">
        <w:rPr>
          <w:szCs w:val="24"/>
        </w:rPr>
        <w:t xml:space="preserve">зависит от локализации и объема поражения, степени выраженности гипертензионно-гидроцефального синдрома. В 70% опухолевое поражение при гематологических заболеваниях  манифестирует с очаговой неврологической симптоматики, в 43%  – с изменения психики, в 33% – с признаков повышения внутричерепного давления, в 14% – с эпилептических приступов. </w:t>
      </w:r>
    </w:p>
    <w:p w14:paraId="4B184806" w14:textId="77777777" w:rsidR="000A7D43" w:rsidRPr="00FB583E" w:rsidRDefault="000A7D43" w:rsidP="000A7D43">
      <w:pPr>
        <w:ind w:firstLine="708"/>
        <w:rPr>
          <w:szCs w:val="24"/>
        </w:rPr>
      </w:pPr>
      <w:r w:rsidRPr="00FB583E">
        <w:rPr>
          <w:szCs w:val="24"/>
        </w:rPr>
        <w:t>Для первичной диагностики неврологического поражения ЦНС оценивается:</w:t>
      </w:r>
    </w:p>
    <w:p w14:paraId="7D8FEAF0"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 xml:space="preserve">жалобы; </w:t>
      </w:r>
    </w:p>
    <w:p w14:paraId="1534F473"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 xml:space="preserve">анамнез; </w:t>
      </w:r>
    </w:p>
    <w:p w14:paraId="2B928B9D"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 xml:space="preserve">оценка функционального статуса по шкале Карновского; </w:t>
      </w:r>
    </w:p>
    <w:p w14:paraId="3002C37A"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 xml:space="preserve">неврологический статус с оценкой общемозговой и очаговой симптоматики и интеллектуально-мнестических нарушений; </w:t>
      </w:r>
    </w:p>
    <w:p w14:paraId="7511F70F"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 xml:space="preserve">оценка  психического состояния; </w:t>
      </w:r>
    </w:p>
    <w:p w14:paraId="4D3FEF30" w14:textId="77777777" w:rsidR="000A7D43" w:rsidRPr="00FB583E" w:rsidRDefault="000A7D43" w:rsidP="000A7D43">
      <w:pPr>
        <w:ind w:left="12" w:firstLine="708"/>
        <w:rPr>
          <w:b/>
          <w:szCs w:val="24"/>
        </w:rPr>
      </w:pPr>
      <w:r w:rsidRPr="00FB583E">
        <w:rPr>
          <w:b/>
          <w:szCs w:val="24"/>
        </w:rPr>
        <w:t>Лабораторная диагностика:</w:t>
      </w:r>
      <w:r w:rsidRPr="00FB583E">
        <w:rPr>
          <w:b/>
          <w:szCs w:val="24"/>
        </w:rPr>
        <w:tab/>
        <w:t xml:space="preserve"> </w:t>
      </w:r>
    </w:p>
    <w:p w14:paraId="28C7DE47"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Клинический анализ крови, морфологическое исследование мазка крови</w:t>
      </w:r>
    </w:p>
    <w:p w14:paraId="16A71B78"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Общий анализ мочи</w:t>
      </w:r>
    </w:p>
    <w:p w14:paraId="23D57D9F"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Биохимический анализ крови – общий белок, фракции белка, креатинин, мочевина, мочевая кислота, билирубин, фракции билирубина, глюкоза, электролиты, аланиаминотрансфераза, аспартатаминотрансфераза, лактатдегидрогеназа, щелочная фосфатаза, амилаза</w:t>
      </w:r>
    </w:p>
    <w:p w14:paraId="50410AFC"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Оценка кислотно-щелочного равновесия (по показаниям)</w:t>
      </w:r>
    </w:p>
    <w:p w14:paraId="6A4F57A9"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Коагулограмма – активированное частичное тромбопластиновое время (АЧТВ), тромбиновое время (ТВ), протромбин по Квику (международное нормализованное отношение - МНО), плазменная концентрация фибриногена, а также по показаниям: плазменная концентрация антитромбина III (АТ III), XIIa-зависимый фибринолиз, агрегация тромбоцитов, индуцированная АДФ, адреналином, ристомицином, коллагеном, арахидоновой кислотой, D-димер, протеин С, протеин S.</w:t>
      </w:r>
    </w:p>
    <w:p w14:paraId="00E2E0BD"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Определение маркеров тромбофилии (по показаниям)</w:t>
      </w:r>
    </w:p>
    <w:p w14:paraId="1AD46D2F"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Иммунохимическое исследование крови и мочи, включая количество нормальных иммуноглобулинов, наличие моноклональной секреции, С-реактивный белок, бета-2-микроглобулин</w:t>
      </w:r>
    </w:p>
    <w:p w14:paraId="626D523B"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lastRenderedPageBreak/>
        <w:t>Определение группы крови и резус - фактора</w:t>
      </w:r>
    </w:p>
    <w:p w14:paraId="16F88295"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Исследование крови на вирусы гепатитов B и C, ВИЧ, сифилис</w:t>
      </w:r>
    </w:p>
    <w:p w14:paraId="56B64187" w14:textId="0103E645" w:rsidR="000A7D43" w:rsidRPr="00FB583E" w:rsidRDefault="000A7D43" w:rsidP="000A7D43">
      <w:pPr>
        <w:pStyle w:val="afff3"/>
        <w:widowControl/>
        <w:numPr>
          <w:ilvl w:val="0"/>
          <w:numId w:val="232"/>
        </w:numPr>
        <w:autoSpaceDE/>
        <w:autoSpaceDN/>
        <w:adjustRightInd/>
        <w:rPr>
          <w:szCs w:val="24"/>
        </w:rPr>
      </w:pPr>
      <w:r w:rsidRPr="00FB583E">
        <w:rPr>
          <w:szCs w:val="24"/>
        </w:rPr>
        <w:t>Определение В-клеточной клональности в крови (</w:t>
      </w:r>
      <w:r w:rsidR="00780510" w:rsidRPr="00FB583E">
        <w:rPr>
          <w:szCs w:val="24"/>
        </w:rPr>
        <w:t>по показаниям</w:t>
      </w:r>
      <w:r w:rsidRPr="00FB583E">
        <w:rPr>
          <w:szCs w:val="24"/>
        </w:rPr>
        <w:t>)</w:t>
      </w:r>
    </w:p>
    <w:p w14:paraId="28FCC91D"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Определение клиренса креатинина по формуле Кокрофта- Голта</w:t>
      </w:r>
    </w:p>
    <w:p w14:paraId="04BC14B0"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Исследование ликвора – цитологическое, белок, глюкоза, вирусологическое, микробиологическое, иммуноцитохимическое, иммунофенотипическое. Исследование ликвора проводится по показаниям на различных этапах диагностики, лечения и наблюдения (до, в период и после курсов полихимиотерапии) в соответствии с соответствующим протоколом диагностики и лечения.</w:t>
      </w:r>
    </w:p>
    <w:p w14:paraId="3E724B6D"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Исследование материала биоптата опухоли ЦНС – цитологическое, гистологическое, иммуногистохимическое с необходимым набором иммуногистохимических маркеров (в том числе, CD20, CD45, CD79, MuM1, BCL2, BCL6, CD10, Ki-67), цитогенетическое исследование (стандартное и FISH, в том числе с маркерами BCL2, BCL6, c-MYC, TP53); молекулярно-биологическое исследование, в том числе, на мутации генов TP53, MYD88</w:t>
      </w:r>
    </w:p>
    <w:p w14:paraId="41C463DF"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 xml:space="preserve">Исследования костного мозга цитологическое, гистологическое и молекулярно-биологическое (В-клеточная клональность, другие маркеры по показаниям) </w:t>
      </w:r>
    </w:p>
    <w:p w14:paraId="26384299" w14:textId="77777777" w:rsidR="000A7D43" w:rsidRPr="00FB583E" w:rsidRDefault="000A7D43" w:rsidP="000A7D43">
      <w:pPr>
        <w:ind w:firstLine="708"/>
        <w:rPr>
          <w:b/>
          <w:szCs w:val="24"/>
        </w:rPr>
      </w:pPr>
      <w:r w:rsidRPr="00FB583E">
        <w:rPr>
          <w:b/>
          <w:szCs w:val="24"/>
        </w:rPr>
        <w:t>Инструментальная диагностика:</w:t>
      </w:r>
    </w:p>
    <w:p w14:paraId="575FA03A"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КТ с внутривенным контрастированием или МРТ головного мозга с внутривенным контрастированием</w:t>
      </w:r>
    </w:p>
    <w:p w14:paraId="0A92B733"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КТ/МРТ – ангиография (по показаниям)</w:t>
      </w:r>
    </w:p>
    <w:p w14:paraId="398AE91C"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КТ брюшной полости, грудной клетки, малого таза</w:t>
      </w:r>
    </w:p>
    <w:p w14:paraId="211D98E3"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УЗИ брюшной полости (по показаниям)</w:t>
      </w:r>
    </w:p>
    <w:p w14:paraId="077EFB69"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Электроэнцефалография (ЭЭГ) с функциональными пробами для определения функционального состояния головного мозга и исключения эпиактивности</w:t>
      </w:r>
    </w:p>
    <w:p w14:paraId="2D7F8E70"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 xml:space="preserve">ВП – вызванные потенциалы различной модальности (по показаниям): </w:t>
      </w:r>
    </w:p>
    <w:p w14:paraId="1188275F" w14:textId="77777777" w:rsidR="000A7D43" w:rsidRPr="00FB583E" w:rsidRDefault="000A7D43" w:rsidP="000A7D43">
      <w:pPr>
        <w:pStyle w:val="afff3"/>
        <w:widowControl/>
        <w:numPr>
          <w:ilvl w:val="1"/>
          <w:numId w:val="232"/>
        </w:numPr>
        <w:autoSpaceDE/>
        <w:autoSpaceDN/>
        <w:adjustRightInd/>
        <w:rPr>
          <w:szCs w:val="24"/>
        </w:rPr>
      </w:pPr>
      <w:r w:rsidRPr="00FB583E">
        <w:rPr>
          <w:szCs w:val="24"/>
        </w:rPr>
        <w:t>ЗВП – зрительные вызванные потенциалы,</w:t>
      </w:r>
    </w:p>
    <w:p w14:paraId="2F5B2255" w14:textId="77777777" w:rsidR="000A7D43" w:rsidRPr="00FB583E" w:rsidRDefault="000A7D43" w:rsidP="000A7D43">
      <w:pPr>
        <w:pStyle w:val="afff3"/>
        <w:widowControl/>
        <w:numPr>
          <w:ilvl w:val="1"/>
          <w:numId w:val="232"/>
        </w:numPr>
        <w:autoSpaceDE/>
        <w:autoSpaceDN/>
        <w:adjustRightInd/>
        <w:rPr>
          <w:szCs w:val="24"/>
        </w:rPr>
      </w:pPr>
      <w:r w:rsidRPr="00FB583E">
        <w:rPr>
          <w:szCs w:val="24"/>
        </w:rPr>
        <w:t>КВП – когнитивные вызванные потенциалы,</w:t>
      </w:r>
    </w:p>
    <w:p w14:paraId="5640E0E8" w14:textId="77777777" w:rsidR="000A7D43" w:rsidRPr="00FB583E" w:rsidRDefault="000A7D43" w:rsidP="000A7D43">
      <w:pPr>
        <w:pStyle w:val="afff3"/>
        <w:widowControl/>
        <w:numPr>
          <w:ilvl w:val="1"/>
          <w:numId w:val="232"/>
        </w:numPr>
        <w:autoSpaceDE/>
        <w:autoSpaceDN/>
        <w:adjustRightInd/>
        <w:rPr>
          <w:szCs w:val="24"/>
        </w:rPr>
      </w:pPr>
      <w:r w:rsidRPr="00FB583E">
        <w:rPr>
          <w:szCs w:val="24"/>
        </w:rPr>
        <w:t>КАСВП – коротколатентные акустические стволовые вызванные потенциалы</w:t>
      </w:r>
    </w:p>
    <w:p w14:paraId="12010FCE" w14:textId="77777777" w:rsidR="000A7D43" w:rsidRPr="00FB583E" w:rsidRDefault="000A7D43" w:rsidP="000A7D43">
      <w:pPr>
        <w:pStyle w:val="afff3"/>
        <w:widowControl/>
        <w:numPr>
          <w:ilvl w:val="1"/>
          <w:numId w:val="232"/>
        </w:numPr>
        <w:autoSpaceDE/>
        <w:autoSpaceDN/>
        <w:adjustRightInd/>
        <w:rPr>
          <w:szCs w:val="24"/>
        </w:rPr>
      </w:pPr>
      <w:r w:rsidRPr="00FB583E">
        <w:rPr>
          <w:szCs w:val="24"/>
        </w:rPr>
        <w:t>ССВП – соматосенсорные вызванные потенциалы</w:t>
      </w:r>
    </w:p>
    <w:p w14:paraId="4DC81E6A"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lastRenderedPageBreak/>
        <w:t>Транскраниальная магнитная стимуляция (ТКМС) (по показаниям)</w:t>
      </w:r>
    </w:p>
    <w:p w14:paraId="1143946A"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ПЭТ-КТ (по показаниям)</w:t>
      </w:r>
    </w:p>
    <w:p w14:paraId="68A15A0E"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Ультразвуковая допплерография (УЗДГ) - брахиоцефальных артерий и вен (по показаниям)</w:t>
      </w:r>
    </w:p>
    <w:p w14:paraId="1108CA18"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ФГДС, ФКС (биопсия по показаниям)</w:t>
      </w:r>
    </w:p>
    <w:p w14:paraId="193DA9A0"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ЭКГ</w:t>
      </w:r>
    </w:p>
    <w:p w14:paraId="6DA12DB9"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Эхо-КГ</w:t>
      </w:r>
    </w:p>
    <w:p w14:paraId="5B6400CD" w14:textId="77777777" w:rsidR="000A7D43" w:rsidRPr="00FB583E" w:rsidRDefault="000A7D43" w:rsidP="000A7D43">
      <w:pPr>
        <w:ind w:firstLine="708"/>
        <w:rPr>
          <w:b/>
          <w:szCs w:val="24"/>
        </w:rPr>
      </w:pPr>
      <w:r w:rsidRPr="00FB583E">
        <w:rPr>
          <w:b/>
          <w:szCs w:val="24"/>
        </w:rPr>
        <w:t>Консультация специалистов:</w:t>
      </w:r>
    </w:p>
    <w:p w14:paraId="267F9636"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Невролог – для оценки неврологического статуса</w:t>
      </w:r>
    </w:p>
    <w:p w14:paraId="07B25203"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Нейрохирург – для стереотаксической биопсии (СТБ) опухоли головного мозга или биопсия образования спинного мозга для верификации диагноза.</w:t>
      </w:r>
    </w:p>
    <w:p w14:paraId="5F010000"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Офтальмолог – для оценки состояния глазного дна, определения степени внутричерепной гипертензии</w:t>
      </w:r>
    </w:p>
    <w:p w14:paraId="4469E1B5"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По показаниям привлекаются другие специалисты:</w:t>
      </w:r>
    </w:p>
    <w:p w14:paraId="2D04B133"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радиолог</w:t>
      </w:r>
    </w:p>
    <w:p w14:paraId="280EC034"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психиатр</w:t>
      </w:r>
    </w:p>
    <w:p w14:paraId="58F05A17"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психолог</w:t>
      </w:r>
    </w:p>
    <w:p w14:paraId="17BCFDF9"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кинезиотерапевт</w:t>
      </w:r>
    </w:p>
    <w:p w14:paraId="4867F639" w14:textId="67D132AB" w:rsidR="000A7D43" w:rsidRPr="00FB583E" w:rsidRDefault="000A7D43" w:rsidP="000A7D43">
      <w:pPr>
        <w:ind w:firstLine="708"/>
        <w:rPr>
          <w:b/>
          <w:szCs w:val="24"/>
        </w:rPr>
      </w:pPr>
      <w:r w:rsidRPr="00FB583E">
        <w:rPr>
          <w:b/>
          <w:szCs w:val="24"/>
        </w:rPr>
        <w:t>Лекарственная терапия неврологических осложнений специфического поражения ЦНС.</w:t>
      </w:r>
    </w:p>
    <w:p w14:paraId="575DCE75" w14:textId="282965FD" w:rsidR="000A7D43" w:rsidRPr="00FB583E" w:rsidRDefault="000A7D43" w:rsidP="000A7D43">
      <w:pPr>
        <w:ind w:firstLine="708"/>
        <w:rPr>
          <w:szCs w:val="24"/>
        </w:rPr>
      </w:pPr>
      <w:r w:rsidRPr="00FB583E">
        <w:rPr>
          <w:szCs w:val="24"/>
        </w:rPr>
        <w:t xml:space="preserve">Основным методом лечения вовлечения ЦНС при </w:t>
      </w:r>
      <w:r w:rsidR="00385510">
        <w:rPr>
          <w:szCs w:val="24"/>
        </w:rPr>
        <w:t xml:space="preserve">острых </w:t>
      </w:r>
      <w:r w:rsidRPr="00FB583E">
        <w:rPr>
          <w:szCs w:val="24"/>
        </w:rPr>
        <w:t>лейкоз</w:t>
      </w:r>
      <w:r w:rsidR="00385510">
        <w:rPr>
          <w:szCs w:val="24"/>
        </w:rPr>
        <w:t>ах</w:t>
      </w:r>
      <w:r w:rsidRPr="00FB583E">
        <w:rPr>
          <w:szCs w:val="24"/>
        </w:rPr>
        <w:t xml:space="preserve"> является химиотерапия. Дополнительно могут применяться хирургические и радиологические (лучевая терапия) методы лечения.</w:t>
      </w:r>
    </w:p>
    <w:p w14:paraId="44C651F8" w14:textId="7561E0AA" w:rsidR="000A7D43" w:rsidRPr="00FB583E" w:rsidRDefault="000A7D43" w:rsidP="000A7D43">
      <w:pPr>
        <w:ind w:firstLine="708"/>
        <w:rPr>
          <w:szCs w:val="24"/>
        </w:rPr>
      </w:pPr>
      <w:r w:rsidRPr="00FB583E">
        <w:rPr>
          <w:szCs w:val="24"/>
        </w:rPr>
        <w:t xml:space="preserve">Очаговое специфическое поражение головного мозга при </w:t>
      </w:r>
      <w:r w:rsidR="00385510">
        <w:rPr>
          <w:szCs w:val="24"/>
        </w:rPr>
        <w:t xml:space="preserve">острых лейкозах </w:t>
      </w:r>
      <w:r w:rsidRPr="00FB583E">
        <w:rPr>
          <w:szCs w:val="24"/>
        </w:rPr>
        <w:t>сопровождается перифокальным отеком или повышением внутричерепного давления и часто вызывает эпилептические приступы.  В связи с этим могут применяться следующие основные группы лекарственных препаратов:</w:t>
      </w:r>
    </w:p>
    <w:p w14:paraId="07436D6A"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 xml:space="preserve">Противоотечные препараты – маннитол в/в, лазикс в/в, ацетазоламид (диакарб) в таб. </w:t>
      </w:r>
    </w:p>
    <w:p w14:paraId="40C93893"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Противорвотная терапия – ондансетрон в/в</w:t>
      </w:r>
    </w:p>
    <w:p w14:paraId="028C3AAB"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Противоэпилептические, противосудорожные препараты – леветирацетамв/в, табл; бензобарбитал табл; конвулекс в/в, таб; прегабалин капс; габапентин таб, клоназепам таб; фенобарбитал таб, окскарбазепин таб, ламотриджил таб, диазепам в/в, таб; карбамазепин таб; фенитоин таб;</w:t>
      </w:r>
    </w:p>
    <w:p w14:paraId="58B36EBD"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lastRenderedPageBreak/>
        <w:t>Нейропротекторная терапия аминофенилмаслянная кислота – фенибут таб</w:t>
      </w:r>
    </w:p>
    <w:p w14:paraId="76AC207A"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Дофаминэргические препараты: ПК-мерц в/в, таб; наком таб; мирапекс таб; акинетон таб.</w:t>
      </w:r>
    </w:p>
    <w:p w14:paraId="4466D4AB"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Витаминотерапия</w:t>
      </w:r>
      <w:r>
        <w:rPr>
          <w:szCs w:val="24"/>
        </w:rPr>
        <w:t xml:space="preserve"> –</w:t>
      </w:r>
      <w:r w:rsidRPr="00FB583E">
        <w:rPr>
          <w:szCs w:val="24"/>
        </w:rPr>
        <w:t xml:space="preserve"> церневит в/в, витамины группы В таб.</w:t>
      </w:r>
    </w:p>
    <w:p w14:paraId="37F970C6"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Антиоксиданты –</w:t>
      </w:r>
      <w:r>
        <w:rPr>
          <w:szCs w:val="24"/>
        </w:rPr>
        <w:t xml:space="preserve"> </w:t>
      </w:r>
      <w:r w:rsidRPr="00FB583E">
        <w:rPr>
          <w:szCs w:val="24"/>
        </w:rPr>
        <w:t xml:space="preserve">альфа-липоевая кислота в/в, капс. </w:t>
      </w:r>
    </w:p>
    <w:p w14:paraId="77682ECC"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 xml:space="preserve">Антидепрессанты </w:t>
      </w:r>
      <w:r>
        <w:rPr>
          <w:szCs w:val="24"/>
        </w:rPr>
        <w:t>–</w:t>
      </w:r>
      <w:r w:rsidRPr="00FB583E">
        <w:rPr>
          <w:szCs w:val="24"/>
        </w:rPr>
        <w:t xml:space="preserve"> по назначению психиатра</w:t>
      </w:r>
    </w:p>
    <w:p w14:paraId="72D84443" w14:textId="77777777" w:rsidR="000A7D43" w:rsidRPr="00FB583E" w:rsidRDefault="000A7D43" w:rsidP="000A7D43">
      <w:pPr>
        <w:ind w:firstLine="360"/>
        <w:rPr>
          <w:szCs w:val="24"/>
        </w:rPr>
      </w:pPr>
    </w:p>
    <w:p w14:paraId="6DBFBDCA" w14:textId="39ED4907" w:rsidR="000A7D43" w:rsidRPr="00FB583E" w:rsidRDefault="000A7D43" w:rsidP="000A7D43">
      <w:pPr>
        <w:pStyle w:val="afff7"/>
        <w:spacing w:before="0" w:beforeAutospacing="0" w:after="0" w:afterAutospacing="0"/>
        <w:jc w:val="both"/>
        <w:rPr>
          <w:i/>
          <w:u w:val="single"/>
        </w:rPr>
      </w:pPr>
      <w:r w:rsidRPr="00FB583E">
        <w:rPr>
          <w:i/>
          <w:u w:val="single"/>
        </w:rPr>
        <w:t xml:space="preserve">Острые нарушения мозгового кровообращения по ишемическому типу при </w:t>
      </w:r>
      <w:r w:rsidR="00385510">
        <w:rPr>
          <w:i/>
          <w:u w:val="single"/>
        </w:rPr>
        <w:t>лейкозе</w:t>
      </w:r>
      <w:r w:rsidRPr="00FB583E">
        <w:rPr>
          <w:i/>
          <w:u w:val="single"/>
        </w:rPr>
        <w:t>.</w:t>
      </w:r>
    </w:p>
    <w:p w14:paraId="631892B6" w14:textId="77777777" w:rsidR="00385510" w:rsidRDefault="00385510" w:rsidP="00385510">
      <w:pPr>
        <w:ind w:firstLine="708"/>
      </w:pPr>
      <w:r>
        <w:t>Диагностика и лечение ОНМК, возникшего у пацента с лейкозом в период проведения химиотерапевтического лечения, проводится одновременно с противоопухолевым лечением лейкоза.</w:t>
      </w:r>
    </w:p>
    <w:p w14:paraId="6FE0ED89" w14:textId="16E55DAE" w:rsidR="000A7D43" w:rsidRPr="00FB583E" w:rsidRDefault="000A7D43" w:rsidP="000A7D43">
      <w:pPr>
        <w:pStyle w:val="afff7"/>
        <w:spacing w:before="0" w:beforeAutospacing="0" w:after="0" w:afterAutospacing="0"/>
        <w:ind w:firstLine="709"/>
        <w:jc w:val="both"/>
        <w:rPr>
          <w:color w:val="000000"/>
        </w:rPr>
      </w:pPr>
      <w:r w:rsidRPr="00FB583E">
        <w:rPr>
          <w:color w:val="000000"/>
        </w:rPr>
        <w:t>Пр</w:t>
      </w:r>
      <w:r w:rsidR="00385510">
        <w:rPr>
          <w:color w:val="000000"/>
        </w:rPr>
        <w:t>и лейкозе пр</w:t>
      </w:r>
      <w:r w:rsidRPr="00FB583E">
        <w:rPr>
          <w:color w:val="000000"/>
        </w:rPr>
        <w:t xml:space="preserve">имерно в 10% случаев отмечается нарушение мозгового кровообращения (ОНМК) по ишемическому типу. Причинами тромбозов мозговых сосудов у пациентов с </w:t>
      </w:r>
      <w:r w:rsidR="00385510">
        <w:rPr>
          <w:color w:val="000000"/>
        </w:rPr>
        <w:t>лейкозом</w:t>
      </w:r>
      <w:r w:rsidRPr="00FB583E">
        <w:rPr>
          <w:color w:val="000000"/>
        </w:rPr>
        <w:t xml:space="preserve"> могут быть:</w:t>
      </w:r>
    </w:p>
    <w:p w14:paraId="2305840D"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механические факторы (сдавление опухолью кровеносного сосуда, наличие центрального или периферического венозных катетеров, нарушение целостности эндотелия некоторыми химиопрепаратами и др.)</w:t>
      </w:r>
    </w:p>
    <w:p w14:paraId="25A7B420"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коагулогические (повышение или снижение активности факторов свертывания крови, повышение агрегационных свойств тромбоцитов и гипертромбоцитоз) вследствие опухолевого процесса и/или его лечения</w:t>
      </w:r>
    </w:p>
    <w:p w14:paraId="2DB5FB74"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реологические (в том числе за счет гиперлейкоцитоза, эритроцитоза гипертромбоцитоза)</w:t>
      </w:r>
    </w:p>
    <w:p w14:paraId="397C6416"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полихимиотерапия</w:t>
      </w:r>
    </w:p>
    <w:p w14:paraId="74187CC0"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 xml:space="preserve">лучевая терапия </w:t>
      </w:r>
    </w:p>
    <w:p w14:paraId="6A76CD01"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наличие сопутствующих заболеваний – кардиологических (фибрилляция предсердий, эндокардит), эндокринологических (сахарный диабет), гипертоническая болезнь, атеросклероз</w:t>
      </w:r>
    </w:p>
    <w:p w14:paraId="6AA397EC"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сочетание вышеперечисленных факторов</w:t>
      </w:r>
    </w:p>
    <w:p w14:paraId="21081C8B" w14:textId="77777777" w:rsidR="000A7D43" w:rsidRPr="00FB583E" w:rsidRDefault="000A7D43" w:rsidP="000A7D43">
      <w:pPr>
        <w:pStyle w:val="afff7"/>
        <w:spacing w:before="0" w:beforeAutospacing="0" w:after="0" w:afterAutospacing="0"/>
        <w:ind w:firstLine="709"/>
        <w:jc w:val="both"/>
        <w:rPr>
          <w:b/>
          <w:color w:val="000000"/>
        </w:rPr>
      </w:pPr>
      <w:r w:rsidRPr="00FB583E">
        <w:rPr>
          <w:b/>
          <w:color w:val="000000"/>
        </w:rPr>
        <w:t>Клинические проявления ОНМК по ишемическому типу:</w:t>
      </w:r>
    </w:p>
    <w:p w14:paraId="4F3BB1E0" w14:textId="77777777" w:rsidR="000A7D43" w:rsidRPr="00FB583E" w:rsidRDefault="000A7D43" w:rsidP="000A7D43">
      <w:pPr>
        <w:pStyle w:val="afff7"/>
        <w:spacing w:before="0" w:beforeAutospacing="0" w:after="0" w:afterAutospacing="0"/>
        <w:ind w:firstLine="709"/>
        <w:jc w:val="both"/>
        <w:rPr>
          <w:color w:val="000000"/>
        </w:rPr>
      </w:pPr>
      <w:r w:rsidRPr="00FB583E">
        <w:rPr>
          <w:color w:val="000000"/>
        </w:rPr>
        <w:t xml:space="preserve">Клиническая картина при ОНМК по ишемическому типу проявляется в виде общемозговой симптоматики с нарушением сознания и осознанности, нарушением речи; очаговой симптоматикой, двигательными и чувствительными нарушениями и зависит от бассейна кровоснабжения артерии, размеров зоны ишемии и перифокального отека. </w:t>
      </w:r>
    </w:p>
    <w:p w14:paraId="4023ACC0" w14:textId="7408392A" w:rsidR="000A7D43" w:rsidRPr="00FB583E" w:rsidRDefault="004905C2" w:rsidP="000A7D43">
      <w:pPr>
        <w:pStyle w:val="afff7"/>
        <w:spacing w:before="0" w:beforeAutospacing="0" w:after="0" w:afterAutospacing="0"/>
        <w:ind w:firstLine="709"/>
        <w:jc w:val="both"/>
        <w:rPr>
          <w:color w:val="000000"/>
        </w:rPr>
      </w:pPr>
      <w:r>
        <w:rPr>
          <w:color w:val="000000"/>
        </w:rPr>
        <w:lastRenderedPageBreak/>
        <w:t>У пациентов с лейкозами также встре</w:t>
      </w:r>
      <w:r w:rsidRPr="00176B0E">
        <w:rPr>
          <w:color w:val="000000"/>
        </w:rPr>
        <w:t xml:space="preserve">чаются </w:t>
      </w:r>
      <w:r w:rsidR="000A7D43" w:rsidRPr="00FB583E">
        <w:rPr>
          <w:color w:val="000000"/>
        </w:rPr>
        <w:t xml:space="preserve">тромбозы венозных синусов, которые характеризуются преимущественно общемозговой симптоматикой в выраженной головной болью и эпилептическими приступами. </w:t>
      </w:r>
    </w:p>
    <w:p w14:paraId="33A71B71" w14:textId="77777777" w:rsidR="000A7D43" w:rsidRPr="00FB583E" w:rsidRDefault="000A7D43" w:rsidP="000A7D43">
      <w:pPr>
        <w:ind w:firstLine="709"/>
        <w:rPr>
          <w:szCs w:val="24"/>
        </w:rPr>
      </w:pPr>
      <w:r w:rsidRPr="00FB583E">
        <w:rPr>
          <w:szCs w:val="24"/>
        </w:rPr>
        <w:t>Первичная диагностика включает в себя оценку жалоб, анамнеза; оценку функционального статуса по шкале Карновского, оценку неврологического статуса с характеристикой общемозговой и очаговой симптоматики, интеллектуально-мнестических нарушений, оценку психического состояния.</w:t>
      </w:r>
    </w:p>
    <w:p w14:paraId="2B5D9552" w14:textId="513EB43E" w:rsidR="004905C2" w:rsidRPr="004905C2" w:rsidRDefault="004905C2" w:rsidP="004905C2">
      <w:pPr>
        <w:pStyle w:val="afff7"/>
        <w:spacing w:beforeAutospacing="0" w:afterAutospacing="0"/>
        <w:ind w:firstLine="708"/>
        <w:rPr>
          <w:i/>
          <w:color w:val="FF0000"/>
        </w:rPr>
      </w:pPr>
      <w:r w:rsidRPr="00143441">
        <w:rPr>
          <w:b/>
        </w:rPr>
        <w:t>Лабораторная диагностика</w:t>
      </w:r>
      <w:r w:rsidRPr="00143441">
        <w:t>: см</w:t>
      </w:r>
      <w:r w:rsidRPr="00143441">
        <w:rPr>
          <w:color w:val="000000"/>
        </w:rPr>
        <w:t>. раздел 7.</w:t>
      </w:r>
      <w:r w:rsidR="00143441" w:rsidRPr="00143441">
        <w:rPr>
          <w:color w:val="000000"/>
        </w:rPr>
        <w:t>5</w:t>
      </w:r>
      <w:r w:rsidRPr="00143441">
        <w:rPr>
          <w:color w:val="000000"/>
        </w:rPr>
        <w:t xml:space="preserve"> «Профилактика, диагностика и лечение тромботических осложнений при лейкозе».</w:t>
      </w:r>
      <w:r>
        <w:rPr>
          <w:color w:val="FF0000"/>
        </w:rPr>
        <w:t xml:space="preserve"> </w:t>
      </w:r>
    </w:p>
    <w:p w14:paraId="6F83DDA6" w14:textId="77777777" w:rsidR="000A7D43" w:rsidRPr="00FB583E" w:rsidRDefault="000A7D43" w:rsidP="000A7D43">
      <w:pPr>
        <w:ind w:firstLine="708"/>
        <w:rPr>
          <w:b/>
          <w:szCs w:val="24"/>
        </w:rPr>
      </w:pPr>
      <w:r w:rsidRPr="00FB583E">
        <w:rPr>
          <w:b/>
          <w:szCs w:val="24"/>
        </w:rPr>
        <w:t>Инструментальная диагностика:</w:t>
      </w:r>
    </w:p>
    <w:p w14:paraId="30DB1D25"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КТ/МРТ -  головного/спинного мозга с контрастным усилением</w:t>
      </w:r>
    </w:p>
    <w:p w14:paraId="60F9E763"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КТ/МРТ-ангиография (с проведением тромболизиса по показаниям)</w:t>
      </w:r>
    </w:p>
    <w:p w14:paraId="6E2E9DB9"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ЭКГ</w:t>
      </w:r>
    </w:p>
    <w:p w14:paraId="0D65BD78"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Эхо-КГ</w:t>
      </w:r>
    </w:p>
    <w:p w14:paraId="1322506E" w14:textId="28073F96" w:rsidR="000A7D43" w:rsidRPr="00FB583E" w:rsidRDefault="000A7D43" w:rsidP="000A7D43">
      <w:pPr>
        <w:pStyle w:val="afff3"/>
        <w:widowControl/>
        <w:numPr>
          <w:ilvl w:val="0"/>
          <w:numId w:val="232"/>
        </w:numPr>
        <w:autoSpaceDE/>
        <w:autoSpaceDN/>
        <w:adjustRightInd/>
        <w:rPr>
          <w:szCs w:val="24"/>
        </w:rPr>
      </w:pPr>
      <w:r w:rsidRPr="00FB583E">
        <w:rPr>
          <w:szCs w:val="24"/>
        </w:rPr>
        <w:t xml:space="preserve">УЗДГ брахиоцефальных артерий и вен </w:t>
      </w:r>
    </w:p>
    <w:p w14:paraId="26744967"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КТ грудной клетки</w:t>
      </w:r>
    </w:p>
    <w:p w14:paraId="5630CC28"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ЭЭГ с функциональными пробами для определения функционального состояния головного мозга и исключения эпиактивности</w:t>
      </w:r>
    </w:p>
    <w:p w14:paraId="29150F45"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ВП различной модальности: ЗВП, КВП, КАСВП, ССВП (по показаниям)</w:t>
      </w:r>
    </w:p>
    <w:p w14:paraId="27F7A3C2"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ТКМС (по показаниям)</w:t>
      </w:r>
    </w:p>
    <w:p w14:paraId="62520D36" w14:textId="77777777" w:rsidR="000A7D43" w:rsidRPr="00FB583E" w:rsidRDefault="000A7D43" w:rsidP="000A7D43">
      <w:pPr>
        <w:ind w:firstLine="708"/>
        <w:rPr>
          <w:b/>
          <w:szCs w:val="24"/>
        </w:rPr>
      </w:pPr>
      <w:r w:rsidRPr="00FB583E">
        <w:rPr>
          <w:b/>
          <w:color w:val="000000"/>
          <w:szCs w:val="24"/>
        </w:rPr>
        <w:t>Консультации с</w:t>
      </w:r>
      <w:r w:rsidRPr="00FB583E">
        <w:rPr>
          <w:b/>
          <w:szCs w:val="24"/>
        </w:rPr>
        <w:t>пециалистов:</w:t>
      </w:r>
    </w:p>
    <w:p w14:paraId="00D1B241"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невролог</w:t>
      </w:r>
    </w:p>
    <w:p w14:paraId="07B00EBB"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ангиохирург</w:t>
      </w:r>
    </w:p>
    <w:p w14:paraId="0831C85F"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офтальмолог</w:t>
      </w:r>
    </w:p>
    <w:p w14:paraId="78E09879"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кардиолог по показаниям</w:t>
      </w:r>
    </w:p>
    <w:p w14:paraId="5B4645BD"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психиатр по показаниям</w:t>
      </w:r>
    </w:p>
    <w:p w14:paraId="31EE5BEC"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психолог по показаниям</w:t>
      </w:r>
    </w:p>
    <w:p w14:paraId="204934AB"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кинезиотерапевт</w:t>
      </w:r>
    </w:p>
    <w:p w14:paraId="337645FC" w14:textId="77777777" w:rsidR="000A7D43" w:rsidRPr="00FB583E" w:rsidRDefault="000A7D43" w:rsidP="000A7D43">
      <w:pPr>
        <w:ind w:firstLine="708"/>
        <w:rPr>
          <w:b/>
          <w:szCs w:val="24"/>
        </w:rPr>
      </w:pPr>
      <w:r w:rsidRPr="00FB583E">
        <w:rPr>
          <w:b/>
          <w:szCs w:val="24"/>
        </w:rPr>
        <w:t xml:space="preserve">Основные группы лекарственных препаратов, применяемых в лечении ОНМК </w:t>
      </w:r>
      <w:r w:rsidRPr="00FB583E">
        <w:rPr>
          <w:b/>
          <w:color w:val="000000"/>
          <w:szCs w:val="24"/>
        </w:rPr>
        <w:t>по ишемическому типу</w:t>
      </w:r>
      <w:r w:rsidRPr="00FB583E">
        <w:rPr>
          <w:b/>
          <w:szCs w:val="24"/>
        </w:rPr>
        <w:t>:</w:t>
      </w:r>
    </w:p>
    <w:p w14:paraId="5B67A16C"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 xml:space="preserve">Противоотечные препараты – маннитол в/в, лазикс в/в, ацетазоламид (диакарб) в таб. </w:t>
      </w:r>
    </w:p>
    <w:p w14:paraId="31A89403"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Противорвотная терапия – ондансетрон в/в</w:t>
      </w:r>
    </w:p>
    <w:p w14:paraId="2B430085"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lastRenderedPageBreak/>
        <w:t>Противоэпилептические – леветирацетамв/в, табл; конвулекс в/в, таб; прегабалин капс; габапентин таб, клоназепам таб; фенобарбитал таб, окскарбазепин таб, ламотриджил таб, диазепам в/в, таб.</w:t>
      </w:r>
    </w:p>
    <w:p w14:paraId="4477C875"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Нейропротекторная терапия аминофенилмаслянная кислота – фенибут таб</w:t>
      </w:r>
    </w:p>
    <w:p w14:paraId="4251F7B0"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Дофаминэргические препараты: ПК-мерц в/в, таб; наком таб; мирапекс таб; акинетон таб.</w:t>
      </w:r>
    </w:p>
    <w:p w14:paraId="5D97E3D7"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Витаминотерапия – церневит в/в, витамины группы В таб.</w:t>
      </w:r>
    </w:p>
    <w:p w14:paraId="270CA532"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 xml:space="preserve">Антиоксиданты – альфа-липоевая кислота в/в, капс. </w:t>
      </w:r>
    </w:p>
    <w:p w14:paraId="2B2A2CD5"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Антидепрессанты – по назначению психиатра</w:t>
      </w:r>
    </w:p>
    <w:p w14:paraId="774114C4" w14:textId="68B14003" w:rsidR="000A7D43" w:rsidRPr="00FB583E" w:rsidRDefault="004905C2" w:rsidP="00143441">
      <w:pPr>
        <w:pStyle w:val="afff7"/>
        <w:spacing w:beforeAutospacing="0" w:afterAutospacing="0"/>
        <w:ind w:firstLine="708"/>
      </w:pPr>
      <w:r w:rsidRPr="00143441">
        <w:rPr>
          <w:b/>
          <w:color w:val="000000"/>
        </w:rPr>
        <w:t xml:space="preserve">Общие принципы профилактики ОНМК по ишемическому типу при лейкозе - </w:t>
      </w:r>
      <w:r w:rsidRPr="00143441">
        <w:t>см</w:t>
      </w:r>
      <w:r w:rsidRPr="00143441">
        <w:rPr>
          <w:color w:val="000000"/>
        </w:rPr>
        <w:t>. раздел 7.</w:t>
      </w:r>
      <w:r w:rsidR="00143441" w:rsidRPr="00143441">
        <w:rPr>
          <w:color w:val="000000"/>
        </w:rPr>
        <w:t>5</w:t>
      </w:r>
      <w:r w:rsidRPr="00143441">
        <w:rPr>
          <w:color w:val="000000"/>
        </w:rPr>
        <w:t xml:space="preserve"> «Профилактика, диагностика и лечение тромботических осложнений при лейкозе».</w:t>
      </w:r>
      <w:r w:rsidRPr="004905C2">
        <w:rPr>
          <w:i/>
          <w:color w:val="FF0000"/>
        </w:rPr>
        <w:t xml:space="preserve"> </w:t>
      </w:r>
    </w:p>
    <w:p w14:paraId="16C6A462" w14:textId="36FA5277" w:rsidR="000A7D43" w:rsidRPr="00FB583E" w:rsidRDefault="000A7D43" w:rsidP="000A7D43">
      <w:pPr>
        <w:rPr>
          <w:i/>
          <w:szCs w:val="24"/>
          <w:u w:val="single"/>
        </w:rPr>
      </w:pPr>
      <w:r w:rsidRPr="00FB583E">
        <w:rPr>
          <w:i/>
          <w:szCs w:val="24"/>
          <w:u w:val="single"/>
        </w:rPr>
        <w:t xml:space="preserve">Острое нарушение мозгового кровообращения по геморрагическому типу при </w:t>
      </w:r>
      <w:r w:rsidR="004905C2">
        <w:rPr>
          <w:i/>
          <w:szCs w:val="24"/>
          <w:u w:val="single"/>
        </w:rPr>
        <w:t>лейкозе</w:t>
      </w:r>
      <w:r w:rsidRPr="00FB583E">
        <w:rPr>
          <w:i/>
          <w:szCs w:val="24"/>
          <w:u w:val="single"/>
        </w:rPr>
        <w:t xml:space="preserve">. </w:t>
      </w:r>
    </w:p>
    <w:p w14:paraId="488C4320" w14:textId="77777777" w:rsidR="004905C2" w:rsidRDefault="004905C2" w:rsidP="004905C2">
      <w:pPr>
        <w:ind w:firstLine="708"/>
      </w:pPr>
      <w:r>
        <w:t>Диагностика и лечение ОНМК, возникшего у пацента с лейкозом в период проведения химиотерапевтического лечения, проводится одновременно с противоопухолевым лечением лейкоза.</w:t>
      </w:r>
    </w:p>
    <w:p w14:paraId="47F8109F" w14:textId="77777777" w:rsidR="004905C2" w:rsidRDefault="004905C2" w:rsidP="004905C2">
      <w:pPr>
        <w:ind w:firstLine="708"/>
      </w:pPr>
      <w:r w:rsidRPr="00FB583E">
        <w:rPr>
          <w:color w:val="000000"/>
        </w:rPr>
        <w:t xml:space="preserve">ОНМК по геморрагическому типу </w:t>
      </w:r>
      <w:r w:rsidRPr="00751C99">
        <w:t>чаще</w:t>
      </w:r>
      <w:r>
        <w:rPr>
          <w:color w:val="000000"/>
        </w:rPr>
        <w:t xml:space="preserve"> </w:t>
      </w:r>
      <w:r w:rsidRPr="00FB583E">
        <w:rPr>
          <w:color w:val="000000"/>
        </w:rPr>
        <w:t xml:space="preserve">могут возникнуть у пациентов </w:t>
      </w:r>
      <w:r>
        <w:rPr>
          <w:color w:val="000000"/>
        </w:rPr>
        <w:t>с т</w:t>
      </w:r>
      <w:r w:rsidRPr="00FB583E">
        <w:rPr>
          <w:color w:val="000000"/>
        </w:rPr>
        <w:t>ромбоцитопенией</w:t>
      </w:r>
      <w:r>
        <w:rPr>
          <w:color w:val="000000"/>
        </w:rPr>
        <w:t xml:space="preserve">, </w:t>
      </w:r>
      <w:r w:rsidRPr="00751C99">
        <w:t>развившейся</w:t>
      </w:r>
      <w:r w:rsidRPr="00FB583E">
        <w:rPr>
          <w:color w:val="000000"/>
        </w:rPr>
        <w:t xml:space="preserve"> в процессе химиотерапии лейкоз</w:t>
      </w:r>
      <w:r>
        <w:rPr>
          <w:color w:val="000000"/>
        </w:rPr>
        <w:t>а</w:t>
      </w:r>
      <w:r w:rsidRPr="00FB583E">
        <w:rPr>
          <w:color w:val="000000"/>
        </w:rPr>
        <w:t>, а также при наличии коагулопатии</w:t>
      </w:r>
      <w:r>
        <w:rPr>
          <w:color w:val="000000"/>
        </w:rPr>
        <w:t xml:space="preserve"> исходной или развившейся на фоне химиотерапии лейкоза</w:t>
      </w:r>
      <w:r w:rsidRPr="00FB583E">
        <w:rPr>
          <w:color w:val="000000"/>
        </w:rPr>
        <w:t xml:space="preserve">.   </w:t>
      </w:r>
    </w:p>
    <w:p w14:paraId="6A9A021B" w14:textId="77777777" w:rsidR="000A7D43" w:rsidRPr="00FB583E" w:rsidRDefault="000A7D43" w:rsidP="000A7D43">
      <w:pPr>
        <w:pStyle w:val="afff7"/>
        <w:spacing w:before="0" w:beforeAutospacing="0" w:after="0" w:afterAutospacing="0"/>
        <w:ind w:firstLine="708"/>
        <w:jc w:val="both"/>
        <w:rPr>
          <w:color w:val="000000"/>
        </w:rPr>
      </w:pPr>
      <w:r w:rsidRPr="00FB583E">
        <w:rPr>
          <w:color w:val="000000"/>
        </w:rPr>
        <w:t xml:space="preserve">Клиническая картина при ОНМК по геморрагическому типу проявляется в виде общемозговой с нарушением сознания и/или осознанности, выраженной головной боли, с менингеальной и очаговой симптоматикой, двигательными и чувствительными нарушениями, эпилептическими припадками. </w:t>
      </w:r>
    </w:p>
    <w:p w14:paraId="314FBF45" w14:textId="77777777" w:rsidR="000A7D43" w:rsidRPr="00FB583E" w:rsidRDefault="000A7D43" w:rsidP="000A7D43">
      <w:pPr>
        <w:ind w:firstLine="708"/>
        <w:rPr>
          <w:color w:val="000000"/>
          <w:szCs w:val="24"/>
        </w:rPr>
      </w:pPr>
      <w:r w:rsidRPr="00FB583E">
        <w:rPr>
          <w:szCs w:val="24"/>
        </w:rPr>
        <w:t xml:space="preserve">Первичная диагностика включает в себя оценку жалоб, анамнеза; оценку функционального статуса по шкале Карновского, оценку неврологического статуса с характеристикой общемозговой и очаговой симптоматики, интеллектуально-мнестических нарушений.  </w:t>
      </w:r>
    </w:p>
    <w:p w14:paraId="5B697E66" w14:textId="77777777" w:rsidR="000A7D43" w:rsidRPr="00FB583E" w:rsidRDefault="000A7D43" w:rsidP="000A7D43">
      <w:pPr>
        <w:ind w:firstLine="708"/>
        <w:rPr>
          <w:b/>
          <w:szCs w:val="24"/>
        </w:rPr>
      </w:pPr>
      <w:r w:rsidRPr="00FB583E">
        <w:rPr>
          <w:b/>
          <w:szCs w:val="24"/>
        </w:rPr>
        <w:t>Инструментальная диагностика:</w:t>
      </w:r>
    </w:p>
    <w:p w14:paraId="79230211"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КТ или МРТ головного мозга (с в/в  контрастированием по показаниям)</w:t>
      </w:r>
    </w:p>
    <w:p w14:paraId="4F133F69"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 xml:space="preserve">КТ-ангиография для исключения мальформации и аневризмы </w:t>
      </w:r>
    </w:p>
    <w:p w14:paraId="30747517"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ЭКГ</w:t>
      </w:r>
    </w:p>
    <w:p w14:paraId="7EBCB3F1"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Эхо-КГ</w:t>
      </w:r>
    </w:p>
    <w:p w14:paraId="2850146C"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 xml:space="preserve">УЗДГ брахиоцефальных артерий и вен </w:t>
      </w:r>
    </w:p>
    <w:p w14:paraId="232C2E0E"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lastRenderedPageBreak/>
        <w:t>КТ грудной клетки</w:t>
      </w:r>
    </w:p>
    <w:p w14:paraId="70EF991D"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ЭЭГ с функциональными пробами для определения функционального состояния головного мозга и исключения эпиактивности</w:t>
      </w:r>
    </w:p>
    <w:p w14:paraId="32D1D90F"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ВП различной модальности: ЗВП, КВП, КАСВП, ССВП (по показаниям)</w:t>
      </w:r>
    </w:p>
    <w:p w14:paraId="3780E11A"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ТКМС (по показаниям)</w:t>
      </w:r>
    </w:p>
    <w:p w14:paraId="66487550" w14:textId="77777777" w:rsidR="000A7D43" w:rsidRPr="00FB583E" w:rsidRDefault="000A7D43" w:rsidP="000A7D43">
      <w:pPr>
        <w:ind w:firstLine="708"/>
        <w:rPr>
          <w:b/>
          <w:szCs w:val="24"/>
        </w:rPr>
      </w:pPr>
      <w:r w:rsidRPr="00FB583E">
        <w:rPr>
          <w:b/>
          <w:szCs w:val="24"/>
        </w:rPr>
        <w:t>Консультации специалистов:</w:t>
      </w:r>
    </w:p>
    <w:p w14:paraId="04C97A39"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нейрохирург</w:t>
      </w:r>
    </w:p>
    <w:p w14:paraId="40628F5C"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невролог</w:t>
      </w:r>
    </w:p>
    <w:p w14:paraId="20228E2C"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ангиохирург</w:t>
      </w:r>
    </w:p>
    <w:p w14:paraId="68B4E7FA"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офтальмолог</w:t>
      </w:r>
    </w:p>
    <w:p w14:paraId="7F345249"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кардиолог по показаниям</w:t>
      </w:r>
    </w:p>
    <w:p w14:paraId="1545AD03"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психиатр по показаниям</w:t>
      </w:r>
    </w:p>
    <w:p w14:paraId="2D0B148C"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 xml:space="preserve"> психолог по показаниям</w:t>
      </w:r>
    </w:p>
    <w:p w14:paraId="1D200B24"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кинезиотерапевт по показаниям</w:t>
      </w:r>
    </w:p>
    <w:p w14:paraId="7158141B" w14:textId="3CA52232" w:rsidR="000A7D43" w:rsidRPr="00FB583E" w:rsidRDefault="000A7D43" w:rsidP="000A7D43">
      <w:pPr>
        <w:ind w:firstLine="708"/>
        <w:rPr>
          <w:b/>
          <w:szCs w:val="24"/>
        </w:rPr>
      </w:pPr>
      <w:r w:rsidRPr="00FB583E">
        <w:rPr>
          <w:b/>
          <w:szCs w:val="24"/>
        </w:rPr>
        <w:t xml:space="preserve">Лечение ОНМК по геморрагическому типу </w:t>
      </w:r>
      <w:r w:rsidR="004905C2" w:rsidRPr="0037454A">
        <w:rPr>
          <w:b/>
          <w:color w:val="000000"/>
        </w:rPr>
        <w:t>при лейкозе</w:t>
      </w:r>
    </w:p>
    <w:p w14:paraId="5B083A35" w14:textId="37EBD98C" w:rsidR="000A7D43" w:rsidRPr="003235E9" w:rsidRDefault="000A7D43" w:rsidP="000A7D43">
      <w:pPr>
        <w:pStyle w:val="afff3"/>
        <w:widowControl/>
        <w:numPr>
          <w:ilvl w:val="0"/>
          <w:numId w:val="232"/>
        </w:numPr>
        <w:autoSpaceDE/>
        <w:autoSpaceDN/>
        <w:adjustRightInd/>
        <w:rPr>
          <w:szCs w:val="24"/>
        </w:rPr>
      </w:pPr>
      <w:r w:rsidRPr="00FB583E">
        <w:rPr>
          <w:szCs w:val="24"/>
        </w:rPr>
        <w:t xml:space="preserve">Оперативное лечение по показаниям (тактика нейрохирургического лечения </w:t>
      </w:r>
      <w:r w:rsidRPr="003235E9">
        <w:rPr>
          <w:szCs w:val="24"/>
        </w:rPr>
        <w:t xml:space="preserve">внутричерепных геморрагических осложнений – см. </w:t>
      </w:r>
      <w:r w:rsidR="003235E9" w:rsidRPr="003235E9">
        <w:rPr>
          <w:szCs w:val="24"/>
        </w:rPr>
        <w:t>раздел 7.3)</w:t>
      </w:r>
      <w:r w:rsidRPr="003235E9">
        <w:rPr>
          <w:szCs w:val="24"/>
        </w:rPr>
        <w:t>.</w:t>
      </w:r>
    </w:p>
    <w:p w14:paraId="65ADDA65"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Наблюдение в условиях реанимационного отделения по показаниям</w:t>
      </w:r>
    </w:p>
    <w:p w14:paraId="59A0380C"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 xml:space="preserve">Противоотечная терапия – маннитол в/в, фуросемид в/в </w:t>
      </w:r>
    </w:p>
    <w:p w14:paraId="7292F8A7"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Гемотрансфузионная терапия по показаниям - трансфузии тромбоконцентрата, свежезамороженной плазмы, криопреципитата, эритроцитсодержащих компонентов крови.</w:t>
      </w:r>
    </w:p>
    <w:p w14:paraId="0B5A05C6"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Противоэпилептические по показаниям – леветирацетамв/в, табл; конвулекс в/в, таб; прегабалин капс; габапентин таб, клоназепам таб; фенобарбитал таб, окскарбазепин таб, ламотриджил таб, диазепам в/в, таб.</w:t>
      </w:r>
    </w:p>
    <w:p w14:paraId="179C2E03"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Антидепрессанты – по назначению психиатра по показаниям</w:t>
      </w:r>
    </w:p>
    <w:p w14:paraId="5D9DDB97" w14:textId="77777777" w:rsidR="000A7D43" w:rsidRPr="00FB583E" w:rsidRDefault="000A7D43" w:rsidP="000A7D43">
      <w:pPr>
        <w:pStyle w:val="afff3"/>
        <w:rPr>
          <w:b/>
          <w:szCs w:val="24"/>
        </w:rPr>
      </w:pPr>
    </w:p>
    <w:p w14:paraId="0BFE1A08" w14:textId="5B45AD6A" w:rsidR="000A7D43" w:rsidRPr="00FB583E" w:rsidRDefault="000A7D43" w:rsidP="000A7D43">
      <w:pPr>
        <w:rPr>
          <w:i/>
          <w:szCs w:val="24"/>
          <w:u w:val="single"/>
        </w:rPr>
      </w:pPr>
      <w:r w:rsidRPr="00FB583E">
        <w:rPr>
          <w:i/>
          <w:szCs w:val="24"/>
          <w:u w:val="single"/>
        </w:rPr>
        <w:t xml:space="preserve">Полиневропатии при </w:t>
      </w:r>
      <w:r w:rsidR="004905C2">
        <w:rPr>
          <w:i/>
          <w:szCs w:val="24"/>
          <w:u w:val="single"/>
        </w:rPr>
        <w:t>лейкозе</w:t>
      </w:r>
      <w:r w:rsidRPr="00FB583E">
        <w:rPr>
          <w:i/>
          <w:szCs w:val="24"/>
          <w:u w:val="single"/>
        </w:rPr>
        <w:t>.</w:t>
      </w:r>
    </w:p>
    <w:p w14:paraId="2E396725" w14:textId="6869EBC6" w:rsidR="000A7D43" w:rsidRPr="00FB583E" w:rsidRDefault="000A7D43" w:rsidP="000A7D43">
      <w:pPr>
        <w:pStyle w:val="Default"/>
        <w:spacing w:line="360" w:lineRule="auto"/>
        <w:ind w:firstLine="709"/>
        <w:jc w:val="both"/>
      </w:pPr>
      <w:r w:rsidRPr="00FB583E">
        <w:t xml:space="preserve">Полиневропатии выявляются в 50-70% случаев у пациентов </w:t>
      </w:r>
      <w:r w:rsidR="004905C2">
        <w:t xml:space="preserve">с лейкозами </w:t>
      </w:r>
      <w:r w:rsidRPr="00FB583E">
        <w:t xml:space="preserve">и характеризуются системным поражением моторных, сенсорных и вегетативных периферических нервов. По патогенетическому признаку полиневропатии разделяют на демиелинизирующие, аксональные и сочетанные. У гематологических пациентов по этиологическому фактору преобладают аутоиммунные, метаболические, инфекционные, токсические и сочетанные: </w:t>
      </w:r>
    </w:p>
    <w:p w14:paraId="633A73E0" w14:textId="77777777" w:rsidR="004905C2" w:rsidRPr="00FB583E" w:rsidRDefault="004905C2" w:rsidP="004905C2">
      <w:pPr>
        <w:pStyle w:val="afff3"/>
        <w:widowControl/>
        <w:numPr>
          <w:ilvl w:val="0"/>
          <w:numId w:val="232"/>
        </w:numPr>
        <w:autoSpaceDE/>
        <w:autoSpaceDN/>
        <w:adjustRightInd/>
        <w:rPr>
          <w:szCs w:val="24"/>
        </w:rPr>
      </w:pPr>
      <w:r w:rsidRPr="00FB583E">
        <w:rPr>
          <w:szCs w:val="24"/>
        </w:rPr>
        <w:lastRenderedPageBreak/>
        <w:t xml:space="preserve">полиневропатии при нейролейкемии </w:t>
      </w:r>
    </w:p>
    <w:p w14:paraId="547C4851" w14:textId="77777777" w:rsidR="004905C2" w:rsidRPr="00FB583E" w:rsidRDefault="004905C2" w:rsidP="004905C2">
      <w:pPr>
        <w:pStyle w:val="afff3"/>
        <w:widowControl/>
        <w:numPr>
          <w:ilvl w:val="0"/>
          <w:numId w:val="232"/>
        </w:numPr>
        <w:autoSpaceDE/>
        <w:autoSpaceDN/>
        <w:adjustRightInd/>
        <w:rPr>
          <w:szCs w:val="24"/>
        </w:rPr>
      </w:pPr>
      <w:r w:rsidRPr="00FB583E">
        <w:rPr>
          <w:szCs w:val="24"/>
        </w:rPr>
        <w:t>паранеопластические полиневропатии</w:t>
      </w:r>
    </w:p>
    <w:p w14:paraId="3EEF3380" w14:textId="77777777" w:rsidR="004905C2" w:rsidRPr="00FB583E" w:rsidRDefault="004905C2" w:rsidP="004905C2">
      <w:pPr>
        <w:pStyle w:val="afff3"/>
        <w:widowControl/>
        <w:numPr>
          <w:ilvl w:val="0"/>
          <w:numId w:val="232"/>
        </w:numPr>
        <w:autoSpaceDE/>
        <w:autoSpaceDN/>
        <w:adjustRightInd/>
        <w:rPr>
          <w:szCs w:val="24"/>
        </w:rPr>
      </w:pPr>
      <w:r w:rsidRPr="00FB583E">
        <w:rPr>
          <w:szCs w:val="24"/>
        </w:rPr>
        <w:t xml:space="preserve"> метаболические полиневропатии</w:t>
      </w:r>
    </w:p>
    <w:p w14:paraId="79979ACD" w14:textId="77777777" w:rsidR="004905C2" w:rsidRPr="00FB583E" w:rsidRDefault="004905C2" w:rsidP="004905C2">
      <w:pPr>
        <w:pStyle w:val="afff3"/>
        <w:widowControl/>
        <w:numPr>
          <w:ilvl w:val="0"/>
          <w:numId w:val="232"/>
        </w:numPr>
        <w:autoSpaceDE/>
        <w:autoSpaceDN/>
        <w:adjustRightInd/>
        <w:rPr>
          <w:szCs w:val="24"/>
        </w:rPr>
      </w:pPr>
      <w:r w:rsidRPr="00FB583E">
        <w:rPr>
          <w:szCs w:val="24"/>
        </w:rPr>
        <w:t>полиневропатии, связанные с дефицитом витаминов группы В</w:t>
      </w:r>
    </w:p>
    <w:p w14:paraId="481A9A7E" w14:textId="77777777" w:rsidR="004905C2" w:rsidRPr="00FB583E" w:rsidRDefault="004905C2" w:rsidP="004905C2">
      <w:pPr>
        <w:pStyle w:val="afff3"/>
        <w:widowControl/>
        <w:numPr>
          <w:ilvl w:val="0"/>
          <w:numId w:val="232"/>
        </w:numPr>
        <w:autoSpaceDE/>
        <w:autoSpaceDN/>
        <w:adjustRightInd/>
        <w:rPr>
          <w:szCs w:val="24"/>
        </w:rPr>
      </w:pPr>
      <w:r w:rsidRPr="00FB583E">
        <w:rPr>
          <w:szCs w:val="24"/>
        </w:rPr>
        <w:t>токсические полиневропатии</w:t>
      </w:r>
    </w:p>
    <w:p w14:paraId="3FA59C87" w14:textId="77777777" w:rsidR="004905C2" w:rsidRPr="00FB583E" w:rsidRDefault="004905C2" w:rsidP="004905C2">
      <w:pPr>
        <w:pStyle w:val="afff3"/>
        <w:widowControl/>
        <w:numPr>
          <w:ilvl w:val="0"/>
          <w:numId w:val="232"/>
        </w:numPr>
        <w:autoSpaceDE/>
        <w:autoSpaceDN/>
        <w:adjustRightInd/>
        <w:rPr>
          <w:szCs w:val="24"/>
        </w:rPr>
      </w:pPr>
      <w:r w:rsidRPr="00FB583E">
        <w:rPr>
          <w:szCs w:val="24"/>
        </w:rPr>
        <w:t>лекарственные полиневропатии</w:t>
      </w:r>
    </w:p>
    <w:p w14:paraId="4F72CF31" w14:textId="77777777" w:rsidR="004905C2" w:rsidRPr="00FB583E" w:rsidRDefault="004905C2" w:rsidP="004905C2">
      <w:pPr>
        <w:pStyle w:val="afff3"/>
        <w:widowControl/>
        <w:numPr>
          <w:ilvl w:val="0"/>
          <w:numId w:val="232"/>
        </w:numPr>
        <w:autoSpaceDE/>
        <w:autoSpaceDN/>
        <w:adjustRightInd/>
        <w:rPr>
          <w:szCs w:val="24"/>
        </w:rPr>
      </w:pPr>
      <w:r w:rsidRPr="00FB583E">
        <w:rPr>
          <w:szCs w:val="24"/>
        </w:rPr>
        <w:t xml:space="preserve">полиневропатии критических состояний </w:t>
      </w:r>
    </w:p>
    <w:p w14:paraId="02837714" w14:textId="77777777" w:rsidR="004905C2" w:rsidRPr="00FB583E" w:rsidRDefault="004905C2" w:rsidP="004905C2">
      <w:pPr>
        <w:pStyle w:val="afff3"/>
        <w:widowControl/>
        <w:numPr>
          <w:ilvl w:val="0"/>
          <w:numId w:val="232"/>
        </w:numPr>
        <w:autoSpaceDE/>
        <w:autoSpaceDN/>
        <w:adjustRightInd/>
        <w:rPr>
          <w:szCs w:val="24"/>
        </w:rPr>
      </w:pPr>
      <w:r w:rsidRPr="00FB583E">
        <w:rPr>
          <w:szCs w:val="24"/>
        </w:rPr>
        <w:t>инфекционно-токсические полиневропатии</w:t>
      </w:r>
    </w:p>
    <w:p w14:paraId="3CC2E060" w14:textId="77777777" w:rsidR="000A7D43" w:rsidRPr="00FB583E" w:rsidRDefault="000A7D43" w:rsidP="000A7D43">
      <w:pPr>
        <w:ind w:firstLine="708"/>
        <w:rPr>
          <w:szCs w:val="24"/>
        </w:rPr>
      </w:pPr>
      <w:r w:rsidRPr="00FB583E">
        <w:rPr>
          <w:b/>
          <w:szCs w:val="24"/>
        </w:rPr>
        <w:t>Клиническая картина полиневропатии</w:t>
      </w:r>
      <w:r w:rsidRPr="00FB583E">
        <w:rPr>
          <w:szCs w:val="24"/>
        </w:rPr>
        <w:t xml:space="preserve"> зависит от этиологического фактора, патогенеза и степени поражения различных волокон. В неврологическом статусе могут выявляться моторные, сенсорные и вегетативные симптомы и их сочетания. </w:t>
      </w:r>
      <w:r w:rsidRPr="00FB583E">
        <w:rPr>
          <w:color w:val="000000"/>
          <w:szCs w:val="24"/>
        </w:rPr>
        <w:t>Поражение моторных волокон приводит к развитию вялых парезов с последующим развитием мышечной атрофии.</w:t>
      </w:r>
      <w:r w:rsidRPr="00FB583E">
        <w:rPr>
          <w:szCs w:val="24"/>
        </w:rPr>
        <w:t xml:space="preserve"> Сенсорные поражения характеризуются нарушением всех видов чувствительности и болевой симптоматикой. Нарушение вегетативных функций проявляется сухостью кожных покровов или гипергидрозом, нарушением регуляции сосудистого тонуса; поражением висцеральных вегетативных волокон. Отмечается также поражение черепных нервов. </w:t>
      </w:r>
    </w:p>
    <w:p w14:paraId="1B268B09" w14:textId="77777777" w:rsidR="000A7D43" w:rsidRPr="00FB583E" w:rsidRDefault="000A7D43" w:rsidP="000A7D43">
      <w:pPr>
        <w:ind w:firstLine="708"/>
        <w:rPr>
          <w:szCs w:val="24"/>
        </w:rPr>
      </w:pPr>
      <w:r w:rsidRPr="00FB583E">
        <w:rPr>
          <w:b/>
          <w:szCs w:val="24"/>
        </w:rPr>
        <w:t>Первичная диагностика</w:t>
      </w:r>
      <w:r w:rsidRPr="00FB583E">
        <w:rPr>
          <w:szCs w:val="24"/>
        </w:rPr>
        <w:t xml:space="preserve"> включает в себя оценку жалоб, анамнеза, оценку функционального статуса по шкале Карновского, оценку неврологического статуса с характеристикой общемозговой и очаговой симптоматики, оценку степени тяжести моторных, сенсорных и вегетативных нарушений. </w:t>
      </w:r>
    </w:p>
    <w:p w14:paraId="30B088AD" w14:textId="77777777" w:rsidR="000A7D43" w:rsidRPr="00FB583E" w:rsidRDefault="000A7D43" w:rsidP="000A7D43">
      <w:pPr>
        <w:pStyle w:val="afff3"/>
        <w:ind w:left="0" w:firstLine="709"/>
        <w:rPr>
          <w:szCs w:val="24"/>
        </w:rPr>
      </w:pPr>
      <w:r w:rsidRPr="00FB583E">
        <w:rPr>
          <w:b/>
          <w:szCs w:val="24"/>
        </w:rPr>
        <w:t>Лабораторные исследования:</w:t>
      </w:r>
      <w:r w:rsidRPr="00FB583E">
        <w:rPr>
          <w:szCs w:val="24"/>
        </w:rPr>
        <w:t xml:space="preserve"> </w:t>
      </w:r>
    </w:p>
    <w:p w14:paraId="7F78155B"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Клинический анализ крови, морфологическое исследование мазка крови</w:t>
      </w:r>
    </w:p>
    <w:p w14:paraId="3CD85352"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Общий анализ мочи</w:t>
      </w:r>
    </w:p>
    <w:p w14:paraId="52015604"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Биохимический анализ крови – общий белок, фракции белка, креатинин, мочевина, мочевая кислота, билирубин, фракции билирубина, глюкоза, электролиты, АЛТ, АСТ, ЛДГ, ЩФ, амилаза, В12</w:t>
      </w:r>
    </w:p>
    <w:p w14:paraId="184DC081"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Оценка кислотно-щелочного равновесия (по показаниям)</w:t>
      </w:r>
    </w:p>
    <w:p w14:paraId="79DEE1A9"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Определение группы крови и резус - фактора</w:t>
      </w:r>
    </w:p>
    <w:p w14:paraId="76841790"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Исследование крови на вирусы гепатитов B и C, ВИЧ, сифилис</w:t>
      </w:r>
    </w:p>
    <w:p w14:paraId="4488E33A"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 xml:space="preserve">Иммунохимическое исследование сыворотки крови и мочи (выявление белка Бен-Джонса) </w:t>
      </w:r>
    </w:p>
    <w:p w14:paraId="528201E9"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Исследование ликвора (белок, цитоз, цитология и т.д.)</w:t>
      </w:r>
    </w:p>
    <w:p w14:paraId="60901951"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lastRenderedPageBreak/>
        <w:t>Исследование крови и ликвора для исключения вирусного поражения (в том числе с применением полимеразной цепной реакции)</w:t>
      </w:r>
    </w:p>
    <w:p w14:paraId="132811D1"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Иммунохимическое исследование ликвора (концентрация белка и обнаружение моноклонального IgM) по показаниям</w:t>
      </w:r>
    </w:p>
    <w:p w14:paraId="03404D28"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Исследование ликвора на антитела к ганглиозидам GV1, GV2 по показаниям</w:t>
      </w:r>
    </w:p>
    <w:p w14:paraId="54DC9CEB"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Цитологическое и гистологическое исследования костного мозга (миелограмма и трепанобиопсия)</w:t>
      </w:r>
    </w:p>
    <w:p w14:paraId="2E7CD5B7"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Анализ крови на исследование антител к GM1-ганглиозидам (по показаниям)</w:t>
      </w:r>
    </w:p>
    <w:p w14:paraId="061F9F02"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Анализ крови на антитела к ассоциированному с миелином гликопротеину (анти-MAG антитела) по показаниям</w:t>
      </w:r>
    </w:p>
    <w:p w14:paraId="0623B4D2"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Анализ крови на исследование уровня фактора роста эндотелия сосудов, интерлeйкина-6, фактора некроза опухоли α и интерлeйкина-1β (по показаниям)</w:t>
      </w:r>
    </w:p>
    <w:p w14:paraId="22DC8C65" w14:textId="77777777" w:rsidR="000A7D43" w:rsidRPr="00FB583E" w:rsidRDefault="000A7D43" w:rsidP="000A7D43">
      <w:pPr>
        <w:ind w:firstLine="708"/>
        <w:rPr>
          <w:b/>
          <w:szCs w:val="24"/>
        </w:rPr>
      </w:pPr>
      <w:r w:rsidRPr="00FB583E">
        <w:rPr>
          <w:b/>
          <w:szCs w:val="24"/>
        </w:rPr>
        <w:t>Манипуляции:</w:t>
      </w:r>
    </w:p>
    <w:p w14:paraId="0202C9B3"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Люмбальная пункция (ЛП)</w:t>
      </w:r>
    </w:p>
    <w:p w14:paraId="400084AF"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Стереотаксическия биопсия (СТБ)</w:t>
      </w:r>
    </w:p>
    <w:p w14:paraId="6EEF114E"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Трепанобиопсия (ТБ)</w:t>
      </w:r>
    </w:p>
    <w:p w14:paraId="6477C51C" w14:textId="77777777" w:rsidR="000A7D43" w:rsidRPr="00FB583E" w:rsidRDefault="000A7D43" w:rsidP="000A7D43">
      <w:pPr>
        <w:pStyle w:val="afff3"/>
        <w:shd w:val="clear" w:color="auto" w:fill="FFFFFF"/>
        <w:rPr>
          <w:b/>
          <w:szCs w:val="24"/>
        </w:rPr>
      </w:pPr>
      <w:r w:rsidRPr="00FB583E">
        <w:rPr>
          <w:b/>
          <w:szCs w:val="24"/>
        </w:rPr>
        <w:t>Инструментальные исследования:</w:t>
      </w:r>
    </w:p>
    <w:p w14:paraId="61D1B30A"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ЭКГ</w:t>
      </w:r>
    </w:p>
    <w:p w14:paraId="44CE67BD" w14:textId="7D558CA7" w:rsidR="000A7D43" w:rsidRPr="00FB583E" w:rsidRDefault="000A7D43" w:rsidP="000A7D43">
      <w:pPr>
        <w:pStyle w:val="afff3"/>
        <w:widowControl/>
        <w:numPr>
          <w:ilvl w:val="0"/>
          <w:numId w:val="232"/>
        </w:numPr>
        <w:autoSpaceDE/>
        <w:autoSpaceDN/>
        <w:adjustRightInd/>
        <w:rPr>
          <w:szCs w:val="24"/>
        </w:rPr>
      </w:pPr>
      <w:r w:rsidRPr="00FB583E">
        <w:rPr>
          <w:szCs w:val="24"/>
        </w:rPr>
        <w:t xml:space="preserve">Холтеровское </w:t>
      </w:r>
      <w:r w:rsidR="001647AE" w:rsidRPr="00FB583E">
        <w:rPr>
          <w:szCs w:val="24"/>
        </w:rPr>
        <w:t>мониторирование (</w:t>
      </w:r>
      <w:r w:rsidRPr="00FB583E">
        <w:rPr>
          <w:szCs w:val="24"/>
        </w:rPr>
        <w:t>по показаниям)</w:t>
      </w:r>
    </w:p>
    <w:p w14:paraId="3D6EA716"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Функция внешнего дыхания</w:t>
      </w:r>
    </w:p>
    <w:p w14:paraId="590CC045"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ЭНМГ с исследованием двигательных и чувствительных нервов (по показаниям)</w:t>
      </w:r>
    </w:p>
    <w:p w14:paraId="593909A1"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Игольчатая электромиография (по показаниям)</w:t>
      </w:r>
    </w:p>
    <w:p w14:paraId="7C335B46"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ВП различной модальности ЗВП, КВП, КАСВП, ССВП (по показаниям)</w:t>
      </w:r>
    </w:p>
    <w:p w14:paraId="59417AF3"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УЗИ нервов (по показаниям)</w:t>
      </w:r>
    </w:p>
    <w:p w14:paraId="4016931F" w14:textId="77777777" w:rsidR="000A7D43" w:rsidRPr="00FB583E" w:rsidRDefault="000A7D43" w:rsidP="000A7D43">
      <w:pPr>
        <w:ind w:firstLine="708"/>
        <w:rPr>
          <w:b/>
          <w:szCs w:val="24"/>
        </w:rPr>
      </w:pPr>
      <w:r w:rsidRPr="00FB583E">
        <w:rPr>
          <w:b/>
          <w:szCs w:val="24"/>
        </w:rPr>
        <w:t>Консультации специалистов:</w:t>
      </w:r>
    </w:p>
    <w:p w14:paraId="3D16D3BE"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 xml:space="preserve">невролог </w:t>
      </w:r>
    </w:p>
    <w:p w14:paraId="2FC604CE"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ортопед</w:t>
      </w:r>
    </w:p>
    <w:p w14:paraId="5AB31213"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офтальмолог (оценка функции зрительных нервов)</w:t>
      </w:r>
    </w:p>
    <w:p w14:paraId="22C9486F"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оториноларинголог (выявление бульбарных нарушений, пареза голосовых связок)</w:t>
      </w:r>
    </w:p>
    <w:p w14:paraId="1EEC8286"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кинезиотерапевт по показаниям</w:t>
      </w:r>
    </w:p>
    <w:p w14:paraId="72580AFF" w14:textId="77777777" w:rsidR="000A7D43" w:rsidRPr="00FB583E" w:rsidRDefault="000A7D43" w:rsidP="000A7D43">
      <w:pPr>
        <w:ind w:firstLine="708"/>
        <w:rPr>
          <w:b/>
          <w:szCs w:val="24"/>
        </w:rPr>
      </w:pPr>
      <w:r w:rsidRPr="00FB583E">
        <w:rPr>
          <w:b/>
          <w:szCs w:val="24"/>
        </w:rPr>
        <w:lastRenderedPageBreak/>
        <w:t xml:space="preserve">Лечение: </w:t>
      </w:r>
    </w:p>
    <w:p w14:paraId="36AABAF2"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Плазмаферез (по показаниям)</w:t>
      </w:r>
    </w:p>
    <w:p w14:paraId="4ED29561"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Лечение невропатической боли – антидепрессанты, антиконсульсанты, опиодные анальгетики (см. Приложение «Диагностика и лечение болевого синдрома в гематологии")</w:t>
      </w:r>
    </w:p>
    <w:p w14:paraId="7FB97E4E"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Магнитная стимуляция (низкочастотная магнитотерапия) периферических нервов (по показаниям)</w:t>
      </w:r>
    </w:p>
    <w:p w14:paraId="0A2F6EE6"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Низкоинтенсивная лазеротерапия (по показаниям)</w:t>
      </w:r>
    </w:p>
    <w:p w14:paraId="58BE2B12"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Чрезкожная элктростимуляция (по показаниям)</w:t>
      </w:r>
    </w:p>
    <w:p w14:paraId="12873040"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 xml:space="preserve">Улучшение метаболизма нервной ткани – берлитион, витамины группы В </w:t>
      </w:r>
    </w:p>
    <w:p w14:paraId="6752D180"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Улучшение нейромышечной передачи – ингибитор холинэстеразы ипидакрин</w:t>
      </w:r>
    </w:p>
    <w:p w14:paraId="6F3C1BED" w14:textId="015ABED6" w:rsidR="000A7D43" w:rsidRPr="00FB583E" w:rsidRDefault="000A7D43" w:rsidP="000A7D43">
      <w:pPr>
        <w:pStyle w:val="afff3"/>
        <w:widowControl/>
        <w:numPr>
          <w:ilvl w:val="0"/>
          <w:numId w:val="232"/>
        </w:numPr>
        <w:autoSpaceDE/>
        <w:autoSpaceDN/>
        <w:adjustRightInd/>
        <w:rPr>
          <w:szCs w:val="24"/>
        </w:rPr>
      </w:pPr>
      <w:r w:rsidRPr="00FB583E">
        <w:rPr>
          <w:szCs w:val="24"/>
        </w:rPr>
        <w:t xml:space="preserve">Нейропротекторы </w:t>
      </w:r>
      <w:r w:rsidR="001647AE" w:rsidRPr="00FB583E">
        <w:rPr>
          <w:szCs w:val="24"/>
        </w:rPr>
        <w:t>– холина</w:t>
      </w:r>
      <w:r w:rsidRPr="00FB583E">
        <w:rPr>
          <w:szCs w:val="24"/>
        </w:rPr>
        <w:t xml:space="preserve"> альфосцерат–глиатилин, </w:t>
      </w:r>
      <w:r w:rsidR="001647AE" w:rsidRPr="00FB583E">
        <w:rPr>
          <w:szCs w:val="24"/>
        </w:rPr>
        <w:t>цитиколин цераксон</w:t>
      </w:r>
      <w:r w:rsidRPr="00FB583E">
        <w:rPr>
          <w:szCs w:val="24"/>
        </w:rPr>
        <w:t xml:space="preserve"> </w:t>
      </w:r>
    </w:p>
    <w:p w14:paraId="700839AC" w14:textId="77777777" w:rsidR="000A7D43" w:rsidRPr="00FB583E" w:rsidRDefault="000A7D43" w:rsidP="000A7D43">
      <w:pPr>
        <w:pStyle w:val="afff3"/>
        <w:rPr>
          <w:b/>
          <w:i/>
          <w:color w:val="FF0000"/>
          <w:szCs w:val="24"/>
        </w:rPr>
      </w:pPr>
    </w:p>
    <w:p w14:paraId="06996EF4" w14:textId="125166BF" w:rsidR="000A7D43" w:rsidRPr="00FB583E" w:rsidRDefault="000A7D43" w:rsidP="000A7D43">
      <w:pPr>
        <w:rPr>
          <w:i/>
          <w:szCs w:val="24"/>
          <w:u w:val="single"/>
        </w:rPr>
      </w:pPr>
      <w:r w:rsidRPr="00FB583E">
        <w:rPr>
          <w:i/>
          <w:szCs w:val="24"/>
          <w:u w:val="single"/>
        </w:rPr>
        <w:t xml:space="preserve">Нейроинфекции при </w:t>
      </w:r>
      <w:r w:rsidR="004905C2">
        <w:rPr>
          <w:i/>
          <w:szCs w:val="24"/>
          <w:u w:val="single"/>
        </w:rPr>
        <w:t>лейкозе</w:t>
      </w:r>
    </w:p>
    <w:p w14:paraId="474236AB" w14:textId="7D4D6708" w:rsidR="000A7D43" w:rsidRPr="00FB583E" w:rsidRDefault="000A7D43" w:rsidP="000A7D43">
      <w:pPr>
        <w:pStyle w:val="Default"/>
        <w:spacing w:line="360" w:lineRule="auto"/>
        <w:ind w:firstLine="709"/>
        <w:jc w:val="both"/>
      </w:pPr>
      <w:r w:rsidRPr="00FB583E">
        <w:t xml:space="preserve">Нейроинфекционные осложнения – менингиты, энцефалиты, менингоэнцефалиты, миелиты – наблюдаются примерно у 10% </w:t>
      </w:r>
      <w:r w:rsidR="004905C2">
        <w:t>пациентов</w:t>
      </w:r>
      <w:r w:rsidRPr="00FB583E">
        <w:t xml:space="preserve"> на фоне иммуносупрессии, нейтропении, сепсиса, пневмонии и других инфекционных осложнениях при цитостатической терапии. В структуре нейроинфекционных поражений менингиты составляют 40%, энцефалиты – 40%, грибковое поражение ЦНС (инвазивный аспергиллез, инвазивный кандидоз) –15%, токсоплазмоз –5%. </w:t>
      </w:r>
    </w:p>
    <w:p w14:paraId="52382885" w14:textId="77777777" w:rsidR="000A7D43" w:rsidRPr="00FB583E" w:rsidRDefault="000A7D43" w:rsidP="000A7D43">
      <w:pPr>
        <w:pStyle w:val="Default"/>
        <w:spacing w:line="360" w:lineRule="auto"/>
        <w:ind w:firstLine="709"/>
        <w:jc w:val="both"/>
        <w:rPr>
          <w:b/>
        </w:rPr>
      </w:pPr>
      <w:r w:rsidRPr="00FB583E">
        <w:rPr>
          <w:b/>
        </w:rPr>
        <w:t>Клиническая картина:</w:t>
      </w:r>
    </w:p>
    <w:p w14:paraId="4F774D75" w14:textId="77777777" w:rsidR="000A7D43" w:rsidRPr="00FB583E" w:rsidRDefault="000A7D43" w:rsidP="000A7D43">
      <w:pPr>
        <w:pStyle w:val="Default"/>
        <w:spacing w:line="360" w:lineRule="auto"/>
        <w:ind w:firstLine="709"/>
        <w:jc w:val="both"/>
      </w:pPr>
      <w:r w:rsidRPr="00FB583E">
        <w:t>Менингеальная симптоматика доминирует при бактериальных, серозных менингитах и инвазивном кандидозе ЦНС, в то время, как общемозговая симптоматика – при вирусных энцефалитах. Клиническая картина при грибковом поражении и токсоплазмозе соответствует клинической картине объемного образования. При нейроинфекции клинические симптомы варьируют в широких пределах – от головной боли до развития тяжелых общемозговых симптомов с угнетением сознания, эпилептических припадков, выраженных очаговых и менингеальных симптомов.</w:t>
      </w:r>
    </w:p>
    <w:p w14:paraId="2EE364DC" w14:textId="77777777" w:rsidR="000A7D43" w:rsidRPr="00FB583E" w:rsidRDefault="000A7D43" w:rsidP="000A7D43">
      <w:pPr>
        <w:ind w:firstLine="709"/>
        <w:rPr>
          <w:b/>
          <w:szCs w:val="24"/>
        </w:rPr>
      </w:pPr>
      <w:r w:rsidRPr="00FB583E">
        <w:rPr>
          <w:b/>
          <w:szCs w:val="24"/>
        </w:rPr>
        <w:t>Для первичной диагностики оценивается:</w:t>
      </w:r>
    </w:p>
    <w:p w14:paraId="64A12037"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 xml:space="preserve">жалобы; </w:t>
      </w:r>
    </w:p>
    <w:p w14:paraId="145DC516"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 xml:space="preserve">анамнез; </w:t>
      </w:r>
    </w:p>
    <w:p w14:paraId="6C5E8E11"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 xml:space="preserve">оценка функционального статуса по шкале Карновского; </w:t>
      </w:r>
    </w:p>
    <w:p w14:paraId="027D2168"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оценка по шкале SOFA;</w:t>
      </w:r>
    </w:p>
    <w:p w14:paraId="157756BE"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lastRenderedPageBreak/>
        <w:t xml:space="preserve">неврологический статус с оценкой общемозговой, очаговой, менингеальной симптоматики и интеллектуально-мнестических нарушений; </w:t>
      </w:r>
    </w:p>
    <w:p w14:paraId="1E478734"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 xml:space="preserve">оценка психического состояния; </w:t>
      </w:r>
    </w:p>
    <w:p w14:paraId="391A87A5" w14:textId="77777777" w:rsidR="000A7D43" w:rsidRPr="00FB583E" w:rsidRDefault="000A7D43" w:rsidP="000A7D43">
      <w:pPr>
        <w:ind w:left="12" w:firstLine="708"/>
        <w:rPr>
          <w:b/>
          <w:szCs w:val="24"/>
        </w:rPr>
      </w:pPr>
      <w:r w:rsidRPr="00FB583E">
        <w:rPr>
          <w:b/>
          <w:szCs w:val="24"/>
        </w:rPr>
        <w:t>Лабораторная диагностика:</w:t>
      </w:r>
      <w:r w:rsidRPr="00FB583E">
        <w:rPr>
          <w:b/>
          <w:szCs w:val="24"/>
        </w:rPr>
        <w:tab/>
        <w:t xml:space="preserve"> </w:t>
      </w:r>
    </w:p>
    <w:p w14:paraId="49D28FCB"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Клинический анализ крови, морфологическое исследование мазка крови</w:t>
      </w:r>
    </w:p>
    <w:p w14:paraId="2DE34A32"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Общий анализ мочи</w:t>
      </w:r>
    </w:p>
    <w:p w14:paraId="03A225C7"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Биохимический анализ крови – общий белок, фракции белка, креатинин, мочевина, мочевая кислота, билирубин, фракции билирубина, глюкоза, электролиты, аланиаминотрансфераза, аспартатаминотрансфераза, лактатдегидрогеназа, щелочная фосфатаза, амилаза</w:t>
      </w:r>
    </w:p>
    <w:p w14:paraId="7E8FECF3"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Оценка кислотно-щелочного равновесия (по показаниям)</w:t>
      </w:r>
    </w:p>
    <w:p w14:paraId="7282262D"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 xml:space="preserve">Исследование ликвора в динамике – цитологическое, белок, глюкоза. На бактерии – микроскопия, посев, определение антигенов. Микобактерии – микроскопия, определение ДНК. Вирусы – определение ДНК. Грибы- микроскопия, посев, антигены. Токсоплазмоз- определение ДНК. </w:t>
      </w:r>
    </w:p>
    <w:p w14:paraId="05FF8EF4"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 xml:space="preserve">(См. рекомендации бактериологической лаборатории). </w:t>
      </w:r>
    </w:p>
    <w:p w14:paraId="381BCAD5"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Иммунохимическое исследование крови и мочи, включая количество нормальных иммуноглобулинов, наличие моноклональной секреции, С-реактивный белок, бета-2-микроглобулин</w:t>
      </w:r>
    </w:p>
    <w:p w14:paraId="1D411CF5"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Определение группы крови и резус - фактора</w:t>
      </w:r>
    </w:p>
    <w:p w14:paraId="660092BB"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Исследование крови на вирусы гепатитов B и C, ВИЧ, сифилис</w:t>
      </w:r>
    </w:p>
    <w:p w14:paraId="3F0A04D2"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Стереотаксическая биопсия при наличии очагов в головном мозге по данным КТ/МРТ.</w:t>
      </w:r>
    </w:p>
    <w:p w14:paraId="7E67D3E9" w14:textId="77777777" w:rsidR="000A7D43" w:rsidRPr="00FB583E" w:rsidRDefault="000A7D43" w:rsidP="000A7D43">
      <w:pPr>
        <w:ind w:firstLine="708"/>
        <w:rPr>
          <w:b/>
          <w:szCs w:val="24"/>
        </w:rPr>
      </w:pPr>
      <w:r w:rsidRPr="00FB583E">
        <w:rPr>
          <w:b/>
          <w:szCs w:val="24"/>
        </w:rPr>
        <w:t>Инструментальная диагностика:</w:t>
      </w:r>
    </w:p>
    <w:p w14:paraId="703999DD"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КТ или МРТ головного мозга (с внутривенным контрастированием – по показаниям)</w:t>
      </w:r>
    </w:p>
    <w:p w14:paraId="6CD095D0"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КТ брюшной полости, грудной клетки, малого таза</w:t>
      </w:r>
    </w:p>
    <w:p w14:paraId="1910475F"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Электроэнцефалография (ЭЭГ) с функциональными пробами для определения функционального состояния головного мозга и исключения эпиактивности</w:t>
      </w:r>
    </w:p>
    <w:p w14:paraId="208ED643"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 xml:space="preserve">ВП – вызванные потенциалы различной модальности (по показаниям): ЗВП, КВП, КАСВП, ССВП. </w:t>
      </w:r>
    </w:p>
    <w:p w14:paraId="22BE9E82"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ТКМС (по показаниям)</w:t>
      </w:r>
    </w:p>
    <w:p w14:paraId="05D3B6B9"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ПЭТ-КТ (по показаниям)</w:t>
      </w:r>
    </w:p>
    <w:p w14:paraId="2615945A"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lastRenderedPageBreak/>
        <w:t>УЗДГ брахиоцефальных артерий и вен (по показаниям)</w:t>
      </w:r>
    </w:p>
    <w:p w14:paraId="24E8FC91" w14:textId="08D0A21D" w:rsidR="000A7D43" w:rsidRPr="00FB583E" w:rsidRDefault="001647AE" w:rsidP="000A7D43">
      <w:pPr>
        <w:pStyle w:val="afff3"/>
        <w:widowControl/>
        <w:numPr>
          <w:ilvl w:val="0"/>
          <w:numId w:val="232"/>
        </w:numPr>
        <w:autoSpaceDE/>
        <w:autoSpaceDN/>
        <w:adjustRightInd/>
        <w:rPr>
          <w:szCs w:val="24"/>
        </w:rPr>
      </w:pPr>
      <w:r w:rsidRPr="00FB583E">
        <w:rPr>
          <w:szCs w:val="24"/>
        </w:rPr>
        <w:t>ФГДС (</w:t>
      </w:r>
      <w:r w:rsidR="000A7D43" w:rsidRPr="00FB583E">
        <w:rPr>
          <w:szCs w:val="24"/>
        </w:rPr>
        <w:t>биопсия по показаниям)</w:t>
      </w:r>
    </w:p>
    <w:p w14:paraId="192DFF2D"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ЭКГ</w:t>
      </w:r>
    </w:p>
    <w:p w14:paraId="14A3132E"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Эхо-КГ</w:t>
      </w:r>
    </w:p>
    <w:p w14:paraId="4F23772B" w14:textId="77777777" w:rsidR="000A7D43" w:rsidRPr="00FB583E" w:rsidRDefault="000A7D43" w:rsidP="000A7D43">
      <w:pPr>
        <w:ind w:firstLine="708"/>
        <w:rPr>
          <w:b/>
          <w:szCs w:val="24"/>
        </w:rPr>
      </w:pPr>
      <w:r w:rsidRPr="00FB583E">
        <w:rPr>
          <w:b/>
          <w:szCs w:val="24"/>
        </w:rPr>
        <w:t>Консультация специалистов:</w:t>
      </w:r>
    </w:p>
    <w:p w14:paraId="1E9F93F3"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Невролог – для оценки неврологического статуса</w:t>
      </w:r>
    </w:p>
    <w:p w14:paraId="6AFB9742" w14:textId="703B9397" w:rsidR="000A7D43" w:rsidRPr="00FB583E" w:rsidRDefault="000A7D43" w:rsidP="000A7D43">
      <w:pPr>
        <w:pStyle w:val="afff3"/>
        <w:widowControl/>
        <w:numPr>
          <w:ilvl w:val="0"/>
          <w:numId w:val="232"/>
        </w:numPr>
        <w:autoSpaceDE/>
        <w:autoSpaceDN/>
        <w:adjustRightInd/>
        <w:rPr>
          <w:szCs w:val="24"/>
        </w:rPr>
      </w:pPr>
      <w:r w:rsidRPr="00FB583E">
        <w:rPr>
          <w:szCs w:val="24"/>
        </w:rPr>
        <w:t xml:space="preserve">Нейрохирург – </w:t>
      </w:r>
      <w:r w:rsidR="001647AE" w:rsidRPr="00FB583E">
        <w:rPr>
          <w:szCs w:val="24"/>
        </w:rPr>
        <w:t>для СТБ</w:t>
      </w:r>
      <w:r w:rsidRPr="00FB583E">
        <w:rPr>
          <w:szCs w:val="24"/>
        </w:rPr>
        <w:t xml:space="preserve"> при очаговом поражении головного мозга для верификации диагноза.</w:t>
      </w:r>
    </w:p>
    <w:p w14:paraId="50E6B1D7"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Офтальмолог – для оценки состояния глазного дна.</w:t>
      </w:r>
    </w:p>
    <w:p w14:paraId="3D41707A"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По показаниям привлекаются другие специалисты:</w:t>
      </w:r>
    </w:p>
    <w:p w14:paraId="1284DD54" w14:textId="77777777" w:rsidR="000A7D43" w:rsidRPr="00FB583E" w:rsidRDefault="000A7D43" w:rsidP="000A7D43">
      <w:pPr>
        <w:pStyle w:val="afff3"/>
        <w:widowControl/>
        <w:numPr>
          <w:ilvl w:val="1"/>
          <w:numId w:val="232"/>
        </w:numPr>
        <w:autoSpaceDE/>
        <w:autoSpaceDN/>
        <w:adjustRightInd/>
        <w:rPr>
          <w:szCs w:val="24"/>
        </w:rPr>
      </w:pPr>
      <w:r w:rsidRPr="00FB583E">
        <w:rPr>
          <w:szCs w:val="24"/>
        </w:rPr>
        <w:t>рентгенолог</w:t>
      </w:r>
    </w:p>
    <w:p w14:paraId="0E2B8D4D" w14:textId="77777777" w:rsidR="000A7D43" w:rsidRPr="00FB583E" w:rsidRDefault="000A7D43" w:rsidP="000A7D43">
      <w:pPr>
        <w:pStyle w:val="afff3"/>
        <w:widowControl/>
        <w:numPr>
          <w:ilvl w:val="1"/>
          <w:numId w:val="232"/>
        </w:numPr>
        <w:autoSpaceDE/>
        <w:autoSpaceDN/>
        <w:adjustRightInd/>
        <w:rPr>
          <w:szCs w:val="24"/>
        </w:rPr>
      </w:pPr>
      <w:r w:rsidRPr="00FB583E">
        <w:rPr>
          <w:szCs w:val="24"/>
        </w:rPr>
        <w:t>психиатр</w:t>
      </w:r>
    </w:p>
    <w:p w14:paraId="37D875C6" w14:textId="77777777" w:rsidR="000A7D43" w:rsidRPr="00FB583E" w:rsidRDefault="000A7D43" w:rsidP="000A7D43">
      <w:pPr>
        <w:pStyle w:val="afff3"/>
        <w:widowControl/>
        <w:numPr>
          <w:ilvl w:val="1"/>
          <w:numId w:val="232"/>
        </w:numPr>
        <w:autoSpaceDE/>
        <w:autoSpaceDN/>
        <w:adjustRightInd/>
        <w:rPr>
          <w:szCs w:val="24"/>
        </w:rPr>
      </w:pPr>
      <w:r w:rsidRPr="00FB583E">
        <w:rPr>
          <w:szCs w:val="24"/>
        </w:rPr>
        <w:t>психолог</w:t>
      </w:r>
    </w:p>
    <w:p w14:paraId="062B0C9E" w14:textId="77777777" w:rsidR="000A7D43" w:rsidRPr="00FB583E" w:rsidRDefault="000A7D43" w:rsidP="000A7D43">
      <w:pPr>
        <w:pStyle w:val="afff3"/>
        <w:widowControl/>
        <w:numPr>
          <w:ilvl w:val="1"/>
          <w:numId w:val="232"/>
        </w:numPr>
        <w:autoSpaceDE/>
        <w:autoSpaceDN/>
        <w:adjustRightInd/>
        <w:rPr>
          <w:szCs w:val="24"/>
        </w:rPr>
      </w:pPr>
      <w:r w:rsidRPr="00FB583E">
        <w:rPr>
          <w:szCs w:val="24"/>
        </w:rPr>
        <w:t>кинезиотерапевт</w:t>
      </w:r>
    </w:p>
    <w:p w14:paraId="3C8FBB27" w14:textId="77777777" w:rsidR="000A7D43" w:rsidRPr="00FB583E" w:rsidRDefault="000A7D43" w:rsidP="000A7D43">
      <w:pPr>
        <w:ind w:firstLine="708"/>
        <w:rPr>
          <w:b/>
          <w:szCs w:val="24"/>
        </w:rPr>
      </w:pPr>
      <w:r w:rsidRPr="00FB583E">
        <w:rPr>
          <w:b/>
          <w:szCs w:val="24"/>
        </w:rPr>
        <w:t xml:space="preserve">Лекарственная терапия </w:t>
      </w:r>
    </w:p>
    <w:p w14:paraId="710B9205"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Антибактериальная, противовирусная, противогрибковая терапия согласно выявленной инфекции</w:t>
      </w:r>
    </w:p>
    <w:p w14:paraId="63EDB543"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Противоэпилептическая терапия, в том числе: леветирацетам в/в, табл; конвулекс в/в, таб; прегабалин капс; габапентин таб, клоназепам таб; фенобарбитал таб, окскарбазепин таб, ламотриджил таб, диазепам в/в, таб.</w:t>
      </w:r>
    </w:p>
    <w:p w14:paraId="314FB776"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 xml:space="preserve">Противоотечные препараты – маннитол в/в, лазикс в/в, ацетазоламид (диакарб) в таб. </w:t>
      </w:r>
    </w:p>
    <w:p w14:paraId="5A3E07D3"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Противорвотная терапия – ондансетрон в/в</w:t>
      </w:r>
    </w:p>
    <w:p w14:paraId="18BF2151"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Нейропротекторная терапия – аминофенилмаслянная кислота таб.</w:t>
      </w:r>
    </w:p>
    <w:p w14:paraId="776DD6F8" w14:textId="4ABA63E4" w:rsidR="000A7D43" w:rsidRPr="00FB583E" w:rsidRDefault="000A7D43" w:rsidP="000A7D43">
      <w:pPr>
        <w:pStyle w:val="afff3"/>
        <w:widowControl/>
        <w:numPr>
          <w:ilvl w:val="0"/>
          <w:numId w:val="232"/>
        </w:numPr>
        <w:autoSpaceDE/>
        <w:autoSpaceDN/>
        <w:adjustRightInd/>
        <w:rPr>
          <w:szCs w:val="24"/>
        </w:rPr>
      </w:pPr>
      <w:r w:rsidRPr="00FB583E">
        <w:rPr>
          <w:szCs w:val="24"/>
        </w:rPr>
        <w:t xml:space="preserve">Антидепрессанты </w:t>
      </w:r>
      <w:r w:rsidR="001647AE" w:rsidRPr="00FB583E">
        <w:rPr>
          <w:szCs w:val="24"/>
        </w:rPr>
        <w:t>– по</w:t>
      </w:r>
      <w:r w:rsidRPr="00FB583E">
        <w:rPr>
          <w:szCs w:val="24"/>
        </w:rPr>
        <w:t xml:space="preserve"> назначению психиатра</w:t>
      </w:r>
    </w:p>
    <w:p w14:paraId="4BDCF149"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 xml:space="preserve">Витаминотерапия </w:t>
      </w:r>
    </w:p>
    <w:p w14:paraId="76216DD6" w14:textId="77777777" w:rsidR="000A7D43" w:rsidRPr="00FB583E" w:rsidRDefault="000A7D43" w:rsidP="000A7D43">
      <w:pPr>
        <w:rPr>
          <w:szCs w:val="24"/>
        </w:rPr>
      </w:pPr>
    </w:p>
    <w:p w14:paraId="7B7F8F4B" w14:textId="186DCB0C" w:rsidR="000A7D43" w:rsidRPr="00FB583E" w:rsidRDefault="000A7D43" w:rsidP="000A7D43">
      <w:pPr>
        <w:rPr>
          <w:i/>
          <w:szCs w:val="24"/>
          <w:u w:val="single"/>
        </w:rPr>
      </w:pPr>
      <w:r w:rsidRPr="00FB583E">
        <w:rPr>
          <w:i/>
          <w:szCs w:val="24"/>
          <w:u w:val="single"/>
        </w:rPr>
        <w:t>Когнитивные нарушения у пациентов</w:t>
      </w:r>
      <w:r w:rsidR="004905C2">
        <w:rPr>
          <w:i/>
          <w:szCs w:val="24"/>
          <w:u w:val="single"/>
        </w:rPr>
        <w:t xml:space="preserve"> с лейкозом</w:t>
      </w:r>
      <w:r w:rsidRPr="00FB583E">
        <w:rPr>
          <w:i/>
          <w:szCs w:val="24"/>
          <w:u w:val="single"/>
        </w:rPr>
        <w:t>.</w:t>
      </w:r>
    </w:p>
    <w:p w14:paraId="67A92774" w14:textId="2C177135" w:rsidR="000A7D43" w:rsidRPr="00FB583E" w:rsidRDefault="004905C2" w:rsidP="000A7D43">
      <w:pPr>
        <w:ind w:firstLine="708"/>
        <w:rPr>
          <w:szCs w:val="24"/>
        </w:rPr>
      </w:pPr>
      <w:r w:rsidRPr="00802A45">
        <w:t xml:space="preserve">Лейкоз и проводимая </w:t>
      </w:r>
      <w:r w:rsidR="000A7D43" w:rsidRPr="00FB583E">
        <w:rPr>
          <w:szCs w:val="24"/>
        </w:rPr>
        <w:t>терапия</w:t>
      </w:r>
      <w:r w:rsidR="000A7D43" w:rsidRPr="00FB583E">
        <w:rPr>
          <w:rFonts w:eastAsia="+mj-ea"/>
          <w:bCs/>
          <w:color w:val="000000"/>
          <w:kern w:val="24"/>
          <w:szCs w:val="24"/>
        </w:rPr>
        <w:t xml:space="preserve"> иммунодепрессантами и цитотоксическими препаратами, а также высокоинтенсивная специфическая терапия, в том числе, трансплантация гемопоэтических стволовых клеток</w:t>
      </w:r>
      <w:r w:rsidR="000A7D43" w:rsidRPr="00FB583E">
        <w:rPr>
          <w:szCs w:val="24"/>
        </w:rPr>
        <w:t xml:space="preserve"> могут приводить к формированию у пациентов когнитивных расстройств различной степени тяжести, которые сопровождаются изменениями нейрофизиологических показателей (ЭЭГ, ВП) и данных нейровизуализации (КТ, МРТ). Нарушение когнитивных функций усугубляет у пациента симптомы депрессии </w:t>
      </w:r>
      <w:r w:rsidR="000A7D43" w:rsidRPr="00FB583E">
        <w:rPr>
          <w:szCs w:val="24"/>
        </w:rPr>
        <w:lastRenderedPageBreak/>
        <w:t>и тревоги.</w:t>
      </w:r>
    </w:p>
    <w:p w14:paraId="5F5B8D0B" w14:textId="77777777" w:rsidR="000A7D43" w:rsidRPr="00FB583E" w:rsidRDefault="000A7D43" w:rsidP="000A7D43">
      <w:pPr>
        <w:ind w:firstLine="708"/>
        <w:rPr>
          <w:color w:val="333333"/>
          <w:szCs w:val="24"/>
          <w:shd w:val="clear" w:color="auto" w:fill="FFFFFF"/>
        </w:rPr>
      </w:pPr>
      <w:r w:rsidRPr="00FB583E">
        <w:rPr>
          <w:b/>
          <w:szCs w:val="24"/>
        </w:rPr>
        <w:t>Клинические проявления:</w:t>
      </w:r>
      <w:r>
        <w:rPr>
          <w:b/>
          <w:szCs w:val="24"/>
        </w:rPr>
        <w:t xml:space="preserve"> </w:t>
      </w:r>
      <w:r w:rsidRPr="00FB583E">
        <w:rPr>
          <w:szCs w:val="24"/>
        </w:rPr>
        <w:t>в</w:t>
      </w:r>
      <w:r w:rsidRPr="00FB583E">
        <w:rPr>
          <w:color w:val="333333"/>
          <w:szCs w:val="24"/>
          <w:shd w:val="clear" w:color="auto" w:fill="FFFFFF"/>
        </w:rPr>
        <w:t xml:space="preserve"> соответствии с критериями </w:t>
      </w:r>
      <w:r w:rsidRPr="00FB583E">
        <w:rPr>
          <w:color w:val="333333"/>
          <w:szCs w:val="24"/>
        </w:rPr>
        <w:t>Clinical Dementia Rating,</w:t>
      </w:r>
      <w:r w:rsidRPr="00FB583E">
        <w:rPr>
          <w:color w:val="333333"/>
          <w:szCs w:val="24"/>
          <w:shd w:val="clear" w:color="auto" w:fill="FFFFFF"/>
        </w:rPr>
        <w:t xml:space="preserve"> для распознавания синдрома мягкой деменции необходимо выявление следующих признаков: постоянное умеренное снижение памяти, частичная дезориентировка во времени; нарушение абстрактного мышления; нарушение повседневной деятельности и проч. </w:t>
      </w:r>
    </w:p>
    <w:p w14:paraId="563EBB28" w14:textId="77777777" w:rsidR="000A7D43" w:rsidRPr="00FB583E" w:rsidRDefault="000A7D43" w:rsidP="000A7D43">
      <w:pPr>
        <w:ind w:firstLine="708"/>
        <w:rPr>
          <w:b/>
          <w:szCs w:val="24"/>
        </w:rPr>
      </w:pPr>
      <w:r w:rsidRPr="00FB583E">
        <w:rPr>
          <w:b/>
          <w:szCs w:val="24"/>
        </w:rPr>
        <w:t>Для первичной диагностики оценивается:</w:t>
      </w:r>
    </w:p>
    <w:p w14:paraId="3F9ED768"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 xml:space="preserve">жалобы; </w:t>
      </w:r>
    </w:p>
    <w:p w14:paraId="4BBA7D82"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 xml:space="preserve">анамнез; </w:t>
      </w:r>
    </w:p>
    <w:p w14:paraId="4C6DBE11"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 xml:space="preserve">оценка функционального статуса по шкале Карновского; </w:t>
      </w:r>
    </w:p>
    <w:p w14:paraId="292163D9"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 xml:space="preserve">неврологический статус с оценкой общемозговой, очаговой и менингеальной симптоматики; </w:t>
      </w:r>
    </w:p>
    <w:p w14:paraId="0100553A"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оценка психологического статуса с использованием психометрических и нейропсихологических инструментов: Монреальская шкала оценки когнитивных функций MoCA, Госпитальная шкала тревоги и депрессии HADS, «запоминание 10 слов», «запоминание 2 пары по 3 слова» , проба «кулак-ребро-ладонь», проба на реципрокную координацию, праксис позы пальцев, пробы Хеда, графомоторная проба, вербальная беглость (фонетическая и семантическая), таблицы Шульте, решение математических задач, счет по Крепелину, методика «от 100 по 7», пересказ рассказа;</w:t>
      </w:r>
    </w:p>
    <w:p w14:paraId="04D239F0"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 xml:space="preserve">оценка психического состояния; </w:t>
      </w:r>
    </w:p>
    <w:p w14:paraId="10055195"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нейрофизиологические исследования - ЭЭГ, КВП;</w:t>
      </w:r>
    </w:p>
    <w:p w14:paraId="3717723E"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нейровизуализационные исследования -  МРТ / КТ головного мозга.</w:t>
      </w:r>
    </w:p>
    <w:p w14:paraId="19867612" w14:textId="77777777" w:rsidR="000A7D43" w:rsidRPr="00FB583E" w:rsidRDefault="000A7D43" w:rsidP="000A7D43">
      <w:pPr>
        <w:ind w:left="12" w:firstLine="708"/>
        <w:rPr>
          <w:b/>
          <w:szCs w:val="24"/>
        </w:rPr>
      </w:pPr>
      <w:r w:rsidRPr="00FB583E">
        <w:rPr>
          <w:b/>
          <w:szCs w:val="24"/>
        </w:rPr>
        <w:t>Лабораторная диагностика:</w:t>
      </w:r>
      <w:r>
        <w:rPr>
          <w:b/>
          <w:szCs w:val="24"/>
        </w:rPr>
        <w:t xml:space="preserve"> </w:t>
      </w:r>
      <w:r w:rsidRPr="00FB583E">
        <w:rPr>
          <w:szCs w:val="24"/>
        </w:rPr>
        <w:t xml:space="preserve">по назначению гематолога. </w:t>
      </w:r>
      <w:r w:rsidRPr="00FB583E">
        <w:rPr>
          <w:b/>
          <w:szCs w:val="24"/>
        </w:rPr>
        <w:t xml:space="preserve"> </w:t>
      </w:r>
    </w:p>
    <w:p w14:paraId="566C4969" w14:textId="77777777" w:rsidR="000A7D43" w:rsidRPr="00FB583E" w:rsidRDefault="000A7D43" w:rsidP="000A7D43">
      <w:pPr>
        <w:ind w:firstLine="708"/>
        <w:rPr>
          <w:b/>
          <w:szCs w:val="24"/>
        </w:rPr>
      </w:pPr>
      <w:r w:rsidRPr="00FB583E">
        <w:rPr>
          <w:b/>
          <w:szCs w:val="24"/>
        </w:rPr>
        <w:t>Инструментальная диагностика:</w:t>
      </w:r>
    </w:p>
    <w:p w14:paraId="134915D1"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 xml:space="preserve">КТ с внутривенным контрастированием или МРТ головного мозга </w:t>
      </w:r>
    </w:p>
    <w:p w14:paraId="75D6B024"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ЭЭГ с функциональными пробами для определения функционального состояния головного мозга и исключения эпиактивности</w:t>
      </w:r>
    </w:p>
    <w:p w14:paraId="48303E47"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КВП</w:t>
      </w:r>
    </w:p>
    <w:p w14:paraId="7DD20487"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 xml:space="preserve">ВП различной модальности (по показаниям): ЗВП, КАСВП, ССВП </w:t>
      </w:r>
    </w:p>
    <w:p w14:paraId="7D04ADF8"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ТКМС (по показаниям)</w:t>
      </w:r>
    </w:p>
    <w:p w14:paraId="3792F7E8"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УЗДГ брахиоцефальных артерий и вен (по показаниям)</w:t>
      </w:r>
    </w:p>
    <w:p w14:paraId="1C3D6004"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Консультация специалистов:</w:t>
      </w:r>
    </w:p>
    <w:p w14:paraId="79994008"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Невролог – для оценки неврологического статуса</w:t>
      </w:r>
    </w:p>
    <w:p w14:paraId="073A7729"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lastRenderedPageBreak/>
        <w:t>Офтальмолог – для оценки состояния глазного дна</w:t>
      </w:r>
    </w:p>
    <w:p w14:paraId="68FA03EF"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Психиатр</w:t>
      </w:r>
    </w:p>
    <w:p w14:paraId="5A75CFD3"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Психолог</w:t>
      </w:r>
    </w:p>
    <w:p w14:paraId="74B2AFFC"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радиолог (по показаниям)</w:t>
      </w:r>
    </w:p>
    <w:p w14:paraId="06164AB1" w14:textId="77777777" w:rsidR="000A7D43" w:rsidRPr="00FB583E" w:rsidRDefault="000A7D43" w:rsidP="000A7D43">
      <w:pPr>
        <w:ind w:firstLine="708"/>
        <w:rPr>
          <w:b/>
          <w:szCs w:val="24"/>
        </w:rPr>
      </w:pPr>
      <w:r w:rsidRPr="00FB583E">
        <w:rPr>
          <w:b/>
          <w:szCs w:val="24"/>
        </w:rPr>
        <w:t xml:space="preserve">Лекарственная терапия: </w:t>
      </w:r>
      <w:r w:rsidRPr="00FB583E">
        <w:rPr>
          <w:bCs/>
          <w:color w:val="000000"/>
          <w:szCs w:val="24"/>
          <w:lang w:eastAsia="ar-SA"/>
        </w:rPr>
        <w:t xml:space="preserve">нейропротективные препараты </w:t>
      </w:r>
      <w:r w:rsidRPr="00FB583E">
        <w:rPr>
          <w:szCs w:val="24"/>
        </w:rPr>
        <w:t>назначаются пациентам, у которых выявляются когнитивные нарушения при отсутствии явных психопатологических расстройств (кроме астенических нарушений):</w:t>
      </w:r>
    </w:p>
    <w:p w14:paraId="203C0A65"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Цитиколин в/в -  4 недели.</w:t>
      </w:r>
    </w:p>
    <w:p w14:paraId="3A6790F8" w14:textId="77777777" w:rsidR="000A7D43" w:rsidRPr="00FB583E" w:rsidRDefault="000A7D43" w:rsidP="000A7D43">
      <w:pPr>
        <w:pStyle w:val="afff3"/>
        <w:widowControl/>
        <w:numPr>
          <w:ilvl w:val="0"/>
          <w:numId w:val="232"/>
        </w:numPr>
        <w:autoSpaceDE/>
        <w:autoSpaceDN/>
        <w:adjustRightInd/>
        <w:rPr>
          <w:szCs w:val="24"/>
        </w:rPr>
      </w:pPr>
      <w:r w:rsidRPr="00FB583E">
        <w:rPr>
          <w:szCs w:val="24"/>
        </w:rPr>
        <w:t>Холина альфоцерат в/в - 4 недели.</w:t>
      </w:r>
    </w:p>
    <w:p w14:paraId="3231507D" w14:textId="77777777" w:rsidR="000A7D43" w:rsidRDefault="000A7D43" w:rsidP="000A7D43">
      <w:pPr>
        <w:pStyle w:val="afff3"/>
        <w:widowControl/>
        <w:numPr>
          <w:ilvl w:val="0"/>
          <w:numId w:val="232"/>
        </w:numPr>
        <w:autoSpaceDE/>
        <w:autoSpaceDN/>
        <w:adjustRightInd/>
        <w:rPr>
          <w:szCs w:val="24"/>
        </w:rPr>
      </w:pPr>
      <w:r w:rsidRPr="00FB583E">
        <w:rPr>
          <w:szCs w:val="24"/>
        </w:rPr>
        <w:t>Ипидакрин (не применятся у больных с эпилепсией) в таблетках - 4 недели (дозы препаратов в соответствии с рекомендуемым для пациентов общесоматической сети и не зависящие от тяжести соматического состояния)</w:t>
      </w:r>
    </w:p>
    <w:p w14:paraId="28E98F72" w14:textId="77777777" w:rsidR="000A7D43" w:rsidRDefault="000A7D43" w:rsidP="000A7D43">
      <w:pPr>
        <w:pStyle w:val="afff3"/>
        <w:widowControl/>
        <w:numPr>
          <w:ilvl w:val="0"/>
          <w:numId w:val="232"/>
        </w:numPr>
        <w:autoSpaceDE/>
        <w:autoSpaceDN/>
        <w:adjustRightInd/>
        <w:rPr>
          <w:szCs w:val="24"/>
        </w:rPr>
      </w:pPr>
      <w:r w:rsidRPr="00FB583E">
        <w:rPr>
          <w:szCs w:val="24"/>
        </w:rPr>
        <w:t>При психических нарушениях по рекомендации психиатра назначаются транквилизаторы, антидепрессанты, нейролептики (см. рекомендации психиатра)</w:t>
      </w:r>
    </w:p>
    <w:p w14:paraId="2330DF8F" w14:textId="77777777" w:rsidR="000A7D43" w:rsidRPr="00FB583E" w:rsidRDefault="000A7D43" w:rsidP="000A7D43">
      <w:pPr>
        <w:pStyle w:val="afff3"/>
        <w:widowControl/>
        <w:numPr>
          <w:ilvl w:val="0"/>
          <w:numId w:val="232"/>
        </w:numPr>
        <w:autoSpaceDE/>
        <w:autoSpaceDN/>
        <w:adjustRightInd/>
        <w:rPr>
          <w:szCs w:val="24"/>
        </w:rPr>
      </w:pPr>
      <w:r w:rsidRPr="00FB583E">
        <w:rPr>
          <w:bCs/>
          <w:color w:val="000000"/>
          <w:szCs w:val="24"/>
          <w:lang w:eastAsia="ar-SA"/>
        </w:rPr>
        <w:t>Когнитивно-поведенческая психотерапия с элементами психообразования по рекомендации психолога</w:t>
      </w:r>
    </w:p>
    <w:p w14:paraId="2863CF65" w14:textId="3C642255" w:rsidR="004D5794" w:rsidRPr="003C1AEB" w:rsidRDefault="003235E9" w:rsidP="004905C2">
      <w:pPr>
        <w:pStyle w:val="2"/>
      </w:pPr>
      <w:bookmarkStart w:id="182" w:name="_Toc64565657"/>
      <w:r w:rsidRPr="00FC258D">
        <w:t>7.</w:t>
      </w:r>
      <w:r w:rsidR="00143441">
        <w:t>7</w:t>
      </w:r>
      <w:r>
        <w:t xml:space="preserve">. </w:t>
      </w:r>
      <w:bookmarkStart w:id="183" w:name="_Toc64295967"/>
      <w:bookmarkStart w:id="184" w:name="_Toc64479399"/>
      <w:r w:rsidR="004D5794" w:rsidRPr="003C1AEB">
        <w:rPr>
          <w:u w:color="000000"/>
        </w:rPr>
        <w:t>Профилактика язвенной болезни желудка и 12-перстной кишки на фоне терапии глюкокортикостероидами</w:t>
      </w:r>
      <w:bookmarkEnd w:id="182"/>
      <w:bookmarkEnd w:id="183"/>
      <w:bookmarkEnd w:id="184"/>
      <w:r w:rsidR="004905C2">
        <w:rPr>
          <w:u w:color="000000"/>
        </w:rPr>
        <w:t xml:space="preserve"> при лейкозе</w:t>
      </w:r>
    </w:p>
    <w:p w14:paraId="1818178E" w14:textId="77777777" w:rsidR="004D5794" w:rsidRDefault="004D5794" w:rsidP="004D5794">
      <w:pPr>
        <w:pStyle w:val="Normal1"/>
        <w:tabs>
          <w:tab w:val="left" w:pos="0"/>
        </w:tabs>
        <w:spacing w:line="360" w:lineRule="auto"/>
        <w:ind w:firstLine="567"/>
        <w:jc w:val="both"/>
        <w:rPr>
          <w:rFonts w:cs="Times New Roman"/>
        </w:rPr>
      </w:pPr>
    </w:p>
    <w:p w14:paraId="6F4C6F76" w14:textId="62C6FF67" w:rsidR="004D5794" w:rsidRDefault="004D5794" w:rsidP="004D5794">
      <w:pPr>
        <w:ind w:firstLine="709"/>
      </w:pPr>
      <w:r w:rsidRPr="00C96416">
        <w:t xml:space="preserve">В абсолютное большинство протоколов противоопухолевого лечения </w:t>
      </w:r>
      <w:r w:rsidR="004905C2">
        <w:t xml:space="preserve">ОЛЛ </w:t>
      </w:r>
      <w:r w:rsidRPr="00C96416">
        <w:t xml:space="preserve"> включены высокие дозы глюкокортикостероидов (ГКС). Язва желудка или двенадцатиперстной кишки является одним из серьёзных побочных эффектов терапии ГКС. Механизм ульцерогенного действия ГКС заключается в повышении секреции соляной кислоты в желудке, изменении качественного состава слизи, торможении регенерации поверхностного эпителия. При сочетанном применении </w:t>
      </w:r>
      <w:r>
        <w:t xml:space="preserve">ГКС с </w:t>
      </w:r>
      <w:r w:rsidRPr="00C96416">
        <w:t>нестероидны</w:t>
      </w:r>
      <w:r>
        <w:t>ми</w:t>
      </w:r>
      <w:r w:rsidRPr="00C96416">
        <w:t xml:space="preserve"> противовоспалительны</w:t>
      </w:r>
      <w:r>
        <w:t>ми</w:t>
      </w:r>
      <w:r w:rsidRPr="00C96416">
        <w:t xml:space="preserve"> средств</w:t>
      </w:r>
      <w:r>
        <w:t xml:space="preserve">ами и антикоагулянтами </w:t>
      </w:r>
      <w:r w:rsidRPr="00C96416">
        <w:t>риск развития стероидных язв возрастает.</w:t>
      </w:r>
      <w:r>
        <w:t xml:space="preserve"> В связи с ульцерогенностью, при использовании ГКС необходимо проводить антисекреторную терапию с целью профилактики стероидных язв </w:t>
      </w:r>
      <w:r>
        <w:fldChar w:fldCharType="begin" w:fldLock="1"/>
      </w:r>
      <w:r w:rsidR="00A67ED2">
        <w:instrText>ADDIN CSL_CITATION {"citationItems":[{"id":"ITEM-1","itemData":{"DOI":"10.1136/bmjopen-2013-004587","ISSN":"20446055","PMID":"24833682","abstract":"Objective: To assess whether corticosteroids are associated with increased risk of gastrointestinal bleeding or perforation. Design: Systematic review and meta-analysis of randomised, double-blind, controlled trials comparing a corticosteroid to placebo for any medical condition or in healthy participants. Studies with steroids given either locally, as a single dose, or in crossover studies were excluded. Data sources: Literature search using MEDLINE, EMBASE and Cochrane Database of Systematic Reviews between 1983 and 22 May 2013. Outcome measure: Outcome measures were the occurrence of gastrointestinal bleeding or perforation. Predefined subgroup analyses were carried out for disease severity, use of non-steroidal anti-inflammatory drugs (NSAIDs) or gastroprotective drugs, and history of peptic ulcer. Results: 159 studies (N=33 253) were included. In total, 804 (2.4%) patients had a gastrointestinal bleeding or perforation (2.9% and 2.0% for corticosteroids and placebo). Corticosteroids increased the risk of gastrointestinal bleeding or perforation by 40% (OR 1.43, 95% CI 1.22 to 1.66). The risk was increased for hospitalised patients (OR 1.42, 95% CI 1.22 to 1.66). For patients in ambulatory care, the increased risk was not statistically significant (OR 1.63, 95% CI 0.42 to 6.34). Only 11 gastrointestinal bleeds or perforations occurred among 8651 patients in ambulatory care (0.13%). Increased risk was still present in subgroup analyses (studies with NSAID use excluded; OR 1.44, 95% CI 1.20 to 1.71, peptic ulcer as an exclusion criterion excluded; OR 1.47, 95% CI 1.21 to 1.78, and use of gastroprotective drugs excluded; OR 1.42, 95% CI 1.21 to 1.67). Conclusions: Corticosteroid use was associated with increased risk of gastrointestinal bleeding and perforation. The increased risk was statistically significant for hospitalised patients only. For patients in ambulatory care, the total occurrence of bleeding or perforation was very low, and the increased risk was not statistically significant.","author":[{"dropping-particle":"","family":"Narum","given":"Sigrid","non-dropping-particle":"","parse-names":false,"suffix":""},{"dropping-particle":"","family":"Westergren","given":"Tone","non-dropping-particle":"","parse-names":false,"suffix":""},{"dropping-particle":"","family":"Klemp","given":"Marianne","non-dropping-particle":"","parse-names":false,"suffix":""}],"container-title":"BMJ Open","id":"ITEM-1","issue":"5","issued":{"date-parts":[["2014"]]},"publisher":"BMJ Publishing Group","title":"Corticosteroids and risk of gastrointestinal bleeding: A systematic review and meta-analysis","type":"article-journal","volume":"4"},"uris":["http://www.mendeley.com/documents/?uuid=e701298a-dc65-3059-b1f1-21f394625ffe"]},{"id":"ITEM-2","itemData":{"DOI":"10.1111/j.1365-2796.1994.tb00855.x","ISSN":"0954-6820","PMID":"7989897","abstract":"OBJECTIVES This meta-analysis was performed to determine whether corticosteroid therapy induces the development of peptic ulcer and other putative complications of steroid therapy. DESIGN A retrospective investigation in which we analysed all the randomized, double-blind, controlled trials (RDBCT) in which steroids had been administered that we were able to identify. The number of episodes of peptic ulcer, dermatological effects, sepsis, diabetes, hypertension, osteoporosis, psychosis and tuberculosis reported in both the placebo and steroid groups were compared. SETTING The international medical literature was analysed for any RDBCT in which any steroid or ACTH had been administered in any dosage for any duration, and any putative complication of steroid therapy was reported. SUBJECTS Of 1857 articles, 93 satisfied our requirements and were analysed by the meta-analytic techniques of Peto, DerSimonian and Laird. A total of 6602 patients were included. MAIN OUTCOME MEASURES The relative frequencies of each of these eight 'complications' were compared in the placebo and steroid groups using conventional statistics and meta-analysis. The relative frequencies of 'annualized' subgroups of patients who received treatment for 1 to 7 days, 1 week to 1 month, 1 to 3 months and more than 3 months, were similarly analysed. RESULTS Nine of 3267 patients in the placebo group (0.3%) and 13 of 3335 patients in the steroid group (0.4%) were reported to develop peptic ulcer (P &gt; 0.05). The dermatological cosmetic effects of steroid therapy were observed more frequently in the steroid group (P &lt; 0.001), as was diabetes (P &lt; 0.001), hypertension (P &lt; 0.01) and psychosis (P &lt; 0.001). Sepsis, osteoporosis and tuberculosis all occurred more frequently in the steroid than in the placebo group, but the differences are not statistically significant. CONCLUSIONS Peptic ulcer is a rare complication of corticosteroid therapy that should not be considered a contraindication when steroid therapy is indicated.","author":[{"dropping-particle":"","family":"Conn","given":"H O","non-dropping-particle":"","parse-names":false,"suffix":""},{"dropping-particle":"","family":"Poynard","given":"T","non-dropping-particle":"","parse-names":false,"suffix":""}],"container-title":"Journal of internal medicine","id":"ITEM-2","issue":"6","issued":{"date-parts":[["1994","12"]]},"page":"619-32","publisher":"J Intern Med","title":"Corticosteroids and peptic ulcer: meta-analysis of adverse events during steroid therapy.","type":"article-journal","volume":"236"},"uris":["http://www.mendeley.com/documents/?uuid=84af1729-7cf0-45a4-828e-6c0ee9132476"]}],"mendeley":{"formattedCitation":"[115,116]","plainTextFormattedCitation":"[115,116]","previouslyFormattedCitation":"[1,2]"},"properties":{"noteIndex":0},"schema":"https://github.com/citation-style-language/schema/raw/master/csl-citation.json"}</w:instrText>
      </w:r>
      <w:r>
        <w:fldChar w:fldCharType="separate"/>
      </w:r>
      <w:r w:rsidR="00A67ED2" w:rsidRPr="00A67ED2">
        <w:rPr>
          <w:noProof/>
        </w:rPr>
        <w:t>[115,116]</w:t>
      </w:r>
      <w:r>
        <w:fldChar w:fldCharType="end"/>
      </w:r>
      <w:r>
        <w:t>.</w:t>
      </w:r>
    </w:p>
    <w:p w14:paraId="625CE9A4" w14:textId="77777777" w:rsidR="004D5794" w:rsidRDefault="004D5794" w:rsidP="004D5794"/>
    <w:p w14:paraId="217C2873" w14:textId="77777777" w:rsidR="004D5794" w:rsidRPr="00A56C81" w:rsidRDefault="004D5794" w:rsidP="004D5794">
      <w:pPr>
        <w:pStyle w:val="Normal1"/>
        <w:tabs>
          <w:tab w:val="left" w:pos="0"/>
        </w:tabs>
        <w:spacing w:line="360" w:lineRule="auto"/>
        <w:jc w:val="both"/>
        <w:rPr>
          <w:rFonts w:cs="Times New Roman"/>
          <w:bCs/>
          <w:i/>
          <w:iCs/>
          <w:u w:val="single"/>
          <w:shd w:val="clear" w:color="auto" w:fill="FFFFFF"/>
        </w:rPr>
      </w:pPr>
      <w:r w:rsidRPr="00A56C81">
        <w:rPr>
          <w:rFonts w:cs="Times New Roman"/>
          <w:bCs/>
          <w:i/>
          <w:iCs/>
          <w:u w:val="single"/>
          <w:shd w:val="clear" w:color="auto" w:fill="FFFFFF"/>
        </w:rPr>
        <w:t>Диагностика язвенной болезни желудка и 12-перстной кишки при применении ГСК</w:t>
      </w:r>
    </w:p>
    <w:p w14:paraId="33287E86" w14:textId="77777777" w:rsidR="004D5794" w:rsidRDefault="004D5794" w:rsidP="004D5794">
      <w:pPr>
        <w:ind w:firstLine="709"/>
      </w:pPr>
      <w:r w:rsidRPr="00C96416">
        <w:t xml:space="preserve">Формирование язв </w:t>
      </w:r>
      <w:r>
        <w:t xml:space="preserve">ЖКТ </w:t>
      </w:r>
      <w:r w:rsidRPr="00C96416">
        <w:t xml:space="preserve">может проявляться диспепсическими явлениями и </w:t>
      </w:r>
      <w:r>
        <w:t xml:space="preserve">абдоминальными </w:t>
      </w:r>
      <w:r w:rsidRPr="00C96416">
        <w:t>болями, но нередко протекает и бессимптомно, манифестируя кровотечением или пер</w:t>
      </w:r>
      <w:r>
        <w:t xml:space="preserve">форацией. </w:t>
      </w:r>
    </w:p>
    <w:p w14:paraId="338A9DBE" w14:textId="77777777" w:rsidR="004D5794" w:rsidRPr="003A77F4" w:rsidRDefault="004D5794" w:rsidP="004905C2">
      <w:pPr>
        <w:ind w:firstLine="709"/>
      </w:pPr>
      <w:r>
        <w:lastRenderedPageBreak/>
        <w:t>Для диагностики язвенного поражения ЖКТ применяется э</w:t>
      </w:r>
      <w:r w:rsidRPr="006252FA">
        <w:t>зофагодуоденоскопия</w:t>
      </w:r>
      <w:r>
        <w:t xml:space="preserve">, при необходимости </w:t>
      </w:r>
      <w:r w:rsidRPr="003A77F4">
        <w:t xml:space="preserve">с биопсийным исследованием и тестом на наличие </w:t>
      </w:r>
      <w:r w:rsidRPr="003A77F4">
        <w:rPr>
          <w:lang w:val="en-US"/>
        </w:rPr>
        <w:t>H</w:t>
      </w:r>
      <w:r w:rsidRPr="003A77F4">
        <w:t xml:space="preserve">. </w:t>
      </w:r>
      <w:r w:rsidRPr="003A77F4">
        <w:rPr>
          <w:lang w:val="en-US"/>
        </w:rPr>
        <w:t>Pylori</w:t>
      </w:r>
      <w:r w:rsidRPr="003A77F4">
        <w:t>.</w:t>
      </w:r>
    </w:p>
    <w:p w14:paraId="67D24B4D" w14:textId="77777777" w:rsidR="004D5794" w:rsidRDefault="004D5794" w:rsidP="004D5794">
      <w:pPr>
        <w:pStyle w:val="Normal1"/>
        <w:tabs>
          <w:tab w:val="left" w:pos="0"/>
        </w:tabs>
        <w:spacing w:line="360" w:lineRule="auto"/>
        <w:ind w:firstLine="699"/>
        <w:jc w:val="both"/>
        <w:rPr>
          <w:rFonts w:cs="Times New Roman"/>
          <w:bCs/>
          <w:i/>
          <w:iCs/>
          <w:u w:val="single"/>
          <w:shd w:val="clear" w:color="auto" w:fill="FFFFFF"/>
        </w:rPr>
      </w:pPr>
    </w:p>
    <w:p w14:paraId="099FBB8B" w14:textId="77777777" w:rsidR="004D5794" w:rsidRPr="00A56C81" w:rsidRDefault="004D5794" w:rsidP="004D5794">
      <w:pPr>
        <w:pStyle w:val="Normal1"/>
        <w:tabs>
          <w:tab w:val="left" w:pos="0"/>
        </w:tabs>
        <w:spacing w:line="360" w:lineRule="auto"/>
        <w:ind w:firstLine="0"/>
        <w:jc w:val="both"/>
        <w:rPr>
          <w:rFonts w:cs="Times New Roman"/>
          <w:bCs/>
          <w:i/>
          <w:iCs/>
          <w:u w:val="single"/>
          <w:shd w:val="clear" w:color="auto" w:fill="FFFFFF"/>
        </w:rPr>
      </w:pPr>
      <w:r w:rsidRPr="00A56C81">
        <w:rPr>
          <w:rFonts w:cs="Times New Roman"/>
          <w:bCs/>
          <w:i/>
          <w:iCs/>
          <w:u w:val="single"/>
          <w:shd w:val="clear" w:color="auto" w:fill="FFFFFF"/>
        </w:rPr>
        <w:t>Профилактика язвенной болезни желудка и 12-перстной кишки при применении ГКС.</w:t>
      </w:r>
    </w:p>
    <w:p w14:paraId="4FEA6C8E" w14:textId="7D90D8BC" w:rsidR="004D5794" w:rsidRDefault="004D5794" w:rsidP="004D5794">
      <w:pPr>
        <w:ind w:firstLine="709"/>
      </w:pPr>
      <w:r w:rsidRPr="00A56C81">
        <w:t xml:space="preserve">По результатам </w:t>
      </w:r>
      <w:r w:rsidRPr="00C96416">
        <w:t>мета</w:t>
      </w:r>
      <w:r>
        <w:t>-</w:t>
      </w:r>
      <w:r w:rsidRPr="00C96416">
        <w:t>анализа 300 работ</w:t>
      </w:r>
      <w:r>
        <w:fldChar w:fldCharType="begin" w:fldLock="1"/>
      </w:r>
      <w:r w:rsidR="00A67ED2">
        <w:instrText>ADDIN CSL_CITATION {"citationItems":[{"id":"ITEM-1","itemData":{"DOI":"10.1016/0016-5085(90)91015-X","ISSN":"00165085","PMID":"2142113","abstract":"The optimal degree and duration of suppression of gastric acidity required for the healing of peptic ulcers has never been established. Although very potent inhibitors of acid secretion are now available, the need for this degree of suppression has not been shown, and there is a possibility of adverse effects because of pronounced acid inhibition. Therefore, a model has been constructed that defines the relationship between duodenal ulcer healing and antisecretory therapy. Acid suppression data were obtained directly from investigators as raw data from 24-hour studies of acid secretion. Twenty-one experiments from seven investigators provided 490 24-hour studies using 19 different treatment regimens. Healing data were collected from a metaanalysis of published clinical trials of duodenal ulcer healing. A total of 144 published trials in 14,208 patients provided healing data at several endoscopic endpoints for the 19 drug regimens for which acidity data were provided. Weighted least-squares polynomial regression analysis was used to define those parameters of antisecretory therapy that contributed most to duodenal ulcer healing and to define the shape of the response surface. A highly significant correlation (r = 0.9814) was found between healing and the degree of acid suppression, the duration of acid suppression, and the length of therapy. The shape of the contour expressing this relationship shows that healing increases as the duration of suppression increases and as gastric pH increases. However, suppression that increased pH beyond 3.0 was not found to increase ulcer healing further. It is concluded that a longer duration of antisecretory effect and/or a longer duration of therapy are of greater importance than potency for duodenal ulcer healing. © 1990.","author":[{"dropping-particle":"","family":"Burget","given":"Douglas W.","non-dropping-particle":"","parse-names":false,"suffix":""},{"dropping-particle":"","family":"Chiverton","given":"Stephen G.","non-dropping-particle":"","parse-names":false,"suffix":""},{"dropping-particle":"","family":"Hunt","given":"Richard H.","non-dropping-particle":"","parse-names":false,"suffix":""}],"container-title":"Gastroenterology","id":"ITEM-1","issue":"2","issued":{"date-parts":[["1990","8"]]},"page":"345-351","publisher":"Gastroenterology","title":"Is there an optimal degree of acid suppression for healing of duodenal ulcers? A model of the relationship between ulcer healing and acid suppression","type":"article-journal","volume":"99"},"uris":["http://www.mendeley.com/documents/?uuid=55c5fe56-6faa-4e55-bfe2-e8e5c51854a2"]}],"mendeley":{"formattedCitation":"[117]","plainTextFormattedCitation":"[117]","previouslyFormattedCitation":"[3]"},"properties":{"noteIndex":0},"schema":"https://github.com/citation-style-language/schema/raw/master/csl-citation.json"}</w:instrText>
      </w:r>
      <w:r>
        <w:fldChar w:fldCharType="separate"/>
      </w:r>
      <w:r w:rsidR="00A67ED2" w:rsidRPr="00A67ED2">
        <w:rPr>
          <w:noProof/>
        </w:rPr>
        <w:t>[117]</w:t>
      </w:r>
      <w:r>
        <w:fldChar w:fldCharType="end"/>
      </w:r>
      <w:r>
        <w:t xml:space="preserve">, </w:t>
      </w:r>
      <w:r w:rsidRPr="00C96416">
        <w:t>язвы желудка и двенадцатиперстной кишки рубцуются практически во всех случаях, если рН внутрижелудочного содержимого поддерживается более 3</w:t>
      </w:r>
      <w:r>
        <w:t xml:space="preserve"> </w:t>
      </w:r>
      <w:r w:rsidRPr="00C96416">
        <w:t xml:space="preserve">в течение суток </w:t>
      </w:r>
      <w:r>
        <w:t>на протяжении</w:t>
      </w:r>
      <w:r w:rsidRPr="00C96416">
        <w:t xml:space="preserve"> 18 часо</w:t>
      </w:r>
      <w:r>
        <w:t>в</w:t>
      </w:r>
      <w:r w:rsidRPr="00C96416">
        <w:t xml:space="preserve">. С учетом указанного правила в качестве противоязвенной терапии в настоящее время могут рассматриваться антациды, блокаторы Н2-гистаминовых рецепторов и ингибиторы протонной помпы </w:t>
      </w:r>
      <w:r>
        <w:t>(</w:t>
      </w:r>
      <w:r w:rsidRPr="00C96416">
        <w:t>ИПП</w:t>
      </w:r>
      <w:r>
        <w:t>)</w:t>
      </w:r>
      <w:r w:rsidRPr="00C96416">
        <w:t>. Согласно одному из последних мета</w:t>
      </w:r>
      <w:r>
        <w:t>-</w:t>
      </w:r>
      <w:r w:rsidRPr="00C96416">
        <w:t xml:space="preserve">анализов, при использовании </w:t>
      </w:r>
      <w:r>
        <w:t xml:space="preserve">ИПП </w:t>
      </w:r>
      <w:r w:rsidRPr="00C96416">
        <w:t>и</w:t>
      </w:r>
      <w:r>
        <w:t>ли</w:t>
      </w:r>
      <w:r w:rsidRPr="00C96416">
        <w:t xml:space="preserve"> блокатор</w:t>
      </w:r>
      <w:r>
        <w:t>ов</w:t>
      </w:r>
      <w:r w:rsidRPr="00C96416">
        <w:t xml:space="preserve"> Н2-гистаминовых рецепторов достоверно эффективнее достигается рубцевание язвенного дефекта, а также снижается риск повторного крово</w:t>
      </w:r>
      <w:r>
        <w:t>течения</w:t>
      </w:r>
      <w:r w:rsidRPr="00C96416">
        <w:t xml:space="preserve">. Лишь препараты этих двух групп позволяют достигать и поддерживать необходимую рН-среду желудка, при которой происходит заживление гастродуоденальных язв. </w:t>
      </w:r>
    </w:p>
    <w:p w14:paraId="6F53721A" w14:textId="1A208F81" w:rsidR="004D5794" w:rsidRPr="00C96416" w:rsidRDefault="004D5794" w:rsidP="004D5794">
      <w:pPr>
        <w:ind w:firstLine="709"/>
      </w:pPr>
      <w:r w:rsidRPr="00A56C81">
        <w:t>В настоящее время с антисекреторной целью для п</w:t>
      </w:r>
      <w:r w:rsidRPr="00294C11">
        <w:t>рофилактик</w:t>
      </w:r>
      <w:r>
        <w:t xml:space="preserve">и </w:t>
      </w:r>
      <w:r w:rsidRPr="00294C11">
        <w:t>язвенной болезни желудка и двенадцатиперстной кишки, в том числе на фоне терапии глюкокортикостероидами</w:t>
      </w:r>
      <w:r>
        <w:t xml:space="preserve">, </w:t>
      </w:r>
      <w:r w:rsidRPr="00A56C81">
        <w:t>применяются два класса п</w:t>
      </w:r>
      <w:r w:rsidRPr="00C96416">
        <w:t>репаратов: ингибиторы протонной помпы и блокаторы Н2-гистаминовых рецепторов</w:t>
      </w:r>
      <w:r>
        <w:t xml:space="preserve"> </w:t>
      </w:r>
      <w:r>
        <w:fldChar w:fldCharType="begin" w:fldLock="1"/>
      </w:r>
      <w:r w:rsidR="00A67ED2">
        <w:instrText>ADDIN CSL_CITATION {"citationItems":[{"id":"ITEM-1","itemData":{"author":[{"dropping-particle":"","family":"Ивашкин","given":"В.Т.","non-dropping-particle":"","parse-names":false,"suffix":""},{"dropping-particle":"","family":"Маев","given":"И.В.","non-dropping-particle":"","parse-names":false,"suffix":""},{"dropping-particle":"","family":"Царьков","given":"П.В.","non-dropping-particle":"","parse-names":false,"suffix":""},{"dropping-particle":"","family":"Королев","given":"М.П.","non-dropping-particle":"","parse-names":false,"suffix":""},{"dropping-particle":"","family":"Андреев","given":"Д.Н.","non-dropping-particle":"","parse-names":false,"suffix":""},{"dropping-particle":"","family":"Баранская","given":"Е.К.","non-dropping-particle":"","parse-names":false,"suffix":""},{"dropping-particle":"","family":"Бурков","given":"С.Г.","non-dropping-particle":"","parse-names":false,"suffix":""},{"dropping-particle":"","family":"Деринов","given":"А.А.","non-dropping-particle":"","parse-names":false,"suffix":""},{"dropping-particle":"","family":"Ефетов","given":"С.К.","non-dropping-particle":"","parse-names":false,"suffix":""},{"dropping-particle":"","family":"Лапина","given":"Т.Л.","non-dropping-particle":"","parse-names":false,"suffix":""},{"dropping-particle":"","family":"Павлов","given":"П.В.","non-dropping-particle":"","parse-names":false,"suffix":""},{"dropping-particle":"","family":"Пирогов","given":"С.С.","non-dropping-particle":"","parse-names":false,"suffix":""},{"dropping-particle":"","family":"Ткачев","given":"А.В.","non-dropping-particle":"","parse-names":false,"suffix":""},{"dropping-particle":"","family":"Трухманов","given":"А.С.","non-dropping-particle":"","parse-names":false,"suffix":""},{"dropping-particle":"","family":"Федоров","given":"Е.Д.","non-dropping-particle":"","parse-names":false,"suffix":""},{"dropping-particle":"","family":"Шептулин","given":"А.А.","non-dropping-particle":"","parse-names":false,"suffix":""}],"container-title":"Российский журнал гастроэнтерологии, гепатологии, колопроктологии.","id":"ITEM-1","issue":"1","issued":{"date-parts":[["2020"]]},"page":"49-70","title":"Диагностика и лечение язвенной болезни у взрослых (Клинические рекомендации Российской гастроэнтерологической ассоциации, Российского общества колоректальных хирургов и Российского эндоскопического общества).","type":"article-journal","volume":"30"},"uris":["http://www.mendeley.com/documents/?uuid=858a1835-2f3b-419a-91b4-8a8e3ef10cc9"]},{"id":"ITEM-2","itemData":{"DOI":"10.1016/S2468-1253(18)30037-2","ISSN":"24681253","PMID":"29475806","abstract":"Background: Gastroprotectant drugs are used for the prevention and treatment of peptic ulcer disease and might reduce its associated complications, but reliable estimates of the effects of gastroprotectants in different clinical settings are scarce. We aimed to examine the effects of proton-pump inhibitors (PPIs), prostaglandin analogues, and histamine-2 receptor antagonists (H2RAs) in different clinical circumstances by doing meta-analyses of tabular data from all relevant unconfounded randomised trials of gastroprotectant drugs. Methods: We searched MEDLINE and Embase from Jan 1, 1950, to Dec 31, 2015, to identify unconfounded, randomised trials of a gastroprotectant drug (defined as a PPI, prostaglandin analogue, or H2RA) versus control, or versus another gastroprotectant. Two independent researchers reviewed the search results and extracted the prespecified outcomes and key characteristics for each trial. We did meta-analyses of the effects of gastroprotectant drugs on ulcer development, bleeding, and mortality overall, according to the class of gastroprotectant, and according to the individual drug within a gastroprotectant class. Findings: We identified comparisons of gastroprotectant versus control in 849 trials (142 485 participants): 580 prevention trials (110 626 participants), 233 healing trials (24 033 participants), and 36 trials for the treatment of acute upper gastrointestinal bleeding (7826 participants). Comparisons of one gastroprotectant drug versus another were available in 345 trials (64 905 participants), comprising 160 prevention trials (32 959 participants), 167 healing trials (28 306 participants), and 18 trials for treatment of acute upper gastrointestinal bleeding (3640 participants). The median number of patients in each trial was 78 (IQR 44·0–210·5) and the median duration was 1·4 months (0·9–2·8). In prevention trials, gastroprotectant drugs reduced development of endoscopic ulcers (odds ratio [OR] 0·27, 95% CI 0·25–0·29; p&lt;0·0001), symptomatic ulcers (0·25, 0·22–0·29; p&lt;0·0001), and upper gastrointestinal bleeding (0·40, 0·32–0·50; p&lt;0·0001), but did not significantly reduce mortality (0·85, 0·69–1·04; p=0·11). Larger proportional reductions in upper gastrointestinal bleeding were observed for PPIs than for other gastroprotectant drugs (PPIs 0·21, 99% CI 0·12–0·36; prostaglandin analogues 0·63, 0·35–1·12; H2RAs 0·49, 0·30–0·80; phet=0·0005). Gastroprotectant drugs were effective in preventing bleeding irrespective of the u…","author":[{"dropping-particle":"","family":"Scally","given":"Benjamin","non-dropping-particle":"","parse-names":false,"suffix":""},{"dropping-particle":"","family":"Emberson","given":"Jonathan R.","non-dropping-particle":"","parse-names":false,"suffix":""},{"dropping-particle":"","family":"Spata","given":"Enti","non-dropping-particle":"","parse-names":false,"suffix":""},{"dropping-particle":"","family":"Reith","given":"Christina","non-dropping-particle":"","parse-names":false,"suffix":""},{"dropping-particle":"","family":"Davies","given":"Kelly","non-dropping-particle":"","parse-names":false,"suffix":""},{"dropping-particle":"","family":"Halls","given":"Heather","non-dropping-particle":"","parse-names":false,"suffix":""},{"dropping-particle":"","family":"Holland","given":"Lisa","non-dropping-particle":"","parse-names":false,"suffix":""},{"dropping-particle":"","family":"Wilson","given":"Kate","non-dropping-particle":"","parse-names":false,"suffix":""},{"dropping-particle":"","family":"Bhala","given":"Neeraj","non-dropping-particle":"","parse-names":false,"suffix":""},{"dropping-particle":"","family":"Hawkey","given":"Christopher","non-dropping-particle":"","parse-names":false,"suffix":""},{"dropping-particle":"","family":"Hochberg","given":"Marc","non-dropping-particle":"","parse-names":false,"suffix":""},{"dropping-particle":"","family":"Hunt","given":"Richard","non-dropping-particle":"","parse-names":false,"suffix":""},{"dropping-particle":"","family":"Laine","given":"Loren","non-dropping-particle":"","parse-names":false,"suffix":""},{"dropping-particle":"","family":"Lanas","given":"Angel","non-dropping-particle":"","parse-names":false,"suffix":""},{"dropping-particle":"","family":"Patrono","given":"Carlo","non-dropping-particle":"","parse-names":false,"suffix":""},{"dropping-particle":"","family":"Baigent","given":"Colin","non-dropping-particle":"","parse-names":false,"suffix":""}],"container-title":"The Lancet Gastroenterology and Hepatology","id":"ITEM-2","issue":"4","issued":{"date-parts":[["2018","4","1"]]},"page":"231-241","publisher":"Elsevier Ltd","title":"Effects of gastroprotectant drugs for the prevention and treatment of peptic ulcer disease and its complications: a meta-analysis of randomised trials","type":"article-journal","volume":"3"},"uris":["http://www.mendeley.com/documents/?uuid=f1962b3a-e3e6-3474-95a8-4fc5245efa04"]}],"mendeley":{"formattedCitation":"[118,119]","plainTextFormattedCitation":"[118,119]","previouslyFormattedCitation":"[4,5]"},"properties":{"noteIndex":0},"schema":"https://github.com/citation-style-language/schema/raw/master/csl-citation.json"}</w:instrText>
      </w:r>
      <w:r>
        <w:fldChar w:fldCharType="separate"/>
      </w:r>
      <w:r w:rsidR="00A67ED2" w:rsidRPr="00A67ED2">
        <w:rPr>
          <w:noProof/>
        </w:rPr>
        <w:t>[118,119]</w:t>
      </w:r>
      <w:r>
        <w:fldChar w:fldCharType="end"/>
      </w:r>
      <w:r w:rsidRPr="00C96416">
        <w:t>.</w:t>
      </w:r>
    </w:p>
    <w:p w14:paraId="6F4D4C93" w14:textId="77777777" w:rsidR="004D5794" w:rsidRDefault="004D5794" w:rsidP="004D5794">
      <w:pPr>
        <w:pStyle w:val="Normal1"/>
        <w:tabs>
          <w:tab w:val="left" w:pos="0"/>
        </w:tabs>
        <w:spacing w:line="360" w:lineRule="auto"/>
        <w:ind w:firstLine="709"/>
        <w:jc w:val="both"/>
        <w:rPr>
          <w:rFonts w:cs="Times New Roman"/>
          <w:bCs/>
          <w:i/>
          <w:iCs/>
          <w:u w:val="single"/>
          <w:shd w:val="clear" w:color="auto" w:fill="FFFFFF"/>
        </w:rPr>
      </w:pPr>
    </w:p>
    <w:p w14:paraId="037F8A6F" w14:textId="77777777" w:rsidR="004D5794" w:rsidRPr="00A56C81" w:rsidRDefault="004D5794" w:rsidP="004D5794">
      <w:pPr>
        <w:pStyle w:val="Normal1"/>
        <w:tabs>
          <w:tab w:val="left" w:pos="0"/>
        </w:tabs>
        <w:spacing w:line="360" w:lineRule="auto"/>
        <w:jc w:val="both"/>
        <w:rPr>
          <w:rFonts w:cs="Times New Roman"/>
          <w:bCs/>
          <w:i/>
          <w:iCs/>
          <w:u w:val="single"/>
          <w:shd w:val="clear" w:color="auto" w:fill="FFFFFF"/>
        </w:rPr>
      </w:pPr>
      <w:r w:rsidRPr="00A56C81">
        <w:rPr>
          <w:rFonts w:cs="Times New Roman"/>
          <w:bCs/>
          <w:i/>
          <w:iCs/>
          <w:u w:val="single"/>
          <w:shd w:val="clear" w:color="auto" w:fill="FFFFFF"/>
        </w:rPr>
        <w:t>Ингибиторы протонной помпы (ИПП)</w:t>
      </w:r>
    </w:p>
    <w:p w14:paraId="4EEE6E82" w14:textId="0CCBBC3E" w:rsidR="004D5794" w:rsidRDefault="004D5794" w:rsidP="004D5794">
      <w:pPr>
        <w:ind w:firstLine="709"/>
      </w:pPr>
      <w:r w:rsidRPr="00C96416">
        <w:t xml:space="preserve">Ингибиторы протоновой помпы (ингибиторы протонового насоса, блокаторы протонного насоса, блокаторы Н+/К+-АТФазы, блокаторы водородной помпы) — антисекреторные лекарственные </w:t>
      </w:r>
      <w:r>
        <w:t xml:space="preserve">препараты, </w:t>
      </w:r>
      <w:r w:rsidRPr="00C96416">
        <w:t>блокир</w:t>
      </w:r>
      <w:r>
        <w:t>ующие Н+/К+-АТФазу</w:t>
      </w:r>
      <w:r w:rsidRPr="00C96416">
        <w:t xml:space="preserve"> обкладочных (париетальных) клеток слизистой оболочки желудка</w:t>
      </w:r>
      <w:r>
        <w:t xml:space="preserve"> и уменьшающие </w:t>
      </w:r>
      <w:r w:rsidRPr="00C96416">
        <w:t>секреци</w:t>
      </w:r>
      <w:r>
        <w:t>ю</w:t>
      </w:r>
      <w:r w:rsidRPr="00C96416">
        <w:t xml:space="preserve"> соляной кислоты</w:t>
      </w:r>
      <w:r>
        <w:t xml:space="preserve">, путем </w:t>
      </w:r>
      <w:r w:rsidRPr="00C96416">
        <w:t>проник</w:t>
      </w:r>
      <w:r>
        <w:t>новения</w:t>
      </w:r>
      <w:r w:rsidRPr="00C96416">
        <w:t xml:space="preserve"> в париетальные клетки слизистой оболочки желудка</w:t>
      </w:r>
      <w:r>
        <w:t xml:space="preserve">, </w:t>
      </w:r>
      <w:r w:rsidRPr="00C96416">
        <w:t>концентр</w:t>
      </w:r>
      <w:r>
        <w:t>ации</w:t>
      </w:r>
      <w:r w:rsidRPr="00C96416">
        <w:t xml:space="preserve"> в секреторных канальцах</w:t>
      </w:r>
      <w:r>
        <w:t>, и активации</w:t>
      </w:r>
      <w:r w:rsidRPr="00C96416">
        <w:t xml:space="preserve"> при кислом значении рН. </w:t>
      </w:r>
      <w:r>
        <w:t xml:space="preserve">При активации </w:t>
      </w:r>
      <w:r w:rsidRPr="00C96416">
        <w:t>ИПП образуют прочные ковалентные связи с меркаптогруппами цистеиновых остатков Н+/К+-АТФазы, блокиру</w:t>
      </w:r>
      <w:r>
        <w:t>я</w:t>
      </w:r>
      <w:r w:rsidRPr="00C96416">
        <w:t xml:space="preserve"> действие протонной помпы</w:t>
      </w:r>
      <w:r>
        <w:t xml:space="preserve"> так</w:t>
      </w:r>
      <w:r w:rsidRPr="00C96416">
        <w:t xml:space="preserve">, </w:t>
      </w:r>
      <w:r>
        <w:t xml:space="preserve">что </w:t>
      </w:r>
      <w:r w:rsidRPr="00C96416">
        <w:t xml:space="preserve">она </w:t>
      </w:r>
      <w:r>
        <w:t>необратимо исключается</w:t>
      </w:r>
      <w:r w:rsidRPr="00C96416">
        <w:t xml:space="preserve"> из процесса секреции соляной кислоты. Влияние ИПП на последнюю стадию процесса образования соляной кислоты в желудке является дозозависимым и обеспечивает высокоэффективное ингибирование базальной и стимулированной секреции</w:t>
      </w:r>
      <w:r>
        <w:t xml:space="preserve"> соляной кислоты независимо от</w:t>
      </w:r>
      <w:r w:rsidRPr="00C96416">
        <w:t xml:space="preserve"> фактора</w:t>
      </w:r>
      <w:r>
        <w:t xml:space="preserve"> его вызывающего</w:t>
      </w:r>
      <w:r w:rsidRPr="00C96416">
        <w:t>.</w:t>
      </w:r>
      <w:r>
        <w:t xml:space="preserve"> В группу препаратов ИПП входят о</w:t>
      </w:r>
      <w:r w:rsidRPr="00C96416">
        <w:t>мепразол</w:t>
      </w:r>
      <w:r>
        <w:t>, лансопразол, п</w:t>
      </w:r>
      <w:r w:rsidRPr="00C96416">
        <w:t>антопразол</w:t>
      </w:r>
      <w:r>
        <w:t xml:space="preserve">, рабепразол, </w:t>
      </w:r>
      <w:r w:rsidRPr="00C96416">
        <w:t>зомепразол</w:t>
      </w:r>
      <w:r>
        <w:t xml:space="preserve">, применяемые во время проведения курсов специфической противоопухолевой терапии, включающей системные </w:t>
      </w:r>
      <w:r>
        <w:lastRenderedPageBreak/>
        <w:t xml:space="preserve">ГКС, в указанных в таблице А3.3.1 дозах </w:t>
      </w:r>
      <w:r>
        <w:fldChar w:fldCharType="begin" w:fldLock="1"/>
      </w:r>
      <w:r w:rsidR="00A67ED2">
        <w:instrText>ADDIN CSL_CITATION {"citationItems":[{"id":"ITEM-1","itemData":{"author":[{"dropping-particle":"","family":"Ивашкин","given":"В.Т.","non-dropping-particle":"","parse-names":false,"suffix":""},{"dropping-particle":"","family":"Маев","given":"И.В.","non-dropping-particle":"","parse-names":false,"suffix":""},{"dropping-particle":"","family":"Царьков","given":"П.В.","non-dropping-particle":"","parse-names":false,"suffix":""},{"dropping-particle":"","family":"Королев","given":"М.П.","non-dropping-particle":"","parse-names":false,"suffix":""},{"dropping-particle":"","family":"Андреев","given":"Д.Н.","non-dropping-particle":"","parse-names":false,"suffix":""},{"dropping-particle":"","family":"Баранская","given":"Е.К.","non-dropping-particle":"","parse-names":false,"suffix":""},{"dropping-particle":"","family":"Бурков","given":"С.Г.","non-dropping-particle":"","parse-names":false,"suffix":""},{"dropping-particle":"","family":"Деринов","given":"А.А.","non-dropping-particle":"","parse-names":false,"suffix":""},{"dropping-particle":"","family":"Ефетов","given":"С.К.","non-dropping-particle":"","parse-names":false,"suffix":""},{"dropping-particle":"","family":"Лапина","given":"Т.Л.","non-dropping-particle":"","parse-names":false,"suffix":""},{"dropping-particle":"","family":"Павлов","given":"П.В.","non-dropping-particle":"","parse-names":false,"suffix":""},{"dropping-particle":"","family":"Пирогов","given":"С.С.","non-dropping-particle":"","parse-names":false,"suffix":""},{"dropping-particle":"","family":"Ткачев","given":"А.В.","non-dropping-particle":"","parse-names":false,"suffix":""},{"dropping-particle":"","family":"Трухманов","given":"А.С.","non-dropping-particle":"","parse-names":false,"suffix":""},{"dropping-particle":"","family":"Федоров","given":"Е.Д.","non-dropping-particle":"","parse-names":false,"suffix":""},{"dropping-particle":"","family":"Шептулин","given":"А.А.","non-dropping-particle":"","parse-names":false,"suffix":""}],"container-title":"Российский журнал гастроэнтерологии, гепатологии, колопроктологии.","id":"ITEM-1","issue":"1","issued":{"date-parts":[["2020"]]},"page":"49-70","title":"Диагностика и лечение язвенной болезни у взрослых (Клинические рекомендации Российской гастроэнтерологической ассоциации, Российского общества колоректальных хирургов и Российского эндоскопического общества).","type":"article-journal","volume":"30"},"uris":["http://www.mendeley.com/documents/?uuid=858a1835-2f3b-419a-91b4-8a8e3ef10cc9"]},{"id":"ITEM-2","itemData":{"DOI":"10.1016/S2468-1253(18)30037-2","ISSN":"24681253","PMID":"29475806","abstract":"Background: Gastroprotectant drugs are used for the prevention and treatment of peptic ulcer disease and might reduce its associated complications, but reliable estimates of the effects of gastroprotectants in different clinical settings are scarce. We aimed to examine the effects of proton-pump inhibitors (PPIs), prostaglandin analogues, and histamine-2 receptor antagonists (H2RAs) in different clinical circumstances by doing meta-analyses of tabular data from all relevant unconfounded randomised trials of gastroprotectant drugs. Methods: We searched MEDLINE and Embase from Jan 1, 1950, to Dec 31, 2015, to identify unconfounded, randomised trials of a gastroprotectant drug (defined as a PPI, prostaglandin analogue, or H2RA) versus control, or versus another gastroprotectant. Two independent researchers reviewed the search results and extracted the prespecified outcomes and key characteristics for each trial. We did meta-analyses of the effects of gastroprotectant drugs on ulcer development, bleeding, and mortality overall, according to the class of gastroprotectant, and according to the individual drug within a gastroprotectant class. Findings: We identified comparisons of gastroprotectant versus control in 849 trials (142 485 participants): 580 prevention trials (110 626 participants), 233 healing trials (24 033 participants), and 36 trials for the treatment of acute upper gastrointestinal bleeding (7826 participants). Comparisons of one gastroprotectant drug versus another were available in 345 trials (64 905 participants), comprising 160 prevention trials (32 959 participants), 167 healing trials (28 306 participants), and 18 trials for treatment of acute upper gastrointestinal bleeding (3640 participants). The median number of patients in each trial was 78 (IQR 44·0–210·5) and the median duration was 1·4 months (0·9–2·8). In prevention trials, gastroprotectant drugs reduced development of endoscopic ulcers (odds ratio [OR] 0·27, 95% CI 0·25–0·29; p&lt;0·0001), symptomatic ulcers (0·25, 0·22–0·29; p&lt;0·0001), and upper gastrointestinal bleeding (0·40, 0·32–0·50; p&lt;0·0001), but did not significantly reduce mortality (0·85, 0·69–1·04; p=0·11). Larger proportional reductions in upper gastrointestinal bleeding were observed for PPIs than for other gastroprotectant drugs (PPIs 0·21, 99% CI 0·12–0·36; prostaglandin analogues 0·63, 0·35–1·12; H2RAs 0·49, 0·30–0·80; phet=0·0005). Gastroprotectant drugs were effective in preventing bleeding irrespective of the u…","author":[{"dropping-particle":"","family":"Scally","given":"Benjamin","non-dropping-particle":"","parse-names":false,"suffix":""},{"dropping-particle":"","family":"Emberson","given":"Jonathan R.","non-dropping-particle":"","parse-names":false,"suffix":""},{"dropping-particle":"","family":"Spata","given":"Enti","non-dropping-particle":"","parse-names":false,"suffix":""},{"dropping-particle":"","family":"Reith","given":"Christina","non-dropping-particle":"","parse-names":false,"suffix":""},{"dropping-particle":"","family":"Davies","given":"Kelly","non-dropping-particle":"","parse-names":false,"suffix":""},{"dropping-particle":"","family":"Halls","given":"Heather","non-dropping-particle":"","parse-names":false,"suffix":""},{"dropping-particle":"","family":"Holland","given":"Lisa","non-dropping-particle":"","parse-names":false,"suffix":""},{"dropping-particle":"","family":"Wilson","given":"Kate","non-dropping-particle":"","parse-names":false,"suffix":""},{"dropping-particle":"","family":"Bhala","given":"Neeraj","non-dropping-particle":"","parse-names":false,"suffix":""},{"dropping-particle":"","family":"Hawkey","given":"Christopher","non-dropping-particle":"","parse-names":false,"suffix":""},{"dropping-particle":"","family":"Hochberg","given":"Marc","non-dropping-particle":"","parse-names":false,"suffix":""},{"dropping-particle":"","family":"Hunt","given":"Richard","non-dropping-particle":"","parse-names":false,"suffix":""},{"dropping-particle":"","family":"Laine","given":"Loren","non-dropping-particle":"","parse-names":false,"suffix":""},{"dropping-particle":"","family":"Lanas","given":"Angel","non-dropping-particle":"","parse-names":false,"suffix":""},{"dropping-particle":"","family":"Patrono","given":"Carlo","non-dropping-particle":"","parse-names":false,"suffix":""},{"dropping-particle":"","family":"Baigent","given":"Colin","non-dropping-particle":"","parse-names":false,"suffix":""}],"container-title":"The Lancet Gastroenterology and Hepatology","id":"ITEM-2","issue":"4","issued":{"date-parts":[["2018","4","1"]]},"page":"231-241","publisher":"Elsevier Ltd","title":"Effects of gastroprotectant drugs for the prevention and treatment of peptic ulcer disease and its complications: a meta-analysis of randomised trials","type":"article-journal","volume":"3"},"uris":["http://www.mendeley.com/documents/?uuid=f1962b3a-e3e6-3474-95a8-4fc5245efa04"]},{"id":"ITEM-3","itemData":{"DOI":"10.4103/1319-3767.199117","ISSN":"1319-3767","abstract":"Background/Aim: To compare the efficacy and tolerance of different proton pump inhibitors (PPIs) in different doses for patients with duodenal ulcers. Materials and Methods: An electronic database was searched to collect all randomized clinical trials (RCTs), and a pairwise and network meta-analysis were performed. Results: A total of 24 RCTs involving 6188 patients were included. The network meta-analysis showed that there were no significant differences for the 4-week healing rate of duodenal ulcer treated with different PPI regimens except pantoprazle 40 mg/d versus lansoprazole 15 mg/d [Relative risk (RR) = 3.57; 95% confidence interval (CI) = 1.36-10.31)] and lansoprazole 30 mg/d versus lansoprazole 15 mg/d (RR = 2.45; 95% CI = 1.01-6.14). In comparison with H2receptor antagonists (H2RA), pantoprazole 40 mg/d and lansoprazole 30 mg/d significantly increase the healing rate (RR = 2.96; 95% CI = 1.78-5.14 and RR = 2.04; 95% CI = 1.13-3.53, respectively). There was no significant difference for the rate of adverse events between different regimens, including H2RA for a duration of 4-week of follow up. Conclusion: There was no significant difference for the efficacy and tolerance between the ordinary doses of different PPIs with the exception of lansoprazle 15 mg/d.","author":[{"dropping-particle":"","family":"Hu","given":"Zhan-Hong","non-dropping-particle":"","parse-names":false,"suffix":""},{"dropping-particle":"","family":"Shi","given":"Ai-Ming","non-dropping-particle":"","parse-names":false,"suffix":""},{"dropping-particle":"","family":"Hu","given":"Duan-Min","non-dropping-particle":"","parse-names":false,"suffix":""},{"dropping-particle":"","family":"Bao","given":"Jun-Jie","non-dropping-particle":"","parse-names":false,"suffix":""}],"container-title":"Saudi Journal of Gastroenterology","id":"ITEM-3","issue":"1","issued":{"date-parts":[["2017","1","1"]]},"page":"11","publisher":"Medknow Publications","title":"Efficacy of proton pump inhibitors for patients with duodenal ulcers: A pairwise and network meta-analysis of randomized controlled trials","type":"article-journal","volume":"23"},"uris":["http://www.mendeley.com/documents/?uuid=d523d0fc-026a-365d-b2ac-773ed8aed036"]}],"mendeley":{"formattedCitation":"[118–120]","plainTextFormattedCitation":"[118–120]","previouslyFormattedCitation":"[4–6]"},"properties":{"noteIndex":0},"schema":"https://github.com/citation-style-language/schema/raw/master/csl-citation.json"}</w:instrText>
      </w:r>
      <w:r>
        <w:fldChar w:fldCharType="separate"/>
      </w:r>
      <w:r w:rsidR="00A67ED2" w:rsidRPr="00A67ED2">
        <w:rPr>
          <w:noProof/>
        </w:rPr>
        <w:t>[118–120]</w:t>
      </w:r>
      <w:r>
        <w:fldChar w:fldCharType="end"/>
      </w:r>
      <w:r>
        <w:t xml:space="preserve">. </w:t>
      </w:r>
    </w:p>
    <w:p w14:paraId="2C12552F" w14:textId="77777777" w:rsidR="004D5794" w:rsidRDefault="004D5794" w:rsidP="004D5794">
      <w:pPr>
        <w:rPr>
          <w:b/>
        </w:rPr>
      </w:pPr>
    </w:p>
    <w:p w14:paraId="565AAB63" w14:textId="77777777" w:rsidR="004D5794" w:rsidRPr="005B1687" w:rsidRDefault="004D5794" w:rsidP="004D5794">
      <w:pPr>
        <w:rPr>
          <w:bCs/>
        </w:rPr>
      </w:pPr>
      <w:r w:rsidRPr="005B1687">
        <w:rPr>
          <w:bCs/>
        </w:rPr>
        <w:t xml:space="preserve">Таблица </w:t>
      </w:r>
      <w:r>
        <w:rPr>
          <w:bCs/>
        </w:rPr>
        <w:t>А3.3.</w:t>
      </w:r>
      <w:r w:rsidRPr="005B1687">
        <w:rPr>
          <w:bCs/>
        </w:rPr>
        <w:t>1. Режим дозирования ИПП с целью профилактики язвенной болезни</w:t>
      </w:r>
    </w:p>
    <w:tbl>
      <w:tblPr>
        <w:tblStyle w:val="ae"/>
        <w:tblW w:w="0" w:type="auto"/>
        <w:jc w:val="center"/>
        <w:tblLook w:val="04A0" w:firstRow="1" w:lastRow="0" w:firstColumn="1" w:lastColumn="0" w:noHBand="0" w:noVBand="1"/>
      </w:tblPr>
      <w:tblGrid>
        <w:gridCol w:w="2220"/>
        <w:gridCol w:w="2344"/>
        <w:gridCol w:w="3713"/>
      </w:tblGrid>
      <w:tr w:rsidR="004D5794" w:rsidRPr="00C96416" w14:paraId="1DEA17FC" w14:textId="77777777" w:rsidTr="00CD5E09">
        <w:trPr>
          <w:jc w:val="center"/>
        </w:trPr>
        <w:tc>
          <w:tcPr>
            <w:tcW w:w="2220" w:type="dxa"/>
          </w:tcPr>
          <w:p w14:paraId="6F6DE175" w14:textId="77777777" w:rsidR="004D5794" w:rsidRPr="00C96416" w:rsidRDefault="004D5794" w:rsidP="00CD5E09">
            <w:pPr>
              <w:tabs>
                <w:tab w:val="left" w:pos="0"/>
              </w:tabs>
              <w:ind w:left="57" w:right="57"/>
              <w:rPr>
                <w:b/>
                <w:szCs w:val="24"/>
              </w:rPr>
            </w:pPr>
            <w:r>
              <w:rPr>
                <w:b/>
                <w:szCs w:val="24"/>
              </w:rPr>
              <w:t>Препарат</w:t>
            </w:r>
          </w:p>
        </w:tc>
        <w:tc>
          <w:tcPr>
            <w:tcW w:w="2344" w:type="dxa"/>
          </w:tcPr>
          <w:p w14:paraId="656F464E" w14:textId="77777777" w:rsidR="004D5794" w:rsidRPr="00C96416" w:rsidRDefault="004D5794" w:rsidP="00CD5E09">
            <w:pPr>
              <w:tabs>
                <w:tab w:val="left" w:pos="0"/>
              </w:tabs>
              <w:ind w:left="57" w:right="57"/>
              <w:rPr>
                <w:b/>
                <w:szCs w:val="24"/>
              </w:rPr>
            </w:pPr>
            <w:r w:rsidRPr="00C96416">
              <w:rPr>
                <w:b/>
                <w:szCs w:val="24"/>
              </w:rPr>
              <w:t xml:space="preserve">Суточная </w:t>
            </w:r>
            <w:r>
              <w:rPr>
                <w:b/>
                <w:szCs w:val="24"/>
              </w:rPr>
              <w:t>д</w:t>
            </w:r>
            <w:r w:rsidRPr="00C96416">
              <w:rPr>
                <w:b/>
                <w:szCs w:val="24"/>
              </w:rPr>
              <w:t>оза, мг</w:t>
            </w:r>
          </w:p>
        </w:tc>
        <w:tc>
          <w:tcPr>
            <w:tcW w:w="3713" w:type="dxa"/>
          </w:tcPr>
          <w:p w14:paraId="78E90177" w14:textId="77777777" w:rsidR="004D5794" w:rsidRPr="00C96416" w:rsidRDefault="004D5794" w:rsidP="00CD5E09">
            <w:pPr>
              <w:tabs>
                <w:tab w:val="left" w:pos="0"/>
              </w:tabs>
              <w:ind w:left="57" w:right="57"/>
              <w:rPr>
                <w:b/>
                <w:szCs w:val="24"/>
              </w:rPr>
            </w:pPr>
            <w:r>
              <w:rPr>
                <w:b/>
                <w:szCs w:val="24"/>
              </w:rPr>
              <w:t>Способ применения и р</w:t>
            </w:r>
            <w:r w:rsidRPr="00C96416">
              <w:rPr>
                <w:b/>
                <w:szCs w:val="24"/>
              </w:rPr>
              <w:t>ежим дозирования</w:t>
            </w:r>
          </w:p>
        </w:tc>
      </w:tr>
      <w:tr w:rsidR="004D5794" w:rsidRPr="00C96416" w14:paraId="4FCFFE23" w14:textId="77777777" w:rsidTr="00CD5E09">
        <w:trPr>
          <w:jc w:val="center"/>
        </w:trPr>
        <w:tc>
          <w:tcPr>
            <w:tcW w:w="2220" w:type="dxa"/>
          </w:tcPr>
          <w:p w14:paraId="38A6EBCC" w14:textId="77777777" w:rsidR="004D5794" w:rsidRPr="00C96416" w:rsidRDefault="004D5794" w:rsidP="00CD5E09">
            <w:pPr>
              <w:tabs>
                <w:tab w:val="left" w:pos="0"/>
              </w:tabs>
              <w:ind w:left="57" w:right="57"/>
              <w:rPr>
                <w:szCs w:val="24"/>
              </w:rPr>
            </w:pPr>
            <w:r w:rsidRPr="00C96416">
              <w:rPr>
                <w:szCs w:val="24"/>
              </w:rPr>
              <w:t>Омепразол</w:t>
            </w:r>
          </w:p>
        </w:tc>
        <w:tc>
          <w:tcPr>
            <w:tcW w:w="2344" w:type="dxa"/>
          </w:tcPr>
          <w:p w14:paraId="76B0D55C" w14:textId="77777777" w:rsidR="004D5794" w:rsidRDefault="004D5794" w:rsidP="00CD5E09">
            <w:pPr>
              <w:tabs>
                <w:tab w:val="left" w:pos="0"/>
              </w:tabs>
              <w:ind w:left="57" w:right="57"/>
              <w:rPr>
                <w:szCs w:val="24"/>
              </w:rPr>
            </w:pPr>
            <w:r w:rsidRPr="00C96416">
              <w:rPr>
                <w:szCs w:val="24"/>
              </w:rPr>
              <w:t>20</w:t>
            </w:r>
          </w:p>
          <w:p w14:paraId="78F62BF8" w14:textId="77777777" w:rsidR="004D5794" w:rsidRPr="00C96416" w:rsidRDefault="004D5794" w:rsidP="00CD5E09">
            <w:pPr>
              <w:tabs>
                <w:tab w:val="left" w:pos="0"/>
              </w:tabs>
              <w:ind w:left="57" w:right="57"/>
              <w:rPr>
                <w:szCs w:val="24"/>
              </w:rPr>
            </w:pPr>
            <w:r>
              <w:rPr>
                <w:szCs w:val="24"/>
              </w:rPr>
              <w:t>40</w:t>
            </w:r>
          </w:p>
        </w:tc>
        <w:tc>
          <w:tcPr>
            <w:tcW w:w="3713" w:type="dxa"/>
          </w:tcPr>
          <w:p w14:paraId="1701CB8C" w14:textId="77777777" w:rsidR="004D5794" w:rsidRPr="00B56E4C" w:rsidRDefault="004D5794" w:rsidP="00CD5E09">
            <w:pPr>
              <w:tabs>
                <w:tab w:val="left" w:pos="0"/>
              </w:tabs>
              <w:ind w:left="57" w:right="57"/>
              <w:rPr>
                <w:szCs w:val="24"/>
              </w:rPr>
            </w:pPr>
            <w:r>
              <w:rPr>
                <w:szCs w:val="24"/>
              </w:rPr>
              <w:t>Внутрь, 1 раз в сутки;</w:t>
            </w:r>
          </w:p>
          <w:p w14:paraId="3AEA767A" w14:textId="77777777" w:rsidR="004D5794" w:rsidRPr="00D221D8" w:rsidRDefault="004D5794" w:rsidP="00CD5E09">
            <w:pPr>
              <w:tabs>
                <w:tab w:val="left" w:pos="0"/>
              </w:tabs>
              <w:ind w:left="57" w:right="57"/>
              <w:rPr>
                <w:szCs w:val="24"/>
              </w:rPr>
            </w:pPr>
            <w:r>
              <w:rPr>
                <w:szCs w:val="24"/>
              </w:rPr>
              <w:t xml:space="preserve"> в/в, 1 раз в сутки</w:t>
            </w:r>
          </w:p>
        </w:tc>
      </w:tr>
      <w:tr w:rsidR="004D5794" w:rsidRPr="00C96416" w14:paraId="37E3F7F3" w14:textId="77777777" w:rsidTr="00CD5E09">
        <w:trPr>
          <w:jc w:val="center"/>
        </w:trPr>
        <w:tc>
          <w:tcPr>
            <w:tcW w:w="2220" w:type="dxa"/>
          </w:tcPr>
          <w:p w14:paraId="79555A0E" w14:textId="77777777" w:rsidR="004D5794" w:rsidRPr="00C96416" w:rsidRDefault="004D5794" w:rsidP="00CD5E09">
            <w:pPr>
              <w:tabs>
                <w:tab w:val="left" w:pos="0"/>
              </w:tabs>
              <w:ind w:left="57" w:right="57"/>
              <w:rPr>
                <w:szCs w:val="24"/>
              </w:rPr>
            </w:pPr>
            <w:r w:rsidRPr="00C96416">
              <w:rPr>
                <w:szCs w:val="24"/>
              </w:rPr>
              <w:t>Лансопразол</w:t>
            </w:r>
          </w:p>
        </w:tc>
        <w:tc>
          <w:tcPr>
            <w:tcW w:w="2344" w:type="dxa"/>
          </w:tcPr>
          <w:p w14:paraId="5A6CC704" w14:textId="77777777" w:rsidR="004D5794" w:rsidRPr="00C96416" w:rsidRDefault="004D5794" w:rsidP="00CD5E09">
            <w:pPr>
              <w:tabs>
                <w:tab w:val="left" w:pos="0"/>
              </w:tabs>
              <w:ind w:left="57" w:right="57"/>
              <w:rPr>
                <w:szCs w:val="24"/>
              </w:rPr>
            </w:pPr>
            <w:r w:rsidRPr="00C96416">
              <w:rPr>
                <w:szCs w:val="24"/>
              </w:rPr>
              <w:t>30</w:t>
            </w:r>
          </w:p>
        </w:tc>
        <w:tc>
          <w:tcPr>
            <w:tcW w:w="3713" w:type="dxa"/>
          </w:tcPr>
          <w:p w14:paraId="1A1BCF14" w14:textId="77777777" w:rsidR="004D5794" w:rsidRDefault="004D5794" w:rsidP="00CD5E09">
            <w:pPr>
              <w:ind w:left="57" w:right="57"/>
            </w:pPr>
            <w:r w:rsidRPr="00826EC3">
              <w:rPr>
                <w:szCs w:val="24"/>
              </w:rPr>
              <w:t>Внутрь, 1 раз в сутки</w:t>
            </w:r>
          </w:p>
        </w:tc>
      </w:tr>
      <w:tr w:rsidR="004D5794" w:rsidRPr="00C96416" w14:paraId="243EBF7C" w14:textId="77777777" w:rsidTr="00CD5E09">
        <w:trPr>
          <w:jc w:val="center"/>
        </w:trPr>
        <w:tc>
          <w:tcPr>
            <w:tcW w:w="2220" w:type="dxa"/>
          </w:tcPr>
          <w:p w14:paraId="3FABFC45" w14:textId="77777777" w:rsidR="004D5794" w:rsidRPr="00C96416" w:rsidRDefault="004D5794" w:rsidP="00CD5E09">
            <w:pPr>
              <w:tabs>
                <w:tab w:val="left" w:pos="0"/>
              </w:tabs>
              <w:ind w:left="57" w:right="57"/>
              <w:rPr>
                <w:szCs w:val="24"/>
              </w:rPr>
            </w:pPr>
            <w:r>
              <w:rPr>
                <w:szCs w:val="24"/>
              </w:rPr>
              <w:t>П</w:t>
            </w:r>
            <w:r w:rsidRPr="00C96416">
              <w:rPr>
                <w:szCs w:val="24"/>
              </w:rPr>
              <w:t>антопразол</w:t>
            </w:r>
          </w:p>
        </w:tc>
        <w:tc>
          <w:tcPr>
            <w:tcW w:w="2344" w:type="dxa"/>
          </w:tcPr>
          <w:p w14:paraId="43F9B87C" w14:textId="77777777" w:rsidR="004D5794" w:rsidRPr="00C96416" w:rsidRDefault="004D5794" w:rsidP="00CD5E09">
            <w:pPr>
              <w:tabs>
                <w:tab w:val="left" w:pos="0"/>
              </w:tabs>
              <w:ind w:left="57" w:right="57"/>
              <w:rPr>
                <w:szCs w:val="24"/>
              </w:rPr>
            </w:pPr>
            <w:r w:rsidRPr="00C96416">
              <w:rPr>
                <w:szCs w:val="24"/>
              </w:rPr>
              <w:t>40</w:t>
            </w:r>
          </w:p>
        </w:tc>
        <w:tc>
          <w:tcPr>
            <w:tcW w:w="3713" w:type="dxa"/>
          </w:tcPr>
          <w:p w14:paraId="5E274995" w14:textId="77777777" w:rsidR="004D5794" w:rsidRDefault="004D5794" w:rsidP="00CD5E09">
            <w:pPr>
              <w:ind w:left="57" w:right="57"/>
            </w:pPr>
            <w:r w:rsidRPr="00826EC3">
              <w:rPr>
                <w:szCs w:val="24"/>
              </w:rPr>
              <w:t>Внутрь, 1 раз в сутки</w:t>
            </w:r>
          </w:p>
        </w:tc>
      </w:tr>
      <w:tr w:rsidR="004D5794" w:rsidRPr="00C96416" w14:paraId="5F72B1CA" w14:textId="77777777" w:rsidTr="00CD5E09">
        <w:trPr>
          <w:jc w:val="center"/>
        </w:trPr>
        <w:tc>
          <w:tcPr>
            <w:tcW w:w="2220" w:type="dxa"/>
          </w:tcPr>
          <w:p w14:paraId="1644B02C" w14:textId="77777777" w:rsidR="004D5794" w:rsidRPr="00C96416" w:rsidRDefault="004D5794" w:rsidP="00CD5E09">
            <w:pPr>
              <w:tabs>
                <w:tab w:val="left" w:pos="0"/>
              </w:tabs>
              <w:ind w:left="57" w:right="57"/>
              <w:rPr>
                <w:szCs w:val="24"/>
              </w:rPr>
            </w:pPr>
            <w:r>
              <w:rPr>
                <w:szCs w:val="24"/>
              </w:rPr>
              <w:t>Р</w:t>
            </w:r>
            <w:r w:rsidRPr="00C96416">
              <w:rPr>
                <w:szCs w:val="24"/>
              </w:rPr>
              <w:t>абепразол</w:t>
            </w:r>
          </w:p>
        </w:tc>
        <w:tc>
          <w:tcPr>
            <w:tcW w:w="2344" w:type="dxa"/>
          </w:tcPr>
          <w:p w14:paraId="64273D55" w14:textId="77777777" w:rsidR="004D5794" w:rsidRPr="00C96416" w:rsidRDefault="004D5794" w:rsidP="00CD5E09">
            <w:pPr>
              <w:tabs>
                <w:tab w:val="left" w:pos="0"/>
              </w:tabs>
              <w:ind w:left="57" w:right="57"/>
              <w:rPr>
                <w:szCs w:val="24"/>
              </w:rPr>
            </w:pPr>
            <w:r w:rsidRPr="00C96416">
              <w:rPr>
                <w:szCs w:val="24"/>
              </w:rPr>
              <w:t>20</w:t>
            </w:r>
          </w:p>
        </w:tc>
        <w:tc>
          <w:tcPr>
            <w:tcW w:w="3713" w:type="dxa"/>
          </w:tcPr>
          <w:p w14:paraId="5068CC4E" w14:textId="77777777" w:rsidR="004D5794" w:rsidRDefault="004D5794" w:rsidP="00CD5E09">
            <w:pPr>
              <w:ind w:left="57" w:right="57"/>
            </w:pPr>
            <w:r w:rsidRPr="00826EC3">
              <w:rPr>
                <w:szCs w:val="24"/>
              </w:rPr>
              <w:t>Внутрь, 1 раз в сутки</w:t>
            </w:r>
          </w:p>
        </w:tc>
      </w:tr>
      <w:tr w:rsidR="004D5794" w:rsidRPr="00C96416" w14:paraId="454C7AA1" w14:textId="77777777" w:rsidTr="00CD5E09">
        <w:trPr>
          <w:jc w:val="center"/>
        </w:trPr>
        <w:tc>
          <w:tcPr>
            <w:tcW w:w="2220" w:type="dxa"/>
          </w:tcPr>
          <w:p w14:paraId="4E1B69F9" w14:textId="77777777" w:rsidR="004D5794" w:rsidRPr="00C96416" w:rsidRDefault="004D5794" w:rsidP="00CD5E09">
            <w:pPr>
              <w:tabs>
                <w:tab w:val="left" w:pos="0"/>
              </w:tabs>
              <w:ind w:left="57" w:right="57"/>
              <w:rPr>
                <w:szCs w:val="24"/>
              </w:rPr>
            </w:pPr>
            <w:r>
              <w:rPr>
                <w:szCs w:val="24"/>
              </w:rPr>
              <w:t>Э</w:t>
            </w:r>
            <w:r w:rsidRPr="00C96416">
              <w:rPr>
                <w:szCs w:val="24"/>
              </w:rPr>
              <w:t>зомепразол</w:t>
            </w:r>
          </w:p>
        </w:tc>
        <w:tc>
          <w:tcPr>
            <w:tcW w:w="2344" w:type="dxa"/>
          </w:tcPr>
          <w:p w14:paraId="0CBD5C43" w14:textId="77777777" w:rsidR="004D5794" w:rsidRPr="00C96416" w:rsidRDefault="004D5794" w:rsidP="00CD5E09">
            <w:pPr>
              <w:tabs>
                <w:tab w:val="left" w:pos="0"/>
              </w:tabs>
              <w:ind w:left="57" w:right="57"/>
              <w:rPr>
                <w:szCs w:val="24"/>
              </w:rPr>
            </w:pPr>
            <w:r w:rsidRPr="00C96416">
              <w:rPr>
                <w:szCs w:val="24"/>
              </w:rPr>
              <w:t>20</w:t>
            </w:r>
          </w:p>
        </w:tc>
        <w:tc>
          <w:tcPr>
            <w:tcW w:w="3713" w:type="dxa"/>
          </w:tcPr>
          <w:p w14:paraId="578931E8" w14:textId="77777777" w:rsidR="004D5794" w:rsidRDefault="004D5794" w:rsidP="00CD5E09">
            <w:pPr>
              <w:ind w:left="57" w:right="57"/>
            </w:pPr>
            <w:r w:rsidRPr="00826EC3">
              <w:rPr>
                <w:szCs w:val="24"/>
              </w:rPr>
              <w:t>Внутрь</w:t>
            </w:r>
            <w:r>
              <w:rPr>
                <w:szCs w:val="24"/>
              </w:rPr>
              <w:t xml:space="preserve"> или в/в</w:t>
            </w:r>
            <w:r w:rsidRPr="00826EC3">
              <w:rPr>
                <w:szCs w:val="24"/>
              </w:rPr>
              <w:t>, 1 раз в сутки</w:t>
            </w:r>
          </w:p>
        </w:tc>
      </w:tr>
    </w:tbl>
    <w:p w14:paraId="22095B2A" w14:textId="77777777" w:rsidR="004D5794" w:rsidRDefault="004D5794" w:rsidP="004D5794">
      <w:pPr>
        <w:pStyle w:val="Normal1"/>
        <w:tabs>
          <w:tab w:val="left" w:pos="0"/>
        </w:tabs>
        <w:spacing w:line="360" w:lineRule="auto"/>
        <w:ind w:left="0" w:firstLine="0"/>
        <w:jc w:val="both"/>
        <w:rPr>
          <w:rFonts w:cs="Times New Roman"/>
        </w:rPr>
      </w:pPr>
    </w:p>
    <w:p w14:paraId="5BFB2A94" w14:textId="77777777" w:rsidR="004D5794" w:rsidRPr="00C96416" w:rsidRDefault="004D5794" w:rsidP="004D5794">
      <w:pPr>
        <w:tabs>
          <w:tab w:val="left" w:pos="709"/>
        </w:tabs>
        <w:ind w:firstLine="709"/>
      </w:pPr>
      <w:r>
        <w:t>Время суток и прием пищи не влияют на активность ИПП. Коррекции дозы при почечной недостаточности не требуется. При невозможности перорального приема ИПП вводятся внутривенно.</w:t>
      </w:r>
    </w:p>
    <w:p w14:paraId="4D9D652E" w14:textId="77777777" w:rsidR="004D5794" w:rsidRDefault="004D5794" w:rsidP="004D5794">
      <w:pPr>
        <w:pStyle w:val="Normal1"/>
        <w:tabs>
          <w:tab w:val="left" w:pos="0"/>
        </w:tabs>
        <w:spacing w:line="360" w:lineRule="auto"/>
        <w:ind w:firstLine="699"/>
        <w:jc w:val="both"/>
        <w:rPr>
          <w:rFonts w:cs="Times New Roman"/>
          <w:bCs/>
          <w:i/>
          <w:iCs/>
          <w:u w:val="single"/>
          <w:shd w:val="clear" w:color="auto" w:fill="FFFFFF"/>
        </w:rPr>
      </w:pPr>
    </w:p>
    <w:p w14:paraId="2A3F6164" w14:textId="77777777" w:rsidR="004D5794" w:rsidRPr="00A56C81" w:rsidRDefault="004D5794" w:rsidP="004D5794">
      <w:pPr>
        <w:pStyle w:val="Normal1"/>
        <w:tabs>
          <w:tab w:val="left" w:pos="0"/>
        </w:tabs>
        <w:spacing w:line="360" w:lineRule="auto"/>
        <w:jc w:val="both"/>
        <w:rPr>
          <w:rFonts w:cs="Times New Roman"/>
          <w:bCs/>
          <w:i/>
          <w:iCs/>
          <w:u w:val="single"/>
          <w:shd w:val="clear" w:color="auto" w:fill="FFFFFF"/>
        </w:rPr>
      </w:pPr>
      <w:r w:rsidRPr="00A56C81">
        <w:rPr>
          <w:rFonts w:cs="Times New Roman"/>
          <w:bCs/>
          <w:i/>
          <w:iCs/>
          <w:u w:val="single"/>
          <w:shd w:val="clear" w:color="auto" w:fill="FFFFFF"/>
        </w:rPr>
        <w:t xml:space="preserve">Блокаторы Н2-гистаминовых рецепторов </w:t>
      </w:r>
    </w:p>
    <w:p w14:paraId="5C87FE56" w14:textId="77777777" w:rsidR="004D5794" w:rsidRPr="00A56C81" w:rsidRDefault="004D5794" w:rsidP="004D5794">
      <w:pPr>
        <w:ind w:firstLine="709"/>
      </w:pPr>
      <w:r w:rsidRPr="00A56C81">
        <w:t xml:space="preserve">Секреторные реакции желудка при действии экзогенного или эндогенного гистамина реализуются через Н2-гистаминорецепторы. Блокаторы гистаминовых Н2-рецепторов являются конкурентными антагонистами гистамина и подавляют вызванную различными раздражителями секрецию соляной кислоты за счет вытеснения гистамина из связи с Н2-рецепторами париетальных клеток. Препараты этой группы поддерживают показатели внутрижелудочного рН &gt; 3 на протяжении суток. Применение Н2-блокаторов в течение 1-1,5 месяца приводит к рубцеванию язвенного дефекта у 70–80 % пациентов с дуоденальными язвами и у 55–60 % пациентов с язвами желудка. Тем не менее, после внедрения ИПП в клиническую практику в качестве базисной антисекреторной терапии, Н2-блокаторы применяются реже, главным образом при невозможности применения ИПП. </w:t>
      </w:r>
    </w:p>
    <w:p w14:paraId="68350E3E" w14:textId="05916236" w:rsidR="004D5794" w:rsidRDefault="004D5794" w:rsidP="004D5794">
      <w:pPr>
        <w:ind w:firstLine="709"/>
      </w:pPr>
      <w:r w:rsidRPr="00A56C81">
        <w:t xml:space="preserve">В группу препаратов – блокаторов Н2-гистаминовых рецепторов входят ранитидин, фамотидин, применяемые во время проведения курсов противоопухолевой терапии, включающей системные ГКС, в указанных в таблице </w:t>
      </w:r>
      <w:r>
        <w:t>А3.3.</w:t>
      </w:r>
      <w:r w:rsidRPr="00A56C81">
        <w:t>2 дозах</w:t>
      </w:r>
      <w:r w:rsidRPr="0016000A">
        <w:t xml:space="preserve"> </w:t>
      </w:r>
      <w:r>
        <w:t xml:space="preserve"> </w:t>
      </w:r>
      <w:r>
        <w:fldChar w:fldCharType="begin" w:fldLock="1"/>
      </w:r>
      <w:r w:rsidR="00A67ED2">
        <w:instrText>ADDIN CSL_CITATION {"citationItems":[{"id":"ITEM-1","itemData":{"author":[{"dropping-particle":"","family":"Ивашкин","given":"В.Т.","non-dropping-particle":"","parse-names":false,"suffix":""},{"dropping-particle":"","family":"Маев","given":"И.В.","non-dropping-particle":"","parse-names":false,"suffix":""},{"dropping-particle":"","family":"Царьков","given":"П.В.","non-dropping-particle":"","parse-names":false,"suffix":""},{"dropping-particle":"","family":"Королев","given":"М.П.","non-dropping-particle":"","parse-names":false,"suffix":""},{"dropping-particle":"","family":"Андреев","given":"Д.Н.","non-dropping-particle":"","parse-names":false,"suffix":""},{"dropping-particle":"","family":"Баранская","given":"Е.К.","non-dropping-particle":"","parse-names":false,"suffix":""},{"dropping-particle":"","family":"Бурков","given":"С.Г.","non-dropping-particle":"","parse-names":false,"suffix":""},{"dropping-particle":"","family":"Деринов","given":"А.А.","non-dropping-particle":"","parse-names":false,"suffix":""},{"dropping-particle":"","family":"Ефетов","given":"С.К.","non-dropping-particle":"","parse-names":false,"suffix":""},{"dropping-particle":"","family":"Лапина","given":"Т.Л.","non-dropping-particle":"","parse-names":false,"suffix":""},{"dropping-particle":"","family":"Павлов","given":"П.В.","non-dropping-particle":"","parse-names":false,"suffix":""},{"dropping-particle":"","family":"Пирогов","given":"С.С.","non-dropping-particle":"","parse-names":false,"suffix":""},{"dropping-particle":"","family":"Ткачев","given":"А.В.","non-dropping-particle":"","parse-names":false,"suffix":""},{"dropping-particle":"","family":"Трухманов","given":"А.С.","non-dropping-particle":"","parse-names":false,"suffix":""},{"dropping-particle":"","family":"Федоров","given":"Е.Д.","non-dropping-particle":"","parse-names":false,"suffix":""},{"dropping-particle":"","family":"Шептулин","given":"А.А.","non-dropping-particle":"","parse-names":false,"suffix":""}],"container-title":"Российский журнал гастроэнтерологии, гепатологии, колопроктологии.","id":"ITEM-1","issue":"1","issued":{"date-parts":[["2020"]]},"page":"49-70","title":"Диагностика и лечение язвенной болезни у взрослых (Клинические рекомендации Российской гастроэнтерологической ассоциации, Российского общества колоректальных хирургов и Российского эндоскопического общества).","type":"article-journal","volume":"30"},"uris":["http://www.mendeley.com/documents/?uuid=858a1835-2f3b-419a-91b4-8a8e3ef10cc9"]},{"id":"ITEM-2","itemData":{"DOI":"10.1016/S2468-1253(18)30037-2","ISSN":"24681253","PMID":"29475806","abstract":"Background: Gastroprotectant drugs are used for the prevention and treatment of peptic ulcer disease and might reduce its associated complications, but reliable estimates of the effects of gastroprotectants in different clinical settings are scarce. We aimed to examine the effects of proton-pump inhibitors (PPIs), prostaglandin analogues, and histamine-2 receptor antagonists (H2RAs) in different clinical circumstances by doing meta-analyses of tabular data from all relevant unconfounded randomised trials of gastroprotectant drugs. Methods: We searched MEDLINE and Embase from Jan 1, 1950, to Dec 31, 2015, to identify unconfounded, randomised trials of a gastroprotectant drug (defined as a PPI, prostaglandin analogue, or H2RA) versus control, or versus another gastroprotectant. Two independent researchers reviewed the search results and extracted the prespecified outcomes and key characteristics for each trial. We did meta-analyses of the effects of gastroprotectant drugs on ulcer development, bleeding, and mortality overall, according to the class of gastroprotectant, and according to the individual drug within a gastroprotectant class. Findings: We identified comparisons of gastroprotectant versus control in 849 trials (142 485 participants): 580 prevention trials (110 626 participants), 233 healing trials (24 033 participants), and 36 trials for the treatment of acute upper gastrointestinal bleeding (7826 participants). Comparisons of one gastroprotectant drug versus another were available in 345 trials (64 905 participants), comprising 160 prevention trials (32 959 participants), 167 healing trials (28 306 participants), and 18 trials for treatment of acute upper gastrointestinal bleeding (3640 participants). The median number of patients in each trial was 78 (IQR 44·0–210·5) and the median duration was 1·4 months (0·9–2·8). In prevention trials, gastroprotectant drugs reduced development of endoscopic ulcers (odds ratio [OR] 0·27, 95% CI 0·25–0·29; p&lt;0·0001), symptomatic ulcers (0·25, 0·22–0·29; p&lt;0·0001), and upper gastrointestinal bleeding (0·40, 0·32–0·50; p&lt;0·0001), but did not significantly reduce mortality (0·85, 0·69–1·04; p=0·11). Larger proportional reductions in upper gastrointestinal bleeding were observed for PPIs than for other gastroprotectant drugs (PPIs 0·21, 99% CI 0·12–0·36; prostaglandin analogues 0·63, 0·35–1·12; H2RAs 0·49, 0·30–0·80; phet=0·0005). Gastroprotectant drugs were effective in preventing bleeding irrespective of the u…","author":[{"dropping-particle":"","family":"Scally","given":"Benjamin","non-dropping-particle":"","parse-names":false,"suffix":""},{"dropping-particle":"","family":"Emberson","given":"Jonathan R.","non-dropping-particle":"","parse-names":false,"suffix":""},{"dropping-particle":"","family":"Spata","given":"Enti","non-dropping-particle":"","parse-names":false,"suffix":""},{"dropping-particle":"","family":"Reith","given":"Christina","non-dropping-particle":"","parse-names":false,"suffix":""},{"dropping-particle":"","family":"Davies","given":"Kelly","non-dropping-particle":"","parse-names":false,"suffix":""},{"dropping-particle":"","family":"Halls","given":"Heather","non-dropping-particle":"","parse-names":false,"suffix":""},{"dropping-particle":"","family":"Holland","given":"Lisa","non-dropping-particle":"","parse-names":false,"suffix":""},{"dropping-particle":"","family":"Wilson","given":"Kate","non-dropping-particle":"","parse-names":false,"suffix":""},{"dropping-particle":"","family":"Bhala","given":"Neeraj","non-dropping-particle":"","parse-names":false,"suffix":""},{"dropping-particle":"","family":"Hawkey","given":"Christopher","non-dropping-particle":"","parse-names":false,"suffix":""},{"dropping-particle":"","family":"Hochberg","given":"Marc","non-dropping-particle":"","parse-names":false,"suffix":""},{"dropping-particle":"","family":"Hunt","given":"Richard","non-dropping-particle":"","parse-names":false,"suffix":""},{"dropping-particle":"","family":"Laine","given":"Loren","non-dropping-particle":"","parse-names":false,"suffix":""},{"dropping-particle":"","family":"Lanas","given":"Angel","non-dropping-particle":"","parse-names":false,"suffix":""},{"dropping-particle":"","family":"Patrono","given":"Carlo","non-dropping-particle":"","parse-names":false,"suffix":""},{"dropping-particle":"","family":"Baigent","given":"Colin","non-dropping-particle":"","parse-names":false,"suffix":""}],"container-title":"The Lancet Gastroenterology and Hepatology","id":"ITEM-2","issue":"4","issued":{"date-parts":[["2018","4","1"]]},"page":"231-241","publisher":"Elsevier Ltd","title":"Effects of gastroprotectant drugs for the prevention and treatment of peptic ulcer disease and its complications: a meta-analysis of randomised trials","type":"article-journal","volume":"3"},"uris":["http://www.mendeley.com/documents/?uuid=f1962b3a-e3e6-3474-95a8-4fc5245efa04"]},{"id":"ITEM-3","itemData":{"author":[{"dropping-particle":"","family":"Poynard","given":"T.","non-dropping-particle":"","parse-names":false,"suffix":""},{"dropping-particle":"","family":"Lemaire","given":"M.","non-dropping-particle":"","parse-names":false,"suffix":""},{"dropping-particle":"","family":"Agostini","given":"H.","non-dropping-particle":"","parse-names":false,"suffix":""}],"container-title":"European Journal of Gastroenterology and Hepatology","id":"ITEM-3","issue":"7","issued":{"date-parts":[["1995"]]},"page":"661-665","title":"Meta-analysis of randomized clinical trials comparing lansoprazole with ranitidine or famotidine in the treatment of acute duodenal ulcer","type":"article-journal","volume":"7"},"uris":["http://www.mendeley.com/documents/?uuid=5db0b11d-6521-4aed-b5ed-29192f1bbc07"]}],"mendeley":{"formattedCitation":"[118,119,121]","plainTextFormattedCitation":"[118,119,121]","previouslyFormattedCitation":"[4,5,7]"},"properties":{"noteIndex":0},"schema":"https://github.com/citation-style-language/schema/raw/master/csl-citation.json"}</w:instrText>
      </w:r>
      <w:r>
        <w:fldChar w:fldCharType="separate"/>
      </w:r>
      <w:r w:rsidR="00A67ED2" w:rsidRPr="00A67ED2">
        <w:rPr>
          <w:noProof/>
        </w:rPr>
        <w:t>[118,119,121]</w:t>
      </w:r>
      <w:r>
        <w:fldChar w:fldCharType="end"/>
      </w:r>
      <w:r w:rsidRPr="00A56C81">
        <w:t>.</w:t>
      </w:r>
    </w:p>
    <w:p w14:paraId="56705B08" w14:textId="77777777" w:rsidR="004D5794" w:rsidRDefault="004D5794" w:rsidP="004D5794">
      <w:pPr>
        <w:rPr>
          <w:b/>
          <w:szCs w:val="24"/>
        </w:rPr>
      </w:pPr>
    </w:p>
    <w:p w14:paraId="2F611B12" w14:textId="2583636C" w:rsidR="004D5794" w:rsidRPr="00F76AD4" w:rsidRDefault="004D5794" w:rsidP="004D5794">
      <w:pPr>
        <w:rPr>
          <w:bCs/>
        </w:rPr>
      </w:pPr>
      <w:r w:rsidRPr="00F76AD4">
        <w:rPr>
          <w:bCs/>
          <w:szCs w:val="24"/>
        </w:rPr>
        <w:t xml:space="preserve">Таблица </w:t>
      </w:r>
      <w:r w:rsidR="001647AE" w:rsidRPr="00F76AD4">
        <w:rPr>
          <w:bCs/>
          <w:szCs w:val="24"/>
        </w:rPr>
        <w:t>2.</w:t>
      </w:r>
      <w:r w:rsidRPr="00F76AD4">
        <w:rPr>
          <w:bCs/>
          <w:szCs w:val="24"/>
        </w:rPr>
        <w:t xml:space="preserve"> Режим дозирования блокаторов Н2-гистаминовых рецепторов </w:t>
      </w:r>
    </w:p>
    <w:tbl>
      <w:tblPr>
        <w:tblStyle w:val="ae"/>
        <w:tblW w:w="0" w:type="auto"/>
        <w:jc w:val="center"/>
        <w:tblLook w:val="04A0" w:firstRow="1" w:lastRow="0" w:firstColumn="1" w:lastColumn="0" w:noHBand="0" w:noVBand="1"/>
      </w:tblPr>
      <w:tblGrid>
        <w:gridCol w:w="1942"/>
        <w:gridCol w:w="2268"/>
        <w:gridCol w:w="3358"/>
      </w:tblGrid>
      <w:tr w:rsidR="004D5794" w:rsidRPr="00C96416" w14:paraId="647E3C4F" w14:textId="77777777" w:rsidTr="00CD5E09">
        <w:trPr>
          <w:jc w:val="center"/>
        </w:trPr>
        <w:tc>
          <w:tcPr>
            <w:tcW w:w="1942" w:type="dxa"/>
          </w:tcPr>
          <w:p w14:paraId="3B586139" w14:textId="77777777" w:rsidR="004D5794" w:rsidRPr="00C96416" w:rsidRDefault="004D5794" w:rsidP="00CD5E09">
            <w:pPr>
              <w:tabs>
                <w:tab w:val="left" w:pos="0"/>
              </w:tabs>
              <w:rPr>
                <w:b/>
                <w:szCs w:val="24"/>
              </w:rPr>
            </w:pPr>
            <w:r w:rsidRPr="00C96416">
              <w:rPr>
                <w:b/>
                <w:szCs w:val="24"/>
              </w:rPr>
              <w:t>Препараты</w:t>
            </w:r>
          </w:p>
        </w:tc>
        <w:tc>
          <w:tcPr>
            <w:tcW w:w="2268" w:type="dxa"/>
          </w:tcPr>
          <w:p w14:paraId="48969FD3" w14:textId="77777777" w:rsidR="004D5794" w:rsidRPr="00C96416" w:rsidRDefault="004D5794" w:rsidP="00CD5E09">
            <w:pPr>
              <w:tabs>
                <w:tab w:val="left" w:pos="0"/>
              </w:tabs>
              <w:rPr>
                <w:b/>
                <w:szCs w:val="24"/>
              </w:rPr>
            </w:pPr>
            <w:r w:rsidRPr="00C96416">
              <w:rPr>
                <w:b/>
                <w:szCs w:val="24"/>
              </w:rPr>
              <w:t xml:space="preserve">Суточная </w:t>
            </w:r>
            <w:r>
              <w:rPr>
                <w:b/>
                <w:szCs w:val="24"/>
              </w:rPr>
              <w:t>д</w:t>
            </w:r>
            <w:r w:rsidRPr="00C96416">
              <w:rPr>
                <w:b/>
                <w:szCs w:val="24"/>
              </w:rPr>
              <w:t>оза, мг</w:t>
            </w:r>
          </w:p>
        </w:tc>
        <w:tc>
          <w:tcPr>
            <w:tcW w:w="3358" w:type="dxa"/>
          </w:tcPr>
          <w:p w14:paraId="557E2C81" w14:textId="77777777" w:rsidR="004D5794" w:rsidRPr="00C96416" w:rsidRDefault="004D5794" w:rsidP="00CD5E09">
            <w:pPr>
              <w:tabs>
                <w:tab w:val="left" w:pos="0"/>
              </w:tabs>
              <w:rPr>
                <w:b/>
                <w:szCs w:val="24"/>
              </w:rPr>
            </w:pPr>
            <w:r w:rsidRPr="00C96416">
              <w:rPr>
                <w:b/>
                <w:szCs w:val="24"/>
              </w:rPr>
              <w:t>Режим дозирования</w:t>
            </w:r>
          </w:p>
        </w:tc>
      </w:tr>
      <w:tr w:rsidR="004D5794" w:rsidRPr="00C96416" w14:paraId="14A94B71" w14:textId="77777777" w:rsidTr="00CD5E09">
        <w:trPr>
          <w:jc w:val="center"/>
        </w:trPr>
        <w:tc>
          <w:tcPr>
            <w:tcW w:w="1942" w:type="dxa"/>
          </w:tcPr>
          <w:p w14:paraId="59DC8EAB" w14:textId="77777777" w:rsidR="004D5794" w:rsidRPr="00C96416" w:rsidRDefault="004D5794" w:rsidP="00CD5E09">
            <w:pPr>
              <w:tabs>
                <w:tab w:val="left" w:pos="0"/>
              </w:tabs>
              <w:rPr>
                <w:szCs w:val="24"/>
              </w:rPr>
            </w:pPr>
            <w:r>
              <w:rPr>
                <w:szCs w:val="24"/>
              </w:rPr>
              <w:t>Ранитидин</w:t>
            </w:r>
          </w:p>
        </w:tc>
        <w:tc>
          <w:tcPr>
            <w:tcW w:w="2268" w:type="dxa"/>
          </w:tcPr>
          <w:p w14:paraId="7D5A2C81" w14:textId="77777777" w:rsidR="004D5794" w:rsidRPr="00C96416" w:rsidRDefault="004D5794" w:rsidP="00CD5E09">
            <w:pPr>
              <w:tabs>
                <w:tab w:val="left" w:pos="0"/>
              </w:tabs>
              <w:rPr>
                <w:szCs w:val="24"/>
              </w:rPr>
            </w:pPr>
            <w:r>
              <w:rPr>
                <w:szCs w:val="24"/>
              </w:rPr>
              <w:t>150</w:t>
            </w:r>
          </w:p>
        </w:tc>
        <w:tc>
          <w:tcPr>
            <w:tcW w:w="3358" w:type="dxa"/>
          </w:tcPr>
          <w:p w14:paraId="076A50C5" w14:textId="77777777" w:rsidR="004D5794" w:rsidRPr="00C96416" w:rsidRDefault="004D5794" w:rsidP="00CD5E09">
            <w:pPr>
              <w:tabs>
                <w:tab w:val="left" w:pos="0"/>
              </w:tabs>
              <w:rPr>
                <w:szCs w:val="24"/>
              </w:rPr>
            </w:pPr>
            <w:r>
              <w:rPr>
                <w:szCs w:val="24"/>
              </w:rPr>
              <w:t>Внутрь, 1 раз в сутки, на ночь</w:t>
            </w:r>
          </w:p>
        </w:tc>
      </w:tr>
      <w:tr w:rsidR="004D5794" w:rsidRPr="00C96416" w14:paraId="1DE7497D" w14:textId="77777777" w:rsidTr="00CD5E09">
        <w:trPr>
          <w:jc w:val="center"/>
        </w:trPr>
        <w:tc>
          <w:tcPr>
            <w:tcW w:w="1942" w:type="dxa"/>
          </w:tcPr>
          <w:p w14:paraId="3DBFF888" w14:textId="77777777" w:rsidR="004D5794" w:rsidRPr="00C96416" w:rsidRDefault="004D5794" w:rsidP="00CD5E09">
            <w:pPr>
              <w:tabs>
                <w:tab w:val="left" w:pos="0"/>
              </w:tabs>
              <w:rPr>
                <w:szCs w:val="24"/>
              </w:rPr>
            </w:pPr>
            <w:r>
              <w:rPr>
                <w:szCs w:val="24"/>
              </w:rPr>
              <w:lastRenderedPageBreak/>
              <w:t>Фамотидин</w:t>
            </w:r>
          </w:p>
        </w:tc>
        <w:tc>
          <w:tcPr>
            <w:tcW w:w="2268" w:type="dxa"/>
          </w:tcPr>
          <w:p w14:paraId="08AE4204" w14:textId="77777777" w:rsidR="004D5794" w:rsidRPr="00C96416" w:rsidRDefault="004D5794" w:rsidP="00CD5E09">
            <w:pPr>
              <w:tabs>
                <w:tab w:val="left" w:pos="0"/>
              </w:tabs>
              <w:rPr>
                <w:szCs w:val="24"/>
              </w:rPr>
            </w:pPr>
            <w:r>
              <w:rPr>
                <w:szCs w:val="24"/>
              </w:rPr>
              <w:t>2</w:t>
            </w:r>
            <w:r w:rsidRPr="00C96416">
              <w:rPr>
                <w:szCs w:val="24"/>
              </w:rPr>
              <w:t xml:space="preserve">0 </w:t>
            </w:r>
          </w:p>
        </w:tc>
        <w:tc>
          <w:tcPr>
            <w:tcW w:w="3358" w:type="dxa"/>
          </w:tcPr>
          <w:p w14:paraId="2027474E" w14:textId="77777777" w:rsidR="004D5794" w:rsidRDefault="004D5794" w:rsidP="00CD5E09">
            <w:r w:rsidRPr="00826EC3">
              <w:rPr>
                <w:szCs w:val="24"/>
              </w:rPr>
              <w:t>Внутрь, 1 раз в сутки</w:t>
            </w:r>
            <w:r>
              <w:rPr>
                <w:szCs w:val="24"/>
              </w:rPr>
              <w:t>, на ночь</w:t>
            </w:r>
          </w:p>
        </w:tc>
      </w:tr>
    </w:tbl>
    <w:p w14:paraId="4CFB0532" w14:textId="77777777" w:rsidR="004D5794" w:rsidRPr="007C2EE2" w:rsidRDefault="004D5794" w:rsidP="004D5794">
      <w:pPr>
        <w:pStyle w:val="afff3"/>
        <w:tabs>
          <w:tab w:val="left" w:pos="0"/>
        </w:tabs>
        <w:ind w:left="0" w:firstLine="567"/>
        <w:rPr>
          <w:szCs w:val="24"/>
        </w:rPr>
      </w:pPr>
    </w:p>
    <w:p w14:paraId="7534F84D" w14:textId="77310056" w:rsidR="00A7029B" w:rsidRPr="00A7029B" w:rsidRDefault="004D5794" w:rsidP="004905C2">
      <w:pPr>
        <w:pStyle w:val="2"/>
      </w:pPr>
      <w:bookmarkStart w:id="185" w:name="_Toc64565658"/>
      <w:r w:rsidRPr="00A7029B">
        <w:t>7.</w:t>
      </w:r>
      <w:r w:rsidR="00143441">
        <w:t>8</w:t>
      </w:r>
      <w:r w:rsidRPr="00A7029B">
        <w:t xml:space="preserve">. </w:t>
      </w:r>
      <w:r w:rsidR="00A7029B" w:rsidRPr="00A7029B">
        <w:t>Профилактика, диагностика и лечение асептических остеонекрозов у пациентов с острыми лимфобластными лейкозами.</w:t>
      </w:r>
      <w:bookmarkEnd w:id="185"/>
    </w:p>
    <w:p w14:paraId="0C26A70C" w14:textId="77777777" w:rsidR="00A7029B" w:rsidRDefault="00A7029B" w:rsidP="00A7029B">
      <w:pPr>
        <w:ind w:firstLine="708"/>
        <w:rPr>
          <w:b/>
          <w:szCs w:val="24"/>
        </w:rPr>
      </w:pPr>
    </w:p>
    <w:p w14:paraId="41E3419D" w14:textId="68067283" w:rsidR="00A7029B" w:rsidRPr="002E0BCA" w:rsidRDefault="00A7029B" w:rsidP="00A7029B">
      <w:pPr>
        <w:ind w:firstLine="708"/>
        <w:rPr>
          <w:szCs w:val="24"/>
        </w:rPr>
      </w:pPr>
      <w:r w:rsidRPr="002E0BCA">
        <w:rPr>
          <w:szCs w:val="24"/>
        </w:rPr>
        <w:t xml:space="preserve">Асептический остеонекроз (АОН) у пациентов </w:t>
      </w:r>
      <w:r>
        <w:rPr>
          <w:szCs w:val="24"/>
        </w:rPr>
        <w:t xml:space="preserve">с острыми лимфобластными лейкозами </w:t>
      </w:r>
      <w:r w:rsidRPr="002E0BCA">
        <w:rPr>
          <w:szCs w:val="24"/>
        </w:rPr>
        <w:t>относится к группе вторичных остеонекрозов. Его развитие связано с нарушением кровоснабжения и гибелью костных клеток в определенном участке костной ткани на фоне химиотерапии или воздействия глюкокортикостероидов.</w:t>
      </w:r>
      <w:r>
        <w:rPr>
          <w:szCs w:val="24"/>
        </w:rPr>
        <w:t xml:space="preserve"> Наиболее часто к развитию АОН </w:t>
      </w:r>
      <w:r w:rsidRPr="002E0BCA">
        <w:rPr>
          <w:szCs w:val="24"/>
        </w:rPr>
        <w:t>прив</w:t>
      </w:r>
      <w:r>
        <w:rPr>
          <w:szCs w:val="24"/>
        </w:rPr>
        <w:t>одит терапия острого лимфобластного лейкоза и</w:t>
      </w:r>
      <w:r w:rsidRPr="002E0BCA">
        <w:rPr>
          <w:szCs w:val="24"/>
        </w:rPr>
        <w:t xml:space="preserve"> аллогенн</w:t>
      </w:r>
      <w:r w:rsidR="00143441">
        <w:rPr>
          <w:szCs w:val="24"/>
        </w:rPr>
        <w:t>ая трансплантация</w:t>
      </w:r>
      <w:r w:rsidRPr="002E0BCA">
        <w:rPr>
          <w:szCs w:val="24"/>
        </w:rPr>
        <w:t xml:space="preserve"> костного мозга. </w:t>
      </w:r>
    </w:p>
    <w:p w14:paraId="4658FE19" w14:textId="77777777" w:rsidR="00A7029B" w:rsidRDefault="00A7029B" w:rsidP="00A7029B">
      <w:pPr>
        <w:ind w:firstLine="708"/>
        <w:rPr>
          <w:szCs w:val="24"/>
        </w:rPr>
      </w:pPr>
      <w:r w:rsidRPr="002E0BCA">
        <w:rPr>
          <w:szCs w:val="24"/>
        </w:rPr>
        <w:t xml:space="preserve">АОН у больных </w:t>
      </w:r>
      <w:r>
        <w:rPr>
          <w:szCs w:val="24"/>
        </w:rPr>
        <w:t xml:space="preserve">острыми лейкозами </w:t>
      </w:r>
      <w:r w:rsidRPr="002E0BCA">
        <w:rPr>
          <w:szCs w:val="24"/>
        </w:rPr>
        <w:t>преимущественно локализуется в длинных трубчатых костях. По расположению в трубчатой кости очаги могут выявляться как вне связи с эпифизами, это медуллярные остеонекрозы, так и поражать эпифизы, суставные отделы трубчатых костей. В этих случаях остеонекроз определяют, как – асептический некроз, и далее, название эпифиза, например, асептический некроз головки бедренной кости и т.п. Как синоним, часто используется определение – аваскулярный некроз (АВН) головки бедренной кости или других локализаций остеонекрозов эпифизов длинных костей, хотя, словосочетание «асептический некроз» более точно отражает патологический процесс (аваскулярный некроз кости часто сопровождает инфекционные заболевания костей и суставов, что не относится к рассматриваемой проблеме).</w:t>
      </w:r>
    </w:p>
    <w:p w14:paraId="5F18EBA8" w14:textId="77777777" w:rsidR="00A7029B" w:rsidRDefault="00A7029B" w:rsidP="00A7029B">
      <w:pPr>
        <w:ind w:firstLine="708"/>
      </w:pPr>
    </w:p>
    <w:p w14:paraId="5A157F6B" w14:textId="77777777" w:rsidR="00A7029B" w:rsidRPr="00314E71" w:rsidRDefault="00A7029B" w:rsidP="00A7029B">
      <w:pPr>
        <w:rPr>
          <w:i/>
          <w:iCs/>
          <w:u w:val="single"/>
        </w:rPr>
      </w:pPr>
      <w:r w:rsidRPr="00314E71">
        <w:rPr>
          <w:i/>
          <w:iCs/>
          <w:u w:val="single"/>
        </w:rPr>
        <w:t>Диагностика</w:t>
      </w:r>
    </w:p>
    <w:p w14:paraId="05C62196" w14:textId="77777777" w:rsidR="00A7029B" w:rsidRDefault="00A7029B" w:rsidP="00A7029B">
      <w:pPr>
        <w:ind w:firstLine="708"/>
        <w:rPr>
          <w:szCs w:val="24"/>
        </w:rPr>
      </w:pPr>
      <w:r>
        <w:t xml:space="preserve">Всем пациентам с острым лимфобластным лейкозом и подозрением на асептический остеонекроз необходимо выполнять </w:t>
      </w:r>
      <w:r w:rsidRPr="00314E71">
        <w:rPr>
          <w:szCs w:val="24"/>
        </w:rPr>
        <w:t xml:space="preserve">МРТ костей и суставов. </w:t>
      </w:r>
    </w:p>
    <w:p w14:paraId="1D0338AF" w14:textId="77777777" w:rsidR="00A7029B" w:rsidRDefault="00A7029B" w:rsidP="00A7029B">
      <w:pPr>
        <w:ind w:firstLine="708"/>
        <w:rPr>
          <w:szCs w:val="24"/>
        </w:rPr>
      </w:pPr>
      <w:r w:rsidRPr="00E66B41">
        <w:rPr>
          <w:szCs w:val="24"/>
        </w:rPr>
        <w:t xml:space="preserve">На более поздних стадиях – 6-12 недель от начала заболевания – выявить остеонекроз возможно при рентгенографии и КТ костей по характерному признаку – наличие географической формы тонкой линии остеосклероза, которая формируется при прорастании костной ткани из непораженного участка в очаг остеонекроза. При секвестрировании выявляется полоска просветления по форме очага. Рентгенография и КТ костей и суставов используются также при планировании оперативных вмешательств на поздних стадиях остеонекроза при развитии деформации суставного отдела длинной трубчатой кости. </w:t>
      </w:r>
      <w:r w:rsidRPr="002E0BCA">
        <w:rPr>
          <w:szCs w:val="24"/>
        </w:rPr>
        <w:t xml:space="preserve">Дополнить инструментальную диагностику может двухэнергетическая рентгеновская денситометрия, которая позволяет выявить проявления системного </w:t>
      </w:r>
      <w:r w:rsidRPr="002E0BCA">
        <w:rPr>
          <w:szCs w:val="24"/>
        </w:rPr>
        <w:lastRenderedPageBreak/>
        <w:t>остеопороза и состояние костной ткани в области установленных имплантов, если пациентам выполнялось эндопротезирование суставов.</w:t>
      </w:r>
    </w:p>
    <w:p w14:paraId="1FA2461A" w14:textId="77777777" w:rsidR="00A7029B" w:rsidRPr="00314E71" w:rsidRDefault="00A7029B" w:rsidP="00A7029B">
      <w:pPr>
        <w:ind w:firstLine="708"/>
        <w:rPr>
          <w:szCs w:val="24"/>
        </w:rPr>
      </w:pPr>
      <w:r>
        <w:rPr>
          <w:szCs w:val="24"/>
        </w:rPr>
        <w:t xml:space="preserve">Всем </w:t>
      </w:r>
      <w:r>
        <w:t xml:space="preserve">пациентам с ОЛЛ и подозрением на асептический остеонекроз необходимо выполнять </w:t>
      </w:r>
      <w:r w:rsidRPr="00314E71">
        <w:rPr>
          <w:szCs w:val="24"/>
        </w:rPr>
        <w:t xml:space="preserve">исследовать маркеры костного метаболизма (уровень кальция крови, уровень кальция суточной мочи, паратгормон, активность щелочной фосфатазы, 25-(ОН) вит </w:t>
      </w:r>
      <w:r w:rsidRPr="00314E71">
        <w:rPr>
          <w:szCs w:val="24"/>
          <w:lang w:val="en-US"/>
        </w:rPr>
        <w:t>D</w:t>
      </w:r>
      <w:r w:rsidRPr="00314E71">
        <w:rPr>
          <w:szCs w:val="24"/>
        </w:rPr>
        <w:t>, д</w:t>
      </w:r>
      <w:r w:rsidRPr="00314E71">
        <w:rPr>
          <w:rStyle w:val="aff5"/>
          <w:b w:val="0"/>
          <w:bCs w:val="0"/>
          <w:szCs w:val="24"/>
        </w:rPr>
        <w:t>езоксипиридинолин</w:t>
      </w:r>
      <w:r w:rsidRPr="00314E71">
        <w:rPr>
          <w:szCs w:val="24"/>
        </w:rPr>
        <w:t xml:space="preserve"> (ДПИД)  или </w:t>
      </w:r>
      <w:r w:rsidRPr="00314E71">
        <w:rPr>
          <w:szCs w:val="24"/>
          <w:lang w:val="en-US"/>
        </w:rPr>
        <w:t>beta</w:t>
      </w:r>
      <w:r w:rsidRPr="00314E71">
        <w:rPr>
          <w:szCs w:val="24"/>
        </w:rPr>
        <w:t>-</w:t>
      </w:r>
      <w:r w:rsidRPr="00314E71">
        <w:rPr>
          <w:szCs w:val="24"/>
          <w:lang w:val="en-US"/>
        </w:rPr>
        <w:t>crocc</w:t>
      </w:r>
      <w:r w:rsidRPr="00314E71">
        <w:rPr>
          <w:szCs w:val="24"/>
        </w:rPr>
        <w:t xml:space="preserve"> </w:t>
      </w:r>
      <w:r w:rsidRPr="00314E71">
        <w:rPr>
          <w:szCs w:val="24"/>
          <w:lang w:val="en-US"/>
        </w:rPr>
        <w:t>laps</w:t>
      </w:r>
      <w:r w:rsidRPr="00314E71">
        <w:rPr>
          <w:szCs w:val="24"/>
        </w:rPr>
        <w:t>, остеокальцин), которые могут помочь в определении тактики дальнейшего сопроводительного лечения и назначении специфической терапии остеопороза.</w:t>
      </w:r>
    </w:p>
    <w:p w14:paraId="2F681396" w14:textId="77777777" w:rsidR="00A7029B" w:rsidRDefault="00A7029B" w:rsidP="00A7029B">
      <w:pPr>
        <w:rPr>
          <w:b/>
          <w:bCs/>
          <w:i/>
          <w:szCs w:val="24"/>
        </w:rPr>
      </w:pPr>
    </w:p>
    <w:p w14:paraId="46C4278D" w14:textId="77777777" w:rsidR="00A7029B" w:rsidRPr="00314E71" w:rsidRDefault="00A7029B" w:rsidP="00A7029B">
      <w:pPr>
        <w:rPr>
          <w:i/>
          <w:szCs w:val="24"/>
          <w:u w:val="single"/>
        </w:rPr>
      </w:pPr>
      <w:r w:rsidRPr="00314E71">
        <w:rPr>
          <w:i/>
          <w:szCs w:val="24"/>
          <w:u w:val="single"/>
        </w:rPr>
        <w:t xml:space="preserve">Классификация остеонекроза головки бедренной кости по </w:t>
      </w:r>
      <w:r w:rsidRPr="00314E71">
        <w:rPr>
          <w:i/>
          <w:szCs w:val="24"/>
          <w:u w:val="single"/>
          <w:lang w:val="en-US"/>
        </w:rPr>
        <w:t>ARCO</w:t>
      </w:r>
      <w:r w:rsidRPr="00314E71">
        <w:rPr>
          <w:i/>
          <w:szCs w:val="24"/>
          <w:u w:val="single"/>
        </w:rPr>
        <w:t xml:space="preserve"> (</w:t>
      </w:r>
      <w:r w:rsidRPr="00314E71">
        <w:rPr>
          <w:i/>
          <w:szCs w:val="24"/>
          <w:u w:val="single"/>
          <w:lang w:val="en-US"/>
        </w:rPr>
        <w:t>Association</w:t>
      </w:r>
      <w:r w:rsidRPr="00314E71">
        <w:rPr>
          <w:i/>
          <w:szCs w:val="24"/>
          <w:u w:val="single"/>
        </w:rPr>
        <w:t xml:space="preserve"> </w:t>
      </w:r>
      <w:r w:rsidRPr="00314E71">
        <w:rPr>
          <w:i/>
          <w:szCs w:val="24"/>
          <w:u w:val="single"/>
          <w:lang w:val="en-US"/>
        </w:rPr>
        <w:t>Research</w:t>
      </w:r>
      <w:r w:rsidRPr="00314E71">
        <w:rPr>
          <w:i/>
          <w:szCs w:val="24"/>
          <w:u w:val="single"/>
        </w:rPr>
        <w:t xml:space="preserve"> </w:t>
      </w:r>
      <w:r w:rsidRPr="00314E71">
        <w:rPr>
          <w:i/>
          <w:szCs w:val="24"/>
          <w:u w:val="single"/>
          <w:lang w:val="en-US"/>
        </w:rPr>
        <w:t>Circulation</w:t>
      </w:r>
      <w:r w:rsidRPr="00314E71">
        <w:rPr>
          <w:i/>
          <w:szCs w:val="24"/>
          <w:u w:val="single"/>
        </w:rPr>
        <w:t xml:space="preserve"> </w:t>
      </w:r>
      <w:r w:rsidRPr="00314E71">
        <w:rPr>
          <w:i/>
          <w:szCs w:val="24"/>
          <w:u w:val="single"/>
          <w:lang w:val="en-US"/>
        </w:rPr>
        <w:t>Osseous</w:t>
      </w:r>
      <w:r w:rsidRPr="00314E71">
        <w:rPr>
          <w:i/>
          <w:szCs w:val="24"/>
          <w:u w:val="single"/>
        </w:rPr>
        <w:t>):</w:t>
      </w:r>
    </w:p>
    <w:p w14:paraId="6E2E1FB1" w14:textId="77777777" w:rsidR="00A7029B" w:rsidRPr="002E0BCA" w:rsidRDefault="00A7029B" w:rsidP="00A7029B">
      <w:pPr>
        <w:rPr>
          <w:szCs w:val="24"/>
        </w:rPr>
      </w:pPr>
      <w:r w:rsidRPr="002E0BCA">
        <w:rPr>
          <w:bCs/>
          <w:szCs w:val="24"/>
          <w:u w:val="single"/>
        </w:rPr>
        <w:t>Стадия 0:</w:t>
      </w:r>
      <w:r w:rsidRPr="002E0BCA">
        <w:rPr>
          <w:szCs w:val="24"/>
        </w:rPr>
        <w:t xml:space="preserve"> жалоб нет. Клинически без патологии. Остеонекроз при гистологическом исследовании.</w:t>
      </w:r>
    </w:p>
    <w:p w14:paraId="7A82B079" w14:textId="77777777" w:rsidR="00A7029B" w:rsidRPr="002E0BCA" w:rsidRDefault="00A7029B" w:rsidP="00A7029B">
      <w:pPr>
        <w:rPr>
          <w:szCs w:val="24"/>
        </w:rPr>
      </w:pPr>
      <w:r w:rsidRPr="002E0BCA">
        <w:rPr>
          <w:bCs/>
          <w:szCs w:val="24"/>
          <w:u w:val="single"/>
        </w:rPr>
        <w:t>Стадия 1:</w:t>
      </w:r>
      <w:r w:rsidRPr="002E0BCA">
        <w:rPr>
          <w:szCs w:val="24"/>
        </w:rPr>
        <w:t xml:space="preserve"> рентгенологически без патологии. При МРТ или радионуклидном исследовании (сцинтиография костей) – остеонекроз.</w:t>
      </w:r>
    </w:p>
    <w:p w14:paraId="02B916CF" w14:textId="77777777" w:rsidR="00A7029B" w:rsidRPr="002E0BCA" w:rsidRDefault="00A7029B" w:rsidP="00A7029B">
      <w:pPr>
        <w:rPr>
          <w:szCs w:val="24"/>
        </w:rPr>
      </w:pPr>
      <w:r w:rsidRPr="002E0BCA">
        <w:rPr>
          <w:bCs/>
          <w:szCs w:val="24"/>
          <w:u w:val="single"/>
        </w:rPr>
        <w:t>Стадия 2:</w:t>
      </w:r>
      <w:r w:rsidRPr="002E0BCA">
        <w:rPr>
          <w:szCs w:val="24"/>
        </w:rPr>
        <w:t xml:space="preserve"> на рентгенограммах при МРТ выявляются ранние признаки остеонекроза. Форма головки не нарушена, субхондральный симптом полумесяца отсутствует.</w:t>
      </w:r>
    </w:p>
    <w:p w14:paraId="11ACB8A0" w14:textId="77777777" w:rsidR="00A7029B" w:rsidRPr="002E0BCA" w:rsidRDefault="00A7029B" w:rsidP="00A7029B">
      <w:pPr>
        <w:ind w:firstLine="708"/>
        <w:rPr>
          <w:szCs w:val="24"/>
        </w:rPr>
      </w:pPr>
      <w:r w:rsidRPr="002E0BCA">
        <w:rPr>
          <w:szCs w:val="24"/>
        </w:rPr>
        <w:t xml:space="preserve">Подгруппы в зависимости от площади поражения суставной поверхности: </w:t>
      </w:r>
    </w:p>
    <w:p w14:paraId="2A339929" w14:textId="77777777" w:rsidR="00A7029B" w:rsidRPr="002E0BCA" w:rsidRDefault="00A7029B" w:rsidP="00A7029B">
      <w:pPr>
        <w:ind w:firstLine="708"/>
        <w:rPr>
          <w:szCs w:val="24"/>
        </w:rPr>
      </w:pPr>
      <w:r w:rsidRPr="002E0BCA">
        <w:rPr>
          <w:szCs w:val="24"/>
          <w:lang w:val="en-US"/>
        </w:rPr>
        <w:t>A</w:t>
      </w:r>
      <w:r w:rsidRPr="002E0BCA">
        <w:rPr>
          <w:szCs w:val="24"/>
        </w:rPr>
        <w:t xml:space="preserve"> – менее 15%</w:t>
      </w:r>
    </w:p>
    <w:p w14:paraId="18878BDE" w14:textId="77777777" w:rsidR="00A7029B" w:rsidRPr="002E0BCA" w:rsidRDefault="00A7029B" w:rsidP="00A7029B">
      <w:pPr>
        <w:ind w:firstLine="708"/>
        <w:rPr>
          <w:szCs w:val="24"/>
        </w:rPr>
      </w:pPr>
      <w:r w:rsidRPr="002E0BCA">
        <w:rPr>
          <w:szCs w:val="24"/>
          <w:lang w:val="en-US"/>
        </w:rPr>
        <w:t>B</w:t>
      </w:r>
      <w:r w:rsidRPr="002E0BCA">
        <w:rPr>
          <w:szCs w:val="24"/>
        </w:rPr>
        <w:t xml:space="preserve"> – 15-30%</w:t>
      </w:r>
    </w:p>
    <w:p w14:paraId="230D928D" w14:textId="77777777" w:rsidR="00A7029B" w:rsidRPr="002E0BCA" w:rsidRDefault="00A7029B" w:rsidP="00A7029B">
      <w:pPr>
        <w:ind w:firstLine="708"/>
        <w:rPr>
          <w:szCs w:val="24"/>
        </w:rPr>
      </w:pPr>
      <w:r w:rsidRPr="002E0BCA">
        <w:rPr>
          <w:szCs w:val="24"/>
          <w:lang w:val="en-US"/>
        </w:rPr>
        <w:t>C</w:t>
      </w:r>
      <w:r w:rsidRPr="002E0BCA">
        <w:rPr>
          <w:szCs w:val="24"/>
        </w:rPr>
        <w:t xml:space="preserve"> – более 30%</w:t>
      </w:r>
    </w:p>
    <w:p w14:paraId="5ABBE8F6" w14:textId="77777777" w:rsidR="00A7029B" w:rsidRPr="002E0BCA" w:rsidRDefault="00A7029B" w:rsidP="00A7029B">
      <w:pPr>
        <w:rPr>
          <w:szCs w:val="24"/>
        </w:rPr>
      </w:pPr>
      <w:r w:rsidRPr="002E0BCA">
        <w:rPr>
          <w:bCs/>
          <w:szCs w:val="24"/>
          <w:u w:val="single"/>
        </w:rPr>
        <w:t>Стадия 3:</w:t>
      </w:r>
      <w:r w:rsidRPr="002E0BCA">
        <w:rPr>
          <w:szCs w:val="24"/>
        </w:rPr>
        <w:t xml:space="preserve"> на рентгенограммах имеется симптом полумесяца, но сферичность головки сохранена.</w:t>
      </w:r>
    </w:p>
    <w:p w14:paraId="75E518FB" w14:textId="77777777" w:rsidR="00A7029B" w:rsidRPr="002E0BCA" w:rsidRDefault="00A7029B" w:rsidP="00A7029B">
      <w:pPr>
        <w:ind w:firstLine="708"/>
        <w:rPr>
          <w:szCs w:val="24"/>
        </w:rPr>
      </w:pPr>
      <w:r w:rsidRPr="002E0BCA">
        <w:rPr>
          <w:szCs w:val="24"/>
        </w:rPr>
        <w:t>Подгруппы в зависимости от соотношения размера полумесяца к размеру суставной поверхности:</w:t>
      </w:r>
    </w:p>
    <w:p w14:paraId="70FC396F" w14:textId="77777777" w:rsidR="00A7029B" w:rsidRPr="002E0BCA" w:rsidRDefault="00A7029B" w:rsidP="00A7029B">
      <w:pPr>
        <w:ind w:firstLine="708"/>
        <w:rPr>
          <w:szCs w:val="24"/>
        </w:rPr>
      </w:pPr>
      <w:r w:rsidRPr="002E0BCA">
        <w:rPr>
          <w:szCs w:val="24"/>
          <w:lang w:val="en-US"/>
        </w:rPr>
        <w:t>A</w:t>
      </w:r>
      <w:r w:rsidRPr="002E0BCA">
        <w:rPr>
          <w:szCs w:val="24"/>
        </w:rPr>
        <w:t xml:space="preserve"> – менее 15%</w:t>
      </w:r>
    </w:p>
    <w:p w14:paraId="17345907" w14:textId="77777777" w:rsidR="00A7029B" w:rsidRPr="002E0BCA" w:rsidRDefault="00A7029B" w:rsidP="00A7029B">
      <w:pPr>
        <w:ind w:firstLine="708"/>
        <w:rPr>
          <w:szCs w:val="24"/>
        </w:rPr>
      </w:pPr>
      <w:r w:rsidRPr="002E0BCA">
        <w:rPr>
          <w:szCs w:val="24"/>
          <w:lang w:val="en-US"/>
        </w:rPr>
        <w:t>B</w:t>
      </w:r>
      <w:r w:rsidRPr="002E0BCA">
        <w:rPr>
          <w:szCs w:val="24"/>
        </w:rPr>
        <w:t xml:space="preserve"> – 15-30%</w:t>
      </w:r>
    </w:p>
    <w:p w14:paraId="4E482534" w14:textId="77777777" w:rsidR="00A7029B" w:rsidRPr="002E0BCA" w:rsidRDefault="00A7029B" w:rsidP="00A7029B">
      <w:pPr>
        <w:ind w:firstLine="708"/>
        <w:rPr>
          <w:szCs w:val="24"/>
        </w:rPr>
      </w:pPr>
      <w:r w:rsidRPr="002E0BCA">
        <w:rPr>
          <w:szCs w:val="24"/>
          <w:lang w:val="en-US"/>
        </w:rPr>
        <w:t>C</w:t>
      </w:r>
      <w:r w:rsidRPr="002E0BCA">
        <w:rPr>
          <w:szCs w:val="24"/>
        </w:rPr>
        <w:t xml:space="preserve"> – более 30%</w:t>
      </w:r>
    </w:p>
    <w:p w14:paraId="40C8168E" w14:textId="77777777" w:rsidR="00A7029B" w:rsidRPr="002E0BCA" w:rsidRDefault="00A7029B" w:rsidP="00A7029B">
      <w:pPr>
        <w:rPr>
          <w:szCs w:val="24"/>
        </w:rPr>
      </w:pPr>
      <w:r w:rsidRPr="002E0BCA">
        <w:rPr>
          <w:bCs/>
          <w:szCs w:val="24"/>
          <w:u w:val="single"/>
        </w:rPr>
        <w:t>Стадия 4:</w:t>
      </w:r>
      <w:r w:rsidRPr="002E0BCA">
        <w:rPr>
          <w:szCs w:val="24"/>
        </w:rPr>
        <w:t xml:space="preserve"> признаки уплощения или коллапса головки.</w:t>
      </w:r>
    </w:p>
    <w:p w14:paraId="5716172F" w14:textId="77777777" w:rsidR="00A7029B" w:rsidRPr="002E0BCA" w:rsidRDefault="00A7029B" w:rsidP="00A7029B">
      <w:pPr>
        <w:ind w:firstLine="708"/>
        <w:rPr>
          <w:szCs w:val="24"/>
        </w:rPr>
      </w:pPr>
      <w:r w:rsidRPr="002E0BCA">
        <w:rPr>
          <w:szCs w:val="24"/>
        </w:rPr>
        <w:t>Подгруппы:</w:t>
      </w:r>
    </w:p>
    <w:p w14:paraId="05843880" w14:textId="77777777" w:rsidR="00A7029B" w:rsidRPr="002E0BCA" w:rsidRDefault="00A7029B" w:rsidP="00A7029B">
      <w:pPr>
        <w:ind w:firstLine="708"/>
        <w:rPr>
          <w:szCs w:val="24"/>
        </w:rPr>
      </w:pPr>
      <w:r w:rsidRPr="002E0BCA">
        <w:rPr>
          <w:szCs w:val="24"/>
          <w:lang w:val="en-US"/>
        </w:rPr>
        <w:t>A</w:t>
      </w:r>
      <w:r w:rsidRPr="002E0BCA">
        <w:rPr>
          <w:szCs w:val="24"/>
        </w:rPr>
        <w:t xml:space="preserve"> – менее 15% суставной поверхности.</w:t>
      </w:r>
    </w:p>
    <w:p w14:paraId="3C78327C" w14:textId="77777777" w:rsidR="00A7029B" w:rsidRPr="002E0BCA" w:rsidRDefault="00A7029B" w:rsidP="00A7029B">
      <w:pPr>
        <w:ind w:firstLine="708"/>
        <w:rPr>
          <w:szCs w:val="24"/>
        </w:rPr>
      </w:pPr>
      <w:r w:rsidRPr="002E0BCA">
        <w:rPr>
          <w:szCs w:val="24"/>
          <w:lang w:val="en-US"/>
        </w:rPr>
        <w:t>B</w:t>
      </w:r>
      <w:r w:rsidRPr="002E0BCA">
        <w:rPr>
          <w:szCs w:val="24"/>
        </w:rPr>
        <w:t xml:space="preserve"> – 15-30% суставной поверхности.</w:t>
      </w:r>
    </w:p>
    <w:p w14:paraId="6A358A6C" w14:textId="77777777" w:rsidR="00A7029B" w:rsidRPr="002E0BCA" w:rsidRDefault="00A7029B" w:rsidP="00A7029B">
      <w:pPr>
        <w:ind w:firstLine="708"/>
        <w:rPr>
          <w:szCs w:val="24"/>
        </w:rPr>
      </w:pPr>
      <w:r w:rsidRPr="002E0BCA">
        <w:rPr>
          <w:szCs w:val="24"/>
          <w:lang w:val="en-US"/>
        </w:rPr>
        <w:t>C</w:t>
      </w:r>
      <w:r w:rsidRPr="002E0BCA">
        <w:rPr>
          <w:szCs w:val="24"/>
        </w:rPr>
        <w:t xml:space="preserve"> – более 30% суставной поверхности.</w:t>
      </w:r>
    </w:p>
    <w:p w14:paraId="230C4719" w14:textId="77777777" w:rsidR="00A7029B" w:rsidRPr="002E0BCA" w:rsidRDefault="00A7029B" w:rsidP="00A7029B">
      <w:pPr>
        <w:rPr>
          <w:szCs w:val="24"/>
        </w:rPr>
      </w:pPr>
      <w:r w:rsidRPr="002E0BCA">
        <w:rPr>
          <w:bCs/>
          <w:szCs w:val="24"/>
          <w:u w:val="single"/>
        </w:rPr>
        <w:t>Стадия 5:</w:t>
      </w:r>
      <w:r>
        <w:rPr>
          <w:bCs/>
          <w:szCs w:val="24"/>
          <w:u w:val="single"/>
        </w:rPr>
        <w:t xml:space="preserve"> </w:t>
      </w:r>
      <w:r w:rsidRPr="002E0BCA">
        <w:rPr>
          <w:szCs w:val="24"/>
        </w:rPr>
        <w:t>то же, что и выше, но имеется сужение суставной щели (вторичный артроз)</w:t>
      </w:r>
    </w:p>
    <w:p w14:paraId="29105935" w14:textId="77777777" w:rsidR="00A7029B" w:rsidRPr="002E0BCA" w:rsidRDefault="00A7029B" w:rsidP="00A7029B">
      <w:pPr>
        <w:rPr>
          <w:szCs w:val="24"/>
        </w:rPr>
      </w:pPr>
      <w:r w:rsidRPr="002E0BCA">
        <w:rPr>
          <w:bCs/>
          <w:szCs w:val="24"/>
          <w:u w:val="single"/>
        </w:rPr>
        <w:lastRenderedPageBreak/>
        <w:t>Стадия 6:</w:t>
      </w:r>
      <w:r w:rsidRPr="002E0BCA">
        <w:rPr>
          <w:szCs w:val="24"/>
        </w:rPr>
        <w:t xml:space="preserve"> то же, что и выше, но имеется выраженная деструкция суставных поверхностей.</w:t>
      </w:r>
    </w:p>
    <w:p w14:paraId="733B18E6" w14:textId="77777777" w:rsidR="00A7029B" w:rsidRDefault="00A7029B" w:rsidP="00A7029B">
      <w:pPr>
        <w:widowControl/>
        <w:autoSpaceDE/>
        <w:autoSpaceDN/>
        <w:adjustRightInd/>
        <w:rPr>
          <w:b/>
          <w:szCs w:val="24"/>
        </w:rPr>
      </w:pPr>
    </w:p>
    <w:p w14:paraId="3D3716CE" w14:textId="77777777" w:rsidR="00A7029B" w:rsidRPr="00314E71" w:rsidRDefault="00A7029B" w:rsidP="00A7029B">
      <w:pPr>
        <w:widowControl/>
        <w:autoSpaceDE/>
        <w:autoSpaceDN/>
        <w:adjustRightInd/>
        <w:rPr>
          <w:bCs/>
          <w:i/>
          <w:iCs/>
          <w:szCs w:val="24"/>
          <w:u w:val="single"/>
        </w:rPr>
      </w:pPr>
      <w:r w:rsidRPr="00314E71">
        <w:rPr>
          <w:bCs/>
          <w:i/>
          <w:iCs/>
          <w:szCs w:val="24"/>
          <w:u w:val="single"/>
        </w:rPr>
        <w:t>Лечение</w:t>
      </w:r>
    </w:p>
    <w:p w14:paraId="0572C25E" w14:textId="77777777" w:rsidR="00A7029B" w:rsidRPr="00314E71" w:rsidRDefault="00A7029B" w:rsidP="00A7029B">
      <w:pPr>
        <w:widowControl/>
        <w:autoSpaceDE/>
        <w:autoSpaceDN/>
        <w:adjustRightInd/>
        <w:rPr>
          <w:b/>
          <w:szCs w:val="24"/>
        </w:rPr>
      </w:pPr>
      <w:r w:rsidRPr="00314E71">
        <w:rPr>
          <w:b/>
          <w:szCs w:val="24"/>
        </w:rPr>
        <w:t>Консервативное лечение:</w:t>
      </w:r>
    </w:p>
    <w:p w14:paraId="1E974859" w14:textId="77777777" w:rsidR="00A7029B" w:rsidRPr="002E0BCA" w:rsidRDefault="00A7029B" w:rsidP="00A7029B">
      <w:pPr>
        <w:pStyle w:val="afff3"/>
        <w:widowControl/>
        <w:numPr>
          <w:ilvl w:val="0"/>
          <w:numId w:val="233"/>
        </w:numPr>
        <w:autoSpaceDE/>
        <w:autoSpaceDN/>
        <w:adjustRightInd/>
        <w:spacing w:after="160"/>
        <w:rPr>
          <w:szCs w:val="24"/>
        </w:rPr>
      </w:pPr>
      <w:r w:rsidRPr="002E0BCA">
        <w:rPr>
          <w:szCs w:val="24"/>
        </w:rPr>
        <w:t>Охранительный режим</w:t>
      </w:r>
    </w:p>
    <w:p w14:paraId="2CBF3AA7" w14:textId="77777777" w:rsidR="00A7029B" w:rsidRPr="002E0BCA" w:rsidRDefault="00A7029B" w:rsidP="00A7029B">
      <w:pPr>
        <w:pStyle w:val="afff3"/>
        <w:widowControl/>
        <w:numPr>
          <w:ilvl w:val="0"/>
          <w:numId w:val="233"/>
        </w:numPr>
        <w:autoSpaceDE/>
        <w:autoSpaceDN/>
        <w:adjustRightInd/>
        <w:spacing w:after="160"/>
        <w:rPr>
          <w:szCs w:val="24"/>
        </w:rPr>
      </w:pPr>
      <w:r w:rsidRPr="002E0BCA">
        <w:rPr>
          <w:szCs w:val="24"/>
        </w:rPr>
        <w:t>Нормализация костного метаболизма</w:t>
      </w:r>
    </w:p>
    <w:p w14:paraId="3F39D49C" w14:textId="77777777" w:rsidR="00A7029B" w:rsidRPr="002E0BCA" w:rsidRDefault="00A7029B" w:rsidP="00A7029B">
      <w:pPr>
        <w:pStyle w:val="afff3"/>
        <w:widowControl/>
        <w:numPr>
          <w:ilvl w:val="0"/>
          <w:numId w:val="233"/>
        </w:numPr>
        <w:autoSpaceDE/>
        <w:autoSpaceDN/>
        <w:adjustRightInd/>
        <w:spacing w:after="160"/>
        <w:rPr>
          <w:szCs w:val="24"/>
        </w:rPr>
      </w:pPr>
      <w:r w:rsidRPr="002E0BCA">
        <w:rPr>
          <w:szCs w:val="24"/>
        </w:rPr>
        <w:t xml:space="preserve">Обезболивание </w:t>
      </w:r>
    </w:p>
    <w:p w14:paraId="289E4A80" w14:textId="77777777" w:rsidR="00A7029B" w:rsidRPr="002E0BCA" w:rsidRDefault="00A7029B" w:rsidP="00A7029B">
      <w:pPr>
        <w:rPr>
          <w:szCs w:val="24"/>
        </w:rPr>
      </w:pPr>
      <w:r w:rsidRPr="002E0BCA">
        <w:rPr>
          <w:szCs w:val="24"/>
        </w:rPr>
        <w:t>Таблица 1. Базисная терапия препаратами кальция и альфакальцидола при остеонекрозе.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5"/>
        <w:gridCol w:w="3115"/>
        <w:gridCol w:w="3115"/>
      </w:tblGrid>
      <w:tr w:rsidR="00A7029B" w:rsidRPr="002E0BCA" w14:paraId="011B8BB4" w14:textId="77777777" w:rsidTr="00CD5E09">
        <w:tc>
          <w:tcPr>
            <w:tcW w:w="3115" w:type="dxa"/>
          </w:tcPr>
          <w:p w14:paraId="5B9CE491" w14:textId="77777777" w:rsidR="00A7029B" w:rsidRPr="002E0BCA" w:rsidRDefault="00A7029B" w:rsidP="00CD5E09">
            <w:pPr>
              <w:pStyle w:val="Default"/>
              <w:jc w:val="center"/>
            </w:pPr>
            <w:r w:rsidRPr="002E0BCA">
              <w:t>Исходный показатель кальция крови</w:t>
            </w:r>
          </w:p>
        </w:tc>
        <w:tc>
          <w:tcPr>
            <w:tcW w:w="3115" w:type="dxa"/>
          </w:tcPr>
          <w:p w14:paraId="2CF9873D" w14:textId="77777777" w:rsidR="00A7029B" w:rsidRPr="002E0BCA" w:rsidRDefault="00A7029B" w:rsidP="00CD5E09">
            <w:pPr>
              <w:pStyle w:val="Default"/>
              <w:jc w:val="center"/>
            </w:pPr>
            <w:r w:rsidRPr="002E0BCA">
              <w:t>Доза альфакальцидола</w:t>
            </w:r>
          </w:p>
          <w:p w14:paraId="7BC5EC99" w14:textId="77777777" w:rsidR="00A7029B" w:rsidRPr="002E0BCA" w:rsidRDefault="00A7029B" w:rsidP="00CD5E09">
            <w:pPr>
              <w:jc w:val="center"/>
              <w:rPr>
                <w:szCs w:val="24"/>
              </w:rPr>
            </w:pPr>
          </w:p>
        </w:tc>
        <w:tc>
          <w:tcPr>
            <w:tcW w:w="3115" w:type="dxa"/>
          </w:tcPr>
          <w:p w14:paraId="7312A7AF" w14:textId="77777777" w:rsidR="00A7029B" w:rsidRPr="002E0BCA" w:rsidRDefault="00A7029B" w:rsidP="00CD5E09">
            <w:pPr>
              <w:pStyle w:val="Default"/>
              <w:jc w:val="center"/>
            </w:pPr>
            <w:r w:rsidRPr="002E0BCA">
              <w:t>Доза препаратов кальция</w:t>
            </w:r>
          </w:p>
          <w:p w14:paraId="2DB7D964" w14:textId="77777777" w:rsidR="00A7029B" w:rsidRPr="002E0BCA" w:rsidRDefault="00A7029B" w:rsidP="00CD5E09">
            <w:pPr>
              <w:jc w:val="center"/>
              <w:rPr>
                <w:szCs w:val="24"/>
              </w:rPr>
            </w:pPr>
          </w:p>
        </w:tc>
      </w:tr>
      <w:tr w:rsidR="00A7029B" w:rsidRPr="002E0BCA" w14:paraId="059AC446" w14:textId="77777777" w:rsidTr="00CD5E09">
        <w:tc>
          <w:tcPr>
            <w:tcW w:w="3115" w:type="dxa"/>
          </w:tcPr>
          <w:p w14:paraId="18CB189D" w14:textId="77777777" w:rsidR="00A7029B" w:rsidRPr="002E0BCA" w:rsidRDefault="00A7029B" w:rsidP="00CD5E09">
            <w:pPr>
              <w:pStyle w:val="Default"/>
              <w:jc w:val="both"/>
            </w:pPr>
            <w:r w:rsidRPr="002E0BCA">
              <w:t xml:space="preserve">2,35 ммоль/л и выше </w:t>
            </w:r>
          </w:p>
          <w:p w14:paraId="427BF68F" w14:textId="77777777" w:rsidR="00A7029B" w:rsidRPr="002E0BCA" w:rsidRDefault="00A7029B" w:rsidP="00CD5E09">
            <w:pPr>
              <w:rPr>
                <w:szCs w:val="24"/>
              </w:rPr>
            </w:pPr>
          </w:p>
        </w:tc>
        <w:tc>
          <w:tcPr>
            <w:tcW w:w="3115" w:type="dxa"/>
          </w:tcPr>
          <w:p w14:paraId="28AEA1C8" w14:textId="77777777" w:rsidR="00A7029B" w:rsidRPr="002E0BCA" w:rsidRDefault="00A7029B" w:rsidP="00CD5E09">
            <w:pPr>
              <w:pStyle w:val="Default"/>
              <w:jc w:val="both"/>
            </w:pPr>
            <w:r w:rsidRPr="002E0BCA">
              <w:t xml:space="preserve">0,5–0,75 мкг ежедневно в течение 3 мес. с контролем уровня кальция каждые 3 месяца в течение 1 года для коррекции дозы препарата </w:t>
            </w:r>
          </w:p>
          <w:p w14:paraId="4E813EF0" w14:textId="77777777" w:rsidR="00A7029B" w:rsidRPr="002E0BCA" w:rsidRDefault="00A7029B" w:rsidP="00CD5E09">
            <w:pPr>
              <w:rPr>
                <w:szCs w:val="24"/>
              </w:rPr>
            </w:pPr>
          </w:p>
        </w:tc>
        <w:tc>
          <w:tcPr>
            <w:tcW w:w="3115" w:type="dxa"/>
          </w:tcPr>
          <w:p w14:paraId="4F584964" w14:textId="77777777" w:rsidR="00A7029B" w:rsidRPr="002E0BCA" w:rsidRDefault="00A7029B" w:rsidP="00CD5E09">
            <w:pPr>
              <w:pStyle w:val="Default"/>
              <w:jc w:val="both"/>
            </w:pPr>
            <w:r w:rsidRPr="002E0BCA">
              <w:t xml:space="preserve">С 1-го дня лечения оссеин- гидроксиапатитный комплекс по 1 таблетки 2 раза в день или препарат кальция 500–1000 мг в сутки в течение всего периода лечения </w:t>
            </w:r>
          </w:p>
          <w:p w14:paraId="090450C1" w14:textId="77777777" w:rsidR="00A7029B" w:rsidRPr="002E0BCA" w:rsidRDefault="00A7029B" w:rsidP="00CD5E09">
            <w:pPr>
              <w:rPr>
                <w:szCs w:val="24"/>
              </w:rPr>
            </w:pPr>
          </w:p>
        </w:tc>
      </w:tr>
      <w:tr w:rsidR="00A7029B" w:rsidRPr="002E0BCA" w14:paraId="646589F9" w14:textId="77777777" w:rsidTr="00CD5E09">
        <w:tc>
          <w:tcPr>
            <w:tcW w:w="3115" w:type="dxa"/>
          </w:tcPr>
          <w:p w14:paraId="1D6861D6" w14:textId="77777777" w:rsidR="00A7029B" w:rsidRPr="002E0BCA" w:rsidRDefault="00A7029B" w:rsidP="00CD5E09">
            <w:pPr>
              <w:pStyle w:val="Default"/>
            </w:pPr>
            <w:r w:rsidRPr="002E0BCA">
              <w:t xml:space="preserve">2,0 –2,30 ммоль/л </w:t>
            </w:r>
          </w:p>
        </w:tc>
        <w:tc>
          <w:tcPr>
            <w:tcW w:w="3115" w:type="dxa"/>
          </w:tcPr>
          <w:p w14:paraId="487E0F41" w14:textId="77777777" w:rsidR="00A7029B" w:rsidRPr="002E0BCA" w:rsidRDefault="00A7029B" w:rsidP="00CD5E09">
            <w:pPr>
              <w:pStyle w:val="Default"/>
            </w:pPr>
            <w:r w:rsidRPr="002E0BCA">
              <w:t xml:space="preserve">0,75–1,0 мкг ежедневно в течение 3 мес. с контролем кальция крови 1 раз в 3 мес. в течение всего периода лечения </w:t>
            </w:r>
          </w:p>
        </w:tc>
        <w:tc>
          <w:tcPr>
            <w:tcW w:w="3115" w:type="dxa"/>
          </w:tcPr>
          <w:p w14:paraId="271C1984" w14:textId="77777777" w:rsidR="00A7029B" w:rsidRPr="002E0BCA" w:rsidRDefault="00A7029B" w:rsidP="00CD5E09">
            <w:pPr>
              <w:pStyle w:val="Default"/>
            </w:pPr>
            <w:r w:rsidRPr="002E0BCA">
              <w:t xml:space="preserve">С 1-го дня лечения оссеин- гидроксиапатитный комплекс по 2 таблетки 2 раза в день первые 3 мес., далее по 1 таблетке 2 раза в день или препарат кальция 500–1000 мг в течение всего периода лечения </w:t>
            </w:r>
          </w:p>
          <w:p w14:paraId="7C0B9BD1" w14:textId="77777777" w:rsidR="00A7029B" w:rsidRPr="002E0BCA" w:rsidRDefault="00A7029B" w:rsidP="00CD5E09">
            <w:pPr>
              <w:pStyle w:val="Default"/>
            </w:pPr>
          </w:p>
        </w:tc>
      </w:tr>
    </w:tbl>
    <w:p w14:paraId="266B08C6" w14:textId="77777777" w:rsidR="00A7029B" w:rsidRPr="002E0BCA" w:rsidRDefault="00A7029B" w:rsidP="00A7029B">
      <w:pPr>
        <w:rPr>
          <w:szCs w:val="24"/>
        </w:rPr>
      </w:pPr>
    </w:p>
    <w:p w14:paraId="733C5C4F" w14:textId="77777777" w:rsidR="00A7029B" w:rsidRPr="00314E71" w:rsidRDefault="00A7029B" w:rsidP="00A7029B">
      <w:pPr>
        <w:widowControl/>
        <w:autoSpaceDE/>
        <w:autoSpaceDN/>
        <w:adjustRightInd/>
        <w:rPr>
          <w:b/>
          <w:szCs w:val="24"/>
        </w:rPr>
      </w:pPr>
      <w:r>
        <w:rPr>
          <w:b/>
          <w:szCs w:val="24"/>
        </w:rPr>
        <w:t>Хирургическое</w:t>
      </w:r>
      <w:r w:rsidRPr="00314E71">
        <w:rPr>
          <w:b/>
          <w:szCs w:val="24"/>
        </w:rPr>
        <w:t xml:space="preserve"> лечение:</w:t>
      </w:r>
    </w:p>
    <w:p w14:paraId="6DAE2E5E" w14:textId="77777777" w:rsidR="00A7029B" w:rsidRDefault="00A7029B" w:rsidP="00A7029B">
      <w:pPr>
        <w:ind w:firstLine="709"/>
        <w:rPr>
          <w:szCs w:val="24"/>
        </w:rPr>
      </w:pPr>
      <w:r w:rsidRPr="002E0BCA">
        <w:rPr>
          <w:szCs w:val="24"/>
        </w:rPr>
        <w:t>Начиная со стадии 3</w:t>
      </w:r>
      <w:r w:rsidRPr="002E0BCA">
        <w:rPr>
          <w:szCs w:val="24"/>
          <w:lang w:val="en-US"/>
        </w:rPr>
        <w:t>B</w:t>
      </w:r>
      <w:r w:rsidRPr="002E0BCA">
        <w:rPr>
          <w:szCs w:val="24"/>
        </w:rPr>
        <w:t xml:space="preserve"> консервативное лечение малоэффективно. Этим пациентам показано хирургическое лечение в объёме тотального эндопротезирования тазобедренного сустава. Иные варианты оперативного лечения, как ресурфейсинг головки бедра, остеоперфорация (туннелизация) и пластика васкуляризованными трансплантатами у гематологических пациентов увеличивают риски послеоперационных осложнений и не могут быть рекомендованы. Оперативное лечение выполняется в плановом порядке после достижения стойкой ремиссии гематологического заболевания. </w:t>
      </w:r>
    </w:p>
    <w:p w14:paraId="4E35CD19" w14:textId="77777777" w:rsidR="00A7029B" w:rsidRPr="00BE507B" w:rsidRDefault="00A7029B" w:rsidP="00A7029B">
      <w:pPr>
        <w:ind w:firstLine="709"/>
        <w:rPr>
          <w:szCs w:val="24"/>
        </w:rPr>
      </w:pPr>
      <w:r>
        <w:rPr>
          <w:szCs w:val="24"/>
        </w:rPr>
        <w:t>В</w:t>
      </w:r>
      <w:r w:rsidRPr="00BE507B">
        <w:rPr>
          <w:szCs w:val="24"/>
        </w:rPr>
        <w:t xml:space="preserve"> послеоперационном периоде в течение года</w:t>
      </w:r>
      <w:r>
        <w:rPr>
          <w:szCs w:val="24"/>
        </w:rPr>
        <w:t xml:space="preserve"> пациентам с ОЛЛ и остеонекрозом должна проводиться</w:t>
      </w:r>
      <w:r w:rsidRPr="00BE507B">
        <w:rPr>
          <w:szCs w:val="24"/>
        </w:rPr>
        <w:t xml:space="preserve"> фармакотерапи</w:t>
      </w:r>
      <w:r>
        <w:rPr>
          <w:szCs w:val="24"/>
        </w:rPr>
        <w:t>я</w:t>
      </w:r>
      <w:r w:rsidRPr="00BE507B">
        <w:rPr>
          <w:szCs w:val="24"/>
        </w:rPr>
        <w:t xml:space="preserve"> остеопороза, направленн</w:t>
      </w:r>
      <w:r>
        <w:rPr>
          <w:szCs w:val="24"/>
        </w:rPr>
        <w:t>ая</w:t>
      </w:r>
      <w:r w:rsidRPr="00BE507B">
        <w:rPr>
          <w:szCs w:val="24"/>
        </w:rPr>
        <w:t xml:space="preserve"> на нормализацию нарушенного метаболизма костной ткани.</w:t>
      </w:r>
    </w:p>
    <w:p w14:paraId="6CF6293D" w14:textId="6D5F78D6" w:rsidR="00223824" w:rsidRPr="004905C2" w:rsidRDefault="00A7029B" w:rsidP="004905C2">
      <w:pPr>
        <w:pStyle w:val="2"/>
      </w:pPr>
      <w:bookmarkStart w:id="186" w:name="_Toc64565659"/>
      <w:r w:rsidRPr="004905C2">
        <w:lastRenderedPageBreak/>
        <w:t>7.</w:t>
      </w:r>
      <w:r w:rsidR="00143441">
        <w:t>9</w:t>
      </w:r>
      <w:r w:rsidRPr="004905C2">
        <w:t xml:space="preserve">. </w:t>
      </w:r>
      <w:bookmarkStart w:id="187" w:name="_Toc57985408"/>
      <w:bookmarkStart w:id="188" w:name="_Toc64295959"/>
      <w:bookmarkStart w:id="189" w:name="__RefHeading___doc_criteria"/>
      <w:bookmarkStart w:id="190" w:name="_Toc11747750"/>
      <w:bookmarkStart w:id="191" w:name="_Toc24572135"/>
      <w:r w:rsidR="00223824" w:rsidRPr="004905C2">
        <w:t>Диагностика и лечение бактериальных инфекционных осложнений</w:t>
      </w:r>
      <w:bookmarkEnd w:id="186"/>
      <w:bookmarkEnd w:id="187"/>
      <w:bookmarkEnd w:id="188"/>
      <w:r w:rsidR="00143441">
        <w:t xml:space="preserve"> при лейкозе</w:t>
      </w:r>
    </w:p>
    <w:p w14:paraId="3A98EDA4" w14:textId="1E49901F" w:rsidR="00223824" w:rsidRDefault="00223824" w:rsidP="00143441">
      <w:pPr>
        <w:ind w:firstLine="708"/>
        <w:contextualSpacing/>
      </w:pPr>
      <w:r w:rsidRPr="00761653">
        <w:t xml:space="preserve">Инфекции являются ведущими осложнениями при лечении заболеваний системы крови. Наиболее высокая частота определяется у </w:t>
      </w:r>
      <w:r>
        <w:t>пациентов с</w:t>
      </w:r>
      <w:r w:rsidRPr="00761653">
        <w:t xml:space="preserve"> острыми лейкозами и у реципиентов аллогенного трансплантата стволовых гемопоэтических клеток (ТГСК), варьирует от 30 до 90%. </w:t>
      </w:r>
      <w:r>
        <w:t>Так, у</w:t>
      </w:r>
      <w:r w:rsidRPr="00761653">
        <w:t xml:space="preserve"> </w:t>
      </w:r>
      <w:r>
        <w:t xml:space="preserve">пациентов </w:t>
      </w:r>
      <w:r w:rsidR="004905C2">
        <w:t xml:space="preserve">с </w:t>
      </w:r>
      <w:r w:rsidRPr="00761653">
        <w:t xml:space="preserve">острыми лимфоидными лейкозами </w:t>
      </w:r>
      <w:r>
        <w:t xml:space="preserve">инфекции развиваются </w:t>
      </w:r>
      <w:r w:rsidRPr="00761653">
        <w:t xml:space="preserve">преимущественно </w:t>
      </w:r>
      <w:r>
        <w:t>на этапе</w:t>
      </w:r>
      <w:r w:rsidRPr="00761653">
        <w:t xml:space="preserve"> индукции </w:t>
      </w:r>
      <w:r>
        <w:t xml:space="preserve">ремиссии </w:t>
      </w:r>
      <w:r w:rsidRPr="00761653">
        <w:t xml:space="preserve">(55%), реже – в </w:t>
      </w:r>
      <w:r>
        <w:t xml:space="preserve">период </w:t>
      </w:r>
      <w:r w:rsidRPr="00761653">
        <w:t xml:space="preserve">консолидации </w:t>
      </w:r>
      <w:r>
        <w:t xml:space="preserve">ремиссии </w:t>
      </w:r>
      <w:r w:rsidRPr="00761653">
        <w:t xml:space="preserve">(10%), у реципиентов аллогенных ТГСК </w:t>
      </w:r>
      <w:r>
        <w:t xml:space="preserve">– </w:t>
      </w:r>
      <w:r w:rsidRPr="00761653">
        <w:t>в период гранулоцитопении на этапе приживления гемопоэтических клеток (40-70%) и при развитии реакции “трансплантат против хозяина” (10-70%)</w:t>
      </w:r>
      <w:r>
        <w:t xml:space="preserve"> </w:t>
      </w:r>
      <w:r>
        <w:fldChar w:fldCharType="begin" w:fldLock="1"/>
      </w:r>
      <w:r w:rsidR="00A67ED2">
        <w:instrText>ADDIN CSL_CITATION {"citationItems":[{"id":"ITEM-1","itemData":{"author":[{"dropping-particle":"","family":"Охмат","given":"В.А.","non-dropping-particle":"","parse-names":false,"suffix":""},{"dropping-particle":"","family":"Клясова","given":"Г.А.","non-dropping-particle":"","parse-names":false,"suffix":""},{"dropping-particle":"","family":"Паровичникова","given":"Е.Н.","non-dropping-particle":"","parse-names":false,"suffix":""},{"dropping-particle":"","family":"Троицкая","given":"В.В.","non-dropping-particle":"","parse-names":false,"suffix":""},{"dropping-particle":"","family":"Грибанова","given":"Е.О.","non-dropping-particle":"","parse-names":false,"suffix":""},{"dropping-particle":"","family":"Мальчикова","given":"А.О.","non-dropping-particle":"","parse-names":false,"suffix":""}],"container-title":"Гематология и трансфузиология","id":"ITEM-1","issue":"1","issued":{"date-parts":[["2017"]]},"page":"9-15","title":"Спектр и этиология инфекционных осложнений у больных острыми миелоидными лейкозами на этапах индукции и консолидации ремиссии","type":"article-journal","volume":"62"},"uris":["http://www.mendeley.com/documents/?uuid=670c7c5c-e2e4-48d9-8249-1d0418a53840"]},{"id":"ITEM-2","itemData":{"author":[{"dropping-particle":"","family":"Охмат","given":"В.А.","non-dropping-particle":"","parse-names":false,"suffix":""},{"dropping-particle":"","family":"Клясова","given":"Г.А.","non-dropping-particle":"","parse-names":false,"suffix":""},{"dropping-particle":"","family":"Паровичникова","given":"Е.Н.","non-dropping-particle":"","parse-names":false,"suffix":""},{"dropping-particle":"","family":"Троицкая","given":"В.В.","non-dropping-particle":"","parse-names":false,"suffix":""},{"dropping-particle":"","family":"Грибанова","given":"Е.О.","non-dropping-particle":"","parse-names":false,"suffix":""},{"dropping-particle":"","family":"Мальчикова","given":"А.О.","non-dropping-particle":"","parse-names":false,"suffix":""},{"dropping-particle":"","family":"Коробова","given":"А.Г.","non-dropping-particle":"","parse-names":false,"suffix":""},{"dropping-particle":"","family":"Фролова","given":"И.Н.","non-dropping-particle":"","parse-names":false,"suffix":""},{"dropping-particle":"","family":"Савченко","given":"В.Г.","non-dropping-particle":"","parse-names":false,"suffix":""}],"container-title":"Онкогематология","id":"ITEM-2","issue":"3","issued":{"date-parts":[["2017"]]},"page":"31-40","title":"Инфекционные осложнения у взрослых больных острыми лимфобластными лейкозами на разных этапах химиотерапии по протоколу ОЛЛ-2009.","type":"article-journal","volume":"12"},"uris":["http://www.mendeley.com/documents/?uuid=810418fa-d337-48c2-843d-da3d3f2ec2c8"]}],"mendeley":{"formattedCitation":"[49,122]","plainTextFormattedCitation":"[49,122]","previouslyFormattedCitation":"[1,2]"},"properties":{"noteIndex":0},"schema":"https://github.com/citation-style-language/schema/raw/master/csl-citation.json"}</w:instrText>
      </w:r>
      <w:r>
        <w:fldChar w:fldCharType="separate"/>
      </w:r>
      <w:r w:rsidR="00A67ED2" w:rsidRPr="00A67ED2">
        <w:rPr>
          <w:noProof/>
        </w:rPr>
        <w:t>[49,122]</w:t>
      </w:r>
      <w:r>
        <w:fldChar w:fldCharType="end"/>
      </w:r>
      <w:r w:rsidRPr="00761653">
        <w:t xml:space="preserve">. </w:t>
      </w:r>
      <w:r w:rsidR="004905C2">
        <w:t>Ч</w:t>
      </w:r>
      <w:r w:rsidRPr="00761653">
        <w:t xml:space="preserve">астота инфекционных осложнений выше в </w:t>
      </w:r>
      <w:r>
        <w:t xml:space="preserve">период </w:t>
      </w:r>
      <w:r w:rsidRPr="00761653">
        <w:t>индукции</w:t>
      </w:r>
      <w:r>
        <w:t xml:space="preserve"> ремиссии</w:t>
      </w:r>
      <w:r w:rsidRPr="00761653">
        <w:t>, при резистентном варианте опухоли, при высокодозной химиотерапии</w:t>
      </w:r>
      <w:r>
        <w:t xml:space="preserve">, </w:t>
      </w:r>
      <w:r w:rsidRPr="0076198F">
        <w:t>при сопуствующей гипогаммаглобулинемии, в период вынужденной гиподинамии и постоянного постельного режима</w:t>
      </w:r>
      <w:r w:rsidRPr="00761653">
        <w:t xml:space="preserve">.  </w:t>
      </w:r>
    </w:p>
    <w:p w14:paraId="6BCE3924" w14:textId="77777777" w:rsidR="00F60A18" w:rsidRDefault="00223824" w:rsidP="00F60A18">
      <w:pPr>
        <w:ind w:firstLine="708"/>
      </w:pPr>
      <w:r w:rsidRPr="00761653">
        <w:t xml:space="preserve">Основным фактором, определяющим развитие инфекционных осложнений у </w:t>
      </w:r>
      <w:r>
        <w:t>пациентов</w:t>
      </w:r>
      <w:r w:rsidR="004905C2">
        <w:t xml:space="preserve"> с лейкозом</w:t>
      </w:r>
      <w:r>
        <w:t xml:space="preserve">, </w:t>
      </w:r>
      <w:r w:rsidRPr="00761653">
        <w:t>является нейтропения (нейтрофил</w:t>
      </w:r>
      <w:r>
        <w:t>ы</w:t>
      </w:r>
      <w:r w:rsidRPr="00761653">
        <w:t xml:space="preserve"> &lt;</w:t>
      </w:r>
      <w:r>
        <w:t xml:space="preserve"> </w:t>
      </w:r>
      <w:r w:rsidRPr="00761653">
        <w:t>0,5</w:t>
      </w:r>
      <w:r>
        <w:t> </w:t>
      </w:r>
      <w:r w:rsidRPr="00761653">
        <w:t>х</w:t>
      </w:r>
      <w:r>
        <w:t> </w:t>
      </w:r>
      <w:r w:rsidRPr="00761653">
        <w:t>10</w:t>
      </w:r>
      <w:r w:rsidRPr="00761653">
        <w:rPr>
          <w:vertAlign w:val="superscript"/>
        </w:rPr>
        <w:t>9</w:t>
      </w:r>
      <w:r w:rsidRPr="00761653">
        <w:t>/л) или лейкопения (лейкоцит</w:t>
      </w:r>
      <w:r>
        <w:t>ы</w:t>
      </w:r>
      <w:r w:rsidRPr="00761653">
        <w:t xml:space="preserve"> ≤ 1</w:t>
      </w:r>
      <w:r>
        <w:t> </w:t>
      </w:r>
      <w:r w:rsidRPr="00761653">
        <w:t>000</w:t>
      </w:r>
      <w:r>
        <w:t> </w:t>
      </w:r>
      <w:r w:rsidRPr="00761653">
        <w:t>х</w:t>
      </w:r>
      <w:r>
        <w:t> </w:t>
      </w:r>
      <w:r w:rsidRPr="00761653">
        <w:t>10</w:t>
      </w:r>
      <w:r w:rsidRPr="00761653">
        <w:rPr>
          <w:vertAlign w:val="superscript"/>
        </w:rPr>
        <w:t>9</w:t>
      </w:r>
      <w:r w:rsidRPr="00761653">
        <w:t>/л)</w:t>
      </w:r>
      <w:r>
        <w:t xml:space="preserve">, а также </w:t>
      </w:r>
      <w:r w:rsidRPr="00761653">
        <w:t>длительность</w:t>
      </w:r>
      <w:r>
        <w:t xml:space="preserve"> нейтропении –</w:t>
      </w:r>
      <w:r w:rsidRPr="00761653">
        <w:t xml:space="preserve"> </w:t>
      </w:r>
      <w:r>
        <w:t>ч</w:t>
      </w:r>
      <w:r w:rsidRPr="00761653">
        <w:t xml:space="preserve">астота инфекций существенно возрастает при длительности нейтропении </w:t>
      </w:r>
      <w:r>
        <w:t>более</w:t>
      </w:r>
      <w:r w:rsidRPr="00761653">
        <w:t xml:space="preserve"> 10 дней. Риск развития инфекций возрастает при нарушении фагоцитарной функции</w:t>
      </w:r>
      <w:r>
        <w:t xml:space="preserve"> нейтрофилов</w:t>
      </w:r>
      <w:r w:rsidRPr="00761653">
        <w:t>, при дефектах клеточного и гуморального иммунитета, повреждении слизистых оболочек желудочно-кишечного тракта</w:t>
      </w:r>
      <w:r>
        <w:t xml:space="preserve"> (</w:t>
      </w:r>
      <w:r w:rsidRPr="00761653">
        <w:t>особенно мукозитах III-IV степени</w:t>
      </w:r>
      <w:r>
        <w:t>)</w:t>
      </w:r>
      <w:r w:rsidRPr="00761653">
        <w:t>, наличии центрального венозного катетера (ЦВК). Источником развити</w:t>
      </w:r>
      <w:r>
        <w:t>я</w:t>
      </w:r>
      <w:r w:rsidRPr="00761653">
        <w:t xml:space="preserve"> инфекции, как правило, является желудочно-кишечный тракт, когда активно происходит транслокация микрооргани</w:t>
      </w:r>
      <w:r>
        <w:t>з</w:t>
      </w:r>
      <w:r w:rsidRPr="00761653">
        <w:t xml:space="preserve">мов со слизистой оболочки, поврежденной в результате химиотерапии. Другие </w:t>
      </w:r>
      <w:r>
        <w:t xml:space="preserve">основные </w:t>
      </w:r>
      <w:r w:rsidRPr="00761653">
        <w:t xml:space="preserve">входные ворота инфекции при нейтропении – ЦВК. </w:t>
      </w:r>
      <w:r w:rsidR="00F60A18">
        <w:t>Диагностика и лечение инфекционных осложнений, закономерно возникающих у пацентов с лейкозами, осуществляется непосредственно в период проведения противоопухолевого химиотерапевтического лечения лейкоза.</w:t>
      </w:r>
    </w:p>
    <w:p w14:paraId="481C9149" w14:textId="77777777" w:rsidR="00223824" w:rsidRDefault="00223824" w:rsidP="00223824">
      <w:pPr>
        <w:ind w:right="49"/>
        <w:contextualSpacing/>
        <w:rPr>
          <w:b/>
        </w:rPr>
      </w:pPr>
    </w:p>
    <w:p w14:paraId="0AFE684D" w14:textId="77777777" w:rsidR="00223824" w:rsidRPr="005A451C" w:rsidRDefault="00223824" w:rsidP="00223824">
      <w:pPr>
        <w:ind w:right="49"/>
        <w:contextualSpacing/>
        <w:rPr>
          <w:bCs/>
          <w:i/>
          <w:iCs/>
          <w:u w:val="single"/>
        </w:rPr>
      </w:pPr>
      <w:r w:rsidRPr="005A451C">
        <w:rPr>
          <w:bCs/>
          <w:i/>
          <w:iCs/>
          <w:u w:val="single"/>
        </w:rPr>
        <w:t>Этиология инфекционных осложнений</w:t>
      </w:r>
    </w:p>
    <w:p w14:paraId="5CF41016" w14:textId="15F9093B" w:rsidR="00223824" w:rsidRPr="00761653" w:rsidRDefault="00223824" w:rsidP="00F60A18">
      <w:pPr>
        <w:ind w:right="49" w:firstLine="720"/>
        <w:contextualSpacing/>
      </w:pPr>
      <w:r w:rsidRPr="00761653">
        <w:t xml:space="preserve">Этиологическая структура возбудителей у </w:t>
      </w:r>
      <w:r>
        <w:t>пациентов</w:t>
      </w:r>
      <w:r w:rsidR="00F60A18">
        <w:t xml:space="preserve"> с лейкозами </w:t>
      </w:r>
      <w:r>
        <w:t>разнообразна</w:t>
      </w:r>
      <w:r w:rsidRPr="00761653">
        <w:t xml:space="preserve"> и включает бактерии, грибы (дрожжевые и плесневые), герпесвирусы. В первые 7-10 дней инфекционный процесс, как правило, бывает обусловлен бактериями, а по мере удлинения нейтропении возрастает риск возникновения инвазивного аспергиллеза</w:t>
      </w:r>
      <w:r>
        <w:t xml:space="preserve"> </w:t>
      </w:r>
      <w:r>
        <w:fldChar w:fldCharType="begin" w:fldLock="1"/>
      </w:r>
      <w:r w:rsidR="00A67ED2">
        <w:instrText>ADDIN CSL_CITATION {"citationItems":[{"id":"ITEM-1","itemData":{"author":[{"dropping-particle":"","family":"Охмат","given":"В.А.","non-dropping-particle":"","parse-names":false,"suffix":""},{"dropping-particle":"","family":"Клясова","given":"Г.А.","non-dropping-particle":"","parse-names":false,"suffix":""},{"dropping-particle":"","family":"Паровичникова","given":"Е.Н.","non-dropping-particle":"","parse-names":false,"suffix":""},{"dropping-particle":"","family":"Троицкая","given":"В.В.","non-dropping-particle":"","parse-names":false,"suffix":""},{"dropping-particle":"","family":"Грибанова","given":"Е.О.","non-dropping-particle":"","parse-names":false,"suffix":""},{"dropping-particle":"","family":"Мальчикова","given":"А.О.","non-dropping-particle":"","parse-names":false,"suffix":""}],"container-title":"Гематология и трансфузиология","id":"ITEM-1","issue":"1","issued":{"date-parts":[["2017"]]},"page":"9-15","title":"Спектр и этиология инфекционных осложнений у больных острыми миелоидными лейкозами на этапах индукции и консолидации ремиссии","type":"article-journal","volume":"62"},"uris":["http://www.mendeley.com/documents/?uuid=670c7c5c-e2e4-48d9-8249-1d0418a53840"]}],"mendeley":{"formattedCitation":"[122]","plainTextFormattedCitation":"[122]","previouslyFormattedCitation":"[1]"},"properties":{"noteIndex":0},"schema":"https://github.com/citation-style-language/schema/raw/master/csl-citation.json"}</w:instrText>
      </w:r>
      <w:r>
        <w:fldChar w:fldCharType="separate"/>
      </w:r>
      <w:r w:rsidR="00A67ED2" w:rsidRPr="00A67ED2">
        <w:rPr>
          <w:noProof/>
        </w:rPr>
        <w:t>[122]</w:t>
      </w:r>
      <w:r>
        <w:fldChar w:fldCharType="end"/>
      </w:r>
      <w:r w:rsidRPr="00761653">
        <w:t>. В этиологии инфекций кровотока на долю грамотрицательных бактерий приходится 49,7%, грамположительных бактерий - 42,7%, дрожжеподобных грибов – 7,4%</w:t>
      </w:r>
      <w:r>
        <w:t xml:space="preserve"> </w:t>
      </w:r>
      <w:r>
        <w:fldChar w:fldCharType="begin" w:fldLock="1"/>
      </w:r>
      <w:r w:rsidR="00A67ED2">
        <w:instrText>ADDIN CSL_CITATION {"citationItems":[{"id":"ITEM-1","itemData":{"author":[{"dropping-particle":"","family":"Клясова","given":"Г.А.","non-dropping-particle":"","parse-names":false,"suffix":""},{"dropping-particle":"","family":"Сперанская","given":"Л.Л.","non-dropping-particle":"","parse-names":false,"suffix":""},{"dropping-particle":"","family":"Миронова","given":"А.В.","non-dropping-particle":"","parse-names":false,"suffix":""},{"dropping-particle":"","family":"Масчан","given":"М.А.","non-dropping-particle":"","parse-names":false,"suffix":""},{"dropping-particle":"","family":"Байдильдина","given":"Д.Д.","non-dropping-particle":"","parse-names":false,"suffix":""},{"dropping-particle":"","family":"Верещагина","given":"С.А.","non-dropping-particle":"","parse-names":false,"suffix":""}],"container-title":"Гематология и трансфузиология","id":"ITEM-1","issue":"1","issued":{"date-parts":[["2007"]]},"page":"11-18","title":"Возбудители сепсиса у иммунокомпрометированных больных: структура и проблемы антибиотикорезистентности (результаты многоцентрового исследования)","type":"article-journal","volume":"52"},"uris":["http://www.mendeley.com/documents/?uuid=a67a3b5b-694b-4305-ae30-c4295284ead1"]}],"mendeley":{"formattedCitation":"[123]","plainTextFormattedCitation":"[123]","previouslyFormattedCitation":"[3]"},"properties":{"noteIndex":0},"schema":"https://github.com/citation-style-language/schema/raw/master/csl-citation.json"}</w:instrText>
      </w:r>
      <w:r>
        <w:fldChar w:fldCharType="separate"/>
      </w:r>
      <w:r w:rsidR="00A67ED2" w:rsidRPr="00A67ED2">
        <w:rPr>
          <w:noProof/>
        </w:rPr>
        <w:t>[123]</w:t>
      </w:r>
      <w:r>
        <w:fldChar w:fldCharType="end"/>
      </w:r>
      <w:r w:rsidRPr="00761653">
        <w:t xml:space="preserve">. Основными возбудителями сепсиса являются </w:t>
      </w:r>
      <w:r w:rsidRPr="00761653">
        <w:rPr>
          <w:i/>
          <w:iCs/>
        </w:rPr>
        <w:t>Escherichia coli</w:t>
      </w:r>
      <w:r w:rsidRPr="00761653">
        <w:t xml:space="preserve"> (17,8%), коагулазонегативные стафилококки (17,4%), </w:t>
      </w:r>
      <w:r w:rsidRPr="00761653">
        <w:rPr>
          <w:i/>
          <w:iCs/>
        </w:rPr>
        <w:t>Enterococcus</w:t>
      </w:r>
      <w:r w:rsidRPr="00761653">
        <w:t xml:space="preserve"> spp. (10,3%), </w:t>
      </w:r>
      <w:r w:rsidRPr="00761653">
        <w:rPr>
          <w:i/>
          <w:iCs/>
        </w:rPr>
        <w:t>Pseudomonas aeruginosa</w:t>
      </w:r>
      <w:r w:rsidRPr="00761653">
        <w:t xml:space="preserve"> (7,6%), </w:t>
      </w:r>
      <w:r w:rsidRPr="00761653">
        <w:rPr>
          <w:i/>
          <w:iCs/>
        </w:rPr>
        <w:t xml:space="preserve">Klebsiella </w:t>
      </w:r>
      <w:r w:rsidRPr="00761653">
        <w:rPr>
          <w:i/>
          <w:iCs/>
        </w:rPr>
        <w:lastRenderedPageBreak/>
        <w:t>pneumoniae</w:t>
      </w:r>
      <w:r w:rsidRPr="00761653">
        <w:t xml:space="preserve"> (8,2%). В последние годы увеличилась детекция </w:t>
      </w:r>
      <w:r w:rsidRPr="00761653">
        <w:rPr>
          <w:i/>
          <w:iCs/>
        </w:rPr>
        <w:t>Acinetobacte</w:t>
      </w:r>
      <w:r w:rsidRPr="00761653">
        <w:rPr>
          <w:i/>
        </w:rPr>
        <w:t>r</w:t>
      </w:r>
      <w:r w:rsidRPr="00761653">
        <w:t xml:space="preserve"> spp. и </w:t>
      </w:r>
      <w:r w:rsidRPr="00761653">
        <w:rPr>
          <w:i/>
          <w:iCs/>
        </w:rPr>
        <w:t>Stenotrophomonas maltophilia</w:t>
      </w:r>
      <w:r w:rsidRPr="00761653">
        <w:t xml:space="preserve">, и они входят в число пяти ведущих грамотрицательных бактерий при инфекциях кровотока после </w:t>
      </w:r>
      <w:r w:rsidRPr="00761653">
        <w:rPr>
          <w:i/>
          <w:iCs/>
        </w:rPr>
        <w:t>E.coli</w:t>
      </w:r>
      <w:r w:rsidRPr="00761653">
        <w:t xml:space="preserve">, </w:t>
      </w:r>
      <w:r w:rsidRPr="00761653">
        <w:rPr>
          <w:i/>
          <w:iCs/>
        </w:rPr>
        <w:t>K. pneumoniae, P.aeruginosa</w:t>
      </w:r>
      <w:r w:rsidRPr="00761653">
        <w:t>.</w:t>
      </w:r>
    </w:p>
    <w:p w14:paraId="1A1A0C16" w14:textId="36A6A0DE" w:rsidR="00223824" w:rsidRPr="00761653" w:rsidRDefault="00223824" w:rsidP="00F60A18">
      <w:pPr>
        <w:ind w:right="49" w:firstLine="720"/>
        <w:contextualSpacing/>
      </w:pPr>
      <w:r w:rsidRPr="00761653">
        <w:t>Основными механизмами устойчивости у энтеробактерий являются продукция бета-лактамаз расширенного спектра (БЛРС</w:t>
      </w:r>
      <w:r>
        <w:t>) –</w:t>
      </w:r>
      <w:r w:rsidRPr="00761653">
        <w:t xml:space="preserve"> </w:t>
      </w:r>
      <w:r>
        <w:t xml:space="preserve">в </w:t>
      </w:r>
      <w:r w:rsidRPr="00761653">
        <w:t xml:space="preserve">40-50% </w:t>
      </w:r>
      <w:r>
        <w:t xml:space="preserve">случаев, </w:t>
      </w:r>
      <w:r w:rsidRPr="00761653">
        <w:t xml:space="preserve">и детекция карбапенемаз, преимущественно у </w:t>
      </w:r>
      <w:r w:rsidRPr="00761653">
        <w:rPr>
          <w:i/>
        </w:rPr>
        <w:t xml:space="preserve">K. pneumoniae </w:t>
      </w:r>
      <w:r w:rsidRPr="00761653">
        <w:t xml:space="preserve">(10-30%). Устойчивость </w:t>
      </w:r>
      <w:r w:rsidRPr="00761653">
        <w:rPr>
          <w:i/>
        </w:rPr>
        <w:t>P. aerugino</w:t>
      </w:r>
      <w:r w:rsidRPr="00761653">
        <w:t xml:space="preserve">sa составляет к карбапенемам и колистину 40-50% и 29%, соответственно, шатммов </w:t>
      </w:r>
      <w:r w:rsidRPr="00761653">
        <w:rPr>
          <w:i/>
        </w:rPr>
        <w:t>Acinetobacter baumannii</w:t>
      </w:r>
      <w:r w:rsidRPr="00761653">
        <w:t xml:space="preserve"> к карбапенемам - 65-70%</w:t>
      </w:r>
      <w:r>
        <w:t xml:space="preserve"> </w:t>
      </w:r>
      <w:r>
        <w:fldChar w:fldCharType="begin" w:fldLock="1"/>
      </w:r>
      <w:r w:rsidR="00A67ED2">
        <w:instrText>ADDIN CSL_CITATION {"citationItems":[{"id":"ITEM-1","itemData":{"author":[{"dropping-particle":"","family":"Клясова","given":"Г.А.","non-dropping-particle":"","parse-names":false,"suffix":""},{"dropping-particle":"","family":"Охмат","given":"В.А.","non-dropping-particle":"","parse-names":false,"suffix":""}],"container-title":"Алгоритмы диагностики и протоколы лечения заболеваний системы крови. Под редакцией Савченко В.Г.","id":"ITEM-1","issued":{"date-parts":[["2018"]]},"page":"1067-1114","publisher":"Москва: Практика","title":"Антимикробная терапия","type":"chapter"},"uris":["http://www.mendeley.com/documents/?uuid=bd993c26-9214-4147-919c-9e856393def0"]}],"mendeley":{"formattedCitation":"[124]","plainTextFormattedCitation":"[124]","previouslyFormattedCitation":"[4]"},"properties":{"noteIndex":0},"schema":"https://github.com/citation-style-language/schema/raw/master/csl-citation.json"}</w:instrText>
      </w:r>
      <w:r>
        <w:fldChar w:fldCharType="separate"/>
      </w:r>
      <w:r w:rsidR="00A67ED2" w:rsidRPr="00A67ED2">
        <w:rPr>
          <w:noProof/>
        </w:rPr>
        <w:t>[124]</w:t>
      </w:r>
      <w:r>
        <w:fldChar w:fldCharType="end"/>
      </w:r>
      <w:r w:rsidRPr="00761653">
        <w:t xml:space="preserve">. Среди грамположительных бактерий отмечена устойчивость </w:t>
      </w:r>
      <w:r w:rsidRPr="00761653">
        <w:rPr>
          <w:i/>
          <w:iCs/>
        </w:rPr>
        <w:t xml:space="preserve">Enterococcus faecium </w:t>
      </w:r>
      <w:r w:rsidRPr="00761653">
        <w:t xml:space="preserve">к ванкомицину (15%). Для грибов рода </w:t>
      </w:r>
      <w:r w:rsidRPr="00761653">
        <w:rPr>
          <w:i/>
        </w:rPr>
        <w:t>Candida</w:t>
      </w:r>
      <w:r w:rsidRPr="00761653">
        <w:t xml:space="preserve"> характерно снижение доли </w:t>
      </w:r>
      <w:r w:rsidRPr="00761653">
        <w:rPr>
          <w:i/>
        </w:rPr>
        <w:t>С. albicans</w:t>
      </w:r>
      <w:r w:rsidRPr="00761653">
        <w:t xml:space="preserve"> до 30% и широкое видовое разнообразие </w:t>
      </w:r>
      <w:r w:rsidRPr="00761653">
        <w:rPr>
          <w:i/>
          <w:iCs/>
        </w:rPr>
        <w:t>Candida</w:t>
      </w:r>
      <w:r w:rsidRPr="00761653">
        <w:t xml:space="preserve"> non-</w:t>
      </w:r>
      <w:r w:rsidRPr="00761653">
        <w:rPr>
          <w:i/>
          <w:iCs/>
        </w:rPr>
        <w:t>albicans</w:t>
      </w:r>
      <w:r>
        <w:rPr>
          <w:i/>
          <w:iCs/>
        </w:rPr>
        <w:t xml:space="preserve"> </w:t>
      </w:r>
      <w:r>
        <w:rPr>
          <w:i/>
          <w:iCs/>
        </w:rPr>
        <w:fldChar w:fldCharType="begin" w:fldLock="1"/>
      </w:r>
      <w:r w:rsidR="00A67ED2">
        <w:rPr>
          <w:i/>
          <w:iCs/>
        </w:rPr>
        <w:instrText>ADDIN CSL_CITATION {"citationItems":[{"id":"ITEM-1","itemData":{"author":[{"dropping-particle":"","family":"Клясова","given":"Г.А.","non-dropping-particle":"","parse-names":false,"suffix":""},{"dropping-particle":"","family":"Сперанская","given":"Л.Л.","non-dropping-particle":"","parse-names":false,"suffix":""},{"dropping-particle":"","family":"Миронова","given":"А.В.","non-dropping-particle":"","parse-names":false,"suffix":""},{"dropping-particle":"","family":"Масчан","given":"М.А.","non-dropping-particle":"","parse-names":false,"suffix":""},{"dropping-particle":"","family":"Байдильдина","given":"Д.Д.","non-dropping-particle":"","parse-names":false,"suffix":""},{"dropping-particle":"","family":"Верещагина","given":"С.А.","non-dropping-particle":"","parse-names":false,"suffix":""}],"container-title":"Гематология и трансфузиология","id":"ITEM-1","issue":"1","issued":{"date-parts":[["2007"]]},"page":"11-18","title":"Возбудители сепсиса у иммунокомпрометированных больных: структура и проблемы антибиотикорезистентности (результаты многоцентрового исследования)","type":"article-journal","volume":"52"},"uris":["http://www.mendeley.com/documents/?uuid=a67a3b5b-694b-4305-ae30-c4295284ead1"]}],"mendeley":{"formattedCitation":"[123]","plainTextFormattedCitation":"[123]","previouslyFormattedCitation":"[3]"},"properties":{"noteIndex":0},"schema":"https://github.com/citation-style-language/schema/raw/master/csl-citation.json"}</w:instrText>
      </w:r>
      <w:r>
        <w:rPr>
          <w:i/>
          <w:iCs/>
        </w:rPr>
        <w:fldChar w:fldCharType="separate"/>
      </w:r>
      <w:r w:rsidR="00A67ED2" w:rsidRPr="00A67ED2">
        <w:rPr>
          <w:iCs/>
          <w:noProof/>
        </w:rPr>
        <w:t>[123]</w:t>
      </w:r>
      <w:r>
        <w:rPr>
          <w:i/>
          <w:iCs/>
        </w:rPr>
        <w:fldChar w:fldCharType="end"/>
      </w:r>
      <w:r w:rsidRPr="00761653">
        <w:t>.</w:t>
      </w:r>
    </w:p>
    <w:p w14:paraId="744E77A3" w14:textId="77777777" w:rsidR="00223824" w:rsidRDefault="00223824" w:rsidP="00223824">
      <w:pPr>
        <w:ind w:right="49"/>
        <w:contextualSpacing/>
        <w:rPr>
          <w:b/>
        </w:rPr>
      </w:pPr>
    </w:p>
    <w:p w14:paraId="0150ABA5" w14:textId="77777777" w:rsidR="00223824" w:rsidRPr="00CD4DE7" w:rsidRDefault="00223824" w:rsidP="00223824">
      <w:pPr>
        <w:ind w:right="49"/>
        <w:contextualSpacing/>
        <w:rPr>
          <w:bCs/>
          <w:i/>
          <w:iCs/>
          <w:u w:val="single"/>
        </w:rPr>
      </w:pPr>
      <w:r w:rsidRPr="00CD4DE7">
        <w:rPr>
          <w:bCs/>
          <w:i/>
          <w:iCs/>
          <w:u w:val="single"/>
        </w:rPr>
        <w:t>Клинические проявления инфекций</w:t>
      </w:r>
    </w:p>
    <w:p w14:paraId="0ED57D23" w14:textId="77777777" w:rsidR="00223824" w:rsidRDefault="00223824" w:rsidP="00223824">
      <w:pPr>
        <w:ind w:right="49"/>
        <w:contextualSpacing/>
      </w:pPr>
      <w:r w:rsidRPr="00761653">
        <w:t xml:space="preserve">Для инфекций периода нейтропении/лейкопении характерными признаками являются </w:t>
      </w:r>
    </w:p>
    <w:p w14:paraId="2F2E50EE" w14:textId="77777777" w:rsidR="00223824" w:rsidRDefault="00223824" w:rsidP="00A45B6B">
      <w:pPr>
        <w:pStyle w:val="afff3"/>
        <w:numPr>
          <w:ilvl w:val="0"/>
          <w:numId w:val="237"/>
        </w:numPr>
        <w:ind w:right="49"/>
      </w:pPr>
      <w:r w:rsidRPr="00940E71">
        <w:t xml:space="preserve">скудность </w:t>
      </w:r>
      <w:r>
        <w:t xml:space="preserve">клинических проявлений; </w:t>
      </w:r>
    </w:p>
    <w:p w14:paraId="1EE375B2" w14:textId="77777777" w:rsidR="00223824" w:rsidRDefault="00223824" w:rsidP="00A45B6B">
      <w:pPr>
        <w:pStyle w:val="afff3"/>
        <w:numPr>
          <w:ilvl w:val="0"/>
          <w:numId w:val="237"/>
        </w:numPr>
        <w:ind w:right="49"/>
      </w:pPr>
      <w:r w:rsidRPr="00940E71">
        <w:t>вероятность наличия одновременно разных возбудителей и разной локал</w:t>
      </w:r>
      <w:r>
        <w:t xml:space="preserve">изации инфекционного процесса; </w:t>
      </w:r>
    </w:p>
    <w:p w14:paraId="1726E47A" w14:textId="77777777" w:rsidR="00223824" w:rsidRPr="00940E71" w:rsidRDefault="00223824" w:rsidP="00A45B6B">
      <w:pPr>
        <w:pStyle w:val="afff3"/>
        <w:numPr>
          <w:ilvl w:val="0"/>
          <w:numId w:val="237"/>
        </w:numPr>
        <w:ind w:right="49"/>
      </w:pPr>
      <w:r w:rsidRPr="00940E71">
        <w:t xml:space="preserve">возможность появления других возбудителей и другого по локализации инфекционного процесса по мере удлинения </w:t>
      </w:r>
      <w:r>
        <w:t xml:space="preserve">периода </w:t>
      </w:r>
      <w:r w:rsidRPr="00940E71">
        <w:t xml:space="preserve">нейтропении. </w:t>
      </w:r>
    </w:p>
    <w:p w14:paraId="4A17DDFF" w14:textId="77777777" w:rsidR="00223824" w:rsidRPr="00761653" w:rsidRDefault="00223824" w:rsidP="00223824">
      <w:pPr>
        <w:ind w:right="49"/>
        <w:contextualSpacing/>
      </w:pPr>
      <w:r w:rsidRPr="00761653">
        <w:t>Под лихорадкой подразумевают однократно зарегистрированное повышение температуры тела ≥38,0°С, не связанное с другими причинами</w:t>
      </w:r>
      <w:r>
        <w:t xml:space="preserve"> (</w:t>
      </w:r>
      <w:r w:rsidRPr="00761653">
        <w:t>реакции на трансфузии компонентов крови</w:t>
      </w:r>
      <w:r>
        <w:t xml:space="preserve">, на </w:t>
      </w:r>
      <w:r w:rsidRPr="00761653">
        <w:t>вводимы</w:t>
      </w:r>
      <w:r>
        <w:t>е</w:t>
      </w:r>
      <w:r w:rsidRPr="00761653">
        <w:t xml:space="preserve"> медикамент</w:t>
      </w:r>
      <w:r>
        <w:t>ы</w:t>
      </w:r>
      <w:r w:rsidRPr="00761653">
        <w:t>, опухолевая лихоракдка</w:t>
      </w:r>
      <w:r>
        <w:t>)</w:t>
      </w:r>
      <w:r w:rsidRPr="00761653">
        <w:t>.</w:t>
      </w:r>
    </w:p>
    <w:p w14:paraId="10AC4E47" w14:textId="77777777" w:rsidR="00223824" w:rsidRPr="00761653" w:rsidRDefault="00223824" w:rsidP="00223824">
      <w:pPr>
        <w:ind w:right="49"/>
        <w:contextualSpacing/>
      </w:pPr>
      <w:r w:rsidRPr="00761653">
        <w:t xml:space="preserve">Существует обобщающий термин “фебрильная нейтропения”, включающий все случаи фебрильной температуры у </w:t>
      </w:r>
      <w:r>
        <w:t>пациентов</w:t>
      </w:r>
      <w:r w:rsidRPr="00761653">
        <w:t xml:space="preserve"> с нейтропенией/лейкопенией. К клинически доказанным относят случаи инфекции, которые удается верифицировать с помощью физикальных или инструментальных методов диагностики при отсутствии микробиологического подтверждения. Наиболее частыми проявлениями клинически дока</w:t>
      </w:r>
      <w:r>
        <w:t>занных инфекций</w:t>
      </w:r>
      <w:r w:rsidRPr="00761653">
        <w:t xml:space="preserve"> являются пневмония, инфекция мягких тканей, инфекция промежности</w:t>
      </w:r>
      <w:r>
        <w:t xml:space="preserve"> (в т. ч. парапроктит)</w:t>
      </w:r>
      <w:r w:rsidRPr="00761653">
        <w:t xml:space="preserve">. Микробиологическим подтверждением инфекции в период гранулоцитопении в большинстве случаев является выделение микроорганизмов из гемокультуры. </w:t>
      </w:r>
    </w:p>
    <w:p w14:paraId="3D43B24A" w14:textId="77777777" w:rsidR="00223824" w:rsidRDefault="00223824" w:rsidP="00223824">
      <w:pPr>
        <w:ind w:right="49"/>
        <w:contextualSpacing/>
        <w:rPr>
          <w:b/>
        </w:rPr>
      </w:pPr>
    </w:p>
    <w:p w14:paraId="691B9912" w14:textId="77777777" w:rsidR="00223824" w:rsidRPr="00CD4DE7" w:rsidRDefault="00223824" w:rsidP="00223824">
      <w:pPr>
        <w:ind w:right="49"/>
        <w:contextualSpacing/>
        <w:rPr>
          <w:bCs/>
          <w:i/>
          <w:iCs/>
          <w:u w:val="single"/>
        </w:rPr>
      </w:pPr>
      <w:r w:rsidRPr="00CD4DE7">
        <w:rPr>
          <w:bCs/>
          <w:i/>
          <w:iCs/>
          <w:u w:val="single"/>
        </w:rPr>
        <w:t>Диагностика инфекционных осложнений.</w:t>
      </w:r>
    </w:p>
    <w:p w14:paraId="62CC3FB9" w14:textId="77777777" w:rsidR="00223824" w:rsidRPr="0076198F" w:rsidRDefault="00223824" w:rsidP="00223824">
      <w:pPr>
        <w:tabs>
          <w:tab w:val="left" w:pos="0"/>
          <w:tab w:val="left" w:pos="567"/>
        </w:tabs>
      </w:pPr>
      <w:r w:rsidRPr="0076198F">
        <w:t xml:space="preserve">Во всех случаях </w:t>
      </w:r>
      <w:r>
        <w:t xml:space="preserve">вероятного или установленного </w:t>
      </w:r>
      <w:r w:rsidRPr="0076198F">
        <w:t xml:space="preserve">инфекционного процесса следует активно </w:t>
      </w:r>
      <w:r w:rsidRPr="0076198F">
        <w:lastRenderedPageBreak/>
        <w:t>проводить диагностику, направленную на выявление, как очагов инфекции, так и этиологических агентов.</w:t>
      </w:r>
    </w:p>
    <w:p w14:paraId="50B58388" w14:textId="77777777" w:rsidR="00223824" w:rsidRPr="0076198F" w:rsidRDefault="00223824" w:rsidP="00223824">
      <w:pPr>
        <w:tabs>
          <w:tab w:val="left" w:pos="0"/>
          <w:tab w:val="left" w:pos="567"/>
        </w:tabs>
      </w:pPr>
      <w:r w:rsidRPr="0076198F">
        <w:t xml:space="preserve">При подозрении на инфекцию образцы клинического материала от </w:t>
      </w:r>
      <w:r>
        <w:t>пациента</w:t>
      </w:r>
      <w:r w:rsidRPr="0076198F">
        <w:t xml:space="preserve"> должны быть взяты незамедлительно. </w:t>
      </w:r>
      <w:r>
        <w:t>Необходимо</w:t>
      </w:r>
      <w:r w:rsidRPr="0076198F">
        <w:t xml:space="preserve"> пристально</w:t>
      </w:r>
      <w:r>
        <w:t>е</w:t>
      </w:r>
      <w:r w:rsidRPr="0076198F">
        <w:t xml:space="preserve"> внимания и проведени</w:t>
      </w:r>
      <w:r>
        <w:t>е</w:t>
      </w:r>
      <w:r w:rsidRPr="0076198F">
        <w:t xml:space="preserve"> тщательных микробиологических исследований у </w:t>
      </w:r>
      <w:r>
        <w:t>пациентов</w:t>
      </w:r>
      <w:r w:rsidRPr="0076198F">
        <w:t>, принимающих глюкокортико</w:t>
      </w:r>
      <w:r>
        <w:t>стероиды, и у лиц пожилого возраста, так как у</w:t>
      </w:r>
      <w:r w:rsidRPr="0076198F">
        <w:t xml:space="preserve"> этой группы пациентов у 70% тяжелобольных в возрасте </w:t>
      </w:r>
      <w:r>
        <w:t>старше</w:t>
      </w:r>
      <w:r w:rsidRPr="0076198F">
        <w:t xml:space="preserve"> 66 лет септицемия может протекать </w:t>
      </w:r>
      <w:r>
        <w:t xml:space="preserve">с нормотермией или умеренным </w:t>
      </w:r>
      <w:r w:rsidRPr="0076198F">
        <w:t>субфебрил</w:t>
      </w:r>
      <w:r>
        <w:t>итетом</w:t>
      </w:r>
      <w:r w:rsidRPr="0076198F">
        <w:t xml:space="preserve">. </w:t>
      </w:r>
    </w:p>
    <w:p w14:paraId="5E83E4C0" w14:textId="77777777" w:rsidR="00223824" w:rsidRPr="0076198F" w:rsidRDefault="00223824" w:rsidP="00223824">
      <w:pPr>
        <w:tabs>
          <w:tab w:val="left" w:pos="0"/>
          <w:tab w:val="left" w:pos="567"/>
        </w:tabs>
      </w:pPr>
      <w:r w:rsidRPr="0076198F">
        <w:t xml:space="preserve">При нейтропении ежедневно проводят тщательный осмотр пациента, который наряду с обычными терапевтическими стандартами обследования </w:t>
      </w:r>
      <w:r>
        <w:t>включает следующие подходы:</w:t>
      </w:r>
      <w:r w:rsidRPr="0076198F">
        <w:t xml:space="preserve"> </w:t>
      </w:r>
    </w:p>
    <w:p w14:paraId="04EB8C9E" w14:textId="77777777" w:rsidR="00223824" w:rsidRPr="0076198F" w:rsidRDefault="00223824" w:rsidP="00A45B6B">
      <w:pPr>
        <w:pStyle w:val="afff3"/>
        <w:widowControl/>
        <w:numPr>
          <w:ilvl w:val="0"/>
          <w:numId w:val="248"/>
        </w:numPr>
        <w:tabs>
          <w:tab w:val="left" w:pos="0"/>
          <w:tab w:val="left" w:pos="567"/>
        </w:tabs>
        <w:autoSpaceDE/>
        <w:autoSpaceDN/>
        <w:adjustRightInd/>
        <w:ind w:left="993" w:hanging="426"/>
        <w:contextualSpacing w:val="0"/>
      </w:pPr>
      <w:r w:rsidRPr="0076198F">
        <w:t>активный опрос больного относительно возможных симптомов инфекции, включая наличие болей по ходу пищевода, в промежности</w:t>
      </w:r>
      <w:r>
        <w:t>;</w:t>
      </w:r>
    </w:p>
    <w:p w14:paraId="5B7E4E55" w14:textId="77777777" w:rsidR="00223824" w:rsidRPr="0076198F" w:rsidRDefault="00223824" w:rsidP="00A45B6B">
      <w:pPr>
        <w:pStyle w:val="afff3"/>
        <w:widowControl/>
        <w:numPr>
          <w:ilvl w:val="0"/>
          <w:numId w:val="248"/>
        </w:numPr>
        <w:tabs>
          <w:tab w:val="left" w:pos="0"/>
          <w:tab w:val="left" w:pos="567"/>
        </w:tabs>
        <w:autoSpaceDE/>
        <w:autoSpaceDN/>
        <w:adjustRightInd/>
        <w:ind w:left="993" w:hanging="426"/>
        <w:contextualSpacing w:val="0"/>
      </w:pPr>
      <w:r w:rsidRPr="0076198F">
        <w:t>ежедневный осмотр слизистой оболочки полости рта при нейтропении, особенно периодонта. Обращают внимание на рыхлость, отек слизистой оболочки (мукозит), наличие налетов, язв</w:t>
      </w:r>
      <w:r>
        <w:t>;</w:t>
      </w:r>
    </w:p>
    <w:p w14:paraId="178FF0EB" w14:textId="77777777" w:rsidR="00223824" w:rsidRPr="0076198F" w:rsidRDefault="00223824" w:rsidP="00A45B6B">
      <w:pPr>
        <w:pStyle w:val="afff3"/>
        <w:widowControl/>
        <w:numPr>
          <w:ilvl w:val="0"/>
          <w:numId w:val="248"/>
        </w:numPr>
        <w:tabs>
          <w:tab w:val="left" w:pos="0"/>
          <w:tab w:val="left" w:pos="567"/>
        </w:tabs>
        <w:autoSpaceDE/>
        <w:autoSpaceDN/>
        <w:adjustRightInd/>
        <w:ind w:left="993" w:hanging="426"/>
        <w:contextualSpacing w:val="0"/>
      </w:pPr>
      <w:r w:rsidRPr="0076198F">
        <w:t>осмотр кожи в отношении возможного появления септикопиемических очагов при лихорадке, даже в отсутствие жалоб</w:t>
      </w:r>
      <w:r>
        <w:t xml:space="preserve"> (п</w:t>
      </w:r>
      <w:r w:rsidRPr="0076198F">
        <w:t>ри лечении глюкокортико</w:t>
      </w:r>
      <w:r>
        <w:t>стеро</w:t>
      </w:r>
      <w:r w:rsidRPr="0076198F">
        <w:t>идами септикопиемические очаги могут быть при нормальной температуре</w:t>
      </w:r>
      <w:r>
        <w:t xml:space="preserve"> тела);</w:t>
      </w:r>
    </w:p>
    <w:p w14:paraId="081A1947" w14:textId="77777777" w:rsidR="00223824" w:rsidRPr="0076198F" w:rsidRDefault="00223824" w:rsidP="00A45B6B">
      <w:pPr>
        <w:pStyle w:val="afff3"/>
        <w:widowControl/>
        <w:numPr>
          <w:ilvl w:val="0"/>
          <w:numId w:val="248"/>
        </w:numPr>
        <w:tabs>
          <w:tab w:val="left" w:pos="0"/>
          <w:tab w:val="left" w:pos="567"/>
        </w:tabs>
        <w:autoSpaceDE/>
        <w:autoSpaceDN/>
        <w:adjustRightInd/>
        <w:ind w:left="993" w:hanging="426"/>
        <w:contextualSpacing w:val="0"/>
      </w:pPr>
      <w:r w:rsidRPr="0076198F">
        <w:t>осмотр места установки венозного катетера</w:t>
      </w:r>
      <w:r>
        <w:t>;</w:t>
      </w:r>
      <w:r w:rsidRPr="0076198F">
        <w:t xml:space="preserve"> </w:t>
      </w:r>
    </w:p>
    <w:p w14:paraId="6C486B38" w14:textId="77777777" w:rsidR="00223824" w:rsidRPr="0076198F" w:rsidRDefault="00223824" w:rsidP="00A45B6B">
      <w:pPr>
        <w:pStyle w:val="afff3"/>
        <w:widowControl/>
        <w:numPr>
          <w:ilvl w:val="0"/>
          <w:numId w:val="248"/>
        </w:numPr>
        <w:tabs>
          <w:tab w:val="left" w:pos="0"/>
          <w:tab w:val="left" w:pos="567"/>
        </w:tabs>
        <w:autoSpaceDE/>
        <w:autoSpaceDN/>
        <w:adjustRightInd/>
        <w:ind w:left="993" w:hanging="426"/>
        <w:contextualSpacing w:val="0"/>
      </w:pPr>
      <w:r w:rsidRPr="0076198F">
        <w:t>внимательная аускультация грудной клетки</w:t>
      </w:r>
      <w:r>
        <w:t xml:space="preserve"> (ж</w:t>
      </w:r>
      <w:r w:rsidRPr="0076198F">
        <w:t>есткое дыхание в отсутствие хрипов, минимальное количество влажных хрипов на ограниченном участке могут быть начальным проявлением пневмонии</w:t>
      </w:r>
      <w:r>
        <w:t>);</w:t>
      </w:r>
      <w:r w:rsidRPr="0076198F">
        <w:t xml:space="preserve"> </w:t>
      </w:r>
    </w:p>
    <w:p w14:paraId="3146268D" w14:textId="77777777" w:rsidR="00223824" w:rsidRPr="0076198F" w:rsidRDefault="00223824" w:rsidP="00A45B6B">
      <w:pPr>
        <w:pStyle w:val="afff3"/>
        <w:widowControl/>
        <w:numPr>
          <w:ilvl w:val="0"/>
          <w:numId w:val="248"/>
        </w:numPr>
        <w:tabs>
          <w:tab w:val="left" w:pos="0"/>
          <w:tab w:val="left" w:pos="567"/>
        </w:tabs>
        <w:autoSpaceDE/>
        <w:autoSpaceDN/>
        <w:adjustRightInd/>
        <w:ind w:left="993" w:hanging="426"/>
        <w:contextualSpacing w:val="0"/>
      </w:pPr>
      <w:r w:rsidRPr="0076198F">
        <w:t>тщательная пальпация живота</w:t>
      </w:r>
      <w:r>
        <w:t xml:space="preserve"> (п</w:t>
      </w:r>
      <w:r w:rsidRPr="0076198F">
        <w:t>ервые симптомы псевдомембранозного колита —</w:t>
      </w:r>
      <w:r>
        <w:t xml:space="preserve"> </w:t>
      </w:r>
      <w:r w:rsidRPr="0076198F">
        <w:t>появление боли или «урчание» при пальпации в правой подвздошной области (область слепой кишки).</w:t>
      </w:r>
    </w:p>
    <w:p w14:paraId="6B41B594" w14:textId="77777777" w:rsidR="00223824" w:rsidRDefault="00223824" w:rsidP="00F60A18">
      <w:pPr>
        <w:ind w:right="49" w:firstLine="567"/>
        <w:contextualSpacing/>
      </w:pPr>
      <w:r w:rsidRPr="00761653">
        <w:t xml:space="preserve">Для </w:t>
      </w:r>
      <w:r w:rsidRPr="00284D51">
        <w:rPr>
          <w:i/>
          <w:iCs/>
        </w:rPr>
        <w:t>микробиологического исследования крови</w:t>
      </w:r>
      <w:r w:rsidRPr="00761653">
        <w:t xml:space="preserve"> используют автоматический анализатор для гемокультур. Проводят исследование у </w:t>
      </w:r>
      <w:r>
        <w:t>пациентов</w:t>
      </w:r>
      <w:r w:rsidRPr="00761653">
        <w:t xml:space="preserve"> с температурой ≥38°С или наличии септикопиемических очагов на коже. Кровь берут одновременно из вены и из ЦВК или из двух разных вен в 2-4 флакона (аэробы/анаэробы), предназначенных для инкубирования в автоматическом анализаторе для гемокультур. На основании разницы во времени регистрации положительной гемокультуры, взятой одновременно из ЦВК и из вены может быть заподозрено инфицирование ЦВК. В этом случае положительная гемокультура, взятая из ЦВК, опережает на 2 часа и более положительную гемокультуру из вены. Кровь для микробиологического исследования проводят с максимальным </w:t>
      </w:r>
      <w:r w:rsidRPr="00761653">
        <w:lastRenderedPageBreak/>
        <w:t xml:space="preserve">соблюдением правил асептики, в каждый флакон вводят 10 мл крови </w:t>
      </w:r>
      <w:r>
        <w:t>пациента</w:t>
      </w:r>
      <w:r w:rsidRPr="00761653">
        <w:t xml:space="preserve">. Введение меньшего объема крови снижает вероятность получения положительной гемокультуры. При инфекции кровотока выделение коагулазонегативных стафилококков и </w:t>
      </w:r>
      <w:r w:rsidRPr="00761653">
        <w:rPr>
          <w:i/>
          <w:iCs/>
        </w:rPr>
        <w:t xml:space="preserve">Corynebacterium </w:t>
      </w:r>
      <w:r w:rsidRPr="00761653">
        <w:t xml:space="preserve">spp. должно быть подтверждено двумя положительными гемокультурами, поскольку эти микроорганизмы принадлежат к облигатной микрофлоре, и детекция их только в одном из двух флаконов расценивается как контаминация исследуемых образцов крови (облигатная микрофлора). </w:t>
      </w:r>
    </w:p>
    <w:p w14:paraId="52DFDE1C" w14:textId="77777777" w:rsidR="00223824" w:rsidRPr="00761653" w:rsidRDefault="00223824" w:rsidP="00F60A18">
      <w:pPr>
        <w:ind w:right="49" w:firstLine="567"/>
        <w:contextualSpacing/>
      </w:pPr>
      <w:r w:rsidRPr="00284D51">
        <w:rPr>
          <w:i/>
          <w:iCs/>
        </w:rPr>
        <w:t>Центральный венозный катетер (ЦВК) удаляют и направляют на микробиологическое исследование при подозрении на катетер-ассоциированную инфекцию</w:t>
      </w:r>
      <w:r w:rsidRPr="00761653">
        <w:t xml:space="preserve"> (разница во времени детекции положительной гемокультуры, взятой одновременно из вены и из ЦВК), при выделении из гемокультуры дрожжевых или плесневых грибов, при переводе </w:t>
      </w:r>
      <w:r>
        <w:t>пациента</w:t>
      </w:r>
      <w:r w:rsidRPr="00761653">
        <w:t xml:space="preserve"> из другого стационара с ЦВК (высокая вероятность инфицирования ЦВК). Для бактериологического исследования в лабораторию направляют асептически удаленный дистальный отрезок катетера длиной 5-6 см в стерильной емкости. Исследование ЦВК проводят полуколичественным (метод Маки) или количественным методом. Диагностически значимым подтверждением инфицирования ЦВК является выделение микроорганизмов в количестве ≥15 колониеобразующих единиц (КОЕ) при полуколичественном исследовании, или ≥10</w:t>
      </w:r>
      <w:r w:rsidRPr="00761653">
        <w:rPr>
          <w:vertAlign w:val="superscript"/>
        </w:rPr>
        <w:t>3</w:t>
      </w:r>
      <w:r w:rsidRPr="00761653">
        <w:t xml:space="preserve"> КОЕ/мл - при количественном исследовании. </w:t>
      </w:r>
    </w:p>
    <w:p w14:paraId="7158AF03" w14:textId="77777777" w:rsidR="00223824" w:rsidRPr="00761653" w:rsidRDefault="00223824" w:rsidP="00F60A18">
      <w:pPr>
        <w:ind w:right="49" w:firstLine="567"/>
        <w:contextualSpacing/>
      </w:pPr>
      <w:r w:rsidRPr="00761653">
        <w:t>При наличии признаков воспаления и отделяемого в месте установки ЦВК проводят микробиологическое исследование мазков из этой области. Исследуют мазки на наличие нетуберкулезных микобактерий, если изменения на коже в области ЦВК приобретают хронический характер. Не проводят рутинное исследование всех удаленных катетеров.</w:t>
      </w:r>
    </w:p>
    <w:p w14:paraId="723EF3EF" w14:textId="0DE3E1D2" w:rsidR="00223824" w:rsidRPr="00761653" w:rsidRDefault="00F60A18" w:rsidP="00223824">
      <w:pPr>
        <w:tabs>
          <w:tab w:val="left" w:pos="0"/>
        </w:tabs>
        <w:ind w:right="49"/>
        <w:contextualSpacing/>
      </w:pPr>
      <w:r>
        <w:tab/>
      </w:r>
      <w:r w:rsidR="00223824" w:rsidRPr="00761653">
        <w:t>Показаниями для</w:t>
      </w:r>
      <w:r w:rsidR="00223824">
        <w:t xml:space="preserve"> </w:t>
      </w:r>
      <w:r w:rsidR="00223824" w:rsidRPr="00284D51">
        <w:rPr>
          <w:i/>
          <w:iCs/>
        </w:rPr>
        <w:t>микробиологического исследования мочи</w:t>
      </w:r>
      <w:r w:rsidR="00223824" w:rsidRPr="00761653">
        <w:t xml:space="preserve"> являются клинические симптомы инфекции мочевыводящих путей, лейкоцитурия, температура более 5 дней в период нейтропении. Для </w:t>
      </w:r>
      <w:r w:rsidR="00223824">
        <w:t xml:space="preserve">микробиологического </w:t>
      </w:r>
      <w:r w:rsidR="00223824" w:rsidRPr="00761653">
        <w:t>исследования направляют утреннюю среднюю порцию мочи</w:t>
      </w:r>
      <w:r w:rsidR="00223824">
        <w:t xml:space="preserve">, </w:t>
      </w:r>
      <w:r w:rsidR="00223824" w:rsidRPr="00D40538">
        <w:t>проводят исследования на наличие различных бактериальных патогенов</w:t>
      </w:r>
      <w:r w:rsidR="00223824">
        <w:t>, начиная с наиболее частых в гематологической практике (см. ниже)</w:t>
      </w:r>
      <w:r w:rsidR="00223824" w:rsidRPr="00D40538">
        <w:t xml:space="preserve">. Бактериурия </w:t>
      </w:r>
      <w:r w:rsidR="00223824" w:rsidRPr="00761653">
        <w:t xml:space="preserve">является диагностически значимой, если выделен </w:t>
      </w:r>
      <w:r w:rsidR="00223824" w:rsidRPr="00761653">
        <w:rPr>
          <w:bCs/>
        </w:rPr>
        <w:t>один микроорганизм</w:t>
      </w:r>
      <w:r w:rsidR="00223824" w:rsidRPr="00761653">
        <w:t xml:space="preserve"> в количестве ≥10</w:t>
      </w:r>
      <w:r w:rsidR="00223824" w:rsidRPr="00761653">
        <w:rPr>
          <w:vertAlign w:val="superscript"/>
        </w:rPr>
        <w:t>3</w:t>
      </w:r>
      <w:r w:rsidR="00223824" w:rsidRPr="00761653">
        <w:t> КОЕ/мл. Микробиологическое исследование мочи повторяют на следующий день, если выделены два микрорганизма в количестве ≥10</w:t>
      </w:r>
      <w:r w:rsidR="00223824" w:rsidRPr="00761653">
        <w:rPr>
          <w:vertAlign w:val="superscript"/>
        </w:rPr>
        <w:t>3</w:t>
      </w:r>
      <w:r w:rsidR="00223824" w:rsidRPr="00761653">
        <w:t xml:space="preserve"> КОЕ/мл. Повторное выделение тех же микроорганизмов, как в первом исследовании, подтверждает наличие инфекции мочевыводящих путей. В гематологии наиболее частыми возбудителями инфекции мочевыводящих путей в стационаре являются энтеробактерии, среди них </w:t>
      </w:r>
      <w:r w:rsidR="00223824" w:rsidRPr="00761653">
        <w:rPr>
          <w:i/>
          <w:iCs/>
        </w:rPr>
        <w:t>E. coli,</w:t>
      </w:r>
      <w:r w:rsidR="00223824" w:rsidRPr="00761653">
        <w:t xml:space="preserve"> далее следуют </w:t>
      </w:r>
      <w:r w:rsidR="00223824" w:rsidRPr="00761653">
        <w:rPr>
          <w:i/>
          <w:iCs/>
        </w:rPr>
        <w:t>Enterococcus</w:t>
      </w:r>
      <w:r w:rsidR="00223824" w:rsidRPr="00761653">
        <w:t xml:space="preserve"> spp., </w:t>
      </w:r>
      <w:r w:rsidR="00223824" w:rsidRPr="00761653">
        <w:rPr>
          <w:i/>
          <w:iCs/>
        </w:rPr>
        <w:t>P. aeruginosa.</w:t>
      </w:r>
      <w:r w:rsidR="00223824" w:rsidRPr="00761653">
        <w:t xml:space="preserve"> Неоднократное выделение из мочи </w:t>
      </w:r>
      <w:r w:rsidR="00223824" w:rsidRPr="00761653">
        <w:rPr>
          <w:i/>
          <w:iCs/>
        </w:rPr>
        <w:t>Сandida</w:t>
      </w:r>
      <w:r w:rsidR="00223824" w:rsidRPr="00761653">
        <w:t xml:space="preserve"> </w:t>
      </w:r>
      <w:r w:rsidR="00223824" w:rsidRPr="00761653">
        <w:lastRenderedPageBreak/>
        <w:t xml:space="preserve">spp. у </w:t>
      </w:r>
      <w:r w:rsidR="00223824">
        <w:t>пациентов</w:t>
      </w:r>
      <w:r w:rsidR="00223824" w:rsidRPr="00761653">
        <w:t xml:space="preserve"> с фебрильной нейтропенией может свидетельствовать о высокой вероятности наличия диссеминированного инвазивного кандидоза. Определяют чувствительность к антибиотикам всех микроорганизмов, выделенных в диагностически значимых количествах.</w:t>
      </w:r>
    </w:p>
    <w:p w14:paraId="7420FCC0" w14:textId="7A5AF067" w:rsidR="00223824" w:rsidRPr="00761653" w:rsidRDefault="00F60A18" w:rsidP="00223824">
      <w:pPr>
        <w:tabs>
          <w:tab w:val="left" w:pos="0"/>
        </w:tabs>
        <w:ind w:right="49"/>
        <w:contextualSpacing/>
      </w:pPr>
      <w:r>
        <w:tab/>
      </w:r>
      <w:r w:rsidR="00223824" w:rsidRPr="00761653">
        <w:t>Показания к</w:t>
      </w:r>
      <w:r w:rsidR="00223824">
        <w:t xml:space="preserve"> </w:t>
      </w:r>
      <w:r w:rsidR="00223824" w:rsidRPr="00284D51">
        <w:rPr>
          <w:i/>
          <w:iCs/>
        </w:rPr>
        <w:t>микроскопическому, микробиологическому и молекулярно-биологическому исследованию спинномозговой жидкости</w:t>
      </w:r>
      <w:r w:rsidR="00223824">
        <w:t xml:space="preserve"> </w:t>
      </w:r>
      <w:r w:rsidR="00223824" w:rsidRPr="00761653">
        <w:t>– наличие симптомов менингита, «мозговая» симптоматика на фоне фебрильной нейтропении, обнаружение очага (очагов) в головном мозге при компьютерной томографии</w:t>
      </w:r>
      <w:r w:rsidR="00223824">
        <w:t>/спиральной компьютерной томографии</w:t>
      </w:r>
      <w:r w:rsidR="00223824" w:rsidRPr="00761653">
        <w:t xml:space="preserve"> (КТ</w:t>
      </w:r>
      <w:r w:rsidR="00223824">
        <w:t>/СКТ)</w:t>
      </w:r>
      <w:r w:rsidR="00223824" w:rsidRPr="00761653">
        <w:t xml:space="preserve"> или магнитно-резонансной томографии (МРТ). Исследование спинномозговой жидкости (СМЖ) включает микроскопию, посев на бактерии и грибы, определение антигена </w:t>
      </w:r>
      <w:r w:rsidR="00223824" w:rsidRPr="00761653">
        <w:rPr>
          <w:i/>
          <w:iCs/>
        </w:rPr>
        <w:t xml:space="preserve">Cryptococcus </w:t>
      </w:r>
      <w:r w:rsidR="00223824" w:rsidRPr="00761653">
        <w:t xml:space="preserve">spp. (глюкороксиломаннан), определение антигена </w:t>
      </w:r>
      <w:r w:rsidR="00223824" w:rsidRPr="00761653">
        <w:rPr>
          <w:i/>
          <w:iCs/>
        </w:rPr>
        <w:t>Aspergillus</w:t>
      </w:r>
      <w:r w:rsidR="00223824" w:rsidRPr="00761653">
        <w:t xml:space="preserve"> spp. (галактоманнан) у </w:t>
      </w:r>
      <w:r w:rsidR="00223824">
        <w:t>пациентов</w:t>
      </w:r>
      <w:r w:rsidR="00223824" w:rsidRPr="00761653">
        <w:t xml:space="preserve"> с инвазивным аспергиллезом легких или околоносовых пазух, определение дезоксирибонуклеиновой кислоты (ДНК) герпесвирусов методом полимеразной цепной реакции (ПЦР), при наличии нейтрофильного цитоза – определение антигенов бактерий (</w:t>
      </w:r>
      <w:r w:rsidR="00223824" w:rsidRPr="00761653">
        <w:rPr>
          <w:i/>
          <w:iCs/>
        </w:rPr>
        <w:t>Streptococcus pneumoniae, Haemophilus</w:t>
      </w:r>
      <w:r w:rsidR="00223824" w:rsidRPr="00761653">
        <w:t xml:space="preserve"> </w:t>
      </w:r>
      <w:r w:rsidR="00223824" w:rsidRPr="00761653">
        <w:rPr>
          <w:i/>
          <w:iCs/>
        </w:rPr>
        <w:t>influenzae, Neisseria meningitidis,</w:t>
      </w:r>
      <w:r w:rsidR="00223824" w:rsidRPr="00761653">
        <w:t xml:space="preserve"> стрептококки группы В), при наличии очагов в головном мозге – определение ДНК </w:t>
      </w:r>
      <w:r w:rsidR="00223824" w:rsidRPr="00761653">
        <w:rPr>
          <w:i/>
          <w:iCs/>
        </w:rPr>
        <w:t>Toxoplasma gondii</w:t>
      </w:r>
      <w:r w:rsidR="00223824" w:rsidRPr="00761653">
        <w:t xml:space="preserve"> методом ПЦР (группу риска представляют реципиенты аллогенной ТГСК).</w:t>
      </w:r>
    </w:p>
    <w:p w14:paraId="308D455E" w14:textId="0DC5ABB0" w:rsidR="00223824" w:rsidRPr="00C73751" w:rsidRDefault="00F60A18" w:rsidP="00223824">
      <w:pPr>
        <w:tabs>
          <w:tab w:val="left" w:pos="0"/>
        </w:tabs>
        <w:ind w:right="49"/>
        <w:contextualSpacing/>
      </w:pPr>
      <w:r>
        <w:rPr>
          <w:i/>
          <w:iCs/>
        </w:rPr>
        <w:tab/>
      </w:r>
      <w:r w:rsidR="00223824" w:rsidRPr="00284D51">
        <w:rPr>
          <w:i/>
          <w:iCs/>
        </w:rPr>
        <w:t>Микробиологическое исследование кала</w:t>
      </w:r>
      <w:r w:rsidR="00223824">
        <w:t xml:space="preserve"> проводят </w:t>
      </w:r>
      <w:r w:rsidR="00223824" w:rsidRPr="00761653">
        <w:t xml:space="preserve">у </w:t>
      </w:r>
      <w:r w:rsidR="00223824">
        <w:t>пациентов с диареей для о</w:t>
      </w:r>
      <w:r w:rsidR="00223824" w:rsidRPr="00C73751">
        <w:t>пределени</w:t>
      </w:r>
      <w:r w:rsidR="00223824">
        <w:t>я</w:t>
      </w:r>
      <w:r w:rsidR="00223824" w:rsidRPr="00C73751">
        <w:t xml:space="preserve"> токсинов </w:t>
      </w:r>
      <w:r w:rsidR="00223824" w:rsidRPr="00C73751">
        <w:rPr>
          <w:i/>
        </w:rPr>
        <w:t>Clostridioides difficile</w:t>
      </w:r>
      <w:r w:rsidR="00223824" w:rsidRPr="00C73751">
        <w:t xml:space="preserve"> в кале</w:t>
      </w:r>
      <w:r w:rsidR="00223824">
        <w:t xml:space="preserve">. </w:t>
      </w:r>
      <w:r w:rsidR="00223824" w:rsidRPr="00C73751">
        <w:t xml:space="preserve">Если результат этого теста оказывается отрицательным, проводят количественное исследование на условно-патогенные микроорганизмы, а также на </w:t>
      </w:r>
      <w:r w:rsidR="00223824" w:rsidRPr="00C73751">
        <w:rPr>
          <w:i/>
        </w:rPr>
        <w:t>С</w:t>
      </w:r>
      <w:r w:rsidR="00223824" w:rsidRPr="00DB1FCB">
        <w:rPr>
          <w:i/>
        </w:rPr>
        <w:t>ryptosporidium</w:t>
      </w:r>
      <w:r w:rsidR="00223824" w:rsidRPr="00C73751">
        <w:rPr>
          <w:i/>
        </w:rPr>
        <w:t xml:space="preserve"> </w:t>
      </w:r>
      <w:r w:rsidR="00223824" w:rsidRPr="00DB1FCB">
        <w:rPr>
          <w:i/>
        </w:rPr>
        <w:t>parvum</w:t>
      </w:r>
      <w:r w:rsidR="00223824" w:rsidRPr="00C73751">
        <w:rPr>
          <w:i/>
        </w:rPr>
        <w:t xml:space="preserve">, </w:t>
      </w:r>
      <w:r w:rsidR="00223824" w:rsidRPr="00DB1FCB">
        <w:rPr>
          <w:i/>
        </w:rPr>
        <w:t>Salmonella</w:t>
      </w:r>
      <w:r w:rsidR="00223824" w:rsidRPr="00C73751">
        <w:rPr>
          <w:i/>
        </w:rPr>
        <w:t xml:space="preserve"> </w:t>
      </w:r>
      <w:r w:rsidR="00223824" w:rsidRPr="00DB1FCB">
        <w:rPr>
          <w:i/>
        </w:rPr>
        <w:t>spp</w:t>
      </w:r>
      <w:r w:rsidR="00223824" w:rsidRPr="00C73751">
        <w:rPr>
          <w:i/>
        </w:rPr>
        <w:t xml:space="preserve">., </w:t>
      </w:r>
      <w:r w:rsidR="00223824" w:rsidRPr="00DB1FCB">
        <w:rPr>
          <w:i/>
        </w:rPr>
        <w:t>Shigella</w:t>
      </w:r>
      <w:r w:rsidR="00223824" w:rsidRPr="00C73751">
        <w:rPr>
          <w:i/>
        </w:rPr>
        <w:t xml:space="preserve"> </w:t>
      </w:r>
      <w:r w:rsidR="00223824" w:rsidRPr="00DB1FCB">
        <w:rPr>
          <w:i/>
        </w:rPr>
        <w:t>spp</w:t>
      </w:r>
      <w:r w:rsidR="00223824" w:rsidRPr="00C73751">
        <w:rPr>
          <w:i/>
        </w:rPr>
        <w:t xml:space="preserve">., </w:t>
      </w:r>
      <w:r w:rsidR="00223824" w:rsidRPr="00DB1FCB">
        <w:rPr>
          <w:i/>
        </w:rPr>
        <w:t>Listeria</w:t>
      </w:r>
      <w:r w:rsidR="00223824" w:rsidRPr="00C73751">
        <w:rPr>
          <w:i/>
        </w:rPr>
        <w:t xml:space="preserve"> </w:t>
      </w:r>
      <w:r w:rsidR="00223824" w:rsidRPr="00DB1FCB">
        <w:rPr>
          <w:i/>
        </w:rPr>
        <w:t>spp</w:t>
      </w:r>
      <w:r w:rsidR="00223824" w:rsidRPr="00C73751">
        <w:rPr>
          <w:i/>
        </w:rPr>
        <w:t xml:space="preserve">., </w:t>
      </w:r>
      <w:r w:rsidR="00223824" w:rsidRPr="00DB1FCB">
        <w:rPr>
          <w:i/>
        </w:rPr>
        <w:t>Yersenia</w:t>
      </w:r>
      <w:r w:rsidR="00223824" w:rsidRPr="00C73751">
        <w:rPr>
          <w:i/>
        </w:rPr>
        <w:t xml:space="preserve"> </w:t>
      </w:r>
      <w:r w:rsidR="00223824" w:rsidRPr="00DB1FCB">
        <w:rPr>
          <w:i/>
        </w:rPr>
        <w:t>spp</w:t>
      </w:r>
      <w:r w:rsidR="00223824" w:rsidRPr="00C73751">
        <w:rPr>
          <w:i/>
        </w:rPr>
        <w:t>.</w:t>
      </w:r>
      <w:r w:rsidR="00223824" w:rsidRPr="00C73751">
        <w:t xml:space="preserve">, вирусы (ротавирусы, аденовирусы). Энтероколиты могут быть обусловлены </w:t>
      </w:r>
      <w:r w:rsidR="00223824" w:rsidRPr="00DB1FCB">
        <w:rPr>
          <w:i/>
        </w:rPr>
        <w:t>Candida</w:t>
      </w:r>
      <w:r w:rsidR="00223824" w:rsidRPr="00C73751">
        <w:rPr>
          <w:i/>
        </w:rPr>
        <w:t xml:space="preserve"> </w:t>
      </w:r>
      <w:r w:rsidR="00223824" w:rsidRPr="00DB1FCB">
        <w:rPr>
          <w:i/>
        </w:rPr>
        <w:t>spp</w:t>
      </w:r>
      <w:r w:rsidR="00223824" w:rsidRPr="00C73751">
        <w:t xml:space="preserve">. При количественном исследовании кала следует обращать внимание на выделение штаммов </w:t>
      </w:r>
      <w:r w:rsidR="00223824" w:rsidRPr="00DB1FCB">
        <w:rPr>
          <w:i/>
        </w:rPr>
        <w:t>Pseudomonas</w:t>
      </w:r>
      <w:r w:rsidR="00223824" w:rsidRPr="00C73751">
        <w:rPr>
          <w:i/>
        </w:rPr>
        <w:t xml:space="preserve"> </w:t>
      </w:r>
      <w:r w:rsidR="00223824" w:rsidRPr="00DB1FCB">
        <w:rPr>
          <w:i/>
        </w:rPr>
        <w:t>aeruginosa</w:t>
      </w:r>
      <w:r w:rsidR="00223824" w:rsidRPr="00C73751">
        <w:t>, энтеробактерий (</w:t>
      </w:r>
      <w:r w:rsidR="00223824" w:rsidRPr="00DB1FCB">
        <w:rPr>
          <w:i/>
        </w:rPr>
        <w:t>Escherichia</w:t>
      </w:r>
      <w:r w:rsidR="00223824" w:rsidRPr="00C73751">
        <w:rPr>
          <w:i/>
        </w:rPr>
        <w:t xml:space="preserve"> </w:t>
      </w:r>
      <w:r w:rsidR="00223824" w:rsidRPr="00DB1FCB">
        <w:rPr>
          <w:i/>
        </w:rPr>
        <w:t>coli</w:t>
      </w:r>
      <w:r w:rsidR="00223824" w:rsidRPr="00C73751">
        <w:rPr>
          <w:i/>
        </w:rPr>
        <w:t xml:space="preserve">, </w:t>
      </w:r>
      <w:r w:rsidR="00223824" w:rsidRPr="00DB1FCB">
        <w:rPr>
          <w:i/>
        </w:rPr>
        <w:t>Klebsiella</w:t>
      </w:r>
      <w:r w:rsidR="00223824" w:rsidRPr="00C73751">
        <w:rPr>
          <w:i/>
        </w:rPr>
        <w:t xml:space="preserve"> </w:t>
      </w:r>
      <w:r w:rsidR="00223824" w:rsidRPr="00DB1FCB">
        <w:rPr>
          <w:i/>
        </w:rPr>
        <w:t>spp</w:t>
      </w:r>
      <w:r w:rsidR="00223824" w:rsidRPr="00C73751">
        <w:rPr>
          <w:i/>
        </w:rPr>
        <w:t>.),</w:t>
      </w:r>
      <w:r w:rsidR="00223824" w:rsidRPr="00C73751">
        <w:t xml:space="preserve"> продуцирующих БЛРС или карбапенемазы. У больных с персистирующей фебрильной нейтропенией и отсутствием положительной гемокультуры эти микроорганизмы могут быть причиной инфекции. </w:t>
      </w:r>
    </w:p>
    <w:p w14:paraId="36AAE51D" w14:textId="7358339C" w:rsidR="00223824" w:rsidRPr="00761653" w:rsidRDefault="00F60A18" w:rsidP="00223824">
      <w:pPr>
        <w:tabs>
          <w:tab w:val="left" w:pos="0"/>
        </w:tabs>
        <w:ind w:right="49"/>
        <w:contextualSpacing/>
      </w:pPr>
      <w:r>
        <w:rPr>
          <w:i/>
          <w:iCs/>
        </w:rPr>
        <w:tab/>
      </w:r>
      <w:r w:rsidR="00223824" w:rsidRPr="00284D51">
        <w:rPr>
          <w:i/>
          <w:iCs/>
        </w:rPr>
        <w:t>Микробиологическое исследование мазка со слизистой оболочки носоглотки</w:t>
      </w:r>
      <w:r w:rsidR="00223824">
        <w:t xml:space="preserve"> проводят при наличии</w:t>
      </w:r>
      <w:r w:rsidR="00223824" w:rsidRPr="00761653">
        <w:t xml:space="preserve"> признаков </w:t>
      </w:r>
      <w:r w:rsidR="00223824">
        <w:t>стоматита (</w:t>
      </w:r>
      <w:r w:rsidR="00223824" w:rsidRPr="00761653">
        <w:t>мукозита</w:t>
      </w:r>
      <w:r w:rsidR="00223824">
        <w:t>)</w:t>
      </w:r>
      <w:r w:rsidR="00223824" w:rsidRPr="00761653">
        <w:t xml:space="preserve">. Проводят культуральное исследование на грамотрицательные бактерии и дрожжевые грибы. При выделении грамотрицательных бактерий осуществляют идентификацию до вида, определение чувствительности к антибиотикам, детекцию продукции β-лактамаз расишернного спектра (БЛРС) у энтеробактерий, постановку теста modified carbapenem inactivation method </w:t>
      </w:r>
      <w:r w:rsidR="00223824" w:rsidRPr="00761653">
        <w:lastRenderedPageBreak/>
        <w:t xml:space="preserve">(mCIM) или carbapenem inactivation method (CIM) для определения продукции карбапенемаз среди карбапенемоустойчивых энтеробактерий и </w:t>
      </w:r>
      <w:r w:rsidR="00223824" w:rsidRPr="00761653">
        <w:rPr>
          <w:i/>
          <w:iCs/>
        </w:rPr>
        <w:t>P. aeruginosa</w:t>
      </w:r>
      <w:r w:rsidR="00223824" w:rsidRPr="00761653">
        <w:rPr>
          <w:iCs/>
        </w:rPr>
        <w:t xml:space="preserve">, определение групп карбапенемаз методом ПЦР при положительном тесте mCIM (или CIM). </w:t>
      </w:r>
      <w:r w:rsidR="00223824" w:rsidRPr="00761653">
        <w:t xml:space="preserve">При выделении дрожжевых грибов со слизистой оболочки ротоглотки проводят только идентификацию до вида. </w:t>
      </w:r>
    </w:p>
    <w:p w14:paraId="55246BB1" w14:textId="77777777" w:rsidR="00223824" w:rsidRPr="00761653" w:rsidRDefault="00223824" w:rsidP="00F60A18">
      <w:pPr>
        <w:ind w:right="49" w:firstLine="720"/>
        <w:contextualSpacing/>
      </w:pPr>
      <w:r w:rsidRPr="00284D51">
        <w:rPr>
          <w:i/>
          <w:iCs/>
        </w:rPr>
        <w:t>Микробиологическое исследование соскоба или биоптата со слизистой оболочки пищевода</w:t>
      </w:r>
      <w:r w:rsidRPr="00284D51">
        <w:rPr>
          <w:b/>
          <w:bCs/>
        </w:rPr>
        <w:t xml:space="preserve"> </w:t>
      </w:r>
      <w:r w:rsidRPr="00284D51">
        <w:t>проводят при клиническоой картине эзофагита, боли по ходу пищевода. Во</w:t>
      </w:r>
      <w:r w:rsidRPr="00761653">
        <w:t xml:space="preserve"> время эзофагоскопии проводят соскоб со слизистой оболочки пищевода (браш-метод при нейтропении) или биопсию (вне нейтропении и тромбоцитопении). Проводят культуральное исследование на бактерии и дрожжевые грибы, определение ДНК герпесвирусов </w:t>
      </w:r>
      <w:r>
        <w:t>(</w:t>
      </w:r>
      <w:r w:rsidRPr="00C73751">
        <w:t xml:space="preserve">ДНК вируса простого герпеса, </w:t>
      </w:r>
      <w:r>
        <w:t>цитомегаловируса)</w:t>
      </w:r>
      <w:r w:rsidRPr="00761653">
        <w:t xml:space="preserve"> методом ПЦР, идентификацию и определение чувствительности всех выделенных микроорганизмов</w:t>
      </w:r>
      <w:r>
        <w:t>, гистологическое исследование (с иммуногистохимическим исследованием при необходимости)</w:t>
      </w:r>
      <w:r w:rsidRPr="00761653">
        <w:t>.</w:t>
      </w:r>
    </w:p>
    <w:p w14:paraId="71443D30" w14:textId="77777777" w:rsidR="00223824" w:rsidRPr="00761653" w:rsidRDefault="00223824" w:rsidP="00F60A18">
      <w:pPr>
        <w:ind w:right="49" w:firstLine="720"/>
        <w:contextualSpacing/>
      </w:pPr>
      <w:r w:rsidRPr="00284D51">
        <w:rPr>
          <w:i/>
          <w:iCs/>
        </w:rPr>
        <w:t>Микробиологическое исследование ректальных мазков</w:t>
      </w:r>
      <w:r w:rsidRPr="00284D51">
        <w:rPr>
          <w:b/>
          <w:bCs/>
        </w:rPr>
        <w:t xml:space="preserve"> </w:t>
      </w:r>
      <w:r w:rsidRPr="00284D51">
        <w:t>проводят с целью детекции</w:t>
      </w:r>
      <w:r w:rsidRPr="00761653">
        <w:t xml:space="preserve"> колонизации слизистой оболочки кишечника полирезистентными грамотрицательными бактериями и грибами рода </w:t>
      </w:r>
      <w:r w:rsidRPr="00761653">
        <w:rPr>
          <w:i/>
        </w:rPr>
        <w:t>Candida</w:t>
      </w:r>
      <w:r w:rsidRPr="00761653">
        <w:t>.</w:t>
      </w:r>
    </w:p>
    <w:p w14:paraId="61EC5D1C" w14:textId="19C0DC1D" w:rsidR="00223824" w:rsidRDefault="00F60A18" w:rsidP="00223824">
      <w:pPr>
        <w:tabs>
          <w:tab w:val="left" w:pos="0"/>
        </w:tabs>
        <w:ind w:right="49"/>
        <w:contextualSpacing/>
      </w:pPr>
      <w:r>
        <w:tab/>
      </w:r>
      <w:r w:rsidR="00223824" w:rsidRPr="00761653">
        <w:t xml:space="preserve">Исследование </w:t>
      </w:r>
      <w:r w:rsidR="00223824">
        <w:t>показано:</w:t>
      </w:r>
      <w:r w:rsidR="00223824" w:rsidRPr="00761653">
        <w:t xml:space="preserve"> </w:t>
      </w:r>
    </w:p>
    <w:p w14:paraId="43BCF2FB" w14:textId="77777777" w:rsidR="00223824" w:rsidRPr="00C73751" w:rsidRDefault="00223824" w:rsidP="00A45B6B">
      <w:pPr>
        <w:pStyle w:val="afff3"/>
        <w:numPr>
          <w:ilvl w:val="0"/>
          <w:numId w:val="238"/>
        </w:numPr>
        <w:tabs>
          <w:tab w:val="left" w:pos="0"/>
        </w:tabs>
        <w:ind w:right="49"/>
      </w:pPr>
      <w:r w:rsidRPr="00CB604C">
        <w:t>при инфекции промежности</w:t>
      </w:r>
      <w:r>
        <w:t>, в</w:t>
      </w:r>
      <w:r w:rsidRPr="00C73751">
        <w:t>оспалени</w:t>
      </w:r>
      <w:r>
        <w:t>и</w:t>
      </w:r>
      <w:r w:rsidRPr="00C73751">
        <w:t xml:space="preserve"> или повреждени</w:t>
      </w:r>
      <w:r>
        <w:t>и</w:t>
      </w:r>
      <w:r w:rsidRPr="00C73751">
        <w:t xml:space="preserve"> слизистой прямой кишки (трещина, парапроктит и др.);</w:t>
      </w:r>
    </w:p>
    <w:p w14:paraId="42C27208" w14:textId="77777777" w:rsidR="00223824" w:rsidRDefault="00223824" w:rsidP="00A45B6B">
      <w:pPr>
        <w:pStyle w:val="afff3"/>
        <w:numPr>
          <w:ilvl w:val="0"/>
          <w:numId w:val="238"/>
        </w:numPr>
        <w:tabs>
          <w:tab w:val="left" w:pos="0"/>
        </w:tabs>
        <w:ind w:right="49"/>
      </w:pPr>
      <w:r w:rsidRPr="00CB604C">
        <w:t xml:space="preserve">у </w:t>
      </w:r>
      <w:r>
        <w:t>пациентов</w:t>
      </w:r>
      <w:r w:rsidRPr="00CB604C">
        <w:t xml:space="preserve"> с персистирующей фебрильной нейтропенией длительностью от 4-5 дней и отсутствием диагностически значимых результатов исследований; </w:t>
      </w:r>
    </w:p>
    <w:p w14:paraId="389D777F" w14:textId="77777777" w:rsidR="00223824" w:rsidRDefault="00223824" w:rsidP="00A45B6B">
      <w:pPr>
        <w:pStyle w:val="afff3"/>
        <w:numPr>
          <w:ilvl w:val="0"/>
          <w:numId w:val="238"/>
        </w:numPr>
        <w:tabs>
          <w:tab w:val="left" w:pos="0"/>
        </w:tabs>
        <w:ind w:right="49"/>
      </w:pPr>
      <w:r w:rsidRPr="00CB604C">
        <w:t xml:space="preserve">в качестве скрининга в группе высокого риска развития инфекций у </w:t>
      </w:r>
      <w:r>
        <w:t>пациентов</w:t>
      </w:r>
      <w:r w:rsidRPr="00CB604C">
        <w:t xml:space="preserve"> острыми лейкозами и у реципиентов аллогенного костного мозга при поступлении в стационар, затем каждые 7 дней до восстановления гранулоцитов в крови или лейкоцитов &gt;1,0</w:t>
      </w:r>
      <w:r>
        <w:t> </w:t>
      </w:r>
      <w:r w:rsidRPr="00CB604C">
        <w:t>×</w:t>
      </w:r>
      <w:r>
        <w:t> </w:t>
      </w:r>
      <w:r w:rsidRPr="00CB604C">
        <w:t>10</w:t>
      </w:r>
      <w:r w:rsidRPr="00CB604C">
        <w:rPr>
          <w:vertAlign w:val="superscript"/>
        </w:rPr>
        <w:t>9</w:t>
      </w:r>
      <w:r w:rsidRPr="00CB604C">
        <w:t xml:space="preserve">/л; </w:t>
      </w:r>
    </w:p>
    <w:p w14:paraId="0BFE0DC5" w14:textId="77777777" w:rsidR="00223824" w:rsidRPr="00CB604C" w:rsidRDefault="00223824" w:rsidP="00223824">
      <w:pPr>
        <w:tabs>
          <w:tab w:val="left" w:pos="0"/>
        </w:tabs>
        <w:ind w:right="49"/>
      </w:pPr>
      <w:r>
        <w:tab/>
      </w:r>
      <w:r w:rsidRPr="00CB604C">
        <w:t xml:space="preserve">С учетом выделенных микроорганизмов может быть проведена коррекция антимикробной терапии при отсутствии диагностически значимых результатов исследований из клинически значимых образцов у </w:t>
      </w:r>
      <w:r>
        <w:t>пациентов</w:t>
      </w:r>
      <w:r w:rsidRPr="00CB604C">
        <w:t xml:space="preserve"> с персистирующей фебрильной нейтропенией. Обращают внимание на выделение полирезистентных грамотрицательных бактерий – </w:t>
      </w:r>
      <w:r w:rsidRPr="00CB604C">
        <w:rPr>
          <w:i/>
          <w:iCs/>
        </w:rPr>
        <w:t>P. aeruginosa,</w:t>
      </w:r>
      <w:r w:rsidRPr="00CB604C">
        <w:rPr>
          <w:i/>
        </w:rPr>
        <w:t xml:space="preserve"> A. baumannii, S. maltophilia</w:t>
      </w:r>
      <w:r w:rsidRPr="00CB604C">
        <w:t xml:space="preserve">, энтеробактерий с продукцией БЛРС или карбапенемаз, </w:t>
      </w:r>
    </w:p>
    <w:p w14:paraId="2C62EEBF" w14:textId="16C90281" w:rsidR="00223824" w:rsidRDefault="00F60A18" w:rsidP="00223824">
      <w:pPr>
        <w:tabs>
          <w:tab w:val="left" w:pos="0"/>
        </w:tabs>
        <w:ind w:right="49"/>
        <w:contextualSpacing/>
      </w:pPr>
      <w:r>
        <w:rPr>
          <w:i/>
          <w:iCs/>
        </w:rPr>
        <w:tab/>
      </w:r>
      <w:r w:rsidR="00223824" w:rsidRPr="00284D51">
        <w:rPr>
          <w:i/>
          <w:iCs/>
        </w:rPr>
        <w:t>Микробиологическое исследование мазка со слизистой оболочки носовых ходов</w:t>
      </w:r>
      <w:r w:rsidR="00223824" w:rsidRPr="00225D7F">
        <w:rPr>
          <w:i/>
          <w:iCs/>
          <w:u w:val="single"/>
        </w:rPr>
        <w:t xml:space="preserve"> </w:t>
      </w:r>
      <w:r w:rsidR="00223824">
        <w:t>проводят по следующим показаниям:</w:t>
      </w:r>
    </w:p>
    <w:p w14:paraId="6A6DE75B" w14:textId="77777777" w:rsidR="00223824" w:rsidRDefault="00223824" w:rsidP="00A45B6B">
      <w:pPr>
        <w:pStyle w:val="afff3"/>
        <w:numPr>
          <w:ilvl w:val="0"/>
          <w:numId w:val="239"/>
        </w:numPr>
        <w:tabs>
          <w:tab w:val="left" w:pos="0"/>
        </w:tabs>
        <w:ind w:right="49"/>
      </w:pPr>
      <w:r w:rsidRPr="00CB604C">
        <w:lastRenderedPageBreak/>
        <w:t>наличие некроза слизистой оболочки носового хода</w:t>
      </w:r>
      <w:r>
        <w:t xml:space="preserve"> (</w:t>
      </w:r>
      <w:r w:rsidRPr="00CB604C">
        <w:t>посев только на плесневые (мицелиальные) грибы</w:t>
      </w:r>
      <w:r>
        <w:t>)</w:t>
      </w:r>
      <w:r w:rsidRPr="00CB604C">
        <w:t xml:space="preserve">; </w:t>
      </w:r>
    </w:p>
    <w:p w14:paraId="15518353" w14:textId="77777777" w:rsidR="00223824" w:rsidRPr="00CB604C" w:rsidRDefault="00223824" w:rsidP="00A45B6B">
      <w:pPr>
        <w:pStyle w:val="afff3"/>
        <w:numPr>
          <w:ilvl w:val="0"/>
          <w:numId w:val="239"/>
        </w:numPr>
        <w:tabs>
          <w:tab w:val="left" w:pos="0"/>
        </w:tabs>
        <w:ind w:right="49"/>
      </w:pPr>
      <w:r w:rsidRPr="00CB604C">
        <w:t xml:space="preserve">исследование колонизации </w:t>
      </w:r>
      <w:r w:rsidRPr="00CB604C">
        <w:rPr>
          <w:i/>
        </w:rPr>
        <w:t>Staphylococcus aureus</w:t>
      </w:r>
      <w:r w:rsidRPr="00CB604C">
        <w:t xml:space="preserve"> у больных с пиодермией.  </w:t>
      </w:r>
    </w:p>
    <w:p w14:paraId="7327C4E4" w14:textId="77777777" w:rsidR="00223824" w:rsidRPr="00761653" w:rsidRDefault="00223824" w:rsidP="00F60A18">
      <w:pPr>
        <w:ind w:right="-93" w:firstLine="720"/>
        <w:contextualSpacing/>
        <w:rPr>
          <w:b/>
          <w:bCs/>
        </w:rPr>
      </w:pPr>
      <w:r w:rsidRPr="00284D51">
        <w:rPr>
          <w:i/>
          <w:iCs/>
        </w:rPr>
        <w:t>Микробиологическое исследование биоптатов / соскобов / отделяемого пораженных участков кожи</w:t>
      </w:r>
      <w:r w:rsidRPr="00284D51">
        <w:rPr>
          <w:b/>
          <w:bCs/>
        </w:rPr>
        <w:t xml:space="preserve"> </w:t>
      </w:r>
      <w:r w:rsidRPr="00284D51">
        <w:t>проводят при наличии септикопиемических очагов кожи (инфильтраты в</w:t>
      </w:r>
      <w:r w:rsidRPr="00761653">
        <w:t xml:space="preserve"> дерме любых размеров, возникшие при </w:t>
      </w:r>
      <w:r>
        <w:t>гипертермии</w:t>
      </w:r>
      <w:r w:rsidRPr="00761653">
        <w:t>) или других образований на коже.</w:t>
      </w:r>
      <w:r w:rsidRPr="00761653">
        <w:rPr>
          <w:b/>
          <w:bCs/>
        </w:rPr>
        <w:t xml:space="preserve"> </w:t>
      </w:r>
      <w:r w:rsidRPr="00761653">
        <w:t xml:space="preserve">Проводят гистологическое и микробиологическое </w:t>
      </w:r>
      <w:r>
        <w:t xml:space="preserve">(культуральное) </w:t>
      </w:r>
      <w:r w:rsidRPr="00761653">
        <w:t xml:space="preserve">исследование на наличие </w:t>
      </w:r>
      <w:r>
        <w:t xml:space="preserve">бактерий, </w:t>
      </w:r>
      <w:r w:rsidRPr="00761653">
        <w:t>грибов</w:t>
      </w:r>
      <w:r>
        <w:t>, туберкуляза</w:t>
      </w:r>
      <w:r w:rsidRPr="00761653">
        <w:t xml:space="preserve">; </w:t>
      </w:r>
      <w:r>
        <w:t xml:space="preserve">микроскопическое исследование </w:t>
      </w:r>
      <w:r w:rsidRPr="00761653">
        <w:t>с окраской по Граму, Цилю-Нильсену, калькофлюором белым.</w:t>
      </w:r>
    </w:p>
    <w:p w14:paraId="57B95271" w14:textId="77777777" w:rsidR="00223824" w:rsidRPr="009F2603" w:rsidRDefault="00223824" w:rsidP="00F60A18">
      <w:pPr>
        <w:ind w:firstLine="720"/>
        <w:contextualSpacing/>
        <w:rPr>
          <w:b/>
          <w:bCs/>
        </w:rPr>
      </w:pPr>
      <w:r w:rsidRPr="00284D51">
        <w:rPr>
          <w:i/>
          <w:iCs/>
        </w:rPr>
        <w:t>Исследование жидкости бронхоальвеолярного лаважа</w:t>
      </w:r>
      <w:r w:rsidRPr="00284D51">
        <w:t xml:space="preserve"> (БАЛ) проводят при наличии</w:t>
      </w:r>
      <w:r w:rsidRPr="00761653">
        <w:t xml:space="preserve"> изменений в легких. Исследование </w:t>
      </w:r>
      <w:r>
        <w:t xml:space="preserve">лаважной </w:t>
      </w:r>
      <w:r w:rsidRPr="00761653">
        <w:t xml:space="preserve">жидкости включает цитологию мазков, микроскопию мазков световую (окраска по Граму, Цилю-Нильсену) и флуоресцентную (окраска калькофлуором белым для детекции мицелия грибов), микробиологическое </w:t>
      </w:r>
      <w:r>
        <w:t xml:space="preserve">(культуральное) </w:t>
      </w:r>
      <w:r w:rsidRPr="00761653">
        <w:t xml:space="preserve">исследование на бактерии, включая </w:t>
      </w:r>
      <w:r w:rsidRPr="00761653">
        <w:rPr>
          <w:i/>
          <w:iCs/>
        </w:rPr>
        <w:t>Legionella</w:t>
      </w:r>
      <w:r w:rsidRPr="00761653">
        <w:t xml:space="preserve"> spp., и грибы, флюоресцентную микроскопию </w:t>
      </w:r>
      <w:r w:rsidRPr="00761653">
        <w:rPr>
          <w:i/>
          <w:iCs/>
        </w:rPr>
        <w:t xml:space="preserve">Pneumocystis jirovecii, </w:t>
      </w:r>
      <w:r>
        <w:rPr>
          <w:iCs/>
        </w:rPr>
        <w:t xml:space="preserve">молекулярно-биологическое исследование для </w:t>
      </w:r>
      <w:r w:rsidRPr="00761653">
        <w:t>определени</w:t>
      </w:r>
      <w:r>
        <w:t>я</w:t>
      </w:r>
      <w:r w:rsidRPr="00761653">
        <w:t xml:space="preserve"> ДНК </w:t>
      </w:r>
      <w:r w:rsidRPr="00761653">
        <w:rPr>
          <w:i/>
          <w:iCs/>
        </w:rPr>
        <w:t xml:space="preserve">P. jirovecii </w:t>
      </w:r>
      <w:r w:rsidRPr="00761653">
        <w:t>методом ПЦР, определени</w:t>
      </w:r>
      <w:r>
        <w:t>я</w:t>
      </w:r>
      <w:r w:rsidRPr="00761653">
        <w:t xml:space="preserve"> антигена </w:t>
      </w:r>
      <w:r w:rsidRPr="00761653">
        <w:rPr>
          <w:i/>
          <w:iCs/>
        </w:rPr>
        <w:t>Aspergillus</w:t>
      </w:r>
      <w:r w:rsidRPr="00761653">
        <w:t xml:space="preserve"> (галактоманнан) в жидкости БАЛ, </w:t>
      </w:r>
      <w:r>
        <w:t xml:space="preserve">молекулярно-биологичесие </w:t>
      </w:r>
      <w:r w:rsidRPr="00761653">
        <w:t>исследовани</w:t>
      </w:r>
      <w:r>
        <w:t>я</w:t>
      </w:r>
      <w:r w:rsidRPr="00761653">
        <w:t xml:space="preserve"> на микобактерии методом ПЦР, </w:t>
      </w:r>
      <w:r>
        <w:t xml:space="preserve">для </w:t>
      </w:r>
      <w:r w:rsidRPr="00761653">
        <w:t>определени</w:t>
      </w:r>
      <w:r>
        <w:t>я</w:t>
      </w:r>
      <w:r w:rsidRPr="00761653">
        <w:t xml:space="preserve"> ДНК </w:t>
      </w:r>
      <w:r w:rsidRPr="00761653">
        <w:rPr>
          <w:i/>
          <w:iCs/>
        </w:rPr>
        <w:t xml:space="preserve">Mycoplasma pneumoniae </w:t>
      </w:r>
      <w:r w:rsidRPr="00761653">
        <w:rPr>
          <w:iCs/>
        </w:rPr>
        <w:t>и</w:t>
      </w:r>
      <w:r w:rsidRPr="00761653">
        <w:rPr>
          <w:i/>
          <w:iCs/>
        </w:rPr>
        <w:t xml:space="preserve"> Chlamydophila pneumoniae</w:t>
      </w:r>
      <w:r w:rsidRPr="00761653">
        <w:t xml:space="preserve"> методом ПЦР, определени</w:t>
      </w:r>
      <w:r>
        <w:t>я</w:t>
      </w:r>
      <w:r w:rsidRPr="00761653">
        <w:t xml:space="preserve"> ДНК герпес вирусов и респираторных вирусов (Influenza, Parainfluenza, RSV, Coronavirus, Human metapneumovirus, H1N1) методом ПЦР.</w:t>
      </w:r>
    </w:p>
    <w:p w14:paraId="7B9C9D60" w14:textId="3871CAA8" w:rsidR="00223824" w:rsidRPr="00284D51" w:rsidRDefault="00F60A18" w:rsidP="00223824">
      <w:pPr>
        <w:tabs>
          <w:tab w:val="left" w:pos="1134"/>
        </w:tabs>
        <w:contextualSpacing/>
        <w:rPr>
          <w:b/>
        </w:rPr>
      </w:pPr>
      <w:r>
        <w:rPr>
          <w:i/>
          <w:iCs/>
        </w:rPr>
        <w:tab/>
      </w:r>
      <w:r w:rsidR="00223824" w:rsidRPr="00284D51">
        <w:rPr>
          <w:i/>
          <w:iCs/>
        </w:rPr>
        <w:t>Определение антигена Legionella pneumophila в моче</w:t>
      </w:r>
      <w:r w:rsidR="00223824" w:rsidRPr="00284D51">
        <w:rPr>
          <w:b/>
        </w:rPr>
        <w:t xml:space="preserve"> </w:t>
      </w:r>
      <w:r w:rsidR="00223824" w:rsidRPr="00284D51">
        <w:t>проводится при наличии</w:t>
      </w:r>
      <w:r w:rsidR="00223824" w:rsidRPr="00761653">
        <w:t xml:space="preserve"> </w:t>
      </w:r>
      <w:r w:rsidR="00223824" w:rsidRPr="00284D51">
        <w:t>пневмонии с очагами консолидации.</w:t>
      </w:r>
    </w:p>
    <w:p w14:paraId="424E7465" w14:textId="77777777" w:rsidR="00223824" w:rsidRPr="00284D51" w:rsidRDefault="00223824" w:rsidP="00F60A18">
      <w:pPr>
        <w:ind w:firstLine="720"/>
        <w:contextualSpacing/>
        <w:rPr>
          <w:bCs/>
        </w:rPr>
      </w:pPr>
      <w:r w:rsidRPr="00284D51">
        <w:rPr>
          <w:i/>
          <w:iCs/>
        </w:rPr>
        <w:t>Исследование антигена Aspergillus (галактоманнан) в сыворотке крови, в жидкости БАЛ, в СМЖ</w:t>
      </w:r>
      <w:r w:rsidRPr="00284D51">
        <w:rPr>
          <w:bCs/>
          <w:iCs/>
        </w:rPr>
        <w:t xml:space="preserve"> показано в следующих клинических ситуациях:</w:t>
      </w:r>
      <w:r w:rsidRPr="00284D51">
        <w:rPr>
          <w:bCs/>
        </w:rPr>
        <w:t xml:space="preserve"> </w:t>
      </w:r>
    </w:p>
    <w:p w14:paraId="56D41EBB" w14:textId="007866ED" w:rsidR="00223824" w:rsidRPr="00833774" w:rsidRDefault="00223824" w:rsidP="00A45B6B">
      <w:pPr>
        <w:pStyle w:val="afff3"/>
        <w:numPr>
          <w:ilvl w:val="0"/>
          <w:numId w:val="240"/>
        </w:numPr>
        <w:tabs>
          <w:tab w:val="left" w:pos="0"/>
        </w:tabs>
      </w:pPr>
      <w:r w:rsidRPr="00833774">
        <w:rPr>
          <w:bCs/>
        </w:rPr>
        <w:t xml:space="preserve">мониторинг в период нейтропении </w:t>
      </w:r>
      <w:r>
        <w:rPr>
          <w:bCs/>
        </w:rPr>
        <w:t>у реципиентов</w:t>
      </w:r>
      <w:r w:rsidRPr="00833774">
        <w:rPr>
          <w:bCs/>
        </w:rPr>
        <w:t xml:space="preserve"> аллогеннных гемопоэтических клеток, если не проводится профилактики противогрибковыми препаратами, активными</w:t>
      </w:r>
      <w:r>
        <w:rPr>
          <w:bCs/>
        </w:rPr>
        <w:t xml:space="preserve"> в отношении плесневых грибов; </w:t>
      </w:r>
    </w:p>
    <w:p w14:paraId="22ABD62F" w14:textId="77777777" w:rsidR="00223824" w:rsidRDefault="00223824" w:rsidP="00A45B6B">
      <w:pPr>
        <w:pStyle w:val="afff3"/>
        <w:numPr>
          <w:ilvl w:val="0"/>
          <w:numId w:val="240"/>
        </w:numPr>
        <w:tabs>
          <w:tab w:val="left" w:pos="0"/>
        </w:tabs>
      </w:pPr>
      <w:r w:rsidRPr="00680401">
        <w:t>у пациентов с факторами риска (длительность нейтропении от 10 дней и более, применени</w:t>
      </w:r>
      <w:r>
        <w:t>е глюкокортикоидов, флударабина</w:t>
      </w:r>
      <w:r w:rsidRPr="00680401">
        <w:t>) и р</w:t>
      </w:r>
      <w:r>
        <w:t>ади</w:t>
      </w:r>
      <w:r w:rsidRPr="00680401">
        <w:t xml:space="preserve">ологическими признаками, характерными для инвазивного аспергиллеза, в период нейтропении. </w:t>
      </w:r>
    </w:p>
    <w:p w14:paraId="35449248" w14:textId="77777777" w:rsidR="00223824" w:rsidRDefault="00223824" w:rsidP="00A45B6B">
      <w:pPr>
        <w:pStyle w:val="afff3"/>
        <w:numPr>
          <w:ilvl w:val="0"/>
          <w:numId w:val="240"/>
        </w:numPr>
        <w:tabs>
          <w:tab w:val="left" w:pos="0"/>
        </w:tabs>
      </w:pPr>
      <w:r>
        <w:t xml:space="preserve">при клинико-радиологических признаках, подозрительных в отношении </w:t>
      </w:r>
      <w:r>
        <w:lastRenderedPageBreak/>
        <w:t xml:space="preserve">инвазивного аспергилеза, независимо от </w:t>
      </w:r>
      <w:r w:rsidRPr="00680401">
        <w:t>нейтропении.</w:t>
      </w:r>
    </w:p>
    <w:p w14:paraId="528564DF" w14:textId="5CDB3527" w:rsidR="00223824" w:rsidRPr="00761653" w:rsidRDefault="00223824" w:rsidP="00223824">
      <w:pPr>
        <w:tabs>
          <w:tab w:val="left" w:pos="0"/>
        </w:tabs>
      </w:pPr>
      <w:r>
        <w:rPr>
          <w:bCs/>
        </w:rPr>
        <w:tab/>
      </w:r>
      <w:r w:rsidRPr="00680401">
        <w:rPr>
          <w:bCs/>
        </w:rPr>
        <w:t>И</w:t>
      </w:r>
      <w:r w:rsidRPr="00680401">
        <w:t xml:space="preserve">сследование проводят не менее двух раз в течение 5 дней. Антиген </w:t>
      </w:r>
      <w:r w:rsidRPr="00680401">
        <w:rPr>
          <w:i/>
          <w:iCs/>
        </w:rPr>
        <w:t>Aspergillus</w:t>
      </w:r>
      <w:r w:rsidRPr="00680401">
        <w:t xml:space="preserve"> исследуют до назначения противогрибковых препаратов, активных в отношении мицелиальных грибов. Тест включен в критерии диагностики инвазивного аспергиллеза.</w:t>
      </w:r>
      <w:r>
        <w:t xml:space="preserve"> </w:t>
      </w:r>
      <w:r w:rsidRPr="00761653">
        <w:t xml:space="preserve">Положительные значения индекса оптической плотности определения антигена </w:t>
      </w:r>
      <w:r w:rsidRPr="00761653">
        <w:rPr>
          <w:i/>
          <w:iCs/>
        </w:rPr>
        <w:t>Aspergillus</w:t>
      </w:r>
      <w:r w:rsidRPr="00761653">
        <w:t xml:space="preserve"> в сыворотке крови</w:t>
      </w:r>
      <w:r>
        <w:t xml:space="preserve">: </w:t>
      </w:r>
      <w:r w:rsidRPr="00761653">
        <w:t xml:space="preserve"> ≥0,5, в жидкости БАЛ</w:t>
      </w:r>
      <w:r>
        <w:t>:</w:t>
      </w:r>
      <w:r w:rsidRPr="00761653">
        <w:t xml:space="preserve"> ≥1,0, в СМЖ</w:t>
      </w:r>
      <w:r>
        <w:t>:</w:t>
      </w:r>
      <w:r w:rsidRPr="00761653">
        <w:t xml:space="preserve"> ≥1,0</w:t>
      </w:r>
      <w:r>
        <w:t xml:space="preserve"> </w:t>
      </w:r>
      <w:r>
        <w:fldChar w:fldCharType="begin" w:fldLock="1"/>
      </w:r>
      <w:r w:rsidR="00A67ED2">
        <w:instrText>ADDIN CSL_CITATION {"citationItems":[{"id":"ITEM-1","itemData":{"DOI":"10.1038/bmt.2010.175","ISSN":"14765365","abstract":"In 2005, several groups, including the European Group for Blood and Marrow Transplantation, the European Organization for Treatment and Research of Cancer, the European Leukemia Net and the Immunocompromised Host Society created the European Conference on Infections in Leukemia (ECIL). The main goal of ECIL is to elaborate guidelines, or recommendations, for the management of infections in leukemia and stem cell transplant patients. The first sets of ECIL slides about the management of invasive fungal disease were made available on the web in 2006 and the papers were published in 2007. The third meeting of the group (ECIL 3) was held in September 2009 and the group updated its previous recommendations. The goal of this paper is to summarize the new proposals from ECIL 3, based on the results of studies published after the ECIL 2 meeting: (1) the prophylactic recommendations for hematopoietic stem cell transplant recipients were formulated differently, by splitting the neutropenic and the GVHD phases and taking into account recent data on voriconazole; (2) micafungin was introduced as an alternative drug for empirical antifungal therapy; (3) although several studies were published on preemptive antifungal approaches in neutropenic patients, the group decided not to propose any recommendation, as the only randomized study comparing an empirical versus a preemptive approach showed a significant excess of fungal disease in the preemptive group. © 2011 Macmillan Publishers Limited All rights reserved.","author":[{"dropping-particle":"","family":"Maertens","given":"J.","non-dropping-particle":"","parse-names":false,"suffix":""},{"dropping-particle":"","family":"Marchetti","given":"O.","non-dropping-particle":"","parse-names":false,"suffix":""},{"dropping-particle":"","family":"Herbrecht","given":"R.","non-dropping-particle":"","parse-names":false,"suffix":""},{"dropping-particle":"","family":"Cornely","given":"O. A.","non-dropping-particle":"","parse-names":false,"suffix":""},{"dropping-particle":"","family":"Flückiger","given":"U.","non-dropping-particle":"","parse-names":false,"suffix":""},{"dropping-particle":"","family":"Frre","given":"P.","non-dropping-particle":"","parse-names":false,"suffix":""},{"dropping-particle":"","family":"Gachot","given":"B.","non-dropping-particle":"","parse-names":false,"suffix":""},{"dropping-particle":"","family":"Heinz","given":"W. J.","non-dropping-particle":"","parse-names":false,"suffix":""},{"dropping-particle":"","family":"Lass-Flörl","given":"C.","non-dropping-particle":"","parse-names":false,"suffix":""},{"dropping-particle":"","family":"Ribaud","given":"P.","non-dropping-particle":"","parse-names":false,"suffix":""},{"dropping-particle":"","family":"Thiebaut","given":"A.","non-dropping-particle":"","parse-names":false,"suffix":""},{"dropping-particle":"","family":"Cordonnier","given":"C.","non-dropping-particle":"","parse-names":false,"suffix":""}],"container-title":"Bone Marrow Transplantation","id":"ITEM-1","issue":"5","issued":{"date-parts":[["2011"]]},"page":"709-718","publisher":"Nature Publishing Group","title":"European guidelines for antifungal management in leukemia and hematopoietic stem cell transplant recipients: Summary of the ECIL 32009 update","type":"article-journal","volume":"46"},"uris":["http://www.mendeley.com/documents/?uuid=84d60f1c-6ae7-4aa7-827f-5a6f8dff9f03"]}],"mendeley":{"formattedCitation":"[125]","plainTextFormattedCitation":"[125]","previouslyFormattedCitation":"[5]"},"properties":{"noteIndex":0},"schema":"https://github.com/citation-style-language/schema/raw/master/csl-citation.json"}</w:instrText>
      </w:r>
      <w:r>
        <w:fldChar w:fldCharType="separate"/>
      </w:r>
      <w:r w:rsidR="00A67ED2" w:rsidRPr="00A67ED2">
        <w:rPr>
          <w:noProof/>
        </w:rPr>
        <w:t>[125]</w:t>
      </w:r>
      <w:r>
        <w:fldChar w:fldCharType="end"/>
      </w:r>
      <w:r w:rsidRPr="00761653">
        <w:t xml:space="preserve">. </w:t>
      </w:r>
    </w:p>
    <w:p w14:paraId="627BAD28" w14:textId="2611480C" w:rsidR="00223824" w:rsidRPr="00284D51" w:rsidRDefault="00F60A18" w:rsidP="00223824">
      <w:pPr>
        <w:tabs>
          <w:tab w:val="left" w:pos="0"/>
        </w:tabs>
        <w:contextualSpacing/>
      </w:pPr>
      <w:r>
        <w:rPr>
          <w:i/>
          <w:iCs/>
        </w:rPr>
        <w:tab/>
      </w:r>
      <w:r w:rsidR="00223824" w:rsidRPr="00284D51">
        <w:rPr>
          <w:i/>
          <w:iCs/>
        </w:rPr>
        <w:t>Исследование антигена Candida (маннан) и антител Candida (антиманнан) в сыворотке крови</w:t>
      </w:r>
      <w:r w:rsidR="00223824" w:rsidRPr="00284D51">
        <w:t xml:space="preserve"> проводят по следующим показаниям:</w:t>
      </w:r>
    </w:p>
    <w:p w14:paraId="3DAEB1D2" w14:textId="77777777" w:rsidR="00223824" w:rsidRDefault="00223824" w:rsidP="00A45B6B">
      <w:pPr>
        <w:pStyle w:val="afff3"/>
        <w:numPr>
          <w:ilvl w:val="0"/>
          <w:numId w:val="241"/>
        </w:numPr>
        <w:tabs>
          <w:tab w:val="left" w:pos="0"/>
        </w:tabs>
      </w:pPr>
      <w:r w:rsidRPr="00315F82">
        <w:t xml:space="preserve">множественные очаги в печени и/или селезенке (подозрение на гепатолиенальный кандидоз); </w:t>
      </w:r>
    </w:p>
    <w:p w14:paraId="71E89A68" w14:textId="7882662F" w:rsidR="00223824" w:rsidRDefault="00223824" w:rsidP="00A45B6B">
      <w:pPr>
        <w:pStyle w:val="afff3"/>
        <w:numPr>
          <w:ilvl w:val="0"/>
          <w:numId w:val="241"/>
        </w:numPr>
        <w:tabs>
          <w:tab w:val="left" w:pos="0"/>
        </w:tabs>
      </w:pPr>
      <w:r w:rsidRPr="00315F82">
        <w:t xml:space="preserve">предполагаемый инвазивный кандидоз у </w:t>
      </w:r>
      <w:r w:rsidR="00F60A18">
        <w:t>пациентов</w:t>
      </w:r>
      <w:r w:rsidRPr="00315F82">
        <w:t xml:space="preserve"> с длительной (более 7-10 дней) персистирующей температурой. </w:t>
      </w:r>
    </w:p>
    <w:p w14:paraId="03786ED0" w14:textId="77777777" w:rsidR="00223824" w:rsidRPr="00315F82" w:rsidRDefault="00223824" w:rsidP="00223824">
      <w:pPr>
        <w:tabs>
          <w:tab w:val="left" w:pos="0"/>
        </w:tabs>
      </w:pPr>
      <w:r>
        <w:tab/>
      </w:r>
      <w:r w:rsidRPr="00315F82">
        <w:t xml:space="preserve">Образец для исследования </w:t>
      </w:r>
      <w:r>
        <w:t>–</w:t>
      </w:r>
      <w:r w:rsidRPr="00315F82">
        <w:t xml:space="preserve"> кровь. Результат исследования считается положи</w:t>
      </w:r>
      <w:r>
        <w:t xml:space="preserve">тельным при следующих значениях: </w:t>
      </w:r>
      <w:r w:rsidRPr="00315F82">
        <w:t xml:space="preserve">антиген </w:t>
      </w:r>
      <w:r w:rsidRPr="00315F82">
        <w:rPr>
          <w:i/>
          <w:iCs/>
        </w:rPr>
        <w:t>Candida</w:t>
      </w:r>
      <w:r w:rsidRPr="00315F82">
        <w:t xml:space="preserve"> (маннан) ≥125 пг/мл; антитела </w:t>
      </w:r>
      <w:r w:rsidRPr="00315F82">
        <w:rPr>
          <w:i/>
          <w:iCs/>
        </w:rPr>
        <w:t>Candida</w:t>
      </w:r>
      <w:r w:rsidRPr="00315F82">
        <w:t xml:space="preserve"> (антиманнан) ≥10 МЕ/мл. Тест не включен в критерии диагностики инвазивного кандидоза. Тест имеет высокое отрицательное прогностическое значение. При положительных значениях нельзя исключить наличие инвазивного кандидоза. Чувствительность и специфичность составляют около 50—60%. У </w:t>
      </w:r>
      <w:r>
        <w:t xml:space="preserve">пациентов </w:t>
      </w:r>
      <w:r w:rsidRPr="00315F82">
        <w:t xml:space="preserve">с колонизацией слизистых оболочек </w:t>
      </w:r>
      <w:r w:rsidRPr="00315F82">
        <w:rPr>
          <w:i/>
        </w:rPr>
        <w:t>Candida</w:t>
      </w:r>
      <w:r w:rsidRPr="00315F82">
        <w:t xml:space="preserve"> spp могут быть положительные значения антиманнана.</w:t>
      </w:r>
    </w:p>
    <w:p w14:paraId="3E3FCBBF" w14:textId="77777777" w:rsidR="00223824" w:rsidRPr="00284D51" w:rsidRDefault="00223824" w:rsidP="00F60A18">
      <w:pPr>
        <w:ind w:firstLine="720"/>
        <w:contextualSpacing/>
      </w:pPr>
      <w:r w:rsidRPr="00284D51">
        <w:rPr>
          <w:i/>
          <w:iCs/>
        </w:rPr>
        <w:t>Определение антигена Cryptocococcus (глюкуроноксиломаннан)</w:t>
      </w:r>
      <w:r w:rsidRPr="00284D51">
        <w:t xml:space="preserve"> выполняется при</w:t>
      </w:r>
      <w:r>
        <w:t xml:space="preserve"> </w:t>
      </w:r>
      <w:r w:rsidRPr="00761653">
        <w:t>подозрени</w:t>
      </w:r>
      <w:r>
        <w:t>и</w:t>
      </w:r>
      <w:r w:rsidRPr="00761653">
        <w:t xml:space="preserve"> на инфекцию, вызванную криптококком, у </w:t>
      </w:r>
      <w:r>
        <w:t>пациентов с факторами риска (Т-клеточный</w:t>
      </w:r>
      <w:r w:rsidRPr="00761653">
        <w:t xml:space="preserve"> иммунодефицит) возникновения этой инфекции. Группу риска </w:t>
      </w:r>
      <w:r>
        <w:t xml:space="preserve">в том числе </w:t>
      </w:r>
      <w:r w:rsidRPr="00761653">
        <w:t xml:space="preserve">составляют </w:t>
      </w:r>
      <w:r>
        <w:t>пациенты, получающие</w:t>
      </w:r>
      <w:r w:rsidRPr="00761653">
        <w:t xml:space="preserve"> лечение глюкокортикоидами, флударабином, </w:t>
      </w:r>
      <w:r>
        <w:t>и др</w:t>
      </w:r>
      <w:r w:rsidRPr="00761653">
        <w:t xml:space="preserve">. Определяют антиген в СМЖ, в крови, жидкости БАЛ, моче. Тест включен в критерии диагностики инвазивного криптоккоза. Исследование проводят с помощью латекс-теста </w:t>
      </w:r>
      <w:r w:rsidRPr="00284D51">
        <w:t>(качественный анализ).</w:t>
      </w:r>
    </w:p>
    <w:p w14:paraId="30784258" w14:textId="77777777" w:rsidR="00223824" w:rsidRPr="00284D51" w:rsidRDefault="00223824" w:rsidP="00F60A18">
      <w:pPr>
        <w:ind w:firstLine="720"/>
        <w:contextualSpacing/>
      </w:pPr>
      <w:r w:rsidRPr="00284D51">
        <w:rPr>
          <w:i/>
          <w:iCs/>
        </w:rPr>
        <w:t>Исследование антитела Мycoplasma pneumoniae (IgM, IgG), Chlamydophila pneumoniae (IgM, IgG) в крови выполняется</w:t>
      </w:r>
      <w:r w:rsidRPr="00284D51">
        <w:t xml:space="preserve"> при пневмонии, возникшей амбулаторно.</w:t>
      </w:r>
    </w:p>
    <w:p w14:paraId="1095E949" w14:textId="77777777" w:rsidR="00223824" w:rsidRPr="00284D51" w:rsidRDefault="00223824" w:rsidP="00223824">
      <w:pPr>
        <w:tabs>
          <w:tab w:val="left" w:pos="0"/>
        </w:tabs>
        <w:contextualSpacing/>
      </w:pPr>
      <w:r w:rsidRPr="00284D51">
        <w:t xml:space="preserve">Показаниями к проведению </w:t>
      </w:r>
      <w:r w:rsidRPr="00284D51">
        <w:rPr>
          <w:i/>
          <w:iCs/>
        </w:rPr>
        <w:t>КТ/СКТ органов грудной полости являются:</w:t>
      </w:r>
    </w:p>
    <w:p w14:paraId="62235BA7" w14:textId="77777777" w:rsidR="00223824" w:rsidRDefault="00223824" w:rsidP="00A45B6B">
      <w:pPr>
        <w:pStyle w:val="afff3"/>
        <w:numPr>
          <w:ilvl w:val="0"/>
          <w:numId w:val="242"/>
        </w:numPr>
        <w:tabs>
          <w:tab w:val="left" w:pos="0"/>
        </w:tabs>
      </w:pPr>
      <w:r w:rsidRPr="00016F8E">
        <w:t xml:space="preserve">пневмония (аускультативные признаки); </w:t>
      </w:r>
    </w:p>
    <w:p w14:paraId="017FF01C" w14:textId="77777777" w:rsidR="00223824" w:rsidRDefault="00223824" w:rsidP="00A45B6B">
      <w:pPr>
        <w:pStyle w:val="afff3"/>
        <w:numPr>
          <w:ilvl w:val="0"/>
          <w:numId w:val="242"/>
        </w:numPr>
        <w:tabs>
          <w:tab w:val="left" w:pos="0"/>
        </w:tabs>
      </w:pPr>
      <w:r w:rsidRPr="00016F8E">
        <w:t xml:space="preserve">персистирующая фебрильная нейтропения от 3 дней и более, независимо от физикальной картины в легких; </w:t>
      </w:r>
    </w:p>
    <w:p w14:paraId="242B1EDE" w14:textId="77777777" w:rsidR="00223824" w:rsidRDefault="00223824" w:rsidP="00A45B6B">
      <w:pPr>
        <w:pStyle w:val="afff3"/>
        <w:numPr>
          <w:ilvl w:val="0"/>
          <w:numId w:val="242"/>
        </w:numPr>
        <w:tabs>
          <w:tab w:val="left" w:pos="0"/>
        </w:tabs>
      </w:pPr>
      <w:r w:rsidRPr="00016F8E">
        <w:t xml:space="preserve">контроль выявленных изменений в легких через 7-14 дней в зависимости от </w:t>
      </w:r>
      <w:r w:rsidRPr="00016F8E">
        <w:lastRenderedPageBreak/>
        <w:t xml:space="preserve">состояния больного и диагностированной инфекции. </w:t>
      </w:r>
    </w:p>
    <w:p w14:paraId="254BE313" w14:textId="77777777" w:rsidR="00223824" w:rsidRPr="00761653" w:rsidRDefault="00223824" w:rsidP="00223824">
      <w:pPr>
        <w:tabs>
          <w:tab w:val="left" w:pos="0"/>
        </w:tabs>
      </w:pPr>
      <w:r>
        <w:tab/>
      </w:r>
      <w:r w:rsidRPr="00016F8E">
        <w:t>КТ/СКТ во всех случаях без проводят без предварительной рентгенографии грудной клетки.</w:t>
      </w:r>
      <w:r>
        <w:t xml:space="preserve"> </w:t>
      </w:r>
      <w:r w:rsidRPr="00761653">
        <w:t xml:space="preserve">Рентгенография органов грудной клетки относится к малоинформативным методам исследования у </w:t>
      </w:r>
      <w:r>
        <w:t xml:space="preserve">гематологических пациентов, предпочтительно </w:t>
      </w:r>
      <w:r w:rsidRPr="00761653">
        <w:t>для диагностики инфекционных осложнений</w:t>
      </w:r>
      <w:r>
        <w:t xml:space="preserve"> применять КТ/СКТ</w:t>
      </w:r>
      <w:r w:rsidRPr="00761653">
        <w:t>.</w:t>
      </w:r>
    </w:p>
    <w:p w14:paraId="6B530643" w14:textId="77777777" w:rsidR="00223824" w:rsidRPr="008572A7" w:rsidRDefault="00223824" w:rsidP="00F60A18">
      <w:pPr>
        <w:ind w:firstLine="720"/>
        <w:contextualSpacing/>
        <w:rPr>
          <w:b/>
          <w:bCs/>
          <w:u w:val="single"/>
        </w:rPr>
      </w:pPr>
      <w:r w:rsidRPr="00284D51">
        <w:rPr>
          <w:i/>
          <w:iCs/>
        </w:rPr>
        <w:t>Ультразвуковое исследование (УЗИ), КТ/СКТ, МРТ органов брюшной полости</w:t>
      </w:r>
      <w:r w:rsidRPr="00284D51">
        <w:rPr>
          <w:b/>
          <w:bCs/>
        </w:rPr>
        <w:t xml:space="preserve"> </w:t>
      </w:r>
      <w:r w:rsidRPr="00284D51">
        <w:t>для</w:t>
      </w:r>
      <w:r>
        <w:t xml:space="preserve"> уточнения инфекционного процесса проводят по клиническим показаниям, в том числе:</w:t>
      </w:r>
    </w:p>
    <w:p w14:paraId="6B241CEE" w14:textId="77777777" w:rsidR="00223824" w:rsidRDefault="00223824" w:rsidP="00A45B6B">
      <w:pPr>
        <w:pStyle w:val="afff3"/>
        <w:numPr>
          <w:ilvl w:val="0"/>
          <w:numId w:val="243"/>
        </w:numPr>
        <w:tabs>
          <w:tab w:val="left" w:pos="0"/>
        </w:tabs>
      </w:pPr>
      <w:r w:rsidRPr="00016F8E">
        <w:t>сохраняющаяся лихорадка (колебания температуры в течение суток от 37 до 39°С), особенно у больных вне лейкопении (</w:t>
      </w:r>
      <w:r>
        <w:t xml:space="preserve">для </w:t>
      </w:r>
      <w:r w:rsidRPr="00016F8E">
        <w:t>диагности</w:t>
      </w:r>
      <w:r>
        <w:t>ки</w:t>
      </w:r>
      <w:r w:rsidRPr="00016F8E">
        <w:t xml:space="preserve"> гепатолиенального кандидоза); </w:t>
      </w:r>
    </w:p>
    <w:p w14:paraId="6376BDEF" w14:textId="77777777" w:rsidR="00223824" w:rsidRDefault="00223824" w:rsidP="00A45B6B">
      <w:pPr>
        <w:pStyle w:val="afff3"/>
        <w:numPr>
          <w:ilvl w:val="0"/>
          <w:numId w:val="243"/>
        </w:numPr>
        <w:tabs>
          <w:tab w:val="left" w:pos="0"/>
        </w:tabs>
      </w:pPr>
      <w:r>
        <w:t>при диагностированнмм аспергиллезе</w:t>
      </w:r>
      <w:r w:rsidRPr="00016F8E">
        <w:t xml:space="preserve"> легких или мукормикоз</w:t>
      </w:r>
      <w:r>
        <w:t>е</w:t>
      </w:r>
      <w:r w:rsidRPr="00016F8E">
        <w:t xml:space="preserve"> (</w:t>
      </w:r>
      <w:r>
        <w:t xml:space="preserve">для </w:t>
      </w:r>
      <w:r w:rsidRPr="00016F8E">
        <w:t>исключ</w:t>
      </w:r>
      <w:r>
        <w:t>ения</w:t>
      </w:r>
      <w:r w:rsidRPr="00016F8E">
        <w:t xml:space="preserve"> диссеминаци</w:t>
      </w:r>
      <w:r>
        <w:t>и</w:t>
      </w:r>
      <w:r w:rsidRPr="00016F8E">
        <w:t xml:space="preserve">); </w:t>
      </w:r>
    </w:p>
    <w:p w14:paraId="5D61742E" w14:textId="77777777" w:rsidR="00223824" w:rsidRDefault="00223824" w:rsidP="00A45B6B">
      <w:pPr>
        <w:pStyle w:val="afff3"/>
        <w:numPr>
          <w:ilvl w:val="0"/>
          <w:numId w:val="243"/>
        </w:numPr>
        <w:tabs>
          <w:tab w:val="left" w:pos="0"/>
        </w:tabs>
      </w:pPr>
      <w:r>
        <w:t xml:space="preserve">для </w:t>
      </w:r>
      <w:r w:rsidRPr="00016F8E">
        <w:t>контрол</w:t>
      </w:r>
      <w:r>
        <w:t>я</w:t>
      </w:r>
      <w:r w:rsidRPr="00016F8E">
        <w:t xml:space="preserve"> выявленных</w:t>
      </w:r>
      <w:r>
        <w:t xml:space="preserve"> ранее</w:t>
      </w:r>
      <w:r w:rsidRPr="00016F8E">
        <w:t xml:space="preserve"> изменений. </w:t>
      </w:r>
    </w:p>
    <w:p w14:paraId="7EB2FA4C" w14:textId="77777777" w:rsidR="00223824" w:rsidRPr="00016F8E" w:rsidRDefault="00223824" w:rsidP="00223824">
      <w:pPr>
        <w:tabs>
          <w:tab w:val="left" w:pos="0"/>
        </w:tabs>
      </w:pPr>
      <w:r>
        <w:tab/>
      </w:r>
      <w:r w:rsidRPr="00016F8E">
        <w:t>При диагностике гепатолиенального кандидоза контрольное исследование проводят не ранее чем через 1 мес терапии системными противогрибковыми препаратами</w:t>
      </w:r>
      <w:r>
        <w:t>,</w:t>
      </w:r>
      <w:r w:rsidRPr="00016F8E">
        <w:t xml:space="preserve"> вне лейкопении.</w:t>
      </w:r>
    </w:p>
    <w:p w14:paraId="333943E6" w14:textId="3D970250" w:rsidR="00223824" w:rsidRPr="008572A7" w:rsidRDefault="00F60A18" w:rsidP="00223824">
      <w:pPr>
        <w:tabs>
          <w:tab w:val="left" w:pos="0"/>
        </w:tabs>
        <w:contextualSpacing/>
        <w:rPr>
          <w:b/>
          <w:u w:val="single"/>
        </w:rPr>
      </w:pPr>
      <w:r>
        <w:rPr>
          <w:i/>
          <w:iCs/>
        </w:rPr>
        <w:tab/>
      </w:r>
      <w:r w:rsidR="00223824" w:rsidRPr="00284D51">
        <w:rPr>
          <w:i/>
          <w:iCs/>
        </w:rPr>
        <w:t>КТ или МРТ головного мозга</w:t>
      </w:r>
      <w:r w:rsidR="00223824" w:rsidRPr="00284D51">
        <w:rPr>
          <w:bCs/>
        </w:rPr>
        <w:t xml:space="preserve"> </w:t>
      </w:r>
      <w:r w:rsidR="00223824" w:rsidRPr="00284D51">
        <w:t>проводят для исключения инфекционного поражения</w:t>
      </w:r>
      <w:r w:rsidR="00223824">
        <w:t xml:space="preserve"> головного мозга:</w:t>
      </w:r>
    </w:p>
    <w:p w14:paraId="36EEA5FF" w14:textId="77777777" w:rsidR="00223824" w:rsidRDefault="00223824" w:rsidP="00A45B6B">
      <w:pPr>
        <w:pStyle w:val="afff3"/>
        <w:numPr>
          <w:ilvl w:val="0"/>
          <w:numId w:val="244"/>
        </w:numPr>
        <w:tabs>
          <w:tab w:val="left" w:pos="0"/>
        </w:tabs>
      </w:pPr>
      <w:r>
        <w:t>при наличии</w:t>
      </w:r>
      <w:r w:rsidRPr="00016F8E">
        <w:t xml:space="preserve"> симптомов </w:t>
      </w:r>
      <w:r>
        <w:t>поражения</w:t>
      </w:r>
      <w:r w:rsidRPr="00016F8E">
        <w:t xml:space="preserve"> центральной нервной системы (ЦНС)</w:t>
      </w:r>
      <w:r>
        <w:t>;</w:t>
      </w:r>
    </w:p>
    <w:p w14:paraId="7C630080" w14:textId="77777777" w:rsidR="00223824" w:rsidRPr="00016F8E" w:rsidRDefault="00223824" w:rsidP="00A45B6B">
      <w:pPr>
        <w:pStyle w:val="afff3"/>
        <w:numPr>
          <w:ilvl w:val="0"/>
          <w:numId w:val="244"/>
        </w:numPr>
        <w:tabs>
          <w:tab w:val="left" w:pos="0"/>
        </w:tabs>
      </w:pPr>
      <w:r w:rsidRPr="00016F8E">
        <w:t>при диагностике инвазивного аспергиллеза легких/околоносовых пазух или мукормикоза (</w:t>
      </w:r>
      <w:r>
        <w:t xml:space="preserve">для </w:t>
      </w:r>
      <w:r w:rsidRPr="00016F8E">
        <w:t>исключ</w:t>
      </w:r>
      <w:r>
        <w:t>ения</w:t>
      </w:r>
      <w:r w:rsidRPr="00016F8E">
        <w:t xml:space="preserve"> диссеминаци</w:t>
      </w:r>
      <w:r>
        <w:t>и</w:t>
      </w:r>
      <w:r w:rsidRPr="00016F8E">
        <w:t>).</w:t>
      </w:r>
    </w:p>
    <w:p w14:paraId="7D1718AC" w14:textId="65409000" w:rsidR="00223824" w:rsidRPr="00284D51" w:rsidRDefault="00F60A18" w:rsidP="00223824">
      <w:pPr>
        <w:tabs>
          <w:tab w:val="left" w:pos="0"/>
        </w:tabs>
        <w:contextualSpacing/>
        <w:rPr>
          <w:i/>
          <w:iCs/>
        </w:rPr>
      </w:pPr>
      <w:r>
        <w:rPr>
          <w:i/>
          <w:iCs/>
        </w:rPr>
        <w:tab/>
      </w:r>
      <w:r w:rsidR="00223824" w:rsidRPr="00284D51">
        <w:rPr>
          <w:i/>
          <w:iCs/>
        </w:rPr>
        <w:t>Эхокардиография (ЭхоКГ), включая чрезпищеводную ЭхоКГ</w:t>
      </w:r>
    </w:p>
    <w:p w14:paraId="7A1A6728" w14:textId="77777777" w:rsidR="00223824" w:rsidRDefault="00223824" w:rsidP="00223824">
      <w:pPr>
        <w:tabs>
          <w:tab w:val="left" w:pos="0"/>
        </w:tabs>
        <w:contextualSpacing/>
      </w:pPr>
      <w:r>
        <w:t>Проводится для исключения бактериального эндокардита, особенно в случае:</w:t>
      </w:r>
    </w:p>
    <w:p w14:paraId="61F4604A" w14:textId="77777777" w:rsidR="00223824" w:rsidRDefault="00223824" w:rsidP="00A45B6B">
      <w:pPr>
        <w:pStyle w:val="afff3"/>
        <w:numPr>
          <w:ilvl w:val="0"/>
          <w:numId w:val="245"/>
        </w:numPr>
        <w:tabs>
          <w:tab w:val="left" w:pos="0"/>
        </w:tabs>
      </w:pPr>
      <w:r w:rsidRPr="00016F8E">
        <w:t>микробиологически подтвержденн</w:t>
      </w:r>
      <w:r>
        <w:t>ой</w:t>
      </w:r>
      <w:r w:rsidRPr="00016F8E">
        <w:t xml:space="preserve"> инфекци</w:t>
      </w:r>
      <w:r>
        <w:t>и</w:t>
      </w:r>
      <w:r w:rsidRPr="00016F8E">
        <w:t xml:space="preserve">, вызванная </w:t>
      </w:r>
      <w:r w:rsidRPr="00016F8E">
        <w:rPr>
          <w:i/>
        </w:rPr>
        <w:t>S. aureus</w:t>
      </w:r>
      <w:r w:rsidRPr="00016F8E">
        <w:t xml:space="preserve">; </w:t>
      </w:r>
    </w:p>
    <w:p w14:paraId="771EF356" w14:textId="77777777" w:rsidR="00223824" w:rsidRDefault="00223824" w:rsidP="00A45B6B">
      <w:pPr>
        <w:pStyle w:val="afff3"/>
        <w:numPr>
          <w:ilvl w:val="0"/>
          <w:numId w:val="245"/>
        </w:numPr>
        <w:tabs>
          <w:tab w:val="left" w:pos="0"/>
        </w:tabs>
      </w:pPr>
      <w:r>
        <w:t>длительной</w:t>
      </w:r>
      <w:r w:rsidRPr="00016F8E">
        <w:t xml:space="preserve"> (</w:t>
      </w:r>
      <w:r>
        <w:t>более</w:t>
      </w:r>
      <w:r w:rsidRPr="00016F8E">
        <w:t xml:space="preserve"> 10-14 дней) персистирующ</w:t>
      </w:r>
      <w:r>
        <w:t>ей</w:t>
      </w:r>
      <w:r w:rsidRPr="00016F8E">
        <w:t xml:space="preserve"> </w:t>
      </w:r>
      <w:r>
        <w:t>гипертермии</w:t>
      </w:r>
      <w:r w:rsidRPr="00016F8E">
        <w:t xml:space="preserve">, особенно у больных вне лейкопении. </w:t>
      </w:r>
    </w:p>
    <w:p w14:paraId="796A1F21" w14:textId="78E14123" w:rsidR="00223824" w:rsidRPr="00016F8E" w:rsidRDefault="00F60A18" w:rsidP="00223824">
      <w:pPr>
        <w:tabs>
          <w:tab w:val="left" w:pos="0"/>
        </w:tabs>
      </w:pPr>
      <w:r>
        <w:tab/>
      </w:r>
      <w:r w:rsidR="00223824" w:rsidRPr="00016F8E">
        <w:t xml:space="preserve">Чрезпищеводную ЭхоКГ назначают при сохраняющейся </w:t>
      </w:r>
      <w:r w:rsidR="00223824">
        <w:t>гипертермии</w:t>
      </w:r>
      <w:r w:rsidR="00223824" w:rsidRPr="00016F8E">
        <w:t xml:space="preserve"> и отрицательн</w:t>
      </w:r>
      <w:r w:rsidR="00223824">
        <w:t>ых результатах</w:t>
      </w:r>
      <w:r w:rsidR="00223824" w:rsidRPr="00016F8E">
        <w:t xml:space="preserve"> ЭхоКГ. </w:t>
      </w:r>
    </w:p>
    <w:p w14:paraId="77391C9C" w14:textId="77777777" w:rsidR="00223824" w:rsidRDefault="00223824" w:rsidP="00F60A18">
      <w:pPr>
        <w:ind w:firstLine="720"/>
        <w:contextualSpacing/>
      </w:pPr>
      <w:r w:rsidRPr="00761653">
        <w:t>В табл. 1 суммированы диагностические исследования у больных с гематологическими заболеваниями и инфекциями.</w:t>
      </w:r>
    </w:p>
    <w:p w14:paraId="650B94F7" w14:textId="77777777" w:rsidR="00223824" w:rsidRDefault="00223824" w:rsidP="00223824">
      <w:pPr>
        <w:contextualSpacing/>
      </w:pPr>
    </w:p>
    <w:p w14:paraId="085EB129" w14:textId="77777777" w:rsidR="00223824" w:rsidRPr="00761653" w:rsidRDefault="00223824" w:rsidP="00223824">
      <w:pPr>
        <w:contextualSpacing/>
      </w:pPr>
      <w:r w:rsidRPr="00761653">
        <w:t>Таблица 1. Показания к проведению диагностических исследований у больных с гематологическими заболеваниями и инфекциями.</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10"/>
        <w:gridCol w:w="6096"/>
      </w:tblGrid>
      <w:tr w:rsidR="00223824" w:rsidRPr="00761653" w14:paraId="1F979DA1" w14:textId="77777777" w:rsidTr="00CD5E09">
        <w:trPr>
          <w:trHeight w:val="93"/>
        </w:trPr>
        <w:tc>
          <w:tcPr>
            <w:tcW w:w="3510" w:type="dxa"/>
            <w:tcMar>
              <w:top w:w="100" w:type="nil"/>
              <w:right w:w="100" w:type="nil"/>
            </w:tcMar>
            <w:vAlign w:val="center"/>
          </w:tcPr>
          <w:p w14:paraId="33BF14D0" w14:textId="77777777" w:rsidR="00223824" w:rsidRPr="00761653" w:rsidRDefault="00223824" w:rsidP="00CD5E09">
            <w:pPr>
              <w:spacing w:line="240" w:lineRule="auto"/>
              <w:ind w:left="57" w:right="57"/>
              <w:jc w:val="center"/>
              <w:rPr>
                <w:b/>
                <w:bCs/>
              </w:rPr>
            </w:pPr>
            <w:r w:rsidRPr="00761653">
              <w:rPr>
                <w:b/>
                <w:bCs/>
              </w:rPr>
              <w:t>Показания</w:t>
            </w:r>
          </w:p>
        </w:tc>
        <w:tc>
          <w:tcPr>
            <w:tcW w:w="6096" w:type="dxa"/>
            <w:tcMar>
              <w:top w:w="100" w:type="nil"/>
              <w:right w:w="100" w:type="nil"/>
            </w:tcMar>
            <w:vAlign w:val="center"/>
          </w:tcPr>
          <w:p w14:paraId="448E3BC4" w14:textId="77777777" w:rsidR="00223824" w:rsidRPr="00761653" w:rsidRDefault="00223824" w:rsidP="00CD5E09">
            <w:pPr>
              <w:spacing w:line="240" w:lineRule="auto"/>
              <w:ind w:left="57" w:right="57"/>
              <w:jc w:val="center"/>
              <w:rPr>
                <w:b/>
                <w:bCs/>
              </w:rPr>
            </w:pPr>
            <w:r w:rsidRPr="00761653">
              <w:rPr>
                <w:b/>
                <w:bCs/>
              </w:rPr>
              <w:t>Исследование</w:t>
            </w:r>
          </w:p>
        </w:tc>
      </w:tr>
      <w:tr w:rsidR="00223824" w:rsidRPr="00265B67" w14:paraId="2F1E4732" w14:textId="77777777" w:rsidTr="00CD5E09">
        <w:trPr>
          <w:trHeight w:val="702"/>
        </w:trPr>
        <w:tc>
          <w:tcPr>
            <w:tcW w:w="3510" w:type="dxa"/>
            <w:tcMar>
              <w:top w:w="100" w:type="nil"/>
              <w:right w:w="100" w:type="nil"/>
            </w:tcMar>
            <w:vAlign w:val="center"/>
          </w:tcPr>
          <w:p w14:paraId="1686F1A6" w14:textId="77777777" w:rsidR="00223824" w:rsidRPr="00761653" w:rsidRDefault="00223824" w:rsidP="00CD5E09">
            <w:pPr>
              <w:spacing w:line="240" w:lineRule="auto"/>
              <w:ind w:left="57" w:right="57"/>
            </w:pPr>
            <w:r w:rsidRPr="00761653">
              <w:lastRenderedPageBreak/>
              <w:t xml:space="preserve">Температура ≥38°С, </w:t>
            </w:r>
          </w:p>
          <w:p w14:paraId="51F11DB5" w14:textId="77777777" w:rsidR="00223824" w:rsidRPr="00761653" w:rsidRDefault="00223824" w:rsidP="00CD5E09">
            <w:pPr>
              <w:spacing w:line="240" w:lineRule="auto"/>
              <w:ind w:left="57" w:right="57"/>
            </w:pPr>
            <w:r w:rsidRPr="00761653">
              <w:t>впервые возникшая</w:t>
            </w:r>
          </w:p>
        </w:tc>
        <w:tc>
          <w:tcPr>
            <w:tcW w:w="6096" w:type="dxa"/>
            <w:tcMar>
              <w:top w:w="100" w:type="nil"/>
              <w:right w:w="100" w:type="nil"/>
            </w:tcMar>
            <w:vAlign w:val="center"/>
          </w:tcPr>
          <w:p w14:paraId="2A0D8FA2" w14:textId="77777777" w:rsidR="00223824" w:rsidRPr="00761653" w:rsidRDefault="00223824" w:rsidP="00CD5E09">
            <w:pPr>
              <w:spacing w:line="240" w:lineRule="auto"/>
              <w:ind w:left="57" w:right="57"/>
            </w:pPr>
            <w:r w:rsidRPr="00761653">
              <w:t xml:space="preserve">Взятие крови в 2 флакона для гемокультуры </w:t>
            </w:r>
          </w:p>
          <w:p w14:paraId="654BFC63" w14:textId="77777777" w:rsidR="00223824" w:rsidRPr="00761653" w:rsidRDefault="00223824" w:rsidP="00CD5E09">
            <w:pPr>
              <w:spacing w:line="240" w:lineRule="auto"/>
              <w:ind w:left="57" w:right="57"/>
            </w:pPr>
            <w:r w:rsidRPr="00761653">
              <w:t>(вена-катетер или вена-вена)</w:t>
            </w:r>
          </w:p>
        </w:tc>
      </w:tr>
      <w:tr w:rsidR="00223824" w:rsidRPr="00265B67" w14:paraId="022E539F" w14:textId="77777777" w:rsidTr="00CD5E09">
        <w:trPr>
          <w:trHeight w:val="841"/>
        </w:trPr>
        <w:tc>
          <w:tcPr>
            <w:tcW w:w="3510" w:type="dxa"/>
            <w:tcMar>
              <w:top w:w="100" w:type="nil"/>
              <w:right w:w="100" w:type="nil"/>
            </w:tcMar>
            <w:vAlign w:val="center"/>
          </w:tcPr>
          <w:p w14:paraId="379E0BDA" w14:textId="77777777" w:rsidR="00223824" w:rsidRPr="00761653" w:rsidRDefault="00223824" w:rsidP="00CD5E09">
            <w:pPr>
              <w:spacing w:line="240" w:lineRule="auto"/>
              <w:ind w:left="57" w:right="57"/>
            </w:pPr>
            <w:r w:rsidRPr="00761653">
              <w:t>Температура ≥38°С в течение</w:t>
            </w:r>
          </w:p>
          <w:p w14:paraId="453976FF" w14:textId="77777777" w:rsidR="00223824" w:rsidRPr="00761653" w:rsidRDefault="00223824" w:rsidP="00CD5E09">
            <w:pPr>
              <w:spacing w:line="240" w:lineRule="auto"/>
              <w:ind w:left="57" w:right="57"/>
            </w:pPr>
            <w:r w:rsidRPr="00761653">
              <w:t xml:space="preserve"> ≥ 5 дней и лейкопения </w:t>
            </w:r>
          </w:p>
        </w:tc>
        <w:tc>
          <w:tcPr>
            <w:tcW w:w="6096" w:type="dxa"/>
            <w:tcMar>
              <w:top w:w="100" w:type="nil"/>
              <w:right w:w="100" w:type="nil"/>
            </w:tcMar>
            <w:vAlign w:val="center"/>
          </w:tcPr>
          <w:p w14:paraId="4896F572" w14:textId="77777777" w:rsidR="00223824" w:rsidRPr="00761653" w:rsidRDefault="00223824" w:rsidP="00CD5E09">
            <w:pPr>
              <w:spacing w:line="240" w:lineRule="auto"/>
              <w:ind w:left="57" w:right="57"/>
              <w:contextualSpacing/>
              <w:rPr>
                <w:rFonts w:eastAsia="MS Mincho"/>
              </w:rPr>
            </w:pPr>
            <w:r w:rsidRPr="00761653">
              <w:t>Повторное взятие крови для гемокультуры 1 раз в неделю</w:t>
            </w:r>
          </w:p>
          <w:p w14:paraId="6252E3F7" w14:textId="77777777" w:rsidR="00223824" w:rsidRPr="00761653" w:rsidRDefault="00223824" w:rsidP="00CD5E09">
            <w:pPr>
              <w:spacing w:line="240" w:lineRule="auto"/>
              <w:ind w:left="57" w:right="57"/>
              <w:contextualSpacing/>
            </w:pPr>
            <w:r w:rsidRPr="00761653">
              <w:t>Микробиологическое исследование мочи</w:t>
            </w:r>
          </w:p>
          <w:p w14:paraId="2100547F" w14:textId="77777777" w:rsidR="00223824" w:rsidRPr="00761653" w:rsidRDefault="00223824" w:rsidP="00CD5E09">
            <w:pPr>
              <w:spacing w:line="240" w:lineRule="auto"/>
              <w:ind w:left="57" w:right="57"/>
              <w:contextualSpacing/>
            </w:pPr>
            <w:r w:rsidRPr="00761653">
              <w:t>Ректальный мазок</w:t>
            </w:r>
          </w:p>
          <w:p w14:paraId="24B656D8" w14:textId="77777777" w:rsidR="00223824" w:rsidRPr="00761653" w:rsidRDefault="00223824" w:rsidP="00CD5E09">
            <w:pPr>
              <w:spacing w:line="240" w:lineRule="auto"/>
              <w:ind w:left="57" w:right="57"/>
              <w:contextualSpacing/>
            </w:pPr>
            <w:r w:rsidRPr="00761653">
              <w:t>КТВР легких</w:t>
            </w:r>
          </w:p>
        </w:tc>
      </w:tr>
      <w:tr w:rsidR="00223824" w:rsidRPr="00975FC1" w14:paraId="47717AF8" w14:textId="77777777" w:rsidTr="00CD5E09">
        <w:trPr>
          <w:trHeight w:val="1491"/>
        </w:trPr>
        <w:tc>
          <w:tcPr>
            <w:tcW w:w="3510" w:type="dxa"/>
            <w:tcMar>
              <w:top w:w="100" w:type="nil"/>
              <w:right w:w="100" w:type="nil"/>
            </w:tcMar>
            <w:vAlign w:val="center"/>
          </w:tcPr>
          <w:p w14:paraId="464AA240" w14:textId="77777777" w:rsidR="00223824" w:rsidRPr="00761653" w:rsidRDefault="00223824" w:rsidP="00CD5E09">
            <w:pPr>
              <w:spacing w:line="240" w:lineRule="auto"/>
              <w:ind w:left="57" w:right="57"/>
            </w:pPr>
            <w:r w:rsidRPr="00761653">
              <w:t>Температура ≥38°С, длительная, сохраняется после «выхода» из нейтропении</w:t>
            </w:r>
          </w:p>
        </w:tc>
        <w:tc>
          <w:tcPr>
            <w:tcW w:w="6096" w:type="dxa"/>
            <w:tcMar>
              <w:top w:w="100" w:type="nil"/>
              <w:right w:w="100" w:type="nil"/>
            </w:tcMar>
            <w:vAlign w:val="center"/>
          </w:tcPr>
          <w:p w14:paraId="383F4087" w14:textId="77777777" w:rsidR="00223824" w:rsidRPr="00761653" w:rsidRDefault="00223824" w:rsidP="00CD5E09">
            <w:pPr>
              <w:spacing w:line="240" w:lineRule="auto"/>
              <w:ind w:left="57" w:right="57"/>
              <w:contextualSpacing/>
              <w:rPr>
                <w:rFonts w:eastAsia="MS Mincho"/>
              </w:rPr>
            </w:pPr>
            <w:r w:rsidRPr="00761653">
              <w:t>УЗИ брюшной полости</w:t>
            </w:r>
          </w:p>
          <w:p w14:paraId="6D9B4C43" w14:textId="77777777" w:rsidR="00223824" w:rsidRPr="00761653" w:rsidRDefault="00223824" w:rsidP="00CD5E09">
            <w:pPr>
              <w:spacing w:line="240" w:lineRule="auto"/>
              <w:ind w:left="57" w:right="57"/>
              <w:contextualSpacing/>
            </w:pPr>
            <w:r w:rsidRPr="00761653">
              <w:t xml:space="preserve">Определение антигена </w:t>
            </w:r>
            <w:r w:rsidRPr="00761653">
              <w:rPr>
                <w:i/>
              </w:rPr>
              <w:t>Candida</w:t>
            </w:r>
            <w:r w:rsidRPr="00761653">
              <w:t xml:space="preserve"> (маннан) и антител </w:t>
            </w:r>
            <w:r w:rsidRPr="00761653">
              <w:rPr>
                <w:i/>
              </w:rPr>
              <w:t>Candida</w:t>
            </w:r>
            <w:r w:rsidRPr="00761653">
              <w:t xml:space="preserve"> (антиманнан) в крови</w:t>
            </w:r>
          </w:p>
          <w:p w14:paraId="79C9A2A5" w14:textId="77777777" w:rsidR="00223824" w:rsidRPr="00761653" w:rsidRDefault="00223824" w:rsidP="00CD5E09">
            <w:pPr>
              <w:spacing w:line="240" w:lineRule="auto"/>
              <w:ind w:left="57" w:right="57"/>
              <w:contextualSpacing/>
            </w:pPr>
            <w:r w:rsidRPr="00761653">
              <w:t>КТВР или МРТ органов брюшной полости при неинформативном УЗИ</w:t>
            </w:r>
          </w:p>
        </w:tc>
      </w:tr>
      <w:tr w:rsidR="00223824" w:rsidRPr="00975FC1" w14:paraId="05FAC821" w14:textId="77777777" w:rsidTr="00CD5E09">
        <w:trPr>
          <w:trHeight w:val="1731"/>
        </w:trPr>
        <w:tc>
          <w:tcPr>
            <w:tcW w:w="3510" w:type="dxa"/>
            <w:tcMar>
              <w:top w:w="100" w:type="nil"/>
              <w:right w:w="100" w:type="nil"/>
            </w:tcMar>
            <w:vAlign w:val="center"/>
          </w:tcPr>
          <w:p w14:paraId="67874CA4" w14:textId="77777777" w:rsidR="00223824" w:rsidRPr="00761653" w:rsidRDefault="00223824" w:rsidP="00CD5E09">
            <w:pPr>
              <w:spacing w:line="240" w:lineRule="auto"/>
              <w:ind w:left="57" w:right="57"/>
            </w:pPr>
            <w:r w:rsidRPr="00761653">
              <w:t>Катетер-ассоциированная инфекция</w:t>
            </w:r>
          </w:p>
        </w:tc>
        <w:tc>
          <w:tcPr>
            <w:tcW w:w="6096" w:type="dxa"/>
            <w:tcMar>
              <w:top w:w="100" w:type="nil"/>
              <w:right w:w="100" w:type="nil"/>
            </w:tcMar>
            <w:vAlign w:val="center"/>
          </w:tcPr>
          <w:p w14:paraId="4C941388" w14:textId="77777777" w:rsidR="00223824" w:rsidRPr="00761653" w:rsidRDefault="00223824" w:rsidP="00CD5E09">
            <w:pPr>
              <w:spacing w:line="240" w:lineRule="auto"/>
              <w:ind w:left="57" w:right="57"/>
              <w:contextualSpacing/>
              <w:rPr>
                <w:rFonts w:eastAsia="MS Mincho"/>
              </w:rPr>
            </w:pPr>
            <w:r w:rsidRPr="00761653">
              <w:t>Взятие одновременно крови из вены и из ЦВК для микробиологического исследования</w:t>
            </w:r>
          </w:p>
          <w:p w14:paraId="67BE2E15" w14:textId="77777777" w:rsidR="00223824" w:rsidRPr="00761653" w:rsidRDefault="00223824" w:rsidP="00CD5E09">
            <w:pPr>
              <w:spacing w:line="240" w:lineRule="auto"/>
              <w:ind w:left="57" w:right="57"/>
              <w:contextualSpacing/>
            </w:pPr>
            <w:r w:rsidRPr="00761653">
              <w:t>Положительная гемокультура из ЦВК получена раньше на 2 часа и более чем из вены – удаление ЦВК ввиду высокой вероятности его инфицирования</w:t>
            </w:r>
          </w:p>
        </w:tc>
      </w:tr>
      <w:tr w:rsidR="00223824" w:rsidRPr="00265B67" w14:paraId="38FA896F" w14:textId="77777777" w:rsidTr="00CD5E09">
        <w:trPr>
          <w:trHeight w:val="698"/>
        </w:trPr>
        <w:tc>
          <w:tcPr>
            <w:tcW w:w="3510" w:type="dxa"/>
            <w:tcMar>
              <w:top w:w="100" w:type="nil"/>
              <w:right w:w="100" w:type="nil"/>
            </w:tcMar>
            <w:vAlign w:val="center"/>
          </w:tcPr>
          <w:p w14:paraId="00DC4E11" w14:textId="77777777" w:rsidR="00223824" w:rsidRPr="00761653" w:rsidRDefault="00223824" w:rsidP="00CD5E09">
            <w:pPr>
              <w:spacing w:line="240" w:lineRule="auto"/>
              <w:ind w:left="57" w:right="57"/>
            </w:pPr>
            <w:r w:rsidRPr="00761653">
              <w:t xml:space="preserve">Ожидаемая нейтропения (лейкопения) &gt;10 дней </w:t>
            </w:r>
          </w:p>
        </w:tc>
        <w:tc>
          <w:tcPr>
            <w:tcW w:w="6096" w:type="dxa"/>
            <w:tcMar>
              <w:top w:w="100" w:type="nil"/>
              <w:right w:w="100" w:type="nil"/>
            </w:tcMar>
            <w:vAlign w:val="center"/>
          </w:tcPr>
          <w:p w14:paraId="1EAB9EDF" w14:textId="77777777" w:rsidR="00223824" w:rsidRPr="00761653" w:rsidRDefault="00223824" w:rsidP="00CD5E09">
            <w:pPr>
              <w:spacing w:line="240" w:lineRule="auto"/>
              <w:ind w:left="57" w:right="57"/>
            </w:pPr>
            <w:r w:rsidRPr="00761653">
              <w:t xml:space="preserve">Исследование крови на антиген </w:t>
            </w:r>
            <w:r w:rsidRPr="00761653">
              <w:rPr>
                <w:i/>
                <w:iCs/>
              </w:rPr>
              <w:t>Aspergillus</w:t>
            </w:r>
            <w:r w:rsidRPr="00761653">
              <w:t xml:space="preserve"> 2 раза в неделю</w:t>
            </w:r>
          </w:p>
        </w:tc>
      </w:tr>
      <w:tr w:rsidR="00223824" w:rsidRPr="00761653" w14:paraId="327E35DB" w14:textId="77777777" w:rsidTr="00CD5E09">
        <w:trPr>
          <w:trHeight w:val="556"/>
        </w:trPr>
        <w:tc>
          <w:tcPr>
            <w:tcW w:w="3510" w:type="dxa"/>
            <w:tcMar>
              <w:top w:w="100" w:type="nil"/>
              <w:right w:w="100" w:type="nil"/>
            </w:tcMar>
            <w:vAlign w:val="center"/>
          </w:tcPr>
          <w:p w14:paraId="7E77440B" w14:textId="77777777" w:rsidR="00223824" w:rsidRPr="00761653" w:rsidRDefault="00223824" w:rsidP="00CD5E09">
            <w:pPr>
              <w:spacing w:line="240" w:lineRule="auto"/>
              <w:ind w:left="57" w:right="57"/>
            </w:pPr>
            <w:r w:rsidRPr="00761653">
              <w:t>Стоматит</w:t>
            </w:r>
          </w:p>
        </w:tc>
        <w:tc>
          <w:tcPr>
            <w:tcW w:w="6096" w:type="dxa"/>
            <w:tcMar>
              <w:top w:w="100" w:type="nil"/>
              <w:right w:w="100" w:type="nil"/>
            </w:tcMar>
            <w:vAlign w:val="center"/>
          </w:tcPr>
          <w:p w14:paraId="407A64EA" w14:textId="77777777" w:rsidR="00223824" w:rsidRPr="00761653" w:rsidRDefault="00223824" w:rsidP="00CD5E09">
            <w:pPr>
              <w:spacing w:line="240" w:lineRule="auto"/>
              <w:ind w:left="57" w:right="57"/>
            </w:pPr>
            <w:r w:rsidRPr="00761653">
              <w:t>Мазок со слизистой ротоглотки</w:t>
            </w:r>
          </w:p>
        </w:tc>
      </w:tr>
      <w:tr w:rsidR="00223824" w:rsidRPr="00265B67" w14:paraId="28E9F895" w14:textId="77777777" w:rsidTr="00CD5E09">
        <w:trPr>
          <w:trHeight w:val="976"/>
        </w:trPr>
        <w:tc>
          <w:tcPr>
            <w:tcW w:w="3510" w:type="dxa"/>
            <w:tcMar>
              <w:top w:w="100" w:type="nil"/>
              <w:right w:w="100" w:type="nil"/>
            </w:tcMar>
            <w:vAlign w:val="center"/>
          </w:tcPr>
          <w:p w14:paraId="2EE4EC06" w14:textId="77777777" w:rsidR="00223824" w:rsidRPr="00761653" w:rsidRDefault="00223824" w:rsidP="00CD5E09">
            <w:pPr>
              <w:spacing w:line="240" w:lineRule="auto"/>
              <w:ind w:left="57" w:right="57"/>
            </w:pPr>
            <w:r w:rsidRPr="00761653">
              <w:t>Эзофагит</w:t>
            </w:r>
          </w:p>
        </w:tc>
        <w:tc>
          <w:tcPr>
            <w:tcW w:w="6096" w:type="dxa"/>
            <w:tcMar>
              <w:top w:w="100" w:type="nil"/>
              <w:right w:w="100" w:type="nil"/>
            </w:tcMar>
            <w:vAlign w:val="center"/>
          </w:tcPr>
          <w:p w14:paraId="1F3F7760" w14:textId="77777777" w:rsidR="00223824" w:rsidRPr="00761653" w:rsidRDefault="00223824" w:rsidP="00CD5E09">
            <w:pPr>
              <w:spacing w:line="240" w:lineRule="auto"/>
              <w:ind w:left="57" w:right="57"/>
            </w:pPr>
            <w:r w:rsidRPr="00761653">
              <w:t>Эзофагоскопия (тромбоцитов не менее 50x10</w:t>
            </w:r>
            <w:r w:rsidRPr="00761653">
              <w:rPr>
                <w:vertAlign w:val="superscript"/>
              </w:rPr>
              <w:t>9</w:t>
            </w:r>
            <w:r w:rsidRPr="00761653">
              <w:t>/л)</w:t>
            </w:r>
          </w:p>
          <w:p w14:paraId="60D36581" w14:textId="77777777" w:rsidR="00223824" w:rsidRPr="00761653" w:rsidRDefault="00223824" w:rsidP="00CD5E09">
            <w:pPr>
              <w:spacing w:line="240" w:lineRule="auto"/>
              <w:ind w:left="57" w:right="57"/>
            </w:pPr>
            <w:r w:rsidRPr="00761653">
              <w:t>Исследование - соскоб (браш-метод) со слизистой оболочки или биопсия</w:t>
            </w:r>
          </w:p>
        </w:tc>
      </w:tr>
      <w:tr w:rsidR="00223824" w:rsidRPr="00265B67" w14:paraId="71D73D6E" w14:textId="77777777" w:rsidTr="00CD5E09">
        <w:trPr>
          <w:trHeight w:val="704"/>
        </w:trPr>
        <w:tc>
          <w:tcPr>
            <w:tcW w:w="3510" w:type="dxa"/>
            <w:tcMar>
              <w:top w:w="100" w:type="nil"/>
              <w:right w:w="100" w:type="nil"/>
            </w:tcMar>
            <w:vAlign w:val="center"/>
          </w:tcPr>
          <w:p w14:paraId="32F22321" w14:textId="77777777" w:rsidR="00223824" w:rsidRPr="00761653" w:rsidRDefault="00223824" w:rsidP="00CD5E09">
            <w:pPr>
              <w:spacing w:line="240" w:lineRule="auto"/>
              <w:ind w:left="57" w:right="57"/>
            </w:pPr>
            <w:r w:rsidRPr="00761653">
              <w:t>Некроз слизистой оболочки носового хода</w:t>
            </w:r>
          </w:p>
        </w:tc>
        <w:tc>
          <w:tcPr>
            <w:tcW w:w="6096" w:type="dxa"/>
            <w:tcMar>
              <w:top w:w="100" w:type="nil"/>
              <w:right w:w="100" w:type="nil"/>
            </w:tcMar>
            <w:vAlign w:val="center"/>
          </w:tcPr>
          <w:p w14:paraId="0E3A68E8" w14:textId="77777777" w:rsidR="00223824" w:rsidRPr="00761653" w:rsidRDefault="00223824" w:rsidP="00CD5E09">
            <w:pPr>
              <w:spacing w:line="240" w:lineRule="auto"/>
              <w:ind w:left="57" w:right="57"/>
            </w:pPr>
            <w:r w:rsidRPr="00761653">
              <w:t>Мазок со слизистой оболочки носа</w:t>
            </w:r>
          </w:p>
        </w:tc>
      </w:tr>
      <w:tr w:rsidR="00223824" w:rsidRPr="00265B67" w14:paraId="77DC33F9" w14:textId="77777777" w:rsidTr="00CD5E09">
        <w:trPr>
          <w:trHeight w:val="701"/>
        </w:trPr>
        <w:tc>
          <w:tcPr>
            <w:tcW w:w="3510" w:type="dxa"/>
            <w:tcMar>
              <w:top w:w="100" w:type="nil"/>
              <w:right w:w="100" w:type="nil"/>
            </w:tcMar>
            <w:vAlign w:val="center"/>
          </w:tcPr>
          <w:p w14:paraId="695CAB28" w14:textId="77777777" w:rsidR="00223824" w:rsidRPr="00761653" w:rsidRDefault="00223824" w:rsidP="00CD5E09">
            <w:pPr>
              <w:spacing w:line="240" w:lineRule="auto"/>
              <w:ind w:left="57" w:right="57"/>
            </w:pPr>
            <w:r w:rsidRPr="00761653">
              <w:t>Гайморит</w:t>
            </w:r>
          </w:p>
        </w:tc>
        <w:tc>
          <w:tcPr>
            <w:tcW w:w="6096" w:type="dxa"/>
            <w:tcMar>
              <w:top w:w="100" w:type="nil"/>
              <w:right w:w="100" w:type="nil"/>
            </w:tcMar>
            <w:vAlign w:val="center"/>
          </w:tcPr>
          <w:p w14:paraId="231F03A9" w14:textId="77777777" w:rsidR="00223824" w:rsidRPr="00761653" w:rsidRDefault="00223824" w:rsidP="00CD5E09">
            <w:pPr>
              <w:spacing w:line="240" w:lineRule="auto"/>
              <w:ind w:left="57" w:right="57"/>
            </w:pPr>
            <w:r w:rsidRPr="00761653">
              <w:t>Исследование содержимого околоносовой пазухи, полученной при пункции</w:t>
            </w:r>
          </w:p>
        </w:tc>
      </w:tr>
      <w:tr w:rsidR="00223824" w:rsidRPr="00761653" w14:paraId="300C0281" w14:textId="77777777" w:rsidTr="00CD5E09">
        <w:trPr>
          <w:trHeight w:val="825"/>
        </w:trPr>
        <w:tc>
          <w:tcPr>
            <w:tcW w:w="3510" w:type="dxa"/>
            <w:tcMar>
              <w:top w:w="100" w:type="nil"/>
              <w:right w:w="100" w:type="nil"/>
            </w:tcMar>
            <w:vAlign w:val="center"/>
          </w:tcPr>
          <w:p w14:paraId="55C2BF88" w14:textId="77777777" w:rsidR="00223824" w:rsidRPr="00761653" w:rsidRDefault="00223824" w:rsidP="00CD5E09">
            <w:pPr>
              <w:spacing w:line="240" w:lineRule="auto"/>
              <w:ind w:left="57" w:right="57"/>
            </w:pPr>
            <w:r w:rsidRPr="00761653">
              <w:t>Симптомы инфекции мочевыводящих путей</w:t>
            </w:r>
          </w:p>
          <w:p w14:paraId="2B3AA9C9" w14:textId="77777777" w:rsidR="00223824" w:rsidRPr="00761653" w:rsidRDefault="00223824" w:rsidP="00CD5E09">
            <w:pPr>
              <w:spacing w:line="240" w:lineRule="auto"/>
              <w:ind w:left="57" w:right="57"/>
            </w:pPr>
            <w:r w:rsidRPr="00761653">
              <w:t>Лейкоцитурия</w:t>
            </w:r>
          </w:p>
        </w:tc>
        <w:tc>
          <w:tcPr>
            <w:tcW w:w="6096" w:type="dxa"/>
            <w:tcMar>
              <w:top w:w="100" w:type="nil"/>
              <w:right w:w="100" w:type="nil"/>
            </w:tcMar>
            <w:vAlign w:val="center"/>
          </w:tcPr>
          <w:p w14:paraId="049054A5" w14:textId="77777777" w:rsidR="00223824" w:rsidRPr="00761653" w:rsidRDefault="00223824" w:rsidP="00CD5E09">
            <w:pPr>
              <w:spacing w:line="240" w:lineRule="auto"/>
              <w:ind w:left="57" w:right="57"/>
            </w:pPr>
            <w:r w:rsidRPr="00761653">
              <w:t>Микробиологическое исследование мочи</w:t>
            </w:r>
          </w:p>
        </w:tc>
      </w:tr>
      <w:tr w:rsidR="00223824" w:rsidRPr="00265B67" w14:paraId="6036AF0F" w14:textId="77777777" w:rsidTr="00CD5E09">
        <w:trPr>
          <w:trHeight w:val="1016"/>
        </w:trPr>
        <w:tc>
          <w:tcPr>
            <w:tcW w:w="3510" w:type="dxa"/>
            <w:tcMar>
              <w:top w:w="100" w:type="nil"/>
              <w:right w:w="100" w:type="nil"/>
            </w:tcMar>
            <w:vAlign w:val="center"/>
          </w:tcPr>
          <w:p w14:paraId="57C8CA0E" w14:textId="77777777" w:rsidR="00223824" w:rsidRPr="00761653" w:rsidRDefault="00223824" w:rsidP="00CD5E09">
            <w:pPr>
              <w:spacing w:line="240" w:lineRule="auto"/>
              <w:ind w:left="57" w:right="57"/>
            </w:pPr>
            <w:r w:rsidRPr="00761653">
              <w:t>Пневмония</w:t>
            </w:r>
          </w:p>
        </w:tc>
        <w:tc>
          <w:tcPr>
            <w:tcW w:w="6096" w:type="dxa"/>
            <w:tcMar>
              <w:top w:w="100" w:type="nil"/>
              <w:right w:w="100" w:type="nil"/>
            </w:tcMar>
          </w:tcPr>
          <w:p w14:paraId="4CFC67F5" w14:textId="77777777" w:rsidR="00223824" w:rsidRPr="00761653" w:rsidRDefault="00223824" w:rsidP="00CD5E09">
            <w:pPr>
              <w:spacing w:line="240" w:lineRule="auto"/>
              <w:ind w:left="57" w:right="57"/>
              <w:contextualSpacing/>
            </w:pPr>
            <w:r w:rsidRPr="00761653">
              <w:t>КТВР легких</w:t>
            </w:r>
          </w:p>
          <w:p w14:paraId="0A2CF8ED" w14:textId="77777777" w:rsidR="00223824" w:rsidRPr="00761653" w:rsidRDefault="00223824" w:rsidP="00CD5E09">
            <w:pPr>
              <w:spacing w:line="240" w:lineRule="auto"/>
              <w:ind w:left="57" w:right="57"/>
              <w:contextualSpacing/>
            </w:pPr>
            <w:r w:rsidRPr="00761653">
              <w:t>Бронхоальвеолярный лаваж после КТВР легких</w:t>
            </w:r>
          </w:p>
          <w:p w14:paraId="7A56442E" w14:textId="77777777" w:rsidR="00223824" w:rsidRPr="00761653" w:rsidRDefault="00223824" w:rsidP="00CD5E09">
            <w:pPr>
              <w:spacing w:line="240" w:lineRule="auto"/>
              <w:ind w:left="57" w:right="57"/>
              <w:contextualSpacing/>
              <w:rPr>
                <w:rFonts w:eastAsia="MS Mincho"/>
              </w:rPr>
            </w:pPr>
            <w:r w:rsidRPr="00761653">
              <w:t xml:space="preserve">Полное исследование жидкости БАЛ (микроскопия, микробиологическое исследование на бактерии и грибы, определение галактоманнана, флюоресцентная микроскопия на </w:t>
            </w:r>
            <w:r w:rsidRPr="00761653">
              <w:rPr>
                <w:i/>
                <w:iCs/>
              </w:rPr>
              <w:t xml:space="preserve">P. jirovecii, </w:t>
            </w:r>
            <w:r w:rsidRPr="00761653">
              <w:t xml:space="preserve">определение ДНК вирусов, </w:t>
            </w:r>
            <w:r w:rsidRPr="00761653">
              <w:rPr>
                <w:i/>
                <w:iCs/>
              </w:rPr>
              <w:t>P</w:t>
            </w:r>
            <w:r w:rsidRPr="00761653">
              <w:rPr>
                <w:i/>
                <w:iCs/>
                <w:strike/>
              </w:rPr>
              <w:t>.</w:t>
            </w:r>
            <w:r w:rsidRPr="00761653">
              <w:rPr>
                <w:i/>
                <w:iCs/>
              </w:rPr>
              <w:t xml:space="preserve"> jirovecii</w:t>
            </w:r>
            <w:r w:rsidRPr="00761653">
              <w:t>,</w:t>
            </w:r>
            <w:r w:rsidRPr="00761653">
              <w:rPr>
                <w:i/>
                <w:iCs/>
              </w:rPr>
              <w:t xml:space="preserve"> M. pneumoniae, C. pneumoniae</w:t>
            </w:r>
            <w:r w:rsidRPr="00761653">
              <w:t>)</w:t>
            </w:r>
          </w:p>
          <w:p w14:paraId="5A829FBB" w14:textId="77777777" w:rsidR="00223824" w:rsidRPr="00761653" w:rsidRDefault="00223824" w:rsidP="00CD5E09">
            <w:pPr>
              <w:spacing w:line="240" w:lineRule="auto"/>
              <w:ind w:left="57" w:right="57"/>
              <w:contextualSpacing/>
            </w:pPr>
            <w:r w:rsidRPr="00761653">
              <w:t xml:space="preserve">Исследование крови на антиген </w:t>
            </w:r>
            <w:r w:rsidRPr="00761653">
              <w:rPr>
                <w:i/>
                <w:iCs/>
              </w:rPr>
              <w:t>Aspergillus</w:t>
            </w:r>
          </w:p>
        </w:tc>
      </w:tr>
      <w:tr w:rsidR="00223824" w:rsidRPr="00265B67" w14:paraId="2795C6C9" w14:textId="77777777" w:rsidTr="00CD5E09">
        <w:trPr>
          <w:trHeight w:val="360"/>
        </w:trPr>
        <w:tc>
          <w:tcPr>
            <w:tcW w:w="3510" w:type="dxa"/>
            <w:tcMar>
              <w:top w:w="100" w:type="nil"/>
              <w:right w:w="100" w:type="nil"/>
            </w:tcMar>
          </w:tcPr>
          <w:p w14:paraId="2CE6C265" w14:textId="77777777" w:rsidR="00223824" w:rsidRPr="00761653" w:rsidRDefault="00223824" w:rsidP="00CD5E09">
            <w:pPr>
              <w:spacing w:line="240" w:lineRule="auto"/>
              <w:ind w:left="57" w:right="57"/>
            </w:pPr>
            <w:r w:rsidRPr="00761653">
              <w:t>Cимптомы менингита</w:t>
            </w:r>
          </w:p>
          <w:p w14:paraId="2BBC5E68" w14:textId="77777777" w:rsidR="00223824" w:rsidRPr="00761653" w:rsidRDefault="00223824" w:rsidP="00CD5E09">
            <w:pPr>
              <w:spacing w:line="240" w:lineRule="auto"/>
              <w:ind w:left="57" w:right="57"/>
              <w:rPr>
                <w:rFonts w:eastAsia="MS Mincho"/>
              </w:rPr>
            </w:pPr>
            <w:r w:rsidRPr="00761653">
              <w:t>«Мозговая» симптоматика на фоне лихорадки и нейтропении</w:t>
            </w:r>
          </w:p>
          <w:p w14:paraId="747E7AB8" w14:textId="77777777" w:rsidR="00223824" w:rsidRPr="00761653" w:rsidRDefault="00223824" w:rsidP="00CD5E09">
            <w:pPr>
              <w:spacing w:line="240" w:lineRule="auto"/>
              <w:ind w:left="57" w:right="57"/>
            </w:pPr>
            <w:r w:rsidRPr="00761653">
              <w:t>Обнаружение очага (очагов) в головном мозге</w:t>
            </w:r>
          </w:p>
        </w:tc>
        <w:tc>
          <w:tcPr>
            <w:tcW w:w="6096" w:type="dxa"/>
            <w:tcMar>
              <w:top w:w="100" w:type="nil"/>
              <w:right w:w="100" w:type="nil"/>
            </w:tcMar>
            <w:vAlign w:val="center"/>
          </w:tcPr>
          <w:p w14:paraId="3336D4DD" w14:textId="77777777" w:rsidR="00223824" w:rsidRPr="00761653" w:rsidRDefault="00223824" w:rsidP="00CD5E09">
            <w:pPr>
              <w:spacing w:line="240" w:lineRule="auto"/>
              <w:ind w:left="57" w:right="57"/>
              <w:contextualSpacing/>
              <w:rPr>
                <w:rFonts w:eastAsia="MS Mincho"/>
              </w:rPr>
            </w:pPr>
            <w:r w:rsidRPr="00761653">
              <w:t>Люмбальная пункция</w:t>
            </w:r>
          </w:p>
          <w:p w14:paraId="5990EB0A" w14:textId="77777777" w:rsidR="00223824" w:rsidRPr="00761653" w:rsidRDefault="00223824" w:rsidP="00CD5E09">
            <w:pPr>
              <w:spacing w:line="240" w:lineRule="auto"/>
              <w:ind w:left="57" w:right="57"/>
              <w:contextualSpacing/>
            </w:pPr>
            <w:r w:rsidRPr="00761653">
              <w:t xml:space="preserve">Полное исследование СМЖ (см. текст), включая исследование на антиген </w:t>
            </w:r>
            <w:r w:rsidRPr="00761653">
              <w:rPr>
                <w:i/>
                <w:iCs/>
              </w:rPr>
              <w:t>Cryptococcus</w:t>
            </w:r>
            <w:r w:rsidRPr="00761653">
              <w:t xml:space="preserve"> (глюкуроноксиломаннан)</w:t>
            </w:r>
          </w:p>
        </w:tc>
      </w:tr>
      <w:tr w:rsidR="00223824" w:rsidRPr="00265B67" w14:paraId="41E334B1" w14:textId="77777777" w:rsidTr="00CD5E09">
        <w:trPr>
          <w:trHeight w:val="93"/>
        </w:trPr>
        <w:tc>
          <w:tcPr>
            <w:tcW w:w="3510" w:type="dxa"/>
            <w:tcMar>
              <w:top w:w="100" w:type="nil"/>
              <w:right w:w="100" w:type="nil"/>
            </w:tcMar>
            <w:vAlign w:val="center"/>
          </w:tcPr>
          <w:p w14:paraId="37F7D2EE" w14:textId="77777777" w:rsidR="00223824" w:rsidRPr="00761653" w:rsidRDefault="00223824" w:rsidP="00CD5E09">
            <w:pPr>
              <w:spacing w:line="240" w:lineRule="auto"/>
              <w:ind w:left="57" w:right="57"/>
            </w:pPr>
            <w:r w:rsidRPr="00761653">
              <w:t>Диарея</w:t>
            </w:r>
          </w:p>
        </w:tc>
        <w:tc>
          <w:tcPr>
            <w:tcW w:w="6096" w:type="dxa"/>
            <w:tcMar>
              <w:top w:w="100" w:type="nil"/>
              <w:right w:w="100" w:type="nil"/>
            </w:tcMar>
          </w:tcPr>
          <w:p w14:paraId="3963B9FF" w14:textId="77777777" w:rsidR="00223824" w:rsidRPr="00761653" w:rsidRDefault="00223824" w:rsidP="00CD5E09">
            <w:pPr>
              <w:spacing w:line="240" w:lineRule="auto"/>
              <w:ind w:left="57" w:right="57"/>
            </w:pPr>
            <w:r w:rsidRPr="00761653">
              <w:t xml:space="preserve">Исследование кала на токсин </w:t>
            </w:r>
            <w:r w:rsidRPr="00761653">
              <w:rPr>
                <w:i/>
                <w:iCs/>
              </w:rPr>
              <w:t>C. difficile</w:t>
            </w:r>
          </w:p>
        </w:tc>
      </w:tr>
      <w:tr w:rsidR="00223824" w:rsidRPr="00265B67" w14:paraId="6B57AAA4" w14:textId="77777777" w:rsidTr="00CD5E09">
        <w:trPr>
          <w:trHeight w:val="187"/>
        </w:trPr>
        <w:tc>
          <w:tcPr>
            <w:tcW w:w="3510" w:type="dxa"/>
            <w:tcMar>
              <w:top w:w="100" w:type="nil"/>
              <w:right w:w="100" w:type="nil"/>
            </w:tcMar>
            <w:vAlign w:val="center"/>
          </w:tcPr>
          <w:p w14:paraId="446947F6" w14:textId="77777777" w:rsidR="00223824" w:rsidRPr="00761653" w:rsidRDefault="00223824" w:rsidP="00CD5E09">
            <w:pPr>
              <w:spacing w:line="240" w:lineRule="auto"/>
              <w:ind w:left="57" w:right="57"/>
              <w:contextualSpacing/>
              <w:rPr>
                <w:rFonts w:eastAsia="MS Mincho"/>
              </w:rPr>
            </w:pPr>
            <w:r w:rsidRPr="00761653">
              <w:lastRenderedPageBreak/>
              <w:t>Парапроктит</w:t>
            </w:r>
          </w:p>
          <w:p w14:paraId="15FA8428" w14:textId="77777777" w:rsidR="00223824" w:rsidRPr="00761653" w:rsidRDefault="00223824" w:rsidP="00CD5E09">
            <w:pPr>
              <w:spacing w:line="240" w:lineRule="auto"/>
              <w:ind w:left="57" w:right="57"/>
              <w:contextualSpacing/>
            </w:pPr>
            <w:r w:rsidRPr="00761653">
              <w:t>Трещина в области прямой кишки</w:t>
            </w:r>
          </w:p>
        </w:tc>
        <w:tc>
          <w:tcPr>
            <w:tcW w:w="6096" w:type="dxa"/>
            <w:tcMar>
              <w:top w:w="100" w:type="nil"/>
              <w:right w:w="100" w:type="nil"/>
            </w:tcMar>
            <w:vAlign w:val="center"/>
          </w:tcPr>
          <w:p w14:paraId="46ACB990" w14:textId="77777777" w:rsidR="00223824" w:rsidRPr="00761653" w:rsidRDefault="00223824" w:rsidP="00CD5E09">
            <w:pPr>
              <w:spacing w:line="240" w:lineRule="auto"/>
              <w:ind w:left="57" w:right="57"/>
            </w:pPr>
            <w:r w:rsidRPr="00761653">
              <w:t>Мазок со слизистой оболочки прямой кишки</w:t>
            </w:r>
          </w:p>
        </w:tc>
      </w:tr>
      <w:tr w:rsidR="00223824" w:rsidRPr="00265B67" w14:paraId="19462739" w14:textId="77777777" w:rsidTr="00CD5E09">
        <w:trPr>
          <w:trHeight w:val="200"/>
        </w:trPr>
        <w:tc>
          <w:tcPr>
            <w:tcW w:w="3510" w:type="dxa"/>
            <w:tcMar>
              <w:top w:w="100" w:type="nil"/>
              <w:right w:w="100" w:type="nil"/>
            </w:tcMar>
            <w:vAlign w:val="center"/>
          </w:tcPr>
          <w:p w14:paraId="1D3A53E9" w14:textId="77777777" w:rsidR="00223824" w:rsidRPr="00761653" w:rsidRDefault="00223824" w:rsidP="00CD5E09">
            <w:pPr>
              <w:spacing w:line="240" w:lineRule="auto"/>
              <w:ind w:left="57" w:right="57"/>
              <w:contextualSpacing/>
            </w:pPr>
            <w:r w:rsidRPr="00761653">
              <w:t>Образования (инфильтраты) на коже</w:t>
            </w:r>
          </w:p>
        </w:tc>
        <w:tc>
          <w:tcPr>
            <w:tcW w:w="6096" w:type="dxa"/>
            <w:tcMar>
              <w:top w:w="100" w:type="nil"/>
              <w:right w:w="100" w:type="nil"/>
            </w:tcMar>
            <w:vAlign w:val="center"/>
          </w:tcPr>
          <w:p w14:paraId="61B1CEB6" w14:textId="77777777" w:rsidR="00223824" w:rsidRPr="00761653" w:rsidRDefault="00223824" w:rsidP="00CD5E09">
            <w:pPr>
              <w:spacing w:line="240" w:lineRule="auto"/>
              <w:ind w:left="57" w:right="57"/>
              <w:contextualSpacing/>
            </w:pPr>
            <w:r w:rsidRPr="00761653">
              <w:t>Биопсия</w:t>
            </w:r>
          </w:p>
          <w:p w14:paraId="7D53F760" w14:textId="77777777" w:rsidR="00223824" w:rsidRPr="00761653" w:rsidRDefault="00223824" w:rsidP="00CD5E09">
            <w:pPr>
              <w:spacing w:line="240" w:lineRule="auto"/>
              <w:ind w:left="57" w:right="57"/>
              <w:contextualSpacing/>
            </w:pPr>
            <w:r w:rsidRPr="00761653">
              <w:t>Микробиологическое и гистологическое исследование биоптата</w:t>
            </w:r>
          </w:p>
        </w:tc>
      </w:tr>
    </w:tbl>
    <w:p w14:paraId="335B673C" w14:textId="77777777" w:rsidR="00223824" w:rsidRDefault="00223824" w:rsidP="00223824">
      <w:pPr>
        <w:tabs>
          <w:tab w:val="left" w:pos="1134"/>
        </w:tabs>
        <w:ind w:right="-130"/>
        <w:contextualSpacing/>
        <w:rPr>
          <w:b/>
          <w:bCs/>
        </w:rPr>
      </w:pPr>
    </w:p>
    <w:p w14:paraId="5494451C" w14:textId="77777777" w:rsidR="00223824" w:rsidRPr="00284D51" w:rsidRDefault="00223824" w:rsidP="00223824">
      <w:pPr>
        <w:ind w:right="49"/>
        <w:contextualSpacing/>
        <w:rPr>
          <w:bCs/>
          <w:i/>
          <w:iCs/>
          <w:u w:val="single"/>
        </w:rPr>
      </w:pPr>
      <w:r w:rsidRPr="00284D51">
        <w:rPr>
          <w:bCs/>
          <w:i/>
          <w:iCs/>
          <w:u w:val="single"/>
        </w:rPr>
        <w:t>Показания к назначению антибактериальной терапии первого этапа</w:t>
      </w:r>
    </w:p>
    <w:p w14:paraId="572C149E" w14:textId="748CE68E" w:rsidR="00223824" w:rsidRPr="0076198F" w:rsidRDefault="00F60A18" w:rsidP="00223824">
      <w:pPr>
        <w:tabs>
          <w:tab w:val="left" w:pos="0"/>
          <w:tab w:val="left" w:pos="567"/>
        </w:tabs>
      </w:pPr>
      <w:r>
        <w:tab/>
      </w:r>
      <w:r w:rsidR="00223824" w:rsidRPr="005971E1">
        <w:t>В первые сутки, как правило, единственным симптомом ифнекционного осложнения</w:t>
      </w:r>
      <w:r w:rsidR="00223824">
        <w:t xml:space="preserve"> </w:t>
      </w:r>
      <w:r w:rsidR="00223824" w:rsidRPr="0076198F">
        <w:t>бывает лишь повышение температуры</w:t>
      </w:r>
      <w:r w:rsidR="00223824">
        <w:t xml:space="preserve"> тела</w:t>
      </w:r>
      <w:r w:rsidR="00223824" w:rsidRPr="0076198F">
        <w:t xml:space="preserve">, а информацию о бактериемии или пневмонии у больных с нейтропенией удается получить не раньше, чем на второй день инфекционного эпизода. В связи с этим основным принципом терапии инфекционных осложнений у </w:t>
      </w:r>
      <w:r w:rsidR="00223824">
        <w:t xml:space="preserve">гематологических пациентов </w:t>
      </w:r>
      <w:r w:rsidR="00223824" w:rsidRPr="0076198F">
        <w:t>с фебрильной нейтропенией</w:t>
      </w:r>
      <w:r w:rsidR="00223824">
        <w:t xml:space="preserve">, особенно из группы риска, куда относятся пациенты с лимфомами (онкогематология, иммунодефицитные состояния) </w:t>
      </w:r>
      <w:r w:rsidR="00223824" w:rsidRPr="0076198F">
        <w:t xml:space="preserve">является эмпирический подход к назначению антибактериальных препаратов, когда их применяют при первых признаках инфекции, при лихорадке до идентификации возбудителей инфекции. В то же время эмпирический подход к назначению антибиотиков является относительным, поскольку выбор антимикробных препаратов определяется ретроспективным анализом верифицированных возбудителей и их антибиотикочувствительностью. </w:t>
      </w:r>
    </w:p>
    <w:p w14:paraId="511FDC3F" w14:textId="5C75C5C1" w:rsidR="00223824" w:rsidRDefault="00F60A18" w:rsidP="00223824">
      <w:pPr>
        <w:tabs>
          <w:tab w:val="left" w:pos="1134"/>
        </w:tabs>
        <w:ind w:right="-130"/>
        <w:contextualSpacing/>
      </w:pPr>
      <w:r>
        <w:rPr>
          <w:bCs/>
        </w:rPr>
        <w:tab/>
      </w:r>
      <w:r w:rsidR="00223824">
        <w:rPr>
          <w:bCs/>
        </w:rPr>
        <w:t>Показанием к назначению антибактериальных препаратов является п</w:t>
      </w:r>
      <w:r w:rsidR="00223824" w:rsidRPr="00761653">
        <w:t xml:space="preserve">овышение температуры ≥38,0°С, сохраняющееся в течение 2 часов и не связанное с введением пирогенных препаратов (например, компонентов крови, факторов роста и др.) </w:t>
      </w:r>
      <w:r w:rsidR="00223824" w:rsidRPr="008B181D">
        <w:rPr>
          <w:b/>
          <w:i/>
          <w:iCs/>
        </w:rPr>
        <w:t>или</w:t>
      </w:r>
      <w:r w:rsidR="00223824" w:rsidRPr="00761653">
        <w:rPr>
          <w:b/>
          <w:bCs/>
        </w:rPr>
        <w:t xml:space="preserve"> </w:t>
      </w:r>
      <w:r w:rsidR="00223824" w:rsidRPr="00761653">
        <w:t xml:space="preserve">наличие очага инфекции (например, пневмония, парапроктит и др.) вне зависимости от показателей температуры. </w:t>
      </w:r>
    </w:p>
    <w:p w14:paraId="4E513779" w14:textId="2D3053CF" w:rsidR="00223824" w:rsidRPr="00761653" w:rsidRDefault="00F60A18" w:rsidP="00223824">
      <w:pPr>
        <w:tabs>
          <w:tab w:val="left" w:pos="1134"/>
        </w:tabs>
        <w:ind w:right="-130"/>
        <w:contextualSpacing/>
      </w:pPr>
      <w:r>
        <w:tab/>
      </w:r>
      <w:r w:rsidR="00223824" w:rsidRPr="00761653">
        <w:t>При фебрильной нейтропении в 1-й линии назначают внутривенно антибиотик с активностью против грамотрицательных бактерий, включая синегнойную палочку - пиперациллин/тазобактам (4,5 г х 3 раза) или цефоперазон/сульбактам</w:t>
      </w:r>
      <w:r w:rsidR="00223824" w:rsidRPr="00761653">
        <w:rPr>
          <w:b/>
          <w:bCs/>
        </w:rPr>
        <w:t xml:space="preserve"> (</w:t>
      </w:r>
      <w:r w:rsidR="00223824" w:rsidRPr="00761653">
        <w:t>4 г х 2 раза). В клиниках с низкой частотой детекции энтеробактерий с продукцией БЛРС допустимо назначение цефепима</w:t>
      </w:r>
      <w:r w:rsidR="00223824" w:rsidRPr="00761653">
        <w:rPr>
          <w:b/>
          <w:bCs/>
        </w:rPr>
        <w:t xml:space="preserve"> (</w:t>
      </w:r>
      <w:r w:rsidR="00223824" w:rsidRPr="00761653">
        <w:t>2 г х 2 раза) или цефтазидима</w:t>
      </w:r>
      <w:r w:rsidR="00223824" w:rsidRPr="00761653">
        <w:rPr>
          <w:b/>
          <w:bCs/>
        </w:rPr>
        <w:t xml:space="preserve"> (</w:t>
      </w:r>
      <w:r w:rsidR="00223824" w:rsidRPr="00761653">
        <w:t xml:space="preserve">2 г х 3 раза). Препарат выбора для беременных с заболеваниями системы крови – цефепим. При неэффективности и отсутствии информативных микробиологических исследований проводят замену антибиотиков 1й линии на антипсевдомонадный карбапенем (имипенем, меропенем или дорипенем). В 1й линии </w:t>
      </w:r>
      <w:r w:rsidR="00223824">
        <w:t xml:space="preserve">терапии </w:t>
      </w:r>
      <w:r w:rsidR="00223824" w:rsidRPr="00761653">
        <w:t xml:space="preserve">фебрильной нейтропении не назначают цефтриаксон, цефоперазон, фторхинолоны. </w:t>
      </w:r>
    </w:p>
    <w:p w14:paraId="19E42268" w14:textId="77777777" w:rsidR="00F60A18" w:rsidRDefault="00223824" w:rsidP="00F60A18">
      <w:pPr>
        <w:ind w:right="-220" w:firstLine="720"/>
        <w:contextualSpacing/>
      </w:pPr>
      <w:r w:rsidRPr="00761653">
        <w:t xml:space="preserve">Показаниями к назначению антипсевдомонадных карбапенемов </w:t>
      </w:r>
      <w:r w:rsidRPr="00761653">
        <w:lastRenderedPageBreak/>
        <w:t>(имипенема/циластатина, меропенема, дорипенема) в 1-й линии фебрильной нейтропениии являются септический шок; пневмония с дыхательной недостаточностью.</w:t>
      </w:r>
    </w:p>
    <w:p w14:paraId="0E85F9D3" w14:textId="6008AAD3" w:rsidR="00223824" w:rsidRPr="00761653" w:rsidRDefault="00223824" w:rsidP="00F60A18">
      <w:pPr>
        <w:ind w:right="-220" w:firstLine="720"/>
        <w:contextualSpacing/>
      </w:pPr>
      <w:r w:rsidRPr="00761653">
        <w:t xml:space="preserve">Модификацию противомикробной терапии проводят на основании клинических симптомов, инструментальных и микробиологических исследований. У больных с персистирующей фебрильной нейтропенией и отрицательной гемокультурой при модификации учитывают чувствительность грамотрицательных бактерий, колонизирующих слизистые оболочки желудочно-кишечного тракта. При неэффективности карбапенемов и сохранении нейтропении добавляют противогрибковые препараты – эхинокандин (каспофунгин, микафунгин или анидулафунгин), вориконазол, амфотерицин В; орофарингеальном кандидозе и эзофагите - флуконазол. </w:t>
      </w:r>
    </w:p>
    <w:p w14:paraId="44CDBF43" w14:textId="77777777" w:rsidR="00223824" w:rsidRDefault="00223824" w:rsidP="00223824">
      <w:pPr>
        <w:ind w:right="49"/>
        <w:contextualSpacing/>
        <w:rPr>
          <w:bCs/>
          <w:u w:val="single"/>
        </w:rPr>
      </w:pPr>
    </w:p>
    <w:p w14:paraId="242F3C3E" w14:textId="77777777" w:rsidR="00223824" w:rsidRPr="00284D51" w:rsidRDefault="00223824" w:rsidP="00223824">
      <w:pPr>
        <w:ind w:right="49"/>
        <w:contextualSpacing/>
        <w:rPr>
          <w:bCs/>
          <w:i/>
          <w:iCs/>
          <w:u w:val="single"/>
        </w:rPr>
      </w:pPr>
      <w:r w:rsidRPr="00284D51">
        <w:rPr>
          <w:bCs/>
          <w:i/>
          <w:iCs/>
          <w:u w:val="single"/>
        </w:rPr>
        <w:t>Эмпирическое назначение противогрибковых препаратов</w:t>
      </w:r>
    </w:p>
    <w:p w14:paraId="4326D444" w14:textId="77777777" w:rsidR="00223824" w:rsidRPr="00761653" w:rsidRDefault="00223824" w:rsidP="00F60A18">
      <w:pPr>
        <w:ind w:right="-211" w:firstLine="720"/>
        <w:contextualSpacing/>
      </w:pPr>
      <w:r w:rsidRPr="00761653">
        <w:t>Эмпирическое назначение противогрибковых препаратов проводят на 4-7-й дни персистирующей фебрильной нейтропении в группе высокого риска возникновения инвазивных микозов (</w:t>
      </w:r>
      <w:r>
        <w:t>пациенты с</w:t>
      </w:r>
      <w:r w:rsidRPr="00761653">
        <w:t xml:space="preserve"> острым лейкозом, миелодиспластическим синдромом, реципиенты аллогенных ТГСК</w:t>
      </w:r>
      <w:r>
        <w:t>, агрессивными лимфомами, при длительной терапии глюкортикостероидами и др.</w:t>
      </w:r>
      <w:r w:rsidRPr="00761653">
        <w:t>), при условии отсутствия у них других клинических симптомов, а также р</w:t>
      </w:r>
      <w:r>
        <w:t>адиоло</w:t>
      </w:r>
      <w:r w:rsidRPr="00761653">
        <w:t xml:space="preserve">гических и лабораторных данных за иную инфекцию или другой инвазивный микоз. Препарат выбора – каспофунгин (в 1-й день 70 мг, далее по 50 мг внутривенно 1 раз в сутки), микафунгин (100 мг один раз в сутки внутривенно), анидулафунгин (в 1-й день 200 мг, далее по 100 мг 1 раз в сутки, внутривенно); альтернативные – вориконазол (в 1-й день по 6мг/кг внутривенно 2 раза в сутки, в последующие дни по 4 мг/кг внутривенно 2 раза в сутки, с переходом на пероральный прием по 200 мг 2 раза в сутки), амфотерицин В (0,8—1,0 мг/кг внутривенно 1 раз в сутки), липидные формы амфотерицина В (3 мг/кг внутривенно 1 раз в сутки). Как правило, тепература нормализуется в течение первых трех дней применения антимикотиков, и общая </w:t>
      </w:r>
      <w:r w:rsidRPr="00761653">
        <w:rPr>
          <w:bCs/>
        </w:rPr>
        <w:t>длительность применения противогрибковых препаратов</w:t>
      </w:r>
      <w:r w:rsidRPr="00761653">
        <w:t xml:space="preserve"> составляет 10-14 дней.</w:t>
      </w:r>
    </w:p>
    <w:p w14:paraId="43AA01F4" w14:textId="77777777" w:rsidR="00223824" w:rsidRDefault="00223824" w:rsidP="00223824">
      <w:pPr>
        <w:ind w:right="49"/>
        <w:contextualSpacing/>
        <w:rPr>
          <w:bCs/>
          <w:u w:val="single"/>
        </w:rPr>
      </w:pPr>
    </w:p>
    <w:p w14:paraId="6C19D1E4" w14:textId="77777777" w:rsidR="00223824" w:rsidRPr="00284D51" w:rsidRDefault="00223824" w:rsidP="00223824">
      <w:pPr>
        <w:ind w:right="49"/>
        <w:contextualSpacing/>
        <w:rPr>
          <w:bCs/>
          <w:i/>
          <w:iCs/>
          <w:u w:val="single"/>
        </w:rPr>
      </w:pPr>
      <w:r w:rsidRPr="00284D51">
        <w:rPr>
          <w:bCs/>
          <w:i/>
          <w:iCs/>
          <w:u w:val="single"/>
        </w:rPr>
        <w:t>Превентивная терапия инвазивного микоза</w:t>
      </w:r>
    </w:p>
    <w:p w14:paraId="35961961" w14:textId="77777777" w:rsidR="00223824" w:rsidRPr="00761653" w:rsidRDefault="00223824" w:rsidP="00F60A18">
      <w:pPr>
        <w:ind w:right="-211" w:firstLine="720"/>
        <w:contextualSpacing/>
      </w:pPr>
      <w:r w:rsidRPr="00761653">
        <w:rPr>
          <w:bCs/>
        </w:rPr>
        <w:t xml:space="preserve">Показаниями </w:t>
      </w:r>
      <w:r w:rsidRPr="00761653">
        <w:t>к превентивному назначению противогрибковых препаратов являются пневмония с р</w:t>
      </w:r>
      <w:r>
        <w:t>адио</w:t>
      </w:r>
      <w:r w:rsidRPr="00761653">
        <w:t>логическими признаками</w:t>
      </w:r>
      <w:r>
        <w:t>,</w:t>
      </w:r>
      <w:r w:rsidRPr="00761653">
        <w:t xml:space="preserve"> нехарактерными для инвазивного аспергиллеза, которая сохраняется или прогрессирует на фоне применения антибиотиков у </w:t>
      </w:r>
      <w:r>
        <w:t>пациентов</w:t>
      </w:r>
      <w:r w:rsidRPr="00761653">
        <w:t xml:space="preserve"> с факторами риска возникновения инвазивного аспергиллеза (нейтропения от 10 дней и более) или </w:t>
      </w:r>
      <w:r>
        <w:t xml:space="preserve">при </w:t>
      </w:r>
      <w:r w:rsidRPr="00761653">
        <w:t>положительн</w:t>
      </w:r>
      <w:r>
        <w:t>ом</w:t>
      </w:r>
      <w:r w:rsidRPr="00761653">
        <w:t xml:space="preserve"> результат</w:t>
      </w:r>
      <w:r>
        <w:t>е</w:t>
      </w:r>
      <w:r w:rsidRPr="00761653">
        <w:t xml:space="preserve"> определения антигена </w:t>
      </w:r>
      <w:r w:rsidRPr="00761653">
        <w:rPr>
          <w:i/>
          <w:iCs/>
        </w:rPr>
        <w:t xml:space="preserve">Aspergillus </w:t>
      </w:r>
      <w:r w:rsidRPr="00761653">
        <w:t xml:space="preserve">spp. (галактоманнан) в </w:t>
      </w:r>
      <w:r w:rsidRPr="00761653">
        <w:lastRenderedPageBreak/>
        <w:t xml:space="preserve">крови в отсутствие пневмонии. Превентивное назначение противогрибковых препаратов проводят </w:t>
      </w:r>
      <w:r>
        <w:t>пациентам</w:t>
      </w:r>
      <w:r w:rsidRPr="00761653">
        <w:t>, входящим в группу высокого риска возникновения инвазивного аспергиллеза (острый лейкоз, миелодиспластический синдром, апластическая анемия, реципиенты аллогенных СГК).</w:t>
      </w:r>
    </w:p>
    <w:p w14:paraId="5A587A53" w14:textId="77777777" w:rsidR="00223824" w:rsidRPr="00761653" w:rsidRDefault="00223824" w:rsidP="00F60A18">
      <w:pPr>
        <w:ind w:right="-211" w:firstLine="720"/>
        <w:contextualSpacing/>
      </w:pPr>
      <w:r w:rsidRPr="00761653">
        <w:rPr>
          <w:bCs/>
        </w:rPr>
        <w:t>Лечение включает назначение в</w:t>
      </w:r>
      <w:r w:rsidRPr="00761653">
        <w:t>ориконазола, в первый день по 6 мг/кг внутривенно 2 раза в сутки, в последующие дни по 4 мг/кг внутривенно 2 раза в сутки, с переходом на пероральный прием по 200 мг 2 раза в сутки.</w:t>
      </w:r>
    </w:p>
    <w:p w14:paraId="0F59A510" w14:textId="77777777" w:rsidR="00223824" w:rsidRDefault="00223824" w:rsidP="00223824">
      <w:pPr>
        <w:tabs>
          <w:tab w:val="left" w:pos="1134"/>
        </w:tabs>
        <w:ind w:right="49"/>
        <w:contextualSpacing/>
        <w:rPr>
          <w:b/>
        </w:rPr>
      </w:pPr>
    </w:p>
    <w:p w14:paraId="7D1E014B" w14:textId="77777777" w:rsidR="00223824" w:rsidRPr="00284D51" w:rsidRDefault="00223824" w:rsidP="00223824">
      <w:pPr>
        <w:ind w:right="49"/>
        <w:contextualSpacing/>
        <w:rPr>
          <w:bCs/>
          <w:i/>
          <w:iCs/>
          <w:u w:val="single"/>
        </w:rPr>
      </w:pPr>
      <w:r w:rsidRPr="00284D51">
        <w:rPr>
          <w:bCs/>
          <w:i/>
          <w:iCs/>
          <w:u w:val="single"/>
        </w:rPr>
        <w:t>Лечение микробиологически подтвержденных инфекций</w:t>
      </w:r>
    </w:p>
    <w:p w14:paraId="153BFA9A" w14:textId="77777777" w:rsidR="00F60A18" w:rsidRDefault="00F60A18" w:rsidP="00223824">
      <w:pPr>
        <w:tabs>
          <w:tab w:val="left" w:pos="1134"/>
        </w:tabs>
        <w:ind w:right="49"/>
        <w:contextualSpacing/>
        <w:rPr>
          <w:b/>
        </w:rPr>
      </w:pPr>
      <w:r>
        <w:rPr>
          <w:b/>
        </w:rPr>
        <w:t xml:space="preserve">Грамотрицательные возбудители </w:t>
      </w:r>
    </w:p>
    <w:p w14:paraId="07ED0798" w14:textId="77777777" w:rsidR="00F60A18" w:rsidRDefault="00F60A18" w:rsidP="00F60A18">
      <w:pPr>
        <w:tabs>
          <w:tab w:val="left" w:pos="1134"/>
        </w:tabs>
        <w:ind w:right="49"/>
        <w:contextualSpacing/>
        <w:rPr>
          <w:b/>
        </w:rPr>
      </w:pPr>
      <w:r>
        <w:rPr>
          <w:b/>
        </w:rPr>
        <w:t xml:space="preserve">            </w:t>
      </w:r>
      <w:r w:rsidR="00223824" w:rsidRPr="00284D51">
        <w:rPr>
          <w:bCs/>
          <w:i/>
          <w:iCs/>
        </w:rPr>
        <w:t>Энтеробактерии с продукцией БЛРС, Enterobacter spp</w:t>
      </w:r>
    </w:p>
    <w:p w14:paraId="7B66719D" w14:textId="2FB9170C" w:rsidR="00223824" w:rsidRPr="00F60A18" w:rsidRDefault="00F60A18" w:rsidP="00F60A18">
      <w:pPr>
        <w:tabs>
          <w:tab w:val="left" w:pos="1134"/>
        </w:tabs>
        <w:ind w:right="49"/>
        <w:contextualSpacing/>
        <w:rPr>
          <w:b/>
        </w:rPr>
      </w:pPr>
      <w:r>
        <w:rPr>
          <w:b/>
        </w:rPr>
        <w:t xml:space="preserve">             </w:t>
      </w:r>
      <w:r w:rsidR="00223824" w:rsidRPr="00761653">
        <w:t xml:space="preserve">Препарат выбора – антипсевдомонадный карбапенем (имипенем, меропенем или дорипенем). вне нейтропениии, особенно при инфекции мочевыводящих путей, может быть использован эртапенем. Назначение карбапенемов в стандартных дозах. </w:t>
      </w:r>
      <w:r w:rsidR="00223824" w:rsidRPr="00284D51">
        <w:rPr>
          <w:bCs/>
          <w:i/>
          <w:iCs/>
        </w:rPr>
        <w:t xml:space="preserve">Энтеробактерии с продукцией карбапенемаз </w:t>
      </w:r>
    </w:p>
    <w:p w14:paraId="24218F72" w14:textId="5F92FEA7" w:rsidR="00223824" w:rsidRPr="00761653" w:rsidRDefault="00F60A18" w:rsidP="00223824">
      <w:pPr>
        <w:tabs>
          <w:tab w:val="left" w:pos="1134"/>
        </w:tabs>
        <w:ind w:right="49"/>
        <w:contextualSpacing/>
      </w:pPr>
      <w:r>
        <w:t xml:space="preserve">             </w:t>
      </w:r>
      <w:r w:rsidR="00223824" w:rsidRPr="00761653">
        <w:t>Лечение проводят сочетанием антибиотиков согласно чувствителньости. Препарат выбора при детекции карбапенемаз групп KPC, OXA-48 - цефтазидим-авибактам (2,5 г каждые 8 часов, введение в течение 2 часов), при детекции металлоферментов (NDM) – сочетание цефтазидима-авибактама с азтреонамом (по 2 г 3 раза в сутки). Препараты, используемые в лечении инфекций, вызванных карбапенемазопродуцирующими бактериями представлены в табл</w:t>
      </w:r>
      <w:r w:rsidR="00223824">
        <w:t>ице 2.</w:t>
      </w:r>
      <w:r w:rsidR="00223824" w:rsidRPr="00761653">
        <w:t xml:space="preserve"> Тигециклин имеет низкие концентрации в крови и в моче, проявляет бактериостатическое действие, не относится к препаратам выбора при инфекциях кровотока. При инфекциях кровотока назначают тигециклин только при отсутствии других опций в лечении.</w:t>
      </w:r>
    </w:p>
    <w:p w14:paraId="3688C22F" w14:textId="77777777" w:rsidR="00223824" w:rsidRDefault="00223824" w:rsidP="00223824"/>
    <w:p w14:paraId="378E60A3" w14:textId="77777777" w:rsidR="00223824" w:rsidRPr="00761653" w:rsidRDefault="00223824" w:rsidP="00223824">
      <w:r w:rsidRPr="00761653">
        <w:t>Таблица 2. Дозы антибиотиков</w:t>
      </w:r>
      <w:r>
        <w:t>,</w:t>
      </w:r>
      <w:r w:rsidRPr="00761653">
        <w:t xml:space="preserve"> рекомендуемые для лечения инфекций, вызванных энтеробактериями с продукцией карбапенемаз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27"/>
        <w:gridCol w:w="6520"/>
      </w:tblGrid>
      <w:tr w:rsidR="00223824" w:rsidRPr="00761653" w14:paraId="24D51AD6" w14:textId="77777777" w:rsidTr="00CD5E09">
        <w:trPr>
          <w:trHeight w:val="555"/>
        </w:trPr>
        <w:tc>
          <w:tcPr>
            <w:tcW w:w="3227" w:type="dxa"/>
            <w:vAlign w:val="center"/>
          </w:tcPr>
          <w:p w14:paraId="6C1E25B4" w14:textId="77777777" w:rsidR="00223824" w:rsidRPr="00761653" w:rsidRDefault="00223824" w:rsidP="00CD5E09">
            <w:pPr>
              <w:ind w:left="57" w:right="57"/>
              <w:jc w:val="center"/>
              <w:rPr>
                <w:szCs w:val="24"/>
                <w:lang w:val="en-US"/>
              </w:rPr>
            </w:pPr>
            <w:r w:rsidRPr="00761653">
              <w:rPr>
                <w:szCs w:val="24"/>
              </w:rPr>
              <w:t>Препарат</w:t>
            </w:r>
          </w:p>
        </w:tc>
        <w:tc>
          <w:tcPr>
            <w:tcW w:w="6520" w:type="dxa"/>
            <w:vAlign w:val="center"/>
          </w:tcPr>
          <w:p w14:paraId="5B995816" w14:textId="77777777" w:rsidR="00223824" w:rsidRPr="00761653" w:rsidRDefault="00223824" w:rsidP="00CD5E09">
            <w:pPr>
              <w:ind w:left="57" w:right="57"/>
              <w:jc w:val="center"/>
              <w:rPr>
                <w:szCs w:val="24"/>
                <w:lang w:val="en-US"/>
              </w:rPr>
            </w:pPr>
            <w:r w:rsidRPr="00761653">
              <w:rPr>
                <w:szCs w:val="24"/>
              </w:rPr>
              <w:t>Доза</w:t>
            </w:r>
          </w:p>
        </w:tc>
      </w:tr>
      <w:tr w:rsidR="00223824" w:rsidRPr="00265B67" w14:paraId="1C47B0A7" w14:textId="77777777" w:rsidTr="00CD5E09">
        <w:trPr>
          <w:trHeight w:val="421"/>
        </w:trPr>
        <w:tc>
          <w:tcPr>
            <w:tcW w:w="3227" w:type="dxa"/>
          </w:tcPr>
          <w:p w14:paraId="1E734B3A" w14:textId="77777777" w:rsidR="00223824" w:rsidRPr="00761653" w:rsidRDefault="00223824" w:rsidP="00CD5E09">
            <w:pPr>
              <w:ind w:left="57" w:right="57"/>
              <w:rPr>
                <w:szCs w:val="24"/>
              </w:rPr>
            </w:pPr>
            <w:r w:rsidRPr="00761653">
              <w:rPr>
                <w:szCs w:val="24"/>
              </w:rPr>
              <w:t>Цефтазидим-авибактам</w:t>
            </w:r>
          </w:p>
        </w:tc>
        <w:tc>
          <w:tcPr>
            <w:tcW w:w="6520" w:type="dxa"/>
          </w:tcPr>
          <w:p w14:paraId="4819AE7C" w14:textId="77777777" w:rsidR="00223824" w:rsidRPr="00761653" w:rsidRDefault="00223824" w:rsidP="00CD5E09">
            <w:pPr>
              <w:ind w:left="57" w:right="57"/>
              <w:rPr>
                <w:szCs w:val="24"/>
              </w:rPr>
            </w:pPr>
            <w:r w:rsidRPr="00761653">
              <w:rPr>
                <w:szCs w:val="24"/>
              </w:rPr>
              <w:t>2,5 г каждые 8 часов, длительность инфузии 2 часа</w:t>
            </w:r>
          </w:p>
        </w:tc>
      </w:tr>
      <w:tr w:rsidR="00223824" w:rsidRPr="00975FC1" w14:paraId="70AD55F4" w14:textId="77777777" w:rsidTr="00CD5E09">
        <w:trPr>
          <w:trHeight w:val="825"/>
        </w:trPr>
        <w:tc>
          <w:tcPr>
            <w:tcW w:w="3227" w:type="dxa"/>
          </w:tcPr>
          <w:p w14:paraId="0550B5D6" w14:textId="77777777" w:rsidR="00223824" w:rsidRPr="00761653" w:rsidRDefault="00223824" w:rsidP="00CD5E09">
            <w:pPr>
              <w:ind w:left="57" w:right="57"/>
              <w:rPr>
                <w:szCs w:val="24"/>
                <w:lang w:val="en-US"/>
              </w:rPr>
            </w:pPr>
            <w:r w:rsidRPr="00761653">
              <w:rPr>
                <w:szCs w:val="24"/>
              </w:rPr>
              <w:t>Меропенем</w:t>
            </w:r>
          </w:p>
        </w:tc>
        <w:tc>
          <w:tcPr>
            <w:tcW w:w="6520" w:type="dxa"/>
          </w:tcPr>
          <w:p w14:paraId="045C8AF1" w14:textId="77777777" w:rsidR="00223824" w:rsidRPr="00761653" w:rsidRDefault="00223824" w:rsidP="00CD5E09">
            <w:pPr>
              <w:ind w:left="57" w:right="57"/>
              <w:rPr>
                <w:szCs w:val="24"/>
              </w:rPr>
            </w:pPr>
            <w:r w:rsidRPr="00761653">
              <w:rPr>
                <w:szCs w:val="24"/>
              </w:rPr>
              <w:t xml:space="preserve">2 г каждые 8 часов </w:t>
            </w:r>
          </w:p>
          <w:p w14:paraId="6D4AFBDE" w14:textId="77777777" w:rsidR="00223824" w:rsidRPr="00761653" w:rsidRDefault="00223824" w:rsidP="00CD5E09">
            <w:pPr>
              <w:ind w:left="57" w:right="57"/>
              <w:rPr>
                <w:szCs w:val="24"/>
              </w:rPr>
            </w:pPr>
            <w:r w:rsidRPr="00761653">
              <w:rPr>
                <w:szCs w:val="24"/>
              </w:rPr>
              <w:t>пролонгированная инфузия в течение 3х часов</w:t>
            </w:r>
          </w:p>
        </w:tc>
      </w:tr>
      <w:tr w:rsidR="00223824" w:rsidRPr="00761653" w14:paraId="1CD2ADD4" w14:textId="77777777" w:rsidTr="00CD5E09">
        <w:trPr>
          <w:trHeight w:val="270"/>
        </w:trPr>
        <w:tc>
          <w:tcPr>
            <w:tcW w:w="3227" w:type="dxa"/>
          </w:tcPr>
          <w:p w14:paraId="44C75778" w14:textId="77777777" w:rsidR="00223824" w:rsidRPr="00761653" w:rsidRDefault="00223824" w:rsidP="00CD5E09">
            <w:pPr>
              <w:ind w:left="57" w:right="57"/>
              <w:rPr>
                <w:szCs w:val="24"/>
                <w:lang w:val="en-US"/>
              </w:rPr>
            </w:pPr>
            <w:r w:rsidRPr="00761653">
              <w:rPr>
                <w:szCs w:val="24"/>
              </w:rPr>
              <w:t>Имипенем</w:t>
            </w:r>
          </w:p>
        </w:tc>
        <w:tc>
          <w:tcPr>
            <w:tcW w:w="6520" w:type="dxa"/>
          </w:tcPr>
          <w:p w14:paraId="2E736ABD" w14:textId="77777777" w:rsidR="00223824" w:rsidRPr="00761653" w:rsidRDefault="00223824" w:rsidP="00CD5E09">
            <w:pPr>
              <w:ind w:left="57" w:right="57"/>
              <w:rPr>
                <w:szCs w:val="24"/>
              </w:rPr>
            </w:pPr>
            <w:r w:rsidRPr="00761653">
              <w:rPr>
                <w:szCs w:val="24"/>
              </w:rPr>
              <w:t>1 г каждые 8 часов</w:t>
            </w:r>
          </w:p>
        </w:tc>
      </w:tr>
      <w:tr w:rsidR="00223824" w:rsidRPr="00975FC1" w14:paraId="346FD247" w14:textId="77777777" w:rsidTr="00CD5E09">
        <w:tc>
          <w:tcPr>
            <w:tcW w:w="3227" w:type="dxa"/>
          </w:tcPr>
          <w:p w14:paraId="59635756" w14:textId="77777777" w:rsidR="00223824" w:rsidRPr="00761653" w:rsidRDefault="00223824" w:rsidP="00CD5E09">
            <w:pPr>
              <w:ind w:left="57" w:right="57"/>
              <w:rPr>
                <w:szCs w:val="24"/>
                <w:lang w:val="en-US"/>
              </w:rPr>
            </w:pPr>
            <w:r w:rsidRPr="00761653">
              <w:rPr>
                <w:szCs w:val="24"/>
              </w:rPr>
              <w:t>Дорипенем</w:t>
            </w:r>
          </w:p>
        </w:tc>
        <w:tc>
          <w:tcPr>
            <w:tcW w:w="6520" w:type="dxa"/>
          </w:tcPr>
          <w:p w14:paraId="531A565B" w14:textId="77777777" w:rsidR="00223824" w:rsidRPr="00761653" w:rsidRDefault="00223824" w:rsidP="00CD5E09">
            <w:pPr>
              <w:ind w:left="57" w:right="57"/>
              <w:rPr>
                <w:szCs w:val="24"/>
              </w:rPr>
            </w:pPr>
            <w:r w:rsidRPr="00761653">
              <w:rPr>
                <w:szCs w:val="24"/>
              </w:rPr>
              <w:t>1 г каждые 8 часов, продленная инфузия (4 часа)</w:t>
            </w:r>
          </w:p>
        </w:tc>
      </w:tr>
      <w:tr w:rsidR="00223824" w:rsidRPr="00265B67" w14:paraId="5784E999" w14:textId="77777777" w:rsidTr="00CD5E09">
        <w:tc>
          <w:tcPr>
            <w:tcW w:w="3227" w:type="dxa"/>
          </w:tcPr>
          <w:p w14:paraId="40E2B2E1" w14:textId="77777777" w:rsidR="00223824" w:rsidRPr="00761653" w:rsidRDefault="00223824" w:rsidP="00CD5E09">
            <w:pPr>
              <w:ind w:left="57" w:right="57"/>
              <w:rPr>
                <w:szCs w:val="24"/>
                <w:lang w:val="en-US"/>
              </w:rPr>
            </w:pPr>
            <w:r w:rsidRPr="00761653">
              <w:rPr>
                <w:szCs w:val="24"/>
              </w:rPr>
              <w:t>Эртапенем</w:t>
            </w:r>
          </w:p>
        </w:tc>
        <w:tc>
          <w:tcPr>
            <w:tcW w:w="6520" w:type="dxa"/>
          </w:tcPr>
          <w:p w14:paraId="53F52759" w14:textId="77777777" w:rsidR="00223824" w:rsidRPr="00761653" w:rsidRDefault="00223824" w:rsidP="00CD5E09">
            <w:pPr>
              <w:ind w:left="57" w:right="57"/>
              <w:rPr>
                <w:szCs w:val="24"/>
              </w:rPr>
            </w:pPr>
            <w:r w:rsidRPr="00761653">
              <w:rPr>
                <w:szCs w:val="24"/>
              </w:rPr>
              <w:t>1 г каждые 24 часа или 1г каждые 12 час</w:t>
            </w:r>
          </w:p>
          <w:p w14:paraId="7EF3515A" w14:textId="77777777" w:rsidR="00223824" w:rsidRPr="00761653" w:rsidRDefault="00223824" w:rsidP="00CD5E09">
            <w:pPr>
              <w:ind w:left="57" w:right="57"/>
              <w:rPr>
                <w:szCs w:val="24"/>
              </w:rPr>
            </w:pPr>
            <w:r w:rsidRPr="00761653">
              <w:rPr>
                <w:szCs w:val="24"/>
              </w:rPr>
              <w:lastRenderedPageBreak/>
              <w:t>Используют в режиме “два карбапенема” при отсутствии других опций</w:t>
            </w:r>
          </w:p>
        </w:tc>
      </w:tr>
      <w:tr w:rsidR="00223824" w:rsidRPr="00975FC1" w14:paraId="367BC046" w14:textId="77777777" w:rsidTr="00CD5E09">
        <w:tc>
          <w:tcPr>
            <w:tcW w:w="3227" w:type="dxa"/>
          </w:tcPr>
          <w:p w14:paraId="21026ED2" w14:textId="77777777" w:rsidR="00223824" w:rsidRPr="00761653" w:rsidRDefault="00223824" w:rsidP="00CD5E09">
            <w:pPr>
              <w:ind w:left="57" w:right="57"/>
              <w:rPr>
                <w:szCs w:val="24"/>
              </w:rPr>
            </w:pPr>
            <w:r w:rsidRPr="00761653">
              <w:rPr>
                <w:szCs w:val="24"/>
              </w:rPr>
              <w:lastRenderedPageBreak/>
              <w:t>Колистин</w:t>
            </w:r>
          </w:p>
        </w:tc>
        <w:tc>
          <w:tcPr>
            <w:tcW w:w="6520" w:type="dxa"/>
          </w:tcPr>
          <w:p w14:paraId="756238C4" w14:textId="77777777" w:rsidR="00223824" w:rsidRPr="00761653" w:rsidRDefault="00223824" w:rsidP="00CD5E09">
            <w:pPr>
              <w:ind w:left="57" w:right="57"/>
              <w:rPr>
                <w:szCs w:val="24"/>
              </w:rPr>
            </w:pPr>
            <w:r w:rsidRPr="00761653">
              <w:rPr>
                <w:szCs w:val="24"/>
              </w:rPr>
              <w:t>Нагрузочная доза 9 млн МЕ, в первый день, однократно, далее по 4,5 млн МЕ</w:t>
            </w:r>
            <w:r w:rsidRPr="00761653">
              <w:rPr>
                <w:color w:val="4D5156"/>
                <w:szCs w:val="24"/>
                <w:shd w:val="clear" w:color="auto" w:fill="FFFFFF"/>
              </w:rPr>
              <w:t xml:space="preserve"> </w:t>
            </w:r>
            <w:r w:rsidRPr="00761653">
              <w:rPr>
                <w:szCs w:val="24"/>
              </w:rPr>
              <w:t xml:space="preserve">каждые 12 час </w:t>
            </w:r>
          </w:p>
          <w:p w14:paraId="5428A62C" w14:textId="77777777" w:rsidR="00223824" w:rsidRPr="00761653" w:rsidRDefault="00223824" w:rsidP="00CD5E09">
            <w:pPr>
              <w:ind w:left="57" w:right="57"/>
              <w:rPr>
                <w:szCs w:val="24"/>
              </w:rPr>
            </w:pPr>
            <w:r w:rsidRPr="00761653">
              <w:rPr>
                <w:szCs w:val="24"/>
              </w:rPr>
              <w:t>Ингаляции 1-3 млн МЕ каждые 8 часов</w:t>
            </w:r>
          </w:p>
        </w:tc>
      </w:tr>
      <w:tr w:rsidR="00223824" w:rsidRPr="00265B67" w14:paraId="2727B3F1" w14:textId="77777777" w:rsidTr="00CD5E09">
        <w:tc>
          <w:tcPr>
            <w:tcW w:w="3227" w:type="dxa"/>
          </w:tcPr>
          <w:p w14:paraId="448C128C" w14:textId="77777777" w:rsidR="00223824" w:rsidRPr="00761653" w:rsidRDefault="00223824" w:rsidP="00CD5E09">
            <w:pPr>
              <w:ind w:left="57" w:right="57"/>
              <w:rPr>
                <w:szCs w:val="24"/>
              </w:rPr>
            </w:pPr>
            <w:r w:rsidRPr="00761653">
              <w:rPr>
                <w:szCs w:val="24"/>
              </w:rPr>
              <w:t>Полимиксин В</w:t>
            </w:r>
          </w:p>
        </w:tc>
        <w:tc>
          <w:tcPr>
            <w:tcW w:w="6520" w:type="dxa"/>
          </w:tcPr>
          <w:p w14:paraId="4CB06BE3" w14:textId="77777777" w:rsidR="00223824" w:rsidRPr="00761653" w:rsidRDefault="00223824" w:rsidP="00CD5E09">
            <w:pPr>
              <w:ind w:left="57" w:right="57"/>
              <w:rPr>
                <w:szCs w:val="24"/>
              </w:rPr>
            </w:pPr>
            <w:r w:rsidRPr="00761653">
              <w:rPr>
                <w:szCs w:val="24"/>
              </w:rPr>
              <w:t xml:space="preserve">Нагрузочная доза 2-2,5 мг/кг, далее 1,25-1,5 мг/кг каждые 12 час </w:t>
            </w:r>
          </w:p>
        </w:tc>
      </w:tr>
      <w:tr w:rsidR="00223824" w:rsidRPr="00265B67" w14:paraId="38DFB4C7" w14:textId="77777777" w:rsidTr="00CD5E09">
        <w:tc>
          <w:tcPr>
            <w:tcW w:w="3227" w:type="dxa"/>
          </w:tcPr>
          <w:p w14:paraId="392EDB2D" w14:textId="77777777" w:rsidR="00223824" w:rsidRPr="00761653" w:rsidRDefault="00223824" w:rsidP="00CD5E09">
            <w:pPr>
              <w:ind w:left="57" w:right="57"/>
              <w:rPr>
                <w:szCs w:val="24"/>
              </w:rPr>
            </w:pPr>
            <w:r w:rsidRPr="00761653">
              <w:rPr>
                <w:szCs w:val="24"/>
              </w:rPr>
              <w:t>Тигециклин</w:t>
            </w:r>
          </w:p>
        </w:tc>
        <w:tc>
          <w:tcPr>
            <w:tcW w:w="6520" w:type="dxa"/>
          </w:tcPr>
          <w:p w14:paraId="559B10C8" w14:textId="77777777" w:rsidR="00223824" w:rsidRPr="00761653" w:rsidRDefault="00223824" w:rsidP="00CD5E09">
            <w:pPr>
              <w:ind w:left="57" w:right="57"/>
              <w:rPr>
                <w:szCs w:val="24"/>
              </w:rPr>
            </w:pPr>
            <w:r w:rsidRPr="00761653">
              <w:rPr>
                <w:szCs w:val="24"/>
              </w:rPr>
              <w:t>Первая доза 100 мг, далее каждые 12 часов по 50 мг</w:t>
            </w:r>
          </w:p>
        </w:tc>
      </w:tr>
      <w:tr w:rsidR="00223824" w:rsidRPr="00265B67" w14:paraId="51F9375C" w14:textId="77777777" w:rsidTr="00CD5E09">
        <w:tc>
          <w:tcPr>
            <w:tcW w:w="3227" w:type="dxa"/>
          </w:tcPr>
          <w:p w14:paraId="79271440" w14:textId="77777777" w:rsidR="00223824" w:rsidRPr="00761653" w:rsidRDefault="00223824" w:rsidP="00CD5E09">
            <w:pPr>
              <w:ind w:left="57" w:right="57"/>
              <w:rPr>
                <w:szCs w:val="24"/>
                <w:lang w:val="en-US"/>
              </w:rPr>
            </w:pPr>
            <w:r w:rsidRPr="00761653">
              <w:rPr>
                <w:szCs w:val="24"/>
              </w:rPr>
              <w:t>Гентамицин</w:t>
            </w:r>
            <w:r w:rsidRPr="00761653">
              <w:rPr>
                <w:szCs w:val="24"/>
                <w:lang w:val="en-US"/>
              </w:rPr>
              <w:t xml:space="preserve">, </w:t>
            </w:r>
          </w:p>
          <w:p w14:paraId="6B40D2E8" w14:textId="77777777" w:rsidR="00223824" w:rsidRPr="00761653" w:rsidRDefault="00223824" w:rsidP="00CD5E09">
            <w:pPr>
              <w:ind w:left="57" w:right="57"/>
              <w:rPr>
                <w:szCs w:val="24"/>
                <w:lang w:val="en-US"/>
              </w:rPr>
            </w:pPr>
            <w:r w:rsidRPr="00761653">
              <w:rPr>
                <w:szCs w:val="24"/>
              </w:rPr>
              <w:t>тобрамицин</w:t>
            </w:r>
          </w:p>
        </w:tc>
        <w:tc>
          <w:tcPr>
            <w:tcW w:w="6520" w:type="dxa"/>
          </w:tcPr>
          <w:p w14:paraId="30E811A2" w14:textId="77777777" w:rsidR="00223824" w:rsidRPr="00761653" w:rsidRDefault="00223824" w:rsidP="00CD5E09">
            <w:pPr>
              <w:ind w:left="57" w:right="57"/>
              <w:rPr>
                <w:szCs w:val="24"/>
              </w:rPr>
            </w:pPr>
            <w:r w:rsidRPr="00761653">
              <w:rPr>
                <w:szCs w:val="24"/>
              </w:rPr>
              <w:t>5-7 мг/кг/сутки, введение в течение 1 часа</w:t>
            </w:r>
          </w:p>
        </w:tc>
      </w:tr>
      <w:tr w:rsidR="00223824" w:rsidRPr="00265B67" w14:paraId="32CBABA2" w14:textId="77777777" w:rsidTr="00CD5E09">
        <w:tc>
          <w:tcPr>
            <w:tcW w:w="3227" w:type="dxa"/>
          </w:tcPr>
          <w:p w14:paraId="60CDB783" w14:textId="77777777" w:rsidR="00223824" w:rsidRPr="00761653" w:rsidRDefault="00223824" w:rsidP="00CD5E09">
            <w:pPr>
              <w:ind w:left="57" w:right="57"/>
              <w:rPr>
                <w:szCs w:val="24"/>
                <w:lang w:val="en-US"/>
              </w:rPr>
            </w:pPr>
            <w:r w:rsidRPr="00761653">
              <w:rPr>
                <w:szCs w:val="24"/>
              </w:rPr>
              <w:t>Амикацин</w:t>
            </w:r>
          </w:p>
        </w:tc>
        <w:tc>
          <w:tcPr>
            <w:tcW w:w="6520" w:type="dxa"/>
          </w:tcPr>
          <w:p w14:paraId="4F05F66E" w14:textId="77777777" w:rsidR="00223824" w:rsidRPr="00761653" w:rsidRDefault="00223824" w:rsidP="00CD5E09">
            <w:pPr>
              <w:ind w:left="57" w:right="57"/>
              <w:rPr>
                <w:szCs w:val="24"/>
              </w:rPr>
            </w:pPr>
            <w:r w:rsidRPr="00761653">
              <w:rPr>
                <w:szCs w:val="24"/>
              </w:rPr>
              <w:t>15-20 мг/кг/сутки, введение в течение 1 часа</w:t>
            </w:r>
          </w:p>
        </w:tc>
      </w:tr>
      <w:tr w:rsidR="00223824" w:rsidRPr="00265B67" w14:paraId="5F18C080" w14:textId="77777777" w:rsidTr="00CD5E09">
        <w:tc>
          <w:tcPr>
            <w:tcW w:w="3227" w:type="dxa"/>
          </w:tcPr>
          <w:p w14:paraId="4A843F3E" w14:textId="77777777" w:rsidR="00223824" w:rsidRPr="00761653" w:rsidRDefault="00223824" w:rsidP="00CD5E09">
            <w:pPr>
              <w:ind w:left="57" w:right="57"/>
              <w:rPr>
                <w:szCs w:val="24"/>
              </w:rPr>
            </w:pPr>
            <w:r w:rsidRPr="00761653">
              <w:rPr>
                <w:szCs w:val="24"/>
              </w:rPr>
              <w:t>Фосфомицин</w:t>
            </w:r>
          </w:p>
        </w:tc>
        <w:tc>
          <w:tcPr>
            <w:tcW w:w="6520" w:type="dxa"/>
          </w:tcPr>
          <w:p w14:paraId="4E7AFBBF" w14:textId="77777777" w:rsidR="00223824" w:rsidRPr="00761653" w:rsidRDefault="00223824" w:rsidP="00CD5E09">
            <w:pPr>
              <w:ind w:left="57" w:right="57"/>
              <w:rPr>
                <w:szCs w:val="24"/>
              </w:rPr>
            </w:pPr>
            <w:r w:rsidRPr="00761653">
              <w:rPr>
                <w:szCs w:val="24"/>
              </w:rPr>
              <w:t>По 4 г каждые 6 час или по 8 г каждые 8 час (суммарно 16-24 г)</w:t>
            </w:r>
          </w:p>
        </w:tc>
      </w:tr>
      <w:tr w:rsidR="00223824" w:rsidRPr="00761653" w14:paraId="0179566F" w14:textId="77777777" w:rsidTr="00CD5E09">
        <w:tc>
          <w:tcPr>
            <w:tcW w:w="3227" w:type="dxa"/>
          </w:tcPr>
          <w:p w14:paraId="539DE0D7" w14:textId="77777777" w:rsidR="00223824" w:rsidRPr="00761653" w:rsidRDefault="00223824" w:rsidP="00CD5E09">
            <w:pPr>
              <w:ind w:left="57" w:right="57"/>
              <w:rPr>
                <w:szCs w:val="24"/>
              </w:rPr>
            </w:pPr>
            <w:r w:rsidRPr="00761653">
              <w:rPr>
                <w:szCs w:val="24"/>
              </w:rPr>
              <w:t>Азтреонам</w:t>
            </w:r>
          </w:p>
        </w:tc>
        <w:tc>
          <w:tcPr>
            <w:tcW w:w="6520" w:type="dxa"/>
          </w:tcPr>
          <w:p w14:paraId="6AC778FC" w14:textId="77777777" w:rsidR="00223824" w:rsidRPr="00761653" w:rsidRDefault="00223824" w:rsidP="00CD5E09">
            <w:pPr>
              <w:ind w:left="57" w:right="57"/>
              <w:rPr>
                <w:szCs w:val="24"/>
              </w:rPr>
            </w:pPr>
            <w:r w:rsidRPr="00761653">
              <w:rPr>
                <w:szCs w:val="24"/>
              </w:rPr>
              <w:t>2 г каждые 8 часов</w:t>
            </w:r>
          </w:p>
        </w:tc>
      </w:tr>
    </w:tbl>
    <w:p w14:paraId="26F58F9B" w14:textId="77777777" w:rsidR="00223824" w:rsidRDefault="00223824" w:rsidP="00223824">
      <w:pPr>
        <w:tabs>
          <w:tab w:val="left" w:pos="1134"/>
        </w:tabs>
        <w:ind w:right="49"/>
        <w:contextualSpacing/>
        <w:rPr>
          <w:bCs/>
          <w:i/>
          <w:u w:val="single"/>
        </w:rPr>
      </w:pPr>
    </w:p>
    <w:p w14:paraId="3592F864" w14:textId="254029A8" w:rsidR="00223824" w:rsidRPr="00284D51" w:rsidRDefault="00F60A18" w:rsidP="00223824">
      <w:pPr>
        <w:tabs>
          <w:tab w:val="left" w:pos="1134"/>
        </w:tabs>
        <w:ind w:right="49"/>
        <w:contextualSpacing/>
        <w:rPr>
          <w:bCs/>
        </w:rPr>
      </w:pPr>
      <w:r>
        <w:rPr>
          <w:bCs/>
          <w:i/>
        </w:rPr>
        <w:tab/>
      </w:r>
      <w:r w:rsidR="00223824" w:rsidRPr="00284D51">
        <w:rPr>
          <w:bCs/>
          <w:i/>
        </w:rPr>
        <w:t>Pseudomonas aeruginosa</w:t>
      </w:r>
    </w:p>
    <w:p w14:paraId="624FD374" w14:textId="298AD578" w:rsidR="00223824" w:rsidRPr="00761653" w:rsidRDefault="00F60A18" w:rsidP="00223824">
      <w:pPr>
        <w:tabs>
          <w:tab w:val="left" w:pos="1134"/>
        </w:tabs>
        <w:ind w:right="49"/>
        <w:contextualSpacing/>
      </w:pPr>
      <w:r>
        <w:tab/>
      </w:r>
      <w:r w:rsidR="00223824" w:rsidRPr="00761653">
        <w:t xml:space="preserve">Выбор антибиотиков проводится согласно чувствительности выделенных штаммов. Лечение проводят сочетанием антибиотиков. При инфекциях кровотока, вызванных </w:t>
      </w:r>
      <w:r w:rsidR="00223824" w:rsidRPr="00761653">
        <w:rPr>
          <w:i/>
        </w:rPr>
        <w:t>P. aeruginosa,</w:t>
      </w:r>
      <w:r w:rsidR="00223824" w:rsidRPr="00761653">
        <w:t xml:space="preserve"> часто наблюдается диссеминация в легких, и в этих случаях необходимо использовать антибиотики, для которых характерна высокая концентрация в легких. Такими параметрами обладает цефтолозан-тазобактам, который активен против карбапенем-резистентных </w:t>
      </w:r>
      <w:r w:rsidR="00223824" w:rsidRPr="00761653">
        <w:rPr>
          <w:i/>
        </w:rPr>
        <w:t>P. aeruginosa</w:t>
      </w:r>
      <w:r w:rsidR="00223824" w:rsidRPr="00761653">
        <w:t xml:space="preserve"> без продукции карбапенемаз</w:t>
      </w:r>
      <w:r w:rsidR="00223824">
        <w:t xml:space="preserve"> </w:t>
      </w:r>
      <w:r w:rsidR="00223824">
        <w:fldChar w:fldCharType="begin" w:fldLock="1"/>
      </w:r>
      <w:r w:rsidR="00A67ED2">
        <w:instrText>ADDIN CSL_CITATION {"citationItems":[{"id":"ITEM-1","itemData":{"DOI":"10.1016/S1473-3099(19)30403-7","ISSN":"14744457","PMID":"31563344","abstract":"Background: Nosocomial pneumonia due to antimicrobial-resistant pathogens is associated with high mortality. We assessed the efficacy and safety of the combination antibacterial drug ceftolozane–tazobactam versus meropenem for treatment of Gram-negative nosocomial pneumonia. Methods: We conducted a randomised, controlled, double-blind, non-inferiority trial at 263 hospitals in 34 countries. Eligible patients were aged 18 years or older, were undergoing mechanical ventilation, and had nosocomial pneumonia (either ventilator-associated pneumonia or ventilated hospital-acquired pneumonia). Patients were randomly assigned (1:1) with block randomisation (block size four), stratified by type of nosocomial pneumonia and age (&lt;65 years vs ≥65 years), to receive either 3 g ceftolozane–tazobactam or 1 g meropenem intravenously every 8 h for 8–14 days. The primary endpoint was 28-day all-cause mortality (at a 10% non-inferiority margin). The key secondary endpoint was clinical response at the test-of-cure visit (7–14 days after the end of therapy; 12·5% non-inferiority margin). Both endpoints were assessed in the intention-to-treat population. Investigators, study staff, patients, and patients' representatives were masked to treatment assignment. Safety was assessed in all randomly assigned patients who received study treatment. This trial was registered with ClinicalTrials.gov, NCT02070757. Findings: Between Jan 16, 2015, and April 27, 2018, 726 patients were enrolled and randomly assigned, 362 to the ceftolozane–tazobactam group and 364 to the meropenem group. Overall, 519 (71%) patients had ventilator-associated pneumonia, 239 (33%) had Acute Physiology and Chronic Health Evaluation II scores of at least 20, and 668 (92%) were in the intensive care unit. At 28 days, 87 (24·0%) patients in the ceftolozane–tazobactam group and 92 (25·3%) in the meropenem group had died (weighted treatment difference 1·1% [95% CI −5·1 to 7·4]). At the test-of-cure visit 197 (54%) patients in the ceftolozane–tazobactam group and 194 (53%) in the meropenem group were clinically cured (weighted treatment difference 1·1% [95% CI −6·2 to 8·3]). Ceftolozane–tazobactam was thus non-inferior to meropenem in terms of both 28-day all-cause mortality and clinical cure at test of cure. Treatment-related adverse events occurred in 38 (11%) of 361 patients in the ceftolozane–tazobactam group and 27 (8%) of 359 in the meropenem group. Eight (2%) patients in the ceftolozane–tazobactam group and t…","author":[{"dropping-particle":"","family":"Kollef","given":"Marin H.","non-dropping-particle":"","parse-names":false,"suffix":""},{"dropping-particle":"","family":"Nováček","given":"Martin","non-dropping-particle":"","parse-names":false,"suffix":""},{"dropping-particle":"","family":"Kivistik","given":"Ülo","non-dropping-particle":"","parse-names":false,"suffix":""},{"dropping-particle":"","family":"Réa-Neto","given":"Álvaro","non-dropping-particle":"","parse-names":false,"suffix":""},{"dropping-particle":"","family":"Shime","given":"Nobuaki","non-dropping-particle":"","parse-names":false,"suffix":""},{"dropping-particle":"","family":"Martin-Loeches","given":"Ignacio","non-dropping-particle":"","parse-names":false,"suffix":""},{"dropping-particle":"","family":"Timsit","given":"Jean François","non-dropping-particle":"","parse-names":false,"suffix":""},{"dropping-particle":"","family":"Wunderink","given":"Richard G.","non-dropping-particle":"","parse-names":false,"suffix":""},{"dropping-particle":"","family":"Bruno","given":"Christopher J.","non-dropping-particle":"","parse-names":false,"suffix":""},{"dropping-particle":"","family":"Huntington","given":"Jennifer A.","non-dropping-particle":"","parse-names":false,"suffix":""},{"dropping-particle":"","family":"Lin","given":"Gina","non-dropping-particle":"","parse-names":false,"suffix":""},{"dropping-particle":"","family":"Yu","given":"Brian","non-dropping-particle":"","parse-names":false,"suffix":""},{"dropping-particle":"","family":"Butterton","given":"Joan R.","non-dropping-particle":"","parse-names":false,"suffix":""},{"dropping-particle":"","family":"Rhee","given":"Elizabeth G.","non-dropping-particle":"","parse-names":false,"suffix":""}],"container-title":"The Lancet Infectious Diseases","id":"ITEM-1","issue":"12","issued":{"date-parts":[["2019","12","1"]]},"page":"1299-1311","publisher":"Lancet Publishing Group","title":"Ceftolozane–tazobactam versus meropenem for treatment of nosocomial pneumonia (ASPECT-NP): a randomised, controlled, double-blind, phase 3, non-inferiority trial","type":"article-journal","volume":"19"},"uris":["http://www.mendeley.com/documents/?uuid=779e70f2-916f-3769-b6db-f94034eaa2bf"]}],"mendeley":{"formattedCitation":"[126]","plainTextFormattedCitation":"[126]","previouslyFormattedCitation":"[6]"},"properties":{"noteIndex":0},"schema":"https://github.com/citation-style-language/schema/raw/master/csl-citation.json"}</w:instrText>
      </w:r>
      <w:r w:rsidR="00223824">
        <w:fldChar w:fldCharType="separate"/>
      </w:r>
      <w:r w:rsidR="00A67ED2" w:rsidRPr="00A67ED2">
        <w:rPr>
          <w:noProof/>
        </w:rPr>
        <w:t>[126]</w:t>
      </w:r>
      <w:r w:rsidR="00223824">
        <w:fldChar w:fldCharType="end"/>
      </w:r>
      <w:r w:rsidR="00223824" w:rsidRPr="00761653">
        <w:t>. Препараты для лечения представлены в табл</w:t>
      </w:r>
      <w:r w:rsidR="00223824">
        <w:t>ице 3.</w:t>
      </w:r>
      <w:r w:rsidR="00223824" w:rsidRPr="00761653">
        <w:t xml:space="preserve"> </w:t>
      </w:r>
    </w:p>
    <w:p w14:paraId="2B6FF770" w14:textId="77777777" w:rsidR="00223824" w:rsidRDefault="00223824" w:rsidP="00223824">
      <w:pPr>
        <w:ind w:hanging="142"/>
      </w:pPr>
    </w:p>
    <w:p w14:paraId="0174458E" w14:textId="77777777" w:rsidR="00223824" w:rsidRPr="00761653" w:rsidRDefault="00223824" w:rsidP="00223824">
      <w:pPr>
        <w:ind w:hanging="142"/>
      </w:pPr>
      <w:r w:rsidRPr="00761653">
        <w:t xml:space="preserve">Таблица 3. Лечение инфекций, вызванных </w:t>
      </w:r>
      <w:r w:rsidRPr="00761653">
        <w:rPr>
          <w:i/>
        </w:rPr>
        <w:t>Pseudomonas aeruginosa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10"/>
        <w:gridCol w:w="6237"/>
      </w:tblGrid>
      <w:tr w:rsidR="00223824" w:rsidRPr="00761653" w14:paraId="116551D2" w14:textId="77777777" w:rsidTr="00CD5E09">
        <w:tc>
          <w:tcPr>
            <w:tcW w:w="3510" w:type="dxa"/>
            <w:vAlign w:val="center"/>
          </w:tcPr>
          <w:p w14:paraId="649CFF19" w14:textId="77777777" w:rsidR="00223824" w:rsidRPr="00761653" w:rsidRDefault="00223824" w:rsidP="00CD5E09">
            <w:pPr>
              <w:ind w:left="57" w:right="57"/>
              <w:jc w:val="center"/>
              <w:rPr>
                <w:szCs w:val="24"/>
              </w:rPr>
            </w:pPr>
            <w:r w:rsidRPr="00761653">
              <w:rPr>
                <w:szCs w:val="24"/>
              </w:rPr>
              <w:t>Препарат</w:t>
            </w:r>
          </w:p>
        </w:tc>
        <w:tc>
          <w:tcPr>
            <w:tcW w:w="6237" w:type="dxa"/>
            <w:vAlign w:val="center"/>
          </w:tcPr>
          <w:p w14:paraId="75F349DB" w14:textId="77777777" w:rsidR="00223824" w:rsidRPr="00761653" w:rsidRDefault="00223824" w:rsidP="00CD5E09">
            <w:pPr>
              <w:ind w:left="57" w:right="57"/>
              <w:jc w:val="center"/>
              <w:rPr>
                <w:szCs w:val="24"/>
              </w:rPr>
            </w:pPr>
            <w:r w:rsidRPr="00761653">
              <w:rPr>
                <w:szCs w:val="24"/>
              </w:rPr>
              <w:t>Доза</w:t>
            </w:r>
          </w:p>
        </w:tc>
      </w:tr>
      <w:tr w:rsidR="00223824" w:rsidRPr="00265B67" w14:paraId="144301EB" w14:textId="77777777" w:rsidTr="00CD5E09">
        <w:tc>
          <w:tcPr>
            <w:tcW w:w="3510" w:type="dxa"/>
          </w:tcPr>
          <w:p w14:paraId="7700911E" w14:textId="77777777" w:rsidR="00223824" w:rsidRPr="00761653" w:rsidRDefault="00223824" w:rsidP="00CD5E09">
            <w:pPr>
              <w:ind w:left="57" w:right="57"/>
              <w:rPr>
                <w:szCs w:val="24"/>
              </w:rPr>
            </w:pPr>
            <w:r w:rsidRPr="00761653">
              <w:rPr>
                <w:szCs w:val="24"/>
              </w:rPr>
              <w:t>Цефтолозан/тазобактам</w:t>
            </w:r>
          </w:p>
        </w:tc>
        <w:tc>
          <w:tcPr>
            <w:tcW w:w="6237" w:type="dxa"/>
          </w:tcPr>
          <w:p w14:paraId="6BCC3610" w14:textId="77777777" w:rsidR="00223824" w:rsidRPr="00761653" w:rsidRDefault="00223824" w:rsidP="00CD5E09">
            <w:pPr>
              <w:ind w:left="57" w:right="57"/>
              <w:rPr>
                <w:szCs w:val="24"/>
              </w:rPr>
            </w:pPr>
            <w:r w:rsidRPr="00761653">
              <w:rPr>
                <w:szCs w:val="24"/>
              </w:rPr>
              <w:t>1,5 или 3 г каждые 8 часов, инфузия в течение 1 часа (при пневмонии по 3 г х 3 раза)</w:t>
            </w:r>
          </w:p>
        </w:tc>
      </w:tr>
      <w:tr w:rsidR="00223824" w:rsidRPr="00265B67" w14:paraId="27D913E5" w14:textId="77777777" w:rsidTr="00CD5E09">
        <w:tc>
          <w:tcPr>
            <w:tcW w:w="3510" w:type="dxa"/>
          </w:tcPr>
          <w:p w14:paraId="69AD62D2" w14:textId="77777777" w:rsidR="00223824" w:rsidRPr="00761653" w:rsidRDefault="00223824" w:rsidP="00CD5E09">
            <w:pPr>
              <w:ind w:left="57" w:right="57"/>
              <w:rPr>
                <w:szCs w:val="24"/>
              </w:rPr>
            </w:pPr>
            <w:r w:rsidRPr="00761653">
              <w:rPr>
                <w:szCs w:val="24"/>
              </w:rPr>
              <w:t>Цефтазидим</w:t>
            </w:r>
          </w:p>
        </w:tc>
        <w:tc>
          <w:tcPr>
            <w:tcW w:w="6237" w:type="dxa"/>
          </w:tcPr>
          <w:p w14:paraId="3BB4F2F2" w14:textId="77777777" w:rsidR="00223824" w:rsidRPr="00761653" w:rsidRDefault="00223824" w:rsidP="00CD5E09">
            <w:pPr>
              <w:ind w:left="57" w:right="57"/>
              <w:rPr>
                <w:szCs w:val="24"/>
              </w:rPr>
            </w:pPr>
            <w:r w:rsidRPr="00761653">
              <w:rPr>
                <w:szCs w:val="24"/>
              </w:rPr>
              <w:t>Нагрузочная доза 1-2 г, затем 6 г/сут, непрерывная инфузии в течение 24 ч</w:t>
            </w:r>
          </w:p>
        </w:tc>
      </w:tr>
      <w:tr w:rsidR="00223824" w:rsidRPr="00975FC1" w14:paraId="31D6EB38" w14:textId="77777777" w:rsidTr="00CD5E09">
        <w:tc>
          <w:tcPr>
            <w:tcW w:w="3510" w:type="dxa"/>
          </w:tcPr>
          <w:p w14:paraId="4DDCF3D5" w14:textId="77777777" w:rsidR="00223824" w:rsidRPr="00761653" w:rsidRDefault="00223824" w:rsidP="00CD5E09">
            <w:pPr>
              <w:ind w:left="57" w:right="57"/>
              <w:rPr>
                <w:szCs w:val="24"/>
              </w:rPr>
            </w:pPr>
            <w:r w:rsidRPr="00761653">
              <w:rPr>
                <w:szCs w:val="24"/>
              </w:rPr>
              <w:t>Цефепим</w:t>
            </w:r>
          </w:p>
        </w:tc>
        <w:tc>
          <w:tcPr>
            <w:tcW w:w="6237" w:type="dxa"/>
          </w:tcPr>
          <w:p w14:paraId="308322B3" w14:textId="77777777" w:rsidR="00223824" w:rsidRPr="00761653" w:rsidRDefault="00223824" w:rsidP="00CD5E09">
            <w:pPr>
              <w:ind w:left="57" w:right="57"/>
              <w:rPr>
                <w:szCs w:val="24"/>
              </w:rPr>
            </w:pPr>
            <w:r w:rsidRPr="00761653">
              <w:rPr>
                <w:szCs w:val="24"/>
              </w:rPr>
              <w:t>Нагрузочная доза 15 мг/кг в течение 30 мин, затем 6 г/сут посредством непрерывной инфузии в течение 24 часов</w:t>
            </w:r>
          </w:p>
        </w:tc>
      </w:tr>
      <w:tr w:rsidR="00223824" w:rsidRPr="00975FC1" w14:paraId="1CB8331E" w14:textId="77777777" w:rsidTr="00CD5E09">
        <w:tc>
          <w:tcPr>
            <w:tcW w:w="3510" w:type="dxa"/>
          </w:tcPr>
          <w:p w14:paraId="1D0A940B" w14:textId="77777777" w:rsidR="00223824" w:rsidRPr="00761653" w:rsidRDefault="00223824" w:rsidP="00CD5E09">
            <w:pPr>
              <w:ind w:left="57" w:right="57"/>
              <w:rPr>
                <w:szCs w:val="24"/>
              </w:rPr>
            </w:pPr>
            <w:r w:rsidRPr="00761653">
              <w:rPr>
                <w:szCs w:val="24"/>
              </w:rPr>
              <w:t>Пиперациллин/тазобактам</w:t>
            </w:r>
          </w:p>
        </w:tc>
        <w:tc>
          <w:tcPr>
            <w:tcW w:w="6237" w:type="dxa"/>
          </w:tcPr>
          <w:p w14:paraId="39DE3586" w14:textId="77777777" w:rsidR="00223824" w:rsidRPr="00761653" w:rsidRDefault="00223824" w:rsidP="00CD5E09">
            <w:pPr>
              <w:ind w:left="57" w:right="57"/>
              <w:rPr>
                <w:szCs w:val="24"/>
              </w:rPr>
            </w:pPr>
            <w:r w:rsidRPr="00761653">
              <w:rPr>
                <w:szCs w:val="24"/>
              </w:rPr>
              <w:t>Нагрузочная доза 2,25 г затем 16,2 г/сут посредством непрерывной инфузии в течение 24 часов</w:t>
            </w:r>
          </w:p>
        </w:tc>
      </w:tr>
      <w:tr w:rsidR="00223824" w:rsidRPr="00975FC1" w14:paraId="4FD41AEE" w14:textId="77777777" w:rsidTr="00CD5E09">
        <w:tc>
          <w:tcPr>
            <w:tcW w:w="3510" w:type="dxa"/>
          </w:tcPr>
          <w:p w14:paraId="618DCCC7" w14:textId="77777777" w:rsidR="00223824" w:rsidRPr="00761653" w:rsidRDefault="00223824" w:rsidP="00CD5E09">
            <w:pPr>
              <w:ind w:left="57" w:right="57"/>
              <w:rPr>
                <w:szCs w:val="24"/>
              </w:rPr>
            </w:pPr>
            <w:r w:rsidRPr="00761653">
              <w:rPr>
                <w:szCs w:val="24"/>
              </w:rPr>
              <w:lastRenderedPageBreak/>
              <w:t>Цефтазидим/авибактам</w:t>
            </w:r>
          </w:p>
        </w:tc>
        <w:tc>
          <w:tcPr>
            <w:tcW w:w="6237" w:type="dxa"/>
          </w:tcPr>
          <w:p w14:paraId="17F5E80E" w14:textId="77777777" w:rsidR="00223824" w:rsidRPr="00761653" w:rsidRDefault="00223824" w:rsidP="00CD5E09">
            <w:pPr>
              <w:ind w:left="57" w:right="57"/>
              <w:rPr>
                <w:szCs w:val="24"/>
              </w:rPr>
            </w:pPr>
            <w:r w:rsidRPr="00761653">
              <w:rPr>
                <w:szCs w:val="24"/>
              </w:rPr>
              <w:t>2,5 г каждые 8 часов, продленная инфузия в течение 2 часов</w:t>
            </w:r>
          </w:p>
        </w:tc>
      </w:tr>
      <w:tr w:rsidR="00223824" w:rsidRPr="00975FC1" w14:paraId="6068C3A5" w14:textId="77777777" w:rsidTr="00CD5E09">
        <w:tc>
          <w:tcPr>
            <w:tcW w:w="3510" w:type="dxa"/>
          </w:tcPr>
          <w:p w14:paraId="1719FEFF" w14:textId="77777777" w:rsidR="00223824" w:rsidRPr="00761653" w:rsidRDefault="00223824" w:rsidP="00CD5E09">
            <w:pPr>
              <w:ind w:left="57" w:right="57"/>
              <w:rPr>
                <w:szCs w:val="24"/>
              </w:rPr>
            </w:pPr>
            <w:r w:rsidRPr="00761653">
              <w:rPr>
                <w:szCs w:val="24"/>
              </w:rPr>
              <w:t>Азтреонам</w:t>
            </w:r>
          </w:p>
        </w:tc>
        <w:tc>
          <w:tcPr>
            <w:tcW w:w="6237" w:type="dxa"/>
          </w:tcPr>
          <w:p w14:paraId="5B582AA4" w14:textId="77777777" w:rsidR="00223824" w:rsidRPr="00761653" w:rsidRDefault="00223824" w:rsidP="00CD5E09">
            <w:pPr>
              <w:ind w:left="57" w:right="57"/>
              <w:rPr>
                <w:szCs w:val="24"/>
              </w:rPr>
            </w:pPr>
            <w:r w:rsidRPr="00761653">
              <w:rPr>
                <w:szCs w:val="24"/>
              </w:rPr>
              <w:t>Нагрузочная доза 1-2 г, затем 6 г/сут посредством непрерывной инфузии в течение 24 часов</w:t>
            </w:r>
          </w:p>
        </w:tc>
      </w:tr>
      <w:tr w:rsidR="00223824" w:rsidRPr="00265B67" w14:paraId="14F1D771" w14:textId="77777777" w:rsidTr="00CD5E09">
        <w:tc>
          <w:tcPr>
            <w:tcW w:w="3510" w:type="dxa"/>
          </w:tcPr>
          <w:p w14:paraId="2E268AA0" w14:textId="77777777" w:rsidR="00223824" w:rsidRPr="00761653" w:rsidRDefault="00223824" w:rsidP="00CD5E09">
            <w:pPr>
              <w:ind w:left="57" w:right="57"/>
              <w:rPr>
                <w:szCs w:val="24"/>
              </w:rPr>
            </w:pPr>
            <w:r w:rsidRPr="00761653">
              <w:rPr>
                <w:szCs w:val="24"/>
              </w:rPr>
              <w:t>Дорипенем</w:t>
            </w:r>
          </w:p>
        </w:tc>
        <w:tc>
          <w:tcPr>
            <w:tcW w:w="6237" w:type="dxa"/>
          </w:tcPr>
          <w:p w14:paraId="17A0F55E" w14:textId="77777777" w:rsidR="00223824" w:rsidRPr="00761653" w:rsidRDefault="00223824" w:rsidP="00CD5E09">
            <w:pPr>
              <w:ind w:left="57" w:right="57"/>
              <w:rPr>
                <w:szCs w:val="24"/>
              </w:rPr>
            </w:pPr>
            <w:r w:rsidRPr="00761653">
              <w:rPr>
                <w:szCs w:val="24"/>
              </w:rPr>
              <w:t>1 г каждые 8 часов, инфузия в течение 4 часов</w:t>
            </w:r>
          </w:p>
        </w:tc>
      </w:tr>
      <w:tr w:rsidR="00223824" w:rsidRPr="00265B67" w14:paraId="5B0CC366" w14:textId="77777777" w:rsidTr="00CD5E09">
        <w:tc>
          <w:tcPr>
            <w:tcW w:w="3510" w:type="dxa"/>
          </w:tcPr>
          <w:p w14:paraId="1CE2B7AF" w14:textId="77777777" w:rsidR="00223824" w:rsidRPr="00761653" w:rsidRDefault="00223824" w:rsidP="00CD5E09">
            <w:pPr>
              <w:ind w:left="57" w:right="57"/>
              <w:rPr>
                <w:szCs w:val="24"/>
              </w:rPr>
            </w:pPr>
            <w:r w:rsidRPr="00761653">
              <w:rPr>
                <w:szCs w:val="24"/>
              </w:rPr>
              <w:t>Меропенем</w:t>
            </w:r>
          </w:p>
        </w:tc>
        <w:tc>
          <w:tcPr>
            <w:tcW w:w="6237" w:type="dxa"/>
          </w:tcPr>
          <w:p w14:paraId="40AD7FCD" w14:textId="77777777" w:rsidR="00223824" w:rsidRPr="00761653" w:rsidRDefault="00223824" w:rsidP="00CD5E09">
            <w:pPr>
              <w:ind w:left="57" w:right="57"/>
              <w:rPr>
                <w:szCs w:val="24"/>
              </w:rPr>
            </w:pPr>
            <w:r w:rsidRPr="00761653">
              <w:rPr>
                <w:szCs w:val="24"/>
              </w:rPr>
              <w:t>Нагрузочная доза 1-2 г, затем по 2 г каждые 8 часов, продленная инфузия в течение 3 часов</w:t>
            </w:r>
          </w:p>
        </w:tc>
      </w:tr>
      <w:tr w:rsidR="00223824" w:rsidRPr="00975FC1" w14:paraId="280E2C49" w14:textId="77777777" w:rsidTr="00CD5E09">
        <w:tc>
          <w:tcPr>
            <w:tcW w:w="3510" w:type="dxa"/>
          </w:tcPr>
          <w:p w14:paraId="13B0F76D" w14:textId="77777777" w:rsidR="00223824" w:rsidRPr="00761653" w:rsidRDefault="00223824" w:rsidP="00CD5E09">
            <w:pPr>
              <w:ind w:left="57" w:right="57"/>
              <w:rPr>
                <w:szCs w:val="24"/>
              </w:rPr>
            </w:pPr>
            <w:r w:rsidRPr="00761653">
              <w:rPr>
                <w:szCs w:val="24"/>
              </w:rPr>
              <w:t>Имипенем</w:t>
            </w:r>
          </w:p>
        </w:tc>
        <w:tc>
          <w:tcPr>
            <w:tcW w:w="6237" w:type="dxa"/>
          </w:tcPr>
          <w:p w14:paraId="0710BC23" w14:textId="77777777" w:rsidR="00223824" w:rsidRPr="00761653" w:rsidRDefault="00223824" w:rsidP="00CD5E09">
            <w:pPr>
              <w:ind w:left="57" w:right="57"/>
              <w:rPr>
                <w:szCs w:val="24"/>
              </w:rPr>
            </w:pPr>
            <w:r w:rsidRPr="00761653">
              <w:rPr>
                <w:szCs w:val="24"/>
              </w:rPr>
              <w:t>1 г каждые 6-8 часов, в/в</w:t>
            </w:r>
          </w:p>
        </w:tc>
      </w:tr>
      <w:tr w:rsidR="00223824" w:rsidRPr="00975FC1" w14:paraId="392EDA19" w14:textId="77777777" w:rsidTr="00CD5E09">
        <w:tc>
          <w:tcPr>
            <w:tcW w:w="3510" w:type="dxa"/>
          </w:tcPr>
          <w:p w14:paraId="42C5AE62" w14:textId="77777777" w:rsidR="00223824" w:rsidRPr="00761653" w:rsidRDefault="00223824" w:rsidP="00CD5E09">
            <w:pPr>
              <w:ind w:left="57" w:right="57"/>
              <w:rPr>
                <w:szCs w:val="24"/>
              </w:rPr>
            </w:pPr>
            <w:r w:rsidRPr="00761653">
              <w:rPr>
                <w:szCs w:val="24"/>
              </w:rPr>
              <w:t>Фосфомицин</w:t>
            </w:r>
          </w:p>
        </w:tc>
        <w:tc>
          <w:tcPr>
            <w:tcW w:w="6237" w:type="dxa"/>
          </w:tcPr>
          <w:p w14:paraId="34BFB27B" w14:textId="77777777" w:rsidR="00223824" w:rsidRPr="00761653" w:rsidRDefault="00223824" w:rsidP="00CD5E09">
            <w:pPr>
              <w:ind w:left="57" w:right="57"/>
              <w:rPr>
                <w:szCs w:val="24"/>
              </w:rPr>
            </w:pPr>
            <w:r w:rsidRPr="00761653">
              <w:rPr>
                <w:szCs w:val="24"/>
              </w:rPr>
              <w:t xml:space="preserve">Нагрузочная доза 2-4 г, затем по 16-24 г посредством непрерывной инфузии в течение 24 часов </w:t>
            </w:r>
          </w:p>
        </w:tc>
      </w:tr>
      <w:tr w:rsidR="00223824" w:rsidRPr="00975FC1" w14:paraId="1AD4861E" w14:textId="77777777" w:rsidTr="00CD5E09">
        <w:tc>
          <w:tcPr>
            <w:tcW w:w="3510" w:type="dxa"/>
          </w:tcPr>
          <w:p w14:paraId="5571BA83" w14:textId="77777777" w:rsidR="00223824" w:rsidRPr="00761653" w:rsidRDefault="00223824" w:rsidP="00CD5E09">
            <w:pPr>
              <w:ind w:left="57" w:right="57"/>
              <w:rPr>
                <w:szCs w:val="24"/>
              </w:rPr>
            </w:pPr>
            <w:r w:rsidRPr="00761653">
              <w:rPr>
                <w:szCs w:val="24"/>
              </w:rPr>
              <w:t>Колистин</w:t>
            </w:r>
          </w:p>
        </w:tc>
        <w:tc>
          <w:tcPr>
            <w:tcW w:w="6237" w:type="dxa"/>
          </w:tcPr>
          <w:p w14:paraId="070D0DBB" w14:textId="77777777" w:rsidR="00223824" w:rsidRPr="00761653" w:rsidRDefault="00223824" w:rsidP="00CD5E09">
            <w:pPr>
              <w:ind w:left="57" w:right="57"/>
              <w:rPr>
                <w:szCs w:val="24"/>
              </w:rPr>
            </w:pPr>
            <w:r w:rsidRPr="00761653">
              <w:rPr>
                <w:szCs w:val="24"/>
              </w:rPr>
              <w:t>Нагрузочная доза 6-9 млн МЕ, затем по 4,5 млн МЕ каждые 12 часов</w:t>
            </w:r>
          </w:p>
        </w:tc>
      </w:tr>
      <w:tr w:rsidR="00223824" w:rsidRPr="00265B67" w14:paraId="2AAB378B" w14:textId="77777777" w:rsidTr="00CD5E09">
        <w:tc>
          <w:tcPr>
            <w:tcW w:w="3510" w:type="dxa"/>
          </w:tcPr>
          <w:p w14:paraId="6629F5CD" w14:textId="77777777" w:rsidR="00223824" w:rsidRPr="00761653" w:rsidRDefault="00223824" w:rsidP="00CD5E09">
            <w:pPr>
              <w:ind w:left="57" w:right="57"/>
              <w:rPr>
                <w:szCs w:val="24"/>
              </w:rPr>
            </w:pPr>
            <w:r w:rsidRPr="00761653">
              <w:rPr>
                <w:szCs w:val="24"/>
              </w:rPr>
              <w:t>Полимиксин В</w:t>
            </w:r>
          </w:p>
        </w:tc>
        <w:tc>
          <w:tcPr>
            <w:tcW w:w="6237" w:type="dxa"/>
          </w:tcPr>
          <w:p w14:paraId="72C7AF8F" w14:textId="77777777" w:rsidR="00223824" w:rsidRPr="00761653" w:rsidRDefault="00223824" w:rsidP="00CD5E09">
            <w:pPr>
              <w:ind w:left="57" w:right="57"/>
              <w:rPr>
                <w:szCs w:val="24"/>
              </w:rPr>
            </w:pPr>
            <w:r w:rsidRPr="00761653">
              <w:rPr>
                <w:szCs w:val="24"/>
              </w:rPr>
              <w:t xml:space="preserve">Нагрузочная доза 2-2,5 мг/кг, инфузия в течение 2 часов, далее по </w:t>
            </w:r>
          </w:p>
          <w:p w14:paraId="71A6E4FA" w14:textId="77777777" w:rsidR="00223824" w:rsidRPr="00761653" w:rsidRDefault="00223824" w:rsidP="00CD5E09">
            <w:pPr>
              <w:ind w:left="57" w:right="57"/>
              <w:rPr>
                <w:szCs w:val="24"/>
              </w:rPr>
            </w:pPr>
            <w:r w:rsidRPr="00761653">
              <w:rPr>
                <w:szCs w:val="24"/>
              </w:rPr>
              <w:t>1,25-1,5 мг/кг каждые 12 часов, инфузия в течение 1 часа</w:t>
            </w:r>
          </w:p>
        </w:tc>
      </w:tr>
      <w:tr w:rsidR="00223824" w:rsidRPr="00265B67" w14:paraId="30D957E4" w14:textId="77777777" w:rsidTr="00CD5E09">
        <w:tc>
          <w:tcPr>
            <w:tcW w:w="3510" w:type="dxa"/>
          </w:tcPr>
          <w:p w14:paraId="057E988E" w14:textId="77777777" w:rsidR="00223824" w:rsidRPr="00761653" w:rsidRDefault="00223824" w:rsidP="00CD5E09">
            <w:pPr>
              <w:ind w:left="57" w:right="57"/>
              <w:rPr>
                <w:szCs w:val="24"/>
              </w:rPr>
            </w:pPr>
            <w:r w:rsidRPr="00761653">
              <w:rPr>
                <w:szCs w:val="24"/>
              </w:rPr>
              <w:t>Ципрофлоксацин</w:t>
            </w:r>
          </w:p>
        </w:tc>
        <w:tc>
          <w:tcPr>
            <w:tcW w:w="6237" w:type="dxa"/>
          </w:tcPr>
          <w:p w14:paraId="64AF36E2" w14:textId="77777777" w:rsidR="00223824" w:rsidRPr="00761653" w:rsidRDefault="00223824" w:rsidP="00CD5E09">
            <w:pPr>
              <w:ind w:left="57" w:right="57"/>
              <w:rPr>
                <w:szCs w:val="24"/>
              </w:rPr>
            </w:pPr>
            <w:r w:rsidRPr="00761653">
              <w:rPr>
                <w:szCs w:val="24"/>
              </w:rPr>
              <w:t>400 мг каждые 8 часов, инфузия в течение 30-60 минут</w:t>
            </w:r>
          </w:p>
        </w:tc>
      </w:tr>
      <w:tr w:rsidR="00223824" w:rsidRPr="00265B67" w14:paraId="0CF35695" w14:textId="77777777" w:rsidTr="00CD5E09">
        <w:tc>
          <w:tcPr>
            <w:tcW w:w="3510" w:type="dxa"/>
          </w:tcPr>
          <w:p w14:paraId="1D0D8CDD" w14:textId="77777777" w:rsidR="00223824" w:rsidRPr="00761653" w:rsidRDefault="00223824" w:rsidP="00CD5E09">
            <w:pPr>
              <w:ind w:left="57" w:right="57"/>
              <w:rPr>
                <w:szCs w:val="24"/>
              </w:rPr>
            </w:pPr>
            <w:r w:rsidRPr="00761653">
              <w:rPr>
                <w:szCs w:val="24"/>
              </w:rPr>
              <w:t>Левофлоксацин</w:t>
            </w:r>
          </w:p>
        </w:tc>
        <w:tc>
          <w:tcPr>
            <w:tcW w:w="6237" w:type="dxa"/>
          </w:tcPr>
          <w:p w14:paraId="2BE1B541" w14:textId="77777777" w:rsidR="00223824" w:rsidRPr="00761653" w:rsidRDefault="00223824" w:rsidP="00CD5E09">
            <w:pPr>
              <w:ind w:left="57" w:right="57"/>
              <w:rPr>
                <w:szCs w:val="24"/>
              </w:rPr>
            </w:pPr>
            <w:r w:rsidRPr="00761653">
              <w:rPr>
                <w:szCs w:val="24"/>
              </w:rPr>
              <w:t>500 мг каждые 12 часов, инфузия в течение 50-60 минут</w:t>
            </w:r>
          </w:p>
        </w:tc>
      </w:tr>
      <w:tr w:rsidR="00223824" w:rsidRPr="00265B67" w14:paraId="3930C0CC" w14:textId="77777777" w:rsidTr="00CD5E09">
        <w:tc>
          <w:tcPr>
            <w:tcW w:w="3510" w:type="dxa"/>
          </w:tcPr>
          <w:p w14:paraId="6E4D4F0B" w14:textId="77777777" w:rsidR="00223824" w:rsidRPr="00761653" w:rsidRDefault="00223824" w:rsidP="00CD5E09">
            <w:pPr>
              <w:ind w:left="57" w:right="57"/>
              <w:rPr>
                <w:szCs w:val="24"/>
              </w:rPr>
            </w:pPr>
            <w:r w:rsidRPr="00761653">
              <w:rPr>
                <w:szCs w:val="24"/>
              </w:rPr>
              <w:t>Тобрамицин</w:t>
            </w:r>
          </w:p>
        </w:tc>
        <w:tc>
          <w:tcPr>
            <w:tcW w:w="6237" w:type="dxa"/>
          </w:tcPr>
          <w:p w14:paraId="26DE4CB0" w14:textId="77777777" w:rsidR="00223824" w:rsidRPr="00761653" w:rsidRDefault="00223824" w:rsidP="00CD5E09">
            <w:pPr>
              <w:ind w:left="57" w:right="57"/>
              <w:rPr>
                <w:szCs w:val="24"/>
              </w:rPr>
            </w:pPr>
            <w:r w:rsidRPr="00761653">
              <w:rPr>
                <w:szCs w:val="24"/>
              </w:rPr>
              <w:t>8 мг/кг 1 раз/сут, инфузия в течение 60 мин</w:t>
            </w:r>
          </w:p>
        </w:tc>
      </w:tr>
      <w:tr w:rsidR="00223824" w:rsidRPr="00265B67" w14:paraId="06B227B7" w14:textId="77777777" w:rsidTr="00CD5E09">
        <w:tc>
          <w:tcPr>
            <w:tcW w:w="3510" w:type="dxa"/>
          </w:tcPr>
          <w:p w14:paraId="1E61292E" w14:textId="77777777" w:rsidR="00223824" w:rsidRPr="00761653" w:rsidRDefault="00223824" w:rsidP="00CD5E09">
            <w:pPr>
              <w:ind w:left="57" w:right="57"/>
              <w:rPr>
                <w:szCs w:val="24"/>
              </w:rPr>
            </w:pPr>
            <w:r w:rsidRPr="00761653">
              <w:rPr>
                <w:szCs w:val="24"/>
              </w:rPr>
              <w:t>Амикацин</w:t>
            </w:r>
          </w:p>
        </w:tc>
        <w:tc>
          <w:tcPr>
            <w:tcW w:w="6237" w:type="dxa"/>
          </w:tcPr>
          <w:p w14:paraId="10757FBD" w14:textId="77777777" w:rsidR="00223824" w:rsidRPr="00761653" w:rsidRDefault="00223824" w:rsidP="00CD5E09">
            <w:pPr>
              <w:ind w:left="57" w:right="57"/>
              <w:rPr>
                <w:szCs w:val="24"/>
              </w:rPr>
            </w:pPr>
            <w:r w:rsidRPr="00761653">
              <w:rPr>
                <w:szCs w:val="24"/>
              </w:rPr>
              <w:t xml:space="preserve">25 мг/кг 1 раз/сут, инфузия в течение 60 минут </w:t>
            </w:r>
          </w:p>
        </w:tc>
      </w:tr>
    </w:tbl>
    <w:p w14:paraId="7BAA57D7" w14:textId="77777777" w:rsidR="00223824" w:rsidRDefault="00223824" w:rsidP="00223824">
      <w:pPr>
        <w:tabs>
          <w:tab w:val="left" w:pos="1134"/>
        </w:tabs>
        <w:ind w:right="49"/>
        <w:contextualSpacing/>
        <w:rPr>
          <w:bCs/>
          <w:i/>
          <w:u w:val="single"/>
        </w:rPr>
      </w:pPr>
    </w:p>
    <w:p w14:paraId="50F8D46E" w14:textId="4E2C225A" w:rsidR="00223824" w:rsidRPr="00284D51" w:rsidRDefault="00F60A18" w:rsidP="00223824">
      <w:pPr>
        <w:tabs>
          <w:tab w:val="left" w:pos="1134"/>
        </w:tabs>
        <w:ind w:right="49"/>
        <w:contextualSpacing/>
        <w:rPr>
          <w:bCs/>
          <w:i/>
        </w:rPr>
      </w:pPr>
      <w:r>
        <w:rPr>
          <w:bCs/>
          <w:i/>
        </w:rPr>
        <w:tab/>
      </w:r>
      <w:r w:rsidR="00223824" w:rsidRPr="00284D51">
        <w:rPr>
          <w:bCs/>
          <w:i/>
        </w:rPr>
        <w:t>Acinetobacter baumannii</w:t>
      </w:r>
    </w:p>
    <w:p w14:paraId="74FA6D94" w14:textId="0E2EB4A9" w:rsidR="00223824" w:rsidRPr="00761653" w:rsidRDefault="00F60A18" w:rsidP="00223824">
      <w:pPr>
        <w:tabs>
          <w:tab w:val="left" w:pos="1134"/>
        </w:tabs>
        <w:ind w:right="49"/>
        <w:contextualSpacing/>
      </w:pPr>
      <w:r>
        <w:tab/>
      </w:r>
      <w:r w:rsidR="00223824" w:rsidRPr="00761653">
        <w:t xml:space="preserve">Характерным является ограничение потенциально активных </w:t>
      </w:r>
      <w:r w:rsidR="00223824" w:rsidRPr="00761653">
        <w:rPr>
          <w:i/>
        </w:rPr>
        <w:t xml:space="preserve">in vitro </w:t>
      </w:r>
      <w:r w:rsidR="00223824" w:rsidRPr="00761653">
        <w:t xml:space="preserve">препаратов, наличие высокой резистентности. Для лечения используют цефоперазон/сульбактам, карбапенем антипсевдомонадный, полимиксин или колистин, тигециклин (дозирование как при инфекции, вызванной </w:t>
      </w:r>
      <w:r w:rsidR="00223824" w:rsidRPr="00761653">
        <w:rPr>
          <w:i/>
        </w:rPr>
        <w:t>P. aeruginosa</w:t>
      </w:r>
      <w:r w:rsidR="00223824" w:rsidRPr="00761653">
        <w:t>).</w:t>
      </w:r>
    </w:p>
    <w:p w14:paraId="464ABD01" w14:textId="30D56254" w:rsidR="00223824" w:rsidRPr="00284D51" w:rsidRDefault="00F60A18" w:rsidP="00223824">
      <w:pPr>
        <w:tabs>
          <w:tab w:val="left" w:pos="1134"/>
        </w:tabs>
        <w:ind w:right="49"/>
        <w:contextualSpacing/>
        <w:rPr>
          <w:bCs/>
        </w:rPr>
      </w:pPr>
      <w:r>
        <w:rPr>
          <w:bCs/>
          <w:i/>
        </w:rPr>
        <w:tab/>
      </w:r>
      <w:r w:rsidR="00223824" w:rsidRPr="00284D51">
        <w:rPr>
          <w:bCs/>
          <w:i/>
        </w:rPr>
        <w:t>Stenotrophomonas maltophilia</w:t>
      </w:r>
    </w:p>
    <w:p w14:paraId="3C419B1E" w14:textId="052A0D6E" w:rsidR="00223824" w:rsidRPr="00761653" w:rsidRDefault="00F60A18" w:rsidP="00223824">
      <w:pPr>
        <w:tabs>
          <w:tab w:val="left" w:pos="1134"/>
        </w:tabs>
        <w:ind w:right="49"/>
        <w:contextualSpacing/>
      </w:pPr>
      <w:r>
        <w:tab/>
      </w:r>
      <w:r w:rsidR="00223824" w:rsidRPr="00761653">
        <w:t>Препарат выбора – триметоприм/сульфаметоксазол, расчет дозы проводят по триметоприму 15 мг/кг/сутки.</w:t>
      </w:r>
    </w:p>
    <w:p w14:paraId="3BE899E0" w14:textId="77777777" w:rsidR="00223824" w:rsidRDefault="00223824" w:rsidP="00223824">
      <w:pPr>
        <w:tabs>
          <w:tab w:val="left" w:pos="317"/>
          <w:tab w:val="left" w:pos="8715"/>
        </w:tabs>
        <w:ind w:right="49"/>
        <w:contextualSpacing/>
        <w:rPr>
          <w:b/>
        </w:rPr>
      </w:pPr>
    </w:p>
    <w:p w14:paraId="65640741" w14:textId="77777777" w:rsidR="00223824" w:rsidRPr="00761653" w:rsidRDefault="00223824" w:rsidP="00223824">
      <w:pPr>
        <w:tabs>
          <w:tab w:val="left" w:pos="317"/>
          <w:tab w:val="left" w:pos="8715"/>
        </w:tabs>
        <w:ind w:right="49"/>
        <w:contextualSpacing/>
        <w:rPr>
          <w:b/>
          <w:iCs/>
        </w:rPr>
      </w:pPr>
      <w:r w:rsidRPr="00761653">
        <w:rPr>
          <w:b/>
        </w:rPr>
        <w:t>Грамположительные возбудители</w:t>
      </w:r>
    </w:p>
    <w:p w14:paraId="4977437F" w14:textId="5273DE1E" w:rsidR="00223824" w:rsidRPr="00284D51" w:rsidRDefault="00F60A18" w:rsidP="00223824">
      <w:pPr>
        <w:tabs>
          <w:tab w:val="left" w:pos="317"/>
          <w:tab w:val="left" w:pos="8715"/>
        </w:tabs>
        <w:ind w:right="49"/>
        <w:contextualSpacing/>
        <w:rPr>
          <w:i/>
          <w:iCs/>
        </w:rPr>
      </w:pPr>
      <w:r>
        <w:rPr>
          <w:i/>
          <w:iCs/>
        </w:rPr>
        <w:tab/>
      </w:r>
      <w:r w:rsidR="00223824" w:rsidRPr="00284D51">
        <w:rPr>
          <w:i/>
          <w:iCs/>
        </w:rPr>
        <w:t>Коагулазонегативные стафилококки</w:t>
      </w:r>
    </w:p>
    <w:p w14:paraId="7F6534C7" w14:textId="14BBF9B7" w:rsidR="00223824" w:rsidRPr="00761653" w:rsidRDefault="00F60A18" w:rsidP="00223824">
      <w:pPr>
        <w:tabs>
          <w:tab w:val="left" w:pos="317"/>
          <w:tab w:val="left" w:pos="8715"/>
        </w:tabs>
        <w:ind w:right="49"/>
        <w:contextualSpacing/>
        <w:rPr>
          <w:bCs/>
        </w:rPr>
      </w:pPr>
      <w:r>
        <w:rPr>
          <w:bCs/>
        </w:rPr>
        <w:tab/>
        <w:t>Яв</w:t>
      </w:r>
      <w:r w:rsidR="00223824" w:rsidRPr="00761653">
        <w:rPr>
          <w:bCs/>
        </w:rPr>
        <w:t>л</w:t>
      </w:r>
      <w:r>
        <w:rPr>
          <w:bCs/>
        </w:rPr>
        <w:t>я</w:t>
      </w:r>
      <w:r w:rsidR="00223824" w:rsidRPr="00761653">
        <w:rPr>
          <w:bCs/>
        </w:rPr>
        <w:t>ются причиной бактериемий (2</w:t>
      </w:r>
      <w:r w:rsidR="00223824">
        <w:rPr>
          <w:bCs/>
        </w:rPr>
        <w:t>-</w:t>
      </w:r>
      <w:r w:rsidR="00223824" w:rsidRPr="00761653">
        <w:rPr>
          <w:bCs/>
        </w:rPr>
        <w:t xml:space="preserve">е место) и катетер-ассоциированных инфекций. Подтверждают инфекцию двумя положительными гемокультурами. Около 80% штаммов устойчивые к оксациллину. Препарат выбора для лечения – ванкомицин. </w:t>
      </w:r>
    </w:p>
    <w:p w14:paraId="68A6A7BB" w14:textId="0A67B0FC" w:rsidR="00223824" w:rsidRPr="00284D51" w:rsidRDefault="00F60A18" w:rsidP="00223824">
      <w:pPr>
        <w:tabs>
          <w:tab w:val="left" w:pos="317"/>
          <w:tab w:val="left" w:pos="8715"/>
        </w:tabs>
        <w:ind w:right="49"/>
        <w:contextualSpacing/>
      </w:pPr>
      <w:r>
        <w:rPr>
          <w:i/>
        </w:rPr>
        <w:lastRenderedPageBreak/>
        <w:tab/>
      </w:r>
      <w:r w:rsidR="00223824" w:rsidRPr="00284D51">
        <w:rPr>
          <w:i/>
        </w:rPr>
        <w:t>Enterococcus</w:t>
      </w:r>
      <w:r w:rsidR="00223824" w:rsidRPr="00284D51">
        <w:t xml:space="preserve"> spp. </w:t>
      </w:r>
    </w:p>
    <w:p w14:paraId="5C7DB16F" w14:textId="46FD5C4F" w:rsidR="00223824" w:rsidRPr="00761653" w:rsidRDefault="00F60A18" w:rsidP="00223824">
      <w:pPr>
        <w:tabs>
          <w:tab w:val="left" w:pos="317"/>
          <w:tab w:val="left" w:pos="8715"/>
        </w:tabs>
        <w:ind w:right="49"/>
        <w:contextualSpacing/>
        <w:rPr>
          <w:bCs/>
        </w:rPr>
      </w:pPr>
      <w:r>
        <w:rPr>
          <w:bCs/>
        </w:rPr>
        <w:tab/>
      </w:r>
      <w:r w:rsidR="00223824">
        <w:rPr>
          <w:bCs/>
        </w:rPr>
        <w:t xml:space="preserve">У гематологических пациентов в основном вызывают </w:t>
      </w:r>
      <w:r w:rsidR="00223824" w:rsidRPr="00761653">
        <w:rPr>
          <w:bCs/>
        </w:rPr>
        <w:t xml:space="preserve">инфекции кровотока, далее следуют инфекции мочевыводящих путей, редко – эндокардиты. Штаммы </w:t>
      </w:r>
      <w:r w:rsidR="00223824" w:rsidRPr="00761653">
        <w:rPr>
          <w:bCs/>
          <w:i/>
        </w:rPr>
        <w:t>E. faecium</w:t>
      </w:r>
      <w:r w:rsidR="00223824" w:rsidRPr="00761653">
        <w:rPr>
          <w:bCs/>
        </w:rPr>
        <w:t xml:space="preserve"> (70%) преобладают над E</w:t>
      </w:r>
      <w:r w:rsidR="00223824" w:rsidRPr="00761653">
        <w:rPr>
          <w:bCs/>
          <w:i/>
        </w:rPr>
        <w:t>. faecalis</w:t>
      </w:r>
      <w:r w:rsidR="00223824" w:rsidRPr="00761653">
        <w:rPr>
          <w:bCs/>
        </w:rPr>
        <w:t xml:space="preserve"> (30%). Препарат выбора в лечении инфекций, вызванных E. faecalis - ампициллин (97% чувствительные). Антибиотикорезистентность более высокая среди </w:t>
      </w:r>
      <w:r w:rsidR="00223824" w:rsidRPr="00761653">
        <w:rPr>
          <w:bCs/>
          <w:i/>
        </w:rPr>
        <w:t xml:space="preserve">E. faecium </w:t>
      </w:r>
      <w:r w:rsidR="00223824" w:rsidRPr="00761653">
        <w:rPr>
          <w:bCs/>
        </w:rPr>
        <w:t xml:space="preserve">- около 15% устойчивые к ванкомицину. При выделении ванкомицин-резистентных </w:t>
      </w:r>
      <w:r w:rsidR="00223824" w:rsidRPr="00761653">
        <w:rPr>
          <w:bCs/>
          <w:i/>
        </w:rPr>
        <w:t>E. faecium</w:t>
      </w:r>
      <w:r w:rsidR="00223824" w:rsidRPr="00761653">
        <w:rPr>
          <w:bCs/>
        </w:rPr>
        <w:t xml:space="preserve"> из гемокультуры препаратами выбора являются даптомицин (доза 10-12 мг/кг/сутки), линезолид.</w:t>
      </w:r>
    </w:p>
    <w:p w14:paraId="5D0CDCDE" w14:textId="00CB1559" w:rsidR="00223824" w:rsidRPr="00284D51" w:rsidRDefault="00F60A18" w:rsidP="00223824">
      <w:pPr>
        <w:tabs>
          <w:tab w:val="left" w:pos="317"/>
          <w:tab w:val="left" w:pos="8715"/>
        </w:tabs>
        <w:ind w:right="49"/>
        <w:contextualSpacing/>
        <w:rPr>
          <w:i/>
        </w:rPr>
      </w:pPr>
      <w:r>
        <w:rPr>
          <w:i/>
        </w:rPr>
        <w:tab/>
      </w:r>
      <w:r w:rsidR="00223824" w:rsidRPr="00284D51">
        <w:rPr>
          <w:i/>
        </w:rPr>
        <w:t>Staphylococcus aureus</w:t>
      </w:r>
    </w:p>
    <w:p w14:paraId="51821FEB" w14:textId="09FEB839" w:rsidR="00223824" w:rsidRPr="00761653" w:rsidRDefault="00F60A18" w:rsidP="00223824">
      <w:pPr>
        <w:tabs>
          <w:tab w:val="left" w:pos="317"/>
          <w:tab w:val="left" w:pos="8715"/>
        </w:tabs>
        <w:ind w:right="49"/>
        <w:contextualSpacing/>
        <w:rPr>
          <w:bCs/>
        </w:rPr>
      </w:pPr>
      <w:r>
        <w:rPr>
          <w:bCs/>
        </w:rPr>
        <w:tab/>
      </w:r>
      <w:r w:rsidR="00223824">
        <w:rPr>
          <w:bCs/>
        </w:rPr>
        <w:t xml:space="preserve">У гематологических пациентов могут быть причиной </w:t>
      </w:r>
      <w:r w:rsidR="00223824" w:rsidRPr="00761653">
        <w:rPr>
          <w:bCs/>
        </w:rPr>
        <w:t>инфекции кровотока, пневмонии, инфекции к</w:t>
      </w:r>
      <w:r w:rsidR="00223824">
        <w:rPr>
          <w:bCs/>
        </w:rPr>
        <w:t>ожи и мягких тканей, эндокардита</w:t>
      </w:r>
      <w:r w:rsidR="00223824" w:rsidRPr="00761653">
        <w:rPr>
          <w:bCs/>
        </w:rPr>
        <w:t>. Около 20%-30% штаммов являются устойчивыми к оксациллину. Антибиотики, используемые для лечения указаны в таблице 4. При тяжелом течении инфекции в отдельных случаях сочетают даптомицин с линезолидом. Длительность лечения не менее 2-х недель.</w:t>
      </w:r>
    </w:p>
    <w:p w14:paraId="080F4A19" w14:textId="0BEE21BA" w:rsidR="00223824" w:rsidRPr="00761653" w:rsidRDefault="00F60A18" w:rsidP="00223824">
      <w:pPr>
        <w:tabs>
          <w:tab w:val="left" w:pos="317"/>
          <w:tab w:val="left" w:pos="8715"/>
        </w:tabs>
        <w:ind w:right="49"/>
        <w:contextualSpacing/>
        <w:rPr>
          <w:bCs/>
        </w:rPr>
      </w:pPr>
      <w:r>
        <w:rPr>
          <w:bCs/>
        </w:rPr>
        <w:tab/>
      </w:r>
      <w:r w:rsidR="00223824" w:rsidRPr="00761653">
        <w:rPr>
          <w:bCs/>
        </w:rPr>
        <w:t xml:space="preserve">Другие грамположительные бактерии редко вызывают инфекции, лечение их </w:t>
      </w:r>
      <w:r w:rsidR="00223824">
        <w:rPr>
          <w:bCs/>
        </w:rPr>
        <w:t xml:space="preserve">такое же, </w:t>
      </w:r>
      <w:r w:rsidR="00223824" w:rsidRPr="00761653">
        <w:rPr>
          <w:bCs/>
        </w:rPr>
        <w:t xml:space="preserve">как у других категорий </w:t>
      </w:r>
      <w:r w:rsidR="00223824">
        <w:rPr>
          <w:bCs/>
        </w:rPr>
        <w:t>пациентов.</w:t>
      </w:r>
    </w:p>
    <w:p w14:paraId="4D9A5EBF" w14:textId="77777777" w:rsidR="00223824" w:rsidRDefault="00223824" w:rsidP="00223824">
      <w:pPr>
        <w:ind w:hanging="142"/>
      </w:pPr>
    </w:p>
    <w:p w14:paraId="3631B209" w14:textId="77777777" w:rsidR="00223824" w:rsidRPr="00761653" w:rsidRDefault="00223824" w:rsidP="00223824">
      <w:pPr>
        <w:ind w:hanging="142"/>
        <w:rPr>
          <w:i/>
        </w:rPr>
      </w:pPr>
      <w:r w:rsidRPr="00761653">
        <w:t xml:space="preserve">Таблица 4. Лечение инфекций, вызванных </w:t>
      </w:r>
      <w:r w:rsidRPr="00761653">
        <w:rPr>
          <w:i/>
        </w:rPr>
        <w:t xml:space="preserve">Staphylococcus aureus </w:t>
      </w:r>
      <w:r w:rsidRPr="00761653">
        <w:t>и</w:t>
      </w:r>
      <w:r w:rsidRPr="00761653">
        <w:rPr>
          <w:i/>
        </w:rPr>
        <w:t xml:space="preserve"> Enterococcus faecium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2835"/>
        <w:gridCol w:w="4395"/>
      </w:tblGrid>
      <w:tr w:rsidR="00223824" w:rsidRPr="00761653" w14:paraId="49DACCAB" w14:textId="77777777" w:rsidTr="00CD5E09">
        <w:tc>
          <w:tcPr>
            <w:tcW w:w="2376" w:type="dxa"/>
            <w:vAlign w:val="center"/>
          </w:tcPr>
          <w:p w14:paraId="2B87C548" w14:textId="77777777" w:rsidR="00223824" w:rsidRPr="00761653" w:rsidRDefault="00223824" w:rsidP="00CD5E09">
            <w:pPr>
              <w:spacing w:line="240" w:lineRule="auto"/>
              <w:ind w:left="57" w:right="57"/>
              <w:jc w:val="center"/>
              <w:rPr>
                <w:szCs w:val="24"/>
              </w:rPr>
            </w:pPr>
            <w:r w:rsidRPr="00761653">
              <w:rPr>
                <w:szCs w:val="24"/>
              </w:rPr>
              <w:t>Микроорганизм</w:t>
            </w:r>
          </w:p>
        </w:tc>
        <w:tc>
          <w:tcPr>
            <w:tcW w:w="2835" w:type="dxa"/>
            <w:vAlign w:val="center"/>
          </w:tcPr>
          <w:p w14:paraId="12A835F9" w14:textId="77777777" w:rsidR="00223824" w:rsidRPr="00761653" w:rsidRDefault="00223824" w:rsidP="00CD5E09">
            <w:pPr>
              <w:spacing w:line="240" w:lineRule="auto"/>
              <w:ind w:left="57" w:right="57"/>
              <w:jc w:val="center"/>
              <w:rPr>
                <w:szCs w:val="24"/>
              </w:rPr>
            </w:pPr>
            <w:r w:rsidRPr="00761653">
              <w:rPr>
                <w:szCs w:val="24"/>
              </w:rPr>
              <w:t>Препарат</w:t>
            </w:r>
          </w:p>
        </w:tc>
        <w:tc>
          <w:tcPr>
            <w:tcW w:w="4395" w:type="dxa"/>
            <w:vAlign w:val="center"/>
          </w:tcPr>
          <w:p w14:paraId="5A2B4AA0" w14:textId="77777777" w:rsidR="00223824" w:rsidRPr="00761653" w:rsidRDefault="00223824" w:rsidP="00CD5E09">
            <w:pPr>
              <w:spacing w:line="240" w:lineRule="auto"/>
              <w:ind w:left="57" w:right="57"/>
              <w:jc w:val="center"/>
              <w:rPr>
                <w:szCs w:val="24"/>
              </w:rPr>
            </w:pPr>
            <w:r w:rsidRPr="00761653">
              <w:rPr>
                <w:szCs w:val="24"/>
              </w:rPr>
              <w:t>Доза</w:t>
            </w:r>
          </w:p>
        </w:tc>
      </w:tr>
      <w:tr w:rsidR="00223824" w:rsidRPr="00975FC1" w14:paraId="25D82728" w14:textId="77777777" w:rsidTr="00CD5E09">
        <w:tc>
          <w:tcPr>
            <w:tcW w:w="2376" w:type="dxa"/>
            <w:vMerge w:val="restart"/>
          </w:tcPr>
          <w:p w14:paraId="69EA8F37" w14:textId="4C3B92FA" w:rsidR="00223824" w:rsidRPr="00761653" w:rsidRDefault="001647AE" w:rsidP="00CD5E09">
            <w:pPr>
              <w:spacing w:line="240" w:lineRule="auto"/>
              <w:ind w:left="57" w:right="57"/>
              <w:rPr>
                <w:szCs w:val="24"/>
                <w:highlight w:val="green"/>
              </w:rPr>
            </w:pPr>
            <w:r>
              <w:rPr>
                <w:i/>
                <w:szCs w:val="24"/>
              </w:rPr>
              <w:t>S.</w:t>
            </w:r>
            <w:r w:rsidR="00223824" w:rsidRPr="00761653">
              <w:rPr>
                <w:i/>
                <w:szCs w:val="24"/>
              </w:rPr>
              <w:t>aureus</w:t>
            </w:r>
            <w:r w:rsidR="00223824" w:rsidRPr="00761653">
              <w:rPr>
                <w:szCs w:val="24"/>
              </w:rPr>
              <w:t>, чувствительные к оксациллину</w:t>
            </w:r>
          </w:p>
        </w:tc>
        <w:tc>
          <w:tcPr>
            <w:tcW w:w="2835" w:type="dxa"/>
          </w:tcPr>
          <w:p w14:paraId="66851BAD" w14:textId="77777777" w:rsidR="00223824" w:rsidRPr="00761653" w:rsidRDefault="00223824" w:rsidP="00CD5E09">
            <w:pPr>
              <w:spacing w:line="240" w:lineRule="auto"/>
              <w:ind w:left="57" w:right="57"/>
              <w:rPr>
                <w:szCs w:val="24"/>
              </w:rPr>
            </w:pPr>
            <w:r w:rsidRPr="00761653">
              <w:rPr>
                <w:szCs w:val="24"/>
              </w:rPr>
              <w:t>Оксациллин</w:t>
            </w:r>
          </w:p>
        </w:tc>
        <w:tc>
          <w:tcPr>
            <w:tcW w:w="4395" w:type="dxa"/>
          </w:tcPr>
          <w:p w14:paraId="1B83AEDD" w14:textId="77777777" w:rsidR="00223824" w:rsidRPr="00761653" w:rsidRDefault="00223824" w:rsidP="00CD5E09">
            <w:pPr>
              <w:spacing w:line="240" w:lineRule="auto"/>
              <w:ind w:left="57" w:right="57"/>
              <w:rPr>
                <w:szCs w:val="24"/>
              </w:rPr>
            </w:pPr>
            <w:r w:rsidRPr="00761653">
              <w:rPr>
                <w:szCs w:val="24"/>
              </w:rPr>
              <w:t>1-2 г каждые 4 часа, в/в</w:t>
            </w:r>
          </w:p>
        </w:tc>
      </w:tr>
      <w:tr w:rsidR="00223824" w:rsidRPr="00975FC1" w14:paraId="6BF29981" w14:textId="77777777" w:rsidTr="00CD5E09">
        <w:tc>
          <w:tcPr>
            <w:tcW w:w="2376" w:type="dxa"/>
            <w:vMerge/>
          </w:tcPr>
          <w:p w14:paraId="7062FF52" w14:textId="77777777" w:rsidR="00223824" w:rsidRPr="00761653" w:rsidRDefault="00223824" w:rsidP="00CD5E09">
            <w:pPr>
              <w:spacing w:line="240" w:lineRule="auto"/>
              <w:ind w:left="57" w:right="57"/>
              <w:rPr>
                <w:szCs w:val="24"/>
              </w:rPr>
            </w:pPr>
          </w:p>
        </w:tc>
        <w:tc>
          <w:tcPr>
            <w:tcW w:w="2835" w:type="dxa"/>
          </w:tcPr>
          <w:p w14:paraId="20E9EC2B" w14:textId="77777777" w:rsidR="00223824" w:rsidRPr="00761653" w:rsidRDefault="00223824" w:rsidP="00CD5E09">
            <w:pPr>
              <w:spacing w:line="240" w:lineRule="auto"/>
              <w:ind w:left="57" w:right="57"/>
              <w:rPr>
                <w:szCs w:val="24"/>
              </w:rPr>
            </w:pPr>
            <w:r w:rsidRPr="00761653">
              <w:rPr>
                <w:szCs w:val="24"/>
              </w:rPr>
              <w:t>Цефазолин</w:t>
            </w:r>
          </w:p>
        </w:tc>
        <w:tc>
          <w:tcPr>
            <w:tcW w:w="4395" w:type="dxa"/>
          </w:tcPr>
          <w:p w14:paraId="4915FF5E" w14:textId="77777777" w:rsidR="00223824" w:rsidRPr="00761653" w:rsidRDefault="00223824" w:rsidP="00CD5E09">
            <w:pPr>
              <w:spacing w:line="240" w:lineRule="auto"/>
              <w:ind w:left="57" w:right="57"/>
              <w:rPr>
                <w:szCs w:val="24"/>
              </w:rPr>
            </w:pPr>
            <w:r w:rsidRPr="00761653">
              <w:rPr>
                <w:szCs w:val="24"/>
              </w:rPr>
              <w:t>1-2 г каждые 8 часов (максимальная доза 12 г/сут), в/в</w:t>
            </w:r>
          </w:p>
        </w:tc>
      </w:tr>
      <w:tr w:rsidR="00223824" w:rsidRPr="00265B67" w14:paraId="1F91B53F" w14:textId="77777777" w:rsidTr="00CD5E09">
        <w:tc>
          <w:tcPr>
            <w:tcW w:w="2376" w:type="dxa"/>
            <w:vMerge/>
          </w:tcPr>
          <w:p w14:paraId="54F7DA54" w14:textId="77777777" w:rsidR="00223824" w:rsidRPr="00761653" w:rsidRDefault="00223824" w:rsidP="00CD5E09">
            <w:pPr>
              <w:spacing w:line="240" w:lineRule="auto"/>
              <w:ind w:left="57" w:right="57"/>
              <w:rPr>
                <w:szCs w:val="24"/>
              </w:rPr>
            </w:pPr>
          </w:p>
        </w:tc>
        <w:tc>
          <w:tcPr>
            <w:tcW w:w="2835" w:type="dxa"/>
          </w:tcPr>
          <w:p w14:paraId="437FBB15" w14:textId="77777777" w:rsidR="00223824" w:rsidRPr="00761653" w:rsidRDefault="00223824" w:rsidP="00CD5E09">
            <w:pPr>
              <w:spacing w:line="240" w:lineRule="auto"/>
              <w:ind w:left="57" w:right="57"/>
              <w:rPr>
                <w:szCs w:val="24"/>
              </w:rPr>
            </w:pPr>
            <w:r w:rsidRPr="00761653">
              <w:rPr>
                <w:szCs w:val="24"/>
              </w:rPr>
              <w:t>Цефтаролин</w:t>
            </w:r>
          </w:p>
        </w:tc>
        <w:tc>
          <w:tcPr>
            <w:tcW w:w="4395" w:type="dxa"/>
          </w:tcPr>
          <w:p w14:paraId="1638E40E" w14:textId="77777777" w:rsidR="00223824" w:rsidRPr="00761653" w:rsidRDefault="00223824" w:rsidP="00CD5E09">
            <w:pPr>
              <w:spacing w:line="240" w:lineRule="auto"/>
              <w:ind w:left="57" w:right="57"/>
              <w:rPr>
                <w:szCs w:val="24"/>
              </w:rPr>
            </w:pPr>
            <w:r w:rsidRPr="00761653">
              <w:rPr>
                <w:szCs w:val="24"/>
              </w:rPr>
              <w:t>600 мг каждые 12 часов, инфузия в течение 5-60 минут</w:t>
            </w:r>
          </w:p>
        </w:tc>
      </w:tr>
      <w:tr w:rsidR="00223824" w:rsidRPr="00265B67" w14:paraId="7D3A861A" w14:textId="77777777" w:rsidTr="00CD5E09">
        <w:tc>
          <w:tcPr>
            <w:tcW w:w="2376" w:type="dxa"/>
            <w:vMerge/>
          </w:tcPr>
          <w:p w14:paraId="33E2E24B" w14:textId="77777777" w:rsidR="00223824" w:rsidRPr="00761653" w:rsidRDefault="00223824" w:rsidP="00CD5E09">
            <w:pPr>
              <w:spacing w:line="240" w:lineRule="auto"/>
              <w:ind w:left="57" w:right="57"/>
              <w:rPr>
                <w:szCs w:val="24"/>
                <w:highlight w:val="yellow"/>
              </w:rPr>
            </w:pPr>
          </w:p>
        </w:tc>
        <w:tc>
          <w:tcPr>
            <w:tcW w:w="2835" w:type="dxa"/>
          </w:tcPr>
          <w:p w14:paraId="221017C3" w14:textId="77777777" w:rsidR="00223824" w:rsidRPr="00761653" w:rsidRDefault="00223824" w:rsidP="00CD5E09">
            <w:pPr>
              <w:spacing w:line="240" w:lineRule="auto"/>
              <w:ind w:left="57" w:right="57"/>
              <w:rPr>
                <w:szCs w:val="24"/>
              </w:rPr>
            </w:pPr>
            <w:r w:rsidRPr="00761653">
              <w:rPr>
                <w:szCs w:val="24"/>
              </w:rPr>
              <w:t>Ванкомицин</w:t>
            </w:r>
          </w:p>
        </w:tc>
        <w:tc>
          <w:tcPr>
            <w:tcW w:w="4395" w:type="dxa"/>
          </w:tcPr>
          <w:p w14:paraId="5E6C5660" w14:textId="77777777" w:rsidR="00223824" w:rsidRPr="00761653" w:rsidRDefault="00223824" w:rsidP="00CD5E09">
            <w:pPr>
              <w:spacing w:line="240" w:lineRule="auto"/>
              <w:ind w:left="57" w:right="57"/>
              <w:rPr>
                <w:szCs w:val="24"/>
              </w:rPr>
            </w:pPr>
            <w:r w:rsidRPr="00761653">
              <w:rPr>
                <w:szCs w:val="24"/>
              </w:rPr>
              <w:t xml:space="preserve">Нагрузочная доза 25-30 мг/кг, затем 15-20 мг/кг каждые 8-12 часов (разовая доза не должна превышать 2 г), инфузия в течение 1,5-2 часов </w:t>
            </w:r>
          </w:p>
        </w:tc>
      </w:tr>
      <w:tr w:rsidR="00223824" w:rsidRPr="00265B67" w14:paraId="0ADED31F" w14:textId="77777777" w:rsidTr="00CD5E09">
        <w:tc>
          <w:tcPr>
            <w:tcW w:w="2376" w:type="dxa"/>
            <w:vMerge w:val="restart"/>
          </w:tcPr>
          <w:p w14:paraId="49377C7F" w14:textId="3A01DE5E" w:rsidR="00223824" w:rsidRPr="00761653" w:rsidRDefault="001647AE" w:rsidP="00CD5E09">
            <w:pPr>
              <w:spacing w:line="240" w:lineRule="auto"/>
              <w:ind w:left="57" w:right="57"/>
              <w:rPr>
                <w:szCs w:val="24"/>
              </w:rPr>
            </w:pPr>
            <w:r>
              <w:rPr>
                <w:i/>
                <w:szCs w:val="24"/>
              </w:rPr>
              <w:t>S.</w:t>
            </w:r>
            <w:r w:rsidR="00223824" w:rsidRPr="00761653">
              <w:rPr>
                <w:i/>
                <w:szCs w:val="24"/>
              </w:rPr>
              <w:t>aureus,</w:t>
            </w:r>
            <w:r w:rsidR="00223824" w:rsidRPr="00761653">
              <w:rPr>
                <w:szCs w:val="24"/>
              </w:rPr>
              <w:t xml:space="preserve"> устойчивые к оксациллину</w:t>
            </w:r>
          </w:p>
        </w:tc>
        <w:tc>
          <w:tcPr>
            <w:tcW w:w="2835" w:type="dxa"/>
          </w:tcPr>
          <w:p w14:paraId="70AFE116" w14:textId="77777777" w:rsidR="00223824" w:rsidRPr="00761653" w:rsidRDefault="00223824" w:rsidP="00CD5E09">
            <w:pPr>
              <w:spacing w:line="240" w:lineRule="auto"/>
              <w:ind w:left="57" w:right="57"/>
              <w:rPr>
                <w:szCs w:val="24"/>
              </w:rPr>
            </w:pPr>
            <w:r w:rsidRPr="00761653">
              <w:rPr>
                <w:szCs w:val="24"/>
              </w:rPr>
              <w:t>Ванкомицин</w:t>
            </w:r>
          </w:p>
        </w:tc>
        <w:tc>
          <w:tcPr>
            <w:tcW w:w="4395" w:type="dxa"/>
          </w:tcPr>
          <w:p w14:paraId="265AF7BD" w14:textId="77777777" w:rsidR="00223824" w:rsidRPr="00761653" w:rsidRDefault="00223824" w:rsidP="00CD5E09">
            <w:pPr>
              <w:spacing w:line="240" w:lineRule="auto"/>
              <w:ind w:left="57" w:right="57"/>
              <w:rPr>
                <w:szCs w:val="24"/>
              </w:rPr>
            </w:pPr>
            <w:r w:rsidRPr="00761653">
              <w:rPr>
                <w:szCs w:val="24"/>
              </w:rPr>
              <w:t xml:space="preserve">Нагрузочная доза 25-30 мг/кг, затем 15-20 мг/кг каждые 8-12 часов (разовая доза не должна превышать 2 г), инфузия в течение 1,5-2 часов (не рекомендован к назначению при инфекциях, вызванных </w:t>
            </w:r>
            <w:r w:rsidRPr="00761653">
              <w:rPr>
                <w:i/>
                <w:szCs w:val="24"/>
              </w:rPr>
              <w:t>S. aureus</w:t>
            </w:r>
            <w:r w:rsidRPr="00761653">
              <w:rPr>
                <w:szCs w:val="24"/>
              </w:rPr>
              <w:t xml:space="preserve"> с МПК ванкомицина &gt; 1 мкг/мл ввиду низкой клинической эффективности)</w:t>
            </w:r>
          </w:p>
        </w:tc>
      </w:tr>
      <w:tr w:rsidR="00223824" w:rsidRPr="00975FC1" w14:paraId="548EF9D4" w14:textId="77777777" w:rsidTr="00CD5E09">
        <w:tc>
          <w:tcPr>
            <w:tcW w:w="2376" w:type="dxa"/>
            <w:vMerge/>
          </w:tcPr>
          <w:p w14:paraId="21560E5A" w14:textId="77777777" w:rsidR="00223824" w:rsidRPr="00761653" w:rsidRDefault="00223824" w:rsidP="00CD5E09">
            <w:pPr>
              <w:spacing w:line="240" w:lineRule="auto"/>
              <w:ind w:left="57" w:right="57"/>
              <w:rPr>
                <w:szCs w:val="24"/>
              </w:rPr>
            </w:pPr>
          </w:p>
        </w:tc>
        <w:tc>
          <w:tcPr>
            <w:tcW w:w="2835" w:type="dxa"/>
          </w:tcPr>
          <w:p w14:paraId="7D714E1C" w14:textId="77777777" w:rsidR="00223824" w:rsidRPr="00761653" w:rsidRDefault="00223824" w:rsidP="00CD5E09">
            <w:pPr>
              <w:spacing w:line="240" w:lineRule="auto"/>
              <w:ind w:left="57" w:right="57"/>
              <w:rPr>
                <w:szCs w:val="24"/>
              </w:rPr>
            </w:pPr>
            <w:r w:rsidRPr="00761653">
              <w:rPr>
                <w:szCs w:val="24"/>
              </w:rPr>
              <w:t>Линезолид</w:t>
            </w:r>
          </w:p>
        </w:tc>
        <w:tc>
          <w:tcPr>
            <w:tcW w:w="4395" w:type="dxa"/>
          </w:tcPr>
          <w:p w14:paraId="7ECE89F2" w14:textId="77777777" w:rsidR="00223824" w:rsidRPr="00761653" w:rsidRDefault="00223824" w:rsidP="00CD5E09">
            <w:pPr>
              <w:spacing w:line="240" w:lineRule="auto"/>
              <w:ind w:left="57" w:right="57"/>
              <w:rPr>
                <w:szCs w:val="24"/>
              </w:rPr>
            </w:pPr>
            <w:r w:rsidRPr="00761653">
              <w:rPr>
                <w:szCs w:val="24"/>
              </w:rPr>
              <w:t>600 мг каждые 12 часов, в/в или внутрь</w:t>
            </w:r>
          </w:p>
        </w:tc>
      </w:tr>
      <w:tr w:rsidR="00223824" w:rsidRPr="00975FC1" w14:paraId="73A6831D" w14:textId="77777777" w:rsidTr="00CD5E09">
        <w:tc>
          <w:tcPr>
            <w:tcW w:w="2376" w:type="dxa"/>
            <w:vMerge/>
          </w:tcPr>
          <w:p w14:paraId="0C133008" w14:textId="77777777" w:rsidR="00223824" w:rsidRPr="00761653" w:rsidRDefault="00223824" w:rsidP="00CD5E09">
            <w:pPr>
              <w:spacing w:line="240" w:lineRule="auto"/>
              <w:ind w:left="57" w:right="57"/>
              <w:rPr>
                <w:szCs w:val="24"/>
              </w:rPr>
            </w:pPr>
          </w:p>
        </w:tc>
        <w:tc>
          <w:tcPr>
            <w:tcW w:w="2835" w:type="dxa"/>
          </w:tcPr>
          <w:p w14:paraId="5726599A" w14:textId="77777777" w:rsidR="00223824" w:rsidRPr="00761653" w:rsidRDefault="00223824" w:rsidP="00CD5E09">
            <w:pPr>
              <w:spacing w:line="240" w:lineRule="auto"/>
              <w:ind w:left="57" w:right="57"/>
              <w:rPr>
                <w:szCs w:val="24"/>
              </w:rPr>
            </w:pPr>
            <w:r w:rsidRPr="00761653">
              <w:rPr>
                <w:szCs w:val="24"/>
              </w:rPr>
              <w:t>Тедизолид</w:t>
            </w:r>
          </w:p>
        </w:tc>
        <w:tc>
          <w:tcPr>
            <w:tcW w:w="4395" w:type="dxa"/>
          </w:tcPr>
          <w:p w14:paraId="754859B6" w14:textId="77777777" w:rsidR="00223824" w:rsidRPr="00761653" w:rsidRDefault="00223824" w:rsidP="00CD5E09">
            <w:pPr>
              <w:spacing w:line="240" w:lineRule="auto"/>
              <w:ind w:left="57" w:right="57"/>
              <w:rPr>
                <w:szCs w:val="24"/>
              </w:rPr>
            </w:pPr>
            <w:r w:rsidRPr="00761653">
              <w:rPr>
                <w:szCs w:val="24"/>
              </w:rPr>
              <w:t>200 мг каждые 24 часа, внутрь или в/в инфузия в течение 1 часа (не применяют для лечения инфекций кровотока и пневмонии)</w:t>
            </w:r>
          </w:p>
        </w:tc>
      </w:tr>
      <w:tr w:rsidR="00223824" w:rsidRPr="00265B67" w14:paraId="686DC87F" w14:textId="77777777" w:rsidTr="00CD5E09">
        <w:tc>
          <w:tcPr>
            <w:tcW w:w="2376" w:type="dxa"/>
            <w:vMerge/>
          </w:tcPr>
          <w:p w14:paraId="5600F43B" w14:textId="77777777" w:rsidR="00223824" w:rsidRPr="00761653" w:rsidRDefault="00223824" w:rsidP="00CD5E09">
            <w:pPr>
              <w:spacing w:line="240" w:lineRule="auto"/>
              <w:ind w:left="57" w:right="57"/>
              <w:rPr>
                <w:szCs w:val="24"/>
              </w:rPr>
            </w:pPr>
          </w:p>
        </w:tc>
        <w:tc>
          <w:tcPr>
            <w:tcW w:w="2835" w:type="dxa"/>
          </w:tcPr>
          <w:p w14:paraId="7DA66FA5" w14:textId="77777777" w:rsidR="00223824" w:rsidRPr="00761653" w:rsidRDefault="00223824" w:rsidP="00CD5E09">
            <w:pPr>
              <w:spacing w:line="240" w:lineRule="auto"/>
              <w:ind w:left="57" w:right="57"/>
              <w:rPr>
                <w:szCs w:val="24"/>
              </w:rPr>
            </w:pPr>
            <w:r w:rsidRPr="00761653">
              <w:rPr>
                <w:szCs w:val="24"/>
              </w:rPr>
              <w:t>Даптомицин</w:t>
            </w:r>
          </w:p>
        </w:tc>
        <w:tc>
          <w:tcPr>
            <w:tcW w:w="4395" w:type="dxa"/>
          </w:tcPr>
          <w:p w14:paraId="75160293" w14:textId="77777777" w:rsidR="00223824" w:rsidRPr="00761653" w:rsidRDefault="00223824" w:rsidP="00CD5E09">
            <w:pPr>
              <w:spacing w:line="240" w:lineRule="auto"/>
              <w:ind w:left="57" w:right="57"/>
              <w:rPr>
                <w:szCs w:val="24"/>
              </w:rPr>
            </w:pPr>
            <w:r w:rsidRPr="00761653">
              <w:rPr>
                <w:szCs w:val="24"/>
              </w:rPr>
              <w:t xml:space="preserve">10-12 мг/кг каждые 24 часа, инфузия в </w:t>
            </w:r>
            <w:r w:rsidRPr="00761653">
              <w:rPr>
                <w:szCs w:val="24"/>
              </w:rPr>
              <w:lastRenderedPageBreak/>
              <w:t>течение 30 минут (препарат не применяют для лечения пневмонии)</w:t>
            </w:r>
          </w:p>
        </w:tc>
      </w:tr>
      <w:tr w:rsidR="00223824" w:rsidRPr="00265B67" w14:paraId="78CE7177" w14:textId="77777777" w:rsidTr="00CD5E09">
        <w:tc>
          <w:tcPr>
            <w:tcW w:w="2376" w:type="dxa"/>
            <w:vMerge/>
          </w:tcPr>
          <w:p w14:paraId="56B19D28" w14:textId="77777777" w:rsidR="00223824" w:rsidRPr="00761653" w:rsidRDefault="00223824" w:rsidP="00CD5E09">
            <w:pPr>
              <w:spacing w:line="240" w:lineRule="auto"/>
              <w:ind w:left="57" w:right="57"/>
              <w:rPr>
                <w:szCs w:val="24"/>
              </w:rPr>
            </w:pPr>
          </w:p>
        </w:tc>
        <w:tc>
          <w:tcPr>
            <w:tcW w:w="2835" w:type="dxa"/>
          </w:tcPr>
          <w:p w14:paraId="76E6EC62" w14:textId="77777777" w:rsidR="00223824" w:rsidRPr="00761653" w:rsidRDefault="00223824" w:rsidP="00CD5E09">
            <w:pPr>
              <w:spacing w:line="240" w:lineRule="auto"/>
              <w:ind w:left="57" w:right="57"/>
              <w:rPr>
                <w:szCs w:val="24"/>
              </w:rPr>
            </w:pPr>
            <w:r w:rsidRPr="00761653">
              <w:rPr>
                <w:szCs w:val="24"/>
              </w:rPr>
              <w:t>Телаванцин</w:t>
            </w:r>
          </w:p>
        </w:tc>
        <w:tc>
          <w:tcPr>
            <w:tcW w:w="4395" w:type="dxa"/>
          </w:tcPr>
          <w:p w14:paraId="1407582D" w14:textId="77777777" w:rsidR="00223824" w:rsidRPr="00761653" w:rsidRDefault="00223824" w:rsidP="00CD5E09">
            <w:pPr>
              <w:spacing w:line="240" w:lineRule="auto"/>
              <w:ind w:left="57" w:right="57"/>
              <w:rPr>
                <w:szCs w:val="24"/>
              </w:rPr>
            </w:pPr>
            <w:r w:rsidRPr="00761653">
              <w:rPr>
                <w:szCs w:val="24"/>
              </w:rPr>
              <w:t>10 мг/кг каждые 24 часа, инфузия в течение 1 часа</w:t>
            </w:r>
          </w:p>
        </w:tc>
      </w:tr>
      <w:tr w:rsidR="00223824" w:rsidRPr="00265B67" w14:paraId="5D626898" w14:textId="77777777" w:rsidTr="00CD5E09">
        <w:tc>
          <w:tcPr>
            <w:tcW w:w="2376" w:type="dxa"/>
            <w:vMerge/>
          </w:tcPr>
          <w:p w14:paraId="22E3C823" w14:textId="77777777" w:rsidR="00223824" w:rsidRPr="00761653" w:rsidRDefault="00223824" w:rsidP="00CD5E09">
            <w:pPr>
              <w:spacing w:line="240" w:lineRule="auto"/>
              <w:ind w:left="57" w:right="57"/>
              <w:rPr>
                <w:szCs w:val="24"/>
              </w:rPr>
            </w:pPr>
          </w:p>
        </w:tc>
        <w:tc>
          <w:tcPr>
            <w:tcW w:w="2835" w:type="dxa"/>
          </w:tcPr>
          <w:p w14:paraId="17819B64" w14:textId="77777777" w:rsidR="00223824" w:rsidRPr="00761653" w:rsidRDefault="00223824" w:rsidP="00CD5E09">
            <w:pPr>
              <w:spacing w:line="240" w:lineRule="auto"/>
              <w:ind w:left="57" w:right="57"/>
              <w:rPr>
                <w:szCs w:val="24"/>
              </w:rPr>
            </w:pPr>
            <w:r w:rsidRPr="00761653">
              <w:rPr>
                <w:szCs w:val="24"/>
              </w:rPr>
              <w:t>Далбаванцин</w:t>
            </w:r>
          </w:p>
        </w:tc>
        <w:tc>
          <w:tcPr>
            <w:tcW w:w="4395" w:type="dxa"/>
          </w:tcPr>
          <w:p w14:paraId="62331967" w14:textId="77777777" w:rsidR="00223824" w:rsidRPr="00761653" w:rsidRDefault="00223824" w:rsidP="00CD5E09">
            <w:pPr>
              <w:spacing w:line="240" w:lineRule="auto"/>
              <w:ind w:left="57" w:right="57"/>
              <w:rPr>
                <w:szCs w:val="24"/>
              </w:rPr>
            </w:pPr>
            <w:r w:rsidRPr="00761653">
              <w:rPr>
                <w:szCs w:val="24"/>
              </w:rPr>
              <w:t>1000 мг, инфузия в течение 30 мин, затем через неделю 500мг , инфузия в течение 30 мин</w:t>
            </w:r>
          </w:p>
        </w:tc>
      </w:tr>
      <w:tr w:rsidR="00223824" w:rsidRPr="00975FC1" w14:paraId="1D83E981" w14:textId="77777777" w:rsidTr="00CD5E09">
        <w:tc>
          <w:tcPr>
            <w:tcW w:w="2376" w:type="dxa"/>
            <w:vMerge/>
          </w:tcPr>
          <w:p w14:paraId="235389CE" w14:textId="77777777" w:rsidR="00223824" w:rsidRPr="00761653" w:rsidRDefault="00223824" w:rsidP="00CD5E09">
            <w:pPr>
              <w:spacing w:line="240" w:lineRule="auto"/>
              <w:ind w:left="57" w:right="57"/>
              <w:rPr>
                <w:szCs w:val="24"/>
              </w:rPr>
            </w:pPr>
          </w:p>
        </w:tc>
        <w:tc>
          <w:tcPr>
            <w:tcW w:w="2835" w:type="dxa"/>
          </w:tcPr>
          <w:p w14:paraId="56DA5D9B" w14:textId="77777777" w:rsidR="00223824" w:rsidRPr="00761653" w:rsidRDefault="00223824" w:rsidP="00CD5E09">
            <w:pPr>
              <w:spacing w:line="240" w:lineRule="auto"/>
              <w:ind w:left="57" w:right="57"/>
              <w:rPr>
                <w:szCs w:val="24"/>
              </w:rPr>
            </w:pPr>
            <w:r w:rsidRPr="00761653">
              <w:rPr>
                <w:szCs w:val="24"/>
              </w:rPr>
              <w:t>Тигециклин</w:t>
            </w:r>
          </w:p>
        </w:tc>
        <w:tc>
          <w:tcPr>
            <w:tcW w:w="4395" w:type="dxa"/>
          </w:tcPr>
          <w:p w14:paraId="1245DEE0" w14:textId="77777777" w:rsidR="00223824" w:rsidRPr="00761653" w:rsidRDefault="00223824" w:rsidP="00CD5E09">
            <w:pPr>
              <w:spacing w:line="240" w:lineRule="auto"/>
              <w:ind w:left="57" w:right="57"/>
              <w:rPr>
                <w:szCs w:val="24"/>
              </w:rPr>
            </w:pPr>
            <w:r w:rsidRPr="00761653">
              <w:rPr>
                <w:szCs w:val="24"/>
              </w:rPr>
              <w:t>Нагрузочная доза 100 мг, затем по 50 мг каждые 12 часов (не показан для лечения инфекций кровотока), в/в (применяют при интрабдоминальной инфекции, при инфекции кожи и мягких тканей)</w:t>
            </w:r>
          </w:p>
        </w:tc>
      </w:tr>
      <w:tr w:rsidR="00223824" w:rsidRPr="00265B67" w14:paraId="0D759C09" w14:textId="77777777" w:rsidTr="00CD5E09">
        <w:tc>
          <w:tcPr>
            <w:tcW w:w="2376" w:type="dxa"/>
            <w:vMerge/>
          </w:tcPr>
          <w:p w14:paraId="68A1C131" w14:textId="77777777" w:rsidR="00223824" w:rsidRPr="00761653" w:rsidRDefault="00223824" w:rsidP="00CD5E09">
            <w:pPr>
              <w:spacing w:line="240" w:lineRule="auto"/>
              <w:ind w:left="57" w:right="57"/>
              <w:rPr>
                <w:szCs w:val="24"/>
              </w:rPr>
            </w:pPr>
          </w:p>
        </w:tc>
        <w:tc>
          <w:tcPr>
            <w:tcW w:w="2835" w:type="dxa"/>
          </w:tcPr>
          <w:p w14:paraId="207D7202" w14:textId="77777777" w:rsidR="00223824" w:rsidRPr="00761653" w:rsidRDefault="00223824" w:rsidP="00CD5E09">
            <w:pPr>
              <w:spacing w:line="240" w:lineRule="auto"/>
              <w:ind w:left="57" w:right="57"/>
              <w:rPr>
                <w:szCs w:val="24"/>
              </w:rPr>
            </w:pPr>
            <w:r w:rsidRPr="00761653">
              <w:rPr>
                <w:szCs w:val="24"/>
              </w:rPr>
              <w:t>Цефтаролин</w:t>
            </w:r>
          </w:p>
        </w:tc>
        <w:tc>
          <w:tcPr>
            <w:tcW w:w="4395" w:type="dxa"/>
          </w:tcPr>
          <w:p w14:paraId="078B7E36" w14:textId="77777777" w:rsidR="00223824" w:rsidRPr="00761653" w:rsidRDefault="00223824" w:rsidP="00CD5E09">
            <w:pPr>
              <w:spacing w:line="240" w:lineRule="auto"/>
              <w:ind w:left="57" w:right="57"/>
              <w:rPr>
                <w:szCs w:val="24"/>
              </w:rPr>
            </w:pPr>
            <w:r w:rsidRPr="00761653">
              <w:rPr>
                <w:szCs w:val="24"/>
              </w:rPr>
              <w:t>600 мг каждые 12 часов, инфузия в течение 5-60 минут</w:t>
            </w:r>
          </w:p>
        </w:tc>
      </w:tr>
      <w:tr w:rsidR="00223824" w:rsidRPr="00265B67" w14:paraId="216E1F0A" w14:textId="77777777" w:rsidTr="00CD5E09">
        <w:tc>
          <w:tcPr>
            <w:tcW w:w="2376" w:type="dxa"/>
          </w:tcPr>
          <w:p w14:paraId="73EFC482" w14:textId="77777777" w:rsidR="00223824" w:rsidRPr="00761653" w:rsidRDefault="00223824" w:rsidP="00CD5E09">
            <w:pPr>
              <w:spacing w:line="240" w:lineRule="auto"/>
              <w:ind w:left="57" w:right="57"/>
              <w:rPr>
                <w:szCs w:val="24"/>
              </w:rPr>
            </w:pPr>
            <w:r w:rsidRPr="00761653">
              <w:rPr>
                <w:i/>
                <w:szCs w:val="24"/>
              </w:rPr>
              <w:t xml:space="preserve">E. faecium, </w:t>
            </w:r>
            <w:r w:rsidRPr="00761653">
              <w:rPr>
                <w:szCs w:val="24"/>
              </w:rPr>
              <w:t>чувствительные к ванкомицину</w:t>
            </w:r>
          </w:p>
        </w:tc>
        <w:tc>
          <w:tcPr>
            <w:tcW w:w="2835" w:type="dxa"/>
          </w:tcPr>
          <w:p w14:paraId="505294C1" w14:textId="77777777" w:rsidR="00223824" w:rsidRPr="00761653" w:rsidRDefault="00223824" w:rsidP="00CD5E09">
            <w:pPr>
              <w:spacing w:line="240" w:lineRule="auto"/>
              <w:ind w:left="57" w:right="57"/>
              <w:rPr>
                <w:szCs w:val="24"/>
              </w:rPr>
            </w:pPr>
            <w:r w:rsidRPr="00761653">
              <w:rPr>
                <w:szCs w:val="24"/>
              </w:rPr>
              <w:t>Ванкомицин</w:t>
            </w:r>
          </w:p>
        </w:tc>
        <w:tc>
          <w:tcPr>
            <w:tcW w:w="4395" w:type="dxa"/>
          </w:tcPr>
          <w:p w14:paraId="0B218EC0" w14:textId="77777777" w:rsidR="00223824" w:rsidRPr="00761653" w:rsidRDefault="00223824" w:rsidP="00CD5E09">
            <w:pPr>
              <w:spacing w:line="240" w:lineRule="auto"/>
              <w:ind w:left="57" w:right="57"/>
              <w:rPr>
                <w:szCs w:val="24"/>
              </w:rPr>
            </w:pPr>
            <w:r w:rsidRPr="00761653">
              <w:rPr>
                <w:szCs w:val="24"/>
              </w:rPr>
              <w:t>Нагрузочная доза 25-30 мг/кг, затем 15-20 мг/кг каждые 8-12 часов, (разовая доза не должна превышать 2 г), инфузия в течение 1,5-2 часов</w:t>
            </w:r>
          </w:p>
        </w:tc>
      </w:tr>
      <w:tr w:rsidR="00223824" w:rsidRPr="00265B67" w14:paraId="1E2095E9" w14:textId="77777777" w:rsidTr="00CD5E09">
        <w:tc>
          <w:tcPr>
            <w:tcW w:w="2376" w:type="dxa"/>
            <w:vMerge w:val="restart"/>
          </w:tcPr>
          <w:p w14:paraId="18A97A75" w14:textId="77777777" w:rsidR="00223824" w:rsidRPr="00761653" w:rsidRDefault="00223824" w:rsidP="00CD5E09">
            <w:pPr>
              <w:spacing w:line="240" w:lineRule="auto"/>
              <w:ind w:left="57" w:right="57"/>
              <w:rPr>
                <w:szCs w:val="24"/>
              </w:rPr>
            </w:pPr>
            <w:r w:rsidRPr="00761653">
              <w:rPr>
                <w:i/>
                <w:szCs w:val="24"/>
              </w:rPr>
              <w:t>E.faecium,</w:t>
            </w:r>
            <w:r w:rsidRPr="00761653">
              <w:rPr>
                <w:szCs w:val="24"/>
              </w:rPr>
              <w:t xml:space="preserve"> устойчивые к ванкомицину</w:t>
            </w:r>
          </w:p>
        </w:tc>
        <w:tc>
          <w:tcPr>
            <w:tcW w:w="2835" w:type="dxa"/>
          </w:tcPr>
          <w:p w14:paraId="38CB9A58" w14:textId="77777777" w:rsidR="00223824" w:rsidRPr="00761653" w:rsidRDefault="00223824" w:rsidP="00CD5E09">
            <w:pPr>
              <w:spacing w:line="240" w:lineRule="auto"/>
              <w:ind w:left="57" w:right="57"/>
              <w:rPr>
                <w:szCs w:val="24"/>
              </w:rPr>
            </w:pPr>
            <w:r w:rsidRPr="00761653">
              <w:rPr>
                <w:szCs w:val="24"/>
              </w:rPr>
              <w:t>Даптомицин</w:t>
            </w:r>
          </w:p>
        </w:tc>
        <w:tc>
          <w:tcPr>
            <w:tcW w:w="4395" w:type="dxa"/>
          </w:tcPr>
          <w:p w14:paraId="75ECF284" w14:textId="77777777" w:rsidR="00223824" w:rsidRPr="00761653" w:rsidRDefault="00223824" w:rsidP="00CD5E09">
            <w:pPr>
              <w:spacing w:line="240" w:lineRule="auto"/>
              <w:ind w:left="57" w:right="57"/>
              <w:rPr>
                <w:szCs w:val="24"/>
              </w:rPr>
            </w:pPr>
            <w:r w:rsidRPr="00761653">
              <w:rPr>
                <w:szCs w:val="24"/>
              </w:rPr>
              <w:t>10-12 мг/кг каждые 24 часа, инфузия в течение 30 мин</w:t>
            </w:r>
          </w:p>
        </w:tc>
      </w:tr>
      <w:tr w:rsidR="00223824" w:rsidRPr="00975FC1" w14:paraId="3D6F4FB9" w14:textId="77777777" w:rsidTr="00CD5E09">
        <w:tc>
          <w:tcPr>
            <w:tcW w:w="2376" w:type="dxa"/>
            <w:vMerge/>
          </w:tcPr>
          <w:p w14:paraId="6323CB1B" w14:textId="77777777" w:rsidR="00223824" w:rsidRPr="00761653" w:rsidRDefault="00223824" w:rsidP="00CD5E09">
            <w:pPr>
              <w:spacing w:line="240" w:lineRule="auto"/>
              <w:ind w:left="57" w:right="57"/>
              <w:rPr>
                <w:szCs w:val="24"/>
              </w:rPr>
            </w:pPr>
          </w:p>
        </w:tc>
        <w:tc>
          <w:tcPr>
            <w:tcW w:w="2835" w:type="dxa"/>
          </w:tcPr>
          <w:p w14:paraId="6F33C53D" w14:textId="77777777" w:rsidR="00223824" w:rsidRPr="00761653" w:rsidRDefault="00223824" w:rsidP="00CD5E09">
            <w:pPr>
              <w:spacing w:line="240" w:lineRule="auto"/>
              <w:ind w:left="57" w:right="57"/>
              <w:rPr>
                <w:szCs w:val="24"/>
              </w:rPr>
            </w:pPr>
            <w:r w:rsidRPr="00761653">
              <w:rPr>
                <w:szCs w:val="24"/>
              </w:rPr>
              <w:t>Линезолид</w:t>
            </w:r>
          </w:p>
        </w:tc>
        <w:tc>
          <w:tcPr>
            <w:tcW w:w="4395" w:type="dxa"/>
          </w:tcPr>
          <w:p w14:paraId="3022ADB9" w14:textId="77777777" w:rsidR="00223824" w:rsidRPr="00761653" w:rsidRDefault="00223824" w:rsidP="00CD5E09">
            <w:pPr>
              <w:spacing w:line="240" w:lineRule="auto"/>
              <w:ind w:left="57" w:right="57"/>
              <w:rPr>
                <w:szCs w:val="24"/>
              </w:rPr>
            </w:pPr>
            <w:r w:rsidRPr="00761653">
              <w:rPr>
                <w:szCs w:val="24"/>
              </w:rPr>
              <w:t>600 мг каждые 12 часов, в/в или внутрь (следует применять при инфекциях, вызванных штаммами с МПК даптомицина &gt; 4 мкг/мл)</w:t>
            </w:r>
          </w:p>
        </w:tc>
      </w:tr>
      <w:tr w:rsidR="00223824" w:rsidRPr="00975FC1" w14:paraId="7AC936E2" w14:textId="77777777" w:rsidTr="00CD5E09">
        <w:tc>
          <w:tcPr>
            <w:tcW w:w="2376" w:type="dxa"/>
            <w:vMerge/>
          </w:tcPr>
          <w:p w14:paraId="72524AEA" w14:textId="77777777" w:rsidR="00223824" w:rsidRPr="00761653" w:rsidRDefault="00223824" w:rsidP="00CD5E09">
            <w:pPr>
              <w:spacing w:line="240" w:lineRule="auto"/>
              <w:ind w:left="57" w:right="57"/>
              <w:rPr>
                <w:szCs w:val="24"/>
              </w:rPr>
            </w:pPr>
          </w:p>
        </w:tc>
        <w:tc>
          <w:tcPr>
            <w:tcW w:w="2835" w:type="dxa"/>
          </w:tcPr>
          <w:p w14:paraId="5A10E3A0" w14:textId="77777777" w:rsidR="00223824" w:rsidRPr="00761653" w:rsidRDefault="00223824" w:rsidP="00CD5E09">
            <w:pPr>
              <w:spacing w:line="240" w:lineRule="auto"/>
              <w:ind w:left="57" w:right="57"/>
              <w:rPr>
                <w:szCs w:val="24"/>
              </w:rPr>
            </w:pPr>
            <w:r w:rsidRPr="00761653">
              <w:rPr>
                <w:szCs w:val="24"/>
              </w:rPr>
              <w:t>Тедизолид</w:t>
            </w:r>
          </w:p>
        </w:tc>
        <w:tc>
          <w:tcPr>
            <w:tcW w:w="4395" w:type="dxa"/>
          </w:tcPr>
          <w:p w14:paraId="54F94B43" w14:textId="77777777" w:rsidR="00223824" w:rsidRPr="00761653" w:rsidRDefault="00223824" w:rsidP="00CD5E09">
            <w:pPr>
              <w:spacing w:line="240" w:lineRule="auto"/>
              <w:ind w:left="57" w:right="57"/>
              <w:rPr>
                <w:szCs w:val="24"/>
              </w:rPr>
            </w:pPr>
            <w:r w:rsidRPr="00761653">
              <w:rPr>
                <w:szCs w:val="24"/>
              </w:rPr>
              <w:t>200 мг каждые 24 часа, внутрь или в/в инфузия в течение 1 часа (не применяют в лечении инфекций кровотока и пневмонии)</w:t>
            </w:r>
          </w:p>
        </w:tc>
      </w:tr>
      <w:tr w:rsidR="00223824" w:rsidRPr="00265B67" w14:paraId="55F53530" w14:textId="77777777" w:rsidTr="00CD5E09">
        <w:tc>
          <w:tcPr>
            <w:tcW w:w="2376" w:type="dxa"/>
            <w:vMerge/>
          </w:tcPr>
          <w:p w14:paraId="144B6B60" w14:textId="77777777" w:rsidR="00223824" w:rsidRPr="00761653" w:rsidRDefault="00223824" w:rsidP="00CD5E09">
            <w:pPr>
              <w:spacing w:line="240" w:lineRule="auto"/>
              <w:ind w:left="57" w:right="57"/>
              <w:rPr>
                <w:szCs w:val="24"/>
              </w:rPr>
            </w:pPr>
          </w:p>
        </w:tc>
        <w:tc>
          <w:tcPr>
            <w:tcW w:w="2835" w:type="dxa"/>
          </w:tcPr>
          <w:p w14:paraId="2C62EB50" w14:textId="77777777" w:rsidR="00223824" w:rsidRPr="00761653" w:rsidRDefault="00223824" w:rsidP="00CD5E09">
            <w:pPr>
              <w:spacing w:line="240" w:lineRule="auto"/>
              <w:ind w:left="57" w:right="57"/>
              <w:rPr>
                <w:szCs w:val="24"/>
              </w:rPr>
            </w:pPr>
            <w:r w:rsidRPr="00761653">
              <w:rPr>
                <w:szCs w:val="24"/>
              </w:rPr>
              <w:t>Тигециклин</w:t>
            </w:r>
          </w:p>
        </w:tc>
        <w:tc>
          <w:tcPr>
            <w:tcW w:w="4395" w:type="dxa"/>
          </w:tcPr>
          <w:p w14:paraId="69EA20B2" w14:textId="77777777" w:rsidR="00223824" w:rsidRPr="00761653" w:rsidRDefault="00223824" w:rsidP="00CD5E09">
            <w:pPr>
              <w:spacing w:line="240" w:lineRule="auto"/>
              <w:ind w:left="57" w:right="57"/>
              <w:rPr>
                <w:szCs w:val="24"/>
              </w:rPr>
            </w:pPr>
            <w:r w:rsidRPr="00761653">
              <w:rPr>
                <w:szCs w:val="24"/>
              </w:rPr>
              <w:t>Нагрузочная доза 100 мг, затем по 50 мг каждые 12 часов (не показан для лечения инфекций кровотока, инфекций мочевыводящих путей)</w:t>
            </w:r>
          </w:p>
        </w:tc>
      </w:tr>
    </w:tbl>
    <w:p w14:paraId="3B065B30" w14:textId="77777777" w:rsidR="00223824" w:rsidRDefault="00223824" w:rsidP="00223824">
      <w:pPr>
        <w:ind w:right="49"/>
        <w:contextualSpacing/>
        <w:rPr>
          <w:b/>
          <w:bCs/>
          <w:iCs/>
        </w:rPr>
      </w:pPr>
    </w:p>
    <w:p w14:paraId="7DE517BA" w14:textId="49909255" w:rsidR="00223824" w:rsidRPr="00761653" w:rsidRDefault="00223824" w:rsidP="00223824">
      <w:pPr>
        <w:ind w:left="709" w:right="49"/>
        <w:contextualSpacing/>
        <w:rPr>
          <w:bCs/>
          <w:iCs/>
        </w:rPr>
      </w:pPr>
      <w:r w:rsidRPr="00761653">
        <w:rPr>
          <w:b/>
          <w:bCs/>
          <w:iCs/>
        </w:rPr>
        <w:t>Отдельные инфекции, требующие особого лечения, у иммунокомпрометированных больных</w:t>
      </w:r>
      <w:r w:rsidR="00F60A18">
        <w:rPr>
          <w:b/>
          <w:bCs/>
          <w:iCs/>
        </w:rPr>
        <w:t xml:space="preserve"> с лейкозами</w:t>
      </w:r>
      <w:r w:rsidRPr="00761653">
        <w:rPr>
          <w:bCs/>
          <w:iCs/>
        </w:rPr>
        <w:t xml:space="preserve">. </w:t>
      </w:r>
    </w:p>
    <w:p w14:paraId="58CC2BDC" w14:textId="77777777" w:rsidR="00223824" w:rsidRPr="00284D51" w:rsidRDefault="00223824" w:rsidP="00F60A18">
      <w:pPr>
        <w:ind w:right="49" w:firstLine="709"/>
        <w:contextualSpacing/>
        <w:rPr>
          <w:i/>
          <w:iCs/>
        </w:rPr>
      </w:pPr>
      <w:r w:rsidRPr="00284D51">
        <w:rPr>
          <w:i/>
          <w:iCs/>
        </w:rPr>
        <w:t xml:space="preserve">Listeria monocytogenes </w:t>
      </w:r>
    </w:p>
    <w:p w14:paraId="2BBB8957" w14:textId="1CE13EC8" w:rsidR="00223824" w:rsidRPr="00761653" w:rsidRDefault="00223824" w:rsidP="00F60A18">
      <w:pPr>
        <w:ind w:right="49" w:firstLine="709"/>
        <w:contextualSpacing/>
      </w:pPr>
      <w:r w:rsidRPr="00D27DBA">
        <w:rPr>
          <w:bCs/>
          <w:i/>
          <w:iCs/>
        </w:rPr>
        <w:t>Listeria monocytogenes (</w:t>
      </w:r>
      <w:r w:rsidRPr="00D27DBA">
        <w:rPr>
          <w:i/>
        </w:rPr>
        <w:t xml:space="preserve">L. monocytogenes) </w:t>
      </w:r>
      <w:r>
        <w:rPr>
          <w:bCs/>
          <w:iCs/>
        </w:rPr>
        <w:t>в</w:t>
      </w:r>
      <w:r w:rsidRPr="00761653">
        <w:rPr>
          <w:iCs/>
        </w:rPr>
        <w:t xml:space="preserve">ызывают </w:t>
      </w:r>
      <w:r w:rsidRPr="00761653">
        <w:t>инфекции кровотока и менингоэнцефалит. Инфекция возникает преимущественно у больных с нарушениями Т-клеточного звена иммунитета</w:t>
      </w:r>
      <w:r w:rsidRPr="00F674EC">
        <w:t xml:space="preserve"> </w:t>
      </w:r>
      <w:r>
        <w:fldChar w:fldCharType="begin" w:fldLock="1"/>
      </w:r>
      <w:r w:rsidR="00A67ED2">
        <w:instrText>ADDIN CSL_CITATION {"citationItems":[{"id":"ITEM-1","itemData":{"DOI":"10.3324/haematol.2013.091330","ISSN":"15928721","PMID":"24323984","abstract":"The detection of multi-resistant bacterial pathogens, particularly those to carbapenemases, in leukemic and stem cell transplant patients forces the use of old or non-conventional agents as the only remaining treatment options. These include colistin/polymyxin B, tigecycline, fosfomycin and various anti-gram-positive agents. Data on the use of these agents in leukemic patients are scanty, with only linezolid subjected to formal trials. The Expert Group of the 4th European Conference on Infections in Leukemia has developed guidelines for their use in these patient populations. Targeted therapy should be based on (i) in vitro susceptibility data, (ii) knowledge of the best treatment option against the particular species or phenotype of bacteria, (iii) pharmacokinetic/pharmacodynamic data, and (iv) careful assessment of the risk-benefit balance. For infections due to resistant Gram-negative bacteria, these agents should be preferably used in combination with other agents that remain active in vitro, because of suboptimal efficacy (e.g., tigecy-cline) and the risk of emergent resistance (e.g., fosfomycin). The paucity of new antibacterial drugs in the near future should lead us to limit the use of these drugs to situations where no alternative exists. © 2013 Ferrata Storti Foundation.","author":[{"dropping-particle":"","family":"Averbuch","given":"Diana","non-dropping-particle":"","parse-names":false,"suffix":""},{"dropping-particle":"","family":"Cordonnier","given":"Catherine","non-dropping-particle":"","parse-names":false,"suffix":""},{"dropping-particle":"","family":"Livermore","given":"David M.","non-dropping-particle":"","parse-names":false,"suffix":""},{"dropping-particle":"","family":"Mikulska","given":"Małgorzata","non-dropping-particle":"","parse-names":false,"suffix":""},{"dropping-particle":"","family":"Orasch","given":"Christina","non-dropping-particle":"","parse-names":false,"suffix":""},{"dropping-particle":"","family":"Viscoli","given":"Claudio","non-dropping-particle":"","parse-names":false,"suffix":""},{"dropping-particle":"","family":"Gyssens","given":"Inge C.","non-dropping-particle":"","parse-names":false,"suffix":""},{"dropping-particle":"V.","family":"Kern","given":"Winfried","non-dropping-particle":"","parse-names":false,"suffix":""},{"dropping-particle":"","family":"Klyasova","given":"Galina","non-dropping-particle":"","parse-names":false,"suffix":""},{"dropping-particle":"","family":"Marchetti","given":"Oscar","non-dropping-particle":"","parse-names":false,"suffix":""},{"dropping-particle":"","family":"Engelhard","given":"Dan","non-dropping-particle":"","parse-names":false,"suffix":""},{"dropping-particle":"","family":"Akova","given":"Murat","non-dropping-particle":"","parse-names":false,"suffix":""}],"container-title":"Haematologica","id":"ITEM-1","issue":"12","issued":{"date-parts":[["2013","12","1"]]},"page":"1836-1847","publisher":"Ferrata Storti Foundation","title":"Targeted therapy against multi-resistant bacteria in leukemic and hematopoietic stem cell transplant recipients: Guidelines of the 4th European conference on Infections in Leukemia (ECIL-4, 2011)","type":"article-journal","volume":"98"},"uris":["http://www.mendeley.com/documents/?uuid=49d65b4a-286f-48de-9fa8-11535bbffaa2"]}],"mendeley":{"formattedCitation":"[127]","plainTextFormattedCitation":"[127]","previouslyFormattedCitation":"[7]"},"properties":{"noteIndex":0},"schema":"https://github.com/citation-style-language/schema/raw/master/csl-citation.json"}</w:instrText>
      </w:r>
      <w:r>
        <w:fldChar w:fldCharType="separate"/>
      </w:r>
      <w:r w:rsidR="00A67ED2" w:rsidRPr="00A67ED2">
        <w:rPr>
          <w:noProof/>
        </w:rPr>
        <w:t>[127]</w:t>
      </w:r>
      <w:r>
        <w:fldChar w:fldCharType="end"/>
      </w:r>
      <w:r w:rsidRPr="00761653">
        <w:t xml:space="preserve">. Характерным является стремительное развитие инфекции – в течение 2-3 часов изменяется клиническая картина: возникает нарушение сознания вплоть до комы, определяются ригидность затылочных мышц и положительный симптом Кернига. Препарат выбора для лечения </w:t>
      </w:r>
      <w:r w:rsidRPr="00761653">
        <w:rPr>
          <w:bCs/>
        </w:rPr>
        <w:t xml:space="preserve">инфекции, вызванной </w:t>
      </w:r>
      <w:r w:rsidRPr="00761653">
        <w:rPr>
          <w:bCs/>
          <w:i/>
          <w:iCs/>
        </w:rPr>
        <w:t>L. monocytogenes</w:t>
      </w:r>
      <w:r w:rsidRPr="00761653">
        <w:rPr>
          <w:b/>
          <w:bCs/>
        </w:rPr>
        <w:t xml:space="preserve">, </w:t>
      </w:r>
      <w:r w:rsidRPr="00761653">
        <w:t xml:space="preserve">ампициллин по 2 г внутривенно 6 раз в сутки, при менингоэнцефалите – в сочетание с гентамицином 5мг/кг/сутки, внутривенно. </w:t>
      </w:r>
      <w:r w:rsidRPr="00761653">
        <w:rPr>
          <w:bCs/>
        </w:rPr>
        <w:t xml:space="preserve">Больным с нейтропенией и инфекцией ЦНС </w:t>
      </w:r>
      <w:r w:rsidRPr="00761653">
        <w:rPr>
          <w:bCs/>
        </w:rPr>
        <w:lastRenderedPageBreak/>
        <w:t xml:space="preserve">дополнительно назначают меропенем по 2 г х 3 раза. Меропенем отменяют при восстановлении гранулоцитов и продолжают лечение сочетанием ампициллина с гентамицином. </w:t>
      </w:r>
      <w:r w:rsidRPr="00761653">
        <w:rPr>
          <w:iCs/>
        </w:rPr>
        <w:t xml:space="preserve">Альтернативный препарат - </w:t>
      </w:r>
      <w:r w:rsidRPr="00761653">
        <w:t>триметоприм/сульфаметоксазол (расчет дозы по триметоприму 15 мг/кг в сутки, дозу разделяют на 3 приема). Такая доза используется у больных с вовлечением и без вовлечения ЦНС в инфекционный процесс.</w:t>
      </w:r>
      <w:r w:rsidRPr="00761653">
        <w:rPr>
          <w:bCs/>
        </w:rPr>
        <w:t xml:space="preserve"> Длительность лечения инфекции без вовлечения ЦНС составляет 14 дней, менингита - </w:t>
      </w:r>
      <w:r w:rsidRPr="00761653">
        <w:t>21 день, энцефалита или абсцессов в головном мозге - от 6 недель и более, эндокардита - 4-6 недель.</w:t>
      </w:r>
      <w:r w:rsidRPr="00761653">
        <w:rPr>
          <w:bCs/>
        </w:rPr>
        <w:t xml:space="preserve"> </w:t>
      </w:r>
      <w:r w:rsidRPr="00761653">
        <w:t>При инфекции ЦНС отмену антибиотиков выполняют только при полной регрессии изменений в головном мозге.</w:t>
      </w:r>
    </w:p>
    <w:p w14:paraId="54909018" w14:textId="77777777" w:rsidR="00223824" w:rsidRPr="00284D51" w:rsidRDefault="00223824" w:rsidP="00F60A18">
      <w:pPr>
        <w:ind w:right="49" w:firstLine="708"/>
        <w:contextualSpacing/>
        <w:rPr>
          <w:bCs/>
          <w:i/>
        </w:rPr>
      </w:pPr>
      <w:r w:rsidRPr="00284D51">
        <w:rPr>
          <w:bCs/>
          <w:i/>
        </w:rPr>
        <w:t xml:space="preserve">Legionella pneumophila </w:t>
      </w:r>
    </w:p>
    <w:p w14:paraId="48F4B91E" w14:textId="77777777" w:rsidR="00223824" w:rsidRPr="00761653" w:rsidRDefault="00223824" w:rsidP="00223824">
      <w:pPr>
        <w:ind w:firstLine="708"/>
      </w:pPr>
      <w:r w:rsidRPr="00761653">
        <w:rPr>
          <w:i/>
        </w:rPr>
        <w:t>Legionella</w:t>
      </w:r>
      <w:r w:rsidRPr="000D7B76">
        <w:rPr>
          <w:i/>
        </w:rPr>
        <w:t xml:space="preserve"> </w:t>
      </w:r>
      <w:r w:rsidRPr="00761653">
        <w:rPr>
          <w:i/>
        </w:rPr>
        <w:t>pneumophila</w:t>
      </w:r>
      <w:r w:rsidRPr="000D7B76">
        <w:rPr>
          <w:i/>
        </w:rPr>
        <w:t xml:space="preserve"> (</w:t>
      </w:r>
      <w:r w:rsidRPr="00761653">
        <w:rPr>
          <w:i/>
        </w:rPr>
        <w:t>L</w:t>
      </w:r>
      <w:r w:rsidRPr="000D7B76">
        <w:rPr>
          <w:i/>
        </w:rPr>
        <w:t xml:space="preserve">. </w:t>
      </w:r>
      <w:r w:rsidRPr="00761653">
        <w:rPr>
          <w:i/>
        </w:rPr>
        <w:t>pneumophila</w:t>
      </w:r>
      <w:r w:rsidRPr="000D7B76">
        <w:rPr>
          <w:i/>
        </w:rPr>
        <w:t>)</w:t>
      </w:r>
      <w:r w:rsidRPr="000D7B76">
        <w:t xml:space="preserve"> </w:t>
      </w:r>
      <w:r>
        <w:rPr>
          <w:i/>
        </w:rPr>
        <w:t>я</w:t>
      </w:r>
      <w:r w:rsidRPr="00761653">
        <w:t>вля</w:t>
      </w:r>
      <w:r>
        <w:t>ю</w:t>
      </w:r>
      <w:r w:rsidRPr="00761653">
        <w:t>тся</w:t>
      </w:r>
      <w:r w:rsidRPr="000D7B76">
        <w:t xml:space="preserve"> </w:t>
      </w:r>
      <w:r w:rsidRPr="00761653">
        <w:t>грамотрицательным</w:t>
      </w:r>
      <w:r w:rsidRPr="000D7B76">
        <w:t xml:space="preserve"> </w:t>
      </w:r>
      <w:r w:rsidRPr="00761653">
        <w:t>бактериями</w:t>
      </w:r>
      <w:r w:rsidRPr="000D7B76">
        <w:t xml:space="preserve">, </w:t>
      </w:r>
      <w:r>
        <w:t>в</w:t>
      </w:r>
      <w:r w:rsidRPr="00761653">
        <w:t>ызывают</w:t>
      </w:r>
      <w:r w:rsidRPr="000D7B76">
        <w:t xml:space="preserve"> </w:t>
      </w:r>
      <w:r w:rsidRPr="00761653">
        <w:t>пневмонии</w:t>
      </w:r>
      <w:r w:rsidRPr="000D7B76">
        <w:t xml:space="preserve">. </w:t>
      </w:r>
      <w:r w:rsidRPr="00761653">
        <w:t>Препараты выбора для лечения</w:t>
      </w:r>
      <w:r>
        <w:t xml:space="preserve"> </w:t>
      </w:r>
      <w:r w:rsidRPr="00761653">
        <w:rPr>
          <w:i/>
        </w:rPr>
        <w:t>L</w:t>
      </w:r>
      <w:r w:rsidRPr="00D27DBA">
        <w:rPr>
          <w:i/>
        </w:rPr>
        <w:t xml:space="preserve">. </w:t>
      </w:r>
      <w:r w:rsidRPr="00761653">
        <w:rPr>
          <w:i/>
        </w:rPr>
        <w:t>pneumophila</w:t>
      </w:r>
      <w:r w:rsidRPr="00D27DBA">
        <w:t xml:space="preserve"> – </w:t>
      </w:r>
      <w:r w:rsidRPr="00761653">
        <w:t xml:space="preserve"> - моксифлоксацин (400 мг 1 раз в сутки) или левофлоксацин (500 мг - 750 мг 1 раз в сутки) или азитромицин (500 мг 1 раз в сутки), альтернативный препарат - ципрофлоксацин (400 мг внутривенно 3 раза в сутки или 750 мг внутрь 2 раза в сутки), при тяжелом течении - сочетание фторхинолона с тигециклином (1-е введение 100 мг, далее по 50 мг каждые 12 часов). Длительность лечения составляет от 8 до 21 дня, при тяжелом течении и у реципиентов аллогенных ТГСК – более продолжительный период.</w:t>
      </w:r>
    </w:p>
    <w:p w14:paraId="6F6E89EA" w14:textId="77777777" w:rsidR="00223824" w:rsidRPr="00284D51" w:rsidRDefault="00223824" w:rsidP="00F60A18">
      <w:pPr>
        <w:ind w:right="49" w:firstLine="708"/>
        <w:contextualSpacing/>
        <w:rPr>
          <w:i/>
          <w:iCs/>
        </w:rPr>
      </w:pPr>
      <w:r w:rsidRPr="00284D51">
        <w:rPr>
          <w:i/>
          <w:iCs/>
        </w:rPr>
        <w:t xml:space="preserve">Clostridioides difficile </w:t>
      </w:r>
    </w:p>
    <w:p w14:paraId="7EADC3ED" w14:textId="1649C8B6" w:rsidR="00223824" w:rsidRPr="00761653" w:rsidRDefault="00223824" w:rsidP="00F60A18">
      <w:pPr>
        <w:ind w:right="49" w:firstLine="708"/>
        <w:contextualSpacing/>
        <w:rPr>
          <w:strike/>
        </w:rPr>
      </w:pPr>
      <w:r w:rsidRPr="00761653">
        <w:t xml:space="preserve">Факторами патогенности </w:t>
      </w:r>
      <w:r w:rsidRPr="00D27DBA">
        <w:rPr>
          <w:bCs/>
          <w:i/>
          <w:iCs/>
        </w:rPr>
        <w:t>Clostridioides difficile</w:t>
      </w:r>
      <w:r>
        <w:rPr>
          <w:bCs/>
          <w:i/>
          <w:iCs/>
        </w:rPr>
        <w:t xml:space="preserve"> (</w:t>
      </w:r>
      <w:r w:rsidRPr="00761653">
        <w:rPr>
          <w:i/>
          <w:iCs/>
        </w:rPr>
        <w:t xml:space="preserve">C. </w:t>
      </w:r>
      <w:r>
        <w:rPr>
          <w:i/>
          <w:iCs/>
        </w:rPr>
        <w:t>d</w:t>
      </w:r>
      <w:r w:rsidRPr="00761653">
        <w:rPr>
          <w:i/>
          <w:iCs/>
        </w:rPr>
        <w:t>ifficile</w:t>
      </w:r>
      <w:r>
        <w:rPr>
          <w:i/>
          <w:iCs/>
        </w:rPr>
        <w:t>)</w:t>
      </w:r>
      <w:r w:rsidRPr="00761653">
        <w:t xml:space="preserve"> являются токсины A и В</w:t>
      </w:r>
      <w:r w:rsidRPr="00F674EC">
        <w:t xml:space="preserve"> </w:t>
      </w:r>
      <w:r>
        <w:fldChar w:fldCharType="begin" w:fldLock="1"/>
      </w:r>
      <w:r w:rsidR="00A67ED2">
        <w:instrText>ADDIN CSL_CITATION {"citationItems":[{"id":"ITEM-1","itemData":{"DOI":"10.1111/1469-0691.12418","ISSN":"14690691","PMID":"24118601","abstract":"In 2009 the first European Society of Clinical Microbiology and Infection (ESCMID) treatment guidance document for Clostridium difficile infection (CDI) was published. The guideline has been applied widely in clinical practice. In this document an update and review on the comparative effectiveness of the currently available treatment modalities of CDI is given, thereby providing evidence-based recommendations on this issue. A computerized literature search was carried out to investigate randomized and non-randomized trials investigating the effect of an intervention on the clinical outcome of CDI. The Grades of Recommendation Assessment, Development and Evaluation (GRADE) system was used to grade the strength of our recommendations and the quality of the evidence. The ESCMID and an international team of experts from 11 European countries supported the process. To improve clinical guidance in the treatment of CDI, recommendations are specified for various patient groups, e.g. initial non-severe disease, severe CDI, first recurrence or risk for recurrent disease, multiple recurrences and treatment of CDI when oral administration is not possible. Treatment options that are reviewed include: antibiotics, toxin-binding resins and polymers, immunotherapy, probiotics, and faecal or bacterial intestinal transplantation. Except for very mild CDI that is clearly induced by antibiotic usage antibiotic treatment is advised. The main antibiotics that are recommended are metronidazole, vancomycin and fidaxomicin. Faecal transplantation is strongly recommended for multiple recurrent CDI. In case of perforation of the colon and/or systemic inflammation and deteriorating clinical condition despite antibiotic therapy, total abdominal colectomy or diverting loop ileostomy combined with colonic lavage is recommended. © 2013 The Authors Clinical Microbiology and Infection © 2013 European Society of Clinical Microbiology and Infectious Diseases.","author":[{"dropping-particle":"","family":"Debast","given":"S. B.","non-dropping-particle":"","parse-names":false,"suffix":""},{"dropping-particle":"","family":"Bauer","given":"M. P.","non-dropping-particle":"","parse-names":false,"suffix":""},{"dropping-particle":"","family":"Kuijper","given":"E. J.","non-dropping-particle":"","parse-names":false,"suffix":""},{"dropping-particle":"","family":"Allerberger","given":"F.","non-dropping-particle":"","parse-names":false,"suffix":""},{"dropping-particle":"","family":"Bouza","given":"E.","non-dropping-particle":"","parse-names":false,"suffix":""},{"dropping-particle":"","family":"Coia","given":"J. E.","non-dropping-particle":"","parse-names":false,"suffix":""},{"dropping-particle":"","family":"Cornely","given":"O. A.","non-dropping-particle":"","parse-names":false,"suffix":""},{"dropping-particle":"","family":"Fitzpatrick","given":"F.","non-dropping-particle":"","parse-names":false,"suffix":""},{"dropping-particle":"","family":"Guery","given":"B.","non-dropping-particle":"","parse-names":false,"suffix":""},{"dropping-particle":"","family":"Wilcox","given":"M.","non-dropping-particle":"","parse-names":false,"suffix":""},{"dropping-particle":"","family":"Nathwani","given":"D.","non-dropping-particle":"","parse-names":false,"suffix":""},{"dropping-particle":"","family":"Norén","given":"T.","non-dropping-particle":"","parse-names":false,"suffix":""},{"dropping-particle":"","family":"Olesen","given":"B.","non-dropping-particle":"","parse-names":false,"suffix":""},{"dropping-particle":"","family":"Rakoczi","given":"E.","non-dropping-particle":"","parse-names":false,"suffix":""},{"dropping-particle":"","family":"Welte","given":"T.","non-dropping-particle":"","parse-names":false,"suffix":""},{"dropping-particle":"","family":"Widmer","given":"A. F.","non-dropping-particle":"","parse-names":false,"suffix":""}],"container-title":"Clinical Microbiology and Infection","id":"ITEM-1","issue":"S2","issued":{"date-parts":[["2014"]]},"page":"1-26","publisher":"Blackwell Publishing Ltd","title":"European society of clinical microbiology and infectious diseases: Update of the treatment guidance document for Clostridium difficile infection","type":"article-journal","volume":"20"},"uris":["http://www.mendeley.com/documents/?uuid=e95ffe26-9199-3b8c-aa7a-4bac71d0214d"]}],"mendeley":{"formattedCitation":"[128]","plainTextFormattedCitation":"[128]","previouslyFormattedCitation":"[8]"},"properties":{"noteIndex":0},"schema":"https://github.com/citation-style-language/schema/raw/master/csl-citation.json"}</w:instrText>
      </w:r>
      <w:r>
        <w:fldChar w:fldCharType="separate"/>
      </w:r>
      <w:r w:rsidR="00A67ED2" w:rsidRPr="00A67ED2">
        <w:rPr>
          <w:noProof/>
        </w:rPr>
        <w:t>[128]</w:t>
      </w:r>
      <w:r>
        <w:fldChar w:fldCharType="end"/>
      </w:r>
      <w:r w:rsidRPr="00761653">
        <w:t>. Токсин А —</w:t>
      </w:r>
      <w:r>
        <w:t xml:space="preserve"> </w:t>
      </w:r>
      <w:r w:rsidRPr="00761653">
        <w:t xml:space="preserve">энтеротоксин, нарушает барьерную функцию слизистой оболочки кишечника. Токсин В — цитотоксин, оказывает цитопатический эффект, сильнее токсина А в 1000 раз, наличие его является обязательным для развития инфекции. Около 10% штаммов </w:t>
      </w:r>
      <w:r w:rsidRPr="00761653">
        <w:rPr>
          <w:i/>
          <w:iCs/>
        </w:rPr>
        <w:t>C. difficile</w:t>
      </w:r>
      <w:r w:rsidRPr="00761653">
        <w:t xml:space="preserve"> продуцируют бинарный токсин. Штаммы </w:t>
      </w:r>
      <w:r w:rsidRPr="00761653">
        <w:rPr>
          <w:i/>
          <w:iCs/>
        </w:rPr>
        <w:t>C. difficile</w:t>
      </w:r>
      <w:r w:rsidRPr="00761653">
        <w:t xml:space="preserve">, не продуцирующие токсины, не являются патогенными. Клиническими проявления инфекции, вызванной </w:t>
      </w:r>
      <w:r w:rsidRPr="00761653">
        <w:rPr>
          <w:i/>
          <w:iCs/>
        </w:rPr>
        <w:t>C. difficile</w:t>
      </w:r>
      <w:r w:rsidRPr="00761653">
        <w:rPr>
          <w:iCs/>
        </w:rPr>
        <w:t>,</w:t>
      </w:r>
      <w:r w:rsidRPr="00761653">
        <w:t xml:space="preserve"> являются диарея, ассоциированная с </w:t>
      </w:r>
      <w:r w:rsidRPr="00761653">
        <w:rPr>
          <w:i/>
          <w:iCs/>
        </w:rPr>
        <w:t>C. difficile</w:t>
      </w:r>
      <w:r w:rsidRPr="00761653">
        <w:t xml:space="preserve"> (наличие диареи + положительный токсин </w:t>
      </w:r>
      <w:r w:rsidRPr="00761653">
        <w:rPr>
          <w:i/>
          <w:iCs/>
        </w:rPr>
        <w:t>C.difficile</w:t>
      </w:r>
      <w:r w:rsidRPr="00761653">
        <w:t xml:space="preserve"> в кале), псевдомембранозный колит (эндоскопическая диагностика). Лечение диареи, обусловленной </w:t>
      </w:r>
      <w:r w:rsidRPr="00761653">
        <w:rPr>
          <w:i/>
          <w:iCs/>
        </w:rPr>
        <w:t>C. difficile</w:t>
      </w:r>
      <w:r w:rsidRPr="00761653">
        <w:t xml:space="preserve"> включает, помимо назначения антибиотиков, отмену, по-возможности, или/и сокращение числа используемых антибиотиков широкого спектра действия, ингибиторов протонной помпы</w:t>
      </w:r>
      <w:r w:rsidRPr="00F674EC">
        <w:t xml:space="preserve"> </w:t>
      </w:r>
      <w:r>
        <w:fldChar w:fldCharType="begin" w:fldLock="1"/>
      </w:r>
      <w:r w:rsidR="00A67ED2">
        <w:instrText>ADDIN CSL_CITATION {"citationItems":[{"id":"ITEM-1","itemData":{"DOI":"10.1016/S1473-3099(19)30403-7","ISSN":"14744457","PMID":"31563344","abstract":"Background: Nosocomial pneumonia due to antimicrobial-resistant pathogens is associated with high mortality. We assessed the efficacy and safety of the combination antibacterial drug ceftolozane–tazobactam versus meropenem for treatment of Gram-negative nosocomial pneumonia. Methods: We conducted a randomised, controlled, double-blind, non-inferiority trial at 263 hospitals in 34 countries. Eligible patients were aged 18 years or older, were undergoing mechanical ventilation, and had nosocomial pneumonia (either ventilator-associated pneumonia or ventilated hospital-acquired pneumonia). Patients were randomly assigned (1:1) with block randomisation (block size four), stratified by type of nosocomial pneumonia and age (&lt;65 years vs ≥65 years), to receive either 3 g ceftolozane–tazobactam or 1 g meropenem intravenously every 8 h for 8–14 days. The primary endpoint was 28-day all-cause mortality (at a 10% non-inferiority margin). The key secondary endpoint was clinical response at the test-of-cure visit (7–14 days after the end of therapy; 12·5% non-inferiority margin). Both endpoints were assessed in the intention-to-treat population. Investigators, study staff, patients, and patients' representatives were masked to treatment assignment. Safety was assessed in all randomly assigned patients who received study treatment. This trial was registered with ClinicalTrials.gov, NCT02070757. Findings: Between Jan 16, 2015, and April 27, 2018, 726 patients were enrolled and randomly assigned, 362 to the ceftolozane–tazobactam group and 364 to the meropenem group. Overall, 519 (71%) patients had ventilator-associated pneumonia, 239 (33%) had Acute Physiology and Chronic Health Evaluation II scores of at least 20, and 668 (92%) were in the intensive care unit. At 28 days, 87 (24·0%) patients in the ceftolozane–tazobactam group and 92 (25·3%) in the meropenem group had died (weighted treatment difference 1·1% [95% CI −5·1 to 7·4]). At the test-of-cure visit 197 (54%) patients in the ceftolozane–tazobactam group and 194 (53%) in the meropenem group were clinically cured (weighted treatment difference 1·1% [95% CI −6·2 to 8·3]). Ceftolozane–tazobactam was thus non-inferior to meropenem in terms of both 28-day all-cause mortality and clinical cure at test of cure. Treatment-related adverse events occurred in 38 (11%) of 361 patients in the ceftolozane–tazobactam group and 27 (8%) of 359 in the meropenem group. Eight (2%) patients in the ceftolozane–tazobactam group and t…","author":[{"dropping-particle":"","family":"Kollef","given":"Marin H.","non-dropping-particle":"","parse-names":false,"suffix":""},{"dropping-particle":"","family":"Nováček","given":"Martin","non-dropping-particle":"","parse-names":false,"suffix":""},{"dropping-particle":"","family":"Kivistik","given":"Ülo","non-dropping-particle":"","parse-names":false,"suffix":""},{"dropping-particle":"","family":"Réa-Neto","given":"Álvaro","non-dropping-particle":"","parse-names":false,"suffix":""},{"dropping-particle":"","family":"Shime","given":"Nobuaki","non-dropping-particle":"","parse-names":false,"suffix":""},{"dropping-particle":"","family":"Martin-Loeches","given":"Ignacio","non-dropping-particle":"","parse-names":false,"suffix":""},{"dropping-particle":"","family":"Timsit","given":"Jean François","non-dropping-particle":"","parse-names":false,"suffix":""},{"dropping-particle":"","family":"Wunderink","given":"Richard G.","non-dropping-particle":"","parse-names":false,"suffix":""},{"dropping-particle":"","family":"Bruno","given":"Christopher J.","non-dropping-particle":"","parse-names":false,"suffix":""},{"dropping-particle":"","family":"Huntington","given":"Jennifer A.","non-dropping-particle":"","parse-names":false,"suffix":""},{"dropping-particle":"","family":"Lin","given":"Gina","non-dropping-particle":"","parse-names":false,"suffix":""},{"dropping-particle":"","family":"Yu","given":"Brian","non-dropping-particle":"","parse-names":false,"suffix":""},{"dropping-particle":"","family":"Butterton","given":"Joan R.","non-dropping-particle":"","parse-names":false,"suffix":""},{"dropping-particle":"","family":"Rhee","given":"Elizabeth G.","non-dropping-particle":"","parse-names":false,"suffix":""}],"container-title":"The Lancet Infectious Diseases","id":"ITEM-1","issue":"12","issued":{"date-parts":[["2019","12","1"]]},"page":"1299-1311","publisher":"Lancet Publishing Group","title":"Ceftolozane–tazobactam versus meropenem for treatment of nosocomial pneumonia (ASPECT-NP): a randomised, controlled, double-blind, phase 3, non-inferiority trial","type":"article-journal","volume":"19"},"uris":["http://www.mendeley.com/documents/?uuid=779e70f2-916f-3769-b6db-f94034eaa2bf"]}],"mendeley":{"formattedCitation":"[126]","plainTextFormattedCitation":"[126]","previouslyFormattedCitation":"[6]"},"properties":{"noteIndex":0},"schema":"https://github.com/citation-style-language/schema/raw/master/csl-citation.json"}</w:instrText>
      </w:r>
      <w:r>
        <w:fldChar w:fldCharType="separate"/>
      </w:r>
      <w:r w:rsidR="00A67ED2" w:rsidRPr="00A67ED2">
        <w:rPr>
          <w:noProof/>
        </w:rPr>
        <w:t>[126]</w:t>
      </w:r>
      <w:r>
        <w:fldChar w:fldCharType="end"/>
      </w:r>
      <w:r w:rsidRPr="00761653">
        <w:t xml:space="preserve">. </w:t>
      </w:r>
      <w:r w:rsidRPr="00761653">
        <w:rPr>
          <w:bCs/>
        </w:rPr>
        <w:t>При нетяжелом течении инфекции</w:t>
      </w:r>
      <w:r w:rsidRPr="00761653">
        <w:t xml:space="preserve"> (диарея, температура, боль в животе) - метронидазол по 500 мг 3 раза в сутки перорально или внутривенно, </w:t>
      </w:r>
      <w:r w:rsidRPr="00761653">
        <w:rPr>
          <w:bCs/>
        </w:rPr>
        <w:t>при тяжелом течении</w:t>
      </w:r>
      <w:r w:rsidRPr="00761653">
        <w:t xml:space="preserve"> (повышение уровня креатинина на 50% и более от исходного значения, снижение уровня альбумина) </w:t>
      </w:r>
      <w:r>
        <w:t>–</w:t>
      </w:r>
      <w:r w:rsidRPr="00761653">
        <w:t xml:space="preserve"> в</w:t>
      </w:r>
      <w:r>
        <w:t>а</w:t>
      </w:r>
      <w:r w:rsidRPr="00761653">
        <w:t xml:space="preserve">нкомицин по 125 мг 4 раза в день перорально или введение в зонд, оро – </w:t>
      </w:r>
      <w:r w:rsidRPr="00761653">
        <w:lastRenderedPageBreak/>
        <w:t xml:space="preserve">или назогастральный, при рефрактерном течении - используют сочетание метронидазола с ванкомицином (метронидазол по 500 мг 3 раза в сутки внутривенно, ванкомицин по 500 мг 4 раза в день через оро- или назогастральный зонд). </w:t>
      </w:r>
      <w:r w:rsidRPr="00761653">
        <w:rPr>
          <w:bCs/>
        </w:rPr>
        <w:t>Длительность лечения</w:t>
      </w:r>
      <w:r w:rsidRPr="00761653">
        <w:t xml:space="preserve"> составляет 10-14 дней.</w:t>
      </w:r>
    </w:p>
    <w:p w14:paraId="6B4246EB" w14:textId="77777777" w:rsidR="00223824" w:rsidRDefault="00223824" w:rsidP="00223824">
      <w:pPr>
        <w:tabs>
          <w:tab w:val="left" w:pos="317"/>
          <w:tab w:val="left" w:pos="8715"/>
        </w:tabs>
        <w:ind w:right="49"/>
        <w:contextualSpacing/>
        <w:rPr>
          <w:b/>
          <w:iCs/>
        </w:rPr>
      </w:pPr>
    </w:p>
    <w:p w14:paraId="68A78DE5" w14:textId="77777777" w:rsidR="00223824" w:rsidRPr="00284D51" w:rsidRDefault="00223824" w:rsidP="00223824">
      <w:pPr>
        <w:ind w:right="49"/>
        <w:contextualSpacing/>
        <w:rPr>
          <w:bCs/>
          <w:i/>
          <w:iCs/>
          <w:u w:val="single"/>
        </w:rPr>
      </w:pPr>
      <w:r w:rsidRPr="00284D51">
        <w:rPr>
          <w:bCs/>
          <w:i/>
          <w:iCs/>
          <w:u w:val="single"/>
        </w:rPr>
        <w:t>Назначение антибиотиков в зависимости от локализации инфекции</w:t>
      </w:r>
    </w:p>
    <w:p w14:paraId="7EFB7303" w14:textId="4A4A9A16" w:rsidR="00223824" w:rsidRPr="00284D51" w:rsidRDefault="00F60A18" w:rsidP="00223824">
      <w:pPr>
        <w:tabs>
          <w:tab w:val="left" w:pos="0"/>
        </w:tabs>
        <w:ind w:right="49"/>
        <w:contextualSpacing/>
        <w:rPr>
          <w:bCs/>
          <w:i/>
          <w:iCs/>
        </w:rPr>
      </w:pPr>
      <w:r>
        <w:rPr>
          <w:bCs/>
          <w:i/>
          <w:iCs/>
        </w:rPr>
        <w:tab/>
      </w:r>
      <w:r w:rsidR="00223824" w:rsidRPr="00284D51">
        <w:rPr>
          <w:bCs/>
          <w:i/>
          <w:iCs/>
        </w:rPr>
        <w:t>Мукозит. Гингивит</w:t>
      </w:r>
    </w:p>
    <w:p w14:paraId="0F783EB7" w14:textId="2B062000" w:rsidR="00223824" w:rsidRPr="00761653" w:rsidRDefault="00F60A18" w:rsidP="00223824">
      <w:pPr>
        <w:tabs>
          <w:tab w:val="left" w:pos="0"/>
        </w:tabs>
        <w:ind w:right="49"/>
        <w:contextualSpacing/>
      </w:pPr>
      <w:r>
        <w:tab/>
      </w:r>
      <w:r w:rsidR="00223824" w:rsidRPr="00761653">
        <w:t xml:space="preserve">Чаще обусловлен грибами рода </w:t>
      </w:r>
      <w:r w:rsidR="00223824" w:rsidRPr="00761653">
        <w:rPr>
          <w:i/>
        </w:rPr>
        <w:t>Candida</w:t>
      </w:r>
      <w:r w:rsidR="00223824" w:rsidRPr="00761653">
        <w:t xml:space="preserve"> и герпес-вирусами, реже грамотрицательными бактериями (</w:t>
      </w:r>
      <w:r w:rsidR="00223824" w:rsidRPr="00761653">
        <w:rPr>
          <w:i/>
        </w:rPr>
        <w:t>P. aeruginosa</w:t>
      </w:r>
      <w:r w:rsidR="00223824" w:rsidRPr="00761653">
        <w:t xml:space="preserve">, </w:t>
      </w:r>
      <w:r w:rsidR="00223824" w:rsidRPr="00761653">
        <w:rPr>
          <w:i/>
        </w:rPr>
        <w:t>S. malthopilia</w:t>
      </w:r>
      <w:r w:rsidR="00223824" w:rsidRPr="00761653">
        <w:t>, бактериями порядка Enterobacterales). Лечение согласно выделенным микроорганизмам. При мукозите III-IV степени - ванкомицин, или даптомицин, или линезолид ввиду высокой вероятности развития сепсиса, обусловленного стрептококками</w:t>
      </w:r>
      <w:r w:rsidR="00223824" w:rsidRPr="00761653">
        <w:rPr>
          <w:b/>
          <w:bCs/>
        </w:rPr>
        <w:t xml:space="preserve"> </w:t>
      </w:r>
      <w:r w:rsidR="00223824" w:rsidRPr="00761653">
        <w:t xml:space="preserve">группы </w:t>
      </w:r>
      <w:r w:rsidR="00223824" w:rsidRPr="00761653">
        <w:rPr>
          <w:i/>
          <w:iCs/>
        </w:rPr>
        <w:t>viridans</w:t>
      </w:r>
      <w:r w:rsidR="00223824" w:rsidRPr="00761653">
        <w:t xml:space="preserve">. </w:t>
      </w:r>
    </w:p>
    <w:p w14:paraId="130AB971" w14:textId="250669F5" w:rsidR="00223824" w:rsidRPr="00284D51" w:rsidRDefault="00F60A18" w:rsidP="00223824">
      <w:pPr>
        <w:tabs>
          <w:tab w:val="left" w:pos="0"/>
        </w:tabs>
        <w:ind w:right="49"/>
        <w:contextualSpacing/>
        <w:rPr>
          <w:bCs/>
          <w:i/>
          <w:iCs/>
        </w:rPr>
      </w:pPr>
      <w:r>
        <w:rPr>
          <w:bCs/>
          <w:i/>
          <w:iCs/>
        </w:rPr>
        <w:tab/>
      </w:r>
      <w:r w:rsidR="00223824" w:rsidRPr="00284D51">
        <w:rPr>
          <w:bCs/>
          <w:i/>
          <w:iCs/>
        </w:rPr>
        <w:t>Пневмония</w:t>
      </w:r>
    </w:p>
    <w:p w14:paraId="1D78D80E" w14:textId="021B9A33" w:rsidR="00223824" w:rsidRPr="00761653" w:rsidRDefault="00F60A18" w:rsidP="00223824">
      <w:pPr>
        <w:tabs>
          <w:tab w:val="left" w:pos="0"/>
        </w:tabs>
        <w:ind w:right="49"/>
        <w:contextualSpacing/>
      </w:pPr>
      <w:r>
        <w:tab/>
      </w:r>
      <w:r w:rsidR="00223824" w:rsidRPr="00761653">
        <w:t xml:space="preserve">При стабильной ситуации выполняют БАЛ и дальнейшую модификацию антимикробной терапии осуществляют по результатам микробиологического исследования. При нестабильном соматическом состоянии или невозможности выполнения БАЛ назначают карбапенем (меропенем или имипенем/циластатин или дорипенем) и отменяют антибиотики первого этапа у больных с фебрильной нейтропенией. Вориконазол добавляют к лечению при пневмонии, резистентной к лечению антибиотиками, больным с нейтропенией от 10 дней и более или при лечении глюкокортикоидами, при условии, что не выявлены другие потенциальные возбудители пневмонии. Вориконазол назначают внутривенно, в 1-й день по 6 мг/кг 2 раза в сутки, в последующие дни по 4 мг/кг 2 раза в сутки, с переходом в дальнейшем на пероральную форму по 200 мг 2 раза в сутки, прием таблеток натощак или через 1 час после еды. </w:t>
      </w:r>
    </w:p>
    <w:p w14:paraId="400546CF" w14:textId="77777777" w:rsidR="00223824" w:rsidRPr="00284D51" w:rsidRDefault="00223824" w:rsidP="00F60A18">
      <w:pPr>
        <w:ind w:right="49" w:firstLine="720"/>
        <w:contextualSpacing/>
        <w:rPr>
          <w:bCs/>
          <w:i/>
        </w:rPr>
      </w:pPr>
      <w:r w:rsidRPr="00284D51">
        <w:rPr>
          <w:bCs/>
          <w:i/>
        </w:rPr>
        <w:t>Инфекция перианальной области (парапроктит, обострение геморроя и другие)</w:t>
      </w:r>
    </w:p>
    <w:p w14:paraId="257A561B" w14:textId="77777777" w:rsidR="00223824" w:rsidRPr="00761653" w:rsidRDefault="00223824" w:rsidP="00F60A18">
      <w:pPr>
        <w:ind w:right="49" w:firstLine="720"/>
        <w:contextualSpacing/>
      </w:pPr>
      <w:r>
        <w:t xml:space="preserve">Диагностику и тактику лечения перианальной области – см. ниже в настоящей главе. </w:t>
      </w:r>
      <w:r w:rsidRPr="00761653">
        <w:t xml:space="preserve">Схемы антимикробной терапии включаяют препараты с активностью против грамотрицательных и анаэробных бактерий (цефоперазон/сульбактам + амикацин, или цефепим + амикацин + метронидазол или антипсевдомонадный карбапенем). При неэффективности добавляют антибиотики, активные против грамположительных бактерий (ванкомицин или телаванцин или линезолид или тедизолид или даптомицин), при выделении </w:t>
      </w:r>
      <w:r w:rsidRPr="00761653">
        <w:rPr>
          <w:i/>
        </w:rPr>
        <w:t>Candida</w:t>
      </w:r>
      <w:r w:rsidRPr="00761653">
        <w:t xml:space="preserve"> spp. из ректального мазка – флуконазол (400 мг в/в 1 раз в сутки). </w:t>
      </w:r>
    </w:p>
    <w:p w14:paraId="61461AA8" w14:textId="77777777" w:rsidR="00223824" w:rsidRDefault="00223824" w:rsidP="00223824">
      <w:pPr>
        <w:ind w:right="49"/>
        <w:contextualSpacing/>
        <w:rPr>
          <w:b/>
          <w:bCs/>
        </w:rPr>
      </w:pPr>
    </w:p>
    <w:p w14:paraId="5979787F" w14:textId="77777777" w:rsidR="00223824" w:rsidRPr="00284D51" w:rsidRDefault="00223824" w:rsidP="00F60A18">
      <w:pPr>
        <w:ind w:right="49" w:firstLine="720"/>
        <w:contextualSpacing/>
        <w:rPr>
          <w:bCs/>
          <w:i/>
          <w:iCs/>
          <w:u w:val="single"/>
        </w:rPr>
      </w:pPr>
      <w:r w:rsidRPr="00284D51">
        <w:rPr>
          <w:bCs/>
          <w:i/>
          <w:iCs/>
          <w:u w:val="single"/>
        </w:rPr>
        <w:t>Критерии прекращения противомикробной терапии</w:t>
      </w:r>
    </w:p>
    <w:p w14:paraId="24107555" w14:textId="77777777" w:rsidR="00223824" w:rsidRPr="00761653" w:rsidRDefault="00223824" w:rsidP="00F60A18">
      <w:pPr>
        <w:ind w:right="49" w:firstLine="720"/>
        <w:contextualSpacing/>
      </w:pPr>
      <w:r w:rsidRPr="00284D51">
        <w:rPr>
          <w:i/>
          <w:iCs/>
        </w:rPr>
        <w:lastRenderedPageBreak/>
        <w:t>При лихорадке неясной этиологии</w:t>
      </w:r>
      <w:r w:rsidRPr="00284D51">
        <w:rPr>
          <w:b/>
          <w:bCs/>
        </w:rPr>
        <w:t xml:space="preserve"> </w:t>
      </w:r>
      <w:r w:rsidRPr="00284D51">
        <w:t>в период нейтропении/лейкопении антибиотики</w:t>
      </w:r>
      <w:r w:rsidRPr="00761653">
        <w:t xml:space="preserve"> отменяют через 72 часа, если у </w:t>
      </w:r>
      <w:r>
        <w:t>пациента</w:t>
      </w:r>
      <w:r w:rsidRPr="00761653">
        <w:t xml:space="preserve"> не было эпизода нестабильной гемодинамики в данный эпизод инфекции и нормальная температура отмечается в течение 48 ч. </w:t>
      </w:r>
    </w:p>
    <w:p w14:paraId="26720583" w14:textId="77777777" w:rsidR="00223824" w:rsidRPr="00761653" w:rsidRDefault="00223824" w:rsidP="00F60A18">
      <w:pPr>
        <w:ind w:right="49" w:firstLine="720"/>
        <w:contextualSpacing/>
      </w:pPr>
      <w:r w:rsidRPr="00284D51">
        <w:rPr>
          <w:i/>
          <w:iCs/>
        </w:rPr>
        <w:t>При клинически и микробиологически доказанной инфекции</w:t>
      </w:r>
      <w:r w:rsidRPr="00284D51">
        <w:t xml:space="preserve"> длительность</w:t>
      </w:r>
      <w:r w:rsidRPr="00761653">
        <w:t xml:space="preserve"> применения антибиотиков составляет не менее 7 дней, при соблюдении условий, что нормальная температура наблюдается не менее 4-х дней, очаги инфекции полностью регрессировали, достигнута (или предполагается) микробиологическая эрадикация возбудителя подтвержденной инфекции. После отмены антибиотиков продолжиют наблюдение </w:t>
      </w:r>
      <w:r>
        <w:t>пациента</w:t>
      </w:r>
      <w:r w:rsidRPr="00761653">
        <w:t xml:space="preserve"> с нейтропенией/лейкопенией в течение последующих 24-48 ч, и в случае появления температуры вновь назначают антибиотики. </w:t>
      </w:r>
    </w:p>
    <w:p w14:paraId="7F4A3EF0" w14:textId="77777777" w:rsidR="00223824" w:rsidRDefault="00223824" w:rsidP="00223824">
      <w:pPr>
        <w:ind w:right="49"/>
        <w:contextualSpacing/>
        <w:rPr>
          <w:b/>
          <w:bCs/>
        </w:rPr>
      </w:pPr>
    </w:p>
    <w:p w14:paraId="5E5D80E9" w14:textId="77777777" w:rsidR="00223824" w:rsidRPr="00284D51" w:rsidRDefault="00223824" w:rsidP="00840044">
      <w:pPr>
        <w:ind w:right="49" w:firstLine="720"/>
        <w:contextualSpacing/>
        <w:rPr>
          <w:bCs/>
          <w:i/>
          <w:iCs/>
          <w:u w:val="single"/>
        </w:rPr>
      </w:pPr>
      <w:r w:rsidRPr="00284D51">
        <w:rPr>
          <w:bCs/>
          <w:i/>
          <w:iCs/>
          <w:u w:val="single"/>
        </w:rPr>
        <w:t>Лечение пациентов в амбулаторных условиях</w:t>
      </w:r>
    </w:p>
    <w:p w14:paraId="44275112" w14:textId="77777777" w:rsidR="00223824" w:rsidRDefault="00223824" w:rsidP="00840044">
      <w:pPr>
        <w:ind w:right="49" w:firstLine="720"/>
        <w:contextualSpacing/>
      </w:pPr>
      <w:r w:rsidRPr="00761653">
        <w:t xml:space="preserve">Амбулаторное лечение инфекционных осложнений в период нейтропении/лейкопении </w:t>
      </w:r>
      <w:r w:rsidRPr="00D40538">
        <w:t xml:space="preserve">проводят в большинстве случаев при условии, что ожидаемая длительность ее не будет превышать 5-10 дней и единственный симптом инфекции – температура менее 39,0°С; при этом нет значимых изменений в легких по данным радиологических исследований; отсутствует артериальная гипотензия и дыхательная недостаточность; нет клиники декомпенсации </w:t>
      </w:r>
      <w:r w:rsidRPr="00761653">
        <w:t xml:space="preserve">хронических заболеваний легких и сахарного диабета; нет нарушения сознания; отсутствует кровотечение; на предыдущих курсах химиотерапии не было инвазивного аспергиллеза. При ухудшении состояния больной должен быть </w:t>
      </w:r>
      <w:r w:rsidRPr="00D40538">
        <w:t xml:space="preserve">экстренно </w:t>
      </w:r>
      <w:r w:rsidRPr="00761653">
        <w:t xml:space="preserve">госпитализирован в стационар в любое время суток. </w:t>
      </w:r>
    </w:p>
    <w:p w14:paraId="335E04FE" w14:textId="77777777" w:rsidR="00223824" w:rsidRDefault="00223824" w:rsidP="00840044">
      <w:pPr>
        <w:ind w:right="49" w:firstLine="720"/>
        <w:contextualSpacing/>
      </w:pPr>
      <w:r w:rsidRPr="00761653">
        <w:t xml:space="preserve">Амбулаторно назначают сочетание амоксициллина/клавуланата (625 мг внутрь 3 раза в сутки) с ципрофлоксацином (0,5 г внутрь 2 раза в сутки) </w:t>
      </w:r>
      <w:r w:rsidRPr="00761653">
        <w:rPr>
          <w:i/>
          <w:iCs/>
        </w:rPr>
        <w:t xml:space="preserve">или </w:t>
      </w:r>
      <w:r w:rsidRPr="00761653">
        <w:t xml:space="preserve">левофлоксацин (по 0,5 г внутрь 1 раз в сутки) </w:t>
      </w:r>
      <w:r w:rsidRPr="00761653">
        <w:rPr>
          <w:i/>
          <w:iCs/>
        </w:rPr>
        <w:t>или</w:t>
      </w:r>
      <w:r w:rsidRPr="00761653">
        <w:t xml:space="preserve"> моксифлоксацин (0,4 г внутрь1 раз в сутки).</w:t>
      </w:r>
    </w:p>
    <w:p w14:paraId="38F25BDE" w14:textId="77777777" w:rsidR="00223824" w:rsidRDefault="00223824" w:rsidP="00223824">
      <w:pPr>
        <w:ind w:right="49"/>
        <w:contextualSpacing/>
        <w:jc w:val="left"/>
        <w:rPr>
          <w:b/>
        </w:rPr>
      </w:pPr>
    </w:p>
    <w:p w14:paraId="44BB1416" w14:textId="77777777" w:rsidR="00223824" w:rsidRPr="00284D51" w:rsidRDefault="00223824" w:rsidP="00840044">
      <w:pPr>
        <w:ind w:right="49" w:firstLine="720"/>
        <w:contextualSpacing/>
        <w:rPr>
          <w:bCs/>
          <w:i/>
          <w:iCs/>
          <w:u w:val="single"/>
        </w:rPr>
      </w:pPr>
      <w:r w:rsidRPr="00284D51">
        <w:rPr>
          <w:bCs/>
          <w:i/>
          <w:iCs/>
          <w:u w:val="single"/>
        </w:rPr>
        <w:t xml:space="preserve">Перианальная инфекция </w:t>
      </w:r>
    </w:p>
    <w:p w14:paraId="57FE71EC" w14:textId="77777777" w:rsidR="00223824" w:rsidRPr="009A4DCC" w:rsidRDefault="00223824" w:rsidP="00840044">
      <w:pPr>
        <w:ind w:right="49" w:firstLine="708"/>
        <w:contextualSpacing/>
      </w:pPr>
      <w:r>
        <w:t>Перианальная инфекция чаще встречается при нейтропении, которая</w:t>
      </w:r>
      <w:r w:rsidRPr="009A4DCC">
        <w:t xml:space="preserve"> существенным образом меняет клинику и течение инфекционных процессов, формирование воспалительных изменений в тканях может быть отсроченным и иметь атипичные формы; так, формирование абсцессов в условиях нейтропении происходит редко, изменения в тканях могут представлять собой воспалител</w:t>
      </w:r>
      <w:r>
        <w:t>ьные инфильтраты и некрозы</w:t>
      </w:r>
      <w:r w:rsidRPr="009A4DCC">
        <w:t xml:space="preserve">. Кроме того, нейтропения определяет возможность для появления дополнительных механизмов инфицирования – распространения микроорганизмов в ткани и кровоток со слизистой кишечника, через повреждения кожи анального канала и перианальной области. Поэтому </w:t>
      </w:r>
      <w:r w:rsidRPr="009A4DCC">
        <w:lastRenderedPageBreak/>
        <w:t>в условиях нейтропении частыми источниками инфицирования параректальной клетчатки становятся анальные трещины, язвы, эрозивные проктиты, дерматиты и другие процессы, нарушающие барьерну</w:t>
      </w:r>
      <w:r>
        <w:t>ю функцию кожи и слизистой</w:t>
      </w:r>
      <w:r w:rsidRPr="009A4DCC">
        <w:t>.</w:t>
      </w:r>
      <w:r>
        <w:t xml:space="preserve"> </w:t>
      </w:r>
      <w:r w:rsidRPr="009A4DCC">
        <w:t xml:space="preserve">Опасность перианальной инфекции на фоне нейтропении обусловлена высокой </w:t>
      </w:r>
      <w:r>
        <w:t>(до 30%) вероятностью сепсиса</w:t>
      </w:r>
      <w:r w:rsidRPr="009A4DCC">
        <w:t xml:space="preserve">. </w:t>
      </w:r>
    </w:p>
    <w:p w14:paraId="57655415" w14:textId="77777777" w:rsidR="00223824" w:rsidRPr="00284D51" w:rsidRDefault="00223824" w:rsidP="00223824">
      <w:pPr>
        <w:ind w:firstLine="708"/>
        <w:rPr>
          <w:bCs/>
          <w:i/>
          <w:iCs/>
        </w:rPr>
      </w:pPr>
      <w:r w:rsidRPr="00284D51">
        <w:rPr>
          <w:bCs/>
          <w:i/>
          <w:iCs/>
        </w:rPr>
        <w:t>Клиническая картина.</w:t>
      </w:r>
    </w:p>
    <w:p w14:paraId="6557924D" w14:textId="77777777" w:rsidR="00223824" w:rsidRPr="009A4DCC" w:rsidRDefault="00223824" w:rsidP="00223824">
      <w:pPr>
        <w:ind w:firstLine="708"/>
      </w:pPr>
      <w:r w:rsidRPr="009A4DCC">
        <w:t>Признаками перианальной инфекции обычно являются ан</w:t>
      </w:r>
      <w:r>
        <w:t>оректальная боль и лихорадка</w:t>
      </w:r>
      <w:r w:rsidRPr="009A4DCC">
        <w:t>. Оценка характера изменений в тканях является основой для выбора тактики лечения.</w:t>
      </w:r>
    </w:p>
    <w:p w14:paraId="6B948AA8" w14:textId="77777777" w:rsidR="00223824" w:rsidRPr="00284D51" w:rsidRDefault="00223824" w:rsidP="00223824">
      <w:pPr>
        <w:ind w:firstLine="708"/>
        <w:rPr>
          <w:bCs/>
          <w:i/>
          <w:iCs/>
        </w:rPr>
      </w:pPr>
      <w:r w:rsidRPr="00284D51">
        <w:rPr>
          <w:bCs/>
          <w:i/>
          <w:iCs/>
        </w:rPr>
        <w:t>Диагностика.</w:t>
      </w:r>
    </w:p>
    <w:p w14:paraId="3C984472" w14:textId="77777777" w:rsidR="00223824" w:rsidRPr="009A4DCC" w:rsidRDefault="00223824" w:rsidP="00A45B6B">
      <w:pPr>
        <w:pStyle w:val="afff3"/>
        <w:widowControl/>
        <w:numPr>
          <w:ilvl w:val="0"/>
          <w:numId w:val="246"/>
        </w:numPr>
        <w:autoSpaceDE/>
        <w:autoSpaceDN/>
        <w:adjustRightInd/>
      </w:pPr>
      <w:r w:rsidRPr="009A4DCC">
        <w:t>Осмотр колопроктолога (первичный и повторно в динамике)</w:t>
      </w:r>
    </w:p>
    <w:p w14:paraId="3886952B" w14:textId="77777777" w:rsidR="00223824" w:rsidRPr="009A4DCC" w:rsidRDefault="00223824" w:rsidP="00A45B6B">
      <w:pPr>
        <w:pStyle w:val="afff3"/>
        <w:widowControl/>
        <w:numPr>
          <w:ilvl w:val="0"/>
          <w:numId w:val="246"/>
        </w:numPr>
        <w:autoSpaceDE/>
        <w:autoSpaceDN/>
        <w:adjustRightInd/>
      </w:pPr>
      <w:r w:rsidRPr="009A4DCC">
        <w:t>МРТ органов малого таза.</w:t>
      </w:r>
    </w:p>
    <w:p w14:paraId="1E155E9A" w14:textId="77777777" w:rsidR="00223824" w:rsidRPr="009A4DCC" w:rsidRDefault="00223824" w:rsidP="00A45B6B">
      <w:pPr>
        <w:pStyle w:val="afff3"/>
        <w:widowControl/>
        <w:numPr>
          <w:ilvl w:val="0"/>
          <w:numId w:val="246"/>
        </w:numPr>
        <w:autoSpaceDE/>
        <w:autoSpaceDN/>
        <w:adjustRightInd/>
      </w:pPr>
      <w:r>
        <w:t>КТ/СКТ</w:t>
      </w:r>
      <w:r w:rsidRPr="009A4DCC">
        <w:t xml:space="preserve"> органов малого таза</w:t>
      </w:r>
    </w:p>
    <w:p w14:paraId="34DAF477" w14:textId="77777777" w:rsidR="00223824" w:rsidRPr="00AE580F" w:rsidRDefault="00223824" w:rsidP="00A45B6B">
      <w:pPr>
        <w:pStyle w:val="afff3"/>
        <w:widowControl/>
        <w:numPr>
          <w:ilvl w:val="0"/>
          <w:numId w:val="246"/>
        </w:numPr>
        <w:autoSpaceDE/>
        <w:autoSpaceDN/>
        <w:adjustRightInd/>
      </w:pPr>
      <w:r>
        <w:t>Бактериологическое исследование</w:t>
      </w:r>
    </w:p>
    <w:p w14:paraId="4EE14DC0" w14:textId="77777777" w:rsidR="00223824" w:rsidRPr="009A4DCC" w:rsidRDefault="00223824" w:rsidP="00223824">
      <w:pPr>
        <w:ind w:firstLine="708"/>
      </w:pPr>
      <w:r w:rsidRPr="009A4DCC">
        <w:t>Диагноз перианальной инфекции устанавливается клинически на основании симптомов</w:t>
      </w:r>
      <w:r>
        <w:t>,</w:t>
      </w:r>
      <w:r w:rsidRPr="009A4DCC">
        <w:t xml:space="preserve"> характеризующих воспаление: перианальная боль, эритема, скопление жидк</w:t>
      </w:r>
      <w:r>
        <w:t>ости или образование свища</w:t>
      </w:r>
      <w:r w:rsidRPr="009A4DCC">
        <w:t>. При обследовании пациентов с нейтропенией важно учитывать, что инвазивные диагностические процедуры (ректальное исследование и ректоскопии) у этой категории больных связаны с опасностью диссеминации</w:t>
      </w:r>
      <w:r>
        <w:t xml:space="preserve"> инфекции в ткани и кровоток</w:t>
      </w:r>
      <w:r w:rsidRPr="009A4DCC">
        <w:t>. Если диагноз перианальной инфекции сомнителен у пациента с перианальной болью и недостаточностью клинических признаков, проводится визуализация с помощью МРТ или КТ</w:t>
      </w:r>
      <w:r>
        <w:t>/СКТ органов малого таза</w:t>
      </w:r>
      <w:r w:rsidRPr="009A4DCC">
        <w:t>. МРТ признаками перианальной инфекции является наличие полостей в параректальной клетчатке, скоплений жидкости, дефектов стенки прямой кишки и свищевых ходов. У больных с нейтропенией при наличии клинических данных достаточным МРТ-признаком перианальной инфекции является наличие отека па</w:t>
      </w:r>
      <w:r>
        <w:t>раректальной клетчатки</w:t>
      </w:r>
      <w:r w:rsidRPr="009A4DCC">
        <w:t>. Для выявления характера микрофлоры, назначения и модификации антибактериальной терапии проводят микробиологическое, молекулярное и др. исследования мазков со слизистой прямой кишки, отделяемого свища, поверхности раны</w:t>
      </w:r>
      <w:r>
        <w:t>, соскоба кожи перианальной области</w:t>
      </w:r>
      <w:r w:rsidRPr="009A4DCC">
        <w:t xml:space="preserve">. </w:t>
      </w:r>
    </w:p>
    <w:p w14:paraId="34709465" w14:textId="77777777" w:rsidR="00223824" w:rsidRPr="00284D51" w:rsidRDefault="00223824" w:rsidP="00223824">
      <w:pPr>
        <w:ind w:firstLine="708"/>
        <w:rPr>
          <w:bCs/>
          <w:i/>
          <w:iCs/>
        </w:rPr>
      </w:pPr>
      <w:r w:rsidRPr="00284D51">
        <w:rPr>
          <w:bCs/>
          <w:i/>
          <w:iCs/>
        </w:rPr>
        <w:t>Лечение</w:t>
      </w:r>
    </w:p>
    <w:p w14:paraId="5DF9B1C5" w14:textId="77777777" w:rsidR="00223824" w:rsidRPr="00F36465" w:rsidRDefault="00223824" w:rsidP="00A45B6B">
      <w:pPr>
        <w:pStyle w:val="afff3"/>
        <w:widowControl/>
        <w:numPr>
          <w:ilvl w:val="0"/>
          <w:numId w:val="247"/>
        </w:numPr>
        <w:autoSpaceDE/>
        <w:autoSpaceDN/>
        <w:adjustRightInd/>
      </w:pPr>
      <w:r w:rsidRPr="00F36465">
        <w:t>Антибактериальная терапия</w:t>
      </w:r>
      <w:r>
        <w:t xml:space="preserve"> (см. выше)</w:t>
      </w:r>
    </w:p>
    <w:p w14:paraId="4F25AC8E" w14:textId="77777777" w:rsidR="00223824" w:rsidRPr="00F22A59" w:rsidRDefault="00223824" w:rsidP="00A45B6B">
      <w:pPr>
        <w:pStyle w:val="afff3"/>
        <w:widowControl/>
        <w:numPr>
          <w:ilvl w:val="0"/>
          <w:numId w:val="247"/>
        </w:numPr>
        <w:autoSpaceDE/>
        <w:autoSpaceDN/>
        <w:adjustRightInd/>
      </w:pPr>
      <w:r>
        <w:t>Хирургическое пособие</w:t>
      </w:r>
    </w:p>
    <w:p w14:paraId="7359A331" w14:textId="54DB0139" w:rsidR="00223824" w:rsidRPr="009A4DCC" w:rsidRDefault="001647AE" w:rsidP="00223824">
      <w:pPr>
        <w:ind w:firstLine="708"/>
      </w:pPr>
      <w:r w:rsidRPr="009A4DCC">
        <w:t>Для пациентов,</w:t>
      </w:r>
      <w:r w:rsidR="00223824" w:rsidRPr="009A4DCC">
        <w:t xml:space="preserve"> страдающих нейтропенией или иной формой иммуносупресии, аноректальные инфекции рассматриваются как состояние, требующее неотложного лечения с помощью антибиотиков, что позволяется остановить развитие аноректал</w:t>
      </w:r>
      <w:r w:rsidR="00223824">
        <w:t xml:space="preserve">ьной </w:t>
      </w:r>
      <w:r w:rsidR="00223824">
        <w:lastRenderedPageBreak/>
        <w:t>инфекции и сепсиса</w:t>
      </w:r>
      <w:r w:rsidR="00223824" w:rsidRPr="009A4DCC">
        <w:t>. Показано применение на первом этапе антимикробных препаратов, проявляющих активность в отношении грамотрицательных бактерий, включа</w:t>
      </w:r>
      <w:r w:rsidR="00223824">
        <w:t>я синегнойную палочку</w:t>
      </w:r>
      <w:r w:rsidR="00223824" w:rsidRPr="009A4DCC">
        <w:t xml:space="preserve">, введение антимикробных препаратов проводится только </w:t>
      </w:r>
      <w:r w:rsidR="00223824">
        <w:t xml:space="preserve">внутрь и </w:t>
      </w:r>
      <w:r w:rsidR="00223824" w:rsidRPr="009A4DCC">
        <w:t xml:space="preserve">внутривенно. </w:t>
      </w:r>
    </w:p>
    <w:p w14:paraId="50D68650" w14:textId="77777777" w:rsidR="00223824" w:rsidRPr="009A4DCC" w:rsidRDefault="00223824" w:rsidP="00223824">
      <w:pPr>
        <w:ind w:firstLine="708"/>
      </w:pPr>
      <w:r w:rsidRPr="009A4DCC">
        <w:t>Показанием к операции является формировани</w:t>
      </w:r>
      <w:r>
        <w:t>е абсцесса или некроза</w:t>
      </w:r>
      <w:r w:rsidRPr="009A4DCC">
        <w:t>. Выполняют дрениро</w:t>
      </w:r>
      <w:r>
        <w:t>вание полостей, некрэктомию</w:t>
      </w:r>
      <w:r w:rsidRPr="009A4DCC">
        <w:t>. В ряде случаев (флегмона таза, свищи 3-4 степени сложности) оперативное дренирование сочетают с наложением отводящей колостомы. Хирургическое вмешательство должно быть проведено на фоне антибактериальной терапии под общим обезболиванием. Антибактериальная терапия должна быть продолжена в послеоперационном периоде до исче</w:t>
      </w:r>
      <w:r>
        <w:t>зновения признаков инфекции</w:t>
      </w:r>
      <w:r w:rsidRPr="009A4DCC">
        <w:t xml:space="preserve">. </w:t>
      </w:r>
    </w:p>
    <w:p w14:paraId="50EB7A1C" w14:textId="77777777" w:rsidR="00223824" w:rsidRPr="009A4DCC" w:rsidRDefault="00223824" w:rsidP="00223824">
      <w:pPr>
        <w:ind w:firstLine="708"/>
      </w:pPr>
      <w:r w:rsidRPr="009A4DCC">
        <w:t>Пациенты с абсолютным количеством нейтрофилов более 1000х10</w:t>
      </w:r>
      <w:r w:rsidRPr="009A4DCC">
        <w:rPr>
          <w:vertAlign w:val="superscript"/>
        </w:rPr>
        <w:t>9</w:t>
      </w:r>
      <w:r w:rsidRPr="009A4DCC">
        <w:t xml:space="preserve">/л имеют более высокие показатели излечения при хирургическом дренировании, пациенты с более низким количеством нейтрофилов и / или отсутствием флюктуации более успешно лечатся </w:t>
      </w:r>
      <w:r>
        <w:t xml:space="preserve">применением </w:t>
      </w:r>
      <w:r w:rsidRPr="009A4DCC">
        <w:t>только антибиотик</w:t>
      </w:r>
      <w:r>
        <w:t>ов</w:t>
      </w:r>
      <w:r w:rsidRPr="009A4DCC">
        <w:t xml:space="preserve">. </w:t>
      </w:r>
    </w:p>
    <w:p w14:paraId="74B87636" w14:textId="5D2054B0" w:rsidR="00223824" w:rsidRDefault="00223824" w:rsidP="00223824">
      <w:pPr>
        <w:ind w:firstLine="708"/>
      </w:pPr>
      <w:r w:rsidRPr="009A4DCC">
        <w:t xml:space="preserve">Прогноз при перианальной инфекции зависит от клинической ситуации. Показатель летальности непосредственно связанный с перианальными инфекционными осложнениями среди онкогематологических пациентов </w:t>
      </w:r>
      <w:r>
        <w:t>при адекватных подходах составляет менее 5%</w:t>
      </w:r>
      <w:r w:rsidRPr="009A4DCC">
        <w:t>.</w:t>
      </w:r>
    </w:p>
    <w:p w14:paraId="55DAE843" w14:textId="19785D8A" w:rsidR="00907B9C" w:rsidRPr="007531B6" w:rsidRDefault="00A45B6B" w:rsidP="004905C2">
      <w:pPr>
        <w:pStyle w:val="2"/>
      </w:pPr>
      <w:bookmarkStart w:id="192" w:name="_Toc64565660"/>
      <w:r w:rsidRPr="00A7029B">
        <w:t>7.</w:t>
      </w:r>
      <w:r w:rsidR="00143441">
        <w:t>10</w:t>
      </w:r>
      <w:r w:rsidRPr="00A7029B">
        <w:t xml:space="preserve">. </w:t>
      </w:r>
      <w:bookmarkStart w:id="193" w:name="_Toc57985410"/>
      <w:bookmarkStart w:id="194" w:name="_Toc64478031"/>
      <w:bookmarkStart w:id="195" w:name="_Toc520213128"/>
      <w:r w:rsidR="00907B9C">
        <w:t>Д</w:t>
      </w:r>
      <w:r w:rsidR="00907B9C" w:rsidRPr="007531B6">
        <w:t>иагностика и лечение инфекций</w:t>
      </w:r>
      <w:r w:rsidR="00907B9C">
        <w:t xml:space="preserve">, </w:t>
      </w:r>
      <w:r w:rsidR="00907B9C" w:rsidRPr="007531B6">
        <w:t>вызванных грибами</w:t>
      </w:r>
      <w:bookmarkEnd w:id="192"/>
      <w:bookmarkEnd w:id="193"/>
      <w:bookmarkEnd w:id="194"/>
      <w:r w:rsidR="00143441">
        <w:t xml:space="preserve"> при лейкозе</w:t>
      </w:r>
    </w:p>
    <w:p w14:paraId="4A0D40DC" w14:textId="3624B4AF" w:rsidR="00907B9C" w:rsidRPr="0002711B" w:rsidRDefault="00840044" w:rsidP="00907B9C">
      <w:pPr>
        <w:ind w:firstLine="708"/>
      </w:pPr>
      <w:r>
        <w:t xml:space="preserve">Высокотехнологичные методы лечения лейкозов и особенности иммунодефицита у пациентов с </w:t>
      </w:r>
      <w:r w:rsidRPr="006E2E13">
        <w:t>лейкозами</w:t>
      </w:r>
      <w:r>
        <w:rPr>
          <w:color w:val="FF0000"/>
        </w:rPr>
        <w:t xml:space="preserve"> </w:t>
      </w:r>
      <w:r w:rsidR="00907B9C">
        <w:t>ассоциированы с увеличением частоты оппортунистических инфекций и прежде всего инфекционных осложнений, вызванных грибами. В структуре инвазивных микозов ведущую позицию занимает инвазивный аспергиллез, далее следует инвазивный кандидоз, возрастает частота микозов, вызванных другими плесневыми грибами. В приложении представлены характеристика инфекционного процесса, вызванного грибами, особенности диагностики и лечения в зависимости от выделенного возбудителя.</w:t>
      </w:r>
    </w:p>
    <w:p w14:paraId="797E0EB0" w14:textId="77777777" w:rsidR="00907B9C" w:rsidRDefault="00907B9C" w:rsidP="00907B9C">
      <w:pPr>
        <w:ind w:right="51"/>
        <w:contextualSpacing/>
        <w:rPr>
          <w:b/>
          <w:bCs/>
        </w:rPr>
      </w:pPr>
    </w:p>
    <w:p w14:paraId="74065CD0" w14:textId="4FD6DF2E" w:rsidR="00907B9C" w:rsidRPr="00084B8B" w:rsidRDefault="00907B9C" w:rsidP="00907B9C">
      <w:pPr>
        <w:ind w:right="49"/>
        <w:contextualSpacing/>
        <w:rPr>
          <w:bCs/>
          <w:u w:val="single"/>
        </w:rPr>
      </w:pPr>
      <w:r w:rsidRPr="00F87280">
        <w:rPr>
          <w:bCs/>
          <w:u w:val="single"/>
        </w:rPr>
        <w:t>Диагностика и лечение кандидоза</w:t>
      </w:r>
      <w:r>
        <w:rPr>
          <w:bCs/>
          <w:u w:val="single"/>
          <w:lang w:val="en-US"/>
        </w:rPr>
        <w:t xml:space="preserve"> </w:t>
      </w:r>
      <w:r>
        <w:rPr>
          <w:b/>
        </w:rPr>
        <w:fldChar w:fldCharType="begin" w:fldLock="1"/>
      </w:r>
      <w:r w:rsidR="00A67ED2">
        <w:rPr>
          <w:b/>
        </w:rPr>
        <w:instrText>ADDIN CSL_CITATION {"citationItems":[{"id":"ITEM-1","itemData":{"author":[{"dropping-particle":"","family":"Клясова","given":"Г.А.","non-dropping-particle":"","parse-names":false,"suffix":""},{"dropping-particle":"","family":"Охмат","given":"В.А.","non-dropping-particle":"","parse-names":false,"suffix":""}],"container-title":"Алгоритмы диагностики и протоколы лечения заболеваний системы крови. Под редакцией Савченко В.Г.","id":"ITEM-1","issued":{"date-parts":[["2018"]]},"page":"1067-1114","publisher":"Москва: Практика","title":"Антимикробная терапия","type":"chapter"},"uris":["http://www.mendeley.com/documents/?uuid=bd993c26-9214-4147-919c-9e856393def0"]},{"id":"ITEM-2","itemData":{"DOI":"10.1038/bmt.2010.175","ISSN":"14765365","abstract":"In 2005, several groups, including the European Group for Blood and Marrow Transplantation, the European Organization for Treatment and Research of Cancer, the European Leukemia Net and the Immunocompromised Host Society created the European Conference on Infections in Leukemia (ECIL). The main goal of ECIL is to elaborate guidelines, or recommendations, for the management of infections in leukemia and stem cell transplant patients. The first sets of ECIL slides about the management of invasive fungal disease were made available on the web in 2006 and the papers were published in 2007. The third meeting of the group (ECIL 3) was held in September 2009 and the group updated its previous recommendations. The goal of this paper is to summarize the new proposals from ECIL 3, based on the results of studies published after the ECIL 2 meeting: (1) the prophylactic recommendations for hematopoietic stem cell transplant recipients were formulated differently, by splitting the neutropenic and the GVHD phases and taking into account recent data on voriconazole; (2) micafungin was introduced as an alternative drug for empirical antifungal therapy; (3) although several studies were published on preemptive antifungal approaches in neutropenic patients, the group decided not to propose any recommendation, as the only randomized study comparing an empirical versus a preemptive approach showed a significant excess of fungal disease in the preemptive group. © 2011 Macmillan Publishers Limited All rights reserved.","author":[{"dropping-particle":"","family":"Maertens","given":"J.","non-dropping-particle":"","parse-names":false,"suffix":""},{"dropping-particle":"","family":"Marchetti","given":"O.","non-dropping-particle":"","parse-names":false,"suffix":""},{"dropping-particle":"","family":"Herbrecht","given":"R.","non-dropping-particle":"","parse-names":false,"suffix":""},{"dropping-particle":"","family":"Cornely","given":"O. A.","non-dropping-particle":"","parse-names":false,"suffix":""},{"dropping-particle":"","family":"Flückiger","given":"U.","non-dropping-particle":"","parse-names":false,"suffix":""},{"dropping-particle":"","family":"Frre","given":"P.","non-dropping-particle":"","parse-names":false,"suffix":""},{"dropping-particle":"","family":"Gachot","given":"B.","non-dropping-particle":"","parse-names":false,"suffix":""},{"dropping-particle":"","family":"Heinz","given":"W. J.","non-dropping-particle":"","parse-names":false,"suffix":""},{"dropping-particle":"","family":"Lass-Flörl","given":"C.","non-dropping-particle":"","parse-names":false,"suffix":""},{"dropping-particle":"","family":"Ribaud","given":"P.","non-dropping-particle":"","parse-names":false,"suffix":""},{"dropping-particle":"","family":"Thiebaut","given":"A.","non-dropping-particle":"","parse-names":false,"suffix":""},{"dropping-particle":"","family":"Cordonnier","given":"C.","non-dropping-particle":"","parse-names":false,"suffix":""}],"container-title":"Bone Marrow Transplantation","id":"ITEM-2","issue":"5","issued":{"date-parts":[["2011"]]},"page":"709-718","publisher":"Nature Publishing Group","title":"European guidelines for antifungal management in leukemia and hematopoietic stem cell transplant recipients: Summary of the ECIL 32009 update","type":"article-journal","volume":"46"},"uris":["http://www.mendeley.com/documents/?uuid=84d60f1c-6ae7-4aa7-827f-5a6f8dff9f03"]},{"id":"ITEM-3","itemData":{"DOI":"10.1111/1469-0691.12360","ISSN":"14690691","PMID":"24102785","abstract":"The mortality associated with invasive fungal infections remains high with that involving rare yeast pathogens other than Candida being no exception. This is in part due to the severe underlying conditions typically predisposing patients to these healthcare-related infections (most often severe neutropenia in patients with haematological malignancies), and in part due to the often challenging intrinsic susceptibility pattern of the pathogens that potentially leads to delayed appropriate antifungal treatment. A panel of experts of the European Society of Clinical Microbiology and Infectious Diseases (ESCMID) Fungal Infection Study Group (EFISG) and the European Confederation of Medical Mycology (ECMM) undertook a data review and compiled guidelines for the diagnostic tests and procedures for detection and management of rare invasive yeast infections. The rare yeast pathogens were defined and limited to the following genera/species: Cryptococcus adeliensis, Cryptococcus albidus, Cryptococcus curvatus, Cryptococcus flavescens, Cryptococcus laurentii and Cryptococcus uniguttulatus (often published under the name Filobasidium uniguttulatum), Malassezia furfur, Malassezia globosa, Malassezia pachydermatis and Malassezia restricta, Pseudozyma spp., Rhodotorula glutinis, Rhodotorula minuta and Rhodotorula mucilaginosa, Sporobolomyces spp., Trichosporon asahii, Trichosporon asteroides, Trichosporon dermatis, Trichosporon inkin, Trichosporon jirovecii, Trichosporon loubieri, Trichosporon mucoides and Trichosporon mycotoxinivorans and ascomycetous ones: Geotrichum candidum, Kodamaea ohmeri, Saccharomyces cerevisiae (incl. S. boulardii) and Saprochaete capitatae (Magnusiomyces (Blastoschizomyces) capitatus formerly named Trichosporon capitatum or Geotrichum (Dipodascus) capitatum) and Saprochaete clavata. Recommendations about the microbiological investigation and detection of invasive infection were made and current knowledge on the most appropriate antifungal and supportive treatment was reviewed. In addition, remarks about antifungal susceptibility testing were made. © 2013 European Society of Clinical Microbiology and Infectious Diseases.","author":[{"dropping-particle":"","family":"Arendrup","given":"M. C.","non-dropping-particle":"","parse-names":false,"suffix":""},{"dropping-particle":"","family":"Boekhout","given":"T.","non-dropping-particle":"","parse-names":false,"suffix":""},{"dropping-particle":"","family":"Akova","given":"M.","non-dropping-particle":"","parse-names":false,"suffix":""},{"dropping-particle":"","family":"Meis","given":"J. F.","non-dropping-particle":"","parse-names":false,"suffix":""},{"dropping-particle":"","family":"Cornely","given":"O. A.","non-dropping-particle":"","parse-names":false,"suffix":""},{"dropping-particle":"","family":"Lortholary","given":"O.","non-dropping-particle":"","parse-names":false,"suffix":""},{"dropping-particle":"","family":"Arikan-Akdagli","given":"Sevtap","non-dropping-particle":"","parse-names":false,"suffix":""},{"dropping-particle":"","family":"Cuenca-Estrella","given":"Manuel","non-dropping-particle":"","parse-names":false,"suffix":""},{"dropping-particle":"","family":"Dannaoui","given":"Eric","non-dropping-particle":"","parse-names":false,"suffix":""},{"dropping-particle":"","family":"Diepeningen","given":"Anne D.","non-dropping-particle":"van","parse-names":false,"suffix":""},{"dropping-particle":"","family":"Groll","given":"Andreas H.","non-dropping-particle":"","parse-names":false,"suffix":""},{"dropping-particle":"","family":"Guarro","given":"Josep","non-dropping-particle":"","parse-names":false,"suffix":""},{"dropping-particle":"","family":"Guinea","given":"Jesús","non-dropping-particle":"","parse-names":false,"suffix":""},{"dropping-particle":"","family":"Hope","given":"William","non-dropping-particle":"","parse-names":false,"suffix":""},{"dropping-particle":"","family":"Lackner","given":"Michaela","non-dropping-particle":"","parse-names":false,"suffix":""},{"dropping-particle":"","family":"Lass-Flörl","given":"Cornelia","non-dropping-particle":"","parse-names":false,"suffix":""},{"dropping-particle":"","family":"Lagrou","given":"Katrien","non-dropping-particle":"","parse-names":false,"suffix":""},{"dropping-particle":"","family":"Lanternier","given":"Fanny","non-dropping-particle":"","parse-names":false,"suffix":""},{"dropping-particle":"","family":"Meletiadis","given":"Joseph","non-dropping-particle":"","parse-names":false,"suffix":""},{"dropping-particle":"","family":"Munoz","given":"Patricia","non-dropping-particle":"","parse-names":false,"suffix":""},{"dropping-particle":"","family":"Pagano","given":"Livio","non-dropping-particle":"","parse-names":false,"suffix":""},{"dropping-particle":"","family":"Richardson","given":"Malcolm D.","non-dropping-particle":"","parse-names":false,"suffix":""},{"dropping-particle":"","family":"Roilides","given":"Emmanuel","non-dropping-particle":"","parse-names":false,"suffix":""},{"dropping-particle":"","family":"Tortorano","given":"Anna Maria","non-dropping-particle":"","parse-names":false,"suffix":""},{"dropping-particle":"","family":"Ullmann","given":"Andrew J.","non-dropping-particle":"","parse-names":false,"suffix":""}],"container-title":"Clinical Microbiology and Infection","id":"ITEM-3","issue":"S3","issued":{"date-parts":[["2014"]]},"page":"76-98","publisher":"Blackwell Publishing Ltd","title":"ESCMID and ECMM joint clinical guidelines for the diagnosis and management of rare invasive yeast infections","type":"article-journal","volume":"20"},"uris":["http://www.mendeley.com/documents/?uuid=5a6b3e24-e337-3cd9-bb20-08cd60455554"]},{"id":"ITEM-4","itemData":{"DOI":"10.3324/haematol.2016.152900","ISSN":"15928721","PMID":"28011902","abstract":"The European Conference on Infections in Leukemia (ECIL) provides recommendations for diagnostic strategies and prophylactic, pre-emptive or targeted therapy strategies for various types of infection in patients with hematologic malignancies or hematopoietic stem cell transplantation recipients. Meetings are held every two years since 2005 and evidence-based recommendations are elaborated after evaluation of the literature and discussion among specialists of nearly all European countries. In this manuscript, the ECIL group presents the 2015-update of the recommendations for the targeted treatment of invasive candidiasis, aspergillosis and mucormycosis. Current data now allow a very strong recommendation in favor of echinocandins for first-line therapy of candidemia irrespective of the underlying predisposing factors. Anidulafungin has been given the same grading as the other echinocandins for hemato-oncological patients. The beneficial role of catheter removal in candidemia is strengthened. Aspergillus guidelines now recommend the use of either voriconazole or isavuconazole for first-line treatment of invasive aspergillosis, while first-line combination antifungal therapy is not routinely recommended. As only few new data were published since the last ECIL guidelines, no major changes were made to mucormycosis recommendations.","author":[{"dropping-particle":"","family":"Tissot","given":"Frederic","non-dropping-particle":"","parse-names":false,"suffix":""},{"dropping-particle":"","family":"Agrawal","given":"Samir","non-dropping-particle":"","parse-names":false,"suffix":""},{"dropping-particle":"","family":"Pagano","given":"Livio","non-dropping-particle":"","parse-names":false,"suffix":""},{"dropping-particle":"","family":"Petrikkos","given":"Georgios","non-dropping-particle":"","parse-names":false,"suffix":""},{"dropping-particle":"","family":"Groll","given":"Andreas H.","non-dropping-particle":"","parse-names":false,"suffix":""},{"dropping-particle":"","family":"Skiada","given":"Anna","non-dropping-particle":"","parse-names":false,"suffix":""},{"dropping-particle":"","family":"Lass-Flörl","given":"Cornelia","non-dropping-particle":"","parse-names":false,"suffix":""},{"dropping-particle":"","family":"Calandra","given":"Thierry","non-dropping-particle":"","parse-names":false,"suffix":""},{"dropping-particle":"","family":"Viscoli","given":"Claudio","non-dropping-particle":"","parse-names":false,"suffix":""},{"dropping-particle":"","family":"Herbrecht","given":"Raoul","non-dropping-particle":"","parse-names":false,"suffix":""}],"container-title":"Haematologica","id":"ITEM-4","issue":"3","issued":{"date-parts":[["2017","2","28"]]},"page":"433-444","publisher":"Ferrata Storti Foundation","title":"ECIL-6 guidelines for the treatment of invasive candidiasis, aspergillosis and mucormycosis in leukemia and hematopoietic stem cell transplant patients","type":"article-journal","volume":"102"},"uris":["http://www.mendeley.com/documents/?uuid=56063fed-25f6-3324-a2f1-f316166613f0"]}],"mendeley":{"formattedCitation":"[124,125,129,130]","plainTextFormattedCitation":"[124,125,129,130]","previouslyFormattedCitation":"[1–4]"},"properties":{"noteIndex":0},"schema":"https://github.com/citation-style-language/schema/raw/master/csl-citation.json"}</w:instrText>
      </w:r>
      <w:r>
        <w:rPr>
          <w:b/>
        </w:rPr>
        <w:fldChar w:fldCharType="separate"/>
      </w:r>
      <w:r w:rsidR="00A67ED2" w:rsidRPr="00A67ED2">
        <w:rPr>
          <w:noProof/>
        </w:rPr>
        <w:t>[124,125,129,130]</w:t>
      </w:r>
      <w:r>
        <w:rPr>
          <w:b/>
        </w:rPr>
        <w:fldChar w:fldCharType="end"/>
      </w:r>
    </w:p>
    <w:p w14:paraId="3323808A" w14:textId="77777777" w:rsidR="00907B9C" w:rsidRPr="0014445B" w:rsidRDefault="00907B9C" w:rsidP="00907B9C">
      <w:pPr>
        <w:ind w:right="51" w:firstLine="709"/>
        <w:contextualSpacing/>
        <w:rPr>
          <w:b/>
          <w:bCs/>
        </w:rPr>
      </w:pPr>
      <w:r w:rsidRPr="0014445B">
        <w:rPr>
          <w:b/>
          <w:bCs/>
        </w:rPr>
        <w:t>Кандидоз полости рта и глотки (орофарингеальный кандидоз)</w:t>
      </w:r>
    </w:p>
    <w:p w14:paraId="7406F40A" w14:textId="77777777" w:rsidR="00907B9C" w:rsidRPr="00F87280" w:rsidRDefault="00907B9C" w:rsidP="00907B9C">
      <w:pPr>
        <w:ind w:right="51" w:firstLine="709"/>
        <w:contextualSpacing/>
        <w:rPr>
          <w:i/>
          <w:iCs/>
        </w:rPr>
      </w:pPr>
      <w:r w:rsidRPr="00F87280">
        <w:rPr>
          <w:i/>
          <w:iCs/>
          <w:u w:val="single"/>
        </w:rPr>
        <w:t>Возбудители</w:t>
      </w:r>
    </w:p>
    <w:p w14:paraId="49CD0F87" w14:textId="77777777" w:rsidR="00907B9C" w:rsidRPr="00DA2BC8" w:rsidRDefault="00907B9C" w:rsidP="00907B9C">
      <w:pPr>
        <w:ind w:right="51" w:firstLine="709"/>
        <w:contextualSpacing/>
      </w:pPr>
      <w:r w:rsidRPr="00DA2BC8">
        <w:t xml:space="preserve">Среди возбудителей преобладают </w:t>
      </w:r>
      <w:r w:rsidRPr="00DA2BC8">
        <w:rPr>
          <w:i/>
          <w:iCs/>
        </w:rPr>
        <w:t>Candida albicans,</w:t>
      </w:r>
      <w:r w:rsidRPr="00DA2BC8">
        <w:t xml:space="preserve"> часто в сочетании с бактериями. Другие виды выделяют реже </w:t>
      </w:r>
      <w:r>
        <w:t>(в основном, у пациентов,</w:t>
      </w:r>
      <w:r w:rsidRPr="00DA2BC8">
        <w:t xml:space="preserve"> длительно принимающих противогрибковые препараты</w:t>
      </w:r>
      <w:r>
        <w:t>)</w:t>
      </w:r>
      <w:r w:rsidRPr="00DA2BC8">
        <w:t>.</w:t>
      </w:r>
    </w:p>
    <w:p w14:paraId="5AD99D76" w14:textId="77777777" w:rsidR="00907B9C" w:rsidRPr="00F87280" w:rsidRDefault="00907B9C" w:rsidP="00907B9C">
      <w:pPr>
        <w:ind w:right="51" w:firstLine="709"/>
        <w:contextualSpacing/>
        <w:rPr>
          <w:i/>
          <w:iCs/>
          <w:u w:val="single"/>
        </w:rPr>
      </w:pPr>
      <w:r w:rsidRPr="00F87280">
        <w:rPr>
          <w:i/>
          <w:iCs/>
          <w:u w:val="single"/>
        </w:rPr>
        <w:t>Факторы риска</w:t>
      </w:r>
    </w:p>
    <w:p w14:paraId="697A9586" w14:textId="77777777" w:rsidR="00907B9C" w:rsidRPr="00DA2BC8" w:rsidRDefault="00907B9C" w:rsidP="00907B9C">
      <w:pPr>
        <w:ind w:right="51" w:firstLine="709"/>
        <w:contextualSpacing/>
      </w:pPr>
      <w:r w:rsidRPr="00DA2BC8">
        <w:lastRenderedPageBreak/>
        <w:t>Основными факторами риска являются нейтропения, применение антибиотиков, глюкокортикоидов, цитостатиков и иммунодепрессантов, проведение лучевой терапии.</w:t>
      </w:r>
    </w:p>
    <w:p w14:paraId="1EC737D5" w14:textId="77777777" w:rsidR="00907B9C" w:rsidRPr="00F87280" w:rsidRDefault="00907B9C" w:rsidP="00907B9C">
      <w:pPr>
        <w:ind w:right="51" w:firstLine="709"/>
        <w:contextualSpacing/>
        <w:rPr>
          <w:i/>
          <w:iCs/>
          <w:u w:val="single"/>
        </w:rPr>
      </w:pPr>
      <w:r w:rsidRPr="00F87280">
        <w:rPr>
          <w:i/>
          <w:iCs/>
          <w:u w:val="single"/>
        </w:rPr>
        <w:t>Симптомы инфекции</w:t>
      </w:r>
    </w:p>
    <w:p w14:paraId="5BB5AD69" w14:textId="77777777" w:rsidR="00907B9C" w:rsidRPr="00DA2BC8" w:rsidRDefault="00907B9C" w:rsidP="00907B9C">
      <w:pPr>
        <w:ind w:right="51" w:firstLine="709"/>
        <w:contextualSpacing/>
      </w:pPr>
      <w:r w:rsidRPr="00DA2BC8">
        <w:t>Клинические проявления орофарингеального кандидоза - налеты белого цвета или гиперемия слизистой оболочки ротоглотки, боль в полости рта.</w:t>
      </w:r>
    </w:p>
    <w:p w14:paraId="63CA7679" w14:textId="77777777" w:rsidR="00907B9C" w:rsidRPr="00F87280" w:rsidRDefault="00907B9C" w:rsidP="00907B9C">
      <w:pPr>
        <w:ind w:right="51" w:firstLine="709"/>
        <w:contextualSpacing/>
        <w:rPr>
          <w:i/>
          <w:iCs/>
          <w:u w:val="single"/>
        </w:rPr>
      </w:pPr>
      <w:r w:rsidRPr="00F87280">
        <w:rPr>
          <w:i/>
          <w:iCs/>
          <w:u w:val="single"/>
        </w:rPr>
        <w:t>Диагностика</w:t>
      </w:r>
    </w:p>
    <w:p w14:paraId="692FFE49" w14:textId="77777777" w:rsidR="00907B9C" w:rsidRPr="00DA2BC8" w:rsidRDefault="00907B9C" w:rsidP="00907B9C">
      <w:pPr>
        <w:ind w:right="51" w:firstLine="709"/>
        <w:contextualSpacing/>
      </w:pPr>
      <w:r w:rsidRPr="00DA2BC8">
        <w:t>При наличии симптомов берут мазок с измененной слизистой оболочки для микробиологического исследования (</w:t>
      </w:r>
      <w:r>
        <w:t xml:space="preserve">культуральное исследование, </w:t>
      </w:r>
      <w:r w:rsidRPr="00DA2BC8">
        <w:t xml:space="preserve">посев). При выделении </w:t>
      </w:r>
      <w:r w:rsidRPr="00DA2BC8">
        <w:rPr>
          <w:i/>
          <w:iCs/>
        </w:rPr>
        <w:t>Candida</w:t>
      </w:r>
      <w:r w:rsidRPr="00DA2BC8">
        <w:t xml:space="preserve"> spp. проводят идентификацию до вида. Чувствительность к противогрибковым препаратам определяют при длительном, рецидивирующем орофарингеальном кандидозе </w:t>
      </w:r>
    </w:p>
    <w:p w14:paraId="713B19CC" w14:textId="77777777" w:rsidR="00907B9C" w:rsidRPr="00F87280" w:rsidRDefault="00907B9C" w:rsidP="00907B9C">
      <w:pPr>
        <w:ind w:right="51" w:firstLine="709"/>
        <w:contextualSpacing/>
        <w:rPr>
          <w:i/>
          <w:iCs/>
        </w:rPr>
      </w:pPr>
      <w:r w:rsidRPr="00F87280">
        <w:rPr>
          <w:i/>
          <w:iCs/>
          <w:u w:val="single"/>
        </w:rPr>
        <w:t>Показания к назначению противогрибковых препаратов</w:t>
      </w:r>
    </w:p>
    <w:p w14:paraId="03599ACD" w14:textId="77777777" w:rsidR="00907B9C" w:rsidRPr="00DA2BC8" w:rsidRDefault="00907B9C" w:rsidP="00907B9C">
      <w:pPr>
        <w:ind w:right="51" w:firstLine="709"/>
        <w:contextualSpacing/>
      </w:pPr>
      <w:r w:rsidRPr="00DA2BC8">
        <w:t xml:space="preserve">Наличие симптомов и выделение </w:t>
      </w:r>
      <w:r w:rsidRPr="00DA2BC8">
        <w:rPr>
          <w:i/>
          <w:iCs/>
        </w:rPr>
        <w:t xml:space="preserve">Candida </w:t>
      </w:r>
      <w:r w:rsidRPr="00DA2BC8">
        <w:t xml:space="preserve">spp. в мазках со слизистой ротоглотки. </w:t>
      </w:r>
    </w:p>
    <w:p w14:paraId="1F946F56" w14:textId="77777777" w:rsidR="00907B9C" w:rsidRPr="00F87280" w:rsidRDefault="00907B9C" w:rsidP="00907B9C">
      <w:pPr>
        <w:ind w:right="51" w:firstLine="709"/>
        <w:contextualSpacing/>
        <w:rPr>
          <w:i/>
          <w:iCs/>
          <w:u w:val="single"/>
        </w:rPr>
      </w:pPr>
      <w:r w:rsidRPr="00F87280">
        <w:rPr>
          <w:i/>
          <w:iCs/>
          <w:u w:val="single"/>
        </w:rPr>
        <w:t xml:space="preserve">Лечение </w:t>
      </w:r>
    </w:p>
    <w:p w14:paraId="1C7FE6F3" w14:textId="77777777" w:rsidR="00907B9C" w:rsidRPr="00DA2BC8" w:rsidRDefault="00907B9C" w:rsidP="00907B9C">
      <w:pPr>
        <w:ind w:right="51" w:firstLine="709"/>
        <w:contextualSpacing/>
        <w:rPr>
          <w:b/>
          <w:bCs/>
        </w:rPr>
      </w:pPr>
      <w:r w:rsidRPr="00DA2BC8">
        <w:rPr>
          <w:bCs/>
        </w:rPr>
        <w:t>Препарат выбора</w:t>
      </w:r>
      <w:r w:rsidRPr="00DA2BC8">
        <w:t xml:space="preserve"> — флуконазол, по 400 мг 1 раз в сутки внутрь или внутривенно.</w:t>
      </w:r>
      <w:r w:rsidRPr="00DA2BC8">
        <w:rPr>
          <w:b/>
          <w:bCs/>
        </w:rPr>
        <w:t xml:space="preserve"> </w:t>
      </w:r>
      <w:r w:rsidRPr="00DA2BC8">
        <w:t xml:space="preserve">Флуконазол не назначают при выделении </w:t>
      </w:r>
      <w:r w:rsidRPr="00DA2BC8">
        <w:rPr>
          <w:i/>
          <w:iCs/>
        </w:rPr>
        <w:t>C. krusei</w:t>
      </w:r>
      <w:r w:rsidRPr="00DA2BC8">
        <w:t xml:space="preserve"> или </w:t>
      </w:r>
      <w:r w:rsidRPr="00DA2BC8">
        <w:rPr>
          <w:i/>
          <w:iCs/>
        </w:rPr>
        <w:t xml:space="preserve">C. glabrata. </w:t>
      </w:r>
      <w:r w:rsidRPr="00DA2BC8">
        <w:rPr>
          <w:iCs/>
        </w:rPr>
        <w:t>При</w:t>
      </w:r>
      <w:r w:rsidRPr="00DA2BC8">
        <w:rPr>
          <w:i/>
          <w:iCs/>
        </w:rPr>
        <w:t xml:space="preserve"> </w:t>
      </w:r>
      <w:r w:rsidRPr="00DA2BC8">
        <w:t xml:space="preserve">детекции </w:t>
      </w:r>
      <w:r w:rsidRPr="00DA2BC8">
        <w:rPr>
          <w:i/>
          <w:iCs/>
        </w:rPr>
        <w:t xml:space="preserve">С. krusei </w:t>
      </w:r>
      <w:r w:rsidRPr="00DA2BC8">
        <w:t>или</w:t>
      </w:r>
      <w:r w:rsidRPr="00DA2BC8">
        <w:rPr>
          <w:i/>
          <w:iCs/>
        </w:rPr>
        <w:t xml:space="preserve"> C. glabrata</w:t>
      </w:r>
      <w:r w:rsidRPr="00DA2BC8">
        <w:rPr>
          <w:iCs/>
        </w:rPr>
        <w:t xml:space="preserve"> применяют</w:t>
      </w:r>
      <w:r w:rsidRPr="00DA2BC8">
        <w:rPr>
          <w:i/>
          <w:iCs/>
        </w:rPr>
        <w:t xml:space="preserve"> </w:t>
      </w:r>
      <w:r w:rsidRPr="00DA2BC8">
        <w:t xml:space="preserve">нистатин (5-8 гр в сутки), при выраженном мукозите у больных с фебрильной лейкопенией – эхиноканадин (микафунгин или каспофунгин, или анидулафунгин). </w:t>
      </w:r>
      <w:r w:rsidRPr="00DA2BC8">
        <w:rPr>
          <w:bCs/>
        </w:rPr>
        <w:t xml:space="preserve">При неэффективном применении флуконазола проводят замену на </w:t>
      </w:r>
      <w:r w:rsidRPr="00DA2BC8">
        <w:t xml:space="preserve">эхиноканадин (микафунгин по 100 мг 1 раза в сутки или каспофунгин в 1-й день 70 мг, а затем 50 мг в сутки, анидулафунгин в 1-й день 200 мг, а затем по 100 мг в сутки), позаконазол (суспензия, внутрь после еды), по 400 мг 2 раза в сутки в течение 3 дней, затем по 400 мг 1 раз в день; или вориконазол (таблетки), по 200 мг 2 раза в сутки внутрь; или амфотерицин В, 0,3-0,5 мг/кг/сут внутривенно. </w:t>
      </w:r>
      <w:r w:rsidRPr="00DA2BC8">
        <w:rPr>
          <w:bCs/>
        </w:rPr>
        <w:t>Длительность лечения</w:t>
      </w:r>
      <w:r w:rsidRPr="00DA2BC8">
        <w:t xml:space="preserve"> составляет 7-10 дней. Более длительное применение системных противогрибковых препаратов приводит к появлению флуконазолрезистентных штаммов грибов.</w:t>
      </w:r>
    </w:p>
    <w:p w14:paraId="71CBAE4C" w14:textId="77777777" w:rsidR="00907B9C" w:rsidRPr="0014445B" w:rsidRDefault="00907B9C" w:rsidP="00907B9C">
      <w:pPr>
        <w:ind w:right="50" w:firstLine="709"/>
        <w:contextualSpacing/>
        <w:rPr>
          <w:b/>
          <w:bCs/>
        </w:rPr>
      </w:pPr>
      <w:r w:rsidRPr="0014445B">
        <w:rPr>
          <w:b/>
          <w:bCs/>
        </w:rPr>
        <w:t>Кандидоз пищевода</w:t>
      </w:r>
    </w:p>
    <w:p w14:paraId="2DEA9864" w14:textId="77777777" w:rsidR="00907B9C" w:rsidRPr="00F87280" w:rsidRDefault="00907B9C" w:rsidP="00907B9C">
      <w:pPr>
        <w:ind w:right="50" w:firstLine="709"/>
        <w:contextualSpacing/>
        <w:rPr>
          <w:i/>
          <w:iCs/>
          <w:u w:val="single"/>
        </w:rPr>
      </w:pPr>
      <w:r w:rsidRPr="00F87280">
        <w:rPr>
          <w:i/>
          <w:iCs/>
          <w:u w:val="single"/>
        </w:rPr>
        <w:t>Возбудители</w:t>
      </w:r>
    </w:p>
    <w:p w14:paraId="1BE4F4B2" w14:textId="77777777" w:rsidR="00907B9C" w:rsidRPr="00DA2BC8" w:rsidRDefault="00907B9C" w:rsidP="00907B9C">
      <w:pPr>
        <w:ind w:right="50" w:firstLine="709"/>
        <w:contextualSpacing/>
      </w:pPr>
      <w:r w:rsidRPr="00DA2BC8">
        <w:t xml:space="preserve">Среди возбудителей преобладают </w:t>
      </w:r>
      <w:r w:rsidRPr="00DA2BC8">
        <w:rPr>
          <w:i/>
          <w:iCs/>
        </w:rPr>
        <w:t>C. albicans.</w:t>
      </w:r>
    </w:p>
    <w:p w14:paraId="398C0544" w14:textId="77777777" w:rsidR="00907B9C" w:rsidRPr="00DA2BC8" w:rsidRDefault="00907B9C" w:rsidP="00907B9C">
      <w:pPr>
        <w:ind w:right="50" w:firstLine="709"/>
        <w:contextualSpacing/>
      </w:pPr>
      <w:r w:rsidRPr="00F87280">
        <w:rPr>
          <w:i/>
          <w:iCs/>
          <w:u w:val="single"/>
        </w:rPr>
        <w:t>Факторы риска</w:t>
      </w:r>
      <w:r w:rsidRPr="00DA2BC8">
        <w:t xml:space="preserve"> те же, что при орофарингеальном кандидозе.</w:t>
      </w:r>
    </w:p>
    <w:p w14:paraId="4BB2C8CF" w14:textId="77777777" w:rsidR="00907B9C" w:rsidRPr="00F87280" w:rsidRDefault="00907B9C" w:rsidP="00907B9C">
      <w:pPr>
        <w:ind w:right="50" w:firstLine="709"/>
        <w:contextualSpacing/>
        <w:rPr>
          <w:i/>
          <w:iCs/>
          <w:u w:val="single"/>
        </w:rPr>
      </w:pPr>
      <w:r w:rsidRPr="00F87280">
        <w:rPr>
          <w:i/>
          <w:iCs/>
          <w:u w:val="single"/>
        </w:rPr>
        <w:t>Симптомы инфекции</w:t>
      </w:r>
    </w:p>
    <w:p w14:paraId="24CE9580" w14:textId="77777777" w:rsidR="00907B9C" w:rsidRPr="00DA2BC8" w:rsidRDefault="00907B9C" w:rsidP="00907B9C">
      <w:pPr>
        <w:ind w:right="50" w:firstLine="709"/>
        <w:contextualSpacing/>
      </w:pPr>
      <w:r w:rsidRPr="00DA2BC8">
        <w:t>Клинические проявления кандидозного эзофагита — боль по ходу пищевода при глотании, боль или дискомфорт за грудиной в покое. Преобладает поражение дистального отдела пищевода.</w:t>
      </w:r>
    </w:p>
    <w:p w14:paraId="244A2359" w14:textId="77777777" w:rsidR="00907B9C" w:rsidRPr="00F87280" w:rsidRDefault="00907B9C" w:rsidP="00907B9C">
      <w:pPr>
        <w:ind w:right="50" w:firstLine="709"/>
        <w:contextualSpacing/>
        <w:rPr>
          <w:i/>
          <w:iCs/>
        </w:rPr>
      </w:pPr>
      <w:r w:rsidRPr="00F87280">
        <w:rPr>
          <w:i/>
          <w:iCs/>
          <w:u w:val="single"/>
        </w:rPr>
        <w:t>Диагностика</w:t>
      </w:r>
    </w:p>
    <w:p w14:paraId="4B3ACA9F" w14:textId="77777777" w:rsidR="00907B9C" w:rsidRPr="00DA2BC8" w:rsidRDefault="00907B9C" w:rsidP="00907B9C">
      <w:pPr>
        <w:ind w:right="50" w:firstLine="709"/>
        <w:contextualSpacing/>
      </w:pPr>
      <w:r w:rsidRPr="00DA2BC8">
        <w:lastRenderedPageBreak/>
        <w:t>Проводят эзофагоскопию, при которой выявляют гиперемию или фибриновые налеты на слизистой оболочке пищевода. С измененной слизистой оболочки пищевода берут соскоб браш-методом (при гранулоцитопении и тромбоцитопении) или биоптат (если тромбоцитов в гемограмме более 50,0×10</w:t>
      </w:r>
      <w:r w:rsidRPr="00DA2BC8">
        <w:rPr>
          <w:vertAlign w:val="superscript"/>
        </w:rPr>
        <w:t>9</w:t>
      </w:r>
      <w:r w:rsidRPr="00DA2BC8">
        <w:t xml:space="preserve">/л) для микробиологического исследования. При выделении </w:t>
      </w:r>
      <w:r w:rsidRPr="00DA2BC8">
        <w:rPr>
          <w:i/>
          <w:iCs/>
        </w:rPr>
        <w:t>Candida</w:t>
      </w:r>
      <w:r w:rsidRPr="00DA2BC8">
        <w:t xml:space="preserve"> spp. проводят идентификацию до вида и определение чувствительности. Биоптат пищевода исследуют в лаборатории микробиологии (микроскопия и </w:t>
      </w:r>
      <w:r>
        <w:t>культуральное исследование/</w:t>
      </w:r>
      <w:r w:rsidRPr="00DA2BC8">
        <w:t>посев), вирусологии (</w:t>
      </w:r>
      <w:r>
        <w:t>молекулярно-биологическое определение</w:t>
      </w:r>
      <w:r w:rsidRPr="00DA2BC8">
        <w:t xml:space="preserve"> ДНК герпес-вирусов методом ПЦР) и гистологии</w:t>
      </w:r>
      <w:r>
        <w:t xml:space="preserve"> (гистологическое исследование биоптата)</w:t>
      </w:r>
      <w:r w:rsidRPr="00DA2BC8">
        <w:t>.</w:t>
      </w:r>
    </w:p>
    <w:p w14:paraId="297C25EE" w14:textId="77777777" w:rsidR="00907B9C" w:rsidRPr="00F87280" w:rsidRDefault="00907B9C" w:rsidP="00907B9C">
      <w:pPr>
        <w:ind w:right="50" w:firstLine="709"/>
        <w:contextualSpacing/>
        <w:rPr>
          <w:i/>
          <w:iCs/>
          <w:u w:val="single"/>
        </w:rPr>
      </w:pPr>
      <w:r w:rsidRPr="00F87280">
        <w:rPr>
          <w:i/>
          <w:iCs/>
          <w:u w:val="single"/>
        </w:rPr>
        <w:t>Показания к назначению противогрибковых препаратов</w:t>
      </w:r>
    </w:p>
    <w:p w14:paraId="1AC7F215" w14:textId="77777777" w:rsidR="00907B9C" w:rsidRPr="00DA2BC8" w:rsidRDefault="00907B9C" w:rsidP="00907B9C">
      <w:pPr>
        <w:ind w:right="50" w:firstLine="709"/>
        <w:contextualSpacing/>
      </w:pPr>
      <w:r w:rsidRPr="00DA2BC8">
        <w:t xml:space="preserve">Наличие симптомов эзофагита и выделение дрожжевых грибов со слизистой оболочки пищевода при эзофагоскопии. Если невозможно провести эзофагоскопию, то противогрибковые препараты назначают на основании клинических проявлений эзофагита. </w:t>
      </w:r>
    </w:p>
    <w:p w14:paraId="039EC236" w14:textId="77777777" w:rsidR="00907B9C" w:rsidRPr="00F87280" w:rsidRDefault="00907B9C" w:rsidP="00907B9C">
      <w:pPr>
        <w:ind w:right="50" w:firstLine="709"/>
        <w:contextualSpacing/>
        <w:rPr>
          <w:i/>
          <w:iCs/>
          <w:u w:val="single"/>
        </w:rPr>
      </w:pPr>
      <w:r w:rsidRPr="00F87280">
        <w:rPr>
          <w:i/>
          <w:iCs/>
          <w:u w:val="single"/>
        </w:rPr>
        <w:t>Лечение</w:t>
      </w:r>
    </w:p>
    <w:p w14:paraId="7C8D3607" w14:textId="77777777" w:rsidR="00907B9C" w:rsidRPr="00DA2BC8" w:rsidRDefault="00907B9C" w:rsidP="00907B9C">
      <w:pPr>
        <w:ind w:right="50" w:firstLine="709"/>
        <w:contextualSpacing/>
      </w:pPr>
      <w:r w:rsidRPr="00DA2BC8">
        <w:t>Во всех случаях назначают системные противогрибковые препараты. Препараты, обладающие местным действием, для лечения не используют. По возможности сокращают число используемых антибиотиков или отменяют их.</w:t>
      </w:r>
    </w:p>
    <w:p w14:paraId="505EB562" w14:textId="77777777" w:rsidR="00907B9C" w:rsidRPr="00DA2BC8" w:rsidRDefault="00907B9C" w:rsidP="00907B9C">
      <w:pPr>
        <w:ind w:right="50" w:firstLine="709"/>
        <w:contextualSpacing/>
      </w:pPr>
      <w:r w:rsidRPr="00DA2BC8">
        <w:rPr>
          <w:bCs/>
        </w:rPr>
        <w:t xml:space="preserve">Препарат выбора (исключение </w:t>
      </w:r>
      <w:r w:rsidRPr="00DA2BC8">
        <w:rPr>
          <w:bCs/>
          <w:i/>
          <w:iCs/>
        </w:rPr>
        <w:t>C. krusei</w:t>
      </w:r>
      <w:r w:rsidRPr="00DA2BC8">
        <w:rPr>
          <w:bCs/>
        </w:rPr>
        <w:t xml:space="preserve"> или </w:t>
      </w:r>
      <w:r w:rsidRPr="00DA2BC8">
        <w:rPr>
          <w:bCs/>
          <w:i/>
          <w:iCs/>
        </w:rPr>
        <w:t>C. glabrata</w:t>
      </w:r>
      <w:r w:rsidRPr="00DA2BC8">
        <w:rPr>
          <w:bCs/>
        </w:rPr>
        <w:t>)</w:t>
      </w:r>
      <w:r w:rsidRPr="00DA2BC8">
        <w:t xml:space="preserve"> — флуконазол, по 400 мг 1 раз в сутки внутрь или внутривенно. </w:t>
      </w:r>
      <w:r w:rsidRPr="00DA2BC8">
        <w:rPr>
          <w:bCs/>
        </w:rPr>
        <w:t>Альтернативные препараты</w:t>
      </w:r>
      <w:r w:rsidRPr="00DA2BC8">
        <w:t xml:space="preserve"> - каспофунгин по 50 мг внутривенно 1 раз в сутки, в 1-й день 70 мг; микафунгин по 100 мг внутривенно 1 раз в сутки; анидулафунгин по 100 мг внутривенно 1 раз в сутки, в 1-й день 200 мг; вориконазол по 3 мг/кг внутривенно 2 раза в сутки, в 1-й день по 6 мг/кг 2 раза в сутки или по 200 мг внутрь 2 раза в сутки; итраконазол (суспензия) по 200 мг 2 раза в сутки внутрь (натощак); позаконазол (суспензия) по 400 мг 2 раза в сутки (после приема пищи); амфотерицин В по 0,5-0,7 мг/кг внутривенно 1 раз в сутки. </w:t>
      </w:r>
      <w:r w:rsidRPr="00DA2BC8">
        <w:rPr>
          <w:bCs/>
        </w:rPr>
        <w:t>При неэффективности флуконазола</w:t>
      </w:r>
      <w:r w:rsidRPr="00DA2BC8">
        <w:t xml:space="preserve"> выбор препарата проводят на основании видовой идентификации </w:t>
      </w:r>
      <w:r w:rsidRPr="00DA2BC8">
        <w:rPr>
          <w:i/>
          <w:iCs/>
        </w:rPr>
        <w:t>Candida</w:t>
      </w:r>
      <w:r w:rsidRPr="00DA2BC8">
        <w:t xml:space="preserve"> spp. и определения чувствительности. Препарат выбора при эзофагите, вызванном </w:t>
      </w:r>
      <w:r w:rsidRPr="00DA2BC8">
        <w:rPr>
          <w:i/>
        </w:rPr>
        <w:t>C. krusei</w:t>
      </w:r>
      <w:r w:rsidRPr="00DA2BC8">
        <w:t xml:space="preserve"> или </w:t>
      </w:r>
      <w:r w:rsidRPr="00DA2BC8">
        <w:rPr>
          <w:i/>
        </w:rPr>
        <w:t>C. glabrata</w:t>
      </w:r>
      <w:r w:rsidRPr="00DA2BC8">
        <w:t xml:space="preserve"> – эхинокандин (каспофунгин или микафунгин или анидулафунгин). Не проводят замену флуконазола на азолы (итраконазол или вориконазол, или позаконазол) ввиду перекрестной резистентности. Допустима замена флуконазола на вориконазол при выделении </w:t>
      </w:r>
      <w:r w:rsidRPr="00DA2BC8">
        <w:rPr>
          <w:i/>
          <w:iCs/>
        </w:rPr>
        <w:t>C. krusei.</w:t>
      </w:r>
      <w:r w:rsidRPr="00DA2BC8">
        <w:t xml:space="preserve"> </w:t>
      </w:r>
      <w:r w:rsidRPr="00DA2BC8">
        <w:rPr>
          <w:bCs/>
        </w:rPr>
        <w:t xml:space="preserve">Длительность лечения </w:t>
      </w:r>
      <w:r w:rsidRPr="00DA2BC8">
        <w:t>составляет 14-21 день.</w:t>
      </w:r>
    </w:p>
    <w:p w14:paraId="5C6160C5" w14:textId="77777777" w:rsidR="00907B9C" w:rsidRPr="0014445B" w:rsidRDefault="00907B9C" w:rsidP="00907B9C">
      <w:pPr>
        <w:ind w:right="50" w:firstLine="709"/>
        <w:contextualSpacing/>
        <w:rPr>
          <w:b/>
          <w:bCs/>
        </w:rPr>
      </w:pPr>
      <w:r w:rsidRPr="0014445B">
        <w:rPr>
          <w:b/>
          <w:bCs/>
        </w:rPr>
        <w:t>Инвазивный кандидоз</w:t>
      </w:r>
    </w:p>
    <w:p w14:paraId="1ECA3C30" w14:textId="0C7158C7" w:rsidR="00907B9C" w:rsidRPr="00DA2BC8" w:rsidRDefault="00907B9C" w:rsidP="00907B9C">
      <w:pPr>
        <w:ind w:right="50" w:firstLine="709"/>
        <w:contextualSpacing/>
      </w:pPr>
      <w:r w:rsidRPr="00DA2BC8">
        <w:rPr>
          <w:bCs/>
        </w:rPr>
        <w:t xml:space="preserve">Наличие симптомов инфекции и </w:t>
      </w:r>
      <w:r w:rsidR="001647AE" w:rsidRPr="00DA2BC8">
        <w:rPr>
          <w:bCs/>
        </w:rPr>
        <w:t>выделение Candida</w:t>
      </w:r>
      <w:r w:rsidRPr="00DA2BC8">
        <w:rPr>
          <w:bCs/>
        </w:rPr>
        <w:t xml:space="preserve"> spp из стерильных в норме </w:t>
      </w:r>
      <w:r w:rsidRPr="00DA2BC8">
        <w:rPr>
          <w:bCs/>
        </w:rPr>
        <w:lastRenderedPageBreak/>
        <w:t>образцов (</w:t>
      </w:r>
      <w:r w:rsidRPr="00DA2BC8">
        <w:t xml:space="preserve">кровь, биоптаты органов и тканей, аспираты). Наиболее частым проявлениям является кандидемия. При кандидемии у больных с нейтропенией может развиться острый диссеминированный кандидоз в результате диссеминации кандид, септический шок, полиорганная недостаточность, смерть. Выделение </w:t>
      </w:r>
      <w:r w:rsidRPr="00DA2BC8">
        <w:rPr>
          <w:i/>
          <w:iCs/>
        </w:rPr>
        <w:t>Candida</w:t>
      </w:r>
      <w:r w:rsidRPr="00DA2BC8">
        <w:t xml:space="preserve"> spp. со слизистых оболочек, включая биоптаты слизистых, из мокроты, из жидкости БАЛ, из мочи не относят к инвазивному кандидозу. Диагноз кандидозной пневмонии не устанавливают на основании выделения </w:t>
      </w:r>
      <w:r w:rsidRPr="00DA2BC8">
        <w:rPr>
          <w:i/>
          <w:iCs/>
        </w:rPr>
        <w:t>Candida</w:t>
      </w:r>
      <w:r w:rsidRPr="00DA2BC8">
        <w:t xml:space="preserve"> spp. из мокроты или жидкости БАЛ, независимо от их количественного содержания в этих образцах. Выделение </w:t>
      </w:r>
      <w:r w:rsidRPr="00DA2BC8">
        <w:rPr>
          <w:i/>
          <w:iCs/>
        </w:rPr>
        <w:t>Candida</w:t>
      </w:r>
      <w:r w:rsidRPr="00DA2BC8">
        <w:t xml:space="preserve"> spp. из мокроты, жидкости БАЛ свидетельствует о колонизации дрожжевыми грибами слизистой оболочки дыхательных путей. Кандидозная пневмония может быть заподозрена только у больных с кандидемией.</w:t>
      </w:r>
    </w:p>
    <w:p w14:paraId="4F73B003" w14:textId="77777777" w:rsidR="00907B9C" w:rsidRPr="00F87280" w:rsidRDefault="00907B9C" w:rsidP="00907B9C">
      <w:pPr>
        <w:ind w:right="50" w:firstLine="709"/>
        <w:contextualSpacing/>
        <w:rPr>
          <w:i/>
          <w:iCs/>
          <w:u w:val="single"/>
        </w:rPr>
      </w:pPr>
      <w:r w:rsidRPr="00F87280">
        <w:rPr>
          <w:i/>
          <w:iCs/>
          <w:u w:val="single"/>
        </w:rPr>
        <w:t>Возбудители</w:t>
      </w:r>
    </w:p>
    <w:p w14:paraId="2434543C" w14:textId="77777777" w:rsidR="00907B9C" w:rsidRPr="005D3BBD" w:rsidRDefault="00907B9C" w:rsidP="00907B9C">
      <w:pPr>
        <w:ind w:right="50" w:firstLine="709"/>
        <w:contextualSpacing/>
        <w:rPr>
          <w:lang w:val="en-US"/>
        </w:rPr>
      </w:pPr>
      <w:r w:rsidRPr="00DA2BC8">
        <w:t xml:space="preserve">Основными возбудителями являются </w:t>
      </w:r>
      <w:r w:rsidRPr="00DA2BC8">
        <w:rPr>
          <w:i/>
          <w:iCs/>
        </w:rPr>
        <w:t>C. albicans,</w:t>
      </w:r>
      <w:r w:rsidRPr="00DA2BC8">
        <w:t xml:space="preserve"> но частота их не превышает 30-40%. Возрастает</w:t>
      </w:r>
      <w:r w:rsidRPr="005D3BBD">
        <w:rPr>
          <w:lang w:val="en-US"/>
        </w:rPr>
        <w:t xml:space="preserve"> </w:t>
      </w:r>
      <w:r w:rsidRPr="00DA2BC8">
        <w:t>доля</w:t>
      </w:r>
      <w:r w:rsidRPr="005D3BBD">
        <w:rPr>
          <w:lang w:val="en-US"/>
        </w:rPr>
        <w:t xml:space="preserve"> </w:t>
      </w:r>
      <w:r w:rsidRPr="00DA2BC8">
        <w:t>выделения</w:t>
      </w:r>
      <w:r w:rsidRPr="005D3BBD">
        <w:rPr>
          <w:lang w:val="en-US"/>
        </w:rPr>
        <w:t xml:space="preserve"> </w:t>
      </w:r>
      <w:r w:rsidRPr="005D3BBD">
        <w:rPr>
          <w:i/>
          <w:iCs/>
          <w:lang w:val="en-US"/>
        </w:rPr>
        <w:t>Candida</w:t>
      </w:r>
      <w:r w:rsidRPr="005D3BBD">
        <w:rPr>
          <w:lang w:val="en-US"/>
        </w:rPr>
        <w:t xml:space="preserve"> non-</w:t>
      </w:r>
      <w:r w:rsidRPr="005D3BBD">
        <w:rPr>
          <w:i/>
          <w:iCs/>
          <w:lang w:val="en-US"/>
        </w:rPr>
        <w:t>albicans,</w:t>
      </w:r>
      <w:r w:rsidRPr="005D3BBD">
        <w:rPr>
          <w:lang w:val="en-US"/>
        </w:rPr>
        <w:t xml:space="preserve"> </w:t>
      </w:r>
      <w:r w:rsidRPr="00DA2BC8">
        <w:t>таких</w:t>
      </w:r>
      <w:r w:rsidRPr="005D3BBD">
        <w:rPr>
          <w:lang w:val="en-US"/>
        </w:rPr>
        <w:t xml:space="preserve"> </w:t>
      </w:r>
      <w:r w:rsidRPr="00DA2BC8">
        <w:t>как</w:t>
      </w:r>
      <w:r w:rsidRPr="005D3BBD">
        <w:rPr>
          <w:lang w:val="en-US"/>
        </w:rPr>
        <w:t xml:space="preserve"> </w:t>
      </w:r>
      <w:r w:rsidRPr="005D3BBD">
        <w:rPr>
          <w:i/>
          <w:iCs/>
          <w:lang w:val="en-US"/>
        </w:rPr>
        <w:t>Candida parapsilosis</w:t>
      </w:r>
      <w:r w:rsidRPr="005D3BBD">
        <w:rPr>
          <w:lang w:val="en-US"/>
        </w:rPr>
        <w:t xml:space="preserve"> (5-30%), </w:t>
      </w:r>
      <w:r w:rsidRPr="005D3BBD">
        <w:rPr>
          <w:i/>
          <w:iCs/>
          <w:lang w:val="en-US"/>
        </w:rPr>
        <w:t>Candida tropicalis</w:t>
      </w:r>
      <w:r w:rsidRPr="005D3BBD">
        <w:rPr>
          <w:lang w:val="en-US"/>
        </w:rPr>
        <w:t xml:space="preserve"> (5-10%), </w:t>
      </w:r>
      <w:r w:rsidRPr="005D3BBD">
        <w:rPr>
          <w:i/>
          <w:iCs/>
          <w:lang w:val="en-US"/>
        </w:rPr>
        <w:t>C. glabrata</w:t>
      </w:r>
      <w:r w:rsidRPr="005D3BBD">
        <w:rPr>
          <w:lang w:val="en-US"/>
        </w:rPr>
        <w:t xml:space="preserve"> (3-25%), </w:t>
      </w:r>
      <w:r w:rsidRPr="005D3BBD">
        <w:rPr>
          <w:i/>
          <w:iCs/>
          <w:lang w:val="en-US"/>
        </w:rPr>
        <w:t>C. krusei</w:t>
      </w:r>
      <w:r w:rsidRPr="005D3BBD">
        <w:rPr>
          <w:lang w:val="en-US"/>
        </w:rPr>
        <w:t xml:space="preserve"> (3-10%). </w:t>
      </w:r>
    </w:p>
    <w:p w14:paraId="06903FEB" w14:textId="77777777" w:rsidR="00907B9C" w:rsidRPr="00F87280" w:rsidRDefault="00907B9C" w:rsidP="00907B9C">
      <w:pPr>
        <w:ind w:right="50" w:firstLine="709"/>
        <w:contextualSpacing/>
        <w:rPr>
          <w:i/>
          <w:iCs/>
          <w:u w:val="single"/>
        </w:rPr>
      </w:pPr>
      <w:r w:rsidRPr="00F87280">
        <w:rPr>
          <w:i/>
          <w:iCs/>
          <w:u w:val="single"/>
        </w:rPr>
        <w:t>Факторы риска</w:t>
      </w:r>
    </w:p>
    <w:p w14:paraId="66F0BDBC" w14:textId="77777777" w:rsidR="00907B9C" w:rsidRPr="00DA2BC8" w:rsidRDefault="00907B9C" w:rsidP="00907B9C">
      <w:pPr>
        <w:ind w:right="50" w:firstLine="709"/>
        <w:contextualSpacing/>
      </w:pPr>
      <w:r w:rsidRPr="00DA2BC8">
        <w:t>Факторами риска являются нейтропения, колонизация кандидами слизистых оболочек, применение антибиотиков широкого спектра действия, а также глюкокортикоидов, цитостатиков, иммунодепрессантов; абдоминальные операции, наличие центральных венозных катетеров, проведение полного парентерального питания, прием антацидов, Н</w:t>
      </w:r>
      <w:r w:rsidRPr="00DA2BC8">
        <w:rPr>
          <w:vertAlign w:val="subscript"/>
        </w:rPr>
        <w:t>2</w:t>
      </w:r>
      <w:r w:rsidRPr="00DA2BC8">
        <w:t>-блокаторов и иных средств, снижающих кислотность желудочного сока.</w:t>
      </w:r>
    </w:p>
    <w:p w14:paraId="3CABCB4F" w14:textId="77777777" w:rsidR="00907B9C" w:rsidRPr="00F87280" w:rsidRDefault="00907B9C" w:rsidP="00907B9C">
      <w:pPr>
        <w:ind w:right="50" w:firstLine="709"/>
        <w:contextualSpacing/>
        <w:rPr>
          <w:i/>
          <w:iCs/>
        </w:rPr>
      </w:pPr>
      <w:r w:rsidRPr="00F87280">
        <w:rPr>
          <w:i/>
          <w:iCs/>
          <w:u w:val="single"/>
        </w:rPr>
        <w:t>Симптомы инфекции</w:t>
      </w:r>
    </w:p>
    <w:p w14:paraId="25A372C3" w14:textId="77777777" w:rsidR="00907B9C" w:rsidRPr="00DA2BC8" w:rsidRDefault="00907B9C" w:rsidP="00907B9C">
      <w:pPr>
        <w:ind w:right="50" w:firstLine="709"/>
        <w:contextualSpacing/>
      </w:pPr>
      <w:r w:rsidRPr="00DA2BC8">
        <w:t>Клинические симптомы кандидемии неспецифичны. Преобладает лихорадка, которая сохраняется или повторно возникает на фоне лечения антибиотиками широкого спектра действия. В 10-15% случаев отмечается диссеминация в дерму кожи (отсевы) в виде мелких 0,3—0,6 см папулезных образований розовато-красноватого цвета или подкожных абсцессов</w:t>
      </w:r>
      <w:r>
        <w:t>, в</w:t>
      </w:r>
      <w:r w:rsidRPr="00DA2BC8">
        <w:t xml:space="preserve"> части случаев беспокоит выраженная боль в мышца</w:t>
      </w:r>
      <w:r>
        <w:t>х</w:t>
      </w:r>
      <w:r w:rsidRPr="00DA2BC8">
        <w:t>. Диссеминация кандид происходит гематогенно в любой орган</w:t>
      </w:r>
      <w:r>
        <w:t>; у взрослых гематологических</w:t>
      </w:r>
      <w:r w:rsidRPr="00DA2BC8">
        <w:t xml:space="preserve"> </w:t>
      </w:r>
      <w:r>
        <w:t>пациентов</w:t>
      </w:r>
      <w:r w:rsidRPr="00DA2BC8">
        <w:t xml:space="preserve"> преобладает инвазия в печень и/или селезенку (гепатолиенальный кандидоз), у 9-15% возникает эндофтальмит (снижение остроты зрения вплоть до слепоты). </w:t>
      </w:r>
    </w:p>
    <w:p w14:paraId="0A766D3F" w14:textId="77777777" w:rsidR="00907B9C" w:rsidRPr="00F87280" w:rsidRDefault="00907B9C" w:rsidP="00907B9C">
      <w:pPr>
        <w:ind w:right="50" w:firstLine="709"/>
        <w:contextualSpacing/>
        <w:rPr>
          <w:i/>
          <w:iCs/>
        </w:rPr>
      </w:pPr>
      <w:r w:rsidRPr="00F87280">
        <w:rPr>
          <w:i/>
          <w:iCs/>
          <w:u w:val="single"/>
        </w:rPr>
        <w:t>Диагностика</w:t>
      </w:r>
    </w:p>
    <w:p w14:paraId="7C49CB85" w14:textId="77777777" w:rsidR="00907B9C" w:rsidRPr="00DA2BC8" w:rsidRDefault="00907B9C" w:rsidP="00907B9C">
      <w:pPr>
        <w:ind w:right="50" w:firstLine="709"/>
        <w:contextualSpacing/>
      </w:pPr>
      <w:r w:rsidRPr="00DA2BC8">
        <w:t xml:space="preserve">Диагноз инвазивного кандидоза ставят на основании выделения грибов из стерильных в норме образцов при микроскопии (прямая микроскопия, цитология или </w:t>
      </w:r>
      <w:r w:rsidRPr="00DA2BC8">
        <w:lastRenderedPageBreak/>
        <w:t xml:space="preserve">гистология) или в культуре (посев). К стерильным образцам относят кровь, биоптаты органов и тканей, аспираты. При подозрении на кандидемию кровь для микробиолгического исследования берут в 4 флакона для гемокультур, при необходимости исследование повторяют. При выделении </w:t>
      </w:r>
      <w:r w:rsidRPr="00DA2BC8">
        <w:rPr>
          <w:i/>
          <w:iCs/>
        </w:rPr>
        <w:t>Candida</w:t>
      </w:r>
      <w:r w:rsidRPr="00DA2BC8">
        <w:t xml:space="preserve"> spp. из гемокультуры проводят ежедневно дополнительные посевы крови до получения двух отрицательных результатов подряд; для исключения диссеминации - офтальмоскопию с расширением зрачка (консультация офтальмолога), а также ультразвуковое исследование (УЗИ) или компьютерную томографию</w:t>
      </w:r>
      <w:r>
        <w:t>/спиральную компьютерную томографию</w:t>
      </w:r>
      <w:r w:rsidRPr="00DA2BC8">
        <w:t xml:space="preserve"> (КТ</w:t>
      </w:r>
      <w:r>
        <w:t>/СКТ</w:t>
      </w:r>
      <w:r w:rsidRPr="00DA2BC8">
        <w:t>) с контрастированием, или магнитно-резонансную томографию (МРТ) органов брюшной полости. Инструментальные исследования повторяют при восстановлении гранулоцитов (&gt;0,5×10</w:t>
      </w:r>
      <w:r w:rsidRPr="00DA2BC8">
        <w:rPr>
          <w:vertAlign w:val="superscript"/>
        </w:rPr>
        <w:t>9</w:t>
      </w:r>
      <w:r w:rsidRPr="00DA2BC8">
        <w:t xml:space="preserve">/л). Все штаммы </w:t>
      </w:r>
      <w:r w:rsidRPr="00DA2BC8">
        <w:rPr>
          <w:i/>
          <w:iCs/>
        </w:rPr>
        <w:t>Candida</w:t>
      </w:r>
      <w:r w:rsidRPr="00DA2BC8">
        <w:t xml:space="preserve"> spp., выделенные из стерильных в норме образцов, идентифицируют до вида и исследуют чувствительность к противогрибковым препаратам. На фоне лечения инвазивного кандидоза противогрибковыми препаратами может изменяться чувствительность (возможно формирование приобретенной резистентности) и вид возбудителя.</w:t>
      </w:r>
    </w:p>
    <w:p w14:paraId="3611B204" w14:textId="77777777" w:rsidR="00907B9C" w:rsidRPr="00DA2BC8" w:rsidRDefault="00907B9C" w:rsidP="00907B9C">
      <w:pPr>
        <w:ind w:right="50" w:firstLine="709"/>
        <w:contextualSpacing/>
      </w:pPr>
      <w:r w:rsidRPr="00DA2BC8">
        <w:t xml:space="preserve">Серологическими маркерами инвазивного кандидоза являются антиген </w:t>
      </w:r>
      <w:r w:rsidRPr="00DA2BC8">
        <w:rPr>
          <w:i/>
          <w:iCs/>
        </w:rPr>
        <w:t>Candida</w:t>
      </w:r>
      <w:r w:rsidRPr="00DA2BC8">
        <w:t xml:space="preserve"> (маннан) и антитела к </w:t>
      </w:r>
      <w:r w:rsidRPr="00DA2BC8">
        <w:rPr>
          <w:i/>
          <w:iCs/>
        </w:rPr>
        <w:t>Candida</w:t>
      </w:r>
      <w:r w:rsidRPr="00DA2BC8">
        <w:t xml:space="preserve"> (антиманнан). Чувствительность тестов выше, если определяют оба показателя одновременно и неоднократно. Для теста характерным является высокое отрицательное прогностическое значение. При гепатолиенальном кандидозе чувствительность серологических маркеров определяется выше. Тест не включен в критерии диагностики инвазивного кандидоза. </w:t>
      </w:r>
    </w:p>
    <w:p w14:paraId="5FE7114D" w14:textId="77777777" w:rsidR="00907B9C" w:rsidRPr="00DA2BC8" w:rsidRDefault="00907B9C" w:rsidP="00907B9C">
      <w:pPr>
        <w:ind w:right="50" w:firstLine="709"/>
        <w:contextualSpacing/>
      </w:pPr>
      <w:r w:rsidRPr="00DA2BC8">
        <w:t xml:space="preserve">На основании положительных результатов определения серологических маркеров у </w:t>
      </w:r>
      <w:r>
        <w:t>пациента</w:t>
      </w:r>
      <w:r w:rsidRPr="00DA2BC8">
        <w:t xml:space="preserve"> можно лишь предполагать наличие инвазивного кандидоза. В клинической практике определение антигена (маннан) и антител (антиманнан) может быть существенным подспорьем для назначения современных противогрибковых препаратов больным с фебрильной нейтропенией.</w:t>
      </w:r>
    </w:p>
    <w:p w14:paraId="3E8FAC9C" w14:textId="77777777" w:rsidR="00907B9C" w:rsidRPr="00DA2BC8" w:rsidRDefault="00907B9C" w:rsidP="00907B9C">
      <w:pPr>
        <w:ind w:right="50" w:firstLine="709"/>
        <w:contextualSpacing/>
      </w:pPr>
      <w:r w:rsidRPr="00DA2BC8">
        <w:t xml:space="preserve">К диссеминированному кандидозу относят те случаи, когда в течение 2 недель после выделения </w:t>
      </w:r>
      <w:r w:rsidRPr="00DA2BC8">
        <w:rPr>
          <w:i/>
          <w:iCs/>
        </w:rPr>
        <w:t xml:space="preserve">Candida </w:t>
      </w:r>
      <w:r w:rsidRPr="00DA2BC8">
        <w:t xml:space="preserve">spp. из гемокультуры выявляют очаги в печени и/или селезенке либо экссудат в сетчатке при офтальмоскопии. Различают острый и хронический диссеминированный кандидоз. При остром диссеминированном кандидозе имеется непосредственная связь обнаруженных признаков с кандидозным сепсисом, а при хроническом диссеминированном кандидозе этой связи нет. </w:t>
      </w:r>
    </w:p>
    <w:p w14:paraId="28DDBD42" w14:textId="77777777" w:rsidR="00907B9C" w:rsidRPr="00F87280" w:rsidRDefault="00907B9C" w:rsidP="00907B9C">
      <w:pPr>
        <w:ind w:right="50" w:firstLine="709"/>
        <w:contextualSpacing/>
        <w:rPr>
          <w:bCs/>
          <w:i/>
          <w:iCs/>
          <w:u w:val="single"/>
        </w:rPr>
      </w:pPr>
      <w:r w:rsidRPr="00F87280">
        <w:rPr>
          <w:bCs/>
          <w:i/>
          <w:iCs/>
          <w:u w:val="single"/>
        </w:rPr>
        <w:t>Лечение</w:t>
      </w:r>
    </w:p>
    <w:p w14:paraId="5DB2459F" w14:textId="77777777" w:rsidR="00907B9C" w:rsidRDefault="00907B9C" w:rsidP="00907B9C">
      <w:pPr>
        <w:ind w:right="50" w:firstLine="709"/>
        <w:contextualSpacing/>
        <w:rPr>
          <w:bCs/>
        </w:rPr>
      </w:pPr>
      <w:r w:rsidRPr="00DA2BC8">
        <w:rPr>
          <w:bCs/>
        </w:rPr>
        <w:t>Основными принципами лечения кандидемии (инвазивного кандидоза) являются</w:t>
      </w:r>
      <w:r>
        <w:rPr>
          <w:bCs/>
        </w:rPr>
        <w:t>:</w:t>
      </w:r>
    </w:p>
    <w:p w14:paraId="1B25CAE4" w14:textId="77777777" w:rsidR="00907B9C" w:rsidRDefault="00907B9C" w:rsidP="00907B9C">
      <w:pPr>
        <w:pStyle w:val="afff3"/>
        <w:numPr>
          <w:ilvl w:val="0"/>
          <w:numId w:val="249"/>
        </w:numPr>
        <w:ind w:right="50"/>
        <w:rPr>
          <w:bCs/>
        </w:rPr>
      </w:pPr>
      <w:r w:rsidRPr="007531B6">
        <w:lastRenderedPageBreak/>
        <w:t>назначение эффективного противогрибкового препарата;</w:t>
      </w:r>
      <w:r w:rsidRPr="007531B6">
        <w:rPr>
          <w:bCs/>
        </w:rPr>
        <w:t xml:space="preserve"> </w:t>
      </w:r>
    </w:p>
    <w:p w14:paraId="13E55669" w14:textId="77777777" w:rsidR="00907B9C" w:rsidRDefault="00907B9C" w:rsidP="00907B9C">
      <w:pPr>
        <w:pStyle w:val="afff3"/>
        <w:numPr>
          <w:ilvl w:val="0"/>
          <w:numId w:val="249"/>
        </w:numPr>
        <w:ind w:right="50"/>
        <w:rPr>
          <w:bCs/>
        </w:rPr>
      </w:pPr>
      <w:r w:rsidRPr="007531B6">
        <w:t>удаление сосудистого катетера;</w:t>
      </w:r>
      <w:r w:rsidRPr="007531B6">
        <w:rPr>
          <w:bCs/>
        </w:rPr>
        <w:t xml:space="preserve"> </w:t>
      </w:r>
    </w:p>
    <w:p w14:paraId="6030BBDB" w14:textId="77777777" w:rsidR="00907B9C" w:rsidRPr="007531B6" w:rsidRDefault="00907B9C" w:rsidP="00907B9C">
      <w:pPr>
        <w:pStyle w:val="afff3"/>
        <w:numPr>
          <w:ilvl w:val="0"/>
          <w:numId w:val="249"/>
        </w:numPr>
        <w:ind w:right="50"/>
        <w:rPr>
          <w:bCs/>
        </w:rPr>
      </w:pPr>
      <w:r w:rsidRPr="007531B6">
        <w:t xml:space="preserve">устранение или уменьшение факторов риска, приведших к развитию кандидемии. </w:t>
      </w:r>
    </w:p>
    <w:p w14:paraId="48A3A5DD" w14:textId="77777777" w:rsidR="00907B9C" w:rsidRPr="00DA2BC8" w:rsidRDefault="00907B9C" w:rsidP="00907B9C">
      <w:pPr>
        <w:ind w:right="50" w:firstLine="709"/>
        <w:contextualSpacing/>
      </w:pPr>
      <w:r w:rsidRPr="00DA2BC8">
        <w:t xml:space="preserve">Препараты выбора для лечения инвазивного кандидоза (кандидемии) – эхинокандины, которые в отличие от азолов оказывают фунгицидное действие на кандиды. Замена эхинокандинов на флуконазол возможна только при выделении флуконазолчувствительных </w:t>
      </w:r>
      <w:r w:rsidRPr="00DA2BC8">
        <w:rPr>
          <w:i/>
          <w:iCs/>
        </w:rPr>
        <w:t xml:space="preserve">Candida </w:t>
      </w:r>
      <w:r w:rsidRPr="00DA2BC8">
        <w:t xml:space="preserve">spp. и стабильном состоянии пациента. </w:t>
      </w:r>
      <w:r w:rsidRPr="00DA2BC8">
        <w:rPr>
          <w:bCs/>
        </w:rPr>
        <w:t xml:space="preserve">Из группы эхинокандинов назначают один из препаратов – </w:t>
      </w:r>
      <w:r w:rsidRPr="00DA2BC8">
        <w:t xml:space="preserve">каспофунгин (в 1-й день 70 мг, далее по 50 мг внутривенно 1 раз в сутки); микафунгин (по 100 мг внутривенно 1 раз в сутки); анидулафунгин (в 1-й день 200 мг, далее по 100 мг внутривенно 1 раз в сутки). </w:t>
      </w:r>
      <w:r w:rsidRPr="00DA2BC8">
        <w:rPr>
          <w:iCs/>
        </w:rPr>
        <w:t>Эхинокандины – это единственные препараты, применение которых при инвазивном кандидозе привело к достоверно значимому увеличению числа излечений и к снижению летальности в сравнении с другими антимикотиками (азолами, липи</w:t>
      </w:r>
      <w:r>
        <w:rPr>
          <w:iCs/>
        </w:rPr>
        <w:t>дными формами амфотерицина В)</w:t>
      </w:r>
      <w:r w:rsidRPr="00DA2BC8">
        <w:rPr>
          <w:iCs/>
        </w:rPr>
        <w:t>. Не используют сочетание противогрибковых препаратов в 1-й линии терапии кандидемии (инвазивного кандидоза)</w:t>
      </w:r>
      <w:r w:rsidRPr="00DA2BC8">
        <w:t xml:space="preserve">. Альтернативные препараты для лечения инвазивного кандидоза - вориконазол ( в 1-й день по 6 мг/кг внутривенно 2 раза в сутки, в последующие дни по 3 мг/кг внутривенно 2 раза в сутки или по 200 мг внутрь 2 раза в сутки); амфотерицин В (0,7-1,0 мг/кг внутривенно 1 раз в сутки). </w:t>
      </w:r>
      <w:r w:rsidRPr="00DA2BC8">
        <w:rPr>
          <w:iCs/>
        </w:rPr>
        <w:t>Амфотерицин В назначают только при отсутствии других опций для лечения ввиду его высокой токсичности и низкой эффективности.</w:t>
      </w:r>
      <w:r w:rsidRPr="00DA2BC8">
        <w:t xml:space="preserve"> Флуконазол в качестве препарата 1-й линии не используют у больных с гематологическими заболеваниями. </w:t>
      </w:r>
      <w:r w:rsidRPr="00DA2BC8">
        <w:rPr>
          <w:iCs/>
        </w:rPr>
        <w:t>При сочетании</w:t>
      </w:r>
      <w:r w:rsidRPr="00DA2BC8">
        <w:rPr>
          <w:i/>
          <w:iCs/>
        </w:rPr>
        <w:t xml:space="preserve"> </w:t>
      </w:r>
      <w:r w:rsidRPr="00DA2BC8">
        <w:rPr>
          <w:iCs/>
        </w:rPr>
        <w:t>кандидемии и инвазивного аспергиллеза</w:t>
      </w:r>
      <w:r w:rsidRPr="00DA2BC8">
        <w:rPr>
          <w:i/>
          <w:iCs/>
        </w:rPr>
        <w:t xml:space="preserve"> </w:t>
      </w:r>
      <w:r w:rsidRPr="00DA2BC8">
        <w:rPr>
          <w:iCs/>
        </w:rPr>
        <w:t>назначают вориконазол</w:t>
      </w:r>
      <w:r w:rsidRPr="00DA2BC8">
        <w:t xml:space="preserve"> (в 1-й день по 6 мг/кг внутривенно 2 раза в сутки, в последующие дни по 3 мг/кг внутривенно 2 раза в сутки или по 200 мг 2 раза в сутки внутрь) или липидную форму амфотерицина В (5 мг/кг, внутривенно, 1 раз в сутки). </w:t>
      </w:r>
    </w:p>
    <w:p w14:paraId="491ED8F0" w14:textId="3E0CB149" w:rsidR="00907B9C" w:rsidRPr="00DA2BC8" w:rsidRDefault="00907B9C" w:rsidP="00907B9C">
      <w:pPr>
        <w:ind w:right="50" w:firstLine="709"/>
        <w:contextualSpacing/>
        <w:rPr>
          <w:b/>
          <w:bCs/>
        </w:rPr>
      </w:pPr>
      <w:r w:rsidRPr="00DA2BC8">
        <w:t xml:space="preserve">Для штаммов </w:t>
      </w:r>
      <w:r w:rsidRPr="00DA2BC8">
        <w:rPr>
          <w:i/>
          <w:iCs/>
        </w:rPr>
        <w:t xml:space="preserve">Candida </w:t>
      </w:r>
      <w:r w:rsidRPr="00DA2BC8">
        <w:rPr>
          <w:iCs/>
        </w:rPr>
        <w:t xml:space="preserve">spp. характерным является высокая способность к формированию биопленок, которая составляет 50% и преобладает у </w:t>
      </w:r>
      <w:r w:rsidRPr="00DA2BC8">
        <w:rPr>
          <w:i/>
          <w:iCs/>
        </w:rPr>
        <w:t>C. tropicalis</w:t>
      </w:r>
      <w:r w:rsidRPr="00DA2BC8">
        <w:rPr>
          <w:iCs/>
        </w:rPr>
        <w:t xml:space="preserve"> и </w:t>
      </w:r>
      <w:r w:rsidRPr="00DA2BC8">
        <w:rPr>
          <w:i/>
          <w:iCs/>
        </w:rPr>
        <w:t>C. krusei</w:t>
      </w:r>
      <w:r w:rsidRPr="00DA2BC8">
        <w:rPr>
          <w:iCs/>
        </w:rPr>
        <w:t xml:space="preserve"> (80%)</w:t>
      </w:r>
      <w:r>
        <w:rPr>
          <w:iCs/>
        </w:rPr>
        <w:t xml:space="preserve"> </w:t>
      </w:r>
      <w:r>
        <w:rPr>
          <w:iCs/>
        </w:rPr>
        <w:fldChar w:fldCharType="begin" w:fldLock="1"/>
      </w:r>
      <w:r w:rsidR="00A67ED2">
        <w:rPr>
          <w:iCs/>
        </w:rPr>
        <w:instrText>ADDIN CSL_CITATION {"citationItems":[{"id":"ITEM-1","itemData":{"author":[{"dropping-particle":"","family":"Мальчикова","given":"А.О.","non-dropping-particle":"","parse-names":false,"suffix":""},{"dropping-particle":"","family":"Клясова","given":"Г.А.","non-dropping-particle":"","parse-names":false,"suffix":""}],"container-title":"Клиническая микробиология и антимикробная химиотерапия","id":"ITEM-1","issue":"2","issued":{"date-parts":[["2018"]]},"page":"126-130","title":"Формирование биопленок у изолятов Candida spp, выделенных из гемокультуры от больных с опухолями системы крови","type":"article-journal","volume":"20"},"uris":["http://www.mendeley.com/documents/?uuid=14b71eb8-c05c-48f8-844b-d37bf0031d16"]}],"mendeley":{"formattedCitation":"[131]","plainTextFormattedCitation":"[131]","previouslyFormattedCitation":"[5]"},"properties":{"noteIndex":0},"schema":"https://github.com/citation-style-language/schema/raw/master/csl-citation.json"}</w:instrText>
      </w:r>
      <w:r>
        <w:rPr>
          <w:iCs/>
        </w:rPr>
        <w:fldChar w:fldCharType="separate"/>
      </w:r>
      <w:r w:rsidR="00A67ED2" w:rsidRPr="00A67ED2">
        <w:rPr>
          <w:iCs/>
          <w:noProof/>
        </w:rPr>
        <w:t>[131]</w:t>
      </w:r>
      <w:r>
        <w:rPr>
          <w:iCs/>
        </w:rPr>
        <w:fldChar w:fldCharType="end"/>
      </w:r>
      <w:r w:rsidRPr="00DA2BC8">
        <w:rPr>
          <w:iCs/>
        </w:rPr>
        <w:t xml:space="preserve">. Удаление центрального венозного катетера (ЦВК) является обязательным у больных вне гранулоцитопении и в случаях повторного выделения </w:t>
      </w:r>
      <w:r w:rsidRPr="00DA2BC8">
        <w:rPr>
          <w:i/>
          <w:iCs/>
        </w:rPr>
        <w:t xml:space="preserve">Candida </w:t>
      </w:r>
      <w:r w:rsidRPr="00DA2BC8">
        <w:rPr>
          <w:iCs/>
        </w:rPr>
        <w:t xml:space="preserve">spp. из гемокультуры на фоне терапиии противогрибковыми </w:t>
      </w:r>
      <w:r>
        <w:rPr>
          <w:iCs/>
        </w:rPr>
        <w:t>препаратами</w:t>
      </w:r>
      <w:r w:rsidRPr="005A06BE">
        <w:rPr>
          <w:iCs/>
        </w:rPr>
        <w:t>.</w:t>
      </w:r>
      <w:r w:rsidRPr="00DA2BC8">
        <w:rPr>
          <w:iCs/>
        </w:rPr>
        <w:t xml:space="preserve"> Не проводят замену ЦВК по проводнику.</w:t>
      </w:r>
    </w:p>
    <w:p w14:paraId="3F755E3B" w14:textId="77777777" w:rsidR="00907B9C" w:rsidRPr="00DA2BC8" w:rsidRDefault="00907B9C" w:rsidP="00907B9C">
      <w:pPr>
        <w:ind w:right="50" w:firstLine="709"/>
        <w:contextualSpacing/>
      </w:pPr>
      <w:r w:rsidRPr="00DA2BC8">
        <w:rPr>
          <w:bCs/>
        </w:rPr>
        <w:t xml:space="preserve">Устранение или уменьшение факторов риска у </w:t>
      </w:r>
      <w:r>
        <w:rPr>
          <w:bCs/>
        </w:rPr>
        <w:t>пациентов</w:t>
      </w:r>
      <w:r w:rsidRPr="00DA2BC8">
        <w:rPr>
          <w:bCs/>
        </w:rPr>
        <w:t xml:space="preserve"> с инвазивным кандидозом включает </w:t>
      </w:r>
      <w:r w:rsidRPr="00DA2BC8">
        <w:t>сокращение по возможности используемых антибиотиков и изменение тактики цитостатической терапии.</w:t>
      </w:r>
    </w:p>
    <w:p w14:paraId="14ACDE9E" w14:textId="77777777" w:rsidR="00907B9C" w:rsidRPr="00CB7689" w:rsidRDefault="00907B9C" w:rsidP="00907B9C">
      <w:pPr>
        <w:ind w:right="50" w:firstLine="709"/>
        <w:contextualSpacing/>
        <w:rPr>
          <w:i/>
          <w:iCs/>
          <w:u w:val="single"/>
        </w:rPr>
      </w:pPr>
      <w:r w:rsidRPr="00CB7689">
        <w:rPr>
          <w:i/>
          <w:iCs/>
          <w:u w:val="single"/>
        </w:rPr>
        <w:lastRenderedPageBreak/>
        <w:t>Длительность лечения</w:t>
      </w:r>
    </w:p>
    <w:p w14:paraId="46E51D6D" w14:textId="77777777" w:rsidR="00907B9C" w:rsidRPr="00DA2BC8" w:rsidRDefault="00907B9C" w:rsidP="00907B9C">
      <w:pPr>
        <w:ind w:right="50" w:firstLine="709"/>
        <w:contextualSpacing/>
      </w:pPr>
      <w:r w:rsidRPr="00DA2BC8">
        <w:t>Противогрибковый препарат отменяют при наличии всех следующих критериев - регрессия клинических проявлений инфекции; число гранулоцитов в гемограмме более 0,5×10</w:t>
      </w:r>
      <w:r w:rsidRPr="00DA2BC8">
        <w:rPr>
          <w:vertAlign w:val="superscript"/>
        </w:rPr>
        <w:t>9</w:t>
      </w:r>
      <w:r w:rsidRPr="00DA2BC8">
        <w:t xml:space="preserve">/л; не менее двух недель от последней положительной гемокультуры; регрессия очагов диссеминации кандидоза в случаях их развития. </w:t>
      </w:r>
    </w:p>
    <w:p w14:paraId="5EA6CA1E" w14:textId="77777777" w:rsidR="00907B9C" w:rsidRDefault="00907B9C" w:rsidP="00907B9C">
      <w:pPr>
        <w:ind w:right="50" w:firstLine="709"/>
        <w:contextualSpacing/>
      </w:pPr>
      <w:r w:rsidRPr="00CB7689">
        <w:rPr>
          <w:i/>
          <w:iCs/>
          <w:u w:val="single"/>
        </w:rPr>
        <w:t>Персистирующая кандидемия включает</w:t>
      </w:r>
      <w:r w:rsidRPr="00DA2BC8">
        <w:rPr>
          <w:b/>
          <w:bCs/>
        </w:rPr>
        <w:t xml:space="preserve"> </w:t>
      </w:r>
      <w:r w:rsidRPr="00DA2BC8">
        <w:t xml:space="preserve">наличие симптомов сепсиса и повторное выделение </w:t>
      </w:r>
      <w:r w:rsidRPr="00DA2BC8">
        <w:rPr>
          <w:i/>
          <w:iCs/>
        </w:rPr>
        <w:t>Candida</w:t>
      </w:r>
      <w:r w:rsidRPr="00DA2BC8">
        <w:t xml:space="preserve"> spp. из гемокультуры.</w:t>
      </w:r>
      <w:r w:rsidRPr="00DA2BC8">
        <w:rPr>
          <w:b/>
          <w:bCs/>
        </w:rPr>
        <w:t xml:space="preserve"> </w:t>
      </w:r>
      <w:r w:rsidRPr="00DA2BC8">
        <w:t>При персистирующей кандидемии крайне важно исследовать чувствительность грибов к антимикотикам ввиду формирования вторичной резистентности; повторить инструментальные исследования с целью исключения диссеминации.</w:t>
      </w:r>
      <w:r w:rsidRPr="00DA2BC8">
        <w:rPr>
          <w:bCs/>
        </w:rPr>
        <w:t xml:space="preserve"> В этих случаях </w:t>
      </w:r>
      <w:r w:rsidRPr="00DA2BC8">
        <w:t xml:space="preserve">замену на антимикотик другой группы проводят согласно видовой принадлежности </w:t>
      </w:r>
      <w:r w:rsidRPr="00DA2BC8">
        <w:rPr>
          <w:i/>
        </w:rPr>
        <w:t>Candida</w:t>
      </w:r>
      <w:r w:rsidRPr="00DA2BC8">
        <w:t xml:space="preserve"> spp. и результатам чувствительностию.</w:t>
      </w:r>
    </w:p>
    <w:p w14:paraId="73677A3F" w14:textId="77777777" w:rsidR="001647AE" w:rsidRPr="00DA2BC8" w:rsidRDefault="001647AE" w:rsidP="00907B9C">
      <w:pPr>
        <w:ind w:right="50" w:firstLine="709"/>
        <w:contextualSpacing/>
      </w:pPr>
    </w:p>
    <w:p w14:paraId="3FA4D3D7" w14:textId="77777777" w:rsidR="00907B9C" w:rsidRPr="0014445B" w:rsidRDefault="00907B9C" w:rsidP="00907B9C">
      <w:pPr>
        <w:ind w:right="50" w:firstLine="709"/>
        <w:contextualSpacing/>
        <w:rPr>
          <w:b/>
          <w:bCs/>
        </w:rPr>
      </w:pPr>
      <w:r w:rsidRPr="0014445B">
        <w:rPr>
          <w:b/>
          <w:bCs/>
        </w:rPr>
        <w:t>Хронический диссеминированный (гепатолиенальный) кандидоз</w:t>
      </w:r>
    </w:p>
    <w:p w14:paraId="315FAB02" w14:textId="77777777" w:rsidR="00907B9C" w:rsidRPr="00CB7689" w:rsidRDefault="00907B9C" w:rsidP="00907B9C">
      <w:pPr>
        <w:ind w:right="50" w:firstLine="709"/>
        <w:contextualSpacing/>
        <w:rPr>
          <w:i/>
          <w:iCs/>
        </w:rPr>
      </w:pPr>
      <w:r w:rsidRPr="00CB7689">
        <w:rPr>
          <w:i/>
          <w:iCs/>
          <w:u w:val="single"/>
        </w:rPr>
        <w:t>Симптомы</w:t>
      </w:r>
    </w:p>
    <w:p w14:paraId="3E3045A4" w14:textId="77777777" w:rsidR="00907B9C" w:rsidRPr="00DA2BC8" w:rsidRDefault="00907B9C" w:rsidP="00907B9C">
      <w:pPr>
        <w:ind w:right="50" w:firstLine="709"/>
        <w:contextualSpacing/>
      </w:pPr>
      <w:r w:rsidRPr="00DA2BC8">
        <w:t>Ведущий симптом — лихорадка на фоне лечения антибиотиками, которая возникает в период гранулоцитопении и сохраняется при повышении уровня лейкоцитов (гранулоцитов &gt;0,5×10</w:t>
      </w:r>
      <w:r w:rsidRPr="00DA2BC8">
        <w:rPr>
          <w:vertAlign w:val="superscript"/>
        </w:rPr>
        <w:t>9</w:t>
      </w:r>
      <w:r w:rsidRPr="00DA2BC8">
        <w:t>/л). Для этого варианта инвазивного микоза очень характерной является температурная кривая –</w:t>
      </w:r>
      <w:r>
        <w:t xml:space="preserve"> </w:t>
      </w:r>
      <w:r w:rsidRPr="00DA2BC8">
        <w:t xml:space="preserve">колебания температуры от 36,7ºС-37,5°С утром до 39ºС-40ºС в вечернее время, которые возникают в период гранулоцитопении и сохраняются после восстановления гранулоцитов. </w:t>
      </w:r>
    </w:p>
    <w:p w14:paraId="5CEC7D38" w14:textId="77777777" w:rsidR="00907B9C" w:rsidRPr="00CB7689" w:rsidRDefault="00907B9C" w:rsidP="00907B9C">
      <w:pPr>
        <w:ind w:right="50" w:firstLine="709"/>
        <w:contextualSpacing/>
        <w:rPr>
          <w:i/>
          <w:iCs/>
        </w:rPr>
      </w:pPr>
      <w:r w:rsidRPr="00CB7689">
        <w:rPr>
          <w:i/>
          <w:iCs/>
          <w:u w:val="single"/>
        </w:rPr>
        <w:t>Диагностика</w:t>
      </w:r>
    </w:p>
    <w:p w14:paraId="778CA29C" w14:textId="77777777" w:rsidR="00907B9C" w:rsidRPr="00DA2BC8" w:rsidRDefault="00907B9C" w:rsidP="00907B9C">
      <w:pPr>
        <w:ind w:right="50" w:firstLine="709"/>
        <w:contextualSpacing/>
      </w:pPr>
      <w:r w:rsidRPr="00DA2BC8">
        <w:t>Проводят УЗИ, КТ или МРТ (наиболее высокая чувствительность) печени и селезенки. Характерным является обнаружение множественных очагов деструкции до 2 см. Чаще вовлекаются печень и селезенка, реже почки. По возможности проводят биопсию этих образований с проведением микробиологических (прямая микроскопия, посев) и гистологических иследований. Отрицательные результаты биопсии не исключают наличие гепатолиенального кандидоза. При лечении гепатолиенального кандидоза контрольные исследования (УЗИ, КТ или МРТ) проводят не ранее чем через 3-4 недели и обязательно вне нейтропении. Обращают внимание на размеры очагов и их плотность. Исследование в период нейтропении может дать ложноположительные результаты о сокращении размеров очагов.</w:t>
      </w:r>
    </w:p>
    <w:p w14:paraId="69472FA2" w14:textId="77777777" w:rsidR="00907B9C" w:rsidRPr="00DA2BC8" w:rsidRDefault="00907B9C" w:rsidP="00907B9C">
      <w:pPr>
        <w:ind w:right="50" w:firstLine="709"/>
        <w:contextualSpacing/>
      </w:pPr>
      <w:r w:rsidRPr="00DA2BC8">
        <w:t>При гепатолиенальном кандидозе проводят определение серологичесик</w:t>
      </w:r>
      <w:r>
        <w:t>и</w:t>
      </w:r>
      <w:r w:rsidRPr="00DA2BC8">
        <w:t>х маркеров (маннан и антиманнан).</w:t>
      </w:r>
    </w:p>
    <w:p w14:paraId="6AFB4885" w14:textId="77777777" w:rsidR="00907B9C" w:rsidRPr="00DA2BC8" w:rsidRDefault="00907B9C" w:rsidP="00907B9C">
      <w:pPr>
        <w:ind w:right="50" w:firstLine="709"/>
        <w:contextualSpacing/>
      </w:pPr>
      <w:r w:rsidRPr="00CB7689">
        <w:rPr>
          <w:i/>
          <w:iCs/>
          <w:u w:val="single"/>
        </w:rPr>
        <w:t>Показанием к назначению противогрибковых препаратов</w:t>
      </w:r>
      <w:r w:rsidRPr="00DA2BC8">
        <w:rPr>
          <w:b/>
          <w:bCs/>
        </w:rPr>
        <w:t xml:space="preserve"> </w:t>
      </w:r>
      <w:r w:rsidRPr="00DA2BC8">
        <w:rPr>
          <w:bCs/>
        </w:rPr>
        <w:t>являются</w:t>
      </w:r>
      <w:r w:rsidRPr="00DA2BC8">
        <w:rPr>
          <w:b/>
          <w:bCs/>
        </w:rPr>
        <w:t xml:space="preserve"> </w:t>
      </w:r>
      <w:r w:rsidRPr="00DA2BC8">
        <w:t xml:space="preserve">лихорадка на </w:t>
      </w:r>
      <w:r w:rsidRPr="00DA2BC8">
        <w:lastRenderedPageBreak/>
        <w:t>фоне лечения антибиотиками, которая сохраняется при повышении количества лейкоцитов (гранулоцитов более 0,5×10</w:t>
      </w:r>
      <w:r w:rsidRPr="00DA2BC8">
        <w:rPr>
          <w:vertAlign w:val="superscript"/>
        </w:rPr>
        <w:t>9</w:t>
      </w:r>
      <w:r w:rsidRPr="00DA2BC8">
        <w:t>/л) и выявление множественных очагов в печени и/или селезенке по данным УЗИ, КТ или МРТ. Препаратами выбора в лечении гепатолиенального кандидоза являются эхинокандин (каспофунгин или микафунгин) или липидная форма амфотерицина В (3 мг/кг в сутки, внутривенно); альтернативный препарат - амфотерицин В (0,7-1,0 мг/кг). Дозирование эхинокандина проводят как при кандидемии. После ликвидации температуры (через 1-2 недели) проводят замену этих препаратов на флуконазол (400 мг внутрь или внутривенно 1 раз в сутки) ввиду необходимости продолжительного периода лечения данной патологии.</w:t>
      </w:r>
    </w:p>
    <w:p w14:paraId="4519FB05" w14:textId="77777777" w:rsidR="00907B9C" w:rsidRPr="00DA2BC8" w:rsidRDefault="00907B9C" w:rsidP="00907B9C">
      <w:pPr>
        <w:ind w:right="50" w:firstLine="709"/>
        <w:contextualSpacing/>
      </w:pPr>
      <w:r w:rsidRPr="00CB7689">
        <w:rPr>
          <w:i/>
          <w:iCs/>
          <w:u w:val="single"/>
        </w:rPr>
        <w:t>Длительность лечения</w:t>
      </w:r>
      <w:r w:rsidRPr="00DA2BC8">
        <w:t xml:space="preserve"> составляет от 3 до 6 месяцев. При ранней отмене противогрибкового препарата наблюдается высокая частота рецидивов инфекции. Критериями отмены противогрибкового препарата являются кальцификация или регрессия очагов.</w:t>
      </w:r>
    </w:p>
    <w:p w14:paraId="10BFCD74" w14:textId="77777777" w:rsidR="00907B9C" w:rsidRPr="0014445B" w:rsidRDefault="00907B9C" w:rsidP="00907B9C">
      <w:pPr>
        <w:ind w:right="50" w:firstLine="709"/>
        <w:contextualSpacing/>
        <w:rPr>
          <w:b/>
          <w:bCs/>
        </w:rPr>
      </w:pPr>
      <w:r w:rsidRPr="0014445B">
        <w:rPr>
          <w:b/>
          <w:bCs/>
        </w:rPr>
        <w:t>Инвазивный кандидоз центральной нервной системы (ЦНС)</w:t>
      </w:r>
    </w:p>
    <w:p w14:paraId="29399E6E" w14:textId="6F9EAA62" w:rsidR="00907B9C" w:rsidRPr="00DA2BC8" w:rsidRDefault="00840044" w:rsidP="00907B9C">
      <w:pPr>
        <w:ind w:right="50" w:firstLine="709"/>
        <w:contextualSpacing/>
        <w:rPr>
          <w:b/>
          <w:bCs/>
        </w:rPr>
      </w:pPr>
      <w:r w:rsidRPr="006E2E13">
        <w:t>И</w:t>
      </w:r>
      <w:r w:rsidRPr="00DA2BC8">
        <w:t xml:space="preserve">нвазивный кандидоз ЦНС </w:t>
      </w:r>
      <w:r>
        <w:t xml:space="preserve">у пациентов с лейкозами </w:t>
      </w:r>
      <w:r w:rsidR="00907B9C" w:rsidRPr="00DA2BC8">
        <w:t xml:space="preserve">возникает при диссеминации кандид из крови или является осложнением нейрохирургических операций (шунтирование и др.). Проявления кандидоза ЦНС - менингит (ведущее), </w:t>
      </w:r>
      <w:r w:rsidR="00907B9C">
        <w:t xml:space="preserve">также </w:t>
      </w:r>
      <w:r w:rsidR="00907B9C" w:rsidRPr="00DA2BC8">
        <w:t>возможны множественные абсцессы в веществе головного мозга, большого размера солитарный абсцесс, эпидуральные абсцессы.</w:t>
      </w:r>
    </w:p>
    <w:p w14:paraId="227F99C9" w14:textId="77777777" w:rsidR="00907B9C" w:rsidRPr="00DA2BC8" w:rsidRDefault="00907B9C" w:rsidP="00907B9C">
      <w:pPr>
        <w:ind w:right="50" w:firstLine="709"/>
        <w:contextualSpacing/>
      </w:pPr>
      <w:r w:rsidRPr="00CB7689">
        <w:rPr>
          <w:i/>
          <w:iCs/>
          <w:u w:val="single"/>
        </w:rPr>
        <w:t>Симптомы</w:t>
      </w:r>
      <w:r w:rsidRPr="00DA2BC8">
        <w:rPr>
          <w:b/>
          <w:bCs/>
        </w:rPr>
        <w:t xml:space="preserve"> </w:t>
      </w:r>
      <w:r w:rsidRPr="00DA2BC8">
        <w:t>аналогичны симптомам бактериального менингита. При абсцедировании появляется очаговая симптоматика поражения ЦНС.</w:t>
      </w:r>
    </w:p>
    <w:p w14:paraId="143B73DD" w14:textId="77777777" w:rsidR="00907B9C" w:rsidRPr="00CB7689" w:rsidRDefault="00907B9C" w:rsidP="00907B9C">
      <w:pPr>
        <w:ind w:right="50" w:firstLine="709"/>
        <w:contextualSpacing/>
        <w:rPr>
          <w:i/>
          <w:iCs/>
        </w:rPr>
      </w:pPr>
      <w:r w:rsidRPr="00CB7689">
        <w:rPr>
          <w:i/>
          <w:iCs/>
          <w:u w:val="single"/>
        </w:rPr>
        <w:t>Диагностика</w:t>
      </w:r>
    </w:p>
    <w:p w14:paraId="47D88F78" w14:textId="77777777" w:rsidR="00907B9C" w:rsidRPr="00DA2BC8" w:rsidRDefault="00907B9C" w:rsidP="00907B9C">
      <w:pPr>
        <w:ind w:right="50" w:firstLine="709"/>
        <w:contextualSpacing/>
      </w:pPr>
      <w:r w:rsidRPr="00DA2BC8">
        <w:t xml:space="preserve">Обнаружение </w:t>
      </w:r>
      <w:r w:rsidRPr="00DA2BC8">
        <w:rPr>
          <w:i/>
          <w:iCs/>
        </w:rPr>
        <w:t>Candida</w:t>
      </w:r>
      <w:r w:rsidRPr="00DA2BC8">
        <w:t xml:space="preserve"> spp. при микроскопии либо в культуре спинномозговой жидкости (СМЖ) или биоптатов головного мозга. При кандидозном менингите, как и при бактериальном, в СМЖ определяется нейтрофильный плеоцитоз. </w:t>
      </w:r>
      <w:r>
        <w:t xml:space="preserve">Выполняется КТ/МРТ головного мозга (по показаниям с контрастированием) для оценки локализации, размеров, динамики очага (очагов) поражения. </w:t>
      </w:r>
      <w:r w:rsidRPr="00DA2BC8">
        <w:t>Специфические р</w:t>
      </w:r>
      <w:r>
        <w:t>адио</w:t>
      </w:r>
      <w:r w:rsidRPr="00DA2BC8">
        <w:t>логические признаки абсцессов кандидозной этиологии отсутствуют.</w:t>
      </w:r>
    </w:p>
    <w:p w14:paraId="5A04D28C" w14:textId="77777777" w:rsidR="00907B9C" w:rsidRPr="00CB7689" w:rsidRDefault="00907B9C" w:rsidP="00907B9C">
      <w:pPr>
        <w:tabs>
          <w:tab w:val="left" w:pos="-90"/>
        </w:tabs>
        <w:ind w:right="50" w:firstLine="709"/>
        <w:contextualSpacing/>
        <w:rPr>
          <w:i/>
          <w:iCs/>
          <w:u w:val="single"/>
        </w:rPr>
      </w:pPr>
      <w:r w:rsidRPr="00CB7689">
        <w:rPr>
          <w:i/>
          <w:iCs/>
          <w:u w:val="single"/>
        </w:rPr>
        <w:t>Лечение</w:t>
      </w:r>
    </w:p>
    <w:p w14:paraId="060E2A8A" w14:textId="77777777" w:rsidR="00907B9C" w:rsidRPr="00DA2BC8" w:rsidRDefault="00907B9C" w:rsidP="00907B9C">
      <w:pPr>
        <w:tabs>
          <w:tab w:val="left" w:pos="-90"/>
        </w:tabs>
        <w:ind w:right="50" w:firstLine="709"/>
        <w:contextualSpacing/>
      </w:pPr>
      <w:r w:rsidRPr="00DA2BC8">
        <w:rPr>
          <w:bCs/>
        </w:rPr>
        <w:t xml:space="preserve">Стартовая терапия (первые недели) – монотерапия липидной формы амфотерицина В (3-5 мг/кг </w:t>
      </w:r>
      <w:r w:rsidRPr="00DA2BC8">
        <w:t xml:space="preserve">внутривенно 1 раз в сутки) или в сочетании в течение первых недель с флуцитозином (25 мг/кг внутривенно 4 раза в сутки). Альтернативный препарат – вориконазол (в 1-й день по 6 мг/кг внутривенно 2 раза в сутки, затем по 4 мг/кг 2 раза в сутки с последующим переходом на пероральную форму по 200 мг внутрь 2 раза в сутки). </w:t>
      </w:r>
      <w:r w:rsidRPr="00DA2BC8">
        <w:rPr>
          <w:bCs/>
        </w:rPr>
        <w:lastRenderedPageBreak/>
        <w:t>При стабилизации</w:t>
      </w:r>
      <w:r w:rsidRPr="00DA2BC8">
        <w:rPr>
          <w:b/>
          <w:bCs/>
        </w:rPr>
        <w:t xml:space="preserve"> </w:t>
      </w:r>
      <w:r w:rsidRPr="00DA2BC8">
        <w:t xml:space="preserve">состояния после лечения липидной формой амфотерицина В назначают флуконазол при выделении флуконазолчувствительных </w:t>
      </w:r>
      <w:r w:rsidRPr="00DA2BC8">
        <w:rPr>
          <w:i/>
          <w:iCs/>
        </w:rPr>
        <w:t>Candida</w:t>
      </w:r>
      <w:r w:rsidRPr="00DA2BC8">
        <w:t xml:space="preserve"> spp (400-800 мг внутривенно 1 раз в сутки). </w:t>
      </w:r>
    </w:p>
    <w:p w14:paraId="6882B643" w14:textId="77777777" w:rsidR="00907B9C" w:rsidRPr="00DA2BC8" w:rsidRDefault="00907B9C" w:rsidP="00907B9C">
      <w:pPr>
        <w:tabs>
          <w:tab w:val="left" w:pos="-90"/>
        </w:tabs>
        <w:ind w:right="50" w:firstLine="709"/>
        <w:contextualSpacing/>
      </w:pPr>
      <w:r w:rsidRPr="00DA2BC8">
        <w:t>Вориконазол и флуконазол хорошо проникают через гематоэнцефалический барьер. Итраконазол, позаконазол, амфотерицин В и его липидные формы плохо проходят через гематоэнцефалический барьер. При лечении липидными формами амфотерицина В в веществе головного мозга создаются высокие концентрации, причем у липосомального амфотерицина В они выше, чем у липидного комплекса или обычного амфотерицина В. Комбинация амфотерицина В с флуцитозином обладает синергидным действием. Лечение кандидоза ЦНС не проводят эхинокандинами.</w:t>
      </w:r>
    </w:p>
    <w:p w14:paraId="79972923" w14:textId="77777777" w:rsidR="00907B9C" w:rsidRPr="00CB7689" w:rsidRDefault="00907B9C" w:rsidP="00907B9C">
      <w:pPr>
        <w:ind w:right="50" w:firstLine="709"/>
        <w:contextualSpacing/>
        <w:rPr>
          <w:i/>
          <w:iCs/>
          <w:u w:val="single"/>
        </w:rPr>
      </w:pPr>
      <w:r w:rsidRPr="00CB7689">
        <w:rPr>
          <w:i/>
          <w:iCs/>
          <w:u w:val="single"/>
        </w:rPr>
        <w:t>Длительность лечения</w:t>
      </w:r>
    </w:p>
    <w:p w14:paraId="37122D22" w14:textId="77777777" w:rsidR="00907B9C" w:rsidRPr="00DA2BC8" w:rsidRDefault="00907B9C" w:rsidP="00907B9C">
      <w:pPr>
        <w:ind w:right="50" w:firstLine="709"/>
        <w:contextualSpacing/>
      </w:pPr>
      <w:r w:rsidRPr="00DA2BC8">
        <w:t>Лечение занимает продолжительный период — до ликвидации всех клинических и р</w:t>
      </w:r>
      <w:r>
        <w:t>адио</w:t>
      </w:r>
      <w:r w:rsidRPr="00DA2BC8">
        <w:t>логических симптомов инфекции, нормализации состава СМЖ. Нейрохирургическим больным удаляют инфицированные шунты.</w:t>
      </w:r>
    </w:p>
    <w:p w14:paraId="4F5A5049" w14:textId="77777777" w:rsidR="00907B9C" w:rsidRPr="00444F93" w:rsidRDefault="00907B9C" w:rsidP="00907B9C">
      <w:pPr>
        <w:ind w:right="50" w:firstLine="709"/>
        <w:contextualSpacing/>
        <w:rPr>
          <w:b/>
          <w:bCs/>
        </w:rPr>
      </w:pPr>
      <w:r w:rsidRPr="00444F93">
        <w:rPr>
          <w:b/>
          <w:bCs/>
        </w:rPr>
        <w:t>Кандидозный эндофтальмит</w:t>
      </w:r>
    </w:p>
    <w:p w14:paraId="56C6DFAD" w14:textId="77777777" w:rsidR="00907B9C" w:rsidRDefault="00907B9C" w:rsidP="00907B9C">
      <w:pPr>
        <w:ind w:right="50" w:firstLine="709"/>
        <w:contextualSpacing/>
      </w:pPr>
      <w:r w:rsidRPr="00DA2BC8">
        <w:t>Кандидозный эндофтальмит - воспаление внутренних оболочек глаза с формированием абсцесса (абсцессов) в стекловидном теле</w:t>
      </w:r>
      <w:r>
        <w:t>, в</w:t>
      </w:r>
      <w:r w:rsidRPr="00DA2BC8">
        <w:t>озникает при диссеминации кандид из крови.</w:t>
      </w:r>
      <w:r>
        <w:t xml:space="preserve"> </w:t>
      </w:r>
      <w:r w:rsidRPr="00DA2BC8">
        <w:t xml:space="preserve">Основной симптом - снижение остроты зрения вплоть до развития слепоты. Во всех случаях необходима консультация офтальмолога. При офтальмоскопии на сетчатке определяют множественные белесоватые очаги. </w:t>
      </w:r>
      <w:r>
        <w:t>Выполняют КТ/МРТ головы (по показаниям с контрастированием) для оценки локализации, размеров, динамики очага (очагов) поражения.</w:t>
      </w:r>
    </w:p>
    <w:p w14:paraId="267FE3EA" w14:textId="77777777" w:rsidR="00907B9C" w:rsidRPr="00DA2BC8" w:rsidRDefault="00907B9C" w:rsidP="00907B9C">
      <w:pPr>
        <w:ind w:right="50" w:firstLine="709"/>
        <w:contextualSpacing/>
      </w:pPr>
      <w:r w:rsidRPr="00DA2BC8">
        <w:rPr>
          <w:bCs/>
        </w:rPr>
        <w:t xml:space="preserve">При обширном поражении назначают </w:t>
      </w:r>
      <w:r w:rsidRPr="00DA2BC8">
        <w:t xml:space="preserve">амфотерицин В (0,7-1 мг/кг внутривенно 1 раз в сутки) в сочетании с флуцитозином (25 мг/кг внутривенно 4 раза в сутки), </w:t>
      </w:r>
      <w:r w:rsidRPr="00DA2BC8">
        <w:rPr>
          <w:bCs/>
        </w:rPr>
        <w:t xml:space="preserve">при нетяжелых проявлениях - </w:t>
      </w:r>
      <w:r w:rsidRPr="00DA2BC8">
        <w:t xml:space="preserve">флуконазол (400-800 мг внутривенно или внутрь 1 раз в сутки), при </w:t>
      </w:r>
      <w:r w:rsidRPr="00DA2BC8">
        <w:rPr>
          <w:bCs/>
        </w:rPr>
        <w:t xml:space="preserve">отсутствие эффекта </w:t>
      </w:r>
      <w:r w:rsidRPr="00DA2BC8">
        <w:t xml:space="preserve">- вориконазол, липидные формы амфотерицина В. Не используют эхинокандины. В стекловидном теле создается высокая концентрация вориконазола, низкая концентрация - эхинокандинов (каспофунгина, микафунгина, анидулафунгина). </w:t>
      </w:r>
      <w:r w:rsidRPr="00DA2BC8">
        <w:rPr>
          <w:bCs/>
        </w:rPr>
        <w:t>Длительность лечения</w:t>
      </w:r>
      <w:r w:rsidRPr="00DA2BC8">
        <w:t xml:space="preserve"> составляет 4-6 недель. Критерии отмены противогрибковых препаратов - ликвидация клинических симптомов инфекции и регрессия или стабилизация размеров очагов, выявляемых при офтальмоскопии.</w:t>
      </w:r>
    </w:p>
    <w:p w14:paraId="13574959" w14:textId="77777777" w:rsidR="00907B9C" w:rsidRPr="00444F93" w:rsidRDefault="00907B9C" w:rsidP="00907B9C">
      <w:pPr>
        <w:ind w:right="51" w:firstLine="709"/>
        <w:contextualSpacing/>
        <w:rPr>
          <w:b/>
          <w:bCs/>
        </w:rPr>
      </w:pPr>
      <w:r w:rsidRPr="00444F93">
        <w:rPr>
          <w:b/>
          <w:bCs/>
        </w:rPr>
        <w:t>Кандидозный эндокардит, перикардит, миокардит, тромбофлебит</w:t>
      </w:r>
    </w:p>
    <w:p w14:paraId="16A59DCC" w14:textId="49FE4CC3" w:rsidR="00907B9C" w:rsidRPr="00DA2BC8" w:rsidRDefault="00907B9C" w:rsidP="00907B9C">
      <w:pPr>
        <w:tabs>
          <w:tab w:val="left" w:pos="-90"/>
        </w:tabs>
        <w:ind w:left="90" w:right="51" w:firstLine="709"/>
        <w:contextualSpacing/>
      </w:pPr>
      <w:r w:rsidRPr="00DA2BC8">
        <w:t xml:space="preserve">У иммунокомпрометированных </w:t>
      </w:r>
      <w:r w:rsidR="001647AE">
        <w:t>пацентов ХЛЛ</w:t>
      </w:r>
      <w:r>
        <w:t xml:space="preserve">/ЛМЛ </w:t>
      </w:r>
      <w:r w:rsidRPr="00DA2BC8">
        <w:t xml:space="preserve">эти осложнения возникают при гематогенной диссеминации </w:t>
      </w:r>
      <w:r w:rsidRPr="00DA2BC8">
        <w:rPr>
          <w:i/>
          <w:iCs/>
        </w:rPr>
        <w:t>Candida</w:t>
      </w:r>
      <w:r w:rsidRPr="00DA2BC8">
        <w:t xml:space="preserve"> spp.</w:t>
      </w:r>
      <w:r>
        <w:t>; с</w:t>
      </w:r>
      <w:r w:rsidRPr="00DA2BC8">
        <w:rPr>
          <w:bCs/>
        </w:rPr>
        <w:t>имптомы</w:t>
      </w:r>
      <w:r w:rsidRPr="00DA2BC8">
        <w:t xml:space="preserve"> </w:t>
      </w:r>
      <w:r>
        <w:t xml:space="preserve">соответствуют аналогичной </w:t>
      </w:r>
      <w:r>
        <w:lastRenderedPageBreak/>
        <w:t xml:space="preserve">локализации инфекции </w:t>
      </w:r>
      <w:r w:rsidRPr="00DA2BC8">
        <w:t>бактериальн</w:t>
      </w:r>
      <w:r>
        <w:t>ой</w:t>
      </w:r>
      <w:r w:rsidRPr="00DA2BC8">
        <w:t xml:space="preserve"> </w:t>
      </w:r>
      <w:r>
        <w:t>природы</w:t>
      </w:r>
      <w:r w:rsidRPr="00DA2BC8">
        <w:t xml:space="preserve">. </w:t>
      </w:r>
      <w:r>
        <w:t xml:space="preserve">Для диагностики проводят необходимые инструменитальные и лабораторные исследования – ЭКГ, ЭхоКГ, КТ/МРТ органов грудной полости, доплерографические исследования, УЗИ сосудов, консультация кардиолога, кардиохирурга, ангиохирурга, микробиологические (бактериологические) исследования крови, микробиологические (бактериологические), цитологические и гистологические исследования биоптататов. </w:t>
      </w:r>
      <w:r w:rsidRPr="00DA2BC8">
        <w:t xml:space="preserve">Диагноз устанавливают на основании обнаружения </w:t>
      </w:r>
      <w:r w:rsidRPr="00DA2BC8">
        <w:rPr>
          <w:i/>
          <w:iCs/>
        </w:rPr>
        <w:t>Candida</w:t>
      </w:r>
      <w:r w:rsidRPr="00DA2BC8">
        <w:t xml:space="preserve"> spp. в материале из пораженных клапанов сердца или присутствия непосредственной связи между выделением </w:t>
      </w:r>
      <w:r w:rsidRPr="00DA2BC8">
        <w:rPr>
          <w:i/>
          <w:iCs/>
        </w:rPr>
        <w:t xml:space="preserve">Candida </w:t>
      </w:r>
      <w:r w:rsidRPr="00DA2BC8">
        <w:t xml:space="preserve">spp. из гемокультуры и появлением симптомов диссеминации инфекционного процесса. </w:t>
      </w:r>
      <w:r w:rsidRPr="00DA2BC8">
        <w:rPr>
          <w:bCs/>
        </w:rPr>
        <w:t xml:space="preserve">Препарат выбора - </w:t>
      </w:r>
      <w:r w:rsidRPr="00DA2BC8">
        <w:t xml:space="preserve">каспофунгин, </w:t>
      </w:r>
      <w:r w:rsidRPr="00DA2BC8">
        <w:rPr>
          <w:bCs/>
        </w:rPr>
        <w:t>альтернативный препарат – липидные формы амфотерицина В.</w:t>
      </w:r>
      <w:r w:rsidRPr="00DA2BC8">
        <w:t xml:space="preserve"> Флуконазол назначают </w:t>
      </w:r>
      <w:r w:rsidRPr="00DA2BC8">
        <w:rPr>
          <w:bCs/>
        </w:rPr>
        <w:t xml:space="preserve">при стабилизации симптомов инфекции и выделении флуконазолчувствительных </w:t>
      </w:r>
      <w:r w:rsidRPr="00DA2BC8">
        <w:rPr>
          <w:bCs/>
          <w:i/>
          <w:iCs/>
        </w:rPr>
        <w:t>Candida</w:t>
      </w:r>
      <w:r w:rsidRPr="00DA2BC8">
        <w:rPr>
          <w:bCs/>
        </w:rPr>
        <w:t xml:space="preserve"> spp.</w:t>
      </w:r>
      <w:r w:rsidRPr="00DA2BC8">
        <w:t xml:space="preserve"> </w:t>
      </w:r>
      <w:r w:rsidRPr="00DA2BC8">
        <w:rPr>
          <w:bCs/>
        </w:rPr>
        <w:t xml:space="preserve">Оперативное лечение включает </w:t>
      </w:r>
      <w:r w:rsidRPr="00DA2BC8">
        <w:t xml:space="preserve">удаление инфицированных клапанов сердца, перикардэктомия при перикардите. </w:t>
      </w:r>
      <w:r w:rsidRPr="00DA2BC8">
        <w:rPr>
          <w:bCs/>
        </w:rPr>
        <w:t>Длительность лечения</w:t>
      </w:r>
      <w:r w:rsidRPr="00DA2BC8">
        <w:t xml:space="preserve"> кандидозного эндокардита после хирургического вмешательства составляет не менее 6 недель; при наличии абсцессов и других осложнений - более продолжительный период. Если операцию на клапанах не проводят, то назначают пожизненно флуконазол в дозе 400-800 мг в сутки внутрь или внутривенно 1 раз в сутки. Лечение кандидозного перикардита и миокардита продолжается несколько месяцев.</w:t>
      </w:r>
    </w:p>
    <w:p w14:paraId="6AA35301" w14:textId="77777777" w:rsidR="00907B9C" w:rsidRPr="00444F93" w:rsidRDefault="00907B9C" w:rsidP="00907B9C">
      <w:pPr>
        <w:ind w:right="51" w:firstLine="709"/>
        <w:contextualSpacing/>
        <w:rPr>
          <w:b/>
          <w:bCs/>
        </w:rPr>
      </w:pPr>
      <w:r w:rsidRPr="00444F93">
        <w:rPr>
          <w:b/>
          <w:bCs/>
        </w:rPr>
        <w:t>Кандидоз мочевыводящих путей</w:t>
      </w:r>
    </w:p>
    <w:p w14:paraId="16B43A89" w14:textId="77777777" w:rsidR="00907B9C" w:rsidRPr="00DA2BC8" w:rsidRDefault="00907B9C" w:rsidP="00907B9C">
      <w:pPr>
        <w:ind w:right="51" w:firstLine="709"/>
        <w:contextualSpacing/>
      </w:pPr>
      <w:r w:rsidRPr="00DA2BC8">
        <w:t xml:space="preserve">Клинические проявления </w:t>
      </w:r>
      <w:r>
        <w:t xml:space="preserve">кандидоза мочевых путей – </w:t>
      </w:r>
      <w:r w:rsidRPr="00DA2BC8">
        <w:t xml:space="preserve">цистит, пиелонефорит, </w:t>
      </w:r>
      <w:r w:rsidRPr="00444F93">
        <w:t>острый диссеминированный кандидоз</w:t>
      </w:r>
      <w:r w:rsidRPr="00DA2BC8">
        <w:t xml:space="preserve">. К факторам риска относят факторы, индуцирующие развитие инвазивного кандидоза, дополнительный фактор </w:t>
      </w:r>
      <w:r>
        <w:t>–</w:t>
      </w:r>
      <w:r w:rsidRPr="00DA2BC8">
        <w:t xml:space="preserve"> катетеризация мочевого пузыря. При кандидозном цистите </w:t>
      </w:r>
      <w:r>
        <w:t>характерны</w:t>
      </w:r>
      <w:r w:rsidRPr="00DA2BC8">
        <w:t xml:space="preserve"> частые болезненные мочеиспускания; при пиелонефрите </w:t>
      </w:r>
      <w:r>
        <w:t>–</w:t>
      </w:r>
      <w:r w:rsidRPr="00DA2BC8">
        <w:t xml:space="preserve"> боль в поясничной области, боль при мочеиспускании, температура; при гематогенной диссеминации кандид может быть только лихорадка. </w:t>
      </w:r>
      <w:r>
        <w:t xml:space="preserve">Для диагностики проводят необходимые иснтрументальные и лабораторные исследования – клинический, микробиологический анализы мочи, УЗИ почек и мочевыводящих путей, мочевого пузыря, КТ/МРТ почек и мочевыводящих путей, мочевого пузыря, органов малого таза у мужчин и женщин. </w:t>
      </w:r>
      <w:r w:rsidRPr="00DA2BC8">
        <w:t xml:space="preserve">Диагноз ставят на основании выделения </w:t>
      </w:r>
      <w:r w:rsidRPr="00DA2BC8">
        <w:rPr>
          <w:i/>
          <w:iCs/>
        </w:rPr>
        <w:t>Candida</w:t>
      </w:r>
      <w:r w:rsidRPr="00DA2BC8">
        <w:t xml:space="preserve"> spp. из мочи. Необходимо провести идентификацию возбудителя до вида и определить его чувствительность.</w:t>
      </w:r>
    </w:p>
    <w:p w14:paraId="1B366633" w14:textId="6DF417FB" w:rsidR="00907B9C" w:rsidRDefault="00907B9C" w:rsidP="00907B9C">
      <w:pPr>
        <w:ind w:right="51" w:firstLine="709"/>
        <w:contextualSpacing/>
      </w:pPr>
      <w:r w:rsidRPr="00DA2BC8">
        <w:rPr>
          <w:bCs/>
        </w:rPr>
        <w:t xml:space="preserve">Показанием к назначению противогрибковых препаратов являются </w:t>
      </w:r>
      <w:r w:rsidRPr="00DA2BC8">
        <w:t xml:space="preserve">наличие признаков инфекции и неоднократное (не менее двух раз) выделение </w:t>
      </w:r>
      <w:r w:rsidRPr="00DA2BC8">
        <w:rPr>
          <w:i/>
          <w:iCs/>
        </w:rPr>
        <w:t>Candida</w:t>
      </w:r>
      <w:r w:rsidRPr="00DA2BC8">
        <w:t xml:space="preserve"> spp. из мочи, а также бессимптомная кандидурия у больных с нейтропенией. Бессимптомная кандидурия у больных </w:t>
      </w:r>
      <w:r w:rsidRPr="00DA2BC8">
        <w:rPr>
          <w:bCs/>
        </w:rPr>
        <w:t>вне нейтропении</w:t>
      </w:r>
      <w:r w:rsidRPr="00DA2BC8">
        <w:t xml:space="preserve"> свидетельствует о колонизации слизистой оболочки нижних </w:t>
      </w:r>
      <w:r w:rsidRPr="00DA2BC8">
        <w:lastRenderedPageBreak/>
        <w:t>отделов мочевыводящих путей кандидами, лечение противогрибковым</w:t>
      </w:r>
      <w:r>
        <w:t>и препаратами не проводят. У этой категории</w:t>
      </w:r>
      <w:r w:rsidRPr="00DA2BC8">
        <w:t xml:space="preserve"> </w:t>
      </w:r>
      <w:r>
        <w:t>пациентов</w:t>
      </w:r>
      <w:r w:rsidRPr="00DA2BC8">
        <w:t xml:space="preserve"> устранение факторов риска, </w:t>
      </w:r>
      <w:r w:rsidR="001647AE" w:rsidRPr="00DA2BC8">
        <w:t>например,</w:t>
      </w:r>
      <w:r w:rsidRPr="00DA2BC8">
        <w:t xml:space="preserve"> отмена антибиотиков или глюкокортикоидов, либо удаление катетера из мочевого пузыря, приводит к прекращению выделения кандид из мочи. </w:t>
      </w:r>
    </w:p>
    <w:p w14:paraId="10FB707F" w14:textId="77777777" w:rsidR="00907B9C" w:rsidRPr="00DA2BC8" w:rsidRDefault="00907B9C" w:rsidP="00907B9C">
      <w:pPr>
        <w:ind w:right="51" w:firstLine="709"/>
        <w:contextualSpacing/>
        <w:rPr>
          <w:b/>
        </w:rPr>
      </w:pPr>
      <w:r w:rsidRPr="00DA2BC8">
        <w:rPr>
          <w:bCs/>
        </w:rPr>
        <w:t xml:space="preserve">Лечение </w:t>
      </w:r>
      <w:r w:rsidRPr="00DA2BC8">
        <w:rPr>
          <w:bCs/>
          <w:iCs/>
        </w:rPr>
        <w:t>кандидозного цистита включает назначение флуконазола (400 мг) в случаях детекции</w:t>
      </w:r>
      <w:r w:rsidRPr="00DA2BC8">
        <w:rPr>
          <w:bCs/>
        </w:rPr>
        <w:t xml:space="preserve"> флуконазолчувствительных </w:t>
      </w:r>
      <w:r w:rsidRPr="00DA2BC8">
        <w:rPr>
          <w:bCs/>
          <w:i/>
          <w:iCs/>
        </w:rPr>
        <w:t xml:space="preserve">Candida </w:t>
      </w:r>
      <w:r w:rsidRPr="00DA2BC8">
        <w:rPr>
          <w:bCs/>
        </w:rPr>
        <w:t>spp., применение</w:t>
      </w:r>
      <w:r w:rsidRPr="00DA2BC8">
        <w:t xml:space="preserve"> амфотерицин В (0,3-0,6 мг/кг внутривенно 1 раз в сутки) – при флуконазолустойчивых </w:t>
      </w:r>
      <w:r w:rsidRPr="00DA2BC8">
        <w:rPr>
          <w:bCs/>
          <w:i/>
          <w:iCs/>
        </w:rPr>
        <w:t xml:space="preserve">Candida </w:t>
      </w:r>
      <w:r w:rsidRPr="00DA2BC8">
        <w:rPr>
          <w:bCs/>
        </w:rPr>
        <w:t>spp</w:t>
      </w:r>
      <w:r w:rsidRPr="00DA2BC8">
        <w:t xml:space="preserve">. Орошение мочевого пузыря амфотерицином В допустимо лишь при выделении флуконазолрезистентных </w:t>
      </w:r>
      <w:r w:rsidRPr="00DA2BC8">
        <w:rPr>
          <w:i/>
          <w:iCs/>
        </w:rPr>
        <w:t xml:space="preserve">Candida </w:t>
      </w:r>
      <w:r w:rsidRPr="00DA2BC8">
        <w:t xml:space="preserve">spp., например </w:t>
      </w:r>
      <w:r w:rsidRPr="00DA2BC8">
        <w:rPr>
          <w:i/>
          <w:iCs/>
        </w:rPr>
        <w:t>С</w:t>
      </w:r>
      <w:r w:rsidRPr="00DA2BC8">
        <w:rPr>
          <w:iCs/>
          <w:strike/>
        </w:rPr>
        <w:t>.</w:t>
      </w:r>
      <w:r w:rsidRPr="00DA2BC8">
        <w:rPr>
          <w:i/>
          <w:iCs/>
        </w:rPr>
        <w:t xml:space="preserve"> glabrata</w:t>
      </w:r>
      <w:r w:rsidRPr="00DA2BC8">
        <w:t xml:space="preserve">. Необходимо отметить, что при таком методе лечения наблюдается высокая частота рецидивов. Лечение </w:t>
      </w:r>
      <w:r w:rsidRPr="00DA2BC8">
        <w:rPr>
          <w:bCs/>
          <w:iCs/>
        </w:rPr>
        <w:t>кандидозного пиелонефрита проводят теми же антимикотиками.</w:t>
      </w:r>
      <w:r w:rsidRPr="00DA2BC8">
        <w:t xml:space="preserve"> Липидные формы амфотерицина В не применяют для лечения кандидозного пиелонефрита по причине низкой концентрации препарата в паренхиме почек. По той же причине не назначают эхинокандиды и вориконазол.</w:t>
      </w:r>
    </w:p>
    <w:p w14:paraId="191773EF" w14:textId="77777777" w:rsidR="00907B9C" w:rsidRDefault="00907B9C" w:rsidP="00907B9C">
      <w:pPr>
        <w:ind w:right="51" w:firstLine="709"/>
        <w:contextualSpacing/>
      </w:pPr>
      <w:r w:rsidRPr="00DA2BC8">
        <w:rPr>
          <w:bCs/>
        </w:rPr>
        <w:t>Длительность лечения</w:t>
      </w:r>
      <w:r w:rsidRPr="00DA2BC8">
        <w:rPr>
          <w:b/>
          <w:bCs/>
        </w:rPr>
        <w:t xml:space="preserve"> </w:t>
      </w:r>
      <w:r w:rsidRPr="00DA2BC8">
        <w:t xml:space="preserve">кандидозного цистита флуконазолом составляет 2 недели. Если цистит вызван флуконазолрезистентными </w:t>
      </w:r>
      <w:r w:rsidRPr="00DA2BC8">
        <w:rPr>
          <w:i/>
          <w:iCs/>
        </w:rPr>
        <w:t xml:space="preserve">Candida </w:t>
      </w:r>
      <w:r w:rsidRPr="00DA2BC8">
        <w:t>spp., то лечение амфотерицином В проводят в течение 7-10 дней. Продолжительность лечения кандидозного пиелонефрита составляет 2 недели.</w:t>
      </w:r>
    </w:p>
    <w:p w14:paraId="33C7495A" w14:textId="77777777" w:rsidR="00907B9C" w:rsidRPr="00DA2BC8" w:rsidRDefault="00907B9C" w:rsidP="00907B9C">
      <w:pPr>
        <w:ind w:right="51" w:firstLine="709"/>
        <w:contextualSpacing/>
      </w:pPr>
    </w:p>
    <w:p w14:paraId="7F55DE01" w14:textId="411A13BA" w:rsidR="00907B9C" w:rsidRPr="00084B8B" w:rsidRDefault="00907B9C" w:rsidP="00907B9C">
      <w:pPr>
        <w:ind w:right="49"/>
        <w:contextualSpacing/>
        <w:rPr>
          <w:bCs/>
          <w:u w:val="single"/>
        </w:rPr>
      </w:pPr>
      <w:r w:rsidRPr="00CB7689">
        <w:rPr>
          <w:bCs/>
          <w:u w:val="single"/>
        </w:rPr>
        <w:t>Диагностика и лечение криптококкоза</w:t>
      </w:r>
      <w:r w:rsidRPr="00144984">
        <w:rPr>
          <w:bCs/>
          <w:u w:val="single"/>
        </w:rPr>
        <w:t xml:space="preserve"> </w:t>
      </w:r>
      <w:r>
        <w:rPr>
          <w:b/>
        </w:rPr>
        <w:fldChar w:fldCharType="begin" w:fldLock="1"/>
      </w:r>
      <w:r w:rsidR="00A67ED2">
        <w:rPr>
          <w:b/>
        </w:rPr>
        <w:instrText>ADDIN CSL_CITATION {"citationItems":[{"id":"ITEM-1","itemData":{"author":[{"dropping-particle":"","family":"Клясова","given":"Г.А.","non-dropping-particle":"","parse-names":false,"suffix":""},{"dropping-particle":"","family":"Охмат","given":"В.А.","non-dropping-particle":"","parse-names":false,"suffix":""}],"container-title":"Алгоритмы диагностики и протоколы лечения заболеваний системы крови. Под редакцией Савченко В.Г.","id":"ITEM-1","issued":{"date-parts":[["2018"]]},"page":"1067-1114","publisher":"Москва: Практика","title":"Антимикробная терапия","type":"chapter"},"uris":["http://www.mendeley.com/documents/?uuid=bd993c26-9214-4147-919c-9e856393def0"]},{"id":"ITEM-2","itemData":{"DOI":"10.1038/bmt.2010.175","ISSN":"14765365","abstract":"In 2005, several groups, including the European Group for Blood and Marrow Transplantation, the European Organization for Treatment and Research of Cancer, the European Leukemia Net and the Immunocompromised Host Society created the European Conference on Infections in Leukemia (ECIL). The main goal of ECIL is to elaborate guidelines, or recommendations, for the management of infections in leukemia and stem cell transplant patients. The first sets of ECIL slides about the management of invasive fungal disease were made available on the web in 2006 and the papers were published in 2007. The third meeting of the group (ECIL 3) was held in September 2009 and the group updated its previous recommendations. The goal of this paper is to summarize the new proposals from ECIL 3, based on the results of studies published after the ECIL 2 meeting: (1) the prophylactic recommendations for hematopoietic stem cell transplant recipients were formulated differently, by splitting the neutropenic and the GVHD phases and taking into account recent data on voriconazole; (2) micafungin was introduced as an alternative drug for empirical antifungal therapy; (3) although several studies were published on preemptive antifungal approaches in neutropenic patients, the group decided not to propose any recommendation, as the only randomized study comparing an empirical versus a preemptive approach showed a significant excess of fungal disease in the preemptive group. © 2011 Macmillan Publishers Limited All rights reserved.","author":[{"dropping-particle":"","family":"Maertens","given":"J.","non-dropping-particle":"","parse-names":false,"suffix":""},{"dropping-particle":"","family":"Marchetti","given":"O.","non-dropping-particle":"","parse-names":false,"suffix":""},{"dropping-particle":"","family":"Herbrecht","given":"R.","non-dropping-particle":"","parse-names":false,"suffix":""},{"dropping-particle":"","family":"Cornely","given":"O. A.","non-dropping-particle":"","parse-names":false,"suffix":""},{"dropping-particle":"","family":"Flückiger","given":"U.","non-dropping-particle":"","parse-names":false,"suffix":""},{"dropping-particle":"","family":"Frre","given":"P.","non-dropping-particle":"","parse-names":false,"suffix":""},{"dropping-particle":"","family":"Gachot","given":"B.","non-dropping-particle":"","parse-names":false,"suffix":""},{"dropping-particle":"","family":"Heinz","given":"W. J.","non-dropping-particle":"","parse-names":false,"suffix":""},{"dropping-particle":"","family":"Lass-Flörl","given":"C.","non-dropping-particle":"","parse-names":false,"suffix":""},{"dropping-particle":"","family":"Ribaud","given":"P.","non-dropping-particle":"","parse-names":false,"suffix":""},{"dropping-particle":"","family":"Thiebaut","given":"A.","non-dropping-particle":"","parse-names":false,"suffix":""},{"dropping-particle":"","family":"Cordonnier","given":"C.","non-dropping-particle":"","parse-names":false,"suffix":""}],"container-title":"Bone Marrow Transplantation","id":"ITEM-2","issue":"5","issued":{"date-parts":[["2011"]]},"page":"709-718","publisher":"Nature Publishing Group","title":"European guidelines for antifungal management in leukemia and hematopoietic stem cell transplant recipients: Summary of the ECIL 32009 update","type":"article-journal","volume":"46"},"uris":["http://www.mendeley.com/documents/?uuid=84d60f1c-6ae7-4aa7-827f-5a6f8dff9f03"]},{"id":"ITEM-3","itemData":{"DOI":"10.1111/1469-0691.12360","ISSN":"14690691","PMID":"24102785","abstract":"The mortality associated with invasive fungal infections remains high with that involving rare yeast pathogens other than Candida being no exception. This is in part due to the severe underlying conditions typically predisposing patients to these healthcare-related infections (most often severe neutropenia in patients with haematological malignancies), and in part due to the often challenging intrinsic susceptibility pattern of the pathogens that potentially leads to delayed appropriate antifungal treatment. A panel of experts of the European Society of Clinical Microbiology and Infectious Diseases (ESCMID) Fungal Infection Study Group (EFISG) and the European Confederation of Medical Mycology (ECMM) undertook a data review and compiled guidelines for the diagnostic tests and procedures for detection and management of rare invasive yeast infections. The rare yeast pathogens were defined and limited to the following genera/species: Cryptococcus adeliensis, Cryptococcus albidus, Cryptococcus curvatus, Cryptococcus flavescens, Cryptococcus laurentii and Cryptococcus uniguttulatus (often published under the name Filobasidium uniguttulatum), Malassezia furfur, Malassezia globosa, Malassezia pachydermatis and Malassezia restricta, Pseudozyma spp., Rhodotorula glutinis, Rhodotorula minuta and Rhodotorula mucilaginosa, Sporobolomyces spp., Trichosporon asahii, Trichosporon asteroides, Trichosporon dermatis, Trichosporon inkin, Trichosporon jirovecii, Trichosporon loubieri, Trichosporon mucoides and Trichosporon mycotoxinivorans and ascomycetous ones: Geotrichum candidum, Kodamaea ohmeri, Saccharomyces cerevisiae (incl. S. boulardii) and Saprochaete capitatae (Magnusiomyces (Blastoschizomyces) capitatus formerly named Trichosporon capitatum or Geotrichum (Dipodascus) capitatum) and Saprochaete clavata. Recommendations about the microbiological investigation and detection of invasive infection were made and current knowledge on the most appropriate antifungal and supportive treatment was reviewed. In addition, remarks about antifungal susceptibility testing were made. © 2013 European Society of Clinical Microbiology and Infectious Diseases.","author":[{"dropping-particle":"","family":"Arendrup","given":"M. C.","non-dropping-particle":"","parse-names":false,"suffix":""},{"dropping-particle":"","family":"Boekhout","given":"T.","non-dropping-particle":"","parse-names":false,"suffix":""},{"dropping-particle":"","family":"Akova","given":"M.","non-dropping-particle":"","parse-names":false,"suffix":""},{"dropping-particle":"","family":"Meis","given":"J. F.","non-dropping-particle":"","parse-names":false,"suffix":""},{"dropping-particle":"","family":"Cornely","given":"O. A.","non-dropping-particle":"","parse-names":false,"suffix":""},{"dropping-particle":"","family":"Lortholary","given":"O.","non-dropping-particle":"","parse-names":false,"suffix":""},{"dropping-particle":"","family":"Arikan-Akdagli","given":"Sevtap","non-dropping-particle":"","parse-names":false,"suffix":""},{"dropping-particle":"","family":"Cuenca-Estrella","given":"Manuel","non-dropping-particle":"","parse-names":false,"suffix":""},{"dropping-particle":"","family":"Dannaoui","given":"Eric","non-dropping-particle":"","parse-names":false,"suffix":""},{"dropping-particle":"","family":"Diepeningen","given":"Anne D.","non-dropping-particle":"van","parse-names":false,"suffix":""},{"dropping-particle":"","family":"Groll","given":"Andreas H.","non-dropping-particle":"","parse-names":false,"suffix":""},{"dropping-particle":"","family":"Guarro","given":"Josep","non-dropping-particle":"","parse-names":false,"suffix":""},{"dropping-particle":"","family":"Guinea","given":"Jesús","non-dropping-particle":"","parse-names":false,"suffix":""},{"dropping-particle":"","family":"Hope","given":"William","non-dropping-particle":"","parse-names":false,"suffix":""},{"dropping-particle":"","family":"Lackner","given":"Michaela","non-dropping-particle":"","parse-names":false,"suffix":""},{"dropping-particle":"","family":"Lass-Flörl","given":"Cornelia","non-dropping-particle":"","parse-names":false,"suffix":""},{"dropping-particle":"","family":"Lagrou","given":"Katrien","non-dropping-particle":"","parse-names":false,"suffix":""},{"dropping-particle":"","family":"Lanternier","given":"Fanny","non-dropping-particle":"","parse-names":false,"suffix":""},{"dropping-particle":"","family":"Meletiadis","given":"Joseph","non-dropping-particle":"","parse-names":false,"suffix":""},{"dropping-particle":"","family":"Munoz","given":"Patricia","non-dropping-particle":"","parse-names":false,"suffix":""},{"dropping-particle":"","family":"Pagano","given":"Livio","non-dropping-particle":"","parse-names":false,"suffix":""},{"dropping-particle":"","family":"Richardson","given":"Malcolm D.","non-dropping-particle":"","parse-names":false,"suffix":""},{"dropping-particle":"","family":"Roilides","given":"Emmanuel","non-dropping-particle":"","parse-names":false,"suffix":""},{"dropping-particle":"","family":"Tortorano","given":"Anna Maria","non-dropping-particle":"","parse-names":false,"suffix":""},{"dropping-particle":"","family":"Ullmann","given":"Andrew J.","non-dropping-particle":"","parse-names":false,"suffix":""}],"container-title":"Clinical Microbiology and Infection","id":"ITEM-3","issue":"S3","issued":{"date-parts":[["2014"]]},"page":"76-98","publisher":"Blackwell Publishing Ltd","title":"ESCMID and ECMM joint clinical guidelines for the diagnosis and management of rare invasive yeast infections","type":"article-journal","volume":"20"},"uris":["http://www.mendeley.com/documents/?uuid=5a6b3e24-e337-3cd9-bb20-08cd60455554"]}],"mendeley":{"formattedCitation":"[124,125,129]","plainTextFormattedCitation":"[124,125,129]","previouslyFormattedCitation":"[1–3]"},"properties":{"noteIndex":0},"schema":"https://github.com/citation-style-language/schema/raw/master/csl-citation.json"}</w:instrText>
      </w:r>
      <w:r>
        <w:rPr>
          <w:b/>
        </w:rPr>
        <w:fldChar w:fldCharType="separate"/>
      </w:r>
      <w:r w:rsidR="00A67ED2" w:rsidRPr="00A67ED2">
        <w:rPr>
          <w:noProof/>
        </w:rPr>
        <w:t>[124,125,129]</w:t>
      </w:r>
      <w:r>
        <w:rPr>
          <w:b/>
        </w:rPr>
        <w:fldChar w:fldCharType="end"/>
      </w:r>
    </w:p>
    <w:p w14:paraId="1C32C42D" w14:textId="3716B091" w:rsidR="00907B9C" w:rsidRPr="00DA2BC8" w:rsidRDefault="00907B9C" w:rsidP="00907B9C">
      <w:pPr>
        <w:ind w:right="50" w:firstLine="709"/>
        <w:contextualSpacing/>
      </w:pPr>
      <w:r w:rsidRPr="00DA2BC8">
        <w:t xml:space="preserve">Инфекция возникает преимущественно у </w:t>
      </w:r>
      <w:r>
        <w:t>пациентов</w:t>
      </w:r>
      <w:r w:rsidRPr="00DA2BC8">
        <w:t xml:space="preserve"> с Т-клеточным иммунодефицитом</w:t>
      </w:r>
      <w:r w:rsidR="00840044" w:rsidRPr="00840044">
        <w:t xml:space="preserve"> </w:t>
      </w:r>
      <w:r w:rsidR="00840044" w:rsidRPr="006E2E13">
        <w:t>на фоне лечения лейкоза</w:t>
      </w:r>
      <w:r w:rsidR="00840044">
        <w:t>,</w:t>
      </w:r>
      <w:r w:rsidRPr="00DA2BC8">
        <w:t xml:space="preserve"> и характеризуется частым поражением ЦНС в виде менингита или менингоэнцефалита. Основным возбудителем криптококкоза является </w:t>
      </w:r>
      <w:r w:rsidRPr="00DA2BC8">
        <w:rPr>
          <w:i/>
          <w:iCs/>
        </w:rPr>
        <w:t>Cryptococcus neoformans</w:t>
      </w:r>
      <w:r w:rsidRPr="00DA2BC8">
        <w:t xml:space="preserve">, реже заболевание вызывают </w:t>
      </w:r>
      <w:r w:rsidRPr="00DA2BC8">
        <w:rPr>
          <w:i/>
          <w:iCs/>
        </w:rPr>
        <w:t>C. gattii</w:t>
      </w:r>
      <w:r w:rsidRPr="00DA2BC8">
        <w:t xml:space="preserve">, крайне редко – </w:t>
      </w:r>
      <w:r w:rsidRPr="00DA2BC8">
        <w:rPr>
          <w:i/>
          <w:iCs/>
        </w:rPr>
        <w:t>C. laurentii</w:t>
      </w:r>
      <w:r w:rsidRPr="00DA2BC8">
        <w:t xml:space="preserve"> и </w:t>
      </w:r>
      <w:r w:rsidRPr="00DA2BC8">
        <w:rPr>
          <w:i/>
          <w:iCs/>
        </w:rPr>
        <w:t>С. albidus</w:t>
      </w:r>
      <w:r w:rsidRPr="00DA2BC8">
        <w:t>. К факторам риска относят применение глюкокортикоидных и иммуносупрессивных препаратов, таких как флударабин</w:t>
      </w:r>
      <w:r>
        <w:t xml:space="preserve"> и др</w:t>
      </w:r>
      <w:r w:rsidRPr="00DA2BC8">
        <w:t>.</w:t>
      </w:r>
    </w:p>
    <w:p w14:paraId="629CB6E8" w14:textId="77777777" w:rsidR="00907B9C" w:rsidRPr="00CB7689" w:rsidRDefault="00907B9C" w:rsidP="00907B9C">
      <w:pPr>
        <w:ind w:right="50" w:firstLine="709"/>
        <w:contextualSpacing/>
        <w:rPr>
          <w:i/>
          <w:iCs/>
          <w:u w:val="single"/>
        </w:rPr>
      </w:pPr>
      <w:r w:rsidRPr="00CB7689">
        <w:rPr>
          <w:i/>
          <w:iCs/>
          <w:u w:val="single"/>
        </w:rPr>
        <w:t>Симптомы</w:t>
      </w:r>
    </w:p>
    <w:p w14:paraId="3121C3D7" w14:textId="69A20B09" w:rsidR="00907B9C" w:rsidRPr="00DA2BC8" w:rsidRDefault="00907B9C" w:rsidP="00907B9C">
      <w:pPr>
        <w:ind w:right="50" w:firstLine="709"/>
        <w:contextualSpacing/>
      </w:pPr>
      <w:r w:rsidRPr="00DA2BC8">
        <w:t xml:space="preserve">Основное проявление – менингоэнцефалит. У </w:t>
      </w:r>
      <w:r>
        <w:t>пациентов</w:t>
      </w:r>
      <w:r w:rsidR="00840044">
        <w:t xml:space="preserve"> с лейкозом</w:t>
      </w:r>
      <w:r w:rsidRPr="00DA2BC8">
        <w:t xml:space="preserve">, в отличие от ВИЧ-инфицированных пациентов, симптомы криптококкового менингита и менигоэнцефалита не столь выражены, чаще всего беспокоят повышение температуры, головная боль, нарушение сознания, а при запоздалом лечении развивается сопор. У 30-50% </w:t>
      </w:r>
      <w:r>
        <w:t>пациентов</w:t>
      </w:r>
      <w:r w:rsidRPr="00DA2BC8">
        <w:t xml:space="preserve"> с криптококкозом удается выделить </w:t>
      </w:r>
      <w:r w:rsidRPr="00DA2BC8">
        <w:rPr>
          <w:i/>
          <w:iCs/>
        </w:rPr>
        <w:t>Cryptococcus</w:t>
      </w:r>
      <w:r w:rsidRPr="00DA2BC8">
        <w:t xml:space="preserve"> spp</w:t>
      </w:r>
      <w:r>
        <w:t>. из гемокультуры. У 25-50% пациентов с</w:t>
      </w:r>
      <w:r w:rsidRPr="00DA2BC8">
        <w:t xml:space="preserve"> криптококкозом возникает диссеминация в других органов, такие как простата, кожа, печень, почки, селезенка и кости. Инфицирование простаты может </w:t>
      </w:r>
      <w:r w:rsidRPr="00DA2BC8">
        <w:lastRenderedPageBreak/>
        <w:t xml:space="preserve">являться источником реактивации криптококкоза после прекращения лечения. Клинические проявления криптококкоза неспецифичны и зависят от локализации процесса. </w:t>
      </w:r>
    </w:p>
    <w:p w14:paraId="7762D59C" w14:textId="77777777" w:rsidR="00907B9C" w:rsidRPr="00CB7689" w:rsidRDefault="00907B9C" w:rsidP="00907B9C">
      <w:pPr>
        <w:ind w:right="50" w:firstLine="709"/>
        <w:contextualSpacing/>
        <w:rPr>
          <w:i/>
          <w:iCs/>
          <w:u w:val="single"/>
        </w:rPr>
      </w:pPr>
      <w:r w:rsidRPr="00CB7689">
        <w:rPr>
          <w:i/>
          <w:iCs/>
          <w:u w:val="single"/>
        </w:rPr>
        <w:t>Диагностика</w:t>
      </w:r>
    </w:p>
    <w:p w14:paraId="25A9BEF4" w14:textId="77777777" w:rsidR="00907B9C" w:rsidRPr="00C17F87" w:rsidRDefault="00907B9C" w:rsidP="00907B9C">
      <w:pPr>
        <w:ind w:right="50" w:firstLine="709"/>
        <w:contextualSpacing/>
      </w:pPr>
      <w:r>
        <w:t xml:space="preserve">Для диагностики проводят необходимые иснтрументальные и лабораторные исследования, манипуляции – КТ/МРТ грудной, брюшной полостей, малого таза, костей, головного и спинного мозга (по показаниям с контрастированием), люмбальные пункции с исследованием физико-химических свойств ликвора, а также цитологическим, молекулярно-биологическим исследованием, посевы (микробиологические / бактериологические исследования) крови и ликвора, другие исследования и консультации специалистов (невролога, окулиста, нейрохирурга, уролога, хирурга  и др. по показаниям). </w:t>
      </w:r>
    </w:p>
    <w:p w14:paraId="7C0F6516" w14:textId="77777777" w:rsidR="00907B9C" w:rsidRDefault="00907B9C" w:rsidP="00907B9C">
      <w:pPr>
        <w:ind w:right="50" w:firstLine="709"/>
        <w:contextualSpacing/>
      </w:pPr>
      <w:r w:rsidRPr="00DA2BC8">
        <w:t>Диагноз устанавливают на основании</w:t>
      </w:r>
      <w:r>
        <w:t>:</w:t>
      </w:r>
    </w:p>
    <w:p w14:paraId="75A60403" w14:textId="77777777" w:rsidR="00907B9C" w:rsidRDefault="00907B9C" w:rsidP="00907B9C">
      <w:pPr>
        <w:pStyle w:val="afff3"/>
        <w:numPr>
          <w:ilvl w:val="0"/>
          <w:numId w:val="250"/>
        </w:numPr>
        <w:ind w:right="50"/>
      </w:pPr>
      <w:r w:rsidRPr="00444F93">
        <w:t xml:space="preserve">выделения </w:t>
      </w:r>
      <w:r w:rsidRPr="00444F93">
        <w:rPr>
          <w:i/>
          <w:iCs/>
        </w:rPr>
        <w:t xml:space="preserve">Cryptococcus </w:t>
      </w:r>
      <w:r w:rsidRPr="00444F93">
        <w:t xml:space="preserve">spp. из гемокультуры или СМЖ, или обнаружения дрожжеподобных грибов в СМЖ при микроскопии; </w:t>
      </w:r>
    </w:p>
    <w:p w14:paraId="7CF4CD37" w14:textId="77777777" w:rsidR="00907B9C" w:rsidRDefault="00907B9C" w:rsidP="00907B9C">
      <w:pPr>
        <w:pStyle w:val="afff3"/>
        <w:numPr>
          <w:ilvl w:val="0"/>
          <w:numId w:val="250"/>
        </w:numPr>
        <w:ind w:right="50"/>
      </w:pPr>
      <w:r w:rsidRPr="00444F93">
        <w:t xml:space="preserve">определения положительного антигена </w:t>
      </w:r>
      <w:r w:rsidRPr="00444F93">
        <w:rPr>
          <w:i/>
          <w:iCs/>
        </w:rPr>
        <w:t xml:space="preserve">Cryptococcus </w:t>
      </w:r>
      <w:r w:rsidRPr="00444F93">
        <w:t xml:space="preserve">(глюкуроноксиломаннан) в СМЖ. </w:t>
      </w:r>
    </w:p>
    <w:p w14:paraId="5671A6FF" w14:textId="77777777" w:rsidR="00907B9C" w:rsidRPr="00444F93" w:rsidRDefault="00907B9C" w:rsidP="00907B9C">
      <w:pPr>
        <w:ind w:right="50" w:firstLine="708"/>
      </w:pPr>
      <w:r w:rsidRPr="00444F93">
        <w:t xml:space="preserve">Ложноположительные результаты антигена </w:t>
      </w:r>
      <w:r w:rsidRPr="00444F93">
        <w:rPr>
          <w:i/>
          <w:iCs/>
        </w:rPr>
        <w:t xml:space="preserve">Cryptococcus </w:t>
      </w:r>
      <w:r w:rsidRPr="00444F93">
        <w:t xml:space="preserve">могут быть при инфекциях, вызванными </w:t>
      </w:r>
      <w:r w:rsidRPr="00444F93">
        <w:rPr>
          <w:i/>
          <w:iCs/>
        </w:rPr>
        <w:t>Trichosporon</w:t>
      </w:r>
      <w:r w:rsidRPr="00444F93">
        <w:t xml:space="preserve"> или </w:t>
      </w:r>
      <w:r w:rsidRPr="00444F93">
        <w:rPr>
          <w:i/>
          <w:iCs/>
        </w:rPr>
        <w:t>Capnocytophaga canimorsus</w:t>
      </w:r>
      <w:r w:rsidRPr="00444F93">
        <w:t xml:space="preserve">, или </w:t>
      </w:r>
      <w:r w:rsidRPr="00444F93">
        <w:rPr>
          <w:i/>
          <w:iCs/>
        </w:rPr>
        <w:t>Stomatococcus mucilaginosis,</w:t>
      </w:r>
      <w:r w:rsidRPr="00444F93">
        <w:t xml:space="preserve"> или при обнаружении ревматоидного фактора. </w:t>
      </w:r>
    </w:p>
    <w:p w14:paraId="612073C1" w14:textId="77777777" w:rsidR="00907B9C" w:rsidRPr="00CB7689" w:rsidRDefault="00907B9C" w:rsidP="00907B9C">
      <w:pPr>
        <w:ind w:right="50" w:firstLine="709"/>
        <w:contextualSpacing/>
        <w:rPr>
          <w:i/>
          <w:iCs/>
          <w:u w:val="single"/>
        </w:rPr>
      </w:pPr>
      <w:r w:rsidRPr="00CB7689">
        <w:rPr>
          <w:i/>
          <w:iCs/>
          <w:u w:val="single"/>
        </w:rPr>
        <w:t>Лечение</w:t>
      </w:r>
    </w:p>
    <w:p w14:paraId="35059B44" w14:textId="77777777" w:rsidR="00907B9C" w:rsidRPr="00DA2BC8" w:rsidRDefault="00907B9C" w:rsidP="00907B9C">
      <w:pPr>
        <w:ind w:right="50" w:firstLine="709"/>
        <w:contextualSpacing/>
      </w:pPr>
      <w:r w:rsidRPr="00DA2BC8">
        <w:t xml:space="preserve">Лечение криптококкоза длительное и включает этапы индукции, консолидации и поддерживания. </w:t>
      </w:r>
      <w:r w:rsidRPr="00DA2BC8">
        <w:rPr>
          <w:bCs/>
        </w:rPr>
        <w:t>Этап индукции составляет</w:t>
      </w:r>
      <w:r w:rsidRPr="00DA2BC8">
        <w:t xml:space="preserve"> от 2 до 6 недель и включает назначение амфотерицина В (0,7-1,0 мг/кг внутривенно в сутки) или сочетание амфотерицина В (0,7-1,0 мг/кг) с флуцитозином (100 мг/кг в сутки, эту дозу разделяют на 4 приема). Флуцитозин вводят не более 2 недель. При криптококкозе ЦНС длительность этого этапа лечения составляет 6 недель. Липидную форму амфотерицина В (липосомальный амфотерицин В 3-4 мг/кг или липидный комплекс амфотерицина В 5 мг/кг) назначают при непереносимости или токсичности, возникшей при использовании обычного амфотерцина В. </w:t>
      </w:r>
      <w:r w:rsidRPr="00DA2BC8">
        <w:rPr>
          <w:bCs/>
        </w:rPr>
        <w:t>Этап консолидации</w:t>
      </w:r>
      <w:r w:rsidRPr="00DA2BC8">
        <w:t xml:space="preserve"> длится 8 недель</w:t>
      </w:r>
      <w:r>
        <w:t xml:space="preserve">, </w:t>
      </w:r>
      <w:r w:rsidRPr="00DA2BC8">
        <w:t xml:space="preserve">для лечнения используют флуконазол (400 мг 1 раз в сутки внутривенно или перорально), далее на </w:t>
      </w:r>
      <w:r w:rsidRPr="00DA2BC8">
        <w:rPr>
          <w:bCs/>
        </w:rPr>
        <w:t>этапе поддерживания доза флуконазола составляет</w:t>
      </w:r>
      <w:r w:rsidRPr="00DA2BC8">
        <w:t xml:space="preserve"> 200 мг 1 раз в сутки внутривенно или перорально. Альтернативный препарат для лечения криптококкоза – вориконазол (дозирование как при инвазивном аспергиллезе).</w:t>
      </w:r>
    </w:p>
    <w:p w14:paraId="3322459D" w14:textId="77777777" w:rsidR="00907B9C" w:rsidRDefault="00907B9C" w:rsidP="00907B9C">
      <w:pPr>
        <w:pStyle w:val="afff3"/>
        <w:ind w:left="1069" w:right="50"/>
        <w:rPr>
          <w:b/>
          <w:bCs/>
        </w:rPr>
      </w:pPr>
    </w:p>
    <w:p w14:paraId="44D55D92" w14:textId="2855F48F" w:rsidR="00907B9C" w:rsidRPr="00084B8B" w:rsidRDefault="00907B9C" w:rsidP="00907B9C">
      <w:pPr>
        <w:ind w:right="49"/>
        <w:contextualSpacing/>
        <w:rPr>
          <w:bCs/>
          <w:u w:val="single"/>
        </w:rPr>
      </w:pPr>
      <w:r w:rsidRPr="00CB7689">
        <w:rPr>
          <w:bCs/>
          <w:u w:val="single"/>
        </w:rPr>
        <w:t>Микозы, вызванные редкими дрожжеподобными грибами</w:t>
      </w:r>
      <w:r w:rsidRPr="00084B8B">
        <w:rPr>
          <w:bCs/>
          <w:u w:val="single"/>
        </w:rPr>
        <w:t xml:space="preserve"> </w:t>
      </w:r>
      <w:r>
        <w:rPr>
          <w:b/>
        </w:rPr>
        <w:fldChar w:fldCharType="begin" w:fldLock="1"/>
      </w:r>
      <w:r w:rsidR="00A67ED2">
        <w:rPr>
          <w:b/>
        </w:rPr>
        <w:instrText>ADDIN CSL_CITATION {"citationItems":[{"id":"ITEM-1","itemData":{"author":[{"dropping-particle":"","family":"Клясова","given":"Г.А.","non-dropping-particle":"","parse-names":false,"suffix":""},{"dropping-particle":"","family":"Охмат","given":"В.А.","non-dropping-particle":"","parse-names":false,"suffix":""}],"container-title":"Алгоритмы диагностики и протоколы лечения заболеваний системы крови. Под редакцией Савченко В.Г.","id":"ITEM-1","issued":{"date-parts":[["2018"]]},"page":"1067-1114","publisher":"Москва: Практика","title":"Антимикробная терапия","type":"chapter"},"uris":["http://www.mendeley.com/documents/?uuid=bd993c26-9214-4147-919c-9e856393def0"]},{"id":"ITEM-2","itemData":{"DOI":"10.1038/bmt.2010.175","ISSN":"14765365","abstract":"In 2005, several groups, including the European Group for Blood and Marrow Transplantation, the European Organization for Treatment and Research of Cancer, the European Leukemia Net and the Immunocompromised Host Society created the European Conference on Infections in Leukemia (ECIL). The main goal of ECIL is to elaborate guidelines, or recommendations, for the management of infections in leukemia and stem cell transplant patients. The first sets of ECIL slides about the management of invasive fungal disease were made available on the web in 2006 and the papers were published in 2007. The third meeting of the group (ECIL 3) was held in September 2009 and the group updated its previous recommendations. The goal of this paper is to summarize the new proposals from ECIL 3, based on the results of studies published after the ECIL 2 meeting: (1) the prophylactic recommendations for hematopoietic stem cell transplant recipients were formulated differently, by splitting the neutropenic and the GVHD phases and taking into account recent data on voriconazole; (2) micafungin was introduced as an alternative drug for empirical antifungal therapy; (3) although several studies were published on preemptive antifungal approaches in neutropenic patients, the group decided not to propose any recommendation, as the only randomized study comparing an empirical versus a preemptive approach showed a significant excess of fungal disease in the preemptive group. © 2011 Macmillan Publishers Limited All rights reserved.","author":[{"dropping-particle":"","family":"Maertens","given":"J.","non-dropping-particle":"","parse-names":false,"suffix":""},{"dropping-particle":"","family":"Marchetti","given":"O.","non-dropping-particle":"","parse-names":false,"suffix":""},{"dropping-particle":"","family":"Herbrecht","given":"R.","non-dropping-particle":"","parse-names":false,"suffix":""},{"dropping-particle":"","family":"Cornely","given":"O. A.","non-dropping-particle":"","parse-names":false,"suffix":""},{"dropping-particle":"","family":"Flückiger","given":"U.","non-dropping-particle":"","parse-names":false,"suffix":""},{"dropping-particle":"","family":"Frre","given":"P.","non-dropping-particle":"","parse-names":false,"suffix":""},{"dropping-particle":"","family":"Gachot","given":"B.","non-dropping-particle":"","parse-names":false,"suffix":""},{"dropping-particle":"","family":"Heinz","given":"W. J.","non-dropping-particle":"","parse-names":false,"suffix":""},{"dropping-particle":"","family":"Lass-Flörl","given":"C.","non-dropping-particle":"","parse-names":false,"suffix":""},{"dropping-particle":"","family":"Ribaud","given":"P.","non-dropping-particle":"","parse-names":false,"suffix":""},{"dropping-particle":"","family":"Thiebaut","given":"A.","non-dropping-particle":"","parse-names":false,"suffix":""},{"dropping-particle":"","family":"Cordonnier","given":"C.","non-dropping-particle":"","parse-names":false,"suffix":""}],"container-title":"Bone Marrow Transplantation","id":"ITEM-2","issue":"5","issued":{"date-parts":[["2011"]]},"page":"709-718","publisher":"Nature Publishing Group","title":"European guidelines for antifungal management in leukemia and hematopoietic stem cell transplant recipients: Summary of the ECIL 32009 update","type":"article-journal","volume":"46"},"uris":["http://www.mendeley.com/documents/?uuid=84d60f1c-6ae7-4aa7-827f-5a6f8dff9f03"]},{"id":"ITEM-3","itemData":{"DOI":"10.1111/1469-0691.12360","ISSN":"14690691","PMID":"24102785","abstract":"The mortality associated with invasive fungal infections remains high with that involving rare yeast pathogens other than Candida being no exception. This is in part due to the severe underlying conditions typically predisposing patients to these healthcare-related infections (most often severe neutropenia in patients with haematological malignancies), and in part due to the often challenging intrinsic susceptibility pattern of the pathogens that potentially leads to delayed appropriate antifungal treatment. A panel of experts of the European Society of Clinical Microbiology and Infectious Diseases (ESCMID) Fungal Infection Study Group (EFISG) and the European Confederation of Medical Mycology (ECMM) undertook a data review and compiled guidelines for the diagnostic tests and procedures for detection and management of rare invasive yeast infections. The rare yeast pathogens were defined and limited to the following genera/species: Cryptococcus adeliensis, Cryptococcus albidus, Cryptococcus curvatus, Cryptococcus flavescens, Cryptococcus laurentii and Cryptococcus uniguttulatus (often published under the name Filobasidium uniguttulatum), Malassezia furfur, Malassezia globosa, Malassezia pachydermatis and Malassezia restricta, Pseudozyma spp., Rhodotorula glutinis, Rhodotorula minuta and Rhodotorula mucilaginosa, Sporobolomyces spp., Trichosporon asahii, Trichosporon asteroides, Trichosporon dermatis, Trichosporon inkin, Trichosporon jirovecii, Trichosporon loubieri, Trichosporon mucoides and Trichosporon mycotoxinivorans and ascomycetous ones: Geotrichum candidum, Kodamaea ohmeri, Saccharomyces cerevisiae (incl. S. boulardii) and Saprochaete capitatae (Magnusiomyces (Blastoschizomyces) capitatus formerly named Trichosporon capitatum or Geotrichum (Dipodascus) capitatum) and Saprochaete clavata. Recommendations about the microbiological investigation and detection of invasive infection were made and current knowledge on the most appropriate antifungal and supportive treatment was reviewed. In addition, remarks about antifungal susceptibility testing were made. © 2013 European Society of Clinical Microbiology and Infectious Diseases.","author":[{"dropping-particle":"","family":"Arendrup","given":"M. C.","non-dropping-particle":"","parse-names":false,"suffix":""},{"dropping-particle":"","family":"Boekhout","given":"T.","non-dropping-particle":"","parse-names":false,"suffix":""},{"dropping-particle":"","family":"Akova","given":"M.","non-dropping-particle":"","parse-names":false,"suffix":""},{"dropping-particle":"","family":"Meis","given":"J. F.","non-dropping-particle":"","parse-names":false,"suffix":""},{"dropping-particle":"","family":"Cornely","given":"O. A.","non-dropping-particle":"","parse-names":false,"suffix":""},{"dropping-particle":"","family":"Lortholary","given":"O.","non-dropping-particle":"","parse-names":false,"suffix":""},{"dropping-particle":"","family":"Arikan-Akdagli","given":"Sevtap","non-dropping-particle":"","parse-names":false,"suffix":""},{"dropping-particle":"","family":"Cuenca-Estrella","given":"Manuel","non-dropping-particle":"","parse-names":false,"suffix":""},{"dropping-particle":"","family":"Dannaoui","given":"Eric","non-dropping-particle":"","parse-names":false,"suffix":""},{"dropping-particle":"","family":"Diepeningen","given":"Anne D.","non-dropping-particle":"van","parse-names":false,"suffix":""},{"dropping-particle":"","family":"Groll","given":"Andreas H.","non-dropping-particle":"","parse-names":false,"suffix":""},{"dropping-particle":"","family":"Guarro","given":"Josep","non-dropping-particle":"","parse-names":false,"suffix":""},{"dropping-particle":"","family":"Guinea","given":"Jesús","non-dropping-particle":"","parse-names":false,"suffix":""},{"dropping-particle":"","family":"Hope","given":"William","non-dropping-particle":"","parse-names":false,"suffix":""},{"dropping-particle":"","family":"Lackner","given":"Michaela","non-dropping-particle":"","parse-names":false,"suffix":""},{"dropping-particle":"","family":"Lass-Flörl","given":"Cornelia","non-dropping-particle":"","parse-names":false,"suffix":""},{"dropping-particle":"","family":"Lagrou","given":"Katrien","non-dropping-particle":"","parse-names":false,"suffix":""},{"dropping-particle":"","family":"Lanternier","given":"Fanny","non-dropping-particle":"","parse-names":false,"suffix":""},{"dropping-particle":"","family":"Meletiadis","given":"Joseph","non-dropping-particle":"","parse-names":false,"suffix":""},{"dropping-particle":"","family":"Munoz","given":"Patricia","non-dropping-particle":"","parse-names":false,"suffix":""},{"dropping-particle":"","family":"Pagano","given":"Livio","non-dropping-particle":"","parse-names":false,"suffix":""},{"dropping-particle":"","family":"Richardson","given":"Malcolm D.","non-dropping-particle":"","parse-names":false,"suffix":""},{"dropping-particle":"","family":"Roilides","given":"Emmanuel","non-dropping-particle":"","parse-names":false,"suffix":""},{"dropping-particle":"","family":"Tortorano","given":"Anna Maria","non-dropping-particle":"","parse-names":false,"suffix":""},{"dropping-particle":"","family":"Ullmann","given":"Andrew J.","non-dropping-particle":"","parse-names":false,"suffix":""}],"container-title":"Clinical Microbiology and Infection","id":"ITEM-3","issue":"S3","issued":{"date-parts":[["2014"]]},"page":"76-98","publisher":"Blackwell Publishing Ltd","title":"ESCMID and ECMM joint clinical guidelines for the diagnosis and management of rare invasive yeast infections","type":"article-journal","volume":"20"},"uris":["http://www.mendeley.com/documents/?uuid=5a6b3e24-e337-3cd9-bb20-08cd60455554"]}],"mendeley":{"formattedCitation":"[124,125,129]","plainTextFormattedCitation":"[124,125,129]","previouslyFormattedCitation":"[1–3]"},"properties":{"noteIndex":0},"schema":"https://github.com/citation-style-language/schema/raw/master/csl-citation.json"}</w:instrText>
      </w:r>
      <w:r>
        <w:rPr>
          <w:b/>
        </w:rPr>
        <w:fldChar w:fldCharType="separate"/>
      </w:r>
      <w:r w:rsidR="00A67ED2" w:rsidRPr="00A67ED2">
        <w:rPr>
          <w:noProof/>
        </w:rPr>
        <w:t>[124,125,129]</w:t>
      </w:r>
      <w:r>
        <w:rPr>
          <w:b/>
        </w:rPr>
        <w:fldChar w:fldCharType="end"/>
      </w:r>
    </w:p>
    <w:p w14:paraId="48737318" w14:textId="77777777" w:rsidR="00907B9C" w:rsidRPr="00DA2BC8" w:rsidRDefault="00907B9C" w:rsidP="00907B9C">
      <w:pPr>
        <w:ind w:right="50" w:firstLine="709"/>
        <w:contextualSpacing/>
      </w:pPr>
      <w:r w:rsidRPr="00DA2BC8">
        <w:lastRenderedPageBreak/>
        <w:t>Общая характеристика для грибов этой группы –</w:t>
      </w:r>
      <w:r>
        <w:t xml:space="preserve"> </w:t>
      </w:r>
      <w:r w:rsidRPr="00DA2BC8">
        <w:t xml:space="preserve">низкая вирулентность, широкое распространение в природе, частая колонизация кожи и слизистых оболочек человека, природная устойчивость к эхинокандинам, за исключением </w:t>
      </w:r>
      <w:r w:rsidRPr="00DA2BC8">
        <w:rPr>
          <w:i/>
          <w:iCs/>
        </w:rPr>
        <w:t>Saccharomyces</w:t>
      </w:r>
      <w:r w:rsidRPr="00DA2BC8">
        <w:t xml:space="preserve"> spp., вызывают поверхностные инфекции в общей популяции </w:t>
      </w:r>
      <w:r>
        <w:t>пациентов</w:t>
      </w:r>
      <w:r w:rsidRPr="00DA2BC8">
        <w:t xml:space="preserve">. Грибы этой категории редко вызывают инвазивные микозы у имммунокомпрометированных </w:t>
      </w:r>
      <w:r>
        <w:t>пациентов</w:t>
      </w:r>
      <w:r w:rsidRPr="00DA2BC8">
        <w:t xml:space="preserve">х. В общей структуре фунгемий редкие дрожжеподобные грибы занимают от 1% до 5%. Как правило, микробиологическим подтверждением является выделение грибов из гемокультуры. Заболевание возникает у тяжелой категории </w:t>
      </w:r>
      <w:r>
        <w:t>гематологических пациентов</w:t>
      </w:r>
      <w:r w:rsidRPr="00DA2BC8">
        <w:t xml:space="preserve">, включая </w:t>
      </w:r>
      <w:r>
        <w:t>пациентов с</w:t>
      </w:r>
      <w:r w:rsidRPr="00DA2BC8">
        <w:t xml:space="preserve"> острыми л</w:t>
      </w:r>
      <w:r>
        <w:t>ейкозами, реципиентов аллогенных</w:t>
      </w:r>
      <w:r w:rsidRPr="00DA2BC8">
        <w:t xml:space="preserve"> СГК</w:t>
      </w:r>
      <w:r>
        <w:t xml:space="preserve"> и др.</w:t>
      </w:r>
      <w:r w:rsidRPr="00DA2BC8">
        <w:t xml:space="preserve"> Крайне важно провести идентификацию до вида всех дрожжеподобных грибов, выделенных из стерильных локусов, с помощью современных тест-систем или масс-спектрометрии. К редким дрожжеподобным грибам относят </w:t>
      </w:r>
      <w:r w:rsidRPr="00DA2BC8">
        <w:rPr>
          <w:i/>
          <w:iCs/>
        </w:rPr>
        <w:t xml:space="preserve">Geotrichum </w:t>
      </w:r>
      <w:r w:rsidRPr="00DA2BC8">
        <w:t xml:space="preserve">spp., </w:t>
      </w:r>
      <w:r w:rsidRPr="00DA2BC8">
        <w:rPr>
          <w:i/>
          <w:iCs/>
        </w:rPr>
        <w:t>Rhodotorula</w:t>
      </w:r>
      <w:r w:rsidRPr="00DA2BC8">
        <w:t xml:space="preserve"> spp., </w:t>
      </w:r>
      <w:r w:rsidRPr="00DA2BC8">
        <w:rPr>
          <w:i/>
          <w:iCs/>
        </w:rPr>
        <w:t>Saccharomyces</w:t>
      </w:r>
      <w:r w:rsidRPr="00DA2BC8">
        <w:t xml:space="preserve"> spp., </w:t>
      </w:r>
      <w:r w:rsidRPr="00DA2BC8">
        <w:rPr>
          <w:i/>
          <w:iCs/>
        </w:rPr>
        <w:t>Trichosporon</w:t>
      </w:r>
      <w:r w:rsidRPr="00DA2BC8">
        <w:t xml:space="preserve"> spp., </w:t>
      </w:r>
      <w:r w:rsidRPr="00DA2BC8">
        <w:rPr>
          <w:i/>
          <w:iCs/>
        </w:rPr>
        <w:t>Malassezia</w:t>
      </w:r>
      <w:r w:rsidRPr="00DA2BC8">
        <w:t xml:space="preserve"> spp., </w:t>
      </w:r>
      <w:r w:rsidRPr="00DA2BC8">
        <w:rPr>
          <w:i/>
          <w:iCs/>
        </w:rPr>
        <w:t>Pichia anomala, Saprochaete capitata</w:t>
      </w:r>
    </w:p>
    <w:p w14:paraId="10133D62" w14:textId="77777777" w:rsidR="00907B9C" w:rsidRPr="009E240E" w:rsidRDefault="00907B9C" w:rsidP="00907B9C">
      <w:pPr>
        <w:ind w:right="50" w:firstLine="709"/>
        <w:contextualSpacing/>
        <w:rPr>
          <w:i/>
          <w:iCs/>
        </w:rPr>
      </w:pPr>
      <w:r w:rsidRPr="00C553B6">
        <w:rPr>
          <w:i/>
          <w:iCs/>
          <w:u w:val="single"/>
        </w:rPr>
        <w:t>Микозы</w:t>
      </w:r>
      <w:r w:rsidRPr="009E240E">
        <w:rPr>
          <w:i/>
          <w:iCs/>
          <w:u w:val="single"/>
        </w:rPr>
        <w:t xml:space="preserve">, </w:t>
      </w:r>
      <w:r w:rsidRPr="00C553B6">
        <w:rPr>
          <w:i/>
          <w:iCs/>
          <w:u w:val="single"/>
        </w:rPr>
        <w:t>вызванные</w:t>
      </w:r>
      <w:r w:rsidRPr="009E240E">
        <w:rPr>
          <w:i/>
          <w:iCs/>
          <w:u w:val="single"/>
        </w:rPr>
        <w:t xml:space="preserve"> </w:t>
      </w:r>
      <w:r w:rsidRPr="00C553B6">
        <w:rPr>
          <w:i/>
          <w:iCs/>
          <w:u w:val="single"/>
          <w:lang w:val="en-US"/>
        </w:rPr>
        <w:t>Saprochaete</w:t>
      </w:r>
      <w:r w:rsidRPr="009E240E">
        <w:rPr>
          <w:i/>
          <w:iCs/>
          <w:u w:val="single"/>
        </w:rPr>
        <w:t xml:space="preserve"> </w:t>
      </w:r>
      <w:r w:rsidRPr="00C553B6">
        <w:rPr>
          <w:i/>
          <w:iCs/>
          <w:u w:val="single"/>
          <w:lang w:val="en-US"/>
        </w:rPr>
        <w:t>capitat</w:t>
      </w:r>
      <w:r w:rsidRPr="00C553B6">
        <w:rPr>
          <w:i/>
          <w:iCs/>
          <w:lang w:val="en-US"/>
        </w:rPr>
        <w:t>a</w:t>
      </w:r>
      <w:r w:rsidRPr="009E240E">
        <w:rPr>
          <w:i/>
          <w:iCs/>
          <w:u w:val="single"/>
        </w:rPr>
        <w:t xml:space="preserve"> (</w:t>
      </w:r>
      <w:r w:rsidRPr="00C553B6">
        <w:rPr>
          <w:i/>
          <w:iCs/>
          <w:u w:val="single"/>
        </w:rPr>
        <w:t>синонимы</w:t>
      </w:r>
      <w:r w:rsidRPr="009E240E">
        <w:rPr>
          <w:i/>
          <w:iCs/>
          <w:u w:val="single"/>
        </w:rPr>
        <w:t xml:space="preserve"> </w:t>
      </w:r>
      <w:r w:rsidRPr="00C553B6">
        <w:rPr>
          <w:i/>
          <w:iCs/>
          <w:u w:val="single"/>
          <w:lang w:val="en-US"/>
        </w:rPr>
        <w:t>Trichosporon</w:t>
      </w:r>
      <w:r w:rsidRPr="009E240E">
        <w:rPr>
          <w:i/>
          <w:iCs/>
          <w:u w:val="single"/>
        </w:rPr>
        <w:t xml:space="preserve"> </w:t>
      </w:r>
      <w:r w:rsidRPr="00C553B6">
        <w:rPr>
          <w:i/>
          <w:iCs/>
          <w:u w:val="single"/>
          <w:lang w:val="en-US"/>
        </w:rPr>
        <w:t>capitatum</w:t>
      </w:r>
      <w:r w:rsidRPr="009E240E">
        <w:rPr>
          <w:i/>
          <w:iCs/>
          <w:u w:val="single"/>
        </w:rPr>
        <w:t xml:space="preserve">, </w:t>
      </w:r>
      <w:r w:rsidRPr="00C553B6">
        <w:rPr>
          <w:i/>
          <w:iCs/>
          <w:u w:val="single"/>
          <w:lang w:val="en-US"/>
        </w:rPr>
        <w:t>Geotrichum</w:t>
      </w:r>
      <w:r w:rsidRPr="009E240E">
        <w:rPr>
          <w:i/>
          <w:iCs/>
          <w:u w:val="single"/>
        </w:rPr>
        <w:t xml:space="preserve"> </w:t>
      </w:r>
      <w:r w:rsidRPr="00C553B6">
        <w:rPr>
          <w:i/>
          <w:iCs/>
          <w:u w:val="single"/>
          <w:lang w:val="en-US"/>
        </w:rPr>
        <w:t>capitatum</w:t>
      </w:r>
      <w:r w:rsidRPr="009E240E">
        <w:rPr>
          <w:i/>
          <w:iCs/>
          <w:u w:val="single"/>
        </w:rPr>
        <w:t xml:space="preserve">, </w:t>
      </w:r>
      <w:r w:rsidRPr="00C553B6">
        <w:rPr>
          <w:i/>
          <w:iCs/>
          <w:u w:val="single"/>
          <w:lang w:val="en-US"/>
        </w:rPr>
        <w:t>Ascotrichosporon</w:t>
      </w:r>
      <w:r w:rsidRPr="009E240E">
        <w:rPr>
          <w:i/>
          <w:iCs/>
          <w:u w:val="single"/>
        </w:rPr>
        <w:t xml:space="preserve"> </w:t>
      </w:r>
      <w:r w:rsidRPr="00C553B6">
        <w:rPr>
          <w:i/>
          <w:iCs/>
          <w:u w:val="single"/>
          <w:lang w:val="en-US"/>
        </w:rPr>
        <w:t>capitatum</w:t>
      </w:r>
      <w:r w:rsidRPr="009E240E">
        <w:rPr>
          <w:i/>
          <w:iCs/>
          <w:u w:val="single"/>
        </w:rPr>
        <w:t xml:space="preserve">, </w:t>
      </w:r>
      <w:r w:rsidRPr="00C553B6">
        <w:rPr>
          <w:i/>
          <w:iCs/>
          <w:u w:val="single"/>
          <w:lang w:val="en-US"/>
        </w:rPr>
        <w:t>Blastoschizomyces</w:t>
      </w:r>
      <w:r w:rsidRPr="009E240E">
        <w:rPr>
          <w:i/>
          <w:iCs/>
          <w:u w:val="single"/>
        </w:rPr>
        <w:t xml:space="preserve"> </w:t>
      </w:r>
      <w:r w:rsidRPr="00C553B6">
        <w:rPr>
          <w:i/>
          <w:iCs/>
          <w:u w:val="single"/>
          <w:lang w:val="en-US"/>
        </w:rPr>
        <w:t>capitatus</w:t>
      </w:r>
      <w:r w:rsidRPr="009E240E">
        <w:rPr>
          <w:i/>
          <w:iCs/>
          <w:u w:val="single"/>
        </w:rPr>
        <w:t>)</w:t>
      </w:r>
    </w:p>
    <w:p w14:paraId="4D268E06" w14:textId="77777777" w:rsidR="00907B9C" w:rsidRPr="00DA2BC8" w:rsidRDefault="00907B9C" w:rsidP="00907B9C">
      <w:pPr>
        <w:ind w:right="50" w:firstLine="709"/>
        <w:contextualSpacing/>
        <w:rPr>
          <w:b/>
          <w:bCs/>
          <w:i/>
          <w:iCs/>
        </w:rPr>
      </w:pPr>
      <w:r w:rsidRPr="00DA2BC8">
        <w:t xml:space="preserve">В структуре фунгемий не превышают 0,5%. Фунгемии, вызванные </w:t>
      </w:r>
      <w:r w:rsidRPr="00DA2BC8">
        <w:rPr>
          <w:i/>
          <w:iCs/>
        </w:rPr>
        <w:t>S. capitat</w:t>
      </w:r>
      <w:r w:rsidRPr="00DA2BC8">
        <w:rPr>
          <w:i/>
        </w:rPr>
        <w:t>a</w:t>
      </w:r>
      <w:r w:rsidRPr="00DA2BC8">
        <w:t xml:space="preserve"> в сравнении с </w:t>
      </w:r>
      <w:r w:rsidRPr="00DA2BC8">
        <w:rPr>
          <w:i/>
          <w:iCs/>
        </w:rPr>
        <w:t>Candida</w:t>
      </w:r>
      <w:r w:rsidRPr="00DA2BC8">
        <w:t xml:space="preserve"> spp, характеризуются высокой частотой диссеминации в паренхиматозные органы (60-80%) и высокой летальностью (50-60%). К факторам риска относят нейтропению, наличие ЦВК.</w:t>
      </w:r>
      <w:r w:rsidRPr="00DA2BC8">
        <w:rPr>
          <w:b/>
          <w:bCs/>
          <w:i/>
          <w:iCs/>
        </w:rPr>
        <w:t xml:space="preserve"> </w:t>
      </w:r>
      <w:r w:rsidRPr="00DA2BC8">
        <w:rPr>
          <w:bCs/>
        </w:rPr>
        <w:t>Диагноз ставят на основании выделения</w:t>
      </w:r>
      <w:r w:rsidRPr="00DA2BC8">
        <w:rPr>
          <w:b/>
          <w:bCs/>
        </w:rPr>
        <w:t xml:space="preserve"> </w:t>
      </w:r>
      <w:r w:rsidRPr="00DA2BC8">
        <w:rPr>
          <w:i/>
          <w:iCs/>
        </w:rPr>
        <w:t>S. capitat</w:t>
      </w:r>
      <w:r w:rsidRPr="00DA2BC8">
        <w:rPr>
          <w:i/>
        </w:rPr>
        <w:t>a</w:t>
      </w:r>
      <w:r w:rsidRPr="00DA2BC8">
        <w:t xml:space="preserve"> из гемокультуры, хотя бы однократном, или из биоптатов органов и тканей. Идентификацию до вида проводят с помощью современных тест-систем или масс-спектрометрии, а не на основании микроскопии или культуральных свойств. </w:t>
      </w:r>
      <w:r w:rsidRPr="00DA2BC8">
        <w:rPr>
          <w:bCs/>
          <w:iCs/>
        </w:rPr>
        <w:t xml:space="preserve">Во всех случаях </w:t>
      </w:r>
      <w:r w:rsidRPr="00DA2BC8">
        <w:t xml:space="preserve">выделении </w:t>
      </w:r>
      <w:r w:rsidRPr="00DA2BC8">
        <w:rPr>
          <w:i/>
          <w:iCs/>
        </w:rPr>
        <w:t>S. capitat</w:t>
      </w:r>
      <w:r w:rsidRPr="00DA2BC8">
        <w:rPr>
          <w:i/>
        </w:rPr>
        <w:t>a</w:t>
      </w:r>
      <w:r w:rsidRPr="00DA2BC8">
        <w:t xml:space="preserve"> из гемокультуры выполняют КТ (с контрастированием) или МРТ органов брюшной полости ввиду высокой вероятности диссеминации. Симптомы инфекции, вызванной </w:t>
      </w:r>
      <w:r w:rsidRPr="00DA2BC8">
        <w:rPr>
          <w:i/>
          <w:iCs/>
        </w:rPr>
        <w:t>S. capitat</w:t>
      </w:r>
      <w:r w:rsidRPr="00DA2BC8">
        <w:rPr>
          <w:i/>
        </w:rPr>
        <w:t>a</w:t>
      </w:r>
      <w:r w:rsidRPr="00DA2BC8">
        <w:t xml:space="preserve">, аналогичны симптомам при кандидемии – высокая температура, озноб, гипотензия. </w:t>
      </w:r>
      <w:r w:rsidRPr="00DA2BC8">
        <w:rPr>
          <w:bCs/>
        </w:rPr>
        <w:t>Лечение включает</w:t>
      </w:r>
      <w:r w:rsidRPr="00DA2BC8">
        <w:rPr>
          <w:b/>
          <w:bCs/>
        </w:rPr>
        <w:t xml:space="preserve"> </w:t>
      </w:r>
      <w:r w:rsidRPr="00DA2BC8">
        <w:t>удаление ЦВК во всех случаях, назначение вориконазола (1-й день 12 мг/кг/сутки, внутривенно, доза разделяется на два приема, далее – 8 мг/кг/сутки, при стабилизации состояния – перевод на пероральную форму вориконазола по 200 мг х 2 раза в сутки) или амфотерицина В (1 мг/кг/сутки (+/- флуцитозин)). При отсутствиии эффекта от монотерапии можно использовать сочетание вориконазола с амфотерицином В. Амфотерицина В заменяют на липидные формы амфотерицина В (доза 3-5 мг/кг/сутки) в случаях повышения креатинина, непереносимости амофотерицина В, неэффективности.</w:t>
      </w:r>
      <w:r w:rsidRPr="00DA2BC8">
        <w:rPr>
          <w:b/>
          <w:bCs/>
          <w:i/>
          <w:iCs/>
        </w:rPr>
        <w:t xml:space="preserve"> </w:t>
      </w:r>
      <w:r w:rsidRPr="00DA2BC8">
        <w:t xml:space="preserve">Против </w:t>
      </w:r>
      <w:r w:rsidRPr="00DA2BC8">
        <w:rPr>
          <w:i/>
          <w:iCs/>
        </w:rPr>
        <w:t>S. capitata</w:t>
      </w:r>
      <w:r w:rsidRPr="00DA2BC8">
        <w:t xml:space="preserve"> проявляют активность </w:t>
      </w:r>
      <w:r w:rsidRPr="00DA2BC8">
        <w:rPr>
          <w:i/>
          <w:iCs/>
        </w:rPr>
        <w:t>in vitro</w:t>
      </w:r>
      <w:r w:rsidRPr="00DA2BC8">
        <w:t xml:space="preserve"> также итраконазол и позаконазол, не активен -- флуконазол.</w:t>
      </w:r>
      <w:r w:rsidRPr="00DA2BC8">
        <w:rPr>
          <w:b/>
          <w:bCs/>
          <w:i/>
          <w:iCs/>
        </w:rPr>
        <w:t xml:space="preserve"> </w:t>
      </w:r>
      <w:r w:rsidRPr="00DA2BC8">
        <w:t xml:space="preserve">Не рекомендовано применение эхинокандины по </w:t>
      </w:r>
      <w:r w:rsidRPr="00DA2BC8">
        <w:lastRenderedPageBreak/>
        <w:t xml:space="preserve">причине природной резистентности </w:t>
      </w:r>
      <w:r w:rsidRPr="00DA2BC8">
        <w:rPr>
          <w:i/>
          <w:iCs/>
        </w:rPr>
        <w:t>S. capitata.</w:t>
      </w:r>
    </w:p>
    <w:p w14:paraId="5B236993" w14:textId="77777777" w:rsidR="00907B9C" w:rsidRPr="00C553B6" w:rsidRDefault="00907B9C" w:rsidP="00907B9C">
      <w:pPr>
        <w:ind w:right="50" w:firstLine="709"/>
        <w:contextualSpacing/>
        <w:rPr>
          <w:i/>
          <w:iCs/>
          <w:u w:val="single"/>
        </w:rPr>
      </w:pPr>
      <w:r w:rsidRPr="00C553B6">
        <w:rPr>
          <w:i/>
          <w:iCs/>
          <w:u w:val="single"/>
        </w:rPr>
        <w:t>Микозы, вызванные Malassezia spp.</w:t>
      </w:r>
    </w:p>
    <w:p w14:paraId="78960DBB" w14:textId="3142CD2A" w:rsidR="00907B9C" w:rsidRPr="00DA2BC8" w:rsidRDefault="00907B9C" w:rsidP="00907B9C">
      <w:pPr>
        <w:ind w:right="50" w:firstLine="709"/>
        <w:contextualSpacing/>
      </w:pPr>
      <w:r w:rsidRPr="00DA2BC8">
        <w:t xml:space="preserve">Ведущие возбудителями инвазивных микозов у человека - </w:t>
      </w:r>
      <w:r w:rsidRPr="00DA2BC8">
        <w:rPr>
          <w:i/>
          <w:iCs/>
        </w:rPr>
        <w:t xml:space="preserve">M. furfur </w:t>
      </w:r>
      <w:r w:rsidRPr="00DA2BC8">
        <w:t xml:space="preserve">и </w:t>
      </w:r>
      <w:r w:rsidRPr="00DA2BC8">
        <w:rPr>
          <w:i/>
          <w:iCs/>
        </w:rPr>
        <w:t>M.</w:t>
      </w:r>
      <w:r w:rsidRPr="00DA2BC8">
        <w:t xml:space="preserve"> </w:t>
      </w:r>
      <w:r w:rsidRPr="00DA2BC8">
        <w:rPr>
          <w:i/>
          <w:iCs/>
        </w:rPr>
        <w:t>pachydermatis</w:t>
      </w:r>
      <w:r w:rsidRPr="00DA2BC8">
        <w:t xml:space="preserve">, являются липофильными грибами. Основным проявлением инфекции служит фунгемия, также могут возникать перитонит, эндокардит, пневмония, остеомиелит, менингит. Инфекции, вызванные </w:t>
      </w:r>
      <w:r w:rsidRPr="00DA2BC8">
        <w:rPr>
          <w:i/>
          <w:iCs/>
        </w:rPr>
        <w:t>Malassezia</w:t>
      </w:r>
      <w:r w:rsidRPr="00DA2BC8">
        <w:t xml:space="preserve"> spp. характеризуются нетяжелым течением и низкой летальностью. Ввиду липофильной природы большинства </w:t>
      </w:r>
      <w:r w:rsidRPr="00DA2BC8">
        <w:rPr>
          <w:i/>
          <w:iCs/>
        </w:rPr>
        <w:t xml:space="preserve">Malassezia </w:t>
      </w:r>
      <w:r w:rsidRPr="00DA2BC8">
        <w:t xml:space="preserve">spp., инфекция развивается у больных, получающих парентеральное питание, содержащее жирные кислоты. К другим факторам риска относят наличие ЦВК, перитонеального диализа, иммуносупрессии, тяжелой сопутствующей патологии. Возможны эпидемические вспышки в стационаре. </w:t>
      </w:r>
      <w:r w:rsidRPr="00DA2BC8">
        <w:rPr>
          <w:bCs/>
        </w:rPr>
        <w:t>Диагностика включает</w:t>
      </w:r>
      <w:r w:rsidRPr="00DA2BC8">
        <w:t xml:space="preserve"> выделение </w:t>
      </w:r>
      <w:r w:rsidRPr="00DA2BC8">
        <w:rPr>
          <w:i/>
          <w:iCs/>
        </w:rPr>
        <w:t>Malassezia</w:t>
      </w:r>
      <w:r w:rsidRPr="00DA2BC8">
        <w:t xml:space="preserve"> spp. из гемокультуры или других стерильных образцов (асцитическая жидкость, ликвор, биоптаты органов). Для детекции </w:t>
      </w:r>
      <w:r w:rsidRPr="00DA2BC8">
        <w:rPr>
          <w:i/>
          <w:iCs/>
        </w:rPr>
        <w:t>Malassezia</w:t>
      </w:r>
      <w:r w:rsidRPr="00DA2BC8">
        <w:t xml:space="preserve"> spp. необходимо в питательную среду добавлять жиры (например, стерильное оливковое масло) ввиду их липофильной природы. </w:t>
      </w:r>
      <w:r w:rsidRPr="00DA2BC8">
        <w:rPr>
          <w:bCs/>
        </w:rPr>
        <w:t>Лечение</w:t>
      </w:r>
      <w:r w:rsidRPr="00DA2BC8">
        <w:rPr>
          <w:b/>
          <w:bCs/>
        </w:rPr>
        <w:t xml:space="preserve"> </w:t>
      </w:r>
      <w:r w:rsidRPr="00DA2BC8">
        <w:rPr>
          <w:bCs/>
        </w:rPr>
        <w:t>включает у</w:t>
      </w:r>
      <w:r w:rsidRPr="00DA2BC8">
        <w:t xml:space="preserve">даление ЦВК, прекращение парентерального питания, </w:t>
      </w:r>
      <w:r w:rsidRPr="00DA2BC8">
        <w:rPr>
          <w:bCs/>
        </w:rPr>
        <w:t xml:space="preserve">назначение </w:t>
      </w:r>
      <w:r w:rsidR="001647AE" w:rsidRPr="00DA2BC8">
        <w:t>флуконазола (</w:t>
      </w:r>
      <w:r w:rsidRPr="00DA2BC8">
        <w:t xml:space="preserve">400 мг), или амфотерицин В (1 мг/кг), или вориконазола (1-й день 12 мг/кг, далее 8 мг/кг). Не рекомендовано назначать эхинокандины ввиду природной резистентности </w:t>
      </w:r>
      <w:r w:rsidRPr="00DA2BC8">
        <w:rPr>
          <w:i/>
          <w:iCs/>
        </w:rPr>
        <w:t>Malassezia</w:t>
      </w:r>
      <w:r w:rsidRPr="00DA2BC8">
        <w:t xml:space="preserve"> spp.</w:t>
      </w:r>
    </w:p>
    <w:p w14:paraId="0DA587FD" w14:textId="77777777" w:rsidR="00780510" w:rsidRDefault="00780510" w:rsidP="00907B9C">
      <w:pPr>
        <w:ind w:right="50" w:firstLine="709"/>
        <w:contextualSpacing/>
        <w:rPr>
          <w:i/>
          <w:iCs/>
          <w:u w:val="single"/>
        </w:rPr>
      </w:pPr>
    </w:p>
    <w:p w14:paraId="2F99BD44" w14:textId="77777777" w:rsidR="00907B9C" w:rsidRPr="00C553B6" w:rsidRDefault="00907B9C" w:rsidP="00907B9C">
      <w:pPr>
        <w:ind w:right="50" w:firstLine="709"/>
        <w:contextualSpacing/>
        <w:rPr>
          <w:i/>
          <w:iCs/>
          <w:u w:val="single"/>
        </w:rPr>
      </w:pPr>
      <w:r w:rsidRPr="00C553B6">
        <w:rPr>
          <w:i/>
          <w:iCs/>
          <w:u w:val="single"/>
        </w:rPr>
        <w:t>Микозы, вызванные Trichosporon spp.</w:t>
      </w:r>
    </w:p>
    <w:p w14:paraId="37FE96C5" w14:textId="77777777" w:rsidR="00907B9C" w:rsidRPr="00DA2BC8" w:rsidRDefault="00907B9C" w:rsidP="00907B9C">
      <w:pPr>
        <w:ind w:right="50" w:firstLine="709"/>
        <w:contextualSpacing/>
      </w:pPr>
      <w:r w:rsidRPr="00DA2BC8">
        <w:t xml:space="preserve">Эти грибы очень широко распространены в окружающей среде, часто колонизируют кожу, особенно перианальную область, иногда слизистые оболочки верхних дыхательных путей и желудочно-кишечного тракта. Основным проявлением инвазивных микозов, вызванных </w:t>
      </w:r>
      <w:r w:rsidRPr="00DA2BC8">
        <w:rPr>
          <w:i/>
          <w:iCs/>
        </w:rPr>
        <w:t>Trichosporon</w:t>
      </w:r>
      <w:r w:rsidRPr="00DA2BC8">
        <w:t xml:space="preserve"> spp. у </w:t>
      </w:r>
      <w:r>
        <w:t>гематологических пациентов</w:t>
      </w:r>
      <w:r w:rsidRPr="00DA2BC8">
        <w:t xml:space="preserve"> является фунгемия (75%) с последующей диссеминацией в различные органы и ткани организма. Наиболее часто инфекция сопровождается появлением септико-пиемических очагов на коже (50%). Возможны и другие проявления, такие как эндокардит, перитонит, менингит, пиелонефрит и т.д. Для инвазивных микозов, вызванных </w:t>
      </w:r>
      <w:r w:rsidRPr="00DA2BC8">
        <w:rPr>
          <w:i/>
          <w:iCs/>
        </w:rPr>
        <w:t>Trichosporon</w:t>
      </w:r>
      <w:r w:rsidRPr="00DA2BC8">
        <w:t xml:space="preserve"> spp. у больных гемобластозами, характерна высокая летальность (55-80%). Основные возбудители - </w:t>
      </w:r>
      <w:r w:rsidRPr="00DA2BC8">
        <w:rPr>
          <w:i/>
          <w:iCs/>
        </w:rPr>
        <w:t>Trichosporon asahii</w:t>
      </w:r>
      <w:r w:rsidRPr="00DA2BC8">
        <w:t xml:space="preserve"> и </w:t>
      </w:r>
      <w:r w:rsidRPr="00DA2BC8">
        <w:rPr>
          <w:i/>
          <w:iCs/>
        </w:rPr>
        <w:t>Trichosporon dermatis</w:t>
      </w:r>
      <w:r w:rsidRPr="00DA2BC8">
        <w:t xml:space="preserve">. Основными факторами риска развития инфекции являются наличие ЦВК, пребывание в ОРИТ, перитонеальный диализ, лечение глюкокортикостероидами, химиотерапия, внутривенные инъекции наркотических веществ. </w:t>
      </w:r>
      <w:r w:rsidRPr="00DA2BC8">
        <w:rPr>
          <w:bCs/>
        </w:rPr>
        <w:t>Диагностика включает</w:t>
      </w:r>
      <w:r w:rsidRPr="00DA2BC8">
        <w:rPr>
          <w:b/>
          <w:bCs/>
        </w:rPr>
        <w:t xml:space="preserve"> </w:t>
      </w:r>
      <w:r w:rsidRPr="00DA2BC8">
        <w:t xml:space="preserve">выделение </w:t>
      </w:r>
      <w:r w:rsidRPr="00DA2BC8">
        <w:rPr>
          <w:i/>
          <w:iCs/>
        </w:rPr>
        <w:t>Trichosporon</w:t>
      </w:r>
      <w:r w:rsidRPr="00DA2BC8">
        <w:t xml:space="preserve"> spp. из гемокультуры </w:t>
      </w:r>
      <w:r>
        <w:t xml:space="preserve">(кровь) </w:t>
      </w:r>
      <w:r w:rsidRPr="00DA2BC8">
        <w:t>или других стерильных образцов (асцитическая жидкость, ликвор, биоптаты органов</w:t>
      </w:r>
      <w:r>
        <w:t>, и др.</w:t>
      </w:r>
      <w:r w:rsidRPr="00DA2BC8">
        <w:t xml:space="preserve">). Выделение </w:t>
      </w:r>
      <w:r w:rsidRPr="00DA2BC8">
        <w:rPr>
          <w:i/>
          <w:iCs/>
        </w:rPr>
        <w:t>Trichosporon</w:t>
      </w:r>
      <w:r w:rsidRPr="00DA2BC8">
        <w:t xml:space="preserve"> spp. из мочи при наличии гематурии может свидетельствовать о наличии пиелонефрита. </w:t>
      </w:r>
      <w:r w:rsidRPr="00DA2BC8">
        <w:lastRenderedPageBreak/>
        <w:t xml:space="preserve">Дрожжеподобные грибы </w:t>
      </w:r>
      <w:r w:rsidRPr="00DA2BC8">
        <w:rPr>
          <w:i/>
          <w:iCs/>
        </w:rPr>
        <w:t>Trichosporon</w:t>
      </w:r>
      <w:r w:rsidRPr="00DA2BC8">
        <w:t xml:space="preserve"> spp. продуцируют антигены </w:t>
      </w:r>
      <w:r w:rsidRPr="00DA2BC8">
        <w:rPr>
          <w:i/>
          <w:iCs/>
        </w:rPr>
        <w:t>Cryptococcus</w:t>
      </w:r>
      <w:r w:rsidRPr="00DA2BC8">
        <w:t xml:space="preserve"> spp. (глюкуроноксоломаннан) и </w:t>
      </w:r>
      <w:r w:rsidRPr="00DA2BC8">
        <w:rPr>
          <w:i/>
          <w:iCs/>
        </w:rPr>
        <w:t xml:space="preserve">Aspergillus </w:t>
      </w:r>
      <w:r w:rsidRPr="00DA2BC8">
        <w:t xml:space="preserve">(галактоманнан), поэтому может быть перекрестная реакция для этих антигенов при инфекции, вызванной </w:t>
      </w:r>
      <w:r w:rsidRPr="00DA2BC8">
        <w:rPr>
          <w:i/>
          <w:iCs/>
        </w:rPr>
        <w:t xml:space="preserve">Trichosporon </w:t>
      </w:r>
      <w:r w:rsidRPr="00DA2BC8">
        <w:t xml:space="preserve">spp. На основании обнаружения одновременно положительных антигенов глюкуроноксоломаннана и галактоманнана можно заподозрить инфекцию, вызванную </w:t>
      </w:r>
      <w:r w:rsidRPr="00DA2BC8">
        <w:rPr>
          <w:i/>
          <w:iCs/>
        </w:rPr>
        <w:t>Trichosporon</w:t>
      </w:r>
      <w:r w:rsidRPr="00DA2BC8">
        <w:t xml:space="preserve"> spp., и провести дополнительные исследования гемокультуры. </w:t>
      </w:r>
    </w:p>
    <w:p w14:paraId="3CEADED4" w14:textId="77777777" w:rsidR="00907B9C" w:rsidRPr="00DA2BC8" w:rsidRDefault="00907B9C" w:rsidP="00907B9C">
      <w:pPr>
        <w:ind w:right="50" w:firstLine="709"/>
        <w:contextualSpacing/>
        <w:rPr>
          <w:b/>
          <w:bCs/>
        </w:rPr>
      </w:pPr>
      <w:r w:rsidRPr="00DA2BC8">
        <w:rPr>
          <w:bCs/>
        </w:rPr>
        <w:t xml:space="preserve">Лечение включает </w:t>
      </w:r>
      <w:r w:rsidRPr="00DA2BC8">
        <w:t xml:space="preserve">удаление ЦВК, </w:t>
      </w:r>
      <w:r w:rsidRPr="00DA2BC8">
        <w:rPr>
          <w:bCs/>
        </w:rPr>
        <w:t xml:space="preserve">назначение </w:t>
      </w:r>
      <w:r w:rsidRPr="00DA2BC8">
        <w:t xml:space="preserve">вориконазола в стандартных дозах, альтернативный препарат – флуконазол. Активность флуконазола в отношении </w:t>
      </w:r>
      <w:r w:rsidRPr="00DA2BC8">
        <w:rPr>
          <w:i/>
          <w:iCs/>
        </w:rPr>
        <w:t>Trichosporon</w:t>
      </w:r>
      <w:r w:rsidRPr="00DA2BC8">
        <w:t xml:space="preserve"> spp. вариабельная. Назначение амфотерицина В не рекомендовано ввиду низкой активности в лечении этих инфекций (16-24%).</w:t>
      </w:r>
      <w:r w:rsidRPr="00DA2BC8">
        <w:rPr>
          <w:b/>
          <w:bCs/>
        </w:rPr>
        <w:t xml:space="preserve"> </w:t>
      </w:r>
      <w:r w:rsidRPr="00DA2BC8">
        <w:t xml:space="preserve">Изоляты </w:t>
      </w:r>
      <w:r w:rsidRPr="00DA2BC8">
        <w:rPr>
          <w:i/>
          <w:iCs/>
        </w:rPr>
        <w:t xml:space="preserve">Trichosporon </w:t>
      </w:r>
      <w:r w:rsidRPr="00DA2BC8">
        <w:t>spp. проявляют природную устойчивость к эхинокандинам.</w:t>
      </w:r>
    </w:p>
    <w:p w14:paraId="19734E00" w14:textId="77777777" w:rsidR="00907B9C" w:rsidRPr="00C553B6" w:rsidRDefault="00907B9C" w:rsidP="00907B9C">
      <w:pPr>
        <w:ind w:right="50" w:firstLine="709"/>
        <w:contextualSpacing/>
        <w:rPr>
          <w:i/>
          <w:iCs/>
          <w:u w:val="single"/>
        </w:rPr>
      </w:pPr>
      <w:r w:rsidRPr="00C553B6">
        <w:rPr>
          <w:i/>
          <w:iCs/>
          <w:u w:val="single"/>
        </w:rPr>
        <w:t>Микозы, вызванные Rhodotorula spp.</w:t>
      </w:r>
    </w:p>
    <w:p w14:paraId="77840773" w14:textId="77777777" w:rsidR="00907B9C" w:rsidRPr="00DA2BC8" w:rsidRDefault="00907B9C" w:rsidP="00907B9C">
      <w:pPr>
        <w:ind w:right="50" w:firstLine="709"/>
        <w:contextualSpacing/>
      </w:pPr>
      <w:r>
        <w:t>Эта разновидность грибов ч</w:t>
      </w:r>
      <w:r w:rsidRPr="00DA2BC8">
        <w:t>асто образу</w:t>
      </w:r>
      <w:r>
        <w:t>е</w:t>
      </w:r>
      <w:r w:rsidRPr="00DA2BC8">
        <w:t>т биопленки и способн</w:t>
      </w:r>
      <w:r>
        <w:t>а</w:t>
      </w:r>
      <w:r w:rsidRPr="00DA2BC8">
        <w:t xml:space="preserve"> колонизировать продукты питания, предметы личной гигиены (зубные щетки, душевые принадлежности), различное медицинское оборудование. Основным проявлением инфекции является инфекция кровотока (79%) и в большинстве случаев она ассоциирована с инфицированием ЦВК. Также описаны случаи перитонита, эндокардита, менингита и др. Летальность при инвазивных микозах, вызванных </w:t>
      </w:r>
      <w:r w:rsidRPr="00DA2BC8">
        <w:rPr>
          <w:i/>
          <w:iCs/>
        </w:rPr>
        <w:t>Rhodotorula</w:t>
      </w:r>
      <w:r w:rsidRPr="00DA2BC8">
        <w:t xml:space="preserve"> spp., составляет 12%-14%. Основной возбудитель – </w:t>
      </w:r>
      <w:r w:rsidRPr="00DA2BC8">
        <w:rPr>
          <w:i/>
          <w:iCs/>
        </w:rPr>
        <w:t>R. mucilaginosa (R. rubra)</w:t>
      </w:r>
      <w:r w:rsidRPr="00DA2BC8">
        <w:t xml:space="preserve">, реже </w:t>
      </w:r>
      <w:r w:rsidRPr="00DA2BC8">
        <w:rPr>
          <w:i/>
          <w:iCs/>
        </w:rPr>
        <w:t>R. glutinis</w:t>
      </w:r>
      <w:r w:rsidRPr="00DA2BC8">
        <w:t xml:space="preserve"> и </w:t>
      </w:r>
      <w:r w:rsidRPr="00DA2BC8">
        <w:rPr>
          <w:i/>
          <w:iCs/>
        </w:rPr>
        <w:t>R. minuta.</w:t>
      </w:r>
      <w:r w:rsidRPr="00DA2BC8">
        <w:t xml:space="preserve"> </w:t>
      </w:r>
      <w:r w:rsidRPr="00DA2BC8">
        <w:rPr>
          <w:bCs/>
        </w:rPr>
        <w:t>Факторами риска являются н</w:t>
      </w:r>
      <w:r w:rsidRPr="00DA2BC8">
        <w:t xml:space="preserve">аличие ЦВК, иммуносупрессия, обширные ожоги, перитонеальный диализ, цирроз печени, абдоминальные операции, введение наркотических препаратов. </w:t>
      </w:r>
      <w:r w:rsidRPr="00DA2BC8">
        <w:rPr>
          <w:bCs/>
        </w:rPr>
        <w:t xml:space="preserve">Диагностика основана на </w:t>
      </w:r>
      <w:r w:rsidRPr="00DA2BC8">
        <w:t xml:space="preserve">выделении </w:t>
      </w:r>
      <w:r w:rsidRPr="00DA2BC8">
        <w:rPr>
          <w:i/>
          <w:iCs/>
        </w:rPr>
        <w:t>Rhodotorula</w:t>
      </w:r>
      <w:r w:rsidRPr="00DA2BC8">
        <w:t xml:space="preserve"> spp. из гемокультуры или других стерильных образцов (асцитическая жидкость, ликвор, биоптаты органов).</w:t>
      </w:r>
    </w:p>
    <w:p w14:paraId="1F1EC27C" w14:textId="77777777" w:rsidR="00907B9C" w:rsidRPr="00DA2BC8" w:rsidRDefault="00907B9C" w:rsidP="00907B9C">
      <w:pPr>
        <w:ind w:right="50" w:firstLine="709"/>
        <w:contextualSpacing/>
      </w:pPr>
      <w:r w:rsidRPr="00DA2BC8">
        <w:rPr>
          <w:bCs/>
        </w:rPr>
        <w:t>Лечение включает</w:t>
      </w:r>
      <w:r w:rsidRPr="00DA2BC8">
        <w:rPr>
          <w:b/>
          <w:bCs/>
        </w:rPr>
        <w:t xml:space="preserve"> </w:t>
      </w:r>
      <w:r w:rsidRPr="00DA2BC8">
        <w:t xml:space="preserve">удаление ЦВК, назначение </w:t>
      </w:r>
      <w:r w:rsidRPr="00DA2BC8">
        <w:rPr>
          <w:bCs/>
        </w:rPr>
        <w:t>а</w:t>
      </w:r>
      <w:r w:rsidRPr="00DA2BC8">
        <w:t>мфотерицина В (1 мг/кг/сутки) в монотерапии или в сочетании с флуцитозином,</w:t>
      </w:r>
      <w:r w:rsidRPr="00DA2BC8">
        <w:rPr>
          <w:bCs/>
        </w:rPr>
        <w:t xml:space="preserve"> альтернативный препарат – липидная форма</w:t>
      </w:r>
      <w:r w:rsidRPr="00DA2BC8">
        <w:rPr>
          <w:b/>
          <w:bCs/>
        </w:rPr>
        <w:t xml:space="preserve"> </w:t>
      </w:r>
      <w:r w:rsidRPr="00DA2BC8">
        <w:t>амфотерицина В (3 мг/кг/сутки).</w:t>
      </w:r>
    </w:p>
    <w:p w14:paraId="7A17E4B0" w14:textId="77777777" w:rsidR="00907B9C" w:rsidRPr="00C553B6" w:rsidRDefault="00907B9C" w:rsidP="00907B9C">
      <w:pPr>
        <w:ind w:right="50" w:firstLine="709"/>
        <w:contextualSpacing/>
        <w:rPr>
          <w:i/>
          <w:iCs/>
          <w:u w:val="single"/>
        </w:rPr>
      </w:pPr>
      <w:r w:rsidRPr="00C553B6">
        <w:rPr>
          <w:i/>
          <w:iCs/>
          <w:u w:val="single"/>
        </w:rPr>
        <w:t>Микозы, вызванные Saccharomyces spp.</w:t>
      </w:r>
    </w:p>
    <w:p w14:paraId="01AD2562" w14:textId="77777777" w:rsidR="00907B9C" w:rsidRPr="00DA2BC8" w:rsidRDefault="00907B9C" w:rsidP="00907B9C">
      <w:pPr>
        <w:ind w:right="50" w:firstLine="709"/>
        <w:contextualSpacing/>
      </w:pPr>
      <w:r w:rsidRPr="00DA2BC8">
        <w:t xml:space="preserve">Основные представители - </w:t>
      </w:r>
      <w:r w:rsidRPr="00DA2BC8">
        <w:rPr>
          <w:i/>
          <w:iCs/>
        </w:rPr>
        <w:t>Saccharomyces cerevisiae</w:t>
      </w:r>
      <w:r w:rsidRPr="00DA2BC8">
        <w:t xml:space="preserve"> (пекарские дрожжи) и </w:t>
      </w:r>
      <w:r w:rsidRPr="00DA2BC8">
        <w:rPr>
          <w:i/>
          <w:iCs/>
        </w:rPr>
        <w:t>Saccharomyces boulardii</w:t>
      </w:r>
      <w:r w:rsidRPr="00DA2BC8">
        <w:t xml:space="preserve"> (используют в качестве пробиотика при лечении диареи). Оба этих вида филогенетически родственны </w:t>
      </w:r>
      <w:r w:rsidRPr="00DA2BC8">
        <w:rPr>
          <w:i/>
          <w:iCs/>
        </w:rPr>
        <w:t>C. glabrata</w:t>
      </w:r>
      <w:r w:rsidRPr="00DA2BC8">
        <w:t xml:space="preserve">. В этой связи, клинические проявления, диагностика и лечение инфекции схожи с таковыми при кандидемии. Ведущими факторами риска инфекции являются прием пробиотиков, содержащих возбудитель, или пребывание в одной палате с </w:t>
      </w:r>
      <w:r>
        <w:t>пациентом</w:t>
      </w:r>
      <w:r w:rsidRPr="00DA2BC8">
        <w:t xml:space="preserve">, получающим пробиотики. Другими факторами являются нейтропения, кахексия, наличие ЦВК. </w:t>
      </w:r>
      <w:r w:rsidRPr="00DA2BC8">
        <w:rPr>
          <w:bCs/>
        </w:rPr>
        <w:t xml:space="preserve">Диагностика основана на </w:t>
      </w:r>
      <w:r w:rsidRPr="00DA2BC8">
        <w:t xml:space="preserve">выделении </w:t>
      </w:r>
      <w:r w:rsidRPr="00DA2BC8">
        <w:rPr>
          <w:i/>
          <w:iCs/>
        </w:rPr>
        <w:lastRenderedPageBreak/>
        <w:t>Saccharomyces</w:t>
      </w:r>
      <w:r w:rsidRPr="00DA2BC8">
        <w:t xml:space="preserve"> spp., из гемокультуры или других стерильных образцов (асцитическая жидкость, ликвор, биоптаты органов). </w:t>
      </w:r>
      <w:r w:rsidRPr="00DA2BC8">
        <w:rPr>
          <w:bCs/>
        </w:rPr>
        <w:t>Лечение включает отмену</w:t>
      </w:r>
      <w:r w:rsidRPr="00DA2BC8">
        <w:rPr>
          <w:b/>
          <w:bCs/>
        </w:rPr>
        <w:t xml:space="preserve"> </w:t>
      </w:r>
      <w:r w:rsidRPr="00DA2BC8">
        <w:t xml:space="preserve">пробиотика, содержащего </w:t>
      </w:r>
      <w:r w:rsidRPr="00DA2BC8">
        <w:rPr>
          <w:i/>
          <w:iCs/>
        </w:rPr>
        <w:t>S. boulardii</w:t>
      </w:r>
      <w:r w:rsidRPr="00DA2BC8">
        <w:t xml:space="preserve"> (если назначали), назначение препарата выбора - амфотерицина В (1 мг/кг/сутки) или </w:t>
      </w:r>
      <w:r w:rsidRPr="00DA2BC8">
        <w:rPr>
          <w:bCs/>
        </w:rPr>
        <w:t>альтернативного препарата</w:t>
      </w:r>
      <w:r w:rsidRPr="00DA2BC8">
        <w:rPr>
          <w:b/>
          <w:bCs/>
        </w:rPr>
        <w:t xml:space="preserve"> </w:t>
      </w:r>
      <w:r w:rsidRPr="00DA2BC8">
        <w:t>-</w:t>
      </w:r>
      <w:r w:rsidRPr="00DA2BC8">
        <w:rPr>
          <w:bCs/>
        </w:rPr>
        <w:t xml:space="preserve"> липидной формы </w:t>
      </w:r>
      <w:r w:rsidRPr="00DA2BC8">
        <w:t xml:space="preserve">амфотерицина В (3 мг/кг/сутки) или эхинокандина (каспофунгин или микафунгин, или анидулафунгин, в стандартных дозах). </w:t>
      </w:r>
    </w:p>
    <w:p w14:paraId="6A7FD460" w14:textId="77777777" w:rsidR="00907B9C" w:rsidRPr="00C553B6" w:rsidRDefault="00907B9C" w:rsidP="00907B9C">
      <w:pPr>
        <w:ind w:right="50" w:firstLine="709"/>
        <w:contextualSpacing/>
        <w:rPr>
          <w:i/>
          <w:iCs/>
          <w:u w:val="single"/>
          <w:lang w:val="en-US"/>
        </w:rPr>
      </w:pPr>
      <w:r w:rsidRPr="00C553B6">
        <w:rPr>
          <w:i/>
          <w:iCs/>
          <w:u w:val="single"/>
        </w:rPr>
        <w:t>Микозы</w:t>
      </w:r>
      <w:r w:rsidRPr="00C553B6">
        <w:rPr>
          <w:i/>
          <w:iCs/>
          <w:u w:val="single"/>
          <w:lang w:val="en-US"/>
        </w:rPr>
        <w:t xml:space="preserve">, </w:t>
      </w:r>
      <w:r w:rsidRPr="00C553B6">
        <w:rPr>
          <w:i/>
          <w:iCs/>
          <w:u w:val="single"/>
        </w:rPr>
        <w:t>вызванные</w:t>
      </w:r>
      <w:r w:rsidRPr="00C553B6">
        <w:rPr>
          <w:i/>
          <w:iCs/>
          <w:u w:val="single"/>
          <w:lang w:val="en-US"/>
        </w:rPr>
        <w:t xml:space="preserve"> Geotrichum candidum (Galactomyces candidus)</w:t>
      </w:r>
    </w:p>
    <w:p w14:paraId="4503546C" w14:textId="77777777" w:rsidR="00907B9C" w:rsidRPr="00453773" w:rsidRDefault="00907B9C" w:rsidP="00907B9C">
      <w:pPr>
        <w:ind w:right="50" w:firstLine="709"/>
        <w:contextualSpacing/>
        <w:rPr>
          <w:bCs/>
        </w:rPr>
      </w:pPr>
      <w:r w:rsidRPr="00DA2BC8">
        <w:t xml:space="preserve">Генетически родственны </w:t>
      </w:r>
      <w:r w:rsidRPr="00DA2BC8">
        <w:rPr>
          <w:i/>
          <w:iCs/>
        </w:rPr>
        <w:t>S. Capitata</w:t>
      </w:r>
      <w:r>
        <w:rPr>
          <w:i/>
          <w:iCs/>
        </w:rPr>
        <w:t xml:space="preserve">; </w:t>
      </w:r>
      <w:r w:rsidRPr="00453773">
        <w:rPr>
          <w:iCs/>
        </w:rPr>
        <w:t>о</w:t>
      </w:r>
      <w:r w:rsidRPr="00DA2BC8">
        <w:t xml:space="preserve">писаны единичные случаи инвазивной инфекции у </w:t>
      </w:r>
      <w:r>
        <w:t>гематологических пациентов, с</w:t>
      </w:r>
      <w:r w:rsidRPr="00DA2BC8">
        <w:t xml:space="preserve">пособны вызывать эпидемические вспышки в стационарах. </w:t>
      </w:r>
      <w:r w:rsidRPr="00DA2BC8">
        <w:rPr>
          <w:bCs/>
        </w:rPr>
        <w:t xml:space="preserve">В основе диагностики </w:t>
      </w:r>
      <w:r w:rsidRPr="00DA2BC8">
        <w:t xml:space="preserve">выделение грибов из гемокультуры </w:t>
      </w:r>
      <w:r>
        <w:t xml:space="preserve">(кровь) </w:t>
      </w:r>
      <w:r w:rsidRPr="00DA2BC8">
        <w:t>или других стерильных образцов (асцитическая жидкость, ликвор, биоптаты органов</w:t>
      </w:r>
      <w:r>
        <w:t xml:space="preserve"> и др.</w:t>
      </w:r>
      <w:r w:rsidRPr="00DA2BC8">
        <w:t xml:space="preserve">). </w:t>
      </w:r>
      <w:r w:rsidRPr="00DA2BC8">
        <w:rPr>
          <w:bCs/>
        </w:rPr>
        <w:t>Препаратом выбора является а</w:t>
      </w:r>
      <w:r w:rsidRPr="00DA2BC8">
        <w:t xml:space="preserve">мфотерицин В (1 мг/кг/сутки), </w:t>
      </w:r>
      <w:r w:rsidRPr="00DA2BC8">
        <w:rPr>
          <w:bCs/>
        </w:rPr>
        <w:t>альтернатив</w:t>
      </w:r>
      <w:r>
        <w:rPr>
          <w:bCs/>
        </w:rPr>
        <w:t>а</w:t>
      </w:r>
      <w:r w:rsidRPr="00DA2BC8">
        <w:rPr>
          <w:bCs/>
        </w:rPr>
        <w:t xml:space="preserve"> </w:t>
      </w:r>
      <w:r>
        <w:rPr>
          <w:bCs/>
        </w:rPr>
        <w:t>–</w:t>
      </w:r>
      <w:r w:rsidRPr="00DA2BC8">
        <w:rPr>
          <w:bCs/>
        </w:rPr>
        <w:t xml:space="preserve"> липидные формы </w:t>
      </w:r>
      <w:r w:rsidRPr="00DA2BC8">
        <w:t>амфотерицина В (3 мг/кг/сутки). Применение флуконазола, вориконазола и эхинокандинов не рекомендовано.</w:t>
      </w:r>
    </w:p>
    <w:p w14:paraId="2BCA9325" w14:textId="77777777" w:rsidR="00907B9C" w:rsidRDefault="00907B9C" w:rsidP="00907B9C">
      <w:pPr>
        <w:ind w:right="50"/>
        <w:contextualSpacing/>
        <w:rPr>
          <w:b/>
          <w:bCs/>
        </w:rPr>
      </w:pPr>
    </w:p>
    <w:p w14:paraId="157BB91A" w14:textId="57B98563" w:rsidR="00907B9C" w:rsidRPr="00084B8B" w:rsidRDefault="00907B9C" w:rsidP="00907B9C">
      <w:pPr>
        <w:ind w:right="49"/>
        <w:contextualSpacing/>
        <w:rPr>
          <w:bCs/>
          <w:u w:val="single"/>
        </w:rPr>
      </w:pPr>
      <w:r w:rsidRPr="009B5EC6">
        <w:rPr>
          <w:bCs/>
          <w:u w:val="single"/>
        </w:rPr>
        <w:t>Инвазивный аспергиллез</w:t>
      </w:r>
      <w:r>
        <w:rPr>
          <w:bCs/>
          <w:u w:val="single"/>
          <w:lang w:val="en-US"/>
        </w:rPr>
        <w:t xml:space="preserve"> </w:t>
      </w:r>
      <w:r>
        <w:rPr>
          <w:b/>
        </w:rPr>
        <w:fldChar w:fldCharType="begin" w:fldLock="1"/>
      </w:r>
      <w:r w:rsidR="00A67ED2">
        <w:rPr>
          <w:b/>
        </w:rPr>
        <w:instrText>ADDIN CSL_CITATION {"citationItems":[{"id":"ITEM-1","itemData":{"author":[{"dropping-particle":"","family":"Клясова","given":"Г.А.","non-dropping-particle":"","parse-names":false,"suffix":""},{"dropping-particle":"","family":"Охмат","given":"В.А.","non-dropping-particle":"","parse-names":false,"suffix":""}],"container-title":"Алгоритмы диагностики и протоколы лечения заболеваний системы крови. Под редакцией Савченко В.Г.","id":"ITEM-1","issued":{"date-parts":[["2018"]]},"page":"1067-1114","publisher":"Москва: Практика","title":"Антимикробная терапия","type":"chapter"},"uris":["http://www.mendeley.com/documents/?uuid=bd993c26-9214-4147-919c-9e856393def0"]},{"id":"ITEM-2","itemData":{"DOI":"10.1038/bmt.2010.175","ISSN":"14765365","abstract":"In 2005, several groups, including the European Group for Blood and Marrow Transplantation, the European Organization for Treatment and Research of Cancer, the European Leukemia Net and the Immunocompromised Host Society created the European Conference on Infections in Leukemia (ECIL). The main goal of ECIL is to elaborate guidelines, or recommendations, for the management of infections in leukemia and stem cell transplant patients. The first sets of ECIL slides about the management of invasive fungal disease were made available on the web in 2006 and the papers were published in 2007. The third meeting of the group (ECIL 3) was held in September 2009 and the group updated its previous recommendations. The goal of this paper is to summarize the new proposals from ECIL 3, based on the results of studies published after the ECIL 2 meeting: (1) the prophylactic recommendations for hematopoietic stem cell transplant recipients were formulated differently, by splitting the neutropenic and the GVHD phases and taking into account recent data on voriconazole; (2) micafungin was introduced as an alternative drug for empirical antifungal therapy; (3) although several studies were published on preemptive antifungal approaches in neutropenic patients, the group decided not to propose any recommendation, as the only randomized study comparing an empirical versus a preemptive approach showed a significant excess of fungal disease in the preemptive group. © 2011 Macmillan Publishers Limited All rights reserved.","author":[{"dropping-particle":"","family":"Maertens","given":"J.","non-dropping-particle":"","parse-names":false,"suffix":""},{"dropping-particle":"","family":"Marchetti","given":"O.","non-dropping-particle":"","parse-names":false,"suffix":""},{"dropping-particle":"","family":"Herbrecht","given":"R.","non-dropping-particle":"","parse-names":false,"suffix":""},{"dropping-particle":"","family":"Cornely","given":"O. A.","non-dropping-particle":"","parse-names":false,"suffix":""},{"dropping-particle":"","family":"Flückiger","given":"U.","non-dropping-particle":"","parse-names":false,"suffix":""},{"dropping-particle":"","family":"Frre","given":"P.","non-dropping-particle":"","parse-names":false,"suffix":""},{"dropping-particle":"","family":"Gachot","given":"B.","non-dropping-particle":"","parse-names":false,"suffix":""},{"dropping-particle":"","family":"Heinz","given":"W. J.","non-dropping-particle":"","parse-names":false,"suffix":""},{"dropping-particle":"","family":"Lass-Flörl","given":"C.","non-dropping-particle":"","parse-names":false,"suffix":""},{"dropping-particle":"","family":"Ribaud","given":"P.","non-dropping-particle":"","parse-names":false,"suffix":""},{"dropping-particle":"","family":"Thiebaut","given":"A.","non-dropping-particle":"","parse-names":false,"suffix":""},{"dropping-particle":"","family":"Cordonnier","given":"C.","non-dropping-particle":"","parse-names":false,"suffix":""}],"container-title":"Bone Marrow Transplantation","id":"ITEM-2","issue":"5","issued":{"date-parts":[["2011"]]},"page":"709-718","publisher":"Nature Publishing Group","title":"European guidelines for antifungal management in leukemia and hematopoietic stem cell transplant recipients: Summary of the ECIL 32009 update","type":"article-journal","volume":"46"},"uris":["http://www.mendeley.com/documents/?uuid=84d60f1c-6ae7-4aa7-827f-5a6f8dff9f03"]},{"id":"ITEM-3","itemData":{"DOI":"10.1111/1469-0691.12360","ISSN":"14690691","PMID":"24102785","abstract":"The mortality associated with invasive fungal infections remains high with that involving rare yeast pathogens other than Candida being no exception. This is in part due to the severe underlying conditions typically predisposing patients to these healthcare-related infections (most often severe neutropenia in patients with haematological malignancies), and in part due to the often challenging intrinsic susceptibility pattern of the pathogens that potentially leads to delayed appropriate antifungal treatment. A panel of experts of the European Society of Clinical Microbiology and Infectious Diseases (ESCMID) Fungal Infection Study Group (EFISG) and the European Confederation of Medical Mycology (ECMM) undertook a data review and compiled guidelines for the diagnostic tests and procedures for detection and management of rare invasive yeast infections. The rare yeast pathogens were defined and limited to the following genera/species: Cryptococcus adeliensis, Cryptococcus albidus, Cryptococcus curvatus, Cryptococcus flavescens, Cryptococcus laurentii and Cryptococcus uniguttulatus (often published under the name Filobasidium uniguttulatum), Malassezia furfur, Malassezia globosa, Malassezia pachydermatis and Malassezia restricta, Pseudozyma spp., Rhodotorula glutinis, Rhodotorula minuta and Rhodotorula mucilaginosa, Sporobolomyces spp., Trichosporon asahii, Trichosporon asteroides, Trichosporon dermatis, Trichosporon inkin, Trichosporon jirovecii, Trichosporon loubieri, Trichosporon mucoides and Trichosporon mycotoxinivorans and ascomycetous ones: Geotrichum candidum, Kodamaea ohmeri, Saccharomyces cerevisiae (incl. S. boulardii) and Saprochaete capitatae (Magnusiomyces (Blastoschizomyces) capitatus formerly named Trichosporon capitatum or Geotrichum (Dipodascus) capitatum) and Saprochaete clavata. Recommendations about the microbiological investigation and detection of invasive infection were made and current knowledge on the most appropriate antifungal and supportive treatment was reviewed. In addition, remarks about antifungal susceptibility testing were made. © 2013 European Society of Clinical Microbiology and Infectious Diseases.","author":[{"dropping-particle":"","family":"Arendrup","given":"M. C.","non-dropping-particle":"","parse-names":false,"suffix":""},{"dropping-particle":"","family":"Boekhout","given":"T.","non-dropping-particle":"","parse-names":false,"suffix":""},{"dropping-particle":"","family":"Akova","given":"M.","non-dropping-particle":"","parse-names":false,"suffix":""},{"dropping-particle":"","family":"Meis","given":"J. F.","non-dropping-particle":"","parse-names":false,"suffix":""},{"dropping-particle":"","family":"Cornely","given":"O. A.","non-dropping-particle":"","parse-names":false,"suffix":""},{"dropping-particle":"","family":"Lortholary","given":"O.","non-dropping-particle":"","parse-names":false,"suffix":""},{"dropping-particle":"","family":"Arikan-Akdagli","given":"Sevtap","non-dropping-particle":"","parse-names":false,"suffix":""},{"dropping-particle":"","family":"Cuenca-Estrella","given":"Manuel","non-dropping-particle":"","parse-names":false,"suffix":""},{"dropping-particle":"","family":"Dannaoui","given":"Eric","non-dropping-particle":"","parse-names":false,"suffix":""},{"dropping-particle":"","family":"Diepeningen","given":"Anne D.","non-dropping-particle":"van","parse-names":false,"suffix":""},{"dropping-particle":"","family":"Groll","given":"Andreas H.","non-dropping-particle":"","parse-names":false,"suffix":""},{"dropping-particle":"","family":"Guarro","given":"Josep","non-dropping-particle":"","parse-names":false,"suffix":""},{"dropping-particle":"","family":"Guinea","given":"Jesús","non-dropping-particle":"","parse-names":false,"suffix":""},{"dropping-particle":"","family":"Hope","given":"William","non-dropping-particle":"","parse-names":false,"suffix":""},{"dropping-particle":"","family":"Lackner","given":"Michaela","non-dropping-particle":"","parse-names":false,"suffix":""},{"dropping-particle":"","family":"Lass-Flörl","given":"Cornelia","non-dropping-particle":"","parse-names":false,"suffix":""},{"dropping-particle":"","family":"Lagrou","given":"Katrien","non-dropping-particle":"","parse-names":false,"suffix":""},{"dropping-particle":"","family":"Lanternier","given":"Fanny","non-dropping-particle":"","parse-names":false,"suffix":""},{"dropping-particle":"","family":"Meletiadis","given":"Joseph","non-dropping-particle":"","parse-names":false,"suffix":""},{"dropping-particle":"","family":"Munoz","given":"Patricia","non-dropping-particle":"","parse-names":false,"suffix":""},{"dropping-particle":"","family":"Pagano","given":"Livio","non-dropping-particle":"","parse-names":false,"suffix":""},{"dropping-particle":"","family":"Richardson","given":"Malcolm D.","non-dropping-particle":"","parse-names":false,"suffix":""},{"dropping-particle":"","family":"Roilides","given":"Emmanuel","non-dropping-particle":"","parse-names":false,"suffix":""},{"dropping-particle":"","family":"Tortorano","given":"Anna Maria","non-dropping-particle":"","parse-names":false,"suffix":""},{"dropping-particle":"","family":"Ullmann","given":"Andrew J.","non-dropping-particle":"","parse-names":false,"suffix":""}],"container-title":"Clinical Microbiology and Infection","id":"ITEM-3","issue":"S3","issued":{"date-parts":[["2014"]]},"page":"76-98","publisher":"Blackwell Publishing Ltd","title":"ESCMID and ECMM joint clinical guidelines for the diagnosis and management of rare invasive yeast infections","type":"article-journal","volume":"20"},"uris":["http://www.mendeley.com/documents/?uuid=5a6b3e24-e337-3cd9-bb20-08cd60455554"]},{"id":"ITEM-4","itemData":{"DOI":"10.3324/haematol.2016.152900","ISSN":"15928721","PMID":"28011902","abstract":"The European Conference on Infections in Leukemia (ECIL) provides recommendations for diagnostic strategies and prophylactic, pre-emptive or targeted therapy strategies for various types of infection in patients with hematologic malignancies or hematopoietic stem cell transplantation recipients. Meetings are held every two years since 2005 and evidence-based recommendations are elaborated after evaluation of the literature and discussion among specialists of nearly all European countries. In this manuscript, the ECIL group presents the 2015-update of the recommendations for the targeted treatment of invasive candidiasis, aspergillosis and mucormycosis. Current data now allow a very strong recommendation in favor of echinocandins for first-line therapy of candidemia irrespective of the underlying predisposing factors. Anidulafungin has been given the same grading as the other echinocandins for hemato-oncological patients. The beneficial role of catheter removal in candidemia is strengthened. Aspergillus guidelines now recommend the use of either voriconazole or isavuconazole for first-line treatment of invasive aspergillosis, while first-line combination antifungal therapy is not routinely recommended. As only few new data were published since the last ECIL guidelines, no major changes were made to mucormycosis recommendations.","author":[{"dropping-particle":"","family":"Tissot","given":"Frederic","non-dropping-particle":"","parse-names":false,"suffix":""},{"dropping-particle":"","family":"Agrawal","given":"Samir","non-dropping-particle":"","parse-names":false,"suffix":""},{"dropping-particle":"","family":"Pagano","given":"Livio","non-dropping-particle":"","parse-names":false,"suffix":""},{"dropping-particle":"","family":"Petrikkos","given":"Georgios","non-dropping-particle":"","parse-names":false,"suffix":""},{"dropping-particle":"","family":"Groll","given":"Andreas H.","non-dropping-particle":"","parse-names":false,"suffix":""},{"dropping-particle":"","family":"Skiada","given":"Anna","non-dropping-particle":"","parse-names":false,"suffix":""},{"dropping-particle":"","family":"Lass-Flörl","given":"Cornelia","non-dropping-particle":"","parse-names":false,"suffix":""},{"dropping-particle":"","family":"Calandra","given":"Thierry","non-dropping-particle":"","parse-names":false,"suffix":""},{"dropping-particle":"","family":"Viscoli","given":"Claudio","non-dropping-particle":"","parse-names":false,"suffix":""},{"dropping-particle":"","family":"Herbrecht","given":"Raoul","non-dropping-particle":"","parse-names":false,"suffix":""}],"container-title":"Haematologica","id":"ITEM-4","issue":"3","issued":{"date-parts":[["2017","2","28"]]},"page":"433-444","publisher":"Ferrata Storti Foundation","title":"ECIL-6 guidelines for the treatment of invasive candidiasis, aspergillosis and mucormycosis in leukemia and hematopoietic stem cell transplant patients","type":"article-journal","volume":"102"},"uris":["http://www.mendeley.com/documents/?uuid=56063fed-25f6-3324-a2f1-f316166613f0"]},{"id":"ITEM-5","itemData":{"DOI":"10.1016/j.cmi.2018.01.002","ISSN":"14690691","PMID":"29544767","abstract":"The European Society for Clinical Microbiology and Infectious Diseases, the European Confederation of Medical Mycology and the European Respiratory Society Joint Clinical Guidelines focus on diagnosis and management of aspergillosis. Of the numerous recommendations, a few are summarized here. Chest computed tomography as well as bronchoscopy with bronchoalveolar lavage (BAL) in patients with suspicion of pulmonary invasive aspergillosis (IA) are strongly recommended. For diagnosis, direct microscopy, preferably using optical brighteners, histopathology and culture are strongly recommended. Serum and BAL galactomannan measures are recommended as markers for the diagnosis of IA. PCR should be considered in conjunction with other diagnostic tests. Pathogen identification to species complex level is strongly recommended for all clinically relevant Aspergillus isolates; antifungal susceptibility testing should be performed in patients with invasive disease in regions with resistance found in contemporary surveillance programmes. Isavuconazole and voriconazole are the preferred agents for first-line treatment of pulmonary IA, whereas liposomal amphotericin B is moderately supported. Combinations of antifungals as primary treatment options are not recommended. Therapeutic drug monitoring is strongly recommended for patients receiving posaconazole suspension or any form of voriconazole for IA treatment, and in refractory disease, where a personalized approach considering reversal of predisposing factors, switching drug class and surgical intervention is also strongly recommended. Primary prophylaxis with posaconazole is strongly recommended in patients with acute myelogenous leukaemia or myelodysplastic syndrome receiving induction chemotherapy. Secondary prophylaxis is strongly recommended in high-risk patients. We strongly recommend treatment duration based on clinical improvement, degree of immunosuppression and response on imaging.","author":[{"dropping-particle":"","family":"Ullmann","given":"A. J.","non-dropping-particle":"","parse-names":false,"suffix":""},{"dropping-particle":"","family":"Aguado","given":"J. M.","non-dropping-particle":"","parse-names":false,"suffix":""},{"dropping-particle":"","family":"Arikan-Akdagli","given":"S.","non-dropping-particle":"","parse-names":false,"suffix":""},{"dropping-particle":"","family":"Denning","given":"D. W.","non-dropping-particle":"","parse-names":false,"suffix":""},{"dropping-particle":"","family":"Groll","given":"A. H.","non-dropping-particle":"","parse-names":false,"suffix":""},{"dropping-particle":"","family":"Lagrou","given":"K.","non-dropping-particle":"","parse-names":false,"suffix":""},{"dropping-particle":"","family":"Lass-Flörl","given":"C.","non-dropping-particle":"","parse-names":false,"suffix":""},{"dropping-particle":"","family":"Lewis","given":"R. E.","non-dropping-particle":"","parse-names":false,"suffix":""},{"dropping-particle":"","family":"Munoz","given":"P.","non-dropping-particle":"","parse-names":false,"suffix":""},{"dropping-particle":"","family":"Verweij","given":"P. E.","non-dropping-particle":"","parse-names":false,"suffix":""},{"dropping-particle":"","family":"Warris","given":"A.","non-dropping-particle":"","parse-names":false,"suffix":""},{"dropping-particle":"","family":"Ader","given":"F.","non-dropping-particle":"","parse-names":false,"suffix":""},{"dropping-particle":"","family":"Akova","given":"M.","non-dropping-particle":"","parse-names":false,"suffix":""},{"dropping-particle":"","family":"Arendrup","given":"M. C.","non-dropping-particle":"","parse-names":false,"suffix":""},{"dropping-particle":"","family":"Barnes","given":"R. A.","non-dropping-particle":"","parse-names":false,"suffix":""},{"dropping-particle":"","family":"Beigelman-Aubry","given":"C.","non-dropping-particle":"","parse-names":false,"suffix":""},{"dropping-particle":"","family":"Blot","given":"S.","non-dropping-particle":"","parse-names":false,"suffix":""},{"dropping-particle":"","family":"Bouza","given":"E.","non-dropping-particle":"","parse-names":false,"suffix":""},{"dropping-particle":"","family":"Brüggemann","given":"R. J.M.","non-dropping-particle":"","parse-names":false,"suffix":""},{"dropping-particle":"","family":"Buchheidt","given":"D.","non-dropping-particle":"","parse-names":false,"suffix":""},{"dropping-particle":"","family":"Cadranel","given":"J.","non-dropping-particle":"","parse-names":false,"suffix":""},{"dropping-particle":"","family":"Castagnola","given":"E.","non-dropping-particle":"","parse-names":false,"suffix":""},{"dropping-particle":"","family":"Chakrabarti","given":"A.","non-dropping-particle":"","parse-names":false,"suffix":""},{"dropping-particle":"","family":"Cuenca-Estrella","given":"M.","non-dropping-particle":"","parse-names":false,"suffix":""},{"dropping-particle":"","family":"Dimopoulos","given":"G.","non-dropping-particle":"","parse-names":false,"suffix":""},{"dropping-particle":"","family":"Fortun","given":"J.","non-dropping-particle":"","parse-names":false,"suffix":""},{"dropping-particle":"","family":"Gangneux","given":"J. P.","non-dropping-particle":"","parse-names":false,"suffix":""},{"dropping-particle":"","family":"Garbino","given":"J.","non-dropping-particle":"","parse-names":false,"suffix":""},{"dropping-particle":"","family":"Heinz","given":"W. J.","non-dropping-particle":"","parse-names":false,"suffix":""},{"dropping-particle":"","family":"Herbrecht","given":"R.","non-dropping-particle":"","parse-names":false,"suffix":""},{"dropping-particle":"","family":"Heussel","given":"C. P.","non-dropping-particle":"","parse-names":false,"suffix":""},{"dropping-particle":"","family":"Kibbler","given":"C. C.","non-dropping-particle":"","parse-names":false,"suffix":""},{"dropping-particle":"","family":"Klimko","given":"N.","non-dropping-particle":"","parse-names":false,"suffix":""},{"dropping-particle":"","family":"Kullberg","given":"B. J.","non-dropping-particle":"","parse-names":false,"suffix":""},{"dropping-particle":"","family":"Lange","given":"C.","non-dropping-particle":"","parse-names":false,"suffix":""},{"dropping-particle":"","family":"Lehrnbecher","given":"T.","non-dropping-particle":"","parse-names":false,"suffix":""},{"dropping-particle":"","family":"Löffler","given":"J.","non-dropping-particle":"","parse-names":false,"suffix":""},{"dropping-particle":"","family":"Lortholary","given":"O.","non-dropping-particle":"","parse-names":false,"suffix":""},{"dropping-particle":"","family":"Maertens","given":"J.","non-dropping-particle":"","parse-names":false,"suffix":""},{"dropping-particle":"","family":"Marchetti","given":"O.","non-dropping-particle":"","parse-names":false,"suffix":""},{"dropping-particle":"","family":"Meis","given":"J. F.","non-dropping-particle":"","parse-names":false,"suffix":""},{"dropping-particle":"","family":"Pagano","given":"L.","non-dropping-particle":"","parse-names":false,"suffix":""},{"dropping-particle":"","family":"Ribaud","given":"P.","non-dropping-particle":"","parse-names":false,"suffix":""},{"dropping-particle":"","family":"Richardson","given":"M.","non-dropping-particle":"","parse-names":false,"suffix":""},{"dropping-particle":"","family":"Roilides","given":"E.","non-dropping-particle":"","parse-names":false,"suffix":""},{"dropping-particle":"","family":"Ruhnke","given":"M.","non-dropping-particle":"","parse-names":false,"suffix":""},{"dropping-particle":"","family":"Sanguinetti","given":"M.","non-dropping-particle":"","parse-names":false,"suffix":""},{"dropping-particle":"","family":"Sheppard","given":"D. C.","non-dropping-particle":"","parse-names":false,"suffix":""},{"dropping-particle":"","family":"Sinkó","given":"J.","non-dropping-particle":"","parse-names":false,"suffix":""},{"dropping-particle":"","family":"Skiada","given":"A.","non-dropping-particle":"","parse-names":false,"suffix":""},{"dropping-particle":"","family":"Vehreschild","given":"M. J.G.T.","non-dropping-particle":"","parse-names":false,"suffix":""},{"dropping-particle":"","family":"Viscoli","given":"C.","non-dropping-particle":"","parse-names":false,"suffix":""},{"dropping-particle":"","family":"Cornely","given":"O. A.","non-dropping-particle":"","parse-names":false,"suffix":""}],"container-title":"Clinical Microbiology and Infection","id":"ITEM-5","issued":{"date-parts":[["2018","5","1"]]},"page":"e1-e38","publisher":"Elsevier B.V.","title":"Diagnosis and management of Aspergillus diseases: executive summary of the 2017 ESCMID-ECMM-ERS guideline","type":"article-journal","volume":"24"},"uris":["http://www.mendeley.com/documents/?uuid=5eaef361-0e16-3d87-bd2e-021d8493d891"]}],"mendeley":{"formattedCitation":"[124,125,129,130,132]","plainTextFormattedCitation":"[124,125,129,130,132]","previouslyFormattedCitation":"[1–4,6]"},"properties":{"noteIndex":0},"schema":"https://github.com/citation-style-language/schema/raw/master/csl-citation.json"}</w:instrText>
      </w:r>
      <w:r>
        <w:rPr>
          <w:b/>
        </w:rPr>
        <w:fldChar w:fldCharType="separate"/>
      </w:r>
      <w:r w:rsidR="00A67ED2" w:rsidRPr="00A67ED2">
        <w:rPr>
          <w:noProof/>
        </w:rPr>
        <w:t>[124,125,129,130,132]</w:t>
      </w:r>
      <w:r>
        <w:rPr>
          <w:b/>
        </w:rPr>
        <w:fldChar w:fldCharType="end"/>
      </w:r>
    </w:p>
    <w:p w14:paraId="4678D8EF" w14:textId="77777777" w:rsidR="00907B9C" w:rsidRPr="00DA2BC8" w:rsidRDefault="00907B9C" w:rsidP="00907B9C">
      <w:pPr>
        <w:ind w:right="50" w:firstLine="709"/>
        <w:contextualSpacing/>
      </w:pPr>
      <w:r w:rsidRPr="00DA2BC8">
        <w:t xml:space="preserve">Инвазивный аспергиллез является ведущей грибковой инфекцией в современной гематологии. В структуре инвазивных микозов у </w:t>
      </w:r>
      <w:r>
        <w:t xml:space="preserve">гематологических пациентов </w:t>
      </w:r>
      <w:r w:rsidRPr="00DA2BC8">
        <w:t xml:space="preserve">доля инвазивного аспергиллеза достигает 80%. Первичный очаг локализуется в легких (90-95%) и в придаточных пазухах носа (5-10%). Инвазивный аспергиллез преобладает у реципиентов аллогенных ТСГК, особенно неродственных, у </w:t>
      </w:r>
      <w:r>
        <w:t>пациентов с</w:t>
      </w:r>
      <w:r w:rsidRPr="00DA2BC8">
        <w:t xml:space="preserve"> острыми миелоидными лейкозами и миелодиспластическом синдром</w:t>
      </w:r>
      <w:r>
        <w:t>ом</w:t>
      </w:r>
      <w:r w:rsidRPr="00DA2BC8">
        <w:t xml:space="preserve">. </w:t>
      </w:r>
      <w:r w:rsidRPr="00DA2BC8">
        <w:rPr>
          <w:bCs/>
        </w:rPr>
        <w:t xml:space="preserve">Основные возбудители </w:t>
      </w:r>
      <w:r w:rsidRPr="00DA2BC8">
        <w:rPr>
          <w:i/>
          <w:iCs/>
        </w:rPr>
        <w:t>Aspergillus fumigatus</w:t>
      </w:r>
      <w:r w:rsidRPr="00DA2BC8">
        <w:t xml:space="preserve"> и </w:t>
      </w:r>
      <w:r w:rsidRPr="00DA2BC8">
        <w:rPr>
          <w:i/>
          <w:iCs/>
        </w:rPr>
        <w:t>Aspergillus flavus</w:t>
      </w:r>
      <w:r w:rsidRPr="00DA2BC8">
        <w:t xml:space="preserve">, реже - </w:t>
      </w:r>
      <w:r w:rsidRPr="00DA2BC8">
        <w:rPr>
          <w:i/>
          <w:iCs/>
        </w:rPr>
        <w:t>Aspergillus niger</w:t>
      </w:r>
      <w:r w:rsidRPr="00DA2BC8">
        <w:t xml:space="preserve"> и другие виды.</w:t>
      </w:r>
    </w:p>
    <w:p w14:paraId="25273566" w14:textId="77777777" w:rsidR="00907B9C" w:rsidRPr="009B5EC6" w:rsidRDefault="00907B9C" w:rsidP="00907B9C">
      <w:pPr>
        <w:ind w:right="50" w:firstLine="709"/>
        <w:contextualSpacing/>
        <w:rPr>
          <w:i/>
          <w:iCs/>
          <w:u w:val="single"/>
        </w:rPr>
      </w:pPr>
      <w:r w:rsidRPr="009B5EC6">
        <w:rPr>
          <w:i/>
          <w:iCs/>
          <w:u w:val="single"/>
        </w:rPr>
        <w:t>Факторы риска</w:t>
      </w:r>
    </w:p>
    <w:p w14:paraId="6C384519" w14:textId="77777777" w:rsidR="00907B9C" w:rsidRPr="00DA2BC8" w:rsidRDefault="00907B9C" w:rsidP="00907B9C">
      <w:pPr>
        <w:ind w:right="50" w:firstLine="709"/>
        <w:contextualSpacing/>
      </w:pPr>
      <w:r w:rsidRPr="00DA2BC8">
        <w:t>Основными факторами, индуцирующими развитие инвазивного аспергиллеза, являются гранулоцитопения (нейтрофилов менее 0,5×10</w:t>
      </w:r>
      <w:r w:rsidRPr="00DA2BC8">
        <w:rPr>
          <w:vertAlign w:val="superscript"/>
        </w:rPr>
        <w:t>9</w:t>
      </w:r>
      <w:r w:rsidRPr="00DA2BC8">
        <w:t>/л) длительностью от 10 дней и более на момент диагностики или в течение 60 дней до развития инвазивного аспергиллеза; трансплантация аллогенных ТГСК, лечение глюкокортикоидами и другими препаратами, приводящими к подавлению функции T-лимфоцитов. Частота инвазивного аспергиллеза возрастает в период эпидемии вирусных инфекций.</w:t>
      </w:r>
    </w:p>
    <w:p w14:paraId="45BFAF04" w14:textId="77777777" w:rsidR="00907B9C" w:rsidRPr="00453773" w:rsidRDefault="00907B9C" w:rsidP="00907B9C">
      <w:pPr>
        <w:ind w:right="50" w:firstLine="709"/>
        <w:contextualSpacing/>
        <w:rPr>
          <w:b/>
          <w:bCs/>
        </w:rPr>
      </w:pPr>
      <w:r w:rsidRPr="00453773">
        <w:rPr>
          <w:b/>
          <w:bCs/>
        </w:rPr>
        <w:t>Инвазивный аспергиллез легких</w:t>
      </w:r>
    </w:p>
    <w:p w14:paraId="65AA0BAF" w14:textId="77777777" w:rsidR="00907B9C" w:rsidRPr="009B5EC6" w:rsidRDefault="00907B9C" w:rsidP="00907B9C">
      <w:pPr>
        <w:ind w:right="50" w:firstLine="709"/>
        <w:contextualSpacing/>
        <w:rPr>
          <w:i/>
          <w:iCs/>
        </w:rPr>
      </w:pPr>
      <w:r w:rsidRPr="009B5EC6">
        <w:rPr>
          <w:i/>
          <w:iCs/>
          <w:u w:val="single"/>
        </w:rPr>
        <w:t>Симптомы</w:t>
      </w:r>
      <w:r w:rsidRPr="009B5EC6">
        <w:rPr>
          <w:i/>
          <w:iCs/>
        </w:rPr>
        <w:t xml:space="preserve"> </w:t>
      </w:r>
    </w:p>
    <w:p w14:paraId="478F339B" w14:textId="77777777" w:rsidR="00907B9C" w:rsidRPr="00DA2BC8" w:rsidRDefault="00907B9C" w:rsidP="00907B9C">
      <w:pPr>
        <w:ind w:right="50" w:firstLine="709"/>
        <w:contextualSpacing/>
      </w:pPr>
      <w:r w:rsidRPr="00DA2BC8">
        <w:t xml:space="preserve">Начальные признаки скудные, в большинстве случаев бывает только лихорадка. У 15-20% </w:t>
      </w:r>
      <w:r>
        <w:t>пациентов</w:t>
      </w:r>
      <w:r w:rsidRPr="00DA2BC8">
        <w:t xml:space="preserve"> инвазивным аспергиллезом температура быва</w:t>
      </w:r>
      <w:r>
        <w:t xml:space="preserve">ет нормальной или </w:t>
      </w:r>
      <w:r>
        <w:lastRenderedPageBreak/>
        <w:t>субфебрильной</w:t>
      </w:r>
      <w:r w:rsidRPr="00DA2BC8">
        <w:t xml:space="preserve">. Другими симптомами являются кашель, сухой или с мокротой, кровохарканье, боль в грудной клетке, одышка. При прогрессировании инфекции может возникнуть легочное кровотечение, дыхательная недостаточность, спонтанный пневмоторакс. У 30-40% больных происходит диссеминация инвазивного аспергиллеза, чаще в головной мозг или печень. </w:t>
      </w:r>
    </w:p>
    <w:p w14:paraId="5BBBA4E3" w14:textId="77777777" w:rsidR="00907B9C" w:rsidRPr="009B5EC6" w:rsidRDefault="00907B9C" w:rsidP="00907B9C">
      <w:pPr>
        <w:ind w:right="50" w:firstLine="709"/>
        <w:contextualSpacing/>
        <w:rPr>
          <w:i/>
          <w:iCs/>
          <w:u w:val="single"/>
        </w:rPr>
      </w:pPr>
      <w:r w:rsidRPr="009B5EC6">
        <w:rPr>
          <w:i/>
          <w:iCs/>
          <w:u w:val="single"/>
        </w:rPr>
        <w:t>Диагностика инвазивного аспергиллеза легких</w:t>
      </w:r>
    </w:p>
    <w:p w14:paraId="48B181AA" w14:textId="77777777" w:rsidR="00907B9C" w:rsidRPr="00DA2BC8" w:rsidRDefault="00907B9C" w:rsidP="00907B9C">
      <w:pPr>
        <w:ind w:right="50" w:firstLine="709"/>
        <w:contextualSpacing/>
      </w:pPr>
      <w:r w:rsidRPr="00DA2BC8">
        <w:rPr>
          <w:bCs/>
        </w:rPr>
        <w:t>Диагноз инвазивного аспергиллеза устанавливают</w:t>
      </w:r>
      <w:r w:rsidRPr="00DA2BC8">
        <w:t xml:space="preserve"> на основании наличия факторов риска, характерных изменений</w:t>
      </w:r>
      <w:r>
        <w:t xml:space="preserve"> при радиологическом исследовании (КТ/СКТ легких)</w:t>
      </w:r>
      <w:r w:rsidRPr="00DA2BC8">
        <w:t>, микологического подтвержден</w:t>
      </w:r>
      <w:r>
        <w:t>и</w:t>
      </w:r>
      <w:r w:rsidRPr="00DA2BC8">
        <w:t xml:space="preserve">я, включающего культуральное и/или серологические исследования. </w:t>
      </w:r>
    </w:p>
    <w:p w14:paraId="5CC8317F" w14:textId="77777777" w:rsidR="00907B9C" w:rsidRPr="009B5EC6" w:rsidRDefault="00907B9C" w:rsidP="00907B9C">
      <w:pPr>
        <w:ind w:right="50" w:firstLine="709"/>
        <w:contextualSpacing/>
        <w:rPr>
          <w:i/>
          <w:iCs/>
          <w:u w:val="single"/>
        </w:rPr>
      </w:pPr>
      <w:r w:rsidRPr="009B5EC6">
        <w:rPr>
          <w:i/>
          <w:iCs/>
          <w:u w:val="single"/>
        </w:rPr>
        <w:t>Радиологические особенности инвазивного аспергиллеза легких</w:t>
      </w:r>
    </w:p>
    <w:p w14:paraId="071FADB5" w14:textId="77777777" w:rsidR="00907B9C" w:rsidRPr="00DA2BC8" w:rsidRDefault="00907B9C" w:rsidP="00907B9C">
      <w:pPr>
        <w:tabs>
          <w:tab w:val="left" w:pos="317"/>
        </w:tabs>
        <w:ind w:right="50" w:firstLine="709"/>
        <w:contextualSpacing/>
      </w:pPr>
      <w:r w:rsidRPr="00DA2BC8">
        <w:t xml:space="preserve">Ранняя диагностика инвазивного аспергиллеза легких возможна только по данным </w:t>
      </w:r>
      <w:r>
        <w:t>КТ</w:t>
      </w:r>
      <w:r w:rsidRPr="00DA2BC8">
        <w:t xml:space="preserve">. Рентгенографию </w:t>
      </w:r>
      <w:r>
        <w:t xml:space="preserve">рутинно </w:t>
      </w:r>
      <w:r w:rsidRPr="00DA2BC8">
        <w:t>не используют в диагностике инвазивного аспергиллеза по причине позднего выявления изменений в легких. Радиологические проявления инвазивного аспергиллеза легких не являются строго специфичными. На раннем этапе инфекции определяется симптом «ореола» (область разрежения, которая представляет собой геморрагический инфильтрат, окружающий некротизированную ткань легкого), в более отдаленные сроки - симптом «серпа» (формирование воздушной полости в виде полумесяца) или образование полости. Характерными также являются очаги с ровными контурами или инфильтраты треугольной формы, обращенные основанием к плевре, преобладает субплевральное расположение очагов. У реципиентов аллогенных ГСК вне нейтропении, получающих лечение преднизолоном по поводу РТПХ доминируют изменения в легких, неспецифичные для инвазивного аспергиллеза, – это центролобулярные очаги небольших размеров или изменения по типу бронхиолита. При диагностике инвазивного аспергиллеза следует провести КТ или МРТ головного мозга с целью исключения диссеминации. У больных, излеченных от инвазивного аспергиллеза, могут определяться в легких остаточные изменения в виде паренхиматозных тяжей или небольших полостей.</w:t>
      </w:r>
    </w:p>
    <w:p w14:paraId="6557A0B0" w14:textId="77777777" w:rsidR="00907B9C" w:rsidRPr="00DA2BC8" w:rsidRDefault="00907B9C" w:rsidP="00907B9C">
      <w:pPr>
        <w:ind w:right="50" w:firstLine="709"/>
        <w:contextualSpacing/>
      </w:pPr>
      <w:r w:rsidRPr="00EB3571">
        <w:rPr>
          <w:bCs/>
          <w:i/>
          <w:iCs/>
          <w:u w:val="single"/>
        </w:rPr>
        <w:t>Микологические исследования</w:t>
      </w:r>
      <w:r w:rsidRPr="00DA2BC8">
        <w:t xml:space="preserve"> включают выделение культуры </w:t>
      </w:r>
      <w:r w:rsidRPr="00DA2BC8">
        <w:rPr>
          <w:i/>
          <w:iCs/>
        </w:rPr>
        <w:t>Aspergillus</w:t>
      </w:r>
      <w:r w:rsidRPr="00DA2BC8">
        <w:t xml:space="preserve"> из мокроты, жидкости БАЛ или биоптата легкого либо обнаружение истинного септированного мицелия из биоптата (аспирата) при гистологическом или цитологическом исследовании; определение положительного антигена </w:t>
      </w:r>
      <w:r w:rsidRPr="00DA2BC8">
        <w:rPr>
          <w:i/>
          <w:iCs/>
        </w:rPr>
        <w:t>Aspergillus</w:t>
      </w:r>
      <w:r w:rsidRPr="00DA2BC8">
        <w:t xml:space="preserve"> (галактоманнан) в сыворотке (индекс оптической плотности ≥0,5) и/или в жидкости БАЛ (индекс оптической плотности от 1,0 и более).</w:t>
      </w:r>
    </w:p>
    <w:p w14:paraId="6DBC7905" w14:textId="77777777" w:rsidR="00907B9C" w:rsidRPr="00EB3571" w:rsidRDefault="00907B9C" w:rsidP="00907B9C">
      <w:pPr>
        <w:ind w:right="50" w:firstLine="709"/>
        <w:contextualSpacing/>
        <w:rPr>
          <w:i/>
          <w:iCs/>
          <w:u w:val="single"/>
        </w:rPr>
      </w:pPr>
      <w:r w:rsidRPr="00EB3571">
        <w:rPr>
          <w:i/>
          <w:iCs/>
          <w:u w:val="single"/>
        </w:rPr>
        <w:lastRenderedPageBreak/>
        <w:t>Мониторинг исследований</w:t>
      </w:r>
    </w:p>
    <w:p w14:paraId="727BA308" w14:textId="77777777" w:rsidR="00907B9C" w:rsidRPr="00DA2BC8" w:rsidRDefault="00907B9C" w:rsidP="00907B9C">
      <w:pPr>
        <w:tabs>
          <w:tab w:val="left" w:pos="317"/>
        </w:tabs>
        <w:ind w:right="50" w:firstLine="709"/>
        <w:contextualSpacing/>
      </w:pPr>
      <w:r w:rsidRPr="00DA2BC8">
        <w:t>В процессе лечения инвазивного аспергиллеза повторяют КТ</w:t>
      </w:r>
      <w:r>
        <w:t xml:space="preserve">/СКТ легких </w:t>
      </w:r>
      <w:r w:rsidRPr="00DA2BC8">
        <w:t xml:space="preserve"> каждые 2-3 недели, при клинической неэффективности лечения - через 1 неделю от начала терапии, при стабилизации клинических проявлений инфекции – реже; определение антигена </w:t>
      </w:r>
      <w:r w:rsidRPr="00DA2BC8">
        <w:rPr>
          <w:i/>
          <w:iCs/>
        </w:rPr>
        <w:t>Aspergillus</w:t>
      </w:r>
      <w:r w:rsidRPr="00DA2BC8">
        <w:t xml:space="preserve"> (галактоманнан) в крови - 1 раз в неделю, если тест был положительным. Повторные положительные результаты определения галактоманнана (индекс оптической плотности &gt;0,5) в период лечения инвазивного аспергиллеза относятся к неблагоприятным факторам прогноза и свидетельсвуют об отсутствии контроля над инфекцией. </w:t>
      </w:r>
    </w:p>
    <w:p w14:paraId="0C2A719B" w14:textId="77777777" w:rsidR="00907B9C" w:rsidRPr="00DA2BC8" w:rsidRDefault="00907B9C" w:rsidP="00907B9C">
      <w:pPr>
        <w:ind w:right="50" w:firstLine="709"/>
        <w:contextualSpacing/>
      </w:pPr>
      <w:r w:rsidRPr="00DA2BC8">
        <w:t>При повышении нейтрофилов (более 0,5×10</w:t>
      </w:r>
      <w:r w:rsidRPr="00DA2BC8">
        <w:rPr>
          <w:vertAlign w:val="superscript"/>
        </w:rPr>
        <w:t>9</w:t>
      </w:r>
      <w:r w:rsidRPr="00DA2BC8">
        <w:t xml:space="preserve">/л) объем поражения в легких может увеличиваться на фоне улучшения клинического состояния </w:t>
      </w:r>
      <w:r>
        <w:t>пациента</w:t>
      </w:r>
      <w:r w:rsidRPr="00DA2BC8">
        <w:t>. Модификацию противогрибковой терапии не проводят.</w:t>
      </w:r>
    </w:p>
    <w:p w14:paraId="5354F8FC" w14:textId="77777777" w:rsidR="00907B9C" w:rsidRPr="00DA2BC8" w:rsidRDefault="00907B9C" w:rsidP="00907B9C">
      <w:pPr>
        <w:ind w:right="50" w:firstLine="709"/>
        <w:contextualSpacing/>
      </w:pPr>
      <w:r w:rsidRPr="00DA2BC8">
        <w:t xml:space="preserve">Радиологические проявления, характерные для инвазивного аспергиллеза, могут быть при инфекции, вызванной другими микроорганизмами, или при иных патологических состояниях. Это следует учитывать, особенно когда диагноз инвазивного аспергиллеза установлен только на основании данных радиологического исследования без микологического подтверждения. </w:t>
      </w:r>
    </w:p>
    <w:p w14:paraId="7DE0C5CB" w14:textId="77777777" w:rsidR="00907B9C" w:rsidRPr="00EB3571" w:rsidRDefault="00907B9C" w:rsidP="00907B9C">
      <w:pPr>
        <w:ind w:right="50" w:firstLine="709"/>
        <w:contextualSpacing/>
        <w:rPr>
          <w:i/>
        </w:rPr>
      </w:pPr>
      <w:r w:rsidRPr="00EB3571">
        <w:rPr>
          <w:i/>
          <w:u w:val="single"/>
        </w:rPr>
        <w:t xml:space="preserve">Лечение инвазивного аспергиллеза </w:t>
      </w:r>
    </w:p>
    <w:p w14:paraId="3310EC51" w14:textId="77777777" w:rsidR="00907B9C" w:rsidRPr="00DA2BC8" w:rsidRDefault="00907B9C" w:rsidP="00907B9C">
      <w:pPr>
        <w:ind w:right="50" w:firstLine="709"/>
        <w:contextualSpacing/>
      </w:pPr>
      <w:r w:rsidRPr="00DA2BC8">
        <w:t>Основными принципами эффективной терапии инвазивного аспергиллеза являются своевременная диагностика; незамедлительное назначение антимикотиков при подозрении на инвазивный аспергиллез; назначение эффективных препаратов на первом этапе лечения.</w:t>
      </w:r>
    </w:p>
    <w:p w14:paraId="2B46A4BC" w14:textId="77777777" w:rsidR="00907B9C" w:rsidRPr="00DA2BC8" w:rsidRDefault="00907B9C" w:rsidP="00907B9C">
      <w:pPr>
        <w:tabs>
          <w:tab w:val="left" w:pos="317"/>
        </w:tabs>
        <w:ind w:right="50" w:firstLine="709"/>
        <w:contextualSpacing/>
      </w:pPr>
      <w:r w:rsidRPr="00DA2BC8">
        <w:rPr>
          <w:bCs/>
        </w:rPr>
        <w:t>Препаратами выбора являются</w:t>
      </w:r>
      <w:r w:rsidRPr="00DA2BC8">
        <w:rPr>
          <w:b/>
          <w:bCs/>
        </w:rPr>
        <w:t xml:space="preserve"> </w:t>
      </w:r>
      <w:r w:rsidRPr="00DA2BC8">
        <w:t xml:space="preserve">вориконазол (в 1-й первый день по 6 мг/кг внутривенно 2 раза в сутки, в последующие дни по 4 мг/кг внутривенно 2 раза в сутки, с переходом в дальнейшем на пероральную форму по 200 мг 2 раза в сутки, у больных с высокой массой тела пероральная доза составляет 8 мг/кг, максимально - по 300 мг х 2 раза, прием натощак или через 1 час после еды), изавуконазол по 200 мг каждые 8 час в течение </w:t>
      </w:r>
      <w:r>
        <w:t xml:space="preserve">2 дней, далее по </w:t>
      </w:r>
      <w:r w:rsidRPr="00DA2BC8">
        <w:t>200 мг 1 раз в сутки внутривенно или перорально [</w:t>
      </w:r>
      <w:r w:rsidRPr="00EC3182">
        <w:t>6</w:t>
      </w:r>
      <w:r w:rsidRPr="00DA2BC8">
        <w:t xml:space="preserve">]. Изавуконазол в сравнении с вориконазолом имеет достоверно ниже токсичность, разрешен больным с отклонениями в функции печени, проявляет активность не только против </w:t>
      </w:r>
      <w:r w:rsidRPr="00DA2BC8">
        <w:rPr>
          <w:i/>
        </w:rPr>
        <w:t>Aspergillus</w:t>
      </w:r>
      <w:r w:rsidRPr="00DA2BC8">
        <w:t xml:space="preserve">, но и грибов рода </w:t>
      </w:r>
      <w:r w:rsidRPr="00DA2BC8">
        <w:rPr>
          <w:i/>
        </w:rPr>
        <w:t>Mucorales</w:t>
      </w:r>
      <w:r w:rsidRPr="00DA2BC8">
        <w:t xml:space="preserve">. Больным печеночными порфириями не назначают азолы, для лечения используют эхинокандин. </w:t>
      </w:r>
      <w:r w:rsidRPr="00DA2BC8">
        <w:rPr>
          <w:bCs/>
        </w:rPr>
        <w:t xml:space="preserve">Альтернативные антимикотики для лечения инвазивного аспергиллеза легких - </w:t>
      </w:r>
      <w:r w:rsidRPr="00DA2BC8">
        <w:t>липидный комплекс амфотерицина В (5 мг/кг/сутки внутривенно), липосомальный амфотерициин В (3 мг/кг/сутки), каспофунгин (в 1-й день 70 мг, затем 50 мг внутривенно 1 раз в сутки), микафунгин (100 мг 1 раз в сутки внутривенно). Лечение амфотерицином В инвазивного аспергиллеза легких не показано.</w:t>
      </w:r>
    </w:p>
    <w:p w14:paraId="502A9ACF" w14:textId="77777777" w:rsidR="00907B9C" w:rsidRPr="00DA2BC8" w:rsidRDefault="00907B9C" w:rsidP="00907B9C">
      <w:pPr>
        <w:tabs>
          <w:tab w:val="left" w:pos="317"/>
        </w:tabs>
        <w:ind w:right="50" w:firstLine="709"/>
        <w:contextualSpacing/>
      </w:pPr>
      <w:r w:rsidRPr="00DA2BC8">
        <w:rPr>
          <w:iCs/>
        </w:rPr>
        <w:lastRenderedPageBreak/>
        <w:t>Не используют сочетание противогрибковых препаратов в качестве терапии первой линии инвазивного аспергиллеза.</w:t>
      </w:r>
    </w:p>
    <w:p w14:paraId="0D81E13A" w14:textId="77777777" w:rsidR="00907B9C" w:rsidRPr="00DA2BC8" w:rsidRDefault="00907B9C" w:rsidP="00907B9C">
      <w:pPr>
        <w:ind w:right="50" w:firstLine="709"/>
        <w:contextualSpacing/>
        <w:rPr>
          <w:bCs/>
        </w:rPr>
      </w:pPr>
      <w:r w:rsidRPr="00DA2BC8">
        <w:rPr>
          <w:bCs/>
        </w:rPr>
        <w:t xml:space="preserve">Хирургическое лечение инвазивного аспергиллеза легких включает удаление очага, который </w:t>
      </w:r>
      <w:r w:rsidRPr="00DA2BC8">
        <w:t>расположен около крупных сосудов или перикарда, или в наличии активное кровохарканье из отдельного очага, или инвазия в плевральную полость/ребра.</w:t>
      </w:r>
    </w:p>
    <w:p w14:paraId="4AAA225F" w14:textId="77777777" w:rsidR="00907B9C" w:rsidRPr="00DA2BC8" w:rsidRDefault="00907B9C" w:rsidP="00907B9C">
      <w:pPr>
        <w:ind w:right="50" w:firstLine="709"/>
        <w:contextualSpacing/>
      </w:pPr>
      <w:r w:rsidRPr="00DA2BC8">
        <w:rPr>
          <w:bCs/>
        </w:rPr>
        <w:t xml:space="preserve">Применение противогрибковых препаратов длительное и </w:t>
      </w:r>
      <w:r w:rsidRPr="00DA2BC8">
        <w:t>составляет не менее 6-12 недель. Критерием для отмены антимиоктиков является регрессия очагов в легких. Отрицательные результаты определения галактоманнана в сыворотке крови или в жидкости БАЛ в процессе лечения не являются основанием для прекращения противогрибковой терапии.</w:t>
      </w:r>
    </w:p>
    <w:p w14:paraId="7BF5681B" w14:textId="77777777" w:rsidR="00907B9C" w:rsidRPr="008F73A5" w:rsidRDefault="00907B9C" w:rsidP="00907B9C">
      <w:pPr>
        <w:ind w:right="50" w:firstLine="709"/>
        <w:contextualSpacing/>
        <w:rPr>
          <w:b/>
          <w:bCs/>
        </w:rPr>
      </w:pPr>
      <w:r w:rsidRPr="008F73A5">
        <w:rPr>
          <w:b/>
          <w:bCs/>
        </w:rPr>
        <w:t>Инвазивный аспергиллезный риносинусит</w:t>
      </w:r>
    </w:p>
    <w:p w14:paraId="10A7CC99" w14:textId="77777777" w:rsidR="00907B9C" w:rsidRPr="00DA2BC8" w:rsidRDefault="00907B9C" w:rsidP="00907B9C">
      <w:pPr>
        <w:ind w:right="50" w:firstLine="709"/>
        <w:contextualSpacing/>
      </w:pPr>
      <w:r w:rsidRPr="00EB3571">
        <w:rPr>
          <w:i/>
          <w:iCs/>
          <w:u w:val="single"/>
        </w:rPr>
        <w:t>Симптомы</w:t>
      </w:r>
      <w:r w:rsidRPr="00DA2BC8">
        <w:rPr>
          <w:bCs/>
        </w:rPr>
        <w:t xml:space="preserve"> включают </w:t>
      </w:r>
      <w:r w:rsidRPr="00DA2BC8">
        <w:t xml:space="preserve">затруднение носового дыхания, выраженную локальную боль в области пораженной околоносовой пазухи, периорбитальный отек на стороне поражения, асимметрию лица. </w:t>
      </w:r>
      <w:r>
        <w:t>При осмотре оториноларинголом н</w:t>
      </w:r>
      <w:r w:rsidRPr="00DA2BC8">
        <w:t>а слизистой оболочке нижней стенки и/или перегородки носового хода определяют некроз или изъязвления. В дальнейшем возникает деструкция мягкого и твердого неба, деструкция костей лицевой части черепа.</w:t>
      </w:r>
    </w:p>
    <w:p w14:paraId="1060B591" w14:textId="77777777" w:rsidR="00907B9C" w:rsidRDefault="00907B9C" w:rsidP="00907B9C">
      <w:pPr>
        <w:ind w:right="50" w:firstLine="709"/>
        <w:contextualSpacing/>
      </w:pPr>
      <w:r w:rsidRPr="00EB3571">
        <w:rPr>
          <w:i/>
          <w:iCs/>
          <w:u w:val="single"/>
        </w:rPr>
        <w:t>Диагноз аспергиллезного риносинусита</w:t>
      </w:r>
      <w:r w:rsidRPr="00DA2BC8">
        <w:rPr>
          <w:b/>
          <w:bCs/>
        </w:rPr>
        <w:t xml:space="preserve"> </w:t>
      </w:r>
      <w:r w:rsidRPr="00DA2BC8">
        <w:rPr>
          <w:bCs/>
        </w:rPr>
        <w:t>устанавливают на основании</w:t>
      </w:r>
      <w:r w:rsidRPr="00DA2BC8">
        <w:rPr>
          <w:b/>
          <w:bCs/>
        </w:rPr>
        <w:t xml:space="preserve"> </w:t>
      </w:r>
      <w:r w:rsidRPr="00DA2BC8">
        <w:t>радиологических призна</w:t>
      </w:r>
      <w:r>
        <w:t>ков (МРТ носоротоглотки)</w:t>
      </w:r>
      <w:r w:rsidRPr="00DA2BC8">
        <w:t xml:space="preserve"> и выделения культуры </w:t>
      </w:r>
      <w:r w:rsidRPr="00DA2BC8">
        <w:rPr>
          <w:i/>
          <w:iCs/>
        </w:rPr>
        <w:t xml:space="preserve">Aspergillus </w:t>
      </w:r>
      <w:r w:rsidRPr="00DA2BC8">
        <w:t>spp. из биоптата некротизированной слизистой оболочки носа или аспирата придаточных пазух носа либо обнаружение мицелия грибов при гистологическом или цитологическом исследовании биоптата (аспирата).</w:t>
      </w:r>
    </w:p>
    <w:p w14:paraId="6922470D" w14:textId="77777777" w:rsidR="00907B9C" w:rsidRPr="00DA2BC8" w:rsidRDefault="00907B9C" w:rsidP="00907B9C">
      <w:pPr>
        <w:ind w:right="50" w:firstLine="709"/>
        <w:contextualSpacing/>
      </w:pPr>
      <w:r w:rsidRPr="00EB3571">
        <w:rPr>
          <w:i/>
          <w:iCs/>
          <w:u w:val="single"/>
        </w:rPr>
        <w:t>Для лечения</w:t>
      </w:r>
      <w:r w:rsidRPr="00DA2BC8">
        <w:rPr>
          <w:b/>
          <w:bCs/>
        </w:rPr>
        <w:t xml:space="preserve"> </w:t>
      </w:r>
      <w:r w:rsidRPr="00DA2BC8">
        <w:t>используют те же препараты, что при инвазивном аспергиллезе легких.</w:t>
      </w:r>
    </w:p>
    <w:p w14:paraId="630CB395" w14:textId="77777777" w:rsidR="00907B9C" w:rsidRPr="001828E6" w:rsidRDefault="00907B9C" w:rsidP="00907B9C">
      <w:pPr>
        <w:ind w:right="50" w:firstLine="709"/>
        <w:contextualSpacing/>
        <w:rPr>
          <w:b/>
          <w:bCs/>
        </w:rPr>
      </w:pPr>
      <w:r w:rsidRPr="001828E6">
        <w:rPr>
          <w:b/>
          <w:bCs/>
        </w:rPr>
        <w:t xml:space="preserve">Резистентный инвазивный аспергиллез </w:t>
      </w:r>
    </w:p>
    <w:p w14:paraId="7952509D" w14:textId="77777777" w:rsidR="00907B9C" w:rsidRPr="00DA2BC8" w:rsidRDefault="00907B9C" w:rsidP="00907B9C">
      <w:pPr>
        <w:ind w:right="50" w:firstLine="709"/>
        <w:contextualSpacing/>
      </w:pPr>
      <w:r w:rsidRPr="00DA2BC8">
        <w:rPr>
          <w:bCs/>
        </w:rPr>
        <w:t>В критерии резистентного течения входят</w:t>
      </w:r>
      <w:r w:rsidRPr="00DA2BC8">
        <w:rPr>
          <w:b/>
          <w:bCs/>
        </w:rPr>
        <w:t xml:space="preserve"> </w:t>
      </w:r>
      <w:r w:rsidRPr="00DA2BC8">
        <w:t>сохранение клинических признаков инфекции и отрицательная динамика в легких по данным КТВР не ранее чем через 7-14 дней от начала лечения.</w:t>
      </w:r>
    </w:p>
    <w:p w14:paraId="65EB900B" w14:textId="77777777" w:rsidR="00907B9C" w:rsidRPr="00DA2BC8" w:rsidRDefault="00907B9C" w:rsidP="00907B9C">
      <w:pPr>
        <w:ind w:right="50" w:firstLine="709"/>
        <w:contextualSpacing/>
        <w:rPr>
          <w:b/>
          <w:bCs/>
          <w:i/>
          <w:iCs/>
        </w:rPr>
      </w:pPr>
      <w:r w:rsidRPr="00DA2BC8">
        <w:rPr>
          <w:bCs/>
          <w:iCs/>
        </w:rPr>
        <w:t>Проводят модификацию противогрибковой терапии, которая включает</w:t>
      </w:r>
      <w:r w:rsidRPr="00DA2BC8">
        <w:rPr>
          <w:b/>
          <w:bCs/>
          <w:i/>
          <w:iCs/>
        </w:rPr>
        <w:t xml:space="preserve"> </w:t>
      </w:r>
      <w:r w:rsidRPr="00DA2BC8">
        <w:t>добавление второго антимикотика к ранее назначенному (например, к вориконазолу добавляют эхинокандин), или назначают противогрибковый препарат другой группы, отменяя препарат первой линии (назначение липидного комплекса амфотерицина В 5 мг/кг/сутки или липосомального амфотерицина В 5 мг/кг/сутки).</w:t>
      </w:r>
    </w:p>
    <w:p w14:paraId="1901DD53" w14:textId="77777777" w:rsidR="00907B9C" w:rsidRPr="00047807" w:rsidRDefault="00907B9C" w:rsidP="00907B9C">
      <w:pPr>
        <w:ind w:right="50" w:firstLine="709"/>
        <w:contextualSpacing/>
        <w:rPr>
          <w:b/>
          <w:bCs/>
        </w:rPr>
      </w:pPr>
      <w:r w:rsidRPr="00047807">
        <w:rPr>
          <w:b/>
          <w:bCs/>
        </w:rPr>
        <w:t>Инвазивный аспергиллез ЦНС</w:t>
      </w:r>
    </w:p>
    <w:p w14:paraId="77947F22" w14:textId="77777777" w:rsidR="00907B9C" w:rsidRPr="00DA2BC8" w:rsidRDefault="00907B9C" w:rsidP="00907B9C">
      <w:pPr>
        <w:ind w:right="50" w:firstLine="709"/>
        <w:contextualSpacing/>
        <w:rPr>
          <w:bCs/>
        </w:rPr>
      </w:pPr>
      <w:r w:rsidRPr="00DA2BC8">
        <w:t xml:space="preserve">Поражение аспергиллами ЦНС происходит в результате диссеминации - гематогенной или из соседнего органа (инвазия грибов из околоносовых пазух). </w:t>
      </w:r>
      <w:r w:rsidRPr="00DA2BC8">
        <w:rPr>
          <w:bCs/>
        </w:rPr>
        <w:t xml:space="preserve">В критерии </w:t>
      </w:r>
      <w:r w:rsidRPr="00DA2BC8">
        <w:rPr>
          <w:bCs/>
        </w:rPr>
        <w:lastRenderedPageBreak/>
        <w:t xml:space="preserve">диагностики входят </w:t>
      </w:r>
      <w:r w:rsidRPr="00DA2BC8">
        <w:t xml:space="preserve">неврологические симптомы, выявление очагов в головном мозге при </w:t>
      </w:r>
      <w:r>
        <w:t>КТ/СКТ</w:t>
      </w:r>
      <w:r w:rsidRPr="00DA2BC8">
        <w:t xml:space="preserve"> или МРТ</w:t>
      </w:r>
      <w:r>
        <w:t xml:space="preserve"> (по показаниям с контрастированием)</w:t>
      </w:r>
      <w:r w:rsidRPr="00DA2BC8">
        <w:t>;</w:t>
      </w:r>
      <w:r w:rsidRPr="00DA2BC8">
        <w:rPr>
          <w:bCs/>
        </w:rPr>
        <w:t xml:space="preserve"> </w:t>
      </w:r>
      <w:r w:rsidRPr="00DA2BC8">
        <w:t xml:space="preserve">наличие первичного очага инвазии аспергиллами в легких или околоносовых пазухах. В части случаев может быть определен положительный антиген </w:t>
      </w:r>
      <w:r w:rsidRPr="00DA2BC8">
        <w:rPr>
          <w:i/>
          <w:iCs/>
        </w:rPr>
        <w:t>Aspergillus</w:t>
      </w:r>
      <w:r w:rsidRPr="00DA2BC8">
        <w:t xml:space="preserve"> (галактоманнана) в СМЖ (индекс оптической плотности ≥1</w:t>
      </w:r>
      <w:r>
        <w:t>)</w:t>
      </w:r>
      <w:r w:rsidRPr="00EC3182">
        <w:t>.</w:t>
      </w:r>
      <w:r w:rsidRPr="00DA2BC8">
        <w:rPr>
          <w:b/>
          <w:bCs/>
          <w:i/>
          <w:iCs/>
        </w:rPr>
        <w:t xml:space="preserve"> </w:t>
      </w:r>
      <w:r w:rsidRPr="00DA2BC8">
        <w:t>Препарат выбора для лечения инвазивного аспергиллеза ЦНС – липосомальный амфотерицин В (5-10 мг/кг/сутки) или липидный комплекс амфотерицина В (5 мг/кг /сутки); альтернативный – вориконазол (дозы как при лечении инвазивного аспергиллеза легких) или изавуконазол.</w:t>
      </w:r>
      <w:r w:rsidRPr="00DA2BC8">
        <w:rPr>
          <w:b/>
          <w:bCs/>
        </w:rPr>
        <w:t xml:space="preserve"> </w:t>
      </w:r>
      <w:r w:rsidRPr="00DA2BC8">
        <w:rPr>
          <w:bCs/>
        </w:rPr>
        <w:t xml:space="preserve">Если лечение проводили липидной формой амфотерицина В, то после стабилизации состояния, но не ранее чем через 2 недели, можно перейти на пероральный прием азолов (вориконазол, изавуконазол, позаконазол). </w:t>
      </w:r>
      <w:r w:rsidRPr="00DA2BC8">
        <w:t>Противогрибковые препараты, включая амфотерицин В, интратекально или в очаг поражения не вводят.</w:t>
      </w:r>
      <w:r w:rsidRPr="00DA2BC8">
        <w:rPr>
          <w:bCs/>
        </w:rPr>
        <w:t xml:space="preserve"> Хирургическое лечение</w:t>
      </w:r>
      <w:r w:rsidRPr="00DA2BC8">
        <w:t xml:space="preserve"> заключается в резекции очага в головном мозге, которую проводят при условии, что не будет усугубления неврологических нарушений. Лечение длительное, составляет несколько месяцев.</w:t>
      </w:r>
    </w:p>
    <w:p w14:paraId="16DE2E38" w14:textId="77777777" w:rsidR="00907B9C" w:rsidRDefault="00907B9C" w:rsidP="00907B9C">
      <w:pPr>
        <w:ind w:right="50"/>
        <w:contextualSpacing/>
        <w:rPr>
          <w:b/>
          <w:bCs/>
        </w:rPr>
      </w:pPr>
    </w:p>
    <w:p w14:paraId="649FDF5A" w14:textId="19FEF4D3" w:rsidR="00907B9C" w:rsidRPr="00084B8B" w:rsidRDefault="00907B9C" w:rsidP="00907B9C">
      <w:pPr>
        <w:ind w:right="49"/>
        <w:contextualSpacing/>
        <w:rPr>
          <w:bCs/>
          <w:u w:val="single"/>
        </w:rPr>
      </w:pPr>
      <w:r w:rsidRPr="00EB3571">
        <w:rPr>
          <w:bCs/>
          <w:u w:val="single"/>
        </w:rPr>
        <w:t>Диагностика и лечение мукормикоза</w:t>
      </w:r>
      <w:r>
        <w:rPr>
          <w:bCs/>
          <w:u w:val="single"/>
          <w:lang w:val="en-US"/>
        </w:rPr>
        <w:t xml:space="preserve"> </w:t>
      </w:r>
      <w:r>
        <w:rPr>
          <w:b/>
        </w:rPr>
        <w:fldChar w:fldCharType="begin" w:fldLock="1"/>
      </w:r>
      <w:r w:rsidR="00A67ED2">
        <w:rPr>
          <w:b/>
        </w:rPr>
        <w:instrText>ADDIN CSL_CITATION {"citationItems":[{"id":"ITEM-1","itemData":{"author":[{"dropping-particle":"","family":"Клясова","given":"Г.А.","non-dropping-particle":"","parse-names":false,"suffix":""},{"dropping-particle":"","family":"Охмат","given":"В.А.","non-dropping-particle":"","parse-names":false,"suffix":""}],"container-title":"Алгоритмы диагностики и протоколы лечения заболеваний системы крови. Под редакцией Савченко В.Г.","id":"ITEM-1","issued":{"date-parts":[["2018"]]},"page":"1067-1114","publisher":"Москва: Практика","title":"Антимикробная терапия","type":"chapter"},"uris":["http://www.mendeley.com/documents/?uuid=bd993c26-9214-4147-919c-9e856393def0"]},{"id":"ITEM-2","itemData":{"DOI":"10.1038/bmt.2010.175","ISSN":"14765365","abstract":"In 2005, several groups, including the European Group for Blood and Marrow Transplantation, the European Organization for Treatment and Research of Cancer, the European Leukemia Net and the Immunocompromised Host Society created the European Conference on Infections in Leukemia (ECIL). The main goal of ECIL is to elaborate guidelines, or recommendations, for the management of infections in leukemia and stem cell transplant patients. The first sets of ECIL slides about the management of invasive fungal disease were made available on the web in 2006 and the papers were published in 2007. The third meeting of the group (ECIL 3) was held in September 2009 and the group updated its previous recommendations. The goal of this paper is to summarize the new proposals from ECIL 3, based on the results of studies published after the ECIL 2 meeting: (1) the prophylactic recommendations for hematopoietic stem cell transplant recipients were formulated differently, by splitting the neutropenic and the GVHD phases and taking into account recent data on voriconazole; (2) micafungin was introduced as an alternative drug for empirical antifungal therapy; (3) although several studies were published on preemptive antifungal approaches in neutropenic patients, the group decided not to propose any recommendation, as the only randomized study comparing an empirical versus a preemptive approach showed a significant excess of fungal disease in the preemptive group. © 2011 Macmillan Publishers Limited All rights reserved.","author":[{"dropping-particle":"","family":"Maertens","given":"J.","non-dropping-particle":"","parse-names":false,"suffix":""},{"dropping-particle":"","family":"Marchetti","given":"O.","non-dropping-particle":"","parse-names":false,"suffix":""},{"dropping-particle":"","family":"Herbrecht","given":"R.","non-dropping-particle":"","parse-names":false,"suffix":""},{"dropping-particle":"","family":"Cornely","given":"O. A.","non-dropping-particle":"","parse-names":false,"suffix":""},{"dropping-particle":"","family":"Flückiger","given":"U.","non-dropping-particle":"","parse-names":false,"suffix":""},{"dropping-particle":"","family":"Frre","given":"P.","non-dropping-particle":"","parse-names":false,"suffix":""},{"dropping-particle":"","family":"Gachot","given":"B.","non-dropping-particle":"","parse-names":false,"suffix":""},{"dropping-particle":"","family":"Heinz","given":"W. J.","non-dropping-particle":"","parse-names":false,"suffix":""},{"dropping-particle":"","family":"Lass-Flörl","given":"C.","non-dropping-particle":"","parse-names":false,"suffix":""},{"dropping-particle":"","family":"Ribaud","given":"P.","non-dropping-particle":"","parse-names":false,"suffix":""},{"dropping-particle":"","family":"Thiebaut","given":"A.","non-dropping-particle":"","parse-names":false,"suffix":""},{"dropping-particle":"","family":"Cordonnier","given":"C.","non-dropping-particle":"","parse-names":false,"suffix":""}],"container-title":"Bone Marrow Transplantation","id":"ITEM-2","issue":"5","issued":{"date-parts":[["2011"]]},"page":"709-718","publisher":"Nature Publishing Group","title":"European guidelines for antifungal management in leukemia and hematopoietic stem cell transplant recipients: Summary of the ECIL 32009 update","type":"article-journal","volume":"46"},"uris":["http://www.mendeley.com/documents/?uuid=84d60f1c-6ae7-4aa7-827f-5a6f8dff9f03"]},{"id":"ITEM-3","itemData":{"DOI":"10.1111/1469-0691.12360","ISSN":"14690691","PMID":"24102785","abstract":"The mortality associated with invasive fungal infections remains high with that involving rare yeast pathogens other than Candida being no exception. This is in part due to the severe underlying conditions typically predisposing patients to these healthcare-related infections (most often severe neutropenia in patients with haematological malignancies), and in part due to the often challenging intrinsic susceptibility pattern of the pathogens that potentially leads to delayed appropriate antifungal treatment. A panel of experts of the European Society of Clinical Microbiology and Infectious Diseases (ESCMID) Fungal Infection Study Group (EFISG) and the European Confederation of Medical Mycology (ECMM) undertook a data review and compiled guidelines for the diagnostic tests and procedures for detection and management of rare invasive yeast infections. The rare yeast pathogens were defined and limited to the following genera/species: Cryptococcus adeliensis, Cryptococcus albidus, Cryptococcus curvatus, Cryptococcus flavescens, Cryptococcus laurentii and Cryptococcus uniguttulatus (often published under the name Filobasidium uniguttulatum), Malassezia furfur, Malassezia globosa, Malassezia pachydermatis and Malassezia restricta, Pseudozyma spp., Rhodotorula glutinis, Rhodotorula minuta and Rhodotorula mucilaginosa, Sporobolomyces spp., Trichosporon asahii, Trichosporon asteroides, Trichosporon dermatis, Trichosporon inkin, Trichosporon jirovecii, Trichosporon loubieri, Trichosporon mucoides and Trichosporon mycotoxinivorans and ascomycetous ones: Geotrichum candidum, Kodamaea ohmeri, Saccharomyces cerevisiae (incl. S. boulardii) and Saprochaete capitatae (Magnusiomyces (Blastoschizomyces) capitatus formerly named Trichosporon capitatum or Geotrichum (Dipodascus) capitatum) and Saprochaete clavata. Recommendations about the microbiological investigation and detection of invasive infection were made and current knowledge on the most appropriate antifungal and supportive treatment was reviewed. In addition, remarks about antifungal susceptibility testing were made. © 2013 European Society of Clinical Microbiology and Infectious Diseases.","author":[{"dropping-particle":"","family":"Arendrup","given":"M. C.","non-dropping-particle":"","parse-names":false,"suffix":""},{"dropping-particle":"","family":"Boekhout","given":"T.","non-dropping-particle":"","parse-names":false,"suffix":""},{"dropping-particle":"","family":"Akova","given":"M.","non-dropping-particle":"","parse-names":false,"suffix":""},{"dropping-particle":"","family":"Meis","given":"J. F.","non-dropping-particle":"","parse-names":false,"suffix":""},{"dropping-particle":"","family":"Cornely","given":"O. A.","non-dropping-particle":"","parse-names":false,"suffix":""},{"dropping-particle":"","family":"Lortholary","given":"O.","non-dropping-particle":"","parse-names":false,"suffix":""},{"dropping-particle":"","family":"Arikan-Akdagli","given":"Sevtap","non-dropping-particle":"","parse-names":false,"suffix":""},{"dropping-particle":"","family":"Cuenca-Estrella","given":"Manuel","non-dropping-particle":"","parse-names":false,"suffix":""},{"dropping-particle":"","family":"Dannaoui","given":"Eric","non-dropping-particle":"","parse-names":false,"suffix":""},{"dropping-particle":"","family":"Diepeningen","given":"Anne D.","non-dropping-particle":"van","parse-names":false,"suffix":""},{"dropping-particle":"","family":"Groll","given":"Andreas H.","non-dropping-particle":"","parse-names":false,"suffix":""},{"dropping-particle":"","family":"Guarro","given":"Josep","non-dropping-particle":"","parse-names":false,"suffix":""},{"dropping-particle":"","family":"Guinea","given":"Jesús","non-dropping-particle":"","parse-names":false,"suffix":""},{"dropping-particle":"","family":"Hope","given":"William","non-dropping-particle":"","parse-names":false,"suffix":""},{"dropping-particle":"","family":"Lackner","given":"Michaela","non-dropping-particle":"","parse-names":false,"suffix":""},{"dropping-particle":"","family":"Lass-Flörl","given":"Cornelia","non-dropping-particle":"","parse-names":false,"suffix":""},{"dropping-particle":"","family":"Lagrou","given":"Katrien","non-dropping-particle":"","parse-names":false,"suffix":""},{"dropping-particle":"","family":"Lanternier","given":"Fanny","non-dropping-particle":"","parse-names":false,"suffix":""},{"dropping-particle":"","family":"Meletiadis","given":"Joseph","non-dropping-particle":"","parse-names":false,"suffix":""},{"dropping-particle":"","family":"Munoz","given":"Patricia","non-dropping-particle":"","parse-names":false,"suffix":""},{"dropping-particle":"","family":"Pagano","given":"Livio","non-dropping-particle":"","parse-names":false,"suffix":""},{"dropping-particle":"","family":"Richardson","given":"Malcolm D.","non-dropping-particle":"","parse-names":false,"suffix":""},{"dropping-particle":"","family":"Roilides","given":"Emmanuel","non-dropping-particle":"","parse-names":false,"suffix":""},{"dropping-particle":"","family":"Tortorano","given":"Anna Maria","non-dropping-particle":"","parse-names":false,"suffix":""},{"dropping-particle":"","family":"Ullmann","given":"Andrew J.","non-dropping-particle":"","parse-names":false,"suffix":""}],"container-title":"Clinical Microbiology and Infection","id":"ITEM-3","issue":"S3","issued":{"date-parts":[["2014"]]},"page":"76-98","publisher":"Blackwell Publishing Ltd","title":"ESCMID and ECMM joint clinical guidelines for the diagnosis and management of rare invasive yeast infections","type":"article-journal","volume":"20"},"uris":["http://www.mendeley.com/documents/?uuid=5a6b3e24-e337-3cd9-bb20-08cd60455554"]},{"id":"ITEM-4","itemData":{"DOI":"10.3324/haematol.2016.152900","ISSN":"15928721","PMID":"28011902","abstract":"The European Conference on Infections in Leukemia (ECIL) provides recommendations for diagnostic strategies and prophylactic, pre-emptive or targeted therapy strategies for various types of infection in patients with hematologic malignancies or hematopoietic stem cell transplantation recipients. Meetings are held every two years since 2005 and evidence-based recommendations are elaborated after evaluation of the literature and discussion among specialists of nearly all European countries. In this manuscript, the ECIL group presents the 2015-update of the recommendations for the targeted treatment of invasive candidiasis, aspergillosis and mucormycosis. Current data now allow a very strong recommendation in favor of echinocandins for first-line therapy of candidemia irrespective of the underlying predisposing factors. Anidulafungin has been given the same grading as the other echinocandins for hemato-oncological patients. The beneficial role of catheter removal in candidemia is strengthened. Aspergillus guidelines now recommend the use of either voriconazole or isavuconazole for first-line treatment of invasive aspergillosis, while first-line combination antifungal therapy is not routinely recommended. As only few new data were published since the last ECIL guidelines, no major changes were made to mucormycosis recommendations.","author":[{"dropping-particle":"","family":"Tissot","given":"Frederic","non-dropping-particle":"","parse-names":false,"suffix":""},{"dropping-particle":"","family":"Agrawal","given":"Samir","non-dropping-particle":"","parse-names":false,"suffix":""},{"dropping-particle":"","family":"Pagano","given":"Livio","non-dropping-particle":"","parse-names":false,"suffix":""},{"dropping-particle":"","family":"Petrikkos","given":"Georgios","non-dropping-particle":"","parse-names":false,"suffix":""},{"dropping-particle":"","family":"Groll","given":"Andreas H.","non-dropping-particle":"","parse-names":false,"suffix":""},{"dropping-particle":"","family":"Skiada","given":"Anna","non-dropping-particle":"","parse-names":false,"suffix":""},{"dropping-particle":"","family":"Lass-Flörl","given":"Cornelia","non-dropping-particle":"","parse-names":false,"suffix":""},{"dropping-particle":"","family":"Calandra","given":"Thierry","non-dropping-particle":"","parse-names":false,"suffix":""},{"dropping-particle":"","family":"Viscoli","given":"Claudio","non-dropping-particle":"","parse-names":false,"suffix":""},{"dropping-particle":"","family":"Herbrecht","given":"Raoul","non-dropping-particle":"","parse-names":false,"suffix":""}],"container-title":"Haematologica","id":"ITEM-4","issue":"3","issued":{"date-parts":[["2017","2","28"]]},"page":"433-444","publisher":"Ferrata Storti Foundation","title":"ECIL-6 guidelines for the treatment of invasive candidiasis, aspergillosis and mucormycosis in leukemia and hematopoietic stem cell transplant patients","type":"article-journal","volume":"102"},"uris":["http://www.mendeley.com/documents/?uuid=56063fed-25f6-3324-a2f1-f316166613f0"]},{"id":"ITEM-5","itemData":{"DOI":"10.1016/S1473-3099(19)30312-3","ISSN":"14744457","PMID":"31699664","abstract":"Mucormycosis is a difficult to diagnose rare disease with high morbidity and mortality. Diagnosis is often delayed, and disease tends to progress rapidly. Urgent surgical and medical intervention is lifesaving. Guidance on the complex multidisciplinary management has potential to improve prognosis, but approaches differ between health-care settings. From January, 2018, authors from 33 countries in all United Nations regions analysed the published evidence on mucormycosis management and provided consensus recommendations addressing differences between the regions of the world as part of the “One World One Guideline” initiative of the European Confederation of Medical Mycology (ECMM). Diagnostic management does not differ greatly between world regions. Upon suspicion of mucormycosis appropriate imaging is strongly recommended to document extent of disease and is followed by strongly recommended surgical intervention. First-line treatment with high-dose liposomal amphotericin B is strongly recommended, while intravenous isavuconazole and intravenous or delayed release tablet posaconazole are recommended with moderate strength. Both triazoles are strongly recommended salvage treatments. Amphotericin B deoxycholate is recommended against, because of substantial toxicity, but may be the only option in resource limited settings. Management of mucormycosis depends on recognising disease patterns and on early diagnosis. Limited availability of contemporary treatments burdens patients in low and middle income settings. Areas of uncertainty were identified and future research directions specified.","author":[{"dropping-particle":"","family":"Cornely","given":"Oliver A.","non-dropping-particle":"","parse-names":false,"suffix":""},{"dropping-particle":"","family":"Alastruey-Izquierdo","given":"Ana","non-dropping-particle":"","parse-names":false,"suffix":""},{"dropping-particle":"","family":"Arenz","given":"Dorothee","non-dropping-particle":"","parse-names":false,"suffix":""},{"dropping-particle":"","family":"Chen","given":"Sharon C.A.","non-dropping-particle":"","parse-names":false,"suffix":""},{"dropping-particle":"","family":"Dannaoui","given":"Eric","non-dropping-particle":"","parse-names":false,"suffix":""},{"dropping-particle":"","family":"Hochhegger","given":"Bruno","non-dropping-particle":"","parse-names":false,"suffix":""},{"dropping-particle":"","family":"Hoenigl","given":"Martin","non-dropping-particle":"","parse-names":false,"suffix":""},{"dropping-particle":"","family":"Jensen","given":"Henrik E.","non-dropping-particle":"","parse-names":false,"suffix":""},{"dropping-particle":"","family":"Lagrou","given":"Katrien","non-dropping-particle":"","parse-names":false,"suffix":""},{"dropping-particle":"","family":"Lewis","given":"Russell E.","non-dropping-particle":"","parse-names":false,"suffix":""},{"dropping-particle":"","family":"Mellinghoff","given":"Sibylle C.","non-dropping-particle":"","parse-names":false,"suffix":""},{"dropping-particle":"","family":"Mer","given":"Mervyn","non-dropping-particle":"","parse-names":false,"suffix":""},{"dropping-particle":"","family":"Pana","given":"Zoi D.","non-dropping-particle":"","parse-names":false,"suffix":""},{"dropping-particle":"","family":"Seidel","given":"Danila","non-dropping-particle":"","parse-names":false,"suffix":""},{"dropping-particle":"","family":"Sheppard","given":"Donald C.","non-dropping-particle":"","parse-names":false,"suffix":""},{"dropping-particle":"","family":"Wahba","given":"Roger","non-dropping-particle":"","parse-names":false,"suffix":""},{"dropping-particle":"","family":"Akova","given":"Murat","non-dropping-particle":"","parse-names":false,"suffix":""},{"dropping-particle":"","family":"Alanio","given":"Alexandre","non-dropping-particle":"","parse-names":false,"suffix":""},{"dropping-particle":"","family":"Al-Hatmi","given":"Abdullah M.S.","non-dropping-particle":"","parse-names":false,"suffix":""},{"dropping-particle":"","family":"Arikan-Akdagli","given":"Sevtap","non-dropping-particle":"","parse-names":false,"suffix":""},{"dropping-particle":"","family":"Badali","given":"Hamid","non-dropping-particle":"","parse-names":false,"suffix":""},{"dropping-particle":"","family":"Ben-Ami","given":"Ronen","non-dropping-particle":"","parse-names":false,"suffix":""},{"dropping-particle":"","family":"Bonifaz","given":"Alexandro","non-dropping-particle":"","parse-names":false,"suffix":""},{"dropping-particle":"","family":"Bretagne","given":"Stéphane","non-dropping-particle":"","parse-names":false,"suffix":""},{"dropping-particle":"","family":"Castagnola","given":"Elio","non-dropping-particle":"","parse-names":false,"suffix":""},{"dropping-particle":"","family":"Chayakulkeeree","given":"Methee","non-dropping-particle":"","parse-names":false,"suffix":""},{"dropping-particle":"","family":"Colombo","given":"Arnaldo L.","non-dropping-particle":"","parse-names":false,"suffix":""},{"dropping-particle":"","family":"Corzo-León","given":"Dora E.","non-dropping-particle":"","parse-names":false,"suffix":""},{"dropping-particle":"","family":"Drgona","given":"Lubos","non-dropping-particle":"","parse-names":false,"suffix":""},{"dropping-particle":"","family":"Groll","given":"Andreas H.","non-dropping-particle":"","parse-names":false,"suffix":""},{"dropping-particle":"","family":"Guinea","given":"Jesus","non-dropping-particle":"","parse-names":false,"suffix":""},{"dropping-particle":"","family":"Heussel","given":"Claus Peter","non-dropping-particle":"","parse-names":false,"suffix":""},{"dropping-particle":"","family":"Ibrahim","given":"Ashraf S.","non-dropping-particle":"","parse-names":false,"suffix":""},{"dropping-particle":"","family":"Kanj","given":"Souha S.","non-dropping-particle":"","parse-names":false,"suffix":""},{"dropping-particle":"","family":"Klimko","given":"Nikolay","non-dropping-particle":"","parse-names":false,"suffix":""},{"dropping-particle":"","family":"Lackner","given":"Michaela","non-dropping-particle":"","parse-names":false,"suffix":""},{"dropping-particle":"","family":"Lamoth","given":"Frederic","non-dropping-particle":"","parse-names":false,"suffix":""},{"dropping-particle":"","family":"Lanternier","given":"Fanny","non-dropping-particle":"","parse-names":false,"suffix":""},{"dropping-particle":"","family":"Lass-Floerl","given":"Cornelia","non-dropping-particle":"","parse-names":false,"suffix":""},{"dropping-particle":"","family":"Lee","given":"Dong Gun","non-dropping-particle":"","parse-names":false,"suffix":""},{"dropping-particle":"","family":"Lehrnbecher","given":"Thomas","non-dropping-particle":"","parse-names":false,"suffix":""},{"dropping-particle":"","family":"Lmimouni","given":"Badre E.","non-dropping-particle":"","parse-names":false,"suffix":""},{"dropping-particle":"","family":"Mares","given":"Mihai","non-dropping-particle":"","parse-names":false,"suffix":""},{"dropping-particle":"","family":"Maschmeyer","given":"Georg","non-dropping-particle":"","parse-names":false,"suffix":""},{"dropping-particle":"","family":"Meis","given":"Jacques F.","non-dropping-particle":"","parse-names":false,"suffix":""},{"dropping-particle":"","family":"Meletiadis","given":"Joseph","non-dropping-particle":"","parse-names":false,"suffix":""},{"dropping-particle":"","family":"Morrissey","given":"C. Orla","non-dropping-particle":"","parse-names":false,"suffix":""},{"dropping-particle":"","family":"Nucci","given":"Marcio","non-dropping-particle":"","parse-names":false,"suffix":""},{"dropping-particle":"","family":"Oladele","given":"Rita","non-dropping-particle":"","parse-names":false,"suffix":""},{"dropping-particle":"","family":"Pagano","given":"Livio","non-dropping-particle":"","parse-names":false,"suffix":""},{"dropping-particle":"","family":"Pasqualotto","given":"Alessandro","non-dropping-particle":"","parse-names":false,"suffix":""},{"dropping-particle":"","family":"Patel","given":"Atul","non-dropping-particle":"","parse-names":false,"suffix":""},{"dropping-particle":"","family":"Racil","given":"Zdenek","non-dropping-particle":"","parse-names":false,"suffix":""},{"dropping-particle":"","family":"Richardson","given":"Malcolm","non-dropping-particle":"","parse-names":false,"suffix":""},{"dropping-particle":"","family":"Roilides","given":"Emmanuel","non-dropping-particle":"","parse-names":false,"suffix":""},{"dropping-particle":"","family":"Ruhnke","given":"Markus","non-dropping-particle":"","parse-names":false,"suffix":""},{"dropping-particle":"","family":"Seyedmousavi","given":"Seyedmojtaba","non-dropping-particle":"","parse-names":false,"suffix":""},{"dropping-particle":"","family":"Sidharthan","given":"Neeraj","non-dropping-particle":"","parse-names":false,"suffix":""},{"dropping-particle":"","family":"Singh","given":"Nina","non-dropping-particle":"","parse-names":false,"suffix":""},{"dropping-particle":"","family":"Sinko","given":"János","non-dropping-particle":"","parse-names":false,"suffix":""},{"dropping-particle":"","family":"Skiada","given":"Anna","non-dropping-particle":"","parse-names":false,"suffix":""},{"dropping-particle":"","family":"Slavin","given":"Monica","non-dropping-particle":"","parse-names":false,"suffix":""},{"dropping-particle":"","family":"Soman","given":"Rajeev","non-dropping-particle":"","parse-names":false,"suffix":""},{"dropping-particle":"","family":"Spellberg","given":"Brad","non-dropping-particle":"","parse-names":false,"suffix":""},{"dropping-particle":"","family":"Steinbach","given":"William","non-dropping-particle":"","parse-names":false,"suffix":""},{"dropping-particle":"","family":"Tan","given":"Ban Hock","non-dropping-particle":"","parse-names":false,"suffix":""},{"dropping-particle":"","family":"Ullmann","given":"Andrew J.","non-dropping-particle":"","parse-names":false,"suffix":""},{"dropping-particle":"","family":"Vehreschild","given":"Jörg J.","non-dropping-particle":"","parse-names":false,"suffix":""},{"dropping-particle":"","family":"Vehreschild","given":"Maria J.G.T.","non-dropping-particle":"","parse-names":false,"suffix":""},{"dropping-particle":"","family":"Walsh","given":"Thomas J.","non-dropping-particle":"","parse-names":false,"suffix":""},{"dropping-particle":"","family":"White","given":"P. Lewis","non-dropping-particle":"","parse-names":false,"suffix":""},{"dropping-particle":"","family":"Wiederhold","given":"Nathan P.","non-dropping-particle":"","parse-names":false,"suffix":""},{"dropping-particle":"","family":"Zaoutis","given":"Theoklis","non-dropping-particle":"","parse-names":false,"suffix":""},{"dropping-particle":"","family":"Chakrabarti","given":"Arunaloke","non-dropping-particle":"","parse-names":false,"suffix":""}],"container-title":"The Lancet Infectious Diseases","id":"ITEM-5","issue":"12","issued":{"date-parts":[["2019","12","1"]]},"page":"e405-e421","publisher":"Lancet Publishing Group","title":"Global guideline for the diagnosis and management of mucormycosis: an initiative of the European Confederation of Medical Mycology in cooperation with the Mycoses Study Group Education and Research Consortium","type":"article","volume":"19"},"uris":["http://www.mendeley.com/documents/?uuid=fc978cfc-9076-3684-a701-eca666f38a46"]}],"mendeley":{"formattedCitation":"[124,125,129,130,133]","plainTextFormattedCitation":"[124,125,129,130,133]","previouslyFormattedCitation":"[1–4,7]"},"properties":{"noteIndex":0},"schema":"https://github.com/citation-style-language/schema/raw/master/csl-citation.json"}</w:instrText>
      </w:r>
      <w:r>
        <w:rPr>
          <w:b/>
        </w:rPr>
        <w:fldChar w:fldCharType="separate"/>
      </w:r>
      <w:r w:rsidR="00A67ED2" w:rsidRPr="00A67ED2">
        <w:rPr>
          <w:noProof/>
        </w:rPr>
        <w:t>[124,125,129,130,133]</w:t>
      </w:r>
      <w:r>
        <w:rPr>
          <w:b/>
        </w:rPr>
        <w:fldChar w:fldCharType="end"/>
      </w:r>
    </w:p>
    <w:p w14:paraId="644864B2" w14:textId="77777777" w:rsidR="00907B9C" w:rsidRPr="00DA2BC8" w:rsidRDefault="00907B9C" w:rsidP="00907B9C">
      <w:pPr>
        <w:ind w:right="50" w:firstLine="709"/>
        <w:contextualSpacing/>
      </w:pPr>
      <w:r w:rsidRPr="00DA2BC8">
        <w:t>Мукормикоз занимает вторую позицию после инвазивного аспергиллеза в спектре инвазивных микозо</w:t>
      </w:r>
      <w:r>
        <w:t>в, вызванных плесневыми грибами</w:t>
      </w:r>
      <w:r w:rsidRPr="00DA2BC8">
        <w:t xml:space="preserve"> у </w:t>
      </w:r>
      <w:r>
        <w:t>гематологических пациентов</w:t>
      </w:r>
      <w:r w:rsidRPr="00DA2BC8">
        <w:t xml:space="preserve">. Частота мукормикоза у </w:t>
      </w:r>
      <w:r>
        <w:t>гематологических пациентов</w:t>
      </w:r>
      <w:r w:rsidRPr="00DA2BC8">
        <w:t xml:space="preserve"> не превышает 0,5%, в структуре инвазивных микозов составляет </w:t>
      </w:r>
      <w:r>
        <w:t>3-5</w:t>
      </w:r>
      <w:r w:rsidRPr="00DA2BC8">
        <w:t xml:space="preserve">. Мукормикоз преобладает у больных острыми лейкозами и реципиентов аллогенных СГК, характеризуется агрессивным течением с преимущественным поражением легких, частой диссеминацией (25-40%), высокой летальностью (50—60%). </w:t>
      </w:r>
      <w:r w:rsidRPr="00DA2BC8">
        <w:rPr>
          <w:bCs/>
        </w:rPr>
        <w:t xml:space="preserve">Возбудители </w:t>
      </w:r>
      <w:r w:rsidRPr="00DA2BC8">
        <w:t xml:space="preserve">– мицелиальные грибы </w:t>
      </w:r>
      <w:r w:rsidRPr="00DA2BC8">
        <w:rPr>
          <w:i/>
          <w:iCs/>
        </w:rPr>
        <w:t>Mucorales</w:t>
      </w:r>
      <w:r w:rsidRPr="00DA2BC8">
        <w:t xml:space="preserve">, среди них наиболее часто инфекцию у человека вызывают </w:t>
      </w:r>
      <w:r w:rsidRPr="00DA2BC8">
        <w:rPr>
          <w:i/>
          <w:iCs/>
        </w:rPr>
        <w:t>Rhizopus</w:t>
      </w:r>
      <w:r w:rsidRPr="00DA2BC8">
        <w:t xml:space="preserve"> spp., </w:t>
      </w:r>
      <w:r w:rsidRPr="00DA2BC8">
        <w:rPr>
          <w:i/>
          <w:iCs/>
        </w:rPr>
        <w:t>Mucor</w:t>
      </w:r>
      <w:r w:rsidRPr="00DA2BC8">
        <w:t xml:space="preserve"> spp., </w:t>
      </w:r>
      <w:r w:rsidRPr="00DA2BC8">
        <w:rPr>
          <w:i/>
          <w:iCs/>
        </w:rPr>
        <w:t>Lichtheimia</w:t>
      </w:r>
      <w:r w:rsidRPr="00DA2BC8">
        <w:t xml:space="preserve"> (</w:t>
      </w:r>
      <w:r w:rsidRPr="00DA2BC8">
        <w:rPr>
          <w:i/>
          <w:iCs/>
        </w:rPr>
        <w:t>Absidia</w:t>
      </w:r>
      <w:r w:rsidRPr="00DA2BC8">
        <w:t xml:space="preserve">) spp., </w:t>
      </w:r>
      <w:r w:rsidRPr="00DA2BC8">
        <w:rPr>
          <w:i/>
          <w:iCs/>
        </w:rPr>
        <w:t>Cunninghamella</w:t>
      </w:r>
      <w:r w:rsidRPr="00DA2BC8">
        <w:t xml:space="preserve"> spp., </w:t>
      </w:r>
      <w:r w:rsidRPr="00DA2BC8">
        <w:rPr>
          <w:i/>
          <w:iCs/>
        </w:rPr>
        <w:t>Rhizomucor</w:t>
      </w:r>
      <w:r w:rsidRPr="00DA2BC8">
        <w:t xml:space="preserve"> spp., </w:t>
      </w:r>
      <w:r w:rsidRPr="00DA2BC8">
        <w:rPr>
          <w:i/>
          <w:iCs/>
        </w:rPr>
        <w:t>Apophysomyces</w:t>
      </w:r>
      <w:r w:rsidRPr="00DA2BC8">
        <w:t xml:space="preserve"> spp., </w:t>
      </w:r>
      <w:r w:rsidRPr="00DA2BC8">
        <w:rPr>
          <w:i/>
          <w:iCs/>
        </w:rPr>
        <w:t>Saksenaea</w:t>
      </w:r>
      <w:r w:rsidRPr="00DA2BC8">
        <w:t xml:space="preserve"> spp.</w:t>
      </w:r>
    </w:p>
    <w:p w14:paraId="484BFB2C" w14:textId="77777777" w:rsidR="00907B9C" w:rsidRPr="00DA2BC8" w:rsidRDefault="00907B9C" w:rsidP="00907B9C">
      <w:pPr>
        <w:ind w:right="50" w:firstLine="709"/>
        <w:contextualSpacing/>
      </w:pPr>
      <w:r w:rsidRPr="00686506">
        <w:rPr>
          <w:i/>
          <w:iCs/>
          <w:u w:val="single"/>
        </w:rPr>
        <w:t>Факторы риска</w:t>
      </w:r>
      <w:r w:rsidRPr="00DA2BC8">
        <w:t xml:space="preserve"> возникновения мукормикоза во многом схожи с таковыми для инвазивного аспергиллеза и включают длительную гранулоцитопению (нейтрофилов менее 0,5 × 10</w:t>
      </w:r>
      <w:r w:rsidRPr="00DA2BC8">
        <w:rPr>
          <w:vertAlign w:val="superscript"/>
        </w:rPr>
        <w:t>9</w:t>
      </w:r>
      <w:r w:rsidRPr="00DA2BC8">
        <w:t xml:space="preserve">/л), трансплантацию аллогенных СГК, отсутствие ремиссии гемобластоза, лечение глюкокортикостероидами и другими иммуносупрессивными препаратами. К дополнительным факторам риска, ассоциированным с развитием мукормикоза, относят сахарный диабет, тяжелые травмы и обширные ожоги. Следует отметить, что вориконазол не активен в отношении </w:t>
      </w:r>
      <w:r w:rsidRPr="00DA2BC8">
        <w:rPr>
          <w:i/>
          <w:iCs/>
        </w:rPr>
        <w:t>Mucorale</w:t>
      </w:r>
      <w:r w:rsidRPr="00DA2BC8">
        <w:t xml:space="preserve">s, и в период его применения может возникать мукормикоз. Важным компонентом метаболизма </w:t>
      </w:r>
      <w:r w:rsidRPr="00DA2BC8">
        <w:rPr>
          <w:i/>
          <w:iCs/>
        </w:rPr>
        <w:t xml:space="preserve">Mucorales </w:t>
      </w:r>
      <w:r w:rsidRPr="00DA2BC8">
        <w:t xml:space="preserve">является железо, поэтому </w:t>
      </w:r>
      <w:r>
        <w:t>пациентов</w:t>
      </w:r>
      <w:r w:rsidRPr="00DA2BC8">
        <w:t xml:space="preserve"> с гемосидерозом относят к группе высокого риска по возникновению </w:t>
      </w:r>
      <w:r w:rsidRPr="00DA2BC8">
        <w:lastRenderedPageBreak/>
        <w:t xml:space="preserve">мукормикоза, как и пациентов, получающих лечение дефероксамином. </w:t>
      </w:r>
    </w:p>
    <w:p w14:paraId="25EFA027" w14:textId="77777777" w:rsidR="00907B9C" w:rsidRPr="00047807" w:rsidRDefault="00907B9C" w:rsidP="00907B9C">
      <w:pPr>
        <w:ind w:right="50" w:firstLine="709"/>
        <w:contextualSpacing/>
        <w:rPr>
          <w:b/>
          <w:bCs/>
        </w:rPr>
      </w:pPr>
      <w:r w:rsidRPr="00047807">
        <w:rPr>
          <w:b/>
          <w:bCs/>
        </w:rPr>
        <w:t>Мукормикоз легких</w:t>
      </w:r>
    </w:p>
    <w:p w14:paraId="74DFB17C" w14:textId="77777777" w:rsidR="00907B9C" w:rsidRPr="00686506" w:rsidRDefault="00907B9C" w:rsidP="00907B9C">
      <w:pPr>
        <w:ind w:right="50" w:firstLine="709"/>
        <w:contextualSpacing/>
        <w:rPr>
          <w:i/>
          <w:iCs/>
          <w:u w:val="single"/>
        </w:rPr>
      </w:pPr>
      <w:r w:rsidRPr="00686506">
        <w:rPr>
          <w:i/>
          <w:iCs/>
          <w:u w:val="single"/>
        </w:rPr>
        <w:t>Симптомы</w:t>
      </w:r>
    </w:p>
    <w:p w14:paraId="44A8E087" w14:textId="77777777" w:rsidR="00907B9C" w:rsidRPr="00DA2BC8" w:rsidRDefault="00907B9C" w:rsidP="00907B9C">
      <w:pPr>
        <w:ind w:right="50" w:firstLine="709"/>
        <w:contextualSpacing/>
      </w:pPr>
      <w:r w:rsidRPr="00DA2BC8">
        <w:t xml:space="preserve">Клинические проявления скудные, неспецифичные, схожи с таковыми при инвазивном аспергиллезе легких. Нередко присутствует непродуктивный кашель, прогрессирующая дыхательная недостаточность, плевральная боль. При наличии плеврита может выслушиваться шум трения плевры. Инвазия мицелия грибов в сосуды вызывает некроз окружающих тканей и приводит к образованию полостей и фатальным легочным кровотечениям. У </w:t>
      </w:r>
      <w:r>
        <w:t>гематологических пациентов</w:t>
      </w:r>
      <w:r w:rsidRPr="00DA2BC8">
        <w:t xml:space="preserve"> часто бывает диссеминация инфекции вследствие инвазии грибов в окружающие ткани и органы (бронхи, плевру, грудную стенку, диафрагму, печень и др.), или гематогенно (в головной мозг, селезенку, почки, сердце, мягкие ткани и т. д.). Для диссеминированной формы инфекции характерны симптомы, соответствующие локализации очагов поражения. </w:t>
      </w:r>
    </w:p>
    <w:p w14:paraId="1DBA65E6" w14:textId="77777777" w:rsidR="00907B9C" w:rsidRPr="00DA2BC8" w:rsidRDefault="00907B9C" w:rsidP="00907B9C">
      <w:pPr>
        <w:ind w:right="50" w:firstLine="709"/>
        <w:contextualSpacing/>
        <w:rPr>
          <w:b/>
          <w:bCs/>
        </w:rPr>
      </w:pPr>
      <w:r w:rsidRPr="00686506">
        <w:rPr>
          <w:i/>
          <w:iCs/>
          <w:u w:val="single"/>
        </w:rPr>
        <w:t>Диагностика мукормикоза легких</w:t>
      </w:r>
      <w:r w:rsidRPr="00DA2BC8">
        <w:rPr>
          <w:b/>
          <w:bCs/>
        </w:rPr>
        <w:t xml:space="preserve"> </w:t>
      </w:r>
      <w:r w:rsidRPr="00DA2BC8">
        <w:rPr>
          <w:bCs/>
        </w:rPr>
        <w:t xml:space="preserve">включает присутствие факторов риска, радиологические изменения в легких и наличие микологического подтверждения инфекции. </w:t>
      </w:r>
    </w:p>
    <w:p w14:paraId="12E3EDA4" w14:textId="77777777" w:rsidR="00907B9C" w:rsidRPr="00686506" w:rsidRDefault="00907B9C" w:rsidP="00907B9C">
      <w:pPr>
        <w:ind w:right="50" w:firstLine="709"/>
        <w:contextualSpacing/>
        <w:rPr>
          <w:i/>
          <w:iCs/>
          <w:u w:val="single"/>
        </w:rPr>
      </w:pPr>
      <w:r w:rsidRPr="00686506">
        <w:rPr>
          <w:i/>
          <w:iCs/>
          <w:u w:val="single"/>
        </w:rPr>
        <w:t>Радиологические особенности мукормикоза легких</w:t>
      </w:r>
    </w:p>
    <w:p w14:paraId="4D207230" w14:textId="77777777" w:rsidR="00907B9C" w:rsidRPr="00DA2BC8" w:rsidRDefault="00907B9C" w:rsidP="00907B9C">
      <w:pPr>
        <w:ind w:right="50" w:firstLine="709"/>
        <w:contextualSpacing/>
      </w:pPr>
      <w:r w:rsidRPr="00DA2BC8">
        <w:t>Основа радиологической диагностики – это КТ</w:t>
      </w:r>
      <w:r>
        <w:t>/СКТ</w:t>
      </w:r>
      <w:r w:rsidRPr="00DA2BC8">
        <w:t>. Радиологические проявления мукормикоза неспецифичны и часто схожи с инвазивным аспергиллезом. Выделяют ряд радиологических признаков, которые в большей степени характерны для мукормикоза, чем для инвазивного аспергиллеза, и включают симптом «обратного ореола» (просветление в центре очага или зоны консолидации), плевральный выпот, наличие от 10 и более очагов в легких.</w:t>
      </w:r>
    </w:p>
    <w:p w14:paraId="70C96B75" w14:textId="77777777" w:rsidR="00907B9C" w:rsidRPr="00686506" w:rsidRDefault="00907B9C" w:rsidP="00907B9C">
      <w:pPr>
        <w:ind w:right="50" w:firstLine="709"/>
        <w:contextualSpacing/>
        <w:rPr>
          <w:bCs/>
          <w:i/>
          <w:iCs/>
        </w:rPr>
      </w:pPr>
      <w:r w:rsidRPr="00686506">
        <w:rPr>
          <w:bCs/>
          <w:i/>
          <w:iCs/>
          <w:u w:val="single"/>
        </w:rPr>
        <w:t>Микологическая диагностика мукормикоза</w:t>
      </w:r>
    </w:p>
    <w:p w14:paraId="7A2C6767" w14:textId="77777777" w:rsidR="00907B9C" w:rsidRPr="00DA2BC8" w:rsidRDefault="00907B9C" w:rsidP="00907B9C">
      <w:pPr>
        <w:ind w:right="50" w:firstLine="709"/>
        <w:contextualSpacing/>
      </w:pPr>
      <w:r w:rsidRPr="00DA2BC8">
        <w:t xml:space="preserve">Нет серологических маркеров диагностики. Исследуют жидкость БАЛ или биоптаты органов. Диагноз устанавливают на основании обнаружения несептированного мицелия при флуоресцентной микроскопии либо при гистологическом исследовании биоптата, или детекции культуры грибов </w:t>
      </w:r>
      <w:r w:rsidRPr="00DA2BC8">
        <w:rPr>
          <w:i/>
          <w:iCs/>
        </w:rPr>
        <w:t>Mucorales</w:t>
      </w:r>
      <w:r w:rsidRPr="00DA2BC8">
        <w:t xml:space="preserve"> из исследуемых образцов. Вероятность получения культуры </w:t>
      </w:r>
      <w:r w:rsidRPr="00DA2BC8">
        <w:rPr>
          <w:i/>
          <w:iCs/>
        </w:rPr>
        <w:t xml:space="preserve">Mucorales </w:t>
      </w:r>
      <w:r w:rsidRPr="00DA2BC8">
        <w:rPr>
          <w:iCs/>
        </w:rPr>
        <w:t xml:space="preserve">выше из биоптатов, чем из жидкости БАЛ. </w:t>
      </w:r>
    </w:p>
    <w:p w14:paraId="1487DD05" w14:textId="77777777" w:rsidR="00907B9C" w:rsidRPr="00686506" w:rsidRDefault="00907B9C" w:rsidP="00907B9C">
      <w:pPr>
        <w:ind w:right="50" w:firstLine="709"/>
        <w:contextualSpacing/>
        <w:rPr>
          <w:i/>
          <w:iCs/>
          <w:u w:val="single"/>
        </w:rPr>
      </w:pPr>
      <w:r w:rsidRPr="00686506">
        <w:rPr>
          <w:i/>
          <w:iCs/>
          <w:u w:val="single"/>
        </w:rPr>
        <w:t>Лечение мукормикоза легких</w:t>
      </w:r>
    </w:p>
    <w:p w14:paraId="3B36D35F" w14:textId="77777777" w:rsidR="00907B9C" w:rsidRPr="00DA2BC8" w:rsidRDefault="00907B9C" w:rsidP="00907B9C">
      <w:pPr>
        <w:ind w:right="50" w:firstLine="709"/>
        <w:contextualSpacing/>
      </w:pPr>
      <w:r w:rsidRPr="00DA2BC8">
        <w:t xml:space="preserve">Мукормикоз характеризуется крайне агрессивным течением. Лечение необходимо начинать при первых признаках инфекции, поскольку промедление в назначении антимикотиков приводит к увеличению частоты летальных исходов. </w:t>
      </w:r>
      <w:r w:rsidRPr="00DA2BC8">
        <w:rPr>
          <w:bCs/>
        </w:rPr>
        <w:t>Препаратами выбора для лечения являются липидные формы амфотерицина В (</w:t>
      </w:r>
      <w:r w:rsidRPr="00DA2BC8">
        <w:t xml:space="preserve">липосомальный амфотерицин </w:t>
      </w:r>
      <w:r w:rsidRPr="00DA2BC8">
        <w:lastRenderedPageBreak/>
        <w:t>или липидный комплекс амфотерицина В 5 мг/кг/сутки), альтернативный - изавуконазол (изавуконазол по 200 мг каждые 8 час в течение 2 дней (6 доз), далее по 200 мг 1 раз в сутки внутривенно или перорально). Замену липидной формы амфотерицина В на позаконазол проводят при одновременном наличии следующих условий: положительная динамика в легких по данным КТВР, стабильном состоянии больного, отсутствии мукозита и диареи, полноценном питании, отсутствии нарушения функции печени.</w:t>
      </w:r>
    </w:p>
    <w:p w14:paraId="4157B316" w14:textId="77777777" w:rsidR="00907B9C" w:rsidRPr="00DA2BC8" w:rsidRDefault="00907B9C" w:rsidP="00907B9C">
      <w:pPr>
        <w:ind w:right="50" w:firstLine="709"/>
        <w:contextualSpacing/>
      </w:pPr>
      <w:r w:rsidRPr="00DA2BC8">
        <w:t>При диссеминации Mucorales в головной мозг препаратом выбора является липосомальный амфотерицин, дозирование может быть увеличено до 10 мг/кг в сутки. При неэффективности к липидным формам амфотерицина В добавляют эхинокандин или позаконазол.</w:t>
      </w:r>
    </w:p>
    <w:p w14:paraId="5C7E2915" w14:textId="77777777" w:rsidR="00907B9C" w:rsidRPr="00686506" w:rsidRDefault="00907B9C" w:rsidP="00907B9C">
      <w:pPr>
        <w:ind w:right="50" w:firstLine="709"/>
        <w:contextualSpacing/>
        <w:rPr>
          <w:i/>
          <w:iCs/>
          <w:u w:val="single"/>
        </w:rPr>
      </w:pPr>
      <w:r w:rsidRPr="00686506">
        <w:rPr>
          <w:i/>
          <w:iCs/>
          <w:u w:val="single"/>
        </w:rPr>
        <w:t>Хирургическое лечение мукормикоза легких</w:t>
      </w:r>
    </w:p>
    <w:p w14:paraId="6EFAFF84" w14:textId="77777777" w:rsidR="00907B9C" w:rsidRPr="00DA2BC8" w:rsidRDefault="00907B9C" w:rsidP="00907B9C">
      <w:pPr>
        <w:ind w:right="50" w:firstLine="709"/>
        <w:contextualSpacing/>
      </w:pPr>
      <w:r w:rsidRPr="00DA2BC8">
        <w:rPr>
          <w:i/>
          <w:iCs/>
        </w:rPr>
        <w:t>При локализованной форме</w:t>
      </w:r>
      <w:r w:rsidRPr="00DA2BC8">
        <w:t xml:space="preserve"> мукормикоза легких показано хирургическое лечение во всех случаях, если позволяет состояние </w:t>
      </w:r>
      <w:r>
        <w:t>пациента</w:t>
      </w:r>
      <w:r w:rsidRPr="00DA2BC8">
        <w:t xml:space="preserve">. Операцию выполняют при стабилизации состояния больного. </w:t>
      </w:r>
      <w:r w:rsidRPr="00DA2BC8">
        <w:rPr>
          <w:i/>
          <w:iCs/>
        </w:rPr>
        <w:t>При диссеминации</w:t>
      </w:r>
      <w:r w:rsidRPr="00DA2BC8">
        <w:t xml:space="preserve"> необходимость хирургического лечения определяется индивидуально.</w:t>
      </w:r>
    </w:p>
    <w:p w14:paraId="2E295295" w14:textId="77777777" w:rsidR="00907B9C" w:rsidRPr="00DA2BC8" w:rsidRDefault="00907B9C" w:rsidP="00907B9C">
      <w:pPr>
        <w:ind w:right="50" w:firstLine="709"/>
        <w:contextualSpacing/>
      </w:pPr>
      <w:r w:rsidRPr="00686506">
        <w:t>Лечение</w:t>
      </w:r>
      <w:r w:rsidRPr="00DA2BC8">
        <w:rPr>
          <w:b/>
          <w:bCs/>
        </w:rPr>
        <w:t xml:space="preserve"> </w:t>
      </w:r>
      <w:r w:rsidRPr="00DA2BC8">
        <w:t xml:space="preserve">мукормикоза антимикотиками длительное, несколько месяцев. Критерием для отмены противогрибковых препаратов является регрессия очагов в легких. Всем больных, имевших мукормикоз в анамнезе, во время очередных курсов ПХТ проводят профилактику позаконазолом по 200 мг 3 раза в сутки в суспензии или изавуконазолом (см. вторичная профилактика). </w:t>
      </w:r>
    </w:p>
    <w:p w14:paraId="0251D9B3" w14:textId="77777777" w:rsidR="00907B9C" w:rsidRPr="00047807" w:rsidRDefault="00907B9C" w:rsidP="00907B9C">
      <w:pPr>
        <w:ind w:right="51" w:firstLine="709"/>
        <w:contextualSpacing/>
        <w:rPr>
          <w:b/>
          <w:bCs/>
        </w:rPr>
      </w:pPr>
      <w:r w:rsidRPr="00047807">
        <w:rPr>
          <w:b/>
          <w:bCs/>
        </w:rPr>
        <w:t>Мукормикоз придаточных пазух носа</w:t>
      </w:r>
    </w:p>
    <w:p w14:paraId="19196B04" w14:textId="77777777" w:rsidR="00907B9C" w:rsidRPr="00DA2BC8" w:rsidRDefault="00907B9C" w:rsidP="00907B9C">
      <w:pPr>
        <w:ind w:right="51" w:firstLine="709"/>
        <w:contextualSpacing/>
      </w:pPr>
      <w:r w:rsidRPr="00DA2BC8">
        <w:t xml:space="preserve">Эта локализация инфекции наиболее характерна для </w:t>
      </w:r>
      <w:r>
        <w:t xml:space="preserve">гематологических пациентов с </w:t>
      </w:r>
      <w:r w:rsidRPr="00DA2BC8">
        <w:t xml:space="preserve">сахарным диабетом. Клиническая картина аналогична инвазивному аспергиллезному риносинуситу, но мукормикоз протекает более агрессивно, и в течение нескольких дней происходит вовлечение в инфекционный процесс окружающих мягких тканей (некроз) с деструкцией костей черепа и инвазией грибов в орбиту и головной мозг. Как правило, наблюдается одностороннее поражение грибами </w:t>
      </w:r>
      <w:r w:rsidRPr="00DA2BC8">
        <w:rPr>
          <w:i/>
        </w:rPr>
        <w:t>Mucorale</w:t>
      </w:r>
      <w:r w:rsidRPr="00DA2BC8">
        <w:rPr>
          <w:i/>
          <w:iCs/>
        </w:rPr>
        <w:t>s</w:t>
      </w:r>
      <w:r w:rsidRPr="00DA2BC8">
        <w:t xml:space="preserve"> придаточных пазух носа. </w:t>
      </w:r>
    </w:p>
    <w:p w14:paraId="7F2B3AC3" w14:textId="77777777" w:rsidR="00907B9C" w:rsidRPr="00DA2BC8" w:rsidRDefault="00907B9C" w:rsidP="00907B9C">
      <w:pPr>
        <w:ind w:right="51" w:firstLine="709"/>
        <w:contextualSpacing/>
      </w:pPr>
      <w:r w:rsidRPr="00DA2BC8">
        <w:t xml:space="preserve">Начальные симптомы заболевания включают боль, отек и покраснение на стороне поражения. В дальнейшем возникает некроз или изъязвления на слизистой оболочке носовых ходов, коже. Часто бывает гематогенненная диссеминация. Клиническая картина соответствует локализации очага поражения. </w:t>
      </w:r>
    </w:p>
    <w:p w14:paraId="387A5888" w14:textId="77777777" w:rsidR="00907B9C" w:rsidRPr="00DA2BC8" w:rsidRDefault="00907B9C" w:rsidP="00907B9C">
      <w:pPr>
        <w:ind w:right="51" w:firstLine="709"/>
        <w:contextualSpacing/>
      </w:pPr>
      <w:r w:rsidRPr="00686506">
        <w:rPr>
          <w:i/>
          <w:iCs/>
          <w:u w:val="single"/>
        </w:rPr>
        <w:t>Диагностика мукормикозного риносинусита</w:t>
      </w:r>
      <w:r w:rsidRPr="00DA2BC8">
        <w:rPr>
          <w:b/>
          <w:bCs/>
        </w:rPr>
        <w:t xml:space="preserve"> </w:t>
      </w:r>
      <w:r w:rsidRPr="00DA2BC8">
        <w:rPr>
          <w:bCs/>
        </w:rPr>
        <w:t>включает наличие</w:t>
      </w:r>
      <w:r w:rsidRPr="00DA2BC8">
        <w:rPr>
          <w:b/>
          <w:bCs/>
        </w:rPr>
        <w:t xml:space="preserve"> </w:t>
      </w:r>
      <w:r w:rsidRPr="00DA2BC8">
        <w:t>радиологических признаков риносинусита, деструкции костей черепа</w:t>
      </w:r>
      <w:r>
        <w:t xml:space="preserve"> при КТ/СКТ/МРТ</w:t>
      </w:r>
      <w:r w:rsidRPr="00DA2BC8">
        <w:t>;</w:t>
      </w:r>
      <w:r w:rsidRPr="00DA2BC8">
        <w:rPr>
          <w:b/>
          <w:bCs/>
        </w:rPr>
        <w:t xml:space="preserve"> </w:t>
      </w:r>
      <w:r w:rsidRPr="00DA2BC8">
        <w:t xml:space="preserve">выделение культуры </w:t>
      </w:r>
      <w:r w:rsidRPr="00DA2BC8">
        <w:rPr>
          <w:i/>
        </w:rPr>
        <w:t>Mucorales</w:t>
      </w:r>
      <w:r w:rsidRPr="00DA2BC8">
        <w:t xml:space="preserve"> из биоптата некротизированной слизистой оболочки носа или </w:t>
      </w:r>
      <w:r w:rsidRPr="00DA2BC8">
        <w:lastRenderedPageBreak/>
        <w:t xml:space="preserve">аспирата придаточных пазух носа или обнаружение несептированного мицелия грибов при гистологическом или цитологическом исследовании биоптата (аспирата). </w:t>
      </w:r>
    </w:p>
    <w:p w14:paraId="48A31F77" w14:textId="77777777" w:rsidR="00907B9C" w:rsidRPr="00DA2BC8" w:rsidRDefault="00907B9C" w:rsidP="00907B9C">
      <w:pPr>
        <w:ind w:right="51" w:firstLine="709"/>
        <w:contextualSpacing/>
        <w:rPr>
          <w:b/>
          <w:bCs/>
        </w:rPr>
      </w:pPr>
      <w:r w:rsidRPr="00686506">
        <w:rPr>
          <w:i/>
          <w:iCs/>
          <w:u w:val="single"/>
        </w:rPr>
        <w:t>Лечение мукормикоза придаточных пазух носа</w:t>
      </w:r>
      <w:r w:rsidRPr="00DA2BC8">
        <w:t xml:space="preserve"> является комбинированным и включает назначение противогрибковых препаратов в сочетании с оперативным лечением. Применяют те же антимикотики, что при мукормикозе легких.</w:t>
      </w:r>
      <w:r w:rsidRPr="00DA2BC8">
        <w:rPr>
          <w:bCs/>
        </w:rPr>
        <w:t xml:space="preserve"> </w:t>
      </w:r>
      <w:r w:rsidRPr="00DA2BC8">
        <w:t xml:space="preserve">Хирургическую резекцию очага поражения обязательно выполняют в пределах здоровых тканей. </w:t>
      </w:r>
    </w:p>
    <w:p w14:paraId="34FAEBB4" w14:textId="77777777" w:rsidR="00907B9C" w:rsidRPr="00047807" w:rsidRDefault="00907B9C" w:rsidP="00907B9C">
      <w:pPr>
        <w:ind w:right="51" w:firstLine="709"/>
        <w:contextualSpacing/>
        <w:rPr>
          <w:b/>
          <w:bCs/>
        </w:rPr>
      </w:pPr>
      <w:r w:rsidRPr="00047807">
        <w:rPr>
          <w:b/>
          <w:bCs/>
        </w:rPr>
        <w:t>Мукормикоз кожи и мягких тканей</w:t>
      </w:r>
    </w:p>
    <w:p w14:paraId="19311935" w14:textId="77777777" w:rsidR="00907B9C" w:rsidRPr="00DA2BC8" w:rsidRDefault="00907B9C" w:rsidP="00907B9C">
      <w:pPr>
        <w:ind w:right="51" w:firstLine="709"/>
        <w:contextualSpacing/>
      </w:pPr>
      <w:r w:rsidRPr="00DA2BC8">
        <w:t xml:space="preserve">Такая локализация инфекции преобладает у </w:t>
      </w:r>
      <w:r>
        <w:t>пациентов</w:t>
      </w:r>
      <w:r w:rsidRPr="00DA2BC8">
        <w:t xml:space="preserve"> с обширными травмами и ожогами. В некоторых случаях может быть следствием инвазивных медицинских процедур при использовании медицинского оборудования, контаминированного грибами </w:t>
      </w:r>
      <w:r w:rsidRPr="00DA2BC8">
        <w:rPr>
          <w:i/>
        </w:rPr>
        <w:t>Mucorales</w:t>
      </w:r>
      <w:r w:rsidRPr="00DA2BC8">
        <w:t xml:space="preserve">. </w:t>
      </w:r>
    </w:p>
    <w:p w14:paraId="0BA0BE4E" w14:textId="77777777" w:rsidR="00907B9C" w:rsidRPr="00DA2BC8" w:rsidRDefault="00907B9C" w:rsidP="00907B9C">
      <w:pPr>
        <w:ind w:right="51" w:firstLine="709"/>
        <w:contextualSpacing/>
      </w:pPr>
      <w:r w:rsidRPr="00DA2BC8">
        <w:t xml:space="preserve">Симптомы мукормикоза кожи и мягких тканей включают наличие признаков воспаления (гиперемии, болезненности, уплотнения) в области очага инфекции с некрозом в центре, который появляется в течение короткого временного промежутка (1-4 суток). Инвазия грибов происходит в окружающие ткани, включая подкожно-жировую клетчатку и мышцы. При прорастании сосудов происходит гематогенная диссеминация мукормикоза в другие органы и ткани. Для диагностики мукормикоза мягких тканей необходимо провести краевую биопсию области поражения. </w:t>
      </w:r>
      <w:r w:rsidRPr="00DA2BC8">
        <w:rPr>
          <w:bCs/>
        </w:rPr>
        <w:t xml:space="preserve">Диагноз устанавливают на основании </w:t>
      </w:r>
      <w:r w:rsidRPr="00DA2BC8">
        <w:t xml:space="preserve">выделения культуры </w:t>
      </w:r>
      <w:r w:rsidRPr="00DA2BC8">
        <w:rPr>
          <w:i/>
        </w:rPr>
        <w:t>Mucorales</w:t>
      </w:r>
      <w:r w:rsidRPr="00DA2BC8">
        <w:t xml:space="preserve"> из биоптата некротизированной ткани либо обнаружения несептированного мицелия грибов при флуоресцентной микроскопии или гистологическом исследовании. </w:t>
      </w:r>
      <w:r w:rsidRPr="00DA2BC8">
        <w:rPr>
          <w:bCs/>
        </w:rPr>
        <w:t xml:space="preserve">Лечение мукормикоза мягких тканей во всех случяах комбринированное, включающее обязательную резекцию некроза до здоровых фрагментов и назначение антимикотиков, как </w:t>
      </w:r>
      <w:r w:rsidRPr="00DA2BC8">
        <w:t>при мукормикозе легких.</w:t>
      </w:r>
    </w:p>
    <w:p w14:paraId="30B164B8" w14:textId="77777777" w:rsidR="00907B9C" w:rsidRDefault="00907B9C" w:rsidP="00907B9C">
      <w:pPr>
        <w:ind w:right="50"/>
        <w:contextualSpacing/>
        <w:rPr>
          <w:b/>
          <w:bCs/>
        </w:rPr>
      </w:pPr>
    </w:p>
    <w:p w14:paraId="2071AB08" w14:textId="59EF9739" w:rsidR="00907B9C" w:rsidRPr="00144984" w:rsidRDefault="00907B9C" w:rsidP="00907B9C">
      <w:pPr>
        <w:ind w:right="49"/>
        <w:contextualSpacing/>
        <w:rPr>
          <w:bCs/>
          <w:u w:val="single"/>
        </w:rPr>
      </w:pPr>
      <w:r w:rsidRPr="00686506">
        <w:rPr>
          <w:bCs/>
          <w:u w:val="single"/>
        </w:rPr>
        <w:t xml:space="preserve">Диагностика и лечение инвазивных микозов, вызванных редкими плесневыми грибами </w:t>
      </w:r>
      <w:r>
        <w:rPr>
          <w:b/>
        </w:rPr>
        <w:fldChar w:fldCharType="begin" w:fldLock="1"/>
      </w:r>
      <w:r w:rsidR="00A67ED2">
        <w:rPr>
          <w:b/>
        </w:rPr>
        <w:instrText>ADDIN CSL_CITATION {"citationItems":[{"id":"ITEM-1","itemData":{"author":[{"dropping-particle":"","family":"Клясова","given":"Г.А.","non-dropping-particle":"","parse-names":false,"suffix":""},{"dropping-particle":"","family":"Охмат","given":"В.А.","non-dropping-particle":"","parse-names":false,"suffix":""}],"container-title":"Алгоритмы диагностики и протоколы лечения заболеваний системы крови. Под редакцией Савченко В.Г.","id":"ITEM-1","issued":{"date-parts":[["2018"]]},"page":"1067-1114","publisher":"Москва: Практика","title":"Антимикробная терапия","type":"chapter"},"uris":["http://www.mendeley.com/documents/?uuid=bd993c26-9214-4147-919c-9e856393def0"]},{"id":"ITEM-2","itemData":{"DOI":"10.1038/bmt.2010.175","ISSN":"14765365","abstract":"In 2005, several groups, including the European Group for Blood and Marrow Transplantation, the European Organization for Treatment and Research of Cancer, the European Leukemia Net and the Immunocompromised Host Society created the European Conference on Infections in Leukemia (ECIL). The main goal of ECIL is to elaborate guidelines, or recommendations, for the management of infections in leukemia and stem cell transplant patients. The first sets of ECIL slides about the management of invasive fungal disease were made available on the web in 2006 and the papers were published in 2007. The third meeting of the group (ECIL 3) was held in September 2009 and the group updated its previous recommendations. The goal of this paper is to summarize the new proposals from ECIL 3, based on the results of studies published after the ECIL 2 meeting: (1) the prophylactic recommendations for hematopoietic stem cell transplant recipients were formulated differently, by splitting the neutropenic and the GVHD phases and taking into account recent data on voriconazole; (2) micafungin was introduced as an alternative drug for empirical antifungal therapy; (3) although several studies were published on preemptive antifungal approaches in neutropenic patients, the group decided not to propose any recommendation, as the only randomized study comparing an empirical versus a preemptive approach showed a significant excess of fungal disease in the preemptive group. © 2011 Macmillan Publishers Limited All rights reserved.","author":[{"dropping-particle":"","family":"Maertens","given":"J.","non-dropping-particle":"","parse-names":false,"suffix":""},{"dropping-particle":"","family":"Marchetti","given":"O.","non-dropping-particle":"","parse-names":false,"suffix":""},{"dropping-particle":"","family":"Herbrecht","given":"R.","non-dropping-particle":"","parse-names":false,"suffix":""},{"dropping-particle":"","family":"Cornely","given":"O. A.","non-dropping-particle":"","parse-names":false,"suffix":""},{"dropping-particle":"","family":"Flückiger","given":"U.","non-dropping-particle":"","parse-names":false,"suffix":""},{"dropping-particle":"","family":"Frre","given":"P.","non-dropping-particle":"","parse-names":false,"suffix":""},{"dropping-particle":"","family":"Gachot","given":"B.","non-dropping-particle":"","parse-names":false,"suffix":""},{"dropping-particle":"","family":"Heinz","given":"W. J.","non-dropping-particle":"","parse-names":false,"suffix":""},{"dropping-particle":"","family":"Lass-Flörl","given":"C.","non-dropping-particle":"","parse-names":false,"suffix":""},{"dropping-particle":"","family":"Ribaud","given":"P.","non-dropping-particle":"","parse-names":false,"suffix":""},{"dropping-particle":"","family":"Thiebaut","given":"A.","non-dropping-particle":"","parse-names":false,"suffix":""},{"dropping-particle":"","family":"Cordonnier","given":"C.","non-dropping-particle":"","parse-names":false,"suffix":""}],"container-title":"Bone Marrow Transplantation","id":"ITEM-2","issue":"5","issued":{"date-parts":[["2011"]]},"page":"709-718","publisher":"Nature Publishing Group","title":"European guidelines for antifungal management in leukemia and hematopoietic stem cell transplant recipients: Summary of the ECIL 32009 update","type":"article-journal","volume":"46"},"uris":["http://www.mendeley.com/documents/?uuid=84d60f1c-6ae7-4aa7-827f-5a6f8dff9f03"]},{"id":"ITEM-3","itemData":{"DOI":"10.1111/1469-0691.12360","ISSN":"14690691","PMID":"24102785","abstract":"The mortality associated with invasive fungal infections remains high with that involving rare yeast pathogens other than Candida being no exception. This is in part due to the severe underlying conditions typically predisposing patients to these healthcare-related infections (most often severe neutropenia in patients with haematological malignancies), and in part due to the often challenging intrinsic susceptibility pattern of the pathogens that potentially leads to delayed appropriate antifungal treatment. A panel of experts of the European Society of Clinical Microbiology and Infectious Diseases (ESCMID) Fungal Infection Study Group (EFISG) and the European Confederation of Medical Mycology (ECMM) undertook a data review and compiled guidelines for the diagnostic tests and procedures for detection and management of rare invasive yeast infections. The rare yeast pathogens were defined and limited to the following genera/species: Cryptococcus adeliensis, Cryptococcus albidus, Cryptococcus curvatus, Cryptococcus flavescens, Cryptococcus laurentii and Cryptococcus uniguttulatus (often published under the name Filobasidium uniguttulatum), Malassezia furfur, Malassezia globosa, Malassezia pachydermatis and Malassezia restricta, Pseudozyma spp., Rhodotorula glutinis, Rhodotorula minuta and Rhodotorula mucilaginosa, Sporobolomyces spp., Trichosporon asahii, Trichosporon asteroides, Trichosporon dermatis, Trichosporon inkin, Trichosporon jirovecii, Trichosporon loubieri, Trichosporon mucoides and Trichosporon mycotoxinivorans and ascomycetous ones: Geotrichum candidum, Kodamaea ohmeri, Saccharomyces cerevisiae (incl. S. boulardii) and Saprochaete capitatae (Magnusiomyces (Blastoschizomyces) capitatus formerly named Trichosporon capitatum or Geotrichum (Dipodascus) capitatum) and Saprochaete clavata. Recommendations about the microbiological investigation and detection of invasive infection were made and current knowledge on the most appropriate antifungal and supportive treatment was reviewed. In addition, remarks about antifungal susceptibility testing were made. © 2013 European Society of Clinical Microbiology and Infectious Diseases.","author":[{"dropping-particle":"","family":"Arendrup","given":"M. C.","non-dropping-particle":"","parse-names":false,"suffix":""},{"dropping-particle":"","family":"Boekhout","given":"T.","non-dropping-particle":"","parse-names":false,"suffix":""},{"dropping-particle":"","family":"Akova","given":"M.","non-dropping-particle":"","parse-names":false,"suffix":""},{"dropping-particle":"","family":"Meis","given":"J. F.","non-dropping-particle":"","parse-names":false,"suffix":""},{"dropping-particle":"","family":"Cornely","given":"O. A.","non-dropping-particle":"","parse-names":false,"suffix":""},{"dropping-particle":"","family":"Lortholary","given":"O.","non-dropping-particle":"","parse-names":false,"suffix":""},{"dropping-particle":"","family":"Arikan-Akdagli","given":"Sevtap","non-dropping-particle":"","parse-names":false,"suffix":""},{"dropping-particle":"","family":"Cuenca-Estrella","given":"Manuel","non-dropping-particle":"","parse-names":false,"suffix":""},{"dropping-particle":"","family":"Dannaoui","given":"Eric","non-dropping-particle":"","parse-names":false,"suffix":""},{"dropping-particle":"","family":"Diepeningen","given":"Anne D.","non-dropping-particle":"van","parse-names":false,"suffix":""},{"dropping-particle":"","family":"Groll","given":"Andreas H.","non-dropping-particle":"","parse-names":false,"suffix":""},{"dropping-particle":"","family":"Guarro","given":"Josep","non-dropping-particle":"","parse-names":false,"suffix":""},{"dropping-particle":"","family":"Guinea","given":"Jesús","non-dropping-particle":"","parse-names":false,"suffix":""},{"dropping-particle":"","family":"Hope","given":"William","non-dropping-particle":"","parse-names":false,"suffix":""},{"dropping-particle":"","family":"Lackner","given":"Michaela","non-dropping-particle":"","parse-names":false,"suffix":""},{"dropping-particle":"","family":"Lass-Flörl","given":"Cornelia","non-dropping-particle":"","parse-names":false,"suffix":""},{"dropping-particle":"","family":"Lagrou","given":"Katrien","non-dropping-particle":"","parse-names":false,"suffix":""},{"dropping-particle":"","family":"Lanternier","given":"Fanny","non-dropping-particle":"","parse-names":false,"suffix":""},{"dropping-particle":"","family":"Meletiadis","given":"Joseph","non-dropping-particle":"","parse-names":false,"suffix":""},{"dropping-particle":"","family":"Munoz","given":"Patricia","non-dropping-particle":"","parse-names":false,"suffix":""},{"dropping-particle":"","family":"Pagano","given":"Livio","non-dropping-particle":"","parse-names":false,"suffix":""},{"dropping-particle":"","family":"Richardson","given":"Malcolm D.","non-dropping-particle":"","parse-names":false,"suffix":""},{"dropping-particle":"","family":"Roilides","given":"Emmanuel","non-dropping-particle":"","parse-names":false,"suffix":""},{"dropping-particle":"","family":"Tortorano","given":"Anna Maria","non-dropping-particle":"","parse-names":false,"suffix":""},{"dropping-particle":"","family":"Ullmann","given":"Andrew J.","non-dropping-particle":"","parse-names":false,"suffix":""}],"container-title":"Clinical Microbiology and Infection","id":"ITEM-3","issue":"S3","issued":{"date-parts":[["2014"]]},"page":"76-98","publisher":"Blackwell Publishing Ltd","title":"ESCMID and ECMM joint clinical guidelines for the diagnosis and management of rare invasive yeast infections","type":"article-journal","volume":"20"},"uris":["http://www.mendeley.com/documents/?uuid=5a6b3e24-e337-3cd9-bb20-08cd60455554"]},{"id":"ITEM-4","itemData":{"DOI":"10.1111/1469-0691.12465","ISSN":"14690691","PMID":"24548001","abstract":"Mycoses summarized in the hyalohyphomycosis group are heterogeneous, defined by the presence of hyaline (non-dematiaceous) hyphae. The number of organisms implicated in hyalohyphomycosis is increasing and the most clinically important species belong to the genera Fusarium, Scedosporium, Acremonium, Scopulariopsis, Purpureocillium and Paecilomyces. Severely immunocompromised patients are particularly vulnerable to infection, and clinical manifestations range from colonization to chronic localized lesions to acute invasive and/or disseminated diseases. Diagnosis usually requires isolation and identification of the infecting pathogen. A poor prognosis is associated with fusariosis and early therapy of localized disease is important to prevent progression to a more aggressive or disseminated infection. Therapy should include voriconazole and surgical debridement where possible or posaconazole as salvage treatment. Voriconazole represents the first-line treatment of infections due to members of the genus Scedosporium. For Acremonium spp., Scopulariopsis spp., Purpureocillium spp. and Paecilomyces spp. the optimal antifungal treatment has not been established. Management usually consists of surgery and antifungal treatment, depending on the clinical presentation. © 2014 European Society of Clinical Microbiology and Infectious Diseases.","author":[{"dropping-particle":"","family":"Tortorano","given":"A. M.","non-dropping-particle":"","parse-names":false,"suffix":""},{"dropping-particle":"","family":"Richardson","given":"M.","non-dropping-particle":"","parse-names":false,"suffix":""},{"dropping-particle":"","family":"Roilides","given":"E.","non-dropping-particle":"","parse-names":false,"suffix":""},{"dropping-particle":"","family":"Diepeningen","given":"A.","non-dropping-particle":"van","parse-names":false,"suffix":""},{"dropping-particle":"","family":"Caira","given":"M.","non-dropping-particle":"","parse-names":false,"suffix":""},{"dropping-particle":"","family":"Munoz","given":"P.","non-dropping-particle":"","parse-names":false,"suffix":""},{"dropping-particle":"","family":"Johnson","given":"E.","non-dropping-particle":"","parse-names":false,"suffix":""},{"dropping-particle":"","family":"Meletiadis","given":"J.","non-dropping-particle":"","parse-names":false,"suffix":""},{"dropping-particle":"","family":"Pana","given":"Z. D.","non-dropping-particle":"","parse-names":false,"suffix":""},{"dropping-particle":"","family":"Lackner","given":"M.","non-dropping-particle":"","parse-names":false,"suffix":""},{"dropping-particle":"","family":"Verweij","given":"P.","non-dropping-particle":"","parse-names":false,"suffix":""},{"dropping-particle":"","family":"Freiberger","given":"T.","non-dropping-particle":"","parse-names":false,"suffix":""},{"dropping-particle":"","family":"Cornely","given":"O. A.","non-dropping-particle":"","parse-names":false,"suffix":""},{"dropping-particle":"","family":"Arikan-Akdagli","given":"S.","non-dropping-particle":"","parse-names":false,"suffix":""},{"dropping-particle":"","family":"Dannaoui","given":"E.","non-dropping-particle":"","parse-names":false,"suffix":""},{"dropping-particle":"","family":"Groll","given":"A. H.","non-dropping-particle":"","parse-names":false,"suffix":""},{"dropping-particle":"","family":"Lagrou","given":"K.","non-dropping-particle":"","parse-names":false,"suffix":""},{"dropping-particle":"","family":"Chakrabarti","given":"A.","non-dropping-particle":"","parse-names":false,"suffix":""},{"dropping-particle":"","family":"Lanternier","given":"F.","non-dropping-particle":"","parse-names":false,"suffix":""},{"dropping-particle":"","family":"Pagano","given":"L.","non-dropping-particle":"","parse-names":false,"suffix":""},{"dropping-particle":"","family":"Skiada","given":"A.","non-dropping-particle":"","parse-names":false,"suffix":""},{"dropping-particle":"","family":"Akova","given":"M.","non-dropping-particle":"","parse-names":false,"suffix":""},{"dropping-particle":"","family":"Arendrup","given":"M. C.","non-dropping-particle":"","parse-names":false,"suffix":""},{"dropping-particle":"","family":"Boekhout","given":"T.","non-dropping-particle":"","parse-names":false,"suffix":""},{"dropping-particle":"","family":"Chowdhary","given":"A.","non-dropping-particle":"","parse-names":false,"suffix":""},{"dropping-particle":"","family":"Cuenca-Estrella","given":"M.","non-dropping-particle":"","parse-names":false,"suffix":""},{"dropping-particle":"","family":"Guinea","given":"J.","non-dropping-particle":"","parse-names":false,"suffix":""},{"dropping-particle":"","family":"Guarro","given":"J.","non-dropping-particle":"","parse-names":false,"suffix":""},{"dropping-particle":"","family":"Hoog","given":"S.","non-dropping-particle":"de","parse-names":false,"suffix":""},{"dropping-particle":"","family":"Hope","given":"W.","non-dropping-particle":"","parse-names":false,"suffix":""},{"dropping-particle":"","family":"Kathuria","given":"S.","non-dropping-particle":"","parse-names":false,"suffix":""},{"dropping-particle":"","family":"Lortholary","given":"O.","non-dropping-particle":"","parse-names":false,"suffix":""},{"dropping-particle":"","family":"Meis","given":"J. F.","non-dropping-particle":"","parse-names":false,"suffix":""},{"dropping-particle":"","family":"Ullmann","given":"A. J.","non-dropping-particle":"","parse-names":false,"suffix":""},{"dropping-particle":"","family":"Petrikkos","given":"G.","non-dropping-particle":"","parse-names":false,"suffix":""},{"dropping-particle":"","family":"Lass-Flörl","given":"C.","non-dropping-particle":"","parse-names":false,"suffix":""}],"container-title":"Clinical Microbiology and Infection","id":"ITEM-4","issue":"S3","issued":{"date-parts":[["2014"]]},"page":"27-46","publisher":"Blackwell Publishing Ltd","title":"ESCMID and ECMM joint guidelines on diagnosis and management of hyalohyphomycosis: Fusarium spp., Scedosporium spp. and others","type":"article-journal","volume":"20"},"uris":["http://www.mendeley.com/documents/?uuid=a2a77bc6-7c62-3766-9352-c711579a66f5"]}],"mendeley":{"formattedCitation":"[124,125,129,134]","plainTextFormattedCitation":"[124,125,129,134]","previouslyFormattedCitation":"[1–3,8]"},"properties":{"noteIndex":0},"schema":"https://github.com/citation-style-language/schema/raw/master/csl-citation.json"}</w:instrText>
      </w:r>
      <w:r>
        <w:rPr>
          <w:b/>
        </w:rPr>
        <w:fldChar w:fldCharType="separate"/>
      </w:r>
      <w:r w:rsidR="00A67ED2" w:rsidRPr="00A67ED2">
        <w:rPr>
          <w:noProof/>
        </w:rPr>
        <w:t>[124,125,129,134]</w:t>
      </w:r>
      <w:r>
        <w:rPr>
          <w:b/>
        </w:rPr>
        <w:fldChar w:fldCharType="end"/>
      </w:r>
    </w:p>
    <w:p w14:paraId="43BB109F" w14:textId="77777777" w:rsidR="00907B9C" w:rsidRPr="00144984" w:rsidRDefault="00907B9C" w:rsidP="00907B9C">
      <w:pPr>
        <w:ind w:right="50" w:firstLine="708"/>
        <w:rPr>
          <w:b/>
          <w:bCs/>
        </w:rPr>
      </w:pPr>
      <w:r>
        <w:rPr>
          <w:bCs/>
        </w:rPr>
        <w:t>У</w:t>
      </w:r>
      <w:r w:rsidRPr="00144984">
        <w:rPr>
          <w:bCs/>
        </w:rPr>
        <w:t xml:space="preserve"> </w:t>
      </w:r>
      <w:r>
        <w:rPr>
          <w:bCs/>
        </w:rPr>
        <w:t>гематологических</w:t>
      </w:r>
      <w:r w:rsidRPr="00144984">
        <w:rPr>
          <w:bCs/>
        </w:rPr>
        <w:t xml:space="preserve"> </w:t>
      </w:r>
      <w:r>
        <w:rPr>
          <w:bCs/>
        </w:rPr>
        <w:t>пациентов</w:t>
      </w:r>
      <w:r w:rsidRPr="00144984">
        <w:rPr>
          <w:bCs/>
        </w:rPr>
        <w:t xml:space="preserve"> </w:t>
      </w:r>
      <w:r>
        <w:rPr>
          <w:bCs/>
        </w:rPr>
        <w:t>ввиду</w:t>
      </w:r>
      <w:r w:rsidRPr="00144984">
        <w:rPr>
          <w:bCs/>
        </w:rPr>
        <w:t xml:space="preserve"> </w:t>
      </w:r>
      <w:r>
        <w:rPr>
          <w:bCs/>
        </w:rPr>
        <w:t>иммуносупрессии</w:t>
      </w:r>
      <w:r w:rsidRPr="00144984">
        <w:rPr>
          <w:bCs/>
        </w:rPr>
        <w:t xml:space="preserve">, </w:t>
      </w:r>
      <w:r>
        <w:rPr>
          <w:bCs/>
        </w:rPr>
        <w:t>вызванной</w:t>
      </w:r>
      <w:r w:rsidRPr="00144984">
        <w:rPr>
          <w:bCs/>
        </w:rPr>
        <w:t xml:space="preserve"> </w:t>
      </w:r>
      <w:r>
        <w:rPr>
          <w:bCs/>
        </w:rPr>
        <w:t>как</w:t>
      </w:r>
      <w:r w:rsidRPr="00144984">
        <w:rPr>
          <w:bCs/>
        </w:rPr>
        <w:t xml:space="preserve"> </w:t>
      </w:r>
      <w:r>
        <w:rPr>
          <w:bCs/>
        </w:rPr>
        <w:t>самим</w:t>
      </w:r>
      <w:r w:rsidRPr="00144984">
        <w:rPr>
          <w:bCs/>
        </w:rPr>
        <w:t xml:space="preserve"> </w:t>
      </w:r>
      <w:r>
        <w:rPr>
          <w:bCs/>
        </w:rPr>
        <w:t>заболеванием</w:t>
      </w:r>
      <w:r w:rsidRPr="00144984">
        <w:rPr>
          <w:bCs/>
        </w:rPr>
        <w:t xml:space="preserve">, </w:t>
      </w:r>
      <w:r>
        <w:rPr>
          <w:bCs/>
        </w:rPr>
        <w:t>так</w:t>
      </w:r>
      <w:r w:rsidRPr="00144984">
        <w:rPr>
          <w:bCs/>
        </w:rPr>
        <w:t xml:space="preserve"> </w:t>
      </w:r>
      <w:r>
        <w:rPr>
          <w:bCs/>
        </w:rPr>
        <w:t>и</w:t>
      </w:r>
      <w:r w:rsidRPr="00144984">
        <w:rPr>
          <w:bCs/>
        </w:rPr>
        <w:t xml:space="preserve"> </w:t>
      </w:r>
      <w:r>
        <w:rPr>
          <w:bCs/>
        </w:rPr>
        <w:t>специфической</w:t>
      </w:r>
      <w:r w:rsidRPr="00144984">
        <w:rPr>
          <w:bCs/>
        </w:rPr>
        <w:t xml:space="preserve"> </w:t>
      </w:r>
      <w:r>
        <w:rPr>
          <w:bCs/>
        </w:rPr>
        <w:t>терапией</w:t>
      </w:r>
      <w:r w:rsidRPr="00144984">
        <w:rPr>
          <w:bCs/>
        </w:rPr>
        <w:t xml:space="preserve"> </w:t>
      </w:r>
      <w:r>
        <w:rPr>
          <w:bCs/>
        </w:rPr>
        <w:t>гематологического</w:t>
      </w:r>
      <w:r w:rsidRPr="00144984">
        <w:rPr>
          <w:bCs/>
        </w:rPr>
        <w:t xml:space="preserve"> </w:t>
      </w:r>
      <w:r>
        <w:rPr>
          <w:bCs/>
        </w:rPr>
        <w:t>заболевания</w:t>
      </w:r>
      <w:r w:rsidRPr="00144984">
        <w:rPr>
          <w:bCs/>
        </w:rPr>
        <w:t xml:space="preserve">, </w:t>
      </w:r>
      <w:r>
        <w:rPr>
          <w:bCs/>
        </w:rPr>
        <w:t>могут</w:t>
      </w:r>
      <w:r w:rsidRPr="00144984">
        <w:rPr>
          <w:bCs/>
        </w:rPr>
        <w:t xml:space="preserve"> </w:t>
      </w:r>
      <w:r>
        <w:rPr>
          <w:bCs/>
        </w:rPr>
        <w:t>встречаться</w:t>
      </w:r>
      <w:r w:rsidRPr="00144984">
        <w:rPr>
          <w:bCs/>
        </w:rPr>
        <w:t xml:space="preserve"> </w:t>
      </w:r>
      <w:r w:rsidRPr="00E41F19">
        <w:rPr>
          <w:bCs/>
        </w:rPr>
        <w:t>инвазивные</w:t>
      </w:r>
      <w:r w:rsidRPr="00144984">
        <w:rPr>
          <w:bCs/>
        </w:rPr>
        <w:t xml:space="preserve"> </w:t>
      </w:r>
      <w:r w:rsidRPr="00E41F19">
        <w:rPr>
          <w:bCs/>
        </w:rPr>
        <w:t>микозы</w:t>
      </w:r>
      <w:r w:rsidRPr="00144984">
        <w:rPr>
          <w:bCs/>
        </w:rPr>
        <w:t xml:space="preserve">, </w:t>
      </w:r>
      <w:r w:rsidRPr="00E41F19">
        <w:rPr>
          <w:bCs/>
        </w:rPr>
        <w:t>вызванные</w:t>
      </w:r>
      <w:r w:rsidRPr="00144984">
        <w:rPr>
          <w:bCs/>
        </w:rPr>
        <w:t xml:space="preserve"> </w:t>
      </w:r>
      <w:r w:rsidRPr="00E41F19">
        <w:rPr>
          <w:bCs/>
        </w:rPr>
        <w:t>редкими</w:t>
      </w:r>
      <w:r w:rsidRPr="00144984">
        <w:rPr>
          <w:bCs/>
        </w:rPr>
        <w:t xml:space="preserve"> </w:t>
      </w:r>
      <w:r w:rsidRPr="00E41F19">
        <w:rPr>
          <w:bCs/>
        </w:rPr>
        <w:t>плесневыми</w:t>
      </w:r>
      <w:r w:rsidRPr="00144984">
        <w:rPr>
          <w:bCs/>
        </w:rPr>
        <w:t xml:space="preserve"> </w:t>
      </w:r>
      <w:r w:rsidRPr="00E41F19">
        <w:rPr>
          <w:bCs/>
        </w:rPr>
        <w:t>грибами</w:t>
      </w:r>
      <w:r w:rsidRPr="00144984">
        <w:rPr>
          <w:bCs/>
        </w:rPr>
        <w:t>.</w:t>
      </w:r>
    </w:p>
    <w:p w14:paraId="7A797EDF" w14:textId="77777777" w:rsidR="00907B9C" w:rsidRPr="00144984" w:rsidRDefault="00907B9C" w:rsidP="00907B9C">
      <w:pPr>
        <w:ind w:right="50" w:firstLine="709"/>
        <w:contextualSpacing/>
        <w:rPr>
          <w:i/>
          <w:iCs/>
          <w:u w:val="single"/>
        </w:rPr>
      </w:pPr>
      <w:r w:rsidRPr="00686506">
        <w:rPr>
          <w:i/>
          <w:iCs/>
          <w:u w:val="single"/>
        </w:rPr>
        <w:t>Фузариоз</w:t>
      </w:r>
      <w:r w:rsidRPr="00144984">
        <w:rPr>
          <w:i/>
          <w:iCs/>
          <w:u w:val="single"/>
        </w:rPr>
        <w:t xml:space="preserve"> </w:t>
      </w:r>
    </w:p>
    <w:p w14:paraId="22052C6C" w14:textId="77777777" w:rsidR="00907B9C" w:rsidRPr="00DA2BC8" w:rsidRDefault="00907B9C" w:rsidP="00907B9C">
      <w:pPr>
        <w:ind w:right="50" w:firstLine="709"/>
        <w:contextualSpacing/>
      </w:pPr>
      <w:r w:rsidRPr="00DA2BC8">
        <w:t>Основными</w:t>
      </w:r>
      <w:r w:rsidRPr="00144984">
        <w:t xml:space="preserve"> </w:t>
      </w:r>
      <w:r w:rsidRPr="00DA2BC8">
        <w:t>возбудителями</w:t>
      </w:r>
      <w:r w:rsidRPr="00144984">
        <w:t xml:space="preserve"> </w:t>
      </w:r>
      <w:r w:rsidRPr="00DA2BC8">
        <w:t>являются</w:t>
      </w:r>
      <w:r w:rsidRPr="00144984">
        <w:t xml:space="preserve"> </w:t>
      </w:r>
      <w:r w:rsidRPr="00FB256D">
        <w:rPr>
          <w:i/>
          <w:iCs/>
          <w:lang w:val="en-US"/>
        </w:rPr>
        <w:t>Fusarium</w:t>
      </w:r>
      <w:r w:rsidRPr="00144984">
        <w:rPr>
          <w:i/>
          <w:iCs/>
        </w:rPr>
        <w:t xml:space="preserve"> </w:t>
      </w:r>
      <w:r w:rsidRPr="00FB256D">
        <w:rPr>
          <w:i/>
          <w:iCs/>
          <w:lang w:val="en-US"/>
        </w:rPr>
        <w:t>solani</w:t>
      </w:r>
      <w:r w:rsidRPr="00144984">
        <w:t xml:space="preserve"> </w:t>
      </w:r>
      <w:r w:rsidRPr="00DA2BC8">
        <w:t>и</w:t>
      </w:r>
      <w:r w:rsidRPr="00144984">
        <w:t xml:space="preserve"> </w:t>
      </w:r>
      <w:r w:rsidRPr="00FB256D">
        <w:rPr>
          <w:i/>
          <w:iCs/>
          <w:lang w:val="en-US"/>
        </w:rPr>
        <w:t>Fusarium</w:t>
      </w:r>
      <w:r w:rsidRPr="00144984">
        <w:rPr>
          <w:i/>
          <w:iCs/>
        </w:rPr>
        <w:t xml:space="preserve"> </w:t>
      </w:r>
      <w:r w:rsidRPr="00FB256D">
        <w:rPr>
          <w:i/>
          <w:iCs/>
          <w:lang w:val="en-US"/>
        </w:rPr>
        <w:t>oxysporum</w:t>
      </w:r>
      <w:r w:rsidRPr="00144984">
        <w:t xml:space="preserve">. </w:t>
      </w:r>
      <w:r w:rsidRPr="00DA2BC8">
        <w:t>Фузариоз</w:t>
      </w:r>
      <w:r w:rsidRPr="00144984">
        <w:t xml:space="preserve"> </w:t>
      </w:r>
      <w:r w:rsidRPr="00DA2BC8">
        <w:t>развивается</w:t>
      </w:r>
      <w:r w:rsidRPr="00144984">
        <w:t xml:space="preserve"> </w:t>
      </w:r>
      <w:r w:rsidRPr="00DA2BC8">
        <w:t>преимущественно</w:t>
      </w:r>
      <w:r w:rsidRPr="00144984">
        <w:t xml:space="preserve"> </w:t>
      </w:r>
      <w:r w:rsidRPr="00DA2BC8">
        <w:t>у</w:t>
      </w:r>
      <w:r w:rsidRPr="00144984">
        <w:t xml:space="preserve"> </w:t>
      </w:r>
      <w:r>
        <w:t>онкогематологических</w:t>
      </w:r>
      <w:r w:rsidRPr="00144984">
        <w:t xml:space="preserve"> </w:t>
      </w:r>
      <w:r>
        <w:t>пациентов</w:t>
      </w:r>
      <w:r w:rsidRPr="00DA2BC8">
        <w:t xml:space="preserve">, в основном у </w:t>
      </w:r>
      <w:r>
        <w:t>пациентов с острыми миелоидными лейкозами</w:t>
      </w:r>
      <w:r w:rsidRPr="00DA2BC8">
        <w:t xml:space="preserve"> и у реципиентов аллогенных СГК. Ведущим фактором риска возникновения фузариоза является наличие гранулоцитопении. В отличие от других видов мицелиальных грибов, основным проявлением инфекции, вызванной </w:t>
      </w:r>
      <w:r w:rsidRPr="00DA2BC8">
        <w:rPr>
          <w:i/>
          <w:iCs/>
        </w:rPr>
        <w:lastRenderedPageBreak/>
        <w:t xml:space="preserve">Fusarium </w:t>
      </w:r>
      <w:r w:rsidRPr="00DA2BC8">
        <w:t xml:space="preserve">spp., является фунгемия (40-60%) с образованием септико-пиемических очагов на коже (60-80%), а также вовлечение в инфекционный процесс легких и придаточных пазух носа. Для фузариоза характерно наличие на коже множества септико-пиемических очагов в виде уплотненных эритематозных макул или папул, болезненных, с некрозом в центре. Летальность при фузариозе высокая и достигает 50-70% у иммунокомпрометированных больных. </w:t>
      </w:r>
      <w:r w:rsidRPr="00DA2BC8">
        <w:rPr>
          <w:bCs/>
        </w:rPr>
        <w:t xml:space="preserve">Для диагностики фузариоза должна быть получена культура </w:t>
      </w:r>
      <w:r w:rsidRPr="00DA2BC8">
        <w:rPr>
          <w:i/>
          <w:iCs/>
        </w:rPr>
        <w:t>Fusarium</w:t>
      </w:r>
      <w:r w:rsidRPr="00DA2BC8">
        <w:t xml:space="preserve"> spp. из крови или других стерильных образцов (биоптаты кожи и органов, аспират придаточных пазух носа), жидкости БАЛ или мокроты. При фузариозе может быть определен ложно-положительный антиген </w:t>
      </w:r>
      <w:r w:rsidRPr="00DA2BC8">
        <w:rPr>
          <w:i/>
          <w:iCs/>
        </w:rPr>
        <w:t>Aspergillus</w:t>
      </w:r>
      <w:r w:rsidRPr="00DA2BC8">
        <w:t xml:space="preserve"> (галактоманнан). Радиологические изменения в легких и придаточных пазухах носа при фузариозе неспецифичны и схожи с инвазивным аспергиллезом. </w:t>
      </w:r>
      <w:r w:rsidRPr="00DA2BC8">
        <w:rPr>
          <w:iCs/>
        </w:rPr>
        <w:t>Грибы</w:t>
      </w:r>
      <w:r w:rsidRPr="00DA2BC8">
        <w:rPr>
          <w:i/>
          <w:iCs/>
        </w:rPr>
        <w:t xml:space="preserve"> Fusaruim </w:t>
      </w:r>
      <w:r w:rsidRPr="00DA2BC8">
        <w:t xml:space="preserve">spp. характеризуются низкими параметрами чувствительности и могут быть устойчивыми ко всем препаратам из группы азолов. </w:t>
      </w:r>
    </w:p>
    <w:p w14:paraId="3B85E501" w14:textId="77777777" w:rsidR="00907B9C" w:rsidRPr="00DA2BC8" w:rsidRDefault="00907B9C" w:rsidP="00907B9C">
      <w:pPr>
        <w:ind w:right="50" w:firstLine="709"/>
        <w:contextualSpacing/>
        <w:rPr>
          <w:b/>
          <w:bCs/>
        </w:rPr>
      </w:pPr>
      <w:r w:rsidRPr="00DA2BC8">
        <w:rPr>
          <w:bCs/>
        </w:rPr>
        <w:t xml:space="preserve">Препаратом выбора для лечения является </w:t>
      </w:r>
      <w:r w:rsidRPr="00DA2BC8">
        <w:t xml:space="preserve">вориконазол (в 1-й день по 6 мг/кг внутривенно 2 раза в сутки, затем по 4 мг/кг внутривенно 2 раза в сутки, с переходом на пероральную форму по 200 мг 2 раза в сутки, прием натощак или через 1 час после еды), </w:t>
      </w:r>
      <w:r w:rsidRPr="00DA2BC8">
        <w:rPr>
          <w:bCs/>
        </w:rPr>
        <w:t xml:space="preserve">альтернативные препараты - </w:t>
      </w:r>
      <w:r w:rsidRPr="00DA2BC8">
        <w:t>липосомальный амфотерицин В (5 мг/кг)</w:t>
      </w:r>
      <w:r w:rsidRPr="00DA2BC8">
        <w:rPr>
          <w:bCs/>
        </w:rPr>
        <w:t>, л</w:t>
      </w:r>
      <w:r w:rsidRPr="00DA2BC8">
        <w:t>ипидный комплекс амфотерицина В (5 мг/кг), позаконазол (суспензия, по 400 мг 2 раза в сутки, после еды).</w:t>
      </w:r>
      <w:r w:rsidRPr="00DA2BC8">
        <w:rPr>
          <w:bCs/>
        </w:rPr>
        <w:t xml:space="preserve"> </w:t>
      </w:r>
      <w:r w:rsidRPr="00DA2BC8">
        <w:t xml:space="preserve">Не показано сочетание противогрибковых препаратов в качестве стартовой терапии. Не назначают эхинокандин ввиду природной устойчивости. </w:t>
      </w:r>
    </w:p>
    <w:p w14:paraId="1AAF32EE" w14:textId="77777777" w:rsidR="00907B9C" w:rsidRPr="00686506" w:rsidRDefault="00907B9C" w:rsidP="00907B9C">
      <w:pPr>
        <w:ind w:right="51" w:firstLine="709"/>
        <w:contextualSpacing/>
        <w:rPr>
          <w:i/>
          <w:iCs/>
          <w:u w:val="single"/>
        </w:rPr>
      </w:pPr>
      <w:r w:rsidRPr="00686506">
        <w:rPr>
          <w:i/>
          <w:iCs/>
          <w:u w:val="single"/>
        </w:rPr>
        <w:t xml:space="preserve">Сцедоспориоз </w:t>
      </w:r>
    </w:p>
    <w:p w14:paraId="4E418696" w14:textId="77777777" w:rsidR="00907B9C" w:rsidRPr="00DA2BC8" w:rsidRDefault="00907B9C" w:rsidP="00907B9C">
      <w:pPr>
        <w:ind w:right="51" w:firstLine="709"/>
        <w:contextualSpacing/>
      </w:pPr>
      <w:r w:rsidRPr="00DA2BC8">
        <w:t xml:space="preserve">Основными возбудителя сцедоспориоза являются </w:t>
      </w:r>
      <w:r w:rsidRPr="00DA2BC8">
        <w:rPr>
          <w:i/>
          <w:iCs/>
        </w:rPr>
        <w:t>Scedosporium apiospermium</w:t>
      </w:r>
      <w:r w:rsidRPr="00DA2BC8">
        <w:t xml:space="preserve"> и </w:t>
      </w:r>
      <w:r w:rsidRPr="00DA2BC8">
        <w:rPr>
          <w:i/>
          <w:iCs/>
        </w:rPr>
        <w:t>Scedosporium prolificans</w:t>
      </w:r>
      <w:r w:rsidRPr="00DA2BC8">
        <w:t xml:space="preserve">. У иммунокомпрометированных больных преобладает диссеминированная форма инфекции с преимущественным поражением кожи, придаточных пазух носа, легких и центральной нервной системы. При сцедоспориозе головного мозга, в отличие от инвазивного аспергиллеза, может не быть изменений в легких или придаточных пазухах носа. </w:t>
      </w:r>
      <w:r w:rsidRPr="00DA2BC8">
        <w:rPr>
          <w:i/>
          <w:iCs/>
        </w:rPr>
        <w:t>S. prolificans</w:t>
      </w:r>
      <w:r w:rsidRPr="00DA2BC8">
        <w:t xml:space="preserve">, как и </w:t>
      </w:r>
      <w:r w:rsidRPr="00DA2BC8">
        <w:rPr>
          <w:i/>
          <w:iCs/>
        </w:rPr>
        <w:t>Fusarium</w:t>
      </w:r>
      <w:r w:rsidRPr="00DA2BC8">
        <w:t xml:space="preserve"> spp., с высокой частотой (&gt;50%) выделяют из гемокультуры. Для инфекций, вызванных </w:t>
      </w:r>
      <w:r w:rsidRPr="00DA2BC8">
        <w:rPr>
          <w:i/>
          <w:iCs/>
        </w:rPr>
        <w:t>S. prolificans</w:t>
      </w:r>
      <w:r w:rsidRPr="00DA2BC8">
        <w:t xml:space="preserve">, характерна очень высокая летальность (до 95%) среди больных опухолями системы крови ввиду наличия устойчивости этого микроорганизма ко многим противогрибковым препаратам, а в ряде случаев ко всем антимикотикам. </w:t>
      </w:r>
      <w:r w:rsidRPr="00DA2BC8">
        <w:rPr>
          <w:bCs/>
        </w:rPr>
        <w:t xml:space="preserve">Критерии диагностики сцедоспориоза включают </w:t>
      </w:r>
      <w:r w:rsidRPr="00DA2BC8">
        <w:t xml:space="preserve">выделение </w:t>
      </w:r>
      <w:r w:rsidRPr="00DA2BC8">
        <w:rPr>
          <w:i/>
          <w:iCs/>
        </w:rPr>
        <w:t xml:space="preserve">Scedosporium </w:t>
      </w:r>
      <w:r w:rsidRPr="00DA2BC8">
        <w:t xml:space="preserve">spp. из гемокультуры или других стерильных образцов (аспират из придаточных пазух носа, биоптаты тканей и органов), жидкости БАЛ, мокроты. </w:t>
      </w:r>
      <w:r w:rsidRPr="00DA2BC8">
        <w:rPr>
          <w:bCs/>
        </w:rPr>
        <w:t>Препарат выбора –</w:t>
      </w:r>
      <w:r w:rsidRPr="00DA2BC8">
        <w:t xml:space="preserve"> вориконазол (дозирование как при аспергиллезе), </w:t>
      </w:r>
      <w:r w:rsidRPr="00DA2BC8">
        <w:rPr>
          <w:bCs/>
        </w:rPr>
        <w:t>альтернативные - л</w:t>
      </w:r>
      <w:r w:rsidRPr="00DA2BC8">
        <w:t xml:space="preserve">ипосомальный или липидный комплекс амфотерцина В </w:t>
      </w:r>
      <w:r w:rsidRPr="00DA2BC8">
        <w:lastRenderedPageBreak/>
        <w:t>(5 мг/кг) или позаконазол (по 400 мг х 2 раза в сутки). Возможно применение сочетания антимикотиков.</w:t>
      </w:r>
    </w:p>
    <w:p w14:paraId="42D51630" w14:textId="77777777" w:rsidR="00907B9C" w:rsidRPr="00686506" w:rsidRDefault="00907B9C" w:rsidP="00907B9C">
      <w:pPr>
        <w:ind w:right="51" w:firstLine="709"/>
        <w:contextualSpacing/>
        <w:rPr>
          <w:i/>
          <w:iCs/>
          <w:u w:val="single"/>
        </w:rPr>
      </w:pPr>
      <w:r w:rsidRPr="00686506">
        <w:rPr>
          <w:i/>
          <w:iCs/>
          <w:u w:val="single"/>
        </w:rPr>
        <w:t>Инфекции, вызванные Acremonium spp.</w:t>
      </w:r>
    </w:p>
    <w:p w14:paraId="03C10649" w14:textId="77777777" w:rsidR="00907B9C" w:rsidRPr="00DA2BC8" w:rsidRDefault="00907B9C" w:rsidP="00907B9C">
      <w:pPr>
        <w:ind w:right="51" w:firstLine="709"/>
        <w:contextualSpacing/>
      </w:pPr>
      <w:r>
        <w:t>Эти г</w:t>
      </w:r>
      <w:r w:rsidRPr="00DA2BC8">
        <w:t xml:space="preserve">рибы широко распространены в окружающей среде. Описаны случаи перитонита, инфицирования диализной фистулы, остеомиелита, менингита после спинномозговой анестезии, эндокардита после операции на клапанах, пневмонии, вызванные </w:t>
      </w:r>
      <w:r w:rsidRPr="00DA2BC8">
        <w:rPr>
          <w:i/>
          <w:iCs/>
        </w:rPr>
        <w:t xml:space="preserve">Acremonium </w:t>
      </w:r>
      <w:r w:rsidRPr="00DA2BC8">
        <w:t xml:space="preserve">spp., инфекции кровотока. Диагностика инфекций, вызванных </w:t>
      </w:r>
      <w:r w:rsidRPr="00DA2BC8">
        <w:rPr>
          <w:i/>
          <w:iCs/>
        </w:rPr>
        <w:t>Acremonium</w:t>
      </w:r>
      <w:r w:rsidRPr="00DA2BC8">
        <w:t xml:space="preserve"> spp</w:t>
      </w:r>
      <w:r>
        <w:t>. включает выделение культуры этих</w:t>
      </w:r>
      <w:r w:rsidRPr="00DA2BC8">
        <w:t xml:space="preserve"> грибов из локуса поражения</w:t>
      </w:r>
      <w:r>
        <w:t>, выявленного при соответствующей инструментальной диагностике (УЗИ, ЭхоКГ, КТ/СКТ, МРТ пораженных областей) и манипуляциях – люмбальная пункция, плевральная пункция, пункция брюшной полости, пункция/биопсия очага поражения</w:t>
      </w:r>
      <w:r w:rsidRPr="00DA2BC8">
        <w:t>. Лечение проводится вориконазолом или амфотерицином В или позаконазолом (стандартные дозы).</w:t>
      </w:r>
    </w:p>
    <w:p w14:paraId="1F1ABFA4" w14:textId="77777777" w:rsidR="00907B9C" w:rsidRDefault="00907B9C" w:rsidP="00907B9C">
      <w:pPr>
        <w:ind w:right="50"/>
        <w:contextualSpacing/>
        <w:rPr>
          <w:b/>
          <w:bCs/>
        </w:rPr>
      </w:pPr>
    </w:p>
    <w:p w14:paraId="6036B4FE" w14:textId="3FE2B564" w:rsidR="00907B9C" w:rsidRPr="00084B8B" w:rsidRDefault="00907B9C" w:rsidP="00907B9C">
      <w:pPr>
        <w:ind w:right="50"/>
        <w:contextualSpacing/>
        <w:rPr>
          <w:b/>
        </w:rPr>
      </w:pPr>
      <w:r w:rsidRPr="00686506">
        <w:rPr>
          <w:bCs/>
          <w:u w:val="single"/>
        </w:rPr>
        <w:t>Диагностика и лечение пневмоцистной пневмонии</w:t>
      </w:r>
      <w:r w:rsidRPr="00084B8B">
        <w:rPr>
          <w:bCs/>
          <w:u w:val="single"/>
        </w:rPr>
        <w:t xml:space="preserve"> </w:t>
      </w:r>
      <w:r>
        <w:rPr>
          <w:b/>
        </w:rPr>
        <w:fldChar w:fldCharType="begin" w:fldLock="1"/>
      </w:r>
      <w:r w:rsidR="00A67ED2">
        <w:rPr>
          <w:b/>
        </w:rPr>
        <w:instrText>ADDIN CSL_CITATION {"citationItems":[{"id":"ITEM-1","itemData":{"author":[{"dropping-particle":"","family":"Клясова","given":"Г.А.","non-dropping-particle":"","parse-names":false,"suffix":""},{"dropping-particle":"","family":"Охмат","given":"В.А.","non-dropping-particle":"","parse-names":false,"suffix":""}],"container-title":"Алгоритмы диагностики и протоколы лечения заболеваний системы крови. Под редакцией Савченко В.Г.","id":"ITEM-1","issued":{"date-parts":[["2018"]]},"page":"1067-1114","publisher":"Москва: Практика","title":"Антимикробная терапия","type":"chapter"},"uris":["http://www.mendeley.com/documents/?uuid=bd993c26-9214-4147-919c-9e856393def0"]},{"id":"ITEM-2","itemData":{"DOI":"10.1038/bmt.2010.175","ISSN":"14765365","abstract":"In 2005, several groups, including the European Group for Blood and Marrow Transplantation, the European Organization for Treatment and Research of Cancer, the European Leukemia Net and the Immunocompromised Host Society created the European Conference on Infections in Leukemia (ECIL). The main goal of ECIL is to elaborate guidelines, or recommendations, for the management of infections in leukemia and stem cell transplant patients. The first sets of ECIL slides about the management of invasive fungal disease were made available on the web in 2006 and the papers were published in 2007. The third meeting of the group (ECIL 3) was held in September 2009 and the group updated its previous recommendations. The goal of this paper is to summarize the new proposals from ECIL 3, based on the results of studies published after the ECIL 2 meeting: (1) the prophylactic recommendations for hematopoietic stem cell transplant recipients were formulated differently, by splitting the neutropenic and the GVHD phases and taking into account recent data on voriconazole; (2) micafungin was introduced as an alternative drug for empirical antifungal therapy; (3) although several studies were published on preemptive antifungal approaches in neutropenic patients, the group decided not to propose any recommendation, as the only randomized study comparing an empirical versus a preemptive approach showed a significant excess of fungal disease in the preemptive group. © 2011 Macmillan Publishers Limited All rights reserved.","author":[{"dropping-particle":"","family":"Maertens","given":"J.","non-dropping-particle":"","parse-names":false,"suffix":""},{"dropping-particle":"","family":"Marchetti","given":"O.","non-dropping-particle":"","parse-names":false,"suffix":""},{"dropping-particle":"","family":"Herbrecht","given":"R.","non-dropping-particle":"","parse-names":false,"suffix":""},{"dropping-particle":"","family":"Cornely","given":"O. A.","non-dropping-particle":"","parse-names":false,"suffix":""},{"dropping-particle":"","family":"Flückiger","given":"U.","non-dropping-particle":"","parse-names":false,"suffix":""},{"dropping-particle":"","family":"Frre","given":"P.","non-dropping-particle":"","parse-names":false,"suffix":""},{"dropping-particle":"","family":"Gachot","given":"B.","non-dropping-particle":"","parse-names":false,"suffix":""},{"dropping-particle":"","family":"Heinz","given":"W. J.","non-dropping-particle":"","parse-names":false,"suffix":""},{"dropping-particle":"","family":"Lass-Flörl","given":"C.","non-dropping-particle":"","parse-names":false,"suffix":""},{"dropping-particle":"","family":"Ribaud","given":"P.","non-dropping-particle":"","parse-names":false,"suffix":""},{"dropping-particle":"","family":"Thiebaut","given":"A.","non-dropping-particle":"","parse-names":false,"suffix":""},{"dropping-particle":"","family":"Cordonnier","given":"C.","non-dropping-particle":"","parse-names":false,"suffix":""}],"container-title":"Bone Marrow Transplantation","id":"ITEM-2","issue":"5","issued":{"date-parts":[["2011"]]},"page":"709-718","publisher":"Nature Publishing Group","title":"European guidelines for antifungal management in leukemia and hematopoietic stem cell transplant recipients: Summary of the ECIL 32009 update","type":"article-journal","volume":"46"},"uris":["http://www.mendeley.com/documents/?uuid=84d60f1c-6ae7-4aa7-827f-5a6f8dff9f03"]},{"id":"ITEM-3","itemData":{"DOI":"10.1111/1469-0691.12360","ISSN":"14690691","PMID":"24102785","abstract":"The mortality associated with invasive fungal infections remains high with that involving rare yeast pathogens other than Candida being no exception. This is in part due to the severe underlying conditions typically predisposing patients to these healthcare-related infections (most often severe neutropenia in patients with haematological malignancies), and in part due to the often challenging intrinsic susceptibility pattern of the pathogens that potentially leads to delayed appropriate antifungal treatment. A panel of experts of the European Society of Clinical Microbiology and Infectious Diseases (ESCMID) Fungal Infection Study Group (EFISG) and the European Confederation of Medical Mycology (ECMM) undertook a data review and compiled guidelines for the diagnostic tests and procedures for detection and management of rare invasive yeast infections. The rare yeast pathogens were defined and limited to the following genera/species: Cryptococcus adeliensis, Cryptococcus albidus, Cryptococcus curvatus, Cryptococcus flavescens, Cryptococcus laurentii and Cryptococcus uniguttulatus (often published under the name Filobasidium uniguttulatum), Malassezia furfur, Malassezia globosa, Malassezia pachydermatis and Malassezia restricta, Pseudozyma spp., Rhodotorula glutinis, Rhodotorula minuta and Rhodotorula mucilaginosa, Sporobolomyces spp., Trichosporon asahii, Trichosporon asteroides, Trichosporon dermatis, Trichosporon inkin, Trichosporon jirovecii, Trichosporon loubieri, Trichosporon mucoides and Trichosporon mycotoxinivorans and ascomycetous ones: Geotrichum candidum, Kodamaea ohmeri, Saccharomyces cerevisiae (incl. S. boulardii) and Saprochaete capitatae (Magnusiomyces (Blastoschizomyces) capitatus formerly named Trichosporon capitatum or Geotrichum (Dipodascus) capitatum) and Saprochaete clavata. Recommendations about the microbiological investigation and detection of invasive infection were made and current knowledge on the most appropriate antifungal and supportive treatment was reviewed. In addition, remarks about antifungal susceptibility testing were made. © 2013 European Society of Clinical Microbiology and Infectious Diseases.","author":[{"dropping-particle":"","family":"Arendrup","given":"M. C.","non-dropping-particle":"","parse-names":false,"suffix":""},{"dropping-particle":"","family":"Boekhout","given":"T.","non-dropping-particle":"","parse-names":false,"suffix":""},{"dropping-particle":"","family":"Akova","given":"M.","non-dropping-particle":"","parse-names":false,"suffix":""},{"dropping-particle":"","family":"Meis","given":"J. F.","non-dropping-particle":"","parse-names":false,"suffix":""},{"dropping-particle":"","family":"Cornely","given":"O. A.","non-dropping-particle":"","parse-names":false,"suffix":""},{"dropping-particle":"","family":"Lortholary","given":"O.","non-dropping-particle":"","parse-names":false,"suffix":""},{"dropping-particle":"","family":"Arikan-Akdagli","given":"Sevtap","non-dropping-particle":"","parse-names":false,"suffix":""},{"dropping-particle":"","family":"Cuenca-Estrella","given":"Manuel","non-dropping-particle":"","parse-names":false,"suffix":""},{"dropping-particle":"","family":"Dannaoui","given":"Eric","non-dropping-particle":"","parse-names":false,"suffix":""},{"dropping-particle":"","family":"Diepeningen","given":"Anne D.","non-dropping-particle":"van","parse-names":false,"suffix":""},{"dropping-particle":"","family":"Groll","given":"Andreas H.","non-dropping-particle":"","parse-names":false,"suffix":""},{"dropping-particle":"","family":"Guarro","given":"Josep","non-dropping-particle":"","parse-names":false,"suffix":""},{"dropping-particle":"","family":"Guinea","given":"Jesús","non-dropping-particle":"","parse-names":false,"suffix":""},{"dropping-particle":"","family":"Hope","given":"William","non-dropping-particle":"","parse-names":false,"suffix":""},{"dropping-particle":"","family":"Lackner","given":"Michaela","non-dropping-particle":"","parse-names":false,"suffix":""},{"dropping-particle":"","family":"Lass-Flörl","given":"Cornelia","non-dropping-particle":"","parse-names":false,"suffix":""},{"dropping-particle":"","family":"Lagrou","given":"Katrien","non-dropping-particle":"","parse-names":false,"suffix":""},{"dropping-particle":"","family":"Lanternier","given":"Fanny","non-dropping-particle":"","parse-names":false,"suffix":""},{"dropping-particle":"","family":"Meletiadis","given":"Joseph","non-dropping-particle":"","parse-names":false,"suffix":""},{"dropping-particle":"","family":"Munoz","given":"Patricia","non-dropping-particle":"","parse-names":false,"suffix":""},{"dropping-particle":"","family":"Pagano","given":"Livio","non-dropping-particle":"","parse-names":false,"suffix":""},{"dropping-particle":"","family":"Richardson","given":"Malcolm D.","non-dropping-particle":"","parse-names":false,"suffix":""},{"dropping-particle":"","family":"Roilides","given":"Emmanuel","non-dropping-particle":"","parse-names":false,"suffix":""},{"dropping-particle":"","family":"Tortorano","given":"Anna Maria","non-dropping-particle":"","parse-names":false,"suffix":""},{"dropping-particle":"","family":"Ullmann","given":"Andrew J.","non-dropping-particle":"","parse-names":false,"suffix":""}],"container-title":"Clinical Microbiology and Infection","id":"ITEM-3","issue":"S3","issued":{"date-parts":[["2014"]]},"page":"76-98","publisher":"Blackwell Publishing Ltd","title":"ESCMID and ECMM joint clinical guidelines for the diagnosis and management of rare invasive yeast infections","type":"article-journal","volume":"20"},"uris":["http://www.mendeley.com/documents/?uuid=5a6b3e24-e337-3cd9-bb20-08cd60455554"]},{"id":"ITEM-4","itemData":{"DOI":"10.1093/jac/dkw158","ISSN":"14602091","PMID":"27550993","abstract":"The initiation of systemic antimicrobial treatment of Pneumocystis jirovecii pneumonia (PCP) is triggered by clinical signs and symptoms, typical radiological and occasionally laboratory findings in patients at risk of this infection. Diagnostic proof by bronchoalveolar lavage should not delay the start of treatment. Most patients with haematological malignancies present with a severe PCP; therefore, antimicrobial therapy should be started intravenously. High-dose trimethoprim/sulfamethoxazole is the treatment of choice. In patients with documented intolerance to this regimen, the preferred alternative is the combination of primaquine plus clindamycin. Treatment success should be first evaluated after 1 week, and in case of clinical non-response, pulmonary CT scan and bronchoalveolar lavage should be repeated to look for secondary or co-infections. Treatment duration typically is 3 weeks and secondary anti-PCP prophylaxis is indicated in all patients thereafter. In patients with critical respiratory failure, non-invasive ventilation is not significantly superior to intubation and mechanical ventilation. The administration of glucocorticoids must be decided on a case-by-case basis.","author":[{"dropping-particle":"","family":"Maschmeyer","given":"Georg","non-dropping-particle":"","parse-names":false,"suffix":""},{"dropping-particle":"","family":"Helweg-Larsen","given":"Jannik","non-dropping-particle":"","parse-names":false,"suffix":""},{"dropping-particle":"","family":"Pagano","given":"Livio","non-dropping-particle":"","parse-names":false,"suffix":""},{"dropping-particle":"","family":"Robin","given":"Christine","non-dropping-particle":"","parse-names":false,"suffix":""},{"dropping-particle":"","family":"Cordonnier","given":"Catherine","non-dropping-particle":"","parse-names":false,"suffix":""},{"dropping-particle":"","family":"Schellongowski","given":"Peter","non-dropping-particle":"","parse-names":false,"suffix":""}],"container-title":"The Journal of antimicrobial chemotherapy","id":"ITEM-4","issue":"9","issued":{"date-parts":[["2016","9","1"]]},"page":"2405-2413","publisher":"J Antimicrob Chemother","title":"ECIL guidelines for treatment of Pneumocystis jirovecii pneumonia in non-HIV-infected haematology patients","type":"article-journal","volume":"71"},"uris":["http://www.mendeley.com/documents/?uuid=2f829fda-f017-3f84-8bbc-ec72967bb7a9"]}],"mendeley":{"formattedCitation":"[124,125,129,135]","plainTextFormattedCitation":"[124,125,129,135]","previouslyFormattedCitation":"[1–3,9]"},"properties":{"noteIndex":0},"schema":"https://github.com/citation-style-language/schema/raw/master/csl-citation.json"}</w:instrText>
      </w:r>
      <w:r>
        <w:rPr>
          <w:b/>
        </w:rPr>
        <w:fldChar w:fldCharType="separate"/>
      </w:r>
      <w:r w:rsidR="00A67ED2" w:rsidRPr="00A67ED2">
        <w:rPr>
          <w:noProof/>
        </w:rPr>
        <w:t>[124,125,129,135]</w:t>
      </w:r>
      <w:r>
        <w:rPr>
          <w:b/>
        </w:rPr>
        <w:fldChar w:fldCharType="end"/>
      </w:r>
    </w:p>
    <w:p w14:paraId="2DCA59E1" w14:textId="77777777" w:rsidR="00907B9C" w:rsidRPr="00DA2BC8" w:rsidRDefault="00907B9C" w:rsidP="00907B9C">
      <w:pPr>
        <w:ind w:right="50" w:firstLine="709"/>
        <w:contextualSpacing/>
      </w:pPr>
      <w:r w:rsidRPr="00DA2BC8">
        <w:t>До</w:t>
      </w:r>
      <w:r w:rsidRPr="00FB256D">
        <w:t xml:space="preserve"> </w:t>
      </w:r>
      <w:r w:rsidRPr="00DA2BC8">
        <w:t>недавнего</w:t>
      </w:r>
      <w:r w:rsidRPr="00FB256D">
        <w:t xml:space="preserve"> </w:t>
      </w:r>
      <w:r w:rsidRPr="00DA2BC8">
        <w:t>времени</w:t>
      </w:r>
      <w:r w:rsidRPr="00FB256D">
        <w:t xml:space="preserve"> </w:t>
      </w:r>
      <w:r w:rsidRPr="00DA2BC8">
        <w:t>большинство</w:t>
      </w:r>
      <w:r w:rsidRPr="00FB256D">
        <w:t xml:space="preserve"> </w:t>
      </w:r>
      <w:r w:rsidRPr="00DA2BC8">
        <w:t>специалистов</w:t>
      </w:r>
      <w:r w:rsidRPr="00FB256D">
        <w:t xml:space="preserve"> </w:t>
      </w:r>
      <w:r w:rsidRPr="00DA2BC8">
        <w:t>относили</w:t>
      </w:r>
      <w:r w:rsidRPr="00FB256D">
        <w:t xml:space="preserve"> </w:t>
      </w:r>
      <w:r w:rsidRPr="00FB256D">
        <w:rPr>
          <w:i/>
          <w:iCs/>
          <w:lang w:val="en-US"/>
        </w:rPr>
        <w:t>Pneumocystis</w:t>
      </w:r>
      <w:r w:rsidRPr="00FB256D">
        <w:rPr>
          <w:i/>
          <w:iCs/>
        </w:rPr>
        <w:t xml:space="preserve"> </w:t>
      </w:r>
      <w:r w:rsidRPr="00FB256D">
        <w:rPr>
          <w:i/>
          <w:iCs/>
          <w:lang w:val="en-US"/>
        </w:rPr>
        <w:t>jirovecii</w:t>
      </w:r>
      <w:r w:rsidRPr="00FB256D">
        <w:t xml:space="preserve"> (</w:t>
      </w:r>
      <w:r w:rsidRPr="00DA2BC8">
        <w:t>ранее</w:t>
      </w:r>
      <w:r w:rsidRPr="00FB256D">
        <w:t xml:space="preserve"> </w:t>
      </w:r>
      <w:r w:rsidRPr="00FB256D">
        <w:rPr>
          <w:i/>
          <w:iCs/>
          <w:lang w:val="en-US"/>
        </w:rPr>
        <w:t>Pneumocystis</w:t>
      </w:r>
      <w:r w:rsidRPr="00FB256D">
        <w:rPr>
          <w:i/>
          <w:iCs/>
        </w:rPr>
        <w:t xml:space="preserve"> </w:t>
      </w:r>
      <w:r w:rsidRPr="00FB256D">
        <w:rPr>
          <w:i/>
          <w:iCs/>
          <w:lang w:val="en-US"/>
        </w:rPr>
        <w:t>carinii</w:t>
      </w:r>
      <w:r w:rsidRPr="00FB256D">
        <w:t xml:space="preserve">) </w:t>
      </w:r>
      <w:r w:rsidRPr="00DA2BC8">
        <w:t>к</w:t>
      </w:r>
      <w:r w:rsidRPr="00FB256D">
        <w:t xml:space="preserve"> </w:t>
      </w:r>
      <w:r w:rsidRPr="00DA2BC8">
        <w:t>простейшим</w:t>
      </w:r>
      <w:r w:rsidRPr="00FB256D">
        <w:t xml:space="preserve">. </w:t>
      </w:r>
      <w:r w:rsidRPr="00DA2BC8">
        <w:t xml:space="preserve">Это подтверждалось эффективным лечением пневмоцистной инфекции препаратами с антипротозойной активностью и безуспешной терапией противогрибковыми препаратами, а также отсутствием некоторых веществ в клеточной стенке пневмоцист, характерных для грибов, например, эргостерола. В настоящее время </w:t>
      </w:r>
      <w:r w:rsidRPr="00DA2BC8">
        <w:rPr>
          <w:i/>
          <w:iCs/>
        </w:rPr>
        <w:t>P. jirovecii</w:t>
      </w:r>
      <w:r w:rsidRPr="00DA2BC8">
        <w:t xml:space="preserve"> отнесены к дрожжеподобным грибам, сходным с патогенами растений, на основании идентичности строения ряда клеточных структур, гомологичности ферментных систем, фрагментов рибонуклеиновых кислот (16S pРНК, 5S pРНК).</w:t>
      </w:r>
    </w:p>
    <w:p w14:paraId="46E6CBE7" w14:textId="77777777" w:rsidR="00907B9C" w:rsidRPr="00DA2BC8" w:rsidRDefault="00907B9C" w:rsidP="00907B9C">
      <w:pPr>
        <w:ind w:right="50" w:firstLine="709"/>
        <w:contextualSpacing/>
      </w:pPr>
      <w:r w:rsidRPr="00DA2BC8">
        <w:t xml:space="preserve">В общей популяции передача возбудителя происходит при непосредственном контакте с носителем </w:t>
      </w:r>
      <w:r w:rsidRPr="00DA2BC8">
        <w:rPr>
          <w:i/>
          <w:iCs/>
        </w:rPr>
        <w:t>P. jirovecii</w:t>
      </w:r>
      <w:r w:rsidRPr="00DA2BC8">
        <w:t xml:space="preserve">. У иммунокомпрометированных </w:t>
      </w:r>
      <w:r>
        <w:t>пациентов</w:t>
      </w:r>
      <w:r w:rsidRPr="00DA2BC8">
        <w:t xml:space="preserve"> </w:t>
      </w:r>
      <w:r w:rsidRPr="00DA2BC8">
        <w:rPr>
          <w:i/>
          <w:iCs/>
        </w:rPr>
        <w:t>P. jirovecii</w:t>
      </w:r>
      <w:r w:rsidRPr="00DA2BC8">
        <w:t xml:space="preserve"> вызывают тяжелую пневмонию, в большинстве случаев сопровождающейся острой дыхательной недостаточностью. Пневмоцистная пневмония возникает, прежде всего, у реципиентов аллогенных СГК, </w:t>
      </w:r>
      <w:r>
        <w:t xml:space="preserve">пациентов с </w:t>
      </w:r>
      <w:r w:rsidRPr="00DA2BC8">
        <w:t>острыми лимфобластными лейкозами</w:t>
      </w:r>
      <w:r>
        <w:t xml:space="preserve">, </w:t>
      </w:r>
      <w:r w:rsidRPr="00DA2BC8">
        <w:t xml:space="preserve">лимфопролиферативными заболеваниями, включая </w:t>
      </w:r>
      <w:r>
        <w:t>пациентов</w:t>
      </w:r>
      <w:r w:rsidRPr="00DA2BC8">
        <w:t xml:space="preserve"> хроническим лимфолейкозом, лимфомами, множественной миеломой. Сопутствующие заболевания, такие как хроническая обструктивная болезнь легких и бронхиальная астма также ассоциированы с развитием этой инфекции. Активная профилактика пневмоцистных пневмоний привели к существенному снижению частоты подобных осложнений. Развитие пневмоцистной пневмонии на фоне профилактического приема ко-тримоксазола бывает обусловлено чаще всего нарушениями в режиме приема препарата, а не резистентнотсью. </w:t>
      </w:r>
      <w:r w:rsidRPr="00DA2BC8">
        <w:lastRenderedPageBreak/>
        <w:t xml:space="preserve">Летальность от пневмоцистной пневмонии у </w:t>
      </w:r>
      <w:r>
        <w:t>гематологических пациентов</w:t>
      </w:r>
      <w:r w:rsidRPr="00DA2BC8">
        <w:t xml:space="preserve"> может достигать 30-50%, особенно у реципиентов аллогенных СГК. </w:t>
      </w:r>
    </w:p>
    <w:p w14:paraId="1F293B7B" w14:textId="77777777" w:rsidR="00907B9C" w:rsidRPr="00686506" w:rsidRDefault="00907B9C" w:rsidP="00907B9C">
      <w:pPr>
        <w:ind w:right="50" w:firstLine="709"/>
        <w:contextualSpacing/>
        <w:rPr>
          <w:i/>
          <w:iCs/>
        </w:rPr>
      </w:pPr>
      <w:r w:rsidRPr="00686506">
        <w:rPr>
          <w:i/>
          <w:iCs/>
          <w:u w:val="single"/>
        </w:rPr>
        <w:t>Факторы риска</w:t>
      </w:r>
    </w:p>
    <w:p w14:paraId="0BDB9A01" w14:textId="41ACC927" w:rsidR="00907B9C" w:rsidRPr="00DA2BC8" w:rsidRDefault="00907B9C" w:rsidP="00907B9C">
      <w:pPr>
        <w:ind w:right="50" w:firstLine="709"/>
        <w:contextualSpacing/>
      </w:pPr>
      <w:r w:rsidRPr="00DA2BC8">
        <w:t xml:space="preserve">Пневмоцистная пневмония возникает прежде всего у </w:t>
      </w:r>
      <w:r>
        <w:t>пациентов</w:t>
      </w:r>
      <w:r w:rsidRPr="00DA2BC8">
        <w:t xml:space="preserve"> </w:t>
      </w:r>
      <w:r w:rsidR="006D1308">
        <w:t xml:space="preserve">с лейкозами </w:t>
      </w:r>
      <w:r w:rsidRPr="00DA2BC8">
        <w:t>с дефицитом Т-клеточного звена иммунитета, лимфоцитопенией, низким уровнем CD4+ клеток. Основной предрасполагающий фактор в развитии пневмоцистной пневмонии – это прием глюкокортикоидов. К другим факторам относят использование цитостатических препаратов (флюдарабин</w:t>
      </w:r>
      <w:r>
        <w:t>а, винкристина, циклофосфамида</w:t>
      </w:r>
      <w:r w:rsidRPr="00DA2BC8">
        <w:t xml:space="preserve">), моноклональных антител (ритуксимаба, </w:t>
      </w:r>
      <w:r>
        <w:t>обину</w:t>
      </w:r>
      <w:r w:rsidRPr="00DA2BC8">
        <w:t xml:space="preserve">тузумаба), трансплантация СГК, РТПХ. </w:t>
      </w:r>
    </w:p>
    <w:p w14:paraId="02AFD44F" w14:textId="77777777" w:rsidR="00907B9C" w:rsidRPr="00686506" w:rsidRDefault="00907B9C" w:rsidP="00907B9C">
      <w:pPr>
        <w:ind w:right="50" w:firstLine="709"/>
        <w:contextualSpacing/>
        <w:rPr>
          <w:i/>
          <w:iCs/>
          <w:u w:val="single"/>
        </w:rPr>
      </w:pPr>
      <w:r w:rsidRPr="00686506">
        <w:rPr>
          <w:i/>
          <w:iCs/>
          <w:u w:val="single"/>
        </w:rPr>
        <w:t>Симптомы</w:t>
      </w:r>
    </w:p>
    <w:p w14:paraId="2E709A2A" w14:textId="77777777" w:rsidR="00907B9C" w:rsidRPr="00DA2BC8" w:rsidRDefault="00907B9C" w:rsidP="00907B9C">
      <w:pPr>
        <w:ind w:right="50" w:firstLine="709"/>
        <w:contextualSpacing/>
      </w:pPr>
      <w:r w:rsidRPr="00DA2BC8">
        <w:t xml:space="preserve">Начальные признаки инфекции включают лихорадку (90%), сухой кашель, одышку, затем быстро возникает острая дыхательная недостаточность. У части </w:t>
      </w:r>
      <w:r>
        <w:t>пациентов</w:t>
      </w:r>
      <w:r w:rsidRPr="00DA2BC8">
        <w:t xml:space="preserve">, получающих кортикостероиды, клиническая картина может быть стертой и ухудшение происходит только после снижения дозы или отмены этих препаратов. При осмотре </w:t>
      </w:r>
      <w:r>
        <w:t>пациента</w:t>
      </w:r>
      <w:r w:rsidRPr="00DA2BC8">
        <w:t xml:space="preserve"> с пневмоцистной пневмонией выявляется, прежде всего, несоответствие между физикальными данными и тяжестью </w:t>
      </w:r>
      <w:r>
        <w:t>состояния</w:t>
      </w:r>
      <w:r w:rsidRPr="00DA2BC8">
        <w:t xml:space="preserve">, когда крайне скудная аускультативная симптоматика сочетается с выраженной дыхательной недостаточностью (одышка, артериальная гипоксемия, респираторный алкалоз). </w:t>
      </w:r>
    </w:p>
    <w:p w14:paraId="30D71155" w14:textId="77777777" w:rsidR="00907B9C" w:rsidRPr="00DA2BC8" w:rsidRDefault="00907B9C" w:rsidP="00907B9C">
      <w:pPr>
        <w:ind w:right="50" w:firstLine="709"/>
        <w:contextualSpacing/>
      </w:pPr>
      <w:r w:rsidRPr="00DA2BC8">
        <w:rPr>
          <w:bCs/>
        </w:rPr>
        <w:t>Диагностика включает о</w:t>
      </w:r>
      <w:r w:rsidRPr="00DA2BC8">
        <w:t xml:space="preserve">бнаружение цист, трофозоидов при флуоресцентной микроскопии (метод непрямой иммунофлюоресценции) или ДНК </w:t>
      </w:r>
      <w:r w:rsidRPr="00DA2BC8">
        <w:rPr>
          <w:i/>
          <w:iCs/>
        </w:rPr>
        <w:t>P. jirovecii</w:t>
      </w:r>
      <w:r w:rsidRPr="00DA2BC8">
        <w:t xml:space="preserve"> методом ПЦР в образцах жидкости БАЛ.</w:t>
      </w:r>
      <w:r w:rsidRPr="00DA2BC8">
        <w:rPr>
          <w:bCs/>
        </w:rPr>
        <w:t xml:space="preserve"> </w:t>
      </w:r>
      <w:r w:rsidRPr="00DA2BC8">
        <w:t xml:space="preserve">Образцы индуцированной мокроты или смывыв со слизистой оболочки бронхов и верхних дыхательных путей не используют для диагностики пневмоцистной инфекции у </w:t>
      </w:r>
      <w:r>
        <w:t>гематологических пациентов</w:t>
      </w:r>
      <w:r w:rsidRPr="00DA2BC8">
        <w:t xml:space="preserve"> ввиду их низкой чувствительности. </w:t>
      </w:r>
    </w:p>
    <w:p w14:paraId="45C0ACB7" w14:textId="77777777" w:rsidR="00907B9C" w:rsidRPr="00DA2BC8" w:rsidRDefault="00907B9C" w:rsidP="00907B9C">
      <w:pPr>
        <w:ind w:right="50" w:firstLine="709"/>
        <w:contextualSpacing/>
      </w:pPr>
      <w:r w:rsidRPr="00DA2BC8">
        <w:t xml:space="preserve">Неоднократное обнаружение ДНК пневмоцист при повторных исследованиях жидкости БАЛ не является критерием неэффективного лечения при наличии положительной клинической динамики. </w:t>
      </w:r>
      <w:r w:rsidRPr="00DA2BC8">
        <w:rPr>
          <w:i/>
          <w:iCs/>
        </w:rPr>
        <w:t>P. jirovecii</w:t>
      </w:r>
      <w:r w:rsidRPr="00DA2BC8">
        <w:t xml:space="preserve"> могут определяться в жидкости БАЛ в течение нескольких дней и даже недель при успешном лечении пневмоцистной пневмонии. </w:t>
      </w:r>
    </w:p>
    <w:p w14:paraId="0BAEC339" w14:textId="77777777" w:rsidR="00907B9C" w:rsidRPr="00DA2BC8" w:rsidRDefault="00907B9C" w:rsidP="00907B9C">
      <w:pPr>
        <w:ind w:right="50" w:firstLine="709"/>
        <w:contextualSpacing/>
      </w:pPr>
      <w:r w:rsidRPr="00DA2BC8">
        <w:t>У реципиентов аллогенных СГК пневмоцистная пневмония примерно в половине случаев сочетается с цитамегаловирусной инфекцией.</w:t>
      </w:r>
    </w:p>
    <w:p w14:paraId="4A8413E9" w14:textId="77777777" w:rsidR="00907B9C" w:rsidRPr="00DA2BC8" w:rsidRDefault="00907B9C" w:rsidP="00907B9C">
      <w:pPr>
        <w:ind w:right="50" w:firstLine="709"/>
        <w:contextualSpacing/>
      </w:pPr>
      <w:r w:rsidRPr="00DA2BC8">
        <w:t xml:space="preserve">Повышение уровня лактатдегидрогеназы в сыворотке крови при пневмоцистной пневмонии более характерно для ВИЧ-инфицированных больных, а не для больных опухолями системы крови. </w:t>
      </w:r>
    </w:p>
    <w:p w14:paraId="47FC9FF2" w14:textId="77777777" w:rsidR="00907B9C" w:rsidRPr="00686506" w:rsidRDefault="00907B9C" w:rsidP="00907B9C">
      <w:pPr>
        <w:ind w:right="50" w:firstLine="709"/>
        <w:contextualSpacing/>
        <w:rPr>
          <w:bCs/>
          <w:i/>
          <w:iCs/>
          <w:u w:val="single"/>
        </w:rPr>
      </w:pPr>
      <w:r w:rsidRPr="00686506">
        <w:rPr>
          <w:bCs/>
          <w:i/>
          <w:iCs/>
          <w:u w:val="single"/>
        </w:rPr>
        <w:t>Радиологические особенности пневмоцистной пневмонии</w:t>
      </w:r>
    </w:p>
    <w:p w14:paraId="4190D9A3" w14:textId="77777777" w:rsidR="00907B9C" w:rsidRPr="00DA2BC8" w:rsidRDefault="00907B9C" w:rsidP="00907B9C">
      <w:pPr>
        <w:ind w:right="50" w:firstLine="709"/>
        <w:contextualSpacing/>
      </w:pPr>
      <w:r w:rsidRPr="00DA2BC8">
        <w:lastRenderedPageBreak/>
        <w:t>Заподозрить пневмоцистную пневмонию можно только по данным КТ</w:t>
      </w:r>
      <w:r>
        <w:t>/СКТ</w:t>
      </w:r>
      <w:r w:rsidRPr="00DA2BC8">
        <w:t>.</w:t>
      </w:r>
      <w:r w:rsidRPr="00DA2BC8">
        <w:rPr>
          <w:b/>
        </w:rPr>
        <w:t xml:space="preserve"> </w:t>
      </w:r>
    </w:p>
    <w:p w14:paraId="6CFA0A12" w14:textId="77777777" w:rsidR="00907B9C" w:rsidRPr="00DA2BC8" w:rsidRDefault="00907B9C" w:rsidP="00907B9C">
      <w:pPr>
        <w:ind w:right="50" w:firstLine="709"/>
        <w:contextualSpacing/>
      </w:pPr>
      <w:r w:rsidRPr="00DA2BC8">
        <w:t>При радиологическом исследовании легких обнаруживают облаковидную, туманную, по типу снежной бури или матового стекла, билатеральную инфильтрацию, чаще в прикорневых отделах легких. В то же время могут быть выявлены участки консолидации, буллы (10%), особенно в верхних долях легких, которые могут приводить к образованию пневмоторакса. Признаки плеврита бывают редко, за исключением реципиентов аллогенных СГК. В некоторых случаях определяют одиночные или множественные очаги в легких, описаны случаи симптома «обратного ореола» и каверн по данным КТ</w:t>
      </w:r>
      <w:r>
        <w:t>/СКТ</w:t>
      </w:r>
      <w:r w:rsidRPr="00DA2BC8">
        <w:t xml:space="preserve"> легких. </w:t>
      </w:r>
    </w:p>
    <w:p w14:paraId="4F6135CC" w14:textId="77777777" w:rsidR="00907B9C" w:rsidRPr="00DA2BC8" w:rsidRDefault="00907B9C" w:rsidP="00907B9C">
      <w:pPr>
        <w:ind w:right="50" w:firstLine="709"/>
        <w:contextualSpacing/>
        <w:rPr>
          <w:b/>
          <w:bCs/>
        </w:rPr>
      </w:pPr>
      <w:r w:rsidRPr="00DA2BC8">
        <w:rPr>
          <w:bCs/>
        </w:rPr>
        <w:t>Препаратом выбора является т</w:t>
      </w:r>
      <w:r w:rsidRPr="00DA2BC8">
        <w:t>риметоприм/сульфаметоксазол, который назначают из расчета по триметоприму 15-20 мг/кг в сутки, внутривенно, дозу разделяют на 3 приема.</w:t>
      </w:r>
    </w:p>
    <w:p w14:paraId="5F59A441" w14:textId="77777777" w:rsidR="00907B9C" w:rsidRPr="00DA2BC8" w:rsidRDefault="00907B9C" w:rsidP="00907B9C">
      <w:pPr>
        <w:ind w:right="50" w:firstLine="709"/>
        <w:contextualSpacing/>
      </w:pPr>
      <w:r w:rsidRPr="00DA2BC8">
        <w:rPr>
          <w:bCs/>
        </w:rPr>
        <w:t xml:space="preserve">У </w:t>
      </w:r>
      <w:r w:rsidRPr="00DA2BC8">
        <w:t xml:space="preserve">нетяжелых </w:t>
      </w:r>
      <w:r>
        <w:t>пациентов</w:t>
      </w:r>
      <w:r w:rsidRPr="00DA2BC8">
        <w:t xml:space="preserve"> пневмоцистной пневмонией без дыхательной недостаточности, при условии отсутствия мукозита и нормальной функции желудочно-кишечного тракта (нет диареи), может быть использован триметоприм/сульфаметоксазол перорально в тех же дозах, как и для внутривенного назначения. Концентрация триметоприма/сульфаметоксазола в сыворотке крови является эквивалентной при использовании его внутривенно или перорально (в случае нормальной функции желудочно-кишечного тракта). Внутривенная форма триметоприма/сульфаметоксазола может быть заменена на пероральную без изменения дозирования препарата, как продолжение лечения, при клиническом улучшении состояния и нормальной абсорбции в желудочно-кишечном тракте. </w:t>
      </w:r>
    </w:p>
    <w:p w14:paraId="0CFF46F4" w14:textId="77777777" w:rsidR="00907B9C" w:rsidRDefault="00907B9C" w:rsidP="00907B9C">
      <w:pPr>
        <w:ind w:right="50" w:firstLine="709"/>
        <w:contextualSpacing/>
      </w:pPr>
      <w:r w:rsidRPr="00DA2BC8">
        <w:t xml:space="preserve">Не рекомендовано назначать метотрексат в период терапии триметопримом/сульфаметоксазолом из-за развития побочных эффектов. </w:t>
      </w:r>
      <w:r w:rsidRPr="00DA2BC8">
        <w:rPr>
          <w:bCs/>
        </w:rPr>
        <w:t xml:space="preserve">Препаратами 2-го ряда являются </w:t>
      </w:r>
      <w:r w:rsidRPr="00DA2BC8">
        <w:t xml:space="preserve">пентамидин (4 мг/кг 1 раз в сутки, внутривенно, максимальная суточная доза 300 мг), сочетание примахина (30 мг внутрь 1 раз в сутки) и клиндамицина (600 мг внутривенно 3 раза в сутки). При неэффективности к триметоприму/сульфаметоксазолу добавляют каспофунгин (в 1-й день 70 мг, затем и по 50 мг внутривенно 1 раз в сутки). </w:t>
      </w:r>
      <w:r w:rsidRPr="00DA2BC8">
        <w:rPr>
          <w:iCs/>
        </w:rPr>
        <w:t>Не проводят одним эхинокандином</w:t>
      </w:r>
      <w:r w:rsidRPr="00DA2BC8">
        <w:t xml:space="preserve"> </w:t>
      </w:r>
      <w:r w:rsidRPr="00DA2BC8">
        <w:rPr>
          <w:iCs/>
        </w:rPr>
        <w:t>лечение пневмоцистной пневмонии (нет исследований).</w:t>
      </w:r>
      <w:r w:rsidRPr="00DA2BC8">
        <w:t xml:space="preserve"> Не рекомендовано назначение кортикостероидов всем больным с пневмоцистной пневмонией и дыхательной недостаточностью. Решение о добавлении кортикостероидов </w:t>
      </w:r>
      <w:r>
        <w:t>пациентам</w:t>
      </w:r>
      <w:r w:rsidRPr="00DA2BC8">
        <w:t xml:space="preserve"> с пневмоцистной пневмонией и дыхательной недостаточностью следует рассматривать индивидуально в каждом случае. </w:t>
      </w:r>
      <w:r w:rsidRPr="00DA2BC8">
        <w:rPr>
          <w:bCs/>
        </w:rPr>
        <w:t>Длительность лечения</w:t>
      </w:r>
      <w:r w:rsidRPr="00DA2BC8">
        <w:t xml:space="preserve"> пневмоцистной пневмонии составляет от 2 до 3-х недель.</w:t>
      </w:r>
    </w:p>
    <w:bookmarkEnd w:id="195"/>
    <w:p w14:paraId="3851C35A" w14:textId="6DD521C1" w:rsidR="00907B9C" w:rsidRDefault="00907B9C" w:rsidP="00907B9C">
      <w:pPr>
        <w:ind w:right="50" w:firstLine="709"/>
        <w:contextualSpacing/>
      </w:pPr>
    </w:p>
    <w:p w14:paraId="4C43D62A" w14:textId="2E3DC58C" w:rsidR="00527F45" w:rsidRPr="00527F45" w:rsidRDefault="00907B9C" w:rsidP="004905C2">
      <w:pPr>
        <w:pStyle w:val="2"/>
      </w:pPr>
      <w:bookmarkStart w:id="196" w:name="_Toc64565661"/>
      <w:r w:rsidRPr="00A7029B">
        <w:lastRenderedPageBreak/>
        <w:t>7.</w:t>
      </w:r>
      <w:r w:rsidR="00143441">
        <w:t>11</w:t>
      </w:r>
      <w:r w:rsidRPr="00A7029B">
        <w:t xml:space="preserve">. </w:t>
      </w:r>
      <w:bookmarkEnd w:id="196"/>
      <w:r w:rsidR="00840044">
        <w:t>Д</w:t>
      </w:r>
      <w:r w:rsidR="00840044" w:rsidRPr="007531B6">
        <w:t xml:space="preserve">иагностика и лечение </w:t>
      </w:r>
      <w:r w:rsidR="00840044">
        <w:t>ви</w:t>
      </w:r>
      <w:r w:rsidR="00840044" w:rsidRPr="00262806">
        <w:t>русны</w:t>
      </w:r>
      <w:r w:rsidR="00840044">
        <w:t xml:space="preserve">х </w:t>
      </w:r>
      <w:r w:rsidR="00840044" w:rsidRPr="00262806">
        <w:t>инфекци</w:t>
      </w:r>
      <w:r w:rsidR="00840044">
        <w:t>й</w:t>
      </w:r>
      <w:r w:rsidR="00840044" w:rsidRPr="00262806">
        <w:t xml:space="preserve"> у пациентов </w:t>
      </w:r>
      <w:r w:rsidR="00840044" w:rsidRPr="00EA39A7">
        <w:t>с лейкозами</w:t>
      </w:r>
    </w:p>
    <w:p w14:paraId="617BD4EF" w14:textId="77777777" w:rsidR="00527F45" w:rsidRPr="00E12FBE" w:rsidRDefault="00527F45" w:rsidP="00527F45">
      <w:pPr>
        <w:rPr>
          <w:b/>
          <w:sz w:val="28"/>
          <w:szCs w:val="28"/>
        </w:rPr>
      </w:pPr>
    </w:p>
    <w:p w14:paraId="186003E6" w14:textId="77777777" w:rsidR="00840044" w:rsidRDefault="00527F45" w:rsidP="00840044">
      <w:pPr>
        <w:ind w:firstLine="708"/>
      </w:pPr>
      <w:r w:rsidRPr="0028579C">
        <w:t xml:space="preserve">Герпесвирусные инфекции диагностируют </w:t>
      </w:r>
      <w:r>
        <w:t>чаще</w:t>
      </w:r>
      <w:r w:rsidRPr="0028579C">
        <w:t xml:space="preserve"> всего у </w:t>
      </w:r>
      <w:r>
        <w:t>пациентов с</w:t>
      </w:r>
      <w:r w:rsidRPr="0028579C">
        <w:t xml:space="preserve"> </w:t>
      </w:r>
      <w:r w:rsidR="00840044">
        <w:t>лейкозами</w:t>
      </w:r>
      <w:r w:rsidRPr="0028579C">
        <w:t xml:space="preserve"> и у реципиентов аллогенных </w:t>
      </w:r>
      <w:r w:rsidRPr="00053026">
        <w:t>гемопоэтических стволовых клеток</w:t>
      </w:r>
      <w:r w:rsidRPr="0028579C">
        <w:t xml:space="preserve"> </w:t>
      </w:r>
      <w:r>
        <w:t>(</w:t>
      </w:r>
      <w:r w:rsidRPr="0028579C">
        <w:t>ТГСК</w:t>
      </w:r>
      <w:r>
        <w:t>)</w:t>
      </w:r>
      <w:r w:rsidRPr="0028579C">
        <w:t xml:space="preserve">. </w:t>
      </w:r>
      <w:r>
        <w:t>Для диагностики герпесвирусных инфекций проводят комплекс необходимых инструментальных исследований для получения материала – исследование полости рта, промежности, влагалища, прямой кишки, эзофагогастродуоденоскопия, бронхоальвеалярный лаваж, люмбальная пункция, пункция/биопсия ткани/очага поражения любой локализации, выявленных при УЗИ, КТ/СКТ, МРТ органов и полостей, или физикально (</w:t>
      </w:r>
      <w:r w:rsidRPr="0028579C">
        <w:t>везикул</w:t>
      </w:r>
      <w:r>
        <w:t>ы</w:t>
      </w:r>
      <w:r w:rsidRPr="0028579C">
        <w:t>, “корочки” с везикул</w:t>
      </w:r>
      <w:r>
        <w:t xml:space="preserve">), </w:t>
      </w:r>
      <w:r w:rsidRPr="0028579C">
        <w:t>сыворотк</w:t>
      </w:r>
      <w:r>
        <w:t>а</w:t>
      </w:r>
      <w:r w:rsidRPr="0028579C">
        <w:t xml:space="preserve"> крови</w:t>
      </w:r>
      <w:r>
        <w:t>, и др</w:t>
      </w:r>
      <w:r w:rsidRPr="0028579C">
        <w:t>.</w:t>
      </w:r>
      <w:r w:rsidR="00840044">
        <w:t xml:space="preserve"> Диагностика и лечение этих осложнений, закономерно возникающих у пацентов с лейкозами, осуществляется непосредственно в период проведения противоопухолевого химиотерапевтического лечения лейкоза.</w:t>
      </w:r>
    </w:p>
    <w:p w14:paraId="596E232B" w14:textId="77777777" w:rsidR="00527F45" w:rsidRDefault="00527F45" w:rsidP="00527F45">
      <w:pPr>
        <w:ind w:firstLine="708"/>
      </w:pPr>
    </w:p>
    <w:p w14:paraId="7147FCC3" w14:textId="77777777" w:rsidR="00527F45" w:rsidRPr="00A14D1D" w:rsidRDefault="00527F45" w:rsidP="00527F45">
      <w:pPr>
        <w:rPr>
          <w:bCs/>
          <w:i/>
          <w:iCs/>
          <w:u w:val="single"/>
        </w:rPr>
      </w:pPr>
      <w:r w:rsidRPr="00A14D1D">
        <w:rPr>
          <w:bCs/>
          <w:i/>
          <w:iCs/>
          <w:u w:val="single"/>
        </w:rPr>
        <w:t>Вирусы простого герпеса 1 и 2 типа (Herpes simplex virus, HSV)</w:t>
      </w:r>
    </w:p>
    <w:p w14:paraId="71B8C45D" w14:textId="57BD029A" w:rsidR="00527F45" w:rsidRPr="00867D9A" w:rsidRDefault="00527F45" w:rsidP="00527F45">
      <w:pPr>
        <w:ind w:firstLine="708"/>
      </w:pPr>
      <w:r>
        <w:t>HSV</w:t>
      </w:r>
      <w:r w:rsidRPr="006B215F">
        <w:t xml:space="preserve"> вызывают у </w:t>
      </w:r>
      <w:r>
        <w:t>пациентов</w:t>
      </w:r>
      <w:r w:rsidRPr="006B215F">
        <w:t xml:space="preserve"> гематологическими заболеваниями прежде всего </w:t>
      </w:r>
      <w:r w:rsidRPr="0028579C">
        <w:t>повреждение слизистых оболочек (мукозиты), чаще HSV 1 тип. Мукозиты, вызванные HSV, являются</w:t>
      </w:r>
      <w:r>
        <w:t>,</w:t>
      </w:r>
      <w:r w:rsidRPr="0028579C">
        <w:t xml:space="preserve"> как правило</w:t>
      </w:r>
      <w:r>
        <w:t>,</w:t>
      </w:r>
      <w:r w:rsidRPr="0028579C">
        <w:t xml:space="preserve"> проявлением реактивации латентной вирусной инфекции во время курсов полихимиотерапии (ПХТ) и у реципиентов ТГСК. Частота мукозитов, вызванных HSV, среди серопозитивных</w:t>
      </w:r>
      <w:r>
        <w:t xml:space="preserve"> пациентов </w:t>
      </w:r>
      <w:r w:rsidR="00840044">
        <w:t>лейкозами</w:t>
      </w:r>
      <w:r>
        <w:t xml:space="preserve"> во время ПХТ составляет 61%- 66%</w:t>
      </w:r>
      <w:r w:rsidRPr="006B215F">
        <w:t xml:space="preserve">, среди реципиентов аллогенных ТГСК достигает 80%, из них основная доля в первые 4 недели после ТГСК. При реактивации </w:t>
      </w:r>
      <w:r>
        <w:t>HSV</w:t>
      </w:r>
      <w:r w:rsidRPr="006B215F">
        <w:t xml:space="preserve"> орофарингеальные дефекты на слизистой оболочке возникают у 85-90%, в области промежности (генитальный гесрпес) – у 10-15% больных. Другая манифестация реактивации </w:t>
      </w:r>
      <w:r>
        <w:t>HSV</w:t>
      </w:r>
      <w:r w:rsidRPr="006B215F">
        <w:t xml:space="preserve"> – это эзофагит (10%). К редким проявлениям </w:t>
      </w:r>
      <w:r w:rsidRPr="00867D9A">
        <w:t xml:space="preserve">относят пневмонию (2-3% при отсутствии профилактики), гепатиты, менингит, энцефалит </w:t>
      </w:r>
      <w:r w:rsidRPr="00867D9A">
        <w:fldChar w:fldCharType="begin" w:fldLock="1"/>
      </w:r>
      <w:r w:rsidR="00A67ED2">
        <w:instrText>ADDIN CSL_CITATION {"citationItems":[{"id":"ITEM-1","itemData":{"DOI":"10.1038/bmt.2008.386","ISSN":"02683369","PMID":"19043458","abstract":"These guidelines on the management of HSV, VZV and EBV infection in patients with hematological malignancies and after SCT were prepared by the European Conference on Infections in Leukemia following a predefined methodology. A PubMed search was conducted using the appropriate key words to identify studies pertinent to management of HSV, VZV and EBV infections. References of relevant articles and abstracts from recent hematology and SCT scientific meetings were also reviewed. Prospective and retrospective studies identified from the data sources were evaluated, and all data deemed relevant were included in this analysis. The clinical and scientific background was described and discussed, and the quality of evidence and level of recommendation were graded according to the Centers for Disease Control criteria.","author":[{"dropping-particle":"","family":"Styczynski","given":"J.","non-dropping-particle":"","parse-names":false,"suffix":""},{"dropping-particle":"","family":"Reusser","given":"P.","non-dropping-particle":"","parse-names":false,"suffix":""},{"dropping-particle":"","family":"Einsele","given":"H.","non-dropping-particle":"","parse-names":false,"suffix":""},{"dropping-particle":"","family":"la Camara","given":"R.","non-dropping-particle":"de","parse-names":false,"suffix":""},{"dropping-particle":"","family":"Cordonnier","given":"C.","non-dropping-particle":"","parse-names":false,"suffix":""},{"dropping-particle":"","family":"Ward","given":"K. N.","non-dropping-particle":"","parse-names":false,"suffix":""},{"dropping-particle":"","family":"Ljungman","given":"P.","non-dropping-particle":"","parse-names":false,"suffix":""},{"dropping-particle":"","family":"Engelhard","given":"D.","non-dropping-particle":"","parse-names":false,"suffix":""}],"container-title":"Bone Marrow Transplantation","id":"ITEM-1","issue":"10","issued":{"date-parts":[["2009"]]},"page":"757-770","publisher":"Bone Marrow Transplant","title":"Management of HSV, VZV and EBV infections in patients with hematological malignancies and after SCT: Guidelines from the Second European Conference on Infections in Leukemia","type":"article-journal","volume":"43"},"uris":["http://www.mendeley.com/documents/?uuid=d821a870-8754-3698-8a43-34506f6d18d8"]}],"mendeley":{"formattedCitation":"[136]","plainTextFormattedCitation":"[136]","previouslyFormattedCitation":"[1]"},"properties":{"noteIndex":0},"schema":"https://github.com/citation-style-language/schema/raw/master/csl-citation.json"}</w:instrText>
      </w:r>
      <w:r w:rsidRPr="00867D9A">
        <w:fldChar w:fldCharType="separate"/>
      </w:r>
      <w:r w:rsidR="00A67ED2" w:rsidRPr="00A67ED2">
        <w:rPr>
          <w:noProof/>
        </w:rPr>
        <w:t>[136]</w:t>
      </w:r>
      <w:r w:rsidRPr="00867D9A">
        <w:fldChar w:fldCharType="end"/>
      </w:r>
      <w:r w:rsidRPr="00867D9A">
        <w:t>.</w:t>
      </w:r>
    </w:p>
    <w:p w14:paraId="585229FB" w14:textId="77777777" w:rsidR="00527F45" w:rsidRPr="00867D9A" w:rsidRDefault="00527F45" w:rsidP="00527F45">
      <w:pPr>
        <w:ind w:firstLine="708"/>
        <w:rPr>
          <w:bCs/>
          <w:i/>
          <w:iCs/>
        </w:rPr>
      </w:pPr>
      <w:r w:rsidRPr="00867D9A">
        <w:rPr>
          <w:bCs/>
          <w:i/>
          <w:iCs/>
        </w:rPr>
        <w:t>Диагностика</w:t>
      </w:r>
    </w:p>
    <w:p w14:paraId="6321684F" w14:textId="466B5500" w:rsidR="00527F45" w:rsidRPr="006B215F" w:rsidRDefault="00527F45" w:rsidP="00527F45">
      <w:pPr>
        <w:ind w:firstLine="708"/>
      </w:pPr>
      <w:r w:rsidRPr="006B215F">
        <w:t>Серологические тесты (выявление антител</w:t>
      </w:r>
      <w:r>
        <w:t xml:space="preserve"> в крови, биологических жидкостях</w:t>
      </w:r>
      <w:r w:rsidRPr="006B215F">
        <w:t>) проводят до индукционного курса П</w:t>
      </w:r>
      <w:r>
        <w:t>ХТ и</w:t>
      </w:r>
      <w:r w:rsidRPr="006B215F">
        <w:t xml:space="preserve"> перед ТГСК с целью выявдения серопозитивных пациентов</w:t>
      </w:r>
      <w:r>
        <w:t xml:space="preserve"> </w:t>
      </w:r>
      <w:r w:rsidRPr="00867D9A">
        <w:fldChar w:fldCharType="begin" w:fldLock="1"/>
      </w:r>
      <w:r w:rsidR="00A67ED2">
        <w:instrText>ADDIN CSL_CITATION {"citationItems":[{"id":"ITEM-1","itemData":{"DOI":"10.1038/bmt.2008.386","ISSN":"02683369","PMID":"19043458","abstract":"These guidelines on the management of HSV, VZV and EBV infection in patients with hematological malignancies and after SCT were prepared by the European Conference on Infections in Leukemia following a predefined methodology. A PubMed search was conducted using the appropriate key words to identify studies pertinent to management of HSV, VZV and EBV infections. References of relevant articles and abstracts from recent hematology and SCT scientific meetings were also reviewed. Prospective and retrospective studies identified from the data sources were evaluated, and all data deemed relevant were included in this analysis. The clinical and scientific background was described and discussed, and the quality of evidence and level of recommendation were graded according to the Centers for Disease Control criteria.","author":[{"dropping-particle":"","family":"Styczynski","given":"J.","non-dropping-particle":"","parse-names":false,"suffix":""},{"dropping-particle":"","family":"Reusser","given":"P.","non-dropping-particle":"","parse-names":false,"suffix":""},{"dropping-particle":"","family":"Einsele","given":"H.","non-dropping-particle":"","parse-names":false,"suffix":""},{"dropping-particle":"","family":"la Camara","given":"R.","non-dropping-particle":"de","parse-names":false,"suffix":""},{"dropping-particle":"","family":"Cordonnier","given":"C.","non-dropping-particle":"","parse-names":false,"suffix":""},{"dropping-particle":"","family":"Ward","given":"K. N.","non-dropping-particle":"","parse-names":false,"suffix":""},{"dropping-particle":"","family":"Ljungman","given":"P.","non-dropping-particle":"","parse-names":false,"suffix":""},{"dropping-particle":"","family":"Engelhard","given":"D.","non-dropping-particle":"","parse-names":false,"suffix":""}],"container-title":"Bone Marrow Transplantation","id":"ITEM-1","issue":"10","issued":{"date-parts":[["2009"]]},"page":"757-770","publisher":"Bone Marrow Transplant","title":"Management of HSV, VZV and EBV infections in patients with hematological malignancies and after SCT: Guidelines from the Second European Conference on Infections in Leukemia","type":"article-journal","volume":"43"},"uris":["http://www.mendeley.com/documents/?uuid=d821a870-8754-3698-8a43-34506f6d18d8"]}],"mendeley":{"formattedCitation":"[136]","plainTextFormattedCitation":"[136]","previouslyFormattedCitation":"[1]"},"properties":{"noteIndex":0},"schema":"https://github.com/citation-style-language/schema/raw/master/csl-citation.json"}</w:instrText>
      </w:r>
      <w:r w:rsidRPr="00867D9A">
        <w:fldChar w:fldCharType="separate"/>
      </w:r>
      <w:r w:rsidR="00A67ED2" w:rsidRPr="00A67ED2">
        <w:rPr>
          <w:noProof/>
        </w:rPr>
        <w:t>[136]</w:t>
      </w:r>
      <w:r w:rsidRPr="00867D9A">
        <w:fldChar w:fldCharType="end"/>
      </w:r>
      <w:r w:rsidRPr="006B215F">
        <w:t>.</w:t>
      </w:r>
    </w:p>
    <w:p w14:paraId="13AB8EA5" w14:textId="5653A45F" w:rsidR="00527F45" w:rsidRPr="006B215F" w:rsidRDefault="00527F45" w:rsidP="00527F45">
      <w:pPr>
        <w:ind w:firstLine="708"/>
      </w:pPr>
      <w:r w:rsidRPr="006B215F">
        <w:t xml:space="preserve">Для диагностики инфекции необходимо выявление вирусного генома </w:t>
      </w:r>
      <w:r>
        <w:t xml:space="preserve">при молекулярно-биологическом исследовании </w:t>
      </w:r>
      <w:r w:rsidRPr="006B215F">
        <w:t xml:space="preserve">методом </w:t>
      </w:r>
      <w:r w:rsidRPr="0028579C">
        <w:t>полимеразной цепной реакции (ПЦР). Исследуемые</w:t>
      </w:r>
      <w:r w:rsidRPr="006B215F">
        <w:t xml:space="preserve"> образцы – сыворотка крови, отделяемой со слизистой ротогл</w:t>
      </w:r>
      <w:r>
        <w:t>отки (</w:t>
      </w:r>
      <w:r w:rsidRPr="006B215F">
        <w:t xml:space="preserve">при наличии признаков мукозита) или со слизистой пищевода, </w:t>
      </w:r>
      <w:r>
        <w:t xml:space="preserve">аспираты и </w:t>
      </w:r>
      <w:r w:rsidRPr="006B215F">
        <w:t>биоптаты слизистых и органов</w:t>
      </w:r>
      <w:r>
        <w:t xml:space="preserve"> </w:t>
      </w:r>
      <w:r w:rsidRPr="00867D9A">
        <w:fldChar w:fldCharType="begin" w:fldLock="1"/>
      </w:r>
      <w:r w:rsidR="00A67ED2">
        <w:instrText>ADDIN CSL_CITATION {"citationItems":[{"id":"ITEM-1","itemData":{"DOI":"10.1038/bmt.2008.386","ISSN":"02683369","PMID":"19043458","abstract":"These guidelines on the management of HSV, VZV and EBV infection in patients with hematological malignancies and after SCT were prepared by the European Conference on Infections in Leukemia following a predefined methodology. A PubMed search was conducted using the appropriate key words to identify studies pertinent to management of HSV, VZV and EBV infections. References of relevant articles and abstracts from recent hematology and SCT scientific meetings were also reviewed. Prospective and retrospective studies identified from the data sources were evaluated, and all data deemed relevant were included in this analysis. The clinical and scientific background was described and discussed, and the quality of evidence and level of recommendation were graded according to the Centers for Disease Control criteria.","author":[{"dropping-particle":"","family":"Styczynski","given":"J.","non-dropping-particle":"","parse-names":false,"suffix":""},{"dropping-particle":"","family":"Reusser","given":"P.","non-dropping-particle":"","parse-names":false,"suffix":""},{"dropping-particle":"","family":"Einsele","given":"H.","non-dropping-particle":"","parse-names":false,"suffix":""},{"dropping-particle":"","family":"la Camara","given":"R.","non-dropping-particle":"de","parse-names":false,"suffix":""},{"dropping-particle":"","family":"Cordonnier","given":"C.","non-dropping-particle":"","parse-names":false,"suffix":""},{"dropping-particle":"","family":"Ward","given":"K. N.","non-dropping-particle":"","parse-names":false,"suffix":""},{"dropping-particle":"","family":"Ljungman","given":"P.","non-dropping-particle":"","parse-names":false,"suffix":""},{"dropping-particle":"","family":"Engelhard","given":"D.","non-dropping-particle":"","parse-names":false,"suffix":""}],"container-title":"Bone Marrow Transplantation","id":"ITEM-1","issue":"10","issued":{"date-parts":[["2009"]]},"page":"757-770","publisher":"Bone Marrow Transplant","title":"Management of HSV, VZV and EBV infections in patients with hematological malignancies and after SCT: Guidelines from the Second European Conference on Infections in Leukemia","type":"article-journal","volume":"43"},"uris":["http://www.mendeley.com/documents/?uuid=d821a870-8754-3698-8a43-34506f6d18d8"]}],"mendeley":{"formattedCitation":"[136]","plainTextFormattedCitation":"[136]","previouslyFormattedCitation":"[1]"},"properties":{"noteIndex":0},"schema":"https://github.com/citation-style-language/schema/raw/master/csl-citation.json"}</w:instrText>
      </w:r>
      <w:r w:rsidRPr="00867D9A">
        <w:fldChar w:fldCharType="separate"/>
      </w:r>
      <w:r w:rsidR="00A67ED2" w:rsidRPr="00A67ED2">
        <w:rPr>
          <w:noProof/>
        </w:rPr>
        <w:t>[136]</w:t>
      </w:r>
      <w:r w:rsidRPr="00867D9A">
        <w:fldChar w:fldCharType="end"/>
      </w:r>
      <w:r w:rsidRPr="006B215F">
        <w:t>.</w:t>
      </w:r>
    </w:p>
    <w:p w14:paraId="378C11A8" w14:textId="77777777" w:rsidR="00527F45" w:rsidRPr="00CA38D1" w:rsidRDefault="00527F45" w:rsidP="00527F45">
      <w:pPr>
        <w:ind w:firstLine="708"/>
        <w:rPr>
          <w:bCs/>
          <w:i/>
          <w:iCs/>
        </w:rPr>
      </w:pPr>
      <w:r w:rsidRPr="00CA38D1">
        <w:rPr>
          <w:bCs/>
          <w:i/>
          <w:iCs/>
        </w:rPr>
        <w:lastRenderedPageBreak/>
        <w:t>Лечение</w:t>
      </w:r>
    </w:p>
    <w:p w14:paraId="138E18F9" w14:textId="6C8284BF" w:rsidR="00527F45" w:rsidRPr="006B215F" w:rsidRDefault="00527F45" w:rsidP="00527F45">
      <w:pPr>
        <w:ind w:firstLine="708"/>
      </w:pPr>
      <w:r w:rsidRPr="006B215F">
        <w:t>Назначают ацикловир в дозе 250 мг/м</w:t>
      </w:r>
      <w:r w:rsidRPr="00CA38D1">
        <w:rPr>
          <w:vertAlign w:val="superscript"/>
        </w:rPr>
        <w:t>2</w:t>
      </w:r>
      <w:r w:rsidRPr="006B215F">
        <w:t xml:space="preserve"> или 5 мг/кг каждые 8 часов в течение 7-10 дней. При нетяжелых мукозитах проводят лечение пероральной формой препаратов- ацикловир по 200 и 5 раз или по 400 мг 5 раз в сутки, валацикловир – по 500 мг х 2 раза, фамцикловир по 500 мг 2 раза в течение 10 дней. При пневмонии или менингите используют высокие дозы ацикловира внутривенно 500 мг/м</w:t>
      </w:r>
      <w:r w:rsidRPr="006B215F">
        <w:rPr>
          <w:vertAlign w:val="superscript"/>
        </w:rPr>
        <w:t xml:space="preserve">2 </w:t>
      </w:r>
      <w:r w:rsidRPr="006B215F">
        <w:t>или 10 мг/кг каждые 8 часов в течение 14-21 дня</w:t>
      </w:r>
      <w:r>
        <w:t xml:space="preserve"> </w:t>
      </w:r>
      <w:r w:rsidRPr="00867D9A">
        <w:fldChar w:fldCharType="begin" w:fldLock="1"/>
      </w:r>
      <w:r w:rsidR="00A67ED2">
        <w:instrText>ADDIN CSL_CITATION {"citationItems":[{"id":"ITEM-1","itemData":{"DOI":"10.1038/bmt.2008.386","ISSN":"02683369","PMID":"19043458","abstract":"These guidelines on the management of HSV, VZV and EBV infection in patients with hematological malignancies and after SCT were prepared by the European Conference on Infections in Leukemia following a predefined methodology. A PubMed search was conducted using the appropriate key words to identify studies pertinent to management of HSV, VZV and EBV infections. References of relevant articles and abstracts from recent hematology and SCT scientific meetings were also reviewed. Prospective and retrospective studies identified from the data sources were evaluated, and all data deemed relevant were included in this analysis. The clinical and scientific background was described and discussed, and the quality of evidence and level of recommendation were graded according to the Centers for Disease Control criteria.","author":[{"dropping-particle":"","family":"Styczynski","given":"J.","non-dropping-particle":"","parse-names":false,"suffix":""},{"dropping-particle":"","family":"Reusser","given":"P.","non-dropping-particle":"","parse-names":false,"suffix":""},{"dropping-particle":"","family":"Einsele","given":"H.","non-dropping-particle":"","parse-names":false,"suffix":""},{"dropping-particle":"","family":"la Camara","given":"R.","non-dropping-particle":"de","parse-names":false,"suffix":""},{"dropping-particle":"","family":"Cordonnier","given":"C.","non-dropping-particle":"","parse-names":false,"suffix":""},{"dropping-particle":"","family":"Ward","given":"K. N.","non-dropping-particle":"","parse-names":false,"suffix":""},{"dropping-particle":"","family":"Ljungman","given":"P.","non-dropping-particle":"","parse-names":false,"suffix":""},{"dropping-particle":"","family":"Engelhard","given":"D.","non-dropping-particle":"","parse-names":false,"suffix":""}],"container-title":"Bone Marrow Transplantation","id":"ITEM-1","issue":"10","issued":{"date-parts":[["2009"]]},"page":"757-770","publisher":"Bone Marrow Transplant","title":"Management of HSV, VZV and EBV infections in patients with hematological malignancies and after SCT: Guidelines from the Second European Conference on Infections in Leukemia","type":"article-journal","volume":"43"},"uris":["http://www.mendeley.com/documents/?uuid=d821a870-8754-3698-8a43-34506f6d18d8"]}],"mendeley":{"formattedCitation":"[136]","plainTextFormattedCitation":"[136]","previouslyFormattedCitation":"[1]"},"properties":{"noteIndex":0},"schema":"https://github.com/citation-style-language/schema/raw/master/csl-citation.json"}</w:instrText>
      </w:r>
      <w:r w:rsidRPr="00867D9A">
        <w:fldChar w:fldCharType="separate"/>
      </w:r>
      <w:r w:rsidR="00A67ED2" w:rsidRPr="00A67ED2">
        <w:rPr>
          <w:noProof/>
        </w:rPr>
        <w:t>[136]</w:t>
      </w:r>
      <w:r w:rsidRPr="00867D9A">
        <w:fldChar w:fldCharType="end"/>
      </w:r>
      <w:r w:rsidRPr="006B215F">
        <w:t>.</w:t>
      </w:r>
    </w:p>
    <w:p w14:paraId="4D60D21C" w14:textId="7A0D2CDC" w:rsidR="00527F45" w:rsidRDefault="00527F45" w:rsidP="00527F45">
      <w:pPr>
        <w:ind w:firstLine="708"/>
      </w:pPr>
      <w:r w:rsidRPr="006B215F">
        <w:t xml:space="preserve">Длительный прием ацикловира редко приводит к развитию резистентности. Резистентность к ацикловиру является следствием длительной реактивации </w:t>
      </w:r>
      <w:r>
        <w:t>HSV.</w:t>
      </w:r>
      <w:r w:rsidRPr="006B215F">
        <w:t xml:space="preserve"> В этих случаях назначают фоскарнет внутривенно 60 м</w:t>
      </w:r>
      <w:r>
        <w:t>г/кг каждые 12 час или 40 мг/кг</w:t>
      </w:r>
      <w:r w:rsidRPr="006B215F">
        <w:t xml:space="preserve"> каждые 8 час в течение 7-21 дня или до ликвидации симптомов инфекции</w:t>
      </w:r>
      <w:r>
        <w:t xml:space="preserve"> </w:t>
      </w:r>
      <w:r w:rsidRPr="00867D9A">
        <w:fldChar w:fldCharType="begin" w:fldLock="1"/>
      </w:r>
      <w:r w:rsidR="00A67ED2">
        <w:instrText>ADDIN CSL_CITATION {"citationItems":[{"id":"ITEM-1","itemData":{"DOI":"10.1038/bmt.2008.386","ISSN":"02683369","PMID":"19043458","abstract":"These guidelines on the management of HSV, VZV and EBV infection in patients with hematological malignancies and after SCT were prepared by the European Conference on Infections in Leukemia following a predefined methodology. A PubMed search was conducted using the appropriate key words to identify studies pertinent to management of HSV, VZV and EBV infections. References of relevant articles and abstracts from recent hematology and SCT scientific meetings were also reviewed. Prospective and retrospective studies identified from the data sources were evaluated, and all data deemed relevant were included in this analysis. The clinical and scientific background was described and discussed, and the quality of evidence and level of recommendation were graded according to the Centers for Disease Control criteria.","author":[{"dropping-particle":"","family":"Styczynski","given":"J.","non-dropping-particle":"","parse-names":false,"suffix":""},{"dropping-particle":"","family":"Reusser","given":"P.","non-dropping-particle":"","parse-names":false,"suffix":""},{"dropping-particle":"","family":"Einsele","given":"H.","non-dropping-particle":"","parse-names":false,"suffix":""},{"dropping-particle":"","family":"la Camara","given":"R.","non-dropping-particle":"de","parse-names":false,"suffix":""},{"dropping-particle":"","family":"Cordonnier","given":"C.","non-dropping-particle":"","parse-names":false,"suffix":""},{"dropping-particle":"","family":"Ward","given":"K. N.","non-dropping-particle":"","parse-names":false,"suffix":""},{"dropping-particle":"","family":"Ljungman","given":"P.","non-dropping-particle":"","parse-names":false,"suffix":""},{"dropping-particle":"","family":"Engelhard","given":"D.","non-dropping-particle":"","parse-names":false,"suffix":""}],"container-title":"Bone Marrow Transplantation","id":"ITEM-1","issue":"10","issued":{"date-parts":[["2009"]]},"page":"757-770","publisher":"Bone Marrow Transplant","title":"Management of HSV, VZV and EBV infections in patients with hematological malignancies and after SCT: Guidelines from the Second European Conference on Infections in Leukemia","type":"article-journal","volume":"43"},"uris":["http://www.mendeley.com/documents/?uuid=d821a870-8754-3698-8a43-34506f6d18d8"]}],"mendeley":{"formattedCitation":"[136]","plainTextFormattedCitation":"[136]","previouslyFormattedCitation":"[1]"},"properties":{"noteIndex":0},"schema":"https://github.com/citation-style-language/schema/raw/master/csl-citation.json"}</w:instrText>
      </w:r>
      <w:r w:rsidRPr="00867D9A">
        <w:fldChar w:fldCharType="separate"/>
      </w:r>
      <w:r w:rsidR="00A67ED2" w:rsidRPr="00A67ED2">
        <w:rPr>
          <w:noProof/>
        </w:rPr>
        <w:t>[136]</w:t>
      </w:r>
      <w:r w:rsidRPr="00867D9A">
        <w:fldChar w:fldCharType="end"/>
      </w:r>
      <w:r w:rsidRPr="006B215F">
        <w:t>.</w:t>
      </w:r>
    </w:p>
    <w:p w14:paraId="16696B38" w14:textId="77777777" w:rsidR="00527F45" w:rsidRPr="006B215F" w:rsidRDefault="00527F45" w:rsidP="00527F45">
      <w:pPr>
        <w:ind w:firstLine="708"/>
      </w:pPr>
    </w:p>
    <w:p w14:paraId="6542FE29" w14:textId="77777777" w:rsidR="00527F45" w:rsidRPr="00861C01" w:rsidRDefault="00527F45" w:rsidP="00527F45">
      <w:pPr>
        <w:rPr>
          <w:bCs/>
          <w:i/>
          <w:iCs/>
          <w:u w:val="single"/>
        </w:rPr>
      </w:pPr>
      <w:r w:rsidRPr="00861C01">
        <w:rPr>
          <w:bCs/>
          <w:i/>
          <w:iCs/>
          <w:u w:val="single"/>
        </w:rPr>
        <w:t xml:space="preserve">Герпес зостер вирус (Herpes zoster virus, HZV) </w:t>
      </w:r>
    </w:p>
    <w:p w14:paraId="561D5B49" w14:textId="77777777" w:rsidR="00527F45" w:rsidRPr="00EE012F" w:rsidRDefault="00527F45" w:rsidP="00527F45">
      <w:pPr>
        <w:ind w:firstLine="708"/>
      </w:pPr>
      <w:r w:rsidRPr="006B215F">
        <w:t xml:space="preserve">У реципиентов ТГСК инфекция </w:t>
      </w:r>
      <w:r w:rsidRPr="0028579C">
        <w:t>чаще возникает в течение первых 24 месяцев. Группу риска составляют больные с хронической реакцией «трансплантат против хозяина» (РТПХ). Другие факторы включают наличие острого лейкоза или лимфопролиферативного</w:t>
      </w:r>
      <w:r w:rsidRPr="006B215F">
        <w:t xml:space="preserve"> заболевания в качестве диагноза до ТГСК, во</w:t>
      </w:r>
      <w:r>
        <w:t>зраст старше 50 лет, проведение</w:t>
      </w:r>
      <w:r w:rsidRPr="006B215F">
        <w:t xml:space="preserve"> миелоаблативного режима, </w:t>
      </w:r>
      <w:r>
        <w:t>CD</w:t>
      </w:r>
      <w:r w:rsidRPr="006B215F">
        <w:t>34+</w:t>
      </w:r>
      <w:r>
        <w:t xml:space="preserve"> селектированная аллогенная или аутологичная ТГСК, наличие дефицита одновременно CD</w:t>
      </w:r>
      <w:r w:rsidRPr="006B215F">
        <w:t xml:space="preserve">4(+) и </w:t>
      </w:r>
      <w:r>
        <w:t>CD</w:t>
      </w:r>
      <w:r w:rsidRPr="006B215F">
        <w:t>8(+) лимфоцитов на 30</w:t>
      </w:r>
      <w:r>
        <w:t>-</w:t>
      </w:r>
      <w:r w:rsidRPr="006B215F">
        <w:t xml:space="preserve">й день после ТГСК. </w:t>
      </w:r>
      <w:r>
        <w:t>Гематологические пациенты с лимфопролиферативными заболеваниями составляют группу повышенного риска, независимо от этапа лечения / наблюдения.</w:t>
      </w:r>
    </w:p>
    <w:p w14:paraId="3F43EB0B" w14:textId="77777777" w:rsidR="00527F45" w:rsidRPr="006B215F" w:rsidRDefault="00527F45" w:rsidP="00527F45">
      <w:pPr>
        <w:ind w:firstLine="708"/>
      </w:pPr>
      <w:r w:rsidRPr="006B215F">
        <w:t xml:space="preserve">Инфекция, вызванная </w:t>
      </w:r>
      <w:r>
        <w:t>HZV</w:t>
      </w:r>
      <w:r w:rsidRPr="006B215F">
        <w:t xml:space="preserve">, характеризуется поражением межпозвоночных ганглиев, множественными высыпаниями на коже по ходу вовлеченных в процесс нервов, часто сопровождающимися сильными болями, возможно развитие энцефалита, гепатита, пневмонии. Описаны случаи локализации </w:t>
      </w:r>
      <w:r>
        <w:t>боли в эпигастральной области,</w:t>
      </w:r>
      <w:r w:rsidRPr="006B215F">
        <w:t xml:space="preserve"> абдоминальные с развитием паралитической кишечной непроходимости.</w:t>
      </w:r>
    </w:p>
    <w:p w14:paraId="2B9CD193" w14:textId="77777777" w:rsidR="00527F45" w:rsidRPr="006B215F" w:rsidRDefault="00527F45" w:rsidP="00527F45">
      <w:pPr>
        <w:ind w:firstLine="708"/>
      </w:pPr>
      <w:r w:rsidRPr="006B215F">
        <w:t xml:space="preserve">Диагностику проводят на основании </w:t>
      </w:r>
      <w:r>
        <w:t xml:space="preserve">выявления </w:t>
      </w:r>
      <w:r w:rsidRPr="0028579C">
        <w:t xml:space="preserve">дезоксирибонуклеиновой кислоты (ДНК) вируса </w:t>
      </w:r>
      <w:r>
        <w:t xml:space="preserve">при молекулярно-биологическом исследовании </w:t>
      </w:r>
      <w:r w:rsidRPr="0028579C">
        <w:t>методом ПЦР. Исследуют содержимое везикул, “корочки” с везикул, биоптаты тканей, мазки со слизистой зева, спинномозговую жидкость (СМЖ), сыворотку крови</w:t>
      </w:r>
      <w:r>
        <w:t>, и др</w:t>
      </w:r>
      <w:r w:rsidRPr="0028579C">
        <w:t>.</w:t>
      </w:r>
    </w:p>
    <w:p w14:paraId="3A20C04E" w14:textId="77777777" w:rsidR="00527F45" w:rsidRDefault="00527F45" w:rsidP="00527F45">
      <w:pPr>
        <w:ind w:firstLine="708"/>
      </w:pPr>
      <w:r w:rsidRPr="006B215F">
        <w:t>Лечение проводят ацикловиром внутривенно в дозе 500 мг/м</w:t>
      </w:r>
      <w:r w:rsidRPr="006B215F">
        <w:rPr>
          <w:vertAlign w:val="superscript"/>
        </w:rPr>
        <w:t>2</w:t>
      </w:r>
      <w:r w:rsidRPr="006B215F">
        <w:t>, введение каждые 8 часов. При стабилизации состояния возможен переход на пероральный прием препаратов – валацикловир (по 100 мг 3 раза), фамцикловир (по 500 мг 3 раза), ацикловир (800 мг 5 раз). Общая длительность лечения составляет не менее 7 дней. В случае ацикловир-</w:t>
      </w:r>
      <w:r w:rsidRPr="006B215F">
        <w:lastRenderedPageBreak/>
        <w:t xml:space="preserve">резистентных </w:t>
      </w:r>
      <w:r>
        <w:t xml:space="preserve">HZV используют фоскарнет (60 мг/кг каждые 12 час внутривенно) в течение 2 недель. </w:t>
      </w:r>
    </w:p>
    <w:p w14:paraId="157E4A41" w14:textId="77777777" w:rsidR="00527F45" w:rsidRDefault="00527F45" w:rsidP="00527F45">
      <w:pPr>
        <w:ind w:firstLine="708"/>
      </w:pPr>
    </w:p>
    <w:p w14:paraId="28F351E4" w14:textId="77777777" w:rsidR="00527F45" w:rsidRPr="007F7F8C" w:rsidRDefault="00527F45" w:rsidP="00527F45">
      <w:pPr>
        <w:rPr>
          <w:bCs/>
          <w:i/>
          <w:iCs/>
          <w:u w:val="single"/>
        </w:rPr>
      </w:pPr>
      <w:r w:rsidRPr="007F7F8C">
        <w:rPr>
          <w:bCs/>
          <w:i/>
          <w:iCs/>
          <w:u w:val="single"/>
        </w:rPr>
        <w:t>Цитомегаловирус (Cytomegalovirus, CMV)</w:t>
      </w:r>
    </w:p>
    <w:p w14:paraId="19996D19" w14:textId="573F34A9" w:rsidR="00527F45" w:rsidRPr="00E42938" w:rsidRDefault="00527F45" w:rsidP="00527F45">
      <w:pPr>
        <w:ind w:firstLine="708"/>
      </w:pPr>
      <w:r w:rsidRPr="0028579C">
        <w:t xml:space="preserve">CMV остается частым осложнением </w:t>
      </w:r>
      <w:r w:rsidR="00840044">
        <w:t>при лейкозах</w:t>
      </w:r>
      <w:r>
        <w:t xml:space="preserve">, </w:t>
      </w:r>
      <w:r w:rsidR="00840044">
        <w:t>особенно</w:t>
      </w:r>
      <w:r>
        <w:t xml:space="preserve">, </w:t>
      </w:r>
      <w:r w:rsidRPr="0028579C">
        <w:t xml:space="preserve">у реципиентов аллогенных ТГСК, может быть причиной заболевания как на раннем, так и позднем этапе после ТГСК, приводит к угнетению костно-мозгового кровообращения. Виремия при </w:t>
      </w:r>
      <w:r w:rsidR="00840044">
        <w:t xml:space="preserve">ОЛЛ достигает 13,6%. </w:t>
      </w:r>
      <w:r w:rsidRPr="0028579C">
        <w:t>Выделяют CMV</w:t>
      </w:r>
      <w:r>
        <w:t>-</w:t>
      </w:r>
      <w:r w:rsidRPr="0028579C">
        <w:t>инфекцию и CMV</w:t>
      </w:r>
      <w:r>
        <w:t>-</w:t>
      </w:r>
      <w:r w:rsidRPr="0028579C">
        <w:t>заболевание. При CMV</w:t>
      </w:r>
      <w:r>
        <w:t>-</w:t>
      </w:r>
      <w:r w:rsidRPr="0028579C">
        <w:t>инфекции определяется виремия и температура в сочетании или без подавления костно-мозгового кроветворения. В случае CMV</w:t>
      </w:r>
      <w:r>
        <w:t>-</w:t>
      </w:r>
      <w:r w:rsidRPr="0028579C">
        <w:t xml:space="preserve">заболевания вирус определяется в биоптате или из образцов, полученных в ходе инвазивных вмешательств (жидкость бронхоальвеолярного лаважа, СМЖ), </w:t>
      </w:r>
      <w:r>
        <w:t>с</w:t>
      </w:r>
      <w:r w:rsidRPr="0028579C">
        <w:t xml:space="preserve"> наличием</w:t>
      </w:r>
      <w:r w:rsidRPr="006B215F">
        <w:t xml:space="preserve"> симптомов, ассоциированных с </w:t>
      </w:r>
      <w:r>
        <w:t xml:space="preserve">локализацией мест получения </w:t>
      </w:r>
      <w:r w:rsidRPr="006B215F">
        <w:t>образц</w:t>
      </w:r>
      <w:r>
        <w:t>ов</w:t>
      </w:r>
      <w:r w:rsidRPr="006B215F">
        <w:t xml:space="preserve"> исследования. Наряду с пневмонией, энцефалитом, ретинитом может развиться </w:t>
      </w:r>
      <w:r>
        <w:t>CMV-</w:t>
      </w:r>
      <w:r w:rsidRPr="006B215F">
        <w:t xml:space="preserve">гастроинтестинальное заболевание, диагностика которого </w:t>
      </w:r>
      <w:r w:rsidRPr="00E42938">
        <w:t xml:space="preserve">является наиболее трудной, особенно у пациентов с РТПХ </w:t>
      </w:r>
      <w:r w:rsidRPr="00E42938">
        <w:fldChar w:fldCharType="begin" w:fldLock="1"/>
      </w:r>
      <w:r w:rsidR="00A67ED2">
        <w:instrText>ADDIN CSL_CITATION {"citationItems":[{"id":"ITEM-1","itemData":{"DOI":"10.1038/bmt.2008.162","ISSN":"02683369","PMID":"18587440","abstract":"These recommendations were prepared by the European Conference on Infections in Leukaemia following a predefined methodology. Literature searches were made to identify studies pertinent to management of CMV, HHV-6, -7 and -8 infections. For CMV, 76 studies were reviewed: 72 published and 4 presented as abstracts. Twenty-nine of these studies were prospective randomized trials. For the other herpesviruses, HHV-6, -7 and -8, no randomized controlled trial has been performed, although data from some studies with other primary endpoints have been used to assess the management of HHV-6 infection. Works presented only as abstracts were used to a very limited extent. The quality of evidence and level of recommendation were graded according to the Center for Disease Control (CDC) criteria.","author":[{"dropping-particle":"","family":"Ljungman","given":"P.","non-dropping-particle":"","parse-names":false,"suffix":""},{"dropping-particle":"","family":"la Camara","given":"R.","non-dropping-particle":"de","parse-names":false,"suffix":""},{"dropping-particle":"","family":"Cordonnier","given":"C.","non-dropping-particle":"","parse-names":false,"suffix":""},{"dropping-particle":"","family":"Einsele","given":"H.","non-dropping-particle":"","parse-names":false,"suffix":""},{"dropping-particle":"","family":"Engelhard","given":"D.","non-dropping-particle":"","parse-names":false,"suffix":""},{"dropping-particle":"","family":"Reusser","given":"P.","non-dropping-particle":"","parse-names":false,"suffix":""},{"dropping-particle":"","family":"Styczynski","given":"J.","non-dropping-particle":"","parse-names":false,"suffix":""},{"dropping-particle":"","family":"Ward","given":"K.","non-dropping-particle":"","parse-names":false,"suffix":""}],"container-title":"Bone Marrow Transplantation","id":"ITEM-1","issue":"4","issued":{"date-parts":[["2008"]]},"page":"227-240","publisher":"Bone Marrow Transplant","title":"Management of CMV, HHV-6, HHV-7 and Kaposi-sarcoma herpesvirus (HHV-8) infections in patients with hematological malignancies and after SCT","type":"article-journal","volume":"42"},"uris":["http://www.mendeley.com/documents/?uuid=6de8cb55-2bab-3464-972f-0aef05a840e0"]}],"mendeley":{"formattedCitation":"[137]","plainTextFormattedCitation":"[137]","previouslyFormattedCitation":"[2]"},"properties":{"noteIndex":0},"schema":"https://github.com/citation-style-language/schema/raw/master/csl-citation.json"}</w:instrText>
      </w:r>
      <w:r w:rsidRPr="00E42938">
        <w:fldChar w:fldCharType="separate"/>
      </w:r>
      <w:r w:rsidR="00A67ED2" w:rsidRPr="00A67ED2">
        <w:rPr>
          <w:noProof/>
        </w:rPr>
        <w:t>[137]</w:t>
      </w:r>
      <w:r w:rsidRPr="00E42938">
        <w:fldChar w:fldCharType="end"/>
      </w:r>
      <w:r w:rsidRPr="00E42938">
        <w:t xml:space="preserve">. </w:t>
      </w:r>
    </w:p>
    <w:p w14:paraId="2DFB26AF" w14:textId="77777777" w:rsidR="00527F45" w:rsidRPr="007F7F8C" w:rsidRDefault="00527F45" w:rsidP="00527F45">
      <w:pPr>
        <w:ind w:firstLine="708"/>
        <w:rPr>
          <w:bCs/>
          <w:i/>
          <w:iCs/>
        </w:rPr>
      </w:pPr>
      <w:r w:rsidRPr="007F7F8C">
        <w:rPr>
          <w:bCs/>
          <w:i/>
          <w:iCs/>
        </w:rPr>
        <w:t>Диагностика</w:t>
      </w:r>
    </w:p>
    <w:p w14:paraId="1707CFCF" w14:textId="77777777" w:rsidR="00527F45" w:rsidRPr="006B215F" w:rsidRDefault="00527F45" w:rsidP="00527F45">
      <w:pPr>
        <w:ind w:firstLine="708"/>
      </w:pPr>
      <w:r w:rsidRPr="006B215F">
        <w:t xml:space="preserve">У реципиентов </w:t>
      </w:r>
      <w:r>
        <w:t xml:space="preserve">до </w:t>
      </w:r>
      <w:r w:rsidRPr="006B215F">
        <w:t xml:space="preserve">ТГСК исследуют наличие антител </w:t>
      </w:r>
      <w:r>
        <w:t>CMV.</w:t>
      </w:r>
    </w:p>
    <w:p w14:paraId="21BBEF93" w14:textId="20381C4D" w:rsidR="00527F45" w:rsidRPr="006B215F" w:rsidRDefault="00527F45" w:rsidP="00527F45">
      <w:pPr>
        <w:ind w:firstLine="708"/>
      </w:pPr>
      <w:r w:rsidRPr="006B215F">
        <w:t xml:space="preserve">Для диагностики инфекции или заболевания используют </w:t>
      </w:r>
      <w:r w:rsidRPr="00B67A55">
        <w:t>молекулярно-биологическое исследование на цитомегаловирус, включая количественное исследование</w:t>
      </w:r>
      <w:r>
        <w:t xml:space="preserve"> </w:t>
      </w:r>
      <w:r w:rsidRPr="006B215F">
        <w:t xml:space="preserve"> мето</w:t>
      </w:r>
      <w:r>
        <w:t>дом</w:t>
      </w:r>
      <w:r w:rsidRPr="006B215F">
        <w:t xml:space="preserve"> ПЦР</w:t>
      </w:r>
      <w:r>
        <w:t xml:space="preserve"> </w:t>
      </w:r>
      <w:r w:rsidRPr="00E42938">
        <w:fldChar w:fldCharType="begin" w:fldLock="1"/>
      </w:r>
      <w:r w:rsidR="00A67ED2">
        <w:instrText>ADDIN CSL_CITATION {"citationItems":[{"id":"ITEM-1","itemData":{"DOI":"10.1038/bmt.2008.162","ISSN":"02683369","PMID":"18587440","abstract":"These recommendations were prepared by the European Conference on Infections in Leukaemia following a predefined methodology. Literature searches were made to identify studies pertinent to management of CMV, HHV-6, -7 and -8 infections. For CMV, 76 studies were reviewed: 72 published and 4 presented as abstracts. Twenty-nine of these studies were prospective randomized trials. For the other herpesviruses, HHV-6, -7 and -8, no randomized controlled trial has been performed, although data from some studies with other primary endpoints have been used to assess the management of HHV-6 infection. Works presented only as abstracts were used to a very limited extent. The quality of evidence and level of recommendation were graded according to the Center for Disease Control (CDC) criteria.","author":[{"dropping-particle":"","family":"Ljungman","given":"P.","non-dropping-particle":"","parse-names":false,"suffix":""},{"dropping-particle":"","family":"la Camara","given":"R.","non-dropping-particle":"de","parse-names":false,"suffix":""},{"dropping-particle":"","family":"Cordonnier","given":"C.","non-dropping-particle":"","parse-names":false,"suffix":""},{"dropping-particle":"","family":"Einsele","given":"H.","non-dropping-particle":"","parse-names":false,"suffix":""},{"dropping-particle":"","family":"Engelhard","given":"D.","non-dropping-particle":"","parse-names":false,"suffix":""},{"dropping-particle":"","family":"Reusser","given":"P.","non-dropping-particle":"","parse-names":false,"suffix":""},{"dropping-particle":"","family":"Styczynski","given":"J.","non-dropping-particle":"","parse-names":false,"suffix":""},{"dropping-particle":"","family":"Ward","given":"K.","non-dropping-particle":"","parse-names":false,"suffix":""}],"container-title":"Bone Marrow Transplantation","id":"ITEM-1","issue":"4","issued":{"date-parts":[["2008"]]},"page":"227-240","publisher":"Bone Marrow Transplant","title":"Management of CMV, HHV-6, HHV-7 and Kaposi-sarcoma herpesvirus (HHV-8) infections in patients with hematological malignancies and after SCT","type":"article-journal","volume":"42"},"uris":["http://www.mendeley.com/documents/?uuid=6de8cb55-2bab-3464-972f-0aef05a840e0"]}],"mendeley":{"formattedCitation":"[137]","plainTextFormattedCitation":"[137]","previouslyFormattedCitation":"[2]"},"properties":{"noteIndex":0},"schema":"https://github.com/citation-style-language/schema/raw/master/csl-citation.json"}</w:instrText>
      </w:r>
      <w:r w:rsidRPr="00E42938">
        <w:fldChar w:fldCharType="separate"/>
      </w:r>
      <w:r w:rsidR="00A67ED2" w:rsidRPr="00A67ED2">
        <w:rPr>
          <w:noProof/>
        </w:rPr>
        <w:t>[137]</w:t>
      </w:r>
      <w:r w:rsidRPr="00E42938">
        <w:fldChar w:fldCharType="end"/>
      </w:r>
      <w:r w:rsidRPr="006B215F">
        <w:t>. Всем реципиентам аллогенной ТГ</w:t>
      </w:r>
      <w:r>
        <w:t>СК следует проводить мониторинг</w:t>
      </w:r>
      <w:r w:rsidRPr="006B215F">
        <w:t xml:space="preserve"> определения ДНК </w:t>
      </w:r>
      <w:r>
        <w:t>CMV</w:t>
      </w:r>
      <w:r w:rsidRPr="006B215F">
        <w:t xml:space="preserve"> не реже чем 1 раз в неделю. Длительность мониторинга составляет не менее 100 дней. Удлинение мониторинга рекомендовано у реципиентов с острой или хронической РТПХ, имевших </w:t>
      </w:r>
      <w:r>
        <w:t>CMV</w:t>
      </w:r>
      <w:r w:rsidRPr="006B215F">
        <w:t xml:space="preserve"> инфекцию в раннем периоде ТГСК, а также у реципиентов после несовместимой или неродственной ТГСК.</w:t>
      </w:r>
    </w:p>
    <w:p w14:paraId="41E296CB" w14:textId="77777777" w:rsidR="00527F45" w:rsidRPr="007F7F8C" w:rsidRDefault="00527F45" w:rsidP="00527F45">
      <w:pPr>
        <w:ind w:firstLine="708"/>
        <w:rPr>
          <w:bCs/>
          <w:i/>
          <w:iCs/>
        </w:rPr>
      </w:pPr>
      <w:r w:rsidRPr="007F7F8C">
        <w:rPr>
          <w:bCs/>
          <w:i/>
          <w:iCs/>
        </w:rPr>
        <w:t>Лечение</w:t>
      </w:r>
    </w:p>
    <w:p w14:paraId="2CBFD306" w14:textId="036E017C" w:rsidR="00527F45" w:rsidRPr="006B215F" w:rsidRDefault="00527F45" w:rsidP="00527F45">
      <w:pPr>
        <w:ind w:firstLine="708"/>
      </w:pPr>
      <w:r w:rsidRPr="006B215F">
        <w:t>Препаратом 1 линии является ганцикловир (внутривенно, 10 мг/кг/сутки, дозу разделяют на два приема)</w:t>
      </w:r>
      <w:r>
        <w:t xml:space="preserve"> </w:t>
      </w:r>
      <w:r w:rsidRPr="00E42938">
        <w:fldChar w:fldCharType="begin" w:fldLock="1"/>
      </w:r>
      <w:r w:rsidR="00A67ED2">
        <w:instrText>ADDIN CSL_CITATION {"citationItems":[{"id":"ITEM-1","itemData":{"DOI":"10.1038/bmt.2008.162","ISSN":"02683369","PMID":"18587440","abstract":"These recommendations were prepared by the European Conference on Infections in Leukaemia following a predefined methodology. Literature searches were made to identify studies pertinent to management of CMV, HHV-6, -7 and -8 infections. For CMV, 76 studies were reviewed: 72 published and 4 presented as abstracts. Twenty-nine of these studies were prospective randomized trials. For the other herpesviruses, HHV-6, -7 and -8, no randomized controlled trial has been performed, although data from some studies with other primary endpoints have been used to assess the management of HHV-6 infection. Works presented only as abstracts were used to a very limited extent. The quality of evidence and level of recommendation were graded according to the Center for Disease Control (CDC) criteria.","author":[{"dropping-particle":"","family":"Ljungman","given":"P.","non-dropping-particle":"","parse-names":false,"suffix":""},{"dropping-particle":"","family":"la Camara","given":"R.","non-dropping-particle":"de","parse-names":false,"suffix":""},{"dropping-particle":"","family":"Cordonnier","given":"C.","non-dropping-particle":"","parse-names":false,"suffix":""},{"dropping-particle":"","family":"Einsele","given":"H.","non-dropping-particle":"","parse-names":false,"suffix":""},{"dropping-particle":"","family":"Engelhard","given":"D.","non-dropping-particle":"","parse-names":false,"suffix":""},{"dropping-particle":"","family":"Reusser","given":"P.","non-dropping-particle":"","parse-names":false,"suffix":""},{"dropping-particle":"","family":"Styczynski","given":"J.","non-dropping-particle":"","parse-names":false,"suffix":""},{"dropping-particle":"","family":"Ward","given":"K.","non-dropping-particle":"","parse-names":false,"suffix":""}],"container-title":"Bone Marrow Transplantation","id":"ITEM-1","issue":"4","issued":{"date-parts":[["2008"]]},"page":"227-240","publisher":"Bone Marrow Transplant","title":"Management of CMV, HHV-6, HHV-7 and Kaposi-sarcoma herpesvirus (HHV-8) infections in patients with hematological malignancies and after SCT","type":"article-journal","volume":"42"},"uris":["http://www.mendeley.com/documents/?uuid=6de8cb55-2bab-3464-972f-0aef05a840e0"]}],"mendeley":{"formattedCitation":"[137]","plainTextFormattedCitation":"[137]","previouslyFormattedCitation":"[2]"},"properties":{"noteIndex":0},"schema":"https://github.com/citation-style-language/schema/raw/master/csl-citation.json"}</w:instrText>
      </w:r>
      <w:r w:rsidRPr="00E42938">
        <w:fldChar w:fldCharType="separate"/>
      </w:r>
      <w:r w:rsidR="00A67ED2" w:rsidRPr="00A67ED2">
        <w:rPr>
          <w:noProof/>
        </w:rPr>
        <w:t>[137]</w:t>
      </w:r>
      <w:r w:rsidRPr="00E42938">
        <w:fldChar w:fldCharType="end"/>
      </w:r>
      <w:r w:rsidRPr="006B215F">
        <w:t>. При резистентности назначают фоскарнет. Длительность лечения составляет не мене 2 недель. Назначают поддерживающую терапию ганцикловиром, если виремия продолжает определяться через 2 недели</w:t>
      </w:r>
      <w:r>
        <w:t xml:space="preserve"> </w:t>
      </w:r>
      <w:r w:rsidRPr="00E42938">
        <w:fldChar w:fldCharType="begin" w:fldLock="1"/>
      </w:r>
      <w:r w:rsidR="00A67ED2">
        <w:instrText>ADDIN CSL_CITATION {"citationItems":[{"id":"ITEM-1","itemData":{"DOI":"10.1038/bmt.2008.162","ISSN":"02683369","PMID":"18587440","abstract":"These recommendations were prepared by the European Conference on Infections in Leukaemia following a predefined methodology. Literature searches were made to identify studies pertinent to management of CMV, HHV-6, -7 and -8 infections. For CMV, 76 studies were reviewed: 72 published and 4 presented as abstracts. Twenty-nine of these studies were prospective randomized trials. For the other herpesviruses, HHV-6, -7 and -8, no randomized controlled trial has been performed, although data from some studies with other primary endpoints have been used to assess the management of HHV-6 infection. Works presented only as abstracts were used to a very limited extent. The quality of evidence and level of recommendation were graded according to the Center for Disease Control (CDC) criteria.","author":[{"dropping-particle":"","family":"Ljungman","given":"P.","non-dropping-particle":"","parse-names":false,"suffix":""},{"dropping-particle":"","family":"la Camara","given":"R.","non-dropping-particle":"de","parse-names":false,"suffix":""},{"dropping-particle":"","family":"Cordonnier","given":"C.","non-dropping-particle":"","parse-names":false,"suffix":""},{"dropping-particle":"","family":"Einsele","given":"H.","non-dropping-particle":"","parse-names":false,"suffix":""},{"dropping-particle":"","family":"Engelhard","given":"D.","non-dropping-particle":"","parse-names":false,"suffix":""},{"dropping-particle":"","family":"Reusser","given":"P.","non-dropping-particle":"","parse-names":false,"suffix":""},{"dropping-particle":"","family":"Styczynski","given":"J.","non-dropping-particle":"","parse-names":false,"suffix":""},{"dropping-particle":"","family":"Ward","given":"K.","non-dropping-particle":"","parse-names":false,"suffix":""}],"container-title":"Bone Marrow Transplantation","id":"ITEM-1","issue":"4","issued":{"date-parts":[["2008"]]},"page":"227-240","publisher":"Bone Marrow Transplant","title":"Management of CMV, HHV-6, HHV-7 and Kaposi-sarcoma herpesvirus (HHV-8) infections in patients with hematological malignancies and after SCT","type":"article-journal","volume":"42"},"uris":["http://www.mendeley.com/documents/?uuid=6de8cb55-2bab-3464-972f-0aef05a840e0"]}],"mendeley":{"formattedCitation":"[137]","plainTextFormattedCitation":"[137]","previouslyFormattedCitation":"[2]"},"properties":{"noteIndex":0},"schema":"https://github.com/citation-style-language/schema/raw/master/csl-citation.json"}</w:instrText>
      </w:r>
      <w:r w:rsidRPr="00E42938">
        <w:fldChar w:fldCharType="separate"/>
      </w:r>
      <w:r w:rsidR="00A67ED2" w:rsidRPr="00A67ED2">
        <w:rPr>
          <w:noProof/>
        </w:rPr>
        <w:t>[137]</w:t>
      </w:r>
      <w:r w:rsidRPr="00E42938">
        <w:fldChar w:fldCharType="end"/>
      </w:r>
      <w:r w:rsidRPr="006B215F">
        <w:t>.</w:t>
      </w:r>
    </w:p>
    <w:p w14:paraId="560F4886" w14:textId="77777777" w:rsidR="00527F45" w:rsidRDefault="00527F45" w:rsidP="00527F45">
      <w:pPr>
        <w:rPr>
          <w:bCs/>
          <w:i/>
          <w:iCs/>
          <w:u w:val="single"/>
        </w:rPr>
      </w:pPr>
    </w:p>
    <w:p w14:paraId="235E1120" w14:textId="77777777" w:rsidR="00527F45" w:rsidRPr="00E42938" w:rsidRDefault="00527F45" w:rsidP="00527F45">
      <w:pPr>
        <w:rPr>
          <w:bCs/>
          <w:i/>
          <w:iCs/>
          <w:u w:val="single"/>
        </w:rPr>
      </w:pPr>
      <w:r w:rsidRPr="00E42938">
        <w:rPr>
          <w:bCs/>
          <w:i/>
          <w:iCs/>
          <w:u w:val="single"/>
        </w:rPr>
        <w:t>Вирус Эпштейна-Барр (Epstein-Barr virus – EBV)</w:t>
      </w:r>
    </w:p>
    <w:p w14:paraId="6AC3C74C" w14:textId="5F55E3AA" w:rsidR="00527F45" w:rsidRDefault="00527F45" w:rsidP="00527F45">
      <w:pPr>
        <w:ind w:firstLine="708"/>
      </w:pPr>
      <w:r w:rsidRPr="003605AD">
        <w:t xml:space="preserve">Проявления </w:t>
      </w:r>
      <w:r>
        <w:t>EBV</w:t>
      </w:r>
      <w:r w:rsidRPr="00275E66">
        <w:t>-</w:t>
      </w:r>
      <w:r w:rsidRPr="003605AD">
        <w:t xml:space="preserve">инфекции могут быть в виде </w:t>
      </w:r>
      <w:r>
        <w:t>инфекционного мононуклеоза, хронической EBV</w:t>
      </w:r>
      <w:r w:rsidRPr="00275E66">
        <w:t>-</w:t>
      </w:r>
      <w:r>
        <w:t>инфекции, EBV-ассоциированной опухоли. В некоторых случаях проявлением реактивации бывает энцефалит, пневмония и гепатит. Частота EBV-</w:t>
      </w:r>
      <w:r>
        <w:lastRenderedPageBreak/>
        <w:t>ассоциированного лимфопролиферативного заболевания составляет у реципиентов аутологичных ТГСК около 0, 07%, аллогенных ТГСК – 0,45-4%</w:t>
      </w:r>
      <w:r w:rsidRPr="006B215F">
        <w:t>;</w:t>
      </w:r>
      <w:r>
        <w:t xml:space="preserve"> наиболее высокий показатель после гаплоидентичной ТГСК (до 25%) и после деплеции Т-клеток (12-29%). Реципиенты после неродственной или частично совместимой ТГСК или после деплеции Т-клеток составляют группу риска в отношении развития EBV</w:t>
      </w:r>
      <w:r w:rsidRPr="006B215F">
        <w:t xml:space="preserve"> </w:t>
      </w:r>
      <w:r>
        <w:t xml:space="preserve">ассоциированной опухоли </w:t>
      </w:r>
      <w:r w:rsidRPr="00867D9A">
        <w:fldChar w:fldCharType="begin" w:fldLock="1"/>
      </w:r>
      <w:r w:rsidR="00A67ED2">
        <w:instrText>ADDIN CSL_CITATION {"citationItems":[{"id":"ITEM-1","itemData":{"DOI":"10.1038/bmt.2008.386","ISSN":"02683369","PMID":"19043458","abstract":"These guidelines on the management of HSV, VZV and EBV infection in patients with hematological malignancies and after SCT were prepared by the European Conference on Infections in Leukemia following a predefined methodology. A PubMed search was conducted using the appropriate key words to identify studies pertinent to management of HSV, VZV and EBV infections. References of relevant articles and abstracts from recent hematology and SCT scientific meetings were also reviewed. Prospective and retrospective studies identified from the data sources were evaluated, and all data deemed relevant were included in this analysis. The clinical and scientific background was described and discussed, and the quality of evidence and level of recommendation were graded according to the Centers for Disease Control criteria.","author":[{"dropping-particle":"","family":"Styczynski","given":"J.","non-dropping-particle":"","parse-names":false,"suffix":""},{"dropping-particle":"","family":"Reusser","given":"P.","non-dropping-particle":"","parse-names":false,"suffix":""},{"dropping-particle":"","family":"Einsele","given":"H.","non-dropping-particle":"","parse-names":false,"suffix":""},{"dropping-particle":"","family":"la Camara","given":"R.","non-dropping-particle":"de","parse-names":false,"suffix":""},{"dropping-particle":"","family":"Cordonnier","given":"C.","non-dropping-particle":"","parse-names":false,"suffix":""},{"dropping-particle":"","family":"Ward","given":"K. N.","non-dropping-particle":"","parse-names":false,"suffix":""},{"dropping-particle":"","family":"Ljungman","given":"P.","non-dropping-particle":"","parse-names":false,"suffix":""},{"dropping-particle":"","family":"Engelhard","given":"D.","non-dropping-particle":"","parse-names":false,"suffix":""}],"container-title":"Bone Marrow Transplantation","id":"ITEM-1","issue":"10","issued":{"date-parts":[["2009"]]},"page":"757-770","publisher":"Bone Marrow Transplant","title":"Management of HSV, VZV and EBV infections in patients with hematological malignancies and after SCT: Guidelines from the Second European Conference on Infections in Leukemia","type":"article-journal","volume":"43"},"uris":["http://www.mendeley.com/documents/?uuid=d821a870-8754-3698-8a43-34506f6d18d8"]}],"mendeley":{"formattedCitation":"[136]","plainTextFormattedCitation":"[136]","previouslyFormattedCitation":"[1]"},"properties":{"noteIndex":0},"schema":"https://github.com/citation-style-language/schema/raw/master/csl-citation.json"}</w:instrText>
      </w:r>
      <w:r w:rsidRPr="00867D9A">
        <w:fldChar w:fldCharType="separate"/>
      </w:r>
      <w:r w:rsidR="00A67ED2" w:rsidRPr="00A67ED2">
        <w:rPr>
          <w:noProof/>
        </w:rPr>
        <w:t>[136]</w:t>
      </w:r>
      <w:r w:rsidRPr="00867D9A">
        <w:fldChar w:fldCharType="end"/>
      </w:r>
      <w:r>
        <w:t>.</w:t>
      </w:r>
    </w:p>
    <w:p w14:paraId="73C1A42B" w14:textId="77777777" w:rsidR="00527F45" w:rsidRPr="006B215F" w:rsidRDefault="00527F45" w:rsidP="00527F45">
      <w:pPr>
        <w:ind w:firstLine="708"/>
      </w:pPr>
      <w:r>
        <w:t>Диагностика – детекция ДНК EBV</w:t>
      </w:r>
      <w:r w:rsidRPr="006B215F">
        <w:t xml:space="preserve"> методом ПЦР (количественный метод). Мониторинг </w:t>
      </w:r>
      <w:r>
        <w:t>ДНК EBV</w:t>
      </w:r>
      <w:r w:rsidRPr="006B215F">
        <w:t xml:space="preserve"> в группе высо</w:t>
      </w:r>
      <w:r>
        <w:t>ко</w:t>
      </w:r>
      <w:r w:rsidRPr="006B215F">
        <w:t xml:space="preserve">го риска (аллогенная ТГСК) необходимо проводить еженедельно в течение 3х месяцев после ТГСК, более продолжительный период – при хронической РТПХ, после </w:t>
      </w:r>
      <w:r>
        <w:t>гаплоидентичной ТГСК, а также среди пациентов с ранней реактивацией EBV</w:t>
      </w:r>
      <w:r w:rsidRPr="006B215F">
        <w:t>.</w:t>
      </w:r>
    </w:p>
    <w:p w14:paraId="66C40599" w14:textId="67C9B158" w:rsidR="00527F45" w:rsidRPr="003605AD" w:rsidRDefault="00527F45" w:rsidP="00527F45">
      <w:pPr>
        <w:ind w:firstLine="708"/>
      </w:pPr>
      <w:r w:rsidRPr="006B215F">
        <w:t xml:space="preserve">Лечение </w:t>
      </w:r>
      <w:r>
        <w:t xml:space="preserve">EBV-ассоциированного лимфопролиферативного заболевания проводят ритуксимабом </w:t>
      </w:r>
      <w:r w:rsidRPr="00867D9A">
        <w:fldChar w:fldCharType="begin" w:fldLock="1"/>
      </w:r>
      <w:r w:rsidR="00A67ED2">
        <w:instrText>ADDIN CSL_CITATION {"citationItems":[{"id":"ITEM-1","itemData":{"DOI":"10.1038/bmt.2008.386","ISSN":"02683369","PMID":"19043458","abstract":"These guidelines on the management of HSV, VZV and EBV infection in patients with hematological malignancies and after SCT were prepared by the European Conference on Infections in Leukemia following a predefined methodology. A PubMed search was conducted using the appropriate key words to identify studies pertinent to management of HSV, VZV and EBV infections. References of relevant articles and abstracts from recent hematology and SCT scientific meetings were also reviewed. Prospective and retrospective studies identified from the data sources were evaluated, and all data deemed relevant were included in this analysis. The clinical and scientific background was described and discussed, and the quality of evidence and level of recommendation were graded according to the Centers for Disease Control criteria.","author":[{"dropping-particle":"","family":"Styczynski","given":"J.","non-dropping-particle":"","parse-names":false,"suffix":""},{"dropping-particle":"","family":"Reusser","given":"P.","non-dropping-particle":"","parse-names":false,"suffix":""},{"dropping-particle":"","family":"Einsele","given":"H.","non-dropping-particle":"","parse-names":false,"suffix":""},{"dropping-particle":"","family":"la Camara","given":"R.","non-dropping-particle":"de","parse-names":false,"suffix":""},{"dropping-particle":"","family":"Cordonnier","given":"C.","non-dropping-particle":"","parse-names":false,"suffix":""},{"dropping-particle":"","family":"Ward","given":"K. N.","non-dropping-particle":"","parse-names":false,"suffix":""},{"dropping-particle":"","family":"Ljungman","given":"P.","non-dropping-particle":"","parse-names":false,"suffix":""},{"dropping-particle":"","family":"Engelhard","given":"D.","non-dropping-particle":"","parse-names":false,"suffix":""}],"container-title":"Bone Marrow Transplantation","id":"ITEM-1","issue":"10","issued":{"date-parts":[["2009"]]},"page":"757-770","publisher":"Bone Marrow Transplant","title":"Management of HSV, VZV and EBV infections in patients with hematological malignancies and after SCT: Guidelines from the Second European Conference on Infections in Leukemia","type":"article-journal","volume":"43"},"uris":["http://www.mendeley.com/documents/?uuid=d821a870-8754-3698-8a43-34506f6d18d8"]}],"mendeley":{"formattedCitation":"[136]","plainTextFormattedCitation":"[136]","previouslyFormattedCitation":"[1]"},"properties":{"noteIndex":0},"schema":"https://github.com/citation-style-language/schema/raw/master/csl-citation.json"}</w:instrText>
      </w:r>
      <w:r w:rsidRPr="00867D9A">
        <w:fldChar w:fldCharType="separate"/>
      </w:r>
      <w:r w:rsidR="00A67ED2" w:rsidRPr="00A67ED2">
        <w:rPr>
          <w:noProof/>
        </w:rPr>
        <w:t>[136]</w:t>
      </w:r>
      <w:r w:rsidRPr="00867D9A">
        <w:fldChar w:fldCharType="end"/>
      </w:r>
      <w:r>
        <w:t>. Антивирусные препараты и иммуноглобулин не рекомендованы для лечения.</w:t>
      </w:r>
    </w:p>
    <w:p w14:paraId="0917A1B7" w14:textId="77777777" w:rsidR="00527F45" w:rsidRDefault="00527F45" w:rsidP="00527F45">
      <w:pPr>
        <w:rPr>
          <w:bCs/>
          <w:i/>
          <w:iCs/>
          <w:u w:val="single"/>
        </w:rPr>
      </w:pPr>
    </w:p>
    <w:p w14:paraId="6AA3A8DE" w14:textId="77777777" w:rsidR="00527F45" w:rsidRPr="00023E68" w:rsidRDefault="00527F45" w:rsidP="00527F45">
      <w:pPr>
        <w:rPr>
          <w:bCs/>
          <w:i/>
          <w:iCs/>
          <w:u w:val="single"/>
        </w:rPr>
      </w:pPr>
      <w:r w:rsidRPr="00023E68">
        <w:rPr>
          <w:bCs/>
          <w:i/>
          <w:iCs/>
          <w:u w:val="single"/>
        </w:rPr>
        <w:t>Вирус герпеса человека 6 типа (Human herpes virus 6 – HHV-6)</w:t>
      </w:r>
    </w:p>
    <w:p w14:paraId="2392401D" w14:textId="775BAD6A" w:rsidR="00527F45" w:rsidRPr="006B215F" w:rsidRDefault="00527F45" w:rsidP="00527F45">
      <w:pPr>
        <w:ind w:firstLine="708"/>
      </w:pPr>
      <w:r>
        <w:t>Среди</w:t>
      </w:r>
      <w:r w:rsidRPr="006B215F">
        <w:rPr>
          <w:b/>
        </w:rPr>
        <w:t xml:space="preserve"> </w:t>
      </w:r>
      <w:r w:rsidRPr="00620C7D">
        <w:t>HHV</w:t>
      </w:r>
      <w:r w:rsidRPr="006B215F">
        <w:t xml:space="preserve">6 выделяют тип А и тип В. </w:t>
      </w:r>
      <w:r>
        <w:t xml:space="preserve">Реактивация вируса может приводить к развитию энцефалита, угнетению костно-мозгового кроветворения, пневмонии, быть причиной диареи. Энцефалит, вызванный </w:t>
      </w:r>
      <w:r w:rsidRPr="005B1B4B">
        <w:t>HHV</w:t>
      </w:r>
      <w:r w:rsidRPr="006B215F">
        <w:t xml:space="preserve">6, является редким проявлением инфекции, описаны случаи при неродственной ТГСК. В СМЖ </w:t>
      </w:r>
      <w:r>
        <w:t>пациентов с</w:t>
      </w:r>
      <w:r w:rsidRPr="006B215F">
        <w:t xml:space="preserve"> энцефалитом </w:t>
      </w:r>
      <w:r w:rsidRPr="005B1B4B">
        <w:t>HHV</w:t>
      </w:r>
      <w:r>
        <w:t>-</w:t>
      </w:r>
      <w:r w:rsidRPr="006B215F">
        <w:t xml:space="preserve">6 определяется повышенный уровень белка, в половине случаев бывает плеоцитоз. </w:t>
      </w:r>
      <w:r w:rsidRPr="0028579C">
        <w:t>Компьютерная томография головного мозга</w:t>
      </w:r>
      <w:r w:rsidRPr="006B215F">
        <w:t xml:space="preserve"> может быть нормальной, изменения </w:t>
      </w:r>
      <w:r w:rsidRPr="0028579C">
        <w:t>определяются при магнитно-резонансной томографии</w:t>
      </w:r>
      <w:r>
        <w:t xml:space="preserve"> </w:t>
      </w:r>
      <w:r w:rsidRPr="00E42938">
        <w:fldChar w:fldCharType="begin" w:fldLock="1"/>
      </w:r>
      <w:r w:rsidR="00A67ED2">
        <w:instrText>ADDIN CSL_CITATION {"citationItems":[{"id":"ITEM-1","itemData":{"DOI":"10.1038/bmt.2008.162","ISSN":"02683369","PMID":"18587440","abstract":"These recommendations were prepared by the European Conference on Infections in Leukaemia following a predefined methodology. Literature searches were made to identify studies pertinent to management of CMV, HHV-6, -7 and -8 infections. For CMV, 76 studies were reviewed: 72 published and 4 presented as abstracts. Twenty-nine of these studies were prospective randomized trials. For the other herpesviruses, HHV-6, -7 and -8, no randomized controlled trial has been performed, although data from some studies with other primary endpoints have been used to assess the management of HHV-6 infection. Works presented only as abstracts were used to a very limited extent. The quality of evidence and level of recommendation were graded according to the Center for Disease Control (CDC) criteria.","author":[{"dropping-particle":"","family":"Ljungman","given":"P.","non-dropping-particle":"","parse-names":false,"suffix":""},{"dropping-particle":"","family":"la Camara","given":"R.","non-dropping-particle":"de","parse-names":false,"suffix":""},{"dropping-particle":"","family":"Cordonnier","given":"C.","non-dropping-particle":"","parse-names":false,"suffix":""},{"dropping-particle":"","family":"Einsele","given":"H.","non-dropping-particle":"","parse-names":false,"suffix":""},{"dropping-particle":"","family":"Engelhard","given":"D.","non-dropping-particle":"","parse-names":false,"suffix":""},{"dropping-particle":"","family":"Reusser","given":"P.","non-dropping-particle":"","parse-names":false,"suffix":""},{"dropping-particle":"","family":"Styczynski","given":"J.","non-dropping-particle":"","parse-names":false,"suffix":""},{"dropping-particle":"","family":"Ward","given":"K.","non-dropping-particle":"","parse-names":false,"suffix":""}],"container-title":"Bone Marrow Transplantation","id":"ITEM-1","issue":"4","issued":{"date-parts":[["2008"]]},"page":"227-240","publisher":"Bone Marrow Transplant","title":"Management of CMV, HHV-6, HHV-7 and Kaposi-sarcoma herpesvirus (HHV-8) infections in patients with hematological malignancies and after SCT","type":"article-journal","volume":"42"},"uris":["http://www.mendeley.com/documents/?uuid=6de8cb55-2bab-3464-972f-0aef05a840e0"]}],"mendeley":{"formattedCitation":"[137]","plainTextFormattedCitation":"[137]","previouslyFormattedCitation":"[2]"},"properties":{"noteIndex":0},"schema":"https://github.com/citation-style-language/schema/raw/master/csl-citation.json"}</w:instrText>
      </w:r>
      <w:r w:rsidRPr="00E42938">
        <w:fldChar w:fldCharType="separate"/>
      </w:r>
      <w:r w:rsidR="00A67ED2" w:rsidRPr="00A67ED2">
        <w:rPr>
          <w:noProof/>
        </w:rPr>
        <w:t>[137]</w:t>
      </w:r>
      <w:r w:rsidRPr="00E42938">
        <w:fldChar w:fldCharType="end"/>
      </w:r>
      <w:r w:rsidRPr="006B215F">
        <w:t xml:space="preserve">. </w:t>
      </w:r>
    </w:p>
    <w:p w14:paraId="3CB26EDA" w14:textId="047E45F9" w:rsidR="00527F45" w:rsidRDefault="00527F45" w:rsidP="00527F45">
      <w:pPr>
        <w:ind w:firstLine="708"/>
      </w:pPr>
      <w:r>
        <w:t xml:space="preserve">Диагностика проводится на основании молекулярно-биологического исследования на </w:t>
      </w:r>
      <w:r w:rsidRPr="00620C7D">
        <w:t>HHV</w:t>
      </w:r>
      <w:r w:rsidRPr="006B215F">
        <w:t>6</w:t>
      </w:r>
      <w:r>
        <w:t xml:space="preserve">, выявляющая ДНК вируса методом ПЦР в крови, в СМЖ, других биологических субстратах, в том числе количественным методом. </w:t>
      </w:r>
    </w:p>
    <w:p w14:paraId="245384A1" w14:textId="3A93CB2C" w:rsidR="00527F45" w:rsidRPr="00C1743E" w:rsidRDefault="00527F45" w:rsidP="00527F45">
      <w:pPr>
        <w:ind w:firstLine="708"/>
      </w:pPr>
      <w:r>
        <w:t xml:space="preserve">Лечение включает назначение ганцикловира или фоскарнета, возможно сочетанное применение препаратов </w:t>
      </w:r>
      <w:r w:rsidRPr="00E42938">
        <w:fldChar w:fldCharType="begin" w:fldLock="1"/>
      </w:r>
      <w:r w:rsidR="00A67ED2">
        <w:instrText>ADDIN CSL_CITATION {"citationItems":[{"id":"ITEM-1","itemData":{"DOI":"10.1038/bmt.2008.162","ISSN":"02683369","PMID":"18587440","abstract":"These recommendations were prepared by the European Conference on Infections in Leukaemia following a predefined methodology. Literature searches were made to identify studies pertinent to management of CMV, HHV-6, -7 and -8 infections. For CMV, 76 studies were reviewed: 72 published and 4 presented as abstracts. Twenty-nine of these studies were prospective randomized trials. For the other herpesviruses, HHV-6, -7 and -8, no randomized controlled trial has been performed, although data from some studies with other primary endpoints have been used to assess the management of HHV-6 infection. Works presented only as abstracts were used to a very limited extent. The quality of evidence and level of recommendation were graded according to the Center for Disease Control (CDC) criteria.","author":[{"dropping-particle":"","family":"Ljungman","given":"P.","non-dropping-particle":"","parse-names":false,"suffix":""},{"dropping-particle":"","family":"la Camara","given":"R.","non-dropping-particle":"de","parse-names":false,"suffix":""},{"dropping-particle":"","family":"Cordonnier","given":"C.","non-dropping-particle":"","parse-names":false,"suffix":""},{"dropping-particle":"","family":"Einsele","given":"H.","non-dropping-particle":"","parse-names":false,"suffix":""},{"dropping-particle":"","family":"Engelhard","given":"D.","non-dropping-particle":"","parse-names":false,"suffix":""},{"dropping-particle":"","family":"Reusser","given":"P.","non-dropping-particle":"","parse-names":false,"suffix":""},{"dropping-particle":"","family":"Styczynski","given":"J.","non-dropping-particle":"","parse-names":false,"suffix":""},{"dropping-particle":"","family":"Ward","given":"K.","non-dropping-particle":"","parse-names":false,"suffix":""}],"container-title":"Bone Marrow Transplantation","id":"ITEM-1","issue":"4","issued":{"date-parts":[["2008"]]},"page":"227-240","publisher":"Bone Marrow Transplant","title":"Management of CMV, HHV-6, HHV-7 and Kaposi-sarcoma herpesvirus (HHV-8) infections in patients with hematological malignancies and after SCT","type":"article-journal","volume":"42"},"uris":["http://www.mendeley.com/documents/?uuid=6de8cb55-2bab-3464-972f-0aef05a840e0"]}],"mendeley":{"formattedCitation":"[137]","plainTextFormattedCitation":"[137]","previouslyFormattedCitation":"[2]"},"properties":{"noteIndex":0},"schema":"https://github.com/citation-style-language/schema/raw/master/csl-citation.json"}</w:instrText>
      </w:r>
      <w:r w:rsidRPr="00E42938">
        <w:fldChar w:fldCharType="separate"/>
      </w:r>
      <w:r w:rsidR="00A67ED2" w:rsidRPr="00A67ED2">
        <w:rPr>
          <w:noProof/>
        </w:rPr>
        <w:t>[137]</w:t>
      </w:r>
      <w:r w:rsidRPr="00E42938">
        <w:fldChar w:fldCharType="end"/>
      </w:r>
      <w:r w:rsidRPr="006B215F">
        <w:t>.</w:t>
      </w:r>
      <w:r>
        <w:t xml:space="preserve"> Профилактика в отношении HHV</w:t>
      </w:r>
      <w:r w:rsidRPr="006B215F">
        <w:t>-6</w:t>
      </w:r>
      <w:r>
        <w:t xml:space="preserve"> не проводится.</w:t>
      </w:r>
    </w:p>
    <w:p w14:paraId="3A857879" w14:textId="5BDDE39C" w:rsidR="00A67ED2" w:rsidRPr="00A67ED2" w:rsidRDefault="00691670" w:rsidP="004905C2">
      <w:pPr>
        <w:pStyle w:val="2"/>
      </w:pPr>
      <w:bookmarkStart w:id="197" w:name="_Toc64565662"/>
      <w:r w:rsidRPr="00A7029B">
        <w:t>7.</w:t>
      </w:r>
      <w:r>
        <w:t>1</w:t>
      </w:r>
      <w:r w:rsidR="00143441">
        <w:t>2</w:t>
      </w:r>
      <w:r w:rsidRPr="00A7029B">
        <w:t xml:space="preserve">. </w:t>
      </w:r>
      <w:r w:rsidR="00A67ED2" w:rsidRPr="003722EE">
        <w:t xml:space="preserve">Профилактика инфекционных осложнений у пациентов с </w:t>
      </w:r>
      <w:bookmarkEnd w:id="197"/>
      <w:r w:rsidR="006D1308">
        <w:t>лейкозом</w:t>
      </w:r>
    </w:p>
    <w:p w14:paraId="2D6B826A" w14:textId="77777777" w:rsidR="00A67ED2" w:rsidRPr="003722EE" w:rsidRDefault="00A67ED2" w:rsidP="00A67ED2">
      <w:pPr>
        <w:ind w:right="49"/>
        <w:contextualSpacing/>
        <w:rPr>
          <w:b/>
        </w:rPr>
      </w:pPr>
    </w:p>
    <w:p w14:paraId="1076E8CA" w14:textId="767BA605" w:rsidR="00A67ED2" w:rsidRPr="003722EE" w:rsidRDefault="00A67ED2" w:rsidP="00A67ED2">
      <w:pPr>
        <w:ind w:right="49" w:firstLine="708"/>
        <w:contextualSpacing/>
      </w:pPr>
      <w:r w:rsidRPr="003722EE">
        <w:t>Высокая частота инфекционных осложнений у пациентов</w:t>
      </w:r>
      <w:r w:rsidR="006D1308">
        <w:t xml:space="preserve"> с лейкозом</w:t>
      </w:r>
      <w:r w:rsidRPr="003722EE">
        <w:t xml:space="preserve">, особенно в период нейтропении, диктует необходимость назначения препаратов для профилактики инфекций. Профилактика показана для инфекций, вызванных грибами и вирусами в группе высокого риска. Профилактика бактериальных инфекций становится менее актуальной по </w:t>
      </w:r>
      <w:r w:rsidRPr="003722EE">
        <w:lastRenderedPageBreak/>
        <w:t xml:space="preserve">причине увеличения полирезистентных бактерий и проводится у определенной категории больных. </w:t>
      </w:r>
    </w:p>
    <w:p w14:paraId="3CCD3D6A" w14:textId="77777777" w:rsidR="00A67ED2" w:rsidRDefault="00A67ED2" w:rsidP="00A67ED2">
      <w:pPr>
        <w:ind w:right="49"/>
        <w:rPr>
          <w:i/>
          <w:iCs/>
          <w:u w:val="single"/>
        </w:rPr>
      </w:pPr>
    </w:p>
    <w:p w14:paraId="28B9CF8B" w14:textId="77777777" w:rsidR="00A67ED2" w:rsidRPr="003722EE" w:rsidRDefault="00A67ED2" w:rsidP="00A67ED2">
      <w:pPr>
        <w:ind w:right="49"/>
        <w:rPr>
          <w:i/>
          <w:iCs/>
          <w:u w:val="single"/>
        </w:rPr>
      </w:pPr>
      <w:r w:rsidRPr="003722EE">
        <w:rPr>
          <w:i/>
          <w:iCs/>
          <w:u w:val="single"/>
        </w:rPr>
        <w:t>Профилактика инфекций, вызванных бактериями</w:t>
      </w:r>
    </w:p>
    <w:p w14:paraId="7B5BDEA2" w14:textId="5AA7E5F1" w:rsidR="00A67ED2" w:rsidRPr="003722EE" w:rsidRDefault="00A67ED2" w:rsidP="006D1308">
      <w:pPr>
        <w:ind w:right="49" w:firstLine="709"/>
        <w:contextualSpacing/>
        <w:rPr>
          <w:bCs/>
        </w:rPr>
      </w:pPr>
      <w:r w:rsidRPr="003722EE">
        <w:rPr>
          <w:bCs/>
        </w:rPr>
        <w:t xml:space="preserve">Профилактику бактериальных инфекций проводят </w:t>
      </w:r>
      <w:r w:rsidR="006D1308" w:rsidRPr="001E140C">
        <w:rPr>
          <w:bCs/>
        </w:rPr>
        <w:t xml:space="preserve">пациентам с лейкозом </w:t>
      </w:r>
      <w:r w:rsidR="006D1308">
        <w:rPr>
          <w:bCs/>
        </w:rPr>
        <w:t xml:space="preserve">– </w:t>
      </w:r>
      <w:r w:rsidRPr="003722EE">
        <w:rPr>
          <w:bCs/>
        </w:rPr>
        <w:t xml:space="preserve">реципиентам аллогенной трансплантации гемопоэтических стволовых клеток (ТГСК), не имеющим колонизации слизистых оболочек энтеробактериями с продукцией </w:t>
      </w:r>
      <w:r w:rsidRPr="003722EE">
        <w:rPr>
          <w:bCs/>
        </w:rPr>
        <w:sym w:font="Symbol" w:char="F062"/>
      </w:r>
      <w:r w:rsidRPr="003722EE">
        <w:rPr>
          <w:bCs/>
        </w:rPr>
        <w:t xml:space="preserve">-лактамаз расширенного спектра или карбапенемаз, фторхинолон-устойчивыми штаммами </w:t>
      </w:r>
      <w:r w:rsidRPr="003722EE">
        <w:rPr>
          <w:bCs/>
          <w:i/>
        </w:rPr>
        <w:t>Pseudomonas aeruginosa, Stenotrophomonas maltophilia, Acinetobacter baumannii</w:t>
      </w:r>
      <w:r w:rsidRPr="003722EE">
        <w:rPr>
          <w:bCs/>
        </w:rPr>
        <w:t xml:space="preserve"> и другими бактериями, устойчивыми к фторхинолонам. Перед назначением фторхинолона для профилактики необходимо исследовать мазок со слизистой прямой кишки, исследование повторяют каждые 7 дней. Профилактику отменяют при назначении системных антибиотиков по поводу лихорадки в период нейтропении. Для профилактики используют фторхинолоны - </w:t>
      </w:r>
      <w:r w:rsidRPr="003722EE">
        <w:t xml:space="preserve">ципрофлоксацин по 0,5 г внутрь 2 раза в сутки </w:t>
      </w:r>
      <w:r w:rsidRPr="003722EE">
        <w:rPr>
          <w:iCs/>
        </w:rPr>
        <w:t>или</w:t>
      </w:r>
      <w:r w:rsidRPr="003722EE">
        <w:rPr>
          <w:bCs/>
        </w:rPr>
        <w:t xml:space="preserve"> </w:t>
      </w:r>
      <w:r w:rsidRPr="003722EE">
        <w:t>левофлоксацин по 0,5 г внутрь 1 раз в сутки. Назначают фторхинолон перед ТГСК с 1-го дня кондиционирования, отменяют - при лейкоцитах более 1,0х10</w:t>
      </w:r>
      <w:r w:rsidRPr="003722EE">
        <w:rPr>
          <w:vertAlign w:val="superscript"/>
        </w:rPr>
        <w:t>9</w:t>
      </w:r>
      <w:r w:rsidRPr="003722EE">
        <w:t>/л или при назначении системных антибиотиков по поводу возникшей инфекции.</w:t>
      </w:r>
    </w:p>
    <w:p w14:paraId="0E78F693" w14:textId="550A10F9" w:rsidR="00A67ED2" w:rsidRDefault="00A67ED2" w:rsidP="00A67ED2">
      <w:pPr>
        <w:ind w:right="49" w:firstLine="709"/>
        <w:contextualSpacing/>
      </w:pPr>
      <w:r w:rsidRPr="003722EE">
        <w:t xml:space="preserve">Профилактика бактериальных инфекций у других категорий пациентов исключена по причине неэффективности из-за высокой частоты детекции полирезистентных бактерий. Так, профилактическое применение фторхинолонов приводит к достоверному увеличению частоты инфекций, вызванных полирезистентными штаммами, возрастает необходимость в назначении </w:t>
      </w:r>
      <w:r w:rsidR="001647AE" w:rsidRPr="003722EE">
        <w:t>карбапенемов.</w:t>
      </w:r>
      <w:r w:rsidRPr="003722EE">
        <w:t xml:space="preserve"> Отсутствие в протоколе лечения острых лейкозов антимикробной профилактики означает только более жесткий клинический и бактериологический мониторинг состояния пациента и своевременное назначение противомикробных препаратов внутривенно в соответствии с проявлениями инфекции. Не назначают антибиотики с целью деколонизации полирезистентных бактерий со слизистой желудочно-кишечного тракта.</w:t>
      </w:r>
    </w:p>
    <w:p w14:paraId="5198137C" w14:textId="77777777" w:rsidR="00A67ED2" w:rsidRPr="003722EE" w:rsidRDefault="00A67ED2" w:rsidP="00A67ED2">
      <w:pPr>
        <w:ind w:right="49" w:firstLine="709"/>
        <w:contextualSpacing/>
        <w:rPr>
          <w:bCs/>
        </w:rPr>
      </w:pPr>
    </w:p>
    <w:p w14:paraId="52304AB9" w14:textId="102CF4C7" w:rsidR="00A67ED2" w:rsidRPr="00DD5F61" w:rsidRDefault="00A67ED2" w:rsidP="00A67ED2">
      <w:pPr>
        <w:ind w:right="49"/>
        <w:rPr>
          <w:i/>
          <w:iCs/>
          <w:u w:val="single"/>
        </w:rPr>
      </w:pPr>
      <w:r w:rsidRPr="006F23E6">
        <w:rPr>
          <w:i/>
          <w:iCs/>
          <w:u w:val="single"/>
        </w:rPr>
        <w:t>Профилактика пневмоцистной пневмонии</w:t>
      </w:r>
      <w:r>
        <w:rPr>
          <w:i/>
          <w:iCs/>
          <w:u w:val="single"/>
        </w:rPr>
        <w:t xml:space="preserve"> </w:t>
      </w:r>
      <w:r>
        <w:rPr>
          <w:i/>
          <w:iCs/>
          <w:u w:val="single"/>
        </w:rPr>
        <w:fldChar w:fldCharType="begin" w:fldLock="1"/>
      </w:r>
      <w:r>
        <w:rPr>
          <w:i/>
          <w:iCs/>
          <w:u w:val="single"/>
        </w:rPr>
        <w:instrText>ADDIN CSL_CITATION {"citationItems":[{"id":"ITEM-1","itemData":{"DOI":"10.1093/jac/dkw157","ISSN":"14602091","PMID":"27550992","abstract":"The 5th European Conference on Infections in Leukaemia (ECIL-5) meeting aimed to establish evidence-based recommendations for the prophylaxis of Pneumocystis jirovecii pneumonia (PCP) in non-HIV-infected patients with an underlying haematological condition, including allogeneic HSCT recipients. Recommendations were based on the grading system of the IDSA. Trimethoprim/sulfamethoxazole given 2-3 times weekly is the drug of choice for the primary prophylaxis of PCP in adults (A-II) and children (A-I) and should be given during the entire period at risk. Recent data indicate that children may benefit equally from a once-weekly regimen (B-II). All other drugs, including pentamidine, atovaquone and dapsone, are considered second-line alternatives when trimethoprim/ sulfamethoxazole is poorly tolerated or contraindicated. The main indications of PCP prophylaxis are ALL, allogeneic HSCT, treatment with alemtuzumab, fludarabine/cyclophosphamide/rituximab combinations, &gt;4 weeks of treatmentwith corticosteroids andwell-defined primary immune deficiencies in children. Additional indications are proposed depending on the treatment regimen.","author":[{"dropping-particle":"","family":"Maertens","given":"Johan","non-dropping-particle":"","parse-names":false,"suffix":""},{"dropping-particle":"","family":"Cesaro","given":"Simone","non-dropping-particle":"","parse-names":false,"suffix":""},{"dropping-particle":"","family":"Maschmeyer","given":"Georg","non-dropping-particle":"","parse-names":false,"suffix":""},{"dropping-particle":"","family":"Einsele","given":"Hermann","non-dropping-particle":"","parse-names":false,"suffix":""},{"dropping-particle":"","family":"Donnelly","given":"J. Peter","non-dropping-particle":"","parse-names":false,"suffix":""},{"dropping-particle":"","family":"Alanio","given":"Alexandre","non-dropping-particle":"","parse-names":false,"suffix":""},{"dropping-particle":"","family":"Hauser","given":"Philippe","non-dropping-particle":"","parse-names":false,"suffix":""},{"dropping-particle":"","family":"Lagrou","given":"Katrien","non-dropping-particle":"","parse-names":false,"suffix":""},{"dropping-particle":"","family":"Melchers","given":"Willem J.G.","non-dropping-particle":"","parse-names":false,"suffix":""},{"dropping-particle":"","family":"Helweg-Larsen","given":"Jannik","non-dropping-particle":"","parse-names":false,"suffix":""},{"dropping-particle":"","family":"Matos","given":"Olga","non-dropping-particle":"","parse-names":false,"suffix":""},{"dropping-particle":"","family":"Bretagne","given":"Stéphane","non-dropping-particle":"","parse-names":false,"suffix":""},{"dropping-particle":"","family":"Cordonnier","given":"Catherine","non-dropping-particle":"","parse-names":false,"suffix":""},{"dropping-particle":"","family":"Agrawal","given":"Samir","non-dropping-particle":"","parse-names":false,"suffix":""},{"dropping-particle":"","family":"Kibbler","given":"Christopher","non-dropping-particle":"","parse-names":false,"suffix":""},{"dropping-particle":"","family":"Pagliuca","given":"Antonio","non-dropping-particle":"","parse-names":false,"suffix":""},{"dropping-particle":"","family":"Ward","given":"Katherine","non-dropping-particle":"","parse-names":false,"suffix":""},{"dropping-particle":"","family":"Akova","given":"Murat","non-dropping-particle":"","parse-names":false,"suffix":""},{"dropping-particle":"","family":"Herbrecht","given":"Raoul","non-dropping-particle":"","parse-names":false,"suffix":""},{"dropping-particle":"","family":"Mallet","given":"Vincent","non-dropping-particle":"","parse-names":false,"suffix":""},{"dropping-particle":"","family":"Ribaud","given":"Patricia","non-dropping-particle":"","parse-names":false,"suffix":""},{"dropping-particle":"","family":"Aljurf","given":"Mahmoud","non-dropping-particle":"","parse-names":false,"suffix":""},{"dropping-particle":"","family":"Averbuch","given":"Dina","non-dropping-particle":"","parse-names":false,"suffix":""},{"dropping-particle":"","family":"Engelhard","given":"Dan","non-dropping-particle":"","parse-names":false,"suffix":""},{"dropping-particle":"","family":"Berg","given":"Thomas","non-dropping-particle":"","parse-names":false,"suffix":""},{"dropping-particle":"","family":"Cornely","given":"Oliver","non-dropping-particle":"","parse-names":false,"suffix":""},{"dropping-particle":"","family":"Penack","given":"Olaf","non-dropping-particle":"","parse-names":false,"suffix":""},{"dropping-particle":"","family":"Boemmel","given":"Florian","non-dropping-particle":"van","parse-names":false,"suffix":""},{"dropping-particle":"","family":"Lilienfeld-Toal","given":"Marie","non-dropping-particle":"von","parse-names":false,"suffix":""},{"dropping-particle":"","family":"Blennow","given":"Ola","non-dropping-particle":"","parse-names":false,"suffix":""},{"dropping-particle":"","family":"Ljungman","given":"Per","non-dropping-particle":"","parse-names":false,"suffix":""},{"dropping-particle":"","family":"Bruggemann","given":"Roger","non-dropping-particle":"","parse-names":false,"suffix":""},{"dropping-particle":"","family":"Donnelly","given":"Peter","non-dropping-particle":"","parse-names":false,"suffix":""},{"dropping-particle":"","family":"Kullberg","given":"Bart Jan","non-dropping-particle":"","parse-names":false,"suffix":""},{"dropping-particle":"","family":"Melchers","given":"Willem","non-dropping-particle":"","parse-names":false,"suffix":""},{"dropping-particle":"","family":"Calandra","given":"Thierry","non-dropping-particle":"","parse-names":false,"suffix":""},{"dropping-particle":"","family":"Hirsch","given":"Hans","non-dropping-particle":"","parse-names":false,"suffix":""},{"dropping-particle":"","family":"Marchetti","given":"Oscar","non-dropping-particle":"","parse-names":false,"suffix":""},{"dropping-particle":"","family":"Orasch","given":"Christina","non-dropping-particle":"","parse-names":false,"suffix":""},{"dropping-particle":"","family":"Tissot","given":"Frederic","non-dropping-particle":"","parse-names":false,"suffix":""},{"dropping-particle":"","family":"Castagnola","given":"Elio","non-dropping-particle":"","parse-names":false,"suffix":""},{"dropping-particle":"","family":"Girmenia","given":"Corrado","non-dropping-particle":"","parse-names":false,"suffix":""},{"dropping-particle":"","family":"Mikulska","given":"Malgorzata","non-dropping-particle":"","parse-names":false,"suffix":""},{"dropping-particle":"","family":"Pagano","given":"Livio","non-dropping-particle":"","parse-names":false,"suffix":""},{"dropping-particle":"","family":"Viscoli","given":"Claudio","non-dropping-particle":"","parse-names":false,"suffix":""},{"dropping-particle":"","family":"La Camara","given":"Rafael","non-dropping-particle":"De","parse-names":false,"suffix":""},{"dropping-particle":"","family":"Duarte","given":"Rafael","non-dropping-particle":"","parse-names":false,"suffix":""},{"dropping-particle":"","family":"Munoz","given":"Patricia","non-dropping-particle":"","parse-names":false,"suffix":""},{"dropping-particle":"","family":"Drgona","given":"Lubos","non-dropping-particle":"","parse-names":false,"suffix":""},{"dropping-particle":"","family":"Hargreaves","given":"Ruth","non-dropping-particle":"","parse-names":false,"suffix":""},{"dropping-particle":"","family":"Hubacek","given":"Petr","non-dropping-particle":"","parse-names":false,"suffix":""},{"dropping-particle":"","family":"Kouba","given":"Michal","non-dropping-particle":"","parse-names":false,"suffix":""},{"dropping-particle":"","family":"Racil","given":"Zdenek","non-dropping-particle":"","parse-names":false,"suffix":""},{"dropping-particle":"","family":"Klyasova","given":"Galina","non-dropping-particle":"","parse-names":false,"suffix":""},{"dropping-particle":"","family":"Pettrikos","given":"George","non-dropping-particle":"","parse-names":false,"suffix":""},{"dropping-particle":"","family":"Roilides","given":"Emmanuel","non-dropping-particle":"","parse-names":false,"suffix":""},{"dropping-particle":"","family":"Skiada","given":"Anna","non-dropping-particle":"","parse-names":false,"suffix":""},{"dropping-particle":"","family":"Rizzi-Puechal","given":"Valérie","non-dropping-particle":"","parse-names":false,"suffix":""},{"dropping-particle":"","family":"Sinko","given":"Janos","non-dropping-particle":"","parse-names":false,"suffix":""},{"dropping-particle":"","family":"Slavin","given":"Monica","non-dropping-particle":"","parse-names":false,"suffix":""},{"dropping-particle":"","family":"Styczynski","given":"Jan","non-dropping-particle":"","parse-names":false,"suffix":""},{"dropping-particle":"","family":"Tweddle","given":"Lorraine","non-dropping-particle":"","parse-names":false,"suffix":""},{"dropping-particle":"","family":"Wood","given":"Craig","non-dropping-particle":"","parse-names":false,"suffix":""}],"container-title":"Journal of Antimicrobial Chemotherapy","id":"ITEM-1","issue":"9","issued":{"date-parts":[["2016","9","1"]]},"page":"1-8","publisher":"Oxford University Press","title":"ECIL guidelines for preventing Pneumocystis jirovecii pneumonia in patients with haematological malignancies and stem cell transplant recipients","type":"bill","volume":"71"},"uris":["http://www.mendeley.com/documents/?uuid=a0eb48bc-4417-4d24-8796-9587f2cfd3b7"]}],"mendeley":{"formattedCitation":"[138]","plainTextFormattedCitation":"[138]","previouslyFormattedCitation":"[1]"},"properties":{"noteIndex":0},"schema":"https://github.com/citation-style-language/schema/raw/master/csl-citation.json"}</w:instrText>
      </w:r>
      <w:r>
        <w:rPr>
          <w:i/>
          <w:iCs/>
          <w:u w:val="single"/>
        </w:rPr>
        <w:fldChar w:fldCharType="separate"/>
      </w:r>
      <w:r w:rsidRPr="00A67ED2">
        <w:rPr>
          <w:iCs/>
          <w:noProof/>
        </w:rPr>
        <w:t>[138]</w:t>
      </w:r>
      <w:r>
        <w:rPr>
          <w:i/>
          <w:iCs/>
          <w:u w:val="single"/>
        </w:rPr>
        <w:fldChar w:fldCharType="end"/>
      </w:r>
    </w:p>
    <w:p w14:paraId="21AF6A69" w14:textId="77777777" w:rsidR="00A67ED2" w:rsidRPr="003722EE" w:rsidRDefault="00A67ED2" w:rsidP="00A67ED2">
      <w:pPr>
        <w:snapToGrid w:val="0"/>
        <w:ind w:right="51" w:firstLine="708"/>
        <w:contextualSpacing/>
      </w:pPr>
      <w:r w:rsidRPr="003722EE">
        <w:t>Профилактика пневмоцистной пневмонии является обязательной для:</w:t>
      </w:r>
    </w:p>
    <w:p w14:paraId="6191F165" w14:textId="77777777" w:rsidR="00A67ED2" w:rsidRPr="006F23E6" w:rsidRDefault="00A67ED2" w:rsidP="00FC704A">
      <w:pPr>
        <w:pStyle w:val="afff3"/>
        <w:numPr>
          <w:ilvl w:val="0"/>
          <w:numId w:val="251"/>
        </w:numPr>
        <w:snapToGrid w:val="0"/>
        <w:ind w:right="51"/>
        <w:rPr>
          <w:szCs w:val="24"/>
        </w:rPr>
      </w:pPr>
      <w:r w:rsidRPr="006F23E6">
        <w:rPr>
          <w:szCs w:val="24"/>
        </w:rPr>
        <w:t>пациентов с острыми лимфобластными лейкозами (ОЛЛ);</w:t>
      </w:r>
    </w:p>
    <w:p w14:paraId="36E692D3" w14:textId="77777777" w:rsidR="00A67ED2" w:rsidRPr="006F23E6" w:rsidRDefault="00A67ED2" w:rsidP="00FC704A">
      <w:pPr>
        <w:pStyle w:val="afff3"/>
        <w:numPr>
          <w:ilvl w:val="0"/>
          <w:numId w:val="251"/>
        </w:numPr>
        <w:ind w:right="49"/>
        <w:rPr>
          <w:szCs w:val="24"/>
        </w:rPr>
      </w:pPr>
      <w:r w:rsidRPr="006F23E6">
        <w:rPr>
          <w:szCs w:val="24"/>
        </w:rPr>
        <w:t>реципиентов аллогенной ТГСК;</w:t>
      </w:r>
    </w:p>
    <w:p w14:paraId="52F33B19" w14:textId="77777777" w:rsidR="00A67ED2" w:rsidRPr="006F23E6" w:rsidRDefault="00A67ED2" w:rsidP="00FC704A">
      <w:pPr>
        <w:pStyle w:val="afff3"/>
        <w:numPr>
          <w:ilvl w:val="0"/>
          <w:numId w:val="251"/>
        </w:numPr>
        <w:ind w:right="49"/>
        <w:rPr>
          <w:szCs w:val="24"/>
        </w:rPr>
      </w:pPr>
      <w:r w:rsidRPr="006F23E6">
        <w:rPr>
          <w:szCs w:val="24"/>
        </w:rPr>
        <w:t>при использовании программ с включением флударабина, циклофосфамида, ритуксимаба;</w:t>
      </w:r>
    </w:p>
    <w:p w14:paraId="582F0466" w14:textId="77777777" w:rsidR="00A67ED2" w:rsidRPr="006F23E6" w:rsidRDefault="00A67ED2" w:rsidP="00FC704A">
      <w:pPr>
        <w:pStyle w:val="afff3"/>
        <w:numPr>
          <w:ilvl w:val="0"/>
          <w:numId w:val="251"/>
        </w:numPr>
        <w:ind w:right="51"/>
        <w:rPr>
          <w:szCs w:val="24"/>
        </w:rPr>
      </w:pPr>
      <w:r w:rsidRPr="006F23E6">
        <w:rPr>
          <w:szCs w:val="24"/>
        </w:rPr>
        <w:lastRenderedPageBreak/>
        <w:t>при лечении глюкокортикостероидными препаратами.</w:t>
      </w:r>
    </w:p>
    <w:p w14:paraId="1EC8A07D" w14:textId="77777777" w:rsidR="00A67ED2" w:rsidRPr="003722EE" w:rsidRDefault="00A67ED2" w:rsidP="00A67ED2">
      <w:pPr>
        <w:ind w:right="51" w:firstLine="708"/>
        <w:contextualSpacing/>
      </w:pPr>
      <w:r w:rsidRPr="003722EE">
        <w:t>Препарат для профилактики назначают больным ОЛЛ с 14-го дня полихимиотерапии (ПХТ) и проводят весь период лечения, включая этап поддерживания; реципиентам аллогенных ТГСК – от дня  констатации приживления костного мозга в течение 6 мес и более, включая весь период в период иммуносупрессивной терапии до повышения уровня CD4+ более 200 кл/мм</w:t>
      </w:r>
      <w:r w:rsidRPr="003722EE">
        <w:rPr>
          <w:vertAlign w:val="superscript"/>
        </w:rPr>
        <w:t>3</w:t>
      </w:r>
      <w:r w:rsidRPr="003722EE">
        <w:t xml:space="preserve">. Длительность профилактики при использовании препаратов алемтузумаб, флударабин, циклофосфамид, ритуксимаб, глюкокортикостероидов составляет от 6 мес и более. </w:t>
      </w:r>
    </w:p>
    <w:p w14:paraId="11C19050" w14:textId="77777777" w:rsidR="00A67ED2" w:rsidRPr="003722EE" w:rsidRDefault="00A67ED2" w:rsidP="00A67ED2">
      <w:pPr>
        <w:ind w:right="51" w:firstLine="708"/>
        <w:contextualSpacing/>
      </w:pPr>
      <w:r w:rsidRPr="003722EE">
        <w:t xml:space="preserve">Профилактика пневмоцистной пневмонии также рекомендована: </w:t>
      </w:r>
    </w:p>
    <w:p w14:paraId="66E23006" w14:textId="762D30A1" w:rsidR="00A67ED2" w:rsidRPr="003722EE" w:rsidRDefault="00A67ED2" w:rsidP="00FC704A">
      <w:pPr>
        <w:pStyle w:val="afff3"/>
        <w:numPr>
          <w:ilvl w:val="0"/>
          <w:numId w:val="251"/>
        </w:numPr>
        <w:snapToGrid w:val="0"/>
        <w:ind w:right="51"/>
        <w:rPr>
          <w:szCs w:val="24"/>
        </w:rPr>
      </w:pPr>
      <w:r w:rsidRPr="003722EE">
        <w:rPr>
          <w:szCs w:val="24"/>
        </w:rPr>
        <w:t>при лечении нуклеозидными препаратами (флударабин, кладрибин);</w:t>
      </w:r>
    </w:p>
    <w:p w14:paraId="0E5951E4" w14:textId="77777777" w:rsidR="00A67ED2" w:rsidRPr="00D0602C" w:rsidRDefault="00A67ED2" w:rsidP="00FC704A">
      <w:pPr>
        <w:pStyle w:val="afff3"/>
        <w:numPr>
          <w:ilvl w:val="0"/>
          <w:numId w:val="251"/>
        </w:numPr>
        <w:snapToGrid w:val="0"/>
        <w:ind w:right="51"/>
        <w:rPr>
          <w:szCs w:val="24"/>
        </w:rPr>
      </w:pPr>
      <w:r w:rsidRPr="003722EE">
        <w:rPr>
          <w:szCs w:val="24"/>
        </w:rPr>
        <w:t xml:space="preserve"> </w:t>
      </w:r>
      <w:r w:rsidRPr="00D0602C">
        <w:rPr>
          <w:szCs w:val="24"/>
        </w:rPr>
        <w:t>при применении имуунодепрессантов (например, микофенолат мофетил);</w:t>
      </w:r>
    </w:p>
    <w:p w14:paraId="13A74709" w14:textId="77777777" w:rsidR="00A67ED2" w:rsidRPr="003722EE" w:rsidRDefault="00A67ED2" w:rsidP="00FC704A">
      <w:pPr>
        <w:pStyle w:val="afff3"/>
        <w:numPr>
          <w:ilvl w:val="0"/>
          <w:numId w:val="251"/>
        </w:numPr>
        <w:snapToGrid w:val="0"/>
        <w:ind w:right="51"/>
        <w:rPr>
          <w:szCs w:val="24"/>
        </w:rPr>
      </w:pPr>
      <w:r w:rsidRPr="003722EE">
        <w:rPr>
          <w:szCs w:val="24"/>
        </w:rPr>
        <w:t>при проведении лучевой терапии опухоли центральной нервной системы (ЦНС), или метастазах в ЦНС, с использованием высоких доз кортикостероидов.</w:t>
      </w:r>
    </w:p>
    <w:p w14:paraId="135CE862" w14:textId="77777777" w:rsidR="00A67ED2" w:rsidRPr="003722EE" w:rsidRDefault="00A67ED2" w:rsidP="00A67ED2">
      <w:pPr>
        <w:ind w:right="49" w:firstLine="708"/>
        <w:contextualSpacing/>
        <w:rPr>
          <w:i/>
          <w:iCs/>
        </w:rPr>
      </w:pPr>
      <w:r w:rsidRPr="003722EE">
        <w:t>Препаратом выбора для профилактики пневмоцистной пневмонии является триметоприм/сульфаметоксазол, назначают по 480 мг ежедневно, альтернативный - пентамидин, применение в дозе 300 мг в виде аэрозоля через респираторный ингалятор или внутривенно каждые 3-4 недели.</w:t>
      </w:r>
    </w:p>
    <w:p w14:paraId="6E4BAF59" w14:textId="77777777" w:rsidR="00A67ED2" w:rsidRPr="003722EE" w:rsidRDefault="00A67ED2" w:rsidP="00A67ED2">
      <w:pPr>
        <w:ind w:right="49" w:firstLine="708"/>
        <w:contextualSpacing/>
      </w:pPr>
      <w:r w:rsidRPr="003722EE">
        <w:t xml:space="preserve">Использование триметоприма/сульфаметоксазола ежедневно одновременно предупреждает инфекции, вызываемые </w:t>
      </w:r>
      <w:r w:rsidRPr="003722EE">
        <w:rPr>
          <w:i/>
          <w:iCs/>
        </w:rPr>
        <w:t>Toxoplasma gondii, Listeria monocytogenes, Nocardia asteroides.</w:t>
      </w:r>
    </w:p>
    <w:p w14:paraId="6892C890" w14:textId="77777777" w:rsidR="00A67ED2" w:rsidRPr="003722EE" w:rsidRDefault="00A67ED2" w:rsidP="00A67ED2">
      <w:pPr>
        <w:ind w:right="49" w:firstLine="708"/>
        <w:contextualSpacing/>
      </w:pPr>
      <w:r w:rsidRPr="003722EE">
        <w:t xml:space="preserve">Пациенты, инфицированные </w:t>
      </w:r>
      <w:r w:rsidRPr="003722EE">
        <w:rPr>
          <w:i/>
          <w:iCs/>
        </w:rPr>
        <w:t>Pneumocystis jirovecii,</w:t>
      </w:r>
      <w:r w:rsidRPr="003722EE">
        <w:t xml:space="preserve"> не должны находиться в одной палате с другими иммунокомпрометированными пациентами.</w:t>
      </w:r>
    </w:p>
    <w:p w14:paraId="6225376B" w14:textId="77777777" w:rsidR="00A67ED2" w:rsidRDefault="00A67ED2" w:rsidP="00A67ED2">
      <w:pPr>
        <w:ind w:right="49"/>
        <w:rPr>
          <w:i/>
          <w:iCs/>
          <w:u w:val="single"/>
        </w:rPr>
      </w:pPr>
    </w:p>
    <w:p w14:paraId="48CBEE6B" w14:textId="5C9A6C34" w:rsidR="00A67ED2" w:rsidRPr="001A25D9" w:rsidRDefault="00A67ED2" w:rsidP="00A67ED2">
      <w:pPr>
        <w:ind w:right="49"/>
        <w:rPr>
          <w:i/>
          <w:iCs/>
          <w:u w:val="single"/>
        </w:rPr>
      </w:pPr>
      <w:r w:rsidRPr="00643B16">
        <w:rPr>
          <w:i/>
          <w:iCs/>
          <w:u w:val="single"/>
        </w:rPr>
        <w:t>Профилактика инфекций, вызванных грибами</w:t>
      </w:r>
      <w:r>
        <w:rPr>
          <w:i/>
          <w:iCs/>
          <w:u w:val="single"/>
        </w:rPr>
        <w:t xml:space="preserve"> </w:t>
      </w:r>
      <w:r>
        <w:rPr>
          <w:i/>
          <w:iCs/>
          <w:u w:val="single"/>
        </w:rPr>
        <w:fldChar w:fldCharType="begin" w:fldLock="1"/>
      </w:r>
      <w:r>
        <w:rPr>
          <w:i/>
          <w:iCs/>
          <w:u w:val="single"/>
        </w:rPr>
        <w:instrText>ADDIN CSL_CITATION {"citationItems":[{"id":"ITEM-1","itemData":{"DOI":"10.1038/bmt.2010.175","ISSN":"14765365","abstract":"In 2005, several groups, including the European Group for Blood and Marrow Transplantation, the European Organization for Treatment and Research of Cancer, the European Leukemia Net and the Immunocompromised Host Society created the European Conference on Infections in Leukemia (ECIL). The main goal of ECIL is to elaborate guidelines, or recommendations, for the management of infections in leukemia and stem cell transplant patients. The first sets of ECIL slides about the management of invasive fungal disease were made available on the web in 2006 and the papers were published in 2007. The third meeting of the group (ECIL 3) was held in September 2009 and the group updated its previous recommendations. The goal of this paper is to summarize the new proposals from ECIL 3, based on the results of studies published after the ECIL 2 meeting: (1) the prophylactic recommendations for hematopoietic stem cell transplant recipients were formulated differently, by splitting the neutropenic and the GVHD phases and taking into account recent data on voriconazole; (2) micafungin was introduced as an alternative drug for empirical antifungal therapy; (3) although several studies were published on preemptive antifungal approaches in neutropenic patients, the group decided not to propose any recommendation, as the only randomized study comparing an empirical versus a preemptive approach showed a significant excess of fungal disease in the preemptive group. © 2011 Macmillan Publishers Limited All rights reserved.","author":[{"dropping-particle":"","family":"Maertens","given":"J.","non-dropping-particle":"","parse-names":false,"suffix":""},{"dropping-particle":"","family":"Marchetti","given":"O.","non-dropping-particle":"","parse-names":false,"suffix":""},{"dropping-particle":"","family":"Herbrecht","given":"R.","non-dropping-particle":"","parse-names":false,"suffix":""},{"dropping-particle":"","family":"Cornely","given":"O. A.","non-dropping-particle":"","parse-names":false,"suffix":""},{"dropping-particle":"","family":"Flückiger","given":"U.","non-dropping-particle":"","parse-names":false,"suffix":""},{"dropping-particle":"","family":"Frre","given":"P.","non-dropping-particle":"","parse-names":false,"suffix":""},{"dropping-particle":"","family":"Gachot","given":"B.","non-dropping-particle":"","parse-names":false,"suffix":""},{"dropping-particle":"","family":"Heinz","given":"W. J.","non-dropping-particle":"","parse-names":false,"suffix":""},{"dropping-particle":"","family":"Lass-Flörl","given":"C.","non-dropping-particle":"","parse-names":false,"suffix":""},{"dropping-particle":"","family":"Ribaud","given":"P.","non-dropping-particle":"","parse-names":false,"suffix":""},{"dropping-particle":"","family":"Thiebaut","given":"A.","non-dropping-particle":"","parse-names":false,"suffix":""},{"dropping-particle":"","family":"Cordonnier","given":"C.","non-dropping-particle":"","parse-names":false,"suffix":""}],"container-title":"Bone Marrow Transplantation","id":"ITEM-1","issue":"5","issued":{"date-parts":[["2011"]]},"page":"709-718","publisher":"Nature Publishing Group","title":"European guidelines for antifungal management in leukemia and hematopoietic stem cell transplant recipients: Summary of the ECIL 32009 update","type":"article-journal","volume":"46"},"uris":["http://www.mendeley.com/documents/?uuid=84d60f1c-6ae7-4aa7-827f-5a6f8dff9f03"]}],"mendeley":{"formattedCitation":"[125]","plainTextFormattedCitation":"[125]","previouslyFormattedCitation":"[2]"},"properties":{"noteIndex":0},"schema":"https://github.com/citation-style-language/schema/raw/master/csl-citation.json"}</w:instrText>
      </w:r>
      <w:r>
        <w:rPr>
          <w:i/>
          <w:iCs/>
          <w:u w:val="single"/>
        </w:rPr>
        <w:fldChar w:fldCharType="separate"/>
      </w:r>
      <w:r w:rsidRPr="00A67ED2">
        <w:rPr>
          <w:iCs/>
          <w:noProof/>
        </w:rPr>
        <w:t>[125]</w:t>
      </w:r>
      <w:r>
        <w:rPr>
          <w:i/>
          <w:iCs/>
          <w:u w:val="single"/>
        </w:rPr>
        <w:fldChar w:fldCharType="end"/>
      </w:r>
    </w:p>
    <w:p w14:paraId="528663F3" w14:textId="77777777" w:rsidR="00A67ED2" w:rsidRPr="003722EE" w:rsidRDefault="00A67ED2" w:rsidP="00A67ED2">
      <w:pPr>
        <w:ind w:right="49" w:firstLine="709"/>
        <w:contextualSpacing/>
      </w:pPr>
      <w:r w:rsidRPr="003722EE">
        <w:t xml:space="preserve">Цель профилактического применения противогрибковых препаратов — предупреждение развития инвазивных микозов в группах высокого риска их возникновения. </w:t>
      </w:r>
    </w:p>
    <w:p w14:paraId="08B53C65" w14:textId="77777777" w:rsidR="00A67ED2" w:rsidRDefault="00A67ED2" w:rsidP="00A67ED2">
      <w:pPr>
        <w:ind w:right="49" w:firstLine="709"/>
        <w:contextualSpacing/>
      </w:pPr>
      <w:r w:rsidRPr="003722EE">
        <w:t xml:space="preserve">Различают первичную и вторичную </w:t>
      </w:r>
      <w:r w:rsidRPr="003722EE">
        <w:rPr>
          <w:bCs/>
        </w:rPr>
        <w:t xml:space="preserve">противогрибковую </w:t>
      </w:r>
      <w:r w:rsidRPr="003722EE">
        <w:t>профилактику.</w:t>
      </w:r>
    </w:p>
    <w:p w14:paraId="2BDA9D60" w14:textId="77777777" w:rsidR="00A67ED2" w:rsidRDefault="00A67ED2" w:rsidP="00A67ED2">
      <w:pPr>
        <w:ind w:right="51" w:firstLine="708"/>
        <w:contextualSpacing/>
        <w:rPr>
          <w:b/>
          <w:bCs/>
          <w:u w:val="single"/>
        </w:rPr>
      </w:pPr>
    </w:p>
    <w:p w14:paraId="7CD42591" w14:textId="77777777" w:rsidR="00A67ED2" w:rsidRPr="00643B16" w:rsidRDefault="00A67ED2" w:rsidP="00A67ED2">
      <w:pPr>
        <w:ind w:right="51" w:firstLine="708"/>
        <w:contextualSpacing/>
        <w:rPr>
          <w:b/>
          <w:bCs/>
        </w:rPr>
      </w:pPr>
      <w:r w:rsidRPr="00643B16">
        <w:rPr>
          <w:b/>
          <w:bCs/>
        </w:rPr>
        <w:t xml:space="preserve">Первичная противогрибковая профилактика </w:t>
      </w:r>
    </w:p>
    <w:p w14:paraId="71B226A1" w14:textId="77777777" w:rsidR="00A67ED2" w:rsidRPr="003722EE" w:rsidRDefault="00A67ED2" w:rsidP="00A67ED2">
      <w:pPr>
        <w:ind w:right="51" w:firstLine="709"/>
        <w:contextualSpacing/>
        <w:rPr>
          <w:bCs/>
        </w:rPr>
      </w:pPr>
      <w:r w:rsidRPr="003722EE">
        <w:rPr>
          <w:bCs/>
        </w:rPr>
        <w:t>Первичная противогрибковая профилактика показана:</w:t>
      </w:r>
    </w:p>
    <w:p w14:paraId="5A80F189" w14:textId="77777777" w:rsidR="00A67ED2" w:rsidRPr="003722EE" w:rsidRDefault="00A67ED2" w:rsidP="00FC704A">
      <w:pPr>
        <w:pStyle w:val="afff3"/>
        <w:numPr>
          <w:ilvl w:val="0"/>
          <w:numId w:val="251"/>
        </w:numPr>
        <w:snapToGrid w:val="0"/>
        <w:ind w:right="51"/>
        <w:rPr>
          <w:szCs w:val="24"/>
        </w:rPr>
      </w:pPr>
      <w:r w:rsidRPr="003722EE">
        <w:rPr>
          <w:szCs w:val="24"/>
        </w:rPr>
        <w:t>реципиентам аллогенной ТГСК;</w:t>
      </w:r>
    </w:p>
    <w:p w14:paraId="48A97EA7" w14:textId="77777777" w:rsidR="00A67ED2" w:rsidRPr="003722EE" w:rsidRDefault="00A67ED2" w:rsidP="00A67ED2">
      <w:pPr>
        <w:ind w:right="51" w:firstLine="709"/>
        <w:contextualSpacing/>
        <w:rPr>
          <w:b/>
          <w:bCs/>
          <w:i/>
          <w:iCs/>
        </w:rPr>
      </w:pPr>
      <w:r w:rsidRPr="003722EE">
        <w:rPr>
          <w:bCs/>
          <w:iCs/>
        </w:rPr>
        <w:t xml:space="preserve">Реципиентам аллогенной ТГСК в период гранулоцитопении и пребывания в палате с фильтрами высокой степени очистки воздуха препаратом выбора для профилактики </w:t>
      </w:r>
      <w:r w:rsidRPr="003722EE">
        <w:rPr>
          <w:bCs/>
          <w:iCs/>
        </w:rPr>
        <w:lastRenderedPageBreak/>
        <w:t xml:space="preserve">является </w:t>
      </w:r>
      <w:r w:rsidRPr="003722EE">
        <w:t>флуконазол, (400 мг в сутки, внутривенно или внутрь), альтернативные препараты - микафунгин 50</w:t>
      </w:r>
      <w:r>
        <w:t xml:space="preserve"> </w:t>
      </w:r>
      <w:r w:rsidRPr="003722EE">
        <w:t>мг внутривенно</w:t>
      </w:r>
      <w:r w:rsidRPr="003722EE">
        <w:rPr>
          <w:b/>
          <w:bCs/>
          <w:i/>
          <w:iCs/>
        </w:rPr>
        <w:t>,</w:t>
      </w:r>
      <w:r w:rsidRPr="003722EE">
        <w:rPr>
          <w:bCs/>
          <w:iCs/>
        </w:rPr>
        <w:t xml:space="preserve"> в</w:t>
      </w:r>
      <w:r w:rsidRPr="003722EE">
        <w:t>ориконазол (по 200</w:t>
      </w:r>
      <w:r>
        <w:t xml:space="preserve"> </w:t>
      </w:r>
      <w:r w:rsidRPr="003722EE">
        <w:t>мг 2 раза в сутки внутрь или внутривенно).</w:t>
      </w:r>
    </w:p>
    <w:p w14:paraId="296CAC81" w14:textId="77777777" w:rsidR="00A67ED2" w:rsidRPr="003722EE" w:rsidRDefault="00A67ED2" w:rsidP="00A67ED2">
      <w:pPr>
        <w:ind w:right="51" w:firstLine="709"/>
        <w:contextualSpacing/>
        <w:rPr>
          <w:bCs/>
          <w:iCs/>
        </w:rPr>
      </w:pPr>
      <w:r w:rsidRPr="003722EE">
        <w:rPr>
          <w:bCs/>
          <w:iCs/>
        </w:rPr>
        <w:t xml:space="preserve">Реципиентам аллогенной ТГСК в период гранулоцитопении, если они пребывают в палате без фильтров высокой степени очистки воздуха, </w:t>
      </w:r>
      <w:r w:rsidRPr="003722EE">
        <w:t xml:space="preserve">при проведении 2й и последующих трансплантаций </w:t>
      </w:r>
      <w:r w:rsidRPr="003722EE">
        <w:rPr>
          <w:bCs/>
          <w:iCs/>
        </w:rPr>
        <w:t>назначают антимикотики, активные против плесневых грибов:</w:t>
      </w:r>
    </w:p>
    <w:p w14:paraId="4922908D" w14:textId="77777777" w:rsidR="00A67ED2" w:rsidRPr="00643B16" w:rsidRDefault="00A67ED2" w:rsidP="00FC704A">
      <w:pPr>
        <w:pStyle w:val="afff3"/>
        <w:numPr>
          <w:ilvl w:val="0"/>
          <w:numId w:val="251"/>
        </w:numPr>
        <w:snapToGrid w:val="0"/>
        <w:ind w:right="51"/>
        <w:rPr>
          <w:szCs w:val="24"/>
        </w:rPr>
      </w:pPr>
      <w:r w:rsidRPr="00643B16">
        <w:rPr>
          <w:szCs w:val="24"/>
        </w:rPr>
        <w:t>микафунгин (по 50</w:t>
      </w:r>
      <w:r>
        <w:rPr>
          <w:szCs w:val="24"/>
        </w:rPr>
        <w:t xml:space="preserve"> </w:t>
      </w:r>
      <w:r w:rsidRPr="00643B16">
        <w:rPr>
          <w:szCs w:val="24"/>
        </w:rPr>
        <w:t>мг внутривенно)</w:t>
      </w:r>
      <w:r w:rsidRPr="003722EE">
        <w:rPr>
          <w:szCs w:val="24"/>
        </w:rPr>
        <w:t>;</w:t>
      </w:r>
    </w:p>
    <w:p w14:paraId="4E105A32" w14:textId="77777777" w:rsidR="00A67ED2" w:rsidRPr="003722EE" w:rsidRDefault="00A67ED2" w:rsidP="00FC704A">
      <w:pPr>
        <w:pStyle w:val="afff3"/>
        <w:numPr>
          <w:ilvl w:val="0"/>
          <w:numId w:val="251"/>
        </w:numPr>
        <w:snapToGrid w:val="0"/>
        <w:ind w:right="51"/>
        <w:rPr>
          <w:szCs w:val="24"/>
        </w:rPr>
      </w:pPr>
      <w:r w:rsidRPr="003722EE">
        <w:rPr>
          <w:szCs w:val="24"/>
        </w:rPr>
        <w:t>вориконазол (по 200</w:t>
      </w:r>
      <w:r w:rsidRPr="00643B16">
        <w:rPr>
          <w:szCs w:val="24"/>
        </w:rPr>
        <w:t> </w:t>
      </w:r>
      <w:r w:rsidRPr="003722EE">
        <w:rPr>
          <w:szCs w:val="24"/>
        </w:rPr>
        <w:t>мг 2</w:t>
      </w:r>
      <w:r w:rsidRPr="00643B16">
        <w:rPr>
          <w:szCs w:val="24"/>
        </w:rPr>
        <w:t> </w:t>
      </w:r>
      <w:r w:rsidRPr="003722EE">
        <w:rPr>
          <w:szCs w:val="24"/>
        </w:rPr>
        <w:t>раза в сутки внутрь или внутривенно);</w:t>
      </w:r>
    </w:p>
    <w:p w14:paraId="64611C5C" w14:textId="77777777" w:rsidR="00A67ED2" w:rsidRPr="003722EE" w:rsidRDefault="00A67ED2" w:rsidP="00FC704A">
      <w:pPr>
        <w:pStyle w:val="afff3"/>
        <w:numPr>
          <w:ilvl w:val="0"/>
          <w:numId w:val="251"/>
        </w:numPr>
        <w:snapToGrid w:val="0"/>
        <w:ind w:right="51"/>
        <w:rPr>
          <w:szCs w:val="24"/>
        </w:rPr>
      </w:pPr>
      <w:r w:rsidRPr="003722EE">
        <w:rPr>
          <w:szCs w:val="24"/>
        </w:rPr>
        <w:t>позаконазол  в суспензии;</w:t>
      </w:r>
      <w:r>
        <w:rPr>
          <w:szCs w:val="24"/>
        </w:rPr>
        <w:t xml:space="preserve"> </w:t>
      </w:r>
      <w:r w:rsidRPr="003722EE">
        <w:rPr>
          <w:szCs w:val="24"/>
        </w:rPr>
        <w:t>по 200</w:t>
      </w:r>
      <w:r w:rsidRPr="00643B16">
        <w:rPr>
          <w:szCs w:val="24"/>
        </w:rPr>
        <w:t> </w:t>
      </w:r>
      <w:r w:rsidRPr="003722EE">
        <w:rPr>
          <w:szCs w:val="24"/>
        </w:rPr>
        <w:t>мг 3</w:t>
      </w:r>
      <w:r w:rsidRPr="00643B16">
        <w:rPr>
          <w:szCs w:val="24"/>
        </w:rPr>
        <w:t> </w:t>
      </w:r>
      <w:r w:rsidRPr="003722EE">
        <w:rPr>
          <w:szCs w:val="24"/>
        </w:rPr>
        <w:t>раза в сутки внутрь);</w:t>
      </w:r>
    </w:p>
    <w:p w14:paraId="7C89DA59" w14:textId="77777777" w:rsidR="00A67ED2" w:rsidRPr="003722EE" w:rsidRDefault="00A67ED2" w:rsidP="00FC704A">
      <w:pPr>
        <w:pStyle w:val="afff3"/>
        <w:numPr>
          <w:ilvl w:val="0"/>
          <w:numId w:val="251"/>
        </w:numPr>
        <w:snapToGrid w:val="0"/>
        <w:ind w:right="51"/>
        <w:rPr>
          <w:szCs w:val="24"/>
        </w:rPr>
      </w:pPr>
      <w:r w:rsidRPr="003722EE">
        <w:rPr>
          <w:szCs w:val="24"/>
        </w:rPr>
        <w:t>позаконазол в таблетках (в 1 день по 300 мг 2 раза, далее по 300 мг 1 раз в сутки).</w:t>
      </w:r>
    </w:p>
    <w:p w14:paraId="4F8A7BDF" w14:textId="77777777" w:rsidR="00A67ED2" w:rsidRPr="003722EE" w:rsidRDefault="00A67ED2" w:rsidP="00A67ED2">
      <w:pPr>
        <w:pStyle w:val="afff3"/>
        <w:ind w:right="49"/>
        <w:rPr>
          <w:szCs w:val="24"/>
        </w:rPr>
      </w:pPr>
    </w:p>
    <w:p w14:paraId="0EBEF773" w14:textId="77777777" w:rsidR="00A67ED2" w:rsidRPr="003722EE" w:rsidRDefault="00A67ED2" w:rsidP="00A67ED2">
      <w:pPr>
        <w:pStyle w:val="afff3"/>
        <w:ind w:right="49"/>
        <w:rPr>
          <w:szCs w:val="24"/>
        </w:rPr>
      </w:pPr>
      <w:r w:rsidRPr="003722EE">
        <w:rPr>
          <w:szCs w:val="24"/>
        </w:rPr>
        <w:t>Реципиентам, имевшим в анамнезе инвазивный аспергиллез назначают:</w:t>
      </w:r>
    </w:p>
    <w:p w14:paraId="4F27BDA9" w14:textId="77777777" w:rsidR="00A67ED2" w:rsidRPr="003722EE" w:rsidRDefault="00A67ED2" w:rsidP="00FC704A">
      <w:pPr>
        <w:pStyle w:val="afff3"/>
        <w:numPr>
          <w:ilvl w:val="0"/>
          <w:numId w:val="251"/>
        </w:numPr>
        <w:snapToGrid w:val="0"/>
        <w:ind w:right="51"/>
        <w:rPr>
          <w:szCs w:val="24"/>
        </w:rPr>
      </w:pPr>
      <w:r w:rsidRPr="003722EE">
        <w:rPr>
          <w:szCs w:val="24"/>
        </w:rPr>
        <w:t>вориконазол (по 200</w:t>
      </w:r>
      <w:r w:rsidRPr="00643B16">
        <w:rPr>
          <w:szCs w:val="24"/>
        </w:rPr>
        <w:t> </w:t>
      </w:r>
      <w:r w:rsidRPr="003722EE">
        <w:rPr>
          <w:szCs w:val="24"/>
        </w:rPr>
        <w:t>мг 2</w:t>
      </w:r>
      <w:r w:rsidRPr="00643B16">
        <w:rPr>
          <w:szCs w:val="24"/>
        </w:rPr>
        <w:t> </w:t>
      </w:r>
      <w:r w:rsidRPr="003722EE">
        <w:rPr>
          <w:szCs w:val="24"/>
        </w:rPr>
        <w:t>раза в сутки внутрь или внутривенно);</w:t>
      </w:r>
    </w:p>
    <w:p w14:paraId="42A3CFCA" w14:textId="77777777" w:rsidR="00A67ED2" w:rsidRPr="003722EE" w:rsidRDefault="00A67ED2" w:rsidP="00FC704A">
      <w:pPr>
        <w:pStyle w:val="afff3"/>
        <w:numPr>
          <w:ilvl w:val="0"/>
          <w:numId w:val="251"/>
        </w:numPr>
        <w:snapToGrid w:val="0"/>
        <w:ind w:right="51"/>
        <w:rPr>
          <w:szCs w:val="24"/>
        </w:rPr>
      </w:pPr>
      <w:r w:rsidRPr="003722EE">
        <w:rPr>
          <w:szCs w:val="24"/>
        </w:rPr>
        <w:t>позаконазол (в суспензии по 200</w:t>
      </w:r>
      <w:r w:rsidRPr="00643B16">
        <w:rPr>
          <w:szCs w:val="24"/>
        </w:rPr>
        <w:t> </w:t>
      </w:r>
      <w:r w:rsidRPr="003722EE">
        <w:rPr>
          <w:szCs w:val="24"/>
        </w:rPr>
        <w:t>мг 3</w:t>
      </w:r>
      <w:r w:rsidRPr="00643B16">
        <w:rPr>
          <w:szCs w:val="24"/>
        </w:rPr>
        <w:t> </w:t>
      </w:r>
      <w:r w:rsidRPr="003722EE">
        <w:rPr>
          <w:szCs w:val="24"/>
        </w:rPr>
        <w:t>раза в сутки внутрь);</w:t>
      </w:r>
    </w:p>
    <w:p w14:paraId="21675898" w14:textId="77777777" w:rsidR="00A67ED2" w:rsidRPr="003722EE" w:rsidRDefault="00A67ED2" w:rsidP="00FC704A">
      <w:pPr>
        <w:pStyle w:val="afff3"/>
        <w:numPr>
          <w:ilvl w:val="0"/>
          <w:numId w:val="251"/>
        </w:numPr>
        <w:snapToGrid w:val="0"/>
        <w:ind w:right="51"/>
        <w:rPr>
          <w:szCs w:val="24"/>
        </w:rPr>
      </w:pPr>
      <w:r w:rsidRPr="003722EE">
        <w:rPr>
          <w:szCs w:val="24"/>
        </w:rPr>
        <w:t xml:space="preserve">позаконазол в таблетках (в 1 день по 300 мг 2 раза, далее по 300 мг 1 раз в сутки); </w:t>
      </w:r>
    </w:p>
    <w:p w14:paraId="14BE7B64" w14:textId="77777777" w:rsidR="00A67ED2" w:rsidRPr="003722EE" w:rsidRDefault="00A67ED2" w:rsidP="00FC704A">
      <w:pPr>
        <w:pStyle w:val="afff3"/>
        <w:numPr>
          <w:ilvl w:val="0"/>
          <w:numId w:val="251"/>
        </w:numPr>
        <w:snapToGrid w:val="0"/>
        <w:ind w:right="51"/>
        <w:rPr>
          <w:szCs w:val="24"/>
        </w:rPr>
      </w:pPr>
      <w:r w:rsidRPr="003722EE">
        <w:rPr>
          <w:szCs w:val="24"/>
        </w:rPr>
        <w:t>изавуконазол в таблетках или внутривенно (в 1-2 дни по 200 мг 3 раза, затем по 200 мг 1 раз).</w:t>
      </w:r>
    </w:p>
    <w:p w14:paraId="6A905955" w14:textId="77777777" w:rsidR="00A67ED2" w:rsidRPr="003722EE" w:rsidRDefault="00A67ED2" w:rsidP="00A67ED2">
      <w:pPr>
        <w:ind w:right="51" w:firstLine="709"/>
        <w:contextualSpacing/>
      </w:pPr>
    </w:p>
    <w:p w14:paraId="3EBFFFF3" w14:textId="77777777" w:rsidR="00A67ED2" w:rsidRPr="003722EE" w:rsidRDefault="00A67ED2" w:rsidP="00A67ED2">
      <w:pPr>
        <w:ind w:right="51" w:firstLine="709"/>
        <w:contextualSpacing/>
      </w:pPr>
      <w:r w:rsidRPr="003722EE">
        <w:t>При реакции «трансплантат против хозяина» (РТПХ) и печеночной недостаточности препаратом выбора для профилактики является анидулафунгин (в 1й день 200 мг, далее 100 мг).</w:t>
      </w:r>
    </w:p>
    <w:p w14:paraId="66CAE098" w14:textId="77777777" w:rsidR="00A67ED2" w:rsidRPr="003722EE" w:rsidRDefault="00A67ED2" w:rsidP="00A67ED2">
      <w:pPr>
        <w:ind w:right="49" w:firstLine="709"/>
        <w:contextualSpacing/>
        <w:rPr>
          <w:bCs/>
          <w:iCs/>
        </w:rPr>
      </w:pPr>
      <w:r w:rsidRPr="003722EE">
        <w:rPr>
          <w:bCs/>
          <w:iCs/>
        </w:rPr>
        <w:t xml:space="preserve">Реципиентам аутологичной ТГСК в период гранулоцитопении противогрибковую профилактику не проводят. </w:t>
      </w:r>
    </w:p>
    <w:p w14:paraId="237DED8C" w14:textId="77777777" w:rsidR="00A67ED2" w:rsidRDefault="00A67ED2" w:rsidP="00A67ED2">
      <w:pPr>
        <w:tabs>
          <w:tab w:val="left" w:pos="0"/>
        </w:tabs>
        <w:ind w:right="49" w:firstLine="709"/>
        <w:contextualSpacing/>
      </w:pPr>
      <w:r w:rsidRPr="003722EE">
        <w:t>Антимикотики для профилактики назначают</w:t>
      </w:r>
      <w:r w:rsidRPr="003722EE">
        <w:rPr>
          <w:bCs/>
          <w:iCs/>
        </w:rPr>
        <w:t xml:space="preserve"> р</w:t>
      </w:r>
      <w:r w:rsidRPr="003722EE">
        <w:t>еципиентам аллогенной ТГСК  с 1-го дня предтрансплантационного кондиционирования</w:t>
      </w:r>
      <w:r w:rsidRPr="003722EE">
        <w:rPr>
          <w:b/>
          <w:bCs/>
          <w:i/>
          <w:iCs/>
        </w:rPr>
        <w:t xml:space="preserve">, </w:t>
      </w:r>
      <w:r w:rsidRPr="003722EE">
        <w:t xml:space="preserve">реципиентам с РТПХ и терапией преднизолона ≥ 1 мг/кг </w:t>
      </w:r>
      <w:r>
        <w:t>–</w:t>
      </w:r>
      <w:r w:rsidRPr="003722EE">
        <w:t xml:space="preserve"> с 1-го дня применения глюкокортикоидов, </w:t>
      </w:r>
      <w:r w:rsidRPr="003722EE">
        <w:rPr>
          <w:bCs/>
          <w:iCs/>
        </w:rPr>
        <w:t>пациента</w:t>
      </w:r>
      <w:r w:rsidRPr="003722EE">
        <w:t xml:space="preserve">м острым миелобластным лейкозом – с 1-го дня послекурсового периода, </w:t>
      </w:r>
      <w:r w:rsidRPr="003722EE">
        <w:rPr>
          <w:bCs/>
          <w:iCs/>
        </w:rPr>
        <w:t>пациента</w:t>
      </w:r>
      <w:r w:rsidRPr="003722EE">
        <w:t>м апластической анемией – за 2 дня до введения АТГ (в день назначения преднизолона).</w:t>
      </w:r>
    </w:p>
    <w:p w14:paraId="310EDF17" w14:textId="77777777" w:rsidR="00A67ED2" w:rsidRPr="00B77DCF" w:rsidRDefault="00A67ED2" w:rsidP="00A67ED2">
      <w:pPr>
        <w:tabs>
          <w:tab w:val="left" w:pos="0"/>
        </w:tabs>
        <w:ind w:right="49" w:firstLine="709"/>
        <w:contextualSpacing/>
        <w:rPr>
          <w:u w:val="single"/>
        </w:rPr>
      </w:pPr>
      <w:r w:rsidRPr="00B77DCF">
        <w:rPr>
          <w:iCs/>
          <w:u w:val="single"/>
        </w:rPr>
        <w:t xml:space="preserve">Критерии отмены профилактики противогрибковыми препаратами: </w:t>
      </w:r>
    </w:p>
    <w:p w14:paraId="229136EB" w14:textId="77777777" w:rsidR="00A67ED2" w:rsidRPr="00643B16" w:rsidRDefault="00A67ED2" w:rsidP="00FC704A">
      <w:pPr>
        <w:pStyle w:val="afff3"/>
        <w:numPr>
          <w:ilvl w:val="0"/>
          <w:numId w:val="251"/>
        </w:numPr>
        <w:snapToGrid w:val="0"/>
        <w:ind w:right="51"/>
        <w:rPr>
          <w:szCs w:val="24"/>
        </w:rPr>
      </w:pPr>
      <w:r w:rsidRPr="00643B16">
        <w:rPr>
          <w:szCs w:val="24"/>
        </w:rPr>
        <w:t>у реципиентов аллогенных ТГСК без РТПХ – восстановление гранулоцитов (&gt;0,5 х 10</w:t>
      </w:r>
      <w:r w:rsidRPr="00015917">
        <w:rPr>
          <w:szCs w:val="24"/>
          <w:vertAlign w:val="superscript"/>
        </w:rPr>
        <w:t>9</w:t>
      </w:r>
      <w:r w:rsidRPr="00643B16">
        <w:rPr>
          <w:szCs w:val="24"/>
        </w:rPr>
        <w:t xml:space="preserve">/л); </w:t>
      </w:r>
    </w:p>
    <w:p w14:paraId="37F4ACBD" w14:textId="77777777" w:rsidR="00A67ED2" w:rsidRPr="003722EE" w:rsidRDefault="00A67ED2" w:rsidP="00FC704A">
      <w:pPr>
        <w:pStyle w:val="afff3"/>
        <w:numPr>
          <w:ilvl w:val="0"/>
          <w:numId w:val="251"/>
        </w:numPr>
        <w:snapToGrid w:val="0"/>
        <w:ind w:right="51"/>
        <w:rPr>
          <w:szCs w:val="24"/>
        </w:rPr>
      </w:pPr>
      <w:r w:rsidRPr="003722EE">
        <w:rPr>
          <w:szCs w:val="24"/>
        </w:rPr>
        <w:t xml:space="preserve"> </w:t>
      </w:r>
      <w:r w:rsidRPr="00643B16">
        <w:rPr>
          <w:szCs w:val="24"/>
        </w:rPr>
        <w:t>у пациентов с РТПХ</w:t>
      </w:r>
      <w:r w:rsidRPr="003722EE">
        <w:rPr>
          <w:szCs w:val="24"/>
        </w:rPr>
        <w:t xml:space="preserve"> – “контроль” над РТПХ, снижение дозы преднизолона до 0,15-0,3 мг/кг/сут, количество гранулоцитов &gt;0,5х10</w:t>
      </w:r>
      <w:r w:rsidRPr="00015917">
        <w:rPr>
          <w:szCs w:val="24"/>
          <w:vertAlign w:val="superscript"/>
        </w:rPr>
        <w:t>9</w:t>
      </w:r>
      <w:r w:rsidRPr="003722EE">
        <w:rPr>
          <w:szCs w:val="24"/>
        </w:rPr>
        <w:t xml:space="preserve">/л, отсутствие лимфопении и цитомегаловирусной инфекции. </w:t>
      </w:r>
      <w:r w:rsidRPr="003722EE">
        <w:rPr>
          <w:szCs w:val="24"/>
        </w:rPr>
        <w:tab/>
      </w:r>
    </w:p>
    <w:p w14:paraId="4093A08F" w14:textId="77777777" w:rsidR="00A67ED2" w:rsidRPr="003722EE" w:rsidRDefault="00A67ED2" w:rsidP="00FC704A">
      <w:pPr>
        <w:pStyle w:val="afff3"/>
        <w:numPr>
          <w:ilvl w:val="0"/>
          <w:numId w:val="251"/>
        </w:numPr>
        <w:snapToGrid w:val="0"/>
        <w:ind w:right="51"/>
        <w:rPr>
          <w:szCs w:val="24"/>
        </w:rPr>
      </w:pPr>
      <w:r w:rsidRPr="003722EE">
        <w:rPr>
          <w:szCs w:val="24"/>
        </w:rPr>
        <w:lastRenderedPageBreak/>
        <w:t xml:space="preserve">Особое внимание при отмене профилактического приема противогрибковых препаратов, активных в отношении плесневых грибов, следует уделять пациентам с доказанной или предполагаемой РТПХ легких. При наличии мокроты у пациентов с РТПХ легких необходимо во всех случаях проводить микологическое исследование на плесневые грибы. При обнаружении плесневых грибов в мокроте, даже при минимальных изменениях в легких, следует назначать позаконазол (суспензия, по 400 мг х 2 раза после еды), или позаконазол в таблетках (в 1й день по 300 мг х 2 раза, затем по 300 мг 1 раз), или изавуконазол (в 1-2 дни по 200 мг 3 раза, затем по 200 мг 1 раз в таблетках или внутривенно), вориконазол (по 200 мг х 2 раза в таблетках, у больных с весом &gt; 85 кг суточную дозу вориконазола в таблетках назначают из расчета 8 мг/кг/сутки, максимально – по 300 мг х 2 раза); </w:t>
      </w:r>
    </w:p>
    <w:p w14:paraId="789A50AE" w14:textId="77777777" w:rsidR="00A67ED2" w:rsidRDefault="00A67ED2" w:rsidP="00A67ED2">
      <w:pPr>
        <w:ind w:right="51" w:firstLine="709"/>
        <w:contextualSpacing/>
        <w:rPr>
          <w:b/>
        </w:rPr>
      </w:pPr>
    </w:p>
    <w:p w14:paraId="531611F4" w14:textId="77777777" w:rsidR="00A67ED2" w:rsidRPr="00B77DCF" w:rsidRDefault="00A67ED2" w:rsidP="00A67ED2">
      <w:pPr>
        <w:ind w:right="51" w:firstLine="709"/>
        <w:contextualSpacing/>
        <w:rPr>
          <w:b/>
        </w:rPr>
      </w:pPr>
      <w:r w:rsidRPr="00B77DCF">
        <w:rPr>
          <w:b/>
        </w:rPr>
        <w:t>Вторичная противогрибковая профилактика</w:t>
      </w:r>
    </w:p>
    <w:p w14:paraId="10BBA977" w14:textId="77777777" w:rsidR="00A67ED2" w:rsidRPr="003722EE" w:rsidRDefault="00A67ED2" w:rsidP="00A67ED2">
      <w:pPr>
        <w:ind w:right="51" w:firstLine="708"/>
        <w:contextualSpacing/>
        <w:rPr>
          <w:bCs/>
        </w:rPr>
      </w:pPr>
      <w:r w:rsidRPr="003722EE">
        <w:t>Вторичная противогрибковая профилактика п</w:t>
      </w:r>
      <w:r w:rsidRPr="003722EE">
        <w:rPr>
          <w:bCs/>
        </w:rPr>
        <w:t>роводится:</w:t>
      </w:r>
    </w:p>
    <w:p w14:paraId="0A60FC52" w14:textId="77777777" w:rsidR="00A67ED2" w:rsidRPr="00643B16" w:rsidRDefault="00A67ED2" w:rsidP="00FC704A">
      <w:pPr>
        <w:pStyle w:val="afff3"/>
        <w:numPr>
          <w:ilvl w:val="0"/>
          <w:numId w:val="251"/>
        </w:numPr>
        <w:snapToGrid w:val="0"/>
        <w:ind w:right="51"/>
        <w:rPr>
          <w:szCs w:val="24"/>
        </w:rPr>
      </w:pPr>
      <w:r w:rsidRPr="00643B16">
        <w:rPr>
          <w:szCs w:val="24"/>
        </w:rPr>
        <w:t>пациентам, имевшим в анамнезе инвазивный микоз, вызванный плесневыми грибами (инвазивный аспергиллез, мукормикоз и др.), а также диссеминированный инвазивный кандидоз (инвазия в органы);</w:t>
      </w:r>
    </w:p>
    <w:p w14:paraId="45BC9135" w14:textId="77777777" w:rsidR="00A67ED2" w:rsidRPr="00643B16" w:rsidRDefault="00A67ED2" w:rsidP="00FC704A">
      <w:pPr>
        <w:pStyle w:val="afff3"/>
        <w:numPr>
          <w:ilvl w:val="0"/>
          <w:numId w:val="251"/>
        </w:numPr>
        <w:snapToGrid w:val="0"/>
        <w:ind w:right="51"/>
        <w:rPr>
          <w:szCs w:val="24"/>
        </w:rPr>
      </w:pPr>
      <w:r w:rsidRPr="00643B16">
        <w:rPr>
          <w:szCs w:val="24"/>
        </w:rPr>
        <w:t>во время очередного курса ПХТ, если ожидается нейтропения от 7 дней и более</w:t>
      </w:r>
      <w:r>
        <w:rPr>
          <w:szCs w:val="24"/>
        </w:rPr>
        <w:t>.</w:t>
      </w:r>
    </w:p>
    <w:p w14:paraId="6E1B79AA" w14:textId="77777777" w:rsidR="00A67ED2" w:rsidRPr="00B77DCF" w:rsidRDefault="00A67ED2" w:rsidP="00A67ED2">
      <w:pPr>
        <w:snapToGrid w:val="0"/>
        <w:ind w:right="51" w:firstLine="709"/>
      </w:pPr>
      <w:r w:rsidRPr="00B77DCF">
        <w:t>Пациентам, имевшим кандидемию без диссеминации в органы, профилактику не проводят.</w:t>
      </w:r>
    </w:p>
    <w:p w14:paraId="2F175FAD" w14:textId="6EF8975C" w:rsidR="00A67ED2" w:rsidRPr="003722EE" w:rsidRDefault="00A67ED2" w:rsidP="00A67ED2">
      <w:pPr>
        <w:ind w:right="49" w:firstLine="709"/>
        <w:contextualSpacing/>
      </w:pPr>
      <w:r w:rsidRPr="003722EE">
        <w:t xml:space="preserve">Вторичная противогрибковая профилактика показана при курсах </w:t>
      </w:r>
      <w:r w:rsidR="006D1308">
        <w:t>химиотерапии</w:t>
      </w:r>
      <w:r w:rsidRPr="003722EE">
        <w:t>, сопровождающихся нейтропенией, и при использовании иммуносупресивных препаратов. Для вторичной профилактики назначают препарат, при использовании которого было достигнуто излечение от инвазивного микоза, с 1-го дня послекурсового периода или при количестве гранулоцитов ≤0,5</w:t>
      </w:r>
      <w:r>
        <w:t xml:space="preserve"> </w:t>
      </w:r>
      <w:r w:rsidRPr="003722EE">
        <w:t>х</w:t>
      </w:r>
      <w:r>
        <w:t xml:space="preserve"> </w:t>
      </w:r>
      <w:r w:rsidRPr="003722EE">
        <w:t>10</w:t>
      </w:r>
      <w:r w:rsidRPr="003722EE">
        <w:rPr>
          <w:vertAlign w:val="superscript"/>
        </w:rPr>
        <w:t>9</w:t>
      </w:r>
      <w:r w:rsidRPr="003722EE">
        <w:t>/л, а также в течение всего периода применения иммуносупрессивных препаратов.</w:t>
      </w:r>
    </w:p>
    <w:p w14:paraId="2EBE3F7F" w14:textId="1B481729" w:rsidR="00A67ED2" w:rsidRPr="003722EE" w:rsidRDefault="00A67ED2" w:rsidP="00A67ED2">
      <w:pPr>
        <w:ind w:right="51" w:firstLine="709"/>
        <w:contextualSpacing/>
      </w:pPr>
      <w:r w:rsidRPr="003722EE">
        <w:t>Противогрибковые препараты, используемые для вторичной профилактики больным, имевшим в анамнезе</w:t>
      </w:r>
      <w:r w:rsidRPr="00026095">
        <w:t xml:space="preserve"> </w:t>
      </w:r>
      <w:r>
        <w:fldChar w:fldCharType="begin" w:fldLock="1"/>
      </w:r>
      <w:r>
        <w:instrText>ADDIN CSL_CITATION {"citationItems":[{"id":"ITEM-1","itemData":{"DOI":"10.3324/haematol.2016.152900","ISSN":"15928721","PMID":"28011902","abstract":"The European Conference on Infections in Leukemia (ECIL) provides recommendations for diagnostic strategies and prophylactic, pre-emptive or targeted therapy strategies for various types of infection in patients with hematologic malignancies or hematopoietic stem cell transplantation recipients. Meetings are held every two years since 2005 and evidence-based recommendations are elaborated after evaluation of the literature and discussion among specialists of nearly all European countries. In this manuscript, the ECIL group presents the 2015-update of the recommendations for the targeted treatment of invasive candidiasis, aspergillosis and mucormycosis. Current data now allow a very strong recommendation in favor of echinocandins for first-line therapy of candidemia irrespective of the underlying predisposing factors. Anidulafungin has been given the same grading as the other echinocandins for hemato-oncological patients. The beneficial role of catheter removal in candidemia is strengthened. Aspergillus guidelines now recommend the use of either voriconazole or isavuconazole for first-line treatment of invasive aspergillosis, while first-line combination antifungal therapy is not routinely recommended. As only few new data were published since the last ECIL guidelines, no major changes were made to mucormycosis recommendations.","author":[{"dropping-particle":"","family":"Tissot","given":"Frederic","non-dropping-particle":"","parse-names":false,"suffix":""},{"dropping-particle":"","family":"Agrawal","given":"Samir","non-dropping-particle":"","parse-names":false,"suffix":""},{"dropping-particle":"","family":"Pagano","given":"Livio","non-dropping-particle":"","parse-names":false,"suffix":""},{"dropping-particle":"","family":"Petrikkos","given":"Georgios","non-dropping-particle":"","parse-names":false,"suffix":""},{"dropping-particle":"","family":"Groll","given":"Andreas H.","non-dropping-particle":"","parse-names":false,"suffix":""},{"dropping-particle":"","family":"Skiada","given":"Anna","non-dropping-particle":"","parse-names":false,"suffix":""},{"dropping-particle":"","family":"Lass-Flörl","given":"Cornelia","non-dropping-particle":"","parse-names":false,"suffix":""},{"dropping-particle":"","family":"Calandra","given":"Thierry","non-dropping-particle":"","parse-names":false,"suffix":""},{"dropping-particle":"","family":"Viscoli","given":"Claudio","non-dropping-particle":"","parse-names":false,"suffix":""},{"dropping-particle":"","family":"Herbrecht","given":"Raoul","non-dropping-particle":"","parse-names":false,"suffix":""}],"container-title":"Haematologica","id":"ITEM-1","issue":"3","issued":{"date-parts":[["2017","2","28"]]},"page":"433-444","publisher":"Ferrata Storti Foundation","title":"ECIL-6 guidelines for the treatment of invasive candidiasis, aspergillosis and mucormycosis in leukemia and hematopoietic stem cell transplant patients","type":"article-journal","volume":"102"},"uris":["http://www.mendeley.com/documents/?uuid=56063fed-25f6-3324-a2f1-f316166613f0"]}],"mendeley":{"formattedCitation":"[130]","plainTextFormattedCitation":"[130]","previouslyFormattedCitation":"[3]"},"properties":{"noteIndex":0},"schema":"https://github.com/citation-style-language/schema/raw/master/csl-citation.json"}</w:instrText>
      </w:r>
      <w:r>
        <w:fldChar w:fldCharType="separate"/>
      </w:r>
      <w:r w:rsidRPr="00A67ED2">
        <w:rPr>
          <w:noProof/>
        </w:rPr>
        <w:t>[130]</w:t>
      </w:r>
      <w:r>
        <w:fldChar w:fldCharType="end"/>
      </w:r>
      <w:r w:rsidRPr="003722EE">
        <w:t>:</w:t>
      </w:r>
    </w:p>
    <w:p w14:paraId="5396C832" w14:textId="77777777" w:rsidR="00A67ED2" w:rsidRPr="00643B16" w:rsidRDefault="00A67ED2" w:rsidP="00FC704A">
      <w:pPr>
        <w:pStyle w:val="afff3"/>
        <w:numPr>
          <w:ilvl w:val="0"/>
          <w:numId w:val="251"/>
        </w:numPr>
        <w:snapToGrid w:val="0"/>
        <w:ind w:right="51"/>
        <w:rPr>
          <w:szCs w:val="24"/>
        </w:rPr>
      </w:pPr>
      <w:r w:rsidRPr="00643B16">
        <w:rPr>
          <w:szCs w:val="24"/>
        </w:rPr>
        <w:t>Кандидемию с диссеминацией в органы или хронический диссеминированный кандидоз:</w:t>
      </w:r>
    </w:p>
    <w:p w14:paraId="5A8B16EE" w14:textId="77777777" w:rsidR="00A67ED2" w:rsidRPr="003722EE" w:rsidRDefault="00A67ED2" w:rsidP="00FC704A">
      <w:pPr>
        <w:numPr>
          <w:ilvl w:val="0"/>
          <w:numId w:val="252"/>
        </w:numPr>
        <w:tabs>
          <w:tab w:val="left" w:pos="317"/>
        </w:tabs>
        <w:ind w:right="49"/>
        <w:contextualSpacing/>
      </w:pPr>
      <w:r w:rsidRPr="003722EE">
        <w:t>флуконазол, по 400 мг в сутки, внутривенно или внутрь;</w:t>
      </w:r>
    </w:p>
    <w:p w14:paraId="24FB9077" w14:textId="77777777" w:rsidR="00A67ED2" w:rsidRPr="003722EE" w:rsidRDefault="00A67ED2" w:rsidP="00FC704A">
      <w:pPr>
        <w:numPr>
          <w:ilvl w:val="0"/>
          <w:numId w:val="252"/>
        </w:numPr>
        <w:tabs>
          <w:tab w:val="left" w:pos="317"/>
        </w:tabs>
        <w:ind w:right="49"/>
        <w:contextualSpacing/>
      </w:pPr>
      <w:r w:rsidRPr="003722EE">
        <w:t>каспофунгин, по 50 мг в сутки внутривенно;</w:t>
      </w:r>
    </w:p>
    <w:p w14:paraId="61E1DD33" w14:textId="77777777" w:rsidR="00A67ED2" w:rsidRPr="003722EE" w:rsidRDefault="00A67ED2" w:rsidP="00FC704A">
      <w:pPr>
        <w:numPr>
          <w:ilvl w:val="0"/>
          <w:numId w:val="252"/>
        </w:numPr>
        <w:tabs>
          <w:tab w:val="left" w:pos="317"/>
        </w:tabs>
        <w:ind w:right="49"/>
        <w:contextualSpacing/>
      </w:pPr>
      <w:r w:rsidRPr="003722EE">
        <w:t>микафунгин, по 100 мг в сутки внутривенно;</w:t>
      </w:r>
    </w:p>
    <w:p w14:paraId="30EFE1AB" w14:textId="77777777" w:rsidR="00A67ED2" w:rsidRPr="003722EE" w:rsidRDefault="00A67ED2" w:rsidP="00FC704A">
      <w:pPr>
        <w:numPr>
          <w:ilvl w:val="0"/>
          <w:numId w:val="252"/>
        </w:numPr>
        <w:tabs>
          <w:tab w:val="left" w:pos="317"/>
        </w:tabs>
        <w:ind w:right="51"/>
        <w:contextualSpacing/>
      </w:pPr>
      <w:r w:rsidRPr="003722EE">
        <w:lastRenderedPageBreak/>
        <w:t>анидулафунгин, по 100 мг в сутки внутривенно.</w:t>
      </w:r>
    </w:p>
    <w:p w14:paraId="7DB1256C" w14:textId="77777777" w:rsidR="00A67ED2" w:rsidRPr="00643B16" w:rsidRDefault="00A67ED2" w:rsidP="00FC704A">
      <w:pPr>
        <w:pStyle w:val="afff3"/>
        <w:numPr>
          <w:ilvl w:val="0"/>
          <w:numId w:val="251"/>
        </w:numPr>
        <w:snapToGrid w:val="0"/>
        <w:ind w:right="51"/>
        <w:rPr>
          <w:szCs w:val="24"/>
        </w:rPr>
      </w:pPr>
      <w:r w:rsidRPr="00643B16">
        <w:rPr>
          <w:szCs w:val="24"/>
        </w:rPr>
        <w:t>Инвазивный аспергиллез:</w:t>
      </w:r>
    </w:p>
    <w:p w14:paraId="0FF5AB4E" w14:textId="77777777" w:rsidR="00A67ED2" w:rsidRPr="003722EE" w:rsidRDefault="00A67ED2" w:rsidP="00FC704A">
      <w:pPr>
        <w:numPr>
          <w:ilvl w:val="0"/>
          <w:numId w:val="252"/>
        </w:numPr>
        <w:tabs>
          <w:tab w:val="left" w:pos="317"/>
        </w:tabs>
        <w:ind w:right="49"/>
        <w:contextualSpacing/>
      </w:pPr>
      <w:r w:rsidRPr="003722EE">
        <w:t>вориконазол (таблетки/внутривенно), по 200</w:t>
      </w:r>
      <w:r w:rsidRPr="00643B16">
        <w:t> </w:t>
      </w:r>
      <w:r w:rsidRPr="003722EE">
        <w:t>мг 2</w:t>
      </w:r>
      <w:r w:rsidRPr="00643B16">
        <w:t> </w:t>
      </w:r>
      <w:r w:rsidRPr="003722EE">
        <w:t>раза;</w:t>
      </w:r>
    </w:p>
    <w:p w14:paraId="5EB9879B" w14:textId="77777777" w:rsidR="00A67ED2" w:rsidRPr="003722EE" w:rsidRDefault="00A67ED2" w:rsidP="00FC704A">
      <w:pPr>
        <w:numPr>
          <w:ilvl w:val="0"/>
          <w:numId w:val="252"/>
        </w:numPr>
        <w:tabs>
          <w:tab w:val="left" w:pos="317"/>
        </w:tabs>
        <w:ind w:right="49"/>
        <w:contextualSpacing/>
      </w:pPr>
      <w:r w:rsidRPr="003722EE">
        <w:t>позаконазол (суспензия), по 200</w:t>
      </w:r>
      <w:r w:rsidRPr="00643B16">
        <w:t> </w:t>
      </w:r>
      <w:r w:rsidRPr="003722EE">
        <w:t>мг 3</w:t>
      </w:r>
      <w:r w:rsidRPr="00643B16">
        <w:t> </w:t>
      </w:r>
      <w:r w:rsidRPr="003722EE">
        <w:t>раза (после еды);</w:t>
      </w:r>
    </w:p>
    <w:p w14:paraId="0E942EF6" w14:textId="77777777" w:rsidR="00A67ED2" w:rsidRPr="003722EE" w:rsidRDefault="00A67ED2" w:rsidP="00FC704A">
      <w:pPr>
        <w:numPr>
          <w:ilvl w:val="0"/>
          <w:numId w:val="252"/>
        </w:numPr>
        <w:tabs>
          <w:tab w:val="left" w:pos="317"/>
        </w:tabs>
        <w:ind w:right="49"/>
        <w:contextualSpacing/>
      </w:pPr>
      <w:r w:rsidRPr="003722EE">
        <w:t>позаконазол (таблетки) в 1й день по 300 мг х 2 раза, далее по 1 таб 1 раз;</w:t>
      </w:r>
    </w:p>
    <w:p w14:paraId="65DA4B30" w14:textId="77777777" w:rsidR="00A67ED2" w:rsidRPr="00643B16" w:rsidRDefault="00A67ED2" w:rsidP="00FC704A">
      <w:pPr>
        <w:numPr>
          <w:ilvl w:val="0"/>
          <w:numId w:val="252"/>
        </w:numPr>
        <w:tabs>
          <w:tab w:val="left" w:pos="317"/>
        </w:tabs>
        <w:ind w:right="49"/>
        <w:contextualSpacing/>
      </w:pPr>
      <w:r w:rsidRPr="003722EE">
        <w:t>изавуконазол (таблетки/внутривенно) в 1-2й дни по 200 мг 3 раза, затем по 200 мг 1 раз.</w:t>
      </w:r>
    </w:p>
    <w:p w14:paraId="028356A5" w14:textId="77777777" w:rsidR="00A67ED2" w:rsidRPr="00643B16" w:rsidRDefault="00A67ED2" w:rsidP="00FC704A">
      <w:pPr>
        <w:pStyle w:val="afff3"/>
        <w:numPr>
          <w:ilvl w:val="0"/>
          <w:numId w:val="251"/>
        </w:numPr>
        <w:snapToGrid w:val="0"/>
        <w:ind w:right="51"/>
        <w:rPr>
          <w:szCs w:val="24"/>
        </w:rPr>
      </w:pPr>
      <w:r w:rsidRPr="00643B16">
        <w:rPr>
          <w:szCs w:val="24"/>
        </w:rPr>
        <w:t>Мукормикоз:</w:t>
      </w:r>
    </w:p>
    <w:p w14:paraId="039FA221" w14:textId="77777777" w:rsidR="00A67ED2" w:rsidRPr="003722EE" w:rsidRDefault="00A67ED2" w:rsidP="00FC704A">
      <w:pPr>
        <w:numPr>
          <w:ilvl w:val="0"/>
          <w:numId w:val="252"/>
        </w:numPr>
        <w:tabs>
          <w:tab w:val="left" w:pos="317"/>
        </w:tabs>
        <w:ind w:right="49"/>
        <w:contextualSpacing/>
      </w:pPr>
      <w:r w:rsidRPr="003722EE">
        <w:t>позаконазол (суспензия), по 200</w:t>
      </w:r>
      <w:r w:rsidRPr="00643B16">
        <w:t> </w:t>
      </w:r>
      <w:r w:rsidRPr="003722EE">
        <w:t>мг 3</w:t>
      </w:r>
      <w:r w:rsidRPr="00643B16">
        <w:t> </w:t>
      </w:r>
      <w:r w:rsidRPr="003722EE">
        <w:t>раза (после еды);</w:t>
      </w:r>
    </w:p>
    <w:p w14:paraId="1E1B8996" w14:textId="77777777" w:rsidR="00A67ED2" w:rsidRPr="003722EE" w:rsidRDefault="00A67ED2" w:rsidP="00FC704A">
      <w:pPr>
        <w:numPr>
          <w:ilvl w:val="0"/>
          <w:numId w:val="252"/>
        </w:numPr>
        <w:tabs>
          <w:tab w:val="left" w:pos="317"/>
        </w:tabs>
        <w:ind w:right="49"/>
        <w:contextualSpacing/>
      </w:pPr>
      <w:r w:rsidRPr="003722EE">
        <w:t>позаконазол (таблетки) в 1й день по 300 мг х 2 раза, далее по 1 таб 1 раз;</w:t>
      </w:r>
    </w:p>
    <w:p w14:paraId="2179EF70" w14:textId="77777777" w:rsidR="00A67ED2" w:rsidRPr="00643B16" w:rsidRDefault="00A67ED2" w:rsidP="00FC704A">
      <w:pPr>
        <w:numPr>
          <w:ilvl w:val="0"/>
          <w:numId w:val="252"/>
        </w:numPr>
        <w:tabs>
          <w:tab w:val="left" w:pos="317"/>
        </w:tabs>
        <w:ind w:right="49"/>
        <w:contextualSpacing/>
      </w:pPr>
      <w:r w:rsidRPr="003722EE">
        <w:t>изавуконазол (таблетки/внутривенно) в 1-2й дни по 200 мг 3 раза, затем по 200 мг 1 раз.</w:t>
      </w:r>
    </w:p>
    <w:p w14:paraId="5DE36FDE" w14:textId="77777777" w:rsidR="00A67ED2" w:rsidRPr="003722EE" w:rsidRDefault="00A67ED2" w:rsidP="00A67ED2">
      <w:pPr>
        <w:ind w:right="51" w:firstLine="708"/>
        <w:contextualSpacing/>
      </w:pPr>
      <w:r w:rsidRPr="003722EE">
        <w:t>Амфотерицин В не назначают для профилактики инвазивных микозов по причине его высокой токсичности. При вторичной профилактике вориконазол, позаконазол, изавуконазол следует применять осторожно при курсах ПХТ, включающих винкристин, поскольку они могут потенцировать развитие нейротоксичности. Назначать эти препараты следует не ранее чем через 3-5 дней от даты последнего введения винкристина.</w:t>
      </w:r>
    </w:p>
    <w:p w14:paraId="7947877A" w14:textId="77777777" w:rsidR="00A67ED2" w:rsidRPr="003722EE" w:rsidRDefault="00A67ED2" w:rsidP="00A67ED2">
      <w:pPr>
        <w:tabs>
          <w:tab w:val="left" w:pos="0"/>
        </w:tabs>
        <w:ind w:right="49"/>
        <w:contextualSpacing/>
        <w:rPr>
          <w:bCs/>
          <w:iCs/>
        </w:rPr>
      </w:pPr>
      <w:r w:rsidRPr="003722EE">
        <w:rPr>
          <w:bCs/>
        </w:rPr>
        <w:tab/>
        <w:t xml:space="preserve">Противогрибковые препараты, назначенные для вторичной профилактики, отменяют при </w:t>
      </w:r>
      <w:r w:rsidRPr="003722EE">
        <w:rPr>
          <w:bCs/>
          <w:iCs/>
        </w:rPr>
        <w:t>восстановление гранулоцитов (&gt;0,5 х 10</w:t>
      </w:r>
      <w:r w:rsidRPr="003722EE">
        <w:rPr>
          <w:bCs/>
          <w:iCs/>
          <w:vertAlign w:val="superscript"/>
        </w:rPr>
        <w:t>9</w:t>
      </w:r>
      <w:r w:rsidRPr="003722EE">
        <w:rPr>
          <w:bCs/>
          <w:iCs/>
        </w:rPr>
        <w:t>/л).</w:t>
      </w:r>
    </w:p>
    <w:p w14:paraId="4825442A" w14:textId="77777777" w:rsidR="00A67ED2" w:rsidRDefault="00A67ED2" w:rsidP="00A67ED2">
      <w:pPr>
        <w:pStyle w:val="afff3"/>
        <w:ind w:right="51"/>
        <w:rPr>
          <w:b/>
          <w:szCs w:val="24"/>
        </w:rPr>
      </w:pPr>
    </w:p>
    <w:p w14:paraId="58B4C803" w14:textId="5BCC8EDC" w:rsidR="00A67ED2" w:rsidRPr="0051550E" w:rsidRDefault="00A67ED2" w:rsidP="00A67ED2">
      <w:pPr>
        <w:pStyle w:val="afff3"/>
        <w:ind w:right="51"/>
        <w:rPr>
          <w:bCs/>
          <w:i/>
          <w:iCs/>
          <w:szCs w:val="24"/>
          <w:u w:val="single"/>
        </w:rPr>
      </w:pPr>
      <w:r w:rsidRPr="00B77DCF">
        <w:rPr>
          <w:bCs/>
          <w:i/>
          <w:iCs/>
          <w:szCs w:val="24"/>
          <w:u w:val="single"/>
        </w:rPr>
        <w:t>Профилактика вирусных инфекций</w:t>
      </w:r>
      <w:r>
        <w:rPr>
          <w:bCs/>
          <w:i/>
          <w:iCs/>
          <w:szCs w:val="24"/>
          <w:u w:val="single"/>
        </w:rPr>
        <w:t xml:space="preserve"> </w:t>
      </w:r>
      <w:r>
        <w:rPr>
          <w:bCs/>
          <w:i/>
          <w:iCs/>
          <w:szCs w:val="24"/>
          <w:u w:val="single"/>
        </w:rPr>
        <w:fldChar w:fldCharType="begin" w:fldLock="1"/>
      </w:r>
      <w:r>
        <w:rPr>
          <w:bCs/>
          <w:i/>
          <w:iCs/>
          <w:szCs w:val="24"/>
          <w:u w:val="single"/>
        </w:rPr>
        <w:instrText>ADDIN CSL_CITATION {"citationItems":[{"id":"ITEM-1","itemData":{"DOI":"10.1038/bmt.2008.386","ISSN":"02683369","PMID":"19043458","abstract":"These guidelines on the management of HSV, VZV and EBV infection in patients with hematological malignancies and after SCT were prepared by the European Conference on Infections in Leukemia following a predefined methodology. A PubMed search was conducted using the appropriate key words to identify studies pertinent to management of HSV, VZV and EBV infections. References of relevant articles and abstracts from recent hematology and SCT scientific meetings were also reviewed. Prospective and retrospective studies identified from the data sources were evaluated, and all data deemed relevant were included in this analysis. The clinical and scientific background was described and discussed, and the quality of evidence and level of recommendation were graded according to the Centers for Disease Control criteria.","author":[{"dropping-particle":"","family":"Styczynski","given":"J.","non-dropping-particle":"","parse-names":false,"suffix":""},{"dropping-particle":"","family":"Reusser","given":"P.","non-dropping-particle":"","parse-names":false,"suffix":""},{"dropping-particle":"","family":"Einsele","given":"H.","non-dropping-particle":"","parse-names":false,"suffix":""},{"dropping-particle":"","family":"la Camara","given":"R.","non-dropping-particle":"de","parse-names":false,"suffix":""},{"dropping-particle":"","family":"Cordonnier","given":"C.","non-dropping-particle":"","parse-names":false,"suffix":""},{"dropping-particle":"","family":"Ward","given":"K. N.","non-dropping-particle":"","parse-names":false,"suffix":""},{"dropping-particle":"","family":"Ljungman","given":"P.","non-dropping-particle":"","parse-names":false,"suffix":""},{"dropping-particle":"","family":"Engelhard","given":"D.","non-dropping-particle":"","parse-names":false,"suffix":""}],"container-title":"Bone Marrow Transplantation","id":"ITEM-1","issue":"10","issued":{"date-parts":[["2009"]]},"page":"757-770","publisher":"Bone Marrow Transplant","title":"Management of HSV, VZV and EBV infections in patients with hematological malignancies and after SCT: Guidelines from the Second European Conference on Infections in Leukemia","type":"article-journal","volume":"43"},"uris":["http://www.mendeley.com/documents/?uuid=d821a870-8754-3698-8a43-34506f6d18d8"]},{"id":"ITEM-2","itemData":{"DOI":"10.1038/bmt.2008.162","ISSN":"02683369","PMID":"18587440","abstract":"These recommendations were prepared by the European Conference on Infections in Leukaemia following a predefined methodology. Literature searches were made to identify studies pertinent to management of CMV, HHV-6, -7 and -8 infections. For CMV, 76 studies were reviewed: 72 published and 4 presented as abstracts. Twenty-nine of these studies were prospective randomized trials. For the other herpesviruses, HHV-6, -7 and -8, no randomized controlled trial has been performed, although data from some studies with other primary endpoints have been used to assess the management of HHV-6 infection. Works presented only as abstracts were used to a very limited extent. The quality of evidence and level of recommendation were graded according to the Center for Disease Control (CDC) criteria.","author":[{"dropping-particle":"","family":"Ljungman","given":"P.","non-dropping-particle":"","parse-names":false,"suffix":""},{"dropping-particle":"","family":"la Camara","given":"R.","non-dropping-particle":"de","parse-names":false,"suffix":""},{"dropping-particle":"","family":"Cordonnier","given":"C.","non-dropping-particle":"","parse-names":false,"suffix":""},{"dropping-particle":"","family":"Einsele","given":"H.","non-dropping-particle":"","parse-names":false,"suffix":""},{"dropping-particle":"","family":"Engelhard","given":"D.","non-dropping-particle":"","parse-names":false,"suffix":""},{"dropping-particle":"","family":"Reusser","given":"P.","non-dropping-particle":"","parse-names":false,"suffix":""},{"dropping-particle":"","family":"Styczynski","given":"J.","non-dropping-particle":"","parse-names":false,"suffix":""},{"dropping-particle":"","family":"Ward","given":"K.","non-dropping-particle":"","parse-names":false,"suffix":""}],"container-title":"Bone Marrow Transplantation","id":"ITEM-2","issue":"4","issued":{"date-parts":[["2008"]]},"page":"227-240","publisher":"Bone Marrow Transplant","title":"Management of CMV, HHV-6, HHV-7 and Kaposi-sarcoma herpesvirus (HHV-8) infections in patients with hematological malignancies and after SCT","type":"article-journal","volume":"42"},"uris":["http://www.mendeley.com/documents/?uuid=6de8cb55-2bab-3464-972f-0aef05a840e0"]}],"mendeley":{"formattedCitation":"[136,137]","plainTextFormattedCitation":"[136,137]","previouslyFormattedCitation":"[4,5]"},"properties":{"noteIndex":0},"schema":"https://github.com/citation-style-language/schema/raw/master/csl-citation.json"}</w:instrText>
      </w:r>
      <w:r>
        <w:rPr>
          <w:bCs/>
          <w:i/>
          <w:iCs/>
          <w:szCs w:val="24"/>
          <w:u w:val="single"/>
        </w:rPr>
        <w:fldChar w:fldCharType="separate"/>
      </w:r>
      <w:r w:rsidRPr="00A67ED2">
        <w:rPr>
          <w:bCs/>
          <w:iCs/>
          <w:noProof/>
          <w:szCs w:val="24"/>
        </w:rPr>
        <w:t>[136,137]</w:t>
      </w:r>
      <w:r>
        <w:rPr>
          <w:bCs/>
          <w:i/>
          <w:iCs/>
          <w:szCs w:val="24"/>
          <w:u w:val="single"/>
        </w:rPr>
        <w:fldChar w:fldCharType="end"/>
      </w:r>
    </w:p>
    <w:p w14:paraId="2A6A033E" w14:textId="2368FA8C" w:rsidR="00A67ED2" w:rsidRPr="003722EE" w:rsidRDefault="00A67ED2" w:rsidP="00A67ED2">
      <w:pPr>
        <w:ind w:right="51" w:firstLine="708"/>
        <w:contextualSpacing/>
      </w:pPr>
      <w:r w:rsidRPr="003722EE">
        <w:t xml:space="preserve">Противовирусные препараты для профилактики назначают пациентам, серопозитивным по вирусу простого герпеса (ВПГ) - </w:t>
      </w:r>
      <w:r w:rsidR="00134D54" w:rsidRPr="003722EE">
        <w:t xml:space="preserve">пациентам с острыми лейкозами, </w:t>
      </w:r>
      <w:r w:rsidRPr="003722EE">
        <w:t xml:space="preserve">реципиентам аллогенной ТГСК. </w:t>
      </w:r>
    </w:p>
    <w:p w14:paraId="400B276F" w14:textId="77777777" w:rsidR="00A67ED2" w:rsidRPr="003722EE" w:rsidRDefault="00A67ED2" w:rsidP="00A67ED2">
      <w:pPr>
        <w:ind w:right="49" w:firstLine="709"/>
        <w:contextualSpacing/>
      </w:pPr>
      <w:r w:rsidRPr="003722EE">
        <w:t>Используют следующие препараты для профилактики вирусных инфекций:</w:t>
      </w:r>
    </w:p>
    <w:p w14:paraId="06F492DD" w14:textId="77777777" w:rsidR="00A67ED2" w:rsidRPr="003722EE" w:rsidRDefault="00A67ED2" w:rsidP="00FC704A">
      <w:pPr>
        <w:pStyle w:val="afff3"/>
        <w:numPr>
          <w:ilvl w:val="0"/>
          <w:numId w:val="251"/>
        </w:numPr>
        <w:snapToGrid w:val="0"/>
        <w:ind w:right="51"/>
        <w:rPr>
          <w:szCs w:val="24"/>
        </w:rPr>
      </w:pPr>
      <w:r w:rsidRPr="003722EE">
        <w:rPr>
          <w:szCs w:val="24"/>
        </w:rPr>
        <w:t>ацикловир внутривенно 250 мг/м</w:t>
      </w:r>
      <w:r w:rsidRPr="008356BD">
        <w:rPr>
          <w:szCs w:val="24"/>
          <w:vertAlign w:val="superscript"/>
        </w:rPr>
        <w:t>2</w:t>
      </w:r>
      <w:r w:rsidRPr="003722EE">
        <w:rPr>
          <w:szCs w:val="24"/>
        </w:rPr>
        <w:t xml:space="preserve"> или 5 мг/кг каждые 12 часов;</w:t>
      </w:r>
    </w:p>
    <w:p w14:paraId="6FB2CAF9" w14:textId="77777777" w:rsidR="00A67ED2" w:rsidRPr="003722EE" w:rsidRDefault="00A67ED2" w:rsidP="00FC704A">
      <w:pPr>
        <w:pStyle w:val="afff3"/>
        <w:numPr>
          <w:ilvl w:val="0"/>
          <w:numId w:val="251"/>
        </w:numPr>
        <w:snapToGrid w:val="0"/>
        <w:ind w:right="51"/>
        <w:rPr>
          <w:szCs w:val="24"/>
        </w:rPr>
      </w:pPr>
      <w:r w:rsidRPr="003722EE">
        <w:rPr>
          <w:szCs w:val="24"/>
        </w:rPr>
        <w:t>ацикловир таблетки по 200 мг х 3 раза;</w:t>
      </w:r>
    </w:p>
    <w:p w14:paraId="3921B67B" w14:textId="77777777" w:rsidR="00A67ED2" w:rsidRPr="003722EE" w:rsidRDefault="00A67ED2" w:rsidP="00FC704A">
      <w:pPr>
        <w:pStyle w:val="afff3"/>
        <w:numPr>
          <w:ilvl w:val="0"/>
          <w:numId w:val="251"/>
        </w:numPr>
        <w:snapToGrid w:val="0"/>
        <w:ind w:right="51"/>
        <w:rPr>
          <w:szCs w:val="24"/>
        </w:rPr>
      </w:pPr>
      <w:r w:rsidRPr="003722EE">
        <w:rPr>
          <w:szCs w:val="24"/>
        </w:rPr>
        <w:t>валациковир по 500 мг х 2 раза;</w:t>
      </w:r>
    </w:p>
    <w:p w14:paraId="5D62689E" w14:textId="77777777" w:rsidR="00A67ED2" w:rsidRPr="00643B16" w:rsidRDefault="00A67ED2" w:rsidP="00FC704A">
      <w:pPr>
        <w:pStyle w:val="afff3"/>
        <w:numPr>
          <w:ilvl w:val="0"/>
          <w:numId w:val="251"/>
        </w:numPr>
        <w:snapToGrid w:val="0"/>
        <w:ind w:right="51"/>
        <w:rPr>
          <w:szCs w:val="24"/>
        </w:rPr>
      </w:pPr>
      <w:r w:rsidRPr="00643B16">
        <w:rPr>
          <w:szCs w:val="24"/>
        </w:rPr>
        <w:t>фамцикловир по 500 мг 2 раза.</w:t>
      </w:r>
    </w:p>
    <w:p w14:paraId="235470BC" w14:textId="77777777" w:rsidR="00A67ED2" w:rsidRPr="003722EE" w:rsidRDefault="00A67ED2" w:rsidP="00A67ED2">
      <w:pPr>
        <w:ind w:right="49" w:firstLine="709"/>
        <w:contextualSpacing/>
      </w:pPr>
      <w:r w:rsidRPr="003722EE">
        <w:t>Противовирусную профилактику применяют в течение 3-5 недель с 1-го дня ПХТ или кондицирования при ТГСК. Перевод с пероральной на внутривенную форму проводят у больных с мукозитом. У реципиентов аллогенной ТГСК и РТПХ или получающих иммуносупрессивную терапию, включая кортикостероиды, период профилактического приема препаратов является более продолжительным.</w:t>
      </w:r>
    </w:p>
    <w:p w14:paraId="79758F05" w14:textId="77777777" w:rsidR="00A67ED2" w:rsidRPr="003722EE" w:rsidRDefault="00A67ED2" w:rsidP="00A67ED2">
      <w:pPr>
        <w:ind w:right="49" w:firstLine="709"/>
        <w:contextualSpacing/>
      </w:pPr>
      <w:r w:rsidRPr="003722EE">
        <w:lastRenderedPageBreak/>
        <w:t>Антивирусная профилактика ВПГ не требуется для серонегативных больных острыми лейкозами и после ТГСК.</w:t>
      </w:r>
    </w:p>
    <w:p w14:paraId="5E041EBB" w14:textId="371C980F" w:rsidR="00143441" w:rsidRPr="00887881" w:rsidRDefault="00143441" w:rsidP="00143441">
      <w:pPr>
        <w:pStyle w:val="2"/>
      </w:pPr>
      <w:bookmarkStart w:id="198" w:name="_Toc64624797"/>
      <w:bookmarkEnd w:id="189"/>
      <w:bookmarkEnd w:id="190"/>
      <w:bookmarkEnd w:id="191"/>
      <w:r>
        <w:t xml:space="preserve">7.13 </w:t>
      </w:r>
      <w:r w:rsidRPr="00C23943">
        <w:rPr>
          <w:kern w:val="32"/>
        </w:rPr>
        <w:t>Диагностика гемотрансмиссивных инфекций</w:t>
      </w:r>
      <w:bookmarkEnd w:id="198"/>
      <w:r>
        <w:rPr>
          <w:kern w:val="32"/>
        </w:rPr>
        <w:t xml:space="preserve"> при лейкозе</w:t>
      </w:r>
    </w:p>
    <w:p w14:paraId="5F1BE671" w14:textId="77777777" w:rsidR="00143441" w:rsidRPr="00C23943" w:rsidRDefault="00143441" w:rsidP="00143441">
      <w:pPr>
        <w:pStyle w:val="afff3"/>
        <w:spacing w:line="240" w:lineRule="auto"/>
        <w:ind w:left="360"/>
        <w:rPr>
          <w:b/>
          <w:kern w:val="32"/>
          <w:szCs w:val="24"/>
        </w:rPr>
      </w:pPr>
    </w:p>
    <w:p w14:paraId="4C645637" w14:textId="77777777" w:rsidR="00143441" w:rsidRDefault="00143441" w:rsidP="00143441">
      <w:pPr>
        <w:ind w:firstLine="708"/>
        <w:rPr>
          <w:rFonts w:eastAsia="Arial Unicode MS"/>
        </w:rPr>
      </w:pPr>
      <w:r>
        <w:t xml:space="preserve">Пациенты </w:t>
      </w:r>
      <w:r w:rsidRPr="00F567F5">
        <w:t xml:space="preserve">с лейкозами </w:t>
      </w:r>
      <w:r w:rsidRPr="008532D2">
        <w:t xml:space="preserve">являются группой высокого риска вероятного инфицирования гемотрансмиссивными вирусными инфекциями, поскольку </w:t>
      </w:r>
      <w:r>
        <w:t>пациентам</w:t>
      </w:r>
      <w:r w:rsidRPr="008532D2">
        <w:t xml:space="preserve"> проводятся множественные трансфузии от большого числа доноров, многочисленные медицинские манипуляции и инвазивные исследования. </w:t>
      </w:r>
      <w:r>
        <w:t xml:space="preserve">В </w:t>
      </w:r>
      <w:r w:rsidRPr="008532D2">
        <w:t xml:space="preserve">ряде случаев </w:t>
      </w:r>
      <w:r>
        <w:t>лейкозы</w:t>
      </w:r>
      <w:r w:rsidRPr="008532D2">
        <w:t xml:space="preserve"> </w:t>
      </w:r>
      <w:r>
        <w:t>т</w:t>
      </w:r>
      <w:r w:rsidRPr="00626D84">
        <w:t>ребуют дифференциального диагноза с ВИЧ-инфекцией</w:t>
      </w:r>
      <w:r>
        <w:t>. Кроме того, а</w:t>
      </w:r>
      <w:r w:rsidRPr="008532D2">
        <w:rPr>
          <w:rFonts w:eastAsia="Arial Unicode MS"/>
        </w:rPr>
        <w:t xml:space="preserve">ктуальность проблемы </w:t>
      </w:r>
      <w:r w:rsidRPr="008532D2">
        <w:rPr>
          <w:kern w:val="32"/>
        </w:rPr>
        <w:t xml:space="preserve">гемотрансмиссивных инфекций </w:t>
      </w:r>
      <w:r w:rsidRPr="008532D2">
        <w:rPr>
          <w:rFonts w:eastAsia="Arial Unicode MS"/>
        </w:rPr>
        <w:t xml:space="preserve">у пациентов </w:t>
      </w:r>
      <w:r w:rsidRPr="00F567F5">
        <w:rPr>
          <w:rFonts w:eastAsia="Arial Unicode MS"/>
        </w:rPr>
        <w:t xml:space="preserve">с лейкозами </w:t>
      </w:r>
      <w:r w:rsidRPr="008532D2">
        <w:rPr>
          <w:rFonts w:eastAsia="Arial Unicode MS"/>
        </w:rPr>
        <w:t>определяется вероятностью реактивации ранее латентного инфекционного процесса</w:t>
      </w:r>
      <w:r w:rsidRPr="008532D2">
        <w:t>.</w:t>
      </w:r>
      <w:r w:rsidRPr="008532D2">
        <w:rPr>
          <w:rFonts w:eastAsia="Arial Unicode MS"/>
        </w:rPr>
        <w:t xml:space="preserve"> </w:t>
      </w:r>
    </w:p>
    <w:p w14:paraId="404C5BAA" w14:textId="77777777" w:rsidR="00143441" w:rsidRDefault="00143441" w:rsidP="00143441">
      <w:pPr>
        <w:ind w:firstLine="708"/>
      </w:pPr>
    </w:p>
    <w:p w14:paraId="4C6560E0" w14:textId="77777777" w:rsidR="00143441" w:rsidRPr="00B71129" w:rsidRDefault="00143441" w:rsidP="00143441">
      <w:pPr>
        <w:pStyle w:val="Normal1"/>
        <w:spacing w:line="360" w:lineRule="auto"/>
        <w:jc w:val="both"/>
        <w:rPr>
          <w:bCs/>
          <w:i/>
          <w:iCs/>
          <w:sz w:val="22"/>
          <w:u w:val="single"/>
        </w:rPr>
      </w:pPr>
      <w:r w:rsidRPr="00B71129">
        <w:rPr>
          <w:bCs/>
          <w:i/>
          <w:iCs/>
          <w:szCs w:val="28"/>
          <w:u w:val="single"/>
        </w:rPr>
        <w:t>Лабораторная диагностика</w:t>
      </w:r>
    </w:p>
    <w:p w14:paraId="68423C3A" w14:textId="77777777" w:rsidR="00143441" w:rsidRDefault="00143441" w:rsidP="00143441">
      <w:pPr>
        <w:ind w:firstLine="708"/>
      </w:pPr>
      <w:r>
        <w:t>С</w:t>
      </w:r>
      <w:r w:rsidRPr="000A150B">
        <w:t>огласно санитарно-эпидемиологическим правилам СП 3.1.3112-13 «П</w:t>
      </w:r>
      <w:r>
        <w:t>рофилактика вирусного гепатита С</w:t>
      </w:r>
      <w:r w:rsidRPr="000A150B">
        <w:t>» обязательному обследованию на наличие анти-ВГС и РНК ВГС подлежат пациенты отделений гемодиализа, гематологии и трансплантации, пребывающие в медицинской организации более 1 месяца через 30 дней после поступления и далее – ежемесячно. Кроме того, реципиенты крови и ее компонентов, органов и тканей подлежат обязательному обследованию на наличие анти-ВГС при подозрении на заболевание гепатитом C и в течение 6 месяцев после переливания крови и ее компонентов, пересадки органов и тканей</w:t>
      </w:r>
      <w:r>
        <w:t>.</w:t>
      </w:r>
    </w:p>
    <w:p w14:paraId="500D6884" w14:textId="77777777" w:rsidR="00143441" w:rsidRDefault="00143441" w:rsidP="00143441">
      <w:pPr>
        <w:ind w:firstLine="708"/>
      </w:pPr>
      <w:r w:rsidRPr="007E59BC">
        <w:t>Согласно санитарно-эпидемиологическим правилам СП3.1.1.2341-08 «</w:t>
      </w:r>
      <w:r w:rsidRPr="000A150B">
        <w:t>П</w:t>
      </w:r>
      <w:r>
        <w:t xml:space="preserve">рофилактика вирусного гепатита </w:t>
      </w:r>
      <w:r w:rsidRPr="007E59BC">
        <w:t xml:space="preserve">B» обязательному обследованию на наличие </w:t>
      </w:r>
      <w:r w:rsidRPr="007E59BC">
        <w:rPr>
          <w:lang w:val="en-US"/>
        </w:rPr>
        <w:t>HBsAg</w:t>
      </w:r>
      <w:r w:rsidRPr="007E59BC">
        <w:t xml:space="preserve"> подлежат реципиенты крови и ее компонентов </w:t>
      </w:r>
      <w:r>
        <w:t xml:space="preserve">в </w:t>
      </w:r>
      <w:r w:rsidRPr="007E59BC">
        <w:t>течение 6 месяцев с момента последней трансфузии.</w:t>
      </w:r>
      <w:r>
        <w:t xml:space="preserve"> </w:t>
      </w:r>
    </w:p>
    <w:p w14:paraId="2D6F7BED" w14:textId="77777777" w:rsidR="00143441" w:rsidRDefault="00143441" w:rsidP="00143441">
      <w:pPr>
        <w:ind w:firstLine="708"/>
      </w:pPr>
      <w:r>
        <w:t xml:space="preserve">В клинических рекомендациях международных ассоциаций приведены различные стратегии скрининга маркеров ВГВ </w:t>
      </w:r>
      <w:r>
        <w:fldChar w:fldCharType="begin" w:fldLock="1"/>
      </w:r>
      <w:r>
        <w:instrText>ADDIN CSL_CITATION {"citationItems":[{"id":"ITEM-1","itemData":{"author":[{"dropping-particle":"","family":"Титова","given":"В.Б.","non-dropping-particle":"","parse-names":false,"suffix":""},{"dropping-particle":"","family":"Беляева","given":"Н.М.","non-dropping-particle":"","parse-names":false,"suffix":""}],"container-title":"Инфекционные болезни","id":"ITEM-1","issue":"3","issued":{"date-parts":[["2014"]]},"page":"51-60","title":"Вирусный гепатит В у иммуносупрессивных пациентов с онкологическими заболеваниями: патогенез, ведение и профилактика","type":"article-journal","volume":"12"},"uris":["http://www.mendeley.com/documents/?uuid=3941bbfb-358d-41ff-ba67-2c90cf30bdc3"]}],"mendeley":{"formattedCitation":"[141]","plainTextFormattedCitation":"[141]","previouslyFormattedCitation":"[141]"},"properties":{"noteIndex":0},"schema":"https://github.com/citation-style-language/schema/raw/master/csl-citation.json"}</w:instrText>
      </w:r>
      <w:r>
        <w:fldChar w:fldCharType="separate"/>
      </w:r>
      <w:r>
        <w:rPr>
          <w:noProof/>
        </w:rPr>
        <w:t>[142</w:t>
      </w:r>
      <w:r w:rsidRPr="00887881">
        <w:rPr>
          <w:noProof/>
        </w:rPr>
        <w:t>]</w:t>
      </w:r>
      <w:r>
        <w:fldChar w:fldCharType="end"/>
      </w:r>
      <w:r>
        <w:t xml:space="preserve">. </w:t>
      </w:r>
      <w:r w:rsidRPr="00E71F5D">
        <w:t>Европейской ассоциацией по изучению печени рекомендовано мониторирование у пациентов при отсутствии HBsAg и возможном наличии анти-НВс активности АЛТ, концентрации ДНК ВГВ и проведение терапии аналогами нуклеозидов в случае подтверждения реактивации гепатита до повышения активности АЛТ</w:t>
      </w:r>
      <w:r w:rsidRPr="00EB2B8F">
        <w:t xml:space="preserve"> </w:t>
      </w:r>
      <w:r>
        <w:fldChar w:fldCharType="begin" w:fldLock="1"/>
      </w:r>
      <w:r>
        <w:instrText>ADDIN CSL_CITATION {"citationItems":[{"id":"ITEM-1","itemData":{"DOI":"10.1016/j.jhep.2012.02.010","ISSN":"01688278","PMID":"22436845","author":[{"dropping-particle":"","family":"Papatheodoridis","given":"George","non-dropping-particle":"","parse-names":false,"suffix":""},{"dropping-particle":"","family":"Buti","given":"Maria","non-dropping-particle":"","parse-names":false,"suffix":""},{"dropping-particle":"","family":"Cornberg","given":"Markus","non-dropping-particle":"","parse-names":false,"suffix":""},{"dropping-particle":"","family":"Janssen","given":"Harry","non-dropping-particle":"","parse-names":false,"suffix":""},{"dropping-particle":"","family":"Mutimer","given":"David","non-dropping-particle":"","parse-names":false,"suffix":""},{"dropping-particle":"","family":"Pol","given":"Stanislas","non-dropping-particle":"","parse-names":false,"suffix":""},{"dropping-particle":"","family":"Raimondo","given":"Giovanni","non-dropping-particle":"","parse-names":false,"suffix":""},{"dropping-particle":"","family":"Dusheiko","given":"Geoffrey","non-dropping-particle":"","parse-names":false,"suffix":""},{"dropping-particle":"","family":"Lok","given":"Anna","non-dropping-particle":"","parse-names":false,"suffix":""},{"dropping-particle":"","family":"Marcellin","given":"Patrick","non-dropping-particle":"","parse-names":false,"suffix":""}],"container-title":"Journal of Hepatology","id":"ITEM-1","issue":"1","issued":{"date-parts":[["2012","7","1"]]},"page":"167-185","publisher":"Elsevier B.V.","title":"EASL clinical practice guidelines: Management of chronic hepatitis B virus infection","type":"article","volume":"57"},"uris":["http://www.mendeley.com/documents/?uuid=d031160c-7302-3cad-80c7-cb9ded7fc99f"]}],"mendeley":{"formattedCitation":"[142]","plainTextFormattedCitation":"[142]","previouslyFormattedCitation":"[142]"},"properties":{"noteIndex":0},"schema":"https://github.com/citation-style-language/schema/raw/master/csl-citation.json"}</w:instrText>
      </w:r>
      <w:r>
        <w:fldChar w:fldCharType="separate"/>
      </w:r>
      <w:r>
        <w:rPr>
          <w:noProof/>
        </w:rPr>
        <w:t>[143</w:t>
      </w:r>
      <w:r w:rsidRPr="00887881">
        <w:rPr>
          <w:noProof/>
        </w:rPr>
        <w:t>]</w:t>
      </w:r>
      <w:r>
        <w:fldChar w:fldCharType="end"/>
      </w:r>
      <w:r w:rsidRPr="00E71F5D">
        <w:t>.</w:t>
      </w:r>
      <w:r>
        <w:t xml:space="preserve"> </w:t>
      </w:r>
    </w:p>
    <w:p w14:paraId="28F2031F" w14:textId="77777777" w:rsidR="00143441" w:rsidRDefault="00143441" w:rsidP="00143441">
      <w:pPr>
        <w:ind w:left="644"/>
        <w:rPr>
          <w:b/>
          <w:szCs w:val="28"/>
        </w:rPr>
      </w:pPr>
    </w:p>
    <w:p w14:paraId="676E95CD" w14:textId="77777777" w:rsidR="00143441" w:rsidRPr="00506902" w:rsidRDefault="00143441" w:rsidP="00143441">
      <w:pPr>
        <w:ind w:left="284"/>
        <w:rPr>
          <w:bCs/>
          <w:i/>
          <w:iCs/>
          <w:szCs w:val="28"/>
          <w:u w:val="single"/>
        </w:rPr>
      </w:pPr>
      <w:r w:rsidRPr="00506902">
        <w:rPr>
          <w:bCs/>
          <w:i/>
          <w:iCs/>
          <w:szCs w:val="28"/>
          <w:u w:val="single"/>
        </w:rPr>
        <w:t>Протокол обследования образцов крови на инфекционные маркеры (ВИЧ, ВГВ, ВГС, возбудителя сифилиса)</w:t>
      </w:r>
    </w:p>
    <w:p w14:paraId="1875B5A3" w14:textId="77777777" w:rsidR="00143441" w:rsidRDefault="00143441" w:rsidP="00461889">
      <w:pPr>
        <w:pStyle w:val="Number1"/>
        <w:numPr>
          <w:ilvl w:val="0"/>
          <w:numId w:val="272"/>
        </w:numPr>
      </w:pPr>
      <w:r w:rsidRPr="00350A4F">
        <w:lastRenderedPageBreak/>
        <w:t xml:space="preserve">Обследование всех </w:t>
      </w:r>
      <w:r>
        <w:t xml:space="preserve">первичных </w:t>
      </w:r>
      <w:r w:rsidRPr="00350A4F">
        <w:t>пациентов</w:t>
      </w:r>
      <w:r>
        <w:t xml:space="preserve"> с лейкозом на регламентированые исследования: </w:t>
      </w:r>
    </w:p>
    <w:p w14:paraId="76C5F1B9" w14:textId="77777777" w:rsidR="00143441" w:rsidRDefault="00143441" w:rsidP="00461889">
      <w:pPr>
        <w:pStyle w:val="Number1"/>
        <w:numPr>
          <w:ilvl w:val="0"/>
          <w:numId w:val="275"/>
        </w:numPr>
      </w:pPr>
      <w:r>
        <w:t xml:space="preserve">Определение анти-ВИЧ (антитела </w:t>
      </w:r>
      <w:r w:rsidRPr="0009562B">
        <w:t>IgM, IgG к вирусу иммунодефицита человека ВИЧ-1</w:t>
      </w:r>
      <w:r>
        <w:t xml:space="preserve"> и </w:t>
      </w:r>
      <w:r w:rsidRPr="0009562B">
        <w:t xml:space="preserve">ВИЧ-2, </w:t>
      </w:r>
      <w:r>
        <w:t>антиген</w:t>
      </w:r>
      <w:r w:rsidRPr="0009562B">
        <w:t xml:space="preserve"> p24 ВИЧ-1)</w:t>
      </w:r>
      <w:r>
        <w:t>;</w:t>
      </w:r>
    </w:p>
    <w:p w14:paraId="22D7394D" w14:textId="77777777" w:rsidR="00143441" w:rsidRDefault="00143441" w:rsidP="00461889">
      <w:pPr>
        <w:pStyle w:val="Number1"/>
        <w:numPr>
          <w:ilvl w:val="0"/>
          <w:numId w:val="275"/>
        </w:numPr>
      </w:pPr>
      <w:r>
        <w:t>Определение HBsAg;</w:t>
      </w:r>
    </w:p>
    <w:p w14:paraId="35BDF273" w14:textId="77777777" w:rsidR="00143441" w:rsidRDefault="00143441" w:rsidP="00461889">
      <w:pPr>
        <w:pStyle w:val="Number1"/>
        <w:numPr>
          <w:ilvl w:val="0"/>
          <w:numId w:val="275"/>
        </w:numPr>
      </w:pPr>
      <w:r>
        <w:t>Определение</w:t>
      </w:r>
      <w:r w:rsidRPr="00350A4F">
        <w:t xml:space="preserve"> </w:t>
      </w:r>
      <w:r>
        <w:t>антител к ВГС;</w:t>
      </w:r>
      <w:r w:rsidRPr="00350A4F">
        <w:t xml:space="preserve"> </w:t>
      </w:r>
    </w:p>
    <w:p w14:paraId="530AF773" w14:textId="77777777" w:rsidR="00143441" w:rsidRDefault="00143441" w:rsidP="00461889">
      <w:pPr>
        <w:pStyle w:val="Number1"/>
        <w:numPr>
          <w:ilvl w:val="0"/>
          <w:numId w:val="275"/>
        </w:numPr>
      </w:pPr>
      <w:r>
        <w:t>Определение</w:t>
      </w:r>
      <w:r w:rsidRPr="00350A4F">
        <w:t xml:space="preserve"> РНК ВГС</w:t>
      </w:r>
      <w:r>
        <w:t xml:space="preserve"> (ПЦР, качественное);</w:t>
      </w:r>
    </w:p>
    <w:p w14:paraId="66C3D02A" w14:textId="77777777" w:rsidR="00143441" w:rsidRDefault="00143441" w:rsidP="00461889">
      <w:pPr>
        <w:pStyle w:val="Number1"/>
        <w:numPr>
          <w:ilvl w:val="0"/>
          <w:numId w:val="275"/>
        </w:numPr>
      </w:pPr>
      <w:r>
        <w:t>С</w:t>
      </w:r>
      <w:r w:rsidRPr="00350A4F">
        <w:t xml:space="preserve">ерологические реакции на </w:t>
      </w:r>
      <w:r w:rsidRPr="00B47058">
        <w:rPr>
          <w:iCs/>
        </w:rPr>
        <w:t>сифилис (о</w:t>
      </w:r>
      <w:r w:rsidRPr="00B47058">
        <w:t>пределение антител к бледной трепонеме качественное и полуколичественное в сыворотке крови</w:t>
      </w:r>
      <w:r>
        <w:t xml:space="preserve">; </w:t>
      </w:r>
      <w:r w:rsidRPr="00B47058">
        <w:t>определение антител к бледной трепонеме иммуноферментным методом в крови)</w:t>
      </w:r>
      <w:r>
        <w:t>.</w:t>
      </w:r>
    </w:p>
    <w:p w14:paraId="0115CFDA" w14:textId="77777777" w:rsidR="00143441" w:rsidRDefault="00143441" w:rsidP="00461889">
      <w:pPr>
        <w:pStyle w:val="Number1"/>
        <w:numPr>
          <w:ilvl w:val="0"/>
          <w:numId w:val="272"/>
        </w:numPr>
      </w:pPr>
      <w:r>
        <w:t>Дополнительное о</w:t>
      </w:r>
      <w:r w:rsidRPr="00350A4F">
        <w:t xml:space="preserve">бследование всех </w:t>
      </w:r>
      <w:r>
        <w:t xml:space="preserve">первичных </w:t>
      </w:r>
      <w:r w:rsidRPr="00350A4F">
        <w:t xml:space="preserve">пациентов </w:t>
      </w:r>
      <w:r>
        <w:t xml:space="preserve">с лейкозом – кандидатов на трансфузии </w:t>
      </w:r>
      <w:r w:rsidRPr="00350A4F">
        <w:t>на наличие</w:t>
      </w:r>
      <w:r>
        <w:t>:</w:t>
      </w:r>
    </w:p>
    <w:p w14:paraId="3CD38396" w14:textId="77777777" w:rsidR="00143441" w:rsidRPr="00757238" w:rsidRDefault="00143441" w:rsidP="00461889">
      <w:pPr>
        <w:pStyle w:val="Number1"/>
        <w:numPr>
          <w:ilvl w:val="0"/>
          <w:numId w:val="276"/>
        </w:numPr>
      </w:pPr>
      <w:r>
        <w:t xml:space="preserve">Определение </w:t>
      </w:r>
      <w:r w:rsidRPr="00757238">
        <w:t>антител к ядерному ант</w:t>
      </w:r>
      <w:r>
        <w:t>игену (HBcAg) вируса гепатита B;</w:t>
      </w:r>
    </w:p>
    <w:p w14:paraId="196BDD79" w14:textId="77777777" w:rsidR="00143441" w:rsidRDefault="00143441" w:rsidP="00461889">
      <w:pPr>
        <w:pStyle w:val="Number1"/>
        <w:numPr>
          <w:ilvl w:val="0"/>
          <w:numId w:val="276"/>
        </w:numPr>
      </w:pPr>
      <w:r w:rsidRPr="007C6DC7">
        <w:t>Определение антител к поверхностному антигену (anti-HBs) вируса гепатита B</w:t>
      </w:r>
      <w:r>
        <w:t>;</w:t>
      </w:r>
      <w:r w:rsidRPr="00350A4F">
        <w:t xml:space="preserve"> </w:t>
      </w:r>
    </w:p>
    <w:p w14:paraId="5A1C30F0" w14:textId="77777777" w:rsidR="00143441" w:rsidRDefault="00143441" w:rsidP="00461889">
      <w:pPr>
        <w:pStyle w:val="Number1"/>
        <w:numPr>
          <w:ilvl w:val="0"/>
          <w:numId w:val="276"/>
        </w:numPr>
      </w:pPr>
      <w:r w:rsidRPr="007C6DC7">
        <w:t xml:space="preserve">Определение ДНК </w:t>
      </w:r>
      <w:r>
        <w:t>ВГ</w:t>
      </w:r>
      <w:r w:rsidRPr="007C6DC7">
        <w:t>B методом ПЦР, качественное исследование</w:t>
      </w:r>
      <w:r>
        <w:t>.</w:t>
      </w:r>
      <w:r w:rsidRPr="00350A4F">
        <w:t xml:space="preserve"> </w:t>
      </w:r>
    </w:p>
    <w:p w14:paraId="068E5A0E" w14:textId="77777777" w:rsidR="00143441" w:rsidRDefault="00143441" w:rsidP="00461889">
      <w:pPr>
        <w:pStyle w:val="Number1"/>
        <w:numPr>
          <w:ilvl w:val="0"/>
          <w:numId w:val="272"/>
        </w:numPr>
      </w:pPr>
      <w:r>
        <w:t>Дополнительное о</w:t>
      </w:r>
      <w:r w:rsidRPr="00350A4F">
        <w:t>бследование</w:t>
      </w:r>
      <w:r>
        <w:t xml:space="preserve"> по показаниям:</w:t>
      </w:r>
    </w:p>
    <w:p w14:paraId="1E219006" w14:textId="77777777" w:rsidR="00143441" w:rsidRPr="00350A4F" w:rsidRDefault="00143441" w:rsidP="00461889">
      <w:pPr>
        <w:pStyle w:val="Number1"/>
        <w:numPr>
          <w:ilvl w:val="0"/>
          <w:numId w:val="274"/>
        </w:numPr>
      </w:pPr>
      <w:r w:rsidRPr="00350A4F">
        <w:t>В случае обнаружения HBsAg — дополнительное исследование HВеAg.</w:t>
      </w:r>
    </w:p>
    <w:p w14:paraId="089EEDDB" w14:textId="77777777" w:rsidR="00143441" w:rsidRPr="00350A4F" w:rsidRDefault="00143441" w:rsidP="00461889">
      <w:pPr>
        <w:pStyle w:val="Number1"/>
        <w:numPr>
          <w:ilvl w:val="0"/>
          <w:numId w:val="274"/>
        </w:numPr>
      </w:pPr>
      <w:r w:rsidRPr="00350A4F">
        <w:t>В случае обнаружения анти-HBс — дополнительное исследование анти-НВс IgM.</w:t>
      </w:r>
    </w:p>
    <w:p w14:paraId="54179C76" w14:textId="77777777" w:rsidR="00143441" w:rsidRPr="00350A4F" w:rsidRDefault="00143441" w:rsidP="00461889">
      <w:pPr>
        <w:pStyle w:val="Number1"/>
        <w:numPr>
          <w:ilvl w:val="0"/>
          <w:numId w:val="274"/>
        </w:numPr>
      </w:pPr>
      <w:r w:rsidRPr="00350A4F">
        <w:t xml:space="preserve">При наличии </w:t>
      </w:r>
      <w:r w:rsidRPr="007C6DC7">
        <w:t>только анти-HBs</w:t>
      </w:r>
      <w:r w:rsidRPr="00350A4F">
        <w:t xml:space="preserve"> (с учетом анамнестических данных больного о проведении вакцинации или отсутствии) — исследование анти-НВе для подтверждения инфицированности ВГВ.</w:t>
      </w:r>
    </w:p>
    <w:p w14:paraId="28DA33A9" w14:textId="77777777" w:rsidR="00143441" w:rsidRPr="00350A4F" w:rsidRDefault="00143441" w:rsidP="00461889">
      <w:pPr>
        <w:pStyle w:val="Number1"/>
        <w:numPr>
          <w:ilvl w:val="0"/>
          <w:numId w:val="274"/>
        </w:numPr>
      </w:pPr>
      <w:r w:rsidRPr="00350A4F">
        <w:t xml:space="preserve">При отсутствии </w:t>
      </w:r>
      <w:r w:rsidRPr="007C6DC7">
        <w:t>анти-HBс, анти-HBs</w:t>
      </w:r>
      <w:r w:rsidRPr="00350A4F">
        <w:t xml:space="preserve"> у больных с нарушенным иммунитетом — мониторинг этих маркеров не реже 1 раза в 3—6 месяцев в зависимости от динамики клинико-лабораторных показателей.</w:t>
      </w:r>
    </w:p>
    <w:p w14:paraId="55FC973C" w14:textId="77777777" w:rsidR="00143441" w:rsidRPr="00350A4F" w:rsidRDefault="00143441" w:rsidP="00461889">
      <w:pPr>
        <w:pStyle w:val="Number1"/>
        <w:numPr>
          <w:ilvl w:val="0"/>
          <w:numId w:val="272"/>
        </w:numPr>
      </w:pPr>
      <w:r>
        <w:t>Повторное ежемесячное о</w:t>
      </w:r>
      <w:r w:rsidRPr="00350A4F">
        <w:t xml:space="preserve">бследование на </w:t>
      </w:r>
      <w:r>
        <w:t>маркеры</w:t>
      </w:r>
      <w:r w:rsidRPr="00350A4F">
        <w:t xml:space="preserve"> HBsAg, анти-ВГС, ДНК ВГВ, РНК ВГС </w:t>
      </w:r>
      <w:r>
        <w:t xml:space="preserve">– </w:t>
      </w:r>
      <w:r w:rsidRPr="00350A4F">
        <w:t>для реципиентов</w:t>
      </w:r>
      <w:r>
        <w:t xml:space="preserve"> трансфузий</w:t>
      </w:r>
      <w:r w:rsidRPr="00350A4F">
        <w:t xml:space="preserve"> компонентов</w:t>
      </w:r>
      <w:r>
        <w:t xml:space="preserve"> </w:t>
      </w:r>
      <w:r w:rsidRPr="00350A4F">
        <w:t>крови, органов и тканей, пациентов гематологических и других смежных подразделений, пребывающих в стационаре свыше 1 месяца.</w:t>
      </w:r>
    </w:p>
    <w:p w14:paraId="5642C584" w14:textId="77777777" w:rsidR="00143441" w:rsidRDefault="00143441" w:rsidP="00461889">
      <w:pPr>
        <w:widowControl/>
        <w:numPr>
          <w:ilvl w:val="0"/>
          <w:numId w:val="272"/>
        </w:numPr>
        <w:jc w:val="left"/>
      </w:pPr>
      <w:r w:rsidRPr="00350A4F">
        <w:t xml:space="preserve">Остальные контингенты пациентов </w:t>
      </w:r>
      <w:r>
        <w:t xml:space="preserve">с лейкозом </w:t>
      </w:r>
      <w:r w:rsidRPr="00350A4F">
        <w:t>вне зависимости от результатов тестирования при поступлении обследуются на инфекционные маркеры ВГВ и ВГС по клиническим и эпидемиологическим показаниям.</w:t>
      </w:r>
    </w:p>
    <w:p w14:paraId="5AA0484C" w14:textId="77777777" w:rsidR="00143441" w:rsidRPr="00350A4F" w:rsidRDefault="00143441" w:rsidP="00143441">
      <w:pPr>
        <w:ind w:left="720"/>
      </w:pPr>
    </w:p>
    <w:p w14:paraId="5202624D" w14:textId="77777777" w:rsidR="00143441" w:rsidRPr="00D20B00" w:rsidRDefault="00143441" w:rsidP="00143441">
      <w:pPr>
        <w:pStyle w:val="Normal1"/>
        <w:spacing w:line="360" w:lineRule="auto"/>
        <w:rPr>
          <w:bCs/>
          <w:i/>
          <w:iCs/>
          <w:u w:val="single"/>
        </w:rPr>
      </w:pPr>
      <w:r w:rsidRPr="00D20B00">
        <w:rPr>
          <w:bCs/>
          <w:i/>
          <w:iCs/>
          <w:u w:val="single"/>
        </w:rPr>
        <w:t>Инструментальная диагностика</w:t>
      </w:r>
    </w:p>
    <w:p w14:paraId="408203E2" w14:textId="77777777" w:rsidR="00143441" w:rsidRDefault="00143441" w:rsidP="00143441">
      <w:pPr>
        <w:pStyle w:val="Normal1"/>
        <w:tabs>
          <w:tab w:val="clear" w:pos="394"/>
        </w:tabs>
        <w:spacing w:line="360" w:lineRule="auto"/>
        <w:ind w:firstLine="699"/>
        <w:jc w:val="both"/>
      </w:pPr>
      <w:r>
        <w:lastRenderedPageBreak/>
        <w:t>Инструментальная диагностика проводится по рекомендации врача-инфекциониста. При показаниях д</w:t>
      </w:r>
      <w:r w:rsidRPr="006A482D">
        <w:t xml:space="preserve">ля получения информации о стадии фиброза и прогнозе заболевания </w:t>
      </w:r>
      <w:r>
        <w:t>проводится:</w:t>
      </w:r>
    </w:p>
    <w:p w14:paraId="56DBBBC2" w14:textId="77777777" w:rsidR="00143441" w:rsidRDefault="00143441" w:rsidP="00461889">
      <w:pPr>
        <w:pStyle w:val="Normal1"/>
        <w:numPr>
          <w:ilvl w:val="0"/>
          <w:numId w:val="277"/>
        </w:numPr>
        <w:overflowPunct w:val="0"/>
        <w:autoSpaceDE w:val="0"/>
        <w:autoSpaceDN w:val="0"/>
        <w:adjustRightInd w:val="0"/>
        <w:spacing w:line="360" w:lineRule="auto"/>
        <w:jc w:val="both"/>
        <w:textAlignment w:val="baseline"/>
      </w:pPr>
      <w:r>
        <w:t xml:space="preserve">УЗИ печени. </w:t>
      </w:r>
    </w:p>
    <w:p w14:paraId="46BEE654" w14:textId="77777777" w:rsidR="00143441" w:rsidRDefault="00143441" w:rsidP="00461889">
      <w:pPr>
        <w:pStyle w:val="Normal1"/>
        <w:numPr>
          <w:ilvl w:val="0"/>
          <w:numId w:val="277"/>
        </w:numPr>
        <w:overflowPunct w:val="0"/>
        <w:autoSpaceDE w:val="0"/>
        <w:autoSpaceDN w:val="0"/>
        <w:adjustRightInd w:val="0"/>
        <w:spacing w:line="360" w:lineRule="auto"/>
        <w:jc w:val="both"/>
        <w:textAlignment w:val="baseline"/>
      </w:pPr>
      <w:r>
        <w:t>Эластометрия печени</w:t>
      </w:r>
    </w:p>
    <w:p w14:paraId="24971117" w14:textId="77777777" w:rsidR="00143441" w:rsidRDefault="00143441" w:rsidP="00461889">
      <w:pPr>
        <w:pStyle w:val="Normal1"/>
        <w:numPr>
          <w:ilvl w:val="0"/>
          <w:numId w:val="277"/>
        </w:numPr>
        <w:overflowPunct w:val="0"/>
        <w:autoSpaceDE w:val="0"/>
        <w:autoSpaceDN w:val="0"/>
        <w:adjustRightInd w:val="0"/>
        <w:spacing w:line="360" w:lineRule="auto"/>
        <w:jc w:val="both"/>
        <w:textAlignment w:val="baseline"/>
      </w:pPr>
      <w:r>
        <w:t>Б</w:t>
      </w:r>
      <w:r w:rsidRPr="006A482D">
        <w:t>иопси</w:t>
      </w:r>
      <w:r>
        <w:t>я</w:t>
      </w:r>
      <w:r w:rsidRPr="006A482D">
        <w:t xml:space="preserve"> печени</w:t>
      </w:r>
      <w:r>
        <w:t>.</w:t>
      </w:r>
      <w:r w:rsidRPr="006A482D">
        <w:t xml:space="preserve"> </w:t>
      </w:r>
    </w:p>
    <w:p w14:paraId="52775A66" w14:textId="77777777" w:rsidR="00143441" w:rsidRDefault="00143441" w:rsidP="00143441">
      <w:pPr>
        <w:pStyle w:val="Normal1"/>
        <w:spacing w:line="360" w:lineRule="auto"/>
        <w:ind w:left="1068" w:firstLine="0"/>
        <w:jc w:val="both"/>
      </w:pPr>
    </w:p>
    <w:p w14:paraId="47D3D9FD" w14:textId="77777777" w:rsidR="00143441" w:rsidRPr="00D20B00" w:rsidRDefault="00143441" w:rsidP="00143441">
      <w:pPr>
        <w:pStyle w:val="Normal1"/>
        <w:spacing w:line="360" w:lineRule="auto"/>
        <w:rPr>
          <w:bCs/>
          <w:i/>
          <w:iCs/>
          <w:u w:val="single"/>
        </w:rPr>
      </w:pPr>
      <w:r>
        <w:rPr>
          <w:bCs/>
          <w:i/>
          <w:iCs/>
          <w:u w:val="single"/>
        </w:rPr>
        <w:t>П</w:t>
      </w:r>
      <w:r w:rsidRPr="00D20B00">
        <w:rPr>
          <w:bCs/>
          <w:i/>
          <w:iCs/>
          <w:u w:val="single"/>
        </w:rPr>
        <w:t xml:space="preserve">рофилактика и </w:t>
      </w:r>
      <w:r>
        <w:rPr>
          <w:bCs/>
          <w:i/>
          <w:iCs/>
          <w:u w:val="single"/>
        </w:rPr>
        <w:t>л</w:t>
      </w:r>
      <w:r w:rsidRPr="00D20B00">
        <w:rPr>
          <w:bCs/>
          <w:i/>
          <w:iCs/>
          <w:u w:val="single"/>
        </w:rPr>
        <w:t xml:space="preserve">ечение вирусных гепатитов В и С </w:t>
      </w:r>
    </w:p>
    <w:p w14:paraId="255E9E12" w14:textId="77777777" w:rsidR="00143441" w:rsidRPr="00E71F5D" w:rsidRDefault="00143441" w:rsidP="00143441">
      <w:pPr>
        <w:pStyle w:val="Normal1"/>
        <w:tabs>
          <w:tab w:val="clear" w:pos="394"/>
        </w:tabs>
        <w:spacing w:line="360" w:lineRule="auto"/>
        <w:ind w:firstLine="699"/>
        <w:jc w:val="both"/>
      </w:pPr>
      <w:r w:rsidRPr="00E71F5D">
        <w:t xml:space="preserve">Современные противовирусные препараты позволяют эффективно лечить острые и тяжелые формы </w:t>
      </w:r>
      <w:r>
        <w:t>вирусных гепатитов В и С</w:t>
      </w:r>
      <w:r w:rsidRPr="00E71F5D">
        <w:t>, однако эффективность такой терапии зависит от сроков начала лечения</w:t>
      </w:r>
      <w:r w:rsidRPr="00C46A96">
        <w:t xml:space="preserve"> </w:t>
      </w:r>
      <w:r>
        <w:fldChar w:fldCharType="begin" w:fldLock="1"/>
      </w:r>
      <w:r>
        <w:instrText>ADDIN CSL_CITATION {"citationItems":[{"id":"ITEM-1","itemData":{"DOI":"10.1002/jmv.22199","ISSN":"01466615","PMID":"21915865","abstract":"The aim of the study was to evaluate clinical and virological differences in HBV reactivation between patients with overt and occult HBV infection. Twenty-three consecutive patients with symptomatic HBV reactivation occurring during or after immunosuppressive therapy were enrolled in a retrospective study: 10 with reactivation of overt HBV infection (overt group) and 13 of occult HBV infection (occult group). Twenty-one patients were treated with nucleot(s)ide analogues after HBV reactivation. Regimens including rituximab or fludarabine were administered more frequently in the occult group (61% vs. 31%, respectively). HBV reactivation was severe frequently in the overt (40%) and occult groups (38.4%). Patients in the overt group showed higher HBV-DNA titers (1.1×10 8±1.4×10 8 vs. 5.1×10 5±6.8×10 5IU; P&lt;0.005). Seven patients died during HBV reactivation, two in the overt and five in the occult group. Of these seven patients, two remained untreated and five had been treated with Lamivudine; of the 16 patients showing remission of HBV reactivation, four had been treated with Lamivudine, four with Entecavir, two with Telbivudine, and six with Lamivudine plus Adefovir. It is concluded that HBV reactivation is life-threatening in patients with diseases inhibiting the immune response and/or receiving immunosuppressive drugs. Supportive therapy without antiviral drugs or Lamivudine monotherapy may not be effective for treating patients with HBV reactivation. © 2011 Wiley-Liss, Inc.","author":[{"dropping-particle":"","family":"Coppola","given":"Nicola","non-dropping-particle":"","parse-names":false,"suffix":""},{"dropping-particle":"","family":"Tonziello","given":"Gilda","non-dropping-particle":"","parse-names":false,"suffix":""},{"dropping-particle":"","family":"Pisaturo","given":"Mariantonietta","non-dropping-particle":"","parse-names":false,"suffix":""},{"dropping-particle":"","family":"Messina","given":"Vincenzo","non-dropping-particle":"","parse-names":false,"suffix":""},{"dropping-particle":"","family":"Guastafierro","given":"Salvatore","non-dropping-particle":"","parse-names":false,"suffix":""},{"dropping-particle":"","family":"Fiore","given":"Marco","non-dropping-particle":"","parse-names":false,"suffix":""},{"dropping-particle":"","family":"Iodice","given":"Valentina","non-dropping-particle":"","parse-names":false,"suffix":""},{"dropping-particle":"","family":"Sagnelli","given":"Caterina","non-dropping-particle":"","parse-names":false,"suffix":""},{"dropping-particle":"","family":"Stanzione","given":"Maria","non-dropping-particle":"","parse-names":false,"suffix":""},{"dropping-particle":"","family":"Capoluongo","given":"Nicolina","non-dropping-particle":"","parse-names":false,"suffix":""},{"dropping-particle":"","family":"Pasquale","given":"Giuseppe","non-dropping-particle":"","parse-names":false,"suffix":""},{"dropping-particle":"","family":"Sagnelli","given":"Evangelista","non-dropping-particle":"","parse-names":false,"suffix":""}],"container-title":"Journal of Medical Virology","id":"ITEM-1","issue":"11","issued":{"date-parts":[["2011","11"]]},"page":"1909-1916","publisher":"J Med Virol","title":"Reactivation of overt and occult hepatitis B infection in various immunosuppressive settings","type":"article-journal","volume":"83"},"uris":["http://www.mendeley.com/documents/?uuid=7dc438fe-ccda-3a54-a4c3-5a2d13cb41a2"]},{"id":"ITEM-2","itemData":{"DOI":"10.1016/j.jhep.2009.07.012","abstract":"Backgrounds/Aims: Hepatitis B virus (HBV) reactivation following treatment with rituximab has been reported in patients with either HBsAg-positive, or HBsAg-negative and anti-HBc positive infection. Patients with severe reactivation often have a fatal outcome despite treatment with lamivudine. The use of entecavir has not been reported in patients with severe HBV reactivation. Methods: We present a case of a HBsAg-negative patient diagnosed with chronic lymphocytic leukemia who received a chemotherapeutic regimen that included rituximab, who subsequently presented with severe HBV reactivation with ascites, jaundice and coagulopathy and was treated with entecavir. A review of the literature and underlying HBV associated mutations are discussed. Results: Entecavir produced a rapid and sustained suppression of HBV that was associated with rapid clinical improvement without any side effects. Conclusion: Entecavir is an efficacious and safe treatment for severe HBV reactivation.","author":[{"dropping-particle":"","family":"Sanchez","given":"Mayra J","non-dropping-particle":"","parse-names":false,"suffix":""},{"dropping-particle":"","family":"Buti","given":"Maria","non-dropping-particle":"","parse-names":false,"suffix":""},{"dropping-particle":"","family":"Homs","given":"Maria","non-dropping-particle":"","parse-names":false,"suffix":""},{"dropping-particle":"","family":"Palacios","given":"Andres","non-dropping-particle":"","parse-names":false,"suffix":""},{"dropping-particle":"","family":"Rodriguez-Frias","given":"Francisco","non-dropping-particle":"","parse-names":false,"suffix":""},{"dropping-particle":"","family":"Esteban","given":"Rafael","non-dropping-particle":"","parse-names":false,"suffix":""}],"container-title":"Journal of Hepatology","id":"ITEM-2","issued":{"date-parts":[["0"]]},"page":"1091-1096","title":"Successful use of entecavir for a severe case of reactivation of hepatitis B virus following polychemotherapy containing rituximab q","type":"article-journal","volume":"51"},"uris":["http://www.mendeley.com/documents/?uuid=7c5b9301-1084-3fdb-b8fc-ae5d3423651c"]}],"mendeley":{"formattedCitation":"[143,144]","plainTextFormattedCitation":"[143,144]","previouslyFormattedCitation":"[143,144]"},"properties":{"noteIndex":0},"schema":"https://github.com/citation-style-language/schema/raw/master/csl-citation.json"}</w:instrText>
      </w:r>
      <w:r>
        <w:fldChar w:fldCharType="separate"/>
      </w:r>
      <w:r>
        <w:rPr>
          <w:noProof/>
        </w:rPr>
        <w:t>[144,145</w:t>
      </w:r>
      <w:r w:rsidRPr="00887881">
        <w:rPr>
          <w:noProof/>
        </w:rPr>
        <w:t>]</w:t>
      </w:r>
      <w:r>
        <w:fldChar w:fldCharType="end"/>
      </w:r>
      <w:r w:rsidRPr="00E71F5D">
        <w:t>. Несколько зарубежных рандомизированных контролируемых исследований с метаанализом данных показали, что для профилактики реактивации ВГВ целесообразно использовать ламивудин</w:t>
      </w:r>
      <w:r w:rsidRPr="009510CC">
        <w:t xml:space="preserve"> </w:t>
      </w:r>
      <w:r>
        <w:fldChar w:fldCharType="begin" w:fldLock="1"/>
      </w:r>
      <w:r>
        <w:instrText>ADDIN CSL_CITATION {"citationItems":[{"id":"ITEM-1","itemData":{"DOI":"10.1182/blood-2008-10-163493","ISSN":"00064971","PMID":"19144986","abstract":"Hepatitis B virus (HBV) reactivation is a serious but preventable complication of immunosuppression. Full HBV serologic profile must be obtained from all patients receiving intensive immunosuppressive therapy. In general, preemptive anti-HBV therapy is more effective than giving treatment after development of reactivation. Prompt lamivu-dine therapy should be given to at-risk patients who are hepatitis B surface antigen (HBsAg)-positive. It is recommended that lamivudine be continued until at least 6 months after the cessation of immunosuppression. Some patients requiring a longer duration of lamivudine therapy are at risk of developing drug resistance. The newer anti HBV agents are effective in overcoming lamivudine resistance. Early use of these agents may be considered. HBV reactivation was observed in HBsAg-negative patients with occult HBV infection (HBV DNA-positive) who are on heavy immunosuppression. The optimal management of this group of patients is unclear. For patients receiving allogeneic HSC transplants, the HBV status of the donors requires special attention. To minimize the risk of transmission of infection to recipients, HBsAg positive donors should receive adequate anti-HBV therapy before HSC donation. As the result of adoptive immune transfer, clearance of HBsAg is observed in HBsAg-positive patients receiving HSC transplants from donors who are positive for hepatitis B surface and core antibodies. © 2009 by The American Society of Hematology.","author":[{"dropping-particle":"","family":"Liang","given":"Raymond","non-dropping-particle":"","parse-names":false,"suffix":""}],"container-title":"Blood","id":"ITEM-1","issue":"14","issued":{"date-parts":[["2009","4","2"]]},"page":"3147-3153","publisher":"American Society of Hematology","title":"How I treat and monitor viral hepatitis B infection in patients receiving intensive immunosuppressive therapies or undergoing hematopoietic stem cell transplantation","type":"article-journal","volume":"113"},"uris":["http://www.mendeley.com/documents/?uuid=c6aa979e-82bd-3a05-b09a-b65bc02bee20"]},{"id":"ITEM-2","itemData":{"DOI":"10.1016/j.blre.2008.02.001","ISSN":"0268960X","abstract":"Viral hepatitis is the third major cause of liver dysfunction in allogeneic transplant recipients and has become a significant concern in patients with hematological malignancies receiving chemotherapy. Thus, identification of patients at risk for viral hepatitis is very important when evaluating and treating hematological malignancies. Serologic screening for all patients should include anti-HCV, hepatitis B surface antigen (HBsAg), hepatitis B surface antibody (anti-HBs), and hepatitis B core antibody (anti-HBc) testing. Current therapies for hepatitis B (HBV) virus infection are aimed at viral suppression, while treatment for hepatitis C (HCV) virus can eradicate infection in many treated patients. To prevent HBV viral reactivation, prophylaxis with nucleoside analogues should be initiated for all HBsAg-positive patients. HCV infection appears to have little impact on short-term survival after bone marrow transplantation (BMT), but eventually can impact long-term survival due to progression of liver disease. In this review we will highlight the mechanisms of virus reactivation, clinical manifestations, and management strategies to minimize acute and chronic morbidity in this population. © 2008 Elsevier Ltd. All rights reserved.","author":[{"dropping-particle":"","family":"Firpi","given":"Roberto J.","non-dropping-particle":"","parse-names":false,"suffix":""},{"dropping-particle":"","family":"Nelson","given":"David R.","non-dropping-particle":"","parse-names":false,"suffix":""}],"container-title":"Blood Reviews","id":"ITEM-2","issue":"3","issued":{"date-parts":[["2008","5","14"]]},"page":"117-126","title":"Management of viral hepatitis in hematologic malignancies","type":"article-journal","volume":"22"},"uris":["http://www.mendeley.com/documents/?uuid=bede40bd-819b-33b5-83bb-9b5be4df0b88"]},{"id":"ITEM-3","itemData":{"DOI":"10.1002/ajh.21022","ISSN":"03618609","abstract":"Several studies have shown that the frequency of hepatitis C virus (HCV) infection is high in patients with B-cell non-Hodgkin's lymphoma (NHL). In these studies, liver dysfunction during chemotherapy has been demonstrated, but changes in HCV ribonucleic acid (RNA) levels during chemotherapy have not been well documented. In this study, we monitored serum HCV RNA levels and liver function In five HCV-infected patients with B-cell NHL undergoing treatment with rituximab-combination chemotherapy. Increased HCV RNA levels during or after the chemotherapy were observed in all five patients, and a significant increase in transaminases was seen in one case. In this case, serum HCV RNA level dramatically decreased at the time of the increase of transaminases, and this suggested that the cause of liver damage was an immune reaction against hepatocytes with HCV and not any anticancer drug induced liver toxicity. Monitoring of serum HCV RNA levels and transaminases may be helpful to understand the cause of liver dysfunction in patients receiving chemotherapy. However, increases of HCV viral load were not associated with the occurrence of liver dysfunction in this study. Further studies will be necessary to investigate more fully the relationship between changes in HCV viral load and liver function during chemotherapy for HCV-infected patients. © 2007 Wiley-Liss, Inc.","author":[{"dropping-particle":"","family":"Ennishi","given":"Daisuke","non-dropping-particle":"","parse-names":false,"suffix":""},{"dropping-particle":"","family":"Terui","given":"Yasuhito","non-dropping-particle":"","parse-names":false,"suffix":""},{"dropping-particle":"","family":"Yokoyama","given":"Masahiro","non-dropping-particle":"","parse-names":false,"suffix":""},{"dropping-particle":"","family":"Mishima","given":"Yuko","non-dropping-particle":"","parse-names":false,"suffix":""},{"dropping-particle":"","family":"Takahashi","given":"Shunji","non-dropping-particle":"","parse-names":false,"suffix":""},{"dropping-particle":"","family":"Takeuchi","given":"Kengo","non-dropping-particle":"","parse-names":false,"suffix":""},{"dropping-particle":"","family":"Okamoto","given":"Hiroaki","non-dropping-particle":"","parse-names":false,"suffix":""},{"dropping-particle":"","family":"Tanimoto","given":"Mitsune","non-dropping-particle":"","parse-names":false,"suffix":""},{"dropping-particle":"","family":"Hatake","given":"Kiyohiko","non-dropping-particle":"","parse-names":false,"suffix":""}],"container-title":"American Journal of Hematology","id":"ITEM-3","issue":"1","issued":{"date-parts":[["2008","1","1"]]},"page":"59-62","publisher":"John Wiley &amp; Sons, Ltd","title":"Monitoring serum hepatitis C virus (HCV) RNA in patients with HCV-infected CD20-positive B-cell lymphoma undergoing rituximab combination chemotherapy","type":"article-journal","volume":"83"},"uris":["http://www.mendeley.com/documents/?uuid=1e8624bf-39e2-37ad-955a-10105c759886"]},{"id":"ITEM-4","itemData":{"DOI":"10.1111/j.1478-3231.2010.02396.x","ISSN":"14783223","PMID":"21205146","abstract":"Reactivation of hepatitis B is characterized by a sudden increase in hepatitis B virus (HBV) replication in a patient with prior evidence of resolved or inactive HBV infection. Although HBV reactivation can occur spontaneously, it usually occurs after chemotherapy, immunosuppression (organ transplantation) or an alteration in immune function (therapy for autoimmune disease, human immunodeficiency virus infection). The clinical presentation cases can vary, ranging from a subclinical, asymptomatic course to severe acute hepatitis and even death. Although reactivation of HBV is mainly found in HBsAg-positive patients, it can be observed in serologically recovered anti-hepatitis B core antibody (HBc)-positive, HBsAg-negative patients. Serum HBV DNA typically increases during immune suppression, followed by a disease flare and HBV DNA clearance following immune restoration after immune suppression is stopped. In organ transplant recipients, without immune reconstitution, high HBV DNA levels can lead to fibrosing cholestatic hepatitis related to the direct cytopathic effect of HBV. Several randomized, controlled trials and meta-analyses have shown that reactivation can be prevented by lamivudine prophylaxis. Screening for HBsAg and anti-HBc should be performed before beginning immunosuppressive treatment and routine prophylaxis is recommended in HBsAg-positive patients. The optimal duration of prophylaxis remains to be determined. In anti-HBc-positive patients with or without anti-hepatitis B surface antigen, alanine transaminase and HBV DNA levels should be closely monitored and antiviral therapy should be started when HBV reactivation is confirmed. The use of new more potent nucleos(t)ides analogues with lower resistance rates would seem to be logical; however, experience with these drugs in the prophylaxis and treatment of severe HBV reactivation is limited. © 2011 John Wiley &amp; Sons A/S.","author":[{"dropping-particle":"","family":"Roche","given":"Bruno","non-dropping-particle":"","parse-names":false,"suffix":""},{"dropping-particle":"","family":"Samuel","given":"Didier","non-dropping-particle":"","parse-names":false,"suffix":""}],"container-title":"Liver International","id":"ITEM-4","issue":"SUPPL. 1","issued":{"date-parts":[["2011","1"]]},"page":"104-110","publisher":"Liver Int","title":"The difficulties of managing severe hepatitis B virus reactivation","type":"article-journal","volume":"31"},"uris":["http://www.mendeley.com/documents/?uuid=7322b501-0227-3082-a6d1-2bf3f9e30c4f"]}],"mendeley":{"formattedCitation":"[145–148]","plainTextFormattedCitation":"[145–148]","previouslyFormattedCitation":"[145–148]"},"properties":{"noteIndex":0},"schema":"https://github.com/citation-style-language/schema/raw/master/csl-citation.json"}</w:instrText>
      </w:r>
      <w:r>
        <w:fldChar w:fldCharType="separate"/>
      </w:r>
      <w:r>
        <w:rPr>
          <w:noProof/>
        </w:rPr>
        <w:t>[146–149</w:t>
      </w:r>
      <w:r w:rsidRPr="00887881">
        <w:rPr>
          <w:noProof/>
        </w:rPr>
        <w:t>]</w:t>
      </w:r>
      <w:r>
        <w:fldChar w:fldCharType="end"/>
      </w:r>
      <w:r w:rsidRPr="00E71F5D">
        <w:t>, а также другие более новые и эффективные нуклеозидные аналоги с меньшей скоростью развития к ним резистентности — адефовир, дипивоксил, энтекавир, телбивудин</w:t>
      </w:r>
      <w:r w:rsidRPr="00786DB5">
        <w:t xml:space="preserve"> </w:t>
      </w:r>
      <w:r>
        <w:rPr>
          <w:lang w:val="en-US"/>
        </w:rPr>
        <w:fldChar w:fldCharType="begin" w:fldLock="1"/>
      </w:r>
      <w:r>
        <w:rPr>
          <w:lang w:val="en-US"/>
        </w:rPr>
        <w:instrText>ADDIN</w:instrText>
      </w:r>
      <w:r w:rsidRPr="006E3DE3">
        <w:instrText xml:space="preserve"> </w:instrText>
      </w:r>
      <w:r>
        <w:rPr>
          <w:lang w:val="en-US"/>
        </w:rPr>
        <w:instrText>CSL</w:instrText>
      </w:r>
      <w:r w:rsidRPr="006E3DE3">
        <w:instrText>_</w:instrText>
      </w:r>
      <w:r>
        <w:rPr>
          <w:lang w:val="en-US"/>
        </w:rPr>
        <w:instrText>CITATION</w:instrText>
      </w:r>
      <w:r w:rsidRPr="006E3DE3">
        <w:instrText xml:space="preserve"> {"</w:instrText>
      </w:r>
      <w:r>
        <w:rPr>
          <w:lang w:val="en-US"/>
        </w:rPr>
        <w:instrText>citationItems</w:instrText>
      </w:r>
      <w:r w:rsidRPr="006E3DE3">
        <w:instrText>":[{"</w:instrText>
      </w:r>
      <w:r>
        <w:rPr>
          <w:lang w:val="en-US"/>
        </w:rPr>
        <w:instrText>id</w:instrText>
      </w:r>
      <w:r w:rsidRPr="006E3DE3">
        <w:instrText>":"</w:instrText>
      </w:r>
      <w:r>
        <w:rPr>
          <w:lang w:val="en-US"/>
        </w:rPr>
        <w:instrText>ITEM</w:instrText>
      </w:r>
      <w:r w:rsidRPr="006E3DE3">
        <w:instrText>-1","</w:instrText>
      </w:r>
      <w:r>
        <w:rPr>
          <w:lang w:val="en-US"/>
        </w:rPr>
        <w:instrText>itemData</w:instrText>
      </w:r>
      <w:r w:rsidRPr="006E3DE3">
        <w:instrText>":{"</w:instrText>
      </w:r>
      <w:r>
        <w:rPr>
          <w:lang w:val="en-US"/>
        </w:rPr>
        <w:instrText>DOI</w:instrText>
      </w:r>
      <w:r w:rsidRPr="006E3DE3">
        <w:instrText>":"10.1002/(</w:instrText>
      </w:r>
      <w:r>
        <w:rPr>
          <w:lang w:val="en-US"/>
        </w:rPr>
        <w:instrText>SICI</w:instrText>
      </w:r>
      <w:r w:rsidRPr="006E3DE3">
        <w:instrText>)1096-9071(200003)60:3&lt;256::</w:instrText>
      </w:r>
      <w:r>
        <w:rPr>
          <w:lang w:val="en-US"/>
        </w:rPr>
        <w:instrText>AID</w:instrText>
      </w:r>
      <w:r w:rsidRPr="006E3DE3">
        <w:instrText>-</w:instrText>
      </w:r>
      <w:r>
        <w:rPr>
          <w:lang w:val="en-US"/>
        </w:rPr>
        <w:instrText>JMV</w:instrText>
      </w:r>
      <w:r w:rsidRPr="006E3DE3">
        <w:instrText>2&gt;3.0.</w:instrText>
      </w:r>
      <w:r>
        <w:rPr>
          <w:lang w:val="en-US"/>
        </w:rPr>
        <w:instrText>CO</w:instrText>
      </w:r>
      <w:r w:rsidRPr="006E3DE3">
        <w:instrText>;2-</w:instrText>
      </w:r>
      <w:r>
        <w:rPr>
          <w:lang w:val="en-US"/>
        </w:rPr>
        <w:instrText>H</w:instrText>
      </w:r>
      <w:r w:rsidRPr="006E3DE3">
        <w:instrText>","</w:instrText>
      </w:r>
      <w:r>
        <w:rPr>
          <w:lang w:val="en-US"/>
        </w:rPr>
        <w:instrText>ISSN</w:instrText>
      </w:r>
      <w:r w:rsidRPr="006E3DE3">
        <w:instrText>":"0146-6615","</w:instrText>
      </w:r>
      <w:r>
        <w:rPr>
          <w:lang w:val="en-US"/>
        </w:rPr>
        <w:instrText>abstract</w:instrText>
      </w:r>
      <w:r w:rsidRPr="006E3DE3">
        <w:instrText>":"</w:instrText>
      </w:r>
      <w:r>
        <w:rPr>
          <w:lang w:val="en-US"/>
        </w:rPr>
        <w:instrText>Current</w:instrText>
      </w:r>
      <w:r w:rsidRPr="006E3DE3">
        <w:instrText xml:space="preserve"> </w:instrText>
      </w:r>
      <w:r>
        <w:rPr>
          <w:lang w:val="en-US"/>
        </w:rPr>
        <w:instrText>commercial</w:instrText>
      </w:r>
      <w:r w:rsidRPr="006E3DE3">
        <w:instrText xml:space="preserve"> </w:instrText>
      </w:r>
      <w:r>
        <w:rPr>
          <w:lang w:val="en-US"/>
        </w:rPr>
        <w:instrText>hepatitis</w:instrText>
      </w:r>
      <w:r w:rsidRPr="006E3DE3">
        <w:instrText xml:space="preserve"> </w:instrText>
      </w:r>
      <w:r>
        <w:rPr>
          <w:lang w:val="en-US"/>
        </w:rPr>
        <w:instrText>B</w:instrText>
      </w:r>
      <w:r w:rsidRPr="006E3DE3">
        <w:instrText xml:space="preserve"> </w:instrText>
      </w:r>
      <w:r>
        <w:rPr>
          <w:lang w:val="en-US"/>
        </w:rPr>
        <w:instrText>virus</w:instrText>
      </w:r>
      <w:r w:rsidRPr="006E3DE3">
        <w:instrText xml:space="preserve"> (</w:instrText>
      </w:r>
      <w:r>
        <w:rPr>
          <w:lang w:val="en-US"/>
        </w:rPr>
        <w:instrText>HBV</w:instrText>
      </w:r>
      <w:r w:rsidRPr="006E3DE3">
        <w:instrText xml:space="preserve">) </w:instrText>
      </w:r>
      <w:r>
        <w:rPr>
          <w:lang w:val="en-US"/>
        </w:rPr>
        <w:instrText>anti</w:instrText>
      </w:r>
      <w:r w:rsidRPr="006E3DE3">
        <w:instrText>-</w:instrText>
      </w:r>
      <w:r>
        <w:rPr>
          <w:lang w:val="en-US"/>
        </w:rPr>
        <w:instrText>HBe</w:instrText>
      </w:r>
      <w:r w:rsidRPr="006E3DE3">
        <w:instrText xml:space="preserve"> </w:instrText>
      </w:r>
      <w:r>
        <w:rPr>
          <w:lang w:val="en-US"/>
        </w:rPr>
        <w:instrText>immunoassays</w:instrText>
      </w:r>
      <w:r w:rsidRPr="006E3DE3">
        <w:instrText xml:space="preserve"> </w:instrText>
      </w:r>
      <w:r>
        <w:rPr>
          <w:lang w:val="en-US"/>
        </w:rPr>
        <w:instrText>are</w:instrText>
      </w:r>
      <w:r w:rsidRPr="006E3DE3">
        <w:instrText xml:space="preserve"> </w:instrText>
      </w:r>
      <w:r>
        <w:rPr>
          <w:lang w:val="en-US"/>
        </w:rPr>
        <w:instrText>designed</w:instrText>
      </w:r>
      <w:r w:rsidRPr="006E3DE3">
        <w:instrText xml:space="preserve"> </w:instrText>
      </w:r>
      <w:r>
        <w:rPr>
          <w:lang w:val="en-US"/>
        </w:rPr>
        <w:instrText>so</w:instrText>
      </w:r>
      <w:r w:rsidRPr="006E3DE3">
        <w:instrText xml:space="preserve"> </w:instrText>
      </w:r>
      <w:r>
        <w:rPr>
          <w:lang w:val="en-US"/>
        </w:rPr>
        <w:instrText>that</w:instrText>
      </w:r>
      <w:r w:rsidRPr="006E3DE3">
        <w:instrText xml:space="preserve"> </w:instrText>
      </w:r>
      <w:r>
        <w:rPr>
          <w:lang w:val="en-US"/>
        </w:rPr>
        <w:instrText>anti</w:instrText>
      </w:r>
      <w:r w:rsidRPr="006E3DE3">
        <w:instrText>-</w:instrText>
      </w:r>
      <w:r>
        <w:rPr>
          <w:lang w:val="en-US"/>
        </w:rPr>
        <w:instrText>HBe</w:instrText>
      </w:r>
      <w:r w:rsidRPr="006E3DE3">
        <w:instrText xml:space="preserve"> </w:instrText>
      </w:r>
      <w:r>
        <w:rPr>
          <w:lang w:val="en-US"/>
        </w:rPr>
        <w:instrText>is</w:instrText>
      </w:r>
      <w:r w:rsidRPr="006E3DE3">
        <w:instrText xml:space="preserve"> </w:instrText>
      </w:r>
      <w:r>
        <w:rPr>
          <w:lang w:val="en-US"/>
        </w:rPr>
        <w:instrText>detectable</w:instrText>
      </w:r>
      <w:r w:rsidRPr="006E3DE3">
        <w:instrText xml:space="preserve"> </w:instrText>
      </w:r>
      <w:r>
        <w:rPr>
          <w:lang w:val="en-US"/>
        </w:rPr>
        <w:instrText>only</w:instrText>
      </w:r>
      <w:r w:rsidRPr="006E3DE3">
        <w:instrText xml:space="preserve"> </w:instrText>
      </w:r>
      <w:r>
        <w:rPr>
          <w:lang w:val="en-US"/>
        </w:rPr>
        <w:instrText>in</w:instrText>
      </w:r>
      <w:r w:rsidRPr="006E3DE3">
        <w:instrText xml:space="preserve"> </w:instrText>
      </w:r>
      <w:r>
        <w:rPr>
          <w:lang w:val="en-US"/>
        </w:rPr>
        <w:instrText>the</w:instrText>
      </w:r>
      <w:r w:rsidRPr="006E3DE3">
        <w:instrText xml:space="preserve"> </w:instrText>
      </w:r>
      <w:r>
        <w:rPr>
          <w:lang w:val="en-US"/>
        </w:rPr>
        <w:instrText>absence</w:instrText>
      </w:r>
      <w:r w:rsidRPr="006E3DE3">
        <w:instrText xml:space="preserve"> </w:instrText>
      </w:r>
      <w:r>
        <w:rPr>
          <w:lang w:val="en-US"/>
        </w:rPr>
        <w:instrText>of</w:instrText>
      </w:r>
      <w:r w:rsidRPr="006E3DE3">
        <w:instrText xml:space="preserve"> </w:instrText>
      </w:r>
      <w:r>
        <w:rPr>
          <w:lang w:val="en-US"/>
        </w:rPr>
        <w:instrText>excess</w:instrText>
      </w:r>
      <w:r w:rsidRPr="006E3DE3">
        <w:instrText xml:space="preserve"> </w:instrText>
      </w:r>
      <w:r>
        <w:rPr>
          <w:lang w:val="en-US"/>
        </w:rPr>
        <w:instrText>HBeAg</w:instrText>
      </w:r>
      <w:r w:rsidRPr="006E3DE3">
        <w:instrText xml:space="preserve">. </w:instrText>
      </w:r>
      <w:r>
        <w:rPr>
          <w:lang w:val="en-US"/>
        </w:rPr>
        <w:instrText>Recently</w:instrText>
      </w:r>
      <w:r w:rsidRPr="006E3DE3">
        <w:instrText xml:space="preserve">, </w:instrText>
      </w:r>
      <w:r>
        <w:rPr>
          <w:lang w:val="en-US"/>
        </w:rPr>
        <w:instrText>with</w:instrText>
      </w:r>
      <w:r w:rsidRPr="006E3DE3">
        <w:instrText xml:space="preserve"> </w:instrText>
      </w:r>
      <w:r>
        <w:rPr>
          <w:lang w:val="en-US"/>
        </w:rPr>
        <w:instrText>the</w:instrText>
      </w:r>
      <w:r w:rsidRPr="006E3DE3">
        <w:instrText xml:space="preserve"> </w:instrText>
      </w:r>
      <w:r>
        <w:rPr>
          <w:lang w:val="en-US"/>
        </w:rPr>
        <w:instrText>use</w:instrText>
      </w:r>
      <w:r w:rsidRPr="006E3DE3">
        <w:instrText xml:space="preserve"> </w:instrText>
      </w:r>
      <w:r>
        <w:rPr>
          <w:lang w:val="en-US"/>
        </w:rPr>
        <w:instrText>of</w:instrText>
      </w:r>
      <w:r w:rsidRPr="006E3DE3">
        <w:instrText xml:space="preserve"> </w:instrText>
      </w:r>
      <w:r>
        <w:rPr>
          <w:lang w:val="en-US"/>
        </w:rPr>
        <w:instrText>direct</w:instrText>
      </w:r>
      <w:r w:rsidRPr="006E3DE3">
        <w:instrText xml:space="preserve"> </w:instrText>
      </w:r>
      <w:r>
        <w:rPr>
          <w:lang w:val="en-US"/>
        </w:rPr>
        <w:instrText>anti</w:instrText>
      </w:r>
      <w:r w:rsidRPr="006E3DE3">
        <w:instrText>-</w:instrText>
      </w:r>
      <w:r>
        <w:rPr>
          <w:lang w:val="en-US"/>
        </w:rPr>
        <w:instrText>HBe</w:instrText>
      </w:r>
      <w:r w:rsidRPr="006E3DE3">
        <w:instrText xml:space="preserve"> </w:instrText>
      </w:r>
      <w:r>
        <w:rPr>
          <w:lang w:val="en-US"/>
        </w:rPr>
        <w:instrText>assays</w:instrText>
      </w:r>
      <w:r w:rsidRPr="006E3DE3">
        <w:instrText xml:space="preserve">, </w:instrText>
      </w:r>
      <w:r>
        <w:rPr>
          <w:lang w:val="en-US"/>
        </w:rPr>
        <w:instrText>anti</w:instrText>
      </w:r>
      <w:r w:rsidRPr="006E3DE3">
        <w:instrText>-</w:instrText>
      </w:r>
      <w:r>
        <w:rPr>
          <w:lang w:val="en-US"/>
        </w:rPr>
        <w:instrText>HBe</w:instrText>
      </w:r>
      <w:r w:rsidRPr="006E3DE3">
        <w:instrText xml:space="preserve"> </w:instrText>
      </w:r>
      <w:r>
        <w:rPr>
          <w:lang w:val="en-US"/>
        </w:rPr>
        <w:instrText>was</w:instrText>
      </w:r>
      <w:r w:rsidRPr="006E3DE3">
        <w:instrText xml:space="preserve"> </w:instrText>
      </w:r>
      <w:r>
        <w:rPr>
          <w:lang w:val="en-US"/>
        </w:rPr>
        <w:instrText>detected</w:instrText>
      </w:r>
      <w:r w:rsidRPr="006E3DE3">
        <w:instrText xml:space="preserve"> </w:instrText>
      </w:r>
      <w:r>
        <w:rPr>
          <w:lang w:val="en-US"/>
        </w:rPr>
        <w:instrText>in</w:instrText>
      </w:r>
      <w:r w:rsidRPr="006E3DE3">
        <w:instrText xml:space="preserve"> </w:instrText>
      </w:r>
      <w:r>
        <w:rPr>
          <w:lang w:val="en-US"/>
        </w:rPr>
        <w:instrText>individuals</w:instrText>
      </w:r>
      <w:r w:rsidRPr="006E3DE3">
        <w:instrText xml:space="preserve"> </w:instrText>
      </w:r>
      <w:r>
        <w:rPr>
          <w:lang w:val="en-US"/>
        </w:rPr>
        <w:instrText>who</w:instrText>
      </w:r>
      <w:r w:rsidRPr="006E3DE3">
        <w:instrText xml:space="preserve"> </w:instrText>
      </w:r>
      <w:r>
        <w:rPr>
          <w:lang w:val="en-US"/>
        </w:rPr>
        <w:instrText>had</w:instrText>
      </w:r>
      <w:r w:rsidRPr="006E3DE3">
        <w:instrText xml:space="preserve"> </w:instrText>
      </w:r>
      <w:r>
        <w:rPr>
          <w:lang w:val="en-US"/>
        </w:rPr>
        <w:instrText>been</w:instrText>
      </w:r>
      <w:r w:rsidRPr="006E3DE3">
        <w:instrText xml:space="preserve"> </w:instrText>
      </w:r>
      <w:r>
        <w:rPr>
          <w:lang w:val="en-US"/>
        </w:rPr>
        <w:instrText>seropositive</w:instrText>
      </w:r>
      <w:r w:rsidRPr="006E3DE3">
        <w:instrText xml:space="preserve"> </w:instrText>
      </w:r>
      <w:r>
        <w:rPr>
          <w:lang w:val="en-US"/>
        </w:rPr>
        <w:instrText>for</w:instrText>
      </w:r>
      <w:r w:rsidRPr="006E3DE3">
        <w:instrText xml:space="preserve"> </w:instrText>
      </w:r>
      <w:r>
        <w:rPr>
          <w:lang w:val="en-US"/>
        </w:rPr>
        <w:instrText>several</w:instrText>
      </w:r>
      <w:r w:rsidRPr="006E3DE3">
        <w:instrText xml:space="preserve"> </w:instrText>
      </w:r>
      <w:r>
        <w:rPr>
          <w:lang w:val="en-US"/>
        </w:rPr>
        <w:instrText>years</w:instrText>
      </w:r>
      <w:r w:rsidRPr="006E3DE3">
        <w:instrText xml:space="preserve"> </w:instrText>
      </w:r>
      <w:r>
        <w:rPr>
          <w:lang w:val="en-US"/>
        </w:rPr>
        <w:instrText>for</w:instrText>
      </w:r>
      <w:r w:rsidRPr="006E3DE3">
        <w:instrText xml:space="preserve"> </w:instrText>
      </w:r>
      <w:r>
        <w:rPr>
          <w:lang w:val="en-US"/>
        </w:rPr>
        <w:instrText>HBeAg</w:instrText>
      </w:r>
      <w:r w:rsidRPr="006E3DE3">
        <w:instrText xml:space="preserve"> [</w:instrText>
      </w:r>
      <w:r>
        <w:rPr>
          <w:lang w:val="en-US"/>
        </w:rPr>
        <w:instrText>Maruyama</w:instrText>
      </w:r>
      <w:r w:rsidRPr="006E3DE3">
        <w:instrText xml:space="preserve"> </w:instrText>
      </w:r>
      <w:r>
        <w:rPr>
          <w:lang w:val="en-US"/>
        </w:rPr>
        <w:instrText>et</w:instrText>
      </w:r>
      <w:r w:rsidRPr="006E3DE3">
        <w:instrText xml:space="preserve"> </w:instrText>
      </w:r>
      <w:r>
        <w:rPr>
          <w:lang w:val="en-US"/>
        </w:rPr>
        <w:instrText>al</w:instrText>
      </w:r>
      <w:r w:rsidRPr="006E3DE3">
        <w:instrText xml:space="preserve">. (1993) </w:instrText>
      </w:r>
      <w:r>
        <w:rPr>
          <w:lang w:val="en-US"/>
        </w:rPr>
        <w:instrText>J</w:instrText>
      </w:r>
      <w:r w:rsidRPr="006E3DE3">
        <w:instrText xml:space="preserve">. </w:instrText>
      </w:r>
      <w:r>
        <w:rPr>
          <w:lang w:val="en-US"/>
        </w:rPr>
        <w:instrText>Clin</w:instrText>
      </w:r>
      <w:r w:rsidRPr="006E3DE3">
        <w:instrText xml:space="preserve">. </w:instrText>
      </w:r>
      <w:r>
        <w:rPr>
          <w:lang w:val="en-US"/>
        </w:rPr>
        <w:instrText>Invest</w:instrText>
      </w:r>
      <w:r w:rsidRPr="006E3DE3">
        <w:instrText xml:space="preserve">. 91:2586-2595]. </w:instrText>
      </w:r>
      <w:r>
        <w:rPr>
          <w:lang w:val="en-US"/>
        </w:rPr>
        <w:instrText>Although</w:instrText>
      </w:r>
      <w:r w:rsidRPr="006E3DE3">
        <w:instrText xml:space="preserve"> </w:instrText>
      </w:r>
      <w:r>
        <w:rPr>
          <w:lang w:val="en-US"/>
        </w:rPr>
        <w:instrText>anti</w:instrText>
      </w:r>
      <w:r w:rsidRPr="006E3DE3">
        <w:instrText>-</w:instrText>
      </w:r>
      <w:r>
        <w:rPr>
          <w:lang w:val="en-US"/>
        </w:rPr>
        <w:instrText>HBe</w:instrText>
      </w:r>
      <w:r w:rsidRPr="006E3DE3">
        <w:instrText xml:space="preserve"> </w:instrText>
      </w:r>
      <w:r>
        <w:rPr>
          <w:lang w:val="en-US"/>
        </w:rPr>
        <w:instrText>seroconversion</w:instrText>
      </w:r>
      <w:r w:rsidRPr="006E3DE3">
        <w:instrText xml:space="preserve"> </w:instrText>
      </w:r>
      <w:r>
        <w:rPr>
          <w:lang w:val="en-US"/>
        </w:rPr>
        <w:instrText>does</w:instrText>
      </w:r>
      <w:r w:rsidRPr="006E3DE3">
        <w:instrText xml:space="preserve"> </w:instrText>
      </w:r>
      <w:r>
        <w:rPr>
          <w:lang w:val="en-US"/>
        </w:rPr>
        <w:instrText>not</w:instrText>
      </w:r>
      <w:r w:rsidRPr="006E3DE3">
        <w:instrText xml:space="preserve"> </w:instrText>
      </w:r>
      <w:r>
        <w:rPr>
          <w:lang w:val="en-US"/>
        </w:rPr>
        <w:instrText>necessarily</w:instrText>
      </w:r>
      <w:r w:rsidRPr="006E3DE3">
        <w:instrText xml:space="preserve"> </w:instrText>
      </w:r>
      <w:r>
        <w:rPr>
          <w:lang w:val="en-US"/>
        </w:rPr>
        <w:instrText>indicate</w:instrText>
      </w:r>
      <w:r w:rsidRPr="006E3DE3">
        <w:instrText xml:space="preserve"> </w:instrText>
      </w:r>
      <w:r>
        <w:rPr>
          <w:lang w:val="en-US"/>
        </w:rPr>
        <w:instrText>subsequent</w:instrText>
      </w:r>
      <w:r w:rsidRPr="006E3DE3">
        <w:instrText xml:space="preserve"> </w:instrText>
      </w:r>
      <w:r>
        <w:rPr>
          <w:lang w:val="en-US"/>
        </w:rPr>
        <w:instrText>HBeAg</w:instrText>
      </w:r>
      <w:r w:rsidRPr="006E3DE3">
        <w:instrText xml:space="preserve"> </w:instrText>
      </w:r>
      <w:r>
        <w:rPr>
          <w:lang w:val="en-US"/>
        </w:rPr>
        <w:instrText>clearance</w:instrText>
      </w:r>
      <w:r w:rsidRPr="006E3DE3">
        <w:instrText xml:space="preserve">, </w:instrText>
      </w:r>
      <w:r>
        <w:rPr>
          <w:lang w:val="en-US"/>
        </w:rPr>
        <w:instrText>the</w:instrText>
      </w:r>
      <w:r w:rsidRPr="006E3DE3">
        <w:instrText xml:space="preserve"> </w:instrText>
      </w:r>
      <w:r>
        <w:rPr>
          <w:lang w:val="en-US"/>
        </w:rPr>
        <w:instrText>ability</w:instrText>
      </w:r>
      <w:r w:rsidRPr="006E3DE3">
        <w:instrText xml:space="preserve"> </w:instrText>
      </w:r>
      <w:r>
        <w:rPr>
          <w:lang w:val="en-US"/>
        </w:rPr>
        <w:instrText>to</w:instrText>
      </w:r>
      <w:r w:rsidRPr="006E3DE3">
        <w:instrText xml:space="preserve"> </w:instrText>
      </w:r>
      <w:r>
        <w:rPr>
          <w:lang w:val="en-US"/>
        </w:rPr>
        <w:instrText>detect</w:instrText>
      </w:r>
      <w:r w:rsidRPr="006E3DE3">
        <w:instrText xml:space="preserve"> </w:instrText>
      </w:r>
      <w:r>
        <w:rPr>
          <w:lang w:val="en-US"/>
        </w:rPr>
        <w:instrText>earlier</w:instrText>
      </w:r>
      <w:r w:rsidRPr="006E3DE3">
        <w:instrText xml:space="preserve"> </w:instrText>
      </w:r>
      <w:r>
        <w:rPr>
          <w:lang w:val="en-US"/>
        </w:rPr>
        <w:instrText>anti</w:instrText>
      </w:r>
      <w:r w:rsidRPr="006E3DE3">
        <w:instrText>-</w:instrText>
      </w:r>
      <w:r>
        <w:rPr>
          <w:lang w:val="en-US"/>
        </w:rPr>
        <w:instrText>HBe</w:instrText>
      </w:r>
      <w:r w:rsidRPr="006E3DE3">
        <w:instrText xml:space="preserve"> </w:instrText>
      </w:r>
      <w:r>
        <w:rPr>
          <w:lang w:val="en-US"/>
        </w:rPr>
        <w:instrText>seroconversion</w:instrText>
      </w:r>
      <w:r w:rsidRPr="006E3DE3">
        <w:instrText xml:space="preserve"> </w:instrText>
      </w:r>
      <w:r>
        <w:rPr>
          <w:lang w:val="en-US"/>
        </w:rPr>
        <w:instrText>could</w:instrText>
      </w:r>
      <w:r w:rsidRPr="006E3DE3">
        <w:instrText xml:space="preserve"> </w:instrText>
      </w:r>
      <w:r>
        <w:rPr>
          <w:lang w:val="en-US"/>
        </w:rPr>
        <w:instrText>have</w:instrText>
      </w:r>
      <w:r w:rsidRPr="006E3DE3">
        <w:instrText xml:space="preserve"> </w:instrText>
      </w:r>
      <w:r>
        <w:rPr>
          <w:lang w:val="en-US"/>
        </w:rPr>
        <w:instrText>clinical</w:instrText>
      </w:r>
      <w:r w:rsidRPr="006E3DE3">
        <w:instrText xml:space="preserve"> </w:instrText>
      </w:r>
      <w:r>
        <w:rPr>
          <w:lang w:val="en-US"/>
        </w:rPr>
        <w:instrText>significance</w:instrText>
      </w:r>
      <w:r w:rsidRPr="006E3DE3">
        <w:instrText xml:space="preserve"> </w:instrText>
      </w:r>
      <w:r>
        <w:rPr>
          <w:lang w:val="en-US"/>
        </w:rPr>
        <w:instrText>for</w:instrText>
      </w:r>
      <w:r w:rsidRPr="006E3DE3">
        <w:instrText xml:space="preserve"> </w:instrText>
      </w:r>
      <w:r>
        <w:rPr>
          <w:lang w:val="en-US"/>
        </w:rPr>
        <w:instrText>monitoring</w:instrText>
      </w:r>
      <w:r w:rsidRPr="006E3DE3">
        <w:instrText xml:space="preserve"> </w:instrText>
      </w:r>
      <w:r>
        <w:rPr>
          <w:lang w:val="en-US"/>
        </w:rPr>
        <w:instrText>patients</w:instrText>
      </w:r>
      <w:r w:rsidRPr="006E3DE3">
        <w:instrText xml:space="preserve"> </w:instrText>
      </w:r>
      <w:r>
        <w:rPr>
          <w:lang w:val="en-US"/>
        </w:rPr>
        <w:instrText>undergoing</w:instrText>
      </w:r>
      <w:r w:rsidRPr="006E3DE3">
        <w:instrText xml:space="preserve"> </w:instrText>
      </w:r>
      <w:r>
        <w:rPr>
          <w:lang w:val="en-US"/>
        </w:rPr>
        <w:instrText>HBV</w:instrText>
      </w:r>
      <w:r w:rsidRPr="006E3DE3">
        <w:instrText xml:space="preserve"> </w:instrText>
      </w:r>
      <w:r>
        <w:rPr>
          <w:lang w:val="en-US"/>
        </w:rPr>
        <w:instrText>immunotherapy</w:instrText>
      </w:r>
      <w:r w:rsidRPr="006E3DE3">
        <w:instrText xml:space="preserve"> (</w:instrText>
      </w:r>
      <w:r>
        <w:rPr>
          <w:lang w:val="en-US"/>
        </w:rPr>
        <w:instrText>e</w:instrText>
      </w:r>
      <w:r w:rsidRPr="006E3DE3">
        <w:instrText>.</w:instrText>
      </w:r>
      <w:r>
        <w:rPr>
          <w:lang w:val="en-US"/>
        </w:rPr>
        <w:instrText>g</w:instrText>
      </w:r>
      <w:r w:rsidRPr="006E3DE3">
        <w:instrText xml:space="preserve">., </w:instrText>
      </w:r>
      <w:r>
        <w:rPr>
          <w:lang w:val="en-US"/>
        </w:rPr>
        <w:instrText>α</w:instrText>
      </w:r>
      <w:r w:rsidRPr="006E3DE3">
        <w:instrText xml:space="preserve"> </w:instrText>
      </w:r>
      <w:r>
        <w:rPr>
          <w:lang w:val="en-US"/>
        </w:rPr>
        <w:instrText>interferon</w:instrText>
      </w:r>
      <w:r w:rsidRPr="006E3DE3">
        <w:instrText xml:space="preserve"> </w:instrText>
      </w:r>
      <w:r>
        <w:rPr>
          <w:lang w:val="en-US"/>
        </w:rPr>
        <w:instrText>therapy</w:instrText>
      </w:r>
      <w:r w:rsidRPr="006E3DE3">
        <w:instrText xml:space="preserve">). </w:instrText>
      </w:r>
      <w:r>
        <w:rPr>
          <w:lang w:val="en-US"/>
        </w:rPr>
        <w:instrText>Because</w:instrText>
      </w:r>
      <w:r w:rsidRPr="006E3DE3">
        <w:instrText xml:space="preserve"> </w:instrText>
      </w:r>
      <w:r>
        <w:rPr>
          <w:lang w:val="en-US"/>
        </w:rPr>
        <w:instrText>the</w:instrText>
      </w:r>
      <w:r w:rsidRPr="006E3DE3">
        <w:instrText xml:space="preserve"> </w:instrText>
      </w:r>
      <w:r>
        <w:rPr>
          <w:lang w:val="en-US"/>
        </w:rPr>
        <w:instrText>HBeAg</w:instrText>
      </w:r>
      <w:r w:rsidRPr="006E3DE3">
        <w:instrText xml:space="preserve"> </w:instrText>
      </w:r>
      <w:r>
        <w:rPr>
          <w:lang w:val="en-US"/>
        </w:rPr>
        <w:instrText>and</w:instrText>
      </w:r>
      <w:r w:rsidRPr="006E3DE3">
        <w:instrText xml:space="preserve"> </w:instrText>
      </w:r>
      <w:r>
        <w:rPr>
          <w:lang w:val="en-US"/>
        </w:rPr>
        <w:instrText>the</w:instrText>
      </w:r>
      <w:r w:rsidRPr="006E3DE3">
        <w:instrText xml:space="preserve"> </w:instrText>
      </w:r>
      <w:r>
        <w:rPr>
          <w:lang w:val="en-US"/>
        </w:rPr>
        <w:instrText>HBcAg</w:instrText>
      </w:r>
      <w:r w:rsidRPr="006E3DE3">
        <w:instrText xml:space="preserve"> </w:instrText>
      </w:r>
      <w:r>
        <w:rPr>
          <w:lang w:val="en-US"/>
        </w:rPr>
        <w:instrText>share</w:instrText>
      </w:r>
      <w:r w:rsidRPr="006E3DE3">
        <w:instrText xml:space="preserve"> 149 </w:instrText>
      </w:r>
      <w:r>
        <w:rPr>
          <w:lang w:val="en-US"/>
        </w:rPr>
        <w:instrText>amino</w:instrText>
      </w:r>
      <w:r w:rsidRPr="006E3DE3">
        <w:instrText xml:space="preserve"> </w:instrText>
      </w:r>
      <w:r>
        <w:rPr>
          <w:lang w:val="en-US"/>
        </w:rPr>
        <w:instrText>acids</w:instrText>
      </w:r>
      <w:r w:rsidRPr="006E3DE3">
        <w:instrText xml:space="preserve">, </w:instrText>
      </w:r>
      <w:r>
        <w:rPr>
          <w:lang w:val="en-US"/>
        </w:rPr>
        <w:instrText>an</w:instrText>
      </w:r>
      <w:r w:rsidRPr="006E3DE3">
        <w:instrText xml:space="preserve"> </w:instrText>
      </w:r>
      <w:r>
        <w:rPr>
          <w:lang w:val="en-US"/>
        </w:rPr>
        <w:instrText>anti</w:instrText>
      </w:r>
      <w:r w:rsidRPr="006E3DE3">
        <w:instrText>-</w:instrText>
      </w:r>
      <w:r>
        <w:rPr>
          <w:lang w:val="en-US"/>
        </w:rPr>
        <w:instrText>HBe</w:instrText>
      </w:r>
      <w:r w:rsidRPr="006E3DE3">
        <w:instrText xml:space="preserve"> </w:instrText>
      </w:r>
      <w:r>
        <w:rPr>
          <w:lang w:val="en-US"/>
        </w:rPr>
        <w:instrText>assay</w:instrText>
      </w:r>
      <w:r w:rsidRPr="006E3DE3">
        <w:instrText xml:space="preserve"> </w:instrText>
      </w:r>
      <w:r>
        <w:rPr>
          <w:lang w:val="en-US"/>
        </w:rPr>
        <w:instrText>must</w:instrText>
      </w:r>
      <w:r w:rsidRPr="006E3DE3">
        <w:instrText xml:space="preserve"> </w:instrText>
      </w:r>
      <w:r>
        <w:rPr>
          <w:lang w:val="en-US"/>
        </w:rPr>
        <w:instrText>distinguish</w:instrText>
      </w:r>
      <w:r w:rsidRPr="006E3DE3">
        <w:instrText xml:space="preserve"> </w:instrText>
      </w:r>
      <w:r>
        <w:rPr>
          <w:lang w:val="en-US"/>
        </w:rPr>
        <w:instrText>anti</w:instrText>
      </w:r>
      <w:r w:rsidRPr="006E3DE3">
        <w:instrText>-</w:instrText>
      </w:r>
      <w:r>
        <w:rPr>
          <w:lang w:val="en-US"/>
        </w:rPr>
        <w:instrText>HBe</w:instrText>
      </w:r>
      <w:r w:rsidRPr="006E3DE3">
        <w:instrText xml:space="preserve"> </w:instrText>
      </w:r>
      <w:r>
        <w:rPr>
          <w:lang w:val="en-US"/>
        </w:rPr>
        <w:instrText>from</w:instrText>
      </w:r>
      <w:r w:rsidRPr="006E3DE3">
        <w:instrText xml:space="preserve"> </w:instrText>
      </w:r>
      <w:r>
        <w:rPr>
          <w:lang w:val="en-US"/>
        </w:rPr>
        <w:instrText>anti</w:instrText>
      </w:r>
      <w:r w:rsidRPr="006E3DE3">
        <w:instrText>-</w:instrText>
      </w:r>
      <w:r>
        <w:rPr>
          <w:lang w:val="en-US"/>
        </w:rPr>
        <w:instrText>HBc</w:instrText>
      </w:r>
      <w:r w:rsidRPr="006E3DE3">
        <w:instrText xml:space="preserve"> </w:instrText>
      </w:r>
      <w:r>
        <w:rPr>
          <w:lang w:val="en-US"/>
        </w:rPr>
        <w:instrText>antibodies</w:instrText>
      </w:r>
      <w:r w:rsidRPr="006E3DE3">
        <w:instrText xml:space="preserve">. </w:instrText>
      </w:r>
      <w:r>
        <w:rPr>
          <w:lang w:val="en-US"/>
        </w:rPr>
        <w:instrText>Although</w:instrText>
      </w:r>
      <w:r w:rsidRPr="006E3DE3">
        <w:instrText xml:space="preserve"> </w:instrText>
      </w:r>
      <w:r>
        <w:rPr>
          <w:lang w:val="en-US"/>
        </w:rPr>
        <w:instrText>the</w:instrText>
      </w:r>
      <w:r w:rsidRPr="006E3DE3">
        <w:instrText xml:space="preserve"> </w:instrText>
      </w:r>
      <w:r>
        <w:rPr>
          <w:lang w:val="en-US"/>
        </w:rPr>
        <w:instrText>HBV</w:instrText>
      </w:r>
      <w:r w:rsidRPr="006E3DE3">
        <w:instrText xml:space="preserve"> </w:instrText>
      </w:r>
      <w:r>
        <w:rPr>
          <w:lang w:val="en-US"/>
        </w:rPr>
        <w:instrText>HBeAg</w:instrText>
      </w:r>
      <w:r w:rsidRPr="006E3DE3">
        <w:instrText xml:space="preserve"> </w:instrText>
      </w:r>
      <w:r>
        <w:rPr>
          <w:lang w:val="en-US"/>
        </w:rPr>
        <w:instrText>and</w:instrText>
      </w:r>
      <w:r w:rsidRPr="006E3DE3">
        <w:instrText xml:space="preserve"> </w:instrText>
      </w:r>
      <w:r>
        <w:rPr>
          <w:lang w:val="en-US"/>
        </w:rPr>
        <w:instrText>HBcAg</w:instrText>
      </w:r>
      <w:r w:rsidRPr="006E3DE3">
        <w:instrText xml:space="preserve"> </w:instrText>
      </w:r>
      <w:r>
        <w:rPr>
          <w:lang w:val="en-US"/>
        </w:rPr>
        <w:instrText>display</w:instrText>
      </w:r>
      <w:r w:rsidRPr="006E3DE3">
        <w:instrText xml:space="preserve"> </w:instrText>
      </w:r>
      <w:r>
        <w:rPr>
          <w:lang w:val="en-US"/>
        </w:rPr>
        <w:instrText>distinct</w:instrText>
      </w:r>
      <w:r w:rsidRPr="006E3DE3">
        <w:instrText xml:space="preserve"> </w:instrText>
      </w:r>
      <w:r>
        <w:rPr>
          <w:lang w:val="en-US"/>
        </w:rPr>
        <w:instrText>immunogenic</w:instrText>
      </w:r>
      <w:r w:rsidRPr="006E3DE3">
        <w:instrText xml:space="preserve"> </w:instrText>
      </w:r>
      <w:r>
        <w:rPr>
          <w:lang w:val="en-US"/>
        </w:rPr>
        <w:instrText>determinants</w:instrText>
      </w:r>
      <w:r w:rsidRPr="006E3DE3">
        <w:instrText xml:space="preserve">, </w:instrText>
      </w:r>
      <w:r>
        <w:rPr>
          <w:lang w:val="en-US"/>
        </w:rPr>
        <w:instrText>much</w:instrText>
      </w:r>
      <w:r w:rsidRPr="006E3DE3">
        <w:instrText xml:space="preserve"> </w:instrText>
      </w:r>
      <w:r>
        <w:rPr>
          <w:lang w:val="en-US"/>
        </w:rPr>
        <w:instrText>remains</w:instrText>
      </w:r>
      <w:r w:rsidRPr="006E3DE3">
        <w:instrText xml:space="preserve"> </w:instrText>
      </w:r>
      <w:r>
        <w:rPr>
          <w:lang w:val="en-US"/>
        </w:rPr>
        <w:instrText>unknown</w:instrText>
      </w:r>
      <w:r w:rsidRPr="006E3DE3">
        <w:instrText xml:space="preserve"> </w:instrText>
      </w:r>
      <w:r>
        <w:rPr>
          <w:lang w:val="en-US"/>
        </w:rPr>
        <w:instrText>regarding</w:instrText>
      </w:r>
      <w:r w:rsidRPr="006E3DE3">
        <w:instrText xml:space="preserve"> </w:instrText>
      </w:r>
      <w:r>
        <w:rPr>
          <w:lang w:val="en-US"/>
        </w:rPr>
        <w:instrText>the</w:instrText>
      </w:r>
      <w:r w:rsidRPr="006E3DE3">
        <w:instrText xml:space="preserve"> </w:instrText>
      </w:r>
      <w:r>
        <w:rPr>
          <w:lang w:val="en-US"/>
        </w:rPr>
        <w:instrText>complete</w:instrText>
      </w:r>
      <w:r w:rsidRPr="006E3DE3">
        <w:instrText xml:space="preserve"> </w:instrText>
      </w:r>
      <w:r>
        <w:rPr>
          <w:lang w:val="en-US"/>
        </w:rPr>
        <w:instrText>epitope</w:instrText>
      </w:r>
      <w:r w:rsidRPr="006E3DE3">
        <w:instrText xml:space="preserve"> </w:instrText>
      </w:r>
      <w:r>
        <w:rPr>
          <w:lang w:val="en-US"/>
        </w:rPr>
        <w:instrText>spectrum</w:instrText>
      </w:r>
      <w:r w:rsidRPr="006E3DE3">
        <w:instrText xml:space="preserve"> </w:instrText>
      </w:r>
      <w:r>
        <w:rPr>
          <w:lang w:val="en-US"/>
        </w:rPr>
        <w:instrText>specific</w:instrText>
      </w:r>
      <w:r w:rsidRPr="006E3DE3">
        <w:instrText xml:space="preserve"> </w:instrText>
      </w:r>
      <w:r>
        <w:rPr>
          <w:lang w:val="en-US"/>
        </w:rPr>
        <w:instrText>to</w:instrText>
      </w:r>
      <w:r w:rsidRPr="006E3DE3">
        <w:instrText xml:space="preserve"> </w:instrText>
      </w:r>
      <w:r>
        <w:rPr>
          <w:lang w:val="en-US"/>
        </w:rPr>
        <w:instrText>each</w:instrText>
      </w:r>
      <w:r w:rsidRPr="006E3DE3">
        <w:instrText xml:space="preserve"> </w:instrText>
      </w:r>
      <w:r>
        <w:rPr>
          <w:lang w:val="en-US"/>
        </w:rPr>
        <w:instrText>antigen</w:instrText>
      </w:r>
      <w:r w:rsidRPr="006E3DE3">
        <w:instrText xml:space="preserve">. </w:instrText>
      </w:r>
      <w:r>
        <w:rPr>
          <w:lang w:val="en-US"/>
        </w:rPr>
        <w:instrText>The</w:instrText>
      </w:r>
      <w:r w:rsidRPr="006E3DE3">
        <w:instrText xml:space="preserve"> </w:instrText>
      </w:r>
      <w:r>
        <w:rPr>
          <w:lang w:val="en-US"/>
        </w:rPr>
        <w:instrText>goal</w:instrText>
      </w:r>
      <w:r w:rsidRPr="006E3DE3">
        <w:instrText xml:space="preserve"> </w:instrText>
      </w:r>
      <w:r>
        <w:rPr>
          <w:lang w:val="en-US"/>
        </w:rPr>
        <w:instrText>of</w:instrText>
      </w:r>
      <w:r w:rsidRPr="006E3DE3">
        <w:instrText xml:space="preserve"> </w:instrText>
      </w:r>
      <w:r>
        <w:rPr>
          <w:lang w:val="en-US"/>
        </w:rPr>
        <w:instrText>this</w:instrText>
      </w:r>
      <w:r w:rsidRPr="006E3DE3">
        <w:instrText xml:space="preserve"> </w:instrText>
      </w:r>
      <w:r>
        <w:rPr>
          <w:lang w:val="en-US"/>
        </w:rPr>
        <w:instrText>study</w:instrText>
      </w:r>
      <w:r w:rsidRPr="006E3DE3">
        <w:instrText xml:space="preserve"> </w:instrText>
      </w:r>
      <w:r>
        <w:rPr>
          <w:lang w:val="en-US"/>
        </w:rPr>
        <w:instrText>was</w:instrText>
      </w:r>
      <w:r w:rsidRPr="006E3DE3">
        <w:instrText xml:space="preserve"> 3-</w:instrText>
      </w:r>
      <w:r>
        <w:rPr>
          <w:lang w:val="en-US"/>
        </w:rPr>
        <w:instrText>fold</w:instrText>
      </w:r>
      <w:r w:rsidRPr="006E3DE3">
        <w:instrText xml:space="preserve">. </w:instrText>
      </w:r>
      <w:r>
        <w:rPr>
          <w:lang w:val="en-US"/>
        </w:rPr>
        <w:instrText>The</w:instrText>
      </w:r>
      <w:r w:rsidRPr="006E3DE3">
        <w:instrText xml:space="preserve"> </w:instrText>
      </w:r>
      <w:r>
        <w:rPr>
          <w:lang w:val="en-US"/>
        </w:rPr>
        <w:instrText>first</w:instrText>
      </w:r>
      <w:r w:rsidRPr="006E3DE3">
        <w:instrText xml:space="preserve"> </w:instrText>
      </w:r>
      <w:r>
        <w:rPr>
          <w:lang w:val="en-US"/>
        </w:rPr>
        <w:instrText>objective</w:instrText>
      </w:r>
      <w:r w:rsidRPr="006E3DE3">
        <w:instrText xml:space="preserve"> </w:instrText>
      </w:r>
      <w:r>
        <w:rPr>
          <w:lang w:val="en-US"/>
        </w:rPr>
        <w:instrText>was</w:instrText>
      </w:r>
      <w:r w:rsidRPr="006E3DE3">
        <w:instrText xml:space="preserve"> </w:instrText>
      </w:r>
      <w:r>
        <w:rPr>
          <w:lang w:val="en-US"/>
        </w:rPr>
        <w:instrText>to</w:instrText>
      </w:r>
      <w:r w:rsidRPr="006E3DE3">
        <w:instrText xml:space="preserve"> </w:instrText>
      </w:r>
      <w:r>
        <w:rPr>
          <w:lang w:val="en-US"/>
        </w:rPr>
        <w:instrText>identify</w:instrText>
      </w:r>
      <w:r w:rsidRPr="006E3DE3">
        <w:instrText xml:space="preserve"> </w:instrText>
      </w:r>
      <w:r>
        <w:rPr>
          <w:lang w:val="en-US"/>
        </w:rPr>
        <w:instrText>HBeAg</w:instrText>
      </w:r>
      <w:r w:rsidRPr="006E3DE3">
        <w:instrText xml:space="preserve"> </w:instrText>
      </w:r>
      <w:r>
        <w:rPr>
          <w:lang w:val="en-US"/>
        </w:rPr>
        <w:instrText>specific</w:instrText>
      </w:r>
      <w:r w:rsidRPr="006E3DE3">
        <w:instrText xml:space="preserve"> </w:instrText>
      </w:r>
      <w:r>
        <w:rPr>
          <w:lang w:val="en-US"/>
        </w:rPr>
        <w:instrText>linear</w:instrText>
      </w:r>
      <w:r w:rsidRPr="006E3DE3">
        <w:instrText xml:space="preserve"> </w:instrText>
      </w:r>
      <w:r>
        <w:rPr>
          <w:lang w:val="en-US"/>
        </w:rPr>
        <w:instrText>epitopes</w:instrText>
      </w:r>
      <w:r w:rsidRPr="006E3DE3">
        <w:instrText xml:space="preserve">. </w:instrText>
      </w:r>
      <w:r>
        <w:rPr>
          <w:lang w:val="en-US"/>
        </w:rPr>
        <w:instrText>The</w:instrText>
      </w:r>
      <w:r w:rsidRPr="006E3DE3">
        <w:instrText xml:space="preserve"> </w:instrText>
      </w:r>
      <w:r>
        <w:rPr>
          <w:lang w:val="en-US"/>
        </w:rPr>
        <w:instrText>second</w:instrText>
      </w:r>
      <w:r w:rsidRPr="006E3DE3">
        <w:instrText xml:space="preserve"> </w:instrText>
      </w:r>
      <w:r>
        <w:rPr>
          <w:lang w:val="en-US"/>
        </w:rPr>
        <w:instrText>objective</w:instrText>
      </w:r>
      <w:r w:rsidRPr="006E3DE3">
        <w:instrText xml:space="preserve"> </w:instrText>
      </w:r>
      <w:r>
        <w:rPr>
          <w:lang w:val="en-US"/>
        </w:rPr>
        <w:instrText>was</w:instrText>
      </w:r>
      <w:r w:rsidRPr="006E3DE3">
        <w:instrText xml:space="preserve"> </w:instrText>
      </w:r>
      <w:r>
        <w:rPr>
          <w:lang w:val="en-US"/>
        </w:rPr>
        <w:instrText>to</w:instrText>
      </w:r>
      <w:r w:rsidRPr="006E3DE3">
        <w:instrText xml:space="preserve"> </w:instrText>
      </w:r>
      <w:r>
        <w:rPr>
          <w:lang w:val="en-US"/>
        </w:rPr>
        <w:instrText>design</w:instrText>
      </w:r>
      <w:r w:rsidRPr="006E3DE3">
        <w:instrText xml:space="preserve"> </w:instrText>
      </w:r>
      <w:r>
        <w:rPr>
          <w:lang w:val="en-US"/>
        </w:rPr>
        <w:instrText>an</w:instrText>
      </w:r>
      <w:r w:rsidRPr="006E3DE3">
        <w:instrText xml:space="preserve"> </w:instrText>
      </w:r>
      <w:r>
        <w:rPr>
          <w:lang w:val="en-US"/>
        </w:rPr>
        <w:instrText>anti</w:instrText>
      </w:r>
      <w:r w:rsidRPr="006E3DE3">
        <w:instrText>-</w:instrText>
      </w:r>
      <w:r>
        <w:rPr>
          <w:lang w:val="en-US"/>
        </w:rPr>
        <w:instrText>HBe</w:instrText>
      </w:r>
      <w:r w:rsidRPr="006E3DE3">
        <w:instrText xml:space="preserve"> </w:instrText>
      </w:r>
      <w:r>
        <w:rPr>
          <w:lang w:val="en-US"/>
        </w:rPr>
        <w:instrText>immunoassay</w:instrText>
      </w:r>
      <w:r w:rsidRPr="006E3DE3">
        <w:instrText xml:space="preserve"> </w:instrText>
      </w:r>
      <w:r>
        <w:rPr>
          <w:lang w:val="en-US"/>
        </w:rPr>
        <w:instrText>capable</w:instrText>
      </w:r>
      <w:r w:rsidRPr="006E3DE3">
        <w:instrText xml:space="preserve"> </w:instrText>
      </w:r>
      <w:r>
        <w:rPr>
          <w:lang w:val="en-US"/>
        </w:rPr>
        <w:instrText>of</w:instrText>
      </w:r>
      <w:r w:rsidRPr="006E3DE3">
        <w:instrText xml:space="preserve"> </w:instrText>
      </w:r>
      <w:r>
        <w:rPr>
          <w:lang w:val="en-US"/>
        </w:rPr>
        <w:instrText>detecting</w:instrText>
      </w:r>
      <w:r w:rsidRPr="006E3DE3">
        <w:instrText xml:space="preserve"> </w:instrText>
      </w:r>
      <w:r>
        <w:rPr>
          <w:lang w:val="en-US"/>
        </w:rPr>
        <w:instrText>anti</w:instrText>
      </w:r>
      <w:r w:rsidRPr="006E3DE3">
        <w:instrText>-</w:instrText>
      </w:r>
      <w:r>
        <w:rPr>
          <w:lang w:val="en-US"/>
        </w:rPr>
        <w:instrText>HBe</w:instrText>
      </w:r>
      <w:r w:rsidRPr="006E3DE3">
        <w:instrText xml:space="preserve"> </w:instrText>
      </w:r>
      <w:r>
        <w:rPr>
          <w:lang w:val="en-US"/>
        </w:rPr>
        <w:instrText>specific</w:instrText>
      </w:r>
      <w:r w:rsidRPr="006E3DE3">
        <w:instrText xml:space="preserve"> </w:instrText>
      </w:r>
      <w:r>
        <w:rPr>
          <w:lang w:val="en-US"/>
        </w:rPr>
        <w:instrText>antibody</w:instrText>
      </w:r>
      <w:r w:rsidRPr="006E3DE3">
        <w:instrText xml:space="preserve"> </w:instrText>
      </w:r>
      <w:r>
        <w:rPr>
          <w:lang w:val="en-US"/>
        </w:rPr>
        <w:instrText>in</w:instrText>
      </w:r>
      <w:r w:rsidRPr="006E3DE3">
        <w:instrText xml:space="preserve"> </w:instrText>
      </w:r>
      <w:r>
        <w:rPr>
          <w:lang w:val="en-US"/>
        </w:rPr>
        <w:instrText>the</w:instrText>
      </w:r>
      <w:r w:rsidRPr="006E3DE3">
        <w:instrText xml:space="preserve"> </w:instrText>
      </w:r>
      <w:r>
        <w:rPr>
          <w:lang w:val="en-US"/>
        </w:rPr>
        <w:instrText>presence</w:instrText>
      </w:r>
      <w:r w:rsidRPr="006E3DE3">
        <w:instrText xml:space="preserve"> </w:instrText>
      </w:r>
      <w:r>
        <w:rPr>
          <w:lang w:val="en-US"/>
        </w:rPr>
        <w:instrText>of</w:instrText>
      </w:r>
      <w:r w:rsidRPr="006E3DE3">
        <w:instrText xml:space="preserve"> </w:instrText>
      </w:r>
      <w:r>
        <w:rPr>
          <w:lang w:val="en-US"/>
        </w:rPr>
        <w:instrText>excess</w:instrText>
      </w:r>
      <w:r w:rsidRPr="006E3DE3">
        <w:instrText xml:space="preserve"> </w:instrText>
      </w:r>
      <w:r>
        <w:rPr>
          <w:lang w:val="en-US"/>
        </w:rPr>
        <w:instrText>HBeAg</w:instrText>
      </w:r>
      <w:r w:rsidRPr="006E3DE3">
        <w:instrText xml:space="preserve">. </w:instrText>
      </w:r>
      <w:r>
        <w:rPr>
          <w:lang w:val="en-US"/>
        </w:rPr>
        <w:instrText>The</w:instrText>
      </w:r>
      <w:r w:rsidRPr="006E3DE3">
        <w:instrText xml:space="preserve"> </w:instrText>
      </w:r>
      <w:r>
        <w:rPr>
          <w:lang w:val="en-US"/>
        </w:rPr>
        <w:instrText>third</w:instrText>
      </w:r>
      <w:r w:rsidRPr="006E3DE3">
        <w:instrText xml:space="preserve"> </w:instrText>
      </w:r>
      <w:r>
        <w:rPr>
          <w:lang w:val="en-US"/>
        </w:rPr>
        <w:instrText>objective</w:instrText>
      </w:r>
      <w:r w:rsidRPr="006E3DE3">
        <w:instrText xml:space="preserve"> </w:instrText>
      </w:r>
      <w:r>
        <w:rPr>
          <w:lang w:val="en-US"/>
        </w:rPr>
        <w:instrText>was</w:instrText>
      </w:r>
      <w:r w:rsidRPr="006E3DE3">
        <w:instrText xml:space="preserve"> </w:instrText>
      </w:r>
      <w:r>
        <w:rPr>
          <w:lang w:val="en-US"/>
        </w:rPr>
        <w:instrText>to</w:instrText>
      </w:r>
      <w:r w:rsidRPr="006E3DE3">
        <w:instrText xml:space="preserve"> </w:instrText>
      </w:r>
      <w:r>
        <w:rPr>
          <w:lang w:val="en-US"/>
        </w:rPr>
        <w:instrText>characterize early anti-HBe seroconversion antibodies. The major linear epitope residing in the HBeAg amino acid sequence was mapped and 2 novel minor epitopes (δ, γ) which appear to be HBeAg specific have been identified. An anti-HBe immunoassay capable of detecting anti-HBe specific antibody in the presence of excess HBeAg was designed. Finally, it was found that early anti-HBe seroconversion antibodies appear to be conformational, whereas later seroconversion, more typically associated with the clearance of HBeAg, is characterized by the presence of antibodies to the linear HBeAg epitopes.","author":[{"dropping-particle":"","family":"Baumeister","given":"Mark A.","non-dropping-particle":"","parse-names":false,"suffix":""},{"dropping-particle":"","family":"Medina-Selby","given":"Angelica","non-dropping-particle":"","parse-names":false,"suffix</w:instrText>
      </w:r>
      <w:r w:rsidRPr="006E3DE3">
        <w:instrText>":""},{"</w:instrText>
      </w:r>
      <w:r>
        <w:rPr>
          <w:lang w:val="en-US"/>
        </w:rPr>
        <w:instrText>dropping</w:instrText>
      </w:r>
      <w:r w:rsidRPr="006E3DE3">
        <w:instrText>-</w:instrText>
      </w:r>
      <w:r>
        <w:rPr>
          <w:lang w:val="en-US"/>
        </w:rPr>
        <w:instrText>particle</w:instrText>
      </w:r>
      <w:r w:rsidRPr="006E3DE3">
        <w:instrText>":"","</w:instrText>
      </w:r>
      <w:r>
        <w:rPr>
          <w:lang w:val="en-US"/>
        </w:rPr>
        <w:instrText>family</w:instrText>
      </w:r>
      <w:r w:rsidRPr="006E3DE3">
        <w:instrText>":"</w:instrText>
      </w:r>
      <w:r>
        <w:rPr>
          <w:lang w:val="en-US"/>
        </w:rPr>
        <w:instrText>Coit</w:instrText>
      </w:r>
      <w:r w:rsidRPr="006E3DE3">
        <w:instrText>","</w:instrText>
      </w:r>
      <w:r>
        <w:rPr>
          <w:lang w:val="en-US"/>
        </w:rPr>
        <w:instrText>given</w:instrText>
      </w:r>
      <w:r w:rsidRPr="006E3DE3">
        <w:instrText>":"</w:instrText>
      </w:r>
      <w:r>
        <w:rPr>
          <w:lang w:val="en-US"/>
        </w:rPr>
        <w:instrText>Doris</w:instrText>
      </w:r>
      <w:r w:rsidRPr="006E3DE3">
        <w:instrText>","</w:instrText>
      </w:r>
      <w:r>
        <w:rPr>
          <w:lang w:val="en-US"/>
        </w:rPr>
        <w:instrText>non</w:instrText>
      </w:r>
      <w:r w:rsidRPr="006E3DE3">
        <w:instrText>-</w:instrText>
      </w:r>
      <w:r>
        <w:rPr>
          <w:lang w:val="en-US"/>
        </w:rPr>
        <w:instrText>dropping</w:instrText>
      </w:r>
      <w:r w:rsidRPr="006E3DE3">
        <w:instrText>-</w:instrText>
      </w:r>
      <w:r>
        <w:rPr>
          <w:lang w:val="en-US"/>
        </w:rPr>
        <w:instrText>particle</w:instrText>
      </w:r>
      <w:r w:rsidRPr="006E3DE3">
        <w:instrText>":"","</w:instrText>
      </w:r>
      <w:r>
        <w:rPr>
          <w:lang w:val="en-US"/>
        </w:rPr>
        <w:instrText>parse</w:instrText>
      </w:r>
      <w:r w:rsidRPr="006E3DE3">
        <w:instrText>-</w:instrText>
      </w:r>
      <w:r>
        <w:rPr>
          <w:lang w:val="en-US"/>
        </w:rPr>
        <w:instrText>names</w:instrText>
      </w:r>
      <w:r w:rsidRPr="006E3DE3">
        <w:instrText>":</w:instrText>
      </w:r>
      <w:r>
        <w:rPr>
          <w:lang w:val="en-US"/>
        </w:rPr>
        <w:instrText>false</w:instrText>
      </w:r>
      <w:r w:rsidRPr="006E3DE3">
        <w:instrText>,"</w:instrText>
      </w:r>
      <w:r>
        <w:rPr>
          <w:lang w:val="en-US"/>
        </w:rPr>
        <w:instrText>suffix</w:instrText>
      </w:r>
      <w:r w:rsidRPr="006E3DE3">
        <w:instrText>":""},{"</w:instrText>
      </w:r>
      <w:r>
        <w:rPr>
          <w:lang w:val="en-US"/>
        </w:rPr>
        <w:instrText>dropping</w:instrText>
      </w:r>
      <w:r w:rsidRPr="006E3DE3">
        <w:instrText>-</w:instrText>
      </w:r>
      <w:r>
        <w:rPr>
          <w:lang w:val="en-US"/>
        </w:rPr>
        <w:instrText>particle</w:instrText>
      </w:r>
      <w:r w:rsidRPr="006E3DE3">
        <w:instrText>":"","</w:instrText>
      </w:r>
      <w:r>
        <w:rPr>
          <w:lang w:val="en-US"/>
        </w:rPr>
        <w:instrText>family</w:instrText>
      </w:r>
      <w:r w:rsidRPr="006E3DE3">
        <w:instrText>":"</w:instrText>
      </w:r>
      <w:r>
        <w:rPr>
          <w:lang w:val="en-US"/>
        </w:rPr>
        <w:instrText>Nguyen</w:instrText>
      </w:r>
      <w:r w:rsidRPr="006E3DE3">
        <w:instrText>","</w:instrText>
      </w:r>
      <w:r>
        <w:rPr>
          <w:lang w:val="en-US"/>
        </w:rPr>
        <w:instrText>given</w:instrText>
      </w:r>
      <w:r w:rsidRPr="006E3DE3">
        <w:instrText>":"</w:instrText>
      </w:r>
      <w:r>
        <w:rPr>
          <w:lang w:val="en-US"/>
        </w:rPr>
        <w:instrText>Steve</w:instrText>
      </w:r>
      <w:r w:rsidRPr="006E3DE3">
        <w:instrText>","</w:instrText>
      </w:r>
      <w:r>
        <w:rPr>
          <w:lang w:val="en-US"/>
        </w:rPr>
        <w:instrText>non</w:instrText>
      </w:r>
      <w:r w:rsidRPr="006E3DE3">
        <w:instrText>-</w:instrText>
      </w:r>
      <w:r>
        <w:rPr>
          <w:lang w:val="en-US"/>
        </w:rPr>
        <w:instrText>dropping</w:instrText>
      </w:r>
      <w:r w:rsidRPr="006E3DE3">
        <w:instrText>-</w:instrText>
      </w:r>
      <w:r>
        <w:rPr>
          <w:lang w:val="en-US"/>
        </w:rPr>
        <w:instrText>particle</w:instrText>
      </w:r>
      <w:r w:rsidRPr="006E3DE3">
        <w:instrText>":"","</w:instrText>
      </w:r>
      <w:r>
        <w:rPr>
          <w:lang w:val="en-US"/>
        </w:rPr>
        <w:instrText>parse</w:instrText>
      </w:r>
      <w:r w:rsidRPr="006E3DE3">
        <w:instrText>-</w:instrText>
      </w:r>
      <w:r>
        <w:rPr>
          <w:lang w:val="en-US"/>
        </w:rPr>
        <w:instrText>names</w:instrText>
      </w:r>
      <w:r w:rsidRPr="006E3DE3">
        <w:instrText>":</w:instrText>
      </w:r>
      <w:r>
        <w:rPr>
          <w:lang w:val="en-US"/>
        </w:rPr>
        <w:instrText>false</w:instrText>
      </w:r>
      <w:r w:rsidRPr="006E3DE3">
        <w:instrText>,"</w:instrText>
      </w:r>
      <w:r>
        <w:rPr>
          <w:lang w:val="en-US"/>
        </w:rPr>
        <w:instrText>suffix</w:instrText>
      </w:r>
      <w:r w:rsidRPr="006E3DE3">
        <w:instrText>":""},{"</w:instrText>
      </w:r>
      <w:r>
        <w:rPr>
          <w:lang w:val="en-US"/>
        </w:rPr>
        <w:instrText>dropping</w:instrText>
      </w:r>
      <w:r w:rsidRPr="006E3DE3">
        <w:instrText>-</w:instrText>
      </w:r>
      <w:r>
        <w:rPr>
          <w:lang w:val="en-US"/>
        </w:rPr>
        <w:instrText>particle</w:instrText>
      </w:r>
      <w:r w:rsidRPr="006E3DE3">
        <w:instrText>":"","</w:instrText>
      </w:r>
      <w:r>
        <w:rPr>
          <w:lang w:val="en-US"/>
        </w:rPr>
        <w:instrText>family</w:instrText>
      </w:r>
      <w:r w:rsidRPr="006E3DE3">
        <w:instrText>":"</w:instrText>
      </w:r>
      <w:r>
        <w:rPr>
          <w:lang w:val="en-US"/>
        </w:rPr>
        <w:instrText>George</w:instrText>
      </w:r>
      <w:r w:rsidRPr="006E3DE3">
        <w:instrText>-</w:instrText>
      </w:r>
      <w:r>
        <w:rPr>
          <w:lang w:val="en-US"/>
        </w:rPr>
        <w:instrText>Nascimento</w:instrText>
      </w:r>
      <w:r w:rsidRPr="006E3DE3">
        <w:instrText>","</w:instrText>
      </w:r>
      <w:r>
        <w:rPr>
          <w:lang w:val="en-US"/>
        </w:rPr>
        <w:instrText>given</w:instrText>
      </w:r>
      <w:r w:rsidRPr="006E3DE3">
        <w:instrText>":"</w:instrText>
      </w:r>
      <w:r>
        <w:rPr>
          <w:lang w:val="en-US"/>
        </w:rPr>
        <w:instrText>Carlos</w:instrText>
      </w:r>
      <w:r w:rsidRPr="006E3DE3">
        <w:instrText>","</w:instrText>
      </w:r>
      <w:r>
        <w:rPr>
          <w:lang w:val="en-US"/>
        </w:rPr>
        <w:instrText>non</w:instrText>
      </w:r>
      <w:r w:rsidRPr="006E3DE3">
        <w:instrText>-</w:instrText>
      </w:r>
      <w:r>
        <w:rPr>
          <w:lang w:val="en-US"/>
        </w:rPr>
        <w:instrText>dropping</w:instrText>
      </w:r>
      <w:r w:rsidRPr="006E3DE3">
        <w:instrText>-</w:instrText>
      </w:r>
      <w:r>
        <w:rPr>
          <w:lang w:val="en-US"/>
        </w:rPr>
        <w:instrText>particle</w:instrText>
      </w:r>
      <w:r w:rsidRPr="006E3DE3">
        <w:instrText>":"","</w:instrText>
      </w:r>
      <w:r>
        <w:rPr>
          <w:lang w:val="en-US"/>
        </w:rPr>
        <w:instrText>parse</w:instrText>
      </w:r>
      <w:r w:rsidRPr="006E3DE3">
        <w:instrText>-</w:instrText>
      </w:r>
      <w:r>
        <w:rPr>
          <w:lang w:val="en-US"/>
        </w:rPr>
        <w:instrText>names</w:instrText>
      </w:r>
      <w:r w:rsidRPr="006E3DE3">
        <w:instrText>":</w:instrText>
      </w:r>
      <w:r>
        <w:rPr>
          <w:lang w:val="en-US"/>
        </w:rPr>
        <w:instrText>false</w:instrText>
      </w:r>
      <w:r w:rsidRPr="006E3DE3">
        <w:instrText>,"</w:instrText>
      </w:r>
      <w:r>
        <w:rPr>
          <w:lang w:val="en-US"/>
        </w:rPr>
        <w:instrText>suffix</w:instrText>
      </w:r>
      <w:r w:rsidRPr="006E3DE3">
        <w:instrText>":""},{"</w:instrText>
      </w:r>
      <w:r>
        <w:rPr>
          <w:lang w:val="en-US"/>
        </w:rPr>
        <w:instrText>dropping</w:instrText>
      </w:r>
      <w:r w:rsidRPr="006E3DE3">
        <w:instrText>-</w:instrText>
      </w:r>
      <w:r>
        <w:rPr>
          <w:lang w:val="en-US"/>
        </w:rPr>
        <w:instrText>particle</w:instrText>
      </w:r>
      <w:r w:rsidRPr="006E3DE3">
        <w:instrText>":"","</w:instrText>
      </w:r>
      <w:r>
        <w:rPr>
          <w:lang w:val="en-US"/>
        </w:rPr>
        <w:instrText>family</w:instrText>
      </w:r>
      <w:r w:rsidRPr="006E3DE3">
        <w:instrText>":"</w:instrText>
      </w:r>
      <w:r>
        <w:rPr>
          <w:lang w:val="en-US"/>
        </w:rPr>
        <w:instrText>Gyenes</w:instrText>
      </w:r>
      <w:r w:rsidRPr="006E3DE3">
        <w:instrText>","</w:instrText>
      </w:r>
      <w:r>
        <w:rPr>
          <w:lang w:val="en-US"/>
        </w:rPr>
        <w:instrText>given</w:instrText>
      </w:r>
      <w:r w:rsidRPr="006E3DE3">
        <w:instrText>":"</w:instrText>
      </w:r>
      <w:r>
        <w:rPr>
          <w:lang w:val="en-US"/>
        </w:rPr>
        <w:instrText>Alexander</w:instrText>
      </w:r>
      <w:r w:rsidRPr="006E3DE3">
        <w:instrText>","</w:instrText>
      </w:r>
      <w:r>
        <w:rPr>
          <w:lang w:val="en-US"/>
        </w:rPr>
        <w:instrText>non</w:instrText>
      </w:r>
      <w:r w:rsidRPr="006E3DE3">
        <w:instrText>-</w:instrText>
      </w:r>
      <w:r>
        <w:rPr>
          <w:lang w:val="en-US"/>
        </w:rPr>
        <w:instrText>dropping</w:instrText>
      </w:r>
      <w:r w:rsidRPr="006E3DE3">
        <w:instrText>-</w:instrText>
      </w:r>
      <w:r>
        <w:rPr>
          <w:lang w:val="en-US"/>
        </w:rPr>
        <w:instrText>particle</w:instrText>
      </w:r>
      <w:r w:rsidRPr="006E3DE3">
        <w:instrText>":"","</w:instrText>
      </w:r>
      <w:r>
        <w:rPr>
          <w:lang w:val="en-US"/>
        </w:rPr>
        <w:instrText>parse</w:instrText>
      </w:r>
      <w:r w:rsidRPr="006E3DE3">
        <w:instrText>-</w:instrText>
      </w:r>
      <w:r>
        <w:rPr>
          <w:lang w:val="en-US"/>
        </w:rPr>
        <w:instrText>names</w:instrText>
      </w:r>
      <w:r w:rsidRPr="006E3DE3">
        <w:instrText>":</w:instrText>
      </w:r>
      <w:r>
        <w:rPr>
          <w:lang w:val="en-US"/>
        </w:rPr>
        <w:instrText>false</w:instrText>
      </w:r>
      <w:r w:rsidRPr="006E3DE3">
        <w:instrText>,"</w:instrText>
      </w:r>
      <w:r>
        <w:rPr>
          <w:lang w:val="en-US"/>
        </w:rPr>
        <w:instrText>suffix</w:instrText>
      </w:r>
      <w:r w:rsidRPr="006E3DE3">
        <w:instrText>":""},{"</w:instrText>
      </w:r>
      <w:r>
        <w:rPr>
          <w:lang w:val="en-US"/>
        </w:rPr>
        <w:instrText>dropping</w:instrText>
      </w:r>
      <w:r w:rsidRPr="006E3DE3">
        <w:instrText>-</w:instrText>
      </w:r>
      <w:r>
        <w:rPr>
          <w:lang w:val="en-US"/>
        </w:rPr>
        <w:instrText>particle</w:instrText>
      </w:r>
      <w:r w:rsidRPr="006E3DE3">
        <w:instrText>":"","</w:instrText>
      </w:r>
      <w:r>
        <w:rPr>
          <w:lang w:val="en-US"/>
        </w:rPr>
        <w:instrText>family</w:instrText>
      </w:r>
      <w:r w:rsidRPr="006E3DE3">
        <w:instrText>":"</w:instrText>
      </w:r>
      <w:r>
        <w:rPr>
          <w:lang w:val="en-US"/>
        </w:rPr>
        <w:instrText>Valenzuela</w:instrText>
      </w:r>
      <w:r w:rsidRPr="006E3DE3">
        <w:instrText>","</w:instrText>
      </w:r>
      <w:r>
        <w:rPr>
          <w:lang w:val="en-US"/>
        </w:rPr>
        <w:instrText>given</w:instrText>
      </w:r>
      <w:r w:rsidRPr="006E3DE3">
        <w:instrText>":"</w:instrText>
      </w:r>
      <w:r>
        <w:rPr>
          <w:lang w:val="en-US"/>
        </w:rPr>
        <w:instrText>Pablo</w:instrText>
      </w:r>
      <w:r w:rsidRPr="006E3DE3">
        <w:instrText>","</w:instrText>
      </w:r>
      <w:r>
        <w:rPr>
          <w:lang w:val="en-US"/>
        </w:rPr>
        <w:instrText>non</w:instrText>
      </w:r>
      <w:r w:rsidRPr="006E3DE3">
        <w:instrText>-</w:instrText>
      </w:r>
      <w:r>
        <w:rPr>
          <w:lang w:val="en-US"/>
        </w:rPr>
        <w:instrText>dropping</w:instrText>
      </w:r>
      <w:r w:rsidRPr="006E3DE3">
        <w:instrText>-</w:instrText>
      </w:r>
      <w:r>
        <w:rPr>
          <w:lang w:val="en-US"/>
        </w:rPr>
        <w:instrText>particle</w:instrText>
      </w:r>
      <w:r w:rsidRPr="006E3DE3">
        <w:instrText>":"","</w:instrText>
      </w:r>
      <w:r>
        <w:rPr>
          <w:lang w:val="en-US"/>
        </w:rPr>
        <w:instrText>parse</w:instrText>
      </w:r>
      <w:r w:rsidRPr="006E3DE3">
        <w:instrText>-</w:instrText>
      </w:r>
      <w:r>
        <w:rPr>
          <w:lang w:val="en-US"/>
        </w:rPr>
        <w:instrText>names</w:instrText>
      </w:r>
      <w:r w:rsidRPr="006E3DE3">
        <w:instrText>":</w:instrText>
      </w:r>
      <w:r>
        <w:rPr>
          <w:lang w:val="en-US"/>
        </w:rPr>
        <w:instrText>false</w:instrText>
      </w:r>
      <w:r w:rsidRPr="006E3DE3">
        <w:instrText>,"</w:instrText>
      </w:r>
      <w:r>
        <w:rPr>
          <w:lang w:val="en-US"/>
        </w:rPr>
        <w:instrText>suffix</w:instrText>
      </w:r>
      <w:r w:rsidRPr="006E3DE3">
        <w:instrText>":""},{"</w:instrText>
      </w:r>
      <w:r>
        <w:rPr>
          <w:lang w:val="en-US"/>
        </w:rPr>
        <w:instrText>dropping</w:instrText>
      </w:r>
      <w:r w:rsidRPr="006E3DE3">
        <w:instrText>-</w:instrText>
      </w:r>
      <w:r>
        <w:rPr>
          <w:lang w:val="en-US"/>
        </w:rPr>
        <w:instrText>particle</w:instrText>
      </w:r>
      <w:r w:rsidRPr="006E3DE3">
        <w:instrText>":"","</w:instrText>
      </w:r>
      <w:r>
        <w:rPr>
          <w:lang w:val="en-US"/>
        </w:rPr>
        <w:instrText>family</w:instrText>
      </w:r>
      <w:r w:rsidRPr="006E3DE3">
        <w:instrText>":"</w:instrText>
      </w:r>
      <w:r>
        <w:rPr>
          <w:lang w:val="en-US"/>
        </w:rPr>
        <w:instrText>Kuo</w:instrText>
      </w:r>
      <w:r w:rsidRPr="006E3DE3">
        <w:instrText>","</w:instrText>
      </w:r>
      <w:r>
        <w:rPr>
          <w:lang w:val="en-US"/>
        </w:rPr>
        <w:instrText>given</w:instrText>
      </w:r>
      <w:r w:rsidRPr="006E3DE3">
        <w:instrText>":"</w:instrText>
      </w:r>
      <w:r>
        <w:rPr>
          <w:lang w:val="en-US"/>
        </w:rPr>
        <w:instrText>George</w:instrText>
      </w:r>
      <w:r w:rsidRPr="006E3DE3">
        <w:instrText>","</w:instrText>
      </w:r>
      <w:r>
        <w:rPr>
          <w:lang w:val="en-US"/>
        </w:rPr>
        <w:instrText>non</w:instrText>
      </w:r>
      <w:r w:rsidRPr="006E3DE3">
        <w:instrText>-</w:instrText>
      </w:r>
      <w:r>
        <w:rPr>
          <w:lang w:val="en-US"/>
        </w:rPr>
        <w:instrText>dropping</w:instrText>
      </w:r>
      <w:r w:rsidRPr="006E3DE3">
        <w:instrText>-</w:instrText>
      </w:r>
      <w:r>
        <w:rPr>
          <w:lang w:val="en-US"/>
        </w:rPr>
        <w:instrText>particle</w:instrText>
      </w:r>
      <w:r w:rsidRPr="006E3DE3">
        <w:instrText>":"","</w:instrText>
      </w:r>
      <w:r>
        <w:rPr>
          <w:lang w:val="en-US"/>
        </w:rPr>
        <w:instrText>parse</w:instrText>
      </w:r>
      <w:r w:rsidRPr="006E3DE3">
        <w:instrText>-</w:instrText>
      </w:r>
      <w:r>
        <w:rPr>
          <w:lang w:val="en-US"/>
        </w:rPr>
        <w:instrText>names</w:instrText>
      </w:r>
      <w:r w:rsidRPr="006E3DE3">
        <w:instrText>":</w:instrText>
      </w:r>
      <w:r>
        <w:rPr>
          <w:lang w:val="en-US"/>
        </w:rPr>
        <w:instrText>false</w:instrText>
      </w:r>
      <w:r w:rsidRPr="006E3DE3">
        <w:instrText>,"</w:instrText>
      </w:r>
      <w:r>
        <w:rPr>
          <w:lang w:val="en-US"/>
        </w:rPr>
        <w:instrText>suffix</w:instrText>
      </w:r>
      <w:r w:rsidRPr="006E3DE3">
        <w:instrText>":""},{"</w:instrText>
      </w:r>
      <w:r>
        <w:rPr>
          <w:lang w:val="en-US"/>
        </w:rPr>
        <w:instrText>dropping</w:instrText>
      </w:r>
      <w:r w:rsidRPr="006E3DE3">
        <w:instrText>-</w:instrText>
      </w:r>
      <w:r>
        <w:rPr>
          <w:lang w:val="en-US"/>
        </w:rPr>
        <w:instrText>particle</w:instrText>
      </w:r>
      <w:r w:rsidRPr="006E3DE3">
        <w:instrText>":"","</w:instrText>
      </w:r>
      <w:r>
        <w:rPr>
          <w:lang w:val="en-US"/>
        </w:rPr>
        <w:instrText>family</w:instrText>
      </w:r>
      <w:r w:rsidRPr="006E3DE3">
        <w:instrText>":"</w:instrText>
      </w:r>
      <w:r>
        <w:rPr>
          <w:lang w:val="en-US"/>
        </w:rPr>
        <w:instrText>Chien</w:instrText>
      </w:r>
      <w:r w:rsidRPr="006E3DE3">
        <w:instrText>","</w:instrText>
      </w:r>
      <w:r>
        <w:rPr>
          <w:lang w:val="en-US"/>
        </w:rPr>
        <w:instrText>given</w:instrText>
      </w:r>
      <w:r w:rsidRPr="006E3DE3">
        <w:instrText>":"</w:instrText>
      </w:r>
      <w:r>
        <w:rPr>
          <w:lang w:val="en-US"/>
        </w:rPr>
        <w:instrText>David</w:instrText>
      </w:r>
      <w:r w:rsidRPr="006E3DE3">
        <w:instrText xml:space="preserve"> </w:instrText>
      </w:r>
      <w:r>
        <w:rPr>
          <w:lang w:val="en-US"/>
        </w:rPr>
        <w:instrText>Y</w:instrText>
      </w:r>
      <w:r w:rsidRPr="006E3DE3">
        <w:instrText>.","</w:instrText>
      </w:r>
      <w:r>
        <w:rPr>
          <w:lang w:val="en-US"/>
        </w:rPr>
        <w:instrText>non</w:instrText>
      </w:r>
      <w:r w:rsidRPr="006E3DE3">
        <w:instrText>-</w:instrText>
      </w:r>
      <w:r>
        <w:rPr>
          <w:lang w:val="en-US"/>
        </w:rPr>
        <w:instrText>dropping</w:instrText>
      </w:r>
      <w:r w:rsidRPr="006E3DE3">
        <w:instrText>-</w:instrText>
      </w:r>
      <w:r>
        <w:rPr>
          <w:lang w:val="en-US"/>
        </w:rPr>
        <w:instrText>particle</w:instrText>
      </w:r>
      <w:r w:rsidRPr="006E3DE3">
        <w:instrText>":"","</w:instrText>
      </w:r>
      <w:r>
        <w:rPr>
          <w:lang w:val="en-US"/>
        </w:rPr>
        <w:instrText>parse</w:instrText>
      </w:r>
      <w:r w:rsidRPr="006E3DE3">
        <w:instrText>-</w:instrText>
      </w:r>
      <w:r>
        <w:rPr>
          <w:lang w:val="en-US"/>
        </w:rPr>
        <w:instrText>names</w:instrText>
      </w:r>
      <w:r w:rsidRPr="006E3DE3">
        <w:instrText>":</w:instrText>
      </w:r>
      <w:r>
        <w:rPr>
          <w:lang w:val="en-US"/>
        </w:rPr>
        <w:instrText>false</w:instrText>
      </w:r>
      <w:r w:rsidRPr="006E3DE3">
        <w:instrText>,"</w:instrText>
      </w:r>
      <w:r>
        <w:rPr>
          <w:lang w:val="en-US"/>
        </w:rPr>
        <w:instrText>suffix</w:instrText>
      </w:r>
      <w:r w:rsidRPr="006E3DE3">
        <w:instrText>":""}],"</w:instrText>
      </w:r>
      <w:r>
        <w:rPr>
          <w:lang w:val="en-US"/>
        </w:rPr>
        <w:instrText>container</w:instrText>
      </w:r>
      <w:r w:rsidRPr="006E3DE3">
        <w:instrText>-</w:instrText>
      </w:r>
      <w:r>
        <w:rPr>
          <w:lang w:val="en-US"/>
        </w:rPr>
        <w:instrText>title</w:instrText>
      </w:r>
      <w:r w:rsidRPr="006E3DE3">
        <w:instrText>":"</w:instrText>
      </w:r>
      <w:r>
        <w:rPr>
          <w:lang w:val="en-US"/>
        </w:rPr>
        <w:instrText>Journal</w:instrText>
      </w:r>
      <w:r w:rsidRPr="006E3DE3">
        <w:instrText xml:space="preserve"> </w:instrText>
      </w:r>
      <w:r>
        <w:rPr>
          <w:lang w:val="en-US"/>
        </w:rPr>
        <w:instrText>of</w:instrText>
      </w:r>
      <w:r w:rsidRPr="006E3DE3">
        <w:instrText xml:space="preserve"> </w:instrText>
      </w:r>
      <w:r>
        <w:rPr>
          <w:lang w:val="en-US"/>
        </w:rPr>
        <w:instrText>Medical</w:instrText>
      </w:r>
      <w:r w:rsidRPr="006E3DE3">
        <w:instrText xml:space="preserve"> </w:instrText>
      </w:r>
      <w:r>
        <w:rPr>
          <w:lang w:val="en-US"/>
        </w:rPr>
        <w:instrText>Virology</w:instrText>
      </w:r>
      <w:r w:rsidRPr="006E3DE3">
        <w:instrText>","</w:instrText>
      </w:r>
      <w:r>
        <w:rPr>
          <w:lang w:val="en-US"/>
        </w:rPr>
        <w:instrText>id</w:instrText>
      </w:r>
      <w:r w:rsidRPr="006E3DE3">
        <w:instrText>":"</w:instrText>
      </w:r>
      <w:r>
        <w:rPr>
          <w:lang w:val="en-US"/>
        </w:rPr>
        <w:instrText>ITEM</w:instrText>
      </w:r>
      <w:r w:rsidRPr="006E3DE3">
        <w:instrText>-1","</w:instrText>
      </w:r>
      <w:r>
        <w:rPr>
          <w:lang w:val="en-US"/>
        </w:rPr>
        <w:instrText>issue</w:instrText>
      </w:r>
      <w:r w:rsidRPr="006E3DE3">
        <w:instrText>":"3","</w:instrText>
      </w:r>
      <w:r>
        <w:rPr>
          <w:lang w:val="en-US"/>
        </w:rPr>
        <w:instrText>issued</w:instrText>
      </w:r>
      <w:r w:rsidRPr="006E3DE3">
        <w:instrText>":{"</w:instrText>
      </w:r>
      <w:r>
        <w:rPr>
          <w:lang w:val="en-US"/>
        </w:rPr>
        <w:instrText>date</w:instrText>
      </w:r>
      <w:r w:rsidRPr="006E3DE3">
        <w:instrText>-</w:instrText>
      </w:r>
      <w:r>
        <w:rPr>
          <w:lang w:val="en-US"/>
        </w:rPr>
        <w:instrText>parts</w:instrText>
      </w:r>
      <w:r w:rsidRPr="006E3DE3">
        <w:instrText>":[["2000","3","1"]]},"</w:instrText>
      </w:r>
      <w:r>
        <w:rPr>
          <w:lang w:val="en-US"/>
        </w:rPr>
        <w:instrText>page</w:instrText>
      </w:r>
      <w:r w:rsidRPr="006E3DE3">
        <w:instrText>":"256-263","</w:instrText>
      </w:r>
      <w:r>
        <w:rPr>
          <w:lang w:val="en-US"/>
        </w:rPr>
        <w:instrText>publisher</w:instrText>
      </w:r>
      <w:r w:rsidRPr="006E3DE3">
        <w:instrText>":"</w:instrText>
      </w:r>
      <w:r>
        <w:rPr>
          <w:lang w:val="en-US"/>
        </w:rPr>
        <w:instrText>John</w:instrText>
      </w:r>
      <w:r w:rsidRPr="006E3DE3">
        <w:instrText xml:space="preserve"> </w:instrText>
      </w:r>
      <w:r>
        <w:rPr>
          <w:lang w:val="en-US"/>
        </w:rPr>
        <w:instrText>Wiley</w:instrText>
      </w:r>
      <w:r w:rsidRPr="006E3DE3">
        <w:instrText xml:space="preserve"> &amp; </w:instrText>
      </w:r>
      <w:r>
        <w:rPr>
          <w:lang w:val="en-US"/>
        </w:rPr>
        <w:instrText>Sons</w:instrText>
      </w:r>
      <w:r w:rsidRPr="006E3DE3">
        <w:instrText xml:space="preserve">, </w:instrText>
      </w:r>
      <w:r>
        <w:rPr>
          <w:lang w:val="en-US"/>
        </w:rPr>
        <w:instrText>Ltd</w:instrText>
      </w:r>
      <w:r w:rsidRPr="006E3DE3">
        <w:instrText>","</w:instrText>
      </w:r>
      <w:r>
        <w:rPr>
          <w:lang w:val="en-US"/>
        </w:rPr>
        <w:instrText>title</w:instrText>
      </w:r>
      <w:r w:rsidRPr="006E3DE3">
        <w:instrText>":"</w:instrText>
      </w:r>
      <w:r>
        <w:rPr>
          <w:lang w:val="en-US"/>
        </w:rPr>
        <w:instrText>Hepatitis</w:instrText>
      </w:r>
      <w:r w:rsidRPr="006E3DE3">
        <w:instrText xml:space="preserve"> </w:instrText>
      </w:r>
      <w:r>
        <w:rPr>
          <w:lang w:val="en-US"/>
        </w:rPr>
        <w:instrText>B</w:instrText>
      </w:r>
      <w:r w:rsidRPr="006E3DE3">
        <w:instrText xml:space="preserve"> </w:instrText>
      </w:r>
      <w:r>
        <w:rPr>
          <w:lang w:val="en-US"/>
        </w:rPr>
        <w:instrText>virus</w:instrText>
      </w:r>
      <w:r w:rsidRPr="006E3DE3">
        <w:instrText xml:space="preserve"> </w:instrText>
      </w:r>
      <w:r>
        <w:rPr>
          <w:lang w:val="en-US"/>
        </w:rPr>
        <w:instrText>e</w:instrText>
      </w:r>
      <w:r w:rsidRPr="006E3DE3">
        <w:instrText xml:space="preserve"> </w:instrText>
      </w:r>
      <w:r>
        <w:rPr>
          <w:lang w:val="en-US"/>
        </w:rPr>
        <w:instrText>antigen</w:instrText>
      </w:r>
      <w:r w:rsidRPr="006E3DE3">
        <w:instrText xml:space="preserve"> </w:instrText>
      </w:r>
      <w:r>
        <w:rPr>
          <w:lang w:val="en-US"/>
        </w:rPr>
        <w:instrText>specific</w:instrText>
      </w:r>
      <w:r w:rsidRPr="006E3DE3">
        <w:instrText xml:space="preserve"> </w:instrText>
      </w:r>
      <w:r>
        <w:rPr>
          <w:lang w:val="en-US"/>
        </w:rPr>
        <w:instrText>epitopes</w:instrText>
      </w:r>
      <w:r w:rsidRPr="006E3DE3">
        <w:instrText xml:space="preserve"> </w:instrText>
      </w:r>
      <w:r>
        <w:rPr>
          <w:lang w:val="en-US"/>
        </w:rPr>
        <w:instrText>and</w:instrText>
      </w:r>
      <w:r w:rsidRPr="006E3DE3">
        <w:instrText xml:space="preserve"> </w:instrText>
      </w:r>
      <w:r>
        <w:rPr>
          <w:lang w:val="en-US"/>
        </w:rPr>
        <w:instrText>limitations</w:instrText>
      </w:r>
      <w:r w:rsidRPr="006E3DE3">
        <w:instrText xml:space="preserve"> </w:instrText>
      </w:r>
      <w:r>
        <w:rPr>
          <w:lang w:val="en-US"/>
        </w:rPr>
        <w:instrText>of</w:instrText>
      </w:r>
      <w:r w:rsidRPr="006E3DE3">
        <w:instrText xml:space="preserve"> </w:instrText>
      </w:r>
      <w:r>
        <w:rPr>
          <w:lang w:val="en-US"/>
        </w:rPr>
        <w:instrText>commercial</w:instrText>
      </w:r>
      <w:r w:rsidRPr="006E3DE3">
        <w:instrText xml:space="preserve"> </w:instrText>
      </w:r>
      <w:r>
        <w:rPr>
          <w:lang w:val="en-US"/>
        </w:rPr>
        <w:instrText>anti</w:instrText>
      </w:r>
      <w:r w:rsidRPr="006E3DE3">
        <w:instrText>-</w:instrText>
      </w:r>
      <w:r>
        <w:rPr>
          <w:lang w:val="en-US"/>
        </w:rPr>
        <w:instrText>HBe</w:instrText>
      </w:r>
      <w:r w:rsidRPr="006E3DE3">
        <w:instrText xml:space="preserve"> </w:instrText>
      </w:r>
      <w:r>
        <w:rPr>
          <w:lang w:val="en-US"/>
        </w:rPr>
        <w:instrText>immunoassays</w:instrText>
      </w:r>
      <w:r w:rsidRPr="006E3DE3">
        <w:instrText>","</w:instrText>
      </w:r>
      <w:r>
        <w:rPr>
          <w:lang w:val="en-US"/>
        </w:rPr>
        <w:instrText>type</w:instrText>
      </w:r>
      <w:r w:rsidRPr="006E3DE3">
        <w:instrText>":"</w:instrText>
      </w:r>
      <w:r>
        <w:rPr>
          <w:lang w:val="en-US"/>
        </w:rPr>
        <w:instrText>article</w:instrText>
      </w:r>
      <w:r w:rsidRPr="006E3DE3">
        <w:instrText>-</w:instrText>
      </w:r>
      <w:r>
        <w:rPr>
          <w:lang w:val="en-US"/>
        </w:rPr>
        <w:instrText>journal</w:instrText>
      </w:r>
      <w:r w:rsidRPr="006E3DE3">
        <w:instrText>","</w:instrText>
      </w:r>
      <w:r>
        <w:rPr>
          <w:lang w:val="en-US"/>
        </w:rPr>
        <w:instrText>volume</w:instrText>
      </w:r>
      <w:r w:rsidRPr="006E3DE3">
        <w:instrText>":"60"},"</w:instrText>
      </w:r>
      <w:r>
        <w:rPr>
          <w:lang w:val="en-US"/>
        </w:rPr>
        <w:instrText>uris</w:instrText>
      </w:r>
      <w:r w:rsidRPr="006E3DE3">
        <w:instrText>":["</w:instrText>
      </w:r>
      <w:r>
        <w:rPr>
          <w:lang w:val="en-US"/>
        </w:rPr>
        <w:instrText>http</w:instrText>
      </w:r>
      <w:r w:rsidRPr="006E3DE3">
        <w:instrText>://</w:instrText>
      </w:r>
      <w:r>
        <w:rPr>
          <w:lang w:val="en-US"/>
        </w:rPr>
        <w:instrText>www</w:instrText>
      </w:r>
      <w:r w:rsidRPr="006E3DE3">
        <w:instrText>.</w:instrText>
      </w:r>
      <w:r>
        <w:rPr>
          <w:lang w:val="en-US"/>
        </w:rPr>
        <w:instrText>mendeley</w:instrText>
      </w:r>
      <w:r w:rsidRPr="006E3DE3">
        <w:instrText>.</w:instrText>
      </w:r>
      <w:r>
        <w:rPr>
          <w:lang w:val="en-US"/>
        </w:rPr>
        <w:instrText>com</w:instrText>
      </w:r>
      <w:r w:rsidRPr="006E3DE3">
        <w:instrText>/</w:instrText>
      </w:r>
      <w:r>
        <w:rPr>
          <w:lang w:val="en-US"/>
        </w:rPr>
        <w:instrText>documents</w:instrText>
      </w:r>
      <w:r w:rsidRPr="006E3DE3">
        <w:instrText>/?</w:instrText>
      </w:r>
      <w:r>
        <w:rPr>
          <w:lang w:val="en-US"/>
        </w:rPr>
        <w:instrText>uuid</w:instrText>
      </w:r>
      <w:r w:rsidRPr="006E3DE3">
        <w:instrText>=157697</w:instrText>
      </w:r>
      <w:r>
        <w:rPr>
          <w:lang w:val="en-US"/>
        </w:rPr>
        <w:instrText>dc</w:instrText>
      </w:r>
      <w:r w:rsidRPr="006E3DE3">
        <w:instrText>-810</w:instrText>
      </w:r>
      <w:r>
        <w:rPr>
          <w:lang w:val="en-US"/>
        </w:rPr>
        <w:instrText>b</w:instrText>
      </w:r>
      <w:r w:rsidRPr="006E3DE3">
        <w:instrText>-3491-8616-538</w:instrText>
      </w:r>
      <w:r>
        <w:rPr>
          <w:lang w:val="en-US"/>
        </w:rPr>
        <w:instrText>c</w:instrText>
      </w:r>
      <w:r w:rsidRPr="006E3DE3">
        <w:instrText>082</w:instrText>
      </w:r>
      <w:r>
        <w:rPr>
          <w:lang w:val="en-US"/>
        </w:rPr>
        <w:instrText>b</w:instrText>
      </w:r>
      <w:r w:rsidRPr="006E3DE3">
        <w:instrText>1</w:instrText>
      </w:r>
      <w:r>
        <w:rPr>
          <w:lang w:val="en-US"/>
        </w:rPr>
        <w:instrText>b</w:instrText>
      </w:r>
      <w:r w:rsidRPr="006E3DE3">
        <w:instrText>1</w:instrText>
      </w:r>
      <w:r>
        <w:rPr>
          <w:lang w:val="en-US"/>
        </w:rPr>
        <w:instrText>a</w:instrText>
      </w:r>
      <w:r w:rsidRPr="006E3DE3">
        <w:instrText>"]}],"</w:instrText>
      </w:r>
      <w:r>
        <w:rPr>
          <w:lang w:val="en-US"/>
        </w:rPr>
        <w:instrText>mendeley</w:instrText>
      </w:r>
      <w:r w:rsidRPr="006E3DE3">
        <w:instrText>":{"</w:instrText>
      </w:r>
      <w:r>
        <w:rPr>
          <w:lang w:val="en-US"/>
        </w:rPr>
        <w:instrText>formattedCitation</w:instrText>
      </w:r>
      <w:r w:rsidRPr="006E3DE3">
        <w:instrText>":"[149]","</w:instrText>
      </w:r>
      <w:r>
        <w:rPr>
          <w:lang w:val="en-US"/>
        </w:rPr>
        <w:instrText>plainTextFormattedCitation</w:instrText>
      </w:r>
      <w:r w:rsidRPr="006E3DE3">
        <w:instrText>":"[149]","</w:instrText>
      </w:r>
      <w:r>
        <w:rPr>
          <w:lang w:val="en-US"/>
        </w:rPr>
        <w:instrText>previouslyFormattedCitation</w:instrText>
      </w:r>
      <w:r w:rsidRPr="006E3DE3">
        <w:instrText>":"[149]"},"</w:instrText>
      </w:r>
      <w:r>
        <w:rPr>
          <w:lang w:val="en-US"/>
        </w:rPr>
        <w:instrText>properties</w:instrText>
      </w:r>
      <w:r w:rsidRPr="006E3DE3">
        <w:instrText>":{"</w:instrText>
      </w:r>
      <w:r>
        <w:rPr>
          <w:lang w:val="en-US"/>
        </w:rPr>
        <w:instrText>noteIndex</w:instrText>
      </w:r>
      <w:r w:rsidRPr="006E3DE3">
        <w:instrText>":0},"</w:instrText>
      </w:r>
      <w:r>
        <w:rPr>
          <w:lang w:val="en-US"/>
        </w:rPr>
        <w:instrText>schema</w:instrText>
      </w:r>
      <w:r w:rsidRPr="006E3DE3">
        <w:instrText>":"</w:instrText>
      </w:r>
      <w:r>
        <w:rPr>
          <w:lang w:val="en-US"/>
        </w:rPr>
        <w:instrText>https</w:instrText>
      </w:r>
      <w:r w:rsidRPr="006E3DE3">
        <w:instrText>://</w:instrText>
      </w:r>
      <w:r>
        <w:rPr>
          <w:lang w:val="en-US"/>
        </w:rPr>
        <w:instrText>github</w:instrText>
      </w:r>
      <w:r w:rsidRPr="006E3DE3">
        <w:instrText>.</w:instrText>
      </w:r>
      <w:r>
        <w:rPr>
          <w:lang w:val="en-US"/>
        </w:rPr>
        <w:instrText>com</w:instrText>
      </w:r>
      <w:r w:rsidRPr="006E3DE3">
        <w:instrText>/</w:instrText>
      </w:r>
      <w:r>
        <w:rPr>
          <w:lang w:val="en-US"/>
        </w:rPr>
        <w:instrText>citation</w:instrText>
      </w:r>
      <w:r w:rsidRPr="006E3DE3">
        <w:instrText>-</w:instrText>
      </w:r>
      <w:r>
        <w:rPr>
          <w:lang w:val="en-US"/>
        </w:rPr>
        <w:instrText>style</w:instrText>
      </w:r>
      <w:r w:rsidRPr="006E3DE3">
        <w:instrText>-</w:instrText>
      </w:r>
      <w:r>
        <w:rPr>
          <w:lang w:val="en-US"/>
        </w:rPr>
        <w:instrText>language</w:instrText>
      </w:r>
      <w:r w:rsidRPr="006E3DE3">
        <w:instrText>/</w:instrText>
      </w:r>
      <w:r>
        <w:rPr>
          <w:lang w:val="en-US"/>
        </w:rPr>
        <w:instrText>schema</w:instrText>
      </w:r>
      <w:r w:rsidRPr="006E3DE3">
        <w:instrText>/</w:instrText>
      </w:r>
      <w:r>
        <w:rPr>
          <w:lang w:val="en-US"/>
        </w:rPr>
        <w:instrText>raw</w:instrText>
      </w:r>
      <w:r w:rsidRPr="006E3DE3">
        <w:instrText>/</w:instrText>
      </w:r>
      <w:r>
        <w:rPr>
          <w:lang w:val="en-US"/>
        </w:rPr>
        <w:instrText>master</w:instrText>
      </w:r>
      <w:r w:rsidRPr="006E3DE3">
        <w:instrText>/</w:instrText>
      </w:r>
      <w:r>
        <w:rPr>
          <w:lang w:val="en-US"/>
        </w:rPr>
        <w:instrText>csl</w:instrText>
      </w:r>
      <w:r w:rsidRPr="006E3DE3">
        <w:instrText>-</w:instrText>
      </w:r>
      <w:r>
        <w:rPr>
          <w:lang w:val="en-US"/>
        </w:rPr>
        <w:instrText>citation</w:instrText>
      </w:r>
      <w:r w:rsidRPr="006E3DE3">
        <w:instrText>.</w:instrText>
      </w:r>
      <w:r>
        <w:rPr>
          <w:lang w:val="en-US"/>
        </w:rPr>
        <w:instrText>json</w:instrText>
      </w:r>
      <w:r w:rsidRPr="006E3DE3">
        <w:instrText>"}</w:instrText>
      </w:r>
      <w:r>
        <w:rPr>
          <w:lang w:val="en-US"/>
        </w:rPr>
        <w:fldChar w:fldCharType="separate"/>
      </w:r>
      <w:r w:rsidRPr="00887881">
        <w:rPr>
          <w:noProof/>
        </w:rPr>
        <w:t>[</w:t>
      </w:r>
      <w:r>
        <w:rPr>
          <w:noProof/>
        </w:rPr>
        <w:t>150</w:t>
      </w:r>
      <w:r w:rsidRPr="00887881">
        <w:rPr>
          <w:noProof/>
        </w:rPr>
        <w:t>]</w:t>
      </w:r>
      <w:r>
        <w:rPr>
          <w:lang w:val="en-US"/>
        </w:rPr>
        <w:fldChar w:fldCharType="end"/>
      </w:r>
      <w:r w:rsidRPr="00E71F5D">
        <w:t xml:space="preserve">. Рекомендовано проведение профилактики </w:t>
      </w:r>
      <w:r>
        <w:t xml:space="preserve">гепатита </w:t>
      </w:r>
      <w:r w:rsidRPr="00E71F5D">
        <w:t>В у HBsAg-отрицательных пациентов</w:t>
      </w:r>
      <w:r>
        <w:rPr>
          <w:color w:val="FF0000"/>
        </w:rPr>
        <w:t xml:space="preserve"> </w:t>
      </w:r>
      <w:r w:rsidRPr="00F567F5">
        <w:rPr>
          <w:color w:val="auto"/>
        </w:rPr>
        <w:t>с лейкозом</w:t>
      </w:r>
      <w:r w:rsidRPr="00E71F5D">
        <w:t>, которым планируется пересадка костного мозга от анти-НВс-позитивных доноров: в первую очередь</w:t>
      </w:r>
      <w:r>
        <w:t xml:space="preserve"> </w:t>
      </w:r>
      <w:r w:rsidRPr="00E71F5D">
        <w:t>–</w:t>
      </w:r>
      <w:r>
        <w:t xml:space="preserve"> вакцинация;</w:t>
      </w:r>
      <w:r w:rsidRPr="00E71F5D">
        <w:t xml:space="preserve"> при </w:t>
      </w:r>
      <w:r>
        <w:t>дефиците</w:t>
      </w:r>
      <w:r w:rsidRPr="00E71F5D">
        <w:t xml:space="preserve"> времени</w:t>
      </w:r>
      <w:r>
        <w:t xml:space="preserve"> для вакцинации вследствие экстренных</w:t>
      </w:r>
      <w:r w:rsidRPr="00E71F5D">
        <w:t xml:space="preserve"> </w:t>
      </w:r>
      <w:r>
        <w:t xml:space="preserve">показаний к лечению гематологического заболевания </w:t>
      </w:r>
      <w:r w:rsidRPr="00E71F5D">
        <w:t xml:space="preserve">профилактику проводят с помощью специфического иммуноглобулина, ламивудина или их сочетания. </w:t>
      </w:r>
      <w:r>
        <w:t>При необходимости назначения терапии моноклональным антителом анти-CD20 у гематологических пациентов с положительными маркерами анти-НВс и/или анти-НВ</w:t>
      </w:r>
      <w:r>
        <w:rPr>
          <w:lang w:val="en-US"/>
        </w:rPr>
        <w:t>s</w:t>
      </w:r>
      <w:r>
        <w:t xml:space="preserve"> показан постоянный прием энтекавира 0,5 мг/сут на весь период лечения/поддерживающей терапии и не менее 1 года после завершения иммуносупрессивной терапии при неоднократных отрицательных результатах тестирования на ДНК ВГВ в крови; при развитии устойчивости к энтекавиру показан переход </w:t>
      </w:r>
      <w:r w:rsidRPr="001B6EC8">
        <w:t>на тенофовир</w:t>
      </w:r>
      <w:r>
        <w:t>.</w:t>
      </w:r>
    </w:p>
    <w:p w14:paraId="39E2E63E" w14:textId="77777777" w:rsidR="00143441" w:rsidRPr="00A2796B" w:rsidRDefault="00143441" w:rsidP="00143441">
      <w:pPr>
        <w:ind w:firstLine="699"/>
        <w:rPr>
          <w:noProof/>
        </w:rPr>
      </w:pPr>
      <w:r w:rsidRPr="00E71F5D">
        <w:t xml:space="preserve">Профилактика реактивации ВГС и терапия </w:t>
      </w:r>
      <w:r>
        <w:t>В</w:t>
      </w:r>
      <w:r w:rsidRPr="00E71F5D">
        <w:t xml:space="preserve">ГС у </w:t>
      </w:r>
      <w:r w:rsidRPr="00F567F5">
        <w:t xml:space="preserve">пациентов с лейкозом </w:t>
      </w:r>
      <w:r w:rsidRPr="00E71F5D">
        <w:t>с нарушениями иммунитета на этапах программной терапии представляется более затруднительной, чем у</w:t>
      </w:r>
      <w:r>
        <w:t xml:space="preserve"> лиц с нормальным иммунитетом</w:t>
      </w:r>
      <w:r w:rsidRPr="008262F3">
        <w:t xml:space="preserve"> </w:t>
      </w:r>
      <w:r>
        <w:fldChar w:fldCharType="begin" w:fldLock="1"/>
      </w:r>
      <w:r>
        <w:instrText>ADDIN CSL_CITATION {"citationItems":[{"id":"ITEM-1","itemData":{"DOI":"10.1038/nrclinonc.2012.1","ISSN":"17594774","PMID":"22271089","abstract":"Infections with hepatitis B virus (HBV) or hepatitis C virus (HCV) are associated with significant morbidity and mortality among patients with cancer, especially in patients with hematologic malignancies and those who undergo hematopoietic stem-cell transplantation. Reported rates of HBV reactivation in HBV carriers who undergo chemotherapy range from 14-72%. In these patients, mortality rates range from 5-52%. HCV reactivation seems to be less common than HBV reactivation and is usually associated with a good outcome and low mortality. However, once severe hepatitis develops, as a result of viral reactivation, mortality rates seem to be similar among patients infected with HBV or HCV. Liver damage owing to viral reactivation frequently leads to modifications or interruptions of chemotherapy, which can negatively affect patients' clinical outcome. Risk factors for the development of severe HBV or HCV reactivation need to be better defined to permit identification of patients who may benefit from preventive measures, early diagnosis, and therapy. In this article, we review the epidemiology, pathogenesis, risk factors, and clinical and laboratory manifestations associated with reactivation of HBV and HCV during immunosuppressive therapy. We also discuss strategies for the prevention and treatment of viral reactivation, including the management of reactivation with new antiviral agents. © 2012 Macmillan Publishers Limited. All rights reserved.","author":[{"dropping-particle":"","family":"Torres","given":"Harrys A.","non-dropping-particle":"","parse-names":false,"suffix":""},{"dropping-particle":"","family":"Davila","given":"Marta","non-dropping-particle":"","parse-names":false,"suffix":""}],"container-title":"Nature Reviews Clinical Oncology","id":"ITEM-1","issue":"3","issued":{"date-parts":[["2012","3"]]},"page":"156-166","publisher":"Nat Rev Clin Oncol","title":"Reactivation of hepatitis B virus and hepatitis C virus in patients with cancer","type":"article","volume":"9"},"uris":["http://www.mendeley.com/documents/?uuid=4b3e52b7-1df5-3438-ac0e-dece4683d1b8"]}],"mendeley":{"formattedCitation":"[150]","plainTextFormattedCitation":"[150]","previouslyFormattedCitation":"[150]"},"properties":{"noteIndex":0},"schema":"https://github.com/citation-style-language/schema/raw/master/csl-citation.json"}</w:instrText>
      </w:r>
      <w:r>
        <w:fldChar w:fldCharType="separate"/>
      </w:r>
      <w:r>
        <w:rPr>
          <w:noProof/>
        </w:rPr>
        <w:t>[151</w:t>
      </w:r>
      <w:r w:rsidRPr="00887881">
        <w:rPr>
          <w:noProof/>
        </w:rPr>
        <w:t>]</w:t>
      </w:r>
      <w:r>
        <w:fldChar w:fldCharType="end"/>
      </w:r>
      <w:r w:rsidRPr="00E71F5D">
        <w:t xml:space="preserve">. Терапия </w:t>
      </w:r>
      <w:r>
        <w:t xml:space="preserve">ВГС </w:t>
      </w:r>
      <w:r w:rsidRPr="00E71F5D">
        <w:t>с применением новых препаратов прямого противовирусного действия на основе ингибиторов ферментов ВГС — NS3 и NS5B, а также блокаторов белка NS5A, позволяет достигнуть хороших результатов лечения у большинства пациентов</w:t>
      </w:r>
      <w:r w:rsidRPr="00B25E91">
        <w:t xml:space="preserve"> </w:t>
      </w:r>
      <w:r>
        <w:fldChar w:fldCharType="begin" w:fldLock="1"/>
      </w:r>
      <w:r>
        <w:instrText>ADDIN CSL_CITATION {"citationItems":[{"id":"ITEM-1","itemData":{"DOI":"10.1055/s-0034-1371006","ISSN":"10988971","PMID":"24782254","abstract":"Presently, interferon- (IFN-) containing treatment regimens are the standard of care for patients with hepatitis C virus (HCV) infections. Although this therapy eliminates the virus in a substantial proportion of patients, it has numerous side effects and contraindications. Recent approval of telaprevir and boceprevir, targeting the protease residing in nonstructural protein 3 (NS3) of the HCV genome, increased therapy success when given in combination with pegylated IFN and ribavirin, but side effects are more frequent and the management of treatment is complex. This situation will change soon with the introduction of new highly potent direct-acting antivirals. They target, in addition to the NS3 protease, NS5A, which is required for RNA replication and virion assembly and the NS5B RNA-dependent RNA polymerase. Moreover, host-cell factors such as cyclophilin A or microRNA-122, essential for HCV replication, have been pursued as therapeutic targets. In this review, the authors briefly summarize the main features of viral and cellular factors involved in HCV replication that are utilized as therapy targets for chronic hepatitis C. © 2014 by Thieme Medical Publishers, Inc.","author":[{"dropping-particle":"","family":"Rupp","given":"Daniel","non-dropping-particle":"","parse-names":false,"suffix":""},{"dropping-particle":"","family":"Bartenschlager","given":"Ralf","non-dropping-particle":"","parse-names":false,"suffix":""}],"container-title":"Seminars in Liver Disease","id":"ITEM-1","issue":"1","issued":{"date-parts":[["2014"]]},"page":"9-21","publisher":"Thieme Medical Publishers, Inc.","title":"Targets for antiviral therapy of hepatitis C","type":"article-journal","volume":"34"},"uris":["http://www.mendeley.com/documents/?uuid=545bae31-4382-32cf-83f6-b0514fa0fa7d"]}],"mendeley":{"formattedCitation":"[151]","plainTextFormattedCitation":"[151]","previouslyFormattedCitation":"[151]"},"properties":{"noteIndex":0},"schema":"https://github.com/citation-style-language/schema/raw/master/csl-citation.json"}</w:instrText>
      </w:r>
      <w:r>
        <w:fldChar w:fldCharType="separate"/>
      </w:r>
      <w:r>
        <w:rPr>
          <w:noProof/>
        </w:rPr>
        <w:t>[152</w:t>
      </w:r>
      <w:r w:rsidRPr="00887881">
        <w:rPr>
          <w:noProof/>
        </w:rPr>
        <w:t>]</w:t>
      </w:r>
      <w:r>
        <w:fldChar w:fldCharType="end"/>
      </w:r>
      <w:r w:rsidRPr="00E71F5D">
        <w:t xml:space="preserve">. </w:t>
      </w:r>
      <w:r w:rsidRPr="00A2796B">
        <w:t xml:space="preserve">ВОЗ рекомендует использовать </w:t>
      </w:r>
      <w:r w:rsidRPr="00A2796B">
        <w:rPr>
          <w:bCs/>
        </w:rPr>
        <w:t>пангенотипные</w:t>
      </w:r>
      <w:r w:rsidRPr="00A2796B">
        <w:t xml:space="preserve"> комбинации </w:t>
      </w:r>
      <w:r>
        <w:t>противовирусных препаратов прямого действия</w:t>
      </w:r>
      <w:r w:rsidRPr="00A2796B">
        <w:rPr>
          <w:bCs/>
        </w:rPr>
        <w:t xml:space="preserve">: </w:t>
      </w:r>
    </w:p>
    <w:p w14:paraId="50A799DC" w14:textId="77777777" w:rsidR="00143441" w:rsidRPr="00A2796B" w:rsidRDefault="00143441" w:rsidP="00461889">
      <w:pPr>
        <w:widowControl/>
        <w:numPr>
          <w:ilvl w:val="0"/>
          <w:numId w:val="273"/>
        </w:numPr>
      </w:pPr>
      <w:r w:rsidRPr="00A2796B">
        <w:lastRenderedPageBreak/>
        <w:t xml:space="preserve">софосбувир/велпатасвир, 12 недель, </w:t>
      </w:r>
    </w:p>
    <w:p w14:paraId="48C675BF" w14:textId="77777777" w:rsidR="00143441" w:rsidRPr="00A2796B" w:rsidRDefault="00143441" w:rsidP="00461889">
      <w:pPr>
        <w:widowControl/>
        <w:numPr>
          <w:ilvl w:val="0"/>
          <w:numId w:val="273"/>
        </w:numPr>
      </w:pPr>
      <w:r w:rsidRPr="00A2796B">
        <w:rPr>
          <w:lang w:val="en-US"/>
        </w:rPr>
        <w:t>c</w:t>
      </w:r>
      <w:r w:rsidRPr="00A2796B">
        <w:t xml:space="preserve">офосбувир/даклатасвир, 12 недель, </w:t>
      </w:r>
    </w:p>
    <w:p w14:paraId="009FFEA7" w14:textId="77777777" w:rsidR="00143441" w:rsidRPr="00A2796B" w:rsidRDefault="00143441" w:rsidP="00461889">
      <w:pPr>
        <w:widowControl/>
        <w:numPr>
          <w:ilvl w:val="0"/>
          <w:numId w:val="273"/>
        </w:numPr>
      </w:pPr>
      <w:r w:rsidRPr="00A2796B">
        <w:t xml:space="preserve">глекапревир/пибрентасвир, 8 – 16 недель. </w:t>
      </w:r>
    </w:p>
    <w:p w14:paraId="14F8ED1D" w14:textId="77777777" w:rsidR="00143441" w:rsidRDefault="00143441" w:rsidP="00143441">
      <w:pPr>
        <w:rPr>
          <w:b/>
          <w:szCs w:val="28"/>
        </w:rPr>
      </w:pPr>
    </w:p>
    <w:p w14:paraId="2CAD3DF7" w14:textId="77777777" w:rsidR="00143441" w:rsidRPr="00D20B00" w:rsidRDefault="00143441" w:rsidP="00143441">
      <w:pPr>
        <w:rPr>
          <w:bCs/>
          <w:i/>
          <w:iCs/>
          <w:sz w:val="22"/>
          <w:u w:val="single"/>
        </w:rPr>
      </w:pPr>
      <w:r w:rsidRPr="00D20B00">
        <w:rPr>
          <w:bCs/>
          <w:i/>
          <w:iCs/>
          <w:szCs w:val="28"/>
          <w:u w:val="single"/>
        </w:rPr>
        <w:t>Алгоритм действий врача</w:t>
      </w:r>
    </w:p>
    <w:p w14:paraId="0D2EF633" w14:textId="77777777" w:rsidR="00143441" w:rsidRDefault="00143441" w:rsidP="00143441">
      <w:pPr>
        <w:ind w:firstLine="709"/>
        <w:rPr>
          <w:szCs w:val="28"/>
        </w:rPr>
      </w:pPr>
      <w:r>
        <w:rPr>
          <w:noProof/>
        </w:rPr>
        <w:t xml:space="preserve">Врач-гематолог назначает лабораторное обследование на наличие маркеров гемотрансмиссивных инфекций согласно выше приведенному </w:t>
      </w:r>
      <w:r w:rsidRPr="00700883">
        <w:rPr>
          <w:noProof/>
        </w:rPr>
        <w:t>«</w:t>
      </w:r>
      <w:r w:rsidRPr="00700883">
        <w:rPr>
          <w:szCs w:val="28"/>
        </w:rPr>
        <w:t>Протоколу обследования образцов крови пациентов на инфекционные маркеры».</w:t>
      </w:r>
    </w:p>
    <w:p w14:paraId="5DA7CCF8" w14:textId="77777777" w:rsidR="00143441" w:rsidRDefault="00143441" w:rsidP="00143441">
      <w:pPr>
        <w:ind w:firstLine="709"/>
        <w:rPr>
          <w:noProof/>
        </w:rPr>
      </w:pPr>
      <w:r>
        <w:rPr>
          <w:szCs w:val="28"/>
        </w:rPr>
        <w:t xml:space="preserve">В случае выявления </w:t>
      </w:r>
      <w:r>
        <w:rPr>
          <w:noProof/>
        </w:rPr>
        <w:t>маркеров гемотрансмиссивных инфекций пациента напрвляют на консультацию к врачу-инфекцианисту.</w:t>
      </w:r>
    </w:p>
    <w:p w14:paraId="06EDF830" w14:textId="6D93419E" w:rsidR="00143441" w:rsidRPr="002C135E" w:rsidRDefault="00143441" w:rsidP="00143441">
      <w:pPr>
        <w:pStyle w:val="2"/>
      </w:pPr>
      <w:bookmarkStart w:id="199" w:name="_Toc64624798"/>
      <w:r>
        <w:t xml:space="preserve">7.14 </w:t>
      </w:r>
      <w:r w:rsidRPr="0055394F">
        <w:t xml:space="preserve"> </w:t>
      </w:r>
      <w:r w:rsidRPr="0055394F">
        <w:rPr>
          <w:color w:val="000000"/>
          <w:shd w:val="clear" w:color="auto" w:fill="FFFFFF"/>
        </w:rPr>
        <w:t xml:space="preserve">Диагностика </w:t>
      </w:r>
      <w:r w:rsidRPr="002C135E">
        <w:rPr>
          <w:color w:val="000000"/>
          <w:shd w:val="clear" w:color="auto" w:fill="FFFFFF"/>
        </w:rPr>
        <w:t>и лечение</w:t>
      </w:r>
      <w:r w:rsidRPr="0055394F">
        <w:rPr>
          <w:color w:val="000000"/>
          <w:shd w:val="clear" w:color="auto" w:fill="FFFFFF"/>
        </w:rPr>
        <w:t xml:space="preserve"> болевого синдрома</w:t>
      </w:r>
      <w:bookmarkEnd w:id="199"/>
      <w:r>
        <w:rPr>
          <w:color w:val="000000"/>
          <w:shd w:val="clear" w:color="auto" w:fill="FFFFFF"/>
        </w:rPr>
        <w:t xml:space="preserve"> у пациентов с лейкозом</w:t>
      </w:r>
    </w:p>
    <w:p w14:paraId="725707B3" w14:textId="77777777" w:rsidR="00143441" w:rsidRPr="00AF2453" w:rsidRDefault="00143441" w:rsidP="00143441">
      <w:pPr>
        <w:ind w:firstLine="709"/>
        <w:jc w:val="center"/>
      </w:pPr>
    </w:p>
    <w:p w14:paraId="0FCF5C0F" w14:textId="77777777" w:rsidR="00143441" w:rsidRPr="00AF2453" w:rsidRDefault="00143441" w:rsidP="00143441">
      <w:pPr>
        <w:pStyle w:val="afff3"/>
        <w:ind w:left="0" w:firstLine="709"/>
      </w:pPr>
      <w:r w:rsidRPr="00AF2453">
        <w:t xml:space="preserve">Международная организация по изучению боли </w:t>
      </w:r>
      <w:r w:rsidRPr="00AF2453">
        <w:rPr>
          <w:lang w:val="en-US"/>
        </w:rPr>
        <w:t>IASP</w:t>
      </w:r>
      <w:r w:rsidRPr="00AF2453">
        <w:t xml:space="preserve"> определяет боль как неприятное сенсорное или эмоциональное переживание, связанное с фактическим или потенциальным повреждением тканей, или описываемое в терминах такого повреждения</w:t>
      </w:r>
      <w:r w:rsidRPr="00F0021F">
        <w:t xml:space="preserve"> </w:t>
      </w:r>
      <w:r>
        <w:fldChar w:fldCharType="begin" w:fldLock="1"/>
      </w:r>
      <w:r>
        <w:instrText>ADDIN CSL_CITATION {"citationItems":[{"id":"ITEM-1","itemData":{"author":[{"dropping-particle":"","family":"Абузарова","given":"Г.Р.","non-dropping-particle":"","parse-names":false,"suffix":""}],"container-title":"Российские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Савченко.","id":"ITEM-1","issued":{"date-parts":[["2018"]]},"page":"278-288","title":"Лечение болевого синдрома у онкологических больных","type":"chapter"},"uris":["http://www.mendeley.com/documents/?uuid=3021caae-334d-4ac5-97a6-7ea5587353dc"]},{"id":"ITEM-2","itemData":{"author":[{"dropping-particle":"","family":"Абузарова","given":"Г.Р.","non-dropping-particle":"","parse-names":false,"suffix":""},{"dropping-particle":"","family":"Невзорова","given":"Д.В.","non-dropping-particle":"","parse-names":false,"suffix":""},{"dropping-particle":"","family":"Кумирова","given":"Э.В.","non-dropping-particle":"","parse-names":false,"suffix":""},{"dropping-particle":"","family":"Савва","given":"Н.Н.","non-dropping-particle":"","parse-names":false,"suffix":""},{"dropping-particle":"","family":"Арутюнов","given":"Г.П.","non-dropping-particle":"","parse-names":false,"suffix":""},{"dropping-particle":"","family":"Багненко","given":"С.Ф.","non-dropping-particle":"","parse-names":false,"suffix":""},{"dropping-particle":"","family":"Данилов","given":"А.Б.","non-dropping-particle":"","parse-names":false,"suffix":""},{"dropping-particle":"","family":"Данилов","given":"А.Б.","non-dropping-particle":"","parse-names":false,"suffix":""},{"dropping-particle":"","family":"Куняева","given":"Т.А.","non-dropping-particle":"","parse-names":false,"suffix":""},{"dropping-particle":"","family":"Николаева","given":"Н.М.","non-dropping-particle":"","parse-names":false,"suffix":""},{"dropping-particle":"","family":"Молчанов","given":"И.В.","non-dropping-particle":"","parse-names":false,"suffix":""},{"dropping-particle":"","family":"Падалкин","given":"В.П.","non-dropping-particle":"","parse-names":false,"suffix":""},{"dropping-particle":"","family":"Поляков","given":"В.Г.","non-dropping-particle":"","parse-names":false,"suffix":""},{"dropping-particle":"","family":"Пчелинцев","given":"М.В.","non-dropping-particle":"","parse-names":false,"suffix":""},{"dropping-particle":"","family":"Степаненко","given":"С.М.","non-dropping-particle":"","parse-names":false,"suffix":""}],"id":"ITEM-2","issued":{"date-parts":[["2016"]]},"number-of-pages":"94","publisher":"ФГБОУ ВО РНИМУ им. Н.И. Пирогова Минздрава России.","title":"Обезболивание взрослых и детей при оказании медицинской помощи. Методические рекомендации.","type":"book"},"uris":["http://www.mendeley.com/documents/?uuid=b9ffed91-f776-4e2f-87c8-ff7901014151"]},{"id":"ITEM-3","itemData":{"author":[{"dropping-particle":"","family":"Когония","given":"Л.М.","non-dropping-particle":"","parse-names":false,"suffix":""},{"dropping-particle":"","family":"Волошин","given":"А.Г.","non-dropping-particle":"","parse-names":false,"suffix":""},{"dropping-particle":"","family":"Новиков","given":"Г.А.","non-dropping-particle":"","parse-names":false,"suffix":""},{"dropping-particle":"","family":"Сидоров","given":"А.В.","non-dropping-particle":"","parse-names":false,"suffix":""}],"container-title":"Злокачественные опухоли: Практические рекомендации RUSSCO","id":"ITEM-3","issued":{"date-parts":[["2018"]]},"page":"617-635","title":"Практические рекомендации по лечению хронического болевого синдрома у онкологических больных.","type":"chapter"},"uris":["http://www.mendeley.com/documents/?uuid=2f2e1206-26f9-42c4-9676-2613564eead6"]},{"id":"ITEM-4","itemData":{"DOI":"10.1093/annonc/mdy152","ISSN":"1569-8041","PMID":"30052758","author":[{"dropping-particle":"","family":"Fallon","given":"M","non-dropping-particle":"","parse-names":false,"suffix":""},{"dropping-particle":"","family":"Giusti","given":"R","non-dropping-particle":"","parse-names":false,"suffix":""},{"dropping-particle":"","family":"Aielli","given":"F","non-dropping-particle":"","parse-names":false,"suffix":""},{"dropping-particle":"","family":"Hoskin","given":"P","non-dropping-particle":"","parse-names":false,"suffix":""},{"dropping-particle":"","family":"Rolke","given":"R","non-dropping-particle":"","parse-names":false,"suffix":""},{"dropping-particle":"","family":"Sharma","given":"M","non-dropping-particle":"","parse-names":false,"suffix":""},{"dropping-particle":"","family":"Ripamonti","given":"C I","non-dropping-particle":"","parse-names":false,"suffix":""},{"dropping-particle":"","family":"ESMO Guidelines Committee","given":"","non-dropping-particle":"","parse-names":false,"suffix":""}],"container-title":"Annals of oncology : official journal of the European Society for Medical Oncology","id":"ITEM-4","issue":"Suppl 4","issued":{"date-parts":[["2018"]]},"page":"iv166-iv191","title":"Management of cancer pain in adult patients: ESMO Clinical Practice Guidelines.","type":"article-journal","volume":"29"},"uris":["http://www.mendeley.com/documents/?uuid=de2cca97-c9ee-3e03-bc1e-7a13a50fcf50"]}],"mendeley":{"formattedCitation":"[100,152–154]","plainTextFormattedCitation":"[100,152–154]","previouslyFormattedCitation":"[100,152–154]"},"properties":{"noteIndex":0},"schema":"https://github.com/citation-style-language/schema/raw/master/csl-citation.json"}</w:instrText>
      </w:r>
      <w:r>
        <w:fldChar w:fldCharType="separate"/>
      </w:r>
      <w:r>
        <w:rPr>
          <w:noProof/>
        </w:rPr>
        <w:t>[100,153–155</w:t>
      </w:r>
      <w:r w:rsidRPr="00BF3043">
        <w:rPr>
          <w:noProof/>
        </w:rPr>
        <w:t>]</w:t>
      </w:r>
      <w:r>
        <w:fldChar w:fldCharType="end"/>
      </w:r>
      <w:r w:rsidRPr="00AF2453">
        <w:t xml:space="preserve">. Боль зачастую вызывает серьезные страдания, оказывает значительное влияние на качество жизни пациента и его семьи. </w:t>
      </w:r>
      <w:r w:rsidRPr="00AF2453">
        <w:rPr>
          <w:color w:val="000000"/>
        </w:rPr>
        <w:t>Боль у гематологических пациентов достаточно распространена: может являться как проявлением самого тяжелого недуга, так и осложнением лечения</w:t>
      </w:r>
      <w:r w:rsidRPr="00AF2453">
        <w:t>. Для эффективной терапии боли необходимо определение ее причины, интенсивности, вида.</w:t>
      </w:r>
    </w:p>
    <w:p w14:paraId="210B7302" w14:textId="77777777" w:rsidR="00143441" w:rsidRPr="00AF2453" w:rsidRDefault="00143441" w:rsidP="00143441">
      <w:pPr>
        <w:pStyle w:val="afff3"/>
        <w:ind w:left="0" w:firstLine="709"/>
        <w:rPr>
          <w:b/>
        </w:rPr>
      </w:pPr>
    </w:p>
    <w:p w14:paraId="4F47D91C" w14:textId="77777777" w:rsidR="00143441" w:rsidRPr="00AF2453" w:rsidRDefault="00143441" w:rsidP="00143441">
      <w:pPr>
        <w:ind w:firstLine="709"/>
      </w:pPr>
      <w:r w:rsidRPr="00AF2453">
        <w:rPr>
          <w:b/>
        </w:rPr>
        <w:t>Основные причины болевого синдрома у пациентов</w:t>
      </w:r>
      <w:r w:rsidRPr="003756EB">
        <w:rPr>
          <w:b/>
        </w:rPr>
        <w:t xml:space="preserve"> </w:t>
      </w:r>
      <w:r>
        <w:rPr>
          <w:b/>
        </w:rPr>
        <w:t xml:space="preserve">с лейкозом </w:t>
      </w:r>
      <w:r>
        <w:fldChar w:fldCharType="begin" w:fldLock="1"/>
      </w:r>
      <w:r>
        <w:instrText>ADDIN CSL_CITATION {"citationItems":[{"id":"ITEM-1","itemData":{"author":[{"dropping-particle":"","family":"Абузарова","given":"Г.Р.","non-dropping-particle":"","parse-names":false,"suffix":""}],"container-title":"Российские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Савченко.","id":"ITEM-1","issued":{"date-parts":[["2018"]]},"page":"278-288","title":"Лечение болевого синдрома у онкологических больных","type":"chapter"},"uris":["http://www.mendeley.com/documents/?uuid=3021caae-334d-4ac5-97a6-7ea5587353dc"]},{"id":"ITEM-2","itemData":{"author":[{"dropping-particle":"","family":"Абузарова","given":"Г.Р.","non-dropping-particle":"","parse-names":false,"suffix":""},{"dropping-particle":"","family":"Невзорова","given":"Д.В.","non-dropping-particle":"","parse-names":false,"suffix":""},{"dropping-particle":"","family":"Кумирова","given":"Э.В.","non-dropping-particle":"","parse-names":false,"suffix":""},{"dropping-particle":"","family":"Савва","given":"Н.Н.","non-dropping-particle":"","parse-names":false,"suffix":""},{"dropping-particle":"","family":"Арутюнов","given":"Г.П.","non-dropping-particle":"","parse-names":false,"suffix":""},{"dropping-particle":"","family":"Багненко","given":"С.Ф.","non-dropping-particle":"","parse-names":false,"suffix":""},{"dropping-particle":"","family":"Данилов","given":"А.Б.","non-dropping-particle":"","parse-names":false,"suffix":""},{"dropping-particle":"","family":"Данилов","given":"А.Б.","non-dropping-particle":"","parse-names":false,"suffix":""},{"dropping-particle":"","family":"Куняева","given":"Т.А.","non-dropping-particle":"","parse-names":false,"suffix":""},{"dropping-particle":"","family":"Николаева","given":"Н.М.","non-dropping-particle":"","parse-names":false,"suffix":""},{"dropping-particle":"","family":"Молчанов","given":"И.В.","non-dropping-particle":"","parse-names":false,"suffix":""},{"dropping-particle":"","family":"Падалкин","given":"В.П.","non-dropping-particle":"","parse-names":false,"suffix":""},{"dropping-particle":"","family":"Поляков","given":"В.Г.","non-dropping-particle":"","parse-names":false,"suffix":""},{"dropping-particle":"","family":"Пчелинцев","given":"М.В.","non-dropping-particle":"","parse-names":false,"suffix":""},{"dropping-particle":"","family":"Степаненко","given":"С.М.","non-dropping-particle":"","parse-names":false,"suffix":""}],"id":"ITEM-2","issued":{"date-parts":[["2016"]]},"number-of-pages":"94","publisher":"ФГБОУ ВО РНИМУ им. Н.И. Пирогова Минздрава России.","title":"Обезболивание взрослых и детей при оказании медицинской помощи. Методические рекомендации.","type":"book"},"uris":["http://www.mendeley.com/documents/?uuid=b9ffed91-f776-4e2f-87c8-ff7901014151"]},{"id":"ITEM-3","itemData":{"author":[{"dropping-particle":"","family":"Когония","given":"Л.М.","non-dropping-particle":"","parse-names":false,"suffix":""},{"dropping-particle":"","family":"Волошин","given":"А.Г.","non-dropping-particle":"","parse-names":false,"suffix":""},{"dropping-particle":"","family":"Новиков","given":"Г.А.","non-dropping-particle":"","parse-names":false,"suffix":""},{"dropping-particle":"","family":"Сидоров","given":"А.В.","non-dropping-particle":"","parse-names":false,"suffix":""}],"container-title":"Злокачественные опухоли: Практические рекомендации RUSSCO","id":"ITEM-3","issued":{"date-parts":[["2018"]]},"page":"617-635","title":"Практические рекомендации по лечению хронического болевого синдрома у онкологических больных.","type":"chapter"},"uris":["http://www.mendeley.com/documents/?uuid=2f2e1206-26f9-42c4-9676-2613564eead6"]},{"id":"ITEM-4","itemData":{"DOI":"10.1093/annonc/mdy152","ISSN":"1569-8041","PMID":"30052758","author":[{"dropping-particle":"","family":"Fallon","given":"M","non-dropping-particle":"","parse-names":false,"suffix":""},{"dropping-particle":"","family":"Giusti","given":"R","non-dropping-particle":"","parse-names":false,"suffix":""},{"dropping-particle":"","family":"Aielli","given":"F","non-dropping-particle":"","parse-names":false,"suffix":""},{"dropping-particle":"","family":"Hoskin","given":"P","non-dropping-particle":"","parse-names":false,"suffix":""},{"dropping-particle":"","family":"Rolke","given":"R","non-dropping-particle":"","parse-names":false,"suffix":""},{"dropping-particle":"","family":"Sharma","given":"M","non-dropping-particle":"","parse-names":false,"suffix":""},{"dropping-particle":"","family":"Ripamonti","given":"C I","non-dropping-particle":"","parse-names":false,"suffix":""},{"dropping-particle":"","family":"ESMO Guidelines Committee","given":"","non-dropping-particle":"","parse-names":false,"suffix":""}],"container-title":"Annals of oncology : official journal of the European Society for Medical Oncology","id":"ITEM-4","issue":"Suppl 4","issued":{"date-parts":[["2018"]]},"page":"iv166-iv191","title":"Management of cancer pain in adult patients: ESMO Clinical Practice Guidelines.","type":"article-journal","volume":"29"},"uris":["http://www.mendeley.com/documents/?uuid=de2cca97-c9ee-3e03-bc1e-7a13a50fcf50"]}],"mendeley":{"formattedCitation":"[100,152–154]","plainTextFormattedCitation":"[100,152–154]","previouslyFormattedCitation":"[100,152–154]"},"properties":{"noteIndex":0},"schema":"https://github.com/citation-style-language/schema/raw/master/csl-citation.json"}</w:instrText>
      </w:r>
      <w:r>
        <w:fldChar w:fldCharType="separate"/>
      </w:r>
      <w:r>
        <w:rPr>
          <w:noProof/>
        </w:rPr>
        <w:t>[100,153–155</w:t>
      </w:r>
      <w:r w:rsidRPr="00BF3043">
        <w:rPr>
          <w:noProof/>
        </w:rPr>
        <w:t>]</w:t>
      </w:r>
      <w:r>
        <w:fldChar w:fldCharType="end"/>
      </w:r>
      <w:r w:rsidRPr="00AF2453">
        <w:t>:</w:t>
      </w:r>
    </w:p>
    <w:p w14:paraId="1260E8A8" w14:textId="77777777" w:rsidR="00143441" w:rsidRPr="00AF2453" w:rsidRDefault="00143441" w:rsidP="00461889">
      <w:pPr>
        <w:pStyle w:val="afff3"/>
        <w:numPr>
          <w:ilvl w:val="0"/>
          <w:numId w:val="279"/>
        </w:numPr>
      </w:pPr>
      <w:r w:rsidRPr="00AF2453">
        <w:t xml:space="preserve">Боль вследствие проявлений / осложнений </w:t>
      </w:r>
      <w:r>
        <w:t>лейкоза</w:t>
      </w:r>
      <w:r w:rsidRPr="00AF2453">
        <w:t xml:space="preserve"> (сдавление опухолью, деструкция кости, отек, воспаление, некроз, изъязвление, инфекция, тромбоз, асептический некроз и т.п.).</w:t>
      </w:r>
    </w:p>
    <w:p w14:paraId="2ACA3492" w14:textId="77777777" w:rsidR="00143441" w:rsidRDefault="00143441" w:rsidP="00461889">
      <w:pPr>
        <w:pStyle w:val="afff3"/>
        <w:numPr>
          <w:ilvl w:val="0"/>
          <w:numId w:val="279"/>
        </w:numPr>
      </w:pPr>
      <w:r w:rsidRPr="00AF2453">
        <w:t xml:space="preserve">Боль вследствие осложнений лечения </w:t>
      </w:r>
      <w:r>
        <w:t>лейкоза</w:t>
      </w:r>
      <w:r w:rsidRPr="00AF2453">
        <w:t xml:space="preserve">:  </w:t>
      </w:r>
    </w:p>
    <w:p w14:paraId="2A4FA014" w14:textId="77777777" w:rsidR="00143441" w:rsidRDefault="00143441" w:rsidP="00461889">
      <w:pPr>
        <w:pStyle w:val="afff3"/>
        <w:numPr>
          <w:ilvl w:val="1"/>
          <w:numId w:val="279"/>
        </w:numPr>
      </w:pPr>
      <w:r w:rsidRPr="00AF2453">
        <w:t>хирургическое лечение (послеоперационная рана, фантомная боль, спайки, рубцы, отёки);</w:t>
      </w:r>
    </w:p>
    <w:p w14:paraId="4BBCED57" w14:textId="77777777" w:rsidR="00143441" w:rsidRDefault="00143441" w:rsidP="00461889">
      <w:pPr>
        <w:pStyle w:val="afff3"/>
        <w:numPr>
          <w:ilvl w:val="1"/>
          <w:numId w:val="279"/>
        </w:numPr>
      </w:pPr>
      <w:r w:rsidRPr="00AF2453">
        <w:t>химиотерапия  (мукозит, полинейропатия, миалгия, асептический некроз, артралгия и др.);</w:t>
      </w:r>
    </w:p>
    <w:p w14:paraId="29EA06C9" w14:textId="77777777" w:rsidR="00143441" w:rsidRDefault="00143441" w:rsidP="00461889">
      <w:pPr>
        <w:pStyle w:val="afff3"/>
        <w:numPr>
          <w:ilvl w:val="1"/>
          <w:numId w:val="279"/>
        </w:numPr>
      </w:pPr>
      <w:r w:rsidRPr="00AF2453">
        <w:t>введение гранулоцитарного колониестимулирующего фактора (Г-КСФ)</w:t>
      </w:r>
    </w:p>
    <w:p w14:paraId="1213213E" w14:textId="77777777" w:rsidR="00143441" w:rsidRPr="00AF2453" w:rsidRDefault="00143441" w:rsidP="00461889">
      <w:pPr>
        <w:pStyle w:val="afff3"/>
        <w:numPr>
          <w:ilvl w:val="1"/>
          <w:numId w:val="279"/>
        </w:numPr>
      </w:pPr>
      <w:r w:rsidRPr="00AF2453">
        <w:t>лучевая терапия (лучевые/радиационные: дерматит, мукозит, некроз, фиброз, неврит, плексит, миелопатия и др.).</w:t>
      </w:r>
    </w:p>
    <w:p w14:paraId="02EF014C" w14:textId="77777777" w:rsidR="00143441" w:rsidRPr="00AF2453" w:rsidRDefault="00143441" w:rsidP="00461889">
      <w:pPr>
        <w:pStyle w:val="afff3"/>
        <w:numPr>
          <w:ilvl w:val="0"/>
          <w:numId w:val="279"/>
        </w:numPr>
      </w:pPr>
      <w:r w:rsidRPr="00AF2453">
        <w:t>Боль как проявление паранеопластического синдрома (артро-, нейро, миопатии).</w:t>
      </w:r>
    </w:p>
    <w:p w14:paraId="261175CF" w14:textId="77777777" w:rsidR="00143441" w:rsidRPr="00AF2453" w:rsidRDefault="00143441" w:rsidP="00461889">
      <w:pPr>
        <w:pStyle w:val="afff3"/>
        <w:numPr>
          <w:ilvl w:val="0"/>
          <w:numId w:val="279"/>
        </w:numPr>
      </w:pPr>
      <w:r w:rsidRPr="00AF2453">
        <w:lastRenderedPageBreak/>
        <w:t>Боль вследствие иммобилизации пациента (пролежни, контрактуры, трофические язвы, запор).</w:t>
      </w:r>
    </w:p>
    <w:p w14:paraId="06E15EB2" w14:textId="77777777" w:rsidR="00143441" w:rsidRDefault="00143441" w:rsidP="00143441">
      <w:pPr>
        <w:ind w:left="709"/>
        <w:rPr>
          <w:b/>
        </w:rPr>
      </w:pPr>
    </w:p>
    <w:p w14:paraId="0EFA8AA4" w14:textId="77777777" w:rsidR="00143441" w:rsidRPr="00C13E67" w:rsidRDefault="00143441" w:rsidP="00143441">
      <w:pPr>
        <w:ind w:left="709"/>
        <w:rPr>
          <w:b/>
        </w:rPr>
      </w:pPr>
      <w:r w:rsidRPr="001F1E91">
        <w:rPr>
          <w:b/>
        </w:rPr>
        <w:t>Диагностика боли</w:t>
      </w:r>
      <w:r w:rsidRPr="00E62D8C">
        <w:rPr>
          <w:b/>
        </w:rPr>
        <w:t xml:space="preserve"> </w:t>
      </w:r>
      <w:r>
        <w:fldChar w:fldCharType="begin" w:fldLock="1"/>
      </w:r>
      <w:r>
        <w:instrText>ADDIN CSL_CITATION {"citationItems":[{"id":"ITEM-1","itemData":{"author":[{"dropping-particle":"","family":"Абузарова","given":"Г.Р.","non-dropping-particle":"","parse-names":false,"suffix":""}],"container-title":"Российские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Савченко.","id":"ITEM-1","issued":{"date-parts":[["2018"]]},"page":"278-288","title":"Лечение болевого синдрома у онкологических больных","type":"chapter"},"uris":["http://www.mendeley.com/documents/?uuid=3021caae-334d-4ac5-97a6-7ea5587353dc"]},{"id":"ITEM-2","itemData":{"author":[{"dropping-particle":"","family":"Абузарова","given":"Г.Р.","non-dropping-particle":"","parse-names":false,"suffix":""},{"dropping-particle":"","family":"Невзорова","given":"Д.В.","non-dropping-particle":"","parse-names":false,"suffix":""},{"dropping-particle":"","family":"Кумирова","given":"Э.В.","non-dropping-particle":"","parse-names":false,"suffix":""},{"dropping-particle":"","family":"Савва","given":"Н.Н.","non-dropping-particle":"","parse-names":false,"suffix":""},{"dropping-particle":"","family":"Арутюнов","given":"Г.П.","non-dropping-particle":"","parse-names":false,"suffix":""},{"dropping-particle":"","family":"Багненко","given":"С.Ф.","non-dropping-particle":"","parse-names":false,"suffix":""},{"dropping-particle":"","family":"Данилов","given":"А.Б.","non-dropping-particle":"","parse-names":false,"suffix":""},{"dropping-particle":"","family":"Данилов","given":"А.Б.","non-dropping-particle":"","parse-names":false,"suffix":""},{"dropping-particle":"","family":"Куняева","given":"Т.А.","non-dropping-particle":"","parse-names":false,"suffix":""},{"dropping-particle":"","family":"Николаева","given":"Н.М.","non-dropping-particle":"","parse-names":false,"suffix":""},{"dropping-particle":"","family":"Молчанов","given":"И.В.","non-dropping-particle":"","parse-names":false,"suffix":""},{"dropping-particle":"","family":"Падалкин","given":"В.П.","non-dropping-particle":"","parse-names":false,"suffix":""},{"dropping-particle":"","family":"Поляков","given":"В.Г.","non-dropping-particle":"","parse-names":false,"suffix":""},{"dropping-particle":"","family":"Пчелинцев","given":"М.В.","non-dropping-particle":"","parse-names":false,"suffix":""},{"dropping-particle":"","family":"Степаненко","given":"С.М.","non-dropping-particle":"","parse-names":false,"suffix":""}],"id":"ITEM-2","issued":{"date-parts":[["2016"]]},"number-of-pages":"94","publisher":"ФГБОУ ВО РНИМУ им. Н.И. Пирогова Минздрава России.","title":"Обезболивание взрослых и детей при оказании медицинской помощи. Методические рекомендации.","type":"book"},"uris":["http://www.mendeley.com/documents/?uuid=b9ffed91-f776-4e2f-87c8-ff7901014151"]},{"id":"ITEM-3","itemData":{"author":[{"dropping-particle":"","family":"Когония","given":"Л.М.","non-dropping-particle":"","parse-names":false,"suffix":""},{"dropping-particle":"","family":"Волошин","given":"А.Г.","non-dropping-particle":"","parse-names":false,"suffix":""},{"dropping-particle":"","family":"Новиков","given":"Г.А.","non-dropping-particle":"","parse-names":false,"suffix":""},{"dropping-particle":"","family":"Сидоров","given":"А.В.","non-dropping-particle":"","parse-names":false,"suffix":""}],"container-title":"Злокачественные опухоли: Практические рекомендации RUSSCO","id":"ITEM-3","issued":{"date-parts":[["2018"]]},"page":"617-635","title":"Практические рекомендации по лечению хронического болевого синдрома у онкологических больных.","type":"chapter"},"uris":["http://www.mendeley.com/documents/?uuid=2f2e1206-26f9-42c4-9676-2613564eead6"]},{"id":"ITEM-4","itemData":{"DOI":"10.1093/annonc/mdy152","ISSN":"1569-8041","PMID":"30052758","author":[{"dropping-particle":"","family":"Fallon","given":"M","non-dropping-particle":"","parse-names":false,"suffix":""},{"dropping-particle":"","family":"Giusti","given":"R","non-dropping-particle":"","parse-names":false,"suffix":""},{"dropping-particle":"","family":"Aielli","given":"F","non-dropping-particle":"","parse-names":false,"suffix":""},{"dropping-particle":"","family":"Hoskin","given":"P","non-dropping-particle":"","parse-names":false,"suffix":""},{"dropping-particle":"","family":"Rolke","given":"R","non-dropping-particle":"","parse-names":false,"suffix":""},{"dropping-particle":"","family":"Sharma","given":"M","non-dropping-particle":"","parse-names":false,"suffix":""},{"dropping-particle":"","family":"Ripamonti","given":"C I","non-dropping-particle":"","parse-names":false,"suffix":""},{"dropping-particle":"","family":"ESMO Guidelines Committee","given":"","non-dropping-particle":"","parse-names":false,"suffix":""}],"container-title":"Annals of oncology : official journal of the European Society for Medical Oncology","id":"ITEM-4","issue":"Suppl 4","issued":{"date-parts":[["2018"]]},"page":"iv166-iv191","title":"Management of cancer pain in adult patients: ESMO Clinical Practice Guidelines.","type":"article-journal","volume":"29"},"uris":["http://www.mendeley.com/documents/?uuid=de2cca97-c9ee-3e03-bc1e-7a13a50fcf50"]}],"mendeley":{"formattedCitation":"[100,152–154]","plainTextFormattedCitation":"[100,152–154]","previouslyFormattedCitation":"[100,152–154]"},"properties":{"noteIndex":0},"schema":"https://github.com/citation-style-language/schema/raw/master/csl-citation.json"}</w:instrText>
      </w:r>
      <w:r>
        <w:fldChar w:fldCharType="separate"/>
      </w:r>
      <w:r>
        <w:rPr>
          <w:noProof/>
        </w:rPr>
        <w:t>[100,153–155</w:t>
      </w:r>
      <w:r w:rsidRPr="00BF3043">
        <w:rPr>
          <w:noProof/>
        </w:rPr>
        <w:t>]</w:t>
      </w:r>
      <w:r>
        <w:fldChar w:fldCharType="end"/>
      </w:r>
      <w:r w:rsidRPr="00C13E67">
        <w:rPr>
          <w:b/>
        </w:rPr>
        <w:t>.</w:t>
      </w:r>
    </w:p>
    <w:p w14:paraId="3CA55CFE" w14:textId="77777777" w:rsidR="00143441" w:rsidRPr="00AF2453" w:rsidRDefault="00143441" w:rsidP="00143441">
      <w:pPr>
        <w:ind w:firstLine="709"/>
      </w:pPr>
      <w:r w:rsidRPr="00AF2453">
        <w:t xml:space="preserve">Объективизация и диагностика боли - сложная методологическая проблема, так как боль представляет собой субъективный феномен. </w:t>
      </w:r>
    </w:p>
    <w:p w14:paraId="2EED4495" w14:textId="77777777" w:rsidR="00143441" w:rsidRDefault="00143441" w:rsidP="00143441">
      <w:pPr>
        <w:ind w:firstLine="709"/>
        <w:rPr>
          <w:bCs/>
          <w:u w:val="single"/>
        </w:rPr>
      </w:pPr>
    </w:p>
    <w:p w14:paraId="5F6CC678" w14:textId="77777777" w:rsidR="00143441" w:rsidRPr="001F1E91" w:rsidRDefault="00143441" w:rsidP="00143441">
      <w:pPr>
        <w:ind w:firstLine="709"/>
        <w:rPr>
          <w:bCs/>
          <w:u w:val="single"/>
        </w:rPr>
      </w:pPr>
      <w:r w:rsidRPr="001F1E91">
        <w:rPr>
          <w:bCs/>
          <w:u w:val="single"/>
        </w:rPr>
        <w:t xml:space="preserve">Этапы обследования пациента: </w:t>
      </w:r>
    </w:p>
    <w:p w14:paraId="6B06C83A" w14:textId="77777777" w:rsidR="00143441" w:rsidRPr="00AF2453" w:rsidRDefault="00143441" w:rsidP="00143441">
      <w:pPr>
        <w:pStyle w:val="afff3"/>
        <w:ind w:left="0" w:firstLine="709"/>
      </w:pPr>
      <w:r w:rsidRPr="00AF2453">
        <w:t>1) опрос;</w:t>
      </w:r>
    </w:p>
    <w:p w14:paraId="7E3C42B7" w14:textId="77777777" w:rsidR="00143441" w:rsidRPr="00AF2453" w:rsidRDefault="00143441" w:rsidP="00143441">
      <w:pPr>
        <w:pStyle w:val="afff3"/>
        <w:ind w:left="0" w:firstLine="709"/>
      </w:pPr>
      <w:r w:rsidRPr="00AF2453">
        <w:t xml:space="preserve">2) осмотр; </w:t>
      </w:r>
    </w:p>
    <w:p w14:paraId="68D86B2D" w14:textId="77777777" w:rsidR="00143441" w:rsidRPr="00AF2453" w:rsidRDefault="00143441" w:rsidP="00143441">
      <w:pPr>
        <w:pStyle w:val="afff3"/>
        <w:ind w:left="0" w:firstLine="709"/>
      </w:pPr>
      <w:r w:rsidRPr="00AF2453">
        <w:t xml:space="preserve">3) оценка боли с помощью инструментальных методов. </w:t>
      </w:r>
    </w:p>
    <w:p w14:paraId="51949190" w14:textId="77777777" w:rsidR="00143441" w:rsidRPr="00AF2453" w:rsidRDefault="00143441" w:rsidP="00143441">
      <w:pPr>
        <w:pStyle w:val="afff3"/>
        <w:ind w:left="0" w:firstLine="709"/>
        <w:rPr>
          <w:highlight w:val="yellow"/>
        </w:rPr>
      </w:pPr>
    </w:p>
    <w:p w14:paraId="4BA11096" w14:textId="77777777" w:rsidR="00143441" w:rsidRPr="00AF2453" w:rsidRDefault="00143441" w:rsidP="00143441">
      <w:pPr>
        <w:pStyle w:val="afff3"/>
        <w:ind w:left="0" w:firstLine="709"/>
      </w:pPr>
      <w:r w:rsidRPr="00AF2453">
        <w:rPr>
          <w:b/>
        </w:rPr>
        <w:t>Опрос</w:t>
      </w:r>
      <w:r w:rsidRPr="00AF2453">
        <w:t xml:space="preserve">. Первостепенная роль в диагностике болевых синдромов принадлежит подробному расспросу. При опросе необходимо уточнить локализацию боли, интенсивность, длительность, провоцирующие факторы, «закономерность» возникновения, влияние на сон и аппетит, оценить психологический статус, уровень физической активности, использованные ранее методы лечения и их эффективность,  побочные эффекты препаратов. Зачастую пациенты забывают сообщить о некоторых фактах своей болезни, в связи с этим, как этап опроса (но не замена ему!) используются валидированные международные опросники, посвященные  характеристикам боли и влиянию боли на другие сферы жизни (опросники PainDetect, DN4, LANSS, </w:t>
      </w:r>
      <w:r w:rsidRPr="00AF2453">
        <w:rPr>
          <w:lang w:val="en-US"/>
        </w:rPr>
        <w:t>SF</w:t>
      </w:r>
      <w:r w:rsidRPr="00AF2453">
        <w:t xml:space="preserve">36, опросник Мак Гилла, Ван Корфа, </w:t>
      </w:r>
      <w:r w:rsidRPr="00AF2453">
        <w:rPr>
          <w:lang w:val="en-US"/>
        </w:rPr>
        <w:t>WOMAC</w:t>
      </w:r>
      <w:r w:rsidRPr="00AF2453">
        <w:t xml:space="preserve">, Освестри, шкала тревоги и депрессии, опросник по оценке качества сна, шкала катастрофизации боли и другие). </w:t>
      </w:r>
    </w:p>
    <w:p w14:paraId="7D062B12" w14:textId="77777777" w:rsidR="00143441" w:rsidRPr="00AF2453" w:rsidRDefault="00143441" w:rsidP="00143441">
      <w:pPr>
        <w:pStyle w:val="afff3"/>
        <w:ind w:left="0" w:firstLine="709"/>
      </w:pPr>
      <w:r w:rsidRPr="00AF2453">
        <w:rPr>
          <w:b/>
        </w:rPr>
        <w:t xml:space="preserve">Осмотр </w:t>
      </w:r>
      <w:r w:rsidRPr="00AF2453">
        <w:t>пациента представляется наиважнейшим и основным методом диагностики для специалиста по боли. Патологические признаки, отмеченные врачом при осмотре, зачастую оказывают существенную роль в определении тактики оказания противоболевой помощи.</w:t>
      </w:r>
    </w:p>
    <w:p w14:paraId="70AF56E9" w14:textId="77777777" w:rsidR="00143441" w:rsidRPr="00AF2453" w:rsidRDefault="00143441" w:rsidP="00143441">
      <w:pPr>
        <w:pStyle w:val="afff3"/>
        <w:ind w:left="0" w:firstLine="709"/>
        <w:rPr>
          <w:strike/>
        </w:rPr>
      </w:pPr>
      <w:r w:rsidRPr="00AF2453">
        <w:t xml:space="preserve">При осмотре проводится оценка физической активности пациента по шкале </w:t>
      </w:r>
      <w:r w:rsidRPr="00AF2453">
        <w:rPr>
          <w:lang w:val="en-US"/>
        </w:rPr>
        <w:t>ECOG</w:t>
      </w:r>
      <w:r w:rsidRPr="00AF2453">
        <w:t xml:space="preserve"> и качества ночного сна (хороший 6-8 ч; удовлетворительный 4-6ч; плохой &lt; 4 ч);  уточняется характер и причины боли.</w:t>
      </w:r>
    </w:p>
    <w:p w14:paraId="11A60EC6" w14:textId="77777777" w:rsidR="00143441" w:rsidRDefault="00143441" w:rsidP="00143441">
      <w:pPr>
        <w:pStyle w:val="afff3"/>
        <w:ind w:left="0" w:firstLine="709"/>
        <w:rPr>
          <w:color w:val="000000" w:themeColor="text1"/>
        </w:rPr>
      </w:pPr>
      <w:r w:rsidRPr="00AF2453">
        <w:rPr>
          <w:color w:val="000000" w:themeColor="text1"/>
        </w:rPr>
        <w:t xml:space="preserve">На различных этапах диагностики причин болевого синдрома у гематологических пациентов рекомендуется по показаниям использовать:  </w:t>
      </w:r>
    </w:p>
    <w:p w14:paraId="2A918B96" w14:textId="77777777" w:rsidR="00143441" w:rsidRPr="001F1E91" w:rsidRDefault="00143441" w:rsidP="00461889">
      <w:pPr>
        <w:pStyle w:val="afff3"/>
        <w:numPr>
          <w:ilvl w:val="0"/>
          <w:numId w:val="279"/>
        </w:numPr>
      </w:pPr>
      <w:r w:rsidRPr="001F1E91">
        <w:t>лабораторные методы</w:t>
      </w:r>
      <w:r>
        <w:rPr>
          <w:lang w:val="en-US"/>
        </w:rPr>
        <w:t xml:space="preserve"> </w:t>
      </w:r>
      <w:r>
        <w:fldChar w:fldCharType="begin" w:fldLock="1"/>
      </w:r>
      <w:r>
        <w:instrText>ADDIN CSL_CITATION {"citationItems":[{"id":"ITEM-1","itemData":{"author":[{"dropping-particle":"","family":"Абузарова","given":"Г.Р.","non-dropping-particle":"","parse-names":false,"suffix":""}],"container-title":"Российские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Савченко.","id":"ITEM-1","issued":{"date-parts":[["2018"]]},"page":"278-288","title":"Лечение болевого синдрома у онкологических больных","type":"chapter"},"uris":["http://www.mendeley.com/documents/?uuid=3021caae-334d-4ac5-97a6-7ea5587353dc"]},{"id":"ITEM-2","itemData":{"author":[{"dropping-particle":"","family":"Абузарова","given":"Г.Р.","non-dropping-particle":"","parse-names":false,"suffix":""},{"dropping-particle":"","family":"Невзорова","given":"Д.В.","non-dropping-particle":"","parse-names":false,"suffix":""},{"dropping-particle":"","family":"Кумирова","given":"Э.В.","non-dropping-particle":"","parse-names":false,"suffix":""},{"dropping-particle":"","family":"Савва","given":"Н.Н.","non-dropping-particle":"","parse-names":false,"suffix":""},{"dropping-particle":"","family":"Арутюнов","given":"Г.П.","non-dropping-particle":"","parse-names":false,"suffix":""},{"dropping-particle":"","family":"Багненко","given":"С.Ф.","non-dropping-particle":"","parse-names":false,"suffix":""},{"dropping-particle":"","family":"Данилов","given":"А.Б.","non-dropping-particle":"","parse-names":false,"suffix":""},{"dropping-particle":"","family":"Данилов","given":"А.Б.","non-dropping-particle":"","parse-names":false,"suffix":""},{"dropping-particle":"","family":"Куняева","given":"Т.А.","non-dropping-particle":"","parse-names":false,"suffix":""},{"dropping-particle":"","family":"Николаева","given":"Н.М.","non-dropping-particle":"","parse-names":false,"suffix":""},{"dropping-particle":"","family":"Молчанов","given":"И.В.","non-dropping-particle":"","parse-names":false,"suffix":""},{"dropping-particle":"","family":"Падалкин","given":"В.П.","non-dropping-particle":"","parse-names":false,"suffix":""},{"dropping-particle":"","family":"Поляков","given":"В.Г.","non-dropping-particle":"","parse-names":false,"suffix":""},{"dropping-particle":"","family":"Пчелинцев","given":"М.В.","non-dropping-particle":"","parse-names":false,"suffix":""},{"dropping-particle":"","family":"Степаненко","given":"С.М.","non-dropping-particle":"","parse-names":false,"suffix":""}],"id":"ITEM-2","issued":{"date-parts":[["2016"]]},"number-of-pages":"94","publisher":"ФГБОУ ВО РНИМУ им. Н.И. Пирогова Минздрава России.","title":"Обезболивание взрослых и детей при оказании медицинской помощи. Методические рекомендации.","type":"book"},"uris":["http://www.mendeley.com/documents/?uuid=b9ffed91-f776-4e2f-87c8-ff7901014151"]},{"id":"ITEM-3","itemData":{"author":[{"dropping-particle":"","family":"Когония","given":"Л.М.","non-dropping-particle":"","parse-names":false,"suffix":""},{"dropping-particle":"","family":"Волошин","given":"А.Г.","non-dropping-particle":"","parse-names":false,"suffix":""},{"dropping-particle":"","family":"Новиков","given":"Г.А.","non-dropping-particle":"","parse-names":false,"suffix":""},{"dropping-particle":"","family":"Сидоров","given":"А.В.","non-dropping-particle":"","parse-names":false,"suffix":""}],"container-title":"Злокачественные опухоли: Практические рекомендации RUSSCO","id":"ITEM-3","issued":{"date-parts":[["2018"]]},"page":"617-635","title":"Практические рекомендации по лечению хронического болевого синдрома у онкологических больных.","type":"chapter"},"uris":["http://www.mendeley.com/documents/?uuid=2f2e1206-26f9-42c4-9676-2613564eead6"]},{"id":"ITEM-4","itemData":{"DOI":"10.1093/annonc/mdy152","ISSN":"1569-8041","PMID":"30052758","author":[{"dropping-particle":"","family":"Fallon","given":"M","non-dropping-particle":"","parse-names":false,"suffix":""},{"dropping-particle":"","family":"Giusti","given":"R","non-dropping-particle":"","parse-names":false,"suffix":""},{"dropping-particle":"","family":"Aielli","given":"F","non-dropping-particle":"","parse-names":false,"suffix":""},{"dropping-particle":"","family":"Hoskin","given":"P","non-dropping-particle":"","parse-names":false,"suffix":""},{"dropping-particle":"","family":"Rolke","given":"R","non-dropping-particle":"","parse-names":false,"suffix":""},{"dropping-particle":"","family":"Sharma","given":"M","non-dropping-particle":"","parse-names":false,"suffix":""},{"dropping-particle":"","family":"Ripamonti","given":"C I","non-dropping-particle":"","parse-names":false,"suffix":""},{"dropping-particle":"","family":"ESMO Guidelines Committee","given":"","non-dropping-particle":"","parse-names":false,"suffix":""}],"container-title":"Annals of oncology : official journal of the European Society for Medical Oncology","id":"ITEM-4","issue":"Suppl 4","issued":{"date-parts":[["2018"]]},"page":"iv166-iv191","title":"Management of cancer pain in adult patients: ESMO Clinical Practice Guidelines.","type":"article-journal","volume":"29"},"uris":["http://www.mendeley.com/documents/?uuid=de2cca97-c9ee-3e03-bc1e-7a13a50fcf50"]}],"mendeley":{"formattedCitation":"[100,152–154]","plainTextFormattedCitation":"[100,152–154]","previouslyFormattedCitation":"[100,152–154]"},"properties":{"noteIndex":0},"schema":"https://github.com/citation-style-language/schema/raw/master/csl-citation.json"}</w:instrText>
      </w:r>
      <w:r>
        <w:fldChar w:fldCharType="separate"/>
      </w:r>
      <w:r>
        <w:rPr>
          <w:noProof/>
        </w:rPr>
        <w:t>[100,153–155</w:t>
      </w:r>
      <w:r w:rsidRPr="00BF3043">
        <w:rPr>
          <w:noProof/>
        </w:rPr>
        <w:t>]</w:t>
      </w:r>
      <w:r>
        <w:fldChar w:fldCharType="end"/>
      </w:r>
      <w:r w:rsidRPr="001F1E91">
        <w:t xml:space="preserve">: </w:t>
      </w:r>
    </w:p>
    <w:p w14:paraId="2CA4C22D" w14:textId="77777777" w:rsidR="00143441" w:rsidRPr="00AF2453" w:rsidRDefault="00143441" w:rsidP="00461889">
      <w:pPr>
        <w:pStyle w:val="afff3"/>
        <w:numPr>
          <w:ilvl w:val="1"/>
          <w:numId w:val="279"/>
        </w:numPr>
      </w:pPr>
      <w:r w:rsidRPr="00AF2453">
        <w:t>клинический анализ крови развернутый</w:t>
      </w:r>
    </w:p>
    <w:p w14:paraId="47B9F32B" w14:textId="77777777" w:rsidR="00143441" w:rsidRPr="00AF2453" w:rsidRDefault="00143441" w:rsidP="00461889">
      <w:pPr>
        <w:pStyle w:val="afff3"/>
        <w:numPr>
          <w:ilvl w:val="1"/>
          <w:numId w:val="279"/>
        </w:numPr>
      </w:pPr>
      <w:r w:rsidRPr="00AF2453">
        <w:lastRenderedPageBreak/>
        <w:t>биохимический анализ крови - общий белок, альбумин, глобулин, мочевая кислота, мочевина, креатинин, билирубин непрямой, билирубин прямой, калий, натрий, кальций, хлор, щелочная фосфатаза, АСТ, АЛТ, ЛДГ, ГГТ, железо, глюкоза;</w:t>
      </w:r>
    </w:p>
    <w:p w14:paraId="43B282A6" w14:textId="77777777" w:rsidR="00143441" w:rsidRPr="00AF2453" w:rsidRDefault="00143441" w:rsidP="00461889">
      <w:pPr>
        <w:pStyle w:val="afff3"/>
        <w:numPr>
          <w:ilvl w:val="1"/>
          <w:numId w:val="279"/>
        </w:numPr>
      </w:pPr>
      <w:r w:rsidRPr="00AF2453">
        <w:t>коагулограмма</w:t>
      </w:r>
      <w:r w:rsidRPr="001F1E91">
        <w:t xml:space="preserve"> - </w:t>
      </w:r>
      <w:r w:rsidRPr="00AF2453">
        <w:t xml:space="preserve">АЧТВ, ПВ, ТВ, фибриноген, антитромбин </w:t>
      </w:r>
      <w:r w:rsidRPr="001F1E91">
        <w:t>III</w:t>
      </w:r>
      <w:r w:rsidRPr="00AF2453">
        <w:t xml:space="preserve">, протеин С (по показаниям), протеин </w:t>
      </w:r>
      <w:r w:rsidRPr="001F1E91">
        <w:t>S</w:t>
      </w:r>
      <w:r w:rsidRPr="00AF2453">
        <w:t xml:space="preserve"> (по показаниям), агрегация тромбоцитов (</w:t>
      </w:r>
      <w:r w:rsidRPr="001F1E91">
        <w:t>по показаниям</w:t>
      </w:r>
      <w:r w:rsidRPr="00AF2453">
        <w:t>), волчаночный антикоагулянт (по показаниям);</w:t>
      </w:r>
    </w:p>
    <w:p w14:paraId="324B05D4" w14:textId="77777777" w:rsidR="00143441" w:rsidRPr="00AF2453" w:rsidRDefault="00143441" w:rsidP="00461889">
      <w:pPr>
        <w:pStyle w:val="afff3"/>
        <w:numPr>
          <w:ilvl w:val="1"/>
          <w:numId w:val="279"/>
        </w:numPr>
      </w:pPr>
      <w:r w:rsidRPr="00AF2453">
        <w:t>бактериологические методы исследования – см. глава «Инфекционные осложения»)</w:t>
      </w:r>
    </w:p>
    <w:p w14:paraId="032B6299" w14:textId="77777777" w:rsidR="00143441" w:rsidRPr="001F1E91" w:rsidRDefault="00143441" w:rsidP="00461889">
      <w:pPr>
        <w:pStyle w:val="afff3"/>
        <w:numPr>
          <w:ilvl w:val="0"/>
          <w:numId w:val="279"/>
        </w:numPr>
      </w:pPr>
      <w:r w:rsidRPr="001F1E91">
        <w:t>инструментальные методы</w:t>
      </w:r>
      <w:r w:rsidRPr="00E62D8C">
        <w:t xml:space="preserve"> </w:t>
      </w:r>
      <w:r>
        <w:fldChar w:fldCharType="begin" w:fldLock="1"/>
      </w:r>
      <w:r>
        <w:instrText>ADDIN CSL_CITATION {"citationItems":[{"id":"ITEM-1","itemData":{"author":[{"dropping-particle":"","family":"Абузарова","given":"Г.Р.","non-dropping-particle":"","parse-names":false,"suffix":""}],"container-title":"Российские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Савченко.","id":"ITEM-1","issued":{"date-parts":[["2018"]]},"page":"278-288","title":"Лечение болевого синдрома у онкологических больных","type":"chapter"},"uris":["http://www.mendeley.com/documents/?uuid=3021caae-334d-4ac5-97a6-7ea5587353dc"]},{"id":"ITEM-2","itemData":{"author":[{"dropping-particle":"","family":"Абузарова","given":"Г.Р.","non-dropping-particle":"","parse-names":false,"suffix":""},{"dropping-particle":"","family":"Невзорова","given":"Д.В.","non-dropping-particle":"","parse-names":false,"suffix":""},{"dropping-particle":"","family":"Кумирова","given":"Э.В.","non-dropping-particle":"","parse-names":false,"suffix":""},{"dropping-particle":"","family":"Савва","given":"Н.Н.","non-dropping-particle":"","parse-names":false,"suffix":""},{"dropping-particle":"","family":"Арутюнов","given":"Г.П.","non-dropping-particle":"","parse-names":false,"suffix":""},{"dropping-particle":"","family":"Багненко","given":"С.Ф.","non-dropping-particle":"","parse-names":false,"suffix":""},{"dropping-particle":"","family":"Данилов","given":"А.Б.","non-dropping-particle":"","parse-names":false,"suffix":""},{"dropping-particle":"","family":"Данилов","given":"А.Б.","non-dropping-particle":"","parse-names":false,"suffix":""},{"dropping-particle":"","family":"Куняева","given":"Т.А.","non-dropping-particle":"","parse-names":false,"suffix":""},{"dropping-particle":"","family":"Николаева","given":"Н.М.","non-dropping-particle":"","parse-names":false,"suffix":""},{"dropping-particle":"","family":"Молчанов","given":"И.В.","non-dropping-particle":"","parse-names":false,"suffix":""},{"dropping-particle":"","family":"Падалкин","given":"В.П.","non-dropping-particle":"","parse-names":false,"suffix":""},{"dropping-particle":"","family":"Поляков","given":"В.Г.","non-dropping-particle":"","parse-names":false,"suffix":""},{"dropping-particle":"","family":"Пчелинцев","given":"М.В.","non-dropping-particle":"","parse-names":false,"suffix":""},{"dropping-particle":"","family":"Степаненко","given":"С.М.","non-dropping-particle":"","parse-names":false,"suffix":""}],"id":"ITEM-2","issued":{"date-parts":[["2016"]]},"number-of-pages":"94","publisher":"ФГБОУ ВО РНИМУ им. Н.И. Пирогова Минздрава России.","title":"Обезболивание взрослых и детей при оказании медицинской помощи. Методические рекомендации.","type":"book"},"uris":["http://www.mendeley.com/documents/?uuid=b9ffed91-f776-4e2f-87c8-ff7901014151"]},{"id":"ITEM-3","itemData":{"author":[{"dropping-particle":"","family":"Когония","given":"Л.М.","non-dropping-particle":"","parse-names":false,"suffix":""},{"dropping-particle":"","family":"Волошин","given":"А.Г.","non-dropping-particle":"","parse-names":false,"suffix":""},{"dropping-particle":"","family":"Новиков","given":"Г.А.","non-dropping-particle":"","parse-names":false,"suffix":""},{"dropping-particle":"","family":"Сидоров","given":"А.В.","non-dropping-particle":"","parse-names":false,"suffix":""}],"container-title":"Злокачественные опухоли: Практические рекомендации RUSSCO","id":"ITEM-3","issued":{"date-parts":[["2018"]]},"page":"617-635","title":"Практические рекомендации по лечению хронического болевого синдрома у онкологических больных.","type":"chapter"},"uris":["http://www.mendeley.com/documents/?uuid=2f2e1206-26f9-42c4-9676-2613564eead6"]},{"id":"ITEM-4","itemData":{"DOI":"10.1093/annonc/mdy152","ISSN":"1569-8041","PMID":"30052758","author":[{"dropping-particle":"","family":"Fallon","given":"M","non-dropping-particle":"","parse-names":false,"suffix":""},{"dropping-particle":"","family":"Giusti","given":"R","non-dropping-particle":"","parse-names":false,"suffix":""},{"dropping-particle":"","family":"Aielli","given":"F","non-dropping-particle":"","parse-names":false,"suffix":""},{"dropping-particle":"","family":"Hoskin","given":"P","non-dropping-particle":"","parse-names":false,"suffix":""},{"dropping-particle":"","family":"Rolke","given":"R","non-dropping-particle":"","parse-names":false,"suffix":""},{"dropping-particle":"","family":"Sharma","given":"M","non-dropping-particle":"","parse-names":false,"suffix":""},{"dropping-particle":"","family":"Ripamonti","given":"C I","non-dropping-particle":"","parse-names":false,"suffix":""},{"dropping-particle":"","family":"ESMO Guidelines Committee","given":"","non-dropping-particle":"","parse-names":false,"suffix":""}],"container-title":"Annals of oncology : official journal of the European Society for Medical Oncology","id":"ITEM-4","issue":"Suppl 4","issued":{"date-parts":[["2018"]]},"page":"iv166-iv191","title":"Management of cancer pain in adult patients: ESMO Clinical Practice Guidelines.","type":"article-journal","volume":"29"},"uris":["http://www.mendeley.com/documents/?uuid=de2cca97-c9ee-3e03-bc1e-7a13a50fcf50"]}],"mendeley":{"formattedCitation":"[100,152–154]","plainTextFormattedCitation":"[100,152–154]","previouslyFormattedCitation":"[100,152–154]"},"properties":{"noteIndex":0},"schema":"https://github.com/citation-style-language/schema/raw/master/csl-citation.json"}</w:instrText>
      </w:r>
      <w:r>
        <w:fldChar w:fldCharType="separate"/>
      </w:r>
      <w:r>
        <w:rPr>
          <w:noProof/>
        </w:rPr>
        <w:t>[100,153–155</w:t>
      </w:r>
      <w:r w:rsidRPr="00BF3043">
        <w:rPr>
          <w:noProof/>
        </w:rPr>
        <w:t>]</w:t>
      </w:r>
      <w:r>
        <w:fldChar w:fldCharType="end"/>
      </w:r>
      <w:r w:rsidRPr="003756EB">
        <w:t>:</w:t>
      </w:r>
    </w:p>
    <w:p w14:paraId="32722D1F" w14:textId="77777777" w:rsidR="00143441" w:rsidRPr="00AF2453" w:rsidRDefault="00143441" w:rsidP="00461889">
      <w:pPr>
        <w:pStyle w:val="afff3"/>
        <w:numPr>
          <w:ilvl w:val="1"/>
          <w:numId w:val="279"/>
        </w:numPr>
      </w:pPr>
      <w:r w:rsidRPr="00AF2453">
        <w:t>УЗИ мягких тканей, периферических лимфоузлов, брюшной полости, малого таза, артерий и вен конечностей, УЗИ других вовлеченных в болевой процесс областей, доступных для УЗИ.</w:t>
      </w:r>
    </w:p>
    <w:p w14:paraId="6139D82D" w14:textId="77777777" w:rsidR="00143441" w:rsidRPr="00AF2453" w:rsidRDefault="00143441" w:rsidP="00461889">
      <w:pPr>
        <w:pStyle w:val="afff3"/>
        <w:numPr>
          <w:ilvl w:val="1"/>
          <w:numId w:val="279"/>
        </w:numPr>
      </w:pPr>
      <w:r w:rsidRPr="00AF2453">
        <w:t>рентгенография грудной клетки, костей, позвоночника, других вовлеченных в болевой процесс областей, доступных для рентгенографии.</w:t>
      </w:r>
    </w:p>
    <w:p w14:paraId="032725FF" w14:textId="77777777" w:rsidR="00143441" w:rsidRPr="00AF2453" w:rsidRDefault="00143441" w:rsidP="00461889">
      <w:pPr>
        <w:pStyle w:val="afff3"/>
        <w:numPr>
          <w:ilvl w:val="1"/>
          <w:numId w:val="279"/>
        </w:numPr>
      </w:pPr>
      <w:r w:rsidRPr="00AF2453">
        <w:t>КТ головного мозга, грудной полости, брюшной полости, малого таза, позвоночника, костей,  других вовлеченных в болевой процесс областей.</w:t>
      </w:r>
    </w:p>
    <w:p w14:paraId="0FE94D7B" w14:textId="77777777" w:rsidR="00143441" w:rsidRPr="00AF2453" w:rsidRDefault="00143441" w:rsidP="00461889">
      <w:pPr>
        <w:pStyle w:val="afff3"/>
        <w:numPr>
          <w:ilvl w:val="1"/>
          <w:numId w:val="279"/>
        </w:numPr>
      </w:pPr>
      <w:r w:rsidRPr="00AF2453">
        <w:t>МРТ головного мозга, грудной полости, брюшной полости, малого таза, позвоночника, костей,  других вовлеченных в болевой процесс областей.</w:t>
      </w:r>
    </w:p>
    <w:p w14:paraId="044E10C0" w14:textId="77777777" w:rsidR="00143441" w:rsidRPr="00AF2453" w:rsidRDefault="00143441" w:rsidP="00461889">
      <w:pPr>
        <w:pStyle w:val="afff3"/>
        <w:numPr>
          <w:ilvl w:val="1"/>
          <w:numId w:val="279"/>
        </w:numPr>
      </w:pPr>
      <w:r w:rsidRPr="00AF2453">
        <w:t xml:space="preserve">иные необходимые методы – электрокардиография, ангиография, бронхоскопия, эзофагогастродуоденоскопия, колоноскопия, биопсия из очага поражения с гистологическим, иммуногистохимическим, бактериологическим, иными необходимыми исследованиями, т.д. </w:t>
      </w:r>
    </w:p>
    <w:p w14:paraId="41E54E8C" w14:textId="77777777" w:rsidR="00143441" w:rsidRPr="00AF2453" w:rsidRDefault="00143441" w:rsidP="00143441">
      <w:pPr>
        <w:pStyle w:val="afff3"/>
        <w:ind w:left="0" w:firstLine="709"/>
      </w:pPr>
      <w:r w:rsidRPr="00AF2453">
        <w:t>Помимо стандартных методов, необходимых для выявления или исключения конкретной соматической или неврологической патологии, в диагностике боли при показаниях могут применяться специальные исследования, помогающие «визуализировать» и  «объективизировать» боль</w:t>
      </w:r>
      <w:r w:rsidRPr="003756EB">
        <w:t xml:space="preserve"> </w:t>
      </w:r>
      <w:r>
        <w:fldChar w:fldCharType="begin" w:fldLock="1"/>
      </w:r>
      <w:r>
        <w:instrText>ADDIN CSL_CITATION {"citationItems":[{"id":"ITEM-1","itemData":{"author":[{"dropping-particle":"","family":"Абузарова","given":"Г.Р.","non-dropping-particle":"","parse-names":false,"suffix":""}],"container-title":"Российские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Савченко.","id":"ITEM-1","issued":{"date-parts":[["2018"]]},"page":"278-288","title":"Лечение болевого синдрома у онкологических больных","type":"chapter"},"uris":["http://www.mendeley.com/documents/?uuid=3021caae-334d-4ac5-97a6-7ea5587353dc"]},{"id":"ITEM-2","itemData":{"author":[{"dropping-particle":"","family":"Абузарова","given":"Г.Р.","non-dropping-particle":"","parse-names":false,"suffix":""},{"dropping-particle":"","family":"Невзорова","given":"Д.В.","non-dropping-particle":"","parse-names":false,"suffix":""},{"dropping-particle":"","family":"Кумирова","given":"Э.В.","non-dropping-particle":"","parse-names":false,"suffix":""},{"dropping-particle":"","family":"Савва","given":"Н.Н.","non-dropping-particle":"","parse-names":false,"suffix":""},{"dropping-particle":"","family":"Арутюнов","given":"Г.П.","non-dropping-particle":"","parse-names":false,"suffix":""},{"dropping-particle":"","family":"Багненко","given":"С.Ф.","non-dropping-particle":"","parse-names":false,"suffix":""},{"dropping-particle":"","family":"Данилов","given":"А.Б.","non-dropping-particle":"","parse-names":false,"suffix":""},{"dropping-particle":"","family":"Данилов","given":"А.Б.","non-dropping-particle":"","parse-names":false,"suffix":""},{"dropping-particle":"","family":"Куняева","given":"Т.А.","non-dropping-particle":"","parse-names":false,"suffix":""},{"dropping-particle":"","family":"Николаева","given":"Н.М.","non-dropping-particle":"","parse-names":false,"suffix":""},{"dropping-particle":"","family":"Молчанов","given":"И.В.","non-dropping-particle":"","parse-names":false,"suffix":""},{"dropping-particle":"","family":"Падалкин","given":"В.П.","non-dropping-particle":"","parse-names":false,"suffix":""},{"dropping-particle":"","family":"Поляков","given":"В.Г.","non-dropping-particle":"","parse-names":false,"suffix":""},{"dropping-particle":"","family":"Пчелинцев","given":"М.В.","non-dropping-particle":"","parse-names":false,"suffix":""},{"dropping-particle":"","family":"Степаненко","given":"С.М.","non-dropping-particle":"","parse-names":false,"suffix":""}],"id":"ITEM-2","issued":{"date-parts":[["2016"]]},"number-of-pages":"94","publisher":"ФГБОУ ВО РНИМУ им. Н.И. Пирогова Минздрава России.","title":"Обезболивание взрослых и детей при оказании медицинской помощи. Методические рекомендации.","type":"book"},"uris":["http://www.mendeley.com/documents/?uuid=b9ffed91-f776-4e2f-87c8-ff7901014151"]},{"id":"ITEM-3","itemData":{"author":[{"dropping-particle":"","family":"Когония","given":"Л.М.","non-dropping-particle":"","parse-names":false,"suffix":""},{"dropping-particle":"","family":"Волошин","given":"А.Г.","non-dropping-particle":"","parse-names":false,"suffix":""},{"dropping-particle":"","family":"Новиков","given":"Г.А.","non-dropping-particle":"","parse-names":false,"suffix":""},{"dropping-particle":"","family":"Сидоров","given":"А.В.","non-dropping-particle":"","parse-names":false,"suffix":""}],"container-title":"Злокачественные опухоли: Практические рекомендации RUSSCO","id":"ITEM-3","issued":{"date-parts":[["2018"]]},"page":"617-635","title":"Практические рекомендации по лечению хронического болевого синдрома у онкологических больных.","type":"chapter"},"uris":["http://www.mendeley.com/documents/?uuid=2f2e1206-26f9-42c4-9676-2613564eead6"]},{"id":"ITEM-4","itemData":{"DOI":"10.1093/annonc/mdy152","ISSN":"1569-8041","PMID":"30052758","author":[{"dropping-particle":"","family":"Fallon","given":"M","non-dropping-particle":"","parse-names":false,"suffix":""},{"dropping-particle":"","family":"Giusti","given":"R","non-dropping-particle":"","parse-names":false,"suffix":""},{"dropping-particle":"","family":"Aielli","given":"F","non-dropping-particle":"","parse-names":false,"suffix":""},{"dropping-particle":"","family":"Hoskin","given":"P","non-dropping-particle":"","parse-names":false,"suffix":""},{"dropping-particle":"","family":"Rolke","given":"R","non-dropping-particle":"","parse-names":false,"suffix":""},{"dropping-particle":"","family":"Sharma","given":"M","non-dropping-particle":"","parse-names":false,"suffix":""},{"dropping-particle":"","family":"Ripamonti","given":"C I","non-dropping-particle":"","parse-names":false,"suffix":""},{"dropping-particle":"","family":"ESMO Guidelines Committee","given":"","non-dropping-particle":"","parse-names":false,"suffix":""}],"container-title":"Annals of oncology : official journal of the European Society for Medical Oncology","id":"ITEM-4","issue":"Suppl 4","issued":{"date-parts":[["2018"]]},"page":"iv166-iv191","title":"Management of cancer pain in adult patients: ESMO Clinical Practice Guidelines.","type":"article-journal","volume":"29"},"uris":["http://www.mendeley.com/documents/?uuid=de2cca97-c9ee-3e03-bc1e-7a13a50fcf50"]}],"mendeley":{"formattedCitation":"[100,152–154]","plainTextFormattedCitation":"[100,152–154]","previouslyFormattedCitation":"[100,152–154]"},"properties":{"noteIndex":0},"schema":"https://github.com/citation-style-language/schema/raw/master/csl-citation.json"}</w:instrText>
      </w:r>
      <w:r>
        <w:fldChar w:fldCharType="separate"/>
      </w:r>
      <w:r>
        <w:rPr>
          <w:noProof/>
        </w:rPr>
        <w:t>[100,153–155</w:t>
      </w:r>
      <w:r w:rsidRPr="00BF3043">
        <w:rPr>
          <w:noProof/>
        </w:rPr>
        <w:t>]</w:t>
      </w:r>
      <w:r>
        <w:fldChar w:fldCharType="end"/>
      </w:r>
      <w:r w:rsidRPr="00AF2453">
        <w:t>:</w:t>
      </w:r>
    </w:p>
    <w:p w14:paraId="15031E90" w14:textId="77777777" w:rsidR="00143441" w:rsidRPr="00AF2453" w:rsidRDefault="00143441" w:rsidP="00461889">
      <w:pPr>
        <w:pStyle w:val="afff3"/>
        <w:numPr>
          <w:ilvl w:val="0"/>
          <w:numId w:val="279"/>
        </w:numPr>
      </w:pPr>
      <w:r w:rsidRPr="00AF2453">
        <w:t xml:space="preserve">алгометрия, </w:t>
      </w:r>
    </w:p>
    <w:p w14:paraId="33B83BA7" w14:textId="77777777" w:rsidR="00143441" w:rsidRPr="00AF2453" w:rsidRDefault="00143441" w:rsidP="00461889">
      <w:pPr>
        <w:pStyle w:val="afff3"/>
        <w:numPr>
          <w:ilvl w:val="0"/>
          <w:numId w:val="279"/>
        </w:numPr>
      </w:pPr>
      <w:r w:rsidRPr="00AF2453">
        <w:t xml:space="preserve">методы диагностики сенсорных расстройств (например, с помощью камертона, алгометра), </w:t>
      </w:r>
    </w:p>
    <w:p w14:paraId="3DD53821" w14:textId="77777777" w:rsidR="00143441" w:rsidRPr="00AF2453" w:rsidRDefault="00143441" w:rsidP="00461889">
      <w:pPr>
        <w:pStyle w:val="afff3"/>
        <w:numPr>
          <w:ilvl w:val="0"/>
          <w:numId w:val="279"/>
        </w:numPr>
      </w:pPr>
      <w:r w:rsidRPr="00AF2453">
        <w:t>антиноцецептивный индекс (</w:t>
      </w:r>
      <w:r w:rsidRPr="00C13E67">
        <w:t>ANI</w:t>
      </w:r>
      <w:r w:rsidRPr="00AF2453">
        <w:t xml:space="preserve">), </w:t>
      </w:r>
    </w:p>
    <w:p w14:paraId="37D72840" w14:textId="77777777" w:rsidR="00143441" w:rsidRPr="00AF2453" w:rsidRDefault="00143441" w:rsidP="00461889">
      <w:pPr>
        <w:pStyle w:val="afff3"/>
        <w:numPr>
          <w:ilvl w:val="0"/>
          <w:numId w:val="279"/>
        </w:numPr>
      </w:pPr>
      <w:r w:rsidRPr="00C13E67">
        <w:t xml:space="preserve">электромиография, </w:t>
      </w:r>
    </w:p>
    <w:p w14:paraId="542FE60E" w14:textId="77777777" w:rsidR="00143441" w:rsidRPr="00AF2453" w:rsidRDefault="00143441" w:rsidP="00461889">
      <w:pPr>
        <w:pStyle w:val="afff3"/>
        <w:numPr>
          <w:ilvl w:val="0"/>
          <w:numId w:val="279"/>
        </w:numPr>
      </w:pPr>
      <w:r w:rsidRPr="00C13E67">
        <w:t xml:space="preserve">электроэнцефалография, </w:t>
      </w:r>
    </w:p>
    <w:p w14:paraId="4C9999E0" w14:textId="77777777" w:rsidR="00143441" w:rsidRPr="00AF2453" w:rsidRDefault="00143441" w:rsidP="00461889">
      <w:pPr>
        <w:pStyle w:val="afff3"/>
        <w:numPr>
          <w:ilvl w:val="0"/>
          <w:numId w:val="279"/>
        </w:numPr>
      </w:pPr>
      <w:r w:rsidRPr="00C13E67">
        <w:t xml:space="preserve">функциональная магнитно-резонансная томография (фМРТ), </w:t>
      </w:r>
    </w:p>
    <w:p w14:paraId="3BB10AB4" w14:textId="77777777" w:rsidR="00143441" w:rsidRPr="00AF2453" w:rsidRDefault="00143441" w:rsidP="00461889">
      <w:pPr>
        <w:pStyle w:val="afff3"/>
        <w:numPr>
          <w:ilvl w:val="0"/>
          <w:numId w:val="279"/>
        </w:numPr>
      </w:pPr>
      <w:r w:rsidRPr="00C13E67">
        <w:lastRenderedPageBreak/>
        <w:t xml:space="preserve">позитронно-эмиссионной томография, </w:t>
      </w:r>
    </w:p>
    <w:p w14:paraId="11F47D8D" w14:textId="77777777" w:rsidR="00143441" w:rsidRPr="00AF2453" w:rsidRDefault="00143441" w:rsidP="00461889">
      <w:pPr>
        <w:pStyle w:val="afff3"/>
        <w:numPr>
          <w:ilvl w:val="0"/>
          <w:numId w:val="279"/>
        </w:numPr>
      </w:pPr>
      <w:r w:rsidRPr="00C13E67">
        <w:t xml:space="preserve">определение плазменного уровня стресс-факторов (кортизола, соматотропного гормона, глюкозы, бета-эндорфина) </w:t>
      </w:r>
    </w:p>
    <w:p w14:paraId="6B813BBF" w14:textId="77777777" w:rsidR="00143441" w:rsidRPr="00AF2453" w:rsidRDefault="00143441" w:rsidP="00461889">
      <w:pPr>
        <w:pStyle w:val="afff3"/>
        <w:numPr>
          <w:ilvl w:val="0"/>
          <w:numId w:val="279"/>
        </w:numPr>
      </w:pPr>
      <w:r w:rsidRPr="00C13E67">
        <w:t xml:space="preserve">другие исследования по показаниям. </w:t>
      </w:r>
    </w:p>
    <w:p w14:paraId="57DE110F" w14:textId="77777777" w:rsidR="00143441" w:rsidRPr="00AF2453" w:rsidRDefault="00143441" w:rsidP="00143441">
      <w:pPr>
        <w:pStyle w:val="afff3"/>
        <w:ind w:left="0" w:firstLine="709"/>
      </w:pPr>
      <w:r w:rsidRPr="00AF2453">
        <w:t xml:space="preserve">Совокупность названных выше этапов обследования позволяет дифференцировать различные виды боли </w:t>
      </w:r>
      <w:r>
        <w:t>у</w:t>
      </w:r>
      <w:r w:rsidRPr="00AF2453">
        <w:t xml:space="preserve"> пациент</w:t>
      </w:r>
      <w:r>
        <w:t>а с лейкозом</w:t>
      </w:r>
      <w:r w:rsidRPr="00AF2453">
        <w:t>: ноцицептивная соматическая (глубокая или поверхностная), ноцицептивная висцеральная, нейропатическая (периферическая или центральная), смешанная нейропатическая боль и т.д.</w:t>
      </w:r>
    </w:p>
    <w:p w14:paraId="7D416442" w14:textId="77777777" w:rsidR="00143441" w:rsidRDefault="00143441" w:rsidP="00143441">
      <w:pPr>
        <w:pStyle w:val="afff3"/>
        <w:ind w:left="0" w:firstLine="709"/>
        <w:rPr>
          <w:b/>
        </w:rPr>
      </w:pPr>
    </w:p>
    <w:p w14:paraId="50B022D3" w14:textId="77777777" w:rsidR="00143441" w:rsidRPr="00AF2453" w:rsidRDefault="00143441" w:rsidP="00143441">
      <w:pPr>
        <w:pStyle w:val="afff3"/>
        <w:ind w:left="0" w:firstLine="709"/>
      </w:pPr>
      <w:r w:rsidRPr="00AF2453">
        <w:rPr>
          <w:b/>
        </w:rPr>
        <w:t>Оценка интенсивности боли</w:t>
      </w:r>
      <w:r w:rsidRPr="00AF2453">
        <w:t xml:space="preserve"> может проводиться с помощью визуально-аналоговой шкалы VAS (градация интенсивности боли от 0 до 100) или числовой рейтинговой шкалы NRS (градация интенсивности боли от 0 до 10). Интенсивность боли по VAS более 70, как правило, показание к терапии сильными опиоидами. Целесообразно применение шкал, построенных на разных принципах оценки боли (см.выше) для более точного отражения состояния пациента, проведения динамической оценки течения болевого синдрома, оценки эффективности терапии боли и определения прогноза</w:t>
      </w:r>
      <w:r w:rsidRPr="003756EB">
        <w:t xml:space="preserve"> </w:t>
      </w:r>
      <w:r>
        <w:fldChar w:fldCharType="begin" w:fldLock="1"/>
      </w:r>
      <w:r>
        <w:instrText>ADDIN CSL_CITATION {"citationItems":[{"id":"ITEM-1","itemData":{"author":[{"dropping-particle":"","family":"Абузарова","given":"Г.Р.","non-dropping-particle":"","parse-names":false,"suffix":""}],"container-title":"Российские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Савченко.","id":"ITEM-1","issued":{"date-parts":[["2018"]]},"page":"278-288","title":"Лечение болевого синдрома у онкологических больных","type":"chapter"},"uris":["http://www.mendeley.com/documents/?uuid=3021caae-334d-4ac5-97a6-7ea5587353dc"]},{"id":"ITEM-2","itemData":{"author":[{"dropping-particle":"","family":"Абузарова","given":"Г.Р.","non-dropping-particle":"","parse-names":false,"suffix":""},{"dropping-particle":"","family":"Невзорова","given":"Д.В.","non-dropping-particle":"","parse-names":false,"suffix":""},{"dropping-particle":"","family":"Кумирова","given":"Э.В.","non-dropping-particle":"","parse-names":false,"suffix":""},{"dropping-particle":"","family":"Савва","given":"Н.Н.","non-dropping-particle":"","parse-names":false,"suffix":""},{"dropping-particle":"","family":"Арутюнов","given":"Г.П.","non-dropping-particle":"","parse-names":false,"suffix":""},{"dropping-particle":"","family":"Багненко","given":"С.Ф.","non-dropping-particle":"","parse-names":false,"suffix":""},{"dropping-particle":"","family":"Данилов","given":"А.Б.","non-dropping-particle":"","parse-names":false,"suffix":""},{"dropping-particle":"","family":"Данилов","given":"А.Б.","non-dropping-particle":"","parse-names":false,"suffix":""},{"dropping-particle":"","family":"Куняева","given":"Т.А.","non-dropping-particle":"","parse-names":false,"suffix":""},{"dropping-particle":"","family":"Николаева","given":"Н.М.","non-dropping-particle":"","parse-names":false,"suffix":""},{"dropping-particle":"","family":"Молчанов","given":"И.В.","non-dropping-particle":"","parse-names":false,"suffix":""},{"dropping-particle":"","family":"Падалкин","given":"В.П.","non-dropping-particle":"","parse-names":false,"suffix":""},{"dropping-particle":"","family":"Поляков","given":"В.Г.","non-dropping-particle":"","parse-names":false,"suffix":""},{"dropping-particle":"","family":"Пчелинцев","given":"М.В.","non-dropping-particle":"","parse-names":false,"suffix":""},{"dropping-particle":"","family":"Степаненко","given":"С.М.","non-dropping-particle":"","parse-names":false,"suffix":""}],"id":"ITEM-2","issued":{"date-parts":[["2016"]]},"number-of-pages":"94","publisher":"ФГБОУ ВО РНИМУ им. Н.И. Пирогова Минздрава России.","title":"Обезболивание взрослых и детей при оказании медицинской помощи. Методические рекомендации.","type":"book"},"uris":["http://www.mendeley.com/documents/?uuid=b9ffed91-f776-4e2f-87c8-ff7901014151"]},{"id":"ITEM-3","itemData":{"author":[{"dropping-particle":"","family":"Когония","given":"Л.М.","non-dropping-particle":"","parse-names":false,"suffix":""},{"dropping-particle":"","family":"Волошин","given":"А.Г.","non-dropping-particle":"","parse-names":false,"suffix":""},{"dropping-particle":"","family":"Новиков","given":"Г.А.","non-dropping-particle":"","parse-names":false,"suffix":""},{"dropping-particle":"","family":"Сидоров","given":"А.В.","non-dropping-particle":"","parse-names":false,"suffix":""}],"container-title":"Злокачественные опухоли: Практические рекомендации RUSSCO","id":"ITEM-3","issued":{"date-parts":[["2018"]]},"page":"617-635","title":"Практические рекомендации по лечению хронического болевого синдрома у онкологических больных.","type":"chapter"},"uris":["http://www.mendeley.com/documents/?uuid=2f2e1206-26f9-42c4-9676-2613564eead6"]},{"id":"ITEM-4","itemData":{"DOI":"10.1093/annonc/mdy152","ISSN":"1569-8041","PMID":"30052758","author":[{"dropping-particle":"","family":"Fallon","given":"M","non-dropping-particle":"","parse-names":false,"suffix":""},{"dropping-particle":"","family":"Giusti","given":"R","non-dropping-particle":"","parse-names":false,"suffix":""},{"dropping-particle":"","family":"Aielli","given":"F","non-dropping-particle":"","parse-names":false,"suffix":""},{"dropping-particle":"","family":"Hoskin","given":"P","non-dropping-particle":"","parse-names":false,"suffix":""},{"dropping-particle":"","family":"Rolke","given":"R","non-dropping-particle":"","parse-names":false,"suffix":""},{"dropping-particle":"","family":"Sharma","given":"M","non-dropping-particle":"","parse-names":false,"suffix":""},{"dropping-particle":"","family":"Ripamonti","given":"C I","non-dropping-particle":"","parse-names":false,"suffix":""},{"dropping-particle":"","family":"ESMO Guidelines Committee","given":"","non-dropping-particle":"","parse-names":false,"suffix":""}],"container-title":"Annals of oncology : official journal of the European Society for Medical Oncology","id":"ITEM-4","issue":"Suppl 4","issued":{"date-parts":[["2018"]]},"page":"iv166-iv191","title":"Management of cancer pain in adult patients: ESMO Clinical Practice Guidelines.","type":"article-journal","volume":"29"},"uris":["http://www.mendeley.com/documents/?uuid=de2cca97-c9ee-3e03-bc1e-7a13a50fcf50"]}],"mendeley":{"formattedCitation":"[100,152–154]","plainTextFormattedCitation":"[100,152–154]","previouslyFormattedCitation":"[100,152–154]"},"properties":{"noteIndex":0},"schema":"https://github.com/citation-style-language/schema/raw/master/csl-citation.json"}</w:instrText>
      </w:r>
      <w:r>
        <w:fldChar w:fldCharType="separate"/>
      </w:r>
      <w:r>
        <w:rPr>
          <w:noProof/>
        </w:rPr>
        <w:t>[100,153–155</w:t>
      </w:r>
      <w:r w:rsidRPr="00BF3043">
        <w:rPr>
          <w:noProof/>
        </w:rPr>
        <w:t>]</w:t>
      </w:r>
      <w:r>
        <w:fldChar w:fldCharType="end"/>
      </w:r>
      <w:r w:rsidRPr="00AF2453">
        <w:t xml:space="preserve">. </w:t>
      </w:r>
    </w:p>
    <w:p w14:paraId="1034D365" w14:textId="77777777" w:rsidR="00143441" w:rsidRPr="00AF2453" w:rsidRDefault="00143441" w:rsidP="00143441">
      <w:pPr>
        <w:pStyle w:val="afff3"/>
        <w:ind w:left="0" w:firstLine="709"/>
      </w:pPr>
    </w:p>
    <w:p w14:paraId="559E7BE4" w14:textId="77777777" w:rsidR="00143441" w:rsidRPr="00AF2453" w:rsidRDefault="00143441" w:rsidP="00143441">
      <w:pPr>
        <w:ind w:left="709"/>
        <w:rPr>
          <w:b/>
        </w:rPr>
      </w:pPr>
      <w:r>
        <w:rPr>
          <w:b/>
        </w:rPr>
        <w:t>Купирование</w:t>
      </w:r>
      <w:r w:rsidRPr="002C135E">
        <w:rPr>
          <w:b/>
        </w:rPr>
        <w:t xml:space="preserve"> боли</w:t>
      </w:r>
    </w:p>
    <w:p w14:paraId="3C03CE7E" w14:textId="77777777" w:rsidR="00143441" w:rsidRPr="00C13E67" w:rsidRDefault="00143441" w:rsidP="00143441">
      <w:pPr>
        <w:ind w:firstLine="709"/>
        <w:rPr>
          <w:bCs/>
          <w:u w:val="single"/>
        </w:rPr>
      </w:pPr>
      <w:r w:rsidRPr="00C13E67">
        <w:rPr>
          <w:bCs/>
          <w:u w:val="single"/>
        </w:rPr>
        <w:t>Основные принципы лечения боли у пациентов</w:t>
      </w:r>
      <w:r>
        <w:rPr>
          <w:bCs/>
          <w:u w:val="single"/>
        </w:rPr>
        <w:t xml:space="preserve"> с лейкозами</w:t>
      </w:r>
      <w:r w:rsidRPr="003756EB">
        <w:rPr>
          <w:bCs/>
          <w:u w:val="single"/>
        </w:rPr>
        <w:t xml:space="preserve"> </w:t>
      </w:r>
      <w:r>
        <w:fldChar w:fldCharType="begin" w:fldLock="1"/>
      </w:r>
      <w:r>
        <w:instrText>ADDIN CSL_CITATION {"citationItems":[{"id":"ITEM-1","itemData":{"author":[{"dropping-particle":"","family":"Абузарова","given":"Г.Р.","non-dropping-particle":"","parse-names":false,"suffix":""}],"container-title":"Российские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Савченко.","id":"ITEM-1","issued":{"date-parts":[["2018"]]},"page":"278-288","title":"Лечение болевого синдрома у онкологических больных","type":"chapter"},"uris":["http://www.mendeley.com/documents/?uuid=3021caae-334d-4ac5-97a6-7ea5587353dc"]},{"id":"ITEM-2","itemData":{"author":[{"dropping-particle":"","family":"Абузарова","given":"Г.Р.","non-dropping-particle":"","parse-names":false,"suffix":""},{"dropping-particle":"","family":"Невзорова","given":"Д.В.","non-dropping-particle":"","parse-names":false,"suffix":""},{"dropping-particle":"","family":"Кумирова","given":"Э.В.","non-dropping-particle":"","parse-names":false,"suffix":""},{"dropping-particle":"","family":"Савва","given":"Н.Н.","non-dropping-particle":"","parse-names":false,"suffix":""},{"dropping-particle":"","family":"Арутюнов","given":"Г.П.","non-dropping-particle":"","parse-names":false,"suffix":""},{"dropping-particle":"","family":"Багненко","given":"С.Ф.","non-dropping-particle":"","parse-names":false,"suffix":""},{"dropping-particle":"","family":"Данилов","given":"А.Б.","non-dropping-particle":"","parse-names":false,"suffix":""},{"dropping-particle":"","family":"Данилов","given":"А.Б.","non-dropping-particle":"","parse-names":false,"suffix":""},{"dropping-particle":"","family":"Куняева","given":"Т.А.","non-dropping-particle":"","parse-names":false,"suffix":""},{"dropping-particle":"","family":"Николаева","given":"Н.М.","non-dropping-particle":"","parse-names":false,"suffix":""},{"dropping-particle":"","family":"Молчанов","given":"И.В.","non-dropping-particle":"","parse-names":false,"suffix":""},{"dropping-particle":"","family":"Падалкин","given":"В.П.","non-dropping-particle":"","parse-names":false,"suffix":""},{"dropping-particle":"","family":"Поляков","given":"В.Г.","non-dropping-particle":"","parse-names":false,"suffix":""},{"dropping-particle":"","family":"Пчелинцев","given":"М.В.","non-dropping-particle":"","parse-names":false,"suffix":""},{"dropping-particle":"","family":"Степаненко","given":"С.М.","non-dropping-particle":"","parse-names":false,"suffix":""}],"id":"ITEM-2","issued":{"date-parts":[["2016"]]},"number-of-pages":"94","publisher":"ФГБОУ ВО РНИМУ им. Н.И. Пирогова Минздрава России.","title":"Обезболивание взрослых и детей при оказании медицинской помощи. Методические рекомендации.","type":"book"},"uris":["http://www.mendeley.com/documents/?uuid=b9ffed91-f776-4e2f-87c8-ff7901014151"]},{"id":"ITEM-3","itemData":{"author":[{"dropping-particle":"","family":"Когония","given":"Л.М.","non-dropping-particle":"","parse-names":false,"suffix":""},{"dropping-particle":"","family":"Волошин","given":"А.Г.","non-dropping-particle":"","parse-names":false,"suffix":""},{"dropping-particle":"","family":"Новиков","given":"Г.А.","non-dropping-particle":"","parse-names":false,"suffix":""},{"dropping-particle":"","family":"Сидоров","given":"А.В.","non-dropping-particle":"","parse-names":false,"suffix":""}],"container-title":"Злокачественные опухоли: Практические рекомендации RUSSCO","id":"ITEM-3","issued":{"date-parts":[["2018"]]},"page":"617-635","title":"Практические рекомендации по лечению хронического болевого синдрома у онкологических больных.","type":"chapter"},"uris":["http://www.mendeley.com/documents/?uuid=2f2e1206-26f9-42c4-9676-2613564eead6"]},{"id":"ITEM-4","itemData":{"DOI":"10.1093/annonc/mdy152","ISSN":"1569-8041","PMID":"30052758","author":[{"dropping-particle":"","family":"Fallon","given":"M","non-dropping-particle":"","parse-names":false,"suffix":""},{"dropping-particle":"","family":"Giusti","given":"R","non-dropping-particle":"","parse-names":false,"suffix":""},{"dropping-particle":"","family":"Aielli","given":"F","non-dropping-particle":"","parse-names":false,"suffix":""},{"dropping-particle":"","family":"Hoskin","given":"P","non-dropping-particle":"","parse-names":false,"suffix":""},{"dropping-particle":"","family":"Rolke","given":"R","non-dropping-particle":"","parse-names":false,"suffix":""},{"dropping-particle":"","family":"Sharma","given":"M","non-dropping-particle":"","parse-names":false,"suffix":""},{"dropping-particle":"","family":"Ripamonti","given":"C I","non-dropping-particle":"","parse-names":false,"suffix":""},{"dropping-particle":"","family":"ESMO Guidelines Committee","given":"","non-dropping-particle":"","parse-names":false,"suffix":""}],"container-title":"Annals of oncology : official journal of the European Society for Medical Oncology","id":"ITEM-4","issue":"Suppl 4","issued":{"date-parts":[["2018"]]},"page":"iv166-iv191","title":"Management of cancer pain in adult patients: ESMO Clinical Practice Guidelines.","type":"article-journal","volume":"29"},"uris":["http://www.mendeley.com/documents/?uuid=de2cca97-c9ee-3e03-bc1e-7a13a50fcf50"]}],"mendeley":{"formattedCitation":"[100,152–154]","plainTextFormattedCitation":"[100,152–154]","previouslyFormattedCitation":"[100,152–154]"},"properties":{"noteIndex":0},"schema":"https://github.com/citation-style-language/schema/raw/master/csl-citation.json"}</w:instrText>
      </w:r>
      <w:r>
        <w:fldChar w:fldCharType="separate"/>
      </w:r>
      <w:r>
        <w:rPr>
          <w:noProof/>
        </w:rPr>
        <w:t>[100,153–155</w:t>
      </w:r>
      <w:r w:rsidRPr="00BF3043">
        <w:rPr>
          <w:noProof/>
        </w:rPr>
        <w:t>]</w:t>
      </w:r>
      <w:r>
        <w:fldChar w:fldCharType="end"/>
      </w:r>
      <w:r w:rsidRPr="00C13E67">
        <w:rPr>
          <w:bCs/>
          <w:u w:val="single"/>
        </w:rPr>
        <w:t xml:space="preserve">: </w:t>
      </w:r>
    </w:p>
    <w:p w14:paraId="79158A7E" w14:textId="77777777" w:rsidR="00143441" w:rsidRPr="00AF2453" w:rsidRDefault="00143441" w:rsidP="00461889">
      <w:pPr>
        <w:pStyle w:val="afff3"/>
        <w:numPr>
          <w:ilvl w:val="0"/>
          <w:numId w:val="279"/>
        </w:numPr>
      </w:pPr>
      <w:r w:rsidRPr="00AF2453">
        <w:t>применение трехступенчатой схемы обезболивания по рекомендации ВОЗ (</w:t>
      </w:r>
      <w:r w:rsidRPr="00FB48DF">
        <w:t>назначение ненаркотических анальгетиков при слабой боли, трамадола и кодеина при умеренной боли, и опиоидных анальгетиков морфинового ряда при сильной боли);</w:t>
      </w:r>
    </w:p>
    <w:p w14:paraId="4A6EF1FE" w14:textId="77777777" w:rsidR="00143441" w:rsidRPr="00AF2453" w:rsidRDefault="00143441" w:rsidP="00461889">
      <w:pPr>
        <w:pStyle w:val="afff3"/>
        <w:numPr>
          <w:ilvl w:val="0"/>
          <w:numId w:val="279"/>
        </w:numPr>
      </w:pPr>
      <w:r w:rsidRPr="00AF2453">
        <w:t>разработка индивидуальных схем обезболивания, с учетом ограничений и противопоказаний, накладываемых особенностями гематологического заболевания (например, полностью отказались в гематологии от применения метамизола, противопоказаны пациентам с гипокоагуляцией неселективные НПВП и т.д.);</w:t>
      </w:r>
    </w:p>
    <w:p w14:paraId="1D467E9C" w14:textId="77777777" w:rsidR="00143441" w:rsidRPr="00FB48DF" w:rsidRDefault="00143441" w:rsidP="00461889">
      <w:pPr>
        <w:pStyle w:val="afff3"/>
        <w:numPr>
          <w:ilvl w:val="0"/>
          <w:numId w:val="279"/>
        </w:numPr>
      </w:pPr>
      <w:r w:rsidRPr="00AF2453">
        <w:t>применение мультимодальной анальгезии</w:t>
      </w:r>
      <w:r w:rsidRPr="00FB48DF">
        <w:t xml:space="preserve"> (одновременное  назначение нескольких препаратов с различными механизмами действия, ко-анальгетиков, с целью достижения максимального анальгетического эффекта, с учетом патофизиологической основы боли);</w:t>
      </w:r>
    </w:p>
    <w:p w14:paraId="3473D847" w14:textId="77777777" w:rsidR="00143441" w:rsidRPr="00AF2453" w:rsidRDefault="00143441" w:rsidP="00461889">
      <w:pPr>
        <w:pStyle w:val="afff3"/>
        <w:numPr>
          <w:ilvl w:val="0"/>
          <w:numId w:val="279"/>
        </w:numPr>
      </w:pPr>
      <w:r w:rsidRPr="00AF2453">
        <w:t xml:space="preserve">использование превентивной анальгезии – начало базовой терапии до возникновения боли; </w:t>
      </w:r>
    </w:p>
    <w:p w14:paraId="5B3CD8B5" w14:textId="77777777" w:rsidR="00143441" w:rsidRPr="00AF2453" w:rsidRDefault="00143441" w:rsidP="00461889">
      <w:pPr>
        <w:pStyle w:val="afff3"/>
        <w:numPr>
          <w:ilvl w:val="0"/>
          <w:numId w:val="279"/>
        </w:numPr>
      </w:pPr>
      <w:r w:rsidRPr="00AF2453">
        <w:lastRenderedPageBreak/>
        <w:t>построение схем обезболивания с учетом предпочтительных способов введения в гематологии;</w:t>
      </w:r>
    </w:p>
    <w:p w14:paraId="48528B71" w14:textId="77777777" w:rsidR="00143441" w:rsidRPr="00AF2453" w:rsidRDefault="00143441" w:rsidP="00461889">
      <w:pPr>
        <w:pStyle w:val="afff3"/>
        <w:numPr>
          <w:ilvl w:val="0"/>
          <w:numId w:val="279"/>
        </w:numPr>
      </w:pPr>
      <w:r w:rsidRPr="00AF2453">
        <w:t xml:space="preserve">контроль эффективности и переносимости анальгезирующей терапии, своевременная коррекция. </w:t>
      </w:r>
    </w:p>
    <w:p w14:paraId="51B9A97F" w14:textId="77777777" w:rsidR="00143441" w:rsidRPr="00C13E67" w:rsidRDefault="00143441" w:rsidP="00143441">
      <w:pPr>
        <w:ind w:firstLine="709"/>
        <w:rPr>
          <w:bCs/>
          <w:u w:val="single"/>
        </w:rPr>
      </w:pPr>
      <w:r w:rsidRPr="00C13E67">
        <w:rPr>
          <w:bCs/>
          <w:u w:val="single"/>
        </w:rPr>
        <w:t>Основные группы препаратов, применяемых для купирования боли у пациентов</w:t>
      </w:r>
      <w:r>
        <w:rPr>
          <w:bCs/>
          <w:u w:val="single"/>
        </w:rPr>
        <w:t xml:space="preserve"> с лейкозами</w:t>
      </w:r>
      <w:r w:rsidRPr="003756EB">
        <w:rPr>
          <w:bCs/>
          <w:u w:val="single"/>
        </w:rPr>
        <w:t xml:space="preserve"> </w:t>
      </w:r>
      <w:r>
        <w:fldChar w:fldCharType="begin" w:fldLock="1"/>
      </w:r>
      <w:r>
        <w:instrText>ADDIN CSL_CITATION {"citationItems":[{"id":"ITEM-1","itemData":{"author":[{"dropping-particle":"","family":"Абузарова","given":"Г.Р.","non-dropping-particle":"","parse-names":false,"suffix":""}],"container-title":"Российские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Савченко.","id":"ITEM-1","issued":{"date-parts":[["2018"]]},"page":"278-288","title":"Лечение болевого синдрома у онкологических больных","type":"chapter"},"uris":["http://www.mendeley.com/documents/?uuid=3021caae-334d-4ac5-97a6-7ea5587353dc"]},{"id":"ITEM-2","itemData":{"author":[{"dropping-particle":"","family":"Абузарова","given":"Г.Р.","non-dropping-particle":"","parse-names":false,"suffix":""},{"dropping-particle":"","family":"Невзорова","given":"Д.В.","non-dropping-particle":"","parse-names":false,"suffix":""},{"dropping-particle":"","family":"Кумирова","given":"Э.В.","non-dropping-particle":"","parse-names":false,"suffix":""},{"dropping-particle":"","family":"Савва","given":"Н.Н.","non-dropping-particle":"","parse-names":false,"suffix":""},{"dropping-particle":"","family":"Арутюнов","given":"Г.П.","non-dropping-particle":"","parse-names":false,"suffix":""},{"dropping-particle":"","family":"Багненко","given":"С.Ф.","non-dropping-particle":"","parse-names":false,"suffix":""},{"dropping-particle":"","family":"Данилов","given":"А.Б.","non-dropping-particle":"","parse-names":false,"suffix":""},{"dropping-particle":"","family":"Данилов","given":"А.Б.","non-dropping-particle":"","parse-names":false,"suffix":""},{"dropping-particle":"","family":"Куняева","given":"Т.А.","non-dropping-particle":"","parse-names":false,"suffix":""},{"dropping-particle":"","family":"Николаева","given":"Н.М.","non-dropping-particle":"","parse-names":false,"suffix":""},{"dropping-particle":"","family":"Молчанов","given":"И.В.","non-dropping-particle":"","parse-names":false,"suffix":""},{"dropping-particle":"","family":"Падалкин","given":"В.П.","non-dropping-particle":"","parse-names":false,"suffix":""},{"dropping-particle":"","family":"Поляков","given":"В.Г.","non-dropping-particle":"","parse-names":false,"suffix":""},{"dropping-particle":"","family":"Пчелинцев","given":"М.В.","non-dropping-particle":"","parse-names":false,"suffix":""},{"dropping-particle":"","family":"Степаненко","given":"С.М.","non-dropping-particle":"","parse-names":false,"suffix":""}],"id":"ITEM-2","issued":{"date-parts":[["2016"]]},"number-of-pages":"94","publisher":"ФГБОУ ВО РНИМУ им. Н.И. Пирогова Минздрава России.","title":"Обезболивание взрослых и детей при оказании медицинской помощи. Методические рекомендации.","type":"book"},"uris":["http://www.mendeley.com/documents/?uuid=b9ffed91-f776-4e2f-87c8-ff7901014151"]},{"id":"ITEM-3","itemData":{"author":[{"dropping-particle":"","family":"Когония","given":"Л.М.","non-dropping-particle":"","parse-names":false,"suffix":""},{"dropping-particle":"","family":"Волошин","given":"А.Г.","non-dropping-particle":"","parse-names":false,"suffix":""},{"dropping-particle":"","family":"Новиков","given":"Г.А.","non-dropping-particle":"","parse-names":false,"suffix":""},{"dropping-particle":"","family":"Сидоров","given":"А.В.","non-dropping-particle":"","parse-names":false,"suffix":""}],"container-title":"Злокачественные опухоли: Практические рекомендации RUSSCO","id":"ITEM-3","issued":{"date-parts":[["2018"]]},"page":"617-635","title":"Практические рекомендации по лечению хронического болевого синдрома у онкологических больных.","type":"chapter"},"uris":["http://www.mendeley.com/documents/?uuid=2f2e1206-26f9-42c4-9676-2613564eead6"]},{"id":"ITEM-4","itemData":{"DOI":"10.1093/annonc/mdy152","ISSN":"1569-8041","PMID":"30052758","author":[{"dropping-particle":"","family":"Fallon","given":"M","non-dropping-particle":"","parse-names":false,"suffix":""},{"dropping-particle":"","family":"Giusti","given":"R","non-dropping-particle":"","parse-names":false,"suffix":""},{"dropping-particle":"","family":"Aielli","given":"F","non-dropping-particle":"","parse-names":false,"suffix":""},{"dropping-particle":"","family":"Hoskin","given":"P","non-dropping-particle":"","parse-names":false,"suffix":""},{"dropping-particle":"","family":"Rolke","given":"R","non-dropping-particle":"","parse-names":false,"suffix":""},{"dropping-particle":"","family":"Sharma","given":"M","non-dropping-particle":"","parse-names":false,"suffix":""},{"dropping-particle":"","family":"Ripamonti","given":"C I","non-dropping-particle":"","parse-names":false,"suffix":""},{"dropping-particle":"","family":"ESMO Guidelines Committee","given":"","non-dropping-particle":"","parse-names":false,"suffix":""}],"container-title":"Annals of oncology : official journal of the European Society for Medical Oncology","id":"ITEM-4","issue":"Suppl 4","issued":{"date-parts":[["2018"]]},"page":"iv166-iv191","title":"Management of cancer pain in adult patients: ESMO Clinical Practice Guidelines.","type":"article-journal","volume":"29"},"uris":["http://www.mendeley.com/documents/?uuid=de2cca97-c9ee-3e03-bc1e-7a13a50fcf50"]}],"mendeley":{"formattedCitation":"[100,152–154]","plainTextFormattedCitation":"[100,152–154]","previouslyFormattedCitation":"[100,152–154]"},"properties":{"noteIndex":0},"schema":"https://github.com/citation-style-language/schema/raw/master/csl-citation.json"}</w:instrText>
      </w:r>
      <w:r>
        <w:fldChar w:fldCharType="separate"/>
      </w:r>
      <w:r>
        <w:rPr>
          <w:noProof/>
        </w:rPr>
        <w:t>[100,153–155</w:t>
      </w:r>
      <w:r w:rsidRPr="00BF3043">
        <w:rPr>
          <w:noProof/>
        </w:rPr>
        <w:t>]</w:t>
      </w:r>
      <w:r>
        <w:fldChar w:fldCharType="end"/>
      </w:r>
      <w:r w:rsidRPr="00C13E67">
        <w:rPr>
          <w:bCs/>
          <w:u w:val="single"/>
        </w:rPr>
        <w:t>:</w:t>
      </w:r>
      <w:r w:rsidRPr="003756EB">
        <w:rPr>
          <w:bCs/>
          <w:u w:val="single"/>
        </w:rPr>
        <w:t xml:space="preserve"> </w:t>
      </w:r>
      <w:r w:rsidRPr="00C13E67">
        <w:rPr>
          <w:bCs/>
          <w:u w:val="single"/>
        </w:rPr>
        <w:t xml:space="preserve"> </w:t>
      </w:r>
    </w:p>
    <w:p w14:paraId="5AA84986" w14:textId="77777777" w:rsidR="00143441" w:rsidRPr="00AF2453" w:rsidRDefault="00143441" w:rsidP="00461889">
      <w:pPr>
        <w:pStyle w:val="afff3"/>
        <w:numPr>
          <w:ilvl w:val="0"/>
          <w:numId w:val="279"/>
        </w:numPr>
      </w:pPr>
      <w:r w:rsidRPr="00AF2453">
        <w:t xml:space="preserve">Опиоидные анальгетики – морфин, фентанил, ремифентанил, тримеперидин, оксикодон, бупренорфин, дигидрокодеин, трамадол, и иные опиодные анальгетики для терапии боли онкологического профиля  </w:t>
      </w:r>
    </w:p>
    <w:p w14:paraId="05197219" w14:textId="77777777" w:rsidR="00143441" w:rsidRPr="00AF2453" w:rsidRDefault="00143441" w:rsidP="00461889">
      <w:pPr>
        <w:pStyle w:val="afff3"/>
        <w:numPr>
          <w:ilvl w:val="0"/>
          <w:numId w:val="279"/>
        </w:numPr>
      </w:pPr>
      <w:r w:rsidRPr="00AF2453">
        <w:t>Неселективные НПВП (ингибиторы ЦОГ-1, ЦОГ-2) – диклофенак, кетопрофен, декскетопрофен, ибупрофен, кеторолак, лорноксикам</w:t>
      </w:r>
    </w:p>
    <w:p w14:paraId="3C3AE972" w14:textId="77777777" w:rsidR="00143441" w:rsidRPr="00AF2453" w:rsidRDefault="00143441" w:rsidP="00461889">
      <w:pPr>
        <w:pStyle w:val="afff3"/>
        <w:numPr>
          <w:ilvl w:val="0"/>
          <w:numId w:val="279"/>
        </w:numPr>
      </w:pPr>
      <w:r w:rsidRPr="00AF2453">
        <w:t>Селективные НПВП (ингибиторы ЦОГ-2) – нимесулид,  мелоксикам</w:t>
      </w:r>
    </w:p>
    <w:p w14:paraId="3B1A9561" w14:textId="77777777" w:rsidR="00143441" w:rsidRPr="00AF2453" w:rsidRDefault="00143441" w:rsidP="00461889">
      <w:pPr>
        <w:pStyle w:val="afff3"/>
        <w:numPr>
          <w:ilvl w:val="0"/>
          <w:numId w:val="279"/>
        </w:numPr>
      </w:pPr>
      <w:r w:rsidRPr="00FB48DF">
        <w:t xml:space="preserve">Высокоселективные НПВП (ингибиторы ЦОГ-2) – </w:t>
      </w:r>
      <w:r w:rsidRPr="00AF2453">
        <w:t>целекоксиб, эторикоксиб, парекоксиб</w:t>
      </w:r>
    </w:p>
    <w:p w14:paraId="05E17159" w14:textId="77777777" w:rsidR="00143441" w:rsidRPr="00AF2453" w:rsidRDefault="00143441" w:rsidP="00461889">
      <w:pPr>
        <w:pStyle w:val="afff3"/>
        <w:numPr>
          <w:ilvl w:val="0"/>
          <w:numId w:val="279"/>
        </w:numPr>
      </w:pPr>
      <w:r w:rsidRPr="00AF2453">
        <w:t>Анилиды – парацетамол</w:t>
      </w:r>
    </w:p>
    <w:p w14:paraId="34C62545" w14:textId="77777777" w:rsidR="00143441" w:rsidRPr="00AF2453" w:rsidRDefault="00143441" w:rsidP="00461889">
      <w:pPr>
        <w:pStyle w:val="afff3"/>
        <w:numPr>
          <w:ilvl w:val="0"/>
          <w:numId w:val="279"/>
        </w:numPr>
      </w:pPr>
      <w:r w:rsidRPr="00AF2453">
        <w:t>Другие неопиоидные анальгетики –  нефопам</w:t>
      </w:r>
    </w:p>
    <w:p w14:paraId="30909BEA" w14:textId="77777777" w:rsidR="00143441" w:rsidRPr="00AF2453" w:rsidRDefault="00143441" w:rsidP="00461889">
      <w:pPr>
        <w:pStyle w:val="afff3"/>
        <w:numPr>
          <w:ilvl w:val="0"/>
          <w:numId w:val="279"/>
        </w:numPr>
      </w:pPr>
      <w:r w:rsidRPr="00AF2453">
        <w:t>Антиконвульсанты – габапентин, прегабалин</w:t>
      </w:r>
    </w:p>
    <w:p w14:paraId="36BA1D4D" w14:textId="77777777" w:rsidR="00143441" w:rsidRPr="00AF2453" w:rsidRDefault="00143441" w:rsidP="00461889">
      <w:pPr>
        <w:pStyle w:val="afff3"/>
        <w:numPr>
          <w:ilvl w:val="0"/>
          <w:numId w:val="279"/>
        </w:numPr>
      </w:pPr>
      <w:r w:rsidRPr="00AF2453">
        <w:t>Внутривенные анестетики – кетамин</w:t>
      </w:r>
    </w:p>
    <w:p w14:paraId="1D02DCC8" w14:textId="77777777" w:rsidR="00143441" w:rsidRPr="00AF2453" w:rsidRDefault="00143441" w:rsidP="00461889">
      <w:pPr>
        <w:pStyle w:val="afff3"/>
        <w:numPr>
          <w:ilvl w:val="0"/>
          <w:numId w:val="279"/>
        </w:numPr>
      </w:pPr>
      <w:r w:rsidRPr="00AF2453">
        <w:t>Спазмолитики –  дротаверин, папаверина гидрохлорид, платифиллин и др.</w:t>
      </w:r>
    </w:p>
    <w:p w14:paraId="11DC94EA" w14:textId="77777777" w:rsidR="00143441" w:rsidRPr="00AF2453" w:rsidRDefault="00143441" w:rsidP="00461889">
      <w:pPr>
        <w:pStyle w:val="afff3"/>
        <w:numPr>
          <w:ilvl w:val="0"/>
          <w:numId w:val="279"/>
        </w:numPr>
      </w:pPr>
      <w:r w:rsidRPr="00AF2453">
        <w:t>Миорелаксанты центрального действия –  тизанидина гидрохлорид</w:t>
      </w:r>
    </w:p>
    <w:p w14:paraId="56498795" w14:textId="77777777" w:rsidR="00143441" w:rsidRPr="00AF2453" w:rsidRDefault="00143441" w:rsidP="00461889">
      <w:pPr>
        <w:pStyle w:val="afff3"/>
        <w:numPr>
          <w:ilvl w:val="0"/>
          <w:numId w:val="279"/>
        </w:numPr>
      </w:pPr>
      <w:r w:rsidRPr="00FB48DF">
        <w:t>Мазь / крем для наружного применения – эбермин, декспантенол, диоксометилтетрагидропиримидин (для лечения лучевого дерматита)</w:t>
      </w:r>
    </w:p>
    <w:p w14:paraId="5DE35045" w14:textId="77777777" w:rsidR="00143441" w:rsidRPr="00AF2453" w:rsidRDefault="00143441" w:rsidP="00461889">
      <w:pPr>
        <w:pStyle w:val="afff3"/>
        <w:numPr>
          <w:ilvl w:val="0"/>
          <w:numId w:val="279"/>
        </w:numPr>
      </w:pPr>
      <w:r w:rsidRPr="00FB48DF">
        <w:t>Растворы для полоскания полости рта (при мукозитах) – раствор солевой гипернасыщенный  (капосол) и другие ополаскиватели для полости рта (висцид)</w:t>
      </w:r>
    </w:p>
    <w:p w14:paraId="748B4B8B" w14:textId="77777777" w:rsidR="00143441" w:rsidRPr="00AF2453" w:rsidRDefault="00143441" w:rsidP="00461889">
      <w:pPr>
        <w:pStyle w:val="afff3"/>
        <w:numPr>
          <w:ilvl w:val="0"/>
          <w:numId w:val="279"/>
        </w:numPr>
      </w:pPr>
      <w:r w:rsidRPr="00FB48DF">
        <w:t>Увлажняющие стоматологические гели (при стоматитах)</w:t>
      </w:r>
    </w:p>
    <w:p w14:paraId="1EDE0397" w14:textId="77777777" w:rsidR="00143441" w:rsidRDefault="00143441" w:rsidP="00143441">
      <w:pPr>
        <w:ind w:firstLine="709"/>
        <w:rPr>
          <w:b/>
        </w:rPr>
      </w:pPr>
    </w:p>
    <w:p w14:paraId="463C8781" w14:textId="77777777" w:rsidR="00143441" w:rsidRPr="00FB48DF" w:rsidRDefault="00143441" w:rsidP="00143441">
      <w:pPr>
        <w:ind w:firstLine="709"/>
        <w:rPr>
          <w:bCs/>
          <w:u w:val="single"/>
        </w:rPr>
      </w:pPr>
      <w:r w:rsidRPr="00693F36">
        <w:rPr>
          <w:bCs/>
          <w:u w:val="single"/>
        </w:rPr>
        <w:t>Обезболивание пациентов ОМЛ при тромбоцитопении.</w:t>
      </w:r>
    </w:p>
    <w:p w14:paraId="1B273CED" w14:textId="77777777" w:rsidR="00143441" w:rsidRPr="00AF2453" w:rsidRDefault="00143441" w:rsidP="00143441">
      <w:pPr>
        <w:ind w:firstLine="709"/>
      </w:pPr>
      <w:r w:rsidRPr="00AF2453">
        <w:t xml:space="preserve">Наиболее часто компонентами анестезии у пациентов </w:t>
      </w:r>
      <w:r>
        <w:t xml:space="preserve">с лейкозами </w:t>
      </w:r>
      <w:r w:rsidRPr="00AF2453">
        <w:t xml:space="preserve">являются: диприван, фентанил (вводная анестезия); тракриум, листенон (миорелаксация); севоран, фентанил (поддержание анестезии дробно). </w:t>
      </w:r>
    </w:p>
    <w:p w14:paraId="4B591A80" w14:textId="77777777" w:rsidR="00143441" w:rsidRPr="00AF2453" w:rsidRDefault="00143441" w:rsidP="00143441">
      <w:pPr>
        <w:ind w:firstLine="709"/>
      </w:pPr>
      <w:r w:rsidRPr="00AF2453">
        <w:t xml:space="preserve">В послеоперационном периоде применяются анальгетики, не влияющие на систему гемостаза: парацетамол, нефопам, опиоиды. При применении парацетамола особое внимание уделяется уровню тромбоцитов, т. к. известно, что в очень редких случаях препарат может вызывать тромбоцитопению. </w:t>
      </w:r>
    </w:p>
    <w:p w14:paraId="345A8880" w14:textId="77777777" w:rsidR="00143441" w:rsidRPr="00AF2453" w:rsidRDefault="00143441" w:rsidP="00143441">
      <w:pPr>
        <w:ind w:firstLine="709"/>
      </w:pPr>
      <w:r w:rsidRPr="00AF2453">
        <w:lastRenderedPageBreak/>
        <w:t xml:space="preserve">Противопоказано применение у пациентов с тромбоцитопенией неселективных НПВП. Ацетилсалициловая кислота вызывает необратимое влияние на ЦОГ и, соответственно, функцию тромбоцитов (дезагрегация тромбоцитов сохраняется в течение всего периода жизни тромбоцитов - 6–10 дней). Остальные неселективные НПВП подавляют ЦОГ тромбоцитов временно: функция тромбоцитов возвращается к нормальным значениям через 5 периодов полураспада НПВП, но несмотря на лишь временное блокирование агрегации тромбоцитов, применение НПВП абсолютно противопоказано у пациентов с ЗСК, протекающими с гипокоагуляцией. </w:t>
      </w:r>
    </w:p>
    <w:p w14:paraId="103374D7" w14:textId="77777777" w:rsidR="00143441" w:rsidRPr="00AF2453" w:rsidRDefault="00143441" w:rsidP="00143441">
      <w:pPr>
        <w:ind w:firstLine="709"/>
      </w:pPr>
      <w:r w:rsidRPr="00AF2453">
        <w:t xml:space="preserve">Применение у пациентов с тромбоцитопенией селективных НПВП – ингибиторов циклооксигеназы-2 (ЦОГ-2), не оказывающих влияния на функцию тромбоцитов и слизистую желудка, ограничено в связи с вызываемыми ими побочными эффектами в виде кардиоваскулярных осложнений (инфаркт миокарда, инсульт). </w:t>
      </w:r>
    </w:p>
    <w:p w14:paraId="21160385" w14:textId="77777777" w:rsidR="00143441" w:rsidRDefault="00143441" w:rsidP="00143441">
      <w:pPr>
        <w:ind w:firstLine="709"/>
        <w:rPr>
          <w:b/>
          <w:u w:val="single"/>
        </w:rPr>
      </w:pPr>
    </w:p>
    <w:p w14:paraId="6491CD9F" w14:textId="77777777" w:rsidR="00143441" w:rsidRPr="003C2911" w:rsidRDefault="00143441" w:rsidP="00143441">
      <w:pPr>
        <w:ind w:firstLine="709"/>
        <w:rPr>
          <w:bCs/>
          <w:u w:val="single"/>
        </w:rPr>
      </w:pPr>
      <w:r w:rsidRPr="003C2911">
        <w:rPr>
          <w:bCs/>
          <w:u w:val="single"/>
        </w:rPr>
        <w:t>Болевой синдром при введении Г-КСФ</w:t>
      </w:r>
    </w:p>
    <w:p w14:paraId="488A3177" w14:textId="77777777" w:rsidR="00143441" w:rsidRPr="00AF2453" w:rsidRDefault="00143441" w:rsidP="00143441">
      <w:pPr>
        <w:ind w:firstLine="709"/>
      </w:pPr>
      <w:r w:rsidRPr="00AF2453">
        <w:t xml:space="preserve">При применении Г-КСФ могут возникать боли в костях, вызванные ускоренной мобилизацией клеток крови из костного мозга.  При рутинном применении Г-КСФ во время ХТ или в послекурсовом периоде болевой синдром возникает у 5-10% пациентов, в основном купируется НПВС. При применении Г-КСФ в процессе мобилизации клеток при проведении аутологичной трансплантации костного мозга / стволовых клеток возникает существенно чаще и требует адекватного обезболивания, в том числе, при необходимости,  наркотическими аналгетиками </w:t>
      </w:r>
      <w:r w:rsidRPr="00693F36">
        <w:t>(</w:t>
      </w:r>
      <w:hyperlink r:id="rId8" w:history="1">
        <w:r w:rsidRPr="00693F36">
          <w:rPr>
            <w:rStyle w:val="a8"/>
          </w:rPr>
          <w:t>тримеперидин</w:t>
        </w:r>
      </w:hyperlink>
      <w:r w:rsidRPr="00AF2453">
        <w:t xml:space="preserve"> 10 мг в/в, трамадол 100 мг в/в, фентанил 25 мкг/час трансдермально).</w:t>
      </w:r>
    </w:p>
    <w:p w14:paraId="789880DD" w14:textId="77777777" w:rsidR="00143441" w:rsidRPr="00AF2453" w:rsidRDefault="00143441" w:rsidP="00143441">
      <w:pPr>
        <w:ind w:firstLine="709"/>
        <w:rPr>
          <w:b/>
          <w:bCs/>
        </w:rPr>
      </w:pPr>
    </w:p>
    <w:p w14:paraId="0D9487F0" w14:textId="77777777" w:rsidR="00143441" w:rsidRPr="003C2911" w:rsidRDefault="00143441" w:rsidP="00143441">
      <w:pPr>
        <w:ind w:left="709"/>
        <w:rPr>
          <w:b/>
        </w:rPr>
      </w:pPr>
      <w:r w:rsidRPr="003C2911">
        <w:rPr>
          <w:b/>
        </w:rPr>
        <w:t>Нейропатическая боль (НБ)</w:t>
      </w:r>
      <w:r>
        <w:rPr>
          <w:b/>
        </w:rPr>
        <w:t xml:space="preserve"> </w:t>
      </w:r>
      <w:r>
        <w:rPr>
          <w:b/>
        </w:rPr>
        <w:fldChar w:fldCharType="begin" w:fldLock="1"/>
      </w:r>
      <w:r>
        <w:rPr>
          <w:b/>
        </w:rPr>
        <w:instrText>ADDIN CSL_CITATION {"citationItems":[{"id":"ITEM-1","itemData":{"author":[{"dropping-particle":"","family":"Авыдов","given":"О.С.","non-dropping-particle":"","parse-names":false,"suffix":""},{"dropping-particle":"","family":"Яхно","given":"Н.Н.","non-dropping-particle":"","parse-names":false,"suffix":""},{"dropping-particle":"","family":"Кукушкин","given":"М.Л.","non-dropping-particle":"","parse-names":false,"suffix":""},{"dropping-particle":"","family":"Чурюканов","given":"М.В.","non-dropping-particle":"","parse-names":false,"suffix":""},{"dropping-particle":"","family":"Абузарова","given":"Г.Р.","non-dropping-particle":"","parse-names":false,"suffix":""}],"container-title":"Российский журнал боли","id":"ITEM-1","issued":{"date-parts":[["2018"]]},"page":"5-40","title":"Невропатическая боль: клинические рекомендации по диагностике и лечению Российского общества по изучению боли","type":"article-journal","volume":"4"},"uris":["http://www.mendeley.com/documents/?uuid=9cb8bcdc-6d99-4a44-a57f-bdeec156b2b9"]}],"mendeley":{"formattedCitation":"[155]","plainTextFormattedCitation":"[155]","previouslyFormattedCitation":"[155]"},"properties":{"noteIndex":0},"schema":"https://github.com/citation-style-language/schema/raw/master/csl-citation.json"}</w:instrText>
      </w:r>
      <w:r>
        <w:rPr>
          <w:b/>
        </w:rPr>
        <w:fldChar w:fldCharType="separate"/>
      </w:r>
      <w:r w:rsidRPr="00BF3043">
        <w:rPr>
          <w:noProof/>
        </w:rPr>
        <w:t>[155]</w:t>
      </w:r>
      <w:r>
        <w:rPr>
          <w:b/>
        </w:rPr>
        <w:fldChar w:fldCharType="end"/>
      </w:r>
    </w:p>
    <w:p w14:paraId="162FBA29" w14:textId="77777777" w:rsidR="00143441" w:rsidRPr="00AF2453" w:rsidRDefault="00143441" w:rsidP="00143441">
      <w:pPr>
        <w:ind w:firstLine="709"/>
        <w:rPr>
          <w:b/>
        </w:rPr>
      </w:pPr>
      <w:r w:rsidRPr="00AF2453">
        <w:t xml:space="preserve">У пациентов </w:t>
      </w:r>
      <w:r w:rsidRPr="00693F36">
        <w:t xml:space="preserve">с лейкозом </w:t>
      </w:r>
      <w:r w:rsidRPr="00AF2453">
        <w:t xml:space="preserve">встречаются мононейропатия, полинейропатия, постгерпетическая невралгия, опухолевые компрессии спинного мозга, остеодеструкции, </w:t>
      </w:r>
      <w:r>
        <w:t>прорастание/сдавление</w:t>
      </w:r>
      <w:r w:rsidRPr="00AF2453">
        <w:t xml:space="preserve"> </w:t>
      </w:r>
      <w:r w:rsidRPr="00693F36">
        <w:t>лейкемидами</w:t>
      </w:r>
      <w:r>
        <w:rPr>
          <w:color w:val="FF0000"/>
        </w:rPr>
        <w:t xml:space="preserve"> </w:t>
      </w:r>
      <w:r w:rsidRPr="00AF2453">
        <w:t>нервных стволов и мозговых структур. Тяжелые токсические полинейропатии могут являться осложнением специфической химиотерапии, например, бортезомибом, талидомидом, винкристином. Боль смешанного генеза — глубокая соматическая ноцицептивная и нейропатическая зачастую выявляются при гемофилической артропатии.</w:t>
      </w:r>
    </w:p>
    <w:p w14:paraId="400584AC" w14:textId="77777777" w:rsidR="00143441" w:rsidRPr="00AF2453" w:rsidRDefault="00143441" w:rsidP="00143441">
      <w:pPr>
        <w:ind w:firstLine="709"/>
      </w:pPr>
      <w:r w:rsidRPr="00AF2453">
        <w:t xml:space="preserve">При выявлении у пациента </w:t>
      </w:r>
      <w:r>
        <w:t xml:space="preserve"> </w:t>
      </w:r>
      <w:r w:rsidRPr="00693F36">
        <w:t xml:space="preserve">с лейкозом </w:t>
      </w:r>
      <w:r w:rsidRPr="00AF2453">
        <w:t xml:space="preserve">НБ возможно рассматривать назначение следующих препаратов: </w:t>
      </w:r>
    </w:p>
    <w:p w14:paraId="2EBF82CB" w14:textId="77777777" w:rsidR="00143441" w:rsidRPr="00AF2453" w:rsidRDefault="00143441" w:rsidP="00461889">
      <w:pPr>
        <w:pStyle w:val="afff3"/>
        <w:numPr>
          <w:ilvl w:val="0"/>
          <w:numId w:val="278"/>
        </w:numPr>
        <w:ind w:left="0" w:firstLine="709"/>
        <w:jc w:val="left"/>
      </w:pPr>
      <w:r w:rsidRPr="00AF2453">
        <w:t xml:space="preserve">первая линия терапии </w:t>
      </w:r>
    </w:p>
    <w:p w14:paraId="04096417" w14:textId="77777777" w:rsidR="00143441" w:rsidRPr="00AF2453" w:rsidRDefault="00143441" w:rsidP="00143441">
      <w:pPr>
        <w:pStyle w:val="afff3"/>
        <w:ind w:left="0" w:firstLine="709"/>
      </w:pPr>
      <w:r w:rsidRPr="00AF2453">
        <w:lastRenderedPageBreak/>
        <w:t>- антидепрессанты (как трициклические антидепрессанты, так и ингибиторы обратного захвата серотонина и нор</w:t>
      </w:r>
      <w:r w:rsidRPr="00AF2453">
        <w:softHyphen/>
        <w:t>адреналина;</w:t>
      </w:r>
    </w:p>
    <w:p w14:paraId="77517EA0" w14:textId="77777777" w:rsidR="00143441" w:rsidRPr="00AF2453" w:rsidRDefault="00143441" w:rsidP="00143441">
      <w:pPr>
        <w:pStyle w:val="afff3"/>
        <w:ind w:left="0" w:firstLine="709"/>
      </w:pPr>
      <w:r w:rsidRPr="00AF2453">
        <w:t xml:space="preserve">- антиконвульсанты (габапентин, прегабалин, карбамазепин); </w:t>
      </w:r>
    </w:p>
    <w:p w14:paraId="0C73A9C7" w14:textId="77777777" w:rsidR="00143441" w:rsidRPr="00AF2453" w:rsidRDefault="00143441" w:rsidP="00461889">
      <w:pPr>
        <w:pStyle w:val="afff3"/>
        <w:numPr>
          <w:ilvl w:val="0"/>
          <w:numId w:val="278"/>
        </w:numPr>
        <w:ind w:left="0" w:firstLine="709"/>
        <w:jc w:val="left"/>
      </w:pPr>
      <w:r w:rsidRPr="00AF2453">
        <w:t xml:space="preserve">вторая и третья линии терапии </w:t>
      </w:r>
    </w:p>
    <w:p w14:paraId="4C44EF44" w14:textId="77777777" w:rsidR="00143441" w:rsidRPr="00AF2453" w:rsidRDefault="00143441" w:rsidP="00143441">
      <w:pPr>
        <w:pStyle w:val="afff3"/>
        <w:ind w:left="0" w:firstLine="709"/>
      </w:pPr>
      <w:r w:rsidRPr="00AF2453">
        <w:t>- опиоидные анальгетики (трамадол, тапентадол, оксикодон, морфин);</w:t>
      </w:r>
    </w:p>
    <w:p w14:paraId="0B9BD17B" w14:textId="77777777" w:rsidR="00143441" w:rsidRPr="00AF2453" w:rsidRDefault="00143441" w:rsidP="00143441">
      <w:pPr>
        <w:pStyle w:val="afff3"/>
        <w:ind w:left="0" w:firstLine="709"/>
      </w:pPr>
      <w:r w:rsidRPr="00AF2453">
        <w:t xml:space="preserve">- препараты для местного </w:t>
      </w:r>
      <w:r w:rsidRPr="00AF2453">
        <w:rPr>
          <w:color w:val="000000" w:themeColor="text1"/>
        </w:rPr>
        <w:t xml:space="preserve">применения (пластыри) </w:t>
      </w:r>
      <w:r w:rsidRPr="00AF2453">
        <w:t xml:space="preserve">с 5% лидокаином или 8% капсаицином. </w:t>
      </w:r>
    </w:p>
    <w:p w14:paraId="73C023FD" w14:textId="77777777" w:rsidR="00143441" w:rsidRDefault="00143441" w:rsidP="00143441">
      <w:pPr>
        <w:ind w:firstLine="709"/>
        <w:rPr>
          <w:b/>
        </w:rPr>
      </w:pPr>
    </w:p>
    <w:p w14:paraId="2D31859E" w14:textId="77777777" w:rsidR="00143441" w:rsidRPr="00AF2453" w:rsidRDefault="00143441" w:rsidP="00143441">
      <w:pPr>
        <w:ind w:left="709"/>
        <w:rPr>
          <w:b/>
        </w:rPr>
      </w:pPr>
      <w:r w:rsidRPr="00AF2453">
        <w:rPr>
          <w:b/>
        </w:rPr>
        <w:t>Особенности терапии наркотическими аналгетиками</w:t>
      </w:r>
      <w:r>
        <w:rPr>
          <w:b/>
          <w:lang w:val="en-US"/>
        </w:rPr>
        <w:t xml:space="preserve"> </w:t>
      </w:r>
      <w:r>
        <w:fldChar w:fldCharType="begin" w:fldLock="1"/>
      </w:r>
      <w:r>
        <w:instrText>ADDIN CSL_CITATION {"citationItems":[{"id":"ITEM-1","itemData":{"author":[{"dropping-particle":"","family":"Абузарова","given":"Г.Р.","non-dropping-particle":"","parse-names":false,"suffix":""}],"container-title":"Российские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Савченко.","id":"ITEM-1","issued":{"date-parts":[["2018"]]},"page":"278-288","title":"Лечение болевого синдрома у онкологических больных","type":"chapter"},"uris":["http://www.mendeley.com/documents/?uuid=3021caae-334d-4ac5-97a6-7ea5587353dc"]},{"id":"ITEM-2","itemData":{"author":[{"dropping-particle":"","family":"Абузарова","given":"Г.Р.","non-dropping-particle":"","parse-names":false,"suffix":""},{"dropping-particle":"","family":"Невзорова","given":"Д.В.","non-dropping-particle":"","parse-names":false,"suffix":""},{"dropping-particle":"","family":"Кумирова","given":"Э.В.","non-dropping-particle":"","parse-names":false,"suffix":""},{"dropping-particle":"","family":"Савва","given":"Н.Н.","non-dropping-particle":"","parse-names":false,"suffix":""},{"dropping-particle":"","family":"Арутюнов","given":"Г.П.","non-dropping-particle":"","parse-names":false,"suffix":""},{"dropping-particle":"","family":"Багненко","given":"С.Ф.","non-dropping-particle":"","parse-names":false,"suffix":""},{"dropping-particle":"","family":"Данилов","given":"А.Б.","non-dropping-particle":"","parse-names":false,"suffix":""},{"dropping-particle":"","family":"Данилов","given":"А.Б.","non-dropping-particle":"","parse-names":false,"suffix":""},{"dropping-particle":"","family":"Куняева","given":"Т.А.","non-dropping-particle":"","parse-names":false,"suffix":""},{"dropping-particle":"","family":"Николаева","given":"Н.М.","non-dropping-particle":"","parse-names":false,"suffix":""},{"dropping-particle":"","family":"Молчанов","given":"И.В.","non-dropping-particle":"","parse-names":false,"suffix":""},{"dropping-particle":"","family":"Падалкин","given":"В.П.","non-dropping-particle":"","parse-names":false,"suffix":""},{"dropping-particle":"","family":"Поляков","given":"В.Г.","non-dropping-particle":"","parse-names":false,"suffix":""},{"dropping-particle":"","family":"Пчелинцев","given":"М.В.","non-dropping-particle":"","parse-names":false,"suffix":""},{"dropping-particle":"","family":"Степаненко","given":"С.М.","non-dropping-particle":"","parse-names":false,"suffix":""}],"id":"ITEM-2","issued":{"date-parts":[["2016"]]},"number-of-pages":"94","publisher":"ФГБОУ ВО РНИМУ им. Н.И. Пирогова Минздрава России.","title":"Обезболивание взрослых и детей при оказании медицинской помощи. Методические рекомендации.","type":"book"},"uris":["http://www.mendeley.com/documents/?uuid=b9ffed91-f776-4e2f-87c8-ff7901014151"]},{"id":"ITEM-3","itemData":{"author":[{"dropping-particle":"","family":"Когония","given":"Л.М.","non-dropping-particle":"","parse-names":false,"suffix":""},{"dropping-particle":"","family":"Волошин","given":"А.Г.","non-dropping-particle":"","parse-names":false,"suffix":""},{"dropping-particle":"","family":"Новиков","given":"Г.А.","non-dropping-particle":"","parse-names":false,"suffix":""},{"dropping-particle":"","family":"Сидоров","given":"А.В.","non-dropping-particle":"","parse-names":false,"suffix":""}],"container-title":"Злокачественные опухоли: Практические рекомендации RUSSCO","id":"ITEM-3","issued":{"date-parts":[["2018"]]},"page":"617-635","title":"Практические рекомендации по лечению хронического болевого синдрома у онкологических больных.","type":"chapter"},"uris":["http://www.mendeley.com/documents/?uuid=2f2e1206-26f9-42c4-9676-2613564eead6"]},{"id":"ITEM-4","itemData":{"DOI":"10.1093/annonc/mdy152","ISSN":"1569-8041","PMID":"30052758","author":[{"dropping-particle":"","family":"Fallon","given":"M","non-dropping-particle":"","parse-names":false,"suffix":""},{"dropping-particle":"","family":"Giusti","given":"R","non-dropping-particle":"","parse-names":false,"suffix":""},{"dropping-particle":"","family":"Aielli","given":"F","non-dropping-particle":"","parse-names":false,"suffix":""},{"dropping-particle":"","family":"Hoskin","given":"P","non-dropping-particle":"","parse-names":false,"suffix":""},{"dropping-particle":"","family":"Rolke","given":"R","non-dropping-particle":"","parse-names":false,"suffix":""},{"dropping-particle":"","family":"Sharma","given":"M","non-dropping-particle":"","parse-names":false,"suffix":""},{"dropping-particle":"","family":"Ripamonti","given":"C I","non-dropping-particle":"","parse-names":false,"suffix":""},{"dropping-particle":"","family":"ESMO Guidelines Committee","given":"","non-dropping-particle":"","parse-names":false,"suffix":""}],"container-title":"Annals of oncology : official journal of the European Society for Medical Oncology","id":"ITEM-4","issue":"Suppl 4","issued":{"date-parts":[["2018"]]},"page":"iv166-iv191","title":"Management of cancer pain in adult patients: ESMO Clinical Practice Guidelines.","type":"article-journal","volume":"29"},"uris":["http://www.mendeley.com/documents/?uuid=de2cca97-c9ee-3e03-bc1e-7a13a50fcf50"]}],"mendeley":{"formattedCitation":"[100,152–154]","plainTextFormattedCitation":"[100,152–154]","previouslyFormattedCitation":"[100,152–154]"},"properties":{"noteIndex":0},"schema":"https://github.com/citation-style-language/schema/raw/master/csl-citation.json"}</w:instrText>
      </w:r>
      <w:r>
        <w:fldChar w:fldCharType="separate"/>
      </w:r>
      <w:r>
        <w:rPr>
          <w:noProof/>
        </w:rPr>
        <w:t>[100,153–155</w:t>
      </w:r>
      <w:r w:rsidRPr="00BF3043">
        <w:rPr>
          <w:noProof/>
        </w:rPr>
        <w:t>]</w:t>
      </w:r>
      <w:r>
        <w:fldChar w:fldCharType="end"/>
      </w:r>
      <w:r w:rsidRPr="00AF2453">
        <w:rPr>
          <w:b/>
        </w:rPr>
        <w:t xml:space="preserve">. </w:t>
      </w:r>
    </w:p>
    <w:p w14:paraId="5FDFB6AB" w14:textId="77777777" w:rsidR="00143441" w:rsidRPr="00AF2453" w:rsidRDefault="00143441" w:rsidP="00143441">
      <w:pPr>
        <w:ind w:firstLine="709"/>
      </w:pPr>
      <w:r w:rsidRPr="00AF2453">
        <w:t>В каждой клинической ситуации необходимо тщательно отслеживать состояние пациента при проведении терапии наркотическими анальгетиками. В случае развития побочных эффектов рекомендуется снижение дозы и добавление адъювантного препарата. В ситуациях, когда это неэффективно, возможна ротация опиоида в соответствии с дозами конверсии эквивалентности. Эквивалентность морфину является установленной, но примерной величиной, так как существуют индивидуальные особенности и разная восприимчивость к веществу. При этом доза нового опиоида уменьшается на 20–25% из-за неполной перекрестной толерантности. Расчеты доз при ротации с одного опиоида на другой проводятся через пересчет на морфин пероральный. Подбор эффективной обезболивающей дозы проводится только с морфином короткого действия. После этого пациенту может быть назначен наркотический препарат пролонгированного действия. Морфин короткого действия можно использовать для купирования «прорывной» боли на фоне приема морфина пролонгированного. Индивидуальный подход в назначении опиоидов — выбор анальгетика, подбор дозы, ротация опиоидов, соблюдение последовательности назначения — играет ключевую роль в терапии наркотическими анальгетиками, так как позволяет уменьшить или нивелировать побочное действие препаратов. Помимо наиболее известных таких как сонливость, тошнота, зуд, сухость во рту, замедление перистальтики кишечника, угнетение дыхания, нестабильность гемодинамики (артериальная гипотензия, брадикардия), задержка мочеиспускания, существенное значение у гематологических пациентов имеют иммуносупрессия, эндокринологические нарушения, гипералгезия. Для купирования побочных эффектов, вызванных передозировкой наркотических анальгетиков, применяется антагонист опиоидных рецепторов налоксон.</w:t>
      </w:r>
    </w:p>
    <w:p w14:paraId="246FA7C6" w14:textId="77777777" w:rsidR="00143441" w:rsidRDefault="00143441" w:rsidP="00143441">
      <w:pPr>
        <w:ind w:firstLine="709"/>
        <w:rPr>
          <w:bCs/>
          <w:u w:val="single"/>
        </w:rPr>
      </w:pPr>
    </w:p>
    <w:p w14:paraId="6A840EC0" w14:textId="77777777" w:rsidR="00143441" w:rsidRPr="00EF3DE9" w:rsidRDefault="00143441" w:rsidP="00143441">
      <w:pPr>
        <w:ind w:left="709"/>
        <w:rPr>
          <w:noProof/>
        </w:rPr>
      </w:pPr>
      <w:r w:rsidRPr="00C15153">
        <w:rPr>
          <w:b/>
        </w:rPr>
        <w:t>Пути введения анальгетиков</w:t>
      </w:r>
      <w:r>
        <w:rPr>
          <w:b/>
          <w:lang w:val="en-US"/>
        </w:rPr>
        <w:t xml:space="preserve"> </w:t>
      </w:r>
      <w:r>
        <w:fldChar w:fldCharType="begin" w:fldLock="1"/>
      </w:r>
      <w:r>
        <w:instrText>ADDIN CSL_CITATION {"citationItems":[{"id":"ITEM-1","itemData":{"author":[{"dropping-particle":"","family":"Абузарова","given":"Г.Р.","non-dropping-particle":"","parse-names":false,"suffix":""}],"container-title":"Российские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Савченко.","id":"ITEM-1","issued":{"date-parts":[["2018"]]},"page":"278-288","title":"Лечение болевого синдрома у онкологических больных","type":"chapter"},"uris":["http://www.mendeley.com/documents/?uuid=3021caae-334d-4ac5-97a6-7ea5587353dc"]},{"id":"ITEM-2","itemData":{"author":[{"dropping-particle":"","family":"Абузарова","given":"Г.Р.","non-dropping-particle":"","parse-names":false,"suffix":""},{"dropping-particle":"","family":"Невзорова","given":"Д.В.","non-dropping-particle":"","parse-names":false,"suffix":""},{"dropping-particle":"","family":"Кумирова","given":"Э.В.","non-dropping-particle":"","parse-names":false,"suffix":""},{"dropping-particle":"","family":"Савва","given":"Н.Н.","non-dropping-particle":"","parse-names":false,"suffix":""},{"dropping-particle":"","family":"Арутюнов","given":"Г.П.","non-dropping-particle":"","parse-names":false,"suffix":""},{"dropping-particle":"","family":"Багненко","given":"С.Ф.","non-dropping-particle":"","parse-names":false,"suffix":""},{"dropping-particle":"","family":"Данилов","given":"А.Б.","non-dropping-particle":"","parse-names":false,"suffix":""},{"dropping-particle":"","family":"Данилов","given":"А.Б.","non-dropping-particle":"","parse-names":false,"suffix":""},{"dropping-particle":"","family":"Куняева","given":"Т.А.","non-dropping-particle":"","parse-names":false,"suffix":""},{"dropping-particle":"","family":"Николаева","given":"Н.М.","non-dropping-particle":"","parse-names":false,"suffix":""},{"dropping-particle":"","family":"Молчанов","given":"И.В.","non-dropping-particle":"","parse-names":false,"suffix":""},{"dropping-particle":"","family":"Падалкин","given":"В.П.","non-dropping-particle":"","parse-names":false,"suffix":""},{"dropping-particle":"","family":"Поляков","given":"В.Г.","non-dropping-particle":"","parse-names":false,"suffix":""},{"dropping-particle":"","family":"Пчелинцев","given":"М.В.","non-dropping-particle":"","parse-names":false,"suffix":""},{"dropping-particle":"","family":"Степаненко","given":"С.М.","non-dropping-particle":"","parse-names":false,"suffix":""}],"id":"ITEM-2","issued":{"date-parts":[["2016"]]},"number-of-pages":"94","publisher":"ФГБОУ ВО РНИМУ им. Н.И. Пирогова Минздрава России.","title":"Обезболивание взрослых и детей при оказании медицинской помощи. Методические рекомендации.","type":"book"},"uris":["http://www.mendeley.com/documents/?uuid=b9ffed91-f776-4e2f-87c8-ff7901014151"]},{"id":"ITEM-3","itemData":{"author":[{"dropping-particle":"","family":"Когония","given":"Л.М.","non-dropping-particle":"","parse-names":false,"suffix":""},{"dropping-particle":"","family":"Волошин","given":"А.Г.","non-dropping-particle":"","parse-names":false,"suffix":""},{"dropping-particle":"","family":"Новиков","given":"Г.А.","non-dropping-particle":"","parse-names":false,"suffix":""},{"dropping-particle":"","family":"Сидоров","given":"А.В.","non-dropping-particle":"","parse-names":false,"suffix":""}],"container-title":"Злокачественные опухоли: Практические рекомендации RUSSCO","id":"ITEM-3","issued":{"date-parts":[["2018"]]},"page":"617-635","title":"Практические рекомендации по лечению хронического болевого синдрома у онкологических больных.","type":"chapter"},"uris":["http://www.mendeley.com/documents/?uuid=2f2e1206-26f9-42c4-9676-2613564eead6"]},{"id":"ITEM-4","itemData":{"DOI":"10.1093/annonc/mdy152","ISSN":"1569-8041","PMID":"30052758","author":[{"dropping-particle":"","family":"Fallon","given":"M","non-dropping-particle":"","parse-names":false,"suffix":""},{"dropping-particle":"","family":"Giusti","given":"R","non-dropping-particle":"","parse-names":false,"suffix":""},{"dropping-particle":"","family":"Aielli","given":"F","non-dropping-particle":"","parse-names":false,"suffix":""},{"dropping-particle":"","family":"Hoskin","given":"P","non-dropping-particle":"","parse-names":false,"suffix":""},{"dropping-particle":"","family":"Rolke","given":"R","non-dropping-particle":"","parse-names":false,"suffix":""},{"dropping-particle":"","family":"Sharma","given":"M","non-dropping-particle":"","parse-names":false,"suffix":""},{"dropping-particle":"","family":"Ripamonti","given":"C I","non-dropping-particle":"","parse-names":false,"suffix":""},{"dropping-particle":"","family":"ESMO Guidelines Committee","given":"","non-dropping-particle":"","parse-names":false,"suffix":""}],"container-title":"Annals of oncology : official journal of the European Society for Medical Oncology","id":"ITEM-4","issue":"Suppl 4","issued":{"date-parts":[["2018"]]},"page":"iv166-iv191","title":"Management of cancer pain in adult patients: ESMO Clinical Practice Guidelines.","type":"article-journal","volume":"29"},"uris":["http://www.mendeley.com/documents/?uuid=de2cca97-c9ee-3e03-bc1e-7a13a50fcf50"]}],"mendeley":{"formattedCitation":"[100,152–154]","plainTextFormattedCitation":"[100,152–154]","previouslyFormattedCitation":"[100,152–154]"},"properties":{"noteIndex":0},"schema":"https://github.com/citation-style-language/schema/raw/master/csl-citation.json"}</w:instrText>
      </w:r>
      <w:r>
        <w:fldChar w:fldCharType="separate"/>
      </w:r>
      <w:r>
        <w:rPr>
          <w:noProof/>
        </w:rPr>
        <w:t>[100,153–155</w:t>
      </w:r>
      <w:r w:rsidRPr="00BF3043">
        <w:rPr>
          <w:noProof/>
        </w:rPr>
        <w:t>]</w:t>
      </w:r>
      <w:r>
        <w:fldChar w:fldCharType="end"/>
      </w:r>
      <w:r w:rsidRPr="00C15153">
        <w:rPr>
          <w:b/>
        </w:rPr>
        <w:t xml:space="preserve">. </w:t>
      </w:r>
    </w:p>
    <w:p w14:paraId="6736C1F3" w14:textId="77777777" w:rsidR="00143441" w:rsidRPr="00AF2453" w:rsidRDefault="00143441" w:rsidP="00143441">
      <w:pPr>
        <w:ind w:firstLine="709"/>
      </w:pPr>
      <w:r w:rsidRPr="00AF2453">
        <w:lastRenderedPageBreak/>
        <w:t>С учетом особенностей гематологических заболеваний, большинству пациентов противопоказано внутримышечное введение анальгетиков и применение регионарной анальгезии ввиду высокого риска геморрагических и инфекционных осложнений при нарушениях свертывания, глубокой нейтропении. Предпочтительно применение неинвазивных форм лекарственных препаратов (таблетки, суппозитории, трансдермальные системы), при необходимости инъекционного применения – подкожное или внутривенное введение.</w:t>
      </w:r>
    </w:p>
    <w:p w14:paraId="3ABB7E30" w14:textId="77777777" w:rsidR="00143441" w:rsidRPr="00AF2453" w:rsidRDefault="00143441" w:rsidP="00143441">
      <w:pPr>
        <w:ind w:firstLine="709"/>
      </w:pPr>
      <w:r w:rsidRPr="00AF2453">
        <w:t>При применении трансдермальной терапевтической системы (ТТС) пластырь наклеивается на сухую, неповрежденную кожу туловища или плеч, в случае наличия волосяного покрова, волосы состригают (не бреют, во избежании раздражения). Перед аппликацией кожу достаточно промыть водой и вытереть насухо, без применения спирта или моющих средств. Пластырь плотно прижимают на месте аппликации и удерживают  30 секунд.  Следует убедиться, что пластырь плотно прилегает к коже, особенно по краям. ТТС рассчитана на непрерывное использование в течение 72 ч. При необходимости новая система крепится на другой участок кожи после удаления ранее наклеенного пластыря. На один и тот же участок кожи ТТС может быть наклеена только с интервалом в несколько дней. После аппликации ТТС максимум эффекта наступает через 18–24 ч, поэтому в течение первых суток необходимо сохранять прежнюю обезболивающую терапию. ТТС не рекомендовано применять для лечения боли в ургентных состояниях, при повышенной температуре тела, при обильном потоотделении и при выраженной кахексии.</w:t>
      </w:r>
    </w:p>
    <w:p w14:paraId="45E4DB64" w14:textId="77777777" w:rsidR="00143441" w:rsidRPr="00AF2453" w:rsidRDefault="00143441" w:rsidP="00143441">
      <w:pPr>
        <w:ind w:firstLine="709"/>
      </w:pPr>
      <w:r w:rsidRPr="00AF2453">
        <w:t> </w:t>
      </w:r>
    </w:p>
    <w:p w14:paraId="77C17101" w14:textId="77777777" w:rsidR="00143441" w:rsidRPr="004466EE" w:rsidRDefault="00143441" w:rsidP="00143441">
      <w:pPr>
        <w:ind w:left="709"/>
        <w:rPr>
          <w:b/>
        </w:rPr>
      </w:pPr>
      <w:r w:rsidRPr="00AF2453">
        <w:rPr>
          <w:b/>
        </w:rPr>
        <w:t xml:space="preserve">Нефармакологические методы лечения боли </w:t>
      </w:r>
      <w:r>
        <w:rPr>
          <w:b/>
        </w:rPr>
        <w:t>у</w:t>
      </w:r>
      <w:r w:rsidRPr="00AF2453">
        <w:rPr>
          <w:b/>
        </w:rPr>
        <w:t xml:space="preserve"> пациентов</w:t>
      </w:r>
      <w:r w:rsidRPr="004466EE">
        <w:rPr>
          <w:b/>
        </w:rPr>
        <w:t xml:space="preserve"> </w:t>
      </w:r>
      <w:r w:rsidRPr="00693F36">
        <w:rPr>
          <w:b/>
        </w:rPr>
        <w:t xml:space="preserve">с лейкозом </w:t>
      </w:r>
      <w:r>
        <w:fldChar w:fldCharType="begin" w:fldLock="1"/>
      </w:r>
      <w:r>
        <w:instrText>ADDIN CSL_CITATION {"citationItems":[{"id":"ITEM-1","itemData":{"author":[{"dropping-particle":"","family":"Абузарова","given":"Г.Р.","non-dropping-particle":"","parse-names":false,"suffix":""}],"container-title":"Российские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Савченко.","id":"ITEM-1","issued":{"date-parts":[["2018"]]},"page":"278-288","title":"Лечение болевого синдрома у онкологических больных","type":"chapter"},"uris":["http://www.mendeley.com/documents/?uuid=3021caae-334d-4ac5-97a6-7ea5587353dc"]},{"id":"ITEM-2","itemData":{"author":[{"dropping-particle":"","family":"Абузарова","given":"Г.Р.","non-dropping-particle":"","parse-names":false,"suffix":""},{"dropping-particle":"","family":"Невзорова","given":"Д.В.","non-dropping-particle":"","parse-names":false,"suffix":""},{"dropping-particle":"","family":"Кумирова","given":"Э.В.","non-dropping-particle":"","parse-names":false,"suffix":""},{"dropping-particle":"","family":"Савва","given":"Н.Н.","non-dropping-particle":"","parse-names":false,"suffix":""},{"dropping-particle":"","family":"Арутюнов","given":"Г.П.","non-dropping-particle":"","parse-names":false,"suffix":""},{"dropping-particle":"","family":"Багненко","given":"С.Ф.","non-dropping-particle":"","parse-names":false,"suffix":""},{"dropping-particle":"","family":"Данилов","given":"А.Б.","non-dropping-particle":"","parse-names":false,"suffix":""},{"dropping-particle":"","family":"Данилов","given":"А.Б.","non-dropping-particle":"","parse-names":false,"suffix":""},{"dropping-particle":"","family":"Куняева","given":"Т.А.","non-dropping-particle":"","parse-names":false,"suffix":""},{"dropping-particle":"","family":"Николаева","given":"Н.М.","non-dropping-particle":"","parse-names":false,"suffix":""},{"dropping-particle":"","family":"Молчанов","given":"И.В.","non-dropping-particle":"","parse-names":false,"suffix":""},{"dropping-particle":"","family":"Падалкин","given":"В.П.","non-dropping-particle":"","parse-names":false,"suffix":""},{"dropping-particle":"","family":"Поляков","given":"В.Г.","non-dropping-particle":"","parse-names":false,"suffix":""},{"dropping-particle":"","family":"Пчелинцев","given":"М.В.","non-dropping-particle":"","parse-names":false,"suffix":""},{"dropping-particle":"","family":"Степаненко","given":"С.М.","non-dropping-particle":"","parse-names":false,"suffix":""}],"id":"ITEM-2","issued":{"date-parts":[["2016"]]},"number-of-pages":"94","publisher":"ФГБОУ ВО РНИМУ им. Н.И. Пирогова Минздрава России.","title":"Обезболивание взрослых и детей при оказании медицинской помощи. Методические рекомендации.","type":"book"},"uris":["http://www.mendeley.com/documents/?uuid=b9ffed91-f776-4e2f-87c8-ff7901014151"]},{"id":"ITEM-3","itemData":{"author":[{"dropping-particle":"","family":"Когония","given":"Л.М.","non-dropping-particle":"","parse-names":false,"suffix":""},{"dropping-particle":"","family":"Волошин","given":"А.Г.","non-dropping-particle":"","parse-names":false,"suffix":""},{"dropping-particle":"","family":"Новиков","given":"Г.А.","non-dropping-particle":"","parse-names":false,"suffix":""},{"dropping-particle":"","family":"Сидоров","given":"А.В.","non-dropping-particle":"","parse-names":false,"suffix":""}],"container-title":"Злокачественные опухоли: Практические рекомендации RUSSCO","id":"ITEM-3","issued":{"date-parts":[["2018"]]},"page":"617-635","title":"Практические рекомендации по лечению хронического болевого синдрома у онкологических больных.","type":"chapter"},"uris":["http://www.mendeley.com/documents/?uuid=2f2e1206-26f9-42c4-9676-2613564eead6"]},{"id":"ITEM-4","itemData":{"DOI":"10.1093/annonc/mdy152","ISSN":"1569-8041","PMID":"30052758","author":[{"dropping-particle":"","family":"Fallon","given":"M","non-dropping-particle":"","parse-names":false,"suffix":""},{"dropping-particle":"","family":"Giusti","given":"R","non-dropping-particle":"","parse-names":false,"suffix":""},{"dropping-particle":"","family":"Aielli","given":"F","non-dropping-particle":"","parse-names":false,"suffix":""},{"dropping-particle":"","family":"Hoskin","given":"P","non-dropping-particle":"","parse-names":false,"suffix":""},{"dropping-particle":"","family":"Rolke","given":"R","non-dropping-particle":"","parse-names":false,"suffix":""},{"dropping-particle":"","family":"Sharma","given":"M","non-dropping-particle":"","parse-names":false,"suffix":""},{"dropping-particle":"","family":"Ripamonti","given":"C I","non-dropping-particle":"","parse-names":false,"suffix":""},{"dropping-particle":"","family":"ESMO Guidelines Committee","given":"","non-dropping-particle":"","parse-names":false,"suffix":""}],"container-title":"Annals of oncology : official journal of the European Society for Medical Oncology","id":"ITEM-4","issue":"Suppl 4","issued":{"date-parts":[["2018"]]},"page":"iv166-iv191","title":"Management of cancer pain in adult patients: ESMO Clinical Practice Guidelines.","type":"article-journal","volume":"29"},"uris":["http://www.mendeley.com/documents/?uuid=de2cca97-c9ee-3e03-bc1e-7a13a50fcf50"]}],"mendeley":{"formattedCitation":"[100,152–154]","plainTextFormattedCitation":"[100,152–154]","previouslyFormattedCitation":"[100,152–154]"},"properties":{"noteIndex":0},"schema":"https://github.com/citation-style-language/schema/raw/master/csl-citation.json"}</w:instrText>
      </w:r>
      <w:r>
        <w:fldChar w:fldCharType="separate"/>
      </w:r>
      <w:r>
        <w:rPr>
          <w:noProof/>
        </w:rPr>
        <w:t>[100,153–155</w:t>
      </w:r>
      <w:r w:rsidRPr="00BF3043">
        <w:rPr>
          <w:noProof/>
        </w:rPr>
        <w:t>]</w:t>
      </w:r>
      <w:r>
        <w:fldChar w:fldCharType="end"/>
      </w:r>
    </w:p>
    <w:p w14:paraId="53191FDC" w14:textId="77777777" w:rsidR="00143441" w:rsidRPr="00AF2453" w:rsidRDefault="00143441" w:rsidP="00143441">
      <w:pPr>
        <w:ind w:firstLine="709"/>
        <w:rPr>
          <w:color w:val="000000" w:themeColor="text1"/>
        </w:rPr>
      </w:pPr>
      <w:r w:rsidRPr="00AF2453">
        <w:rPr>
          <w:color w:val="000000" w:themeColor="text1"/>
        </w:rPr>
        <w:t xml:space="preserve">Исследования подтверждают положительное влияние средне- и низкоинтенсивной лечебной физкультуры (ЛФК) на физическое и психическое состояние у пациентов с </w:t>
      </w:r>
      <w:r w:rsidRPr="00693F36">
        <w:t>лейкозом</w:t>
      </w:r>
      <w:r>
        <w:rPr>
          <w:color w:val="FF0000"/>
        </w:rPr>
        <w:t xml:space="preserve"> </w:t>
      </w:r>
      <w:r w:rsidRPr="00AF2453">
        <w:rPr>
          <w:color w:val="000000" w:themeColor="text1"/>
        </w:rPr>
        <w:t xml:space="preserve">в период химиотерапии и после нее. </w:t>
      </w:r>
      <w:r w:rsidRPr="00AF2453">
        <w:t>Преимуществами ЛФК являются снижение восприятия боли, улучшение сна,  увеличение мышечной силы и повышение активности, уменьшение количества травм.</w:t>
      </w:r>
      <w:r w:rsidRPr="00AF2453">
        <w:rPr>
          <w:color w:val="000000" w:themeColor="text1"/>
        </w:rPr>
        <w:t xml:space="preserve"> Необходимо составление индивидуальных программ ЛФК в зависимости от состояния пациента.</w:t>
      </w:r>
    </w:p>
    <w:p w14:paraId="05E8155D" w14:textId="77777777" w:rsidR="00143441" w:rsidRPr="00AF2453" w:rsidRDefault="00143441" w:rsidP="00143441">
      <w:pPr>
        <w:ind w:firstLine="709"/>
        <w:rPr>
          <w:color w:val="000000" w:themeColor="text1"/>
        </w:rPr>
      </w:pPr>
      <w:r w:rsidRPr="00AF2453">
        <w:rPr>
          <w:color w:val="000000" w:themeColor="text1"/>
        </w:rPr>
        <w:t>С обезболивающей целью может применяться лучевая терапия на область поражения, вызывающую болевой синдром, по радикальной или паллиативной программе.</w:t>
      </w:r>
    </w:p>
    <w:p w14:paraId="33884D7A" w14:textId="77777777" w:rsidR="00143441" w:rsidRPr="00AF2453" w:rsidRDefault="00143441" w:rsidP="00143441">
      <w:pPr>
        <w:ind w:firstLine="709"/>
      </w:pPr>
      <w:r w:rsidRPr="00AF2453">
        <w:t>Также применяется низкоинтенсивная лазеротерапия – для профилактики мукозитов полости рта на фоне химиотерапии, для лечения периферической полинейропатии, возникшей на фоне химиотерапии.</w:t>
      </w:r>
    </w:p>
    <w:p w14:paraId="0F11201C" w14:textId="77777777" w:rsidR="00143441" w:rsidRDefault="00143441" w:rsidP="00143441">
      <w:pPr>
        <w:ind w:firstLine="709"/>
        <w:rPr>
          <w:b/>
        </w:rPr>
      </w:pPr>
    </w:p>
    <w:p w14:paraId="1F097D08" w14:textId="77777777" w:rsidR="00143441" w:rsidRPr="004466EE" w:rsidRDefault="00143441" w:rsidP="00143441">
      <w:pPr>
        <w:ind w:left="709"/>
        <w:rPr>
          <w:b/>
        </w:rPr>
      </w:pPr>
      <w:r w:rsidRPr="00AF2453">
        <w:rPr>
          <w:b/>
        </w:rPr>
        <w:t>Оценка эффективности и переносимости анальгезирующей терапии</w:t>
      </w:r>
      <w:r w:rsidRPr="004466EE">
        <w:rPr>
          <w:b/>
        </w:rPr>
        <w:t xml:space="preserve"> </w:t>
      </w:r>
      <w:r>
        <w:fldChar w:fldCharType="begin" w:fldLock="1"/>
      </w:r>
      <w:r>
        <w:instrText>ADDIN CSL_CITATION {"citationItems":[{"id":"ITEM-1","itemData":{"author":[{"dropping-particle":"","family":"Абузарова","given":"Г.Р.","non-dropping-particle":"","parse-names":false,"suffix":""}],"container-title":"Российские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Савченко.","id":"ITEM-1","issued":{"date-parts":[["2018"]]},"page":"278-288","title":"Лечение болевого синдрома у онкологических больных","type":"chapter"},"uris":["http://www.mendeley.com/documents/?uuid=3021caae-334d-4ac5-97a6-7ea5587353dc"]},{"id":"ITEM-2","itemData":{"author":[{"dropping-particle":"","family":"Абузарова","given":"Г.Р.","non-dropping-particle":"","parse-names":false,"suffix":""},{"dropping-particle":"","family":"Невзорова","given":"Д.В.","non-dropping-particle":"","parse-names":false,"suffix":""},{"dropping-particle":"","family":"Кумирова","given":"Э.В.","non-dropping-particle":"","parse-names":false,"suffix":""},{"dropping-particle":"","family":"Савва","given":"Н.Н.","non-dropping-particle":"","parse-names":false,"suffix":""},{"dropping-particle":"","family":"Арутюнов","given":"Г.П.","non-dropping-particle":"","parse-names":false,"suffix":""},{"dropping-particle":"","family":"Багненко","given":"С.Ф.","non-dropping-particle":"","parse-names":false,"suffix":""},{"dropping-particle":"","family":"Данилов","given":"А.Б.","non-dropping-particle":"","parse-names":false,"suffix":""},{"dropping-particle":"","family":"Данилов","given":"А.Б.","non-dropping-particle":"","parse-names":false,"suffix":""},{"dropping-particle":"","family":"Куняева","given":"Т.А.","non-dropping-particle":"","parse-names":false,"suffix":""},{"dropping-particle":"","family":"Николаева","given":"Н.М.","non-dropping-particle":"","parse-names":false,"suffix":""},{"dropping-particle":"","family":"Молчанов","given":"И.В.","non-dropping-particle":"","parse-names":false,"suffix":""},{"dropping-particle":"","family":"Падалкин","given":"В.П.","non-dropping-particle":"","parse-names":false,"suffix":""},{"dropping-particle":"","family":"Поляков","given":"В.Г.","non-dropping-particle":"","parse-names":false,"suffix":""},{"dropping-particle":"","family":"Пчелинцев","given":"М.В.","non-dropping-particle":"","parse-names":false,"suffix":""},{"dropping-particle":"","family":"Степаненко","given":"С.М.","non-dropping-particle":"","parse-names":false,"suffix":""}],"id":"ITEM-2","issued":{"date-parts":[["2016"]]},"number-of-pages":"94","publisher":"ФГБОУ ВО РНИМУ им. Н.И. Пирогова Минздрава России.","title":"Обезболивание взрослых и детей при оказании медицинской помощи. Методические рекомендации.","type":"book"},"uris":["http://www.mendeley.com/documents/?uuid=b9ffed91-f776-4e2f-87c8-ff7901014151"]},{"id":"ITEM-3","itemData":{"author":[{"dropping-particle":"","family":"Когония","given":"Л.М.","non-dropping-particle":"","parse-names":false,"suffix":""},{"dropping-particle":"","family":"Волошин","given":"А.Г.","non-dropping-particle":"","parse-names":false,"suffix":""},{"dropping-particle":"","family":"Новиков","given":"Г.А.","non-dropping-particle":"","parse-names":false,"suffix":""},{"dropping-particle":"","family":"Сидоров","given":"А.В.","non-dropping-particle":"","parse-names":false,"suffix":""}],"container-title":"Злокачественные опухоли: Практические рекомендации RUSSCO","id":"ITEM-3","issued":{"date-parts":[["2018"]]},"page":"617-635","title":"Практические рекомендации по лечению хронического болевого синдрома у онкологических больных.","type":"chapter"},"uris":["http://www.mendeley.com/documents/?uuid=2f2e1206-26f9-42c4-9676-2613564eead6"]},{"id":"ITEM-4","itemData":{"DOI":"10.1093/annonc/mdy152","ISSN":"1569-8041","PMID":"30052758","author":[{"dropping-particle":"","family":"Fallon","given":"M","non-dropping-particle":"","parse-names":false,"suffix":""},{"dropping-particle":"","family":"Giusti","given":"R","non-dropping-particle":"","parse-names":false,"suffix":""},{"dropping-particle":"","family":"Aielli","given":"F","non-dropping-particle":"","parse-names":false,"suffix":""},{"dropping-particle":"","family":"Hoskin","given":"P","non-dropping-particle":"","parse-names":false,"suffix":""},{"dropping-particle":"","family":"Rolke","given":"R","non-dropping-particle":"","parse-names":false,"suffix":""},{"dropping-particle":"","family":"Sharma","given":"M","non-dropping-particle":"","parse-names":false,"suffix":""},{"dropping-particle":"","family":"Ripamonti","given":"C I","non-dropping-particle":"","parse-names":false,"suffix":""},{"dropping-particle":"","family":"ESMO Guidelines Committee","given":"","non-dropping-particle":"","parse-names":false,"suffix":""}],"container-title":"Annals of oncology : official journal of the European Society for Medical Oncology","id":"ITEM-4","issue":"Suppl 4","issued":{"date-parts":[["2018"]]},"page":"iv166-iv191","title":"Management of cancer pain in adult patients: ESMO Clinical Practice Guidelines.","type":"article-journal","volume":"29"},"uris":["http://www.mendeley.com/documents/?uuid=de2cca97-c9ee-3e03-bc1e-7a13a50fcf50"]}],"mendeley":{"formattedCitation":"[100,152–154]","plainTextFormattedCitation":"[100,152–154]","previouslyFormattedCitation":"[100,152–154]"},"properties":{"noteIndex":0},"schema":"https://github.com/citation-style-language/schema/raw/master/csl-citation.json"}</w:instrText>
      </w:r>
      <w:r>
        <w:fldChar w:fldCharType="separate"/>
      </w:r>
      <w:r>
        <w:rPr>
          <w:noProof/>
        </w:rPr>
        <w:t>[100,153–155</w:t>
      </w:r>
      <w:r w:rsidRPr="00BF3043">
        <w:rPr>
          <w:noProof/>
        </w:rPr>
        <w:t>]</w:t>
      </w:r>
      <w:r>
        <w:fldChar w:fldCharType="end"/>
      </w:r>
    </w:p>
    <w:p w14:paraId="4A0E71D9" w14:textId="77777777" w:rsidR="00143441" w:rsidRPr="00AF2453" w:rsidRDefault="00143441" w:rsidP="00143441">
      <w:pPr>
        <w:pStyle w:val="afff3"/>
        <w:ind w:left="0" w:firstLine="709"/>
        <w:rPr>
          <w:b/>
        </w:rPr>
      </w:pPr>
      <w:r w:rsidRPr="00AF2453">
        <w:t>Для оценки эффективности и переносимости назначенной терапии болевого синдрома проводятся регулярные опрос и осмотр пациента, контроль лабораторных и инструментальных данных. Необходимо оценивать уровень удовлетворенности пациента проводимым обезболиванием, при необходимости проводить оценку с помощью опросников и шкал, а также внимательно отслеживать возникновение побочных эффектов со своевременной адекватной коррекцией проводимой терапии.</w:t>
      </w:r>
    </w:p>
    <w:p w14:paraId="273278C9" w14:textId="77777777" w:rsidR="00143441" w:rsidRDefault="00143441" w:rsidP="00143441">
      <w:pPr>
        <w:ind w:firstLine="709"/>
        <w:rPr>
          <w:b/>
        </w:rPr>
      </w:pPr>
    </w:p>
    <w:p w14:paraId="56508086" w14:textId="77777777" w:rsidR="00143441" w:rsidRPr="00AF2453" w:rsidRDefault="00143441" w:rsidP="00143441">
      <w:pPr>
        <w:ind w:left="709"/>
        <w:rPr>
          <w:b/>
        </w:rPr>
      </w:pPr>
      <w:r w:rsidRPr="00AF2453">
        <w:rPr>
          <w:b/>
        </w:rPr>
        <w:t>Методы профилактики боли</w:t>
      </w:r>
      <w:r w:rsidRPr="00BF3043">
        <w:rPr>
          <w:b/>
        </w:rPr>
        <w:t xml:space="preserve"> </w:t>
      </w:r>
      <w:r>
        <w:fldChar w:fldCharType="begin" w:fldLock="1"/>
      </w:r>
      <w:r>
        <w:instrText>ADDIN CSL_CITATION {"citationItems":[{"id":"ITEM-1","itemData":{"author":[{"dropping-particle":"","family":"Абузарова","given":"Г.Р.","non-dropping-particle":"","parse-names":false,"suffix":""}],"container-title":"Российские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Савченко.","id":"ITEM-1","issued":{"date-parts":[["2018"]]},"page":"278-288","title":"Лечение болевого синдрома у онкологических больных","type":"chapter"},"uris":["http://www.mendeley.com/documents/?uuid=3021caae-334d-4ac5-97a6-7ea5587353dc"]},{"id":"ITEM-2","itemData":{"author":[{"dropping-particle":"","family":"Абузарова","given":"Г.Р.","non-dropping-particle":"","parse-names":false,"suffix":""},{"dropping-particle":"","family":"Невзорова","given":"Д.В.","non-dropping-particle":"","parse-names":false,"suffix":""},{"dropping-particle":"","family":"Кумирова","given":"Э.В.","non-dropping-particle":"","parse-names":false,"suffix":""},{"dropping-particle":"","family":"Савва","given":"Н.Н.","non-dropping-particle":"","parse-names":false,"suffix":""},{"dropping-particle":"","family":"Арутюнов","given":"Г.П.","non-dropping-particle":"","parse-names":false,"suffix":""},{"dropping-particle":"","family":"Багненко","given":"С.Ф.","non-dropping-particle":"","parse-names":false,"suffix":""},{"dropping-particle":"","family":"Данилов","given":"А.Б.","non-dropping-particle":"","parse-names":false,"suffix":""},{"dropping-particle":"","family":"Данилов","given":"А.Б.","non-dropping-particle":"","parse-names":false,"suffix":""},{"dropping-particle":"","family":"Куняева","given":"Т.А.","non-dropping-particle":"","parse-names":false,"suffix":""},{"dropping-particle":"","family":"Николаева","given":"Н.М.","non-dropping-particle":"","parse-names":false,"suffix":""},{"dropping-particle":"","family":"Молчанов","given":"И.В.","non-dropping-particle":"","parse-names":false,"suffix":""},{"dropping-particle":"","family":"Падалкин","given":"В.П.","non-dropping-particle":"","parse-names":false,"suffix":""},{"dropping-particle":"","family":"Поляков","given":"В.Г.","non-dropping-particle":"","parse-names":false,"suffix":""},{"dropping-particle":"","family":"Пчелинцев","given":"М.В.","non-dropping-particle":"","parse-names":false,"suffix":""},{"dropping-particle":"","family":"Степаненко","given":"С.М.","non-dropping-particle":"","parse-names":false,"suffix":""}],"id":"ITEM-2","issued":{"date-parts":[["2016"]]},"number-of-pages":"94","publisher":"ФГБОУ ВО РНИМУ им. Н.И. Пирогова Минздрава России.","title":"Обезболивание взрослых и детей при оказании медицинской помощи. Методические рекомендации.","type":"book"},"uris":["http://www.mendeley.com/documents/?uuid=b9ffed91-f776-4e2f-87c8-ff7901014151"]},{"id":"ITEM-3","itemData":{"author":[{"dropping-particle":"","family":"Когония","given":"Л.М.","non-dropping-particle":"","parse-names":false,"suffix":""},{"dropping-particle":"","family":"Волошин","given":"А.Г.","non-dropping-particle":"","parse-names":false,"suffix":""},{"dropping-particle":"","family":"Новиков","given":"Г.А.","non-dropping-particle":"","parse-names":false,"suffix":""},{"dropping-particle":"","family":"Сидоров","given":"А.В.","non-dropping-particle":"","parse-names":false,"suffix":""}],"container-title":"Злокачественные опухоли: Практические рекомендации RUSSCO","id":"ITEM-3","issued":{"date-parts":[["2018"]]},"page":"617-635","title":"Практические рекомендации по лечению хронического болевого синдрома у онкологических больных.","type":"chapter"},"uris":["http://www.mendeley.com/documents/?uuid=2f2e1206-26f9-42c4-9676-2613564eead6"]},{"id":"ITEM-4","itemData":{"DOI":"10.1093/annonc/mdy152","ISSN":"1569-8041","PMID":"30052758","author":[{"dropping-particle":"","family":"Fallon","given":"M","non-dropping-particle":"","parse-names":false,"suffix":""},{"dropping-particle":"","family":"Giusti","given":"R","non-dropping-particle":"","parse-names":false,"suffix":""},{"dropping-particle":"","family":"Aielli","given":"F","non-dropping-particle":"","parse-names":false,"suffix":""},{"dropping-particle":"","family":"Hoskin","given":"P","non-dropping-particle":"","parse-names":false,"suffix":""},{"dropping-particle":"","family":"Rolke","given":"R","non-dropping-particle":"","parse-names":false,"suffix":""},{"dropping-particle":"","family":"Sharma","given":"M","non-dropping-particle":"","parse-names":false,"suffix":""},{"dropping-particle":"","family":"Ripamonti","given":"C I","non-dropping-particle":"","parse-names":false,"suffix":""},{"dropping-particle":"","family":"ESMO Guidelines Committee","given":"","non-dropping-particle":"","parse-names":false,"suffix":""}],"container-title":"Annals of oncology : official journal of the European Society for Medical Oncology","id":"ITEM-4","issue":"Suppl 4","issued":{"date-parts":[["2018"]]},"page":"iv166-iv191","title":"Management of cancer pain in adult patients: ESMO Clinical Practice Guidelines.","type":"article-journal","volume":"29"},"uris":["http://www.mendeley.com/documents/?uuid=de2cca97-c9ee-3e03-bc1e-7a13a50fcf50"]}],"mendeley":{"formattedCitation":"[100,152–154]","plainTextFormattedCitation":"[100,152–154]","previouslyFormattedCitation":"[100,152–154]"},"properties":{"noteIndex":0},"schema":"https://github.com/citation-style-language/schema/raw/master/csl-citation.json"}</w:instrText>
      </w:r>
      <w:r>
        <w:fldChar w:fldCharType="separate"/>
      </w:r>
      <w:r>
        <w:rPr>
          <w:noProof/>
        </w:rPr>
        <w:t>[100,153–155</w:t>
      </w:r>
      <w:r w:rsidRPr="00BF3043">
        <w:rPr>
          <w:noProof/>
        </w:rPr>
        <w:t>]</w:t>
      </w:r>
      <w:r>
        <w:fldChar w:fldCharType="end"/>
      </w:r>
      <w:r w:rsidRPr="00AF2453">
        <w:rPr>
          <w:b/>
        </w:rPr>
        <w:t xml:space="preserve">. </w:t>
      </w:r>
    </w:p>
    <w:p w14:paraId="695F75C9" w14:textId="77777777" w:rsidR="00143441" w:rsidRPr="00AF2453" w:rsidRDefault="00143441" w:rsidP="00143441">
      <w:pPr>
        <w:ind w:firstLine="709"/>
      </w:pPr>
      <w:r w:rsidRPr="00AF2453">
        <w:t>Необходимо своевременно и адекватно проводить обезболивание, таким образом, предотвращая переход острой боли в хроническую.</w:t>
      </w:r>
      <w:r w:rsidRPr="00AF2453">
        <w:rPr>
          <w:rFonts w:eastAsia="Calibri"/>
        </w:rPr>
        <w:t xml:space="preserve"> Анальгетики следует назначать регулярно по схеме («по часам»), не дожидаясь усиления боли.</w:t>
      </w:r>
    </w:p>
    <w:p w14:paraId="0E368972" w14:textId="77777777" w:rsidR="00143441" w:rsidRDefault="00143441" w:rsidP="00143441">
      <w:pPr>
        <w:ind w:firstLine="709"/>
        <w:rPr>
          <w:b/>
          <w:bCs/>
        </w:rPr>
      </w:pPr>
    </w:p>
    <w:p w14:paraId="5D43A3B1" w14:textId="77777777" w:rsidR="00143441" w:rsidRPr="004466EE" w:rsidRDefault="00143441" w:rsidP="00143441">
      <w:pPr>
        <w:ind w:left="709"/>
        <w:rPr>
          <w:b/>
        </w:rPr>
      </w:pPr>
      <w:r w:rsidRPr="00C15153">
        <w:rPr>
          <w:b/>
        </w:rPr>
        <w:t xml:space="preserve">Обезболивание в конце жизни </w:t>
      </w:r>
      <w:r>
        <w:fldChar w:fldCharType="begin" w:fldLock="1"/>
      </w:r>
      <w:r>
        <w:instrText>ADDIN CSL_CITATION {"citationItems":[{"id":"ITEM-1","itemData":{"author":[{"dropping-particle":"","family":"Абузарова","given":"Г.Р.","non-dropping-particle":"","parse-names":false,"suffix":""}],"container-title":"Российские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Савченко.","id":"ITEM-1","issued":{"date-parts":[["2018"]]},"page":"278-288","title":"Лечение болевого синдрома у онкологических больных","type":"chapter"},"uris":["http://www.mendeley.com/documents/?uuid=3021caae-334d-4ac5-97a6-7ea5587353dc"]},{"id":"ITEM-2","itemData":{"author":[{"dropping-particle":"","family":"Абузарова","given":"Г.Р.","non-dropping-particle":"","parse-names":false,"suffix":""},{"dropping-particle":"","family":"Невзорова","given":"Д.В.","non-dropping-particle":"","parse-names":false,"suffix":""},{"dropping-particle":"","family":"Кумирова","given":"Э.В.","non-dropping-particle":"","parse-names":false,"suffix":""},{"dropping-particle":"","family":"Савва","given":"Н.Н.","non-dropping-particle":"","parse-names":false,"suffix":""},{"dropping-particle":"","family":"Арутюнов","given":"Г.П.","non-dropping-particle":"","parse-names":false,"suffix":""},{"dropping-particle":"","family":"Багненко","given":"С.Ф.","non-dropping-particle":"","parse-names":false,"suffix":""},{"dropping-particle":"","family":"Данилов","given":"А.Б.","non-dropping-particle":"","parse-names":false,"suffix":""},{"dropping-particle":"","family":"Данилов","given":"А.Б.","non-dropping-particle":"","parse-names":false,"suffix":""},{"dropping-particle":"","family":"Куняева","given":"Т.А.","non-dropping-particle":"","parse-names":false,"suffix":""},{"dropping-particle":"","family":"Николаева","given":"Н.М.","non-dropping-particle":"","parse-names":false,"suffix":""},{"dropping-particle":"","family":"Молчанов","given":"И.В.","non-dropping-particle":"","parse-names":false,"suffix":""},{"dropping-particle":"","family":"Падалкин","given":"В.П.","non-dropping-particle":"","parse-names":false,"suffix":""},{"dropping-particle":"","family":"Поляков","given":"В.Г.","non-dropping-particle":"","parse-names":false,"suffix":""},{"dropping-particle":"","family":"Пчелинцев","given":"М.В.","non-dropping-particle":"","parse-names":false,"suffix":""},{"dropping-particle":"","family":"Степаненко","given":"С.М.","non-dropping-particle":"","parse-names":false,"suffix":""}],"id":"ITEM-2","issued":{"date-parts":[["2016"]]},"number-of-pages":"94","publisher":"ФГБОУ ВО РНИМУ им. Н.И. Пирогова Минздрава России.","title":"Обезболивание взрослых и детей при оказании медицинской помощи. Методические рекомендации.","type":"book"},"uris":["http://www.mendeley.com/documents/?uuid=b9ffed91-f776-4e2f-87c8-ff7901014151"]},{"id":"ITEM-3","itemData":{"author":[{"dropping-particle":"","family":"Когония","given":"Л.М.","non-dropping-particle":"","parse-names":false,"suffix":""},{"dropping-particle":"","family":"Волошин","given":"А.Г.","non-dropping-particle":"","parse-names":false,"suffix":""},{"dropping-particle":"","family":"Новиков","given":"Г.А.","non-dropping-particle":"","parse-names":false,"suffix":""},{"dropping-particle":"","family":"Сидоров","given":"А.В.","non-dropping-particle":"","parse-names":false,"suffix":""}],"container-title":"Злокачественные опухоли: Практические рекомендации RUSSCO","id":"ITEM-3","issued":{"date-parts":[["2018"]]},"page":"617-635","title":"Практические рекомендации по лечению хронического болевого синдрома у онкологических больных.","type":"chapter"},"uris":["http://www.mendeley.com/documents/?uuid=2f2e1206-26f9-42c4-9676-2613564eead6"]},{"id":"ITEM-4","itemData":{"DOI":"10.1093/annonc/mdy152","ISSN":"1569-8041","PMID":"30052758","author":[{"dropping-particle":"","family":"Fallon","given":"M","non-dropping-particle":"","parse-names":false,"suffix":""},{"dropping-particle":"","family":"Giusti","given":"R","non-dropping-particle":"","parse-names":false,"suffix":""},{"dropping-particle":"","family":"Aielli","given":"F","non-dropping-particle":"","parse-names":false,"suffix":""},{"dropping-particle":"","family":"Hoskin","given":"P","non-dropping-particle":"","parse-names":false,"suffix":""},{"dropping-particle":"","family":"Rolke","given":"R","non-dropping-particle":"","parse-names":false,"suffix":""},{"dropping-particle":"","family":"Sharma","given":"M","non-dropping-particle":"","parse-names":false,"suffix":""},{"dropping-particle":"","family":"Ripamonti","given":"C I","non-dropping-particle":"","parse-names":false,"suffix":""},{"dropping-particle":"","family":"ESMO Guidelines Committee","given":"","non-dropping-particle":"","parse-names":false,"suffix":""}],"container-title":"Annals of oncology : official journal of the European Society for Medical Oncology","id":"ITEM-4","issue":"Suppl 4","issued":{"date-parts":[["2018"]]},"page":"iv166-iv191","title":"Management of cancer pain in adult patients: ESMO Clinical Practice Guidelines.","type":"article-journal","volume":"29"},"uris":["http://www.mendeley.com/documents/?uuid=de2cca97-c9ee-3e03-bc1e-7a13a50fcf50"]}],"mendeley":{"formattedCitation":"[100,152–154]","plainTextFormattedCitation":"[100,152–154]","previouslyFormattedCitation":"[100,152–154]"},"properties":{"noteIndex":0},"schema":"https://github.com/citation-style-language/schema/raw/master/csl-citation.json"}</w:instrText>
      </w:r>
      <w:r>
        <w:fldChar w:fldCharType="separate"/>
      </w:r>
      <w:r>
        <w:rPr>
          <w:noProof/>
        </w:rPr>
        <w:t>[100,153–155</w:t>
      </w:r>
      <w:r w:rsidRPr="00BF3043">
        <w:rPr>
          <w:noProof/>
        </w:rPr>
        <w:t>]</w:t>
      </w:r>
      <w:r>
        <w:fldChar w:fldCharType="end"/>
      </w:r>
    </w:p>
    <w:p w14:paraId="06EBAFDF" w14:textId="77777777" w:rsidR="00143441" w:rsidRPr="003722EE" w:rsidRDefault="00143441" w:rsidP="00143441">
      <w:pPr>
        <w:ind w:firstLine="709"/>
      </w:pPr>
      <w:r w:rsidRPr="00AF2453">
        <w:t xml:space="preserve">Обезболивание в последние дни жизни имеет некоторые особенности, учитывающие имеющийся социально-этический характер. Следует сохранять прием опиоидов в эффективных дозах. В случае, если принято решение отменить опиоидный анальгетик, то это следует делать путем постепенного снижения дозы, чтобы избежать «прорыва» боли и синдрома отмены. Учитывая, что боль имеет сложный механизм формирования, рекомендуется мультимодальная анальгезия с использованием препаратов с различными механизмами действия. В некоторых случаях у пациентов в конце жизни боль становится «рефрактерной» и не поддается эффективному лечению. В этой ситуации возможно рассматривать дополнительное назначение медикаментозной седации (галоперидол, мидазалам), использование средств для наркоза (кетамин, пропофол) с целью потенцирования обезболивания. </w:t>
      </w:r>
    </w:p>
    <w:p w14:paraId="1CCF577E" w14:textId="6BB72AA6" w:rsidR="00FC258D" w:rsidRDefault="00FC258D" w:rsidP="00C24361">
      <w:pPr>
        <w:shd w:val="clear" w:color="auto" w:fill="FFFFFF"/>
        <w:ind w:firstLine="709"/>
        <w:contextualSpacing/>
        <w:rPr>
          <w:iCs/>
          <w:szCs w:val="24"/>
        </w:rPr>
      </w:pPr>
    </w:p>
    <w:p w14:paraId="6CEC140B" w14:textId="77777777" w:rsidR="00FC258D" w:rsidRPr="00FC258D" w:rsidRDefault="00FC258D" w:rsidP="00C24361">
      <w:pPr>
        <w:shd w:val="clear" w:color="auto" w:fill="FFFFFF"/>
        <w:ind w:firstLine="709"/>
        <w:contextualSpacing/>
        <w:rPr>
          <w:rStyle w:val="aff5"/>
          <w:b w:val="0"/>
          <w:bCs w:val="0"/>
          <w:iCs/>
          <w:szCs w:val="24"/>
        </w:rPr>
      </w:pPr>
    </w:p>
    <w:p w14:paraId="5806CEBB" w14:textId="77777777" w:rsidR="00C97783" w:rsidRDefault="00C97783" w:rsidP="00A35B12">
      <w:pPr>
        <w:rPr>
          <w:b/>
        </w:rPr>
      </w:pPr>
      <w:bookmarkStart w:id="200" w:name="_Toc5275586"/>
      <w:bookmarkStart w:id="201" w:name="_Toc13484834"/>
      <w:r>
        <w:rPr>
          <w:b/>
        </w:rPr>
        <w:br w:type="page"/>
      </w:r>
    </w:p>
    <w:p w14:paraId="1835AF7B" w14:textId="0D700B0B" w:rsidR="00C97783" w:rsidRPr="00B4335E" w:rsidRDefault="007F1FE4" w:rsidP="000A5734">
      <w:pPr>
        <w:pStyle w:val="11"/>
      </w:pPr>
      <w:bookmarkStart w:id="202" w:name="_Toc26796724"/>
      <w:bookmarkEnd w:id="200"/>
      <w:bookmarkEnd w:id="201"/>
      <w:r>
        <w:lastRenderedPageBreak/>
        <w:tab/>
      </w:r>
      <w:bookmarkStart w:id="203" w:name="_Toc64467939"/>
      <w:bookmarkStart w:id="204" w:name="_Toc64565663"/>
      <w:r w:rsidR="00C97783">
        <w:t>Критерии оценки качества медицинской помощи</w:t>
      </w:r>
      <w:bookmarkEnd w:id="202"/>
      <w:bookmarkEnd w:id="203"/>
      <w:bookmarkEnd w:id="204"/>
    </w:p>
    <w:tbl>
      <w:tblPr>
        <w:tblW w:w="9122" w:type="dxa"/>
        <w:tblInd w:w="299" w:type="dxa"/>
        <w:tblLayout w:type="fixed"/>
        <w:tblCellMar>
          <w:top w:w="15" w:type="dxa"/>
          <w:left w:w="15" w:type="dxa"/>
          <w:bottom w:w="15" w:type="dxa"/>
          <w:right w:w="15" w:type="dxa"/>
        </w:tblCellMar>
        <w:tblLook w:val="04A0" w:firstRow="1" w:lastRow="0" w:firstColumn="1" w:lastColumn="0" w:noHBand="0" w:noVBand="1"/>
      </w:tblPr>
      <w:tblGrid>
        <w:gridCol w:w="380"/>
        <w:gridCol w:w="6049"/>
        <w:gridCol w:w="1275"/>
        <w:gridCol w:w="1418"/>
      </w:tblGrid>
      <w:tr w:rsidR="00F43872" w:rsidRPr="005C5208" w14:paraId="4998B12B" w14:textId="77777777" w:rsidTr="00BA1AA9">
        <w:trPr>
          <w:trHeight w:val="915"/>
        </w:trPr>
        <w:tc>
          <w:tcPr>
            <w:tcW w:w="380" w:type="dxa"/>
            <w:tcBorders>
              <w:top w:val="single" w:sz="6" w:space="0" w:color="000000"/>
              <w:left w:val="single" w:sz="6" w:space="0" w:color="000000"/>
              <w:bottom w:val="single" w:sz="6" w:space="0" w:color="000000"/>
              <w:right w:val="single" w:sz="6" w:space="0" w:color="000000"/>
            </w:tcBorders>
            <w:vAlign w:val="center"/>
            <w:hideMark/>
          </w:tcPr>
          <w:p w14:paraId="5E99C977" w14:textId="77777777" w:rsidR="00F43872" w:rsidRPr="004D1FE4" w:rsidRDefault="00F43872" w:rsidP="004D1FE4">
            <w:pPr>
              <w:pStyle w:val="18"/>
              <w:jc w:val="center"/>
              <w:rPr>
                <w:b/>
              </w:rPr>
            </w:pPr>
            <w:r w:rsidRPr="004D1FE4">
              <w:rPr>
                <w:b/>
              </w:rPr>
              <w:t>№</w:t>
            </w:r>
          </w:p>
        </w:tc>
        <w:tc>
          <w:tcPr>
            <w:tcW w:w="6049" w:type="dxa"/>
            <w:tcBorders>
              <w:top w:val="single" w:sz="6" w:space="0" w:color="000000"/>
              <w:left w:val="single" w:sz="6" w:space="0" w:color="000000"/>
              <w:bottom w:val="single" w:sz="6" w:space="0" w:color="000000"/>
              <w:right w:val="single" w:sz="6" w:space="0" w:color="000000"/>
            </w:tcBorders>
            <w:vAlign w:val="center"/>
            <w:hideMark/>
          </w:tcPr>
          <w:p w14:paraId="4CD2B485" w14:textId="77777777" w:rsidR="00F43872" w:rsidRPr="00D14A75" w:rsidRDefault="00F43872" w:rsidP="004D1FE4">
            <w:pPr>
              <w:pStyle w:val="18"/>
              <w:jc w:val="center"/>
            </w:pPr>
            <w:r w:rsidRPr="00214BE2">
              <w:rPr>
                <w:rStyle w:val="aff5"/>
              </w:rPr>
              <w:t>Критерии качества</w:t>
            </w:r>
          </w:p>
        </w:tc>
        <w:tc>
          <w:tcPr>
            <w:tcW w:w="1275" w:type="dxa"/>
            <w:tcBorders>
              <w:top w:val="single" w:sz="6" w:space="0" w:color="000000"/>
              <w:left w:val="single" w:sz="6" w:space="0" w:color="000000"/>
              <w:bottom w:val="single" w:sz="6" w:space="0" w:color="000000"/>
              <w:right w:val="single" w:sz="6" w:space="0" w:color="000000"/>
            </w:tcBorders>
            <w:vAlign w:val="center"/>
            <w:hideMark/>
          </w:tcPr>
          <w:p w14:paraId="4A64276F" w14:textId="77777777" w:rsidR="00F43872" w:rsidRPr="00D14A75" w:rsidRDefault="004D1FE4" w:rsidP="00C24361">
            <w:pPr>
              <w:pStyle w:val="18"/>
              <w:jc w:val="center"/>
            </w:pPr>
            <w:r>
              <w:rPr>
                <w:rStyle w:val="aff5"/>
              </w:rPr>
              <w:t>УУР</w:t>
            </w:r>
            <w:r w:rsidR="00B4335E" w:rsidRPr="00214BE2">
              <w:rPr>
                <w:rStyle w:val="aff5"/>
              </w:rPr>
              <w:t xml:space="preserve"> </w:t>
            </w:r>
          </w:p>
        </w:tc>
        <w:tc>
          <w:tcPr>
            <w:tcW w:w="1418" w:type="dxa"/>
            <w:tcBorders>
              <w:top w:val="single" w:sz="6" w:space="0" w:color="000000"/>
              <w:left w:val="single" w:sz="6" w:space="0" w:color="000000"/>
              <w:bottom w:val="single" w:sz="6" w:space="0" w:color="000000"/>
              <w:right w:val="single" w:sz="6" w:space="0" w:color="000000"/>
            </w:tcBorders>
            <w:vAlign w:val="center"/>
            <w:hideMark/>
          </w:tcPr>
          <w:p w14:paraId="7F49B459" w14:textId="77777777" w:rsidR="00F43872" w:rsidRPr="00D14A75" w:rsidRDefault="004D1FE4" w:rsidP="00C24361">
            <w:pPr>
              <w:pStyle w:val="18"/>
              <w:ind w:right="-23"/>
              <w:jc w:val="center"/>
            </w:pPr>
            <w:r>
              <w:rPr>
                <w:rStyle w:val="aff5"/>
              </w:rPr>
              <w:t>УДД</w:t>
            </w:r>
          </w:p>
        </w:tc>
      </w:tr>
      <w:tr w:rsidR="00F43872" w:rsidRPr="005C5208" w14:paraId="71A0BD91" w14:textId="77777777" w:rsidTr="00BA1AA9">
        <w:trPr>
          <w:trHeight w:val="705"/>
        </w:trPr>
        <w:tc>
          <w:tcPr>
            <w:tcW w:w="380" w:type="dxa"/>
            <w:tcBorders>
              <w:top w:val="single" w:sz="6" w:space="0" w:color="000000"/>
              <w:left w:val="single" w:sz="6" w:space="0" w:color="000000"/>
              <w:bottom w:val="single" w:sz="6" w:space="0" w:color="000000"/>
              <w:right w:val="single" w:sz="6" w:space="0" w:color="000000"/>
            </w:tcBorders>
            <w:vAlign w:val="center"/>
            <w:hideMark/>
          </w:tcPr>
          <w:p w14:paraId="01D19BC3" w14:textId="77777777" w:rsidR="00F43872" w:rsidRPr="00D14A75" w:rsidRDefault="00F43872" w:rsidP="00C24361">
            <w:pPr>
              <w:pStyle w:val="18"/>
              <w:jc w:val="both"/>
            </w:pPr>
            <w:r w:rsidRPr="00214BE2">
              <w:t>1</w:t>
            </w:r>
          </w:p>
        </w:tc>
        <w:tc>
          <w:tcPr>
            <w:tcW w:w="6049" w:type="dxa"/>
            <w:tcBorders>
              <w:top w:val="single" w:sz="6" w:space="0" w:color="000000"/>
              <w:left w:val="single" w:sz="6" w:space="0" w:color="000000"/>
              <w:bottom w:val="single" w:sz="6" w:space="0" w:color="000000"/>
              <w:right w:val="single" w:sz="6" w:space="0" w:color="000000"/>
            </w:tcBorders>
            <w:vAlign w:val="center"/>
            <w:hideMark/>
          </w:tcPr>
          <w:p w14:paraId="615132D9" w14:textId="77777777" w:rsidR="00F43872" w:rsidRPr="00D14A75" w:rsidRDefault="00F43872" w:rsidP="00C24361">
            <w:pPr>
              <w:pStyle w:val="18"/>
              <w:jc w:val="both"/>
            </w:pPr>
            <w:r w:rsidRPr="00214BE2">
              <w:t xml:space="preserve">Выполнен </w:t>
            </w:r>
            <w:r w:rsidR="0027093F" w:rsidRPr="00214BE2">
              <w:t>ОАК</w:t>
            </w:r>
            <w:r w:rsidR="005C5208" w:rsidRPr="00214BE2">
              <w:t xml:space="preserve"> с подсчетом лейкоцитарной формулы и определением числа тромбоцитов</w:t>
            </w:r>
          </w:p>
        </w:tc>
        <w:tc>
          <w:tcPr>
            <w:tcW w:w="1275" w:type="dxa"/>
            <w:tcBorders>
              <w:top w:val="single" w:sz="6" w:space="0" w:color="000000"/>
              <w:left w:val="single" w:sz="6" w:space="0" w:color="000000"/>
              <w:bottom w:val="single" w:sz="6" w:space="0" w:color="000000"/>
              <w:right w:val="single" w:sz="6" w:space="0" w:color="000000"/>
            </w:tcBorders>
            <w:vAlign w:val="center"/>
            <w:hideMark/>
          </w:tcPr>
          <w:p w14:paraId="031892B8" w14:textId="77777777" w:rsidR="00F43872" w:rsidRPr="00D14A75" w:rsidRDefault="005C5208" w:rsidP="00C24361">
            <w:pPr>
              <w:pStyle w:val="18"/>
              <w:jc w:val="center"/>
            </w:pPr>
            <w:r w:rsidRPr="00214BE2">
              <w:t>С</w:t>
            </w:r>
            <w:r w:rsidR="00B4335E" w:rsidRPr="00214BE2">
              <w:t xml:space="preserve"> </w:t>
            </w:r>
          </w:p>
        </w:tc>
        <w:tc>
          <w:tcPr>
            <w:tcW w:w="1418" w:type="dxa"/>
            <w:tcBorders>
              <w:top w:val="single" w:sz="6" w:space="0" w:color="000000"/>
              <w:left w:val="single" w:sz="6" w:space="0" w:color="000000"/>
              <w:bottom w:val="single" w:sz="6" w:space="0" w:color="000000"/>
              <w:right w:val="single" w:sz="6" w:space="0" w:color="000000"/>
            </w:tcBorders>
            <w:vAlign w:val="center"/>
            <w:hideMark/>
          </w:tcPr>
          <w:p w14:paraId="60C145D4" w14:textId="77777777" w:rsidR="00F43872" w:rsidRPr="00D14A75" w:rsidRDefault="005C5208" w:rsidP="00C24361">
            <w:pPr>
              <w:pStyle w:val="18"/>
              <w:jc w:val="center"/>
            </w:pPr>
            <w:r w:rsidRPr="00214BE2">
              <w:t>5</w:t>
            </w:r>
          </w:p>
        </w:tc>
      </w:tr>
      <w:tr w:rsidR="00B4335E" w:rsidRPr="005C5208" w14:paraId="6619C7E9" w14:textId="77777777" w:rsidTr="00BA1AA9">
        <w:trPr>
          <w:trHeight w:val="555"/>
        </w:trPr>
        <w:tc>
          <w:tcPr>
            <w:tcW w:w="380" w:type="dxa"/>
            <w:tcBorders>
              <w:top w:val="single" w:sz="6" w:space="0" w:color="000000"/>
              <w:left w:val="single" w:sz="6" w:space="0" w:color="000000"/>
              <w:bottom w:val="single" w:sz="6" w:space="0" w:color="000000"/>
              <w:right w:val="single" w:sz="6" w:space="0" w:color="000000"/>
            </w:tcBorders>
            <w:vAlign w:val="center"/>
            <w:hideMark/>
          </w:tcPr>
          <w:p w14:paraId="3E955591" w14:textId="77777777" w:rsidR="00B4335E" w:rsidRPr="00D14A75" w:rsidRDefault="00BA1AA9" w:rsidP="00C24361">
            <w:pPr>
              <w:pStyle w:val="18"/>
              <w:jc w:val="both"/>
            </w:pPr>
            <w:r>
              <w:t>2</w:t>
            </w:r>
            <w:r w:rsidR="00B4335E" w:rsidRPr="00214BE2">
              <w:t> </w:t>
            </w:r>
          </w:p>
        </w:tc>
        <w:tc>
          <w:tcPr>
            <w:tcW w:w="6049" w:type="dxa"/>
            <w:tcBorders>
              <w:top w:val="single" w:sz="6" w:space="0" w:color="000000"/>
              <w:left w:val="single" w:sz="6" w:space="0" w:color="000000"/>
              <w:bottom w:val="single" w:sz="6" w:space="0" w:color="000000"/>
              <w:right w:val="single" w:sz="6" w:space="0" w:color="000000"/>
            </w:tcBorders>
            <w:vAlign w:val="center"/>
            <w:hideMark/>
          </w:tcPr>
          <w:p w14:paraId="0200791E" w14:textId="77777777" w:rsidR="00B4335E" w:rsidRPr="00D14A75" w:rsidRDefault="00B4335E" w:rsidP="00C24361">
            <w:pPr>
              <w:pStyle w:val="18"/>
              <w:jc w:val="both"/>
            </w:pPr>
            <w:r w:rsidRPr="00214BE2">
              <w:t xml:space="preserve">Выполнено </w:t>
            </w:r>
            <w:r w:rsidR="00D402DE" w:rsidRPr="00214BE2">
              <w:t>цитологическое исследование мазка КМ (миелограмма) из стернального пунктата</w:t>
            </w:r>
          </w:p>
        </w:tc>
        <w:tc>
          <w:tcPr>
            <w:tcW w:w="1275" w:type="dxa"/>
            <w:tcBorders>
              <w:top w:val="single" w:sz="6" w:space="0" w:color="000000"/>
              <w:left w:val="single" w:sz="6" w:space="0" w:color="000000"/>
              <w:bottom w:val="single" w:sz="6" w:space="0" w:color="000000"/>
              <w:right w:val="single" w:sz="6" w:space="0" w:color="000000"/>
            </w:tcBorders>
            <w:vAlign w:val="center"/>
            <w:hideMark/>
          </w:tcPr>
          <w:p w14:paraId="6733146A" w14:textId="77777777" w:rsidR="00B4335E" w:rsidRPr="00D14A75" w:rsidRDefault="00D402DE" w:rsidP="00C24361">
            <w:pPr>
              <w:pStyle w:val="18"/>
              <w:jc w:val="center"/>
            </w:pPr>
            <w:r w:rsidRPr="00214BE2">
              <w:t>С</w:t>
            </w:r>
            <w:r w:rsidR="00B4335E" w:rsidRPr="00214BE2">
              <w:t xml:space="preserve"> </w:t>
            </w:r>
          </w:p>
        </w:tc>
        <w:tc>
          <w:tcPr>
            <w:tcW w:w="1418" w:type="dxa"/>
            <w:tcBorders>
              <w:top w:val="single" w:sz="6" w:space="0" w:color="000000"/>
              <w:left w:val="single" w:sz="6" w:space="0" w:color="000000"/>
              <w:bottom w:val="single" w:sz="6" w:space="0" w:color="000000"/>
              <w:right w:val="single" w:sz="6" w:space="0" w:color="000000"/>
            </w:tcBorders>
            <w:vAlign w:val="center"/>
            <w:hideMark/>
          </w:tcPr>
          <w:p w14:paraId="2DA32045" w14:textId="77777777" w:rsidR="00B4335E" w:rsidRPr="00D14A75" w:rsidRDefault="00D402DE" w:rsidP="00C24361">
            <w:pPr>
              <w:pStyle w:val="18"/>
              <w:jc w:val="center"/>
            </w:pPr>
            <w:r w:rsidRPr="00214BE2">
              <w:t>5</w:t>
            </w:r>
          </w:p>
        </w:tc>
      </w:tr>
      <w:tr w:rsidR="00D402DE" w:rsidRPr="005C5208" w14:paraId="4E6D5F03" w14:textId="77777777" w:rsidTr="00BA1AA9">
        <w:trPr>
          <w:trHeight w:val="495"/>
        </w:trPr>
        <w:tc>
          <w:tcPr>
            <w:tcW w:w="380" w:type="dxa"/>
            <w:tcBorders>
              <w:top w:val="single" w:sz="6" w:space="0" w:color="000000"/>
              <w:left w:val="single" w:sz="6" w:space="0" w:color="000000"/>
              <w:bottom w:val="single" w:sz="6" w:space="0" w:color="000000"/>
              <w:right w:val="single" w:sz="6" w:space="0" w:color="000000"/>
            </w:tcBorders>
            <w:vAlign w:val="center"/>
          </w:tcPr>
          <w:p w14:paraId="0617357A" w14:textId="77777777" w:rsidR="00D402DE" w:rsidRPr="00D14A75" w:rsidRDefault="00B82BE2" w:rsidP="00C24361">
            <w:pPr>
              <w:pStyle w:val="18"/>
              <w:jc w:val="both"/>
            </w:pPr>
            <w:r w:rsidRPr="00214BE2">
              <w:t>3</w:t>
            </w:r>
          </w:p>
        </w:tc>
        <w:tc>
          <w:tcPr>
            <w:tcW w:w="6049" w:type="dxa"/>
            <w:tcBorders>
              <w:top w:val="single" w:sz="6" w:space="0" w:color="000000"/>
              <w:left w:val="single" w:sz="6" w:space="0" w:color="000000"/>
              <w:bottom w:val="single" w:sz="6" w:space="0" w:color="000000"/>
              <w:right w:val="single" w:sz="6" w:space="0" w:color="000000"/>
            </w:tcBorders>
            <w:vAlign w:val="center"/>
          </w:tcPr>
          <w:p w14:paraId="436B3827" w14:textId="77777777" w:rsidR="00D402DE" w:rsidRPr="00D14A75" w:rsidRDefault="00D402DE" w:rsidP="00C24361">
            <w:pPr>
              <w:pStyle w:val="18"/>
              <w:jc w:val="both"/>
            </w:pPr>
            <w:r w:rsidRPr="00214BE2">
              <w:t>Выполнено цитохимическое исследование микропрепарата КМ (бластных клеток КМ)</w:t>
            </w:r>
          </w:p>
        </w:tc>
        <w:tc>
          <w:tcPr>
            <w:tcW w:w="1275" w:type="dxa"/>
            <w:tcBorders>
              <w:top w:val="single" w:sz="6" w:space="0" w:color="000000"/>
              <w:left w:val="single" w:sz="6" w:space="0" w:color="000000"/>
              <w:bottom w:val="single" w:sz="6" w:space="0" w:color="000000"/>
              <w:right w:val="single" w:sz="6" w:space="0" w:color="000000"/>
            </w:tcBorders>
            <w:vAlign w:val="center"/>
          </w:tcPr>
          <w:p w14:paraId="0355F7CE" w14:textId="77777777" w:rsidR="00D402DE" w:rsidRPr="00D14A75" w:rsidRDefault="00D402DE" w:rsidP="00C24361">
            <w:pPr>
              <w:pStyle w:val="18"/>
              <w:jc w:val="center"/>
            </w:pPr>
            <w:r w:rsidRPr="00214BE2">
              <w:t>В</w:t>
            </w:r>
          </w:p>
        </w:tc>
        <w:tc>
          <w:tcPr>
            <w:tcW w:w="1418" w:type="dxa"/>
            <w:tcBorders>
              <w:top w:val="single" w:sz="6" w:space="0" w:color="000000"/>
              <w:left w:val="single" w:sz="6" w:space="0" w:color="000000"/>
              <w:bottom w:val="single" w:sz="6" w:space="0" w:color="000000"/>
              <w:right w:val="single" w:sz="6" w:space="0" w:color="000000"/>
            </w:tcBorders>
            <w:vAlign w:val="center"/>
          </w:tcPr>
          <w:p w14:paraId="14103FD4" w14:textId="77777777" w:rsidR="00D402DE" w:rsidRPr="00D14A75" w:rsidRDefault="00D402DE" w:rsidP="00C24361">
            <w:pPr>
              <w:pStyle w:val="18"/>
              <w:jc w:val="center"/>
            </w:pPr>
            <w:r w:rsidRPr="00214BE2">
              <w:t>2</w:t>
            </w:r>
          </w:p>
        </w:tc>
      </w:tr>
      <w:tr w:rsidR="00B4335E" w:rsidRPr="005C5208" w14:paraId="40347942" w14:textId="77777777" w:rsidTr="00BA1AA9">
        <w:trPr>
          <w:trHeight w:val="495"/>
        </w:trPr>
        <w:tc>
          <w:tcPr>
            <w:tcW w:w="380" w:type="dxa"/>
            <w:tcBorders>
              <w:top w:val="single" w:sz="6" w:space="0" w:color="000000"/>
              <w:left w:val="single" w:sz="6" w:space="0" w:color="000000"/>
              <w:bottom w:val="single" w:sz="6" w:space="0" w:color="000000"/>
              <w:right w:val="single" w:sz="6" w:space="0" w:color="000000"/>
            </w:tcBorders>
            <w:vAlign w:val="center"/>
            <w:hideMark/>
          </w:tcPr>
          <w:p w14:paraId="54E2DC5E" w14:textId="77777777" w:rsidR="00B4335E" w:rsidRPr="00D14A75" w:rsidRDefault="00B82BE2" w:rsidP="00C24361">
            <w:pPr>
              <w:pStyle w:val="18"/>
              <w:jc w:val="both"/>
            </w:pPr>
            <w:r w:rsidRPr="00214BE2">
              <w:t>4</w:t>
            </w:r>
          </w:p>
        </w:tc>
        <w:tc>
          <w:tcPr>
            <w:tcW w:w="6049" w:type="dxa"/>
            <w:tcBorders>
              <w:top w:val="single" w:sz="6" w:space="0" w:color="000000"/>
              <w:left w:val="single" w:sz="6" w:space="0" w:color="000000"/>
              <w:bottom w:val="single" w:sz="6" w:space="0" w:color="000000"/>
              <w:right w:val="single" w:sz="6" w:space="0" w:color="000000"/>
            </w:tcBorders>
            <w:vAlign w:val="center"/>
            <w:hideMark/>
          </w:tcPr>
          <w:p w14:paraId="1E2CD9AB" w14:textId="77777777" w:rsidR="00B4335E" w:rsidRPr="00D14A75" w:rsidRDefault="00B4335E" w:rsidP="00C24361">
            <w:pPr>
              <w:pStyle w:val="18"/>
              <w:jc w:val="both"/>
            </w:pPr>
            <w:r w:rsidRPr="00214BE2">
              <w:t xml:space="preserve">Выполнено </w:t>
            </w:r>
            <w:r w:rsidR="00D402DE" w:rsidRPr="00214BE2">
              <w:t>стандартное цитогенетическое исследование (кариотип) аспирата КМ</w:t>
            </w:r>
            <w:r w:rsidRPr="00214BE2">
              <w:t xml:space="preserve"> (в том числе выполнено исследование для детекции транслокации t(9;22) и </w:t>
            </w:r>
            <w:r w:rsidRPr="005C5208">
              <w:rPr>
                <w:lang w:val="en-US"/>
              </w:rPr>
              <w:t>t</w:t>
            </w:r>
            <w:r w:rsidRPr="00214BE2">
              <w:t>(4;11))</w:t>
            </w:r>
          </w:p>
        </w:tc>
        <w:tc>
          <w:tcPr>
            <w:tcW w:w="1275" w:type="dxa"/>
            <w:tcBorders>
              <w:top w:val="single" w:sz="6" w:space="0" w:color="000000"/>
              <w:left w:val="single" w:sz="6" w:space="0" w:color="000000"/>
              <w:bottom w:val="single" w:sz="6" w:space="0" w:color="000000"/>
              <w:right w:val="single" w:sz="6" w:space="0" w:color="000000"/>
            </w:tcBorders>
            <w:vAlign w:val="center"/>
            <w:hideMark/>
          </w:tcPr>
          <w:p w14:paraId="39A72E98" w14:textId="77777777" w:rsidR="00B4335E" w:rsidRPr="00D14A75" w:rsidRDefault="00BA3A29" w:rsidP="00C24361">
            <w:pPr>
              <w:pStyle w:val="18"/>
              <w:jc w:val="center"/>
            </w:pPr>
            <w:r>
              <w:rPr>
                <w:lang w:val="en-US"/>
              </w:rPr>
              <w:t>B</w:t>
            </w:r>
          </w:p>
        </w:tc>
        <w:tc>
          <w:tcPr>
            <w:tcW w:w="1418" w:type="dxa"/>
            <w:tcBorders>
              <w:top w:val="single" w:sz="6" w:space="0" w:color="000000"/>
              <w:left w:val="single" w:sz="6" w:space="0" w:color="000000"/>
              <w:bottom w:val="single" w:sz="6" w:space="0" w:color="000000"/>
              <w:right w:val="single" w:sz="6" w:space="0" w:color="000000"/>
            </w:tcBorders>
            <w:vAlign w:val="center"/>
            <w:hideMark/>
          </w:tcPr>
          <w:p w14:paraId="5DB33CE8" w14:textId="77777777" w:rsidR="00B4335E" w:rsidRPr="00D14A75" w:rsidRDefault="00BA3A29" w:rsidP="00C24361">
            <w:pPr>
              <w:pStyle w:val="18"/>
              <w:jc w:val="center"/>
            </w:pPr>
            <w:r>
              <w:t>2</w:t>
            </w:r>
          </w:p>
        </w:tc>
      </w:tr>
      <w:tr w:rsidR="00B4335E" w:rsidRPr="005C5208" w14:paraId="6C93C2CD" w14:textId="77777777" w:rsidTr="00BA1AA9">
        <w:trPr>
          <w:trHeight w:val="465"/>
        </w:trPr>
        <w:tc>
          <w:tcPr>
            <w:tcW w:w="380" w:type="dxa"/>
            <w:tcBorders>
              <w:top w:val="single" w:sz="6" w:space="0" w:color="000000"/>
              <w:left w:val="single" w:sz="6" w:space="0" w:color="000000"/>
              <w:bottom w:val="single" w:sz="6" w:space="0" w:color="000000"/>
              <w:right w:val="single" w:sz="6" w:space="0" w:color="000000"/>
            </w:tcBorders>
            <w:vAlign w:val="center"/>
          </w:tcPr>
          <w:p w14:paraId="381C9ECF" w14:textId="77777777" w:rsidR="00B4335E" w:rsidRPr="00D14A75" w:rsidRDefault="00B82BE2" w:rsidP="00C24361">
            <w:pPr>
              <w:pStyle w:val="18"/>
              <w:jc w:val="both"/>
            </w:pPr>
            <w:r w:rsidRPr="00214BE2">
              <w:t>5</w:t>
            </w:r>
          </w:p>
        </w:tc>
        <w:tc>
          <w:tcPr>
            <w:tcW w:w="6049" w:type="dxa"/>
            <w:tcBorders>
              <w:top w:val="single" w:sz="6" w:space="0" w:color="000000"/>
              <w:left w:val="single" w:sz="6" w:space="0" w:color="000000"/>
              <w:bottom w:val="single" w:sz="6" w:space="0" w:color="000000"/>
              <w:right w:val="single" w:sz="6" w:space="0" w:color="000000"/>
            </w:tcBorders>
            <w:vAlign w:val="center"/>
          </w:tcPr>
          <w:p w14:paraId="3D055021" w14:textId="77777777" w:rsidR="00B4335E" w:rsidRPr="00D14A75" w:rsidRDefault="00B4335E" w:rsidP="00C24361">
            <w:pPr>
              <w:pStyle w:val="18"/>
              <w:jc w:val="both"/>
            </w:pPr>
            <w:r w:rsidRPr="00214BE2">
              <w:t xml:space="preserve">Выполнено </w:t>
            </w:r>
            <w:r w:rsidR="00060101" w:rsidRPr="00214BE2">
              <w:t>иммунофенотипирование гемопоэтических клеток-предшественниц в КМ</w:t>
            </w:r>
          </w:p>
        </w:tc>
        <w:tc>
          <w:tcPr>
            <w:tcW w:w="1275" w:type="dxa"/>
            <w:tcBorders>
              <w:top w:val="single" w:sz="6" w:space="0" w:color="000000"/>
              <w:left w:val="single" w:sz="6" w:space="0" w:color="000000"/>
              <w:bottom w:val="single" w:sz="6" w:space="0" w:color="000000"/>
              <w:right w:val="single" w:sz="6" w:space="0" w:color="000000"/>
            </w:tcBorders>
            <w:vAlign w:val="center"/>
          </w:tcPr>
          <w:p w14:paraId="0FDFCF2B" w14:textId="77777777" w:rsidR="00B4335E" w:rsidRPr="00D14A75" w:rsidRDefault="004E0CDC" w:rsidP="00C24361">
            <w:pPr>
              <w:pStyle w:val="18"/>
              <w:jc w:val="center"/>
            </w:pPr>
            <w:r w:rsidRPr="005C5208">
              <w:rPr>
                <w:lang w:val="en-US"/>
              </w:rPr>
              <w:t>B</w:t>
            </w:r>
            <w:r w:rsidR="00B4335E" w:rsidRPr="00214BE2">
              <w:t xml:space="preserve"> </w:t>
            </w:r>
          </w:p>
        </w:tc>
        <w:tc>
          <w:tcPr>
            <w:tcW w:w="1418" w:type="dxa"/>
            <w:tcBorders>
              <w:top w:val="single" w:sz="6" w:space="0" w:color="000000"/>
              <w:left w:val="single" w:sz="6" w:space="0" w:color="000000"/>
              <w:bottom w:val="single" w:sz="6" w:space="0" w:color="000000"/>
              <w:right w:val="single" w:sz="6" w:space="0" w:color="000000"/>
            </w:tcBorders>
            <w:vAlign w:val="center"/>
          </w:tcPr>
          <w:p w14:paraId="181B5B8C" w14:textId="77777777" w:rsidR="00B4335E" w:rsidRPr="00D35FE3" w:rsidRDefault="004E0CDC" w:rsidP="00C24361">
            <w:pPr>
              <w:pStyle w:val="18"/>
              <w:jc w:val="center"/>
            </w:pPr>
            <w:r w:rsidRPr="00D35FE3">
              <w:t>2</w:t>
            </w:r>
          </w:p>
        </w:tc>
      </w:tr>
      <w:tr w:rsidR="00401FEC" w:rsidRPr="005C5208" w14:paraId="7E5D33E2" w14:textId="77777777" w:rsidTr="00BA1AA9">
        <w:trPr>
          <w:trHeight w:val="465"/>
        </w:trPr>
        <w:tc>
          <w:tcPr>
            <w:tcW w:w="380" w:type="dxa"/>
            <w:tcBorders>
              <w:top w:val="single" w:sz="6" w:space="0" w:color="000000"/>
              <w:left w:val="single" w:sz="6" w:space="0" w:color="000000"/>
              <w:bottom w:val="single" w:sz="6" w:space="0" w:color="000000"/>
              <w:right w:val="single" w:sz="6" w:space="0" w:color="000000"/>
            </w:tcBorders>
            <w:vAlign w:val="center"/>
            <w:hideMark/>
          </w:tcPr>
          <w:p w14:paraId="7BA53478" w14:textId="77777777" w:rsidR="00401FEC" w:rsidRPr="00D14A75" w:rsidRDefault="00B82BE2" w:rsidP="00401FEC">
            <w:pPr>
              <w:pStyle w:val="18"/>
              <w:jc w:val="both"/>
            </w:pPr>
            <w:r w:rsidRPr="00214BE2">
              <w:t>6</w:t>
            </w:r>
          </w:p>
        </w:tc>
        <w:tc>
          <w:tcPr>
            <w:tcW w:w="6049" w:type="dxa"/>
            <w:tcBorders>
              <w:top w:val="single" w:sz="6" w:space="0" w:color="000000"/>
              <w:left w:val="single" w:sz="6" w:space="0" w:color="000000"/>
              <w:bottom w:val="single" w:sz="6" w:space="0" w:color="000000"/>
              <w:right w:val="single" w:sz="6" w:space="0" w:color="000000"/>
            </w:tcBorders>
            <w:vAlign w:val="center"/>
            <w:hideMark/>
          </w:tcPr>
          <w:p w14:paraId="0BDAE57E" w14:textId="77777777" w:rsidR="00401FEC" w:rsidRPr="00D14A75" w:rsidRDefault="00401FEC" w:rsidP="00BA3A29">
            <w:pPr>
              <w:pStyle w:val="18"/>
              <w:jc w:val="both"/>
            </w:pPr>
            <w:r w:rsidRPr="00214BE2">
              <w:t xml:space="preserve">Выполнена КТ </w:t>
            </w:r>
            <w:r w:rsidR="00BA3A29">
              <w:t>головы</w:t>
            </w:r>
            <w:r w:rsidRPr="00214BE2">
              <w:t>, органов грудной  и брюшной полост</w:t>
            </w:r>
            <w:r w:rsidR="00BA3A29">
              <w:t>ей</w:t>
            </w:r>
          </w:p>
        </w:tc>
        <w:tc>
          <w:tcPr>
            <w:tcW w:w="1275" w:type="dxa"/>
            <w:tcBorders>
              <w:top w:val="single" w:sz="6" w:space="0" w:color="000000"/>
              <w:left w:val="single" w:sz="6" w:space="0" w:color="000000"/>
              <w:bottom w:val="single" w:sz="6" w:space="0" w:color="000000"/>
              <w:right w:val="single" w:sz="6" w:space="0" w:color="000000"/>
            </w:tcBorders>
            <w:vAlign w:val="center"/>
            <w:hideMark/>
          </w:tcPr>
          <w:p w14:paraId="67A2DD06" w14:textId="77777777" w:rsidR="00401FEC" w:rsidRPr="00D14A75" w:rsidRDefault="00BA3A29" w:rsidP="00401FEC">
            <w:pPr>
              <w:pStyle w:val="18"/>
              <w:jc w:val="center"/>
            </w:pPr>
            <w:r>
              <w:rPr>
                <w:lang w:val="en-US"/>
              </w:rPr>
              <w:t>C</w:t>
            </w:r>
          </w:p>
        </w:tc>
        <w:tc>
          <w:tcPr>
            <w:tcW w:w="1418" w:type="dxa"/>
            <w:tcBorders>
              <w:top w:val="single" w:sz="6" w:space="0" w:color="000000"/>
              <w:left w:val="single" w:sz="6" w:space="0" w:color="000000"/>
              <w:bottom w:val="single" w:sz="6" w:space="0" w:color="000000"/>
              <w:right w:val="single" w:sz="6" w:space="0" w:color="000000"/>
            </w:tcBorders>
            <w:vAlign w:val="center"/>
            <w:hideMark/>
          </w:tcPr>
          <w:p w14:paraId="6E062F9B" w14:textId="77777777" w:rsidR="00401FEC" w:rsidRPr="00143441" w:rsidRDefault="00BA3A29" w:rsidP="00401FEC">
            <w:pPr>
              <w:pStyle w:val="18"/>
              <w:jc w:val="center"/>
            </w:pPr>
            <w:r w:rsidRPr="00143441">
              <w:t>5</w:t>
            </w:r>
          </w:p>
        </w:tc>
      </w:tr>
      <w:tr w:rsidR="00401FEC" w:rsidRPr="005C5208" w14:paraId="2202BC51" w14:textId="77777777" w:rsidTr="00BA1AA9">
        <w:trPr>
          <w:trHeight w:val="465"/>
        </w:trPr>
        <w:tc>
          <w:tcPr>
            <w:tcW w:w="380" w:type="dxa"/>
            <w:tcBorders>
              <w:top w:val="single" w:sz="6" w:space="0" w:color="000000"/>
              <w:left w:val="single" w:sz="6" w:space="0" w:color="000000"/>
              <w:bottom w:val="single" w:sz="6" w:space="0" w:color="000000"/>
              <w:right w:val="single" w:sz="6" w:space="0" w:color="000000"/>
            </w:tcBorders>
            <w:vAlign w:val="center"/>
          </w:tcPr>
          <w:p w14:paraId="589C5891" w14:textId="77777777" w:rsidR="00401FEC" w:rsidRPr="00D14A75" w:rsidRDefault="00B82BE2" w:rsidP="00401FEC">
            <w:pPr>
              <w:pStyle w:val="18"/>
              <w:jc w:val="both"/>
            </w:pPr>
            <w:r w:rsidRPr="00214BE2">
              <w:t>7</w:t>
            </w:r>
          </w:p>
        </w:tc>
        <w:tc>
          <w:tcPr>
            <w:tcW w:w="6049" w:type="dxa"/>
            <w:tcBorders>
              <w:top w:val="single" w:sz="6" w:space="0" w:color="000000"/>
              <w:left w:val="single" w:sz="6" w:space="0" w:color="000000"/>
              <w:bottom w:val="single" w:sz="6" w:space="0" w:color="000000"/>
              <w:right w:val="single" w:sz="6" w:space="0" w:color="000000"/>
            </w:tcBorders>
            <w:vAlign w:val="center"/>
          </w:tcPr>
          <w:p w14:paraId="00FE8913" w14:textId="77777777" w:rsidR="00401FEC" w:rsidRPr="00D14A75" w:rsidRDefault="009821A9" w:rsidP="00BA3A29">
            <w:pPr>
              <w:pStyle w:val="18"/>
              <w:jc w:val="both"/>
            </w:pPr>
            <w:r w:rsidRPr="00214BE2">
              <w:t xml:space="preserve">Выполнена спинномозговая пункция с цитологическим исследованием </w:t>
            </w:r>
            <w:r w:rsidR="00BA3A29">
              <w:t>клеток спинномозговой жидкости</w:t>
            </w:r>
            <w:r w:rsidR="00BA3A29" w:rsidRPr="00214BE2">
              <w:t xml:space="preserve"> </w:t>
            </w:r>
            <w:r w:rsidRPr="00214BE2">
              <w:t>(микроскопическое исследование спинномозговой жидкости, подсчет клеток в счетной камере)</w:t>
            </w:r>
          </w:p>
        </w:tc>
        <w:tc>
          <w:tcPr>
            <w:tcW w:w="1275" w:type="dxa"/>
            <w:tcBorders>
              <w:top w:val="single" w:sz="6" w:space="0" w:color="000000"/>
              <w:left w:val="single" w:sz="6" w:space="0" w:color="000000"/>
              <w:bottom w:val="single" w:sz="6" w:space="0" w:color="000000"/>
              <w:right w:val="single" w:sz="6" w:space="0" w:color="000000"/>
            </w:tcBorders>
            <w:vAlign w:val="center"/>
          </w:tcPr>
          <w:p w14:paraId="3FDD3B93" w14:textId="77777777" w:rsidR="00401FEC" w:rsidRPr="00D14A75" w:rsidRDefault="00B82BE2" w:rsidP="00401FEC">
            <w:pPr>
              <w:pStyle w:val="18"/>
              <w:jc w:val="center"/>
            </w:pPr>
            <w:r w:rsidRPr="00214BE2">
              <w:t>В</w:t>
            </w:r>
          </w:p>
        </w:tc>
        <w:tc>
          <w:tcPr>
            <w:tcW w:w="1418" w:type="dxa"/>
            <w:tcBorders>
              <w:top w:val="single" w:sz="6" w:space="0" w:color="000000"/>
              <w:left w:val="single" w:sz="6" w:space="0" w:color="000000"/>
              <w:bottom w:val="single" w:sz="6" w:space="0" w:color="000000"/>
              <w:right w:val="single" w:sz="6" w:space="0" w:color="000000"/>
            </w:tcBorders>
            <w:vAlign w:val="center"/>
          </w:tcPr>
          <w:p w14:paraId="25434D8C" w14:textId="77777777" w:rsidR="00401FEC" w:rsidRPr="00D14A75" w:rsidRDefault="00B82BE2" w:rsidP="00401FEC">
            <w:pPr>
              <w:pStyle w:val="18"/>
              <w:jc w:val="center"/>
            </w:pPr>
            <w:r w:rsidRPr="00214BE2">
              <w:t>2</w:t>
            </w:r>
          </w:p>
        </w:tc>
      </w:tr>
      <w:tr w:rsidR="00401FEC" w:rsidRPr="005C5208" w14:paraId="0F01356E" w14:textId="77777777" w:rsidTr="00BA1AA9">
        <w:trPr>
          <w:trHeight w:val="630"/>
        </w:trPr>
        <w:tc>
          <w:tcPr>
            <w:tcW w:w="380" w:type="dxa"/>
            <w:tcBorders>
              <w:top w:val="single" w:sz="6" w:space="0" w:color="000000"/>
              <w:left w:val="single" w:sz="6" w:space="0" w:color="000000"/>
              <w:bottom w:val="single" w:sz="6" w:space="0" w:color="000000"/>
              <w:right w:val="single" w:sz="6" w:space="0" w:color="000000"/>
            </w:tcBorders>
            <w:vAlign w:val="center"/>
            <w:hideMark/>
          </w:tcPr>
          <w:p w14:paraId="5DFF3BB4" w14:textId="77777777" w:rsidR="00401FEC" w:rsidRPr="00D14A75" w:rsidRDefault="00B82BE2" w:rsidP="00401FEC">
            <w:pPr>
              <w:pStyle w:val="18"/>
              <w:jc w:val="both"/>
            </w:pPr>
            <w:r w:rsidRPr="00214BE2">
              <w:t>8</w:t>
            </w:r>
          </w:p>
        </w:tc>
        <w:tc>
          <w:tcPr>
            <w:tcW w:w="6049" w:type="dxa"/>
            <w:tcBorders>
              <w:top w:val="single" w:sz="6" w:space="0" w:color="000000"/>
              <w:left w:val="single" w:sz="6" w:space="0" w:color="000000"/>
              <w:bottom w:val="single" w:sz="6" w:space="0" w:color="000000"/>
              <w:right w:val="single" w:sz="6" w:space="0" w:color="000000"/>
            </w:tcBorders>
            <w:vAlign w:val="center"/>
          </w:tcPr>
          <w:p w14:paraId="23A23EC9" w14:textId="77777777" w:rsidR="00401FEC" w:rsidRPr="00D14A75" w:rsidRDefault="009E7DB5" w:rsidP="00401FEC">
            <w:pPr>
              <w:pStyle w:val="18"/>
              <w:jc w:val="both"/>
            </w:pPr>
            <w:r>
              <w:t>Пациенту во время первой диагностической</w:t>
            </w:r>
            <w:r w:rsidR="00401FEC" w:rsidRPr="00214BE2">
              <w:t xml:space="preserve"> спинномозговой пункции выполнено </w:t>
            </w:r>
            <w:r w:rsidR="00401FEC" w:rsidRPr="00214BE2">
              <w:rPr>
                <w:bCs/>
              </w:rPr>
              <w:t>интратекальное введение химиопрепаратов</w:t>
            </w:r>
          </w:p>
        </w:tc>
        <w:tc>
          <w:tcPr>
            <w:tcW w:w="1275" w:type="dxa"/>
            <w:tcBorders>
              <w:top w:val="single" w:sz="6" w:space="0" w:color="000000"/>
              <w:left w:val="single" w:sz="6" w:space="0" w:color="000000"/>
              <w:bottom w:val="single" w:sz="6" w:space="0" w:color="000000"/>
              <w:right w:val="single" w:sz="6" w:space="0" w:color="000000"/>
            </w:tcBorders>
            <w:vAlign w:val="center"/>
            <w:hideMark/>
          </w:tcPr>
          <w:p w14:paraId="224F690E" w14:textId="77777777" w:rsidR="00401FEC" w:rsidRPr="00D14A75" w:rsidRDefault="00BA3A29" w:rsidP="00401FEC">
            <w:pPr>
              <w:pStyle w:val="18"/>
              <w:jc w:val="center"/>
            </w:pPr>
            <w:r>
              <w:rPr>
                <w:lang w:val="en-US"/>
              </w:rPr>
              <w:t>C</w:t>
            </w:r>
          </w:p>
        </w:tc>
        <w:tc>
          <w:tcPr>
            <w:tcW w:w="1418" w:type="dxa"/>
            <w:tcBorders>
              <w:top w:val="single" w:sz="6" w:space="0" w:color="000000"/>
              <w:left w:val="single" w:sz="6" w:space="0" w:color="000000"/>
              <w:bottom w:val="single" w:sz="6" w:space="0" w:color="000000"/>
              <w:right w:val="single" w:sz="6" w:space="0" w:color="000000"/>
            </w:tcBorders>
            <w:vAlign w:val="center"/>
            <w:hideMark/>
          </w:tcPr>
          <w:p w14:paraId="5B7E153A" w14:textId="77777777" w:rsidR="00401FEC" w:rsidRPr="005C5208" w:rsidRDefault="00BA3A29" w:rsidP="00401FEC">
            <w:pPr>
              <w:pStyle w:val="18"/>
              <w:jc w:val="center"/>
              <w:rPr>
                <w:lang w:val="en-US"/>
              </w:rPr>
            </w:pPr>
            <w:r>
              <w:rPr>
                <w:lang w:val="en-US"/>
              </w:rPr>
              <w:t>5</w:t>
            </w:r>
          </w:p>
        </w:tc>
      </w:tr>
      <w:tr w:rsidR="00401FEC" w:rsidRPr="005C5208" w14:paraId="09CCC8B4" w14:textId="77777777" w:rsidTr="00BA1AA9">
        <w:trPr>
          <w:trHeight w:val="525"/>
        </w:trPr>
        <w:tc>
          <w:tcPr>
            <w:tcW w:w="380" w:type="dxa"/>
            <w:tcBorders>
              <w:top w:val="single" w:sz="6" w:space="0" w:color="000000"/>
              <w:left w:val="single" w:sz="6" w:space="0" w:color="000000"/>
              <w:bottom w:val="single" w:sz="6" w:space="0" w:color="000000"/>
              <w:right w:val="single" w:sz="6" w:space="0" w:color="000000"/>
            </w:tcBorders>
            <w:vAlign w:val="center"/>
            <w:hideMark/>
          </w:tcPr>
          <w:p w14:paraId="3C6B6AE4" w14:textId="77777777" w:rsidR="00401FEC" w:rsidRPr="00D14A75" w:rsidRDefault="00B82BE2" w:rsidP="00401FEC">
            <w:pPr>
              <w:pStyle w:val="18"/>
              <w:jc w:val="both"/>
            </w:pPr>
            <w:r w:rsidRPr="00214BE2">
              <w:t>9</w:t>
            </w:r>
          </w:p>
        </w:tc>
        <w:tc>
          <w:tcPr>
            <w:tcW w:w="6049" w:type="dxa"/>
            <w:tcBorders>
              <w:top w:val="single" w:sz="6" w:space="0" w:color="000000"/>
              <w:left w:val="single" w:sz="6" w:space="0" w:color="000000"/>
              <w:bottom w:val="single" w:sz="6" w:space="0" w:color="000000"/>
              <w:right w:val="single" w:sz="6" w:space="0" w:color="000000"/>
            </w:tcBorders>
            <w:vAlign w:val="center"/>
            <w:hideMark/>
          </w:tcPr>
          <w:p w14:paraId="7FF093ED" w14:textId="77777777" w:rsidR="00401FEC" w:rsidRPr="00D14A75" w:rsidRDefault="00401FEC" w:rsidP="00A21181">
            <w:pPr>
              <w:pStyle w:val="18"/>
              <w:jc w:val="both"/>
            </w:pPr>
            <w:r w:rsidRPr="00214BE2">
              <w:t xml:space="preserve">Взрослому пациенту с </w:t>
            </w:r>
            <w:r>
              <w:rPr>
                <w:lang w:val="en-US"/>
              </w:rPr>
              <w:t>Ph</w:t>
            </w:r>
            <w:r w:rsidRPr="00214BE2">
              <w:t xml:space="preserve">-негативным ОЛЛ проведена </w:t>
            </w:r>
            <w:r w:rsidR="008F34D9" w:rsidRPr="00214BE2">
              <w:t>ИТ</w:t>
            </w:r>
            <w:r w:rsidR="0027093F" w:rsidRPr="00214BE2">
              <w:t>,</w:t>
            </w:r>
            <w:r w:rsidR="008F34D9" w:rsidRPr="00214BE2">
              <w:t xml:space="preserve"> </w:t>
            </w:r>
            <w:r w:rsidRPr="00214BE2">
              <w:t>согласно одному из двух принципов  хими</w:t>
            </w:r>
            <w:r w:rsidR="009E7DB5">
              <w:t xml:space="preserve">отерапевтического воздействия: </w:t>
            </w:r>
            <w:r w:rsidRPr="00214BE2">
              <w:t>1) импульсное, высокодозное с последующей постоянной поддерживающей терапией (программа Hyper</w:t>
            </w:r>
            <w:r w:rsidR="004148AD">
              <w:t>-</w:t>
            </w:r>
            <w:r w:rsidRPr="00214BE2">
              <w:t>CVAD)</w:t>
            </w:r>
            <w:r w:rsidR="009E7DB5">
              <w:t>;</w:t>
            </w:r>
            <w:r w:rsidRPr="00214BE2">
              <w:t xml:space="preserve"> </w:t>
            </w:r>
            <w:r w:rsidR="008F34D9" w:rsidRPr="00214BE2">
              <w:t xml:space="preserve">2) </w:t>
            </w:r>
            <w:r w:rsidRPr="00214BE2">
              <w:t>более</w:t>
            </w:r>
            <w:r w:rsidR="009E7DB5">
              <w:t xml:space="preserve"> традиционное (стандартное) – 8–</w:t>
            </w:r>
            <w:r w:rsidRPr="00214BE2">
              <w:t>9-недельная непрерывная индукция с последующими неодно</w:t>
            </w:r>
            <w:r w:rsidR="009E7DB5">
              <w:t>кратными высокодозными миелоабля</w:t>
            </w:r>
            <w:r w:rsidRPr="00214BE2">
              <w:t>тивными курсами и в последующем – поддерживающим лечением</w:t>
            </w:r>
          </w:p>
        </w:tc>
        <w:tc>
          <w:tcPr>
            <w:tcW w:w="1275" w:type="dxa"/>
            <w:tcBorders>
              <w:top w:val="single" w:sz="6" w:space="0" w:color="000000"/>
              <w:left w:val="single" w:sz="6" w:space="0" w:color="000000"/>
              <w:bottom w:val="single" w:sz="6" w:space="0" w:color="000000"/>
              <w:right w:val="single" w:sz="6" w:space="0" w:color="000000"/>
            </w:tcBorders>
            <w:vAlign w:val="center"/>
            <w:hideMark/>
          </w:tcPr>
          <w:p w14:paraId="4B67E8E7" w14:textId="77777777" w:rsidR="00401FEC" w:rsidRPr="00D14A75" w:rsidRDefault="00401FEC" w:rsidP="00401FEC">
            <w:pPr>
              <w:pStyle w:val="18"/>
              <w:jc w:val="center"/>
            </w:pPr>
            <w:r w:rsidRPr="005C5208">
              <w:rPr>
                <w:lang w:val="en-US"/>
              </w:rPr>
              <w:t>B</w:t>
            </w:r>
            <w:r w:rsidRPr="00214BE2">
              <w:t xml:space="preserve"> </w:t>
            </w:r>
          </w:p>
        </w:tc>
        <w:tc>
          <w:tcPr>
            <w:tcW w:w="1418" w:type="dxa"/>
            <w:tcBorders>
              <w:top w:val="single" w:sz="6" w:space="0" w:color="000000"/>
              <w:left w:val="single" w:sz="6" w:space="0" w:color="000000"/>
              <w:bottom w:val="single" w:sz="6" w:space="0" w:color="000000"/>
              <w:right w:val="single" w:sz="6" w:space="0" w:color="000000"/>
            </w:tcBorders>
            <w:vAlign w:val="center"/>
            <w:hideMark/>
          </w:tcPr>
          <w:p w14:paraId="6C5EBEDB" w14:textId="77777777" w:rsidR="00401FEC" w:rsidRPr="005C5208" w:rsidRDefault="00401FEC" w:rsidP="00401FEC">
            <w:pPr>
              <w:pStyle w:val="18"/>
              <w:jc w:val="center"/>
              <w:rPr>
                <w:lang w:val="en-US"/>
              </w:rPr>
            </w:pPr>
            <w:r w:rsidRPr="005C5208">
              <w:rPr>
                <w:lang w:val="en-US"/>
              </w:rPr>
              <w:t>2</w:t>
            </w:r>
          </w:p>
        </w:tc>
      </w:tr>
      <w:tr w:rsidR="00401FEC" w:rsidRPr="005C5208" w14:paraId="3CF6EEF2" w14:textId="77777777" w:rsidTr="00BA1AA9">
        <w:trPr>
          <w:trHeight w:val="525"/>
        </w:trPr>
        <w:tc>
          <w:tcPr>
            <w:tcW w:w="380" w:type="dxa"/>
            <w:tcBorders>
              <w:top w:val="single" w:sz="6" w:space="0" w:color="000000"/>
              <w:left w:val="single" w:sz="6" w:space="0" w:color="000000"/>
              <w:bottom w:val="single" w:sz="6" w:space="0" w:color="000000"/>
              <w:right w:val="single" w:sz="6" w:space="0" w:color="000000"/>
            </w:tcBorders>
            <w:vAlign w:val="center"/>
            <w:hideMark/>
          </w:tcPr>
          <w:p w14:paraId="103C5FA9" w14:textId="77777777" w:rsidR="00401FEC" w:rsidRPr="00D14A75" w:rsidRDefault="00B82BE2" w:rsidP="00401FEC">
            <w:pPr>
              <w:pStyle w:val="18"/>
              <w:jc w:val="both"/>
            </w:pPr>
            <w:r w:rsidRPr="00214BE2">
              <w:lastRenderedPageBreak/>
              <w:t>10</w:t>
            </w:r>
          </w:p>
        </w:tc>
        <w:tc>
          <w:tcPr>
            <w:tcW w:w="6049" w:type="dxa"/>
            <w:tcBorders>
              <w:top w:val="single" w:sz="6" w:space="0" w:color="000000"/>
              <w:left w:val="single" w:sz="6" w:space="0" w:color="000000"/>
              <w:bottom w:val="single" w:sz="6" w:space="0" w:color="000000"/>
              <w:right w:val="single" w:sz="6" w:space="0" w:color="000000"/>
            </w:tcBorders>
            <w:vAlign w:val="center"/>
            <w:hideMark/>
          </w:tcPr>
          <w:p w14:paraId="772E87B2" w14:textId="77777777" w:rsidR="00401FEC" w:rsidRPr="00D14A75" w:rsidRDefault="00401FEC" w:rsidP="00A21181">
            <w:pPr>
              <w:pStyle w:val="18"/>
              <w:jc w:val="both"/>
            </w:pPr>
            <w:r w:rsidRPr="00214BE2">
              <w:t>Выполнен выбранный для данного пациента протокол с неукоснительным соблюдением временного регламента</w:t>
            </w:r>
          </w:p>
        </w:tc>
        <w:tc>
          <w:tcPr>
            <w:tcW w:w="1275" w:type="dxa"/>
            <w:tcBorders>
              <w:top w:val="single" w:sz="6" w:space="0" w:color="000000"/>
              <w:left w:val="single" w:sz="6" w:space="0" w:color="000000"/>
              <w:bottom w:val="single" w:sz="6" w:space="0" w:color="000000"/>
              <w:right w:val="single" w:sz="6" w:space="0" w:color="000000"/>
            </w:tcBorders>
            <w:vAlign w:val="center"/>
            <w:hideMark/>
          </w:tcPr>
          <w:p w14:paraId="4F18A56F" w14:textId="77777777" w:rsidR="00401FEC" w:rsidRPr="00D14A75" w:rsidRDefault="00401FEC" w:rsidP="00401FEC">
            <w:pPr>
              <w:pStyle w:val="18"/>
              <w:jc w:val="center"/>
            </w:pPr>
            <w:r w:rsidRPr="00214BE2">
              <w:t>С</w:t>
            </w:r>
          </w:p>
        </w:tc>
        <w:tc>
          <w:tcPr>
            <w:tcW w:w="1418" w:type="dxa"/>
            <w:tcBorders>
              <w:top w:val="single" w:sz="6" w:space="0" w:color="000000"/>
              <w:left w:val="single" w:sz="6" w:space="0" w:color="000000"/>
              <w:bottom w:val="single" w:sz="6" w:space="0" w:color="000000"/>
              <w:right w:val="single" w:sz="6" w:space="0" w:color="000000"/>
            </w:tcBorders>
            <w:vAlign w:val="center"/>
            <w:hideMark/>
          </w:tcPr>
          <w:p w14:paraId="7F8F7135" w14:textId="77777777" w:rsidR="00401FEC" w:rsidRPr="00D14A75" w:rsidRDefault="00401FEC" w:rsidP="00401FEC">
            <w:pPr>
              <w:pStyle w:val="18"/>
              <w:jc w:val="center"/>
            </w:pPr>
            <w:r w:rsidRPr="00214BE2">
              <w:t>5</w:t>
            </w:r>
          </w:p>
        </w:tc>
      </w:tr>
      <w:tr w:rsidR="00401FEC" w:rsidRPr="005C5208" w14:paraId="4EB959B0" w14:textId="77777777" w:rsidTr="00BA1AA9">
        <w:trPr>
          <w:trHeight w:val="525"/>
        </w:trPr>
        <w:tc>
          <w:tcPr>
            <w:tcW w:w="380" w:type="dxa"/>
            <w:tcBorders>
              <w:top w:val="single" w:sz="6" w:space="0" w:color="000000"/>
              <w:left w:val="single" w:sz="6" w:space="0" w:color="000000"/>
              <w:bottom w:val="single" w:sz="6" w:space="0" w:color="000000"/>
              <w:right w:val="single" w:sz="6" w:space="0" w:color="000000"/>
            </w:tcBorders>
            <w:vAlign w:val="center"/>
          </w:tcPr>
          <w:p w14:paraId="68399AF2" w14:textId="77777777" w:rsidR="00401FEC" w:rsidRPr="00D14A75" w:rsidRDefault="00BA1AA9" w:rsidP="00401FEC">
            <w:pPr>
              <w:pStyle w:val="18"/>
              <w:jc w:val="both"/>
            </w:pPr>
            <w:r>
              <w:t>11</w:t>
            </w:r>
          </w:p>
        </w:tc>
        <w:tc>
          <w:tcPr>
            <w:tcW w:w="6049" w:type="dxa"/>
            <w:tcBorders>
              <w:top w:val="single" w:sz="6" w:space="0" w:color="000000"/>
              <w:left w:val="single" w:sz="6" w:space="0" w:color="000000"/>
              <w:bottom w:val="single" w:sz="6" w:space="0" w:color="000000"/>
              <w:right w:val="single" w:sz="6" w:space="0" w:color="000000"/>
            </w:tcBorders>
            <w:vAlign w:val="center"/>
          </w:tcPr>
          <w:p w14:paraId="04FA1860" w14:textId="77777777" w:rsidR="00401FEC" w:rsidRPr="00D14A75" w:rsidRDefault="00401FEC" w:rsidP="00401FEC">
            <w:pPr>
              <w:pStyle w:val="18"/>
              <w:jc w:val="both"/>
            </w:pPr>
            <w:r w:rsidRPr="00214BE2">
              <w:t>Пациенту, независимо от применяемого протокола (кроме терапии зрелого варианта В-ОЛЛ)</w:t>
            </w:r>
            <w:r w:rsidR="0027093F" w:rsidRPr="00214BE2">
              <w:t>,</w:t>
            </w:r>
            <w:r w:rsidRPr="00214BE2">
              <w:t xml:space="preserve"> выполнено поддерживающее лечение, состоящее</w:t>
            </w:r>
            <w:r w:rsidR="009E7DB5">
              <w:t>: из</w:t>
            </w:r>
            <w:r w:rsidRPr="00214BE2">
              <w:t xml:space="preserve"> ежедневного приема меркаптопурина**, метотрексата** (дозировка согласно протоколу) – 1 раз в неделю, пульсов глюкокортикостероидных гормонов и винкристина** – </w:t>
            </w:r>
            <w:r w:rsidR="009E7DB5">
              <w:t xml:space="preserve">1 </w:t>
            </w:r>
            <w:r w:rsidRPr="00214BE2">
              <w:t xml:space="preserve"> раз в месяц</w:t>
            </w:r>
          </w:p>
        </w:tc>
        <w:tc>
          <w:tcPr>
            <w:tcW w:w="1275" w:type="dxa"/>
            <w:tcBorders>
              <w:top w:val="single" w:sz="6" w:space="0" w:color="000000"/>
              <w:left w:val="single" w:sz="6" w:space="0" w:color="000000"/>
              <w:bottom w:val="single" w:sz="6" w:space="0" w:color="000000"/>
              <w:right w:val="single" w:sz="6" w:space="0" w:color="000000"/>
            </w:tcBorders>
            <w:vAlign w:val="center"/>
          </w:tcPr>
          <w:p w14:paraId="0985C1EB" w14:textId="77777777" w:rsidR="00401FEC" w:rsidRPr="00D14A75" w:rsidRDefault="00401FEC" w:rsidP="00401FEC">
            <w:pPr>
              <w:pStyle w:val="18"/>
              <w:jc w:val="center"/>
            </w:pPr>
            <w:r w:rsidRPr="005C5208">
              <w:rPr>
                <w:lang w:val="en-US"/>
              </w:rPr>
              <w:t>B</w:t>
            </w:r>
            <w:r w:rsidRPr="00214BE2">
              <w:t xml:space="preserve"> </w:t>
            </w:r>
          </w:p>
        </w:tc>
        <w:tc>
          <w:tcPr>
            <w:tcW w:w="1418" w:type="dxa"/>
            <w:tcBorders>
              <w:top w:val="single" w:sz="6" w:space="0" w:color="000000"/>
              <w:left w:val="single" w:sz="6" w:space="0" w:color="000000"/>
              <w:bottom w:val="single" w:sz="6" w:space="0" w:color="000000"/>
              <w:right w:val="single" w:sz="6" w:space="0" w:color="000000"/>
            </w:tcBorders>
            <w:vAlign w:val="center"/>
          </w:tcPr>
          <w:p w14:paraId="6B6CF9D5" w14:textId="77777777" w:rsidR="00401FEC" w:rsidRPr="005C5208" w:rsidRDefault="00401FEC" w:rsidP="00401FEC">
            <w:pPr>
              <w:pStyle w:val="18"/>
              <w:jc w:val="center"/>
              <w:rPr>
                <w:lang w:val="en-US"/>
              </w:rPr>
            </w:pPr>
            <w:r w:rsidRPr="005C5208">
              <w:rPr>
                <w:lang w:val="en-US"/>
              </w:rPr>
              <w:t>2</w:t>
            </w:r>
          </w:p>
        </w:tc>
      </w:tr>
      <w:tr w:rsidR="00401FEC" w:rsidRPr="005C5208" w14:paraId="5E0E96EC" w14:textId="77777777" w:rsidTr="00BA1AA9">
        <w:trPr>
          <w:trHeight w:val="780"/>
        </w:trPr>
        <w:tc>
          <w:tcPr>
            <w:tcW w:w="380" w:type="dxa"/>
            <w:tcBorders>
              <w:top w:val="single" w:sz="6" w:space="0" w:color="000000"/>
              <w:left w:val="single" w:sz="6" w:space="0" w:color="000000"/>
              <w:bottom w:val="single" w:sz="6" w:space="0" w:color="000000"/>
              <w:right w:val="single" w:sz="6" w:space="0" w:color="000000"/>
            </w:tcBorders>
            <w:vAlign w:val="center"/>
            <w:hideMark/>
          </w:tcPr>
          <w:p w14:paraId="37B291C6" w14:textId="77777777" w:rsidR="00401FEC" w:rsidRPr="00D14A75" w:rsidRDefault="00B82BE2" w:rsidP="00401FEC">
            <w:pPr>
              <w:pStyle w:val="18"/>
              <w:jc w:val="both"/>
            </w:pPr>
            <w:r w:rsidRPr="00214BE2">
              <w:t>12</w:t>
            </w:r>
          </w:p>
        </w:tc>
        <w:tc>
          <w:tcPr>
            <w:tcW w:w="6049" w:type="dxa"/>
            <w:tcBorders>
              <w:top w:val="single" w:sz="6" w:space="0" w:color="000000"/>
              <w:left w:val="single" w:sz="6" w:space="0" w:color="000000"/>
              <w:bottom w:val="single" w:sz="6" w:space="0" w:color="000000"/>
              <w:right w:val="single" w:sz="6" w:space="0" w:color="000000"/>
            </w:tcBorders>
            <w:vAlign w:val="center"/>
            <w:hideMark/>
          </w:tcPr>
          <w:p w14:paraId="588F34CA" w14:textId="77777777" w:rsidR="00401FEC" w:rsidRPr="00D14A75" w:rsidRDefault="00B866A0" w:rsidP="008F34D9">
            <w:pPr>
              <w:pStyle w:val="18"/>
              <w:jc w:val="both"/>
            </w:pPr>
            <w:r w:rsidRPr="00214BE2">
              <w:t>Пациенту с О</w:t>
            </w:r>
            <w:r w:rsidR="009E7DB5">
              <w:t>ЛЛ/ЛБЛ из группы высокого риска</w:t>
            </w:r>
            <w:r w:rsidRPr="00214BE2">
              <w:t xml:space="preserve"> либо пациенту с ОЛЛ/ЛБЛ при рецидиве заболевания, а также их сиблингам </w:t>
            </w:r>
            <w:r w:rsidR="008F34D9" w:rsidRPr="00214BE2">
              <w:t xml:space="preserve">выполнено </w:t>
            </w:r>
            <w:r w:rsidRPr="00214BE2">
              <w:t>определение HLA-антигенов с целью поиска потенциального донора КМ</w:t>
            </w:r>
          </w:p>
        </w:tc>
        <w:tc>
          <w:tcPr>
            <w:tcW w:w="1275" w:type="dxa"/>
            <w:tcBorders>
              <w:top w:val="single" w:sz="6" w:space="0" w:color="000000"/>
              <w:left w:val="single" w:sz="6" w:space="0" w:color="000000"/>
              <w:bottom w:val="single" w:sz="6" w:space="0" w:color="000000"/>
              <w:right w:val="single" w:sz="6" w:space="0" w:color="000000"/>
            </w:tcBorders>
            <w:vAlign w:val="center"/>
            <w:hideMark/>
          </w:tcPr>
          <w:p w14:paraId="08E91DC0" w14:textId="77777777" w:rsidR="00401FEC" w:rsidRPr="00D14A75" w:rsidRDefault="00B866A0" w:rsidP="00401FEC">
            <w:pPr>
              <w:pStyle w:val="18"/>
              <w:jc w:val="center"/>
            </w:pPr>
            <w:r w:rsidRPr="00214BE2">
              <w:t>С</w:t>
            </w:r>
          </w:p>
        </w:tc>
        <w:tc>
          <w:tcPr>
            <w:tcW w:w="1418" w:type="dxa"/>
            <w:tcBorders>
              <w:top w:val="single" w:sz="6" w:space="0" w:color="000000"/>
              <w:left w:val="single" w:sz="6" w:space="0" w:color="000000"/>
              <w:bottom w:val="single" w:sz="6" w:space="0" w:color="000000"/>
              <w:right w:val="single" w:sz="6" w:space="0" w:color="000000"/>
            </w:tcBorders>
            <w:vAlign w:val="center"/>
            <w:hideMark/>
          </w:tcPr>
          <w:p w14:paraId="72270598" w14:textId="77777777" w:rsidR="00401FEC" w:rsidRPr="00D14A75" w:rsidRDefault="00B866A0" w:rsidP="00401FEC">
            <w:pPr>
              <w:pStyle w:val="18"/>
              <w:jc w:val="center"/>
            </w:pPr>
            <w:r w:rsidRPr="00214BE2">
              <w:t>5</w:t>
            </w:r>
          </w:p>
        </w:tc>
      </w:tr>
      <w:tr w:rsidR="00B848A6" w:rsidRPr="005C5208" w14:paraId="6966D228" w14:textId="77777777" w:rsidTr="00BA1AA9">
        <w:trPr>
          <w:trHeight w:val="780"/>
        </w:trPr>
        <w:tc>
          <w:tcPr>
            <w:tcW w:w="380" w:type="dxa"/>
            <w:tcBorders>
              <w:top w:val="single" w:sz="6" w:space="0" w:color="000000"/>
              <w:left w:val="single" w:sz="6" w:space="0" w:color="000000"/>
              <w:bottom w:val="single" w:sz="6" w:space="0" w:color="000000"/>
              <w:right w:val="single" w:sz="6" w:space="0" w:color="000000"/>
            </w:tcBorders>
            <w:vAlign w:val="center"/>
          </w:tcPr>
          <w:p w14:paraId="70C0BB91" w14:textId="77777777" w:rsidR="00B848A6" w:rsidRPr="00D14A75" w:rsidRDefault="00BA1AA9" w:rsidP="00401FEC">
            <w:pPr>
              <w:pStyle w:val="18"/>
              <w:jc w:val="both"/>
            </w:pPr>
            <w:r>
              <w:t>13</w:t>
            </w:r>
          </w:p>
        </w:tc>
        <w:tc>
          <w:tcPr>
            <w:tcW w:w="6049" w:type="dxa"/>
            <w:tcBorders>
              <w:top w:val="single" w:sz="6" w:space="0" w:color="000000"/>
              <w:left w:val="single" w:sz="6" w:space="0" w:color="000000"/>
              <w:bottom w:val="single" w:sz="6" w:space="0" w:color="000000"/>
              <w:right w:val="single" w:sz="6" w:space="0" w:color="000000"/>
            </w:tcBorders>
            <w:vAlign w:val="center"/>
          </w:tcPr>
          <w:p w14:paraId="2CE88FBB" w14:textId="77777777" w:rsidR="00B848A6" w:rsidRPr="00D14A75" w:rsidRDefault="00B848A6" w:rsidP="00401FEC">
            <w:pPr>
              <w:pStyle w:val="18"/>
              <w:jc w:val="both"/>
            </w:pPr>
            <w:r w:rsidRPr="00214BE2">
              <w:rPr>
                <w:iCs/>
                <w:color w:val="000000"/>
              </w:rPr>
              <w:t>Пациенту на этапах индукции и консолидации перед началом кажд</w:t>
            </w:r>
            <w:r w:rsidR="009E7DB5">
              <w:rPr>
                <w:iCs/>
                <w:color w:val="000000"/>
              </w:rPr>
              <w:t>ого последующего этапа либо 1 раз в 2</w:t>
            </w:r>
            <w:r w:rsidRPr="00214BE2">
              <w:rPr>
                <w:iCs/>
                <w:color w:val="000000"/>
              </w:rPr>
              <w:t xml:space="preserve"> месяца выполнено контрольное исследование КМ (</w:t>
            </w:r>
            <w:r w:rsidRPr="00214BE2">
              <w:t>получение цитологического препарата КМ путем пункции (стернальная пункция) и цитологическое исследование мазка КМ (миелограмма) из стернального пунктата)</w:t>
            </w:r>
          </w:p>
        </w:tc>
        <w:tc>
          <w:tcPr>
            <w:tcW w:w="1275" w:type="dxa"/>
            <w:tcBorders>
              <w:top w:val="single" w:sz="6" w:space="0" w:color="000000"/>
              <w:left w:val="single" w:sz="6" w:space="0" w:color="000000"/>
              <w:bottom w:val="single" w:sz="6" w:space="0" w:color="000000"/>
              <w:right w:val="single" w:sz="6" w:space="0" w:color="000000"/>
            </w:tcBorders>
            <w:vAlign w:val="center"/>
          </w:tcPr>
          <w:p w14:paraId="70DEBBB1" w14:textId="77777777" w:rsidR="00B848A6" w:rsidRPr="00D14A75" w:rsidRDefault="00B82BE2" w:rsidP="00401FEC">
            <w:pPr>
              <w:pStyle w:val="18"/>
              <w:jc w:val="center"/>
            </w:pPr>
            <w:r w:rsidRPr="00214BE2">
              <w:t>С</w:t>
            </w:r>
          </w:p>
        </w:tc>
        <w:tc>
          <w:tcPr>
            <w:tcW w:w="1418" w:type="dxa"/>
            <w:tcBorders>
              <w:top w:val="single" w:sz="6" w:space="0" w:color="000000"/>
              <w:left w:val="single" w:sz="6" w:space="0" w:color="000000"/>
              <w:bottom w:val="single" w:sz="6" w:space="0" w:color="000000"/>
              <w:right w:val="single" w:sz="6" w:space="0" w:color="000000"/>
            </w:tcBorders>
            <w:vAlign w:val="center"/>
          </w:tcPr>
          <w:p w14:paraId="2BD36F6F" w14:textId="77777777" w:rsidR="00B848A6" w:rsidRPr="00D14A75" w:rsidRDefault="00B82BE2" w:rsidP="00401FEC">
            <w:pPr>
              <w:pStyle w:val="18"/>
              <w:jc w:val="center"/>
            </w:pPr>
            <w:r w:rsidRPr="00214BE2">
              <w:t>5</w:t>
            </w:r>
          </w:p>
        </w:tc>
      </w:tr>
      <w:tr w:rsidR="00401FEC" w:rsidRPr="005C5208" w14:paraId="3A330B38" w14:textId="77777777" w:rsidTr="00BA1AA9">
        <w:trPr>
          <w:trHeight w:val="810"/>
        </w:trPr>
        <w:tc>
          <w:tcPr>
            <w:tcW w:w="380" w:type="dxa"/>
            <w:tcBorders>
              <w:top w:val="single" w:sz="6" w:space="0" w:color="000000"/>
              <w:left w:val="single" w:sz="6" w:space="0" w:color="000000"/>
              <w:bottom w:val="single" w:sz="6" w:space="0" w:color="000000"/>
              <w:right w:val="single" w:sz="6" w:space="0" w:color="000000"/>
            </w:tcBorders>
            <w:vAlign w:val="center"/>
            <w:hideMark/>
          </w:tcPr>
          <w:p w14:paraId="28994AC2" w14:textId="77777777" w:rsidR="00401FEC" w:rsidRPr="00D14A75" w:rsidRDefault="00B82BE2" w:rsidP="00401FEC">
            <w:pPr>
              <w:pStyle w:val="18"/>
              <w:jc w:val="both"/>
            </w:pPr>
            <w:r w:rsidRPr="00214BE2">
              <w:t>14</w:t>
            </w:r>
          </w:p>
        </w:tc>
        <w:tc>
          <w:tcPr>
            <w:tcW w:w="6049" w:type="dxa"/>
            <w:tcBorders>
              <w:top w:val="single" w:sz="6" w:space="0" w:color="000000"/>
              <w:left w:val="single" w:sz="6" w:space="0" w:color="000000"/>
              <w:bottom w:val="single" w:sz="6" w:space="0" w:color="000000"/>
              <w:right w:val="single" w:sz="6" w:space="0" w:color="000000"/>
            </w:tcBorders>
            <w:vAlign w:val="center"/>
            <w:hideMark/>
          </w:tcPr>
          <w:p w14:paraId="1BD5C27B" w14:textId="77777777" w:rsidR="00401FEC" w:rsidRPr="00D14A75" w:rsidRDefault="00B848A6" w:rsidP="00401FEC">
            <w:pPr>
              <w:pStyle w:val="18"/>
              <w:jc w:val="both"/>
            </w:pPr>
            <w:r w:rsidRPr="00214BE2">
              <w:rPr>
                <w:iCs/>
                <w:color w:val="000000"/>
              </w:rPr>
              <w:t xml:space="preserve">Пациенту на фоне поддерживающей терапии </w:t>
            </w:r>
            <w:r w:rsidR="009E7DB5">
              <w:rPr>
                <w:color w:val="000000"/>
              </w:rPr>
              <w:t>1 раз в 3 месяца в течение 2</w:t>
            </w:r>
            <w:r w:rsidRPr="00214BE2">
              <w:rPr>
                <w:color w:val="000000"/>
              </w:rPr>
              <w:t xml:space="preserve"> лет и в дальнейшем, после снятия с</w:t>
            </w:r>
            <w:r w:rsidR="009E7DB5">
              <w:rPr>
                <w:color w:val="000000"/>
              </w:rPr>
              <w:t xml:space="preserve"> лечения, каждые полгода до 3</w:t>
            </w:r>
            <w:r w:rsidRPr="00214BE2">
              <w:rPr>
                <w:color w:val="000000"/>
              </w:rPr>
              <w:t xml:space="preserve"> лет наблюдения </w:t>
            </w:r>
            <w:r w:rsidRPr="00214BE2">
              <w:rPr>
                <w:iCs/>
                <w:color w:val="000000"/>
              </w:rPr>
              <w:t>выполнено контрольное исследование КМ (</w:t>
            </w:r>
            <w:r w:rsidRPr="00214BE2">
              <w:t>получение цитологического препарата КМ путем пункции (стернальная пункция) и цитологическое исследование мазка КМ (миелограмма) из стернального пунктата)</w:t>
            </w:r>
          </w:p>
        </w:tc>
        <w:tc>
          <w:tcPr>
            <w:tcW w:w="1275" w:type="dxa"/>
            <w:tcBorders>
              <w:top w:val="single" w:sz="6" w:space="0" w:color="000000"/>
              <w:left w:val="single" w:sz="6" w:space="0" w:color="000000"/>
              <w:bottom w:val="single" w:sz="6" w:space="0" w:color="000000"/>
              <w:right w:val="single" w:sz="6" w:space="0" w:color="000000"/>
            </w:tcBorders>
            <w:vAlign w:val="center"/>
            <w:hideMark/>
          </w:tcPr>
          <w:p w14:paraId="72929F87" w14:textId="77777777" w:rsidR="00401FEC" w:rsidRPr="00D14A75" w:rsidRDefault="00B848A6" w:rsidP="00401FEC">
            <w:pPr>
              <w:pStyle w:val="18"/>
              <w:jc w:val="center"/>
            </w:pPr>
            <w:r w:rsidRPr="00214BE2">
              <w:t>С</w:t>
            </w:r>
            <w:r w:rsidR="00401FEC" w:rsidRPr="00214BE2">
              <w:t xml:space="preserve"> </w:t>
            </w:r>
          </w:p>
        </w:tc>
        <w:tc>
          <w:tcPr>
            <w:tcW w:w="1418" w:type="dxa"/>
            <w:tcBorders>
              <w:top w:val="single" w:sz="6" w:space="0" w:color="000000"/>
              <w:left w:val="single" w:sz="6" w:space="0" w:color="000000"/>
              <w:bottom w:val="single" w:sz="6" w:space="0" w:color="000000"/>
              <w:right w:val="single" w:sz="6" w:space="0" w:color="000000"/>
            </w:tcBorders>
            <w:vAlign w:val="center"/>
            <w:hideMark/>
          </w:tcPr>
          <w:p w14:paraId="7DFEFCBE" w14:textId="77777777" w:rsidR="00401FEC" w:rsidRPr="00D14A75" w:rsidRDefault="00B848A6" w:rsidP="00401FEC">
            <w:pPr>
              <w:pStyle w:val="18"/>
              <w:jc w:val="center"/>
            </w:pPr>
            <w:r w:rsidRPr="00214BE2">
              <w:t>5</w:t>
            </w:r>
          </w:p>
        </w:tc>
      </w:tr>
      <w:tr w:rsidR="00401FEC" w:rsidRPr="005C5208" w14:paraId="24702396" w14:textId="77777777" w:rsidTr="00BA1AA9">
        <w:trPr>
          <w:trHeight w:val="396"/>
        </w:trPr>
        <w:tc>
          <w:tcPr>
            <w:tcW w:w="380" w:type="dxa"/>
            <w:tcBorders>
              <w:top w:val="single" w:sz="6" w:space="0" w:color="000000"/>
              <w:left w:val="single" w:sz="6" w:space="0" w:color="000000"/>
              <w:bottom w:val="single" w:sz="6" w:space="0" w:color="000000"/>
              <w:right w:val="single" w:sz="6" w:space="0" w:color="000000"/>
            </w:tcBorders>
            <w:vAlign w:val="center"/>
            <w:hideMark/>
          </w:tcPr>
          <w:p w14:paraId="53424978" w14:textId="77777777" w:rsidR="00401FEC" w:rsidRPr="00D14A75" w:rsidRDefault="00B82BE2" w:rsidP="00401FEC">
            <w:pPr>
              <w:pStyle w:val="18"/>
              <w:jc w:val="both"/>
            </w:pPr>
            <w:r w:rsidRPr="00214BE2">
              <w:t>15</w:t>
            </w:r>
          </w:p>
        </w:tc>
        <w:tc>
          <w:tcPr>
            <w:tcW w:w="6049" w:type="dxa"/>
            <w:tcBorders>
              <w:top w:val="single" w:sz="6" w:space="0" w:color="000000"/>
              <w:left w:val="single" w:sz="6" w:space="0" w:color="000000"/>
              <w:bottom w:val="single" w:sz="6" w:space="0" w:color="000000"/>
              <w:right w:val="single" w:sz="6" w:space="0" w:color="000000"/>
            </w:tcBorders>
            <w:vAlign w:val="center"/>
            <w:hideMark/>
          </w:tcPr>
          <w:p w14:paraId="3109708A" w14:textId="77777777" w:rsidR="00401FEC" w:rsidRPr="00D14A75" w:rsidRDefault="00B82BE2" w:rsidP="00A21181">
            <w:pPr>
              <w:pStyle w:val="18"/>
              <w:jc w:val="both"/>
            </w:pPr>
            <w:r w:rsidRPr="00214BE2">
              <w:t>Пациенту с поздним рецидивом ОЛЛ/ЛБЛ назначен</w:t>
            </w:r>
            <w:r w:rsidR="009E7DB5">
              <w:t>а стандартная терапия ОЛЛ 1-й</w:t>
            </w:r>
            <w:r w:rsidRPr="00214BE2">
              <w:t xml:space="preserve"> линии</w:t>
            </w:r>
          </w:p>
        </w:tc>
        <w:tc>
          <w:tcPr>
            <w:tcW w:w="1275" w:type="dxa"/>
            <w:tcBorders>
              <w:top w:val="single" w:sz="6" w:space="0" w:color="000000"/>
              <w:left w:val="single" w:sz="6" w:space="0" w:color="000000"/>
              <w:bottom w:val="single" w:sz="6" w:space="0" w:color="000000"/>
              <w:right w:val="single" w:sz="6" w:space="0" w:color="000000"/>
            </w:tcBorders>
            <w:vAlign w:val="center"/>
            <w:hideMark/>
          </w:tcPr>
          <w:p w14:paraId="522F1FD8" w14:textId="77777777" w:rsidR="00401FEC" w:rsidRPr="00D14A75" w:rsidRDefault="00B82BE2" w:rsidP="00401FEC">
            <w:pPr>
              <w:pStyle w:val="18"/>
              <w:jc w:val="center"/>
            </w:pPr>
            <w:r w:rsidRPr="00214BE2">
              <w:t>С</w:t>
            </w:r>
            <w:r w:rsidR="00401FEC" w:rsidRPr="00214BE2">
              <w:t xml:space="preserve"> </w:t>
            </w:r>
          </w:p>
        </w:tc>
        <w:tc>
          <w:tcPr>
            <w:tcW w:w="1418" w:type="dxa"/>
            <w:tcBorders>
              <w:top w:val="single" w:sz="6" w:space="0" w:color="000000"/>
              <w:left w:val="single" w:sz="6" w:space="0" w:color="000000"/>
              <w:bottom w:val="single" w:sz="6" w:space="0" w:color="000000"/>
              <w:right w:val="single" w:sz="6" w:space="0" w:color="000000"/>
            </w:tcBorders>
            <w:vAlign w:val="center"/>
            <w:hideMark/>
          </w:tcPr>
          <w:p w14:paraId="74E586C5" w14:textId="77777777" w:rsidR="00401FEC" w:rsidRPr="00D14A75" w:rsidRDefault="00B82BE2" w:rsidP="00401FEC">
            <w:pPr>
              <w:pStyle w:val="18"/>
              <w:jc w:val="center"/>
            </w:pPr>
            <w:r w:rsidRPr="00214BE2">
              <w:t>5</w:t>
            </w:r>
          </w:p>
        </w:tc>
      </w:tr>
    </w:tbl>
    <w:p w14:paraId="7D11FA3F" w14:textId="77777777" w:rsidR="009629F5" w:rsidRDefault="009629F5" w:rsidP="00035179">
      <w:pPr>
        <w:pStyle w:val="a6"/>
        <w:rPr>
          <w:lang w:eastAsia="ja-JP"/>
        </w:rPr>
      </w:pPr>
      <w:bookmarkStart w:id="205" w:name="_Toc464042732"/>
      <w:bookmarkStart w:id="206" w:name="_Toc465074026"/>
    </w:p>
    <w:p w14:paraId="35BA2B0A" w14:textId="77777777" w:rsidR="00D744DA" w:rsidRDefault="00D744DA">
      <w:pPr>
        <w:widowControl/>
        <w:autoSpaceDE/>
        <w:autoSpaceDN/>
        <w:adjustRightInd/>
        <w:jc w:val="left"/>
        <w:rPr>
          <w:rFonts w:eastAsia="Calibri"/>
          <w:szCs w:val="22"/>
          <w:lang w:eastAsia="ja-JP"/>
        </w:rPr>
      </w:pPr>
      <w:r>
        <w:rPr>
          <w:lang w:eastAsia="ja-JP"/>
        </w:rPr>
        <w:br w:type="page"/>
      </w:r>
    </w:p>
    <w:p w14:paraId="4211E4B1" w14:textId="77777777" w:rsidR="00650017" w:rsidRPr="0000358F" w:rsidRDefault="00DD7901" w:rsidP="000A5734">
      <w:pPr>
        <w:pStyle w:val="11"/>
      </w:pPr>
      <w:bookmarkStart w:id="207" w:name="_Toc505347368"/>
      <w:bookmarkStart w:id="208" w:name="_Toc13484835"/>
      <w:bookmarkStart w:id="209" w:name="_Toc26796725"/>
      <w:bookmarkStart w:id="210" w:name="_Toc64467940"/>
      <w:bookmarkStart w:id="211" w:name="_Toc64565664"/>
      <w:r w:rsidRPr="0000358F">
        <w:lastRenderedPageBreak/>
        <w:t>Список литературы</w:t>
      </w:r>
      <w:bookmarkEnd w:id="205"/>
      <w:bookmarkEnd w:id="206"/>
      <w:bookmarkEnd w:id="207"/>
      <w:bookmarkEnd w:id="208"/>
      <w:bookmarkEnd w:id="209"/>
      <w:bookmarkEnd w:id="210"/>
      <w:bookmarkEnd w:id="211"/>
    </w:p>
    <w:p w14:paraId="092FAF3A" w14:textId="36214B76" w:rsidR="00A67ED2" w:rsidRPr="00A67ED2" w:rsidRDefault="00DC59BE" w:rsidP="00A67ED2">
      <w:pPr>
        <w:ind w:left="640" w:hanging="640"/>
        <w:rPr>
          <w:noProof/>
        </w:rPr>
      </w:pPr>
      <w:r w:rsidRPr="00650017">
        <w:rPr>
          <w:rFonts w:eastAsia="Arial Unicode MS"/>
          <w:szCs w:val="24"/>
        </w:rPr>
        <w:fldChar w:fldCharType="begin" w:fldLock="1"/>
      </w:r>
      <w:r w:rsidR="00650017" w:rsidRPr="00650017">
        <w:rPr>
          <w:rFonts w:eastAsia="Arial Unicode MS"/>
          <w:szCs w:val="24"/>
        </w:rPr>
        <w:instrText xml:space="preserve">ADDIN Mendeley Bibliography CSL_BIBLIOGRAPHY </w:instrText>
      </w:r>
      <w:r w:rsidRPr="00650017">
        <w:rPr>
          <w:rFonts w:eastAsia="Arial Unicode MS"/>
          <w:szCs w:val="24"/>
        </w:rPr>
        <w:fldChar w:fldCharType="separate"/>
      </w:r>
      <w:r w:rsidR="00A67ED2" w:rsidRPr="00A67ED2">
        <w:rPr>
          <w:noProof/>
        </w:rPr>
        <w:t>1.</w:t>
      </w:r>
      <w:r w:rsidR="00A67ED2" w:rsidRPr="00A67ED2">
        <w:rPr>
          <w:noProof/>
        </w:rPr>
        <w:tab/>
        <w:t>Программное лечение заболеваний системы крови: Сборник алгоритмов диагностики и протоколов лечения заболеваний системы крови. Под ред. В.Г. Савченко. 2012. 1056 p.</w:t>
      </w:r>
    </w:p>
    <w:p w14:paraId="0561F168" w14:textId="77777777" w:rsidR="00A67ED2" w:rsidRPr="00CD5E09" w:rsidRDefault="00A67ED2" w:rsidP="00A67ED2">
      <w:pPr>
        <w:ind w:left="640" w:hanging="640"/>
        <w:rPr>
          <w:noProof/>
          <w:lang w:val="en-US"/>
        </w:rPr>
      </w:pPr>
      <w:r w:rsidRPr="00A67ED2">
        <w:rPr>
          <w:noProof/>
        </w:rPr>
        <w:t>2.</w:t>
      </w:r>
      <w:r w:rsidRPr="00A67ED2">
        <w:rPr>
          <w:noProof/>
        </w:rPr>
        <w:tab/>
        <w:t xml:space="preserve">Савченко В.Г., Паровичникова Е.Н. Острые лейкозы // Клиническая онкогематология: руководство для врачей. Под ред. Волковой М.А.. 2-е изд., перераб. и доп. 2007. </w:t>
      </w:r>
      <w:r w:rsidRPr="00CD5E09">
        <w:rPr>
          <w:noProof/>
          <w:lang w:val="en-US"/>
        </w:rPr>
        <w:t>P. 409–502.</w:t>
      </w:r>
    </w:p>
    <w:p w14:paraId="1976E084" w14:textId="77777777" w:rsidR="00A67ED2" w:rsidRPr="00CD5E09" w:rsidRDefault="00A67ED2" w:rsidP="00A67ED2">
      <w:pPr>
        <w:ind w:left="640" w:hanging="640"/>
        <w:rPr>
          <w:noProof/>
          <w:lang w:val="en-US"/>
        </w:rPr>
      </w:pPr>
      <w:r w:rsidRPr="00CD5E09">
        <w:rPr>
          <w:noProof/>
          <w:lang w:val="en-US"/>
        </w:rPr>
        <w:t>3.</w:t>
      </w:r>
      <w:r w:rsidRPr="00CD5E09">
        <w:rPr>
          <w:noProof/>
          <w:lang w:val="en-US"/>
        </w:rPr>
        <w:tab/>
        <w:t>Swerdlow S.H. et al. WHO classification of tumours of haematopoietic and lymphoid tissues. Revised 4th ed. Lyon, France: International Agency for Research in Cancer (IARC) / ed. Swerdlow SH, Campo E, Harris NL, Jaffe ES, Pileri SA, Stein H T.J. 2017. 585 p.</w:t>
      </w:r>
    </w:p>
    <w:p w14:paraId="008FE5F3" w14:textId="77777777" w:rsidR="00A67ED2" w:rsidRPr="00CD5E09" w:rsidRDefault="00A67ED2" w:rsidP="00A67ED2">
      <w:pPr>
        <w:ind w:left="640" w:hanging="640"/>
        <w:rPr>
          <w:noProof/>
          <w:lang w:val="en-US"/>
        </w:rPr>
      </w:pPr>
      <w:r w:rsidRPr="00CD5E09">
        <w:rPr>
          <w:noProof/>
          <w:lang w:val="en-US"/>
        </w:rPr>
        <w:t>4.</w:t>
      </w:r>
      <w:r w:rsidRPr="00CD5E09">
        <w:rPr>
          <w:noProof/>
          <w:lang w:val="en-US"/>
        </w:rPr>
        <w:tab/>
        <w:t>Brown P.A. et al. NCCN Clinical Practice Guidelines in Oncology. Acute Lymphoblastic Leukemia. Version 2.2019. 2019. 115 p.</w:t>
      </w:r>
    </w:p>
    <w:p w14:paraId="2B755E7D" w14:textId="77777777" w:rsidR="00A67ED2" w:rsidRPr="00A67ED2" w:rsidRDefault="00A67ED2" w:rsidP="00A67ED2">
      <w:pPr>
        <w:ind w:left="640" w:hanging="640"/>
        <w:rPr>
          <w:noProof/>
        </w:rPr>
      </w:pPr>
      <w:r w:rsidRPr="00CD5E09">
        <w:rPr>
          <w:noProof/>
          <w:lang w:val="en-US"/>
        </w:rPr>
        <w:t>5.</w:t>
      </w:r>
      <w:r w:rsidRPr="00CD5E09">
        <w:rPr>
          <w:noProof/>
          <w:lang w:val="en-US"/>
        </w:rPr>
        <w:tab/>
        <w:t xml:space="preserve">Gökbuget N. et al. Recommendations of the European Working Group for Adult ALL (EWALL) // UNI-MED Verlag AG. 2011. </w:t>
      </w:r>
      <w:r w:rsidRPr="00A67ED2">
        <w:rPr>
          <w:noProof/>
        </w:rPr>
        <w:t>204 p.</w:t>
      </w:r>
    </w:p>
    <w:p w14:paraId="50B6B8A1" w14:textId="77777777" w:rsidR="00A67ED2" w:rsidRPr="00A67ED2" w:rsidRDefault="00A67ED2" w:rsidP="00A67ED2">
      <w:pPr>
        <w:ind w:left="640" w:hanging="640"/>
        <w:rPr>
          <w:noProof/>
        </w:rPr>
      </w:pPr>
      <w:r w:rsidRPr="00A67ED2">
        <w:rPr>
          <w:noProof/>
        </w:rPr>
        <w:t>6.</w:t>
      </w:r>
      <w:r w:rsidRPr="00A67ED2">
        <w:rPr>
          <w:noProof/>
        </w:rPr>
        <w:tab/>
        <w:t>Румянцев А.Г. Эволюция лечения острого лимфобластного лейкоза у детей: эмпирические, биологические и организационные аспекты // Вопросы гематологии/онкологии и иммунопатологии в педиатрии. 2015. Vol. 14, № 1. P. 5–15.</w:t>
      </w:r>
    </w:p>
    <w:p w14:paraId="0CD5C7F4" w14:textId="77777777" w:rsidR="00A67ED2" w:rsidRPr="00A67ED2" w:rsidRDefault="00A67ED2" w:rsidP="00A67ED2">
      <w:pPr>
        <w:ind w:left="640" w:hanging="640"/>
        <w:rPr>
          <w:noProof/>
        </w:rPr>
      </w:pPr>
      <w:r w:rsidRPr="00A67ED2">
        <w:rPr>
          <w:noProof/>
        </w:rPr>
        <w:t>7.</w:t>
      </w:r>
      <w:r w:rsidRPr="00A67ED2">
        <w:rPr>
          <w:noProof/>
        </w:rPr>
        <w:tab/>
        <w:t>Масчан М.А., Мякова Н.В. Острый лимфобластный лейкоз у детей // Вместе против рака. 2006. Vol. 1–2. P. 50–63.</w:t>
      </w:r>
    </w:p>
    <w:p w14:paraId="00649424" w14:textId="77777777" w:rsidR="00A67ED2" w:rsidRPr="00CD5E09" w:rsidRDefault="00A67ED2" w:rsidP="00A67ED2">
      <w:pPr>
        <w:ind w:left="640" w:hanging="640"/>
        <w:rPr>
          <w:noProof/>
          <w:lang w:val="en-US"/>
        </w:rPr>
      </w:pPr>
      <w:r w:rsidRPr="00A67ED2">
        <w:rPr>
          <w:noProof/>
        </w:rPr>
        <w:t>8.</w:t>
      </w:r>
      <w:r w:rsidRPr="00A67ED2">
        <w:rPr>
          <w:noProof/>
        </w:rPr>
        <w:tab/>
        <w:t xml:space="preserve">Ахмерзаева З.Х. et al. Эпидемиологическое исследование острых лейкозов в отдельных регионах Российской Федерации // Гематология и трансфузиология. </w:t>
      </w:r>
      <w:r w:rsidRPr="00CD5E09">
        <w:rPr>
          <w:noProof/>
          <w:lang w:val="en-US"/>
        </w:rPr>
        <w:t>2014. Vol. 59, № S1. P. 13–14.</w:t>
      </w:r>
    </w:p>
    <w:p w14:paraId="2D93DAE8" w14:textId="77777777" w:rsidR="00A67ED2" w:rsidRPr="00CD5E09" w:rsidRDefault="00A67ED2" w:rsidP="00A67ED2">
      <w:pPr>
        <w:ind w:left="640" w:hanging="640"/>
        <w:rPr>
          <w:noProof/>
          <w:lang w:val="en-US"/>
        </w:rPr>
      </w:pPr>
      <w:r w:rsidRPr="00CD5E09">
        <w:rPr>
          <w:noProof/>
          <w:lang w:val="en-US"/>
        </w:rPr>
        <w:t>9.</w:t>
      </w:r>
      <w:r w:rsidRPr="00CD5E09">
        <w:rPr>
          <w:noProof/>
          <w:lang w:val="en-US"/>
        </w:rPr>
        <w:tab/>
        <w:t>Burmeister T. et al. Patients’ age and BCR-ABL frequency in adult B-precursor ALL: A retrospective analysis from the GMALL study group // Blood. 2008. Vol. 112, № 3. P. 918–919.</w:t>
      </w:r>
    </w:p>
    <w:p w14:paraId="1C41C81B" w14:textId="77777777" w:rsidR="00A67ED2" w:rsidRPr="00CD5E09" w:rsidRDefault="00A67ED2" w:rsidP="00A67ED2">
      <w:pPr>
        <w:ind w:left="640" w:hanging="640"/>
        <w:rPr>
          <w:noProof/>
          <w:lang w:val="en-US"/>
        </w:rPr>
      </w:pPr>
      <w:r w:rsidRPr="00CD5E09">
        <w:rPr>
          <w:noProof/>
          <w:lang w:val="en-US"/>
        </w:rPr>
        <w:t>10.</w:t>
      </w:r>
      <w:r w:rsidRPr="00CD5E09">
        <w:rPr>
          <w:noProof/>
          <w:lang w:val="en-US"/>
        </w:rPr>
        <w:tab/>
        <w:t>Rowe J.M. Prognostic factors in adult acute lymphoblastic leukaemia. // Br. J. Haematol. 2010. Vol. 150, № 4. P. 389–405.</w:t>
      </w:r>
    </w:p>
    <w:p w14:paraId="22A68329" w14:textId="77777777" w:rsidR="00A67ED2" w:rsidRPr="00CD5E09" w:rsidRDefault="00A67ED2" w:rsidP="00A67ED2">
      <w:pPr>
        <w:ind w:left="640" w:hanging="640"/>
        <w:rPr>
          <w:noProof/>
          <w:lang w:val="en-US"/>
        </w:rPr>
      </w:pPr>
      <w:r w:rsidRPr="00CD5E09">
        <w:rPr>
          <w:noProof/>
          <w:lang w:val="en-US"/>
        </w:rPr>
        <w:t>11.</w:t>
      </w:r>
      <w:r w:rsidRPr="00CD5E09">
        <w:rPr>
          <w:noProof/>
          <w:lang w:val="en-US"/>
        </w:rPr>
        <w:tab/>
        <w:t>Hoelzer D. et al. Prognostic factors in a multicenter study for treatment of acute lymphoblastic leukemia in adults. // Blood. 1988. Vol. 71, № 1. P. 123–131.</w:t>
      </w:r>
    </w:p>
    <w:p w14:paraId="69027D14" w14:textId="77777777" w:rsidR="00A67ED2" w:rsidRPr="00CD5E09" w:rsidRDefault="00A67ED2" w:rsidP="00A67ED2">
      <w:pPr>
        <w:ind w:left="640" w:hanging="640"/>
        <w:rPr>
          <w:noProof/>
          <w:lang w:val="en-US"/>
        </w:rPr>
      </w:pPr>
      <w:r w:rsidRPr="00CD5E09">
        <w:rPr>
          <w:noProof/>
          <w:lang w:val="en-US"/>
        </w:rPr>
        <w:t>12.</w:t>
      </w:r>
      <w:r w:rsidRPr="00CD5E09">
        <w:rPr>
          <w:noProof/>
          <w:lang w:val="en-US"/>
        </w:rPr>
        <w:tab/>
        <w:t>Lazarus H.M. et al. Central nervous system involvement in adult acute lymphoblastic leukemia at diagnosis: results from the international ALL trial MRC UKALL XII/ECOG E2993. // Blood. 2006. Vol. 108, № 2. P. 465–472.</w:t>
      </w:r>
    </w:p>
    <w:p w14:paraId="1F856985" w14:textId="77777777" w:rsidR="00A67ED2" w:rsidRPr="00CD5E09" w:rsidRDefault="00A67ED2" w:rsidP="00A67ED2">
      <w:pPr>
        <w:ind w:left="640" w:hanging="640"/>
        <w:rPr>
          <w:noProof/>
          <w:lang w:val="en-US"/>
        </w:rPr>
      </w:pPr>
      <w:r w:rsidRPr="00CD5E09">
        <w:rPr>
          <w:noProof/>
          <w:lang w:val="en-US"/>
        </w:rPr>
        <w:t>13.</w:t>
      </w:r>
      <w:r w:rsidRPr="00CD5E09">
        <w:rPr>
          <w:noProof/>
          <w:lang w:val="en-US"/>
        </w:rPr>
        <w:tab/>
        <w:t>Bassan R., Maino E., Cortelazzo S. Lymphoblastic lymphoma: an updated review on biology, diagnosis, and treatment. // Eur. J. Haematol. 2016. Vol. 96, № 5. P. 447–460.</w:t>
      </w:r>
    </w:p>
    <w:p w14:paraId="5C2DD374" w14:textId="77777777" w:rsidR="00A67ED2" w:rsidRPr="00CD5E09" w:rsidRDefault="00A67ED2" w:rsidP="00A67ED2">
      <w:pPr>
        <w:ind w:left="640" w:hanging="640"/>
        <w:rPr>
          <w:noProof/>
          <w:lang w:val="en-US"/>
        </w:rPr>
      </w:pPr>
      <w:r w:rsidRPr="00CD5E09">
        <w:rPr>
          <w:noProof/>
          <w:lang w:val="en-US"/>
        </w:rPr>
        <w:lastRenderedPageBreak/>
        <w:t>14.</w:t>
      </w:r>
      <w:r w:rsidRPr="00CD5E09">
        <w:rPr>
          <w:noProof/>
          <w:lang w:val="en-US"/>
        </w:rPr>
        <w:tab/>
        <w:t>Cortelazzo S. et al. Lymphoblastic lymphoma. // Crit. Rev. Oncol. Hematol. 2017. Vol. 113. P. 304–317.</w:t>
      </w:r>
    </w:p>
    <w:p w14:paraId="6515F58F" w14:textId="77777777" w:rsidR="00A67ED2" w:rsidRPr="00CD5E09" w:rsidRDefault="00A67ED2" w:rsidP="00A67ED2">
      <w:pPr>
        <w:ind w:left="640" w:hanging="640"/>
        <w:rPr>
          <w:noProof/>
          <w:lang w:val="en-US"/>
        </w:rPr>
      </w:pPr>
      <w:r w:rsidRPr="00CD5E09">
        <w:rPr>
          <w:noProof/>
          <w:lang w:val="en-US"/>
        </w:rPr>
        <w:t>15.</w:t>
      </w:r>
      <w:r w:rsidRPr="00CD5E09">
        <w:rPr>
          <w:noProof/>
          <w:lang w:val="en-US"/>
        </w:rPr>
        <w:tab/>
        <w:t>Oken M.M. et al. Toxicity and response criteria of the Eastern Cooperative Oncology Group // Am. J. Clin. Oncol. 1982. Vol. 5, № 6. P. 649–655.</w:t>
      </w:r>
    </w:p>
    <w:p w14:paraId="167A68C9" w14:textId="77777777" w:rsidR="00A67ED2" w:rsidRPr="00CD5E09" w:rsidRDefault="00A67ED2" w:rsidP="00A67ED2">
      <w:pPr>
        <w:ind w:left="640" w:hanging="640"/>
        <w:rPr>
          <w:noProof/>
          <w:lang w:val="en-US"/>
        </w:rPr>
      </w:pPr>
      <w:r w:rsidRPr="00CD5E09">
        <w:rPr>
          <w:noProof/>
          <w:lang w:val="en-US"/>
        </w:rPr>
        <w:t>16.</w:t>
      </w:r>
      <w:r w:rsidRPr="00CD5E09">
        <w:rPr>
          <w:noProof/>
          <w:lang w:val="en-US"/>
        </w:rPr>
        <w:tab/>
        <w:t>Roila F. et al. Intra and interobserver variability in cancer patients’ performance status assessed according to Karnofsky and ECOG scales // Ann. Oncol. Oxford University Press (OUP), 1991. Vol. 2, № 6. P. 437–439.</w:t>
      </w:r>
    </w:p>
    <w:p w14:paraId="7112A7D4" w14:textId="77777777" w:rsidR="00A67ED2" w:rsidRPr="00CD5E09" w:rsidRDefault="00A67ED2" w:rsidP="00A67ED2">
      <w:pPr>
        <w:ind w:left="640" w:hanging="640"/>
        <w:rPr>
          <w:noProof/>
          <w:lang w:val="en-US"/>
        </w:rPr>
      </w:pPr>
      <w:r w:rsidRPr="00CD5E09">
        <w:rPr>
          <w:noProof/>
          <w:lang w:val="en-US"/>
        </w:rPr>
        <w:t>17.</w:t>
      </w:r>
      <w:r w:rsidRPr="00CD5E09">
        <w:rPr>
          <w:noProof/>
          <w:lang w:val="en-US"/>
        </w:rPr>
        <w:tab/>
        <w:t>Kornberg A., Polliack A. Serum lactic dehydrogenase (LDH) levels in acute leukemia: marked elevations in lymphoblastic leukemia // Blood. 1980. Vol. 56, № 3.</w:t>
      </w:r>
    </w:p>
    <w:p w14:paraId="73BD74C9" w14:textId="77777777" w:rsidR="00A67ED2" w:rsidRPr="00CD5E09" w:rsidRDefault="00A67ED2" w:rsidP="00A67ED2">
      <w:pPr>
        <w:ind w:left="640" w:hanging="640"/>
        <w:rPr>
          <w:noProof/>
          <w:lang w:val="en-US"/>
        </w:rPr>
      </w:pPr>
      <w:r w:rsidRPr="00CD5E09">
        <w:rPr>
          <w:noProof/>
          <w:lang w:val="en-US"/>
        </w:rPr>
        <w:t>18.</w:t>
      </w:r>
      <w:r w:rsidRPr="00CD5E09">
        <w:rPr>
          <w:noProof/>
          <w:lang w:val="en-US"/>
        </w:rPr>
        <w:tab/>
        <w:t>Olgar S. et al. Electrolyte abnormalities at diagnosis of acute lymphocytic leukemia may be a clue for renal damage in long-term period. // J. Pediatr. Hematol. Oncol. 2005. Vol. 27, № 4. P. 202–206.</w:t>
      </w:r>
    </w:p>
    <w:p w14:paraId="46363E20" w14:textId="77777777" w:rsidR="00A67ED2" w:rsidRPr="00CD5E09" w:rsidRDefault="00A67ED2" w:rsidP="00A67ED2">
      <w:pPr>
        <w:ind w:left="640" w:hanging="640"/>
        <w:rPr>
          <w:noProof/>
          <w:lang w:val="en-US"/>
        </w:rPr>
      </w:pPr>
      <w:r w:rsidRPr="00CD5E09">
        <w:rPr>
          <w:noProof/>
          <w:lang w:val="en-US"/>
        </w:rPr>
        <w:t>19.</w:t>
      </w:r>
      <w:r w:rsidRPr="00CD5E09">
        <w:rPr>
          <w:noProof/>
          <w:lang w:val="en-US"/>
        </w:rPr>
        <w:tab/>
        <w:t>Ku G.H. et al. Venous thromboembolism in patients with acute leukemia: Incidence, risk factors, and effect on survival // Blood. 2009. Vol. 113, № 17. P. 3911–3917.</w:t>
      </w:r>
    </w:p>
    <w:p w14:paraId="29FA3C40" w14:textId="77777777" w:rsidR="00A67ED2" w:rsidRPr="00CD5E09" w:rsidRDefault="00A67ED2" w:rsidP="00A67ED2">
      <w:pPr>
        <w:ind w:left="640" w:hanging="640"/>
        <w:rPr>
          <w:noProof/>
          <w:lang w:val="en-US"/>
        </w:rPr>
      </w:pPr>
      <w:r w:rsidRPr="00CD5E09">
        <w:rPr>
          <w:noProof/>
          <w:lang w:val="en-US"/>
        </w:rPr>
        <w:t>20.</w:t>
      </w:r>
      <w:r w:rsidRPr="00CD5E09">
        <w:rPr>
          <w:noProof/>
          <w:lang w:val="en-US"/>
        </w:rPr>
        <w:tab/>
        <w:t>Nur S. et al. Disseminated intravascular coagulation in acute leukaemias at first diagnosis. // Eur. J. Haematol. 1995. Vol. 55, № 2. P. 78–82.</w:t>
      </w:r>
    </w:p>
    <w:p w14:paraId="7FE628EE" w14:textId="77777777" w:rsidR="00A67ED2" w:rsidRPr="00A67ED2" w:rsidRDefault="00A67ED2" w:rsidP="00A67ED2">
      <w:pPr>
        <w:ind w:left="640" w:hanging="640"/>
        <w:rPr>
          <w:noProof/>
        </w:rPr>
      </w:pPr>
      <w:r w:rsidRPr="00CD5E09">
        <w:rPr>
          <w:noProof/>
          <w:lang w:val="en-US"/>
        </w:rPr>
        <w:t>21.</w:t>
      </w:r>
      <w:r w:rsidRPr="00CD5E09">
        <w:rPr>
          <w:noProof/>
          <w:lang w:val="en-US"/>
        </w:rPr>
        <w:tab/>
        <w:t xml:space="preserve">Törnebohm E. et al. Bleeding complications and coagulopathy in acute leukaemia. // Leuk. Res. 1992. </w:t>
      </w:r>
      <w:r w:rsidRPr="00A67ED2">
        <w:rPr>
          <w:noProof/>
        </w:rPr>
        <w:t>Vol. 16, № 10. P. 1041–1048.</w:t>
      </w:r>
    </w:p>
    <w:p w14:paraId="3BBD2FD1" w14:textId="77777777" w:rsidR="00A67ED2" w:rsidRPr="00CD5E09" w:rsidRDefault="00A67ED2" w:rsidP="00A67ED2">
      <w:pPr>
        <w:ind w:left="640" w:hanging="640"/>
        <w:rPr>
          <w:noProof/>
          <w:lang w:val="en-US"/>
        </w:rPr>
      </w:pPr>
      <w:r w:rsidRPr="00A67ED2">
        <w:rPr>
          <w:noProof/>
        </w:rPr>
        <w:t>22.</w:t>
      </w:r>
      <w:r w:rsidRPr="00A67ED2">
        <w:rPr>
          <w:noProof/>
        </w:rPr>
        <w:tab/>
        <w:t xml:space="preserve">Галстян Г.М. et al. Тромбогеморрагические осложнения при лечении больных острым лимфобластным лейкозом L-аспарагиназой. // Клиническая онкогематология. </w:t>
      </w:r>
      <w:r w:rsidRPr="00CD5E09">
        <w:rPr>
          <w:noProof/>
          <w:lang w:val="en-US"/>
        </w:rPr>
        <w:t>2018. Vol. 11, № 1. P. 89–99.</w:t>
      </w:r>
    </w:p>
    <w:p w14:paraId="63E03A6B" w14:textId="77777777" w:rsidR="00A67ED2" w:rsidRPr="00CD5E09" w:rsidRDefault="00A67ED2" w:rsidP="00A67ED2">
      <w:pPr>
        <w:ind w:left="640" w:hanging="640"/>
        <w:rPr>
          <w:noProof/>
          <w:lang w:val="en-US"/>
        </w:rPr>
      </w:pPr>
      <w:r w:rsidRPr="00CD5E09">
        <w:rPr>
          <w:noProof/>
          <w:lang w:val="en-US"/>
        </w:rPr>
        <w:t>23.</w:t>
      </w:r>
      <w:r w:rsidRPr="00CD5E09">
        <w:rPr>
          <w:noProof/>
          <w:lang w:val="en-US"/>
        </w:rPr>
        <w:tab/>
        <w:t>Coiffier B. et al. Guidelines for the management of pediatric and adult tumor lysis syndrome: An evidence-based review // Journal of Clinical Oncology. 2008. Vol. 26, № 16. P. 2767–2778.</w:t>
      </w:r>
    </w:p>
    <w:p w14:paraId="2C2DFE61" w14:textId="77777777" w:rsidR="00A67ED2" w:rsidRPr="00CD5E09" w:rsidRDefault="00A67ED2" w:rsidP="00A67ED2">
      <w:pPr>
        <w:ind w:left="640" w:hanging="640"/>
        <w:rPr>
          <w:noProof/>
          <w:lang w:val="en-US"/>
        </w:rPr>
      </w:pPr>
      <w:r w:rsidRPr="00CD5E09">
        <w:rPr>
          <w:noProof/>
          <w:lang w:val="en-US"/>
        </w:rPr>
        <w:t>24.</w:t>
      </w:r>
      <w:r w:rsidRPr="00CD5E09">
        <w:rPr>
          <w:noProof/>
          <w:lang w:val="en-US"/>
        </w:rPr>
        <w:tab/>
        <w:t>Ratner L. et al. Adverse prognostic influence of hepatitis B virus infection in acute lymphoblastic leukemia. // Cancer. 1986. Vol. 58, № 5. P. 1096–1100.</w:t>
      </w:r>
    </w:p>
    <w:p w14:paraId="7B848B1A" w14:textId="77777777" w:rsidR="00A67ED2" w:rsidRPr="00A67ED2" w:rsidRDefault="00A67ED2" w:rsidP="00A67ED2">
      <w:pPr>
        <w:ind w:left="640" w:hanging="640"/>
        <w:rPr>
          <w:noProof/>
        </w:rPr>
      </w:pPr>
      <w:r w:rsidRPr="00CD5E09">
        <w:rPr>
          <w:noProof/>
          <w:lang w:val="en-US"/>
        </w:rPr>
        <w:t>25.</w:t>
      </w:r>
      <w:r w:rsidRPr="00CD5E09">
        <w:rPr>
          <w:noProof/>
          <w:lang w:val="en-US"/>
        </w:rPr>
        <w:tab/>
        <w:t xml:space="preserve">Bianco E. et al. Prevalence of hepatitis C virus infection in lymphoproliferative diseases other than B-cell non-Hodgkin’s lymphoma, and in myeloproliferative diseases: an Italian Multi-Center case-control study. // Haematologica. </w:t>
      </w:r>
      <w:r w:rsidRPr="00A67ED2">
        <w:rPr>
          <w:noProof/>
        </w:rPr>
        <w:t>2004. Vol. 89, № 1. P. 70–76.</w:t>
      </w:r>
    </w:p>
    <w:p w14:paraId="26D969AB" w14:textId="77777777" w:rsidR="00A67ED2" w:rsidRPr="00CD5E09" w:rsidRDefault="00A67ED2" w:rsidP="00A67ED2">
      <w:pPr>
        <w:ind w:left="640" w:hanging="640"/>
        <w:rPr>
          <w:noProof/>
          <w:lang w:val="en-US"/>
        </w:rPr>
      </w:pPr>
      <w:r w:rsidRPr="00A67ED2">
        <w:rPr>
          <w:noProof/>
        </w:rPr>
        <w:t>26.</w:t>
      </w:r>
      <w:r w:rsidRPr="00A67ED2">
        <w:rPr>
          <w:noProof/>
        </w:rPr>
        <w:tab/>
        <w:t>Варачек Н.М. Клинико-бактериологические аспекты нарушений микробиоценоза кишечника у детей с острым лимфобластным лейкозом. Диссертация</w:t>
      </w:r>
      <w:r w:rsidRPr="00CD5E09">
        <w:rPr>
          <w:noProof/>
          <w:lang w:val="en-US"/>
        </w:rPr>
        <w:t xml:space="preserve"> </w:t>
      </w:r>
      <w:r w:rsidRPr="00A67ED2">
        <w:rPr>
          <w:noProof/>
        </w:rPr>
        <w:t>на</w:t>
      </w:r>
      <w:r w:rsidRPr="00CD5E09">
        <w:rPr>
          <w:noProof/>
          <w:lang w:val="en-US"/>
        </w:rPr>
        <w:t xml:space="preserve"> </w:t>
      </w:r>
      <w:r w:rsidRPr="00A67ED2">
        <w:rPr>
          <w:noProof/>
        </w:rPr>
        <w:t>соискание</w:t>
      </w:r>
      <w:r w:rsidRPr="00CD5E09">
        <w:rPr>
          <w:noProof/>
          <w:lang w:val="en-US"/>
        </w:rPr>
        <w:t xml:space="preserve"> </w:t>
      </w:r>
      <w:r w:rsidRPr="00A67ED2">
        <w:rPr>
          <w:noProof/>
        </w:rPr>
        <w:t>ученой</w:t>
      </w:r>
      <w:r w:rsidRPr="00CD5E09">
        <w:rPr>
          <w:noProof/>
          <w:lang w:val="en-US"/>
        </w:rPr>
        <w:t xml:space="preserve"> </w:t>
      </w:r>
      <w:r w:rsidRPr="00A67ED2">
        <w:rPr>
          <w:noProof/>
        </w:rPr>
        <w:t>степени</w:t>
      </w:r>
      <w:r w:rsidRPr="00CD5E09">
        <w:rPr>
          <w:noProof/>
          <w:lang w:val="en-US"/>
        </w:rPr>
        <w:t xml:space="preserve"> </w:t>
      </w:r>
      <w:r w:rsidRPr="00A67ED2">
        <w:rPr>
          <w:noProof/>
        </w:rPr>
        <w:t>кандидата</w:t>
      </w:r>
      <w:r w:rsidRPr="00CD5E09">
        <w:rPr>
          <w:noProof/>
          <w:lang w:val="en-US"/>
        </w:rPr>
        <w:t xml:space="preserve"> </w:t>
      </w:r>
      <w:r w:rsidRPr="00A67ED2">
        <w:rPr>
          <w:noProof/>
        </w:rPr>
        <w:t>медицинских</w:t>
      </w:r>
      <w:r w:rsidRPr="00CD5E09">
        <w:rPr>
          <w:noProof/>
          <w:lang w:val="en-US"/>
        </w:rPr>
        <w:t xml:space="preserve"> </w:t>
      </w:r>
      <w:r w:rsidRPr="00A67ED2">
        <w:rPr>
          <w:noProof/>
        </w:rPr>
        <w:t>наук</w:t>
      </w:r>
      <w:r w:rsidRPr="00CD5E09">
        <w:rPr>
          <w:noProof/>
          <w:lang w:val="en-US"/>
        </w:rPr>
        <w:t>. 2010. 150 p.</w:t>
      </w:r>
    </w:p>
    <w:p w14:paraId="7DB79D75" w14:textId="77777777" w:rsidR="00A67ED2" w:rsidRPr="00CD5E09" w:rsidRDefault="00A67ED2" w:rsidP="00A67ED2">
      <w:pPr>
        <w:ind w:left="640" w:hanging="640"/>
        <w:rPr>
          <w:noProof/>
          <w:lang w:val="en-US"/>
        </w:rPr>
      </w:pPr>
      <w:r w:rsidRPr="00CD5E09">
        <w:rPr>
          <w:noProof/>
          <w:lang w:val="en-US"/>
        </w:rPr>
        <w:t>27.</w:t>
      </w:r>
      <w:r w:rsidRPr="00CD5E09">
        <w:rPr>
          <w:noProof/>
          <w:lang w:val="en-US"/>
        </w:rPr>
        <w:tab/>
        <w:t xml:space="preserve">Leahy M.F., Mukhtar S.A. From blood transfusion to patient blood management: a new paradigm for patient care and cost assessment of blood transfusion practice. // Intern. Med. </w:t>
      </w:r>
      <w:r w:rsidRPr="00CD5E09">
        <w:rPr>
          <w:noProof/>
          <w:lang w:val="en-US"/>
        </w:rPr>
        <w:lastRenderedPageBreak/>
        <w:t>J. 2012. Vol. 42, № 3. P. 332–338.</w:t>
      </w:r>
    </w:p>
    <w:p w14:paraId="082097A1" w14:textId="77777777" w:rsidR="00A67ED2" w:rsidRPr="00CD5E09" w:rsidRDefault="00A67ED2" w:rsidP="00A67ED2">
      <w:pPr>
        <w:ind w:left="640" w:hanging="640"/>
        <w:rPr>
          <w:noProof/>
          <w:lang w:val="en-US"/>
        </w:rPr>
      </w:pPr>
      <w:r w:rsidRPr="00CD5E09">
        <w:rPr>
          <w:noProof/>
          <w:lang w:val="en-US"/>
        </w:rPr>
        <w:t>28.</w:t>
      </w:r>
      <w:r w:rsidRPr="00CD5E09">
        <w:rPr>
          <w:noProof/>
          <w:lang w:val="en-US"/>
        </w:rPr>
        <w:tab/>
        <w:t>Thomas X. et al. Bone marrow biopsy in adult acute lymphoblastic leukemia: morphological characteristics and contribution to the study of prognostic factors. // Leuk. Res. 2002. Vol. 26, № 10. P. 909–918.</w:t>
      </w:r>
    </w:p>
    <w:p w14:paraId="6565B45B" w14:textId="77777777" w:rsidR="00A67ED2" w:rsidRPr="00CD5E09" w:rsidRDefault="00A67ED2" w:rsidP="00A67ED2">
      <w:pPr>
        <w:ind w:left="640" w:hanging="640"/>
        <w:rPr>
          <w:noProof/>
          <w:lang w:val="en-US"/>
        </w:rPr>
      </w:pPr>
      <w:r w:rsidRPr="00CD5E09">
        <w:rPr>
          <w:noProof/>
          <w:lang w:val="en-US"/>
        </w:rPr>
        <w:t>29.</w:t>
      </w:r>
      <w:r w:rsidRPr="00CD5E09">
        <w:rPr>
          <w:noProof/>
          <w:lang w:val="en-US"/>
        </w:rPr>
        <w:tab/>
        <w:t>Kröber S.M. et al. Acute lymphoblastic leukaemia: Correlation between morphological/immunohistochemical and molecular biological findings in bone marrow biopsy specimens // J. Clin. Pathol. - Mol. Pathol. 2000. Vol. 53, № 2. P. 83–87.</w:t>
      </w:r>
    </w:p>
    <w:p w14:paraId="09C50218" w14:textId="77777777" w:rsidR="00A67ED2" w:rsidRPr="00CD5E09" w:rsidRDefault="00A67ED2" w:rsidP="00A67ED2">
      <w:pPr>
        <w:ind w:left="640" w:hanging="640"/>
        <w:rPr>
          <w:noProof/>
          <w:lang w:val="en-US"/>
        </w:rPr>
      </w:pPr>
      <w:r w:rsidRPr="00CD5E09">
        <w:rPr>
          <w:noProof/>
          <w:lang w:val="en-US"/>
        </w:rPr>
        <w:t>30.</w:t>
      </w:r>
      <w:r w:rsidRPr="00CD5E09">
        <w:rPr>
          <w:noProof/>
          <w:lang w:val="en-US"/>
        </w:rPr>
        <w:tab/>
        <w:t>Olsen R.J. et al. Acute leukemia immunohistochemistry: a systematic diagnostic approach. // Arch. Pathol. Lab. Med. 2008. Vol. 132, № 3. P. 462–475.</w:t>
      </w:r>
    </w:p>
    <w:p w14:paraId="65EE0FEF" w14:textId="77777777" w:rsidR="00A67ED2" w:rsidRPr="00CD5E09" w:rsidRDefault="00A67ED2" w:rsidP="00A67ED2">
      <w:pPr>
        <w:ind w:left="640" w:hanging="640"/>
        <w:rPr>
          <w:noProof/>
          <w:lang w:val="en-US"/>
        </w:rPr>
      </w:pPr>
      <w:r w:rsidRPr="00CD5E09">
        <w:rPr>
          <w:noProof/>
          <w:lang w:val="en-US"/>
        </w:rPr>
        <w:t>31.</w:t>
      </w:r>
      <w:r w:rsidRPr="00CD5E09">
        <w:rPr>
          <w:noProof/>
          <w:lang w:val="en-US"/>
        </w:rPr>
        <w:tab/>
        <w:t>Bene M.C. et al. Proposals for the immunological classification of acute leukemias. European Group for the Immunological Characterization of Leukemias (EGIL). // Leukemia. 1995. Vol. 9, № 10. P. 1783–1786.</w:t>
      </w:r>
    </w:p>
    <w:p w14:paraId="78E62D05" w14:textId="77777777" w:rsidR="00A67ED2" w:rsidRPr="00CD5E09" w:rsidRDefault="00A67ED2" w:rsidP="00A67ED2">
      <w:pPr>
        <w:ind w:left="640" w:hanging="640"/>
        <w:rPr>
          <w:noProof/>
          <w:lang w:val="en-US"/>
        </w:rPr>
      </w:pPr>
      <w:r w:rsidRPr="00CD5E09">
        <w:rPr>
          <w:noProof/>
          <w:lang w:val="en-US"/>
        </w:rPr>
        <w:t>32.</w:t>
      </w:r>
      <w:r w:rsidRPr="00CD5E09">
        <w:rPr>
          <w:noProof/>
          <w:lang w:val="en-US"/>
        </w:rPr>
        <w:tab/>
        <w:t>McKenna R.W. et al. Immunophenotypic analysis of hematogones (B-lymphocyte precursors) in 662 consecutive bone marrow specimens by 4-color flow cytometry. // Blood. 2001. Vol. 98, № 8. P. 2498–2507.</w:t>
      </w:r>
    </w:p>
    <w:p w14:paraId="315A19EB" w14:textId="77777777" w:rsidR="00A67ED2" w:rsidRPr="00CD5E09" w:rsidRDefault="00A67ED2" w:rsidP="00A67ED2">
      <w:pPr>
        <w:ind w:left="640" w:hanging="640"/>
        <w:rPr>
          <w:noProof/>
          <w:lang w:val="en-US"/>
        </w:rPr>
      </w:pPr>
      <w:r w:rsidRPr="00CD5E09">
        <w:rPr>
          <w:noProof/>
          <w:lang w:val="en-US"/>
        </w:rPr>
        <w:t>33.</w:t>
      </w:r>
      <w:r w:rsidRPr="00CD5E09">
        <w:rPr>
          <w:noProof/>
          <w:lang w:val="en-US"/>
        </w:rPr>
        <w:tab/>
        <w:t>Moorman A. V et al. Karyotype is an independent prognostic factor in adult acute lymphoblastic leukemia (ALL): analysis of cytogenetic data from patients treated on the Medical Research Council (MRC) UKALLXII/Eastern Cooperative Oncology Group (ECOG) 2993 trial. // Blood. 2007. Vol. 109, № 8. P. 3189–3197.</w:t>
      </w:r>
    </w:p>
    <w:p w14:paraId="68A12502" w14:textId="77777777" w:rsidR="00A67ED2" w:rsidRPr="00CD5E09" w:rsidRDefault="00A67ED2" w:rsidP="00A67ED2">
      <w:pPr>
        <w:ind w:left="640" w:hanging="640"/>
        <w:rPr>
          <w:noProof/>
          <w:lang w:val="en-US"/>
        </w:rPr>
      </w:pPr>
      <w:r w:rsidRPr="00CD5E09">
        <w:rPr>
          <w:noProof/>
          <w:lang w:val="en-US"/>
        </w:rPr>
        <w:t>34.</w:t>
      </w:r>
      <w:r w:rsidRPr="00CD5E09">
        <w:rPr>
          <w:noProof/>
          <w:lang w:val="en-US"/>
        </w:rPr>
        <w:tab/>
        <w:t>Moorman A. V et al. A population-based cytogenetic study of adults with acute lymphoblastic leukemia. // Blood. 2010. Vol. 115, № 2. P. 206–214.</w:t>
      </w:r>
    </w:p>
    <w:p w14:paraId="0915B95D" w14:textId="77777777" w:rsidR="00A67ED2" w:rsidRPr="00CD5E09" w:rsidRDefault="00A67ED2" w:rsidP="00A67ED2">
      <w:pPr>
        <w:ind w:left="640" w:hanging="640"/>
        <w:rPr>
          <w:noProof/>
          <w:lang w:val="en-US"/>
        </w:rPr>
      </w:pPr>
      <w:r w:rsidRPr="00CD5E09">
        <w:rPr>
          <w:noProof/>
          <w:lang w:val="en-US"/>
        </w:rPr>
        <w:t>35.</w:t>
      </w:r>
      <w:r w:rsidRPr="00CD5E09">
        <w:rPr>
          <w:noProof/>
          <w:lang w:val="en-US"/>
        </w:rPr>
        <w:tab/>
        <w:t>Yilmaz M. et al. Philadelphia Chromosome-Positive Acute Lymphoblastic Leukemia in Adults: Current Treatments and Future Perspectives // Clinical Advances in Hematology &amp; Oncology. 2018. Vol. 16.</w:t>
      </w:r>
    </w:p>
    <w:p w14:paraId="2174CD06" w14:textId="77777777" w:rsidR="00A67ED2" w:rsidRPr="00CD5E09" w:rsidRDefault="00A67ED2" w:rsidP="00A67ED2">
      <w:pPr>
        <w:ind w:left="640" w:hanging="640"/>
        <w:rPr>
          <w:noProof/>
          <w:lang w:val="en-US"/>
        </w:rPr>
      </w:pPr>
      <w:r w:rsidRPr="00CD5E09">
        <w:rPr>
          <w:noProof/>
          <w:lang w:val="en-US"/>
        </w:rPr>
        <w:t>36.</w:t>
      </w:r>
      <w:r w:rsidRPr="00CD5E09">
        <w:rPr>
          <w:noProof/>
          <w:lang w:val="en-US"/>
        </w:rPr>
        <w:tab/>
        <w:t>Angi M. et al. The t(8;14)(q24.1;q32) and its variant translocations: A study of 34 cases // Hematol. Oncol. Stem Cell Ther. King Faisal Specialist Hospital and Research Centre, 2017. Vol. 10, № 3. P. 126–134.</w:t>
      </w:r>
    </w:p>
    <w:p w14:paraId="18EA276A" w14:textId="77777777" w:rsidR="00A67ED2" w:rsidRPr="00CD5E09" w:rsidRDefault="00A67ED2" w:rsidP="00A67ED2">
      <w:pPr>
        <w:ind w:left="640" w:hanging="640"/>
        <w:rPr>
          <w:noProof/>
          <w:lang w:val="en-US"/>
        </w:rPr>
      </w:pPr>
      <w:r w:rsidRPr="00CD5E09">
        <w:rPr>
          <w:noProof/>
          <w:lang w:val="en-US"/>
        </w:rPr>
        <w:t>37.</w:t>
      </w:r>
      <w:r w:rsidRPr="00CD5E09">
        <w:rPr>
          <w:noProof/>
          <w:lang w:val="en-US"/>
        </w:rPr>
        <w:tab/>
        <w:t>Cimino G. et al. The therapeutic response and clinical outcome of adults with ALL1(MLL)/AF4 fusion positive acute lymphoblastic leukemia according to the GIMEMA experience // Haematologica. 2010. Vol. 95, № 5. P. 837–840.</w:t>
      </w:r>
    </w:p>
    <w:p w14:paraId="69F6C4E1" w14:textId="77777777" w:rsidR="00A67ED2" w:rsidRPr="00CD5E09" w:rsidRDefault="00A67ED2" w:rsidP="00A67ED2">
      <w:pPr>
        <w:ind w:left="640" w:hanging="640"/>
        <w:rPr>
          <w:noProof/>
          <w:lang w:val="en-US"/>
        </w:rPr>
      </w:pPr>
      <w:r w:rsidRPr="00CD5E09">
        <w:rPr>
          <w:noProof/>
          <w:lang w:val="en-US"/>
        </w:rPr>
        <w:t>38.</w:t>
      </w:r>
      <w:r w:rsidRPr="00CD5E09">
        <w:rPr>
          <w:noProof/>
          <w:lang w:val="en-US"/>
        </w:rPr>
        <w:tab/>
        <w:t>Gazzola A. et al. The evolution of clonality testing in the diagnosis and monitoring of hematological malignancies // Therapeutic Advances in Hematology. 2014. Vol. 5, № 2. P. 35–47.</w:t>
      </w:r>
    </w:p>
    <w:p w14:paraId="3AEBCE7F" w14:textId="77777777" w:rsidR="00A67ED2" w:rsidRPr="00CD5E09" w:rsidRDefault="00A67ED2" w:rsidP="00A67ED2">
      <w:pPr>
        <w:ind w:left="640" w:hanging="640"/>
        <w:rPr>
          <w:noProof/>
          <w:lang w:val="en-US"/>
        </w:rPr>
      </w:pPr>
      <w:r w:rsidRPr="00CD5E09">
        <w:rPr>
          <w:noProof/>
          <w:lang w:val="en-US"/>
        </w:rPr>
        <w:t>39.</w:t>
      </w:r>
      <w:r w:rsidRPr="00CD5E09">
        <w:rPr>
          <w:noProof/>
          <w:lang w:val="en-US"/>
        </w:rPr>
        <w:tab/>
        <w:t xml:space="preserve">Thomas X., Le Q.-H. Central nervous system involvement in adult acute lymphoblastic </w:t>
      </w:r>
      <w:r w:rsidRPr="00CD5E09">
        <w:rPr>
          <w:noProof/>
          <w:lang w:val="en-US"/>
        </w:rPr>
        <w:lastRenderedPageBreak/>
        <w:t>leukemia. // Hematology. 2008. Vol. 13, № 5. P. 293–302.</w:t>
      </w:r>
    </w:p>
    <w:p w14:paraId="035DA10D" w14:textId="77777777" w:rsidR="00A67ED2" w:rsidRPr="00CD5E09" w:rsidRDefault="00A67ED2" w:rsidP="00A67ED2">
      <w:pPr>
        <w:ind w:left="640" w:hanging="640"/>
        <w:rPr>
          <w:noProof/>
          <w:lang w:val="en-US"/>
        </w:rPr>
      </w:pPr>
      <w:r w:rsidRPr="00CD5E09">
        <w:rPr>
          <w:noProof/>
          <w:lang w:val="en-US"/>
        </w:rPr>
        <w:t>40.</w:t>
      </w:r>
      <w:r w:rsidRPr="00CD5E09">
        <w:rPr>
          <w:noProof/>
          <w:lang w:val="en-US"/>
        </w:rPr>
        <w:tab/>
        <w:t>Aguirre-Guillén W.A. et al. Omics techniques and biobanks to find new biomarkers for the early detection of acute lymphoblastic leukemia in middle-income countries: a perspective from Mexico // Boletin Medico del Hospital Infantil de Mexico. Masson-Doyma Mexico, S.A., 2017. Vol. 74, № 3. P. 227–232.</w:t>
      </w:r>
    </w:p>
    <w:p w14:paraId="39F82B11" w14:textId="77777777" w:rsidR="00A67ED2" w:rsidRPr="00CD5E09" w:rsidRDefault="00A67ED2" w:rsidP="00A67ED2">
      <w:pPr>
        <w:ind w:left="640" w:hanging="640"/>
        <w:rPr>
          <w:noProof/>
          <w:lang w:val="en-US"/>
        </w:rPr>
      </w:pPr>
      <w:r w:rsidRPr="00CD5E09">
        <w:rPr>
          <w:noProof/>
          <w:lang w:val="en-US"/>
        </w:rPr>
        <w:t>41.</w:t>
      </w:r>
      <w:r w:rsidRPr="00CD5E09">
        <w:rPr>
          <w:noProof/>
          <w:lang w:val="en-US"/>
        </w:rPr>
        <w:tab/>
        <w:t>Herrmann J. et al. Evaluation and management of patients with heart disease and cancer: Cardio-oncology // Mayo Clin. Proc. 2014. Vol. 89, № 9. P. 1287–1306.</w:t>
      </w:r>
    </w:p>
    <w:p w14:paraId="0098FFA0" w14:textId="77777777" w:rsidR="00A67ED2" w:rsidRPr="00CD5E09" w:rsidRDefault="00A67ED2" w:rsidP="00A67ED2">
      <w:pPr>
        <w:ind w:left="640" w:hanging="640"/>
        <w:rPr>
          <w:noProof/>
          <w:lang w:val="en-US"/>
        </w:rPr>
      </w:pPr>
      <w:r w:rsidRPr="00CD5E09">
        <w:rPr>
          <w:noProof/>
          <w:lang w:val="en-US"/>
        </w:rPr>
        <w:t>42.</w:t>
      </w:r>
      <w:r w:rsidRPr="00CD5E09">
        <w:rPr>
          <w:noProof/>
          <w:lang w:val="en-US"/>
        </w:rPr>
        <w:tab/>
        <w:t>Roberts A.S. et al. Extramedullary haematopoiesis: radiological imaging features // Clinical Radiology. 2016. Vol. 71, № 9. P. 807–814.</w:t>
      </w:r>
    </w:p>
    <w:p w14:paraId="08934571" w14:textId="77777777" w:rsidR="00A67ED2" w:rsidRPr="00CD5E09" w:rsidRDefault="00A67ED2" w:rsidP="00A67ED2">
      <w:pPr>
        <w:ind w:left="640" w:hanging="640"/>
        <w:rPr>
          <w:noProof/>
          <w:lang w:val="en-US"/>
        </w:rPr>
      </w:pPr>
      <w:r w:rsidRPr="00CD5E09">
        <w:rPr>
          <w:noProof/>
          <w:lang w:val="en-US"/>
        </w:rPr>
        <w:t>43.</w:t>
      </w:r>
      <w:r w:rsidRPr="00CD5E09">
        <w:rPr>
          <w:noProof/>
          <w:lang w:val="en-US"/>
        </w:rPr>
        <w:tab/>
        <w:t>Soylu A.R. et al. Overt gastrointestinal bleeding in haematologic neoplasms // Dig. Liver Dis. 2005. Vol. 37, № 12. P. 917–922.</w:t>
      </w:r>
    </w:p>
    <w:p w14:paraId="14DBA8E4" w14:textId="77777777" w:rsidR="00A67ED2" w:rsidRPr="00CD5E09" w:rsidRDefault="00A67ED2" w:rsidP="00A67ED2">
      <w:pPr>
        <w:ind w:left="640" w:hanging="640"/>
        <w:rPr>
          <w:noProof/>
          <w:lang w:val="en-US"/>
        </w:rPr>
      </w:pPr>
      <w:r w:rsidRPr="00CD5E09">
        <w:rPr>
          <w:noProof/>
          <w:lang w:val="en-US"/>
        </w:rPr>
        <w:t>44.</w:t>
      </w:r>
      <w:r w:rsidRPr="00CD5E09">
        <w:rPr>
          <w:noProof/>
          <w:lang w:val="en-US"/>
        </w:rPr>
        <w:tab/>
        <w:t>Hummel M. et al. Diagnostic yield of bronchoscopy with bronchoalveolar lavage in febrile patients with hematologic malignancies and pulmonary infiltrates. // Ann. Hematol. 2008. Vol. 87, № 4. P. 291–297.</w:t>
      </w:r>
    </w:p>
    <w:p w14:paraId="49EAF195" w14:textId="77777777" w:rsidR="00A67ED2" w:rsidRPr="00CD5E09" w:rsidRDefault="00A67ED2" w:rsidP="00A67ED2">
      <w:pPr>
        <w:ind w:left="640" w:hanging="640"/>
        <w:rPr>
          <w:noProof/>
          <w:lang w:val="en-US"/>
        </w:rPr>
      </w:pPr>
      <w:r w:rsidRPr="00CD5E09">
        <w:rPr>
          <w:noProof/>
          <w:lang w:val="en-US"/>
        </w:rPr>
        <w:t>45.</w:t>
      </w:r>
      <w:r w:rsidRPr="00CD5E09">
        <w:rPr>
          <w:noProof/>
          <w:lang w:val="en-US"/>
        </w:rPr>
        <w:tab/>
        <w:t>Sengar M. et al. Whole Body PET-CT In Management Of Lymphoblastic Lymphomas In Adults: Does It Have a Prognostic Impact? // Blood. American Society of Hematology, 2013. Vol. 122, № 21. P. 4314–4314.</w:t>
      </w:r>
    </w:p>
    <w:p w14:paraId="5542AC8B" w14:textId="77777777" w:rsidR="00A67ED2" w:rsidRPr="00CD5E09" w:rsidRDefault="00A67ED2" w:rsidP="00A67ED2">
      <w:pPr>
        <w:ind w:left="640" w:hanging="640"/>
        <w:rPr>
          <w:noProof/>
          <w:lang w:val="en-US"/>
        </w:rPr>
      </w:pPr>
      <w:r w:rsidRPr="00CD5E09">
        <w:rPr>
          <w:noProof/>
          <w:lang w:val="en-US"/>
        </w:rPr>
        <w:t>46.</w:t>
      </w:r>
      <w:r w:rsidRPr="00CD5E09">
        <w:rPr>
          <w:noProof/>
          <w:lang w:val="en-US"/>
        </w:rPr>
        <w:tab/>
        <w:t>Khaled S.K., Thomas S.H., Forman S.J. Allogeneic hematopoietic cell transplantation for acute lymphoblastic leukemia in adults // Current Opinion in Oncology. 2012. Vol. 24, № 2. P. 182–190.</w:t>
      </w:r>
    </w:p>
    <w:p w14:paraId="79E236B2" w14:textId="77777777" w:rsidR="00A67ED2" w:rsidRPr="00CD5E09" w:rsidRDefault="00A67ED2" w:rsidP="00A67ED2">
      <w:pPr>
        <w:ind w:left="640" w:hanging="640"/>
        <w:rPr>
          <w:noProof/>
          <w:lang w:val="en-US"/>
        </w:rPr>
      </w:pPr>
      <w:r w:rsidRPr="00CD5E09">
        <w:rPr>
          <w:noProof/>
          <w:lang w:val="en-US"/>
        </w:rPr>
        <w:t>47.</w:t>
      </w:r>
      <w:r w:rsidRPr="00CD5E09">
        <w:rPr>
          <w:noProof/>
          <w:lang w:val="en-US"/>
        </w:rPr>
        <w:tab/>
        <w:t>Ribera J.M. Allogeneic stem cell transplantation for adult acute lymphoblastic leukemia: When and how // Haematologica. 2011. Vol. 96, № 8. P. 1083–1086.</w:t>
      </w:r>
    </w:p>
    <w:p w14:paraId="76594193" w14:textId="77777777" w:rsidR="00A67ED2" w:rsidRPr="00A67ED2" w:rsidRDefault="00A67ED2" w:rsidP="00A67ED2">
      <w:pPr>
        <w:ind w:left="640" w:hanging="640"/>
        <w:rPr>
          <w:noProof/>
        </w:rPr>
      </w:pPr>
      <w:r w:rsidRPr="00CD5E09">
        <w:rPr>
          <w:noProof/>
          <w:lang w:val="en-US"/>
        </w:rPr>
        <w:t>48.</w:t>
      </w:r>
      <w:r w:rsidRPr="00CD5E09">
        <w:rPr>
          <w:noProof/>
          <w:lang w:val="en-US"/>
        </w:rPr>
        <w:tab/>
        <w:t xml:space="preserve">Woitek R. et al. Radiological staging in pregnant patients with cancer // ESMO Open. 2016. </w:t>
      </w:r>
      <w:r w:rsidRPr="00A67ED2">
        <w:rPr>
          <w:noProof/>
        </w:rPr>
        <w:t>Vol. 1, № 1. P. e000017.</w:t>
      </w:r>
    </w:p>
    <w:p w14:paraId="5935886E" w14:textId="77777777" w:rsidR="00A67ED2" w:rsidRPr="00CD5E09" w:rsidRDefault="00A67ED2" w:rsidP="00A67ED2">
      <w:pPr>
        <w:ind w:left="640" w:hanging="640"/>
        <w:rPr>
          <w:noProof/>
          <w:lang w:val="en-US"/>
        </w:rPr>
      </w:pPr>
      <w:r w:rsidRPr="00A67ED2">
        <w:rPr>
          <w:noProof/>
        </w:rPr>
        <w:t>49.</w:t>
      </w:r>
      <w:r w:rsidRPr="00A67ED2">
        <w:rPr>
          <w:noProof/>
        </w:rPr>
        <w:tab/>
        <w:t xml:space="preserve">Охмат В.А. et al. Инфекционные осложнения у взрослых больных острыми лимфобластными лейкозами на разных этапах химиотерапии по протоколу ОЛЛ-2009. // Онкогематология. </w:t>
      </w:r>
      <w:r w:rsidRPr="00CD5E09">
        <w:rPr>
          <w:noProof/>
          <w:lang w:val="en-US"/>
        </w:rPr>
        <w:t>2017. Vol. 12, № 3. P. 31–40.</w:t>
      </w:r>
    </w:p>
    <w:p w14:paraId="75BFD0AE" w14:textId="77777777" w:rsidR="00A67ED2" w:rsidRPr="00A67ED2" w:rsidRDefault="00A67ED2" w:rsidP="00A67ED2">
      <w:pPr>
        <w:ind w:left="640" w:hanging="640"/>
        <w:rPr>
          <w:noProof/>
        </w:rPr>
      </w:pPr>
      <w:r w:rsidRPr="00CD5E09">
        <w:rPr>
          <w:noProof/>
          <w:lang w:val="en-US"/>
        </w:rPr>
        <w:t>50.</w:t>
      </w:r>
      <w:r w:rsidRPr="00CD5E09">
        <w:rPr>
          <w:noProof/>
          <w:lang w:val="en-US"/>
        </w:rPr>
        <w:tab/>
        <w:t xml:space="preserve">Biswal S., Godnaik C. Incidence and management of infections in patients with acute leukemia following chemotherapy in general wards // Ecancermedicalscience. ecancer Global Foundation, 2013. </w:t>
      </w:r>
      <w:r w:rsidRPr="00A67ED2">
        <w:rPr>
          <w:noProof/>
        </w:rPr>
        <w:t>Vol. 7, № 1.</w:t>
      </w:r>
    </w:p>
    <w:p w14:paraId="5AB5928E" w14:textId="77777777" w:rsidR="00A67ED2" w:rsidRPr="00A67ED2" w:rsidRDefault="00A67ED2" w:rsidP="00A67ED2">
      <w:pPr>
        <w:ind w:left="640" w:hanging="640"/>
        <w:rPr>
          <w:noProof/>
        </w:rPr>
      </w:pPr>
      <w:r w:rsidRPr="00A67ED2">
        <w:rPr>
          <w:noProof/>
        </w:rPr>
        <w:t>51.</w:t>
      </w:r>
      <w:r w:rsidRPr="00A67ED2">
        <w:rPr>
          <w:noProof/>
        </w:rPr>
        <w:tab/>
        <w:t>Торопова И.Ю. Клинический мониторинг инфекционных осложнений у больных гемобластозами на фоне программной химиотерапии. Диссертация на соискание ученой степени кандидата медицинских наук. 2015. 89 p.</w:t>
      </w:r>
    </w:p>
    <w:p w14:paraId="02C4286F" w14:textId="77777777" w:rsidR="00A67ED2" w:rsidRPr="00CD5E09" w:rsidRDefault="00A67ED2" w:rsidP="00A67ED2">
      <w:pPr>
        <w:ind w:left="640" w:hanging="640"/>
        <w:rPr>
          <w:noProof/>
          <w:lang w:val="en-US"/>
        </w:rPr>
      </w:pPr>
      <w:r w:rsidRPr="00A67ED2">
        <w:rPr>
          <w:noProof/>
        </w:rPr>
        <w:t>52.</w:t>
      </w:r>
      <w:r w:rsidRPr="00A67ED2">
        <w:rPr>
          <w:noProof/>
        </w:rPr>
        <w:tab/>
        <w:t xml:space="preserve">El Fakih R. et al. </w:t>
      </w:r>
      <w:r w:rsidRPr="00CD5E09">
        <w:rPr>
          <w:noProof/>
          <w:lang w:val="en-US"/>
        </w:rPr>
        <w:t xml:space="preserve">Current paradigms in the management of Philadelphia chromosome </w:t>
      </w:r>
      <w:r w:rsidRPr="00CD5E09">
        <w:rPr>
          <w:noProof/>
          <w:lang w:val="en-US"/>
        </w:rPr>
        <w:lastRenderedPageBreak/>
        <w:t>positive acute lymphoblastic leukemia in adults. // Am. J. Hematol. 2018. Vol. 93, № 2. P. 286–295.</w:t>
      </w:r>
    </w:p>
    <w:p w14:paraId="3A4FCB71" w14:textId="77777777" w:rsidR="00A67ED2" w:rsidRPr="00CD5E09" w:rsidRDefault="00A67ED2" w:rsidP="00A67ED2">
      <w:pPr>
        <w:ind w:left="640" w:hanging="640"/>
        <w:rPr>
          <w:noProof/>
          <w:lang w:val="en-US"/>
        </w:rPr>
      </w:pPr>
      <w:r w:rsidRPr="00CD5E09">
        <w:rPr>
          <w:noProof/>
          <w:lang w:val="en-US"/>
        </w:rPr>
        <w:t>53.</w:t>
      </w:r>
      <w:r w:rsidRPr="00CD5E09">
        <w:rPr>
          <w:noProof/>
          <w:lang w:val="en-US"/>
        </w:rPr>
        <w:tab/>
        <w:t>Van Dongen J.J.M. et al. Minimal residual disease diagnostics in acute lymphoblastic leukemia: Need for sensitive, fast, and standardized technologies // Blood. American Society of Hematology, 2015. Vol. 125, № 26. P. 3996–4009.</w:t>
      </w:r>
    </w:p>
    <w:p w14:paraId="223C92D5" w14:textId="77777777" w:rsidR="00A67ED2" w:rsidRPr="00CD5E09" w:rsidRDefault="00A67ED2" w:rsidP="00A67ED2">
      <w:pPr>
        <w:ind w:left="640" w:hanging="640"/>
        <w:rPr>
          <w:noProof/>
          <w:lang w:val="en-US"/>
        </w:rPr>
      </w:pPr>
      <w:r w:rsidRPr="00CD5E09">
        <w:rPr>
          <w:noProof/>
          <w:lang w:val="en-US"/>
        </w:rPr>
        <w:t>54.</w:t>
      </w:r>
      <w:r w:rsidRPr="00CD5E09">
        <w:rPr>
          <w:noProof/>
          <w:lang w:val="en-US"/>
        </w:rPr>
        <w:tab/>
        <w:t>van der Velden V.H.J. et al. Analysis of minimal residual disease by Ig/TCR gene rearrangements: Guidelines for interpretation of real-time quantitative PCR data // Leukemia. Nature Publishing Group, 2007. Vol. 21, № 4. P. 604–611.</w:t>
      </w:r>
    </w:p>
    <w:p w14:paraId="08D9CBA0" w14:textId="77777777" w:rsidR="00A67ED2" w:rsidRPr="00CD5E09" w:rsidRDefault="00A67ED2" w:rsidP="00A67ED2">
      <w:pPr>
        <w:ind w:left="640" w:hanging="640"/>
        <w:rPr>
          <w:noProof/>
          <w:lang w:val="en-US"/>
        </w:rPr>
      </w:pPr>
      <w:r w:rsidRPr="00CD5E09">
        <w:rPr>
          <w:noProof/>
          <w:lang w:val="en-US"/>
        </w:rPr>
        <w:t>55.</w:t>
      </w:r>
      <w:r w:rsidRPr="00CD5E09">
        <w:rPr>
          <w:noProof/>
          <w:lang w:val="en-US"/>
        </w:rPr>
        <w:tab/>
        <w:t>Gökbuget N. et al. Adult patients with acute lymphoblastic leukemia and molecular failure display a poor prognosis and are candidates for stem cell transplantation and targeted therapies. // Blood. 2012. Vol. 120, № 9. P. 1868–1876.</w:t>
      </w:r>
    </w:p>
    <w:p w14:paraId="26656F3A" w14:textId="77777777" w:rsidR="00A67ED2" w:rsidRPr="00CD5E09" w:rsidRDefault="00A67ED2" w:rsidP="00A67ED2">
      <w:pPr>
        <w:ind w:left="640" w:hanging="640"/>
        <w:rPr>
          <w:noProof/>
          <w:lang w:val="en-US"/>
        </w:rPr>
      </w:pPr>
      <w:r w:rsidRPr="00CD5E09">
        <w:rPr>
          <w:noProof/>
          <w:lang w:val="en-US"/>
        </w:rPr>
        <w:t>56.</w:t>
      </w:r>
      <w:r w:rsidRPr="00CD5E09">
        <w:rPr>
          <w:noProof/>
          <w:lang w:val="en-US"/>
        </w:rPr>
        <w:tab/>
        <w:t>Kantarjian H. et al. Long-term follow-up results of hyperfractionated cyclophosphamide, vincristine, doxorubicin, and dexamethasone (Hyper-CVAD), a dose-intensive regimen, in adult acute lymphocytic leukemia // Cancer. 2004. Vol. 101, № 12. P. 2788–2801.</w:t>
      </w:r>
    </w:p>
    <w:p w14:paraId="1C68BD18" w14:textId="77777777" w:rsidR="00A67ED2" w:rsidRPr="00CD5E09" w:rsidRDefault="00A67ED2" w:rsidP="00A67ED2">
      <w:pPr>
        <w:ind w:left="640" w:hanging="640"/>
        <w:rPr>
          <w:noProof/>
          <w:lang w:val="en-US"/>
        </w:rPr>
      </w:pPr>
      <w:r w:rsidRPr="00CD5E09">
        <w:rPr>
          <w:noProof/>
          <w:lang w:val="en-US"/>
        </w:rPr>
        <w:t>57.</w:t>
      </w:r>
      <w:r w:rsidRPr="00CD5E09">
        <w:rPr>
          <w:noProof/>
          <w:lang w:val="en-US"/>
        </w:rPr>
        <w:tab/>
        <w:t>Larson R.A. et al. A five-drug remission induction regimen with intensive consolidation for adults with ALL // Blood. 1995. Vol. 85, № 8. P. 2025–2037.</w:t>
      </w:r>
    </w:p>
    <w:p w14:paraId="792AFDF5" w14:textId="77777777" w:rsidR="00A67ED2" w:rsidRPr="00CD5E09" w:rsidRDefault="00A67ED2" w:rsidP="00A67ED2">
      <w:pPr>
        <w:ind w:left="640" w:hanging="640"/>
        <w:rPr>
          <w:noProof/>
          <w:lang w:val="en-US"/>
        </w:rPr>
      </w:pPr>
      <w:r w:rsidRPr="00CD5E09">
        <w:rPr>
          <w:noProof/>
          <w:lang w:val="en-US"/>
        </w:rPr>
        <w:t>58.</w:t>
      </w:r>
      <w:r w:rsidRPr="00CD5E09">
        <w:rPr>
          <w:noProof/>
          <w:lang w:val="en-US"/>
        </w:rPr>
        <w:tab/>
        <w:t>Scavino H.F., George J.N., Sears D.A. Remission induction in adult acute lymphocytic leukemia. Use of vincristine and prednisone alone. // Cancer. 1976. Vol. 38, № 2. P. 672–677.</w:t>
      </w:r>
    </w:p>
    <w:p w14:paraId="015DA1B5" w14:textId="77777777" w:rsidR="00A67ED2" w:rsidRPr="00CD5E09" w:rsidRDefault="00A67ED2" w:rsidP="00A67ED2">
      <w:pPr>
        <w:ind w:left="640" w:hanging="640"/>
        <w:rPr>
          <w:noProof/>
          <w:lang w:val="en-US"/>
        </w:rPr>
      </w:pPr>
      <w:r w:rsidRPr="00CD5E09">
        <w:rPr>
          <w:noProof/>
          <w:lang w:val="en-US"/>
        </w:rPr>
        <w:t>59.</w:t>
      </w:r>
      <w:r w:rsidRPr="00CD5E09">
        <w:rPr>
          <w:noProof/>
          <w:lang w:val="en-US"/>
        </w:rPr>
        <w:tab/>
        <w:t>Gottlieb A.J. et al. Efficacy of daunorubicin in the therapy of adult acute lymphocytic leukemia: a prospective randomized trial by cancer and leukemia group B. // Blood. 1984. Vol. 64, № 1. P. 267–274.</w:t>
      </w:r>
    </w:p>
    <w:p w14:paraId="0011606B" w14:textId="77777777" w:rsidR="00A67ED2" w:rsidRPr="00CD5E09" w:rsidRDefault="00A67ED2" w:rsidP="00A67ED2">
      <w:pPr>
        <w:ind w:left="640" w:hanging="640"/>
        <w:rPr>
          <w:noProof/>
          <w:lang w:val="en-US"/>
        </w:rPr>
      </w:pPr>
      <w:r w:rsidRPr="00CD5E09">
        <w:rPr>
          <w:noProof/>
          <w:lang w:val="en-US"/>
        </w:rPr>
        <w:t>60.</w:t>
      </w:r>
      <w:r w:rsidRPr="00CD5E09">
        <w:rPr>
          <w:noProof/>
          <w:lang w:val="en-US"/>
        </w:rPr>
        <w:tab/>
        <w:t>Nagura E. et al. Nation-wide randomized comparative study of doxorubicin, vincristine and prednisolone combination therapy with and without L-asparaginase for adult acute lymphoblastic leukemia. // Cancer Chemother. Pharmacol. 1994. Vol. 33, № 5. P. 359–365.</w:t>
      </w:r>
    </w:p>
    <w:p w14:paraId="35AC9D2C" w14:textId="77777777" w:rsidR="00A67ED2" w:rsidRPr="00CD5E09" w:rsidRDefault="00A67ED2" w:rsidP="00A67ED2">
      <w:pPr>
        <w:ind w:left="640" w:hanging="640"/>
        <w:rPr>
          <w:noProof/>
          <w:lang w:val="en-US"/>
        </w:rPr>
      </w:pPr>
      <w:r w:rsidRPr="00CD5E09">
        <w:rPr>
          <w:noProof/>
          <w:lang w:val="en-US"/>
        </w:rPr>
        <w:t>61.</w:t>
      </w:r>
      <w:r w:rsidRPr="00CD5E09">
        <w:rPr>
          <w:noProof/>
          <w:lang w:val="en-US"/>
        </w:rPr>
        <w:tab/>
        <w:t>Thomas D.A. et al. Chemoimmunotherapy with hyper-CVAD plus rituximab for the treatment of adult Burkitt and Burkitt-type lymphoma or acute lymphoblastic leukemia // Cancer. 2006. Vol. 106, № 7. P. 1569–1580.</w:t>
      </w:r>
    </w:p>
    <w:p w14:paraId="3A167E15" w14:textId="77777777" w:rsidR="00A67ED2" w:rsidRPr="00A67ED2" w:rsidRDefault="00A67ED2" w:rsidP="00A67ED2">
      <w:pPr>
        <w:ind w:left="640" w:hanging="640"/>
        <w:rPr>
          <w:noProof/>
        </w:rPr>
      </w:pPr>
      <w:r w:rsidRPr="00CD5E09">
        <w:rPr>
          <w:noProof/>
          <w:lang w:val="en-US"/>
        </w:rPr>
        <w:t>62.</w:t>
      </w:r>
      <w:r w:rsidRPr="00CD5E09">
        <w:rPr>
          <w:noProof/>
          <w:lang w:val="en-US"/>
        </w:rPr>
        <w:tab/>
        <w:t xml:space="preserve">Goldstone A.H. et al. In adults with standard-risk acute lymphoblastic leukemia, the greatest benefit is achieved from a matched sibling allogeneic transplantation in first complete remission, and an autologous transplantation is less effective than conventional consolidation/maintenance chemotherapy in all patients: Final results of the International ALL Trial (MRC UKALLXII/ECOG E2993) // Blood. </w:t>
      </w:r>
      <w:r w:rsidRPr="00A67ED2">
        <w:rPr>
          <w:noProof/>
        </w:rPr>
        <w:t>2008. Vol. 111, № 4. P. 1827–1833.</w:t>
      </w:r>
    </w:p>
    <w:p w14:paraId="0BEFB7D6" w14:textId="77777777" w:rsidR="00A67ED2" w:rsidRPr="00A67ED2" w:rsidRDefault="00A67ED2" w:rsidP="00A67ED2">
      <w:pPr>
        <w:ind w:left="640" w:hanging="640"/>
        <w:rPr>
          <w:noProof/>
        </w:rPr>
      </w:pPr>
      <w:r w:rsidRPr="00A67ED2">
        <w:rPr>
          <w:noProof/>
        </w:rPr>
        <w:t>63.</w:t>
      </w:r>
      <w:r w:rsidRPr="00A67ED2">
        <w:rPr>
          <w:noProof/>
        </w:rPr>
        <w:tab/>
        <w:t xml:space="preserve">Барях Е.А. et al. Лейкоз/лимфома Беркитта: клинические особенности, </w:t>
      </w:r>
      <w:r w:rsidRPr="00A67ED2">
        <w:rPr>
          <w:noProof/>
        </w:rPr>
        <w:lastRenderedPageBreak/>
        <w:t>диагностические критерии, терапевтическая тактика // Клиническая онкогематология. Фундаментальные исследования и клиническая практика. 2010. Vol. 3, № 2. P. 138–143.</w:t>
      </w:r>
    </w:p>
    <w:p w14:paraId="066C35CF" w14:textId="77777777" w:rsidR="00A67ED2" w:rsidRPr="00CD5E09" w:rsidRDefault="00A67ED2" w:rsidP="00A67ED2">
      <w:pPr>
        <w:ind w:left="640" w:hanging="640"/>
        <w:rPr>
          <w:noProof/>
          <w:lang w:val="en-US"/>
        </w:rPr>
      </w:pPr>
      <w:r w:rsidRPr="00A67ED2">
        <w:rPr>
          <w:noProof/>
        </w:rPr>
        <w:t>64.</w:t>
      </w:r>
      <w:r w:rsidRPr="00A67ED2">
        <w:rPr>
          <w:noProof/>
        </w:rPr>
        <w:tab/>
        <w:t xml:space="preserve">Malagola M., Papayannidis C., Baccarani M. Tyrosine kinase inhibitors in Ph+ acute lymphoblastic leukaemia: facts and perspectives // Annals of Hematology. </w:t>
      </w:r>
      <w:r w:rsidRPr="00CD5E09">
        <w:rPr>
          <w:noProof/>
          <w:lang w:val="en-US"/>
        </w:rPr>
        <w:t>Springer Verlag, 2016. Vol. 95, № 5. P. 681–693.</w:t>
      </w:r>
    </w:p>
    <w:p w14:paraId="0058E7FF" w14:textId="77777777" w:rsidR="00A67ED2" w:rsidRPr="00A67ED2" w:rsidRDefault="00A67ED2" w:rsidP="00A67ED2">
      <w:pPr>
        <w:ind w:left="640" w:hanging="640"/>
        <w:rPr>
          <w:noProof/>
        </w:rPr>
      </w:pPr>
      <w:r w:rsidRPr="00CD5E09">
        <w:rPr>
          <w:noProof/>
          <w:lang w:val="en-US"/>
        </w:rPr>
        <w:t>65.</w:t>
      </w:r>
      <w:r w:rsidRPr="00CD5E09">
        <w:rPr>
          <w:noProof/>
          <w:lang w:val="en-US"/>
        </w:rPr>
        <w:tab/>
        <w:t xml:space="preserve">Pfeifer H. et al. Randomized comparison of prophylactic and minimal residual disease-triggered imatinib after allogeneic stem cell transplantation for BCR-ABL1-positive acute lymphoblastic leukemia // Leukemia. </w:t>
      </w:r>
      <w:r w:rsidRPr="00A67ED2">
        <w:rPr>
          <w:noProof/>
        </w:rPr>
        <w:t>2013. Vol. 27, № 6. P. 1254–1262.</w:t>
      </w:r>
    </w:p>
    <w:p w14:paraId="6DC8D20A" w14:textId="77777777" w:rsidR="00A67ED2" w:rsidRPr="00CD5E09" w:rsidRDefault="00A67ED2" w:rsidP="00A67ED2">
      <w:pPr>
        <w:ind w:left="640" w:hanging="640"/>
        <w:rPr>
          <w:noProof/>
          <w:lang w:val="en-US"/>
        </w:rPr>
      </w:pPr>
      <w:r w:rsidRPr="00A67ED2">
        <w:rPr>
          <w:noProof/>
        </w:rPr>
        <w:t>66.</w:t>
      </w:r>
      <w:r w:rsidRPr="00A67ED2">
        <w:rPr>
          <w:noProof/>
        </w:rPr>
        <w:tab/>
        <w:t xml:space="preserve">Паровичникова Е.Н. et al. Острые Ph-негативные лимфобластные лейкозы взрослых: факторы риска при использовании протокола ОЛЛ-2009 // Терапевтический архив. </w:t>
      </w:r>
      <w:r w:rsidRPr="00CD5E09">
        <w:rPr>
          <w:noProof/>
          <w:lang w:val="en-US"/>
        </w:rPr>
        <w:t>2016. Vol. 88, № 7. P. 15–24.</w:t>
      </w:r>
    </w:p>
    <w:p w14:paraId="4C2EB083" w14:textId="77777777" w:rsidR="00A67ED2" w:rsidRPr="00CD5E09" w:rsidRDefault="00A67ED2" w:rsidP="00A67ED2">
      <w:pPr>
        <w:ind w:left="640" w:hanging="640"/>
        <w:rPr>
          <w:noProof/>
          <w:lang w:val="en-US"/>
        </w:rPr>
      </w:pPr>
      <w:r w:rsidRPr="00CD5E09">
        <w:rPr>
          <w:noProof/>
          <w:lang w:val="en-US"/>
        </w:rPr>
        <w:t>67.</w:t>
      </w:r>
      <w:r w:rsidRPr="00CD5E09">
        <w:rPr>
          <w:noProof/>
          <w:lang w:val="en-US"/>
        </w:rPr>
        <w:tab/>
        <w:t>Borowitz M.J. et al. Minimal residual disease detection in childhood precursor-B-cell acute lymphoblastic leukemia: relation to other risk factors. A Children’s Oncology Group study. // Leukemia. 2003. Vol. 17, № 8. P. 1566–1572.</w:t>
      </w:r>
    </w:p>
    <w:p w14:paraId="36366297" w14:textId="77777777" w:rsidR="00A67ED2" w:rsidRPr="00CD5E09" w:rsidRDefault="00A67ED2" w:rsidP="00A67ED2">
      <w:pPr>
        <w:ind w:left="640" w:hanging="640"/>
        <w:rPr>
          <w:noProof/>
          <w:lang w:val="en-US"/>
        </w:rPr>
      </w:pPr>
      <w:r w:rsidRPr="00CD5E09">
        <w:rPr>
          <w:noProof/>
          <w:lang w:val="en-US"/>
        </w:rPr>
        <w:t>68.</w:t>
      </w:r>
      <w:r w:rsidRPr="00CD5E09">
        <w:rPr>
          <w:noProof/>
          <w:lang w:val="en-US"/>
        </w:rPr>
        <w:tab/>
        <w:t>Eckert C. et al. Minimal residual disease after induction is the strongest predictor of prognosis in intermediate risk relapsed acute lymphoblastic leukaemia-Long-term results of trial ALL-REZ BFM P95/96 // Eur. J. Cancer. 2013. Vol. 49, № 6. P. 1346–1355.</w:t>
      </w:r>
    </w:p>
    <w:p w14:paraId="5F70FBE4" w14:textId="77777777" w:rsidR="00A67ED2" w:rsidRPr="00CD5E09" w:rsidRDefault="00A67ED2" w:rsidP="00A67ED2">
      <w:pPr>
        <w:ind w:left="640" w:hanging="640"/>
        <w:rPr>
          <w:noProof/>
          <w:lang w:val="en-US"/>
        </w:rPr>
      </w:pPr>
      <w:r w:rsidRPr="00CD5E09">
        <w:rPr>
          <w:noProof/>
          <w:lang w:val="en-US"/>
        </w:rPr>
        <w:t>69.</w:t>
      </w:r>
      <w:r w:rsidRPr="00CD5E09">
        <w:rPr>
          <w:noProof/>
          <w:lang w:val="en-US"/>
        </w:rPr>
        <w:tab/>
        <w:t>Beldjord K. et al. Oncogenetics and minimal residual disease are independent outcome predictors in adult patients with acute lymphoblastic leukemia // Blood. American Society of Hematology, 2014. Vol. 123, № 24. P. 3739–3749.</w:t>
      </w:r>
    </w:p>
    <w:p w14:paraId="0C7C4D25" w14:textId="77777777" w:rsidR="00A67ED2" w:rsidRPr="00CD5E09" w:rsidRDefault="00A67ED2" w:rsidP="00A67ED2">
      <w:pPr>
        <w:ind w:left="640" w:hanging="640"/>
        <w:rPr>
          <w:noProof/>
          <w:lang w:val="en-US"/>
        </w:rPr>
      </w:pPr>
      <w:r w:rsidRPr="00CD5E09">
        <w:rPr>
          <w:noProof/>
          <w:lang w:val="en-US"/>
        </w:rPr>
        <w:t>70.</w:t>
      </w:r>
      <w:r w:rsidRPr="00CD5E09">
        <w:rPr>
          <w:noProof/>
          <w:lang w:val="en-US"/>
        </w:rPr>
        <w:tab/>
        <w:t>Bassan R. et al. Improved risk classification for risk-specific therapy based on the molecular study of minimal residual disease (MRD) in adult acute lymphoblastic leukemia (ALL). // Blood. 2009. Vol. 113, № 18. P. 4153–4162.</w:t>
      </w:r>
    </w:p>
    <w:p w14:paraId="17A84CD3" w14:textId="77777777" w:rsidR="00A67ED2" w:rsidRPr="00CD5E09" w:rsidRDefault="00A67ED2" w:rsidP="00A67ED2">
      <w:pPr>
        <w:ind w:left="640" w:hanging="640"/>
        <w:rPr>
          <w:noProof/>
          <w:lang w:val="en-US"/>
        </w:rPr>
      </w:pPr>
      <w:r w:rsidRPr="00CD5E09">
        <w:rPr>
          <w:noProof/>
          <w:lang w:val="en-US"/>
        </w:rPr>
        <w:t>71.</w:t>
      </w:r>
      <w:r w:rsidRPr="00CD5E09">
        <w:rPr>
          <w:noProof/>
          <w:lang w:val="en-US"/>
        </w:rPr>
        <w:tab/>
        <w:t>Ribera J.M. et al. Treatment of high-risk Philadelphia chromosome-negative acute lymphoblastic leukemia in adolescents and adults according to early cytologic response and minimal residual disease after consolidation assessed by flow cytometry: Final results of the PETHEMA ALL-AR-03 trial // J. Clin. Oncol. American Society of Clinical Oncology, 2014. Vol. 32, № 15. P. 1595–1604.</w:t>
      </w:r>
    </w:p>
    <w:p w14:paraId="2E97FFF6" w14:textId="77777777" w:rsidR="00A67ED2" w:rsidRPr="00CD5E09" w:rsidRDefault="00A67ED2" w:rsidP="00A67ED2">
      <w:pPr>
        <w:ind w:left="640" w:hanging="640"/>
        <w:rPr>
          <w:noProof/>
          <w:lang w:val="en-US"/>
        </w:rPr>
      </w:pPr>
      <w:r w:rsidRPr="00CD5E09">
        <w:rPr>
          <w:noProof/>
          <w:lang w:val="en-US"/>
        </w:rPr>
        <w:t>72.</w:t>
      </w:r>
      <w:r w:rsidRPr="00CD5E09">
        <w:rPr>
          <w:noProof/>
          <w:lang w:val="en-US"/>
        </w:rPr>
        <w:tab/>
        <w:t>Flohr T. et al. Minimal residual disease-directed risk stratification using real-time quantitative PCR analysis of immunoglobulin and T-cell receptor gene rearrangements in the international multicenter trial AIEOP-BFM ALL 2000 for childhood acute lymphoblastic leukemia. // Leukemia. 2008. Vol. 22, № 4. P. 771–782.</w:t>
      </w:r>
    </w:p>
    <w:p w14:paraId="18435AE2" w14:textId="77777777" w:rsidR="00A67ED2" w:rsidRPr="00CD5E09" w:rsidRDefault="00A67ED2" w:rsidP="00A67ED2">
      <w:pPr>
        <w:ind w:left="640" w:hanging="640"/>
        <w:rPr>
          <w:noProof/>
          <w:lang w:val="en-US"/>
        </w:rPr>
      </w:pPr>
      <w:r w:rsidRPr="00CD5E09">
        <w:rPr>
          <w:noProof/>
          <w:lang w:val="en-US"/>
        </w:rPr>
        <w:t>73.</w:t>
      </w:r>
      <w:r w:rsidRPr="00CD5E09">
        <w:rPr>
          <w:noProof/>
          <w:lang w:val="en-US"/>
        </w:rPr>
        <w:tab/>
        <w:t xml:space="preserve">Topp M.S. et al. Phase II trial of the anti-CD19 bispecific T cell-engager blinatumomab </w:t>
      </w:r>
      <w:r w:rsidRPr="00CD5E09">
        <w:rPr>
          <w:noProof/>
          <w:lang w:val="en-US"/>
        </w:rPr>
        <w:lastRenderedPageBreak/>
        <w:t>shows hematologic and molecular remissions in patients with relapsed or refractory B-precursor acute lymphoblastic leukemia // J. Clin. Oncol. American Society of Clinical Oncology, 2014. Vol. 32, № 36. P. 4134–4140.</w:t>
      </w:r>
    </w:p>
    <w:p w14:paraId="6B0253C2" w14:textId="77777777" w:rsidR="00A67ED2" w:rsidRPr="00CD5E09" w:rsidRDefault="00A67ED2" w:rsidP="00A67ED2">
      <w:pPr>
        <w:ind w:left="640" w:hanging="640"/>
        <w:rPr>
          <w:noProof/>
          <w:lang w:val="en-US"/>
        </w:rPr>
      </w:pPr>
      <w:r w:rsidRPr="00CD5E09">
        <w:rPr>
          <w:noProof/>
          <w:lang w:val="en-US"/>
        </w:rPr>
        <w:t>74.</w:t>
      </w:r>
      <w:r w:rsidRPr="00CD5E09">
        <w:rPr>
          <w:noProof/>
          <w:lang w:val="en-US"/>
        </w:rPr>
        <w:tab/>
      </w:r>
      <w:r w:rsidRPr="00A67ED2">
        <w:rPr>
          <w:noProof/>
        </w:rPr>
        <w:t>Пшонкин</w:t>
      </w:r>
      <w:r w:rsidRPr="00CD5E09">
        <w:rPr>
          <w:noProof/>
          <w:lang w:val="en-US"/>
        </w:rPr>
        <w:t xml:space="preserve"> </w:t>
      </w:r>
      <w:r w:rsidRPr="00A67ED2">
        <w:rPr>
          <w:noProof/>
        </w:rPr>
        <w:t>А</w:t>
      </w:r>
      <w:r w:rsidRPr="00CD5E09">
        <w:rPr>
          <w:noProof/>
          <w:lang w:val="en-US"/>
        </w:rPr>
        <w:t>.</w:t>
      </w:r>
      <w:r w:rsidRPr="00A67ED2">
        <w:rPr>
          <w:noProof/>
        </w:rPr>
        <w:t>В</w:t>
      </w:r>
      <w:r w:rsidRPr="00CD5E09">
        <w:rPr>
          <w:noProof/>
          <w:lang w:val="en-US"/>
        </w:rPr>
        <w:t xml:space="preserve">. et al. </w:t>
      </w:r>
      <w:r w:rsidRPr="00A67ED2">
        <w:rPr>
          <w:noProof/>
        </w:rPr>
        <w:t xml:space="preserve">Лечение острого лимфобластного лейкоза у подростков и молодых взрослых: опыт Москва–Берлин. // Российский журнал детской гематологии и онкологии. </w:t>
      </w:r>
      <w:r w:rsidRPr="00CD5E09">
        <w:rPr>
          <w:noProof/>
          <w:lang w:val="en-US"/>
        </w:rPr>
        <w:t>2016. Vol. 3, № 1. P. 35–43.</w:t>
      </w:r>
    </w:p>
    <w:p w14:paraId="53543A81" w14:textId="77777777" w:rsidR="00A67ED2" w:rsidRPr="00CD5E09" w:rsidRDefault="00A67ED2" w:rsidP="00A67ED2">
      <w:pPr>
        <w:ind w:left="640" w:hanging="640"/>
        <w:rPr>
          <w:noProof/>
          <w:lang w:val="en-US"/>
        </w:rPr>
      </w:pPr>
      <w:r w:rsidRPr="00CD5E09">
        <w:rPr>
          <w:noProof/>
          <w:lang w:val="en-US"/>
        </w:rPr>
        <w:t>75.</w:t>
      </w:r>
      <w:r w:rsidRPr="00CD5E09">
        <w:rPr>
          <w:noProof/>
          <w:lang w:val="en-US"/>
        </w:rPr>
        <w:tab/>
        <w:t>Hoelzer D. et al. Acute lymphoblastic leukemia. // Hematol. Am. Soc. Hematol. Educ. Progr. 2002. P. 162–192.</w:t>
      </w:r>
    </w:p>
    <w:p w14:paraId="6155389C" w14:textId="77777777" w:rsidR="00A67ED2" w:rsidRPr="00CD5E09" w:rsidRDefault="00A67ED2" w:rsidP="00A67ED2">
      <w:pPr>
        <w:ind w:left="640" w:hanging="640"/>
        <w:rPr>
          <w:noProof/>
          <w:lang w:val="en-US"/>
        </w:rPr>
      </w:pPr>
      <w:r w:rsidRPr="00CD5E09">
        <w:rPr>
          <w:noProof/>
          <w:lang w:val="en-US"/>
        </w:rPr>
        <w:t>76.</w:t>
      </w:r>
      <w:r w:rsidRPr="00CD5E09">
        <w:rPr>
          <w:noProof/>
          <w:lang w:val="en-US"/>
        </w:rPr>
        <w:tab/>
        <w:t>Huguet F. et al. Pediatric-inspired therapy in adults with philadelphia chromosome-negative acute lymphoblastic leukemia: The GRAALL-2003 study // J. Clin. Oncol. 2009. Vol. 27, № 6. P. 911–918.</w:t>
      </w:r>
    </w:p>
    <w:p w14:paraId="1D699908" w14:textId="77777777" w:rsidR="00A67ED2" w:rsidRPr="00CD5E09" w:rsidRDefault="00A67ED2" w:rsidP="00A67ED2">
      <w:pPr>
        <w:ind w:left="640" w:hanging="640"/>
        <w:rPr>
          <w:noProof/>
          <w:lang w:val="en-US"/>
        </w:rPr>
      </w:pPr>
      <w:r w:rsidRPr="00CD5E09">
        <w:rPr>
          <w:noProof/>
          <w:lang w:val="en-US"/>
        </w:rPr>
        <w:t>77.</w:t>
      </w:r>
      <w:r w:rsidRPr="00CD5E09">
        <w:rPr>
          <w:noProof/>
          <w:lang w:val="en-US"/>
        </w:rPr>
        <w:tab/>
        <w:t>Gökbuget N. et al. Treatment of Adult ALL According to Protocols of the German Multicenter Study Group for Adult ALL (GMALL) // Acute Leukemias. Springer Berlin Heidelberg, 2007. P. 167–176.</w:t>
      </w:r>
    </w:p>
    <w:p w14:paraId="77209202" w14:textId="77777777" w:rsidR="00A67ED2" w:rsidRPr="00CD5E09" w:rsidRDefault="00A67ED2" w:rsidP="00A67ED2">
      <w:pPr>
        <w:ind w:left="640" w:hanging="640"/>
        <w:rPr>
          <w:noProof/>
          <w:lang w:val="en-US"/>
        </w:rPr>
      </w:pPr>
      <w:r w:rsidRPr="00CD5E09">
        <w:rPr>
          <w:noProof/>
          <w:lang w:val="en-US"/>
        </w:rPr>
        <w:t>78.</w:t>
      </w:r>
      <w:r w:rsidRPr="00CD5E09">
        <w:rPr>
          <w:noProof/>
          <w:lang w:val="en-US"/>
        </w:rPr>
        <w:tab/>
        <w:t>Acute Lymphoblastic Leukemia and Lymphoblastic Page 1 of 8 Lymphoma (ALL) – Adult // The University of Texas MD Anderson Cancer Center. 2019.</w:t>
      </w:r>
    </w:p>
    <w:p w14:paraId="378E4938" w14:textId="77777777" w:rsidR="00A67ED2" w:rsidRPr="00CD5E09" w:rsidRDefault="00A67ED2" w:rsidP="00A67ED2">
      <w:pPr>
        <w:ind w:left="640" w:hanging="640"/>
        <w:rPr>
          <w:noProof/>
          <w:lang w:val="en-US"/>
        </w:rPr>
      </w:pPr>
      <w:r w:rsidRPr="00CD5E09">
        <w:rPr>
          <w:noProof/>
          <w:lang w:val="en-US"/>
        </w:rPr>
        <w:t>79.</w:t>
      </w:r>
      <w:r w:rsidRPr="00CD5E09">
        <w:rPr>
          <w:noProof/>
          <w:lang w:val="en-US"/>
        </w:rPr>
        <w:tab/>
        <w:t>Pui C.H., Evans W.E. Treatment of acute lymphoblastic leukemia // New England Journal of Medicine. 2006. Vol. 354, № 2. P. 166–178.</w:t>
      </w:r>
    </w:p>
    <w:p w14:paraId="689BB1CC" w14:textId="77777777" w:rsidR="00A67ED2" w:rsidRPr="00CD5E09" w:rsidRDefault="00A67ED2" w:rsidP="00A67ED2">
      <w:pPr>
        <w:ind w:left="640" w:hanging="640"/>
        <w:rPr>
          <w:noProof/>
          <w:lang w:val="en-US"/>
        </w:rPr>
      </w:pPr>
      <w:r w:rsidRPr="00CD5E09">
        <w:rPr>
          <w:noProof/>
          <w:lang w:val="en-US"/>
        </w:rPr>
        <w:t>80.</w:t>
      </w:r>
      <w:r w:rsidRPr="00CD5E09">
        <w:rPr>
          <w:noProof/>
          <w:lang w:val="en-US"/>
        </w:rPr>
        <w:tab/>
        <w:t>Inaba H., Pui C.-H. Glucocorticoid use in acute lymphoblastic leukemia: comparison of prednisone and dexamethasone // Lancet Oncol. 2012. Vol. 11, № 11. P. 1096–1106.</w:t>
      </w:r>
    </w:p>
    <w:p w14:paraId="3800D1C0" w14:textId="77777777" w:rsidR="00A67ED2" w:rsidRPr="00CD5E09" w:rsidRDefault="00A67ED2" w:rsidP="00A67ED2">
      <w:pPr>
        <w:ind w:left="640" w:hanging="640"/>
        <w:rPr>
          <w:noProof/>
          <w:lang w:val="en-US"/>
        </w:rPr>
      </w:pPr>
      <w:r w:rsidRPr="00CD5E09">
        <w:rPr>
          <w:noProof/>
          <w:lang w:val="en-US"/>
        </w:rPr>
        <w:t>81.</w:t>
      </w:r>
      <w:r w:rsidRPr="00CD5E09">
        <w:rPr>
          <w:noProof/>
          <w:lang w:val="en-US"/>
        </w:rPr>
        <w:tab/>
        <w:t>Sawalha Y., Advani A.S. Management of older adults with acute lymphoblastic leukemia: challenges &amp; current approaches. // Int. J. Hematol. Oncol. 2018. Vol. 7, № 1. P. IJH02.</w:t>
      </w:r>
    </w:p>
    <w:p w14:paraId="127B8925" w14:textId="77777777" w:rsidR="00A67ED2" w:rsidRPr="00A67ED2" w:rsidRDefault="00A67ED2" w:rsidP="00A67ED2">
      <w:pPr>
        <w:ind w:left="640" w:hanging="640"/>
        <w:rPr>
          <w:noProof/>
        </w:rPr>
      </w:pPr>
      <w:r w:rsidRPr="00CD5E09">
        <w:rPr>
          <w:noProof/>
          <w:lang w:val="en-US"/>
        </w:rPr>
        <w:t>82.</w:t>
      </w:r>
      <w:r w:rsidRPr="00CD5E09">
        <w:rPr>
          <w:noProof/>
          <w:lang w:val="en-US"/>
        </w:rPr>
        <w:tab/>
        <w:t xml:space="preserve">Wetzler M. et al. Autologous transplantation for Philadelphia chromosome-positive acute lymphoblastic leukemia achieves outcomes similar to allogeneic transplantation: Results of CALGB study 10001 (alliance) // Haematologica. </w:t>
      </w:r>
      <w:r w:rsidRPr="00A67ED2">
        <w:rPr>
          <w:noProof/>
        </w:rPr>
        <w:t>2014. Vol. 99, № 1. P. 111–115.</w:t>
      </w:r>
    </w:p>
    <w:p w14:paraId="2849147A" w14:textId="77777777" w:rsidR="00A67ED2" w:rsidRPr="00CD5E09" w:rsidRDefault="00A67ED2" w:rsidP="00A67ED2">
      <w:pPr>
        <w:ind w:left="640" w:hanging="640"/>
        <w:rPr>
          <w:noProof/>
          <w:lang w:val="en-US"/>
        </w:rPr>
      </w:pPr>
      <w:r w:rsidRPr="00A67ED2">
        <w:rPr>
          <w:noProof/>
        </w:rPr>
        <w:t>83.</w:t>
      </w:r>
      <w:r w:rsidRPr="00A67ED2">
        <w:rPr>
          <w:noProof/>
        </w:rPr>
        <w:tab/>
        <w:t xml:space="preserve">Гаврилина О.А. et al. Результаты ретроспективного многоцентрового исследования терапии Ph-позитивных острых лимфобластных лейкозов по протоколам российской исследовательской группы // Гематология и трансфузиология. </w:t>
      </w:r>
      <w:r w:rsidRPr="00CD5E09">
        <w:rPr>
          <w:noProof/>
          <w:lang w:val="en-US"/>
        </w:rPr>
        <w:t>2017. Vol. 62, № 4. P. 172–180.</w:t>
      </w:r>
    </w:p>
    <w:p w14:paraId="16A36377" w14:textId="77777777" w:rsidR="00A67ED2" w:rsidRPr="00CD5E09" w:rsidRDefault="00A67ED2" w:rsidP="00A67ED2">
      <w:pPr>
        <w:ind w:left="640" w:hanging="640"/>
        <w:rPr>
          <w:noProof/>
          <w:lang w:val="en-US"/>
        </w:rPr>
      </w:pPr>
      <w:r w:rsidRPr="00CD5E09">
        <w:rPr>
          <w:noProof/>
          <w:lang w:val="en-US"/>
        </w:rPr>
        <w:t>84.</w:t>
      </w:r>
      <w:r w:rsidRPr="00CD5E09">
        <w:rPr>
          <w:noProof/>
          <w:lang w:val="en-US"/>
        </w:rPr>
        <w:tab/>
        <w:t>Blackburn L.M. et al. Leukostasis: Management to prevent crisis in acute leukemia // Clin. J. Oncol. Nurs. Oncology Nursing Society, 2017. Vol. 21, № 6. P. E267–E271.</w:t>
      </w:r>
    </w:p>
    <w:p w14:paraId="152B893A" w14:textId="77777777" w:rsidR="00A67ED2" w:rsidRPr="00A67ED2" w:rsidRDefault="00A67ED2" w:rsidP="00A67ED2">
      <w:pPr>
        <w:ind w:left="640" w:hanging="640"/>
        <w:rPr>
          <w:noProof/>
        </w:rPr>
      </w:pPr>
      <w:r w:rsidRPr="00CD5E09">
        <w:rPr>
          <w:noProof/>
          <w:lang w:val="en-US"/>
        </w:rPr>
        <w:t>85.</w:t>
      </w:r>
      <w:r w:rsidRPr="00CD5E09">
        <w:rPr>
          <w:noProof/>
          <w:lang w:val="en-US"/>
        </w:rPr>
        <w:tab/>
        <w:t xml:space="preserve">Ali R. et al. Maternal and fetal outcomes in pregnancy complicated with acute leukemia: a single institutional experience with 10 pregnancies at 16 years. // Leuk. Res. 2003. </w:t>
      </w:r>
      <w:r w:rsidRPr="00A67ED2">
        <w:rPr>
          <w:noProof/>
        </w:rPr>
        <w:t>Vol. 27, № 5. P. 381–385.</w:t>
      </w:r>
    </w:p>
    <w:p w14:paraId="423C2400" w14:textId="77777777" w:rsidR="00A67ED2" w:rsidRPr="00CD5E09" w:rsidRDefault="00A67ED2" w:rsidP="00A67ED2">
      <w:pPr>
        <w:ind w:left="640" w:hanging="640"/>
        <w:rPr>
          <w:noProof/>
          <w:lang w:val="en-US"/>
        </w:rPr>
      </w:pPr>
      <w:r w:rsidRPr="00A67ED2">
        <w:rPr>
          <w:noProof/>
        </w:rPr>
        <w:lastRenderedPageBreak/>
        <w:t>86.</w:t>
      </w:r>
      <w:r w:rsidRPr="00A67ED2">
        <w:rPr>
          <w:noProof/>
        </w:rPr>
        <w:tab/>
        <w:t xml:space="preserve">Троицкая В.В. et al. Лечение острых лимфобластных лейкозов у беременных по протоколу ОЛЛ-2009 // Гематология и трансфузиология. </w:t>
      </w:r>
      <w:r w:rsidRPr="00CD5E09">
        <w:rPr>
          <w:noProof/>
          <w:lang w:val="en-US"/>
        </w:rPr>
        <w:t>2018. Vol. 63, № 3. P. 209–230.</w:t>
      </w:r>
    </w:p>
    <w:p w14:paraId="183DFB1B" w14:textId="77777777" w:rsidR="00A67ED2" w:rsidRPr="00CD5E09" w:rsidRDefault="00A67ED2" w:rsidP="00A67ED2">
      <w:pPr>
        <w:ind w:left="640" w:hanging="640"/>
        <w:rPr>
          <w:noProof/>
          <w:lang w:val="en-US"/>
        </w:rPr>
      </w:pPr>
      <w:r w:rsidRPr="00CD5E09">
        <w:rPr>
          <w:noProof/>
          <w:lang w:val="en-US"/>
        </w:rPr>
        <w:t>87.</w:t>
      </w:r>
      <w:r w:rsidRPr="00CD5E09">
        <w:rPr>
          <w:noProof/>
          <w:lang w:val="en-US"/>
        </w:rPr>
        <w:tab/>
        <w:t>Vlijm-Kievit A. et al. Acute lymphoblastic leukemia during the third trimester of pregnancy // Leuk. Lymphoma. 2018. Vol. 59, № 5. P. 1274–1276.</w:t>
      </w:r>
    </w:p>
    <w:p w14:paraId="1CD6EBE4" w14:textId="77777777" w:rsidR="00A67ED2" w:rsidRPr="00CD5E09" w:rsidRDefault="00A67ED2" w:rsidP="00A67ED2">
      <w:pPr>
        <w:ind w:left="640" w:hanging="640"/>
        <w:rPr>
          <w:noProof/>
          <w:lang w:val="en-US"/>
        </w:rPr>
      </w:pPr>
      <w:r w:rsidRPr="00CD5E09">
        <w:rPr>
          <w:noProof/>
          <w:lang w:val="en-US"/>
        </w:rPr>
        <w:t>88.</w:t>
      </w:r>
      <w:r w:rsidRPr="00CD5E09">
        <w:rPr>
          <w:noProof/>
          <w:lang w:val="en-US"/>
        </w:rPr>
        <w:tab/>
        <w:t>Mainor C.B. et al. Treatment of Philadelphia chromosome-positive acute lymphoblastic leukemia in pregnancy // J. Oncol. Pharm. Pract. SAGE Publications Ltd, 2016. Vol. 22, № 2. P. 374–377.</w:t>
      </w:r>
    </w:p>
    <w:p w14:paraId="7C243C54" w14:textId="77777777" w:rsidR="00A67ED2" w:rsidRPr="00CD5E09" w:rsidRDefault="00A67ED2" w:rsidP="00A67ED2">
      <w:pPr>
        <w:ind w:left="640" w:hanging="640"/>
        <w:rPr>
          <w:noProof/>
          <w:lang w:val="en-US"/>
        </w:rPr>
      </w:pPr>
      <w:r w:rsidRPr="00CD5E09">
        <w:rPr>
          <w:noProof/>
          <w:lang w:val="en-US"/>
        </w:rPr>
        <w:t>89.</w:t>
      </w:r>
      <w:r w:rsidRPr="00CD5E09">
        <w:rPr>
          <w:noProof/>
          <w:lang w:val="en-US"/>
        </w:rPr>
        <w:tab/>
        <w:t>Kemp M.W. et al. The clinical use of corticosteroids in pregnancy // Human Reproduction Update. Oxford University Press, 2016. Vol. 22, № 2. P. 240–259.</w:t>
      </w:r>
    </w:p>
    <w:p w14:paraId="152B4CB1" w14:textId="77777777" w:rsidR="00A67ED2" w:rsidRPr="00CD5E09" w:rsidRDefault="00A67ED2" w:rsidP="00A67ED2">
      <w:pPr>
        <w:ind w:left="640" w:hanging="640"/>
        <w:rPr>
          <w:noProof/>
          <w:lang w:val="en-US"/>
        </w:rPr>
      </w:pPr>
      <w:r w:rsidRPr="00CD5E09">
        <w:rPr>
          <w:noProof/>
          <w:lang w:val="en-US"/>
        </w:rPr>
        <w:t>90.</w:t>
      </w:r>
      <w:r w:rsidRPr="00CD5E09">
        <w:rPr>
          <w:noProof/>
          <w:lang w:val="en-US"/>
        </w:rPr>
        <w:tab/>
        <w:t>Zaidi A. et al. Management of Concurrent Pregnancy and Acute Lymphoblastic Malignancy in Teenaged Patients: Two Illustrative Cases and Review of the Literature // J. Adolesc. Young Adult Oncol. Mary Ann Liebert Inc, 2014. Vol. 3, № 4. P. 160–175.</w:t>
      </w:r>
    </w:p>
    <w:p w14:paraId="3929E49D" w14:textId="77777777" w:rsidR="00A67ED2" w:rsidRPr="00A67ED2" w:rsidRDefault="00A67ED2" w:rsidP="00A67ED2">
      <w:pPr>
        <w:ind w:left="640" w:hanging="640"/>
        <w:rPr>
          <w:noProof/>
        </w:rPr>
      </w:pPr>
      <w:r w:rsidRPr="00CD5E09">
        <w:rPr>
          <w:noProof/>
          <w:lang w:val="en-US"/>
        </w:rPr>
        <w:t>91.</w:t>
      </w:r>
      <w:r w:rsidRPr="00CD5E09">
        <w:rPr>
          <w:noProof/>
          <w:lang w:val="en-US"/>
        </w:rPr>
        <w:tab/>
        <w:t xml:space="preserve">Van Veen J.J., Nokes T.J., Makris M. The risk of spinal haematoma following neuraxial anaesthesia or lumbar puncture in thrombocytopenic individuals // British Journal of Haematology. </w:t>
      </w:r>
      <w:r w:rsidRPr="00A67ED2">
        <w:rPr>
          <w:noProof/>
        </w:rPr>
        <w:t>John Wiley &amp; Sons, Ltd, 2010. Vol. 148, № 1. P. 15–25.</w:t>
      </w:r>
    </w:p>
    <w:p w14:paraId="17342B5C" w14:textId="77777777" w:rsidR="00A67ED2" w:rsidRPr="00CD5E09" w:rsidRDefault="00A67ED2" w:rsidP="00A67ED2">
      <w:pPr>
        <w:ind w:left="640" w:hanging="640"/>
        <w:rPr>
          <w:noProof/>
          <w:lang w:val="en-US"/>
        </w:rPr>
      </w:pPr>
      <w:r w:rsidRPr="00A67ED2">
        <w:rPr>
          <w:noProof/>
        </w:rPr>
        <w:t>92.</w:t>
      </w:r>
      <w:r w:rsidRPr="00A67ED2">
        <w:rPr>
          <w:noProof/>
        </w:rPr>
        <w:tab/>
        <w:t xml:space="preserve">Преждевременные роды. Клинические рекомендации (протокол лечения). </w:t>
      </w:r>
      <w:r w:rsidRPr="00CD5E09">
        <w:rPr>
          <w:noProof/>
          <w:lang w:val="en-US"/>
        </w:rPr>
        <w:t>2013. P. 20.</w:t>
      </w:r>
    </w:p>
    <w:p w14:paraId="47703779" w14:textId="77777777" w:rsidR="00A67ED2" w:rsidRPr="00CD5E09" w:rsidRDefault="00A67ED2" w:rsidP="00A67ED2">
      <w:pPr>
        <w:ind w:left="640" w:hanging="640"/>
        <w:rPr>
          <w:noProof/>
          <w:lang w:val="en-US"/>
        </w:rPr>
      </w:pPr>
      <w:r w:rsidRPr="00CD5E09">
        <w:rPr>
          <w:noProof/>
          <w:lang w:val="en-US"/>
        </w:rPr>
        <w:t>93.</w:t>
      </w:r>
      <w:r w:rsidRPr="00CD5E09">
        <w:rPr>
          <w:noProof/>
          <w:lang w:val="en-US"/>
        </w:rPr>
        <w:tab/>
        <w:t>Rizzari C. et al. Outcome of very late relapse in children with acute lymphoblastic leukemia // Haematologica. 2004. Vol. 89, № 4. P. 427–434.</w:t>
      </w:r>
    </w:p>
    <w:p w14:paraId="370CE8A3" w14:textId="77777777" w:rsidR="00A67ED2" w:rsidRPr="00CD5E09" w:rsidRDefault="00A67ED2" w:rsidP="00A67ED2">
      <w:pPr>
        <w:ind w:left="640" w:hanging="640"/>
        <w:rPr>
          <w:noProof/>
          <w:lang w:val="en-US"/>
        </w:rPr>
      </w:pPr>
      <w:r w:rsidRPr="00CD5E09">
        <w:rPr>
          <w:noProof/>
          <w:lang w:val="en-US"/>
        </w:rPr>
        <w:t>94.</w:t>
      </w:r>
      <w:r w:rsidRPr="00CD5E09">
        <w:rPr>
          <w:noProof/>
          <w:lang w:val="en-US"/>
        </w:rPr>
        <w:tab/>
        <w:t>Zhao J. et al. Treatment of refractory/relapsed adult acute lymphoblastic leukemia with bortezomib-based chemotherapy. // Int. J. Gen. Med. 2015. Vol. 8. P. 211–214.</w:t>
      </w:r>
    </w:p>
    <w:p w14:paraId="05457A3A" w14:textId="77777777" w:rsidR="00A67ED2" w:rsidRPr="00CD5E09" w:rsidRDefault="00A67ED2" w:rsidP="00A67ED2">
      <w:pPr>
        <w:ind w:left="640" w:hanging="640"/>
        <w:rPr>
          <w:noProof/>
          <w:lang w:val="en-US"/>
        </w:rPr>
      </w:pPr>
      <w:r w:rsidRPr="00CD5E09">
        <w:rPr>
          <w:noProof/>
          <w:lang w:val="en-US"/>
        </w:rPr>
        <w:t>95.</w:t>
      </w:r>
      <w:r w:rsidRPr="00CD5E09">
        <w:rPr>
          <w:noProof/>
          <w:lang w:val="en-US"/>
        </w:rPr>
        <w:tab/>
        <w:t>Jaime-Perez J.C. et al. Efficacy of mitoxantrone as frontline anthracycline during induction therapy in adults with newly diagnosed acute lymphoblastic leukemia: A single-center experience // Leuk. Lymphoma. Taylor and Francis Ltd, 2015. Vol. 56, № 9. P. 2524–2528.</w:t>
      </w:r>
    </w:p>
    <w:p w14:paraId="556EC1B6" w14:textId="77777777" w:rsidR="00A67ED2" w:rsidRPr="00CD5E09" w:rsidRDefault="00A67ED2" w:rsidP="00A67ED2">
      <w:pPr>
        <w:ind w:left="640" w:hanging="640"/>
        <w:rPr>
          <w:noProof/>
          <w:lang w:val="en-US"/>
        </w:rPr>
      </w:pPr>
      <w:r w:rsidRPr="00CD5E09">
        <w:rPr>
          <w:noProof/>
          <w:lang w:val="en-US"/>
        </w:rPr>
        <w:t>96.</w:t>
      </w:r>
      <w:r w:rsidRPr="00CD5E09">
        <w:rPr>
          <w:noProof/>
          <w:lang w:val="en-US"/>
        </w:rPr>
        <w:tab/>
        <w:t>Luskin M.R. et al. Nelarabine, cyclosphosphamide and etoposide for adults with relapsed T-cell acute lymphoblastic leukaemia and lymphoma // British Journal of Haematology. Blackwell Publishing Ltd, 2016. Vol. 174, № 2. P. 332–334.</w:t>
      </w:r>
    </w:p>
    <w:p w14:paraId="150A3744" w14:textId="77777777" w:rsidR="00A67ED2" w:rsidRPr="00CD5E09" w:rsidRDefault="00A67ED2" w:rsidP="00A67ED2">
      <w:pPr>
        <w:ind w:left="640" w:hanging="640"/>
        <w:rPr>
          <w:noProof/>
          <w:lang w:val="en-US"/>
        </w:rPr>
      </w:pPr>
      <w:r w:rsidRPr="00CD5E09">
        <w:rPr>
          <w:noProof/>
          <w:lang w:val="en-US"/>
        </w:rPr>
        <w:t>97.</w:t>
      </w:r>
      <w:r w:rsidRPr="00CD5E09">
        <w:rPr>
          <w:noProof/>
          <w:lang w:val="en-US"/>
        </w:rPr>
        <w:tab/>
        <w:t>Peirs S. et al. Targeting BET proteins improves the therapeutic efficacy of BCL-2 inhibition in T-cell acute lymphoblastic leukemia. // Leukemia. 2017. Vol. 31, № 10. P. 2037–2047.</w:t>
      </w:r>
    </w:p>
    <w:p w14:paraId="43F6DE81" w14:textId="77777777" w:rsidR="00A67ED2" w:rsidRPr="00CD5E09" w:rsidRDefault="00A67ED2" w:rsidP="00A67ED2">
      <w:pPr>
        <w:ind w:left="640" w:hanging="640"/>
        <w:rPr>
          <w:noProof/>
          <w:lang w:val="en-US"/>
        </w:rPr>
      </w:pPr>
      <w:r w:rsidRPr="00CD5E09">
        <w:rPr>
          <w:noProof/>
          <w:lang w:val="en-US"/>
        </w:rPr>
        <w:t>98.</w:t>
      </w:r>
      <w:r w:rsidRPr="00CD5E09">
        <w:rPr>
          <w:noProof/>
          <w:lang w:val="en-US"/>
        </w:rPr>
        <w:tab/>
        <w:t>Ribera J.M. et al. Comparison of the results of the treatment of adolescents and young adults with standard-risk acute lymphoblastic leukemia with the programa Español de tratamiento en hematología pediatric-based protocol ALL-96 // J. Clin. Oncol. 2008. Vol. 26, № 11. P. 1843–1849.</w:t>
      </w:r>
    </w:p>
    <w:p w14:paraId="70C2DA8B" w14:textId="77777777" w:rsidR="00A67ED2" w:rsidRPr="00CD5E09" w:rsidRDefault="00A67ED2" w:rsidP="00A67ED2">
      <w:pPr>
        <w:ind w:left="640" w:hanging="640"/>
        <w:rPr>
          <w:noProof/>
          <w:lang w:val="en-US"/>
        </w:rPr>
      </w:pPr>
      <w:r w:rsidRPr="00CD5E09">
        <w:rPr>
          <w:noProof/>
          <w:lang w:val="en-US"/>
        </w:rPr>
        <w:t>99.</w:t>
      </w:r>
      <w:r w:rsidRPr="00CD5E09">
        <w:rPr>
          <w:noProof/>
          <w:lang w:val="en-US"/>
        </w:rPr>
        <w:tab/>
        <w:t xml:space="preserve">Snyder D.S. Allogeneic stem cell transplantation for Philadelphia chromosome-positive </w:t>
      </w:r>
      <w:r w:rsidRPr="00CD5E09">
        <w:rPr>
          <w:noProof/>
          <w:lang w:val="en-US"/>
        </w:rPr>
        <w:lastRenderedPageBreak/>
        <w:t>acute lymphoblastic leukemia. // Biol. Blood Marrow Transplant. 2000. Vol. 6, № 6. P. 597–603.</w:t>
      </w:r>
    </w:p>
    <w:p w14:paraId="7E4704F9" w14:textId="77777777" w:rsidR="00A67ED2" w:rsidRPr="00CD5E09" w:rsidRDefault="00A67ED2" w:rsidP="00A67ED2">
      <w:pPr>
        <w:ind w:left="640" w:hanging="640"/>
        <w:rPr>
          <w:noProof/>
          <w:lang w:val="en-US"/>
        </w:rPr>
      </w:pPr>
      <w:r w:rsidRPr="00CD5E09">
        <w:rPr>
          <w:noProof/>
          <w:lang w:val="en-US"/>
        </w:rPr>
        <w:t>100.</w:t>
      </w:r>
      <w:r w:rsidRPr="00CD5E09">
        <w:rPr>
          <w:noProof/>
          <w:lang w:val="en-US"/>
        </w:rPr>
        <w:tab/>
        <w:t>Fielding A.K. et al. Outcome of 609 adults after relapse of acute lymphoblastic leukemia (ALL); an MRC UKALL12/ECOG 2993 study // Blood. 2007. Vol. 109, № 3. P. 944–950.</w:t>
      </w:r>
    </w:p>
    <w:p w14:paraId="0596B5AD" w14:textId="77777777" w:rsidR="00A67ED2" w:rsidRPr="00CD5E09" w:rsidRDefault="00A67ED2" w:rsidP="00A67ED2">
      <w:pPr>
        <w:ind w:left="640" w:hanging="640"/>
        <w:rPr>
          <w:noProof/>
          <w:lang w:val="en-US"/>
        </w:rPr>
      </w:pPr>
      <w:r w:rsidRPr="00CD5E09">
        <w:rPr>
          <w:noProof/>
          <w:lang w:val="en-US"/>
        </w:rPr>
        <w:t>101.</w:t>
      </w:r>
      <w:r w:rsidRPr="00CD5E09">
        <w:rPr>
          <w:noProof/>
          <w:lang w:val="en-US"/>
        </w:rPr>
        <w:tab/>
        <w:t>Oriol A. et al. Outcome after relapse of acute lymphoblastic leukemia in adult patients included in four consecutive risk-adapted trials by the PETHEMA Study Group. // Haematologica. 2010. Vol. 95, № 4. P. 589–596.</w:t>
      </w:r>
    </w:p>
    <w:p w14:paraId="01C47303" w14:textId="77777777" w:rsidR="00A67ED2" w:rsidRPr="00CD5E09" w:rsidRDefault="00A67ED2" w:rsidP="00A67ED2">
      <w:pPr>
        <w:ind w:left="640" w:hanging="640"/>
        <w:rPr>
          <w:noProof/>
          <w:lang w:val="en-US"/>
        </w:rPr>
      </w:pPr>
      <w:r w:rsidRPr="00CD5E09">
        <w:rPr>
          <w:noProof/>
          <w:lang w:val="en-US"/>
        </w:rPr>
        <w:t>102.</w:t>
      </w:r>
      <w:r w:rsidRPr="00CD5E09">
        <w:rPr>
          <w:noProof/>
          <w:lang w:val="en-US"/>
        </w:rPr>
        <w:tab/>
        <w:t>Lau T.K.H., Yip C.H.W., Yeo W. State of the Art Antiemetic Therapy for Cancer Patients. // Curr. Oncol. Rep. 2016. Vol. 18, № 1. P. 2.</w:t>
      </w:r>
    </w:p>
    <w:p w14:paraId="687CE04D" w14:textId="77777777" w:rsidR="00A67ED2" w:rsidRPr="00CD5E09" w:rsidRDefault="00A67ED2" w:rsidP="00A67ED2">
      <w:pPr>
        <w:ind w:left="640" w:hanging="640"/>
        <w:rPr>
          <w:noProof/>
          <w:lang w:val="en-US"/>
        </w:rPr>
      </w:pPr>
      <w:r w:rsidRPr="00CD5E09">
        <w:rPr>
          <w:noProof/>
          <w:lang w:val="en-US"/>
        </w:rPr>
        <w:t>103.</w:t>
      </w:r>
      <w:r w:rsidRPr="00CD5E09">
        <w:rPr>
          <w:noProof/>
          <w:lang w:val="en-US"/>
        </w:rPr>
        <w:tab/>
        <w:t>Alkayed K., Al Hmood A., Madanat F. Prognostic effect of blood transfusion in children with acute lymphoblastic leukemia. // Blood Res. 2013. Vol. 48, № 2. P. 133–138.</w:t>
      </w:r>
    </w:p>
    <w:p w14:paraId="19B5DC3E" w14:textId="77777777" w:rsidR="00A67ED2" w:rsidRPr="00CD5E09" w:rsidRDefault="00A67ED2" w:rsidP="00A67ED2">
      <w:pPr>
        <w:ind w:left="640" w:hanging="640"/>
        <w:rPr>
          <w:noProof/>
          <w:lang w:val="en-US"/>
        </w:rPr>
      </w:pPr>
      <w:r w:rsidRPr="00CD5E09">
        <w:rPr>
          <w:noProof/>
          <w:lang w:val="en-US"/>
        </w:rPr>
        <w:t>104.</w:t>
      </w:r>
      <w:r w:rsidRPr="00CD5E09">
        <w:rPr>
          <w:noProof/>
          <w:lang w:val="en-US"/>
        </w:rPr>
        <w:tab/>
        <w:t>Blumberg N. et al. Platelet transfusion and survival in adults with acute leukemia // Leukemia. Nature Publishing Group, 2008. Vol. 22, № 3. P. 631–635.</w:t>
      </w:r>
    </w:p>
    <w:p w14:paraId="70CF0113" w14:textId="77777777" w:rsidR="00A67ED2" w:rsidRPr="00A67ED2" w:rsidRDefault="00A67ED2" w:rsidP="00A67ED2">
      <w:pPr>
        <w:ind w:left="640" w:hanging="640"/>
        <w:rPr>
          <w:noProof/>
        </w:rPr>
      </w:pPr>
      <w:r w:rsidRPr="00CD5E09">
        <w:rPr>
          <w:noProof/>
          <w:lang w:val="en-US"/>
        </w:rPr>
        <w:t>105.</w:t>
      </w:r>
      <w:r w:rsidRPr="00CD5E09">
        <w:rPr>
          <w:noProof/>
          <w:lang w:val="en-US"/>
        </w:rPr>
        <w:tab/>
        <w:t xml:space="preserve">Farrell K. et al. An antithrombin replacement strategy during asparaginase therapy for acute lymphoblastic leukemia is associated with a reduction in thrombotic events // Leuk. </w:t>
      </w:r>
      <w:r w:rsidRPr="00A67ED2">
        <w:rPr>
          <w:noProof/>
        </w:rPr>
        <w:t>Lymphoma. Taylor and Francis Ltd, 2016. Vol. 57, № 11. P. 2568–2574.</w:t>
      </w:r>
    </w:p>
    <w:p w14:paraId="50692BD7" w14:textId="77777777" w:rsidR="00A67ED2" w:rsidRPr="00CD5E09" w:rsidRDefault="00A67ED2" w:rsidP="00A67ED2">
      <w:pPr>
        <w:ind w:left="640" w:hanging="640"/>
        <w:rPr>
          <w:noProof/>
          <w:lang w:val="en-US"/>
        </w:rPr>
      </w:pPr>
      <w:r w:rsidRPr="00A67ED2">
        <w:rPr>
          <w:noProof/>
        </w:rPr>
        <w:t>106.</w:t>
      </w:r>
      <w:r w:rsidRPr="00A67ED2">
        <w:rPr>
          <w:noProof/>
        </w:rPr>
        <w:tab/>
        <w:t xml:space="preserve">Бокерия Л.А., Затевахин И.И., Кириенко А.И. Российские клинические рекомендации по диагностике, лечению и профилактике венозных тромбоэмболических осложнений (ВТЭО). // Флебология. </w:t>
      </w:r>
      <w:r w:rsidRPr="00CD5E09">
        <w:rPr>
          <w:noProof/>
          <w:lang w:val="en-US"/>
        </w:rPr>
        <w:t>2015. Vol. 4, № 2. P. 3–52.</w:t>
      </w:r>
    </w:p>
    <w:p w14:paraId="6DC3AD58" w14:textId="77777777" w:rsidR="00A67ED2" w:rsidRPr="00CD5E09" w:rsidRDefault="00A67ED2" w:rsidP="00A67ED2">
      <w:pPr>
        <w:ind w:left="640" w:hanging="640"/>
        <w:rPr>
          <w:noProof/>
          <w:lang w:val="en-US"/>
        </w:rPr>
      </w:pPr>
      <w:r w:rsidRPr="00CD5E09">
        <w:rPr>
          <w:noProof/>
          <w:lang w:val="en-US"/>
        </w:rPr>
        <w:t>107.</w:t>
      </w:r>
      <w:r w:rsidRPr="00CD5E09">
        <w:rPr>
          <w:noProof/>
          <w:lang w:val="en-US"/>
        </w:rPr>
        <w:tab/>
        <w:t>Ueda M. et al. Immunoglobulin therapy in hematologic neoplasms and after hematopoietic cell transplantation. // Blood Rev. 2018. Vol. 32, № 2. P. 106–115.</w:t>
      </w:r>
    </w:p>
    <w:p w14:paraId="06DE0BCC" w14:textId="77777777" w:rsidR="00A67ED2" w:rsidRPr="00A67ED2" w:rsidRDefault="00A67ED2" w:rsidP="00A67ED2">
      <w:pPr>
        <w:ind w:left="640" w:hanging="640"/>
        <w:rPr>
          <w:noProof/>
        </w:rPr>
      </w:pPr>
      <w:r w:rsidRPr="00CD5E09">
        <w:rPr>
          <w:noProof/>
          <w:lang w:val="en-US"/>
        </w:rPr>
        <w:t>108.</w:t>
      </w:r>
      <w:r w:rsidRPr="00CD5E09">
        <w:rPr>
          <w:noProof/>
          <w:lang w:val="en-US"/>
        </w:rPr>
        <w:tab/>
        <w:t xml:space="preserve">Bates J.S., Buie L.W., Woodis C.B. Management of menorrhagia associated with chemotherapy-induced thrombocytopenia in women with hematologic malignancy // Pharmacotherapy. </w:t>
      </w:r>
      <w:r w:rsidRPr="00A67ED2">
        <w:rPr>
          <w:noProof/>
        </w:rPr>
        <w:t>2011. Vol. 31, № 11. P. 1092–1110.</w:t>
      </w:r>
    </w:p>
    <w:p w14:paraId="0F774A48" w14:textId="77777777" w:rsidR="00A67ED2" w:rsidRPr="00CD5E09" w:rsidRDefault="00A67ED2" w:rsidP="00A67ED2">
      <w:pPr>
        <w:ind w:left="640" w:hanging="640"/>
        <w:rPr>
          <w:noProof/>
          <w:lang w:val="en-US"/>
        </w:rPr>
      </w:pPr>
      <w:r w:rsidRPr="00A67ED2">
        <w:rPr>
          <w:noProof/>
        </w:rPr>
        <w:t>109.</w:t>
      </w:r>
      <w:r w:rsidRPr="00A67ED2">
        <w:rPr>
          <w:noProof/>
        </w:rPr>
        <w:tab/>
        <w:t xml:space="preserve">Абузарова Г.Р. et al. Обезболивание взрослых и детей при оказании медицинской помощи. Методические рекомендации. ФГБОУ ВО РНИМУ им. Н.И. Пирогова Минздрава России., 2016. </w:t>
      </w:r>
      <w:r w:rsidRPr="00CD5E09">
        <w:rPr>
          <w:noProof/>
          <w:lang w:val="en-US"/>
        </w:rPr>
        <w:t>94 p.</w:t>
      </w:r>
    </w:p>
    <w:p w14:paraId="6E697655" w14:textId="77777777" w:rsidR="00A67ED2" w:rsidRPr="00CD5E09" w:rsidRDefault="00A67ED2" w:rsidP="00A67ED2">
      <w:pPr>
        <w:ind w:left="640" w:hanging="640"/>
        <w:rPr>
          <w:noProof/>
          <w:lang w:val="en-US"/>
        </w:rPr>
      </w:pPr>
      <w:r w:rsidRPr="00CD5E09">
        <w:rPr>
          <w:noProof/>
          <w:lang w:val="en-US"/>
        </w:rPr>
        <w:t>110.</w:t>
      </w:r>
      <w:r w:rsidRPr="00CD5E09">
        <w:rPr>
          <w:noProof/>
          <w:lang w:val="en-US"/>
        </w:rPr>
        <w:tab/>
        <w:t>Geludkova O. et al. Quality of life in children with acute lymphoblastic leukemia (ALL) in remission // Med. Pediatr. Oncol. 2001. Vol. 37, № 3. P. Abstract p168.</w:t>
      </w:r>
    </w:p>
    <w:p w14:paraId="5EED9456" w14:textId="77777777" w:rsidR="00A67ED2" w:rsidRPr="00A67ED2" w:rsidRDefault="00A67ED2" w:rsidP="00A67ED2">
      <w:pPr>
        <w:ind w:left="640" w:hanging="640"/>
        <w:rPr>
          <w:noProof/>
        </w:rPr>
      </w:pPr>
      <w:r w:rsidRPr="00CD5E09">
        <w:rPr>
          <w:noProof/>
          <w:lang w:val="en-US"/>
        </w:rPr>
        <w:t>111.</w:t>
      </w:r>
      <w:r w:rsidRPr="00CD5E09">
        <w:rPr>
          <w:noProof/>
          <w:lang w:val="en-US"/>
        </w:rPr>
        <w:tab/>
        <w:t xml:space="preserve">Paul K.L. Rehabilitation and exercise considerations in hematologic malignancies. // Am. J. Phys. Med. </w:t>
      </w:r>
      <w:r w:rsidRPr="00A67ED2">
        <w:rPr>
          <w:noProof/>
        </w:rPr>
        <w:t>Rehabil. 2011. Vol. 90, № 5 Suppl 1. P. S88-94.</w:t>
      </w:r>
    </w:p>
    <w:p w14:paraId="5B609203" w14:textId="77777777" w:rsidR="00A67ED2" w:rsidRPr="00A67ED2" w:rsidRDefault="00A67ED2" w:rsidP="00A67ED2">
      <w:pPr>
        <w:ind w:left="640" w:hanging="640"/>
        <w:rPr>
          <w:noProof/>
        </w:rPr>
      </w:pPr>
      <w:r w:rsidRPr="00A67ED2">
        <w:rPr>
          <w:noProof/>
        </w:rPr>
        <w:t>112.</w:t>
      </w:r>
      <w:r w:rsidRPr="00A67ED2">
        <w:rPr>
          <w:noProof/>
        </w:rPr>
        <w:tab/>
        <w:t>Чернуха Г.Е. Аномальные маточные кровотечения репродуктивного периода // Гинекология: национальное руководство. Краткое издание. Под ред. Г.М. Савельевой. Г.Т. Сухих, В.Н. Серова, В.Е. Радзинского, И.Б. Манухина. М.: ГЭОТАР-</w:t>
      </w:r>
      <w:r w:rsidRPr="00A67ED2">
        <w:rPr>
          <w:noProof/>
        </w:rPr>
        <w:lastRenderedPageBreak/>
        <w:t>Медиа, 2020. P. 170–175.</w:t>
      </w:r>
    </w:p>
    <w:p w14:paraId="22CE7713" w14:textId="77777777" w:rsidR="00A67ED2" w:rsidRPr="00A67ED2" w:rsidRDefault="00A67ED2" w:rsidP="00A67ED2">
      <w:pPr>
        <w:ind w:left="640" w:hanging="640"/>
        <w:rPr>
          <w:noProof/>
        </w:rPr>
      </w:pPr>
      <w:r w:rsidRPr="00A67ED2">
        <w:rPr>
          <w:noProof/>
        </w:rPr>
        <w:t>113.</w:t>
      </w:r>
      <w:r w:rsidRPr="00A67ED2">
        <w:rPr>
          <w:noProof/>
        </w:rPr>
        <w:tab/>
        <w:t>Доброхотова Ю.Э. et al. Аномальные маточные кровотечения: алгоритмы ведения, методы терапии // РМЖ. Мать и дитя. 2020. Vol. 3, № 1. P. 55–60.</w:t>
      </w:r>
    </w:p>
    <w:p w14:paraId="65BAE2A6" w14:textId="77777777" w:rsidR="00A67ED2" w:rsidRPr="00CD5E09" w:rsidRDefault="00A67ED2" w:rsidP="00A67ED2">
      <w:pPr>
        <w:ind w:left="640" w:hanging="640"/>
        <w:rPr>
          <w:noProof/>
          <w:lang w:val="en-US"/>
        </w:rPr>
      </w:pPr>
      <w:r w:rsidRPr="00A67ED2">
        <w:rPr>
          <w:noProof/>
        </w:rPr>
        <w:t>114.</w:t>
      </w:r>
      <w:r w:rsidRPr="00A67ED2">
        <w:rPr>
          <w:noProof/>
        </w:rPr>
        <w:tab/>
        <w:t xml:space="preserve">Мамонов В.Е. Неотложная нейрохирургия внутричерепных кровоизлияний у пациентов гематологического стационара // Гематология и трансфузиология. </w:t>
      </w:r>
      <w:r w:rsidRPr="00CD5E09">
        <w:rPr>
          <w:noProof/>
          <w:lang w:val="en-US"/>
        </w:rPr>
        <w:t>2020. Vol. 65, № S1. P. 174–175.</w:t>
      </w:r>
    </w:p>
    <w:p w14:paraId="4D95F6D6" w14:textId="77777777" w:rsidR="00A67ED2" w:rsidRPr="00CD5E09" w:rsidRDefault="00A67ED2" w:rsidP="00A67ED2">
      <w:pPr>
        <w:ind w:left="640" w:hanging="640"/>
        <w:rPr>
          <w:noProof/>
          <w:lang w:val="en-US"/>
        </w:rPr>
      </w:pPr>
      <w:r w:rsidRPr="00CD5E09">
        <w:rPr>
          <w:noProof/>
          <w:lang w:val="en-US"/>
        </w:rPr>
        <w:t>115.</w:t>
      </w:r>
      <w:r w:rsidRPr="00CD5E09">
        <w:rPr>
          <w:noProof/>
          <w:lang w:val="en-US"/>
        </w:rPr>
        <w:tab/>
        <w:t>Narum S., Westergren T., Klemp M. Corticosteroids and risk of gastrointestinal bleeding: A systematic review and meta-analysis // BMJ Open. BMJ Publishing Group, 2014. Vol. 4, № 5.</w:t>
      </w:r>
    </w:p>
    <w:p w14:paraId="0D2B453D" w14:textId="77777777" w:rsidR="00A67ED2" w:rsidRPr="00CD5E09" w:rsidRDefault="00A67ED2" w:rsidP="00A67ED2">
      <w:pPr>
        <w:ind w:left="640" w:hanging="640"/>
        <w:rPr>
          <w:noProof/>
          <w:lang w:val="en-US"/>
        </w:rPr>
      </w:pPr>
      <w:r w:rsidRPr="00CD5E09">
        <w:rPr>
          <w:noProof/>
          <w:lang w:val="en-US"/>
        </w:rPr>
        <w:t>116.</w:t>
      </w:r>
      <w:r w:rsidRPr="00CD5E09">
        <w:rPr>
          <w:noProof/>
          <w:lang w:val="en-US"/>
        </w:rPr>
        <w:tab/>
        <w:t>Conn H.O., Poynard T. Corticosteroids and peptic ulcer: meta-analysis of adverse events during steroid therapy. // J. Intern. Med. J Intern Med, 1994. Vol. 236, № 6. P. 619–632.</w:t>
      </w:r>
    </w:p>
    <w:p w14:paraId="500BF24D" w14:textId="77777777" w:rsidR="00A67ED2" w:rsidRPr="00A67ED2" w:rsidRDefault="00A67ED2" w:rsidP="00A67ED2">
      <w:pPr>
        <w:ind w:left="640" w:hanging="640"/>
        <w:rPr>
          <w:noProof/>
        </w:rPr>
      </w:pPr>
      <w:r w:rsidRPr="00CD5E09">
        <w:rPr>
          <w:noProof/>
          <w:lang w:val="en-US"/>
        </w:rPr>
        <w:t>117.</w:t>
      </w:r>
      <w:r w:rsidRPr="00CD5E09">
        <w:rPr>
          <w:noProof/>
          <w:lang w:val="en-US"/>
        </w:rPr>
        <w:tab/>
        <w:t xml:space="preserve">Burget D.W., Chiverton S.G., Hunt R.H. Is there an optimal degree of acid suppression for healing of duodenal ulcers? A model of the relationship between ulcer healing and acid suppression // Gastroenterology. </w:t>
      </w:r>
      <w:r w:rsidRPr="00A67ED2">
        <w:rPr>
          <w:noProof/>
        </w:rPr>
        <w:t>Gastroenterology, 1990. Vol. 99, № 2. P. 345–351.</w:t>
      </w:r>
    </w:p>
    <w:p w14:paraId="755B5633" w14:textId="77777777" w:rsidR="00A67ED2" w:rsidRPr="00CD5E09" w:rsidRDefault="00A67ED2" w:rsidP="00A67ED2">
      <w:pPr>
        <w:ind w:left="640" w:hanging="640"/>
        <w:rPr>
          <w:noProof/>
          <w:lang w:val="en-US"/>
        </w:rPr>
      </w:pPr>
      <w:r w:rsidRPr="00A67ED2">
        <w:rPr>
          <w:noProof/>
        </w:rPr>
        <w:t>118.</w:t>
      </w:r>
      <w:r w:rsidRPr="00A67ED2">
        <w:rPr>
          <w:noProof/>
        </w:rPr>
        <w:tab/>
        <w:t xml:space="preserve">Ивашкин В.Т. et al. Диагностика и лечение язвенной болезни у взрослых (Клинические рекомендации Российской гастроэнтерологической ассоциации, Российского общества колоректальных хирургов и Российского эндоскопического общества). // Российский журнал гастроэнтерологии, гепатологии, колопроктологии. </w:t>
      </w:r>
      <w:r w:rsidRPr="00CD5E09">
        <w:rPr>
          <w:noProof/>
          <w:lang w:val="en-US"/>
        </w:rPr>
        <w:t>2020. Vol. 30, № 1. P. 49–70.</w:t>
      </w:r>
    </w:p>
    <w:p w14:paraId="4C06E7C0" w14:textId="77777777" w:rsidR="00A67ED2" w:rsidRPr="00CD5E09" w:rsidRDefault="00A67ED2" w:rsidP="00A67ED2">
      <w:pPr>
        <w:ind w:left="640" w:hanging="640"/>
        <w:rPr>
          <w:noProof/>
          <w:lang w:val="en-US"/>
        </w:rPr>
      </w:pPr>
      <w:r w:rsidRPr="00CD5E09">
        <w:rPr>
          <w:noProof/>
          <w:lang w:val="en-US"/>
        </w:rPr>
        <w:t>119.</w:t>
      </w:r>
      <w:r w:rsidRPr="00CD5E09">
        <w:rPr>
          <w:noProof/>
          <w:lang w:val="en-US"/>
        </w:rPr>
        <w:tab/>
        <w:t>Scally B. et al. Effects of gastroprotectant drugs for the prevention and treatment of peptic ulcer disease and its complications: a meta-analysis of randomised trials // Lancet Gastroenterol. Hepatol. Elsevier Ltd, 2018. Vol. 3, № 4. P. 231–241.</w:t>
      </w:r>
    </w:p>
    <w:p w14:paraId="3FF58917" w14:textId="77777777" w:rsidR="00A67ED2" w:rsidRPr="00CD5E09" w:rsidRDefault="00A67ED2" w:rsidP="00A67ED2">
      <w:pPr>
        <w:ind w:left="640" w:hanging="640"/>
        <w:rPr>
          <w:noProof/>
          <w:lang w:val="en-US"/>
        </w:rPr>
      </w:pPr>
      <w:r w:rsidRPr="00CD5E09">
        <w:rPr>
          <w:noProof/>
          <w:lang w:val="en-US"/>
        </w:rPr>
        <w:t>120.</w:t>
      </w:r>
      <w:r w:rsidRPr="00CD5E09">
        <w:rPr>
          <w:noProof/>
          <w:lang w:val="en-US"/>
        </w:rPr>
        <w:tab/>
        <w:t>Hu Z.-H. et al. Efficacy of proton pump inhibitors for patients with duodenal ulcers: A pairwise and network meta-analysis of randomized controlled trials // Saudi J. Gastroenterol. Medknow Publications, 2017. Vol. 23, № 1. P. 11.</w:t>
      </w:r>
    </w:p>
    <w:p w14:paraId="4999171D" w14:textId="77777777" w:rsidR="00A67ED2" w:rsidRPr="00A67ED2" w:rsidRDefault="00A67ED2" w:rsidP="00A67ED2">
      <w:pPr>
        <w:ind w:left="640" w:hanging="640"/>
        <w:rPr>
          <w:noProof/>
        </w:rPr>
      </w:pPr>
      <w:r w:rsidRPr="00CD5E09">
        <w:rPr>
          <w:noProof/>
          <w:lang w:val="en-US"/>
        </w:rPr>
        <w:t>121.</w:t>
      </w:r>
      <w:r w:rsidRPr="00CD5E09">
        <w:rPr>
          <w:noProof/>
          <w:lang w:val="en-US"/>
        </w:rPr>
        <w:tab/>
        <w:t xml:space="preserve">Poynard T., Lemaire M., Agostini H. Meta-analysis of randomized clinical trials comparing lansoprazole with ranitidine or famotidine in the treatment of acute duodenal ulcer // Eur. J. Gastroenterol. </w:t>
      </w:r>
      <w:r w:rsidRPr="00A67ED2">
        <w:rPr>
          <w:noProof/>
        </w:rPr>
        <w:t>Hepatol. 1995. Vol. 7, № 7. P. 661–665.</w:t>
      </w:r>
    </w:p>
    <w:p w14:paraId="1118929F" w14:textId="77777777" w:rsidR="00A67ED2" w:rsidRPr="00A67ED2" w:rsidRDefault="00A67ED2" w:rsidP="00A67ED2">
      <w:pPr>
        <w:ind w:left="640" w:hanging="640"/>
        <w:rPr>
          <w:noProof/>
        </w:rPr>
      </w:pPr>
      <w:r w:rsidRPr="00A67ED2">
        <w:rPr>
          <w:noProof/>
        </w:rPr>
        <w:t>122.</w:t>
      </w:r>
      <w:r w:rsidRPr="00A67ED2">
        <w:rPr>
          <w:noProof/>
        </w:rPr>
        <w:tab/>
        <w:t>Охмат В.А. et al. Спектр и этиология инфекционных осложнений у больных острыми миелоидными лейкозами на этапах индукции и консолидации ремиссии // Гематология и трансфузиология. 2017. Vol. 62, № 1. P. 9–15.</w:t>
      </w:r>
    </w:p>
    <w:p w14:paraId="76BDA47E" w14:textId="77777777" w:rsidR="00A67ED2" w:rsidRPr="00A67ED2" w:rsidRDefault="00A67ED2" w:rsidP="00A67ED2">
      <w:pPr>
        <w:ind w:left="640" w:hanging="640"/>
        <w:rPr>
          <w:noProof/>
        </w:rPr>
      </w:pPr>
      <w:r w:rsidRPr="00A67ED2">
        <w:rPr>
          <w:noProof/>
        </w:rPr>
        <w:t>123.</w:t>
      </w:r>
      <w:r w:rsidRPr="00A67ED2">
        <w:rPr>
          <w:noProof/>
        </w:rPr>
        <w:tab/>
        <w:t>Клясова Г.А. et al. Возбудители сепсиса у иммунокомпрометированных больных: структура и проблемы антибиотикорезистентности (результаты многоцентрового исследования) // Гематология и трансфузиология. 2007. Vol. 52, № 1. P. 11–18.</w:t>
      </w:r>
    </w:p>
    <w:p w14:paraId="645C6198" w14:textId="77777777" w:rsidR="00A67ED2" w:rsidRPr="00A67ED2" w:rsidRDefault="00A67ED2" w:rsidP="00A67ED2">
      <w:pPr>
        <w:ind w:left="640" w:hanging="640"/>
        <w:rPr>
          <w:noProof/>
        </w:rPr>
      </w:pPr>
      <w:r w:rsidRPr="00A67ED2">
        <w:rPr>
          <w:noProof/>
        </w:rPr>
        <w:lastRenderedPageBreak/>
        <w:t>124.</w:t>
      </w:r>
      <w:r w:rsidRPr="00A67ED2">
        <w:rPr>
          <w:noProof/>
        </w:rPr>
        <w:tab/>
        <w:t>Клясова Г.А., Охмат В.А. Антимикробная терапия // Алгоритмы диагностики и протоколы лечения заболеваний системы крови. Под редакцией Савченко В.Г. Москва: Практика, 2018. P. 1067–1114.</w:t>
      </w:r>
    </w:p>
    <w:p w14:paraId="4718ECBE" w14:textId="77777777" w:rsidR="00A67ED2" w:rsidRPr="00CD5E09" w:rsidRDefault="00A67ED2" w:rsidP="00A67ED2">
      <w:pPr>
        <w:ind w:left="640" w:hanging="640"/>
        <w:rPr>
          <w:noProof/>
          <w:lang w:val="en-US"/>
        </w:rPr>
      </w:pPr>
      <w:r w:rsidRPr="00A67ED2">
        <w:rPr>
          <w:noProof/>
        </w:rPr>
        <w:t>125.</w:t>
      </w:r>
      <w:r w:rsidRPr="00A67ED2">
        <w:rPr>
          <w:noProof/>
        </w:rPr>
        <w:tab/>
        <w:t xml:space="preserve">Maertens J. et al. </w:t>
      </w:r>
      <w:r w:rsidRPr="00CD5E09">
        <w:rPr>
          <w:noProof/>
          <w:lang w:val="en-US"/>
        </w:rPr>
        <w:t>European guidelines for antifungal management in leukemia and hematopoietic stem cell transplant recipients: Summary of the ECIL 32009 update // Bone Marrow Transplant. Nature Publishing Group, 2011. Vol. 46, № 5. P. 709–718.</w:t>
      </w:r>
    </w:p>
    <w:p w14:paraId="223F1DC6" w14:textId="77777777" w:rsidR="00A67ED2" w:rsidRPr="00CD5E09" w:rsidRDefault="00A67ED2" w:rsidP="00A67ED2">
      <w:pPr>
        <w:ind w:left="640" w:hanging="640"/>
        <w:rPr>
          <w:noProof/>
          <w:lang w:val="en-US"/>
        </w:rPr>
      </w:pPr>
      <w:r w:rsidRPr="00CD5E09">
        <w:rPr>
          <w:noProof/>
          <w:lang w:val="en-US"/>
        </w:rPr>
        <w:t>126.</w:t>
      </w:r>
      <w:r w:rsidRPr="00CD5E09">
        <w:rPr>
          <w:noProof/>
          <w:lang w:val="en-US"/>
        </w:rPr>
        <w:tab/>
        <w:t>Kollef M.H. et al. Ceftolozane–tazobactam versus meropenem for treatment of nosocomial pneumonia (ASPECT-NP): a randomised, controlled, double-blind, phase 3, non-inferiority trial // Lancet Infect. Dis. Lancet Publishing Group, 2019. Vol. 19, № 12. P. 1299–1311.</w:t>
      </w:r>
    </w:p>
    <w:p w14:paraId="6A660C38" w14:textId="77777777" w:rsidR="00A67ED2" w:rsidRPr="00CD5E09" w:rsidRDefault="00A67ED2" w:rsidP="00A67ED2">
      <w:pPr>
        <w:ind w:left="640" w:hanging="640"/>
        <w:rPr>
          <w:noProof/>
          <w:lang w:val="en-US"/>
        </w:rPr>
      </w:pPr>
      <w:r w:rsidRPr="00CD5E09">
        <w:rPr>
          <w:noProof/>
          <w:lang w:val="en-US"/>
        </w:rPr>
        <w:t>127.</w:t>
      </w:r>
      <w:r w:rsidRPr="00CD5E09">
        <w:rPr>
          <w:noProof/>
          <w:lang w:val="en-US"/>
        </w:rPr>
        <w:tab/>
        <w:t>Averbuch D. et al. Targeted therapy against multi-resistant bacteria in leukemic and hematopoietic stem cell transplant recipients: Guidelines of the 4th European conference on Infections in Leukemia (ECIL-4, 2011) // Haematologica. Ferrata Storti Foundation, 2013. Vol. 98, № 12. P. 1836–1847.</w:t>
      </w:r>
    </w:p>
    <w:p w14:paraId="67EFB1A2" w14:textId="77777777" w:rsidR="00A67ED2" w:rsidRPr="00CD5E09" w:rsidRDefault="00A67ED2" w:rsidP="00A67ED2">
      <w:pPr>
        <w:ind w:left="640" w:hanging="640"/>
        <w:rPr>
          <w:noProof/>
          <w:lang w:val="en-US"/>
        </w:rPr>
      </w:pPr>
      <w:r w:rsidRPr="00CD5E09">
        <w:rPr>
          <w:noProof/>
          <w:lang w:val="en-US"/>
        </w:rPr>
        <w:t>128.</w:t>
      </w:r>
      <w:r w:rsidRPr="00CD5E09">
        <w:rPr>
          <w:noProof/>
          <w:lang w:val="en-US"/>
        </w:rPr>
        <w:tab/>
        <w:t>Debast S.B. et al. European society of clinical microbiology and infectious diseases: Update of the treatment guidance document for Clostridium difficile infection // Clin. Microbiol. Infect. Blackwell Publishing Ltd, 2014. Vol. 20, № S2. P. 1–26.</w:t>
      </w:r>
    </w:p>
    <w:p w14:paraId="717E8644" w14:textId="77777777" w:rsidR="00A67ED2" w:rsidRPr="00CD5E09" w:rsidRDefault="00A67ED2" w:rsidP="00A67ED2">
      <w:pPr>
        <w:ind w:left="640" w:hanging="640"/>
        <w:rPr>
          <w:noProof/>
          <w:lang w:val="en-US"/>
        </w:rPr>
      </w:pPr>
      <w:r w:rsidRPr="00CD5E09">
        <w:rPr>
          <w:noProof/>
          <w:lang w:val="en-US"/>
        </w:rPr>
        <w:t>129.</w:t>
      </w:r>
      <w:r w:rsidRPr="00CD5E09">
        <w:rPr>
          <w:noProof/>
          <w:lang w:val="en-US"/>
        </w:rPr>
        <w:tab/>
        <w:t>Arendrup M.C. et al. ESCMID and ECMM joint clinical guidelines for the diagnosis and management of rare invasive yeast infections // Clin. Microbiol. Infect. Blackwell Publishing Ltd, 2014. Vol. 20, № S3. P. 76–98.</w:t>
      </w:r>
    </w:p>
    <w:p w14:paraId="1DF1C68E" w14:textId="77777777" w:rsidR="00A67ED2" w:rsidRPr="00A67ED2" w:rsidRDefault="00A67ED2" w:rsidP="00A67ED2">
      <w:pPr>
        <w:ind w:left="640" w:hanging="640"/>
        <w:rPr>
          <w:noProof/>
        </w:rPr>
      </w:pPr>
      <w:r w:rsidRPr="00CD5E09">
        <w:rPr>
          <w:noProof/>
          <w:lang w:val="en-US"/>
        </w:rPr>
        <w:t>130.</w:t>
      </w:r>
      <w:r w:rsidRPr="00CD5E09">
        <w:rPr>
          <w:noProof/>
          <w:lang w:val="en-US"/>
        </w:rPr>
        <w:tab/>
        <w:t xml:space="preserve">Tissot F. et al. ECIL-6 guidelines for the treatment of invasive candidiasis, aspergillosis and mucormycosis in leukemia and hematopoietic stem cell transplant patients // Haematologica. </w:t>
      </w:r>
      <w:r w:rsidRPr="00A67ED2">
        <w:rPr>
          <w:noProof/>
        </w:rPr>
        <w:t>Ferrata Storti Foundation, 2017. Vol. 102, № 3. P. 433–444.</w:t>
      </w:r>
    </w:p>
    <w:p w14:paraId="5F5B0622" w14:textId="77777777" w:rsidR="00A67ED2" w:rsidRPr="00CD5E09" w:rsidRDefault="00A67ED2" w:rsidP="00A67ED2">
      <w:pPr>
        <w:ind w:left="640" w:hanging="640"/>
        <w:rPr>
          <w:noProof/>
          <w:lang w:val="en-US"/>
        </w:rPr>
      </w:pPr>
      <w:r w:rsidRPr="00A67ED2">
        <w:rPr>
          <w:noProof/>
        </w:rPr>
        <w:t>131.</w:t>
      </w:r>
      <w:r w:rsidRPr="00A67ED2">
        <w:rPr>
          <w:noProof/>
        </w:rPr>
        <w:tab/>
        <w:t xml:space="preserve">Мальчикова А.О., Клясова Г.А. Формирование биопленок у изолятов Candida spp, выделенных из гемокультуры от больных с опухолями системы крови // Клиническая микробиология и антимикробная химиотерапия. </w:t>
      </w:r>
      <w:r w:rsidRPr="00CD5E09">
        <w:rPr>
          <w:noProof/>
          <w:lang w:val="en-US"/>
        </w:rPr>
        <w:t>2018. Vol. 20, № 2. P. 126–130.</w:t>
      </w:r>
    </w:p>
    <w:p w14:paraId="42072A4E" w14:textId="77777777" w:rsidR="00A67ED2" w:rsidRPr="00CD5E09" w:rsidRDefault="00A67ED2" w:rsidP="00A67ED2">
      <w:pPr>
        <w:ind w:left="640" w:hanging="640"/>
        <w:rPr>
          <w:noProof/>
          <w:lang w:val="en-US"/>
        </w:rPr>
      </w:pPr>
      <w:r w:rsidRPr="00CD5E09">
        <w:rPr>
          <w:noProof/>
          <w:lang w:val="en-US"/>
        </w:rPr>
        <w:t>132.</w:t>
      </w:r>
      <w:r w:rsidRPr="00CD5E09">
        <w:rPr>
          <w:noProof/>
          <w:lang w:val="en-US"/>
        </w:rPr>
        <w:tab/>
        <w:t>Ullmann A.J. et al. Diagnosis and management of Aspergillus diseases: executive summary of the 2017 ESCMID-ECMM-ERS guideline // Clin. Microbiol. Infect. Elsevier B.V., 2018. Vol. 24. P. e1–e38.</w:t>
      </w:r>
    </w:p>
    <w:p w14:paraId="27EED804" w14:textId="77777777" w:rsidR="00A67ED2" w:rsidRPr="00CD5E09" w:rsidRDefault="00A67ED2" w:rsidP="00A67ED2">
      <w:pPr>
        <w:ind w:left="640" w:hanging="640"/>
        <w:rPr>
          <w:noProof/>
          <w:lang w:val="en-US"/>
        </w:rPr>
      </w:pPr>
      <w:r w:rsidRPr="00CD5E09">
        <w:rPr>
          <w:noProof/>
          <w:lang w:val="en-US"/>
        </w:rPr>
        <w:t>133.</w:t>
      </w:r>
      <w:r w:rsidRPr="00CD5E09">
        <w:rPr>
          <w:noProof/>
          <w:lang w:val="en-US"/>
        </w:rPr>
        <w:tab/>
        <w:t>Cornely O.A. et al. Global guideline for the diagnosis and management of mucormycosis: an initiative of the European Confederation of Medical Mycology in cooperation with the Mycoses Study Group Education and Research Consortium // The Lancet Infectious Diseases. Lancet Publishing Group, 2019. Vol. 19, № 12. P. e405–e421.</w:t>
      </w:r>
    </w:p>
    <w:p w14:paraId="10E1D797" w14:textId="77777777" w:rsidR="00A67ED2" w:rsidRPr="00CD5E09" w:rsidRDefault="00A67ED2" w:rsidP="00A67ED2">
      <w:pPr>
        <w:ind w:left="640" w:hanging="640"/>
        <w:rPr>
          <w:noProof/>
          <w:lang w:val="en-US"/>
        </w:rPr>
      </w:pPr>
      <w:r w:rsidRPr="00CD5E09">
        <w:rPr>
          <w:noProof/>
          <w:lang w:val="en-US"/>
        </w:rPr>
        <w:t>134.</w:t>
      </w:r>
      <w:r w:rsidRPr="00CD5E09">
        <w:rPr>
          <w:noProof/>
          <w:lang w:val="en-US"/>
        </w:rPr>
        <w:tab/>
        <w:t xml:space="preserve">Tortorano A.M. et al. ESCMID and ECMM joint guidelines on diagnosis and management of hyalohyphomycosis: Fusarium spp., Scedosporium spp. and others // Clin. Microbiol. </w:t>
      </w:r>
      <w:r w:rsidRPr="00CD5E09">
        <w:rPr>
          <w:noProof/>
          <w:lang w:val="en-US"/>
        </w:rPr>
        <w:lastRenderedPageBreak/>
        <w:t>Infect. Blackwell Publishing Ltd, 2014. Vol. 20, № S3. P. 27–46.</w:t>
      </w:r>
    </w:p>
    <w:p w14:paraId="43186FEE" w14:textId="77777777" w:rsidR="00A67ED2" w:rsidRPr="00CD5E09" w:rsidRDefault="00A67ED2" w:rsidP="00A67ED2">
      <w:pPr>
        <w:ind w:left="640" w:hanging="640"/>
        <w:rPr>
          <w:noProof/>
          <w:lang w:val="en-US"/>
        </w:rPr>
      </w:pPr>
      <w:r w:rsidRPr="00CD5E09">
        <w:rPr>
          <w:noProof/>
          <w:lang w:val="en-US"/>
        </w:rPr>
        <w:t>135.</w:t>
      </w:r>
      <w:r w:rsidRPr="00CD5E09">
        <w:rPr>
          <w:noProof/>
          <w:lang w:val="en-US"/>
        </w:rPr>
        <w:tab/>
        <w:t>Maschmeyer G. et al. ECIL guidelines for treatment of Pneumocystis jirovecii pneumonia in non-HIV-infected haematology patients // J. Antimicrob. Chemother. J Antimicrob Chemother, 2016. Vol. 71, № 9. P. 2405–2413.</w:t>
      </w:r>
    </w:p>
    <w:p w14:paraId="1B8AE085" w14:textId="77777777" w:rsidR="00A67ED2" w:rsidRPr="00CD5E09" w:rsidRDefault="00A67ED2" w:rsidP="00A67ED2">
      <w:pPr>
        <w:ind w:left="640" w:hanging="640"/>
        <w:rPr>
          <w:noProof/>
          <w:lang w:val="en-US"/>
        </w:rPr>
      </w:pPr>
      <w:r w:rsidRPr="00CD5E09">
        <w:rPr>
          <w:noProof/>
          <w:lang w:val="en-US"/>
        </w:rPr>
        <w:t>136.</w:t>
      </w:r>
      <w:r w:rsidRPr="00CD5E09">
        <w:rPr>
          <w:noProof/>
          <w:lang w:val="en-US"/>
        </w:rPr>
        <w:tab/>
        <w:t>Styczynski J. et al. Management of HSV, VZV and EBV infections in patients with hematological malignancies and after SCT: Guidelines from the Second European Conference on Infections in Leukemia // Bone Marrow Transplant. Bone Marrow Transplant, 2009. Vol. 43, № 10. P. 757–770.</w:t>
      </w:r>
    </w:p>
    <w:p w14:paraId="39D406BD" w14:textId="77777777" w:rsidR="00A67ED2" w:rsidRPr="00CD5E09" w:rsidRDefault="00A67ED2" w:rsidP="00A67ED2">
      <w:pPr>
        <w:ind w:left="640" w:hanging="640"/>
        <w:rPr>
          <w:noProof/>
          <w:lang w:val="en-US"/>
        </w:rPr>
      </w:pPr>
      <w:r w:rsidRPr="00CD5E09">
        <w:rPr>
          <w:noProof/>
          <w:lang w:val="en-US"/>
        </w:rPr>
        <w:t>137.</w:t>
      </w:r>
      <w:r w:rsidRPr="00CD5E09">
        <w:rPr>
          <w:noProof/>
          <w:lang w:val="en-US"/>
        </w:rPr>
        <w:tab/>
        <w:t>Ljungman P. et al. Management of CMV, HHV-6, HHV-7 and Kaposi-sarcoma herpesvirus (HHV-8) infections in patients with hematological malignancies and after SCT // Bone Marrow Transplant. Bone Marrow Transplant, 2008. Vol. 42, № 4. P. 227–240.</w:t>
      </w:r>
    </w:p>
    <w:p w14:paraId="161351E3" w14:textId="77777777" w:rsidR="00A67ED2" w:rsidRPr="00A67ED2" w:rsidRDefault="00A67ED2" w:rsidP="00A67ED2">
      <w:pPr>
        <w:ind w:left="640" w:hanging="640"/>
        <w:rPr>
          <w:noProof/>
        </w:rPr>
      </w:pPr>
      <w:r w:rsidRPr="00CD5E09">
        <w:rPr>
          <w:noProof/>
          <w:lang w:val="en-US"/>
        </w:rPr>
        <w:t>138.</w:t>
      </w:r>
      <w:r w:rsidRPr="00CD5E09">
        <w:rPr>
          <w:noProof/>
          <w:lang w:val="en-US"/>
        </w:rPr>
        <w:tab/>
        <w:t xml:space="preserve">Maertens J. et al. ECIL guidelines for preventing Pneumocystis jirovecii pneumonia in patients with haematological malignancies and stem cell transplant recipients // Journal of Antimicrobial Chemotherapy. </w:t>
      </w:r>
      <w:r w:rsidRPr="00A67ED2">
        <w:rPr>
          <w:noProof/>
        </w:rPr>
        <w:t>Oxford University Press, 2016. Vol. 71, № 9. P. 1–8.</w:t>
      </w:r>
    </w:p>
    <w:p w14:paraId="7E39210A" w14:textId="77777777" w:rsidR="00A67ED2" w:rsidRPr="00A67ED2" w:rsidRDefault="00A67ED2" w:rsidP="00A67ED2">
      <w:pPr>
        <w:ind w:left="640" w:hanging="640"/>
        <w:rPr>
          <w:noProof/>
        </w:rPr>
      </w:pPr>
      <w:r w:rsidRPr="00A67ED2">
        <w:rPr>
          <w:noProof/>
        </w:rPr>
        <w:t>139.</w:t>
      </w:r>
      <w:r w:rsidRPr="00A67ED2">
        <w:rPr>
          <w:noProof/>
        </w:rPr>
        <w:tab/>
        <w:t>Протоколы трансплантации аллогенных гепомоэтических стволовых клеток. Под ред. В.Г. Савченко. М.: Практика, 2020. 320 p.</w:t>
      </w:r>
    </w:p>
    <w:p w14:paraId="70B589F2" w14:textId="77777777" w:rsidR="00A67ED2" w:rsidRPr="00CD5E09" w:rsidRDefault="00A67ED2" w:rsidP="00A67ED2">
      <w:pPr>
        <w:ind w:left="640" w:hanging="640"/>
        <w:rPr>
          <w:noProof/>
          <w:lang w:val="en-US"/>
        </w:rPr>
      </w:pPr>
      <w:r w:rsidRPr="00A67ED2">
        <w:rPr>
          <w:noProof/>
        </w:rPr>
        <w:t>140.</w:t>
      </w:r>
      <w:r w:rsidRPr="00A67ED2">
        <w:rPr>
          <w:noProof/>
        </w:rPr>
        <w:tab/>
        <w:t xml:space="preserve">Welte K. et al. </w:t>
      </w:r>
      <w:r w:rsidRPr="00CD5E09">
        <w:rPr>
          <w:noProof/>
          <w:lang w:val="en-US"/>
        </w:rPr>
        <w:t>Purification and biochemical characterization of human pluripotent hematopoietic colony-stimulating factor // Proc. Natl. Acad. Sci. U. S. A. Proc Natl Acad Sci U S A, 1985. Vol. 82, № 5. P. 1526–1530.</w:t>
      </w:r>
    </w:p>
    <w:p w14:paraId="7F79F8EE" w14:textId="77777777" w:rsidR="00A67ED2" w:rsidRPr="00CD5E09" w:rsidRDefault="00A67ED2" w:rsidP="00A67ED2">
      <w:pPr>
        <w:ind w:left="640" w:hanging="640"/>
        <w:rPr>
          <w:noProof/>
          <w:lang w:val="en-US"/>
        </w:rPr>
      </w:pPr>
      <w:r w:rsidRPr="00CD5E09">
        <w:rPr>
          <w:noProof/>
          <w:lang w:val="en-US"/>
        </w:rPr>
        <w:t>141.</w:t>
      </w:r>
      <w:r w:rsidRPr="00CD5E09">
        <w:rPr>
          <w:noProof/>
          <w:lang w:val="en-US"/>
        </w:rPr>
        <w:tab/>
        <w:t>Krause D.S. et al. CD34: Structure, biology, and clinical utility // Blood. American Society of Hematology, 1996. Vol. 87, № 1. P. 1–13.</w:t>
      </w:r>
    </w:p>
    <w:p w14:paraId="054FB195" w14:textId="77777777" w:rsidR="00A67ED2" w:rsidRPr="00CD5E09" w:rsidRDefault="00A67ED2" w:rsidP="00A67ED2">
      <w:pPr>
        <w:ind w:left="640" w:hanging="640"/>
        <w:rPr>
          <w:noProof/>
          <w:lang w:val="en-US"/>
        </w:rPr>
      </w:pPr>
      <w:r w:rsidRPr="00CD5E09">
        <w:rPr>
          <w:noProof/>
          <w:lang w:val="en-US"/>
        </w:rPr>
        <w:t>142.</w:t>
      </w:r>
      <w:r w:rsidRPr="00CD5E09">
        <w:rPr>
          <w:noProof/>
          <w:lang w:val="en-US"/>
        </w:rPr>
        <w:tab/>
        <w:t>Giralt S. et al. Optimizing autologous stem cell mobilization strategies to improve patient outcomes: Consensus guidelines and recommendations // Biology of Blood and Marrow Transplantation. Elsevier, 2014. Vol. 20, № 3. P. 295–308.</w:t>
      </w:r>
    </w:p>
    <w:p w14:paraId="5D5C62FD" w14:textId="77777777" w:rsidR="00A67ED2" w:rsidRPr="00CD5E09" w:rsidRDefault="00A67ED2" w:rsidP="00A67ED2">
      <w:pPr>
        <w:ind w:left="640" w:hanging="640"/>
        <w:rPr>
          <w:noProof/>
          <w:lang w:val="en-US"/>
        </w:rPr>
      </w:pPr>
      <w:r w:rsidRPr="00CD5E09">
        <w:rPr>
          <w:noProof/>
          <w:lang w:val="en-US"/>
        </w:rPr>
        <w:t>143.</w:t>
      </w:r>
      <w:r w:rsidRPr="00CD5E09">
        <w:rPr>
          <w:noProof/>
          <w:lang w:val="en-US"/>
        </w:rPr>
        <w:tab/>
        <w:t>Stiff P.J. et al. Transplanted CD34 + Cell Dose Is Associated with Long-Term Platelet Count Recovery following Autologous Peripheral Blood Stem Cell Transplant in Patients with Non-Hodgkin Lymphoma or Multiple Myeloma // Biol. Blood Marrow Transplant. Biol Blood Marrow Transplant, 2011. Vol. 17, № 8. P. 1146–1153.</w:t>
      </w:r>
    </w:p>
    <w:p w14:paraId="3C4E7727" w14:textId="77777777" w:rsidR="00A67ED2" w:rsidRPr="00CD5E09" w:rsidRDefault="00A67ED2" w:rsidP="00A67ED2">
      <w:pPr>
        <w:ind w:left="640" w:hanging="640"/>
        <w:rPr>
          <w:noProof/>
          <w:lang w:val="en-US"/>
        </w:rPr>
      </w:pPr>
      <w:r w:rsidRPr="00CD5E09">
        <w:rPr>
          <w:noProof/>
          <w:lang w:val="en-US"/>
        </w:rPr>
        <w:t>144.</w:t>
      </w:r>
      <w:r w:rsidRPr="00CD5E09">
        <w:rPr>
          <w:noProof/>
          <w:lang w:val="en-US"/>
        </w:rPr>
        <w:tab/>
        <w:t>Passos-Coelho J.L. et al. Predictive factors for peripheral-blood progenitor-cell collections using a single large-volume leukapheresis after cyclophosphamide and granulocyte- macrophage colony-stimulating factor mobilization // J. Clin. Oncol. American Society of Clinical Oncology, 1995. Vol. 13, № 3. P. 705–714.</w:t>
      </w:r>
    </w:p>
    <w:p w14:paraId="293DD495" w14:textId="77777777" w:rsidR="00A67ED2" w:rsidRPr="00CD5E09" w:rsidRDefault="00A67ED2" w:rsidP="00A67ED2">
      <w:pPr>
        <w:ind w:left="640" w:hanging="640"/>
        <w:rPr>
          <w:noProof/>
          <w:lang w:val="en-US"/>
        </w:rPr>
      </w:pPr>
      <w:r w:rsidRPr="00CD5E09">
        <w:rPr>
          <w:noProof/>
          <w:lang w:val="en-US"/>
        </w:rPr>
        <w:t>145.</w:t>
      </w:r>
      <w:r w:rsidRPr="00CD5E09">
        <w:rPr>
          <w:noProof/>
          <w:lang w:val="en-US"/>
        </w:rPr>
        <w:tab/>
        <w:t xml:space="preserve">Hohaus S. et al. Successful autografting following myeloablative conditioning therapy with blood stem cells mobilized by chemotherapy plus rhG-CSF. // Exp. Hematol. 1993. Vol. </w:t>
      </w:r>
      <w:r w:rsidRPr="00CD5E09">
        <w:rPr>
          <w:noProof/>
          <w:lang w:val="en-US"/>
        </w:rPr>
        <w:lastRenderedPageBreak/>
        <w:t>21, № 4. P. 508–514.</w:t>
      </w:r>
    </w:p>
    <w:p w14:paraId="4411218F" w14:textId="77777777" w:rsidR="00A67ED2" w:rsidRPr="00CD5E09" w:rsidRDefault="00A67ED2" w:rsidP="00A67ED2">
      <w:pPr>
        <w:ind w:left="640" w:hanging="640"/>
        <w:rPr>
          <w:noProof/>
          <w:lang w:val="en-US"/>
        </w:rPr>
      </w:pPr>
      <w:r w:rsidRPr="00CD5E09">
        <w:rPr>
          <w:noProof/>
          <w:lang w:val="en-US"/>
        </w:rPr>
        <w:t>146.</w:t>
      </w:r>
      <w:r w:rsidRPr="00CD5E09">
        <w:rPr>
          <w:noProof/>
          <w:lang w:val="en-US"/>
        </w:rPr>
        <w:tab/>
      </w:r>
      <w:r w:rsidRPr="00A67ED2">
        <w:rPr>
          <w:noProof/>
        </w:rPr>
        <w:t>Покровская</w:t>
      </w:r>
      <w:r w:rsidRPr="00CD5E09">
        <w:rPr>
          <w:noProof/>
          <w:lang w:val="en-US"/>
        </w:rPr>
        <w:t xml:space="preserve"> </w:t>
      </w:r>
      <w:r w:rsidRPr="00A67ED2">
        <w:rPr>
          <w:noProof/>
        </w:rPr>
        <w:t>О</w:t>
      </w:r>
      <w:r w:rsidRPr="00CD5E09">
        <w:rPr>
          <w:noProof/>
          <w:lang w:val="en-US"/>
        </w:rPr>
        <w:t>.</w:t>
      </w:r>
      <w:r w:rsidRPr="00A67ED2">
        <w:rPr>
          <w:noProof/>
        </w:rPr>
        <w:t>С</w:t>
      </w:r>
      <w:r w:rsidRPr="00CD5E09">
        <w:rPr>
          <w:noProof/>
          <w:lang w:val="en-US"/>
        </w:rPr>
        <w:t xml:space="preserve">., </w:t>
      </w:r>
      <w:r w:rsidRPr="00A67ED2">
        <w:rPr>
          <w:noProof/>
        </w:rPr>
        <w:t>Менделеева</w:t>
      </w:r>
      <w:r w:rsidRPr="00CD5E09">
        <w:rPr>
          <w:noProof/>
          <w:lang w:val="en-US"/>
        </w:rPr>
        <w:t xml:space="preserve"> </w:t>
      </w:r>
      <w:r w:rsidRPr="00A67ED2">
        <w:rPr>
          <w:noProof/>
        </w:rPr>
        <w:t>Л</w:t>
      </w:r>
      <w:r w:rsidRPr="00CD5E09">
        <w:rPr>
          <w:noProof/>
          <w:lang w:val="en-US"/>
        </w:rPr>
        <w:t>.</w:t>
      </w:r>
      <w:r w:rsidRPr="00A67ED2">
        <w:rPr>
          <w:noProof/>
        </w:rPr>
        <w:t>П</w:t>
      </w:r>
      <w:r w:rsidRPr="00CD5E09">
        <w:rPr>
          <w:noProof/>
          <w:lang w:val="en-US"/>
        </w:rPr>
        <w:t xml:space="preserve">., </w:t>
      </w:r>
      <w:r w:rsidRPr="00A67ED2">
        <w:rPr>
          <w:noProof/>
        </w:rPr>
        <w:t>Гальцева</w:t>
      </w:r>
      <w:r w:rsidRPr="00CD5E09">
        <w:rPr>
          <w:noProof/>
          <w:lang w:val="en-US"/>
        </w:rPr>
        <w:t xml:space="preserve"> </w:t>
      </w:r>
      <w:r w:rsidRPr="00A67ED2">
        <w:rPr>
          <w:noProof/>
        </w:rPr>
        <w:t>И</w:t>
      </w:r>
      <w:r w:rsidRPr="00CD5E09">
        <w:rPr>
          <w:noProof/>
          <w:lang w:val="en-US"/>
        </w:rPr>
        <w:t>.</w:t>
      </w:r>
      <w:r w:rsidRPr="00A67ED2">
        <w:rPr>
          <w:noProof/>
        </w:rPr>
        <w:t>В</w:t>
      </w:r>
      <w:r w:rsidRPr="00CD5E09">
        <w:rPr>
          <w:noProof/>
          <w:lang w:val="en-US"/>
        </w:rPr>
        <w:t xml:space="preserve">., </w:t>
      </w:r>
      <w:r w:rsidRPr="00A67ED2">
        <w:rPr>
          <w:noProof/>
        </w:rPr>
        <w:t>Варламова</w:t>
      </w:r>
      <w:r w:rsidRPr="00CD5E09">
        <w:rPr>
          <w:noProof/>
          <w:lang w:val="en-US"/>
        </w:rPr>
        <w:t xml:space="preserve"> </w:t>
      </w:r>
      <w:r w:rsidRPr="00A67ED2">
        <w:rPr>
          <w:noProof/>
        </w:rPr>
        <w:t>Е</w:t>
      </w:r>
      <w:r w:rsidRPr="00CD5E09">
        <w:rPr>
          <w:noProof/>
          <w:lang w:val="en-US"/>
        </w:rPr>
        <w:t>.</w:t>
      </w:r>
      <w:r w:rsidRPr="00A67ED2">
        <w:rPr>
          <w:noProof/>
        </w:rPr>
        <w:t>Ю</w:t>
      </w:r>
      <w:r w:rsidRPr="00CD5E09">
        <w:rPr>
          <w:noProof/>
          <w:lang w:val="en-US"/>
        </w:rPr>
        <w:t xml:space="preserve">., </w:t>
      </w:r>
      <w:r w:rsidRPr="00A67ED2">
        <w:rPr>
          <w:noProof/>
        </w:rPr>
        <w:t>Капланская</w:t>
      </w:r>
      <w:r w:rsidRPr="00CD5E09">
        <w:rPr>
          <w:noProof/>
          <w:lang w:val="en-US"/>
        </w:rPr>
        <w:t xml:space="preserve"> </w:t>
      </w:r>
      <w:r w:rsidRPr="00A67ED2">
        <w:rPr>
          <w:noProof/>
        </w:rPr>
        <w:t>И</w:t>
      </w:r>
      <w:r w:rsidRPr="00CD5E09">
        <w:rPr>
          <w:noProof/>
          <w:lang w:val="en-US"/>
        </w:rPr>
        <w:t>.</w:t>
      </w:r>
      <w:r w:rsidRPr="00A67ED2">
        <w:rPr>
          <w:noProof/>
        </w:rPr>
        <w:t>Б</w:t>
      </w:r>
      <w:r w:rsidRPr="00CD5E09">
        <w:rPr>
          <w:noProof/>
          <w:lang w:val="en-US"/>
        </w:rPr>
        <w:t xml:space="preserve">., </w:t>
      </w:r>
      <w:r w:rsidRPr="00A67ED2">
        <w:rPr>
          <w:noProof/>
        </w:rPr>
        <w:t>Воробьев</w:t>
      </w:r>
      <w:r w:rsidRPr="00CD5E09">
        <w:rPr>
          <w:noProof/>
          <w:lang w:val="en-US"/>
        </w:rPr>
        <w:t xml:space="preserve"> </w:t>
      </w:r>
      <w:r w:rsidRPr="00A67ED2">
        <w:rPr>
          <w:noProof/>
        </w:rPr>
        <w:t>И</w:t>
      </w:r>
      <w:r w:rsidRPr="00CD5E09">
        <w:rPr>
          <w:noProof/>
          <w:lang w:val="en-US"/>
        </w:rPr>
        <w:t>.</w:t>
      </w:r>
      <w:r w:rsidRPr="00A67ED2">
        <w:rPr>
          <w:noProof/>
        </w:rPr>
        <w:t>А</w:t>
      </w:r>
      <w:r w:rsidRPr="00CD5E09">
        <w:rPr>
          <w:noProof/>
          <w:lang w:val="en-US"/>
        </w:rPr>
        <w:t xml:space="preserve">., </w:t>
      </w:r>
      <w:r w:rsidRPr="00A67ED2">
        <w:rPr>
          <w:noProof/>
        </w:rPr>
        <w:t>Грецов</w:t>
      </w:r>
      <w:r w:rsidRPr="00CD5E09">
        <w:rPr>
          <w:noProof/>
          <w:lang w:val="en-US"/>
        </w:rPr>
        <w:t xml:space="preserve"> </w:t>
      </w:r>
      <w:r w:rsidRPr="00A67ED2">
        <w:rPr>
          <w:noProof/>
        </w:rPr>
        <w:t>Е</w:t>
      </w:r>
      <w:r w:rsidRPr="00CD5E09">
        <w:rPr>
          <w:noProof/>
          <w:lang w:val="en-US"/>
        </w:rPr>
        <w:t>.</w:t>
      </w:r>
      <w:r w:rsidRPr="00A67ED2">
        <w:rPr>
          <w:noProof/>
        </w:rPr>
        <w:t>М</w:t>
      </w:r>
      <w:r w:rsidRPr="00CD5E09">
        <w:rPr>
          <w:noProof/>
          <w:lang w:val="en-US"/>
        </w:rPr>
        <w:t xml:space="preserve">., </w:t>
      </w:r>
      <w:r w:rsidRPr="00A67ED2">
        <w:rPr>
          <w:noProof/>
        </w:rPr>
        <w:t>Калинин</w:t>
      </w:r>
      <w:r w:rsidRPr="00CD5E09">
        <w:rPr>
          <w:noProof/>
          <w:lang w:val="en-US"/>
        </w:rPr>
        <w:t xml:space="preserve"> </w:t>
      </w:r>
      <w:r w:rsidRPr="00A67ED2">
        <w:rPr>
          <w:noProof/>
        </w:rPr>
        <w:t>Н</w:t>
      </w:r>
      <w:r w:rsidRPr="00CD5E09">
        <w:rPr>
          <w:noProof/>
          <w:lang w:val="en-US"/>
        </w:rPr>
        <w:t>.</w:t>
      </w:r>
      <w:r w:rsidRPr="00A67ED2">
        <w:rPr>
          <w:noProof/>
        </w:rPr>
        <w:t>Н</w:t>
      </w:r>
      <w:r w:rsidRPr="00CD5E09">
        <w:rPr>
          <w:noProof/>
          <w:lang w:val="en-US"/>
        </w:rPr>
        <w:t xml:space="preserve">., </w:t>
      </w:r>
      <w:r w:rsidRPr="00A67ED2">
        <w:rPr>
          <w:noProof/>
        </w:rPr>
        <w:t>Варламова</w:t>
      </w:r>
      <w:r w:rsidRPr="00CD5E09">
        <w:rPr>
          <w:noProof/>
          <w:lang w:val="en-US"/>
        </w:rPr>
        <w:t xml:space="preserve"> </w:t>
      </w:r>
      <w:r w:rsidRPr="00A67ED2">
        <w:rPr>
          <w:noProof/>
        </w:rPr>
        <w:t>С</w:t>
      </w:r>
      <w:r w:rsidRPr="00CD5E09">
        <w:rPr>
          <w:noProof/>
          <w:lang w:val="en-US"/>
        </w:rPr>
        <w:t>.</w:t>
      </w:r>
      <w:r w:rsidRPr="00A67ED2">
        <w:rPr>
          <w:noProof/>
        </w:rPr>
        <w:t>В</w:t>
      </w:r>
      <w:r w:rsidRPr="00CD5E09">
        <w:rPr>
          <w:noProof/>
          <w:lang w:val="en-US"/>
        </w:rPr>
        <w:t xml:space="preserve">., </w:t>
      </w:r>
      <w:r w:rsidRPr="00A67ED2">
        <w:rPr>
          <w:noProof/>
        </w:rPr>
        <w:t>Клясова</w:t>
      </w:r>
      <w:r w:rsidRPr="00CD5E09">
        <w:rPr>
          <w:noProof/>
          <w:lang w:val="en-US"/>
        </w:rPr>
        <w:t xml:space="preserve"> </w:t>
      </w:r>
      <w:r w:rsidRPr="00A67ED2">
        <w:rPr>
          <w:noProof/>
        </w:rPr>
        <w:t>Г</w:t>
      </w:r>
      <w:r w:rsidRPr="00CD5E09">
        <w:rPr>
          <w:noProof/>
          <w:lang w:val="en-US"/>
        </w:rPr>
        <w:t>.</w:t>
      </w:r>
      <w:r w:rsidRPr="00A67ED2">
        <w:rPr>
          <w:noProof/>
        </w:rPr>
        <w:t>А</w:t>
      </w:r>
      <w:r w:rsidRPr="00CD5E09">
        <w:rPr>
          <w:noProof/>
          <w:lang w:val="en-US"/>
        </w:rPr>
        <w:t xml:space="preserve">., </w:t>
      </w:r>
      <w:r w:rsidRPr="00A67ED2">
        <w:rPr>
          <w:noProof/>
        </w:rPr>
        <w:t>Тихонова</w:t>
      </w:r>
      <w:r w:rsidRPr="00CD5E09">
        <w:rPr>
          <w:noProof/>
          <w:lang w:val="en-US"/>
        </w:rPr>
        <w:t xml:space="preserve"> </w:t>
      </w:r>
      <w:r w:rsidRPr="00A67ED2">
        <w:rPr>
          <w:noProof/>
        </w:rPr>
        <w:t>Л</w:t>
      </w:r>
      <w:r w:rsidRPr="00CD5E09">
        <w:rPr>
          <w:noProof/>
          <w:lang w:val="en-US"/>
        </w:rPr>
        <w:t>.</w:t>
      </w:r>
      <w:r w:rsidRPr="00A67ED2">
        <w:rPr>
          <w:noProof/>
        </w:rPr>
        <w:t>Ю</w:t>
      </w:r>
      <w:r w:rsidRPr="00CD5E09">
        <w:rPr>
          <w:noProof/>
          <w:lang w:val="en-US"/>
        </w:rPr>
        <w:t xml:space="preserve">. </w:t>
      </w:r>
      <w:r w:rsidRPr="00A67ED2">
        <w:rPr>
          <w:noProof/>
        </w:rPr>
        <w:t>С</w:t>
      </w:r>
      <w:r w:rsidRPr="00CD5E09">
        <w:rPr>
          <w:noProof/>
          <w:lang w:val="en-US"/>
        </w:rPr>
        <w:t>.</w:t>
      </w:r>
      <w:r w:rsidRPr="00A67ED2">
        <w:rPr>
          <w:noProof/>
        </w:rPr>
        <w:t>В</w:t>
      </w:r>
      <w:r w:rsidRPr="00CD5E09">
        <w:rPr>
          <w:noProof/>
          <w:lang w:val="en-US"/>
        </w:rPr>
        <w:t>.</w:t>
      </w:r>
      <w:r w:rsidRPr="00A67ED2">
        <w:rPr>
          <w:noProof/>
        </w:rPr>
        <w:t>Г</w:t>
      </w:r>
      <w:r w:rsidRPr="00CD5E09">
        <w:rPr>
          <w:noProof/>
          <w:lang w:val="en-US"/>
        </w:rPr>
        <w:t xml:space="preserve">. </w:t>
      </w:r>
      <w:r w:rsidRPr="00A67ED2">
        <w:rPr>
          <w:noProof/>
        </w:rPr>
        <w:t>Мобилизация</w:t>
      </w:r>
      <w:r w:rsidRPr="00CD5E09">
        <w:rPr>
          <w:noProof/>
          <w:lang w:val="en-US"/>
        </w:rPr>
        <w:t xml:space="preserve"> </w:t>
      </w:r>
      <w:r w:rsidRPr="00A67ED2">
        <w:rPr>
          <w:noProof/>
        </w:rPr>
        <w:t>гемопоэтических</w:t>
      </w:r>
      <w:r w:rsidRPr="00CD5E09">
        <w:rPr>
          <w:noProof/>
          <w:lang w:val="en-US"/>
        </w:rPr>
        <w:t xml:space="preserve"> </w:t>
      </w:r>
      <w:r w:rsidRPr="00A67ED2">
        <w:rPr>
          <w:noProof/>
        </w:rPr>
        <w:t>клеток</w:t>
      </w:r>
      <w:r w:rsidRPr="00CD5E09">
        <w:rPr>
          <w:noProof/>
          <w:lang w:val="en-US"/>
        </w:rPr>
        <w:t xml:space="preserve"> </w:t>
      </w:r>
      <w:r w:rsidRPr="00A67ED2">
        <w:rPr>
          <w:noProof/>
        </w:rPr>
        <w:t>крови</w:t>
      </w:r>
      <w:r w:rsidRPr="00CD5E09">
        <w:rPr>
          <w:noProof/>
          <w:lang w:val="en-US"/>
        </w:rPr>
        <w:t xml:space="preserve"> </w:t>
      </w:r>
      <w:r w:rsidRPr="00A67ED2">
        <w:rPr>
          <w:noProof/>
        </w:rPr>
        <w:t>у</w:t>
      </w:r>
      <w:r w:rsidRPr="00CD5E09">
        <w:rPr>
          <w:noProof/>
          <w:lang w:val="en-US"/>
        </w:rPr>
        <w:t xml:space="preserve"> </w:t>
      </w:r>
      <w:r w:rsidRPr="00A67ED2">
        <w:rPr>
          <w:noProof/>
        </w:rPr>
        <w:t>больных</w:t>
      </w:r>
      <w:r w:rsidRPr="00CD5E09">
        <w:rPr>
          <w:noProof/>
          <w:lang w:val="en-US"/>
        </w:rPr>
        <w:t xml:space="preserve"> </w:t>
      </w:r>
      <w:r w:rsidRPr="00A67ED2">
        <w:rPr>
          <w:noProof/>
        </w:rPr>
        <w:t>миеломной</w:t>
      </w:r>
      <w:r w:rsidRPr="00CD5E09">
        <w:rPr>
          <w:noProof/>
          <w:lang w:val="en-US"/>
        </w:rPr>
        <w:t xml:space="preserve"> </w:t>
      </w:r>
      <w:r w:rsidRPr="00A67ED2">
        <w:rPr>
          <w:noProof/>
        </w:rPr>
        <w:t>болезнью</w:t>
      </w:r>
      <w:r w:rsidRPr="00CD5E09">
        <w:rPr>
          <w:noProof/>
          <w:lang w:val="en-US"/>
        </w:rPr>
        <w:t xml:space="preserve"> // </w:t>
      </w:r>
      <w:r w:rsidRPr="00A67ED2">
        <w:rPr>
          <w:noProof/>
        </w:rPr>
        <w:t>Проблемы</w:t>
      </w:r>
      <w:r w:rsidRPr="00CD5E09">
        <w:rPr>
          <w:noProof/>
          <w:lang w:val="en-US"/>
        </w:rPr>
        <w:t xml:space="preserve"> </w:t>
      </w:r>
      <w:r w:rsidRPr="00A67ED2">
        <w:rPr>
          <w:noProof/>
        </w:rPr>
        <w:t>гематологии</w:t>
      </w:r>
      <w:r w:rsidRPr="00CD5E09">
        <w:rPr>
          <w:noProof/>
          <w:lang w:val="en-US"/>
        </w:rPr>
        <w:t xml:space="preserve"> </w:t>
      </w:r>
      <w:r w:rsidRPr="00A67ED2">
        <w:rPr>
          <w:noProof/>
        </w:rPr>
        <w:t>и</w:t>
      </w:r>
      <w:r w:rsidRPr="00CD5E09">
        <w:rPr>
          <w:noProof/>
          <w:lang w:val="en-US"/>
        </w:rPr>
        <w:t xml:space="preserve"> </w:t>
      </w:r>
      <w:r w:rsidRPr="00A67ED2">
        <w:rPr>
          <w:noProof/>
        </w:rPr>
        <w:t>переливания</w:t>
      </w:r>
      <w:r w:rsidRPr="00CD5E09">
        <w:rPr>
          <w:noProof/>
          <w:lang w:val="en-US"/>
        </w:rPr>
        <w:t>. 2003. P. 55–56.</w:t>
      </w:r>
    </w:p>
    <w:p w14:paraId="60414516" w14:textId="77777777" w:rsidR="00A67ED2" w:rsidRPr="00CD5E09" w:rsidRDefault="00A67ED2" w:rsidP="00A67ED2">
      <w:pPr>
        <w:ind w:left="640" w:hanging="640"/>
        <w:rPr>
          <w:noProof/>
          <w:lang w:val="en-US"/>
        </w:rPr>
      </w:pPr>
      <w:r w:rsidRPr="00CD5E09">
        <w:rPr>
          <w:noProof/>
          <w:lang w:val="en-US"/>
        </w:rPr>
        <w:t>147.</w:t>
      </w:r>
      <w:r w:rsidRPr="00CD5E09">
        <w:rPr>
          <w:noProof/>
          <w:lang w:val="en-US"/>
        </w:rPr>
        <w:tab/>
        <w:t>Olivieri A. et al. Proposed definition of “poor mobilizer” in lymphoma and multiple myeloma: An analytic hierarchy process by ad hoc working group Gruppo ItalianoTrapianto di Midollo Osseo // Bone Marrow Transplant. Bone Marrow Transplant, 2012. Vol. 47, № 3. P. 342–351.</w:t>
      </w:r>
    </w:p>
    <w:p w14:paraId="43044A8A" w14:textId="77777777" w:rsidR="00A67ED2" w:rsidRPr="00CD5E09" w:rsidRDefault="00A67ED2" w:rsidP="00A67ED2">
      <w:pPr>
        <w:ind w:left="640" w:hanging="640"/>
        <w:rPr>
          <w:noProof/>
          <w:lang w:val="en-US"/>
        </w:rPr>
      </w:pPr>
      <w:r w:rsidRPr="00CD5E09">
        <w:rPr>
          <w:noProof/>
          <w:lang w:val="en-US"/>
        </w:rPr>
        <w:t>148.</w:t>
      </w:r>
      <w:r w:rsidRPr="00CD5E09">
        <w:rPr>
          <w:noProof/>
          <w:lang w:val="en-US"/>
        </w:rPr>
        <w:tab/>
        <w:t>Yang B.B., Kido A. Pharmacokinetics and pharmacodynamics of pegfilgrastim // Clinical Pharmacokinetics. Clin Pharmacokinet, 2011. Vol. 50, № 5. P. 295–306.</w:t>
      </w:r>
    </w:p>
    <w:p w14:paraId="16AC590A" w14:textId="77777777" w:rsidR="00A67ED2" w:rsidRPr="00CD5E09" w:rsidRDefault="00A67ED2" w:rsidP="00A67ED2">
      <w:pPr>
        <w:ind w:left="640" w:hanging="640"/>
        <w:rPr>
          <w:noProof/>
          <w:lang w:val="en-US"/>
        </w:rPr>
      </w:pPr>
      <w:r w:rsidRPr="00CD5E09">
        <w:rPr>
          <w:noProof/>
          <w:lang w:val="en-US"/>
        </w:rPr>
        <w:t>149.</w:t>
      </w:r>
      <w:r w:rsidRPr="00CD5E09">
        <w:rPr>
          <w:noProof/>
          <w:lang w:val="en-US"/>
        </w:rPr>
        <w:tab/>
        <w:t>Costa L.J. et al. Pegfilgrastim-versus filgrastim-based autologous hematopoietic stem cell mobilization in the setting of preemptive use of plerixafor: Efficacy and cost analysis // Transfusion. Transfusion, 2012. Vol. 52, № 11. P. 2375–2381.</w:t>
      </w:r>
    </w:p>
    <w:p w14:paraId="6CE0A45B" w14:textId="77777777" w:rsidR="00A67ED2" w:rsidRPr="00CD5E09" w:rsidRDefault="00A67ED2" w:rsidP="00A67ED2">
      <w:pPr>
        <w:ind w:left="640" w:hanging="640"/>
        <w:rPr>
          <w:noProof/>
          <w:lang w:val="en-US"/>
        </w:rPr>
      </w:pPr>
      <w:r w:rsidRPr="00CD5E09">
        <w:rPr>
          <w:noProof/>
          <w:lang w:val="en-US"/>
        </w:rPr>
        <w:t>150.</w:t>
      </w:r>
      <w:r w:rsidRPr="00CD5E09">
        <w:rPr>
          <w:noProof/>
          <w:lang w:val="en-US"/>
        </w:rPr>
        <w:tab/>
        <w:t>Dale D.C. et al. A systematic literature review of the efficacy, effectiveness, and safety of filgrastim // Supportive Care in Cancer. Springer Verlag, 2018. Vol. 26, № 1. P. 7–20.</w:t>
      </w:r>
    </w:p>
    <w:p w14:paraId="010E1B18" w14:textId="77777777" w:rsidR="00A67ED2" w:rsidRPr="00CD5E09" w:rsidRDefault="00A67ED2" w:rsidP="00A67ED2">
      <w:pPr>
        <w:ind w:left="640" w:hanging="640"/>
        <w:rPr>
          <w:noProof/>
          <w:lang w:val="en-US"/>
        </w:rPr>
      </w:pPr>
      <w:r w:rsidRPr="00CD5E09">
        <w:rPr>
          <w:noProof/>
          <w:lang w:val="en-US"/>
        </w:rPr>
        <w:t>151.</w:t>
      </w:r>
      <w:r w:rsidRPr="00CD5E09">
        <w:rPr>
          <w:noProof/>
          <w:lang w:val="en-US"/>
        </w:rPr>
        <w:tab/>
        <w:t>Smith T.J. et al. Recommendations for the use of WBC growth factors: American society of clinical oncology clinical practice guideline update // J. Clin. Oncol. American Society of Clinical Oncology, 2015. Vol. 33, № 28. P. 3199–3212.</w:t>
      </w:r>
    </w:p>
    <w:p w14:paraId="153207B7" w14:textId="77777777" w:rsidR="00A67ED2" w:rsidRPr="00A67ED2" w:rsidRDefault="00A67ED2" w:rsidP="00A67ED2">
      <w:pPr>
        <w:ind w:left="640" w:hanging="640"/>
        <w:rPr>
          <w:noProof/>
        </w:rPr>
      </w:pPr>
      <w:r w:rsidRPr="00CD5E09">
        <w:rPr>
          <w:noProof/>
          <w:lang w:val="en-US"/>
        </w:rPr>
        <w:t>152.</w:t>
      </w:r>
      <w:r w:rsidRPr="00CD5E09">
        <w:rPr>
          <w:noProof/>
          <w:lang w:val="en-US"/>
        </w:rPr>
        <w:tab/>
        <w:t xml:space="preserve">Bilgin Y.M., De Greef G.E. Plerixafor for stem cell mobilization: The current status // Current Opinion in Hematology. </w:t>
      </w:r>
      <w:r w:rsidRPr="00A67ED2">
        <w:rPr>
          <w:noProof/>
        </w:rPr>
        <w:t>Lippincott Williams and Wilkins, 2016. Vol. 23, № 1. P. 67–71.</w:t>
      </w:r>
    </w:p>
    <w:p w14:paraId="3B5EC076" w14:textId="77777777" w:rsidR="00A67ED2" w:rsidRPr="00A67ED2" w:rsidRDefault="00A67ED2" w:rsidP="00A67ED2">
      <w:pPr>
        <w:ind w:left="640" w:hanging="640"/>
        <w:rPr>
          <w:noProof/>
        </w:rPr>
      </w:pPr>
      <w:r w:rsidRPr="00A67ED2">
        <w:rPr>
          <w:noProof/>
        </w:rPr>
        <w:t>153.</w:t>
      </w:r>
      <w:r w:rsidRPr="00A67ED2">
        <w:rPr>
          <w:noProof/>
        </w:rPr>
        <w:tab/>
        <w:t>Бабенецкая Д.В., Моторин Д.В., Петров А.В., Алексеева Ю.А. З.А.Ю. Мобилизация гемопоэтических стволовых клеток препаратами циклофосфамид и цитарабин в сочетании с колониестимулирующим фактором у больных множественной миеломой, кандидатов для проведения трансплантации аутологичных гемопоэтических стволовых клеток // Гематология и трансфузиология. 2017. № 62(4). P. 180-187.</w:t>
      </w:r>
    </w:p>
    <w:p w14:paraId="3D0A5110" w14:textId="77777777" w:rsidR="00A67ED2" w:rsidRPr="00A67ED2" w:rsidRDefault="00A67ED2" w:rsidP="00A67ED2">
      <w:pPr>
        <w:ind w:left="640" w:hanging="640"/>
        <w:rPr>
          <w:noProof/>
        </w:rPr>
      </w:pPr>
      <w:r w:rsidRPr="00A67ED2">
        <w:rPr>
          <w:noProof/>
        </w:rPr>
        <w:t>154.</w:t>
      </w:r>
      <w:r w:rsidRPr="00A67ED2">
        <w:rPr>
          <w:noProof/>
        </w:rPr>
        <w:tab/>
        <w:t>Покровская О.С. Кроветворная ткань и стромальное микроокружение в процессе интенсивной терапии и мобилизации гемопоэтических стволовых клеток у больных множественной миеломой: Автореф. дис.канд.мед.наук. 2011. Vol. 153. 29 p.</w:t>
      </w:r>
    </w:p>
    <w:p w14:paraId="4FD49B0B" w14:textId="77777777" w:rsidR="00A67ED2" w:rsidRPr="00CD5E09" w:rsidRDefault="00A67ED2" w:rsidP="00A67ED2">
      <w:pPr>
        <w:ind w:left="640" w:hanging="640"/>
        <w:rPr>
          <w:noProof/>
          <w:lang w:val="en-US"/>
        </w:rPr>
      </w:pPr>
      <w:r w:rsidRPr="00A67ED2">
        <w:rPr>
          <w:noProof/>
        </w:rPr>
        <w:t>155.</w:t>
      </w:r>
      <w:r w:rsidRPr="00A67ED2">
        <w:rPr>
          <w:noProof/>
        </w:rPr>
        <w:tab/>
        <w:t>Афанасьева О.И., Воинов В.А. Г.Ю.С. Экстракорпоральная гемокоррекция: терминология, языковые соответствия. СПб</w:t>
      </w:r>
      <w:r w:rsidRPr="00CD5E09">
        <w:rPr>
          <w:noProof/>
          <w:lang w:val="en-US"/>
        </w:rPr>
        <w:t>, 2016. P. 7–15.</w:t>
      </w:r>
    </w:p>
    <w:p w14:paraId="2A4CD2BC" w14:textId="77777777" w:rsidR="00A67ED2" w:rsidRPr="00CD5E09" w:rsidRDefault="00A67ED2" w:rsidP="00A67ED2">
      <w:pPr>
        <w:ind w:left="640" w:hanging="640"/>
        <w:rPr>
          <w:noProof/>
          <w:lang w:val="en-US"/>
        </w:rPr>
      </w:pPr>
      <w:r w:rsidRPr="00CD5E09">
        <w:rPr>
          <w:noProof/>
          <w:lang w:val="en-US"/>
        </w:rPr>
        <w:t>156.</w:t>
      </w:r>
      <w:r w:rsidRPr="00CD5E09">
        <w:rPr>
          <w:noProof/>
          <w:lang w:val="en-US"/>
        </w:rPr>
        <w:tab/>
        <w:t xml:space="preserve">Ikeda K. et al. Adverse Events Associated With Infusion of Hematopoietic Stem Cell </w:t>
      </w:r>
      <w:r w:rsidRPr="00CD5E09">
        <w:rPr>
          <w:noProof/>
          <w:lang w:val="en-US"/>
        </w:rPr>
        <w:lastRenderedPageBreak/>
        <w:t>Products: A Prospective and Multicenter Surveillance Study // Transfusion Medicine Reviews. W.B. Saunders, 2018. Vol. 32, № 3. P. 186–194.</w:t>
      </w:r>
    </w:p>
    <w:p w14:paraId="603D32B0" w14:textId="77777777" w:rsidR="00A67ED2" w:rsidRPr="00A67ED2" w:rsidRDefault="00A67ED2" w:rsidP="00A67ED2">
      <w:pPr>
        <w:ind w:left="640" w:hanging="640"/>
        <w:rPr>
          <w:noProof/>
        </w:rPr>
      </w:pPr>
      <w:r w:rsidRPr="00CD5E09">
        <w:rPr>
          <w:noProof/>
          <w:lang w:val="en-US"/>
        </w:rPr>
        <w:t>157.</w:t>
      </w:r>
      <w:r w:rsidRPr="00CD5E09">
        <w:rPr>
          <w:noProof/>
          <w:lang w:val="en-US"/>
        </w:rPr>
        <w:tab/>
        <w:t xml:space="preserve">Sutherland D.R. et al. The ISHAGE guidelines for CD34+ cell determination by flow cytometry // Journal of Hematotherapy and Stem Cell Research. </w:t>
      </w:r>
      <w:r w:rsidRPr="00A67ED2">
        <w:rPr>
          <w:noProof/>
        </w:rPr>
        <w:t>J Hematother, 1996. Vol. 5, № 3. P. 213–226.</w:t>
      </w:r>
    </w:p>
    <w:p w14:paraId="26CE7337" w14:textId="77777777" w:rsidR="00A67ED2" w:rsidRPr="00CD5E09" w:rsidRDefault="00A67ED2" w:rsidP="00A67ED2">
      <w:pPr>
        <w:ind w:left="640" w:hanging="640"/>
        <w:rPr>
          <w:noProof/>
          <w:lang w:val="en-US"/>
        </w:rPr>
      </w:pPr>
      <w:r w:rsidRPr="00A67ED2">
        <w:rPr>
          <w:noProof/>
        </w:rPr>
        <w:t>158.</w:t>
      </w:r>
      <w:r w:rsidRPr="00A67ED2">
        <w:rPr>
          <w:noProof/>
        </w:rPr>
        <w:tab/>
        <w:t>Савченко В.Г. и др. Алгоритмы диагностики и протоколы лечения заболеваний системы крови. Москва</w:t>
      </w:r>
      <w:r w:rsidRPr="00CD5E09">
        <w:rPr>
          <w:noProof/>
          <w:lang w:val="en-US"/>
        </w:rPr>
        <w:t xml:space="preserve">: </w:t>
      </w:r>
      <w:r w:rsidRPr="00A67ED2">
        <w:rPr>
          <w:noProof/>
        </w:rPr>
        <w:t>Практика</w:t>
      </w:r>
      <w:r w:rsidRPr="00CD5E09">
        <w:rPr>
          <w:noProof/>
          <w:lang w:val="en-US"/>
        </w:rPr>
        <w:t>, 2018. 1008 p.</w:t>
      </w:r>
    </w:p>
    <w:p w14:paraId="5926C053" w14:textId="77777777" w:rsidR="00A67ED2" w:rsidRPr="00CD5E09" w:rsidRDefault="00A67ED2" w:rsidP="00A67ED2">
      <w:pPr>
        <w:ind w:left="640" w:hanging="640"/>
        <w:rPr>
          <w:noProof/>
          <w:lang w:val="en-US"/>
        </w:rPr>
      </w:pPr>
      <w:r w:rsidRPr="00CD5E09">
        <w:rPr>
          <w:noProof/>
          <w:lang w:val="en-US"/>
        </w:rPr>
        <w:t>159.</w:t>
      </w:r>
      <w:r w:rsidRPr="00CD5E09">
        <w:rPr>
          <w:noProof/>
          <w:lang w:val="en-US"/>
        </w:rPr>
        <w:tab/>
        <w:t>Lanas A., Chan F.K.L. Peptic ulcer disease. // Lancet (London, England). Lancet, 2017. Vol. 390, № 10094. P. 613–624.</w:t>
      </w:r>
    </w:p>
    <w:p w14:paraId="3EAD0499" w14:textId="77777777" w:rsidR="00A67ED2" w:rsidRPr="00CD5E09" w:rsidRDefault="00A67ED2" w:rsidP="00A67ED2">
      <w:pPr>
        <w:ind w:left="640" w:hanging="640"/>
        <w:rPr>
          <w:noProof/>
          <w:lang w:val="en-US"/>
        </w:rPr>
      </w:pPr>
      <w:r w:rsidRPr="00CD5E09">
        <w:rPr>
          <w:noProof/>
          <w:lang w:val="en-US"/>
        </w:rPr>
        <w:t>160.</w:t>
      </w:r>
      <w:r w:rsidRPr="00CD5E09">
        <w:rPr>
          <w:noProof/>
          <w:lang w:val="en-US"/>
        </w:rPr>
        <w:tab/>
        <w:t>Auner H.W. et al. Infectious complications after autologous hematopoietic stem cell transplantation: Comparison of patients with acute myeloid leukemia, malignant lymphoma, and multiple myeloma // Ann. Hematol. Ann Hematol, 2002. Vol. 81, № 7. P. 374–377.</w:t>
      </w:r>
    </w:p>
    <w:p w14:paraId="0E963043" w14:textId="77777777" w:rsidR="00A67ED2" w:rsidRPr="00CD5E09" w:rsidRDefault="00A67ED2" w:rsidP="00A67ED2">
      <w:pPr>
        <w:ind w:left="640" w:hanging="640"/>
        <w:rPr>
          <w:noProof/>
          <w:lang w:val="en-US"/>
        </w:rPr>
      </w:pPr>
      <w:r w:rsidRPr="00CD5E09">
        <w:rPr>
          <w:noProof/>
          <w:lang w:val="en-US"/>
        </w:rPr>
        <w:t>161.</w:t>
      </w:r>
      <w:r w:rsidRPr="00CD5E09">
        <w:rPr>
          <w:noProof/>
          <w:lang w:val="en-US"/>
        </w:rPr>
        <w:tab/>
        <w:t>Gil L., Styczynski J., Komarnicki M. Infectious complication in 314 patients after high-dose therapy and autologous hematopoietic stem cell transplantation: Risk factors analysis and outcome // Infection. Infection, 2007. Vol. 35, № 6. P. 421–427.</w:t>
      </w:r>
    </w:p>
    <w:p w14:paraId="32C6232D" w14:textId="77777777" w:rsidR="00A67ED2" w:rsidRPr="00CD5E09" w:rsidRDefault="00A67ED2" w:rsidP="00A67ED2">
      <w:pPr>
        <w:ind w:left="640" w:hanging="640"/>
        <w:rPr>
          <w:noProof/>
          <w:lang w:val="en-US"/>
        </w:rPr>
      </w:pPr>
      <w:r w:rsidRPr="00CD5E09">
        <w:rPr>
          <w:noProof/>
          <w:lang w:val="en-US"/>
        </w:rPr>
        <w:t>162.</w:t>
      </w:r>
      <w:r w:rsidRPr="00CD5E09">
        <w:rPr>
          <w:noProof/>
          <w:lang w:val="en-US"/>
        </w:rPr>
        <w:tab/>
        <w:t>Eleutherakis-Papaiakovou E. et al. Prophylactic antibiotics for the prevention of neutropenic fever in patients undergoing autologous stem-cell transplantation: Results of a single institution, randomized phase 2 trial // Am. J. Hematol. Am J Hematol, 2010. Vol. 85, № 11. P. 863–867.</w:t>
      </w:r>
    </w:p>
    <w:p w14:paraId="76404EF5" w14:textId="77777777" w:rsidR="00A67ED2" w:rsidRPr="00CD5E09" w:rsidRDefault="00A67ED2" w:rsidP="00A67ED2">
      <w:pPr>
        <w:ind w:left="640" w:hanging="640"/>
        <w:rPr>
          <w:noProof/>
          <w:lang w:val="en-US"/>
        </w:rPr>
      </w:pPr>
      <w:r w:rsidRPr="00CD5E09">
        <w:rPr>
          <w:noProof/>
          <w:lang w:val="en-US"/>
        </w:rPr>
        <w:t>163.</w:t>
      </w:r>
      <w:r w:rsidRPr="00CD5E09">
        <w:rPr>
          <w:noProof/>
          <w:lang w:val="en-US"/>
        </w:rPr>
        <w:tab/>
        <w:t>Neumann S. et al. Primary prophylaxis of bacterial infections and Pneumocystis jirovecii pneumonia in patients with hematological malignancies and solid tumors: Guidelines of the Infectious Diseases Working Party (AGIHO) of the German Society of Hematology and Oncology (DG // Annals of Hematology. Ann Hematol, 2013. Vol. 92, № 4. P. 433–442.</w:t>
      </w:r>
    </w:p>
    <w:p w14:paraId="1C221680" w14:textId="77777777" w:rsidR="00A67ED2" w:rsidRPr="00CD5E09" w:rsidRDefault="00A67ED2" w:rsidP="00A67ED2">
      <w:pPr>
        <w:ind w:left="640" w:hanging="640"/>
        <w:rPr>
          <w:noProof/>
          <w:lang w:val="en-US"/>
        </w:rPr>
      </w:pPr>
      <w:r w:rsidRPr="00CD5E09">
        <w:rPr>
          <w:noProof/>
          <w:lang w:val="en-US"/>
        </w:rPr>
        <w:t>164.</w:t>
      </w:r>
      <w:r w:rsidRPr="00CD5E09">
        <w:rPr>
          <w:noProof/>
          <w:lang w:val="en-US"/>
        </w:rPr>
        <w:tab/>
        <w:t>Moghnieh R. et al. Bacteraemia post-autologous haematopoietic stem cell transplantation in the absence of antibacterial prophylaxis: a decade’s experience from Lebanon // Infection. Urban und Vogel GmbH, 2018. Vol. 46, № 6.</w:t>
      </w:r>
    </w:p>
    <w:p w14:paraId="62C5EBF6" w14:textId="77777777" w:rsidR="00A67ED2" w:rsidRPr="00CD5E09" w:rsidRDefault="00A67ED2" w:rsidP="00A67ED2">
      <w:pPr>
        <w:ind w:left="640" w:hanging="640"/>
        <w:rPr>
          <w:noProof/>
          <w:lang w:val="en-US"/>
        </w:rPr>
      </w:pPr>
      <w:r w:rsidRPr="00CD5E09">
        <w:rPr>
          <w:noProof/>
          <w:lang w:val="en-US"/>
        </w:rPr>
        <w:t>165.</w:t>
      </w:r>
      <w:r w:rsidRPr="00CD5E09">
        <w:rPr>
          <w:noProof/>
          <w:lang w:val="en-US"/>
        </w:rPr>
        <w:tab/>
      </w:r>
      <w:r w:rsidRPr="00A67ED2">
        <w:rPr>
          <w:noProof/>
        </w:rPr>
        <w:t>Клясова</w:t>
      </w:r>
      <w:r w:rsidRPr="00CD5E09">
        <w:rPr>
          <w:noProof/>
          <w:lang w:val="en-US"/>
        </w:rPr>
        <w:t xml:space="preserve"> </w:t>
      </w:r>
      <w:r w:rsidRPr="00A67ED2">
        <w:rPr>
          <w:noProof/>
        </w:rPr>
        <w:t>Г</w:t>
      </w:r>
      <w:r w:rsidRPr="00CD5E09">
        <w:rPr>
          <w:noProof/>
          <w:lang w:val="en-US"/>
        </w:rPr>
        <w:t>.</w:t>
      </w:r>
      <w:r w:rsidRPr="00A67ED2">
        <w:rPr>
          <w:noProof/>
        </w:rPr>
        <w:t>А</w:t>
      </w:r>
      <w:r w:rsidRPr="00CD5E09">
        <w:rPr>
          <w:noProof/>
          <w:lang w:val="en-US"/>
        </w:rPr>
        <w:t xml:space="preserve">. et al. </w:t>
      </w:r>
      <w:r w:rsidRPr="00A67ED2">
        <w:rPr>
          <w:noProof/>
        </w:rPr>
        <w:t xml:space="preserve">Эмпирическая антимикробная терапия у больных острыми лейкозами: итоги многоцентрового исследования // Терапевтический архив. </w:t>
      </w:r>
      <w:r w:rsidRPr="00CD5E09">
        <w:rPr>
          <w:noProof/>
          <w:lang w:val="en-US"/>
        </w:rPr>
        <w:t>1998. Vol. 70, № 7. P. 15–21.</w:t>
      </w:r>
    </w:p>
    <w:p w14:paraId="5DFA36CC" w14:textId="77777777" w:rsidR="00A67ED2" w:rsidRPr="00CD5E09" w:rsidRDefault="00A67ED2" w:rsidP="00A67ED2">
      <w:pPr>
        <w:ind w:left="640" w:hanging="640"/>
        <w:rPr>
          <w:noProof/>
          <w:lang w:val="en-US"/>
        </w:rPr>
      </w:pPr>
      <w:r w:rsidRPr="00CD5E09">
        <w:rPr>
          <w:noProof/>
          <w:lang w:val="en-US"/>
        </w:rPr>
        <w:t>166.</w:t>
      </w:r>
      <w:r w:rsidRPr="00CD5E09">
        <w:rPr>
          <w:noProof/>
          <w:lang w:val="en-US"/>
        </w:rPr>
        <w:tab/>
        <w:t>Terpos E. et al. European myeloma network guidelines for the management of multiple myeloma-related complications // Haematologica. Ferrata Storti Foundation, 2015. Vol. 100, № 10. P. 1254–1266.</w:t>
      </w:r>
    </w:p>
    <w:p w14:paraId="631528AB" w14:textId="77777777" w:rsidR="00A67ED2" w:rsidRPr="00A67ED2" w:rsidRDefault="00A67ED2" w:rsidP="00A67ED2">
      <w:pPr>
        <w:ind w:left="640" w:hanging="640"/>
        <w:rPr>
          <w:noProof/>
        </w:rPr>
      </w:pPr>
      <w:r w:rsidRPr="00CD5E09">
        <w:rPr>
          <w:noProof/>
          <w:lang w:val="en-US"/>
        </w:rPr>
        <w:t>167.</w:t>
      </w:r>
      <w:r w:rsidRPr="00CD5E09">
        <w:rPr>
          <w:noProof/>
          <w:lang w:val="en-US"/>
        </w:rPr>
        <w:tab/>
      </w:r>
      <w:r w:rsidRPr="00A67ED2">
        <w:rPr>
          <w:noProof/>
        </w:rPr>
        <w:t>Сытов</w:t>
      </w:r>
      <w:r w:rsidRPr="00CD5E09">
        <w:rPr>
          <w:noProof/>
          <w:lang w:val="en-US"/>
        </w:rPr>
        <w:t xml:space="preserve"> </w:t>
      </w:r>
      <w:r w:rsidRPr="00A67ED2">
        <w:rPr>
          <w:noProof/>
        </w:rPr>
        <w:t>А</w:t>
      </w:r>
      <w:r w:rsidRPr="00CD5E09">
        <w:rPr>
          <w:noProof/>
          <w:lang w:val="en-US"/>
        </w:rPr>
        <w:t>.</w:t>
      </w:r>
      <w:r w:rsidRPr="00A67ED2">
        <w:rPr>
          <w:noProof/>
        </w:rPr>
        <w:t>В</w:t>
      </w:r>
      <w:r w:rsidRPr="00CD5E09">
        <w:rPr>
          <w:noProof/>
          <w:lang w:val="en-US"/>
        </w:rPr>
        <w:t xml:space="preserve">., </w:t>
      </w:r>
      <w:r w:rsidRPr="00A67ED2">
        <w:rPr>
          <w:noProof/>
        </w:rPr>
        <w:t>Лейдерман</w:t>
      </w:r>
      <w:r w:rsidRPr="00CD5E09">
        <w:rPr>
          <w:noProof/>
          <w:lang w:val="en-US"/>
        </w:rPr>
        <w:t xml:space="preserve"> </w:t>
      </w:r>
      <w:r w:rsidRPr="00A67ED2">
        <w:rPr>
          <w:noProof/>
        </w:rPr>
        <w:t>И</w:t>
      </w:r>
      <w:r w:rsidRPr="00CD5E09">
        <w:rPr>
          <w:noProof/>
          <w:lang w:val="en-US"/>
        </w:rPr>
        <w:t>.</w:t>
      </w:r>
      <w:r w:rsidRPr="00A67ED2">
        <w:rPr>
          <w:noProof/>
        </w:rPr>
        <w:t>Н</w:t>
      </w:r>
      <w:r w:rsidRPr="00CD5E09">
        <w:rPr>
          <w:noProof/>
          <w:lang w:val="en-US"/>
        </w:rPr>
        <w:t xml:space="preserve">., </w:t>
      </w:r>
      <w:r w:rsidRPr="00A67ED2">
        <w:rPr>
          <w:noProof/>
        </w:rPr>
        <w:t>Ломидзе</w:t>
      </w:r>
      <w:r w:rsidRPr="00CD5E09">
        <w:rPr>
          <w:noProof/>
          <w:lang w:val="en-US"/>
        </w:rPr>
        <w:t xml:space="preserve"> </w:t>
      </w:r>
      <w:r w:rsidRPr="00A67ED2">
        <w:rPr>
          <w:noProof/>
        </w:rPr>
        <w:t>С</w:t>
      </w:r>
      <w:r w:rsidRPr="00CD5E09">
        <w:rPr>
          <w:noProof/>
          <w:lang w:val="en-US"/>
        </w:rPr>
        <w:t>.</w:t>
      </w:r>
      <w:r w:rsidRPr="00A67ED2">
        <w:rPr>
          <w:noProof/>
        </w:rPr>
        <w:t>В</w:t>
      </w:r>
      <w:r w:rsidRPr="00CD5E09">
        <w:rPr>
          <w:noProof/>
          <w:lang w:val="en-US"/>
        </w:rPr>
        <w:t xml:space="preserve">., </w:t>
      </w:r>
      <w:r w:rsidRPr="00A67ED2">
        <w:rPr>
          <w:noProof/>
        </w:rPr>
        <w:t>Нехаев</w:t>
      </w:r>
      <w:r w:rsidRPr="00CD5E09">
        <w:rPr>
          <w:noProof/>
          <w:lang w:val="en-US"/>
        </w:rPr>
        <w:t xml:space="preserve"> </w:t>
      </w:r>
      <w:r w:rsidRPr="00A67ED2">
        <w:rPr>
          <w:noProof/>
        </w:rPr>
        <w:t>И</w:t>
      </w:r>
      <w:r w:rsidRPr="00CD5E09">
        <w:rPr>
          <w:noProof/>
          <w:lang w:val="en-US"/>
        </w:rPr>
        <w:t>.</w:t>
      </w:r>
      <w:r w:rsidRPr="00A67ED2">
        <w:rPr>
          <w:noProof/>
        </w:rPr>
        <w:t>В</w:t>
      </w:r>
      <w:r w:rsidRPr="00CD5E09">
        <w:rPr>
          <w:noProof/>
          <w:lang w:val="en-US"/>
        </w:rPr>
        <w:t xml:space="preserve">. </w:t>
      </w:r>
      <w:r w:rsidRPr="00A67ED2">
        <w:rPr>
          <w:noProof/>
        </w:rPr>
        <w:t>Х</w:t>
      </w:r>
      <w:r w:rsidRPr="00CD5E09">
        <w:rPr>
          <w:noProof/>
          <w:lang w:val="en-US"/>
        </w:rPr>
        <w:t>.</w:t>
      </w:r>
      <w:r w:rsidRPr="00A67ED2">
        <w:rPr>
          <w:noProof/>
        </w:rPr>
        <w:t>А</w:t>
      </w:r>
      <w:r w:rsidRPr="00CD5E09">
        <w:rPr>
          <w:noProof/>
          <w:lang w:val="en-US"/>
        </w:rPr>
        <w:t>.</w:t>
      </w:r>
      <w:r w:rsidRPr="00A67ED2">
        <w:rPr>
          <w:noProof/>
        </w:rPr>
        <w:t>Ж</w:t>
      </w:r>
      <w:r w:rsidRPr="00CD5E09">
        <w:rPr>
          <w:noProof/>
          <w:lang w:val="en-US"/>
        </w:rPr>
        <w:t xml:space="preserve">.. </w:t>
      </w:r>
      <w:r w:rsidRPr="00A67ED2">
        <w:rPr>
          <w:noProof/>
        </w:rPr>
        <w:t xml:space="preserve">Практические </w:t>
      </w:r>
      <w:r w:rsidRPr="00A67ED2">
        <w:rPr>
          <w:noProof/>
        </w:rPr>
        <w:lastRenderedPageBreak/>
        <w:t>рекомендации по нутритивной поддержке онкологических больных // RUSSCO. 2017. P. 524–532.</w:t>
      </w:r>
    </w:p>
    <w:p w14:paraId="3DC60BED" w14:textId="77777777" w:rsidR="00A67ED2" w:rsidRPr="00CD5E09" w:rsidRDefault="00A67ED2" w:rsidP="00A67ED2">
      <w:pPr>
        <w:ind w:left="640" w:hanging="640"/>
        <w:rPr>
          <w:noProof/>
          <w:lang w:val="en-US"/>
        </w:rPr>
      </w:pPr>
      <w:r w:rsidRPr="00A67ED2">
        <w:rPr>
          <w:noProof/>
        </w:rPr>
        <w:t>168.</w:t>
      </w:r>
      <w:r w:rsidRPr="00A67ED2">
        <w:rPr>
          <w:noProof/>
        </w:rPr>
        <w:tab/>
        <w:t xml:space="preserve">Virizuela J.A. et al. </w:t>
      </w:r>
      <w:r w:rsidRPr="00CD5E09">
        <w:rPr>
          <w:noProof/>
          <w:lang w:val="en-US"/>
        </w:rPr>
        <w:t>Nutritional support and parenteral nutrition in cancer patients: an expert consensus report // Clin. Transl. Oncol. Springer-Verlag Italia s.r.l., 2018. Vol. 20, № 5. P. 619–629.</w:t>
      </w:r>
    </w:p>
    <w:p w14:paraId="71C45AD6" w14:textId="77777777" w:rsidR="00A67ED2" w:rsidRPr="00CD5E09" w:rsidRDefault="00A67ED2" w:rsidP="00A67ED2">
      <w:pPr>
        <w:ind w:left="640" w:hanging="640"/>
        <w:rPr>
          <w:noProof/>
          <w:lang w:val="en-US"/>
        </w:rPr>
      </w:pPr>
      <w:r w:rsidRPr="00A67ED2">
        <w:rPr>
          <w:noProof/>
        </w:rPr>
        <w:t>169.</w:t>
      </w:r>
      <w:r w:rsidRPr="00A67ED2">
        <w:rPr>
          <w:noProof/>
        </w:rPr>
        <w:tab/>
        <w:t xml:space="preserve">Бесова Н.С., Борисова Т.Н., Ларионова В.Б., Лейдерман И.Н., Обухова О.А., Попова Т.С., Салтанов А.И., Сельчук В.Ю., Снеговой А.В., Ткачев С.И., Тюляндин С.А. Ш.А.И. Клинические рекомендации по нутритивной поддержке при химиотерапии и/или лучевой терапии. </w:t>
      </w:r>
      <w:r w:rsidRPr="00CD5E09">
        <w:rPr>
          <w:noProof/>
          <w:lang w:val="en-US"/>
        </w:rPr>
        <w:t>2014.</w:t>
      </w:r>
    </w:p>
    <w:p w14:paraId="14DDB87C" w14:textId="77777777" w:rsidR="00A67ED2" w:rsidRPr="00CD5E09" w:rsidRDefault="00A67ED2" w:rsidP="00A67ED2">
      <w:pPr>
        <w:ind w:left="640" w:hanging="640"/>
        <w:rPr>
          <w:noProof/>
          <w:lang w:val="en-US"/>
        </w:rPr>
      </w:pPr>
      <w:r w:rsidRPr="00CD5E09">
        <w:rPr>
          <w:noProof/>
          <w:lang w:val="en-US"/>
        </w:rPr>
        <w:t>170.</w:t>
      </w:r>
      <w:r w:rsidRPr="00CD5E09">
        <w:rPr>
          <w:noProof/>
          <w:lang w:val="en-US"/>
        </w:rPr>
        <w:tab/>
        <w:t>Arends J. et al. ESPEN guidelines on nutrition in cancer patients // Clin. Nutr. Churchill Livingstone, 2017. Vol. 36, № 1. P. 11–48.</w:t>
      </w:r>
    </w:p>
    <w:p w14:paraId="18FB2086" w14:textId="77777777" w:rsidR="00A67ED2" w:rsidRPr="00CD5E09" w:rsidRDefault="00A67ED2" w:rsidP="00A67ED2">
      <w:pPr>
        <w:ind w:left="640" w:hanging="640"/>
        <w:rPr>
          <w:noProof/>
          <w:lang w:val="en-US"/>
        </w:rPr>
      </w:pPr>
      <w:r w:rsidRPr="00CD5E09">
        <w:rPr>
          <w:noProof/>
          <w:lang w:val="en-US"/>
        </w:rPr>
        <w:t>171.</w:t>
      </w:r>
      <w:r w:rsidRPr="00CD5E09">
        <w:rPr>
          <w:noProof/>
          <w:lang w:val="en-US"/>
        </w:rPr>
        <w:tab/>
        <w:t>Camblor-Álvarez M. et al. Soporte nutricional y nutrición parenteral en el paciente oncológico: informe de consenso de un grupo de expertos // Nutr. Hosp. ARAN Ediciones, 2018. Vol. 35, № 1.</w:t>
      </w:r>
    </w:p>
    <w:p w14:paraId="751B8659" w14:textId="77777777" w:rsidR="00A67ED2" w:rsidRPr="00CD5E09" w:rsidRDefault="00A67ED2" w:rsidP="00A67ED2">
      <w:pPr>
        <w:ind w:left="640" w:hanging="640"/>
        <w:rPr>
          <w:noProof/>
          <w:lang w:val="en-US"/>
        </w:rPr>
      </w:pPr>
      <w:r w:rsidRPr="00CD5E09">
        <w:rPr>
          <w:noProof/>
          <w:lang w:val="en-US"/>
        </w:rPr>
        <w:t>172.</w:t>
      </w:r>
      <w:r w:rsidRPr="00CD5E09">
        <w:rPr>
          <w:noProof/>
          <w:lang w:val="en-US"/>
        </w:rPr>
        <w:tab/>
        <w:t>Baiu I., Spain D.A. Parenteral Nutrition // JAMA - Journal of the American Medical Association. American Medical Association, 2019. Vol. 321, № 21. P. 2142.</w:t>
      </w:r>
    </w:p>
    <w:p w14:paraId="3BFE0416" w14:textId="77777777" w:rsidR="00A67ED2" w:rsidRPr="00A67ED2" w:rsidRDefault="00A67ED2" w:rsidP="00A67ED2">
      <w:pPr>
        <w:ind w:left="640" w:hanging="640"/>
        <w:rPr>
          <w:noProof/>
        </w:rPr>
      </w:pPr>
      <w:r w:rsidRPr="00CD5E09">
        <w:rPr>
          <w:noProof/>
          <w:lang w:val="en-US"/>
        </w:rPr>
        <w:t>173.</w:t>
      </w:r>
      <w:r w:rsidRPr="00CD5E09">
        <w:rPr>
          <w:noProof/>
          <w:lang w:val="en-US"/>
        </w:rPr>
        <w:tab/>
      </w:r>
      <w:r w:rsidRPr="00A67ED2">
        <w:rPr>
          <w:noProof/>
        </w:rPr>
        <w:t>Криволапов</w:t>
      </w:r>
      <w:r w:rsidRPr="00CD5E09">
        <w:rPr>
          <w:noProof/>
          <w:lang w:val="en-US"/>
        </w:rPr>
        <w:t xml:space="preserve"> </w:t>
      </w:r>
      <w:r w:rsidRPr="00A67ED2">
        <w:rPr>
          <w:noProof/>
        </w:rPr>
        <w:t>Ю</w:t>
      </w:r>
      <w:r w:rsidRPr="00CD5E09">
        <w:rPr>
          <w:noProof/>
          <w:lang w:val="en-US"/>
        </w:rPr>
        <w:t>.</w:t>
      </w:r>
      <w:r w:rsidRPr="00A67ED2">
        <w:rPr>
          <w:noProof/>
        </w:rPr>
        <w:t>А</w:t>
      </w:r>
      <w:r w:rsidRPr="00CD5E09">
        <w:rPr>
          <w:noProof/>
          <w:lang w:val="en-US"/>
        </w:rPr>
        <w:t xml:space="preserve">. </w:t>
      </w:r>
      <w:r w:rsidRPr="00A67ED2">
        <w:rPr>
          <w:noProof/>
        </w:rPr>
        <w:t>Технические</w:t>
      </w:r>
      <w:r w:rsidRPr="00CD5E09">
        <w:rPr>
          <w:noProof/>
          <w:lang w:val="en-US"/>
        </w:rPr>
        <w:t xml:space="preserve"> </w:t>
      </w:r>
      <w:r w:rsidRPr="00A67ED2">
        <w:rPr>
          <w:noProof/>
        </w:rPr>
        <w:t>аспекты</w:t>
      </w:r>
      <w:r w:rsidRPr="00CD5E09">
        <w:rPr>
          <w:noProof/>
          <w:lang w:val="en-US"/>
        </w:rPr>
        <w:t xml:space="preserve"> </w:t>
      </w:r>
      <w:r w:rsidRPr="00A67ED2">
        <w:rPr>
          <w:noProof/>
        </w:rPr>
        <w:t>выполнения</w:t>
      </w:r>
      <w:r w:rsidRPr="00CD5E09">
        <w:rPr>
          <w:noProof/>
          <w:lang w:val="en-US"/>
        </w:rPr>
        <w:t xml:space="preserve"> </w:t>
      </w:r>
      <w:r w:rsidRPr="00A67ED2">
        <w:rPr>
          <w:noProof/>
        </w:rPr>
        <w:t>трепанобиопсий</w:t>
      </w:r>
      <w:r w:rsidRPr="00CD5E09">
        <w:rPr>
          <w:noProof/>
          <w:lang w:val="en-US"/>
        </w:rPr>
        <w:t xml:space="preserve"> </w:t>
      </w:r>
      <w:r w:rsidRPr="00A67ED2">
        <w:rPr>
          <w:noProof/>
        </w:rPr>
        <w:t>костного</w:t>
      </w:r>
      <w:r w:rsidRPr="00CD5E09">
        <w:rPr>
          <w:noProof/>
          <w:lang w:val="en-US"/>
        </w:rPr>
        <w:t xml:space="preserve"> </w:t>
      </w:r>
      <w:r w:rsidRPr="00A67ED2">
        <w:rPr>
          <w:noProof/>
        </w:rPr>
        <w:t>мозга</w:t>
      </w:r>
      <w:r w:rsidRPr="00CD5E09">
        <w:rPr>
          <w:noProof/>
          <w:lang w:val="en-US"/>
        </w:rPr>
        <w:t xml:space="preserve">. </w:t>
      </w:r>
      <w:r w:rsidRPr="00A67ED2">
        <w:rPr>
          <w:noProof/>
        </w:rPr>
        <w:t>Клиническая онкогематология 2014; 7:290—295 // Клиническая онкогематология. 2014. Vol. 7. P. 290–295.</w:t>
      </w:r>
    </w:p>
    <w:p w14:paraId="1AEF8E4B" w14:textId="77777777" w:rsidR="00A67ED2" w:rsidRPr="00CD5E09" w:rsidRDefault="00A67ED2" w:rsidP="00A67ED2">
      <w:pPr>
        <w:ind w:left="640" w:hanging="640"/>
        <w:rPr>
          <w:noProof/>
          <w:lang w:val="en-US"/>
        </w:rPr>
      </w:pPr>
      <w:r w:rsidRPr="00A67ED2">
        <w:rPr>
          <w:noProof/>
        </w:rPr>
        <w:t>174.</w:t>
      </w:r>
      <w:r w:rsidRPr="00A67ED2">
        <w:rPr>
          <w:noProof/>
        </w:rPr>
        <w:tab/>
        <w:t xml:space="preserve">Wang J. et al. </w:t>
      </w:r>
      <w:r w:rsidRPr="00CD5E09">
        <w:rPr>
          <w:noProof/>
          <w:lang w:val="en-US"/>
        </w:rPr>
        <w:t>Diagnostic utility of bilateral bone marrow examination: Significance of morphologic and ancillary technique study in malignancy // Cancer. Cancer, 2002. Vol. 94, № 5. P. 1522–1531.</w:t>
      </w:r>
    </w:p>
    <w:p w14:paraId="7332A5F7" w14:textId="77777777" w:rsidR="00A67ED2" w:rsidRPr="00CD5E09" w:rsidRDefault="00A67ED2" w:rsidP="00A67ED2">
      <w:pPr>
        <w:ind w:left="640" w:hanging="640"/>
        <w:rPr>
          <w:noProof/>
          <w:lang w:val="en-US"/>
        </w:rPr>
      </w:pPr>
      <w:r w:rsidRPr="00CD5E09">
        <w:rPr>
          <w:noProof/>
          <w:lang w:val="en-US"/>
        </w:rPr>
        <w:t>175.</w:t>
      </w:r>
      <w:r w:rsidRPr="00CD5E09">
        <w:rPr>
          <w:noProof/>
          <w:lang w:val="en-US"/>
        </w:rPr>
        <w:tab/>
        <w:t>Fong B., Van Bendegon J.M. Lumbar puncture. Neurologic and neurosurgical procedures // Rechman, E.F., Simon, R.R., eds. Emergency Medicine Procedures. New York: McGraw-Hill, 2004. P. 859–880.</w:t>
      </w:r>
    </w:p>
    <w:p w14:paraId="7915E2F2" w14:textId="77777777" w:rsidR="00A67ED2" w:rsidRPr="00A67ED2" w:rsidRDefault="00A67ED2" w:rsidP="00A67ED2">
      <w:pPr>
        <w:ind w:left="640" w:hanging="640"/>
        <w:rPr>
          <w:noProof/>
        </w:rPr>
      </w:pPr>
      <w:r w:rsidRPr="00CD5E09">
        <w:rPr>
          <w:noProof/>
          <w:lang w:val="en-US"/>
        </w:rPr>
        <w:t>176.</w:t>
      </w:r>
      <w:r w:rsidRPr="00CD5E09">
        <w:rPr>
          <w:noProof/>
          <w:lang w:val="en-US"/>
        </w:rPr>
        <w:tab/>
      </w:r>
      <w:r w:rsidRPr="00A67ED2">
        <w:rPr>
          <w:noProof/>
        </w:rPr>
        <w:t>Троицкая</w:t>
      </w:r>
      <w:r w:rsidRPr="00CD5E09">
        <w:rPr>
          <w:noProof/>
          <w:lang w:val="en-US"/>
        </w:rPr>
        <w:t xml:space="preserve"> </w:t>
      </w:r>
      <w:r w:rsidRPr="00A67ED2">
        <w:rPr>
          <w:noProof/>
        </w:rPr>
        <w:t>В</w:t>
      </w:r>
      <w:r w:rsidRPr="00CD5E09">
        <w:rPr>
          <w:noProof/>
          <w:lang w:val="en-US"/>
        </w:rPr>
        <w:t>.</w:t>
      </w:r>
      <w:r w:rsidRPr="00A67ED2">
        <w:rPr>
          <w:noProof/>
        </w:rPr>
        <w:t>В</w:t>
      </w:r>
      <w:r w:rsidRPr="00CD5E09">
        <w:rPr>
          <w:noProof/>
          <w:lang w:val="en-US"/>
        </w:rPr>
        <w:t xml:space="preserve">. et al. </w:t>
      </w:r>
      <w:r w:rsidRPr="00A67ED2">
        <w:rPr>
          <w:noProof/>
        </w:rPr>
        <w:t>Протокол индукционной фазы лечения острых лейкозов, протекающих с гиперлейкоцитозом // Алгоритмы диагностики и протоколы лечения заболеваний системы крови. НМИЦ Гематологии. Под ред. В.Г. Савченко. Практика, 2018. P. 731–752.</w:t>
      </w:r>
    </w:p>
    <w:p w14:paraId="57B0659C" w14:textId="77777777" w:rsidR="00A67ED2" w:rsidRPr="00CD5E09" w:rsidRDefault="00A67ED2" w:rsidP="00A67ED2">
      <w:pPr>
        <w:ind w:left="640" w:hanging="640"/>
        <w:rPr>
          <w:noProof/>
          <w:lang w:val="en-US"/>
        </w:rPr>
      </w:pPr>
      <w:r w:rsidRPr="00A67ED2">
        <w:rPr>
          <w:noProof/>
        </w:rPr>
        <w:t>177.</w:t>
      </w:r>
      <w:r w:rsidRPr="00A67ED2">
        <w:rPr>
          <w:noProof/>
        </w:rPr>
        <w:tab/>
        <w:t xml:space="preserve">Porcu P. et al. </w:t>
      </w:r>
      <w:r w:rsidRPr="00CD5E09">
        <w:rPr>
          <w:noProof/>
          <w:lang w:val="en-US"/>
        </w:rPr>
        <w:t>Leukocytoreduction for acute leukemia // Ther. Apher. Ther Apher, 2002. Vol. 6, № 1. P. 15–23.</w:t>
      </w:r>
    </w:p>
    <w:p w14:paraId="2536E9B7" w14:textId="77777777" w:rsidR="00A67ED2" w:rsidRPr="00CD5E09" w:rsidRDefault="00A67ED2" w:rsidP="00A67ED2">
      <w:pPr>
        <w:ind w:left="640" w:hanging="640"/>
        <w:rPr>
          <w:noProof/>
          <w:lang w:val="en-US"/>
        </w:rPr>
      </w:pPr>
      <w:r w:rsidRPr="00CD5E09">
        <w:rPr>
          <w:noProof/>
          <w:lang w:val="en-US"/>
        </w:rPr>
        <w:t>178.</w:t>
      </w:r>
      <w:r w:rsidRPr="00CD5E09">
        <w:rPr>
          <w:noProof/>
          <w:lang w:val="en-US"/>
        </w:rPr>
        <w:tab/>
        <w:t xml:space="preserve">Szczepiorkowski Z.M. et al. Guidelines on the use of therapeutic apheresis in clinical practice - Evidence-based approach from the apheresis applications committee of the American Society for Apheresis // Journal of Clinical Apheresis. Wiley-Liss Inc., 2010. </w:t>
      </w:r>
      <w:r w:rsidRPr="00CD5E09">
        <w:rPr>
          <w:noProof/>
          <w:lang w:val="en-US"/>
        </w:rPr>
        <w:lastRenderedPageBreak/>
        <w:t>Vol. 25, № 3. P. 83–177.</w:t>
      </w:r>
    </w:p>
    <w:p w14:paraId="46B0D55E" w14:textId="77777777" w:rsidR="00A67ED2" w:rsidRPr="00CD5E09" w:rsidRDefault="00A67ED2" w:rsidP="00A67ED2">
      <w:pPr>
        <w:ind w:left="640" w:hanging="640"/>
        <w:rPr>
          <w:noProof/>
          <w:lang w:val="en-US"/>
        </w:rPr>
      </w:pPr>
      <w:r w:rsidRPr="00CD5E09">
        <w:rPr>
          <w:noProof/>
          <w:lang w:val="en-US"/>
        </w:rPr>
        <w:t>179.</w:t>
      </w:r>
      <w:r w:rsidRPr="00CD5E09">
        <w:rPr>
          <w:noProof/>
          <w:lang w:val="en-US"/>
        </w:rPr>
        <w:tab/>
        <w:t>Ganzel C. et al. Hyperleukocytosis, leukostasis and leukapheresis: Practice management // Blood Rev. Blood Rev, 2012. Vol. 26, № 3. P. 117–122.</w:t>
      </w:r>
    </w:p>
    <w:p w14:paraId="08F6405B" w14:textId="77777777" w:rsidR="00A67ED2" w:rsidRPr="00CD5E09" w:rsidRDefault="00A67ED2" w:rsidP="00A67ED2">
      <w:pPr>
        <w:ind w:left="640" w:hanging="640"/>
        <w:rPr>
          <w:noProof/>
          <w:lang w:val="en-US"/>
        </w:rPr>
      </w:pPr>
      <w:r w:rsidRPr="00CD5E09">
        <w:rPr>
          <w:noProof/>
          <w:lang w:val="en-US"/>
        </w:rPr>
        <w:t>180.</w:t>
      </w:r>
      <w:r w:rsidRPr="00CD5E09">
        <w:rPr>
          <w:noProof/>
          <w:lang w:val="en-US"/>
        </w:rPr>
        <w:tab/>
        <w:t>SPIRIN M., GALSTYAN G., DROKOV M. Central venous access in lymphoma patients (pts) with superior vena cava syndrome (SVCS) // INTENSIVE CARE Med. Exp. 2019. Vol. 7, № Suppl. 3:001341. P. 388–389.</w:t>
      </w:r>
    </w:p>
    <w:p w14:paraId="6A0FA84A" w14:textId="77777777" w:rsidR="00A67ED2" w:rsidRPr="00CD5E09" w:rsidRDefault="00A67ED2" w:rsidP="00A67ED2">
      <w:pPr>
        <w:ind w:left="640" w:hanging="640"/>
        <w:rPr>
          <w:noProof/>
          <w:lang w:val="en-US"/>
        </w:rPr>
      </w:pPr>
      <w:r w:rsidRPr="00CD5E09">
        <w:rPr>
          <w:noProof/>
          <w:lang w:val="en-US"/>
        </w:rPr>
        <w:t>181.</w:t>
      </w:r>
      <w:r w:rsidRPr="00CD5E09">
        <w:rPr>
          <w:noProof/>
          <w:lang w:val="en-US"/>
        </w:rPr>
        <w:tab/>
        <w:t>Pluschnig U. et al. Extravasation emergencies: state-of-the-art management and progress in clinical research. // Memo. Springer, 2016. Vol. 9, № 4. P. 226–230.</w:t>
      </w:r>
    </w:p>
    <w:p w14:paraId="75B818CA" w14:textId="77777777" w:rsidR="00A67ED2" w:rsidRPr="00CD5E09" w:rsidRDefault="00A67ED2" w:rsidP="00A67ED2">
      <w:pPr>
        <w:ind w:left="640" w:hanging="640"/>
        <w:rPr>
          <w:noProof/>
          <w:lang w:val="en-US"/>
        </w:rPr>
      </w:pPr>
      <w:r w:rsidRPr="00CD5E09">
        <w:rPr>
          <w:noProof/>
          <w:lang w:val="en-US"/>
        </w:rPr>
        <w:t>182.</w:t>
      </w:r>
      <w:r w:rsidRPr="00CD5E09">
        <w:rPr>
          <w:noProof/>
          <w:lang w:val="en-US"/>
        </w:rPr>
        <w:tab/>
        <w:t>Zeidler K. et al. Optimal preprocedural platelet transfusion threshold for central venous catheter insertions in patients with thrombocytopenia. // Transfusion. 2011. Vol. 51, № 11. P. 2269–2276.</w:t>
      </w:r>
    </w:p>
    <w:p w14:paraId="329BEB87" w14:textId="77777777" w:rsidR="00A67ED2" w:rsidRPr="00CD5E09" w:rsidRDefault="00A67ED2" w:rsidP="00A67ED2">
      <w:pPr>
        <w:ind w:left="640" w:hanging="640"/>
        <w:rPr>
          <w:noProof/>
          <w:lang w:val="en-US"/>
        </w:rPr>
      </w:pPr>
      <w:r w:rsidRPr="00CD5E09">
        <w:rPr>
          <w:noProof/>
          <w:lang w:val="en-US"/>
        </w:rPr>
        <w:t>183.</w:t>
      </w:r>
      <w:r w:rsidRPr="00CD5E09">
        <w:rPr>
          <w:noProof/>
          <w:lang w:val="en-US"/>
        </w:rPr>
        <w:tab/>
        <w:t>Zerati A.E. et al. Totally implantable venous catheters : history , implantation technique and complications. // J Vasc Bras. 2017. Vol. 16, № 2. P. 128–139.</w:t>
      </w:r>
    </w:p>
    <w:p w14:paraId="22A7747C" w14:textId="77777777" w:rsidR="00A67ED2" w:rsidRPr="00CD5E09" w:rsidRDefault="00A67ED2" w:rsidP="00A67ED2">
      <w:pPr>
        <w:ind w:left="640" w:hanging="640"/>
        <w:rPr>
          <w:noProof/>
          <w:lang w:val="en-US"/>
        </w:rPr>
      </w:pPr>
      <w:r w:rsidRPr="00CD5E09">
        <w:rPr>
          <w:noProof/>
          <w:lang w:val="en-US"/>
        </w:rPr>
        <w:t>184.</w:t>
      </w:r>
      <w:r w:rsidRPr="00CD5E09">
        <w:rPr>
          <w:noProof/>
          <w:lang w:val="en-US"/>
        </w:rPr>
        <w:tab/>
        <w:t>Gow K.W., Tapper D., Hickman R.O. Between the lines: The 50th anniversary of long-term central venous catheters // Am. J. Surg. Elsevier Ltd, 2017. Vol. 213, № 5. P. 837–848.</w:t>
      </w:r>
    </w:p>
    <w:p w14:paraId="0D2C75BE" w14:textId="77777777" w:rsidR="00A67ED2" w:rsidRPr="00CD5E09" w:rsidRDefault="00A67ED2" w:rsidP="00A67ED2">
      <w:pPr>
        <w:ind w:left="640" w:hanging="640"/>
        <w:rPr>
          <w:noProof/>
          <w:lang w:val="en-US"/>
        </w:rPr>
      </w:pPr>
      <w:r w:rsidRPr="00CD5E09">
        <w:rPr>
          <w:noProof/>
          <w:lang w:val="en-US"/>
        </w:rPr>
        <w:t>185.</w:t>
      </w:r>
      <w:r w:rsidRPr="00CD5E09">
        <w:rPr>
          <w:noProof/>
          <w:lang w:val="en-US"/>
        </w:rPr>
        <w:tab/>
        <w:t>Yeral M. et al. Tunnelled central venous catheter-related problems in the early phase of haematopoietic stem cell transplantation and effects on transplant outcome. // Turkish J. Haematol.  Off. J. Turkish Soc. Haematol. Galenos Yayinevi, 2015. Vol. 32, № 1. P. 51–57.</w:t>
      </w:r>
    </w:p>
    <w:p w14:paraId="7DADB271" w14:textId="77777777" w:rsidR="00A67ED2" w:rsidRPr="00CD5E09" w:rsidRDefault="00A67ED2" w:rsidP="00A67ED2">
      <w:pPr>
        <w:ind w:left="640" w:hanging="640"/>
        <w:rPr>
          <w:noProof/>
          <w:lang w:val="en-US"/>
        </w:rPr>
      </w:pPr>
      <w:r w:rsidRPr="00CD5E09">
        <w:rPr>
          <w:noProof/>
          <w:lang w:val="en-US"/>
        </w:rPr>
        <w:t>186.</w:t>
      </w:r>
      <w:r w:rsidRPr="00CD5E09">
        <w:rPr>
          <w:noProof/>
          <w:lang w:val="en-US"/>
        </w:rPr>
        <w:tab/>
        <w:t>Maki D.G., Kluger D.M., Crnich C.J. The Risk of Bloodstream Infection in Adults With Different Intravascular Devices: A Systematic Review of 200 Published Prospective Studies // Mayo Clin. Proc. Elsevier, 2006. Vol. 81, № 9. P. 1159–1171.</w:t>
      </w:r>
    </w:p>
    <w:p w14:paraId="0BA390A4" w14:textId="77777777" w:rsidR="00A67ED2" w:rsidRPr="00CD5E09" w:rsidRDefault="00A67ED2" w:rsidP="00A67ED2">
      <w:pPr>
        <w:ind w:left="640" w:hanging="640"/>
        <w:rPr>
          <w:noProof/>
          <w:lang w:val="en-US"/>
        </w:rPr>
      </w:pPr>
      <w:r w:rsidRPr="00CD5E09">
        <w:rPr>
          <w:noProof/>
          <w:lang w:val="en-US"/>
        </w:rPr>
        <w:t>187.</w:t>
      </w:r>
      <w:r w:rsidRPr="00CD5E09">
        <w:rPr>
          <w:noProof/>
          <w:lang w:val="en-US"/>
        </w:rPr>
        <w:tab/>
        <w:t>Hamilton H. Central Venous Catheters / ed. Bodenham A.R. Oxford, UK: Wiley-Blackwell, 2009.</w:t>
      </w:r>
    </w:p>
    <w:p w14:paraId="1CF09329" w14:textId="77777777" w:rsidR="00A67ED2" w:rsidRPr="00CD5E09" w:rsidRDefault="00A67ED2" w:rsidP="00A67ED2">
      <w:pPr>
        <w:ind w:left="640" w:hanging="640"/>
        <w:rPr>
          <w:noProof/>
          <w:lang w:val="en-US"/>
        </w:rPr>
      </w:pPr>
      <w:r w:rsidRPr="00CD5E09">
        <w:rPr>
          <w:noProof/>
          <w:lang w:val="en-US"/>
        </w:rPr>
        <w:t>188.</w:t>
      </w:r>
      <w:r w:rsidRPr="00CD5E09">
        <w:rPr>
          <w:noProof/>
          <w:lang w:val="en-US"/>
        </w:rPr>
        <w:tab/>
        <w:t>Biffi R. Introduction and Overview of PICC History // Peripherally Inserted Central Venous Catheters. Milano: Springer Milan, 2014. P. 1–6.</w:t>
      </w:r>
    </w:p>
    <w:p w14:paraId="544A4C7B" w14:textId="77777777" w:rsidR="00A67ED2" w:rsidRPr="00CD5E09" w:rsidRDefault="00A67ED2" w:rsidP="00A67ED2">
      <w:pPr>
        <w:ind w:left="640" w:hanging="640"/>
        <w:rPr>
          <w:noProof/>
          <w:lang w:val="en-US"/>
        </w:rPr>
      </w:pPr>
      <w:r w:rsidRPr="00CD5E09">
        <w:rPr>
          <w:noProof/>
          <w:lang w:val="en-US"/>
        </w:rPr>
        <w:t>189.</w:t>
      </w:r>
      <w:r w:rsidRPr="00CD5E09">
        <w:rPr>
          <w:noProof/>
          <w:lang w:val="en-US"/>
        </w:rPr>
        <w:tab/>
        <w:t>Linenberger M.L. Catheter-related thrombosis: risks, diagnosis, and management. // J. Natl. Compr. Canc. Netw. 2006. Vol. 4, № 9. P. 889–901.</w:t>
      </w:r>
    </w:p>
    <w:p w14:paraId="4164FA8D" w14:textId="77777777" w:rsidR="00A67ED2" w:rsidRPr="00A67ED2" w:rsidRDefault="00A67ED2" w:rsidP="00A67ED2">
      <w:pPr>
        <w:ind w:left="640" w:hanging="640"/>
        <w:rPr>
          <w:noProof/>
        </w:rPr>
      </w:pPr>
      <w:r w:rsidRPr="00CD5E09">
        <w:rPr>
          <w:noProof/>
          <w:lang w:val="en-US"/>
        </w:rPr>
        <w:t>190.</w:t>
      </w:r>
      <w:r w:rsidRPr="00CD5E09">
        <w:rPr>
          <w:noProof/>
          <w:lang w:val="en-US"/>
        </w:rPr>
        <w:tab/>
        <w:t xml:space="preserve">Lee A.Y.Y., Kamphuisen P.W. Epidemiology and prevention of catheter-related thrombosis in patients with cancer // J. Thromb. </w:t>
      </w:r>
      <w:r w:rsidRPr="00A67ED2">
        <w:rPr>
          <w:noProof/>
        </w:rPr>
        <w:t>Haemost. 2012. № 10. P. 1491–1499.</w:t>
      </w:r>
    </w:p>
    <w:p w14:paraId="59ECD454" w14:textId="77777777" w:rsidR="00A67ED2" w:rsidRPr="00CD5E09" w:rsidRDefault="00A67ED2" w:rsidP="00A67ED2">
      <w:pPr>
        <w:ind w:left="640" w:hanging="640"/>
        <w:rPr>
          <w:noProof/>
          <w:lang w:val="en-US"/>
        </w:rPr>
      </w:pPr>
      <w:r w:rsidRPr="00A67ED2">
        <w:rPr>
          <w:noProof/>
        </w:rPr>
        <w:t>191.</w:t>
      </w:r>
      <w:r w:rsidRPr="00A67ED2">
        <w:rPr>
          <w:noProof/>
        </w:rPr>
        <w:tab/>
        <w:t xml:space="preserve">Цепенщинков Л.., Лядов В.К. Периферически имплантируемый центральный венозный катетер: обзор литераутры. // Клиническая онкогематология. </w:t>
      </w:r>
      <w:r w:rsidRPr="00CD5E09">
        <w:rPr>
          <w:noProof/>
          <w:lang w:val="en-US"/>
        </w:rPr>
        <w:t>2014. Vol. 7, № 2. P. 220–228.</w:t>
      </w:r>
    </w:p>
    <w:p w14:paraId="6D9A83F0" w14:textId="77777777" w:rsidR="00A67ED2" w:rsidRPr="00CD5E09" w:rsidRDefault="00A67ED2" w:rsidP="00A67ED2">
      <w:pPr>
        <w:ind w:left="640" w:hanging="640"/>
        <w:rPr>
          <w:noProof/>
          <w:lang w:val="en-US"/>
        </w:rPr>
      </w:pPr>
      <w:r w:rsidRPr="00CD5E09">
        <w:rPr>
          <w:noProof/>
          <w:lang w:val="en-US"/>
        </w:rPr>
        <w:t>192.</w:t>
      </w:r>
      <w:r w:rsidRPr="00CD5E09">
        <w:rPr>
          <w:noProof/>
          <w:lang w:val="en-US"/>
        </w:rPr>
        <w:tab/>
        <w:t xml:space="preserve">Linder L.E. et al. Material thrombogenicity in central venous catheterization: a comparison </w:t>
      </w:r>
      <w:r w:rsidRPr="00CD5E09">
        <w:rPr>
          <w:noProof/>
          <w:lang w:val="en-US"/>
        </w:rPr>
        <w:lastRenderedPageBreak/>
        <w:t>between soft, antebrachial catheters of silicone elastomer and polyurethane. // JPEN. J. Parenter. Enteral Nutr. 1984. Vol. 8, № 4. P. 399–406.</w:t>
      </w:r>
    </w:p>
    <w:p w14:paraId="5BC47DD4" w14:textId="77777777" w:rsidR="00A67ED2" w:rsidRPr="00CD5E09" w:rsidRDefault="00A67ED2" w:rsidP="00A67ED2">
      <w:pPr>
        <w:ind w:left="640" w:hanging="640"/>
        <w:rPr>
          <w:noProof/>
          <w:lang w:val="en-US"/>
        </w:rPr>
      </w:pPr>
      <w:r w:rsidRPr="00CD5E09">
        <w:rPr>
          <w:noProof/>
          <w:lang w:val="en-US"/>
        </w:rPr>
        <w:t>193.</w:t>
      </w:r>
      <w:r w:rsidRPr="00CD5E09">
        <w:rPr>
          <w:noProof/>
          <w:lang w:val="en-US"/>
        </w:rPr>
        <w:tab/>
        <w:t>Watters V.A., Grant J.P. Use of Electrocardiogram to Position Right Atrial Catheters During Surgery // Ann. Surg. Vol. 225, № 2. P. 165–171.</w:t>
      </w:r>
    </w:p>
    <w:p w14:paraId="1C1C20BC" w14:textId="77777777" w:rsidR="00A67ED2" w:rsidRPr="00CD5E09" w:rsidRDefault="00A67ED2" w:rsidP="00A67ED2">
      <w:pPr>
        <w:ind w:left="640" w:hanging="640"/>
        <w:rPr>
          <w:noProof/>
          <w:lang w:val="en-US"/>
        </w:rPr>
      </w:pPr>
      <w:r w:rsidRPr="00CD5E09">
        <w:rPr>
          <w:noProof/>
          <w:lang w:val="en-US"/>
        </w:rPr>
        <w:t>194.</w:t>
      </w:r>
      <w:r w:rsidRPr="00CD5E09">
        <w:rPr>
          <w:noProof/>
          <w:lang w:val="en-US"/>
        </w:rPr>
        <w:tab/>
        <w:t>Taal M.W., Chesterton L.J., McIntyre C.W. Venography at insertion of tunnelled internal jugular vein dialysis catheters reveals significant occult stenosis // Nephrol. Dial. Transplant. Oxford University Press, 2004. Vol. 19, № 6. P. 1542–1545.</w:t>
      </w:r>
    </w:p>
    <w:p w14:paraId="7E20834A" w14:textId="77777777" w:rsidR="00A67ED2" w:rsidRPr="00A67ED2" w:rsidRDefault="00A67ED2" w:rsidP="00A67ED2">
      <w:pPr>
        <w:ind w:left="640" w:hanging="640"/>
        <w:rPr>
          <w:noProof/>
        </w:rPr>
      </w:pPr>
      <w:r w:rsidRPr="00CD5E09">
        <w:rPr>
          <w:noProof/>
          <w:lang w:val="en-US"/>
        </w:rPr>
        <w:t>195.</w:t>
      </w:r>
      <w:r w:rsidRPr="00CD5E09">
        <w:rPr>
          <w:noProof/>
          <w:lang w:val="en-US"/>
        </w:rPr>
        <w:tab/>
        <w:t xml:space="preserve">Lobato E.B. et al. Cross-sectional area of the right and left internal jugular veins. // J. Cardiothorac. </w:t>
      </w:r>
      <w:r w:rsidRPr="00A67ED2">
        <w:rPr>
          <w:noProof/>
        </w:rPr>
        <w:t>Vasc. Anesth. 1999. Vol. 13, № 2. P. 136–138.</w:t>
      </w:r>
    </w:p>
    <w:p w14:paraId="4059BA86" w14:textId="77777777" w:rsidR="00A67ED2" w:rsidRPr="00A67ED2" w:rsidRDefault="00A67ED2" w:rsidP="00A67ED2">
      <w:pPr>
        <w:ind w:left="640" w:hanging="640"/>
        <w:rPr>
          <w:noProof/>
        </w:rPr>
      </w:pPr>
      <w:r w:rsidRPr="00A67ED2">
        <w:rPr>
          <w:noProof/>
        </w:rPr>
        <w:t>196.</w:t>
      </w:r>
      <w:r w:rsidRPr="00A67ED2">
        <w:rPr>
          <w:noProof/>
        </w:rPr>
        <w:tab/>
        <w:t>Червонцева А.М. Повреждение сосудистого эндотелия в процессе лечения острых миелоидных лейкозов. 2008.</w:t>
      </w:r>
    </w:p>
    <w:p w14:paraId="4D557E45" w14:textId="77777777" w:rsidR="00A67ED2" w:rsidRPr="00CD5E09" w:rsidRDefault="00A67ED2" w:rsidP="00A67ED2">
      <w:pPr>
        <w:ind w:left="640" w:hanging="640"/>
        <w:rPr>
          <w:noProof/>
          <w:lang w:val="en-US"/>
        </w:rPr>
      </w:pPr>
      <w:r w:rsidRPr="00A67ED2">
        <w:rPr>
          <w:noProof/>
        </w:rPr>
        <w:t>197.</w:t>
      </w:r>
      <w:r w:rsidRPr="00A67ED2">
        <w:rPr>
          <w:noProof/>
        </w:rPr>
        <w:tab/>
        <w:t xml:space="preserve">Багирова Н.С. Инфекции, связанные с внутрисосудистыми устройствами: терминология, диагностика, профилактика и терапия // Злокачественные опухоли. </w:t>
      </w:r>
      <w:r w:rsidRPr="00CD5E09">
        <w:rPr>
          <w:noProof/>
          <w:lang w:val="en-US"/>
        </w:rPr>
        <w:t>2014. № 3. P. 164–171.</w:t>
      </w:r>
    </w:p>
    <w:p w14:paraId="63DA03DE" w14:textId="77777777" w:rsidR="00A67ED2" w:rsidRPr="00CD5E09" w:rsidRDefault="00A67ED2" w:rsidP="00A67ED2">
      <w:pPr>
        <w:ind w:left="640" w:hanging="640"/>
        <w:rPr>
          <w:noProof/>
          <w:lang w:val="en-US"/>
        </w:rPr>
      </w:pPr>
      <w:r w:rsidRPr="00CD5E09">
        <w:rPr>
          <w:noProof/>
          <w:lang w:val="en-US"/>
        </w:rPr>
        <w:t>198.</w:t>
      </w:r>
      <w:r w:rsidRPr="00CD5E09">
        <w:rPr>
          <w:noProof/>
          <w:lang w:val="en-US"/>
        </w:rPr>
        <w:tab/>
        <w:t>Bannon M.P., Heller S.F., Rivera M. Anatomic considerations for central venous cannulation. // Risk Manag. Healthc. Policy. Dove Press, 2011. Vol. 4. P. 27–39.</w:t>
      </w:r>
    </w:p>
    <w:p w14:paraId="3DD33D95" w14:textId="77777777" w:rsidR="00A67ED2" w:rsidRPr="00A67ED2" w:rsidRDefault="00A67ED2" w:rsidP="00A67ED2">
      <w:pPr>
        <w:ind w:left="640" w:hanging="640"/>
        <w:rPr>
          <w:noProof/>
        </w:rPr>
      </w:pPr>
      <w:r w:rsidRPr="00CD5E09">
        <w:rPr>
          <w:noProof/>
          <w:lang w:val="en-US"/>
        </w:rPr>
        <w:t>199.</w:t>
      </w:r>
      <w:r w:rsidRPr="00CD5E09">
        <w:rPr>
          <w:noProof/>
          <w:lang w:val="en-US"/>
        </w:rPr>
        <w:tab/>
        <w:t xml:space="preserve">Milling T.J. et al. Randomized, controlled clinical trial of point-of-care limited ultrasonography assistance of central venous cannulation: The Third Sonography Outcomes Assessment Program (SOAP-3) Trial* // Crit. </w:t>
      </w:r>
      <w:r w:rsidRPr="00A67ED2">
        <w:rPr>
          <w:noProof/>
        </w:rPr>
        <w:t>Care Med. 2005. Vol. 33, № 8. P. 1764–1769.</w:t>
      </w:r>
    </w:p>
    <w:p w14:paraId="6BEE401D" w14:textId="77777777" w:rsidR="00A67ED2" w:rsidRPr="00A67ED2" w:rsidRDefault="00A67ED2" w:rsidP="00A67ED2">
      <w:pPr>
        <w:ind w:left="640" w:hanging="640"/>
        <w:rPr>
          <w:noProof/>
        </w:rPr>
      </w:pPr>
      <w:r w:rsidRPr="00A67ED2">
        <w:rPr>
          <w:noProof/>
        </w:rPr>
        <w:t>200.</w:t>
      </w:r>
      <w:r w:rsidRPr="00A67ED2">
        <w:rPr>
          <w:noProof/>
        </w:rPr>
        <w:tab/>
        <w:t>Зозуля Н.И., Кумскова М.А. Протокол диагностики и лечения гемофилии. // Алгоритмы диагностики и протоколы лечения заболеваний системы крови. Том 1. Практика / ed. Савченко В.Г. Москва, 2018. P. 333–358.</w:t>
      </w:r>
    </w:p>
    <w:p w14:paraId="2E1E8136" w14:textId="77777777" w:rsidR="00A67ED2" w:rsidRPr="00CD5E09" w:rsidRDefault="00A67ED2" w:rsidP="00A67ED2">
      <w:pPr>
        <w:ind w:left="640" w:hanging="640"/>
        <w:rPr>
          <w:noProof/>
          <w:lang w:val="en-US"/>
        </w:rPr>
      </w:pPr>
      <w:r w:rsidRPr="00A67ED2">
        <w:rPr>
          <w:noProof/>
        </w:rPr>
        <w:t>201.</w:t>
      </w:r>
      <w:r w:rsidRPr="00A67ED2">
        <w:rPr>
          <w:noProof/>
        </w:rPr>
        <w:tab/>
        <w:t xml:space="preserve">Галстян Г.М. НАРУШЕНИЯ ГЕМОСТАЗА, ОБУСЛОВЛЕННЫЕ ДЕФИЦИТОМ ВИТАМИН К-ЗАВИСИМЫХ ФАКТОРОВ СВЕРТЫВАНИЯ КРОВИ — ПАТОГЕНЕЗ, СПОСОБЫ КОРРЕКЦИИ И РЕКОМЕНДАЦИИ ПО ЛЕЧЕНИЮ. // Гематология и трансфузиология. </w:t>
      </w:r>
      <w:r w:rsidRPr="00CD5E09">
        <w:rPr>
          <w:noProof/>
          <w:lang w:val="en-US"/>
        </w:rPr>
        <w:t>2012. Vol. 27, № 2. P. 7–21.</w:t>
      </w:r>
    </w:p>
    <w:p w14:paraId="634FC503" w14:textId="77777777" w:rsidR="00A67ED2" w:rsidRPr="00CD5E09" w:rsidRDefault="00A67ED2" w:rsidP="00A67ED2">
      <w:pPr>
        <w:ind w:left="640" w:hanging="640"/>
        <w:rPr>
          <w:noProof/>
          <w:lang w:val="en-US"/>
        </w:rPr>
      </w:pPr>
      <w:r w:rsidRPr="00CD5E09">
        <w:rPr>
          <w:noProof/>
          <w:lang w:val="en-US"/>
        </w:rPr>
        <w:t>202.</w:t>
      </w:r>
      <w:r w:rsidRPr="00CD5E09">
        <w:rPr>
          <w:noProof/>
          <w:lang w:val="en-US"/>
        </w:rPr>
        <w:tab/>
        <w:t>Roze des Ordons A.L. et al. Clinical characteristics and outcomes of patients with acute myelogenous leukemia admitted to intensive care: A case-control study // BMC Cancer. 2010. Vol. 10. P. 516.</w:t>
      </w:r>
    </w:p>
    <w:p w14:paraId="0646007A" w14:textId="77777777" w:rsidR="00A67ED2" w:rsidRPr="00CD5E09" w:rsidRDefault="00A67ED2" w:rsidP="00A67ED2">
      <w:pPr>
        <w:ind w:left="640" w:hanging="640"/>
        <w:rPr>
          <w:noProof/>
          <w:lang w:val="en-US"/>
        </w:rPr>
      </w:pPr>
      <w:r w:rsidRPr="00CD5E09">
        <w:rPr>
          <w:noProof/>
          <w:lang w:val="en-US"/>
        </w:rPr>
        <w:t>203.</w:t>
      </w:r>
      <w:r w:rsidRPr="00CD5E09">
        <w:rPr>
          <w:noProof/>
          <w:lang w:val="en-US"/>
        </w:rPr>
        <w:tab/>
        <w:t>Schellongowski P. et al. Prognostic factors for intensive care unit admission, intensive care outcome, and post-intensive care survival in patients with de novo acute myeloid leukemia: a single center experience // Haematologica. 2011. Vol. 96, № 2. P. 231–237.</w:t>
      </w:r>
    </w:p>
    <w:p w14:paraId="468CE983" w14:textId="77777777" w:rsidR="00A67ED2" w:rsidRPr="00CD5E09" w:rsidRDefault="00A67ED2" w:rsidP="00A67ED2">
      <w:pPr>
        <w:ind w:left="640" w:hanging="640"/>
        <w:rPr>
          <w:noProof/>
          <w:lang w:val="en-US"/>
        </w:rPr>
      </w:pPr>
      <w:r w:rsidRPr="00CD5E09">
        <w:rPr>
          <w:noProof/>
          <w:lang w:val="en-US"/>
        </w:rPr>
        <w:t>204.</w:t>
      </w:r>
      <w:r w:rsidRPr="00CD5E09">
        <w:rPr>
          <w:noProof/>
          <w:lang w:val="en-US"/>
        </w:rPr>
        <w:tab/>
        <w:t xml:space="preserve">Lengliné E. et al. Intensive care unit management of patients with newly diagnosed acute myeloid leukemia with no organ failure // Leuk. Lymphoma. Leuk Lymphoma, 2012. Vol. </w:t>
      </w:r>
      <w:r w:rsidRPr="00CD5E09">
        <w:rPr>
          <w:noProof/>
          <w:lang w:val="en-US"/>
        </w:rPr>
        <w:lastRenderedPageBreak/>
        <w:t>53, № 7. P. 1352–1359.</w:t>
      </w:r>
    </w:p>
    <w:p w14:paraId="26E73257" w14:textId="77777777" w:rsidR="00A67ED2" w:rsidRPr="00CD5E09" w:rsidRDefault="00A67ED2" w:rsidP="00A67ED2">
      <w:pPr>
        <w:ind w:left="640" w:hanging="640"/>
        <w:rPr>
          <w:noProof/>
          <w:lang w:val="en-US"/>
        </w:rPr>
      </w:pPr>
      <w:r w:rsidRPr="00CD5E09">
        <w:rPr>
          <w:noProof/>
          <w:lang w:val="en-US"/>
        </w:rPr>
        <w:t>205.</w:t>
      </w:r>
      <w:r w:rsidRPr="00CD5E09">
        <w:rPr>
          <w:noProof/>
          <w:lang w:val="en-US"/>
        </w:rPr>
        <w:tab/>
        <w:t>Jackson K. et al. Outcomes and prognostic factors for patients with acute myeloid leukemia admitted to the intensive care unit // Leuk. Lymphoma. Leuk Lymphoma, 2013. Vol. 55, № April. P. 1–8.</w:t>
      </w:r>
    </w:p>
    <w:p w14:paraId="0E82EEBA" w14:textId="77777777" w:rsidR="00A67ED2" w:rsidRPr="00CD5E09" w:rsidRDefault="00A67ED2" w:rsidP="00A67ED2">
      <w:pPr>
        <w:ind w:left="640" w:hanging="640"/>
        <w:rPr>
          <w:noProof/>
          <w:lang w:val="en-US"/>
        </w:rPr>
      </w:pPr>
      <w:r w:rsidRPr="00CD5E09">
        <w:rPr>
          <w:noProof/>
          <w:lang w:val="en-US"/>
        </w:rPr>
        <w:t>206.</w:t>
      </w:r>
      <w:r w:rsidRPr="00CD5E09">
        <w:rPr>
          <w:noProof/>
          <w:lang w:val="en-US"/>
        </w:rPr>
        <w:tab/>
        <w:t>Pohlen M. et al. Patients with acute myeloid leukemia admitted to intensive care units: Outcome analysis and risk prediction // PLoS One. Public Library of Science, 2016. Vol. 11, № 8.</w:t>
      </w:r>
    </w:p>
    <w:p w14:paraId="500D151C" w14:textId="77777777" w:rsidR="00A67ED2" w:rsidRPr="00CD5E09" w:rsidRDefault="00A67ED2" w:rsidP="00A67ED2">
      <w:pPr>
        <w:ind w:left="640" w:hanging="640"/>
        <w:rPr>
          <w:noProof/>
          <w:lang w:val="en-US"/>
        </w:rPr>
      </w:pPr>
      <w:r w:rsidRPr="00CD5E09">
        <w:rPr>
          <w:noProof/>
          <w:lang w:val="en-US"/>
        </w:rPr>
        <w:t>207.</w:t>
      </w:r>
      <w:r w:rsidRPr="00CD5E09">
        <w:rPr>
          <w:noProof/>
          <w:lang w:val="en-US"/>
        </w:rPr>
        <w:tab/>
        <w:t>Halpern A.B. et al. Association of risk factors, mortality, and care costs of adults with acute myeloid leukemia with admission to the intensive care unit // JAMA Oncol. American Medical Association, 2017. Vol. 3, № 3. P. 374–381.</w:t>
      </w:r>
    </w:p>
    <w:p w14:paraId="20EFAE36" w14:textId="77777777" w:rsidR="00A67ED2" w:rsidRPr="00A67ED2" w:rsidRDefault="00A67ED2" w:rsidP="00A67ED2">
      <w:pPr>
        <w:ind w:left="640" w:hanging="640"/>
        <w:rPr>
          <w:noProof/>
        </w:rPr>
      </w:pPr>
      <w:r w:rsidRPr="00CD5E09">
        <w:rPr>
          <w:noProof/>
          <w:lang w:val="en-US"/>
        </w:rPr>
        <w:t>208.</w:t>
      </w:r>
      <w:r w:rsidRPr="00CD5E09">
        <w:rPr>
          <w:noProof/>
          <w:lang w:val="en-US"/>
        </w:rPr>
        <w:tab/>
      </w:r>
      <w:r w:rsidRPr="00A67ED2">
        <w:rPr>
          <w:noProof/>
        </w:rPr>
        <w:t>Воробьев</w:t>
      </w:r>
      <w:r w:rsidRPr="00CD5E09">
        <w:rPr>
          <w:noProof/>
          <w:lang w:val="en-US"/>
        </w:rPr>
        <w:t xml:space="preserve"> </w:t>
      </w:r>
      <w:r w:rsidRPr="00A67ED2">
        <w:rPr>
          <w:noProof/>
        </w:rPr>
        <w:t>А</w:t>
      </w:r>
      <w:r w:rsidRPr="00CD5E09">
        <w:rPr>
          <w:noProof/>
          <w:lang w:val="en-US"/>
        </w:rPr>
        <w:t>.</w:t>
      </w:r>
      <w:r w:rsidRPr="00A67ED2">
        <w:rPr>
          <w:noProof/>
        </w:rPr>
        <w:t>И</w:t>
      </w:r>
      <w:r w:rsidRPr="00CD5E09">
        <w:rPr>
          <w:noProof/>
          <w:lang w:val="en-US"/>
        </w:rPr>
        <w:t xml:space="preserve">. et al. </w:t>
      </w:r>
      <w:r w:rsidRPr="00A67ED2">
        <w:rPr>
          <w:noProof/>
        </w:rPr>
        <w:t>Критические состояния при гемобластозах (типичные формы и выживаемость в условиях отделения реанимации). // Терапевтический архив. 1993. Vol. 65, № 7. P. 3–6.</w:t>
      </w:r>
    </w:p>
    <w:p w14:paraId="25FB1BB2" w14:textId="77777777" w:rsidR="00A67ED2" w:rsidRPr="00CD5E09" w:rsidRDefault="00A67ED2" w:rsidP="00A67ED2">
      <w:pPr>
        <w:ind w:left="640" w:hanging="640"/>
        <w:rPr>
          <w:noProof/>
          <w:lang w:val="en-US"/>
        </w:rPr>
      </w:pPr>
      <w:r w:rsidRPr="00A67ED2">
        <w:rPr>
          <w:noProof/>
        </w:rPr>
        <w:t>209.</w:t>
      </w:r>
      <w:r w:rsidRPr="00A67ED2">
        <w:rPr>
          <w:noProof/>
        </w:rPr>
        <w:tab/>
        <w:t xml:space="preserve">Галстян Г.М., Городецкий В.М. Опыт работы отделения реанимации и интенсивной терапии ФГБУ ГНЦ МЗиСР РФ // Клиническая онкогематология. </w:t>
      </w:r>
      <w:r w:rsidRPr="00CD5E09">
        <w:rPr>
          <w:noProof/>
          <w:lang w:val="en-US"/>
        </w:rPr>
        <w:t>2011. Vol. 4, № 1. P. 75–78.</w:t>
      </w:r>
    </w:p>
    <w:p w14:paraId="2D62397B" w14:textId="77777777" w:rsidR="00A67ED2" w:rsidRPr="00CD5E09" w:rsidRDefault="00A67ED2" w:rsidP="00A67ED2">
      <w:pPr>
        <w:ind w:left="640" w:hanging="640"/>
        <w:rPr>
          <w:noProof/>
          <w:lang w:val="en-US"/>
        </w:rPr>
      </w:pPr>
      <w:r w:rsidRPr="00CD5E09">
        <w:rPr>
          <w:noProof/>
          <w:lang w:val="en-US"/>
        </w:rPr>
        <w:t>210.</w:t>
      </w:r>
      <w:r w:rsidRPr="00CD5E09">
        <w:rPr>
          <w:noProof/>
          <w:lang w:val="en-US"/>
        </w:rPr>
        <w:tab/>
        <w:t>Lamia B. et al. Changes in severity and organ failure scores as prognostic factors in onco-hematological malignancy patients admitted to the ICU // Intensive Care Med. Intensive Care Med, 2006. Vol. 32, № 10. P. 1560–1568.</w:t>
      </w:r>
    </w:p>
    <w:p w14:paraId="2C43F7E8" w14:textId="77777777" w:rsidR="00A67ED2" w:rsidRPr="00CD5E09" w:rsidRDefault="00A67ED2" w:rsidP="00A67ED2">
      <w:pPr>
        <w:ind w:left="640" w:hanging="640"/>
        <w:rPr>
          <w:noProof/>
          <w:lang w:val="en-US"/>
        </w:rPr>
      </w:pPr>
      <w:r w:rsidRPr="00CD5E09">
        <w:rPr>
          <w:noProof/>
          <w:lang w:val="en-US"/>
        </w:rPr>
        <w:t>211.</w:t>
      </w:r>
      <w:r w:rsidRPr="00CD5E09">
        <w:rPr>
          <w:noProof/>
          <w:lang w:val="en-US"/>
        </w:rPr>
        <w:tab/>
        <w:t>Evison J.M. et al. Intensive care unit admission in patients with haematological disease: incidence, outcome and prognostic factors. 2001.</w:t>
      </w:r>
    </w:p>
    <w:p w14:paraId="468A390D" w14:textId="77777777" w:rsidR="00A67ED2" w:rsidRPr="00CD5E09" w:rsidRDefault="00A67ED2" w:rsidP="00A67ED2">
      <w:pPr>
        <w:ind w:left="640" w:hanging="640"/>
        <w:rPr>
          <w:noProof/>
          <w:lang w:val="en-US"/>
        </w:rPr>
      </w:pPr>
      <w:r w:rsidRPr="00CD5E09">
        <w:rPr>
          <w:noProof/>
          <w:lang w:val="en-US"/>
        </w:rPr>
        <w:t>212.</w:t>
      </w:r>
      <w:r w:rsidRPr="00CD5E09">
        <w:rPr>
          <w:noProof/>
          <w:lang w:val="en-US"/>
        </w:rPr>
        <w:tab/>
        <w:t>Silfvast T. et al. Multiple organ failure and outcome of critically ill patients with haematological malignancy // Acta Anaesthesiol. Scand. Acta Anaesthesiol Scand, 2003. Vol. 47, № 3. P. 301–306.</w:t>
      </w:r>
    </w:p>
    <w:p w14:paraId="3FBB8349" w14:textId="77777777" w:rsidR="00A67ED2" w:rsidRPr="00CD5E09" w:rsidRDefault="00A67ED2" w:rsidP="00A67ED2">
      <w:pPr>
        <w:ind w:left="640" w:hanging="640"/>
        <w:rPr>
          <w:noProof/>
          <w:lang w:val="en-US"/>
        </w:rPr>
      </w:pPr>
      <w:r w:rsidRPr="00CD5E09">
        <w:rPr>
          <w:noProof/>
          <w:lang w:val="en-US"/>
        </w:rPr>
        <w:t>213.</w:t>
      </w:r>
      <w:r w:rsidRPr="00CD5E09">
        <w:rPr>
          <w:noProof/>
          <w:lang w:val="en-US"/>
        </w:rPr>
        <w:tab/>
        <w:t>Benoit D.D. et al. Outcome and early prognostic indicators in patients with a hematologic malignancy admitted to the intensive care unit for a life-threatening complication // Crit. Care Med. Crit Care Med, 2003. Vol. 31, № 1. P. 104–112.</w:t>
      </w:r>
    </w:p>
    <w:p w14:paraId="17A86003" w14:textId="77777777" w:rsidR="00A67ED2" w:rsidRPr="00CD5E09" w:rsidRDefault="00A67ED2" w:rsidP="00A67ED2">
      <w:pPr>
        <w:ind w:left="640" w:hanging="640"/>
        <w:rPr>
          <w:noProof/>
          <w:lang w:val="en-US"/>
        </w:rPr>
      </w:pPr>
      <w:r w:rsidRPr="00CD5E09">
        <w:rPr>
          <w:noProof/>
          <w:lang w:val="en-US"/>
        </w:rPr>
        <w:t>214.</w:t>
      </w:r>
      <w:r w:rsidRPr="00CD5E09">
        <w:rPr>
          <w:noProof/>
          <w:lang w:val="en-US"/>
        </w:rPr>
        <w:tab/>
        <w:t>Medić M.G. et al. Hematologic malignancies in the medical intensive care unit – Outcomes and prognostic factors // Hematology. Maney Publishing, 2015. Vol. 20, № 5. P. 247–253.</w:t>
      </w:r>
    </w:p>
    <w:p w14:paraId="31781A6C" w14:textId="77777777" w:rsidR="00A67ED2" w:rsidRPr="00CD5E09" w:rsidRDefault="00A67ED2" w:rsidP="00A67ED2">
      <w:pPr>
        <w:ind w:left="640" w:hanging="640"/>
        <w:rPr>
          <w:noProof/>
          <w:lang w:val="en-US"/>
        </w:rPr>
      </w:pPr>
      <w:r w:rsidRPr="00CD5E09">
        <w:rPr>
          <w:noProof/>
          <w:lang w:val="en-US"/>
        </w:rPr>
        <w:t>215.</w:t>
      </w:r>
      <w:r w:rsidRPr="00CD5E09">
        <w:rPr>
          <w:noProof/>
          <w:lang w:val="en-US"/>
        </w:rPr>
        <w:tab/>
        <w:t>Ahmed T. et al. Outcomes and changes in code status of patients with acute myeloid leukemia undergoing induction chemotherapy who were transferred to the intensive care unit // Leuk. Res. Elsevier Ltd, 2017. Vol. 62. P. 51–55.</w:t>
      </w:r>
    </w:p>
    <w:p w14:paraId="679A7813" w14:textId="77777777" w:rsidR="00A67ED2" w:rsidRPr="00CD5E09" w:rsidRDefault="00A67ED2" w:rsidP="00A67ED2">
      <w:pPr>
        <w:ind w:left="640" w:hanging="640"/>
        <w:rPr>
          <w:noProof/>
          <w:lang w:val="en-US"/>
        </w:rPr>
      </w:pPr>
      <w:r w:rsidRPr="00CD5E09">
        <w:rPr>
          <w:noProof/>
          <w:lang w:val="en-US"/>
        </w:rPr>
        <w:t>216.</w:t>
      </w:r>
      <w:r w:rsidRPr="00CD5E09">
        <w:rPr>
          <w:noProof/>
          <w:lang w:val="en-US"/>
        </w:rPr>
        <w:tab/>
        <w:t xml:space="preserve">Wohlfarth P. et al. Prognostic factors, long-term survival, and outcome of cancer patients receiving chemotherapy in the intensive care unit // Ann. Hematol. Springer Verlag, 2014. </w:t>
      </w:r>
      <w:r w:rsidRPr="00CD5E09">
        <w:rPr>
          <w:noProof/>
          <w:lang w:val="en-US"/>
        </w:rPr>
        <w:lastRenderedPageBreak/>
        <w:t>Vol. 93, № 10. P. 1629–1636.</w:t>
      </w:r>
    </w:p>
    <w:p w14:paraId="2BFD5EC0" w14:textId="77777777" w:rsidR="00A67ED2" w:rsidRPr="00CD5E09" w:rsidRDefault="00A67ED2" w:rsidP="00A67ED2">
      <w:pPr>
        <w:ind w:left="640" w:hanging="640"/>
        <w:rPr>
          <w:noProof/>
          <w:lang w:val="en-US"/>
        </w:rPr>
      </w:pPr>
      <w:r w:rsidRPr="00CD5E09">
        <w:rPr>
          <w:noProof/>
          <w:lang w:val="en-US"/>
        </w:rPr>
        <w:t>217.</w:t>
      </w:r>
      <w:r w:rsidRPr="00CD5E09">
        <w:rPr>
          <w:noProof/>
          <w:lang w:val="en-US"/>
        </w:rPr>
        <w:tab/>
        <w:t>Fan E., Brodie D., Slutsky A.S. Acute Respiratory Distress Syndrome // JAMA. American Medical Association, 2018. Vol. 319, № 7. P. 698.</w:t>
      </w:r>
    </w:p>
    <w:p w14:paraId="3228AA2B" w14:textId="77777777" w:rsidR="00A67ED2" w:rsidRPr="00CD5E09" w:rsidRDefault="00A67ED2" w:rsidP="00A67ED2">
      <w:pPr>
        <w:ind w:left="640" w:hanging="640"/>
        <w:rPr>
          <w:noProof/>
          <w:lang w:val="en-US"/>
        </w:rPr>
      </w:pPr>
      <w:r w:rsidRPr="00CD5E09">
        <w:rPr>
          <w:noProof/>
          <w:lang w:val="en-US"/>
        </w:rPr>
        <w:t>218.</w:t>
      </w:r>
      <w:r w:rsidRPr="00CD5E09">
        <w:rPr>
          <w:noProof/>
          <w:lang w:val="en-US"/>
        </w:rPr>
        <w:tab/>
        <w:t>Gratwohl A. The EBMT risk score // Bone Marrow Transplantation. Nature Publishing Group, 2012. Vol. 47, № 6. P. 749–756.</w:t>
      </w:r>
    </w:p>
    <w:p w14:paraId="5D14F2DC" w14:textId="77777777" w:rsidR="00A67ED2" w:rsidRPr="00CD5E09" w:rsidRDefault="00A67ED2" w:rsidP="00A67ED2">
      <w:pPr>
        <w:ind w:left="640" w:hanging="640"/>
        <w:rPr>
          <w:noProof/>
          <w:lang w:val="en-US"/>
        </w:rPr>
      </w:pPr>
      <w:r w:rsidRPr="00CD5E09">
        <w:rPr>
          <w:noProof/>
          <w:lang w:val="en-US"/>
        </w:rPr>
        <w:t>219.</w:t>
      </w:r>
      <w:r w:rsidRPr="00CD5E09">
        <w:rPr>
          <w:noProof/>
          <w:lang w:val="en-US"/>
        </w:rPr>
        <w:tab/>
        <w:t>Sorror M.L. et al. Hematopoietic cell transplantation (HCT)-specific comorbidity index: a new tool for risk assessment before allogeneic HCT. // Blood. The American Society of Hematology, 2005. Vol. 106, № 8. P. 2912–2919.</w:t>
      </w:r>
    </w:p>
    <w:p w14:paraId="07B5C774" w14:textId="77777777" w:rsidR="00A67ED2" w:rsidRPr="00D76E91" w:rsidRDefault="00A67ED2" w:rsidP="00A67ED2">
      <w:pPr>
        <w:ind w:left="640" w:hanging="640"/>
        <w:rPr>
          <w:noProof/>
          <w:lang w:val="en-US"/>
        </w:rPr>
      </w:pPr>
      <w:r w:rsidRPr="00CD5E09">
        <w:rPr>
          <w:noProof/>
          <w:lang w:val="en-US"/>
        </w:rPr>
        <w:t>220.</w:t>
      </w:r>
      <w:r w:rsidRPr="00CD5E09">
        <w:rPr>
          <w:noProof/>
          <w:lang w:val="en-US"/>
        </w:rPr>
        <w:tab/>
        <w:t xml:space="preserve">Sorror M.L. et al. Prospective Validation of the Predictive Power of the Hematopoietic Cell Transplantation Comorbidity Index: A Center for International Blood and Marrow Transplant Research Study // Biol. </w:t>
      </w:r>
      <w:r w:rsidRPr="00D76E91">
        <w:rPr>
          <w:noProof/>
          <w:lang w:val="en-US"/>
        </w:rPr>
        <w:t>Blood Marrow Transplant. Elsevier Inc., 2015. Vol. 21, № 8. P. 1479–1487.</w:t>
      </w:r>
    </w:p>
    <w:p w14:paraId="5506B037" w14:textId="3F1E0FC2" w:rsidR="005B3BA9" w:rsidRDefault="005B3BA9" w:rsidP="00A67ED2">
      <w:pPr>
        <w:ind w:left="640" w:hanging="640"/>
        <w:rPr>
          <w:noProof/>
          <w:lang w:val="en-US"/>
        </w:rPr>
      </w:pPr>
      <w:r w:rsidRPr="005B3BA9">
        <w:rPr>
          <w:noProof/>
          <w:lang w:val="en-US"/>
        </w:rPr>
        <w:t xml:space="preserve">221.   </w:t>
      </w:r>
      <w:r w:rsidRPr="00D71882">
        <w:rPr>
          <w:noProof/>
          <w:lang w:val="en-US"/>
        </w:rPr>
        <w:t>June C.H., O’Connor R.S., Kawalekar O.U., et al. CAR T cell immunotherapy for human cancer. Vol. 359, Science. American Association for the Advancement of Science; 2018. p. 1361–5. DOI:10.1126/science.aar6711.</w:t>
      </w:r>
    </w:p>
    <w:p w14:paraId="7F4F5366" w14:textId="1506DA30" w:rsidR="005B3BA9" w:rsidRDefault="005B3BA9" w:rsidP="00A67ED2">
      <w:pPr>
        <w:ind w:left="640" w:hanging="640"/>
        <w:rPr>
          <w:noProof/>
          <w:lang w:val="en-US"/>
        </w:rPr>
      </w:pPr>
      <w:r w:rsidRPr="005B3BA9">
        <w:rPr>
          <w:noProof/>
          <w:lang w:val="en-US"/>
        </w:rPr>
        <w:t xml:space="preserve">222.   </w:t>
      </w:r>
      <w:r w:rsidRPr="00D71882">
        <w:rPr>
          <w:noProof/>
          <w:lang w:val="en-US"/>
        </w:rPr>
        <w:t>Maude S.L., Laetsch T.W., Buechner J., et al. Tisagenlecleucel in Children and Young Adults with B-Cell Lymphoblastic Leukemia. N Engl J Med. 2018;378(5):439–48. DOI:10.1056/nejmoa1709866.</w:t>
      </w:r>
    </w:p>
    <w:p w14:paraId="56A21816" w14:textId="02F58F87" w:rsidR="005B3BA9" w:rsidRPr="00D76E91" w:rsidRDefault="005B3BA9" w:rsidP="00A67ED2">
      <w:pPr>
        <w:ind w:left="640" w:hanging="640"/>
        <w:rPr>
          <w:noProof/>
        </w:rPr>
      </w:pPr>
      <w:r w:rsidRPr="005B3BA9">
        <w:rPr>
          <w:noProof/>
          <w:lang w:val="en-US"/>
        </w:rPr>
        <w:t xml:space="preserve">223.   </w:t>
      </w:r>
      <w:r w:rsidRPr="00D71882">
        <w:rPr>
          <w:noProof/>
          <w:lang w:val="en-US"/>
        </w:rPr>
        <w:t>Shah B.D., Ghobadi A., Oluwole O.O., et al. KTE-X19 for relapsed or refractory adult B-cell acute lymphoblastic leukaemia: phase 2 results of the single-arm, open-label, multicentre ZUMA-3 study. Lancet</w:t>
      </w:r>
      <w:r w:rsidRPr="00D76E91">
        <w:rPr>
          <w:noProof/>
        </w:rPr>
        <w:t xml:space="preserve">. 2021;398(10299):491–502. </w:t>
      </w:r>
      <w:r w:rsidRPr="00D71882">
        <w:rPr>
          <w:noProof/>
          <w:lang w:val="en-US"/>
        </w:rPr>
        <w:t>DOI</w:t>
      </w:r>
      <w:r w:rsidRPr="00D76E91">
        <w:rPr>
          <w:noProof/>
        </w:rPr>
        <w:t>:10.1016/</w:t>
      </w:r>
      <w:r w:rsidRPr="00D71882">
        <w:rPr>
          <w:noProof/>
          <w:lang w:val="en-US"/>
        </w:rPr>
        <w:t>S</w:t>
      </w:r>
      <w:r w:rsidRPr="00D76E91">
        <w:rPr>
          <w:noProof/>
        </w:rPr>
        <w:t>0140-6736(21)01222-8.</w:t>
      </w:r>
    </w:p>
    <w:p w14:paraId="42ED14AA" w14:textId="77777777" w:rsidR="005B3BA9" w:rsidRPr="00A67ED2" w:rsidRDefault="005B3BA9" w:rsidP="00A67ED2">
      <w:pPr>
        <w:ind w:left="640" w:hanging="640"/>
        <w:rPr>
          <w:noProof/>
        </w:rPr>
      </w:pPr>
    </w:p>
    <w:p w14:paraId="7ED30CB4" w14:textId="63B16556" w:rsidR="002356CD" w:rsidRPr="0092324F" w:rsidRDefault="00DC59BE" w:rsidP="00A67ED2">
      <w:pPr>
        <w:ind w:left="640" w:hanging="640"/>
        <w:rPr>
          <w:rFonts w:eastAsia="Arial Unicode MS"/>
          <w:szCs w:val="24"/>
        </w:rPr>
      </w:pPr>
      <w:r w:rsidRPr="00650017">
        <w:rPr>
          <w:rFonts w:eastAsia="Arial Unicode MS"/>
          <w:szCs w:val="24"/>
        </w:rPr>
        <w:fldChar w:fldCharType="end"/>
      </w:r>
      <w:bookmarkStart w:id="212" w:name="_Toc464042736"/>
      <w:bookmarkStart w:id="213" w:name="_Toc465074030"/>
      <w:bookmarkStart w:id="214" w:name="_Toc505347369"/>
      <w:bookmarkStart w:id="215" w:name="_Toc13484836"/>
      <w:r w:rsidR="002356CD" w:rsidRPr="0092324F">
        <w:rPr>
          <w:rFonts w:eastAsia="Arial Unicode MS"/>
          <w:szCs w:val="24"/>
        </w:rPr>
        <w:br w:type="page"/>
      </w:r>
    </w:p>
    <w:p w14:paraId="019B47CF" w14:textId="15449962" w:rsidR="00100D03" w:rsidRPr="009F500F" w:rsidRDefault="003D3E39" w:rsidP="000A5734">
      <w:pPr>
        <w:pStyle w:val="11"/>
      </w:pPr>
      <w:bookmarkStart w:id="216" w:name="_Toc26796726"/>
      <w:bookmarkStart w:id="217" w:name="_Toc64467941"/>
      <w:bookmarkStart w:id="218" w:name="_Toc64565665"/>
      <w:r w:rsidRPr="00035179">
        <w:lastRenderedPageBreak/>
        <w:t>Приложение</w:t>
      </w:r>
      <w:r w:rsidRPr="009C3C1D">
        <w:t xml:space="preserve"> </w:t>
      </w:r>
      <w:r w:rsidR="00CA7FDC" w:rsidRPr="00035179">
        <w:t>А</w:t>
      </w:r>
      <w:r w:rsidR="00CA7FDC" w:rsidRPr="009C3C1D">
        <w:t>1.</w:t>
      </w:r>
      <w:bookmarkEnd w:id="212"/>
      <w:bookmarkEnd w:id="213"/>
      <w:bookmarkEnd w:id="214"/>
      <w:r w:rsidRPr="009C3C1D">
        <w:t xml:space="preserve"> </w:t>
      </w:r>
      <w:r w:rsidR="002F53B7" w:rsidRPr="00035179">
        <w:t>Состав</w:t>
      </w:r>
      <w:r w:rsidR="00CA7FDC" w:rsidRPr="00035179">
        <w:t xml:space="preserve"> </w:t>
      </w:r>
      <w:r w:rsidR="002356CD">
        <w:t>р</w:t>
      </w:r>
      <w:r w:rsidR="002F53B7" w:rsidRPr="00035179">
        <w:t>абочей группы</w:t>
      </w:r>
      <w:bookmarkEnd w:id="215"/>
      <w:r w:rsidR="002356CD" w:rsidRPr="002356CD">
        <w:t xml:space="preserve"> </w:t>
      </w:r>
      <w:r w:rsidR="002356CD">
        <w:t xml:space="preserve">по разработке и пересмотру </w:t>
      </w:r>
      <w:r w:rsidR="002356CD" w:rsidRPr="009F500F">
        <w:t>клинических рекомендаций</w:t>
      </w:r>
      <w:bookmarkEnd w:id="216"/>
      <w:bookmarkEnd w:id="217"/>
      <w:bookmarkEnd w:id="218"/>
    </w:p>
    <w:p w14:paraId="3D1E91C3" w14:textId="5EAB1D66" w:rsidR="00035179" w:rsidRPr="009F500F" w:rsidRDefault="008506E2" w:rsidP="00FF4C81">
      <w:pPr>
        <w:pStyle w:val="afff3"/>
        <w:numPr>
          <w:ilvl w:val="0"/>
          <w:numId w:val="26"/>
        </w:numPr>
        <w:spacing w:before="240"/>
        <w:rPr>
          <w:szCs w:val="24"/>
        </w:rPr>
      </w:pPr>
      <w:r w:rsidRPr="009F500F">
        <w:rPr>
          <w:b/>
          <w:noProof/>
          <w:szCs w:val="24"/>
        </w:rPr>
        <mc:AlternateContent>
          <mc:Choice Requires="wps">
            <w:drawing>
              <wp:anchor distT="0" distB="0" distL="114300" distR="114300" simplePos="0" relativeHeight="251713024" behindDoc="0" locked="0" layoutInCell="1" allowOverlap="1" wp14:anchorId="778842F1" wp14:editId="6F55A06C">
                <wp:simplePos x="0" y="0"/>
                <wp:positionH relativeFrom="column">
                  <wp:posOffset>634365</wp:posOffset>
                </wp:positionH>
                <wp:positionV relativeFrom="paragraph">
                  <wp:posOffset>57150</wp:posOffset>
                </wp:positionV>
                <wp:extent cx="1047750" cy="238125"/>
                <wp:effectExtent l="0" t="0" r="19050" b="28575"/>
                <wp:wrapNone/>
                <wp:docPr id="86" name="Прямоугольник 86"/>
                <wp:cNvGraphicFramePr/>
                <a:graphic xmlns:a="http://schemas.openxmlformats.org/drawingml/2006/main">
                  <a:graphicData uri="http://schemas.microsoft.com/office/word/2010/wordprocessingShape">
                    <wps:wsp>
                      <wps:cNvSpPr/>
                      <wps:spPr>
                        <a:xfrm>
                          <a:off x="0" y="0"/>
                          <a:ext cx="1047750" cy="23812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7B55523" id="Прямоугольник 86" o:spid="_x0000_s1026" style="position:absolute;margin-left:49.95pt;margin-top:4.5pt;width:82.5pt;height:18.75pt;z-index:2517130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" filled="f" strokecolor="black [3213]" strokeweight=".25pt"/>
            </w:pict>
          </mc:Fallback>
        </mc:AlternateContent>
      </w:r>
      <w:r w:rsidR="00035179" w:rsidRPr="009F500F">
        <w:rPr>
          <w:b/>
          <w:szCs w:val="24"/>
        </w:rPr>
        <w:t>Савченко В.Г.,</w:t>
      </w:r>
      <w:r w:rsidR="00035179" w:rsidRPr="009F500F">
        <w:rPr>
          <w:szCs w:val="24"/>
        </w:rPr>
        <w:t xml:space="preserve"> </w:t>
      </w:r>
      <w:r w:rsidRPr="009F500F">
        <w:t>академик, д.м.н., профессор</w:t>
      </w:r>
      <w:r w:rsidR="005F319C" w:rsidRPr="009F500F">
        <w:t xml:space="preserve"> </w:t>
      </w:r>
    </w:p>
    <w:p w14:paraId="58CABD35" w14:textId="56F3E38E" w:rsidR="005F319C" w:rsidRPr="009F500F" w:rsidRDefault="00035179" w:rsidP="00FF4C81">
      <w:pPr>
        <w:pStyle w:val="afff3"/>
        <w:numPr>
          <w:ilvl w:val="0"/>
          <w:numId w:val="26"/>
        </w:numPr>
        <w:spacing w:before="240"/>
        <w:rPr>
          <w:szCs w:val="24"/>
        </w:rPr>
      </w:pPr>
      <w:r w:rsidRPr="009F500F">
        <w:rPr>
          <w:b/>
          <w:szCs w:val="24"/>
        </w:rPr>
        <w:t>Паровичникова Е.Н.,</w:t>
      </w:r>
      <w:r w:rsidRPr="009F500F">
        <w:rPr>
          <w:szCs w:val="24"/>
        </w:rPr>
        <w:t xml:space="preserve"> </w:t>
      </w:r>
      <w:r w:rsidRPr="009F500F">
        <w:t xml:space="preserve">д.м.н., </w:t>
      </w:r>
      <w:r w:rsidR="008506E2" w:rsidRPr="009F500F">
        <w:t xml:space="preserve">генеральный директор ФГБУ «НМИЦ гематологии» Минздрава России </w:t>
      </w:r>
    </w:p>
    <w:p w14:paraId="74C9779D" w14:textId="636241AD" w:rsidR="005F319C" w:rsidRPr="009F500F" w:rsidRDefault="00035179" w:rsidP="00FF4C81">
      <w:pPr>
        <w:pStyle w:val="afff3"/>
        <w:numPr>
          <w:ilvl w:val="0"/>
          <w:numId w:val="26"/>
        </w:numPr>
        <w:spacing w:before="240"/>
        <w:rPr>
          <w:szCs w:val="24"/>
        </w:rPr>
      </w:pPr>
      <w:r w:rsidRPr="009F500F">
        <w:rPr>
          <w:b/>
          <w:szCs w:val="24"/>
        </w:rPr>
        <w:t>Троицкая В.В.,</w:t>
      </w:r>
      <w:r w:rsidRPr="009F500F">
        <w:rPr>
          <w:szCs w:val="24"/>
        </w:rPr>
        <w:t xml:space="preserve"> </w:t>
      </w:r>
      <w:r w:rsidRPr="009F500F">
        <w:t xml:space="preserve">к.м.н., </w:t>
      </w:r>
      <w:r w:rsidR="008506E2" w:rsidRPr="009F500F">
        <w:t xml:space="preserve">первый заместитель генерального директора ФГБУ </w:t>
      </w:r>
      <w:r w:rsidR="00350F60" w:rsidRPr="009F500F">
        <w:t xml:space="preserve"> </w:t>
      </w:r>
      <w:r w:rsidR="008506E2" w:rsidRPr="009F500F">
        <w:t>«НМИЦ гематологии» Минздрава России</w:t>
      </w:r>
    </w:p>
    <w:p w14:paraId="1CD910F9" w14:textId="6C952C5F" w:rsidR="00D76E91" w:rsidRPr="009F500F" w:rsidRDefault="00D76E91" w:rsidP="00D76E91">
      <w:pPr>
        <w:pStyle w:val="afff3"/>
        <w:numPr>
          <w:ilvl w:val="0"/>
          <w:numId w:val="26"/>
        </w:numPr>
        <w:spacing w:before="240"/>
        <w:rPr>
          <w:szCs w:val="24"/>
        </w:rPr>
      </w:pPr>
      <w:r w:rsidRPr="009F500F">
        <w:rPr>
          <w:b/>
          <w:szCs w:val="24"/>
        </w:rPr>
        <w:t>Гаврилина О.А.,</w:t>
      </w:r>
      <w:r w:rsidRPr="009F500F">
        <w:rPr>
          <w:szCs w:val="24"/>
        </w:rPr>
        <w:t xml:space="preserve"> </w:t>
      </w:r>
      <w:r w:rsidRPr="009F500F">
        <w:t>к.м.н., старший научный сотрудник сектора клинических исследований и рекомендаций ФГБУ «НМИЦ гематологии» Минздрава России</w:t>
      </w:r>
    </w:p>
    <w:p w14:paraId="6FFEA84F" w14:textId="365F2642" w:rsidR="005F319C" w:rsidRPr="009F500F" w:rsidRDefault="00035179" w:rsidP="00FF4C81">
      <w:pPr>
        <w:pStyle w:val="afff3"/>
        <w:numPr>
          <w:ilvl w:val="0"/>
          <w:numId w:val="26"/>
        </w:numPr>
        <w:spacing w:before="240"/>
        <w:rPr>
          <w:szCs w:val="24"/>
        </w:rPr>
      </w:pPr>
      <w:r w:rsidRPr="009F500F">
        <w:rPr>
          <w:b/>
          <w:szCs w:val="24"/>
        </w:rPr>
        <w:t>Соколов А.Н.,</w:t>
      </w:r>
      <w:r w:rsidRPr="009F500F">
        <w:rPr>
          <w:szCs w:val="24"/>
        </w:rPr>
        <w:t xml:space="preserve"> </w:t>
      </w:r>
      <w:r w:rsidRPr="009F500F">
        <w:t>к.м.н., старший научный сотрудник научно-клинического отделения химиотерапии гемобластозов и депрессий кроветворения ФГБУ «</w:t>
      </w:r>
      <w:r w:rsidR="007340B5" w:rsidRPr="009F500F">
        <w:t>НМИЦ</w:t>
      </w:r>
      <w:r w:rsidRPr="009F500F">
        <w:t xml:space="preserve"> гемато</w:t>
      </w:r>
      <w:r w:rsidR="005F319C" w:rsidRPr="009F500F">
        <w:t>логии» Минздрава России</w:t>
      </w:r>
      <w:r w:rsidR="00BD6EF0" w:rsidRPr="009F500F">
        <w:t xml:space="preserve"> </w:t>
      </w:r>
    </w:p>
    <w:p w14:paraId="178BDCA8" w14:textId="3C2AA8BD" w:rsidR="005F319C" w:rsidRPr="009F500F" w:rsidRDefault="00035179" w:rsidP="00FF4C81">
      <w:pPr>
        <w:pStyle w:val="afff3"/>
        <w:numPr>
          <w:ilvl w:val="0"/>
          <w:numId w:val="26"/>
        </w:numPr>
        <w:spacing w:before="240"/>
        <w:rPr>
          <w:szCs w:val="24"/>
        </w:rPr>
      </w:pPr>
      <w:r w:rsidRPr="009F500F">
        <w:rPr>
          <w:b/>
          <w:szCs w:val="24"/>
        </w:rPr>
        <w:t>Кузьмина Л.А.,</w:t>
      </w:r>
      <w:r w:rsidRPr="009F500F">
        <w:rPr>
          <w:szCs w:val="24"/>
        </w:rPr>
        <w:t xml:space="preserve"> </w:t>
      </w:r>
      <w:r w:rsidRPr="009F500F">
        <w:t>к.м.н., заведующая научно-клиническим отделение</w:t>
      </w:r>
      <w:r w:rsidR="0055151E" w:rsidRPr="009F500F">
        <w:t>м</w:t>
      </w:r>
      <w:r w:rsidRPr="009F500F">
        <w:t xml:space="preserve"> трансплантации костного мозга ФГБУ «</w:t>
      </w:r>
      <w:r w:rsidR="007340B5" w:rsidRPr="009F500F">
        <w:t>НМИЦ</w:t>
      </w:r>
      <w:r w:rsidR="005F319C" w:rsidRPr="009F500F">
        <w:t xml:space="preserve"> гематологии» Минздрава России</w:t>
      </w:r>
    </w:p>
    <w:p w14:paraId="6B9CD98B" w14:textId="5D8BB415" w:rsidR="005F319C" w:rsidRPr="009F500F" w:rsidRDefault="00035179" w:rsidP="00FF4C81">
      <w:pPr>
        <w:pStyle w:val="afff3"/>
        <w:numPr>
          <w:ilvl w:val="0"/>
          <w:numId w:val="26"/>
        </w:numPr>
        <w:spacing w:before="240"/>
        <w:rPr>
          <w:szCs w:val="24"/>
        </w:rPr>
      </w:pPr>
      <w:r w:rsidRPr="009F500F">
        <w:rPr>
          <w:b/>
          <w:bCs/>
          <w:szCs w:val="24"/>
        </w:rPr>
        <w:t>Клясова Г.А.,</w:t>
      </w:r>
      <w:r w:rsidRPr="009F500F">
        <w:rPr>
          <w:szCs w:val="24"/>
        </w:rPr>
        <w:t xml:space="preserve"> </w:t>
      </w:r>
      <w:r w:rsidRPr="009F500F">
        <w:t>д.м.н., профессор, заведующая научно-клинической лабораторией микробиологии ФГБУ «</w:t>
      </w:r>
      <w:r w:rsidR="00271F34" w:rsidRPr="009F500F">
        <w:t>НМИЦ</w:t>
      </w:r>
      <w:r w:rsidRPr="009F500F">
        <w:t xml:space="preserve"> гематологии» Минздрава Росс</w:t>
      </w:r>
      <w:r w:rsidR="00BD6EF0" w:rsidRPr="009F500F">
        <w:t>ии</w:t>
      </w:r>
    </w:p>
    <w:p w14:paraId="3109A0B1" w14:textId="7478905B" w:rsidR="004B0D07" w:rsidRPr="009F500F" w:rsidRDefault="004B0D07" w:rsidP="00FF4C81">
      <w:pPr>
        <w:pStyle w:val="afff3"/>
        <w:numPr>
          <w:ilvl w:val="0"/>
          <w:numId w:val="26"/>
        </w:numPr>
        <w:spacing w:before="240"/>
        <w:rPr>
          <w:szCs w:val="24"/>
        </w:rPr>
      </w:pPr>
      <w:r w:rsidRPr="009F500F">
        <w:rPr>
          <w:b/>
          <w:bCs/>
          <w:szCs w:val="24"/>
        </w:rPr>
        <w:t xml:space="preserve">Двирнык В.Н., </w:t>
      </w:r>
      <w:r w:rsidRPr="009F500F">
        <w:rPr>
          <w:bCs/>
          <w:szCs w:val="24"/>
        </w:rPr>
        <w:t>к.м.н., заведующий централизованной клинико-диагностической лабораторией</w:t>
      </w:r>
      <w:r w:rsidRPr="009F500F">
        <w:rPr>
          <w:b/>
          <w:bCs/>
          <w:szCs w:val="24"/>
        </w:rPr>
        <w:t xml:space="preserve"> </w:t>
      </w:r>
      <w:r w:rsidRPr="009F500F">
        <w:t>ФГБУ «НМИЦ гематологии» Минздрава России</w:t>
      </w:r>
    </w:p>
    <w:p w14:paraId="5046ED6A" w14:textId="6B991CE7" w:rsidR="004B0D07" w:rsidRPr="009F500F" w:rsidRDefault="004B0D07" w:rsidP="00FF4C81">
      <w:pPr>
        <w:pStyle w:val="afff3"/>
        <w:numPr>
          <w:ilvl w:val="0"/>
          <w:numId w:val="26"/>
        </w:numPr>
        <w:spacing w:before="240"/>
        <w:rPr>
          <w:szCs w:val="24"/>
        </w:rPr>
      </w:pPr>
      <w:r w:rsidRPr="009F500F">
        <w:rPr>
          <w:b/>
          <w:bCs/>
          <w:szCs w:val="24"/>
        </w:rPr>
        <w:t xml:space="preserve">Гальцева И.В., </w:t>
      </w:r>
      <w:r w:rsidRPr="009F500F">
        <w:rPr>
          <w:bCs/>
          <w:szCs w:val="24"/>
        </w:rPr>
        <w:t>к.м.н., заведующий лабораторией иммунофенотипирования клеток крови и костного мозга</w:t>
      </w:r>
      <w:r w:rsidRPr="009F500F">
        <w:rPr>
          <w:b/>
          <w:bCs/>
          <w:szCs w:val="24"/>
        </w:rPr>
        <w:t xml:space="preserve"> </w:t>
      </w:r>
      <w:r w:rsidRPr="009F500F">
        <w:t>ФГБУ «НМИЦ гематологии» Минздрава России</w:t>
      </w:r>
    </w:p>
    <w:p w14:paraId="29C711EC" w14:textId="24A4FACE" w:rsidR="00035179" w:rsidRPr="0053568D" w:rsidRDefault="00035179" w:rsidP="00FF4C81">
      <w:pPr>
        <w:pStyle w:val="afff3"/>
        <w:widowControl/>
        <w:numPr>
          <w:ilvl w:val="0"/>
          <w:numId w:val="26"/>
        </w:numPr>
        <w:autoSpaceDE/>
        <w:autoSpaceDN/>
        <w:adjustRightInd/>
        <w:spacing w:before="240"/>
        <w:rPr>
          <w:b/>
          <w:szCs w:val="24"/>
        </w:rPr>
      </w:pPr>
      <w:r w:rsidRPr="006F1882">
        <w:rPr>
          <w:b/>
          <w:szCs w:val="24"/>
        </w:rPr>
        <w:t>Бондаренко С.Н.,</w:t>
      </w:r>
      <w:r w:rsidRPr="006F1882">
        <w:rPr>
          <w:szCs w:val="24"/>
        </w:rPr>
        <w:t xml:space="preserve"> </w:t>
      </w:r>
      <w:r w:rsidRPr="006F1882">
        <w:t>к.м.н., НИИ детской гематологии и трансплантологии им. Р.М</w:t>
      </w:r>
      <w:r w:rsidRPr="0053568D">
        <w:t>.</w:t>
      </w:r>
      <w:r w:rsidR="005F319C" w:rsidRPr="0053568D">
        <w:t xml:space="preserve"> </w:t>
      </w:r>
      <w:r w:rsidRPr="0053568D">
        <w:t>Горбачевой, Санкт-Петербургский государственный медицинск</w:t>
      </w:r>
      <w:r w:rsidR="00BD6EF0" w:rsidRPr="0053568D">
        <w:t>ий</w:t>
      </w:r>
      <w:r w:rsidR="005F319C" w:rsidRPr="0053568D">
        <w:t xml:space="preserve"> университет</w:t>
      </w:r>
    </w:p>
    <w:p w14:paraId="55074D7F" w14:textId="3254666E" w:rsidR="00035179" w:rsidRPr="0053568D" w:rsidRDefault="00035179" w:rsidP="00FF4C81">
      <w:pPr>
        <w:pStyle w:val="afff3"/>
        <w:widowControl/>
        <w:numPr>
          <w:ilvl w:val="0"/>
          <w:numId w:val="26"/>
        </w:numPr>
        <w:autoSpaceDE/>
        <w:autoSpaceDN/>
        <w:adjustRightInd/>
        <w:spacing w:before="240"/>
        <w:rPr>
          <w:szCs w:val="24"/>
        </w:rPr>
      </w:pPr>
      <w:r w:rsidRPr="0053568D">
        <w:rPr>
          <w:b/>
          <w:szCs w:val="24"/>
        </w:rPr>
        <w:t>Баранова О.Ю.,</w:t>
      </w:r>
      <w:r w:rsidRPr="0053568D">
        <w:rPr>
          <w:szCs w:val="24"/>
        </w:rPr>
        <w:t xml:space="preserve"> </w:t>
      </w:r>
      <w:r w:rsidRPr="0053568D">
        <w:t xml:space="preserve">к.м.н., старший научный сотрудник отделения гематологии ФГБУ </w:t>
      </w:r>
      <w:r w:rsidR="005F319C" w:rsidRPr="0053568D">
        <w:t>«</w:t>
      </w:r>
      <w:r w:rsidR="0053568D" w:rsidRPr="0053568D">
        <w:t>НМИЦ</w:t>
      </w:r>
      <w:r w:rsidR="005F319C" w:rsidRPr="0053568D">
        <w:t xml:space="preserve"> им. Н.</w:t>
      </w:r>
      <w:r w:rsidRPr="0053568D">
        <w:t>Н.</w:t>
      </w:r>
      <w:r w:rsidR="00BD6EF0" w:rsidRPr="0053568D">
        <w:t xml:space="preserve"> Блохина</w:t>
      </w:r>
      <w:r w:rsidR="005F319C" w:rsidRPr="0053568D">
        <w:t>»</w:t>
      </w:r>
    </w:p>
    <w:p w14:paraId="1434D4E9" w14:textId="085851D6" w:rsidR="00035179" w:rsidRPr="006F1882" w:rsidRDefault="00035179" w:rsidP="00FF4C81">
      <w:pPr>
        <w:pStyle w:val="afff3"/>
        <w:widowControl/>
        <w:numPr>
          <w:ilvl w:val="0"/>
          <w:numId w:val="26"/>
        </w:numPr>
        <w:autoSpaceDE/>
        <w:autoSpaceDN/>
        <w:adjustRightInd/>
        <w:spacing w:before="240"/>
        <w:rPr>
          <w:b/>
          <w:szCs w:val="24"/>
        </w:rPr>
      </w:pPr>
      <w:r w:rsidRPr="006F1882">
        <w:rPr>
          <w:b/>
          <w:szCs w:val="24"/>
        </w:rPr>
        <w:t>Константинова Т.С.,</w:t>
      </w:r>
      <w:r w:rsidRPr="006F1882">
        <w:t xml:space="preserve"> ГБУЗ СО </w:t>
      </w:r>
      <w:r w:rsidR="007340B5" w:rsidRPr="006F1882">
        <w:t>«</w:t>
      </w:r>
      <w:r w:rsidRPr="006F1882">
        <w:t>Областной гематологический центр Свердловской областной клинич</w:t>
      </w:r>
      <w:r w:rsidR="00BD6EF0" w:rsidRPr="006F1882">
        <w:t>еской больницы №</w:t>
      </w:r>
      <w:r w:rsidR="007340B5" w:rsidRPr="006F1882">
        <w:t xml:space="preserve"> </w:t>
      </w:r>
      <w:r w:rsidR="00BD6EF0" w:rsidRPr="006F1882">
        <w:t>1</w:t>
      </w:r>
      <w:r w:rsidR="007340B5" w:rsidRPr="006F1882">
        <w:t>»</w:t>
      </w:r>
    </w:p>
    <w:p w14:paraId="49D8A4F8" w14:textId="776A5B94" w:rsidR="00035179" w:rsidRPr="006F1882" w:rsidRDefault="00035179" w:rsidP="00FF4C81">
      <w:pPr>
        <w:pStyle w:val="afff3"/>
        <w:numPr>
          <w:ilvl w:val="0"/>
          <w:numId w:val="26"/>
        </w:numPr>
        <w:spacing w:before="240"/>
        <w:rPr>
          <w:szCs w:val="24"/>
        </w:rPr>
      </w:pPr>
      <w:r w:rsidRPr="006F1882">
        <w:rPr>
          <w:b/>
          <w:szCs w:val="24"/>
        </w:rPr>
        <w:t>Самойлова О.С.,</w:t>
      </w:r>
      <w:r w:rsidRPr="006F1882">
        <w:rPr>
          <w:szCs w:val="24"/>
        </w:rPr>
        <w:t xml:space="preserve"> </w:t>
      </w:r>
      <w:r w:rsidRPr="006F1882">
        <w:t>к.м.н., заведующая отделение</w:t>
      </w:r>
      <w:r w:rsidR="007340B5" w:rsidRPr="006F1882">
        <w:t>м</w:t>
      </w:r>
      <w:r w:rsidRPr="006F1882">
        <w:t xml:space="preserve"> гемато</w:t>
      </w:r>
      <w:r w:rsidR="006F1882">
        <w:t>логии ГБУЗ НО</w:t>
      </w:r>
      <w:r w:rsidRPr="006F1882">
        <w:t xml:space="preserve"> </w:t>
      </w:r>
      <w:r w:rsidR="006F1882">
        <w:t>«</w:t>
      </w:r>
      <w:r w:rsidRPr="006F1882">
        <w:t>Нижегородская областная клиническая больница им. Н.А.</w:t>
      </w:r>
      <w:r w:rsidR="007340B5" w:rsidRPr="006F1882">
        <w:t xml:space="preserve"> Семашко</w:t>
      </w:r>
      <w:r w:rsidR="006F1882">
        <w:t>»</w:t>
      </w:r>
    </w:p>
    <w:p w14:paraId="173D8C06" w14:textId="33C42DA9" w:rsidR="00035179" w:rsidRPr="006F1882" w:rsidRDefault="00035179" w:rsidP="00FF4C81">
      <w:pPr>
        <w:pStyle w:val="afff3"/>
        <w:widowControl/>
        <w:numPr>
          <w:ilvl w:val="0"/>
          <w:numId w:val="26"/>
        </w:numPr>
        <w:autoSpaceDE/>
        <w:autoSpaceDN/>
        <w:adjustRightInd/>
        <w:spacing w:before="240"/>
        <w:rPr>
          <w:b/>
          <w:szCs w:val="24"/>
        </w:rPr>
      </w:pPr>
      <w:r w:rsidRPr="006F1882">
        <w:rPr>
          <w:b/>
          <w:szCs w:val="24"/>
        </w:rPr>
        <w:t>Капорская Т.С.,</w:t>
      </w:r>
      <w:r w:rsidRPr="006F1882">
        <w:rPr>
          <w:szCs w:val="24"/>
        </w:rPr>
        <w:t xml:space="preserve"> </w:t>
      </w:r>
      <w:r w:rsidRPr="006F1882">
        <w:t>к.м.н., заведующая отделением гематологии</w:t>
      </w:r>
      <w:r w:rsidR="0055151E" w:rsidRPr="006F1882">
        <w:t>,</w:t>
      </w:r>
      <w:r w:rsidR="004B15E8" w:rsidRPr="006F1882">
        <w:t xml:space="preserve"> </w:t>
      </w:r>
      <w:r w:rsidRPr="006F1882">
        <w:t xml:space="preserve">ГБУЗ </w:t>
      </w:r>
      <w:r w:rsidR="007340B5" w:rsidRPr="006F1882">
        <w:t>«</w:t>
      </w:r>
      <w:r w:rsidR="006F1882" w:rsidRPr="006F1882">
        <w:t>Иркутская ордена «Знак Почета»</w:t>
      </w:r>
      <w:r w:rsidRPr="006F1882">
        <w:t xml:space="preserve"> областна</w:t>
      </w:r>
      <w:r w:rsidR="00BD6EF0" w:rsidRPr="006F1882">
        <w:t>я клиническая больница</w:t>
      </w:r>
      <w:r w:rsidR="007340B5" w:rsidRPr="006F1882">
        <w:t>»</w:t>
      </w:r>
    </w:p>
    <w:p w14:paraId="2F31720F" w14:textId="3D107D23" w:rsidR="00035179" w:rsidRPr="00DC3C79" w:rsidRDefault="00035179" w:rsidP="00FF4C81">
      <w:pPr>
        <w:pStyle w:val="afff3"/>
        <w:widowControl/>
        <w:numPr>
          <w:ilvl w:val="0"/>
          <w:numId w:val="26"/>
        </w:numPr>
        <w:autoSpaceDE/>
        <w:autoSpaceDN/>
        <w:adjustRightInd/>
        <w:spacing w:before="240"/>
        <w:rPr>
          <w:szCs w:val="24"/>
        </w:rPr>
      </w:pPr>
      <w:r w:rsidRPr="006F1882">
        <w:rPr>
          <w:b/>
          <w:szCs w:val="24"/>
        </w:rPr>
        <w:t>Лапин В.А.,</w:t>
      </w:r>
      <w:r w:rsidRPr="006F1882">
        <w:rPr>
          <w:szCs w:val="24"/>
        </w:rPr>
        <w:t xml:space="preserve"> </w:t>
      </w:r>
      <w:r w:rsidRPr="006F1882">
        <w:t xml:space="preserve">к.м.н., заведующий отделением гематологии ГБУЗ ЯО </w:t>
      </w:r>
      <w:r w:rsidR="006F1882" w:rsidRPr="006F1882">
        <w:t>«</w:t>
      </w:r>
      <w:r w:rsidRPr="006F1882">
        <w:t>Областная клиническая больница</w:t>
      </w:r>
      <w:r w:rsidR="006F1882" w:rsidRPr="006F1882">
        <w:t>»</w:t>
      </w:r>
    </w:p>
    <w:p w14:paraId="1DA10E03" w14:textId="5094CD89" w:rsidR="00DC3C79" w:rsidRPr="009F500F" w:rsidRDefault="00DC3C79" w:rsidP="00FF4C81">
      <w:pPr>
        <w:pStyle w:val="afff3"/>
        <w:widowControl/>
        <w:numPr>
          <w:ilvl w:val="0"/>
          <w:numId w:val="26"/>
        </w:numPr>
        <w:autoSpaceDE/>
        <w:autoSpaceDN/>
        <w:adjustRightInd/>
        <w:spacing w:before="240"/>
        <w:rPr>
          <w:szCs w:val="24"/>
        </w:rPr>
      </w:pPr>
      <w:r w:rsidRPr="009F500F">
        <w:rPr>
          <w:b/>
          <w:szCs w:val="24"/>
        </w:rPr>
        <w:lastRenderedPageBreak/>
        <w:t xml:space="preserve">Птушкин В.В., </w:t>
      </w:r>
      <w:r w:rsidRPr="009F500F">
        <w:rPr>
          <w:szCs w:val="24"/>
        </w:rPr>
        <w:t xml:space="preserve">д.м.н., профессор, заместитель главного врача по гематологии </w:t>
      </w:r>
      <w:r w:rsidRPr="009F500F">
        <w:t>ГБУЗ ГКБ им. С.П. Боткина ДЗМ</w:t>
      </w:r>
    </w:p>
    <w:p w14:paraId="36314B5F" w14:textId="77777777" w:rsidR="005A6C83" w:rsidRPr="009F500F" w:rsidRDefault="00035179" w:rsidP="00FF4C81">
      <w:pPr>
        <w:pStyle w:val="afff3"/>
        <w:numPr>
          <w:ilvl w:val="0"/>
          <w:numId w:val="26"/>
        </w:numPr>
        <w:spacing w:before="240"/>
        <w:rPr>
          <w:szCs w:val="24"/>
        </w:rPr>
      </w:pPr>
      <w:r w:rsidRPr="009F500F">
        <w:rPr>
          <w:b/>
          <w:szCs w:val="24"/>
        </w:rPr>
        <w:t>Капланов К.Д.,</w:t>
      </w:r>
      <w:r w:rsidRPr="009F500F">
        <w:rPr>
          <w:szCs w:val="24"/>
        </w:rPr>
        <w:t xml:space="preserve"> </w:t>
      </w:r>
      <w:r w:rsidRPr="009F500F">
        <w:t xml:space="preserve">к.м.н., заведующий </w:t>
      </w:r>
      <w:r w:rsidR="00350F60" w:rsidRPr="009F500F">
        <w:t xml:space="preserve">гематологическим </w:t>
      </w:r>
      <w:r w:rsidRPr="009F500F">
        <w:t xml:space="preserve">отделением </w:t>
      </w:r>
      <w:r w:rsidR="00350F60" w:rsidRPr="009F500F">
        <w:t>№11</w:t>
      </w:r>
      <w:r w:rsidRPr="009F500F">
        <w:t xml:space="preserve"> </w:t>
      </w:r>
      <w:r w:rsidR="006F1882" w:rsidRPr="009F500F">
        <w:t xml:space="preserve">ГБУЗ </w:t>
      </w:r>
      <w:r w:rsidR="00350F60" w:rsidRPr="009F500F">
        <w:t>ГКБ им. С.П. Боткина ДЗМ</w:t>
      </w:r>
    </w:p>
    <w:p w14:paraId="16F185EA" w14:textId="5EDE9FB0" w:rsidR="00035179" w:rsidRPr="009F500F" w:rsidRDefault="005A6C83" w:rsidP="00FF4C81">
      <w:pPr>
        <w:pStyle w:val="afff3"/>
        <w:numPr>
          <w:ilvl w:val="0"/>
          <w:numId w:val="26"/>
        </w:numPr>
        <w:spacing w:before="240"/>
        <w:rPr>
          <w:szCs w:val="24"/>
        </w:rPr>
      </w:pPr>
      <w:r w:rsidRPr="009F500F">
        <w:rPr>
          <w:b/>
          <w:szCs w:val="24"/>
        </w:rPr>
        <w:t xml:space="preserve">Воробьев В.И., к.м.н., </w:t>
      </w:r>
      <w:r w:rsidRPr="009F500F">
        <w:t xml:space="preserve">заведующий </w:t>
      </w:r>
      <w:r w:rsidR="00DC3C79" w:rsidRPr="009F500F">
        <w:t>отделением траснплантации костного мозга</w:t>
      </w:r>
      <w:r w:rsidRPr="009F500F">
        <w:t xml:space="preserve"> ГБУЗ ГКБ им. С.П. Боткина ДЗМ</w:t>
      </w:r>
    </w:p>
    <w:p w14:paraId="4AAB1B07" w14:textId="501370C6" w:rsidR="00952F0E" w:rsidRPr="00A26583" w:rsidRDefault="00952F0E" w:rsidP="00952F0E">
      <w:pPr>
        <w:rPr>
          <w:b/>
          <w:color w:val="000000"/>
          <w:szCs w:val="24"/>
        </w:rPr>
      </w:pPr>
      <w:r w:rsidRPr="00A26583">
        <w:rPr>
          <w:b/>
          <w:color w:val="000000"/>
          <w:szCs w:val="24"/>
        </w:rPr>
        <w:t>Блок по организации медицинской помощи:</w:t>
      </w:r>
    </w:p>
    <w:p w14:paraId="2138BE27" w14:textId="23ADBD64" w:rsidR="00952F0E" w:rsidRPr="00A26583" w:rsidRDefault="00952F0E" w:rsidP="00FF4C81">
      <w:pPr>
        <w:widowControl/>
        <w:numPr>
          <w:ilvl w:val="0"/>
          <w:numId w:val="26"/>
        </w:numPr>
      </w:pPr>
      <w:r w:rsidRPr="00A26583">
        <w:rPr>
          <w:b/>
        </w:rPr>
        <w:t>Геворкян Т</w:t>
      </w:r>
      <w:r w:rsidR="006D0C12">
        <w:rPr>
          <w:b/>
        </w:rPr>
        <w:t>.</w:t>
      </w:r>
      <w:r w:rsidRPr="00A26583">
        <w:rPr>
          <w:b/>
        </w:rPr>
        <w:t>Г</w:t>
      </w:r>
      <w:r w:rsidR="006D0C12">
        <w:rPr>
          <w:b/>
        </w:rPr>
        <w:t>.</w:t>
      </w:r>
      <w:r w:rsidRPr="00A26583">
        <w:t>, заместитель директора НИИ КЭР ФГБУ «НМИЦ онкологии им. Н.Н. Блохина», главный специалист-онколог Московской области.</w:t>
      </w:r>
    </w:p>
    <w:p w14:paraId="18E39325" w14:textId="2D6F3D8E" w:rsidR="00952F0E" w:rsidRPr="00A26583" w:rsidRDefault="00952F0E" w:rsidP="00FF4C81">
      <w:pPr>
        <w:widowControl/>
        <w:numPr>
          <w:ilvl w:val="0"/>
          <w:numId w:val="26"/>
        </w:numPr>
        <w:rPr>
          <w:color w:val="000000"/>
          <w:szCs w:val="24"/>
        </w:rPr>
      </w:pPr>
      <w:r w:rsidRPr="00A26583">
        <w:rPr>
          <w:b/>
          <w:color w:val="000000"/>
          <w:szCs w:val="24"/>
        </w:rPr>
        <w:t>Иванов С</w:t>
      </w:r>
      <w:r w:rsidR="009034B5">
        <w:rPr>
          <w:b/>
          <w:color w:val="000000"/>
          <w:szCs w:val="24"/>
        </w:rPr>
        <w:t>.</w:t>
      </w:r>
      <w:r w:rsidRPr="00A26583">
        <w:rPr>
          <w:b/>
          <w:color w:val="000000"/>
          <w:szCs w:val="24"/>
        </w:rPr>
        <w:t>А</w:t>
      </w:r>
      <w:r w:rsidR="009034B5">
        <w:rPr>
          <w:b/>
          <w:color w:val="000000"/>
          <w:szCs w:val="24"/>
        </w:rPr>
        <w:t>.</w:t>
      </w:r>
      <w:r w:rsidRPr="00A26583">
        <w:rPr>
          <w:b/>
          <w:color w:val="000000"/>
          <w:szCs w:val="24"/>
        </w:rPr>
        <w:t>,</w:t>
      </w:r>
      <w:r w:rsidRPr="00A26583">
        <w:rPr>
          <w:color w:val="000000"/>
          <w:szCs w:val="24"/>
        </w:rPr>
        <w:t xml:space="preserve"> д.м.н., проф. РАН, директор МРНЦ им. А.Ф. Цыба – филиала ФГБУ «НМИЦ радиологии» Минздрава России.</w:t>
      </w:r>
    </w:p>
    <w:p w14:paraId="6D90B606" w14:textId="1F2F4205" w:rsidR="00952F0E" w:rsidRPr="00A26583" w:rsidRDefault="00952F0E" w:rsidP="00FF4C81">
      <w:pPr>
        <w:widowControl/>
        <w:numPr>
          <w:ilvl w:val="0"/>
          <w:numId w:val="26"/>
        </w:numPr>
        <w:rPr>
          <w:color w:val="000000"/>
          <w:szCs w:val="24"/>
        </w:rPr>
      </w:pPr>
      <w:r w:rsidRPr="00A26583">
        <w:rPr>
          <w:b/>
          <w:color w:val="000000"/>
          <w:szCs w:val="24"/>
        </w:rPr>
        <w:t>Невольских А</w:t>
      </w:r>
      <w:r w:rsidR="009034B5">
        <w:rPr>
          <w:b/>
          <w:color w:val="000000"/>
          <w:szCs w:val="24"/>
        </w:rPr>
        <w:t>.</w:t>
      </w:r>
      <w:r w:rsidRPr="00A26583">
        <w:rPr>
          <w:b/>
          <w:color w:val="000000"/>
          <w:szCs w:val="24"/>
        </w:rPr>
        <w:t>А</w:t>
      </w:r>
      <w:r w:rsidR="009034B5">
        <w:rPr>
          <w:b/>
          <w:color w:val="000000"/>
          <w:szCs w:val="24"/>
        </w:rPr>
        <w:t>.</w:t>
      </w:r>
      <w:r w:rsidRPr="00A26583">
        <w:rPr>
          <w:color w:val="000000"/>
          <w:szCs w:val="24"/>
        </w:rPr>
        <w:t>, д.м.н., заместитель директора по лечебной работе МРНЦ им. А.Ф. Цыба – филиала ФГБУ «НМИЦ радиологии» Минздрава России.</w:t>
      </w:r>
    </w:p>
    <w:p w14:paraId="63A3FE3C" w14:textId="27164FB7" w:rsidR="00952F0E" w:rsidRDefault="00952F0E" w:rsidP="00FF4C81">
      <w:pPr>
        <w:widowControl/>
        <w:numPr>
          <w:ilvl w:val="0"/>
          <w:numId w:val="26"/>
        </w:numPr>
        <w:rPr>
          <w:color w:val="000000"/>
          <w:szCs w:val="24"/>
        </w:rPr>
      </w:pPr>
      <w:r w:rsidRPr="00A26583">
        <w:rPr>
          <w:b/>
          <w:color w:val="000000"/>
          <w:szCs w:val="24"/>
        </w:rPr>
        <w:t>Хайлова Ж</w:t>
      </w:r>
      <w:r w:rsidR="009034B5">
        <w:rPr>
          <w:b/>
          <w:color w:val="000000"/>
          <w:szCs w:val="24"/>
        </w:rPr>
        <w:t>.</w:t>
      </w:r>
      <w:r w:rsidRPr="00A26583">
        <w:rPr>
          <w:b/>
          <w:color w:val="000000"/>
          <w:szCs w:val="24"/>
        </w:rPr>
        <w:t>В</w:t>
      </w:r>
      <w:r w:rsidR="009034B5">
        <w:rPr>
          <w:b/>
          <w:color w:val="000000"/>
          <w:szCs w:val="24"/>
        </w:rPr>
        <w:t>.</w:t>
      </w:r>
      <w:r w:rsidRPr="00A26583">
        <w:rPr>
          <w:color w:val="000000"/>
          <w:szCs w:val="24"/>
        </w:rPr>
        <w:t>, к.м.н., заместитель директора по организационно-методической работе МРНЦ им. А.Ф. Цыба – филиала ФГБУ «НМИЦ радиологии» Минздрава России.</w:t>
      </w:r>
    </w:p>
    <w:p w14:paraId="5A8EA87C" w14:textId="3FF92C77" w:rsidR="00413C15" w:rsidRPr="00D6599E" w:rsidRDefault="00413C15" w:rsidP="001E2334">
      <w:pPr>
        <w:widowControl/>
        <w:rPr>
          <w:color w:val="000000"/>
          <w:szCs w:val="24"/>
        </w:rPr>
      </w:pPr>
      <w:r>
        <w:rPr>
          <w:b/>
          <w:color w:val="000000"/>
          <w:szCs w:val="24"/>
        </w:rPr>
        <w:t xml:space="preserve">Блок по </w:t>
      </w:r>
      <w:r w:rsidR="00D6599E">
        <w:rPr>
          <w:b/>
          <w:color w:val="000000"/>
          <w:szCs w:val="24"/>
        </w:rPr>
        <w:t>трансплантации аллогенных гемопоэтических стволовых клеток</w:t>
      </w:r>
    </w:p>
    <w:p w14:paraId="6602F741" w14:textId="334118BA" w:rsidR="001E2334" w:rsidRPr="00E474D3" w:rsidRDefault="001E2334" w:rsidP="00E90FCE">
      <w:pPr>
        <w:pStyle w:val="afff3"/>
        <w:widowControl/>
        <w:numPr>
          <w:ilvl w:val="0"/>
          <w:numId w:val="26"/>
        </w:numPr>
        <w:overflowPunct w:val="0"/>
        <w:ind w:left="1077" w:hanging="357"/>
        <w:jc w:val="left"/>
        <w:textAlignment w:val="baseline"/>
        <w:rPr>
          <w:rFonts w:eastAsia="SimSun"/>
          <w:szCs w:val="24"/>
        </w:rPr>
      </w:pPr>
      <w:r w:rsidRPr="009034B5">
        <w:rPr>
          <w:rFonts w:eastAsia="SimSun"/>
          <w:b/>
          <w:bCs/>
          <w:szCs w:val="24"/>
        </w:rPr>
        <w:t>Дроков М</w:t>
      </w:r>
      <w:r w:rsidR="009034B5" w:rsidRPr="009034B5">
        <w:rPr>
          <w:rFonts w:eastAsia="SimSun"/>
          <w:b/>
          <w:bCs/>
          <w:szCs w:val="24"/>
        </w:rPr>
        <w:t>.</w:t>
      </w:r>
      <w:r w:rsidRPr="009034B5">
        <w:rPr>
          <w:rFonts w:eastAsia="SimSun"/>
          <w:b/>
          <w:bCs/>
          <w:szCs w:val="24"/>
        </w:rPr>
        <w:t>Ю</w:t>
      </w:r>
      <w:r w:rsidR="009034B5" w:rsidRPr="009034B5">
        <w:rPr>
          <w:rFonts w:eastAsia="SimSun"/>
          <w:b/>
          <w:bCs/>
          <w:szCs w:val="24"/>
        </w:rPr>
        <w:t>.</w:t>
      </w:r>
      <w:r w:rsidR="009034B5">
        <w:rPr>
          <w:rFonts w:eastAsia="SimSun"/>
          <w:b/>
          <w:bCs/>
          <w:szCs w:val="24"/>
        </w:rPr>
        <w:t>,</w:t>
      </w:r>
      <w:r>
        <w:rPr>
          <w:rFonts w:eastAsia="SimSun"/>
          <w:szCs w:val="24"/>
        </w:rPr>
        <w:t xml:space="preserve"> </w:t>
      </w:r>
      <w:r w:rsidR="009034B5" w:rsidRPr="00E474D3">
        <w:rPr>
          <w:rFonts w:eastAsia="SimSun"/>
          <w:szCs w:val="24"/>
        </w:rPr>
        <w:t>к.м.н.</w:t>
      </w:r>
      <w:r w:rsidR="009034B5">
        <w:rPr>
          <w:rFonts w:eastAsia="SimSun"/>
          <w:szCs w:val="24"/>
        </w:rPr>
        <w:t xml:space="preserve">, </w:t>
      </w:r>
      <w:r w:rsidRPr="00E474D3">
        <w:rPr>
          <w:rFonts w:eastAsia="SimSun"/>
          <w:szCs w:val="24"/>
        </w:rPr>
        <w:t>руководитель сектора по изучению иммунных воздействий и осложнений после ТКМ ФГБУ «НМИЦ гематологии» Минздрава России</w:t>
      </w:r>
    </w:p>
    <w:p w14:paraId="1AD4717A" w14:textId="3DEC211F" w:rsidR="001E2334" w:rsidRPr="00E474D3" w:rsidRDefault="001E2334" w:rsidP="00E90FCE">
      <w:pPr>
        <w:pStyle w:val="afff3"/>
        <w:widowControl/>
        <w:numPr>
          <w:ilvl w:val="0"/>
          <w:numId w:val="26"/>
        </w:numPr>
        <w:overflowPunct w:val="0"/>
        <w:ind w:left="1077" w:hanging="357"/>
        <w:textAlignment w:val="baseline"/>
        <w:rPr>
          <w:rFonts w:eastAsia="SimSun"/>
          <w:szCs w:val="24"/>
        </w:rPr>
      </w:pPr>
      <w:r w:rsidRPr="009034B5">
        <w:rPr>
          <w:rFonts w:eastAsia="SimSun"/>
          <w:b/>
          <w:bCs/>
          <w:szCs w:val="24"/>
        </w:rPr>
        <w:t>Васильева В</w:t>
      </w:r>
      <w:r w:rsidR="009034B5" w:rsidRPr="009034B5">
        <w:rPr>
          <w:rFonts w:eastAsia="SimSun"/>
          <w:b/>
          <w:bCs/>
          <w:szCs w:val="24"/>
        </w:rPr>
        <w:t>.</w:t>
      </w:r>
      <w:r w:rsidRPr="009034B5">
        <w:rPr>
          <w:rFonts w:eastAsia="SimSun"/>
          <w:b/>
          <w:bCs/>
          <w:szCs w:val="24"/>
        </w:rPr>
        <w:t>А</w:t>
      </w:r>
      <w:r w:rsidR="009034B5" w:rsidRPr="009034B5">
        <w:rPr>
          <w:rFonts w:eastAsia="SimSun"/>
          <w:b/>
          <w:bCs/>
          <w:szCs w:val="24"/>
        </w:rPr>
        <w:t>.,</w:t>
      </w:r>
      <w:r>
        <w:rPr>
          <w:rFonts w:eastAsia="SimSun"/>
          <w:szCs w:val="24"/>
        </w:rPr>
        <w:t xml:space="preserve"> </w:t>
      </w:r>
      <w:r w:rsidR="009034B5" w:rsidRPr="00E474D3">
        <w:rPr>
          <w:rFonts w:eastAsia="SimSun"/>
          <w:szCs w:val="24"/>
        </w:rPr>
        <w:t>к.м.н.</w:t>
      </w:r>
      <w:r w:rsidR="009034B5">
        <w:rPr>
          <w:rFonts w:eastAsia="SimSun"/>
          <w:szCs w:val="24"/>
        </w:rPr>
        <w:t xml:space="preserve">, </w:t>
      </w:r>
      <w:r w:rsidRPr="00E474D3">
        <w:rPr>
          <w:rFonts w:eastAsia="SimSun"/>
          <w:szCs w:val="24"/>
        </w:rPr>
        <w:t>заведующая отделением иммунохимиотерапии с дневным стационаром для больных после ТКМ ФГБУ «НМИЦ гематологии» Минздрава России</w:t>
      </w:r>
    </w:p>
    <w:p w14:paraId="63120845" w14:textId="0F18E325" w:rsidR="001E2334" w:rsidRPr="00E474D3" w:rsidRDefault="001E2334" w:rsidP="00E90FCE">
      <w:pPr>
        <w:pStyle w:val="afff3"/>
        <w:widowControl/>
        <w:numPr>
          <w:ilvl w:val="0"/>
          <w:numId w:val="26"/>
        </w:numPr>
        <w:overflowPunct w:val="0"/>
        <w:ind w:left="1077" w:hanging="357"/>
        <w:textAlignment w:val="baseline"/>
        <w:rPr>
          <w:rFonts w:eastAsia="SimSun"/>
          <w:szCs w:val="24"/>
        </w:rPr>
      </w:pPr>
      <w:r w:rsidRPr="009034B5">
        <w:rPr>
          <w:rFonts w:eastAsia="SimSun"/>
          <w:b/>
          <w:bCs/>
          <w:szCs w:val="24"/>
        </w:rPr>
        <w:t>Власова Ю</w:t>
      </w:r>
      <w:r w:rsidR="009034B5" w:rsidRPr="009034B5">
        <w:rPr>
          <w:rFonts w:eastAsia="SimSun"/>
          <w:b/>
          <w:bCs/>
          <w:szCs w:val="24"/>
        </w:rPr>
        <w:t>.</w:t>
      </w:r>
      <w:r w:rsidRPr="009034B5">
        <w:rPr>
          <w:rFonts w:eastAsia="SimSun"/>
          <w:b/>
          <w:bCs/>
          <w:szCs w:val="24"/>
        </w:rPr>
        <w:t>Ю</w:t>
      </w:r>
      <w:r w:rsidR="009034B5" w:rsidRPr="009034B5">
        <w:rPr>
          <w:rFonts w:eastAsia="SimSun"/>
          <w:b/>
          <w:bCs/>
          <w:szCs w:val="24"/>
        </w:rPr>
        <w:t>.,</w:t>
      </w:r>
      <w:r w:rsidRPr="00E474D3">
        <w:rPr>
          <w:rFonts w:eastAsia="SimSun"/>
          <w:szCs w:val="24"/>
        </w:rPr>
        <w:t xml:space="preserve"> </w:t>
      </w:r>
      <w:r w:rsidR="009034B5" w:rsidRPr="00E474D3">
        <w:rPr>
          <w:rFonts w:eastAsia="SimSun"/>
          <w:szCs w:val="24"/>
        </w:rPr>
        <w:t>к.м.н.</w:t>
      </w:r>
      <w:r w:rsidR="009034B5">
        <w:rPr>
          <w:rFonts w:eastAsia="SimSun"/>
          <w:szCs w:val="24"/>
        </w:rPr>
        <w:t xml:space="preserve">, </w:t>
      </w:r>
      <w:r w:rsidRPr="00E474D3">
        <w:rPr>
          <w:rFonts w:eastAsia="SimSun"/>
          <w:szCs w:val="24"/>
        </w:rPr>
        <w:t>зав. отделением транспантации костного мозга для взрослых НИИ детской онкологии, гематологии и трансплантологии ФГБОУ ВО «Первый Санкт-Петербургский государственный медицинский университет имени академика И.П. Павлова» Министерства здравоохранения Российской Федерации</w:t>
      </w:r>
    </w:p>
    <w:p w14:paraId="45D42CB0" w14:textId="430AD324" w:rsidR="001E2334" w:rsidRPr="00E474D3" w:rsidRDefault="001E2334" w:rsidP="00E90FCE">
      <w:pPr>
        <w:pStyle w:val="afff3"/>
        <w:widowControl/>
        <w:numPr>
          <w:ilvl w:val="0"/>
          <w:numId w:val="26"/>
        </w:numPr>
        <w:overflowPunct w:val="0"/>
        <w:ind w:left="1077" w:hanging="357"/>
        <w:textAlignment w:val="baseline"/>
        <w:rPr>
          <w:rFonts w:eastAsia="SimSun"/>
          <w:szCs w:val="24"/>
        </w:rPr>
      </w:pPr>
      <w:r w:rsidRPr="009034B5">
        <w:rPr>
          <w:rFonts w:eastAsia="SimSun"/>
          <w:b/>
          <w:bCs/>
          <w:szCs w:val="24"/>
        </w:rPr>
        <w:t>Гапонова Т</w:t>
      </w:r>
      <w:r w:rsidR="009034B5" w:rsidRPr="009034B5">
        <w:rPr>
          <w:rFonts w:eastAsia="SimSun"/>
          <w:b/>
          <w:bCs/>
          <w:szCs w:val="24"/>
        </w:rPr>
        <w:t>.</w:t>
      </w:r>
      <w:r w:rsidRPr="009034B5">
        <w:rPr>
          <w:rFonts w:eastAsia="SimSun"/>
          <w:b/>
          <w:bCs/>
          <w:szCs w:val="24"/>
        </w:rPr>
        <w:t>В</w:t>
      </w:r>
      <w:r w:rsidR="009034B5" w:rsidRPr="009034B5">
        <w:rPr>
          <w:rFonts w:eastAsia="SimSun"/>
          <w:b/>
          <w:bCs/>
          <w:szCs w:val="24"/>
        </w:rPr>
        <w:t>.</w:t>
      </w:r>
      <w:r w:rsidR="009034B5">
        <w:rPr>
          <w:rFonts w:eastAsia="SimSun"/>
          <w:b/>
          <w:bCs/>
          <w:szCs w:val="24"/>
        </w:rPr>
        <w:t>,</w:t>
      </w:r>
      <w:r>
        <w:rPr>
          <w:rFonts w:eastAsia="SimSun"/>
          <w:szCs w:val="24"/>
        </w:rPr>
        <w:t xml:space="preserve"> </w:t>
      </w:r>
      <w:r w:rsidR="009034B5" w:rsidRPr="00E474D3">
        <w:rPr>
          <w:rFonts w:eastAsia="SimSun"/>
          <w:szCs w:val="24"/>
        </w:rPr>
        <w:t>к.м.н.</w:t>
      </w:r>
      <w:r w:rsidR="009034B5">
        <w:rPr>
          <w:rFonts w:eastAsia="SimSun"/>
          <w:szCs w:val="24"/>
        </w:rPr>
        <w:t>,</w:t>
      </w:r>
      <w:r w:rsidR="009034B5" w:rsidRPr="00E474D3">
        <w:rPr>
          <w:rFonts w:eastAsia="SimSun"/>
          <w:szCs w:val="24"/>
        </w:rPr>
        <w:t xml:space="preserve"> </w:t>
      </w:r>
      <w:r w:rsidRPr="00E474D3">
        <w:rPr>
          <w:rFonts w:eastAsia="SimSun"/>
          <w:szCs w:val="24"/>
        </w:rPr>
        <w:t xml:space="preserve">главный внештатный специалист-трансфузиолог </w:t>
      </w:r>
      <w:r w:rsidRPr="00E474D3">
        <w:rPr>
          <w:szCs w:val="24"/>
        </w:rPr>
        <w:t>Министерства здравоохранения РФ,</w:t>
      </w:r>
      <w:r w:rsidRPr="00E474D3">
        <w:rPr>
          <w:rFonts w:eastAsia="SimSun"/>
          <w:szCs w:val="24"/>
        </w:rPr>
        <w:t xml:space="preserve"> заместитель Генерального директора ФГБУ «НМИЦ гематологии» Минздрава России, зав. отделом процессинга клеток крови и криоконсервирования</w:t>
      </w:r>
    </w:p>
    <w:p w14:paraId="77C32BCF" w14:textId="43977589" w:rsidR="001E2334" w:rsidRPr="00E474D3" w:rsidRDefault="001E2334" w:rsidP="00E90FCE">
      <w:pPr>
        <w:pStyle w:val="afff3"/>
        <w:widowControl/>
        <w:numPr>
          <w:ilvl w:val="0"/>
          <w:numId w:val="26"/>
        </w:numPr>
        <w:overflowPunct w:val="0"/>
        <w:ind w:left="1077" w:hanging="357"/>
        <w:textAlignment w:val="baseline"/>
        <w:rPr>
          <w:rFonts w:eastAsia="SimSun"/>
          <w:szCs w:val="24"/>
        </w:rPr>
      </w:pPr>
      <w:r w:rsidRPr="009034B5">
        <w:rPr>
          <w:rFonts w:eastAsia="SimSun"/>
          <w:b/>
          <w:bCs/>
          <w:szCs w:val="24"/>
        </w:rPr>
        <w:t>Грицаев С</w:t>
      </w:r>
      <w:r w:rsidR="009034B5" w:rsidRPr="009034B5">
        <w:rPr>
          <w:rFonts w:eastAsia="SimSun"/>
          <w:b/>
          <w:bCs/>
          <w:szCs w:val="24"/>
        </w:rPr>
        <w:t>.</w:t>
      </w:r>
      <w:r w:rsidRPr="009034B5">
        <w:rPr>
          <w:rFonts w:eastAsia="SimSun"/>
          <w:b/>
          <w:bCs/>
          <w:szCs w:val="24"/>
        </w:rPr>
        <w:t>В</w:t>
      </w:r>
      <w:r w:rsidR="009034B5" w:rsidRPr="009034B5">
        <w:rPr>
          <w:rFonts w:eastAsia="SimSun"/>
          <w:b/>
          <w:bCs/>
          <w:szCs w:val="24"/>
        </w:rPr>
        <w:t>.,</w:t>
      </w:r>
      <w:r w:rsidRPr="00E474D3">
        <w:rPr>
          <w:szCs w:val="24"/>
        </w:rPr>
        <w:t xml:space="preserve"> </w:t>
      </w:r>
      <w:r w:rsidR="009034B5" w:rsidRPr="00E474D3">
        <w:rPr>
          <w:rFonts w:eastAsia="SimSun"/>
          <w:szCs w:val="24"/>
        </w:rPr>
        <w:t>д.м.н.</w:t>
      </w:r>
      <w:r w:rsidR="009034B5">
        <w:rPr>
          <w:rFonts w:eastAsia="SimSun"/>
          <w:szCs w:val="24"/>
        </w:rPr>
        <w:t xml:space="preserve">, </w:t>
      </w:r>
      <w:r w:rsidRPr="00E474D3">
        <w:rPr>
          <w:rFonts w:eastAsia="SimSun"/>
          <w:szCs w:val="24"/>
        </w:rPr>
        <w:t>руководитель Республиканского центра ТКМ ФГБУ РосНИИГТ ФМБА России</w:t>
      </w:r>
    </w:p>
    <w:p w14:paraId="1574962B" w14:textId="2484E29C" w:rsidR="001E2334" w:rsidRPr="00E474D3" w:rsidRDefault="004B0D07" w:rsidP="00E90FCE">
      <w:pPr>
        <w:pStyle w:val="afff3"/>
        <w:widowControl/>
        <w:numPr>
          <w:ilvl w:val="0"/>
          <w:numId w:val="26"/>
        </w:numPr>
        <w:overflowPunct w:val="0"/>
        <w:ind w:left="1077" w:hanging="357"/>
        <w:textAlignment w:val="baseline"/>
        <w:rPr>
          <w:rFonts w:eastAsia="SimSun"/>
          <w:szCs w:val="24"/>
        </w:rPr>
      </w:pPr>
      <w:r w:rsidRPr="009F500F">
        <w:rPr>
          <w:b/>
          <w:noProof/>
          <w:szCs w:val="24"/>
        </w:rPr>
        <w:lastRenderedPageBreak/>
        <mc:AlternateContent>
          <mc:Choice Requires="wps">
            <w:drawing>
              <wp:anchor distT="0" distB="0" distL="114300" distR="114300" simplePos="0" relativeHeight="251715072" behindDoc="0" locked="0" layoutInCell="1" allowOverlap="1" wp14:anchorId="5A0E087C" wp14:editId="714214C5">
                <wp:simplePos x="0" y="0"/>
                <wp:positionH relativeFrom="column">
                  <wp:posOffset>681990</wp:posOffset>
                </wp:positionH>
                <wp:positionV relativeFrom="paragraph">
                  <wp:posOffset>-30480</wp:posOffset>
                </wp:positionV>
                <wp:extent cx="1104900" cy="238125"/>
                <wp:effectExtent l="0" t="0" r="19050" b="28575"/>
                <wp:wrapNone/>
                <wp:docPr id="87" name="Прямоугольник 87"/>
                <wp:cNvGraphicFramePr/>
                <a:graphic xmlns:a="http://schemas.openxmlformats.org/drawingml/2006/main">
                  <a:graphicData uri="http://schemas.microsoft.com/office/word/2010/wordprocessingShape">
                    <wps:wsp>
                      <wps:cNvSpPr/>
                      <wps:spPr>
                        <a:xfrm>
                          <a:off x="0" y="0"/>
                          <a:ext cx="1104900" cy="23812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DE1E977" id="Прямоугольник 87" o:spid="_x0000_s1026" style="position:absolute;margin-left:53.7pt;margin-top:-2.4pt;width:87pt;height:18.75pt;z-index:2517150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" filled="f" strokecolor="black [3213]" strokeweight=".25pt"/>
            </w:pict>
          </mc:Fallback>
        </mc:AlternateContent>
      </w:r>
      <w:r w:rsidR="001E2334" w:rsidRPr="009F500F">
        <w:rPr>
          <w:rFonts w:eastAsia="SimSun"/>
          <w:b/>
          <w:bCs/>
          <w:szCs w:val="24"/>
        </w:rPr>
        <w:t>Зарицкий А</w:t>
      </w:r>
      <w:r w:rsidR="009034B5" w:rsidRPr="009F500F">
        <w:rPr>
          <w:rFonts w:eastAsia="SimSun"/>
          <w:b/>
          <w:bCs/>
          <w:szCs w:val="24"/>
        </w:rPr>
        <w:t>.</w:t>
      </w:r>
      <w:r w:rsidR="001E2334" w:rsidRPr="009F500F">
        <w:rPr>
          <w:rFonts w:eastAsia="SimSun"/>
          <w:b/>
          <w:bCs/>
          <w:szCs w:val="24"/>
        </w:rPr>
        <w:t>Ю</w:t>
      </w:r>
      <w:r w:rsidR="009034B5" w:rsidRPr="009F500F">
        <w:rPr>
          <w:rFonts w:eastAsia="SimSun"/>
          <w:b/>
          <w:bCs/>
          <w:szCs w:val="24"/>
        </w:rPr>
        <w:t>.,</w:t>
      </w:r>
      <w:r w:rsidR="001E2334" w:rsidRPr="009F500F">
        <w:rPr>
          <w:rFonts w:eastAsia="SimSun"/>
          <w:szCs w:val="24"/>
        </w:rPr>
        <w:t xml:space="preserve"> </w:t>
      </w:r>
      <w:r w:rsidR="009034B5" w:rsidRPr="00E474D3">
        <w:rPr>
          <w:rFonts w:eastAsia="SimSun"/>
          <w:szCs w:val="24"/>
        </w:rPr>
        <w:t>д.м.н,</w:t>
      </w:r>
      <w:r w:rsidR="009034B5" w:rsidRPr="00E474D3">
        <w:rPr>
          <w:szCs w:val="24"/>
        </w:rPr>
        <w:t xml:space="preserve"> профессор</w:t>
      </w:r>
      <w:r w:rsidR="009034B5">
        <w:rPr>
          <w:szCs w:val="24"/>
        </w:rPr>
        <w:t>,</w:t>
      </w:r>
      <w:r w:rsidR="009034B5" w:rsidRPr="00E474D3">
        <w:rPr>
          <w:rFonts w:eastAsia="SimSun"/>
          <w:szCs w:val="24"/>
        </w:rPr>
        <w:t xml:space="preserve"> </w:t>
      </w:r>
      <w:r w:rsidR="001E2334" w:rsidRPr="00E474D3">
        <w:rPr>
          <w:rFonts w:eastAsia="SimSun"/>
          <w:szCs w:val="24"/>
        </w:rPr>
        <w:t xml:space="preserve">директор института гематологии, ФГБУ НМИЦ им В.А. Алмазова </w:t>
      </w:r>
    </w:p>
    <w:p w14:paraId="34B1ADBD" w14:textId="3006CACF" w:rsidR="001E2334" w:rsidRPr="00E474D3" w:rsidRDefault="001E2334" w:rsidP="00E90FCE">
      <w:pPr>
        <w:pStyle w:val="afff3"/>
        <w:widowControl/>
        <w:numPr>
          <w:ilvl w:val="0"/>
          <w:numId w:val="26"/>
        </w:numPr>
        <w:overflowPunct w:val="0"/>
        <w:ind w:left="1077" w:hanging="357"/>
        <w:textAlignment w:val="baseline"/>
        <w:rPr>
          <w:rFonts w:eastAsia="SimSun"/>
          <w:szCs w:val="24"/>
        </w:rPr>
      </w:pPr>
      <w:r w:rsidRPr="009034B5">
        <w:rPr>
          <w:rFonts w:eastAsia="SimSun"/>
          <w:b/>
          <w:bCs/>
          <w:szCs w:val="24"/>
        </w:rPr>
        <w:t>Зюзгин И</w:t>
      </w:r>
      <w:r w:rsidR="009034B5" w:rsidRPr="009034B5">
        <w:rPr>
          <w:rFonts w:eastAsia="SimSun"/>
          <w:b/>
          <w:bCs/>
          <w:szCs w:val="24"/>
        </w:rPr>
        <w:t>.</w:t>
      </w:r>
      <w:r w:rsidRPr="009034B5">
        <w:rPr>
          <w:rFonts w:eastAsia="SimSun"/>
          <w:b/>
          <w:bCs/>
          <w:szCs w:val="24"/>
        </w:rPr>
        <w:t>С</w:t>
      </w:r>
      <w:r w:rsidR="009034B5" w:rsidRPr="009034B5">
        <w:rPr>
          <w:rFonts w:eastAsia="SimSun"/>
          <w:b/>
          <w:bCs/>
          <w:szCs w:val="24"/>
        </w:rPr>
        <w:t>.,</w:t>
      </w:r>
      <w:r>
        <w:rPr>
          <w:rFonts w:eastAsia="SimSun"/>
          <w:szCs w:val="24"/>
        </w:rPr>
        <w:t xml:space="preserve"> </w:t>
      </w:r>
      <w:r w:rsidRPr="00E474D3">
        <w:rPr>
          <w:rFonts w:eastAsia="SimSun"/>
          <w:szCs w:val="24"/>
        </w:rPr>
        <w:t>заведующий отделением гематологии и трансплантации костного мозга ФГБУ «НМИЦ онкологии им. Н.Н. Петрова» Минздрава России</w:t>
      </w:r>
    </w:p>
    <w:p w14:paraId="326CCCFA" w14:textId="24B4A7BA" w:rsidR="001E2334" w:rsidRPr="00E474D3" w:rsidRDefault="001E2334" w:rsidP="00E90FCE">
      <w:pPr>
        <w:pStyle w:val="afff3"/>
        <w:widowControl/>
        <w:numPr>
          <w:ilvl w:val="0"/>
          <w:numId w:val="26"/>
        </w:numPr>
        <w:overflowPunct w:val="0"/>
        <w:ind w:left="1077" w:hanging="357"/>
        <w:textAlignment w:val="baseline"/>
        <w:rPr>
          <w:rFonts w:eastAsia="SimSun"/>
          <w:szCs w:val="24"/>
        </w:rPr>
      </w:pPr>
      <w:r w:rsidRPr="009034B5">
        <w:rPr>
          <w:rFonts w:eastAsia="SimSun"/>
          <w:b/>
          <w:bCs/>
          <w:szCs w:val="24"/>
        </w:rPr>
        <w:t>Климко Н</w:t>
      </w:r>
      <w:r w:rsidR="009034B5" w:rsidRPr="009034B5">
        <w:rPr>
          <w:rFonts w:eastAsia="SimSun"/>
          <w:b/>
          <w:bCs/>
          <w:szCs w:val="24"/>
        </w:rPr>
        <w:t>.</w:t>
      </w:r>
      <w:r w:rsidRPr="009034B5">
        <w:rPr>
          <w:rFonts w:eastAsia="SimSun"/>
          <w:b/>
          <w:bCs/>
          <w:szCs w:val="24"/>
        </w:rPr>
        <w:t>Н</w:t>
      </w:r>
      <w:r w:rsidR="009034B5" w:rsidRPr="009034B5">
        <w:rPr>
          <w:rFonts w:eastAsia="SimSun"/>
          <w:b/>
          <w:bCs/>
          <w:szCs w:val="24"/>
        </w:rPr>
        <w:t>.,</w:t>
      </w:r>
      <w:r>
        <w:rPr>
          <w:rFonts w:eastAsia="SimSun"/>
          <w:szCs w:val="24"/>
        </w:rPr>
        <w:t xml:space="preserve"> </w:t>
      </w:r>
      <w:r w:rsidR="009034B5" w:rsidRPr="00E474D3">
        <w:rPr>
          <w:rFonts w:eastAsia="SimSun"/>
          <w:szCs w:val="24"/>
        </w:rPr>
        <w:t>д.м.н,</w:t>
      </w:r>
      <w:r w:rsidR="009034B5" w:rsidRPr="00E474D3">
        <w:rPr>
          <w:szCs w:val="24"/>
        </w:rPr>
        <w:t xml:space="preserve"> профессор</w:t>
      </w:r>
      <w:r w:rsidR="009034B5" w:rsidRPr="00E474D3">
        <w:rPr>
          <w:rFonts w:eastAsia="SimSun"/>
          <w:szCs w:val="24"/>
        </w:rPr>
        <w:t xml:space="preserve"> </w:t>
      </w:r>
      <w:r w:rsidRPr="00E474D3">
        <w:rPr>
          <w:rFonts w:eastAsia="SimSun"/>
          <w:szCs w:val="24"/>
        </w:rPr>
        <w:t>заведующий кафедрой клинической микологии, аллергологии и иммунологии СЗГМУ им.И.И. Мечникова.</w:t>
      </w:r>
    </w:p>
    <w:p w14:paraId="132FDB9F" w14:textId="75B0252A" w:rsidR="001E2334" w:rsidRPr="00E474D3" w:rsidRDefault="001E2334" w:rsidP="00E90FCE">
      <w:pPr>
        <w:pStyle w:val="afff3"/>
        <w:widowControl/>
        <w:numPr>
          <w:ilvl w:val="0"/>
          <w:numId w:val="26"/>
        </w:numPr>
        <w:overflowPunct w:val="0"/>
        <w:ind w:left="1077" w:hanging="357"/>
        <w:textAlignment w:val="baseline"/>
        <w:rPr>
          <w:rFonts w:eastAsia="SimSun"/>
          <w:szCs w:val="24"/>
        </w:rPr>
      </w:pPr>
      <w:r w:rsidRPr="009034B5">
        <w:rPr>
          <w:rFonts w:eastAsia="SimSun"/>
          <w:b/>
          <w:bCs/>
          <w:szCs w:val="24"/>
        </w:rPr>
        <w:t>Кулагин А</w:t>
      </w:r>
      <w:r w:rsidR="009034B5" w:rsidRPr="009034B5">
        <w:rPr>
          <w:rFonts w:eastAsia="SimSun"/>
          <w:b/>
          <w:bCs/>
          <w:szCs w:val="24"/>
        </w:rPr>
        <w:t>.</w:t>
      </w:r>
      <w:r w:rsidRPr="009034B5">
        <w:rPr>
          <w:rFonts w:eastAsia="SimSun"/>
          <w:b/>
          <w:bCs/>
          <w:szCs w:val="24"/>
        </w:rPr>
        <w:t>Д</w:t>
      </w:r>
      <w:r w:rsidR="009034B5" w:rsidRPr="009034B5">
        <w:rPr>
          <w:rFonts w:eastAsia="SimSun"/>
          <w:b/>
          <w:bCs/>
          <w:szCs w:val="24"/>
        </w:rPr>
        <w:t>.,</w:t>
      </w:r>
      <w:r>
        <w:rPr>
          <w:rFonts w:eastAsia="SimSun"/>
          <w:szCs w:val="24"/>
        </w:rPr>
        <w:t xml:space="preserve"> </w:t>
      </w:r>
      <w:r w:rsidR="009034B5" w:rsidRPr="00E474D3">
        <w:rPr>
          <w:rFonts w:eastAsia="SimSun"/>
          <w:szCs w:val="24"/>
        </w:rPr>
        <w:t>д.м.н</w:t>
      </w:r>
      <w:r w:rsidR="009034B5">
        <w:rPr>
          <w:rFonts w:eastAsia="SimSun"/>
          <w:szCs w:val="24"/>
        </w:rPr>
        <w:t>.,</w:t>
      </w:r>
      <w:r w:rsidR="009034B5" w:rsidRPr="00E474D3">
        <w:rPr>
          <w:rFonts w:eastAsia="SimSun"/>
          <w:szCs w:val="24"/>
        </w:rPr>
        <w:t xml:space="preserve"> </w:t>
      </w:r>
      <w:r w:rsidRPr="00E474D3">
        <w:rPr>
          <w:rFonts w:eastAsia="SimSun"/>
          <w:szCs w:val="24"/>
        </w:rPr>
        <w:t xml:space="preserve">и.о. директора НИИ детской онкологии, гематологии и трансплантологии ФГБОУ ВО «Первый Санкт-Петербургский государственный медицинский университет имени академика И.П. Павлова» Министерства здравоохранения Российской Федерации, </w:t>
      </w:r>
    </w:p>
    <w:p w14:paraId="2E09309D" w14:textId="1F886C6E" w:rsidR="001E2334" w:rsidRPr="00E474D3" w:rsidRDefault="001E2334" w:rsidP="00E90FCE">
      <w:pPr>
        <w:pStyle w:val="afff3"/>
        <w:widowControl/>
        <w:numPr>
          <w:ilvl w:val="0"/>
          <w:numId w:val="26"/>
        </w:numPr>
        <w:overflowPunct w:val="0"/>
        <w:ind w:left="1077" w:hanging="357"/>
        <w:textAlignment w:val="baseline"/>
        <w:rPr>
          <w:rFonts w:eastAsia="SimSun"/>
          <w:szCs w:val="24"/>
        </w:rPr>
      </w:pPr>
      <w:r w:rsidRPr="009034B5">
        <w:rPr>
          <w:rFonts w:eastAsia="SimSun"/>
          <w:b/>
          <w:bCs/>
          <w:szCs w:val="24"/>
        </w:rPr>
        <w:t>Минаева Н</w:t>
      </w:r>
      <w:r w:rsidR="009034B5" w:rsidRPr="009034B5">
        <w:rPr>
          <w:rFonts w:eastAsia="SimSun"/>
          <w:b/>
          <w:bCs/>
          <w:szCs w:val="24"/>
        </w:rPr>
        <w:t>.</w:t>
      </w:r>
      <w:r w:rsidRPr="009034B5">
        <w:rPr>
          <w:rFonts w:eastAsia="SimSun"/>
          <w:b/>
          <w:bCs/>
          <w:szCs w:val="24"/>
        </w:rPr>
        <w:t>В</w:t>
      </w:r>
      <w:r w:rsidR="009034B5" w:rsidRPr="009034B5">
        <w:rPr>
          <w:rFonts w:eastAsia="SimSun"/>
          <w:b/>
          <w:bCs/>
          <w:szCs w:val="24"/>
        </w:rPr>
        <w:t>.,</w:t>
      </w:r>
      <w:r>
        <w:rPr>
          <w:rFonts w:eastAsia="SimSun"/>
          <w:szCs w:val="24"/>
        </w:rPr>
        <w:t xml:space="preserve"> </w:t>
      </w:r>
      <w:r w:rsidRPr="00E474D3">
        <w:rPr>
          <w:rFonts w:eastAsia="SimSun"/>
          <w:szCs w:val="24"/>
        </w:rPr>
        <w:t>зам. директора по лечебной работе ФГБУН КНИИ ГПК ФМБА России</w:t>
      </w:r>
    </w:p>
    <w:p w14:paraId="319AC64F" w14:textId="19BA69E6" w:rsidR="001E2334" w:rsidRPr="00E474D3" w:rsidRDefault="001E2334" w:rsidP="00E90FCE">
      <w:pPr>
        <w:pStyle w:val="afff3"/>
        <w:widowControl/>
        <w:numPr>
          <w:ilvl w:val="0"/>
          <w:numId w:val="26"/>
        </w:numPr>
        <w:overflowPunct w:val="0"/>
        <w:ind w:left="1077" w:hanging="357"/>
        <w:textAlignment w:val="baseline"/>
        <w:rPr>
          <w:rFonts w:eastAsia="SimSun"/>
          <w:szCs w:val="24"/>
        </w:rPr>
      </w:pPr>
      <w:r w:rsidRPr="009034B5">
        <w:rPr>
          <w:rFonts w:eastAsia="SimSun"/>
          <w:b/>
          <w:bCs/>
          <w:szCs w:val="24"/>
        </w:rPr>
        <w:t>Моисеев И</w:t>
      </w:r>
      <w:r w:rsidR="009034B5" w:rsidRPr="009034B5">
        <w:rPr>
          <w:rFonts w:eastAsia="SimSun"/>
          <w:b/>
          <w:bCs/>
          <w:szCs w:val="24"/>
        </w:rPr>
        <w:t>.</w:t>
      </w:r>
      <w:r w:rsidRPr="009034B5">
        <w:rPr>
          <w:rFonts w:eastAsia="SimSun"/>
          <w:b/>
          <w:bCs/>
          <w:szCs w:val="24"/>
        </w:rPr>
        <w:t>С</w:t>
      </w:r>
      <w:r w:rsidR="009034B5" w:rsidRPr="009034B5">
        <w:rPr>
          <w:rFonts w:eastAsia="SimSun"/>
          <w:b/>
          <w:bCs/>
          <w:szCs w:val="24"/>
        </w:rPr>
        <w:t>.</w:t>
      </w:r>
      <w:r w:rsidR="009034B5">
        <w:rPr>
          <w:rFonts w:eastAsia="SimSun"/>
          <w:szCs w:val="24"/>
        </w:rPr>
        <w:t>,</w:t>
      </w:r>
      <w:r w:rsidRPr="00E474D3">
        <w:rPr>
          <w:rFonts w:eastAsia="SimSun"/>
          <w:szCs w:val="24"/>
        </w:rPr>
        <w:t xml:space="preserve"> </w:t>
      </w:r>
      <w:r w:rsidR="009034B5" w:rsidRPr="00E474D3">
        <w:rPr>
          <w:rFonts w:eastAsia="SimSun"/>
          <w:szCs w:val="24"/>
        </w:rPr>
        <w:t>д.м.н.</w:t>
      </w:r>
      <w:r w:rsidR="009034B5">
        <w:rPr>
          <w:rFonts w:eastAsia="SimSun"/>
          <w:szCs w:val="24"/>
        </w:rPr>
        <w:t xml:space="preserve">, </w:t>
      </w:r>
      <w:r w:rsidRPr="00E474D3">
        <w:rPr>
          <w:rFonts w:eastAsia="SimSun"/>
          <w:szCs w:val="24"/>
        </w:rPr>
        <w:t>зам. директора по науке НИИ детской онкологии, гематологии и трансплантологии ФГБОУ ВО «Первый Санкт-Петербургский государственный медицинский университет имени академика И.П. Павлова» Министерства здравоохранения Российской Федерации</w:t>
      </w:r>
    </w:p>
    <w:p w14:paraId="19B6A549" w14:textId="0F0C33A4" w:rsidR="001E2334" w:rsidRPr="00E474D3" w:rsidRDefault="001E2334" w:rsidP="00E90FCE">
      <w:pPr>
        <w:pStyle w:val="afff3"/>
        <w:widowControl/>
        <w:numPr>
          <w:ilvl w:val="0"/>
          <w:numId w:val="26"/>
        </w:numPr>
        <w:overflowPunct w:val="0"/>
        <w:ind w:left="1077" w:hanging="357"/>
        <w:textAlignment w:val="baseline"/>
        <w:rPr>
          <w:rFonts w:eastAsia="SimSun"/>
          <w:szCs w:val="24"/>
        </w:rPr>
      </w:pPr>
      <w:r w:rsidRPr="009034B5">
        <w:rPr>
          <w:rFonts w:eastAsia="SimSun"/>
          <w:b/>
          <w:bCs/>
          <w:szCs w:val="24"/>
        </w:rPr>
        <w:t>Морозова Е</w:t>
      </w:r>
      <w:r w:rsidR="009034B5" w:rsidRPr="009034B5">
        <w:rPr>
          <w:rFonts w:eastAsia="SimSun"/>
          <w:b/>
          <w:bCs/>
          <w:szCs w:val="24"/>
        </w:rPr>
        <w:t>.В.,</w:t>
      </w:r>
      <w:r w:rsidR="00D76E91">
        <w:rPr>
          <w:rFonts w:eastAsia="SimSun"/>
          <w:szCs w:val="24"/>
        </w:rPr>
        <w:t xml:space="preserve"> </w:t>
      </w:r>
      <w:r w:rsidR="009034B5" w:rsidRPr="00E474D3">
        <w:rPr>
          <w:rFonts w:eastAsia="SimSun"/>
          <w:szCs w:val="24"/>
        </w:rPr>
        <w:t>к.м.н.</w:t>
      </w:r>
      <w:r w:rsidR="009034B5">
        <w:rPr>
          <w:rFonts w:eastAsia="SimSun"/>
          <w:szCs w:val="24"/>
        </w:rPr>
        <w:t xml:space="preserve">, </w:t>
      </w:r>
      <w:r w:rsidRPr="00E474D3">
        <w:rPr>
          <w:rFonts w:eastAsia="SimSun"/>
          <w:szCs w:val="24"/>
        </w:rPr>
        <w:t xml:space="preserve">руководитель отдела гематологии, онкологии и трансплантации для взрослых НИИ детской онкологии, гематологии и трансплантологии ФГБОУ ВО «Первый Санкт-Петербургский государственный медицинский университет имени академика И.П. Павлова» Министерства здравоохранения Российской Федерации </w:t>
      </w:r>
    </w:p>
    <w:p w14:paraId="0EEF9A2B" w14:textId="0DF2EB5A" w:rsidR="001E2334" w:rsidRPr="00E474D3" w:rsidRDefault="001E2334" w:rsidP="00E90FCE">
      <w:pPr>
        <w:pStyle w:val="afff3"/>
        <w:widowControl/>
        <w:numPr>
          <w:ilvl w:val="0"/>
          <w:numId w:val="26"/>
        </w:numPr>
        <w:overflowPunct w:val="0"/>
        <w:ind w:left="1077" w:hanging="357"/>
        <w:textAlignment w:val="baseline"/>
        <w:rPr>
          <w:rFonts w:eastAsia="SimSun"/>
          <w:szCs w:val="24"/>
        </w:rPr>
      </w:pPr>
      <w:r w:rsidRPr="009034B5">
        <w:rPr>
          <w:rFonts w:eastAsia="SimSun"/>
          <w:b/>
          <w:bCs/>
          <w:szCs w:val="24"/>
        </w:rPr>
        <w:t>Моторин Д</w:t>
      </w:r>
      <w:r w:rsidR="009034B5" w:rsidRPr="009034B5">
        <w:rPr>
          <w:rFonts w:eastAsia="SimSun"/>
          <w:b/>
          <w:bCs/>
          <w:szCs w:val="24"/>
        </w:rPr>
        <w:t>.</w:t>
      </w:r>
      <w:r w:rsidRPr="009034B5">
        <w:rPr>
          <w:rFonts w:eastAsia="SimSun"/>
          <w:b/>
          <w:bCs/>
          <w:szCs w:val="24"/>
        </w:rPr>
        <w:t>В</w:t>
      </w:r>
      <w:r w:rsidR="009034B5" w:rsidRPr="009034B5">
        <w:rPr>
          <w:rFonts w:eastAsia="SimSun"/>
          <w:b/>
          <w:bCs/>
          <w:szCs w:val="24"/>
        </w:rPr>
        <w:t>.,</w:t>
      </w:r>
      <w:r w:rsidR="009034B5">
        <w:rPr>
          <w:rFonts w:eastAsia="SimSun"/>
          <w:szCs w:val="24"/>
        </w:rPr>
        <w:t xml:space="preserve"> </w:t>
      </w:r>
      <w:r w:rsidR="009034B5" w:rsidRPr="00E474D3">
        <w:rPr>
          <w:rFonts w:eastAsia="SimSun"/>
          <w:szCs w:val="24"/>
        </w:rPr>
        <w:t>к.м.н.</w:t>
      </w:r>
      <w:r w:rsidR="009034B5">
        <w:rPr>
          <w:rFonts w:eastAsia="SimSun"/>
          <w:szCs w:val="24"/>
        </w:rPr>
        <w:t xml:space="preserve">, </w:t>
      </w:r>
      <w:r w:rsidRPr="00E474D3">
        <w:rPr>
          <w:rFonts w:eastAsia="SimSun"/>
          <w:szCs w:val="24"/>
        </w:rPr>
        <w:t>врач-гема</w:t>
      </w:r>
      <w:r w:rsidR="009F500F">
        <w:rPr>
          <w:rFonts w:eastAsia="SimSun"/>
          <w:szCs w:val="24"/>
        </w:rPr>
        <w:t>толог отделения онкогематологии</w:t>
      </w:r>
      <w:r w:rsidRPr="00E474D3">
        <w:rPr>
          <w:rFonts w:eastAsia="SimSun"/>
          <w:szCs w:val="24"/>
        </w:rPr>
        <w:t xml:space="preserve"> №2,  старший научный сотрудник ФГБУ «НМИЦ им. В.А. Алмазова» Минздрава России</w:t>
      </w:r>
    </w:p>
    <w:p w14:paraId="4F2C568B" w14:textId="5FB4C2EC" w:rsidR="001E2334" w:rsidRPr="00E474D3" w:rsidRDefault="001E2334" w:rsidP="00E90FCE">
      <w:pPr>
        <w:pStyle w:val="afff3"/>
        <w:widowControl/>
        <w:numPr>
          <w:ilvl w:val="0"/>
          <w:numId w:val="26"/>
        </w:numPr>
        <w:overflowPunct w:val="0"/>
        <w:ind w:left="1077" w:hanging="357"/>
        <w:textAlignment w:val="baseline"/>
        <w:rPr>
          <w:rFonts w:eastAsia="SimSun"/>
          <w:szCs w:val="24"/>
        </w:rPr>
      </w:pPr>
      <w:r w:rsidRPr="009034B5">
        <w:rPr>
          <w:rFonts w:eastAsia="SimSun"/>
          <w:b/>
          <w:bCs/>
          <w:szCs w:val="24"/>
        </w:rPr>
        <w:t>Петрова Г</w:t>
      </w:r>
      <w:r w:rsidR="009034B5" w:rsidRPr="009034B5">
        <w:rPr>
          <w:rFonts w:eastAsia="SimSun"/>
          <w:b/>
          <w:bCs/>
          <w:szCs w:val="24"/>
        </w:rPr>
        <w:t>.</w:t>
      </w:r>
      <w:r w:rsidRPr="009034B5">
        <w:rPr>
          <w:rFonts w:eastAsia="SimSun"/>
          <w:b/>
          <w:bCs/>
          <w:szCs w:val="24"/>
        </w:rPr>
        <w:t>Д</w:t>
      </w:r>
      <w:r w:rsidR="009034B5" w:rsidRPr="009034B5">
        <w:rPr>
          <w:rFonts w:eastAsia="SimSun"/>
          <w:b/>
          <w:bCs/>
          <w:szCs w:val="24"/>
        </w:rPr>
        <w:t>.,</w:t>
      </w:r>
      <w:r w:rsidR="009034B5">
        <w:rPr>
          <w:rFonts w:eastAsia="SimSun"/>
          <w:szCs w:val="24"/>
        </w:rPr>
        <w:t xml:space="preserve"> </w:t>
      </w:r>
      <w:r w:rsidR="009034B5" w:rsidRPr="00E474D3">
        <w:rPr>
          <w:rFonts w:eastAsia="SimSun"/>
          <w:szCs w:val="24"/>
        </w:rPr>
        <w:t>к.м.н.</w:t>
      </w:r>
      <w:r w:rsidR="009034B5">
        <w:rPr>
          <w:rFonts w:eastAsia="SimSun"/>
          <w:szCs w:val="24"/>
        </w:rPr>
        <w:t xml:space="preserve">, </w:t>
      </w:r>
      <w:r w:rsidRPr="00E474D3">
        <w:rPr>
          <w:rFonts w:eastAsia="SimSun"/>
          <w:szCs w:val="24"/>
        </w:rPr>
        <w:t xml:space="preserve">заведующая отделением трансплантации костного мозга и гемопоэтических стволовых клеток отдела гематологии и трансплантации костного мозга ФГБУ "НМИЦ онкологии им Н. Н. Блохина" Минздрава России, </w:t>
      </w:r>
    </w:p>
    <w:p w14:paraId="7300FA92" w14:textId="6225CF53" w:rsidR="001E2334" w:rsidRPr="00E474D3" w:rsidRDefault="001E2334" w:rsidP="00E90FCE">
      <w:pPr>
        <w:pStyle w:val="afff3"/>
        <w:widowControl/>
        <w:numPr>
          <w:ilvl w:val="0"/>
          <w:numId w:val="26"/>
        </w:numPr>
        <w:overflowPunct w:val="0"/>
        <w:ind w:left="1077" w:hanging="357"/>
        <w:jc w:val="left"/>
        <w:textAlignment w:val="baseline"/>
        <w:rPr>
          <w:rFonts w:eastAsia="SimSun"/>
          <w:szCs w:val="24"/>
        </w:rPr>
      </w:pPr>
      <w:r w:rsidRPr="009034B5">
        <w:rPr>
          <w:rFonts w:eastAsia="SimSun"/>
          <w:b/>
          <w:bCs/>
          <w:szCs w:val="24"/>
        </w:rPr>
        <w:t>Попова М</w:t>
      </w:r>
      <w:r w:rsidR="009034B5" w:rsidRPr="009034B5">
        <w:rPr>
          <w:rFonts w:eastAsia="SimSun"/>
          <w:b/>
          <w:bCs/>
          <w:szCs w:val="24"/>
        </w:rPr>
        <w:t>.</w:t>
      </w:r>
      <w:r w:rsidRPr="009034B5">
        <w:rPr>
          <w:rFonts w:eastAsia="SimSun"/>
          <w:b/>
          <w:bCs/>
          <w:szCs w:val="24"/>
        </w:rPr>
        <w:t>О</w:t>
      </w:r>
      <w:r w:rsidR="009034B5" w:rsidRPr="009034B5">
        <w:rPr>
          <w:rFonts w:eastAsia="SimSun"/>
          <w:b/>
          <w:bCs/>
          <w:szCs w:val="24"/>
        </w:rPr>
        <w:t xml:space="preserve">., </w:t>
      </w:r>
      <w:r w:rsidR="009034B5" w:rsidRPr="00E474D3">
        <w:rPr>
          <w:rFonts w:eastAsia="SimSun"/>
          <w:szCs w:val="24"/>
        </w:rPr>
        <w:t>к.м.н</w:t>
      </w:r>
      <w:r w:rsidR="009034B5">
        <w:rPr>
          <w:rFonts w:eastAsia="SimSun"/>
          <w:szCs w:val="24"/>
        </w:rPr>
        <w:t>.,</w:t>
      </w:r>
      <w:r w:rsidRPr="00E474D3">
        <w:rPr>
          <w:rFonts w:eastAsia="SimSun"/>
          <w:szCs w:val="24"/>
        </w:rPr>
        <w:t xml:space="preserve"> доцент кафедры гематологии, трансфузиологии и трансплантологии ФПО ПСПбГМУ им. И.П. Павлова</w:t>
      </w:r>
    </w:p>
    <w:p w14:paraId="552BB735" w14:textId="53DD5E21" w:rsidR="00D6599E" w:rsidRPr="009034B5" w:rsidRDefault="001E2334" w:rsidP="009034B5">
      <w:pPr>
        <w:pStyle w:val="afff3"/>
        <w:widowControl/>
        <w:numPr>
          <w:ilvl w:val="0"/>
          <w:numId w:val="26"/>
        </w:numPr>
        <w:overflowPunct w:val="0"/>
        <w:ind w:left="1077" w:hanging="357"/>
        <w:textAlignment w:val="baseline"/>
        <w:rPr>
          <w:rFonts w:eastAsia="SimSun"/>
          <w:szCs w:val="24"/>
        </w:rPr>
      </w:pPr>
      <w:r w:rsidRPr="009034B5">
        <w:rPr>
          <w:rFonts w:eastAsia="SimSun"/>
          <w:b/>
          <w:bCs/>
          <w:szCs w:val="24"/>
        </w:rPr>
        <w:t>Эстрина М</w:t>
      </w:r>
      <w:r w:rsidR="009034B5" w:rsidRPr="009034B5">
        <w:rPr>
          <w:rFonts w:eastAsia="SimSun"/>
          <w:b/>
          <w:bCs/>
          <w:szCs w:val="24"/>
        </w:rPr>
        <w:t>.А.,</w:t>
      </w:r>
      <w:r w:rsidR="009034B5">
        <w:rPr>
          <w:rFonts w:eastAsia="SimSun"/>
          <w:szCs w:val="24"/>
        </w:rPr>
        <w:t xml:space="preserve"> к.м.н., </w:t>
      </w:r>
      <w:r w:rsidRPr="00E474D3">
        <w:rPr>
          <w:rFonts w:eastAsia="SimSun"/>
          <w:szCs w:val="24"/>
        </w:rPr>
        <w:t>зав. отделением клинической трансфузиологии НИИ детской онкологии, гематологии и трансплантологии ФГБОУ ВО «Первый Санкт-Петербургский государственный медицинский университет имени академика И.П. Павлова» Министерства здравоохранения Российской Федерации</w:t>
      </w:r>
    </w:p>
    <w:p w14:paraId="255D3FF4" w14:textId="77777777" w:rsidR="006F1882" w:rsidRDefault="006F1882" w:rsidP="003C7F22">
      <w:pPr>
        <w:pStyle w:val="18"/>
        <w:spacing w:before="0" w:beforeAutospacing="0" w:after="0" w:afterAutospacing="0"/>
        <w:contextualSpacing/>
        <w:jc w:val="both"/>
        <w:rPr>
          <w:rStyle w:val="aff5"/>
          <w:szCs w:val="20"/>
        </w:rPr>
      </w:pPr>
    </w:p>
    <w:p w14:paraId="42A69D78" w14:textId="77777777" w:rsidR="00B2028A" w:rsidRDefault="00035179" w:rsidP="00B2028A">
      <w:pPr>
        <w:pStyle w:val="18"/>
        <w:spacing w:before="0" w:beforeAutospacing="0" w:after="0" w:afterAutospacing="0"/>
        <w:contextualSpacing/>
        <w:jc w:val="both"/>
      </w:pPr>
      <w:r w:rsidRPr="006F1882">
        <w:rPr>
          <w:rStyle w:val="aff5"/>
        </w:rPr>
        <w:lastRenderedPageBreak/>
        <w:t>Конфликт интересов</w:t>
      </w:r>
      <w:r w:rsidRPr="006F1882">
        <w:rPr>
          <w:b/>
        </w:rPr>
        <w:t xml:space="preserve">: </w:t>
      </w:r>
      <w:r w:rsidR="0029734E">
        <w:t>авторы заявляют об отсутствии конфликта интересов.</w:t>
      </w:r>
    </w:p>
    <w:p w14:paraId="00689AC8" w14:textId="0CF3D884" w:rsidR="00CA7FDC" w:rsidRPr="00441E2B" w:rsidRDefault="00365604" w:rsidP="00B2028A">
      <w:pPr>
        <w:pStyle w:val="11"/>
      </w:pPr>
      <w:bookmarkStart w:id="219" w:name="_Toc13484837"/>
      <w:bookmarkStart w:id="220" w:name="_Toc26796727"/>
      <w:bookmarkStart w:id="221" w:name="_Toc64467942"/>
      <w:bookmarkStart w:id="222" w:name="_Toc64565666"/>
      <w:r w:rsidRPr="00441E2B">
        <w:lastRenderedPageBreak/>
        <w:t>Приложение</w:t>
      </w:r>
      <w:r w:rsidR="00323297" w:rsidRPr="00441E2B">
        <w:t xml:space="preserve"> А2</w:t>
      </w:r>
      <w:bookmarkStart w:id="223" w:name="_Toc464042737"/>
      <w:bookmarkStart w:id="224" w:name="_Toc465074031"/>
      <w:bookmarkStart w:id="225" w:name="_Toc505347370"/>
      <w:r w:rsidR="00533FE8" w:rsidRPr="00441E2B">
        <w:t>.</w:t>
      </w:r>
      <w:r w:rsidR="003D3E39" w:rsidRPr="00441E2B">
        <w:t xml:space="preserve"> </w:t>
      </w:r>
      <w:r w:rsidR="00CA7FDC" w:rsidRPr="00441E2B">
        <w:t>Методология</w:t>
      </w:r>
      <w:r w:rsidR="0034093B" w:rsidRPr="00441E2B">
        <w:t xml:space="preserve"> </w:t>
      </w:r>
      <w:r w:rsidR="003175C4" w:rsidRPr="00441E2B">
        <w:t>разрабо</w:t>
      </w:r>
      <w:r w:rsidR="006D6938" w:rsidRPr="00441E2B">
        <w:t>тки</w:t>
      </w:r>
      <w:r w:rsidR="003175C4" w:rsidRPr="00441E2B">
        <w:t xml:space="preserve"> </w:t>
      </w:r>
      <w:r w:rsidR="0067595C" w:rsidRPr="00441E2B">
        <w:t xml:space="preserve">клинических </w:t>
      </w:r>
      <w:r w:rsidR="003175C4" w:rsidRPr="00441E2B">
        <w:t>рекомендаций</w:t>
      </w:r>
      <w:bookmarkEnd w:id="219"/>
      <w:bookmarkEnd w:id="220"/>
      <w:bookmarkEnd w:id="221"/>
      <w:bookmarkEnd w:id="222"/>
      <w:bookmarkEnd w:id="223"/>
      <w:bookmarkEnd w:id="224"/>
      <w:bookmarkEnd w:id="225"/>
    </w:p>
    <w:p w14:paraId="4806A4A7" w14:textId="77777777" w:rsidR="00100D03" w:rsidRPr="00101F59" w:rsidRDefault="00100D03" w:rsidP="00100D03">
      <w:pPr>
        <w:pStyle w:val="19"/>
        <w:autoSpaceDE w:val="0"/>
        <w:autoSpaceDN w:val="0"/>
        <w:adjustRightInd w:val="0"/>
        <w:spacing w:after="0"/>
        <w:ind w:left="0"/>
        <w:rPr>
          <w:b/>
          <w:iCs/>
          <w:szCs w:val="24"/>
        </w:rPr>
      </w:pPr>
      <w:r w:rsidRPr="00101F59">
        <w:rPr>
          <w:b/>
          <w:iCs/>
          <w:szCs w:val="24"/>
        </w:rPr>
        <w:t>Целевая аудитория клинических рекомендаций:</w:t>
      </w:r>
    </w:p>
    <w:p w14:paraId="41E764C6" w14:textId="77777777" w:rsidR="00100D03" w:rsidRPr="007B4009" w:rsidRDefault="00101F59" w:rsidP="00FF4C81">
      <w:pPr>
        <w:pStyle w:val="-51"/>
        <w:numPr>
          <w:ilvl w:val="0"/>
          <w:numId w:val="27"/>
        </w:numPr>
        <w:suppressAutoHyphens w:val="0"/>
        <w:contextualSpacing/>
        <w:rPr>
          <w:szCs w:val="24"/>
        </w:rPr>
      </w:pPr>
      <w:r>
        <w:rPr>
          <w:szCs w:val="24"/>
        </w:rPr>
        <w:t>в</w:t>
      </w:r>
      <w:r w:rsidR="00696522">
        <w:rPr>
          <w:szCs w:val="24"/>
        </w:rPr>
        <w:t>рачи</w:t>
      </w:r>
      <w:r w:rsidR="00100D03">
        <w:rPr>
          <w:szCs w:val="24"/>
          <w:lang w:val="en-US"/>
        </w:rPr>
        <w:t>-</w:t>
      </w:r>
      <w:r w:rsidR="00100D03" w:rsidRPr="007B4009">
        <w:rPr>
          <w:szCs w:val="24"/>
        </w:rPr>
        <w:t>гематологи;</w:t>
      </w:r>
    </w:p>
    <w:p w14:paraId="6511DA71" w14:textId="77777777" w:rsidR="00100D03" w:rsidRPr="007B4009" w:rsidRDefault="00101F59" w:rsidP="00FF4C81">
      <w:pPr>
        <w:pStyle w:val="-51"/>
        <w:numPr>
          <w:ilvl w:val="0"/>
          <w:numId w:val="27"/>
        </w:numPr>
        <w:suppressAutoHyphens w:val="0"/>
        <w:contextualSpacing/>
        <w:rPr>
          <w:szCs w:val="24"/>
        </w:rPr>
      </w:pPr>
      <w:r>
        <w:rPr>
          <w:szCs w:val="24"/>
        </w:rPr>
        <w:t>в</w:t>
      </w:r>
      <w:r w:rsidR="00696522">
        <w:rPr>
          <w:szCs w:val="24"/>
        </w:rPr>
        <w:t>рачи</w:t>
      </w:r>
      <w:r w:rsidR="00100D03">
        <w:rPr>
          <w:szCs w:val="24"/>
          <w:lang w:val="en-US"/>
        </w:rPr>
        <w:t>-</w:t>
      </w:r>
      <w:r w:rsidR="00100D03" w:rsidRPr="007B4009">
        <w:rPr>
          <w:szCs w:val="24"/>
        </w:rPr>
        <w:t>онкологи;</w:t>
      </w:r>
    </w:p>
    <w:p w14:paraId="78F60B12" w14:textId="77777777" w:rsidR="00100D03" w:rsidRPr="007B4009" w:rsidRDefault="00101F59" w:rsidP="00FF4C81">
      <w:pPr>
        <w:pStyle w:val="-51"/>
        <w:numPr>
          <w:ilvl w:val="0"/>
          <w:numId w:val="27"/>
        </w:numPr>
        <w:suppressAutoHyphens w:val="0"/>
        <w:contextualSpacing/>
        <w:rPr>
          <w:szCs w:val="24"/>
        </w:rPr>
      </w:pPr>
      <w:r>
        <w:rPr>
          <w:szCs w:val="24"/>
        </w:rPr>
        <w:t>в</w:t>
      </w:r>
      <w:r w:rsidR="00696522">
        <w:rPr>
          <w:szCs w:val="24"/>
        </w:rPr>
        <w:t>рачи</w:t>
      </w:r>
      <w:r w:rsidR="00100D03">
        <w:rPr>
          <w:szCs w:val="24"/>
          <w:lang w:val="en-US"/>
        </w:rPr>
        <w:t>-</w:t>
      </w:r>
      <w:r w:rsidR="00100D03" w:rsidRPr="007B4009">
        <w:rPr>
          <w:szCs w:val="24"/>
        </w:rPr>
        <w:t>терапевты;</w:t>
      </w:r>
    </w:p>
    <w:p w14:paraId="1213B292" w14:textId="77777777" w:rsidR="00100D03" w:rsidRPr="007B4009" w:rsidRDefault="00101F59" w:rsidP="00FF4C81">
      <w:pPr>
        <w:pStyle w:val="-51"/>
        <w:numPr>
          <w:ilvl w:val="0"/>
          <w:numId w:val="27"/>
        </w:numPr>
        <w:suppressAutoHyphens w:val="0"/>
        <w:contextualSpacing/>
        <w:rPr>
          <w:szCs w:val="24"/>
        </w:rPr>
      </w:pPr>
      <w:r>
        <w:rPr>
          <w:szCs w:val="24"/>
        </w:rPr>
        <w:t>в</w:t>
      </w:r>
      <w:r w:rsidR="00696522">
        <w:rPr>
          <w:szCs w:val="24"/>
        </w:rPr>
        <w:t>рачи</w:t>
      </w:r>
      <w:r w:rsidR="00100D03">
        <w:rPr>
          <w:szCs w:val="24"/>
          <w:lang w:val="en-US"/>
        </w:rPr>
        <w:t>-</w:t>
      </w:r>
      <w:r w:rsidR="00100D03" w:rsidRPr="007B4009">
        <w:rPr>
          <w:szCs w:val="24"/>
        </w:rPr>
        <w:t>акушеры-гинекологи;</w:t>
      </w:r>
    </w:p>
    <w:p w14:paraId="18B6366D" w14:textId="77777777" w:rsidR="00100D03" w:rsidRPr="007B4009" w:rsidRDefault="00101F59" w:rsidP="00FF4C81">
      <w:pPr>
        <w:pStyle w:val="-51"/>
        <w:numPr>
          <w:ilvl w:val="0"/>
          <w:numId w:val="27"/>
        </w:numPr>
        <w:suppressAutoHyphens w:val="0"/>
        <w:contextualSpacing/>
        <w:rPr>
          <w:szCs w:val="24"/>
        </w:rPr>
      </w:pPr>
      <w:r>
        <w:rPr>
          <w:szCs w:val="24"/>
        </w:rPr>
        <w:t>в</w:t>
      </w:r>
      <w:r w:rsidR="00696522">
        <w:rPr>
          <w:szCs w:val="24"/>
        </w:rPr>
        <w:t>рачи</w:t>
      </w:r>
      <w:r w:rsidR="00100D03">
        <w:rPr>
          <w:szCs w:val="24"/>
          <w:lang w:val="en-US"/>
        </w:rPr>
        <w:t>-</w:t>
      </w:r>
      <w:r w:rsidR="00100D03" w:rsidRPr="007B4009">
        <w:rPr>
          <w:szCs w:val="24"/>
        </w:rPr>
        <w:t>анестезиологи-реаниматологи;</w:t>
      </w:r>
    </w:p>
    <w:p w14:paraId="2152AD98" w14:textId="77777777" w:rsidR="00100D03" w:rsidRPr="007B4009" w:rsidRDefault="00101F59" w:rsidP="00FF4C81">
      <w:pPr>
        <w:pStyle w:val="-51"/>
        <w:numPr>
          <w:ilvl w:val="0"/>
          <w:numId w:val="27"/>
        </w:numPr>
        <w:suppressAutoHyphens w:val="0"/>
        <w:contextualSpacing/>
        <w:rPr>
          <w:szCs w:val="24"/>
        </w:rPr>
      </w:pPr>
      <w:r>
        <w:rPr>
          <w:szCs w:val="24"/>
        </w:rPr>
        <w:t>в</w:t>
      </w:r>
      <w:r w:rsidR="00216B80">
        <w:rPr>
          <w:szCs w:val="24"/>
        </w:rPr>
        <w:t>рачи-к</w:t>
      </w:r>
      <w:r w:rsidR="00BD6EF0">
        <w:rPr>
          <w:szCs w:val="24"/>
        </w:rPr>
        <w:t>линические фармакологи.</w:t>
      </w:r>
    </w:p>
    <w:p w14:paraId="7BDA6A52" w14:textId="77777777" w:rsidR="0034093B" w:rsidRPr="00CA7FDC" w:rsidRDefault="0034093B" w:rsidP="00216B80">
      <w:pPr>
        <w:ind w:firstLine="709"/>
        <w:rPr>
          <w:szCs w:val="24"/>
        </w:rPr>
      </w:pPr>
      <w:r w:rsidRPr="00CA7FDC">
        <w:rPr>
          <w:szCs w:val="24"/>
        </w:rPr>
        <w:t>Российская исследовательская группа по изуч</w:t>
      </w:r>
      <w:r w:rsidR="00101F59">
        <w:rPr>
          <w:szCs w:val="24"/>
        </w:rPr>
        <w:t>ению острых лейкозов с 1995 г.</w:t>
      </w:r>
      <w:r w:rsidRPr="00CA7FDC">
        <w:rPr>
          <w:szCs w:val="24"/>
        </w:rPr>
        <w:t xml:space="preserve"> провела 3 многоцентровых</w:t>
      </w:r>
      <w:r w:rsidR="00216B80">
        <w:rPr>
          <w:szCs w:val="24"/>
        </w:rPr>
        <w:t xml:space="preserve"> </w:t>
      </w:r>
      <w:r w:rsidR="00196ED3">
        <w:rPr>
          <w:szCs w:val="24"/>
        </w:rPr>
        <w:t xml:space="preserve">КИ </w:t>
      </w:r>
      <w:r w:rsidR="00216B80">
        <w:rPr>
          <w:szCs w:val="24"/>
        </w:rPr>
        <w:t>по лечению пациентов</w:t>
      </w:r>
      <w:r w:rsidRPr="00CA7FDC">
        <w:rPr>
          <w:szCs w:val="24"/>
        </w:rPr>
        <w:t xml:space="preserve"> </w:t>
      </w:r>
      <w:r w:rsidR="00101F59">
        <w:rPr>
          <w:szCs w:val="24"/>
        </w:rPr>
        <w:t xml:space="preserve">с </w:t>
      </w:r>
      <w:r w:rsidRPr="00CA7FDC">
        <w:rPr>
          <w:szCs w:val="24"/>
        </w:rPr>
        <w:t xml:space="preserve">ОЛЛ в возрасте от 15 до 55 лет, в которых принимали участие гематологические центры из более чем 30 городов России. Результаты этих исследований неоднократно опубликованы и обсуждены на ежегодных рабочих совещаниях исследовательской группы. Кроме того, при создании национальных рекомендаций использован опыт и отдельных </w:t>
      </w:r>
      <w:r w:rsidR="00101F59">
        <w:rPr>
          <w:szCs w:val="24"/>
        </w:rPr>
        <w:t>ф</w:t>
      </w:r>
      <w:r w:rsidRPr="00CA7FDC">
        <w:rPr>
          <w:szCs w:val="24"/>
        </w:rPr>
        <w:t xml:space="preserve">едеральных гематологических центров, </w:t>
      </w:r>
      <w:r w:rsidR="008F34D9">
        <w:rPr>
          <w:szCs w:val="24"/>
        </w:rPr>
        <w:t>в которых</w:t>
      </w:r>
      <w:r w:rsidRPr="00CA7FDC">
        <w:rPr>
          <w:szCs w:val="24"/>
        </w:rPr>
        <w:t xml:space="preserve"> концентрируются больные этим за</w:t>
      </w:r>
      <w:r w:rsidR="003175C4">
        <w:rPr>
          <w:szCs w:val="24"/>
        </w:rPr>
        <w:t>б</w:t>
      </w:r>
      <w:r w:rsidRPr="00CA7FDC">
        <w:rPr>
          <w:szCs w:val="24"/>
        </w:rPr>
        <w:t>олеванием.</w:t>
      </w:r>
    </w:p>
    <w:p w14:paraId="052DBE49" w14:textId="77777777" w:rsidR="0034093B" w:rsidRPr="003175C4" w:rsidRDefault="0034093B" w:rsidP="00216B80">
      <w:pPr>
        <w:shd w:val="clear" w:color="auto" w:fill="FFFFFF"/>
        <w:ind w:firstLine="709"/>
        <w:rPr>
          <w:szCs w:val="24"/>
        </w:rPr>
      </w:pPr>
      <w:r w:rsidRPr="00CA7FDC">
        <w:rPr>
          <w:szCs w:val="24"/>
        </w:rPr>
        <w:t xml:space="preserve">Российская исследовательская группа по лечению </w:t>
      </w:r>
      <w:r w:rsidR="00196ED3">
        <w:rPr>
          <w:szCs w:val="24"/>
        </w:rPr>
        <w:t>ОЛЛ</w:t>
      </w:r>
      <w:r w:rsidRPr="00CA7FDC">
        <w:rPr>
          <w:szCs w:val="24"/>
        </w:rPr>
        <w:t xml:space="preserve"> взрослых (</w:t>
      </w:r>
      <w:r w:rsidR="00C0620D">
        <w:rPr>
          <w:szCs w:val="24"/>
        </w:rPr>
        <w:t xml:space="preserve">далее – </w:t>
      </w:r>
      <w:r w:rsidRPr="00CA7FDC">
        <w:rPr>
          <w:szCs w:val="24"/>
          <w:lang w:val="en-US"/>
        </w:rPr>
        <w:t>RALL</w:t>
      </w:r>
      <w:r w:rsidRPr="00CA7FDC">
        <w:rPr>
          <w:szCs w:val="24"/>
        </w:rPr>
        <w:t xml:space="preserve">) является участником общеевропейской кооперации в этой </w:t>
      </w:r>
      <w:r w:rsidR="00101F59">
        <w:rPr>
          <w:szCs w:val="24"/>
        </w:rPr>
        <w:t>области гематологии и входит в е</w:t>
      </w:r>
      <w:r w:rsidRPr="00CA7FDC">
        <w:rPr>
          <w:szCs w:val="24"/>
        </w:rPr>
        <w:t>вропейскую рабочую группу по изучению ОЛЛ</w:t>
      </w:r>
      <w:r w:rsidR="00B05168">
        <w:rPr>
          <w:szCs w:val="24"/>
        </w:rPr>
        <w:t xml:space="preserve"> и</w:t>
      </w:r>
      <w:r w:rsidR="008F34D9">
        <w:rPr>
          <w:szCs w:val="24"/>
        </w:rPr>
        <w:t xml:space="preserve"> </w:t>
      </w:r>
      <w:r w:rsidR="003175C4">
        <w:rPr>
          <w:szCs w:val="24"/>
        </w:rPr>
        <w:t>о</w:t>
      </w:r>
      <w:r w:rsidR="00216B80">
        <w:rPr>
          <w:szCs w:val="24"/>
        </w:rPr>
        <w:t>б</w:t>
      </w:r>
      <w:r w:rsidR="003175C4">
        <w:rPr>
          <w:szCs w:val="24"/>
        </w:rPr>
        <w:t xml:space="preserve">ъединяет </w:t>
      </w:r>
      <w:r w:rsidRPr="00CA7FDC">
        <w:rPr>
          <w:szCs w:val="24"/>
        </w:rPr>
        <w:t>14 исследовательских групп</w:t>
      </w:r>
      <w:r w:rsidR="003175C4">
        <w:rPr>
          <w:szCs w:val="24"/>
        </w:rPr>
        <w:t xml:space="preserve"> из различных европейских стран</w:t>
      </w:r>
      <w:r w:rsidRPr="00CA7FDC">
        <w:rPr>
          <w:szCs w:val="24"/>
        </w:rPr>
        <w:t xml:space="preserve">. </w:t>
      </w:r>
      <w:r w:rsidR="003175C4">
        <w:rPr>
          <w:szCs w:val="24"/>
        </w:rPr>
        <w:t>При разработке рекомендаций так</w:t>
      </w:r>
      <w:r w:rsidR="00196ED3">
        <w:rPr>
          <w:szCs w:val="24"/>
        </w:rPr>
        <w:t>же</w:t>
      </w:r>
      <w:r w:rsidR="003175C4">
        <w:rPr>
          <w:szCs w:val="24"/>
        </w:rPr>
        <w:t xml:space="preserve"> учитывался опыт американских исследовательских групп и рекомендации </w:t>
      </w:r>
      <w:r w:rsidR="003175C4">
        <w:rPr>
          <w:szCs w:val="24"/>
          <w:lang w:val="en-US"/>
        </w:rPr>
        <w:t>NCCN</w:t>
      </w:r>
      <w:r w:rsidR="00216B80">
        <w:rPr>
          <w:szCs w:val="24"/>
        </w:rPr>
        <w:t>.</w:t>
      </w:r>
    </w:p>
    <w:p w14:paraId="46E9989D" w14:textId="77777777" w:rsidR="00323297" w:rsidRPr="007255E3" w:rsidRDefault="0034093B" w:rsidP="007255E3">
      <w:pPr>
        <w:shd w:val="clear" w:color="auto" w:fill="FFFFFF"/>
        <w:ind w:firstLine="709"/>
        <w:rPr>
          <w:szCs w:val="24"/>
        </w:rPr>
      </w:pPr>
      <w:r w:rsidRPr="00CA7FDC">
        <w:rPr>
          <w:szCs w:val="24"/>
        </w:rPr>
        <w:t xml:space="preserve">Поскольку ОЛЛ представляет собой редкое заболевание и характеризуется существенной гетерогенностью, в настоящее время общей программы </w:t>
      </w:r>
      <w:r w:rsidR="00B05168" w:rsidRPr="00CA7FDC">
        <w:rPr>
          <w:szCs w:val="24"/>
        </w:rPr>
        <w:t xml:space="preserve">лечения </w:t>
      </w:r>
      <w:r w:rsidRPr="00CA7FDC">
        <w:rPr>
          <w:szCs w:val="24"/>
        </w:rPr>
        <w:t>ОЛЛ не существуют. Терапия ОЛЛ четко дифференцирована</w:t>
      </w:r>
      <w:r w:rsidR="003175C4">
        <w:rPr>
          <w:szCs w:val="24"/>
        </w:rPr>
        <w:t xml:space="preserve">. </w:t>
      </w:r>
      <w:r w:rsidR="007A7D8F">
        <w:rPr>
          <w:szCs w:val="24"/>
        </w:rPr>
        <w:t xml:space="preserve">В основе Российских рекомендаций лежат результаты собственных исследований, Европейские рекомендации по лечению ОЛЛ, Американские рекомендации </w:t>
      </w:r>
      <w:r w:rsidR="007A7D8F">
        <w:rPr>
          <w:szCs w:val="24"/>
          <w:lang w:val="en-US"/>
        </w:rPr>
        <w:t>NCCN</w:t>
      </w:r>
      <w:r w:rsidR="007255E3">
        <w:rPr>
          <w:szCs w:val="24"/>
        </w:rPr>
        <w:t>.</w:t>
      </w:r>
    </w:p>
    <w:p w14:paraId="0A908B51" w14:textId="77777777" w:rsidR="00C23922" w:rsidRPr="007C14EE" w:rsidRDefault="00C23922" w:rsidP="00C23922">
      <w:pPr>
        <w:rPr>
          <w:rFonts w:eastAsia="Calibri"/>
        </w:rPr>
      </w:pPr>
      <w:bookmarkStart w:id="226" w:name="_Ref515967586"/>
      <w:bookmarkStart w:id="227" w:name="__RefHeading___doc_a3"/>
      <w:bookmarkStart w:id="228" w:name="_Toc531609344"/>
      <w:r w:rsidRPr="007C14EE">
        <w:rPr>
          <w:b/>
        </w:rPr>
        <w:t>Таблица</w:t>
      </w:r>
      <w:r>
        <w:rPr>
          <w:b/>
        </w:rPr>
        <w:t xml:space="preserve"> </w:t>
      </w:r>
      <w:bookmarkEnd w:id="226"/>
      <w:r w:rsidR="00610E07">
        <w:rPr>
          <w:b/>
        </w:rPr>
        <w:t>2</w:t>
      </w:r>
      <w:r w:rsidRPr="007C14EE">
        <w:rPr>
          <w:rFonts w:eastAsia="Calibri"/>
          <w:b/>
        </w:rPr>
        <w:t>.</w:t>
      </w:r>
      <w:r w:rsidRPr="00544207">
        <w:rPr>
          <w:rFonts w:eastAsia="Calibri"/>
        </w:rPr>
        <w:t xml:space="preserve"> </w:t>
      </w:r>
      <w:r w:rsidR="00637FA0">
        <w:rPr>
          <w:rFonts w:eastAsia="Calibri"/>
        </w:rPr>
        <w:t xml:space="preserve">Шкала оценки </w:t>
      </w:r>
      <w:r w:rsidRPr="00544207">
        <w:rPr>
          <w:rFonts w:eastAsia="Calibri"/>
        </w:rPr>
        <w:t xml:space="preserve">УДД </w:t>
      </w:r>
      <w:r>
        <w:rPr>
          <w:rFonts w:eastAsia="Calibri"/>
        </w:rPr>
        <w:t>для методов диагностики (диагностических вмешательств)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8"/>
        <w:gridCol w:w="8548"/>
      </w:tblGrid>
      <w:tr w:rsidR="00C23922" w:rsidRPr="005C1B2B" w14:paraId="2E1A8347" w14:textId="77777777" w:rsidTr="008A47A0">
        <w:trPr>
          <w:trHeight w:val="58"/>
        </w:trPr>
        <w:tc>
          <w:tcPr>
            <w:tcW w:w="427" w:type="pct"/>
            <w:shd w:val="clear" w:color="auto" w:fill="auto"/>
          </w:tcPr>
          <w:p w14:paraId="663D5274" w14:textId="77777777" w:rsidR="00C23922" w:rsidRPr="008A47A0" w:rsidRDefault="00C23922" w:rsidP="008A47A0">
            <w:pPr>
              <w:jc w:val="center"/>
              <w:rPr>
                <w:rFonts w:eastAsia="Calibri"/>
                <w:b/>
                <w:color w:val="000000"/>
                <w:szCs w:val="24"/>
              </w:rPr>
            </w:pPr>
            <w:r w:rsidRPr="008A47A0">
              <w:rPr>
                <w:rFonts w:eastAsia="Calibri"/>
                <w:b/>
                <w:color w:val="000000"/>
                <w:szCs w:val="24"/>
              </w:rPr>
              <w:t>УДД</w:t>
            </w:r>
          </w:p>
        </w:tc>
        <w:tc>
          <w:tcPr>
            <w:tcW w:w="4573" w:type="pct"/>
            <w:shd w:val="clear" w:color="auto" w:fill="auto"/>
          </w:tcPr>
          <w:p w14:paraId="5991168A" w14:textId="77777777" w:rsidR="00C23922" w:rsidRPr="008A47A0" w:rsidRDefault="00C23922" w:rsidP="008A47A0">
            <w:pPr>
              <w:jc w:val="center"/>
              <w:rPr>
                <w:rFonts w:eastAsia="Calibri"/>
                <w:b/>
                <w:color w:val="000000"/>
                <w:szCs w:val="24"/>
              </w:rPr>
            </w:pPr>
            <w:r w:rsidRPr="008A47A0">
              <w:rPr>
                <w:rFonts w:eastAsia="Calibri"/>
                <w:b/>
                <w:color w:val="000000"/>
                <w:szCs w:val="24"/>
              </w:rPr>
              <w:t>Расшифровка</w:t>
            </w:r>
          </w:p>
        </w:tc>
      </w:tr>
      <w:tr w:rsidR="00C23922" w:rsidRPr="005C1B2B" w14:paraId="16DC1A2B" w14:textId="77777777" w:rsidTr="008A47A0">
        <w:tc>
          <w:tcPr>
            <w:tcW w:w="427" w:type="pct"/>
            <w:shd w:val="clear" w:color="auto" w:fill="auto"/>
          </w:tcPr>
          <w:p w14:paraId="4A2AF7C9" w14:textId="77777777" w:rsidR="00C23922" w:rsidRPr="008A47A0" w:rsidRDefault="00C23922" w:rsidP="008A47A0">
            <w:pPr>
              <w:jc w:val="center"/>
              <w:rPr>
                <w:rFonts w:eastAsia="Calibri"/>
                <w:color w:val="000000"/>
                <w:szCs w:val="24"/>
              </w:rPr>
            </w:pPr>
            <w:r w:rsidRPr="008A47A0">
              <w:rPr>
                <w:rFonts w:eastAsia="Calibri"/>
                <w:color w:val="000000"/>
                <w:szCs w:val="24"/>
              </w:rPr>
              <w:t>1</w:t>
            </w:r>
          </w:p>
        </w:tc>
        <w:tc>
          <w:tcPr>
            <w:tcW w:w="4573" w:type="pct"/>
            <w:shd w:val="clear" w:color="auto" w:fill="auto"/>
          </w:tcPr>
          <w:p w14:paraId="6D70AE50" w14:textId="77777777" w:rsidR="00C23922" w:rsidRPr="008A47A0" w:rsidRDefault="00C23922" w:rsidP="008A47A0">
            <w:pPr>
              <w:rPr>
                <w:rFonts w:eastAsia="Calibri"/>
                <w:color w:val="000000"/>
                <w:szCs w:val="24"/>
              </w:rPr>
            </w:pPr>
            <w:r w:rsidRPr="008A47A0">
              <w:rPr>
                <w:rFonts w:eastAsia="Calibri"/>
                <w:color w:val="000000"/>
                <w:szCs w:val="24"/>
              </w:rPr>
              <w:t>Систематические обзоры и</w:t>
            </w:r>
            <w:r w:rsidR="00610E07">
              <w:rPr>
                <w:rFonts w:eastAsia="Calibri"/>
                <w:color w:val="000000"/>
                <w:szCs w:val="24"/>
              </w:rPr>
              <w:t>сследований с контролем референт</w:t>
            </w:r>
            <w:r w:rsidRPr="008A47A0">
              <w:rPr>
                <w:rFonts w:eastAsia="Calibri"/>
                <w:color w:val="000000"/>
                <w:szCs w:val="24"/>
              </w:rPr>
              <w:t>ным методом</w:t>
            </w:r>
            <w:r w:rsidRPr="008A47A0">
              <w:rPr>
                <w:rFonts w:eastAsia="Calibri"/>
                <w:szCs w:val="24"/>
              </w:rPr>
              <w:t xml:space="preserve"> или систематический обзор рандомизированных </w:t>
            </w:r>
            <w:r w:rsidR="00196ED3">
              <w:rPr>
                <w:rFonts w:eastAsia="Calibri"/>
                <w:szCs w:val="24"/>
              </w:rPr>
              <w:t>КИ</w:t>
            </w:r>
            <w:r w:rsidR="00610E07">
              <w:rPr>
                <w:rFonts w:eastAsia="Calibri"/>
                <w:szCs w:val="24"/>
              </w:rPr>
              <w:t xml:space="preserve"> с применением мета</w:t>
            </w:r>
            <w:r w:rsidRPr="008A47A0">
              <w:rPr>
                <w:rFonts w:eastAsia="Calibri"/>
                <w:szCs w:val="24"/>
              </w:rPr>
              <w:t>анализа</w:t>
            </w:r>
          </w:p>
        </w:tc>
      </w:tr>
      <w:tr w:rsidR="00C23922" w:rsidRPr="005C1B2B" w14:paraId="70B66800" w14:textId="77777777" w:rsidTr="008A47A0">
        <w:tc>
          <w:tcPr>
            <w:tcW w:w="427" w:type="pct"/>
            <w:shd w:val="clear" w:color="auto" w:fill="auto"/>
          </w:tcPr>
          <w:p w14:paraId="14E494B4" w14:textId="77777777" w:rsidR="00C23922" w:rsidRPr="008A47A0" w:rsidRDefault="00C23922" w:rsidP="008A47A0">
            <w:pPr>
              <w:jc w:val="center"/>
              <w:rPr>
                <w:rFonts w:eastAsia="Calibri"/>
                <w:color w:val="000000"/>
                <w:szCs w:val="24"/>
              </w:rPr>
            </w:pPr>
            <w:r w:rsidRPr="008A47A0">
              <w:rPr>
                <w:rFonts w:eastAsia="Calibri"/>
                <w:color w:val="000000"/>
                <w:szCs w:val="24"/>
              </w:rPr>
              <w:t>2</w:t>
            </w:r>
          </w:p>
        </w:tc>
        <w:tc>
          <w:tcPr>
            <w:tcW w:w="4573" w:type="pct"/>
            <w:shd w:val="clear" w:color="auto" w:fill="auto"/>
          </w:tcPr>
          <w:p w14:paraId="20296FE5" w14:textId="77777777" w:rsidR="00C23922" w:rsidRPr="008A47A0" w:rsidRDefault="00C23922" w:rsidP="008A47A0">
            <w:pPr>
              <w:rPr>
                <w:rFonts w:eastAsia="Calibri"/>
                <w:color w:val="000000"/>
                <w:szCs w:val="24"/>
              </w:rPr>
            </w:pPr>
            <w:r w:rsidRPr="008A47A0">
              <w:rPr>
                <w:rFonts w:eastAsia="Calibri"/>
                <w:color w:val="000000"/>
                <w:szCs w:val="24"/>
              </w:rPr>
              <w:t>Отдельные и</w:t>
            </w:r>
            <w:r w:rsidR="00610E07">
              <w:rPr>
                <w:rFonts w:eastAsia="Calibri"/>
                <w:color w:val="000000"/>
                <w:szCs w:val="24"/>
              </w:rPr>
              <w:t>сследования с контролем референ</w:t>
            </w:r>
            <w:r w:rsidRPr="008A47A0">
              <w:rPr>
                <w:rFonts w:eastAsia="Calibri"/>
                <w:color w:val="000000"/>
                <w:szCs w:val="24"/>
              </w:rPr>
              <w:t xml:space="preserve">ным методом или отдельные рандомизированные </w:t>
            </w:r>
            <w:r w:rsidR="00196ED3">
              <w:rPr>
                <w:rFonts w:eastAsia="Calibri"/>
                <w:color w:val="000000"/>
                <w:szCs w:val="24"/>
              </w:rPr>
              <w:t>КИ</w:t>
            </w:r>
            <w:r w:rsidRPr="008A47A0">
              <w:rPr>
                <w:rFonts w:eastAsia="Calibri"/>
                <w:color w:val="000000"/>
                <w:szCs w:val="24"/>
              </w:rPr>
              <w:t xml:space="preserve"> и систематические обзоры исследований любого дизайна, за исключением рандомизированных </w:t>
            </w:r>
            <w:r w:rsidR="00196ED3">
              <w:rPr>
                <w:rFonts w:eastAsia="Calibri"/>
                <w:color w:val="000000"/>
                <w:szCs w:val="24"/>
              </w:rPr>
              <w:t>КИ</w:t>
            </w:r>
            <w:r w:rsidRPr="008A47A0">
              <w:rPr>
                <w:rFonts w:eastAsia="Calibri"/>
                <w:color w:val="000000"/>
                <w:szCs w:val="24"/>
              </w:rPr>
              <w:t>, с применен</w:t>
            </w:r>
            <w:r w:rsidR="00610E07">
              <w:rPr>
                <w:rFonts w:eastAsia="Calibri"/>
                <w:color w:val="000000"/>
                <w:szCs w:val="24"/>
              </w:rPr>
              <w:t>ием мета</w:t>
            </w:r>
            <w:r w:rsidRPr="008A47A0">
              <w:rPr>
                <w:rFonts w:eastAsia="Calibri"/>
                <w:color w:val="000000"/>
                <w:szCs w:val="24"/>
              </w:rPr>
              <w:t>анализа</w:t>
            </w:r>
          </w:p>
        </w:tc>
      </w:tr>
      <w:tr w:rsidR="00C23922" w:rsidRPr="005C1B2B" w14:paraId="1327D625" w14:textId="77777777" w:rsidTr="008A47A0">
        <w:tc>
          <w:tcPr>
            <w:tcW w:w="427" w:type="pct"/>
            <w:shd w:val="clear" w:color="auto" w:fill="auto"/>
          </w:tcPr>
          <w:p w14:paraId="20C0B09A" w14:textId="77777777" w:rsidR="00C23922" w:rsidRPr="008A47A0" w:rsidRDefault="00C23922" w:rsidP="008A47A0">
            <w:pPr>
              <w:jc w:val="center"/>
              <w:rPr>
                <w:rFonts w:eastAsia="Calibri"/>
                <w:color w:val="000000"/>
                <w:szCs w:val="24"/>
              </w:rPr>
            </w:pPr>
            <w:r w:rsidRPr="008A47A0">
              <w:rPr>
                <w:rFonts w:eastAsia="Calibri"/>
                <w:color w:val="000000"/>
                <w:szCs w:val="24"/>
              </w:rPr>
              <w:t>3</w:t>
            </w:r>
          </w:p>
        </w:tc>
        <w:tc>
          <w:tcPr>
            <w:tcW w:w="4573" w:type="pct"/>
            <w:shd w:val="clear" w:color="auto" w:fill="auto"/>
          </w:tcPr>
          <w:p w14:paraId="1B43CD4D" w14:textId="77777777" w:rsidR="00C23922" w:rsidRPr="008A47A0" w:rsidRDefault="00C23922" w:rsidP="008A47A0">
            <w:pPr>
              <w:rPr>
                <w:rFonts w:eastAsia="Calibri"/>
                <w:color w:val="000000"/>
                <w:szCs w:val="24"/>
              </w:rPr>
            </w:pPr>
            <w:r w:rsidRPr="008A47A0">
              <w:rPr>
                <w:rFonts w:eastAsia="Calibri"/>
                <w:color w:val="000000"/>
                <w:szCs w:val="24"/>
              </w:rPr>
              <w:t>Исследования без пос</w:t>
            </w:r>
            <w:r w:rsidR="00610E07">
              <w:rPr>
                <w:rFonts w:eastAsia="Calibri"/>
                <w:color w:val="000000"/>
                <w:szCs w:val="24"/>
              </w:rPr>
              <w:t>ледовательного контроля референт</w:t>
            </w:r>
            <w:r w:rsidRPr="008A47A0">
              <w:rPr>
                <w:rFonts w:eastAsia="Calibri"/>
                <w:color w:val="000000"/>
                <w:szCs w:val="24"/>
              </w:rPr>
              <w:t>ным мет</w:t>
            </w:r>
            <w:r w:rsidR="00610E07">
              <w:rPr>
                <w:rFonts w:eastAsia="Calibri"/>
                <w:color w:val="000000"/>
                <w:szCs w:val="24"/>
              </w:rPr>
              <w:t xml:space="preserve">одом или </w:t>
            </w:r>
            <w:r w:rsidR="00610E07">
              <w:rPr>
                <w:rFonts w:eastAsia="Calibri"/>
                <w:color w:val="000000"/>
                <w:szCs w:val="24"/>
              </w:rPr>
              <w:lastRenderedPageBreak/>
              <w:t>исследования с референт</w:t>
            </w:r>
            <w:r w:rsidRPr="008A47A0">
              <w:rPr>
                <w:rFonts w:eastAsia="Calibri"/>
                <w:color w:val="000000"/>
                <w:szCs w:val="24"/>
              </w:rPr>
              <w:t>ным методом, не являющимся независимым от исследуемого метода или нерандомизированные сравнительные исследования, в том числе когортные исследования</w:t>
            </w:r>
          </w:p>
        </w:tc>
      </w:tr>
      <w:tr w:rsidR="00C23922" w:rsidRPr="005C1B2B" w14:paraId="745F299D" w14:textId="77777777" w:rsidTr="008A47A0">
        <w:tc>
          <w:tcPr>
            <w:tcW w:w="427" w:type="pct"/>
            <w:shd w:val="clear" w:color="auto" w:fill="auto"/>
          </w:tcPr>
          <w:p w14:paraId="7A4F14BE" w14:textId="77777777" w:rsidR="00C23922" w:rsidRPr="008A47A0" w:rsidRDefault="00C23922" w:rsidP="008A47A0">
            <w:pPr>
              <w:jc w:val="center"/>
              <w:rPr>
                <w:rFonts w:eastAsia="Calibri"/>
                <w:color w:val="000000"/>
                <w:szCs w:val="24"/>
              </w:rPr>
            </w:pPr>
            <w:r w:rsidRPr="008A47A0">
              <w:rPr>
                <w:rFonts w:eastAsia="Calibri"/>
                <w:color w:val="000000"/>
                <w:szCs w:val="24"/>
              </w:rPr>
              <w:lastRenderedPageBreak/>
              <w:t>4</w:t>
            </w:r>
          </w:p>
        </w:tc>
        <w:tc>
          <w:tcPr>
            <w:tcW w:w="4573" w:type="pct"/>
            <w:shd w:val="clear" w:color="auto" w:fill="auto"/>
          </w:tcPr>
          <w:p w14:paraId="46DBABEB" w14:textId="77777777" w:rsidR="00C23922" w:rsidRPr="008A47A0" w:rsidRDefault="00C23922" w:rsidP="008A47A0">
            <w:pPr>
              <w:rPr>
                <w:rFonts w:eastAsia="Calibri"/>
                <w:color w:val="000000"/>
                <w:szCs w:val="24"/>
              </w:rPr>
            </w:pPr>
            <w:r w:rsidRPr="008A47A0">
              <w:rPr>
                <w:rFonts w:eastAsia="Calibri"/>
                <w:color w:val="000000"/>
                <w:szCs w:val="24"/>
              </w:rPr>
              <w:t>Несравнительные исследования, описание клинического случая</w:t>
            </w:r>
          </w:p>
        </w:tc>
      </w:tr>
      <w:tr w:rsidR="00C23922" w:rsidRPr="005C1B2B" w14:paraId="1BFF8A8F" w14:textId="77777777" w:rsidTr="008A47A0">
        <w:tc>
          <w:tcPr>
            <w:tcW w:w="427" w:type="pct"/>
            <w:shd w:val="clear" w:color="auto" w:fill="auto"/>
          </w:tcPr>
          <w:p w14:paraId="01CC64AD" w14:textId="77777777" w:rsidR="00C23922" w:rsidRPr="008A47A0" w:rsidRDefault="00C23922" w:rsidP="008A47A0">
            <w:pPr>
              <w:jc w:val="center"/>
              <w:rPr>
                <w:rFonts w:eastAsia="Calibri"/>
                <w:color w:val="000000"/>
                <w:szCs w:val="24"/>
              </w:rPr>
            </w:pPr>
            <w:r w:rsidRPr="008A47A0">
              <w:rPr>
                <w:rFonts w:eastAsia="Calibri"/>
                <w:color w:val="000000"/>
                <w:szCs w:val="24"/>
              </w:rPr>
              <w:t>5</w:t>
            </w:r>
          </w:p>
        </w:tc>
        <w:tc>
          <w:tcPr>
            <w:tcW w:w="4573" w:type="pct"/>
            <w:shd w:val="clear" w:color="auto" w:fill="auto"/>
          </w:tcPr>
          <w:p w14:paraId="193EDF0C" w14:textId="77777777" w:rsidR="00C23922" w:rsidRPr="008A47A0" w:rsidRDefault="00C23922" w:rsidP="008A47A0">
            <w:pPr>
              <w:rPr>
                <w:rFonts w:eastAsia="Calibri"/>
                <w:color w:val="000000"/>
                <w:szCs w:val="24"/>
              </w:rPr>
            </w:pPr>
            <w:r w:rsidRPr="008A47A0">
              <w:rPr>
                <w:rFonts w:eastAsia="Calibri"/>
                <w:color w:val="000000"/>
                <w:szCs w:val="24"/>
              </w:rPr>
              <w:t>Имеется лишь обоснование механизма действия или мнение экспертов</w:t>
            </w:r>
          </w:p>
        </w:tc>
      </w:tr>
    </w:tbl>
    <w:p w14:paraId="35734719" w14:textId="77777777" w:rsidR="00C23922" w:rsidRDefault="00C23922" w:rsidP="00C23922">
      <w:pPr>
        <w:pStyle w:val="affb"/>
        <w:rPr>
          <w:rStyle w:val="aff5"/>
        </w:rPr>
      </w:pPr>
    </w:p>
    <w:p w14:paraId="227B57EF" w14:textId="77777777" w:rsidR="00C23922" w:rsidRDefault="00C23922" w:rsidP="00C23922">
      <w:bookmarkStart w:id="229" w:name="_Ref515967623"/>
      <w:r w:rsidRPr="007C14EE">
        <w:rPr>
          <w:b/>
        </w:rPr>
        <w:t>Таблица</w:t>
      </w:r>
      <w:r>
        <w:rPr>
          <w:b/>
        </w:rPr>
        <w:t xml:space="preserve"> </w:t>
      </w:r>
      <w:bookmarkEnd w:id="229"/>
      <w:r w:rsidR="00610E07">
        <w:rPr>
          <w:b/>
        </w:rPr>
        <w:t>3.</w:t>
      </w:r>
      <w:r w:rsidRPr="00E75FC6">
        <w:rPr>
          <w:rFonts w:eastAsia="Calibri"/>
        </w:rPr>
        <w:t xml:space="preserve"> </w:t>
      </w:r>
      <w:r w:rsidR="00637FA0">
        <w:t xml:space="preserve">Шкала оценки </w:t>
      </w:r>
      <w:r w:rsidRPr="003311A4">
        <w:t xml:space="preserve">УДД </w:t>
      </w:r>
      <w:r>
        <w:rPr>
          <w:rFonts w:eastAsia="Calibri"/>
        </w:rPr>
        <w:t>для методов профилактики, лечения и реабилитации (профилактических, лечебных, реабилитационных</w:t>
      </w:r>
      <w:r w:rsidRPr="00257C6C">
        <w:rPr>
          <w:rFonts w:eastAsia="Calibri"/>
        </w:rPr>
        <w:t xml:space="preserve"> вмешательств</w:t>
      </w:r>
      <w:r>
        <w:rPr>
          <w:rFonts w:eastAsia="Calibri"/>
        </w:rPr>
        <w:t>)</w:t>
      </w:r>
    </w:p>
    <w:tbl>
      <w:tblPr>
        <w:tblW w:w="50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
        <w:gridCol w:w="8761"/>
      </w:tblGrid>
      <w:tr w:rsidR="00C23922" w:rsidRPr="00495C9E" w14:paraId="44786ED8" w14:textId="77777777" w:rsidTr="008A47A0">
        <w:tc>
          <w:tcPr>
            <w:tcW w:w="360" w:type="pct"/>
            <w:shd w:val="clear" w:color="auto" w:fill="auto"/>
          </w:tcPr>
          <w:p w14:paraId="70E93B18" w14:textId="77777777" w:rsidR="00C23922" w:rsidRPr="008A47A0" w:rsidRDefault="00C23922" w:rsidP="008A47A0">
            <w:pPr>
              <w:jc w:val="center"/>
              <w:rPr>
                <w:rFonts w:eastAsia="Calibri"/>
                <w:b/>
                <w:color w:val="000000"/>
                <w:szCs w:val="24"/>
              </w:rPr>
            </w:pPr>
            <w:r w:rsidRPr="008A47A0">
              <w:rPr>
                <w:rFonts w:eastAsia="Calibri"/>
                <w:b/>
                <w:color w:val="000000"/>
                <w:szCs w:val="24"/>
              </w:rPr>
              <w:t>УДД</w:t>
            </w:r>
          </w:p>
        </w:tc>
        <w:tc>
          <w:tcPr>
            <w:tcW w:w="4640" w:type="pct"/>
            <w:shd w:val="clear" w:color="auto" w:fill="auto"/>
          </w:tcPr>
          <w:p w14:paraId="3E8D0EAA" w14:textId="77777777" w:rsidR="00C23922" w:rsidRPr="008A47A0" w:rsidRDefault="00C23922" w:rsidP="008A47A0">
            <w:pPr>
              <w:jc w:val="center"/>
              <w:rPr>
                <w:rFonts w:eastAsia="Calibri"/>
                <w:b/>
                <w:color w:val="000000"/>
                <w:szCs w:val="24"/>
              </w:rPr>
            </w:pPr>
            <w:r w:rsidRPr="008A47A0">
              <w:rPr>
                <w:rFonts w:eastAsia="Calibri"/>
                <w:b/>
                <w:color w:val="000000"/>
                <w:szCs w:val="24"/>
              </w:rPr>
              <w:t xml:space="preserve">Расшифровка </w:t>
            </w:r>
          </w:p>
        </w:tc>
      </w:tr>
      <w:tr w:rsidR="00C23922" w:rsidRPr="00495C9E" w14:paraId="5AFFC1C8" w14:textId="77777777" w:rsidTr="008A47A0">
        <w:tc>
          <w:tcPr>
            <w:tcW w:w="360" w:type="pct"/>
            <w:shd w:val="clear" w:color="auto" w:fill="auto"/>
          </w:tcPr>
          <w:p w14:paraId="5B411B33" w14:textId="77777777" w:rsidR="00C23922" w:rsidRPr="008A47A0" w:rsidRDefault="00C23922" w:rsidP="008A47A0">
            <w:pPr>
              <w:jc w:val="center"/>
              <w:rPr>
                <w:rFonts w:eastAsia="Calibri"/>
                <w:color w:val="000000"/>
                <w:szCs w:val="24"/>
              </w:rPr>
            </w:pPr>
            <w:r w:rsidRPr="008A47A0">
              <w:rPr>
                <w:rFonts w:eastAsia="Calibri"/>
                <w:color w:val="000000"/>
                <w:szCs w:val="24"/>
              </w:rPr>
              <w:t>1</w:t>
            </w:r>
          </w:p>
        </w:tc>
        <w:tc>
          <w:tcPr>
            <w:tcW w:w="4640" w:type="pct"/>
            <w:shd w:val="clear" w:color="auto" w:fill="auto"/>
          </w:tcPr>
          <w:p w14:paraId="6BBD5F59" w14:textId="77777777" w:rsidR="00C23922" w:rsidRPr="008A47A0" w:rsidRDefault="00C23922" w:rsidP="008A47A0">
            <w:pPr>
              <w:rPr>
                <w:rFonts w:eastAsia="Calibri"/>
                <w:color w:val="000000"/>
                <w:szCs w:val="24"/>
              </w:rPr>
            </w:pPr>
            <w:r w:rsidRPr="008A47A0">
              <w:rPr>
                <w:rFonts w:eastAsia="Calibri"/>
                <w:color w:val="000000"/>
                <w:szCs w:val="24"/>
              </w:rPr>
              <w:t xml:space="preserve">Систематический обзор </w:t>
            </w:r>
            <w:r w:rsidR="00196ED3">
              <w:rPr>
                <w:rFonts w:eastAsia="Calibri"/>
                <w:color w:val="000000"/>
                <w:szCs w:val="24"/>
              </w:rPr>
              <w:t xml:space="preserve">рандомизированных </w:t>
            </w:r>
            <w:r w:rsidR="00610E07">
              <w:rPr>
                <w:rFonts w:eastAsia="Calibri"/>
                <w:color w:val="000000"/>
                <w:szCs w:val="24"/>
              </w:rPr>
              <w:t>КИ с применением мета</w:t>
            </w:r>
            <w:r w:rsidRPr="008A47A0">
              <w:rPr>
                <w:rFonts w:eastAsia="Calibri"/>
                <w:color w:val="000000"/>
                <w:szCs w:val="24"/>
              </w:rPr>
              <w:t>анализа</w:t>
            </w:r>
          </w:p>
        </w:tc>
      </w:tr>
      <w:tr w:rsidR="00C23922" w:rsidRPr="00495C9E" w14:paraId="7E1806C7" w14:textId="77777777" w:rsidTr="008A47A0">
        <w:tc>
          <w:tcPr>
            <w:tcW w:w="360" w:type="pct"/>
            <w:shd w:val="clear" w:color="auto" w:fill="auto"/>
          </w:tcPr>
          <w:p w14:paraId="20B9F797" w14:textId="77777777" w:rsidR="00C23922" w:rsidRPr="00610E07" w:rsidRDefault="00C23922" w:rsidP="008A47A0">
            <w:pPr>
              <w:jc w:val="center"/>
              <w:rPr>
                <w:rFonts w:eastAsia="Calibri"/>
                <w:color w:val="000000"/>
                <w:szCs w:val="24"/>
              </w:rPr>
            </w:pPr>
            <w:r w:rsidRPr="008A47A0">
              <w:rPr>
                <w:rFonts w:eastAsia="Calibri"/>
                <w:color w:val="000000"/>
                <w:szCs w:val="24"/>
              </w:rPr>
              <w:t>2</w:t>
            </w:r>
          </w:p>
        </w:tc>
        <w:tc>
          <w:tcPr>
            <w:tcW w:w="4640" w:type="pct"/>
            <w:shd w:val="clear" w:color="auto" w:fill="auto"/>
          </w:tcPr>
          <w:p w14:paraId="195C1ED8" w14:textId="77777777" w:rsidR="00C23922" w:rsidRPr="008A47A0" w:rsidRDefault="00C23922" w:rsidP="008A47A0">
            <w:pPr>
              <w:rPr>
                <w:rFonts w:eastAsia="Calibri"/>
                <w:color w:val="000000"/>
                <w:szCs w:val="24"/>
              </w:rPr>
            </w:pPr>
            <w:r w:rsidRPr="008A47A0">
              <w:rPr>
                <w:rFonts w:eastAsia="Calibri"/>
                <w:color w:val="000000"/>
                <w:szCs w:val="24"/>
              </w:rPr>
              <w:t xml:space="preserve">Отдельные </w:t>
            </w:r>
            <w:r w:rsidR="00196ED3">
              <w:rPr>
                <w:rFonts w:eastAsia="Calibri"/>
                <w:color w:val="000000"/>
                <w:szCs w:val="24"/>
              </w:rPr>
              <w:t>рандомизрованные</w:t>
            </w:r>
            <w:r w:rsidR="00F33A8F">
              <w:rPr>
                <w:rFonts w:eastAsia="Calibri"/>
                <w:color w:val="000000"/>
                <w:szCs w:val="24"/>
              </w:rPr>
              <w:t xml:space="preserve"> </w:t>
            </w:r>
            <w:r w:rsidRPr="008A47A0">
              <w:rPr>
                <w:rFonts w:eastAsia="Calibri"/>
                <w:color w:val="000000"/>
                <w:szCs w:val="24"/>
              </w:rPr>
              <w:t>КИ и систематические обзоры исследований любого дизайна, за исключением</w:t>
            </w:r>
            <w:r w:rsidR="00196ED3">
              <w:rPr>
                <w:rFonts w:eastAsia="Calibri"/>
                <w:color w:val="000000"/>
                <w:szCs w:val="24"/>
              </w:rPr>
              <w:t xml:space="preserve"> рандомизированных</w:t>
            </w:r>
            <w:r w:rsidR="00F33A8F">
              <w:rPr>
                <w:rFonts w:eastAsia="Calibri"/>
                <w:color w:val="000000"/>
                <w:szCs w:val="24"/>
              </w:rPr>
              <w:t xml:space="preserve"> </w:t>
            </w:r>
            <w:r w:rsidR="00610E07">
              <w:rPr>
                <w:rFonts w:eastAsia="Calibri"/>
                <w:color w:val="000000"/>
                <w:szCs w:val="24"/>
              </w:rPr>
              <w:t>КИ, с применением мета</w:t>
            </w:r>
            <w:r w:rsidRPr="008A47A0">
              <w:rPr>
                <w:rFonts w:eastAsia="Calibri"/>
                <w:color w:val="000000"/>
                <w:szCs w:val="24"/>
              </w:rPr>
              <w:t>анализа</w:t>
            </w:r>
          </w:p>
        </w:tc>
      </w:tr>
      <w:tr w:rsidR="00C23922" w:rsidRPr="00495C9E" w14:paraId="47D62B8D" w14:textId="77777777" w:rsidTr="008A47A0">
        <w:tc>
          <w:tcPr>
            <w:tcW w:w="360" w:type="pct"/>
            <w:shd w:val="clear" w:color="auto" w:fill="auto"/>
          </w:tcPr>
          <w:p w14:paraId="7AC8F6FA" w14:textId="77777777" w:rsidR="00C23922" w:rsidRPr="008A47A0" w:rsidRDefault="00C23922" w:rsidP="008A47A0">
            <w:pPr>
              <w:jc w:val="center"/>
              <w:rPr>
                <w:rFonts w:eastAsia="Calibri"/>
                <w:color w:val="000000"/>
                <w:szCs w:val="24"/>
              </w:rPr>
            </w:pPr>
            <w:r w:rsidRPr="008A47A0">
              <w:rPr>
                <w:rFonts w:eastAsia="Calibri"/>
                <w:color w:val="000000"/>
                <w:szCs w:val="24"/>
              </w:rPr>
              <w:t>3</w:t>
            </w:r>
          </w:p>
        </w:tc>
        <w:tc>
          <w:tcPr>
            <w:tcW w:w="4640" w:type="pct"/>
            <w:shd w:val="clear" w:color="auto" w:fill="auto"/>
          </w:tcPr>
          <w:p w14:paraId="0AB7CA3D" w14:textId="77777777" w:rsidR="00C23922" w:rsidRPr="008A47A0" w:rsidRDefault="00C23922" w:rsidP="008A47A0">
            <w:pPr>
              <w:rPr>
                <w:rFonts w:eastAsia="Calibri"/>
                <w:color w:val="000000"/>
                <w:szCs w:val="24"/>
              </w:rPr>
            </w:pPr>
            <w:r w:rsidRPr="008A47A0">
              <w:rPr>
                <w:rFonts w:eastAsia="Calibri"/>
                <w:color w:val="000000"/>
                <w:szCs w:val="24"/>
              </w:rPr>
              <w:t xml:space="preserve">Нерандомизированные </w:t>
            </w:r>
            <w:r w:rsidR="00610E07">
              <w:rPr>
                <w:rFonts w:eastAsia="Calibri"/>
                <w:color w:val="000000"/>
                <w:szCs w:val="24"/>
              </w:rPr>
              <w:t>сравнительные исследования, в том числе</w:t>
            </w:r>
            <w:r w:rsidRPr="008A47A0">
              <w:rPr>
                <w:rFonts w:eastAsia="Calibri"/>
                <w:color w:val="000000"/>
                <w:szCs w:val="24"/>
              </w:rPr>
              <w:t xml:space="preserve"> когортные исследования</w:t>
            </w:r>
          </w:p>
        </w:tc>
      </w:tr>
      <w:tr w:rsidR="00C23922" w:rsidRPr="00495C9E" w14:paraId="53B1CDBD" w14:textId="77777777" w:rsidTr="008A47A0">
        <w:tc>
          <w:tcPr>
            <w:tcW w:w="360" w:type="pct"/>
            <w:shd w:val="clear" w:color="auto" w:fill="auto"/>
          </w:tcPr>
          <w:p w14:paraId="7E518C32" w14:textId="77777777" w:rsidR="00C23922" w:rsidRPr="008A47A0" w:rsidRDefault="00C23922" w:rsidP="008A47A0">
            <w:pPr>
              <w:jc w:val="center"/>
              <w:rPr>
                <w:rFonts w:eastAsia="Calibri"/>
                <w:color w:val="000000"/>
                <w:szCs w:val="24"/>
              </w:rPr>
            </w:pPr>
            <w:r w:rsidRPr="008A47A0">
              <w:rPr>
                <w:rFonts w:eastAsia="Calibri"/>
                <w:color w:val="000000"/>
                <w:szCs w:val="24"/>
              </w:rPr>
              <w:t>4</w:t>
            </w:r>
          </w:p>
        </w:tc>
        <w:tc>
          <w:tcPr>
            <w:tcW w:w="4640" w:type="pct"/>
            <w:shd w:val="clear" w:color="auto" w:fill="auto"/>
          </w:tcPr>
          <w:p w14:paraId="197C616A" w14:textId="77777777" w:rsidR="00C23922" w:rsidRPr="008A47A0" w:rsidRDefault="00C23922" w:rsidP="008A47A0">
            <w:pPr>
              <w:rPr>
                <w:rFonts w:eastAsia="Calibri"/>
                <w:color w:val="000000"/>
                <w:szCs w:val="24"/>
              </w:rPr>
            </w:pPr>
            <w:r w:rsidRPr="008A47A0">
              <w:rPr>
                <w:rFonts w:eastAsia="Calibri"/>
                <w:color w:val="000000"/>
                <w:szCs w:val="24"/>
              </w:rPr>
              <w:t>Несравнительные исследования, описание клинического случая или сери</w:t>
            </w:r>
            <w:r w:rsidR="00610E07">
              <w:rPr>
                <w:rFonts w:eastAsia="Calibri"/>
                <w:color w:val="000000"/>
                <w:szCs w:val="24"/>
              </w:rPr>
              <w:t xml:space="preserve">и случаев, исследования «случай – </w:t>
            </w:r>
            <w:r w:rsidRPr="008A47A0">
              <w:rPr>
                <w:rFonts w:eastAsia="Calibri"/>
                <w:color w:val="000000"/>
                <w:szCs w:val="24"/>
              </w:rPr>
              <w:t>контроль»</w:t>
            </w:r>
          </w:p>
        </w:tc>
      </w:tr>
      <w:tr w:rsidR="00C23922" w:rsidRPr="00495C9E" w14:paraId="34514C54" w14:textId="77777777" w:rsidTr="008A47A0">
        <w:tc>
          <w:tcPr>
            <w:tcW w:w="360" w:type="pct"/>
            <w:shd w:val="clear" w:color="auto" w:fill="auto"/>
          </w:tcPr>
          <w:p w14:paraId="672EA845" w14:textId="77777777" w:rsidR="00C23922" w:rsidRPr="008A47A0" w:rsidRDefault="00C23922" w:rsidP="008A47A0">
            <w:pPr>
              <w:jc w:val="center"/>
              <w:rPr>
                <w:rFonts w:eastAsia="Calibri"/>
                <w:color w:val="000000"/>
                <w:szCs w:val="24"/>
              </w:rPr>
            </w:pPr>
            <w:r w:rsidRPr="008A47A0">
              <w:rPr>
                <w:rFonts w:eastAsia="Calibri"/>
                <w:color w:val="000000"/>
                <w:szCs w:val="24"/>
              </w:rPr>
              <w:t>5</w:t>
            </w:r>
          </w:p>
        </w:tc>
        <w:tc>
          <w:tcPr>
            <w:tcW w:w="4640" w:type="pct"/>
            <w:shd w:val="clear" w:color="auto" w:fill="auto"/>
          </w:tcPr>
          <w:p w14:paraId="03FA4C64" w14:textId="77777777" w:rsidR="00C23922" w:rsidRPr="008A47A0" w:rsidRDefault="00C23922" w:rsidP="008A47A0">
            <w:pPr>
              <w:rPr>
                <w:rFonts w:eastAsia="Calibri"/>
                <w:color w:val="000000"/>
                <w:szCs w:val="24"/>
              </w:rPr>
            </w:pPr>
            <w:r w:rsidRPr="008A47A0">
              <w:rPr>
                <w:rFonts w:eastAsia="Calibri"/>
                <w:color w:val="000000"/>
                <w:szCs w:val="24"/>
              </w:rPr>
              <w:t>Имеется лишь обоснование механизма действия вмешательства (доклинические исследования) или мнение экспертов</w:t>
            </w:r>
          </w:p>
        </w:tc>
      </w:tr>
    </w:tbl>
    <w:p w14:paraId="2DEA0E9B" w14:textId="77777777" w:rsidR="00C23922" w:rsidRDefault="00C23922" w:rsidP="00C23922">
      <w:pPr>
        <w:pStyle w:val="affb"/>
        <w:rPr>
          <w:rStyle w:val="aff5"/>
        </w:rPr>
      </w:pPr>
    </w:p>
    <w:p w14:paraId="073F0CDB" w14:textId="77777777" w:rsidR="00C23922" w:rsidRDefault="00C23922" w:rsidP="00C23922">
      <w:bookmarkStart w:id="230" w:name="_Ref515967732"/>
      <w:r w:rsidRPr="00B15720">
        <w:rPr>
          <w:b/>
        </w:rPr>
        <w:t>Таблица</w:t>
      </w:r>
      <w:r>
        <w:rPr>
          <w:b/>
        </w:rPr>
        <w:t xml:space="preserve"> </w:t>
      </w:r>
      <w:bookmarkEnd w:id="230"/>
      <w:r w:rsidR="00441E2B">
        <w:rPr>
          <w:b/>
        </w:rPr>
        <w:t>4</w:t>
      </w:r>
      <w:r w:rsidRPr="00B15720">
        <w:rPr>
          <w:b/>
        </w:rPr>
        <w:t>.</w:t>
      </w:r>
      <w:r w:rsidRPr="003311A4">
        <w:t xml:space="preserve"> </w:t>
      </w:r>
      <w:r>
        <w:t xml:space="preserve">Шкала </w:t>
      </w:r>
      <w:r w:rsidR="00637FA0">
        <w:t xml:space="preserve">оценки </w:t>
      </w:r>
      <w:r w:rsidRPr="003311A4">
        <w:t xml:space="preserve">УУР для </w:t>
      </w:r>
      <w:r>
        <w:t>методов профилактики, диагностики, лечения и реабилитации (</w:t>
      </w:r>
      <w:r w:rsidRPr="000F0165">
        <w:t>профилактических</w:t>
      </w:r>
      <w:r>
        <w:t>, диагностических,</w:t>
      </w:r>
      <w:r w:rsidRPr="000F0165">
        <w:t xml:space="preserve"> лечебных,</w:t>
      </w:r>
      <w:r>
        <w:t xml:space="preserve"> реабилитационных вмешательств)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1"/>
        <w:gridCol w:w="8015"/>
      </w:tblGrid>
      <w:tr w:rsidR="00C23922" w:rsidRPr="003311A4" w14:paraId="4F1A3F0F" w14:textId="77777777" w:rsidTr="008A47A0">
        <w:tc>
          <w:tcPr>
            <w:tcW w:w="712" w:type="pct"/>
            <w:shd w:val="clear" w:color="auto" w:fill="auto"/>
          </w:tcPr>
          <w:p w14:paraId="18DCD80C" w14:textId="77777777" w:rsidR="00C23922" w:rsidRPr="008A47A0" w:rsidRDefault="00C23922" w:rsidP="008A47A0">
            <w:pPr>
              <w:jc w:val="center"/>
              <w:rPr>
                <w:rFonts w:eastAsia="Calibri"/>
                <w:b/>
                <w:color w:val="000000"/>
                <w:szCs w:val="24"/>
              </w:rPr>
            </w:pPr>
            <w:r w:rsidRPr="008A47A0">
              <w:rPr>
                <w:rFonts w:eastAsia="Calibri"/>
                <w:b/>
                <w:color w:val="000000"/>
                <w:szCs w:val="24"/>
              </w:rPr>
              <w:t>УУР</w:t>
            </w:r>
          </w:p>
        </w:tc>
        <w:tc>
          <w:tcPr>
            <w:tcW w:w="4288" w:type="pct"/>
            <w:shd w:val="clear" w:color="auto" w:fill="auto"/>
          </w:tcPr>
          <w:p w14:paraId="6B58F775" w14:textId="77777777" w:rsidR="00C23922" w:rsidRPr="008A47A0" w:rsidRDefault="00C23922" w:rsidP="008A47A0">
            <w:pPr>
              <w:jc w:val="center"/>
              <w:rPr>
                <w:rFonts w:eastAsia="Calibri"/>
                <w:b/>
                <w:color w:val="000000"/>
                <w:szCs w:val="24"/>
              </w:rPr>
            </w:pPr>
            <w:r w:rsidRPr="008A47A0">
              <w:rPr>
                <w:rFonts w:eastAsia="Calibri"/>
                <w:b/>
                <w:color w:val="000000"/>
                <w:szCs w:val="24"/>
              </w:rPr>
              <w:t>Расшифровка</w:t>
            </w:r>
          </w:p>
        </w:tc>
      </w:tr>
      <w:tr w:rsidR="00C23922" w:rsidRPr="003311A4" w14:paraId="528FF374" w14:textId="77777777" w:rsidTr="008A47A0">
        <w:trPr>
          <w:trHeight w:val="1060"/>
        </w:trPr>
        <w:tc>
          <w:tcPr>
            <w:tcW w:w="712" w:type="pct"/>
            <w:shd w:val="clear" w:color="auto" w:fill="auto"/>
          </w:tcPr>
          <w:p w14:paraId="3CF21085" w14:textId="77777777" w:rsidR="00C23922" w:rsidRPr="008A47A0" w:rsidRDefault="00C23922" w:rsidP="008A47A0">
            <w:pPr>
              <w:jc w:val="center"/>
              <w:rPr>
                <w:rFonts w:eastAsia="Calibri"/>
                <w:color w:val="000000"/>
                <w:szCs w:val="24"/>
              </w:rPr>
            </w:pPr>
            <w:r w:rsidRPr="008A47A0">
              <w:rPr>
                <w:rFonts w:eastAsia="Calibri"/>
                <w:color w:val="000000"/>
                <w:szCs w:val="24"/>
                <w:lang w:val="en-US"/>
              </w:rPr>
              <w:t>A</w:t>
            </w:r>
          </w:p>
        </w:tc>
        <w:tc>
          <w:tcPr>
            <w:tcW w:w="4288" w:type="pct"/>
            <w:shd w:val="clear" w:color="auto" w:fill="auto"/>
          </w:tcPr>
          <w:p w14:paraId="2D7091A3" w14:textId="77777777" w:rsidR="00C23922" w:rsidRPr="008A47A0" w:rsidRDefault="00C23922" w:rsidP="008A47A0">
            <w:pPr>
              <w:rPr>
                <w:rFonts w:eastAsia="Calibri"/>
                <w:color w:val="000000"/>
                <w:szCs w:val="24"/>
              </w:rPr>
            </w:pPr>
            <w:r w:rsidRPr="008A47A0">
              <w:rPr>
                <w:rFonts w:eastAsia="Calibri"/>
                <w:color w:val="000000"/>
                <w:szCs w:val="24"/>
              </w:rPr>
              <w:t xml:space="preserve">Сильная рекомендация (все рассматриваемые критерии эффективности (исходы) являются важными, все исследования имеют высокое или удовлетворительное методологическое качество, их выводы по интересующим исходам являются согласованными) </w:t>
            </w:r>
          </w:p>
        </w:tc>
      </w:tr>
      <w:tr w:rsidR="00C23922" w:rsidRPr="003311A4" w14:paraId="1ECF6E54" w14:textId="77777777" w:rsidTr="008A47A0">
        <w:trPr>
          <w:trHeight w:val="558"/>
        </w:trPr>
        <w:tc>
          <w:tcPr>
            <w:tcW w:w="712" w:type="pct"/>
            <w:shd w:val="clear" w:color="auto" w:fill="auto"/>
          </w:tcPr>
          <w:p w14:paraId="777B8FCA" w14:textId="77777777" w:rsidR="00C23922" w:rsidRPr="008A47A0" w:rsidRDefault="00C23922" w:rsidP="008A47A0">
            <w:pPr>
              <w:jc w:val="center"/>
              <w:rPr>
                <w:rFonts w:eastAsia="Calibri"/>
                <w:color w:val="000000"/>
                <w:szCs w:val="24"/>
              </w:rPr>
            </w:pPr>
            <w:r w:rsidRPr="008A47A0">
              <w:rPr>
                <w:rFonts w:eastAsia="Calibri"/>
                <w:color w:val="000000"/>
                <w:szCs w:val="24"/>
              </w:rPr>
              <w:t>B</w:t>
            </w:r>
          </w:p>
        </w:tc>
        <w:tc>
          <w:tcPr>
            <w:tcW w:w="4288" w:type="pct"/>
            <w:shd w:val="clear" w:color="auto" w:fill="auto"/>
          </w:tcPr>
          <w:p w14:paraId="5A4832BD" w14:textId="77777777" w:rsidR="00C23922" w:rsidRPr="008A47A0" w:rsidRDefault="00C23922" w:rsidP="008A47A0">
            <w:pPr>
              <w:rPr>
                <w:rFonts w:eastAsia="Calibri"/>
                <w:color w:val="000000"/>
                <w:szCs w:val="24"/>
              </w:rPr>
            </w:pPr>
            <w:r w:rsidRPr="008A47A0">
              <w:rPr>
                <w:rFonts w:eastAsia="Calibri"/>
                <w:color w:val="000000"/>
                <w:szCs w:val="24"/>
              </w:rPr>
              <w:t xml:space="preserve">Условная рекомендация (не все рассматриваемые критерии эффективности (исходы) являются важными, не все исследования имеют высокое или удовлетворительное методологическое качество и/или их выводы по интересующим исходам не являются согласованными) </w:t>
            </w:r>
          </w:p>
        </w:tc>
      </w:tr>
      <w:tr w:rsidR="00C23922" w:rsidRPr="003311A4" w14:paraId="50198C94" w14:textId="77777777" w:rsidTr="008A47A0">
        <w:trPr>
          <w:trHeight w:val="798"/>
        </w:trPr>
        <w:tc>
          <w:tcPr>
            <w:tcW w:w="712" w:type="pct"/>
            <w:shd w:val="clear" w:color="auto" w:fill="auto"/>
          </w:tcPr>
          <w:p w14:paraId="16C8550D" w14:textId="77777777" w:rsidR="00C23922" w:rsidRPr="008A47A0" w:rsidRDefault="00C23922" w:rsidP="008A47A0">
            <w:pPr>
              <w:jc w:val="center"/>
              <w:rPr>
                <w:rFonts w:eastAsia="Calibri"/>
                <w:color w:val="000000"/>
                <w:szCs w:val="24"/>
              </w:rPr>
            </w:pPr>
            <w:r w:rsidRPr="008A47A0">
              <w:rPr>
                <w:rFonts w:eastAsia="Calibri"/>
                <w:color w:val="000000"/>
                <w:szCs w:val="24"/>
              </w:rPr>
              <w:t>C</w:t>
            </w:r>
          </w:p>
        </w:tc>
        <w:tc>
          <w:tcPr>
            <w:tcW w:w="4288" w:type="pct"/>
            <w:shd w:val="clear" w:color="auto" w:fill="auto"/>
          </w:tcPr>
          <w:p w14:paraId="1E73809B" w14:textId="77777777" w:rsidR="00C23922" w:rsidRPr="008A47A0" w:rsidRDefault="00C23922" w:rsidP="008A47A0">
            <w:pPr>
              <w:rPr>
                <w:rFonts w:eastAsia="Calibri"/>
                <w:color w:val="000000"/>
                <w:szCs w:val="24"/>
              </w:rPr>
            </w:pPr>
            <w:r w:rsidRPr="008A47A0">
              <w:rPr>
                <w:rFonts w:eastAsia="Calibri"/>
                <w:color w:val="000000"/>
                <w:szCs w:val="24"/>
              </w:rPr>
              <w:t xml:space="preserve">Слабая рекомендация (отсутствие доказательств надлежащего качества (все рассматриваемые критерии эффективности (исходы) являются неважными, все исследования имеют низкое методологическое качество и их выводы по </w:t>
            </w:r>
            <w:r w:rsidRPr="008A47A0">
              <w:rPr>
                <w:rFonts w:eastAsia="Calibri"/>
                <w:color w:val="000000"/>
                <w:szCs w:val="24"/>
              </w:rPr>
              <w:lastRenderedPageBreak/>
              <w:t xml:space="preserve">интересующим исходам не являются согласованными) </w:t>
            </w:r>
          </w:p>
        </w:tc>
      </w:tr>
    </w:tbl>
    <w:p w14:paraId="7F32F489" w14:textId="77777777" w:rsidR="00C23922" w:rsidRDefault="00C23922" w:rsidP="00C23922">
      <w:pPr>
        <w:pStyle w:val="affb"/>
        <w:rPr>
          <w:rStyle w:val="aff5"/>
        </w:rPr>
      </w:pPr>
    </w:p>
    <w:p w14:paraId="60DC25C0" w14:textId="77777777" w:rsidR="00365604" w:rsidRPr="00365604" w:rsidRDefault="00365604" w:rsidP="00441E2B">
      <w:pPr>
        <w:pStyle w:val="affb"/>
        <w:ind w:firstLine="0"/>
        <w:contextualSpacing/>
        <w:rPr>
          <w:rFonts w:eastAsia="Times New Roman"/>
        </w:rPr>
      </w:pPr>
      <w:r>
        <w:rPr>
          <w:rStyle w:val="aff5"/>
        </w:rPr>
        <w:t>Порядок обновления клинических рекомендаций</w:t>
      </w:r>
    </w:p>
    <w:p w14:paraId="78A12BDC" w14:textId="77777777" w:rsidR="00705A41" w:rsidRDefault="00365604" w:rsidP="007255E3">
      <w:pPr>
        <w:ind w:firstLine="720"/>
        <w:contextualSpacing/>
      </w:pPr>
      <w:r>
        <w:t xml:space="preserve">Механизм обновления </w:t>
      </w:r>
      <w:r w:rsidR="00441E2B">
        <w:t>КИ</w:t>
      </w:r>
      <w:r>
        <w:t xml:space="preserve"> предусматривает их систематическую</w:t>
      </w:r>
      <w:r w:rsidR="00441E2B">
        <w:t xml:space="preserve"> актуализацию – не реже чем 1 раз в 3</w:t>
      </w:r>
      <w:r>
        <w:t xml:space="preserve"> года или при появлении новой информации о тактике ведения пациентов с данным заболеванием. Решение об обновлении принимает МЗ РФ на основе предложений, представленных медицинскими некоммерческими профессиональными организациями. Сформированные предложения должны учитывать результаты комплексной оценки лекарственных препаратов, медицинских изделий, а также результаты клинической апробации. </w:t>
      </w:r>
      <w:bookmarkStart w:id="231" w:name="__RefHeading___doc_b"/>
      <w:bookmarkStart w:id="232" w:name="_Toc531609345"/>
      <w:bookmarkEnd w:id="227"/>
      <w:bookmarkEnd w:id="228"/>
    </w:p>
    <w:p w14:paraId="5A1C9374" w14:textId="77777777" w:rsidR="00441E2B" w:rsidRDefault="00441E2B">
      <w:pPr>
        <w:widowControl/>
        <w:autoSpaceDE/>
        <w:autoSpaceDN/>
        <w:adjustRightInd/>
        <w:jc w:val="left"/>
      </w:pPr>
      <w:r>
        <w:br w:type="page"/>
      </w:r>
    </w:p>
    <w:p w14:paraId="15519EC9" w14:textId="09047D47" w:rsidR="00533FE8" w:rsidRPr="005219AF" w:rsidRDefault="00533FE8" w:rsidP="000A5734">
      <w:pPr>
        <w:pStyle w:val="11"/>
      </w:pPr>
      <w:bookmarkStart w:id="233" w:name="_Toc26796728"/>
      <w:bookmarkStart w:id="234" w:name="_Toc64467943"/>
      <w:bookmarkStart w:id="235" w:name="_Toc64565667"/>
      <w:r w:rsidRPr="005219AF">
        <w:lastRenderedPageBreak/>
        <w:t xml:space="preserve">Приложение А3. </w:t>
      </w:r>
      <w:bookmarkEnd w:id="233"/>
      <w:bookmarkEnd w:id="234"/>
      <w:r w:rsidR="006D00F2" w:rsidRPr="00C81573">
        <w:t>Справочные материалы, включая соответствие показаний к применению и противопоказаний, способов применения и доз лекарственных препаратов, инструкции по применению лекарственного препарата</w:t>
      </w:r>
      <w:bookmarkEnd w:id="235"/>
    </w:p>
    <w:p w14:paraId="77455018" w14:textId="77777777" w:rsidR="00533FE8" w:rsidRDefault="00533FE8" w:rsidP="007255E3">
      <w:pPr>
        <w:ind w:firstLine="720"/>
        <w:contextualSpacing/>
      </w:pPr>
    </w:p>
    <w:p w14:paraId="391EA912" w14:textId="6F207675" w:rsidR="00533FE8" w:rsidRPr="00533FE8" w:rsidRDefault="006B4D47" w:rsidP="004905C2">
      <w:pPr>
        <w:pStyle w:val="2"/>
      </w:pPr>
      <w:bookmarkStart w:id="236" w:name="_Toc13484841"/>
      <w:bookmarkStart w:id="237" w:name="_Toc26796729"/>
      <w:bookmarkStart w:id="238" w:name="_Toc64467944"/>
      <w:bookmarkStart w:id="239" w:name="_Toc64565668"/>
      <w:r w:rsidRPr="00CC27FC">
        <w:t>П</w:t>
      </w:r>
      <w:r w:rsidR="006D00F2">
        <w:t>риложение</w:t>
      </w:r>
      <w:r w:rsidRPr="00CC27FC">
        <w:t xml:space="preserve"> </w:t>
      </w:r>
      <w:bookmarkEnd w:id="236"/>
      <w:r w:rsidR="00533FE8">
        <w:t xml:space="preserve">А3.1. Протоколы лечения </w:t>
      </w:r>
      <w:r w:rsidR="00441E2B">
        <w:t>ОЛЛ</w:t>
      </w:r>
      <w:bookmarkEnd w:id="237"/>
      <w:bookmarkEnd w:id="238"/>
      <w:bookmarkEnd w:id="239"/>
    </w:p>
    <w:p w14:paraId="6848F738" w14:textId="77777777" w:rsidR="00533FE8" w:rsidRPr="00364D11" w:rsidRDefault="00A12C9B" w:rsidP="00364D11">
      <w:pPr>
        <w:rPr>
          <w:b/>
        </w:rPr>
      </w:pPr>
      <w:bookmarkStart w:id="240" w:name="_Toc464042740"/>
      <w:bookmarkStart w:id="241" w:name="_Toc465074034"/>
      <w:bookmarkStart w:id="242" w:name="_Toc505347373"/>
      <w:r>
        <w:rPr>
          <w:b/>
        </w:rPr>
        <w:t>Протокол р</w:t>
      </w:r>
      <w:r w:rsidR="00533FE8" w:rsidRPr="00F74A1B">
        <w:rPr>
          <w:b/>
        </w:rPr>
        <w:t>оссийской исследоват</w:t>
      </w:r>
      <w:r w:rsidR="00196ED3">
        <w:rPr>
          <w:b/>
        </w:rPr>
        <w:t>ель</w:t>
      </w:r>
      <w:r w:rsidR="00533FE8" w:rsidRPr="00F74A1B">
        <w:rPr>
          <w:b/>
        </w:rPr>
        <w:t xml:space="preserve">ской группы </w:t>
      </w:r>
      <w:r w:rsidR="00533FE8" w:rsidRPr="00F74A1B">
        <w:rPr>
          <w:rFonts w:eastAsia="MS Mincho"/>
          <w:b/>
          <w:color w:val="000000"/>
          <w:lang w:eastAsia="ja-JP"/>
        </w:rPr>
        <w:t xml:space="preserve">для </w:t>
      </w:r>
      <w:r w:rsidR="00533FE8" w:rsidRPr="00F74A1B">
        <w:rPr>
          <w:rFonts w:eastAsia="MS Mincho"/>
          <w:b/>
          <w:color w:val="000000"/>
          <w:lang w:val="en-US" w:eastAsia="ja-JP"/>
        </w:rPr>
        <w:t>Ph</w:t>
      </w:r>
      <w:r w:rsidR="00533FE8" w:rsidRPr="00F74A1B">
        <w:rPr>
          <w:rFonts w:eastAsia="MS Mincho"/>
          <w:b/>
          <w:color w:val="000000"/>
          <w:lang w:eastAsia="ja-JP"/>
        </w:rPr>
        <w:t xml:space="preserve">-негативных ОЛЛ </w:t>
      </w:r>
      <w:r w:rsidR="00441E2B">
        <w:rPr>
          <w:rFonts w:eastAsia="MS Mincho"/>
          <w:b/>
          <w:color w:val="000000"/>
          <w:lang w:eastAsia="ja-JP"/>
        </w:rPr>
        <w:t xml:space="preserve">у пациентов </w:t>
      </w:r>
      <w:r w:rsidR="00533FE8" w:rsidRPr="00F74A1B">
        <w:rPr>
          <w:rFonts w:eastAsia="MS Mincho"/>
          <w:b/>
          <w:color w:val="000000"/>
          <w:lang w:eastAsia="ja-JP"/>
        </w:rPr>
        <w:t xml:space="preserve">в возрасте моложе 55 лет </w:t>
      </w:r>
      <w:r w:rsidR="00441E2B">
        <w:rPr>
          <w:b/>
        </w:rPr>
        <w:t>–</w:t>
      </w:r>
      <w:r w:rsidR="00533FE8" w:rsidRPr="00F74A1B">
        <w:rPr>
          <w:b/>
        </w:rPr>
        <w:t xml:space="preserve"> </w:t>
      </w:r>
      <w:r w:rsidR="00441E2B">
        <w:rPr>
          <w:b/>
        </w:rPr>
        <w:t>«</w:t>
      </w:r>
      <w:r w:rsidR="00A006DF">
        <w:rPr>
          <w:b/>
        </w:rPr>
        <w:t>ОЛЛ-</w:t>
      </w:r>
      <w:r w:rsidR="00533FE8" w:rsidRPr="00F74A1B">
        <w:rPr>
          <w:b/>
        </w:rPr>
        <w:t>2009</w:t>
      </w:r>
      <w:r w:rsidR="00441E2B">
        <w:rPr>
          <w:b/>
        </w:rPr>
        <w:t>»</w:t>
      </w:r>
      <w:bookmarkEnd w:id="240"/>
      <w:bookmarkEnd w:id="241"/>
      <w:bookmarkEnd w:id="242"/>
    </w:p>
    <w:p w14:paraId="52411DD2" w14:textId="77777777" w:rsidR="00533FE8" w:rsidRPr="00441E2B" w:rsidRDefault="00533FE8" w:rsidP="00533FE8">
      <w:pPr>
        <w:ind w:firstLine="540"/>
        <w:jc w:val="center"/>
        <w:rPr>
          <w:b/>
          <w:szCs w:val="24"/>
        </w:rPr>
      </w:pPr>
      <w:r w:rsidRPr="00441E2B">
        <w:rPr>
          <w:b/>
          <w:szCs w:val="24"/>
        </w:rPr>
        <w:t>Схема протокола «</w:t>
      </w:r>
      <w:r w:rsidR="00A006DF">
        <w:rPr>
          <w:b/>
          <w:szCs w:val="24"/>
        </w:rPr>
        <w:t>ОЛЛ</w:t>
      </w:r>
      <w:r w:rsidRPr="00441E2B">
        <w:rPr>
          <w:b/>
          <w:szCs w:val="24"/>
        </w:rPr>
        <w:t>-2009»</w:t>
      </w:r>
    </w:p>
    <w:p w14:paraId="2721F282" w14:textId="77777777" w:rsidR="00533FE8" w:rsidRPr="00CA7FDC" w:rsidRDefault="00533FE8" w:rsidP="00533FE8">
      <w:pPr>
        <w:jc w:val="center"/>
        <w:rPr>
          <w:b/>
          <w:bCs/>
          <w:i/>
          <w:iCs/>
          <w:szCs w:val="24"/>
        </w:rPr>
      </w:pPr>
    </w:p>
    <w:p w14:paraId="5C612A4F" w14:textId="77777777" w:rsidR="00533FE8" w:rsidRPr="00705A41" w:rsidRDefault="00533FE8" w:rsidP="00533FE8">
      <w:pPr>
        <w:jc w:val="center"/>
        <w:rPr>
          <w:szCs w:val="24"/>
        </w:rPr>
      </w:pPr>
      <w:r w:rsidRPr="00705A41">
        <w:rPr>
          <w:b/>
          <w:bCs/>
          <w:i/>
          <w:iCs/>
          <w:szCs w:val="24"/>
        </w:rPr>
        <w:t>Предфаза:</w:t>
      </w:r>
      <w:r w:rsidR="001B7836">
        <w:rPr>
          <w:szCs w:val="24"/>
        </w:rPr>
        <w:t xml:space="preserve"> преднизолон** 60 мг/м², </w:t>
      </w:r>
      <w:r w:rsidR="00441E2B">
        <w:rPr>
          <w:szCs w:val="24"/>
        </w:rPr>
        <w:t>1–</w:t>
      </w:r>
      <w:r w:rsidRPr="00705A41">
        <w:rPr>
          <w:szCs w:val="24"/>
        </w:rPr>
        <w:t>7</w:t>
      </w:r>
      <w:r w:rsidR="00441E2B">
        <w:rPr>
          <w:szCs w:val="24"/>
        </w:rPr>
        <w:t>-й дни</w:t>
      </w:r>
    </w:p>
    <w:p w14:paraId="16A104AC" w14:textId="77777777" w:rsidR="00533FE8" w:rsidRPr="00705A41" w:rsidRDefault="00720E5F" w:rsidP="00533FE8">
      <w:pPr>
        <w:jc w:val="center"/>
        <w:rPr>
          <w:b/>
          <w:szCs w:val="24"/>
        </w:rPr>
      </w:pPr>
      <w:r>
        <w:rPr>
          <w:b/>
          <w:noProof/>
          <w:szCs w:val="24"/>
        </w:rPr>
        <mc:AlternateContent>
          <mc:Choice Requires="wps">
            <w:drawing>
              <wp:anchor distT="0" distB="0" distL="114300" distR="114300" simplePos="0" relativeHeight="251636224" behindDoc="0" locked="0" layoutInCell="1" allowOverlap="1" wp14:anchorId="02ED60B9" wp14:editId="67A44770">
                <wp:simplePos x="0" y="0"/>
                <wp:positionH relativeFrom="column">
                  <wp:posOffset>4156075</wp:posOffset>
                </wp:positionH>
                <wp:positionV relativeFrom="paragraph">
                  <wp:posOffset>91440</wp:posOffset>
                </wp:positionV>
                <wp:extent cx="1216025" cy="114300"/>
                <wp:effectExtent l="0" t="0" r="41275" b="50800"/>
                <wp:wrapNone/>
                <wp:docPr id="62" name="Line 27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216025"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965F25" id="Line 279" o:spid="_x0000_s1026" style="position:absolute;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7.25pt,7.2pt" to="423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">
                <v:stroke endarrow="block"/>
                <o:lock v:ext="edit" shapetype="f"/>
              </v:line>
            </w:pict>
          </mc:Fallback>
        </mc:AlternateContent>
      </w:r>
      <w:r>
        <w:rPr>
          <w:b/>
          <w:noProof/>
          <w:szCs w:val="24"/>
        </w:rPr>
        <mc:AlternateContent>
          <mc:Choice Requires="wps">
            <w:drawing>
              <wp:anchor distT="0" distB="0" distL="114300" distR="114300" simplePos="0" relativeHeight="251635200" behindDoc="0" locked="0" layoutInCell="1" allowOverlap="1" wp14:anchorId="2455704E" wp14:editId="7CC217EE">
                <wp:simplePos x="0" y="0"/>
                <wp:positionH relativeFrom="column">
                  <wp:posOffset>571500</wp:posOffset>
                </wp:positionH>
                <wp:positionV relativeFrom="paragraph">
                  <wp:posOffset>91440</wp:posOffset>
                </wp:positionV>
                <wp:extent cx="1209675" cy="114300"/>
                <wp:effectExtent l="25400" t="0" r="0" b="50800"/>
                <wp:wrapNone/>
                <wp:docPr id="61" name="Line 27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1209675"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81B86F" id="Line 278" o:spid="_x0000_s1026" style="position:absolute;flip:x;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7.2pt" to="140.25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">
                <v:stroke endarrow="block"/>
                <o:lock v:ext="edit" shapetype="f"/>
              </v:line>
            </w:pict>
          </mc:Fallback>
        </mc:AlternateContent>
      </w:r>
      <w:r w:rsidR="00533FE8" w:rsidRPr="00705A41">
        <w:rPr>
          <w:b/>
          <w:bCs/>
          <w:szCs w:val="24"/>
        </w:rPr>
        <w:t>Пункция КМ на 8</w:t>
      </w:r>
      <w:r w:rsidR="00441E2B">
        <w:rPr>
          <w:b/>
          <w:bCs/>
          <w:szCs w:val="24"/>
        </w:rPr>
        <w:t>-й</w:t>
      </w:r>
      <w:r w:rsidR="00533FE8" w:rsidRPr="00705A41">
        <w:rPr>
          <w:b/>
          <w:bCs/>
          <w:szCs w:val="24"/>
        </w:rPr>
        <w:t xml:space="preserve"> день</w:t>
      </w:r>
    </w:p>
    <w:p w14:paraId="3A3D0A82" w14:textId="77777777" w:rsidR="00533FE8" w:rsidRPr="00705A41" w:rsidRDefault="00533FE8" w:rsidP="00533FE8">
      <w:pPr>
        <w:rPr>
          <w:bCs/>
          <w:szCs w:val="24"/>
        </w:rPr>
      </w:pPr>
      <w:r w:rsidRPr="00705A41">
        <w:rPr>
          <w:b/>
          <w:bCs/>
          <w:color w:val="FF0000"/>
          <w:szCs w:val="24"/>
        </w:rPr>
        <w:t xml:space="preserve">      </w:t>
      </w:r>
      <w:r w:rsidR="00441E2B">
        <w:rPr>
          <w:bCs/>
          <w:szCs w:val="24"/>
        </w:rPr>
        <w:t>&lt;</w:t>
      </w:r>
      <w:r w:rsidRPr="00705A41">
        <w:rPr>
          <w:bCs/>
          <w:szCs w:val="24"/>
        </w:rPr>
        <w:t>25</w:t>
      </w:r>
      <w:r w:rsidR="00441E2B">
        <w:rPr>
          <w:bCs/>
          <w:szCs w:val="24"/>
        </w:rPr>
        <w:t xml:space="preserve"> </w:t>
      </w:r>
      <w:r w:rsidRPr="00705A41">
        <w:rPr>
          <w:bCs/>
          <w:szCs w:val="24"/>
        </w:rPr>
        <w:t xml:space="preserve">% бластов                                                                                </w:t>
      </w:r>
      <w:r w:rsidRPr="00705A41">
        <w:rPr>
          <w:bCs/>
          <w:szCs w:val="24"/>
          <w:u w:val="single"/>
        </w:rPr>
        <w:t>&gt;</w:t>
      </w:r>
      <w:r w:rsidRPr="00705A41">
        <w:rPr>
          <w:bCs/>
          <w:szCs w:val="24"/>
        </w:rPr>
        <w:t>25</w:t>
      </w:r>
      <w:r w:rsidR="00441E2B">
        <w:rPr>
          <w:bCs/>
          <w:szCs w:val="24"/>
        </w:rPr>
        <w:t xml:space="preserve"> </w:t>
      </w:r>
      <w:r w:rsidRPr="00705A41">
        <w:rPr>
          <w:bCs/>
          <w:szCs w:val="24"/>
        </w:rPr>
        <w:t>% бластов</w:t>
      </w:r>
    </w:p>
    <w:p w14:paraId="52C8F6C4" w14:textId="77777777" w:rsidR="00533FE8" w:rsidRPr="00705A41" w:rsidRDefault="00A006DF" w:rsidP="00533FE8">
      <w:pPr>
        <w:rPr>
          <w:b/>
          <w:bCs/>
          <w:i/>
          <w:iCs/>
          <w:szCs w:val="24"/>
        </w:rPr>
      </w:pPr>
      <w:r w:rsidRPr="00441E2B">
        <w:rPr>
          <w:b/>
          <w:bCs/>
          <w:i/>
          <w:iCs/>
          <w:szCs w:val="24"/>
          <w:lang w:val="en-US"/>
        </w:rPr>
        <w:t>I</w:t>
      </w:r>
      <w:r w:rsidRPr="00441E2B">
        <w:rPr>
          <w:b/>
          <w:bCs/>
          <w:i/>
          <w:iCs/>
          <w:szCs w:val="24"/>
        </w:rPr>
        <w:t xml:space="preserve"> фаза </w:t>
      </w:r>
      <w:r>
        <w:rPr>
          <w:b/>
          <w:bCs/>
          <w:i/>
          <w:iCs/>
          <w:szCs w:val="24"/>
        </w:rPr>
        <w:t>индукции</w:t>
      </w:r>
      <w:r w:rsidR="00533FE8" w:rsidRPr="00441E2B">
        <w:rPr>
          <w:b/>
          <w:bCs/>
          <w:i/>
          <w:iCs/>
          <w:szCs w:val="24"/>
        </w:rPr>
        <w:t xml:space="preserve"> </w:t>
      </w:r>
      <w:r w:rsidR="00533FE8" w:rsidRPr="00705A41">
        <w:rPr>
          <w:b/>
          <w:bCs/>
          <w:i/>
          <w:iCs/>
          <w:szCs w:val="24"/>
        </w:rPr>
        <w:t xml:space="preserve">                                                                     </w:t>
      </w:r>
      <w:r w:rsidRPr="00441E2B">
        <w:rPr>
          <w:b/>
          <w:bCs/>
          <w:i/>
          <w:iCs/>
          <w:szCs w:val="24"/>
          <w:lang w:val="en-US"/>
        </w:rPr>
        <w:t>I</w:t>
      </w:r>
      <w:r w:rsidRPr="00441E2B">
        <w:rPr>
          <w:b/>
          <w:bCs/>
          <w:i/>
          <w:iCs/>
          <w:szCs w:val="24"/>
        </w:rPr>
        <w:t xml:space="preserve"> фаза </w:t>
      </w:r>
      <w:r>
        <w:rPr>
          <w:b/>
          <w:bCs/>
          <w:i/>
          <w:iCs/>
          <w:szCs w:val="24"/>
        </w:rPr>
        <w:t>и</w:t>
      </w:r>
      <w:r w:rsidR="00533FE8" w:rsidRPr="00441E2B">
        <w:rPr>
          <w:b/>
          <w:bCs/>
          <w:i/>
          <w:iCs/>
          <w:szCs w:val="24"/>
        </w:rPr>
        <w:t xml:space="preserve">ндукция </w:t>
      </w:r>
    </w:p>
    <w:p w14:paraId="02AF995E" w14:textId="77777777" w:rsidR="00533FE8" w:rsidRPr="00705A41" w:rsidRDefault="00533FE8" w:rsidP="00533FE8">
      <w:pPr>
        <w:rPr>
          <w:szCs w:val="24"/>
        </w:rPr>
      </w:pPr>
      <w:r>
        <w:rPr>
          <w:i/>
          <w:szCs w:val="24"/>
        </w:rPr>
        <w:t>Преднизолон</w:t>
      </w:r>
      <w:r w:rsidR="00B23DA4">
        <w:rPr>
          <w:i/>
          <w:szCs w:val="24"/>
        </w:rPr>
        <w:t>**</w:t>
      </w:r>
      <w:r w:rsidRPr="00705A41">
        <w:rPr>
          <w:szCs w:val="24"/>
        </w:rPr>
        <w:t xml:space="preserve"> 60 мг/м²</w:t>
      </w:r>
      <w:r w:rsidR="001B7836">
        <w:rPr>
          <w:szCs w:val="24"/>
        </w:rPr>
        <w:t>,</w:t>
      </w:r>
      <w:r w:rsidRPr="00705A41">
        <w:rPr>
          <w:szCs w:val="24"/>
        </w:rPr>
        <w:t xml:space="preserve"> </w:t>
      </w:r>
      <w:r w:rsidRPr="00705A41">
        <w:rPr>
          <w:b/>
          <w:bCs/>
          <w:i/>
          <w:iCs/>
          <w:szCs w:val="24"/>
        </w:rPr>
        <w:t xml:space="preserve">                              </w:t>
      </w:r>
      <w:r w:rsidRPr="00705A41">
        <w:rPr>
          <w:bCs/>
          <w:iCs/>
          <w:szCs w:val="24"/>
        </w:rPr>
        <w:t xml:space="preserve">                          </w:t>
      </w:r>
      <w:r>
        <w:rPr>
          <w:i/>
          <w:szCs w:val="24"/>
        </w:rPr>
        <w:t>Дексаметазон</w:t>
      </w:r>
      <w:r w:rsidR="00B23DA4">
        <w:rPr>
          <w:i/>
          <w:szCs w:val="24"/>
        </w:rPr>
        <w:t>**</w:t>
      </w:r>
      <w:r w:rsidRPr="00705A41">
        <w:rPr>
          <w:szCs w:val="24"/>
        </w:rPr>
        <w:t xml:space="preserve"> 10 мг/м²</w:t>
      </w:r>
      <w:r w:rsidR="001B7836">
        <w:rPr>
          <w:szCs w:val="24"/>
        </w:rPr>
        <w:t>,</w:t>
      </w:r>
      <w:r w:rsidRPr="00705A41">
        <w:rPr>
          <w:szCs w:val="24"/>
        </w:rPr>
        <w:t xml:space="preserve">   </w:t>
      </w:r>
    </w:p>
    <w:p w14:paraId="259B6EA9" w14:textId="77777777" w:rsidR="00533FE8" w:rsidRPr="00705A41" w:rsidRDefault="00441E2B" w:rsidP="00533FE8">
      <w:pPr>
        <w:rPr>
          <w:szCs w:val="24"/>
        </w:rPr>
      </w:pPr>
      <w:r>
        <w:rPr>
          <w:szCs w:val="24"/>
        </w:rPr>
        <w:t>8–</w:t>
      </w:r>
      <w:r w:rsidR="00533FE8" w:rsidRPr="00705A41">
        <w:rPr>
          <w:szCs w:val="24"/>
        </w:rPr>
        <w:t>28</w:t>
      </w:r>
      <w:r>
        <w:rPr>
          <w:szCs w:val="24"/>
        </w:rPr>
        <w:t>-й</w:t>
      </w:r>
      <w:r w:rsidR="00533FE8" w:rsidRPr="00705A41">
        <w:rPr>
          <w:szCs w:val="24"/>
        </w:rPr>
        <w:t xml:space="preserve"> дни + 7 дней отмены                     </w:t>
      </w:r>
      <w:r>
        <w:rPr>
          <w:szCs w:val="24"/>
        </w:rPr>
        <w:t xml:space="preserve">                              8–</w:t>
      </w:r>
      <w:r w:rsidR="00533FE8" w:rsidRPr="00705A41">
        <w:rPr>
          <w:szCs w:val="24"/>
        </w:rPr>
        <w:t>28</w:t>
      </w:r>
      <w:r>
        <w:rPr>
          <w:szCs w:val="24"/>
        </w:rPr>
        <w:t>-й</w:t>
      </w:r>
      <w:r w:rsidR="00533FE8" w:rsidRPr="00705A41">
        <w:rPr>
          <w:szCs w:val="24"/>
        </w:rPr>
        <w:t xml:space="preserve"> дни + 7 дней отмены</w:t>
      </w:r>
    </w:p>
    <w:p w14:paraId="56F1161F" w14:textId="77777777" w:rsidR="00533FE8" w:rsidRPr="009C72FD" w:rsidRDefault="00533FE8" w:rsidP="00FF4C81">
      <w:pPr>
        <w:pStyle w:val="afff3"/>
        <w:numPr>
          <w:ilvl w:val="3"/>
          <w:numId w:val="49"/>
        </w:numPr>
        <w:rPr>
          <w:bCs/>
          <w:iCs/>
          <w:szCs w:val="24"/>
        </w:rPr>
      </w:pPr>
      <w:r w:rsidRPr="009C72FD">
        <w:rPr>
          <w:bCs/>
          <w:iCs/>
          <w:szCs w:val="24"/>
        </w:rPr>
        <w:t>Даунорубицин</w:t>
      </w:r>
      <w:r w:rsidR="00A65A9B" w:rsidRPr="009C72FD">
        <w:rPr>
          <w:bCs/>
          <w:iCs/>
          <w:szCs w:val="24"/>
        </w:rPr>
        <w:t>**</w:t>
      </w:r>
      <w:r w:rsidRPr="009C72FD">
        <w:rPr>
          <w:bCs/>
          <w:iCs/>
          <w:szCs w:val="24"/>
        </w:rPr>
        <w:t xml:space="preserve"> 45 мг/м²</w:t>
      </w:r>
      <w:r w:rsidR="00067484" w:rsidRPr="009C72FD">
        <w:rPr>
          <w:bCs/>
          <w:iCs/>
          <w:szCs w:val="24"/>
        </w:rPr>
        <w:t>,</w:t>
      </w:r>
      <w:r w:rsidRPr="009C72FD">
        <w:rPr>
          <w:bCs/>
          <w:iCs/>
          <w:szCs w:val="24"/>
        </w:rPr>
        <w:t xml:space="preserve"> 8,</w:t>
      </w:r>
      <w:r w:rsidR="00441E2B" w:rsidRPr="009C72FD">
        <w:rPr>
          <w:bCs/>
          <w:iCs/>
          <w:szCs w:val="24"/>
        </w:rPr>
        <w:t xml:space="preserve"> </w:t>
      </w:r>
      <w:r w:rsidRPr="009C72FD">
        <w:rPr>
          <w:bCs/>
          <w:iCs/>
          <w:szCs w:val="24"/>
        </w:rPr>
        <w:t>15,</w:t>
      </w:r>
      <w:r w:rsidR="00441E2B" w:rsidRPr="009C72FD">
        <w:rPr>
          <w:bCs/>
          <w:iCs/>
          <w:szCs w:val="24"/>
        </w:rPr>
        <w:t xml:space="preserve"> </w:t>
      </w:r>
      <w:r w:rsidRPr="009C72FD">
        <w:rPr>
          <w:bCs/>
          <w:iCs/>
          <w:szCs w:val="24"/>
        </w:rPr>
        <w:t>22</w:t>
      </w:r>
      <w:r w:rsidR="00441E2B" w:rsidRPr="009C72FD">
        <w:rPr>
          <w:bCs/>
          <w:iCs/>
          <w:szCs w:val="24"/>
        </w:rPr>
        <w:t>-й</w:t>
      </w:r>
      <w:r w:rsidRPr="009C72FD">
        <w:rPr>
          <w:bCs/>
          <w:iCs/>
          <w:szCs w:val="24"/>
        </w:rPr>
        <w:t xml:space="preserve"> дни</w:t>
      </w:r>
    </w:p>
    <w:p w14:paraId="79EA941A" w14:textId="77777777" w:rsidR="00533FE8" w:rsidRPr="009C72FD" w:rsidRDefault="00533FE8" w:rsidP="00FF4C81">
      <w:pPr>
        <w:pStyle w:val="afff3"/>
        <w:numPr>
          <w:ilvl w:val="3"/>
          <w:numId w:val="49"/>
        </w:numPr>
        <w:rPr>
          <w:bCs/>
          <w:iCs/>
          <w:szCs w:val="24"/>
        </w:rPr>
      </w:pPr>
      <w:r w:rsidRPr="009C72FD">
        <w:rPr>
          <w:bCs/>
          <w:iCs/>
          <w:szCs w:val="24"/>
        </w:rPr>
        <w:t>Винкристин</w:t>
      </w:r>
      <w:r w:rsidR="00A65A9B" w:rsidRPr="009C72FD">
        <w:rPr>
          <w:bCs/>
          <w:iCs/>
          <w:szCs w:val="24"/>
        </w:rPr>
        <w:t>**</w:t>
      </w:r>
      <w:r w:rsidRPr="009C72FD">
        <w:rPr>
          <w:bCs/>
          <w:iCs/>
          <w:szCs w:val="24"/>
        </w:rPr>
        <w:t xml:space="preserve"> 2 мг</w:t>
      </w:r>
      <w:r w:rsidR="00A65A9B" w:rsidRPr="009C72FD">
        <w:rPr>
          <w:bCs/>
          <w:iCs/>
          <w:szCs w:val="24"/>
        </w:rPr>
        <w:t xml:space="preserve">, </w:t>
      </w:r>
      <w:r w:rsidRPr="009C72FD">
        <w:rPr>
          <w:bCs/>
          <w:iCs/>
          <w:szCs w:val="24"/>
        </w:rPr>
        <w:t>8,</w:t>
      </w:r>
      <w:r w:rsidR="00441E2B" w:rsidRPr="009C72FD">
        <w:rPr>
          <w:bCs/>
          <w:iCs/>
          <w:szCs w:val="24"/>
        </w:rPr>
        <w:t xml:space="preserve"> </w:t>
      </w:r>
      <w:r w:rsidRPr="009C72FD">
        <w:rPr>
          <w:bCs/>
          <w:iCs/>
          <w:szCs w:val="24"/>
        </w:rPr>
        <w:t>15,</w:t>
      </w:r>
      <w:r w:rsidR="00441E2B" w:rsidRPr="009C72FD">
        <w:rPr>
          <w:bCs/>
          <w:iCs/>
          <w:szCs w:val="24"/>
        </w:rPr>
        <w:t xml:space="preserve"> </w:t>
      </w:r>
      <w:r w:rsidRPr="009C72FD">
        <w:rPr>
          <w:bCs/>
          <w:iCs/>
          <w:szCs w:val="24"/>
        </w:rPr>
        <w:t>22</w:t>
      </w:r>
      <w:r w:rsidR="00441E2B" w:rsidRPr="009C72FD">
        <w:rPr>
          <w:bCs/>
          <w:iCs/>
          <w:szCs w:val="24"/>
        </w:rPr>
        <w:t>-й</w:t>
      </w:r>
      <w:r w:rsidRPr="009C72FD">
        <w:rPr>
          <w:bCs/>
          <w:iCs/>
          <w:szCs w:val="24"/>
        </w:rPr>
        <w:t xml:space="preserve"> дни</w:t>
      </w:r>
    </w:p>
    <w:p w14:paraId="3740986A" w14:textId="77777777" w:rsidR="00533FE8" w:rsidRPr="009C72FD" w:rsidRDefault="00A65A9B" w:rsidP="00FF4C81">
      <w:pPr>
        <w:pStyle w:val="afff3"/>
        <w:numPr>
          <w:ilvl w:val="3"/>
          <w:numId w:val="49"/>
        </w:numPr>
        <w:rPr>
          <w:bCs/>
          <w:iCs/>
          <w:szCs w:val="24"/>
        </w:rPr>
      </w:pPr>
      <w:r w:rsidRPr="009C72FD">
        <w:rPr>
          <w:bCs/>
          <w:iCs/>
          <w:szCs w:val="24"/>
        </w:rPr>
        <w:t>А</w:t>
      </w:r>
      <w:r w:rsidR="00533FE8" w:rsidRPr="009C72FD">
        <w:rPr>
          <w:bCs/>
          <w:iCs/>
          <w:szCs w:val="24"/>
        </w:rPr>
        <w:t>спарагиназа</w:t>
      </w:r>
      <w:r w:rsidR="00714B4A" w:rsidRPr="009C72FD">
        <w:rPr>
          <w:bCs/>
          <w:iCs/>
          <w:szCs w:val="24"/>
        </w:rPr>
        <w:t>**</w:t>
      </w:r>
      <w:r w:rsidR="00533FE8" w:rsidRPr="009C72FD">
        <w:rPr>
          <w:bCs/>
          <w:iCs/>
          <w:szCs w:val="24"/>
        </w:rPr>
        <w:t xml:space="preserve"> 10</w:t>
      </w:r>
      <w:r w:rsidR="00067484" w:rsidRPr="009C72FD">
        <w:rPr>
          <w:bCs/>
          <w:iCs/>
          <w:szCs w:val="24"/>
        </w:rPr>
        <w:t> </w:t>
      </w:r>
      <w:r w:rsidR="00533FE8" w:rsidRPr="009C72FD">
        <w:rPr>
          <w:bCs/>
          <w:iCs/>
          <w:szCs w:val="24"/>
        </w:rPr>
        <w:t>000 ЕД/м²</w:t>
      </w:r>
      <w:r w:rsidR="00067484" w:rsidRPr="009C72FD">
        <w:rPr>
          <w:bCs/>
          <w:iCs/>
          <w:szCs w:val="24"/>
        </w:rPr>
        <w:t>,</w:t>
      </w:r>
      <w:r w:rsidR="00533FE8" w:rsidRPr="009C72FD">
        <w:rPr>
          <w:bCs/>
          <w:iCs/>
          <w:szCs w:val="24"/>
        </w:rPr>
        <w:t xml:space="preserve"> 29</w:t>
      </w:r>
      <w:r w:rsidR="00441E2B" w:rsidRPr="009C72FD">
        <w:rPr>
          <w:bCs/>
          <w:iCs/>
          <w:szCs w:val="24"/>
        </w:rPr>
        <w:t>-й</w:t>
      </w:r>
      <w:r w:rsidR="00533FE8" w:rsidRPr="009C72FD">
        <w:rPr>
          <w:bCs/>
          <w:iCs/>
          <w:szCs w:val="24"/>
        </w:rPr>
        <w:t>,</w:t>
      </w:r>
      <w:r w:rsidR="00441E2B" w:rsidRPr="009C72FD">
        <w:rPr>
          <w:bCs/>
          <w:iCs/>
          <w:szCs w:val="24"/>
        </w:rPr>
        <w:t xml:space="preserve"> </w:t>
      </w:r>
      <w:r w:rsidR="00533FE8" w:rsidRPr="009C72FD">
        <w:rPr>
          <w:bCs/>
          <w:iCs/>
          <w:szCs w:val="24"/>
        </w:rPr>
        <w:t>36</w:t>
      </w:r>
      <w:r w:rsidR="00441E2B" w:rsidRPr="009C72FD">
        <w:rPr>
          <w:bCs/>
          <w:iCs/>
          <w:szCs w:val="24"/>
        </w:rPr>
        <w:t>-й</w:t>
      </w:r>
      <w:r w:rsidR="00533FE8" w:rsidRPr="009C72FD">
        <w:rPr>
          <w:bCs/>
          <w:iCs/>
          <w:szCs w:val="24"/>
        </w:rPr>
        <w:t xml:space="preserve"> дни</w:t>
      </w:r>
    </w:p>
    <w:p w14:paraId="4423F4CC" w14:textId="77777777" w:rsidR="00533FE8" w:rsidRPr="00705A41" w:rsidRDefault="00720E5F" w:rsidP="00533FE8">
      <w:pPr>
        <w:jc w:val="center"/>
        <w:rPr>
          <w:b/>
          <w:szCs w:val="24"/>
        </w:rPr>
      </w:pPr>
      <w:r>
        <w:rPr>
          <w:noProof/>
          <w:szCs w:val="24"/>
        </w:rPr>
        <mc:AlternateContent>
          <mc:Choice Requires="wps">
            <w:drawing>
              <wp:anchor distT="0" distB="0" distL="114300" distR="114300" simplePos="0" relativeHeight="251640320" behindDoc="0" locked="0" layoutInCell="1" allowOverlap="1" wp14:anchorId="3D1CFD1F" wp14:editId="1C276B40">
                <wp:simplePos x="0" y="0"/>
                <wp:positionH relativeFrom="column">
                  <wp:posOffset>2743200</wp:posOffset>
                </wp:positionH>
                <wp:positionV relativeFrom="paragraph">
                  <wp:posOffset>253365</wp:posOffset>
                </wp:positionV>
                <wp:extent cx="0" cy="182880"/>
                <wp:effectExtent l="63500" t="0" r="25400" b="20320"/>
                <wp:wrapNone/>
                <wp:docPr id="60" name="Line 28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1828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52D35C" id="Line 283" o:spid="_x0000_s1026" style="position:absolute;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in,19.95pt" to="3in,3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">
                <v:stroke endarrow="block"/>
                <o:lock v:ext="edit" shapetype="f"/>
              </v:line>
            </w:pict>
          </mc:Fallback>
        </mc:AlternateContent>
      </w:r>
      <w:r w:rsidR="00533FE8" w:rsidRPr="00705A41">
        <w:rPr>
          <w:b/>
          <w:bCs/>
          <w:szCs w:val="24"/>
        </w:rPr>
        <w:t>Пункция КМ на 36</w:t>
      </w:r>
      <w:r w:rsidR="00441E2B">
        <w:rPr>
          <w:b/>
          <w:bCs/>
          <w:szCs w:val="24"/>
        </w:rPr>
        <w:t>-й</w:t>
      </w:r>
      <w:r w:rsidR="00533FE8" w:rsidRPr="00705A41">
        <w:rPr>
          <w:b/>
          <w:bCs/>
          <w:szCs w:val="24"/>
        </w:rPr>
        <w:t xml:space="preserve"> день</w:t>
      </w:r>
    </w:p>
    <w:p w14:paraId="32730B3B" w14:textId="77777777" w:rsidR="00533FE8" w:rsidRPr="00705A41" w:rsidRDefault="00533FE8" w:rsidP="00533FE8">
      <w:pPr>
        <w:rPr>
          <w:szCs w:val="24"/>
        </w:rPr>
      </w:pPr>
      <w:r w:rsidRPr="00705A41">
        <w:rPr>
          <w:szCs w:val="24"/>
        </w:rPr>
        <w:t xml:space="preserve"> </w:t>
      </w:r>
    </w:p>
    <w:p w14:paraId="0282971A" w14:textId="77777777" w:rsidR="00533FE8" w:rsidRPr="00705A41" w:rsidRDefault="00533FE8" w:rsidP="00533FE8">
      <w:pPr>
        <w:ind w:left="2431"/>
        <w:rPr>
          <w:szCs w:val="24"/>
        </w:rPr>
      </w:pPr>
      <w:r w:rsidRPr="00705A41">
        <w:rPr>
          <w:b/>
          <w:bCs/>
          <w:i/>
          <w:iCs/>
          <w:szCs w:val="24"/>
        </w:rPr>
        <w:t xml:space="preserve">               </w:t>
      </w:r>
      <w:r w:rsidR="00A006DF" w:rsidRPr="00705A41">
        <w:rPr>
          <w:b/>
          <w:bCs/>
          <w:i/>
          <w:iCs/>
          <w:szCs w:val="24"/>
          <w:lang w:val="en-US"/>
        </w:rPr>
        <w:t>II</w:t>
      </w:r>
      <w:r w:rsidR="00A006DF" w:rsidRPr="00705A41">
        <w:rPr>
          <w:b/>
          <w:bCs/>
          <w:i/>
          <w:iCs/>
          <w:szCs w:val="24"/>
        </w:rPr>
        <w:t xml:space="preserve"> фаза </w:t>
      </w:r>
      <w:r w:rsidR="00A006DF">
        <w:rPr>
          <w:b/>
          <w:bCs/>
          <w:i/>
          <w:iCs/>
          <w:szCs w:val="24"/>
        </w:rPr>
        <w:t>индукции</w:t>
      </w:r>
      <w:r w:rsidRPr="00705A41">
        <w:rPr>
          <w:b/>
          <w:bCs/>
          <w:i/>
          <w:iCs/>
          <w:szCs w:val="24"/>
        </w:rPr>
        <w:t xml:space="preserve">        </w:t>
      </w:r>
      <w:r w:rsidRPr="00705A41">
        <w:rPr>
          <w:bCs/>
          <w:iCs/>
          <w:szCs w:val="24"/>
        </w:rPr>
        <w:t xml:space="preserve">                                                             </w:t>
      </w:r>
    </w:p>
    <w:p w14:paraId="66EB6A8E" w14:textId="77777777" w:rsidR="00533FE8" w:rsidRPr="009C72FD" w:rsidRDefault="00533FE8" w:rsidP="00FF4C81">
      <w:pPr>
        <w:pStyle w:val="afff3"/>
        <w:numPr>
          <w:ilvl w:val="3"/>
          <w:numId w:val="48"/>
        </w:numPr>
        <w:rPr>
          <w:szCs w:val="24"/>
        </w:rPr>
      </w:pPr>
      <w:r w:rsidRPr="009C72FD">
        <w:rPr>
          <w:szCs w:val="24"/>
        </w:rPr>
        <w:t>Меркаптопурин</w:t>
      </w:r>
      <w:r w:rsidR="00714B4A" w:rsidRPr="009C72FD">
        <w:rPr>
          <w:szCs w:val="24"/>
        </w:rPr>
        <w:t>**</w:t>
      </w:r>
      <w:r w:rsidRPr="009C72FD">
        <w:rPr>
          <w:szCs w:val="24"/>
        </w:rPr>
        <w:t xml:space="preserve"> 25 мг/м²</w:t>
      </w:r>
      <w:r w:rsidR="00067484" w:rsidRPr="009C72FD">
        <w:rPr>
          <w:szCs w:val="24"/>
        </w:rPr>
        <w:t>,</w:t>
      </w:r>
      <w:r w:rsidR="00441E2B" w:rsidRPr="009C72FD">
        <w:rPr>
          <w:szCs w:val="24"/>
        </w:rPr>
        <w:t xml:space="preserve"> 43–</w:t>
      </w:r>
      <w:r w:rsidRPr="009C72FD">
        <w:rPr>
          <w:szCs w:val="24"/>
        </w:rPr>
        <w:t>70</w:t>
      </w:r>
      <w:r w:rsidR="00441E2B" w:rsidRPr="009C72FD">
        <w:rPr>
          <w:szCs w:val="24"/>
        </w:rPr>
        <w:t>-й</w:t>
      </w:r>
      <w:r w:rsidRPr="009C72FD">
        <w:rPr>
          <w:szCs w:val="24"/>
        </w:rPr>
        <w:t xml:space="preserve"> дни</w:t>
      </w:r>
    </w:p>
    <w:p w14:paraId="7063A692" w14:textId="77777777" w:rsidR="00533FE8" w:rsidRPr="009C72FD" w:rsidRDefault="004C2C6A" w:rsidP="00FF4C81">
      <w:pPr>
        <w:pStyle w:val="afff3"/>
        <w:numPr>
          <w:ilvl w:val="3"/>
          <w:numId w:val="48"/>
        </w:numPr>
        <w:rPr>
          <w:szCs w:val="24"/>
        </w:rPr>
      </w:pPr>
      <w:r w:rsidRPr="009C72FD">
        <w:rPr>
          <w:szCs w:val="24"/>
        </w:rPr>
        <w:t>Циклофосфамид**</w:t>
      </w:r>
      <w:r w:rsidR="00533FE8" w:rsidRPr="009C72FD">
        <w:rPr>
          <w:szCs w:val="24"/>
        </w:rPr>
        <w:t xml:space="preserve"> 1000 мг/м²</w:t>
      </w:r>
      <w:r w:rsidR="00067484" w:rsidRPr="009C72FD">
        <w:rPr>
          <w:szCs w:val="24"/>
        </w:rPr>
        <w:t>,</w:t>
      </w:r>
      <w:r w:rsidR="00533FE8" w:rsidRPr="009C72FD">
        <w:rPr>
          <w:szCs w:val="24"/>
        </w:rPr>
        <w:t xml:space="preserve"> 43</w:t>
      </w:r>
      <w:r w:rsidR="00A37422" w:rsidRPr="009C72FD">
        <w:rPr>
          <w:szCs w:val="24"/>
        </w:rPr>
        <w:t>-й</w:t>
      </w:r>
      <w:r w:rsidR="00533FE8" w:rsidRPr="009C72FD">
        <w:rPr>
          <w:szCs w:val="24"/>
        </w:rPr>
        <w:t xml:space="preserve"> день                                        </w:t>
      </w:r>
    </w:p>
    <w:p w14:paraId="39FA2FD7" w14:textId="77777777" w:rsidR="00533FE8" w:rsidRPr="009C72FD" w:rsidRDefault="00421699" w:rsidP="00FF4C81">
      <w:pPr>
        <w:pStyle w:val="afff3"/>
        <w:numPr>
          <w:ilvl w:val="3"/>
          <w:numId w:val="48"/>
        </w:numPr>
        <w:rPr>
          <w:szCs w:val="24"/>
        </w:rPr>
      </w:pPr>
      <w:r w:rsidRPr="009C72FD">
        <w:rPr>
          <w:szCs w:val="24"/>
        </w:rPr>
        <w:t>Цитарабин**</w:t>
      </w:r>
      <w:r w:rsidR="00533FE8" w:rsidRPr="009C72FD">
        <w:rPr>
          <w:szCs w:val="24"/>
        </w:rPr>
        <w:t xml:space="preserve"> 75 мг/м²</w:t>
      </w:r>
      <w:r w:rsidR="00067484" w:rsidRPr="009C72FD">
        <w:rPr>
          <w:szCs w:val="24"/>
        </w:rPr>
        <w:t>,</w:t>
      </w:r>
      <w:r w:rsidR="00A37422" w:rsidRPr="009C72FD">
        <w:rPr>
          <w:szCs w:val="24"/>
        </w:rPr>
        <w:t xml:space="preserve"> 45–</w:t>
      </w:r>
      <w:r w:rsidR="00533FE8" w:rsidRPr="009C72FD">
        <w:rPr>
          <w:szCs w:val="24"/>
        </w:rPr>
        <w:t>48</w:t>
      </w:r>
      <w:r w:rsidR="00A37422" w:rsidRPr="009C72FD">
        <w:rPr>
          <w:szCs w:val="24"/>
        </w:rPr>
        <w:t>-й, 59–</w:t>
      </w:r>
      <w:r w:rsidR="00533FE8" w:rsidRPr="009C72FD">
        <w:rPr>
          <w:szCs w:val="24"/>
        </w:rPr>
        <w:t>62</w:t>
      </w:r>
      <w:r w:rsidR="00A37422" w:rsidRPr="009C72FD">
        <w:rPr>
          <w:szCs w:val="24"/>
        </w:rPr>
        <w:t>-й</w:t>
      </w:r>
      <w:r w:rsidR="00533FE8" w:rsidRPr="009C72FD">
        <w:rPr>
          <w:szCs w:val="24"/>
        </w:rPr>
        <w:t xml:space="preserve"> дни</w:t>
      </w:r>
    </w:p>
    <w:p w14:paraId="4E0A2E3C" w14:textId="1B50BE7D" w:rsidR="00533FE8" w:rsidRPr="00EC7111" w:rsidRDefault="00A65A9B" w:rsidP="00FF4C81">
      <w:pPr>
        <w:pStyle w:val="afff3"/>
        <w:numPr>
          <w:ilvl w:val="3"/>
          <w:numId w:val="48"/>
        </w:numPr>
        <w:rPr>
          <w:bCs/>
          <w:iCs/>
          <w:color w:val="FF0000"/>
          <w:szCs w:val="24"/>
        </w:rPr>
      </w:pPr>
      <w:r w:rsidRPr="009C72FD">
        <w:rPr>
          <w:szCs w:val="24"/>
        </w:rPr>
        <w:t>А</w:t>
      </w:r>
      <w:r w:rsidR="00533FE8" w:rsidRPr="009C72FD">
        <w:rPr>
          <w:szCs w:val="24"/>
        </w:rPr>
        <w:t>спарагиназа</w:t>
      </w:r>
      <w:r w:rsidR="00714B4A" w:rsidRPr="009C72FD">
        <w:rPr>
          <w:szCs w:val="24"/>
        </w:rPr>
        <w:t>**</w:t>
      </w:r>
      <w:r w:rsidR="00533FE8" w:rsidRPr="009C72FD">
        <w:rPr>
          <w:szCs w:val="24"/>
        </w:rPr>
        <w:t xml:space="preserve"> 10</w:t>
      </w:r>
      <w:r w:rsidR="00067484" w:rsidRPr="009C72FD">
        <w:rPr>
          <w:szCs w:val="24"/>
        </w:rPr>
        <w:t> </w:t>
      </w:r>
      <w:r w:rsidR="00533FE8" w:rsidRPr="009C72FD">
        <w:rPr>
          <w:szCs w:val="24"/>
        </w:rPr>
        <w:t>000 ЕД</w:t>
      </w:r>
      <w:r w:rsidR="00533FE8" w:rsidRPr="009C72FD">
        <w:rPr>
          <w:bCs/>
          <w:iCs/>
          <w:szCs w:val="24"/>
        </w:rPr>
        <w:t>/м²</w:t>
      </w:r>
      <w:r w:rsidR="00067484" w:rsidRPr="009C72FD">
        <w:rPr>
          <w:bCs/>
          <w:iCs/>
          <w:szCs w:val="24"/>
        </w:rPr>
        <w:t>,</w:t>
      </w:r>
      <w:r w:rsidR="00533FE8" w:rsidRPr="009C72FD">
        <w:rPr>
          <w:bCs/>
          <w:iCs/>
          <w:szCs w:val="24"/>
        </w:rPr>
        <w:t xml:space="preserve"> 50,</w:t>
      </w:r>
      <w:r w:rsidR="00A37422" w:rsidRPr="009C72FD">
        <w:rPr>
          <w:bCs/>
          <w:iCs/>
          <w:szCs w:val="24"/>
        </w:rPr>
        <w:t xml:space="preserve"> </w:t>
      </w:r>
      <w:r w:rsidR="00533FE8" w:rsidRPr="009C72FD">
        <w:rPr>
          <w:bCs/>
          <w:iCs/>
          <w:szCs w:val="24"/>
        </w:rPr>
        <w:t>57,</w:t>
      </w:r>
      <w:r w:rsidR="00A37422" w:rsidRPr="009C72FD">
        <w:rPr>
          <w:bCs/>
          <w:iCs/>
          <w:szCs w:val="24"/>
        </w:rPr>
        <w:t xml:space="preserve"> </w:t>
      </w:r>
      <w:r w:rsidR="00533FE8" w:rsidRPr="009C72FD">
        <w:rPr>
          <w:bCs/>
          <w:iCs/>
          <w:szCs w:val="24"/>
        </w:rPr>
        <w:t>64</w:t>
      </w:r>
      <w:r w:rsidR="00A37422" w:rsidRPr="009C72FD">
        <w:rPr>
          <w:bCs/>
          <w:iCs/>
          <w:szCs w:val="24"/>
        </w:rPr>
        <w:t>-й</w:t>
      </w:r>
      <w:r w:rsidR="00533FE8" w:rsidRPr="009C72FD">
        <w:rPr>
          <w:bCs/>
          <w:iCs/>
          <w:szCs w:val="24"/>
        </w:rPr>
        <w:t xml:space="preserve"> дн</w:t>
      </w:r>
      <w:r w:rsidR="00533FE8" w:rsidRPr="009F500F">
        <w:rPr>
          <w:bCs/>
          <w:iCs/>
          <w:szCs w:val="24"/>
        </w:rPr>
        <w:t>и</w:t>
      </w:r>
      <w:r w:rsidR="00B42B8A" w:rsidRPr="009F500F">
        <w:rPr>
          <w:bCs/>
          <w:iCs/>
          <w:szCs w:val="24"/>
        </w:rPr>
        <w:t xml:space="preserve"> </w:t>
      </w:r>
      <w:r w:rsidR="00B42B8A" w:rsidRPr="009F500F">
        <w:rPr>
          <w:bCs/>
          <w:iCs/>
        </w:rPr>
        <w:t xml:space="preserve">или </w:t>
      </w:r>
      <w:r w:rsidR="00387A25">
        <w:rPr>
          <w:bCs/>
          <w:iCs/>
        </w:rPr>
        <w:t>пэг</w:t>
      </w:r>
      <w:r w:rsidR="00B42B8A" w:rsidRPr="009F500F">
        <w:rPr>
          <w:bCs/>
          <w:iCs/>
        </w:rPr>
        <w:t>аспарагаза** 1000 ЕД/м²   50-й, 64-й дни</w:t>
      </w:r>
    </w:p>
    <w:p w14:paraId="779C998C" w14:textId="77777777" w:rsidR="00533FE8" w:rsidRPr="00705A41" w:rsidRDefault="00533FE8" w:rsidP="00533FE8">
      <w:pPr>
        <w:ind w:firstLine="120"/>
        <w:rPr>
          <w:b/>
          <w:bCs/>
          <w:szCs w:val="24"/>
        </w:rPr>
      </w:pPr>
      <w:r w:rsidRPr="00705A41">
        <w:rPr>
          <w:b/>
          <w:bCs/>
          <w:color w:val="333399"/>
          <w:szCs w:val="24"/>
        </w:rPr>
        <w:t xml:space="preserve">                                                </w:t>
      </w:r>
      <w:r w:rsidRPr="00705A41">
        <w:rPr>
          <w:b/>
          <w:bCs/>
          <w:szCs w:val="24"/>
        </w:rPr>
        <w:t>Пункция КМ на 70</w:t>
      </w:r>
      <w:r w:rsidR="00A37422">
        <w:rPr>
          <w:b/>
          <w:bCs/>
          <w:szCs w:val="24"/>
        </w:rPr>
        <w:t>-й</w:t>
      </w:r>
      <w:r w:rsidRPr="00705A41">
        <w:rPr>
          <w:b/>
          <w:bCs/>
          <w:szCs w:val="24"/>
        </w:rPr>
        <w:t xml:space="preserve"> день</w:t>
      </w:r>
    </w:p>
    <w:p w14:paraId="4DBB8353" w14:textId="77777777" w:rsidR="00533FE8" w:rsidRPr="00705A41" w:rsidRDefault="00720E5F" w:rsidP="00533FE8">
      <w:pPr>
        <w:ind w:firstLine="120"/>
        <w:rPr>
          <w:bCs/>
          <w:iCs/>
          <w:szCs w:val="24"/>
        </w:rPr>
      </w:pPr>
      <w:r>
        <w:rPr>
          <w:noProof/>
          <w:szCs w:val="24"/>
        </w:rPr>
        <mc:AlternateContent>
          <mc:Choice Requires="wps">
            <w:drawing>
              <wp:anchor distT="0" distB="0" distL="114300" distR="114300" simplePos="0" relativeHeight="251638272" behindDoc="0" locked="0" layoutInCell="1" allowOverlap="1" wp14:anchorId="2F4A39B0" wp14:editId="4D93DAB2">
                <wp:simplePos x="0" y="0"/>
                <wp:positionH relativeFrom="column">
                  <wp:posOffset>4037330</wp:posOffset>
                </wp:positionH>
                <wp:positionV relativeFrom="paragraph">
                  <wp:posOffset>-3175</wp:posOffset>
                </wp:positionV>
                <wp:extent cx="1216025" cy="125730"/>
                <wp:effectExtent l="0" t="0" r="41275" b="52070"/>
                <wp:wrapNone/>
                <wp:docPr id="59" name="Line 28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216025" cy="12573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2FDAA6" id="Line 281" o:spid="_x0000_s1026" style="position:absolute;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7.9pt,-.25pt" to="413.65pt,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">
                <v:stroke endarrow="block"/>
                <o:lock v:ext="edit" shapetype="f"/>
              </v:line>
            </w:pict>
          </mc:Fallback>
        </mc:AlternateContent>
      </w:r>
      <w:r>
        <w:rPr>
          <w:noProof/>
          <w:szCs w:val="24"/>
        </w:rPr>
        <mc:AlternateContent>
          <mc:Choice Requires="wps">
            <w:drawing>
              <wp:anchor distT="0" distB="0" distL="114300" distR="114300" simplePos="0" relativeHeight="251637248" behindDoc="0" locked="0" layoutInCell="1" allowOverlap="1" wp14:anchorId="3C39BCA0" wp14:editId="0E06176D">
                <wp:simplePos x="0" y="0"/>
                <wp:positionH relativeFrom="column">
                  <wp:posOffset>712470</wp:posOffset>
                </wp:positionH>
                <wp:positionV relativeFrom="paragraph">
                  <wp:posOffset>-3175</wp:posOffset>
                </wp:positionV>
                <wp:extent cx="1187450" cy="125730"/>
                <wp:effectExtent l="25400" t="0" r="6350" b="52070"/>
                <wp:wrapNone/>
                <wp:docPr id="58" name="Line 28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1187450" cy="12573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89623F" id="Line 280" o:spid="_x0000_s1026" style="position:absolute;flip:x;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1pt,-.25pt" to="149.6pt,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">
                <v:stroke endarrow="block"/>
                <o:lock v:ext="edit" shapetype="f"/>
              </v:line>
            </w:pict>
          </mc:Fallback>
        </mc:AlternateContent>
      </w:r>
    </w:p>
    <w:p w14:paraId="2DA9DD8C" w14:textId="77777777" w:rsidR="00533FE8" w:rsidRPr="00705A41" w:rsidRDefault="00720E5F" w:rsidP="00533FE8">
      <w:pPr>
        <w:ind w:firstLine="120"/>
        <w:rPr>
          <w:szCs w:val="24"/>
        </w:rPr>
      </w:pPr>
      <w:r>
        <w:rPr>
          <w:noProof/>
          <w:szCs w:val="24"/>
        </w:rPr>
        <mc:AlternateContent>
          <mc:Choice Requires="wps">
            <w:drawing>
              <wp:anchor distT="0" distB="0" distL="114300" distR="114300" simplePos="0" relativeHeight="251639296" behindDoc="0" locked="0" layoutInCell="1" allowOverlap="1" wp14:anchorId="1ABD6726" wp14:editId="6F2AD945">
                <wp:simplePos x="0" y="0"/>
                <wp:positionH relativeFrom="column">
                  <wp:posOffset>5100955</wp:posOffset>
                </wp:positionH>
                <wp:positionV relativeFrom="paragraph">
                  <wp:posOffset>226060</wp:posOffset>
                </wp:positionV>
                <wp:extent cx="9525" cy="208915"/>
                <wp:effectExtent l="50800" t="0" r="28575" b="19685"/>
                <wp:wrapNone/>
                <wp:docPr id="57" name="Line 28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9525" cy="20891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53D172" id="Line 282" o:spid="_x0000_s1026" style="position:absolute;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1.65pt,17.8pt" to="402.4pt,3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">
                <v:stroke endarrow="block"/>
                <o:lock v:ext="edit" shapetype="f"/>
              </v:line>
            </w:pict>
          </mc:Fallback>
        </mc:AlternateContent>
      </w:r>
      <w:r>
        <w:rPr>
          <w:noProof/>
          <w:szCs w:val="24"/>
        </w:rPr>
        <mc:AlternateContent>
          <mc:Choice Requires="wps">
            <w:drawing>
              <wp:anchor distT="0" distB="0" distL="114300" distR="114300" simplePos="0" relativeHeight="251642368" behindDoc="0" locked="0" layoutInCell="1" allowOverlap="1" wp14:anchorId="59DE1C4F" wp14:editId="38F0E06F">
                <wp:simplePos x="0" y="0"/>
                <wp:positionH relativeFrom="column">
                  <wp:posOffset>1059180</wp:posOffset>
                </wp:positionH>
                <wp:positionV relativeFrom="paragraph">
                  <wp:posOffset>226060</wp:posOffset>
                </wp:positionV>
                <wp:extent cx="0" cy="194310"/>
                <wp:effectExtent l="63500" t="0" r="25400" b="21590"/>
                <wp:wrapNone/>
                <wp:docPr id="56" name="Line 28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0" cy="1943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9745FF" id="Line 285" o:spid="_x0000_s1026" style="position:absolute;flip:x;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3.4pt,17.8pt" to="83.4pt,3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">
                <v:stroke endarrow="block"/>
                <o:lock v:ext="edit" shapetype="f"/>
              </v:line>
            </w:pict>
          </mc:Fallback>
        </mc:AlternateContent>
      </w:r>
      <w:r w:rsidR="00533FE8" w:rsidRPr="00705A41">
        <w:rPr>
          <w:b/>
          <w:bCs/>
          <w:color w:val="FF0000"/>
          <w:szCs w:val="24"/>
        </w:rPr>
        <w:t xml:space="preserve">      </w:t>
      </w:r>
      <w:r w:rsidR="00533FE8" w:rsidRPr="00705A41">
        <w:rPr>
          <w:szCs w:val="24"/>
          <w:u w:val="single"/>
        </w:rPr>
        <w:t>&lt;</w:t>
      </w:r>
      <w:r w:rsidR="00533FE8" w:rsidRPr="00705A41">
        <w:rPr>
          <w:szCs w:val="24"/>
        </w:rPr>
        <w:t>5</w:t>
      </w:r>
      <w:r w:rsidR="00A37422">
        <w:rPr>
          <w:szCs w:val="24"/>
        </w:rPr>
        <w:t xml:space="preserve"> </w:t>
      </w:r>
      <w:r w:rsidR="00533FE8" w:rsidRPr="00705A41">
        <w:rPr>
          <w:szCs w:val="24"/>
        </w:rPr>
        <w:t>% бластов</w:t>
      </w:r>
      <w:r w:rsidR="00533FE8" w:rsidRPr="00705A41">
        <w:rPr>
          <w:color w:val="000000"/>
          <w:szCs w:val="24"/>
        </w:rPr>
        <w:t xml:space="preserve">                                                        </w:t>
      </w:r>
      <w:r w:rsidR="00067484">
        <w:rPr>
          <w:color w:val="000000"/>
          <w:szCs w:val="24"/>
        </w:rPr>
        <w:tab/>
      </w:r>
      <w:r w:rsidR="00067484">
        <w:rPr>
          <w:color w:val="000000"/>
          <w:szCs w:val="24"/>
        </w:rPr>
        <w:tab/>
      </w:r>
      <w:r w:rsidR="00067484">
        <w:rPr>
          <w:color w:val="000000"/>
          <w:szCs w:val="24"/>
        </w:rPr>
        <w:tab/>
      </w:r>
      <w:r w:rsidR="00533FE8" w:rsidRPr="00705A41">
        <w:rPr>
          <w:szCs w:val="24"/>
        </w:rPr>
        <w:t>&gt;5</w:t>
      </w:r>
      <w:r w:rsidR="00A37422">
        <w:rPr>
          <w:szCs w:val="24"/>
        </w:rPr>
        <w:t xml:space="preserve"> </w:t>
      </w:r>
      <w:r w:rsidR="00533FE8" w:rsidRPr="00705A41">
        <w:rPr>
          <w:szCs w:val="24"/>
        </w:rPr>
        <w:t>% бластов</w:t>
      </w:r>
    </w:p>
    <w:p w14:paraId="68A507E4" w14:textId="77777777" w:rsidR="00533FE8" w:rsidRPr="00705A41" w:rsidRDefault="00533FE8" w:rsidP="00533FE8">
      <w:pPr>
        <w:rPr>
          <w:szCs w:val="24"/>
        </w:rPr>
      </w:pPr>
    </w:p>
    <w:p w14:paraId="1E2CB356" w14:textId="77777777" w:rsidR="00533FE8" w:rsidRPr="00705A41" w:rsidRDefault="00A37422" w:rsidP="00533FE8">
      <w:pPr>
        <w:rPr>
          <w:b/>
          <w:bCs/>
          <w:i/>
          <w:iCs/>
          <w:szCs w:val="24"/>
        </w:rPr>
      </w:pPr>
      <w:r>
        <w:rPr>
          <w:b/>
          <w:bCs/>
          <w:i/>
          <w:iCs/>
          <w:szCs w:val="24"/>
        </w:rPr>
        <w:t xml:space="preserve">               Консолидация </w:t>
      </w:r>
      <w:r w:rsidR="00533FE8" w:rsidRPr="00705A41">
        <w:rPr>
          <w:b/>
          <w:bCs/>
          <w:i/>
          <w:iCs/>
          <w:szCs w:val="24"/>
          <w:lang w:val="en-US"/>
        </w:rPr>
        <w:t>I</w:t>
      </w:r>
      <w:r w:rsidR="00533FE8" w:rsidRPr="00705A41">
        <w:rPr>
          <w:b/>
          <w:bCs/>
          <w:i/>
          <w:iCs/>
          <w:szCs w:val="24"/>
        </w:rPr>
        <w:t xml:space="preserve">                                                                            </w:t>
      </w:r>
      <w:r w:rsidR="00196ED3">
        <w:rPr>
          <w:b/>
          <w:bCs/>
          <w:i/>
          <w:iCs/>
          <w:szCs w:val="24"/>
        </w:rPr>
        <w:t>П</w:t>
      </w:r>
      <w:r w:rsidR="00533FE8" w:rsidRPr="00705A41">
        <w:rPr>
          <w:b/>
          <w:bCs/>
          <w:i/>
          <w:iCs/>
          <w:szCs w:val="24"/>
        </w:rPr>
        <w:t>рограмма</w:t>
      </w:r>
    </w:p>
    <w:p w14:paraId="33E8A73C" w14:textId="77777777" w:rsidR="00533FE8" w:rsidRPr="00F24D7B" w:rsidRDefault="00533FE8" w:rsidP="00FF4C81">
      <w:pPr>
        <w:pStyle w:val="afff3"/>
        <w:numPr>
          <w:ilvl w:val="0"/>
          <w:numId w:val="47"/>
        </w:numPr>
        <w:rPr>
          <w:szCs w:val="24"/>
        </w:rPr>
      </w:pPr>
      <w:r w:rsidRPr="00F24D7B">
        <w:rPr>
          <w:bCs/>
          <w:iCs/>
          <w:szCs w:val="24"/>
        </w:rPr>
        <w:t>Дексаметазон</w:t>
      </w:r>
      <w:r w:rsidR="00B23DA4" w:rsidRPr="00F24D7B">
        <w:rPr>
          <w:bCs/>
          <w:iCs/>
          <w:szCs w:val="24"/>
        </w:rPr>
        <w:t>**</w:t>
      </w:r>
      <w:r w:rsidRPr="00F24D7B">
        <w:rPr>
          <w:szCs w:val="24"/>
        </w:rPr>
        <w:t xml:space="preserve"> 10 мг/м²</w:t>
      </w:r>
      <w:r w:rsidR="00067484" w:rsidRPr="00F24D7B">
        <w:rPr>
          <w:szCs w:val="24"/>
        </w:rPr>
        <w:t>,</w:t>
      </w:r>
      <w:r w:rsidRPr="00F24D7B">
        <w:rPr>
          <w:szCs w:val="24"/>
        </w:rPr>
        <w:t xml:space="preserve"> 71</w:t>
      </w:r>
      <w:r w:rsidR="00A37422" w:rsidRPr="00F24D7B">
        <w:rPr>
          <w:szCs w:val="24"/>
        </w:rPr>
        <w:t>–</w:t>
      </w:r>
      <w:r w:rsidRPr="00F24D7B">
        <w:rPr>
          <w:szCs w:val="24"/>
        </w:rPr>
        <w:t>84</w:t>
      </w:r>
      <w:r w:rsidR="00A37422" w:rsidRPr="00F24D7B">
        <w:rPr>
          <w:szCs w:val="24"/>
        </w:rPr>
        <w:t>-й</w:t>
      </w:r>
      <w:r w:rsidR="00F24D7B">
        <w:rPr>
          <w:szCs w:val="24"/>
        </w:rPr>
        <w:t xml:space="preserve"> дни + 7 дней отмены</w:t>
      </w:r>
      <w:r w:rsidR="00F24D7B">
        <w:rPr>
          <w:szCs w:val="24"/>
        </w:rPr>
        <w:tab/>
      </w:r>
      <w:r w:rsidR="00F24D7B">
        <w:rPr>
          <w:szCs w:val="24"/>
        </w:rPr>
        <w:tab/>
      </w:r>
      <w:r w:rsidRPr="00F24D7B">
        <w:rPr>
          <w:b/>
          <w:i/>
          <w:szCs w:val="24"/>
        </w:rPr>
        <w:t>лечения</w:t>
      </w:r>
    </w:p>
    <w:p w14:paraId="7F647D16" w14:textId="77777777" w:rsidR="00533FE8" w:rsidRPr="00F24D7B" w:rsidRDefault="00533FE8" w:rsidP="00FF4C81">
      <w:pPr>
        <w:pStyle w:val="afff3"/>
        <w:numPr>
          <w:ilvl w:val="0"/>
          <w:numId w:val="47"/>
        </w:numPr>
        <w:tabs>
          <w:tab w:val="left" w:pos="5249"/>
        </w:tabs>
        <w:rPr>
          <w:szCs w:val="24"/>
        </w:rPr>
      </w:pPr>
      <w:r w:rsidRPr="00F24D7B">
        <w:rPr>
          <w:szCs w:val="24"/>
        </w:rPr>
        <w:lastRenderedPageBreak/>
        <w:t>Доксорубицин</w:t>
      </w:r>
      <w:r w:rsidR="00067484" w:rsidRPr="00F24D7B">
        <w:rPr>
          <w:szCs w:val="24"/>
        </w:rPr>
        <w:t>**</w:t>
      </w:r>
      <w:r w:rsidRPr="00F24D7B">
        <w:rPr>
          <w:szCs w:val="24"/>
        </w:rPr>
        <w:t xml:space="preserve"> 30 мг/м²</w:t>
      </w:r>
      <w:r w:rsidR="00067484" w:rsidRPr="00F24D7B">
        <w:rPr>
          <w:szCs w:val="24"/>
        </w:rPr>
        <w:t>,</w:t>
      </w:r>
      <w:r w:rsidRPr="00F24D7B">
        <w:rPr>
          <w:szCs w:val="24"/>
        </w:rPr>
        <w:t xml:space="preserve"> 71</w:t>
      </w:r>
      <w:r w:rsidR="00A37422" w:rsidRPr="00F24D7B">
        <w:rPr>
          <w:szCs w:val="24"/>
        </w:rPr>
        <w:t>-й</w:t>
      </w:r>
      <w:r w:rsidRPr="00F24D7B">
        <w:rPr>
          <w:szCs w:val="24"/>
        </w:rPr>
        <w:t>,</w:t>
      </w:r>
      <w:r w:rsidR="00A37422" w:rsidRPr="00F24D7B">
        <w:rPr>
          <w:szCs w:val="24"/>
        </w:rPr>
        <w:t xml:space="preserve"> </w:t>
      </w:r>
      <w:r w:rsidRPr="00F24D7B">
        <w:rPr>
          <w:szCs w:val="24"/>
        </w:rPr>
        <w:t>85</w:t>
      </w:r>
      <w:r w:rsidR="00A37422" w:rsidRPr="00F24D7B">
        <w:rPr>
          <w:szCs w:val="24"/>
        </w:rPr>
        <w:t>-й</w:t>
      </w:r>
      <w:r w:rsidRPr="00F24D7B">
        <w:rPr>
          <w:szCs w:val="24"/>
        </w:rPr>
        <w:t xml:space="preserve"> дни </w:t>
      </w:r>
      <w:r w:rsidRPr="00F24D7B">
        <w:rPr>
          <w:szCs w:val="24"/>
        </w:rPr>
        <w:tab/>
      </w:r>
      <w:r w:rsidRPr="00F24D7B">
        <w:rPr>
          <w:szCs w:val="24"/>
        </w:rPr>
        <w:tab/>
      </w:r>
      <w:r w:rsidRPr="00F24D7B">
        <w:rPr>
          <w:szCs w:val="24"/>
        </w:rPr>
        <w:tab/>
        <w:t xml:space="preserve">     </w:t>
      </w:r>
      <w:r w:rsidRPr="00F24D7B">
        <w:rPr>
          <w:b/>
          <w:i/>
          <w:szCs w:val="24"/>
        </w:rPr>
        <w:t>резистентных форм</w:t>
      </w:r>
      <w:r w:rsidRPr="00F24D7B">
        <w:rPr>
          <w:szCs w:val="24"/>
        </w:rPr>
        <w:t xml:space="preserve">            </w:t>
      </w:r>
    </w:p>
    <w:p w14:paraId="4D1FC275" w14:textId="77777777" w:rsidR="00533FE8" w:rsidRPr="00F24D7B" w:rsidRDefault="00533FE8" w:rsidP="00FF4C81">
      <w:pPr>
        <w:pStyle w:val="afff3"/>
        <w:numPr>
          <w:ilvl w:val="0"/>
          <w:numId w:val="47"/>
        </w:numPr>
        <w:rPr>
          <w:szCs w:val="24"/>
        </w:rPr>
      </w:pPr>
      <w:r w:rsidRPr="00F24D7B">
        <w:rPr>
          <w:bCs/>
          <w:iCs/>
          <w:szCs w:val="24"/>
        </w:rPr>
        <w:t>Винкристин</w:t>
      </w:r>
      <w:r w:rsidR="00457E7B" w:rsidRPr="00F24D7B">
        <w:rPr>
          <w:bCs/>
          <w:iCs/>
          <w:szCs w:val="24"/>
        </w:rPr>
        <w:t>**</w:t>
      </w:r>
      <w:r w:rsidRPr="00F24D7B">
        <w:rPr>
          <w:bCs/>
          <w:iCs/>
          <w:szCs w:val="24"/>
        </w:rPr>
        <w:t xml:space="preserve"> 2 мг</w:t>
      </w:r>
      <w:r w:rsidR="00067484" w:rsidRPr="00F24D7B">
        <w:rPr>
          <w:bCs/>
          <w:iCs/>
          <w:szCs w:val="24"/>
        </w:rPr>
        <w:t>,</w:t>
      </w:r>
      <w:r w:rsidRPr="00F24D7B">
        <w:rPr>
          <w:szCs w:val="24"/>
        </w:rPr>
        <w:t xml:space="preserve"> 71</w:t>
      </w:r>
      <w:r w:rsidR="00A37422" w:rsidRPr="00F24D7B">
        <w:rPr>
          <w:szCs w:val="24"/>
        </w:rPr>
        <w:t>-й</w:t>
      </w:r>
      <w:r w:rsidRPr="00F24D7B">
        <w:rPr>
          <w:szCs w:val="24"/>
        </w:rPr>
        <w:t>,</w:t>
      </w:r>
      <w:r w:rsidR="00A37422" w:rsidRPr="00F24D7B">
        <w:rPr>
          <w:szCs w:val="24"/>
        </w:rPr>
        <w:t xml:space="preserve"> </w:t>
      </w:r>
      <w:r w:rsidRPr="00F24D7B">
        <w:rPr>
          <w:szCs w:val="24"/>
        </w:rPr>
        <w:t>85</w:t>
      </w:r>
      <w:r w:rsidR="00A37422" w:rsidRPr="00F24D7B">
        <w:rPr>
          <w:szCs w:val="24"/>
        </w:rPr>
        <w:t>-й</w:t>
      </w:r>
      <w:r w:rsidRPr="00F24D7B">
        <w:rPr>
          <w:szCs w:val="24"/>
        </w:rPr>
        <w:t xml:space="preserve"> дни                                    </w:t>
      </w:r>
    </w:p>
    <w:p w14:paraId="5673D9F2" w14:textId="77777777" w:rsidR="00533FE8" w:rsidRPr="00705A41" w:rsidRDefault="00720E5F" w:rsidP="00533FE8">
      <w:pPr>
        <w:rPr>
          <w:szCs w:val="24"/>
        </w:rPr>
      </w:pPr>
      <w:r>
        <w:rPr>
          <w:noProof/>
          <w:szCs w:val="24"/>
        </w:rPr>
        <mc:AlternateContent>
          <mc:Choice Requires="wps">
            <w:drawing>
              <wp:anchor distT="0" distB="0" distL="114300" distR="114300" simplePos="0" relativeHeight="251641344" behindDoc="0" locked="0" layoutInCell="1" allowOverlap="1" wp14:anchorId="0BDEE515" wp14:editId="0107198B">
                <wp:simplePos x="0" y="0"/>
                <wp:positionH relativeFrom="column">
                  <wp:posOffset>1068705</wp:posOffset>
                </wp:positionH>
                <wp:positionV relativeFrom="paragraph">
                  <wp:posOffset>80645</wp:posOffset>
                </wp:positionV>
                <wp:extent cx="0" cy="228600"/>
                <wp:effectExtent l="63500" t="0" r="38100" b="25400"/>
                <wp:wrapNone/>
                <wp:docPr id="55" name="Line 28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41CC2B" id="Line 284" o:spid="_x0000_s1026" style="position:absolute;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4.15pt,6.35pt" to="84.15pt,2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">
                <v:stroke endarrow="block"/>
                <o:lock v:ext="edit" shapetype="f"/>
              </v:line>
            </w:pict>
          </mc:Fallback>
        </mc:AlternateContent>
      </w:r>
      <w:r w:rsidR="00533FE8" w:rsidRPr="00705A41">
        <w:rPr>
          <w:color w:val="000000"/>
          <w:szCs w:val="24"/>
        </w:rPr>
        <w:t xml:space="preserve">    </w:t>
      </w:r>
      <w:r>
        <w:rPr>
          <w:bCs/>
          <w:iCs/>
          <w:noProof/>
          <w:szCs w:val="24"/>
        </w:rPr>
        <mc:AlternateContent>
          <mc:Choice Requires="wps">
            <w:drawing>
              <wp:anchor distT="0" distB="0" distL="114300" distR="114300" simplePos="0" relativeHeight="251648512" behindDoc="0" locked="0" layoutInCell="1" allowOverlap="1" wp14:anchorId="086BA4D8" wp14:editId="249FA08E">
                <wp:simplePos x="0" y="0"/>
                <wp:positionH relativeFrom="column">
                  <wp:posOffset>4343400</wp:posOffset>
                </wp:positionH>
                <wp:positionV relativeFrom="paragraph">
                  <wp:posOffset>153035</wp:posOffset>
                </wp:positionV>
                <wp:extent cx="1600200" cy="1028700"/>
                <wp:effectExtent l="0" t="0" r="0" b="0"/>
                <wp:wrapNone/>
                <wp:docPr id="54" name="Text Box 2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600200" cy="1028700"/>
                        </a:xfrm>
                        <a:prstGeom prst="rect">
                          <a:avLst/>
                        </a:prstGeom>
                        <a:solidFill>
                          <a:srgbClr val="FFFFFF"/>
                        </a:solidFill>
                        <a:ln w="9525">
                          <a:solidFill>
                            <a:srgbClr val="000000"/>
                          </a:solidFill>
                          <a:miter lim="800000"/>
                          <a:headEnd/>
                          <a:tailEnd/>
                        </a:ln>
                      </wps:spPr>
                      <wps:txbx>
                        <w:txbxContent>
                          <w:p w14:paraId="64CFE804" w14:textId="77777777" w:rsidR="009E240E" w:rsidRPr="00705A41" w:rsidRDefault="009E240E" w:rsidP="00533FE8">
                            <w:r w:rsidRPr="00705A41">
                              <w:t>Модификация дозы меркаптопурина</w:t>
                            </w:r>
                            <w:r>
                              <w:t>**</w:t>
                            </w:r>
                            <w:r w:rsidRPr="00705A41">
                              <w:t xml:space="preserve"> в зависимости от уровня лейкоцитов и тромбоцитов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6BA4D8" id="Text Box 291" o:spid="_x0000_s1027" type="#_x0000_t202" style="position:absolute;left:0;text-align:left;margin-left:342pt;margin-top:12.05pt;width:126pt;height:81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">
                <v:path arrowok="t"/>
                <v:textbox>
                  <w:txbxContent>
                    <w:p w14:paraId="64CFE804" w14:textId="77777777" w:rsidR="009E240E" w:rsidRPr="00705A41" w:rsidRDefault="009E240E" w:rsidP="00533FE8">
                      <w:r w:rsidRPr="00705A41">
                        <w:t>Модификация дозы меркаптопурина</w:t>
                      </w:r>
                      <w:r>
                        <w:t>**</w:t>
                      </w:r>
                      <w:r w:rsidRPr="00705A41">
                        <w:t xml:space="preserve"> в зависимости от уровня лейкоцитов и тромбоцитов</w:t>
                      </w:r>
                    </w:p>
                  </w:txbxContent>
                </v:textbox>
              </v:shape>
            </w:pict>
          </mc:Fallback>
        </mc:AlternateContent>
      </w:r>
    </w:p>
    <w:p w14:paraId="357CF1C8" w14:textId="77777777" w:rsidR="00533FE8" w:rsidRPr="00705A41" w:rsidRDefault="00720E5F" w:rsidP="00533FE8">
      <w:pPr>
        <w:rPr>
          <w:b/>
          <w:bCs/>
          <w:i/>
          <w:iCs/>
          <w:szCs w:val="24"/>
        </w:rPr>
      </w:pPr>
      <w:r>
        <w:rPr>
          <w:b/>
          <w:bCs/>
          <w:i/>
          <w:iCs/>
          <w:noProof/>
          <w:szCs w:val="24"/>
        </w:rPr>
        <mc:AlternateContent>
          <mc:Choice Requires="wps">
            <w:drawing>
              <wp:anchor distT="0" distB="0" distL="114300" distR="114300" simplePos="0" relativeHeight="251650560" behindDoc="0" locked="0" layoutInCell="1" allowOverlap="1" wp14:anchorId="1ADF1B67" wp14:editId="7C2AF5E6">
                <wp:simplePos x="0" y="0"/>
                <wp:positionH relativeFrom="column">
                  <wp:posOffset>3505200</wp:posOffset>
                </wp:positionH>
                <wp:positionV relativeFrom="paragraph">
                  <wp:posOffset>99695</wp:posOffset>
                </wp:positionV>
                <wp:extent cx="342900" cy="712470"/>
                <wp:effectExtent l="0" t="0" r="0" b="0"/>
                <wp:wrapNone/>
                <wp:docPr id="53" name="AutoShape 2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42900" cy="712470"/>
                        </a:xfrm>
                        <a:prstGeom prst="rightBrace">
                          <a:avLst>
                            <a:gd name="adj1" fmla="val 17315"/>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B35F62C"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293" o:spid="_x0000_s1026" type="#_x0000_t88" style="position:absolute;margin-left:276pt;margin-top:7.85pt;width:27pt;height:56.1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"/>
            </w:pict>
          </mc:Fallback>
        </mc:AlternateContent>
      </w:r>
      <w:r w:rsidR="00A37422">
        <w:rPr>
          <w:b/>
          <w:bCs/>
          <w:i/>
          <w:iCs/>
          <w:szCs w:val="24"/>
        </w:rPr>
        <w:t xml:space="preserve">             Консолидация </w:t>
      </w:r>
      <w:r w:rsidR="00533FE8" w:rsidRPr="00705A41">
        <w:rPr>
          <w:b/>
          <w:bCs/>
          <w:i/>
          <w:iCs/>
          <w:szCs w:val="24"/>
          <w:lang w:val="en-US"/>
        </w:rPr>
        <w:t>II</w:t>
      </w:r>
    </w:p>
    <w:p w14:paraId="15544978" w14:textId="77777777" w:rsidR="00533FE8" w:rsidRPr="00F24D7B" w:rsidRDefault="00533FE8" w:rsidP="00FF4C81">
      <w:pPr>
        <w:pStyle w:val="afff3"/>
        <w:numPr>
          <w:ilvl w:val="0"/>
          <w:numId w:val="46"/>
        </w:numPr>
        <w:rPr>
          <w:szCs w:val="24"/>
        </w:rPr>
      </w:pPr>
      <w:r w:rsidRPr="00F24D7B">
        <w:rPr>
          <w:szCs w:val="24"/>
        </w:rPr>
        <w:t>Меркаптопурин</w:t>
      </w:r>
      <w:r w:rsidR="00714B4A" w:rsidRPr="00F24D7B">
        <w:rPr>
          <w:szCs w:val="24"/>
        </w:rPr>
        <w:t>**</w:t>
      </w:r>
      <w:r w:rsidRPr="00F24D7B">
        <w:rPr>
          <w:szCs w:val="24"/>
        </w:rPr>
        <w:t xml:space="preserve"> 50 мг/м²</w:t>
      </w:r>
      <w:r w:rsidR="00067484" w:rsidRPr="00F24D7B">
        <w:rPr>
          <w:szCs w:val="24"/>
        </w:rPr>
        <w:t xml:space="preserve">, </w:t>
      </w:r>
      <w:r w:rsidR="00A37422" w:rsidRPr="00F24D7B">
        <w:rPr>
          <w:szCs w:val="24"/>
        </w:rPr>
        <w:t>92–</w:t>
      </w:r>
      <w:r w:rsidRPr="00F24D7B">
        <w:rPr>
          <w:szCs w:val="24"/>
        </w:rPr>
        <w:t>105</w:t>
      </w:r>
      <w:r w:rsidR="00A37422" w:rsidRPr="00F24D7B">
        <w:rPr>
          <w:szCs w:val="24"/>
        </w:rPr>
        <w:t>-й</w:t>
      </w:r>
      <w:r w:rsidRPr="00F24D7B">
        <w:rPr>
          <w:szCs w:val="24"/>
        </w:rPr>
        <w:t xml:space="preserve"> дни</w:t>
      </w:r>
    </w:p>
    <w:p w14:paraId="075E008F" w14:textId="77777777" w:rsidR="00B42B8A" w:rsidRDefault="00714B4A" w:rsidP="00FF4C81">
      <w:pPr>
        <w:pStyle w:val="afff3"/>
        <w:numPr>
          <w:ilvl w:val="0"/>
          <w:numId w:val="46"/>
        </w:numPr>
        <w:rPr>
          <w:szCs w:val="24"/>
        </w:rPr>
      </w:pPr>
      <w:r w:rsidRPr="00F24D7B">
        <w:rPr>
          <w:szCs w:val="24"/>
        </w:rPr>
        <w:t>А</w:t>
      </w:r>
      <w:r w:rsidR="00533FE8" w:rsidRPr="00F24D7B">
        <w:rPr>
          <w:szCs w:val="24"/>
        </w:rPr>
        <w:t>спарагиназа</w:t>
      </w:r>
      <w:r w:rsidRPr="00F24D7B">
        <w:rPr>
          <w:szCs w:val="24"/>
        </w:rPr>
        <w:t>**</w:t>
      </w:r>
      <w:r w:rsidR="00533FE8" w:rsidRPr="00F24D7B">
        <w:rPr>
          <w:szCs w:val="24"/>
        </w:rPr>
        <w:t xml:space="preserve"> 10</w:t>
      </w:r>
      <w:r w:rsidR="00067484" w:rsidRPr="00F24D7B">
        <w:rPr>
          <w:szCs w:val="24"/>
          <w:lang w:val="en-US"/>
        </w:rPr>
        <w:t> </w:t>
      </w:r>
      <w:r w:rsidR="00533FE8" w:rsidRPr="00F24D7B">
        <w:rPr>
          <w:szCs w:val="24"/>
        </w:rPr>
        <w:t>000 ЕД/м²</w:t>
      </w:r>
      <w:r w:rsidR="00067484" w:rsidRPr="00F24D7B">
        <w:rPr>
          <w:szCs w:val="24"/>
        </w:rPr>
        <w:t>,</w:t>
      </w:r>
      <w:r w:rsidR="00533FE8" w:rsidRPr="00F24D7B">
        <w:rPr>
          <w:szCs w:val="24"/>
        </w:rPr>
        <w:t xml:space="preserve"> 92</w:t>
      </w:r>
      <w:r w:rsidR="00A37422" w:rsidRPr="00F24D7B">
        <w:rPr>
          <w:szCs w:val="24"/>
        </w:rPr>
        <w:t>-й</w:t>
      </w:r>
      <w:r w:rsidR="00533FE8" w:rsidRPr="00F24D7B">
        <w:rPr>
          <w:szCs w:val="24"/>
        </w:rPr>
        <w:t>,</w:t>
      </w:r>
      <w:r w:rsidR="00A37422" w:rsidRPr="00F24D7B">
        <w:rPr>
          <w:szCs w:val="24"/>
        </w:rPr>
        <w:t xml:space="preserve"> </w:t>
      </w:r>
      <w:r w:rsidR="00533FE8" w:rsidRPr="00F24D7B">
        <w:rPr>
          <w:szCs w:val="24"/>
        </w:rPr>
        <w:t>99</w:t>
      </w:r>
      <w:r w:rsidR="00A37422" w:rsidRPr="00F24D7B">
        <w:rPr>
          <w:szCs w:val="24"/>
        </w:rPr>
        <w:t>-й</w:t>
      </w:r>
      <w:r w:rsidR="00533FE8" w:rsidRPr="00F24D7B">
        <w:rPr>
          <w:szCs w:val="24"/>
        </w:rPr>
        <w:t xml:space="preserve"> дни</w:t>
      </w:r>
      <w:r w:rsidR="00B42B8A">
        <w:rPr>
          <w:szCs w:val="24"/>
        </w:rPr>
        <w:t xml:space="preserve"> </w:t>
      </w:r>
    </w:p>
    <w:p w14:paraId="5D9342D4" w14:textId="5DFCD5AE" w:rsidR="00533FE8" w:rsidRPr="00F24D7B" w:rsidRDefault="00B42B8A" w:rsidP="00B42B8A">
      <w:pPr>
        <w:pStyle w:val="afff3"/>
        <w:rPr>
          <w:szCs w:val="24"/>
        </w:rPr>
      </w:pPr>
      <w:r w:rsidRPr="00B42B8A">
        <w:rPr>
          <w:bCs/>
          <w:iCs/>
        </w:rPr>
        <w:t xml:space="preserve">или </w:t>
      </w:r>
      <w:r w:rsidR="00387A25">
        <w:rPr>
          <w:bCs/>
          <w:iCs/>
        </w:rPr>
        <w:t>пэг</w:t>
      </w:r>
      <w:r w:rsidR="00387A25" w:rsidRPr="009F500F">
        <w:rPr>
          <w:bCs/>
          <w:iCs/>
        </w:rPr>
        <w:t>аспарагаза</w:t>
      </w:r>
      <w:r w:rsidR="00387A25">
        <w:rPr>
          <w:bCs/>
          <w:iCs/>
        </w:rPr>
        <w:t xml:space="preserve"> </w:t>
      </w:r>
      <w:r>
        <w:rPr>
          <w:bCs/>
          <w:iCs/>
        </w:rPr>
        <w:t>** 1000 ЕД/м²   92-й</w:t>
      </w:r>
      <w:r w:rsidRPr="00B42B8A">
        <w:rPr>
          <w:bCs/>
          <w:iCs/>
        </w:rPr>
        <w:t xml:space="preserve"> день</w:t>
      </w:r>
    </w:p>
    <w:p w14:paraId="7577AEBB" w14:textId="77777777" w:rsidR="00533FE8" w:rsidRPr="00705A41" w:rsidRDefault="00720E5F" w:rsidP="00533FE8">
      <w:pPr>
        <w:rPr>
          <w:szCs w:val="24"/>
        </w:rPr>
      </w:pPr>
      <w:r>
        <w:rPr>
          <w:noProof/>
          <w:szCs w:val="24"/>
        </w:rPr>
        <mc:AlternateContent>
          <mc:Choice Requires="wps">
            <w:drawing>
              <wp:anchor distT="0" distB="0" distL="114300" distR="114300" simplePos="0" relativeHeight="251644416" behindDoc="0" locked="0" layoutInCell="1" allowOverlap="1" wp14:anchorId="172878F2" wp14:editId="06B4ABDE">
                <wp:simplePos x="0" y="0"/>
                <wp:positionH relativeFrom="column">
                  <wp:posOffset>1068705</wp:posOffset>
                </wp:positionH>
                <wp:positionV relativeFrom="paragraph">
                  <wp:posOffset>14605</wp:posOffset>
                </wp:positionV>
                <wp:extent cx="0" cy="228600"/>
                <wp:effectExtent l="63500" t="0" r="38100" b="25400"/>
                <wp:wrapNone/>
                <wp:docPr id="52" name="Line 28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246A7E" id="Line 287" o:spid="_x0000_s1026" style="position:absolute;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4.15pt,1.15pt" to="84.15pt,1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">
                <v:stroke endarrow="block"/>
                <o:lock v:ext="edit" shapetype="f"/>
              </v:line>
            </w:pict>
          </mc:Fallback>
        </mc:AlternateContent>
      </w:r>
    </w:p>
    <w:tbl>
      <w:tblPr>
        <w:tblpPr w:leftFromText="180" w:rightFromText="180" w:vertAnchor="text" w:horzAnchor="page" w:tblpX="7894" w:tblpY="248"/>
        <w:tblW w:w="36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88"/>
        <w:gridCol w:w="1260"/>
        <w:gridCol w:w="1204"/>
      </w:tblGrid>
      <w:tr w:rsidR="00533FE8" w:rsidRPr="00705A41" w14:paraId="225AB22C" w14:textId="77777777" w:rsidTr="00A37422">
        <w:trPr>
          <w:trHeight w:val="978"/>
        </w:trPr>
        <w:tc>
          <w:tcPr>
            <w:tcW w:w="1188" w:type="dxa"/>
          </w:tcPr>
          <w:p w14:paraId="0B773579" w14:textId="77777777" w:rsidR="00533FE8" w:rsidRPr="00A37422" w:rsidRDefault="00A37422" w:rsidP="00533FE8">
            <w:pPr>
              <w:rPr>
                <w:b/>
                <w:szCs w:val="24"/>
              </w:rPr>
            </w:pPr>
            <w:r w:rsidRPr="00A37422">
              <w:rPr>
                <w:b/>
                <w:szCs w:val="24"/>
              </w:rPr>
              <w:t>Ч</w:t>
            </w:r>
            <w:r w:rsidR="00533FE8" w:rsidRPr="00A37422">
              <w:rPr>
                <w:b/>
                <w:szCs w:val="24"/>
              </w:rPr>
              <w:t>исло лейкоцитов</w:t>
            </w:r>
          </w:p>
        </w:tc>
        <w:tc>
          <w:tcPr>
            <w:tcW w:w="1260" w:type="dxa"/>
          </w:tcPr>
          <w:p w14:paraId="774B080B" w14:textId="77777777" w:rsidR="00533FE8" w:rsidRPr="00A37422" w:rsidRDefault="00A37422" w:rsidP="00533FE8">
            <w:pPr>
              <w:rPr>
                <w:b/>
                <w:szCs w:val="24"/>
              </w:rPr>
            </w:pPr>
            <w:r w:rsidRPr="00A37422">
              <w:rPr>
                <w:b/>
                <w:szCs w:val="24"/>
              </w:rPr>
              <w:t>Ч</w:t>
            </w:r>
            <w:r w:rsidR="00533FE8" w:rsidRPr="00A37422">
              <w:rPr>
                <w:b/>
                <w:szCs w:val="24"/>
              </w:rPr>
              <w:t>исло тромбоцитов</w:t>
            </w:r>
          </w:p>
        </w:tc>
        <w:tc>
          <w:tcPr>
            <w:tcW w:w="1204" w:type="dxa"/>
          </w:tcPr>
          <w:p w14:paraId="14808AD4" w14:textId="77777777" w:rsidR="00533FE8" w:rsidRPr="00A37422" w:rsidRDefault="00A37422" w:rsidP="00533FE8">
            <w:pPr>
              <w:rPr>
                <w:b/>
                <w:szCs w:val="24"/>
              </w:rPr>
            </w:pPr>
            <w:r w:rsidRPr="00A37422">
              <w:rPr>
                <w:b/>
                <w:szCs w:val="24"/>
              </w:rPr>
              <w:t>Д</w:t>
            </w:r>
            <w:r w:rsidR="00533FE8" w:rsidRPr="00A37422">
              <w:rPr>
                <w:b/>
                <w:szCs w:val="24"/>
              </w:rPr>
              <w:t>оза меркаптопурина</w:t>
            </w:r>
            <w:r w:rsidR="00067484" w:rsidRPr="00A37422">
              <w:rPr>
                <w:b/>
                <w:szCs w:val="24"/>
              </w:rPr>
              <w:t>**</w:t>
            </w:r>
          </w:p>
        </w:tc>
      </w:tr>
      <w:tr w:rsidR="00533FE8" w:rsidRPr="00705A41" w14:paraId="2DBEFA2B" w14:textId="77777777" w:rsidTr="00A37422">
        <w:trPr>
          <w:trHeight w:val="204"/>
        </w:trPr>
        <w:tc>
          <w:tcPr>
            <w:tcW w:w="1188" w:type="dxa"/>
          </w:tcPr>
          <w:p w14:paraId="0C71FC95" w14:textId="77777777" w:rsidR="00533FE8" w:rsidRPr="00705A41" w:rsidRDefault="00A37422" w:rsidP="00533FE8">
            <w:pPr>
              <w:rPr>
                <w:szCs w:val="24"/>
              </w:rPr>
            </w:pPr>
            <w:r>
              <w:rPr>
                <w:szCs w:val="24"/>
              </w:rPr>
              <w:t>Б</w:t>
            </w:r>
            <w:r w:rsidR="00533FE8" w:rsidRPr="00705A41">
              <w:rPr>
                <w:szCs w:val="24"/>
              </w:rPr>
              <w:t>олее 2,0</w:t>
            </w:r>
            <w:r>
              <w:rPr>
                <w:szCs w:val="24"/>
              </w:rPr>
              <w:t xml:space="preserve"> × </w:t>
            </w:r>
            <w:r w:rsidR="00533FE8" w:rsidRPr="00705A41">
              <w:rPr>
                <w:szCs w:val="24"/>
              </w:rPr>
              <w:t>10</w:t>
            </w:r>
            <w:r w:rsidR="00533FE8" w:rsidRPr="00705A41">
              <w:rPr>
                <w:szCs w:val="24"/>
                <w:vertAlign w:val="superscript"/>
              </w:rPr>
              <w:t>9</w:t>
            </w:r>
            <w:r w:rsidR="00533FE8" w:rsidRPr="00705A41">
              <w:rPr>
                <w:szCs w:val="24"/>
              </w:rPr>
              <w:t>/л</w:t>
            </w:r>
          </w:p>
        </w:tc>
        <w:tc>
          <w:tcPr>
            <w:tcW w:w="1260" w:type="dxa"/>
          </w:tcPr>
          <w:p w14:paraId="0BF39542" w14:textId="77777777" w:rsidR="00533FE8" w:rsidRPr="00705A41" w:rsidRDefault="00A37422" w:rsidP="00533FE8">
            <w:pPr>
              <w:rPr>
                <w:szCs w:val="24"/>
              </w:rPr>
            </w:pPr>
            <w:r>
              <w:rPr>
                <w:szCs w:val="24"/>
              </w:rPr>
              <w:t>Б</w:t>
            </w:r>
            <w:r w:rsidR="00533FE8" w:rsidRPr="00705A41">
              <w:rPr>
                <w:szCs w:val="24"/>
              </w:rPr>
              <w:t>олее 100</w:t>
            </w:r>
            <w:r>
              <w:rPr>
                <w:szCs w:val="24"/>
              </w:rPr>
              <w:t xml:space="preserve"> × </w:t>
            </w:r>
            <w:r w:rsidR="00533FE8" w:rsidRPr="00705A41">
              <w:rPr>
                <w:szCs w:val="24"/>
              </w:rPr>
              <w:t>10</w:t>
            </w:r>
            <w:r w:rsidR="00533FE8" w:rsidRPr="00705A41">
              <w:rPr>
                <w:szCs w:val="24"/>
                <w:vertAlign w:val="superscript"/>
              </w:rPr>
              <w:t>9</w:t>
            </w:r>
            <w:r w:rsidR="00533FE8" w:rsidRPr="00705A41">
              <w:rPr>
                <w:szCs w:val="24"/>
              </w:rPr>
              <w:t>/л</w:t>
            </w:r>
          </w:p>
        </w:tc>
        <w:tc>
          <w:tcPr>
            <w:tcW w:w="1204" w:type="dxa"/>
          </w:tcPr>
          <w:p w14:paraId="1AB1B023" w14:textId="77777777" w:rsidR="00533FE8" w:rsidRPr="00705A41" w:rsidRDefault="00533FE8" w:rsidP="00533FE8">
            <w:pPr>
              <w:rPr>
                <w:szCs w:val="24"/>
              </w:rPr>
            </w:pPr>
            <w:r w:rsidRPr="00705A41">
              <w:rPr>
                <w:szCs w:val="24"/>
              </w:rPr>
              <w:t>100</w:t>
            </w:r>
            <w:r w:rsidR="00A37422">
              <w:rPr>
                <w:szCs w:val="24"/>
              </w:rPr>
              <w:t xml:space="preserve"> </w:t>
            </w:r>
            <w:r w:rsidRPr="00705A41">
              <w:rPr>
                <w:szCs w:val="24"/>
              </w:rPr>
              <w:t>% дозы</w:t>
            </w:r>
          </w:p>
        </w:tc>
      </w:tr>
      <w:tr w:rsidR="00533FE8" w:rsidRPr="00705A41" w14:paraId="05D9E5C9" w14:textId="77777777" w:rsidTr="00A37422">
        <w:trPr>
          <w:trHeight w:val="269"/>
        </w:trPr>
        <w:tc>
          <w:tcPr>
            <w:tcW w:w="1188" w:type="dxa"/>
          </w:tcPr>
          <w:p w14:paraId="12901A17" w14:textId="77777777" w:rsidR="00533FE8" w:rsidRPr="00705A41" w:rsidRDefault="00A37422" w:rsidP="00533FE8">
            <w:pPr>
              <w:rPr>
                <w:szCs w:val="24"/>
              </w:rPr>
            </w:pPr>
            <w:r>
              <w:rPr>
                <w:szCs w:val="24"/>
              </w:rPr>
              <w:t>О</w:t>
            </w:r>
            <w:r w:rsidR="00533FE8" w:rsidRPr="00705A41">
              <w:rPr>
                <w:szCs w:val="24"/>
              </w:rPr>
              <w:t>т 1,0</w:t>
            </w:r>
            <w:r>
              <w:rPr>
                <w:szCs w:val="24"/>
              </w:rPr>
              <w:t xml:space="preserve"> × </w:t>
            </w:r>
            <w:r w:rsidR="00533FE8" w:rsidRPr="00705A41">
              <w:rPr>
                <w:szCs w:val="24"/>
              </w:rPr>
              <w:t>10</w:t>
            </w:r>
            <w:r w:rsidR="00533FE8" w:rsidRPr="00705A41">
              <w:rPr>
                <w:szCs w:val="24"/>
                <w:vertAlign w:val="superscript"/>
              </w:rPr>
              <w:t>9</w:t>
            </w:r>
            <w:r w:rsidR="00533FE8" w:rsidRPr="00705A41">
              <w:rPr>
                <w:szCs w:val="24"/>
              </w:rPr>
              <w:t>/л до 2,0</w:t>
            </w:r>
            <w:r>
              <w:rPr>
                <w:szCs w:val="24"/>
              </w:rPr>
              <w:t xml:space="preserve"> × </w:t>
            </w:r>
            <w:r w:rsidR="00533FE8" w:rsidRPr="00705A41">
              <w:rPr>
                <w:szCs w:val="24"/>
              </w:rPr>
              <w:t>10</w:t>
            </w:r>
            <w:r w:rsidR="00533FE8" w:rsidRPr="00705A41">
              <w:rPr>
                <w:szCs w:val="24"/>
                <w:vertAlign w:val="superscript"/>
              </w:rPr>
              <w:t>9</w:t>
            </w:r>
            <w:r w:rsidR="00533FE8" w:rsidRPr="00705A41">
              <w:rPr>
                <w:szCs w:val="24"/>
              </w:rPr>
              <w:t>/л</w:t>
            </w:r>
          </w:p>
        </w:tc>
        <w:tc>
          <w:tcPr>
            <w:tcW w:w="1260" w:type="dxa"/>
          </w:tcPr>
          <w:p w14:paraId="3D45AF5C" w14:textId="77777777" w:rsidR="00533FE8" w:rsidRPr="00705A41" w:rsidRDefault="00A37422" w:rsidP="00533FE8">
            <w:pPr>
              <w:rPr>
                <w:szCs w:val="24"/>
              </w:rPr>
            </w:pPr>
            <w:r>
              <w:rPr>
                <w:szCs w:val="24"/>
              </w:rPr>
              <w:t xml:space="preserve">От 50 × </w:t>
            </w:r>
            <w:r w:rsidR="00533FE8" w:rsidRPr="00705A41">
              <w:rPr>
                <w:szCs w:val="24"/>
              </w:rPr>
              <w:t>10</w:t>
            </w:r>
            <w:r w:rsidR="00533FE8" w:rsidRPr="00705A41">
              <w:rPr>
                <w:szCs w:val="24"/>
                <w:vertAlign w:val="superscript"/>
              </w:rPr>
              <w:t>9</w:t>
            </w:r>
            <w:r w:rsidR="00533FE8" w:rsidRPr="00705A41">
              <w:rPr>
                <w:szCs w:val="24"/>
              </w:rPr>
              <w:t>/л до 100</w:t>
            </w:r>
            <w:r>
              <w:rPr>
                <w:szCs w:val="24"/>
              </w:rPr>
              <w:t xml:space="preserve"> × </w:t>
            </w:r>
            <w:r w:rsidR="00533FE8" w:rsidRPr="00705A41">
              <w:rPr>
                <w:szCs w:val="24"/>
              </w:rPr>
              <w:t>10</w:t>
            </w:r>
            <w:r w:rsidR="00533FE8" w:rsidRPr="00705A41">
              <w:rPr>
                <w:szCs w:val="24"/>
                <w:vertAlign w:val="superscript"/>
              </w:rPr>
              <w:t>9</w:t>
            </w:r>
            <w:r w:rsidR="00533FE8" w:rsidRPr="00705A41">
              <w:rPr>
                <w:szCs w:val="24"/>
              </w:rPr>
              <w:t>/л</w:t>
            </w:r>
          </w:p>
        </w:tc>
        <w:tc>
          <w:tcPr>
            <w:tcW w:w="1204" w:type="dxa"/>
          </w:tcPr>
          <w:p w14:paraId="35652F72" w14:textId="77777777" w:rsidR="00533FE8" w:rsidRPr="00705A41" w:rsidRDefault="00533FE8" w:rsidP="00533FE8">
            <w:pPr>
              <w:rPr>
                <w:szCs w:val="24"/>
              </w:rPr>
            </w:pPr>
            <w:r w:rsidRPr="00705A41">
              <w:rPr>
                <w:szCs w:val="24"/>
              </w:rPr>
              <w:t>50</w:t>
            </w:r>
            <w:r w:rsidR="00A37422">
              <w:rPr>
                <w:szCs w:val="24"/>
              </w:rPr>
              <w:t xml:space="preserve"> %</w:t>
            </w:r>
            <w:r w:rsidRPr="00705A41">
              <w:rPr>
                <w:szCs w:val="24"/>
              </w:rPr>
              <w:t xml:space="preserve"> дозы</w:t>
            </w:r>
          </w:p>
        </w:tc>
      </w:tr>
      <w:tr w:rsidR="00533FE8" w:rsidRPr="00705A41" w14:paraId="48189C8C" w14:textId="77777777" w:rsidTr="00A37422">
        <w:trPr>
          <w:trHeight w:val="114"/>
        </w:trPr>
        <w:tc>
          <w:tcPr>
            <w:tcW w:w="1188" w:type="dxa"/>
          </w:tcPr>
          <w:p w14:paraId="1350FA6F" w14:textId="77777777" w:rsidR="00533FE8" w:rsidRPr="00705A41" w:rsidRDefault="00A37422" w:rsidP="00533FE8">
            <w:pPr>
              <w:rPr>
                <w:szCs w:val="24"/>
              </w:rPr>
            </w:pPr>
            <w:r>
              <w:rPr>
                <w:szCs w:val="24"/>
              </w:rPr>
              <w:t xml:space="preserve">Менее 1,0 × </w:t>
            </w:r>
            <w:r w:rsidR="00533FE8" w:rsidRPr="00705A41">
              <w:rPr>
                <w:szCs w:val="24"/>
              </w:rPr>
              <w:t>10</w:t>
            </w:r>
            <w:r w:rsidR="00533FE8" w:rsidRPr="00705A41">
              <w:rPr>
                <w:szCs w:val="24"/>
                <w:vertAlign w:val="superscript"/>
              </w:rPr>
              <w:t>9</w:t>
            </w:r>
            <w:r w:rsidR="00533FE8" w:rsidRPr="00705A41">
              <w:rPr>
                <w:szCs w:val="24"/>
              </w:rPr>
              <w:t>/л</w:t>
            </w:r>
          </w:p>
        </w:tc>
        <w:tc>
          <w:tcPr>
            <w:tcW w:w="1260" w:type="dxa"/>
          </w:tcPr>
          <w:p w14:paraId="24A42075" w14:textId="77777777" w:rsidR="00533FE8" w:rsidRPr="00705A41" w:rsidRDefault="00A37422" w:rsidP="00533FE8">
            <w:pPr>
              <w:rPr>
                <w:szCs w:val="24"/>
              </w:rPr>
            </w:pPr>
            <w:r>
              <w:rPr>
                <w:szCs w:val="24"/>
              </w:rPr>
              <w:t xml:space="preserve">Менее 50 × </w:t>
            </w:r>
            <w:r w:rsidR="00533FE8" w:rsidRPr="00705A41">
              <w:rPr>
                <w:szCs w:val="24"/>
              </w:rPr>
              <w:t>10</w:t>
            </w:r>
            <w:r w:rsidR="00533FE8" w:rsidRPr="00705A41">
              <w:rPr>
                <w:szCs w:val="24"/>
                <w:vertAlign w:val="superscript"/>
              </w:rPr>
              <w:t>9</w:t>
            </w:r>
            <w:r w:rsidR="00533FE8" w:rsidRPr="00705A41">
              <w:rPr>
                <w:szCs w:val="24"/>
              </w:rPr>
              <w:t>/л</w:t>
            </w:r>
          </w:p>
        </w:tc>
        <w:tc>
          <w:tcPr>
            <w:tcW w:w="1204" w:type="dxa"/>
          </w:tcPr>
          <w:p w14:paraId="477E01D1" w14:textId="77777777" w:rsidR="00533FE8" w:rsidRPr="00705A41" w:rsidRDefault="00533FE8" w:rsidP="00533FE8">
            <w:pPr>
              <w:rPr>
                <w:szCs w:val="24"/>
              </w:rPr>
            </w:pPr>
            <w:r w:rsidRPr="00705A41">
              <w:rPr>
                <w:szCs w:val="24"/>
              </w:rPr>
              <w:t>0</w:t>
            </w:r>
            <w:r w:rsidR="00A37422">
              <w:rPr>
                <w:szCs w:val="24"/>
              </w:rPr>
              <w:t xml:space="preserve"> </w:t>
            </w:r>
            <w:r w:rsidRPr="00705A41">
              <w:rPr>
                <w:szCs w:val="24"/>
              </w:rPr>
              <w:t>%</w:t>
            </w:r>
          </w:p>
        </w:tc>
      </w:tr>
    </w:tbl>
    <w:p w14:paraId="733A76BB" w14:textId="77777777" w:rsidR="00533FE8" w:rsidRPr="00705A41" w:rsidRDefault="00720E5F" w:rsidP="00533FE8">
      <w:pPr>
        <w:rPr>
          <w:b/>
          <w:bCs/>
          <w:i/>
          <w:iCs/>
          <w:szCs w:val="24"/>
        </w:rPr>
      </w:pPr>
      <w:r>
        <w:rPr>
          <w:b/>
          <w:noProof/>
          <w:color w:val="000080"/>
          <w:szCs w:val="24"/>
        </w:rPr>
        <mc:AlternateContent>
          <mc:Choice Requires="wps">
            <w:drawing>
              <wp:anchor distT="0" distB="0" distL="114300" distR="114300" simplePos="0" relativeHeight="251652608" behindDoc="0" locked="0" layoutInCell="1" allowOverlap="1" wp14:anchorId="5C320FDB" wp14:editId="079724D8">
                <wp:simplePos x="0" y="0"/>
                <wp:positionH relativeFrom="column">
                  <wp:posOffset>3672205</wp:posOffset>
                </wp:positionH>
                <wp:positionV relativeFrom="paragraph">
                  <wp:posOffset>42545</wp:posOffset>
                </wp:positionV>
                <wp:extent cx="342900" cy="1676400"/>
                <wp:effectExtent l="0" t="0" r="0" b="0"/>
                <wp:wrapNone/>
                <wp:docPr id="51" name="AutoShape 2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42900" cy="1676400"/>
                        </a:xfrm>
                        <a:prstGeom prst="rightBrace">
                          <a:avLst>
                            <a:gd name="adj1" fmla="val 40741"/>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543FBC" id="AutoShape 295" o:spid="_x0000_s1026" type="#_x0000_t88" style="position:absolute;margin-left:289.15pt;margin-top:3.35pt;width:27pt;height:132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"/>
            </w:pict>
          </mc:Fallback>
        </mc:AlternateContent>
      </w:r>
      <w:r>
        <w:rPr>
          <w:noProof/>
          <w:szCs w:val="24"/>
        </w:rPr>
        <mc:AlternateContent>
          <mc:Choice Requires="wps">
            <w:drawing>
              <wp:anchor distT="0" distB="0" distL="114300" distR="114300" simplePos="0" relativeHeight="251647488" behindDoc="0" locked="0" layoutInCell="1" allowOverlap="1" wp14:anchorId="4C6D359B" wp14:editId="14AE4B8F">
                <wp:simplePos x="0" y="0"/>
                <wp:positionH relativeFrom="column">
                  <wp:posOffset>5143500</wp:posOffset>
                </wp:positionH>
                <wp:positionV relativeFrom="paragraph">
                  <wp:posOffset>42545</wp:posOffset>
                </wp:positionV>
                <wp:extent cx="0" cy="114300"/>
                <wp:effectExtent l="63500" t="0" r="25400" b="25400"/>
                <wp:wrapNone/>
                <wp:docPr id="50" name="Line 29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11514D" id="Line 290" o:spid="_x0000_s1026" style="position:absolute;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5pt,3.35pt" to="405pt,1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">
                <v:stroke endarrow="block"/>
                <o:lock v:ext="edit" shapetype="f"/>
              </v:line>
            </w:pict>
          </mc:Fallback>
        </mc:AlternateContent>
      </w:r>
      <w:r w:rsidR="00533FE8" w:rsidRPr="00705A41">
        <w:rPr>
          <w:b/>
          <w:bCs/>
          <w:i/>
          <w:iCs/>
          <w:szCs w:val="24"/>
        </w:rPr>
        <w:t xml:space="preserve">             Конс</w:t>
      </w:r>
      <w:r w:rsidR="00A37422">
        <w:rPr>
          <w:b/>
          <w:bCs/>
          <w:i/>
          <w:iCs/>
          <w:szCs w:val="24"/>
        </w:rPr>
        <w:t xml:space="preserve">олидация </w:t>
      </w:r>
      <w:r w:rsidR="00533FE8" w:rsidRPr="00705A41">
        <w:rPr>
          <w:b/>
          <w:bCs/>
          <w:i/>
          <w:iCs/>
          <w:szCs w:val="24"/>
          <w:lang w:val="en-US"/>
        </w:rPr>
        <w:t>III</w:t>
      </w:r>
    </w:p>
    <w:p w14:paraId="24E9D5E7" w14:textId="77777777" w:rsidR="00533FE8" w:rsidRPr="00F24D7B" w:rsidRDefault="00533FE8" w:rsidP="00FF4C81">
      <w:pPr>
        <w:pStyle w:val="afff3"/>
        <w:numPr>
          <w:ilvl w:val="0"/>
          <w:numId w:val="45"/>
        </w:numPr>
        <w:rPr>
          <w:szCs w:val="24"/>
        </w:rPr>
      </w:pPr>
      <w:r w:rsidRPr="00F24D7B">
        <w:rPr>
          <w:szCs w:val="24"/>
        </w:rPr>
        <w:t>Меркаптопурин</w:t>
      </w:r>
      <w:r w:rsidR="00714B4A" w:rsidRPr="00F24D7B">
        <w:rPr>
          <w:szCs w:val="24"/>
        </w:rPr>
        <w:t>**</w:t>
      </w:r>
      <w:r w:rsidRPr="00F24D7B">
        <w:rPr>
          <w:szCs w:val="24"/>
        </w:rPr>
        <w:t xml:space="preserve"> 25 мг/м²</w:t>
      </w:r>
      <w:r w:rsidR="00067484" w:rsidRPr="00F24D7B">
        <w:rPr>
          <w:szCs w:val="24"/>
        </w:rPr>
        <w:t>,</w:t>
      </w:r>
      <w:r w:rsidR="00A37422" w:rsidRPr="00F24D7B">
        <w:rPr>
          <w:szCs w:val="24"/>
        </w:rPr>
        <w:t xml:space="preserve"> 106–</w:t>
      </w:r>
      <w:r w:rsidRPr="00F24D7B">
        <w:rPr>
          <w:szCs w:val="24"/>
        </w:rPr>
        <w:t>133</w:t>
      </w:r>
      <w:r w:rsidR="00A37422" w:rsidRPr="00F24D7B">
        <w:rPr>
          <w:szCs w:val="24"/>
        </w:rPr>
        <w:t>-й</w:t>
      </w:r>
      <w:r w:rsidRPr="00F24D7B">
        <w:rPr>
          <w:szCs w:val="24"/>
        </w:rPr>
        <w:t xml:space="preserve"> дни</w:t>
      </w:r>
    </w:p>
    <w:p w14:paraId="39BFBD09" w14:textId="77777777" w:rsidR="00533FE8" w:rsidRPr="00F24D7B" w:rsidRDefault="004C2C6A" w:rsidP="00FF4C81">
      <w:pPr>
        <w:pStyle w:val="afff3"/>
        <w:numPr>
          <w:ilvl w:val="0"/>
          <w:numId w:val="45"/>
        </w:numPr>
        <w:rPr>
          <w:szCs w:val="24"/>
        </w:rPr>
      </w:pPr>
      <w:r w:rsidRPr="00F24D7B">
        <w:rPr>
          <w:szCs w:val="24"/>
        </w:rPr>
        <w:t>Циклофосфамид**</w:t>
      </w:r>
      <w:r w:rsidR="00533FE8" w:rsidRPr="00F24D7B">
        <w:rPr>
          <w:szCs w:val="24"/>
        </w:rPr>
        <w:t xml:space="preserve"> 1000 мг/м²</w:t>
      </w:r>
      <w:r w:rsidR="00067484" w:rsidRPr="00F24D7B">
        <w:rPr>
          <w:szCs w:val="24"/>
        </w:rPr>
        <w:t>,</w:t>
      </w:r>
      <w:r w:rsidR="00533FE8" w:rsidRPr="00F24D7B">
        <w:rPr>
          <w:szCs w:val="24"/>
        </w:rPr>
        <w:t xml:space="preserve"> 106</w:t>
      </w:r>
      <w:r w:rsidR="00A37422" w:rsidRPr="00F24D7B">
        <w:rPr>
          <w:szCs w:val="24"/>
        </w:rPr>
        <w:t>-й</w:t>
      </w:r>
      <w:r w:rsidR="00533FE8" w:rsidRPr="00F24D7B">
        <w:rPr>
          <w:szCs w:val="24"/>
        </w:rPr>
        <w:t xml:space="preserve"> день</w:t>
      </w:r>
    </w:p>
    <w:p w14:paraId="0BC3CC01" w14:textId="77777777" w:rsidR="00533FE8" w:rsidRPr="00F24D7B" w:rsidRDefault="00421699" w:rsidP="00FF4C81">
      <w:pPr>
        <w:pStyle w:val="afff3"/>
        <w:numPr>
          <w:ilvl w:val="0"/>
          <w:numId w:val="45"/>
        </w:numPr>
        <w:rPr>
          <w:szCs w:val="24"/>
        </w:rPr>
      </w:pPr>
      <w:r w:rsidRPr="00F24D7B">
        <w:rPr>
          <w:szCs w:val="24"/>
        </w:rPr>
        <w:t>Цитарабин**</w:t>
      </w:r>
      <w:r w:rsidR="00533FE8" w:rsidRPr="00F24D7B">
        <w:rPr>
          <w:szCs w:val="24"/>
        </w:rPr>
        <w:t xml:space="preserve"> 75 мг/м²</w:t>
      </w:r>
      <w:r w:rsidR="00067484" w:rsidRPr="00F24D7B">
        <w:rPr>
          <w:szCs w:val="24"/>
        </w:rPr>
        <w:t>,</w:t>
      </w:r>
      <w:r w:rsidR="00A37422" w:rsidRPr="00F24D7B">
        <w:rPr>
          <w:szCs w:val="24"/>
        </w:rPr>
        <w:t xml:space="preserve"> 108–</w:t>
      </w:r>
      <w:r w:rsidR="00533FE8" w:rsidRPr="00F24D7B">
        <w:rPr>
          <w:szCs w:val="24"/>
        </w:rPr>
        <w:t>111</w:t>
      </w:r>
      <w:r w:rsidR="00A37422" w:rsidRPr="00F24D7B">
        <w:rPr>
          <w:szCs w:val="24"/>
        </w:rPr>
        <w:t>-й</w:t>
      </w:r>
      <w:r w:rsidR="00533FE8" w:rsidRPr="00F24D7B">
        <w:rPr>
          <w:szCs w:val="24"/>
        </w:rPr>
        <w:t>,</w:t>
      </w:r>
      <w:r w:rsidR="00A37422" w:rsidRPr="00F24D7B">
        <w:rPr>
          <w:szCs w:val="24"/>
        </w:rPr>
        <w:t xml:space="preserve"> 122–</w:t>
      </w:r>
      <w:r w:rsidR="00533FE8" w:rsidRPr="00F24D7B">
        <w:rPr>
          <w:szCs w:val="24"/>
        </w:rPr>
        <w:t>125</w:t>
      </w:r>
      <w:r w:rsidR="00A37422" w:rsidRPr="00F24D7B">
        <w:rPr>
          <w:szCs w:val="24"/>
        </w:rPr>
        <w:t>-й</w:t>
      </w:r>
      <w:r w:rsidR="00533FE8" w:rsidRPr="00F24D7B">
        <w:rPr>
          <w:szCs w:val="24"/>
        </w:rPr>
        <w:t xml:space="preserve"> дни</w:t>
      </w:r>
    </w:p>
    <w:p w14:paraId="293B24F7" w14:textId="717E706B" w:rsidR="00533FE8" w:rsidRPr="009F500F" w:rsidRDefault="00533FE8" w:rsidP="00B42B8A">
      <w:pPr>
        <w:pStyle w:val="afff3"/>
        <w:numPr>
          <w:ilvl w:val="0"/>
          <w:numId w:val="45"/>
        </w:numPr>
        <w:rPr>
          <w:b/>
          <w:bCs/>
          <w:i/>
          <w:iCs/>
          <w:szCs w:val="24"/>
        </w:rPr>
      </w:pPr>
      <w:r w:rsidRPr="009F500F">
        <w:rPr>
          <w:szCs w:val="24"/>
        </w:rPr>
        <w:t>Аспарагиназа</w:t>
      </w:r>
      <w:r w:rsidR="00714B4A" w:rsidRPr="009F500F">
        <w:rPr>
          <w:szCs w:val="24"/>
        </w:rPr>
        <w:t>**</w:t>
      </w:r>
      <w:r w:rsidRPr="009F500F">
        <w:rPr>
          <w:szCs w:val="24"/>
        </w:rPr>
        <w:t xml:space="preserve"> 10</w:t>
      </w:r>
      <w:r w:rsidR="00067484" w:rsidRPr="009F500F">
        <w:rPr>
          <w:szCs w:val="24"/>
        </w:rPr>
        <w:t> </w:t>
      </w:r>
      <w:r w:rsidRPr="009F500F">
        <w:rPr>
          <w:szCs w:val="24"/>
        </w:rPr>
        <w:t>000 ЕД</w:t>
      </w:r>
      <w:r w:rsidRPr="009F500F">
        <w:rPr>
          <w:bCs/>
          <w:iCs/>
          <w:szCs w:val="24"/>
        </w:rPr>
        <w:t>/м²</w:t>
      </w:r>
      <w:r w:rsidR="00067484" w:rsidRPr="009F500F">
        <w:rPr>
          <w:bCs/>
          <w:iCs/>
          <w:szCs w:val="24"/>
        </w:rPr>
        <w:t>,</w:t>
      </w:r>
      <w:r w:rsidRPr="009F500F">
        <w:rPr>
          <w:bCs/>
          <w:iCs/>
          <w:szCs w:val="24"/>
        </w:rPr>
        <w:t xml:space="preserve"> </w:t>
      </w:r>
      <w:r w:rsidR="00067484" w:rsidRPr="009F500F">
        <w:rPr>
          <w:bCs/>
          <w:iCs/>
          <w:szCs w:val="24"/>
        </w:rPr>
        <w:t>1</w:t>
      </w:r>
      <w:r w:rsidRPr="009F500F">
        <w:rPr>
          <w:bCs/>
          <w:iCs/>
          <w:szCs w:val="24"/>
        </w:rPr>
        <w:t>13</w:t>
      </w:r>
      <w:r w:rsidR="00A37422" w:rsidRPr="009F500F">
        <w:rPr>
          <w:bCs/>
          <w:iCs/>
          <w:szCs w:val="24"/>
        </w:rPr>
        <w:t>-й</w:t>
      </w:r>
      <w:r w:rsidRPr="009F500F">
        <w:rPr>
          <w:bCs/>
          <w:iCs/>
          <w:szCs w:val="24"/>
        </w:rPr>
        <w:t>,</w:t>
      </w:r>
      <w:r w:rsidR="00A37422" w:rsidRPr="009F500F">
        <w:rPr>
          <w:bCs/>
          <w:iCs/>
          <w:szCs w:val="24"/>
        </w:rPr>
        <w:t xml:space="preserve"> </w:t>
      </w:r>
      <w:r w:rsidRPr="009F500F">
        <w:rPr>
          <w:bCs/>
          <w:iCs/>
          <w:szCs w:val="24"/>
        </w:rPr>
        <w:t>127</w:t>
      </w:r>
      <w:r w:rsidR="00A37422" w:rsidRPr="009F500F">
        <w:rPr>
          <w:bCs/>
          <w:iCs/>
          <w:szCs w:val="24"/>
        </w:rPr>
        <w:t>-й</w:t>
      </w:r>
      <w:r w:rsidRPr="009F500F">
        <w:rPr>
          <w:bCs/>
          <w:iCs/>
          <w:szCs w:val="24"/>
        </w:rPr>
        <w:t xml:space="preserve"> дни</w:t>
      </w:r>
      <w:r w:rsidR="00B42B8A" w:rsidRPr="009F500F">
        <w:rPr>
          <w:bCs/>
          <w:iCs/>
          <w:szCs w:val="24"/>
        </w:rPr>
        <w:t xml:space="preserve"> </w:t>
      </w:r>
      <w:r w:rsidR="00B42B8A" w:rsidRPr="009F500F">
        <w:rPr>
          <w:bCs/>
          <w:iCs/>
        </w:rPr>
        <w:t xml:space="preserve">или </w:t>
      </w:r>
      <w:r w:rsidR="00387A25">
        <w:rPr>
          <w:bCs/>
          <w:iCs/>
        </w:rPr>
        <w:t>пэг</w:t>
      </w:r>
      <w:r w:rsidR="00387A25" w:rsidRPr="009F500F">
        <w:rPr>
          <w:bCs/>
          <w:iCs/>
        </w:rPr>
        <w:t xml:space="preserve">аспарагаза </w:t>
      </w:r>
      <w:r w:rsidR="00B42B8A" w:rsidRPr="009F500F">
        <w:rPr>
          <w:bCs/>
          <w:iCs/>
        </w:rPr>
        <w:t>** 1000 ЕД/м²   113-й день</w:t>
      </w:r>
    </w:p>
    <w:p w14:paraId="5D05EDD2" w14:textId="77777777" w:rsidR="00533FE8" w:rsidRPr="00705A41" w:rsidRDefault="00720E5F" w:rsidP="00533FE8">
      <w:pPr>
        <w:rPr>
          <w:szCs w:val="24"/>
        </w:rPr>
      </w:pPr>
      <w:r>
        <w:rPr>
          <w:noProof/>
          <w:szCs w:val="24"/>
        </w:rPr>
        <mc:AlternateContent>
          <mc:Choice Requires="wps">
            <w:drawing>
              <wp:anchor distT="0" distB="0" distL="114300" distR="114300" simplePos="0" relativeHeight="251643392" behindDoc="0" locked="0" layoutInCell="1" allowOverlap="1" wp14:anchorId="7D957507" wp14:editId="69B783B4">
                <wp:simplePos x="0" y="0"/>
                <wp:positionH relativeFrom="column">
                  <wp:posOffset>1042670</wp:posOffset>
                </wp:positionH>
                <wp:positionV relativeFrom="paragraph">
                  <wp:posOffset>101600</wp:posOffset>
                </wp:positionV>
                <wp:extent cx="0" cy="228600"/>
                <wp:effectExtent l="63500" t="0" r="38100" b="25400"/>
                <wp:wrapNone/>
                <wp:docPr id="49" name="Line 28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B4366D" id="Line 286" o:spid="_x0000_s1026" style="position:absolute;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2.1pt,8pt" to="82.1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">
                <v:stroke endarrow="block"/>
                <o:lock v:ext="edit" shapetype="f"/>
              </v:line>
            </w:pict>
          </mc:Fallback>
        </mc:AlternateContent>
      </w:r>
    </w:p>
    <w:p w14:paraId="4781862D" w14:textId="77777777" w:rsidR="00533FE8" w:rsidRPr="00705A41" w:rsidRDefault="00533FE8" w:rsidP="00533FE8">
      <w:pPr>
        <w:rPr>
          <w:szCs w:val="24"/>
        </w:rPr>
      </w:pPr>
      <w:r w:rsidRPr="00705A41">
        <w:rPr>
          <w:b/>
          <w:color w:val="000080"/>
          <w:szCs w:val="24"/>
        </w:rPr>
        <w:t xml:space="preserve">             </w:t>
      </w:r>
      <w:r w:rsidR="00A37422">
        <w:rPr>
          <w:b/>
          <w:bCs/>
          <w:i/>
          <w:iCs/>
          <w:szCs w:val="24"/>
        </w:rPr>
        <w:t xml:space="preserve">Консолидация </w:t>
      </w:r>
      <w:r w:rsidRPr="00705A41">
        <w:rPr>
          <w:b/>
          <w:bCs/>
          <w:i/>
          <w:iCs/>
          <w:szCs w:val="24"/>
          <w:lang w:val="en-US"/>
        </w:rPr>
        <w:t>IV</w:t>
      </w:r>
    </w:p>
    <w:p w14:paraId="4F0553F9" w14:textId="77777777" w:rsidR="00533FE8" w:rsidRPr="00F24D7B" w:rsidRDefault="00533FE8" w:rsidP="00FF4C81">
      <w:pPr>
        <w:pStyle w:val="afff3"/>
        <w:numPr>
          <w:ilvl w:val="0"/>
          <w:numId w:val="44"/>
        </w:numPr>
        <w:rPr>
          <w:bCs/>
          <w:iCs/>
          <w:szCs w:val="24"/>
        </w:rPr>
      </w:pPr>
      <w:r w:rsidRPr="00F24D7B">
        <w:rPr>
          <w:bCs/>
          <w:iCs/>
          <w:szCs w:val="24"/>
        </w:rPr>
        <w:t>Метотрексат</w:t>
      </w:r>
      <w:r w:rsidR="00392AAF" w:rsidRPr="00F24D7B">
        <w:rPr>
          <w:bCs/>
          <w:iCs/>
          <w:szCs w:val="24"/>
        </w:rPr>
        <w:t>**</w:t>
      </w:r>
      <w:r w:rsidRPr="00F24D7B">
        <w:rPr>
          <w:bCs/>
          <w:iCs/>
          <w:szCs w:val="24"/>
        </w:rPr>
        <w:t xml:space="preserve"> 1,5 г/м</w:t>
      </w:r>
      <w:r w:rsidRPr="00F24D7B">
        <w:rPr>
          <w:bCs/>
          <w:iCs/>
          <w:szCs w:val="24"/>
          <w:vertAlign w:val="superscript"/>
        </w:rPr>
        <w:t>2</w:t>
      </w:r>
      <w:r w:rsidR="00F24D7B">
        <w:rPr>
          <w:bCs/>
          <w:iCs/>
          <w:szCs w:val="24"/>
        </w:rPr>
        <w:t xml:space="preserve"> (в течение 24 ч</w:t>
      </w:r>
      <w:r w:rsidRPr="00F24D7B">
        <w:rPr>
          <w:bCs/>
          <w:iCs/>
          <w:szCs w:val="24"/>
        </w:rPr>
        <w:t>)</w:t>
      </w:r>
      <w:r w:rsidR="00FE233A" w:rsidRPr="00F24D7B">
        <w:rPr>
          <w:bCs/>
          <w:iCs/>
          <w:szCs w:val="24"/>
        </w:rPr>
        <w:t>,</w:t>
      </w:r>
      <w:r w:rsidRPr="00F24D7B">
        <w:rPr>
          <w:bCs/>
          <w:iCs/>
          <w:szCs w:val="24"/>
        </w:rPr>
        <w:t xml:space="preserve"> 134</w:t>
      </w:r>
      <w:r w:rsidR="00A37422" w:rsidRPr="00F24D7B">
        <w:rPr>
          <w:bCs/>
          <w:iCs/>
          <w:szCs w:val="24"/>
        </w:rPr>
        <w:t>-й</w:t>
      </w:r>
      <w:r w:rsidRPr="00F24D7B">
        <w:rPr>
          <w:bCs/>
          <w:iCs/>
          <w:szCs w:val="24"/>
        </w:rPr>
        <w:t xml:space="preserve"> день</w:t>
      </w:r>
    </w:p>
    <w:p w14:paraId="1A735951" w14:textId="77777777" w:rsidR="00533FE8" w:rsidRPr="00F24D7B" w:rsidRDefault="00533FE8" w:rsidP="00FF4C81">
      <w:pPr>
        <w:pStyle w:val="afff3"/>
        <w:numPr>
          <w:ilvl w:val="0"/>
          <w:numId w:val="44"/>
        </w:numPr>
        <w:rPr>
          <w:bCs/>
          <w:iCs/>
          <w:szCs w:val="24"/>
        </w:rPr>
      </w:pPr>
      <w:r w:rsidRPr="00F24D7B">
        <w:rPr>
          <w:bCs/>
          <w:iCs/>
          <w:szCs w:val="24"/>
        </w:rPr>
        <w:t>Дексаметазон</w:t>
      </w:r>
      <w:r w:rsidR="006F5D03" w:rsidRPr="00F24D7B">
        <w:rPr>
          <w:bCs/>
          <w:iCs/>
          <w:szCs w:val="24"/>
        </w:rPr>
        <w:t>**</w:t>
      </w:r>
      <w:r w:rsidRPr="00F24D7B">
        <w:rPr>
          <w:bCs/>
          <w:iCs/>
          <w:szCs w:val="24"/>
        </w:rPr>
        <w:t xml:space="preserve"> 30 мг/м</w:t>
      </w:r>
      <w:r w:rsidRPr="00F24D7B">
        <w:rPr>
          <w:bCs/>
          <w:iCs/>
          <w:szCs w:val="24"/>
          <w:vertAlign w:val="superscript"/>
        </w:rPr>
        <w:t>2</w:t>
      </w:r>
      <w:r w:rsidR="00FE233A" w:rsidRPr="00F24D7B">
        <w:rPr>
          <w:bCs/>
          <w:iCs/>
          <w:szCs w:val="24"/>
        </w:rPr>
        <w:t>,</w:t>
      </w:r>
      <w:r w:rsidR="00A37422" w:rsidRPr="00F24D7B">
        <w:rPr>
          <w:bCs/>
          <w:iCs/>
          <w:szCs w:val="24"/>
        </w:rPr>
        <w:t xml:space="preserve"> 134–</w:t>
      </w:r>
      <w:r w:rsidRPr="00F24D7B">
        <w:rPr>
          <w:bCs/>
          <w:iCs/>
          <w:szCs w:val="24"/>
        </w:rPr>
        <w:t>136</w:t>
      </w:r>
      <w:r w:rsidR="00A37422" w:rsidRPr="00F24D7B">
        <w:rPr>
          <w:bCs/>
          <w:iCs/>
          <w:szCs w:val="24"/>
        </w:rPr>
        <w:t>-й</w:t>
      </w:r>
      <w:r w:rsidRPr="00F24D7B">
        <w:rPr>
          <w:bCs/>
          <w:iCs/>
          <w:szCs w:val="24"/>
        </w:rPr>
        <w:t xml:space="preserve"> дни</w:t>
      </w:r>
    </w:p>
    <w:p w14:paraId="56363471" w14:textId="5EEC5A35" w:rsidR="00533FE8" w:rsidRPr="009F500F" w:rsidRDefault="00533FE8" w:rsidP="00FF4C81">
      <w:pPr>
        <w:pStyle w:val="afff3"/>
        <w:numPr>
          <w:ilvl w:val="0"/>
          <w:numId w:val="44"/>
        </w:numPr>
        <w:rPr>
          <w:bCs/>
          <w:iCs/>
          <w:szCs w:val="24"/>
        </w:rPr>
      </w:pPr>
      <w:r w:rsidRPr="009F500F">
        <w:rPr>
          <w:szCs w:val="24"/>
        </w:rPr>
        <w:t>Аспарагиназа</w:t>
      </w:r>
      <w:r w:rsidR="00714B4A" w:rsidRPr="009F500F">
        <w:rPr>
          <w:szCs w:val="24"/>
        </w:rPr>
        <w:t>**</w:t>
      </w:r>
      <w:r w:rsidRPr="009F500F">
        <w:rPr>
          <w:szCs w:val="24"/>
        </w:rPr>
        <w:t xml:space="preserve"> 10</w:t>
      </w:r>
      <w:r w:rsidR="00FE233A" w:rsidRPr="009F500F">
        <w:rPr>
          <w:szCs w:val="24"/>
        </w:rPr>
        <w:t> </w:t>
      </w:r>
      <w:r w:rsidRPr="009F500F">
        <w:rPr>
          <w:szCs w:val="24"/>
        </w:rPr>
        <w:t>000 ЕД/м²</w:t>
      </w:r>
      <w:r w:rsidR="00FE233A" w:rsidRPr="009F500F">
        <w:rPr>
          <w:szCs w:val="24"/>
        </w:rPr>
        <w:t>,</w:t>
      </w:r>
      <w:r w:rsidRPr="009F500F">
        <w:rPr>
          <w:szCs w:val="24"/>
        </w:rPr>
        <w:t xml:space="preserve"> </w:t>
      </w:r>
      <w:r w:rsidRPr="009F500F">
        <w:rPr>
          <w:bCs/>
          <w:iCs/>
          <w:szCs w:val="24"/>
        </w:rPr>
        <w:t>136</w:t>
      </w:r>
      <w:r w:rsidR="00A37422" w:rsidRPr="009F500F">
        <w:rPr>
          <w:bCs/>
          <w:iCs/>
          <w:szCs w:val="24"/>
        </w:rPr>
        <w:t>-й</w:t>
      </w:r>
      <w:r w:rsidRPr="009F500F">
        <w:rPr>
          <w:bCs/>
          <w:iCs/>
          <w:szCs w:val="24"/>
        </w:rPr>
        <w:t xml:space="preserve"> день</w:t>
      </w:r>
      <w:r w:rsidR="00B42B8A" w:rsidRPr="009F500F">
        <w:rPr>
          <w:bCs/>
          <w:iCs/>
        </w:rPr>
        <w:t xml:space="preserve"> или </w:t>
      </w:r>
      <w:r w:rsidR="00387A25">
        <w:rPr>
          <w:bCs/>
          <w:iCs/>
        </w:rPr>
        <w:t>пэг</w:t>
      </w:r>
      <w:r w:rsidR="00387A25" w:rsidRPr="009F500F">
        <w:rPr>
          <w:bCs/>
          <w:iCs/>
        </w:rPr>
        <w:t xml:space="preserve">аспарагаза </w:t>
      </w:r>
      <w:r w:rsidR="00B42B8A" w:rsidRPr="009F500F">
        <w:rPr>
          <w:bCs/>
          <w:iCs/>
        </w:rPr>
        <w:t>** 1000 ЕД/м²   136 день</w:t>
      </w:r>
    </w:p>
    <w:p w14:paraId="7886BFD8" w14:textId="77777777" w:rsidR="00533FE8" w:rsidRPr="00705A41" w:rsidRDefault="00720E5F" w:rsidP="00533FE8">
      <w:pPr>
        <w:rPr>
          <w:color w:val="FF6600"/>
          <w:szCs w:val="24"/>
        </w:rPr>
      </w:pPr>
      <w:r>
        <w:rPr>
          <w:bCs/>
          <w:iCs/>
          <w:noProof/>
          <w:szCs w:val="24"/>
        </w:rPr>
        <mc:AlternateContent>
          <mc:Choice Requires="wps">
            <w:drawing>
              <wp:anchor distT="0" distB="0" distL="114300" distR="114300" simplePos="0" relativeHeight="251645440" behindDoc="0" locked="0" layoutInCell="1" allowOverlap="1" wp14:anchorId="40447B77" wp14:editId="1E414D5D">
                <wp:simplePos x="0" y="0"/>
                <wp:positionH relativeFrom="column">
                  <wp:posOffset>1028700</wp:posOffset>
                </wp:positionH>
                <wp:positionV relativeFrom="paragraph">
                  <wp:posOffset>3175</wp:posOffset>
                </wp:positionV>
                <wp:extent cx="0" cy="228600"/>
                <wp:effectExtent l="63500" t="0" r="38100" b="25400"/>
                <wp:wrapNone/>
                <wp:docPr id="48" name="Line 28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A78F43" id="Line 288" o:spid="_x0000_s1026" style="position:absolute;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25pt" to="81pt,1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">
                <v:stroke endarrow="block"/>
                <o:lock v:ext="edit" shapetype="f"/>
              </v:line>
            </w:pict>
          </mc:Fallback>
        </mc:AlternateContent>
      </w:r>
      <w:r w:rsidR="00533FE8" w:rsidRPr="00705A41">
        <w:rPr>
          <w:color w:val="FF6600"/>
          <w:szCs w:val="24"/>
        </w:rPr>
        <w:t xml:space="preserve">          </w:t>
      </w:r>
    </w:p>
    <w:p w14:paraId="647AB7C7" w14:textId="77777777" w:rsidR="00533FE8" w:rsidRPr="00705A41" w:rsidRDefault="00A37422" w:rsidP="00533FE8">
      <w:pPr>
        <w:rPr>
          <w:szCs w:val="24"/>
        </w:rPr>
      </w:pPr>
      <w:r>
        <w:rPr>
          <w:b/>
          <w:bCs/>
          <w:i/>
          <w:iCs/>
          <w:szCs w:val="24"/>
        </w:rPr>
        <w:t xml:space="preserve">              Консолидация </w:t>
      </w:r>
      <w:r w:rsidR="00533FE8" w:rsidRPr="00705A41">
        <w:rPr>
          <w:b/>
          <w:bCs/>
          <w:i/>
          <w:iCs/>
          <w:szCs w:val="24"/>
          <w:lang w:val="en-US"/>
        </w:rPr>
        <w:t>V</w:t>
      </w:r>
    </w:p>
    <w:p w14:paraId="52E9464D" w14:textId="77777777" w:rsidR="00533FE8" w:rsidRPr="000008B4" w:rsidRDefault="00421699" w:rsidP="00FF4C81">
      <w:pPr>
        <w:pStyle w:val="afff3"/>
        <w:numPr>
          <w:ilvl w:val="0"/>
          <w:numId w:val="43"/>
        </w:numPr>
        <w:spacing w:before="120"/>
        <w:rPr>
          <w:bCs/>
          <w:iCs/>
          <w:szCs w:val="24"/>
        </w:rPr>
      </w:pPr>
      <w:r w:rsidRPr="000008B4">
        <w:rPr>
          <w:bCs/>
          <w:iCs/>
          <w:szCs w:val="24"/>
        </w:rPr>
        <w:t>Цитарабин**</w:t>
      </w:r>
      <w:r w:rsidR="00533FE8" w:rsidRPr="000008B4">
        <w:rPr>
          <w:bCs/>
          <w:iCs/>
          <w:szCs w:val="24"/>
        </w:rPr>
        <w:t xml:space="preserve"> 2 г/м</w:t>
      </w:r>
      <w:r w:rsidR="00533FE8" w:rsidRPr="000008B4">
        <w:rPr>
          <w:bCs/>
          <w:iCs/>
          <w:szCs w:val="24"/>
          <w:vertAlign w:val="superscript"/>
        </w:rPr>
        <w:t>2</w:t>
      </w:r>
      <w:r w:rsidR="000008B4">
        <w:rPr>
          <w:bCs/>
          <w:iCs/>
          <w:szCs w:val="24"/>
        </w:rPr>
        <w:t>,</w:t>
      </w:r>
      <w:r w:rsidR="00533FE8" w:rsidRPr="000008B4">
        <w:rPr>
          <w:bCs/>
          <w:iCs/>
          <w:szCs w:val="24"/>
        </w:rPr>
        <w:t xml:space="preserve"> 2 раза в день</w:t>
      </w:r>
      <w:r w:rsidR="00FE233A" w:rsidRPr="000008B4">
        <w:rPr>
          <w:bCs/>
          <w:iCs/>
          <w:szCs w:val="24"/>
        </w:rPr>
        <w:t xml:space="preserve">, </w:t>
      </w:r>
      <w:r w:rsidR="00533FE8" w:rsidRPr="000008B4">
        <w:rPr>
          <w:bCs/>
          <w:iCs/>
          <w:szCs w:val="24"/>
        </w:rPr>
        <w:t>148</w:t>
      </w:r>
      <w:r w:rsidR="00A37422" w:rsidRPr="000008B4">
        <w:rPr>
          <w:bCs/>
          <w:iCs/>
          <w:szCs w:val="24"/>
        </w:rPr>
        <w:t>-й</w:t>
      </w:r>
      <w:r w:rsidR="00533FE8" w:rsidRPr="000008B4">
        <w:rPr>
          <w:bCs/>
          <w:iCs/>
          <w:szCs w:val="24"/>
        </w:rPr>
        <w:t xml:space="preserve"> день</w:t>
      </w:r>
    </w:p>
    <w:p w14:paraId="5A3ADF39" w14:textId="77777777" w:rsidR="00533FE8" w:rsidRPr="000008B4" w:rsidRDefault="00533FE8" w:rsidP="00FF4C81">
      <w:pPr>
        <w:pStyle w:val="afff3"/>
        <w:numPr>
          <w:ilvl w:val="0"/>
          <w:numId w:val="43"/>
        </w:numPr>
        <w:rPr>
          <w:bCs/>
          <w:iCs/>
          <w:szCs w:val="24"/>
        </w:rPr>
      </w:pPr>
      <w:r w:rsidRPr="000008B4">
        <w:rPr>
          <w:bCs/>
          <w:iCs/>
          <w:szCs w:val="24"/>
        </w:rPr>
        <w:t>Дексаметазон</w:t>
      </w:r>
      <w:r w:rsidR="006F5D03" w:rsidRPr="000008B4">
        <w:rPr>
          <w:bCs/>
          <w:iCs/>
          <w:szCs w:val="24"/>
        </w:rPr>
        <w:t>**</w:t>
      </w:r>
      <w:r w:rsidRPr="000008B4">
        <w:rPr>
          <w:bCs/>
          <w:iCs/>
          <w:szCs w:val="24"/>
        </w:rPr>
        <w:t xml:space="preserve"> 30 мг/м</w:t>
      </w:r>
      <w:r w:rsidRPr="000008B4">
        <w:rPr>
          <w:bCs/>
          <w:iCs/>
          <w:szCs w:val="24"/>
          <w:vertAlign w:val="superscript"/>
        </w:rPr>
        <w:t>2</w:t>
      </w:r>
      <w:r w:rsidR="00FE233A" w:rsidRPr="000008B4">
        <w:rPr>
          <w:bCs/>
          <w:iCs/>
          <w:szCs w:val="24"/>
        </w:rPr>
        <w:t>,</w:t>
      </w:r>
      <w:r w:rsidR="00A37422" w:rsidRPr="000008B4">
        <w:rPr>
          <w:bCs/>
          <w:iCs/>
          <w:szCs w:val="24"/>
        </w:rPr>
        <w:t xml:space="preserve"> 148–</w:t>
      </w:r>
      <w:r w:rsidRPr="000008B4">
        <w:rPr>
          <w:bCs/>
          <w:iCs/>
          <w:szCs w:val="24"/>
        </w:rPr>
        <w:t>150</w:t>
      </w:r>
      <w:r w:rsidR="00A37422" w:rsidRPr="000008B4">
        <w:rPr>
          <w:bCs/>
          <w:iCs/>
          <w:szCs w:val="24"/>
        </w:rPr>
        <w:t>-й</w:t>
      </w:r>
      <w:r w:rsidRPr="000008B4">
        <w:rPr>
          <w:bCs/>
          <w:iCs/>
          <w:szCs w:val="24"/>
        </w:rPr>
        <w:t xml:space="preserve"> дни</w:t>
      </w:r>
    </w:p>
    <w:p w14:paraId="1F927316" w14:textId="482F7110" w:rsidR="00533FE8" w:rsidRPr="009F500F" w:rsidRDefault="00720E5F" w:rsidP="00FF4C81">
      <w:pPr>
        <w:pStyle w:val="afff3"/>
        <w:numPr>
          <w:ilvl w:val="0"/>
          <w:numId w:val="43"/>
        </w:numPr>
        <w:rPr>
          <w:bCs/>
          <w:iCs/>
          <w:szCs w:val="24"/>
        </w:rPr>
      </w:pPr>
      <w:r w:rsidRPr="009F500F">
        <w:rPr>
          <w:noProof/>
        </w:rPr>
        <mc:AlternateContent>
          <mc:Choice Requires="wps">
            <w:drawing>
              <wp:anchor distT="0" distB="0" distL="114300" distR="114300" simplePos="0" relativeHeight="251646464" behindDoc="0" locked="0" layoutInCell="1" allowOverlap="1" wp14:anchorId="4A41A70D" wp14:editId="3C249ED6">
                <wp:simplePos x="0" y="0"/>
                <wp:positionH relativeFrom="column">
                  <wp:posOffset>1068705</wp:posOffset>
                </wp:positionH>
                <wp:positionV relativeFrom="paragraph">
                  <wp:posOffset>455295</wp:posOffset>
                </wp:positionV>
                <wp:extent cx="0" cy="228600"/>
                <wp:effectExtent l="63500" t="0" r="38100" b="25400"/>
                <wp:wrapNone/>
                <wp:docPr id="47" name="Line 28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AB63AC" id="Line 289" o:spid="_x0000_s1026" style="position:absolute;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4.15pt,35.85pt" to="84.15pt,5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">
                <v:stroke endarrow="block"/>
                <o:lock v:ext="edit" shapetype="f"/>
              </v:line>
            </w:pict>
          </mc:Fallback>
        </mc:AlternateContent>
      </w:r>
      <w:r w:rsidR="00533FE8" w:rsidRPr="009F500F">
        <w:rPr>
          <w:szCs w:val="24"/>
        </w:rPr>
        <w:t>Аспарагиназа</w:t>
      </w:r>
      <w:r w:rsidR="00714B4A" w:rsidRPr="009F500F">
        <w:rPr>
          <w:szCs w:val="24"/>
        </w:rPr>
        <w:t>**</w:t>
      </w:r>
      <w:r w:rsidR="00533FE8" w:rsidRPr="009F500F">
        <w:rPr>
          <w:szCs w:val="24"/>
        </w:rPr>
        <w:t xml:space="preserve"> 10</w:t>
      </w:r>
      <w:r w:rsidR="00FE233A" w:rsidRPr="009F500F">
        <w:rPr>
          <w:szCs w:val="24"/>
        </w:rPr>
        <w:t> </w:t>
      </w:r>
      <w:r w:rsidR="00533FE8" w:rsidRPr="009F500F">
        <w:rPr>
          <w:szCs w:val="24"/>
        </w:rPr>
        <w:t>000 ЕД/м²</w:t>
      </w:r>
      <w:r w:rsidR="00FE233A" w:rsidRPr="009F500F">
        <w:rPr>
          <w:szCs w:val="24"/>
        </w:rPr>
        <w:t>,</w:t>
      </w:r>
      <w:r w:rsidR="00533FE8" w:rsidRPr="009F500F">
        <w:rPr>
          <w:szCs w:val="24"/>
        </w:rPr>
        <w:t xml:space="preserve"> </w:t>
      </w:r>
      <w:r w:rsidR="00533FE8" w:rsidRPr="009F500F">
        <w:rPr>
          <w:bCs/>
          <w:iCs/>
          <w:szCs w:val="24"/>
        </w:rPr>
        <w:t>150</w:t>
      </w:r>
      <w:r w:rsidR="00A37422" w:rsidRPr="009F500F">
        <w:rPr>
          <w:bCs/>
          <w:iCs/>
          <w:szCs w:val="24"/>
        </w:rPr>
        <w:t>-й</w:t>
      </w:r>
      <w:r w:rsidR="00533FE8" w:rsidRPr="009F500F">
        <w:rPr>
          <w:bCs/>
          <w:iCs/>
          <w:szCs w:val="24"/>
        </w:rPr>
        <w:t xml:space="preserve"> день</w:t>
      </w:r>
      <w:r w:rsidR="00B42B8A" w:rsidRPr="009F500F">
        <w:rPr>
          <w:bCs/>
          <w:iCs/>
          <w:szCs w:val="24"/>
        </w:rPr>
        <w:t xml:space="preserve"> </w:t>
      </w:r>
      <w:r w:rsidR="00B42B8A" w:rsidRPr="009F500F">
        <w:rPr>
          <w:bCs/>
          <w:iCs/>
        </w:rPr>
        <w:t xml:space="preserve">или </w:t>
      </w:r>
      <w:r w:rsidR="00387A25">
        <w:rPr>
          <w:bCs/>
          <w:iCs/>
        </w:rPr>
        <w:t>пэг</w:t>
      </w:r>
      <w:r w:rsidR="00387A25" w:rsidRPr="009F500F">
        <w:rPr>
          <w:bCs/>
          <w:iCs/>
        </w:rPr>
        <w:t xml:space="preserve">аспарагаза </w:t>
      </w:r>
      <w:r w:rsidR="00B42B8A" w:rsidRPr="009F500F">
        <w:rPr>
          <w:bCs/>
          <w:iCs/>
        </w:rPr>
        <w:t>** 1000 ЕД/м²   150 день</w:t>
      </w:r>
    </w:p>
    <w:p w14:paraId="5055E39D" w14:textId="77777777" w:rsidR="00533FE8" w:rsidRPr="00A978F1" w:rsidRDefault="00533FE8" w:rsidP="00533FE8">
      <w:pPr>
        <w:rPr>
          <w:szCs w:val="24"/>
        </w:rPr>
      </w:pPr>
    </w:p>
    <w:p w14:paraId="0A09E8F6" w14:textId="77777777" w:rsidR="00533FE8" w:rsidRPr="002D4615" w:rsidRDefault="00533FE8" w:rsidP="00533FE8">
      <w:pPr>
        <w:rPr>
          <w:b/>
          <w:i/>
          <w:iCs/>
          <w:szCs w:val="24"/>
        </w:rPr>
      </w:pPr>
      <w:r w:rsidRPr="00A978F1">
        <w:rPr>
          <w:b/>
          <w:i/>
          <w:iCs/>
          <w:szCs w:val="24"/>
        </w:rPr>
        <w:t>Поддерживающая терапия в течение 2 лет от момента завершени</w:t>
      </w:r>
      <w:r>
        <w:rPr>
          <w:b/>
          <w:i/>
          <w:iCs/>
          <w:szCs w:val="24"/>
        </w:rPr>
        <w:t>я последнего курса консолидации</w:t>
      </w:r>
    </w:p>
    <w:p w14:paraId="393AE090" w14:textId="77777777" w:rsidR="00533FE8" w:rsidRPr="007255E3" w:rsidRDefault="00720E5F" w:rsidP="00533FE8">
      <w:pPr>
        <w:rPr>
          <w:b/>
          <w:bCs/>
          <w:i/>
          <w:iCs/>
          <w:szCs w:val="24"/>
        </w:rPr>
      </w:pPr>
      <w:r>
        <w:rPr>
          <w:bCs/>
          <w:i/>
          <w:iCs/>
          <w:noProof/>
          <w:szCs w:val="24"/>
        </w:rPr>
        <mc:AlternateContent>
          <mc:Choice Requires="wps">
            <w:drawing>
              <wp:anchor distT="0" distB="0" distL="114300" distR="114300" simplePos="0" relativeHeight="251651584" behindDoc="0" locked="0" layoutInCell="1" allowOverlap="1" wp14:anchorId="004E44BD" wp14:editId="55AFBE1B">
                <wp:simplePos x="0" y="0"/>
                <wp:positionH relativeFrom="column">
                  <wp:posOffset>4060825</wp:posOffset>
                </wp:positionH>
                <wp:positionV relativeFrom="paragraph">
                  <wp:posOffset>474345</wp:posOffset>
                </wp:positionV>
                <wp:extent cx="295275" cy="1647825"/>
                <wp:effectExtent l="0" t="0" r="0" b="3175"/>
                <wp:wrapNone/>
                <wp:docPr id="46" name="AutoShape 2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5275" cy="1647825"/>
                        </a:xfrm>
                        <a:prstGeom prst="rightBrace">
                          <a:avLst>
                            <a:gd name="adj1" fmla="val 46505"/>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5C4450" id="AutoShape 294" o:spid="_x0000_s1026" type="#_x0000_t88" style="position:absolute;margin-left:319.75pt;margin-top:37.35pt;width:23.25pt;height:129.7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"/>
            </w:pict>
          </mc:Fallback>
        </mc:AlternateContent>
      </w:r>
      <w:r w:rsidR="00533FE8" w:rsidRPr="00A978F1">
        <w:rPr>
          <w:b/>
          <w:bCs/>
          <w:i/>
          <w:iCs/>
          <w:szCs w:val="24"/>
        </w:rPr>
        <w:t>Между циклами поддерживающей терапии нет интерв</w:t>
      </w:r>
      <w:r w:rsidR="00A37422">
        <w:rPr>
          <w:b/>
          <w:bCs/>
          <w:i/>
          <w:iCs/>
          <w:szCs w:val="24"/>
        </w:rPr>
        <w:t>алов: 1-й</w:t>
      </w:r>
      <w:r w:rsidR="00533FE8" w:rsidRPr="00A978F1">
        <w:rPr>
          <w:b/>
          <w:bCs/>
          <w:i/>
          <w:iCs/>
          <w:szCs w:val="24"/>
        </w:rPr>
        <w:t xml:space="preserve"> день последующего курса следует сразу за</w:t>
      </w:r>
      <w:r w:rsidR="00533FE8">
        <w:rPr>
          <w:b/>
          <w:bCs/>
          <w:i/>
          <w:iCs/>
          <w:szCs w:val="24"/>
        </w:rPr>
        <w:t xml:space="preserve"> последним днем предшествующего</w:t>
      </w:r>
      <w:r w:rsidR="00533FE8" w:rsidRPr="00A978F1">
        <w:rPr>
          <w:bCs/>
          <w:iCs/>
          <w:szCs w:val="24"/>
        </w:rPr>
        <w:t xml:space="preserve">                                                                                             </w:t>
      </w:r>
    </w:p>
    <w:p w14:paraId="22C5BAD2" w14:textId="77777777" w:rsidR="00533FE8" w:rsidRPr="00A978F1" w:rsidRDefault="00720E5F" w:rsidP="00533FE8">
      <w:pPr>
        <w:rPr>
          <w:b/>
          <w:bCs/>
          <w:i/>
          <w:iCs/>
          <w:szCs w:val="24"/>
        </w:rPr>
      </w:pPr>
      <w:r>
        <w:rPr>
          <w:bCs/>
          <w:iCs/>
          <w:noProof/>
          <w:szCs w:val="24"/>
        </w:rPr>
        <mc:AlternateContent>
          <mc:Choice Requires="wps">
            <w:drawing>
              <wp:anchor distT="0" distB="0" distL="114300" distR="114300" simplePos="0" relativeHeight="251649536" behindDoc="0" locked="0" layoutInCell="1" allowOverlap="1" wp14:anchorId="521CFB88" wp14:editId="3CEA83F2">
                <wp:simplePos x="0" y="0"/>
                <wp:positionH relativeFrom="column">
                  <wp:posOffset>4617085</wp:posOffset>
                </wp:positionH>
                <wp:positionV relativeFrom="paragraph">
                  <wp:posOffset>79375</wp:posOffset>
                </wp:positionV>
                <wp:extent cx="1600200" cy="1305560"/>
                <wp:effectExtent l="0" t="0" r="0" b="2540"/>
                <wp:wrapNone/>
                <wp:docPr id="45" name="Text Box 2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600200" cy="1305560"/>
                        </a:xfrm>
                        <a:prstGeom prst="rect">
                          <a:avLst/>
                        </a:prstGeom>
                        <a:solidFill>
                          <a:srgbClr val="FFFFFF"/>
                        </a:solidFill>
                        <a:ln w="9525">
                          <a:solidFill>
                            <a:srgbClr val="000000"/>
                          </a:solidFill>
                          <a:miter lim="800000"/>
                          <a:headEnd/>
                          <a:tailEnd/>
                        </a:ln>
                      </wps:spPr>
                      <wps:txbx>
                        <w:txbxContent>
                          <w:p w14:paraId="2E18C0D2" w14:textId="77777777" w:rsidR="009E240E" w:rsidRPr="00705A41" w:rsidRDefault="009E240E" w:rsidP="00AF151A">
                            <w:pPr>
                              <w:jc w:val="left"/>
                            </w:pPr>
                            <w:r w:rsidRPr="00705A41">
                              <w:t>Модификация дозы меркаптопурина</w:t>
                            </w:r>
                            <w:r>
                              <w:t>**</w:t>
                            </w:r>
                            <w:r w:rsidRPr="00705A41">
                              <w:t xml:space="preserve"> и метотрексата</w:t>
                            </w:r>
                            <w:r>
                              <w:t>**</w:t>
                            </w:r>
                            <w:r w:rsidRPr="00705A41">
                              <w:t xml:space="preserve"> в зависимости от уровня лейкоцитов и тромбоцитов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1CFB88" id="Text Box 292" o:spid="_x0000_s1028" type="#_x0000_t202" style="position:absolute;left:0;text-align:left;margin-left:363.55pt;margin-top:6.25pt;width:126pt;height:102.8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">
                <v:path arrowok="t"/>
                <v:textbox>
                  <w:txbxContent>
                    <w:p w14:paraId="2E18C0D2" w14:textId="77777777" w:rsidR="009E240E" w:rsidRPr="00705A41" w:rsidRDefault="009E240E" w:rsidP="00AF151A">
                      <w:pPr>
                        <w:jc w:val="left"/>
                      </w:pPr>
                      <w:r w:rsidRPr="00705A41">
                        <w:t>Модификация дозы меркаптопурина</w:t>
                      </w:r>
                      <w:r>
                        <w:t>**</w:t>
                      </w:r>
                      <w:r w:rsidRPr="00705A41">
                        <w:t xml:space="preserve"> и метотрексата</w:t>
                      </w:r>
                      <w:r>
                        <w:t>**</w:t>
                      </w:r>
                      <w:r w:rsidRPr="00705A41">
                        <w:t xml:space="preserve"> в зависимости от уровня лейкоцитов и тромбоцитов</w:t>
                      </w:r>
                    </w:p>
                  </w:txbxContent>
                </v:textbox>
              </v:shape>
            </w:pict>
          </mc:Fallback>
        </mc:AlternateContent>
      </w:r>
      <w:r w:rsidR="00533FE8">
        <w:rPr>
          <w:b/>
          <w:bCs/>
          <w:i/>
          <w:iCs/>
          <w:szCs w:val="24"/>
        </w:rPr>
        <w:t>Поддерживающая терапия, циклы №</w:t>
      </w:r>
      <w:r w:rsidR="00A37422">
        <w:rPr>
          <w:b/>
          <w:bCs/>
          <w:i/>
          <w:iCs/>
          <w:szCs w:val="24"/>
        </w:rPr>
        <w:t xml:space="preserve"> 3(1–</w:t>
      </w:r>
      <w:r w:rsidR="00533FE8" w:rsidRPr="00A978F1">
        <w:rPr>
          <w:b/>
          <w:bCs/>
          <w:i/>
          <w:iCs/>
          <w:szCs w:val="24"/>
        </w:rPr>
        <w:t>3)</w:t>
      </w:r>
      <w:r w:rsidR="001B7836">
        <w:rPr>
          <w:b/>
          <w:bCs/>
          <w:i/>
          <w:iCs/>
          <w:szCs w:val="24"/>
        </w:rPr>
        <w:t>:</w:t>
      </w:r>
    </w:p>
    <w:p w14:paraId="169CE135" w14:textId="77777777" w:rsidR="00533FE8" w:rsidRPr="001B7836" w:rsidRDefault="00533FE8" w:rsidP="00FF4C81">
      <w:pPr>
        <w:pStyle w:val="afff3"/>
        <w:numPr>
          <w:ilvl w:val="0"/>
          <w:numId w:val="28"/>
        </w:numPr>
        <w:rPr>
          <w:bCs/>
          <w:iCs/>
          <w:szCs w:val="24"/>
        </w:rPr>
      </w:pPr>
      <w:r w:rsidRPr="001B7836">
        <w:rPr>
          <w:szCs w:val="24"/>
        </w:rPr>
        <w:t>Дексаметазон</w:t>
      </w:r>
      <w:r w:rsidR="006F5D03" w:rsidRPr="001B7836">
        <w:rPr>
          <w:szCs w:val="24"/>
        </w:rPr>
        <w:t>**</w:t>
      </w:r>
      <w:r w:rsidRPr="001B7836">
        <w:rPr>
          <w:bCs/>
          <w:iCs/>
          <w:szCs w:val="24"/>
        </w:rPr>
        <w:t xml:space="preserve"> 10 мг/м²</w:t>
      </w:r>
      <w:r w:rsidR="00FE233A" w:rsidRPr="001B7836">
        <w:rPr>
          <w:bCs/>
          <w:iCs/>
          <w:szCs w:val="24"/>
        </w:rPr>
        <w:t xml:space="preserve">, </w:t>
      </w:r>
      <w:r w:rsidR="00A37422" w:rsidRPr="001B7836">
        <w:rPr>
          <w:bCs/>
          <w:iCs/>
          <w:szCs w:val="24"/>
        </w:rPr>
        <w:t>1–</w:t>
      </w:r>
      <w:r w:rsidRPr="001B7836">
        <w:rPr>
          <w:bCs/>
          <w:iCs/>
          <w:szCs w:val="24"/>
        </w:rPr>
        <w:t>3</w:t>
      </w:r>
      <w:r w:rsidR="00A37422" w:rsidRPr="001B7836">
        <w:rPr>
          <w:bCs/>
          <w:iCs/>
          <w:szCs w:val="24"/>
        </w:rPr>
        <w:t>-й</w:t>
      </w:r>
      <w:r w:rsidRPr="001B7836">
        <w:rPr>
          <w:bCs/>
          <w:iCs/>
          <w:szCs w:val="24"/>
        </w:rPr>
        <w:t xml:space="preserve"> дни </w:t>
      </w:r>
    </w:p>
    <w:p w14:paraId="1B787CB5" w14:textId="77777777" w:rsidR="00533FE8" w:rsidRPr="001B7836" w:rsidRDefault="00533FE8" w:rsidP="00FF4C81">
      <w:pPr>
        <w:pStyle w:val="afff3"/>
        <w:numPr>
          <w:ilvl w:val="0"/>
          <w:numId w:val="28"/>
        </w:numPr>
        <w:rPr>
          <w:szCs w:val="24"/>
        </w:rPr>
      </w:pPr>
      <w:r w:rsidRPr="001B7836">
        <w:rPr>
          <w:szCs w:val="24"/>
        </w:rPr>
        <w:t>Меркаптопурин</w:t>
      </w:r>
      <w:r w:rsidR="00714B4A" w:rsidRPr="001B7836">
        <w:rPr>
          <w:szCs w:val="24"/>
        </w:rPr>
        <w:t>**</w:t>
      </w:r>
      <w:r w:rsidRPr="001B7836">
        <w:rPr>
          <w:szCs w:val="24"/>
        </w:rPr>
        <w:t xml:space="preserve"> 50 мг/м²</w:t>
      </w:r>
      <w:r w:rsidR="00FE233A" w:rsidRPr="001B7836">
        <w:rPr>
          <w:szCs w:val="24"/>
        </w:rPr>
        <w:t>,</w:t>
      </w:r>
      <w:r w:rsidR="00A37422" w:rsidRPr="001B7836">
        <w:rPr>
          <w:szCs w:val="24"/>
        </w:rPr>
        <w:t xml:space="preserve"> 4–</w:t>
      </w:r>
      <w:r w:rsidRPr="001B7836">
        <w:rPr>
          <w:szCs w:val="24"/>
        </w:rPr>
        <w:t>28</w:t>
      </w:r>
      <w:r w:rsidR="00A37422" w:rsidRPr="001B7836">
        <w:rPr>
          <w:szCs w:val="24"/>
        </w:rPr>
        <w:t>-й</w:t>
      </w:r>
      <w:r w:rsidRPr="001B7836">
        <w:rPr>
          <w:szCs w:val="24"/>
        </w:rPr>
        <w:t xml:space="preserve"> дни</w:t>
      </w:r>
    </w:p>
    <w:p w14:paraId="7854E60C" w14:textId="77777777" w:rsidR="00533FE8" w:rsidRPr="001B7836" w:rsidRDefault="00533FE8" w:rsidP="00FF4C81">
      <w:pPr>
        <w:pStyle w:val="afff3"/>
        <w:numPr>
          <w:ilvl w:val="0"/>
          <w:numId w:val="28"/>
        </w:numPr>
        <w:rPr>
          <w:bCs/>
          <w:iCs/>
          <w:szCs w:val="24"/>
        </w:rPr>
      </w:pPr>
      <w:r w:rsidRPr="001B7836">
        <w:rPr>
          <w:bCs/>
          <w:iCs/>
          <w:szCs w:val="24"/>
        </w:rPr>
        <w:lastRenderedPageBreak/>
        <w:t>Винкристин</w:t>
      </w:r>
      <w:r w:rsidR="00457E7B" w:rsidRPr="001B7836">
        <w:rPr>
          <w:bCs/>
          <w:iCs/>
          <w:szCs w:val="24"/>
        </w:rPr>
        <w:t>**</w:t>
      </w:r>
      <w:r w:rsidRPr="001B7836">
        <w:rPr>
          <w:bCs/>
          <w:iCs/>
          <w:szCs w:val="24"/>
        </w:rPr>
        <w:t xml:space="preserve"> 2 мг</w:t>
      </w:r>
      <w:r w:rsidR="00FE233A" w:rsidRPr="001B7836">
        <w:rPr>
          <w:bCs/>
          <w:iCs/>
          <w:szCs w:val="24"/>
        </w:rPr>
        <w:t>,</w:t>
      </w:r>
      <w:r w:rsidRPr="001B7836">
        <w:rPr>
          <w:bCs/>
          <w:iCs/>
          <w:szCs w:val="24"/>
        </w:rPr>
        <w:t xml:space="preserve"> 1</w:t>
      </w:r>
      <w:r w:rsidR="00A37422" w:rsidRPr="001B7836">
        <w:rPr>
          <w:bCs/>
          <w:iCs/>
          <w:szCs w:val="24"/>
        </w:rPr>
        <w:t>-й</w:t>
      </w:r>
      <w:r w:rsidRPr="001B7836">
        <w:rPr>
          <w:bCs/>
          <w:iCs/>
          <w:szCs w:val="24"/>
        </w:rPr>
        <w:t xml:space="preserve"> день</w:t>
      </w:r>
    </w:p>
    <w:p w14:paraId="6C0A4056" w14:textId="77777777" w:rsidR="00533FE8" w:rsidRPr="001B7836" w:rsidRDefault="00533FE8" w:rsidP="00FF4C81">
      <w:pPr>
        <w:pStyle w:val="afff3"/>
        <w:numPr>
          <w:ilvl w:val="0"/>
          <w:numId w:val="28"/>
        </w:numPr>
        <w:rPr>
          <w:szCs w:val="24"/>
        </w:rPr>
      </w:pPr>
      <w:r w:rsidRPr="001B7836">
        <w:rPr>
          <w:bCs/>
          <w:iCs/>
          <w:szCs w:val="24"/>
        </w:rPr>
        <w:t>Даунорубицин</w:t>
      </w:r>
      <w:r w:rsidR="00A65A9B" w:rsidRPr="001B7836">
        <w:rPr>
          <w:bCs/>
          <w:iCs/>
          <w:szCs w:val="24"/>
        </w:rPr>
        <w:t>**</w:t>
      </w:r>
      <w:r w:rsidRPr="001B7836">
        <w:rPr>
          <w:bCs/>
          <w:iCs/>
          <w:szCs w:val="24"/>
        </w:rPr>
        <w:t xml:space="preserve"> 45 мг/м²</w:t>
      </w:r>
      <w:r w:rsidR="00FE233A" w:rsidRPr="001B7836">
        <w:rPr>
          <w:bCs/>
          <w:iCs/>
          <w:szCs w:val="24"/>
        </w:rPr>
        <w:t>,</w:t>
      </w:r>
      <w:r w:rsidRPr="001B7836">
        <w:rPr>
          <w:bCs/>
          <w:iCs/>
          <w:szCs w:val="24"/>
        </w:rPr>
        <w:t xml:space="preserve"> 1</w:t>
      </w:r>
      <w:r w:rsidR="00A50DAA" w:rsidRPr="001B7836">
        <w:rPr>
          <w:bCs/>
          <w:iCs/>
          <w:szCs w:val="24"/>
        </w:rPr>
        <w:t>-й</w:t>
      </w:r>
      <w:r w:rsidRPr="001B7836">
        <w:rPr>
          <w:bCs/>
          <w:iCs/>
          <w:szCs w:val="24"/>
        </w:rPr>
        <w:t xml:space="preserve"> день</w:t>
      </w:r>
    </w:p>
    <w:p w14:paraId="60530552" w14:textId="77777777" w:rsidR="00533FE8" w:rsidRDefault="00533FE8" w:rsidP="00FF4C81">
      <w:pPr>
        <w:pStyle w:val="afff3"/>
        <w:numPr>
          <w:ilvl w:val="0"/>
          <w:numId w:val="28"/>
        </w:numPr>
        <w:rPr>
          <w:bCs/>
          <w:iCs/>
          <w:szCs w:val="24"/>
        </w:rPr>
      </w:pPr>
      <w:r w:rsidRPr="001B7836">
        <w:rPr>
          <w:szCs w:val="24"/>
        </w:rPr>
        <w:t>Метотрексат</w:t>
      </w:r>
      <w:r w:rsidR="00392AAF" w:rsidRPr="001B7836">
        <w:rPr>
          <w:szCs w:val="24"/>
        </w:rPr>
        <w:t>**</w:t>
      </w:r>
      <w:r w:rsidRPr="001B7836">
        <w:rPr>
          <w:szCs w:val="24"/>
        </w:rPr>
        <w:t xml:space="preserve"> 3</w:t>
      </w:r>
      <w:r w:rsidRPr="001B7836">
        <w:rPr>
          <w:bCs/>
          <w:iCs/>
          <w:szCs w:val="24"/>
        </w:rPr>
        <w:t>0 мг/м²</w:t>
      </w:r>
      <w:r w:rsidR="00FE233A" w:rsidRPr="001B7836">
        <w:rPr>
          <w:bCs/>
          <w:iCs/>
          <w:szCs w:val="24"/>
        </w:rPr>
        <w:t>,</w:t>
      </w:r>
      <w:r w:rsidRPr="001B7836">
        <w:rPr>
          <w:bCs/>
          <w:iCs/>
          <w:szCs w:val="24"/>
        </w:rPr>
        <w:t xml:space="preserve"> 2,</w:t>
      </w:r>
      <w:r w:rsidR="00A50DAA" w:rsidRPr="001B7836">
        <w:rPr>
          <w:bCs/>
          <w:iCs/>
          <w:szCs w:val="24"/>
        </w:rPr>
        <w:t xml:space="preserve"> </w:t>
      </w:r>
      <w:r w:rsidRPr="001B7836">
        <w:rPr>
          <w:bCs/>
          <w:iCs/>
          <w:szCs w:val="24"/>
        </w:rPr>
        <w:t>9,</w:t>
      </w:r>
      <w:r w:rsidR="00A50DAA" w:rsidRPr="001B7836">
        <w:rPr>
          <w:bCs/>
          <w:iCs/>
          <w:szCs w:val="24"/>
        </w:rPr>
        <w:t xml:space="preserve"> </w:t>
      </w:r>
      <w:r w:rsidRPr="001B7836">
        <w:rPr>
          <w:bCs/>
          <w:iCs/>
          <w:szCs w:val="24"/>
        </w:rPr>
        <w:t>16,</w:t>
      </w:r>
      <w:r w:rsidR="00A50DAA" w:rsidRPr="001B7836">
        <w:rPr>
          <w:bCs/>
          <w:iCs/>
          <w:szCs w:val="24"/>
        </w:rPr>
        <w:t xml:space="preserve"> </w:t>
      </w:r>
      <w:r w:rsidRPr="001B7836">
        <w:rPr>
          <w:bCs/>
          <w:iCs/>
          <w:szCs w:val="24"/>
        </w:rPr>
        <w:t>23</w:t>
      </w:r>
      <w:r w:rsidR="00A50DAA" w:rsidRPr="001B7836">
        <w:rPr>
          <w:bCs/>
          <w:iCs/>
          <w:szCs w:val="24"/>
        </w:rPr>
        <w:t>-й</w:t>
      </w:r>
      <w:r w:rsidRPr="001B7836">
        <w:rPr>
          <w:bCs/>
          <w:iCs/>
          <w:szCs w:val="24"/>
        </w:rPr>
        <w:t xml:space="preserve"> дни  </w:t>
      </w:r>
    </w:p>
    <w:p w14:paraId="59C52334" w14:textId="333CAFAD" w:rsidR="00533FE8" w:rsidRPr="009F500F" w:rsidRDefault="00C23922" w:rsidP="00B42B8A">
      <w:pPr>
        <w:pStyle w:val="afff3"/>
        <w:numPr>
          <w:ilvl w:val="0"/>
          <w:numId w:val="28"/>
        </w:numPr>
        <w:rPr>
          <w:bCs/>
          <w:iCs/>
          <w:szCs w:val="24"/>
        </w:rPr>
      </w:pPr>
      <w:r w:rsidRPr="009F500F">
        <w:rPr>
          <w:szCs w:val="24"/>
        </w:rPr>
        <w:t>А</w:t>
      </w:r>
      <w:r w:rsidR="00533FE8" w:rsidRPr="009F500F">
        <w:rPr>
          <w:szCs w:val="24"/>
        </w:rPr>
        <w:t>спарагиназа</w:t>
      </w:r>
      <w:r w:rsidR="00714B4A" w:rsidRPr="009F500F">
        <w:rPr>
          <w:szCs w:val="24"/>
        </w:rPr>
        <w:t>**</w:t>
      </w:r>
      <w:r w:rsidR="00533FE8" w:rsidRPr="009F500F">
        <w:rPr>
          <w:szCs w:val="24"/>
        </w:rPr>
        <w:t xml:space="preserve"> 10</w:t>
      </w:r>
      <w:r w:rsidR="00FE233A" w:rsidRPr="009F500F">
        <w:rPr>
          <w:szCs w:val="24"/>
        </w:rPr>
        <w:t> </w:t>
      </w:r>
      <w:r w:rsidR="00533FE8" w:rsidRPr="009F500F">
        <w:rPr>
          <w:szCs w:val="24"/>
        </w:rPr>
        <w:t>000 ЕД/м²</w:t>
      </w:r>
      <w:r w:rsidR="00FE233A" w:rsidRPr="009F500F">
        <w:rPr>
          <w:szCs w:val="24"/>
        </w:rPr>
        <w:t>,</w:t>
      </w:r>
      <w:r w:rsidR="00533FE8" w:rsidRPr="009F500F">
        <w:rPr>
          <w:szCs w:val="24"/>
        </w:rPr>
        <w:t xml:space="preserve"> 3</w:t>
      </w:r>
      <w:r w:rsidR="00A50DAA" w:rsidRPr="009F500F">
        <w:rPr>
          <w:szCs w:val="24"/>
        </w:rPr>
        <w:t>-й</w:t>
      </w:r>
      <w:r w:rsidR="00533FE8" w:rsidRPr="009F500F">
        <w:rPr>
          <w:szCs w:val="24"/>
        </w:rPr>
        <w:t>,</w:t>
      </w:r>
      <w:r w:rsidR="00A50DAA" w:rsidRPr="009F500F">
        <w:rPr>
          <w:szCs w:val="24"/>
        </w:rPr>
        <w:t xml:space="preserve"> </w:t>
      </w:r>
      <w:r w:rsidR="00533FE8" w:rsidRPr="009F500F">
        <w:rPr>
          <w:szCs w:val="24"/>
        </w:rPr>
        <w:t>10</w:t>
      </w:r>
      <w:r w:rsidR="00A50DAA" w:rsidRPr="009F500F">
        <w:rPr>
          <w:szCs w:val="24"/>
        </w:rPr>
        <w:t>-й</w:t>
      </w:r>
      <w:r w:rsidR="00533FE8" w:rsidRPr="009F500F">
        <w:rPr>
          <w:szCs w:val="24"/>
        </w:rPr>
        <w:t xml:space="preserve"> дни</w:t>
      </w:r>
      <w:r w:rsidR="007F1FE4" w:rsidRPr="009F500F">
        <w:rPr>
          <w:szCs w:val="24"/>
        </w:rPr>
        <w:t xml:space="preserve"> </w:t>
      </w:r>
      <w:r w:rsidR="00B42B8A" w:rsidRPr="009F500F">
        <w:rPr>
          <w:bCs/>
          <w:iCs/>
        </w:rPr>
        <w:t xml:space="preserve">или </w:t>
      </w:r>
      <w:r w:rsidR="00387A25">
        <w:rPr>
          <w:bCs/>
          <w:iCs/>
        </w:rPr>
        <w:t>пэг</w:t>
      </w:r>
      <w:r w:rsidR="00387A25" w:rsidRPr="009F500F">
        <w:rPr>
          <w:bCs/>
          <w:iCs/>
        </w:rPr>
        <w:t xml:space="preserve">аспарагаза </w:t>
      </w:r>
      <w:r w:rsidR="00B42B8A" w:rsidRPr="009F500F">
        <w:rPr>
          <w:bCs/>
          <w:iCs/>
        </w:rPr>
        <w:t>** 1000 ЕД/м²   3 день</w:t>
      </w:r>
    </w:p>
    <w:p w14:paraId="7AE47534" w14:textId="56D0B499" w:rsidR="00533FE8" w:rsidRPr="007255E3" w:rsidRDefault="00533FE8" w:rsidP="00533FE8">
      <w:pPr>
        <w:rPr>
          <w:bCs/>
          <w:i/>
          <w:iCs/>
          <w:szCs w:val="24"/>
        </w:rPr>
      </w:pPr>
      <w:r w:rsidRPr="00A978F1">
        <w:rPr>
          <w:bCs/>
          <w:i/>
          <w:iCs/>
          <w:szCs w:val="24"/>
        </w:rPr>
        <w:t>(суммарная до</w:t>
      </w:r>
      <w:r>
        <w:rPr>
          <w:bCs/>
          <w:i/>
          <w:iCs/>
          <w:szCs w:val="24"/>
        </w:rPr>
        <w:t xml:space="preserve">за антрациклиновых антибиотиков </w:t>
      </w:r>
      <w:r w:rsidRPr="00A978F1">
        <w:rPr>
          <w:bCs/>
          <w:i/>
          <w:iCs/>
          <w:szCs w:val="24"/>
        </w:rPr>
        <w:t>к моме</w:t>
      </w:r>
      <w:r w:rsidR="00A50DAA">
        <w:rPr>
          <w:bCs/>
          <w:i/>
          <w:iCs/>
          <w:szCs w:val="24"/>
        </w:rPr>
        <w:t>нту завершения 3-го</w:t>
      </w:r>
      <w:r w:rsidRPr="00A978F1">
        <w:rPr>
          <w:bCs/>
          <w:i/>
          <w:iCs/>
          <w:szCs w:val="24"/>
        </w:rPr>
        <w:t xml:space="preserve"> курса</w:t>
      </w:r>
      <w:r w:rsidR="00A50DAA">
        <w:rPr>
          <w:bCs/>
          <w:i/>
          <w:iCs/>
          <w:szCs w:val="24"/>
        </w:rPr>
        <w:t xml:space="preserve"> </w:t>
      </w:r>
      <w:r w:rsidRPr="00A978F1">
        <w:rPr>
          <w:bCs/>
          <w:i/>
          <w:iCs/>
          <w:szCs w:val="24"/>
        </w:rPr>
        <w:t>подд</w:t>
      </w:r>
      <w:r>
        <w:rPr>
          <w:bCs/>
          <w:i/>
          <w:iCs/>
          <w:szCs w:val="24"/>
        </w:rPr>
        <w:t xml:space="preserve">ерживающей терапии составляет </w:t>
      </w:r>
      <w:r w:rsidRPr="00A978F1">
        <w:rPr>
          <w:bCs/>
          <w:i/>
          <w:iCs/>
          <w:szCs w:val="24"/>
        </w:rPr>
        <w:t>360 мг/м</w:t>
      </w:r>
      <w:r w:rsidRPr="00A978F1">
        <w:rPr>
          <w:bCs/>
          <w:i/>
          <w:iCs/>
          <w:szCs w:val="24"/>
          <w:vertAlign w:val="superscript"/>
        </w:rPr>
        <w:t>2</w:t>
      </w:r>
      <w:r w:rsidRPr="00A978F1">
        <w:rPr>
          <w:bCs/>
          <w:i/>
          <w:iCs/>
          <w:szCs w:val="24"/>
        </w:rPr>
        <w:t xml:space="preserve"> в р</w:t>
      </w:r>
      <w:r>
        <w:rPr>
          <w:bCs/>
          <w:i/>
          <w:iCs/>
          <w:szCs w:val="24"/>
        </w:rPr>
        <w:t xml:space="preserve">асчете на </w:t>
      </w:r>
      <w:r w:rsidR="00AF151A">
        <w:rPr>
          <w:bCs/>
          <w:i/>
          <w:iCs/>
          <w:szCs w:val="24"/>
        </w:rPr>
        <w:t>даунорубицин</w:t>
      </w:r>
      <w:r w:rsidR="00A65A9B">
        <w:rPr>
          <w:bCs/>
          <w:i/>
          <w:iCs/>
          <w:szCs w:val="24"/>
        </w:rPr>
        <w:t>**</w:t>
      </w:r>
      <w:r>
        <w:rPr>
          <w:bCs/>
          <w:i/>
          <w:iCs/>
          <w:szCs w:val="24"/>
        </w:rPr>
        <w:t>)</w:t>
      </w:r>
    </w:p>
    <w:p w14:paraId="29713AA3" w14:textId="77777777" w:rsidR="00533FE8" w:rsidRPr="00A978F1" w:rsidRDefault="00533FE8" w:rsidP="00533FE8">
      <w:pPr>
        <w:rPr>
          <w:b/>
          <w:bCs/>
          <w:i/>
          <w:iCs/>
          <w:szCs w:val="24"/>
        </w:rPr>
      </w:pPr>
      <w:r>
        <w:rPr>
          <w:b/>
          <w:bCs/>
          <w:i/>
          <w:iCs/>
          <w:szCs w:val="24"/>
        </w:rPr>
        <w:t xml:space="preserve">Поддерживающая терапия, </w:t>
      </w:r>
      <w:r w:rsidRPr="00A978F1">
        <w:rPr>
          <w:b/>
          <w:bCs/>
          <w:i/>
          <w:iCs/>
          <w:szCs w:val="24"/>
        </w:rPr>
        <w:t>циклы №</w:t>
      </w:r>
      <w:r w:rsidR="00387EE2">
        <w:rPr>
          <w:b/>
          <w:bCs/>
          <w:i/>
          <w:iCs/>
          <w:szCs w:val="24"/>
        </w:rPr>
        <w:t xml:space="preserve"> 21(4–</w:t>
      </w:r>
      <w:r w:rsidRPr="00A978F1">
        <w:rPr>
          <w:b/>
          <w:bCs/>
          <w:i/>
          <w:iCs/>
          <w:szCs w:val="24"/>
        </w:rPr>
        <w:t>24)</w:t>
      </w:r>
      <w:r w:rsidR="006943EA">
        <w:rPr>
          <w:b/>
          <w:bCs/>
          <w:i/>
          <w:iCs/>
          <w:szCs w:val="24"/>
        </w:rPr>
        <w:t>:</w:t>
      </w:r>
    </w:p>
    <w:p w14:paraId="77E344AC" w14:textId="77777777" w:rsidR="00533FE8" w:rsidRPr="001B7836" w:rsidRDefault="00533FE8" w:rsidP="00FF4C81">
      <w:pPr>
        <w:pStyle w:val="afff3"/>
        <w:numPr>
          <w:ilvl w:val="0"/>
          <w:numId w:val="29"/>
        </w:numPr>
        <w:rPr>
          <w:bCs/>
          <w:iCs/>
          <w:szCs w:val="24"/>
        </w:rPr>
      </w:pPr>
      <w:r w:rsidRPr="001B7836">
        <w:rPr>
          <w:szCs w:val="24"/>
        </w:rPr>
        <w:t>Дексаметазон</w:t>
      </w:r>
      <w:r w:rsidR="006F5D03" w:rsidRPr="001B7836">
        <w:rPr>
          <w:szCs w:val="24"/>
        </w:rPr>
        <w:t>**</w:t>
      </w:r>
      <w:r w:rsidRPr="001B7836">
        <w:rPr>
          <w:szCs w:val="24"/>
        </w:rPr>
        <w:t xml:space="preserve"> </w:t>
      </w:r>
      <w:r w:rsidRPr="001B7836">
        <w:rPr>
          <w:bCs/>
          <w:iCs/>
          <w:szCs w:val="24"/>
        </w:rPr>
        <w:t>10 мг/м²</w:t>
      </w:r>
      <w:r w:rsidR="00FE233A" w:rsidRPr="001B7836">
        <w:rPr>
          <w:bCs/>
          <w:iCs/>
          <w:szCs w:val="24"/>
        </w:rPr>
        <w:t>,</w:t>
      </w:r>
      <w:r w:rsidR="00387EE2" w:rsidRPr="001B7836">
        <w:rPr>
          <w:bCs/>
          <w:iCs/>
          <w:szCs w:val="24"/>
        </w:rPr>
        <w:t xml:space="preserve"> 1–</w:t>
      </w:r>
      <w:r w:rsidRPr="001B7836">
        <w:rPr>
          <w:bCs/>
          <w:iCs/>
          <w:szCs w:val="24"/>
        </w:rPr>
        <w:t>3</w:t>
      </w:r>
      <w:r w:rsidR="00387EE2" w:rsidRPr="001B7836">
        <w:rPr>
          <w:bCs/>
          <w:iCs/>
          <w:szCs w:val="24"/>
        </w:rPr>
        <w:t>-й</w:t>
      </w:r>
      <w:r w:rsidRPr="001B7836">
        <w:rPr>
          <w:bCs/>
          <w:iCs/>
          <w:szCs w:val="24"/>
        </w:rPr>
        <w:t xml:space="preserve"> дни </w:t>
      </w:r>
    </w:p>
    <w:p w14:paraId="64CE62EF" w14:textId="77777777" w:rsidR="00533FE8" w:rsidRPr="001B7836" w:rsidRDefault="00533FE8" w:rsidP="00FF4C81">
      <w:pPr>
        <w:pStyle w:val="afff3"/>
        <w:numPr>
          <w:ilvl w:val="0"/>
          <w:numId w:val="29"/>
        </w:numPr>
        <w:rPr>
          <w:szCs w:val="24"/>
        </w:rPr>
      </w:pPr>
      <w:r w:rsidRPr="001B7836">
        <w:rPr>
          <w:szCs w:val="24"/>
        </w:rPr>
        <w:t>Меркаптопурин</w:t>
      </w:r>
      <w:r w:rsidR="00714B4A" w:rsidRPr="001B7836">
        <w:rPr>
          <w:szCs w:val="24"/>
        </w:rPr>
        <w:t>**</w:t>
      </w:r>
      <w:r w:rsidRPr="001B7836">
        <w:rPr>
          <w:szCs w:val="24"/>
        </w:rPr>
        <w:t xml:space="preserve"> 50 мг/м²</w:t>
      </w:r>
      <w:r w:rsidR="00FE233A" w:rsidRPr="001B7836">
        <w:rPr>
          <w:szCs w:val="24"/>
        </w:rPr>
        <w:t xml:space="preserve">, </w:t>
      </w:r>
      <w:r w:rsidR="00387EE2" w:rsidRPr="001B7836">
        <w:rPr>
          <w:szCs w:val="24"/>
        </w:rPr>
        <w:t>4–</w:t>
      </w:r>
      <w:r w:rsidRPr="001B7836">
        <w:rPr>
          <w:szCs w:val="24"/>
        </w:rPr>
        <w:t>28</w:t>
      </w:r>
      <w:r w:rsidR="00387EE2" w:rsidRPr="001B7836">
        <w:rPr>
          <w:szCs w:val="24"/>
        </w:rPr>
        <w:t>-й</w:t>
      </w:r>
      <w:r w:rsidRPr="001B7836">
        <w:rPr>
          <w:szCs w:val="24"/>
        </w:rPr>
        <w:t xml:space="preserve"> дни</w:t>
      </w:r>
    </w:p>
    <w:p w14:paraId="5CB64CC1" w14:textId="77777777" w:rsidR="00533FE8" w:rsidRPr="001B7836" w:rsidRDefault="00533FE8" w:rsidP="00FF4C81">
      <w:pPr>
        <w:pStyle w:val="afff3"/>
        <w:numPr>
          <w:ilvl w:val="0"/>
          <w:numId w:val="29"/>
        </w:numPr>
        <w:rPr>
          <w:bCs/>
          <w:iCs/>
          <w:szCs w:val="24"/>
        </w:rPr>
      </w:pPr>
      <w:r w:rsidRPr="001B7836">
        <w:rPr>
          <w:bCs/>
          <w:iCs/>
          <w:szCs w:val="24"/>
        </w:rPr>
        <w:t>Винкристин</w:t>
      </w:r>
      <w:r w:rsidR="00457E7B" w:rsidRPr="001B7836">
        <w:rPr>
          <w:bCs/>
          <w:iCs/>
          <w:szCs w:val="24"/>
        </w:rPr>
        <w:t>**</w:t>
      </w:r>
      <w:r w:rsidRPr="001B7836">
        <w:rPr>
          <w:bCs/>
          <w:iCs/>
          <w:szCs w:val="24"/>
        </w:rPr>
        <w:t xml:space="preserve"> 2 мг</w:t>
      </w:r>
      <w:r w:rsidR="00FE233A" w:rsidRPr="001B7836">
        <w:rPr>
          <w:bCs/>
          <w:iCs/>
          <w:szCs w:val="24"/>
        </w:rPr>
        <w:t>,</w:t>
      </w:r>
      <w:r w:rsidRPr="001B7836">
        <w:rPr>
          <w:bCs/>
          <w:iCs/>
          <w:szCs w:val="24"/>
        </w:rPr>
        <w:t xml:space="preserve"> 1</w:t>
      </w:r>
      <w:r w:rsidR="00387EE2" w:rsidRPr="001B7836">
        <w:rPr>
          <w:bCs/>
          <w:iCs/>
          <w:szCs w:val="24"/>
        </w:rPr>
        <w:t>-й</w:t>
      </w:r>
      <w:r w:rsidRPr="001B7836">
        <w:rPr>
          <w:bCs/>
          <w:iCs/>
          <w:szCs w:val="24"/>
        </w:rPr>
        <w:t xml:space="preserve"> день</w:t>
      </w:r>
    </w:p>
    <w:p w14:paraId="58AB7176" w14:textId="77777777" w:rsidR="00533FE8" w:rsidRPr="001B7836" w:rsidRDefault="00533FE8" w:rsidP="00FF4C81">
      <w:pPr>
        <w:pStyle w:val="afff3"/>
        <w:numPr>
          <w:ilvl w:val="0"/>
          <w:numId w:val="29"/>
        </w:numPr>
        <w:rPr>
          <w:bCs/>
          <w:iCs/>
          <w:szCs w:val="24"/>
        </w:rPr>
      </w:pPr>
      <w:r w:rsidRPr="001B7836">
        <w:rPr>
          <w:szCs w:val="24"/>
        </w:rPr>
        <w:t>Метотрексат</w:t>
      </w:r>
      <w:r w:rsidR="00392AAF" w:rsidRPr="001B7836">
        <w:rPr>
          <w:szCs w:val="24"/>
        </w:rPr>
        <w:t>**</w:t>
      </w:r>
      <w:r w:rsidRPr="001B7836">
        <w:rPr>
          <w:szCs w:val="24"/>
        </w:rPr>
        <w:t xml:space="preserve"> 3</w:t>
      </w:r>
      <w:r w:rsidRPr="001B7836">
        <w:rPr>
          <w:bCs/>
          <w:iCs/>
          <w:szCs w:val="24"/>
        </w:rPr>
        <w:t>0 мг/м²</w:t>
      </w:r>
      <w:r w:rsidR="00FE233A" w:rsidRPr="001B7836">
        <w:rPr>
          <w:bCs/>
          <w:iCs/>
          <w:szCs w:val="24"/>
        </w:rPr>
        <w:t>,</w:t>
      </w:r>
      <w:r w:rsidRPr="001B7836">
        <w:rPr>
          <w:bCs/>
          <w:iCs/>
          <w:szCs w:val="24"/>
        </w:rPr>
        <w:t xml:space="preserve"> 2,</w:t>
      </w:r>
      <w:r w:rsidR="00387EE2" w:rsidRPr="001B7836">
        <w:rPr>
          <w:bCs/>
          <w:iCs/>
          <w:szCs w:val="24"/>
        </w:rPr>
        <w:t xml:space="preserve"> </w:t>
      </w:r>
      <w:r w:rsidRPr="001B7836">
        <w:rPr>
          <w:bCs/>
          <w:iCs/>
          <w:szCs w:val="24"/>
        </w:rPr>
        <w:t>9,</w:t>
      </w:r>
      <w:r w:rsidR="00387EE2" w:rsidRPr="001B7836">
        <w:rPr>
          <w:bCs/>
          <w:iCs/>
          <w:szCs w:val="24"/>
        </w:rPr>
        <w:t xml:space="preserve"> </w:t>
      </w:r>
      <w:r w:rsidRPr="001B7836">
        <w:rPr>
          <w:bCs/>
          <w:iCs/>
          <w:szCs w:val="24"/>
        </w:rPr>
        <w:t>16,</w:t>
      </w:r>
      <w:r w:rsidR="00387EE2" w:rsidRPr="001B7836">
        <w:rPr>
          <w:bCs/>
          <w:iCs/>
          <w:szCs w:val="24"/>
        </w:rPr>
        <w:t xml:space="preserve"> </w:t>
      </w:r>
      <w:r w:rsidRPr="001B7836">
        <w:rPr>
          <w:bCs/>
          <w:iCs/>
          <w:szCs w:val="24"/>
        </w:rPr>
        <w:t>23</w:t>
      </w:r>
      <w:r w:rsidR="00387EE2" w:rsidRPr="001B7836">
        <w:rPr>
          <w:bCs/>
          <w:iCs/>
          <w:szCs w:val="24"/>
        </w:rPr>
        <w:t>-й</w:t>
      </w:r>
      <w:r w:rsidRPr="001B7836">
        <w:rPr>
          <w:bCs/>
          <w:iCs/>
          <w:szCs w:val="24"/>
        </w:rPr>
        <w:t xml:space="preserve"> дни </w:t>
      </w:r>
    </w:p>
    <w:p w14:paraId="442CA48B" w14:textId="3B11865E" w:rsidR="00533FE8" w:rsidRPr="009F500F" w:rsidRDefault="00AF151A" w:rsidP="00EC7111">
      <w:pPr>
        <w:pStyle w:val="afff3"/>
        <w:numPr>
          <w:ilvl w:val="0"/>
          <w:numId w:val="28"/>
        </w:numPr>
        <w:rPr>
          <w:bCs/>
          <w:iCs/>
          <w:szCs w:val="24"/>
        </w:rPr>
      </w:pPr>
      <w:r w:rsidRPr="009F500F">
        <w:rPr>
          <w:szCs w:val="24"/>
        </w:rPr>
        <w:t>А</w:t>
      </w:r>
      <w:r w:rsidR="00533FE8" w:rsidRPr="009F500F">
        <w:rPr>
          <w:szCs w:val="24"/>
        </w:rPr>
        <w:t>спарагиназа</w:t>
      </w:r>
      <w:r w:rsidR="00714B4A" w:rsidRPr="009F500F">
        <w:rPr>
          <w:szCs w:val="24"/>
        </w:rPr>
        <w:t>**</w:t>
      </w:r>
      <w:r w:rsidR="00533FE8" w:rsidRPr="009F500F">
        <w:rPr>
          <w:szCs w:val="24"/>
        </w:rPr>
        <w:t xml:space="preserve"> 10</w:t>
      </w:r>
      <w:r w:rsidR="00FE233A" w:rsidRPr="009F500F">
        <w:rPr>
          <w:szCs w:val="24"/>
        </w:rPr>
        <w:t> </w:t>
      </w:r>
      <w:r w:rsidR="00533FE8" w:rsidRPr="009F500F">
        <w:rPr>
          <w:szCs w:val="24"/>
        </w:rPr>
        <w:t>000 ЕД/м²</w:t>
      </w:r>
      <w:r w:rsidR="00FE233A" w:rsidRPr="009F500F">
        <w:rPr>
          <w:szCs w:val="24"/>
        </w:rPr>
        <w:t>,</w:t>
      </w:r>
      <w:r w:rsidR="00533FE8" w:rsidRPr="009F500F">
        <w:rPr>
          <w:szCs w:val="24"/>
        </w:rPr>
        <w:t xml:space="preserve"> 3</w:t>
      </w:r>
      <w:r w:rsidR="00387EE2" w:rsidRPr="009F500F">
        <w:rPr>
          <w:szCs w:val="24"/>
        </w:rPr>
        <w:t>-й</w:t>
      </w:r>
      <w:r w:rsidR="00533FE8" w:rsidRPr="009F500F">
        <w:rPr>
          <w:szCs w:val="24"/>
        </w:rPr>
        <w:t>,</w:t>
      </w:r>
      <w:r w:rsidR="00387EE2" w:rsidRPr="009F500F">
        <w:rPr>
          <w:szCs w:val="24"/>
        </w:rPr>
        <w:t xml:space="preserve"> </w:t>
      </w:r>
      <w:r w:rsidR="00533FE8" w:rsidRPr="009F500F">
        <w:rPr>
          <w:szCs w:val="24"/>
        </w:rPr>
        <w:t>10</w:t>
      </w:r>
      <w:r w:rsidR="00387EE2" w:rsidRPr="009F500F">
        <w:rPr>
          <w:szCs w:val="24"/>
        </w:rPr>
        <w:t>-й</w:t>
      </w:r>
      <w:r w:rsidR="00533FE8" w:rsidRPr="009F500F">
        <w:rPr>
          <w:szCs w:val="24"/>
        </w:rPr>
        <w:t xml:space="preserve"> дни</w:t>
      </w:r>
      <w:r w:rsidR="00EC7111" w:rsidRPr="009F500F">
        <w:rPr>
          <w:szCs w:val="24"/>
        </w:rPr>
        <w:t xml:space="preserve"> </w:t>
      </w:r>
      <w:r w:rsidR="00EC7111" w:rsidRPr="009F500F">
        <w:rPr>
          <w:bCs/>
          <w:iCs/>
        </w:rPr>
        <w:t xml:space="preserve">или </w:t>
      </w:r>
      <w:r w:rsidR="00387A25">
        <w:rPr>
          <w:bCs/>
          <w:iCs/>
        </w:rPr>
        <w:t>пэг</w:t>
      </w:r>
      <w:r w:rsidR="00387A25" w:rsidRPr="009F500F">
        <w:rPr>
          <w:bCs/>
          <w:iCs/>
        </w:rPr>
        <w:t xml:space="preserve">аспарагаза </w:t>
      </w:r>
      <w:r w:rsidR="00EC7111" w:rsidRPr="009F500F">
        <w:rPr>
          <w:bCs/>
          <w:iCs/>
        </w:rPr>
        <w:t>** 1000 ЕД/м²   3 день</w:t>
      </w:r>
    </w:p>
    <w:p w14:paraId="4CDD9F57" w14:textId="77777777" w:rsidR="00533FE8" w:rsidRPr="00A978F1" w:rsidRDefault="00533FE8" w:rsidP="00533FE8">
      <w:pPr>
        <w:rPr>
          <w:b/>
          <w:bCs/>
          <w:i/>
          <w:iCs/>
          <w:szCs w:val="24"/>
        </w:rPr>
      </w:pPr>
      <w:r w:rsidRPr="00A978F1">
        <w:rPr>
          <w:b/>
          <w:bCs/>
          <w:i/>
          <w:iCs/>
          <w:szCs w:val="24"/>
        </w:rPr>
        <w:t>Профилактика нейролейкемии</w:t>
      </w:r>
    </w:p>
    <w:p w14:paraId="6D36985B" w14:textId="77777777" w:rsidR="00533FE8" w:rsidRPr="00A978F1" w:rsidRDefault="00533FE8" w:rsidP="00533FE8">
      <w:pPr>
        <w:rPr>
          <w:szCs w:val="24"/>
        </w:rPr>
      </w:pPr>
      <w:r>
        <w:rPr>
          <w:szCs w:val="24"/>
        </w:rPr>
        <w:t>Интратекально</w:t>
      </w:r>
      <w:r w:rsidRPr="00A978F1">
        <w:rPr>
          <w:szCs w:val="24"/>
        </w:rPr>
        <w:t xml:space="preserve"> (</w:t>
      </w:r>
      <w:r w:rsidR="006F5D03">
        <w:rPr>
          <w:szCs w:val="24"/>
        </w:rPr>
        <w:t>цитарабин</w:t>
      </w:r>
      <w:r w:rsidR="00421699">
        <w:rPr>
          <w:szCs w:val="24"/>
        </w:rPr>
        <w:t>**</w:t>
      </w:r>
      <w:r w:rsidRPr="00A978F1">
        <w:rPr>
          <w:szCs w:val="24"/>
        </w:rPr>
        <w:t xml:space="preserve"> 30</w:t>
      </w:r>
      <w:r w:rsidR="00AF151A">
        <w:rPr>
          <w:szCs w:val="24"/>
        </w:rPr>
        <w:t xml:space="preserve"> </w:t>
      </w:r>
      <w:r w:rsidRPr="00A978F1">
        <w:rPr>
          <w:szCs w:val="24"/>
        </w:rPr>
        <w:t xml:space="preserve">мг, </w:t>
      </w:r>
      <w:r w:rsidR="006F5D03" w:rsidRPr="00A978F1">
        <w:rPr>
          <w:szCs w:val="24"/>
        </w:rPr>
        <w:t>метотрексат</w:t>
      </w:r>
      <w:r w:rsidR="00392AAF">
        <w:rPr>
          <w:szCs w:val="24"/>
        </w:rPr>
        <w:t>**</w:t>
      </w:r>
      <w:r w:rsidR="006F5D03" w:rsidRPr="00A978F1">
        <w:rPr>
          <w:szCs w:val="24"/>
        </w:rPr>
        <w:t xml:space="preserve"> </w:t>
      </w:r>
      <w:r w:rsidRPr="00A978F1">
        <w:rPr>
          <w:szCs w:val="24"/>
        </w:rPr>
        <w:t>15</w:t>
      </w:r>
      <w:r w:rsidR="00AF151A">
        <w:rPr>
          <w:szCs w:val="24"/>
        </w:rPr>
        <w:t xml:space="preserve"> </w:t>
      </w:r>
      <w:r w:rsidRPr="00A978F1">
        <w:rPr>
          <w:szCs w:val="24"/>
        </w:rPr>
        <w:t xml:space="preserve">мг, </w:t>
      </w:r>
      <w:r w:rsidR="006F5D03">
        <w:rPr>
          <w:szCs w:val="24"/>
        </w:rPr>
        <w:t>дексаметазон**</w:t>
      </w:r>
      <w:r w:rsidRPr="00A978F1">
        <w:rPr>
          <w:szCs w:val="24"/>
        </w:rPr>
        <w:t xml:space="preserve"> 4</w:t>
      </w:r>
      <w:r>
        <w:rPr>
          <w:szCs w:val="24"/>
        </w:rPr>
        <w:t xml:space="preserve"> </w:t>
      </w:r>
      <w:r w:rsidR="00387EE2">
        <w:rPr>
          <w:szCs w:val="24"/>
        </w:rPr>
        <w:t xml:space="preserve">мг): </w:t>
      </w:r>
      <w:r w:rsidRPr="00A978F1">
        <w:rPr>
          <w:szCs w:val="24"/>
        </w:rPr>
        <w:t>0, 7, 14, 21, 28, 35, 70</w:t>
      </w:r>
      <w:r w:rsidR="00387EE2">
        <w:rPr>
          <w:szCs w:val="24"/>
        </w:rPr>
        <w:t>-й</w:t>
      </w:r>
      <w:r w:rsidRPr="00A978F1">
        <w:rPr>
          <w:szCs w:val="24"/>
        </w:rPr>
        <w:t xml:space="preserve"> </w:t>
      </w:r>
      <w:r w:rsidR="00387EE2">
        <w:rPr>
          <w:szCs w:val="24"/>
        </w:rPr>
        <w:t xml:space="preserve">дни </w:t>
      </w:r>
      <w:r w:rsidRPr="00A978F1">
        <w:rPr>
          <w:szCs w:val="24"/>
        </w:rPr>
        <w:t xml:space="preserve">в течение </w:t>
      </w:r>
      <w:r w:rsidR="005A099E">
        <w:rPr>
          <w:szCs w:val="24"/>
        </w:rPr>
        <w:t>ИТ</w:t>
      </w:r>
      <w:r w:rsidR="00387EE2">
        <w:rPr>
          <w:szCs w:val="24"/>
        </w:rPr>
        <w:t>,</w:t>
      </w:r>
      <w:r w:rsidRPr="00A978F1">
        <w:rPr>
          <w:szCs w:val="24"/>
        </w:rPr>
        <w:t xml:space="preserve"> 105</w:t>
      </w:r>
      <w:r w:rsidR="00387EE2">
        <w:rPr>
          <w:szCs w:val="24"/>
        </w:rPr>
        <w:t>-й день</w:t>
      </w:r>
      <w:r w:rsidRPr="00A978F1">
        <w:rPr>
          <w:szCs w:val="24"/>
        </w:rPr>
        <w:t xml:space="preserve"> консолидации </w:t>
      </w:r>
      <w:r w:rsidRPr="00A978F1">
        <w:rPr>
          <w:szCs w:val="24"/>
          <w:lang w:val="en-US"/>
        </w:rPr>
        <w:t>II</w:t>
      </w:r>
      <w:r w:rsidRPr="00A978F1">
        <w:rPr>
          <w:szCs w:val="24"/>
        </w:rPr>
        <w:t xml:space="preserve">, каждые 3 месяца в </w:t>
      </w:r>
      <w:r>
        <w:rPr>
          <w:szCs w:val="24"/>
        </w:rPr>
        <w:t>течение поддерживающей терапии.</w:t>
      </w:r>
    </w:p>
    <w:p w14:paraId="627FCD66" w14:textId="77777777" w:rsidR="00533FE8" w:rsidRPr="00A978F1" w:rsidRDefault="00533FE8" w:rsidP="00533FE8">
      <w:pPr>
        <w:ind w:left="-540" w:firstLine="540"/>
        <w:rPr>
          <w:b/>
          <w:i/>
          <w:szCs w:val="24"/>
        </w:rPr>
      </w:pPr>
      <w:r w:rsidRPr="00A978F1">
        <w:rPr>
          <w:b/>
          <w:i/>
          <w:szCs w:val="24"/>
        </w:rPr>
        <w:t>Лечение нейролейкемии</w:t>
      </w:r>
    </w:p>
    <w:p w14:paraId="5085DEC0" w14:textId="77777777" w:rsidR="00D42B22" w:rsidRDefault="00533FE8" w:rsidP="00533FE8">
      <w:pPr>
        <w:spacing w:before="120"/>
        <w:rPr>
          <w:szCs w:val="24"/>
        </w:rPr>
      </w:pPr>
      <w:r w:rsidRPr="00A978F1">
        <w:rPr>
          <w:szCs w:val="24"/>
        </w:rPr>
        <w:t xml:space="preserve">После диагностики нейролейкемии все больные, получающие </w:t>
      </w:r>
      <w:r>
        <w:rPr>
          <w:szCs w:val="24"/>
        </w:rPr>
        <w:t>преднизолон</w:t>
      </w:r>
      <w:r w:rsidR="00802EF2">
        <w:rPr>
          <w:szCs w:val="24"/>
        </w:rPr>
        <w:t>**</w:t>
      </w:r>
      <w:r w:rsidRPr="00A978F1">
        <w:rPr>
          <w:szCs w:val="24"/>
        </w:rPr>
        <w:t xml:space="preserve">, переводятся на </w:t>
      </w:r>
      <w:r>
        <w:rPr>
          <w:szCs w:val="24"/>
        </w:rPr>
        <w:t>дексаметазон</w:t>
      </w:r>
      <w:r w:rsidR="006F5D03">
        <w:rPr>
          <w:szCs w:val="24"/>
        </w:rPr>
        <w:t>**</w:t>
      </w:r>
      <w:r w:rsidRPr="00A978F1">
        <w:rPr>
          <w:szCs w:val="24"/>
        </w:rPr>
        <w:t>. Люмбальные пун</w:t>
      </w:r>
      <w:r w:rsidR="00387EE2">
        <w:rPr>
          <w:szCs w:val="24"/>
        </w:rPr>
        <w:t>кции выполняются с частотой 1 раз в 2-3 дня до получения 3</w:t>
      </w:r>
      <w:r w:rsidRPr="00A978F1">
        <w:rPr>
          <w:szCs w:val="24"/>
        </w:rPr>
        <w:t xml:space="preserve"> нормальных анализов ликвора</w:t>
      </w:r>
      <w:r w:rsidR="00387EE2">
        <w:rPr>
          <w:szCs w:val="24"/>
        </w:rPr>
        <w:t xml:space="preserve">, затем пункции выполняются 1 раз в неделю </w:t>
      </w:r>
      <w:r w:rsidRPr="00A978F1">
        <w:rPr>
          <w:szCs w:val="24"/>
        </w:rPr>
        <w:t>в течение</w:t>
      </w:r>
      <w:r w:rsidR="00387EE2">
        <w:rPr>
          <w:szCs w:val="24"/>
        </w:rPr>
        <w:t>3 мес, затем 1</w:t>
      </w:r>
      <w:r>
        <w:rPr>
          <w:szCs w:val="24"/>
        </w:rPr>
        <w:t xml:space="preserve"> раз в</w:t>
      </w:r>
      <w:r w:rsidR="00387EE2">
        <w:rPr>
          <w:szCs w:val="24"/>
        </w:rPr>
        <w:t xml:space="preserve"> 2 нед в течение 3 мес, затем 1 раз в 2 мес</w:t>
      </w:r>
      <w:r w:rsidRPr="00A978F1">
        <w:rPr>
          <w:szCs w:val="24"/>
        </w:rPr>
        <w:t xml:space="preserve"> до окончания лечения.</w:t>
      </w:r>
    </w:p>
    <w:p w14:paraId="2222DA64" w14:textId="77777777" w:rsidR="00D42B22" w:rsidRDefault="00D42B22" w:rsidP="00D42B22">
      <w:pPr>
        <w:rPr>
          <w:b/>
        </w:rPr>
      </w:pPr>
    </w:p>
    <w:p w14:paraId="499627BD" w14:textId="43C4B0FC" w:rsidR="00D42B22" w:rsidRPr="009F500F" w:rsidRDefault="00D42B22" w:rsidP="00D42B22">
      <w:pPr>
        <w:rPr>
          <w:b/>
        </w:rPr>
      </w:pPr>
      <w:r w:rsidRPr="009F500F">
        <w:rPr>
          <w:b/>
        </w:rPr>
        <w:t xml:space="preserve">Протокол российской исследовательской группы </w:t>
      </w:r>
      <w:r w:rsidRPr="009F500F">
        <w:rPr>
          <w:rFonts w:eastAsia="MS Mincho"/>
          <w:b/>
          <w:lang w:eastAsia="ja-JP"/>
        </w:rPr>
        <w:t xml:space="preserve">для </w:t>
      </w:r>
      <w:r w:rsidRPr="009F500F">
        <w:rPr>
          <w:rFonts w:eastAsia="MS Mincho"/>
          <w:b/>
          <w:lang w:val="en-US" w:eastAsia="ja-JP"/>
        </w:rPr>
        <w:t>Ph</w:t>
      </w:r>
      <w:r w:rsidRPr="009F500F">
        <w:rPr>
          <w:rFonts w:eastAsia="MS Mincho"/>
          <w:b/>
          <w:lang w:eastAsia="ja-JP"/>
        </w:rPr>
        <w:t xml:space="preserve">-негативных ОЛЛ у пациентов в возрасте моложе 55 лет </w:t>
      </w:r>
      <w:r w:rsidRPr="009F500F">
        <w:rPr>
          <w:b/>
        </w:rPr>
        <w:t>– «ОЛЛ-2016»</w:t>
      </w:r>
    </w:p>
    <w:p w14:paraId="7A6B0B77" w14:textId="6BC68272" w:rsidR="00D42B22" w:rsidRPr="009F500F" w:rsidRDefault="00D42B22" w:rsidP="004905C2">
      <w:pPr>
        <w:pStyle w:val="2"/>
      </w:pPr>
      <w:bookmarkStart w:id="243" w:name="_Toc475371946"/>
      <w:r w:rsidRPr="009F500F">
        <w:t>Схема протокола «</w:t>
      </w:r>
      <w:r w:rsidRPr="009F500F">
        <w:rPr>
          <w:lang w:val="en-US"/>
        </w:rPr>
        <w:t>ALL</w:t>
      </w:r>
      <w:r w:rsidRPr="009F500F">
        <w:t>-2016»</w:t>
      </w:r>
      <w:bookmarkEnd w:id="243"/>
    </w:p>
    <w:p w14:paraId="77A3D148" w14:textId="77777777" w:rsidR="00D42B22" w:rsidRPr="009F500F" w:rsidRDefault="00D42B22" w:rsidP="00D42B22">
      <w:pPr>
        <w:jc w:val="center"/>
        <w:rPr>
          <w:b/>
          <w:bCs/>
          <w:i/>
          <w:iCs/>
        </w:rPr>
      </w:pPr>
    </w:p>
    <w:p w14:paraId="62A0BD80" w14:textId="3CD896FA" w:rsidR="00D42B22" w:rsidRPr="009F500F" w:rsidRDefault="00D42B22" w:rsidP="00D42B22">
      <w:pPr>
        <w:jc w:val="center"/>
      </w:pPr>
      <w:r w:rsidRPr="009F500F">
        <w:rPr>
          <w:b/>
          <w:bCs/>
          <w:i/>
          <w:iCs/>
        </w:rPr>
        <w:t>Предфаза:</w:t>
      </w:r>
      <w:r w:rsidRPr="009F500F">
        <w:t xml:space="preserve">  Преднизолон</w:t>
      </w:r>
      <w:r w:rsidR="00B42B8A" w:rsidRPr="009F500F">
        <w:t>**</w:t>
      </w:r>
      <w:r w:rsidRPr="009F500F">
        <w:t xml:space="preserve"> 60 мг/м²   1-7 дни</w:t>
      </w:r>
    </w:p>
    <w:p w14:paraId="4B92CB90" w14:textId="77777777" w:rsidR="00D42B22" w:rsidRPr="009F500F" w:rsidRDefault="00D42B22" w:rsidP="00D42B22">
      <w:pPr>
        <w:jc w:val="center"/>
        <w:rPr>
          <w:b/>
        </w:rPr>
      </w:pPr>
      <w:r w:rsidRPr="009F500F">
        <w:rPr>
          <w:noProof/>
        </w:rPr>
        <mc:AlternateContent>
          <mc:Choice Requires="wps">
            <w:drawing>
              <wp:anchor distT="0" distB="0" distL="114300" distR="114300" simplePos="0" relativeHeight="251692544" behindDoc="0" locked="0" layoutInCell="1" allowOverlap="1" wp14:anchorId="7C6E7AFA" wp14:editId="3570C833">
                <wp:simplePos x="0" y="0"/>
                <wp:positionH relativeFrom="column">
                  <wp:posOffset>4156075</wp:posOffset>
                </wp:positionH>
                <wp:positionV relativeFrom="paragraph">
                  <wp:posOffset>91440</wp:posOffset>
                </wp:positionV>
                <wp:extent cx="1216025" cy="114300"/>
                <wp:effectExtent l="12700" t="5715" r="19050" b="60960"/>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16025"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E65C39" id="Прямая соединительная линия 2" o:spid="_x0000_s1026" style="position:absolute;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7.25pt,7.2pt" to="423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">
                <v:stroke endarrow="block"/>
              </v:line>
            </w:pict>
          </mc:Fallback>
        </mc:AlternateContent>
      </w:r>
      <w:r w:rsidRPr="009F500F">
        <w:rPr>
          <w:noProof/>
        </w:rPr>
        <mc:AlternateContent>
          <mc:Choice Requires="wps">
            <w:drawing>
              <wp:anchor distT="0" distB="0" distL="114300" distR="114300" simplePos="0" relativeHeight="251693568" behindDoc="0" locked="0" layoutInCell="1" allowOverlap="1" wp14:anchorId="42BD1E46" wp14:editId="6C3F43C9">
                <wp:simplePos x="0" y="0"/>
                <wp:positionH relativeFrom="column">
                  <wp:posOffset>571500</wp:posOffset>
                </wp:positionH>
                <wp:positionV relativeFrom="paragraph">
                  <wp:posOffset>91440</wp:posOffset>
                </wp:positionV>
                <wp:extent cx="1209675" cy="114300"/>
                <wp:effectExtent l="19050" t="5715" r="9525" b="60960"/>
                <wp:wrapNone/>
                <wp:docPr id="63" name="Прямая соединительная линия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09675"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D63F7F" id="Прямая соединительная линия 63" o:spid="_x0000_s1026" style="position:absolute;flip:x;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7.2pt" to="140.25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">
                <v:stroke endarrow="block"/>
              </v:line>
            </w:pict>
          </mc:Fallback>
        </mc:AlternateContent>
      </w:r>
      <w:r w:rsidRPr="009F500F">
        <w:rPr>
          <w:b/>
          <w:bCs/>
        </w:rPr>
        <w:t>Пункция КМ на 8 день</w:t>
      </w:r>
    </w:p>
    <w:p w14:paraId="59983B03" w14:textId="77777777" w:rsidR="00D42B22" w:rsidRPr="009F500F" w:rsidRDefault="00D42B22" w:rsidP="00D42B22">
      <w:pPr>
        <w:rPr>
          <w:bCs/>
        </w:rPr>
      </w:pPr>
      <w:r w:rsidRPr="009F500F">
        <w:rPr>
          <w:b/>
          <w:bCs/>
        </w:rPr>
        <w:t xml:space="preserve">      </w:t>
      </w:r>
      <w:r w:rsidRPr="009F500F">
        <w:rPr>
          <w:bCs/>
        </w:rPr>
        <w:t xml:space="preserve">&lt; 25% бластов                                                                                </w:t>
      </w:r>
      <w:r w:rsidRPr="009F500F">
        <w:rPr>
          <w:bCs/>
          <w:u w:val="single"/>
        </w:rPr>
        <w:t>&gt;</w:t>
      </w:r>
      <w:r w:rsidRPr="009F500F">
        <w:rPr>
          <w:bCs/>
        </w:rPr>
        <w:t xml:space="preserve"> 25% бластов</w:t>
      </w:r>
    </w:p>
    <w:p w14:paraId="401CCAEA" w14:textId="77777777" w:rsidR="00D42B22" w:rsidRPr="009F500F" w:rsidRDefault="00D42B22" w:rsidP="00D42B22">
      <w:pPr>
        <w:rPr>
          <w:b/>
          <w:bCs/>
          <w:i/>
          <w:iCs/>
        </w:rPr>
      </w:pPr>
      <w:r w:rsidRPr="009F500F">
        <w:rPr>
          <w:b/>
          <w:bCs/>
          <w:i/>
          <w:iCs/>
          <w:u w:val="single"/>
        </w:rPr>
        <w:t xml:space="preserve">Индукция </w:t>
      </w:r>
      <w:r w:rsidRPr="009F500F">
        <w:rPr>
          <w:b/>
          <w:bCs/>
          <w:i/>
          <w:iCs/>
          <w:u w:val="single"/>
          <w:lang w:val="en-US"/>
        </w:rPr>
        <w:t>I</w:t>
      </w:r>
      <w:r w:rsidRPr="009F500F">
        <w:rPr>
          <w:b/>
          <w:bCs/>
          <w:i/>
          <w:iCs/>
          <w:u w:val="single"/>
        </w:rPr>
        <w:t xml:space="preserve"> фаза (8-36 дни)</w:t>
      </w:r>
      <w:r w:rsidRPr="009F500F">
        <w:rPr>
          <w:b/>
          <w:bCs/>
          <w:i/>
          <w:iCs/>
        </w:rPr>
        <w:t xml:space="preserve">                                               </w:t>
      </w:r>
      <w:r w:rsidRPr="009F500F">
        <w:rPr>
          <w:b/>
          <w:bCs/>
          <w:i/>
          <w:iCs/>
          <w:u w:val="single"/>
        </w:rPr>
        <w:t xml:space="preserve">Индукция </w:t>
      </w:r>
      <w:r w:rsidRPr="009F500F">
        <w:rPr>
          <w:b/>
          <w:bCs/>
          <w:i/>
          <w:iCs/>
          <w:u w:val="single"/>
          <w:lang w:val="en-US"/>
        </w:rPr>
        <w:t>I</w:t>
      </w:r>
      <w:r w:rsidRPr="009F500F">
        <w:rPr>
          <w:b/>
          <w:bCs/>
          <w:i/>
          <w:iCs/>
          <w:u w:val="single"/>
        </w:rPr>
        <w:t xml:space="preserve"> фаза (8-36 дни)</w:t>
      </w:r>
    </w:p>
    <w:p w14:paraId="2BA15145" w14:textId="0A472483" w:rsidR="00D42B22" w:rsidRPr="009F500F" w:rsidRDefault="00D42B22" w:rsidP="00D42B22">
      <w:r w:rsidRPr="009F500F">
        <w:rPr>
          <w:i/>
        </w:rPr>
        <w:t>Преднизолон</w:t>
      </w:r>
      <w:r w:rsidR="00B42B8A" w:rsidRPr="009F500F">
        <w:rPr>
          <w:i/>
        </w:rPr>
        <w:t>**</w:t>
      </w:r>
      <w:r w:rsidRPr="009F500F">
        <w:t xml:space="preserve">  60 мг/м² </w:t>
      </w:r>
      <w:r w:rsidRPr="009F500F">
        <w:rPr>
          <w:b/>
          <w:bCs/>
          <w:i/>
          <w:iCs/>
        </w:rPr>
        <w:t xml:space="preserve">                              </w:t>
      </w:r>
      <w:r w:rsidRPr="009F500F">
        <w:rPr>
          <w:bCs/>
          <w:iCs/>
        </w:rPr>
        <w:t xml:space="preserve">                          </w:t>
      </w:r>
      <w:r w:rsidRPr="009F500F">
        <w:rPr>
          <w:i/>
        </w:rPr>
        <w:t>Дексаметазон</w:t>
      </w:r>
      <w:r w:rsidR="00B42B8A" w:rsidRPr="009F500F">
        <w:rPr>
          <w:i/>
        </w:rPr>
        <w:t>**</w:t>
      </w:r>
      <w:r w:rsidRPr="009F500F">
        <w:t xml:space="preserve"> 10 мг/м²   </w:t>
      </w:r>
    </w:p>
    <w:p w14:paraId="66B78ADF" w14:textId="77777777" w:rsidR="00D42B22" w:rsidRPr="009F500F" w:rsidRDefault="00D42B22" w:rsidP="00D42B22">
      <w:r w:rsidRPr="009F500F">
        <w:t>8-28 дни + 7 дней отмены                                                   8-28 дни + 7 дней отмены</w:t>
      </w:r>
    </w:p>
    <w:p w14:paraId="2A577FCE" w14:textId="6650628B" w:rsidR="00D42B22" w:rsidRPr="009F500F" w:rsidRDefault="00D42B22" w:rsidP="00D42B22">
      <w:pPr>
        <w:rPr>
          <w:bCs/>
          <w:iCs/>
        </w:rPr>
      </w:pPr>
      <w:r w:rsidRPr="009F500F">
        <w:rPr>
          <w:bCs/>
          <w:iCs/>
        </w:rPr>
        <w:t xml:space="preserve">                                      Даунорубицин</w:t>
      </w:r>
      <w:r w:rsidR="00B42B8A" w:rsidRPr="009F500F">
        <w:rPr>
          <w:bCs/>
          <w:iCs/>
        </w:rPr>
        <w:t>**</w:t>
      </w:r>
      <w:r w:rsidRPr="009F500F">
        <w:rPr>
          <w:bCs/>
          <w:iCs/>
        </w:rPr>
        <w:t xml:space="preserve"> 45 мг/м²   8, 15, 22 дни</w:t>
      </w:r>
    </w:p>
    <w:p w14:paraId="79CEBFCC" w14:textId="34E16E1A" w:rsidR="00D42B22" w:rsidRPr="009F500F" w:rsidRDefault="00D42B22" w:rsidP="00D42B22">
      <w:pPr>
        <w:rPr>
          <w:bCs/>
          <w:iCs/>
        </w:rPr>
      </w:pPr>
      <w:r w:rsidRPr="009F500F">
        <w:rPr>
          <w:bCs/>
          <w:iCs/>
        </w:rPr>
        <w:lastRenderedPageBreak/>
        <w:t xml:space="preserve">                                      Винкристин</w:t>
      </w:r>
      <w:r w:rsidR="00B42B8A" w:rsidRPr="009F500F">
        <w:rPr>
          <w:bCs/>
          <w:iCs/>
        </w:rPr>
        <w:t>**</w:t>
      </w:r>
      <w:r w:rsidRPr="009F500F">
        <w:rPr>
          <w:bCs/>
          <w:iCs/>
        </w:rPr>
        <w:t xml:space="preserve">  2 мг    8, 15, 22 дни</w:t>
      </w:r>
    </w:p>
    <w:p w14:paraId="0BA0FDA2" w14:textId="47499BBC" w:rsidR="00D42B22" w:rsidRPr="009F500F" w:rsidRDefault="00D42B22" w:rsidP="00D42B22">
      <w:pPr>
        <w:rPr>
          <w:bCs/>
          <w:iCs/>
        </w:rPr>
      </w:pPr>
      <w:r w:rsidRPr="009F500F">
        <w:rPr>
          <w:bCs/>
          <w:iCs/>
        </w:rPr>
        <w:t xml:space="preserve">                                      </w:t>
      </w:r>
      <w:r w:rsidRPr="009F500F">
        <w:rPr>
          <w:bCs/>
          <w:iCs/>
          <w:lang w:val="en-US"/>
        </w:rPr>
        <w:t>L</w:t>
      </w:r>
      <w:r w:rsidRPr="009F500F">
        <w:rPr>
          <w:bCs/>
          <w:iCs/>
        </w:rPr>
        <w:t>-аспарагиназа</w:t>
      </w:r>
      <w:r w:rsidR="00B42B8A" w:rsidRPr="009F500F">
        <w:rPr>
          <w:bCs/>
          <w:iCs/>
        </w:rPr>
        <w:t>**</w:t>
      </w:r>
      <w:r w:rsidRPr="009F500F">
        <w:rPr>
          <w:bCs/>
          <w:iCs/>
        </w:rPr>
        <w:t xml:space="preserve"> 10000 ЕД/м²    29, 36 дни</w:t>
      </w:r>
    </w:p>
    <w:p w14:paraId="3A2EE188" w14:textId="77777777" w:rsidR="00D42B22" w:rsidRPr="009F500F" w:rsidRDefault="00D42B22" w:rsidP="00D42B22">
      <w:pPr>
        <w:jc w:val="center"/>
        <w:rPr>
          <w:bCs/>
          <w:i/>
          <w:iCs/>
        </w:rPr>
      </w:pPr>
      <w:r w:rsidRPr="009F500F">
        <w:rPr>
          <w:bCs/>
          <w:i/>
          <w:iCs/>
        </w:rPr>
        <w:t>Люмбальная пункция с введением трех препаратов-  0,7,14,21,28,35 дни</w:t>
      </w:r>
    </w:p>
    <w:p w14:paraId="338EE24B" w14:textId="77777777" w:rsidR="00D42B22" w:rsidRPr="009F500F" w:rsidRDefault="00D42B22" w:rsidP="00D42B22">
      <w:pPr>
        <w:jc w:val="center"/>
        <w:rPr>
          <w:b/>
        </w:rPr>
      </w:pPr>
      <w:r w:rsidRPr="009F500F">
        <w:rPr>
          <w:noProof/>
        </w:rPr>
        <mc:AlternateContent>
          <mc:Choice Requires="wps">
            <w:drawing>
              <wp:anchor distT="0" distB="0" distL="114300" distR="114300" simplePos="0" relativeHeight="251694592" behindDoc="0" locked="0" layoutInCell="1" allowOverlap="1" wp14:anchorId="5218667C" wp14:editId="0D20959E">
                <wp:simplePos x="0" y="0"/>
                <wp:positionH relativeFrom="column">
                  <wp:posOffset>2857500</wp:posOffset>
                </wp:positionH>
                <wp:positionV relativeFrom="paragraph">
                  <wp:posOffset>234315</wp:posOffset>
                </wp:positionV>
                <wp:extent cx="0" cy="182880"/>
                <wp:effectExtent l="57150" t="5715" r="57150" b="20955"/>
                <wp:wrapNone/>
                <wp:docPr id="68" name="Прямая соединительная линия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DAAC54" id="Прямая соединительная линия 68" o:spid="_x0000_s1026" style="position:absolute;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18.45pt" to="225pt,3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">
                <v:stroke endarrow="block"/>
              </v:line>
            </w:pict>
          </mc:Fallback>
        </mc:AlternateContent>
      </w:r>
      <w:r w:rsidRPr="009F500F">
        <w:rPr>
          <w:b/>
          <w:bCs/>
        </w:rPr>
        <w:t>Пункция КМ на 36 день</w:t>
      </w:r>
    </w:p>
    <w:p w14:paraId="0B8C2074" w14:textId="77777777" w:rsidR="00D42B22" w:rsidRPr="009F500F" w:rsidRDefault="00D42B22" w:rsidP="00D42B22">
      <w:pPr>
        <w:rPr>
          <w:b/>
          <w:bCs/>
          <w:i/>
          <w:iCs/>
        </w:rPr>
      </w:pPr>
      <w:r w:rsidRPr="009F500F">
        <w:t xml:space="preserve"> </w:t>
      </w:r>
      <w:r w:rsidRPr="009F500F">
        <w:tab/>
      </w:r>
      <w:r w:rsidRPr="009F500F">
        <w:tab/>
      </w:r>
      <w:r w:rsidRPr="009F500F">
        <w:tab/>
      </w:r>
      <w:r w:rsidRPr="009F500F">
        <w:tab/>
      </w:r>
      <w:r w:rsidRPr="009F500F">
        <w:rPr>
          <w:b/>
          <w:bCs/>
          <w:i/>
          <w:iCs/>
        </w:rPr>
        <w:t xml:space="preserve">         </w:t>
      </w:r>
    </w:p>
    <w:p w14:paraId="19C5C761" w14:textId="77777777" w:rsidR="00D42B22" w:rsidRPr="009F500F" w:rsidRDefault="00D42B22" w:rsidP="00D42B22">
      <w:pPr>
        <w:jc w:val="center"/>
        <w:rPr>
          <w:u w:val="single"/>
        </w:rPr>
      </w:pPr>
      <w:r w:rsidRPr="009F500F">
        <w:rPr>
          <w:b/>
          <w:bCs/>
          <w:i/>
          <w:iCs/>
          <w:u w:val="single"/>
        </w:rPr>
        <w:t xml:space="preserve">Индукция </w:t>
      </w:r>
      <w:r w:rsidRPr="009F500F">
        <w:rPr>
          <w:b/>
          <w:bCs/>
          <w:i/>
          <w:iCs/>
          <w:u w:val="single"/>
          <w:lang w:val="en-US"/>
        </w:rPr>
        <w:t>II</w:t>
      </w:r>
      <w:r w:rsidRPr="009F500F">
        <w:rPr>
          <w:b/>
          <w:bCs/>
          <w:i/>
          <w:iCs/>
          <w:u w:val="single"/>
        </w:rPr>
        <w:t xml:space="preserve"> фаза (43-70 дни)</w:t>
      </w:r>
    </w:p>
    <w:p w14:paraId="537E816B" w14:textId="6DE84F4A" w:rsidR="00D42B22" w:rsidRPr="009F500F" w:rsidRDefault="00D42B22" w:rsidP="00D42B22">
      <w:pPr>
        <w:ind w:left="2431"/>
      </w:pPr>
      <w:r w:rsidRPr="009F500F">
        <w:t xml:space="preserve">  Меркаптопурин</w:t>
      </w:r>
      <w:r w:rsidR="00B42B8A" w:rsidRPr="009F500F">
        <w:t>**</w:t>
      </w:r>
      <w:r w:rsidRPr="009F500F">
        <w:t xml:space="preserve"> 25 мг/м²    43-70 дни</w:t>
      </w:r>
    </w:p>
    <w:p w14:paraId="3737D404" w14:textId="0436BB7A" w:rsidR="00D42B22" w:rsidRPr="009F500F" w:rsidRDefault="00D42B22" w:rsidP="00D42B22">
      <w:pPr>
        <w:ind w:left="2431"/>
      </w:pPr>
      <w:r w:rsidRPr="009F500F">
        <w:t xml:space="preserve">  Циклофосфан</w:t>
      </w:r>
      <w:r w:rsidR="00B42B8A" w:rsidRPr="009F500F">
        <w:t>**</w:t>
      </w:r>
      <w:r w:rsidRPr="009F500F">
        <w:t xml:space="preserve"> 1000 мг/м²    43 день                                        </w:t>
      </w:r>
    </w:p>
    <w:p w14:paraId="73CD77BD" w14:textId="42C2F8E2" w:rsidR="00D42B22" w:rsidRPr="009F500F" w:rsidRDefault="00D42B22" w:rsidP="00D42B22">
      <w:pPr>
        <w:ind w:left="2431"/>
      </w:pPr>
      <w:r w:rsidRPr="009F500F">
        <w:t xml:space="preserve">  Цитарабин</w:t>
      </w:r>
      <w:r w:rsidR="00B42B8A" w:rsidRPr="009F500F">
        <w:t>**</w:t>
      </w:r>
      <w:r w:rsidRPr="009F500F">
        <w:t xml:space="preserve"> 75 мг/м²    45-48, 59-62 дни</w:t>
      </w:r>
    </w:p>
    <w:p w14:paraId="2C778925" w14:textId="3E6AEC07" w:rsidR="00D42B22" w:rsidRPr="009F500F" w:rsidRDefault="00D42B22" w:rsidP="00B42B8A">
      <w:pPr>
        <w:rPr>
          <w:bCs/>
          <w:iCs/>
        </w:rPr>
      </w:pPr>
      <w:r w:rsidRPr="009F500F">
        <w:rPr>
          <w:lang w:val="en-US"/>
        </w:rPr>
        <w:t>L</w:t>
      </w:r>
      <w:r w:rsidRPr="009F500F">
        <w:t>-аспарагиназа</w:t>
      </w:r>
      <w:r w:rsidR="00B42B8A" w:rsidRPr="009F500F">
        <w:t>**</w:t>
      </w:r>
      <w:r w:rsidRPr="009F500F">
        <w:t xml:space="preserve"> 10000 ЕД</w:t>
      </w:r>
      <w:r w:rsidRPr="009F500F">
        <w:rPr>
          <w:bCs/>
          <w:iCs/>
        </w:rPr>
        <w:t xml:space="preserve">/м²   50, 57, 64 дни или </w:t>
      </w:r>
      <w:r w:rsidR="00387A25">
        <w:rPr>
          <w:bCs/>
          <w:iCs/>
        </w:rPr>
        <w:t>пэг</w:t>
      </w:r>
      <w:r w:rsidR="00387A25" w:rsidRPr="009F500F">
        <w:rPr>
          <w:bCs/>
          <w:iCs/>
        </w:rPr>
        <w:t xml:space="preserve">аспарагаза </w:t>
      </w:r>
      <w:r w:rsidR="00B42B8A" w:rsidRPr="009F500F">
        <w:rPr>
          <w:bCs/>
          <w:iCs/>
        </w:rPr>
        <w:t>**</w:t>
      </w:r>
      <w:r w:rsidRPr="009F500F">
        <w:rPr>
          <w:bCs/>
          <w:iCs/>
        </w:rPr>
        <w:t xml:space="preserve"> 1000 ЕД/м²   50, 64 дни</w:t>
      </w:r>
    </w:p>
    <w:p w14:paraId="08FE0949" w14:textId="7EDDB313" w:rsidR="00D42B22" w:rsidRPr="009F500F" w:rsidRDefault="00D42B22" w:rsidP="00B42B8A">
      <w:pPr>
        <w:ind w:firstLine="120"/>
        <w:jc w:val="center"/>
        <w:rPr>
          <w:bCs/>
          <w:i/>
        </w:rPr>
      </w:pPr>
      <w:r w:rsidRPr="009F500F">
        <w:rPr>
          <w:bCs/>
          <w:i/>
          <w:iCs/>
        </w:rPr>
        <w:t xml:space="preserve">Люмбальная пункция с введением трех препаратов  </w:t>
      </w:r>
      <w:r w:rsidRPr="009F500F">
        <w:rPr>
          <w:bCs/>
          <w:i/>
        </w:rPr>
        <w:t xml:space="preserve"> 69 день</w:t>
      </w:r>
    </w:p>
    <w:p w14:paraId="14B6EC25" w14:textId="77777777" w:rsidR="00D42B22" w:rsidRPr="009F500F" w:rsidRDefault="00D42B22" w:rsidP="00D42B22">
      <w:pPr>
        <w:ind w:firstLine="120"/>
        <w:rPr>
          <w:b/>
          <w:bCs/>
        </w:rPr>
      </w:pPr>
      <w:r w:rsidRPr="009F500F">
        <w:rPr>
          <w:b/>
          <w:bCs/>
        </w:rPr>
        <w:t xml:space="preserve"> </w:t>
      </w:r>
      <w:r w:rsidRPr="009F500F">
        <w:rPr>
          <w:b/>
          <w:bCs/>
        </w:rPr>
        <w:tab/>
      </w:r>
      <w:r w:rsidRPr="009F500F">
        <w:rPr>
          <w:b/>
          <w:bCs/>
        </w:rPr>
        <w:tab/>
      </w:r>
      <w:r w:rsidRPr="009F500F">
        <w:rPr>
          <w:b/>
          <w:bCs/>
        </w:rPr>
        <w:tab/>
      </w:r>
      <w:r w:rsidRPr="009F500F">
        <w:rPr>
          <w:b/>
          <w:bCs/>
        </w:rPr>
        <w:tab/>
      </w:r>
      <w:r w:rsidRPr="009F500F">
        <w:rPr>
          <w:b/>
          <w:bCs/>
        </w:rPr>
        <w:tab/>
        <w:t>Пункция КМ на 70 день</w:t>
      </w:r>
    </w:p>
    <w:p w14:paraId="488E1661" w14:textId="77777777" w:rsidR="00D42B22" w:rsidRPr="009F500F" w:rsidRDefault="00D42B22" w:rsidP="00D42B22">
      <w:pPr>
        <w:ind w:firstLine="120"/>
        <w:rPr>
          <w:bCs/>
          <w:iCs/>
        </w:rPr>
      </w:pPr>
      <w:r w:rsidRPr="009F500F">
        <w:rPr>
          <w:noProof/>
        </w:rPr>
        <mc:AlternateContent>
          <mc:Choice Requires="wps">
            <w:drawing>
              <wp:anchor distT="0" distB="0" distL="114300" distR="114300" simplePos="0" relativeHeight="251695616" behindDoc="0" locked="0" layoutInCell="1" allowOverlap="1" wp14:anchorId="36187776" wp14:editId="63ABB205">
                <wp:simplePos x="0" y="0"/>
                <wp:positionH relativeFrom="column">
                  <wp:posOffset>712470</wp:posOffset>
                </wp:positionH>
                <wp:positionV relativeFrom="paragraph">
                  <wp:posOffset>-3175</wp:posOffset>
                </wp:positionV>
                <wp:extent cx="1187450" cy="125730"/>
                <wp:effectExtent l="26670" t="6350" r="5080" b="58420"/>
                <wp:wrapNone/>
                <wp:docPr id="69" name="Прямая соединительная линия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87450" cy="12573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F8A24B" id="Прямая соединительная линия 69" o:spid="_x0000_s1026" style="position:absolute;flip:x;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1pt,-.25pt" to="149.6pt,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">
                <v:stroke endarrow="block"/>
              </v:line>
            </w:pict>
          </mc:Fallback>
        </mc:AlternateContent>
      </w:r>
      <w:r w:rsidRPr="009F500F">
        <w:rPr>
          <w:noProof/>
        </w:rPr>
        <mc:AlternateContent>
          <mc:Choice Requires="wps">
            <w:drawing>
              <wp:anchor distT="0" distB="0" distL="114300" distR="114300" simplePos="0" relativeHeight="251696640" behindDoc="0" locked="0" layoutInCell="1" allowOverlap="1" wp14:anchorId="4CD966F2" wp14:editId="4B4F38CA">
                <wp:simplePos x="0" y="0"/>
                <wp:positionH relativeFrom="column">
                  <wp:posOffset>4037330</wp:posOffset>
                </wp:positionH>
                <wp:positionV relativeFrom="paragraph">
                  <wp:posOffset>-3175</wp:posOffset>
                </wp:positionV>
                <wp:extent cx="1216025" cy="125730"/>
                <wp:effectExtent l="8255" t="6350" r="23495" b="58420"/>
                <wp:wrapNone/>
                <wp:docPr id="70" name="Прямая соединительная линия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16025" cy="12573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807D5B" id="Прямая соединительная линия 70" o:spid="_x0000_s1026" style="position:absolute;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7.9pt,-.25pt" to="413.65pt,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">
                <v:stroke endarrow="block"/>
              </v:line>
            </w:pict>
          </mc:Fallback>
        </mc:AlternateContent>
      </w:r>
    </w:p>
    <w:p w14:paraId="0DFD5BA6" w14:textId="77777777" w:rsidR="00D42B22" w:rsidRPr="009F500F" w:rsidRDefault="00D42B22" w:rsidP="00D42B22">
      <w:pPr>
        <w:ind w:firstLine="120"/>
      </w:pPr>
      <w:r w:rsidRPr="009F500F">
        <w:rPr>
          <w:b/>
          <w:bCs/>
        </w:rPr>
        <w:t xml:space="preserve">      </w:t>
      </w:r>
      <w:r w:rsidRPr="009F500F">
        <w:rPr>
          <w:u w:val="single"/>
        </w:rPr>
        <w:t>&lt;</w:t>
      </w:r>
      <w:r w:rsidRPr="009F500F">
        <w:t>5% бластов</w:t>
      </w:r>
      <w:r w:rsidRPr="009F500F">
        <w:rPr>
          <w:sz w:val="40"/>
          <w:szCs w:val="40"/>
        </w:rPr>
        <w:t xml:space="preserve">                                          </w:t>
      </w:r>
      <w:r w:rsidRPr="009F500F">
        <w:rPr>
          <w:sz w:val="40"/>
          <w:szCs w:val="40"/>
        </w:rPr>
        <w:tab/>
      </w:r>
      <w:r w:rsidRPr="009F500F">
        <w:rPr>
          <w:sz w:val="40"/>
          <w:szCs w:val="40"/>
        </w:rPr>
        <w:tab/>
      </w:r>
      <w:r w:rsidRPr="009F500F">
        <w:rPr>
          <w:sz w:val="40"/>
          <w:szCs w:val="40"/>
        </w:rPr>
        <w:tab/>
        <w:t xml:space="preserve"> </w:t>
      </w:r>
      <w:r w:rsidRPr="009F500F">
        <w:t>&gt;5% бластов</w:t>
      </w:r>
    </w:p>
    <w:p w14:paraId="4BB1A75A" w14:textId="77777777" w:rsidR="00D42B22" w:rsidRPr="009F500F" w:rsidRDefault="00D42B22" w:rsidP="00D42B22">
      <w:r w:rsidRPr="009F500F">
        <w:rPr>
          <w:noProof/>
        </w:rPr>
        <mc:AlternateContent>
          <mc:Choice Requires="wps">
            <w:drawing>
              <wp:anchor distT="0" distB="0" distL="114300" distR="114300" simplePos="0" relativeHeight="251697664" behindDoc="0" locked="0" layoutInCell="1" allowOverlap="1" wp14:anchorId="39428648" wp14:editId="48265D62">
                <wp:simplePos x="0" y="0"/>
                <wp:positionH relativeFrom="column">
                  <wp:posOffset>5320665</wp:posOffset>
                </wp:positionH>
                <wp:positionV relativeFrom="paragraph">
                  <wp:posOffset>57785</wp:posOffset>
                </wp:positionV>
                <wp:extent cx="0" cy="173355"/>
                <wp:effectExtent l="53340" t="10160" r="60960" b="16510"/>
                <wp:wrapNone/>
                <wp:docPr id="71" name="Прямая соединительная линия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335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03C437" id="Прямая соединительная линия 71" o:spid="_x0000_s1026" style="position:absolute;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8.95pt,4.55pt" to="418.95pt,1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">
                <v:stroke endarrow="block"/>
              </v:line>
            </w:pict>
          </mc:Fallback>
        </mc:AlternateContent>
      </w:r>
      <w:r w:rsidRPr="009F500F">
        <w:rPr>
          <w:noProof/>
        </w:rPr>
        <mc:AlternateContent>
          <mc:Choice Requires="wps">
            <w:drawing>
              <wp:anchor distT="0" distB="0" distL="114300" distR="114300" simplePos="0" relativeHeight="251698688" behindDoc="0" locked="0" layoutInCell="1" allowOverlap="1" wp14:anchorId="02D961A8" wp14:editId="68841078">
                <wp:simplePos x="0" y="0"/>
                <wp:positionH relativeFrom="column">
                  <wp:posOffset>712470</wp:posOffset>
                </wp:positionH>
                <wp:positionV relativeFrom="paragraph">
                  <wp:posOffset>36830</wp:posOffset>
                </wp:positionV>
                <wp:extent cx="0" cy="194310"/>
                <wp:effectExtent l="55245" t="8255" r="59055" b="16510"/>
                <wp:wrapNone/>
                <wp:docPr id="72" name="Прямая соединительная линия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943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2C5F79" id="Прямая соединительная линия 72" o:spid="_x0000_s1026" style="position:absolute;flip:x;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1pt,2.9pt" to="56.1pt,1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">
                <v:stroke endarrow="block"/>
              </v:line>
            </w:pict>
          </mc:Fallback>
        </mc:AlternateContent>
      </w:r>
    </w:p>
    <w:p w14:paraId="796DFC70" w14:textId="77777777" w:rsidR="00D42B22" w:rsidRPr="009F500F" w:rsidRDefault="00D42B22" w:rsidP="00D42B22">
      <w:r w:rsidRPr="009F500F">
        <w:rPr>
          <w:noProof/>
        </w:rPr>
        <mc:AlternateContent>
          <mc:Choice Requires="wps">
            <w:drawing>
              <wp:anchor distT="0" distB="0" distL="114300" distR="114300" simplePos="0" relativeHeight="251699712" behindDoc="0" locked="0" layoutInCell="1" allowOverlap="1" wp14:anchorId="2D78AC68" wp14:editId="097ACFFA">
                <wp:simplePos x="0" y="0"/>
                <wp:positionH relativeFrom="column">
                  <wp:posOffset>713740</wp:posOffset>
                </wp:positionH>
                <wp:positionV relativeFrom="paragraph">
                  <wp:posOffset>201930</wp:posOffset>
                </wp:positionV>
                <wp:extent cx="0" cy="194310"/>
                <wp:effectExtent l="56515" t="11430" r="57785" b="22860"/>
                <wp:wrapNone/>
                <wp:docPr id="73" name="Прямая соединительная линия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943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BED4AB" id="Прямая соединительная линия 73" o:spid="_x0000_s1026" style="position:absolute;flip:x;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2pt,15.9pt" to="56.2pt,3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">
                <v:stroke endarrow="block"/>
              </v:line>
            </w:pict>
          </mc:Fallback>
        </mc:AlternateContent>
      </w:r>
      <w:r w:rsidRPr="009F500F">
        <w:t xml:space="preserve">   </w:t>
      </w:r>
      <w:r w:rsidRPr="009F500F">
        <w:rPr>
          <w:b/>
          <w:bdr w:val="single" w:sz="4" w:space="0" w:color="auto" w:frame="1"/>
        </w:rPr>
        <w:t>оценка МРБ в к/м</w:t>
      </w:r>
      <w:r w:rsidRPr="009F500F">
        <w:tab/>
      </w:r>
      <w:r w:rsidRPr="009F500F">
        <w:tab/>
      </w:r>
      <w:r w:rsidRPr="009F500F">
        <w:tab/>
      </w:r>
      <w:r w:rsidRPr="009F500F">
        <w:tab/>
      </w:r>
      <w:r w:rsidRPr="009F500F">
        <w:tab/>
      </w:r>
      <w:r w:rsidRPr="009F500F">
        <w:tab/>
      </w:r>
      <w:r w:rsidRPr="009F500F">
        <w:tab/>
      </w:r>
      <w:r w:rsidRPr="009F500F">
        <w:tab/>
      </w:r>
      <w:r w:rsidRPr="009F500F">
        <w:rPr>
          <w:b/>
          <w:bCs/>
          <w:i/>
          <w:iCs/>
        </w:rPr>
        <w:t xml:space="preserve"> программа</w:t>
      </w:r>
    </w:p>
    <w:p w14:paraId="0B7A3F3D" w14:textId="77777777" w:rsidR="00D42B22" w:rsidRPr="009F500F" w:rsidRDefault="00D42B22" w:rsidP="00D42B22">
      <w:pPr>
        <w:rPr>
          <w:b/>
          <w:bCs/>
          <w:i/>
          <w:iCs/>
        </w:rPr>
      </w:pPr>
      <w:r w:rsidRPr="009F500F">
        <w:rPr>
          <w:b/>
          <w:bCs/>
          <w:i/>
          <w:iCs/>
        </w:rPr>
        <w:t xml:space="preserve">              </w:t>
      </w:r>
      <w:r w:rsidRPr="009F500F">
        <w:rPr>
          <w:b/>
          <w:bCs/>
          <w:i/>
          <w:iCs/>
        </w:rPr>
        <w:tab/>
      </w:r>
      <w:r w:rsidRPr="009F500F">
        <w:rPr>
          <w:b/>
          <w:bCs/>
          <w:i/>
          <w:iCs/>
        </w:rPr>
        <w:tab/>
      </w:r>
      <w:r w:rsidRPr="009F500F">
        <w:rPr>
          <w:b/>
          <w:bCs/>
          <w:i/>
          <w:iCs/>
        </w:rPr>
        <w:tab/>
      </w:r>
      <w:r w:rsidRPr="009F500F">
        <w:rPr>
          <w:b/>
          <w:bCs/>
          <w:i/>
          <w:iCs/>
        </w:rPr>
        <w:tab/>
      </w:r>
      <w:r w:rsidRPr="009F500F">
        <w:rPr>
          <w:b/>
          <w:bCs/>
          <w:i/>
          <w:iCs/>
        </w:rPr>
        <w:tab/>
      </w:r>
      <w:r w:rsidRPr="009F500F">
        <w:rPr>
          <w:b/>
          <w:bCs/>
          <w:i/>
          <w:iCs/>
        </w:rPr>
        <w:tab/>
      </w:r>
      <w:r w:rsidRPr="009F500F">
        <w:rPr>
          <w:b/>
          <w:bCs/>
          <w:i/>
          <w:iCs/>
        </w:rPr>
        <w:tab/>
      </w:r>
      <w:r w:rsidRPr="009F500F">
        <w:rPr>
          <w:b/>
          <w:bCs/>
          <w:i/>
          <w:iCs/>
        </w:rPr>
        <w:tab/>
      </w:r>
      <w:r w:rsidRPr="009F500F">
        <w:rPr>
          <w:b/>
          <w:bCs/>
          <w:i/>
          <w:iCs/>
        </w:rPr>
        <w:tab/>
        <w:t xml:space="preserve">            </w:t>
      </w:r>
      <w:r w:rsidRPr="009F500F">
        <w:rPr>
          <w:b/>
          <w:i/>
        </w:rPr>
        <w:t>лечения</w:t>
      </w:r>
    </w:p>
    <w:p w14:paraId="6BD8C606" w14:textId="77777777" w:rsidR="00D42B22" w:rsidRPr="009F500F" w:rsidRDefault="00D42B22" w:rsidP="00D42B22">
      <w:pPr>
        <w:rPr>
          <w:b/>
          <w:bCs/>
          <w:i/>
          <w:iCs/>
        </w:rPr>
      </w:pPr>
      <w:r w:rsidRPr="009F500F">
        <w:rPr>
          <w:b/>
          <w:bCs/>
          <w:i/>
          <w:iCs/>
          <w:u w:val="single"/>
        </w:rPr>
        <w:t xml:space="preserve">Консолидация  </w:t>
      </w:r>
      <w:r w:rsidRPr="009F500F">
        <w:rPr>
          <w:b/>
          <w:bCs/>
          <w:i/>
          <w:iCs/>
          <w:u w:val="single"/>
          <w:lang w:val="en-US"/>
        </w:rPr>
        <w:t>I</w:t>
      </w:r>
      <w:r w:rsidRPr="009F500F">
        <w:rPr>
          <w:b/>
          <w:bCs/>
          <w:i/>
          <w:iCs/>
          <w:u w:val="single"/>
        </w:rPr>
        <w:t xml:space="preserve"> (71-91 дни)</w:t>
      </w:r>
      <w:r w:rsidRPr="009F500F">
        <w:rPr>
          <w:b/>
          <w:bCs/>
          <w:i/>
          <w:iCs/>
        </w:rPr>
        <w:t xml:space="preserve">  </w:t>
      </w:r>
      <w:r w:rsidRPr="009F500F">
        <w:t xml:space="preserve">     </w:t>
      </w:r>
      <w:r w:rsidRPr="009F500F">
        <w:tab/>
      </w:r>
      <w:r w:rsidRPr="009F500F">
        <w:tab/>
      </w:r>
      <w:r w:rsidRPr="009F500F">
        <w:tab/>
      </w:r>
      <w:r w:rsidRPr="009F500F">
        <w:tab/>
        <w:t xml:space="preserve">                        </w:t>
      </w:r>
      <w:r w:rsidRPr="009F500F">
        <w:rPr>
          <w:b/>
          <w:i/>
        </w:rPr>
        <w:t>резистентных форм</w:t>
      </w:r>
      <w:r w:rsidRPr="009F500F">
        <w:t xml:space="preserve">            </w:t>
      </w:r>
      <w:r w:rsidRPr="009F500F">
        <w:rPr>
          <w:b/>
          <w:bCs/>
          <w:i/>
          <w:iCs/>
        </w:rPr>
        <w:t xml:space="preserve">                                                                       </w:t>
      </w:r>
    </w:p>
    <w:p w14:paraId="7631BD3A" w14:textId="1A2BCB94" w:rsidR="00D42B22" w:rsidRPr="009F500F" w:rsidRDefault="00D42B22" w:rsidP="00D42B22">
      <w:r w:rsidRPr="009F500F">
        <w:rPr>
          <w:bCs/>
          <w:iCs/>
        </w:rPr>
        <w:t>Дексаметазон</w:t>
      </w:r>
      <w:r w:rsidR="00B42B8A" w:rsidRPr="009F500F">
        <w:rPr>
          <w:bCs/>
          <w:iCs/>
        </w:rPr>
        <w:t>**</w:t>
      </w:r>
      <w:r w:rsidRPr="009F500F">
        <w:t xml:space="preserve"> 10 мг/м²  71-84 дни + 7 дней отмены</w:t>
      </w:r>
      <w:r w:rsidRPr="009F500F">
        <w:tab/>
      </w:r>
      <w:r w:rsidRPr="009F500F">
        <w:tab/>
      </w:r>
      <w:r w:rsidRPr="009F500F">
        <w:tab/>
        <w:t xml:space="preserve">        </w:t>
      </w:r>
    </w:p>
    <w:p w14:paraId="6D354D62" w14:textId="1D2DA0FE" w:rsidR="00D42B22" w:rsidRPr="009F500F" w:rsidRDefault="00D42B22" w:rsidP="00D42B22">
      <w:pPr>
        <w:tabs>
          <w:tab w:val="left" w:pos="5249"/>
        </w:tabs>
      </w:pPr>
      <w:r w:rsidRPr="009F500F">
        <w:t>Доксорубицин</w:t>
      </w:r>
      <w:r w:rsidR="00B42B8A" w:rsidRPr="009F500F">
        <w:t>**</w:t>
      </w:r>
      <w:r w:rsidRPr="009F500F">
        <w:t xml:space="preserve"> 30 мг/м²  71, 85 дни </w:t>
      </w:r>
      <w:r w:rsidRPr="009F500F">
        <w:tab/>
      </w:r>
      <w:r w:rsidRPr="009F500F">
        <w:tab/>
      </w:r>
      <w:r w:rsidRPr="009F500F">
        <w:tab/>
        <w:t xml:space="preserve"> </w:t>
      </w:r>
    </w:p>
    <w:p w14:paraId="30E6976C" w14:textId="7A85FAE6" w:rsidR="00D42B22" w:rsidRPr="009F500F" w:rsidRDefault="00D42B22" w:rsidP="00D42B22">
      <w:r w:rsidRPr="009F500F">
        <w:rPr>
          <w:bCs/>
          <w:iCs/>
        </w:rPr>
        <w:t>Винкристин</w:t>
      </w:r>
      <w:r w:rsidR="00B42B8A" w:rsidRPr="009F500F">
        <w:rPr>
          <w:bCs/>
          <w:iCs/>
        </w:rPr>
        <w:t>**</w:t>
      </w:r>
      <w:r w:rsidRPr="009F500F">
        <w:rPr>
          <w:bCs/>
          <w:iCs/>
        </w:rPr>
        <w:t xml:space="preserve"> 2 мг</w:t>
      </w:r>
      <w:r w:rsidRPr="009F500F">
        <w:t xml:space="preserve">  71, 85 дни  </w:t>
      </w:r>
    </w:p>
    <w:p w14:paraId="194BD697" w14:textId="77777777" w:rsidR="00D42B22" w:rsidRPr="009F500F" w:rsidRDefault="00D42B22" w:rsidP="00D42B22">
      <w:pPr>
        <w:rPr>
          <w:bCs/>
          <w:i/>
        </w:rPr>
      </w:pPr>
      <w:r w:rsidRPr="009F500F">
        <w:rPr>
          <w:bCs/>
          <w:i/>
          <w:iCs/>
        </w:rPr>
        <w:t>Люмбальная пункция с введением трех препаратов</w:t>
      </w:r>
      <w:r w:rsidRPr="009F500F">
        <w:rPr>
          <w:bCs/>
          <w:i/>
        </w:rPr>
        <w:t xml:space="preserve">   84 день</w:t>
      </w:r>
    </w:p>
    <w:p w14:paraId="0D7415DB" w14:textId="77777777" w:rsidR="00D42B22" w:rsidRPr="009F500F" w:rsidRDefault="00D42B22" w:rsidP="00D42B22">
      <w:r w:rsidRPr="009F500F">
        <w:rPr>
          <w:noProof/>
        </w:rPr>
        <mc:AlternateContent>
          <mc:Choice Requires="wps">
            <w:drawing>
              <wp:anchor distT="0" distB="0" distL="114300" distR="114300" simplePos="0" relativeHeight="251700736" behindDoc="0" locked="0" layoutInCell="1" allowOverlap="1" wp14:anchorId="47895428" wp14:editId="7A6E4E0E">
                <wp:simplePos x="0" y="0"/>
                <wp:positionH relativeFrom="column">
                  <wp:posOffset>1068705</wp:posOffset>
                </wp:positionH>
                <wp:positionV relativeFrom="paragraph">
                  <wp:posOffset>80645</wp:posOffset>
                </wp:positionV>
                <wp:extent cx="0" cy="228600"/>
                <wp:effectExtent l="59055" t="13970" r="55245" b="14605"/>
                <wp:wrapNone/>
                <wp:docPr id="74" name="Прямая соединительная линия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B151EC" id="Прямая соединительная линия 74" o:spid="_x0000_s1026" style="position:absolute;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4.15pt,6.35pt" to="84.15pt,2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">
                <v:stroke endarrow="block"/>
              </v:line>
            </w:pict>
          </mc:Fallback>
        </mc:AlternateContent>
      </w:r>
      <w:r w:rsidRPr="009F500F">
        <w:rPr>
          <w:sz w:val="36"/>
          <w:szCs w:val="36"/>
        </w:rPr>
        <w:t xml:space="preserve">    </w:t>
      </w:r>
    </w:p>
    <w:p w14:paraId="39773279" w14:textId="77777777" w:rsidR="00D42B22" w:rsidRPr="009F500F" w:rsidRDefault="00D42B22" w:rsidP="00D42B22"/>
    <w:p w14:paraId="2CD8237A" w14:textId="77777777" w:rsidR="00D42B22" w:rsidRPr="009F500F" w:rsidRDefault="00D42B22" w:rsidP="00D42B22">
      <w:pPr>
        <w:rPr>
          <w:b/>
          <w:bCs/>
          <w:i/>
          <w:iCs/>
        </w:rPr>
      </w:pPr>
      <w:r w:rsidRPr="009F500F">
        <w:rPr>
          <w:noProof/>
        </w:rPr>
        <mc:AlternateContent>
          <mc:Choice Requires="wps">
            <w:drawing>
              <wp:anchor distT="0" distB="0" distL="114300" distR="114300" simplePos="0" relativeHeight="251701760" behindDoc="0" locked="0" layoutInCell="1" allowOverlap="1" wp14:anchorId="74B572E2" wp14:editId="7005356B">
                <wp:simplePos x="0" y="0"/>
                <wp:positionH relativeFrom="column">
                  <wp:posOffset>3543300</wp:posOffset>
                </wp:positionH>
                <wp:positionV relativeFrom="paragraph">
                  <wp:posOffset>12065</wp:posOffset>
                </wp:positionV>
                <wp:extent cx="342900" cy="2171700"/>
                <wp:effectExtent l="9525" t="12065" r="9525" b="6985"/>
                <wp:wrapNone/>
                <wp:docPr id="75" name="Правая фигурная скобка 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42900" cy="2171700"/>
                        </a:xfrm>
                        <a:prstGeom prst="rightBrace">
                          <a:avLst>
                            <a:gd name="adj1" fmla="val 52778"/>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9E0DA2"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Правая фигурная скобка 75" o:spid="_x0000_s1026" type="#_x0000_t88" style="position:absolute;margin-left:279pt;margin-top:.95pt;width:27pt;height:171pt;z-index:2517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"/>
            </w:pict>
          </mc:Fallback>
        </mc:AlternateContent>
      </w:r>
      <w:r w:rsidRPr="009F500F">
        <w:rPr>
          <w:b/>
          <w:bCs/>
          <w:i/>
          <w:iCs/>
        </w:rPr>
        <w:t xml:space="preserve">             Консолидация  </w:t>
      </w:r>
      <w:r w:rsidRPr="009F500F">
        <w:rPr>
          <w:b/>
          <w:bCs/>
          <w:i/>
          <w:iCs/>
          <w:lang w:val="en-US"/>
        </w:rPr>
        <w:t>II</w:t>
      </w:r>
      <w:r w:rsidRPr="009F500F">
        <w:rPr>
          <w:b/>
          <w:bCs/>
          <w:i/>
          <w:iCs/>
        </w:rPr>
        <w:t>(92-105 дни)</w:t>
      </w:r>
    </w:p>
    <w:p w14:paraId="7AD5B8C9" w14:textId="00F74677" w:rsidR="00D42B22" w:rsidRPr="009F500F" w:rsidRDefault="00D42B22" w:rsidP="00D42B22">
      <w:r w:rsidRPr="009F500F">
        <w:rPr>
          <w:noProof/>
        </w:rPr>
        <mc:AlternateContent>
          <mc:Choice Requires="wps">
            <w:drawing>
              <wp:anchor distT="0" distB="0" distL="114300" distR="114300" simplePos="0" relativeHeight="251702784" behindDoc="0" locked="0" layoutInCell="1" allowOverlap="1" wp14:anchorId="12DF4AAD" wp14:editId="1B408B9E">
                <wp:simplePos x="0" y="0"/>
                <wp:positionH relativeFrom="column">
                  <wp:posOffset>4037330</wp:posOffset>
                </wp:positionH>
                <wp:positionV relativeFrom="paragraph">
                  <wp:posOffset>125095</wp:posOffset>
                </wp:positionV>
                <wp:extent cx="1600200" cy="1030605"/>
                <wp:effectExtent l="8255" t="10795" r="10795" b="6350"/>
                <wp:wrapNone/>
                <wp:docPr id="76" name="Поле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1030605"/>
                        </a:xfrm>
                        <a:prstGeom prst="rect">
                          <a:avLst/>
                        </a:prstGeom>
                        <a:solidFill>
                          <a:srgbClr val="FFFFFF"/>
                        </a:solidFill>
                        <a:ln w="9525">
                          <a:solidFill>
                            <a:srgbClr val="000000"/>
                          </a:solidFill>
                          <a:miter lim="800000"/>
                          <a:headEnd/>
                          <a:tailEnd/>
                        </a:ln>
                      </wps:spPr>
                      <wps:txbx>
                        <w:txbxContent>
                          <w:p w14:paraId="5664C8F5" w14:textId="77777777" w:rsidR="009E240E" w:rsidRDefault="009E240E" w:rsidP="00D42B22">
                            <w:pPr>
                              <w:rPr>
                                <w:rFonts w:ascii="Arial" w:hAnsi="Arial" w:cs="Arial"/>
                              </w:rPr>
                            </w:pPr>
                            <w:r>
                              <w:rPr>
                                <w:rFonts w:ascii="Arial" w:hAnsi="Arial" w:cs="Arial"/>
                              </w:rPr>
                              <w:t>Модификация дозы меркаптопурина   в зависимости от уровня лейкоцитов и тромбоцитов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DF4AAD" id="Поле 16" o:spid="_x0000_s1029" type="#_x0000_t202" style="position:absolute;left:0;text-align:left;margin-left:317.9pt;margin-top:9.85pt;width:126pt;height:81.15pt;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">
                <v:textbox>
                  <w:txbxContent>
                    <w:p w14:paraId="5664C8F5" w14:textId="77777777" w:rsidR="009E240E" w:rsidRDefault="009E240E" w:rsidP="00D42B22">
                      <w:pPr>
                        <w:rPr>
                          <w:rFonts w:ascii="Arial" w:hAnsi="Arial" w:cs="Arial"/>
                        </w:rPr>
                      </w:pPr>
                      <w:r>
                        <w:rPr>
                          <w:rFonts w:ascii="Arial" w:hAnsi="Arial" w:cs="Arial"/>
                        </w:rPr>
                        <w:t>Модификация дозы меркаптопурина   в зависимости от уровня лейкоцитов и тромбоцитов</w:t>
                      </w:r>
                    </w:p>
                  </w:txbxContent>
                </v:textbox>
              </v:shape>
            </w:pict>
          </mc:Fallback>
        </mc:AlternateContent>
      </w:r>
      <w:r w:rsidRPr="009F500F">
        <w:t xml:space="preserve"> Меркаптопурин</w:t>
      </w:r>
      <w:r w:rsidR="00B42B8A" w:rsidRPr="009F500F">
        <w:t>**</w:t>
      </w:r>
      <w:r w:rsidRPr="009F500F">
        <w:t xml:space="preserve"> 50 мг/м²    92-105 дни</w:t>
      </w:r>
    </w:p>
    <w:p w14:paraId="4B6E4650" w14:textId="2956EEEA" w:rsidR="00D42B22" w:rsidRPr="009F500F" w:rsidRDefault="00D42B22" w:rsidP="00D42B22">
      <w:pPr>
        <w:rPr>
          <w:bCs/>
          <w:iCs/>
        </w:rPr>
      </w:pPr>
      <w:r w:rsidRPr="009F500F">
        <w:t xml:space="preserve"> </w:t>
      </w:r>
      <w:r w:rsidRPr="009F500F">
        <w:rPr>
          <w:lang w:val="en-US"/>
        </w:rPr>
        <w:t>L</w:t>
      </w:r>
      <w:r w:rsidRPr="009F500F">
        <w:t>-аспарагиназа</w:t>
      </w:r>
      <w:r w:rsidR="00B42B8A" w:rsidRPr="009F500F">
        <w:t>**</w:t>
      </w:r>
      <w:r w:rsidRPr="009F500F">
        <w:t xml:space="preserve"> 10000 ЕД/м²    92, 99 дни </w:t>
      </w:r>
    </w:p>
    <w:p w14:paraId="741F036F" w14:textId="03C48D5C" w:rsidR="00D42B22" w:rsidRPr="009F500F" w:rsidRDefault="00D42B22" w:rsidP="00D42B22">
      <w:pPr>
        <w:rPr>
          <w:bCs/>
          <w:iCs/>
        </w:rPr>
      </w:pPr>
      <w:r w:rsidRPr="009F500F">
        <w:rPr>
          <w:bCs/>
          <w:iCs/>
        </w:rPr>
        <w:t xml:space="preserve">или </w:t>
      </w:r>
      <w:r w:rsidR="00387A25">
        <w:rPr>
          <w:bCs/>
          <w:iCs/>
        </w:rPr>
        <w:t>пэг</w:t>
      </w:r>
      <w:r w:rsidR="00387A25" w:rsidRPr="009F500F">
        <w:rPr>
          <w:bCs/>
          <w:iCs/>
        </w:rPr>
        <w:t xml:space="preserve">аспарагаза </w:t>
      </w:r>
      <w:r w:rsidR="00B42B8A" w:rsidRPr="009F500F">
        <w:rPr>
          <w:bCs/>
          <w:iCs/>
        </w:rPr>
        <w:t>**</w:t>
      </w:r>
      <w:r w:rsidRPr="009F500F">
        <w:rPr>
          <w:bCs/>
          <w:iCs/>
        </w:rPr>
        <w:t xml:space="preserve"> 1000 ЕД/м²   92 день</w:t>
      </w:r>
    </w:p>
    <w:p w14:paraId="64D3A272" w14:textId="1E9A0F60" w:rsidR="00D42B22" w:rsidRPr="009F500F" w:rsidRDefault="00D42B22" w:rsidP="00D42B22">
      <w:pPr>
        <w:rPr>
          <w:bCs/>
          <w:i/>
          <w:iCs/>
        </w:rPr>
      </w:pPr>
      <w:r w:rsidRPr="009F500F">
        <w:rPr>
          <w:bCs/>
          <w:i/>
          <w:iCs/>
        </w:rPr>
        <w:t xml:space="preserve"> Люмбальная пункция с введением</w:t>
      </w:r>
    </w:p>
    <w:p w14:paraId="260BE9A0" w14:textId="13F40221" w:rsidR="00D42B22" w:rsidRPr="009F500F" w:rsidRDefault="00D42B22" w:rsidP="00D42B22">
      <w:pPr>
        <w:rPr>
          <w:bCs/>
          <w:i/>
        </w:rPr>
      </w:pPr>
      <w:r w:rsidRPr="009F500F">
        <w:rPr>
          <w:bCs/>
          <w:i/>
          <w:iCs/>
        </w:rPr>
        <w:t xml:space="preserve"> трех препаратов</w:t>
      </w:r>
      <w:r w:rsidRPr="009F500F">
        <w:rPr>
          <w:bCs/>
          <w:i/>
        </w:rPr>
        <w:t xml:space="preserve">   </w:t>
      </w:r>
      <w:r w:rsidRPr="009F500F">
        <w:rPr>
          <w:bCs/>
          <w:i/>
        </w:rPr>
        <w:tab/>
        <w:t xml:space="preserve">   105 день</w:t>
      </w:r>
    </w:p>
    <w:p w14:paraId="320E5C6B" w14:textId="13027772" w:rsidR="00D42B22" w:rsidRPr="00EC7111" w:rsidRDefault="009F500F" w:rsidP="00D42B22">
      <w:pPr>
        <w:rPr>
          <w:b/>
          <w:bCs/>
          <w:color w:val="FF0000"/>
        </w:rPr>
      </w:pPr>
      <w:r w:rsidRPr="00EC7111">
        <w:rPr>
          <w:noProof/>
          <w:color w:val="FF0000"/>
        </w:rPr>
        <mc:AlternateContent>
          <mc:Choice Requires="wps">
            <w:drawing>
              <wp:anchor distT="0" distB="0" distL="114300" distR="114300" simplePos="0" relativeHeight="251703808" behindDoc="0" locked="0" layoutInCell="1" allowOverlap="1" wp14:anchorId="1638EBCA" wp14:editId="240D5587">
                <wp:simplePos x="0" y="0"/>
                <wp:positionH relativeFrom="column">
                  <wp:posOffset>1565910</wp:posOffset>
                </wp:positionH>
                <wp:positionV relativeFrom="paragraph">
                  <wp:posOffset>154305</wp:posOffset>
                </wp:positionV>
                <wp:extent cx="0" cy="228600"/>
                <wp:effectExtent l="60960" t="8890" r="53340" b="19685"/>
                <wp:wrapNone/>
                <wp:docPr id="77" name="Прямая соединительная линия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0D0B03" id="Прямая соединительная линия 77" o:spid="_x0000_s1026" style="position:absolute;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3.3pt,12.15pt" to="123.3pt,3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">
                <v:stroke endarrow="block"/>
              </v:line>
            </w:pict>
          </mc:Fallback>
        </mc:AlternateContent>
      </w:r>
    </w:p>
    <w:p w14:paraId="6BFC3EAC" w14:textId="7F3FC62D" w:rsidR="00D42B22" w:rsidRPr="00EC7111" w:rsidRDefault="00D42B22" w:rsidP="00D42B22">
      <w:pPr>
        <w:rPr>
          <w:color w:val="FF0000"/>
        </w:rPr>
      </w:pPr>
    </w:p>
    <w:p w14:paraId="46FD4977" w14:textId="44A89831" w:rsidR="00D42B22" w:rsidRPr="00EC7111" w:rsidRDefault="00D42B22" w:rsidP="00D42B22">
      <w:pPr>
        <w:rPr>
          <w:color w:val="FF0000"/>
        </w:rPr>
      </w:pPr>
      <w:r w:rsidRPr="00EC7111">
        <w:rPr>
          <w:noProof/>
          <w:color w:val="FF0000"/>
        </w:rPr>
        <mc:AlternateContent>
          <mc:Choice Requires="wps">
            <w:drawing>
              <wp:anchor distT="0" distB="0" distL="114300" distR="114300" simplePos="0" relativeHeight="251704832" behindDoc="0" locked="0" layoutInCell="1" allowOverlap="1" wp14:anchorId="2BA0785E" wp14:editId="3ADC98CB">
                <wp:simplePos x="0" y="0"/>
                <wp:positionH relativeFrom="column">
                  <wp:posOffset>4889500</wp:posOffset>
                </wp:positionH>
                <wp:positionV relativeFrom="paragraph">
                  <wp:posOffset>240030</wp:posOffset>
                </wp:positionV>
                <wp:extent cx="0" cy="114300"/>
                <wp:effectExtent l="60325" t="11430" r="53975" b="17145"/>
                <wp:wrapNone/>
                <wp:docPr id="78" name="Прямая соединительная линия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C35F3A" id="Прямая соединительная линия 78" o:spid="_x0000_s1026" style="position:absolute;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5pt,18.9pt" to="385pt,2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">
                <v:stroke endarrow="block"/>
              </v:line>
            </w:pict>
          </mc:Fallback>
        </mc:AlternateContent>
      </w:r>
    </w:p>
    <w:p w14:paraId="7DF8332B" w14:textId="290A8DE0" w:rsidR="00D42B22" w:rsidRPr="00EC7111" w:rsidRDefault="00B42B8A" w:rsidP="00D42B22">
      <w:pPr>
        <w:rPr>
          <w:color w:val="FF0000"/>
        </w:rPr>
      </w:pPr>
      <w:r w:rsidRPr="00EC7111">
        <w:rPr>
          <w:noProof/>
          <w:color w:val="FF0000"/>
        </w:rPr>
        <w:lastRenderedPageBreak/>
        <mc:AlternateContent>
          <mc:Choice Requires="wps">
            <w:drawing>
              <wp:anchor distT="0" distB="0" distL="114300" distR="114300" simplePos="0" relativeHeight="251705856" behindDoc="0" locked="0" layoutInCell="1" allowOverlap="1" wp14:anchorId="30BBF83F" wp14:editId="67F35E65">
                <wp:simplePos x="0" y="0"/>
                <wp:positionH relativeFrom="column">
                  <wp:posOffset>3427065</wp:posOffset>
                </wp:positionH>
                <wp:positionV relativeFrom="paragraph">
                  <wp:posOffset>194310</wp:posOffset>
                </wp:positionV>
                <wp:extent cx="342900" cy="7408800"/>
                <wp:effectExtent l="0" t="0" r="19050" b="20955"/>
                <wp:wrapNone/>
                <wp:docPr id="79" name="Правая фигурная скобка 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42900" cy="7408800"/>
                        </a:xfrm>
                        <a:prstGeom prst="rightBrace">
                          <a:avLst>
                            <a:gd name="adj1" fmla="val 103981"/>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8FA65C" id="Правая фигурная скобка 79" o:spid="_x0000_s1026" type="#_x0000_t88" style="position:absolute;margin-left:269.85pt;margin-top:15.3pt;width:27pt;height:583.35pt;z-index:25170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" adj="1040"/>
            </w:pict>
          </mc:Fallback>
        </mc:AlternateContent>
      </w:r>
    </w:p>
    <w:p w14:paraId="35CFE9C4" w14:textId="37E6B716" w:rsidR="00D42B22" w:rsidRPr="009F500F" w:rsidRDefault="00D42B22" w:rsidP="00D42B22">
      <w:pPr>
        <w:rPr>
          <w:b/>
          <w:bCs/>
          <w:i/>
          <w:iCs/>
        </w:rPr>
      </w:pPr>
      <w:r w:rsidRPr="009F500F">
        <w:rPr>
          <w:noProof/>
        </w:rPr>
        <mc:AlternateContent>
          <mc:Choice Requires="wps">
            <w:drawing>
              <wp:anchor distT="0" distB="0" distL="114300" distR="114300" simplePos="0" relativeHeight="251706880" behindDoc="0" locked="0" layoutInCell="1" allowOverlap="1" wp14:anchorId="4E8A3DAE" wp14:editId="286D118E">
                <wp:simplePos x="0" y="0"/>
                <wp:positionH relativeFrom="column">
                  <wp:posOffset>1153795</wp:posOffset>
                </wp:positionH>
                <wp:positionV relativeFrom="paragraph">
                  <wp:posOffset>-344805</wp:posOffset>
                </wp:positionV>
                <wp:extent cx="0" cy="228600"/>
                <wp:effectExtent l="58420" t="7620" r="55880" b="20955"/>
                <wp:wrapNone/>
                <wp:docPr id="80" name="Прямая соединительная линия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88E929" id="Прямая соединительная линия 80" o:spid="_x0000_s1026" style="position:absolute;z-index:2517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85pt,-27.15pt" to="90.85pt,-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">
                <v:stroke endarrow="block"/>
              </v:line>
            </w:pict>
          </mc:Fallback>
        </mc:AlternateContent>
      </w:r>
      <w:r w:rsidRPr="009F500F">
        <w:rPr>
          <w:b/>
          <w:bCs/>
          <w:i/>
          <w:iCs/>
        </w:rPr>
        <w:t xml:space="preserve">             Консолидация  </w:t>
      </w:r>
      <w:r w:rsidRPr="009F500F">
        <w:rPr>
          <w:b/>
          <w:bCs/>
          <w:i/>
          <w:iCs/>
          <w:lang w:val="en-US"/>
        </w:rPr>
        <w:t>III</w:t>
      </w:r>
      <w:r w:rsidRPr="009F500F">
        <w:rPr>
          <w:b/>
          <w:bCs/>
          <w:i/>
          <w:iCs/>
        </w:rPr>
        <w:t>(106-133 дни)</w:t>
      </w:r>
    </w:p>
    <w:p w14:paraId="0447C279" w14:textId="4CAFE8DC" w:rsidR="00D42B22" w:rsidRPr="009F500F" w:rsidRDefault="00D42B22" w:rsidP="00D42B22">
      <w:r w:rsidRPr="009F500F">
        <w:t xml:space="preserve">  Меркаптопурин</w:t>
      </w:r>
      <w:r w:rsidR="00B42B8A" w:rsidRPr="009F500F">
        <w:t>**</w:t>
      </w:r>
      <w:r w:rsidRPr="009F500F">
        <w:t xml:space="preserve"> 25 мг/м²    106-133 дни</w:t>
      </w:r>
    </w:p>
    <w:p w14:paraId="4FFC4D42" w14:textId="13851C33" w:rsidR="00D42B22" w:rsidRPr="009F500F" w:rsidRDefault="00D42B22" w:rsidP="00D42B22">
      <w:r w:rsidRPr="009F500F">
        <w:t xml:space="preserve">  Циклофосфан</w:t>
      </w:r>
      <w:r w:rsidR="00B42B8A" w:rsidRPr="009F500F">
        <w:t>**</w:t>
      </w:r>
      <w:r w:rsidRPr="009F500F">
        <w:t xml:space="preserve"> 1000 мг/м²    106 день</w:t>
      </w:r>
    </w:p>
    <w:p w14:paraId="1D2CCAC0" w14:textId="74978B45" w:rsidR="00D42B22" w:rsidRPr="009F500F" w:rsidRDefault="00D42B22" w:rsidP="00D42B22">
      <w:pPr>
        <w:ind w:firstLine="120"/>
      </w:pPr>
      <w:r w:rsidRPr="009F500F">
        <w:t>Цитарабин</w:t>
      </w:r>
      <w:r w:rsidR="00B42B8A" w:rsidRPr="009F500F">
        <w:t>**</w:t>
      </w:r>
      <w:r w:rsidRPr="009F500F">
        <w:t xml:space="preserve"> 75 мг/м²    108-111, 122-125 дни</w:t>
      </w:r>
    </w:p>
    <w:p w14:paraId="07AD0E22" w14:textId="77777777" w:rsidR="00B42B8A" w:rsidRPr="009F500F" w:rsidRDefault="00D42B22" w:rsidP="00D42B22">
      <w:pPr>
        <w:rPr>
          <w:bCs/>
          <w:iCs/>
        </w:rPr>
      </w:pPr>
      <w:r w:rsidRPr="009F500F">
        <w:rPr>
          <w:lang w:val="en-US"/>
        </w:rPr>
        <w:t>L</w:t>
      </w:r>
      <w:r w:rsidRPr="009F500F">
        <w:t>-аспарагиназа</w:t>
      </w:r>
      <w:r w:rsidR="00B42B8A" w:rsidRPr="009F500F">
        <w:t>**</w:t>
      </w:r>
      <w:r w:rsidRPr="009F500F">
        <w:t xml:space="preserve"> 10000 ЕД</w:t>
      </w:r>
      <w:r w:rsidRPr="009F500F">
        <w:rPr>
          <w:bCs/>
          <w:iCs/>
        </w:rPr>
        <w:t xml:space="preserve">/м²   113, 127 дни </w:t>
      </w:r>
    </w:p>
    <w:p w14:paraId="5A6ADF32" w14:textId="68C10D10" w:rsidR="00D42B22" w:rsidRPr="009F500F" w:rsidRDefault="00D42B22" w:rsidP="00B42B8A">
      <w:pPr>
        <w:rPr>
          <w:bCs/>
          <w:iCs/>
        </w:rPr>
      </w:pPr>
      <w:r w:rsidRPr="009F500F">
        <w:rPr>
          <w:bCs/>
          <w:iCs/>
        </w:rPr>
        <w:t xml:space="preserve">или </w:t>
      </w:r>
      <w:r w:rsidR="00387A25">
        <w:rPr>
          <w:bCs/>
          <w:iCs/>
        </w:rPr>
        <w:t>пэг</w:t>
      </w:r>
      <w:r w:rsidR="00387A25" w:rsidRPr="009F500F">
        <w:rPr>
          <w:bCs/>
          <w:iCs/>
        </w:rPr>
        <w:t xml:space="preserve">аспарагаза </w:t>
      </w:r>
      <w:r w:rsidR="00B42B8A" w:rsidRPr="009F500F">
        <w:rPr>
          <w:bCs/>
          <w:iCs/>
        </w:rPr>
        <w:t>**</w:t>
      </w:r>
      <w:r w:rsidRPr="009F500F">
        <w:rPr>
          <w:bCs/>
          <w:iCs/>
        </w:rPr>
        <w:t xml:space="preserve"> 1000 ЕД/м²   113 день</w:t>
      </w:r>
    </w:p>
    <w:p w14:paraId="51016AE3" w14:textId="77777777" w:rsidR="00D42B22" w:rsidRPr="009F500F" w:rsidRDefault="00D42B22" w:rsidP="00D42B22">
      <w:pPr>
        <w:rPr>
          <w:bCs/>
          <w:i/>
          <w:iCs/>
        </w:rPr>
      </w:pPr>
      <w:r w:rsidRPr="009F500F">
        <w:t xml:space="preserve">  </w:t>
      </w:r>
      <w:r w:rsidRPr="009F500F">
        <w:rPr>
          <w:bCs/>
          <w:i/>
          <w:iCs/>
        </w:rPr>
        <w:t>Люмбальная пункция с введением</w:t>
      </w:r>
    </w:p>
    <w:p w14:paraId="3782B9A5" w14:textId="340014E6" w:rsidR="00D42B22" w:rsidRPr="009F500F" w:rsidRDefault="00B42B8A" w:rsidP="00D42B22">
      <w:pPr>
        <w:rPr>
          <w:bCs/>
          <w:i/>
        </w:rPr>
      </w:pPr>
      <w:r w:rsidRPr="009F500F">
        <w:rPr>
          <w:noProof/>
        </w:rPr>
        <mc:AlternateContent>
          <mc:Choice Requires="wps">
            <w:drawing>
              <wp:anchor distT="0" distB="0" distL="114300" distR="114300" simplePos="0" relativeHeight="251707904" behindDoc="0" locked="0" layoutInCell="1" allowOverlap="1" wp14:anchorId="7B474A27" wp14:editId="262AA942">
                <wp:simplePos x="0" y="0"/>
                <wp:positionH relativeFrom="column">
                  <wp:posOffset>1371600</wp:posOffset>
                </wp:positionH>
                <wp:positionV relativeFrom="paragraph">
                  <wp:posOffset>261365</wp:posOffset>
                </wp:positionV>
                <wp:extent cx="0" cy="228600"/>
                <wp:effectExtent l="57150" t="6350" r="57150" b="22225"/>
                <wp:wrapNone/>
                <wp:docPr id="81" name="Прямая соединительная линия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69B842" id="Прямая соединительная линия 81" o:spid="_x0000_s1026" style="position:absolute;z-index:25170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pt,20.6pt" to="108pt,3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">
                <v:stroke endarrow="block"/>
              </v:line>
            </w:pict>
          </mc:Fallback>
        </mc:AlternateContent>
      </w:r>
      <w:r w:rsidR="00D42B22" w:rsidRPr="009F500F">
        <w:rPr>
          <w:bCs/>
          <w:i/>
          <w:iCs/>
        </w:rPr>
        <w:t xml:space="preserve"> трех препаратов</w:t>
      </w:r>
      <w:r w:rsidRPr="009F500F">
        <w:rPr>
          <w:bCs/>
          <w:i/>
        </w:rPr>
        <w:t xml:space="preserve">  </w:t>
      </w:r>
      <w:r w:rsidR="00D42B22" w:rsidRPr="009F500F">
        <w:rPr>
          <w:bCs/>
          <w:i/>
        </w:rPr>
        <w:t>120 день</w:t>
      </w:r>
    </w:p>
    <w:p w14:paraId="75906859" w14:textId="7B9C3DE9" w:rsidR="00D42B22" w:rsidRPr="009F500F" w:rsidRDefault="00D42B22" w:rsidP="00D42B22"/>
    <w:p w14:paraId="5FB45EAF" w14:textId="7EC23F0F" w:rsidR="00D42B22" w:rsidRPr="009F500F" w:rsidRDefault="00D42B22" w:rsidP="00D42B22">
      <w:pPr>
        <w:rPr>
          <w:b/>
        </w:rPr>
      </w:pPr>
      <w:r w:rsidRPr="009F500F">
        <w:rPr>
          <w:bdr w:val="single" w:sz="4" w:space="0" w:color="auto" w:frame="1"/>
        </w:rPr>
        <w:t>оценка МРБ в к/м</w:t>
      </w:r>
      <w:r w:rsidRPr="009F500F">
        <w:rPr>
          <w:b/>
          <w:bdr w:val="single" w:sz="4" w:space="0" w:color="auto" w:frame="1"/>
        </w:rPr>
        <w:t xml:space="preserve">  (день +133)</w:t>
      </w:r>
      <w:r w:rsidRPr="009F500F">
        <w:rPr>
          <w:b/>
        </w:rPr>
        <w:t xml:space="preserve">    </w:t>
      </w:r>
    </w:p>
    <w:p w14:paraId="25A1506B" w14:textId="77777777" w:rsidR="00D42B22" w:rsidRPr="009F500F" w:rsidRDefault="00D42B22" w:rsidP="00D42B22">
      <w:r w:rsidRPr="009F500F">
        <w:rPr>
          <w:b/>
          <w:bCs/>
          <w:i/>
          <w:iCs/>
        </w:rPr>
        <w:t xml:space="preserve">Консолидация  </w:t>
      </w:r>
      <w:r w:rsidRPr="009F500F">
        <w:rPr>
          <w:b/>
          <w:bCs/>
          <w:i/>
          <w:iCs/>
          <w:lang w:val="en-US"/>
        </w:rPr>
        <w:t>IV</w:t>
      </w:r>
      <w:r w:rsidRPr="009F500F">
        <w:rPr>
          <w:b/>
          <w:bCs/>
          <w:i/>
          <w:iCs/>
        </w:rPr>
        <w:t xml:space="preserve"> (20-23недели)</w:t>
      </w:r>
    </w:p>
    <w:tbl>
      <w:tblPr>
        <w:tblpPr w:leftFromText="180" w:rightFromText="180" w:vertAnchor="text" w:horzAnchor="margin" w:tblpXSpec="right" w:tblpY="-41"/>
        <w:tblW w:w="3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87"/>
        <w:gridCol w:w="1259"/>
        <w:gridCol w:w="1079"/>
      </w:tblGrid>
      <w:tr w:rsidR="009F500F" w:rsidRPr="009F500F" w14:paraId="0BF3B97E" w14:textId="77777777" w:rsidTr="00B42B8A">
        <w:trPr>
          <w:trHeight w:val="269"/>
        </w:trPr>
        <w:tc>
          <w:tcPr>
            <w:tcW w:w="1187" w:type="dxa"/>
            <w:tcBorders>
              <w:top w:val="single" w:sz="4" w:space="0" w:color="auto"/>
              <w:left w:val="single" w:sz="4" w:space="0" w:color="auto"/>
              <w:bottom w:val="single" w:sz="4" w:space="0" w:color="auto"/>
              <w:right w:val="single" w:sz="4" w:space="0" w:color="auto"/>
            </w:tcBorders>
            <w:hideMark/>
          </w:tcPr>
          <w:p w14:paraId="2A29E253" w14:textId="77777777" w:rsidR="00B42B8A" w:rsidRPr="009F500F" w:rsidRDefault="00B42B8A" w:rsidP="00B42B8A">
            <w:pPr>
              <w:rPr>
                <w:sz w:val="16"/>
                <w:szCs w:val="16"/>
              </w:rPr>
            </w:pPr>
            <w:r w:rsidRPr="009F500F">
              <w:rPr>
                <w:sz w:val="16"/>
                <w:szCs w:val="16"/>
              </w:rPr>
              <w:t>число лейкоцитов</w:t>
            </w:r>
          </w:p>
        </w:tc>
        <w:tc>
          <w:tcPr>
            <w:tcW w:w="1259" w:type="dxa"/>
            <w:tcBorders>
              <w:top w:val="single" w:sz="4" w:space="0" w:color="auto"/>
              <w:left w:val="single" w:sz="4" w:space="0" w:color="auto"/>
              <w:bottom w:val="single" w:sz="4" w:space="0" w:color="auto"/>
              <w:right w:val="single" w:sz="4" w:space="0" w:color="auto"/>
            </w:tcBorders>
            <w:hideMark/>
          </w:tcPr>
          <w:p w14:paraId="23DC419A" w14:textId="77777777" w:rsidR="00B42B8A" w:rsidRPr="009F500F" w:rsidRDefault="00B42B8A" w:rsidP="00B42B8A">
            <w:pPr>
              <w:rPr>
                <w:sz w:val="16"/>
                <w:szCs w:val="16"/>
              </w:rPr>
            </w:pPr>
            <w:r w:rsidRPr="009F500F">
              <w:rPr>
                <w:sz w:val="16"/>
                <w:szCs w:val="16"/>
              </w:rPr>
              <w:t>число тромбоцитов</w:t>
            </w:r>
          </w:p>
        </w:tc>
        <w:tc>
          <w:tcPr>
            <w:tcW w:w="1079" w:type="dxa"/>
            <w:tcBorders>
              <w:top w:val="single" w:sz="4" w:space="0" w:color="auto"/>
              <w:left w:val="single" w:sz="4" w:space="0" w:color="auto"/>
              <w:bottom w:val="single" w:sz="4" w:space="0" w:color="auto"/>
              <w:right w:val="single" w:sz="4" w:space="0" w:color="auto"/>
            </w:tcBorders>
            <w:hideMark/>
          </w:tcPr>
          <w:p w14:paraId="53CD744E" w14:textId="77777777" w:rsidR="00B42B8A" w:rsidRPr="009F500F" w:rsidRDefault="00B42B8A" w:rsidP="00B42B8A">
            <w:pPr>
              <w:rPr>
                <w:sz w:val="16"/>
                <w:szCs w:val="16"/>
              </w:rPr>
            </w:pPr>
            <w:r w:rsidRPr="009F500F">
              <w:rPr>
                <w:sz w:val="16"/>
                <w:szCs w:val="16"/>
              </w:rPr>
              <w:t>доза меркапто-пурина</w:t>
            </w:r>
          </w:p>
        </w:tc>
      </w:tr>
      <w:tr w:rsidR="009F500F" w:rsidRPr="009F500F" w14:paraId="6A58A53A" w14:textId="77777777" w:rsidTr="00B42B8A">
        <w:trPr>
          <w:trHeight w:val="204"/>
        </w:trPr>
        <w:tc>
          <w:tcPr>
            <w:tcW w:w="1187" w:type="dxa"/>
            <w:tcBorders>
              <w:top w:val="single" w:sz="4" w:space="0" w:color="auto"/>
              <w:left w:val="single" w:sz="4" w:space="0" w:color="auto"/>
              <w:bottom w:val="single" w:sz="4" w:space="0" w:color="auto"/>
              <w:right w:val="single" w:sz="4" w:space="0" w:color="auto"/>
            </w:tcBorders>
            <w:hideMark/>
          </w:tcPr>
          <w:p w14:paraId="201FD27E" w14:textId="77777777" w:rsidR="00B42B8A" w:rsidRPr="009F500F" w:rsidRDefault="00B42B8A" w:rsidP="00B42B8A">
            <w:pPr>
              <w:rPr>
                <w:sz w:val="16"/>
                <w:szCs w:val="16"/>
              </w:rPr>
            </w:pPr>
            <w:r w:rsidRPr="009F500F">
              <w:rPr>
                <w:sz w:val="16"/>
                <w:szCs w:val="16"/>
              </w:rPr>
              <w:t>более 2,0х10</w:t>
            </w:r>
            <w:r w:rsidRPr="009F500F">
              <w:rPr>
                <w:sz w:val="16"/>
                <w:szCs w:val="16"/>
                <w:vertAlign w:val="superscript"/>
              </w:rPr>
              <w:t>9</w:t>
            </w:r>
            <w:r w:rsidRPr="009F500F">
              <w:rPr>
                <w:sz w:val="16"/>
                <w:szCs w:val="16"/>
              </w:rPr>
              <w:t>/л</w:t>
            </w:r>
          </w:p>
        </w:tc>
        <w:tc>
          <w:tcPr>
            <w:tcW w:w="1259" w:type="dxa"/>
            <w:tcBorders>
              <w:top w:val="single" w:sz="4" w:space="0" w:color="auto"/>
              <w:left w:val="single" w:sz="4" w:space="0" w:color="auto"/>
              <w:bottom w:val="single" w:sz="4" w:space="0" w:color="auto"/>
              <w:right w:val="single" w:sz="4" w:space="0" w:color="auto"/>
            </w:tcBorders>
            <w:hideMark/>
          </w:tcPr>
          <w:p w14:paraId="7FDAFCB1" w14:textId="77777777" w:rsidR="00B42B8A" w:rsidRPr="009F500F" w:rsidRDefault="00B42B8A" w:rsidP="00B42B8A">
            <w:pPr>
              <w:rPr>
                <w:sz w:val="16"/>
                <w:szCs w:val="16"/>
              </w:rPr>
            </w:pPr>
            <w:r w:rsidRPr="009F500F">
              <w:rPr>
                <w:sz w:val="16"/>
                <w:szCs w:val="16"/>
              </w:rPr>
              <w:t>более 100х10</w:t>
            </w:r>
            <w:r w:rsidRPr="009F500F">
              <w:rPr>
                <w:sz w:val="16"/>
                <w:szCs w:val="16"/>
                <w:vertAlign w:val="superscript"/>
              </w:rPr>
              <w:t>9</w:t>
            </w:r>
            <w:r w:rsidRPr="009F500F">
              <w:rPr>
                <w:sz w:val="16"/>
                <w:szCs w:val="16"/>
              </w:rPr>
              <w:t>/л</w:t>
            </w:r>
          </w:p>
        </w:tc>
        <w:tc>
          <w:tcPr>
            <w:tcW w:w="1079" w:type="dxa"/>
            <w:tcBorders>
              <w:top w:val="single" w:sz="4" w:space="0" w:color="auto"/>
              <w:left w:val="single" w:sz="4" w:space="0" w:color="auto"/>
              <w:bottom w:val="single" w:sz="4" w:space="0" w:color="auto"/>
              <w:right w:val="single" w:sz="4" w:space="0" w:color="auto"/>
            </w:tcBorders>
            <w:hideMark/>
          </w:tcPr>
          <w:p w14:paraId="0F1D191A" w14:textId="77777777" w:rsidR="00B42B8A" w:rsidRPr="009F500F" w:rsidRDefault="00B42B8A" w:rsidP="00B42B8A">
            <w:pPr>
              <w:rPr>
                <w:sz w:val="16"/>
                <w:szCs w:val="16"/>
              </w:rPr>
            </w:pPr>
            <w:r w:rsidRPr="009F500F">
              <w:rPr>
                <w:sz w:val="16"/>
                <w:szCs w:val="16"/>
              </w:rPr>
              <w:t>100% дозы</w:t>
            </w:r>
          </w:p>
        </w:tc>
      </w:tr>
      <w:tr w:rsidR="009F500F" w:rsidRPr="009F500F" w14:paraId="7352A990" w14:textId="77777777" w:rsidTr="00B42B8A">
        <w:trPr>
          <w:trHeight w:val="269"/>
        </w:trPr>
        <w:tc>
          <w:tcPr>
            <w:tcW w:w="1187" w:type="dxa"/>
            <w:tcBorders>
              <w:top w:val="single" w:sz="4" w:space="0" w:color="auto"/>
              <w:left w:val="single" w:sz="4" w:space="0" w:color="auto"/>
              <w:bottom w:val="single" w:sz="4" w:space="0" w:color="auto"/>
              <w:right w:val="single" w:sz="4" w:space="0" w:color="auto"/>
            </w:tcBorders>
            <w:hideMark/>
          </w:tcPr>
          <w:p w14:paraId="65C79768" w14:textId="77777777" w:rsidR="00B42B8A" w:rsidRPr="009F500F" w:rsidRDefault="00B42B8A" w:rsidP="00B42B8A">
            <w:pPr>
              <w:rPr>
                <w:sz w:val="16"/>
                <w:szCs w:val="16"/>
              </w:rPr>
            </w:pPr>
            <w:r w:rsidRPr="009F500F">
              <w:rPr>
                <w:sz w:val="16"/>
                <w:szCs w:val="16"/>
              </w:rPr>
              <w:t>от 1,0х10</w:t>
            </w:r>
            <w:r w:rsidRPr="009F500F">
              <w:rPr>
                <w:sz w:val="16"/>
                <w:szCs w:val="16"/>
                <w:vertAlign w:val="superscript"/>
              </w:rPr>
              <w:t>9</w:t>
            </w:r>
            <w:r w:rsidRPr="009F500F">
              <w:rPr>
                <w:sz w:val="16"/>
                <w:szCs w:val="16"/>
              </w:rPr>
              <w:t>/л до 2,0х10</w:t>
            </w:r>
            <w:r w:rsidRPr="009F500F">
              <w:rPr>
                <w:sz w:val="16"/>
                <w:szCs w:val="16"/>
                <w:vertAlign w:val="superscript"/>
              </w:rPr>
              <w:t>9</w:t>
            </w:r>
            <w:r w:rsidRPr="009F500F">
              <w:rPr>
                <w:sz w:val="16"/>
                <w:szCs w:val="16"/>
              </w:rPr>
              <w:t>/л</w:t>
            </w:r>
          </w:p>
        </w:tc>
        <w:tc>
          <w:tcPr>
            <w:tcW w:w="1259" w:type="dxa"/>
            <w:tcBorders>
              <w:top w:val="single" w:sz="4" w:space="0" w:color="auto"/>
              <w:left w:val="single" w:sz="4" w:space="0" w:color="auto"/>
              <w:bottom w:val="single" w:sz="4" w:space="0" w:color="auto"/>
              <w:right w:val="single" w:sz="4" w:space="0" w:color="auto"/>
            </w:tcBorders>
            <w:hideMark/>
          </w:tcPr>
          <w:p w14:paraId="35085BDB" w14:textId="77777777" w:rsidR="00B42B8A" w:rsidRPr="009F500F" w:rsidRDefault="00B42B8A" w:rsidP="00B42B8A">
            <w:pPr>
              <w:rPr>
                <w:sz w:val="16"/>
                <w:szCs w:val="16"/>
              </w:rPr>
            </w:pPr>
            <w:r w:rsidRPr="009F500F">
              <w:rPr>
                <w:sz w:val="16"/>
                <w:szCs w:val="16"/>
              </w:rPr>
              <w:t>от 50х10</w:t>
            </w:r>
            <w:r w:rsidRPr="009F500F">
              <w:rPr>
                <w:sz w:val="16"/>
                <w:szCs w:val="16"/>
                <w:vertAlign w:val="superscript"/>
              </w:rPr>
              <w:t>9</w:t>
            </w:r>
            <w:r w:rsidRPr="009F500F">
              <w:rPr>
                <w:sz w:val="16"/>
                <w:szCs w:val="16"/>
              </w:rPr>
              <w:t>/л до 100х10</w:t>
            </w:r>
            <w:r w:rsidRPr="009F500F">
              <w:rPr>
                <w:sz w:val="16"/>
                <w:szCs w:val="16"/>
                <w:vertAlign w:val="superscript"/>
              </w:rPr>
              <w:t>9</w:t>
            </w:r>
            <w:r w:rsidRPr="009F500F">
              <w:rPr>
                <w:sz w:val="16"/>
                <w:szCs w:val="16"/>
              </w:rPr>
              <w:t>/л</w:t>
            </w:r>
          </w:p>
        </w:tc>
        <w:tc>
          <w:tcPr>
            <w:tcW w:w="1079" w:type="dxa"/>
            <w:tcBorders>
              <w:top w:val="single" w:sz="4" w:space="0" w:color="auto"/>
              <w:left w:val="single" w:sz="4" w:space="0" w:color="auto"/>
              <w:bottom w:val="single" w:sz="4" w:space="0" w:color="auto"/>
              <w:right w:val="single" w:sz="4" w:space="0" w:color="auto"/>
            </w:tcBorders>
            <w:hideMark/>
          </w:tcPr>
          <w:p w14:paraId="1CB8A9B1" w14:textId="77777777" w:rsidR="00B42B8A" w:rsidRPr="009F500F" w:rsidRDefault="00B42B8A" w:rsidP="00B42B8A">
            <w:pPr>
              <w:rPr>
                <w:sz w:val="16"/>
                <w:szCs w:val="16"/>
              </w:rPr>
            </w:pPr>
            <w:r w:rsidRPr="009F500F">
              <w:rPr>
                <w:sz w:val="16"/>
                <w:szCs w:val="16"/>
              </w:rPr>
              <w:t>50% от дозы</w:t>
            </w:r>
          </w:p>
        </w:tc>
      </w:tr>
      <w:tr w:rsidR="009F500F" w:rsidRPr="009F500F" w14:paraId="000FF915" w14:textId="77777777" w:rsidTr="00B42B8A">
        <w:trPr>
          <w:trHeight w:val="114"/>
        </w:trPr>
        <w:tc>
          <w:tcPr>
            <w:tcW w:w="1187" w:type="dxa"/>
            <w:tcBorders>
              <w:top w:val="single" w:sz="4" w:space="0" w:color="auto"/>
              <w:left w:val="single" w:sz="4" w:space="0" w:color="auto"/>
              <w:bottom w:val="single" w:sz="4" w:space="0" w:color="auto"/>
              <w:right w:val="single" w:sz="4" w:space="0" w:color="auto"/>
            </w:tcBorders>
            <w:hideMark/>
          </w:tcPr>
          <w:p w14:paraId="453FF758" w14:textId="77777777" w:rsidR="00B42B8A" w:rsidRPr="009F500F" w:rsidRDefault="00B42B8A" w:rsidP="00B42B8A">
            <w:pPr>
              <w:rPr>
                <w:sz w:val="16"/>
                <w:szCs w:val="16"/>
              </w:rPr>
            </w:pPr>
            <w:r w:rsidRPr="009F500F">
              <w:rPr>
                <w:sz w:val="16"/>
                <w:szCs w:val="16"/>
              </w:rPr>
              <w:t>менее 1,0х10</w:t>
            </w:r>
            <w:r w:rsidRPr="009F500F">
              <w:rPr>
                <w:sz w:val="16"/>
                <w:szCs w:val="16"/>
                <w:vertAlign w:val="superscript"/>
              </w:rPr>
              <w:t>9</w:t>
            </w:r>
            <w:r w:rsidRPr="009F500F">
              <w:rPr>
                <w:sz w:val="16"/>
                <w:szCs w:val="16"/>
              </w:rPr>
              <w:t>/л</w:t>
            </w:r>
          </w:p>
        </w:tc>
        <w:tc>
          <w:tcPr>
            <w:tcW w:w="1259" w:type="dxa"/>
            <w:tcBorders>
              <w:top w:val="single" w:sz="4" w:space="0" w:color="auto"/>
              <w:left w:val="single" w:sz="4" w:space="0" w:color="auto"/>
              <w:bottom w:val="single" w:sz="4" w:space="0" w:color="auto"/>
              <w:right w:val="single" w:sz="4" w:space="0" w:color="auto"/>
            </w:tcBorders>
            <w:hideMark/>
          </w:tcPr>
          <w:p w14:paraId="4200B287" w14:textId="77777777" w:rsidR="00B42B8A" w:rsidRPr="009F500F" w:rsidRDefault="00B42B8A" w:rsidP="00B42B8A">
            <w:pPr>
              <w:rPr>
                <w:sz w:val="16"/>
                <w:szCs w:val="16"/>
              </w:rPr>
            </w:pPr>
            <w:r w:rsidRPr="009F500F">
              <w:rPr>
                <w:sz w:val="16"/>
                <w:szCs w:val="16"/>
              </w:rPr>
              <w:t>менее 50х10</w:t>
            </w:r>
            <w:r w:rsidRPr="009F500F">
              <w:rPr>
                <w:sz w:val="16"/>
                <w:szCs w:val="16"/>
                <w:vertAlign w:val="superscript"/>
              </w:rPr>
              <w:t>9</w:t>
            </w:r>
            <w:r w:rsidRPr="009F500F">
              <w:rPr>
                <w:sz w:val="16"/>
                <w:szCs w:val="16"/>
              </w:rPr>
              <w:t>/л</w:t>
            </w:r>
          </w:p>
        </w:tc>
        <w:tc>
          <w:tcPr>
            <w:tcW w:w="1079" w:type="dxa"/>
            <w:tcBorders>
              <w:top w:val="single" w:sz="4" w:space="0" w:color="auto"/>
              <w:left w:val="single" w:sz="4" w:space="0" w:color="auto"/>
              <w:bottom w:val="single" w:sz="4" w:space="0" w:color="auto"/>
              <w:right w:val="single" w:sz="4" w:space="0" w:color="auto"/>
            </w:tcBorders>
            <w:hideMark/>
          </w:tcPr>
          <w:p w14:paraId="2FCDAA6E" w14:textId="77777777" w:rsidR="00B42B8A" w:rsidRPr="009F500F" w:rsidRDefault="00B42B8A" w:rsidP="00B42B8A">
            <w:pPr>
              <w:rPr>
                <w:sz w:val="16"/>
                <w:szCs w:val="16"/>
              </w:rPr>
            </w:pPr>
            <w:r w:rsidRPr="009F500F">
              <w:rPr>
                <w:sz w:val="16"/>
                <w:szCs w:val="16"/>
              </w:rPr>
              <w:t>0%</w:t>
            </w:r>
          </w:p>
        </w:tc>
      </w:tr>
    </w:tbl>
    <w:p w14:paraId="3896E17A" w14:textId="7FD35A2A" w:rsidR="00D42B22" w:rsidRPr="009F500F" w:rsidRDefault="00B42B8A" w:rsidP="00D42B22">
      <w:r w:rsidRPr="009F500F">
        <w:t xml:space="preserve"> </w:t>
      </w:r>
      <w:r w:rsidR="00D42B22" w:rsidRPr="009F500F">
        <w:t>Меркаптопурин</w:t>
      </w:r>
      <w:r w:rsidRPr="009F500F">
        <w:t>**</w:t>
      </w:r>
      <w:r w:rsidR="00D42B22" w:rsidRPr="009F500F">
        <w:t xml:space="preserve"> 50 мг/м²    134-161 дни</w:t>
      </w:r>
    </w:p>
    <w:p w14:paraId="0F54DF8A" w14:textId="5C062888" w:rsidR="00D42B22" w:rsidRPr="009F500F" w:rsidRDefault="00D42B22" w:rsidP="00D42B22">
      <w:pPr>
        <w:rPr>
          <w:bCs/>
          <w:iCs/>
        </w:rPr>
      </w:pPr>
      <w:r w:rsidRPr="009F500F">
        <w:rPr>
          <w:bCs/>
          <w:iCs/>
        </w:rPr>
        <w:t>Метотрексат</w:t>
      </w:r>
      <w:r w:rsidR="00B42B8A" w:rsidRPr="009F500F">
        <w:rPr>
          <w:bCs/>
          <w:iCs/>
        </w:rPr>
        <w:t>**</w:t>
      </w:r>
      <w:r w:rsidRPr="009F500F">
        <w:rPr>
          <w:bCs/>
          <w:iCs/>
        </w:rPr>
        <w:t xml:space="preserve"> </w:t>
      </w:r>
      <w:r w:rsidRPr="009F500F">
        <w:t>3</w:t>
      </w:r>
      <w:r w:rsidRPr="009F500F">
        <w:rPr>
          <w:bCs/>
          <w:iCs/>
        </w:rPr>
        <w:t>0 мг/м² 134, 141,148,155 дни</w:t>
      </w:r>
    </w:p>
    <w:p w14:paraId="461058EB" w14:textId="60F94514" w:rsidR="00D42B22" w:rsidRPr="009F500F" w:rsidRDefault="00D42B22" w:rsidP="00D42B22">
      <w:pPr>
        <w:rPr>
          <w:bCs/>
          <w:iCs/>
        </w:rPr>
      </w:pPr>
      <w:r w:rsidRPr="009F500F">
        <w:rPr>
          <w:bCs/>
          <w:iCs/>
        </w:rPr>
        <w:t>Дексаметазон</w:t>
      </w:r>
      <w:r w:rsidR="00B42B8A" w:rsidRPr="009F500F">
        <w:rPr>
          <w:bCs/>
          <w:iCs/>
        </w:rPr>
        <w:t>** 10</w:t>
      </w:r>
      <w:r w:rsidRPr="009F500F">
        <w:rPr>
          <w:bCs/>
          <w:iCs/>
        </w:rPr>
        <w:t xml:space="preserve"> м</w:t>
      </w:r>
      <w:r w:rsidR="00B42B8A" w:rsidRPr="009F500F">
        <w:rPr>
          <w:bCs/>
          <w:iCs/>
        </w:rPr>
        <w:t>г</w:t>
      </w:r>
      <w:r w:rsidRPr="009F500F">
        <w:rPr>
          <w:bCs/>
          <w:iCs/>
        </w:rPr>
        <w:t>/м2 134-136 дни</w:t>
      </w:r>
    </w:p>
    <w:p w14:paraId="6D55A361" w14:textId="0D082E5E" w:rsidR="00B42B8A" w:rsidRPr="009F500F" w:rsidRDefault="00D42B22" w:rsidP="00D42B22">
      <w:pPr>
        <w:rPr>
          <w:bCs/>
          <w:iCs/>
        </w:rPr>
      </w:pPr>
      <w:r w:rsidRPr="009F500F">
        <w:rPr>
          <w:lang w:val="en-US"/>
        </w:rPr>
        <w:t>L</w:t>
      </w:r>
      <w:r w:rsidRPr="009F500F">
        <w:t>-аспарагиназа</w:t>
      </w:r>
      <w:r w:rsidR="00B42B8A" w:rsidRPr="009F500F">
        <w:t>**</w:t>
      </w:r>
      <w:r w:rsidRPr="009F500F">
        <w:t xml:space="preserve"> 10000 ЕД/м² </w:t>
      </w:r>
      <w:r w:rsidRPr="009F500F">
        <w:rPr>
          <w:bCs/>
          <w:iCs/>
        </w:rPr>
        <w:t xml:space="preserve">135,142,149,156 дни </w:t>
      </w:r>
    </w:p>
    <w:p w14:paraId="7C301A84" w14:textId="15F0E903" w:rsidR="00D42B22" w:rsidRPr="009F500F" w:rsidRDefault="00D42B22" w:rsidP="00D42B22">
      <w:pPr>
        <w:rPr>
          <w:bCs/>
          <w:iCs/>
        </w:rPr>
      </w:pPr>
      <w:r w:rsidRPr="009F500F">
        <w:rPr>
          <w:bCs/>
          <w:iCs/>
        </w:rPr>
        <w:t xml:space="preserve">или </w:t>
      </w:r>
      <w:r w:rsidR="00387A25">
        <w:rPr>
          <w:bCs/>
          <w:iCs/>
        </w:rPr>
        <w:t>пэг</w:t>
      </w:r>
      <w:r w:rsidR="00387A25" w:rsidRPr="009F500F">
        <w:rPr>
          <w:bCs/>
          <w:iCs/>
        </w:rPr>
        <w:t xml:space="preserve">аспарагаза </w:t>
      </w:r>
      <w:r w:rsidR="00B42B8A" w:rsidRPr="009F500F">
        <w:rPr>
          <w:bCs/>
          <w:iCs/>
        </w:rPr>
        <w:t>**</w:t>
      </w:r>
      <w:r w:rsidRPr="009F500F">
        <w:rPr>
          <w:bCs/>
          <w:iCs/>
        </w:rPr>
        <w:t xml:space="preserve"> 1000 ЕД/м²   135, 149 дни</w:t>
      </w:r>
    </w:p>
    <w:p w14:paraId="5C76306A" w14:textId="77777777" w:rsidR="00D42B22" w:rsidRPr="009F500F" w:rsidRDefault="00D42B22" w:rsidP="00D42B22">
      <w:pPr>
        <w:rPr>
          <w:bCs/>
          <w:i/>
          <w:iCs/>
        </w:rPr>
      </w:pPr>
      <w:r w:rsidRPr="009F500F">
        <w:rPr>
          <w:bCs/>
          <w:i/>
          <w:iCs/>
        </w:rPr>
        <w:t>Люмбальная пункция с введением</w:t>
      </w:r>
    </w:p>
    <w:p w14:paraId="3D2C3317" w14:textId="77777777" w:rsidR="00D42B22" w:rsidRPr="009F500F" w:rsidRDefault="00D42B22" w:rsidP="00D42B22">
      <w:pPr>
        <w:rPr>
          <w:bCs/>
          <w:i/>
        </w:rPr>
      </w:pPr>
      <w:r w:rsidRPr="009F500F">
        <w:rPr>
          <w:bCs/>
          <w:i/>
          <w:iCs/>
        </w:rPr>
        <w:t>трех препаратов</w:t>
      </w:r>
      <w:r w:rsidRPr="009F500F">
        <w:rPr>
          <w:bCs/>
          <w:i/>
        </w:rPr>
        <w:t xml:space="preserve">   </w:t>
      </w:r>
      <w:r w:rsidRPr="009F500F">
        <w:rPr>
          <w:bCs/>
          <w:i/>
        </w:rPr>
        <w:tab/>
      </w:r>
      <w:r w:rsidRPr="009F500F">
        <w:rPr>
          <w:bCs/>
          <w:i/>
        </w:rPr>
        <w:tab/>
        <w:t xml:space="preserve">    140, 154 дни</w:t>
      </w:r>
    </w:p>
    <w:p w14:paraId="63B0D85D" w14:textId="77777777" w:rsidR="00D42B22" w:rsidRPr="009F500F" w:rsidRDefault="00D42B22" w:rsidP="00D42B22">
      <w:r w:rsidRPr="009F500F">
        <w:rPr>
          <w:noProof/>
        </w:rPr>
        <mc:AlternateContent>
          <mc:Choice Requires="wps">
            <w:drawing>
              <wp:anchor distT="0" distB="0" distL="114300" distR="114300" simplePos="0" relativeHeight="251708928" behindDoc="0" locked="0" layoutInCell="1" allowOverlap="1" wp14:anchorId="5C5D05C3" wp14:editId="77B2F01D">
                <wp:simplePos x="0" y="0"/>
                <wp:positionH relativeFrom="column">
                  <wp:posOffset>1028700</wp:posOffset>
                </wp:positionH>
                <wp:positionV relativeFrom="paragraph">
                  <wp:posOffset>71755</wp:posOffset>
                </wp:positionV>
                <wp:extent cx="0" cy="228600"/>
                <wp:effectExtent l="57150" t="5080" r="57150" b="23495"/>
                <wp:wrapNone/>
                <wp:docPr id="82" name="Прямая соединительная линия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18557C" id="Прямая соединительная линия 82" o:spid="_x0000_s1026" style="position:absolute;z-index:25170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5.65pt" to="81pt,2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">
                <v:stroke endarrow="block"/>
              </v:line>
            </w:pict>
          </mc:Fallback>
        </mc:AlternateContent>
      </w:r>
      <w:r w:rsidRPr="009F500F">
        <w:t xml:space="preserve">         </w:t>
      </w:r>
    </w:p>
    <w:p w14:paraId="12694DEA" w14:textId="77777777" w:rsidR="00D42B22" w:rsidRPr="009F500F" w:rsidRDefault="00D42B22" w:rsidP="00D42B22">
      <w:pPr>
        <w:rPr>
          <w:b/>
          <w:bCs/>
          <w:i/>
          <w:iCs/>
        </w:rPr>
      </w:pPr>
      <w:r w:rsidRPr="009F500F">
        <w:rPr>
          <w:b/>
          <w:bCs/>
          <w:i/>
          <w:iCs/>
        </w:rPr>
        <w:t xml:space="preserve"> </w:t>
      </w:r>
    </w:p>
    <w:p w14:paraId="3B680991" w14:textId="73853EE3" w:rsidR="00D42B22" w:rsidRPr="009F500F" w:rsidRDefault="00D42B22" w:rsidP="00D42B22">
      <w:r w:rsidRPr="009F500F">
        <w:rPr>
          <w:b/>
          <w:bCs/>
          <w:i/>
          <w:iCs/>
        </w:rPr>
        <w:t xml:space="preserve">Консолидация  </w:t>
      </w:r>
      <w:r w:rsidRPr="009F500F">
        <w:rPr>
          <w:b/>
          <w:bCs/>
          <w:i/>
          <w:iCs/>
          <w:lang w:val="en-US"/>
        </w:rPr>
        <w:t>V</w:t>
      </w:r>
      <w:r w:rsidRPr="009F500F">
        <w:rPr>
          <w:b/>
          <w:bCs/>
          <w:i/>
          <w:iCs/>
        </w:rPr>
        <w:t xml:space="preserve"> (24-27 недели)</w:t>
      </w:r>
    </w:p>
    <w:p w14:paraId="2143E50E" w14:textId="59CA8785" w:rsidR="00D42B22" w:rsidRPr="009F500F" w:rsidRDefault="00D42B22" w:rsidP="00D42B22">
      <w:r w:rsidRPr="009F500F">
        <w:rPr>
          <w:bCs/>
          <w:iCs/>
        </w:rPr>
        <w:t>Дексаметазон</w:t>
      </w:r>
      <w:r w:rsidR="00B42B8A" w:rsidRPr="009F500F">
        <w:rPr>
          <w:bCs/>
          <w:iCs/>
        </w:rPr>
        <w:t>**</w:t>
      </w:r>
      <w:r w:rsidRPr="009F500F">
        <w:rPr>
          <w:bCs/>
          <w:iCs/>
        </w:rPr>
        <w:t xml:space="preserve"> 10-30 м/м2 162-164 дни</w:t>
      </w:r>
      <w:r w:rsidRPr="009F500F">
        <w:t xml:space="preserve"> </w:t>
      </w:r>
    </w:p>
    <w:p w14:paraId="44B71AB5" w14:textId="49BDD94D" w:rsidR="00D42B22" w:rsidRPr="009F500F" w:rsidRDefault="00D42B22" w:rsidP="00D42B22">
      <w:r w:rsidRPr="009F500F">
        <w:t>Меркаптопурин</w:t>
      </w:r>
      <w:r w:rsidR="00B42B8A" w:rsidRPr="009F500F">
        <w:t>**</w:t>
      </w:r>
      <w:r w:rsidRPr="009F500F">
        <w:t xml:space="preserve"> 25 мг/м²  165-190 дни</w:t>
      </w:r>
    </w:p>
    <w:p w14:paraId="3F887CAD" w14:textId="13462C9A" w:rsidR="00D42B22" w:rsidRPr="009F500F" w:rsidRDefault="00D42B22" w:rsidP="00D42B22">
      <w:pPr>
        <w:rPr>
          <w:bCs/>
          <w:iCs/>
        </w:rPr>
      </w:pPr>
      <w:r w:rsidRPr="009F500F">
        <w:rPr>
          <w:bCs/>
          <w:iCs/>
        </w:rPr>
        <w:t>Цитарабин</w:t>
      </w:r>
      <w:r w:rsidR="00B42B8A" w:rsidRPr="009F500F">
        <w:rPr>
          <w:bCs/>
          <w:iCs/>
        </w:rPr>
        <w:t>**</w:t>
      </w:r>
      <w:r w:rsidRPr="009F500F">
        <w:rPr>
          <w:bCs/>
          <w:iCs/>
        </w:rPr>
        <w:t xml:space="preserve"> 75 мг/м</w:t>
      </w:r>
      <w:r w:rsidRPr="009F500F">
        <w:rPr>
          <w:bCs/>
          <w:iCs/>
          <w:vertAlign w:val="superscript"/>
        </w:rPr>
        <w:t>2</w:t>
      </w:r>
      <w:r w:rsidRPr="009F500F">
        <w:rPr>
          <w:bCs/>
          <w:iCs/>
        </w:rPr>
        <w:t xml:space="preserve">    172-175, 185-188 дни</w:t>
      </w:r>
    </w:p>
    <w:p w14:paraId="073FEC02" w14:textId="77777777" w:rsidR="00B42B8A" w:rsidRPr="009F500F" w:rsidRDefault="00D42B22" w:rsidP="00D42B22">
      <w:pPr>
        <w:rPr>
          <w:bCs/>
          <w:iCs/>
        </w:rPr>
      </w:pPr>
      <w:r w:rsidRPr="009F500F">
        <w:rPr>
          <w:lang w:val="en-US"/>
        </w:rPr>
        <w:t>L</w:t>
      </w:r>
      <w:r w:rsidRPr="009F500F">
        <w:t>-аспарагиназа</w:t>
      </w:r>
      <w:r w:rsidR="00B42B8A" w:rsidRPr="009F500F">
        <w:t>**</w:t>
      </w:r>
      <w:r w:rsidRPr="009F500F">
        <w:t xml:space="preserve"> 10000 ЕД/м² </w:t>
      </w:r>
      <w:r w:rsidR="00B42B8A" w:rsidRPr="009F500F">
        <w:rPr>
          <w:bCs/>
          <w:iCs/>
        </w:rPr>
        <w:t xml:space="preserve"> </w:t>
      </w:r>
      <w:r w:rsidRPr="009F500F">
        <w:rPr>
          <w:bCs/>
          <w:iCs/>
        </w:rPr>
        <w:t xml:space="preserve">162, 169, 176, 183 день </w:t>
      </w:r>
    </w:p>
    <w:p w14:paraId="76D7D77F" w14:textId="378927AF" w:rsidR="00D42B22" w:rsidRPr="009F500F" w:rsidRDefault="00D42B22" w:rsidP="00D42B22">
      <w:pPr>
        <w:rPr>
          <w:bCs/>
          <w:iCs/>
        </w:rPr>
      </w:pPr>
      <w:r w:rsidRPr="009F500F">
        <w:rPr>
          <w:bCs/>
          <w:iCs/>
        </w:rPr>
        <w:t xml:space="preserve">или </w:t>
      </w:r>
      <w:r w:rsidR="00387A25">
        <w:rPr>
          <w:bCs/>
          <w:iCs/>
        </w:rPr>
        <w:t>пэг</w:t>
      </w:r>
      <w:r w:rsidR="00387A25" w:rsidRPr="009F500F">
        <w:rPr>
          <w:bCs/>
          <w:iCs/>
        </w:rPr>
        <w:t xml:space="preserve">аспарагаза </w:t>
      </w:r>
      <w:r w:rsidR="00B42B8A" w:rsidRPr="009F500F">
        <w:rPr>
          <w:bCs/>
          <w:iCs/>
        </w:rPr>
        <w:t>**</w:t>
      </w:r>
      <w:r w:rsidRPr="009F500F">
        <w:rPr>
          <w:bCs/>
          <w:iCs/>
        </w:rPr>
        <w:t xml:space="preserve"> 1000 ЕД/м²   162, 176 дни</w:t>
      </w:r>
    </w:p>
    <w:p w14:paraId="647E8E49" w14:textId="77777777" w:rsidR="00D42B22" w:rsidRPr="009F500F" w:rsidRDefault="00D42B22" w:rsidP="00D42B22">
      <w:pPr>
        <w:rPr>
          <w:bCs/>
          <w:i/>
          <w:iCs/>
        </w:rPr>
      </w:pPr>
      <w:r w:rsidRPr="009F500F">
        <w:rPr>
          <w:bCs/>
          <w:i/>
          <w:iCs/>
        </w:rPr>
        <w:t>Люмбальная пункция с введением</w:t>
      </w:r>
    </w:p>
    <w:p w14:paraId="662583DF" w14:textId="77777777" w:rsidR="00D42B22" w:rsidRPr="009F500F" w:rsidRDefault="00D42B22" w:rsidP="00D42B22">
      <w:pPr>
        <w:rPr>
          <w:bCs/>
          <w:i/>
        </w:rPr>
      </w:pPr>
      <w:r w:rsidRPr="009F500F">
        <w:rPr>
          <w:bCs/>
          <w:i/>
          <w:iCs/>
        </w:rPr>
        <w:t>трех препаратов</w:t>
      </w:r>
      <w:r w:rsidRPr="009F500F">
        <w:rPr>
          <w:bCs/>
          <w:i/>
        </w:rPr>
        <w:t xml:space="preserve">   </w:t>
      </w:r>
      <w:r w:rsidRPr="009F500F">
        <w:rPr>
          <w:bCs/>
          <w:i/>
        </w:rPr>
        <w:tab/>
      </w:r>
      <w:r w:rsidRPr="009F500F">
        <w:rPr>
          <w:bCs/>
          <w:i/>
        </w:rPr>
        <w:tab/>
        <w:t xml:space="preserve">    177 день</w:t>
      </w:r>
    </w:p>
    <w:p w14:paraId="4840FDCB" w14:textId="77777777" w:rsidR="00D42B22" w:rsidRPr="009F500F" w:rsidRDefault="00D42B22" w:rsidP="00D42B22">
      <w:pPr>
        <w:rPr>
          <w:bCs/>
          <w:i/>
          <w:iCs/>
        </w:rPr>
      </w:pPr>
      <w:r w:rsidRPr="009F500F">
        <w:rPr>
          <w:bCs/>
          <w:i/>
          <w:iCs/>
        </w:rPr>
        <w:t>Люмбальная пункция с введением</w:t>
      </w:r>
    </w:p>
    <w:p w14:paraId="5F507D82" w14:textId="5AD4752E" w:rsidR="00D42B22" w:rsidRPr="009F500F" w:rsidRDefault="00D42B22" w:rsidP="00D42B22">
      <w:pPr>
        <w:rPr>
          <w:bCs/>
          <w:i/>
        </w:rPr>
      </w:pPr>
      <w:r w:rsidRPr="009F500F">
        <w:rPr>
          <w:bCs/>
          <w:i/>
          <w:iCs/>
        </w:rPr>
        <w:t>трех препаратов</w:t>
      </w:r>
      <w:r w:rsidRPr="009F500F">
        <w:rPr>
          <w:bCs/>
          <w:i/>
        </w:rPr>
        <w:t xml:space="preserve">   </w:t>
      </w:r>
      <w:r w:rsidRPr="009F500F">
        <w:rPr>
          <w:bCs/>
          <w:i/>
        </w:rPr>
        <w:tab/>
      </w:r>
      <w:r w:rsidRPr="009F500F">
        <w:rPr>
          <w:bCs/>
          <w:i/>
        </w:rPr>
        <w:tab/>
        <w:t xml:space="preserve">    190 день</w:t>
      </w:r>
    </w:p>
    <w:p w14:paraId="4899AA37" w14:textId="32151BC8" w:rsidR="00D42B22" w:rsidRPr="009F500F" w:rsidRDefault="00B42B8A" w:rsidP="00D42B22">
      <w:pPr>
        <w:rPr>
          <w:b/>
        </w:rPr>
      </w:pPr>
      <w:r w:rsidRPr="009F500F">
        <w:rPr>
          <w:noProof/>
        </w:rPr>
        <mc:AlternateContent>
          <mc:Choice Requires="wps">
            <w:drawing>
              <wp:anchor distT="0" distB="0" distL="114300" distR="114300" simplePos="0" relativeHeight="251709952" behindDoc="0" locked="0" layoutInCell="1" allowOverlap="1" wp14:anchorId="26B2866B" wp14:editId="22C33F78">
                <wp:simplePos x="0" y="0"/>
                <wp:positionH relativeFrom="column">
                  <wp:posOffset>1097505</wp:posOffset>
                </wp:positionH>
                <wp:positionV relativeFrom="paragraph">
                  <wp:posOffset>255330</wp:posOffset>
                </wp:positionV>
                <wp:extent cx="0" cy="228600"/>
                <wp:effectExtent l="59055" t="11430" r="55245" b="17145"/>
                <wp:wrapNone/>
                <wp:docPr id="83" name="Прямая соединительная линия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C3CAF6" id="Прямая соединительная линия 83" o:spid="_x0000_s1026" style="position:absolute;z-index:25170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6.4pt,20.1pt" to="86.4pt,3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">
                <v:stroke endarrow="block"/>
              </v:line>
            </w:pict>
          </mc:Fallback>
        </mc:AlternateContent>
      </w:r>
      <w:r w:rsidR="00D42B22" w:rsidRPr="009F500F">
        <w:rPr>
          <w:bdr w:val="single" w:sz="4" w:space="0" w:color="auto" w:frame="1"/>
        </w:rPr>
        <w:t>оценка МРБ в к/м</w:t>
      </w:r>
      <w:r w:rsidR="00D42B22" w:rsidRPr="009F500F">
        <w:rPr>
          <w:b/>
          <w:bdr w:val="single" w:sz="4" w:space="0" w:color="auto" w:frame="1"/>
        </w:rPr>
        <w:t xml:space="preserve">  (день +190)</w:t>
      </w:r>
      <w:r w:rsidR="00D42B22" w:rsidRPr="009F500F">
        <w:rPr>
          <w:b/>
        </w:rPr>
        <w:t xml:space="preserve">    </w:t>
      </w:r>
    </w:p>
    <w:p w14:paraId="4A23E19D" w14:textId="77777777" w:rsidR="00D42B22" w:rsidRPr="009F500F" w:rsidRDefault="00D42B22" w:rsidP="00D42B22"/>
    <w:p w14:paraId="5D931182" w14:textId="24916281" w:rsidR="00D42B22" w:rsidRPr="009F500F" w:rsidRDefault="00D42B22" w:rsidP="00D42B22">
      <w:pPr>
        <w:rPr>
          <w:b/>
          <w:i/>
          <w:iCs/>
        </w:rPr>
      </w:pPr>
      <w:r w:rsidRPr="009F500F">
        <w:rPr>
          <w:b/>
          <w:i/>
          <w:iCs/>
        </w:rPr>
        <w:t xml:space="preserve">Поддерживающая терапия в течение 2 лет от момента завершения последнего курса </w:t>
      </w:r>
      <w:r w:rsidRPr="009F500F">
        <w:rPr>
          <w:b/>
          <w:i/>
          <w:iCs/>
        </w:rPr>
        <w:lastRenderedPageBreak/>
        <w:t xml:space="preserve">консолидации </w:t>
      </w:r>
    </w:p>
    <w:p w14:paraId="6E13A162" w14:textId="77777777" w:rsidR="00D42B22" w:rsidRPr="009F500F" w:rsidRDefault="00D42B22" w:rsidP="00D42B22">
      <w:pPr>
        <w:rPr>
          <w:b/>
          <w:bCs/>
          <w:i/>
          <w:iCs/>
        </w:rPr>
      </w:pPr>
      <w:r w:rsidRPr="009F500F">
        <w:rPr>
          <w:b/>
          <w:bCs/>
          <w:i/>
          <w:iCs/>
        </w:rPr>
        <w:t>______________________________________________________________________</w:t>
      </w:r>
    </w:p>
    <w:p w14:paraId="022321CB" w14:textId="77777777" w:rsidR="00D42B22" w:rsidRPr="009F500F" w:rsidRDefault="00D42B22" w:rsidP="00D42B22">
      <w:pPr>
        <w:rPr>
          <w:b/>
          <w:bCs/>
          <w:i/>
          <w:iCs/>
        </w:rPr>
      </w:pPr>
      <w:r w:rsidRPr="009F500F">
        <w:rPr>
          <w:b/>
          <w:bCs/>
          <w:i/>
          <w:iCs/>
        </w:rPr>
        <w:t>Между циклами поддерживающей терапии нет интервалов: первый день последующего курса следует сразу за последним днем предшествующего</w:t>
      </w:r>
    </w:p>
    <w:p w14:paraId="0BE991F0" w14:textId="76A790B8" w:rsidR="00D42B22" w:rsidRPr="009F500F" w:rsidRDefault="00D42B22" w:rsidP="00D42B22">
      <w:pPr>
        <w:rPr>
          <w:bCs/>
          <w:iCs/>
        </w:rPr>
      </w:pPr>
      <w:r w:rsidRPr="009F500F">
        <w:rPr>
          <w:bCs/>
          <w:iCs/>
        </w:rPr>
        <w:t xml:space="preserve">_____________________________________________________________________                                                                                                </w:t>
      </w:r>
    </w:p>
    <w:p w14:paraId="1A9048E8" w14:textId="0669320A" w:rsidR="00D42B22" w:rsidRPr="009F500F" w:rsidRDefault="00D42B22" w:rsidP="00D42B22">
      <w:pPr>
        <w:rPr>
          <w:b/>
          <w:bCs/>
          <w:i/>
          <w:iCs/>
        </w:rPr>
      </w:pPr>
      <w:r w:rsidRPr="009F500F">
        <w:rPr>
          <w:b/>
          <w:bCs/>
          <w:i/>
          <w:iCs/>
        </w:rPr>
        <w:t>Поддерживающая терапия,  циклы №3  (1- 3)(начало 28 недели, +191 день)</w:t>
      </w:r>
    </w:p>
    <w:p w14:paraId="2C499FE9" w14:textId="0CB14CB4" w:rsidR="00D42B22" w:rsidRPr="009F500F" w:rsidRDefault="00B42B8A" w:rsidP="00D42B22">
      <w:pPr>
        <w:rPr>
          <w:bCs/>
          <w:iCs/>
        </w:rPr>
      </w:pPr>
      <w:r w:rsidRPr="009F500F">
        <w:rPr>
          <w:noProof/>
        </w:rPr>
        <mc:AlternateContent>
          <mc:Choice Requires="wps">
            <w:drawing>
              <wp:anchor distT="0" distB="0" distL="114300" distR="114300" simplePos="0" relativeHeight="251710976" behindDoc="0" locked="0" layoutInCell="1" allowOverlap="1" wp14:anchorId="62719FA8" wp14:editId="604CE53B">
                <wp:simplePos x="0" y="0"/>
                <wp:positionH relativeFrom="column">
                  <wp:posOffset>3801465</wp:posOffset>
                </wp:positionH>
                <wp:positionV relativeFrom="paragraph">
                  <wp:posOffset>24660</wp:posOffset>
                </wp:positionV>
                <wp:extent cx="342900" cy="6660000"/>
                <wp:effectExtent l="0" t="0" r="19050" b="26670"/>
                <wp:wrapNone/>
                <wp:docPr id="84" name="Правая фигурная скобка 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42900" cy="6660000"/>
                        </a:xfrm>
                        <a:prstGeom prst="rightBrace">
                          <a:avLst>
                            <a:gd name="adj1" fmla="val 52778"/>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76EADD" id="Правая фигурная скобка 84" o:spid="_x0000_s1026" type="#_x0000_t88" style="position:absolute;margin-left:299.35pt;margin-top:1.95pt;width:27pt;height:524.4pt;z-index:25171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" adj="587"/>
            </w:pict>
          </mc:Fallback>
        </mc:AlternateContent>
      </w:r>
      <w:r w:rsidR="00D42B22" w:rsidRPr="009F500F">
        <w:t>Дексаметазон</w:t>
      </w:r>
      <w:r w:rsidRPr="009F500F">
        <w:t>**</w:t>
      </w:r>
      <w:r w:rsidR="00D42B22" w:rsidRPr="009F500F">
        <w:rPr>
          <w:bCs/>
          <w:iCs/>
        </w:rPr>
        <w:t xml:space="preserve"> 10 мг/м²    1-3 дни </w:t>
      </w:r>
    </w:p>
    <w:p w14:paraId="1F8866E4" w14:textId="14FAC919" w:rsidR="00D42B22" w:rsidRPr="009F500F" w:rsidRDefault="00D42B22" w:rsidP="00D42B22">
      <w:r w:rsidRPr="009F500F">
        <w:t>Меркаптопурин</w:t>
      </w:r>
      <w:r w:rsidR="00B42B8A" w:rsidRPr="009F500F">
        <w:t>**</w:t>
      </w:r>
      <w:r w:rsidRPr="009F500F">
        <w:t xml:space="preserve"> 50 мг/м²    4-28 дни</w:t>
      </w:r>
    </w:p>
    <w:p w14:paraId="4EE009FA" w14:textId="0DF0436C" w:rsidR="00D42B22" w:rsidRPr="009F500F" w:rsidRDefault="00D42B22" w:rsidP="00D42B22">
      <w:pPr>
        <w:rPr>
          <w:bCs/>
          <w:iCs/>
        </w:rPr>
      </w:pPr>
      <w:r w:rsidRPr="009F500F">
        <w:rPr>
          <w:bCs/>
          <w:iCs/>
        </w:rPr>
        <w:t>Винкристин</w:t>
      </w:r>
      <w:r w:rsidR="00B42B8A" w:rsidRPr="009F500F">
        <w:rPr>
          <w:bCs/>
          <w:iCs/>
        </w:rPr>
        <w:t>**</w:t>
      </w:r>
      <w:r w:rsidRPr="009F500F">
        <w:rPr>
          <w:bCs/>
          <w:iCs/>
        </w:rPr>
        <w:t xml:space="preserve"> 2 мг  1 день</w:t>
      </w:r>
    </w:p>
    <w:p w14:paraId="03EB8ACC" w14:textId="63B066D1" w:rsidR="00D42B22" w:rsidRPr="009F500F" w:rsidRDefault="00D42B22" w:rsidP="00D42B22">
      <w:pPr>
        <w:rPr>
          <w:i/>
        </w:rPr>
      </w:pPr>
      <w:r w:rsidRPr="009F500F">
        <w:rPr>
          <w:bCs/>
          <w:i/>
          <w:iCs/>
        </w:rPr>
        <w:t>Даунорубицин</w:t>
      </w:r>
      <w:r w:rsidR="00B42B8A" w:rsidRPr="009F500F">
        <w:rPr>
          <w:bCs/>
          <w:i/>
          <w:iCs/>
        </w:rPr>
        <w:t>**</w:t>
      </w:r>
      <w:r w:rsidRPr="009F500F">
        <w:rPr>
          <w:bCs/>
          <w:i/>
          <w:iCs/>
        </w:rPr>
        <w:t xml:space="preserve"> 45 мг/м²   1 день</w:t>
      </w:r>
    </w:p>
    <w:p w14:paraId="7E3878D1" w14:textId="7CB8FAEE" w:rsidR="00D42B22" w:rsidRPr="009F500F" w:rsidRDefault="00D42B22" w:rsidP="00D42B22">
      <w:pPr>
        <w:rPr>
          <w:bCs/>
          <w:iCs/>
        </w:rPr>
      </w:pPr>
      <w:r w:rsidRPr="009F500F">
        <w:t>Метотрексат</w:t>
      </w:r>
      <w:r w:rsidR="00B42B8A" w:rsidRPr="009F500F">
        <w:t>**</w:t>
      </w:r>
      <w:r w:rsidRPr="009F500F">
        <w:t xml:space="preserve"> 3</w:t>
      </w:r>
      <w:r w:rsidRPr="009F500F">
        <w:rPr>
          <w:bCs/>
          <w:iCs/>
        </w:rPr>
        <w:t xml:space="preserve">0 мг/м² 2, 9, 16, 23 дни  </w:t>
      </w:r>
    </w:p>
    <w:p w14:paraId="577FD96B" w14:textId="686024FE" w:rsidR="00D42B22" w:rsidRPr="009F500F" w:rsidRDefault="00D42B22" w:rsidP="00D42B22">
      <w:r w:rsidRPr="009F500F">
        <w:rPr>
          <w:lang w:val="en-US"/>
        </w:rPr>
        <w:t>L</w:t>
      </w:r>
      <w:r w:rsidRPr="009F500F">
        <w:t>-аспарагиназа</w:t>
      </w:r>
      <w:r w:rsidR="00B42B8A" w:rsidRPr="009F500F">
        <w:t>**</w:t>
      </w:r>
      <w:r w:rsidRPr="009F500F">
        <w:t xml:space="preserve"> 10000 ЕД/м²    3, 10 дни</w:t>
      </w:r>
    </w:p>
    <w:p w14:paraId="204FB908" w14:textId="4AB9BFD1" w:rsidR="00D42B22" w:rsidRPr="009F500F" w:rsidRDefault="00B42B8A" w:rsidP="00D42B22">
      <w:pPr>
        <w:rPr>
          <w:bCs/>
          <w:iCs/>
        </w:rPr>
      </w:pPr>
      <w:r w:rsidRPr="009F500F">
        <w:rPr>
          <w:bCs/>
          <w:iCs/>
        </w:rPr>
        <w:t>и</w:t>
      </w:r>
      <w:r w:rsidR="00D42B22" w:rsidRPr="009F500F">
        <w:rPr>
          <w:bCs/>
          <w:iCs/>
        </w:rPr>
        <w:t>ли</w:t>
      </w:r>
      <w:r w:rsidRPr="009F500F">
        <w:rPr>
          <w:bCs/>
          <w:iCs/>
        </w:rPr>
        <w:t xml:space="preserve"> </w:t>
      </w:r>
      <w:r w:rsidR="00387A25">
        <w:rPr>
          <w:bCs/>
          <w:iCs/>
        </w:rPr>
        <w:t>пэг</w:t>
      </w:r>
      <w:r w:rsidR="00387A25" w:rsidRPr="009F500F">
        <w:rPr>
          <w:bCs/>
          <w:iCs/>
        </w:rPr>
        <w:t xml:space="preserve">аспарагаза </w:t>
      </w:r>
      <w:r w:rsidRPr="009F500F">
        <w:rPr>
          <w:bCs/>
          <w:iCs/>
        </w:rPr>
        <w:t>**</w:t>
      </w:r>
      <w:r w:rsidR="00D42B22" w:rsidRPr="009F500F">
        <w:rPr>
          <w:bCs/>
          <w:iCs/>
        </w:rPr>
        <w:t xml:space="preserve"> 1000 ЕД/м²   3 день</w:t>
      </w:r>
    </w:p>
    <w:p w14:paraId="2D7A1F5B" w14:textId="51084DE7" w:rsidR="00D42B22" w:rsidRPr="009F500F" w:rsidRDefault="00D42B22" w:rsidP="00D42B22">
      <w:pPr>
        <w:rPr>
          <w:bCs/>
          <w:i/>
          <w:iCs/>
        </w:rPr>
      </w:pPr>
      <w:r w:rsidRPr="009F500F">
        <w:rPr>
          <w:bCs/>
          <w:i/>
          <w:iCs/>
        </w:rPr>
        <w:t>(суммарная доза антрациклиновых антибиотиков</w:t>
      </w:r>
    </w:p>
    <w:p w14:paraId="4111A96B" w14:textId="76B14EE3" w:rsidR="00D42B22" w:rsidRPr="009F500F" w:rsidRDefault="00D42B22" w:rsidP="00D42B22">
      <w:pPr>
        <w:rPr>
          <w:bCs/>
          <w:i/>
          <w:iCs/>
        </w:rPr>
      </w:pPr>
      <w:r w:rsidRPr="009F500F">
        <w:rPr>
          <w:bCs/>
          <w:i/>
          <w:iCs/>
        </w:rPr>
        <w:t xml:space="preserve"> к моменту завершения третьего курса</w:t>
      </w:r>
    </w:p>
    <w:p w14:paraId="5D9D5306" w14:textId="68712117" w:rsidR="00D42B22" w:rsidRPr="009F500F" w:rsidRDefault="00D42B22" w:rsidP="00D42B22">
      <w:pPr>
        <w:rPr>
          <w:bCs/>
          <w:i/>
          <w:iCs/>
        </w:rPr>
      </w:pPr>
      <w:r w:rsidRPr="009F500F">
        <w:rPr>
          <w:bCs/>
          <w:i/>
          <w:iCs/>
        </w:rPr>
        <w:t xml:space="preserve">поддерживающей терапии составляет  </w:t>
      </w:r>
    </w:p>
    <w:p w14:paraId="7786EF42" w14:textId="570F655E" w:rsidR="00D42B22" w:rsidRPr="009F500F" w:rsidRDefault="00B42B8A" w:rsidP="00D42B22">
      <w:pPr>
        <w:rPr>
          <w:bCs/>
          <w:i/>
          <w:iCs/>
        </w:rPr>
      </w:pPr>
      <w:r w:rsidRPr="009F500F">
        <w:rPr>
          <w:noProof/>
        </w:rPr>
        <mc:AlternateContent>
          <mc:Choice Requires="wps">
            <w:drawing>
              <wp:anchor distT="0" distB="0" distL="114300" distR="114300" simplePos="0" relativeHeight="251712000" behindDoc="0" locked="0" layoutInCell="1" allowOverlap="1" wp14:anchorId="6DBFE78F" wp14:editId="5DA0AFB1">
                <wp:simplePos x="0" y="0"/>
                <wp:positionH relativeFrom="column">
                  <wp:posOffset>4305300</wp:posOffset>
                </wp:positionH>
                <wp:positionV relativeFrom="paragraph">
                  <wp:posOffset>110180</wp:posOffset>
                </wp:positionV>
                <wp:extent cx="1600200" cy="1631315"/>
                <wp:effectExtent l="0" t="0" r="19050" b="26035"/>
                <wp:wrapNone/>
                <wp:docPr id="85" name="Поле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1631315"/>
                        </a:xfrm>
                        <a:prstGeom prst="rect">
                          <a:avLst/>
                        </a:prstGeom>
                        <a:solidFill>
                          <a:srgbClr val="FFFFFF"/>
                        </a:solidFill>
                        <a:ln w="9525">
                          <a:solidFill>
                            <a:srgbClr val="000000"/>
                          </a:solidFill>
                          <a:miter lim="800000"/>
                          <a:headEnd/>
                          <a:tailEnd/>
                        </a:ln>
                      </wps:spPr>
                      <wps:txbx>
                        <w:txbxContent>
                          <w:p w14:paraId="4F376708" w14:textId="77777777" w:rsidR="009E240E" w:rsidRDefault="009E240E" w:rsidP="00D42B22">
                            <w:pPr>
                              <w:rPr>
                                <w:rFonts w:ascii="Arial" w:hAnsi="Arial" w:cs="Arial"/>
                              </w:rPr>
                            </w:pPr>
                            <w:r>
                              <w:rPr>
                                <w:rFonts w:ascii="Arial" w:hAnsi="Arial" w:cs="Arial"/>
                              </w:rPr>
                              <w:t>Модификация дозы меркаптопурина и метотрексата в зависимости от уровня лейкоцитов и тромбоцитов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BFE78F" id="Поле 39" o:spid="_x0000_s1030" type="#_x0000_t202" style="position:absolute;left:0;text-align:left;margin-left:339pt;margin-top:8.7pt;width:126pt;height:128.45pt;z-index:25171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">
                <v:textbox>
                  <w:txbxContent>
                    <w:p w14:paraId="4F376708" w14:textId="77777777" w:rsidR="009E240E" w:rsidRDefault="009E240E" w:rsidP="00D42B22">
                      <w:pPr>
                        <w:rPr>
                          <w:rFonts w:ascii="Arial" w:hAnsi="Arial" w:cs="Arial"/>
                        </w:rPr>
                      </w:pPr>
                      <w:r>
                        <w:rPr>
                          <w:rFonts w:ascii="Arial" w:hAnsi="Arial" w:cs="Arial"/>
                        </w:rPr>
                        <w:t>Модификация дозы меркаптопурина и метотрексата в зависимости от уровня лейкоцитов и тромбоцитов</w:t>
                      </w:r>
                    </w:p>
                  </w:txbxContent>
                </v:textbox>
              </v:shape>
            </w:pict>
          </mc:Fallback>
        </mc:AlternateContent>
      </w:r>
      <w:r w:rsidR="00D42B22" w:rsidRPr="009F500F">
        <w:rPr>
          <w:bCs/>
          <w:i/>
          <w:iCs/>
        </w:rPr>
        <w:t>360 мг/м</w:t>
      </w:r>
      <w:r w:rsidR="00D42B22" w:rsidRPr="009F500F">
        <w:rPr>
          <w:bCs/>
          <w:i/>
          <w:iCs/>
          <w:vertAlign w:val="superscript"/>
        </w:rPr>
        <w:t>2</w:t>
      </w:r>
      <w:r w:rsidR="00D42B22" w:rsidRPr="009F500F">
        <w:rPr>
          <w:bCs/>
          <w:i/>
          <w:iCs/>
        </w:rPr>
        <w:t xml:space="preserve"> в расчете на Даунорубицин)</w:t>
      </w:r>
    </w:p>
    <w:p w14:paraId="0E95AE44" w14:textId="77777777" w:rsidR="00D42B22" w:rsidRPr="009F500F" w:rsidRDefault="00D42B22" w:rsidP="00D42B22">
      <w:pPr>
        <w:rPr>
          <w:bCs/>
          <w:iCs/>
        </w:rPr>
      </w:pPr>
    </w:p>
    <w:p w14:paraId="1F4B20C6" w14:textId="070A6A3D" w:rsidR="00D42B22" w:rsidRPr="009F500F" w:rsidRDefault="00D42B22" w:rsidP="00D42B22">
      <w:pPr>
        <w:rPr>
          <w:b/>
          <w:bCs/>
          <w:i/>
          <w:iCs/>
        </w:rPr>
      </w:pPr>
      <w:r w:rsidRPr="009F500F">
        <w:rPr>
          <w:b/>
          <w:bCs/>
          <w:i/>
          <w:iCs/>
        </w:rPr>
        <w:t>Поддержив</w:t>
      </w:r>
      <w:r w:rsidR="00B42B8A" w:rsidRPr="009F500F">
        <w:rPr>
          <w:b/>
          <w:bCs/>
          <w:i/>
          <w:iCs/>
        </w:rPr>
        <w:t>ающая терапия,  циклы №9 (4 - 6</w:t>
      </w:r>
      <w:r w:rsidRPr="009F500F">
        <w:rPr>
          <w:b/>
          <w:bCs/>
          <w:i/>
          <w:iCs/>
        </w:rPr>
        <w:t>)</w:t>
      </w:r>
    </w:p>
    <w:p w14:paraId="20351D01" w14:textId="5F6181AF" w:rsidR="00D42B22" w:rsidRPr="009F500F" w:rsidRDefault="00D42B22" w:rsidP="00D42B22">
      <w:pPr>
        <w:rPr>
          <w:bCs/>
          <w:iCs/>
        </w:rPr>
      </w:pPr>
      <w:r w:rsidRPr="009F500F">
        <w:t>Дексаметазон</w:t>
      </w:r>
      <w:r w:rsidR="00B42B8A" w:rsidRPr="009F500F">
        <w:t>**</w:t>
      </w:r>
      <w:r w:rsidRPr="009F500F">
        <w:rPr>
          <w:bCs/>
          <w:iCs/>
        </w:rPr>
        <w:t xml:space="preserve"> 10 мг/м²    1-3 дни </w:t>
      </w:r>
    </w:p>
    <w:p w14:paraId="30A6775F" w14:textId="3AB90B63" w:rsidR="00D42B22" w:rsidRPr="009F500F" w:rsidRDefault="00D42B22" w:rsidP="00D42B22">
      <w:r w:rsidRPr="009F500F">
        <w:t>Меркаптопурин</w:t>
      </w:r>
      <w:r w:rsidR="00B42B8A" w:rsidRPr="009F500F">
        <w:t>**</w:t>
      </w:r>
      <w:r w:rsidRPr="009F500F">
        <w:t xml:space="preserve"> 50 мг/м²    4-28 дни</w:t>
      </w:r>
    </w:p>
    <w:p w14:paraId="7D3E4057" w14:textId="67F6B59F" w:rsidR="00D42B22" w:rsidRPr="009F500F" w:rsidRDefault="00D42B22" w:rsidP="00D42B22">
      <w:pPr>
        <w:rPr>
          <w:bCs/>
          <w:iCs/>
        </w:rPr>
      </w:pPr>
      <w:r w:rsidRPr="009F500F">
        <w:rPr>
          <w:bCs/>
          <w:iCs/>
        </w:rPr>
        <w:t>Винкристин</w:t>
      </w:r>
      <w:r w:rsidR="00B42B8A" w:rsidRPr="009F500F">
        <w:rPr>
          <w:bCs/>
          <w:iCs/>
        </w:rPr>
        <w:t>**</w:t>
      </w:r>
      <w:r w:rsidRPr="009F500F">
        <w:rPr>
          <w:bCs/>
          <w:iCs/>
        </w:rPr>
        <w:t xml:space="preserve"> 2 мг  1 день</w:t>
      </w:r>
    </w:p>
    <w:p w14:paraId="583738B9" w14:textId="7EA27ABC" w:rsidR="00D42B22" w:rsidRPr="009F500F" w:rsidRDefault="00D42B22" w:rsidP="00D42B22">
      <w:pPr>
        <w:rPr>
          <w:bCs/>
          <w:iCs/>
        </w:rPr>
      </w:pPr>
      <w:r w:rsidRPr="009F500F">
        <w:t>Метотрексат</w:t>
      </w:r>
      <w:r w:rsidR="00B42B8A" w:rsidRPr="009F500F">
        <w:t>**</w:t>
      </w:r>
      <w:r w:rsidRPr="009F500F">
        <w:t xml:space="preserve"> 3</w:t>
      </w:r>
      <w:r w:rsidRPr="009F500F">
        <w:rPr>
          <w:bCs/>
          <w:iCs/>
        </w:rPr>
        <w:t xml:space="preserve">0 мг/м² 2, 9, 16, 23 дни </w:t>
      </w:r>
    </w:p>
    <w:p w14:paraId="5987F96E" w14:textId="3A4B86AB" w:rsidR="00D42B22" w:rsidRPr="009F500F" w:rsidRDefault="00D42B22" w:rsidP="00D42B22">
      <w:r w:rsidRPr="009F500F">
        <w:rPr>
          <w:lang w:val="en-US"/>
        </w:rPr>
        <w:t>L</w:t>
      </w:r>
      <w:r w:rsidRPr="009F500F">
        <w:t>-аспарагиназа</w:t>
      </w:r>
      <w:r w:rsidR="00B42B8A" w:rsidRPr="009F500F">
        <w:t>**</w:t>
      </w:r>
      <w:r w:rsidRPr="009F500F">
        <w:t xml:space="preserve"> 10000 ЕД/м²    3, 10 дни</w:t>
      </w:r>
    </w:p>
    <w:p w14:paraId="48D7604E" w14:textId="5056B251" w:rsidR="00D42B22" w:rsidRPr="009F500F" w:rsidRDefault="00B42B8A" w:rsidP="00D42B22">
      <w:pPr>
        <w:rPr>
          <w:bCs/>
          <w:iCs/>
        </w:rPr>
      </w:pPr>
      <w:r w:rsidRPr="009F500F">
        <w:rPr>
          <w:bCs/>
          <w:iCs/>
        </w:rPr>
        <w:t>и</w:t>
      </w:r>
      <w:r w:rsidR="00D42B22" w:rsidRPr="009F500F">
        <w:rPr>
          <w:bCs/>
          <w:iCs/>
        </w:rPr>
        <w:t>ли</w:t>
      </w:r>
      <w:r w:rsidRPr="009F500F">
        <w:rPr>
          <w:bCs/>
          <w:iCs/>
        </w:rPr>
        <w:t xml:space="preserve"> </w:t>
      </w:r>
      <w:r w:rsidR="00387A25">
        <w:rPr>
          <w:bCs/>
          <w:iCs/>
        </w:rPr>
        <w:t>пэг</w:t>
      </w:r>
      <w:r w:rsidR="00387A25" w:rsidRPr="009F500F">
        <w:rPr>
          <w:bCs/>
          <w:iCs/>
        </w:rPr>
        <w:t xml:space="preserve">аспарагаза </w:t>
      </w:r>
      <w:r w:rsidRPr="009F500F">
        <w:rPr>
          <w:bCs/>
          <w:iCs/>
        </w:rPr>
        <w:t>**</w:t>
      </w:r>
      <w:r w:rsidR="00D42B22" w:rsidRPr="009F500F">
        <w:rPr>
          <w:bCs/>
          <w:iCs/>
        </w:rPr>
        <w:t xml:space="preserve"> 1000 ЕД/м²   3 день</w:t>
      </w:r>
    </w:p>
    <w:p w14:paraId="099659C5" w14:textId="77777777" w:rsidR="00D42B22" w:rsidRPr="009F500F" w:rsidRDefault="00D42B22" w:rsidP="00D42B22">
      <w:pPr>
        <w:rPr>
          <w:bCs/>
          <w:iCs/>
        </w:rPr>
      </w:pPr>
    </w:p>
    <w:p w14:paraId="67FE8E57" w14:textId="7D4B156F" w:rsidR="00D42B22" w:rsidRPr="009F500F" w:rsidRDefault="00D42B22" w:rsidP="00D42B22">
      <w:pPr>
        <w:rPr>
          <w:b/>
          <w:bCs/>
          <w:i/>
          <w:iCs/>
        </w:rPr>
      </w:pPr>
      <w:r w:rsidRPr="009F500F">
        <w:rPr>
          <w:b/>
          <w:bCs/>
          <w:i/>
          <w:iCs/>
        </w:rPr>
        <w:t>Поддер</w:t>
      </w:r>
      <w:r w:rsidR="00B42B8A" w:rsidRPr="009F500F">
        <w:rPr>
          <w:b/>
          <w:bCs/>
          <w:i/>
          <w:iCs/>
        </w:rPr>
        <w:t>живающая терапия,  циклы №12 (7</w:t>
      </w:r>
      <w:r w:rsidRPr="009F500F">
        <w:rPr>
          <w:b/>
          <w:bCs/>
          <w:i/>
          <w:iCs/>
        </w:rPr>
        <w:t xml:space="preserve"> - 24)</w:t>
      </w:r>
    </w:p>
    <w:p w14:paraId="2BA78D27" w14:textId="78810A70" w:rsidR="00D42B22" w:rsidRPr="009F500F" w:rsidRDefault="00D42B22" w:rsidP="00D42B22">
      <w:pPr>
        <w:rPr>
          <w:bCs/>
          <w:iCs/>
        </w:rPr>
      </w:pPr>
      <w:r w:rsidRPr="009F500F">
        <w:t>Дексаметазон</w:t>
      </w:r>
      <w:r w:rsidR="00B42B8A" w:rsidRPr="009F500F">
        <w:t>**</w:t>
      </w:r>
      <w:r w:rsidRPr="009F500F">
        <w:rPr>
          <w:bCs/>
          <w:iCs/>
        </w:rPr>
        <w:t xml:space="preserve"> 10 мг/м²    1-3 дни </w:t>
      </w:r>
    </w:p>
    <w:p w14:paraId="55DEDA12" w14:textId="097A7589" w:rsidR="00D42B22" w:rsidRPr="009F500F" w:rsidRDefault="00D42B22" w:rsidP="00D42B22">
      <w:r w:rsidRPr="009F500F">
        <w:t>Меркаптопурин</w:t>
      </w:r>
      <w:r w:rsidR="00B42B8A" w:rsidRPr="009F500F">
        <w:t>**</w:t>
      </w:r>
      <w:r w:rsidRPr="009F500F">
        <w:t xml:space="preserve"> 50 мг/м²    4-28 дни</w:t>
      </w:r>
    </w:p>
    <w:p w14:paraId="6160DAA0" w14:textId="44824E2B" w:rsidR="00D42B22" w:rsidRPr="009F500F" w:rsidRDefault="00D42B22" w:rsidP="00D42B22">
      <w:pPr>
        <w:rPr>
          <w:bCs/>
          <w:iCs/>
        </w:rPr>
      </w:pPr>
      <w:r w:rsidRPr="009F500F">
        <w:rPr>
          <w:bCs/>
          <w:iCs/>
        </w:rPr>
        <w:t>Винкристин</w:t>
      </w:r>
      <w:r w:rsidR="00B42B8A" w:rsidRPr="009F500F">
        <w:rPr>
          <w:bCs/>
          <w:iCs/>
        </w:rPr>
        <w:t>**</w:t>
      </w:r>
      <w:r w:rsidRPr="009F500F">
        <w:rPr>
          <w:bCs/>
          <w:iCs/>
        </w:rPr>
        <w:t xml:space="preserve"> 2 мг  1 день</w:t>
      </w:r>
    </w:p>
    <w:p w14:paraId="5BB01027" w14:textId="55FD916D" w:rsidR="00D42B22" w:rsidRPr="009F500F" w:rsidRDefault="00D42B22" w:rsidP="00D42B22">
      <w:pPr>
        <w:rPr>
          <w:bCs/>
          <w:iCs/>
        </w:rPr>
      </w:pPr>
      <w:r w:rsidRPr="009F500F">
        <w:t>Метотрексат</w:t>
      </w:r>
      <w:r w:rsidR="00B42B8A" w:rsidRPr="009F500F">
        <w:t>**</w:t>
      </w:r>
      <w:r w:rsidRPr="009F500F">
        <w:t xml:space="preserve"> 3</w:t>
      </w:r>
      <w:r w:rsidRPr="009F500F">
        <w:rPr>
          <w:bCs/>
          <w:iCs/>
        </w:rPr>
        <w:t xml:space="preserve">0 мг/м² 2, 9, 16, 23 дни </w:t>
      </w:r>
    </w:p>
    <w:p w14:paraId="0C6894D1" w14:textId="77777777" w:rsidR="00D42B22" w:rsidRPr="009F500F" w:rsidRDefault="00D42B22" w:rsidP="00D42B22">
      <w:pPr>
        <w:rPr>
          <w:b/>
          <w:bCs/>
          <w:i/>
          <w:iCs/>
        </w:rPr>
      </w:pPr>
    </w:p>
    <w:p w14:paraId="2321D7F1" w14:textId="77777777" w:rsidR="00D42B22" w:rsidRPr="009F500F" w:rsidRDefault="00D42B22" w:rsidP="00D42B22">
      <w:pPr>
        <w:rPr>
          <w:b/>
          <w:bCs/>
          <w:i/>
          <w:iCs/>
        </w:rPr>
      </w:pPr>
      <w:r w:rsidRPr="009F500F">
        <w:rPr>
          <w:b/>
          <w:bCs/>
          <w:i/>
          <w:iCs/>
        </w:rPr>
        <w:t>Профилактика нейролейкемии</w:t>
      </w:r>
    </w:p>
    <w:p w14:paraId="6465ED00" w14:textId="58BB9328" w:rsidR="00D42B22" w:rsidRPr="009F500F" w:rsidRDefault="00D42B22" w:rsidP="00D42B22">
      <w:pPr>
        <w:pStyle w:val="FitzBullet"/>
        <w:rPr>
          <w:color w:val="auto"/>
        </w:rPr>
      </w:pPr>
      <w:r w:rsidRPr="009F500F">
        <w:rPr>
          <w:color w:val="auto"/>
        </w:rPr>
        <w:lastRenderedPageBreak/>
        <w:t>Интратекально  (Цитарабин</w:t>
      </w:r>
      <w:r w:rsidR="00B42B8A" w:rsidRPr="009F500F">
        <w:rPr>
          <w:color w:val="auto"/>
        </w:rPr>
        <w:t>**</w:t>
      </w:r>
      <w:r w:rsidRPr="009F500F">
        <w:rPr>
          <w:color w:val="auto"/>
        </w:rPr>
        <w:t xml:space="preserve"> 30мг, Метотрексат</w:t>
      </w:r>
      <w:r w:rsidR="00B42B8A" w:rsidRPr="009F500F">
        <w:rPr>
          <w:color w:val="auto"/>
        </w:rPr>
        <w:t>**</w:t>
      </w:r>
      <w:r w:rsidRPr="009F500F">
        <w:rPr>
          <w:color w:val="auto"/>
        </w:rPr>
        <w:t xml:space="preserve"> 15мг, Дексаметазон</w:t>
      </w:r>
      <w:r w:rsidR="00B42B8A" w:rsidRPr="009F500F">
        <w:rPr>
          <w:color w:val="auto"/>
        </w:rPr>
        <w:t xml:space="preserve">** 4мг): во время </w:t>
      </w:r>
      <w:r w:rsidRPr="009F500F">
        <w:rPr>
          <w:color w:val="auto"/>
        </w:rPr>
        <w:t>индукции: дни 0, 7, 14, 21, 28, 35, 70;</w:t>
      </w:r>
    </w:p>
    <w:p w14:paraId="3541F889" w14:textId="1B9CC825" w:rsidR="00D42B22" w:rsidRPr="009F500F" w:rsidRDefault="00D42B22" w:rsidP="00D42B22">
      <w:pPr>
        <w:pStyle w:val="FitzBullet"/>
        <w:numPr>
          <w:ilvl w:val="0"/>
          <w:numId w:val="18"/>
        </w:numPr>
        <w:spacing w:line="240" w:lineRule="auto"/>
        <w:jc w:val="both"/>
        <w:rPr>
          <w:color w:val="auto"/>
        </w:rPr>
      </w:pPr>
      <w:r w:rsidRPr="009F500F">
        <w:rPr>
          <w:color w:val="auto"/>
        </w:rPr>
        <w:t>во время курсов консолидации на  дни 84 (</w:t>
      </w:r>
      <w:r w:rsidRPr="009F500F">
        <w:rPr>
          <w:color w:val="auto"/>
          <w:lang w:val="en-US"/>
        </w:rPr>
        <w:t>I</w:t>
      </w:r>
      <w:r w:rsidR="00B42B8A" w:rsidRPr="009F500F">
        <w:rPr>
          <w:color w:val="auto"/>
        </w:rPr>
        <w:t xml:space="preserve"> консолидация), 105 (</w:t>
      </w:r>
      <w:r w:rsidR="00B42B8A" w:rsidRPr="009F500F">
        <w:rPr>
          <w:color w:val="auto"/>
          <w:lang w:val="en-US"/>
        </w:rPr>
        <w:t>II</w:t>
      </w:r>
      <w:r w:rsidR="00B42B8A" w:rsidRPr="009F500F">
        <w:rPr>
          <w:color w:val="auto"/>
        </w:rPr>
        <w:t xml:space="preserve"> консолидация), 120 (</w:t>
      </w:r>
      <w:r w:rsidR="00B42B8A" w:rsidRPr="009F500F">
        <w:rPr>
          <w:color w:val="auto"/>
          <w:lang w:val="en-US"/>
        </w:rPr>
        <w:t>III</w:t>
      </w:r>
      <w:r w:rsidRPr="009F500F">
        <w:rPr>
          <w:color w:val="auto"/>
        </w:rPr>
        <w:t xml:space="preserve"> консолидация);140, 154 (</w:t>
      </w:r>
      <w:r w:rsidRPr="009F500F">
        <w:rPr>
          <w:color w:val="auto"/>
          <w:lang w:val="en-US"/>
        </w:rPr>
        <w:t>IV</w:t>
      </w:r>
      <w:r w:rsidRPr="009F500F">
        <w:rPr>
          <w:color w:val="auto"/>
        </w:rPr>
        <w:t xml:space="preserve"> консолидация), 177 (</w:t>
      </w:r>
      <w:r w:rsidRPr="009F500F">
        <w:rPr>
          <w:color w:val="auto"/>
          <w:lang w:val="en-US"/>
        </w:rPr>
        <w:t>V</w:t>
      </w:r>
      <w:r w:rsidRPr="009F500F">
        <w:rPr>
          <w:color w:val="auto"/>
        </w:rPr>
        <w:t xml:space="preserve"> консолидация), 190(</w:t>
      </w:r>
      <w:r w:rsidRPr="009F500F">
        <w:rPr>
          <w:color w:val="auto"/>
          <w:lang w:val="en-US"/>
        </w:rPr>
        <w:t>V</w:t>
      </w:r>
      <w:r w:rsidRPr="009F500F">
        <w:rPr>
          <w:color w:val="auto"/>
        </w:rPr>
        <w:t xml:space="preserve"> консолидация)</w:t>
      </w:r>
    </w:p>
    <w:p w14:paraId="1C0BC136" w14:textId="35682172" w:rsidR="00D42B22" w:rsidRPr="009F500F" w:rsidRDefault="00D42B22" w:rsidP="00D42B22">
      <w:pPr>
        <w:pStyle w:val="FitzBullet"/>
        <w:numPr>
          <w:ilvl w:val="0"/>
          <w:numId w:val="18"/>
        </w:numPr>
        <w:spacing w:line="240" w:lineRule="auto"/>
        <w:jc w:val="both"/>
        <w:rPr>
          <w:color w:val="auto"/>
        </w:rPr>
      </w:pPr>
      <w:r w:rsidRPr="009F500F">
        <w:rPr>
          <w:color w:val="auto"/>
        </w:rPr>
        <w:t>каждые 3 месяца в ходе 2 лет поддерживающей терапии до завершения всей программы лечения по протоколу (8 пункций)</w:t>
      </w:r>
    </w:p>
    <w:p w14:paraId="0A000146" w14:textId="77777777" w:rsidR="00D42B22" w:rsidRPr="009F500F" w:rsidRDefault="00D42B22" w:rsidP="00D42B22">
      <w:pPr>
        <w:ind w:left="-540" w:firstLine="540"/>
        <w:rPr>
          <w:b/>
          <w:i/>
        </w:rPr>
      </w:pPr>
      <w:r w:rsidRPr="009F500F">
        <w:rPr>
          <w:b/>
          <w:i/>
        </w:rPr>
        <w:t>Лечение нейролейкемии</w:t>
      </w:r>
    </w:p>
    <w:p w14:paraId="3D3D86F0" w14:textId="77777777" w:rsidR="00D42B22" w:rsidRPr="009F500F" w:rsidRDefault="00D42B22" w:rsidP="00D42B22">
      <w:pPr>
        <w:spacing w:before="120"/>
      </w:pPr>
      <w:r w:rsidRPr="009F500F">
        <w:t xml:space="preserve">После диагностики нейролейкемии все больные, получающие преднизолон, переводятся на дексаметазон. Люмбальные пункции выполняются с частотой один раз в два-три дня до получения трех нормальных анализов ликвора, затем пункции выполняются один раз в неделю – в течение трех месяцев, затем один раз в  две недели – в течение трех месяцев, затем один раз в два месяца до окончания лечения. </w:t>
      </w:r>
    </w:p>
    <w:p w14:paraId="5BF7A316" w14:textId="3ABF4271" w:rsidR="00533FE8" w:rsidRPr="009F500F" w:rsidRDefault="00533FE8" w:rsidP="00533FE8">
      <w:pPr>
        <w:spacing w:before="120"/>
        <w:rPr>
          <w:szCs w:val="24"/>
        </w:rPr>
      </w:pPr>
      <w:r w:rsidRPr="009F500F">
        <w:rPr>
          <w:szCs w:val="24"/>
        </w:rPr>
        <w:t xml:space="preserve"> </w:t>
      </w:r>
    </w:p>
    <w:p w14:paraId="6C129EAC" w14:textId="77777777" w:rsidR="002D62BD" w:rsidRPr="005A5554" w:rsidRDefault="002D62BD" w:rsidP="002D62BD">
      <w:pPr>
        <w:widowControl/>
        <w:jc w:val="left"/>
        <w:rPr>
          <w:rFonts w:eastAsia="MS Mincho"/>
          <w:b/>
          <w:sz w:val="28"/>
          <w:szCs w:val="24"/>
          <w:u w:val="single"/>
          <w:lang w:eastAsia="ja-JP"/>
        </w:rPr>
      </w:pPr>
      <w:r w:rsidRPr="005A5554">
        <w:rPr>
          <w:b/>
          <w:sz w:val="28"/>
          <w:szCs w:val="24"/>
          <w:u w:val="single"/>
        </w:rPr>
        <w:t xml:space="preserve">Протокол немецкой исследовательскокй группы </w:t>
      </w:r>
      <w:r w:rsidRPr="005A5554">
        <w:rPr>
          <w:b/>
          <w:sz w:val="28"/>
          <w:szCs w:val="24"/>
          <w:u w:val="single"/>
          <w:lang w:val="en-US"/>
        </w:rPr>
        <w:t>GMALL</w:t>
      </w:r>
      <w:r w:rsidRPr="005A5554">
        <w:rPr>
          <w:b/>
          <w:sz w:val="28"/>
          <w:szCs w:val="24"/>
          <w:u w:val="single"/>
        </w:rPr>
        <w:t xml:space="preserve"> (</w:t>
      </w:r>
      <w:r w:rsidRPr="005A5554">
        <w:rPr>
          <w:rFonts w:eastAsia="MS Mincho"/>
          <w:b/>
          <w:bCs/>
          <w:sz w:val="28"/>
          <w:szCs w:val="24"/>
          <w:u w:val="single"/>
          <w:lang w:eastAsia="ja-JP"/>
        </w:rPr>
        <w:t>06/99 and 07/03</w:t>
      </w:r>
      <w:r w:rsidRPr="005A5554">
        <w:rPr>
          <w:rFonts w:eastAsia="MS Mincho"/>
          <w:b/>
          <w:sz w:val="28"/>
          <w:szCs w:val="24"/>
          <w:u w:val="single"/>
          <w:lang w:eastAsia="ja-JP"/>
        </w:rPr>
        <w:t>)</w:t>
      </w:r>
    </w:p>
    <w:p w14:paraId="215E2D5D" w14:textId="77777777" w:rsidR="002D62BD" w:rsidRPr="005A5554" w:rsidRDefault="002D62BD" w:rsidP="002D62BD">
      <w:pPr>
        <w:widowControl/>
        <w:jc w:val="left"/>
        <w:rPr>
          <w:szCs w:val="24"/>
        </w:rPr>
      </w:pPr>
    </w:p>
    <w:p w14:paraId="34FF0C72" w14:textId="77777777" w:rsidR="002D62BD" w:rsidRPr="005A5554" w:rsidRDefault="002D62BD" w:rsidP="002D62BD">
      <w:pPr>
        <w:widowControl/>
        <w:jc w:val="left"/>
        <w:rPr>
          <w:rFonts w:eastAsia="MS Mincho"/>
          <w:b/>
          <w:bCs/>
          <w:szCs w:val="24"/>
          <w:lang w:eastAsia="ja-JP"/>
        </w:rPr>
      </w:pPr>
      <w:r w:rsidRPr="005A5554">
        <w:rPr>
          <w:rFonts w:eastAsia="MS Mincho"/>
          <w:b/>
          <w:bCs/>
          <w:szCs w:val="24"/>
          <w:lang w:eastAsia="ja-JP"/>
        </w:rPr>
        <w:t xml:space="preserve">Фаза терапии </w:t>
      </w:r>
      <w:r w:rsidRPr="005A5554">
        <w:rPr>
          <w:rFonts w:eastAsia="MS Mincho"/>
          <w:b/>
          <w:bCs/>
          <w:szCs w:val="24"/>
          <w:lang w:eastAsia="ja-JP"/>
        </w:rPr>
        <w:tab/>
      </w:r>
      <w:r w:rsidRPr="005A5554">
        <w:rPr>
          <w:rFonts w:eastAsia="MS Mincho"/>
          <w:b/>
          <w:bCs/>
          <w:szCs w:val="24"/>
          <w:lang w:eastAsia="ja-JP"/>
        </w:rPr>
        <w:tab/>
        <w:t xml:space="preserve">Доза, путь введения </w:t>
      </w:r>
      <w:r w:rsidRPr="005A5554">
        <w:rPr>
          <w:rFonts w:eastAsia="MS Mincho"/>
          <w:b/>
          <w:bCs/>
          <w:szCs w:val="24"/>
          <w:lang w:eastAsia="ja-JP"/>
        </w:rPr>
        <w:tab/>
      </w:r>
      <w:r w:rsidRPr="005A5554">
        <w:rPr>
          <w:rFonts w:eastAsia="MS Mincho"/>
          <w:b/>
          <w:bCs/>
          <w:szCs w:val="24"/>
          <w:lang w:eastAsia="ja-JP"/>
        </w:rPr>
        <w:tab/>
        <w:t xml:space="preserve"> Время введения</w:t>
      </w:r>
    </w:p>
    <w:p w14:paraId="378D4C14" w14:textId="77777777" w:rsidR="002D62BD" w:rsidRPr="005A5554" w:rsidRDefault="002D62BD" w:rsidP="002D62BD">
      <w:pPr>
        <w:widowControl/>
        <w:jc w:val="left"/>
        <w:rPr>
          <w:rFonts w:eastAsia="MS Mincho"/>
          <w:b/>
          <w:bCs/>
          <w:szCs w:val="24"/>
          <w:lang w:eastAsia="ja-JP"/>
        </w:rPr>
      </w:pPr>
    </w:p>
    <w:p w14:paraId="42AC6CDD" w14:textId="77777777" w:rsidR="002D62BD" w:rsidRPr="005A5554" w:rsidRDefault="002D62BD" w:rsidP="002D62BD">
      <w:pPr>
        <w:widowControl/>
        <w:jc w:val="left"/>
        <w:rPr>
          <w:rFonts w:eastAsia="MS Mincho"/>
          <w:b/>
          <w:bCs/>
          <w:szCs w:val="24"/>
          <w:lang w:eastAsia="ja-JP"/>
        </w:rPr>
      </w:pPr>
      <w:r w:rsidRPr="005A5554">
        <w:rPr>
          <w:rFonts w:eastAsia="MS Mincho"/>
          <w:b/>
          <w:bCs/>
          <w:szCs w:val="24"/>
          <w:lang w:eastAsia="ja-JP"/>
        </w:rPr>
        <w:t>Предфаза (дни 1-5)</w:t>
      </w:r>
    </w:p>
    <w:p w14:paraId="6BD92CB4" w14:textId="77777777" w:rsidR="002D62BD" w:rsidRPr="005A5554" w:rsidRDefault="002D62BD" w:rsidP="002D62BD">
      <w:pPr>
        <w:widowControl/>
        <w:jc w:val="left"/>
        <w:rPr>
          <w:rFonts w:eastAsia="MS Mincho"/>
          <w:szCs w:val="24"/>
          <w:lang w:eastAsia="ja-JP"/>
        </w:rPr>
      </w:pPr>
      <w:r>
        <w:rPr>
          <w:rFonts w:eastAsia="MS Mincho"/>
          <w:szCs w:val="24"/>
          <w:lang w:eastAsia="ja-JP"/>
        </w:rPr>
        <w:t>Дексаметазон**</w:t>
      </w:r>
      <w:r w:rsidRPr="005A5554">
        <w:rPr>
          <w:rFonts w:eastAsia="MS Mincho"/>
          <w:szCs w:val="24"/>
          <w:lang w:eastAsia="ja-JP"/>
        </w:rPr>
        <w:tab/>
      </w:r>
      <w:r w:rsidRPr="005A5554">
        <w:rPr>
          <w:rFonts w:eastAsia="MS Mincho"/>
          <w:szCs w:val="24"/>
          <w:lang w:eastAsia="ja-JP"/>
        </w:rPr>
        <w:tab/>
        <w:t xml:space="preserve"> 10 мг/м2 внутрь </w:t>
      </w:r>
      <w:r w:rsidRPr="005A5554">
        <w:rPr>
          <w:rFonts w:eastAsia="MS Mincho"/>
          <w:szCs w:val="24"/>
          <w:lang w:eastAsia="ja-JP"/>
        </w:rPr>
        <w:tab/>
      </w:r>
      <w:r w:rsidRPr="005A5554">
        <w:rPr>
          <w:rFonts w:eastAsia="MS Mincho"/>
          <w:szCs w:val="24"/>
          <w:lang w:eastAsia="ja-JP"/>
        </w:rPr>
        <w:tab/>
      </w:r>
      <w:r w:rsidRPr="005A5554">
        <w:rPr>
          <w:rFonts w:eastAsia="MS Mincho"/>
          <w:szCs w:val="24"/>
          <w:lang w:eastAsia="ja-JP"/>
        </w:rPr>
        <w:tab/>
        <w:t>Дни 1-5</w:t>
      </w:r>
    </w:p>
    <w:p w14:paraId="0594EE1B" w14:textId="79607983" w:rsidR="002D62BD" w:rsidRPr="005A5554" w:rsidRDefault="002D62BD" w:rsidP="002D62BD">
      <w:pPr>
        <w:widowControl/>
        <w:jc w:val="left"/>
        <w:rPr>
          <w:rFonts w:eastAsia="MS Mincho"/>
          <w:szCs w:val="24"/>
          <w:lang w:eastAsia="ja-JP"/>
        </w:rPr>
      </w:pPr>
      <w:r w:rsidRPr="005A5554">
        <w:rPr>
          <w:rFonts w:eastAsia="MS Mincho"/>
          <w:szCs w:val="24"/>
          <w:lang w:eastAsia="ja-JP"/>
        </w:rPr>
        <w:t>Циклофосфамид</w:t>
      </w:r>
      <w:r w:rsidRPr="002D62BD">
        <w:rPr>
          <w:rFonts w:eastAsia="MS Mincho"/>
          <w:szCs w:val="24"/>
          <w:lang w:eastAsia="ja-JP"/>
        </w:rPr>
        <w:t>**</w:t>
      </w:r>
      <w:r w:rsidRPr="005A5554">
        <w:rPr>
          <w:rFonts w:eastAsia="MS Mincho"/>
          <w:szCs w:val="24"/>
          <w:lang w:eastAsia="ja-JP"/>
        </w:rPr>
        <w:tab/>
      </w:r>
      <w:r w:rsidRPr="005A5554">
        <w:rPr>
          <w:rFonts w:eastAsia="MS Mincho"/>
          <w:szCs w:val="24"/>
          <w:lang w:eastAsia="ja-JP"/>
        </w:rPr>
        <w:tab/>
        <w:t xml:space="preserve"> 200 мг/м2 в/в (1 ч)</w:t>
      </w:r>
      <w:r w:rsidRPr="005A5554">
        <w:rPr>
          <w:rFonts w:eastAsia="MS Mincho"/>
          <w:szCs w:val="24"/>
          <w:lang w:eastAsia="ja-JP"/>
        </w:rPr>
        <w:tab/>
      </w:r>
      <w:r w:rsidRPr="005A5554">
        <w:rPr>
          <w:rFonts w:eastAsia="MS Mincho"/>
          <w:szCs w:val="24"/>
          <w:lang w:eastAsia="ja-JP"/>
        </w:rPr>
        <w:tab/>
      </w:r>
      <w:r w:rsidRPr="005A5554">
        <w:rPr>
          <w:rFonts w:eastAsia="MS Mincho"/>
          <w:szCs w:val="24"/>
          <w:lang w:eastAsia="ja-JP"/>
        </w:rPr>
        <w:tab/>
        <w:t>Дни 3-5</w:t>
      </w:r>
    </w:p>
    <w:p w14:paraId="3D7F26E6" w14:textId="05227CCC" w:rsidR="002D62BD" w:rsidRPr="005A5554" w:rsidRDefault="002D62BD" w:rsidP="002D62BD">
      <w:pPr>
        <w:widowControl/>
        <w:jc w:val="left"/>
        <w:rPr>
          <w:rFonts w:eastAsia="MS Mincho"/>
          <w:szCs w:val="24"/>
          <w:lang w:eastAsia="ja-JP"/>
        </w:rPr>
      </w:pPr>
      <w:r w:rsidRPr="005A5554">
        <w:rPr>
          <w:rFonts w:eastAsia="MS Mincho"/>
          <w:szCs w:val="24"/>
          <w:lang w:eastAsia="ja-JP"/>
        </w:rPr>
        <w:t>Метотрексат</w:t>
      </w:r>
      <w:r w:rsidRPr="00D76E91">
        <w:rPr>
          <w:rFonts w:eastAsia="MS Mincho"/>
          <w:szCs w:val="24"/>
          <w:lang w:eastAsia="ja-JP"/>
        </w:rPr>
        <w:t>**</w:t>
      </w:r>
      <w:r w:rsidRPr="005A5554">
        <w:rPr>
          <w:rFonts w:eastAsia="MS Mincho"/>
          <w:szCs w:val="24"/>
          <w:lang w:eastAsia="ja-JP"/>
        </w:rPr>
        <w:t xml:space="preserve"> </w:t>
      </w:r>
      <w:r w:rsidRPr="005A5554">
        <w:rPr>
          <w:rFonts w:eastAsia="MS Mincho"/>
          <w:szCs w:val="24"/>
          <w:lang w:eastAsia="ja-JP"/>
        </w:rPr>
        <w:tab/>
      </w:r>
      <w:r w:rsidRPr="005A5554">
        <w:rPr>
          <w:rFonts w:eastAsia="MS Mincho"/>
          <w:szCs w:val="24"/>
          <w:lang w:eastAsia="ja-JP"/>
        </w:rPr>
        <w:tab/>
        <w:t>15 мг интратекально</w:t>
      </w:r>
      <w:r w:rsidRPr="005A5554">
        <w:rPr>
          <w:rFonts w:eastAsia="MS Mincho"/>
          <w:szCs w:val="24"/>
          <w:lang w:eastAsia="ja-JP"/>
        </w:rPr>
        <w:tab/>
      </w:r>
      <w:r w:rsidRPr="005A5554">
        <w:rPr>
          <w:rFonts w:eastAsia="MS Mincho"/>
          <w:szCs w:val="24"/>
          <w:lang w:eastAsia="ja-JP"/>
        </w:rPr>
        <w:tab/>
        <w:t>День 1</w:t>
      </w:r>
    </w:p>
    <w:p w14:paraId="52041C05" w14:textId="77777777" w:rsidR="002D62BD" w:rsidRPr="005A5554" w:rsidRDefault="002D62BD" w:rsidP="002D62BD">
      <w:pPr>
        <w:widowControl/>
        <w:jc w:val="left"/>
        <w:rPr>
          <w:rFonts w:eastAsia="MS Mincho"/>
          <w:color w:val="000000"/>
          <w:szCs w:val="24"/>
          <w:lang w:eastAsia="ja-JP"/>
        </w:rPr>
      </w:pPr>
    </w:p>
    <w:p w14:paraId="02B3DD30" w14:textId="77777777" w:rsidR="002D62BD" w:rsidRPr="005A5554" w:rsidRDefault="002D62BD" w:rsidP="002D62BD">
      <w:pPr>
        <w:widowControl/>
        <w:jc w:val="left"/>
        <w:rPr>
          <w:rFonts w:eastAsia="MS Mincho"/>
          <w:b/>
          <w:bCs/>
          <w:szCs w:val="24"/>
          <w:lang w:eastAsia="ja-JP"/>
        </w:rPr>
      </w:pPr>
      <w:r w:rsidRPr="005A5554">
        <w:rPr>
          <w:rFonts w:eastAsia="MS Mincho"/>
          <w:b/>
          <w:bCs/>
          <w:szCs w:val="24"/>
          <w:lang w:eastAsia="ja-JP"/>
        </w:rPr>
        <w:t>Первая фаза индукции (дни 6-20)</w:t>
      </w:r>
    </w:p>
    <w:p w14:paraId="49392718" w14:textId="77777777" w:rsidR="002D62BD" w:rsidRPr="005A5554" w:rsidRDefault="002D62BD" w:rsidP="002D62BD">
      <w:pPr>
        <w:widowControl/>
        <w:jc w:val="left"/>
        <w:rPr>
          <w:rFonts w:eastAsia="MS Mincho"/>
          <w:szCs w:val="24"/>
          <w:lang w:eastAsia="ja-JP"/>
        </w:rPr>
      </w:pPr>
      <w:r>
        <w:rPr>
          <w:rFonts w:eastAsia="MS Mincho"/>
          <w:szCs w:val="24"/>
          <w:lang w:eastAsia="ja-JP"/>
        </w:rPr>
        <w:t>Дексаметазон**</w:t>
      </w:r>
      <w:r w:rsidRPr="005A5554">
        <w:rPr>
          <w:rFonts w:eastAsia="MS Mincho"/>
          <w:szCs w:val="24"/>
          <w:lang w:eastAsia="ja-JP"/>
        </w:rPr>
        <w:t xml:space="preserve"> </w:t>
      </w:r>
      <w:r w:rsidRPr="005A5554">
        <w:rPr>
          <w:rFonts w:eastAsia="MS Mincho"/>
          <w:szCs w:val="24"/>
          <w:lang w:eastAsia="ja-JP"/>
        </w:rPr>
        <w:tab/>
      </w:r>
      <w:r w:rsidRPr="005A5554">
        <w:rPr>
          <w:rFonts w:eastAsia="MS Mincho"/>
          <w:szCs w:val="24"/>
          <w:lang w:eastAsia="ja-JP"/>
        </w:rPr>
        <w:tab/>
        <w:t xml:space="preserve">10 мг/м2 внутрь </w:t>
      </w:r>
      <w:r w:rsidRPr="005A5554">
        <w:rPr>
          <w:rFonts w:eastAsia="MS Mincho"/>
          <w:szCs w:val="24"/>
          <w:lang w:eastAsia="ja-JP"/>
        </w:rPr>
        <w:tab/>
      </w:r>
      <w:r w:rsidRPr="005A5554">
        <w:rPr>
          <w:rFonts w:eastAsia="MS Mincho"/>
          <w:szCs w:val="24"/>
          <w:lang w:eastAsia="ja-JP"/>
        </w:rPr>
        <w:tab/>
      </w:r>
      <w:r w:rsidRPr="005A5554">
        <w:rPr>
          <w:rFonts w:eastAsia="MS Mincho"/>
          <w:szCs w:val="24"/>
          <w:lang w:eastAsia="ja-JP"/>
        </w:rPr>
        <w:tab/>
        <w:t>Дни 6-7, 13-16</w:t>
      </w:r>
    </w:p>
    <w:p w14:paraId="309DA774" w14:textId="4A890F34" w:rsidR="002D62BD" w:rsidRPr="005A5554" w:rsidRDefault="002D62BD" w:rsidP="002D62BD">
      <w:pPr>
        <w:widowControl/>
        <w:jc w:val="left"/>
        <w:rPr>
          <w:rFonts w:eastAsia="MS Mincho"/>
          <w:szCs w:val="24"/>
          <w:lang w:eastAsia="ja-JP"/>
        </w:rPr>
      </w:pPr>
      <w:r w:rsidRPr="005A5554">
        <w:rPr>
          <w:rFonts w:eastAsia="MS Mincho"/>
          <w:szCs w:val="24"/>
          <w:lang w:eastAsia="ja-JP"/>
        </w:rPr>
        <w:t>Винкристин</w:t>
      </w:r>
      <w:r w:rsidRPr="002D62BD">
        <w:rPr>
          <w:rFonts w:eastAsia="MS Mincho"/>
          <w:szCs w:val="24"/>
          <w:lang w:eastAsia="ja-JP"/>
        </w:rPr>
        <w:t>**</w:t>
      </w:r>
      <w:r>
        <w:rPr>
          <w:rFonts w:eastAsia="MS Mincho"/>
          <w:szCs w:val="24"/>
          <w:lang w:eastAsia="ja-JP"/>
        </w:rPr>
        <w:t xml:space="preserve"> </w:t>
      </w:r>
      <w:r>
        <w:rPr>
          <w:rFonts w:eastAsia="MS Mincho"/>
          <w:szCs w:val="24"/>
          <w:lang w:eastAsia="ja-JP"/>
        </w:rPr>
        <w:tab/>
      </w:r>
      <w:r>
        <w:rPr>
          <w:rFonts w:eastAsia="MS Mincho"/>
          <w:szCs w:val="24"/>
          <w:lang w:eastAsia="ja-JP"/>
        </w:rPr>
        <w:tab/>
      </w:r>
      <w:r w:rsidRPr="005A5554">
        <w:rPr>
          <w:rFonts w:eastAsia="MS Mincho"/>
          <w:szCs w:val="24"/>
          <w:lang w:eastAsia="ja-JP"/>
        </w:rPr>
        <w:t>2 мг в/в (болюсно)</w:t>
      </w:r>
      <w:r w:rsidRPr="005A5554">
        <w:rPr>
          <w:rFonts w:eastAsia="MS Mincho"/>
          <w:szCs w:val="24"/>
          <w:lang w:eastAsia="ja-JP"/>
        </w:rPr>
        <w:tab/>
      </w:r>
      <w:r w:rsidRPr="005A5554">
        <w:rPr>
          <w:rFonts w:eastAsia="MS Mincho"/>
          <w:szCs w:val="24"/>
          <w:lang w:eastAsia="ja-JP"/>
        </w:rPr>
        <w:tab/>
        <w:t xml:space="preserve">           Дни 6, 13, 20</w:t>
      </w:r>
    </w:p>
    <w:p w14:paraId="2B2DCE8E" w14:textId="07192A64" w:rsidR="002D62BD" w:rsidRPr="005A5554" w:rsidRDefault="002D62BD" w:rsidP="002D62BD">
      <w:pPr>
        <w:widowControl/>
        <w:jc w:val="left"/>
        <w:rPr>
          <w:rFonts w:eastAsia="MS Mincho"/>
          <w:szCs w:val="24"/>
          <w:lang w:eastAsia="ja-JP"/>
        </w:rPr>
      </w:pPr>
      <w:r w:rsidRPr="005A5554">
        <w:rPr>
          <w:rFonts w:eastAsia="MS Mincho"/>
          <w:szCs w:val="24"/>
          <w:lang w:eastAsia="ja-JP"/>
        </w:rPr>
        <w:t>Даунорубицин</w:t>
      </w:r>
      <w:r w:rsidRPr="002D62BD">
        <w:rPr>
          <w:rFonts w:eastAsia="MS Mincho"/>
          <w:szCs w:val="24"/>
          <w:lang w:eastAsia="ja-JP"/>
        </w:rPr>
        <w:t>**</w:t>
      </w:r>
      <w:r w:rsidRPr="005A5554">
        <w:rPr>
          <w:rFonts w:eastAsia="MS Mincho"/>
          <w:szCs w:val="24"/>
          <w:lang w:eastAsia="ja-JP"/>
        </w:rPr>
        <w:t xml:space="preserve"> </w:t>
      </w:r>
      <w:r w:rsidRPr="005A5554">
        <w:rPr>
          <w:rFonts w:eastAsia="MS Mincho"/>
          <w:szCs w:val="24"/>
          <w:lang w:eastAsia="ja-JP"/>
        </w:rPr>
        <w:tab/>
      </w:r>
      <w:r w:rsidRPr="005A5554">
        <w:rPr>
          <w:rFonts w:eastAsia="MS Mincho"/>
          <w:szCs w:val="24"/>
          <w:lang w:eastAsia="ja-JP"/>
        </w:rPr>
        <w:tab/>
        <w:t xml:space="preserve">45 мг/м2 в/в </w:t>
      </w:r>
      <w:r w:rsidRPr="005A5554">
        <w:rPr>
          <w:rFonts w:eastAsia="MS Mincho"/>
          <w:szCs w:val="24"/>
          <w:lang w:eastAsia="ja-JP"/>
        </w:rPr>
        <w:tab/>
        <w:t xml:space="preserve">(15 мин)   </w:t>
      </w:r>
      <w:r w:rsidRPr="005A5554">
        <w:rPr>
          <w:rFonts w:eastAsia="MS Mincho"/>
          <w:szCs w:val="24"/>
          <w:lang w:eastAsia="ja-JP"/>
        </w:rPr>
        <w:tab/>
        <w:t xml:space="preserve">           Дни 6 - 7,13-14</w:t>
      </w:r>
    </w:p>
    <w:p w14:paraId="1759E705" w14:textId="7E3D1F6E" w:rsidR="002D62BD" w:rsidRPr="005A5554" w:rsidRDefault="002D62BD" w:rsidP="002D62BD">
      <w:pPr>
        <w:widowControl/>
        <w:jc w:val="left"/>
        <w:rPr>
          <w:rFonts w:eastAsia="MS Mincho"/>
          <w:i/>
          <w:szCs w:val="24"/>
          <w:lang w:eastAsia="ja-JP"/>
        </w:rPr>
      </w:pPr>
      <w:r w:rsidRPr="005A5554">
        <w:rPr>
          <w:rFonts w:eastAsia="MS Mincho"/>
          <w:szCs w:val="24"/>
          <w:lang w:eastAsia="ja-JP"/>
        </w:rPr>
        <w:t xml:space="preserve">            </w:t>
      </w:r>
      <w:r w:rsidRPr="002D62BD">
        <w:rPr>
          <w:rFonts w:eastAsia="MS Mincho"/>
          <w:szCs w:val="24"/>
          <w:lang w:eastAsia="ja-JP"/>
        </w:rPr>
        <w:t xml:space="preserve">    </w:t>
      </w:r>
      <w:r w:rsidRPr="005A5554">
        <w:rPr>
          <w:rFonts w:eastAsia="MS Mincho"/>
          <w:i/>
          <w:szCs w:val="24"/>
          <w:lang w:eastAsia="ja-JP"/>
        </w:rPr>
        <w:t>Возраст &gt;55 л      30 мг/м2</w:t>
      </w:r>
    </w:p>
    <w:p w14:paraId="6F005E97" w14:textId="0F370AB8" w:rsidR="002D62BD" w:rsidRPr="009F500F" w:rsidRDefault="002D62BD" w:rsidP="002D62BD">
      <w:pPr>
        <w:widowControl/>
        <w:jc w:val="left"/>
        <w:rPr>
          <w:rFonts w:eastAsia="MS Mincho"/>
          <w:szCs w:val="24"/>
          <w:lang w:eastAsia="ja-JP"/>
        </w:rPr>
      </w:pPr>
      <w:r w:rsidRPr="009F500F">
        <w:rPr>
          <w:rFonts w:eastAsia="MS Mincho"/>
          <w:szCs w:val="24"/>
          <w:lang w:eastAsia="ja-JP"/>
        </w:rPr>
        <w:t xml:space="preserve">Пэгаспарагаза** </w:t>
      </w:r>
      <w:r w:rsidRPr="009F500F">
        <w:rPr>
          <w:rFonts w:eastAsia="MS Mincho"/>
          <w:szCs w:val="24"/>
          <w:lang w:eastAsia="ja-JP"/>
        </w:rPr>
        <w:tab/>
      </w:r>
      <w:r w:rsidRPr="009F500F">
        <w:rPr>
          <w:rFonts w:eastAsia="MS Mincho"/>
          <w:szCs w:val="24"/>
          <w:lang w:eastAsia="ja-JP"/>
        </w:rPr>
        <w:tab/>
        <w:t xml:space="preserve">1000 ед/м2 в/в (2 ч) </w:t>
      </w:r>
      <w:r w:rsidRPr="009F500F">
        <w:rPr>
          <w:rFonts w:eastAsia="MS Mincho"/>
          <w:szCs w:val="24"/>
          <w:lang w:eastAsia="ja-JP"/>
        </w:rPr>
        <w:tab/>
      </w:r>
      <w:r w:rsidRPr="009F500F">
        <w:rPr>
          <w:rFonts w:eastAsia="MS Mincho"/>
          <w:szCs w:val="24"/>
          <w:lang w:eastAsia="ja-JP"/>
        </w:rPr>
        <w:tab/>
        <w:t>День 20</w:t>
      </w:r>
    </w:p>
    <w:p w14:paraId="53DFF88D" w14:textId="09EBB401" w:rsidR="00533FE8" w:rsidRPr="00EC7111" w:rsidRDefault="002D62BD" w:rsidP="00533FE8">
      <w:pPr>
        <w:widowControl/>
        <w:jc w:val="left"/>
        <w:rPr>
          <w:rFonts w:eastAsia="MS Mincho"/>
          <w:i/>
          <w:color w:val="FF0000"/>
          <w:szCs w:val="24"/>
          <w:lang w:eastAsia="ja-JP"/>
        </w:rPr>
      </w:pPr>
      <w:r w:rsidRPr="009F500F">
        <w:rPr>
          <w:rFonts w:eastAsia="MS Mincho"/>
          <w:szCs w:val="24"/>
          <w:lang w:eastAsia="ja-JP"/>
        </w:rPr>
        <w:t xml:space="preserve">                 </w:t>
      </w:r>
      <w:r w:rsidRPr="009F500F">
        <w:rPr>
          <w:rFonts w:eastAsia="MS Mincho"/>
          <w:i/>
          <w:szCs w:val="24"/>
          <w:lang w:eastAsia="ja-JP"/>
        </w:rPr>
        <w:t>Возраст &gt;55 л      500 ед/м2</w:t>
      </w:r>
      <w:r w:rsidR="00533FE8" w:rsidRPr="009F500F">
        <w:rPr>
          <w:rFonts w:eastAsia="MS Mincho"/>
          <w:szCs w:val="24"/>
          <w:lang w:eastAsia="ja-JP"/>
        </w:rPr>
        <w:t xml:space="preserve">            </w:t>
      </w:r>
      <w:r w:rsidR="00113194" w:rsidRPr="00EC7111">
        <w:rPr>
          <w:rFonts w:eastAsia="MS Mincho"/>
          <w:color w:val="FF0000"/>
          <w:szCs w:val="24"/>
          <w:lang w:eastAsia="ja-JP"/>
        </w:rPr>
        <w:tab/>
      </w:r>
    </w:p>
    <w:p w14:paraId="524F0DE4" w14:textId="0D0F3C7A" w:rsidR="00533FE8" w:rsidRPr="002D4615" w:rsidRDefault="00533FE8" w:rsidP="00533FE8">
      <w:pPr>
        <w:widowControl/>
        <w:jc w:val="left"/>
        <w:rPr>
          <w:rFonts w:eastAsia="MS Mincho"/>
          <w:szCs w:val="24"/>
          <w:lang w:eastAsia="ja-JP"/>
        </w:rPr>
      </w:pPr>
      <w:r w:rsidRPr="002D4615">
        <w:rPr>
          <w:rFonts w:eastAsia="MS Mincho"/>
          <w:szCs w:val="24"/>
          <w:lang w:eastAsia="ja-JP"/>
        </w:rPr>
        <w:t>Г-КСФ</w:t>
      </w:r>
      <w:r w:rsidR="002D62BD" w:rsidRPr="002D62BD">
        <w:rPr>
          <w:rFonts w:eastAsia="MS Mincho"/>
          <w:szCs w:val="24"/>
          <w:lang w:eastAsia="ja-JP"/>
        </w:rPr>
        <w:t>**</w:t>
      </w:r>
      <w:r w:rsidRPr="002D4615">
        <w:rPr>
          <w:rFonts w:eastAsia="MS Mincho"/>
          <w:szCs w:val="24"/>
          <w:lang w:eastAsia="ja-JP"/>
        </w:rPr>
        <w:tab/>
      </w:r>
      <w:r w:rsidRPr="002D4615">
        <w:rPr>
          <w:rFonts w:eastAsia="MS Mincho"/>
          <w:szCs w:val="24"/>
          <w:lang w:eastAsia="ja-JP"/>
        </w:rPr>
        <w:tab/>
      </w:r>
      <w:r w:rsidRPr="002D4615">
        <w:rPr>
          <w:rFonts w:eastAsia="MS Mincho"/>
          <w:szCs w:val="24"/>
          <w:lang w:eastAsia="ja-JP"/>
        </w:rPr>
        <w:tab/>
        <w:t xml:space="preserve">          </w:t>
      </w:r>
      <w:r>
        <w:rPr>
          <w:rFonts w:eastAsia="MS Mincho"/>
          <w:szCs w:val="24"/>
          <w:lang w:eastAsia="ja-JP"/>
        </w:rPr>
        <w:t xml:space="preserve"> 5 мкг/кг подкожно               </w:t>
      </w:r>
      <w:r w:rsidR="00802EF2">
        <w:rPr>
          <w:rFonts w:eastAsia="MS Mincho"/>
          <w:szCs w:val="24"/>
          <w:lang w:eastAsia="ja-JP"/>
        </w:rPr>
        <w:tab/>
      </w:r>
      <w:r w:rsidR="00802EF2">
        <w:rPr>
          <w:rFonts w:eastAsia="MS Mincho"/>
          <w:szCs w:val="24"/>
          <w:lang w:eastAsia="ja-JP"/>
        </w:rPr>
        <w:tab/>
      </w:r>
      <w:r>
        <w:rPr>
          <w:rFonts w:eastAsia="MS Mincho"/>
          <w:szCs w:val="24"/>
          <w:lang w:eastAsia="ja-JP"/>
        </w:rPr>
        <w:t>Начиная с 6</w:t>
      </w:r>
      <w:r w:rsidR="00387EE2">
        <w:rPr>
          <w:rFonts w:eastAsia="MS Mincho"/>
          <w:szCs w:val="24"/>
          <w:lang w:eastAsia="ja-JP"/>
        </w:rPr>
        <w:t>-го</w:t>
      </w:r>
      <w:r>
        <w:rPr>
          <w:rFonts w:eastAsia="MS Mincho"/>
          <w:szCs w:val="24"/>
          <w:lang w:eastAsia="ja-JP"/>
        </w:rPr>
        <w:t xml:space="preserve"> </w:t>
      </w:r>
      <w:r w:rsidRPr="002D4615">
        <w:rPr>
          <w:rFonts w:eastAsia="MS Mincho"/>
          <w:szCs w:val="24"/>
          <w:lang w:eastAsia="ja-JP"/>
        </w:rPr>
        <w:t>дня</w:t>
      </w:r>
    </w:p>
    <w:p w14:paraId="3DD4C769" w14:textId="77777777" w:rsidR="00533FE8" w:rsidRPr="002D4615" w:rsidRDefault="00533FE8" w:rsidP="00533FE8">
      <w:pPr>
        <w:widowControl/>
        <w:jc w:val="left"/>
        <w:rPr>
          <w:rFonts w:eastAsia="MS Mincho"/>
          <w:i/>
          <w:szCs w:val="24"/>
          <w:lang w:eastAsia="ja-JP"/>
        </w:rPr>
      </w:pPr>
      <w:r w:rsidRPr="002D4615">
        <w:rPr>
          <w:rFonts w:eastAsia="MS Mincho"/>
          <w:szCs w:val="24"/>
          <w:lang w:eastAsia="ja-JP"/>
        </w:rPr>
        <w:t xml:space="preserve">            </w:t>
      </w:r>
      <w:r w:rsidRPr="002D4615">
        <w:rPr>
          <w:rFonts w:eastAsia="MS Mincho"/>
          <w:i/>
          <w:szCs w:val="24"/>
          <w:lang w:eastAsia="ja-JP"/>
        </w:rPr>
        <w:t xml:space="preserve">У пациентов с исходным </w:t>
      </w:r>
    </w:p>
    <w:p w14:paraId="26F2C9FC" w14:textId="10F9589B" w:rsidR="00533FE8" w:rsidRPr="002D4615" w:rsidRDefault="00533FE8" w:rsidP="00533FE8">
      <w:pPr>
        <w:widowControl/>
        <w:jc w:val="left"/>
        <w:rPr>
          <w:rFonts w:eastAsia="MS Mincho"/>
          <w:szCs w:val="24"/>
          <w:lang w:eastAsia="ja-JP"/>
        </w:rPr>
      </w:pPr>
      <w:r w:rsidRPr="002D4615">
        <w:rPr>
          <w:rFonts w:eastAsia="MS Mincho"/>
          <w:i/>
          <w:szCs w:val="24"/>
          <w:lang w:eastAsia="ja-JP"/>
        </w:rPr>
        <w:t>количеством</w:t>
      </w:r>
      <w:r w:rsidR="007056FD">
        <w:rPr>
          <w:rFonts w:eastAsia="MS Mincho"/>
          <w:i/>
          <w:szCs w:val="24"/>
          <w:lang w:eastAsia="ja-JP"/>
        </w:rPr>
        <w:t xml:space="preserve"> нейтрофилов </w:t>
      </w:r>
      <w:r w:rsidR="007056FD" w:rsidRPr="007056FD">
        <w:rPr>
          <w:rFonts w:eastAsia="MS Mincho"/>
          <w:i/>
          <w:szCs w:val="24"/>
          <w:lang w:eastAsia="ja-JP"/>
        </w:rPr>
        <w:t>&lt;</w:t>
      </w:r>
      <w:r w:rsidRPr="002D4615">
        <w:rPr>
          <w:rFonts w:eastAsia="MS Mincho"/>
          <w:i/>
          <w:szCs w:val="24"/>
          <w:lang w:eastAsia="ja-JP"/>
        </w:rPr>
        <w:t>500/мкл</w:t>
      </w:r>
      <w:r w:rsidRPr="002D4615">
        <w:rPr>
          <w:rFonts w:eastAsia="MS Mincho"/>
          <w:szCs w:val="24"/>
          <w:lang w:eastAsia="ja-JP"/>
        </w:rPr>
        <w:t xml:space="preserve">                 </w:t>
      </w:r>
      <w:r>
        <w:rPr>
          <w:rFonts w:eastAsia="MS Mincho"/>
          <w:szCs w:val="24"/>
          <w:lang w:eastAsia="ja-JP"/>
        </w:rPr>
        <w:t xml:space="preserve">            </w:t>
      </w:r>
      <w:r w:rsidR="00802EF2">
        <w:rPr>
          <w:rFonts w:eastAsia="MS Mincho"/>
          <w:szCs w:val="24"/>
          <w:lang w:eastAsia="ja-JP"/>
        </w:rPr>
        <w:tab/>
      </w:r>
      <w:r w:rsidR="00802EF2">
        <w:rPr>
          <w:rFonts w:eastAsia="MS Mincho"/>
          <w:szCs w:val="24"/>
          <w:lang w:eastAsia="ja-JP"/>
        </w:rPr>
        <w:tab/>
      </w:r>
      <w:r w:rsidR="007056FD" w:rsidRPr="007056FD">
        <w:rPr>
          <w:rFonts w:eastAsia="MS Mincho"/>
          <w:szCs w:val="24"/>
          <w:lang w:eastAsia="ja-JP"/>
        </w:rPr>
        <w:tab/>
      </w:r>
      <w:r w:rsidR="007056FD">
        <w:rPr>
          <w:rFonts w:eastAsia="MS Mincho"/>
          <w:szCs w:val="24"/>
          <w:lang w:eastAsia="ja-JP"/>
        </w:rPr>
        <w:t xml:space="preserve">Начиная с </w:t>
      </w:r>
      <w:r w:rsidR="007056FD" w:rsidRPr="007056FD">
        <w:rPr>
          <w:rFonts w:eastAsia="MS Mincho"/>
          <w:szCs w:val="24"/>
          <w:lang w:eastAsia="ja-JP"/>
        </w:rPr>
        <w:t>1</w:t>
      </w:r>
      <w:r w:rsidR="00387EE2">
        <w:rPr>
          <w:rFonts w:eastAsia="MS Mincho"/>
          <w:szCs w:val="24"/>
          <w:lang w:eastAsia="ja-JP"/>
        </w:rPr>
        <w:t>-го</w:t>
      </w:r>
      <w:r>
        <w:rPr>
          <w:rFonts w:eastAsia="MS Mincho"/>
          <w:szCs w:val="24"/>
          <w:lang w:eastAsia="ja-JP"/>
        </w:rPr>
        <w:t xml:space="preserve"> дня</w:t>
      </w:r>
    </w:p>
    <w:p w14:paraId="4B3B7CEC" w14:textId="1F425961" w:rsidR="00533FE8" w:rsidRPr="002D4615" w:rsidRDefault="00533FE8" w:rsidP="00533FE8">
      <w:pPr>
        <w:widowControl/>
        <w:rPr>
          <w:rFonts w:eastAsia="MS Mincho"/>
          <w:i/>
          <w:szCs w:val="24"/>
          <w:lang w:eastAsia="ja-JP"/>
        </w:rPr>
      </w:pPr>
      <w:r>
        <w:rPr>
          <w:rFonts w:eastAsia="MS Mincho"/>
          <w:szCs w:val="24"/>
          <w:lang w:eastAsia="ja-JP"/>
        </w:rPr>
        <w:lastRenderedPageBreak/>
        <w:t xml:space="preserve">Тактика ведения пациентов </w:t>
      </w:r>
      <w:r w:rsidRPr="002D4615">
        <w:rPr>
          <w:rFonts w:eastAsia="MS Mincho"/>
          <w:szCs w:val="24"/>
          <w:lang w:eastAsia="ja-JP"/>
        </w:rPr>
        <w:t>с исх</w:t>
      </w:r>
      <w:r w:rsidR="007056FD">
        <w:rPr>
          <w:rFonts w:eastAsia="MS Mincho"/>
          <w:szCs w:val="24"/>
          <w:lang w:eastAsia="ja-JP"/>
        </w:rPr>
        <w:t xml:space="preserve">одным количеством нейтрофилов </w:t>
      </w:r>
      <w:r w:rsidR="007056FD" w:rsidRPr="007056FD">
        <w:rPr>
          <w:rFonts w:eastAsia="MS Mincho"/>
          <w:szCs w:val="24"/>
          <w:lang w:eastAsia="ja-JP"/>
        </w:rPr>
        <w:t>&lt;</w:t>
      </w:r>
      <w:r w:rsidRPr="002D4615">
        <w:rPr>
          <w:rFonts w:eastAsia="MS Mincho"/>
          <w:szCs w:val="24"/>
          <w:lang w:eastAsia="ja-JP"/>
        </w:rPr>
        <w:t>500/мкл (или р</w:t>
      </w:r>
      <w:r w:rsidR="00196ED3">
        <w:rPr>
          <w:rFonts w:eastAsia="MS Mincho"/>
          <w:szCs w:val="24"/>
          <w:lang w:eastAsia="ja-JP"/>
        </w:rPr>
        <w:t>а</w:t>
      </w:r>
      <w:r w:rsidR="004552EA">
        <w:rPr>
          <w:rFonts w:eastAsia="MS Mincho"/>
          <w:szCs w:val="24"/>
          <w:lang w:eastAsia="ja-JP"/>
        </w:rPr>
        <w:t>звивши</w:t>
      </w:r>
      <w:r w:rsidR="002C2235">
        <w:rPr>
          <w:rFonts w:eastAsia="MS Mincho"/>
          <w:szCs w:val="24"/>
          <w:lang w:eastAsia="ja-JP"/>
        </w:rPr>
        <w:t>мся в течение 1-х 5</w:t>
      </w:r>
      <w:r w:rsidRPr="002D4615">
        <w:rPr>
          <w:rFonts w:eastAsia="MS Mincho"/>
          <w:szCs w:val="24"/>
          <w:lang w:eastAsia="ja-JP"/>
        </w:rPr>
        <w:t xml:space="preserve"> дней):</w:t>
      </w:r>
    </w:p>
    <w:p w14:paraId="4434424D" w14:textId="77777777" w:rsidR="00533FE8" w:rsidRPr="002D4615" w:rsidRDefault="00533FE8" w:rsidP="00956D03">
      <w:pPr>
        <w:widowControl/>
        <w:numPr>
          <w:ilvl w:val="0"/>
          <w:numId w:val="6"/>
        </w:numPr>
        <w:rPr>
          <w:rFonts w:eastAsia="MS Mincho"/>
          <w:i/>
          <w:szCs w:val="24"/>
          <w:lang w:eastAsia="ja-JP"/>
        </w:rPr>
      </w:pPr>
      <w:r w:rsidRPr="002D4615">
        <w:rPr>
          <w:rFonts w:eastAsia="MS Mincho"/>
          <w:i/>
          <w:szCs w:val="24"/>
          <w:lang w:eastAsia="ja-JP"/>
        </w:rPr>
        <w:t xml:space="preserve">ПР или </w:t>
      </w:r>
      <w:r w:rsidR="00B23DA4">
        <w:rPr>
          <w:rFonts w:eastAsia="MS Mincho"/>
          <w:i/>
          <w:szCs w:val="24"/>
          <w:lang w:eastAsia="ja-JP"/>
        </w:rPr>
        <w:t xml:space="preserve">частичная ремиссия </w:t>
      </w:r>
      <w:r w:rsidRPr="002D4615">
        <w:rPr>
          <w:rFonts w:eastAsia="MS Mincho"/>
          <w:i/>
          <w:szCs w:val="24"/>
          <w:lang w:eastAsia="ja-JP"/>
        </w:rPr>
        <w:t>на 11</w:t>
      </w:r>
      <w:r w:rsidR="004552EA">
        <w:rPr>
          <w:rFonts w:eastAsia="MS Mincho"/>
          <w:i/>
          <w:szCs w:val="24"/>
          <w:lang w:eastAsia="ja-JP"/>
        </w:rPr>
        <w:t>-й</w:t>
      </w:r>
      <w:r w:rsidRPr="002D4615">
        <w:rPr>
          <w:rFonts w:eastAsia="MS Mincho"/>
          <w:i/>
          <w:szCs w:val="24"/>
          <w:lang w:eastAsia="ja-JP"/>
        </w:rPr>
        <w:t xml:space="preserve"> день: введение даунорубицина</w:t>
      </w:r>
      <w:r w:rsidR="00A65A9B">
        <w:rPr>
          <w:rFonts w:eastAsia="MS Mincho"/>
          <w:i/>
          <w:szCs w:val="24"/>
          <w:lang w:eastAsia="ja-JP"/>
        </w:rPr>
        <w:t>**</w:t>
      </w:r>
      <w:r w:rsidRPr="002D4615">
        <w:rPr>
          <w:rFonts w:eastAsia="MS Mincho"/>
          <w:i/>
          <w:szCs w:val="24"/>
          <w:lang w:eastAsia="ja-JP"/>
        </w:rPr>
        <w:t>, винкристина</w:t>
      </w:r>
      <w:r w:rsidR="00457E7B">
        <w:rPr>
          <w:rFonts w:eastAsia="MS Mincho"/>
          <w:i/>
          <w:szCs w:val="24"/>
          <w:lang w:eastAsia="ja-JP"/>
        </w:rPr>
        <w:t>**</w:t>
      </w:r>
      <w:r w:rsidRPr="002D4615">
        <w:rPr>
          <w:rFonts w:eastAsia="MS Mincho"/>
          <w:i/>
          <w:szCs w:val="24"/>
          <w:lang w:eastAsia="ja-JP"/>
        </w:rPr>
        <w:t xml:space="preserve"> и </w:t>
      </w:r>
      <w:r>
        <w:rPr>
          <w:rFonts w:eastAsia="MS Mincho"/>
          <w:i/>
          <w:szCs w:val="24"/>
          <w:lang w:eastAsia="ja-JP"/>
        </w:rPr>
        <w:t>дексаметазон</w:t>
      </w:r>
      <w:r w:rsidRPr="002D4615">
        <w:rPr>
          <w:rFonts w:eastAsia="MS Mincho"/>
          <w:i/>
          <w:szCs w:val="24"/>
          <w:lang w:eastAsia="ja-JP"/>
        </w:rPr>
        <w:t>а</w:t>
      </w:r>
      <w:r w:rsidR="006F5D03">
        <w:rPr>
          <w:rFonts w:eastAsia="MS Mincho"/>
          <w:i/>
          <w:szCs w:val="24"/>
          <w:lang w:eastAsia="ja-JP"/>
        </w:rPr>
        <w:t>**</w:t>
      </w:r>
      <w:r w:rsidRPr="002D4615">
        <w:rPr>
          <w:rFonts w:eastAsia="MS Mincho"/>
          <w:i/>
          <w:szCs w:val="24"/>
          <w:lang w:eastAsia="ja-JP"/>
        </w:rPr>
        <w:t xml:space="preserve"> при необходимости может быть перенесено до восстановления числа нейтрофилов </w:t>
      </w:r>
      <w:r w:rsidR="00196ED3" w:rsidRPr="00C52044">
        <w:rPr>
          <w:rFonts w:eastAsia="MS Mincho"/>
          <w:i/>
          <w:szCs w:val="24"/>
          <w:lang w:eastAsia="ja-JP"/>
        </w:rPr>
        <w:t>&gt;</w:t>
      </w:r>
      <w:r w:rsidRPr="002D4615">
        <w:rPr>
          <w:rFonts w:eastAsia="MS Mincho"/>
          <w:i/>
          <w:szCs w:val="24"/>
          <w:lang w:eastAsia="ja-JP"/>
        </w:rPr>
        <w:t>500/мкл (максимум на неделю).</w:t>
      </w:r>
    </w:p>
    <w:p w14:paraId="23E05246" w14:textId="77777777" w:rsidR="00533FE8" w:rsidRPr="002D4615" w:rsidRDefault="00533FE8" w:rsidP="00956D03">
      <w:pPr>
        <w:widowControl/>
        <w:numPr>
          <w:ilvl w:val="0"/>
          <w:numId w:val="6"/>
        </w:numPr>
        <w:rPr>
          <w:rFonts w:eastAsia="MS Mincho"/>
          <w:i/>
          <w:szCs w:val="24"/>
          <w:lang w:eastAsia="ja-JP"/>
        </w:rPr>
      </w:pPr>
      <w:r w:rsidRPr="002D4615">
        <w:rPr>
          <w:rFonts w:eastAsia="MS Mincho"/>
          <w:i/>
          <w:szCs w:val="24"/>
          <w:lang w:eastAsia="ja-JP"/>
        </w:rPr>
        <w:t>При резистентности или прогрессии: продолжение терапии.</w:t>
      </w:r>
    </w:p>
    <w:p w14:paraId="6FC11A26" w14:textId="77777777" w:rsidR="00533FE8" w:rsidRDefault="004552EA" w:rsidP="00533FE8">
      <w:pPr>
        <w:widowControl/>
        <w:rPr>
          <w:rFonts w:eastAsia="MS Mincho"/>
          <w:szCs w:val="24"/>
          <w:lang w:eastAsia="ja-JP"/>
        </w:rPr>
      </w:pPr>
      <w:r>
        <w:rPr>
          <w:rFonts w:eastAsia="MS Mincho"/>
          <w:szCs w:val="24"/>
          <w:lang w:eastAsia="ja-JP"/>
        </w:rPr>
        <w:t xml:space="preserve">Оценка ремиссии: </w:t>
      </w:r>
      <w:r w:rsidR="00533FE8">
        <w:rPr>
          <w:rFonts w:eastAsia="MS Mincho"/>
          <w:szCs w:val="24"/>
          <w:lang w:eastAsia="ja-JP"/>
        </w:rPr>
        <w:t>11</w:t>
      </w:r>
      <w:r w:rsidR="00027E1A">
        <w:rPr>
          <w:rFonts w:eastAsia="MS Mincho"/>
          <w:szCs w:val="24"/>
          <w:lang w:eastAsia="ja-JP"/>
        </w:rPr>
        <w:t>-й и</w:t>
      </w:r>
      <w:r>
        <w:rPr>
          <w:rFonts w:eastAsia="MS Mincho"/>
          <w:szCs w:val="24"/>
          <w:lang w:eastAsia="ja-JP"/>
        </w:rPr>
        <w:t xml:space="preserve"> </w:t>
      </w:r>
      <w:r w:rsidR="00533FE8">
        <w:rPr>
          <w:rFonts w:eastAsia="MS Mincho"/>
          <w:szCs w:val="24"/>
          <w:lang w:eastAsia="ja-JP"/>
        </w:rPr>
        <w:t>26</w:t>
      </w:r>
      <w:r w:rsidR="00027E1A">
        <w:rPr>
          <w:rFonts w:eastAsia="MS Mincho"/>
          <w:szCs w:val="24"/>
          <w:lang w:eastAsia="ja-JP"/>
        </w:rPr>
        <w:t>-й дни</w:t>
      </w:r>
      <w:r w:rsidR="00533FE8">
        <w:rPr>
          <w:rFonts w:eastAsia="MS Mincho"/>
          <w:szCs w:val="24"/>
          <w:lang w:eastAsia="ja-JP"/>
        </w:rPr>
        <w:t xml:space="preserve"> (с оценкой </w:t>
      </w:r>
      <w:r w:rsidR="00AF128D">
        <w:rPr>
          <w:rFonts w:eastAsia="MS Mincho"/>
          <w:szCs w:val="24"/>
          <w:lang w:eastAsia="ja-JP"/>
        </w:rPr>
        <w:t>МОБ</w:t>
      </w:r>
      <w:r w:rsidR="00533FE8">
        <w:rPr>
          <w:rFonts w:eastAsia="MS Mincho"/>
          <w:szCs w:val="24"/>
          <w:lang w:eastAsia="ja-JP"/>
        </w:rPr>
        <w:t>).</w:t>
      </w:r>
    </w:p>
    <w:p w14:paraId="5E151206" w14:textId="77777777" w:rsidR="00533FE8" w:rsidRPr="002D4615" w:rsidRDefault="004148AD" w:rsidP="00533FE8">
      <w:pPr>
        <w:widowControl/>
        <w:jc w:val="left"/>
        <w:rPr>
          <w:rFonts w:eastAsia="MS Mincho"/>
          <w:b/>
          <w:bCs/>
          <w:szCs w:val="24"/>
          <w:lang w:eastAsia="ja-JP"/>
        </w:rPr>
      </w:pPr>
      <w:r>
        <w:rPr>
          <w:rFonts w:eastAsia="MS Mincho"/>
          <w:b/>
          <w:bCs/>
          <w:szCs w:val="24"/>
          <w:lang w:val="en-US" w:eastAsia="ja-JP"/>
        </w:rPr>
        <w:t>II</w:t>
      </w:r>
      <w:r w:rsidR="00533FE8">
        <w:rPr>
          <w:rFonts w:eastAsia="MS Mincho"/>
          <w:b/>
          <w:bCs/>
          <w:szCs w:val="24"/>
          <w:lang w:eastAsia="ja-JP"/>
        </w:rPr>
        <w:t xml:space="preserve"> фаза ин</w:t>
      </w:r>
      <w:r w:rsidR="004552EA">
        <w:rPr>
          <w:rFonts w:eastAsia="MS Mincho"/>
          <w:b/>
          <w:bCs/>
          <w:szCs w:val="24"/>
          <w:lang w:eastAsia="ja-JP"/>
        </w:rPr>
        <w:t>дукции (26–</w:t>
      </w:r>
      <w:r w:rsidR="00533FE8">
        <w:rPr>
          <w:rFonts w:eastAsia="MS Mincho"/>
          <w:b/>
          <w:bCs/>
          <w:szCs w:val="24"/>
          <w:lang w:eastAsia="ja-JP"/>
        </w:rPr>
        <w:t>46</w:t>
      </w:r>
      <w:r w:rsidR="004552EA">
        <w:rPr>
          <w:rFonts w:eastAsia="MS Mincho"/>
          <w:b/>
          <w:bCs/>
          <w:szCs w:val="24"/>
          <w:lang w:eastAsia="ja-JP"/>
        </w:rPr>
        <w:t>-й дни</w:t>
      </w:r>
      <w:r w:rsidR="00533FE8">
        <w:rPr>
          <w:rFonts w:eastAsia="MS Mincho"/>
          <w:b/>
          <w:bCs/>
          <w:szCs w:val="24"/>
          <w:lang w:eastAsia="ja-JP"/>
        </w:rPr>
        <w:t>)</w:t>
      </w:r>
    </w:p>
    <w:p w14:paraId="69615182" w14:textId="77777777" w:rsidR="00533FE8" w:rsidRPr="002D4615" w:rsidRDefault="00533FE8" w:rsidP="00533FE8">
      <w:pPr>
        <w:widowControl/>
        <w:jc w:val="left"/>
        <w:rPr>
          <w:rFonts w:eastAsia="MS Mincho"/>
          <w:szCs w:val="24"/>
          <w:lang w:eastAsia="ja-JP"/>
        </w:rPr>
      </w:pPr>
      <w:r w:rsidRPr="002D4615">
        <w:rPr>
          <w:rFonts w:eastAsia="MS Mincho"/>
          <w:szCs w:val="24"/>
          <w:lang w:eastAsia="ja-JP"/>
        </w:rPr>
        <w:t>Циклофосфамид</w:t>
      </w:r>
      <w:r w:rsidR="004C2C6A">
        <w:rPr>
          <w:rFonts w:eastAsia="MS Mincho"/>
          <w:szCs w:val="24"/>
          <w:lang w:eastAsia="ja-JP"/>
        </w:rPr>
        <w:t>**</w:t>
      </w:r>
      <w:r w:rsidRPr="002D4615">
        <w:rPr>
          <w:rFonts w:eastAsia="MS Mincho"/>
          <w:szCs w:val="24"/>
          <w:lang w:eastAsia="ja-JP"/>
        </w:rPr>
        <w:tab/>
      </w:r>
      <w:r w:rsidRPr="002D4615">
        <w:rPr>
          <w:rFonts w:eastAsia="MS Mincho"/>
          <w:szCs w:val="24"/>
          <w:lang w:eastAsia="ja-JP"/>
        </w:rPr>
        <w:tab/>
      </w:r>
      <w:r w:rsidR="00802EF2">
        <w:rPr>
          <w:rFonts w:eastAsia="MS Mincho"/>
          <w:szCs w:val="24"/>
          <w:lang w:eastAsia="ja-JP"/>
        </w:rPr>
        <w:tab/>
      </w:r>
      <w:r w:rsidRPr="002D4615">
        <w:rPr>
          <w:rFonts w:eastAsia="MS Mincho"/>
          <w:szCs w:val="24"/>
          <w:lang w:eastAsia="ja-JP"/>
        </w:rPr>
        <w:t>1000 мг/м</w:t>
      </w:r>
      <w:r w:rsidRPr="00AF151A">
        <w:rPr>
          <w:rFonts w:eastAsia="MS Mincho"/>
          <w:szCs w:val="24"/>
          <w:vertAlign w:val="superscript"/>
          <w:lang w:eastAsia="ja-JP"/>
        </w:rPr>
        <w:t>2</w:t>
      </w:r>
      <w:r w:rsidR="004552EA">
        <w:rPr>
          <w:rFonts w:eastAsia="MS Mincho"/>
          <w:szCs w:val="24"/>
          <w:lang w:eastAsia="ja-JP"/>
        </w:rPr>
        <w:t xml:space="preserve"> в/в </w:t>
      </w:r>
      <w:r w:rsidR="004552EA">
        <w:rPr>
          <w:rFonts w:eastAsia="MS Mincho"/>
          <w:szCs w:val="24"/>
          <w:lang w:eastAsia="ja-JP"/>
        </w:rPr>
        <w:tab/>
      </w:r>
      <w:r w:rsidR="004552EA">
        <w:rPr>
          <w:rFonts w:eastAsia="MS Mincho"/>
          <w:szCs w:val="24"/>
          <w:lang w:eastAsia="ja-JP"/>
        </w:rPr>
        <w:tab/>
        <w:t xml:space="preserve">    </w:t>
      </w:r>
      <w:r w:rsidRPr="002D4615">
        <w:rPr>
          <w:rFonts w:eastAsia="MS Mincho"/>
          <w:szCs w:val="24"/>
          <w:lang w:eastAsia="ja-JP"/>
        </w:rPr>
        <w:t>26</w:t>
      </w:r>
      <w:r w:rsidR="00781EA2">
        <w:rPr>
          <w:rFonts w:eastAsia="MS Mincho"/>
          <w:szCs w:val="24"/>
          <w:lang w:eastAsia="ja-JP"/>
        </w:rPr>
        <w:t>-й</w:t>
      </w:r>
      <w:r w:rsidRPr="002D4615">
        <w:rPr>
          <w:rFonts w:eastAsia="MS Mincho"/>
          <w:szCs w:val="24"/>
          <w:lang w:eastAsia="ja-JP"/>
        </w:rPr>
        <w:t>, 46</w:t>
      </w:r>
      <w:r w:rsidR="004552EA">
        <w:rPr>
          <w:rFonts w:eastAsia="MS Mincho"/>
          <w:szCs w:val="24"/>
          <w:lang w:eastAsia="ja-JP"/>
        </w:rPr>
        <w:t>-й дни</w:t>
      </w:r>
    </w:p>
    <w:p w14:paraId="5580E68E" w14:textId="77777777" w:rsidR="00533FE8" w:rsidRPr="002D4615" w:rsidRDefault="00421699" w:rsidP="00533FE8">
      <w:pPr>
        <w:widowControl/>
        <w:jc w:val="left"/>
        <w:rPr>
          <w:rFonts w:eastAsia="MS Mincho"/>
          <w:szCs w:val="24"/>
          <w:lang w:eastAsia="ja-JP"/>
        </w:rPr>
      </w:pPr>
      <w:r>
        <w:rPr>
          <w:rFonts w:eastAsia="MS Mincho"/>
          <w:szCs w:val="24"/>
          <w:lang w:eastAsia="ja-JP"/>
        </w:rPr>
        <w:t>Цитарабин**</w:t>
      </w:r>
      <w:r w:rsidR="00533FE8" w:rsidRPr="002D4615">
        <w:rPr>
          <w:rFonts w:eastAsia="MS Mincho"/>
          <w:szCs w:val="24"/>
          <w:lang w:eastAsia="ja-JP"/>
        </w:rPr>
        <w:t xml:space="preserve"> </w:t>
      </w:r>
      <w:r w:rsidR="00533FE8" w:rsidRPr="002D4615">
        <w:rPr>
          <w:rFonts w:eastAsia="MS Mincho"/>
          <w:szCs w:val="24"/>
          <w:lang w:eastAsia="ja-JP"/>
        </w:rPr>
        <w:tab/>
      </w:r>
      <w:r w:rsidR="00533FE8" w:rsidRPr="002D4615">
        <w:rPr>
          <w:rFonts w:eastAsia="MS Mincho"/>
          <w:szCs w:val="24"/>
          <w:lang w:eastAsia="ja-JP"/>
        </w:rPr>
        <w:tab/>
      </w:r>
      <w:r w:rsidR="00533FE8" w:rsidRPr="002D4615">
        <w:rPr>
          <w:rFonts w:eastAsia="MS Mincho"/>
          <w:szCs w:val="24"/>
          <w:lang w:eastAsia="ja-JP"/>
        </w:rPr>
        <w:tab/>
      </w:r>
      <w:r w:rsidR="00802EF2">
        <w:rPr>
          <w:rFonts w:eastAsia="MS Mincho"/>
          <w:szCs w:val="24"/>
          <w:lang w:eastAsia="ja-JP"/>
        </w:rPr>
        <w:tab/>
      </w:r>
      <w:r w:rsidR="00533FE8" w:rsidRPr="002D4615">
        <w:rPr>
          <w:rFonts w:eastAsia="MS Mincho"/>
          <w:szCs w:val="24"/>
          <w:lang w:eastAsia="ja-JP"/>
        </w:rPr>
        <w:t>75 мг/м</w:t>
      </w:r>
      <w:r w:rsidR="00533FE8" w:rsidRPr="00AF151A">
        <w:rPr>
          <w:rFonts w:eastAsia="MS Mincho"/>
          <w:szCs w:val="24"/>
          <w:vertAlign w:val="superscript"/>
          <w:lang w:eastAsia="ja-JP"/>
        </w:rPr>
        <w:t>2</w:t>
      </w:r>
      <w:r w:rsidR="00533FE8" w:rsidRPr="002D4615">
        <w:rPr>
          <w:rFonts w:eastAsia="MS Mincho"/>
          <w:szCs w:val="24"/>
          <w:lang w:eastAsia="ja-JP"/>
        </w:rPr>
        <w:t xml:space="preserve"> в/в  </w:t>
      </w:r>
      <w:r w:rsidR="00533FE8" w:rsidRPr="002D4615">
        <w:rPr>
          <w:rFonts w:eastAsia="MS Mincho"/>
          <w:szCs w:val="24"/>
          <w:lang w:eastAsia="ja-JP"/>
        </w:rPr>
        <w:tab/>
      </w:r>
      <w:r w:rsidR="00533FE8" w:rsidRPr="002D4615">
        <w:rPr>
          <w:rFonts w:eastAsia="MS Mincho"/>
          <w:szCs w:val="24"/>
          <w:lang w:eastAsia="ja-JP"/>
        </w:rPr>
        <w:tab/>
      </w:r>
      <w:r w:rsidR="00533FE8" w:rsidRPr="002D4615">
        <w:rPr>
          <w:rFonts w:eastAsia="MS Mincho"/>
          <w:szCs w:val="24"/>
          <w:lang w:eastAsia="ja-JP"/>
        </w:rPr>
        <w:tab/>
      </w:r>
      <w:r w:rsidR="004552EA">
        <w:rPr>
          <w:rFonts w:eastAsia="MS Mincho"/>
          <w:szCs w:val="24"/>
          <w:lang w:eastAsia="ja-JP"/>
        </w:rPr>
        <w:t xml:space="preserve"> 28–</w:t>
      </w:r>
      <w:r w:rsidR="00533FE8" w:rsidRPr="002D4615">
        <w:rPr>
          <w:rFonts w:eastAsia="MS Mincho"/>
          <w:szCs w:val="24"/>
          <w:lang w:eastAsia="ja-JP"/>
        </w:rPr>
        <w:t>31,</w:t>
      </w:r>
      <w:r w:rsidR="004552EA">
        <w:rPr>
          <w:rFonts w:eastAsia="MS Mincho"/>
          <w:szCs w:val="24"/>
          <w:lang w:eastAsia="ja-JP"/>
        </w:rPr>
        <w:t xml:space="preserve"> 35–</w:t>
      </w:r>
      <w:r w:rsidR="00533FE8" w:rsidRPr="002D4615">
        <w:rPr>
          <w:rFonts w:eastAsia="MS Mincho"/>
          <w:szCs w:val="24"/>
          <w:lang w:eastAsia="ja-JP"/>
        </w:rPr>
        <w:t>38,</w:t>
      </w:r>
      <w:r w:rsidR="004552EA">
        <w:rPr>
          <w:rFonts w:eastAsia="MS Mincho"/>
          <w:szCs w:val="24"/>
          <w:lang w:eastAsia="ja-JP"/>
        </w:rPr>
        <w:t xml:space="preserve"> </w:t>
      </w:r>
      <w:r w:rsidR="00802EF2">
        <w:rPr>
          <w:rFonts w:eastAsia="MS Mincho"/>
          <w:szCs w:val="24"/>
          <w:lang w:eastAsia="ja-JP"/>
        </w:rPr>
        <w:t>4</w:t>
      </w:r>
      <w:r w:rsidR="004552EA">
        <w:rPr>
          <w:rFonts w:eastAsia="MS Mincho"/>
          <w:szCs w:val="24"/>
          <w:lang w:eastAsia="ja-JP"/>
        </w:rPr>
        <w:t>2–</w:t>
      </w:r>
      <w:r w:rsidR="00533FE8" w:rsidRPr="002D4615">
        <w:rPr>
          <w:rFonts w:eastAsia="MS Mincho"/>
          <w:szCs w:val="24"/>
          <w:lang w:eastAsia="ja-JP"/>
        </w:rPr>
        <w:t>45</w:t>
      </w:r>
      <w:r w:rsidR="004552EA">
        <w:rPr>
          <w:rFonts w:eastAsia="MS Mincho"/>
          <w:szCs w:val="24"/>
          <w:lang w:eastAsia="ja-JP"/>
        </w:rPr>
        <w:t>-й дни</w:t>
      </w:r>
    </w:p>
    <w:p w14:paraId="4D19B8DE" w14:textId="77777777" w:rsidR="00533FE8" w:rsidRPr="002D4615" w:rsidRDefault="00196ED3" w:rsidP="00533FE8">
      <w:pPr>
        <w:widowControl/>
        <w:jc w:val="left"/>
        <w:rPr>
          <w:rFonts w:eastAsia="MS Mincho"/>
          <w:szCs w:val="24"/>
          <w:lang w:eastAsia="ja-JP"/>
        </w:rPr>
      </w:pPr>
      <w:r>
        <w:rPr>
          <w:rFonts w:eastAsia="MS Mincho"/>
          <w:szCs w:val="24"/>
          <w:lang w:eastAsia="ja-JP"/>
        </w:rPr>
        <w:t>М</w:t>
      </w:r>
      <w:r w:rsidR="00533FE8" w:rsidRPr="002D4615">
        <w:rPr>
          <w:rFonts w:eastAsia="MS Mincho"/>
          <w:szCs w:val="24"/>
          <w:lang w:eastAsia="ja-JP"/>
        </w:rPr>
        <w:t>еркаптопурин</w:t>
      </w:r>
      <w:r w:rsidR="00714B4A">
        <w:rPr>
          <w:rFonts w:eastAsia="MS Mincho"/>
          <w:szCs w:val="24"/>
          <w:lang w:eastAsia="ja-JP"/>
        </w:rPr>
        <w:t>**</w:t>
      </w:r>
      <w:r w:rsidR="00533FE8" w:rsidRPr="002D4615">
        <w:rPr>
          <w:rFonts w:eastAsia="MS Mincho"/>
          <w:szCs w:val="24"/>
          <w:lang w:eastAsia="ja-JP"/>
        </w:rPr>
        <w:tab/>
      </w:r>
      <w:r w:rsidR="00533FE8" w:rsidRPr="002D4615">
        <w:rPr>
          <w:rFonts w:eastAsia="MS Mincho"/>
          <w:szCs w:val="24"/>
          <w:lang w:eastAsia="ja-JP"/>
        </w:rPr>
        <w:tab/>
      </w:r>
      <w:r w:rsidR="00802EF2">
        <w:rPr>
          <w:rFonts w:eastAsia="MS Mincho"/>
          <w:szCs w:val="24"/>
          <w:lang w:eastAsia="ja-JP"/>
        </w:rPr>
        <w:tab/>
      </w:r>
      <w:r w:rsidR="00533FE8" w:rsidRPr="002D4615">
        <w:rPr>
          <w:rFonts w:eastAsia="MS Mincho"/>
          <w:szCs w:val="24"/>
          <w:lang w:eastAsia="ja-JP"/>
        </w:rPr>
        <w:t>60 мг/м</w:t>
      </w:r>
      <w:r w:rsidR="00533FE8" w:rsidRPr="00AF151A">
        <w:rPr>
          <w:rFonts w:eastAsia="MS Mincho"/>
          <w:szCs w:val="24"/>
          <w:vertAlign w:val="superscript"/>
          <w:lang w:eastAsia="ja-JP"/>
        </w:rPr>
        <w:t>2</w:t>
      </w:r>
      <w:r w:rsidR="004552EA">
        <w:rPr>
          <w:rFonts w:eastAsia="MS Mincho"/>
          <w:szCs w:val="24"/>
          <w:lang w:eastAsia="ja-JP"/>
        </w:rPr>
        <w:t xml:space="preserve"> внутрь </w:t>
      </w:r>
      <w:r w:rsidR="004552EA">
        <w:rPr>
          <w:rFonts w:eastAsia="MS Mincho"/>
          <w:szCs w:val="24"/>
          <w:lang w:eastAsia="ja-JP"/>
        </w:rPr>
        <w:tab/>
      </w:r>
      <w:r w:rsidR="004552EA">
        <w:rPr>
          <w:rFonts w:eastAsia="MS Mincho"/>
          <w:szCs w:val="24"/>
          <w:lang w:eastAsia="ja-JP"/>
        </w:rPr>
        <w:tab/>
      </w:r>
      <w:r w:rsidR="004552EA">
        <w:rPr>
          <w:rFonts w:eastAsia="MS Mincho"/>
          <w:szCs w:val="24"/>
          <w:lang w:eastAsia="ja-JP"/>
        </w:rPr>
        <w:tab/>
        <w:t>26–</w:t>
      </w:r>
      <w:r w:rsidR="00533FE8" w:rsidRPr="002D4615">
        <w:rPr>
          <w:rFonts w:eastAsia="MS Mincho"/>
          <w:szCs w:val="24"/>
          <w:lang w:eastAsia="ja-JP"/>
        </w:rPr>
        <w:t>46</w:t>
      </w:r>
      <w:r w:rsidR="004552EA">
        <w:rPr>
          <w:rFonts w:eastAsia="MS Mincho"/>
          <w:szCs w:val="24"/>
          <w:lang w:eastAsia="ja-JP"/>
        </w:rPr>
        <w:t>-й дни</w:t>
      </w:r>
    </w:p>
    <w:p w14:paraId="6ED5E9F9" w14:textId="77777777" w:rsidR="00533FE8" w:rsidRPr="002D4615" w:rsidRDefault="00533FE8" w:rsidP="00533FE8">
      <w:pPr>
        <w:widowControl/>
        <w:jc w:val="left"/>
        <w:rPr>
          <w:rFonts w:eastAsia="MS Mincho"/>
          <w:szCs w:val="24"/>
          <w:lang w:eastAsia="ja-JP"/>
        </w:rPr>
      </w:pPr>
      <w:r w:rsidRPr="002D4615">
        <w:rPr>
          <w:rFonts w:eastAsia="MS Mincho"/>
          <w:szCs w:val="24"/>
          <w:lang w:eastAsia="ja-JP"/>
        </w:rPr>
        <w:t>Метотрексат</w:t>
      </w:r>
      <w:r w:rsidR="00392AAF">
        <w:rPr>
          <w:rFonts w:eastAsia="MS Mincho"/>
          <w:szCs w:val="24"/>
          <w:lang w:eastAsia="ja-JP"/>
        </w:rPr>
        <w:t>**</w:t>
      </w:r>
      <w:r w:rsidRPr="002D4615">
        <w:rPr>
          <w:rFonts w:eastAsia="MS Mincho"/>
          <w:szCs w:val="24"/>
          <w:lang w:eastAsia="ja-JP"/>
        </w:rPr>
        <w:t xml:space="preserve"> </w:t>
      </w:r>
      <w:r w:rsidRPr="002D4615">
        <w:rPr>
          <w:rFonts w:eastAsia="MS Mincho"/>
          <w:szCs w:val="24"/>
          <w:lang w:eastAsia="ja-JP"/>
        </w:rPr>
        <w:tab/>
      </w:r>
      <w:r w:rsidRPr="002D4615">
        <w:rPr>
          <w:rFonts w:eastAsia="MS Mincho"/>
          <w:szCs w:val="24"/>
          <w:lang w:eastAsia="ja-JP"/>
        </w:rPr>
        <w:tab/>
      </w:r>
      <w:r w:rsidR="00AF151A">
        <w:rPr>
          <w:rFonts w:eastAsia="MS Mincho"/>
          <w:szCs w:val="24"/>
          <w:lang w:eastAsia="ja-JP"/>
        </w:rPr>
        <w:tab/>
      </w:r>
      <w:r w:rsidRPr="002D4615">
        <w:rPr>
          <w:rFonts w:eastAsia="MS Mincho"/>
          <w:szCs w:val="24"/>
          <w:lang w:eastAsia="ja-JP"/>
        </w:rPr>
        <w:t>15 мг и</w:t>
      </w:r>
      <w:r w:rsidR="00196ED3">
        <w:rPr>
          <w:rFonts w:eastAsia="MS Mincho"/>
          <w:szCs w:val="24"/>
          <w:lang w:eastAsia="ja-JP"/>
        </w:rPr>
        <w:t>н</w:t>
      </w:r>
      <w:r w:rsidRPr="002D4615">
        <w:rPr>
          <w:rFonts w:eastAsia="MS Mincho"/>
          <w:szCs w:val="24"/>
          <w:lang w:eastAsia="ja-JP"/>
        </w:rPr>
        <w:t>тратекально</w:t>
      </w:r>
      <w:r w:rsidRPr="002D4615">
        <w:rPr>
          <w:rFonts w:eastAsia="MS Mincho"/>
          <w:szCs w:val="24"/>
          <w:lang w:eastAsia="ja-JP"/>
        </w:rPr>
        <w:tab/>
      </w:r>
      <w:r w:rsidRPr="002D4615">
        <w:rPr>
          <w:rFonts w:eastAsia="MS Mincho"/>
          <w:szCs w:val="24"/>
          <w:lang w:eastAsia="ja-JP"/>
        </w:rPr>
        <w:tab/>
      </w:r>
      <w:r>
        <w:rPr>
          <w:rFonts w:eastAsia="MS Mincho"/>
          <w:szCs w:val="24"/>
          <w:lang w:eastAsia="ja-JP"/>
        </w:rPr>
        <w:t xml:space="preserve">          </w:t>
      </w:r>
      <w:r w:rsidR="00AF151A">
        <w:rPr>
          <w:rFonts w:eastAsia="MS Mincho"/>
          <w:szCs w:val="24"/>
          <w:lang w:eastAsia="ja-JP"/>
        </w:rPr>
        <w:tab/>
      </w:r>
      <w:r w:rsidRPr="002D4615">
        <w:rPr>
          <w:rFonts w:eastAsia="MS Mincho"/>
          <w:szCs w:val="24"/>
          <w:lang w:eastAsia="ja-JP"/>
        </w:rPr>
        <w:t>28, 35, 42</w:t>
      </w:r>
      <w:r w:rsidR="004552EA">
        <w:rPr>
          <w:rFonts w:eastAsia="MS Mincho"/>
          <w:szCs w:val="24"/>
          <w:lang w:eastAsia="ja-JP"/>
        </w:rPr>
        <w:t>-й дни</w:t>
      </w:r>
    </w:p>
    <w:p w14:paraId="1F7DE0AF" w14:textId="77777777" w:rsidR="00533FE8" w:rsidRPr="002D4615" w:rsidRDefault="00533FE8" w:rsidP="00533FE8">
      <w:pPr>
        <w:widowControl/>
        <w:jc w:val="left"/>
        <w:rPr>
          <w:rFonts w:eastAsia="MS Mincho"/>
          <w:szCs w:val="24"/>
          <w:lang w:eastAsia="ja-JP"/>
        </w:rPr>
      </w:pPr>
      <w:r w:rsidRPr="002D4615">
        <w:rPr>
          <w:rFonts w:eastAsia="MS Mincho"/>
          <w:szCs w:val="24"/>
          <w:lang w:eastAsia="ja-JP"/>
        </w:rPr>
        <w:t xml:space="preserve">Г-КСФ </w:t>
      </w:r>
      <w:r w:rsidRPr="002D4615">
        <w:rPr>
          <w:rFonts w:eastAsia="MS Mincho"/>
          <w:szCs w:val="24"/>
          <w:lang w:eastAsia="ja-JP"/>
        </w:rPr>
        <w:tab/>
      </w:r>
      <w:r w:rsidRPr="002D4615">
        <w:rPr>
          <w:rFonts w:eastAsia="MS Mincho"/>
          <w:szCs w:val="24"/>
          <w:lang w:eastAsia="ja-JP"/>
        </w:rPr>
        <w:tab/>
      </w:r>
      <w:r w:rsidRPr="002D4615">
        <w:rPr>
          <w:rFonts w:eastAsia="MS Mincho"/>
          <w:szCs w:val="24"/>
          <w:lang w:eastAsia="ja-JP"/>
        </w:rPr>
        <w:tab/>
      </w:r>
      <w:r w:rsidR="00802EF2">
        <w:rPr>
          <w:rFonts w:eastAsia="MS Mincho"/>
          <w:szCs w:val="24"/>
          <w:lang w:eastAsia="ja-JP"/>
        </w:rPr>
        <w:tab/>
      </w:r>
      <w:r w:rsidRPr="002D4615">
        <w:rPr>
          <w:rFonts w:eastAsia="MS Mincho"/>
          <w:szCs w:val="24"/>
          <w:lang w:eastAsia="ja-JP"/>
        </w:rPr>
        <w:t>5 мкг/кг подкожно</w:t>
      </w:r>
      <w:r w:rsidRPr="002D4615">
        <w:rPr>
          <w:rFonts w:eastAsia="MS Mincho"/>
          <w:szCs w:val="24"/>
          <w:lang w:eastAsia="ja-JP"/>
        </w:rPr>
        <w:tab/>
        <w:t xml:space="preserve"> </w:t>
      </w:r>
      <w:r w:rsidRPr="002D4615">
        <w:rPr>
          <w:rFonts w:eastAsia="MS Mincho"/>
          <w:szCs w:val="24"/>
          <w:lang w:eastAsia="ja-JP"/>
        </w:rPr>
        <w:tab/>
        <w:t xml:space="preserve">          </w:t>
      </w:r>
      <w:r>
        <w:rPr>
          <w:rFonts w:eastAsia="MS Mincho"/>
          <w:szCs w:val="24"/>
          <w:lang w:eastAsia="ja-JP"/>
        </w:rPr>
        <w:t xml:space="preserve"> </w:t>
      </w:r>
      <w:r w:rsidR="00AF151A">
        <w:rPr>
          <w:rFonts w:eastAsia="MS Mincho"/>
          <w:szCs w:val="24"/>
          <w:lang w:eastAsia="ja-JP"/>
        </w:rPr>
        <w:tab/>
      </w:r>
      <w:r w:rsidR="00781EA2">
        <w:rPr>
          <w:rFonts w:eastAsia="MS Mincho"/>
          <w:szCs w:val="24"/>
          <w:lang w:eastAsia="ja-JP"/>
        </w:rPr>
        <w:t>н</w:t>
      </w:r>
      <w:r w:rsidRPr="002D4615">
        <w:rPr>
          <w:rFonts w:eastAsia="MS Mincho"/>
          <w:szCs w:val="24"/>
          <w:lang w:eastAsia="ja-JP"/>
        </w:rPr>
        <w:t>ачиная с 26</w:t>
      </w:r>
      <w:r w:rsidR="004552EA">
        <w:rPr>
          <w:rFonts w:eastAsia="MS Mincho"/>
          <w:szCs w:val="24"/>
          <w:lang w:eastAsia="ja-JP"/>
        </w:rPr>
        <w:t>-го</w:t>
      </w:r>
      <w:r w:rsidRPr="002D4615">
        <w:rPr>
          <w:rFonts w:eastAsia="MS Mincho"/>
          <w:szCs w:val="24"/>
          <w:lang w:eastAsia="ja-JP"/>
        </w:rPr>
        <w:t xml:space="preserve"> дня</w:t>
      </w:r>
    </w:p>
    <w:p w14:paraId="3B214A5A" w14:textId="77777777" w:rsidR="00533FE8" w:rsidRPr="002D4615" w:rsidRDefault="00533FE8" w:rsidP="00533FE8">
      <w:pPr>
        <w:widowControl/>
        <w:jc w:val="left"/>
        <w:rPr>
          <w:rFonts w:eastAsia="MS Mincho"/>
          <w:szCs w:val="24"/>
          <w:lang w:eastAsia="ja-JP"/>
        </w:rPr>
      </w:pPr>
      <w:r>
        <w:rPr>
          <w:rFonts w:eastAsia="MS Mincho"/>
          <w:szCs w:val="24"/>
          <w:lang w:eastAsia="ja-JP"/>
        </w:rPr>
        <w:t>Облучение ЦНС</w:t>
      </w:r>
      <w:r>
        <w:rPr>
          <w:rFonts w:eastAsia="MS Mincho"/>
          <w:szCs w:val="24"/>
          <w:lang w:eastAsia="ja-JP"/>
        </w:rPr>
        <w:tab/>
      </w:r>
      <w:r>
        <w:rPr>
          <w:rFonts w:eastAsia="MS Mincho"/>
          <w:szCs w:val="24"/>
          <w:lang w:eastAsia="ja-JP"/>
        </w:rPr>
        <w:tab/>
      </w:r>
      <w:r w:rsidR="00802EF2">
        <w:rPr>
          <w:rFonts w:eastAsia="MS Mincho"/>
          <w:szCs w:val="24"/>
          <w:lang w:eastAsia="ja-JP"/>
        </w:rPr>
        <w:tab/>
      </w:r>
      <w:r>
        <w:rPr>
          <w:rFonts w:eastAsia="MS Mincho"/>
          <w:szCs w:val="24"/>
          <w:lang w:eastAsia="ja-JP"/>
        </w:rPr>
        <w:t xml:space="preserve">24 Гр </w:t>
      </w:r>
    </w:p>
    <w:p w14:paraId="072E420E" w14:textId="77777777" w:rsidR="00533FE8" w:rsidRPr="002D4615" w:rsidRDefault="00533FE8" w:rsidP="00533FE8">
      <w:pPr>
        <w:widowControl/>
        <w:ind w:firstLine="709"/>
        <w:rPr>
          <w:rFonts w:eastAsia="MS Mincho"/>
          <w:szCs w:val="24"/>
          <w:lang w:eastAsia="ja-JP"/>
        </w:rPr>
      </w:pPr>
      <w:r w:rsidRPr="002D4615">
        <w:rPr>
          <w:rFonts w:eastAsia="MS Mincho"/>
          <w:szCs w:val="24"/>
          <w:lang w:eastAsia="ja-JP"/>
        </w:rPr>
        <w:t>Пациентам с Т-ОЛЛ с поражением средостения в начале второй фазы индукции выполняется КТ-кон</w:t>
      </w:r>
      <w:r w:rsidR="004552EA">
        <w:rPr>
          <w:rFonts w:eastAsia="MS Mincho"/>
          <w:szCs w:val="24"/>
          <w:lang w:eastAsia="ja-JP"/>
        </w:rPr>
        <w:t>троль. При остаточной опухоли &gt;</w:t>
      </w:r>
      <w:r w:rsidRPr="002D4615">
        <w:rPr>
          <w:rFonts w:eastAsia="MS Mincho"/>
          <w:szCs w:val="24"/>
          <w:lang w:eastAsia="ja-JP"/>
        </w:rPr>
        <w:t>2 см после второй фазы индукции в программную терапию вк</w:t>
      </w:r>
      <w:r>
        <w:rPr>
          <w:rFonts w:eastAsia="MS Mincho"/>
          <w:szCs w:val="24"/>
          <w:lang w:eastAsia="ja-JP"/>
        </w:rPr>
        <w:t>лючают облучение.</w:t>
      </w:r>
    </w:p>
    <w:p w14:paraId="14A8C105" w14:textId="77777777" w:rsidR="00533FE8" w:rsidRDefault="00533FE8" w:rsidP="00533FE8">
      <w:pPr>
        <w:widowControl/>
        <w:rPr>
          <w:rFonts w:eastAsia="MS Mincho"/>
          <w:szCs w:val="24"/>
          <w:lang w:eastAsia="ja-JP"/>
        </w:rPr>
      </w:pPr>
      <w:r w:rsidRPr="002D4615">
        <w:rPr>
          <w:rFonts w:eastAsia="MS Mincho"/>
          <w:szCs w:val="24"/>
          <w:lang w:eastAsia="ja-JP"/>
        </w:rPr>
        <w:t>Оценка рем</w:t>
      </w:r>
      <w:r w:rsidR="004552EA">
        <w:rPr>
          <w:rFonts w:eastAsia="MS Mincho"/>
          <w:szCs w:val="24"/>
          <w:lang w:eastAsia="ja-JP"/>
        </w:rPr>
        <w:t xml:space="preserve">иссии: </w:t>
      </w:r>
      <w:r>
        <w:rPr>
          <w:rFonts w:eastAsia="MS Mincho"/>
          <w:szCs w:val="24"/>
          <w:lang w:eastAsia="ja-JP"/>
        </w:rPr>
        <w:t>46</w:t>
      </w:r>
      <w:r w:rsidR="004552EA">
        <w:rPr>
          <w:rFonts w:eastAsia="MS Mincho"/>
          <w:szCs w:val="24"/>
          <w:lang w:eastAsia="ja-JP"/>
        </w:rPr>
        <w:t>-й день</w:t>
      </w:r>
      <w:r>
        <w:rPr>
          <w:rFonts w:eastAsia="MS Mincho"/>
          <w:szCs w:val="24"/>
          <w:lang w:eastAsia="ja-JP"/>
        </w:rPr>
        <w:t xml:space="preserve"> (с оценкой </w:t>
      </w:r>
      <w:r w:rsidR="00AF128D">
        <w:rPr>
          <w:rFonts w:eastAsia="MS Mincho"/>
          <w:szCs w:val="24"/>
          <w:lang w:eastAsia="ja-JP"/>
        </w:rPr>
        <w:t>МОБ</w:t>
      </w:r>
      <w:r>
        <w:rPr>
          <w:rFonts w:eastAsia="MS Mincho"/>
          <w:szCs w:val="24"/>
          <w:lang w:eastAsia="ja-JP"/>
        </w:rPr>
        <w:t>).</w:t>
      </w:r>
    </w:p>
    <w:p w14:paraId="29019D8E" w14:textId="77777777" w:rsidR="00533FE8" w:rsidRPr="002D4615" w:rsidRDefault="00533FE8" w:rsidP="00533FE8">
      <w:pPr>
        <w:widowControl/>
        <w:jc w:val="left"/>
        <w:rPr>
          <w:rFonts w:eastAsia="MS Mincho"/>
          <w:b/>
          <w:bCs/>
          <w:szCs w:val="24"/>
          <w:lang w:eastAsia="ja-JP"/>
        </w:rPr>
      </w:pPr>
      <w:r w:rsidRPr="002D4615">
        <w:rPr>
          <w:rFonts w:eastAsia="MS Mincho"/>
          <w:b/>
          <w:bCs/>
          <w:szCs w:val="24"/>
          <w:lang w:eastAsia="ja-JP"/>
        </w:rPr>
        <w:t xml:space="preserve">Консолидация </w:t>
      </w:r>
      <w:r w:rsidR="004552EA" w:rsidRPr="004148AD">
        <w:rPr>
          <w:b/>
          <w:bCs/>
          <w:iCs/>
          <w:szCs w:val="24"/>
          <w:lang w:val="en-US"/>
        </w:rPr>
        <w:t>I</w:t>
      </w:r>
      <w:r w:rsidR="004552EA">
        <w:rPr>
          <w:rFonts w:eastAsia="MS Mincho"/>
          <w:b/>
          <w:bCs/>
          <w:szCs w:val="24"/>
          <w:lang w:eastAsia="ja-JP"/>
        </w:rPr>
        <w:t xml:space="preserve"> (</w:t>
      </w:r>
      <w:r w:rsidRPr="002D4615">
        <w:rPr>
          <w:rFonts w:eastAsia="MS Mincho"/>
          <w:b/>
          <w:bCs/>
          <w:szCs w:val="24"/>
          <w:lang w:eastAsia="ja-JP"/>
        </w:rPr>
        <w:t>71</w:t>
      </w:r>
      <w:r w:rsidR="004552EA">
        <w:rPr>
          <w:rFonts w:eastAsia="MS Mincho"/>
          <w:b/>
          <w:bCs/>
          <w:szCs w:val="24"/>
          <w:lang w:eastAsia="ja-JP"/>
        </w:rPr>
        <w:t>-й день</w:t>
      </w:r>
      <w:r w:rsidRPr="002D4615">
        <w:rPr>
          <w:rFonts w:eastAsia="MS Mincho"/>
          <w:b/>
          <w:bCs/>
          <w:szCs w:val="24"/>
          <w:lang w:eastAsia="ja-JP"/>
        </w:rPr>
        <w:t>)</w:t>
      </w:r>
    </w:p>
    <w:p w14:paraId="3E062807" w14:textId="77777777" w:rsidR="00533FE8" w:rsidRPr="002D4615" w:rsidRDefault="00533FE8" w:rsidP="00533FE8">
      <w:pPr>
        <w:widowControl/>
        <w:jc w:val="left"/>
        <w:rPr>
          <w:rFonts w:eastAsia="MS Mincho"/>
          <w:szCs w:val="24"/>
          <w:lang w:eastAsia="ja-JP"/>
        </w:rPr>
      </w:pPr>
      <w:r>
        <w:rPr>
          <w:rFonts w:eastAsia="MS Mincho"/>
          <w:szCs w:val="24"/>
          <w:lang w:eastAsia="ja-JP"/>
        </w:rPr>
        <w:t>Дексаметазон</w:t>
      </w:r>
      <w:r w:rsidR="006F5D03">
        <w:rPr>
          <w:rFonts w:eastAsia="MS Mincho"/>
          <w:szCs w:val="24"/>
          <w:lang w:eastAsia="ja-JP"/>
        </w:rPr>
        <w:t>**</w:t>
      </w:r>
      <w:r>
        <w:rPr>
          <w:rFonts w:eastAsia="MS Mincho"/>
          <w:szCs w:val="24"/>
          <w:lang w:eastAsia="ja-JP"/>
        </w:rPr>
        <w:t xml:space="preserve"> </w:t>
      </w:r>
      <w:r w:rsidRPr="002D4615">
        <w:rPr>
          <w:rFonts w:eastAsia="MS Mincho"/>
          <w:szCs w:val="24"/>
          <w:lang w:eastAsia="ja-JP"/>
        </w:rPr>
        <w:t xml:space="preserve"> </w:t>
      </w:r>
      <w:r w:rsidRPr="002D4615">
        <w:rPr>
          <w:rFonts w:eastAsia="MS Mincho"/>
          <w:szCs w:val="24"/>
          <w:lang w:eastAsia="ja-JP"/>
        </w:rPr>
        <w:tab/>
      </w:r>
      <w:r w:rsidRPr="002D4615">
        <w:rPr>
          <w:rFonts w:eastAsia="MS Mincho"/>
          <w:szCs w:val="24"/>
          <w:lang w:eastAsia="ja-JP"/>
        </w:rPr>
        <w:tab/>
        <w:t xml:space="preserve"> </w:t>
      </w:r>
      <w:r w:rsidR="00113194">
        <w:rPr>
          <w:rFonts w:eastAsia="MS Mincho"/>
          <w:szCs w:val="24"/>
          <w:lang w:eastAsia="ja-JP"/>
        </w:rPr>
        <w:tab/>
      </w:r>
      <w:r w:rsidRPr="002D4615">
        <w:rPr>
          <w:rFonts w:eastAsia="MS Mincho"/>
          <w:szCs w:val="24"/>
          <w:lang w:eastAsia="ja-JP"/>
        </w:rPr>
        <w:t>10 мг/м</w:t>
      </w:r>
      <w:r w:rsidR="00AF151A" w:rsidRPr="00AF151A">
        <w:rPr>
          <w:rFonts w:eastAsia="MS Mincho"/>
          <w:szCs w:val="24"/>
          <w:vertAlign w:val="superscript"/>
          <w:lang w:eastAsia="ja-JP"/>
        </w:rPr>
        <w:t>2</w:t>
      </w:r>
      <w:r w:rsidRPr="002D4615">
        <w:rPr>
          <w:rFonts w:eastAsia="MS Mincho"/>
          <w:szCs w:val="24"/>
          <w:lang w:eastAsia="ja-JP"/>
        </w:rPr>
        <w:t xml:space="preserve"> внутрь </w:t>
      </w:r>
      <w:r w:rsidRPr="002D4615">
        <w:rPr>
          <w:rFonts w:eastAsia="MS Mincho"/>
          <w:szCs w:val="24"/>
          <w:lang w:eastAsia="ja-JP"/>
        </w:rPr>
        <w:tab/>
      </w:r>
      <w:r w:rsidR="00113194">
        <w:rPr>
          <w:rFonts w:eastAsia="MS Mincho"/>
          <w:szCs w:val="24"/>
          <w:lang w:eastAsia="ja-JP"/>
        </w:rPr>
        <w:tab/>
      </w:r>
      <w:r w:rsidR="00113194">
        <w:rPr>
          <w:rFonts w:eastAsia="MS Mincho"/>
          <w:szCs w:val="24"/>
          <w:lang w:eastAsia="ja-JP"/>
        </w:rPr>
        <w:tab/>
      </w:r>
      <w:r w:rsidR="004552EA">
        <w:rPr>
          <w:rFonts w:eastAsia="MS Mincho"/>
          <w:szCs w:val="24"/>
          <w:lang w:eastAsia="ja-JP"/>
        </w:rPr>
        <w:t>1–</w:t>
      </w:r>
      <w:r w:rsidRPr="002D4615">
        <w:rPr>
          <w:rFonts w:eastAsia="MS Mincho"/>
          <w:szCs w:val="24"/>
          <w:lang w:eastAsia="ja-JP"/>
        </w:rPr>
        <w:t>5</w:t>
      </w:r>
      <w:r w:rsidR="004552EA">
        <w:rPr>
          <w:rFonts w:eastAsia="MS Mincho"/>
          <w:szCs w:val="24"/>
          <w:lang w:eastAsia="ja-JP"/>
        </w:rPr>
        <w:t>-й дни</w:t>
      </w:r>
    </w:p>
    <w:p w14:paraId="0D3A6D69" w14:textId="77777777" w:rsidR="00533FE8" w:rsidRPr="002D4615" w:rsidRDefault="0087096E" w:rsidP="00533FE8">
      <w:pPr>
        <w:widowControl/>
        <w:jc w:val="left"/>
        <w:rPr>
          <w:rFonts w:eastAsia="MS Mincho"/>
          <w:szCs w:val="24"/>
          <w:lang w:eastAsia="ja-JP"/>
        </w:rPr>
      </w:pPr>
      <w:r>
        <w:rPr>
          <w:rFonts w:eastAsia="MS Mincho"/>
          <w:szCs w:val="24"/>
          <w:lang w:eastAsia="ja-JP"/>
        </w:rPr>
        <w:t>Винкристин**</w:t>
      </w:r>
      <w:r w:rsidR="00533FE8" w:rsidRPr="002D4615">
        <w:rPr>
          <w:rFonts w:eastAsia="MS Mincho"/>
          <w:szCs w:val="24"/>
          <w:lang w:val="da-DK" w:eastAsia="ja-JP"/>
        </w:rPr>
        <w:tab/>
      </w:r>
      <w:r w:rsidR="00533FE8" w:rsidRPr="002D4615">
        <w:rPr>
          <w:rFonts w:eastAsia="MS Mincho"/>
          <w:szCs w:val="24"/>
          <w:lang w:val="da-DK" w:eastAsia="ja-JP"/>
        </w:rPr>
        <w:tab/>
        <w:t xml:space="preserve"> </w:t>
      </w:r>
      <w:r w:rsidR="00113194">
        <w:rPr>
          <w:rFonts w:eastAsia="MS Mincho"/>
          <w:szCs w:val="24"/>
          <w:lang w:val="da-DK" w:eastAsia="ja-JP"/>
        </w:rPr>
        <w:tab/>
      </w:r>
      <w:r>
        <w:rPr>
          <w:rFonts w:eastAsia="MS Mincho"/>
          <w:szCs w:val="24"/>
          <w:lang w:eastAsia="ja-JP"/>
        </w:rPr>
        <w:t>1</w:t>
      </w:r>
      <w:r w:rsidR="00533FE8" w:rsidRPr="002D4615">
        <w:rPr>
          <w:rFonts w:eastAsia="MS Mincho"/>
          <w:szCs w:val="24"/>
          <w:lang w:eastAsia="ja-JP"/>
        </w:rPr>
        <w:t xml:space="preserve"> мг</w:t>
      </w:r>
      <w:r w:rsidR="00533FE8" w:rsidRPr="002D4615">
        <w:rPr>
          <w:rFonts w:eastAsia="MS Mincho"/>
          <w:szCs w:val="24"/>
          <w:lang w:val="da-DK" w:eastAsia="ja-JP"/>
        </w:rPr>
        <w:t>/</w:t>
      </w:r>
      <w:r w:rsidR="00533FE8" w:rsidRPr="002D4615">
        <w:rPr>
          <w:rFonts w:eastAsia="MS Mincho"/>
          <w:szCs w:val="24"/>
          <w:lang w:eastAsia="ja-JP"/>
        </w:rPr>
        <w:t>м</w:t>
      </w:r>
      <w:r w:rsidR="00533FE8" w:rsidRPr="00AF151A">
        <w:rPr>
          <w:rFonts w:eastAsia="MS Mincho"/>
          <w:szCs w:val="24"/>
          <w:vertAlign w:val="superscript"/>
          <w:lang w:val="da-DK" w:eastAsia="ja-JP"/>
        </w:rPr>
        <w:t>2</w:t>
      </w:r>
      <w:r w:rsidR="00533FE8" w:rsidRPr="002D4615">
        <w:rPr>
          <w:rFonts w:eastAsia="MS Mincho"/>
          <w:szCs w:val="24"/>
          <w:lang w:val="da-DK" w:eastAsia="ja-JP"/>
        </w:rPr>
        <w:t xml:space="preserve"> </w:t>
      </w:r>
      <w:r>
        <w:rPr>
          <w:rFonts w:eastAsia="MS Mincho"/>
          <w:szCs w:val="24"/>
          <w:lang w:eastAsia="ja-JP"/>
        </w:rPr>
        <w:t>(мах 2</w:t>
      </w:r>
      <w:r w:rsidR="00533FE8" w:rsidRPr="002D4615">
        <w:rPr>
          <w:rFonts w:eastAsia="MS Mincho"/>
          <w:szCs w:val="24"/>
          <w:lang w:eastAsia="ja-JP"/>
        </w:rPr>
        <w:t xml:space="preserve"> мг) в</w:t>
      </w:r>
      <w:r w:rsidR="00533FE8" w:rsidRPr="002D4615">
        <w:rPr>
          <w:rFonts w:eastAsia="MS Mincho"/>
          <w:szCs w:val="24"/>
          <w:lang w:val="da-DK" w:eastAsia="ja-JP"/>
        </w:rPr>
        <w:t>/</w:t>
      </w:r>
      <w:r w:rsidR="00533FE8" w:rsidRPr="002D4615">
        <w:rPr>
          <w:rFonts w:eastAsia="MS Mincho"/>
          <w:szCs w:val="24"/>
          <w:lang w:eastAsia="ja-JP"/>
        </w:rPr>
        <w:t>в (болюсно)</w:t>
      </w:r>
      <w:r w:rsidR="00113194">
        <w:rPr>
          <w:rFonts w:eastAsia="MS Mincho"/>
          <w:szCs w:val="24"/>
          <w:lang w:eastAsia="ja-JP"/>
        </w:rPr>
        <w:tab/>
      </w:r>
      <w:r w:rsidR="00533FE8" w:rsidRPr="002D4615">
        <w:rPr>
          <w:rFonts w:eastAsia="MS Mincho"/>
          <w:szCs w:val="24"/>
          <w:lang w:val="da-DK" w:eastAsia="ja-JP"/>
        </w:rPr>
        <w:t xml:space="preserve"> 1</w:t>
      </w:r>
      <w:r w:rsidR="004552EA">
        <w:rPr>
          <w:rFonts w:eastAsia="MS Mincho"/>
          <w:szCs w:val="24"/>
          <w:lang w:eastAsia="ja-JP"/>
        </w:rPr>
        <w:t>-й день</w:t>
      </w:r>
      <w:r w:rsidR="00533FE8" w:rsidRPr="002D4615">
        <w:rPr>
          <w:rFonts w:eastAsia="MS Mincho"/>
          <w:szCs w:val="24"/>
          <w:lang w:eastAsia="ja-JP"/>
        </w:rPr>
        <w:t xml:space="preserve">    </w:t>
      </w:r>
      <w:r w:rsidR="00533FE8">
        <w:rPr>
          <w:rFonts w:eastAsia="MS Mincho"/>
          <w:szCs w:val="24"/>
          <w:lang w:eastAsia="ja-JP"/>
        </w:rPr>
        <w:t xml:space="preserve">                              </w:t>
      </w:r>
      <w:r w:rsidR="00533FE8" w:rsidRPr="002D4615">
        <w:rPr>
          <w:rFonts w:eastAsia="MS Mincho"/>
          <w:szCs w:val="24"/>
          <w:lang w:eastAsia="ja-JP"/>
        </w:rPr>
        <w:t>Метотрексат</w:t>
      </w:r>
      <w:r w:rsidR="00392AAF">
        <w:rPr>
          <w:rFonts w:eastAsia="MS Mincho"/>
          <w:szCs w:val="24"/>
          <w:lang w:eastAsia="ja-JP"/>
        </w:rPr>
        <w:t>**</w:t>
      </w:r>
      <w:r w:rsidR="00533FE8" w:rsidRPr="002D4615">
        <w:rPr>
          <w:rFonts w:eastAsia="MS Mincho"/>
          <w:szCs w:val="24"/>
          <w:lang w:eastAsia="ja-JP"/>
        </w:rPr>
        <w:t xml:space="preserve">             </w:t>
      </w:r>
      <w:r w:rsidR="00533FE8">
        <w:rPr>
          <w:rFonts w:eastAsia="MS Mincho"/>
          <w:szCs w:val="24"/>
          <w:lang w:eastAsia="ja-JP"/>
        </w:rPr>
        <w:t xml:space="preserve">              </w:t>
      </w:r>
      <w:r w:rsidR="00113194">
        <w:rPr>
          <w:rFonts w:eastAsia="MS Mincho"/>
          <w:szCs w:val="24"/>
          <w:lang w:eastAsia="ja-JP"/>
        </w:rPr>
        <w:tab/>
      </w:r>
      <w:r w:rsidR="00533FE8">
        <w:rPr>
          <w:rFonts w:eastAsia="MS Mincho"/>
          <w:szCs w:val="24"/>
          <w:lang w:eastAsia="ja-JP"/>
        </w:rPr>
        <w:t>1.5 г/м</w:t>
      </w:r>
      <w:r w:rsidR="00533FE8" w:rsidRPr="00AF151A">
        <w:rPr>
          <w:rFonts w:eastAsia="MS Mincho"/>
          <w:szCs w:val="24"/>
          <w:vertAlign w:val="superscript"/>
          <w:lang w:eastAsia="ja-JP"/>
        </w:rPr>
        <w:t>2</w:t>
      </w:r>
      <w:r w:rsidR="00533FE8">
        <w:rPr>
          <w:rFonts w:eastAsia="MS Mincho"/>
          <w:szCs w:val="24"/>
          <w:lang w:eastAsia="ja-JP"/>
        </w:rPr>
        <w:t xml:space="preserve"> в/в (24 ч)</w:t>
      </w:r>
      <w:r w:rsidR="00113194">
        <w:rPr>
          <w:rFonts w:eastAsia="MS Mincho"/>
          <w:szCs w:val="24"/>
          <w:lang w:eastAsia="ja-JP"/>
        </w:rPr>
        <w:tab/>
      </w:r>
      <w:r w:rsidR="00113194">
        <w:rPr>
          <w:rFonts w:eastAsia="MS Mincho"/>
          <w:szCs w:val="24"/>
          <w:lang w:eastAsia="ja-JP"/>
        </w:rPr>
        <w:tab/>
      </w:r>
      <w:r w:rsidR="00113194">
        <w:rPr>
          <w:rFonts w:eastAsia="MS Mincho"/>
          <w:szCs w:val="24"/>
          <w:lang w:eastAsia="ja-JP"/>
        </w:rPr>
        <w:tab/>
      </w:r>
      <w:r w:rsidR="00533FE8">
        <w:rPr>
          <w:rFonts w:eastAsia="MS Mincho"/>
          <w:szCs w:val="24"/>
          <w:lang w:eastAsia="ja-JP"/>
        </w:rPr>
        <w:t xml:space="preserve"> </w:t>
      </w:r>
      <w:r w:rsidR="00533FE8" w:rsidRPr="002D4615">
        <w:rPr>
          <w:rFonts w:eastAsia="MS Mincho"/>
          <w:szCs w:val="24"/>
          <w:lang w:eastAsia="ja-JP"/>
        </w:rPr>
        <w:t>1</w:t>
      </w:r>
      <w:r w:rsidR="004552EA">
        <w:rPr>
          <w:rFonts w:eastAsia="MS Mincho"/>
          <w:szCs w:val="24"/>
          <w:lang w:eastAsia="ja-JP"/>
        </w:rPr>
        <w:t>-й день</w:t>
      </w:r>
    </w:p>
    <w:p w14:paraId="158418F5" w14:textId="77777777" w:rsidR="00533FE8" w:rsidRPr="002D4615" w:rsidRDefault="00533FE8" w:rsidP="00113194">
      <w:pPr>
        <w:widowControl/>
        <w:ind w:left="720" w:firstLine="720"/>
        <w:jc w:val="left"/>
        <w:rPr>
          <w:rFonts w:eastAsia="MS Mincho"/>
          <w:szCs w:val="24"/>
          <w:lang w:eastAsia="ja-JP"/>
        </w:rPr>
      </w:pPr>
      <w:r w:rsidRPr="002D4615">
        <w:rPr>
          <w:rFonts w:eastAsia="MS Mincho"/>
          <w:i/>
          <w:szCs w:val="24"/>
          <w:lang w:eastAsia="ja-JP"/>
        </w:rPr>
        <w:t>Возраст &gt;55 л</w:t>
      </w:r>
      <w:r w:rsidR="004552EA">
        <w:rPr>
          <w:rFonts w:eastAsia="MS Mincho"/>
          <w:i/>
          <w:szCs w:val="24"/>
          <w:lang w:eastAsia="ja-JP"/>
        </w:rPr>
        <w:t>ет</w:t>
      </w:r>
      <w:r w:rsidR="00113194">
        <w:rPr>
          <w:rFonts w:eastAsia="MS Mincho"/>
          <w:i/>
          <w:szCs w:val="24"/>
          <w:lang w:eastAsia="ja-JP"/>
        </w:rPr>
        <w:t xml:space="preserve"> </w:t>
      </w:r>
      <w:r w:rsidR="00113194">
        <w:rPr>
          <w:rFonts w:eastAsia="MS Mincho"/>
          <w:i/>
          <w:szCs w:val="24"/>
          <w:lang w:eastAsia="ja-JP"/>
        </w:rPr>
        <w:tab/>
      </w:r>
      <w:r w:rsidR="004552EA">
        <w:rPr>
          <w:rFonts w:eastAsia="MS Mincho"/>
          <w:i/>
          <w:szCs w:val="24"/>
          <w:lang w:eastAsia="ja-JP"/>
        </w:rPr>
        <w:t>1,</w:t>
      </w:r>
      <w:r w:rsidRPr="002D4615">
        <w:rPr>
          <w:rFonts w:eastAsia="MS Mincho"/>
          <w:i/>
          <w:szCs w:val="24"/>
          <w:lang w:eastAsia="ja-JP"/>
        </w:rPr>
        <w:t>0 г/м</w:t>
      </w:r>
      <w:r w:rsidRPr="00AF151A">
        <w:rPr>
          <w:rFonts w:eastAsia="MS Mincho"/>
          <w:i/>
          <w:szCs w:val="24"/>
          <w:vertAlign w:val="superscript"/>
          <w:lang w:eastAsia="ja-JP"/>
        </w:rPr>
        <w:t>2</w:t>
      </w:r>
      <w:r w:rsidRPr="002D4615">
        <w:rPr>
          <w:rFonts w:eastAsia="MS Mincho"/>
          <w:i/>
          <w:szCs w:val="24"/>
          <w:lang w:eastAsia="ja-JP"/>
        </w:rPr>
        <w:t xml:space="preserve"> в/в  </w:t>
      </w:r>
      <w:r w:rsidRPr="002D4615">
        <w:rPr>
          <w:rFonts w:eastAsia="MS Mincho"/>
          <w:i/>
          <w:szCs w:val="24"/>
          <w:lang w:eastAsia="ja-JP"/>
        </w:rPr>
        <w:tab/>
      </w:r>
      <w:r w:rsidRPr="002D4615">
        <w:rPr>
          <w:rFonts w:eastAsia="MS Mincho"/>
          <w:i/>
          <w:szCs w:val="24"/>
          <w:lang w:eastAsia="ja-JP"/>
        </w:rPr>
        <w:tab/>
      </w:r>
      <w:r w:rsidRPr="002D4615">
        <w:rPr>
          <w:rFonts w:eastAsia="MS Mincho"/>
          <w:szCs w:val="24"/>
          <w:lang w:eastAsia="ja-JP"/>
        </w:rPr>
        <w:tab/>
      </w:r>
    </w:p>
    <w:p w14:paraId="07BE313F" w14:textId="77777777" w:rsidR="00533FE8" w:rsidRPr="002D4615" w:rsidRDefault="00113194" w:rsidP="00533FE8">
      <w:pPr>
        <w:widowControl/>
        <w:jc w:val="left"/>
        <w:rPr>
          <w:rFonts w:eastAsia="MS Mincho"/>
          <w:szCs w:val="24"/>
          <w:lang w:eastAsia="ja-JP"/>
        </w:rPr>
      </w:pPr>
      <w:r w:rsidRPr="00113194">
        <w:rPr>
          <w:rFonts w:eastAsia="MS Mincho"/>
          <w:szCs w:val="24"/>
          <w:lang w:eastAsia="ja-JP"/>
        </w:rPr>
        <w:t>#</w:t>
      </w:r>
      <w:r w:rsidR="00533FE8" w:rsidRPr="002D4615">
        <w:rPr>
          <w:rFonts w:eastAsia="MS Mincho"/>
          <w:szCs w:val="24"/>
          <w:lang w:eastAsia="ja-JP"/>
        </w:rPr>
        <w:t>Этопозид</w:t>
      </w:r>
      <w:r w:rsidRPr="00113194">
        <w:rPr>
          <w:rFonts w:eastAsia="MS Mincho"/>
          <w:szCs w:val="24"/>
          <w:lang w:eastAsia="ja-JP"/>
        </w:rPr>
        <w:t>**</w:t>
      </w:r>
      <w:r w:rsidR="00533FE8" w:rsidRPr="002D4615">
        <w:rPr>
          <w:rFonts w:eastAsia="MS Mincho"/>
          <w:szCs w:val="24"/>
          <w:lang w:eastAsia="ja-JP"/>
        </w:rPr>
        <w:tab/>
      </w:r>
      <w:r w:rsidR="00533FE8" w:rsidRPr="002D4615">
        <w:rPr>
          <w:rFonts w:eastAsia="MS Mincho"/>
          <w:szCs w:val="24"/>
          <w:lang w:eastAsia="ja-JP"/>
        </w:rPr>
        <w:tab/>
      </w:r>
      <w:r w:rsidR="00533FE8" w:rsidRPr="002D4615">
        <w:rPr>
          <w:rFonts w:eastAsia="MS Mincho"/>
          <w:szCs w:val="24"/>
          <w:lang w:eastAsia="ja-JP"/>
        </w:rPr>
        <w:tab/>
        <w:t xml:space="preserve"> </w:t>
      </w:r>
      <w:r w:rsidR="00D24FA8">
        <w:rPr>
          <w:rFonts w:eastAsia="MS Mincho"/>
          <w:szCs w:val="24"/>
          <w:lang w:eastAsia="ja-JP"/>
        </w:rPr>
        <w:tab/>
      </w:r>
      <w:r w:rsidR="00533FE8" w:rsidRPr="002D4615">
        <w:rPr>
          <w:rFonts w:eastAsia="MS Mincho"/>
          <w:szCs w:val="24"/>
          <w:lang w:eastAsia="ja-JP"/>
        </w:rPr>
        <w:t>250 мг/м</w:t>
      </w:r>
      <w:r w:rsidR="00533FE8" w:rsidRPr="00AF151A">
        <w:rPr>
          <w:rFonts w:eastAsia="MS Mincho"/>
          <w:szCs w:val="24"/>
          <w:vertAlign w:val="superscript"/>
          <w:lang w:eastAsia="ja-JP"/>
        </w:rPr>
        <w:t>2</w:t>
      </w:r>
      <w:r w:rsidR="00533FE8" w:rsidRPr="002D4615">
        <w:rPr>
          <w:rFonts w:eastAsia="MS Mincho"/>
          <w:szCs w:val="24"/>
          <w:lang w:eastAsia="ja-JP"/>
        </w:rPr>
        <w:t xml:space="preserve"> в/в (1 ч) </w:t>
      </w:r>
      <w:r w:rsidR="00533FE8" w:rsidRPr="002D4615">
        <w:rPr>
          <w:rFonts w:eastAsia="MS Mincho"/>
          <w:szCs w:val="24"/>
          <w:lang w:eastAsia="ja-JP"/>
        </w:rPr>
        <w:tab/>
      </w:r>
      <w:r w:rsidR="00533FE8" w:rsidRPr="002D4615">
        <w:rPr>
          <w:rFonts w:eastAsia="MS Mincho"/>
          <w:szCs w:val="24"/>
          <w:lang w:eastAsia="ja-JP"/>
        </w:rPr>
        <w:tab/>
      </w:r>
      <w:r w:rsidR="00D24FA8">
        <w:rPr>
          <w:rFonts w:eastAsia="MS Mincho"/>
          <w:szCs w:val="24"/>
          <w:lang w:eastAsia="ja-JP"/>
        </w:rPr>
        <w:tab/>
      </w:r>
      <w:r w:rsidR="00533FE8" w:rsidRPr="002D4615">
        <w:rPr>
          <w:rFonts w:eastAsia="MS Mincho"/>
          <w:szCs w:val="24"/>
          <w:lang w:eastAsia="ja-JP"/>
        </w:rPr>
        <w:t>4</w:t>
      </w:r>
      <w:r w:rsidR="004552EA">
        <w:rPr>
          <w:rFonts w:eastAsia="MS Mincho"/>
          <w:szCs w:val="24"/>
          <w:lang w:eastAsia="ja-JP"/>
        </w:rPr>
        <w:t>-й</w:t>
      </w:r>
      <w:r w:rsidR="00533FE8" w:rsidRPr="002D4615">
        <w:rPr>
          <w:rFonts w:eastAsia="MS Mincho"/>
          <w:szCs w:val="24"/>
          <w:lang w:eastAsia="ja-JP"/>
        </w:rPr>
        <w:t>, 5</w:t>
      </w:r>
      <w:r w:rsidR="004552EA">
        <w:rPr>
          <w:rFonts w:eastAsia="MS Mincho"/>
          <w:szCs w:val="24"/>
          <w:lang w:eastAsia="ja-JP"/>
        </w:rPr>
        <w:t>-й дни</w:t>
      </w:r>
    </w:p>
    <w:p w14:paraId="2673E0E1" w14:textId="77777777" w:rsidR="00533FE8" w:rsidRPr="002D4615" w:rsidRDefault="00421699" w:rsidP="00533FE8">
      <w:pPr>
        <w:widowControl/>
        <w:jc w:val="left"/>
        <w:rPr>
          <w:rFonts w:eastAsia="MS Mincho"/>
          <w:szCs w:val="24"/>
          <w:lang w:eastAsia="ja-JP"/>
        </w:rPr>
      </w:pPr>
      <w:r>
        <w:rPr>
          <w:rFonts w:eastAsia="MS Mincho"/>
          <w:szCs w:val="24"/>
          <w:lang w:eastAsia="ja-JP"/>
        </w:rPr>
        <w:t>Цитарабин**</w:t>
      </w:r>
      <w:r w:rsidR="00533FE8" w:rsidRPr="002D4615">
        <w:rPr>
          <w:rFonts w:eastAsia="MS Mincho"/>
          <w:szCs w:val="24"/>
          <w:lang w:eastAsia="ja-JP"/>
        </w:rPr>
        <w:t xml:space="preserve">                          </w:t>
      </w:r>
      <w:r w:rsidR="00533FE8">
        <w:rPr>
          <w:rFonts w:eastAsia="MS Mincho"/>
          <w:szCs w:val="24"/>
          <w:lang w:eastAsia="ja-JP"/>
        </w:rPr>
        <w:t xml:space="preserve">    </w:t>
      </w:r>
      <w:r w:rsidR="00D24FA8">
        <w:rPr>
          <w:rFonts w:eastAsia="MS Mincho"/>
          <w:szCs w:val="24"/>
          <w:lang w:eastAsia="ja-JP"/>
        </w:rPr>
        <w:tab/>
      </w:r>
      <w:r w:rsidR="00533FE8" w:rsidRPr="002D4615">
        <w:rPr>
          <w:rFonts w:eastAsia="MS Mincho"/>
          <w:szCs w:val="24"/>
          <w:lang w:eastAsia="ja-JP"/>
        </w:rPr>
        <w:t>2 г/м</w:t>
      </w:r>
      <w:r w:rsidR="00533FE8" w:rsidRPr="00AF151A">
        <w:rPr>
          <w:rFonts w:eastAsia="MS Mincho"/>
          <w:szCs w:val="24"/>
          <w:vertAlign w:val="superscript"/>
          <w:lang w:eastAsia="ja-JP"/>
        </w:rPr>
        <w:t>2</w:t>
      </w:r>
      <w:r w:rsidR="00533FE8" w:rsidRPr="002D4615">
        <w:rPr>
          <w:rFonts w:eastAsia="MS Mincho"/>
          <w:szCs w:val="24"/>
          <w:lang w:eastAsia="ja-JP"/>
        </w:rPr>
        <w:t xml:space="preserve"> 2</w:t>
      </w:r>
      <w:r w:rsidR="00AF151A">
        <w:rPr>
          <w:rFonts w:eastAsia="MS Mincho"/>
          <w:szCs w:val="24"/>
          <w:lang w:eastAsia="ja-JP"/>
        </w:rPr>
        <w:t xml:space="preserve"> раза в день </w:t>
      </w:r>
      <w:r w:rsidR="00533FE8" w:rsidRPr="002D4615">
        <w:rPr>
          <w:rFonts w:eastAsia="MS Mincho"/>
          <w:szCs w:val="24"/>
          <w:lang w:eastAsia="ja-JP"/>
        </w:rPr>
        <w:t>в/в (3 ч)</w:t>
      </w:r>
      <w:r w:rsidR="00533FE8" w:rsidRPr="002D4615">
        <w:rPr>
          <w:rFonts w:eastAsia="MS Mincho"/>
          <w:szCs w:val="24"/>
          <w:lang w:eastAsia="ja-JP"/>
        </w:rPr>
        <w:tab/>
      </w:r>
      <w:r w:rsidR="00D24FA8">
        <w:rPr>
          <w:rFonts w:eastAsia="MS Mincho"/>
          <w:szCs w:val="24"/>
          <w:lang w:eastAsia="ja-JP"/>
        </w:rPr>
        <w:tab/>
      </w:r>
      <w:r w:rsidR="00533FE8" w:rsidRPr="002D4615">
        <w:rPr>
          <w:rFonts w:eastAsia="MS Mincho"/>
          <w:szCs w:val="24"/>
          <w:lang w:eastAsia="ja-JP"/>
        </w:rPr>
        <w:t>5</w:t>
      </w:r>
      <w:r w:rsidR="004552EA">
        <w:rPr>
          <w:rFonts w:eastAsia="MS Mincho"/>
          <w:szCs w:val="24"/>
          <w:lang w:eastAsia="ja-JP"/>
        </w:rPr>
        <w:t>-й день</w:t>
      </w:r>
    </w:p>
    <w:p w14:paraId="4686EAE9" w14:textId="77777777" w:rsidR="00533FE8" w:rsidRPr="002D4615" w:rsidRDefault="00533FE8" w:rsidP="0056446F">
      <w:pPr>
        <w:widowControl/>
        <w:ind w:left="3544" w:hanging="3544"/>
        <w:jc w:val="left"/>
        <w:rPr>
          <w:rFonts w:eastAsia="MS Mincho"/>
          <w:szCs w:val="24"/>
          <w:lang w:eastAsia="ja-JP"/>
        </w:rPr>
      </w:pPr>
      <w:r w:rsidRPr="002D4615">
        <w:rPr>
          <w:rFonts w:eastAsia="MS Mincho"/>
          <w:i/>
          <w:szCs w:val="24"/>
          <w:lang w:eastAsia="ja-JP"/>
        </w:rPr>
        <w:t>Возраст &gt;55 л</w:t>
      </w:r>
      <w:r w:rsidR="004552EA">
        <w:rPr>
          <w:rFonts w:eastAsia="MS Mincho"/>
          <w:i/>
          <w:szCs w:val="24"/>
          <w:lang w:eastAsia="ja-JP"/>
        </w:rPr>
        <w:t>ет</w:t>
      </w:r>
      <w:r w:rsidRPr="002D4615">
        <w:rPr>
          <w:rFonts w:eastAsia="MS Mincho"/>
          <w:i/>
          <w:szCs w:val="24"/>
          <w:lang w:eastAsia="ja-JP"/>
        </w:rPr>
        <w:t xml:space="preserve"> </w:t>
      </w:r>
      <w:r w:rsidR="00D24FA8">
        <w:rPr>
          <w:rFonts w:eastAsia="MS Mincho"/>
          <w:i/>
          <w:szCs w:val="24"/>
          <w:lang w:eastAsia="ja-JP"/>
        </w:rPr>
        <w:t xml:space="preserve"> </w:t>
      </w:r>
      <w:r w:rsidR="00D24FA8">
        <w:rPr>
          <w:rFonts w:eastAsia="MS Mincho"/>
          <w:i/>
          <w:szCs w:val="24"/>
          <w:lang w:eastAsia="ja-JP"/>
        </w:rPr>
        <w:tab/>
      </w:r>
      <w:r w:rsidRPr="0056446F">
        <w:rPr>
          <w:rFonts w:eastAsia="MS Mincho"/>
          <w:szCs w:val="24"/>
          <w:lang w:eastAsia="ja-JP"/>
        </w:rPr>
        <w:t>1</w:t>
      </w:r>
      <w:r w:rsidR="00D24FA8" w:rsidRPr="0056446F">
        <w:rPr>
          <w:rFonts w:eastAsia="MS Mincho"/>
          <w:szCs w:val="24"/>
          <w:lang w:eastAsia="ja-JP"/>
        </w:rPr>
        <w:t xml:space="preserve"> </w:t>
      </w:r>
      <w:r w:rsidRPr="0056446F">
        <w:rPr>
          <w:rFonts w:eastAsia="MS Mincho"/>
          <w:szCs w:val="24"/>
          <w:lang w:eastAsia="ja-JP"/>
        </w:rPr>
        <w:t>г/м</w:t>
      </w:r>
      <w:r w:rsidRPr="0056446F">
        <w:rPr>
          <w:rFonts w:eastAsia="MS Mincho"/>
          <w:szCs w:val="24"/>
          <w:vertAlign w:val="superscript"/>
          <w:lang w:eastAsia="ja-JP"/>
        </w:rPr>
        <w:t>2</w:t>
      </w:r>
      <w:r w:rsidRPr="0056446F">
        <w:rPr>
          <w:rFonts w:eastAsia="MS Mincho"/>
          <w:szCs w:val="24"/>
          <w:lang w:eastAsia="ja-JP"/>
        </w:rPr>
        <w:t xml:space="preserve"> 2</w:t>
      </w:r>
      <w:r w:rsidR="00AF151A" w:rsidRPr="0056446F">
        <w:rPr>
          <w:rFonts w:eastAsia="MS Mincho"/>
          <w:szCs w:val="24"/>
          <w:lang w:eastAsia="ja-JP"/>
        </w:rPr>
        <w:t xml:space="preserve"> </w:t>
      </w:r>
      <w:r w:rsidR="00AF151A" w:rsidRPr="0056446F">
        <w:rPr>
          <w:rFonts w:eastAsia="MS Mincho"/>
          <w:iCs/>
          <w:szCs w:val="24"/>
          <w:lang w:eastAsia="ja-JP"/>
        </w:rPr>
        <w:t>раза в день</w:t>
      </w:r>
      <w:r w:rsidR="00AF151A" w:rsidRPr="0056446F">
        <w:rPr>
          <w:rFonts w:eastAsia="MS Mincho"/>
          <w:szCs w:val="24"/>
          <w:lang w:eastAsia="ja-JP"/>
        </w:rPr>
        <w:t xml:space="preserve"> </w:t>
      </w:r>
      <w:r w:rsidRPr="0056446F">
        <w:rPr>
          <w:rFonts w:eastAsia="MS Mincho"/>
          <w:szCs w:val="24"/>
          <w:lang w:eastAsia="ja-JP"/>
        </w:rPr>
        <w:t>в/в</w:t>
      </w:r>
      <w:r w:rsidRPr="002D4615">
        <w:rPr>
          <w:rFonts w:eastAsia="MS Mincho"/>
          <w:i/>
          <w:szCs w:val="24"/>
          <w:lang w:eastAsia="ja-JP"/>
        </w:rPr>
        <w:t xml:space="preserve"> </w:t>
      </w:r>
    </w:p>
    <w:p w14:paraId="40EEB7F3" w14:textId="77777777" w:rsidR="00533FE8" w:rsidRPr="002D4615" w:rsidRDefault="00533FE8" w:rsidP="00533FE8">
      <w:pPr>
        <w:widowControl/>
        <w:jc w:val="left"/>
        <w:rPr>
          <w:rFonts w:eastAsia="MS Mincho"/>
          <w:szCs w:val="24"/>
          <w:lang w:eastAsia="ja-JP"/>
        </w:rPr>
      </w:pPr>
      <w:r w:rsidRPr="002D4615">
        <w:rPr>
          <w:rFonts w:eastAsia="MS Mincho"/>
          <w:szCs w:val="24"/>
          <w:lang w:eastAsia="ja-JP"/>
        </w:rPr>
        <w:t xml:space="preserve">Г-КСФ </w:t>
      </w:r>
      <w:r w:rsidRPr="002D4615">
        <w:rPr>
          <w:rFonts w:eastAsia="MS Mincho"/>
          <w:szCs w:val="24"/>
          <w:lang w:eastAsia="ja-JP"/>
        </w:rPr>
        <w:tab/>
      </w:r>
      <w:r w:rsidRPr="002D4615">
        <w:rPr>
          <w:rFonts w:eastAsia="MS Mincho"/>
          <w:szCs w:val="24"/>
          <w:lang w:eastAsia="ja-JP"/>
        </w:rPr>
        <w:tab/>
      </w:r>
      <w:r w:rsidRPr="002D4615">
        <w:rPr>
          <w:rFonts w:eastAsia="MS Mincho"/>
          <w:szCs w:val="24"/>
          <w:lang w:eastAsia="ja-JP"/>
        </w:rPr>
        <w:tab/>
        <w:t xml:space="preserve">  </w:t>
      </w:r>
      <w:r w:rsidR="00D24FA8">
        <w:rPr>
          <w:rFonts w:eastAsia="MS Mincho"/>
          <w:szCs w:val="24"/>
          <w:lang w:eastAsia="ja-JP"/>
        </w:rPr>
        <w:tab/>
      </w:r>
      <w:r w:rsidRPr="002D4615">
        <w:rPr>
          <w:rFonts w:eastAsia="MS Mincho"/>
          <w:szCs w:val="24"/>
          <w:lang w:eastAsia="ja-JP"/>
        </w:rPr>
        <w:t xml:space="preserve">5 мкг/кг подкожно  </w:t>
      </w:r>
      <w:r w:rsidRPr="002D4615">
        <w:rPr>
          <w:rFonts w:eastAsia="MS Mincho"/>
          <w:szCs w:val="24"/>
          <w:lang w:eastAsia="ja-JP"/>
        </w:rPr>
        <w:tab/>
      </w:r>
      <w:r w:rsidRPr="002D4615">
        <w:rPr>
          <w:rFonts w:eastAsia="MS Mincho"/>
          <w:szCs w:val="24"/>
          <w:lang w:eastAsia="ja-JP"/>
        </w:rPr>
        <w:tab/>
      </w:r>
      <w:r w:rsidR="00D24FA8">
        <w:rPr>
          <w:rFonts w:eastAsia="MS Mincho"/>
          <w:szCs w:val="24"/>
          <w:lang w:eastAsia="ja-JP"/>
        </w:rPr>
        <w:tab/>
      </w:r>
      <w:r w:rsidR="001C7B83">
        <w:rPr>
          <w:rFonts w:eastAsia="MS Mincho"/>
          <w:szCs w:val="24"/>
          <w:lang w:eastAsia="ja-JP"/>
        </w:rPr>
        <w:t>н</w:t>
      </w:r>
      <w:r w:rsidRPr="002D4615">
        <w:rPr>
          <w:rFonts w:eastAsia="MS Mincho"/>
          <w:szCs w:val="24"/>
          <w:lang w:eastAsia="ja-JP"/>
        </w:rPr>
        <w:t>ачиная с 7</w:t>
      </w:r>
      <w:r w:rsidR="004552EA">
        <w:rPr>
          <w:rFonts w:eastAsia="MS Mincho"/>
          <w:szCs w:val="24"/>
          <w:lang w:eastAsia="ja-JP"/>
        </w:rPr>
        <w:t>-го</w:t>
      </w:r>
      <w:r w:rsidRPr="002D4615">
        <w:rPr>
          <w:rFonts w:eastAsia="MS Mincho"/>
          <w:szCs w:val="24"/>
          <w:lang w:eastAsia="ja-JP"/>
        </w:rPr>
        <w:t xml:space="preserve"> дня</w:t>
      </w:r>
    </w:p>
    <w:p w14:paraId="2113ADCF" w14:textId="77777777" w:rsidR="00533FE8" w:rsidRPr="002D4615" w:rsidRDefault="00720E5F" w:rsidP="00533FE8">
      <w:pPr>
        <w:widowControl/>
        <w:jc w:val="left"/>
        <w:rPr>
          <w:rFonts w:eastAsia="MS Mincho"/>
          <w:szCs w:val="24"/>
          <w:lang w:eastAsia="ja-JP"/>
        </w:rPr>
      </w:pPr>
      <w:r>
        <w:rPr>
          <w:noProof/>
          <w:szCs w:val="24"/>
        </w:rPr>
        <mc:AlternateContent>
          <mc:Choice Requires="wps">
            <w:drawing>
              <wp:anchor distT="0" distB="0" distL="114300" distR="114300" simplePos="0" relativeHeight="251667968" behindDoc="0" locked="0" layoutInCell="1" allowOverlap="1" wp14:anchorId="0BD4B834" wp14:editId="7AAB5BD5">
                <wp:simplePos x="0" y="0"/>
                <wp:positionH relativeFrom="column">
                  <wp:posOffset>2786380</wp:posOffset>
                </wp:positionH>
                <wp:positionV relativeFrom="paragraph">
                  <wp:posOffset>77470</wp:posOffset>
                </wp:positionV>
                <wp:extent cx="74930" cy="631825"/>
                <wp:effectExtent l="0" t="0" r="1270" b="3175"/>
                <wp:wrapNone/>
                <wp:docPr id="44" name="Правая фигурная скобка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4930" cy="631825"/>
                        </a:xfrm>
                        <a:prstGeom prst="rightBrace">
                          <a:avLst>
                            <a:gd name="adj1" fmla="val 39977"/>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D07BE0" id="Правая фигурная скобка 2" o:spid="_x0000_s1026" type="#_x0000_t88" style="position:absolute;margin-left:219.4pt;margin-top:6.1pt;width:5.9pt;height:49.7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" adj="1024"/>
            </w:pict>
          </mc:Fallback>
        </mc:AlternateContent>
      </w:r>
      <w:r w:rsidR="00533FE8" w:rsidRPr="002D4615">
        <w:rPr>
          <w:rFonts w:eastAsia="MS Mincho"/>
          <w:szCs w:val="24"/>
          <w:lang w:eastAsia="ja-JP"/>
        </w:rPr>
        <w:t>Метотрексат</w:t>
      </w:r>
      <w:r w:rsidR="00392AAF">
        <w:rPr>
          <w:rFonts w:eastAsia="MS Mincho"/>
          <w:szCs w:val="24"/>
          <w:lang w:eastAsia="ja-JP"/>
        </w:rPr>
        <w:t>**</w:t>
      </w:r>
      <w:r w:rsidR="00533FE8" w:rsidRPr="002D4615">
        <w:rPr>
          <w:rFonts w:eastAsia="MS Mincho"/>
          <w:szCs w:val="24"/>
          <w:lang w:eastAsia="ja-JP"/>
        </w:rPr>
        <w:t xml:space="preserve">                       </w:t>
      </w:r>
      <w:r w:rsidR="00D24FA8">
        <w:rPr>
          <w:rFonts w:eastAsia="MS Mincho"/>
          <w:szCs w:val="24"/>
          <w:lang w:eastAsia="ja-JP"/>
        </w:rPr>
        <w:tab/>
      </w:r>
      <w:r w:rsidR="00533FE8" w:rsidRPr="002D4615">
        <w:rPr>
          <w:rFonts w:eastAsia="MS Mincho"/>
          <w:szCs w:val="24"/>
          <w:lang w:eastAsia="ja-JP"/>
        </w:rPr>
        <w:t>15 мг</w:t>
      </w:r>
    </w:p>
    <w:p w14:paraId="0AFFB173" w14:textId="77777777" w:rsidR="00533FE8" w:rsidRPr="002D4615" w:rsidRDefault="00421699" w:rsidP="00533FE8">
      <w:pPr>
        <w:widowControl/>
        <w:jc w:val="left"/>
        <w:rPr>
          <w:rFonts w:eastAsia="MS Mincho"/>
          <w:szCs w:val="24"/>
          <w:lang w:eastAsia="ja-JP"/>
        </w:rPr>
      </w:pPr>
      <w:r>
        <w:rPr>
          <w:rFonts w:eastAsia="MS Mincho"/>
          <w:szCs w:val="24"/>
          <w:lang w:eastAsia="ja-JP"/>
        </w:rPr>
        <w:t>Цитарабин**</w:t>
      </w:r>
      <w:r w:rsidR="00533FE8" w:rsidRPr="002D4615">
        <w:rPr>
          <w:rFonts w:eastAsia="MS Mincho"/>
          <w:szCs w:val="24"/>
          <w:lang w:eastAsia="ja-JP"/>
        </w:rPr>
        <w:t xml:space="preserve">                          </w:t>
      </w:r>
      <w:r w:rsidR="00D24FA8">
        <w:rPr>
          <w:rFonts w:eastAsia="MS Mincho"/>
          <w:szCs w:val="24"/>
          <w:lang w:eastAsia="ja-JP"/>
        </w:rPr>
        <w:tab/>
      </w:r>
      <w:r w:rsidR="00533FE8" w:rsidRPr="002D4615">
        <w:rPr>
          <w:rFonts w:eastAsia="MS Mincho"/>
          <w:szCs w:val="24"/>
          <w:lang w:eastAsia="ja-JP"/>
        </w:rPr>
        <w:t xml:space="preserve">40 мг        интратекально    </w:t>
      </w:r>
      <w:r w:rsidR="00D24FA8">
        <w:rPr>
          <w:rFonts w:eastAsia="MS Mincho"/>
          <w:szCs w:val="24"/>
          <w:lang w:eastAsia="ja-JP"/>
        </w:rPr>
        <w:tab/>
      </w:r>
      <w:r w:rsidR="00D24FA8">
        <w:rPr>
          <w:rFonts w:eastAsia="MS Mincho"/>
          <w:szCs w:val="24"/>
          <w:lang w:eastAsia="ja-JP"/>
        </w:rPr>
        <w:tab/>
      </w:r>
      <w:r w:rsidR="00533FE8" w:rsidRPr="002D4615">
        <w:rPr>
          <w:rFonts w:eastAsia="MS Mincho"/>
          <w:szCs w:val="24"/>
          <w:lang w:eastAsia="ja-JP"/>
        </w:rPr>
        <w:t>12</w:t>
      </w:r>
      <w:r w:rsidR="004552EA">
        <w:rPr>
          <w:rFonts w:eastAsia="MS Mincho"/>
          <w:szCs w:val="24"/>
          <w:lang w:eastAsia="ja-JP"/>
        </w:rPr>
        <w:t>-й день</w:t>
      </w:r>
    </w:p>
    <w:p w14:paraId="0E4734B0" w14:textId="77777777" w:rsidR="00533FE8" w:rsidRPr="002D4615" w:rsidRDefault="00533FE8" w:rsidP="00533FE8">
      <w:pPr>
        <w:widowControl/>
        <w:jc w:val="left"/>
        <w:rPr>
          <w:rFonts w:eastAsia="MS Mincho"/>
          <w:szCs w:val="24"/>
          <w:lang w:eastAsia="ja-JP"/>
        </w:rPr>
      </w:pPr>
      <w:r>
        <w:rPr>
          <w:rFonts w:eastAsia="MS Mincho"/>
          <w:szCs w:val="24"/>
          <w:lang w:eastAsia="ja-JP"/>
        </w:rPr>
        <w:t>Дексаметазон</w:t>
      </w:r>
      <w:r w:rsidR="006F5D03">
        <w:rPr>
          <w:rFonts w:eastAsia="MS Mincho"/>
          <w:szCs w:val="24"/>
          <w:lang w:eastAsia="ja-JP"/>
        </w:rPr>
        <w:t>**</w:t>
      </w:r>
      <w:r>
        <w:rPr>
          <w:rFonts w:eastAsia="MS Mincho"/>
          <w:szCs w:val="24"/>
          <w:lang w:eastAsia="ja-JP"/>
        </w:rPr>
        <w:t xml:space="preserve">                     </w:t>
      </w:r>
      <w:r w:rsidR="00D24FA8">
        <w:rPr>
          <w:rFonts w:eastAsia="MS Mincho"/>
          <w:szCs w:val="24"/>
          <w:lang w:eastAsia="ja-JP"/>
        </w:rPr>
        <w:tab/>
      </w:r>
      <w:r w:rsidRPr="002D4615">
        <w:rPr>
          <w:rFonts w:eastAsia="MS Mincho"/>
          <w:szCs w:val="24"/>
          <w:lang w:eastAsia="ja-JP"/>
        </w:rPr>
        <w:t>4 мг</w:t>
      </w:r>
    </w:p>
    <w:p w14:paraId="5CBD0858" w14:textId="77777777" w:rsidR="00533FE8" w:rsidRPr="002D4615" w:rsidRDefault="00533FE8" w:rsidP="00533FE8">
      <w:pPr>
        <w:widowControl/>
        <w:jc w:val="left"/>
        <w:rPr>
          <w:rFonts w:eastAsia="MS Mincho"/>
          <w:szCs w:val="24"/>
          <w:lang w:eastAsia="ja-JP"/>
        </w:rPr>
      </w:pPr>
      <w:r w:rsidRPr="002D4615">
        <w:rPr>
          <w:rFonts w:eastAsia="MS Mincho"/>
          <w:szCs w:val="24"/>
          <w:lang w:eastAsia="ja-JP"/>
        </w:rPr>
        <w:tab/>
        <w:t xml:space="preserve">      </w:t>
      </w:r>
      <w:r w:rsidRPr="002D4615">
        <w:rPr>
          <w:rFonts w:eastAsia="MS Mincho"/>
          <w:szCs w:val="24"/>
          <w:lang w:eastAsia="ja-JP"/>
        </w:rPr>
        <w:tab/>
      </w:r>
    </w:p>
    <w:p w14:paraId="5AF611F3" w14:textId="77777777" w:rsidR="00533FE8" w:rsidRPr="002D4615" w:rsidRDefault="00533FE8" w:rsidP="00533FE8">
      <w:pPr>
        <w:widowControl/>
        <w:ind w:firstLine="709"/>
        <w:rPr>
          <w:rFonts w:eastAsia="MS Mincho"/>
          <w:szCs w:val="24"/>
          <w:lang w:eastAsia="ja-JP"/>
        </w:rPr>
      </w:pPr>
      <w:r w:rsidRPr="002D4615">
        <w:rPr>
          <w:rFonts w:eastAsia="MS Mincho"/>
          <w:szCs w:val="24"/>
          <w:lang w:eastAsia="ja-JP"/>
        </w:rPr>
        <w:t>Оценка рем</w:t>
      </w:r>
      <w:r w:rsidR="004552EA">
        <w:rPr>
          <w:rFonts w:eastAsia="MS Mincho"/>
          <w:szCs w:val="24"/>
          <w:lang w:eastAsia="ja-JP"/>
        </w:rPr>
        <w:t xml:space="preserve">иссии: </w:t>
      </w:r>
      <w:r>
        <w:rPr>
          <w:rFonts w:eastAsia="MS Mincho"/>
          <w:szCs w:val="24"/>
          <w:lang w:eastAsia="ja-JP"/>
        </w:rPr>
        <w:t>71</w:t>
      </w:r>
      <w:r w:rsidR="004552EA">
        <w:rPr>
          <w:rFonts w:eastAsia="MS Mincho"/>
          <w:szCs w:val="24"/>
          <w:lang w:eastAsia="ja-JP"/>
        </w:rPr>
        <w:t>-й день</w:t>
      </w:r>
      <w:r>
        <w:rPr>
          <w:rFonts w:eastAsia="MS Mincho"/>
          <w:szCs w:val="24"/>
          <w:lang w:eastAsia="ja-JP"/>
        </w:rPr>
        <w:t xml:space="preserve"> (с оценкой </w:t>
      </w:r>
      <w:r w:rsidR="00AF128D">
        <w:rPr>
          <w:rFonts w:eastAsia="MS Mincho"/>
          <w:szCs w:val="24"/>
          <w:lang w:eastAsia="ja-JP"/>
        </w:rPr>
        <w:t>МОБ</w:t>
      </w:r>
      <w:r>
        <w:rPr>
          <w:rFonts w:eastAsia="MS Mincho"/>
          <w:szCs w:val="24"/>
          <w:lang w:eastAsia="ja-JP"/>
        </w:rPr>
        <w:t>).</w:t>
      </w:r>
    </w:p>
    <w:p w14:paraId="2D1B8C64" w14:textId="77777777" w:rsidR="00533FE8" w:rsidRPr="002D4615" w:rsidRDefault="00533FE8" w:rsidP="00533FE8">
      <w:pPr>
        <w:widowControl/>
        <w:ind w:firstLine="709"/>
        <w:rPr>
          <w:rFonts w:eastAsia="MS Mincho"/>
          <w:szCs w:val="24"/>
          <w:lang w:eastAsia="ja-JP"/>
        </w:rPr>
      </w:pPr>
      <w:r w:rsidRPr="002D4615">
        <w:rPr>
          <w:rFonts w:eastAsia="MS Mincho"/>
          <w:szCs w:val="24"/>
          <w:lang w:eastAsia="ja-JP"/>
        </w:rPr>
        <w:t>Далее проводится мобилизация и сбор СКК всем пациентам стандартного риска и всем пациентам высокого и очень высокого групп рис</w:t>
      </w:r>
      <w:r>
        <w:rPr>
          <w:rFonts w:eastAsia="MS Mincho"/>
          <w:szCs w:val="24"/>
          <w:lang w:eastAsia="ja-JP"/>
        </w:rPr>
        <w:t>ка, у которых нет донора.</w:t>
      </w:r>
    </w:p>
    <w:p w14:paraId="14E5AE80" w14:textId="77777777" w:rsidR="00533FE8" w:rsidRDefault="00533FE8" w:rsidP="00533FE8">
      <w:pPr>
        <w:widowControl/>
        <w:ind w:firstLine="709"/>
        <w:rPr>
          <w:rFonts w:eastAsia="MS Mincho"/>
          <w:szCs w:val="24"/>
          <w:lang w:eastAsia="ja-JP"/>
        </w:rPr>
      </w:pPr>
      <w:r w:rsidRPr="002D4615">
        <w:rPr>
          <w:rFonts w:eastAsia="MS Mincho"/>
          <w:szCs w:val="24"/>
          <w:lang w:eastAsia="ja-JP"/>
        </w:rPr>
        <w:lastRenderedPageBreak/>
        <w:t>Схема дальнейшего лечения зависит от группы риска,</w:t>
      </w:r>
      <w:r>
        <w:rPr>
          <w:rFonts w:eastAsia="MS Mincho"/>
          <w:szCs w:val="24"/>
          <w:lang w:eastAsia="ja-JP"/>
        </w:rPr>
        <w:t xml:space="preserve"> к которой принадлежит пациент.</w:t>
      </w:r>
    </w:p>
    <w:p w14:paraId="4A6413A1" w14:textId="77777777" w:rsidR="004552EA" w:rsidRPr="002D4615" w:rsidRDefault="004552EA" w:rsidP="00533FE8">
      <w:pPr>
        <w:widowControl/>
        <w:ind w:firstLine="709"/>
        <w:rPr>
          <w:rFonts w:eastAsia="MS Mincho"/>
          <w:szCs w:val="24"/>
          <w:lang w:eastAsia="ja-JP"/>
        </w:rPr>
      </w:pPr>
    </w:p>
    <w:p w14:paraId="7C51EAFD" w14:textId="77777777" w:rsidR="00533FE8" w:rsidRPr="004552EA" w:rsidRDefault="00533FE8" w:rsidP="00533FE8">
      <w:pPr>
        <w:widowControl/>
        <w:rPr>
          <w:rFonts w:eastAsia="MS Mincho"/>
          <w:b/>
          <w:szCs w:val="24"/>
          <w:lang w:eastAsia="ja-JP"/>
        </w:rPr>
      </w:pPr>
      <w:r w:rsidRPr="004552EA">
        <w:rPr>
          <w:rFonts w:eastAsia="MS Mincho"/>
          <w:b/>
          <w:szCs w:val="24"/>
          <w:lang w:eastAsia="ja-JP"/>
        </w:rPr>
        <w:t>Для группы стандартного риска:</w:t>
      </w:r>
    </w:p>
    <w:p w14:paraId="68F23561" w14:textId="6EFB8F2C" w:rsidR="002D62BD" w:rsidRPr="002D62BD" w:rsidRDefault="002D62BD" w:rsidP="002D62BD">
      <w:pPr>
        <w:widowControl/>
        <w:jc w:val="left"/>
        <w:rPr>
          <w:rFonts w:eastAsia="MS Mincho"/>
          <w:b/>
          <w:bCs/>
          <w:szCs w:val="24"/>
          <w:lang w:eastAsia="ja-JP"/>
        </w:rPr>
      </w:pPr>
      <w:r>
        <w:rPr>
          <w:rFonts w:eastAsia="MS Mincho"/>
          <w:b/>
          <w:bCs/>
          <w:szCs w:val="24"/>
          <w:lang w:eastAsia="ja-JP"/>
        </w:rPr>
        <w:t>Консолидация вторая (16</w:t>
      </w:r>
      <w:r w:rsidRPr="00D76E91">
        <w:rPr>
          <w:rFonts w:eastAsia="MS Mincho"/>
          <w:b/>
          <w:bCs/>
          <w:szCs w:val="24"/>
          <w:lang w:eastAsia="ja-JP"/>
        </w:rPr>
        <w:t>-</w:t>
      </w:r>
      <w:r>
        <w:rPr>
          <w:rFonts w:eastAsia="MS Mincho"/>
          <w:b/>
          <w:bCs/>
          <w:szCs w:val="24"/>
          <w:lang w:eastAsia="ja-JP"/>
        </w:rPr>
        <w:t>я неделя)</w:t>
      </w:r>
      <w:r w:rsidRPr="005A5554">
        <w:rPr>
          <w:rFonts w:eastAsia="MS Mincho"/>
          <w:szCs w:val="24"/>
          <w:lang w:val="da-DK" w:eastAsia="ja-JP"/>
        </w:rPr>
        <w:tab/>
      </w:r>
      <w:r w:rsidRPr="005A5554">
        <w:rPr>
          <w:rFonts w:eastAsia="MS Mincho"/>
          <w:szCs w:val="24"/>
          <w:lang w:val="da-DK" w:eastAsia="ja-JP"/>
        </w:rPr>
        <w:tab/>
      </w:r>
    </w:p>
    <w:p w14:paraId="2EF6B23D" w14:textId="1C8FCCE5" w:rsidR="002D62BD" w:rsidRPr="005A5554" w:rsidRDefault="002D62BD" w:rsidP="002D62BD">
      <w:pPr>
        <w:widowControl/>
        <w:jc w:val="left"/>
        <w:rPr>
          <w:rFonts w:eastAsia="MS Mincho"/>
          <w:szCs w:val="24"/>
          <w:lang w:eastAsia="ja-JP"/>
        </w:rPr>
      </w:pPr>
      <w:r w:rsidRPr="005A5554">
        <w:rPr>
          <w:rFonts w:eastAsia="MS Mincho"/>
          <w:szCs w:val="24"/>
          <w:lang w:eastAsia="ja-JP"/>
        </w:rPr>
        <w:t>Метотрексат</w:t>
      </w:r>
      <w:r w:rsidRPr="002D62BD">
        <w:rPr>
          <w:rFonts w:eastAsia="MS Mincho"/>
          <w:szCs w:val="24"/>
          <w:lang w:eastAsia="ja-JP"/>
        </w:rPr>
        <w:t>**</w:t>
      </w:r>
      <w:r w:rsidRPr="005A5554">
        <w:rPr>
          <w:rFonts w:eastAsia="MS Mincho"/>
          <w:szCs w:val="24"/>
          <w:lang w:eastAsia="ja-JP"/>
        </w:rPr>
        <w:t xml:space="preserve">                       1.5г/м2 в/в (24 ч) </w:t>
      </w:r>
      <w:r w:rsidRPr="005A5554">
        <w:rPr>
          <w:rFonts w:eastAsia="MS Mincho"/>
          <w:szCs w:val="24"/>
          <w:lang w:eastAsia="ja-JP"/>
        </w:rPr>
        <w:tab/>
      </w:r>
      <w:r w:rsidRPr="005A5554">
        <w:rPr>
          <w:rFonts w:eastAsia="MS Mincho"/>
          <w:szCs w:val="24"/>
          <w:lang w:eastAsia="ja-JP"/>
        </w:rPr>
        <w:tab/>
      </w:r>
      <w:r w:rsidRPr="005A5554">
        <w:rPr>
          <w:rFonts w:eastAsia="MS Mincho"/>
          <w:szCs w:val="24"/>
          <w:lang w:eastAsia="ja-JP"/>
        </w:rPr>
        <w:tab/>
        <w:t>День 1,15</w:t>
      </w:r>
    </w:p>
    <w:p w14:paraId="4920AC7F" w14:textId="77777777" w:rsidR="002D62BD" w:rsidRPr="009F500F" w:rsidRDefault="002D62BD" w:rsidP="002D62BD">
      <w:pPr>
        <w:widowControl/>
        <w:ind w:firstLine="720"/>
        <w:jc w:val="left"/>
        <w:rPr>
          <w:rFonts w:eastAsia="MS Mincho"/>
          <w:szCs w:val="24"/>
          <w:lang w:eastAsia="ja-JP"/>
        </w:rPr>
      </w:pPr>
      <w:r w:rsidRPr="009F500F">
        <w:rPr>
          <w:rFonts w:eastAsia="MS Mincho"/>
          <w:i/>
          <w:szCs w:val="24"/>
          <w:lang w:eastAsia="ja-JP"/>
        </w:rPr>
        <w:t xml:space="preserve">Возраст &gt;55 л  </w:t>
      </w:r>
      <w:r w:rsidRPr="009F500F">
        <w:rPr>
          <w:rFonts w:eastAsia="MS Mincho"/>
          <w:i/>
          <w:szCs w:val="24"/>
          <w:lang w:eastAsia="ja-JP"/>
        </w:rPr>
        <w:tab/>
        <w:t xml:space="preserve"> 1.0 г/м2</w:t>
      </w:r>
      <w:r w:rsidRPr="009F500F">
        <w:rPr>
          <w:rFonts w:eastAsia="MS Mincho"/>
          <w:szCs w:val="24"/>
          <w:lang w:eastAsia="ja-JP"/>
        </w:rPr>
        <w:t xml:space="preserve"> </w:t>
      </w:r>
      <w:r w:rsidRPr="009F500F">
        <w:rPr>
          <w:rFonts w:eastAsia="MS Mincho"/>
          <w:i/>
          <w:szCs w:val="24"/>
          <w:lang w:eastAsia="ja-JP"/>
        </w:rPr>
        <w:t xml:space="preserve">в/в </w:t>
      </w:r>
      <w:r w:rsidRPr="009F500F">
        <w:rPr>
          <w:rFonts w:eastAsia="MS Mincho"/>
          <w:i/>
          <w:szCs w:val="24"/>
          <w:lang w:eastAsia="ja-JP"/>
        </w:rPr>
        <w:tab/>
      </w:r>
      <w:r w:rsidRPr="009F500F">
        <w:rPr>
          <w:rFonts w:eastAsia="MS Mincho"/>
          <w:i/>
          <w:szCs w:val="24"/>
          <w:lang w:eastAsia="ja-JP"/>
        </w:rPr>
        <w:tab/>
      </w:r>
      <w:r w:rsidRPr="009F500F">
        <w:rPr>
          <w:rFonts w:eastAsia="MS Mincho"/>
          <w:szCs w:val="24"/>
          <w:lang w:eastAsia="ja-JP"/>
        </w:rPr>
        <w:tab/>
      </w:r>
    </w:p>
    <w:p w14:paraId="058651EB" w14:textId="53B425FC" w:rsidR="002D62BD" w:rsidRPr="009F500F" w:rsidRDefault="002D62BD" w:rsidP="002D62BD">
      <w:pPr>
        <w:widowControl/>
        <w:jc w:val="left"/>
        <w:rPr>
          <w:rFonts w:eastAsia="MS Mincho"/>
          <w:szCs w:val="24"/>
          <w:lang w:eastAsia="ja-JP"/>
        </w:rPr>
      </w:pPr>
      <w:r w:rsidRPr="009F500F">
        <w:rPr>
          <w:rFonts w:eastAsia="MS Mincho"/>
          <w:szCs w:val="24"/>
          <w:lang w:eastAsia="ja-JP"/>
        </w:rPr>
        <w:t>Пэгаспарагиназа**</w:t>
      </w:r>
      <w:r w:rsidRPr="009F500F">
        <w:rPr>
          <w:rFonts w:eastAsia="MS Mincho"/>
          <w:szCs w:val="24"/>
          <w:lang w:eastAsia="ja-JP"/>
        </w:rPr>
        <w:tab/>
      </w:r>
      <w:r w:rsidRPr="009F500F">
        <w:rPr>
          <w:rFonts w:eastAsia="MS Mincho"/>
          <w:szCs w:val="24"/>
          <w:lang w:eastAsia="ja-JP"/>
        </w:rPr>
        <w:tab/>
        <w:t xml:space="preserve"> 500 ед/м2 в/в (2 ч) </w:t>
      </w:r>
      <w:r w:rsidRPr="009F500F">
        <w:rPr>
          <w:rFonts w:eastAsia="MS Mincho"/>
          <w:szCs w:val="24"/>
          <w:lang w:eastAsia="ja-JP"/>
        </w:rPr>
        <w:tab/>
      </w:r>
      <w:r w:rsidRPr="009F500F">
        <w:rPr>
          <w:rFonts w:eastAsia="MS Mincho"/>
          <w:szCs w:val="24"/>
          <w:lang w:eastAsia="ja-JP"/>
        </w:rPr>
        <w:tab/>
        <w:t>Дни 2, 16</w:t>
      </w:r>
    </w:p>
    <w:p w14:paraId="04F34FC5" w14:textId="0D52B557" w:rsidR="002D62BD" w:rsidRPr="005A5554" w:rsidRDefault="002D62BD" w:rsidP="002D62BD">
      <w:pPr>
        <w:widowControl/>
        <w:jc w:val="left"/>
        <w:rPr>
          <w:rFonts w:eastAsia="MS Mincho"/>
          <w:szCs w:val="24"/>
          <w:lang w:eastAsia="ja-JP"/>
        </w:rPr>
      </w:pPr>
      <w:r w:rsidRPr="005A5554">
        <w:rPr>
          <w:rFonts w:eastAsia="MS Mincho"/>
          <w:szCs w:val="24"/>
          <w:lang w:eastAsia="ja-JP"/>
        </w:rPr>
        <w:t>6-меркаптопурин</w:t>
      </w:r>
      <w:r w:rsidRPr="002D62BD">
        <w:rPr>
          <w:rFonts w:eastAsia="MS Mincho"/>
          <w:szCs w:val="24"/>
          <w:lang w:eastAsia="ja-JP"/>
        </w:rPr>
        <w:t>**</w:t>
      </w:r>
      <w:r w:rsidRPr="005A5554">
        <w:rPr>
          <w:rFonts w:eastAsia="MS Mincho"/>
          <w:szCs w:val="24"/>
          <w:lang w:eastAsia="ja-JP"/>
        </w:rPr>
        <w:tab/>
      </w:r>
      <w:r w:rsidRPr="005A5554">
        <w:rPr>
          <w:rFonts w:eastAsia="MS Mincho"/>
          <w:szCs w:val="24"/>
          <w:lang w:eastAsia="ja-JP"/>
        </w:rPr>
        <w:tab/>
        <w:t xml:space="preserve"> 60 мг/м2 внутрь</w:t>
      </w:r>
      <w:r w:rsidRPr="005A5554">
        <w:rPr>
          <w:rFonts w:eastAsia="MS Mincho"/>
          <w:szCs w:val="24"/>
          <w:lang w:eastAsia="ja-JP"/>
        </w:rPr>
        <w:tab/>
        <w:t xml:space="preserve">    </w:t>
      </w:r>
      <w:r>
        <w:rPr>
          <w:rFonts w:eastAsia="MS Mincho"/>
          <w:szCs w:val="24"/>
          <w:lang w:eastAsia="ja-JP"/>
        </w:rPr>
        <w:t xml:space="preserve">                 Дни 1-7, 15-21</w:t>
      </w:r>
    </w:p>
    <w:p w14:paraId="0547F0D7" w14:textId="77777777" w:rsidR="002D62BD" w:rsidRPr="005A5554" w:rsidRDefault="002D62BD" w:rsidP="002D62BD">
      <w:pPr>
        <w:widowControl/>
        <w:rPr>
          <w:rFonts w:eastAsia="MS Mincho"/>
          <w:szCs w:val="24"/>
          <w:lang w:eastAsia="ja-JP"/>
        </w:rPr>
      </w:pPr>
      <w:r w:rsidRPr="005A5554">
        <w:rPr>
          <w:rFonts w:eastAsia="MS Mincho"/>
          <w:szCs w:val="24"/>
          <w:lang w:eastAsia="ja-JP"/>
        </w:rPr>
        <w:t>Оценка ремиссии: неделя 16 (с оценкой МРБ).</w:t>
      </w:r>
    </w:p>
    <w:p w14:paraId="0A3BA7DB" w14:textId="77777777" w:rsidR="002D62BD" w:rsidRPr="002D4615" w:rsidRDefault="002D62BD" w:rsidP="00533FE8">
      <w:pPr>
        <w:widowControl/>
        <w:rPr>
          <w:rFonts w:eastAsia="MS Mincho"/>
          <w:szCs w:val="24"/>
          <w:lang w:eastAsia="ja-JP"/>
        </w:rPr>
      </w:pPr>
    </w:p>
    <w:p w14:paraId="111DD2A8" w14:textId="77777777" w:rsidR="00533FE8" w:rsidRPr="002D4615" w:rsidRDefault="004148AD" w:rsidP="00533FE8">
      <w:pPr>
        <w:widowControl/>
        <w:jc w:val="left"/>
        <w:rPr>
          <w:rFonts w:eastAsia="MS Mincho"/>
          <w:b/>
          <w:bCs/>
          <w:szCs w:val="24"/>
          <w:lang w:eastAsia="ja-JP"/>
        </w:rPr>
      </w:pPr>
      <w:r>
        <w:rPr>
          <w:rFonts w:eastAsia="MS Mincho"/>
          <w:b/>
          <w:bCs/>
          <w:szCs w:val="24"/>
          <w:lang w:eastAsia="ja-JP"/>
        </w:rPr>
        <w:t xml:space="preserve">Реиндукция </w:t>
      </w:r>
      <w:r>
        <w:rPr>
          <w:rFonts w:eastAsia="MS Mincho"/>
          <w:b/>
          <w:bCs/>
          <w:szCs w:val="24"/>
          <w:lang w:val="en-US" w:eastAsia="ja-JP"/>
        </w:rPr>
        <w:t>I</w:t>
      </w:r>
      <w:r>
        <w:rPr>
          <w:rFonts w:eastAsia="MS Mincho"/>
          <w:b/>
          <w:bCs/>
          <w:szCs w:val="24"/>
          <w:lang w:eastAsia="ja-JP"/>
        </w:rPr>
        <w:t xml:space="preserve"> (</w:t>
      </w:r>
      <w:r w:rsidR="00533FE8">
        <w:rPr>
          <w:rFonts w:eastAsia="MS Mincho"/>
          <w:b/>
          <w:bCs/>
          <w:szCs w:val="24"/>
          <w:lang w:eastAsia="ja-JP"/>
        </w:rPr>
        <w:t>22</w:t>
      </w:r>
      <w:r>
        <w:rPr>
          <w:rFonts w:eastAsia="MS Mincho"/>
          <w:b/>
          <w:bCs/>
          <w:szCs w:val="24"/>
          <w:lang w:eastAsia="ja-JP"/>
        </w:rPr>
        <w:t>-я неделя</w:t>
      </w:r>
      <w:r w:rsidR="00533FE8">
        <w:rPr>
          <w:rFonts w:eastAsia="MS Mincho"/>
          <w:b/>
          <w:bCs/>
          <w:szCs w:val="24"/>
          <w:lang w:eastAsia="ja-JP"/>
        </w:rPr>
        <w:t>)</w:t>
      </w:r>
    </w:p>
    <w:p w14:paraId="4027293C" w14:textId="77777777" w:rsidR="00533FE8" w:rsidRPr="002D4615" w:rsidRDefault="00533FE8" w:rsidP="00533FE8">
      <w:pPr>
        <w:widowControl/>
        <w:jc w:val="left"/>
        <w:rPr>
          <w:rFonts w:eastAsia="MS Mincho"/>
          <w:szCs w:val="24"/>
          <w:lang w:eastAsia="ja-JP"/>
        </w:rPr>
      </w:pPr>
      <w:r>
        <w:rPr>
          <w:rFonts w:eastAsia="MS Mincho"/>
          <w:szCs w:val="24"/>
          <w:lang w:eastAsia="ja-JP"/>
        </w:rPr>
        <w:t>Преднизолон</w:t>
      </w:r>
      <w:r w:rsidR="00D24FA8" w:rsidRPr="00D24FA8">
        <w:rPr>
          <w:rFonts w:eastAsia="MS Mincho"/>
          <w:szCs w:val="24"/>
          <w:lang w:eastAsia="ja-JP"/>
        </w:rPr>
        <w:t>**</w:t>
      </w:r>
      <w:r>
        <w:rPr>
          <w:rFonts w:eastAsia="MS Mincho"/>
          <w:szCs w:val="24"/>
          <w:lang w:eastAsia="ja-JP"/>
        </w:rPr>
        <w:t xml:space="preserve">   </w:t>
      </w:r>
      <w:r w:rsidRPr="002D4615">
        <w:rPr>
          <w:rFonts w:eastAsia="MS Mincho"/>
          <w:szCs w:val="24"/>
          <w:lang w:eastAsia="ja-JP"/>
        </w:rPr>
        <w:t xml:space="preserve">                       </w:t>
      </w:r>
      <w:r>
        <w:rPr>
          <w:rFonts w:eastAsia="MS Mincho"/>
          <w:szCs w:val="24"/>
          <w:lang w:eastAsia="ja-JP"/>
        </w:rPr>
        <w:t xml:space="preserve"> </w:t>
      </w:r>
      <w:r w:rsidR="00D24FA8">
        <w:rPr>
          <w:rFonts w:eastAsia="MS Mincho"/>
          <w:szCs w:val="24"/>
          <w:lang w:eastAsia="ja-JP"/>
        </w:rPr>
        <w:tab/>
      </w:r>
      <w:r w:rsidRPr="002D4615">
        <w:rPr>
          <w:rFonts w:eastAsia="MS Mincho"/>
          <w:szCs w:val="24"/>
          <w:lang w:eastAsia="ja-JP"/>
        </w:rPr>
        <w:t>20</w:t>
      </w:r>
      <w:r w:rsidR="00D24FA8" w:rsidRPr="00D24FA8">
        <w:rPr>
          <w:rFonts w:eastAsia="MS Mincho"/>
          <w:szCs w:val="24"/>
          <w:lang w:eastAsia="ja-JP"/>
        </w:rPr>
        <w:t xml:space="preserve"> </w:t>
      </w:r>
      <w:r w:rsidRPr="002D4615">
        <w:rPr>
          <w:rFonts w:eastAsia="MS Mincho"/>
          <w:szCs w:val="24"/>
          <w:lang w:eastAsia="ja-JP"/>
        </w:rPr>
        <w:t>мг/м</w:t>
      </w:r>
      <w:r w:rsidRPr="00AF151A">
        <w:rPr>
          <w:rFonts w:eastAsia="MS Mincho"/>
          <w:szCs w:val="24"/>
          <w:vertAlign w:val="superscript"/>
          <w:lang w:eastAsia="ja-JP"/>
        </w:rPr>
        <w:t>2</w:t>
      </w:r>
      <w:r w:rsidRPr="002D4615">
        <w:rPr>
          <w:rFonts w:eastAsia="MS Mincho"/>
          <w:szCs w:val="24"/>
          <w:lang w:eastAsia="ja-JP"/>
        </w:rPr>
        <w:t xml:space="preserve"> в/в 3 рвд </w:t>
      </w:r>
      <w:r w:rsidRPr="002D4615">
        <w:rPr>
          <w:rFonts w:eastAsia="MS Mincho"/>
          <w:szCs w:val="24"/>
          <w:lang w:eastAsia="ja-JP"/>
        </w:rPr>
        <w:tab/>
      </w:r>
      <w:r w:rsidR="00D24FA8">
        <w:rPr>
          <w:rFonts w:eastAsia="MS Mincho"/>
          <w:szCs w:val="24"/>
          <w:lang w:eastAsia="ja-JP"/>
        </w:rPr>
        <w:tab/>
      </w:r>
      <w:r w:rsidR="00D24FA8">
        <w:rPr>
          <w:rFonts w:eastAsia="MS Mincho"/>
          <w:szCs w:val="24"/>
          <w:lang w:eastAsia="ja-JP"/>
        </w:rPr>
        <w:tab/>
      </w:r>
      <w:r w:rsidR="004148AD">
        <w:rPr>
          <w:rFonts w:eastAsia="MS Mincho"/>
          <w:szCs w:val="24"/>
          <w:lang w:eastAsia="ja-JP"/>
        </w:rPr>
        <w:t>1–</w:t>
      </w:r>
      <w:r w:rsidRPr="002D4615">
        <w:rPr>
          <w:rFonts w:eastAsia="MS Mincho"/>
          <w:szCs w:val="24"/>
          <w:lang w:eastAsia="ja-JP"/>
        </w:rPr>
        <w:t>14</w:t>
      </w:r>
      <w:r w:rsidR="004148AD">
        <w:rPr>
          <w:rFonts w:eastAsia="MS Mincho"/>
          <w:szCs w:val="24"/>
          <w:lang w:eastAsia="ja-JP"/>
        </w:rPr>
        <w:t>-й дни</w:t>
      </w:r>
    </w:p>
    <w:p w14:paraId="3965B119" w14:textId="77777777" w:rsidR="00533FE8" w:rsidRPr="002D4615" w:rsidRDefault="00982DD0" w:rsidP="00533FE8">
      <w:pPr>
        <w:widowControl/>
        <w:jc w:val="left"/>
        <w:rPr>
          <w:rFonts w:eastAsia="MS Mincho"/>
          <w:szCs w:val="24"/>
          <w:lang w:eastAsia="ja-JP"/>
        </w:rPr>
      </w:pPr>
      <w:r>
        <w:rPr>
          <w:rFonts w:eastAsia="MS Mincho"/>
          <w:szCs w:val="24"/>
          <w:lang w:eastAsia="ja-JP"/>
        </w:rPr>
        <w:t>Винкристин**</w:t>
      </w:r>
      <w:r w:rsidR="00533FE8" w:rsidRPr="002D4615">
        <w:rPr>
          <w:rFonts w:eastAsia="MS Mincho"/>
          <w:szCs w:val="24"/>
          <w:lang w:eastAsia="ja-JP"/>
        </w:rPr>
        <w:t xml:space="preserve">                            </w:t>
      </w:r>
      <w:r w:rsidR="00533FE8">
        <w:rPr>
          <w:rFonts w:eastAsia="MS Mincho"/>
          <w:szCs w:val="24"/>
          <w:lang w:eastAsia="ja-JP"/>
        </w:rPr>
        <w:t xml:space="preserve">     </w:t>
      </w:r>
      <w:r w:rsidR="00D24FA8">
        <w:rPr>
          <w:rFonts w:eastAsia="MS Mincho"/>
          <w:szCs w:val="24"/>
          <w:lang w:eastAsia="ja-JP"/>
        </w:rPr>
        <w:tab/>
      </w:r>
      <w:r>
        <w:rPr>
          <w:rFonts w:eastAsia="MS Mincho"/>
          <w:szCs w:val="24"/>
          <w:lang w:eastAsia="ja-JP"/>
        </w:rPr>
        <w:t>1</w:t>
      </w:r>
      <w:r w:rsidR="00533FE8" w:rsidRPr="002D4615">
        <w:rPr>
          <w:rFonts w:eastAsia="MS Mincho"/>
          <w:szCs w:val="24"/>
          <w:lang w:eastAsia="ja-JP"/>
        </w:rPr>
        <w:t xml:space="preserve"> мг/м</w:t>
      </w:r>
      <w:r w:rsidR="00533FE8" w:rsidRPr="00AF151A">
        <w:rPr>
          <w:rFonts w:eastAsia="MS Mincho"/>
          <w:szCs w:val="24"/>
          <w:vertAlign w:val="superscript"/>
          <w:lang w:eastAsia="ja-JP"/>
        </w:rPr>
        <w:t>2</w:t>
      </w:r>
      <w:r w:rsidR="00533FE8" w:rsidRPr="002D4615">
        <w:rPr>
          <w:rFonts w:eastAsia="MS Mincho"/>
          <w:szCs w:val="24"/>
          <w:lang w:eastAsia="ja-JP"/>
        </w:rPr>
        <w:t xml:space="preserve"> в/в (болюсно)</w:t>
      </w:r>
      <w:r w:rsidR="00D24FA8">
        <w:rPr>
          <w:rFonts w:eastAsia="MS Mincho"/>
          <w:szCs w:val="24"/>
          <w:lang w:eastAsia="ja-JP"/>
        </w:rPr>
        <w:tab/>
      </w:r>
      <w:r w:rsidR="00D24FA8">
        <w:rPr>
          <w:rFonts w:eastAsia="MS Mincho"/>
          <w:szCs w:val="24"/>
          <w:lang w:eastAsia="ja-JP"/>
        </w:rPr>
        <w:tab/>
      </w:r>
      <w:r w:rsidR="004148AD">
        <w:rPr>
          <w:rFonts w:eastAsia="MS Mincho"/>
          <w:szCs w:val="24"/>
          <w:lang w:eastAsia="ja-JP"/>
        </w:rPr>
        <w:t>1–</w:t>
      </w:r>
      <w:r w:rsidR="00533FE8" w:rsidRPr="002D4615">
        <w:rPr>
          <w:rFonts w:eastAsia="MS Mincho"/>
          <w:szCs w:val="24"/>
          <w:lang w:eastAsia="ja-JP"/>
        </w:rPr>
        <w:t>7</w:t>
      </w:r>
      <w:r w:rsidR="004148AD">
        <w:rPr>
          <w:rFonts w:eastAsia="MS Mincho"/>
          <w:szCs w:val="24"/>
          <w:lang w:eastAsia="ja-JP"/>
        </w:rPr>
        <w:t>-й дни</w:t>
      </w:r>
    </w:p>
    <w:p w14:paraId="0D47DECE" w14:textId="77777777" w:rsidR="00533FE8" w:rsidRPr="002D4615" w:rsidRDefault="006F5D03" w:rsidP="00533FE8">
      <w:pPr>
        <w:widowControl/>
        <w:jc w:val="left"/>
        <w:rPr>
          <w:rFonts w:eastAsia="MS Mincho"/>
          <w:szCs w:val="24"/>
          <w:lang w:eastAsia="ja-JP"/>
        </w:rPr>
      </w:pPr>
      <w:r>
        <w:rPr>
          <w:rFonts w:eastAsia="MS Mincho"/>
          <w:szCs w:val="24"/>
          <w:lang w:eastAsia="ja-JP"/>
        </w:rPr>
        <w:t>Доксорубицин**</w:t>
      </w:r>
      <w:r w:rsidR="00D24FA8">
        <w:rPr>
          <w:rFonts w:eastAsia="MS Mincho"/>
          <w:szCs w:val="24"/>
          <w:lang w:eastAsia="ja-JP"/>
        </w:rPr>
        <w:tab/>
      </w:r>
      <w:r w:rsidR="00D24FA8">
        <w:rPr>
          <w:rFonts w:eastAsia="MS Mincho"/>
          <w:szCs w:val="24"/>
          <w:lang w:eastAsia="ja-JP"/>
        </w:rPr>
        <w:tab/>
      </w:r>
      <w:r w:rsidR="00D24FA8">
        <w:rPr>
          <w:rFonts w:eastAsia="MS Mincho"/>
          <w:szCs w:val="24"/>
          <w:lang w:eastAsia="ja-JP"/>
        </w:rPr>
        <w:tab/>
      </w:r>
      <w:r w:rsidR="00533FE8" w:rsidRPr="002D4615">
        <w:rPr>
          <w:rFonts w:eastAsia="MS Mincho"/>
          <w:szCs w:val="24"/>
          <w:lang w:eastAsia="ja-JP"/>
        </w:rPr>
        <w:t>50 мг/м</w:t>
      </w:r>
      <w:r w:rsidR="00533FE8" w:rsidRPr="00AF151A">
        <w:rPr>
          <w:rFonts w:eastAsia="MS Mincho"/>
          <w:szCs w:val="24"/>
          <w:vertAlign w:val="superscript"/>
          <w:lang w:eastAsia="ja-JP"/>
        </w:rPr>
        <w:t>2</w:t>
      </w:r>
      <w:r w:rsidR="00533FE8" w:rsidRPr="002D4615">
        <w:rPr>
          <w:rFonts w:eastAsia="MS Mincho"/>
          <w:szCs w:val="24"/>
          <w:lang w:eastAsia="ja-JP"/>
        </w:rPr>
        <w:t xml:space="preserve"> в/в (15 мин) </w:t>
      </w:r>
      <w:r w:rsidR="00D24FA8">
        <w:rPr>
          <w:rFonts w:eastAsia="MS Mincho"/>
          <w:szCs w:val="24"/>
          <w:lang w:eastAsia="ja-JP"/>
        </w:rPr>
        <w:tab/>
      </w:r>
      <w:r w:rsidR="00D24FA8">
        <w:rPr>
          <w:rFonts w:eastAsia="MS Mincho"/>
          <w:szCs w:val="24"/>
          <w:lang w:eastAsia="ja-JP"/>
        </w:rPr>
        <w:tab/>
      </w:r>
      <w:r w:rsidR="004148AD">
        <w:rPr>
          <w:rFonts w:eastAsia="MS Mincho"/>
          <w:szCs w:val="24"/>
          <w:lang w:eastAsia="ja-JP"/>
        </w:rPr>
        <w:t>1–</w:t>
      </w:r>
      <w:r w:rsidR="00533FE8" w:rsidRPr="002D4615">
        <w:rPr>
          <w:rFonts w:eastAsia="MS Mincho"/>
          <w:szCs w:val="24"/>
          <w:lang w:eastAsia="ja-JP"/>
        </w:rPr>
        <w:t>7</w:t>
      </w:r>
      <w:r w:rsidR="004148AD">
        <w:rPr>
          <w:rFonts w:eastAsia="MS Mincho"/>
          <w:szCs w:val="24"/>
          <w:lang w:eastAsia="ja-JP"/>
        </w:rPr>
        <w:t>-й дни</w:t>
      </w:r>
    </w:p>
    <w:p w14:paraId="193B4CB2" w14:textId="77777777" w:rsidR="00533FE8" w:rsidRPr="002D4615" w:rsidRDefault="00720E5F" w:rsidP="00533FE8">
      <w:pPr>
        <w:widowControl/>
        <w:jc w:val="left"/>
        <w:rPr>
          <w:rFonts w:eastAsia="MS Mincho"/>
          <w:szCs w:val="24"/>
          <w:lang w:eastAsia="ja-JP"/>
        </w:rPr>
      </w:pPr>
      <w:r>
        <w:rPr>
          <w:noProof/>
          <w:szCs w:val="24"/>
        </w:rPr>
        <mc:AlternateContent>
          <mc:Choice Requires="wps">
            <w:drawing>
              <wp:anchor distT="0" distB="0" distL="114300" distR="114300" simplePos="0" relativeHeight="251668992" behindDoc="0" locked="0" layoutInCell="1" allowOverlap="1" wp14:anchorId="1AEEFC62" wp14:editId="5D54F4C5">
                <wp:simplePos x="0" y="0"/>
                <wp:positionH relativeFrom="column">
                  <wp:posOffset>2697480</wp:posOffset>
                </wp:positionH>
                <wp:positionV relativeFrom="paragraph">
                  <wp:posOffset>28575</wp:posOffset>
                </wp:positionV>
                <wp:extent cx="90805" cy="674370"/>
                <wp:effectExtent l="0" t="0" r="0" b="0"/>
                <wp:wrapNone/>
                <wp:docPr id="43" name="Правая фигурная скобка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674370"/>
                        </a:xfrm>
                        <a:prstGeom prst="rightBrace">
                          <a:avLst>
                            <a:gd name="adj1" fmla="val 39977"/>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909FA7" id="Правая фигурная скобка 1" o:spid="_x0000_s1026" type="#_x0000_t88" style="position:absolute;margin-left:212.4pt;margin-top:2.25pt;width:7.15pt;height:53.1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" adj="1163"/>
            </w:pict>
          </mc:Fallback>
        </mc:AlternateContent>
      </w:r>
      <w:r w:rsidR="00533FE8" w:rsidRPr="002D4615">
        <w:rPr>
          <w:rFonts w:eastAsia="MS Mincho"/>
          <w:szCs w:val="24"/>
          <w:lang w:eastAsia="ja-JP"/>
        </w:rPr>
        <w:t>Метотрексат</w:t>
      </w:r>
      <w:r w:rsidR="00392AAF">
        <w:rPr>
          <w:rFonts w:eastAsia="MS Mincho"/>
          <w:szCs w:val="24"/>
          <w:lang w:eastAsia="ja-JP"/>
        </w:rPr>
        <w:t>**</w:t>
      </w:r>
      <w:r w:rsidR="00533FE8" w:rsidRPr="002D4615">
        <w:rPr>
          <w:rFonts w:eastAsia="MS Mincho"/>
          <w:szCs w:val="24"/>
          <w:lang w:eastAsia="ja-JP"/>
        </w:rPr>
        <w:t xml:space="preserve">                        </w:t>
      </w:r>
      <w:r w:rsidR="00533FE8">
        <w:rPr>
          <w:rFonts w:eastAsia="MS Mincho"/>
          <w:szCs w:val="24"/>
          <w:lang w:eastAsia="ja-JP"/>
        </w:rPr>
        <w:t xml:space="preserve">   </w:t>
      </w:r>
      <w:r w:rsidR="00D24FA8">
        <w:rPr>
          <w:rFonts w:eastAsia="MS Mincho"/>
          <w:szCs w:val="24"/>
          <w:lang w:eastAsia="ja-JP"/>
        </w:rPr>
        <w:tab/>
      </w:r>
      <w:r w:rsidR="00533FE8" w:rsidRPr="002D4615">
        <w:rPr>
          <w:rFonts w:eastAsia="MS Mincho"/>
          <w:szCs w:val="24"/>
          <w:lang w:eastAsia="ja-JP"/>
        </w:rPr>
        <w:t>15 мг</w:t>
      </w:r>
    </w:p>
    <w:p w14:paraId="12FA0390" w14:textId="77777777" w:rsidR="00533FE8" w:rsidRPr="002D4615" w:rsidRDefault="00421699" w:rsidP="00533FE8">
      <w:pPr>
        <w:widowControl/>
        <w:jc w:val="left"/>
        <w:rPr>
          <w:rFonts w:eastAsia="MS Mincho"/>
          <w:szCs w:val="24"/>
          <w:lang w:eastAsia="ja-JP"/>
        </w:rPr>
      </w:pPr>
      <w:r>
        <w:rPr>
          <w:rFonts w:eastAsia="MS Mincho"/>
          <w:szCs w:val="24"/>
          <w:lang w:eastAsia="ja-JP"/>
        </w:rPr>
        <w:t>Цитарабин**</w:t>
      </w:r>
      <w:r w:rsidR="00533FE8" w:rsidRPr="002D4615">
        <w:rPr>
          <w:rFonts w:eastAsia="MS Mincho"/>
          <w:szCs w:val="24"/>
          <w:lang w:eastAsia="ja-JP"/>
        </w:rPr>
        <w:t xml:space="preserve">                           </w:t>
      </w:r>
      <w:r w:rsidR="00533FE8">
        <w:rPr>
          <w:rFonts w:eastAsia="MS Mincho"/>
          <w:szCs w:val="24"/>
          <w:lang w:eastAsia="ja-JP"/>
        </w:rPr>
        <w:t xml:space="preserve">    </w:t>
      </w:r>
      <w:r w:rsidR="00D24FA8">
        <w:rPr>
          <w:rFonts w:eastAsia="MS Mincho"/>
          <w:szCs w:val="24"/>
          <w:lang w:eastAsia="ja-JP"/>
        </w:rPr>
        <w:tab/>
      </w:r>
      <w:r w:rsidR="00533FE8" w:rsidRPr="002D4615">
        <w:rPr>
          <w:rFonts w:eastAsia="MS Mincho"/>
          <w:szCs w:val="24"/>
          <w:lang w:eastAsia="ja-JP"/>
        </w:rPr>
        <w:t xml:space="preserve">40 мг        интратекально     </w:t>
      </w:r>
      <w:r w:rsidR="00D24FA8">
        <w:rPr>
          <w:rFonts w:eastAsia="MS Mincho"/>
          <w:szCs w:val="24"/>
          <w:lang w:eastAsia="ja-JP"/>
        </w:rPr>
        <w:tab/>
      </w:r>
      <w:r w:rsidR="00D24FA8">
        <w:rPr>
          <w:rFonts w:eastAsia="MS Mincho"/>
          <w:szCs w:val="24"/>
          <w:lang w:eastAsia="ja-JP"/>
        </w:rPr>
        <w:tab/>
      </w:r>
      <w:r w:rsidR="00533FE8" w:rsidRPr="002D4615">
        <w:rPr>
          <w:rFonts w:eastAsia="MS Mincho"/>
          <w:szCs w:val="24"/>
          <w:lang w:eastAsia="ja-JP"/>
        </w:rPr>
        <w:t>1,</w:t>
      </w:r>
      <w:r w:rsidR="004148AD">
        <w:rPr>
          <w:rFonts w:eastAsia="MS Mincho"/>
          <w:szCs w:val="24"/>
          <w:lang w:eastAsia="ja-JP"/>
        </w:rPr>
        <w:t xml:space="preserve"> </w:t>
      </w:r>
      <w:r w:rsidR="00533FE8" w:rsidRPr="002D4615">
        <w:rPr>
          <w:rFonts w:eastAsia="MS Mincho"/>
          <w:szCs w:val="24"/>
          <w:lang w:eastAsia="ja-JP"/>
        </w:rPr>
        <w:t>15</w:t>
      </w:r>
      <w:r w:rsidR="004148AD">
        <w:rPr>
          <w:rFonts w:eastAsia="MS Mincho"/>
          <w:szCs w:val="24"/>
          <w:lang w:eastAsia="ja-JP"/>
        </w:rPr>
        <w:t>-й дни</w:t>
      </w:r>
    </w:p>
    <w:p w14:paraId="1C6755F3" w14:textId="77777777" w:rsidR="00533FE8" w:rsidRPr="002D4615" w:rsidRDefault="00533FE8" w:rsidP="00533FE8">
      <w:pPr>
        <w:widowControl/>
        <w:jc w:val="left"/>
        <w:rPr>
          <w:rFonts w:eastAsia="MS Mincho"/>
          <w:szCs w:val="24"/>
          <w:lang w:eastAsia="ja-JP"/>
        </w:rPr>
      </w:pPr>
      <w:r>
        <w:rPr>
          <w:rFonts w:eastAsia="MS Mincho"/>
          <w:szCs w:val="24"/>
          <w:lang w:eastAsia="ja-JP"/>
        </w:rPr>
        <w:t>Дексаметазон</w:t>
      </w:r>
      <w:r w:rsidR="006F5D03">
        <w:rPr>
          <w:rFonts w:eastAsia="MS Mincho"/>
          <w:szCs w:val="24"/>
          <w:lang w:eastAsia="ja-JP"/>
        </w:rPr>
        <w:t>**</w:t>
      </w:r>
      <w:r>
        <w:rPr>
          <w:rFonts w:eastAsia="MS Mincho"/>
          <w:szCs w:val="24"/>
          <w:lang w:eastAsia="ja-JP"/>
        </w:rPr>
        <w:t xml:space="preserve">                       </w:t>
      </w:r>
      <w:r w:rsidRPr="002D4615">
        <w:rPr>
          <w:rFonts w:eastAsia="MS Mincho"/>
          <w:szCs w:val="24"/>
          <w:lang w:eastAsia="ja-JP"/>
        </w:rPr>
        <w:t xml:space="preserve"> </w:t>
      </w:r>
      <w:r>
        <w:rPr>
          <w:rFonts w:eastAsia="MS Mincho"/>
          <w:szCs w:val="24"/>
          <w:lang w:eastAsia="ja-JP"/>
        </w:rPr>
        <w:t xml:space="preserve">  </w:t>
      </w:r>
      <w:r w:rsidR="00D24FA8">
        <w:rPr>
          <w:rFonts w:eastAsia="MS Mincho"/>
          <w:szCs w:val="24"/>
          <w:lang w:eastAsia="ja-JP"/>
        </w:rPr>
        <w:tab/>
      </w:r>
      <w:r w:rsidRPr="002D4615">
        <w:rPr>
          <w:rFonts w:eastAsia="MS Mincho"/>
          <w:szCs w:val="24"/>
          <w:lang w:eastAsia="ja-JP"/>
        </w:rPr>
        <w:t>4 мг</w:t>
      </w:r>
    </w:p>
    <w:p w14:paraId="43590C51" w14:textId="77777777" w:rsidR="00533FE8" w:rsidRPr="00D760BC" w:rsidRDefault="004148AD" w:rsidP="00533FE8">
      <w:pPr>
        <w:widowControl/>
        <w:jc w:val="left"/>
        <w:rPr>
          <w:rFonts w:eastAsia="MS Mincho"/>
          <w:b/>
          <w:bCs/>
          <w:szCs w:val="24"/>
          <w:lang w:eastAsia="ja-JP"/>
        </w:rPr>
      </w:pPr>
      <w:r>
        <w:rPr>
          <w:rFonts w:eastAsia="MS Mincho"/>
          <w:b/>
          <w:bCs/>
          <w:szCs w:val="24"/>
          <w:lang w:eastAsia="ja-JP"/>
        </w:rPr>
        <w:t xml:space="preserve">Реиндукция </w:t>
      </w:r>
      <w:r>
        <w:rPr>
          <w:rFonts w:eastAsia="MS Mincho"/>
          <w:b/>
          <w:bCs/>
          <w:szCs w:val="24"/>
          <w:lang w:val="en-US" w:eastAsia="ja-JP"/>
        </w:rPr>
        <w:t>II</w:t>
      </w:r>
    </w:p>
    <w:p w14:paraId="4A3A4C60" w14:textId="77777777" w:rsidR="00533FE8" w:rsidRPr="002D4615" w:rsidRDefault="00533FE8" w:rsidP="00533FE8">
      <w:pPr>
        <w:widowControl/>
        <w:jc w:val="left"/>
        <w:rPr>
          <w:rFonts w:eastAsia="MS Mincho"/>
          <w:szCs w:val="24"/>
          <w:lang w:eastAsia="ja-JP"/>
        </w:rPr>
      </w:pPr>
      <w:r w:rsidRPr="002D4615">
        <w:rPr>
          <w:rFonts w:eastAsia="MS Mincho"/>
          <w:szCs w:val="24"/>
          <w:lang w:eastAsia="ja-JP"/>
        </w:rPr>
        <w:t>Циклофосфамид</w:t>
      </w:r>
      <w:r w:rsidR="004C2C6A">
        <w:rPr>
          <w:rFonts w:eastAsia="MS Mincho"/>
          <w:szCs w:val="24"/>
          <w:lang w:eastAsia="ja-JP"/>
        </w:rPr>
        <w:t>**</w:t>
      </w:r>
      <w:r w:rsidRPr="002D4615">
        <w:rPr>
          <w:rFonts w:eastAsia="MS Mincho"/>
          <w:szCs w:val="24"/>
          <w:lang w:eastAsia="ja-JP"/>
        </w:rPr>
        <w:tab/>
      </w:r>
      <w:r w:rsidRPr="002D4615">
        <w:rPr>
          <w:rFonts w:eastAsia="MS Mincho"/>
          <w:szCs w:val="24"/>
          <w:lang w:eastAsia="ja-JP"/>
        </w:rPr>
        <w:tab/>
      </w:r>
      <w:r w:rsidR="00D24FA8">
        <w:rPr>
          <w:rFonts w:eastAsia="MS Mincho"/>
          <w:szCs w:val="24"/>
          <w:lang w:eastAsia="ja-JP"/>
        </w:rPr>
        <w:tab/>
      </w:r>
      <w:r w:rsidRPr="002D4615">
        <w:rPr>
          <w:rFonts w:eastAsia="MS Mincho"/>
          <w:szCs w:val="24"/>
          <w:lang w:eastAsia="ja-JP"/>
        </w:rPr>
        <w:t>1000 мг/м</w:t>
      </w:r>
      <w:r w:rsidRPr="00AF151A">
        <w:rPr>
          <w:rFonts w:eastAsia="MS Mincho"/>
          <w:szCs w:val="24"/>
          <w:vertAlign w:val="superscript"/>
          <w:lang w:eastAsia="ja-JP"/>
        </w:rPr>
        <w:t>2</w:t>
      </w:r>
      <w:r w:rsidRPr="002D4615">
        <w:rPr>
          <w:rFonts w:eastAsia="MS Mincho"/>
          <w:szCs w:val="24"/>
          <w:lang w:eastAsia="ja-JP"/>
        </w:rPr>
        <w:t xml:space="preserve"> в/в </w:t>
      </w:r>
      <w:r w:rsidRPr="002D4615">
        <w:rPr>
          <w:rFonts w:eastAsia="MS Mincho"/>
          <w:szCs w:val="24"/>
          <w:lang w:eastAsia="ja-JP"/>
        </w:rPr>
        <w:tab/>
      </w:r>
      <w:r w:rsidRPr="002D4615">
        <w:rPr>
          <w:rFonts w:eastAsia="MS Mincho"/>
          <w:szCs w:val="24"/>
          <w:lang w:eastAsia="ja-JP"/>
        </w:rPr>
        <w:tab/>
      </w:r>
      <w:r w:rsidRPr="002D4615">
        <w:rPr>
          <w:rFonts w:eastAsia="MS Mincho"/>
          <w:szCs w:val="24"/>
          <w:lang w:eastAsia="ja-JP"/>
        </w:rPr>
        <w:tab/>
        <w:t>26</w:t>
      </w:r>
      <w:r w:rsidR="00A006DF">
        <w:rPr>
          <w:rFonts w:eastAsia="MS Mincho"/>
          <w:szCs w:val="24"/>
          <w:lang w:eastAsia="ja-JP"/>
        </w:rPr>
        <w:t>-й</w:t>
      </w:r>
      <w:r w:rsidRPr="002D4615">
        <w:rPr>
          <w:rFonts w:eastAsia="MS Mincho"/>
          <w:szCs w:val="24"/>
          <w:lang w:eastAsia="ja-JP"/>
        </w:rPr>
        <w:t>,</w:t>
      </w:r>
      <w:r w:rsidR="00A006DF">
        <w:rPr>
          <w:rFonts w:eastAsia="MS Mincho"/>
          <w:szCs w:val="24"/>
          <w:lang w:eastAsia="ja-JP"/>
        </w:rPr>
        <w:t xml:space="preserve"> </w:t>
      </w:r>
      <w:r w:rsidRPr="002D4615">
        <w:rPr>
          <w:rFonts w:eastAsia="MS Mincho"/>
          <w:szCs w:val="24"/>
          <w:lang w:eastAsia="ja-JP"/>
        </w:rPr>
        <w:t>46</w:t>
      </w:r>
      <w:r w:rsidR="00A006DF">
        <w:rPr>
          <w:rFonts w:eastAsia="MS Mincho"/>
          <w:szCs w:val="24"/>
          <w:lang w:eastAsia="ja-JP"/>
        </w:rPr>
        <w:t>-й дни</w:t>
      </w:r>
    </w:p>
    <w:p w14:paraId="3990ED9F" w14:textId="77777777" w:rsidR="00533FE8" w:rsidRPr="002D4615" w:rsidRDefault="00421699" w:rsidP="00533FE8">
      <w:pPr>
        <w:widowControl/>
        <w:jc w:val="left"/>
        <w:rPr>
          <w:rFonts w:eastAsia="MS Mincho"/>
          <w:szCs w:val="24"/>
          <w:lang w:eastAsia="ja-JP"/>
        </w:rPr>
      </w:pPr>
      <w:r>
        <w:rPr>
          <w:rFonts w:eastAsia="MS Mincho"/>
          <w:szCs w:val="24"/>
          <w:lang w:eastAsia="ja-JP"/>
        </w:rPr>
        <w:t>Цитарабин**</w:t>
      </w:r>
      <w:r w:rsidR="00533FE8" w:rsidRPr="002D4615">
        <w:rPr>
          <w:rFonts w:eastAsia="MS Mincho"/>
          <w:szCs w:val="24"/>
          <w:lang w:eastAsia="ja-JP"/>
        </w:rPr>
        <w:t xml:space="preserve"> </w:t>
      </w:r>
      <w:r w:rsidR="00533FE8" w:rsidRPr="002D4615">
        <w:rPr>
          <w:rFonts w:eastAsia="MS Mincho"/>
          <w:szCs w:val="24"/>
          <w:lang w:eastAsia="ja-JP"/>
        </w:rPr>
        <w:tab/>
      </w:r>
      <w:r w:rsidR="00533FE8" w:rsidRPr="002D4615">
        <w:rPr>
          <w:rFonts w:eastAsia="MS Mincho"/>
          <w:szCs w:val="24"/>
          <w:lang w:eastAsia="ja-JP"/>
        </w:rPr>
        <w:tab/>
      </w:r>
      <w:r w:rsidR="00533FE8" w:rsidRPr="002D4615">
        <w:rPr>
          <w:rFonts w:eastAsia="MS Mincho"/>
          <w:szCs w:val="24"/>
          <w:lang w:eastAsia="ja-JP"/>
        </w:rPr>
        <w:tab/>
      </w:r>
      <w:r w:rsidR="00D24FA8">
        <w:rPr>
          <w:rFonts w:eastAsia="MS Mincho"/>
          <w:szCs w:val="24"/>
          <w:lang w:eastAsia="ja-JP"/>
        </w:rPr>
        <w:tab/>
      </w:r>
      <w:r w:rsidR="00533FE8" w:rsidRPr="002D4615">
        <w:rPr>
          <w:rFonts w:eastAsia="MS Mincho"/>
          <w:szCs w:val="24"/>
          <w:lang w:eastAsia="ja-JP"/>
        </w:rPr>
        <w:t>75 мг/м</w:t>
      </w:r>
      <w:r w:rsidR="00533FE8" w:rsidRPr="00AF151A">
        <w:rPr>
          <w:rFonts w:eastAsia="MS Mincho"/>
          <w:szCs w:val="24"/>
          <w:vertAlign w:val="superscript"/>
          <w:lang w:eastAsia="ja-JP"/>
        </w:rPr>
        <w:t>2</w:t>
      </w:r>
      <w:r w:rsidR="00533FE8" w:rsidRPr="002D4615">
        <w:rPr>
          <w:rFonts w:eastAsia="MS Mincho"/>
          <w:szCs w:val="24"/>
          <w:lang w:eastAsia="ja-JP"/>
        </w:rPr>
        <w:t xml:space="preserve"> в/в  </w:t>
      </w:r>
      <w:r w:rsidR="00533FE8" w:rsidRPr="002D4615">
        <w:rPr>
          <w:rFonts w:eastAsia="MS Mincho"/>
          <w:szCs w:val="24"/>
          <w:lang w:eastAsia="ja-JP"/>
        </w:rPr>
        <w:tab/>
      </w:r>
      <w:r w:rsidR="00533FE8" w:rsidRPr="002D4615">
        <w:rPr>
          <w:rFonts w:eastAsia="MS Mincho"/>
          <w:szCs w:val="24"/>
          <w:lang w:eastAsia="ja-JP"/>
        </w:rPr>
        <w:tab/>
      </w:r>
      <w:r w:rsidR="00D24FA8">
        <w:rPr>
          <w:rFonts w:eastAsia="MS Mincho"/>
          <w:szCs w:val="24"/>
          <w:lang w:eastAsia="ja-JP"/>
        </w:rPr>
        <w:tab/>
      </w:r>
      <w:r w:rsidR="00A006DF">
        <w:rPr>
          <w:rFonts w:eastAsia="MS Mincho"/>
          <w:szCs w:val="24"/>
          <w:lang w:eastAsia="ja-JP"/>
        </w:rPr>
        <w:t>28–31, 35–38, 42–</w:t>
      </w:r>
      <w:r w:rsidR="00533FE8" w:rsidRPr="002D4615">
        <w:rPr>
          <w:rFonts w:eastAsia="MS Mincho"/>
          <w:szCs w:val="24"/>
          <w:lang w:eastAsia="ja-JP"/>
        </w:rPr>
        <w:t>45</w:t>
      </w:r>
      <w:r w:rsidR="00A006DF">
        <w:rPr>
          <w:rFonts w:eastAsia="MS Mincho"/>
          <w:szCs w:val="24"/>
          <w:lang w:eastAsia="ja-JP"/>
        </w:rPr>
        <w:t>-й дни</w:t>
      </w:r>
    </w:p>
    <w:p w14:paraId="07F8B213" w14:textId="77777777" w:rsidR="00533FE8" w:rsidRPr="00E53122" w:rsidRDefault="00533FE8" w:rsidP="00533FE8">
      <w:pPr>
        <w:widowControl/>
        <w:jc w:val="left"/>
        <w:rPr>
          <w:rFonts w:eastAsia="MS Mincho"/>
          <w:szCs w:val="24"/>
          <w:lang w:eastAsia="ja-JP"/>
        </w:rPr>
      </w:pPr>
      <w:r>
        <w:rPr>
          <w:rFonts w:eastAsia="MS Mincho"/>
          <w:szCs w:val="24"/>
          <w:lang w:eastAsia="ja-JP"/>
        </w:rPr>
        <w:t>М</w:t>
      </w:r>
      <w:r w:rsidRPr="002D4615">
        <w:rPr>
          <w:rFonts w:eastAsia="MS Mincho"/>
          <w:szCs w:val="24"/>
          <w:lang w:eastAsia="ja-JP"/>
        </w:rPr>
        <w:t>еркаптопурин</w:t>
      </w:r>
      <w:r w:rsidR="00714B4A">
        <w:rPr>
          <w:rFonts w:eastAsia="MS Mincho"/>
          <w:szCs w:val="24"/>
          <w:lang w:eastAsia="ja-JP"/>
        </w:rPr>
        <w:t>**</w:t>
      </w:r>
      <w:r w:rsidRPr="002D4615">
        <w:rPr>
          <w:rFonts w:eastAsia="MS Mincho"/>
          <w:szCs w:val="24"/>
          <w:lang w:eastAsia="ja-JP"/>
        </w:rPr>
        <w:t xml:space="preserve"> </w:t>
      </w:r>
      <w:r w:rsidRPr="002D4615">
        <w:rPr>
          <w:rFonts w:eastAsia="MS Mincho"/>
          <w:szCs w:val="24"/>
          <w:lang w:eastAsia="ja-JP"/>
        </w:rPr>
        <w:tab/>
      </w:r>
      <w:r w:rsidRPr="002D4615">
        <w:rPr>
          <w:rFonts w:eastAsia="MS Mincho"/>
          <w:szCs w:val="24"/>
          <w:lang w:eastAsia="ja-JP"/>
        </w:rPr>
        <w:tab/>
      </w:r>
      <w:r w:rsidR="00D24FA8">
        <w:rPr>
          <w:rFonts w:eastAsia="MS Mincho"/>
          <w:szCs w:val="24"/>
          <w:lang w:eastAsia="ja-JP"/>
        </w:rPr>
        <w:tab/>
      </w:r>
      <w:r w:rsidRPr="002D4615">
        <w:rPr>
          <w:rFonts w:eastAsia="MS Mincho"/>
          <w:szCs w:val="24"/>
          <w:lang w:eastAsia="ja-JP"/>
        </w:rPr>
        <w:t>60 мг/м</w:t>
      </w:r>
      <w:r w:rsidRPr="00AF151A">
        <w:rPr>
          <w:rFonts w:eastAsia="MS Mincho"/>
          <w:szCs w:val="24"/>
          <w:vertAlign w:val="superscript"/>
          <w:lang w:eastAsia="ja-JP"/>
        </w:rPr>
        <w:t>2</w:t>
      </w:r>
      <w:r w:rsidRPr="002D4615">
        <w:rPr>
          <w:rFonts w:eastAsia="MS Mincho"/>
          <w:szCs w:val="24"/>
          <w:lang w:eastAsia="ja-JP"/>
        </w:rPr>
        <w:t xml:space="preserve"> внутрь </w:t>
      </w:r>
      <w:r w:rsidRPr="002D4615">
        <w:rPr>
          <w:rFonts w:eastAsia="MS Mincho"/>
          <w:szCs w:val="24"/>
          <w:lang w:eastAsia="ja-JP"/>
        </w:rPr>
        <w:tab/>
        <w:t xml:space="preserve">           </w:t>
      </w:r>
      <w:r>
        <w:rPr>
          <w:rFonts w:eastAsia="MS Mincho"/>
          <w:szCs w:val="24"/>
          <w:lang w:eastAsia="ja-JP"/>
        </w:rPr>
        <w:t xml:space="preserve">             </w:t>
      </w:r>
      <w:r w:rsidR="00A006DF">
        <w:rPr>
          <w:rFonts w:eastAsia="MS Mincho"/>
          <w:szCs w:val="24"/>
          <w:lang w:eastAsia="ja-JP"/>
        </w:rPr>
        <w:t>26–</w:t>
      </w:r>
      <w:r>
        <w:rPr>
          <w:rFonts w:eastAsia="MS Mincho"/>
          <w:szCs w:val="24"/>
          <w:lang w:eastAsia="ja-JP"/>
        </w:rPr>
        <w:t>46</w:t>
      </w:r>
      <w:r w:rsidR="00A006DF">
        <w:rPr>
          <w:rFonts w:eastAsia="MS Mincho"/>
          <w:szCs w:val="24"/>
          <w:lang w:eastAsia="ja-JP"/>
        </w:rPr>
        <w:t>-й дни</w:t>
      </w:r>
    </w:p>
    <w:p w14:paraId="6AD4370D" w14:textId="77777777" w:rsidR="00533FE8" w:rsidRDefault="00A006DF" w:rsidP="00533FE8">
      <w:pPr>
        <w:widowControl/>
        <w:ind w:firstLine="709"/>
        <w:rPr>
          <w:rFonts w:eastAsia="MS Mincho"/>
          <w:szCs w:val="24"/>
          <w:lang w:eastAsia="ja-JP"/>
        </w:rPr>
      </w:pPr>
      <w:r>
        <w:rPr>
          <w:rFonts w:eastAsia="MS Mincho"/>
          <w:szCs w:val="24"/>
          <w:lang w:eastAsia="ja-JP"/>
        </w:rPr>
        <w:t xml:space="preserve">Оценка ремиссии: </w:t>
      </w:r>
      <w:r w:rsidR="00533FE8" w:rsidRPr="002D4615">
        <w:rPr>
          <w:rFonts w:eastAsia="MS Mincho"/>
          <w:szCs w:val="24"/>
          <w:lang w:eastAsia="ja-JP"/>
        </w:rPr>
        <w:t>30</w:t>
      </w:r>
      <w:r>
        <w:rPr>
          <w:rFonts w:eastAsia="MS Mincho"/>
          <w:szCs w:val="24"/>
          <w:lang w:eastAsia="ja-JP"/>
        </w:rPr>
        <w:t>-я неделя</w:t>
      </w:r>
      <w:r w:rsidR="00533FE8" w:rsidRPr="002D4615">
        <w:rPr>
          <w:rFonts w:eastAsia="MS Mincho"/>
          <w:szCs w:val="24"/>
          <w:lang w:eastAsia="ja-JP"/>
        </w:rPr>
        <w:t xml:space="preserve"> (с оценкой </w:t>
      </w:r>
      <w:r w:rsidR="00AF128D">
        <w:rPr>
          <w:rFonts w:eastAsia="MS Mincho"/>
          <w:szCs w:val="24"/>
          <w:lang w:eastAsia="ja-JP"/>
        </w:rPr>
        <w:t>МОБ</w:t>
      </w:r>
      <w:r w:rsidR="00533FE8" w:rsidRPr="002D4615">
        <w:rPr>
          <w:rFonts w:eastAsia="MS Mincho"/>
          <w:szCs w:val="24"/>
          <w:lang w:eastAsia="ja-JP"/>
        </w:rPr>
        <w:t>).</w:t>
      </w:r>
    </w:p>
    <w:p w14:paraId="3954BDB4" w14:textId="68AE59DA" w:rsidR="002D62BD" w:rsidRPr="002D62BD" w:rsidRDefault="004148AD" w:rsidP="002D62BD">
      <w:pPr>
        <w:widowControl/>
        <w:rPr>
          <w:rFonts w:eastAsia="MS Mincho"/>
          <w:szCs w:val="24"/>
          <w:lang w:eastAsia="ja-JP"/>
        </w:rPr>
      </w:pPr>
      <w:r>
        <w:rPr>
          <w:rFonts w:eastAsia="MS Mincho"/>
          <w:b/>
          <w:bCs/>
          <w:szCs w:val="24"/>
          <w:lang w:eastAsia="ja-JP"/>
        </w:rPr>
        <w:t xml:space="preserve">Консолидация </w:t>
      </w:r>
      <w:r>
        <w:rPr>
          <w:rFonts w:eastAsia="MS Mincho"/>
          <w:b/>
          <w:bCs/>
          <w:szCs w:val="24"/>
          <w:lang w:val="en-US" w:eastAsia="ja-JP"/>
        </w:rPr>
        <w:t>III</w:t>
      </w:r>
      <w:r w:rsidR="00A006DF">
        <w:rPr>
          <w:rFonts w:eastAsia="MS Mincho"/>
          <w:b/>
          <w:bCs/>
          <w:szCs w:val="24"/>
          <w:lang w:eastAsia="ja-JP"/>
        </w:rPr>
        <w:t xml:space="preserve"> (</w:t>
      </w:r>
      <w:r w:rsidR="00533FE8">
        <w:rPr>
          <w:rFonts w:eastAsia="MS Mincho"/>
          <w:b/>
          <w:bCs/>
          <w:szCs w:val="24"/>
          <w:lang w:eastAsia="ja-JP"/>
        </w:rPr>
        <w:t>30</w:t>
      </w:r>
      <w:r w:rsidR="00A006DF">
        <w:rPr>
          <w:rFonts w:eastAsia="MS Mincho"/>
          <w:b/>
          <w:bCs/>
          <w:szCs w:val="24"/>
          <w:lang w:eastAsia="ja-JP"/>
        </w:rPr>
        <w:t>-я неделя</w:t>
      </w:r>
      <w:r w:rsidR="00533FE8">
        <w:rPr>
          <w:rFonts w:eastAsia="MS Mincho"/>
          <w:b/>
          <w:bCs/>
          <w:szCs w:val="24"/>
          <w:lang w:eastAsia="ja-JP"/>
        </w:rPr>
        <w:t>)</w:t>
      </w:r>
      <w:r w:rsidR="00533FE8" w:rsidRPr="002D4615">
        <w:rPr>
          <w:rFonts w:eastAsia="MS Mincho"/>
          <w:szCs w:val="24"/>
          <w:lang w:val="da-DK" w:eastAsia="ja-JP"/>
        </w:rPr>
        <w:tab/>
      </w:r>
      <w:r w:rsidR="00533FE8" w:rsidRPr="002D4615">
        <w:rPr>
          <w:rFonts w:eastAsia="MS Mincho"/>
          <w:szCs w:val="24"/>
          <w:lang w:val="da-DK" w:eastAsia="ja-JP"/>
        </w:rPr>
        <w:tab/>
      </w:r>
      <w:r w:rsidR="002D62BD" w:rsidRPr="005A5554">
        <w:rPr>
          <w:rFonts w:eastAsia="MS Mincho"/>
          <w:szCs w:val="24"/>
          <w:lang w:val="da-DK" w:eastAsia="ja-JP"/>
        </w:rPr>
        <w:tab/>
      </w:r>
      <w:r w:rsidR="002D62BD" w:rsidRPr="005A5554">
        <w:rPr>
          <w:rFonts w:eastAsia="MS Mincho"/>
          <w:szCs w:val="24"/>
          <w:lang w:val="da-DK" w:eastAsia="ja-JP"/>
        </w:rPr>
        <w:tab/>
      </w:r>
    </w:p>
    <w:p w14:paraId="02FE7CFC" w14:textId="03B9E521" w:rsidR="002D62BD" w:rsidRPr="005A5554" w:rsidRDefault="002D62BD" w:rsidP="002D62BD">
      <w:pPr>
        <w:widowControl/>
        <w:jc w:val="left"/>
        <w:rPr>
          <w:rFonts w:eastAsia="MS Mincho"/>
          <w:szCs w:val="24"/>
          <w:lang w:eastAsia="ja-JP"/>
        </w:rPr>
      </w:pPr>
      <w:r w:rsidRPr="005A5554">
        <w:rPr>
          <w:rFonts w:eastAsia="MS Mincho"/>
          <w:szCs w:val="24"/>
          <w:lang w:eastAsia="ja-JP"/>
        </w:rPr>
        <w:t>Метотрексат</w:t>
      </w:r>
      <w:r w:rsidRPr="002D62BD">
        <w:rPr>
          <w:rFonts w:eastAsia="MS Mincho"/>
          <w:szCs w:val="24"/>
          <w:lang w:eastAsia="ja-JP"/>
        </w:rPr>
        <w:t>**</w:t>
      </w:r>
      <w:r w:rsidRPr="005A5554">
        <w:rPr>
          <w:rFonts w:eastAsia="MS Mincho"/>
          <w:szCs w:val="24"/>
          <w:lang w:eastAsia="ja-JP"/>
        </w:rPr>
        <w:t xml:space="preserve">             </w:t>
      </w:r>
      <w:r>
        <w:rPr>
          <w:rFonts w:eastAsia="MS Mincho"/>
          <w:szCs w:val="24"/>
          <w:lang w:eastAsia="ja-JP"/>
        </w:rPr>
        <w:t xml:space="preserve">          1.5г/м2 в/в (24 ч) </w:t>
      </w:r>
      <w:r>
        <w:rPr>
          <w:rFonts w:eastAsia="MS Mincho"/>
          <w:szCs w:val="24"/>
          <w:lang w:eastAsia="ja-JP"/>
        </w:rPr>
        <w:tab/>
        <w:t xml:space="preserve">                     </w:t>
      </w:r>
      <w:r w:rsidRPr="005A5554">
        <w:rPr>
          <w:rFonts w:eastAsia="MS Mincho"/>
          <w:szCs w:val="24"/>
          <w:lang w:eastAsia="ja-JP"/>
        </w:rPr>
        <w:t>Дни 1,15</w:t>
      </w:r>
    </w:p>
    <w:p w14:paraId="780D73CF" w14:textId="77777777" w:rsidR="002D62BD" w:rsidRPr="005A5554" w:rsidRDefault="002D62BD" w:rsidP="002D62BD">
      <w:pPr>
        <w:widowControl/>
        <w:ind w:firstLine="720"/>
        <w:jc w:val="left"/>
        <w:rPr>
          <w:rFonts w:eastAsia="MS Mincho"/>
          <w:szCs w:val="24"/>
          <w:lang w:eastAsia="ja-JP"/>
        </w:rPr>
      </w:pPr>
      <w:r w:rsidRPr="005A5554">
        <w:rPr>
          <w:rFonts w:eastAsia="MS Mincho"/>
          <w:i/>
          <w:szCs w:val="24"/>
          <w:lang w:eastAsia="ja-JP"/>
        </w:rPr>
        <w:t xml:space="preserve">Возраст &gt;55 л  </w:t>
      </w:r>
      <w:r w:rsidRPr="005A5554">
        <w:rPr>
          <w:rFonts w:eastAsia="MS Mincho"/>
          <w:i/>
          <w:szCs w:val="24"/>
          <w:lang w:eastAsia="ja-JP"/>
        </w:rPr>
        <w:tab/>
        <w:t xml:space="preserve">  1.0 г/м2</w:t>
      </w:r>
      <w:r w:rsidRPr="005A5554">
        <w:rPr>
          <w:rFonts w:eastAsia="MS Mincho"/>
          <w:szCs w:val="24"/>
          <w:lang w:eastAsia="ja-JP"/>
        </w:rPr>
        <w:t xml:space="preserve"> </w:t>
      </w:r>
      <w:r w:rsidRPr="005A5554">
        <w:rPr>
          <w:rFonts w:eastAsia="MS Mincho"/>
          <w:i/>
          <w:szCs w:val="24"/>
          <w:lang w:eastAsia="ja-JP"/>
        </w:rPr>
        <w:t>2 в/в</w:t>
      </w:r>
      <w:r w:rsidRPr="005A5554">
        <w:rPr>
          <w:rFonts w:eastAsia="MS Mincho"/>
          <w:i/>
          <w:szCs w:val="24"/>
          <w:lang w:eastAsia="ja-JP"/>
        </w:rPr>
        <w:tab/>
      </w:r>
      <w:r w:rsidRPr="005A5554">
        <w:rPr>
          <w:rFonts w:eastAsia="MS Mincho"/>
          <w:i/>
          <w:szCs w:val="24"/>
          <w:lang w:eastAsia="ja-JP"/>
        </w:rPr>
        <w:tab/>
      </w:r>
      <w:r w:rsidRPr="005A5554">
        <w:rPr>
          <w:rFonts w:eastAsia="MS Mincho"/>
          <w:szCs w:val="24"/>
          <w:lang w:eastAsia="ja-JP"/>
        </w:rPr>
        <w:tab/>
      </w:r>
    </w:p>
    <w:p w14:paraId="3720C91C" w14:textId="0D97C9CE" w:rsidR="002D62BD" w:rsidRPr="009F500F" w:rsidRDefault="002D62BD" w:rsidP="002D62BD">
      <w:pPr>
        <w:widowControl/>
        <w:jc w:val="left"/>
        <w:rPr>
          <w:rFonts w:eastAsia="MS Mincho"/>
          <w:szCs w:val="24"/>
          <w:lang w:eastAsia="ja-JP"/>
        </w:rPr>
      </w:pPr>
      <w:r w:rsidRPr="009F500F">
        <w:rPr>
          <w:rFonts w:eastAsia="MS Mincho"/>
          <w:szCs w:val="24"/>
          <w:lang w:eastAsia="ja-JP"/>
        </w:rPr>
        <w:t>Пэгаспарагиназа**</w:t>
      </w:r>
      <w:r w:rsidRPr="009F500F">
        <w:rPr>
          <w:rFonts w:eastAsia="MS Mincho"/>
          <w:szCs w:val="24"/>
          <w:lang w:eastAsia="ja-JP"/>
        </w:rPr>
        <w:tab/>
      </w:r>
      <w:r w:rsidRPr="009F500F">
        <w:rPr>
          <w:rFonts w:eastAsia="MS Mincho"/>
          <w:szCs w:val="24"/>
          <w:lang w:eastAsia="ja-JP"/>
        </w:rPr>
        <w:tab/>
        <w:t xml:space="preserve">  500 ед/м2 в/в (2 ч) </w:t>
      </w:r>
      <w:r w:rsidRPr="009F500F">
        <w:rPr>
          <w:rFonts w:eastAsia="MS Mincho"/>
          <w:szCs w:val="24"/>
          <w:lang w:eastAsia="ja-JP"/>
        </w:rPr>
        <w:tab/>
      </w:r>
      <w:r w:rsidRPr="009F500F">
        <w:rPr>
          <w:rFonts w:eastAsia="MS Mincho"/>
          <w:szCs w:val="24"/>
          <w:lang w:eastAsia="ja-JP"/>
        </w:rPr>
        <w:tab/>
        <w:t xml:space="preserve">         Дни 2,16</w:t>
      </w:r>
    </w:p>
    <w:p w14:paraId="7FCFF9C8" w14:textId="13259AC3" w:rsidR="002D62BD" w:rsidRPr="005A5554" w:rsidRDefault="002D62BD" w:rsidP="002D62BD">
      <w:pPr>
        <w:widowControl/>
        <w:jc w:val="left"/>
        <w:rPr>
          <w:rFonts w:eastAsia="MS Mincho"/>
          <w:szCs w:val="24"/>
          <w:lang w:eastAsia="ja-JP"/>
        </w:rPr>
      </w:pPr>
      <w:r w:rsidRPr="005A5554">
        <w:rPr>
          <w:rFonts w:eastAsia="MS Mincho"/>
          <w:szCs w:val="24"/>
          <w:lang w:eastAsia="ja-JP"/>
        </w:rPr>
        <w:t>6-меркаптопурин</w:t>
      </w:r>
      <w:r w:rsidRPr="002D62BD">
        <w:rPr>
          <w:rFonts w:eastAsia="MS Mincho"/>
          <w:szCs w:val="24"/>
          <w:lang w:eastAsia="ja-JP"/>
        </w:rPr>
        <w:t>**</w:t>
      </w:r>
      <w:r w:rsidRPr="005A5554">
        <w:rPr>
          <w:rFonts w:eastAsia="MS Mincho"/>
          <w:szCs w:val="24"/>
          <w:lang w:eastAsia="ja-JP"/>
        </w:rPr>
        <w:tab/>
      </w:r>
      <w:r w:rsidRPr="005A5554">
        <w:rPr>
          <w:rFonts w:eastAsia="MS Mincho"/>
          <w:szCs w:val="24"/>
          <w:lang w:eastAsia="ja-JP"/>
        </w:rPr>
        <w:tab/>
        <w:t xml:space="preserve">  60 мг/м2 внутрь</w:t>
      </w:r>
      <w:r w:rsidRPr="005A5554">
        <w:rPr>
          <w:rFonts w:eastAsia="MS Mincho"/>
          <w:szCs w:val="24"/>
          <w:lang w:eastAsia="ja-JP"/>
        </w:rPr>
        <w:tab/>
        <w:t xml:space="preserve">                     Дни 1-7, 15-21</w:t>
      </w:r>
    </w:p>
    <w:p w14:paraId="2E4CB169" w14:textId="77777777" w:rsidR="002D62BD" w:rsidRPr="002D4615" w:rsidRDefault="002D62BD" w:rsidP="00533FE8">
      <w:pPr>
        <w:widowControl/>
        <w:jc w:val="left"/>
        <w:rPr>
          <w:rFonts w:eastAsia="MS Mincho"/>
          <w:szCs w:val="24"/>
          <w:lang w:eastAsia="ja-JP"/>
        </w:rPr>
      </w:pPr>
    </w:p>
    <w:p w14:paraId="6D7BC07A" w14:textId="77777777" w:rsidR="00533FE8" w:rsidRPr="00E53122" w:rsidRDefault="00533FE8" w:rsidP="00533FE8">
      <w:pPr>
        <w:widowControl/>
        <w:jc w:val="left"/>
        <w:rPr>
          <w:rFonts w:eastAsia="MS Mincho"/>
          <w:b/>
          <w:bCs/>
          <w:szCs w:val="24"/>
          <w:lang w:eastAsia="ja-JP"/>
        </w:rPr>
      </w:pPr>
      <w:r w:rsidRPr="002D4615">
        <w:rPr>
          <w:rFonts w:eastAsia="MS Mincho"/>
          <w:b/>
          <w:bCs/>
          <w:szCs w:val="24"/>
          <w:lang w:eastAsia="ja-JP"/>
        </w:rPr>
        <w:t>Кон</w:t>
      </w:r>
      <w:r w:rsidR="004148AD">
        <w:rPr>
          <w:rFonts w:eastAsia="MS Mincho"/>
          <w:b/>
          <w:bCs/>
          <w:szCs w:val="24"/>
          <w:lang w:eastAsia="ja-JP"/>
        </w:rPr>
        <w:t xml:space="preserve">солидация </w:t>
      </w:r>
      <w:r w:rsidR="004148AD">
        <w:rPr>
          <w:rFonts w:eastAsia="MS Mincho"/>
          <w:b/>
          <w:bCs/>
          <w:szCs w:val="24"/>
          <w:lang w:val="en-US" w:eastAsia="ja-JP"/>
        </w:rPr>
        <w:t>IV</w:t>
      </w:r>
      <w:r w:rsidR="00A006DF">
        <w:rPr>
          <w:rFonts w:eastAsia="MS Mincho"/>
          <w:b/>
          <w:bCs/>
          <w:szCs w:val="24"/>
          <w:lang w:eastAsia="ja-JP"/>
        </w:rPr>
        <w:t xml:space="preserve"> (</w:t>
      </w:r>
      <w:r>
        <w:rPr>
          <w:rFonts w:eastAsia="MS Mincho"/>
          <w:b/>
          <w:bCs/>
          <w:szCs w:val="24"/>
          <w:lang w:eastAsia="ja-JP"/>
        </w:rPr>
        <w:t>36</w:t>
      </w:r>
      <w:r w:rsidR="00A006DF">
        <w:rPr>
          <w:rFonts w:eastAsia="MS Mincho"/>
          <w:b/>
          <w:bCs/>
          <w:szCs w:val="24"/>
          <w:lang w:eastAsia="ja-JP"/>
        </w:rPr>
        <w:t>-я неделя</w:t>
      </w:r>
      <w:r>
        <w:rPr>
          <w:rFonts w:eastAsia="MS Mincho"/>
          <w:b/>
          <w:bCs/>
          <w:szCs w:val="24"/>
          <w:lang w:eastAsia="ja-JP"/>
        </w:rPr>
        <w:t>)</w:t>
      </w:r>
      <w:r w:rsidRPr="002D4615">
        <w:rPr>
          <w:rFonts w:eastAsia="MS Mincho"/>
          <w:szCs w:val="24"/>
          <w:lang w:val="da-DK" w:eastAsia="ja-JP"/>
        </w:rPr>
        <w:tab/>
      </w:r>
      <w:r w:rsidRPr="002D4615">
        <w:rPr>
          <w:rFonts w:eastAsia="MS Mincho"/>
          <w:szCs w:val="24"/>
          <w:lang w:val="da-DK" w:eastAsia="ja-JP"/>
        </w:rPr>
        <w:tab/>
      </w:r>
    </w:p>
    <w:p w14:paraId="3F93E994" w14:textId="77777777" w:rsidR="00533FE8" w:rsidRPr="002D4615" w:rsidRDefault="00421699" w:rsidP="00533FE8">
      <w:pPr>
        <w:widowControl/>
        <w:jc w:val="left"/>
        <w:rPr>
          <w:rFonts w:eastAsia="MS Mincho"/>
          <w:szCs w:val="24"/>
          <w:lang w:eastAsia="ja-JP"/>
        </w:rPr>
      </w:pPr>
      <w:r>
        <w:rPr>
          <w:rFonts w:eastAsia="MS Mincho"/>
          <w:szCs w:val="24"/>
          <w:lang w:eastAsia="ja-JP"/>
        </w:rPr>
        <w:t>Цитарабин**</w:t>
      </w:r>
      <w:r w:rsidR="00533FE8" w:rsidRPr="002D4615">
        <w:rPr>
          <w:rFonts w:eastAsia="MS Mincho"/>
          <w:szCs w:val="24"/>
          <w:lang w:eastAsia="ja-JP"/>
        </w:rPr>
        <w:t xml:space="preserve">                         </w:t>
      </w:r>
      <w:r w:rsidR="00D24FA8">
        <w:rPr>
          <w:rFonts w:eastAsia="MS Mincho"/>
          <w:szCs w:val="24"/>
          <w:lang w:eastAsia="ja-JP"/>
        </w:rPr>
        <w:tab/>
      </w:r>
      <w:r w:rsidR="00D24FA8">
        <w:rPr>
          <w:rFonts w:eastAsia="MS Mincho"/>
          <w:szCs w:val="24"/>
          <w:lang w:eastAsia="ja-JP"/>
        </w:rPr>
        <w:tab/>
      </w:r>
      <w:r w:rsidR="00533FE8" w:rsidRPr="002D4615">
        <w:rPr>
          <w:rFonts w:eastAsia="MS Mincho"/>
          <w:szCs w:val="24"/>
          <w:lang w:eastAsia="ja-JP"/>
        </w:rPr>
        <w:t>150 мг/м</w:t>
      </w:r>
      <w:r w:rsidR="00533FE8" w:rsidRPr="00AF151A">
        <w:rPr>
          <w:rFonts w:eastAsia="MS Mincho"/>
          <w:szCs w:val="24"/>
          <w:vertAlign w:val="superscript"/>
          <w:lang w:eastAsia="ja-JP"/>
        </w:rPr>
        <w:t>2</w:t>
      </w:r>
      <w:r w:rsidR="00533FE8" w:rsidRPr="002D4615">
        <w:rPr>
          <w:rFonts w:eastAsia="MS Mincho"/>
          <w:szCs w:val="24"/>
          <w:lang w:eastAsia="ja-JP"/>
        </w:rPr>
        <w:t xml:space="preserve"> в/в </w:t>
      </w:r>
      <w:r w:rsidR="00533FE8" w:rsidRPr="002D4615">
        <w:rPr>
          <w:rFonts w:eastAsia="MS Mincho"/>
          <w:szCs w:val="24"/>
          <w:lang w:eastAsia="ja-JP"/>
        </w:rPr>
        <w:tab/>
      </w:r>
      <w:r w:rsidR="00533FE8" w:rsidRPr="002D4615">
        <w:rPr>
          <w:rFonts w:eastAsia="MS Mincho"/>
          <w:szCs w:val="24"/>
          <w:lang w:eastAsia="ja-JP"/>
        </w:rPr>
        <w:tab/>
      </w:r>
      <w:r w:rsidR="00533FE8" w:rsidRPr="002D4615">
        <w:rPr>
          <w:rFonts w:eastAsia="MS Mincho"/>
          <w:szCs w:val="24"/>
          <w:lang w:eastAsia="ja-JP"/>
        </w:rPr>
        <w:tab/>
      </w:r>
      <w:r w:rsidR="00533FE8">
        <w:rPr>
          <w:rFonts w:eastAsia="MS Mincho"/>
          <w:szCs w:val="24"/>
          <w:lang w:eastAsia="ja-JP"/>
        </w:rPr>
        <w:t xml:space="preserve">   </w:t>
      </w:r>
      <w:r w:rsidR="00D24FA8">
        <w:rPr>
          <w:rFonts w:eastAsia="MS Mincho"/>
          <w:szCs w:val="24"/>
          <w:lang w:eastAsia="ja-JP"/>
        </w:rPr>
        <w:tab/>
      </w:r>
      <w:r w:rsidR="00A006DF">
        <w:rPr>
          <w:rFonts w:eastAsia="MS Mincho"/>
          <w:szCs w:val="24"/>
          <w:lang w:eastAsia="ja-JP"/>
        </w:rPr>
        <w:t>1–5-й дни</w:t>
      </w:r>
    </w:p>
    <w:p w14:paraId="2874A3EA" w14:textId="77777777" w:rsidR="00533FE8" w:rsidRPr="002D4615" w:rsidRDefault="00720E5F" w:rsidP="00533FE8">
      <w:pPr>
        <w:widowControl/>
        <w:jc w:val="left"/>
        <w:rPr>
          <w:rFonts w:eastAsia="MS Mincho"/>
          <w:szCs w:val="24"/>
          <w:lang w:eastAsia="ja-JP"/>
        </w:rPr>
      </w:pPr>
      <w:r>
        <w:rPr>
          <w:noProof/>
          <w:szCs w:val="24"/>
        </w:rPr>
        <mc:AlternateContent>
          <mc:Choice Requires="wps">
            <w:drawing>
              <wp:anchor distT="0" distB="0" distL="114300" distR="114300" simplePos="0" relativeHeight="251670016" behindDoc="0" locked="0" layoutInCell="1" allowOverlap="1" wp14:anchorId="1F3F1A1C" wp14:editId="52D97744">
                <wp:simplePos x="0" y="0"/>
                <wp:positionH relativeFrom="column">
                  <wp:posOffset>2736850</wp:posOffset>
                </wp:positionH>
                <wp:positionV relativeFrom="paragraph">
                  <wp:posOffset>254000</wp:posOffset>
                </wp:positionV>
                <wp:extent cx="51435" cy="730250"/>
                <wp:effectExtent l="0" t="0" r="0" b="6350"/>
                <wp:wrapNone/>
                <wp:docPr id="42" name="Правая фигурная скобка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435" cy="730250"/>
                        </a:xfrm>
                        <a:prstGeom prst="rightBrace">
                          <a:avLst>
                            <a:gd name="adj1" fmla="val 39977"/>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0D6F2E" id="Правая фигурная скобка 3" o:spid="_x0000_s1026" type="#_x0000_t88" style="position:absolute;margin-left:215.5pt;margin-top:20pt;width:4.05pt;height:57.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" adj="608"/>
            </w:pict>
          </mc:Fallback>
        </mc:AlternateContent>
      </w:r>
      <w:r w:rsidR="00533FE8" w:rsidRPr="002D4615">
        <w:rPr>
          <w:rFonts w:eastAsia="MS Mincho"/>
          <w:szCs w:val="24"/>
          <w:lang w:eastAsia="ja-JP"/>
        </w:rPr>
        <w:t xml:space="preserve">Тенипозид    </w:t>
      </w:r>
      <w:r w:rsidR="00533FE8" w:rsidRPr="002D4615">
        <w:rPr>
          <w:rFonts w:eastAsia="MS Mincho"/>
          <w:szCs w:val="24"/>
          <w:lang w:eastAsia="ja-JP"/>
        </w:rPr>
        <w:tab/>
      </w:r>
      <w:r w:rsidR="00533FE8" w:rsidRPr="002D4615">
        <w:rPr>
          <w:rFonts w:eastAsia="MS Mincho"/>
          <w:szCs w:val="24"/>
          <w:lang w:eastAsia="ja-JP"/>
        </w:rPr>
        <w:tab/>
        <w:t xml:space="preserve"> </w:t>
      </w:r>
      <w:r w:rsidR="00D24FA8">
        <w:rPr>
          <w:rFonts w:eastAsia="MS Mincho"/>
          <w:szCs w:val="24"/>
          <w:lang w:eastAsia="ja-JP"/>
        </w:rPr>
        <w:tab/>
      </w:r>
      <w:r w:rsidR="00D24FA8">
        <w:rPr>
          <w:rFonts w:eastAsia="MS Mincho"/>
          <w:szCs w:val="24"/>
          <w:lang w:eastAsia="ja-JP"/>
        </w:rPr>
        <w:tab/>
      </w:r>
      <w:r w:rsidR="00533FE8" w:rsidRPr="002D4615">
        <w:rPr>
          <w:rFonts w:eastAsia="MS Mincho"/>
          <w:szCs w:val="24"/>
          <w:lang w:eastAsia="ja-JP"/>
        </w:rPr>
        <w:t>100 мг/м</w:t>
      </w:r>
      <w:r w:rsidR="00533FE8" w:rsidRPr="00AF151A">
        <w:rPr>
          <w:rFonts w:eastAsia="MS Mincho"/>
          <w:szCs w:val="24"/>
          <w:vertAlign w:val="superscript"/>
          <w:lang w:eastAsia="ja-JP"/>
        </w:rPr>
        <w:t>2</w:t>
      </w:r>
      <w:r w:rsidR="00533FE8" w:rsidRPr="002D4615">
        <w:rPr>
          <w:rFonts w:eastAsia="MS Mincho"/>
          <w:szCs w:val="24"/>
          <w:lang w:eastAsia="ja-JP"/>
        </w:rPr>
        <w:t xml:space="preserve"> в/в (2 ч) </w:t>
      </w:r>
      <w:r w:rsidR="00533FE8" w:rsidRPr="002D4615">
        <w:rPr>
          <w:rFonts w:eastAsia="MS Mincho"/>
          <w:szCs w:val="24"/>
          <w:lang w:eastAsia="ja-JP"/>
        </w:rPr>
        <w:tab/>
      </w:r>
      <w:r w:rsidR="00533FE8" w:rsidRPr="002D4615">
        <w:rPr>
          <w:rFonts w:eastAsia="MS Mincho"/>
          <w:szCs w:val="24"/>
          <w:lang w:eastAsia="ja-JP"/>
        </w:rPr>
        <w:tab/>
      </w:r>
      <w:r w:rsidR="00D24FA8">
        <w:rPr>
          <w:rFonts w:eastAsia="MS Mincho"/>
          <w:szCs w:val="24"/>
          <w:lang w:eastAsia="ja-JP"/>
        </w:rPr>
        <w:tab/>
      </w:r>
      <w:r w:rsidR="00A006DF">
        <w:rPr>
          <w:rFonts w:eastAsia="MS Mincho"/>
          <w:szCs w:val="24"/>
          <w:lang w:eastAsia="ja-JP"/>
        </w:rPr>
        <w:t>1–</w:t>
      </w:r>
      <w:r w:rsidR="00533FE8" w:rsidRPr="002D4615">
        <w:rPr>
          <w:rFonts w:eastAsia="MS Mincho"/>
          <w:szCs w:val="24"/>
          <w:lang w:eastAsia="ja-JP"/>
        </w:rPr>
        <w:t>5</w:t>
      </w:r>
      <w:r w:rsidR="00A006DF">
        <w:rPr>
          <w:rFonts w:eastAsia="MS Mincho"/>
          <w:szCs w:val="24"/>
          <w:lang w:eastAsia="ja-JP"/>
        </w:rPr>
        <w:t>-й дни</w:t>
      </w:r>
    </w:p>
    <w:p w14:paraId="1DC116FC" w14:textId="77777777" w:rsidR="00533FE8" w:rsidRPr="002D4615" w:rsidRDefault="00533FE8" w:rsidP="00533FE8">
      <w:pPr>
        <w:widowControl/>
        <w:jc w:val="left"/>
        <w:rPr>
          <w:rFonts w:eastAsia="MS Mincho"/>
          <w:szCs w:val="24"/>
          <w:lang w:eastAsia="ja-JP"/>
        </w:rPr>
      </w:pPr>
      <w:r w:rsidRPr="002D4615">
        <w:rPr>
          <w:rFonts w:eastAsia="MS Mincho"/>
          <w:szCs w:val="24"/>
          <w:lang w:eastAsia="ja-JP"/>
        </w:rPr>
        <w:t>Метотрексат</w:t>
      </w:r>
      <w:r w:rsidR="00392AAF">
        <w:rPr>
          <w:rFonts w:eastAsia="MS Mincho"/>
          <w:szCs w:val="24"/>
          <w:lang w:eastAsia="ja-JP"/>
        </w:rPr>
        <w:t>**</w:t>
      </w:r>
      <w:r w:rsidRPr="002D4615">
        <w:rPr>
          <w:rFonts w:eastAsia="MS Mincho"/>
          <w:szCs w:val="24"/>
          <w:lang w:eastAsia="ja-JP"/>
        </w:rPr>
        <w:t xml:space="preserve">                       </w:t>
      </w:r>
      <w:r>
        <w:rPr>
          <w:rFonts w:eastAsia="MS Mincho"/>
          <w:szCs w:val="24"/>
          <w:lang w:eastAsia="ja-JP"/>
        </w:rPr>
        <w:t xml:space="preserve">  </w:t>
      </w:r>
      <w:r w:rsidR="0000078E">
        <w:rPr>
          <w:rFonts w:eastAsia="MS Mincho"/>
          <w:szCs w:val="24"/>
          <w:lang w:eastAsia="ja-JP"/>
        </w:rPr>
        <w:tab/>
      </w:r>
      <w:r w:rsidRPr="002D4615">
        <w:rPr>
          <w:rFonts w:eastAsia="MS Mincho"/>
          <w:szCs w:val="24"/>
          <w:lang w:eastAsia="ja-JP"/>
        </w:rPr>
        <w:t>15 мг</w:t>
      </w:r>
    </w:p>
    <w:p w14:paraId="139B8642" w14:textId="77777777" w:rsidR="00533FE8" w:rsidRPr="002D4615" w:rsidRDefault="00421699" w:rsidP="00533FE8">
      <w:pPr>
        <w:widowControl/>
        <w:jc w:val="left"/>
        <w:rPr>
          <w:rFonts w:eastAsia="MS Mincho"/>
          <w:szCs w:val="24"/>
          <w:lang w:eastAsia="ja-JP"/>
        </w:rPr>
      </w:pPr>
      <w:r>
        <w:rPr>
          <w:rFonts w:eastAsia="MS Mincho"/>
          <w:szCs w:val="24"/>
          <w:lang w:eastAsia="ja-JP"/>
        </w:rPr>
        <w:t>Цитарабин**</w:t>
      </w:r>
      <w:r w:rsidR="00533FE8" w:rsidRPr="002D4615">
        <w:rPr>
          <w:rFonts w:eastAsia="MS Mincho"/>
          <w:szCs w:val="24"/>
          <w:lang w:eastAsia="ja-JP"/>
        </w:rPr>
        <w:t xml:space="preserve">                         </w:t>
      </w:r>
      <w:r w:rsidR="00533FE8">
        <w:rPr>
          <w:rFonts w:eastAsia="MS Mincho"/>
          <w:szCs w:val="24"/>
          <w:lang w:eastAsia="ja-JP"/>
        </w:rPr>
        <w:t xml:space="preserve">  </w:t>
      </w:r>
      <w:r w:rsidR="00533FE8" w:rsidRPr="002D4615">
        <w:rPr>
          <w:rFonts w:eastAsia="MS Mincho"/>
          <w:szCs w:val="24"/>
          <w:lang w:eastAsia="ja-JP"/>
        </w:rPr>
        <w:t xml:space="preserve"> </w:t>
      </w:r>
      <w:r w:rsidR="0000078E">
        <w:rPr>
          <w:rFonts w:eastAsia="MS Mincho"/>
          <w:szCs w:val="24"/>
          <w:lang w:eastAsia="ja-JP"/>
        </w:rPr>
        <w:tab/>
      </w:r>
      <w:r w:rsidR="00533FE8" w:rsidRPr="002D4615">
        <w:rPr>
          <w:rFonts w:eastAsia="MS Mincho"/>
          <w:szCs w:val="24"/>
          <w:lang w:eastAsia="ja-JP"/>
        </w:rPr>
        <w:t xml:space="preserve">40 мг             интратекально     </w:t>
      </w:r>
      <w:r w:rsidR="00533FE8">
        <w:rPr>
          <w:rFonts w:eastAsia="MS Mincho"/>
          <w:szCs w:val="24"/>
          <w:lang w:eastAsia="ja-JP"/>
        </w:rPr>
        <w:t xml:space="preserve"> </w:t>
      </w:r>
      <w:r w:rsidR="0000078E">
        <w:rPr>
          <w:rFonts w:eastAsia="MS Mincho"/>
          <w:szCs w:val="24"/>
          <w:lang w:eastAsia="ja-JP"/>
        </w:rPr>
        <w:tab/>
      </w:r>
      <w:r w:rsidR="00533FE8" w:rsidRPr="002D4615">
        <w:rPr>
          <w:rFonts w:eastAsia="MS Mincho"/>
          <w:szCs w:val="24"/>
          <w:lang w:eastAsia="ja-JP"/>
        </w:rPr>
        <w:t>1</w:t>
      </w:r>
      <w:r w:rsidR="00A006DF">
        <w:rPr>
          <w:rFonts w:eastAsia="MS Mincho"/>
          <w:szCs w:val="24"/>
          <w:lang w:eastAsia="ja-JP"/>
        </w:rPr>
        <w:t>-й день</w:t>
      </w:r>
    </w:p>
    <w:p w14:paraId="507A5B1B" w14:textId="77777777" w:rsidR="00533FE8" w:rsidRPr="002D4615" w:rsidRDefault="00533FE8" w:rsidP="00533FE8">
      <w:pPr>
        <w:widowControl/>
        <w:jc w:val="left"/>
        <w:rPr>
          <w:rFonts w:eastAsia="MS Mincho"/>
          <w:szCs w:val="24"/>
          <w:lang w:eastAsia="ja-JP"/>
        </w:rPr>
      </w:pPr>
      <w:r>
        <w:rPr>
          <w:rFonts w:eastAsia="MS Mincho"/>
          <w:szCs w:val="24"/>
          <w:lang w:eastAsia="ja-JP"/>
        </w:rPr>
        <w:lastRenderedPageBreak/>
        <w:t>Дексаметазон</w:t>
      </w:r>
      <w:r w:rsidR="006F5D03">
        <w:rPr>
          <w:rFonts w:eastAsia="MS Mincho"/>
          <w:szCs w:val="24"/>
          <w:lang w:eastAsia="ja-JP"/>
        </w:rPr>
        <w:t>**</w:t>
      </w:r>
      <w:r>
        <w:rPr>
          <w:rFonts w:eastAsia="MS Mincho"/>
          <w:szCs w:val="24"/>
          <w:lang w:eastAsia="ja-JP"/>
        </w:rPr>
        <w:t xml:space="preserve">                       </w:t>
      </w:r>
      <w:r w:rsidR="0000078E">
        <w:rPr>
          <w:rFonts w:eastAsia="MS Mincho"/>
          <w:szCs w:val="24"/>
          <w:lang w:eastAsia="ja-JP"/>
        </w:rPr>
        <w:tab/>
      </w:r>
      <w:r w:rsidRPr="002D4615">
        <w:rPr>
          <w:rFonts w:eastAsia="MS Mincho"/>
          <w:szCs w:val="24"/>
          <w:lang w:eastAsia="ja-JP"/>
        </w:rPr>
        <w:t>4 мг</w:t>
      </w:r>
    </w:p>
    <w:p w14:paraId="0105FF71" w14:textId="77777777" w:rsidR="00533FE8" w:rsidRPr="002D4615" w:rsidRDefault="004148AD" w:rsidP="00533FE8">
      <w:pPr>
        <w:widowControl/>
        <w:jc w:val="left"/>
        <w:rPr>
          <w:rFonts w:eastAsia="MS Mincho"/>
          <w:b/>
          <w:bCs/>
          <w:szCs w:val="24"/>
          <w:lang w:eastAsia="ja-JP"/>
        </w:rPr>
      </w:pPr>
      <w:r>
        <w:rPr>
          <w:rFonts w:eastAsia="MS Mincho"/>
          <w:b/>
          <w:bCs/>
          <w:szCs w:val="24"/>
          <w:lang w:eastAsia="ja-JP"/>
        </w:rPr>
        <w:t xml:space="preserve">Консолидация </w:t>
      </w:r>
      <w:r>
        <w:rPr>
          <w:rFonts w:eastAsia="MS Mincho"/>
          <w:b/>
          <w:bCs/>
          <w:szCs w:val="24"/>
          <w:lang w:val="en-US" w:eastAsia="ja-JP"/>
        </w:rPr>
        <w:t>V</w:t>
      </w:r>
      <w:r w:rsidR="00A006DF">
        <w:rPr>
          <w:rFonts w:eastAsia="MS Mincho"/>
          <w:b/>
          <w:bCs/>
          <w:szCs w:val="24"/>
          <w:lang w:eastAsia="ja-JP"/>
        </w:rPr>
        <w:t xml:space="preserve"> (</w:t>
      </w:r>
      <w:r w:rsidR="00533FE8">
        <w:rPr>
          <w:rFonts w:eastAsia="MS Mincho"/>
          <w:b/>
          <w:bCs/>
          <w:szCs w:val="24"/>
          <w:lang w:eastAsia="ja-JP"/>
        </w:rPr>
        <w:t>41</w:t>
      </w:r>
      <w:r w:rsidR="00A006DF">
        <w:rPr>
          <w:rFonts w:eastAsia="MS Mincho"/>
          <w:b/>
          <w:bCs/>
          <w:szCs w:val="24"/>
          <w:lang w:eastAsia="ja-JP"/>
        </w:rPr>
        <w:t>-я неделя</w:t>
      </w:r>
      <w:r w:rsidR="00533FE8">
        <w:rPr>
          <w:rFonts w:eastAsia="MS Mincho"/>
          <w:b/>
          <w:bCs/>
          <w:szCs w:val="24"/>
          <w:lang w:eastAsia="ja-JP"/>
        </w:rPr>
        <w:t>)</w:t>
      </w:r>
    </w:p>
    <w:p w14:paraId="5E25435A" w14:textId="77777777" w:rsidR="00533FE8" w:rsidRPr="002D4615" w:rsidRDefault="00533FE8" w:rsidP="00533FE8">
      <w:pPr>
        <w:widowControl/>
        <w:jc w:val="left"/>
        <w:rPr>
          <w:rFonts w:eastAsia="MS Mincho"/>
          <w:szCs w:val="24"/>
          <w:lang w:eastAsia="ja-JP"/>
        </w:rPr>
      </w:pPr>
      <w:r w:rsidRPr="002D4615">
        <w:rPr>
          <w:rFonts w:eastAsia="MS Mincho"/>
          <w:szCs w:val="24"/>
          <w:lang w:eastAsia="ja-JP"/>
        </w:rPr>
        <w:t>Циклофосфамид</w:t>
      </w:r>
      <w:r w:rsidR="004C2C6A">
        <w:rPr>
          <w:rFonts w:eastAsia="MS Mincho"/>
          <w:szCs w:val="24"/>
          <w:lang w:eastAsia="ja-JP"/>
        </w:rPr>
        <w:t>**</w:t>
      </w:r>
      <w:r w:rsidRPr="002D4615">
        <w:rPr>
          <w:rFonts w:eastAsia="MS Mincho"/>
          <w:szCs w:val="24"/>
          <w:lang w:eastAsia="ja-JP"/>
        </w:rPr>
        <w:tab/>
      </w:r>
      <w:r w:rsidRPr="002D4615">
        <w:rPr>
          <w:rFonts w:eastAsia="MS Mincho"/>
          <w:szCs w:val="24"/>
          <w:lang w:eastAsia="ja-JP"/>
        </w:rPr>
        <w:tab/>
      </w:r>
      <w:r w:rsidR="0000078E">
        <w:rPr>
          <w:rFonts w:eastAsia="MS Mincho"/>
          <w:szCs w:val="24"/>
          <w:lang w:eastAsia="ja-JP"/>
        </w:rPr>
        <w:tab/>
      </w:r>
      <w:r w:rsidRPr="002D4615">
        <w:rPr>
          <w:rFonts w:eastAsia="MS Mincho"/>
          <w:szCs w:val="24"/>
          <w:lang w:eastAsia="ja-JP"/>
        </w:rPr>
        <w:t>1000 мг/м</w:t>
      </w:r>
      <w:r w:rsidRPr="00AF151A">
        <w:rPr>
          <w:rFonts w:eastAsia="MS Mincho"/>
          <w:szCs w:val="24"/>
          <w:vertAlign w:val="superscript"/>
          <w:lang w:eastAsia="ja-JP"/>
        </w:rPr>
        <w:t>2</w:t>
      </w:r>
      <w:r w:rsidRPr="002D4615">
        <w:rPr>
          <w:rFonts w:eastAsia="MS Mincho"/>
          <w:szCs w:val="24"/>
          <w:lang w:eastAsia="ja-JP"/>
        </w:rPr>
        <w:t xml:space="preserve"> в/в </w:t>
      </w:r>
      <w:r w:rsidRPr="002D4615">
        <w:rPr>
          <w:rFonts w:eastAsia="MS Mincho"/>
          <w:szCs w:val="24"/>
          <w:lang w:eastAsia="ja-JP"/>
        </w:rPr>
        <w:tab/>
      </w:r>
      <w:r w:rsidRPr="002D4615">
        <w:rPr>
          <w:rFonts w:eastAsia="MS Mincho"/>
          <w:szCs w:val="24"/>
          <w:lang w:eastAsia="ja-JP"/>
        </w:rPr>
        <w:tab/>
      </w:r>
      <w:r>
        <w:rPr>
          <w:rFonts w:eastAsia="MS Mincho"/>
          <w:szCs w:val="24"/>
          <w:lang w:eastAsia="ja-JP"/>
        </w:rPr>
        <w:t xml:space="preserve">    </w:t>
      </w:r>
      <w:r w:rsidR="0000078E">
        <w:rPr>
          <w:rFonts w:eastAsia="MS Mincho"/>
          <w:szCs w:val="24"/>
          <w:lang w:eastAsia="ja-JP"/>
        </w:rPr>
        <w:tab/>
      </w:r>
      <w:r w:rsidRPr="002D4615">
        <w:rPr>
          <w:rFonts w:eastAsia="MS Mincho"/>
          <w:szCs w:val="24"/>
          <w:lang w:eastAsia="ja-JP"/>
        </w:rPr>
        <w:t>1</w:t>
      </w:r>
      <w:r w:rsidR="00A006DF">
        <w:rPr>
          <w:rFonts w:eastAsia="MS Mincho"/>
          <w:szCs w:val="24"/>
          <w:lang w:eastAsia="ja-JP"/>
        </w:rPr>
        <w:t>-я неделя</w:t>
      </w:r>
    </w:p>
    <w:p w14:paraId="5695C177" w14:textId="77777777" w:rsidR="00533FE8" w:rsidRPr="002D4615" w:rsidRDefault="00421699" w:rsidP="00533FE8">
      <w:pPr>
        <w:widowControl/>
        <w:jc w:val="left"/>
        <w:rPr>
          <w:rFonts w:eastAsia="MS Mincho"/>
          <w:szCs w:val="24"/>
          <w:lang w:eastAsia="ja-JP"/>
        </w:rPr>
      </w:pPr>
      <w:r>
        <w:rPr>
          <w:rFonts w:eastAsia="MS Mincho"/>
          <w:szCs w:val="24"/>
          <w:lang w:eastAsia="ja-JP"/>
        </w:rPr>
        <w:t>Цитарабин**</w:t>
      </w:r>
      <w:r w:rsidR="00533FE8" w:rsidRPr="002D4615">
        <w:rPr>
          <w:rFonts w:eastAsia="MS Mincho"/>
          <w:szCs w:val="24"/>
          <w:lang w:eastAsia="ja-JP"/>
        </w:rPr>
        <w:t xml:space="preserve"> </w:t>
      </w:r>
      <w:r w:rsidR="00533FE8" w:rsidRPr="002D4615">
        <w:rPr>
          <w:rFonts w:eastAsia="MS Mincho"/>
          <w:szCs w:val="24"/>
          <w:lang w:eastAsia="ja-JP"/>
        </w:rPr>
        <w:tab/>
      </w:r>
      <w:r w:rsidR="00533FE8" w:rsidRPr="002D4615">
        <w:rPr>
          <w:rFonts w:eastAsia="MS Mincho"/>
          <w:szCs w:val="24"/>
          <w:lang w:eastAsia="ja-JP"/>
        </w:rPr>
        <w:tab/>
      </w:r>
      <w:r w:rsidR="00533FE8" w:rsidRPr="002D4615">
        <w:rPr>
          <w:rFonts w:eastAsia="MS Mincho"/>
          <w:szCs w:val="24"/>
          <w:lang w:eastAsia="ja-JP"/>
        </w:rPr>
        <w:tab/>
      </w:r>
      <w:r w:rsidR="0000078E">
        <w:rPr>
          <w:rFonts w:eastAsia="MS Mincho"/>
          <w:szCs w:val="24"/>
          <w:lang w:eastAsia="ja-JP"/>
        </w:rPr>
        <w:tab/>
      </w:r>
      <w:r w:rsidR="00533FE8" w:rsidRPr="002D4615">
        <w:rPr>
          <w:rFonts w:eastAsia="MS Mincho"/>
          <w:szCs w:val="24"/>
          <w:lang w:eastAsia="ja-JP"/>
        </w:rPr>
        <w:t>500 мг/м</w:t>
      </w:r>
      <w:r w:rsidR="00533FE8" w:rsidRPr="00AF151A">
        <w:rPr>
          <w:rFonts w:eastAsia="MS Mincho"/>
          <w:szCs w:val="24"/>
          <w:vertAlign w:val="superscript"/>
          <w:lang w:eastAsia="ja-JP"/>
        </w:rPr>
        <w:t>2</w:t>
      </w:r>
      <w:r w:rsidR="00533FE8" w:rsidRPr="002D4615">
        <w:rPr>
          <w:rFonts w:eastAsia="MS Mincho"/>
          <w:szCs w:val="24"/>
          <w:lang w:eastAsia="ja-JP"/>
        </w:rPr>
        <w:t xml:space="preserve"> в/в (24 ч)</w:t>
      </w:r>
      <w:r w:rsidR="00533FE8" w:rsidRPr="002D4615">
        <w:rPr>
          <w:rFonts w:eastAsia="MS Mincho"/>
          <w:szCs w:val="24"/>
          <w:lang w:eastAsia="ja-JP"/>
        </w:rPr>
        <w:tab/>
      </w:r>
      <w:r w:rsidR="00533FE8" w:rsidRPr="002D4615">
        <w:rPr>
          <w:rFonts w:eastAsia="MS Mincho"/>
          <w:szCs w:val="24"/>
          <w:lang w:eastAsia="ja-JP"/>
        </w:rPr>
        <w:tab/>
      </w:r>
      <w:r w:rsidR="00533FE8">
        <w:rPr>
          <w:rFonts w:eastAsia="MS Mincho"/>
          <w:szCs w:val="24"/>
          <w:lang w:eastAsia="ja-JP"/>
        </w:rPr>
        <w:t xml:space="preserve">    </w:t>
      </w:r>
      <w:r w:rsidR="0000078E">
        <w:rPr>
          <w:rFonts w:eastAsia="MS Mincho"/>
          <w:szCs w:val="24"/>
          <w:lang w:eastAsia="ja-JP"/>
        </w:rPr>
        <w:tab/>
      </w:r>
      <w:r w:rsidR="00533FE8" w:rsidRPr="002D4615">
        <w:rPr>
          <w:rFonts w:eastAsia="MS Mincho"/>
          <w:szCs w:val="24"/>
          <w:lang w:eastAsia="ja-JP"/>
        </w:rPr>
        <w:t>1</w:t>
      </w:r>
      <w:r w:rsidR="00A006DF">
        <w:rPr>
          <w:rFonts w:eastAsia="MS Mincho"/>
          <w:szCs w:val="24"/>
          <w:lang w:eastAsia="ja-JP"/>
        </w:rPr>
        <w:t>-я неделя</w:t>
      </w:r>
    </w:p>
    <w:p w14:paraId="4A2BDB81" w14:textId="77777777" w:rsidR="00533FE8" w:rsidRPr="002D4615" w:rsidRDefault="00720E5F" w:rsidP="00533FE8">
      <w:pPr>
        <w:widowControl/>
        <w:jc w:val="left"/>
        <w:rPr>
          <w:rFonts w:eastAsia="MS Mincho"/>
          <w:szCs w:val="24"/>
          <w:lang w:eastAsia="ja-JP"/>
        </w:rPr>
      </w:pPr>
      <w:r>
        <w:rPr>
          <w:noProof/>
          <w:szCs w:val="24"/>
        </w:rPr>
        <mc:AlternateContent>
          <mc:Choice Requires="wps">
            <w:drawing>
              <wp:anchor distT="0" distB="0" distL="114300" distR="114300" simplePos="0" relativeHeight="251671040" behindDoc="0" locked="0" layoutInCell="1" allowOverlap="1" wp14:anchorId="7BC15666" wp14:editId="431C7A12">
                <wp:simplePos x="0" y="0"/>
                <wp:positionH relativeFrom="column">
                  <wp:posOffset>2673350</wp:posOffset>
                </wp:positionH>
                <wp:positionV relativeFrom="paragraph">
                  <wp:posOffset>20320</wp:posOffset>
                </wp:positionV>
                <wp:extent cx="114935" cy="652780"/>
                <wp:effectExtent l="0" t="0" r="0" b="0"/>
                <wp:wrapNone/>
                <wp:docPr id="41" name="Правая фигурная скобка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935" cy="652780"/>
                        </a:xfrm>
                        <a:prstGeom prst="rightBrace">
                          <a:avLst>
                            <a:gd name="adj1" fmla="val 39977"/>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69BB53" id="Правая фигурная скобка 4" o:spid="_x0000_s1026" type="#_x0000_t88" style="position:absolute;margin-left:210.5pt;margin-top:1.6pt;width:9.05pt;height:51.4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" adj="1520"/>
            </w:pict>
          </mc:Fallback>
        </mc:AlternateContent>
      </w:r>
      <w:r w:rsidR="00533FE8" w:rsidRPr="002D4615">
        <w:rPr>
          <w:rFonts w:eastAsia="MS Mincho"/>
          <w:szCs w:val="24"/>
          <w:lang w:eastAsia="ja-JP"/>
        </w:rPr>
        <w:t>Метотрексат</w:t>
      </w:r>
      <w:r w:rsidR="00392AAF">
        <w:rPr>
          <w:rFonts w:eastAsia="MS Mincho"/>
          <w:szCs w:val="24"/>
          <w:lang w:eastAsia="ja-JP"/>
        </w:rPr>
        <w:t>**</w:t>
      </w:r>
      <w:r w:rsidR="00533FE8" w:rsidRPr="002D4615">
        <w:rPr>
          <w:rFonts w:eastAsia="MS Mincho"/>
          <w:szCs w:val="24"/>
          <w:lang w:eastAsia="ja-JP"/>
        </w:rPr>
        <w:t xml:space="preserve">                       </w:t>
      </w:r>
      <w:r w:rsidR="0000078E">
        <w:rPr>
          <w:rFonts w:eastAsia="MS Mincho"/>
          <w:szCs w:val="24"/>
          <w:lang w:eastAsia="ja-JP"/>
        </w:rPr>
        <w:tab/>
      </w:r>
      <w:r w:rsidR="00533FE8" w:rsidRPr="002D4615">
        <w:rPr>
          <w:rFonts w:eastAsia="MS Mincho"/>
          <w:szCs w:val="24"/>
          <w:lang w:eastAsia="ja-JP"/>
        </w:rPr>
        <w:t>15 мг</w:t>
      </w:r>
    </w:p>
    <w:p w14:paraId="0F90C593" w14:textId="77777777" w:rsidR="00533FE8" w:rsidRPr="002D4615" w:rsidRDefault="00421699" w:rsidP="00533FE8">
      <w:pPr>
        <w:widowControl/>
        <w:jc w:val="left"/>
        <w:rPr>
          <w:rFonts w:eastAsia="MS Mincho"/>
          <w:szCs w:val="24"/>
          <w:lang w:eastAsia="ja-JP"/>
        </w:rPr>
      </w:pPr>
      <w:r>
        <w:rPr>
          <w:rFonts w:eastAsia="MS Mincho"/>
          <w:szCs w:val="24"/>
          <w:lang w:eastAsia="ja-JP"/>
        </w:rPr>
        <w:t>Цитарабин**</w:t>
      </w:r>
      <w:r w:rsidR="00533FE8" w:rsidRPr="002D4615">
        <w:rPr>
          <w:rFonts w:eastAsia="MS Mincho"/>
          <w:szCs w:val="24"/>
          <w:lang w:eastAsia="ja-JP"/>
        </w:rPr>
        <w:t xml:space="preserve">                          </w:t>
      </w:r>
      <w:r w:rsidR="0000078E">
        <w:rPr>
          <w:rFonts w:eastAsia="MS Mincho"/>
          <w:szCs w:val="24"/>
          <w:lang w:eastAsia="ja-JP"/>
        </w:rPr>
        <w:tab/>
      </w:r>
      <w:r w:rsidR="00533FE8" w:rsidRPr="002D4615">
        <w:rPr>
          <w:rFonts w:eastAsia="MS Mincho"/>
          <w:szCs w:val="24"/>
          <w:lang w:eastAsia="ja-JP"/>
        </w:rPr>
        <w:t xml:space="preserve">40 мг        интратекально          </w:t>
      </w:r>
      <w:r w:rsidR="00533FE8">
        <w:rPr>
          <w:rFonts w:eastAsia="MS Mincho"/>
          <w:szCs w:val="24"/>
          <w:lang w:eastAsia="ja-JP"/>
        </w:rPr>
        <w:t xml:space="preserve">   </w:t>
      </w:r>
      <w:r w:rsidR="0000078E">
        <w:rPr>
          <w:rFonts w:eastAsia="MS Mincho"/>
          <w:szCs w:val="24"/>
          <w:lang w:eastAsia="ja-JP"/>
        </w:rPr>
        <w:tab/>
      </w:r>
      <w:r w:rsidR="00533FE8" w:rsidRPr="002D4615">
        <w:rPr>
          <w:rFonts w:eastAsia="MS Mincho"/>
          <w:szCs w:val="24"/>
          <w:lang w:eastAsia="ja-JP"/>
        </w:rPr>
        <w:t>1</w:t>
      </w:r>
      <w:r w:rsidR="00A006DF">
        <w:rPr>
          <w:rFonts w:eastAsia="MS Mincho"/>
          <w:szCs w:val="24"/>
          <w:lang w:eastAsia="ja-JP"/>
        </w:rPr>
        <w:t>-я неделя</w:t>
      </w:r>
    </w:p>
    <w:p w14:paraId="3FF8467C" w14:textId="77777777" w:rsidR="00533FE8" w:rsidRPr="002D4615" w:rsidRDefault="00533FE8" w:rsidP="00533FE8">
      <w:pPr>
        <w:widowControl/>
        <w:jc w:val="left"/>
        <w:rPr>
          <w:rFonts w:eastAsia="MS Mincho"/>
          <w:szCs w:val="24"/>
          <w:lang w:eastAsia="ja-JP"/>
        </w:rPr>
      </w:pPr>
      <w:r>
        <w:rPr>
          <w:rFonts w:eastAsia="MS Mincho"/>
          <w:szCs w:val="24"/>
          <w:lang w:eastAsia="ja-JP"/>
        </w:rPr>
        <w:t>Дексаметазон</w:t>
      </w:r>
      <w:r w:rsidR="006F5D03">
        <w:rPr>
          <w:rFonts w:eastAsia="MS Mincho"/>
          <w:szCs w:val="24"/>
          <w:lang w:eastAsia="ja-JP"/>
        </w:rPr>
        <w:t>**</w:t>
      </w:r>
      <w:r>
        <w:rPr>
          <w:rFonts w:eastAsia="MS Mincho"/>
          <w:szCs w:val="24"/>
          <w:lang w:eastAsia="ja-JP"/>
        </w:rPr>
        <w:t xml:space="preserve">                      </w:t>
      </w:r>
      <w:r w:rsidR="0000078E">
        <w:rPr>
          <w:rFonts w:eastAsia="MS Mincho"/>
          <w:szCs w:val="24"/>
          <w:lang w:eastAsia="ja-JP"/>
        </w:rPr>
        <w:tab/>
      </w:r>
      <w:r>
        <w:rPr>
          <w:rFonts w:eastAsia="MS Mincho"/>
          <w:szCs w:val="24"/>
          <w:lang w:eastAsia="ja-JP"/>
        </w:rPr>
        <w:t>4 мг</w:t>
      </w:r>
    </w:p>
    <w:p w14:paraId="32B4D1B9" w14:textId="77777777" w:rsidR="00533FE8" w:rsidRPr="002D4615" w:rsidRDefault="00533FE8" w:rsidP="00533FE8">
      <w:pPr>
        <w:widowControl/>
        <w:rPr>
          <w:rFonts w:eastAsia="MS Mincho"/>
          <w:szCs w:val="24"/>
          <w:lang w:eastAsia="ja-JP"/>
        </w:rPr>
      </w:pPr>
      <w:r w:rsidRPr="002D4615">
        <w:rPr>
          <w:rFonts w:eastAsia="MS Mincho"/>
          <w:szCs w:val="24"/>
          <w:lang w:eastAsia="ja-JP"/>
        </w:rPr>
        <w:t>Оценка ремиссии: 46</w:t>
      </w:r>
      <w:r w:rsidR="00A006DF">
        <w:rPr>
          <w:rFonts w:eastAsia="MS Mincho"/>
          <w:szCs w:val="24"/>
          <w:lang w:eastAsia="ja-JP"/>
        </w:rPr>
        <w:t>-я неделя</w:t>
      </w:r>
      <w:r w:rsidRPr="002D4615">
        <w:rPr>
          <w:rFonts w:eastAsia="MS Mincho"/>
          <w:szCs w:val="24"/>
          <w:lang w:eastAsia="ja-JP"/>
        </w:rPr>
        <w:t xml:space="preserve"> (с оценкой </w:t>
      </w:r>
      <w:r w:rsidR="00AF128D">
        <w:rPr>
          <w:rFonts w:eastAsia="MS Mincho"/>
          <w:szCs w:val="24"/>
          <w:lang w:eastAsia="ja-JP"/>
        </w:rPr>
        <w:t>МОБ</w:t>
      </w:r>
      <w:r w:rsidRPr="002D4615">
        <w:rPr>
          <w:rFonts w:eastAsia="MS Mincho"/>
          <w:szCs w:val="24"/>
          <w:lang w:eastAsia="ja-JP"/>
        </w:rPr>
        <w:t>).</w:t>
      </w:r>
    </w:p>
    <w:p w14:paraId="5DDE7568" w14:textId="77777777" w:rsidR="00533FE8" w:rsidRPr="002D4615" w:rsidRDefault="004148AD" w:rsidP="00533FE8">
      <w:pPr>
        <w:widowControl/>
        <w:jc w:val="left"/>
        <w:rPr>
          <w:rFonts w:eastAsia="MS Mincho"/>
          <w:b/>
          <w:bCs/>
          <w:szCs w:val="24"/>
          <w:lang w:eastAsia="ja-JP"/>
        </w:rPr>
      </w:pPr>
      <w:r>
        <w:rPr>
          <w:rFonts w:eastAsia="MS Mincho"/>
          <w:b/>
          <w:bCs/>
          <w:szCs w:val="24"/>
          <w:lang w:eastAsia="ja-JP"/>
        </w:rPr>
        <w:t xml:space="preserve">Консолидация </w:t>
      </w:r>
      <w:r>
        <w:rPr>
          <w:rFonts w:eastAsia="MS Mincho"/>
          <w:b/>
          <w:bCs/>
          <w:szCs w:val="24"/>
          <w:lang w:val="en-US" w:eastAsia="ja-JP"/>
        </w:rPr>
        <w:t>VI</w:t>
      </w:r>
      <w:r w:rsidR="00A006DF">
        <w:rPr>
          <w:rFonts w:eastAsia="MS Mincho"/>
          <w:b/>
          <w:bCs/>
          <w:szCs w:val="24"/>
          <w:lang w:eastAsia="ja-JP"/>
        </w:rPr>
        <w:t xml:space="preserve"> (</w:t>
      </w:r>
      <w:r w:rsidR="00533FE8">
        <w:rPr>
          <w:rFonts w:eastAsia="MS Mincho"/>
          <w:b/>
          <w:bCs/>
          <w:szCs w:val="24"/>
          <w:lang w:eastAsia="ja-JP"/>
        </w:rPr>
        <w:t>46</w:t>
      </w:r>
      <w:r w:rsidR="00A006DF">
        <w:rPr>
          <w:rFonts w:eastAsia="MS Mincho"/>
          <w:b/>
          <w:bCs/>
          <w:szCs w:val="24"/>
          <w:lang w:eastAsia="ja-JP"/>
        </w:rPr>
        <w:t>-я неделя</w:t>
      </w:r>
      <w:r w:rsidR="00533FE8">
        <w:rPr>
          <w:rFonts w:eastAsia="MS Mincho"/>
          <w:b/>
          <w:bCs/>
          <w:szCs w:val="24"/>
          <w:lang w:eastAsia="ja-JP"/>
        </w:rPr>
        <w:t>)</w:t>
      </w:r>
    </w:p>
    <w:p w14:paraId="62CFBCE9" w14:textId="7D92315B" w:rsidR="002D62BD" w:rsidRPr="005A5554" w:rsidRDefault="002D62BD" w:rsidP="002D62BD">
      <w:pPr>
        <w:widowControl/>
        <w:jc w:val="left"/>
        <w:rPr>
          <w:rFonts w:eastAsia="MS Mincho"/>
          <w:szCs w:val="24"/>
          <w:lang w:eastAsia="ja-JP"/>
        </w:rPr>
      </w:pPr>
      <w:r w:rsidRPr="005A5554">
        <w:rPr>
          <w:rFonts w:eastAsia="MS Mincho"/>
          <w:szCs w:val="24"/>
          <w:lang w:eastAsia="ja-JP"/>
        </w:rPr>
        <w:t>Метотрексат</w:t>
      </w:r>
      <w:r>
        <w:rPr>
          <w:rFonts w:eastAsia="MS Mincho"/>
          <w:szCs w:val="24"/>
          <w:lang w:eastAsia="ja-JP"/>
        </w:rPr>
        <w:t>**</w:t>
      </w:r>
      <w:r w:rsidRPr="005A5554">
        <w:rPr>
          <w:rFonts w:eastAsia="MS Mincho"/>
          <w:szCs w:val="24"/>
          <w:lang w:eastAsia="ja-JP"/>
        </w:rPr>
        <w:t xml:space="preserve">             </w:t>
      </w:r>
      <w:r>
        <w:rPr>
          <w:rFonts w:eastAsia="MS Mincho"/>
          <w:szCs w:val="24"/>
          <w:lang w:eastAsia="ja-JP"/>
        </w:rPr>
        <w:t xml:space="preserve">          1.5г/м2 в/в (24 ч) </w:t>
      </w:r>
      <w:r>
        <w:rPr>
          <w:rFonts w:eastAsia="MS Mincho"/>
          <w:szCs w:val="24"/>
          <w:lang w:eastAsia="ja-JP"/>
        </w:rPr>
        <w:tab/>
      </w:r>
      <w:r>
        <w:rPr>
          <w:rFonts w:eastAsia="MS Mincho"/>
          <w:szCs w:val="24"/>
          <w:lang w:eastAsia="ja-JP"/>
        </w:rPr>
        <w:tab/>
      </w:r>
      <w:r w:rsidRPr="005A5554">
        <w:rPr>
          <w:rFonts w:eastAsia="MS Mincho"/>
          <w:szCs w:val="24"/>
          <w:lang w:eastAsia="ja-JP"/>
        </w:rPr>
        <w:t>День 1,15</w:t>
      </w:r>
    </w:p>
    <w:p w14:paraId="568F2F47" w14:textId="77777777" w:rsidR="002D62BD" w:rsidRPr="005A5554" w:rsidRDefault="002D62BD" w:rsidP="002D62BD">
      <w:pPr>
        <w:widowControl/>
        <w:ind w:firstLine="720"/>
        <w:jc w:val="left"/>
        <w:rPr>
          <w:rFonts w:eastAsia="MS Mincho"/>
          <w:szCs w:val="24"/>
          <w:lang w:eastAsia="ja-JP"/>
        </w:rPr>
      </w:pPr>
      <w:r w:rsidRPr="005A5554">
        <w:rPr>
          <w:rFonts w:eastAsia="MS Mincho"/>
          <w:i/>
          <w:szCs w:val="24"/>
          <w:lang w:eastAsia="ja-JP"/>
        </w:rPr>
        <w:t xml:space="preserve">Возраст &gt;55 л  </w:t>
      </w:r>
      <w:r w:rsidRPr="005A5554">
        <w:rPr>
          <w:rFonts w:eastAsia="MS Mincho"/>
          <w:i/>
          <w:szCs w:val="24"/>
          <w:lang w:eastAsia="ja-JP"/>
        </w:rPr>
        <w:tab/>
        <w:t xml:space="preserve"> 1.0 г/м2 в/в </w:t>
      </w:r>
      <w:r w:rsidRPr="005A5554">
        <w:rPr>
          <w:rFonts w:eastAsia="MS Mincho"/>
          <w:i/>
          <w:szCs w:val="24"/>
          <w:lang w:eastAsia="ja-JP"/>
        </w:rPr>
        <w:tab/>
      </w:r>
      <w:r w:rsidRPr="005A5554">
        <w:rPr>
          <w:rFonts w:eastAsia="MS Mincho"/>
          <w:i/>
          <w:szCs w:val="24"/>
          <w:lang w:eastAsia="ja-JP"/>
        </w:rPr>
        <w:tab/>
      </w:r>
      <w:r w:rsidRPr="005A5554">
        <w:rPr>
          <w:rFonts w:eastAsia="MS Mincho"/>
          <w:szCs w:val="24"/>
          <w:lang w:eastAsia="ja-JP"/>
        </w:rPr>
        <w:tab/>
      </w:r>
    </w:p>
    <w:p w14:paraId="4E15A191" w14:textId="7EDC9644" w:rsidR="002D62BD" w:rsidRPr="00EC7111" w:rsidRDefault="002D62BD" w:rsidP="002D62BD">
      <w:pPr>
        <w:widowControl/>
        <w:jc w:val="left"/>
        <w:rPr>
          <w:rFonts w:eastAsia="MS Mincho"/>
          <w:color w:val="FF0000"/>
          <w:szCs w:val="24"/>
          <w:lang w:eastAsia="ja-JP"/>
        </w:rPr>
      </w:pPr>
      <w:r w:rsidRPr="009F500F">
        <w:rPr>
          <w:rFonts w:eastAsia="MS Mincho"/>
          <w:szCs w:val="24"/>
          <w:lang w:eastAsia="ja-JP"/>
        </w:rPr>
        <w:t>Пэгаспарагаза**</w:t>
      </w:r>
      <w:r w:rsidRPr="009F500F">
        <w:rPr>
          <w:rFonts w:eastAsia="MS Mincho"/>
          <w:szCs w:val="24"/>
          <w:lang w:eastAsia="ja-JP"/>
        </w:rPr>
        <w:tab/>
      </w:r>
      <w:r w:rsidRPr="009F500F">
        <w:rPr>
          <w:rFonts w:eastAsia="MS Mincho"/>
          <w:szCs w:val="24"/>
          <w:lang w:eastAsia="ja-JP"/>
        </w:rPr>
        <w:tab/>
        <w:t xml:space="preserve"> 500 ед/м2 в/в (2 ч) </w:t>
      </w:r>
      <w:r w:rsidRPr="009F500F">
        <w:rPr>
          <w:rFonts w:eastAsia="MS Mincho"/>
          <w:szCs w:val="24"/>
          <w:lang w:eastAsia="ja-JP"/>
        </w:rPr>
        <w:tab/>
      </w:r>
      <w:r w:rsidRPr="009F500F">
        <w:rPr>
          <w:rFonts w:eastAsia="MS Mincho"/>
          <w:szCs w:val="24"/>
          <w:lang w:eastAsia="ja-JP"/>
        </w:rPr>
        <w:tab/>
        <w:t>Дни 2, 16</w:t>
      </w:r>
    </w:p>
    <w:p w14:paraId="2EE40B4C" w14:textId="7C5EB27F" w:rsidR="002D62BD" w:rsidRPr="005A5554" w:rsidRDefault="002D62BD" w:rsidP="002D62BD">
      <w:pPr>
        <w:widowControl/>
        <w:jc w:val="left"/>
        <w:rPr>
          <w:rFonts w:eastAsia="MS Mincho"/>
          <w:szCs w:val="24"/>
          <w:lang w:eastAsia="ja-JP"/>
        </w:rPr>
      </w:pPr>
      <w:r w:rsidRPr="005A5554">
        <w:rPr>
          <w:rFonts w:eastAsia="MS Mincho"/>
          <w:szCs w:val="24"/>
          <w:lang w:eastAsia="ja-JP"/>
        </w:rPr>
        <w:t>6-меркаптопурин</w:t>
      </w:r>
      <w:r>
        <w:rPr>
          <w:rFonts w:eastAsia="MS Mincho"/>
          <w:szCs w:val="24"/>
          <w:lang w:eastAsia="ja-JP"/>
        </w:rPr>
        <w:t>**</w:t>
      </w:r>
      <w:r w:rsidRPr="005A5554">
        <w:rPr>
          <w:rFonts w:eastAsia="MS Mincho"/>
          <w:szCs w:val="24"/>
          <w:lang w:eastAsia="ja-JP"/>
        </w:rPr>
        <w:tab/>
      </w:r>
      <w:r w:rsidRPr="005A5554">
        <w:rPr>
          <w:rFonts w:eastAsia="MS Mincho"/>
          <w:szCs w:val="24"/>
          <w:lang w:eastAsia="ja-JP"/>
        </w:rPr>
        <w:tab/>
        <w:t xml:space="preserve"> 60 мг</w:t>
      </w:r>
      <w:r>
        <w:rPr>
          <w:rFonts w:eastAsia="MS Mincho"/>
          <w:szCs w:val="24"/>
          <w:lang w:eastAsia="ja-JP"/>
        </w:rPr>
        <w:t>/м2 внутрь</w:t>
      </w:r>
      <w:r>
        <w:rPr>
          <w:rFonts w:eastAsia="MS Mincho"/>
          <w:szCs w:val="24"/>
          <w:lang w:eastAsia="ja-JP"/>
        </w:rPr>
        <w:tab/>
        <w:t xml:space="preserve">            </w:t>
      </w:r>
      <w:r w:rsidRPr="005A5554">
        <w:rPr>
          <w:rFonts w:eastAsia="MS Mincho"/>
          <w:szCs w:val="24"/>
          <w:lang w:eastAsia="ja-JP"/>
        </w:rPr>
        <w:t>Дни 1-7, 15-21</w:t>
      </w:r>
    </w:p>
    <w:p w14:paraId="418D3FA7" w14:textId="77777777" w:rsidR="002D62BD" w:rsidRDefault="002D62BD" w:rsidP="00533FE8">
      <w:pPr>
        <w:widowControl/>
        <w:jc w:val="left"/>
        <w:rPr>
          <w:rFonts w:eastAsia="MS Mincho"/>
          <w:szCs w:val="24"/>
          <w:lang w:eastAsia="ja-JP"/>
        </w:rPr>
      </w:pPr>
    </w:p>
    <w:p w14:paraId="15D03367" w14:textId="77777777" w:rsidR="00533FE8" w:rsidRPr="002D4615" w:rsidRDefault="00533FE8" w:rsidP="00533FE8">
      <w:pPr>
        <w:widowControl/>
        <w:jc w:val="left"/>
        <w:rPr>
          <w:rFonts w:eastAsia="MS Mincho"/>
          <w:b/>
          <w:szCs w:val="24"/>
          <w:lang w:eastAsia="ja-JP"/>
        </w:rPr>
      </w:pPr>
      <w:r w:rsidRPr="002D4615">
        <w:rPr>
          <w:rFonts w:eastAsia="MS Mincho"/>
          <w:b/>
          <w:szCs w:val="24"/>
          <w:lang w:eastAsia="ja-JP"/>
        </w:rPr>
        <w:t xml:space="preserve">Интратекальное </w:t>
      </w:r>
      <w:r w:rsidR="004148AD">
        <w:rPr>
          <w:rFonts w:eastAsia="MS Mincho"/>
          <w:b/>
          <w:szCs w:val="24"/>
          <w:lang w:eastAsia="ja-JP"/>
        </w:rPr>
        <w:t>введение препаратов (</w:t>
      </w:r>
      <w:r>
        <w:rPr>
          <w:rFonts w:eastAsia="MS Mincho"/>
          <w:b/>
          <w:szCs w:val="24"/>
          <w:lang w:eastAsia="ja-JP"/>
        </w:rPr>
        <w:t>52</w:t>
      </w:r>
      <w:r w:rsidR="004148AD">
        <w:rPr>
          <w:rFonts w:eastAsia="MS Mincho"/>
          <w:b/>
          <w:szCs w:val="24"/>
          <w:lang w:eastAsia="ja-JP"/>
        </w:rPr>
        <w:t>-я неделя</w:t>
      </w:r>
      <w:r>
        <w:rPr>
          <w:rFonts w:eastAsia="MS Mincho"/>
          <w:b/>
          <w:szCs w:val="24"/>
          <w:lang w:eastAsia="ja-JP"/>
        </w:rPr>
        <w:t>)</w:t>
      </w:r>
    </w:p>
    <w:p w14:paraId="6F50B37B" w14:textId="77777777" w:rsidR="00533FE8" w:rsidRPr="002D4615" w:rsidRDefault="00720E5F" w:rsidP="00533FE8">
      <w:pPr>
        <w:widowControl/>
        <w:jc w:val="left"/>
        <w:rPr>
          <w:rFonts w:eastAsia="MS Mincho"/>
          <w:szCs w:val="24"/>
          <w:lang w:eastAsia="ja-JP"/>
        </w:rPr>
      </w:pPr>
      <w:r>
        <w:rPr>
          <w:noProof/>
          <w:szCs w:val="24"/>
        </w:rPr>
        <mc:AlternateContent>
          <mc:Choice Requires="wps">
            <w:drawing>
              <wp:anchor distT="0" distB="0" distL="114300" distR="114300" simplePos="0" relativeHeight="251672064" behindDoc="0" locked="0" layoutInCell="1" allowOverlap="1" wp14:anchorId="3683D77C" wp14:editId="7AEE8CCE">
                <wp:simplePos x="0" y="0"/>
                <wp:positionH relativeFrom="column">
                  <wp:posOffset>2675255</wp:posOffset>
                </wp:positionH>
                <wp:positionV relativeFrom="paragraph">
                  <wp:posOffset>39370</wp:posOffset>
                </wp:positionV>
                <wp:extent cx="90805" cy="650240"/>
                <wp:effectExtent l="0" t="0" r="0" b="0"/>
                <wp:wrapNone/>
                <wp:docPr id="40" name="Правая фигурная скобка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650240"/>
                        </a:xfrm>
                        <a:prstGeom prst="rightBrace">
                          <a:avLst>
                            <a:gd name="adj1" fmla="val 39977"/>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60A758" id="Правая фигурная скобка 5" o:spid="_x0000_s1026" type="#_x0000_t88" style="position:absolute;margin-left:210.65pt;margin-top:3.1pt;width:7.15pt;height:51.2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" adj="1206"/>
            </w:pict>
          </mc:Fallback>
        </mc:AlternateContent>
      </w:r>
      <w:r w:rsidR="00533FE8" w:rsidRPr="002D4615">
        <w:rPr>
          <w:rFonts w:eastAsia="MS Mincho"/>
          <w:szCs w:val="24"/>
          <w:lang w:eastAsia="ja-JP"/>
        </w:rPr>
        <w:t>Метотрексат</w:t>
      </w:r>
      <w:r w:rsidR="00392AAF">
        <w:rPr>
          <w:rFonts w:eastAsia="MS Mincho"/>
          <w:szCs w:val="24"/>
          <w:lang w:eastAsia="ja-JP"/>
        </w:rPr>
        <w:t>**</w:t>
      </w:r>
      <w:r w:rsidR="00533FE8" w:rsidRPr="002D4615">
        <w:rPr>
          <w:rFonts w:eastAsia="MS Mincho"/>
          <w:szCs w:val="24"/>
          <w:lang w:eastAsia="ja-JP"/>
        </w:rPr>
        <w:t xml:space="preserve">                       </w:t>
      </w:r>
      <w:r w:rsidR="0000078E">
        <w:rPr>
          <w:rFonts w:eastAsia="MS Mincho"/>
          <w:szCs w:val="24"/>
          <w:lang w:eastAsia="ja-JP"/>
        </w:rPr>
        <w:tab/>
      </w:r>
      <w:r w:rsidR="00533FE8" w:rsidRPr="002D4615">
        <w:rPr>
          <w:rFonts w:eastAsia="MS Mincho"/>
          <w:szCs w:val="24"/>
          <w:lang w:eastAsia="ja-JP"/>
        </w:rPr>
        <w:t>15 мг</w:t>
      </w:r>
    </w:p>
    <w:p w14:paraId="06027750" w14:textId="127D1EB4" w:rsidR="00533FE8" w:rsidRPr="002D4615" w:rsidRDefault="00421699" w:rsidP="00533FE8">
      <w:pPr>
        <w:widowControl/>
        <w:jc w:val="left"/>
        <w:rPr>
          <w:rFonts w:eastAsia="MS Mincho"/>
          <w:szCs w:val="24"/>
          <w:lang w:eastAsia="ja-JP"/>
        </w:rPr>
      </w:pPr>
      <w:r>
        <w:rPr>
          <w:rFonts w:eastAsia="MS Mincho"/>
          <w:szCs w:val="24"/>
          <w:lang w:eastAsia="ja-JP"/>
        </w:rPr>
        <w:t>Цитарабин**</w:t>
      </w:r>
      <w:r w:rsidR="00533FE8" w:rsidRPr="002D4615">
        <w:rPr>
          <w:rFonts w:eastAsia="MS Mincho"/>
          <w:szCs w:val="24"/>
          <w:lang w:eastAsia="ja-JP"/>
        </w:rPr>
        <w:t xml:space="preserve">                          </w:t>
      </w:r>
      <w:r w:rsidR="0000078E">
        <w:rPr>
          <w:rFonts w:eastAsia="MS Mincho"/>
          <w:szCs w:val="24"/>
          <w:lang w:eastAsia="ja-JP"/>
        </w:rPr>
        <w:tab/>
      </w:r>
      <w:r w:rsidR="002D62BD">
        <w:rPr>
          <w:rFonts w:eastAsia="MS Mincho"/>
          <w:szCs w:val="24"/>
          <w:lang w:eastAsia="ja-JP"/>
        </w:rPr>
        <w:t>3</w:t>
      </w:r>
      <w:r w:rsidR="00533FE8" w:rsidRPr="002D4615">
        <w:rPr>
          <w:rFonts w:eastAsia="MS Mincho"/>
          <w:szCs w:val="24"/>
          <w:lang w:eastAsia="ja-JP"/>
        </w:rPr>
        <w:t xml:space="preserve">0 мг        интратекально          </w:t>
      </w:r>
      <w:r w:rsidR="0000078E">
        <w:rPr>
          <w:rFonts w:eastAsia="MS Mincho"/>
          <w:szCs w:val="24"/>
          <w:lang w:eastAsia="ja-JP"/>
        </w:rPr>
        <w:tab/>
      </w:r>
      <w:r w:rsidR="00533FE8" w:rsidRPr="002D4615">
        <w:rPr>
          <w:rFonts w:eastAsia="MS Mincho"/>
          <w:szCs w:val="24"/>
          <w:lang w:eastAsia="ja-JP"/>
        </w:rPr>
        <w:t>52</w:t>
      </w:r>
      <w:r w:rsidR="00A006DF">
        <w:rPr>
          <w:rFonts w:eastAsia="MS Mincho"/>
          <w:szCs w:val="24"/>
          <w:lang w:eastAsia="ja-JP"/>
        </w:rPr>
        <w:t>-я неделя</w:t>
      </w:r>
    </w:p>
    <w:p w14:paraId="27A7F4D5" w14:textId="77777777" w:rsidR="00533FE8" w:rsidRPr="002D4615" w:rsidRDefault="00533FE8" w:rsidP="00533FE8">
      <w:pPr>
        <w:widowControl/>
        <w:jc w:val="left"/>
        <w:rPr>
          <w:rFonts w:eastAsia="MS Mincho"/>
          <w:szCs w:val="24"/>
          <w:lang w:eastAsia="ja-JP"/>
        </w:rPr>
      </w:pPr>
      <w:r>
        <w:rPr>
          <w:rFonts w:eastAsia="MS Mincho"/>
          <w:szCs w:val="24"/>
          <w:lang w:eastAsia="ja-JP"/>
        </w:rPr>
        <w:t>Дексаметазон</w:t>
      </w:r>
      <w:r w:rsidR="006F5D03">
        <w:rPr>
          <w:rFonts w:eastAsia="MS Mincho"/>
          <w:szCs w:val="24"/>
          <w:lang w:eastAsia="ja-JP"/>
        </w:rPr>
        <w:t>**</w:t>
      </w:r>
      <w:r>
        <w:rPr>
          <w:rFonts w:eastAsia="MS Mincho"/>
          <w:szCs w:val="24"/>
          <w:lang w:eastAsia="ja-JP"/>
        </w:rPr>
        <w:t xml:space="preserve">                      </w:t>
      </w:r>
      <w:r w:rsidR="0000078E">
        <w:rPr>
          <w:rFonts w:eastAsia="MS Mincho"/>
          <w:szCs w:val="24"/>
          <w:lang w:eastAsia="ja-JP"/>
        </w:rPr>
        <w:tab/>
      </w:r>
      <w:r>
        <w:rPr>
          <w:rFonts w:eastAsia="MS Mincho"/>
          <w:szCs w:val="24"/>
          <w:lang w:eastAsia="ja-JP"/>
        </w:rPr>
        <w:t>4 мг</w:t>
      </w:r>
    </w:p>
    <w:p w14:paraId="71684EC4" w14:textId="77777777" w:rsidR="00533FE8" w:rsidRPr="00E53122" w:rsidRDefault="00533FE8" w:rsidP="00533FE8">
      <w:pPr>
        <w:widowControl/>
        <w:rPr>
          <w:rFonts w:eastAsia="MS Mincho"/>
          <w:szCs w:val="24"/>
          <w:lang w:eastAsia="ja-JP"/>
        </w:rPr>
      </w:pPr>
      <w:r w:rsidRPr="002D4615">
        <w:rPr>
          <w:rFonts w:eastAsia="MS Mincho"/>
          <w:szCs w:val="24"/>
          <w:lang w:eastAsia="ja-JP"/>
        </w:rPr>
        <w:t>Оценка ремис</w:t>
      </w:r>
      <w:r w:rsidR="00A006DF">
        <w:rPr>
          <w:rFonts w:eastAsia="MS Mincho"/>
          <w:szCs w:val="24"/>
          <w:lang w:eastAsia="ja-JP"/>
        </w:rPr>
        <w:t xml:space="preserve">сии: </w:t>
      </w:r>
      <w:r>
        <w:rPr>
          <w:rFonts w:eastAsia="MS Mincho"/>
          <w:szCs w:val="24"/>
          <w:lang w:eastAsia="ja-JP"/>
        </w:rPr>
        <w:t>52</w:t>
      </w:r>
      <w:r w:rsidR="00A006DF">
        <w:rPr>
          <w:rFonts w:eastAsia="MS Mincho"/>
          <w:szCs w:val="24"/>
          <w:lang w:eastAsia="ja-JP"/>
        </w:rPr>
        <w:t>-я неделя</w:t>
      </w:r>
      <w:r>
        <w:rPr>
          <w:rFonts w:eastAsia="MS Mincho"/>
          <w:szCs w:val="24"/>
          <w:lang w:eastAsia="ja-JP"/>
        </w:rPr>
        <w:t xml:space="preserve"> (с оценкой </w:t>
      </w:r>
      <w:r w:rsidR="00AF128D">
        <w:rPr>
          <w:rFonts w:eastAsia="MS Mincho"/>
          <w:szCs w:val="24"/>
          <w:lang w:eastAsia="ja-JP"/>
        </w:rPr>
        <w:t>МОБ</w:t>
      </w:r>
      <w:r>
        <w:rPr>
          <w:rFonts w:eastAsia="MS Mincho"/>
          <w:szCs w:val="24"/>
          <w:lang w:eastAsia="ja-JP"/>
        </w:rPr>
        <w:t>).</w:t>
      </w:r>
    </w:p>
    <w:p w14:paraId="49A2A8AB" w14:textId="77777777" w:rsidR="00533FE8" w:rsidRPr="002D4615" w:rsidRDefault="00533FE8" w:rsidP="00533FE8">
      <w:pPr>
        <w:widowControl/>
        <w:jc w:val="left"/>
        <w:rPr>
          <w:rFonts w:eastAsia="MS Mincho"/>
          <w:bCs/>
          <w:szCs w:val="24"/>
          <w:lang w:eastAsia="ja-JP"/>
        </w:rPr>
      </w:pPr>
      <w:r w:rsidRPr="002D4615">
        <w:rPr>
          <w:rFonts w:eastAsia="MS Mincho"/>
          <w:bCs/>
          <w:szCs w:val="24"/>
          <w:lang w:eastAsia="ja-JP"/>
        </w:rPr>
        <w:t xml:space="preserve">Далее проводится стратификация по </w:t>
      </w:r>
      <w:r w:rsidR="00AF128D">
        <w:rPr>
          <w:rFonts w:eastAsia="MS Mincho"/>
          <w:bCs/>
          <w:szCs w:val="24"/>
          <w:lang w:eastAsia="ja-JP"/>
        </w:rPr>
        <w:t>МОБ</w:t>
      </w:r>
      <w:r w:rsidRPr="002D4615">
        <w:rPr>
          <w:rFonts w:eastAsia="MS Mincho"/>
          <w:bCs/>
          <w:szCs w:val="24"/>
          <w:lang w:eastAsia="ja-JP"/>
        </w:rPr>
        <w:t>-статусу пациента:</w:t>
      </w:r>
    </w:p>
    <w:p w14:paraId="002D7E85" w14:textId="77777777" w:rsidR="00533FE8" w:rsidRPr="002D4615" w:rsidRDefault="00533FE8" w:rsidP="00956D03">
      <w:pPr>
        <w:pStyle w:val="-51"/>
        <w:numPr>
          <w:ilvl w:val="0"/>
          <w:numId w:val="4"/>
        </w:numPr>
        <w:suppressAutoHyphens w:val="0"/>
        <w:autoSpaceDE w:val="0"/>
        <w:autoSpaceDN w:val="0"/>
        <w:adjustRightInd w:val="0"/>
        <w:contextualSpacing/>
        <w:jc w:val="left"/>
        <w:rPr>
          <w:rFonts w:eastAsia="MS Mincho"/>
          <w:bCs/>
          <w:i/>
          <w:szCs w:val="24"/>
          <w:lang w:eastAsia="ja-JP"/>
        </w:rPr>
      </w:pPr>
      <w:r w:rsidRPr="002D4615">
        <w:rPr>
          <w:rFonts w:eastAsia="MS Mincho"/>
          <w:bCs/>
          <w:i/>
          <w:szCs w:val="24"/>
          <w:lang w:eastAsia="ja-JP"/>
        </w:rPr>
        <w:t xml:space="preserve">Группа низкого риска по </w:t>
      </w:r>
      <w:r w:rsidR="00AF128D">
        <w:rPr>
          <w:rFonts w:eastAsia="MS Mincho"/>
          <w:bCs/>
          <w:i/>
          <w:szCs w:val="24"/>
          <w:lang w:eastAsia="ja-JP"/>
        </w:rPr>
        <w:t>МОБ</w:t>
      </w:r>
      <w:r w:rsidRPr="002D4615">
        <w:rPr>
          <w:rFonts w:eastAsia="MS Mincho"/>
          <w:bCs/>
          <w:i/>
          <w:szCs w:val="24"/>
          <w:lang w:eastAsia="ja-JP"/>
        </w:rPr>
        <w:t>: окончание терапии.</w:t>
      </w:r>
    </w:p>
    <w:p w14:paraId="6C5B51FC" w14:textId="77777777" w:rsidR="00533FE8" w:rsidRPr="002D4615" w:rsidRDefault="00533FE8" w:rsidP="00956D03">
      <w:pPr>
        <w:pStyle w:val="-51"/>
        <w:numPr>
          <w:ilvl w:val="0"/>
          <w:numId w:val="4"/>
        </w:numPr>
        <w:suppressAutoHyphens w:val="0"/>
        <w:autoSpaceDE w:val="0"/>
        <w:autoSpaceDN w:val="0"/>
        <w:adjustRightInd w:val="0"/>
        <w:contextualSpacing/>
        <w:jc w:val="left"/>
        <w:rPr>
          <w:rFonts w:eastAsia="MS Mincho"/>
          <w:bCs/>
          <w:i/>
          <w:szCs w:val="24"/>
          <w:lang w:eastAsia="ja-JP"/>
        </w:rPr>
      </w:pPr>
      <w:r w:rsidRPr="002D4615">
        <w:rPr>
          <w:rFonts w:eastAsia="MS Mincho"/>
          <w:bCs/>
          <w:i/>
          <w:szCs w:val="24"/>
          <w:lang w:eastAsia="ja-JP"/>
        </w:rPr>
        <w:t xml:space="preserve">Группа высокого риска по </w:t>
      </w:r>
      <w:r w:rsidR="00AF128D">
        <w:rPr>
          <w:rFonts w:eastAsia="MS Mincho"/>
          <w:bCs/>
          <w:i/>
          <w:szCs w:val="24"/>
          <w:lang w:eastAsia="ja-JP"/>
        </w:rPr>
        <w:t>МОБ</w:t>
      </w:r>
      <w:r w:rsidRPr="002D4615">
        <w:rPr>
          <w:rFonts w:eastAsia="MS Mincho"/>
          <w:bCs/>
          <w:i/>
          <w:szCs w:val="24"/>
          <w:lang w:eastAsia="ja-JP"/>
        </w:rPr>
        <w:t>: Т</w:t>
      </w:r>
      <w:r w:rsidR="00344267">
        <w:rPr>
          <w:rFonts w:eastAsia="MS Mincho"/>
          <w:bCs/>
          <w:i/>
          <w:szCs w:val="24"/>
          <w:lang w:eastAsia="ja-JP"/>
        </w:rPr>
        <w:t>Г</w:t>
      </w:r>
      <w:r w:rsidRPr="002D4615">
        <w:rPr>
          <w:rFonts w:eastAsia="MS Mincho"/>
          <w:bCs/>
          <w:i/>
          <w:szCs w:val="24"/>
          <w:lang w:eastAsia="ja-JP"/>
        </w:rPr>
        <w:t>СК или интенсивная поддерживающая терапия или терапия в рамках исследований.</w:t>
      </w:r>
    </w:p>
    <w:p w14:paraId="06652E0F" w14:textId="77777777" w:rsidR="00533FE8" w:rsidRPr="002D4615" w:rsidRDefault="00533FE8" w:rsidP="00956D03">
      <w:pPr>
        <w:pStyle w:val="-51"/>
        <w:numPr>
          <w:ilvl w:val="0"/>
          <w:numId w:val="4"/>
        </w:numPr>
        <w:suppressAutoHyphens w:val="0"/>
        <w:autoSpaceDE w:val="0"/>
        <w:autoSpaceDN w:val="0"/>
        <w:adjustRightInd w:val="0"/>
        <w:contextualSpacing/>
        <w:jc w:val="left"/>
        <w:rPr>
          <w:rFonts w:eastAsia="MS Mincho"/>
          <w:bCs/>
          <w:i/>
          <w:szCs w:val="24"/>
          <w:lang w:eastAsia="ja-JP"/>
        </w:rPr>
      </w:pPr>
      <w:r w:rsidRPr="002D4615">
        <w:rPr>
          <w:rFonts w:eastAsia="MS Mincho"/>
          <w:bCs/>
          <w:i/>
          <w:szCs w:val="24"/>
          <w:lang w:eastAsia="ja-JP"/>
        </w:rPr>
        <w:t xml:space="preserve">Группа среднего риска по </w:t>
      </w:r>
      <w:r w:rsidR="00AF128D">
        <w:rPr>
          <w:rFonts w:eastAsia="MS Mincho"/>
          <w:bCs/>
          <w:i/>
          <w:szCs w:val="24"/>
          <w:lang w:eastAsia="ja-JP"/>
        </w:rPr>
        <w:t>МОБ</w:t>
      </w:r>
      <w:r w:rsidRPr="002D4615">
        <w:rPr>
          <w:rFonts w:eastAsia="MS Mincho"/>
          <w:bCs/>
          <w:i/>
          <w:szCs w:val="24"/>
          <w:lang w:eastAsia="ja-JP"/>
        </w:rPr>
        <w:t>: интенсивная поддерживающая терапия.</w:t>
      </w:r>
    </w:p>
    <w:p w14:paraId="72A49A89" w14:textId="77777777" w:rsidR="00533FE8" w:rsidRPr="004148AD" w:rsidRDefault="00533FE8" w:rsidP="00533FE8">
      <w:pPr>
        <w:widowControl/>
        <w:rPr>
          <w:rFonts w:eastAsia="MS Mincho"/>
          <w:b/>
          <w:szCs w:val="24"/>
          <w:lang w:eastAsia="ja-JP"/>
        </w:rPr>
      </w:pPr>
      <w:r w:rsidRPr="004148AD">
        <w:rPr>
          <w:rFonts w:eastAsia="MS Mincho"/>
          <w:b/>
          <w:szCs w:val="24"/>
          <w:lang w:eastAsia="ja-JP"/>
        </w:rPr>
        <w:t>Для группы высокого и очень высокого риска:</w:t>
      </w:r>
    </w:p>
    <w:p w14:paraId="2FC9769A" w14:textId="77777777" w:rsidR="00533FE8" w:rsidRPr="002D4615" w:rsidRDefault="00533FE8" w:rsidP="00533FE8">
      <w:pPr>
        <w:widowControl/>
        <w:jc w:val="left"/>
        <w:rPr>
          <w:rFonts w:eastAsia="MS Mincho"/>
          <w:bCs/>
          <w:i/>
          <w:szCs w:val="24"/>
          <w:lang w:eastAsia="ja-JP"/>
        </w:rPr>
      </w:pPr>
      <w:r w:rsidRPr="002D4615">
        <w:rPr>
          <w:rFonts w:eastAsia="MS Mincho"/>
          <w:bCs/>
          <w:i/>
          <w:szCs w:val="24"/>
          <w:lang w:eastAsia="ja-JP"/>
        </w:rPr>
        <w:t>При наличии донора:</w:t>
      </w:r>
    </w:p>
    <w:p w14:paraId="5ED7BD19" w14:textId="77777777" w:rsidR="00533FE8" w:rsidRPr="002D4615" w:rsidRDefault="00BD6C1E" w:rsidP="00956D03">
      <w:pPr>
        <w:pStyle w:val="-51"/>
        <w:numPr>
          <w:ilvl w:val="0"/>
          <w:numId w:val="5"/>
        </w:numPr>
        <w:suppressAutoHyphens w:val="0"/>
        <w:autoSpaceDE w:val="0"/>
        <w:autoSpaceDN w:val="0"/>
        <w:adjustRightInd w:val="0"/>
        <w:contextualSpacing/>
        <w:jc w:val="left"/>
        <w:rPr>
          <w:rFonts w:eastAsia="MS Mincho"/>
          <w:bCs/>
          <w:i/>
          <w:szCs w:val="24"/>
          <w:lang w:eastAsia="ja-JP"/>
        </w:rPr>
      </w:pPr>
      <w:r>
        <w:rPr>
          <w:rFonts w:eastAsia="MS Mincho"/>
          <w:bCs/>
          <w:i/>
          <w:szCs w:val="24"/>
          <w:lang w:eastAsia="ja-JP"/>
        </w:rPr>
        <w:t>Алло-ТГСК</w:t>
      </w:r>
      <w:r w:rsidR="00533FE8" w:rsidRPr="002D4615">
        <w:rPr>
          <w:rFonts w:eastAsia="MS Mincho"/>
          <w:bCs/>
          <w:i/>
          <w:szCs w:val="24"/>
          <w:lang w:eastAsia="ja-JP"/>
        </w:rPr>
        <w:t xml:space="preserve"> родственная или неродственная.</w:t>
      </w:r>
    </w:p>
    <w:p w14:paraId="157E490B" w14:textId="77777777" w:rsidR="00533FE8" w:rsidRPr="002D4615" w:rsidRDefault="00533FE8" w:rsidP="00533FE8">
      <w:pPr>
        <w:widowControl/>
        <w:jc w:val="left"/>
        <w:rPr>
          <w:rFonts w:eastAsia="MS Mincho"/>
          <w:bCs/>
          <w:i/>
          <w:szCs w:val="24"/>
          <w:lang w:eastAsia="ja-JP"/>
        </w:rPr>
      </w:pPr>
      <w:r>
        <w:rPr>
          <w:rFonts w:eastAsia="MS Mincho"/>
          <w:bCs/>
          <w:i/>
          <w:szCs w:val="24"/>
          <w:lang w:eastAsia="ja-JP"/>
        </w:rPr>
        <w:t>При отсутствии донора:</w:t>
      </w:r>
    </w:p>
    <w:p w14:paraId="28C4E01F" w14:textId="77777777" w:rsidR="00533FE8" w:rsidRPr="00A006DF" w:rsidRDefault="00533FE8" w:rsidP="00533FE8">
      <w:pPr>
        <w:widowControl/>
        <w:jc w:val="left"/>
        <w:rPr>
          <w:rFonts w:eastAsia="MS Mincho"/>
          <w:b/>
          <w:bCs/>
          <w:szCs w:val="24"/>
          <w:lang w:eastAsia="ja-JP"/>
        </w:rPr>
      </w:pPr>
      <w:r>
        <w:rPr>
          <w:rFonts w:eastAsia="MS Mincho"/>
          <w:b/>
          <w:bCs/>
          <w:szCs w:val="24"/>
          <w:lang w:eastAsia="ja-JP"/>
        </w:rPr>
        <w:t xml:space="preserve">Консолидация </w:t>
      </w:r>
      <w:r w:rsidR="004148AD">
        <w:rPr>
          <w:rFonts w:eastAsia="MS Mincho"/>
          <w:b/>
          <w:bCs/>
          <w:szCs w:val="24"/>
          <w:lang w:val="en-US" w:eastAsia="ja-JP"/>
        </w:rPr>
        <w:t>II</w:t>
      </w:r>
    </w:p>
    <w:p w14:paraId="23D6D6C9" w14:textId="77777777" w:rsidR="00533FE8" w:rsidRPr="002D4615" w:rsidRDefault="00533FE8" w:rsidP="00533FE8">
      <w:pPr>
        <w:widowControl/>
        <w:jc w:val="left"/>
        <w:rPr>
          <w:rFonts w:eastAsia="MS Mincho"/>
          <w:bCs/>
          <w:szCs w:val="24"/>
          <w:lang w:eastAsia="ja-JP"/>
        </w:rPr>
      </w:pPr>
      <w:r>
        <w:rPr>
          <w:rFonts w:eastAsia="MS Mincho"/>
          <w:bCs/>
          <w:szCs w:val="24"/>
          <w:lang w:eastAsia="ja-JP"/>
        </w:rPr>
        <w:t>ОЛЛ из В-предшественников</w:t>
      </w:r>
    </w:p>
    <w:p w14:paraId="03FAA87A" w14:textId="77777777" w:rsidR="00533FE8" w:rsidRPr="002D4615" w:rsidRDefault="0000078E" w:rsidP="00533FE8">
      <w:pPr>
        <w:widowControl/>
        <w:jc w:val="left"/>
        <w:rPr>
          <w:rFonts w:eastAsia="MS Mincho"/>
          <w:szCs w:val="24"/>
          <w:lang w:eastAsia="ja-JP"/>
        </w:rPr>
      </w:pPr>
      <w:r w:rsidRPr="0000078E">
        <w:rPr>
          <w:rFonts w:eastAsia="MS Mincho"/>
          <w:szCs w:val="24"/>
          <w:lang w:eastAsia="ja-JP"/>
        </w:rPr>
        <w:t>#</w:t>
      </w:r>
      <w:r w:rsidR="00533FE8" w:rsidRPr="002D4615">
        <w:rPr>
          <w:rFonts w:eastAsia="MS Mincho"/>
          <w:szCs w:val="24"/>
          <w:lang w:eastAsia="ja-JP"/>
        </w:rPr>
        <w:t>Идарубицин</w:t>
      </w:r>
      <w:r>
        <w:rPr>
          <w:rFonts w:eastAsia="MS Mincho"/>
          <w:szCs w:val="24"/>
          <w:lang w:eastAsia="ja-JP"/>
        </w:rPr>
        <w:t>**</w:t>
      </w:r>
      <w:r w:rsidR="00533FE8" w:rsidRPr="002D4615">
        <w:rPr>
          <w:rFonts w:eastAsia="MS Mincho"/>
          <w:szCs w:val="24"/>
          <w:lang w:eastAsia="ja-JP"/>
        </w:rPr>
        <w:t xml:space="preserve">                       </w:t>
      </w:r>
      <w:r>
        <w:rPr>
          <w:rFonts w:eastAsia="MS Mincho"/>
          <w:szCs w:val="24"/>
          <w:lang w:eastAsia="ja-JP"/>
        </w:rPr>
        <w:tab/>
      </w:r>
      <w:r w:rsidR="00533FE8" w:rsidRPr="002D4615">
        <w:rPr>
          <w:rFonts w:eastAsia="MS Mincho"/>
          <w:szCs w:val="24"/>
          <w:lang w:eastAsia="ja-JP"/>
        </w:rPr>
        <w:t>10 мг/м</w:t>
      </w:r>
      <w:r w:rsidR="00533FE8" w:rsidRPr="00AF151A">
        <w:rPr>
          <w:rFonts w:eastAsia="MS Mincho"/>
          <w:szCs w:val="24"/>
          <w:vertAlign w:val="superscript"/>
          <w:lang w:eastAsia="ja-JP"/>
        </w:rPr>
        <w:t>2</w:t>
      </w:r>
      <w:r w:rsidR="00533FE8" w:rsidRPr="002D4615">
        <w:rPr>
          <w:rFonts w:eastAsia="MS Mincho"/>
          <w:szCs w:val="24"/>
          <w:lang w:eastAsia="ja-JP"/>
        </w:rPr>
        <w:t xml:space="preserve"> в/в (15 мин)</w:t>
      </w:r>
      <w:r>
        <w:rPr>
          <w:rFonts w:eastAsia="MS Mincho"/>
          <w:szCs w:val="24"/>
          <w:lang w:eastAsia="ja-JP"/>
        </w:rPr>
        <w:tab/>
      </w:r>
      <w:r>
        <w:rPr>
          <w:rFonts w:eastAsia="MS Mincho"/>
          <w:szCs w:val="24"/>
          <w:lang w:eastAsia="ja-JP"/>
        </w:rPr>
        <w:tab/>
      </w:r>
      <w:r>
        <w:rPr>
          <w:rFonts w:eastAsia="MS Mincho"/>
          <w:szCs w:val="24"/>
          <w:lang w:eastAsia="ja-JP"/>
        </w:rPr>
        <w:tab/>
      </w:r>
      <w:r w:rsidR="00533FE8" w:rsidRPr="002D4615">
        <w:rPr>
          <w:rFonts w:eastAsia="MS Mincho"/>
          <w:szCs w:val="24"/>
          <w:lang w:eastAsia="ja-JP"/>
        </w:rPr>
        <w:t>1</w:t>
      </w:r>
      <w:r w:rsidR="00A006DF">
        <w:rPr>
          <w:rFonts w:eastAsia="MS Mincho"/>
          <w:szCs w:val="24"/>
          <w:lang w:eastAsia="ja-JP"/>
        </w:rPr>
        <w:t>-й</w:t>
      </w:r>
      <w:r w:rsidR="00533FE8" w:rsidRPr="002D4615">
        <w:rPr>
          <w:rFonts w:eastAsia="MS Mincho"/>
          <w:szCs w:val="24"/>
          <w:lang w:eastAsia="ja-JP"/>
        </w:rPr>
        <w:t>,</w:t>
      </w:r>
      <w:r w:rsidR="00A006DF">
        <w:rPr>
          <w:rFonts w:eastAsia="MS Mincho"/>
          <w:szCs w:val="24"/>
          <w:lang w:eastAsia="ja-JP"/>
        </w:rPr>
        <w:t xml:space="preserve"> </w:t>
      </w:r>
      <w:r w:rsidR="00533FE8" w:rsidRPr="002D4615">
        <w:rPr>
          <w:rFonts w:eastAsia="MS Mincho"/>
          <w:szCs w:val="24"/>
          <w:lang w:eastAsia="ja-JP"/>
        </w:rPr>
        <w:t>3</w:t>
      </w:r>
      <w:r w:rsidR="00A006DF">
        <w:rPr>
          <w:rFonts w:eastAsia="MS Mincho"/>
          <w:szCs w:val="24"/>
          <w:lang w:eastAsia="ja-JP"/>
        </w:rPr>
        <w:t>-й дни</w:t>
      </w:r>
    </w:p>
    <w:p w14:paraId="421E006D" w14:textId="77777777" w:rsidR="00533FE8" w:rsidRPr="002D4615" w:rsidRDefault="00533FE8" w:rsidP="0000078E">
      <w:pPr>
        <w:widowControl/>
        <w:ind w:left="720" w:firstLine="720"/>
        <w:jc w:val="left"/>
        <w:rPr>
          <w:rFonts w:eastAsia="MS Mincho"/>
          <w:i/>
          <w:szCs w:val="24"/>
          <w:lang w:eastAsia="ja-JP"/>
        </w:rPr>
      </w:pPr>
      <w:r>
        <w:rPr>
          <w:rFonts w:eastAsia="MS Mincho"/>
          <w:i/>
          <w:szCs w:val="24"/>
          <w:lang w:eastAsia="ja-JP"/>
        </w:rPr>
        <w:t>Возраст &gt;55 л</w:t>
      </w:r>
      <w:r w:rsidR="00A006DF">
        <w:rPr>
          <w:rFonts w:eastAsia="MS Mincho"/>
          <w:i/>
          <w:szCs w:val="24"/>
          <w:lang w:eastAsia="ja-JP"/>
        </w:rPr>
        <w:t>ет</w:t>
      </w:r>
      <w:r w:rsidR="0000078E" w:rsidRPr="0000078E">
        <w:rPr>
          <w:rFonts w:eastAsia="MS Mincho"/>
          <w:i/>
          <w:szCs w:val="24"/>
          <w:lang w:eastAsia="ja-JP"/>
        </w:rPr>
        <w:t xml:space="preserve"> </w:t>
      </w:r>
      <w:r w:rsidR="0000078E">
        <w:rPr>
          <w:rFonts w:eastAsia="MS Mincho"/>
          <w:i/>
          <w:szCs w:val="24"/>
          <w:lang w:eastAsia="ja-JP"/>
        </w:rPr>
        <w:tab/>
      </w:r>
      <w:r w:rsidRPr="002D4615">
        <w:rPr>
          <w:rFonts w:eastAsia="MS Mincho"/>
          <w:i/>
          <w:szCs w:val="24"/>
          <w:lang w:eastAsia="ja-JP"/>
        </w:rPr>
        <w:t>7 мг/</w:t>
      </w:r>
      <w:r w:rsidR="00AF151A">
        <w:rPr>
          <w:rFonts w:eastAsia="MS Mincho"/>
          <w:i/>
          <w:szCs w:val="24"/>
          <w:lang w:eastAsia="ja-JP"/>
        </w:rPr>
        <w:t>м</w:t>
      </w:r>
      <w:r w:rsidRPr="00AF151A">
        <w:rPr>
          <w:rFonts w:eastAsia="MS Mincho"/>
          <w:i/>
          <w:szCs w:val="24"/>
          <w:vertAlign w:val="superscript"/>
          <w:lang w:eastAsia="ja-JP"/>
        </w:rPr>
        <w:t>2</w:t>
      </w:r>
      <w:r w:rsidRPr="002D4615">
        <w:rPr>
          <w:rFonts w:eastAsia="MS Mincho"/>
          <w:i/>
          <w:szCs w:val="24"/>
          <w:lang w:eastAsia="ja-JP"/>
        </w:rPr>
        <w:t xml:space="preserve"> в/в </w:t>
      </w:r>
      <w:r w:rsidRPr="002D4615">
        <w:rPr>
          <w:rFonts w:eastAsia="MS Mincho"/>
          <w:i/>
          <w:szCs w:val="24"/>
          <w:lang w:eastAsia="ja-JP"/>
        </w:rPr>
        <w:tab/>
      </w:r>
    </w:p>
    <w:p w14:paraId="1403209B" w14:textId="77777777" w:rsidR="00533FE8" w:rsidRPr="002D4615" w:rsidRDefault="00BE3546" w:rsidP="00533FE8">
      <w:pPr>
        <w:widowControl/>
        <w:jc w:val="left"/>
        <w:rPr>
          <w:rFonts w:eastAsia="MS Mincho"/>
          <w:szCs w:val="24"/>
          <w:lang w:eastAsia="ja-JP"/>
        </w:rPr>
      </w:pPr>
      <w:r w:rsidRPr="00BE3546">
        <w:rPr>
          <w:rFonts w:eastAsia="MS Mincho"/>
          <w:szCs w:val="24"/>
          <w:lang w:eastAsia="ja-JP"/>
        </w:rPr>
        <w:t>#</w:t>
      </w:r>
      <w:r w:rsidR="00533FE8" w:rsidRPr="002D4615">
        <w:rPr>
          <w:rFonts w:eastAsia="MS Mincho"/>
          <w:szCs w:val="24"/>
          <w:lang w:eastAsia="ja-JP"/>
        </w:rPr>
        <w:t>Флударабин</w:t>
      </w:r>
      <w:r w:rsidRPr="00BE3546">
        <w:rPr>
          <w:rFonts w:eastAsia="MS Mincho"/>
          <w:szCs w:val="24"/>
          <w:lang w:eastAsia="ja-JP"/>
        </w:rPr>
        <w:t>**</w:t>
      </w:r>
      <w:r w:rsidR="00533FE8" w:rsidRPr="002D4615">
        <w:rPr>
          <w:rFonts w:eastAsia="MS Mincho"/>
          <w:szCs w:val="24"/>
          <w:lang w:eastAsia="ja-JP"/>
        </w:rPr>
        <w:t xml:space="preserve">                       </w:t>
      </w:r>
      <w:r>
        <w:rPr>
          <w:rFonts w:eastAsia="MS Mincho"/>
          <w:szCs w:val="24"/>
          <w:lang w:eastAsia="ja-JP"/>
        </w:rPr>
        <w:tab/>
      </w:r>
      <w:r w:rsidR="00533FE8" w:rsidRPr="002D4615">
        <w:rPr>
          <w:rFonts w:eastAsia="MS Mincho"/>
          <w:szCs w:val="24"/>
          <w:lang w:eastAsia="ja-JP"/>
        </w:rPr>
        <w:t>30 мг/м</w:t>
      </w:r>
      <w:r w:rsidR="00533FE8" w:rsidRPr="00AF151A">
        <w:rPr>
          <w:rFonts w:eastAsia="MS Mincho"/>
          <w:szCs w:val="24"/>
          <w:vertAlign w:val="superscript"/>
          <w:lang w:eastAsia="ja-JP"/>
        </w:rPr>
        <w:t>2</w:t>
      </w:r>
      <w:r w:rsidR="00533FE8" w:rsidRPr="002D4615">
        <w:rPr>
          <w:rFonts w:eastAsia="MS Mincho"/>
          <w:szCs w:val="24"/>
          <w:lang w:eastAsia="ja-JP"/>
        </w:rPr>
        <w:t xml:space="preserve"> в/в (1</w:t>
      </w:r>
      <w:r w:rsidR="00AF151A">
        <w:rPr>
          <w:rFonts w:eastAsia="MS Mincho"/>
          <w:szCs w:val="24"/>
          <w:lang w:eastAsia="ja-JP"/>
        </w:rPr>
        <w:t xml:space="preserve"> </w:t>
      </w:r>
      <w:r w:rsidR="00533FE8" w:rsidRPr="002D4615">
        <w:rPr>
          <w:rFonts w:eastAsia="MS Mincho"/>
          <w:szCs w:val="24"/>
          <w:lang w:eastAsia="ja-JP"/>
        </w:rPr>
        <w:t xml:space="preserve">ч) </w:t>
      </w:r>
      <w:r w:rsidR="00533FE8" w:rsidRPr="002D4615">
        <w:rPr>
          <w:rFonts w:eastAsia="MS Mincho"/>
          <w:szCs w:val="24"/>
          <w:lang w:eastAsia="ja-JP"/>
        </w:rPr>
        <w:tab/>
        <w:t xml:space="preserve">            </w:t>
      </w:r>
      <w:r>
        <w:rPr>
          <w:rFonts w:eastAsia="MS Mincho"/>
          <w:szCs w:val="24"/>
          <w:lang w:eastAsia="ja-JP"/>
        </w:rPr>
        <w:tab/>
      </w:r>
      <w:r w:rsidR="00A006DF">
        <w:rPr>
          <w:rFonts w:eastAsia="MS Mincho"/>
          <w:szCs w:val="24"/>
          <w:lang w:eastAsia="ja-JP"/>
        </w:rPr>
        <w:t>1–</w:t>
      </w:r>
      <w:r w:rsidR="00533FE8" w:rsidRPr="002D4615">
        <w:rPr>
          <w:rFonts w:eastAsia="MS Mincho"/>
          <w:szCs w:val="24"/>
          <w:lang w:eastAsia="ja-JP"/>
        </w:rPr>
        <w:t>5</w:t>
      </w:r>
      <w:r w:rsidR="00A006DF">
        <w:rPr>
          <w:rFonts w:eastAsia="MS Mincho"/>
          <w:szCs w:val="24"/>
          <w:lang w:eastAsia="ja-JP"/>
        </w:rPr>
        <w:t>-й дни</w:t>
      </w:r>
    </w:p>
    <w:p w14:paraId="570686F7" w14:textId="77777777" w:rsidR="00533FE8" w:rsidRPr="002D4615" w:rsidRDefault="00421699" w:rsidP="00533FE8">
      <w:pPr>
        <w:widowControl/>
        <w:jc w:val="left"/>
        <w:rPr>
          <w:rFonts w:eastAsia="MS Mincho"/>
          <w:szCs w:val="24"/>
          <w:lang w:eastAsia="ja-JP"/>
        </w:rPr>
      </w:pPr>
      <w:r>
        <w:rPr>
          <w:rFonts w:eastAsia="MS Mincho"/>
          <w:szCs w:val="24"/>
          <w:lang w:eastAsia="ja-JP"/>
        </w:rPr>
        <w:t>Цитарабин**</w:t>
      </w:r>
      <w:r w:rsidR="00533FE8" w:rsidRPr="002D4615">
        <w:rPr>
          <w:rFonts w:eastAsia="MS Mincho"/>
          <w:szCs w:val="24"/>
          <w:lang w:eastAsia="ja-JP"/>
        </w:rPr>
        <w:t xml:space="preserve">                         </w:t>
      </w:r>
      <w:r w:rsidR="00BE3546">
        <w:rPr>
          <w:rFonts w:eastAsia="MS Mincho"/>
          <w:szCs w:val="24"/>
          <w:lang w:eastAsia="ja-JP"/>
        </w:rPr>
        <w:tab/>
      </w:r>
      <w:r w:rsidR="00BE3546">
        <w:rPr>
          <w:rFonts w:eastAsia="MS Mincho"/>
          <w:szCs w:val="24"/>
          <w:lang w:eastAsia="ja-JP"/>
        </w:rPr>
        <w:tab/>
      </w:r>
      <w:r w:rsidR="00533FE8" w:rsidRPr="002D4615">
        <w:rPr>
          <w:rFonts w:eastAsia="MS Mincho"/>
          <w:szCs w:val="24"/>
          <w:lang w:eastAsia="ja-JP"/>
        </w:rPr>
        <w:t>2 г/м</w:t>
      </w:r>
      <w:r w:rsidR="00533FE8" w:rsidRPr="00AF151A">
        <w:rPr>
          <w:rFonts w:eastAsia="MS Mincho"/>
          <w:szCs w:val="24"/>
          <w:vertAlign w:val="superscript"/>
          <w:lang w:eastAsia="ja-JP"/>
        </w:rPr>
        <w:t>2</w:t>
      </w:r>
      <w:r w:rsidR="00A006DF">
        <w:rPr>
          <w:rFonts w:eastAsia="MS Mincho"/>
          <w:szCs w:val="24"/>
          <w:lang w:eastAsia="ja-JP"/>
        </w:rPr>
        <w:t xml:space="preserve"> в/в (2 ч) </w:t>
      </w:r>
      <w:r w:rsidR="00A006DF">
        <w:rPr>
          <w:rFonts w:eastAsia="MS Mincho"/>
          <w:szCs w:val="24"/>
          <w:lang w:eastAsia="ja-JP"/>
        </w:rPr>
        <w:tab/>
      </w:r>
      <w:r w:rsidR="00A006DF">
        <w:rPr>
          <w:rFonts w:eastAsia="MS Mincho"/>
          <w:szCs w:val="24"/>
          <w:lang w:eastAsia="ja-JP"/>
        </w:rPr>
        <w:tab/>
      </w:r>
      <w:r w:rsidR="00A006DF">
        <w:rPr>
          <w:rFonts w:eastAsia="MS Mincho"/>
          <w:szCs w:val="24"/>
          <w:lang w:eastAsia="ja-JP"/>
        </w:rPr>
        <w:tab/>
        <w:t>1–</w:t>
      </w:r>
      <w:r w:rsidR="00533FE8" w:rsidRPr="002D4615">
        <w:rPr>
          <w:rFonts w:eastAsia="MS Mincho"/>
          <w:szCs w:val="24"/>
          <w:lang w:eastAsia="ja-JP"/>
        </w:rPr>
        <w:t>5</w:t>
      </w:r>
      <w:r w:rsidR="00A006DF">
        <w:rPr>
          <w:rFonts w:eastAsia="MS Mincho"/>
          <w:szCs w:val="24"/>
          <w:lang w:eastAsia="ja-JP"/>
        </w:rPr>
        <w:t>-й дни</w:t>
      </w:r>
    </w:p>
    <w:p w14:paraId="30749576" w14:textId="77777777" w:rsidR="00533FE8" w:rsidRPr="002D4615" w:rsidRDefault="00533FE8" w:rsidP="00BE3546">
      <w:pPr>
        <w:widowControl/>
        <w:ind w:left="720" w:firstLine="720"/>
        <w:jc w:val="left"/>
        <w:rPr>
          <w:rFonts w:eastAsia="MS Mincho"/>
          <w:i/>
          <w:szCs w:val="24"/>
          <w:lang w:eastAsia="ja-JP"/>
        </w:rPr>
      </w:pPr>
      <w:r>
        <w:rPr>
          <w:rFonts w:eastAsia="MS Mincho"/>
          <w:i/>
          <w:szCs w:val="24"/>
          <w:lang w:eastAsia="ja-JP"/>
        </w:rPr>
        <w:lastRenderedPageBreak/>
        <w:t>Возраст &gt;55 л</w:t>
      </w:r>
      <w:r w:rsidR="00A006DF">
        <w:rPr>
          <w:rFonts w:eastAsia="MS Mincho"/>
          <w:i/>
          <w:szCs w:val="24"/>
          <w:lang w:eastAsia="ja-JP"/>
        </w:rPr>
        <w:t>ет</w:t>
      </w:r>
      <w:r w:rsidR="00BE3546">
        <w:rPr>
          <w:rFonts w:eastAsia="MS Mincho"/>
          <w:i/>
          <w:szCs w:val="24"/>
          <w:lang w:eastAsia="ja-JP"/>
        </w:rPr>
        <w:tab/>
      </w:r>
      <w:r w:rsidRPr="002D4615">
        <w:rPr>
          <w:rFonts w:eastAsia="MS Mincho"/>
          <w:i/>
          <w:szCs w:val="24"/>
          <w:lang w:eastAsia="ja-JP"/>
        </w:rPr>
        <w:t>1 г/</w:t>
      </w:r>
      <w:r w:rsidR="00AF151A">
        <w:rPr>
          <w:rFonts w:eastAsia="MS Mincho"/>
          <w:i/>
          <w:szCs w:val="24"/>
          <w:lang w:eastAsia="ja-JP"/>
        </w:rPr>
        <w:t>м</w:t>
      </w:r>
      <w:r w:rsidRPr="00AF151A">
        <w:rPr>
          <w:rFonts w:eastAsia="MS Mincho"/>
          <w:i/>
          <w:szCs w:val="24"/>
          <w:vertAlign w:val="superscript"/>
          <w:lang w:eastAsia="ja-JP"/>
        </w:rPr>
        <w:t>2</w:t>
      </w:r>
      <w:r w:rsidRPr="002D4615">
        <w:rPr>
          <w:rFonts w:eastAsia="MS Mincho"/>
          <w:i/>
          <w:szCs w:val="24"/>
          <w:lang w:eastAsia="ja-JP"/>
        </w:rPr>
        <w:t xml:space="preserve"> в/в  </w:t>
      </w:r>
      <w:r w:rsidRPr="002D4615">
        <w:rPr>
          <w:rFonts w:eastAsia="MS Mincho"/>
          <w:i/>
          <w:szCs w:val="24"/>
          <w:lang w:eastAsia="ja-JP"/>
        </w:rPr>
        <w:tab/>
      </w:r>
    </w:p>
    <w:p w14:paraId="0396A0A5" w14:textId="77777777" w:rsidR="00533FE8" w:rsidRPr="002D4615" w:rsidRDefault="00720E5F" w:rsidP="00533FE8">
      <w:pPr>
        <w:widowControl/>
        <w:jc w:val="left"/>
        <w:rPr>
          <w:rFonts w:eastAsia="MS Mincho"/>
          <w:szCs w:val="24"/>
          <w:lang w:eastAsia="ja-JP"/>
        </w:rPr>
      </w:pPr>
      <w:r>
        <w:rPr>
          <w:noProof/>
          <w:szCs w:val="24"/>
        </w:rPr>
        <mc:AlternateContent>
          <mc:Choice Requires="wps">
            <w:drawing>
              <wp:anchor distT="0" distB="0" distL="114300" distR="114300" simplePos="0" relativeHeight="251673088" behindDoc="0" locked="0" layoutInCell="1" allowOverlap="1" wp14:anchorId="2C9CB618" wp14:editId="130288EB">
                <wp:simplePos x="0" y="0"/>
                <wp:positionH relativeFrom="column">
                  <wp:posOffset>2660650</wp:posOffset>
                </wp:positionH>
                <wp:positionV relativeFrom="paragraph">
                  <wp:posOffset>267335</wp:posOffset>
                </wp:positionV>
                <wp:extent cx="122555" cy="692150"/>
                <wp:effectExtent l="0" t="0" r="4445" b="6350"/>
                <wp:wrapNone/>
                <wp:docPr id="39" name="Правая фигурная скобка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2555" cy="692150"/>
                        </a:xfrm>
                        <a:prstGeom prst="rightBrace">
                          <a:avLst>
                            <a:gd name="adj1" fmla="val 39977"/>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D62AEF" id="Правая фигурная скобка 6" o:spid="_x0000_s1026" type="#_x0000_t88" style="position:absolute;margin-left:209.5pt;margin-top:21.05pt;width:9.65pt;height:54.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" adj="1529"/>
            </w:pict>
          </mc:Fallback>
        </mc:AlternateContent>
      </w:r>
      <w:r w:rsidR="00533FE8" w:rsidRPr="002D4615">
        <w:rPr>
          <w:rFonts w:eastAsia="MS Mincho"/>
          <w:szCs w:val="24"/>
          <w:lang w:eastAsia="ja-JP"/>
        </w:rPr>
        <w:t xml:space="preserve">Г-КСФ                                 </w:t>
      </w:r>
      <w:r w:rsidR="00BE3546">
        <w:rPr>
          <w:rFonts w:eastAsia="MS Mincho"/>
          <w:szCs w:val="24"/>
          <w:lang w:eastAsia="ja-JP"/>
        </w:rPr>
        <w:tab/>
      </w:r>
      <w:r w:rsidR="00BE3546">
        <w:rPr>
          <w:rFonts w:eastAsia="MS Mincho"/>
          <w:szCs w:val="24"/>
          <w:lang w:eastAsia="ja-JP"/>
        </w:rPr>
        <w:tab/>
      </w:r>
      <w:r w:rsidR="00533FE8" w:rsidRPr="002D4615">
        <w:rPr>
          <w:rFonts w:eastAsia="MS Mincho"/>
          <w:szCs w:val="24"/>
          <w:lang w:eastAsia="ja-JP"/>
        </w:rPr>
        <w:t xml:space="preserve">5 мкг/кг                                     </w:t>
      </w:r>
      <w:r w:rsidR="00BE3546">
        <w:rPr>
          <w:rFonts w:eastAsia="MS Mincho"/>
          <w:szCs w:val="24"/>
          <w:lang w:eastAsia="ja-JP"/>
        </w:rPr>
        <w:tab/>
      </w:r>
      <w:r w:rsidR="00D760BC">
        <w:rPr>
          <w:rFonts w:eastAsia="MS Mincho"/>
          <w:szCs w:val="24"/>
          <w:lang w:eastAsia="ja-JP"/>
        </w:rPr>
        <w:t>н</w:t>
      </w:r>
      <w:r w:rsidR="00533FE8" w:rsidRPr="002D4615">
        <w:rPr>
          <w:rFonts w:eastAsia="MS Mincho"/>
          <w:szCs w:val="24"/>
          <w:lang w:eastAsia="ja-JP"/>
        </w:rPr>
        <w:t>ачиная с 7</w:t>
      </w:r>
      <w:r w:rsidR="00A006DF">
        <w:rPr>
          <w:rFonts w:eastAsia="MS Mincho"/>
          <w:szCs w:val="24"/>
          <w:lang w:eastAsia="ja-JP"/>
        </w:rPr>
        <w:t>-го</w:t>
      </w:r>
      <w:r w:rsidR="00533FE8" w:rsidRPr="002D4615">
        <w:rPr>
          <w:rFonts w:eastAsia="MS Mincho"/>
          <w:szCs w:val="24"/>
          <w:lang w:eastAsia="ja-JP"/>
        </w:rPr>
        <w:t xml:space="preserve"> дня</w:t>
      </w:r>
    </w:p>
    <w:p w14:paraId="449D8613" w14:textId="77777777" w:rsidR="00533FE8" w:rsidRPr="002D4615" w:rsidRDefault="00533FE8" w:rsidP="00533FE8">
      <w:pPr>
        <w:widowControl/>
        <w:jc w:val="left"/>
        <w:rPr>
          <w:rFonts w:eastAsia="MS Mincho"/>
          <w:szCs w:val="24"/>
          <w:lang w:eastAsia="ja-JP"/>
        </w:rPr>
      </w:pPr>
      <w:r w:rsidRPr="002D4615">
        <w:rPr>
          <w:rFonts w:eastAsia="MS Mincho"/>
          <w:szCs w:val="24"/>
          <w:lang w:eastAsia="ja-JP"/>
        </w:rPr>
        <w:t>Метотрексат</w:t>
      </w:r>
      <w:r w:rsidR="00392AAF">
        <w:rPr>
          <w:rFonts w:eastAsia="MS Mincho"/>
          <w:szCs w:val="24"/>
          <w:lang w:eastAsia="ja-JP"/>
        </w:rPr>
        <w:t>**</w:t>
      </w:r>
      <w:r w:rsidRPr="002D4615">
        <w:rPr>
          <w:rFonts w:eastAsia="MS Mincho"/>
          <w:szCs w:val="24"/>
          <w:lang w:eastAsia="ja-JP"/>
        </w:rPr>
        <w:t xml:space="preserve">                       </w:t>
      </w:r>
      <w:r w:rsidR="00BE3546">
        <w:rPr>
          <w:rFonts w:eastAsia="MS Mincho"/>
          <w:szCs w:val="24"/>
          <w:lang w:eastAsia="ja-JP"/>
        </w:rPr>
        <w:tab/>
      </w:r>
      <w:r w:rsidRPr="002D4615">
        <w:rPr>
          <w:rFonts w:eastAsia="MS Mincho"/>
          <w:szCs w:val="24"/>
          <w:lang w:eastAsia="ja-JP"/>
        </w:rPr>
        <w:t>15 мг</w:t>
      </w:r>
    </w:p>
    <w:p w14:paraId="6A2D6037" w14:textId="77777777" w:rsidR="00533FE8" w:rsidRPr="002D4615" w:rsidRDefault="00421699" w:rsidP="00533FE8">
      <w:pPr>
        <w:widowControl/>
        <w:jc w:val="left"/>
        <w:rPr>
          <w:rFonts w:eastAsia="MS Mincho"/>
          <w:szCs w:val="24"/>
          <w:lang w:eastAsia="ja-JP"/>
        </w:rPr>
      </w:pPr>
      <w:r>
        <w:rPr>
          <w:rFonts w:eastAsia="MS Mincho"/>
          <w:szCs w:val="24"/>
          <w:lang w:eastAsia="ja-JP"/>
        </w:rPr>
        <w:t>Цитарабин**</w:t>
      </w:r>
      <w:r w:rsidR="00533FE8" w:rsidRPr="002D4615">
        <w:rPr>
          <w:rFonts w:eastAsia="MS Mincho"/>
          <w:szCs w:val="24"/>
          <w:lang w:eastAsia="ja-JP"/>
        </w:rPr>
        <w:t xml:space="preserve">                          </w:t>
      </w:r>
      <w:r w:rsidR="00BE3546">
        <w:rPr>
          <w:rFonts w:eastAsia="MS Mincho"/>
          <w:szCs w:val="24"/>
          <w:lang w:eastAsia="ja-JP"/>
        </w:rPr>
        <w:tab/>
      </w:r>
      <w:r w:rsidR="00533FE8" w:rsidRPr="002D4615">
        <w:rPr>
          <w:rFonts w:eastAsia="MS Mincho"/>
          <w:szCs w:val="24"/>
          <w:lang w:eastAsia="ja-JP"/>
        </w:rPr>
        <w:t xml:space="preserve">40 мг      </w:t>
      </w:r>
      <w:r w:rsidR="00533FE8">
        <w:rPr>
          <w:rFonts w:eastAsia="MS Mincho"/>
          <w:szCs w:val="24"/>
          <w:lang w:eastAsia="ja-JP"/>
        </w:rPr>
        <w:t xml:space="preserve">       интратекально     </w:t>
      </w:r>
      <w:r w:rsidR="00BE3546">
        <w:rPr>
          <w:rFonts w:eastAsia="MS Mincho"/>
          <w:szCs w:val="24"/>
          <w:lang w:eastAsia="ja-JP"/>
        </w:rPr>
        <w:tab/>
      </w:r>
      <w:r w:rsidR="00533FE8" w:rsidRPr="002D4615">
        <w:rPr>
          <w:rFonts w:eastAsia="MS Mincho"/>
          <w:szCs w:val="24"/>
          <w:lang w:eastAsia="ja-JP"/>
        </w:rPr>
        <w:t>1</w:t>
      </w:r>
      <w:r w:rsidR="00A006DF">
        <w:rPr>
          <w:rFonts w:eastAsia="MS Mincho"/>
          <w:szCs w:val="24"/>
          <w:lang w:eastAsia="ja-JP"/>
        </w:rPr>
        <w:t>-й день</w:t>
      </w:r>
    </w:p>
    <w:p w14:paraId="69D10B99" w14:textId="77777777" w:rsidR="00533FE8" w:rsidRPr="002D4615" w:rsidRDefault="00533FE8" w:rsidP="00533FE8">
      <w:pPr>
        <w:widowControl/>
        <w:jc w:val="left"/>
        <w:rPr>
          <w:rFonts w:eastAsia="MS Mincho"/>
          <w:szCs w:val="24"/>
          <w:lang w:eastAsia="ja-JP"/>
        </w:rPr>
      </w:pPr>
      <w:r>
        <w:rPr>
          <w:rFonts w:eastAsia="MS Mincho"/>
          <w:szCs w:val="24"/>
          <w:lang w:eastAsia="ja-JP"/>
        </w:rPr>
        <w:t>Дексаметазон</w:t>
      </w:r>
      <w:r w:rsidR="006F5D03">
        <w:rPr>
          <w:rFonts w:eastAsia="MS Mincho"/>
          <w:szCs w:val="24"/>
          <w:lang w:eastAsia="ja-JP"/>
        </w:rPr>
        <w:t>**</w:t>
      </w:r>
      <w:r>
        <w:rPr>
          <w:rFonts w:eastAsia="MS Mincho"/>
          <w:szCs w:val="24"/>
          <w:lang w:eastAsia="ja-JP"/>
        </w:rPr>
        <w:t xml:space="preserve">                      </w:t>
      </w:r>
      <w:r w:rsidR="00BE3546">
        <w:rPr>
          <w:rFonts w:eastAsia="MS Mincho"/>
          <w:szCs w:val="24"/>
          <w:lang w:eastAsia="ja-JP"/>
        </w:rPr>
        <w:tab/>
      </w:r>
      <w:r>
        <w:rPr>
          <w:rFonts w:eastAsia="MS Mincho"/>
          <w:szCs w:val="24"/>
          <w:lang w:eastAsia="ja-JP"/>
        </w:rPr>
        <w:t>4 мг</w:t>
      </w:r>
    </w:p>
    <w:p w14:paraId="13B6E2D2" w14:textId="77777777" w:rsidR="00533FE8" w:rsidRPr="002D4615" w:rsidRDefault="00A006DF" w:rsidP="00533FE8">
      <w:pPr>
        <w:widowControl/>
        <w:rPr>
          <w:rFonts w:eastAsia="MS Mincho"/>
          <w:szCs w:val="24"/>
          <w:lang w:eastAsia="ja-JP"/>
        </w:rPr>
      </w:pPr>
      <w:r>
        <w:rPr>
          <w:rFonts w:eastAsia="MS Mincho"/>
          <w:szCs w:val="24"/>
          <w:lang w:eastAsia="ja-JP"/>
        </w:rPr>
        <w:t xml:space="preserve">Оценка ремиссии: </w:t>
      </w:r>
      <w:r w:rsidR="00533FE8" w:rsidRPr="002D4615">
        <w:rPr>
          <w:rFonts w:eastAsia="MS Mincho"/>
          <w:szCs w:val="24"/>
          <w:lang w:eastAsia="ja-JP"/>
        </w:rPr>
        <w:t>16</w:t>
      </w:r>
      <w:r>
        <w:rPr>
          <w:rFonts w:eastAsia="MS Mincho"/>
          <w:szCs w:val="24"/>
          <w:lang w:eastAsia="ja-JP"/>
        </w:rPr>
        <w:t>-я неделя</w:t>
      </w:r>
      <w:r w:rsidR="00533FE8" w:rsidRPr="002D4615">
        <w:rPr>
          <w:rFonts w:eastAsia="MS Mincho"/>
          <w:szCs w:val="24"/>
          <w:lang w:eastAsia="ja-JP"/>
        </w:rPr>
        <w:t xml:space="preserve"> (с оценкой </w:t>
      </w:r>
      <w:r w:rsidR="00AF128D">
        <w:rPr>
          <w:rFonts w:eastAsia="MS Mincho"/>
          <w:szCs w:val="24"/>
          <w:lang w:eastAsia="ja-JP"/>
        </w:rPr>
        <w:t>МОБ</w:t>
      </w:r>
      <w:r w:rsidR="00533FE8" w:rsidRPr="002D4615">
        <w:rPr>
          <w:rFonts w:eastAsia="MS Mincho"/>
          <w:szCs w:val="24"/>
          <w:lang w:eastAsia="ja-JP"/>
        </w:rPr>
        <w:t>).</w:t>
      </w:r>
    </w:p>
    <w:p w14:paraId="6A285DE4" w14:textId="77777777" w:rsidR="00533FE8" w:rsidRPr="002D4615" w:rsidRDefault="00533FE8" w:rsidP="00533FE8">
      <w:pPr>
        <w:widowControl/>
        <w:jc w:val="left"/>
        <w:rPr>
          <w:rFonts w:eastAsia="MS Mincho"/>
          <w:szCs w:val="24"/>
          <w:lang w:eastAsia="ja-JP"/>
        </w:rPr>
      </w:pPr>
    </w:p>
    <w:p w14:paraId="29A6D83C" w14:textId="77777777" w:rsidR="00533FE8" w:rsidRPr="007264C7" w:rsidRDefault="00533FE8" w:rsidP="00533FE8">
      <w:pPr>
        <w:widowControl/>
        <w:jc w:val="left"/>
        <w:rPr>
          <w:rFonts w:eastAsia="MS Mincho"/>
          <w:b/>
          <w:szCs w:val="24"/>
          <w:lang w:eastAsia="ja-JP"/>
        </w:rPr>
      </w:pPr>
      <w:r w:rsidRPr="007264C7">
        <w:rPr>
          <w:rFonts w:eastAsia="MS Mincho"/>
          <w:b/>
          <w:bCs/>
          <w:szCs w:val="24"/>
          <w:lang w:eastAsia="ja-JP"/>
        </w:rPr>
        <w:t>ОЛЛ из Т-предшественников</w:t>
      </w:r>
      <w:r w:rsidRPr="007264C7">
        <w:rPr>
          <w:rFonts w:eastAsia="MS Mincho"/>
          <w:b/>
          <w:i/>
          <w:szCs w:val="24"/>
          <w:lang w:eastAsia="ja-JP"/>
        </w:rPr>
        <w:tab/>
      </w:r>
      <w:r w:rsidRPr="007264C7">
        <w:rPr>
          <w:rFonts w:eastAsia="MS Mincho"/>
          <w:b/>
          <w:i/>
          <w:szCs w:val="24"/>
          <w:lang w:eastAsia="ja-JP"/>
        </w:rPr>
        <w:tab/>
      </w:r>
      <w:r>
        <w:rPr>
          <w:rFonts w:eastAsia="MS Mincho"/>
          <w:b/>
          <w:szCs w:val="24"/>
          <w:lang w:eastAsia="ja-JP"/>
        </w:rPr>
        <w:tab/>
      </w:r>
    </w:p>
    <w:p w14:paraId="00C23890" w14:textId="77777777" w:rsidR="00533FE8" w:rsidRPr="002D4615" w:rsidRDefault="00BE3546" w:rsidP="00533FE8">
      <w:pPr>
        <w:widowControl/>
        <w:jc w:val="left"/>
        <w:rPr>
          <w:rFonts w:eastAsia="MS Mincho"/>
          <w:szCs w:val="24"/>
          <w:lang w:eastAsia="ja-JP"/>
        </w:rPr>
      </w:pPr>
      <w:r w:rsidRPr="00BE3546">
        <w:rPr>
          <w:rFonts w:eastAsia="MS Mincho"/>
          <w:szCs w:val="24"/>
          <w:lang w:eastAsia="ja-JP"/>
        </w:rPr>
        <w:t>#</w:t>
      </w:r>
      <w:r w:rsidR="00533FE8" w:rsidRPr="002D4615">
        <w:rPr>
          <w:rFonts w:eastAsia="MS Mincho"/>
          <w:szCs w:val="24"/>
          <w:lang w:eastAsia="ja-JP"/>
        </w:rPr>
        <w:t xml:space="preserve">Кладрибин                         </w:t>
      </w:r>
      <w:r>
        <w:rPr>
          <w:rFonts w:eastAsia="MS Mincho"/>
          <w:szCs w:val="24"/>
          <w:lang w:eastAsia="ja-JP"/>
        </w:rPr>
        <w:tab/>
      </w:r>
      <w:r>
        <w:rPr>
          <w:rFonts w:eastAsia="MS Mincho"/>
          <w:szCs w:val="24"/>
          <w:lang w:eastAsia="ja-JP"/>
        </w:rPr>
        <w:tab/>
      </w:r>
      <w:r w:rsidR="00533FE8" w:rsidRPr="002D4615">
        <w:rPr>
          <w:rFonts w:eastAsia="MS Mincho"/>
          <w:szCs w:val="24"/>
          <w:lang w:eastAsia="ja-JP"/>
        </w:rPr>
        <w:t xml:space="preserve">0,2 мг/кг в/в (2ч) </w:t>
      </w:r>
      <w:r w:rsidR="00533FE8" w:rsidRPr="002D4615">
        <w:rPr>
          <w:rFonts w:eastAsia="MS Mincho"/>
          <w:szCs w:val="24"/>
          <w:lang w:eastAsia="ja-JP"/>
        </w:rPr>
        <w:tab/>
        <w:t xml:space="preserve">           </w:t>
      </w:r>
      <w:r w:rsidR="00533FE8">
        <w:rPr>
          <w:rFonts w:eastAsia="MS Mincho"/>
          <w:szCs w:val="24"/>
          <w:lang w:eastAsia="ja-JP"/>
        </w:rPr>
        <w:t xml:space="preserve">   </w:t>
      </w:r>
      <w:r w:rsidR="00533FE8" w:rsidRPr="002D4615">
        <w:rPr>
          <w:rFonts w:eastAsia="MS Mincho"/>
          <w:szCs w:val="24"/>
          <w:lang w:eastAsia="ja-JP"/>
        </w:rPr>
        <w:t xml:space="preserve">  </w:t>
      </w:r>
      <w:r>
        <w:rPr>
          <w:rFonts w:eastAsia="MS Mincho"/>
          <w:szCs w:val="24"/>
          <w:lang w:eastAsia="ja-JP"/>
        </w:rPr>
        <w:tab/>
      </w:r>
      <w:r w:rsidR="00A006DF">
        <w:rPr>
          <w:rFonts w:eastAsia="MS Mincho"/>
          <w:szCs w:val="24"/>
          <w:lang w:eastAsia="ja-JP"/>
        </w:rPr>
        <w:t>1–</w:t>
      </w:r>
      <w:r w:rsidR="00A006DF" w:rsidRPr="002D4615">
        <w:rPr>
          <w:rFonts w:eastAsia="MS Mincho"/>
          <w:szCs w:val="24"/>
          <w:lang w:eastAsia="ja-JP"/>
        </w:rPr>
        <w:t>5</w:t>
      </w:r>
      <w:r w:rsidR="00A006DF">
        <w:rPr>
          <w:rFonts w:eastAsia="MS Mincho"/>
          <w:szCs w:val="24"/>
          <w:lang w:eastAsia="ja-JP"/>
        </w:rPr>
        <w:t>-й дни</w:t>
      </w:r>
    </w:p>
    <w:p w14:paraId="360099B8" w14:textId="77777777" w:rsidR="00533FE8" w:rsidRPr="002D4615" w:rsidRDefault="00113194" w:rsidP="00533FE8">
      <w:pPr>
        <w:widowControl/>
        <w:jc w:val="left"/>
        <w:rPr>
          <w:rFonts w:eastAsia="MS Mincho"/>
          <w:szCs w:val="24"/>
          <w:lang w:eastAsia="ja-JP"/>
        </w:rPr>
      </w:pPr>
      <w:r w:rsidRPr="00113194">
        <w:rPr>
          <w:rFonts w:eastAsia="MS Mincho"/>
          <w:szCs w:val="24"/>
          <w:lang w:eastAsia="ja-JP"/>
        </w:rPr>
        <w:t>#</w:t>
      </w:r>
      <w:r w:rsidR="00533FE8" w:rsidRPr="002D4615">
        <w:rPr>
          <w:rFonts w:eastAsia="MS Mincho"/>
          <w:szCs w:val="24"/>
          <w:lang w:eastAsia="ja-JP"/>
        </w:rPr>
        <w:t>Этопозид</w:t>
      </w:r>
      <w:r w:rsidRPr="00113194">
        <w:rPr>
          <w:rFonts w:eastAsia="MS Mincho"/>
          <w:szCs w:val="24"/>
          <w:lang w:eastAsia="ja-JP"/>
        </w:rPr>
        <w:t>**</w:t>
      </w:r>
      <w:r w:rsidR="00533FE8" w:rsidRPr="002D4615">
        <w:rPr>
          <w:rFonts w:eastAsia="MS Mincho"/>
          <w:szCs w:val="24"/>
          <w:lang w:eastAsia="ja-JP"/>
        </w:rPr>
        <w:t xml:space="preserve">                            </w:t>
      </w:r>
      <w:r w:rsidR="00BE3546">
        <w:rPr>
          <w:rFonts w:eastAsia="MS Mincho"/>
          <w:szCs w:val="24"/>
          <w:lang w:eastAsia="ja-JP"/>
        </w:rPr>
        <w:tab/>
      </w:r>
      <w:r w:rsidR="00533FE8" w:rsidRPr="002D4615">
        <w:rPr>
          <w:rFonts w:eastAsia="MS Mincho"/>
          <w:szCs w:val="24"/>
          <w:lang w:eastAsia="ja-JP"/>
        </w:rPr>
        <w:t>60 мг/м</w:t>
      </w:r>
      <w:r w:rsidR="00533FE8" w:rsidRPr="00AF151A">
        <w:rPr>
          <w:rFonts w:eastAsia="MS Mincho"/>
          <w:szCs w:val="24"/>
          <w:vertAlign w:val="superscript"/>
          <w:lang w:eastAsia="ja-JP"/>
        </w:rPr>
        <w:t>2</w:t>
      </w:r>
      <w:r w:rsidR="00533FE8" w:rsidRPr="002D4615">
        <w:rPr>
          <w:rFonts w:eastAsia="MS Mincho"/>
          <w:szCs w:val="24"/>
          <w:lang w:eastAsia="ja-JP"/>
        </w:rPr>
        <w:t xml:space="preserve"> в/в (2 ч) </w:t>
      </w:r>
      <w:r w:rsidR="00533FE8" w:rsidRPr="002D4615">
        <w:rPr>
          <w:rFonts w:eastAsia="MS Mincho"/>
          <w:szCs w:val="24"/>
          <w:lang w:eastAsia="ja-JP"/>
        </w:rPr>
        <w:tab/>
      </w:r>
      <w:r w:rsidR="00533FE8" w:rsidRPr="002D4615">
        <w:rPr>
          <w:rFonts w:eastAsia="MS Mincho"/>
          <w:szCs w:val="24"/>
          <w:lang w:eastAsia="ja-JP"/>
        </w:rPr>
        <w:tab/>
      </w:r>
      <w:r w:rsidR="00533FE8">
        <w:rPr>
          <w:rFonts w:eastAsia="MS Mincho"/>
          <w:szCs w:val="24"/>
          <w:lang w:eastAsia="ja-JP"/>
        </w:rPr>
        <w:t xml:space="preserve">   </w:t>
      </w:r>
      <w:r w:rsidR="00533FE8" w:rsidRPr="002D4615">
        <w:rPr>
          <w:rFonts w:eastAsia="MS Mincho"/>
          <w:szCs w:val="24"/>
          <w:lang w:eastAsia="ja-JP"/>
        </w:rPr>
        <w:t xml:space="preserve"> </w:t>
      </w:r>
      <w:r w:rsidR="00BE3546">
        <w:rPr>
          <w:rFonts w:eastAsia="MS Mincho"/>
          <w:szCs w:val="24"/>
          <w:lang w:eastAsia="ja-JP"/>
        </w:rPr>
        <w:tab/>
      </w:r>
      <w:r w:rsidR="00A006DF">
        <w:rPr>
          <w:rFonts w:eastAsia="MS Mincho"/>
          <w:szCs w:val="24"/>
          <w:lang w:eastAsia="ja-JP"/>
        </w:rPr>
        <w:t>1–</w:t>
      </w:r>
      <w:r w:rsidR="00A006DF" w:rsidRPr="002D4615">
        <w:rPr>
          <w:rFonts w:eastAsia="MS Mincho"/>
          <w:szCs w:val="24"/>
          <w:lang w:eastAsia="ja-JP"/>
        </w:rPr>
        <w:t>5</w:t>
      </w:r>
      <w:r w:rsidR="00A006DF">
        <w:rPr>
          <w:rFonts w:eastAsia="MS Mincho"/>
          <w:szCs w:val="24"/>
          <w:lang w:eastAsia="ja-JP"/>
        </w:rPr>
        <w:t>-й дни</w:t>
      </w:r>
    </w:p>
    <w:p w14:paraId="50160488" w14:textId="77777777" w:rsidR="00533FE8" w:rsidRPr="002D4615" w:rsidRDefault="00421699" w:rsidP="00533FE8">
      <w:pPr>
        <w:widowControl/>
        <w:jc w:val="left"/>
        <w:rPr>
          <w:rFonts w:eastAsia="MS Mincho"/>
          <w:szCs w:val="24"/>
          <w:lang w:eastAsia="ja-JP"/>
        </w:rPr>
      </w:pPr>
      <w:r>
        <w:rPr>
          <w:rFonts w:eastAsia="MS Mincho"/>
          <w:szCs w:val="24"/>
          <w:lang w:eastAsia="ja-JP"/>
        </w:rPr>
        <w:t>Цитарабин**</w:t>
      </w:r>
      <w:r w:rsidR="00533FE8" w:rsidRPr="002D4615">
        <w:rPr>
          <w:rFonts w:eastAsia="MS Mincho"/>
          <w:szCs w:val="24"/>
          <w:lang w:eastAsia="ja-JP"/>
        </w:rPr>
        <w:t xml:space="preserve">                          </w:t>
      </w:r>
      <w:r w:rsidR="00BE3546">
        <w:rPr>
          <w:rFonts w:eastAsia="MS Mincho"/>
          <w:szCs w:val="24"/>
          <w:lang w:eastAsia="ja-JP"/>
        </w:rPr>
        <w:tab/>
      </w:r>
      <w:r w:rsidR="00533FE8" w:rsidRPr="002D4615">
        <w:rPr>
          <w:rFonts w:eastAsia="MS Mincho"/>
          <w:szCs w:val="24"/>
          <w:lang w:eastAsia="ja-JP"/>
        </w:rPr>
        <w:t>1,5 г/м</w:t>
      </w:r>
      <w:r w:rsidR="00533FE8" w:rsidRPr="00AF151A">
        <w:rPr>
          <w:rFonts w:eastAsia="MS Mincho"/>
          <w:szCs w:val="24"/>
          <w:vertAlign w:val="superscript"/>
          <w:lang w:eastAsia="ja-JP"/>
        </w:rPr>
        <w:t>2</w:t>
      </w:r>
      <w:r w:rsidR="00533FE8" w:rsidRPr="002D4615">
        <w:rPr>
          <w:rFonts w:eastAsia="MS Mincho"/>
          <w:szCs w:val="24"/>
          <w:lang w:eastAsia="ja-JP"/>
        </w:rPr>
        <w:t xml:space="preserve"> (90 мин)                        </w:t>
      </w:r>
      <w:r w:rsidR="00533FE8">
        <w:rPr>
          <w:rFonts w:eastAsia="MS Mincho"/>
          <w:szCs w:val="24"/>
          <w:lang w:eastAsia="ja-JP"/>
        </w:rPr>
        <w:t xml:space="preserve">   </w:t>
      </w:r>
      <w:r w:rsidR="00BE3546">
        <w:rPr>
          <w:rFonts w:eastAsia="MS Mincho"/>
          <w:szCs w:val="24"/>
          <w:lang w:eastAsia="ja-JP"/>
        </w:rPr>
        <w:tab/>
      </w:r>
      <w:r w:rsidR="00A006DF">
        <w:rPr>
          <w:rFonts w:eastAsia="MS Mincho"/>
          <w:szCs w:val="24"/>
          <w:lang w:eastAsia="ja-JP"/>
        </w:rPr>
        <w:t>1–</w:t>
      </w:r>
      <w:r w:rsidR="00A006DF" w:rsidRPr="002D4615">
        <w:rPr>
          <w:rFonts w:eastAsia="MS Mincho"/>
          <w:szCs w:val="24"/>
          <w:lang w:eastAsia="ja-JP"/>
        </w:rPr>
        <w:t>5</w:t>
      </w:r>
      <w:r w:rsidR="00A006DF">
        <w:rPr>
          <w:rFonts w:eastAsia="MS Mincho"/>
          <w:szCs w:val="24"/>
          <w:lang w:eastAsia="ja-JP"/>
        </w:rPr>
        <w:t>-й дни</w:t>
      </w:r>
    </w:p>
    <w:p w14:paraId="77B8AECB" w14:textId="77777777" w:rsidR="00533FE8" w:rsidRPr="002D4615" w:rsidRDefault="00533FE8" w:rsidP="00BE3546">
      <w:pPr>
        <w:widowControl/>
        <w:ind w:firstLine="720"/>
        <w:jc w:val="left"/>
        <w:rPr>
          <w:rFonts w:eastAsia="MS Mincho"/>
          <w:szCs w:val="24"/>
          <w:lang w:eastAsia="ja-JP"/>
        </w:rPr>
      </w:pPr>
      <w:r w:rsidRPr="002D4615">
        <w:rPr>
          <w:rFonts w:eastAsia="MS Mincho"/>
          <w:i/>
          <w:szCs w:val="24"/>
          <w:lang w:eastAsia="ja-JP"/>
        </w:rPr>
        <w:t>Возраст &gt;55 л</w:t>
      </w:r>
      <w:r w:rsidR="00A006DF">
        <w:rPr>
          <w:rFonts w:eastAsia="MS Mincho"/>
          <w:i/>
          <w:szCs w:val="24"/>
          <w:lang w:eastAsia="ja-JP"/>
        </w:rPr>
        <w:t>ет</w:t>
      </w:r>
      <w:r w:rsidRPr="002D4615">
        <w:rPr>
          <w:rFonts w:eastAsia="MS Mincho"/>
          <w:i/>
          <w:szCs w:val="24"/>
          <w:lang w:eastAsia="ja-JP"/>
        </w:rPr>
        <w:t xml:space="preserve"> </w:t>
      </w:r>
      <w:r w:rsidR="00BE3546">
        <w:rPr>
          <w:rFonts w:eastAsia="MS Mincho"/>
          <w:i/>
          <w:szCs w:val="24"/>
          <w:lang w:eastAsia="ja-JP"/>
        </w:rPr>
        <w:tab/>
      </w:r>
      <w:r w:rsidR="00BE3546">
        <w:rPr>
          <w:rFonts w:eastAsia="MS Mincho"/>
          <w:i/>
          <w:szCs w:val="24"/>
          <w:lang w:eastAsia="ja-JP"/>
        </w:rPr>
        <w:tab/>
      </w:r>
      <w:r w:rsidRPr="002D4615">
        <w:rPr>
          <w:rFonts w:eastAsia="MS Mincho"/>
          <w:i/>
          <w:szCs w:val="24"/>
          <w:lang w:eastAsia="ja-JP"/>
        </w:rPr>
        <w:t>1 г/</w:t>
      </w:r>
      <w:r w:rsidR="00AF151A">
        <w:rPr>
          <w:rFonts w:eastAsia="MS Mincho"/>
          <w:i/>
          <w:szCs w:val="24"/>
          <w:lang w:eastAsia="ja-JP"/>
        </w:rPr>
        <w:t>м</w:t>
      </w:r>
      <w:r w:rsidRPr="00AF151A">
        <w:rPr>
          <w:rFonts w:eastAsia="MS Mincho"/>
          <w:i/>
          <w:szCs w:val="24"/>
          <w:vertAlign w:val="superscript"/>
          <w:lang w:eastAsia="ja-JP"/>
        </w:rPr>
        <w:t>2</w:t>
      </w:r>
      <w:r w:rsidRPr="002D4615">
        <w:rPr>
          <w:rFonts w:eastAsia="MS Mincho"/>
          <w:i/>
          <w:szCs w:val="24"/>
          <w:lang w:eastAsia="ja-JP"/>
        </w:rPr>
        <w:t xml:space="preserve"> в/в </w:t>
      </w:r>
      <w:r w:rsidRPr="002D4615">
        <w:rPr>
          <w:rFonts w:eastAsia="MS Mincho"/>
          <w:szCs w:val="24"/>
          <w:lang w:eastAsia="ja-JP"/>
        </w:rPr>
        <w:t xml:space="preserve">              </w:t>
      </w:r>
    </w:p>
    <w:p w14:paraId="03169657" w14:textId="77777777" w:rsidR="00533FE8" w:rsidRPr="002D4615" w:rsidRDefault="00533FE8" w:rsidP="00533FE8">
      <w:pPr>
        <w:widowControl/>
        <w:jc w:val="left"/>
        <w:rPr>
          <w:rFonts w:eastAsia="MS Mincho"/>
          <w:szCs w:val="24"/>
          <w:lang w:eastAsia="ja-JP"/>
        </w:rPr>
      </w:pPr>
      <w:r w:rsidRPr="002D4615">
        <w:rPr>
          <w:rFonts w:eastAsia="MS Mincho"/>
          <w:szCs w:val="24"/>
          <w:lang w:eastAsia="ja-JP"/>
        </w:rPr>
        <w:t xml:space="preserve">Г-КСФ                                 </w:t>
      </w:r>
      <w:r w:rsidR="00BE3546">
        <w:rPr>
          <w:rFonts w:eastAsia="MS Mincho"/>
          <w:szCs w:val="24"/>
          <w:lang w:eastAsia="ja-JP"/>
        </w:rPr>
        <w:tab/>
      </w:r>
      <w:r w:rsidR="00BE3546">
        <w:rPr>
          <w:rFonts w:eastAsia="MS Mincho"/>
          <w:szCs w:val="24"/>
          <w:lang w:eastAsia="ja-JP"/>
        </w:rPr>
        <w:tab/>
      </w:r>
      <w:r w:rsidRPr="002D4615">
        <w:rPr>
          <w:rFonts w:eastAsia="MS Mincho"/>
          <w:szCs w:val="24"/>
          <w:lang w:eastAsia="ja-JP"/>
        </w:rPr>
        <w:t xml:space="preserve">5 мкг/кг                                        </w:t>
      </w:r>
      <w:r w:rsidR="00BE3546">
        <w:rPr>
          <w:rFonts w:eastAsia="MS Mincho"/>
          <w:szCs w:val="24"/>
          <w:lang w:eastAsia="ja-JP"/>
        </w:rPr>
        <w:tab/>
      </w:r>
      <w:r w:rsidR="00DB3200">
        <w:rPr>
          <w:rFonts w:eastAsia="MS Mincho"/>
          <w:szCs w:val="24"/>
          <w:lang w:eastAsia="ja-JP"/>
        </w:rPr>
        <w:t>н</w:t>
      </w:r>
      <w:r w:rsidRPr="002D4615">
        <w:rPr>
          <w:rFonts w:eastAsia="MS Mincho"/>
          <w:szCs w:val="24"/>
          <w:lang w:eastAsia="ja-JP"/>
        </w:rPr>
        <w:t>ачиная с 6</w:t>
      </w:r>
      <w:r w:rsidR="00A006DF">
        <w:rPr>
          <w:rFonts w:eastAsia="MS Mincho"/>
          <w:szCs w:val="24"/>
          <w:lang w:eastAsia="ja-JP"/>
        </w:rPr>
        <w:t>-го</w:t>
      </w:r>
      <w:r w:rsidRPr="002D4615">
        <w:rPr>
          <w:rFonts w:eastAsia="MS Mincho"/>
          <w:szCs w:val="24"/>
          <w:lang w:eastAsia="ja-JP"/>
        </w:rPr>
        <w:t xml:space="preserve"> дня</w:t>
      </w:r>
    </w:p>
    <w:p w14:paraId="14922CFF" w14:textId="77777777" w:rsidR="00533FE8" w:rsidRPr="002D4615" w:rsidRDefault="00720E5F" w:rsidP="00533FE8">
      <w:pPr>
        <w:widowControl/>
        <w:jc w:val="left"/>
        <w:rPr>
          <w:rFonts w:eastAsia="MS Mincho"/>
          <w:szCs w:val="24"/>
          <w:lang w:eastAsia="ja-JP"/>
        </w:rPr>
      </w:pPr>
      <w:r>
        <w:rPr>
          <w:noProof/>
          <w:szCs w:val="24"/>
        </w:rPr>
        <mc:AlternateContent>
          <mc:Choice Requires="wps">
            <w:drawing>
              <wp:anchor distT="0" distB="0" distL="114300" distR="114300" simplePos="0" relativeHeight="251674112" behindDoc="0" locked="0" layoutInCell="1" allowOverlap="1" wp14:anchorId="634B5CCF" wp14:editId="5D346F4D">
                <wp:simplePos x="0" y="0"/>
                <wp:positionH relativeFrom="column">
                  <wp:posOffset>2686050</wp:posOffset>
                </wp:positionH>
                <wp:positionV relativeFrom="paragraph">
                  <wp:posOffset>66675</wp:posOffset>
                </wp:positionV>
                <wp:extent cx="90805" cy="549910"/>
                <wp:effectExtent l="0" t="0" r="0" b="0"/>
                <wp:wrapNone/>
                <wp:docPr id="38" name="Правая фигурная скобка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549910"/>
                        </a:xfrm>
                        <a:prstGeom prst="rightBrace">
                          <a:avLst>
                            <a:gd name="adj1" fmla="val 39977"/>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8CBE2C" id="Правая фигурная скобка 7" o:spid="_x0000_s1026" type="#_x0000_t88" style="position:absolute;margin-left:211.5pt;margin-top:5.25pt;width:7.15pt;height:43.3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" adj="1426"/>
            </w:pict>
          </mc:Fallback>
        </mc:AlternateContent>
      </w:r>
      <w:r w:rsidR="00533FE8" w:rsidRPr="002D4615">
        <w:rPr>
          <w:rFonts w:eastAsia="MS Mincho"/>
          <w:szCs w:val="24"/>
          <w:lang w:eastAsia="ja-JP"/>
        </w:rPr>
        <w:t>Метотрексат</w:t>
      </w:r>
      <w:r w:rsidR="00392AAF">
        <w:rPr>
          <w:rFonts w:eastAsia="MS Mincho"/>
          <w:szCs w:val="24"/>
          <w:lang w:eastAsia="ja-JP"/>
        </w:rPr>
        <w:t>**</w:t>
      </w:r>
      <w:r w:rsidR="00533FE8" w:rsidRPr="002D4615">
        <w:rPr>
          <w:rFonts w:eastAsia="MS Mincho"/>
          <w:szCs w:val="24"/>
          <w:lang w:eastAsia="ja-JP"/>
        </w:rPr>
        <w:t xml:space="preserve">                       </w:t>
      </w:r>
      <w:r w:rsidR="00BE3546">
        <w:rPr>
          <w:rFonts w:eastAsia="MS Mincho"/>
          <w:szCs w:val="24"/>
          <w:lang w:eastAsia="ja-JP"/>
        </w:rPr>
        <w:tab/>
      </w:r>
      <w:r w:rsidR="00533FE8" w:rsidRPr="002D4615">
        <w:rPr>
          <w:rFonts w:eastAsia="MS Mincho"/>
          <w:szCs w:val="24"/>
          <w:lang w:eastAsia="ja-JP"/>
        </w:rPr>
        <w:t>15 мг</w:t>
      </w:r>
    </w:p>
    <w:p w14:paraId="46D4FE9E" w14:textId="77777777" w:rsidR="00533FE8" w:rsidRPr="002D4615" w:rsidRDefault="00421699" w:rsidP="00533FE8">
      <w:pPr>
        <w:widowControl/>
        <w:jc w:val="left"/>
        <w:rPr>
          <w:rFonts w:eastAsia="MS Mincho"/>
          <w:szCs w:val="24"/>
          <w:lang w:eastAsia="ja-JP"/>
        </w:rPr>
      </w:pPr>
      <w:r>
        <w:rPr>
          <w:rFonts w:eastAsia="MS Mincho"/>
          <w:szCs w:val="24"/>
          <w:lang w:eastAsia="ja-JP"/>
        </w:rPr>
        <w:t>Цитарабин**</w:t>
      </w:r>
      <w:r w:rsidR="00533FE8" w:rsidRPr="002D4615">
        <w:rPr>
          <w:rFonts w:eastAsia="MS Mincho"/>
          <w:szCs w:val="24"/>
          <w:lang w:eastAsia="ja-JP"/>
        </w:rPr>
        <w:t xml:space="preserve">                         </w:t>
      </w:r>
      <w:r w:rsidR="00BE3546">
        <w:rPr>
          <w:rFonts w:eastAsia="MS Mincho"/>
          <w:szCs w:val="24"/>
          <w:lang w:eastAsia="ja-JP"/>
        </w:rPr>
        <w:tab/>
      </w:r>
      <w:r w:rsidR="00533FE8" w:rsidRPr="002D4615">
        <w:rPr>
          <w:rFonts w:eastAsia="MS Mincho"/>
          <w:szCs w:val="24"/>
          <w:lang w:eastAsia="ja-JP"/>
        </w:rPr>
        <w:t xml:space="preserve"> </w:t>
      </w:r>
      <w:r w:rsidR="00BE3546">
        <w:rPr>
          <w:rFonts w:eastAsia="MS Mincho"/>
          <w:szCs w:val="24"/>
          <w:lang w:eastAsia="ja-JP"/>
        </w:rPr>
        <w:tab/>
      </w:r>
      <w:r w:rsidR="00533FE8" w:rsidRPr="002D4615">
        <w:rPr>
          <w:rFonts w:eastAsia="MS Mincho"/>
          <w:szCs w:val="24"/>
          <w:lang w:eastAsia="ja-JP"/>
        </w:rPr>
        <w:t xml:space="preserve">40 мг        </w:t>
      </w:r>
      <w:r w:rsidR="00533FE8">
        <w:rPr>
          <w:rFonts w:eastAsia="MS Mincho"/>
          <w:szCs w:val="24"/>
          <w:lang w:eastAsia="ja-JP"/>
        </w:rPr>
        <w:t xml:space="preserve">      </w:t>
      </w:r>
      <w:r w:rsidR="00533FE8" w:rsidRPr="002D4615">
        <w:rPr>
          <w:rFonts w:eastAsia="MS Mincho"/>
          <w:szCs w:val="24"/>
          <w:lang w:eastAsia="ja-JP"/>
        </w:rPr>
        <w:t xml:space="preserve">интратекально </w:t>
      </w:r>
      <w:r w:rsidR="00BE3546">
        <w:rPr>
          <w:rFonts w:eastAsia="MS Mincho"/>
          <w:szCs w:val="24"/>
          <w:lang w:eastAsia="ja-JP"/>
        </w:rPr>
        <w:tab/>
      </w:r>
      <w:r w:rsidR="00533FE8" w:rsidRPr="002D4615">
        <w:rPr>
          <w:rFonts w:eastAsia="MS Mincho"/>
          <w:szCs w:val="24"/>
          <w:lang w:eastAsia="ja-JP"/>
        </w:rPr>
        <w:t>1</w:t>
      </w:r>
      <w:r w:rsidR="00A006DF">
        <w:rPr>
          <w:rFonts w:eastAsia="MS Mincho"/>
          <w:szCs w:val="24"/>
          <w:lang w:eastAsia="ja-JP"/>
        </w:rPr>
        <w:t>-й день</w:t>
      </w:r>
    </w:p>
    <w:p w14:paraId="7438C4EB" w14:textId="77777777" w:rsidR="00533FE8" w:rsidRPr="007264C7" w:rsidRDefault="00533FE8" w:rsidP="00533FE8">
      <w:pPr>
        <w:widowControl/>
        <w:jc w:val="left"/>
        <w:rPr>
          <w:rFonts w:eastAsia="MS Mincho"/>
          <w:szCs w:val="24"/>
          <w:lang w:eastAsia="ja-JP"/>
        </w:rPr>
      </w:pPr>
      <w:r>
        <w:rPr>
          <w:rFonts w:eastAsia="MS Mincho"/>
          <w:szCs w:val="24"/>
          <w:lang w:eastAsia="ja-JP"/>
        </w:rPr>
        <w:t>Дексаметазон</w:t>
      </w:r>
      <w:r w:rsidR="006F5D03">
        <w:rPr>
          <w:rFonts w:eastAsia="MS Mincho"/>
          <w:szCs w:val="24"/>
          <w:lang w:eastAsia="ja-JP"/>
        </w:rPr>
        <w:t>**</w:t>
      </w:r>
      <w:r>
        <w:rPr>
          <w:rFonts w:eastAsia="MS Mincho"/>
          <w:szCs w:val="24"/>
          <w:lang w:eastAsia="ja-JP"/>
        </w:rPr>
        <w:t xml:space="preserve">                     </w:t>
      </w:r>
      <w:r w:rsidR="00BE3546">
        <w:rPr>
          <w:rFonts w:eastAsia="MS Mincho"/>
          <w:szCs w:val="24"/>
          <w:lang w:eastAsia="ja-JP"/>
        </w:rPr>
        <w:tab/>
      </w:r>
      <w:r>
        <w:rPr>
          <w:rFonts w:eastAsia="MS Mincho"/>
          <w:szCs w:val="24"/>
          <w:lang w:eastAsia="ja-JP"/>
        </w:rPr>
        <w:t>4 мг</w:t>
      </w:r>
    </w:p>
    <w:p w14:paraId="40E75D30" w14:textId="77777777" w:rsidR="00533FE8" w:rsidRDefault="00A006DF" w:rsidP="00533FE8">
      <w:pPr>
        <w:widowControl/>
        <w:jc w:val="left"/>
        <w:rPr>
          <w:rFonts w:eastAsia="MS Mincho"/>
          <w:color w:val="000000"/>
          <w:szCs w:val="24"/>
          <w:lang w:eastAsia="ja-JP"/>
        </w:rPr>
      </w:pPr>
      <w:r>
        <w:rPr>
          <w:rFonts w:eastAsia="MS Mincho"/>
          <w:szCs w:val="24"/>
          <w:lang w:eastAsia="ja-JP"/>
        </w:rPr>
        <w:t xml:space="preserve">Оценка ремиссии: </w:t>
      </w:r>
      <w:r w:rsidR="00533FE8" w:rsidRPr="002D4615">
        <w:rPr>
          <w:rFonts w:eastAsia="MS Mincho"/>
          <w:szCs w:val="24"/>
          <w:lang w:eastAsia="ja-JP"/>
        </w:rPr>
        <w:t>16</w:t>
      </w:r>
      <w:r>
        <w:rPr>
          <w:rFonts w:eastAsia="MS Mincho"/>
          <w:szCs w:val="24"/>
          <w:lang w:eastAsia="ja-JP"/>
        </w:rPr>
        <w:t>-я неделя</w:t>
      </w:r>
      <w:r w:rsidR="00533FE8" w:rsidRPr="002D4615">
        <w:rPr>
          <w:rFonts w:eastAsia="MS Mincho"/>
          <w:szCs w:val="24"/>
          <w:lang w:eastAsia="ja-JP"/>
        </w:rPr>
        <w:t xml:space="preserve"> (с оценкой </w:t>
      </w:r>
      <w:r w:rsidR="00AF128D">
        <w:rPr>
          <w:rFonts w:eastAsia="MS Mincho"/>
          <w:szCs w:val="24"/>
          <w:lang w:eastAsia="ja-JP"/>
        </w:rPr>
        <w:t>МОБ</w:t>
      </w:r>
      <w:r w:rsidR="00533FE8" w:rsidRPr="002D4615">
        <w:rPr>
          <w:rFonts w:eastAsia="MS Mincho"/>
          <w:szCs w:val="24"/>
          <w:lang w:eastAsia="ja-JP"/>
        </w:rPr>
        <w:t>).</w:t>
      </w:r>
    </w:p>
    <w:p w14:paraId="06EED0FC" w14:textId="77777777" w:rsidR="00533FE8" w:rsidRPr="00A006DF" w:rsidRDefault="00BD6C1E" w:rsidP="00533FE8">
      <w:pPr>
        <w:widowControl/>
        <w:ind w:firstLine="709"/>
        <w:jc w:val="left"/>
        <w:rPr>
          <w:rFonts w:eastAsia="MS Mincho"/>
          <w:b/>
          <w:color w:val="000000"/>
          <w:szCs w:val="24"/>
          <w:lang w:eastAsia="ja-JP"/>
        </w:rPr>
      </w:pPr>
      <w:r>
        <w:rPr>
          <w:rFonts w:eastAsia="MS Mincho"/>
          <w:b/>
          <w:color w:val="000000"/>
          <w:szCs w:val="24"/>
          <w:lang w:eastAsia="ja-JP"/>
        </w:rPr>
        <w:t>Ауто-ТГСК</w:t>
      </w:r>
    </w:p>
    <w:p w14:paraId="12D3FF29" w14:textId="77777777" w:rsidR="00533FE8" w:rsidRPr="002D4615" w:rsidRDefault="00A006DF" w:rsidP="00533FE8">
      <w:pPr>
        <w:widowControl/>
        <w:ind w:firstLine="709"/>
        <w:rPr>
          <w:rFonts w:eastAsia="MS Mincho"/>
          <w:color w:val="000000"/>
          <w:szCs w:val="24"/>
          <w:lang w:eastAsia="ja-JP"/>
        </w:rPr>
      </w:pPr>
      <w:r>
        <w:rPr>
          <w:rFonts w:eastAsia="MS Mincho"/>
          <w:color w:val="000000"/>
          <w:szCs w:val="24"/>
          <w:lang w:eastAsia="ja-JP"/>
        </w:rPr>
        <w:t>Пациенты</w:t>
      </w:r>
      <w:r w:rsidR="00533FE8" w:rsidRPr="002D4615">
        <w:rPr>
          <w:rFonts w:eastAsia="MS Mincho"/>
          <w:color w:val="000000"/>
          <w:szCs w:val="24"/>
          <w:lang w:eastAsia="ja-JP"/>
        </w:rPr>
        <w:t xml:space="preserve"> из групп высокого и очень высокого рисков, которым не может быть выполнена трансплантация, получают </w:t>
      </w:r>
      <w:r w:rsidR="00BD6C1E">
        <w:rPr>
          <w:rFonts w:eastAsia="MS Mincho"/>
          <w:color w:val="000000"/>
          <w:szCs w:val="24"/>
          <w:lang w:eastAsia="ja-JP"/>
        </w:rPr>
        <w:t>ХТ</w:t>
      </w:r>
      <w:r w:rsidR="00BD6C1E" w:rsidRPr="002D4615">
        <w:rPr>
          <w:rFonts w:eastAsia="MS Mincho"/>
          <w:color w:val="000000"/>
          <w:szCs w:val="24"/>
          <w:lang w:eastAsia="ja-JP"/>
        </w:rPr>
        <w:t xml:space="preserve"> </w:t>
      </w:r>
      <w:r w:rsidR="00533FE8" w:rsidRPr="002D4615">
        <w:rPr>
          <w:rFonts w:eastAsia="MS Mincho"/>
          <w:color w:val="000000"/>
          <w:szCs w:val="24"/>
          <w:lang w:eastAsia="ja-JP"/>
        </w:rPr>
        <w:t xml:space="preserve">по программе группы стандартного риска с соответствующим </w:t>
      </w:r>
      <w:r w:rsidR="00AF128D">
        <w:rPr>
          <w:rFonts w:eastAsia="MS Mincho"/>
          <w:color w:val="000000"/>
          <w:szCs w:val="24"/>
          <w:lang w:eastAsia="ja-JP"/>
        </w:rPr>
        <w:t>МОБ</w:t>
      </w:r>
      <w:r w:rsidR="00533FE8" w:rsidRPr="002D4615">
        <w:rPr>
          <w:rFonts w:eastAsia="MS Mincho"/>
          <w:color w:val="000000"/>
          <w:szCs w:val="24"/>
          <w:lang w:eastAsia="ja-JP"/>
        </w:rPr>
        <w:t>-контролем. После года терапии вновь поднимается вопрос о выполнении Т</w:t>
      </w:r>
      <w:r w:rsidR="00BD6C1E">
        <w:rPr>
          <w:rFonts w:eastAsia="MS Mincho"/>
          <w:color w:val="000000"/>
          <w:szCs w:val="24"/>
          <w:lang w:eastAsia="ja-JP"/>
        </w:rPr>
        <w:t>Г</w:t>
      </w:r>
      <w:r w:rsidR="00533FE8" w:rsidRPr="002D4615">
        <w:rPr>
          <w:rFonts w:eastAsia="MS Mincho"/>
          <w:color w:val="000000"/>
          <w:szCs w:val="24"/>
          <w:lang w:eastAsia="ja-JP"/>
        </w:rPr>
        <w:t>СК.</w:t>
      </w:r>
    </w:p>
    <w:p w14:paraId="69F0706E" w14:textId="77777777" w:rsidR="00533FE8" w:rsidRPr="005A5554" w:rsidRDefault="00533FE8" w:rsidP="00533FE8">
      <w:pPr>
        <w:widowControl/>
        <w:rPr>
          <w:rFonts w:eastAsia="MS Mincho"/>
          <w:color w:val="000000"/>
          <w:szCs w:val="24"/>
          <w:lang w:eastAsia="ja-JP"/>
        </w:rPr>
      </w:pPr>
    </w:p>
    <w:p w14:paraId="48161011" w14:textId="77777777" w:rsidR="00533FE8" w:rsidRPr="00945032" w:rsidRDefault="00533FE8" w:rsidP="004148AD">
      <w:pPr>
        <w:widowControl/>
        <w:ind w:firstLine="709"/>
        <w:rPr>
          <w:rFonts w:eastAsia="MS Mincho"/>
          <w:color w:val="000000"/>
          <w:szCs w:val="24"/>
          <w:lang w:eastAsia="ja-JP"/>
        </w:rPr>
      </w:pPr>
      <w:r w:rsidRPr="00C02BD7">
        <w:rPr>
          <w:rFonts w:eastAsia="MS Mincho"/>
          <w:b/>
          <w:color w:val="000000"/>
          <w:szCs w:val="24"/>
          <w:lang w:eastAsia="ja-JP"/>
        </w:rPr>
        <w:t>Протокол</w:t>
      </w:r>
      <w:r w:rsidRPr="00945032">
        <w:rPr>
          <w:rFonts w:eastAsia="MS Mincho"/>
          <w:b/>
          <w:color w:val="000000"/>
          <w:szCs w:val="24"/>
          <w:lang w:eastAsia="ja-JP"/>
        </w:rPr>
        <w:t xml:space="preserve"> </w:t>
      </w:r>
      <w:r w:rsidRPr="00C02BD7">
        <w:rPr>
          <w:rFonts w:eastAsia="MS Mincho"/>
          <w:b/>
          <w:color w:val="000000"/>
          <w:szCs w:val="24"/>
          <w:lang w:val="en-US" w:eastAsia="ja-JP"/>
        </w:rPr>
        <w:t>M</w:t>
      </w:r>
      <w:r w:rsidRPr="00945032">
        <w:rPr>
          <w:rFonts w:eastAsia="MS Mincho"/>
          <w:b/>
          <w:color w:val="000000"/>
          <w:szCs w:val="24"/>
          <w:lang w:eastAsia="ja-JP"/>
        </w:rPr>
        <w:t>.</w:t>
      </w:r>
      <w:r w:rsidRPr="00C02BD7">
        <w:rPr>
          <w:rFonts w:eastAsia="MS Mincho"/>
          <w:b/>
          <w:color w:val="000000"/>
          <w:szCs w:val="24"/>
          <w:lang w:val="en-US" w:eastAsia="ja-JP"/>
        </w:rPr>
        <w:t>D</w:t>
      </w:r>
      <w:r w:rsidRPr="00945032">
        <w:rPr>
          <w:rFonts w:eastAsia="MS Mincho"/>
          <w:b/>
          <w:color w:val="000000"/>
          <w:szCs w:val="24"/>
          <w:lang w:eastAsia="ja-JP"/>
        </w:rPr>
        <w:t>.</w:t>
      </w:r>
      <w:r w:rsidR="004148AD" w:rsidRPr="00945032">
        <w:rPr>
          <w:rFonts w:eastAsia="MS Mincho"/>
          <w:b/>
          <w:color w:val="000000"/>
          <w:szCs w:val="24"/>
          <w:lang w:eastAsia="ja-JP"/>
        </w:rPr>
        <w:t xml:space="preserve"> </w:t>
      </w:r>
      <w:r w:rsidRPr="00C02BD7">
        <w:rPr>
          <w:rFonts w:eastAsia="MS Mincho"/>
          <w:b/>
          <w:color w:val="000000"/>
          <w:szCs w:val="24"/>
          <w:lang w:val="en-US" w:eastAsia="ja-JP"/>
        </w:rPr>
        <w:t>Anderson</w:t>
      </w:r>
      <w:r w:rsidRPr="00945032">
        <w:rPr>
          <w:rFonts w:eastAsia="MS Mincho"/>
          <w:b/>
          <w:color w:val="000000"/>
          <w:szCs w:val="24"/>
          <w:lang w:eastAsia="ja-JP"/>
        </w:rPr>
        <w:t xml:space="preserve"> </w:t>
      </w:r>
      <w:r w:rsidRPr="00C02BD7">
        <w:rPr>
          <w:rFonts w:eastAsia="MS Mincho"/>
          <w:b/>
          <w:color w:val="000000"/>
          <w:szCs w:val="24"/>
          <w:lang w:val="en-US" w:eastAsia="ja-JP"/>
        </w:rPr>
        <w:t>CRC</w:t>
      </w:r>
      <w:r w:rsidR="004148AD" w:rsidRPr="00945032">
        <w:rPr>
          <w:rFonts w:eastAsia="MS Mincho"/>
          <w:b/>
          <w:color w:val="000000"/>
          <w:szCs w:val="24"/>
          <w:lang w:eastAsia="ja-JP"/>
        </w:rPr>
        <w:t xml:space="preserve"> </w:t>
      </w:r>
      <w:r w:rsidRPr="00C02BD7">
        <w:rPr>
          <w:rFonts w:eastAsia="MS Mincho"/>
          <w:b/>
          <w:color w:val="000000"/>
          <w:szCs w:val="24"/>
          <w:lang w:val="en-US" w:eastAsia="ja-JP"/>
        </w:rPr>
        <w:t>Hyper</w:t>
      </w:r>
      <w:r w:rsidRPr="00945032">
        <w:rPr>
          <w:rFonts w:eastAsia="MS Mincho"/>
          <w:b/>
          <w:color w:val="000000"/>
          <w:szCs w:val="24"/>
          <w:lang w:eastAsia="ja-JP"/>
        </w:rPr>
        <w:t>-</w:t>
      </w:r>
      <w:r w:rsidRPr="00C02BD7">
        <w:rPr>
          <w:rFonts w:eastAsia="MS Mincho"/>
          <w:b/>
          <w:color w:val="000000"/>
          <w:szCs w:val="24"/>
          <w:lang w:val="en-US" w:eastAsia="ja-JP"/>
        </w:rPr>
        <w:t>CVAD</w:t>
      </w:r>
      <w:r w:rsidR="004148AD" w:rsidRPr="00945032">
        <w:rPr>
          <w:b/>
          <w:szCs w:val="24"/>
        </w:rPr>
        <w:t>/</w:t>
      </w:r>
      <w:r w:rsidRPr="00C02BD7">
        <w:rPr>
          <w:b/>
          <w:szCs w:val="24"/>
          <w:lang w:val="en-US"/>
        </w:rPr>
        <w:t>R</w:t>
      </w:r>
      <w:r w:rsidRPr="00945032">
        <w:rPr>
          <w:b/>
          <w:szCs w:val="24"/>
        </w:rPr>
        <w:t>-</w:t>
      </w:r>
      <w:r w:rsidRPr="00C02BD7">
        <w:rPr>
          <w:b/>
          <w:szCs w:val="24"/>
          <w:lang w:val="en-US"/>
        </w:rPr>
        <w:t>HMA</w:t>
      </w:r>
    </w:p>
    <w:p w14:paraId="1173296E" w14:textId="77777777" w:rsidR="00533FE8" w:rsidRPr="004148AD" w:rsidRDefault="00533FE8" w:rsidP="00533FE8">
      <w:pPr>
        <w:widowControl/>
        <w:ind w:firstLine="709"/>
        <w:contextualSpacing/>
        <w:rPr>
          <w:rFonts w:eastAsia="MS Mincho"/>
          <w:b/>
          <w:bCs/>
          <w:szCs w:val="24"/>
          <w:lang w:eastAsia="ja-JP"/>
        </w:rPr>
      </w:pPr>
      <w:r w:rsidRPr="007264C7">
        <w:rPr>
          <w:rFonts w:eastAsia="MS Mincho"/>
          <w:b/>
          <w:bCs/>
          <w:szCs w:val="24"/>
          <w:lang w:eastAsia="ja-JP"/>
        </w:rPr>
        <w:t>Протокол</w:t>
      </w:r>
      <w:r w:rsidRPr="007264C7">
        <w:rPr>
          <w:rFonts w:eastAsia="MS Mincho"/>
          <w:color w:val="231F20"/>
          <w:szCs w:val="24"/>
          <w:lang w:eastAsia="ja-JP"/>
        </w:rPr>
        <w:t xml:space="preserve"> </w:t>
      </w:r>
      <w:r w:rsidRPr="007264C7">
        <w:rPr>
          <w:rFonts w:eastAsia="MS Mincho"/>
          <w:color w:val="231F20"/>
          <w:szCs w:val="24"/>
          <w:lang w:val="en-US" w:eastAsia="ja-JP"/>
        </w:rPr>
        <w:t>Hyper</w:t>
      </w:r>
      <w:r w:rsidRPr="007264C7">
        <w:rPr>
          <w:rFonts w:eastAsia="MS Mincho"/>
          <w:color w:val="231F20"/>
          <w:szCs w:val="24"/>
          <w:lang w:eastAsia="ja-JP"/>
        </w:rPr>
        <w:t>-</w:t>
      </w:r>
      <w:r w:rsidRPr="007264C7">
        <w:rPr>
          <w:rFonts w:eastAsia="MS Mincho"/>
          <w:color w:val="231F20"/>
          <w:szCs w:val="24"/>
          <w:lang w:val="en-US" w:eastAsia="ja-JP"/>
        </w:rPr>
        <w:t>CVAD</w:t>
      </w:r>
      <w:r w:rsidRPr="007264C7">
        <w:rPr>
          <w:rFonts w:eastAsia="MS Mincho"/>
          <w:color w:val="231F20"/>
          <w:szCs w:val="24"/>
          <w:lang w:eastAsia="ja-JP"/>
        </w:rPr>
        <w:t xml:space="preserve"> состоит из чередования собственно курсов </w:t>
      </w:r>
      <w:r w:rsidRPr="007264C7">
        <w:rPr>
          <w:rFonts w:eastAsia="MS Mincho"/>
          <w:color w:val="231F20"/>
          <w:szCs w:val="24"/>
          <w:lang w:val="en-US" w:eastAsia="ja-JP"/>
        </w:rPr>
        <w:t>Hyper</w:t>
      </w:r>
      <w:r w:rsidRPr="007264C7">
        <w:rPr>
          <w:rFonts w:eastAsia="MS Mincho"/>
          <w:color w:val="231F20"/>
          <w:szCs w:val="24"/>
          <w:lang w:eastAsia="ja-JP"/>
        </w:rPr>
        <w:t>-</w:t>
      </w:r>
      <w:r w:rsidRPr="007264C7">
        <w:rPr>
          <w:rFonts w:eastAsia="MS Mincho"/>
          <w:color w:val="231F20"/>
          <w:szCs w:val="24"/>
          <w:lang w:val="en-US" w:eastAsia="ja-JP"/>
        </w:rPr>
        <w:t>CVAD</w:t>
      </w:r>
      <w:r>
        <w:rPr>
          <w:rFonts w:eastAsia="MS Mincho"/>
          <w:color w:val="231F20"/>
          <w:szCs w:val="24"/>
          <w:lang w:eastAsia="ja-JP"/>
        </w:rPr>
        <w:t xml:space="preserve"> (1,</w:t>
      </w:r>
      <w:r w:rsidR="004148AD" w:rsidRPr="004148AD">
        <w:rPr>
          <w:rFonts w:eastAsia="MS Mincho"/>
          <w:color w:val="231F20"/>
          <w:szCs w:val="24"/>
          <w:lang w:eastAsia="ja-JP"/>
        </w:rPr>
        <w:t xml:space="preserve"> </w:t>
      </w:r>
      <w:r>
        <w:rPr>
          <w:rFonts w:eastAsia="MS Mincho"/>
          <w:color w:val="231F20"/>
          <w:szCs w:val="24"/>
          <w:lang w:eastAsia="ja-JP"/>
        </w:rPr>
        <w:t>3,</w:t>
      </w:r>
      <w:r w:rsidR="004148AD" w:rsidRPr="004148AD">
        <w:rPr>
          <w:rFonts w:eastAsia="MS Mincho"/>
          <w:color w:val="231F20"/>
          <w:szCs w:val="24"/>
          <w:lang w:eastAsia="ja-JP"/>
        </w:rPr>
        <w:t xml:space="preserve"> </w:t>
      </w:r>
      <w:r w:rsidRPr="007264C7">
        <w:rPr>
          <w:rFonts w:eastAsia="MS Mincho"/>
          <w:color w:val="231F20"/>
          <w:szCs w:val="24"/>
          <w:lang w:eastAsia="ja-JP"/>
        </w:rPr>
        <w:t>5,</w:t>
      </w:r>
      <w:r w:rsidR="004148AD" w:rsidRPr="004148AD">
        <w:rPr>
          <w:rFonts w:eastAsia="MS Mincho"/>
          <w:color w:val="231F20"/>
          <w:szCs w:val="24"/>
          <w:lang w:eastAsia="ja-JP"/>
        </w:rPr>
        <w:t xml:space="preserve"> </w:t>
      </w:r>
      <w:r w:rsidR="004148AD">
        <w:rPr>
          <w:rFonts w:eastAsia="MS Mincho"/>
          <w:color w:val="231F20"/>
          <w:szCs w:val="24"/>
          <w:lang w:eastAsia="ja-JP"/>
        </w:rPr>
        <w:t>7) и курса R-HMA</w:t>
      </w:r>
      <w:r w:rsidR="004148AD" w:rsidRPr="004148AD">
        <w:rPr>
          <w:rFonts w:eastAsia="MS Mincho"/>
          <w:color w:val="231F20"/>
          <w:szCs w:val="24"/>
          <w:lang w:eastAsia="ja-JP"/>
        </w:rPr>
        <w:t xml:space="preserve"> </w:t>
      </w:r>
      <w:r w:rsidR="004148AD">
        <w:rPr>
          <w:rFonts w:eastAsia="MS Mincho"/>
          <w:color w:val="231F20"/>
          <w:szCs w:val="24"/>
          <w:lang w:eastAsia="ja-JP"/>
        </w:rPr>
        <w:t>–</w:t>
      </w:r>
      <w:r w:rsidR="004148AD" w:rsidRPr="004148AD">
        <w:rPr>
          <w:rFonts w:eastAsia="MS Mincho"/>
          <w:color w:val="231F20"/>
          <w:szCs w:val="24"/>
          <w:lang w:eastAsia="ja-JP"/>
        </w:rPr>
        <w:t xml:space="preserve"> </w:t>
      </w:r>
      <w:r w:rsidRPr="007264C7">
        <w:rPr>
          <w:rFonts w:eastAsia="MS Mincho"/>
          <w:color w:val="231F20"/>
          <w:szCs w:val="24"/>
          <w:lang w:eastAsia="ja-JP"/>
        </w:rPr>
        <w:t>цитарабина</w:t>
      </w:r>
      <w:r w:rsidR="00421699">
        <w:rPr>
          <w:rFonts w:eastAsia="MS Mincho"/>
          <w:color w:val="231F20"/>
          <w:szCs w:val="24"/>
          <w:lang w:eastAsia="ja-JP"/>
        </w:rPr>
        <w:t>**</w:t>
      </w:r>
      <w:r w:rsidRPr="007264C7">
        <w:rPr>
          <w:rFonts w:eastAsia="MS Mincho"/>
          <w:color w:val="231F20"/>
          <w:szCs w:val="24"/>
          <w:lang w:eastAsia="ja-JP"/>
        </w:rPr>
        <w:t xml:space="preserve"> и метотрексата</w:t>
      </w:r>
      <w:r w:rsidR="00421699">
        <w:rPr>
          <w:rFonts w:eastAsia="MS Mincho"/>
          <w:color w:val="231F20"/>
          <w:szCs w:val="24"/>
          <w:lang w:eastAsia="ja-JP"/>
        </w:rPr>
        <w:t>**</w:t>
      </w:r>
      <w:r w:rsidRPr="007264C7">
        <w:rPr>
          <w:rFonts w:eastAsia="MS Mincho"/>
          <w:color w:val="231F20"/>
          <w:szCs w:val="24"/>
          <w:lang w:eastAsia="ja-JP"/>
        </w:rPr>
        <w:t xml:space="preserve"> в высоких дозах (2,</w:t>
      </w:r>
      <w:r w:rsidR="004148AD" w:rsidRPr="004148AD">
        <w:rPr>
          <w:rFonts w:eastAsia="MS Mincho"/>
          <w:color w:val="231F20"/>
          <w:szCs w:val="24"/>
          <w:lang w:eastAsia="ja-JP"/>
        </w:rPr>
        <w:t xml:space="preserve"> </w:t>
      </w:r>
      <w:r w:rsidRPr="007264C7">
        <w:rPr>
          <w:rFonts w:eastAsia="MS Mincho"/>
          <w:color w:val="231F20"/>
          <w:szCs w:val="24"/>
          <w:lang w:eastAsia="ja-JP"/>
        </w:rPr>
        <w:t>4,</w:t>
      </w:r>
      <w:r w:rsidR="004148AD" w:rsidRPr="004148AD">
        <w:rPr>
          <w:rFonts w:eastAsia="MS Mincho"/>
          <w:color w:val="231F20"/>
          <w:szCs w:val="24"/>
          <w:lang w:eastAsia="ja-JP"/>
        </w:rPr>
        <w:t xml:space="preserve"> </w:t>
      </w:r>
      <w:r w:rsidRPr="007264C7">
        <w:rPr>
          <w:rFonts w:eastAsia="MS Mincho"/>
          <w:color w:val="231F20"/>
          <w:szCs w:val="24"/>
          <w:lang w:eastAsia="ja-JP"/>
        </w:rPr>
        <w:t>6,</w:t>
      </w:r>
      <w:r w:rsidR="004148AD" w:rsidRPr="004148AD">
        <w:rPr>
          <w:rFonts w:eastAsia="MS Mincho"/>
          <w:color w:val="231F20"/>
          <w:szCs w:val="24"/>
          <w:lang w:eastAsia="ja-JP"/>
        </w:rPr>
        <w:t xml:space="preserve"> </w:t>
      </w:r>
      <w:r w:rsidRPr="007264C7">
        <w:rPr>
          <w:rFonts w:eastAsia="MS Mincho"/>
          <w:color w:val="231F20"/>
          <w:szCs w:val="24"/>
          <w:lang w:eastAsia="ja-JP"/>
        </w:rPr>
        <w:t>8) и дальнейшей поддерживающей терапии</w:t>
      </w:r>
      <w:r w:rsidR="004148AD" w:rsidRPr="004148AD">
        <w:rPr>
          <w:rFonts w:eastAsia="MS Mincho"/>
          <w:color w:val="231F20"/>
          <w:szCs w:val="24"/>
          <w:lang w:eastAsia="ja-JP"/>
        </w:rPr>
        <w:t>.</w:t>
      </w:r>
    </w:p>
    <w:p w14:paraId="0A091EDB" w14:textId="77777777" w:rsidR="00533FE8" w:rsidRPr="007264C7" w:rsidRDefault="00533FE8" w:rsidP="00533FE8">
      <w:pPr>
        <w:widowControl/>
        <w:jc w:val="left"/>
        <w:rPr>
          <w:rFonts w:eastAsia="MS Mincho"/>
          <w:b/>
          <w:bCs/>
          <w:szCs w:val="24"/>
          <w:lang w:eastAsia="ja-JP"/>
        </w:rPr>
      </w:pPr>
    </w:p>
    <w:p w14:paraId="1AF16C63" w14:textId="77777777" w:rsidR="00533FE8" w:rsidRPr="006F6E87" w:rsidRDefault="00533FE8" w:rsidP="00533FE8">
      <w:pPr>
        <w:widowControl/>
        <w:jc w:val="left"/>
        <w:rPr>
          <w:rFonts w:eastAsia="MS Mincho"/>
          <w:b/>
          <w:bCs/>
          <w:szCs w:val="24"/>
          <w:lang w:eastAsia="ja-JP"/>
        </w:rPr>
      </w:pPr>
      <w:r w:rsidRPr="007264C7">
        <w:rPr>
          <w:rFonts w:eastAsia="MS Mincho"/>
          <w:b/>
          <w:bCs/>
          <w:szCs w:val="24"/>
          <w:lang w:eastAsia="ja-JP"/>
        </w:rPr>
        <w:t xml:space="preserve">Фаза терапии </w:t>
      </w:r>
      <w:r w:rsidRPr="007264C7">
        <w:rPr>
          <w:rFonts w:eastAsia="MS Mincho"/>
          <w:b/>
          <w:bCs/>
          <w:szCs w:val="24"/>
          <w:lang w:eastAsia="ja-JP"/>
        </w:rPr>
        <w:tab/>
      </w:r>
      <w:r w:rsidRPr="007264C7">
        <w:rPr>
          <w:rFonts w:eastAsia="MS Mincho"/>
          <w:b/>
          <w:bCs/>
          <w:szCs w:val="24"/>
          <w:lang w:eastAsia="ja-JP"/>
        </w:rPr>
        <w:tab/>
      </w:r>
      <w:r w:rsidR="00BE3546">
        <w:rPr>
          <w:rFonts w:eastAsia="MS Mincho"/>
          <w:b/>
          <w:bCs/>
          <w:szCs w:val="24"/>
          <w:lang w:eastAsia="ja-JP"/>
        </w:rPr>
        <w:tab/>
      </w:r>
      <w:r w:rsidRPr="007264C7">
        <w:rPr>
          <w:rFonts w:eastAsia="MS Mincho"/>
          <w:b/>
          <w:bCs/>
          <w:szCs w:val="24"/>
          <w:lang w:eastAsia="ja-JP"/>
        </w:rPr>
        <w:t>Доза, путь введения</w:t>
      </w:r>
      <w:r w:rsidR="00BE3546">
        <w:rPr>
          <w:rFonts w:eastAsia="MS Mincho"/>
          <w:b/>
          <w:bCs/>
          <w:szCs w:val="24"/>
          <w:lang w:eastAsia="ja-JP"/>
        </w:rPr>
        <w:tab/>
      </w:r>
      <w:r w:rsidR="00BE3546">
        <w:rPr>
          <w:rFonts w:eastAsia="MS Mincho"/>
          <w:b/>
          <w:bCs/>
          <w:szCs w:val="24"/>
          <w:lang w:eastAsia="ja-JP"/>
        </w:rPr>
        <w:tab/>
      </w:r>
      <w:r w:rsidRPr="007264C7">
        <w:rPr>
          <w:rFonts w:eastAsia="MS Mincho"/>
          <w:b/>
          <w:bCs/>
          <w:szCs w:val="24"/>
          <w:lang w:eastAsia="ja-JP"/>
        </w:rPr>
        <w:t>Время введения</w:t>
      </w:r>
    </w:p>
    <w:p w14:paraId="3AD7C79D" w14:textId="77777777" w:rsidR="00533FE8" w:rsidRPr="006F6E87" w:rsidRDefault="00533FE8" w:rsidP="00533FE8">
      <w:pPr>
        <w:widowControl/>
        <w:jc w:val="left"/>
        <w:rPr>
          <w:rFonts w:eastAsia="MS Mincho"/>
          <w:b/>
          <w:color w:val="231F20"/>
          <w:szCs w:val="24"/>
          <w:lang w:eastAsia="ja-JP"/>
        </w:rPr>
      </w:pPr>
      <w:r w:rsidRPr="006F6E87">
        <w:rPr>
          <w:rFonts w:eastAsia="MS Mincho"/>
          <w:b/>
          <w:i/>
          <w:iCs/>
          <w:color w:val="231F20"/>
          <w:szCs w:val="24"/>
          <w:lang w:val="en-US" w:eastAsia="ja-JP"/>
        </w:rPr>
        <w:t>Hyper</w:t>
      </w:r>
      <w:r w:rsidRPr="006F6E87">
        <w:rPr>
          <w:rFonts w:eastAsia="MS Mincho"/>
          <w:b/>
          <w:i/>
          <w:iCs/>
          <w:color w:val="231F20"/>
          <w:szCs w:val="24"/>
          <w:lang w:eastAsia="ja-JP"/>
        </w:rPr>
        <w:t>-</w:t>
      </w:r>
      <w:r w:rsidRPr="006F6E87">
        <w:rPr>
          <w:rFonts w:eastAsia="MS Mincho"/>
          <w:b/>
          <w:i/>
          <w:iCs/>
          <w:color w:val="231F20"/>
          <w:szCs w:val="24"/>
          <w:lang w:val="en-US" w:eastAsia="ja-JP"/>
        </w:rPr>
        <w:t>CVAD</w:t>
      </w:r>
    </w:p>
    <w:p w14:paraId="0311ADFA" w14:textId="77777777" w:rsidR="00533FE8" w:rsidRPr="007264C7" w:rsidRDefault="00533FE8" w:rsidP="00533FE8">
      <w:pPr>
        <w:widowControl/>
        <w:jc w:val="left"/>
        <w:rPr>
          <w:rFonts w:eastAsia="MS Mincho"/>
          <w:color w:val="231F20"/>
          <w:szCs w:val="24"/>
          <w:lang w:eastAsia="ja-JP"/>
        </w:rPr>
      </w:pPr>
      <w:r w:rsidRPr="007264C7">
        <w:rPr>
          <w:rFonts w:eastAsia="MS Mincho"/>
          <w:color w:val="231F20"/>
          <w:szCs w:val="24"/>
          <w:lang w:eastAsia="ja-JP"/>
        </w:rPr>
        <w:t>Циклофосфамид</w:t>
      </w:r>
      <w:r w:rsidR="004C2C6A">
        <w:rPr>
          <w:rFonts w:eastAsia="MS Mincho"/>
          <w:color w:val="231F20"/>
          <w:szCs w:val="24"/>
          <w:lang w:eastAsia="ja-JP"/>
        </w:rPr>
        <w:t>**</w:t>
      </w:r>
      <w:r w:rsidRPr="007264C7">
        <w:rPr>
          <w:rFonts w:eastAsia="MS Mincho"/>
          <w:color w:val="231F20"/>
          <w:szCs w:val="24"/>
          <w:lang w:eastAsia="ja-JP"/>
        </w:rPr>
        <w:t xml:space="preserve"> </w:t>
      </w:r>
      <w:r w:rsidRPr="007264C7">
        <w:rPr>
          <w:rFonts w:eastAsia="MS Mincho"/>
          <w:color w:val="231F20"/>
          <w:szCs w:val="24"/>
          <w:lang w:eastAsia="ja-JP"/>
        </w:rPr>
        <w:tab/>
      </w:r>
      <w:r w:rsidRPr="007264C7">
        <w:rPr>
          <w:rFonts w:eastAsia="MS Mincho"/>
          <w:color w:val="231F20"/>
          <w:szCs w:val="24"/>
          <w:lang w:eastAsia="ja-JP"/>
        </w:rPr>
        <w:tab/>
      </w:r>
      <w:r w:rsidR="00BE3546">
        <w:rPr>
          <w:rFonts w:eastAsia="MS Mincho"/>
          <w:color w:val="231F20"/>
          <w:szCs w:val="24"/>
          <w:lang w:eastAsia="ja-JP"/>
        </w:rPr>
        <w:tab/>
      </w:r>
      <w:r w:rsidRPr="007264C7">
        <w:rPr>
          <w:rFonts w:eastAsia="MS Mincho"/>
          <w:color w:val="231F20"/>
          <w:szCs w:val="24"/>
          <w:lang w:eastAsia="ja-JP"/>
        </w:rPr>
        <w:t>300 мг/м</w:t>
      </w:r>
      <w:r w:rsidRPr="00AF151A">
        <w:rPr>
          <w:rFonts w:eastAsia="MS Mincho"/>
          <w:color w:val="231F20"/>
          <w:szCs w:val="24"/>
          <w:vertAlign w:val="superscript"/>
          <w:lang w:eastAsia="ja-JP"/>
        </w:rPr>
        <w:t>2</w:t>
      </w:r>
      <w:r w:rsidRPr="007264C7">
        <w:rPr>
          <w:rFonts w:eastAsia="MS Mincho"/>
          <w:color w:val="231F20"/>
          <w:szCs w:val="24"/>
          <w:lang w:eastAsia="ja-JP"/>
        </w:rPr>
        <w:t xml:space="preserve"> 2</w:t>
      </w:r>
      <w:r w:rsidR="00AF151A">
        <w:rPr>
          <w:rFonts w:eastAsia="MS Mincho"/>
          <w:color w:val="231F20"/>
          <w:szCs w:val="24"/>
          <w:lang w:eastAsia="ja-JP"/>
        </w:rPr>
        <w:t xml:space="preserve"> </w:t>
      </w:r>
      <w:r w:rsidR="00AF151A">
        <w:rPr>
          <w:rFonts w:eastAsia="MS Mincho"/>
          <w:szCs w:val="24"/>
          <w:lang w:eastAsia="ja-JP"/>
        </w:rPr>
        <w:t>раза в день</w:t>
      </w:r>
      <w:r w:rsidR="00A12C9B">
        <w:rPr>
          <w:rFonts w:eastAsia="MS Mincho"/>
          <w:color w:val="231F20"/>
          <w:szCs w:val="24"/>
          <w:lang w:eastAsia="ja-JP"/>
        </w:rPr>
        <w:t xml:space="preserve"> в/в (2–</w:t>
      </w:r>
      <w:r w:rsidRPr="007264C7">
        <w:rPr>
          <w:rFonts w:eastAsia="MS Mincho"/>
          <w:color w:val="231F20"/>
          <w:szCs w:val="24"/>
          <w:lang w:eastAsia="ja-JP"/>
        </w:rPr>
        <w:t>3 ч)</w:t>
      </w:r>
      <w:r w:rsidR="00BE3546">
        <w:rPr>
          <w:rFonts w:eastAsia="MS Mincho"/>
          <w:color w:val="231F20"/>
          <w:szCs w:val="24"/>
          <w:lang w:eastAsia="ja-JP"/>
        </w:rPr>
        <w:tab/>
      </w:r>
      <w:r w:rsidRPr="007264C7">
        <w:rPr>
          <w:rFonts w:eastAsia="MS Mincho"/>
          <w:color w:val="231F20"/>
          <w:szCs w:val="24"/>
          <w:lang w:eastAsia="ja-JP"/>
        </w:rPr>
        <w:t>1</w:t>
      </w:r>
      <w:r w:rsidR="00A12C9B">
        <w:rPr>
          <w:rFonts w:eastAsia="MS Mincho"/>
          <w:color w:val="231F20"/>
          <w:szCs w:val="24"/>
          <w:lang w:eastAsia="ja-JP"/>
        </w:rPr>
        <w:t>–</w:t>
      </w:r>
      <w:r w:rsidRPr="007264C7">
        <w:rPr>
          <w:rFonts w:eastAsia="MS Mincho"/>
          <w:color w:val="231F20"/>
          <w:szCs w:val="24"/>
          <w:lang w:eastAsia="ja-JP"/>
        </w:rPr>
        <w:t>3</w:t>
      </w:r>
      <w:r w:rsidR="00A12C9B">
        <w:rPr>
          <w:rFonts w:eastAsia="MS Mincho"/>
          <w:color w:val="231F20"/>
          <w:szCs w:val="24"/>
          <w:lang w:eastAsia="ja-JP"/>
        </w:rPr>
        <w:t xml:space="preserve">-й дни </w:t>
      </w:r>
    </w:p>
    <w:p w14:paraId="584BFE6D" w14:textId="77777777" w:rsidR="00533FE8" w:rsidRPr="007264C7" w:rsidRDefault="00533FE8" w:rsidP="00BE3546">
      <w:pPr>
        <w:widowControl/>
        <w:ind w:left="2880" w:firstLine="720"/>
        <w:jc w:val="left"/>
        <w:rPr>
          <w:rFonts w:eastAsia="MS Mincho"/>
          <w:color w:val="231F20"/>
          <w:szCs w:val="24"/>
          <w:lang w:eastAsia="ja-JP"/>
        </w:rPr>
      </w:pPr>
      <w:r w:rsidRPr="007264C7">
        <w:rPr>
          <w:rFonts w:eastAsia="MS Mincho"/>
          <w:color w:val="231F20"/>
          <w:szCs w:val="24"/>
          <w:lang w:eastAsia="ja-JP"/>
        </w:rPr>
        <w:t>(всего 6 введений)</w:t>
      </w:r>
    </w:p>
    <w:p w14:paraId="766C74B0" w14:textId="77777777" w:rsidR="00533FE8" w:rsidRPr="007264C7" w:rsidRDefault="00533FE8" w:rsidP="00BE3546">
      <w:pPr>
        <w:widowControl/>
        <w:jc w:val="left"/>
        <w:rPr>
          <w:rFonts w:eastAsia="MS Mincho"/>
          <w:color w:val="231F20"/>
          <w:szCs w:val="24"/>
          <w:lang w:eastAsia="ja-JP"/>
        </w:rPr>
      </w:pPr>
      <w:r w:rsidRPr="007264C7">
        <w:rPr>
          <w:rFonts w:eastAsia="MS Mincho"/>
          <w:color w:val="231F20"/>
          <w:szCs w:val="24"/>
          <w:lang w:eastAsia="ja-JP"/>
        </w:rPr>
        <w:t>Винкристин</w:t>
      </w:r>
      <w:r w:rsidR="00457E7B">
        <w:rPr>
          <w:rFonts w:eastAsia="MS Mincho"/>
          <w:color w:val="231F20"/>
          <w:szCs w:val="24"/>
          <w:lang w:eastAsia="ja-JP"/>
        </w:rPr>
        <w:t>**</w:t>
      </w:r>
      <w:r w:rsidR="00BE3546">
        <w:rPr>
          <w:rFonts w:eastAsia="MS Mincho"/>
          <w:color w:val="231F20"/>
          <w:szCs w:val="24"/>
          <w:lang w:eastAsia="ja-JP"/>
        </w:rPr>
        <w:tab/>
      </w:r>
      <w:r w:rsidR="00BE3546">
        <w:rPr>
          <w:rFonts w:eastAsia="MS Mincho"/>
          <w:color w:val="231F20"/>
          <w:szCs w:val="24"/>
          <w:lang w:eastAsia="ja-JP"/>
        </w:rPr>
        <w:tab/>
      </w:r>
      <w:r w:rsidR="00BE3546">
        <w:rPr>
          <w:rFonts w:eastAsia="MS Mincho"/>
          <w:color w:val="231F20"/>
          <w:szCs w:val="24"/>
          <w:lang w:eastAsia="ja-JP"/>
        </w:rPr>
        <w:tab/>
      </w:r>
      <w:r w:rsidRPr="007264C7">
        <w:rPr>
          <w:rFonts w:eastAsia="MS Mincho"/>
          <w:color w:val="231F20"/>
          <w:szCs w:val="24"/>
          <w:lang w:eastAsia="ja-JP"/>
        </w:rPr>
        <w:t xml:space="preserve">2 мг в/в </w:t>
      </w:r>
      <w:r w:rsidR="00BE3546">
        <w:rPr>
          <w:rFonts w:eastAsia="MS Mincho"/>
          <w:color w:val="231F20"/>
          <w:szCs w:val="24"/>
          <w:lang w:eastAsia="ja-JP"/>
        </w:rPr>
        <w:tab/>
      </w:r>
      <w:r w:rsidR="00BE3546">
        <w:rPr>
          <w:rFonts w:eastAsia="MS Mincho"/>
          <w:color w:val="231F20"/>
          <w:szCs w:val="24"/>
          <w:lang w:eastAsia="ja-JP"/>
        </w:rPr>
        <w:tab/>
      </w:r>
      <w:r w:rsidR="00BE3546">
        <w:rPr>
          <w:rFonts w:eastAsia="MS Mincho"/>
          <w:color w:val="231F20"/>
          <w:szCs w:val="24"/>
          <w:lang w:eastAsia="ja-JP"/>
        </w:rPr>
        <w:tab/>
      </w:r>
      <w:r w:rsidR="00BE3546">
        <w:rPr>
          <w:rFonts w:eastAsia="MS Mincho"/>
          <w:color w:val="231F20"/>
          <w:szCs w:val="24"/>
          <w:lang w:eastAsia="ja-JP"/>
        </w:rPr>
        <w:tab/>
      </w:r>
      <w:r w:rsidRPr="007264C7">
        <w:rPr>
          <w:rFonts w:eastAsia="MS Mincho"/>
          <w:color w:val="231F20"/>
          <w:szCs w:val="24"/>
          <w:lang w:eastAsia="ja-JP"/>
        </w:rPr>
        <w:t>4</w:t>
      </w:r>
      <w:r w:rsidR="00A12C9B">
        <w:rPr>
          <w:rFonts w:eastAsia="MS Mincho"/>
          <w:color w:val="231F20"/>
          <w:szCs w:val="24"/>
          <w:lang w:eastAsia="ja-JP"/>
        </w:rPr>
        <w:t>-й</w:t>
      </w:r>
      <w:r w:rsidRPr="007264C7">
        <w:rPr>
          <w:rFonts w:eastAsia="MS Mincho"/>
          <w:color w:val="231F20"/>
          <w:szCs w:val="24"/>
          <w:lang w:eastAsia="ja-JP"/>
        </w:rPr>
        <w:t>,</w:t>
      </w:r>
      <w:r w:rsidR="00A12C9B">
        <w:rPr>
          <w:rFonts w:eastAsia="MS Mincho"/>
          <w:color w:val="231F20"/>
          <w:szCs w:val="24"/>
          <w:lang w:eastAsia="ja-JP"/>
        </w:rPr>
        <w:t xml:space="preserve"> </w:t>
      </w:r>
      <w:r w:rsidRPr="007264C7">
        <w:rPr>
          <w:rFonts w:eastAsia="MS Mincho"/>
          <w:color w:val="231F20"/>
          <w:szCs w:val="24"/>
          <w:lang w:eastAsia="ja-JP"/>
        </w:rPr>
        <w:t>11</w:t>
      </w:r>
      <w:r w:rsidR="00A12C9B">
        <w:rPr>
          <w:rFonts w:eastAsia="MS Mincho"/>
          <w:color w:val="231F20"/>
          <w:szCs w:val="24"/>
          <w:lang w:eastAsia="ja-JP"/>
        </w:rPr>
        <w:t>-й дни</w:t>
      </w:r>
    </w:p>
    <w:p w14:paraId="39C573A8" w14:textId="77777777" w:rsidR="00533FE8" w:rsidRPr="007264C7" w:rsidRDefault="00533FE8" w:rsidP="00533FE8">
      <w:pPr>
        <w:widowControl/>
        <w:jc w:val="left"/>
        <w:rPr>
          <w:rFonts w:eastAsia="MS Mincho"/>
          <w:color w:val="231F20"/>
          <w:szCs w:val="24"/>
          <w:lang w:eastAsia="ja-JP"/>
        </w:rPr>
      </w:pPr>
      <w:r w:rsidRPr="007264C7">
        <w:rPr>
          <w:rFonts w:eastAsia="MS Mincho"/>
          <w:color w:val="231F20"/>
          <w:szCs w:val="24"/>
          <w:lang w:eastAsia="ja-JP"/>
        </w:rPr>
        <w:t>Доксорубицин</w:t>
      </w:r>
      <w:r w:rsidR="00067484">
        <w:rPr>
          <w:rFonts w:eastAsia="MS Mincho"/>
          <w:color w:val="231F20"/>
          <w:szCs w:val="24"/>
          <w:lang w:eastAsia="ja-JP"/>
        </w:rPr>
        <w:t>**</w:t>
      </w:r>
      <w:r w:rsidRPr="007264C7">
        <w:rPr>
          <w:rFonts w:eastAsia="MS Mincho"/>
          <w:color w:val="231F20"/>
          <w:szCs w:val="24"/>
          <w:lang w:eastAsia="ja-JP"/>
        </w:rPr>
        <w:t xml:space="preserve"> </w:t>
      </w:r>
      <w:r w:rsidRPr="007264C7">
        <w:rPr>
          <w:rFonts w:eastAsia="MS Mincho"/>
          <w:color w:val="231F20"/>
          <w:szCs w:val="24"/>
          <w:lang w:eastAsia="ja-JP"/>
        </w:rPr>
        <w:tab/>
      </w:r>
      <w:r w:rsidRPr="007264C7">
        <w:rPr>
          <w:rFonts w:eastAsia="MS Mincho"/>
          <w:color w:val="231F20"/>
          <w:szCs w:val="24"/>
          <w:lang w:eastAsia="ja-JP"/>
        </w:rPr>
        <w:tab/>
      </w:r>
      <w:r w:rsidR="00BE3546">
        <w:rPr>
          <w:rFonts w:eastAsia="MS Mincho"/>
          <w:color w:val="231F20"/>
          <w:szCs w:val="24"/>
          <w:lang w:eastAsia="ja-JP"/>
        </w:rPr>
        <w:tab/>
      </w:r>
      <w:r w:rsidRPr="007264C7">
        <w:rPr>
          <w:rFonts w:eastAsia="MS Mincho"/>
          <w:color w:val="231F20"/>
          <w:szCs w:val="24"/>
          <w:lang w:eastAsia="ja-JP"/>
        </w:rPr>
        <w:t>50 мг/м</w:t>
      </w:r>
      <w:r w:rsidRPr="00AF151A">
        <w:rPr>
          <w:rFonts w:eastAsia="MS Mincho"/>
          <w:color w:val="231F20"/>
          <w:szCs w:val="24"/>
          <w:vertAlign w:val="superscript"/>
          <w:lang w:eastAsia="ja-JP"/>
        </w:rPr>
        <w:t>2</w:t>
      </w:r>
      <w:r w:rsidRPr="007264C7">
        <w:rPr>
          <w:rFonts w:eastAsia="MS Mincho"/>
          <w:color w:val="231F20"/>
          <w:szCs w:val="24"/>
          <w:lang w:eastAsia="ja-JP"/>
        </w:rPr>
        <w:t xml:space="preserve"> в/в (24 ч)</w:t>
      </w:r>
      <w:r w:rsidRPr="007264C7">
        <w:rPr>
          <w:rFonts w:eastAsia="MS Mincho"/>
          <w:color w:val="231F20"/>
          <w:szCs w:val="24"/>
          <w:lang w:eastAsia="ja-JP"/>
        </w:rPr>
        <w:tab/>
      </w:r>
      <w:r w:rsidRPr="007264C7">
        <w:rPr>
          <w:rFonts w:eastAsia="MS Mincho"/>
          <w:color w:val="231F20"/>
          <w:szCs w:val="24"/>
          <w:lang w:eastAsia="ja-JP"/>
        </w:rPr>
        <w:tab/>
        <w:t xml:space="preserve">           </w:t>
      </w:r>
      <w:r w:rsidR="00BE3546">
        <w:rPr>
          <w:rFonts w:eastAsia="MS Mincho"/>
          <w:color w:val="231F20"/>
          <w:szCs w:val="24"/>
          <w:lang w:eastAsia="ja-JP"/>
        </w:rPr>
        <w:tab/>
      </w:r>
      <w:r w:rsidRPr="007264C7">
        <w:rPr>
          <w:rFonts w:eastAsia="MS Mincho"/>
          <w:color w:val="231F20"/>
          <w:szCs w:val="24"/>
          <w:lang w:eastAsia="ja-JP"/>
        </w:rPr>
        <w:t>4</w:t>
      </w:r>
      <w:r w:rsidR="00A12C9B">
        <w:rPr>
          <w:rFonts w:eastAsia="MS Mincho"/>
          <w:color w:val="231F20"/>
          <w:szCs w:val="24"/>
          <w:lang w:eastAsia="ja-JP"/>
        </w:rPr>
        <w:t>-й день</w:t>
      </w:r>
      <w:r w:rsidRPr="007264C7">
        <w:rPr>
          <w:rFonts w:eastAsia="MS Mincho"/>
          <w:color w:val="231F20"/>
          <w:szCs w:val="24"/>
          <w:lang w:eastAsia="ja-JP"/>
        </w:rPr>
        <w:t xml:space="preserve"> </w:t>
      </w:r>
    </w:p>
    <w:p w14:paraId="66F2C746" w14:textId="77777777" w:rsidR="00533FE8" w:rsidRPr="007264C7" w:rsidRDefault="00533FE8" w:rsidP="00533FE8">
      <w:pPr>
        <w:widowControl/>
        <w:jc w:val="left"/>
        <w:rPr>
          <w:rFonts w:eastAsia="MS Mincho"/>
          <w:color w:val="231F20"/>
          <w:szCs w:val="24"/>
          <w:lang w:eastAsia="ja-JP"/>
        </w:rPr>
      </w:pPr>
      <w:r>
        <w:rPr>
          <w:rFonts w:eastAsia="MS Mincho"/>
          <w:color w:val="231F20"/>
          <w:szCs w:val="24"/>
          <w:lang w:eastAsia="ja-JP"/>
        </w:rPr>
        <w:lastRenderedPageBreak/>
        <w:t>Дексаметазон</w:t>
      </w:r>
      <w:r w:rsidR="006F5D03">
        <w:rPr>
          <w:rFonts w:eastAsia="MS Mincho"/>
          <w:color w:val="231F20"/>
          <w:szCs w:val="24"/>
          <w:lang w:eastAsia="ja-JP"/>
        </w:rPr>
        <w:t>**</w:t>
      </w:r>
      <w:r w:rsidRPr="007264C7">
        <w:rPr>
          <w:rFonts w:eastAsia="MS Mincho"/>
          <w:color w:val="231F20"/>
          <w:szCs w:val="24"/>
          <w:lang w:eastAsia="ja-JP"/>
        </w:rPr>
        <w:t xml:space="preserve"> </w:t>
      </w:r>
      <w:r w:rsidRPr="007264C7">
        <w:rPr>
          <w:rFonts w:eastAsia="MS Mincho"/>
          <w:color w:val="231F20"/>
          <w:szCs w:val="24"/>
          <w:lang w:eastAsia="ja-JP"/>
        </w:rPr>
        <w:tab/>
      </w:r>
      <w:r w:rsidRPr="007264C7">
        <w:rPr>
          <w:rFonts w:eastAsia="MS Mincho"/>
          <w:color w:val="231F20"/>
          <w:szCs w:val="24"/>
          <w:lang w:eastAsia="ja-JP"/>
        </w:rPr>
        <w:tab/>
      </w:r>
      <w:r w:rsidR="00BE3546">
        <w:rPr>
          <w:rFonts w:eastAsia="MS Mincho"/>
          <w:color w:val="231F20"/>
          <w:szCs w:val="24"/>
          <w:lang w:eastAsia="ja-JP"/>
        </w:rPr>
        <w:tab/>
      </w:r>
      <w:r w:rsidRPr="007264C7">
        <w:rPr>
          <w:rFonts w:eastAsia="MS Mincho"/>
          <w:color w:val="231F20"/>
          <w:szCs w:val="24"/>
          <w:lang w:eastAsia="ja-JP"/>
        </w:rPr>
        <w:t xml:space="preserve">40 мг в/в или внутрь </w:t>
      </w:r>
      <w:r w:rsidR="00BE3546">
        <w:rPr>
          <w:rFonts w:eastAsia="MS Mincho"/>
          <w:color w:val="231F20"/>
          <w:szCs w:val="24"/>
          <w:lang w:eastAsia="ja-JP"/>
        </w:rPr>
        <w:tab/>
      </w:r>
      <w:r w:rsidR="00BE3546">
        <w:rPr>
          <w:rFonts w:eastAsia="MS Mincho"/>
          <w:color w:val="231F20"/>
          <w:szCs w:val="24"/>
          <w:lang w:eastAsia="ja-JP"/>
        </w:rPr>
        <w:tab/>
      </w:r>
      <w:r w:rsidR="00BE3546">
        <w:rPr>
          <w:rFonts w:eastAsia="MS Mincho"/>
          <w:color w:val="231F20"/>
          <w:szCs w:val="24"/>
          <w:lang w:eastAsia="ja-JP"/>
        </w:rPr>
        <w:tab/>
      </w:r>
      <w:r w:rsidRPr="007264C7">
        <w:rPr>
          <w:rFonts w:eastAsia="MS Mincho"/>
          <w:color w:val="231F20"/>
          <w:szCs w:val="24"/>
          <w:lang w:eastAsia="ja-JP"/>
        </w:rPr>
        <w:t>1–4</w:t>
      </w:r>
      <w:r w:rsidR="00A12C9B">
        <w:rPr>
          <w:rFonts w:eastAsia="MS Mincho"/>
          <w:color w:val="231F20"/>
          <w:szCs w:val="24"/>
          <w:lang w:eastAsia="ja-JP"/>
        </w:rPr>
        <w:t>-й</w:t>
      </w:r>
      <w:r w:rsidRPr="007264C7">
        <w:rPr>
          <w:rFonts w:eastAsia="MS Mincho"/>
          <w:color w:val="231F20"/>
          <w:szCs w:val="24"/>
          <w:lang w:eastAsia="ja-JP"/>
        </w:rPr>
        <w:t>, 11–14</w:t>
      </w:r>
      <w:r w:rsidR="00A12C9B">
        <w:rPr>
          <w:rFonts w:eastAsia="MS Mincho"/>
          <w:color w:val="231F20"/>
          <w:szCs w:val="24"/>
          <w:lang w:eastAsia="ja-JP"/>
        </w:rPr>
        <w:t>-й дни</w:t>
      </w:r>
    </w:p>
    <w:p w14:paraId="0AD3C111" w14:textId="77777777" w:rsidR="00533FE8" w:rsidRPr="007264C7" w:rsidRDefault="00533FE8" w:rsidP="00533FE8">
      <w:pPr>
        <w:widowControl/>
        <w:jc w:val="left"/>
        <w:rPr>
          <w:rFonts w:eastAsia="MS Mincho"/>
          <w:i/>
          <w:iCs/>
          <w:color w:val="231F20"/>
          <w:szCs w:val="24"/>
          <w:lang w:eastAsia="ja-JP"/>
        </w:rPr>
      </w:pPr>
    </w:p>
    <w:p w14:paraId="78A26D95" w14:textId="77777777" w:rsidR="00533FE8" w:rsidRPr="006F6E87" w:rsidRDefault="00533FE8" w:rsidP="00533FE8">
      <w:pPr>
        <w:widowControl/>
        <w:jc w:val="left"/>
        <w:rPr>
          <w:rFonts w:eastAsia="MS Mincho"/>
          <w:b/>
          <w:i/>
          <w:iCs/>
          <w:color w:val="231F20"/>
          <w:szCs w:val="24"/>
          <w:lang w:eastAsia="ja-JP"/>
        </w:rPr>
      </w:pPr>
      <w:r w:rsidRPr="007264C7">
        <w:rPr>
          <w:rFonts w:eastAsia="MS Mincho"/>
          <w:b/>
          <w:i/>
          <w:iCs/>
          <w:color w:val="231F20"/>
          <w:szCs w:val="24"/>
          <w:lang w:val="en-US" w:eastAsia="ja-JP"/>
        </w:rPr>
        <w:t>HD</w:t>
      </w:r>
      <w:r w:rsidRPr="007264C7">
        <w:rPr>
          <w:rFonts w:eastAsia="MS Mincho"/>
          <w:b/>
          <w:i/>
          <w:iCs/>
          <w:color w:val="231F20"/>
          <w:szCs w:val="24"/>
          <w:lang w:eastAsia="ja-JP"/>
        </w:rPr>
        <w:t>-</w:t>
      </w:r>
      <w:r w:rsidRPr="007264C7">
        <w:rPr>
          <w:rFonts w:eastAsia="MS Mincho"/>
          <w:b/>
          <w:i/>
          <w:iCs/>
          <w:color w:val="231F20"/>
          <w:szCs w:val="24"/>
          <w:lang w:val="en-US" w:eastAsia="ja-JP"/>
        </w:rPr>
        <w:t>MTX</w:t>
      </w:r>
      <w:r w:rsidRPr="007264C7">
        <w:rPr>
          <w:rFonts w:eastAsia="MS Mincho"/>
          <w:b/>
          <w:i/>
          <w:iCs/>
          <w:color w:val="231F20"/>
          <w:szCs w:val="24"/>
          <w:lang w:eastAsia="ja-JP"/>
        </w:rPr>
        <w:t>-</w:t>
      </w:r>
      <w:r w:rsidRPr="007264C7">
        <w:rPr>
          <w:rFonts w:eastAsia="MS Mincho"/>
          <w:b/>
          <w:i/>
          <w:iCs/>
          <w:color w:val="231F20"/>
          <w:szCs w:val="24"/>
          <w:lang w:val="en-US" w:eastAsia="ja-JP"/>
        </w:rPr>
        <w:t>Ara</w:t>
      </w:r>
      <w:r w:rsidRPr="007264C7">
        <w:rPr>
          <w:rFonts w:eastAsia="MS Mincho"/>
          <w:b/>
          <w:i/>
          <w:iCs/>
          <w:color w:val="231F20"/>
          <w:szCs w:val="24"/>
          <w:lang w:eastAsia="ja-JP"/>
        </w:rPr>
        <w:t>-</w:t>
      </w:r>
      <w:r w:rsidRPr="007264C7">
        <w:rPr>
          <w:rFonts w:eastAsia="MS Mincho"/>
          <w:b/>
          <w:i/>
          <w:iCs/>
          <w:color w:val="231F20"/>
          <w:szCs w:val="24"/>
          <w:lang w:val="en-US" w:eastAsia="ja-JP"/>
        </w:rPr>
        <w:t>C</w:t>
      </w:r>
    </w:p>
    <w:p w14:paraId="0A52E71E" w14:textId="77777777" w:rsidR="00533FE8" w:rsidRPr="007264C7" w:rsidRDefault="00533FE8" w:rsidP="00533FE8">
      <w:pPr>
        <w:widowControl/>
        <w:jc w:val="left"/>
        <w:rPr>
          <w:rFonts w:eastAsia="MS Mincho"/>
          <w:color w:val="231F20"/>
          <w:szCs w:val="24"/>
          <w:lang w:eastAsia="ja-JP"/>
        </w:rPr>
      </w:pPr>
      <w:r w:rsidRPr="007264C7">
        <w:rPr>
          <w:rFonts w:eastAsia="MS Mincho"/>
          <w:color w:val="231F20"/>
          <w:szCs w:val="24"/>
          <w:lang w:eastAsia="ja-JP"/>
        </w:rPr>
        <w:t>Метотрексат</w:t>
      </w:r>
      <w:r w:rsidR="00392AAF">
        <w:rPr>
          <w:rFonts w:eastAsia="MS Mincho"/>
          <w:color w:val="231F20"/>
          <w:szCs w:val="24"/>
          <w:lang w:eastAsia="ja-JP"/>
        </w:rPr>
        <w:t>**</w:t>
      </w:r>
      <w:r w:rsidRPr="007264C7">
        <w:rPr>
          <w:rFonts w:eastAsia="MS Mincho"/>
          <w:color w:val="231F20"/>
          <w:szCs w:val="24"/>
          <w:lang w:eastAsia="ja-JP"/>
        </w:rPr>
        <w:tab/>
      </w:r>
      <w:r w:rsidR="00BE3546">
        <w:rPr>
          <w:rFonts w:eastAsia="MS Mincho"/>
          <w:color w:val="231F20"/>
          <w:szCs w:val="24"/>
          <w:lang w:eastAsia="ja-JP"/>
        </w:rPr>
        <w:tab/>
      </w:r>
      <w:r w:rsidR="00BE3546">
        <w:rPr>
          <w:rFonts w:eastAsia="MS Mincho"/>
          <w:color w:val="231F20"/>
          <w:szCs w:val="24"/>
          <w:lang w:eastAsia="ja-JP"/>
        </w:rPr>
        <w:tab/>
      </w:r>
      <w:r w:rsidRPr="007264C7">
        <w:rPr>
          <w:rFonts w:eastAsia="MS Mincho"/>
          <w:color w:val="231F20"/>
          <w:szCs w:val="24"/>
          <w:lang w:eastAsia="ja-JP"/>
        </w:rPr>
        <w:t>1 г/м</w:t>
      </w:r>
      <w:r w:rsidRPr="007264C7">
        <w:rPr>
          <w:rFonts w:eastAsia="MS Mincho"/>
          <w:color w:val="231F20"/>
          <w:szCs w:val="24"/>
          <w:vertAlign w:val="superscript"/>
          <w:lang w:eastAsia="ja-JP"/>
        </w:rPr>
        <w:t>2</w:t>
      </w:r>
      <w:r>
        <w:rPr>
          <w:rFonts w:eastAsia="MS Mincho"/>
          <w:color w:val="231F20"/>
          <w:szCs w:val="24"/>
          <w:lang w:eastAsia="ja-JP"/>
        </w:rPr>
        <w:t xml:space="preserve"> в/в (24 ч); </w:t>
      </w:r>
      <w:r>
        <w:rPr>
          <w:rFonts w:eastAsia="MS Mincho"/>
          <w:color w:val="231F20"/>
          <w:szCs w:val="24"/>
          <w:lang w:eastAsia="ja-JP"/>
        </w:rPr>
        <w:tab/>
      </w:r>
      <w:r>
        <w:rPr>
          <w:rFonts w:eastAsia="MS Mincho"/>
          <w:color w:val="231F20"/>
          <w:szCs w:val="24"/>
          <w:lang w:eastAsia="ja-JP"/>
        </w:rPr>
        <w:tab/>
        <w:t xml:space="preserve">          </w:t>
      </w:r>
      <w:r w:rsidR="00BE3546">
        <w:rPr>
          <w:rFonts w:eastAsia="MS Mincho"/>
          <w:color w:val="231F20"/>
          <w:szCs w:val="24"/>
          <w:lang w:eastAsia="ja-JP"/>
        </w:rPr>
        <w:tab/>
      </w:r>
      <w:r>
        <w:rPr>
          <w:rFonts w:eastAsia="MS Mincho"/>
          <w:color w:val="231F20"/>
          <w:szCs w:val="24"/>
          <w:lang w:eastAsia="ja-JP"/>
        </w:rPr>
        <w:t>1</w:t>
      </w:r>
      <w:r w:rsidR="00A12C9B">
        <w:rPr>
          <w:rFonts w:eastAsia="MS Mincho"/>
          <w:color w:val="231F20"/>
          <w:szCs w:val="24"/>
          <w:lang w:eastAsia="ja-JP"/>
        </w:rPr>
        <w:t>-й день</w:t>
      </w:r>
      <w:r w:rsidRPr="007264C7">
        <w:rPr>
          <w:rFonts w:eastAsia="MS Mincho"/>
          <w:color w:val="231F20"/>
          <w:szCs w:val="24"/>
          <w:lang w:eastAsia="ja-JP"/>
        </w:rPr>
        <w:t xml:space="preserve">                                      </w:t>
      </w:r>
    </w:p>
    <w:p w14:paraId="29791249" w14:textId="77777777" w:rsidR="00533FE8" w:rsidRPr="007264C7" w:rsidRDefault="00421699" w:rsidP="00533FE8">
      <w:pPr>
        <w:widowControl/>
        <w:jc w:val="left"/>
        <w:rPr>
          <w:rFonts w:eastAsia="MS Mincho"/>
          <w:color w:val="231F20"/>
          <w:szCs w:val="24"/>
          <w:lang w:eastAsia="ja-JP"/>
        </w:rPr>
      </w:pPr>
      <w:r>
        <w:rPr>
          <w:rFonts w:eastAsia="MS Mincho"/>
          <w:color w:val="231F20"/>
          <w:szCs w:val="24"/>
          <w:lang w:eastAsia="ja-JP"/>
        </w:rPr>
        <w:t>Цитарабин**</w:t>
      </w:r>
      <w:r w:rsidR="00533FE8" w:rsidRPr="007264C7">
        <w:rPr>
          <w:rFonts w:eastAsia="MS Mincho"/>
          <w:color w:val="231F20"/>
          <w:szCs w:val="24"/>
          <w:lang w:eastAsia="ja-JP"/>
        </w:rPr>
        <w:t xml:space="preserve"> </w:t>
      </w:r>
      <w:r w:rsidR="00533FE8" w:rsidRPr="007264C7">
        <w:rPr>
          <w:rFonts w:eastAsia="MS Mincho"/>
          <w:color w:val="231F20"/>
          <w:szCs w:val="24"/>
          <w:lang w:eastAsia="ja-JP"/>
        </w:rPr>
        <w:tab/>
      </w:r>
      <w:r w:rsidR="00533FE8" w:rsidRPr="007264C7">
        <w:rPr>
          <w:rFonts w:eastAsia="MS Mincho"/>
          <w:color w:val="231F20"/>
          <w:szCs w:val="24"/>
          <w:lang w:eastAsia="ja-JP"/>
        </w:rPr>
        <w:tab/>
      </w:r>
      <w:r w:rsidR="00533FE8" w:rsidRPr="007264C7">
        <w:rPr>
          <w:rFonts w:eastAsia="MS Mincho"/>
          <w:color w:val="231F20"/>
          <w:szCs w:val="24"/>
          <w:lang w:eastAsia="ja-JP"/>
        </w:rPr>
        <w:tab/>
      </w:r>
      <w:r w:rsidR="00BE3546">
        <w:rPr>
          <w:rFonts w:eastAsia="MS Mincho"/>
          <w:color w:val="231F20"/>
          <w:szCs w:val="24"/>
          <w:lang w:eastAsia="ja-JP"/>
        </w:rPr>
        <w:tab/>
      </w:r>
      <w:r w:rsidR="00533FE8" w:rsidRPr="007264C7">
        <w:rPr>
          <w:rFonts w:eastAsia="MS Mincho"/>
          <w:color w:val="231F20"/>
          <w:szCs w:val="24"/>
          <w:lang w:eastAsia="ja-JP"/>
        </w:rPr>
        <w:t>3 г/м</w:t>
      </w:r>
      <w:r w:rsidR="00533FE8" w:rsidRPr="007264C7">
        <w:rPr>
          <w:rFonts w:eastAsia="MS Mincho"/>
          <w:color w:val="231F20"/>
          <w:szCs w:val="24"/>
          <w:vertAlign w:val="superscript"/>
          <w:lang w:eastAsia="ja-JP"/>
        </w:rPr>
        <w:t>2</w:t>
      </w:r>
      <w:r w:rsidR="00533FE8" w:rsidRPr="007264C7">
        <w:rPr>
          <w:rFonts w:eastAsia="MS Mincho"/>
          <w:color w:val="231F20"/>
          <w:szCs w:val="24"/>
          <w:lang w:eastAsia="ja-JP"/>
        </w:rPr>
        <w:t xml:space="preserve"> 2 р</w:t>
      </w:r>
      <w:r w:rsidR="00BE3546">
        <w:rPr>
          <w:rFonts w:eastAsia="MS Mincho"/>
          <w:color w:val="231F20"/>
          <w:szCs w:val="24"/>
          <w:lang w:eastAsia="ja-JP"/>
        </w:rPr>
        <w:t>аза в день</w:t>
      </w:r>
      <w:r w:rsidR="00533FE8" w:rsidRPr="007264C7">
        <w:rPr>
          <w:rFonts w:eastAsia="MS Mincho"/>
          <w:color w:val="231F20"/>
          <w:szCs w:val="24"/>
          <w:lang w:eastAsia="ja-JP"/>
        </w:rPr>
        <w:t xml:space="preserve"> в/в (2 ч)</w:t>
      </w:r>
      <w:r w:rsidR="00BE3546">
        <w:rPr>
          <w:rFonts w:eastAsia="MS Mincho"/>
          <w:color w:val="231F20"/>
          <w:szCs w:val="24"/>
          <w:lang w:eastAsia="ja-JP"/>
        </w:rPr>
        <w:tab/>
      </w:r>
      <w:r w:rsidR="00BE3546">
        <w:rPr>
          <w:rFonts w:eastAsia="MS Mincho"/>
          <w:color w:val="231F20"/>
          <w:szCs w:val="24"/>
          <w:lang w:eastAsia="ja-JP"/>
        </w:rPr>
        <w:tab/>
      </w:r>
      <w:r w:rsidR="00533FE8" w:rsidRPr="007264C7">
        <w:rPr>
          <w:rFonts w:eastAsia="MS Mincho"/>
          <w:color w:val="231F20"/>
          <w:szCs w:val="24"/>
          <w:lang w:eastAsia="ja-JP"/>
        </w:rPr>
        <w:t>2</w:t>
      </w:r>
      <w:r w:rsidR="00A12C9B">
        <w:rPr>
          <w:rFonts w:eastAsia="MS Mincho"/>
          <w:color w:val="231F20"/>
          <w:szCs w:val="24"/>
          <w:lang w:eastAsia="ja-JP"/>
        </w:rPr>
        <w:t>-й</w:t>
      </w:r>
      <w:r w:rsidR="00533FE8" w:rsidRPr="007264C7">
        <w:rPr>
          <w:rFonts w:eastAsia="MS Mincho"/>
          <w:color w:val="231F20"/>
          <w:szCs w:val="24"/>
          <w:lang w:eastAsia="ja-JP"/>
        </w:rPr>
        <w:t>,</w:t>
      </w:r>
      <w:r w:rsidR="00A12C9B">
        <w:rPr>
          <w:rFonts w:eastAsia="MS Mincho"/>
          <w:color w:val="231F20"/>
          <w:szCs w:val="24"/>
          <w:lang w:eastAsia="ja-JP"/>
        </w:rPr>
        <w:t xml:space="preserve"> </w:t>
      </w:r>
      <w:r w:rsidR="00533FE8" w:rsidRPr="007264C7">
        <w:rPr>
          <w:rFonts w:eastAsia="MS Mincho"/>
          <w:color w:val="231F20"/>
          <w:szCs w:val="24"/>
          <w:lang w:eastAsia="ja-JP"/>
        </w:rPr>
        <w:t>3</w:t>
      </w:r>
      <w:r w:rsidR="00A12C9B">
        <w:rPr>
          <w:rFonts w:eastAsia="MS Mincho"/>
          <w:color w:val="231F20"/>
          <w:szCs w:val="24"/>
          <w:lang w:eastAsia="ja-JP"/>
        </w:rPr>
        <w:t>-й дни</w:t>
      </w:r>
    </w:p>
    <w:p w14:paraId="24BF50B0" w14:textId="77777777" w:rsidR="00533FE8" w:rsidRPr="007264C7" w:rsidRDefault="00533FE8" w:rsidP="00BE3546">
      <w:pPr>
        <w:widowControl/>
        <w:ind w:left="720" w:firstLine="720"/>
        <w:jc w:val="left"/>
        <w:rPr>
          <w:rFonts w:eastAsia="MS Mincho"/>
          <w:i/>
          <w:szCs w:val="24"/>
          <w:lang w:eastAsia="ja-JP"/>
        </w:rPr>
      </w:pPr>
      <w:r w:rsidRPr="007264C7">
        <w:rPr>
          <w:rFonts w:eastAsia="MS Mincho"/>
          <w:i/>
          <w:szCs w:val="24"/>
          <w:lang w:eastAsia="ja-JP"/>
        </w:rPr>
        <w:t>Возраст &gt;60 л</w:t>
      </w:r>
      <w:r w:rsidR="00A12C9B">
        <w:rPr>
          <w:rFonts w:eastAsia="MS Mincho"/>
          <w:i/>
          <w:szCs w:val="24"/>
          <w:lang w:eastAsia="ja-JP"/>
        </w:rPr>
        <w:t>ет</w:t>
      </w:r>
      <w:r w:rsidR="00BE3546" w:rsidRPr="00BE3546">
        <w:rPr>
          <w:rFonts w:eastAsia="MS Mincho"/>
          <w:i/>
          <w:szCs w:val="24"/>
          <w:lang w:eastAsia="ja-JP"/>
        </w:rPr>
        <w:t xml:space="preserve"> </w:t>
      </w:r>
      <w:r w:rsidR="00BE3546" w:rsidRPr="00BE3546">
        <w:rPr>
          <w:rFonts w:eastAsia="MS Mincho"/>
          <w:i/>
          <w:szCs w:val="24"/>
          <w:lang w:eastAsia="ja-JP"/>
        </w:rPr>
        <w:tab/>
      </w:r>
      <w:r w:rsidRPr="007264C7">
        <w:rPr>
          <w:rFonts w:eastAsia="MS Mincho"/>
          <w:i/>
          <w:szCs w:val="24"/>
          <w:lang w:eastAsia="ja-JP"/>
        </w:rPr>
        <w:t>1 г/</w:t>
      </w:r>
      <w:r w:rsidR="00AF151A">
        <w:rPr>
          <w:rFonts w:eastAsia="MS Mincho"/>
          <w:i/>
          <w:szCs w:val="24"/>
          <w:lang w:eastAsia="ja-JP"/>
        </w:rPr>
        <w:t>м</w:t>
      </w:r>
      <w:r w:rsidRPr="00AF151A">
        <w:rPr>
          <w:rFonts w:eastAsia="MS Mincho"/>
          <w:i/>
          <w:szCs w:val="24"/>
          <w:vertAlign w:val="superscript"/>
          <w:lang w:eastAsia="ja-JP"/>
        </w:rPr>
        <w:t>2</w:t>
      </w:r>
      <w:r w:rsidRPr="007264C7">
        <w:rPr>
          <w:rFonts w:eastAsia="MS Mincho"/>
          <w:i/>
          <w:szCs w:val="24"/>
          <w:lang w:eastAsia="ja-JP"/>
        </w:rPr>
        <w:t xml:space="preserve"> в/в </w:t>
      </w:r>
    </w:p>
    <w:p w14:paraId="5A87456E" w14:textId="77777777" w:rsidR="00533FE8" w:rsidRPr="007264C7" w:rsidRDefault="00533FE8" w:rsidP="00533FE8">
      <w:pPr>
        <w:widowControl/>
        <w:ind w:firstLine="720"/>
        <w:jc w:val="left"/>
        <w:rPr>
          <w:rFonts w:eastAsia="MS Mincho"/>
          <w:szCs w:val="24"/>
          <w:lang w:eastAsia="ja-JP"/>
        </w:rPr>
      </w:pPr>
      <w:r w:rsidRPr="007264C7">
        <w:rPr>
          <w:rFonts w:eastAsia="MS Mincho"/>
          <w:szCs w:val="24"/>
          <w:lang w:eastAsia="ja-JP"/>
        </w:rPr>
        <w:t xml:space="preserve">                    </w:t>
      </w:r>
      <w:r>
        <w:rPr>
          <w:rFonts w:eastAsia="MS Mincho"/>
          <w:szCs w:val="24"/>
          <w:lang w:eastAsia="ja-JP"/>
        </w:rPr>
        <w:t xml:space="preserve">            </w:t>
      </w:r>
      <w:r>
        <w:rPr>
          <w:rFonts w:eastAsia="MS Mincho"/>
          <w:szCs w:val="24"/>
          <w:lang w:eastAsia="ja-JP"/>
        </w:rPr>
        <w:tab/>
      </w:r>
      <w:r w:rsidR="00BE3546">
        <w:rPr>
          <w:rFonts w:eastAsia="MS Mincho"/>
          <w:szCs w:val="24"/>
          <w:lang w:eastAsia="ja-JP"/>
        </w:rPr>
        <w:tab/>
      </w:r>
      <w:r>
        <w:rPr>
          <w:rFonts w:eastAsia="MS Mincho"/>
          <w:szCs w:val="24"/>
          <w:lang w:eastAsia="ja-JP"/>
        </w:rPr>
        <w:t>(всего 4 введения)</w:t>
      </w:r>
      <w:r w:rsidRPr="007264C7">
        <w:rPr>
          <w:rFonts w:eastAsia="MS Mincho"/>
          <w:color w:val="231F20"/>
          <w:szCs w:val="24"/>
          <w:lang w:eastAsia="ja-JP"/>
        </w:rPr>
        <w:t xml:space="preserve">; </w:t>
      </w:r>
    </w:p>
    <w:p w14:paraId="127F7078" w14:textId="77777777" w:rsidR="00533FE8" w:rsidRPr="007264C7" w:rsidRDefault="00533FE8" w:rsidP="00533FE8">
      <w:pPr>
        <w:widowControl/>
        <w:tabs>
          <w:tab w:val="left" w:pos="0"/>
        </w:tabs>
        <w:jc w:val="left"/>
        <w:rPr>
          <w:rFonts w:eastAsia="MS Mincho"/>
          <w:color w:val="231F20"/>
          <w:szCs w:val="24"/>
          <w:lang w:eastAsia="ja-JP"/>
        </w:rPr>
      </w:pPr>
      <w:r w:rsidRPr="007264C7">
        <w:rPr>
          <w:rFonts w:eastAsia="MS Mincho"/>
          <w:color w:val="231F20"/>
          <w:szCs w:val="24"/>
          <w:lang w:eastAsia="ja-JP"/>
        </w:rPr>
        <w:t>Метил</w:t>
      </w:r>
      <w:r>
        <w:rPr>
          <w:rFonts w:eastAsia="MS Mincho"/>
          <w:color w:val="231F20"/>
          <w:szCs w:val="24"/>
          <w:lang w:eastAsia="ja-JP"/>
        </w:rPr>
        <w:t>преднизолон</w:t>
      </w:r>
      <w:r w:rsidR="00A0028B">
        <w:rPr>
          <w:rFonts w:eastAsia="MS Mincho"/>
          <w:color w:val="231F20"/>
          <w:szCs w:val="24"/>
          <w:lang w:eastAsia="ja-JP"/>
        </w:rPr>
        <w:t>**</w:t>
      </w:r>
      <w:r w:rsidRPr="007264C7">
        <w:rPr>
          <w:rFonts w:eastAsia="MS Mincho"/>
          <w:color w:val="231F20"/>
          <w:szCs w:val="24"/>
          <w:lang w:eastAsia="ja-JP"/>
        </w:rPr>
        <w:t xml:space="preserve">    </w:t>
      </w:r>
      <w:r w:rsidR="00A0028B">
        <w:rPr>
          <w:rFonts w:eastAsia="MS Mincho"/>
          <w:color w:val="231F20"/>
          <w:szCs w:val="24"/>
          <w:lang w:eastAsia="ja-JP"/>
        </w:rPr>
        <w:tab/>
      </w:r>
      <w:r w:rsidR="00A0028B">
        <w:rPr>
          <w:rFonts w:eastAsia="MS Mincho"/>
          <w:color w:val="231F20"/>
          <w:szCs w:val="24"/>
          <w:lang w:eastAsia="ja-JP"/>
        </w:rPr>
        <w:tab/>
      </w:r>
      <w:r w:rsidRPr="007264C7">
        <w:rPr>
          <w:rFonts w:eastAsia="MS Mincho"/>
          <w:color w:val="231F20"/>
          <w:szCs w:val="24"/>
          <w:lang w:eastAsia="ja-JP"/>
        </w:rPr>
        <w:t>50 мг 2</w:t>
      </w:r>
      <w:r w:rsidR="00AF151A">
        <w:rPr>
          <w:rFonts w:eastAsia="MS Mincho"/>
          <w:color w:val="231F20"/>
          <w:szCs w:val="24"/>
          <w:lang w:eastAsia="ja-JP"/>
        </w:rPr>
        <w:t xml:space="preserve"> </w:t>
      </w:r>
      <w:r w:rsidR="00AF151A">
        <w:rPr>
          <w:rFonts w:eastAsia="MS Mincho"/>
          <w:szCs w:val="24"/>
          <w:lang w:eastAsia="ja-JP"/>
        </w:rPr>
        <w:t>раза в день</w:t>
      </w:r>
      <w:r w:rsidR="00A0028B">
        <w:rPr>
          <w:rFonts w:eastAsia="MS Mincho"/>
          <w:szCs w:val="24"/>
          <w:lang w:eastAsia="ja-JP"/>
        </w:rPr>
        <w:tab/>
      </w:r>
      <w:r w:rsidR="00A0028B">
        <w:rPr>
          <w:rFonts w:eastAsia="MS Mincho"/>
          <w:szCs w:val="24"/>
          <w:lang w:eastAsia="ja-JP"/>
        </w:rPr>
        <w:tab/>
      </w:r>
      <w:r w:rsidR="00A0028B">
        <w:rPr>
          <w:rFonts w:eastAsia="MS Mincho"/>
          <w:szCs w:val="24"/>
          <w:lang w:eastAsia="ja-JP"/>
        </w:rPr>
        <w:tab/>
      </w:r>
      <w:r w:rsidR="00A12C9B">
        <w:rPr>
          <w:rFonts w:eastAsia="MS Mincho"/>
          <w:color w:val="231F20"/>
          <w:szCs w:val="24"/>
          <w:lang w:eastAsia="ja-JP"/>
        </w:rPr>
        <w:t>1–</w:t>
      </w:r>
      <w:r w:rsidRPr="007264C7">
        <w:rPr>
          <w:rFonts w:eastAsia="MS Mincho"/>
          <w:color w:val="231F20"/>
          <w:szCs w:val="24"/>
          <w:lang w:eastAsia="ja-JP"/>
        </w:rPr>
        <w:t>3</w:t>
      </w:r>
      <w:r w:rsidR="00A12C9B">
        <w:rPr>
          <w:rFonts w:eastAsia="MS Mincho"/>
          <w:color w:val="231F20"/>
          <w:szCs w:val="24"/>
          <w:lang w:eastAsia="ja-JP"/>
        </w:rPr>
        <w:t>-й дни</w:t>
      </w:r>
    </w:p>
    <w:p w14:paraId="3E0A6776" w14:textId="77777777" w:rsidR="00533FE8" w:rsidRPr="007264C7" w:rsidRDefault="00533FE8" w:rsidP="00A0028B">
      <w:pPr>
        <w:widowControl/>
        <w:ind w:left="2880" w:firstLine="720"/>
        <w:jc w:val="left"/>
        <w:rPr>
          <w:rFonts w:eastAsia="MS Mincho"/>
          <w:color w:val="231F20"/>
          <w:szCs w:val="24"/>
          <w:lang w:eastAsia="ja-JP"/>
        </w:rPr>
      </w:pPr>
      <w:r w:rsidRPr="007264C7">
        <w:rPr>
          <w:rFonts w:eastAsia="MS Mincho"/>
          <w:color w:val="231F20"/>
          <w:szCs w:val="24"/>
          <w:lang w:eastAsia="ja-JP"/>
        </w:rPr>
        <w:t>(всего 6 введений)</w:t>
      </w:r>
    </w:p>
    <w:p w14:paraId="302FF8BA" w14:textId="77777777" w:rsidR="00533FE8" w:rsidRPr="007264C7" w:rsidRDefault="00533FE8" w:rsidP="00533FE8">
      <w:pPr>
        <w:widowControl/>
        <w:rPr>
          <w:rFonts w:eastAsia="MS Mincho"/>
          <w:i/>
          <w:iCs/>
          <w:color w:val="231F20"/>
          <w:szCs w:val="24"/>
          <w:lang w:eastAsia="ja-JP"/>
        </w:rPr>
      </w:pPr>
    </w:p>
    <w:p w14:paraId="3B65CFC3" w14:textId="77777777" w:rsidR="00533FE8" w:rsidRPr="007264C7" w:rsidRDefault="00533FE8" w:rsidP="00533FE8">
      <w:pPr>
        <w:widowControl/>
        <w:ind w:firstLine="709"/>
        <w:rPr>
          <w:szCs w:val="24"/>
        </w:rPr>
      </w:pPr>
      <w:r w:rsidRPr="007264C7">
        <w:rPr>
          <w:szCs w:val="24"/>
        </w:rPr>
        <w:t>Профилактика поражения ЦНС проводится на каждом курсе, суммарно 16 интратекальных введений:</w:t>
      </w:r>
    </w:p>
    <w:p w14:paraId="4BE03DA9" w14:textId="77777777" w:rsidR="00533FE8" w:rsidRPr="007264C7" w:rsidRDefault="00533FE8" w:rsidP="00956D03">
      <w:pPr>
        <w:widowControl/>
        <w:numPr>
          <w:ilvl w:val="0"/>
          <w:numId w:val="5"/>
        </w:numPr>
        <w:rPr>
          <w:szCs w:val="24"/>
        </w:rPr>
      </w:pPr>
      <w:r w:rsidRPr="007264C7">
        <w:rPr>
          <w:szCs w:val="24"/>
        </w:rPr>
        <w:t>Метотрексат</w:t>
      </w:r>
      <w:r w:rsidR="00392AAF">
        <w:rPr>
          <w:szCs w:val="24"/>
        </w:rPr>
        <w:t>**</w:t>
      </w:r>
      <w:r w:rsidR="00A12C9B">
        <w:rPr>
          <w:szCs w:val="24"/>
        </w:rPr>
        <w:t xml:space="preserve"> – 12 мг интратекально,</w:t>
      </w:r>
      <w:r w:rsidRPr="007264C7">
        <w:rPr>
          <w:szCs w:val="24"/>
        </w:rPr>
        <w:t xml:space="preserve"> 2</w:t>
      </w:r>
      <w:r w:rsidR="00A12C9B">
        <w:rPr>
          <w:szCs w:val="24"/>
        </w:rPr>
        <w:t>-й день.</w:t>
      </w:r>
    </w:p>
    <w:p w14:paraId="74AA63B8" w14:textId="77777777" w:rsidR="00533FE8" w:rsidRDefault="00421699" w:rsidP="00956D03">
      <w:pPr>
        <w:widowControl/>
        <w:numPr>
          <w:ilvl w:val="0"/>
          <w:numId w:val="5"/>
        </w:numPr>
        <w:rPr>
          <w:rFonts w:eastAsia="MS Mincho"/>
          <w:i/>
          <w:iCs/>
          <w:color w:val="231F20"/>
          <w:szCs w:val="24"/>
          <w:lang w:eastAsia="ja-JP"/>
        </w:rPr>
      </w:pPr>
      <w:r>
        <w:rPr>
          <w:szCs w:val="24"/>
        </w:rPr>
        <w:t>Цитарабин**</w:t>
      </w:r>
      <w:r w:rsidR="00A12C9B">
        <w:rPr>
          <w:szCs w:val="24"/>
        </w:rPr>
        <w:t xml:space="preserve"> – 100 мг интратекально, </w:t>
      </w:r>
      <w:r w:rsidR="00533FE8" w:rsidRPr="007264C7">
        <w:rPr>
          <w:szCs w:val="24"/>
        </w:rPr>
        <w:t>7</w:t>
      </w:r>
      <w:r w:rsidR="00A12C9B">
        <w:rPr>
          <w:szCs w:val="24"/>
        </w:rPr>
        <w:t>-й день.</w:t>
      </w:r>
    </w:p>
    <w:p w14:paraId="47C07631" w14:textId="77777777" w:rsidR="00533FE8" w:rsidRPr="006F6E87" w:rsidRDefault="00533FE8" w:rsidP="00533FE8">
      <w:pPr>
        <w:widowControl/>
        <w:ind w:left="720"/>
        <w:rPr>
          <w:rFonts w:eastAsia="MS Mincho"/>
          <w:i/>
          <w:iCs/>
          <w:color w:val="231F20"/>
          <w:szCs w:val="24"/>
          <w:lang w:eastAsia="ja-JP"/>
        </w:rPr>
      </w:pPr>
    </w:p>
    <w:p w14:paraId="3D830274" w14:textId="77777777" w:rsidR="00533FE8" w:rsidRPr="004148AD" w:rsidRDefault="004148AD" w:rsidP="00533FE8">
      <w:pPr>
        <w:widowControl/>
        <w:ind w:firstLine="709"/>
        <w:rPr>
          <w:rFonts w:eastAsia="MS Mincho"/>
          <w:b/>
          <w:color w:val="000000"/>
          <w:szCs w:val="24"/>
          <w:lang w:eastAsia="ja-JP"/>
        </w:rPr>
      </w:pPr>
      <w:r>
        <w:rPr>
          <w:rFonts w:eastAsia="MS Mincho"/>
          <w:b/>
          <w:color w:val="000000"/>
          <w:szCs w:val="24"/>
          <w:lang w:eastAsia="ja-JP"/>
        </w:rPr>
        <w:t>Протокол ф</w:t>
      </w:r>
      <w:r w:rsidR="00A12C9B">
        <w:rPr>
          <w:rFonts w:eastAsia="MS Mincho"/>
          <w:b/>
          <w:color w:val="000000"/>
          <w:szCs w:val="24"/>
          <w:lang w:eastAsia="ja-JP"/>
        </w:rPr>
        <w:t xml:space="preserve">ранцузской группы </w:t>
      </w:r>
      <w:r w:rsidR="00533FE8" w:rsidRPr="004148AD">
        <w:rPr>
          <w:rFonts w:eastAsia="MS Mincho"/>
          <w:b/>
          <w:color w:val="000000"/>
          <w:szCs w:val="24"/>
          <w:lang w:val="en-US" w:eastAsia="ja-JP"/>
        </w:rPr>
        <w:t>GRAALL</w:t>
      </w:r>
      <w:r w:rsidR="00A12C9B">
        <w:rPr>
          <w:rFonts w:eastAsia="MS Mincho"/>
          <w:b/>
          <w:color w:val="000000"/>
          <w:szCs w:val="24"/>
          <w:lang w:eastAsia="ja-JP"/>
        </w:rPr>
        <w:t>-2003</w:t>
      </w:r>
    </w:p>
    <w:p w14:paraId="6601EF02" w14:textId="77777777" w:rsidR="00533FE8" w:rsidRPr="006F6E87" w:rsidRDefault="00533FE8" w:rsidP="00533FE8">
      <w:pPr>
        <w:widowControl/>
        <w:jc w:val="left"/>
        <w:rPr>
          <w:rFonts w:eastAsia="MS Mincho"/>
          <w:b/>
          <w:bCs/>
          <w:szCs w:val="24"/>
          <w:lang w:eastAsia="ja-JP"/>
        </w:rPr>
      </w:pPr>
      <w:r w:rsidRPr="007264C7">
        <w:rPr>
          <w:rFonts w:eastAsia="MS Mincho"/>
          <w:b/>
          <w:bCs/>
          <w:szCs w:val="24"/>
          <w:lang w:eastAsia="ja-JP"/>
        </w:rPr>
        <w:t xml:space="preserve">Фаза терапии </w:t>
      </w:r>
      <w:r w:rsidR="00A0028B">
        <w:rPr>
          <w:rFonts w:eastAsia="MS Mincho"/>
          <w:b/>
          <w:bCs/>
          <w:szCs w:val="24"/>
          <w:lang w:eastAsia="ja-JP"/>
        </w:rPr>
        <w:tab/>
      </w:r>
      <w:r w:rsidR="00A0028B">
        <w:rPr>
          <w:rFonts w:eastAsia="MS Mincho"/>
          <w:b/>
          <w:bCs/>
          <w:szCs w:val="24"/>
          <w:lang w:eastAsia="ja-JP"/>
        </w:rPr>
        <w:tab/>
      </w:r>
      <w:r w:rsidR="00A0028B">
        <w:rPr>
          <w:rFonts w:eastAsia="MS Mincho"/>
          <w:b/>
          <w:bCs/>
          <w:szCs w:val="24"/>
          <w:lang w:eastAsia="ja-JP"/>
        </w:rPr>
        <w:tab/>
      </w:r>
      <w:r w:rsidRPr="007264C7">
        <w:rPr>
          <w:rFonts w:eastAsia="MS Mincho"/>
          <w:b/>
          <w:bCs/>
          <w:szCs w:val="24"/>
          <w:lang w:eastAsia="ja-JP"/>
        </w:rPr>
        <w:t>Доза,</w:t>
      </w:r>
      <w:r>
        <w:rPr>
          <w:rFonts w:eastAsia="MS Mincho"/>
          <w:b/>
          <w:bCs/>
          <w:szCs w:val="24"/>
          <w:lang w:eastAsia="ja-JP"/>
        </w:rPr>
        <w:t xml:space="preserve"> путь введения </w:t>
      </w:r>
      <w:r w:rsidR="00A0028B">
        <w:rPr>
          <w:rFonts w:eastAsia="MS Mincho"/>
          <w:b/>
          <w:bCs/>
          <w:szCs w:val="24"/>
          <w:lang w:eastAsia="ja-JP"/>
        </w:rPr>
        <w:tab/>
      </w:r>
      <w:r w:rsidR="00A0028B">
        <w:rPr>
          <w:rFonts w:eastAsia="MS Mincho"/>
          <w:b/>
          <w:bCs/>
          <w:szCs w:val="24"/>
          <w:lang w:eastAsia="ja-JP"/>
        </w:rPr>
        <w:tab/>
      </w:r>
      <w:r>
        <w:rPr>
          <w:rFonts w:eastAsia="MS Mincho"/>
          <w:b/>
          <w:bCs/>
          <w:szCs w:val="24"/>
          <w:lang w:eastAsia="ja-JP"/>
        </w:rPr>
        <w:t>Время введения</w:t>
      </w:r>
    </w:p>
    <w:p w14:paraId="733B1BE1" w14:textId="77777777" w:rsidR="00533FE8" w:rsidRPr="007264C7" w:rsidRDefault="00533FE8" w:rsidP="00533FE8">
      <w:pPr>
        <w:widowControl/>
        <w:jc w:val="left"/>
        <w:rPr>
          <w:rFonts w:eastAsia="MS Mincho"/>
          <w:b/>
          <w:szCs w:val="24"/>
          <w:lang w:eastAsia="ja-JP"/>
        </w:rPr>
      </w:pPr>
      <w:r w:rsidRPr="007264C7">
        <w:rPr>
          <w:rFonts w:eastAsia="MS Mincho"/>
          <w:b/>
          <w:szCs w:val="24"/>
          <w:lang w:eastAsia="ja-JP"/>
        </w:rPr>
        <w:t>Предфаза</w:t>
      </w:r>
    </w:p>
    <w:p w14:paraId="3DA9861E" w14:textId="77777777" w:rsidR="00533FE8" w:rsidRPr="00CC0FB3" w:rsidRDefault="00533FE8" w:rsidP="00533FE8">
      <w:pPr>
        <w:widowControl/>
        <w:jc w:val="left"/>
        <w:rPr>
          <w:rFonts w:eastAsia="MS Mincho"/>
          <w:szCs w:val="24"/>
          <w:lang w:eastAsia="ja-JP"/>
        </w:rPr>
      </w:pPr>
      <w:r>
        <w:rPr>
          <w:rFonts w:eastAsia="MS Mincho"/>
          <w:szCs w:val="24"/>
          <w:lang w:eastAsia="ja-JP"/>
        </w:rPr>
        <w:t>Преднизолон</w:t>
      </w:r>
      <w:r w:rsidR="00392AAF">
        <w:rPr>
          <w:rFonts w:eastAsia="MS Mincho"/>
          <w:szCs w:val="24"/>
          <w:lang w:eastAsia="ja-JP"/>
        </w:rPr>
        <w:t>**</w:t>
      </w:r>
      <w:r>
        <w:rPr>
          <w:rFonts w:eastAsia="MS Mincho"/>
          <w:szCs w:val="24"/>
          <w:lang w:eastAsia="ja-JP"/>
        </w:rPr>
        <w:t xml:space="preserve"> </w:t>
      </w:r>
      <w:r w:rsidR="00A0028B">
        <w:rPr>
          <w:rFonts w:eastAsia="MS Mincho"/>
          <w:szCs w:val="24"/>
          <w:lang w:eastAsia="ja-JP"/>
        </w:rPr>
        <w:tab/>
      </w:r>
      <w:r w:rsidR="00A0028B">
        <w:rPr>
          <w:rFonts w:eastAsia="MS Mincho"/>
          <w:szCs w:val="24"/>
          <w:lang w:eastAsia="ja-JP"/>
        </w:rPr>
        <w:tab/>
      </w:r>
      <w:r w:rsidR="00A0028B">
        <w:rPr>
          <w:rFonts w:eastAsia="MS Mincho"/>
          <w:szCs w:val="24"/>
          <w:lang w:eastAsia="ja-JP"/>
        </w:rPr>
        <w:tab/>
      </w:r>
      <w:r w:rsidRPr="007264C7">
        <w:rPr>
          <w:rFonts w:eastAsia="MS Mincho"/>
          <w:szCs w:val="24"/>
          <w:lang w:eastAsia="ja-JP"/>
        </w:rPr>
        <w:t>60 мг/м</w:t>
      </w:r>
      <w:r w:rsidRPr="00AF151A">
        <w:rPr>
          <w:rFonts w:eastAsia="MS Mincho"/>
          <w:szCs w:val="24"/>
          <w:vertAlign w:val="superscript"/>
          <w:lang w:eastAsia="ja-JP"/>
        </w:rPr>
        <w:t>2</w:t>
      </w:r>
      <w:r w:rsidRPr="007264C7">
        <w:rPr>
          <w:rFonts w:eastAsia="MS Mincho"/>
          <w:szCs w:val="24"/>
          <w:lang w:eastAsia="ja-JP"/>
        </w:rPr>
        <w:t xml:space="preserve">  </w:t>
      </w:r>
      <w:r w:rsidR="00A0028B">
        <w:rPr>
          <w:rFonts w:eastAsia="MS Mincho"/>
          <w:szCs w:val="24"/>
          <w:lang w:eastAsia="ja-JP"/>
        </w:rPr>
        <w:tab/>
      </w:r>
      <w:r w:rsidR="00A0028B">
        <w:rPr>
          <w:rFonts w:eastAsia="MS Mincho"/>
          <w:szCs w:val="24"/>
          <w:lang w:eastAsia="ja-JP"/>
        </w:rPr>
        <w:tab/>
      </w:r>
      <w:r w:rsidR="00A0028B">
        <w:rPr>
          <w:rFonts w:eastAsia="MS Mincho"/>
          <w:szCs w:val="24"/>
          <w:lang w:eastAsia="ja-JP"/>
        </w:rPr>
        <w:tab/>
      </w:r>
      <w:r w:rsidR="00A0028B">
        <w:rPr>
          <w:rFonts w:eastAsia="MS Mincho"/>
          <w:szCs w:val="24"/>
          <w:lang w:eastAsia="ja-JP"/>
        </w:rPr>
        <w:tab/>
      </w:r>
      <w:r w:rsidR="0005048D" w:rsidRPr="00CC0FB3">
        <w:rPr>
          <w:rFonts w:eastAsia="MS Mincho"/>
          <w:szCs w:val="24"/>
          <w:lang w:eastAsia="ja-JP"/>
        </w:rPr>
        <w:t>д</w:t>
      </w:r>
      <w:r w:rsidRPr="00CC0FB3">
        <w:rPr>
          <w:rFonts w:eastAsia="MS Mincho"/>
          <w:szCs w:val="24"/>
          <w:lang w:eastAsia="ja-JP"/>
        </w:rPr>
        <w:t>ни –7 до –1</w:t>
      </w:r>
    </w:p>
    <w:p w14:paraId="2B8AFEA6" w14:textId="77777777" w:rsidR="00533FE8" w:rsidRPr="00CC0FB3" w:rsidRDefault="00533FE8" w:rsidP="00533FE8">
      <w:pPr>
        <w:widowControl/>
        <w:jc w:val="left"/>
        <w:rPr>
          <w:rFonts w:eastAsia="MS Mincho"/>
          <w:szCs w:val="24"/>
          <w:lang w:eastAsia="ja-JP"/>
        </w:rPr>
      </w:pPr>
      <w:r w:rsidRPr="00CC0FB3">
        <w:rPr>
          <w:rFonts w:eastAsia="MS Mincho"/>
          <w:szCs w:val="24"/>
          <w:lang w:eastAsia="ja-JP"/>
        </w:rPr>
        <w:t>Метотрексат</w:t>
      </w:r>
      <w:r w:rsidR="00392AAF" w:rsidRPr="00CC0FB3">
        <w:rPr>
          <w:rFonts w:eastAsia="MS Mincho"/>
          <w:szCs w:val="24"/>
          <w:lang w:eastAsia="ja-JP"/>
        </w:rPr>
        <w:t>**</w:t>
      </w:r>
      <w:r w:rsidRPr="00CC0FB3">
        <w:rPr>
          <w:rFonts w:eastAsia="MS Mincho"/>
          <w:szCs w:val="24"/>
          <w:lang w:eastAsia="ja-JP"/>
        </w:rPr>
        <w:t xml:space="preserve">                     </w:t>
      </w:r>
      <w:r w:rsidRPr="00CC0FB3">
        <w:rPr>
          <w:rFonts w:eastAsia="MS Mincho"/>
          <w:szCs w:val="24"/>
          <w:lang w:eastAsia="ja-JP"/>
        </w:rPr>
        <w:tab/>
      </w:r>
      <w:r w:rsidR="00A0028B" w:rsidRPr="00CC0FB3">
        <w:rPr>
          <w:rFonts w:eastAsia="MS Mincho"/>
          <w:szCs w:val="24"/>
          <w:lang w:eastAsia="ja-JP"/>
        </w:rPr>
        <w:tab/>
      </w:r>
      <w:r w:rsidRPr="00CC0FB3">
        <w:rPr>
          <w:rFonts w:eastAsia="MS Mincho"/>
          <w:szCs w:val="24"/>
          <w:lang w:eastAsia="ja-JP"/>
        </w:rPr>
        <w:t xml:space="preserve">15 мг интратекально </w:t>
      </w:r>
      <w:r w:rsidR="00A0028B" w:rsidRPr="00CC0FB3">
        <w:rPr>
          <w:rFonts w:eastAsia="MS Mincho"/>
          <w:szCs w:val="24"/>
          <w:lang w:eastAsia="ja-JP"/>
        </w:rPr>
        <w:tab/>
      </w:r>
      <w:r w:rsidR="00A0028B" w:rsidRPr="00CC0FB3">
        <w:rPr>
          <w:rFonts w:eastAsia="MS Mincho"/>
          <w:szCs w:val="24"/>
          <w:lang w:eastAsia="ja-JP"/>
        </w:rPr>
        <w:tab/>
      </w:r>
      <w:r w:rsidR="0005048D" w:rsidRPr="00CC0FB3">
        <w:rPr>
          <w:rFonts w:eastAsia="MS Mincho"/>
          <w:szCs w:val="24"/>
          <w:lang w:eastAsia="ja-JP"/>
        </w:rPr>
        <w:t>м</w:t>
      </w:r>
      <w:r w:rsidRPr="00CC0FB3">
        <w:rPr>
          <w:rFonts w:eastAsia="MS Mincho"/>
          <w:szCs w:val="24"/>
          <w:lang w:eastAsia="ja-JP"/>
        </w:rPr>
        <w:t>ежду –7 и –4</w:t>
      </w:r>
    </w:p>
    <w:p w14:paraId="0E57E04D" w14:textId="77777777" w:rsidR="00533FE8" w:rsidRPr="007264C7" w:rsidRDefault="00533FE8" w:rsidP="00533FE8">
      <w:pPr>
        <w:widowControl/>
        <w:jc w:val="left"/>
        <w:rPr>
          <w:rFonts w:eastAsia="MS Mincho"/>
          <w:szCs w:val="24"/>
          <w:lang w:eastAsia="ja-JP"/>
        </w:rPr>
      </w:pPr>
    </w:p>
    <w:p w14:paraId="5C44B413" w14:textId="77777777" w:rsidR="00533FE8" w:rsidRPr="00C20F9A" w:rsidRDefault="00533FE8" w:rsidP="00533FE8">
      <w:pPr>
        <w:widowControl/>
        <w:jc w:val="left"/>
        <w:rPr>
          <w:rFonts w:eastAsia="MS Mincho"/>
          <w:b/>
          <w:szCs w:val="24"/>
          <w:lang w:eastAsia="ja-JP"/>
        </w:rPr>
      </w:pPr>
      <w:r>
        <w:rPr>
          <w:rFonts w:eastAsia="MS Mincho"/>
          <w:b/>
          <w:szCs w:val="24"/>
          <w:lang w:eastAsia="ja-JP"/>
        </w:rPr>
        <w:t xml:space="preserve">Индукция </w:t>
      </w:r>
      <w:r w:rsidR="00C20F9A">
        <w:rPr>
          <w:rFonts w:eastAsia="MS Mincho"/>
          <w:b/>
          <w:szCs w:val="24"/>
          <w:lang w:val="en-US" w:eastAsia="ja-JP"/>
        </w:rPr>
        <w:t>I</w:t>
      </w:r>
    </w:p>
    <w:p w14:paraId="52BD2F64" w14:textId="77777777" w:rsidR="00533FE8" w:rsidRPr="007264C7" w:rsidRDefault="00533FE8" w:rsidP="00533FE8">
      <w:pPr>
        <w:widowControl/>
        <w:jc w:val="left"/>
        <w:rPr>
          <w:rFonts w:eastAsia="MS Mincho"/>
          <w:szCs w:val="24"/>
          <w:lang w:eastAsia="ja-JP"/>
        </w:rPr>
      </w:pPr>
      <w:r>
        <w:rPr>
          <w:rFonts w:eastAsia="MS Mincho"/>
          <w:szCs w:val="24"/>
          <w:lang w:eastAsia="ja-JP"/>
        </w:rPr>
        <w:t>Преднизолон</w:t>
      </w:r>
      <w:r w:rsidR="00A0028B">
        <w:rPr>
          <w:rFonts w:eastAsia="MS Mincho"/>
          <w:szCs w:val="24"/>
          <w:lang w:eastAsia="ja-JP"/>
        </w:rPr>
        <w:t>**</w:t>
      </w:r>
      <w:r w:rsidRPr="007264C7">
        <w:rPr>
          <w:rFonts w:eastAsia="MS Mincho"/>
          <w:szCs w:val="24"/>
          <w:lang w:eastAsia="ja-JP"/>
        </w:rPr>
        <w:tab/>
      </w:r>
      <w:r w:rsidRPr="007264C7">
        <w:rPr>
          <w:rFonts w:eastAsia="MS Mincho"/>
          <w:szCs w:val="24"/>
          <w:lang w:eastAsia="ja-JP"/>
        </w:rPr>
        <w:tab/>
      </w:r>
      <w:r w:rsidRPr="007264C7">
        <w:rPr>
          <w:rFonts w:eastAsia="MS Mincho"/>
          <w:szCs w:val="24"/>
          <w:lang w:eastAsia="ja-JP"/>
        </w:rPr>
        <w:tab/>
        <w:t>60 мг/м</w:t>
      </w:r>
      <w:r w:rsidRPr="00AF151A">
        <w:rPr>
          <w:rFonts w:eastAsia="MS Mincho"/>
          <w:szCs w:val="24"/>
          <w:vertAlign w:val="superscript"/>
          <w:lang w:eastAsia="ja-JP"/>
        </w:rPr>
        <w:t>2</w:t>
      </w:r>
      <w:r w:rsidR="00A0028B">
        <w:rPr>
          <w:rFonts w:eastAsia="MS Mincho"/>
          <w:szCs w:val="24"/>
          <w:vertAlign w:val="superscript"/>
          <w:lang w:eastAsia="ja-JP"/>
        </w:rPr>
        <w:tab/>
      </w:r>
      <w:r w:rsidR="00A0028B">
        <w:rPr>
          <w:rFonts w:eastAsia="MS Mincho"/>
          <w:szCs w:val="24"/>
          <w:vertAlign w:val="superscript"/>
          <w:lang w:eastAsia="ja-JP"/>
        </w:rPr>
        <w:tab/>
      </w:r>
      <w:r w:rsidR="00A0028B">
        <w:rPr>
          <w:rFonts w:eastAsia="MS Mincho"/>
          <w:szCs w:val="24"/>
          <w:vertAlign w:val="superscript"/>
          <w:lang w:eastAsia="ja-JP"/>
        </w:rPr>
        <w:tab/>
      </w:r>
      <w:r w:rsidR="00A0028B">
        <w:rPr>
          <w:rFonts w:eastAsia="MS Mincho"/>
          <w:szCs w:val="24"/>
          <w:vertAlign w:val="superscript"/>
          <w:lang w:eastAsia="ja-JP"/>
        </w:rPr>
        <w:tab/>
      </w:r>
      <w:r w:rsidR="00C20F9A">
        <w:rPr>
          <w:rFonts w:eastAsia="MS Mincho"/>
          <w:szCs w:val="24"/>
          <w:lang w:eastAsia="ja-JP"/>
        </w:rPr>
        <w:t>1–</w:t>
      </w:r>
      <w:r w:rsidRPr="007264C7">
        <w:rPr>
          <w:rFonts w:eastAsia="MS Mincho"/>
          <w:szCs w:val="24"/>
          <w:lang w:eastAsia="ja-JP"/>
        </w:rPr>
        <w:t>14</w:t>
      </w:r>
      <w:r w:rsidR="00C20F9A">
        <w:rPr>
          <w:rFonts w:eastAsia="MS Mincho"/>
          <w:szCs w:val="24"/>
          <w:lang w:eastAsia="ja-JP"/>
        </w:rPr>
        <w:t>-й дни</w:t>
      </w:r>
    </w:p>
    <w:p w14:paraId="3ECFFE26" w14:textId="77777777" w:rsidR="00533FE8" w:rsidRPr="007264C7" w:rsidRDefault="00533FE8" w:rsidP="00533FE8">
      <w:pPr>
        <w:widowControl/>
        <w:jc w:val="left"/>
        <w:rPr>
          <w:rFonts w:eastAsia="MS Mincho"/>
          <w:szCs w:val="24"/>
          <w:lang w:eastAsia="ja-JP"/>
        </w:rPr>
      </w:pPr>
      <w:r w:rsidRPr="007264C7">
        <w:rPr>
          <w:rFonts w:eastAsia="MS Mincho"/>
          <w:szCs w:val="24"/>
          <w:lang w:eastAsia="ja-JP"/>
        </w:rPr>
        <w:t>Даунорубицин</w:t>
      </w:r>
      <w:r w:rsidR="00A65A9B">
        <w:rPr>
          <w:rFonts w:eastAsia="MS Mincho"/>
          <w:szCs w:val="24"/>
          <w:lang w:eastAsia="ja-JP"/>
        </w:rPr>
        <w:t>**</w:t>
      </w:r>
      <w:r w:rsidRPr="007264C7">
        <w:rPr>
          <w:rFonts w:eastAsia="MS Mincho"/>
          <w:szCs w:val="24"/>
          <w:lang w:eastAsia="ja-JP"/>
        </w:rPr>
        <w:t xml:space="preserve"> </w:t>
      </w:r>
      <w:r w:rsidRPr="007264C7">
        <w:rPr>
          <w:rFonts w:eastAsia="MS Mincho"/>
          <w:szCs w:val="24"/>
          <w:lang w:eastAsia="ja-JP"/>
        </w:rPr>
        <w:tab/>
      </w:r>
      <w:r w:rsidRPr="007264C7">
        <w:rPr>
          <w:rFonts w:eastAsia="MS Mincho"/>
          <w:szCs w:val="24"/>
          <w:lang w:eastAsia="ja-JP"/>
        </w:rPr>
        <w:tab/>
      </w:r>
      <w:r w:rsidR="00A0028B">
        <w:rPr>
          <w:rFonts w:eastAsia="MS Mincho"/>
          <w:szCs w:val="24"/>
          <w:lang w:eastAsia="ja-JP"/>
        </w:rPr>
        <w:tab/>
      </w:r>
      <w:r w:rsidRPr="007264C7">
        <w:rPr>
          <w:rFonts w:eastAsia="MS Mincho"/>
          <w:szCs w:val="24"/>
          <w:lang w:eastAsia="ja-JP"/>
        </w:rPr>
        <w:t>50 мг/м</w:t>
      </w:r>
      <w:r w:rsidRPr="00AF151A">
        <w:rPr>
          <w:rFonts w:eastAsia="MS Mincho"/>
          <w:szCs w:val="24"/>
          <w:vertAlign w:val="superscript"/>
          <w:lang w:eastAsia="ja-JP"/>
        </w:rPr>
        <w:t>2</w:t>
      </w:r>
      <w:r w:rsidR="00A0028B">
        <w:rPr>
          <w:rFonts w:eastAsia="MS Mincho"/>
          <w:szCs w:val="24"/>
          <w:vertAlign w:val="superscript"/>
          <w:lang w:eastAsia="ja-JP"/>
        </w:rPr>
        <w:tab/>
      </w:r>
      <w:r w:rsidR="00A0028B">
        <w:rPr>
          <w:rFonts w:eastAsia="MS Mincho"/>
          <w:szCs w:val="24"/>
          <w:vertAlign w:val="superscript"/>
          <w:lang w:eastAsia="ja-JP"/>
        </w:rPr>
        <w:tab/>
      </w:r>
      <w:r w:rsidR="00A0028B">
        <w:rPr>
          <w:rFonts w:eastAsia="MS Mincho"/>
          <w:szCs w:val="24"/>
          <w:vertAlign w:val="superscript"/>
          <w:lang w:eastAsia="ja-JP"/>
        </w:rPr>
        <w:tab/>
      </w:r>
      <w:r w:rsidR="00A0028B">
        <w:rPr>
          <w:rFonts w:eastAsia="MS Mincho"/>
          <w:szCs w:val="24"/>
          <w:vertAlign w:val="superscript"/>
          <w:lang w:eastAsia="ja-JP"/>
        </w:rPr>
        <w:tab/>
      </w:r>
      <w:r w:rsidR="00C20F9A">
        <w:rPr>
          <w:rFonts w:eastAsia="MS Mincho"/>
          <w:szCs w:val="24"/>
          <w:lang w:eastAsia="ja-JP"/>
        </w:rPr>
        <w:t>1–3-й дни</w:t>
      </w:r>
    </w:p>
    <w:p w14:paraId="4C55C415" w14:textId="77777777" w:rsidR="00533FE8" w:rsidRPr="007264C7" w:rsidRDefault="00533FE8" w:rsidP="00533FE8">
      <w:pPr>
        <w:widowControl/>
        <w:jc w:val="left"/>
        <w:rPr>
          <w:rFonts w:eastAsia="MS Mincho"/>
          <w:szCs w:val="24"/>
          <w:lang w:eastAsia="ja-JP"/>
        </w:rPr>
      </w:pPr>
      <w:r w:rsidRPr="007264C7">
        <w:rPr>
          <w:rFonts w:eastAsia="MS Mincho"/>
          <w:szCs w:val="24"/>
          <w:lang w:eastAsia="ja-JP"/>
        </w:rPr>
        <w:t xml:space="preserve">                                           </w:t>
      </w:r>
      <w:r w:rsidRPr="007264C7">
        <w:rPr>
          <w:rFonts w:eastAsia="MS Mincho"/>
          <w:szCs w:val="24"/>
          <w:lang w:eastAsia="ja-JP"/>
        </w:rPr>
        <w:tab/>
      </w:r>
      <w:r w:rsidR="00A0028B">
        <w:rPr>
          <w:rFonts w:eastAsia="MS Mincho"/>
          <w:szCs w:val="24"/>
          <w:lang w:eastAsia="ja-JP"/>
        </w:rPr>
        <w:tab/>
      </w:r>
      <w:r w:rsidRPr="007264C7">
        <w:rPr>
          <w:rFonts w:eastAsia="MS Mincho"/>
          <w:szCs w:val="24"/>
          <w:lang w:eastAsia="ja-JP"/>
        </w:rPr>
        <w:t>30 мг/м</w:t>
      </w:r>
      <w:r w:rsidRPr="00AF151A">
        <w:rPr>
          <w:rFonts w:eastAsia="MS Mincho"/>
          <w:szCs w:val="24"/>
          <w:vertAlign w:val="superscript"/>
          <w:lang w:eastAsia="ja-JP"/>
        </w:rPr>
        <w:t>2</w:t>
      </w:r>
      <w:r w:rsidR="00A0028B">
        <w:rPr>
          <w:rFonts w:eastAsia="MS Mincho"/>
          <w:szCs w:val="24"/>
          <w:vertAlign w:val="superscript"/>
          <w:lang w:eastAsia="ja-JP"/>
        </w:rPr>
        <w:tab/>
      </w:r>
      <w:r w:rsidR="00A0028B">
        <w:rPr>
          <w:rFonts w:eastAsia="MS Mincho"/>
          <w:szCs w:val="24"/>
          <w:vertAlign w:val="superscript"/>
          <w:lang w:eastAsia="ja-JP"/>
        </w:rPr>
        <w:tab/>
      </w:r>
      <w:r w:rsidR="00A0028B">
        <w:rPr>
          <w:rFonts w:eastAsia="MS Mincho"/>
          <w:szCs w:val="24"/>
          <w:vertAlign w:val="superscript"/>
          <w:lang w:eastAsia="ja-JP"/>
        </w:rPr>
        <w:tab/>
      </w:r>
      <w:r w:rsidR="00A0028B">
        <w:rPr>
          <w:rFonts w:eastAsia="MS Mincho"/>
          <w:szCs w:val="24"/>
          <w:vertAlign w:val="superscript"/>
          <w:lang w:eastAsia="ja-JP"/>
        </w:rPr>
        <w:tab/>
      </w:r>
      <w:r w:rsidRPr="007264C7">
        <w:rPr>
          <w:rFonts w:eastAsia="MS Mincho"/>
          <w:szCs w:val="24"/>
          <w:lang w:eastAsia="ja-JP"/>
        </w:rPr>
        <w:t>15</w:t>
      </w:r>
      <w:r w:rsidR="00C20F9A">
        <w:rPr>
          <w:rFonts w:eastAsia="MS Mincho"/>
          <w:szCs w:val="24"/>
          <w:lang w:eastAsia="ja-JP"/>
        </w:rPr>
        <w:t>-й</w:t>
      </w:r>
      <w:r w:rsidRPr="007264C7">
        <w:rPr>
          <w:rFonts w:eastAsia="MS Mincho"/>
          <w:szCs w:val="24"/>
          <w:lang w:eastAsia="ja-JP"/>
        </w:rPr>
        <w:t>,</w:t>
      </w:r>
      <w:r w:rsidR="00C20F9A">
        <w:rPr>
          <w:rFonts w:eastAsia="MS Mincho"/>
          <w:szCs w:val="24"/>
          <w:lang w:eastAsia="ja-JP"/>
        </w:rPr>
        <w:t xml:space="preserve"> </w:t>
      </w:r>
      <w:r w:rsidRPr="007264C7">
        <w:rPr>
          <w:rFonts w:eastAsia="MS Mincho"/>
          <w:szCs w:val="24"/>
          <w:lang w:eastAsia="ja-JP"/>
        </w:rPr>
        <w:t>16</w:t>
      </w:r>
      <w:r w:rsidR="00C20F9A">
        <w:rPr>
          <w:rFonts w:eastAsia="MS Mincho"/>
          <w:szCs w:val="24"/>
          <w:lang w:eastAsia="ja-JP"/>
        </w:rPr>
        <w:t>-й дни</w:t>
      </w:r>
    </w:p>
    <w:p w14:paraId="11503006" w14:textId="77777777" w:rsidR="00533FE8" w:rsidRPr="007264C7" w:rsidRDefault="00533FE8" w:rsidP="00533FE8">
      <w:pPr>
        <w:widowControl/>
        <w:jc w:val="left"/>
        <w:rPr>
          <w:rFonts w:eastAsia="MS Mincho"/>
          <w:szCs w:val="24"/>
          <w:lang w:eastAsia="ja-JP"/>
        </w:rPr>
      </w:pPr>
      <w:r w:rsidRPr="007264C7">
        <w:rPr>
          <w:rFonts w:eastAsia="MS Mincho"/>
          <w:szCs w:val="24"/>
          <w:lang w:eastAsia="ja-JP"/>
        </w:rPr>
        <w:t>Винкристин</w:t>
      </w:r>
      <w:r w:rsidR="00457E7B">
        <w:rPr>
          <w:rFonts w:eastAsia="MS Mincho"/>
          <w:szCs w:val="24"/>
          <w:lang w:eastAsia="ja-JP"/>
        </w:rPr>
        <w:t>**</w:t>
      </w:r>
      <w:r w:rsidRPr="007264C7">
        <w:rPr>
          <w:rFonts w:eastAsia="MS Mincho"/>
          <w:szCs w:val="24"/>
          <w:lang w:eastAsia="ja-JP"/>
        </w:rPr>
        <w:t xml:space="preserve"> </w:t>
      </w:r>
      <w:r w:rsidRPr="007264C7">
        <w:rPr>
          <w:rFonts w:eastAsia="MS Mincho"/>
          <w:szCs w:val="24"/>
          <w:lang w:eastAsia="ja-JP"/>
        </w:rPr>
        <w:tab/>
      </w:r>
      <w:r w:rsidRPr="007264C7">
        <w:rPr>
          <w:rFonts w:eastAsia="MS Mincho"/>
          <w:szCs w:val="24"/>
          <w:lang w:eastAsia="ja-JP"/>
        </w:rPr>
        <w:tab/>
      </w:r>
      <w:r w:rsidRPr="007264C7">
        <w:rPr>
          <w:rFonts w:eastAsia="MS Mincho"/>
          <w:szCs w:val="24"/>
          <w:lang w:eastAsia="ja-JP"/>
        </w:rPr>
        <w:tab/>
        <w:t>2 мг</w:t>
      </w:r>
      <w:r w:rsidR="00A0028B">
        <w:rPr>
          <w:rFonts w:eastAsia="MS Mincho"/>
          <w:szCs w:val="24"/>
          <w:lang w:eastAsia="ja-JP"/>
        </w:rPr>
        <w:tab/>
      </w:r>
      <w:r w:rsidR="00A0028B">
        <w:rPr>
          <w:rFonts w:eastAsia="MS Mincho"/>
          <w:szCs w:val="24"/>
          <w:lang w:eastAsia="ja-JP"/>
        </w:rPr>
        <w:tab/>
      </w:r>
      <w:r w:rsidR="00A0028B">
        <w:rPr>
          <w:rFonts w:eastAsia="MS Mincho"/>
          <w:szCs w:val="24"/>
          <w:lang w:eastAsia="ja-JP"/>
        </w:rPr>
        <w:tab/>
      </w:r>
      <w:r w:rsidR="00A0028B">
        <w:rPr>
          <w:rFonts w:eastAsia="MS Mincho"/>
          <w:szCs w:val="24"/>
          <w:lang w:eastAsia="ja-JP"/>
        </w:rPr>
        <w:tab/>
      </w:r>
      <w:r w:rsidR="00A0028B">
        <w:rPr>
          <w:rFonts w:eastAsia="MS Mincho"/>
          <w:szCs w:val="24"/>
          <w:lang w:eastAsia="ja-JP"/>
        </w:rPr>
        <w:tab/>
      </w:r>
      <w:r w:rsidRPr="007264C7">
        <w:rPr>
          <w:rFonts w:eastAsia="MS Mincho"/>
          <w:szCs w:val="24"/>
          <w:lang w:eastAsia="ja-JP"/>
        </w:rPr>
        <w:t>1,</w:t>
      </w:r>
      <w:r w:rsidR="00C20F9A">
        <w:rPr>
          <w:rFonts w:eastAsia="MS Mincho"/>
          <w:szCs w:val="24"/>
          <w:lang w:eastAsia="ja-JP"/>
        </w:rPr>
        <w:t xml:space="preserve"> </w:t>
      </w:r>
      <w:r w:rsidRPr="007264C7">
        <w:rPr>
          <w:rFonts w:eastAsia="MS Mincho"/>
          <w:szCs w:val="24"/>
          <w:lang w:eastAsia="ja-JP"/>
        </w:rPr>
        <w:t>8,</w:t>
      </w:r>
      <w:r w:rsidR="00C20F9A">
        <w:rPr>
          <w:rFonts w:eastAsia="MS Mincho"/>
          <w:szCs w:val="24"/>
          <w:lang w:eastAsia="ja-JP"/>
        </w:rPr>
        <w:t xml:space="preserve"> </w:t>
      </w:r>
      <w:r w:rsidRPr="007264C7">
        <w:rPr>
          <w:rFonts w:eastAsia="MS Mincho"/>
          <w:szCs w:val="24"/>
          <w:lang w:eastAsia="ja-JP"/>
        </w:rPr>
        <w:t>15,</w:t>
      </w:r>
      <w:r w:rsidR="00C20F9A">
        <w:rPr>
          <w:rFonts w:eastAsia="MS Mincho"/>
          <w:szCs w:val="24"/>
          <w:lang w:eastAsia="ja-JP"/>
        </w:rPr>
        <w:t xml:space="preserve"> </w:t>
      </w:r>
      <w:r w:rsidRPr="007264C7">
        <w:rPr>
          <w:rFonts w:eastAsia="MS Mincho"/>
          <w:szCs w:val="24"/>
          <w:lang w:eastAsia="ja-JP"/>
        </w:rPr>
        <w:t>22</w:t>
      </w:r>
      <w:r w:rsidR="00C20F9A">
        <w:rPr>
          <w:rFonts w:eastAsia="MS Mincho"/>
          <w:szCs w:val="24"/>
          <w:lang w:eastAsia="ja-JP"/>
        </w:rPr>
        <w:t>-й дни</w:t>
      </w:r>
    </w:p>
    <w:p w14:paraId="4C4F1A37" w14:textId="71F116AE" w:rsidR="00533FE8" w:rsidRPr="007264C7" w:rsidRDefault="00797B22" w:rsidP="00A0028B">
      <w:pPr>
        <w:widowControl/>
        <w:jc w:val="left"/>
        <w:rPr>
          <w:rFonts w:eastAsia="MS Mincho"/>
          <w:szCs w:val="24"/>
          <w:lang w:eastAsia="ja-JP"/>
        </w:rPr>
      </w:pPr>
      <w:r>
        <w:rPr>
          <w:rFonts w:eastAsia="MS Mincho"/>
          <w:szCs w:val="24"/>
          <w:lang w:val="en-US" w:eastAsia="ja-JP"/>
        </w:rPr>
        <w:t>L</w:t>
      </w:r>
      <w:r w:rsidRPr="00797B22">
        <w:rPr>
          <w:rFonts w:eastAsia="MS Mincho"/>
          <w:szCs w:val="24"/>
          <w:lang w:eastAsia="ja-JP"/>
        </w:rPr>
        <w:t>-</w:t>
      </w:r>
      <w:r w:rsidR="00AF151A">
        <w:rPr>
          <w:rFonts w:eastAsia="MS Mincho"/>
          <w:szCs w:val="24"/>
          <w:lang w:eastAsia="ja-JP"/>
        </w:rPr>
        <w:t>А</w:t>
      </w:r>
      <w:r w:rsidR="00533FE8" w:rsidRPr="007264C7">
        <w:rPr>
          <w:rFonts w:eastAsia="MS Mincho"/>
          <w:szCs w:val="24"/>
          <w:lang w:eastAsia="ja-JP"/>
        </w:rPr>
        <w:t>спарагиназа</w:t>
      </w:r>
      <w:r w:rsidR="00714B4A">
        <w:rPr>
          <w:rFonts w:eastAsia="MS Mincho"/>
          <w:szCs w:val="24"/>
          <w:lang w:eastAsia="ja-JP"/>
        </w:rPr>
        <w:t>**</w:t>
      </w:r>
      <w:r w:rsidR="00A0028B">
        <w:rPr>
          <w:rFonts w:eastAsia="MS Mincho"/>
          <w:szCs w:val="24"/>
          <w:lang w:eastAsia="ja-JP"/>
        </w:rPr>
        <w:tab/>
      </w:r>
      <w:r w:rsidR="00A0028B">
        <w:rPr>
          <w:rFonts w:eastAsia="MS Mincho"/>
          <w:szCs w:val="24"/>
          <w:lang w:eastAsia="ja-JP"/>
        </w:rPr>
        <w:tab/>
      </w:r>
      <w:r w:rsidR="00A0028B">
        <w:rPr>
          <w:rFonts w:eastAsia="MS Mincho"/>
          <w:szCs w:val="24"/>
          <w:lang w:eastAsia="ja-JP"/>
        </w:rPr>
        <w:tab/>
      </w:r>
      <w:r w:rsidR="00533FE8" w:rsidRPr="007264C7">
        <w:rPr>
          <w:rFonts w:eastAsia="MS Mincho"/>
          <w:szCs w:val="24"/>
          <w:lang w:eastAsia="ja-JP"/>
        </w:rPr>
        <w:t xml:space="preserve">6000 </w:t>
      </w:r>
      <w:r w:rsidR="00A0028B" w:rsidRPr="007264C7">
        <w:rPr>
          <w:rFonts w:eastAsia="MS Mincho"/>
          <w:szCs w:val="24"/>
          <w:lang w:eastAsia="ja-JP"/>
        </w:rPr>
        <w:t>ЕД</w:t>
      </w:r>
      <w:r w:rsidR="00533FE8" w:rsidRPr="007264C7">
        <w:rPr>
          <w:rFonts w:eastAsia="MS Mincho"/>
          <w:szCs w:val="24"/>
          <w:lang w:eastAsia="ja-JP"/>
        </w:rPr>
        <w:t>/м</w:t>
      </w:r>
      <w:r w:rsidR="00533FE8" w:rsidRPr="00AF151A">
        <w:rPr>
          <w:rFonts w:eastAsia="MS Mincho"/>
          <w:szCs w:val="24"/>
          <w:vertAlign w:val="superscript"/>
          <w:lang w:eastAsia="ja-JP"/>
        </w:rPr>
        <w:t>2</w:t>
      </w:r>
      <w:r w:rsidR="00C20F9A">
        <w:rPr>
          <w:rFonts w:eastAsia="MS Mincho"/>
          <w:szCs w:val="24"/>
          <w:lang w:eastAsia="ja-JP"/>
        </w:rPr>
        <w:tab/>
      </w:r>
      <w:r w:rsidR="00C20F9A">
        <w:rPr>
          <w:rFonts w:eastAsia="MS Mincho"/>
          <w:szCs w:val="24"/>
          <w:lang w:eastAsia="ja-JP"/>
        </w:rPr>
        <w:tab/>
      </w:r>
      <w:r w:rsidR="00533FE8" w:rsidRPr="007264C7">
        <w:rPr>
          <w:rFonts w:eastAsia="MS Mincho"/>
          <w:szCs w:val="24"/>
          <w:lang w:eastAsia="ja-JP"/>
        </w:rPr>
        <w:t>8,</w:t>
      </w:r>
      <w:r w:rsidR="00C20F9A">
        <w:rPr>
          <w:rFonts w:eastAsia="MS Mincho"/>
          <w:szCs w:val="24"/>
          <w:lang w:eastAsia="ja-JP"/>
        </w:rPr>
        <w:t xml:space="preserve"> </w:t>
      </w:r>
      <w:r w:rsidR="00533FE8" w:rsidRPr="007264C7">
        <w:rPr>
          <w:rFonts w:eastAsia="MS Mincho"/>
          <w:szCs w:val="24"/>
          <w:lang w:eastAsia="ja-JP"/>
        </w:rPr>
        <w:t>10,</w:t>
      </w:r>
      <w:r w:rsidR="00C20F9A">
        <w:rPr>
          <w:rFonts w:eastAsia="MS Mincho"/>
          <w:szCs w:val="24"/>
          <w:lang w:eastAsia="ja-JP"/>
        </w:rPr>
        <w:t xml:space="preserve"> </w:t>
      </w:r>
      <w:r w:rsidR="00533FE8" w:rsidRPr="007264C7">
        <w:rPr>
          <w:rFonts w:eastAsia="MS Mincho"/>
          <w:szCs w:val="24"/>
          <w:lang w:eastAsia="ja-JP"/>
        </w:rPr>
        <w:t>12,</w:t>
      </w:r>
      <w:r w:rsidR="00C20F9A">
        <w:rPr>
          <w:rFonts w:eastAsia="MS Mincho"/>
          <w:szCs w:val="24"/>
          <w:lang w:eastAsia="ja-JP"/>
        </w:rPr>
        <w:t xml:space="preserve"> </w:t>
      </w:r>
      <w:r w:rsidR="00533FE8" w:rsidRPr="007264C7">
        <w:rPr>
          <w:rFonts w:eastAsia="MS Mincho"/>
          <w:szCs w:val="24"/>
          <w:lang w:eastAsia="ja-JP"/>
        </w:rPr>
        <w:t>20,</w:t>
      </w:r>
      <w:r w:rsidR="00C20F9A">
        <w:rPr>
          <w:rFonts w:eastAsia="MS Mincho"/>
          <w:szCs w:val="24"/>
          <w:lang w:eastAsia="ja-JP"/>
        </w:rPr>
        <w:t xml:space="preserve"> </w:t>
      </w:r>
      <w:r w:rsidR="00533FE8" w:rsidRPr="007264C7">
        <w:rPr>
          <w:rFonts w:eastAsia="MS Mincho"/>
          <w:szCs w:val="24"/>
          <w:lang w:eastAsia="ja-JP"/>
        </w:rPr>
        <w:t>22,</w:t>
      </w:r>
      <w:r w:rsidR="00C20F9A">
        <w:rPr>
          <w:rFonts w:eastAsia="MS Mincho"/>
          <w:szCs w:val="24"/>
          <w:lang w:eastAsia="ja-JP"/>
        </w:rPr>
        <w:t xml:space="preserve"> </w:t>
      </w:r>
      <w:r w:rsidR="00533FE8" w:rsidRPr="007264C7">
        <w:rPr>
          <w:rFonts w:eastAsia="MS Mincho"/>
          <w:szCs w:val="24"/>
          <w:lang w:eastAsia="ja-JP"/>
        </w:rPr>
        <w:t>24,</w:t>
      </w:r>
      <w:r w:rsidR="00C20F9A">
        <w:rPr>
          <w:rFonts w:eastAsia="MS Mincho"/>
          <w:szCs w:val="24"/>
          <w:lang w:eastAsia="ja-JP"/>
        </w:rPr>
        <w:t xml:space="preserve"> </w:t>
      </w:r>
      <w:r w:rsidR="00533FE8" w:rsidRPr="007264C7">
        <w:rPr>
          <w:rFonts w:eastAsia="MS Mincho"/>
          <w:szCs w:val="24"/>
          <w:lang w:eastAsia="ja-JP"/>
        </w:rPr>
        <w:t>26, 28</w:t>
      </w:r>
      <w:r w:rsidR="00C20F9A">
        <w:rPr>
          <w:rFonts w:eastAsia="MS Mincho"/>
          <w:szCs w:val="24"/>
          <w:lang w:eastAsia="ja-JP"/>
        </w:rPr>
        <w:t>-й дни</w:t>
      </w:r>
    </w:p>
    <w:p w14:paraId="11AD8720" w14:textId="77777777" w:rsidR="00533FE8" w:rsidRPr="007264C7" w:rsidRDefault="00533FE8" w:rsidP="00533FE8">
      <w:pPr>
        <w:widowControl/>
        <w:jc w:val="left"/>
        <w:rPr>
          <w:rFonts w:eastAsia="MS Mincho"/>
          <w:szCs w:val="24"/>
          <w:lang w:eastAsia="ja-JP"/>
        </w:rPr>
      </w:pPr>
      <w:r w:rsidRPr="007264C7">
        <w:rPr>
          <w:rFonts w:eastAsia="MS Mincho"/>
          <w:szCs w:val="24"/>
          <w:lang w:eastAsia="ja-JP"/>
        </w:rPr>
        <w:t>Циклофосфамид</w:t>
      </w:r>
      <w:r w:rsidR="004C2C6A">
        <w:rPr>
          <w:rFonts w:eastAsia="MS Mincho"/>
          <w:szCs w:val="24"/>
          <w:lang w:eastAsia="ja-JP"/>
        </w:rPr>
        <w:t>**</w:t>
      </w:r>
      <w:r w:rsidRPr="007264C7">
        <w:rPr>
          <w:rFonts w:eastAsia="MS Mincho"/>
          <w:szCs w:val="24"/>
          <w:lang w:eastAsia="ja-JP"/>
        </w:rPr>
        <w:t xml:space="preserve"> </w:t>
      </w:r>
      <w:r w:rsidRPr="007264C7">
        <w:rPr>
          <w:rFonts w:eastAsia="MS Mincho"/>
          <w:szCs w:val="24"/>
          <w:lang w:eastAsia="ja-JP"/>
        </w:rPr>
        <w:tab/>
      </w:r>
      <w:r w:rsidRPr="007264C7">
        <w:rPr>
          <w:rFonts w:eastAsia="MS Mincho"/>
          <w:szCs w:val="24"/>
          <w:lang w:eastAsia="ja-JP"/>
        </w:rPr>
        <w:tab/>
      </w:r>
      <w:r w:rsidR="00A0028B">
        <w:rPr>
          <w:rFonts w:eastAsia="MS Mincho"/>
          <w:szCs w:val="24"/>
          <w:lang w:eastAsia="ja-JP"/>
        </w:rPr>
        <w:tab/>
      </w:r>
      <w:r w:rsidRPr="007264C7">
        <w:rPr>
          <w:rFonts w:eastAsia="MS Mincho"/>
          <w:szCs w:val="24"/>
          <w:lang w:eastAsia="ja-JP"/>
        </w:rPr>
        <w:t>750 мг/м</w:t>
      </w:r>
      <w:r w:rsidRPr="00AF151A">
        <w:rPr>
          <w:rFonts w:eastAsia="MS Mincho"/>
          <w:szCs w:val="24"/>
          <w:vertAlign w:val="superscript"/>
          <w:lang w:eastAsia="ja-JP"/>
        </w:rPr>
        <w:t>2</w:t>
      </w:r>
      <w:r w:rsidRPr="007264C7">
        <w:rPr>
          <w:rFonts w:eastAsia="MS Mincho"/>
          <w:szCs w:val="24"/>
          <w:lang w:eastAsia="ja-JP"/>
        </w:rPr>
        <w:t xml:space="preserve">                                         </w:t>
      </w:r>
      <w:r>
        <w:rPr>
          <w:rFonts w:eastAsia="MS Mincho"/>
          <w:szCs w:val="24"/>
          <w:lang w:eastAsia="ja-JP"/>
        </w:rPr>
        <w:t xml:space="preserve"> </w:t>
      </w:r>
      <w:r w:rsidRPr="007264C7">
        <w:rPr>
          <w:rFonts w:eastAsia="MS Mincho"/>
          <w:szCs w:val="24"/>
          <w:lang w:eastAsia="ja-JP"/>
        </w:rPr>
        <w:t xml:space="preserve"> </w:t>
      </w:r>
      <w:r w:rsidR="00A0028B">
        <w:rPr>
          <w:rFonts w:eastAsia="MS Mincho"/>
          <w:szCs w:val="24"/>
          <w:lang w:eastAsia="ja-JP"/>
        </w:rPr>
        <w:tab/>
      </w:r>
      <w:r w:rsidRPr="007264C7">
        <w:rPr>
          <w:rFonts w:eastAsia="MS Mincho"/>
          <w:szCs w:val="24"/>
          <w:lang w:eastAsia="ja-JP"/>
        </w:rPr>
        <w:t>1</w:t>
      </w:r>
      <w:r w:rsidR="00C20F9A">
        <w:rPr>
          <w:rFonts w:eastAsia="MS Mincho"/>
          <w:szCs w:val="24"/>
          <w:lang w:eastAsia="ja-JP"/>
        </w:rPr>
        <w:t>-й день</w:t>
      </w:r>
      <w:r w:rsidRPr="007264C7">
        <w:rPr>
          <w:rFonts w:eastAsia="MS Mincho"/>
          <w:szCs w:val="24"/>
          <w:lang w:eastAsia="ja-JP"/>
        </w:rPr>
        <w:t xml:space="preserve"> </w:t>
      </w:r>
    </w:p>
    <w:p w14:paraId="4925939E" w14:textId="77777777" w:rsidR="00533FE8" w:rsidRPr="00873525" w:rsidRDefault="00533FE8" w:rsidP="00533FE8">
      <w:pPr>
        <w:widowControl/>
        <w:jc w:val="left"/>
        <w:rPr>
          <w:rFonts w:eastAsia="MS Mincho"/>
          <w:szCs w:val="24"/>
          <w:lang w:eastAsia="ja-JP"/>
        </w:rPr>
      </w:pPr>
      <w:r w:rsidRPr="007264C7">
        <w:rPr>
          <w:rFonts w:eastAsia="MS Mincho"/>
          <w:szCs w:val="24"/>
          <w:lang w:eastAsia="ja-JP"/>
        </w:rPr>
        <w:t xml:space="preserve">                                          </w:t>
      </w:r>
      <w:r w:rsidRPr="007264C7">
        <w:rPr>
          <w:rFonts w:eastAsia="MS Mincho"/>
          <w:szCs w:val="24"/>
          <w:lang w:eastAsia="ja-JP"/>
        </w:rPr>
        <w:tab/>
        <w:t xml:space="preserve"> </w:t>
      </w:r>
      <w:r w:rsidR="00FE6C18">
        <w:rPr>
          <w:rFonts w:eastAsia="MS Mincho"/>
          <w:szCs w:val="24"/>
          <w:lang w:eastAsia="ja-JP"/>
        </w:rPr>
        <w:t xml:space="preserve">      </w:t>
      </w:r>
      <w:r w:rsidRPr="007264C7">
        <w:rPr>
          <w:rFonts w:eastAsia="MS Mincho"/>
          <w:szCs w:val="24"/>
          <w:lang w:eastAsia="ja-JP"/>
        </w:rPr>
        <w:t>750 мг/м</w:t>
      </w:r>
      <w:r w:rsidRPr="00AF151A">
        <w:rPr>
          <w:rFonts w:eastAsia="MS Mincho"/>
          <w:szCs w:val="24"/>
          <w:vertAlign w:val="superscript"/>
          <w:lang w:eastAsia="ja-JP"/>
        </w:rPr>
        <w:t>2</w:t>
      </w:r>
      <w:r w:rsidR="00A0028B">
        <w:rPr>
          <w:rFonts w:eastAsia="MS Mincho"/>
          <w:szCs w:val="24"/>
          <w:vertAlign w:val="superscript"/>
          <w:lang w:eastAsia="ja-JP"/>
        </w:rPr>
        <w:tab/>
      </w:r>
      <w:r w:rsidR="00873525">
        <w:rPr>
          <w:rFonts w:eastAsia="MS Mincho"/>
          <w:szCs w:val="24"/>
          <w:vertAlign w:val="superscript"/>
          <w:lang w:eastAsia="ja-JP"/>
        </w:rPr>
        <w:t xml:space="preserve"> </w:t>
      </w:r>
      <w:r w:rsidR="00873525">
        <w:rPr>
          <w:rFonts w:eastAsia="MS Mincho"/>
          <w:szCs w:val="24"/>
          <w:lang w:eastAsia="ja-JP"/>
        </w:rPr>
        <w:t xml:space="preserve">    </w:t>
      </w:r>
      <w:r w:rsidRPr="007264C7">
        <w:rPr>
          <w:rFonts w:eastAsia="MS Mincho"/>
          <w:szCs w:val="24"/>
          <w:lang w:eastAsia="ja-JP"/>
        </w:rPr>
        <w:t>15</w:t>
      </w:r>
      <w:r w:rsidR="00C20F9A">
        <w:rPr>
          <w:rFonts w:eastAsia="MS Mincho"/>
          <w:szCs w:val="24"/>
          <w:lang w:eastAsia="ja-JP"/>
        </w:rPr>
        <w:t>-й день</w:t>
      </w:r>
      <w:r w:rsidRPr="007264C7">
        <w:rPr>
          <w:rFonts w:eastAsia="MS Mincho"/>
          <w:szCs w:val="24"/>
          <w:lang w:eastAsia="ja-JP"/>
        </w:rPr>
        <w:t xml:space="preserve"> </w:t>
      </w:r>
      <w:r w:rsidR="00873525" w:rsidRPr="00873525">
        <w:rPr>
          <w:rFonts w:eastAsia="MS Mincho"/>
          <w:szCs w:val="24"/>
          <w:lang w:eastAsia="ja-JP"/>
        </w:rPr>
        <w:t>(</w:t>
      </w:r>
      <w:r w:rsidR="00873525">
        <w:rPr>
          <w:rFonts w:eastAsia="MS Mincho"/>
          <w:szCs w:val="24"/>
          <w:lang w:eastAsia="ja-JP"/>
        </w:rPr>
        <w:t>при хорошем раннем ответе)</w:t>
      </w:r>
    </w:p>
    <w:p w14:paraId="419CE8B1" w14:textId="77777777" w:rsidR="00533FE8" w:rsidRPr="007264C7" w:rsidRDefault="00533FE8" w:rsidP="00533FE8">
      <w:pPr>
        <w:widowControl/>
        <w:jc w:val="left"/>
        <w:rPr>
          <w:rFonts w:eastAsia="MS Mincho"/>
          <w:szCs w:val="24"/>
          <w:lang w:eastAsia="ja-JP"/>
        </w:rPr>
      </w:pPr>
      <w:r w:rsidRPr="007264C7">
        <w:rPr>
          <w:rFonts w:eastAsia="MS Mincho"/>
          <w:szCs w:val="24"/>
          <w:lang w:eastAsia="ja-JP"/>
        </w:rPr>
        <w:t xml:space="preserve">                                           </w:t>
      </w:r>
      <w:r w:rsidRPr="007264C7">
        <w:rPr>
          <w:rFonts w:eastAsia="MS Mincho"/>
          <w:szCs w:val="24"/>
          <w:lang w:eastAsia="ja-JP"/>
        </w:rPr>
        <w:tab/>
      </w:r>
      <w:r w:rsidR="00FE6C18">
        <w:rPr>
          <w:rFonts w:eastAsia="MS Mincho"/>
          <w:szCs w:val="24"/>
          <w:lang w:eastAsia="ja-JP"/>
        </w:rPr>
        <w:t xml:space="preserve">    </w:t>
      </w:r>
      <w:r w:rsidRPr="007264C7">
        <w:rPr>
          <w:rFonts w:eastAsia="MS Mincho"/>
          <w:szCs w:val="24"/>
          <w:lang w:eastAsia="ja-JP"/>
        </w:rPr>
        <w:t>500 мг/м</w:t>
      </w:r>
      <w:r w:rsidRPr="00AF151A">
        <w:rPr>
          <w:rFonts w:eastAsia="MS Mincho"/>
          <w:szCs w:val="24"/>
          <w:vertAlign w:val="superscript"/>
          <w:lang w:eastAsia="ja-JP"/>
        </w:rPr>
        <w:t>2</w:t>
      </w:r>
      <w:r w:rsidRPr="007264C7">
        <w:rPr>
          <w:rFonts w:eastAsia="MS Mincho"/>
          <w:szCs w:val="24"/>
          <w:lang w:eastAsia="ja-JP"/>
        </w:rPr>
        <w:t xml:space="preserve"> (12 ч)</w:t>
      </w:r>
      <w:r w:rsidR="00873525">
        <w:rPr>
          <w:rFonts w:eastAsia="MS Mincho"/>
          <w:szCs w:val="24"/>
          <w:lang w:eastAsia="ja-JP"/>
        </w:rPr>
        <w:t xml:space="preserve"> </w:t>
      </w:r>
      <w:r w:rsidR="00873525" w:rsidRPr="007264C7">
        <w:rPr>
          <w:rFonts w:eastAsia="MS Mincho"/>
          <w:szCs w:val="24"/>
          <w:lang w:eastAsia="ja-JP"/>
        </w:rPr>
        <w:t xml:space="preserve"> </w:t>
      </w:r>
      <w:r w:rsidRPr="007264C7">
        <w:rPr>
          <w:rFonts w:eastAsia="MS Mincho"/>
          <w:szCs w:val="24"/>
          <w:lang w:eastAsia="ja-JP"/>
        </w:rPr>
        <w:t>15</w:t>
      </w:r>
      <w:r w:rsidR="00C20F9A">
        <w:rPr>
          <w:rFonts w:eastAsia="MS Mincho"/>
          <w:szCs w:val="24"/>
          <w:lang w:eastAsia="ja-JP"/>
        </w:rPr>
        <w:t>-й</w:t>
      </w:r>
      <w:r w:rsidRPr="007264C7">
        <w:rPr>
          <w:rFonts w:eastAsia="MS Mincho"/>
          <w:szCs w:val="24"/>
          <w:lang w:eastAsia="ja-JP"/>
        </w:rPr>
        <w:t>,</w:t>
      </w:r>
      <w:r w:rsidR="00C20F9A">
        <w:rPr>
          <w:rFonts w:eastAsia="MS Mincho"/>
          <w:szCs w:val="24"/>
          <w:lang w:eastAsia="ja-JP"/>
        </w:rPr>
        <w:t xml:space="preserve"> </w:t>
      </w:r>
      <w:r w:rsidRPr="007264C7">
        <w:rPr>
          <w:rFonts w:eastAsia="MS Mincho"/>
          <w:szCs w:val="24"/>
          <w:lang w:eastAsia="ja-JP"/>
        </w:rPr>
        <w:t>16</w:t>
      </w:r>
      <w:r w:rsidR="00C20F9A">
        <w:rPr>
          <w:rFonts w:eastAsia="MS Mincho"/>
          <w:szCs w:val="24"/>
          <w:lang w:eastAsia="ja-JP"/>
        </w:rPr>
        <w:t>-й</w:t>
      </w:r>
      <w:r w:rsidR="00873525">
        <w:rPr>
          <w:rFonts w:eastAsia="MS Mincho"/>
          <w:szCs w:val="24"/>
          <w:lang w:eastAsia="ja-JP"/>
        </w:rPr>
        <w:t xml:space="preserve"> </w:t>
      </w:r>
      <w:r w:rsidR="00C20F9A">
        <w:rPr>
          <w:rFonts w:eastAsia="MS Mincho"/>
          <w:szCs w:val="24"/>
          <w:lang w:eastAsia="ja-JP"/>
        </w:rPr>
        <w:t xml:space="preserve">день </w:t>
      </w:r>
      <w:r w:rsidR="00873525">
        <w:rPr>
          <w:rFonts w:eastAsia="MS Mincho"/>
          <w:szCs w:val="24"/>
          <w:lang w:eastAsia="ja-JP"/>
        </w:rPr>
        <w:t>(при недостаточном раннем ответе)</w:t>
      </w:r>
      <w:r w:rsidRPr="007264C7">
        <w:rPr>
          <w:rFonts w:eastAsia="MS Mincho"/>
          <w:szCs w:val="24"/>
          <w:lang w:eastAsia="ja-JP"/>
        </w:rPr>
        <w:t xml:space="preserve">                                                                                                                                </w:t>
      </w:r>
    </w:p>
    <w:p w14:paraId="3B97B567" w14:textId="120B61FC" w:rsidR="00533FE8" w:rsidRPr="007264C7" w:rsidRDefault="00533FE8" w:rsidP="00533FE8">
      <w:pPr>
        <w:widowControl/>
        <w:jc w:val="left"/>
        <w:rPr>
          <w:rFonts w:eastAsia="MS Mincho"/>
          <w:szCs w:val="24"/>
          <w:lang w:eastAsia="ja-JP"/>
        </w:rPr>
      </w:pPr>
      <w:r w:rsidRPr="007264C7">
        <w:rPr>
          <w:rFonts w:eastAsia="MS Mincho"/>
          <w:szCs w:val="24"/>
          <w:lang w:eastAsia="ja-JP"/>
        </w:rPr>
        <w:t>Филграстим</w:t>
      </w:r>
      <w:r w:rsidR="00873525">
        <w:rPr>
          <w:rFonts w:eastAsia="MS Mincho"/>
          <w:szCs w:val="24"/>
          <w:lang w:eastAsia="ja-JP"/>
        </w:rPr>
        <w:t>**</w:t>
      </w:r>
      <w:r w:rsidR="00873525">
        <w:rPr>
          <w:rFonts w:eastAsia="MS Mincho"/>
          <w:szCs w:val="24"/>
          <w:lang w:eastAsia="ja-JP"/>
        </w:rPr>
        <w:tab/>
      </w:r>
      <w:r w:rsidR="00873525">
        <w:rPr>
          <w:rFonts w:eastAsia="MS Mincho"/>
          <w:szCs w:val="24"/>
          <w:lang w:eastAsia="ja-JP"/>
        </w:rPr>
        <w:tab/>
      </w:r>
      <w:r w:rsidR="00873525">
        <w:rPr>
          <w:rFonts w:eastAsia="MS Mincho"/>
          <w:szCs w:val="24"/>
          <w:lang w:eastAsia="ja-JP"/>
        </w:rPr>
        <w:tab/>
      </w:r>
      <w:r w:rsidRPr="007264C7">
        <w:rPr>
          <w:rFonts w:eastAsia="MS Mincho"/>
          <w:szCs w:val="24"/>
          <w:lang w:eastAsia="ja-JP"/>
        </w:rPr>
        <w:t>5 мкг/</w:t>
      </w:r>
      <w:r w:rsidR="00B65CEB">
        <w:rPr>
          <w:rFonts w:eastAsia="MS Mincho"/>
          <w:szCs w:val="24"/>
          <w:lang w:eastAsia="ja-JP"/>
        </w:rPr>
        <w:t>кг</w:t>
      </w:r>
      <w:r w:rsidR="00A0028B">
        <w:rPr>
          <w:rFonts w:eastAsia="MS Mincho"/>
          <w:szCs w:val="24"/>
          <w:vertAlign w:val="superscript"/>
          <w:lang w:eastAsia="ja-JP"/>
        </w:rPr>
        <w:t xml:space="preserve"> </w:t>
      </w:r>
      <w:r w:rsidR="00A0028B">
        <w:rPr>
          <w:rFonts w:eastAsia="MS Mincho"/>
          <w:szCs w:val="24"/>
          <w:lang w:eastAsia="ja-JP"/>
        </w:rPr>
        <w:t xml:space="preserve">   </w:t>
      </w:r>
      <w:r w:rsidR="001B7836">
        <w:rPr>
          <w:rFonts w:eastAsia="MS Mincho"/>
          <w:szCs w:val="24"/>
          <w:lang w:eastAsia="ja-JP"/>
        </w:rPr>
        <w:t>с</w:t>
      </w:r>
      <w:r w:rsidRPr="007264C7">
        <w:rPr>
          <w:rFonts w:eastAsia="MS Mincho"/>
          <w:szCs w:val="24"/>
          <w:lang w:eastAsia="ja-JP"/>
        </w:rPr>
        <w:t xml:space="preserve"> 17</w:t>
      </w:r>
      <w:r w:rsidR="00C20F9A">
        <w:rPr>
          <w:rFonts w:eastAsia="MS Mincho"/>
          <w:szCs w:val="24"/>
          <w:lang w:eastAsia="ja-JP"/>
        </w:rPr>
        <w:t>-го</w:t>
      </w:r>
      <w:r w:rsidRPr="007264C7">
        <w:rPr>
          <w:rFonts w:eastAsia="MS Mincho"/>
          <w:szCs w:val="24"/>
          <w:lang w:eastAsia="ja-JP"/>
        </w:rPr>
        <w:t xml:space="preserve"> дня до восстановления</w:t>
      </w:r>
      <w:r w:rsidR="00A0028B">
        <w:rPr>
          <w:rFonts w:eastAsia="MS Mincho"/>
          <w:szCs w:val="24"/>
          <w:lang w:eastAsia="ja-JP"/>
        </w:rPr>
        <w:t xml:space="preserve"> </w:t>
      </w:r>
      <w:r w:rsidRPr="007264C7">
        <w:rPr>
          <w:rFonts w:eastAsia="MS Mincho"/>
          <w:szCs w:val="24"/>
          <w:lang w:eastAsia="ja-JP"/>
        </w:rPr>
        <w:t>гранулоцитов</w:t>
      </w:r>
    </w:p>
    <w:p w14:paraId="461707DC" w14:textId="77777777" w:rsidR="00533FE8" w:rsidRPr="007264C7" w:rsidRDefault="00533FE8" w:rsidP="00533FE8">
      <w:pPr>
        <w:widowControl/>
        <w:jc w:val="left"/>
        <w:rPr>
          <w:rFonts w:eastAsia="MS Mincho"/>
          <w:szCs w:val="24"/>
          <w:lang w:eastAsia="ja-JP"/>
        </w:rPr>
      </w:pPr>
    </w:p>
    <w:p w14:paraId="7C955BC9" w14:textId="77777777" w:rsidR="00533FE8" w:rsidRPr="007264C7" w:rsidRDefault="00533FE8" w:rsidP="00533FE8">
      <w:pPr>
        <w:widowControl/>
        <w:jc w:val="left"/>
        <w:rPr>
          <w:rFonts w:eastAsia="MS Mincho"/>
          <w:b/>
          <w:szCs w:val="24"/>
          <w:lang w:eastAsia="ja-JP"/>
        </w:rPr>
      </w:pPr>
      <w:r w:rsidRPr="007264C7">
        <w:rPr>
          <w:rFonts w:eastAsia="MS Mincho"/>
          <w:b/>
          <w:szCs w:val="24"/>
          <w:lang w:eastAsia="ja-JP"/>
        </w:rPr>
        <w:t>Интенсивный индукционный курс при о</w:t>
      </w:r>
      <w:r w:rsidR="00C20F9A">
        <w:rPr>
          <w:rFonts w:eastAsia="MS Mincho"/>
          <w:b/>
          <w:szCs w:val="24"/>
          <w:lang w:eastAsia="ja-JP"/>
        </w:rPr>
        <w:t xml:space="preserve">тсутствии ремиссии после </w:t>
      </w:r>
      <w:r w:rsidR="00C20F9A">
        <w:rPr>
          <w:rFonts w:eastAsia="MS Mincho"/>
          <w:b/>
          <w:szCs w:val="24"/>
          <w:lang w:val="en-US" w:eastAsia="ja-JP"/>
        </w:rPr>
        <w:t>I</w:t>
      </w:r>
      <w:r>
        <w:rPr>
          <w:rFonts w:eastAsia="MS Mincho"/>
          <w:b/>
          <w:szCs w:val="24"/>
          <w:lang w:eastAsia="ja-JP"/>
        </w:rPr>
        <w:t xml:space="preserve"> фазы</w:t>
      </w:r>
    </w:p>
    <w:p w14:paraId="08EF1832" w14:textId="77777777" w:rsidR="00533FE8" w:rsidRPr="007264C7" w:rsidRDefault="0000078E" w:rsidP="00533FE8">
      <w:pPr>
        <w:widowControl/>
        <w:jc w:val="left"/>
        <w:rPr>
          <w:rFonts w:eastAsia="MS Mincho"/>
          <w:szCs w:val="24"/>
          <w:lang w:eastAsia="ja-JP"/>
        </w:rPr>
      </w:pPr>
      <w:r w:rsidRPr="00950F44">
        <w:rPr>
          <w:rFonts w:eastAsia="MS Mincho"/>
          <w:szCs w:val="24"/>
          <w:lang w:eastAsia="ja-JP"/>
        </w:rPr>
        <w:lastRenderedPageBreak/>
        <w:t>#</w:t>
      </w:r>
      <w:r w:rsidR="00533FE8" w:rsidRPr="007264C7">
        <w:rPr>
          <w:rFonts w:eastAsia="MS Mincho"/>
          <w:szCs w:val="24"/>
          <w:lang w:eastAsia="ja-JP"/>
        </w:rPr>
        <w:t>Идарубицин</w:t>
      </w:r>
      <w:r w:rsidRPr="00950F44">
        <w:rPr>
          <w:rFonts w:eastAsia="MS Mincho"/>
          <w:szCs w:val="24"/>
          <w:lang w:eastAsia="ja-JP"/>
        </w:rPr>
        <w:t>**</w:t>
      </w:r>
      <w:r w:rsidR="00873525" w:rsidRPr="00950F44">
        <w:rPr>
          <w:rFonts w:eastAsia="MS Mincho"/>
          <w:szCs w:val="24"/>
          <w:lang w:eastAsia="ja-JP"/>
        </w:rPr>
        <w:tab/>
      </w:r>
      <w:r w:rsidR="00873525" w:rsidRPr="00950F44">
        <w:rPr>
          <w:rFonts w:eastAsia="MS Mincho"/>
          <w:szCs w:val="24"/>
          <w:lang w:eastAsia="ja-JP"/>
        </w:rPr>
        <w:tab/>
      </w:r>
      <w:r w:rsidR="00873525" w:rsidRPr="00950F44">
        <w:rPr>
          <w:rFonts w:eastAsia="MS Mincho"/>
          <w:szCs w:val="24"/>
          <w:lang w:eastAsia="ja-JP"/>
        </w:rPr>
        <w:tab/>
      </w:r>
      <w:r w:rsidR="00533FE8" w:rsidRPr="007264C7">
        <w:rPr>
          <w:rFonts w:eastAsia="MS Mincho"/>
          <w:szCs w:val="24"/>
          <w:lang w:eastAsia="ja-JP"/>
        </w:rPr>
        <w:t>12 мг/м</w:t>
      </w:r>
      <w:r w:rsidR="00533FE8" w:rsidRPr="00D72E20">
        <w:rPr>
          <w:rFonts w:eastAsia="MS Mincho"/>
          <w:szCs w:val="24"/>
          <w:vertAlign w:val="superscript"/>
          <w:lang w:eastAsia="ja-JP"/>
        </w:rPr>
        <w:t>2</w:t>
      </w:r>
      <w:r w:rsidR="00533FE8" w:rsidRPr="007264C7">
        <w:rPr>
          <w:rFonts w:eastAsia="MS Mincho"/>
          <w:szCs w:val="24"/>
          <w:lang w:eastAsia="ja-JP"/>
        </w:rPr>
        <w:t xml:space="preserve">                                      </w:t>
      </w:r>
      <w:r w:rsidR="00873525">
        <w:rPr>
          <w:rFonts w:eastAsia="MS Mincho"/>
          <w:szCs w:val="24"/>
          <w:lang w:eastAsia="ja-JP"/>
        </w:rPr>
        <w:tab/>
      </w:r>
      <w:r w:rsidR="0018117A">
        <w:rPr>
          <w:rFonts w:eastAsia="MS Mincho"/>
          <w:szCs w:val="24"/>
          <w:lang w:eastAsia="ja-JP"/>
        </w:rPr>
        <w:t>1–</w:t>
      </w:r>
      <w:r w:rsidR="00533FE8" w:rsidRPr="007264C7">
        <w:rPr>
          <w:rFonts w:eastAsia="MS Mincho"/>
          <w:szCs w:val="24"/>
          <w:lang w:eastAsia="ja-JP"/>
        </w:rPr>
        <w:t>3</w:t>
      </w:r>
      <w:r w:rsidR="0018117A">
        <w:rPr>
          <w:rFonts w:eastAsia="MS Mincho"/>
          <w:szCs w:val="24"/>
          <w:lang w:eastAsia="ja-JP"/>
        </w:rPr>
        <w:t>-й дни</w:t>
      </w:r>
    </w:p>
    <w:p w14:paraId="577FF879" w14:textId="77777777" w:rsidR="00533FE8" w:rsidRPr="007264C7" w:rsidRDefault="00421699" w:rsidP="00533FE8">
      <w:pPr>
        <w:widowControl/>
        <w:jc w:val="left"/>
        <w:rPr>
          <w:rFonts w:eastAsia="MS Mincho"/>
          <w:szCs w:val="24"/>
          <w:lang w:eastAsia="ja-JP"/>
        </w:rPr>
      </w:pPr>
      <w:r>
        <w:rPr>
          <w:rFonts w:eastAsia="MS Mincho"/>
          <w:szCs w:val="24"/>
          <w:lang w:eastAsia="ja-JP"/>
        </w:rPr>
        <w:t>Цитарабин**</w:t>
      </w:r>
      <w:r w:rsidR="00533FE8">
        <w:rPr>
          <w:rFonts w:eastAsia="MS Mincho"/>
          <w:szCs w:val="24"/>
          <w:lang w:eastAsia="ja-JP"/>
        </w:rPr>
        <w:tab/>
      </w:r>
      <w:r w:rsidR="00533FE8">
        <w:rPr>
          <w:rFonts w:eastAsia="MS Mincho"/>
          <w:szCs w:val="24"/>
          <w:lang w:eastAsia="ja-JP"/>
        </w:rPr>
        <w:tab/>
      </w:r>
      <w:r w:rsidR="00533FE8">
        <w:rPr>
          <w:rFonts w:eastAsia="MS Mincho"/>
          <w:szCs w:val="24"/>
          <w:lang w:eastAsia="ja-JP"/>
        </w:rPr>
        <w:tab/>
      </w:r>
      <w:r w:rsidR="00873525">
        <w:rPr>
          <w:rFonts w:eastAsia="MS Mincho"/>
          <w:szCs w:val="24"/>
          <w:lang w:eastAsia="ja-JP"/>
        </w:rPr>
        <w:tab/>
      </w:r>
      <w:r w:rsidR="00533FE8" w:rsidRPr="007264C7">
        <w:rPr>
          <w:rFonts w:eastAsia="MS Mincho"/>
          <w:szCs w:val="24"/>
          <w:lang w:eastAsia="ja-JP"/>
        </w:rPr>
        <w:t>2 г/м</w:t>
      </w:r>
      <w:r w:rsidR="00533FE8" w:rsidRPr="00D72E20">
        <w:rPr>
          <w:rFonts w:eastAsia="MS Mincho"/>
          <w:szCs w:val="24"/>
          <w:vertAlign w:val="superscript"/>
          <w:lang w:eastAsia="ja-JP"/>
        </w:rPr>
        <w:t>2</w:t>
      </w:r>
      <w:r w:rsidR="00533FE8" w:rsidRPr="007264C7">
        <w:rPr>
          <w:rFonts w:eastAsia="MS Mincho"/>
          <w:szCs w:val="24"/>
          <w:lang w:eastAsia="ja-JP"/>
        </w:rPr>
        <w:t xml:space="preserve"> (12 ч)                  </w:t>
      </w:r>
      <w:r w:rsidR="00533FE8">
        <w:rPr>
          <w:rFonts w:eastAsia="MS Mincho"/>
          <w:szCs w:val="24"/>
          <w:lang w:eastAsia="ja-JP"/>
        </w:rPr>
        <w:t xml:space="preserve">            </w:t>
      </w:r>
      <w:r w:rsidR="00533FE8" w:rsidRPr="007264C7">
        <w:rPr>
          <w:rFonts w:eastAsia="MS Mincho"/>
          <w:szCs w:val="24"/>
          <w:lang w:eastAsia="ja-JP"/>
        </w:rPr>
        <w:t xml:space="preserve"> </w:t>
      </w:r>
      <w:r w:rsidR="00873525">
        <w:rPr>
          <w:rFonts w:eastAsia="MS Mincho"/>
          <w:szCs w:val="24"/>
          <w:lang w:eastAsia="ja-JP"/>
        </w:rPr>
        <w:tab/>
      </w:r>
      <w:r w:rsidR="0018117A">
        <w:rPr>
          <w:rFonts w:eastAsia="MS Mincho"/>
          <w:szCs w:val="24"/>
          <w:lang w:eastAsia="ja-JP"/>
        </w:rPr>
        <w:t>1–</w:t>
      </w:r>
      <w:r w:rsidR="00533FE8" w:rsidRPr="007264C7">
        <w:rPr>
          <w:rFonts w:eastAsia="MS Mincho"/>
          <w:szCs w:val="24"/>
          <w:lang w:eastAsia="ja-JP"/>
        </w:rPr>
        <w:t>4</w:t>
      </w:r>
      <w:r w:rsidR="0018117A">
        <w:rPr>
          <w:rFonts w:eastAsia="MS Mincho"/>
          <w:szCs w:val="24"/>
          <w:lang w:eastAsia="ja-JP"/>
        </w:rPr>
        <w:t>-й дни</w:t>
      </w:r>
    </w:p>
    <w:p w14:paraId="636C30A4" w14:textId="6AAD3AF2" w:rsidR="00533FE8" w:rsidRPr="007264C7" w:rsidRDefault="00533FE8" w:rsidP="00533FE8">
      <w:pPr>
        <w:widowControl/>
        <w:jc w:val="left"/>
        <w:rPr>
          <w:rFonts w:eastAsia="MS Mincho"/>
          <w:szCs w:val="24"/>
          <w:lang w:eastAsia="ja-JP"/>
        </w:rPr>
      </w:pPr>
      <w:r w:rsidRPr="007264C7">
        <w:rPr>
          <w:rFonts w:eastAsia="MS Mincho"/>
          <w:szCs w:val="24"/>
          <w:lang w:eastAsia="ja-JP"/>
        </w:rPr>
        <w:t>Филграстим</w:t>
      </w:r>
      <w:r w:rsidR="00873525">
        <w:rPr>
          <w:rFonts w:eastAsia="MS Mincho"/>
          <w:szCs w:val="24"/>
          <w:lang w:eastAsia="ja-JP"/>
        </w:rPr>
        <w:t>**</w:t>
      </w:r>
      <w:r w:rsidRPr="007264C7">
        <w:rPr>
          <w:rFonts w:eastAsia="MS Mincho"/>
          <w:szCs w:val="24"/>
          <w:lang w:eastAsia="ja-JP"/>
        </w:rPr>
        <w:tab/>
        <w:t xml:space="preserve">          </w:t>
      </w:r>
      <w:r w:rsidRPr="007264C7">
        <w:rPr>
          <w:rFonts w:eastAsia="MS Mincho"/>
          <w:szCs w:val="24"/>
          <w:lang w:eastAsia="ja-JP"/>
        </w:rPr>
        <w:tab/>
      </w:r>
      <w:r w:rsidRPr="007264C7">
        <w:rPr>
          <w:rFonts w:eastAsia="MS Mincho"/>
          <w:szCs w:val="24"/>
          <w:lang w:eastAsia="ja-JP"/>
        </w:rPr>
        <w:tab/>
        <w:t>5 мкг/</w:t>
      </w:r>
      <w:r w:rsidR="00B65CEB">
        <w:rPr>
          <w:rFonts w:eastAsia="MS Mincho"/>
          <w:szCs w:val="24"/>
          <w:lang w:eastAsia="ja-JP"/>
        </w:rPr>
        <w:t>кг</w:t>
      </w:r>
      <w:r w:rsidR="00873525" w:rsidRPr="00873525">
        <w:rPr>
          <w:rFonts w:eastAsia="MS Mincho"/>
          <w:szCs w:val="24"/>
          <w:vertAlign w:val="superscript"/>
          <w:lang w:eastAsia="ja-JP"/>
        </w:rPr>
        <w:t xml:space="preserve">                </w:t>
      </w:r>
      <w:r w:rsidR="001B7836">
        <w:rPr>
          <w:rFonts w:eastAsia="MS Mincho"/>
          <w:szCs w:val="24"/>
          <w:lang w:eastAsia="ja-JP"/>
        </w:rPr>
        <w:t>с</w:t>
      </w:r>
      <w:r w:rsidR="00873525" w:rsidRPr="007264C7">
        <w:rPr>
          <w:rFonts w:eastAsia="MS Mincho"/>
          <w:szCs w:val="24"/>
          <w:lang w:eastAsia="ja-JP"/>
        </w:rPr>
        <w:t xml:space="preserve"> </w:t>
      </w:r>
      <w:r w:rsidRPr="007264C7">
        <w:rPr>
          <w:rFonts w:eastAsia="MS Mincho"/>
          <w:szCs w:val="24"/>
          <w:lang w:eastAsia="ja-JP"/>
        </w:rPr>
        <w:t>9</w:t>
      </w:r>
      <w:r w:rsidR="0018117A">
        <w:rPr>
          <w:rFonts w:eastAsia="MS Mincho"/>
          <w:szCs w:val="24"/>
          <w:lang w:eastAsia="ja-JP"/>
        </w:rPr>
        <w:t>-го</w:t>
      </w:r>
      <w:r w:rsidRPr="007264C7">
        <w:rPr>
          <w:rFonts w:eastAsia="MS Mincho"/>
          <w:szCs w:val="24"/>
          <w:lang w:eastAsia="ja-JP"/>
        </w:rPr>
        <w:t xml:space="preserve"> дня до восстановления</w:t>
      </w:r>
      <w:r w:rsidR="00873525" w:rsidRPr="00873525">
        <w:rPr>
          <w:rFonts w:eastAsia="MS Mincho"/>
          <w:szCs w:val="24"/>
          <w:lang w:eastAsia="ja-JP"/>
        </w:rPr>
        <w:t xml:space="preserve"> </w:t>
      </w:r>
      <w:r w:rsidRPr="007264C7">
        <w:rPr>
          <w:rFonts w:eastAsia="MS Mincho"/>
          <w:szCs w:val="24"/>
          <w:lang w:eastAsia="ja-JP"/>
        </w:rPr>
        <w:t>гранулоцитов</w:t>
      </w:r>
    </w:p>
    <w:p w14:paraId="4892F8FE" w14:textId="77777777" w:rsidR="0018117A" w:rsidRDefault="0018117A" w:rsidP="00533FE8">
      <w:pPr>
        <w:widowControl/>
        <w:jc w:val="left"/>
        <w:rPr>
          <w:rFonts w:eastAsia="MS Mincho"/>
          <w:b/>
          <w:szCs w:val="24"/>
          <w:lang w:eastAsia="ja-JP"/>
        </w:rPr>
      </w:pPr>
    </w:p>
    <w:p w14:paraId="526A2545" w14:textId="77777777" w:rsidR="00654ED5" w:rsidRDefault="00654ED5" w:rsidP="00533FE8">
      <w:pPr>
        <w:widowControl/>
        <w:jc w:val="left"/>
        <w:rPr>
          <w:rFonts w:eastAsia="MS Mincho"/>
          <w:b/>
          <w:szCs w:val="24"/>
          <w:lang w:eastAsia="ja-JP"/>
        </w:rPr>
      </w:pPr>
    </w:p>
    <w:p w14:paraId="4D249E75" w14:textId="77777777" w:rsidR="00654ED5" w:rsidRDefault="00654ED5" w:rsidP="00533FE8">
      <w:pPr>
        <w:widowControl/>
        <w:jc w:val="left"/>
        <w:rPr>
          <w:rFonts w:eastAsia="MS Mincho"/>
          <w:b/>
          <w:szCs w:val="24"/>
          <w:lang w:eastAsia="ja-JP"/>
        </w:rPr>
      </w:pPr>
    </w:p>
    <w:p w14:paraId="4966F3F3" w14:textId="77777777" w:rsidR="00533FE8" w:rsidRPr="007264C7" w:rsidRDefault="00533FE8" w:rsidP="00533FE8">
      <w:pPr>
        <w:widowControl/>
        <w:jc w:val="left"/>
        <w:rPr>
          <w:rFonts w:eastAsia="MS Mincho"/>
          <w:b/>
          <w:szCs w:val="24"/>
          <w:lang w:eastAsia="ja-JP"/>
        </w:rPr>
      </w:pPr>
      <w:r w:rsidRPr="007264C7">
        <w:rPr>
          <w:rFonts w:eastAsia="MS Mincho"/>
          <w:b/>
          <w:szCs w:val="24"/>
          <w:lang w:eastAsia="ja-JP"/>
        </w:rPr>
        <w:t>Консол</w:t>
      </w:r>
      <w:r>
        <w:rPr>
          <w:rFonts w:eastAsia="MS Mincho"/>
          <w:b/>
          <w:szCs w:val="24"/>
          <w:lang w:eastAsia="ja-JP"/>
        </w:rPr>
        <w:t>идация – блоковая терапия</w:t>
      </w:r>
    </w:p>
    <w:p w14:paraId="0DA99CA7" w14:textId="77777777" w:rsidR="00533FE8" w:rsidRPr="00E53122" w:rsidRDefault="00533FE8" w:rsidP="00533FE8">
      <w:pPr>
        <w:widowControl/>
        <w:jc w:val="left"/>
        <w:rPr>
          <w:rFonts w:eastAsia="MS Mincho"/>
          <w:b/>
          <w:szCs w:val="24"/>
          <w:lang w:eastAsia="ja-JP"/>
        </w:rPr>
      </w:pPr>
      <w:r>
        <w:rPr>
          <w:rFonts w:eastAsia="MS Mincho"/>
          <w:b/>
          <w:szCs w:val="24"/>
          <w:lang w:eastAsia="ja-JP"/>
        </w:rPr>
        <w:t>Блоки 1, 4, 7</w:t>
      </w:r>
    </w:p>
    <w:p w14:paraId="3EEB714F" w14:textId="77777777" w:rsidR="00533FE8" w:rsidRPr="007264C7" w:rsidRDefault="00421699" w:rsidP="00533FE8">
      <w:pPr>
        <w:widowControl/>
        <w:jc w:val="left"/>
        <w:rPr>
          <w:rFonts w:eastAsia="MS Mincho"/>
          <w:szCs w:val="24"/>
          <w:lang w:eastAsia="ja-JP"/>
        </w:rPr>
      </w:pPr>
      <w:r>
        <w:rPr>
          <w:rFonts w:eastAsia="MS Mincho"/>
          <w:szCs w:val="24"/>
          <w:lang w:eastAsia="ja-JP"/>
        </w:rPr>
        <w:t>Цитарабин**</w:t>
      </w:r>
      <w:r w:rsidR="00533FE8" w:rsidRPr="007264C7">
        <w:rPr>
          <w:rFonts w:eastAsia="MS Mincho"/>
          <w:szCs w:val="24"/>
          <w:lang w:eastAsia="ja-JP"/>
        </w:rPr>
        <w:t xml:space="preserve">                            </w:t>
      </w:r>
      <w:r w:rsidR="00873525">
        <w:rPr>
          <w:rFonts w:eastAsia="MS Mincho"/>
          <w:szCs w:val="24"/>
          <w:lang w:eastAsia="ja-JP"/>
        </w:rPr>
        <w:tab/>
      </w:r>
      <w:r w:rsidR="00533FE8" w:rsidRPr="007264C7">
        <w:rPr>
          <w:rFonts w:eastAsia="MS Mincho"/>
          <w:szCs w:val="24"/>
          <w:lang w:eastAsia="ja-JP"/>
        </w:rPr>
        <w:t>2 г/м</w:t>
      </w:r>
      <w:r w:rsidR="00533FE8" w:rsidRPr="00D72E20">
        <w:rPr>
          <w:rFonts w:eastAsia="MS Mincho"/>
          <w:szCs w:val="24"/>
          <w:vertAlign w:val="superscript"/>
          <w:lang w:eastAsia="ja-JP"/>
        </w:rPr>
        <w:t>2</w:t>
      </w:r>
      <w:r w:rsidR="00533FE8" w:rsidRPr="007264C7">
        <w:rPr>
          <w:rFonts w:eastAsia="MS Mincho"/>
          <w:szCs w:val="24"/>
          <w:lang w:eastAsia="ja-JP"/>
        </w:rPr>
        <w:t xml:space="preserve"> (12 ч)                                </w:t>
      </w:r>
      <w:r w:rsidR="00873525">
        <w:rPr>
          <w:rFonts w:eastAsia="MS Mincho"/>
          <w:szCs w:val="24"/>
          <w:lang w:eastAsia="ja-JP"/>
        </w:rPr>
        <w:tab/>
      </w:r>
      <w:r w:rsidR="0018117A">
        <w:rPr>
          <w:rFonts w:eastAsia="MS Mincho"/>
          <w:szCs w:val="24"/>
          <w:lang w:eastAsia="ja-JP"/>
        </w:rPr>
        <w:t xml:space="preserve">1-й, </w:t>
      </w:r>
      <w:r w:rsidR="00533FE8" w:rsidRPr="007264C7">
        <w:rPr>
          <w:rFonts w:eastAsia="MS Mincho"/>
          <w:szCs w:val="24"/>
          <w:lang w:eastAsia="ja-JP"/>
        </w:rPr>
        <w:t>2</w:t>
      </w:r>
      <w:r w:rsidR="0018117A">
        <w:rPr>
          <w:rFonts w:eastAsia="MS Mincho"/>
          <w:szCs w:val="24"/>
          <w:lang w:eastAsia="ja-JP"/>
        </w:rPr>
        <w:t>-й дни</w:t>
      </w:r>
    </w:p>
    <w:p w14:paraId="6966B7D7" w14:textId="77777777" w:rsidR="00533FE8" w:rsidRPr="007264C7" w:rsidRDefault="00533FE8" w:rsidP="00533FE8">
      <w:pPr>
        <w:widowControl/>
        <w:jc w:val="left"/>
        <w:rPr>
          <w:rFonts w:eastAsia="MS Mincho"/>
          <w:szCs w:val="24"/>
          <w:lang w:eastAsia="ja-JP"/>
        </w:rPr>
      </w:pPr>
      <w:r>
        <w:rPr>
          <w:rFonts w:eastAsia="MS Mincho"/>
          <w:szCs w:val="24"/>
          <w:lang w:eastAsia="ja-JP"/>
        </w:rPr>
        <w:t>Дексаметазон</w:t>
      </w:r>
      <w:r w:rsidR="006F5D03">
        <w:rPr>
          <w:rFonts w:eastAsia="MS Mincho"/>
          <w:szCs w:val="24"/>
          <w:lang w:eastAsia="ja-JP"/>
        </w:rPr>
        <w:t>**</w:t>
      </w:r>
      <w:r>
        <w:rPr>
          <w:rFonts w:eastAsia="MS Mincho"/>
          <w:szCs w:val="24"/>
          <w:lang w:eastAsia="ja-JP"/>
        </w:rPr>
        <w:t xml:space="preserve"> </w:t>
      </w:r>
      <w:r w:rsidRPr="007264C7">
        <w:rPr>
          <w:rFonts w:eastAsia="MS Mincho"/>
          <w:szCs w:val="24"/>
          <w:lang w:eastAsia="ja-JP"/>
        </w:rPr>
        <w:t xml:space="preserve">                       </w:t>
      </w:r>
      <w:r w:rsidR="00873525">
        <w:rPr>
          <w:rFonts w:eastAsia="MS Mincho"/>
          <w:szCs w:val="24"/>
          <w:lang w:eastAsia="ja-JP"/>
        </w:rPr>
        <w:tab/>
      </w:r>
      <w:r w:rsidRPr="007264C7">
        <w:rPr>
          <w:rFonts w:eastAsia="MS Mincho"/>
          <w:szCs w:val="24"/>
          <w:lang w:eastAsia="ja-JP"/>
        </w:rPr>
        <w:t xml:space="preserve">10 мг (12 ч)                             </w:t>
      </w:r>
      <w:r w:rsidR="00873525">
        <w:rPr>
          <w:rFonts w:eastAsia="MS Mincho"/>
          <w:szCs w:val="24"/>
          <w:lang w:eastAsia="ja-JP"/>
        </w:rPr>
        <w:tab/>
      </w:r>
      <w:r w:rsidR="0018117A">
        <w:rPr>
          <w:rFonts w:eastAsia="MS Mincho"/>
          <w:szCs w:val="24"/>
          <w:lang w:eastAsia="ja-JP"/>
        </w:rPr>
        <w:t xml:space="preserve">1-й, </w:t>
      </w:r>
      <w:r w:rsidR="0018117A" w:rsidRPr="007264C7">
        <w:rPr>
          <w:rFonts w:eastAsia="MS Mincho"/>
          <w:szCs w:val="24"/>
          <w:lang w:eastAsia="ja-JP"/>
        </w:rPr>
        <w:t>2</w:t>
      </w:r>
      <w:r w:rsidR="0018117A">
        <w:rPr>
          <w:rFonts w:eastAsia="MS Mincho"/>
          <w:szCs w:val="24"/>
          <w:lang w:eastAsia="ja-JP"/>
        </w:rPr>
        <w:t>-й дни</w:t>
      </w:r>
    </w:p>
    <w:p w14:paraId="24A7B2A3" w14:textId="20F1151E" w:rsidR="00533FE8" w:rsidRPr="007264C7" w:rsidRDefault="00797B22" w:rsidP="00533FE8">
      <w:pPr>
        <w:widowControl/>
        <w:jc w:val="left"/>
        <w:rPr>
          <w:rFonts w:eastAsia="MS Mincho"/>
          <w:szCs w:val="24"/>
          <w:lang w:eastAsia="ja-JP"/>
        </w:rPr>
      </w:pPr>
      <w:r>
        <w:rPr>
          <w:rFonts w:eastAsia="MS Mincho"/>
          <w:szCs w:val="24"/>
          <w:lang w:val="en-US" w:eastAsia="ja-JP"/>
        </w:rPr>
        <w:t>L</w:t>
      </w:r>
      <w:r w:rsidRPr="00797B22">
        <w:rPr>
          <w:rFonts w:eastAsia="MS Mincho"/>
          <w:szCs w:val="24"/>
          <w:lang w:eastAsia="ja-JP"/>
        </w:rPr>
        <w:t>-</w:t>
      </w:r>
      <w:r w:rsidR="00D72E20">
        <w:rPr>
          <w:rFonts w:eastAsia="MS Mincho"/>
          <w:szCs w:val="24"/>
          <w:lang w:eastAsia="ja-JP"/>
        </w:rPr>
        <w:t>А</w:t>
      </w:r>
      <w:r w:rsidR="00533FE8" w:rsidRPr="007264C7">
        <w:rPr>
          <w:rFonts w:eastAsia="MS Mincho"/>
          <w:szCs w:val="24"/>
          <w:lang w:eastAsia="ja-JP"/>
        </w:rPr>
        <w:t>спарагиназа</w:t>
      </w:r>
      <w:r w:rsidR="00714B4A">
        <w:rPr>
          <w:rFonts w:eastAsia="MS Mincho"/>
          <w:szCs w:val="24"/>
          <w:lang w:eastAsia="ja-JP"/>
        </w:rPr>
        <w:t>**</w:t>
      </w:r>
      <w:r w:rsidR="00533FE8" w:rsidRPr="007264C7">
        <w:rPr>
          <w:rFonts w:eastAsia="MS Mincho"/>
          <w:szCs w:val="24"/>
          <w:lang w:eastAsia="ja-JP"/>
        </w:rPr>
        <w:t xml:space="preserve">                     </w:t>
      </w:r>
      <w:r w:rsidR="00873525">
        <w:rPr>
          <w:rFonts w:eastAsia="MS Mincho"/>
          <w:szCs w:val="24"/>
          <w:lang w:eastAsia="ja-JP"/>
        </w:rPr>
        <w:tab/>
      </w:r>
      <w:r w:rsidR="00533FE8" w:rsidRPr="007264C7">
        <w:rPr>
          <w:rFonts w:eastAsia="MS Mincho"/>
          <w:szCs w:val="24"/>
          <w:lang w:eastAsia="ja-JP"/>
        </w:rPr>
        <w:t>10</w:t>
      </w:r>
      <w:r w:rsidR="00873525">
        <w:rPr>
          <w:rFonts w:eastAsia="MS Mincho"/>
          <w:szCs w:val="24"/>
          <w:lang w:val="en-US" w:eastAsia="ja-JP"/>
        </w:rPr>
        <w:t> </w:t>
      </w:r>
      <w:r w:rsidR="00533FE8" w:rsidRPr="007264C7">
        <w:rPr>
          <w:rFonts w:eastAsia="MS Mincho"/>
          <w:szCs w:val="24"/>
          <w:lang w:eastAsia="ja-JP"/>
        </w:rPr>
        <w:t>000 ед/м</w:t>
      </w:r>
      <w:r w:rsidR="00533FE8" w:rsidRPr="00D72E20">
        <w:rPr>
          <w:rFonts w:eastAsia="MS Mincho"/>
          <w:szCs w:val="24"/>
          <w:vertAlign w:val="superscript"/>
          <w:lang w:eastAsia="ja-JP"/>
        </w:rPr>
        <w:t>2</w:t>
      </w:r>
      <w:r w:rsidR="00533FE8" w:rsidRPr="007264C7">
        <w:rPr>
          <w:rFonts w:eastAsia="MS Mincho"/>
          <w:szCs w:val="24"/>
          <w:lang w:eastAsia="ja-JP"/>
        </w:rPr>
        <w:t xml:space="preserve">                               </w:t>
      </w:r>
      <w:r w:rsidR="00873525">
        <w:rPr>
          <w:rFonts w:eastAsia="MS Mincho"/>
          <w:szCs w:val="24"/>
          <w:lang w:eastAsia="ja-JP"/>
        </w:rPr>
        <w:tab/>
      </w:r>
      <w:r w:rsidR="00533FE8" w:rsidRPr="007264C7">
        <w:rPr>
          <w:rFonts w:eastAsia="MS Mincho"/>
          <w:szCs w:val="24"/>
          <w:lang w:eastAsia="ja-JP"/>
        </w:rPr>
        <w:t>3</w:t>
      </w:r>
      <w:r w:rsidR="0018117A">
        <w:rPr>
          <w:rFonts w:eastAsia="MS Mincho"/>
          <w:szCs w:val="24"/>
          <w:lang w:eastAsia="ja-JP"/>
        </w:rPr>
        <w:t>-й день</w:t>
      </w:r>
    </w:p>
    <w:p w14:paraId="507CD089" w14:textId="337FA123" w:rsidR="00533FE8" w:rsidRPr="007264C7" w:rsidRDefault="00533FE8" w:rsidP="00533FE8">
      <w:pPr>
        <w:widowControl/>
        <w:jc w:val="left"/>
        <w:rPr>
          <w:rFonts w:eastAsia="MS Mincho"/>
          <w:color w:val="FF0000"/>
          <w:szCs w:val="24"/>
          <w:lang w:eastAsia="ja-JP"/>
        </w:rPr>
      </w:pPr>
      <w:r w:rsidRPr="007264C7">
        <w:rPr>
          <w:rFonts w:eastAsia="MS Mincho"/>
          <w:szCs w:val="24"/>
          <w:lang w:eastAsia="ja-JP"/>
        </w:rPr>
        <w:t>Филграстим</w:t>
      </w:r>
      <w:r w:rsidR="003B5AAA" w:rsidRPr="00950F44">
        <w:rPr>
          <w:rFonts w:eastAsia="MS Mincho"/>
          <w:szCs w:val="24"/>
          <w:lang w:eastAsia="ja-JP"/>
        </w:rPr>
        <w:t>**</w:t>
      </w:r>
      <w:r w:rsidRPr="007264C7">
        <w:rPr>
          <w:rFonts w:eastAsia="MS Mincho"/>
          <w:szCs w:val="24"/>
          <w:lang w:eastAsia="ja-JP"/>
        </w:rPr>
        <w:tab/>
        <w:t xml:space="preserve">          </w:t>
      </w:r>
      <w:r w:rsidRPr="007264C7">
        <w:rPr>
          <w:rFonts w:eastAsia="MS Mincho"/>
          <w:szCs w:val="24"/>
          <w:lang w:eastAsia="ja-JP"/>
        </w:rPr>
        <w:tab/>
      </w:r>
      <w:r w:rsidRPr="007264C7">
        <w:rPr>
          <w:rFonts w:eastAsia="MS Mincho"/>
          <w:szCs w:val="24"/>
          <w:lang w:eastAsia="ja-JP"/>
        </w:rPr>
        <w:tab/>
        <w:t>5 мкг/</w:t>
      </w:r>
      <w:r w:rsidR="00B65CEB">
        <w:rPr>
          <w:rFonts w:eastAsia="MS Mincho"/>
          <w:szCs w:val="24"/>
          <w:lang w:eastAsia="ja-JP"/>
        </w:rPr>
        <w:t>кг</w:t>
      </w:r>
      <w:r w:rsidRPr="007264C7">
        <w:rPr>
          <w:rFonts w:eastAsia="MS Mincho"/>
          <w:szCs w:val="24"/>
          <w:lang w:eastAsia="ja-JP"/>
        </w:rPr>
        <w:t xml:space="preserve">                                   </w:t>
      </w:r>
      <w:r>
        <w:rPr>
          <w:rFonts w:eastAsia="MS Mincho"/>
          <w:szCs w:val="24"/>
          <w:lang w:eastAsia="ja-JP"/>
        </w:rPr>
        <w:t xml:space="preserve"> </w:t>
      </w:r>
      <w:r w:rsidRPr="007264C7">
        <w:rPr>
          <w:rFonts w:eastAsia="MS Mincho"/>
          <w:szCs w:val="24"/>
          <w:lang w:eastAsia="ja-JP"/>
        </w:rPr>
        <w:t xml:space="preserve"> </w:t>
      </w:r>
      <w:r w:rsidR="00873525">
        <w:rPr>
          <w:rFonts w:eastAsia="MS Mincho"/>
          <w:szCs w:val="24"/>
          <w:lang w:eastAsia="ja-JP"/>
        </w:rPr>
        <w:tab/>
      </w:r>
      <w:r w:rsidR="0018117A">
        <w:rPr>
          <w:rFonts w:eastAsia="MS Mincho"/>
          <w:szCs w:val="24"/>
          <w:lang w:eastAsia="ja-JP"/>
        </w:rPr>
        <w:t>7–</w:t>
      </w:r>
      <w:r w:rsidRPr="007264C7">
        <w:rPr>
          <w:rFonts w:eastAsia="MS Mincho"/>
          <w:szCs w:val="24"/>
          <w:lang w:eastAsia="ja-JP"/>
        </w:rPr>
        <w:t>13</w:t>
      </w:r>
      <w:r w:rsidR="0018117A">
        <w:rPr>
          <w:rFonts w:eastAsia="MS Mincho"/>
          <w:szCs w:val="24"/>
          <w:lang w:eastAsia="ja-JP"/>
        </w:rPr>
        <w:t>-й дни</w:t>
      </w:r>
    </w:p>
    <w:p w14:paraId="5F58EFE2" w14:textId="77777777" w:rsidR="00533FE8" w:rsidRPr="007264C7" w:rsidRDefault="00533FE8" w:rsidP="00533FE8">
      <w:pPr>
        <w:widowControl/>
        <w:jc w:val="left"/>
        <w:rPr>
          <w:rFonts w:eastAsia="MS Mincho"/>
          <w:szCs w:val="24"/>
          <w:lang w:eastAsia="ja-JP"/>
        </w:rPr>
      </w:pPr>
    </w:p>
    <w:p w14:paraId="71F7A251" w14:textId="77777777" w:rsidR="00533FE8" w:rsidRPr="007264C7" w:rsidRDefault="00533FE8" w:rsidP="00533FE8">
      <w:pPr>
        <w:widowControl/>
        <w:jc w:val="left"/>
        <w:rPr>
          <w:rFonts w:eastAsia="MS Mincho"/>
          <w:b/>
          <w:szCs w:val="24"/>
          <w:lang w:eastAsia="ja-JP"/>
        </w:rPr>
      </w:pPr>
      <w:r>
        <w:rPr>
          <w:rFonts w:eastAsia="MS Mincho"/>
          <w:b/>
          <w:szCs w:val="24"/>
          <w:lang w:eastAsia="ja-JP"/>
        </w:rPr>
        <w:t>Блоки 2, 5, 8</w:t>
      </w:r>
    </w:p>
    <w:p w14:paraId="441AE8DF" w14:textId="77777777" w:rsidR="00533FE8" w:rsidRPr="007264C7" w:rsidRDefault="00533FE8" w:rsidP="00533FE8">
      <w:pPr>
        <w:widowControl/>
        <w:jc w:val="left"/>
        <w:rPr>
          <w:rFonts w:eastAsia="MS Mincho"/>
          <w:szCs w:val="24"/>
          <w:lang w:eastAsia="ja-JP"/>
        </w:rPr>
      </w:pPr>
      <w:r w:rsidRPr="007264C7">
        <w:rPr>
          <w:rFonts w:eastAsia="MS Mincho"/>
          <w:szCs w:val="24"/>
          <w:lang w:eastAsia="ja-JP"/>
        </w:rPr>
        <w:t>Метотрексат</w:t>
      </w:r>
      <w:r w:rsidR="00392AAF">
        <w:rPr>
          <w:rFonts w:eastAsia="MS Mincho"/>
          <w:szCs w:val="24"/>
          <w:lang w:eastAsia="ja-JP"/>
        </w:rPr>
        <w:t>**</w:t>
      </w:r>
      <w:r w:rsidRPr="007264C7">
        <w:rPr>
          <w:rFonts w:eastAsia="MS Mincho"/>
          <w:szCs w:val="24"/>
          <w:lang w:eastAsia="ja-JP"/>
        </w:rPr>
        <w:t xml:space="preserve">                      </w:t>
      </w:r>
      <w:r w:rsidR="003B5AAA">
        <w:rPr>
          <w:rFonts w:eastAsia="MS Mincho"/>
          <w:szCs w:val="24"/>
          <w:lang w:eastAsia="ja-JP"/>
        </w:rPr>
        <w:tab/>
      </w:r>
      <w:r w:rsidR="003B5AAA">
        <w:rPr>
          <w:rFonts w:eastAsia="MS Mincho"/>
          <w:szCs w:val="24"/>
          <w:lang w:eastAsia="ja-JP"/>
        </w:rPr>
        <w:tab/>
      </w:r>
      <w:r w:rsidRPr="007264C7">
        <w:rPr>
          <w:rFonts w:eastAsia="MS Mincho"/>
          <w:szCs w:val="24"/>
          <w:lang w:eastAsia="ja-JP"/>
        </w:rPr>
        <w:t>3 г/м</w:t>
      </w:r>
      <w:r w:rsidRPr="00D72E20">
        <w:rPr>
          <w:rFonts w:eastAsia="MS Mincho"/>
          <w:szCs w:val="24"/>
          <w:vertAlign w:val="superscript"/>
          <w:lang w:eastAsia="ja-JP"/>
        </w:rPr>
        <w:t>2</w:t>
      </w:r>
      <w:r w:rsidRPr="007264C7">
        <w:rPr>
          <w:rFonts w:eastAsia="MS Mincho"/>
          <w:szCs w:val="24"/>
          <w:lang w:eastAsia="ja-JP"/>
        </w:rPr>
        <w:t xml:space="preserve"> в/в (24 ч)                            </w:t>
      </w:r>
      <w:r w:rsidR="003B5AAA">
        <w:rPr>
          <w:rFonts w:eastAsia="MS Mincho"/>
          <w:szCs w:val="24"/>
          <w:lang w:eastAsia="ja-JP"/>
        </w:rPr>
        <w:tab/>
      </w:r>
      <w:r w:rsidRPr="007264C7">
        <w:rPr>
          <w:rFonts w:eastAsia="MS Mincho"/>
          <w:szCs w:val="24"/>
          <w:lang w:eastAsia="ja-JP"/>
        </w:rPr>
        <w:t>15</w:t>
      </w:r>
      <w:r w:rsidR="0018117A">
        <w:rPr>
          <w:rFonts w:eastAsia="MS Mincho"/>
          <w:szCs w:val="24"/>
          <w:lang w:eastAsia="ja-JP"/>
        </w:rPr>
        <w:t>-й день</w:t>
      </w:r>
    </w:p>
    <w:p w14:paraId="57649F22" w14:textId="77777777" w:rsidR="00533FE8" w:rsidRPr="007264C7" w:rsidRDefault="00533FE8" w:rsidP="00533FE8">
      <w:pPr>
        <w:widowControl/>
        <w:jc w:val="left"/>
        <w:rPr>
          <w:rFonts w:eastAsia="MS Mincho"/>
          <w:szCs w:val="24"/>
          <w:lang w:eastAsia="ja-JP"/>
        </w:rPr>
      </w:pPr>
      <w:r w:rsidRPr="007264C7">
        <w:rPr>
          <w:rFonts w:eastAsia="MS Mincho"/>
          <w:szCs w:val="24"/>
          <w:lang w:eastAsia="ja-JP"/>
        </w:rPr>
        <w:t>Винкристин</w:t>
      </w:r>
      <w:r w:rsidR="00457E7B">
        <w:rPr>
          <w:rFonts w:eastAsia="MS Mincho"/>
          <w:szCs w:val="24"/>
          <w:lang w:eastAsia="ja-JP"/>
        </w:rPr>
        <w:t>**</w:t>
      </w:r>
      <w:r w:rsidRPr="007264C7">
        <w:rPr>
          <w:rFonts w:eastAsia="MS Mincho"/>
          <w:szCs w:val="24"/>
          <w:lang w:eastAsia="ja-JP"/>
        </w:rPr>
        <w:t xml:space="preserve">                        </w:t>
      </w:r>
      <w:r w:rsidR="003B5AAA">
        <w:rPr>
          <w:rFonts w:eastAsia="MS Mincho"/>
          <w:szCs w:val="24"/>
          <w:lang w:eastAsia="ja-JP"/>
        </w:rPr>
        <w:tab/>
      </w:r>
      <w:r w:rsidRPr="007264C7">
        <w:rPr>
          <w:rFonts w:eastAsia="MS Mincho"/>
          <w:szCs w:val="24"/>
          <w:lang w:eastAsia="ja-JP"/>
        </w:rPr>
        <w:t xml:space="preserve">2 мг в/в                                         </w:t>
      </w:r>
      <w:r w:rsidR="003B5AAA">
        <w:rPr>
          <w:rFonts w:eastAsia="MS Mincho"/>
          <w:szCs w:val="24"/>
          <w:lang w:eastAsia="ja-JP"/>
        </w:rPr>
        <w:tab/>
      </w:r>
      <w:r w:rsidRPr="007264C7">
        <w:rPr>
          <w:rFonts w:eastAsia="MS Mincho"/>
          <w:szCs w:val="24"/>
          <w:lang w:eastAsia="ja-JP"/>
        </w:rPr>
        <w:t>15</w:t>
      </w:r>
      <w:r w:rsidR="0018117A">
        <w:rPr>
          <w:rFonts w:eastAsia="MS Mincho"/>
          <w:szCs w:val="24"/>
          <w:lang w:eastAsia="ja-JP"/>
        </w:rPr>
        <w:t>-й день</w:t>
      </w:r>
    </w:p>
    <w:p w14:paraId="4A39B950" w14:textId="0717476F" w:rsidR="00533FE8" w:rsidRPr="007264C7" w:rsidRDefault="00797B22" w:rsidP="00533FE8">
      <w:pPr>
        <w:widowControl/>
        <w:jc w:val="left"/>
        <w:rPr>
          <w:rFonts w:eastAsia="MS Mincho"/>
          <w:szCs w:val="24"/>
          <w:lang w:eastAsia="ja-JP"/>
        </w:rPr>
      </w:pPr>
      <w:r>
        <w:rPr>
          <w:rFonts w:eastAsia="MS Mincho"/>
          <w:szCs w:val="24"/>
          <w:lang w:val="en-US" w:eastAsia="ja-JP"/>
        </w:rPr>
        <w:t>L</w:t>
      </w:r>
      <w:r w:rsidRPr="00797B22">
        <w:rPr>
          <w:rFonts w:eastAsia="MS Mincho"/>
          <w:szCs w:val="24"/>
          <w:lang w:eastAsia="ja-JP"/>
        </w:rPr>
        <w:t>-</w:t>
      </w:r>
      <w:r w:rsidR="00D72E20">
        <w:rPr>
          <w:rFonts w:eastAsia="MS Mincho"/>
          <w:szCs w:val="24"/>
          <w:lang w:eastAsia="ja-JP"/>
        </w:rPr>
        <w:t>А</w:t>
      </w:r>
      <w:r w:rsidR="00533FE8" w:rsidRPr="007264C7">
        <w:rPr>
          <w:rFonts w:eastAsia="MS Mincho"/>
          <w:szCs w:val="24"/>
          <w:lang w:eastAsia="ja-JP"/>
        </w:rPr>
        <w:t>спарагиназа</w:t>
      </w:r>
      <w:r w:rsidR="00714B4A">
        <w:rPr>
          <w:rFonts w:eastAsia="MS Mincho"/>
          <w:szCs w:val="24"/>
          <w:lang w:eastAsia="ja-JP"/>
        </w:rPr>
        <w:t>**</w:t>
      </w:r>
      <w:r w:rsidR="00533FE8" w:rsidRPr="007264C7">
        <w:rPr>
          <w:rFonts w:eastAsia="MS Mincho"/>
          <w:szCs w:val="24"/>
          <w:lang w:eastAsia="ja-JP"/>
        </w:rPr>
        <w:t xml:space="preserve">                 </w:t>
      </w:r>
      <w:r w:rsidR="003B5AAA">
        <w:rPr>
          <w:rFonts w:eastAsia="MS Mincho"/>
          <w:szCs w:val="24"/>
          <w:lang w:eastAsia="ja-JP"/>
        </w:rPr>
        <w:tab/>
      </w:r>
      <w:r w:rsidR="003B5AAA">
        <w:rPr>
          <w:rFonts w:eastAsia="MS Mincho"/>
          <w:szCs w:val="24"/>
          <w:lang w:eastAsia="ja-JP"/>
        </w:rPr>
        <w:tab/>
      </w:r>
      <w:r w:rsidR="00533FE8" w:rsidRPr="007264C7">
        <w:rPr>
          <w:rFonts w:eastAsia="MS Mincho"/>
          <w:szCs w:val="24"/>
          <w:lang w:eastAsia="ja-JP"/>
        </w:rPr>
        <w:t>10,000 ед/м</w:t>
      </w:r>
      <w:r w:rsidR="00533FE8" w:rsidRPr="00D72E20">
        <w:rPr>
          <w:rFonts w:eastAsia="MS Mincho"/>
          <w:szCs w:val="24"/>
          <w:vertAlign w:val="superscript"/>
          <w:lang w:eastAsia="ja-JP"/>
        </w:rPr>
        <w:t>2</w:t>
      </w:r>
      <w:r w:rsidR="00533FE8" w:rsidRPr="007264C7">
        <w:rPr>
          <w:rFonts w:eastAsia="MS Mincho"/>
          <w:szCs w:val="24"/>
          <w:lang w:eastAsia="ja-JP"/>
        </w:rPr>
        <w:t xml:space="preserve">                                  </w:t>
      </w:r>
      <w:r w:rsidR="003B5AAA">
        <w:rPr>
          <w:rFonts w:eastAsia="MS Mincho"/>
          <w:szCs w:val="24"/>
          <w:lang w:eastAsia="ja-JP"/>
        </w:rPr>
        <w:tab/>
      </w:r>
      <w:r w:rsidR="00533FE8" w:rsidRPr="007264C7">
        <w:rPr>
          <w:rFonts w:eastAsia="MS Mincho"/>
          <w:szCs w:val="24"/>
          <w:lang w:eastAsia="ja-JP"/>
        </w:rPr>
        <w:t>16</w:t>
      </w:r>
      <w:r w:rsidR="0018117A">
        <w:rPr>
          <w:rFonts w:eastAsia="MS Mincho"/>
          <w:szCs w:val="24"/>
          <w:lang w:eastAsia="ja-JP"/>
        </w:rPr>
        <w:t>-й день</w:t>
      </w:r>
    </w:p>
    <w:p w14:paraId="2387035D" w14:textId="77777777" w:rsidR="00533FE8" w:rsidRPr="007264C7" w:rsidRDefault="00533FE8" w:rsidP="00533FE8">
      <w:pPr>
        <w:widowControl/>
        <w:jc w:val="left"/>
        <w:rPr>
          <w:rFonts w:eastAsia="MS Mincho"/>
          <w:szCs w:val="24"/>
          <w:lang w:eastAsia="ja-JP"/>
        </w:rPr>
      </w:pPr>
      <w:r w:rsidRPr="007264C7">
        <w:rPr>
          <w:rFonts w:eastAsia="MS Mincho"/>
          <w:szCs w:val="24"/>
          <w:lang w:eastAsia="ja-JP"/>
        </w:rPr>
        <w:t>Меркаптопурин</w:t>
      </w:r>
      <w:r w:rsidR="00714B4A">
        <w:rPr>
          <w:rFonts w:eastAsia="MS Mincho"/>
          <w:szCs w:val="24"/>
          <w:lang w:eastAsia="ja-JP"/>
        </w:rPr>
        <w:t>**</w:t>
      </w:r>
      <w:r w:rsidRPr="007264C7">
        <w:rPr>
          <w:rFonts w:eastAsia="MS Mincho"/>
          <w:szCs w:val="24"/>
          <w:lang w:eastAsia="ja-JP"/>
        </w:rPr>
        <w:t xml:space="preserve">               </w:t>
      </w:r>
      <w:r w:rsidR="003B5AAA">
        <w:rPr>
          <w:rFonts w:eastAsia="MS Mincho"/>
          <w:szCs w:val="24"/>
          <w:lang w:eastAsia="ja-JP"/>
        </w:rPr>
        <w:tab/>
      </w:r>
      <w:r w:rsidR="003B5AAA">
        <w:rPr>
          <w:rFonts w:eastAsia="MS Mincho"/>
          <w:szCs w:val="24"/>
          <w:lang w:eastAsia="ja-JP"/>
        </w:rPr>
        <w:tab/>
      </w:r>
      <w:r w:rsidRPr="007264C7">
        <w:rPr>
          <w:rFonts w:eastAsia="MS Mincho"/>
          <w:szCs w:val="24"/>
          <w:lang w:eastAsia="ja-JP"/>
        </w:rPr>
        <w:t>60 мг/м</w:t>
      </w:r>
      <w:r w:rsidRPr="00D72E20">
        <w:rPr>
          <w:rFonts w:eastAsia="MS Mincho"/>
          <w:szCs w:val="24"/>
          <w:vertAlign w:val="superscript"/>
          <w:lang w:eastAsia="ja-JP"/>
        </w:rPr>
        <w:t>2</w:t>
      </w:r>
      <w:r w:rsidRPr="007264C7">
        <w:rPr>
          <w:rFonts w:eastAsia="MS Mincho"/>
          <w:szCs w:val="24"/>
          <w:lang w:eastAsia="ja-JP"/>
        </w:rPr>
        <w:t xml:space="preserve">                                    </w:t>
      </w:r>
      <w:r>
        <w:rPr>
          <w:rFonts w:eastAsia="MS Mincho"/>
          <w:szCs w:val="24"/>
          <w:lang w:eastAsia="ja-JP"/>
        </w:rPr>
        <w:t xml:space="preserve">     </w:t>
      </w:r>
      <w:r w:rsidRPr="007264C7">
        <w:rPr>
          <w:rFonts w:eastAsia="MS Mincho"/>
          <w:szCs w:val="24"/>
          <w:lang w:eastAsia="ja-JP"/>
        </w:rPr>
        <w:t xml:space="preserve"> </w:t>
      </w:r>
      <w:r w:rsidR="003B5AAA">
        <w:rPr>
          <w:rFonts w:eastAsia="MS Mincho"/>
          <w:szCs w:val="24"/>
          <w:lang w:eastAsia="ja-JP"/>
        </w:rPr>
        <w:tab/>
      </w:r>
      <w:r w:rsidR="0018117A">
        <w:rPr>
          <w:rFonts w:eastAsia="MS Mincho"/>
          <w:szCs w:val="24"/>
          <w:lang w:eastAsia="ja-JP"/>
        </w:rPr>
        <w:t>15–</w:t>
      </w:r>
      <w:r w:rsidRPr="007264C7">
        <w:rPr>
          <w:rFonts w:eastAsia="MS Mincho"/>
          <w:szCs w:val="24"/>
          <w:lang w:eastAsia="ja-JP"/>
        </w:rPr>
        <w:t>21</w:t>
      </w:r>
      <w:r w:rsidR="0018117A">
        <w:rPr>
          <w:rFonts w:eastAsia="MS Mincho"/>
          <w:szCs w:val="24"/>
          <w:lang w:eastAsia="ja-JP"/>
        </w:rPr>
        <w:t>-й дни</w:t>
      </w:r>
    </w:p>
    <w:p w14:paraId="0D98BD56" w14:textId="6848DAE7" w:rsidR="00533FE8" w:rsidRPr="007264C7" w:rsidRDefault="00533FE8" w:rsidP="00533FE8">
      <w:pPr>
        <w:widowControl/>
        <w:jc w:val="left"/>
        <w:rPr>
          <w:rFonts w:eastAsia="MS Mincho"/>
          <w:szCs w:val="24"/>
          <w:lang w:eastAsia="ja-JP"/>
        </w:rPr>
      </w:pPr>
      <w:r w:rsidRPr="007264C7">
        <w:rPr>
          <w:rFonts w:eastAsia="MS Mincho"/>
          <w:szCs w:val="24"/>
          <w:lang w:eastAsia="ja-JP"/>
        </w:rPr>
        <w:t>Филграстим</w:t>
      </w:r>
      <w:r w:rsidR="003B5AAA" w:rsidRPr="00950F44">
        <w:rPr>
          <w:rFonts w:eastAsia="MS Mincho"/>
          <w:szCs w:val="24"/>
          <w:lang w:eastAsia="ja-JP"/>
        </w:rPr>
        <w:t>**</w:t>
      </w:r>
      <w:r w:rsidRPr="007264C7">
        <w:rPr>
          <w:rFonts w:eastAsia="MS Mincho"/>
          <w:szCs w:val="24"/>
          <w:lang w:eastAsia="ja-JP"/>
        </w:rPr>
        <w:tab/>
        <w:t xml:space="preserve">          </w:t>
      </w:r>
      <w:r w:rsidRPr="007264C7">
        <w:rPr>
          <w:rFonts w:eastAsia="MS Mincho"/>
          <w:szCs w:val="24"/>
          <w:lang w:eastAsia="ja-JP"/>
        </w:rPr>
        <w:tab/>
      </w:r>
      <w:r w:rsidRPr="007264C7">
        <w:rPr>
          <w:rFonts w:eastAsia="MS Mincho"/>
          <w:szCs w:val="24"/>
          <w:lang w:eastAsia="ja-JP"/>
        </w:rPr>
        <w:tab/>
        <w:t>5 мкг/</w:t>
      </w:r>
      <w:r w:rsidR="00B65CEB">
        <w:rPr>
          <w:rFonts w:eastAsia="MS Mincho"/>
          <w:szCs w:val="24"/>
          <w:lang w:eastAsia="ja-JP"/>
        </w:rPr>
        <w:t>кг</w:t>
      </w:r>
      <w:r w:rsidRPr="007264C7">
        <w:rPr>
          <w:rFonts w:eastAsia="MS Mincho"/>
          <w:szCs w:val="24"/>
          <w:lang w:eastAsia="ja-JP"/>
        </w:rPr>
        <w:t xml:space="preserve">                                  </w:t>
      </w:r>
      <w:r>
        <w:rPr>
          <w:rFonts w:eastAsia="MS Mincho"/>
          <w:szCs w:val="24"/>
          <w:lang w:eastAsia="ja-JP"/>
        </w:rPr>
        <w:t xml:space="preserve">   </w:t>
      </w:r>
      <w:r w:rsidR="003B5AAA">
        <w:rPr>
          <w:rFonts w:eastAsia="MS Mincho"/>
          <w:szCs w:val="24"/>
          <w:lang w:eastAsia="ja-JP"/>
        </w:rPr>
        <w:tab/>
      </w:r>
      <w:r w:rsidR="0018117A">
        <w:rPr>
          <w:rFonts w:eastAsia="MS Mincho"/>
          <w:szCs w:val="24"/>
          <w:lang w:eastAsia="ja-JP"/>
        </w:rPr>
        <w:t>22–</w:t>
      </w:r>
      <w:r w:rsidRPr="007264C7">
        <w:rPr>
          <w:rFonts w:eastAsia="MS Mincho"/>
          <w:szCs w:val="24"/>
          <w:lang w:eastAsia="ja-JP"/>
        </w:rPr>
        <w:t>27</w:t>
      </w:r>
      <w:r w:rsidR="0018117A">
        <w:rPr>
          <w:rFonts w:eastAsia="MS Mincho"/>
          <w:szCs w:val="24"/>
          <w:lang w:eastAsia="ja-JP"/>
        </w:rPr>
        <w:t>-й дни</w:t>
      </w:r>
    </w:p>
    <w:p w14:paraId="37A448B6" w14:textId="77777777" w:rsidR="00533FE8" w:rsidRPr="007264C7" w:rsidRDefault="00533FE8" w:rsidP="00533FE8">
      <w:pPr>
        <w:widowControl/>
        <w:jc w:val="left"/>
        <w:rPr>
          <w:rFonts w:eastAsia="MS Mincho"/>
          <w:szCs w:val="24"/>
          <w:lang w:eastAsia="ja-JP"/>
        </w:rPr>
      </w:pPr>
    </w:p>
    <w:p w14:paraId="348637FF" w14:textId="77777777" w:rsidR="00533FE8" w:rsidRPr="007264C7" w:rsidRDefault="00533FE8" w:rsidP="00533FE8">
      <w:pPr>
        <w:widowControl/>
        <w:jc w:val="left"/>
        <w:rPr>
          <w:rFonts w:eastAsia="MS Mincho"/>
          <w:b/>
          <w:szCs w:val="24"/>
          <w:lang w:eastAsia="ja-JP"/>
        </w:rPr>
      </w:pPr>
      <w:r>
        <w:rPr>
          <w:rFonts w:eastAsia="MS Mincho"/>
          <w:b/>
          <w:szCs w:val="24"/>
          <w:lang w:eastAsia="ja-JP"/>
        </w:rPr>
        <w:t xml:space="preserve">Блоки 3, 6, </w:t>
      </w:r>
    </w:p>
    <w:p w14:paraId="1C1F0F3A" w14:textId="77777777" w:rsidR="00533FE8" w:rsidRPr="007264C7" w:rsidRDefault="00533FE8" w:rsidP="00533FE8">
      <w:pPr>
        <w:widowControl/>
        <w:jc w:val="left"/>
        <w:rPr>
          <w:rFonts w:eastAsia="MS Mincho"/>
          <w:szCs w:val="24"/>
          <w:lang w:eastAsia="ja-JP"/>
        </w:rPr>
      </w:pPr>
      <w:r w:rsidRPr="007264C7">
        <w:rPr>
          <w:rFonts w:eastAsia="MS Mincho"/>
          <w:szCs w:val="24"/>
          <w:lang w:eastAsia="ja-JP"/>
        </w:rPr>
        <w:t>Циклофосфамид</w:t>
      </w:r>
      <w:r w:rsidR="004C2C6A">
        <w:rPr>
          <w:rFonts w:eastAsia="MS Mincho"/>
          <w:szCs w:val="24"/>
          <w:lang w:eastAsia="ja-JP"/>
        </w:rPr>
        <w:t>**</w:t>
      </w:r>
      <w:r w:rsidRPr="007264C7">
        <w:rPr>
          <w:rFonts w:eastAsia="MS Mincho"/>
          <w:szCs w:val="24"/>
          <w:lang w:eastAsia="ja-JP"/>
        </w:rPr>
        <w:t xml:space="preserve">               </w:t>
      </w:r>
      <w:r w:rsidR="003B5AAA">
        <w:rPr>
          <w:rFonts w:eastAsia="MS Mincho"/>
          <w:szCs w:val="24"/>
          <w:lang w:eastAsia="ja-JP"/>
        </w:rPr>
        <w:tab/>
      </w:r>
      <w:r w:rsidR="003B5AAA">
        <w:rPr>
          <w:rFonts w:eastAsia="MS Mincho"/>
          <w:szCs w:val="24"/>
          <w:lang w:eastAsia="ja-JP"/>
        </w:rPr>
        <w:tab/>
      </w:r>
      <w:r w:rsidRPr="007264C7">
        <w:rPr>
          <w:rFonts w:eastAsia="MS Mincho"/>
          <w:szCs w:val="24"/>
          <w:lang w:eastAsia="ja-JP"/>
        </w:rPr>
        <w:t>500 мг/м</w:t>
      </w:r>
      <w:r w:rsidRPr="00D72E20">
        <w:rPr>
          <w:rFonts w:eastAsia="MS Mincho"/>
          <w:szCs w:val="24"/>
          <w:vertAlign w:val="superscript"/>
          <w:lang w:eastAsia="ja-JP"/>
        </w:rPr>
        <w:t>2</w:t>
      </w:r>
      <w:r w:rsidRPr="007264C7">
        <w:rPr>
          <w:rFonts w:eastAsia="MS Mincho"/>
          <w:szCs w:val="24"/>
          <w:lang w:eastAsia="ja-JP"/>
        </w:rPr>
        <w:t xml:space="preserve">                                      </w:t>
      </w:r>
      <w:r w:rsidR="003B5AAA">
        <w:rPr>
          <w:rFonts w:eastAsia="MS Mincho"/>
          <w:szCs w:val="24"/>
          <w:lang w:eastAsia="ja-JP"/>
        </w:rPr>
        <w:tab/>
      </w:r>
      <w:r w:rsidRPr="007264C7">
        <w:rPr>
          <w:rFonts w:eastAsia="MS Mincho"/>
          <w:szCs w:val="24"/>
          <w:lang w:eastAsia="ja-JP"/>
        </w:rPr>
        <w:t>29</w:t>
      </w:r>
      <w:r w:rsidR="00ED69FA">
        <w:rPr>
          <w:rFonts w:eastAsia="MS Mincho"/>
          <w:szCs w:val="24"/>
          <w:lang w:eastAsia="ja-JP"/>
        </w:rPr>
        <w:t>-й</w:t>
      </w:r>
      <w:r w:rsidRPr="007264C7">
        <w:rPr>
          <w:rFonts w:eastAsia="MS Mincho"/>
          <w:szCs w:val="24"/>
          <w:lang w:eastAsia="ja-JP"/>
        </w:rPr>
        <w:t>,</w:t>
      </w:r>
      <w:r w:rsidR="00ED69FA">
        <w:rPr>
          <w:rFonts w:eastAsia="MS Mincho"/>
          <w:szCs w:val="24"/>
          <w:lang w:eastAsia="ja-JP"/>
        </w:rPr>
        <w:t xml:space="preserve"> </w:t>
      </w:r>
      <w:r w:rsidRPr="007264C7">
        <w:rPr>
          <w:rFonts w:eastAsia="MS Mincho"/>
          <w:szCs w:val="24"/>
          <w:lang w:eastAsia="ja-JP"/>
        </w:rPr>
        <w:t>30</w:t>
      </w:r>
      <w:r w:rsidR="00ED69FA">
        <w:rPr>
          <w:rFonts w:eastAsia="MS Mincho"/>
          <w:szCs w:val="24"/>
          <w:lang w:eastAsia="ja-JP"/>
        </w:rPr>
        <w:t>-й дни</w:t>
      </w:r>
    </w:p>
    <w:p w14:paraId="6E97D286" w14:textId="77777777" w:rsidR="00533FE8" w:rsidRPr="007264C7" w:rsidRDefault="00113194" w:rsidP="00533FE8">
      <w:pPr>
        <w:widowControl/>
        <w:jc w:val="left"/>
        <w:rPr>
          <w:rFonts w:eastAsia="MS Mincho"/>
          <w:szCs w:val="24"/>
          <w:lang w:eastAsia="ja-JP"/>
        </w:rPr>
      </w:pPr>
      <w:r w:rsidRPr="00113194">
        <w:rPr>
          <w:rFonts w:eastAsia="MS Mincho"/>
          <w:szCs w:val="24"/>
          <w:lang w:eastAsia="ja-JP"/>
        </w:rPr>
        <w:t>#</w:t>
      </w:r>
      <w:r w:rsidR="00533FE8" w:rsidRPr="007264C7">
        <w:rPr>
          <w:rFonts w:eastAsia="MS Mincho"/>
          <w:szCs w:val="24"/>
          <w:lang w:eastAsia="ja-JP"/>
        </w:rPr>
        <w:t>Этопозид</w:t>
      </w:r>
      <w:r w:rsidRPr="003B5AAA">
        <w:rPr>
          <w:rFonts w:eastAsia="MS Mincho"/>
          <w:szCs w:val="24"/>
          <w:lang w:eastAsia="ja-JP"/>
        </w:rPr>
        <w:t>**</w:t>
      </w:r>
      <w:r w:rsidR="00533FE8" w:rsidRPr="007264C7">
        <w:rPr>
          <w:rFonts w:eastAsia="MS Mincho"/>
          <w:szCs w:val="24"/>
          <w:lang w:eastAsia="ja-JP"/>
        </w:rPr>
        <w:t xml:space="preserve">                            </w:t>
      </w:r>
      <w:r w:rsidR="003B5AAA">
        <w:rPr>
          <w:rFonts w:eastAsia="MS Mincho"/>
          <w:szCs w:val="24"/>
          <w:lang w:eastAsia="ja-JP"/>
        </w:rPr>
        <w:tab/>
      </w:r>
      <w:r w:rsidR="00533FE8" w:rsidRPr="007264C7">
        <w:rPr>
          <w:rFonts w:eastAsia="MS Mincho"/>
          <w:szCs w:val="24"/>
          <w:lang w:eastAsia="ja-JP"/>
        </w:rPr>
        <w:t>75 мг/м</w:t>
      </w:r>
      <w:r w:rsidR="00533FE8" w:rsidRPr="00D72E20">
        <w:rPr>
          <w:rFonts w:eastAsia="MS Mincho"/>
          <w:szCs w:val="24"/>
          <w:vertAlign w:val="superscript"/>
          <w:lang w:eastAsia="ja-JP"/>
        </w:rPr>
        <w:t>2</w:t>
      </w:r>
      <w:r w:rsidR="00533FE8" w:rsidRPr="007264C7">
        <w:rPr>
          <w:rFonts w:eastAsia="MS Mincho"/>
          <w:szCs w:val="24"/>
          <w:lang w:eastAsia="ja-JP"/>
        </w:rPr>
        <w:t xml:space="preserve">                                       </w:t>
      </w:r>
      <w:r w:rsidR="003B5AAA">
        <w:rPr>
          <w:rFonts w:eastAsia="MS Mincho"/>
          <w:szCs w:val="24"/>
          <w:lang w:eastAsia="ja-JP"/>
        </w:rPr>
        <w:tab/>
      </w:r>
      <w:r w:rsidR="00ED69FA" w:rsidRPr="007264C7">
        <w:rPr>
          <w:rFonts w:eastAsia="MS Mincho"/>
          <w:szCs w:val="24"/>
          <w:lang w:eastAsia="ja-JP"/>
        </w:rPr>
        <w:t>29</w:t>
      </w:r>
      <w:r w:rsidR="00ED69FA">
        <w:rPr>
          <w:rFonts w:eastAsia="MS Mincho"/>
          <w:szCs w:val="24"/>
          <w:lang w:eastAsia="ja-JP"/>
        </w:rPr>
        <w:t>-й</w:t>
      </w:r>
      <w:r w:rsidR="00ED69FA" w:rsidRPr="007264C7">
        <w:rPr>
          <w:rFonts w:eastAsia="MS Mincho"/>
          <w:szCs w:val="24"/>
          <w:lang w:eastAsia="ja-JP"/>
        </w:rPr>
        <w:t>,</w:t>
      </w:r>
      <w:r w:rsidR="00ED69FA">
        <w:rPr>
          <w:rFonts w:eastAsia="MS Mincho"/>
          <w:szCs w:val="24"/>
          <w:lang w:eastAsia="ja-JP"/>
        </w:rPr>
        <w:t xml:space="preserve"> </w:t>
      </w:r>
      <w:r w:rsidR="00ED69FA" w:rsidRPr="007264C7">
        <w:rPr>
          <w:rFonts w:eastAsia="MS Mincho"/>
          <w:szCs w:val="24"/>
          <w:lang w:eastAsia="ja-JP"/>
        </w:rPr>
        <w:t>30</w:t>
      </w:r>
      <w:r w:rsidR="00ED69FA">
        <w:rPr>
          <w:rFonts w:eastAsia="MS Mincho"/>
          <w:szCs w:val="24"/>
          <w:lang w:eastAsia="ja-JP"/>
        </w:rPr>
        <w:t>-й дни</w:t>
      </w:r>
    </w:p>
    <w:p w14:paraId="51745032" w14:textId="77777777" w:rsidR="00533FE8" w:rsidRPr="007264C7" w:rsidRDefault="00533FE8" w:rsidP="00533FE8">
      <w:pPr>
        <w:widowControl/>
        <w:jc w:val="left"/>
        <w:rPr>
          <w:rFonts w:eastAsia="MS Mincho"/>
          <w:szCs w:val="24"/>
          <w:lang w:eastAsia="ja-JP"/>
        </w:rPr>
      </w:pPr>
      <w:r w:rsidRPr="007264C7">
        <w:rPr>
          <w:rFonts w:eastAsia="MS Mincho"/>
          <w:szCs w:val="24"/>
          <w:lang w:eastAsia="ja-JP"/>
        </w:rPr>
        <w:t>Метотрексат</w:t>
      </w:r>
      <w:r w:rsidR="00392AAF">
        <w:rPr>
          <w:rFonts w:eastAsia="MS Mincho"/>
          <w:szCs w:val="24"/>
          <w:lang w:eastAsia="ja-JP"/>
        </w:rPr>
        <w:t>**</w:t>
      </w:r>
      <w:r w:rsidRPr="007264C7">
        <w:rPr>
          <w:rFonts w:eastAsia="MS Mincho"/>
          <w:szCs w:val="24"/>
          <w:lang w:eastAsia="ja-JP"/>
        </w:rPr>
        <w:t xml:space="preserve">                       </w:t>
      </w:r>
      <w:r w:rsidR="003B5AAA">
        <w:rPr>
          <w:rFonts w:eastAsia="MS Mincho"/>
          <w:szCs w:val="24"/>
          <w:lang w:eastAsia="ja-JP"/>
        </w:rPr>
        <w:tab/>
      </w:r>
      <w:r w:rsidRPr="007264C7">
        <w:rPr>
          <w:rFonts w:eastAsia="MS Mincho"/>
          <w:szCs w:val="24"/>
          <w:lang w:eastAsia="ja-JP"/>
        </w:rPr>
        <w:t>25 мг/м</w:t>
      </w:r>
      <w:r w:rsidRPr="00D72E20">
        <w:rPr>
          <w:rFonts w:eastAsia="MS Mincho"/>
          <w:szCs w:val="24"/>
          <w:vertAlign w:val="superscript"/>
          <w:lang w:eastAsia="ja-JP"/>
        </w:rPr>
        <w:t>2</w:t>
      </w:r>
      <w:r w:rsidRPr="007264C7">
        <w:rPr>
          <w:rFonts w:eastAsia="MS Mincho"/>
          <w:szCs w:val="24"/>
          <w:lang w:eastAsia="ja-JP"/>
        </w:rPr>
        <w:t xml:space="preserve">                                      </w:t>
      </w:r>
      <w:r w:rsidR="003B5AAA">
        <w:rPr>
          <w:rFonts w:eastAsia="MS Mincho"/>
          <w:szCs w:val="24"/>
          <w:lang w:eastAsia="ja-JP"/>
        </w:rPr>
        <w:tab/>
      </w:r>
      <w:r w:rsidRPr="007264C7">
        <w:rPr>
          <w:rFonts w:eastAsia="MS Mincho"/>
          <w:szCs w:val="24"/>
          <w:lang w:eastAsia="ja-JP"/>
        </w:rPr>
        <w:t>29</w:t>
      </w:r>
      <w:r w:rsidR="00ED69FA">
        <w:rPr>
          <w:rFonts w:eastAsia="MS Mincho"/>
          <w:szCs w:val="24"/>
          <w:lang w:eastAsia="ja-JP"/>
        </w:rPr>
        <w:t>-й день</w:t>
      </w:r>
    </w:p>
    <w:p w14:paraId="76356F31" w14:textId="5A3C865C" w:rsidR="00533FE8" w:rsidRPr="007264C7" w:rsidRDefault="00533FE8" w:rsidP="00533FE8">
      <w:pPr>
        <w:widowControl/>
        <w:jc w:val="left"/>
        <w:rPr>
          <w:rFonts w:eastAsia="MS Mincho"/>
          <w:szCs w:val="24"/>
          <w:lang w:eastAsia="ja-JP"/>
        </w:rPr>
      </w:pPr>
      <w:r w:rsidRPr="007264C7">
        <w:rPr>
          <w:rFonts w:eastAsia="MS Mincho"/>
          <w:szCs w:val="24"/>
          <w:lang w:eastAsia="ja-JP"/>
        </w:rPr>
        <w:t>Филграстим</w:t>
      </w:r>
      <w:r w:rsidR="003B5AAA" w:rsidRPr="003B5AAA">
        <w:rPr>
          <w:rFonts w:eastAsia="MS Mincho"/>
          <w:szCs w:val="24"/>
          <w:lang w:eastAsia="ja-JP"/>
        </w:rPr>
        <w:t>**</w:t>
      </w:r>
      <w:r w:rsidRPr="007264C7">
        <w:rPr>
          <w:rFonts w:eastAsia="MS Mincho"/>
          <w:szCs w:val="24"/>
          <w:lang w:eastAsia="ja-JP"/>
        </w:rPr>
        <w:tab/>
        <w:t xml:space="preserve">          </w:t>
      </w:r>
      <w:r w:rsidRPr="007264C7">
        <w:rPr>
          <w:rFonts w:eastAsia="MS Mincho"/>
          <w:szCs w:val="24"/>
          <w:lang w:eastAsia="ja-JP"/>
        </w:rPr>
        <w:tab/>
      </w:r>
      <w:r w:rsidRPr="007264C7">
        <w:rPr>
          <w:rFonts w:eastAsia="MS Mincho"/>
          <w:szCs w:val="24"/>
          <w:lang w:eastAsia="ja-JP"/>
        </w:rPr>
        <w:tab/>
        <w:t>5 мкг/</w:t>
      </w:r>
      <w:r w:rsidR="00B65CEB">
        <w:rPr>
          <w:rFonts w:eastAsia="MS Mincho"/>
          <w:szCs w:val="24"/>
          <w:lang w:eastAsia="ja-JP"/>
        </w:rPr>
        <w:t>кг</w:t>
      </w:r>
      <w:r w:rsidRPr="007264C7">
        <w:rPr>
          <w:rFonts w:eastAsia="MS Mincho"/>
          <w:szCs w:val="24"/>
          <w:lang w:eastAsia="ja-JP"/>
        </w:rPr>
        <w:t xml:space="preserve">     </w:t>
      </w:r>
      <w:r w:rsidR="003B5AAA" w:rsidRPr="003B5AAA">
        <w:rPr>
          <w:rFonts w:eastAsia="MS Mincho"/>
          <w:szCs w:val="24"/>
          <w:lang w:eastAsia="ja-JP"/>
        </w:rPr>
        <w:t xml:space="preserve">     </w:t>
      </w:r>
      <w:r w:rsidR="00ED69FA">
        <w:rPr>
          <w:rFonts w:eastAsia="MS Mincho"/>
          <w:szCs w:val="24"/>
          <w:lang w:eastAsia="ja-JP"/>
        </w:rPr>
        <w:t>С</w:t>
      </w:r>
      <w:r w:rsidR="003B5AAA" w:rsidRPr="003B5AAA">
        <w:rPr>
          <w:rFonts w:eastAsia="MS Mincho"/>
          <w:szCs w:val="24"/>
          <w:lang w:eastAsia="ja-JP"/>
        </w:rPr>
        <w:t xml:space="preserve"> </w:t>
      </w:r>
      <w:r w:rsidRPr="007264C7">
        <w:rPr>
          <w:rFonts w:eastAsia="MS Mincho"/>
          <w:szCs w:val="24"/>
          <w:lang w:eastAsia="ja-JP"/>
        </w:rPr>
        <w:t>31</w:t>
      </w:r>
      <w:r w:rsidR="00ED69FA">
        <w:rPr>
          <w:rFonts w:eastAsia="MS Mincho"/>
          <w:szCs w:val="24"/>
          <w:lang w:eastAsia="ja-JP"/>
        </w:rPr>
        <w:t>-го</w:t>
      </w:r>
      <w:r w:rsidRPr="007264C7">
        <w:rPr>
          <w:rFonts w:eastAsia="MS Mincho"/>
          <w:szCs w:val="24"/>
          <w:lang w:eastAsia="ja-JP"/>
        </w:rPr>
        <w:t xml:space="preserve"> дня до восстановления</w:t>
      </w:r>
      <w:r w:rsidR="003B5AAA" w:rsidRPr="003B5AAA">
        <w:rPr>
          <w:rFonts w:eastAsia="MS Mincho"/>
          <w:szCs w:val="24"/>
          <w:lang w:eastAsia="ja-JP"/>
        </w:rPr>
        <w:t xml:space="preserve"> </w:t>
      </w:r>
      <w:r w:rsidRPr="007264C7">
        <w:rPr>
          <w:rFonts w:eastAsia="MS Mincho"/>
          <w:szCs w:val="24"/>
          <w:lang w:eastAsia="ja-JP"/>
        </w:rPr>
        <w:t>гранулоцитов</w:t>
      </w:r>
    </w:p>
    <w:p w14:paraId="7AF7B39E" w14:textId="77777777" w:rsidR="00533FE8" w:rsidRPr="007264C7" w:rsidRDefault="00533FE8" w:rsidP="00533FE8">
      <w:pPr>
        <w:widowControl/>
        <w:jc w:val="left"/>
        <w:rPr>
          <w:rFonts w:eastAsia="MS Mincho"/>
          <w:b/>
          <w:szCs w:val="24"/>
          <w:lang w:eastAsia="ja-JP"/>
        </w:rPr>
      </w:pPr>
    </w:p>
    <w:p w14:paraId="0BB2A851" w14:textId="77777777" w:rsidR="00533FE8" w:rsidRPr="007264C7" w:rsidRDefault="00533FE8" w:rsidP="00533FE8">
      <w:pPr>
        <w:widowControl/>
        <w:jc w:val="left"/>
        <w:rPr>
          <w:rFonts w:eastAsia="MS Mincho"/>
          <w:b/>
          <w:szCs w:val="24"/>
          <w:lang w:eastAsia="ja-JP"/>
        </w:rPr>
      </w:pPr>
      <w:r w:rsidRPr="007264C7">
        <w:rPr>
          <w:rFonts w:eastAsia="MS Mincho"/>
          <w:b/>
          <w:szCs w:val="24"/>
          <w:lang w:eastAsia="ja-JP"/>
        </w:rPr>
        <w:t>Поздняя интенсификация (между блоками консолидации 6 и 7)</w:t>
      </w:r>
    </w:p>
    <w:p w14:paraId="5FEFDEE6" w14:textId="77777777" w:rsidR="00533FE8" w:rsidRPr="007264C7" w:rsidRDefault="00533FE8" w:rsidP="00533FE8">
      <w:pPr>
        <w:widowControl/>
        <w:jc w:val="left"/>
        <w:rPr>
          <w:rFonts w:eastAsia="MS Mincho"/>
          <w:b/>
          <w:i/>
          <w:szCs w:val="24"/>
          <w:lang w:eastAsia="ja-JP"/>
        </w:rPr>
      </w:pPr>
      <w:r>
        <w:rPr>
          <w:rFonts w:eastAsia="MS Mincho"/>
          <w:b/>
          <w:i/>
          <w:szCs w:val="24"/>
          <w:lang w:eastAsia="ja-JP"/>
        </w:rPr>
        <w:t>Для пациентов</w:t>
      </w:r>
      <w:r w:rsidRPr="007264C7">
        <w:rPr>
          <w:rFonts w:eastAsia="MS Mincho"/>
          <w:b/>
          <w:i/>
          <w:szCs w:val="24"/>
          <w:lang w:eastAsia="ja-JP"/>
        </w:rPr>
        <w:t xml:space="preserve"> </w:t>
      </w:r>
      <w:r w:rsidR="00C20F9A">
        <w:rPr>
          <w:rFonts w:eastAsia="MS Mincho"/>
          <w:b/>
          <w:i/>
          <w:szCs w:val="24"/>
          <w:lang w:eastAsia="ja-JP"/>
        </w:rPr>
        <w:t xml:space="preserve">в ПР после </w:t>
      </w:r>
      <w:r w:rsidR="00C20F9A">
        <w:rPr>
          <w:rFonts w:eastAsia="MS Mincho"/>
          <w:b/>
          <w:i/>
          <w:szCs w:val="24"/>
          <w:lang w:val="en-US" w:eastAsia="ja-JP"/>
        </w:rPr>
        <w:t>I</w:t>
      </w:r>
      <w:r>
        <w:rPr>
          <w:rFonts w:eastAsia="MS Mincho"/>
          <w:b/>
          <w:i/>
          <w:szCs w:val="24"/>
          <w:lang w:eastAsia="ja-JP"/>
        </w:rPr>
        <w:t xml:space="preserve"> фазы индукции</w:t>
      </w:r>
    </w:p>
    <w:p w14:paraId="10471598" w14:textId="77777777" w:rsidR="00533FE8" w:rsidRPr="007264C7" w:rsidRDefault="00533FE8" w:rsidP="00533FE8">
      <w:pPr>
        <w:widowControl/>
        <w:jc w:val="left"/>
        <w:rPr>
          <w:rFonts w:eastAsia="MS Mincho"/>
          <w:szCs w:val="24"/>
          <w:lang w:eastAsia="ja-JP"/>
        </w:rPr>
      </w:pPr>
      <w:r>
        <w:rPr>
          <w:rFonts w:eastAsia="MS Mincho"/>
          <w:szCs w:val="24"/>
          <w:lang w:eastAsia="ja-JP"/>
        </w:rPr>
        <w:t>Преднизолон</w:t>
      </w:r>
      <w:r w:rsidR="003B5AAA" w:rsidRPr="00950F44">
        <w:rPr>
          <w:rFonts w:eastAsia="MS Mincho"/>
          <w:szCs w:val="24"/>
          <w:lang w:eastAsia="ja-JP"/>
        </w:rPr>
        <w:t>**</w:t>
      </w:r>
      <w:r>
        <w:rPr>
          <w:rFonts w:eastAsia="MS Mincho"/>
          <w:szCs w:val="24"/>
          <w:lang w:eastAsia="ja-JP"/>
        </w:rPr>
        <w:t xml:space="preserve"> </w:t>
      </w:r>
      <w:r w:rsidRPr="007264C7">
        <w:rPr>
          <w:rFonts w:eastAsia="MS Mincho"/>
          <w:szCs w:val="24"/>
          <w:lang w:eastAsia="ja-JP"/>
        </w:rPr>
        <w:t xml:space="preserve">     </w:t>
      </w:r>
      <w:r w:rsidR="003B5AAA">
        <w:rPr>
          <w:rFonts w:eastAsia="MS Mincho"/>
          <w:szCs w:val="24"/>
          <w:lang w:eastAsia="ja-JP"/>
        </w:rPr>
        <w:tab/>
      </w:r>
      <w:r w:rsidR="003B5AAA">
        <w:rPr>
          <w:rFonts w:eastAsia="MS Mincho"/>
          <w:szCs w:val="24"/>
          <w:lang w:eastAsia="ja-JP"/>
        </w:rPr>
        <w:tab/>
      </w:r>
      <w:r w:rsidR="003B5AAA">
        <w:rPr>
          <w:rFonts w:eastAsia="MS Mincho"/>
          <w:szCs w:val="24"/>
          <w:lang w:eastAsia="ja-JP"/>
        </w:rPr>
        <w:tab/>
      </w:r>
      <w:r w:rsidRPr="007264C7">
        <w:rPr>
          <w:rFonts w:eastAsia="MS Mincho"/>
          <w:szCs w:val="24"/>
          <w:lang w:eastAsia="ja-JP"/>
        </w:rPr>
        <w:t>60 мг/м</w:t>
      </w:r>
      <w:r w:rsidRPr="00D72E20">
        <w:rPr>
          <w:rFonts w:eastAsia="MS Mincho"/>
          <w:szCs w:val="24"/>
          <w:vertAlign w:val="superscript"/>
          <w:lang w:eastAsia="ja-JP"/>
        </w:rPr>
        <w:t>2</w:t>
      </w:r>
      <w:r w:rsidRPr="007264C7">
        <w:rPr>
          <w:rFonts w:eastAsia="MS Mincho"/>
          <w:szCs w:val="24"/>
          <w:lang w:eastAsia="ja-JP"/>
        </w:rPr>
        <w:t xml:space="preserve">       </w:t>
      </w:r>
      <w:r>
        <w:rPr>
          <w:rFonts w:eastAsia="MS Mincho"/>
          <w:szCs w:val="24"/>
          <w:lang w:eastAsia="ja-JP"/>
        </w:rPr>
        <w:t xml:space="preserve"> </w:t>
      </w:r>
      <w:r w:rsidR="00ED69FA">
        <w:rPr>
          <w:rFonts w:eastAsia="MS Mincho"/>
          <w:szCs w:val="24"/>
          <w:lang w:eastAsia="ja-JP"/>
        </w:rPr>
        <w:t xml:space="preserve">                               1–</w:t>
      </w:r>
      <w:r w:rsidRPr="007264C7">
        <w:rPr>
          <w:rFonts w:eastAsia="MS Mincho"/>
          <w:szCs w:val="24"/>
          <w:lang w:eastAsia="ja-JP"/>
        </w:rPr>
        <w:t>14</w:t>
      </w:r>
      <w:r w:rsidR="00ED69FA">
        <w:rPr>
          <w:rFonts w:eastAsia="MS Mincho"/>
          <w:szCs w:val="24"/>
          <w:lang w:eastAsia="ja-JP"/>
        </w:rPr>
        <w:t>-й дни</w:t>
      </w:r>
    </w:p>
    <w:p w14:paraId="12141B40" w14:textId="77777777" w:rsidR="00533FE8" w:rsidRPr="007264C7" w:rsidRDefault="00533FE8" w:rsidP="00533FE8">
      <w:pPr>
        <w:widowControl/>
        <w:jc w:val="left"/>
        <w:rPr>
          <w:rFonts w:eastAsia="MS Mincho"/>
          <w:szCs w:val="24"/>
          <w:lang w:eastAsia="ja-JP"/>
        </w:rPr>
      </w:pPr>
      <w:r w:rsidRPr="007264C7">
        <w:rPr>
          <w:rFonts w:eastAsia="MS Mincho"/>
          <w:szCs w:val="24"/>
          <w:lang w:eastAsia="ja-JP"/>
        </w:rPr>
        <w:t>Винкристин</w:t>
      </w:r>
      <w:r w:rsidR="00457E7B">
        <w:rPr>
          <w:rFonts w:eastAsia="MS Mincho"/>
          <w:szCs w:val="24"/>
          <w:lang w:eastAsia="ja-JP"/>
        </w:rPr>
        <w:t>**</w:t>
      </w:r>
      <w:r w:rsidRPr="007264C7">
        <w:rPr>
          <w:rFonts w:eastAsia="MS Mincho"/>
          <w:szCs w:val="24"/>
          <w:lang w:eastAsia="ja-JP"/>
        </w:rPr>
        <w:t xml:space="preserve">                          </w:t>
      </w:r>
      <w:r w:rsidR="003B5AAA">
        <w:rPr>
          <w:rFonts w:eastAsia="MS Mincho"/>
          <w:szCs w:val="24"/>
          <w:lang w:eastAsia="ja-JP"/>
        </w:rPr>
        <w:tab/>
      </w:r>
      <w:r w:rsidRPr="007264C7">
        <w:rPr>
          <w:rFonts w:eastAsia="MS Mincho"/>
          <w:szCs w:val="24"/>
          <w:lang w:eastAsia="ja-JP"/>
        </w:rPr>
        <w:t xml:space="preserve">2 мг              </w:t>
      </w:r>
      <w:r w:rsidR="00ED69FA">
        <w:rPr>
          <w:rFonts w:eastAsia="MS Mincho"/>
          <w:szCs w:val="24"/>
          <w:lang w:eastAsia="ja-JP"/>
        </w:rPr>
        <w:t xml:space="preserve">                               </w:t>
      </w:r>
      <w:r w:rsidRPr="007264C7">
        <w:rPr>
          <w:rFonts w:eastAsia="MS Mincho"/>
          <w:szCs w:val="24"/>
          <w:lang w:eastAsia="ja-JP"/>
        </w:rPr>
        <w:t>1,</w:t>
      </w:r>
      <w:r w:rsidR="00ED69FA">
        <w:rPr>
          <w:rFonts w:eastAsia="MS Mincho"/>
          <w:szCs w:val="24"/>
          <w:lang w:eastAsia="ja-JP"/>
        </w:rPr>
        <w:t xml:space="preserve"> </w:t>
      </w:r>
      <w:r w:rsidRPr="007264C7">
        <w:rPr>
          <w:rFonts w:eastAsia="MS Mincho"/>
          <w:szCs w:val="24"/>
          <w:lang w:eastAsia="ja-JP"/>
        </w:rPr>
        <w:t>8,</w:t>
      </w:r>
      <w:r w:rsidR="00ED69FA">
        <w:rPr>
          <w:rFonts w:eastAsia="MS Mincho"/>
          <w:szCs w:val="24"/>
          <w:lang w:eastAsia="ja-JP"/>
        </w:rPr>
        <w:t xml:space="preserve"> </w:t>
      </w:r>
      <w:r w:rsidRPr="007264C7">
        <w:rPr>
          <w:rFonts w:eastAsia="MS Mincho"/>
          <w:szCs w:val="24"/>
          <w:lang w:eastAsia="ja-JP"/>
        </w:rPr>
        <w:t>15</w:t>
      </w:r>
      <w:r w:rsidR="00ED69FA">
        <w:rPr>
          <w:rFonts w:eastAsia="MS Mincho"/>
          <w:szCs w:val="24"/>
          <w:lang w:eastAsia="ja-JP"/>
        </w:rPr>
        <w:t>-й дни</w:t>
      </w:r>
    </w:p>
    <w:p w14:paraId="28660E1D" w14:textId="77777777" w:rsidR="00533FE8" w:rsidRPr="007264C7" w:rsidRDefault="00533FE8" w:rsidP="00533FE8">
      <w:pPr>
        <w:widowControl/>
        <w:jc w:val="left"/>
        <w:rPr>
          <w:rFonts w:eastAsia="MS Mincho"/>
          <w:szCs w:val="24"/>
          <w:lang w:eastAsia="ja-JP"/>
        </w:rPr>
      </w:pPr>
      <w:r w:rsidRPr="007264C7">
        <w:rPr>
          <w:rFonts w:eastAsia="MS Mincho"/>
          <w:szCs w:val="24"/>
          <w:lang w:eastAsia="ja-JP"/>
        </w:rPr>
        <w:t>Даунорубицин</w:t>
      </w:r>
      <w:r w:rsidR="00A65A9B">
        <w:rPr>
          <w:rFonts w:eastAsia="MS Mincho"/>
          <w:szCs w:val="24"/>
          <w:lang w:eastAsia="ja-JP"/>
        </w:rPr>
        <w:t>**</w:t>
      </w:r>
      <w:r w:rsidRPr="007264C7">
        <w:rPr>
          <w:rFonts w:eastAsia="MS Mincho"/>
          <w:szCs w:val="24"/>
          <w:lang w:eastAsia="ja-JP"/>
        </w:rPr>
        <w:t xml:space="preserve">                      </w:t>
      </w:r>
      <w:r w:rsidR="003B5AAA">
        <w:rPr>
          <w:rFonts w:eastAsia="MS Mincho"/>
          <w:szCs w:val="24"/>
          <w:lang w:eastAsia="ja-JP"/>
        </w:rPr>
        <w:tab/>
      </w:r>
      <w:r w:rsidRPr="007264C7">
        <w:rPr>
          <w:rFonts w:eastAsia="MS Mincho"/>
          <w:szCs w:val="24"/>
          <w:lang w:eastAsia="ja-JP"/>
        </w:rPr>
        <w:t>30 мг/м</w:t>
      </w:r>
      <w:r w:rsidRPr="00D72E20">
        <w:rPr>
          <w:rFonts w:eastAsia="MS Mincho"/>
          <w:szCs w:val="24"/>
          <w:vertAlign w:val="superscript"/>
          <w:lang w:eastAsia="ja-JP"/>
        </w:rPr>
        <w:t>2</w:t>
      </w:r>
      <w:r w:rsidRPr="007264C7">
        <w:rPr>
          <w:rFonts w:eastAsia="MS Mincho"/>
          <w:szCs w:val="24"/>
          <w:lang w:eastAsia="ja-JP"/>
        </w:rPr>
        <w:t xml:space="preserve">                               </w:t>
      </w:r>
      <w:r w:rsidR="00ED69FA">
        <w:rPr>
          <w:rFonts w:eastAsia="MS Mincho"/>
          <w:szCs w:val="24"/>
          <w:lang w:eastAsia="ja-JP"/>
        </w:rPr>
        <w:t xml:space="preserve">       1–</w:t>
      </w:r>
      <w:r w:rsidRPr="007264C7">
        <w:rPr>
          <w:rFonts w:eastAsia="MS Mincho"/>
          <w:szCs w:val="24"/>
          <w:lang w:eastAsia="ja-JP"/>
        </w:rPr>
        <w:t>3</w:t>
      </w:r>
      <w:r w:rsidR="00ED69FA">
        <w:rPr>
          <w:rFonts w:eastAsia="MS Mincho"/>
          <w:szCs w:val="24"/>
          <w:lang w:eastAsia="ja-JP"/>
        </w:rPr>
        <w:t>-й дни</w:t>
      </w:r>
    </w:p>
    <w:p w14:paraId="6E383A49" w14:textId="07659E32" w:rsidR="00533FE8" w:rsidRPr="007264C7" w:rsidRDefault="00797B22" w:rsidP="00533FE8">
      <w:pPr>
        <w:widowControl/>
        <w:jc w:val="left"/>
        <w:rPr>
          <w:rFonts w:eastAsia="MS Mincho"/>
          <w:szCs w:val="24"/>
          <w:lang w:eastAsia="ja-JP"/>
        </w:rPr>
      </w:pPr>
      <w:r>
        <w:rPr>
          <w:rFonts w:eastAsia="MS Mincho"/>
          <w:szCs w:val="24"/>
          <w:lang w:val="en-US" w:eastAsia="ja-JP"/>
        </w:rPr>
        <w:lastRenderedPageBreak/>
        <w:t>L</w:t>
      </w:r>
      <w:r w:rsidRPr="00797B22">
        <w:rPr>
          <w:rFonts w:eastAsia="MS Mincho"/>
          <w:szCs w:val="24"/>
          <w:lang w:eastAsia="ja-JP"/>
        </w:rPr>
        <w:t>-</w:t>
      </w:r>
      <w:r w:rsidR="00D72E20">
        <w:rPr>
          <w:rFonts w:eastAsia="MS Mincho"/>
          <w:szCs w:val="24"/>
          <w:lang w:eastAsia="ja-JP"/>
        </w:rPr>
        <w:t>А</w:t>
      </w:r>
      <w:r w:rsidR="00533FE8" w:rsidRPr="007264C7">
        <w:rPr>
          <w:rFonts w:eastAsia="MS Mincho"/>
          <w:szCs w:val="24"/>
          <w:lang w:eastAsia="ja-JP"/>
        </w:rPr>
        <w:t>спарагиназа</w:t>
      </w:r>
      <w:r w:rsidR="00714B4A">
        <w:rPr>
          <w:rFonts w:eastAsia="MS Mincho"/>
          <w:szCs w:val="24"/>
          <w:lang w:eastAsia="ja-JP"/>
        </w:rPr>
        <w:t>**</w:t>
      </w:r>
      <w:r w:rsidR="00533FE8" w:rsidRPr="007264C7">
        <w:rPr>
          <w:rFonts w:eastAsia="MS Mincho"/>
          <w:szCs w:val="24"/>
          <w:lang w:eastAsia="ja-JP"/>
        </w:rPr>
        <w:t xml:space="preserve">                    </w:t>
      </w:r>
      <w:r w:rsidR="003B5AAA">
        <w:rPr>
          <w:rFonts w:eastAsia="MS Mincho"/>
          <w:szCs w:val="24"/>
          <w:lang w:eastAsia="ja-JP"/>
        </w:rPr>
        <w:tab/>
      </w:r>
      <w:r w:rsidR="003B5AAA">
        <w:rPr>
          <w:rFonts w:eastAsia="MS Mincho"/>
          <w:szCs w:val="24"/>
          <w:lang w:eastAsia="ja-JP"/>
        </w:rPr>
        <w:tab/>
      </w:r>
      <w:r w:rsidR="00533FE8" w:rsidRPr="007264C7">
        <w:rPr>
          <w:rFonts w:eastAsia="MS Mincho"/>
          <w:szCs w:val="24"/>
          <w:lang w:eastAsia="ja-JP"/>
        </w:rPr>
        <w:t>6</w:t>
      </w:r>
      <w:r w:rsidR="003B5AAA">
        <w:rPr>
          <w:rFonts w:eastAsia="MS Mincho"/>
          <w:szCs w:val="24"/>
          <w:lang w:val="en-US" w:eastAsia="ja-JP"/>
        </w:rPr>
        <w:t> </w:t>
      </w:r>
      <w:r w:rsidR="00533FE8" w:rsidRPr="007264C7">
        <w:rPr>
          <w:rFonts w:eastAsia="MS Mincho"/>
          <w:szCs w:val="24"/>
          <w:lang w:eastAsia="ja-JP"/>
        </w:rPr>
        <w:t xml:space="preserve">000 </w:t>
      </w:r>
      <w:r w:rsidR="003B5AAA" w:rsidRPr="007264C7">
        <w:rPr>
          <w:rFonts w:eastAsia="MS Mincho"/>
          <w:szCs w:val="24"/>
          <w:lang w:eastAsia="ja-JP"/>
        </w:rPr>
        <w:t>ЕД</w:t>
      </w:r>
      <w:r w:rsidR="00533FE8" w:rsidRPr="007264C7">
        <w:rPr>
          <w:rFonts w:eastAsia="MS Mincho"/>
          <w:szCs w:val="24"/>
          <w:lang w:eastAsia="ja-JP"/>
        </w:rPr>
        <w:t>/м</w:t>
      </w:r>
      <w:r w:rsidR="00533FE8" w:rsidRPr="00D72E20">
        <w:rPr>
          <w:rFonts w:eastAsia="MS Mincho"/>
          <w:szCs w:val="24"/>
          <w:vertAlign w:val="superscript"/>
          <w:lang w:eastAsia="ja-JP"/>
        </w:rPr>
        <w:t>2</w:t>
      </w:r>
      <w:r w:rsidR="00533FE8" w:rsidRPr="007264C7">
        <w:rPr>
          <w:rFonts w:eastAsia="MS Mincho"/>
          <w:szCs w:val="24"/>
          <w:lang w:eastAsia="ja-JP"/>
        </w:rPr>
        <w:t xml:space="preserve"> </w:t>
      </w:r>
      <w:r w:rsidR="00ED69FA">
        <w:rPr>
          <w:rFonts w:eastAsia="MS Mincho"/>
          <w:szCs w:val="24"/>
          <w:lang w:eastAsia="ja-JP"/>
        </w:rPr>
        <w:t xml:space="preserve">                               </w:t>
      </w:r>
      <w:r w:rsidR="00533FE8" w:rsidRPr="007264C7">
        <w:rPr>
          <w:rFonts w:eastAsia="MS Mincho"/>
          <w:szCs w:val="24"/>
          <w:lang w:eastAsia="ja-JP"/>
        </w:rPr>
        <w:t>8,</w:t>
      </w:r>
      <w:r w:rsidR="00ED69FA">
        <w:rPr>
          <w:rFonts w:eastAsia="MS Mincho"/>
          <w:szCs w:val="24"/>
          <w:lang w:eastAsia="ja-JP"/>
        </w:rPr>
        <w:t xml:space="preserve"> </w:t>
      </w:r>
      <w:r w:rsidR="00533FE8" w:rsidRPr="007264C7">
        <w:rPr>
          <w:rFonts w:eastAsia="MS Mincho"/>
          <w:szCs w:val="24"/>
          <w:lang w:eastAsia="ja-JP"/>
        </w:rPr>
        <w:t>10,</w:t>
      </w:r>
      <w:r w:rsidR="00ED69FA">
        <w:rPr>
          <w:rFonts w:eastAsia="MS Mincho"/>
          <w:szCs w:val="24"/>
          <w:lang w:eastAsia="ja-JP"/>
        </w:rPr>
        <w:t xml:space="preserve"> </w:t>
      </w:r>
      <w:r w:rsidR="00533FE8" w:rsidRPr="007264C7">
        <w:rPr>
          <w:rFonts w:eastAsia="MS Mincho"/>
          <w:szCs w:val="24"/>
          <w:lang w:eastAsia="ja-JP"/>
        </w:rPr>
        <w:t>12,</w:t>
      </w:r>
      <w:r w:rsidR="00ED69FA">
        <w:rPr>
          <w:rFonts w:eastAsia="MS Mincho"/>
          <w:szCs w:val="24"/>
          <w:lang w:eastAsia="ja-JP"/>
        </w:rPr>
        <w:t xml:space="preserve"> </w:t>
      </w:r>
      <w:r w:rsidR="00533FE8" w:rsidRPr="007264C7">
        <w:rPr>
          <w:rFonts w:eastAsia="MS Mincho"/>
          <w:szCs w:val="24"/>
          <w:lang w:eastAsia="ja-JP"/>
        </w:rPr>
        <w:t>18,</w:t>
      </w:r>
      <w:r w:rsidR="00ED69FA">
        <w:rPr>
          <w:rFonts w:eastAsia="MS Mincho"/>
          <w:szCs w:val="24"/>
          <w:lang w:eastAsia="ja-JP"/>
        </w:rPr>
        <w:t xml:space="preserve"> </w:t>
      </w:r>
      <w:r w:rsidR="00533FE8" w:rsidRPr="007264C7">
        <w:rPr>
          <w:rFonts w:eastAsia="MS Mincho"/>
          <w:szCs w:val="24"/>
          <w:lang w:eastAsia="ja-JP"/>
        </w:rPr>
        <w:t>20,</w:t>
      </w:r>
      <w:r w:rsidR="00ED69FA">
        <w:rPr>
          <w:rFonts w:eastAsia="MS Mincho"/>
          <w:szCs w:val="24"/>
          <w:lang w:eastAsia="ja-JP"/>
        </w:rPr>
        <w:t xml:space="preserve"> </w:t>
      </w:r>
      <w:r w:rsidR="00533FE8" w:rsidRPr="007264C7">
        <w:rPr>
          <w:rFonts w:eastAsia="MS Mincho"/>
          <w:szCs w:val="24"/>
          <w:lang w:eastAsia="ja-JP"/>
        </w:rPr>
        <w:t>22</w:t>
      </w:r>
      <w:r w:rsidR="00ED69FA">
        <w:rPr>
          <w:rFonts w:eastAsia="MS Mincho"/>
          <w:szCs w:val="24"/>
          <w:lang w:eastAsia="ja-JP"/>
        </w:rPr>
        <w:t>-й дни</w:t>
      </w:r>
    </w:p>
    <w:p w14:paraId="7E20F4DB" w14:textId="77777777" w:rsidR="00533FE8" w:rsidRPr="007264C7" w:rsidRDefault="00533FE8" w:rsidP="00533FE8">
      <w:pPr>
        <w:widowControl/>
        <w:jc w:val="left"/>
        <w:rPr>
          <w:rFonts w:eastAsia="MS Mincho"/>
          <w:szCs w:val="24"/>
          <w:lang w:eastAsia="ja-JP"/>
        </w:rPr>
      </w:pPr>
      <w:r w:rsidRPr="007264C7">
        <w:rPr>
          <w:rFonts w:eastAsia="MS Mincho"/>
          <w:szCs w:val="24"/>
          <w:lang w:eastAsia="ja-JP"/>
        </w:rPr>
        <w:t>Циклофосфамид</w:t>
      </w:r>
      <w:r w:rsidR="004C2C6A">
        <w:rPr>
          <w:rFonts w:eastAsia="MS Mincho"/>
          <w:szCs w:val="24"/>
          <w:lang w:eastAsia="ja-JP"/>
        </w:rPr>
        <w:t>**</w:t>
      </w:r>
      <w:r w:rsidRPr="007264C7">
        <w:rPr>
          <w:rFonts w:eastAsia="MS Mincho"/>
          <w:szCs w:val="24"/>
          <w:lang w:eastAsia="ja-JP"/>
        </w:rPr>
        <w:t xml:space="preserve">                 </w:t>
      </w:r>
      <w:r w:rsidR="003B5AAA">
        <w:rPr>
          <w:rFonts w:eastAsia="MS Mincho"/>
          <w:szCs w:val="24"/>
          <w:lang w:eastAsia="ja-JP"/>
        </w:rPr>
        <w:tab/>
      </w:r>
      <w:r w:rsidRPr="007264C7">
        <w:rPr>
          <w:rFonts w:eastAsia="MS Mincho"/>
          <w:szCs w:val="24"/>
          <w:lang w:eastAsia="ja-JP"/>
        </w:rPr>
        <w:t>500 мг/м</w:t>
      </w:r>
      <w:r w:rsidRPr="00D72E20">
        <w:rPr>
          <w:rFonts w:eastAsia="MS Mincho"/>
          <w:szCs w:val="24"/>
          <w:vertAlign w:val="superscript"/>
          <w:lang w:eastAsia="ja-JP"/>
        </w:rPr>
        <w:t>2</w:t>
      </w:r>
      <w:r w:rsidRPr="007264C7">
        <w:rPr>
          <w:rFonts w:eastAsia="MS Mincho"/>
          <w:szCs w:val="24"/>
          <w:lang w:eastAsia="ja-JP"/>
        </w:rPr>
        <w:t xml:space="preserve"> (12 ч)                           </w:t>
      </w:r>
      <w:r w:rsidR="003B5AAA">
        <w:rPr>
          <w:rFonts w:eastAsia="MS Mincho"/>
          <w:szCs w:val="24"/>
          <w:lang w:eastAsia="ja-JP"/>
        </w:rPr>
        <w:tab/>
      </w:r>
      <w:r w:rsidRPr="007264C7">
        <w:rPr>
          <w:rFonts w:eastAsia="MS Mincho"/>
          <w:szCs w:val="24"/>
          <w:lang w:eastAsia="ja-JP"/>
        </w:rPr>
        <w:t>15</w:t>
      </w:r>
      <w:r w:rsidR="00ED69FA">
        <w:rPr>
          <w:rFonts w:eastAsia="MS Mincho"/>
          <w:szCs w:val="24"/>
          <w:lang w:eastAsia="ja-JP"/>
        </w:rPr>
        <w:t>-й день</w:t>
      </w:r>
    </w:p>
    <w:p w14:paraId="515E7CF4" w14:textId="6AF062EE" w:rsidR="00533FE8" w:rsidRPr="007264C7" w:rsidRDefault="00533FE8" w:rsidP="00533FE8">
      <w:pPr>
        <w:widowControl/>
        <w:jc w:val="left"/>
        <w:rPr>
          <w:rFonts w:eastAsia="MS Mincho"/>
          <w:szCs w:val="24"/>
          <w:lang w:eastAsia="ja-JP"/>
        </w:rPr>
      </w:pPr>
      <w:r w:rsidRPr="007264C7">
        <w:rPr>
          <w:rFonts w:eastAsia="MS Mincho"/>
          <w:szCs w:val="24"/>
          <w:lang w:eastAsia="ja-JP"/>
        </w:rPr>
        <w:t>Филграстим</w:t>
      </w:r>
      <w:r w:rsidR="003B5AAA">
        <w:rPr>
          <w:rFonts w:eastAsia="MS Mincho"/>
          <w:szCs w:val="24"/>
          <w:lang w:eastAsia="ja-JP"/>
        </w:rPr>
        <w:t>**</w:t>
      </w:r>
      <w:r w:rsidRPr="007264C7">
        <w:rPr>
          <w:rFonts w:eastAsia="MS Mincho"/>
          <w:szCs w:val="24"/>
          <w:lang w:eastAsia="ja-JP"/>
        </w:rPr>
        <w:tab/>
        <w:t xml:space="preserve">          </w:t>
      </w:r>
      <w:r w:rsidRPr="007264C7">
        <w:rPr>
          <w:rFonts w:eastAsia="MS Mincho"/>
          <w:szCs w:val="24"/>
          <w:lang w:eastAsia="ja-JP"/>
        </w:rPr>
        <w:tab/>
      </w:r>
      <w:r w:rsidRPr="007264C7">
        <w:rPr>
          <w:rFonts w:eastAsia="MS Mincho"/>
          <w:szCs w:val="24"/>
          <w:lang w:eastAsia="ja-JP"/>
        </w:rPr>
        <w:tab/>
        <w:t>5 мкг/</w:t>
      </w:r>
      <w:r w:rsidR="00B65CEB">
        <w:rPr>
          <w:rFonts w:eastAsia="MS Mincho"/>
          <w:szCs w:val="24"/>
          <w:lang w:eastAsia="ja-JP"/>
        </w:rPr>
        <w:t>кг</w:t>
      </w:r>
      <w:r w:rsidRPr="007264C7">
        <w:rPr>
          <w:rFonts w:eastAsia="MS Mincho"/>
          <w:szCs w:val="24"/>
          <w:lang w:eastAsia="ja-JP"/>
        </w:rPr>
        <w:t xml:space="preserve">    </w:t>
      </w:r>
      <w:r w:rsidR="003B5AAA">
        <w:rPr>
          <w:rFonts w:eastAsia="MS Mincho"/>
          <w:szCs w:val="24"/>
          <w:lang w:eastAsia="ja-JP"/>
        </w:rPr>
        <w:t xml:space="preserve"> </w:t>
      </w:r>
      <w:r w:rsidR="001B7836">
        <w:rPr>
          <w:rFonts w:eastAsia="MS Mincho"/>
          <w:szCs w:val="24"/>
          <w:lang w:eastAsia="ja-JP"/>
        </w:rPr>
        <w:t>е</w:t>
      </w:r>
      <w:r w:rsidR="003B5AAA" w:rsidRPr="007264C7">
        <w:rPr>
          <w:rFonts w:eastAsia="MS Mincho"/>
          <w:szCs w:val="24"/>
          <w:lang w:eastAsia="ja-JP"/>
        </w:rPr>
        <w:t xml:space="preserve">сли </w:t>
      </w:r>
      <w:r w:rsidRPr="007264C7">
        <w:rPr>
          <w:rFonts w:eastAsia="MS Mincho"/>
          <w:szCs w:val="24"/>
          <w:lang w:eastAsia="ja-JP"/>
        </w:rPr>
        <w:t>нейтроф</w:t>
      </w:r>
      <w:r w:rsidR="00ED69FA">
        <w:rPr>
          <w:rFonts w:eastAsia="MS Mincho"/>
          <w:szCs w:val="24"/>
          <w:lang w:eastAsia="ja-JP"/>
        </w:rPr>
        <w:t>илы &lt;0,</w:t>
      </w:r>
      <w:r w:rsidRPr="007264C7">
        <w:rPr>
          <w:rFonts w:eastAsia="MS Mincho"/>
          <w:szCs w:val="24"/>
          <w:lang w:eastAsia="ja-JP"/>
        </w:rPr>
        <w:t>5/</w:t>
      </w:r>
      <w:r w:rsidR="00D72E20">
        <w:rPr>
          <w:rFonts w:eastAsia="MS Mincho"/>
          <w:szCs w:val="24"/>
          <w:lang w:eastAsia="ja-JP"/>
        </w:rPr>
        <w:t>л</w:t>
      </w:r>
      <w:r w:rsidR="003B5AAA">
        <w:rPr>
          <w:rFonts w:eastAsia="MS Mincho"/>
          <w:szCs w:val="24"/>
          <w:lang w:eastAsia="ja-JP"/>
        </w:rPr>
        <w:t>,</w:t>
      </w:r>
      <w:r w:rsidR="003B5AAA" w:rsidRPr="003B5AAA">
        <w:rPr>
          <w:rFonts w:eastAsia="MS Mincho"/>
          <w:szCs w:val="24"/>
          <w:lang w:eastAsia="ja-JP"/>
        </w:rPr>
        <w:t xml:space="preserve"> </w:t>
      </w:r>
      <w:r>
        <w:rPr>
          <w:rFonts w:eastAsia="MS Mincho"/>
          <w:szCs w:val="24"/>
          <w:lang w:eastAsia="ja-JP"/>
        </w:rPr>
        <w:t>до восстановления</w:t>
      </w:r>
    </w:p>
    <w:p w14:paraId="30EC7F2C" w14:textId="77777777" w:rsidR="003B5AAA" w:rsidRDefault="003B5AAA" w:rsidP="00533FE8">
      <w:pPr>
        <w:widowControl/>
        <w:ind w:firstLine="709"/>
        <w:jc w:val="left"/>
        <w:rPr>
          <w:rFonts w:eastAsia="MS Mincho"/>
          <w:b/>
          <w:i/>
          <w:szCs w:val="24"/>
          <w:lang w:eastAsia="ja-JP"/>
        </w:rPr>
      </w:pPr>
    </w:p>
    <w:p w14:paraId="7BD78F5A" w14:textId="77777777" w:rsidR="00533FE8" w:rsidRPr="007264C7" w:rsidRDefault="00533FE8" w:rsidP="00533FE8">
      <w:pPr>
        <w:widowControl/>
        <w:ind w:firstLine="709"/>
        <w:jc w:val="left"/>
        <w:rPr>
          <w:rFonts w:eastAsia="MS Mincho"/>
          <w:b/>
          <w:i/>
          <w:szCs w:val="24"/>
          <w:lang w:eastAsia="ja-JP"/>
        </w:rPr>
      </w:pPr>
      <w:r>
        <w:rPr>
          <w:rFonts w:eastAsia="MS Mincho"/>
          <w:b/>
          <w:i/>
          <w:szCs w:val="24"/>
          <w:lang w:eastAsia="ja-JP"/>
        </w:rPr>
        <w:t>Для пациентов</w:t>
      </w:r>
      <w:r w:rsidRPr="007264C7">
        <w:rPr>
          <w:rFonts w:eastAsia="MS Mincho"/>
          <w:b/>
          <w:i/>
          <w:szCs w:val="24"/>
          <w:lang w:eastAsia="ja-JP"/>
        </w:rPr>
        <w:t xml:space="preserve"> в П</w:t>
      </w:r>
      <w:r w:rsidR="00C20F9A">
        <w:rPr>
          <w:rFonts w:eastAsia="MS Mincho"/>
          <w:b/>
          <w:i/>
          <w:szCs w:val="24"/>
          <w:lang w:eastAsia="ja-JP"/>
        </w:rPr>
        <w:t xml:space="preserve">Р после </w:t>
      </w:r>
      <w:r w:rsidR="00C20F9A">
        <w:rPr>
          <w:rFonts w:eastAsia="MS Mincho"/>
          <w:b/>
          <w:i/>
          <w:szCs w:val="24"/>
          <w:lang w:val="en-US" w:eastAsia="ja-JP"/>
        </w:rPr>
        <w:t>II</w:t>
      </w:r>
      <w:r>
        <w:rPr>
          <w:rFonts w:eastAsia="MS Mincho"/>
          <w:b/>
          <w:i/>
          <w:szCs w:val="24"/>
          <w:lang w:eastAsia="ja-JP"/>
        </w:rPr>
        <w:t xml:space="preserve"> интенсивной фазы</w:t>
      </w:r>
    </w:p>
    <w:p w14:paraId="17A35DC5" w14:textId="77777777" w:rsidR="00533FE8" w:rsidRPr="007264C7" w:rsidRDefault="0000078E" w:rsidP="00533FE8">
      <w:pPr>
        <w:widowControl/>
        <w:jc w:val="left"/>
        <w:rPr>
          <w:rFonts w:eastAsia="MS Mincho"/>
          <w:szCs w:val="24"/>
          <w:lang w:eastAsia="ja-JP"/>
        </w:rPr>
      </w:pPr>
      <w:r w:rsidRPr="00950F44">
        <w:rPr>
          <w:rFonts w:eastAsia="MS Mincho"/>
          <w:szCs w:val="24"/>
          <w:lang w:eastAsia="ja-JP"/>
        </w:rPr>
        <w:t>#</w:t>
      </w:r>
      <w:r w:rsidR="00533FE8" w:rsidRPr="007264C7">
        <w:rPr>
          <w:rFonts w:eastAsia="MS Mincho"/>
          <w:szCs w:val="24"/>
          <w:lang w:eastAsia="ja-JP"/>
        </w:rPr>
        <w:t>Идарубицин</w:t>
      </w:r>
      <w:r w:rsidRPr="00950F44">
        <w:rPr>
          <w:rFonts w:eastAsia="MS Mincho"/>
          <w:szCs w:val="24"/>
          <w:lang w:eastAsia="ja-JP"/>
        </w:rPr>
        <w:t>**</w:t>
      </w:r>
      <w:r w:rsidR="00533FE8" w:rsidRPr="007264C7">
        <w:rPr>
          <w:rFonts w:eastAsia="MS Mincho"/>
          <w:szCs w:val="24"/>
          <w:lang w:eastAsia="ja-JP"/>
        </w:rPr>
        <w:t xml:space="preserve">                           </w:t>
      </w:r>
      <w:r w:rsidR="003B5AAA">
        <w:rPr>
          <w:rFonts w:eastAsia="MS Mincho"/>
          <w:szCs w:val="24"/>
          <w:lang w:eastAsia="ja-JP"/>
        </w:rPr>
        <w:tab/>
      </w:r>
      <w:r w:rsidR="00533FE8" w:rsidRPr="007264C7">
        <w:rPr>
          <w:rFonts w:eastAsia="MS Mincho"/>
          <w:szCs w:val="24"/>
          <w:lang w:eastAsia="ja-JP"/>
        </w:rPr>
        <w:t>9 мг/м</w:t>
      </w:r>
      <w:r w:rsidR="00533FE8" w:rsidRPr="00D72E20">
        <w:rPr>
          <w:rFonts w:eastAsia="MS Mincho"/>
          <w:szCs w:val="24"/>
          <w:vertAlign w:val="superscript"/>
          <w:lang w:eastAsia="ja-JP"/>
        </w:rPr>
        <w:t>2</w:t>
      </w:r>
      <w:r w:rsidR="00533FE8" w:rsidRPr="007264C7">
        <w:rPr>
          <w:rFonts w:eastAsia="MS Mincho"/>
          <w:szCs w:val="24"/>
          <w:lang w:eastAsia="ja-JP"/>
        </w:rPr>
        <w:t xml:space="preserve">                                       </w:t>
      </w:r>
      <w:r w:rsidR="00ED69FA">
        <w:rPr>
          <w:rFonts w:eastAsia="MS Mincho"/>
          <w:szCs w:val="24"/>
          <w:lang w:eastAsia="ja-JP"/>
        </w:rPr>
        <w:t>1–</w:t>
      </w:r>
      <w:r w:rsidR="00533FE8" w:rsidRPr="007264C7">
        <w:rPr>
          <w:rFonts w:eastAsia="MS Mincho"/>
          <w:szCs w:val="24"/>
          <w:lang w:eastAsia="ja-JP"/>
        </w:rPr>
        <w:t>3</w:t>
      </w:r>
      <w:r w:rsidR="00ED69FA">
        <w:rPr>
          <w:rFonts w:eastAsia="MS Mincho"/>
          <w:szCs w:val="24"/>
          <w:lang w:eastAsia="ja-JP"/>
        </w:rPr>
        <w:t>-й дни</w:t>
      </w:r>
    </w:p>
    <w:p w14:paraId="7150FB98" w14:textId="77777777" w:rsidR="00533FE8" w:rsidRPr="007264C7" w:rsidRDefault="00421699" w:rsidP="00533FE8">
      <w:pPr>
        <w:widowControl/>
        <w:jc w:val="left"/>
        <w:rPr>
          <w:rFonts w:eastAsia="MS Mincho"/>
          <w:szCs w:val="24"/>
          <w:lang w:eastAsia="ja-JP"/>
        </w:rPr>
      </w:pPr>
      <w:r>
        <w:rPr>
          <w:rFonts w:eastAsia="MS Mincho"/>
          <w:szCs w:val="24"/>
          <w:lang w:eastAsia="ja-JP"/>
        </w:rPr>
        <w:t>Цитарабин**</w:t>
      </w:r>
      <w:r w:rsidR="00533FE8" w:rsidRPr="007264C7">
        <w:rPr>
          <w:rFonts w:eastAsia="MS Mincho"/>
          <w:szCs w:val="24"/>
          <w:lang w:eastAsia="ja-JP"/>
        </w:rPr>
        <w:t xml:space="preserve">                             </w:t>
      </w:r>
      <w:r w:rsidR="003B5AAA">
        <w:rPr>
          <w:rFonts w:eastAsia="MS Mincho"/>
          <w:szCs w:val="24"/>
          <w:lang w:eastAsia="ja-JP"/>
        </w:rPr>
        <w:tab/>
      </w:r>
      <w:r w:rsidR="00533FE8" w:rsidRPr="007264C7">
        <w:rPr>
          <w:rFonts w:eastAsia="MS Mincho"/>
          <w:szCs w:val="24"/>
          <w:lang w:eastAsia="ja-JP"/>
        </w:rPr>
        <w:t>2 г/м</w:t>
      </w:r>
      <w:r w:rsidR="00533FE8" w:rsidRPr="00D72E20">
        <w:rPr>
          <w:rFonts w:eastAsia="MS Mincho"/>
          <w:szCs w:val="24"/>
          <w:vertAlign w:val="superscript"/>
          <w:lang w:eastAsia="ja-JP"/>
        </w:rPr>
        <w:t>2</w:t>
      </w:r>
      <w:r w:rsidR="00533FE8" w:rsidRPr="007264C7">
        <w:rPr>
          <w:rFonts w:eastAsia="MS Mincho"/>
          <w:szCs w:val="24"/>
          <w:lang w:eastAsia="ja-JP"/>
        </w:rPr>
        <w:t xml:space="preserve"> (12 ч)                                </w:t>
      </w:r>
      <w:r w:rsidR="00ED69FA">
        <w:rPr>
          <w:rFonts w:eastAsia="MS Mincho"/>
          <w:szCs w:val="24"/>
          <w:lang w:eastAsia="ja-JP"/>
        </w:rPr>
        <w:t>1–</w:t>
      </w:r>
      <w:r w:rsidR="00533FE8" w:rsidRPr="007264C7">
        <w:rPr>
          <w:rFonts w:eastAsia="MS Mincho"/>
          <w:szCs w:val="24"/>
          <w:lang w:eastAsia="ja-JP"/>
        </w:rPr>
        <w:t>4</w:t>
      </w:r>
      <w:r w:rsidR="00ED69FA">
        <w:rPr>
          <w:rFonts w:eastAsia="MS Mincho"/>
          <w:szCs w:val="24"/>
          <w:lang w:eastAsia="ja-JP"/>
        </w:rPr>
        <w:t>-й дни</w:t>
      </w:r>
    </w:p>
    <w:p w14:paraId="4AD0FCCA" w14:textId="41CDE370" w:rsidR="00533FE8" w:rsidRPr="007264C7" w:rsidRDefault="00533FE8" w:rsidP="00533FE8">
      <w:pPr>
        <w:widowControl/>
        <w:jc w:val="left"/>
        <w:rPr>
          <w:rFonts w:eastAsia="MS Mincho"/>
          <w:szCs w:val="24"/>
          <w:lang w:eastAsia="ja-JP"/>
        </w:rPr>
      </w:pPr>
      <w:r w:rsidRPr="007264C7">
        <w:rPr>
          <w:rFonts w:eastAsia="MS Mincho"/>
          <w:szCs w:val="24"/>
          <w:lang w:eastAsia="ja-JP"/>
        </w:rPr>
        <w:t>Филграстим</w:t>
      </w:r>
      <w:r w:rsidR="003B5AAA">
        <w:rPr>
          <w:rFonts w:eastAsia="MS Mincho"/>
          <w:szCs w:val="24"/>
          <w:lang w:eastAsia="ja-JP"/>
        </w:rPr>
        <w:t>**</w:t>
      </w:r>
      <w:r w:rsidRPr="007264C7">
        <w:rPr>
          <w:rFonts w:eastAsia="MS Mincho"/>
          <w:szCs w:val="24"/>
          <w:lang w:eastAsia="ja-JP"/>
        </w:rPr>
        <w:tab/>
        <w:t xml:space="preserve">          </w:t>
      </w:r>
      <w:r w:rsidRPr="007264C7">
        <w:rPr>
          <w:rFonts w:eastAsia="MS Mincho"/>
          <w:szCs w:val="24"/>
          <w:lang w:eastAsia="ja-JP"/>
        </w:rPr>
        <w:tab/>
      </w:r>
      <w:r w:rsidRPr="007264C7">
        <w:rPr>
          <w:rFonts w:eastAsia="MS Mincho"/>
          <w:szCs w:val="24"/>
          <w:lang w:eastAsia="ja-JP"/>
        </w:rPr>
        <w:tab/>
        <w:t>5 мкг/</w:t>
      </w:r>
      <w:r w:rsidR="00B65CEB">
        <w:rPr>
          <w:rFonts w:eastAsia="MS Mincho"/>
          <w:szCs w:val="24"/>
          <w:lang w:eastAsia="ja-JP"/>
        </w:rPr>
        <w:t>кг</w:t>
      </w:r>
      <w:r w:rsidRPr="007264C7">
        <w:rPr>
          <w:rFonts w:eastAsia="MS Mincho"/>
          <w:szCs w:val="24"/>
          <w:lang w:eastAsia="ja-JP"/>
        </w:rPr>
        <w:t xml:space="preserve">  </w:t>
      </w:r>
      <w:r w:rsidR="003B5AAA">
        <w:rPr>
          <w:rFonts w:eastAsia="MS Mincho"/>
          <w:szCs w:val="24"/>
          <w:lang w:eastAsia="ja-JP"/>
        </w:rPr>
        <w:t xml:space="preserve">          </w:t>
      </w:r>
      <w:r w:rsidR="00FF78E1">
        <w:rPr>
          <w:rFonts w:eastAsia="MS Mincho"/>
          <w:szCs w:val="24"/>
          <w:lang w:eastAsia="ja-JP"/>
        </w:rPr>
        <w:t>с</w:t>
      </w:r>
      <w:r w:rsidR="003B5AAA" w:rsidRPr="007264C7">
        <w:rPr>
          <w:rFonts w:eastAsia="MS Mincho"/>
          <w:szCs w:val="24"/>
          <w:lang w:eastAsia="ja-JP"/>
        </w:rPr>
        <w:t xml:space="preserve"> </w:t>
      </w:r>
      <w:r w:rsidRPr="007264C7">
        <w:rPr>
          <w:rFonts w:eastAsia="MS Mincho"/>
          <w:szCs w:val="24"/>
          <w:lang w:eastAsia="ja-JP"/>
        </w:rPr>
        <w:t>9</w:t>
      </w:r>
      <w:r w:rsidR="00ED69FA">
        <w:rPr>
          <w:rFonts w:eastAsia="MS Mincho"/>
          <w:szCs w:val="24"/>
          <w:lang w:eastAsia="ja-JP"/>
        </w:rPr>
        <w:t>-го</w:t>
      </w:r>
      <w:r w:rsidRPr="007264C7">
        <w:rPr>
          <w:rFonts w:eastAsia="MS Mincho"/>
          <w:szCs w:val="24"/>
          <w:lang w:eastAsia="ja-JP"/>
        </w:rPr>
        <w:t xml:space="preserve"> дня до восстановления</w:t>
      </w:r>
      <w:r w:rsidR="003B5AAA">
        <w:rPr>
          <w:rFonts w:eastAsia="MS Mincho"/>
          <w:szCs w:val="24"/>
          <w:lang w:eastAsia="ja-JP"/>
        </w:rPr>
        <w:t xml:space="preserve"> </w:t>
      </w:r>
      <w:r w:rsidRPr="007264C7">
        <w:rPr>
          <w:rFonts w:eastAsia="MS Mincho"/>
          <w:szCs w:val="24"/>
          <w:lang w:eastAsia="ja-JP"/>
        </w:rPr>
        <w:t>гранулоцитов</w:t>
      </w:r>
    </w:p>
    <w:p w14:paraId="4E7EB3EA" w14:textId="77777777" w:rsidR="00533FE8" w:rsidRPr="007264C7" w:rsidRDefault="00533FE8" w:rsidP="00533FE8">
      <w:pPr>
        <w:widowControl/>
        <w:jc w:val="left"/>
        <w:rPr>
          <w:rFonts w:eastAsia="MS Mincho"/>
          <w:szCs w:val="24"/>
          <w:lang w:eastAsia="ja-JP"/>
        </w:rPr>
      </w:pPr>
    </w:p>
    <w:p w14:paraId="6DC8EC60" w14:textId="77777777" w:rsidR="00533FE8" w:rsidRPr="007264C7" w:rsidRDefault="00533FE8" w:rsidP="00533FE8">
      <w:pPr>
        <w:widowControl/>
        <w:jc w:val="left"/>
        <w:rPr>
          <w:rFonts w:eastAsia="MS Mincho"/>
          <w:b/>
          <w:szCs w:val="24"/>
          <w:lang w:eastAsia="ja-JP"/>
        </w:rPr>
      </w:pPr>
      <w:r>
        <w:rPr>
          <w:rFonts w:eastAsia="MS Mincho"/>
          <w:b/>
          <w:szCs w:val="24"/>
          <w:lang w:eastAsia="ja-JP"/>
        </w:rPr>
        <w:t>Поддерживающая терапия</w:t>
      </w:r>
    </w:p>
    <w:p w14:paraId="50210CF2" w14:textId="77777777" w:rsidR="00533FE8" w:rsidRPr="007264C7" w:rsidRDefault="00533FE8" w:rsidP="003B5AAA">
      <w:pPr>
        <w:widowControl/>
        <w:jc w:val="left"/>
        <w:rPr>
          <w:rFonts w:eastAsia="MS Mincho"/>
          <w:szCs w:val="24"/>
          <w:lang w:eastAsia="ja-JP"/>
        </w:rPr>
      </w:pPr>
      <w:r>
        <w:rPr>
          <w:rFonts w:eastAsia="MS Mincho"/>
          <w:szCs w:val="24"/>
          <w:lang w:eastAsia="ja-JP"/>
        </w:rPr>
        <w:t>Предниз</w:t>
      </w:r>
      <w:r w:rsidRPr="007264C7">
        <w:rPr>
          <w:rFonts w:eastAsia="MS Mincho"/>
          <w:szCs w:val="24"/>
          <w:lang w:eastAsia="ja-JP"/>
        </w:rPr>
        <w:t>олон</w:t>
      </w:r>
      <w:r w:rsidR="003B5AAA">
        <w:rPr>
          <w:rFonts w:eastAsia="MS Mincho"/>
          <w:szCs w:val="24"/>
          <w:lang w:eastAsia="ja-JP"/>
        </w:rPr>
        <w:t>**</w:t>
      </w:r>
      <w:r w:rsidRPr="007264C7">
        <w:rPr>
          <w:rFonts w:eastAsia="MS Mincho"/>
          <w:szCs w:val="24"/>
          <w:lang w:eastAsia="ja-JP"/>
        </w:rPr>
        <w:t xml:space="preserve">                     </w:t>
      </w:r>
      <w:r w:rsidR="003B5AAA">
        <w:rPr>
          <w:rFonts w:eastAsia="MS Mincho"/>
          <w:szCs w:val="24"/>
          <w:lang w:eastAsia="ja-JP"/>
        </w:rPr>
        <w:tab/>
      </w:r>
      <w:r w:rsidR="003B5AAA">
        <w:rPr>
          <w:rFonts w:eastAsia="MS Mincho"/>
          <w:szCs w:val="24"/>
          <w:lang w:eastAsia="ja-JP"/>
        </w:rPr>
        <w:tab/>
      </w:r>
      <w:r w:rsidRPr="007264C7">
        <w:rPr>
          <w:rFonts w:eastAsia="MS Mincho"/>
          <w:szCs w:val="24"/>
          <w:lang w:eastAsia="ja-JP"/>
        </w:rPr>
        <w:t>40 мг/м</w:t>
      </w:r>
      <w:r w:rsidRPr="00D72E20">
        <w:rPr>
          <w:rFonts w:eastAsia="MS Mincho"/>
          <w:szCs w:val="24"/>
          <w:vertAlign w:val="superscript"/>
          <w:lang w:eastAsia="ja-JP"/>
        </w:rPr>
        <w:t>2</w:t>
      </w:r>
      <w:r w:rsidRPr="007264C7">
        <w:rPr>
          <w:rFonts w:eastAsia="MS Mincho"/>
          <w:szCs w:val="24"/>
          <w:lang w:eastAsia="ja-JP"/>
        </w:rPr>
        <w:t xml:space="preserve"> </w:t>
      </w:r>
      <w:r w:rsidR="003B5AAA">
        <w:rPr>
          <w:rFonts w:eastAsia="MS Mincho"/>
          <w:szCs w:val="24"/>
          <w:lang w:eastAsia="ja-JP"/>
        </w:rPr>
        <w:t xml:space="preserve">     </w:t>
      </w:r>
      <w:r w:rsidR="00ED69FA">
        <w:rPr>
          <w:rFonts w:eastAsia="MS Mincho"/>
          <w:szCs w:val="24"/>
          <w:lang w:eastAsia="ja-JP"/>
        </w:rPr>
        <w:t xml:space="preserve">   </w:t>
      </w:r>
      <w:r w:rsidR="003B5AAA">
        <w:rPr>
          <w:rFonts w:eastAsia="MS Mincho"/>
          <w:szCs w:val="24"/>
          <w:lang w:eastAsia="ja-JP"/>
        </w:rPr>
        <w:t xml:space="preserve"> </w:t>
      </w:r>
      <w:r w:rsidR="003B5AAA" w:rsidRPr="007264C7">
        <w:rPr>
          <w:rFonts w:eastAsia="MS Mincho"/>
          <w:szCs w:val="24"/>
          <w:lang w:eastAsia="ja-JP"/>
        </w:rPr>
        <w:t>1</w:t>
      </w:r>
      <w:r w:rsidR="00ED69FA">
        <w:rPr>
          <w:rFonts w:eastAsia="MS Mincho"/>
          <w:szCs w:val="24"/>
          <w:lang w:eastAsia="ja-JP"/>
        </w:rPr>
        <w:t>–</w:t>
      </w:r>
      <w:r w:rsidRPr="007264C7">
        <w:rPr>
          <w:rFonts w:eastAsia="MS Mincho"/>
          <w:szCs w:val="24"/>
          <w:lang w:eastAsia="ja-JP"/>
        </w:rPr>
        <w:t>7</w:t>
      </w:r>
      <w:r w:rsidR="00ED69FA">
        <w:rPr>
          <w:rFonts w:eastAsia="MS Mincho"/>
          <w:szCs w:val="24"/>
          <w:lang w:eastAsia="ja-JP"/>
        </w:rPr>
        <w:t>-й дни каждый</w:t>
      </w:r>
      <w:r w:rsidRPr="007264C7">
        <w:rPr>
          <w:rFonts w:eastAsia="MS Mincho"/>
          <w:szCs w:val="24"/>
          <w:lang w:eastAsia="ja-JP"/>
        </w:rPr>
        <w:t xml:space="preserve"> месяц</w:t>
      </w:r>
      <w:r w:rsidR="003B5AAA">
        <w:rPr>
          <w:rFonts w:eastAsia="MS Mincho"/>
          <w:szCs w:val="24"/>
          <w:lang w:eastAsia="ja-JP"/>
        </w:rPr>
        <w:t xml:space="preserve"> </w:t>
      </w:r>
      <w:r w:rsidRPr="007264C7">
        <w:rPr>
          <w:rFonts w:eastAsia="MS Mincho"/>
          <w:szCs w:val="24"/>
          <w:lang w:eastAsia="ja-JP"/>
        </w:rPr>
        <w:t>в течени</w:t>
      </w:r>
      <w:r w:rsidR="00D72E20">
        <w:rPr>
          <w:rFonts w:eastAsia="MS Mincho"/>
          <w:szCs w:val="24"/>
          <w:lang w:eastAsia="ja-JP"/>
        </w:rPr>
        <w:t>е</w:t>
      </w:r>
      <w:r w:rsidR="00ED69FA">
        <w:rPr>
          <w:rFonts w:eastAsia="MS Mincho"/>
          <w:szCs w:val="24"/>
          <w:lang w:eastAsia="ja-JP"/>
        </w:rPr>
        <w:t xml:space="preserve"> 12 мес</w:t>
      </w:r>
    </w:p>
    <w:p w14:paraId="1EFA7350" w14:textId="77777777" w:rsidR="00533FE8" w:rsidRPr="007264C7" w:rsidRDefault="00533FE8" w:rsidP="00533FE8">
      <w:pPr>
        <w:widowControl/>
        <w:jc w:val="left"/>
        <w:rPr>
          <w:rFonts w:eastAsia="MS Mincho"/>
          <w:szCs w:val="24"/>
          <w:lang w:eastAsia="ja-JP"/>
        </w:rPr>
      </w:pPr>
      <w:r w:rsidRPr="007264C7">
        <w:rPr>
          <w:rFonts w:eastAsia="MS Mincho"/>
          <w:szCs w:val="24"/>
          <w:lang w:eastAsia="ja-JP"/>
        </w:rPr>
        <w:t>Винкристин</w:t>
      </w:r>
      <w:r w:rsidR="00457E7B">
        <w:rPr>
          <w:rFonts w:eastAsia="MS Mincho"/>
          <w:szCs w:val="24"/>
          <w:lang w:eastAsia="ja-JP"/>
        </w:rPr>
        <w:t>**</w:t>
      </w:r>
      <w:r w:rsidRPr="007264C7">
        <w:rPr>
          <w:rFonts w:eastAsia="MS Mincho"/>
          <w:szCs w:val="24"/>
          <w:lang w:eastAsia="ja-JP"/>
        </w:rPr>
        <w:t xml:space="preserve">                           </w:t>
      </w:r>
      <w:r w:rsidR="003B5AAA">
        <w:rPr>
          <w:rFonts w:eastAsia="MS Mincho"/>
          <w:szCs w:val="24"/>
          <w:lang w:eastAsia="ja-JP"/>
        </w:rPr>
        <w:tab/>
      </w:r>
      <w:r w:rsidRPr="007264C7">
        <w:rPr>
          <w:rFonts w:eastAsia="MS Mincho"/>
          <w:szCs w:val="24"/>
          <w:lang w:eastAsia="ja-JP"/>
        </w:rPr>
        <w:t>2 мг</w:t>
      </w:r>
      <w:r w:rsidR="003B5AAA">
        <w:rPr>
          <w:rFonts w:eastAsia="MS Mincho"/>
          <w:szCs w:val="24"/>
          <w:lang w:eastAsia="ja-JP"/>
        </w:rPr>
        <w:t xml:space="preserve"> </w:t>
      </w:r>
      <w:r w:rsidR="00ED69FA">
        <w:rPr>
          <w:rFonts w:eastAsia="MS Mincho"/>
          <w:szCs w:val="24"/>
          <w:lang w:eastAsia="ja-JP"/>
        </w:rPr>
        <w:t xml:space="preserve">            </w:t>
      </w:r>
      <w:r w:rsidR="001C24EC" w:rsidRPr="007264C7">
        <w:rPr>
          <w:rFonts w:eastAsia="MS Mincho"/>
          <w:szCs w:val="24"/>
          <w:lang w:eastAsia="ja-JP"/>
        </w:rPr>
        <w:t xml:space="preserve"> </w:t>
      </w:r>
      <w:r w:rsidR="00ED69FA">
        <w:rPr>
          <w:rFonts w:eastAsia="MS Mincho"/>
          <w:szCs w:val="24"/>
          <w:lang w:eastAsia="ja-JP"/>
        </w:rPr>
        <w:t xml:space="preserve">   </w:t>
      </w:r>
      <w:r w:rsidRPr="007264C7">
        <w:rPr>
          <w:rFonts w:eastAsia="MS Mincho"/>
          <w:szCs w:val="24"/>
          <w:lang w:eastAsia="ja-JP"/>
        </w:rPr>
        <w:t>1</w:t>
      </w:r>
      <w:r w:rsidR="00ED69FA">
        <w:rPr>
          <w:rFonts w:eastAsia="MS Mincho"/>
          <w:szCs w:val="24"/>
          <w:lang w:eastAsia="ja-JP"/>
        </w:rPr>
        <w:t>-й день</w:t>
      </w:r>
      <w:r w:rsidRPr="007264C7">
        <w:rPr>
          <w:rFonts w:eastAsia="MS Mincho"/>
          <w:szCs w:val="24"/>
          <w:lang w:eastAsia="ja-JP"/>
        </w:rPr>
        <w:t xml:space="preserve"> каждый месяц в течени</w:t>
      </w:r>
      <w:r w:rsidR="00D72E20">
        <w:rPr>
          <w:rFonts w:eastAsia="MS Mincho"/>
          <w:szCs w:val="24"/>
          <w:lang w:eastAsia="ja-JP"/>
        </w:rPr>
        <w:t>е</w:t>
      </w:r>
      <w:r w:rsidR="00ED69FA">
        <w:rPr>
          <w:rFonts w:eastAsia="MS Mincho"/>
          <w:szCs w:val="24"/>
          <w:lang w:eastAsia="ja-JP"/>
        </w:rPr>
        <w:t xml:space="preserve"> 12 мес</w:t>
      </w:r>
    </w:p>
    <w:p w14:paraId="09267DE9" w14:textId="77777777" w:rsidR="00533FE8" w:rsidRPr="007264C7" w:rsidRDefault="00533FE8" w:rsidP="00533FE8">
      <w:pPr>
        <w:widowControl/>
        <w:jc w:val="left"/>
        <w:rPr>
          <w:rFonts w:eastAsia="MS Mincho"/>
          <w:szCs w:val="24"/>
          <w:lang w:eastAsia="ja-JP"/>
        </w:rPr>
      </w:pPr>
      <w:r w:rsidRPr="007264C7">
        <w:rPr>
          <w:rFonts w:eastAsia="MS Mincho"/>
          <w:szCs w:val="24"/>
          <w:lang w:eastAsia="ja-JP"/>
        </w:rPr>
        <w:t>Метотрексат</w:t>
      </w:r>
      <w:r w:rsidR="00392AAF">
        <w:rPr>
          <w:rFonts w:eastAsia="MS Mincho"/>
          <w:szCs w:val="24"/>
          <w:lang w:eastAsia="ja-JP"/>
        </w:rPr>
        <w:t>**</w:t>
      </w:r>
      <w:r w:rsidRPr="007264C7">
        <w:rPr>
          <w:rFonts w:eastAsia="MS Mincho"/>
          <w:szCs w:val="24"/>
          <w:lang w:eastAsia="ja-JP"/>
        </w:rPr>
        <w:t xml:space="preserve">                         </w:t>
      </w:r>
      <w:r w:rsidR="001C24EC">
        <w:rPr>
          <w:rFonts w:eastAsia="MS Mincho"/>
          <w:szCs w:val="24"/>
          <w:lang w:eastAsia="ja-JP"/>
        </w:rPr>
        <w:tab/>
      </w:r>
      <w:r w:rsidRPr="007264C7">
        <w:rPr>
          <w:rFonts w:eastAsia="MS Mincho"/>
          <w:szCs w:val="24"/>
          <w:lang w:eastAsia="ja-JP"/>
        </w:rPr>
        <w:t>25 мг/м</w:t>
      </w:r>
      <w:r w:rsidRPr="00D72E20">
        <w:rPr>
          <w:rFonts w:eastAsia="MS Mincho"/>
          <w:szCs w:val="24"/>
          <w:vertAlign w:val="superscript"/>
          <w:lang w:eastAsia="ja-JP"/>
        </w:rPr>
        <w:t>2</w:t>
      </w:r>
      <w:r w:rsidRPr="007264C7">
        <w:rPr>
          <w:rFonts w:eastAsia="MS Mincho"/>
          <w:szCs w:val="24"/>
          <w:lang w:eastAsia="ja-JP"/>
        </w:rPr>
        <w:t>/нед внутрь</w:t>
      </w:r>
      <w:r w:rsidR="001C24EC">
        <w:rPr>
          <w:rFonts w:eastAsia="MS Mincho"/>
          <w:szCs w:val="24"/>
          <w:lang w:eastAsia="ja-JP"/>
        </w:rPr>
        <w:tab/>
      </w:r>
      <w:r w:rsidR="001C24EC">
        <w:rPr>
          <w:rFonts w:eastAsia="MS Mincho"/>
          <w:szCs w:val="24"/>
          <w:lang w:eastAsia="ja-JP"/>
        </w:rPr>
        <w:tab/>
      </w:r>
      <w:r w:rsidR="001C24EC" w:rsidRPr="007264C7">
        <w:rPr>
          <w:rFonts w:eastAsia="MS Mincho"/>
          <w:szCs w:val="24"/>
          <w:lang w:eastAsia="ja-JP"/>
        </w:rPr>
        <w:t xml:space="preserve">в </w:t>
      </w:r>
      <w:r w:rsidRPr="007264C7">
        <w:rPr>
          <w:rFonts w:eastAsia="MS Mincho"/>
          <w:szCs w:val="24"/>
          <w:lang w:eastAsia="ja-JP"/>
        </w:rPr>
        <w:t>течени</w:t>
      </w:r>
      <w:r w:rsidR="00D72E20">
        <w:rPr>
          <w:rFonts w:eastAsia="MS Mincho"/>
          <w:szCs w:val="24"/>
          <w:lang w:eastAsia="ja-JP"/>
        </w:rPr>
        <w:t>е</w:t>
      </w:r>
      <w:r w:rsidR="00ED69FA">
        <w:rPr>
          <w:rFonts w:eastAsia="MS Mincho"/>
          <w:szCs w:val="24"/>
          <w:lang w:eastAsia="ja-JP"/>
        </w:rPr>
        <w:t xml:space="preserve"> 24 мес</w:t>
      </w:r>
    </w:p>
    <w:p w14:paraId="24B90FD0" w14:textId="77777777" w:rsidR="00533FE8" w:rsidRPr="007264C7" w:rsidRDefault="00533FE8" w:rsidP="00533FE8">
      <w:pPr>
        <w:widowControl/>
        <w:jc w:val="left"/>
        <w:rPr>
          <w:rFonts w:eastAsia="MS Mincho"/>
          <w:szCs w:val="24"/>
          <w:lang w:eastAsia="ja-JP"/>
        </w:rPr>
      </w:pPr>
      <w:r>
        <w:rPr>
          <w:rFonts w:eastAsia="MS Mincho"/>
          <w:szCs w:val="24"/>
          <w:lang w:eastAsia="ja-JP"/>
        </w:rPr>
        <w:t>М</w:t>
      </w:r>
      <w:r w:rsidRPr="007264C7">
        <w:rPr>
          <w:rFonts w:eastAsia="MS Mincho"/>
          <w:szCs w:val="24"/>
          <w:lang w:eastAsia="ja-JP"/>
        </w:rPr>
        <w:t>еркаптопурин</w:t>
      </w:r>
      <w:r w:rsidR="00714B4A">
        <w:rPr>
          <w:rFonts w:eastAsia="MS Mincho"/>
          <w:szCs w:val="24"/>
          <w:lang w:eastAsia="ja-JP"/>
        </w:rPr>
        <w:t>**</w:t>
      </w:r>
      <w:r w:rsidRPr="007264C7">
        <w:rPr>
          <w:rFonts w:eastAsia="MS Mincho"/>
          <w:szCs w:val="24"/>
          <w:lang w:eastAsia="ja-JP"/>
        </w:rPr>
        <w:t xml:space="preserve">                  </w:t>
      </w:r>
      <w:r w:rsidR="001C24EC">
        <w:rPr>
          <w:rFonts w:eastAsia="MS Mincho"/>
          <w:szCs w:val="24"/>
          <w:lang w:eastAsia="ja-JP"/>
        </w:rPr>
        <w:tab/>
      </w:r>
      <w:r w:rsidRPr="007264C7">
        <w:rPr>
          <w:rFonts w:eastAsia="MS Mincho"/>
          <w:szCs w:val="24"/>
          <w:lang w:eastAsia="ja-JP"/>
        </w:rPr>
        <w:t>60 мг/м</w:t>
      </w:r>
      <w:r w:rsidRPr="00D72E20">
        <w:rPr>
          <w:rFonts w:eastAsia="MS Mincho"/>
          <w:szCs w:val="24"/>
          <w:vertAlign w:val="superscript"/>
          <w:lang w:eastAsia="ja-JP"/>
        </w:rPr>
        <w:t>2</w:t>
      </w:r>
      <w:r w:rsidRPr="007264C7">
        <w:rPr>
          <w:rFonts w:eastAsia="MS Mincho"/>
          <w:szCs w:val="24"/>
          <w:lang w:eastAsia="ja-JP"/>
        </w:rPr>
        <w:t xml:space="preserve">/день  </w:t>
      </w:r>
      <w:r w:rsidR="001C24EC">
        <w:rPr>
          <w:rFonts w:eastAsia="MS Mincho"/>
          <w:szCs w:val="24"/>
          <w:lang w:eastAsia="ja-JP"/>
        </w:rPr>
        <w:tab/>
      </w:r>
      <w:r w:rsidR="001C24EC">
        <w:rPr>
          <w:rFonts w:eastAsia="MS Mincho"/>
          <w:szCs w:val="24"/>
          <w:lang w:eastAsia="ja-JP"/>
        </w:rPr>
        <w:tab/>
      </w:r>
      <w:r w:rsidR="001C24EC" w:rsidRPr="007264C7">
        <w:rPr>
          <w:rFonts w:eastAsia="MS Mincho"/>
          <w:szCs w:val="24"/>
          <w:lang w:eastAsia="ja-JP"/>
        </w:rPr>
        <w:t xml:space="preserve">в </w:t>
      </w:r>
      <w:r w:rsidRPr="007264C7">
        <w:rPr>
          <w:rFonts w:eastAsia="MS Mincho"/>
          <w:szCs w:val="24"/>
          <w:lang w:eastAsia="ja-JP"/>
        </w:rPr>
        <w:t>течени</w:t>
      </w:r>
      <w:r w:rsidR="00D72E20">
        <w:rPr>
          <w:rFonts w:eastAsia="MS Mincho"/>
          <w:szCs w:val="24"/>
          <w:lang w:eastAsia="ja-JP"/>
        </w:rPr>
        <w:t>е</w:t>
      </w:r>
      <w:r w:rsidR="00ED69FA">
        <w:rPr>
          <w:rFonts w:eastAsia="MS Mincho"/>
          <w:szCs w:val="24"/>
          <w:lang w:eastAsia="ja-JP"/>
        </w:rPr>
        <w:t xml:space="preserve"> 24 мес</w:t>
      </w:r>
    </w:p>
    <w:p w14:paraId="28660288" w14:textId="77777777" w:rsidR="001C24EC" w:rsidRDefault="001C24EC" w:rsidP="00533FE8">
      <w:pPr>
        <w:widowControl/>
        <w:jc w:val="left"/>
        <w:rPr>
          <w:rFonts w:eastAsia="MS Mincho"/>
          <w:szCs w:val="24"/>
          <w:lang w:eastAsia="ja-JP"/>
        </w:rPr>
      </w:pPr>
    </w:p>
    <w:p w14:paraId="6C7BEEB9" w14:textId="77777777" w:rsidR="00533FE8" w:rsidRPr="001B7836" w:rsidRDefault="00533FE8" w:rsidP="00533FE8">
      <w:pPr>
        <w:widowControl/>
        <w:jc w:val="left"/>
        <w:rPr>
          <w:rFonts w:eastAsia="MS Mincho"/>
          <w:b/>
          <w:szCs w:val="24"/>
          <w:lang w:eastAsia="ja-JP"/>
        </w:rPr>
      </w:pPr>
      <w:r w:rsidRPr="001B7836">
        <w:rPr>
          <w:rFonts w:eastAsia="MS Mincho"/>
          <w:b/>
          <w:szCs w:val="24"/>
          <w:lang w:eastAsia="ja-JP"/>
        </w:rPr>
        <w:t>ЦНС</w:t>
      </w:r>
      <w:r w:rsidR="00C20F9A" w:rsidRPr="001B7836">
        <w:rPr>
          <w:rFonts w:eastAsia="MS Mincho"/>
          <w:b/>
          <w:szCs w:val="24"/>
          <w:lang w:eastAsia="ja-JP"/>
        </w:rPr>
        <w:t>:</w:t>
      </w:r>
      <w:r w:rsidRPr="001B7836">
        <w:rPr>
          <w:rFonts w:eastAsia="MS Mincho"/>
          <w:b/>
          <w:szCs w:val="24"/>
          <w:lang w:eastAsia="ja-JP"/>
        </w:rPr>
        <w:t xml:space="preserve"> профилактика/лечение</w:t>
      </w:r>
    </w:p>
    <w:p w14:paraId="69822ECF" w14:textId="77777777" w:rsidR="00533FE8" w:rsidRPr="00E53122" w:rsidRDefault="00533FE8" w:rsidP="00533FE8">
      <w:pPr>
        <w:widowControl/>
        <w:jc w:val="left"/>
        <w:rPr>
          <w:rFonts w:eastAsia="MS Mincho"/>
          <w:b/>
          <w:i/>
          <w:szCs w:val="24"/>
          <w:lang w:eastAsia="ja-JP"/>
        </w:rPr>
      </w:pPr>
      <w:r>
        <w:rPr>
          <w:rFonts w:eastAsia="MS Mincho"/>
          <w:b/>
          <w:i/>
          <w:szCs w:val="24"/>
          <w:lang w:eastAsia="ja-JP"/>
        </w:rPr>
        <w:t>Профилактика</w:t>
      </w:r>
    </w:p>
    <w:p w14:paraId="424AA1ED" w14:textId="77777777" w:rsidR="00533FE8" w:rsidRPr="007264C7" w:rsidRDefault="00720E5F" w:rsidP="00533FE8">
      <w:pPr>
        <w:widowControl/>
        <w:jc w:val="left"/>
        <w:rPr>
          <w:rFonts w:eastAsia="MS Mincho"/>
          <w:szCs w:val="24"/>
          <w:lang w:eastAsia="ja-JP"/>
        </w:rPr>
      </w:pPr>
      <w:r>
        <w:rPr>
          <w:noProof/>
          <w:szCs w:val="24"/>
        </w:rPr>
        <mc:AlternateContent>
          <mc:Choice Requires="wps">
            <w:drawing>
              <wp:anchor distT="0" distB="0" distL="114300" distR="114300" simplePos="0" relativeHeight="251675136" behindDoc="0" locked="0" layoutInCell="1" allowOverlap="1" wp14:anchorId="3F9ED1B6" wp14:editId="4AE00CCE">
                <wp:simplePos x="0" y="0"/>
                <wp:positionH relativeFrom="column">
                  <wp:posOffset>2576195</wp:posOffset>
                </wp:positionH>
                <wp:positionV relativeFrom="paragraph">
                  <wp:posOffset>29845</wp:posOffset>
                </wp:positionV>
                <wp:extent cx="90805" cy="711835"/>
                <wp:effectExtent l="0" t="0" r="0" b="0"/>
                <wp:wrapNone/>
                <wp:docPr id="37" name="Правая фигурная скобка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711835"/>
                        </a:xfrm>
                        <a:prstGeom prst="rightBrace">
                          <a:avLst>
                            <a:gd name="adj1" fmla="val 39977"/>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137642" id="Правая фигурная скобка 8" o:spid="_x0000_s1026" type="#_x0000_t88" style="position:absolute;margin-left:202.85pt;margin-top:2.35pt;width:7.15pt;height:56.0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" adj="1102"/>
            </w:pict>
          </mc:Fallback>
        </mc:AlternateContent>
      </w:r>
      <w:r w:rsidR="00533FE8" w:rsidRPr="007264C7">
        <w:rPr>
          <w:rFonts w:eastAsia="MS Mincho"/>
          <w:szCs w:val="24"/>
          <w:lang w:eastAsia="ja-JP"/>
        </w:rPr>
        <w:t>Метотрексат</w:t>
      </w:r>
      <w:r w:rsidR="00392AAF">
        <w:rPr>
          <w:rFonts w:eastAsia="MS Mincho"/>
          <w:szCs w:val="24"/>
          <w:lang w:eastAsia="ja-JP"/>
        </w:rPr>
        <w:t>**</w:t>
      </w:r>
      <w:r w:rsidR="00533FE8" w:rsidRPr="007264C7">
        <w:rPr>
          <w:rFonts w:eastAsia="MS Mincho"/>
          <w:szCs w:val="24"/>
          <w:lang w:eastAsia="ja-JP"/>
        </w:rPr>
        <w:t xml:space="preserve">                       15 мг       </w:t>
      </w:r>
      <w:r w:rsidR="001C24EC">
        <w:rPr>
          <w:rFonts w:eastAsia="MS Mincho"/>
          <w:szCs w:val="24"/>
          <w:lang w:eastAsia="ja-JP"/>
        </w:rPr>
        <w:tab/>
      </w:r>
      <w:r w:rsidR="001C24EC">
        <w:rPr>
          <w:rFonts w:eastAsia="MS Mincho"/>
          <w:szCs w:val="24"/>
          <w:lang w:eastAsia="ja-JP"/>
        </w:rPr>
        <w:tab/>
      </w:r>
      <w:r w:rsidR="001C24EC">
        <w:rPr>
          <w:rFonts w:eastAsia="MS Mincho"/>
          <w:szCs w:val="24"/>
          <w:lang w:eastAsia="ja-JP"/>
        </w:rPr>
        <w:tab/>
      </w:r>
      <w:r w:rsidR="001C24EC">
        <w:rPr>
          <w:rFonts w:eastAsia="MS Mincho"/>
          <w:szCs w:val="24"/>
          <w:lang w:eastAsia="ja-JP"/>
        </w:rPr>
        <w:tab/>
      </w:r>
      <w:r w:rsidR="00533FE8" w:rsidRPr="007264C7">
        <w:rPr>
          <w:rFonts w:eastAsia="MS Mincho"/>
          <w:szCs w:val="24"/>
          <w:lang w:eastAsia="ja-JP"/>
        </w:rPr>
        <w:t>1</w:t>
      </w:r>
      <w:r w:rsidR="001B7836">
        <w:rPr>
          <w:rFonts w:eastAsia="MS Mincho"/>
          <w:szCs w:val="24"/>
          <w:lang w:eastAsia="ja-JP"/>
        </w:rPr>
        <w:t xml:space="preserve">-й и </w:t>
      </w:r>
      <w:r w:rsidR="00533FE8" w:rsidRPr="007264C7">
        <w:rPr>
          <w:rFonts w:eastAsia="MS Mincho"/>
          <w:szCs w:val="24"/>
          <w:lang w:eastAsia="ja-JP"/>
        </w:rPr>
        <w:t>8</w:t>
      </w:r>
      <w:r w:rsidR="001B7836">
        <w:rPr>
          <w:rFonts w:eastAsia="MS Mincho"/>
          <w:szCs w:val="24"/>
          <w:lang w:eastAsia="ja-JP"/>
        </w:rPr>
        <w:t>-й дни</w:t>
      </w:r>
      <w:r w:rsidR="00533FE8" w:rsidRPr="007264C7">
        <w:rPr>
          <w:rFonts w:eastAsia="MS Mincho"/>
          <w:szCs w:val="24"/>
          <w:lang w:eastAsia="ja-JP"/>
        </w:rPr>
        <w:t xml:space="preserve"> индукции;</w:t>
      </w:r>
    </w:p>
    <w:p w14:paraId="4432DC10" w14:textId="77777777" w:rsidR="00533FE8" w:rsidRPr="007264C7" w:rsidRDefault="00421699" w:rsidP="00533FE8">
      <w:pPr>
        <w:widowControl/>
        <w:jc w:val="left"/>
        <w:rPr>
          <w:rFonts w:eastAsia="MS Mincho"/>
          <w:szCs w:val="24"/>
          <w:lang w:eastAsia="ja-JP"/>
        </w:rPr>
      </w:pPr>
      <w:r>
        <w:rPr>
          <w:rFonts w:eastAsia="MS Mincho"/>
          <w:szCs w:val="24"/>
          <w:lang w:eastAsia="ja-JP"/>
        </w:rPr>
        <w:t>Цитарабин**</w:t>
      </w:r>
      <w:r w:rsidR="00982DD0">
        <w:rPr>
          <w:rFonts w:eastAsia="MS Mincho"/>
          <w:szCs w:val="24"/>
          <w:lang w:eastAsia="ja-JP"/>
        </w:rPr>
        <w:t xml:space="preserve">                          3</w:t>
      </w:r>
      <w:r w:rsidR="00533FE8" w:rsidRPr="007264C7">
        <w:rPr>
          <w:rFonts w:eastAsia="MS Mincho"/>
          <w:szCs w:val="24"/>
          <w:lang w:eastAsia="ja-JP"/>
        </w:rPr>
        <w:t xml:space="preserve">0 </w:t>
      </w:r>
      <w:r w:rsidR="001C24EC">
        <w:rPr>
          <w:rFonts w:eastAsia="MS Mincho"/>
          <w:szCs w:val="24"/>
          <w:lang w:eastAsia="ja-JP"/>
        </w:rPr>
        <w:t xml:space="preserve">мг </w:t>
      </w:r>
      <w:r w:rsidR="001C24EC">
        <w:rPr>
          <w:rFonts w:eastAsia="MS Mincho"/>
          <w:szCs w:val="24"/>
          <w:lang w:eastAsia="ja-JP"/>
        </w:rPr>
        <w:tab/>
      </w:r>
      <w:r w:rsidR="001C24EC">
        <w:rPr>
          <w:rFonts w:eastAsia="MS Mincho"/>
          <w:szCs w:val="24"/>
          <w:lang w:eastAsia="ja-JP"/>
        </w:rPr>
        <w:tab/>
      </w:r>
      <w:r w:rsidR="00533FE8" w:rsidRPr="007264C7">
        <w:rPr>
          <w:rFonts w:eastAsia="MS Mincho"/>
          <w:szCs w:val="24"/>
          <w:lang w:eastAsia="ja-JP"/>
        </w:rPr>
        <w:t>интратекально</w:t>
      </w:r>
      <w:r w:rsidR="001C24EC">
        <w:rPr>
          <w:rFonts w:eastAsia="MS Mincho"/>
          <w:szCs w:val="24"/>
          <w:lang w:eastAsia="ja-JP"/>
        </w:rPr>
        <w:tab/>
      </w:r>
      <w:r w:rsidR="00533FE8" w:rsidRPr="007264C7">
        <w:rPr>
          <w:rFonts w:eastAsia="MS Mincho"/>
          <w:szCs w:val="24"/>
          <w:lang w:eastAsia="ja-JP"/>
        </w:rPr>
        <w:t>29</w:t>
      </w:r>
      <w:r w:rsidR="001B7836">
        <w:rPr>
          <w:rFonts w:eastAsia="MS Mincho"/>
          <w:szCs w:val="24"/>
          <w:lang w:eastAsia="ja-JP"/>
        </w:rPr>
        <w:t>-й день</w:t>
      </w:r>
      <w:r w:rsidR="00533FE8" w:rsidRPr="007264C7">
        <w:rPr>
          <w:rFonts w:eastAsia="MS Mincho"/>
          <w:szCs w:val="24"/>
          <w:lang w:eastAsia="ja-JP"/>
        </w:rPr>
        <w:t xml:space="preserve"> каждого блока </w:t>
      </w:r>
    </w:p>
    <w:p w14:paraId="6E3118EB" w14:textId="77777777" w:rsidR="00533FE8" w:rsidRPr="007264C7" w:rsidRDefault="00533FE8" w:rsidP="00533FE8">
      <w:pPr>
        <w:widowControl/>
        <w:jc w:val="left"/>
        <w:rPr>
          <w:rFonts w:eastAsia="MS Mincho"/>
          <w:szCs w:val="24"/>
          <w:lang w:eastAsia="ja-JP"/>
        </w:rPr>
      </w:pPr>
      <w:r w:rsidRPr="007264C7">
        <w:rPr>
          <w:rFonts w:eastAsia="MS Mincho"/>
          <w:szCs w:val="24"/>
          <w:lang w:eastAsia="ja-JP"/>
        </w:rPr>
        <w:t>Метил</w:t>
      </w:r>
      <w:r>
        <w:rPr>
          <w:rFonts w:eastAsia="MS Mincho"/>
          <w:szCs w:val="24"/>
          <w:lang w:eastAsia="ja-JP"/>
        </w:rPr>
        <w:t>преднизолон</w:t>
      </w:r>
      <w:r w:rsidR="001C24EC">
        <w:rPr>
          <w:rFonts w:eastAsia="MS Mincho"/>
          <w:szCs w:val="24"/>
          <w:lang w:eastAsia="ja-JP"/>
        </w:rPr>
        <w:t>**</w:t>
      </w:r>
      <w:r w:rsidRPr="007264C7">
        <w:rPr>
          <w:rFonts w:eastAsia="MS Mincho"/>
          <w:szCs w:val="24"/>
          <w:lang w:eastAsia="ja-JP"/>
        </w:rPr>
        <w:t xml:space="preserve">          </w:t>
      </w:r>
      <w:r w:rsidR="001C24EC">
        <w:rPr>
          <w:rFonts w:eastAsia="MS Mincho"/>
          <w:szCs w:val="24"/>
          <w:lang w:eastAsia="ja-JP"/>
        </w:rPr>
        <w:tab/>
      </w:r>
      <w:r w:rsidRPr="007264C7">
        <w:rPr>
          <w:rFonts w:eastAsia="MS Mincho"/>
          <w:szCs w:val="24"/>
          <w:lang w:eastAsia="ja-JP"/>
        </w:rPr>
        <w:t xml:space="preserve">40 мг                                               </w:t>
      </w:r>
      <w:r w:rsidR="001C24EC">
        <w:rPr>
          <w:rFonts w:eastAsia="MS Mincho"/>
          <w:szCs w:val="24"/>
          <w:lang w:eastAsia="ja-JP"/>
        </w:rPr>
        <w:tab/>
        <w:t>к</w:t>
      </w:r>
      <w:r w:rsidR="001C24EC" w:rsidRPr="007264C7">
        <w:rPr>
          <w:rFonts w:eastAsia="MS Mincho"/>
          <w:szCs w:val="24"/>
          <w:lang w:eastAsia="ja-JP"/>
        </w:rPr>
        <w:t>онсолидации;</w:t>
      </w:r>
    </w:p>
    <w:p w14:paraId="6C95D7AB" w14:textId="77777777" w:rsidR="00533FE8" w:rsidRPr="007264C7" w:rsidRDefault="00533FE8" w:rsidP="00533FE8">
      <w:pPr>
        <w:widowControl/>
        <w:jc w:val="left"/>
        <w:rPr>
          <w:rFonts w:eastAsia="MS Mincho"/>
          <w:szCs w:val="24"/>
          <w:lang w:eastAsia="ja-JP"/>
        </w:rPr>
      </w:pPr>
      <w:r w:rsidRPr="007264C7">
        <w:rPr>
          <w:rFonts w:eastAsia="MS Mincho"/>
          <w:szCs w:val="24"/>
          <w:lang w:eastAsia="ja-JP"/>
        </w:rPr>
        <w:t xml:space="preserve">                                                                                                    </w:t>
      </w:r>
      <w:r w:rsidR="001C24EC">
        <w:rPr>
          <w:rFonts w:eastAsia="MS Mincho"/>
          <w:szCs w:val="24"/>
          <w:lang w:eastAsia="ja-JP"/>
        </w:rPr>
        <w:tab/>
      </w:r>
      <w:r w:rsidRPr="007264C7">
        <w:rPr>
          <w:rFonts w:eastAsia="MS Mincho"/>
          <w:szCs w:val="24"/>
          <w:lang w:eastAsia="ja-JP"/>
        </w:rPr>
        <w:t>1</w:t>
      </w:r>
      <w:r w:rsidR="003E0D17">
        <w:rPr>
          <w:rFonts w:eastAsia="MS Mincho"/>
          <w:szCs w:val="24"/>
          <w:lang w:eastAsia="ja-JP"/>
        </w:rPr>
        <w:t>-й день</w:t>
      </w:r>
      <w:r w:rsidRPr="007264C7">
        <w:rPr>
          <w:rFonts w:eastAsia="MS Mincho"/>
          <w:szCs w:val="24"/>
          <w:lang w:eastAsia="ja-JP"/>
        </w:rPr>
        <w:t xml:space="preserve"> поздней    </w:t>
      </w:r>
    </w:p>
    <w:p w14:paraId="4B7FB554" w14:textId="77777777" w:rsidR="00533FE8" w:rsidRPr="007264C7" w:rsidRDefault="00533FE8" w:rsidP="00533FE8">
      <w:pPr>
        <w:widowControl/>
        <w:jc w:val="left"/>
        <w:rPr>
          <w:rFonts w:eastAsia="MS Mincho"/>
          <w:szCs w:val="24"/>
          <w:lang w:eastAsia="ja-JP"/>
        </w:rPr>
      </w:pPr>
      <w:r w:rsidRPr="007264C7">
        <w:rPr>
          <w:rFonts w:eastAsia="MS Mincho"/>
          <w:szCs w:val="24"/>
          <w:lang w:eastAsia="ja-JP"/>
        </w:rPr>
        <w:t xml:space="preserve">                                                                                                    </w:t>
      </w:r>
      <w:r w:rsidR="001C24EC">
        <w:rPr>
          <w:rFonts w:eastAsia="MS Mincho"/>
          <w:szCs w:val="24"/>
          <w:lang w:eastAsia="ja-JP"/>
        </w:rPr>
        <w:tab/>
      </w:r>
      <w:r w:rsidRPr="007264C7">
        <w:rPr>
          <w:rFonts w:eastAsia="MS Mincho"/>
          <w:szCs w:val="24"/>
          <w:lang w:eastAsia="ja-JP"/>
        </w:rPr>
        <w:t>интенсификации.</w:t>
      </w:r>
    </w:p>
    <w:p w14:paraId="7D5C3B3E" w14:textId="77777777" w:rsidR="00533FE8" w:rsidRPr="007264C7" w:rsidRDefault="00533FE8" w:rsidP="00533FE8">
      <w:pPr>
        <w:widowControl/>
        <w:jc w:val="left"/>
        <w:rPr>
          <w:rFonts w:eastAsia="MS Mincho"/>
          <w:szCs w:val="24"/>
          <w:lang w:eastAsia="ja-JP"/>
        </w:rPr>
      </w:pPr>
    </w:p>
    <w:p w14:paraId="5659B0A9" w14:textId="77777777" w:rsidR="00533FE8" w:rsidRPr="007264C7" w:rsidRDefault="00533FE8" w:rsidP="00533FE8">
      <w:pPr>
        <w:widowControl/>
        <w:ind w:firstLine="709"/>
        <w:rPr>
          <w:rFonts w:eastAsia="MS Mincho"/>
          <w:szCs w:val="24"/>
          <w:lang w:eastAsia="ja-JP"/>
        </w:rPr>
      </w:pPr>
      <w:r w:rsidRPr="007264C7">
        <w:rPr>
          <w:rFonts w:eastAsia="MS Mincho"/>
          <w:szCs w:val="24"/>
          <w:lang w:eastAsia="ja-JP"/>
        </w:rPr>
        <w:t>Краниальное облучение 18 Гр перед началом поддерживающей терапии, 6-меркаптопурин</w:t>
      </w:r>
      <w:r w:rsidR="00714B4A">
        <w:rPr>
          <w:rFonts w:eastAsia="MS Mincho"/>
          <w:szCs w:val="24"/>
          <w:lang w:eastAsia="ja-JP"/>
        </w:rPr>
        <w:t>**</w:t>
      </w:r>
      <w:r w:rsidRPr="007264C7">
        <w:rPr>
          <w:rFonts w:eastAsia="MS Mincho"/>
          <w:szCs w:val="24"/>
          <w:lang w:eastAsia="ja-JP"/>
        </w:rPr>
        <w:t xml:space="preserve"> 60 мг/м</w:t>
      </w:r>
      <w:r w:rsidRPr="00D72E20">
        <w:rPr>
          <w:rFonts w:eastAsia="MS Mincho"/>
          <w:szCs w:val="24"/>
          <w:vertAlign w:val="superscript"/>
          <w:lang w:eastAsia="ja-JP"/>
        </w:rPr>
        <w:t>2</w:t>
      </w:r>
      <w:r w:rsidRPr="007264C7">
        <w:rPr>
          <w:rFonts w:eastAsia="MS Mincho"/>
          <w:szCs w:val="24"/>
          <w:lang w:eastAsia="ja-JP"/>
        </w:rPr>
        <w:t>/</w:t>
      </w:r>
      <w:r w:rsidR="00D72E20">
        <w:rPr>
          <w:rFonts w:eastAsia="MS Mincho"/>
          <w:szCs w:val="24"/>
          <w:lang w:eastAsia="ja-JP"/>
        </w:rPr>
        <w:t xml:space="preserve">сут </w:t>
      </w:r>
      <w:r w:rsidRPr="007264C7">
        <w:rPr>
          <w:rFonts w:eastAsia="MS Mincho"/>
          <w:szCs w:val="24"/>
          <w:lang w:eastAsia="ja-JP"/>
        </w:rPr>
        <w:t>во время облучения.</w:t>
      </w:r>
    </w:p>
    <w:p w14:paraId="49DB160A" w14:textId="77777777" w:rsidR="00533FE8" w:rsidRPr="007264C7" w:rsidRDefault="00533FE8" w:rsidP="00533FE8">
      <w:pPr>
        <w:widowControl/>
        <w:jc w:val="left"/>
        <w:rPr>
          <w:rFonts w:eastAsia="MS Mincho"/>
          <w:szCs w:val="24"/>
          <w:lang w:eastAsia="ja-JP"/>
        </w:rPr>
      </w:pPr>
    </w:p>
    <w:p w14:paraId="74E964E2" w14:textId="77777777" w:rsidR="00533FE8" w:rsidRPr="007264C7" w:rsidRDefault="00533FE8" w:rsidP="00533FE8">
      <w:pPr>
        <w:widowControl/>
        <w:ind w:firstLine="709"/>
        <w:jc w:val="left"/>
        <w:rPr>
          <w:rFonts w:eastAsia="MS Mincho"/>
          <w:b/>
          <w:i/>
          <w:szCs w:val="24"/>
          <w:lang w:eastAsia="ja-JP"/>
        </w:rPr>
      </w:pPr>
      <w:r w:rsidRPr="007264C7">
        <w:rPr>
          <w:rFonts w:eastAsia="MS Mincho"/>
          <w:b/>
          <w:i/>
          <w:szCs w:val="24"/>
          <w:lang w:eastAsia="ja-JP"/>
        </w:rPr>
        <w:t>Лечение нейролейкемии, диагностированной в дебюте заболевания</w:t>
      </w:r>
    </w:p>
    <w:p w14:paraId="38D0177B" w14:textId="77777777" w:rsidR="00533FE8" w:rsidRPr="007264C7" w:rsidRDefault="00533FE8" w:rsidP="00533FE8">
      <w:pPr>
        <w:widowControl/>
        <w:jc w:val="left"/>
        <w:rPr>
          <w:rFonts w:eastAsia="MS Mincho"/>
          <w:b/>
          <w:i/>
          <w:szCs w:val="24"/>
          <w:lang w:eastAsia="ja-JP"/>
        </w:rPr>
      </w:pPr>
    </w:p>
    <w:p w14:paraId="22219A62" w14:textId="77777777" w:rsidR="00533FE8" w:rsidRPr="007264C7" w:rsidRDefault="00720E5F" w:rsidP="00533FE8">
      <w:pPr>
        <w:widowControl/>
        <w:jc w:val="left"/>
        <w:rPr>
          <w:rFonts w:eastAsia="MS Mincho"/>
          <w:szCs w:val="24"/>
          <w:lang w:eastAsia="ja-JP"/>
        </w:rPr>
      </w:pPr>
      <w:r>
        <w:rPr>
          <w:noProof/>
          <w:szCs w:val="24"/>
        </w:rPr>
        <mc:AlternateContent>
          <mc:Choice Requires="wps">
            <w:drawing>
              <wp:anchor distT="0" distB="0" distL="114300" distR="114300" simplePos="0" relativeHeight="251676160" behindDoc="0" locked="0" layoutInCell="1" allowOverlap="1" wp14:anchorId="105824F0" wp14:editId="208DC675">
                <wp:simplePos x="0" y="0"/>
                <wp:positionH relativeFrom="column">
                  <wp:posOffset>2342515</wp:posOffset>
                </wp:positionH>
                <wp:positionV relativeFrom="paragraph">
                  <wp:posOffset>29845</wp:posOffset>
                </wp:positionV>
                <wp:extent cx="100965" cy="664845"/>
                <wp:effectExtent l="0" t="0" r="635" b="0"/>
                <wp:wrapNone/>
                <wp:docPr id="36" name="Правая фигурная скобка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0965" cy="664845"/>
                        </a:xfrm>
                        <a:prstGeom prst="rightBrace">
                          <a:avLst>
                            <a:gd name="adj1" fmla="val 39977"/>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3C21A5" id="Правая фигурная скобка 9" o:spid="_x0000_s1026" type="#_x0000_t88" style="position:absolute;margin-left:184.45pt;margin-top:2.35pt;width:7.95pt;height:52.35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" adj="1311"/>
            </w:pict>
          </mc:Fallback>
        </mc:AlternateContent>
      </w:r>
      <w:r w:rsidR="00533FE8" w:rsidRPr="007264C7">
        <w:rPr>
          <w:rFonts w:eastAsia="MS Mincho"/>
          <w:szCs w:val="24"/>
          <w:lang w:eastAsia="ja-JP"/>
        </w:rPr>
        <w:t>Метотрексат</w:t>
      </w:r>
      <w:r w:rsidR="00392AAF">
        <w:rPr>
          <w:rFonts w:eastAsia="MS Mincho"/>
          <w:szCs w:val="24"/>
          <w:lang w:eastAsia="ja-JP"/>
        </w:rPr>
        <w:t>**</w:t>
      </w:r>
      <w:r w:rsidR="00533FE8" w:rsidRPr="007264C7">
        <w:rPr>
          <w:rFonts w:eastAsia="MS Mincho"/>
          <w:szCs w:val="24"/>
          <w:lang w:eastAsia="ja-JP"/>
        </w:rPr>
        <w:t xml:space="preserve">                       15 мг  </w:t>
      </w:r>
      <w:r w:rsidR="00986B4F">
        <w:rPr>
          <w:rFonts w:eastAsia="MS Mincho"/>
          <w:szCs w:val="24"/>
          <w:lang w:eastAsia="ja-JP"/>
        </w:rPr>
        <w:tab/>
      </w:r>
      <w:r w:rsidR="00986B4F">
        <w:rPr>
          <w:rFonts w:eastAsia="MS Mincho"/>
          <w:szCs w:val="24"/>
          <w:lang w:eastAsia="ja-JP"/>
        </w:rPr>
        <w:tab/>
      </w:r>
      <w:r w:rsidR="00986B4F">
        <w:rPr>
          <w:rFonts w:eastAsia="MS Mincho"/>
          <w:szCs w:val="24"/>
          <w:lang w:eastAsia="ja-JP"/>
        </w:rPr>
        <w:tab/>
      </w:r>
      <w:r w:rsidR="00533FE8" w:rsidRPr="007264C7">
        <w:rPr>
          <w:rFonts w:eastAsia="MS Mincho"/>
          <w:szCs w:val="24"/>
          <w:lang w:eastAsia="ja-JP"/>
        </w:rPr>
        <w:t xml:space="preserve">8 введений между днями </w:t>
      </w:r>
    </w:p>
    <w:p w14:paraId="7E2C6D20" w14:textId="77777777" w:rsidR="00533FE8" w:rsidRPr="007264C7" w:rsidRDefault="00421699" w:rsidP="00533FE8">
      <w:pPr>
        <w:widowControl/>
        <w:jc w:val="left"/>
        <w:rPr>
          <w:rFonts w:eastAsia="MS Mincho"/>
          <w:szCs w:val="24"/>
          <w:lang w:eastAsia="ja-JP"/>
        </w:rPr>
      </w:pPr>
      <w:r>
        <w:rPr>
          <w:rFonts w:eastAsia="MS Mincho"/>
          <w:szCs w:val="24"/>
          <w:lang w:eastAsia="ja-JP"/>
        </w:rPr>
        <w:t>Цитарабин**</w:t>
      </w:r>
      <w:r w:rsidR="00982DD0">
        <w:rPr>
          <w:rFonts w:eastAsia="MS Mincho"/>
          <w:szCs w:val="24"/>
          <w:lang w:eastAsia="ja-JP"/>
        </w:rPr>
        <w:t xml:space="preserve">                          3</w:t>
      </w:r>
      <w:r w:rsidR="00533FE8" w:rsidRPr="007264C7">
        <w:rPr>
          <w:rFonts w:eastAsia="MS Mincho"/>
          <w:szCs w:val="24"/>
          <w:lang w:eastAsia="ja-JP"/>
        </w:rPr>
        <w:t>0 мг        интратекально</w:t>
      </w:r>
      <w:r w:rsidR="00986B4F">
        <w:rPr>
          <w:rFonts w:eastAsia="MS Mincho"/>
          <w:szCs w:val="24"/>
          <w:lang w:eastAsia="ja-JP"/>
        </w:rPr>
        <w:tab/>
      </w:r>
      <w:r w:rsidR="00581A3A">
        <w:rPr>
          <w:rFonts w:eastAsia="MS Mincho"/>
          <w:szCs w:val="24"/>
          <w:lang w:eastAsia="ja-JP"/>
        </w:rPr>
        <w:t>7–</w:t>
      </w:r>
      <w:r w:rsidR="00533FE8" w:rsidRPr="007264C7">
        <w:rPr>
          <w:rFonts w:eastAsia="MS Mincho"/>
          <w:szCs w:val="24"/>
          <w:lang w:eastAsia="ja-JP"/>
        </w:rPr>
        <w:t xml:space="preserve">21 индукции; </w:t>
      </w:r>
    </w:p>
    <w:p w14:paraId="0963686D" w14:textId="77777777" w:rsidR="00533FE8" w:rsidRPr="007264C7" w:rsidRDefault="00533FE8" w:rsidP="00533FE8">
      <w:pPr>
        <w:widowControl/>
        <w:jc w:val="left"/>
        <w:rPr>
          <w:rFonts w:eastAsia="MS Mincho"/>
          <w:szCs w:val="24"/>
          <w:lang w:eastAsia="ja-JP"/>
        </w:rPr>
      </w:pPr>
      <w:r w:rsidRPr="007264C7">
        <w:rPr>
          <w:rFonts w:eastAsia="MS Mincho"/>
          <w:szCs w:val="24"/>
          <w:lang w:eastAsia="ja-JP"/>
        </w:rPr>
        <w:t>Метил</w:t>
      </w:r>
      <w:r>
        <w:rPr>
          <w:rFonts w:eastAsia="MS Mincho"/>
          <w:szCs w:val="24"/>
          <w:lang w:eastAsia="ja-JP"/>
        </w:rPr>
        <w:t>преднизолон</w:t>
      </w:r>
      <w:r w:rsidR="00950F44">
        <w:rPr>
          <w:rFonts w:eastAsia="MS Mincho"/>
          <w:szCs w:val="24"/>
          <w:lang w:eastAsia="ja-JP"/>
        </w:rPr>
        <w:t>**</w:t>
      </w:r>
      <w:r w:rsidR="001C24EC">
        <w:rPr>
          <w:rFonts w:eastAsia="MS Mincho"/>
          <w:szCs w:val="24"/>
          <w:lang w:eastAsia="ja-JP"/>
        </w:rPr>
        <w:tab/>
      </w:r>
      <w:r w:rsidRPr="007264C7">
        <w:rPr>
          <w:rFonts w:eastAsia="MS Mincho"/>
          <w:szCs w:val="24"/>
          <w:lang w:eastAsia="ja-JP"/>
        </w:rPr>
        <w:t xml:space="preserve">40 мг </w:t>
      </w:r>
      <w:r w:rsidR="00986B4F">
        <w:rPr>
          <w:rFonts w:eastAsia="MS Mincho"/>
          <w:szCs w:val="24"/>
          <w:lang w:eastAsia="ja-JP"/>
        </w:rPr>
        <w:tab/>
      </w:r>
      <w:r w:rsidR="00986B4F">
        <w:rPr>
          <w:rFonts w:eastAsia="MS Mincho"/>
          <w:szCs w:val="24"/>
          <w:lang w:eastAsia="ja-JP"/>
        </w:rPr>
        <w:tab/>
      </w:r>
      <w:r w:rsidR="00986B4F">
        <w:rPr>
          <w:rFonts w:eastAsia="MS Mincho"/>
          <w:szCs w:val="24"/>
          <w:lang w:eastAsia="ja-JP"/>
        </w:rPr>
        <w:tab/>
      </w:r>
      <w:r w:rsidR="00986B4F">
        <w:rPr>
          <w:rFonts w:eastAsia="MS Mincho"/>
          <w:szCs w:val="24"/>
          <w:lang w:eastAsia="ja-JP"/>
        </w:rPr>
        <w:tab/>
      </w:r>
      <w:r w:rsidRPr="007264C7">
        <w:rPr>
          <w:rFonts w:eastAsia="MS Mincho"/>
          <w:szCs w:val="24"/>
          <w:lang w:eastAsia="ja-JP"/>
        </w:rPr>
        <w:t>4 введения во время первых;</w:t>
      </w:r>
    </w:p>
    <w:p w14:paraId="45A9E48E" w14:textId="77777777" w:rsidR="00533FE8" w:rsidRPr="007264C7" w:rsidRDefault="00533FE8" w:rsidP="00533FE8">
      <w:pPr>
        <w:widowControl/>
        <w:jc w:val="left"/>
        <w:rPr>
          <w:rFonts w:eastAsia="MS Mincho"/>
          <w:szCs w:val="24"/>
          <w:lang w:eastAsia="ja-JP"/>
        </w:rPr>
      </w:pPr>
      <w:r w:rsidRPr="007264C7">
        <w:rPr>
          <w:rFonts w:eastAsia="MS Mincho"/>
          <w:szCs w:val="24"/>
          <w:lang w:eastAsia="ja-JP"/>
        </w:rPr>
        <w:t xml:space="preserve">                                                                                               </w:t>
      </w:r>
      <w:r w:rsidR="001C24EC">
        <w:rPr>
          <w:rFonts w:eastAsia="MS Mincho"/>
          <w:szCs w:val="24"/>
          <w:lang w:eastAsia="ja-JP"/>
        </w:rPr>
        <w:tab/>
      </w:r>
      <w:r w:rsidR="00581A3A">
        <w:rPr>
          <w:rFonts w:eastAsia="MS Mincho"/>
          <w:szCs w:val="24"/>
          <w:lang w:eastAsia="ja-JP"/>
        </w:rPr>
        <w:t>2</w:t>
      </w:r>
      <w:r w:rsidRPr="007264C7">
        <w:rPr>
          <w:rFonts w:eastAsia="MS Mincho"/>
          <w:szCs w:val="24"/>
          <w:lang w:eastAsia="ja-JP"/>
        </w:rPr>
        <w:t xml:space="preserve"> блоков консолидации;    </w:t>
      </w:r>
    </w:p>
    <w:p w14:paraId="21B1F5F4" w14:textId="77777777" w:rsidR="00533FE8" w:rsidRPr="007264C7" w:rsidRDefault="00533FE8" w:rsidP="00533FE8">
      <w:pPr>
        <w:widowControl/>
        <w:jc w:val="left"/>
        <w:rPr>
          <w:rFonts w:eastAsia="MS Mincho"/>
          <w:szCs w:val="24"/>
          <w:lang w:eastAsia="ja-JP"/>
        </w:rPr>
      </w:pPr>
      <w:r w:rsidRPr="007264C7">
        <w:rPr>
          <w:rFonts w:eastAsia="MS Mincho"/>
          <w:szCs w:val="24"/>
          <w:lang w:eastAsia="ja-JP"/>
        </w:rPr>
        <w:lastRenderedPageBreak/>
        <w:t xml:space="preserve">                                                                                               </w:t>
      </w:r>
      <w:r w:rsidR="00986B4F">
        <w:rPr>
          <w:rFonts w:eastAsia="MS Mincho"/>
          <w:szCs w:val="24"/>
          <w:lang w:eastAsia="ja-JP"/>
        </w:rPr>
        <w:tab/>
      </w:r>
      <w:r w:rsidRPr="007264C7">
        <w:rPr>
          <w:rFonts w:eastAsia="MS Mincho"/>
          <w:szCs w:val="24"/>
          <w:lang w:eastAsia="ja-JP"/>
        </w:rPr>
        <w:t>1 введение на 29</w:t>
      </w:r>
      <w:r w:rsidR="00581A3A">
        <w:rPr>
          <w:rFonts w:eastAsia="MS Mincho"/>
          <w:szCs w:val="24"/>
          <w:lang w:eastAsia="ja-JP"/>
        </w:rPr>
        <w:t>-й</w:t>
      </w:r>
      <w:r w:rsidRPr="007264C7">
        <w:rPr>
          <w:rFonts w:eastAsia="MS Mincho"/>
          <w:szCs w:val="24"/>
          <w:lang w:eastAsia="ja-JP"/>
        </w:rPr>
        <w:t xml:space="preserve"> день 3 и 6 </w:t>
      </w:r>
    </w:p>
    <w:p w14:paraId="4335475D" w14:textId="77777777" w:rsidR="00533FE8" w:rsidRPr="007264C7" w:rsidRDefault="00533FE8" w:rsidP="00533FE8">
      <w:pPr>
        <w:widowControl/>
        <w:jc w:val="left"/>
        <w:rPr>
          <w:rFonts w:eastAsia="MS Mincho"/>
          <w:szCs w:val="24"/>
          <w:lang w:eastAsia="ja-JP"/>
        </w:rPr>
      </w:pPr>
      <w:r w:rsidRPr="007264C7">
        <w:rPr>
          <w:rFonts w:eastAsia="MS Mincho"/>
          <w:b/>
          <w:i/>
          <w:szCs w:val="24"/>
          <w:lang w:eastAsia="ja-JP"/>
        </w:rPr>
        <w:t xml:space="preserve">                                                                                               </w:t>
      </w:r>
      <w:r w:rsidR="00986B4F">
        <w:rPr>
          <w:rFonts w:eastAsia="MS Mincho"/>
          <w:b/>
          <w:i/>
          <w:szCs w:val="24"/>
          <w:lang w:eastAsia="ja-JP"/>
        </w:rPr>
        <w:tab/>
      </w:r>
      <w:r>
        <w:rPr>
          <w:rFonts w:eastAsia="MS Mincho"/>
          <w:szCs w:val="24"/>
          <w:lang w:eastAsia="ja-JP"/>
        </w:rPr>
        <w:t>блоков консолидации.</w:t>
      </w:r>
    </w:p>
    <w:p w14:paraId="6DFF9DB0" w14:textId="77777777" w:rsidR="00533FE8" w:rsidRDefault="00533FE8" w:rsidP="00533FE8">
      <w:pPr>
        <w:widowControl/>
        <w:ind w:firstLine="709"/>
        <w:rPr>
          <w:rFonts w:eastAsia="MS Mincho"/>
          <w:szCs w:val="24"/>
          <w:lang w:eastAsia="ja-JP"/>
        </w:rPr>
      </w:pPr>
      <w:r w:rsidRPr="007264C7">
        <w:rPr>
          <w:rFonts w:eastAsia="MS Mincho"/>
          <w:szCs w:val="24"/>
          <w:lang w:eastAsia="ja-JP"/>
        </w:rPr>
        <w:t xml:space="preserve">Краниальное облучение 15 Гр перед </w:t>
      </w:r>
      <w:r w:rsidR="00BD6C1E">
        <w:rPr>
          <w:rFonts w:eastAsia="MS Mincho"/>
          <w:szCs w:val="24"/>
          <w:lang w:eastAsia="ja-JP"/>
        </w:rPr>
        <w:t>ТГСК</w:t>
      </w:r>
      <w:r w:rsidRPr="007264C7">
        <w:rPr>
          <w:rFonts w:eastAsia="MS Mincho"/>
          <w:szCs w:val="24"/>
          <w:lang w:eastAsia="ja-JP"/>
        </w:rPr>
        <w:t xml:space="preserve"> или 24 Гр перед на</w:t>
      </w:r>
      <w:r>
        <w:rPr>
          <w:rFonts w:eastAsia="MS Mincho"/>
          <w:szCs w:val="24"/>
          <w:lang w:eastAsia="ja-JP"/>
        </w:rPr>
        <w:t xml:space="preserve">чалом поддерживающей терапии, </w:t>
      </w:r>
      <w:r w:rsidRPr="007264C7">
        <w:rPr>
          <w:rFonts w:eastAsia="MS Mincho"/>
          <w:szCs w:val="24"/>
          <w:lang w:eastAsia="ja-JP"/>
        </w:rPr>
        <w:t>меркаптопурин</w:t>
      </w:r>
      <w:r w:rsidR="00714B4A">
        <w:rPr>
          <w:rFonts w:eastAsia="MS Mincho"/>
          <w:szCs w:val="24"/>
          <w:lang w:eastAsia="ja-JP"/>
        </w:rPr>
        <w:t>**</w:t>
      </w:r>
      <w:r w:rsidRPr="007264C7">
        <w:rPr>
          <w:rFonts w:eastAsia="MS Mincho"/>
          <w:szCs w:val="24"/>
          <w:lang w:eastAsia="ja-JP"/>
        </w:rPr>
        <w:t xml:space="preserve"> 60 мг/м</w:t>
      </w:r>
      <w:r w:rsidRPr="00D72E20">
        <w:rPr>
          <w:rFonts w:eastAsia="MS Mincho"/>
          <w:szCs w:val="24"/>
          <w:vertAlign w:val="superscript"/>
          <w:lang w:eastAsia="ja-JP"/>
        </w:rPr>
        <w:t>2</w:t>
      </w:r>
      <w:r w:rsidRPr="007264C7">
        <w:rPr>
          <w:rFonts w:eastAsia="MS Mincho"/>
          <w:szCs w:val="24"/>
          <w:lang w:eastAsia="ja-JP"/>
        </w:rPr>
        <w:t>/су</w:t>
      </w:r>
      <w:r w:rsidR="00D72E20">
        <w:rPr>
          <w:rFonts w:eastAsia="MS Mincho"/>
          <w:szCs w:val="24"/>
          <w:lang w:eastAsia="ja-JP"/>
        </w:rPr>
        <w:t xml:space="preserve">т </w:t>
      </w:r>
      <w:r w:rsidRPr="007264C7">
        <w:rPr>
          <w:rFonts w:eastAsia="MS Mincho"/>
          <w:szCs w:val="24"/>
          <w:lang w:eastAsia="ja-JP"/>
        </w:rPr>
        <w:t>во время облучения.</w:t>
      </w:r>
    </w:p>
    <w:p w14:paraId="10DFD8E8" w14:textId="77777777" w:rsidR="00654ED5" w:rsidRDefault="00654ED5" w:rsidP="00533FE8">
      <w:pPr>
        <w:widowControl/>
        <w:ind w:firstLine="709"/>
        <w:rPr>
          <w:rFonts w:eastAsia="MS Mincho"/>
          <w:szCs w:val="24"/>
          <w:lang w:eastAsia="ja-JP"/>
        </w:rPr>
      </w:pPr>
    </w:p>
    <w:p w14:paraId="7690ED0E" w14:textId="77777777" w:rsidR="00654ED5" w:rsidRDefault="00654ED5" w:rsidP="00533FE8">
      <w:pPr>
        <w:widowControl/>
        <w:ind w:firstLine="709"/>
        <w:rPr>
          <w:rFonts w:eastAsia="MS Mincho"/>
          <w:szCs w:val="24"/>
          <w:lang w:eastAsia="ja-JP"/>
        </w:rPr>
      </w:pPr>
    </w:p>
    <w:p w14:paraId="30E33BCE" w14:textId="77777777" w:rsidR="00654ED5" w:rsidRDefault="00654ED5" w:rsidP="00533FE8">
      <w:pPr>
        <w:widowControl/>
        <w:ind w:firstLine="709"/>
        <w:rPr>
          <w:rFonts w:eastAsia="MS Mincho"/>
          <w:szCs w:val="24"/>
          <w:lang w:eastAsia="ja-JP"/>
        </w:rPr>
      </w:pPr>
    </w:p>
    <w:p w14:paraId="187A2248" w14:textId="77777777" w:rsidR="00654ED5" w:rsidRPr="007264C7" w:rsidRDefault="00654ED5" w:rsidP="00533FE8">
      <w:pPr>
        <w:widowControl/>
        <w:ind w:firstLine="709"/>
        <w:rPr>
          <w:rFonts w:eastAsia="MS Mincho"/>
          <w:szCs w:val="24"/>
          <w:lang w:eastAsia="ja-JP"/>
        </w:rPr>
      </w:pPr>
    </w:p>
    <w:p w14:paraId="02516027" w14:textId="77777777" w:rsidR="00533FE8" w:rsidRPr="007264C7" w:rsidRDefault="00533FE8" w:rsidP="00533FE8">
      <w:pPr>
        <w:widowControl/>
        <w:jc w:val="left"/>
        <w:rPr>
          <w:rFonts w:eastAsia="MS Mincho"/>
          <w:color w:val="000000"/>
          <w:szCs w:val="24"/>
          <w:lang w:eastAsia="ja-JP"/>
        </w:rPr>
      </w:pPr>
    </w:p>
    <w:p w14:paraId="06E26B59" w14:textId="77777777" w:rsidR="00533FE8" w:rsidRPr="00C02BD7" w:rsidRDefault="00533FE8" w:rsidP="00730720">
      <w:pPr>
        <w:ind w:firstLine="540"/>
        <w:jc w:val="left"/>
        <w:rPr>
          <w:b/>
          <w:szCs w:val="24"/>
        </w:rPr>
      </w:pPr>
      <w:r w:rsidRPr="00F92B18">
        <w:rPr>
          <w:rFonts w:eastAsia="MS Mincho"/>
          <w:b/>
          <w:color w:val="000000"/>
          <w:szCs w:val="24"/>
          <w:lang w:eastAsia="ja-JP"/>
        </w:rPr>
        <w:t>П</w:t>
      </w:r>
      <w:r w:rsidRPr="00C02BD7">
        <w:rPr>
          <w:b/>
          <w:szCs w:val="24"/>
        </w:rPr>
        <w:t>ротокол «</w:t>
      </w:r>
      <w:r w:rsidR="00ED69FA">
        <w:rPr>
          <w:b/>
          <w:szCs w:val="24"/>
        </w:rPr>
        <w:t>ОЛЛ</w:t>
      </w:r>
      <w:r w:rsidRPr="00C02BD7">
        <w:rPr>
          <w:b/>
          <w:szCs w:val="24"/>
        </w:rPr>
        <w:t>-2009», адаптированный</w:t>
      </w:r>
      <w:r>
        <w:rPr>
          <w:b/>
          <w:szCs w:val="24"/>
        </w:rPr>
        <w:t xml:space="preserve"> для лечения пациентов с</w:t>
      </w:r>
      <w:r w:rsidRPr="00C02BD7">
        <w:rPr>
          <w:b/>
          <w:szCs w:val="24"/>
        </w:rPr>
        <w:t xml:space="preserve"> ОЛЛ старшей возрастной группы (55 лет и старше)</w:t>
      </w:r>
    </w:p>
    <w:p w14:paraId="373CEB22" w14:textId="77777777" w:rsidR="00533FE8" w:rsidRPr="007264C7" w:rsidRDefault="00533FE8" w:rsidP="00533FE8">
      <w:pPr>
        <w:jc w:val="center"/>
        <w:rPr>
          <w:b/>
          <w:bCs/>
          <w:i/>
          <w:iCs/>
          <w:szCs w:val="24"/>
        </w:rPr>
      </w:pPr>
    </w:p>
    <w:p w14:paraId="371551DB" w14:textId="77777777" w:rsidR="00533FE8" w:rsidRPr="007264C7" w:rsidRDefault="00533FE8" w:rsidP="00533FE8">
      <w:pPr>
        <w:jc w:val="center"/>
        <w:rPr>
          <w:szCs w:val="24"/>
        </w:rPr>
      </w:pPr>
      <w:r w:rsidRPr="007264C7">
        <w:rPr>
          <w:b/>
          <w:bCs/>
          <w:i/>
          <w:iCs/>
          <w:szCs w:val="24"/>
        </w:rPr>
        <w:t>Предфаза:</w:t>
      </w:r>
      <w:r w:rsidR="00581A3A">
        <w:rPr>
          <w:szCs w:val="24"/>
        </w:rPr>
        <w:t xml:space="preserve"> п</w:t>
      </w:r>
      <w:r>
        <w:rPr>
          <w:szCs w:val="24"/>
        </w:rPr>
        <w:t>реднизолон</w:t>
      </w:r>
      <w:r w:rsidRPr="007264C7">
        <w:rPr>
          <w:szCs w:val="24"/>
        </w:rPr>
        <w:t xml:space="preserve"> 60 мг/м²</w:t>
      </w:r>
      <w:r w:rsidR="00581A3A">
        <w:rPr>
          <w:szCs w:val="24"/>
        </w:rPr>
        <w:t>, 1–</w:t>
      </w:r>
      <w:r w:rsidRPr="007264C7">
        <w:rPr>
          <w:szCs w:val="24"/>
        </w:rPr>
        <w:t>7</w:t>
      </w:r>
      <w:r w:rsidR="00581A3A">
        <w:rPr>
          <w:szCs w:val="24"/>
        </w:rPr>
        <w:t>-й</w:t>
      </w:r>
      <w:r w:rsidRPr="007264C7">
        <w:rPr>
          <w:szCs w:val="24"/>
        </w:rPr>
        <w:t xml:space="preserve"> дни</w:t>
      </w:r>
    </w:p>
    <w:p w14:paraId="47F2194C" w14:textId="77777777" w:rsidR="00533FE8" w:rsidRPr="007264C7" w:rsidRDefault="00720E5F" w:rsidP="00533FE8">
      <w:pPr>
        <w:jc w:val="center"/>
        <w:rPr>
          <w:b/>
          <w:szCs w:val="24"/>
        </w:rPr>
      </w:pPr>
      <w:r>
        <w:rPr>
          <w:b/>
          <w:noProof/>
          <w:szCs w:val="24"/>
        </w:rPr>
        <mc:AlternateContent>
          <mc:Choice Requires="wps">
            <w:drawing>
              <wp:anchor distT="0" distB="0" distL="114300" distR="114300" simplePos="0" relativeHeight="251654656" behindDoc="0" locked="0" layoutInCell="1" allowOverlap="1" wp14:anchorId="7A0343FA" wp14:editId="6A53C6FA">
                <wp:simplePos x="0" y="0"/>
                <wp:positionH relativeFrom="column">
                  <wp:posOffset>4156075</wp:posOffset>
                </wp:positionH>
                <wp:positionV relativeFrom="paragraph">
                  <wp:posOffset>91440</wp:posOffset>
                </wp:positionV>
                <wp:extent cx="1216025" cy="114300"/>
                <wp:effectExtent l="0" t="0" r="41275" b="50800"/>
                <wp:wrapNone/>
                <wp:docPr id="35" name="Line 29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216025"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EFEE4C" id="Line 297"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7.25pt,7.2pt" to="423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">
                <v:stroke endarrow="block"/>
                <o:lock v:ext="edit" shapetype="f"/>
              </v:line>
            </w:pict>
          </mc:Fallback>
        </mc:AlternateContent>
      </w:r>
      <w:r>
        <w:rPr>
          <w:b/>
          <w:noProof/>
          <w:szCs w:val="24"/>
        </w:rPr>
        <mc:AlternateContent>
          <mc:Choice Requires="wps">
            <w:drawing>
              <wp:anchor distT="0" distB="0" distL="114300" distR="114300" simplePos="0" relativeHeight="251653632" behindDoc="0" locked="0" layoutInCell="1" allowOverlap="1" wp14:anchorId="2B055A16" wp14:editId="075DBBBD">
                <wp:simplePos x="0" y="0"/>
                <wp:positionH relativeFrom="column">
                  <wp:posOffset>571500</wp:posOffset>
                </wp:positionH>
                <wp:positionV relativeFrom="paragraph">
                  <wp:posOffset>91440</wp:posOffset>
                </wp:positionV>
                <wp:extent cx="1209675" cy="114300"/>
                <wp:effectExtent l="25400" t="0" r="0" b="50800"/>
                <wp:wrapNone/>
                <wp:docPr id="34" name="Line 29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1209675"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ED8017" id="Line 296" o:spid="_x0000_s1026" style="position:absolute;flip:x;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7.2pt" to="140.25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">
                <v:stroke endarrow="block"/>
                <o:lock v:ext="edit" shapetype="f"/>
              </v:line>
            </w:pict>
          </mc:Fallback>
        </mc:AlternateContent>
      </w:r>
      <w:r w:rsidR="00533FE8" w:rsidRPr="007264C7">
        <w:rPr>
          <w:b/>
          <w:bCs/>
          <w:szCs w:val="24"/>
        </w:rPr>
        <w:t>Пункция КМ на 8</w:t>
      </w:r>
      <w:r w:rsidR="00581A3A">
        <w:rPr>
          <w:b/>
          <w:bCs/>
          <w:szCs w:val="24"/>
        </w:rPr>
        <w:t>-й</w:t>
      </w:r>
      <w:r w:rsidR="00533FE8" w:rsidRPr="007264C7">
        <w:rPr>
          <w:b/>
          <w:bCs/>
          <w:szCs w:val="24"/>
        </w:rPr>
        <w:t xml:space="preserve"> день</w:t>
      </w:r>
    </w:p>
    <w:p w14:paraId="2DC1512D" w14:textId="77777777" w:rsidR="00533FE8" w:rsidRPr="007264C7" w:rsidRDefault="00533FE8" w:rsidP="00533FE8">
      <w:pPr>
        <w:rPr>
          <w:bCs/>
          <w:szCs w:val="24"/>
        </w:rPr>
      </w:pPr>
      <w:r w:rsidRPr="007264C7">
        <w:rPr>
          <w:b/>
          <w:bCs/>
          <w:szCs w:val="24"/>
        </w:rPr>
        <w:t xml:space="preserve">      </w:t>
      </w:r>
      <w:r w:rsidR="00581A3A">
        <w:rPr>
          <w:bCs/>
          <w:szCs w:val="24"/>
        </w:rPr>
        <w:t>&lt;</w:t>
      </w:r>
      <w:r w:rsidRPr="007264C7">
        <w:rPr>
          <w:bCs/>
          <w:szCs w:val="24"/>
        </w:rPr>
        <w:t>25</w:t>
      </w:r>
      <w:r w:rsidR="00581A3A">
        <w:rPr>
          <w:bCs/>
          <w:szCs w:val="24"/>
        </w:rPr>
        <w:t xml:space="preserve"> </w:t>
      </w:r>
      <w:r w:rsidRPr="007264C7">
        <w:rPr>
          <w:bCs/>
          <w:szCs w:val="24"/>
        </w:rPr>
        <w:t xml:space="preserve">% бластов                                                                                </w:t>
      </w:r>
      <w:r w:rsidRPr="007264C7">
        <w:rPr>
          <w:bCs/>
          <w:szCs w:val="24"/>
          <w:u w:val="single"/>
        </w:rPr>
        <w:t>&gt;</w:t>
      </w:r>
      <w:r w:rsidRPr="007264C7">
        <w:rPr>
          <w:bCs/>
          <w:szCs w:val="24"/>
        </w:rPr>
        <w:t>25</w:t>
      </w:r>
      <w:r w:rsidR="00581A3A">
        <w:rPr>
          <w:bCs/>
          <w:szCs w:val="24"/>
        </w:rPr>
        <w:t xml:space="preserve"> </w:t>
      </w:r>
      <w:r w:rsidRPr="007264C7">
        <w:rPr>
          <w:bCs/>
          <w:szCs w:val="24"/>
        </w:rPr>
        <w:t>% бластов</w:t>
      </w:r>
    </w:p>
    <w:p w14:paraId="6C53F9A5" w14:textId="77777777" w:rsidR="00533FE8" w:rsidRPr="007264C7" w:rsidRDefault="00303682" w:rsidP="00533FE8">
      <w:pPr>
        <w:rPr>
          <w:b/>
          <w:bCs/>
          <w:i/>
          <w:iCs/>
          <w:szCs w:val="24"/>
        </w:rPr>
      </w:pPr>
      <w:r w:rsidRPr="00303682">
        <w:rPr>
          <w:b/>
          <w:bCs/>
          <w:i/>
          <w:iCs/>
          <w:szCs w:val="24"/>
          <w:lang w:val="en-US"/>
        </w:rPr>
        <w:t>I</w:t>
      </w:r>
      <w:r w:rsidRPr="00303682">
        <w:rPr>
          <w:b/>
          <w:bCs/>
          <w:i/>
          <w:iCs/>
          <w:szCs w:val="24"/>
        </w:rPr>
        <w:t xml:space="preserve"> фаза и</w:t>
      </w:r>
      <w:r w:rsidR="00533FE8" w:rsidRPr="00303682">
        <w:rPr>
          <w:b/>
          <w:bCs/>
          <w:i/>
          <w:iCs/>
          <w:szCs w:val="24"/>
        </w:rPr>
        <w:t>ндукци</w:t>
      </w:r>
      <w:r w:rsidRPr="00303682">
        <w:rPr>
          <w:b/>
          <w:bCs/>
          <w:i/>
          <w:iCs/>
          <w:szCs w:val="24"/>
        </w:rPr>
        <w:t>и</w:t>
      </w:r>
      <w:r w:rsidR="00533FE8" w:rsidRPr="007264C7">
        <w:rPr>
          <w:b/>
          <w:bCs/>
          <w:i/>
          <w:iCs/>
          <w:szCs w:val="24"/>
        </w:rPr>
        <w:t xml:space="preserve">                                                                             </w:t>
      </w:r>
      <w:r w:rsidRPr="00303682">
        <w:rPr>
          <w:b/>
          <w:bCs/>
          <w:i/>
          <w:iCs/>
          <w:szCs w:val="24"/>
          <w:lang w:val="en-US"/>
        </w:rPr>
        <w:t>II</w:t>
      </w:r>
      <w:r w:rsidRPr="00303682">
        <w:rPr>
          <w:b/>
          <w:bCs/>
          <w:i/>
          <w:iCs/>
          <w:szCs w:val="24"/>
        </w:rPr>
        <w:t xml:space="preserve"> фаза индукции</w:t>
      </w:r>
      <w:r w:rsidR="00533FE8" w:rsidRPr="007264C7">
        <w:rPr>
          <w:b/>
          <w:bCs/>
          <w:i/>
          <w:iCs/>
          <w:szCs w:val="24"/>
          <w:u w:val="single"/>
        </w:rPr>
        <w:t xml:space="preserve"> </w:t>
      </w:r>
    </w:p>
    <w:p w14:paraId="6C9D2806" w14:textId="77777777" w:rsidR="00533FE8" w:rsidRPr="007264C7" w:rsidRDefault="00533FE8" w:rsidP="00533FE8">
      <w:pPr>
        <w:rPr>
          <w:szCs w:val="24"/>
        </w:rPr>
      </w:pPr>
      <w:r>
        <w:rPr>
          <w:i/>
          <w:szCs w:val="24"/>
        </w:rPr>
        <w:t>Преднизолон</w:t>
      </w:r>
      <w:r w:rsidR="006F5D03">
        <w:rPr>
          <w:i/>
          <w:szCs w:val="24"/>
        </w:rPr>
        <w:t>**</w:t>
      </w:r>
      <w:r w:rsidR="00303682">
        <w:rPr>
          <w:szCs w:val="24"/>
        </w:rPr>
        <w:t xml:space="preserve">  60 мг/м²,</w:t>
      </w:r>
      <w:r w:rsidRPr="007264C7">
        <w:rPr>
          <w:b/>
          <w:bCs/>
          <w:i/>
          <w:iCs/>
          <w:szCs w:val="24"/>
        </w:rPr>
        <w:t xml:space="preserve">                  </w:t>
      </w:r>
      <w:r w:rsidRPr="007264C7">
        <w:rPr>
          <w:bCs/>
          <w:iCs/>
          <w:szCs w:val="24"/>
        </w:rPr>
        <w:t xml:space="preserve">                            </w:t>
      </w:r>
      <w:r w:rsidRPr="007264C7">
        <w:rPr>
          <w:bCs/>
          <w:iCs/>
          <w:szCs w:val="24"/>
        </w:rPr>
        <w:tab/>
      </w:r>
      <w:r w:rsidRPr="007264C7">
        <w:rPr>
          <w:bCs/>
          <w:iCs/>
          <w:szCs w:val="24"/>
        </w:rPr>
        <w:tab/>
        <w:t xml:space="preserve"> </w:t>
      </w:r>
      <w:r>
        <w:rPr>
          <w:i/>
          <w:szCs w:val="24"/>
        </w:rPr>
        <w:t>Дексаметазон</w:t>
      </w:r>
      <w:r w:rsidR="006F5D03">
        <w:rPr>
          <w:i/>
          <w:szCs w:val="24"/>
        </w:rPr>
        <w:t>**</w:t>
      </w:r>
      <w:r>
        <w:rPr>
          <w:i/>
          <w:szCs w:val="24"/>
        </w:rPr>
        <w:t xml:space="preserve"> </w:t>
      </w:r>
      <w:r w:rsidRPr="007264C7">
        <w:rPr>
          <w:szCs w:val="24"/>
        </w:rPr>
        <w:t>6 мг/м²</w:t>
      </w:r>
      <w:r w:rsidR="00303682">
        <w:rPr>
          <w:szCs w:val="24"/>
        </w:rPr>
        <w:t>,</w:t>
      </w:r>
      <w:r w:rsidRPr="007264C7">
        <w:rPr>
          <w:szCs w:val="24"/>
        </w:rPr>
        <w:t xml:space="preserve">   </w:t>
      </w:r>
    </w:p>
    <w:p w14:paraId="64155C66" w14:textId="77777777" w:rsidR="00533FE8" w:rsidRPr="007264C7" w:rsidRDefault="00303682" w:rsidP="00533FE8">
      <w:pPr>
        <w:rPr>
          <w:szCs w:val="24"/>
        </w:rPr>
      </w:pPr>
      <w:r>
        <w:rPr>
          <w:szCs w:val="24"/>
        </w:rPr>
        <w:t>8–</w:t>
      </w:r>
      <w:r w:rsidR="00533FE8" w:rsidRPr="007264C7">
        <w:rPr>
          <w:szCs w:val="24"/>
        </w:rPr>
        <w:t>14</w:t>
      </w:r>
      <w:r>
        <w:rPr>
          <w:szCs w:val="24"/>
        </w:rPr>
        <w:t>-й</w:t>
      </w:r>
      <w:r w:rsidR="00533FE8" w:rsidRPr="007264C7">
        <w:rPr>
          <w:szCs w:val="24"/>
        </w:rPr>
        <w:t xml:space="preserve"> дни + 7 дней отмены                    </w:t>
      </w:r>
      <w:r>
        <w:rPr>
          <w:szCs w:val="24"/>
        </w:rPr>
        <w:t xml:space="preserve">                               8–</w:t>
      </w:r>
      <w:r w:rsidR="00533FE8" w:rsidRPr="007264C7">
        <w:rPr>
          <w:szCs w:val="24"/>
        </w:rPr>
        <w:t>14</w:t>
      </w:r>
      <w:r>
        <w:rPr>
          <w:szCs w:val="24"/>
        </w:rPr>
        <w:t>-й</w:t>
      </w:r>
      <w:r w:rsidR="00533FE8" w:rsidRPr="007264C7">
        <w:rPr>
          <w:szCs w:val="24"/>
        </w:rPr>
        <w:t xml:space="preserve"> дни + 7 дней отмены</w:t>
      </w:r>
    </w:p>
    <w:p w14:paraId="22869663" w14:textId="77777777" w:rsidR="00533FE8" w:rsidRPr="000008B4" w:rsidRDefault="00533FE8" w:rsidP="00FF4C81">
      <w:pPr>
        <w:pStyle w:val="afff3"/>
        <w:numPr>
          <w:ilvl w:val="3"/>
          <w:numId w:val="42"/>
        </w:numPr>
        <w:rPr>
          <w:bCs/>
          <w:iCs/>
          <w:szCs w:val="24"/>
        </w:rPr>
      </w:pPr>
      <w:r w:rsidRPr="000008B4">
        <w:rPr>
          <w:bCs/>
          <w:iCs/>
          <w:szCs w:val="24"/>
        </w:rPr>
        <w:t>Даунорубицин</w:t>
      </w:r>
      <w:r w:rsidR="00A65A9B" w:rsidRPr="000008B4">
        <w:rPr>
          <w:bCs/>
          <w:iCs/>
          <w:szCs w:val="24"/>
        </w:rPr>
        <w:t>**</w:t>
      </w:r>
      <w:r w:rsidRPr="000008B4">
        <w:rPr>
          <w:bCs/>
          <w:iCs/>
          <w:szCs w:val="24"/>
        </w:rPr>
        <w:t xml:space="preserve"> 45 мг/м²</w:t>
      </w:r>
      <w:r w:rsidR="00303682" w:rsidRPr="000008B4">
        <w:rPr>
          <w:bCs/>
          <w:iCs/>
          <w:szCs w:val="24"/>
        </w:rPr>
        <w:t>, 8-й и 15-й</w:t>
      </w:r>
      <w:r w:rsidRPr="000008B4">
        <w:rPr>
          <w:bCs/>
          <w:iCs/>
          <w:szCs w:val="24"/>
        </w:rPr>
        <w:t xml:space="preserve"> дни</w:t>
      </w:r>
    </w:p>
    <w:p w14:paraId="20442BEF" w14:textId="77777777" w:rsidR="00533FE8" w:rsidRPr="000008B4" w:rsidRDefault="00533FE8" w:rsidP="00FF4C81">
      <w:pPr>
        <w:pStyle w:val="afff3"/>
        <w:numPr>
          <w:ilvl w:val="3"/>
          <w:numId w:val="42"/>
        </w:numPr>
        <w:rPr>
          <w:bCs/>
          <w:iCs/>
          <w:szCs w:val="24"/>
        </w:rPr>
      </w:pPr>
      <w:r w:rsidRPr="000008B4">
        <w:rPr>
          <w:bCs/>
          <w:iCs/>
          <w:szCs w:val="24"/>
        </w:rPr>
        <w:t>Винкристин</w:t>
      </w:r>
      <w:r w:rsidR="00457E7B" w:rsidRPr="000008B4">
        <w:rPr>
          <w:bCs/>
          <w:iCs/>
          <w:szCs w:val="24"/>
        </w:rPr>
        <w:t xml:space="preserve">** </w:t>
      </w:r>
      <w:r w:rsidRPr="000008B4">
        <w:rPr>
          <w:bCs/>
          <w:iCs/>
          <w:szCs w:val="24"/>
        </w:rPr>
        <w:t>2 мг</w:t>
      </w:r>
      <w:r w:rsidR="00303682" w:rsidRPr="000008B4">
        <w:rPr>
          <w:bCs/>
          <w:iCs/>
          <w:szCs w:val="24"/>
        </w:rPr>
        <w:t>,</w:t>
      </w:r>
      <w:r w:rsidRPr="000008B4">
        <w:rPr>
          <w:bCs/>
          <w:iCs/>
          <w:szCs w:val="24"/>
        </w:rPr>
        <w:t xml:space="preserve"> </w:t>
      </w:r>
      <w:r w:rsidR="00303682" w:rsidRPr="000008B4">
        <w:rPr>
          <w:bCs/>
          <w:iCs/>
          <w:szCs w:val="24"/>
        </w:rPr>
        <w:t>8-й и 15-й дни</w:t>
      </w:r>
    </w:p>
    <w:p w14:paraId="72562CBD" w14:textId="3B2A97DC" w:rsidR="00533FE8" w:rsidRPr="009F500F" w:rsidRDefault="00D72E20" w:rsidP="00FF4C81">
      <w:pPr>
        <w:pStyle w:val="afff3"/>
        <w:numPr>
          <w:ilvl w:val="3"/>
          <w:numId w:val="42"/>
        </w:numPr>
        <w:rPr>
          <w:bCs/>
          <w:iCs/>
          <w:szCs w:val="24"/>
        </w:rPr>
      </w:pPr>
      <w:r w:rsidRPr="009F500F">
        <w:rPr>
          <w:bCs/>
          <w:iCs/>
          <w:szCs w:val="24"/>
        </w:rPr>
        <w:t>А</w:t>
      </w:r>
      <w:r w:rsidR="00533FE8" w:rsidRPr="009F500F">
        <w:rPr>
          <w:bCs/>
          <w:iCs/>
          <w:szCs w:val="24"/>
        </w:rPr>
        <w:t>спарагиназа</w:t>
      </w:r>
      <w:r w:rsidR="00714B4A" w:rsidRPr="009F500F">
        <w:rPr>
          <w:bCs/>
          <w:iCs/>
          <w:szCs w:val="24"/>
        </w:rPr>
        <w:t>**</w:t>
      </w:r>
      <w:r w:rsidR="00303682" w:rsidRPr="009F500F">
        <w:rPr>
          <w:bCs/>
          <w:iCs/>
          <w:szCs w:val="24"/>
        </w:rPr>
        <w:t xml:space="preserve"> 6000 ЕД/м², 29-й и</w:t>
      </w:r>
      <w:r w:rsidR="00533FE8" w:rsidRPr="009F500F">
        <w:rPr>
          <w:bCs/>
          <w:iCs/>
          <w:szCs w:val="24"/>
        </w:rPr>
        <w:t xml:space="preserve"> 36</w:t>
      </w:r>
      <w:r w:rsidR="00303682" w:rsidRPr="009F500F">
        <w:rPr>
          <w:bCs/>
          <w:iCs/>
          <w:szCs w:val="24"/>
        </w:rPr>
        <w:t>-й</w:t>
      </w:r>
      <w:r w:rsidR="00533FE8" w:rsidRPr="009F500F">
        <w:rPr>
          <w:bCs/>
          <w:iCs/>
          <w:szCs w:val="24"/>
        </w:rPr>
        <w:t xml:space="preserve"> дни</w:t>
      </w:r>
      <w:r w:rsidR="00797B22" w:rsidRPr="009F500F">
        <w:rPr>
          <w:bCs/>
          <w:iCs/>
          <w:szCs w:val="24"/>
        </w:rPr>
        <w:t xml:space="preserve"> или пэгаспаргаза 600 ЕД/м², 29-й день</w:t>
      </w:r>
    </w:p>
    <w:p w14:paraId="6EFF4259" w14:textId="77777777" w:rsidR="00533FE8" w:rsidRPr="007264C7" w:rsidRDefault="00533FE8" w:rsidP="00533FE8">
      <w:pPr>
        <w:rPr>
          <w:b/>
          <w:bCs/>
          <w:i/>
          <w:iCs/>
          <w:szCs w:val="24"/>
        </w:rPr>
      </w:pPr>
    </w:p>
    <w:p w14:paraId="51A13B8E" w14:textId="77777777" w:rsidR="00533FE8" w:rsidRPr="007264C7" w:rsidRDefault="00720E5F" w:rsidP="00533FE8">
      <w:pPr>
        <w:jc w:val="center"/>
        <w:rPr>
          <w:b/>
          <w:szCs w:val="24"/>
        </w:rPr>
      </w:pPr>
      <w:r>
        <w:rPr>
          <w:noProof/>
          <w:szCs w:val="24"/>
        </w:rPr>
        <mc:AlternateContent>
          <mc:Choice Requires="wps">
            <w:drawing>
              <wp:anchor distT="0" distB="0" distL="114300" distR="114300" simplePos="0" relativeHeight="251658752" behindDoc="0" locked="0" layoutInCell="1" allowOverlap="1" wp14:anchorId="31F7E88D" wp14:editId="0EA1271E">
                <wp:simplePos x="0" y="0"/>
                <wp:positionH relativeFrom="column">
                  <wp:posOffset>2757805</wp:posOffset>
                </wp:positionH>
                <wp:positionV relativeFrom="paragraph">
                  <wp:posOffset>240030</wp:posOffset>
                </wp:positionV>
                <wp:extent cx="0" cy="182880"/>
                <wp:effectExtent l="63500" t="0" r="25400" b="20320"/>
                <wp:wrapNone/>
                <wp:docPr id="33" name="Line 30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1828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D7ACC3" id="Line 301"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7.15pt,18.9pt" to="217.15pt,3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">
                <v:stroke endarrow="block"/>
                <o:lock v:ext="edit" shapetype="f"/>
              </v:line>
            </w:pict>
          </mc:Fallback>
        </mc:AlternateContent>
      </w:r>
      <w:r w:rsidR="00533FE8" w:rsidRPr="007264C7">
        <w:rPr>
          <w:b/>
          <w:bCs/>
          <w:szCs w:val="24"/>
        </w:rPr>
        <w:t>Пункция КМ на 36</w:t>
      </w:r>
      <w:r w:rsidR="00303682">
        <w:rPr>
          <w:b/>
          <w:bCs/>
          <w:szCs w:val="24"/>
        </w:rPr>
        <w:t>-й</w:t>
      </w:r>
      <w:r w:rsidR="00533FE8" w:rsidRPr="007264C7">
        <w:rPr>
          <w:b/>
          <w:bCs/>
          <w:szCs w:val="24"/>
        </w:rPr>
        <w:t xml:space="preserve"> день</w:t>
      </w:r>
    </w:p>
    <w:p w14:paraId="31768DBB" w14:textId="77777777" w:rsidR="00533FE8" w:rsidRPr="007264C7" w:rsidRDefault="00533FE8" w:rsidP="00533FE8">
      <w:pPr>
        <w:rPr>
          <w:szCs w:val="24"/>
        </w:rPr>
      </w:pPr>
      <w:r w:rsidRPr="007264C7">
        <w:rPr>
          <w:szCs w:val="24"/>
        </w:rPr>
        <w:t xml:space="preserve"> </w:t>
      </w:r>
    </w:p>
    <w:p w14:paraId="2C27FBED" w14:textId="77777777" w:rsidR="00533FE8" w:rsidRPr="007264C7" w:rsidRDefault="00533FE8" w:rsidP="00533FE8">
      <w:pPr>
        <w:ind w:left="2431"/>
        <w:rPr>
          <w:szCs w:val="24"/>
        </w:rPr>
      </w:pPr>
      <w:r w:rsidRPr="007264C7">
        <w:rPr>
          <w:b/>
          <w:bCs/>
          <w:i/>
          <w:iCs/>
          <w:szCs w:val="24"/>
        </w:rPr>
        <w:t xml:space="preserve">               </w:t>
      </w:r>
      <w:r w:rsidR="00303682" w:rsidRPr="007264C7">
        <w:rPr>
          <w:b/>
          <w:bCs/>
          <w:i/>
          <w:iCs/>
          <w:szCs w:val="24"/>
          <w:lang w:val="en-US"/>
        </w:rPr>
        <w:t>II</w:t>
      </w:r>
      <w:r w:rsidR="00303682" w:rsidRPr="007264C7">
        <w:rPr>
          <w:b/>
          <w:bCs/>
          <w:i/>
          <w:iCs/>
          <w:szCs w:val="24"/>
        </w:rPr>
        <w:t xml:space="preserve"> фаза </w:t>
      </w:r>
      <w:r w:rsidR="00303682">
        <w:rPr>
          <w:b/>
          <w:bCs/>
          <w:i/>
          <w:iCs/>
          <w:szCs w:val="24"/>
        </w:rPr>
        <w:t>индукции</w:t>
      </w:r>
      <w:r w:rsidRPr="007264C7">
        <w:rPr>
          <w:b/>
          <w:bCs/>
          <w:i/>
          <w:iCs/>
          <w:szCs w:val="24"/>
        </w:rPr>
        <w:t xml:space="preserve">  </w:t>
      </w:r>
    </w:p>
    <w:p w14:paraId="14F88765" w14:textId="77777777" w:rsidR="00533FE8" w:rsidRPr="000008B4" w:rsidRDefault="00533FE8" w:rsidP="00FF4C81">
      <w:pPr>
        <w:pStyle w:val="afff3"/>
        <w:numPr>
          <w:ilvl w:val="3"/>
          <w:numId w:val="41"/>
        </w:numPr>
        <w:rPr>
          <w:szCs w:val="24"/>
        </w:rPr>
      </w:pPr>
      <w:r w:rsidRPr="000008B4">
        <w:rPr>
          <w:szCs w:val="24"/>
        </w:rPr>
        <w:t>Меркаптопурин</w:t>
      </w:r>
      <w:r w:rsidR="00714B4A" w:rsidRPr="000008B4">
        <w:rPr>
          <w:szCs w:val="24"/>
        </w:rPr>
        <w:t>**</w:t>
      </w:r>
      <w:r w:rsidRPr="000008B4">
        <w:rPr>
          <w:szCs w:val="24"/>
        </w:rPr>
        <w:t xml:space="preserve"> 25 мг/м²</w:t>
      </w:r>
      <w:r w:rsidR="00303682" w:rsidRPr="000008B4">
        <w:rPr>
          <w:szCs w:val="24"/>
        </w:rPr>
        <w:t>, 43–</w:t>
      </w:r>
      <w:r w:rsidRPr="000008B4">
        <w:rPr>
          <w:szCs w:val="24"/>
        </w:rPr>
        <w:t>70</w:t>
      </w:r>
      <w:r w:rsidR="00303682" w:rsidRPr="000008B4">
        <w:rPr>
          <w:szCs w:val="24"/>
        </w:rPr>
        <w:t>-й</w:t>
      </w:r>
      <w:r w:rsidRPr="000008B4">
        <w:rPr>
          <w:szCs w:val="24"/>
        </w:rPr>
        <w:t xml:space="preserve"> дни</w:t>
      </w:r>
    </w:p>
    <w:p w14:paraId="1D6EEE6F" w14:textId="77777777" w:rsidR="00533FE8" w:rsidRPr="000008B4" w:rsidRDefault="004C2C6A" w:rsidP="00FF4C81">
      <w:pPr>
        <w:pStyle w:val="afff3"/>
        <w:numPr>
          <w:ilvl w:val="3"/>
          <w:numId w:val="41"/>
        </w:numPr>
        <w:rPr>
          <w:szCs w:val="24"/>
        </w:rPr>
      </w:pPr>
      <w:r w:rsidRPr="000008B4">
        <w:rPr>
          <w:szCs w:val="24"/>
        </w:rPr>
        <w:t>Циклофосфамид**</w:t>
      </w:r>
      <w:r w:rsidR="00533FE8" w:rsidRPr="000008B4">
        <w:rPr>
          <w:szCs w:val="24"/>
        </w:rPr>
        <w:t xml:space="preserve"> 1000 мг/м²</w:t>
      </w:r>
      <w:r w:rsidR="00303682" w:rsidRPr="000008B4">
        <w:rPr>
          <w:szCs w:val="24"/>
        </w:rPr>
        <w:t xml:space="preserve">, </w:t>
      </w:r>
      <w:r w:rsidR="00533FE8" w:rsidRPr="000008B4">
        <w:rPr>
          <w:szCs w:val="24"/>
        </w:rPr>
        <w:t>43</w:t>
      </w:r>
      <w:r w:rsidR="00303682" w:rsidRPr="000008B4">
        <w:rPr>
          <w:szCs w:val="24"/>
        </w:rPr>
        <w:t>-й</w:t>
      </w:r>
      <w:r w:rsidR="00533FE8" w:rsidRPr="000008B4">
        <w:rPr>
          <w:szCs w:val="24"/>
        </w:rPr>
        <w:t xml:space="preserve"> день </w:t>
      </w:r>
    </w:p>
    <w:p w14:paraId="43BDC967" w14:textId="77777777" w:rsidR="00533FE8" w:rsidRPr="000008B4" w:rsidRDefault="00421699" w:rsidP="00FF4C81">
      <w:pPr>
        <w:pStyle w:val="afff3"/>
        <w:numPr>
          <w:ilvl w:val="3"/>
          <w:numId w:val="41"/>
        </w:numPr>
        <w:rPr>
          <w:szCs w:val="24"/>
        </w:rPr>
      </w:pPr>
      <w:r w:rsidRPr="000008B4">
        <w:rPr>
          <w:szCs w:val="24"/>
        </w:rPr>
        <w:t>Цитарабин**</w:t>
      </w:r>
      <w:r w:rsidR="00533FE8" w:rsidRPr="000008B4">
        <w:rPr>
          <w:szCs w:val="24"/>
        </w:rPr>
        <w:t xml:space="preserve"> 50 мг/м²</w:t>
      </w:r>
      <w:r w:rsidR="00303682" w:rsidRPr="000008B4">
        <w:rPr>
          <w:szCs w:val="24"/>
        </w:rPr>
        <w:t>, 45–</w:t>
      </w:r>
      <w:r w:rsidR="00533FE8" w:rsidRPr="000008B4">
        <w:rPr>
          <w:szCs w:val="24"/>
        </w:rPr>
        <w:t>48</w:t>
      </w:r>
      <w:r w:rsidR="00303682" w:rsidRPr="000008B4">
        <w:rPr>
          <w:szCs w:val="24"/>
        </w:rPr>
        <w:t>-й, 59–</w:t>
      </w:r>
      <w:r w:rsidR="00533FE8" w:rsidRPr="000008B4">
        <w:rPr>
          <w:szCs w:val="24"/>
        </w:rPr>
        <w:t>62</w:t>
      </w:r>
      <w:r w:rsidR="00303682" w:rsidRPr="000008B4">
        <w:rPr>
          <w:szCs w:val="24"/>
        </w:rPr>
        <w:t>-й</w:t>
      </w:r>
      <w:r w:rsidR="00533FE8" w:rsidRPr="000008B4">
        <w:rPr>
          <w:szCs w:val="24"/>
        </w:rPr>
        <w:t xml:space="preserve"> дни</w:t>
      </w:r>
    </w:p>
    <w:p w14:paraId="62E44D48" w14:textId="1525A73B" w:rsidR="00533FE8" w:rsidRPr="009F500F" w:rsidRDefault="00D72E20" w:rsidP="00FF4C81">
      <w:pPr>
        <w:pStyle w:val="afff3"/>
        <w:numPr>
          <w:ilvl w:val="3"/>
          <w:numId w:val="41"/>
        </w:numPr>
        <w:rPr>
          <w:bCs/>
          <w:iCs/>
          <w:szCs w:val="24"/>
        </w:rPr>
      </w:pPr>
      <w:r w:rsidRPr="009F500F">
        <w:rPr>
          <w:szCs w:val="24"/>
        </w:rPr>
        <w:t>А</w:t>
      </w:r>
      <w:r w:rsidR="00533FE8" w:rsidRPr="009F500F">
        <w:rPr>
          <w:szCs w:val="24"/>
        </w:rPr>
        <w:t>спарагиназа</w:t>
      </w:r>
      <w:r w:rsidR="00714B4A" w:rsidRPr="009F500F">
        <w:rPr>
          <w:szCs w:val="24"/>
        </w:rPr>
        <w:t>**</w:t>
      </w:r>
      <w:r w:rsidR="00533FE8" w:rsidRPr="009F500F">
        <w:rPr>
          <w:szCs w:val="24"/>
        </w:rPr>
        <w:t xml:space="preserve"> 6000 ЕД</w:t>
      </w:r>
      <w:r w:rsidR="00533FE8" w:rsidRPr="009F500F">
        <w:rPr>
          <w:bCs/>
          <w:iCs/>
          <w:szCs w:val="24"/>
        </w:rPr>
        <w:t>/м²</w:t>
      </w:r>
      <w:r w:rsidR="00303682" w:rsidRPr="009F500F">
        <w:rPr>
          <w:bCs/>
          <w:iCs/>
          <w:szCs w:val="24"/>
        </w:rPr>
        <w:t xml:space="preserve">, </w:t>
      </w:r>
      <w:r w:rsidR="00533FE8" w:rsidRPr="009F500F">
        <w:rPr>
          <w:bCs/>
          <w:iCs/>
          <w:szCs w:val="24"/>
        </w:rPr>
        <w:t>50, 57, 64</w:t>
      </w:r>
      <w:r w:rsidR="00303682" w:rsidRPr="009F500F">
        <w:rPr>
          <w:bCs/>
          <w:iCs/>
          <w:szCs w:val="24"/>
        </w:rPr>
        <w:t>-й</w:t>
      </w:r>
      <w:r w:rsidR="00533FE8" w:rsidRPr="009F500F">
        <w:rPr>
          <w:bCs/>
          <w:iCs/>
          <w:szCs w:val="24"/>
        </w:rPr>
        <w:t xml:space="preserve"> дни</w:t>
      </w:r>
      <w:r w:rsidR="00797B22" w:rsidRPr="009F500F">
        <w:rPr>
          <w:bCs/>
          <w:iCs/>
          <w:szCs w:val="24"/>
        </w:rPr>
        <w:t xml:space="preserve"> или пэгаспаргаза 600 ЕД/м², 50-й и 64-й день</w:t>
      </w:r>
    </w:p>
    <w:p w14:paraId="6B75AD54" w14:textId="77777777" w:rsidR="00533FE8" w:rsidRPr="007264C7" w:rsidRDefault="00533FE8" w:rsidP="00533FE8">
      <w:pPr>
        <w:ind w:firstLine="120"/>
        <w:rPr>
          <w:b/>
          <w:bCs/>
          <w:szCs w:val="24"/>
        </w:rPr>
      </w:pPr>
      <w:r w:rsidRPr="007264C7">
        <w:rPr>
          <w:b/>
          <w:bCs/>
          <w:szCs w:val="24"/>
        </w:rPr>
        <w:t xml:space="preserve">                                                Пункция КМ на 70</w:t>
      </w:r>
      <w:r w:rsidR="00303682">
        <w:rPr>
          <w:b/>
          <w:bCs/>
          <w:szCs w:val="24"/>
        </w:rPr>
        <w:t>-й</w:t>
      </w:r>
      <w:r w:rsidRPr="007264C7">
        <w:rPr>
          <w:b/>
          <w:bCs/>
          <w:szCs w:val="24"/>
        </w:rPr>
        <w:t xml:space="preserve"> день</w:t>
      </w:r>
    </w:p>
    <w:p w14:paraId="1C87581E" w14:textId="77777777" w:rsidR="00533FE8" w:rsidRPr="007264C7" w:rsidRDefault="00720E5F" w:rsidP="00533FE8">
      <w:pPr>
        <w:ind w:firstLine="120"/>
        <w:rPr>
          <w:bCs/>
          <w:iCs/>
          <w:szCs w:val="24"/>
        </w:rPr>
      </w:pPr>
      <w:r>
        <w:rPr>
          <w:noProof/>
          <w:szCs w:val="24"/>
        </w:rPr>
        <mc:AlternateContent>
          <mc:Choice Requires="wps">
            <w:drawing>
              <wp:anchor distT="0" distB="0" distL="114300" distR="114300" simplePos="0" relativeHeight="251656704" behindDoc="0" locked="0" layoutInCell="1" allowOverlap="1" wp14:anchorId="57665EB9" wp14:editId="0D4CBB39">
                <wp:simplePos x="0" y="0"/>
                <wp:positionH relativeFrom="column">
                  <wp:posOffset>4037330</wp:posOffset>
                </wp:positionH>
                <wp:positionV relativeFrom="paragraph">
                  <wp:posOffset>-3175</wp:posOffset>
                </wp:positionV>
                <wp:extent cx="1216025" cy="125730"/>
                <wp:effectExtent l="0" t="0" r="41275" b="52070"/>
                <wp:wrapNone/>
                <wp:docPr id="32" name="Line 29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216025" cy="12573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84431C" id="Line 299"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7.9pt,-.25pt" to="413.65pt,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">
                <v:stroke endarrow="block"/>
                <o:lock v:ext="edit" shapetype="f"/>
              </v:line>
            </w:pict>
          </mc:Fallback>
        </mc:AlternateContent>
      </w:r>
      <w:r>
        <w:rPr>
          <w:noProof/>
          <w:szCs w:val="24"/>
        </w:rPr>
        <mc:AlternateContent>
          <mc:Choice Requires="wps">
            <w:drawing>
              <wp:anchor distT="0" distB="0" distL="114300" distR="114300" simplePos="0" relativeHeight="251655680" behindDoc="0" locked="0" layoutInCell="1" allowOverlap="1" wp14:anchorId="53B72F48" wp14:editId="359DB220">
                <wp:simplePos x="0" y="0"/>
                <wp:positionH relativeFrom="column">
                  <wp:posOffset>712470</wp:posOffset>
                </wp:positionH>
                <wp:positionV relativeFrom="paragraph">
                  <wp:posOffset>-3175</wp:posOffset>
                </wp:positionV>
                <wp:extent cx="1187450" cy="125730"/>
                <wp:effectExtent l="25400" t="0" r="6350" b="52070"/>
                <wp:wrapNone/>
                <wp:docPr id="31" name="Line 29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1187450" cy="12573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47F86B" id="Line 298" o:spid="_x0000_s1026" style="position:absolute;flip:x;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1pt,-.25pt" to="149.6pt,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">
                <v:stroke endarrow="block"/>
                <o:lock v:ext="edit" shapetype="f"/>
              </v:line>
            </w:pict>
          </mc:Fallback>
        </mc:AlternateContent>
      </w:r>
    </w:p>
    <w:p w14:paraId="0F4C4042" w14:textId="77777777" w:rsidR="00533FE8" w:rsidRPr="007264C7" w:rsidRDefault="00720E5F" w:rsidP="00533FE8">
      <w:pPr>
        <w:ind w:firstLine="120"/>
        <w:rPr>
          <w:szCs w:val="24"/>
        </w:rPr>
      </w:pPr>
      <w:r>
        <w:rPr>
          <w:noProof/>
          <w:szCs w:val="24"/>
        </w:rPr>
        <mc:AlternateContent>
          <mc:Choice Requires="wps">
            <w:drawing>
              <wp:anchor distT="0" distB="0" distL="114300" distR="114300" simplePos="0" relativeHeight="251657728" behindDoc="0" locked="0" layoutInCell="1" allowOverlap="1" wp14:anchorId="7DC74EB6" wp14:editId="62239B32">
                <wp:simplePos x="0" y="0"/>
                <wp:positionH relativeFrom="column">
                  <wp:posOffset>4857750</wp:posOffset>
                </wp:positionH>
                <wp:positionV relativeFrom="paragraph">
                  <wp:posOffset>173990</wp:posOffset>
                </wp:positionV>
                <wp:extent cx="0" cy="289560"/>
                <wp:effectExtent l="63500" t="0" r="38100" b="27940"/>
                <wp:wrapNone/>
                <wp:docPr id="30" name="Line 30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895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1FCE73" id="Line 300"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2.5pt,13.7pt" to="382.5pt,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">
                <v:stroke endarrow="block"/>
                <o:lock v:ext="edit" shapetype="f"/>
              </v:line>
            </w:pict>
          </mc:Fallback>
        </mc:AlternateContent>
      </w:r>
      <w:r w:rsidR="00533FE8" w:rsidRPr="007264C7">
        <w:rPr>
          <w:b/>
          <w:bCs/>
          <w:szCs w:val="24"/>
        </w:rPr>
        <w:t xml:space="preserve">      </w:t>
      </w:r>
      <w:r w:rsidR="00337DF1" w:rsidRPr="00337DF1">
        <w:rPr>
          <w:szCs w:val="24"/>
        </w:rPr>
        <w:t>≤</w:t>
      </w:r>
      <w:r w:rsidR="00533FE8" w:rsidRPr="007264C7">
        <w:rPr>
          <w:szCs w:val="24"/>
        </w:rPr>
        <w:t>5</w:t>
      </w:r>
      <w:r w:rsidR="00303682">
        <w:rPr>
          <w:szCs w:val="24"/>
        </w:rPr>
        <w:t xml:space="preserve"> </w:t>
      </w:r>
      <w:r w:rsidR="00533FE8" w:rsidRPr="007264C7">
        <w:rPr>
          <w:szCs w:val="24"/>
        </w:rPr>
        <w:t xml:space="preserve">% бластов                                                        </w:t>
      </w:r>
      <w:r w:rsidR="00533FE8" w:rsidRPr="007264C7">
        <w:rPr>
          <w:szCs w:val="24"/>
        </w:rPr>
        <w:tab/>
      </w:r>
      <w:r w:rsidR="00533FE8" w:rsidRPr="007264C7">
        <w:rPr>
          <w:szCs w:val="24"/>
        </w:rPr>
        <w:tab/>
      </w:r>
      <w:r w:rsidR="00533FE8" w:rsidRPr="007264C7">
        <w:rPr>
          <w:szCs w:val="24"/>
        </w:rPr>
        <w:tab/>
        <w:t>&gt;5</w:t>
      </w:r>
      <w:r w:rsidR="00303682">
        <w:rPr>
          <w:szCs w:val="24"/>
        </w:rPr>
        <w:t xml:space="preserve"> </w:t>
      </w:r>
      <w:r w:rsidR="00533FE8" w:rsidRPr="007264C7">
        <w:rPr>
          <w:szCs w:val="24"/>
        </w:rPr>
        <w:t>% бластов</w:t>
      </w:r>
    </w:p>
    <w:p w14:paraId="7B49D0C8" w14:textId="77777777" w:rsidR="00533FE8" w:rsidRPr="007264C7" w:rsidRDefault="00720E5F" w:rsidP="00533FE8">
      <w:pPr>
        <w:rPr>
          <w:szCs w:val="24"/>
        </w:rPr>
      </w:pPr>
      <w:r>
        <w:rPr>
          <w:noProof/>
          <w:szCs w:val="24"/>
        </w:rPr>
        <w:lastRenderedPageBreak/>
        <mc:AlternateContent>
          <mc:Choice Requires="wps">
            <w:drawing>
              <wp:anchor distT="0" distB="0" distL="114300" distR="114300" simplePos="0" relativeHeight="251660800" behindDoc="0" locked="0" layoutInCell="1" allowOverlap="1" wp14:anchorId="0B05A968" wp14:editId="73409EE5">
                <wp:simplePos x="0" y="0"/>
                <wp:positionH relativeFrom="column">
                  <wp:posOffset>1068705</wp:posOffset>
                </wp:positionH>
                <wp:positionV relativeFrom="paragraph">
                  <wp:posOffset>57785</wp:posOffset>
                </wp:positionV>
                <wp:extent cx="0" cy="194310"/>
                <wp:effectExtent l="63500" t="0" r="25400" b="21590"/>
                <wp:wrapNone/>
                <wp:docPr id="29" name="Line 30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0" cy="1943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E2D0BD" id="Line 303" o:spid="_x0000_s1026" style="position:absolute;flip:x;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4.15pt,4.55pt" to="84.15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">
                <v:stroke endarrow="block"/>
                <o:lock v:ext="edit" shapetype="f"/>
              </v:line>
            </w:pict>
          </mc:Fallback>
        </mc:AlternateContent>
      </w:r>
    </w:p>
    <w:p w14:paraId="59DB7A52" w14:textId="77777777" w:rsidR="00533FE8" w:rsidRPr="007264C7" w:rsidRDefault="00533FE8" w:rsidP="00533FE8">
      <w:pPr>
        <w:rPr>
          <w:b/>
          <w:bCs/>
          <w:i/>
          <w:iCs/>
          <w:szCs w:val="24"/>
        </w:rPr>
      </w:pPr>
      <w:r w:rsidRPr="007264C7">
        <w:rPr>
          <w:b/>
          <w:bCs/>
          <w:i/>
          <w:iCs/>
          <w:szCs w:val="24"/>
        </w:rPr>
        <w:t xml:space="preserve">               Консолидация  </w:t>
      </w:r>
      <w:r w:rsidRPr="007264C7">
        <w:rPr>
          <w:b/>
          <w:bCs/>
          <w:i/>
          <w:iCs/>
          <w:szCs w:val="24"/>
          <w:lang w:val="en-US"/>
        </w:rPr>
        <w:t>I</w:t>
      </w:r>
      <w:r w:rsidRPr="007264C7">
        <w:rPr>
          <w:b/>
          <w:bCs/>
          <w:i/>
          <w:iCs/>
          <w:szCs w:val="24"/>
        </w:rPr>
        <w:t xml:space="preserve">                                                                    </w:t>
      </w:r>
      <w:r w:rsidR="00BD6C1E">
        <w:rPr>
          <w:b/>
          <w:bCs/>
          <w:i/>
          <w:iCs/>
          <w:szCs w:val="24"/>
        </w:rPr>
        <w:t>П</w:t>
      </w:r>
      <w:r w:rsidRPr="007264C7">
        <w:rPr>
          <w:b/>
          <w:bCs/>
          <w:i/>
          <w:iCs/>
          <w:szCs w:val="24"/>
        </w:rPr>
        <w:t>рограмма</w:t>
      </w:r>
    </w:p>
    <w:p w14:paraId="53F08AC2" w14:textId="77777777" w:rsidR="00533FE8" w:rsidRPr="00870570" w:rsidRDefault="00533FE8" w:rsidP="00FF4C81">
      <w:pPr>
        <w:pStyle w:val="afff3"/>
        <w:numPr>
          <w:ilvl w:val="0"/>
          <w:numId w:val="40"/>
        </w:numPr>
        <w:rPr>
          <w:szCs w:val="24"/>
        </w:rPr>
      </w:pPr>
      <w:r w:rsidRPr="00870570">
        <w:rPr>
          <w:bCs/>
          <w:iCs/>
          <w:szCs w:val="24"/>
        </w:rPr>
        <w:t>Дексаметазон</w:t>
      </w:r>
      <w:r w:rsidR="006F5D03" w:rsidRPr="00870570">
        <w:rPr>
          <w:bCs/>
          <w:iCs/>
          <w:szCs w:val="24"/>
        </w:rPr>
        <w:t>**</w:t>
      </w:r>
      <w:r w:rsidRPr="00870570">
        <w:rPr>
          <w:szCs w:val="24"/>
        </w:rPr>
        <w:t xml:space="preserve"> 6 мг/м²</w:t>
      </w:r>
      <w:r w:rsidR="00303682" w:rsidRPr="00870570">
        <w:rPr>
          <w:szCs w:val="24"/>
        </w:rPr>
        <w:t>,</w:t>
      </w:r>
      <w:r w:rsidRPr="00870570">
        <w:rPr>
          <w:szCs w:val="24"/>
        </w:rPr>
        <w:t xml:space="preserve"> </w:t>
      </w:r>
      <w:r w:rsidR="00303682" w:rsidRPr="00870570">
        <w:rPr>
          <w:szCs w:val="24"/>
        </w:rPr>
        <w:t>71–</w:t>
      </w:r>
      <w:r w:rsidRPr="00870570">
        <w:rPr>
          <w:szCs w:val="24"/>
        </w:rPr>
        <w:t>84</w:t>
      </w:r>
      <w:r w:rsidR="00303682" w:rsidRPr="00870570">
        <w:rPr>
          <w:szCs w:val="24"/>
        </w:rPr>
        <w:t>-й</w:t>
      </w:r>
      <w:r w:rsidR="00870570">
        <w:rPr>
          <w:szCs w:val="24"/>
        </w:rPr>
        <w:t xml:space="preserve"> дни + 7 дней отмены</w:t>
      </w:r>
      <w:r w:rsidR="00870570">
        <w:rPr>
          <w:szCs w:val="24"/>
        </w:rPr>
        <w:tab/>
      </w:r>
      <w:r w:rsidR="00870570">
        <w:rPr>
          <w:szCs w:val="24"/>
        </w:rPr>
        <w:tab/>
        <w:t xml:space="preserve"> </w:t>
      </w:r>
      <w:r w:rsidRPr="00870570">
        <w:rPr>
          <w:b/>
          <w:i/>
          <w:szCs w:val="24"/>
        </w:rPr>
        <w:t>лечения</w:t>
      </w:r>
    </w:p>
    <w:p w14:paraId="4E080EB1" w14:textId="77777777" w:rsidR="00533FE8" w:rsidRPr="00870570" w:rsidRDefault="00533FE8" w:rsidP="00FF4C81">
      <w:pPr>
        <w:pStyle w:val="afff3"/>
        <w:numPr>
          <w:ilvl w:val="0"/>
          <w:numId w:val="40"/>
        </w:numPr>
        <w:tabs>
          <w:tab w:val="left" w:pos="5249"/>
        </w:tabs>
        <w:rPr>
          <w:szCs w:val="24"/>
        </w:rPr>
      </w:pPr>
      <w:r w:rsidRPr="00870570">
        <w:rPr>
          <w:szCs w:val="24"/>
        </w:rPr>
        <w:t>Доксорубицин</w:t>
      </w:r>
      <w:r w:rsidR="00067484" w:rsidRPr="00870570">
        <w:rPr>
          <w:szCs w:val="24"/>
        </w:rPr>
        <w:t>**</w:t>
      </w:r>
      <w:r w:rsidRPr="00870570">
        <w:rPr>
          <w:szCs w:val="24"/>
        </w:rPr>
        <w:t xml:space="preserve"> 30 мг/м²</w:t>
      </w:r>
      <w:r w:rsidR="00303682" w:rsidRPr="00870570">
        <w:rPr>
          <w:szCs w:val="24"/>
        </w:rPr>
        <w:t>, 71-й и</w:t>
      </w:r>
      <w:r w:rsidRPr="00870570">
        <w:rPr>
          <w:szCs w:val="24"/>
        </w:rPr>
        <w:t xml:space="preserve"> 85</w:t>
      </w:r>
      <w:r w:rsidR="00303682" w:rsidRPr="00870570">
        <w:rPr>
          <w:szCs w:val="24"/>
        </w:rPr>
        <w:t>-й</w:t>
      </w:r>
      <w:r w:rsidRPr="00870570">
        <w:rPr>
          <w:szCs w:val="24"/>
        </w:rPr>
        <w:t xml:space="preserve"> дни </w:t>
      </w:r>
      <w:r w:rsidRPr="00870570">
        <w:rPr>
          <w:szCs w:val="24"/>
        </w:rPr>
        <w:tab/>
      </w:r>
      <w:r w:rsidRPr="00870570">
        <w:rPr>
          <w:szCs w:val="24"/>
        </w:rPr>
        <w:tab/>
      </w:r>
      <w:r w:rsidRPr="00870570">
        <w:rPr>
          <w:szCs w:val="24"/>
        </w:rPr>
        <w:tab/>
        <w:t xml:space="preserve">  </w:t>
      </w:r>
      <w:r w:rsidRPr="00870570">
        <w:rPr>
          <w:b/>
          <w:i/>
          <w:szCs w:val="24"/>
        </w:rPr>
        <w:t>резистентных форм</w:t>
      </w:r>
      <w:r w:rsidRPr="00870570">
        <w:rPr>
          <w:szCs w:val="24"/>
        </w:rPr>
        <w:t xml:space="preserve">            </w:t>
      </w:r>
    </w:p>
    <w:p w14:paraId="26286A74" w14:textId="77777777" w:rsidR="00533FE8" w:rsidRPr="00870570" w:rsidRDefault="00533FE8" w:rsidP="00FF4C81">
      <w:pPr>
        <w:pStyle w:val="afff3"/>
        <w:numPr>
          <w:ilvl w:val="0"/>
          <w:numId w:val="40"/>
        </w:numPr>
        <w:rPr>
          <w:szCs w:val="24"/>
        </w:rPr>
      </w:pPr>
      <w:r w:rsidRPr="00870570">
        <w:rPr>
          <w:bCs/>
          <w:iCs/>
          <w:szCs w:val="24"/>
        </w:rPr>
        <w:t>Винкристин</w:t>
      </w:r>
      <w:r w:rsidR="00457E7B" w:rsidRPr="00870570">
        <w:rPr>
          <w:bCs/>
          <w:iCs/>
          <w:szCs w:val="24"/>
        </w:rPr>
        <w:t>**</w:t>
      </w:r>
      <w:r w:rsidRPr="00870570">
        <w:rPr>
          <w:bCs/>
          <w:iCs/>
          <w:szCs w:val="24"/>
        </w:rPr>
        <w:t xml:space="preserve"> 2 мг</w:t>
      </w:r>
      <w:r w:rsidR="00303682" w:rsidRPr="00870570">
        <w:rPr>
          <w:bCs/>
          <w:iCs/>
          <w:szCs w:val="24"/>
        </w:rPr>
        <w:t>,</w:t>
      </w:r>
      <w:r w:rsidR="00303682" w:rsidRPr="00870570">
        <w:rPr>
          <w:szCs w:val="24"/>
        </w:rPr>
        <w:t xml:space="preserve"> 71-й и 85-й дни</w:t>
      </w:r>
      <w:r w:rsidRPr="00870570">
        <w:rPr>
          <w:szCs w:val="24"/>
        </w:rPr>
        <w:t xml:space="preserve">   </w:t>
      </w:r>
    </w:p>
    <w:p w14:paraId="7788A8EC" w14:textId="77777777" w:rsidR="00533FE8" w:rsidRPr="007264C7" w:rsidRDefault="00720E5F" w:rsidP="00533FE8">
      <w:pPr>
        <w:rPr>
          <w:szCs w:val="24"/>
        </w:rPr>
      </w:pPr>
      <w:r>
        <w:rPr>
          <w:noProof/>
          <w:szCs w:val="24"/>
        </w:rPr>
        <mc:AlternateContent>
          <mc:Choice Requires="wps">
            <w:drawing>
              <wp:anchor distT="0" distB="0" distL="114300" distR="114300" simplePos="0" relativeHeight="251659776" behindDoc="0" locked="0" layoutInCell="1" allowOverlap="1" wp14:anchorId="111CA62A" wp14:editId="131F4D30">
                <wp:simplePos x="0" y="0"/>
                <wp:positionH relativeFrom="column">
                  <wp:posOffset>1068705</wp:posOffset>
                </wp:positionH>
                <wp:positionV relativeFrom="paragraph">
                  <wp:posOffset>80645</wp:posOffset>
                </wp:positionV>
                <wp:extent cx="0" cy="228600"/>
                <wp:effectExtent l="63500" t="0" r="38100" b="25400"/>
                <wp:wrapNone/>
                <wp:docPr id="28" name="Line 30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BD707F" id="Line 302" o:spid="_x0000_s1026"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4.15pt,6.35pt" to="84.15pt,2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">
                <v:stroke endarrow="block"/>
                <o:lock v:ext="edit" shapetype="f"/>
              </v:line>
            </w:pict>
          </mc:Fallback>
        </mc:AlternateContent>
      </w:r>
      <w:r w:rsidR="00533FE8" w:rsidRPr="007264C7">
        <w:rPr>
          <w:szCs w:val="24"/>
        </w:rPr>
        <w:t xml:space="preserve">    </w:t>
      </w:r>
    </w:p>
    <w:p w14:paraId="50C55C32" w14:textId="77777777" w:rsidR="00533FE8" w:rsidRPr="007264C7" w:rsidRDefault="00533FE8" w:rsidP="00533FE8">
      <w:pPr>
        <w:rPr>
          <w:szCs w:val="24"/>
        </w:rPr>
      </w:pPr>
    </w:p>
    <w:p w14:paraId="3E6ECABF" w14:textId="77777777" w:rsidR="00533FE8" w:rsidRPr="007264C7" w:rsidRDefault="00720E5F" w:rsidP="00533FE8">
      <w:pPr>
        <w:rPr>
          <w:b/>
          <w:bCs/>
          <w:i/>
          <w:iCs/>
          <w:szCs w:val="24"/>
        </w:rPr>
      </w:pPr>
      <w:r>
        <w:rPr>
          <w:b/>
          <w:bCs/>
          <w:i/>
          <w:iCs/>
          <w:noProof/>
          <w:szCs w:val="24"/>
        </w:rPr>
        <mc:AlternateContent>
          <mc:Choice Requires="wps">
            <w:drawing>
              <wp:anchor distT="0" distB="0" distL="114300" distR="114300" simplePos="0" relativeHeight="251665920" behindDoc="0" locked="0" layoutInCell="1" allowOverlap="1" wp14:anchorId="32E0D932" wp14:editId="76F913D3">
                <wp:simplePos x="0" y="0"/>
                <wp:positionH relativeFrom="column">
                  <wp:posOffset>3235960</wp:posOffset>
                </wp:positionH>
                <wp:positionV relativeFrom="paragraph">
                  <wp:posOffset>139065</wp:posOffset>
                </wp:positionV>
                <wp:extent cx="302895" cy="556260"/>
                <wp:effectExtent l="0" t="0" r="1905" b="2540"/>
                <wp:wrapNone/>
                <wp:docPr id="27" name="AutoShape 3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2895" cy="556260"/>
                        </a:xfrm>
                        <a:prstGeom prst="rightBrace">
                          <a:avLst>
                            <a:gd name="adj1" fmla="val 15304"/>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B533A2" id="AutoShape 308" o:spid="_x0000_s1026" type="#_x0000_t88" style="position:absolute;margin-left:254.8pt;margin-top:10.95pt;width:23.85pt;height:43.8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"/>
            </w:pict>
          </mc:Fallback>
        </mc:AlternateContent>
      </w:r>
      <w:r>
        <w:rPr>
          <w:bCs/>
          <w:iCs/>
          <w:noProof/>
          <w:szCs w:val="24"/>
        </w:rPr>
        <mc:AlternateContent>
          <mc:Choice Requires="wps">
            <w:drawing>
              <wp:anchor distT="0" distB="0" distL="114300" distR="114300" simplePos="0" relativeHeight="251663872" behindDoc="0" locked="0" layoutInCell="1" allowOverlap="1" wp14:anchorId="4C7A7C7D" wp14:editId="1206A48D">
                <wp:simplePos x="0" y="0"/>
                <wp:positionH relativeFrom="column">
                  <wp:posOffset>3465830</wp:posOffset>
                </wp:positionH>
                <wp:positionV relativeFrom="paragraph">
                  <wp:posOffset>61595</wp:posOffset>
                </wp:positionV>
                <wp:extent cx="2152650" cy="782955"/>
                <wp:effectExtent l="0" t="0" r="6350" b="4445"/>
                <wp:wrapNone/>
                <wp:docPr id="26" name="Text Box 3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152650" cy="782955"/>
                        </a:xfrm>
                        <a:prstGeom prst="rect">
                          <a:avLst/>
                        </a:prstGeom>
                        <a:solidFill>
                          <a:srgbClr val="FFFFFF"/>
                        </a:solidFill>
                        <a:ln w="9525">
                          <a:solidFill>
                            <a:srgbClr val="000000"/>
                          </a:solidFill>
                          <a:miter lim="800000"/>
                          <a:headEnd/>
                          <a:tailEnd/>
                        </a:ln>
                      </wps:spPr>
                      <wps:txbx>
                        <w:txbxContent>
                          <w:p w14:paraId="447AF9B0" w14:textId="77777777" w:rsidR="009E240E" w:rsidRPr="00CF48EE" w:rsidRDefault="009E240E" w:rsidP="00986B4F">
                            <w:pPr>
                              <w:jc w:val="left"/>
                            </w:pPr>
                            <w:r w:rsidRPr="00CF48EE">
                              <w:t>Модификация дозы меркаптопурина</w:t>
                            </w:r>
                            <w:r>
                              <w:t>**</w:t>
                            </w:r>
                            <w:r w:rsidRPr="00CF48EE">
                              <w:t xml:space="preserve"> в зависимости от уровня лейкоцитов и тромбоцитов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7A7C7D" id="Text Box 306" o:spid="_x0000_s1031" type="#_x0000_t202" style="position:absolute;left:0;text-align:left;margin-left:272.9pt;margin-top:4.85pt;width:169.5pt;height:61.6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">
                <v:path arrowok="t"/>
                <v:textbox>
                  <w:txbxContent>
                    <w:p w14:paraId="447AF9B0" w14:textId="77777777" w:rsidR="009E240E" w:rsidRPr="00CF48EE" w:rsidRDefault="009E240E" w:rsidP="00986B4F">
                      <w:pPr>
                        <w:jc w:val="left"/>
                      </w:pPr>
                      <w:r w:rsidRPr="00CF48EE">
                        <w:t>Модификация дозы меркаптопурина</w:t>
                      </w:r>
                      <w:r>
                        <w:t>**</w:t>
                      </w:r>
                      <w:r w:rsidRPr="00CF48EE">
                        <w:t xml:space="preserve"> в зависимости от уровня лейкоцитов и тромбоцитов</w:t>
                      </w:r>
                    </w:p>
                  </w:txbxContent>
                </v:textbox>
              </v:shape>
            </w:pict>
          </mc:Fallback>
        </mc:AlternateContent>
      </w:r>
      <w:r w:rsidR="00533FE8" w:rsidRPr="007264C7">
        <w:rPr>
          <w:b/>
          <w:bCs/>
          <w:i/>
          <w:iCs/>
          <w:szCs w:val="24"/>
        </w:rPr>
        <w:t xml:space="preserve">             Консолидация  </w:t>
      </w:r>
      <w:r w:rsidR="00533FE8" w:rsidRPr="007264C7">
        <w:rPr>
          <w:b/>
          <w:bCs/>
          <w:i/>
          <w:iCs/>
          <w:szCs w:val="24"/>
          <w:lang w:val="en-US"/>
        </w:rPr>
        <w:t>II</w:t>
      </w:r>
    </w:p>
    <w:p w14:paraId="3B64E065" w14:textId="77777777" w:rsidR="00533FE8" w:rsidRPr="00870570" w:rsidRDefault="00533FE8" w:rsidP="00FF4C81">
      <w:pPr>
        <w:pStyle w:val="afff3"/>
        <w:numPr>
          <w:ilvl w:val="0"/>
          <w:numId w:val="39"/>
        </w:numPr>
        <w:rPr>
          <w:szCs w:val="24"/>
        </w:rPr>
      </w:pPr>
      <w:r w:rsidRPr="00870570">
        <w:rPr>
          <w:szCs w:val="24"/>
        </w:rPr>
        <w:t>Меркаптопурин</w:t>
      </w:r>
      <w:r w:rsidR="00714B4A" w:rsidRPr="00870570">
        <w:rPr>
          <w:szCs w:val="24"/>
        </w:rPr>
        <w:t>**</w:t>
      </w:r>
      <w:r w:rsidRPr="00870570">
        <w:rPr>
          <w:szCs w:val="24"/>
        </w:rPr>
        <w:t xml:space="preserve"> 50 мг/м²</w:t>
      </w:r>
      <w:r w:rsidR="00303682" w:rsidRPr="00870570">
        <w:rPr>
          <w:szCs w:val="24"/>
        </w:rPr>
        <w:t>, 92–</w:t>
      </w:r>
      <w:r w:rsidRPr="00870570">
        <w:rPr>
          <w:szCs w:val="24"/>
        </w:rPr>
        <w:t>105</w:t>
      </w:r>
      <w:r w:rsidR="00303682" w:rsidRPr="00870570">
        <w:rPr>
          <w:szCs w:val="24"/>
        </w:rPr>
        <w:t>-й</w:t>
      </w:r>
      <w:r w:rsidRPr="00870570">
        <w:rPr>
          <w:szCs w:val="24"/>
        </w:rPr>
        <w:t xml:space="preserve"> дни</w:t>
      </w:r>
    </w:p>
    <w:p w14:paraId="280168D2" w14:textId="69083F7B" w:rsidR="00533FE8" w:rsidRPr="00EC7111" w:rsidRDefault="00D72E20" w:rsidP="00FF4C81">
      <w:pPr>
        <w:pStyle w:val="afff3"/>
        <w:numPr>
          <w:ilvl w:val="0"/>
          <w:numId w:val="39"/>
        </w:numPr>
        <w:rPr>
          <w:color w:val="FF0000"/>
          <w:szCs w:val="24"/>
        </w:rPr>
      </w:pPr>
      <w:r w:rsidRPr="009F500F">
        <w:rPr>
          <w:szCs w:val="24"/>
        </w:rPr>
        <w:t>А</w:t>
      </w:r>
      <w:r w:rsidR="00533FE8" w:rsidRPr="009F500F">
        <w:rPr>
          <w:szCs w:val="24"/>
        </w:rPr>
        <w:t>спарагиназа</w:t>
      </w:r>
      <w:r w:rsidR="00714B4A" w:rsidRPr="009F500F">
        <w:rPr>
          <w:szCs w:val="24"/>
        </w:rPr>
        <w:t>**</w:t>
      </w:r>
      <w:r w:rsidR="00533FE8" w:rsidRPr="009F500F">
        <w:rPr>
          <w:szCs w:val="24"/>
        </w:rPr>
        <w:t xml:space="preserve"> 6000 ЕД/м²</w:t>
      </w:r>
      <w:r w:rsidR="00303682" w:rsidRPr="009F500F">
        <w:rPr>
          <w:szCs w:val="24"/>
        </w:rPr>
        <w:t>, 92-й и</w:t>
      </w:r>
      <w:r w:rsidR="00533FE8" w:rsidRPr="009F500F">
        <w:rPr>
          <w:szCs w:val="24"/>
        </w:rPr>
        <w:t xml:space="preserve"> 99</w:t>
      </w:r>
      <w:r w:rsidR="00303682" w:rsidRPr="009F500F">
        <w:rPr>
          <w:szCs w:val="24"/>
        </w:rPr>
        <w:t>-й</w:t>
      </w:r>
      <w:r w:rsidR="00533FE8" w:rsidRPr="009F500F">
        <w:rPr>
          <w:szCs w:val="24"/>
        </w:rPr>
        <w:t xml:space="preserve"> дни</w:t>
      </w:r>
    </w:p>
    <w:p w14:paraId="591F09DE" w14:textId="4A444E53" w:rsidR="00533FE8" w:rsidRPr="009F500F" w:rsidRDefault="00797B22" w:rsidP="00533FE8">
      <w:pPr>
        <w:rPr>
          <w:szCs w:val="24"/>
        </w:rPr>
      </w:pPr>
      <w:r w:rsidRPr="009F500F">
        <w:rPr>
          <w:noProof/>
        </w:rPr>
        <mc:AlternateContent>
          <mc:Choice Requires="wps">
            <w:drawing>
              <wp:anchor distT="0" distB="0" distL="114300" distR="114300" simplePos="0" relativeHeight="251661824" behindDoc="0" locked="0" layoutInCell="1" allowOverlap="1" wp14:anchorId="23E3603C" wp14:editId="3CDAC92C">
                <wp:simplePos x="0" y="0"/>
                <wp:positionH relativeFrom="column">
                  <wp:posOffset>1179830</wp:posOffset>
                </wp:positionH>
                <wp:positionV relativeFrom="paragraph">
                  <wp:posOffset>218440</wp:posOffset>
                </wp:positionV>
                <wp:extent cx="0" cy="228600"/>
                <wp:effectExtent l="63500" t="0" r="38100" b="25400"/>
                <wp:wrapNone/>
                <wp:docPr id="25" name="Line 30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0CFEA4" id="Line 304" o:spid="_x0000_s1026" style="position:absolute;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2.9pt,17.2pt" to="92.9pt,3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">
                <v:stroke endarrow="block"/>
                <o:lock v:ext="edit" shapetype="f"/>
              </v:line>
            </w:pict>
          </mc:Fallback>
        </mc:AlternateContent>
      </w:r>
      <w:r w:rsidRPr="009F500F">
        <w:rPr>
          <w:bCs/>
          <w:iCs/>
          <w:szCs w:val="24"/>
        </w:rPr>
        <w:t>или пэгаспаргаза 600 ЕД/м², 92-й день</w:t>
      </w:r>
    </w:p>
    <w:tbl>
      <w:tblPr>
        <w:tblpPr w:leftFromText="180" w:rightFromText="180" w:vertAnchor="text" w:horzAnchor="page" w:tblpX="7043" w:tblpY="162"/>
        <w:tblW w:w="42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68"/>
        <w:gridCol w:w="1559"/>
        <w:gridCol w:w="1044"/>
      </w:tblGrid>
      <w:tr w:rsidR="00533FE8" w:rsidRPr="007264C7" w14:paraId="34855BA5" w14:textId="77777777" w:rsidTr="00533FE8">
        <w:trPr>
          <w:trHeight w:val="269"/>
        </w:trPr>
        <w:tc>
          <w:tcPr>
            <w:tcW w:w="1668" w:type="dxa"/>
          </w:tcPr>
          <w:p w14:paraId="16CA71BA" w14:textId="77777777" w:rsidR="00533FE8" w:rsidRPr="00303682" w:rsidRDefault="00303682" w:rsidP="00986B4F">
            <w:pPr>
              <w:jc w:val="left"/>
              <w:rPr>
                <w:b/>
                <w:szCs w:val="24"/>
              </w:rPr>
            </w:pPr>
            <w:r w:rsidRPr="00303682">
              <w:rPr>
                <w:b/>
                <w:szCs w:val="24"/>
              </w:rPr>
              <w:t>Ч</w:t>
            </w:r>
            <w:r w:rsidR="00533FE8" w:rsidRPr="00303682">
              <w:rPr>
                <w:b/>
                <w:szCs w:val="24"/>
              </w:rPr>
              <w:t>исло лейкоцитов</w:t>
            </w:r>
          </w:p>
        </w:tc>
        <w:tc>
          <w:tcPr>
            <w:tcW w:w="1559" w:type="dxa"/>
          </w:tcPr>
          <w:p w14:paraId="6F79AB82" w14:textId="77777777" w:rsidR="00533FE8" w:rsidRPr="00303682" w:rsidRDefault="00303682" w:rsidP="00986B4F">
            <w:pPr>
              <w:jc w:val="left"/>
              <w:rPr>
                <w:b/>
                <w:szCs w:val="24"/>
              </w:rPr>
            </w:pPr>
            <w:r w:rsidRPr="00303682">
              <w:rPr>
                <w:b/>
                <w:szCs w:val="24"/>
              </w:rPr>
              <w:t>Ч</w:t>
            </w:r>
            <w:r w:rsidR="00533FE8" w:rsidRPr="00303682">
              <w:rPr>
                <w:b/>
                <w:szCs w:val="24"/>
              </w:rPr>
              <w:t>исло тромбоцитов</w:t>
            </w:r>
          </w:p>
        </w:tc>
        <w:tc>
          <w:tcPr>
            <w:tcW w:w="1044" w:type="dxa"/>
          </w:tcPr>
          <w:p w14:paraId="29B58A3F" w14:textId="77777777" w:rsidR="00533FE8" w:rsidRPr="00303682" w:rsidRDefault="00303682" w:rsidP="00986B4F">
            <w:pPr>
              <w:jc w:val="left"/>
              <w:rPr>
                <w:b/>
                <w:szCs w:val="24"/>
              </w:rPr>
            </w:pPr>
            <w:r w:rsidRPr="00303682">
              <w:rPr>
                <w:b/>
                <w:szCs w:val="24"/>
              </w:rPr>
              <w:t>Д</w:t>
            </w:r>
            <w:r w:rsidR="00533FE8" w:rsidRPr="00303682">
              <w:rPr>
                <w:b/>
                <w:szCs w:val="24"/>
              </w:rPr>
              <w:t>оза 6-МР</w:t>
            </w:r>
          </w:p>
        </w:tc>
      </w:tr>
      <w:tr w:rsidR="00533FE8" w:rsidRPr="007264C7" w14:paraId="2D03F84A" w14:textId="77777777" w:rsidTr="00533FE8">
        <w:trPr>
          <w:trHeight w:val="204"/>
        </w:trPr>
        <w:tc>
          <w:tcPr>
            <w:tcW w:w="1668" w:type="dxa"/>
          </w:tcPr>
          <w:p w14:paraId="7B198ABA" w14:textId="77777777" w:rsidR="00533FE8" w:rsidRPr="007264C7" w:rsidRDefault="00303682" w:rsidP="00986B4F">
            <w:pPr>
              <w:jc w:val="left"/>
              <w:rPr>
                <w:szCs w:val="24"/>
              </w:rPr>
            </w:pPr>
            <w:r>
              <w:rPr>
                <w:szCs w:val="24"/>
              </w:rPr>
              <w:t>Б</w:t>
            </w:r>
            <w:r w:rsidR="00533FE8" w:rsidRPr="007264C7">
              <w:rPr>
                <w:szCs w:val="24"/>
              </w:rPr>
              <w:t>олее 2,0</w:t>
            </w:r>
            <w:r>
              <w:rPr>
                <w:szCs w:val="24"/>
              </w:rPr>
              <w:t xml:space="preserve"> × </w:t>
            </w:r>
            <w:r w:rsidR="00533FE8" w:rsidRPr="007264C7">
              <w:rPr>
                <w:szCs w:val="24"/>
              </w:rPr>
              <w:t>10</w:t>
            </w:r>
            <w:r w:rsidR="00533FE8" w:rsidRPr="007264C7">
              <w:rPr>
                <w:szCs w:val="24"/>
                <w:vertAlign w:val="superscript"/>
              </w:rPr>
              <w:t>9</w:t>
            </w:r>
            <w:r w:rsidR="00533FE8" w:rsidRPr="007264C7">
              <w:rPr>
                <w:szCs w:val="24"/>
              </w:rPr>
              <w:t>/л</w:t>
            </w:r>
          </w:p>
        </w:tc>
        <w:tc>
          <w:tcPr>
            <w:tcW w:w="1559" w:type="dxa"/>
          </w:tcPr>
          <w:p w14:paraId="1DEBEDD8" w14:textId="77777777" w:rsidR="00533FE8" w:rsidRPr="007264C7" w:rsidRDefault="00303682" w:rsidP="00986B4F">
            <w:pPr>
              <w:jc w:val="left"/>
              <w:rPr>
                <w:szCs w:val="24"/>
              </w:rPr>
            </w:pPr>
            <w:r>
              <w:rPr>
                <w:szCs w:val="24"/>
              </w:rPr>
              <w:t>Б</w:t>
            </w:r>
            <w:r w:rsidR="00533FE8" w:rsidRPr="007264C7">
              <w:rPr>
                <w:szCs w:val="24"/>
              </w:rPr>
              <w:t>олее 100</w:t>
            </w:r>
            <w:r>
              <w:rPr>
                <w:szCs w:val="24"/>
              </w:rPr>
              <w:t xml:space="preserve"> × </w:t>
            </w:r>
            <w:r w:rsidR="00533FE8" w:rsidRPr="007264C7">
              <w:rPr>
                <w:szCs w:val="24"/>
              </w:rPr>
              <w:t>10</w:t>
            </w:r>
            <w:r w:rsidR="00533FE8" w:rsidRPr="007264C7">
              <w:rPr>
                <w:szCs w:val="24"/>
                <w:vertAlign w:val="superscript"/>
              </w:rPr>
              <w:t>9</w:t>
            </w:r>
            <w:r w:rsidR="00533FE8" w:rsidRPr="007264C7">
              <w:rPr>
                <w:szCs w:val="24"/>
              </w:rPr>
              <w:t>/л</w:t>
            </w:r>
          </w:p>
        </w:tc>
        <w:tc>
          <w:tcPr>
            <w:tcW w:w="1044" w:type="dxa"/>
          </w:tcPr>
          <w:p w14:paraId="7F103D13" w14:textId="77777777" w:rsidR="00533FE8" w:rsidRPr="007264C7" w:rsidRDefault="00533FE8" w:rsidP="00986B4F">
            <w:pPr>
              <w:jc w:val="left"/>
              <w:rPr>
                <w:szCs w:val="24"/>
              </w:rPr>
            </w:pPr>
            <w:r w:rsidRPr="007264C7">
              <w:rPr>
                <w:szCs w:val="24"/>
              </w:rPr>
              <w:t>100</w:t>
            </w:r>
            <w:r w:rsidR="00303682">
              <w:rPr>
                <w:szCs w:val="24"/>
              </w:rPr>
              <w:t xml:space="preserve"> </w:t>
            </w:r>
            <w:r w:rsidRPr="007264C7">
              <w:rPr>
                <w:szCs w:val="24"/>
              </w:rPr>
              <w:t>% дозы</w:t>
            </w:r>
          </w:p>
        </w:tc>
      </w:tr>
      <w:tr w:rsidR="00533FE8" w:rsidRPr="007264C7" w14:paraId="7204AE66" w14:textId="77777777" w:rsidTr="00533FE8">
        <w:trPr>
          <w:trHeight w:val="269"/>
        </w:trPr>
        <w:tc>
          <w:tcPr>
            <w:tcW w:w="1668" w:type="dxa"/>
          </w:tcPr>
          <w:p w14:paraId="0C59086D" w14:textId="77777777" w:rsidR="00533FE8" w:rsidRPr="007264C7" w:rsidRDefault="00303682" w:rsidP="00986B4F">
            <w:pPr>
              <w:jc w:val="left"/>
              <w:rPr>
                <w:szCs w:val="24"/>
              </w:rPr>
            </w:pPr>
            <w:r>
              <w:rPr>
                <w:szCs w:val="24"/>
              </w:rPr>
              <w:t>О</w:t>
            </w:r>
            <w:r w:rsidR="00533FE8" w:rsidRPr="007264C7">
              <w:rPr>
                <w:szCs w:val="24"/>
              </w:rPr>
              <w:t>т 1,0</w:t>
            </w:r>
            <w:r>
              <w:rPr>
                <w:szCs w:val="24"/>
              </w:rPr>
              <w:t xml:space="preserve"> × </w:t>
            </w:r>
            <w:r w:rsidR="00533FE8" w:rsidRPr="007264C7">
              <w:rPr>
                <w:szCs w:val="24"/>
              </w:rPr>
              <w:t>10</w:t>
            </w:r>
            <w:r w:rsidR="00533FE8" w:rsidRPr="007264C7">
              <w:rPr>
                <w:szCs w:val="24"/>
                <w:vertAlign w:val="superscript"/>
              </w:rPr>
              <w:t>9</w:t>
            </w:r>
            <w:r>
              <w:rPr>
                <w:szCs w:val="24"/>
              </w:rPr>
              <w:t xml:space="preserve">/л до 2,0 × </w:t>
            </w:r>
            <w:r w:rsidR="00533FE8" w:rsidRPr="007264C7">
              <w:rPr>
                <w:szCs w:val="24"/>
              </w:rPr>
              <w:t>10</w:t>
            </w:r>
            <w:r w:rsidR="00533FE8" w:rsidRPr="007264C7">
              <w:rPr>
                <w:szCs w:val="24"/>
                <w:vertAlign w:val="superscript"/>
              </w:rPr>
              <w:t>9</w:t>
            </w:r>
            <w:r w:rsidR="00533FE8" w:rsidRPr="007264C7">
              <w:rPr>
                <w:szCs w:val="24"/>
              </w:rPr>
              <w:t>/л</w:t>
            </w:r>
          </w:p>
        </w:tc>
        <w:tc>
          <w:tcPr>
            <w:tcW w:w="1559" w:type="dxa"/>
          </w:tcPr>
          <w:p w14:paraId="4EA4F365" w14:textId="77777777" w:rsidR="00533FE8" w:rsidRPr="007264C7" w:rsidRDefault="00303682" w:rsidP="00986B4F">
            <w:pPr>
              <w:jc w:val="left"/>
              <w:rPr>
                <w:szCs w:val="24"/>
              </w:rPr>
            </w:pPr>
            <w:r>
              <w:rPr>
                <w:szCs w:val="24"/>
              </w:rPr>
              <w:t xml:space="preserve">От 50 × </w:t>
            </w:r>
            <w:r w:rsidR="00533FE8" w:rsidRPr="007264C7">
              <w:rPr>
                <w:szCs w:val="24"/>
              </w:rPr>
              <w:t>10</w:t>
            </w:r>
            <w:r w:rsidR="00533FE8" w:rsidRPr="007264C7">
              <w:rPr>
                <w:szCs w:val="24"/>
                <w:vertAlign w:val="superscript"/>
              </w:rPr>
              <w:t>9</w:t>
            </w:r>
            <w:r>
              <w:rPr>
                <w:szCs w:val="24"/>
              </w:rPr>
              <w:t xml:space="preserve">/л до 100 × </w:t>
            </w:r>
            <w:r w:rsidR="00533FE8" w:rsidRPr="007264C7">
              <w:rPr>
                <w:szCs w:val="24"/>
              </w:rPr>
              <w:t>10</w:t>
            </w:r>
            <w:r w:rsidR="00533FE8" w:rsidRPr="007264C7">
              <w:rPr>
                <w:szCs w:val="24"/>
                <w:vertAlign w:val="superscript"/>
              </w:rPr>
              <w:t>9</w:t>
            </w:r>
            <w:r w:rsidR="00533FE8" w:rsidRPr="007264C7">
              <w:rPr>
                <w:szCs w:val="24"/>
              </w:rPr>
              <w:t>/л</w:t>
            </w:r>
          </w:p>
        </w:tc>
        <w:tc>
          <w:tcPr>
            <w:tcW w:w="1044" w:type="dxa"/>
          </w:tcPr>
          <w:p w14:paraId="291A5391" w14:textId="77777777" w:rsidR="00533FE8" w:rsidRPr="007264C7" w:rsidRDefault="00533FE8" w:rsidP="00986B4F">
            <w:pPr>
              <w:jc w:val="left"/>
              <w:rPr>
                <w:szCs w:val="24"/>
              </w:rPr>
            </w:pPr>
            <w:r w:rsidRPr="007264C7">
              <w:rPr>
                <w:szCs w:val="24"/>
              </w:rPr>
              <w:t>50</w:t>
            </w:r>
            <w:r w:rsidR="00303682">
              <w:rPr>
                <w:szCs w:val="24"/>
              </w:rPr>
              <w:t xml:space="preserve"> %</w:t>
            </w:r>
            <w:r w:rsidRPr="007264C7">
              <w:rPr>
                <w:szCs w:val="24"/>
              </w:rPr>
              <w:t xml:space="preserve"> дозы</w:t>
            </w:r>
          </w:p>
        </w:tc>
      </w:tr>
      <w:tr w:rsidR="00533FE8" w:rsidRPr="007264C7" w14:paraId="1676B1EF" w14:textId="77777777" w:rsidTr="00533FE8">
        <w:trPr>
          <w:trHeight w:val="114"/>
        </w:trPr>
        <w:tc>
          <w:tcPr>
            <w:tcW w:w="1668" w:type="dxa"/>
          </w:tcPr>
          <w:p w14:paraId="38A37F42" w14:textId="77777777" w:rsidR="00533FE8" w:rsidRPr="007264C7" w:rsidRDefault="00303682" w:rsidP="00986B4F">
            <w:pPr>
              <w:jc w:val="left"/>
              <w:rPr>
                <w:szCs w:val="24"/>
              </w:rPr>
            </w:pPr>
            <w:r>
              <w:rPr>
                <w:szCs w:val="24"/>
              </w:rPr>
              <w:t xml:space="preserve">Менее 1,0 × </w:t>
            </w:r>
            <w:r w:rsidR="00533FE8" w:rsidRPr="007264C7">
              <w:rPr>
                <w:szCs w:val="24"/>
              </w:rPr>
              <w:t>10</w:t>
            </w:r>
            <w:r w:rsidR="00533FE8" w:rsidRPr="007264C7">
              <w:rPr>
                <w:szCs w:val="24"/>
                <w:vertAlign w:val="superscript"/>
              </w:rPr>
              <w:t>9</w:t>
            </w:r>
            <w:r w:rsidR="00533FE8" w:rsidRPr="007264C7">
              <w:rPr>
                <w:szCs w:val="24"/>
              </w:rPr>
              <w:t>/л</w:t>
            </w:r>
          </w:p>
        </w:tc>
        <w:tc>
          <w:tcPr>
            <w:tcW w:w="1559" w:type="dxa"/>
          </w:tcPr>
          <w:p w14:paraId="7355D8B8" w14:textId="77777777" w:rsidR="00533FE8" w:rsidRPr="007264C7" w:rsidRDefault="00303682" w:rsidP="00986B4F">
            <w:pPr>
              <w:jc w:val="left"/>
              <w:rPr>
                <w:szCs w:val="24"/>
              </w:rPr>
            </w:pPr>
            <w:r>
              <w:rPr>
                <w:szCs w:val="24"/>
              </w:rPr>
              <w:t>М</w:t>
            </w:r>
            <w:r w:rsidR="00533FE8" w:rsidRPr="007264C7">
              <w:rPr>
                <w:szCs w:val="24"/>
              </w:rPr>
              <w:t>енее 50</w:t>
            </w:r>
            <w:r>
              <w:rPr>
                <w:szCs w:val="24"/>
              </w:rPr>
              <w:t xml:space="preserve"> × </w:t>
            </w:r>
            <w:r w:rsidR="00533FE8" w:rsidRPr="007264C7">
              <w:rPr>
                <w:szCs w:val="24"/>
              </w:rPr>
              <w:t>10</w:t>
            </w:r>
            <w:r w:rsidR="00533FE8" w:rsidRPr="007264C7">
              <w:rPr>
                <w:szCs w:val="24"/>
                <w:vertAlign w:val="superscript"/>
              </w:rPr>
              <w:t>9</w:t>
            </w:r>
            <w:r w:rsidR="00533FE8" w:rsidRPr="007264C7">
              <w:rPr>
                <w:szCs w:val="24"/>
              </w:rPr>
              <w:t>/л</w:t>
            </w:r>
          </w:p>
        </w:tc>
        <w:tc>
          <w:tcPr>
            <w:tcW w:w="1044" w:type="dxa"/>
          </w:tcPr>
          <w:p w14:paraId="3F681191" w14:textId="77777777" w:rsidR="00533FE8" w:rsidRPr="007264C7" w:rsidRDefault="00533FE8" w:rsidP="00986B4F">
            <w:pPr>
              <w:jc w:val="left"/>
              <w:rPr>
                <w:szCs w:val="24"/>
              </w:rPr>
            </w:pPr>
            <w:r w:rsidRPr="007264C7">
              <w:rPr>
                <w:szCs w:val="24"/>
              </w:rPr>
              <w:t>0</w:t>
            </w:r>
            <w:r w:rsidR="00303682">
              <w:rPr>
                <w:szCs w:val="24"/>
              </w:rPr>
              <w:t xml:space="preserve"> </w:t>
            </w:r>
            <w:r w:rsidRPr="007264C7">
              <w:rPr>
                <w:szCs w:val="24"/>
              </w:rPr>
              <w:t>%</w:t>
            </w:r>
          </w:p>
        </w:tc>
      </w:tr>
    </w:tbl>
    <w:p w14:paraId="6294D186" w14:textId="77777777" w:rsidR="00533FE8" w:rsidRPr="007264C7" w:rsidRDefault="00720E5F" w:rsidP="00533FE8">
      <w:pPr>
        <w:rPr>
          <w:b/>
          <w:bCs/>
          <w:i/>
          <w:iCs/>
          <w:szCs w:val="24"/>
        </w:rPr>
      </w:pPr>
      <w:r>
        <w:rPr>
          <w:noProof/>
          <w:szCs w:val="24"/>
        </w:rPr>
        <mc:AlternateContent>
          <mc:Choice Requires="wps">
            <w:drawing>
              <wp:anchor distT="0" distB="0" distL="114300" distR="114300" simplePos="0" relativeHeight="251662848" behindDoc="0" locked="0" layoutInCell="1" allowOverlap="1" wp14:anchorId="57262AC5" wp14:editId="6E43B82E">
                <wp:simplePos x="0" y="0"/>
                <wp:positionH relativeFrom="column">
                  <wp:posOffset>4831080</wp:posOffset>
                </wp:positionH>
                <wp:positionV relativeFrom="paragraph">
                  <wp:posOffset>4445</wp:posOffset>
                </wp:positionV>
                <wp:extent cx="0" cy="114300"/>
                <wp:effectExtent l="63500" t="0" r="25400" b="25400"/>
                <wp:wrapNone/>
                <wp:docPr id="24" name="Line 30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1BBBF3" id="Line 305" o:spid="_x0000_s1026" style="position:absolute;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0.4pt,.35pt" to="380.4pt,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">
                <v:stroke endarrow="block"/>
                <o:lock v:ext="edit" shapetype="f"/>
              </v:line>
            </w:pict>
          </mc:Fallback>
        </mc:AlternateContent>
      </w:r>
    </w:p>
    <w:p w14:paraId="0236E843" w14:textId="77777777" w:rsidR="00533FE8" w:rsidRPr="007264C7" w:rsidRDefault="00533FE8" w:rsidP="00533FE8">
      <w:pPr>
        <w:rPr>
          <w:b/>
          <w:bCs/>
          <w:i/>
          <w:iCs/>
          <w:szCs w:val="24"/>
        </w:rPr>
      </w:pPr>
      <w:r w:rsidRPr="007264C7">
        <w:rPr>
          <w:b/>
          <w:bCs/>
          <w:i/>
          <w:iCs/>
          <w:szCs w:val="24"/>
        </w:rPr>
        <w:t xml:space="preserve">Консолидация  </w:t>
      </w:r>
      <w:r w:rsidRPr="007264C7">
        <w:rPr>
          <w:b/>
          <w:bCs/>
          <w:i/>
          <w:iCs/>
          <w:szCs w:val="24"/>
          <w:lang w:val="en-US"/>
        </w:rPr>
        <w:t>III</w:t>
      </w:r>
    </w:p>
    <w:p w14:paraId="0F78F902" w14:textId="77777777" w:rsidR="00533FE8" w:rsidRPr="00291275" w:rsidRDefault="00533FE8" w:rsidP="00FF4C81">
      <w:pPr>
        <w:pStyle w:val="afff3"/>
        <w:numPr>
          <w:ilvl w:val="0"/>
          <w:numId w:val="38"/>
        </w:numPr>
        <w:rPr>
          <w:szCs w:val="24"/>
        </w:rPr>
      </w:pPr>
      <w:r w:rsidRPr="00291275">
        <w:rPr>
          <w:szCs w:val="24"/>
        </w:rPr>
        <w:t>Меркаптопурин</w:t>
      </w:r>
      <w:r w:rsidR="00714B4A" w:rsidRPr="00291275">
        <w:rPr>
          <w:szCs w:val="24"/>
        </w:rPr>
        <w:t>**</w:t>
      </w:r>
      <w:r w:rsidR="00303682" w:rsidRPr="00291275">
        <w:rPr>
          <w:szCs w:val="24"/>
        </w:rPr>
        <w:t xml:space="preserve"> 25 мг/м², 106–</w:t>
      </w:r>
      <w:r w:rsidRPr="00291275">
        <w:rPr>
          <w:szCs w:val="24"/>
        </w:rPr>
        <w:t>133</w:t>
      </w:r>
      <w:r w:rsidR="00303682" w:rsidRPr="00291275">
        <w:rPr>
          <w:szCs w:val="24"/>
        </w:rPr>
        <w:t>-й</w:t>
      </w:r>
      <w:r w:rsidRPr="00291275">
        <w:rPr>
          <w:szCs w:val="24"/>
        </w:rPr>
        <w:t xml:space="preserve"> дни</w:t>
      </w:r>
    </w:p>
    <w:p w14:paraId="2EF56AB7" w14:textId="77777777" w:rsidR="00533FE8" w:rsidRPr="00291275" w:rsidRDefault="004C2C6A" w:rsidP="00FF4C81">
      <w:pPr>
        <w:pStyle w:val="afff3"/>
        <w:numPr>
          <w:ilvl w:val="0"/>
          <w:numId w:val="38"/>
        </w:numPr>
        <w:rPr>
          <w:szCs w:val="24"/>
        </w:rPr>
      </w:pPr>
      <w:r w:rsidRPr="00291275">
        <w:rPr>
          <w:szCs w:val="24"/>
        </w:rPr>
        <w:t>Циклофосфамид**</w:t>
      </w:r>
      <w:r w:rsidR="00303682" w:rsidRPr="00291275">
        <w:rPr>
          <w:szCs w:val="24"/>
        </w:rPr>
        <w:t xml:space="preserve"> 1000 мг/м², </w:t>
      </w:r>
      <w:r w:rsidR="00533FE8" w:rsidRPr="00291275">
        <w:rPr>
          <w:szCs w:val="24"/>
        </w:rPr>
        <w:t>106</w:t>
      </w:r>
      <w:r w:rsidR="00303682" w:rsidRPr="00291275">
        <w:rPr>
          <w:szCs w:val="24"/>
        </w:rPr>
        <w:t>-й</w:t>
      </w:r>
      <w:r w:rsidR="00533FE8" w:rsidRPr="00291275">
        <w:rPr>
          <w:szCs w:val="24"/>
        </w:rPr>
        <w:t xml:space="preserve"> день</w:t>
      </w:r>
    </w:p>
    <w:p w14:paraId="180BC6AD" w14:textId="77777777" w:rsidR="00533FE8" w:rsidRPr="00291275" w:rsidRDefault="00421699" w:rsidP="00FF4C81">
      <w:pPr>
        <w:pStyle w:val="afff3"/>
        <w:numPr>
          <w:ilvl w:val="0"/>
          <w:numId w:val="38"/>
        </w:numPr>
        <w:rPr>
          <w:szCs w:val="24"/>
        </w:rPr>
      </w:pPr>
      <w:r w:rsidRPr="00291275">
        <w:rPr>
          <w:szCs w:val="24"/>
        </w:rPr>
        <w:t>Цитарабин**</w:t>
      </w:r>
      <w:r w:rsidR="00303682" w:rsidRPr="00291275">
        <w:rPr>
          <w:szCs w:val="24"/>
        </w:rPr>
        <w:t xml:space="preserve"> 50 мг/м², 108–</w:t>
      </w:r>
      <w:r w:rsidR="00533FE8" w:rsidRPr="00291275">
        <w:rPr>
          <w:szCs w:val="24"/>
        </w:rPr>
        <w:t>111</w:t>
      </w:r>
      <w:r w:rsidR="00303682" w:rsidRPr="00291275">
        <w:rPr>
          <w:szCs w:val="24"/>
        </w:rPr>
        <w:t>-й, 122–</w:t>
      </w:r>
      <w:r w:rsidR="00533FE8" w:rsidRPr="00291275">
        <w:rPr>
          <w:szCs w:val="24"/>
        </w:rPr>
        <w:t>125</w:t>
      </w:r>
      <w:r w:rsidR="00303682" w:rsidRPr="00291275">
        <w:rPr>
          <w:szCs w:val="24"/>
        </w:rPr>
        <w:t>-й</w:t>
      </w:r>
      <w:r w:rsidR="00533FE8" w:rsidRPr="00291275">
        <w:rPr>
          <w:szCs w:val="24"/>
        </w:rPr>
        <w:t xml:space="preserve"> дни</w:t>
      </w:r>
    </w:p>
    <w:p w14:paraId="16D1864F" w14:textId="4282ADD8" w:rsidR="00533FE8" w:rsidRPr="00291275" w:rsidRDefault="00D72E20" w:rsidP="00FF4C81">
      <w:pPr>
        <w:pStyle w:val="afff3"/>
        <w:numPr>
          <w:ilvl w:val="0"/>
          <w:numId w:val="38"/>
        </w:numPr>
        <w:rPr>
          <w:b/>
          <w:bCs/>
          <w:i/>
          <w:iCs/>
          <w:szCs w:val="24"/>
        </w:rPr>
      </w:pPr>
      <w:r w:rsidRPr="00291275">
        <w:rPr>
          <w:szCs w:val="24"/>
        </w:rPr>
        <w:t>А</w:t>
      </w:r>
      <w:r w:rsidR="00533FE8" w:rsidRPr="00291275">
        <w:rPr>
          <w:szCs w:val="24"/>
        </w:rPr>
        <w:t>спарагиназа</w:t>
      </w:r>
      <w:r w:rsidR="00714B4A" w:rsidRPr="00291275">
        <w:rPr>
          <w:szCs w:val="24"/>
        </w:rPr>
        <w:t>**</w:t>
      </w:r>
      <w:r w:rsidR="00533FE8" w:rsidRPr="00291275">
        <w:rPr>
          <w:szCs w:val="24"/>
        </w:rPr>
        <w:t xml:space="preserve"> 6000 ЕД</w:t>
      </w:r>
      <w:r w:rsidR="00303682" w:rsidRPr="00291275">
        <w:rPr>
          <w:bCs/>
          <w:iCs/>
          <w:szCs w:val="24"/>
        </w:rPr>
        <w:t xml:space="preserve">/м², 113-й и </w:t>
      </w:r>
      <w:r w:rsidR="00533FE8" w:rsidRPr="00291275">
        <w:rPr>
          <w:bCs/>
          <w:iCs/>
          <w:szCs w:val="24"/>
        </w:rPr>
        <w:t>127</w:t>
      </w:r>
      <w:r w:rsidR="00303682" w:rsidRPr="00291275">
        <w:rPr>
          <w:bCs/>
          <w:iCs/>
          <w:szCs w:val="24"/>
        </w:rPr>
        <w:t>-й</w:t>
      </w:r>
      <w:r w:rsidR="00533FE8" w:rsidRPr="00291275">
        <w:rPr>
          <w:bCs/>
          <w:iCs/>
          <w:szCs w:val="24"/>
        </w:rPr>
        <w:t xml:space="preserve"> дни</w:t>
      </w:r>
      <w:r w:rsidR="00797B22">
        <w:rPr>
          <w:bCs/>
          <w:iCs/>
          <w:szCs w:val="24"/>
        </w:rPr>
        <w:t xml:space="preserve"> или пэгаспаргаза 600 ЕД/м², 113-й день</w:t>
      </w:r>
      <w:r w:rsidR="00533FE8" w:rsidRPr="00291275">
        <w:rPr>
          <w:b/>
          <w:bCs/>
          <w:i/>
          <w:iCs/>
          <w:szCs w:val="24"/>
        </w:rPr>
        <w:t xml:space="preserve"> </w:t>
      </w:r>
    </w:p>
    <w:p w14:paraId="7F1A45A9" w14:textId="77777777" w:rsidR="00533FE8" w:rsidRPr="007264C7" w:rsidRDefault="00533FE8" w:rsidP="00533FE8">
      <w:pPr>
        <w:ind w:firstLine="709"/>
        <w:rPr>
          <w:b/>
          <w:i/>
          <w:iCs/>
          <w:szCs w:val="24"/>
        </w:rPr>
      </w:pPr>
      <w:r w:rsidRPr="007264C7">
        <w:rPr>
          <w:b/>
          <w:i/>
          <w:iCs/>
          <w:szCs w:val="24"/>
        </w:rPr>
        <w:t xml:space="preserve">Поддерживающая терапия в течение 2 лет от момента завершения последнего </w:t>
      </w:r>
      <w:r w:rsidRPr="007264C7">
        <w:rPr>
          <w:b/>
          <w:i/>
          <w:iCs/>
          <w:szCs w:val="24"/>
          <w:lang w:val="en-US"/>
        </w:rPr>
        <w:t>III</w:t>
      </w:r>
      <w:r w:rsidRPr="007264C7">
        <w:rPr>
          <w:b/>
          <w:i/>
          <w:iCs/>
          <w:szCs w:val="24"/>
        </w:rPr>
        <w:t xml:space="preserve"> курса консолидации</w:t>
      </w:r>
      <w:r w:rsidR="00303682">
        <w:rPr>
          <w:b/>
          <w:i/>
          <w:iCs/>
          <w:szCs w:val="24"/>
        </w:rPr>
        <w:t>.</w:t>
      </w:r>
    </w:p>
    <w:p w14:paraId="2DEF50BE" w14:textId="77777777" w:rsidR="00533FE8" w:rsidRPr="006F6E87" w:rsidRDefault="00533FE8" w:rsidP="00533FE8">
      <w:pPr>
        <w:ind w:firstLine="709"/>
        <w:rPr>
          <w:b/>
          <w:bCs/>
          <w:i/>
          <w:iCs/>
          <w:szCs w:val="24"/>
        </w:rPr>
      </w:pPr>
      <w:r w:rsidRPr="007264C7">
        <w:rPr>
          <w:b/>
          <w:bCs/>
          <w:i/>
          <w:iCs/>
          <w:szCs w:val="24"/>
        </w:rPr>
        <w:t>Между циклами поддерживающе</w:t>
      </w:r>
      <w:r w:rsidR="00303682">
        <w:rPr>
          <w:b/>
          <w:bCs/>
          <w:i/>
          <w:iCs/>
          <w:szCs w:val="24"/>
        </w:rPr>
        <w:t>й терапии нет интервалов: 1-й</w:t>
      </w:r>
      <w:r w:rsidRPr="007264C7">
        <w:rPr>
          <w:b/>
          <w:bCs/>
          <w:i/>
          <w:iCs/>
          <w:szCs w:val="24"/>
        </w:rPr>
        <w:t xml:space="preserve"> день последующего курса следует сразу за</w:t>
      </w:r>
      <w:r>
        <w:rPr>
          <w:b/>
          <w:bCs/>
          <w:i/>
          <w:iCs/>
          <w:szCs w:val="24"/>
        </w:rPr>
        <w:t xml:space="preserve"> последним днем предшествующего</w:t>
      </w:r>
      <w:r w:rsidR="00303682">
        <w:rPr>
          <w:b/>
          <w:bCs/>
          <w:i/>
          <w:iCs/>
          <w:szCs w:val="24"/>
        </w:rPr>
        <w:t>.</w:t>
      </w:r>
      <w:r w:rsidRPr="007264C7">
        <w:rPr>
          <w:bCs/>
          <w:iCs/>
          <w:szCs w:val="24"/>
        </w:rPr>
        <w:t xml:space="preserve">         </w:t>
      </w:r>
    </w:p>
    <w:p w14:paraId="50F955AD" w14:textId="77777777" w:rsidR="00986B4F" w:rsidRDefault="00986B4F" w:rsidP="00533FE8">
      <w:pPr>
        <w:rPr>
          <w:b/>
          <w:bCs/>
          <w:i/>
          <w:iCs/>
          <w:szCs w:val="24"/>
        </w:rPr>
      </w:pPr>
    </w:p>
    <w:p w14:paraId="0858A0B9" w14:textId="77777777" w:rsidR="00533FE8" w:rsidRPr="007264C7" w:rsidRDefault="00720E5F" w:rsidP="00533FE8">
      <w:pPr>
        <w:rPr>
          <w:b/>
          <w:bCs/>
          <w:i/>
          <w:iCs/>
          <w:szCs w:val="24"/>
        </w:rPr>
      </w:pPr>
      <w:r>
        <w:rPr>
          <w:bCs/>
          <w:i/>
          <w:iCs/>
          <w:noProof/>
          <w:szCs w:val="24"/>
        </w:rPr>
        <mc:AlternateContent>
          <mc:Choice Requires="wps">
            <w:drawing>
              <wp:anchor distT="0" distB="0" distL="114300" distR="114300" simplePos="0" relativeHeight="251666944" behindDoc="0" locked="0" layoutInCell="1" allowOverlap="1" wp14:anchorId="36FDBD24" wp14:editId="3F4DCE71">
                <wp:simplePos x="0" y="0"/>
                <wp:positionH relativeFrom="column">
                  <wp:posOffset>3886200</wp:posOffset>
                </wp:positionH>
                <wp:positionV relativeFrom="paragraph">
                  <wp:posOffset>19050</wp:posOffset>
                </wp:positionV>
                <wp:extent cx="342900" cy="2188845"/>
                <wp:effectExtent l="0" t="0" r="0" b="0"/>
                <wp:wrapNone/>
                <wp:docPr id="23" name="AutoShape 3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42900" cy="2188845"/>
                        </a:xfrm>
                        <a:prstGeom prst="rightBrace">
                          <a:avLst>
                            <a:gd name="adj1" fmla="val 53194"/>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F46D31" id="AutoShape 309" o:spid="_x0000_s1026" type="#_x0000_t88" style="position:absolute;margin-left:306pt;margin-top:1.5pt;width:27pt;height:172.3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"/>
            </w:pict>
          </mc:Fallback>
        </mc:AlternateContent>
      </w:r>
      <w:r w:rsidR="00533FE8">
        <w:rPr>
          <w:b/>
          <w:bCs/>
          <w:i/>
          <w:iCs/>
          <w:szCs w:val="24"/>
        </w:rPr>
        <w:t xml:space="preserve">Поддерживающая терапия, </w:t>
      </w:r>
      <w:r w:rsidR="00533FE8" w:rsidRPr="007264C7">
        <w:rPr>
          <w:b/>
          <w:bCs/>
          <w:i/>
          <w:iCs/>
          <w:szCs w:val="24"/>
        </w:rPr>
        <w:t>циклы №</w:t>
      </w:r>
      <w:r w:rsidR="00303682">
        <w:rPr>
          <w:b/>
          <w:bCs/>
          <w:i/>
          <w:iCs/>
          <w:szCs w:val="24"/>
        </w:rPr>
        <w:t xml:space="preserve"> 8(1–</w:t>
      </w:r>
      <w:r w:rsidR="00533FE8" w:rsidRPr="007264C7">
        <w:rPr>
          <w:b/>
          <w:bCs/>
          <w:i/>
          <w:iCs/>
          <w:szCs w:val="24"/>
        </w:rPr>
        <w:t>8)</w:t>
      </w:r>
      <w:r w:rsidR="00303682">
        <w:rPr>
          <w:b/>
          <w:bCs/>
          <w:i/>
          <w:iCs/>
          <w:szCs w:val="24"/>
        </w:rPr>
        <w:t>:</w:t>
      </w:r>
    </w:p>
    <w:p w14:paraId="4B1A88A3" w14:textId="77777777" w:rsidR="00533FE8" w:rsidRPr="00303682" w:rsidRDefault="00533FE8" w:rsidP="00FF4C81">
      <w:pPr>
        <w:pStyle w:val="afff3"/>
        <w:numPr>
          <w:ilvl w:val="0"/>
          <w:numId w:val="30"/>
        </w:numPr>
        <w:rPr>
          <w:bCs/>
          <w:iCs/>
          <w:szCs w:val="24"/>
        </w:rPr>
      </w:pPr>
      <w:r w:rsidRPr="00303682">
        <w:rPr>
          <w:szCs w:val="24"/>
        </w:rPr>
        <w:t>Дексаметазон</w:t>
      </w:r>
      <w:r w:rsidR="006F5D03" w:rsidRPr="00303682">
        <w:rPr>
          <w:szCs w:val="24"/>
        </w:rPr>
        <w:t>**</w:t>
      </w:r>
      <w:r w:rsidR="00E16DD0">
        <w:rPr>
          <w:szCs w:val="24"/>
        </w:rPr>
        <w:t xml:space="preserve"> </w:t>
      </w:r>
      <w:r w:rsidRPr="00303682">
        <w:rPr>
          <w:bCs/>
          <w:iCs/>
          <w:szCs w:val="24"/>
        </w:rPr>
        <w:t>6 мг/м²</w:t>
      </w:r>
      <w:r w:rsidR="00E16DD0">
        <w:rPr>
          <w:bCs/>
          <w:iCs/>
          <w:szCs w:val="24"/>
        </w:rPr>
        <w:t>, 1–</w:t>
      </w:r>
      <w:r w:rsidRPr="00303682">
        <w:rPr>
          <w:bCs/>
          <w:iCs/>
          <w:szCs w:val="24"/>
        </w:rPr>
        <w:t>3</w:t>
      </w:r>
      <w:r w:rsidR="00E16DD0">
        <w:rPr>
          <w:bCs/>
          <w:iCs/>
          <w:szCs w:val="24"/>
        </w:rPr>
        <w:t>-й</w:t>
      </w:r>
      <w:r w:rsidRPr="00303682">
        <w:rPr>
          <w:bCs/>
          <w:iCs/>
          <w:szCs w:val="24"/>
        </w:rPr>
        <w:t xml:space="preserve"> дни </w:t>
      </w:r>
    </w:p>
    <w:p w14:paraId="53F8AE3B" w14:textId="77777777" w:rsidR="00533FE8" w:rsidRPr="00303682" w:rsidRDefault="00720E5F" w:rsidP="00FF4C81">
      <w:pPr>
        <w:pStyle w:val="afff3"/>
        <w:numPr>
          <w:ilvl w:val="0"/>
          <w:numId w:val="30"/>
        </w:numPr>
        <w:rPr>
          <w:szCs w:val="24"/>
        </w:rPr>
      </w:pPr>
      <w:r>
        <w:rPr>
          <w:bCs/>
          <w:iCs/>
          <w:noProof/>
        </w:rPr>
        <mc:AlternateContent>
          <mc:Choice Requires="wps">
            <w:drawing>
              <wp:anchor distT="0" distB="0" distL="114300" distR="114300" simplePos="0" relativeHeight="251664896" behindDoc="0" locked="0" layoutInCell="1" allowOverlap="1" wp14:anchorId="26F5A004" wp14:editId="38088090">
                <wp:simplePos x="0" y="0"/>
                <wp:positionH relativeFrom="column">
                  <wp:posOffset>4371975</wp:posOffset>
                </wp:positionH>
                <wp:positionV relativeFrom="paragraph">
                  <wp:posOffset>68580</wp:posOffset>
                </wp:positionV>
                <wp:extent cx="2057400" cy="990600"/>
                <wp:effectExtent l="0" t="0" r="0" b="0"/>
                <wp:wrapNone/>
                <wp:docPr id="22"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057400" cy="990600"/>
                        </a:xfrm>
                        <a:prstGeom prst="rect">
                          <a:avLst/>
                        </a:prstGeom>
                        <a:solidFill>
                          <a:srgbClr val="FFFFFF"/>
                        </a:solidFill>
                        <a:ln w="9525">
                          <a:solidFill>
                            <a:srgbClr val="000000"/>
                          </a:solidFill>
                          <a:miter lim="800000"/>
                          <a:headEnd/>
                          <a:tailEnd/>
                        </a:ln>
                      </wps:spPr>
                      <wps:txbx>
                        <w:txbxContent>
                          <w:p w14:paraId="20233B64" w14:textId="77777777" w:rsidR="009E240E" w:rsidRPr="00CF48EE" w:rsidRDefault="009E240E" w:rsidP="00986B4F">
                            <w:pPr>
                              <w:jc w:val="left"/>
                            </w:pPr>
                            <w:r w:rsidRPr="00CF48EE">
                              <w:t>Модификация дозы меркаптопурина</w:t>
                            </w:r>
                            <w:r>
                              <w:t>**</w:t>
                            </w:r>
                            <w:r w:rsidRPr="00CF48EE">
                              <w:t xml:space="preserve"> и метотрексата</w:t>
                            </w:r>
                            <w:r>
                              <w:t>**</w:t>
                            </w:r>
                            <w:r w:rsidRPr="00CF48EE">
                              <w:t xml:space="preserve"> в зависимости от уровня лейкоцитов и тромбоцитов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F5A004" id="Text Box 307" o:spid="_x0000_s1032" type="#_x0000_t202" style="position:absolute;left:0;text-align:left;margin-left:344.25pt;margin-top:5.4pt;width:162pt;height:78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">
                <v:path arrowok="t"/>
                <v:textbox>
                  <w:txbxContent>
                    <w:p w14:paraId="20233B64" w14:textId="77777777" w:rsidR="009E240E" w:rsidRPr="00CF48EE" w:rsidRDefault="009E240E" w:rsidP="00986B4F">
                      <w:pPr>
                        <w:jc w:val="left"/>
                      </w:pPr>
                      <w:r w:rsidRPr="00CF48EE">
                        <w:t>Модификация дозы меркаптопурина</w:t>
                      </w:r>
                      <w:r>
                        <w:t>**</w:t>
                      </w:r>
                      <w:r w:rsidRPr="00CF48EE">
                        <w:t xml:space="preserve"> и метотрексата</w:t>
                      </w:r>
                      <w:r>
                        <w:t>**</w:t>
                      </w:r>
                      <w:r w:rsidRPr="00CF48EE">
                        <w:t xml:space="preserve"> в зависимости от уровня лейкоцитов и тромбоцитов</w:t>
                      </w:r>
                    </w:p>
                  </w:txbxContent>
                </v:textbox>
              </v:shape>
            </w:pict>
          </mc:Fallback>
        </mc:AlternateContent>
      </w:r>
      <w:r w:rsidR="00533FE8" w:rsidRPr="00303682">
        <w:rPr>
          <w:szCs w:val="24"/>
        </w:rPr>
        <w:t>Меркаптопурин</w:t>
      </w:r>
      <w:r w:rsidR="00714B4A" w:rsidRPr="00303682">
        <w:rPr>
          <w:szCs w:val="24"/>
        </w:rPr>
        <w:t>**</w:t>
      </w:r>
      <w:r w:rsidR="00533FE8" w:rsidRPr="00303682">
        <w:rPr>
          <w:szCs w:val="24"/>
        </w:rPr>
        <w:t xml:space="preserve"> 50 мг/м²</w:t>
      </w:r>
      <w:r w:rsidR="00E16DD0">
        <w:rPr>
          <w:szCs w:val="24"/>
        </w:rPr>
        <w:t>, 4–</w:t>
      </w:r>
      <w:r w:rsidR="00533FE8" w:rsidRPr="00303682">
        <w:rPr>
          <w:szCs w:val="24"/>
        </w:rPr>
        <w:t>28</w:t>
      </w:r>
      <w:r w:rsidR="00E16DD0">
        <w:rPr>
          <w:szCs w:val="24"/>
        </w:rPr>
        <w:t>-й</w:t>
      </w:r>
      <w:r w:rsidR="00533FE8" w:rsidRPr="00303682">
        <w:rPr>
          <w:szCs w:val="24"/>
        </w:rPr>
        <w:t xml:space="preserve"> дни</w:t>
      </w:r>
    </w:p>
    <w:p w14:paraId="0640DF2F" w14:textId="77777777" w:rsidR="00533FE8" w:rsidRPr="00303682" w:rsidRDefault="00533FE8" w:rsidP="00FF4C81">
      <w:pPr>
        <w:pStyle w:val="afff3"/>
        <w:numPr>
          <w:ilvl w:val="0"/>
          <w:numId w:val="30"/>
        </w:numPr>
        <w:rPr>
          <w:bCs/>
          <w:iCs/>
          <w:szCs w:val="24"/>
        </w:rPr>
      </w:pPr>
      <w:r w:rsidRPr="00303682">
        <w:rPr>
          <w:bCs/>
          <w:iCs/>
          <w:szCs w:val="24"/>
        </w:rPr>
        <w:t>Винкристин</w:t>
      </w:r>
      <w:r w:rsidR="00457E7B" w:rsidRPr="00303682">
        <w:rPr>
          <w:bCs/>
          <w:iCs/>
          <w:szCs w:val="24"/>
        </w:rPr>
        <w:t>**</w:t>
      </w:r>
      <w:r w:rsidRPr="00303682">
        <w:rPr>
          <w:bCs/>
          <w:iCs/>
          <w:szCs w:val="24"/>
        </w:rPr>
        <w:t xml:space="preserve"> 2 мг</w:t>
      </w:r>
      <w:r w:rsidR="00E16DD0">
        <w:rPr>
          <w:bCs/>
          <w:iCs/>
          <w:szCs w:val="24"/>
        </w:rPr>
        <w:t>,</w:t>
      </w:r>
      <w:r w:rsidRPr="00303682">
        <w:rPr>
          <w:bCs/>
          <w:iCs/>
          <w:szCs w:val="24"/>
        </w:rPr>
        <w:t xml:space="preserve"> 1</w:t>
      </w:r>
      <w:r w:rsidR="00E16DD0">
        <w:rPr>
          <w:bCs/>
          <w:iCs/>
          <w:szCs w:val="24"/>
        </w:rPr>
        <w:t>-й</w:t>
      </w:r>
      <w:r w:rsidRPr="00303682">
        <w:rPr>
          <w:bCs/>
          <w:iCs/>
          <w:szCs w:val="24"/>
        </w:rPr>
        <w:t xml:space="preserve"> день</w:t>
      </w:r>
    </w:p>
    <w:p w14:paraId="01BEC813" w14:textId="77777777" w:rsidR="00533FE8" w:rsidRPr="00303682" w:rsidRDefault="00533FE8" w:rsidP="00FF4C81">
      <w:pPr>
        <w:pStyle w:val="afff3"/>
        <w:numPr>
          <w:ilvl w:val="0"/>
          <w:numId w:val="30"/>
        </w:numPr>
        <w:rPr>
          <w:bCs/>
          <w:iCs/>
          <w:szCs w:val="24"/>
        </w:rPr>
      </w:pPr>
      <w:r w:rsidRPr="00303682">
        <w:rPr>
          <w:szCs w:val="24"/>
        </w:rPr>
        <w:t>Метотрексат</w:t>
      </w:r>
      <w:r w:rsidR="00392AAF" w:rsidRPr="00303682">
        <w:rPr>
          <w:szCs w:val="24"/>
        </w:rPr>
        <w:t>**</w:t>
      </w:r>
      <w:r w:rsidRPr="00303682">
        <w:rPr>
          <w:szCs w:val="24"/>
        </w:rPr>
        <w:t xml:space="preserve"> 3</w:t>
      </w:r>
      <w:r w:rsidRPr="00303682">
        <w:rPr>
          <w:bCs/>
          <w:iCs/>
          <w:szCs w:val="24"/>
        </w:rPr>
        <w:t>0 мг/м²</w:t>
      </w:r>
      <w:r w:rsidR="00E16DD0">
        <w:rPr>
          <w:bCs/>
          <w:iCs/>
          <w:szCs w:val="24"/>
        </w:rPr>
        <w:t>,</w:t>
      </w:r>
      <w:r w:rsidRPr="00303682">
        <w:rPr>
          <w:bCs/>
          <w:iCs/>
          <w:szCs w:val="24"/>
        </w:rPr>
        <w:t xml:space="preserve"> 2, 9, 16, 23</w:t>
      </w:r>
      <w:r w:rsidR="00E16DD0">
        <w:rPr>
          <w:bCs/>
          <w:iCs/>
          <w:szCs w:val="24"/>
        </w:rPr>
        <w:t>-й</w:t>
      </w:r>
      <w:r w:rsidRPr="00303682">
        <w:rPr>
          <w:bCs/>
          <w:iCs/>
          <w:szCs w:val="24"/>
        </w:rPr>
        <w:t xml:space="preserve"> дни  </w:t>
      </w:r>
    </w:p>
    <w:p w14:paraId="79315CD5" w14:textId="77777777" w:rsidR="00797B22" w:rsidRPr="009F500F" w:rsidRDefault="00D72E20" w:rsidP="00FF4C81">
      <w:pPr>
        <w:pStyle w:val="afff3"/>
        <w:numPr>
          <w:ilvl w:val="0"/>
          <w:numId w:val="30"/>
        </w:numPr>
        <w:rPr>
          <w:szCs w:val="24"/>
        </w:rPr>
      </w:pPr>
      <w:r w:rsidRPr="009F500F">
        <w:rPr>
          <w:szCs w:val="24"/>
        </w:rPr>
        <w:t>А</w:t>
      </w:r>
      <w:r w:rsidR="00533FE8" w:rsidRPr="009F500F">
        <w:rPr>
          <w:szCs w:val="24"/>
        </w:rPr>
        <w:t>спарагиназа</w:t>
      </w:r>
      <w:r w:rsidR="00714B4A" w:rsidRPr="009F500F">
        <w:rPr>
          <w:szCs w:val="24"/>
        </w:rPr>
        <w:t>**</w:t>
      </w:r>
      <w:r w:rsidR="00533FE8" w:rsidRPr="009F500F">
        <w:rPr>
          <w:szCs w:val="24"/>
        </w:rPr>
        <w:t xml:space="preserve"> 6000 ЕД/м²</w:t>
      </w:r>
      <w:r w:rsidR="00E16DD0" w:rsidRPr="009F500F">
        <w:rPr>
          <w:szCs w:val="24"/>
        </w:rPr>
        <w:t xml:space="preserve">, </w:t>
      </w:r>
      <w:r w:rsidR="00533FE8" w:rsidRPr="009F500F">
        <w:rPr>
          <w:szCs w:val="24"/>
        </w:rPr>
        <w:t>3</w:t>
      </w:r>
      <w:r w:rsidR="00E16DD0" w:rsidRPr="009F500F">
        <w:rPr>
          <w:szCs w:val="24"/>
        </w:rPr>
        <w:t xml:space="preserve">-й </w:t>
      </w:r>
      <w:r w:rsidR="00533FE8" w:rsidRPr="009F500F">
        <w:rPr>
          <w:szCs w:val="24"/>
        </w:rPr>
        <w:t>день</w:t>
      </w:r>
      <w:r w:rsidR="00797B22" w:rsidRPr="009F500F">
        <w:rPr>
          <w:szCs w:val="24"/>
        </w:rPr>
        <w:t xml:space="preserve"> </w:t>
      </w:r>
    </w:p>
    <w:p w14:paraId="0F0E24A5" w14:textId="77AAD898" w:rsidR="00303682" w:rsidRPr="009F500F" w:rsidRDefault="00797B22" w:rsidP="00797B22">
      <w:pPr>
        <w:pStyle w:val="afff3"/>
        <w:rPr>
          <w:szCs w:val="24"/>
        </w:rPr>
      </w:pPr>
      <w:r w:rsidRPr="009F500F">
        <w:rPr>
          <w:bCs/>
          <w:iCs/>
          <w:szCs w:val="24"/>
        </w:rPr>
        <w:t>или пэгаспаргаза 600 ЕД/м², 3-й день</w:t>
      </w:r>
    </w:p>
    <w:p w14:paraId="2CA09A13" w14:textId="77777777" w:rsidR="00533FE8" w:rsidRPr="007264C7" w:rsidRDefault="00533FE8" w:rsidP="00533FE8">
      <w:pPr>
        <w:rPr>
          <w:b/>
          <w:bCs/>
          <w:i/>
          <w:iCs/>
          <w:szCs w:val="24"/>
        </w:rPr>
      </w:pPr>
      <w:r>
        <w:rPr>
          <w:b/>
          <w:bCs/>
          <w:i/>
          <w:iCs/>
          <w:szCs w:val="24"/>
        </w:rPr>
        <w:t xml:space="preserve">Поддерживающая терапия, </w:t>
      </w:r>
      <w:r w:rsidRPr="007264C7">
        <w:rPr>
          <w:b/>
          <w:bCs/>
          <w:i/>
          <w:iCs/>
          <w:szCs w:val="24"/>
        </w:rPr>
        <w:t>циклы №</w:t>
      </w:r>
      <w:r w:rsidR="00E16DD0">
        <w:rPr>
          <w:b/>
          <w:bCs/>
          <w:i/>
          <w:iCs/>
          <w:szCs w:val="24"/>
        </w:rPr>
        <w:t xml:space="preserve"> 21(9–</w:t>
      </w:r>
      <w:r w:rsidRPr="007264C7">
        <w:rPr>
          <w:b/>
          <w:bCs/>
          <w:i/>
          <w:iCs/>
          <w:szCs w:val="24"/>
        </w:rPr>
        <w:t>24)</w:t>
      </w:r>
      <w:r w:rsidR="00E16DD0">
        <w:rPr>
          <w:b/>
          <w:bCs/>
          <w:i/>
          <w:iCs/>
          <w:szCs w:val="24"/>
        </w:rPr>
        <w:t>:</w:t>
      </w:r>
    </w:p>
    <w:p w14:paraId="28438400" w14:textId="77777777" w:rsidR="00533FE8" w:rsidRPr="00303682" w:rsidRDefault="00533FE8" w:rsidP="00FF4C81">
      <w:pPr>
        <w:pStyle w:val="afff3"/>
        <w:numPr>
          <w:ilvl w:val="0"/>
          <w:numId w:val="31"/>
        </w:numPr>
        <w:rPr>
          <w:szCs w:val="24"/>
        </w:rPr>
      </w:pPr>
      <w:r w:rsidRPr="00303682">
        <w:rPr>
          <w:szCs w:val="24"/>
        </w:rPr>
        <w:t>Меркаптопурин</w:t>
      </w:r>
      <w:r w:rsidR="00714B4A" w:rsidRPr="00303682">
        <w:rPr>
          <w:szCs w:val="24"/>
        </w:rPr>
        <w:t>**</w:t>
      </w:r>
      <w:r w:rsidRPr="00303682">
        <w:rPr>
          <w:szCs w:val="24"/>
        </w:rPr>
        <w:t xml:space="preserve"> 50 мг/м²</w:t>
      </w:r>
      <w:r w:rsidR="00E16DD0">
        <w:rPr>
          <w:szCs w:val="24"/>
        </w:rPr>
        <w:t>, 4–</w:t>
      </w:r>
      <w:r w:rsidRPr="00303682">
        <w:rPr>
          <w:szCs w:val="24"/>
        </w:rPr>
        <w:t>28</w:t>
      </w:r>
      <w:r w:rsidR="00E16DD0">
        <w:rPr>
          <w:szCs w:val="24"/>
        </w:rPr>
        <w:t>-й</w:t>
      </w:r>
      <w:r w:rsidRPr="00303682">
        <w:rPr>
          <w:szCs w:val="24"/>
        </w:rPr>
        <w:t xml:space="preserve"> дни</w:t>
      </w:r>
    </w:p>
    <w:p w14:paraId="412BB736" w14:textId="77777777" w:rsidR="00533FE8" w:rsidRPr="00303682" w:rsidRDefault="00533FE8" w:rsidP="00FF4C81">
      <w:pPr>
        <w:pStyle w:val="afff3"/>
        <w:numPr>
          <w:ilvl w:val="0"/>
          <w:numId w:val="31"/>
        </w:numPr>
        <w:rPr>
          <w:bCs/>
          <w:iCs/>
          <w:szCs w:val="24"/>
        </w:rPr>
      </w:pPr>
      <w:r w:rsidRPr="00303682">
        <w:rPr>
          <w:bCs/>
          <w:iCs/>
          <w:szCs w:val="24"/>
        </w:rPr>
        <w:lastRenderedPageBreak/>
        <w:t>Винкристин</w:t>
      </w:r>
      <w:r w:rsidR="00457E7B" w:rsidRPr="00303682">
        <w:rPr>
          <w:bCs/>
          <w:iCs/>
          <w:szCs w:val="24"/>
        </w:rPr>
        <w:t>**</w:t>
      </w:r>
      <w:r w:rsidRPr="00303682">
        <w:rPr>
          <w:bCs/>
          <w:iCs/>
          <w:szCs w:val="24"/>
        </w:rPr>
        <w:t xml:space="preserve"> 2 мг</w:t>
      </w:r>
      <w:r w:rsidR="00E16DD0">
        <w:rPr>
          <w:bCs/>
          <w:iCs/>
          <w:szCs w:val="24"/>
        </w:rPr>
        <w:t>,</w:t>
      </w:r>
      <w:r w:rsidRPr="00303682">
        <w:rPr>
          <w:bCs/>
          <w:iCs/>
          <w:szCs w:val="24"/>
        </w:rPr>
        <w:t xml:space="preserve"> 1</w:t>
      </w:r>
      <w:r w:rsidR="00E16DD0">
        <w:rPr>
          <w:bCs/>
          <w:iCs/>
          <w:szCs w:val="24"/>
        </w:rPr>
        <w:t>-й</w:t>
      </w:r>
      <w:r w:rsidRPr="00303682">
        <w:rPr>
          <w:bCs/>
          <w:iCs/>
          <w:szCs w:val="24"/>
        </w:rPr>
        <w:t xml:space="preserve"> день</w:t>
      </w:r>
    </w:p>
    <w:p w14:paraId="452069D5" w14:textId="77777777" w:rsidR="00533FE8" w:rsidRPr="00303682" w:rsidRDefault="00533FE8" w:rsidP="00FF4C81">
      <w:pPr>
        <w:pStyle w:val="afff3"/>
        <w:numPr>
          <w:ilvl w:val="0"/>
          <w:numId w:val="31"/>
        </w:numPr>
        <w:rPr>
          <w:bCs/>
          <w:iCs/>
          <w:szCs w:val="24"/>
        </w:rPr>
      </w:pPr>
      <w:r w:rsidRPr="00303682">
        <w:rPr>
          <w:szCs w:val="24"/>
        </w:rPr>
        <w:t>Метотрексат</w:t>
      </w:r>
      <w:r w:rsidR="00392AAF" w:rsidRPr="00303682">
        <w:rPr>
          <w:szCs w:val="24"/>
        </w:rPr>
        <w:t>**</w:t>
      </w:r>
      <w:r w:rsidRPr="00303682">
        <w:rPr>
          <w:szCs w:val="24"/>
        </w:rPr>
        <w:t xml:space="preserve"> 3</w:t>
      </w:r>
      <w:r w:rsidRPr="00303682">
        <w:rPr>
          <w:bCs/>
          <w:iCs/>
          <w:szCs w:val="24"/>
        </w:rPr>
        <w:t>0 мг/м²</w:t>
      </w:r>
      <w:r w:rsidR="00E16DD0">
        <w:rPr>
          <w:bCs/>
          <w:iCs/>
          <w:szCs w:val="24"/>
        </w:rPr>
        <w:t>,</w:t>
      </w:r>
      <w:r w:rsidRPr="00303682">
        <w:rPr>
          <w:bCs/>
          <w:iCs/>
          <w:szCs w:val="24"/>
        </w:rPr>
        <w:t xml:space="preserve"> 2, 9, 16, 23</w:t>
      </w:r>
      <w:r w:rsidR="00E16DD0">
        <w:rPr>
          <w:bCs/>
          <w:iCs/>
          <w:szCs w:val="24"/>
        </w:rPr>
        <w:t>-й</w:t>
      </w:r>
      <w:r w:rsidRPr="00303682">
        <w:rPr>
          <w:bCs/>
          <w:iCs/>
          <w:szCs w:val="24"/>
        </w:rPr>
        <w:t xml:space="preserve"> дни </w:t>
      </w:r>
    </w:p>
    <w:p w14:paraId="0788FAB5" w14:textId="77777777" w:rsidR="00303682" w:rsidRPr="007264C7" w:rsidRDefault="00303682" w:rsidP="00533FE8">
      <w:pPr>
        <w:rPr>
          <w:bCs/>
          <w:iCs/>
          <w:szCs w:val="24"/>
        </w:rPr>
      </w:pPr>
    </w:p>
    <w:p w14:paraId="2D069B91" w14:textId="77777777" w:rsidR="00533FE8" w:rsidRPr="007264C7" w:rsidRDefault="00533FE8" w:rsidP="00533FE8">
      <w:pPr>
        <w:ind w:firstLine="709"/>
        <w:rPr>
          <w:b/>
          <w:bCs/>
          <w:i/>
          <w:iCs/>
          <w:szCs w:val="24"/>
        </w:rPr>
      </w:pPr>
      <w:r w:rsidRPr="007264C7">
        <w:rPr>
          <w:b/>
          <w:bCs/>
          <w:i/>
          <w:iCs/>
          <w:szCs w:val="24"/>
        </w:rPr>
        <w:t>Профилактика нейролейкемии</w:t>
      </w:r>
    </w:p>
    <w:p w14:paraId="718ACAC9" w14:textId="77777777" w:rsidR="00533FE8" w:rsidRDefault="00533FE8" w:rsidP="00533FE8">
      <w:pPr>
        <w:ind w:firstLine="709"/>
        <w:rPr>
          <w:szCs w:val="24"/>
        </w:rPr>
      </w:pPr>
      <w:r>
        <w:rPr>
          <w:szCs w:val="24"/>
        </w:rPr>
        <w:t xml:space="preserve">Интратекально </w:t>
      </w:r>
      <w:r w:rsidRPr="007264C7">
        <w:rPr>
          <w:szCs w:val="24"/>
        </w:rPr>
        <w:t>(</w:t>
      </w:r>
      <w:r w:rsidR="00417EEC">
        <w:rPr>
          <w:szCs w:val="24"/>
        </w:rPr>
        <w:t>цитарабин</w:t>
      </w:r>
      <w:r w:rsidR="00421699">
        <w:rPr>
          <w:szCs w:val="24"/>
        </w:rPr>
        <w:t>**</w:t>
      </w:r>
      <w:r w:rsidRPr="007264C7">
        <w:rPr>
          <w:szCs w:val="24"/>
        </w:rPr>
        <w:t xml:space="preserve"> 30 мг, </w:t>
      </w:r>
      <w:r w:rsidR="00417EEC" w:rsidRPr="007264C7">
        <w:rPr>
          <w:szCs w:val="24"/>
        </w:rPr>
        <w:t>метотрексат</w:t>
      </w:r>
      <w:r w:rsidR="00392AAF">
        <w:rPr>
          <w:szCs w:val="24"/>
        </w:rPr>
        <w:t>**</w:t>
      </w:r>
      <w:r w:rsidR="00417EEC" w:rsidRPr="007264C7">
        <w:rPr>
          <w:szCs w:val="24"/>
        </w:rPr>
        <w:t xml:space="preserve"> </w:t>
      </w:r>
      <w:r w:rsidRPr="007264C7">
        <w:rPr>
          <w:szCs w:val="24"/>
        </w:rPr>
        <w:t>15</w:t>
      </w:r>
      <w:r w:rsidR="00D72E20">
        <w:rPr>
          <w:szCs w:val="24"/>
        </w:rPr>
        <w:t> </w:t>
      </w:r>
      <w:r w:rsidRPr="007264C7">
        <w:rPr>
          <w:szCs w:val="24"/>
        </w:rPr>
        <w:t xml:space="preserve">мг, </w:t>
      </w:r>
      <w:r w:rsidR="00417EEC">
        <w:rPr>
          <w:szCs w:val="24"/>
        </w:rPr>
        <w:t>дексаметазон</w:t>
      </w:r>
      <w:r w:rsidR="006F5D03">
        <w:rPr>
          <w:szCs w:val="24"/>
        </w:rPr>
        <w:t>**</w:t>
      </w:r>
      <w:r w:rsidR="00417EEC">
        <w:rPr>
          <w:szCs w:val="24"/>
        </w:rPr>
        <w:t xml:space="preserve"> </w:t>
      </w:r>
      <w:r w:rsidRPr="007264C7">
        <w:rPr>
          <w:szCs w:val="24"/>
        </w:rPr>
        <w:t>4</w:t>
      </w:r>
      <w:r w:rsidR="00D72E20">
        <w:rPr>
          <w:szCs w:val="24"/>
        </w:rPr>
        <w:t> </w:t>
      </w:r>
      <w:r w:rsidR="00E16DD0">
        <w:rPr>
          <w:szCs w:val="24"/>
        </w:rPr>
        <w:t>мг):</w:t>
      </w:r>
      <w:r w:rsidRPr="007264C7">
        <w:rPr>
          <w:szCs w:val="24"/>
        </w:rPr>
        <w:t xml:space="preserve"> 0, 7, 14, 21, 28, 35, 70</w:t>
      </w:r>
      <w:r w:rsidR="00E16DD0">
        <w:rPr>
          <w:szCs w:val="24"/>
        </w:rPr>
        <w:t>-й дни</w:t>
      </w:r>
      <w:r w:rsidRPr="007264C7">
        <w:rPr>
          <w:szCs w:val="24"/>
        </w:rPr>
        <w:t xml:space="preserve"> в течение </w:t>
      </w:r>
      <w:r w:rsidR="005A099E">
        <w:rPr>
          <w:szCs w:val="24"/>
        </w:rPr>
        <w:t>ИТ</w:t>
      </w:r>
      <w:r w:rsidR="00E16DD0">
        <w:rPr>
          <w:szCs w:val="24"/>
        </w:rPr>
        <w:t xml:space="preserve">, </w:t>
      </w:r>
      <w:r w:rsidRPr="007264C7">
        <w:rPr>
          <w:szCs w:val="24"/>
        </w:rPr>
        <w:t>105</w:t>
      </w:r>
      <w:r w:rsidR="00E16DD0">
        <w:rPr>
          <w:szCs w:val="24"/>
        </w:rPr>
        <w:t>-й день</w:t>
      </w:r>
      <w:r w:rsidRPr="007264C7">
        <w:rPr>
          <w:szCs w:val="24"/>
        </w:rPr>
        <w:t xml:space="preserve"> консолидации </w:t>
      </w:r>
      <w:r w:rsidRPr="007264C7">
        <w:rPr>
          <w:szCs w:val="24"/>
          <w:lang w:val="en-US"/>
        </w:rPr>
        <w:t>II</w:t>
      </w:r>
      <w:r w:rsidR="00E16DD0">
        <w:rPr>
          <w:szCs w:val="24"/>
        </w:rPr>
        <w:t>, каждые 3 мес</w:t>
      </w:r>
      <w:r w:rsidRPr="007264C7">
        <w:rPr>
          <w:szCs w:val="24"/>
        </w:rPr>
        <w:t xml:space="preserve"> в </w:t>
      </w:r>
      <w:r>
        <w:rPr>
          <w:szCs w:val="24"/>
        </w:rPr>
        <w:t>течение поддерживающей терапии.</w:t>
      </w:r>
    </w:p>
    <w:p w14:paraId="21AF9B62" w14:textId="77777777" w:rsidR="00654ED5" w:rsidRDefault="00654ED5" w:rsidP="00533FE8">
      <w:pPr>
        <w:ind w:left="-540" w:firstLine="709"/>
        <w:rPr>
          <w:b/>
          <w:i/>
          <w:szCs w:val="24"/>
        </w:rPr>
      </w:pPr>
    </w:p>
    <w:p w14:paraId="32912399" w14:textId="77777777" w:rsidR="00533FE8" w:rsidRPr="007264C7" w:rsidRDefault="00533FE8" w:rsidP="00087A6B">
      <w:pPr>
        <w:ind w:left="-540" w:firstLine="1249"/>
        <w:rPr>
          <w:b/>
          <w:i/>
          <w:szCs w:val="24"/>
        </w:rPr>
      </w:pPr>
      <w:r w:rsidRPr="007264C7">
        <w:rPr>
          <w:b/>
          <w:i/>
          <w:szCs w:val="24"/>
        </w:rPr>
        <w:t>Лечение нейролейкемии</w:t>
      </w:r>
    </w:p>
    <w:p w14:paraId="050F6A58" w14:textId="77777777" w:rsidR="00E16DD0" w:rsidRDefault="00533FE8" w:rsidP="00533FE8">
      <w:pPr>
        <w:spacing w:before="120"/>
        <w:ind w:firstLine="709"/>
        <w:rPr>
          <w:szCs w:val="24"/>
        </w:rPr>
      </w:pPr>
      <w:r w:rsidRPr="007264C7">
        <w:rPr>
          <w:szCs w:val="24"/>
        </w:rPr>
        <w:t>После диагн</w:t>
      </w:r>
      <w:r>
        <w:rPr>
          <w:szCs w:val="24"/>
        </w:rPr>
        <w:t>остики нейролейкемии все пациенты</w:t>
      </w:r>
      <w:r w:rsidRPr="007264C7">
        <w:rPr>
          <w:szCs w:val="24"/>
        </w:rPr>
        <w:t xml:space="preserve">, получающие </w:t>
      </w:r>
      <w:r>
        <w:rPr>
          <w:szCs w:val="24"/>
        </w:rPr>
        <w:t>преднизолон</w:t>
      </w:r>
      <w:r w:rsidR="00417EEC">
        <w:rPr>
          <w:szCs w:val="24"/>
        </w:rPr>
        <w:t>**</w:t>
      </w:r>
      <w:r w:rsidRPr="007264C7">
        <w:rPr>
          <w:szCs w:val="24"/>
        </w:rPr>
        <w:t xml:space="preserve">, переводятся на </w:t>
      </w:r>
      <w:r>
        <w:rPr>
          <w:szCs w:val="24"/>
        </w:rPr>
        <w:t>дексаметазон</w:t>
      </w:r>
      <w:r w:rsidR="006F5D03">
        <w:rPr>
          <w:szCs w:val="24"/>
        </w:rPr>
        <w:t>**</w:t>
      </w:r>
      <w:r w:rsidRPr="007264C7">
        <w:rPr>
          <w:szCs w:val="24"/>
        </w:rPr>
        <w:t>. Люмбальные пун</w:t>
      </w:r>
      <w:r w:rsidR="00E16DD0">
        <w:rPr>
          <w:szCs w:val="24"/>
        </w:rPr>
        <w:t>кции выполняются с частотой 1 раз в 2–3</w:t>
      </w:r>
      <w:r w:rsidRPr="007264C7">
        <w:rPr>
          <w:szCs w:val="24"/>
        </w:rPr>
        <w:t xml:space="preserve"> дня до получения трех нормальных анализов ликвора</w:t>
      </w:r>
      <w:r w:rsidR="00E16DD0">
        <w:rPr>
          <w:szCs w:val="24"/>
        </w:rPr>
        <w:t>, затем пункции выполняются 1</w:t>
      </w:r>
      <w:r w:rsidRPr="007264C7">
        <w:rPr>
          <w:szCs w:val="24"/>
        </w:rPr>
        <w:t xml:space="preserve"> раз в неделю в течение </w:t>
      </w:r>
      <w:r w:rsidR="00E16DD0">
        <w:rPr>
          <w:szCs w:val="24"/>
        </w:rPr>
        <w:t>3 мес, затем 1</w:t>
      </w:r>
      <w:r>
        <w:rPr>
          <w:szCs w:val="24"/>
        </w:rPr>
        <w:t xml:space="preserve"> раз в </w:t>
      </w:r>
      <w:r w:rsidR="00E16DD0">
        <w:rPr>
          <w:szCs w:val="24"/>
        </w:rPr>
        <w:t>2 нед в течение 3 мес, затем 1 раз в 2 мес</w:t>
      </w:r>
      <w:r w:rsidRPr="007264C7">
        <w:rPr>
          <w:szCs w:val="24"/>
        </w:rPr>
        <w:t xml:space="preserve"> до окончания лечения.</w:t>
      </w:r>
    </w:p>
    <w:p w14:paraId="3B6F6991" w14:textId="77777777" w:rsidR="00533FE8" w:rsidRPr="00E16DD0" w:rsidRDefault="00E16DD0" w:rsidP="00E16DD0">
      <w:pPr>
        <w:spacing w:before="120"/>
        <w:ind w:firstLine="709"/>
        <w:rPr>
          <w:szCs w:val="24"/>
        </w:rPr>
      </w:pPr>
      <w:bookmarkStart w:id="244" w:name="_Toc464042741"/>
      <w:bookmarkStart w:id="245" w:name="_Toc465074035"/>
      <w:bookmarkStart w:id="246" w:name="_Toc505347374"/>
      <w:r>
        <w:rPr>
          <w:rFonts w:eastAsia="MS Mincho"/>
          <w:b/>
          <w:lang w:eastAsia="ja-JP"/>
        </w:rPr>
        <w:t>Протокол е</w:t>
      </w:r>
      <w:r w:rsidR="00533FE8" w:rsidRPr="007264C7">
        <w:rPr>
          <w:rFonts w:eastAsia="MS Mincho"/>
          <w:b/>
          <w:lang w:eastAsia="ja-JP"/>
        </w:rPr>
        <w:t>вропейской гр</w:t>
      </w:r>
      <w:r w:rsidR="00533FE8">
        <w:rPr>
          <w:rFonts w:eastAsia="MS Mincho"/>
          <w:b/>
          <w:lang w:eastAsia="ja-JP"/>
        </w:rPr>
        <w:t xml:space="preserve">уппы по лечению пациентов старше 55 лет с </w:t>
      </w:r>
      <w:r w:rsidR="00533FE8" w:rsidRPr="007264C7">
        <w:rPr>
          <w:rFonts w:eastAsia="MS Mincho"/>
          <w:b/>
          <w:lang w:eastAsia="ja-JP"/>
        </w:rPr>
        <w:t>ОЛЛ</w:t>
      </w:r>
      <w:bookmarkEnd w:id="244"/>
      <w:bookmarkEnd w:id="245"/>
      <w:bookmarkEnd w:id="246"/>
    </w:p>
    <w:p w14:paraId="3C31B0F9" w14:textId="77777777" w:rsidR="00533FE8" w:rsidRPr="0009384D" w:rsidRDefault="00533FE8" w:rsidP="00533FE8">
      <w:pPr>
        <w:shd w:val="clear" w:color="auto" w:fill="FFFFFF"/>
        <w:ind w:firstLine="709"/>
        <w:rPr>
          <w:szCs w:val="24"/>
        </w:rPr>
      </w:pPr>
      <w:r w:rsidRPr="0009384D">
        <w:rPr>
          <w:b/>
          <w:szCs w:val="24"/>
        </w:rPr>
        <w:t xml:space="preserve">Предфаза: </w:t>
      </w:r>
      <w:r w:rsidRPr="0009384D">
        <w:rPr>
          <w:szCs w:val="24"/>
        </w:rPr>
        <w:t>д</w:t>
      </w:r>
      <w:r>
        <w:rPr>
          <w:szCs w:val="24"/>
        </w:rPr>
        <w:t>ексаметазон</w:t>
      </w:r>
      <w:r w:rsidR="006F5D03">
        <w:rPr>
          <w:szCs w:val="24"/>
        </w:rPr>
        <w:t>**</w:t>
      </w:r>
      <w:r w:rsidRPr="0009384D">
        <w:rPr>
          <w:szCs w:val="24"/>
        </w:rPr>
        <w:t xml:space="preserve"> (перорально, 10 мг/м</w:t>
      </w:r>
      <w:r w:rsidRPr="0009384D">
        <w:rPr>
          <w:szCs w:val="24"/>
          <w:vertAlign w:val="superscript"/>
        </w:rPr>
        <w:t>2</w:t>
      </w:r>
      <w:r w:rsidR="00E16DD0">
        <w:rPr>
          <w:szCs w:val="24"/>
        </w:rPr>
        <w:t>, в 1–</w:t>
      </w:r>
      <w:r>
        <w:rPr>
          <w:szCs w:val="24"/>
        </w:rPr>
        <w:t>5</w:t>
      </w:r>
      <w:r w:rsidR="00E16DD0">
        <w:rPr>
          <w:szCs w:val="24"/>
        </w:rPr>
        <w:t>-й</w:t>
      </w:r>
      <w:r>
        <w:rPr>
          <w:szCs w:val="24"/>
        </w:rPr>
        <w:t xml:space="preserve"> дни), метотрексат</w:t>
      </w:r>
      <w:r w:rsidR="00392AAF">
        <w:rPr>
          <w:szCs w:val="24"/>
        </w:rPr>
        <w:t>**</w:t>
      </w:r>
      <w:r>
        <w:rPr>
          <w:szCs w:val="24"/>
        </w:rPr>
        <w:t xml:space="preserve"> (интратекально</w:t>
      </w:r>
      <w:r w:rsidRPr="0009384D">
        <w:rPr>
          <w:szCs w:val="24"/>
        </w:rPr>
        <w:t xml:space="preserve"> 12 мг, в 1</w:t>
      </w:r>
      <w:r w:rsidR="00E16DD0">
        <w:rPr>
          <w:szCs w:val="24"/>
        </w:rPr>
        <w:t>-й</w:t>
      </w:r>
      <w:r w:rsidRPr="0009384D">
        <w:rPr>
          <w:szCs w:val="24"/>
        </w:rPr>
        <w:t xml:space="preserve"> день).</w:t>
      </w:r>
    </w:p>
    <w:p w14:paraId="595F1D5E" w14:textId="77777777" w:rsidR="00533FE8" w:rsidRPr="0009384D" w:rsidRDefault="00533FE8" w:rsidP="00533FE8">
      <w:pPr>
        <w:shd w:val="clear" w:color="auto" w:fill="FFFFFF"/>
        <w:ind w:firstLine="709"/>
        <w:rPr>
          <w:szCs w:val="24"/>
        </w:rPr>
      </w:pPr>
      <w:r w:rsidRPr="0009384D">
        <w:rPr>
          <w:b/>
          <w:szCs w:val="24"/>
        </w:rPr>
        <w:t xml:space="preserve">Индукция, фаза I: </w:t>
      </w:r>
      <w:r w:rsidRPr="0009384D">
        <w:rPr>
          <w:szCs w:val="24"/>
        </w:rPr>
        <w:t>д</w:t>
      </w:r>
      <w:r>
        <w:rPr>
          <w:szCs w:val="24"/>
        </w:rPr>
        <w:t>ексаметазон</w:t>
      </w:r>
      <w:r w:rsidR="006F5D03">
        <w:rPr>
          <w:szCs w:val="24"/>
        </w:rPr>
        <w:t>**</w:t>
      </w:r>
      <w:r w:rsidRPr="0009384D">
        <w:rPr>
          <w:szCs w:val="24"/>
        </w:rPr>
        <w:t xml:space="preserve"> (перорально, 10 мг/м</w:t>
      </w:r>
      <w:r w:rsidRPr="0009384D">
        <w:rPr>
          <w:szCs w:val="24"/>
          <w:vertAlign w:val="superscript"/>
        </w:rPr>
        <w:t>2</w:t>
      </w:r>
      <w:r w:rsidR="00E16DD0">
        <w:rPr>
          <w:szCs w:val="24"/>
        </w:rPr>
        <w:t xml:space="preserve"> в 6–</w:t>
      </w:r>
      <w:r w:rsidRPr="0009384D">
        <w:rPr>
          <w:szCs w:val="24"/>
        </w:rPr>
        <w:t>7</w:t>
      </w:r>
      <w:r w:rsidR="00E16DD0">
        <w:rPr>
          <w:szCs w:val="24"/>
        </w:rPr>
        <w:t>-й*, 13–</w:t>
      </w:r>
      <w:r w:rsidRPr="0009384D">
        <w:rPr>
          <w:szCs w:val="24"/>
        </w:rPr>
        <w:t>16</w:t>
      </w:r>
      <w:r w:rsidR="00E16DD0">
        <w:rPr>
          <w:szCs w:val="24"/>
        </w:rPr>
        <w:t>-й</w:t>
      </w:r>
      <w:r w:rsidRPr="0009384D">
        <w:rPr>
          <w:szCs w:val="24"/>
        </w:rPr>
        <w:t xml:space="preserve"> дни); винкристин</w:t>
      </w:r>
      <w:r w:rsidR="00457E7B">
        <w:rPr>
          <w:szCs w:val="24"/>
        </w:rPr>
        <w:t>**</w:t>
      </w:r>
      <w:r w:rsidRPr="0009384D">
        <w:rPr>
          <w:szCs w:val="24"/>
        </w:rPr>
        <w:t xml:space="preserve"> (внутривенно, 1 мг в 6</w:t>
      </w:r>
      <w:r w:rsidR="00E16DD0">
        <w:rPr>
          <w:szCs w:val="24"/>
        </w:rPr>
        <w:t>-й</w:t>
      </w:r>
      <w:r w:rsidRPr="0009384D">
        <w:rPr>
          <w:szCs w:val="24"/>
        </w:rPr>
        <w:t>, 13</w:t>
      </w:r>
      <w:r w:rsidR="00E16DD0">
        <w:rPr>
          <w:szCs w:val="24"/>
        </w:rPr>
        <w:t>-й</w:t>
      </w:r>
      <w:r w:rsidRPr="0009384D">
        <w:rPr>
          <w:szCs w:val="24"/>
        </w:rPr>
        <w:t xml:space="preserve"> дни); </w:t>
      </w:r>
      <w:r w:rsidR="0000078E" w:rsidRPr="0000078E">
        <w:rPr>
          <w:szCs w:val="24"/>
        </w:rPr>
        <w:t>#</w:t>
      </w:r>
      <w:r w:rsidRPr="0009384D">
        <w:rPr>
          <w:szCs w:val="24"/>
        </w:rPr>
        <w:t>идарубицин</w:t>
      </w:r>
      <w:r w:rsidR="0000078E" w:rsidRPr="0000078E">
        <w:rPr>
          <w:szCs w:val="24"/>
        </w:rPr>
        <w:t>**</w:t>
      </w:r>
      <w:r w:rsidR="00E16DD0">
        <w:rPr>
          <w:szCs w:val="24"/>
        </w:rPr>
        <w:t xml:space="preserve"> (внутривенно, 10 мг, в 6–</w:t>
      </w:r>
      <w:r w:rsidRPr="0009384D">
        <w:rPr>
          <w:szCs w:val="24"/>
        </w:rPr>
        <w:t>7</w:t>
      </w:r>
      <w:r w:rsidR="00E16DD0">
        <w:rPr>
          <w:szCs w:val="24"/>
        </w:rPr>
        <w:t>-й, 13–</w:t>
      </w:r>
      <w:r w:rsidRPr="0009384D">
        <w:rPr>
          <w:szCs w:val="24"/>
        </w:rPr>
        <w:t>14</w:t>
      </w:r>
      <w:r w:rsidR="00E16DD0">
        <w:rPr>
          <w:szCs w:val="24"/>
        </w:rPr>
        <w:t>-й</w:t>
      </w:r>
      <w:r w:rsidRPr="0009384D">
        <w:rPr>
          <w:szCs w:val="24"/>
        </w:rPr>
        <w:t xml:space="preserve"> дни); метотрексат</w:t>
      </w:r>
      <w:r w:rsidR="00392AAF">
        <w:rPr>
          <w:szCs w:val="24"/>
        </w:rPr>
        <w:t>**</w:t>
      </w:r>
      <w:r w:rsidRPr="0009384D">
        <w:rPr>
          <w:szCs w:val="24"/>
        </w:rPr>
        <w:t xml:space="preserve"> (внутриоболочечно, 12 мг) + </w:t>
      </w:r>
      <w:r>
        <w:rPr>
          <w:szCs w:val="24"/>
        </w:rPr>
        <w:t>дексаметазон</w:t>
      </w:r>
      <w:r w:rsidR="006F5D03">
        <w:rPr>
          <w:szCs w:val="24"/>
        </w:rPr>
        <w:t>**</w:t>
      </w:r>
      <w:r w:rsidRPr="0009384D">
        <w:rPr>
          <w:szCs w:val="24"/>
        </w:rPr>
        <w:t xml:space="preserve"> (внутриоболочечно, 4 мг) + </w:t>
      </w:r>
      <w:r w:rsidR="00421699">
        <w:rPr>
          <w:szCs w:val="24"/>
        </w:rPr>
        <w:t>цитарабин**</w:t>
      </w:r>
      <w:r w:rsidRPr="0009384D">
        <w:rPr>
          <w:szCs w:val="24"/>
        </w:rPr>
        <w:t xml:space="preserve"> (внутриоболочечно, 40 мг) в 12, 20, 27, 34</w:t>
      </w:r>
      <w:r w:rsidR="00E16DD0">
        <w:rPr>
          <w:szCs w:val="24"/>
        </w:rPr>
        <w:t>-й</w:t>
      </w:r>
      <w:r w:rsidRPr="0009384D">
        <w:rPr>
          <w:szCs w:val="24"/>
        </w:rPr>
        <w:t xml:space="preserve"> дни; </w:t>
      </w:r>
      <w:r w:rsidR="00D72E20">
        <w:rPr>
          <w:szCs w:val="24"/>
        </w:rPr>
        <w:t>Г-КСФ</w:t>
      </w:r>
      <w:r w:rsidRPr="0009384D">
        <w:rPr>
          <w:szCs w:val="24"/>
        </w:rPr>
        <w:t xml:space="preserve"> (подкожно, 5 мкг/кг, в 6</w:t>
      </w:r>
      <w:r w:rsidR="00E16DD0">
        <w:rPr>
          <w:szCs w:val="24"/>
        </w:rPr>
        <w:t>-й</w:t>
      </w:r>
      <w:r w:rsidRPr="0009384D">
        <w:rPr>
          <w:szCs w:val="24"/>
        </w:rPr>
        <w:t xml:space="preserve"> день, до восстановления количества нейтрофилов &gt;1,0 × 10</w:t>
      </w:r>
      <w:r w:rsidRPr="0009384D">
        <w:rPr>
          <w:szCs w:val="24"/>
          <w:vertAlign w:val="superscript"/>
        </w:rPr>
        <w:t>9</w:t>
      </w:r>
      <w:r w:rsidRPr="0009384D">
        <w:rPr>
          <w:szCs w:val="24"/>
        </w:rPr>
        <w:t>/л</w:t>
      </w:r>
      <w:r w:rsidR="00FA5879">
        <w:rPr>
          <w:szCs w:val="24"/>
        </w:rPr>
        <w:t>)</w:t>
      </w:r>
      <w:r w:rsidRPr="0009384D">
        <w:rPr>
          <w:szCs w:val="24"/>
        </w:rPr>
        <w:t>.</w:t>
      </w:r>
    </w:p>
    <w:p w14:paraId="30F681FB" w14:textId="77777777" w:rsidR="00533FE8" w:rsidRPr="0009384D" w:rsidRDefault="00533FE8" w:rsidP="00533FE8">
      <w:pPr>
        <w:shd w:val="clear" w:color="auto" w:fill="FFFFFF"/>
        <w:ind w:firstLine="709"/>
        <w:rPr>
          <w:szCs w:val="24"/>
        </w:rPr>
      </w:pPr>
      <w:r w:rsidRPr="0009384D">
        <w:rPr>
          <w:b/>
          <w:szCs w:val="24"/>
        </w:rPr>
        <w:t xml:space="preserve">Индукция, фаза Il: </w:t>
      </w:r>
      <w:r w:rsidRPr="0009384D">
        <w:rPr>
          <w:szCs w:val="24"/>
        </w:rPr>
        <w:t>циклофосфамид</w:t>
      </w:r>
      <w:r w:rsidR="004C2C6A">
        <w:rPr>
          <w:szCs w:val="24"/>
        </w:rPr>
        <w:t>**</w:t>
      </w:r>
      <w:r w:rsidRPr="0009384D">
        <w:rPr>
          <w:szCs w:val="24"/>
        </w:rPr>
        <w:t xml:space="preserve"> (внутривенно, 300 мг/м</w:t>
      </w:r>
      <w:r w:rsidRPr="0009384D">
        <w:rPr>
          <w:szCs w:val="24"/>
          <w:vertAlign w:val="superscript"/>
        </w:rPr>
        <w:t>2</w:t>
      </w:r>
      <w:r w:rsidR="00E16DD0">
        <w:rPr>
          <w:szCs w:val="24"/>
        </w:rPr>
        <w:t xml:space="preserve"> в 20–</w:t>
      </w:r>
      <w:r w:rsidRPr="0009384D">
        <w:rPr>
          <w:szCs w:val="24"/>
        </w:rPr>
        <w:t>22</w:t>
      </w:r>
      <w:r w:rsidR="00E16DD0">
        <w:rPr>
          <w:szCs w:val="24"/>
        </w:rPr>
        <w:t>-й</w:t>
      </w:r>
      <w:r w:rsidRPr="0009384D">
        <w:rPr>
          <w:szCs w:val="24"/>
        </w:rPr>
        <w:t xml:space="preserve"> дни)</w:t>
      </w:r>
      <w:r w:rsidR="00986B4F" w:rsidRPr="00116C40">
        <w:rPr>
          <w:rStyle w:val="af9"/>
        </w:rPr>
        <w:footnoteReference w:id="2"/>
      </w:r>
      <w:r w:rsidRPr="0009384D">
        <w:rPr>
          <w:szCs w:val="24"/>
        </w:rPr>
        <w:t>; цитарабин</w:t>
      </w:r>
      <w:r w:rsidR="00421699">
        <w:rPr>
          <w:szCs w:val="24"/>
        </w:rPr>
        <w:t>**</w:t>
      </w:r>
      <w:r w:rsidRPr="0009384D">
        <w:rPr>
          <w:szCs w:val="24"/>
        </w:rPr>
        <w:t xml:space="preserve"> (внутривенно, 60 мг/м</w:t>
      </w:r>
      <w:r w:rsidRPr="0009384D">
        <w:rPr>
          <w:szCs w:val="24"/>
          <w:vertAlign w:val="superscript"/>
        </w:rPr>
        <w:t>2</w:t>
      </w:r>
      <w:r w:rsidR="00E16DD0">
        <w:rPr>
          <w:szCs w:val="24"/>
        </w:rPr>
        <w:t xml:space="preserve"> в 21–24-й, 28–</w:t>
      </w:r>
      <w:r w:rsidRPr="0009384D">
        <w:rPr>
          <w:szCs w:val="24"/>
        </w:rPr>
        <w:t>31</w:t>
      </w:r>
      <w:r w:rsidR="00E16DD0">
        <w:rPr>
          <w:szCs w:val="24"/>
        </w:rPr>
        <w:t>-й</w:t>
      </w:r>
      <w:r w:rsidRPr="0009384D">
        <w:rPr>
          <w:szCs w:val="24"/>
        </w:rPr>
        <w:t xml:space="preserve"> дни).</w:t>
      </w:r>
    </w:p>
    <w:p w14:paraId="7BE5440F" w14:textId="18CCCF09" w:rsidR="00533FE8" w:rsidRPr="0009384D" w:rsidRDefault="00533FE8" w:rsidP="00533FE8">
      <w:pPr>
        <w:shd w:val="clear" w:color="auto" w:fill="FFFFFF"/>
        <w:ind w:firstLine="709"/>
        <w:rPr>
          <w:szCs w:val="24"/>
        </w:rPr>
      </w:pPr>
      <w:r w:rsidRPr="0009384D">
        <w:rPr>
          <w:b/>
          <w:szCs w:val="24"/>
        </w:rPr>
        <w:t xml:space="preserve">Консолидация </w:t>
      </w:r>
      <w:r w:rsidR="00E16DD0">
        <w:rPr>
          <w:szCs w:val="24"/>
        </w:rPr>
        <w:t xml:space="preserve">(каждые 4–6 нед): циклы 1, 3, 5 – </w:t>
      </w:r>
      <w:r w:rsidRPr="0009384D">
        <w:rPr>
          <w:szCs w:val="24"/>
        </w:rPr>
        <w:t>метотрексат</w:t>
      </w:r>
      <w:r w:rsidR="00392AAF">
        <w:rPr>
          <w:szCs w:val="24"/>
        </w:rPr>
        <w:t>**</w:t>
      </w:r>
      <w:r w:rsidRPr="0009384D">
        <w:rPr>
          <w:szCs w:val="24"/>
        </w:rPr>
        <w:t xml:space="preserve"> (1000 мг/м</w:t>
      </w:r>
      <w:r w:rsidRPr="0009384D">
        <w:rPr>
          <w:szCs w:val="24"/>
          <w:vertAlign w:val="superscript"/>
        </w:rPr>
        <w:t>2</w:t>
      </w:r>
      <w:r w:rsidR="00E16DD0">
        <w:rPr>
          <w:szCs w:val="24"/>
        </w:rPr>
        <w:t>; у пациентов &gt;70 лет –</w:t>
      </w:r>
      <w:r w:rsidRPr="0009384D">
        <w:rPr>
          <w:szCs w:val="24"/>
        </w:rPr>
        <w:t xml:space="preserve"> 500 мг/м</w:t>
      </w:r>
      <w:r w:rsidRPr="0009384D">
        <w:rPr>
          <w:szCs w:val="24"/>
          <w:vertAlign w:val="superscript"/>
        </w:rPr>
        <w:t>2</w:t>
      </w:r>
      <w:r w:rsidRPr="0009384D">
        <w:rPr>
          <w:szCs w:val="24"/>
        </w:rPr>
        <w:t>, внутривенно, в 1</w:t>
      </w:r>
      <w:r w:rsidR="00E16DD0">
        <w:rPr>
          <w:szCs w:val="24"/>
        </w:rPr>
        <w:t>-й</w:t>
      </w:r>
      <w:r w:rsidRPr="0009384D">
        <w:rPr>
          <w:szCs w:val="24"/>
        </w:rPr>
        <w:t xml:space="preserve"> день); аспарагиназа</w:t>
      </w:r>
      <w:r w:rsidR="00714B4A">
        <w:rPr>
          <w:szCs w:val="24"/>
        </w:rPr>
        <w:t>**</w:t>
      </w:r>
      <w:r w:rsidRPr="0009384D">
        <w:rPr>
          <w:szCs w:val="24"/>
        </w:rPr>
        <w:t xml:space="preserve"> (1000</w:t>
      </w:r>
      <w:r w:rsidR="00797B22">
        <w:rPr>
          <w:szCs w:val="24"/>
        </w:rPr>
        <w:t>0</w:t>
      </w:r>
      <w:r w:rsidRPr="0009384D">
        <w:rPr>
          <w:szCs w:val="24"/>
        </w:rPr>
        <w:t xml:space="preserve"> ЕД/м</w:t>
      </w:r>
      <w:r w:rsidRPr="0009384D">
        <w:rPr>
          <w:szCs w:val="24"/>
          <w:vertAlign w:val="superscript"/>
        </w:rPr>
        <w:t>2</w:t>
      </w:r>
      <w:r w:rsidR="00E16DD0">
        <w:rPr>
          <w:szCs w:val="24"/>
        </w:rPr>
        <w:t>; у пациентов &gt;70 лет –</w:t>
      </w:r>
      <w:r w:rsidRPr="0009384D">
        <w:rPr>
          <w:szCs w:val="24"/>
        </w:rPr>
        <w:t xml:space="preserve"> 5000 ЕД/м</w:t>
      </w:r>
      <w:r w:rsidRPr="0009384D">
        <w:rPr>
          <w:szCs w:val="24"/>
          <w:vertAlign w:val="superscript"/>
        </w:rPr>
        <w:t>2</w:t>
      </w:r>
      <w:r w:rsidRPr="0009384D">
        <w:rPr>
          <w:szCs w:val="24"/>
        </w:rPr>
        <w:t>, внутримышечно, во 2</w:t>
      </w:r>
      <w:r w:rsidR="00E16DD0">
        <w:rPr>
          <w:szCs w:val="24"/>
        </w:rPr>
        <w:t>-й день); циклы 2, 4, 6 –</w:t>
      </w:r>
      <w:r w:rsidRPr="0009384D">
        <w:rPr>
          <w:szCs w:val="24"/>
        </w:rPr>
        <w:t xml:space="preserve"> цитарабин</w:t>
      </w:r>
      <w:r w:rsidR="00421699">
        <w:rPr>
          <w:szCs w:val="24"/>
        </w:rPr>
        <w:t>**</w:t>
      </w:r>
      <w:r w:rsidRPr="0009384D">
        <w:rPr>
          <w:szCs w:val="24"/>
        </w:rPr>
        <w:t xml:space="preserve"> (1000 мг/м</w:t>
      </w:r>
      <w:r w:rsidRPr="0009384D">
        <w:rPr>
          <w:szCs w:val="24"/>
          <w:vertAlign w:val="superscript"/>
        </w:rPr>
        <w:t>2</w:t>
      </w:r>
      <w:r w:rsidR="00E16DD0">
        <w:rPr>
          <w:szCs w:val="24"/>
        </w:rPr>
        <w:t>; у пациентов &gt;70 лет –</w:t>
      </w:r>
      <w:r w:rsidRPr="0009384D">
        <w:rPr>
          <w:szCs w:val="24"/>
        </w:rPr>
        <w:t xml:space="preserve"> 500 мг/м</w:t>
      </w:r>
      <w:r w:rsidRPr="0009384D">
        <w:rPr>
          <w:szCs w:val="24"/>
          <w:vertAlign w:val="superscript"/>
        </w:rPr>
        <w:t>2</w:t>
      </w:r>
      <w:r w:rsidRPr="0009384D">
        <w:rPr>
          <w:szCs w:val="24"/>
        </w:rPr>
        <w:t>, внутривенно, в 1, 3, 5</w:t>
      </w:r>
      <w:r w:rsidR="00E16DD0">
        <w:rPr>
          <w:szCs w:val="24"/>
        </w:rPr>
        <w:t>-й</w:t>
      </w:r>
      <w:r w:rsidRPr="0009384D">
        <w:rPr>
          <w:szCs w:val="24"/>
        </w:rPr>
        <w:t xml:space="preserve"> дни).</w:t>
      </w:r>
    </w:p>
    <w:p w14:paraId="2570F766" w14:textId="77777777" w:rsidR="00533FE8" w:rsidRPr="0009384D" w:rsidRDefault="00533FE8" w:rsidP="00533FE8">
      <w:pPr>
        <w:shd w:val="clear" w:color="auto" w:fill="FFFFFF"/>
        <w:ind w:firstLine="709"/>
        <w:rPr>
          <w:szCs w:val="24"/>
        </w:rPr>
      </w:pPr>
      <w:r w:rsidRPr="0009384D">
        <w:rPr>
          <w:b/>
          <w:szCs w:val="24"/>
        </w:rPr>
        <w:t xml:space="preserve">Поддерживающая терапия </w:t>
      </w:r>
      <w:r w:rsidRPr="0009384D">
        <w:rPr>
          <w:szCs w:val="24"/>
        </w:rPr>
        <w:t>(длительностью до 2 лет): дексаме</w:t>
      </w:r>
      <w:r>
        <w:rPr>
          <w:szCs w:val="24"/>
        </w:rPr>
        <w:t>тазон</w:t>
      </w:r>
      <w:r w:rsidR="006F5D03">
        <w:rPr>
          <w:szCs w:val="24"/>
        </w:rPr>
        <w:t>**</w:t>
      </w:r>
      <w:r w:rsidR="00E16DD0">
        <w:rPr>
          <w:szCs w:val="24"/>
        </w:rPr>
        <w:t xml:space="preserve"> (перорально, 40 мг в 1–</w:t>
      </w:r>
      <w:r w:rsidRPr="0009384D">
        <w:rPr>
          <w:szCs w:val="24"/>
        </w:rPr>
        <w:t>2</w:t>
      </w:r>
      <w:r w:rsidR="00E16DD0">
        <w:rPr>
          <w:szCs w:val="24"/>
        </w:rPr>
        <w:t>-й</w:t>
      </w:r>
      <w:r w:rsidRPr="0009384D">
        <w:rPr>
          <w:szCs w:val="24"/>
        </w:rPr>
        <w:t xml:space="preserve"> дни</w:t>
      </w:r>
      <w:r w:rsidR="00FA5879">
        <w:rPr>
          <w:szCs w:val="24"/>
        </w:rPr>
        <w:t>)</w:t>
      </w:r>
      <w:r w:rsidRPr="0009384D">
        <w:rPr>
          <w:szCs w:val="24"/>
        </w:rPr>
        <w:t>; винкристин</w:t>
      </w:r>
      <w:r w:rsidR="00457E7B">
        <w:rPr>
          <w:szCs w:val="24"/>
        </w:rPr>
        <w:t>**</w:t>
      </w:r>
      <w:r w:rsidRPr="0009384D">
        <w:rPr>
          <w:szCs w:val="24"/>
        </w:rPr>
        <w:t xml:space="preserve"> (внутривенно, 1 мг в 1</w:t>
      </w:r>
      <w:r w:rsidR="00E16DD0">
        <w:rPr>
          <w:szCs w:val="24"/>
        </w:rPr>
        <w:t>-й</w:t>
      </w:r>
      <w:r w:rsidRPr="0009384D">
        <w:rPr>
          <w:szCs w:val="24"/>
        </w:rPr>
        <w:t xml:space="preserve"> день); меркаптопурин</w:t>
      </w:r>
      <w:r w:rsidR="00714B4A">
        <w:rPr>
          <w:szCs w:val="24"/>
        </w:rPr>
        <w:t>**</w:t>
      </w:r>
      <w:r w:rsidRPr="0009384D">
        <w:rPr>
          <w:szCs w:val="24"/>
        </w:rPr>
        <w:t xml:space="preserve"> (перорально, 60 мг/м</w:t>
      </w:r>
      <w:r w:rsidRPr="0009384D">
        <w:rPr>
          <w:szCs w:val="24"/>
          <w:vertAlign w:val="superscript"/>
        </w:rPr>
        <w:t>2</w:t>
      </w:r>
      <w:r w:rsidR="00E16DD0">
        <w:rPr>
          <w:szCs w:val="24"/>
        </w:rPr>
        <w:t xml:space="preserve"> в 1–</w:t>
      </w:r>
      <w:r w:rsidRPr="0009384D">
        <w:rPr>
          <w:szCs w:val="24"/>
        </w:rPr>
        <w:t>90</w:t>
      </w:r>
      <w:r w:rsidR="00E16DD0">
        <w:rPr>
          <w:szCs w:val="24"/>
        </w:rPr>
        <w:t>-й</w:t>
      </w:r>
      <w:r w:rsidRPr="0009384D">
        <w:rPr>
          <w:szCs w:val="24"/>
        </w:rPr>
        <w:t xml:space="preserve"> дни); метотрексат</w:t>
      </w:r>
      <w:r w:rsidR="00392AAF">
        <w:rPr>
          <w:szCs w:val="24"/>
        </w:rPr>
        <w:t>**</w:t>
      </w:r>
      <w:r w:rsidRPr="0009384D">
        <w:rPr>
          <w:szCs w:val="24"/>
        </w:rPr>
        <w:t xml:space="preserve"> (внутривенно, 25 мг/м</w:t>
      </w:r>
      <w:r w:rsidRPr="0009384D">
        <w:rPr>
          <w:szCs w:val="24"/>
          <w:vertAlign w:val="superscript"/>
        </w:rPr>
        <w:t>2</w:t>
      </w:r>
      <w:r w:rsidR="00E16DD0">
        <w:rPr>
          <w:szCs w:val="24"/>
        </w:rPr>
        <w:t>, 1 раз в неделю</w:t>
      </w:r>
      <w:r w:rsidRPr="0009384D">
        <w:rPr>
          <w:szCs w:val="24"/>
        </w:rPr>
        <w:t>).</w:t>
      </w:r>
    </w:p>
    <w:p w14:paraId="79CFD8F2" w14:textId="77777777" w:rsidR="00533FE8" w:rsidRDefault="00533FE8" w:rsidP="00533FE8">
      <w:pPr>
        <w:shd w:val="clear" w:color="auto" w:fill="FFFFFF"/>
        <w:ind w:firstLine="709"/>
        <w:rPr>
          <w:rFonts w:eastAsia="MS Mincho"/>
          <w:szCs w:val="24"/>
          <w:lang w:eastAsia="ja-JP"/>
        </w:rPr>
      </w:pPr>
    </w:p>
    <w:p w14:paraId="098F89E5" w14:textId="48D3E030" w:rsidR="00533FE8" w:rsidRPr="007264C7" w:rsidRDefault="00533FE8" w:rsidP="009F500F">
      <w:pPr>
        <w:shd w:val="clear" w:color="auto" w:fill="FFFFFF"/>
        <w:ind w:firstLine="709"/>
        <w:rPr>
          <w:szCs w:val="24"/>
        </w:rPr>
      </w:pPr>
      <w:r w:rsidRPr="00C02BD7">
        <w:rPr>
          <w:b/>
          <w:szCs w:val="24"/>
        </w:rPr>
        <w:t xml:space="preserve">Программы лечения </w:t>
      </w:r>
      <w:r w:rsidR="00780510" w:rsidRPr="00087A6B">
        <w:rPr>
          <w:b/>
          <w:szCs w:val="24"/>
        </w:rPr>
        <w:t>лейкоза/</w:t>
      </w:r>
      <w:r w:rsidRPr="00087A6B">
        <w:rPr>
          <w:b/>
          <w:szCs w:val="24"/>
        </w:rPr>
        <w:t>лимфомы Беркитта</w:t>
      </w:r>
      <w:r w:rsidRPr="00087A6B">
        <w:rPr>
          <w:szCs w:val="24"/>
        </w:rPr>
        <w:t xml:space="preserve"> </w:t>
      </w:r>
      <w:r w:rsidRPr="007264C7">
        <w:rPr>
          <w:b/>
          <w:szCs w:val="24"/>
        </w:rPr>
        <w:t>ЛБ-М-04</w:t>
      </w:r>
      <w:r w:rsidRPr="007264C7">
        <w:rPr>
          <w:szCs w:val="24"/>
        </w:rPr>
        <w:t xml:space="preserve"> </w:t>
      </w:r>
    </w:p>
    <w:p w14:paraId="62A9CBB0" w14:textId="5D00D62E" w:rsidR="00533FE8" w:rsidRPr="00780510" w:rsidRDefault="00533FE8" w:rsidP="00533FE8">
      <w:pPr>
        <w:rPr>
          <w:b/>
          <w:szCs w:val="24"/>
        </w:rPr>
      </w:pPr>
      <w:r w:rsidRPr="007264C7">
        <w:rPr>
          <w:szCs w:val="24"/>
        </w:rPr>
        <w:t>Схема ле</w:t>
      </w:r>
      <w:r>
        <w:rPr>
          <w:szCs w:val="24"/>
        </w:rPr>
        <w:t xml:space="preserve">чения: </w:t>
      </w:r>
      <w:r w:rsidRPr="009F500F">
        <w:rPr>
          <w:b/>
          <w:szCs w:val="24"/>
        </w:rPr>
        <w:t xml:space="preserve">предфаза – </w:t>
      </w:r>
      <w:r w:rsidR="00780510" w:rsidRPr="009F500F">
        <w:rPr>
          <w:b/>
          <w:szCs w:val="24"/>
        </w:rPr>
        <w:t>4-6 блоков (-А-С-)</w:t>
      </w:r>
    </w:p>
    <w:p w14:paraId="26F8134E" w14:textId="77777777" w:rsidR="00533FE8" w:rsidRPr="0096191D" w:rsidRDefault="00533FE8" w:rsidP="00533FE8">
      <w:pPr>
        <w:rPr>
          <w:b/>
          <w:szCs w:val="24"/>
        </w:rPr>
      </w:pPr>
      <w:r w:rsidRPr="0096191D">
        <w:rPr>
          <w:b/>
          <w:szCs w:val="24"/>
        </w:rPr>
        <w:t>Предфаза</w:t>
      </w:r>
      <w:r w:rsidR="0096191D">
        <w:rPr>
          <w:b/>
          <w:szCs w:val="24"/>
        </w:rPr>
        <w:t>:</w:t>
      </w:r>
    </w:p>
    <w:p w14:paraId="16094E30" w14:textId="77777777" w:rsidR="00533FE8" w:rsidRPr="007264C7" w:rsidRDefault="00533FE8" w:rsidP="00FF4C81">
      <w:pPr>
        <w:numPr>
          <w:ilvl w:val="0"/>
          <w:numId w:val="24"/>
        </w:numPr>
        <w:rPr>
          <w:szCs w:val="24"/>
        </w:rPr>
      </w:pPr>
      <w:r w:rsidRPr="007264C7">
        <w:rPr>
          <w:szCs w:val="24"/>
        </w:rPr>
        <w:t>Циклофосфамид</w:t>
      </w:r>
      <w:r w:rsidR="004C2C6A">
        <w:rPr>
          <w:szCs w:val="24"/>
        </w:rPr>
        <w:t>**</w:t>
      </w:r>
      <w:r w:rsidRPr="007264C7">
        <w:rPr>
          <w:szCs w:val="24"/>
        </w:rPr>
        <w:t xml:space="preserve"> 200 мг/м</w:t>
      </w:r>
      <w:r w:rsidRPr="00D72E20">
        <w:rPr>
          <w:szCs w:val="24"/>
          <w:vertAlign w:val="superscript"/>
        </w:rPr>
        <w:t>2</w:t>
      </w:r>
      <w:r w:rsidR="0096191D">
        <w:rPr>
          <w:szCs w:val="24"/>
        </w:rPr>
        <w:t xml:space="preserve"> в/в, 1–</w:t>
      </w:r>
      <w:r w:rsidRPr="007264C7">
        <w:rPr>
          <w:szCs w:val="24"/>
        </w:rPr>
        <w:t>5</w:t>
      </w:r>
      <w:r w:rsidR="0096191D">
        <w:rPr>
          <w:szCs w:val="24"/>
        </w:rPr>
        <w:t>-й дни</w:t>
      </w:r>
    </w:p>
    <w:p w14:paraId="7E093969" w14:textId="77777777" w:rsidR="00533FE8" w:rsidRPr="007264C7" w:rsidRDefault="00533FE8" w:rsidP="00FF4C81">
      <w:pPr>
        <w:numPr>
          <w:ilvl w:val="0"/>
          <w:numId w:val="24"/>
        </w:numPr>
        <w:rPr>
          <w:szCs w:val="24"/>
        </w:rPr>
      </w:pPr>
      <w:r>
        <w:rPr>
          <w:szCs w:val="24"/>
        </w:rPr>
        <w:t>Дексаметазон</w:t>
      </w:r>
      <w:r w:rsidR="006F5D03">
        <w:rPr>
          <w:szCs w:val="24"/>
        </w:rPr>
        <w:t>**</w:t>
      </w:r>
      <w:r>
        <w:rPr>
          <w:szCs w:val="24"/>
        </w:rPr>
        <w:t xml:space="preserve"> 10 мг/м</w:t>
      </w:r>
      <w:r w:rsidRPr="00D72E20">
        <w:rPr>
          <w:szCs w:val="24"/>
          <w:vertAlign w:val="superscript"/>
        </w:rPr>
        <w:t>2</w:t>
      </w:r>
      <w:r w:rsidR="0096191D">
        <w:rPr>
          <w:szCs w:val="24"/>
        </w:rPr>
        <w:t xml:space="preserve"> в/в, 1–</w:t>
      </w:r>
      <w:r w:rsidR="0096191D" w:rsidRPr="007264C7">
        <w:rPr>
          <w:szCs w:val="24"/>
        </w:rPr>
        <w:t>5</w:t>
      </w:r>
      <w:r w:rsidR="0096191D">
        <w:rPr>
          <w:szCs w:val="24"/>
        </w:rPr>
        <w:t>-й дни</w:t>
      </w:r>
    </w:p>
    <w:p w14:paraId="0425943B" w14:textId="77777777" w:rsidR="00780510" w:rsidRDefault="00780510" w:rsidP="00533FE8">
      <w:pPr>
        <w:rPr>
          <w:b/>
          <w:szCs w:val="24"/>
        </w:rPr>
      </w:pPr>
    </w:p>
    <w:p w14:paraId="42EC7744" w14:textId="77777777" w:rsidR="00533FE8" w:rsidRPr="0096191D" w:rsidRDefault="00533FE8" w:rsidP="00533FE8">
      <w:pPr>
        <w:rPr>
          <w:szCs w:val="24"/>
        </w:rPr>
      </w:pPr>
      <w:r w:rsidRPr="0096191D">
        <w:rPr>
          <w:b/>
          <w:szCs w:val="24"/>
        </w:rPr>
        <w:t>Блок А</w:t>
      </w:r>
      <w:r w:rsidR="0096191D">
        <w:rPr>
          <w:szCs w:val="24"/>
        </w:rPr>
        <w:t>:</w:t>
      </w:r>
    </w:p>
    <w:p w14:paraId="04A84AF1" w14:textId="77777777" w:rsidR="00533FE8" w:rsidRPr="007264C7" w:rsidRDefault="00533FE8" w:rsidP="00FF4C81">
      <w:pPr>
        <w:numPr>
          <w:ilvl w:val="0"/>
          <w:numId w:val="23"/>
        </w:numPr>
        <w:rPr>
          <w:szCs w:val="24"/>
        </w:rPr>
      </w:pPr>
      <w:r w:rsidRPr="007264C7">
        <w:rPr>
          <w:szCs w:val="24"/>
        </w:rPr>
        <w:t>Ифосфамид</w:t>
      </w:r>
      <w:r w:rsidR="00986B4F" w:rsidRPr="00986B4F">
        <w:rPr>
          <w:szCs w:val="24"/>
        </w:rPr>
        <w:t>**</w:t>
      </w:r>
      <w:r w:rsidRPr="007264C7">
        <w:rPr>
          <w:szCs w:val="24"/>
        </w:rPr>
        <w:t xml:space="preserve"> 800 мг/м</w:t>
      </w:r>
      <w:r w:rsidRPr="00D72E20">
        <w:rPr>
          <w:szCs w:val="24"/>
          <w:vertAlign w:val="superscript"/>
        </w:rPr>
        <w:t>2</w:t>
      </w:r>
      <w:r w:rsidRPr="007264C7">
        <w:rPr>
          <w:szCs w:val="24"/>
        </w:rPr>
        <w:t xml:space="preserve"> в/в, </w:t>
      </w:r>
      <w:r w:rsidR="0096191D">
        <w:rPr>
          <w:szCs w:val="24"/>
        </w:rPr>
        <w:t>1–</w:t>
      </w:r>
      <w:r w:rsidR="0096191D" w:rsidRPr="007264C7">
        <w:rPr>
          <w:szCs w:val="24"/>
        </w:rPr>
        <w:t>5</w:t>
      </w:r>
      <w:r w:rsidR="0096191D">
        <w:rPr>
          <w:szCs w:val="24"/>
        </w:rPr>
        <w:t>-й дни</w:t>
      </w:r>
    </w:p>
    <w:p w14:paraId="474FADDB" w14:textId="77777777" w:rsidR="00533FE8" w:rsidRPr="007264C7" w:rsidRDefault="00533FE8" w:rsidP="00FF4C81">
      <w:pPr>
        <w:numPr>
          <w:ilvl w:val="0"/>
          <w:numId w:val="23"/>
        </w:numPr>
        <w:rPr>
          <w:szCs w:val="24"/>
        </w:rPr>
      </w:pPr>
      <w:r w:rsidRPr="007264C7">
        <w:rPr>
          <w:szCs w:val="24"/>
        </w:rPr>
        <w:t>Метотрексат</w:t>
      </w:r>
      <w:r w:rsidR="00392AAF">
        <w:rPr>
          <w:szCs w:val="24"/>
        </w:rPr>
        <w:t>**</w:t>
      </w:r>
      <w:r w:rsidRPr="007264C7">
        <w:rPr>
          <w:szCs w:val="24"/>
        </w:rPr>
        <w:t xml:space="preserve"> 1,5 г/м</w:t>
      </w:r>
      <w:r w:rsidRPr="00D72E20">
        <w:rPr>
          <w:szCs w:val="24"/>
          <w:vertAlign w:val="superscript"/>
        </w:rPr>
        <w:t>2</w:t>
      </w:r>
      <w:r w:rsidR="0096191D">
        <w:rPr>
          <w:szCs w:val="24"/>
        </w:rPr>
        <w:t xml:space="preserve"> в/в (в течение 12 ч), </w:t>
      </w:r>
      <w:r w:rsidRPr="007264C7">
        <w:rPr>
          <w:szCs w:val="24"/>
        </w:rPr>
        <w:t>1</w:t>
      </w:r>
      <w:r w:rsidR="0096191D">
        <w:rPr>
          <w:szCs w:val="24"/>
        </w:rPr>
        <w:t>-й день</w:t>
      </w:r>
    </w:p>
    <w:p w14:paraId="56CD8E23" w14:textId="77777777" w:rsidR="00533FE8" w:rsidRPr="007264C7" w:rsidRDefault="00533FE8" w:rsidP="00FF4C81">
      <w:pPr>
        <w:numPr>
          <w:ilvl w:val="0"/>
          <w:numId w:val="23"/>
        </w:numPr>
        <w:rPr>
          <w:szCs w:val="24"/>
        </w:rPr>
      </w:pPr>
      <w:r w:rsidRPr="007264C7">
        <w:rPr>
          <w:szCs w:val="24"/>
        </w:rPr>
        <w:t>Винкристин</w:t>
      </w:r>
      <w:r w:rsidR="00457E7B">
        <w:rPr>
          <w:szCs w:val="24"/>
        </w:rPr>
        <w:t>**</w:t>
      </w:r>
      <w:r w:rsidR="0096191D">
        <w:rPr>
          <w:szCs w:val="24"/>
        </w:rPr>
        <w:t xml:space="preserve"> 2 мг в/в, </w:t>
      </w:r>
      <w:r w:rsidRPr="007264C7">
        <w:rPr>
          <w:szCs w:val="24"/>
        </w:rPr>
        <w:t>1</w:t>
      </w:r>
      <w:r w:rsidR="0096191D">
        <w:rPr>
          <w:szCs w:val="24"/>
        </w:rPr>
        <w:t>-й день</w:t>
      </w:r>
    </w:p>
    <w:p w14:paraId="26D2BDEB" w14:textId="77777777" w:rsidR="00533FE8" w:rsidRPr="007264C7" w:rsidRDefault="00067484" w:rsidP="00FF4C81">
      <w:pPr>
        <w:numPr>
          <w:ilvl w:val="0"/>
          <w:numId w:val="23"/>
        </w:numPr>
        <w:rPr>
          <w:szCs w:val="24"/>
        </w:rPr>
      </w:pPr>
      <w:r w:rsidRPr="007264C7">
        <w:rPr>
          <w:szCs w:val="24"/>
        </w:rPr>
        <w:t>Доксорубицин</w:t>
      </w:r>
      <w:r>
        <w:rPr>
          <w:szCs w:val="24"/>
        </w:rPr>
        <w:t>**</w:t>
      </w:r>
      <w:r w:rsidRPr="007264C7">
        <w:rPr>
          <w:szCs w:val="24"/>
        </w:rPr>
        <w:t xml:space="preserve"> </w:t>
      </w:r>
      <w:r w:rsidR="00533FE8" w:rsidRPr="007264C7">
        <w:rPr>
          <w:szCs w:val="24"/>
        </w:rPr>
        <w:t>50 мг/м</w:t>
      </w:r>
      <w:r w:rsidR="00533FE8" w:rsidRPr="00D72E20">
        <w:rPr>
          <w:szCs w:val="24"/>
          <w:vertAlign w:val="superscript"/>
        </w:rPr>
        <w:t>2</w:t>
      </w:r>
      <w:r w:rsidR="0096191D">
        <w:rPr>
          <w:szCs w:val="24"/>
        </w:rPr>
        <w:t xml:space="preserve"> в/в, </w:t>
      </w:r>
      <w:r w:rsidR="00533FE8" w:rsidRPr="007264C7">
        <w:rPr>
          <w:szCs w:val="24"/>
        </w:rPr>
        <w:t>3</w:t>
      </w:r>
      <w:r w:rsidR="0096191D">
        <w:rPr>
          <w:szCs w:val="24"/>
        </w:rPr>
        <w:t>-й день</w:t>
      </w:r>
    </w:p>
    <w:p w14:paraId="7DCC94BE" w14:textId="77777777" w:rsidR="00533FE8" w:rsidRPr="007264C7" w:rsidRDefault="00533FE8" w:rsidP="00FF4C81">
      <w:pPr>
        <w:numPr>
          <w:ilvl w:val="0"/>
          <w:numId w:val="23"/>
        </w:numPr>
        <w:rPr>
          <w:szCs w:val="24"/>
        </w:rPr>
      </w:pPr>
      <w:r w:rsidRPr="007264C7">
        <w:rPr>
          <w:szCs w:val="24"/>
        </w:rPr>
        <w:t>Цитарабин</w:t>
      </w:r>
      <w:r w:rsidR="00421699">
        <w:rPr>
          <w:szCs w:val="24"/>
        </w:rPr>
        <w:t>**</w:t>
      </w:r>
      <w:r w:rsidRPr="007264C7">
        <w:rPr>
          <w:szCs w:val="24"/>
        </w:rPr>
        <w:t xml:space="preserve"> 150 мг/м</w:t>
      </w:r>
      <w:r w:rsidRPr="00D72E20">
        <w:rPr>
          <w:szCs w:val="24"/>
          <w:vertAlign w:val="superscript"/>
        </w:rPr>
        <w:t>2</w:t>
      </w:r>
      <w:r w:rsidR="0096191D">
        <w:rPr>
          <w:szCs w:val="24"/>
        </w:rPr>
        <w:t xml:space="preserve"> в/в каждые 12 ч, 4–</w:t>
      </w:r>
      <w:r w:rsidR="0096191D" w:rsidRPr="007264C7">
        <w:rPr>
          <w:szCs w:val="24"/>
        </w:rPr>
        <w:t>5</w:t>
      </w:r>
      <w:r w:rsidR="0096191D">
        <w:rPr>
          <w:szCs w:val="24"/>
        </w:rPr>
        <w:t>-й дни</w:t>
      </w:r>
      <w:r w:rsidRPr="007264C7">
        <w:rPr>
          <w:szCs w:val="24"/>
        </w:rPr>
        <w:t xml:space="preserve"> (всего 4 введения)</w:t>
      </w:r>
    </w:p>
    <w:p w14:paraId="2C733BF4" w14:textId="77777777" w:rsidR="00533FE8" w:rsidRPr="007264C7" w:rsidRDefault="00533FE8" w:rsidP="00FF4C81">
      <w:pPr>
        <w:numPr>
          <w:ilvl w:val="0"/>
          <w:numId w:val="23"/>
        </w:numPr>
        <w:rPr>
          <w:szCs w:val="24"/>
        </w:rPr>
      </w:pPr>
      <w:r w:rsidRPr="007264C7">
        <w:rPr>
          <w:szCs w:val="24"/>
        </w:rPr>
        <w:t>Этопозид</w:t>
      </w:r>
      <w:r w:rsidR="00113194" w:rsidRPr="00113194">
        <w:rPr>
          <w:szCs w:val="24"/>
        </w:rPr>
        <w:t>**</w:t>
      </w:r>
      <w:r w:rsidRPr="007264C7">
        <w:rPr>
          <w:szCs w:val="24"/>
        </w:rPr>
        <w:t xml:space="preserve"> 100 мг/м</w:t>
      </w:r>
      <w:r w:rsidRPr="00D72E20">
        <w:rPr>
          <w:szCs w:val="24"/>
          <w:vertAlign w:val="superscript"/>
        </w:rPr>
        <w:t>2</w:t>
      </w:r>
      <w:r w:rsidR="0096191D">
        <w:rPr>
          <w:szCs w:val="24"/>
        </w:rPr>
        <w:t xml:space="preserve"> в/в, 4–</w:t>
      </w:r>
      <w:r w:rsidRPr="007264C7">
        <w:rPr>
          <w:szCs w:val="24"/>
        </w:rPr>
        <w:t>5</w:t>
      </w:r>
      <w:r w:rsidR="0096191D">
        <w:rPr>
          <w:szCs w:val="24"/>
        </w:rPr>
        <w:t>-й дни</w:t>
      </w:r>
    </w:p>
    <w:p w14:paraId="5BCFCE17" w14:textId="77777777" w:rsidR="0096191D" w:rsidRPr="007264C7" w:rsidRDefault="00533FE8" w:rsidP="00FF4C81">
      <w:pPr>
        <w:numPr>
          <w:ilvl w:val="0"/>
          <w:numId w:val="23"/>
        </w:numPr>
        <w:rPr>
          <w:szCs w:val="24"/>
        </w:rPr>
      </w:pPr>
      <w:r>
        <w:rPr>
          <w:szCs w:val="24"/>
        </w:rPr>
        <w:t>Дексаметазон</w:t>
      </w:r>
      <w:r w:rsidR="006F5D03">
        <w:rPr>
          <w:szCs w:val="24"/>
        </w:rPr>
        <w:t>**</w:t>
      </w:r>
      <w:r w:rsidR="0096191D">
        <w:rPr>
          <w:szCs w:val="24"/>
        </w:rPr>
        <w:t xml:space="preserve"> </w:t>
      </w:r>
      <w:r>
        <w:rPr>
          <w:szCs w:val="24"/>
        </w:rPr>
        <w:t>10 мг/м</w:t>
      </w:r>
      <w:r w:rsidRPr="00D72E20">
        <w:rPr>
          <w:szCs w:val="24"/>
          <w:vertAlign w:val="superscript"/>
        </w:rPr>
        <w:t>2</w:t>
      </w:r>
      <w:r>
        <w:rPr>
          <w:szCs w:val="24"/>
        </w:rPr>
        <w:t xml:space="preserve"> в/в, </w:t>
      </w:r>
      <w:r w:rsidR="0096191D">
        <w:rPr>
          <w:szCs w:val="24"/>
        </w:rPr>
        <w:t>1–</w:t>
      </w:r>
      <w:r w:rsidR="0096191D" w:rsidRPr="007264C7">
        <w:rPr>
          <w:szCs w:val="24"/>
        </w:rPr>
        <w:t>5</w:t>
      </w:r>
      <w:r w:rsidR="0096191D">
        <w:rPr>
          <w:szCs w:val="24"/>
        </w:rPr>
        <w:t>-й дни</w:t>
      </w:r>
    </w:p>
    <w:p w14:paraId="4E222903" w14:textId="77777777" w:rsidR="00533FE8" w:rsidRPr="0096191D" w:rsidRDefault="0096191D" w:rsidP="00533FE8">
      <w:pPr>
        <w:rPr>
          <w:b/>
          <w:szCs w:val="24"/>
        </w:rPr>
      </w:pPr>
      <w:r>
        <w:rPr>
          <w:b/>
          <w:szCs w:val="24"/>
        </w:rPr>
        <w:t>Блок С:</w:t>
      </w:r>
    </w:p>
    <w:p w14:paraId="0F8C3E12" w14:textId="77777777" w:rsidR="00533FE8" w:rsidRPr="007264C7" w:rsidRDefault="00533FE8" w:rsidP="00FF4C81">
      <w:pPr>
        <w:numPr>
          <w:ilvl w:val="0"/>
          <w:numId w:val="23"/>
        </w:numPr>
        <w:rPr>
          <w:szCs w:val="24"/>
        </w:rPr>
      </w:pPr>
      <w:r w:rsidRPr="007264C7">
        <w:rPr>
          <w:szCs w:val="24"/>
        </w:rPr>
        <w:t>Метотрексат</w:t>
      </w:r>
      <w:r w:rsidR="00392AAF">
        <w:rPr>
          <w:szCs w:val="24"/>
        </w:rPr>
        <w:t>**</w:t>
      </w:r>
      <w:r w:rsidRPr="007264C7">
        <w:rPr>
          <w:szCs w:val="24"/>
        </w:rPr>
        <w:t xml:space="preserve"> 1,5 г/м</w:t>
      </w:r>
      <w:r w:rsidRPr="00D72E20">
        <w:rPr>
          <w:szCs w:val="24"/>
          <w:vertAlign w:val="superscript"/>
        </w:rPr>
        <w:t>2</w:t>
      </w:r>
      <w:r w:rsidR="0096191D">
        <w:rPr>
          <w:szCs w:val="24"/>
        </w:rPr>
        <w:t xml:space="preserve"> в/в (в течение 12 ч), </w:t>
      </w:r>
      <w:r w:rsidR="0096191D" w:rsidRPr="007264C7">
        <w:rPr>
          <w:szCs w:val="24"/>
        </w:rPr>
        <w:t>1</w:t>
      </w:r>
      <w:r w:rsidR="0096191D">
        <w:rPr>
          <w:szCs w:val="24"/>
        </w:rPr>
        <w:t>-й день</w:t>
      </w:r>
    </w:p>
    <w:p w14:paraId="1235F42F" w14:textId="77777777" w:rsidR="00533FE8" w:rsidRPr="007264C7" w:rsidRDefault="00533FE8" w:rsidP="00FF4C81">
      <w:pPr>
        <w:numPr>
          <w:ilvl w:val="0"/>
          <w:numId w:val="23"/>
        </w:numPr>
        <w:rPr>
          <w:szCs w:val="24"/>
        </w:rPr>
      </w:pPr>
      <w:r w:rsidRPr="007264C7">
        <w:rPr>
          <w:szCs w:val="24"/>
        </w:rPr>
        <w:t>Винбластин</w:t>
      </w:r>
      <w:r w:rsidR="006355E9" w:rsidRPr="006355E9">
        <w:rPr>
          <w:szCs w:val="24"/>
        </w:rPr>
        <w:t>**</w:t>
      </w:r>
      <w:r w:rsidRPr="007264C7">
        <w:rPr>
          <w:szCs w:val="24"/>
        </w:rPr>
        <w:t xml:space="preserve"> 5 мг/м</w:t>
      </w:r>
      <w:r w:rsidRPr="00D72E20">
        <w:rPr>
          <w:szCs w:val="24"/>
          <w:vertAlign w:val="superscript"/>
        </w:rPr>
        <w:t>2</w:t>
      </w:r>
      <w:r w:rsidRPr="007264C7">
        <w:rPr>
          <w:szCs w:val="24"/>
        </w:rPr>
        <w:t xml:space="preserve"> в/в, </w:t>
      </w:r>
      <w:r w:rsidR="0096191D" w:rsidRPr="007264C7">
        <w:rPr>
          <w:szCs w:val="24"/>
        </w:rPr>
        <w:t>1</w:t>
      </w:r>
      <w:r w:rsidR="0096191D">
        <w:rPr>
          <w:szCs w:val="24"/>
        </w:rPr>
        <w:t>-й день</w:t>
      </w:r>
    </w:p>
    <w:p w14:paraId="3AE57907" w14:textId="77777777" w:rsidR="00533FE8" w:rsidRPr="007264C7" w:rsidRDefault="00533FE8" w:rsidP="00FF4C81">
      <w:pPr>
        <w:numPr>
          <w:ilvl w:val="0"/>
          <w:numId w:val="23"/>
        </w:numPr>
        <w:rPr>
          <w:szCs w:val="24"/>
        </w:rPr>
      </w:pPr>
      <w:r w:rsidRPr="007264C7">
        <w:rPr>
          <w:szCs w:val="24"/>
        </w:rPr>
        <w:t>Цитарабин</w:t>
      </w:r>
      <w:r w:rsidR="00421699">
        <w:rPr>
          <w:szCs w:val="24"/>
        </w:rPr>
        <w:t>**</w:t>
      </w:r>
      <w:r w:rsidRPr="007264C7">
        <w:rPr>
          <w:szCs w:val="24"/>
        </w:rPr>
        <w:t xml:space="preserve"> 2 г/м</w:t>
      </w:r>
      <w:r w:rsidRPr="00D72E20">
        <w:rPr>
          <w:szCs w:val="24"/>
          <w:vertAlign w:val="superscript"/>
        </w:rPr>
        <w:t>2</w:t>
      </w:r>
      <w:r w:rsidR="0096191D">
        <w:rPr>
          <w:szCs w:val="24"/>
        </w:rPr>
        <w:t xml:space="preserve"> в/в каждые 12 ч, 2–</w:t>
      </w:r>
      <w:r w:rsidRPr="007264C7">
        <w:rPr>
          <w:szCs w:val="24"/>
        </w:rPr>
        <w:t>3</w:t>
      </w:r>
      <w:r w:rsidR="0096191D">
        <w:rPr>
          <w:szCs w:val="24"/>
        </w:rPr>
        <w:t>-й</w:t>
      </w:r>
      <w:r w:rsidRPr="007264C7">
        <w:rPr>
          <w:szCs w:val="24"/>
        </w:rPr>
        <w:t xml:space="preserve"> </w:t>
      </w:r>
      <w:r w:rsidR="0096191D">
        <w:rPr>
          <w:szCs w:val="24"/>
        </w:rPr>
        <w:t xml:space="preserve">дни </w:t>
      </w:r>
      <w:r w:rsidRPr="007264C7">
        <w:rPr>
          <w:szCs w:val="24"/>
        </w:rPr>
        <w:t>(всего 4 введения)</w:t>
      </w:r>
    </w:p>
    <w:p w14:paraId="1060E61A" w14:textId="77777777" w:rsidR="00533FE8" w:rsidRPr="007264C7" w:rsidRDefault="00533FE8" w:rsidP="00FF4C81">
      <w:pPr>
        <w:numPr>
          <w:ilvl w:val="0"/>
          <w:numId w:val="23"/>
        </w:numPr>
        <w:rPr>
          <w:szCs w:val="24"/>
        </w:rPr>
      </w:pPr>
      <w:r w:rsidRPr="007264C7">
        <w:rPr>
          <w:szCs w:val="24"/>
        </w:rPr>
        <w:t>Этопозид</w:t>
      </w:r>
      <w:r w:rsidR="00113194" w:rsidRPr="00113194">
        <w:rPr>
          <w:szCs w:val="24"/>
        </w:rPr>
        <w:t>**</w:t>
      </w:r>
      <w:r w:rsidRPr="007264C7">
        <w:rPr>
          <w:szCs w:val="24"/>
        </w:rPr>
        <w:t xml:space="preserve"> 150 мг/м</w:t>
      </w:r>
      <w:r w:rsidRPr="00D72E20">
        <w:rPr>
          <w:szCs w:val="24"/>
          <w:vertAlign w:val="superscript"/>
        </w:rPr>
        <w:t>2</w:t>
      </w:r>
      <w:r w:rsidR="0096191D">
        <w:rPr>
          <w:szCs w:val="24"/>
        </w:rPr>
        <w:t xml:space="preserve"> в/в, 3–</w:t>
      </w:r>
      <w:r w:rsidRPr="007264C7">
        <w:rPr>
          <w:szCs w:val="24"/>
        </w:rPr>
        <w:t>5</w:t>
      </w:r>
      <w:r w:rsidR="0096191D">
        <w:rPr>
          <w:szCs w:val="24"/>
        </w:rPr>
        <w:t>-й дни</w:t>
      </w:r>
    </w:p>
    <w:p w14:paraId="70681DC7" w14:textId="77777777" w:rsidR="00533FE8" w:rsidRDefault="00533FE8" w:rsidP="00FF4C81">
      <w:pPr>
        <w:numPr>
          <w:ilvl w:val="0"/>
          <w:numId w:val="23"/>
        </w:numPr>
        <w:rPr>
          <w:szCs w:val="24"/>
        </w:rPr>
      </w:pPr>
      <w:r>
        <w:rPr>
          <w:szCs w:val="24"/>
        </w:rPr>
        <w:t>Дексаметазон</w:t>
      </w:r>
      <w:r w:rsidR="006F5D03">
        <w:rPr>
          <w:szCs w:val="24"/>
        </w:rPr>
        <w:t>**</w:t>
      </w:r>
      <w:r w:rsidR="00C652DA">
        <w:rPr>
          <w:szCs w:val="24"/>
        </w:rPr>
        <w:t xml:space="preserve"> </w:t>
      </w:r>
      <w:r>
        <w:rPr>
          <w:szCs w:val="24"/>
        </w:rPr>
        <w:t>10 мг/м</w:t>
      </w:r>
      <w:r w:rsidRPr="00D72E20">
        <w:rPr>
          <w:szCs w:val="24"/>
          <w:vertAlign w:val="superscript"/>
        </w:rPr>
        <w:t>2</w:t>
      </w:r>
      <w:r w:rsidR="0096191D">
        <w:rPr>
          <w:szCs w:val="24"/>
        </w:rPr>
        <w:t xml:space="preserve"> в/в, 1–</w:t>
      </w:r>
      <w:r>
        <w:rPr>
          <w:szCs w:val="24"/>
        </w:rPr>
        <w:t>5</w:t>
      </w:r>
      <w:r w:rsidR="0096191D">
        <w:rPr>
          <w:szCs w:val="24"/>
        </w:rPr>
        <w:t>-й дни</w:t>
      </w:r>
    </w:p>
    <w:p w14:paraId="654B4D2F" w14:textId="77777777" w:rsidR="00533FE8" w:rsidRPr="007264C7" w:rsidRDefault="00533FE8" w:rsidP="00533FE8">
      <w:pPr>
        <w:ind w:firstLine="709"/>
        <w:rPr>
          <w:szCs w:val="24"/>
        </w:rPr>
      </w:pPr>
      <w:r w:rsidRPr="007264C7">
        <w:rPr>
          <w:szCs w:val="24"/>
        </w:rPr>
        <w:t>Профилактику нейролейкемии проводят в 1</w:t>
      </w:r>
      <w:r w:rsidR="0096191D">
        <w:rPr>
          <w:szCs w:val="24"/>
        </w:rPr>
        <w:t>-й</w:t>
      </w:r>
      <w:r w:rsidRPr="007264C7">
        <w:rPr>
          <w:szCs w:val="24"/>
        </w:rPr>
        <w:t xml:space="preserve"> день предфазы и в 1</w:t>
      </w:r>
      <w:r w:rsidR="0096191D">
        <w:rPr>
          <w:szCs w:val="24"/>
        </w:rPr>
        <w:t>-й</w:t>
      </w:r>
      <w:r w:rsidRPr="007264C7">
        <w:rPr>
          <w:szCs w:val="24"/>
        </w:rPr>
        <w:t xml:space="preserve"> день каждого блока в виде интратекаль</w:t>
      </w:r>
      <w:r>
        <w:rPr>
          <w:szCs w:val="24"/>
        </w:rPr>
        <w:t xml:space="preserve">ного введения </w:t>
      </w:r>
      <w:r w:rsidR="00BD6C1E">
        <w:rPr>
          <w:szCs w:val="24"/>
        </w:rPr>
        <w:t>ХТ</w:t>
      </w:r>
      <w:r>
        <w:rPr>
          <w:szCs w:val="24"/>
        </w:rPr>
        <w:t>: цитарабин</w:t>
      </w:r>
      <w:r w:rsidR="00421699">
        <w:rPr>
          <w:szCs w:val="24"/>
        </w:rPr>
        <w:t>**</w:t>
      </w:r>
      <w:r>
        <w:rPr>
          <w:szCs w:val="24"/>
        </w:rPr>
        <w:t xml:space="preserve"> 30 мг, м</w:t>
      </w:r>
      <w:r w:rsidRPr="007264C7">
        <w:rPr>
          <w:szCs w:val="24"/>
        </w:rPr>
        <w:t>етотрексат</w:t>
      </w:r>
      <w:r w:rsidR="00392AAF">
        <w:rPr>
          <w:szCs w:val="24"/>
        </w:rPr>
        <w:t>**</w:t>
      </w:r>
      <w:r w:rsidRPr="007264C7">
        <w:rPr>
          <w:szCs w:val="24"/>
        </w:rPr>
        <w:t xml:space="preserve"> 15 мг, </w:t>
      </w:r>
      <w:r>
        <w:rPr>
          <w:szCs w:val="24"/>
        </w:rPr>
        <w:t>преднизолон</w:t>
      </w:r>
      <w:r w:rsidR="00417EEC">
        <w:rPr>
          <w:szCs w:val="24"/>
        </w:rPr>
        <w:t>**</w:t>
      </w:r>
      <w:r w:rsidRPr="007264C7">
        <w:rPr>
          <w:szCs w:val="24"/>
        </w:rPr>
        <w:t xml:space="preserve"> 30 мг.</w:t>
      </w:r>
    </w:p>
    <w:p w14:paraId="14DCE183" w14:textId="77777777" w:rsidR="00533FE8" w:rsidRPr="00510729" w:rsidRDefault="00533FE8" w:rsidP="00533FE8">
      <w:pPr>
        <w:rPr>
          <w:szCs w:val="24"/>
        </w:rPr>
      </w:pPr>
      <w:r>
        <w:rPr>
          <w:szCs w:val="24"/>
        </w:rPr>
        <w:t>Ритуксимаб</w:t>
      </w:r>
      <w:r w:rsidR="006355E9">
        <w:rPr>
          <w:szCs w:val="24"/>
        </w:rPr>
        <w:t>**</w:t>
      </w:r>
      <w:r w:rsidRPr="007264C7">
        <w:rPr>
          <w:szCs w:val="24"/>
        </w:rPr>
        <w:t xml:space="preserve"> 375 мг/м</w:t>
      </w:r>
      <w:r w:rsidRPr="00D72E20">
        <w:rPr>
          <w:szCs w:val="24"/>
          <w:vertAlign w:val="superscript"/>
        </w:rPr>
        <w:t>2</w:t>
      </w:r>
      <w:r w:rsidRPr="007264C7">
        <w:rPr>
          <w:szCs w:val="24"/>
        </w:rPr>
        <w:t xml:space="preserve"> вводят в 0</w:t>
      </w:r>
      <w:r w:rsidR="0096191D">
        <w:rPr>
          <w:szCs w:val="24"/>
        </w:rPr>
        <w:t>-й</w:t>
      </w:r>
      <w:r w:rsidRPr="007264C7">
        <w:rPr>
          <w:szCs w:val="24"/>
        </w:rPr>
        <w:t xml:space="preserve"> день ка</w:t>
      </w:r>
      <w:r>
        <w:rPr>
          <w:szCs w:val="24"/>
        </w:rPr>
        <w:t xml:space="preserve">ждого блока (всего 4 введения) </w:t>
      </w:r>
    </w:p>
    <w:p w14:paraId="78C42578" w14:textId="77777777" w:rsidR="006355E9" w:rsidRDefault="006355E9" w:rsidP="00533FE8">
      <w:pPr>
        <w:rPr>
          <w:b/>
          <w:szCs w:val="24"/>
        </w:rPr>
      </w:pPr>
    </w:p>
    <w:p w14:paraId="17DE665B" w14:textId="77777777" w:rsidR="00533FE8" w:rsidRPr="007264C7" w:rsidRDefault="00533FE8" w:rsidP="00533FE8">
      <w:pPr>
        <w:rPr>
          <w:b/>
          <w:szCs w:val="24"/>
        </w:rPr>
      </w:pPr>
      <w:r w:rsidRPr="007264C7">
        <w:rPr>
          <w:b/>
          <w:szCs w:val="24"/>
        </w:rPr>
        <w:t>R-Hyper</w:t>
      </w:r>
      <w:r w:rsidR="004148AD">
        <w:rPr>
          <w:b/>
          <w:szCs w:val="24"/>
        </w:rPr>
        <w:t>-CVAD/</w:t>
      </w:r>
      <w:r w:rsidRPr="007264C7">
        <w:rPr>
          <w:b/>
          <w:szCs w:val="24"/>
        </w:rPr>
        <w:t>R-HMA</w:t>
      </w:r>
    </w:p>
    <w:p w14:paraId="4A096AFA" w14:textId="77777777" w:rsidR="00533FE8" w:rsidRPr="0096191D" w:rsidRDefault="00533FE8" w:rsidP="00533FE8">
      <w:pPr>
        <w:rPr>
          <w:b/>
          <w:szCs w:val="24"/>
        </w:rPr>
      </w:pPr>
      <w:r w:rsidRPr="0096191D">
        <w:rPr>
          <w:b/>
          <w:szCs w:val="24"/>
        </w:rPr>
        <w:t>Циклы 1, 3, 5, 7 (Hyper</w:t>
      </w:r>
      <w:r w:rsidR="004148AD" w:rsidRPr="0096191D">
        <w:rPr>
          <w:b/>
          <w:szCs w:val="24"/>
        </w:rPr>
        <w:t>-</w:t>
      </w:r>
      <w:r w:rsidRPr="0096191D">
        <w:rPr>
          <w:b/>
          <w:szCs w:val="24"/>
        </w:rPr>
        <w:t>CVAD)</w:t>
      </w:r>
      <w:r w:rsidR="00EC0AA3">
        <w:rPr>
          <w:b/>
          <w:szCs w:val="24"/>
        </w:rPr>
        <w:t>:</w:t>
      </w:r>
    </w:p>
    <w:p w14:paraId="6659E251" w14:textId="77777777" w:rsidR="009421C4" w:rsidRDefault="00533FE8" w:rsidP="00FF4C81">
      <w:pPr>
        <w:numPr>
          <w:ilvl w:val="0"/>
          <w:numId w:val="23"/>
        </w:numPr>
        <w:rPr>
          <w:szCs w:val="24"/>
        </w:rPr>
      </w:pPr>
      <w:r w:rsidRPr="007264C7">
        <w:rPr>
          <w:szCs w:val="24"/>
        </w:rPr>
        <w:t>Циклофосфамид</w:t>
      </w:r>
      <w:r w:rsidR="004C2C6A">
        <w:rPr>
          <w:szCs w:val="24"/>
        </w:rPr>
        <w:t>**</w:t>
      </w:r>
      <w:r w:rsidRPr="007264C7">
        <w:rPr>
          <w:szCs w:val="24"/>
        </w:rPr>
        <w:t xml:space="preserve"> 300 мг/м</w:t>
      </w:r>
      <w:r w:rsidRPr="00D72E20">
        <w:rPr>
          <w:szCs w:val="24"/>
          <w:vertAlign w:val="superscript"/>
        </w:rPr>
        <w:t>2</w:t>
      </w:r>
      <w:r w:rsidR="0096191D">
        <w:rPr>
          <w:szCs w:val="24"/>
        </w:rPr>
        <w:t xml:space="preserve"> в/в каждые 12 ч, 1–</w:t>
      </w:r>
      <w:r w:rsidRPr="007264C7">
        <w:rPr>
          <w:szCs w:val="24"/>
        </w:rPr>
        <w:t>3</w:t>
      </w:r>
      <w:r w:rsidR="0096191D">
        <w:rPr>
          <w:szCs w:val="24"/>
        </w:rPr>
        <w:t>-й дни</w:t>
      </w:r>
      <w:r w:rsidRPr="007264C7">
        <w:rPr>
          <w:szCs w:val="24"/>
        </w:rPr>
        <w:t xml:space="preserve"> (всего 6 введений) </w:t>
      </w:r>
    </w:p>
    <w:p w14:paraId="214C340A" w14:textId="77777777" w:rsidR="00533FE8" w:rsidRPr="007264C7" w:rsidRDefault="00533FE8" w:rsidP="00FF4C81">
      <w:pPr>
        <w:numPr>
          <w:ilvl w:val="0"/>
          <w:numId w:val="23"/>
        </w:numPr>
        <w:rPr>
          <w:szCs w:val="24"/>
        </w:rPr>
      </w:pPr>
      <w:r>
        <w:rPr>
          <w:szCs w:val="24"/>
        </w:rPr>
        <w:t>Дексаметазон</w:t>
      </w:r>
      <w:r w:rsidR="006F5D03">
        <w:rPr>
          <w:szCs w:val="24"/>
        </w:rPr>
        <w:t>**</w:t>
      </w:r>
      <w:r w:rsidR="0096191D">
        <w:rPr>
          <w:szCs w:val="24"/>
        </w:rPr>
        <w:t xml:space="preserve"> 40 мг в/в или внутрь, 1–</w:t>
      </w:r>
      <w:r w:rsidRPr="007264C7">
        <w:rPr>
          <w:szCs w:val="24"/>
        </w:rPr>
        <w:t>4</w:t>
      </w:r>
      <w:r w:rsidR="0096191D">
        <w:rPr>
          <w:szCs w:val="24"/>
        </w:rPr>
        <w:t>-й, 11–</w:t>
      </w:r>
      <w:r w:rsidRPr="007264C7">
        <w:rPr>
          <w:szCs w:val="24"/>
        </w:rPr>
        <w:t>14</w:t>
      </w:r>
      <w:r w:rsidR="0096191D">
        <w:rPr>
          <w:szCs w:val="24"/>
        </w:rPr>
        <w:t>-й дни</w:t>
      </w:r>
    </w:p>
    <w:p w14:paraId="03752BB8" w14:textId="77777777" w:rsidR="00533FE8" w:rsidRPr="007264C7" w:rsidRDefault="00533FE8" w:rsidP="00FF4C81">
      <w:pPr>
        <w:numPr>
          <w:ilvl w:val="0"/>
          <w:numId w:val="23"/>
        </w:numPr>
        <w:rPr>
          <w:szCs w:val="24"/>
        </w:rPr>
      </w:pPr>
      <w:r w:rsidRPr="007264C7">
        <w:rPr>
          <w:szCs w:val="24"/>
        </w:rPr>
        <w:t>Доксорубицин</w:t>
      </w:r>
      <w:r w:rsidR="00067484">
        <w:rPr>
          <w:szCs w:val="24"/>
        </w:rPr>
        <w:t>**</w:t>
      </w:r>
      <w:r w:rsidRPr="007264C7">
        <w:rPr>
          <w:szCs w:val="24"/>
        </w:rPr>
        <w:t xml:space="preserve"> 50 мг/м</w:t>
      </w:r>
      <w:r w:rsidRPr="00D72E20">
        <w:rPr>
          <w:szCs w:val="24"/>
          <w:vertAlign w:val="superscript"/>
        </w:rPr>
        <w:t>2</w:t>
      </w:r>
      <w:r w:rsidRPr="007264C7">
        <w:rPr>
          <w:szCs w:val="24"/>
        </w:rPr>
        <w:t xml:space="preserve"> в/в непрерывной 24-часовой инфуз</w:t>
      </w:r>
      <w:r w:rsidR="0096191D">
        <w:rPr>
          <w:szCs w:val="24"/>
        </w:rPr>
        <w:t xml:space="preserve">ией в центральный катетер, </w:t>
      </w:r>
      <w:r w:rsidRPr="007264C7">
        <w:rPr>
          <w:szCs w:val="24"/>
        </w:rPr>
        <w:t>4</w:t>
      </w:r>
      <w:r w:rsidR="0096191D">
        <w:rPr>
          <w:szCs w:val="24"/>
        </w:rPr>
        <w:t>-й день</w:t>
      </w:r>
    </w:p>
    <w:p w14:paraId="411ADB48" w14:textId="77777777" w:rsidR="00533FE8" w:rsidRPr="007264C7" w:rsidRDefault="00533FE8" w:rsidP="00FF4C81">
      <w:pPr>
        <w:numPr>
          <w:ilvl w:val="0"/>
          <w:numId w:val="23"/>
        </w:numPr>
        <w:rPr>
          <w:szCs w:val="24"/>
        </w:rPr>
      </w:pPr>
      <w:r>
        <w:rPr>
          <w:szCs w:val="24"/>
        </w:rPr>
        <w:t>Винкристин</w:t>
      </w:r>
      <w:r w:rsidR="00457E7B">
        <w:rPr>
          <w:szCs w:val="24"/>
        </w:rPr>
        <w:t>**</w:t>
      </w:r>
      <w:r w:rsidR="0096191D">
        <w:rPr>
          <w:szCs w:val="24"/>
        </w:rPr>
        <w:t xml:space="preserve"> 2 мг в/в, </w:t>
      </w:r>
      <w:r>
        <w:rPr>
          <w:szCs w:val="24"/>
        </w:rPr>
        <w:t>4</w:t>
      </w:r>
      <w:r w:rsidR="0096191D">
        <w:rPr>
          <w:szCs w:val="24"/>
        </w:rPr>
        <w:t>-й</w:t>
      </w:r>
      <w:r>
        <w:rPr>
          <w:szCs w:val="24"/>
        </w:rPr>
        <w:t>, 11</w:t>
      </w:r>
      <w:r w:rsidR="0096191D">
        <w:rPr>
          <w:szCs w:val="24"/>
        </w:rPr>
        <w:t>-й дни</w:t>
      </w:r>
    </w:p>
    <w:p w14:paraId="3E5B1DCA" w14:textId="77777777" w:rsidR="00533FE8" w:rsidRPr="0096191D" w:rsidRDefault="00533FE8" w:rsidP="00533FE8">
      <w:pPr>
        <w:rPr>
          <w:b/>
          <w:szCs w:val="24"/>
        </w:rPr>
      </w:pPr>
      <w:r w:rsidRPr="0096191D">
        <w:rPr>
          <w:b/>
          <w:szCs w:val="24"/>
        </w:rPr>
        <w:t>Циклы 2, 4, 6, 8 (HMA)</w:t>
      </w:r>
      <w:r w:rsidR="00EC0AA3">
        <w:rPr>
          <w:b/>
          <w:szCs w:val="24"/>
        </w:rPr>
        <w:t>:</w:t>
      </w:r>
    </w:p>
    <w:p w14:paraId="4892B6E8" w14:textId="77777777" w:rsidR="00533FE8" w:rsidRPr="007264C7" w:rsidRDefault="00533FE8" w:rsidP="00FF4C81">
      <w:pPr>
        <w:numPr>
          <w:ilvl w:val="0"/>
          <w:numId w:val="23"/>
        </w:numPr>
        <w:rPr>
          <w:szCs w:val="24"/>
        </w:rPr>
      </w:pPr>
      <w:r w:rsidRPr="007264C7">
        <w:rPr>
          <w:szCs w:val="24"/>
        </w:rPr>
        <w:lastRenderedPageBreak/>
        <w:t>Метотрексат</w:t>
      </w:r>
      <w:r w:rsidR="00392AAF">
        <w:rPr>
          <w:szCs w:val="24"/>
        </w:rPr>
        <w:t>**</w:t>
      </w:r>
      <w:r w:rsidRPr="007264C7">
        <w:rPr>
          <w:szCs w:val="24"/>
        </w:rPr>
        <w:t xml:space="preserve"> 1000 мг в/в непре</w:t>
      </w:r>
      <w:r w:rsidR="0096191D">
        <w:rPr>
          <w:szCs w:val="24"/>
        </w:rPr>
        <w:t>рывной 24-часовой инфузией,</w:t>
      </w:r>
      <w:r w:rsidRPr="007264C7">
        <w:rPr>
          <w:szCs w:val="24"/>
        </w:rPr>
        <w:t xml:space="preserve"> 1</w:t>
      </w:r>
      <w:r w:rsidR="0096191D">
        <w:rPr>
          <w:szCs w:val="24"/>
        </w:rPr>
        <w:t>-й день</w:t>
      </w:r>
    </w:p>
    <w:p w14:paraId="3F7FCB08" w14:textId="77777777" w:rsidR="00533FE8" w:rsidRPr="007264C7" w:rsidRDefault="00533FE8" w:rsidP="00FF4C81">
      <w:pPr>
        <w:numPr>
          <w:ilvl w:val="0"/>
          <w:numId w:val="23"/>
        </w:numPr>
        <w:rPr>
          <w:szCs w:val="24"/>
        </w:rPr>
      </w:pPr>
      <w:r w:rsidRPr="007264C7">
        <w:rPr>
          <w:szCs w:val="24"/>
        </w:rPr>
        <w:t>Цитарабин</w:t>
      </w:r>
      <w:r w:rsidR="00421699">
        <w:rPr>
          <w:szCs w:val="24"/>
        </w:rPr>
        <w:t>**</w:t>
      </w:r>
      <w:r w:rsidRPr="007264C7">
        <w:rPr>
          <w:szCs w:val="24"/>
        </w:rPr>
        <w:t xml:space="preserve"> 3 г/м</w:t>
      </w:r>
      <w:r w:rsidRPr="00D72E20">
        <w:rPr>
          <w:szCs w:val="24"/>
          <w:vertAlign w:val="superscript"/>
        </w:rPr>
        <w:t>2</w:t>
      </w:r>
      <w:r w:rsidRPr="007264C7">
        <w:rPr>
          <w:szCs w:val="24"/>
        </w:rPr>
        <w:t xml:space="preserve"> (у больных старше 60 лет – 1 г/м</w:t>
      </w:r>
      <w:r w:rsidRPr="00D72E20">
        <w:rPr>
          <w:szCs w:val="24"/>
          <w:vertAlign w:val="superscript"/>
        </w:rPr>
        <w:t>2</w:t>
      </w:r>
      <w:r w:rsidRPr="007264C7">
        <w:rPr>
          <w:szCs w:val="24"/>
        </w:rPr>
        <w:t>) в/в кажды</w:t>
      </w:r>
      <w:r w:rsidR="0096191D">
        <w:rPr>
          <w:szCs w:val="24"/>
        </w:rPr>
        <w:t>е 12 ч, 2–</w:t>
      </w:r>
      <w:r w:rsidRPr="007264C7">
        <w:rPr>
          <w:szCs w:val="24"/>
        </w:rPr>
        <w:t>3</w:t>
      </w:r>
      <w:r w:rsidR="0096191D">
        <w:rPr>
          <w:szCs w:val="24"/>
        </w:rPr>
        <w:t>-й дни</w:t>
      </w:r>
      <w:r w:rsidRPr="007264C7">
        <w:rPr>
          <w:szCs w:val="24"/>
        </w:rPr>
        <w:t xml:space="preserve"> (всего 4 введения)</w:t>
      </w:r>
    </w:p>
    <w:p w14:paraId="249CC933" w14:textId="77777777" w:rsidR="00533FE8" w:rsidRPr="007264C7" w:rsidRDefault="00533FE8" w:rsidP="00FF4C81">
      <w:pPr>
        <w:numPr>
          <w:ilvl w:val="0"/>
          <w:numId w:val="23"/>
        </w:numPr>
        <w:rPr>
          <w:szCs w:val="24"/>
        </w:rPr>
      </w:pPr>
      <w:r w:rsidRPr="007264C7">
        <w:rPr>
          <w:szCs w:val="24"/>
        </w:rPr>
        <w:t>Метил</w:t>
      </w:r>
      <w:r>
        <w:rPr>
          <w:szCs w:val="24"/>
        </w:rPr>
        <w:t>преднизолон</w:t>
      </w:r>
      <w:r w:rsidR="00417EEC">
        <w:rPr>
          <w:szCs w:val="24"/>
        </w:rPr>
        <w:t>**</w:t>
      </w:r>
      <w:r w:rsidR="0096191D">
        <w:rPr>
          <w:szCs w:val="24"/>
        </w:rPr>
        <w:t xml:space="preserve"> 50 мг в/в каждые 12 ч, дни 1–</w:t>
      </w:r>
      <w:r w:rsidRPr="007264C7">
        <w:rPr>
          <w:szCs w:val="24"/>
        </w:rPr>
        <w:t>3</w:t>
      </w:r>
      <w:r w:rsidR="0096191D">
        <w:rPr>
          <w:szCs w:val="24"/>
        </w:rPr>
        <w:t>-й дни</w:t>
      </w:r>
      <w:r w:rsidRPr="007264C7">
        <w:rPr>
          <w:szCs w:val="24"/>
        </w:rPr>
        <w:t xml:space="preserve"> (всего 6 введений)</w:t>
      </w:r>
    </w:p>
    <w:p w14:paraId="2DDF7475" w14:textId="77777777" w:rsidR="00533FE8" w:rsidRPr="007264C7" w:rsidRDefault="00533FE8" w:rsidP="00FF4C81">
      <w:pPr>
        <w:numPr>
          <w:ilvl w:val="0"/>
          <w:numId w:val="23"/>
        </w:numPr>
        <w:rPr>
          <w:szCs w:val="24"/>
        </w:rPr>
      </w:pPr>
      <w:r>
        <w:rPr>
          <w:szCs w:val="24"/>
        </w:rPr>
        <w:t>Ритуксимаб</w:t>
      </w:r>
      <w:r w:rsidR="006355E9" w:rsidRPr="006355E9">
        <w:rPr>
          <w:szCs w:val="24"/>
        </w:rPr>
        <w:t>**</w:t>
      </w:r>
      <w:r w:rsidRPr="007264C7">
        <w:rPr>
          <w:szCs w:val="24"/>
        </w:rPr>
        <w:t xml:space="preserve"> 375 мг/м</w:t>
      </w:r>
      <w:r w:rsidRPr="00D72E20">
        <w:rPr>
          <w:szCs w:val="24"/>
          <w:vertAlign w:val="superscript"/>
        </w:rPr>
        <w:t>2</w:t>
      </w:r>
      <w:r w:rsidR="0096191D">
        <w:rPr>
          <w:szCs w:val="24"/>
        </w:rPr>
        <w:t xml:space="preserve"> в/в,</w:t>
      </w:r>
      <w:r w:rsidRPr="007264C7">
        <w:rPr>
          <w:szCs w:val="24"/>
        </w:rPr>
        <w:t xml:space="preserve"> 1</w:t>
      </w:r>
      <w:r w:rsidR="0096191D">
        <w:rPr>
          <w:szCs w:val="24"/>
        </w:rPr>
        <w:t>-й</w:t>
      </w:r>
      <w:r w:rsidRPr="007264C7">
        <w:rPr>
          <w:szCs w:val="24"/>
        </w:rPr>
        <w:t>, 11</w:t>
      </w:r>
      <w:r w:rsidR="0096191D">
        <w:rPr>
          <w:szCs w:val="24"/>
        </w:rPr>
        <w:t xml:space="preserve">-й дни (циклы 1, 3) и </w:t>
      </w:r>
      <w:r w:rsidRPr="007264C7">
        <w:rPr>
          <w:szCs w:val="24"/>
        </w:rPr>
        <w:t>2</w:t>
      </w:r>
      <w:r w:rsidR="0096191D">
        <w:rPr>
          <w:szCs w:val="24"/>
        </w:rPr>
        <w:t>-й</w:t>
      </w:r>
      <w:r w:rsidRPr="007264C7">
        <w:rPr>
          <w:szCs w:val="24"/>
        </w:rPr>
        <w:t>, 8</w:t>
      </w:r>
      <w:r w:rsidR="0096191D">
        <w:rPr>
          <w:szCs w:val="24"/>
        </w:rPr>
        <w:t>-й</w:t>
      </w:r>
      <w:r w:rsidRPr="007264C7">
        <w:rPr>
          <w:szCs w:val="24"/>
        </w:rPr>
        <w:t xml:space="preserve"> (циклы 2, 4) – всего 8 введений</w:t>
      </w:r>
    </w:p>
    <w:p w14:paraId="7083788E" w14:textId="77777777" w:rsidR="00533FE8" w:rsidRDefault="00533FE8" w:rsidP="00FF4C81">
      <w:pPr>
        <w:numPr>
          <w:ilvl w:val="0"/>
          <w:numId w:val="23"/>
        </w:numPr>
        <w:rPr>
          <w:szCs w:val="24"/>
        </w:rPr>
      </w:pPr>
      <w:r w:rsidRPr="007264C7">
        <w:rPr>
          <w:szCs w:val="24"/>
        </w:rPr>
        <w:t>Профилактика поражения ЦНС проводится на каждом курсе, суммар</w:t>
      </w:r>
      <w:r>
        <w:rPr>
          <w:szCs w:val="24"/>
        </w:rPr>
        <w:t>но 16 интратекальных введений: м</w:t>
      </w:r>
      <w:r w:rsidRPr="007264C7">
        <w:rPr>
          <w:szCs w:val="24"/>
        </w:rPr>
        <w:t>етотрекса</w:t>
      </w:r>
      <w:r>
        <w:rPr>
          <w:szCs w:val="24"/>
        </w:rPr>
        <w:t>т</w:t>
      </w:r>
      <w:r w:rsidR="00392AAF">
        <w:rPr>
          <w:szCs w:val="24"/>
        </w:rPr>
        <w:t>**</w:t>
      </w:r>
      <w:r w:rsidR="0096191D">
        <w:rPr>
          <w:szCs w:val="24"/>
        </w:rPr>
        <w:t xml:space="preserve"> 12 мг интратекально, </w:t>
      </w:r>
      <w:r>
        <w:rPr>
          <w:szCs w:val="24"/>
        </w:rPr>
        <w:t>2</w:t>
      </w:r>
      <w:r w:rsidR="0096191D">
        <w:rPr>
          <w:szCs w:val="24"/>
        </w:rPr>
        <w:t>-й день</w:t>
      </w:r>
      <w:r>
        <w:rPr>
          <w:szCs w:val="24"/>
        </w:rPr>
        <w:t>, ц</w:t>
      </w:r>
      <w:r w:rsidRPr="007264C7">
        <w:rPr>
          <w:szCs w:val="24"/>
        </w:rPr>
        <w:t>итараб</w:t>
      </w:r>
      <w:r>
        <w:rPr>
          <w:szCs w:val="24"/>
        </w:rPr>
        <w:t>ин</w:t>
      </w:r>
      <w:r w:rsidR="00421699">
        <w:rPr>
          <w:szCs w:val="24"/>
        </w:rPr>
        <w:t>**</w:t>
      </w:r>
      <w:r w:rsidR="0096191D">
        <w:rPr>
          <w:szCs w:val="24"/>
        </w:rPr>
        <w:t xml:space="preserve"> 100 мг интратекально,</w:t>
      </w:r>
      <w:r>
        <w:rPr>
          <w:szCs w:val="24"/>
        </w:rPr>
        <w:t xml:space="preserve"> 7</w:t>
      </w:r>
      <w:r w:rsidR="0096191D">
        <w:rPr>
          <w:szCs w:val="24"/>
        </w:rPr>
        <w:t>-й день</w:t>
      </w:r>
    </w:p>
    <w:p w14:paraId="2081F2D5" w14:textId="77777777" w:rsidR="00654ED5" w:rsidRPr="00510729" w:rsidRDefault="00654ED5" w:rsidP="00654ED5">
      <w:pPr>
        <w:rPr>
          <w:szCs w:val="24"/>
        </w:rPr>
      </w:pPr>
    </w:p>
    <w:p w14:paraId="7EB4C76F" w14:textId="77777777" w:rsidR="006355E9" w:rsidRPr="00950F44" w:rsidRDefault="006355E9" w:rsidP="00533FE8">
      <w:pPr>
        <w:pStyle w:val="-51"/>
        <w:ind w:left="0"/>
        <w:rPr>
          <w:b/>
          <w:szCs w:val="24"/>
        </w:rPr>
      </w:pPr>
    </w:p>
    <w:p w14:paraId="7853E43B" w14:textId="77777777" w:rsidR="00533FE8" w:rsidRPr="007264C7" w:rsidRDefault="00533FE8" w:rsidP="00533FE8">
      <w:pPr>
        <w:pStyle w:val="-51"/>
        <w:ind w:left="0"/>
        <w:rPr>
          <w:b/>
          <w:szCs w:val="24"/>
        </w:rPr>
      </w:pPr>
      <w:r w:rsidRPr="007264C7">
        <w:rPr>
          <w:b/>
          <w:szCs w:val="24"/>
          <w:lang w:val="en-US"/>
        </w:rPr>
        <w:t>R</w:t>
      </w:r>
      <w:r w:rsidRPr="007264C7">
        <w:rPr>
          <w:b/>
          <w:szCs w:val="24"/>
        </w:rPr>
        <w:t>-</w:t>
      </w:r>
      <w:r w:rsidRPr="007264C7">
        <w:rPr>
          <w:b/>
          <w:szCs w:val="24"/>
          <w:lang w:val="en-US"/>
        </w:rPr>
        <w:t>DA</w:t>
      </w:r>
      <w:r w:rsidRPr="007264C7">
        <w:rPr>
          <w:b/>
          <w:szCs w:val="24"/>
        </w:rPr>
        <w:t>-</w:t>
      </w:r>
      <w:r w:rsidRPr="007264C7">
        <w:rPr>
          <w:b/>
          <w:szCs w:val="24"/>
          <w:lang w:val="en-US"/>
        </w:rPr>
        <w:t>EPOCH</w:t>
      </w:r>
    </w:p>
    <w:p w14:paraId="4567B5D3" w14:textId="77777777" w:rsidR="00533FE8" w:rsidRPr="007264C7" w:rsidRDefault="00533FE8" w:rsidP="00FF4C81">
      <w:pPr>
        <w:pStyle w:val="-51"/>
        <w:numPr>
          <w:ilvl w:val="0"/>
          <w:numId w:val="23"/>
        </w:numPr>
        <w:suppressAutoHyphens w:val="0"/>
        <w:ind w:left="0"/>
        <w:contextualSpacing/>
        <w:rPr>
          <w:b/>
          <w:szCs w:val="24"/>
        </w:rPr>
      </w:pPr>
      <w:r>
        <w:rPr>
          <w:szCs w:val="24"/>
        </w:rPr>
        <w:t>Ритуксимаб</w:t>
      </w:r>
      <w:r w:rsidR="00457E7B">
        <w:rPr>
          <w:szCs w:val="24"/>
        </w:rPr>
        <w:t>**</w:t>
      </w:r>
      <w:r w:rsidR="0096191D">
        <w:rPr>
          <w:szCs w:val="24"/>
        </w:rPr>
        <w:t xml:space="preserve"> </w:t>
      </w:r>
      <w:r w:rsidRPr="007264C7">
        <w:rPr>
          <w:szCs w:val="24"/>
        </w:rPr>
        <w:t>375 мг/м</w:t>
      </w:r>
      <w:r w:rsidRPr="007264C7">
        <w:rPr>
          <w:szCs w:val="24"/>
          <w:vertAlign w:val="superscript"/>
        </w:rPr>
        <w:t>2</w:t>
      </w:r>
      <w:r w:rsidRPr="007264C7">
        <w:rPr>
          <w:szCs w:val="24"/>
        </w:rPr>
        <w:t xml:space="preserve"> в/в</w:t>
      </w:r>
      <w:r w:rsidR="0096191D">
        <w:rPr>
          <w:szCs w:val="24"/>
        </w:rPr>
        <w:t>,</w:t>
      </w:r>
      <w:r w:rsidRPr="007264C7">
        <w:rPr>
          <w:szCs w:val="24"/>
        </w:rPr>
        <w:t xml:space="preserve"> 0-й день</w:t>
      </w:r>
    </w:p>
    <w:p w14:paraId="36B74C60" w14:textId="77777777" w:rsidR="00533FE8" w:rsidRPr="007264C7" w:rsidRDefault="00533FE8" w:rsidP="00FF4C81">
      <w:pPr>
        <w:pStyle w:val="-51"/>
        <w:numPr>
          <w:ilvl w:val="0"/>
          <w:numId w:val="23"/>
        </w:numPr>
        <w:suppressAutoHyphens w:val="0"/>
        <w:ind w:left="0"/>
        <w:contextualSpacing/>
        <w:rPr>
          <w:b/>
          <w:szCs w:val="24"/>
        </w:rPr>
      </w:pPr>
      <w:r w:rsidRPr="007264C7">
        <w:rPr>
          <w:szCs w:val="24"/>
        </w:rPr>
        <w:t>Этопозид</w:t>
      </w:r>
      <w:r w:rsidR="00113194" w:rsidRPr="00113194">
        <w:rPr>
          <w:szCs w:val="24"/>
        </w:rPr>
        <w:t>**</w:t>
      </w:r>
      <w:r w:rsidR="0096191D">
        <w:rPr>
          <w:szCs w:val="24"/>
        </w:rPr>
        <w:t xml:space="preserve"> </w:t>
      </w:r>
      <w:r w:rsidRPr="007264C7">
        <w:rPr>
          <w:szCs w:val="24"/>
        </w:rPr>
        <w:t>50 мг/м</w:t>
      </w:r>
      <w:r w:rsidRPr="007264C7">
        <w:rPr>
          <w:szCs w:val="24"/>
          <w:vertAlign w:val="superscript"/>
        </w:rPr>
        <w:t>2</w:t>
      </w:r>
      <w:r w:rsidR="0096191D">
        <w:rPr>
          <w:szCs w:val="24"/>
        </w:rPr>
        <w:t xml:space="preserve"> в/в за 24 ч,</w:t>
      </w:r>
      <w:r w:rsidR="00EC0AA3">
        <w:rPr>
          <w:szCs w:val="24"/>
        </w:rPr>
        <w:t xml:space="preserve"> 1–</w:t>
      </w:r>
      <w:r w:rsidR="0096191D">
        <w:rPr>
          <w:szCs w:val="24"/>
        </w:rPr>
        <w:t>4</w:t>
      </w:r>
      <w:r w:rsidR="00EC0AA3">
        <w:rPr>
          <w:szCs w:val="24"/>
        </w:rPr>
        <w:t>-й</w:t>
      </w:r>
      <w:r w:rsidR="0096191D">
        <w:rPr>
          <w:szCs w:val="24"/>
        </w:rPr>
        <w:t xml:space="preserve"> дни</w:t>
      </w:r>
      <w:r w:rsidRPr="007264C7">
        <w:rPr>
          <w:szCs w:val="24"/>
          <w:vertAlign w:val="superscript"/>
        </w:rPr>
        <w:t>1</w:t>
      </w:r>
    </w:p>
    <w:p w14:paraId="30F9C7DB" w14:textId="77777777" w:rsidR="00533FE8" w:rsidRPr="007264C7" w:rsidRDefault="00533FE8" w:rsidP="00FF4C81">
      <w:pPr>
        <w:pStyle w:val="-51"/>
        <w:numPr>
          <w:ilvl w:val="0"/>
          <w:numId w:val="23"/>
        </w:numPr>
        <w:suppressAutoHyphens w:val="0"/>
        <w:ind w:left="0"/>
        <w:contextualSpacing/>
        <w:rPr>
          <w:szCs w:val="24"/>
        </w:rPr>
      </w:pPr>
      <w:r w:rsidRPr="007264C7">
        <w:rPr>
          <w:szCs w:val="24"/>
        </w:rPr>
        <w:t>Доксорубицин</w:t>
      </w:r>
      <w:r w:rsidR="00067484">
        <w:rPr>
          <w:szCs w:val="24"/>
        </w:rPr>
        <w:t>**</w:t>
      </w:r>
      <w:r w:rsidR="0096191D">
        <w:rPr>
          <w:szCs w:val="24"/>
        </w:rPr>
        <w:t xml:space="preserve"> </w:t>
      </w:r>
      <w:r w:rsidRPr="007264C7">
        <w:rPr>
          <w:szCs w:val="24"/>
        </w:rPr>
        <w:t>10 мг/м</w:t>
      </w:r>
      <w:r w:rsidRPr="007264C7">
        <w:rPr>
          <w:szCs w:val="24"/>
          <w:vertAlign w:val="superscript"/>
        </w:rPr>
        <w:t>2</w:t>
      </w:r>
      <w:r w:rsidR="0096191D">
        <w:rPr>
          <w:szCs w:val="24"/>
        </w:rPr>
        <w:t xml:space="preserve"> в/в за 24 ч</w:t>
      </w:r>
      <w:r w:rsidR="00EC0AA3">
        <w:rPr>
          <w:szCs w:val="24"/>
        </w:rPr>
        <w:t>, 1–4-й дни</w:t>
      </w:r>
      <w:r w:rsidRPr="007264C7">
        <w:rPr>
          <w:szCs w:val="24"/>
          <w:vertAlign w:val="superscript"/>
        </w:rPr>
        <w:t>1</w:t>
      </w:r>
    </w:p>
    <w:p w14:paraId="7974F33F" w14:textId="77777777" w:rsidR="00533FE8" w:rsidRPr="007264C7" w:rsidRDefault="00533FE8" w:rsidP="00FF4C81">
      <w:pPr>
        <w:pStyle w:val="-51"/>
        <w:numPr>
          <w:ilvl w:val="0"/>
          <w:numId w:val="23"/>
        </w:numPr>
        <w:suppressAutoHyphens w:val="0"/>
        <w:ind w:left="0"/>
        <w:contextualSpacing/>
        <w:rPr>
          <w:szCs w:val="24"/>
        </w:rPr>
      </w:pPr>
      <w:r w:rsidRPr="007264C7">
        <w:rPr>
          <w:szCs w:val="24"/>
        </w:rPr>
        <w:t>Винкристин</w:t>
      </w:r>
      <w:r w:rsidR="00457E7B">
        <w:rPr>
          <w:szCs w:val="24"/>
        </w:rPr>
        <w:t>**</w:t>
      </w:r>
      <w:r w:rsidR="0096191D">
        <w:rPr>
          <w:szCs w:val="24"/>
        </w:rPr>
        <w:t xml:space="preserve"> 0,5 мг в/в за 24 ч,</w:t>
      </w:r>
      <w:r w:rsidR="00EC0AA3">
        <w:rPr>
          <w:szCs w:val="24"/>
        </w:rPr>
        <w:t xml:space="preserve"> 1–</w:t>
      </w:r>
      <w:r w:rsidRPr="007264C7">
        <w:rPr>
          <w:szCs w:val="24"/>
        </w:rPr>
        <w:t>4</w:t>
      </w:r>
      <w:r w:rsidR="00EC0AA3">
        <w:rPr>
          <w:szCs w:val="24"/>
        </w:rPr>
        <w:t>-й</w:t>
      </w:r>
      <w:r w:rsidRPr="007264C7">
        <w:rPr>
          <w:szCs w:val="24"/>
        </w:rPr>
        <w:t>дни</w:t>
      </w:r>
    </w:p>
    <w:p w14:paraId="16A4BE29" w14:textId="77777777" w:rsidR="00533FE8" w:rsidRPr="007264C7" w:rsidRDefault="00533FE8" w:rsidP="00FF4C81">
      <w:pPr>
        <w:pStyle w:val="-51"/>
        <w:numPr>
          <w:ilvl w:val="0"/>
          <w:numId w:val="23"/>
        </w:numPr>
        <w:suppressAutoHyphens w:val="0"/>
        <w:ind w:left="0"/>
        <w:contextualSpacing/>
        <w:rPr>
          <w:szCs w:val="24"/>
        </w:rPr>
      </w:pPr>
      <w:r w:rsidRPr="007264C7">
        <w:rPr>
          <w:szCs w:val="24"/>
        </w:rPr>
        <w:t>П</w:t>
      </w:r>
      <w:r>
        <w:rPr>
          <w:szCs w:val="24"/>
        </w:rPr>
        <w:t>реднизолон</w:t>
      </w:r>
      <w:r w:rsidR="00417EEC">
        <w:rPr>
          <w:szCs w:val="24"/>
        </w:rPr>
        <w:t>**</w:t>
      </w:r>
      <w:r w:rsidRPr="007264C7">
        <w:rPr>
          <w:szCs w:val="24"/>
        </w:rPr>
        <w:t xml:space="preserve"> 60 мг/м</w:t>
      </w:r>
      <w:r w:rsidRPr="007264C7">
        <w:rPr>
          <w:szCs w:val="24"/>
          <w:vertAlign w:val="superscript"/>
        </w:rPr>
        <w:t>2</w:t>
      </w:r>
      <w:r w:rsidR="00EC0AA3">
        <w:rPr>
          <w:szCs w:val="24"/>
        </w:rPr>
        <w:t xml:space="preserve"> внутрь 1–</w:t>
      </w:r>
      <w:r w:rsidRPr="007264C7">
        <w:rPr>
          <w:szCs w:val="24"/>
        </w:rPr>
        <w:t>5</w:t>
      </w:r>
      <w:r w:rsidR="00EC0AA3">
        <w:rPr>
          <w:szCs w:val="24"/>
        </w:rPr>
        <w:t xml:space="preserve">-й </w:t>
      </w:r>
      <w:r w:rsidRPr="007264C7">
        <w:rPr>
          <w:szCs w:val="24"/>
        </w:rPr>
        <w:t>дни</w:t>
      </w:r>
    </w:p>
    <w:p w14:paraId="491FF18D" w14:textId="77777777" w:rsidR="00533FE8" w:rsidRPr="00950F44" w:rsidRDefault="004C2C6A" w:rsidP="00FF4C81">
      <w:pPr>
        <w:pStyle w:val="-51"/>
        <w:numPr>
          <w:ilvl w:val="0"/>
          <w:numId w:val="23"/>
        </w:numPr>
        <w:suppressAutoHyphens w:val="0"/>
        <w:ind w:left="0"/>
        <w:contextualSpacing/>
        <w:rPr>
          <w:szCs w:val="24"/>
        </w:rPr>
      </w:pPr>
      <w:r>
        <w:rPr>
          <w:szCs w:val="24"/>
        </w:rPr>
        <w:t>Циклофосфамид**</w:t>
      </w:r>
      <w:r w:rsidR="0096191D">
        <w:rPr>
          <w:szCs w:val="24"/>
        </w:rPr>
        <w:t xml:space="preserve"> </w:t>
      </w:r>
      <w:r w:rsidR="00533FE8" w:rsidRPr="007264C7">
        <w:rPr>
          <w:szCs w:val="24"/>
        </w:rPr>
        <w:t>750 мг/м</w:t>
      </w:r>
      <w:r w:rsidR="00533FE8" w:rsidRPr="007264C7">
        <w:rPr>
          <w:szCs w:val="24"/>
          <w:vertAlign w:val="superscript"/>
        </w:rPr>
        <w:t>2</w:t>
      </w:r>
      <w:r w:rsidR="00533FE8" w:rsidRPr="007264C7">
        <w:rPr>
          <w:szCs w:val="24"/>
        </w:rPr>
        <w:t xml:space="preserve"> в/в</w:t>
      </w:r>
      <w:r w:rsidR="0096191D">
        <w:rPr>
          <w:szCs w:val="24"/>
        </w:rPr>
        <w:t xml:space="preserve">, </w:t>
      </w:r>
      <w:r w:rsidR="00533FE8" w:rsidRPr="007264C7">
        <w:rPr>
          <w:szCs w:val="24"/>
        </w:rPr>
        <w:t>5-й день</w:t>
      </w:r>
      <w:r w:rsidR="00950F44" w:rsidRPr="00116C40">
        <w:rPr>
          <w:rStyle w:val="af9"/>
        </w:rPr>
        <w:footnoteReference w:id="3"/>
      </w:r>
    </w:p>
    <w:p w14:paraId="69829313" w14:textId="77777777" w:rsidR="006355E9" w:rsidRDefault="006355E9" w:rsidP="00533FE8">
      <w:pPr>
        <w:rPr>
          <w:b/>
          <w:szCs w:val="24"/>
        </w:rPr>
      </w:pPr>
    </w:p>
    <w:p w14:paraId="51512C79" w14:textId="77777777" w:rsidR="00533FE8" w:rsidRPr="007264C7" w:rsidRDefault="00533FE8" w:rsidP="00533FE8">
      <w:pPr>
        <w:rPr>
          <w:b/>
          <w:szCs w:val="24"/>
        </w:rPr>
      </w:pPr>
      <w:r w:rsidRPr="007264C7">
        <w:rPr>
          <w:b/>
          <w:szCs w:val="24"/>
        </w:rPr>
        <w:t>NHL-BFM 90 (B-НХЛ2004 маб.)</w:t>
      </w:r>
    </w:p>
    <w:p w14:paraId="3223FF5D" w14:textId="77777777" w:rsidR="00533FE8" w:rsidRPr="007264C7" w:rsidRDefault="00533FE8" w:rsidP="00533FE8">
      <w:pPr>
        <w:rPr>
          <w:szCs w:val="24"/>
        </w:rPr>
      </w:pPr>
      <w:r w:rsidRPr="007264C7">
        <w:rPr>
          <w:szCs w:val="24"/>
        </w:rPr>
        <w:t xml:space="preserve">Схема лечения: </w:t>
      </w:r>
    </w:p>
    <w:p w14:paraId="2A0871B9" w14:textId="77777777" w:rsidR="00533FE8" w:rsidRDefault="00533FE8" w:rsidP="00FF4C81">
      <w:pPr>
        <w:numPr>
          <w:ilvl w:val="0"/>
          <w:numId w:val="22"/>
        </w:numPr>
        <w:rPr>
          <w:szCs w:val="24"/>
        </w:rPr>
      </w:pPr>
      <w:r>
        <w:rPr>
          <w:szCs w:val="24"/>
        </w:rPr>
        <w:t>Группа низкого риска: V – A – B</w:t>
      </w:r>
    </w:p>
    <w:p w14:paraId="20FF7F01" w14:textId="77777777" w:rsidR="00533FE8" w:rsidRPr="007264C7" w:rsidRDefault="00533FE8" w:rsidP="00FF4C81">
      <w:pPr>
        <w:numPr>
          <w:ilvl w:val="0"/>
          <w:numId w:val="21"/>
        </w:numPr>
        <w:rPr>
          <w:szCs w:val="24"/>
        </w:rPr>
      </w:pPr>
      <w:r w:rsidRPr="007264C7">
        <w:rPr>
          <w:szCs w:val="24"/>
        </w:rPr>
        <w:t>Группа промежуточного риска или высокого риска: V – AA – BB, далее</w:t>
      </w:r>
      <w:r w:rsidR="00EC0AA3">
        <w:rPr>
          <w:szCs w:val="24"/>
        </w:rPr>
        <w:t xml:space="preserve"> –</w:t>
      </w:r>
      <w:r w:rsidR="00BD6C1E">
        <w:rPr>
          <w:szCs w:val="24"/>
        </w:rPr>
        <w:t xml:space="preserve"> </w:t>
      </w:r>
      <w:r w:rsidR="00EC0AA3">
        <w:rPr>
          <w:szCs w:val="24"/>
        </w:rPr>
        <w:t>рестадирование</w:t>
      </w:r>
    </w:p>
    <w:p w14:paraId="04B81711" w14:textId="77777777" w:rsidR="00533FE8" w:rsidRPr="007264C7" w:rsidRDefault="00533FE8" w:rsidP="00533FE8">
      <w:pPr>
        <w:pStyle w:val="-51"/>
        <w:numPr>
          <w:ilvl w:val="0"/>
          <w:numId w:val="2"/>
        </w:numPr>
        <w:suppressAutoHyphens w:val="0"/>
        <w:contextualSpacing/>
        <w:jc w:val="left"/>
        <w:rPr>
          <w:rFonts w:eastAsia="Times New Roman"/>
          <w:szCs w:val="24"/>
          <w:lang w:eastAsia="ru-RU"/>
        </w:rPr>
      </w:pPr>
      <w:r w:rsidRPr="007264C7">
        <w:rPr>
          <w:rFonts w:eastAsia="Times New Roman"/>
          <w:szCs w:val="24"/>
          <w:lang w:eastAsia="ru-RU"/>
        </w:rPr>
        <w:t>если ПР, т</w:t>
      </w:r>
      <w:r>
        <w:rPr>
          <w:rFonts w:eastAsia="Times New Roman"/>
          <w:szCs w:val="24"/>
          <w:lang w:eastAsia="ru-RU"/>
        </w:rPr>
        <w:t>о АА – ВВ (– AA – BB – у пациентов</w:t>
      </w:r>
      <w:r w:rsidRPr="007264C7">
        <w:rPr>
          <w:rFonts w:eastAsia="Times New Roman"/>
          <w:szCs w:val="24"/>
          <w:lang w:eastAsia="ru-RU"/>
        </w:rPr>
        <w:t xml:space="preserve"> высокого риска)</w:t>
      </w:r>
      <w:r w:rsidR="00DD4985">
        <w:rPr>
          <w:rFonts w:eastAsia="Times New Roman"/>
          <w:szCs w:val="24"/>
          <w:lang w:eastAsia="ru-RU"/>
        </w:rPr>
        <w:t>;</w:t>
      </w:r>
    </w:p>
    <w:p w14:paraId="2559A884" w14:textId="77777777" w:rsidR="00DD4985" w:rsidRPr="00DD4985" w:rsidRDefault="00533FE8" w:rsidP="00DD4985">
      <w:pPr>
        <w:pStyle w:val="-51"/>
        <w:numPr>
          <w:ilvl w:val="0"/>
          <w:numId w:val="2"/>
        </w:numPr>
        <w:suppressAutoHyphens w:val="0"/>
        <w:contextualSpacing/>
        <w:jc w:val="left"/>
        <w:rPr>
          <w:rFonts w:eastAsia="Times New Roman"/>
          <w:szCs w:val="24"/>
          <w:lang w:eastAsia="ru-RU"/>
        </w:rPr>
      </w:pPr>
      <w:r w:rsidRPr="007264C7">
        <w:rPr>
          <w:rFonts w:eastAsia="Times New Roman"/>
          <w:szCs w:val="24"/>
          <w:lang w:eastAsia="ru-RU"/>
        </w:rPr>
        <w:t xml:space="preserve">если </w:t>
      </w:r>
      <w:r w:rsidR="00BD6C1E">
        <w:rPr>
          <w:rFonts w:eastAsia="Times New Roman"/>
          <w:szCs w:val="24"/>
          <w:lang w:eastAsia="ru-RU"/>
        </w:rPr>
        <w:t>н</w:t>
      </w:r>
      <w:r w:rsidRPr="007264C7">
        <w:rPr>
          <w:rFonts w:eastAsia="Times New Roman"/>
          <w:szCs w:val="24"/>
          <w:lang w:eastAsia="ru-RU"/>
        </w:rPr>
        <w:t>еполный отве</w:t>
      </w:r>
      <w:r w:rsidR="00DD4985">
        <w:rPr>
          <w:rFonts w:eastAsia="Times New Roman"/>
          <w:szCs w:val="24"/>
          <w:lang w:eastAsia="ru-RU"/>
        </w:rPr>
        <w:t>т, то CC, далее – рестадирование;</w:t>
      </w:r>
    </w:p>
    <w:p w14:paraId="7BA29269" w14:textId="77777777" w:rsidR="00533FE8" w:rsidRPr="007264C7" w:rsidRDefault="00533FE8" w:rsidP="00533FE8">
      <w:pPr>
        <w:pStyle w:val="-51"/>
        <w:numPr>
          <w:ilvl w:val="0"/>
          <w:numId w:val="3"/>
        </w:numPr>
        <w:suppressAutoHyphens w:val="0"/>
        <w:contextualSpacing/>
        <w:jc w:val="left"/>
        <w:rPr>
          <w:rFonts w:eastAsia="Times New Roman"/>
          <w:szCs w:val="24"/>
          <w:lang w:eastAsia="ru-RU"/>
        </w:rPr>
      </w:pPr>
      <w:r w:rsidRPr="007264C7">
        <w:rPr>
          <w:rFonts w:eastAsia="Times New Roman"/>
          <w:szCs w:val="24"/>
          <w:lang w:eastAsia="ru-RU"/>
        </w:rPr>
        <w:t>если</w:t>
      </w:r>
      <w:r>
        <w:rPr>
          <w:rFonts w:eastAsia="Times New Roman"/>
          <w:szCs w:val="24"/>
          <w:lang w:eastAsia="ru-RU"/>
        </w:rPr>
        <w:t xml:space="preserve"> достигнута вторая </w:t>
      </w:r>
      <w:r w:rsidR="00BD6C1E">
        <w:rPr>
          <w:rFonts w:eastAsia="Times New Roman"/>
          <w:szCs w:val="24"/>
          <w:lang w:eastAsia="ru-RU"/>
        </w:rPr>
        <w:t>ПР</w:t>
      </w:r>
      <w:r w:rsidRPr="007264C7">
        <w:rPr>
          <w:rFonts w:eastAsia="Times New Roman"/>
          <w:szCs w:val="24"/>
          <w:lang w:eastAsia="ru-RU"/>
        </w:rPr>
        <w:t xml:space="preserve"> или отсутствие опухолевой ткани</w:t>
      </w:r>
      <w:r w:rsidR="009421C4">
        <w:rPr>
          <w:rFonts w:eastAsia="Times New Roman"/>
          <w:szCs w:val="24"/>
          <w:lang w:eastAsia="ru-RU"/>
        </w:rPr>
        <w:t>,</w:t>
      </w:r>
      <w:r w:rsidRPr="007264C7">
        <w:rPr>
          <w:rFonts w:eastAsia="Times New Roman"/>
          <w:szCs w:val="24"/>
          <w:lang w:eastAsia="ru-RU"/>
        </w:rPr>
        <w:t xml:space="preserve"> по данным повторной биопсии, то AA – BB – CC</w:t>
      </w:r>
    </w:p>
    <w:p w14:paraId="26D7CAC5" w14:textId="77777777" w:rsidR="00533FE8" w:rsidRPr="00510729" w:rsidRDefault="00533FE8" w:rsidP="00533FE8">
      <w:pPr>
        <w:pStyle w:val="-51"/>
        <w:numPr>
          <w:ilvl w:val="0"/>
          <w:numId w:val="3"/>
        </w:numPr>
        <w:suppressAutoHyphens w:val="0"/>
        <w:contextualSpacing/>
        <w:jc w:val="left"/>
        <w:rPr>
          <w:rFonts w:eastAsia="Times New Roman"/>
          <w:szCs w:val="24"/>
          <w:lang w:eastAsia="ru-RU"/>
        </w:rPr>
      </w:pPr>
      <w:r w:rsidRPr="007264C7">
        <w:rPr>
          <w:rFonts w:eastAsia="Times New Roman"/>
          <w:szCs w:val="24"/>
          <w:lang w:eastAsia="ru-RU"/>
        </w:rPr>
        <w:t>если опухолевая ткань</w:t>
      </w:r>
      <w:r w:rsidR="009421C4">
        <w:rPr>
          <w:rFonts w:eastAsia="Times New Roman"/>
          <w:szCs w:val="24"/>
          <w:lang w:eastAsia="ru-RU"/>
        </w:rPr>
        <w:t>,</w:t>
      </w:r>
      <w:r w:rsidRPr="007264C7">
        <w:rPr>
          <w:rFonts w:eastAsia="Times New Roman"/>
          <w:szCs w:val="24"/>
          <w:lang w:eastAsia="ru-RU"/>
        </w:rPr>
        <w:t xml:space="preserve"> по данным повторной биопсии, то </w:t>
      </w:r>
      <w:r w:rsidR="00BD6C1E">
        <w:rPr>
          <w:rFonts w:eastAsia="Times New Roman"/>
          <w:szCs w:val="24"/>
          <w:lang w:eastAsia="ru-RU"/>
        </w:rPr>
        <w:t>а</w:t>
      </w:r>
      <w:r w:rsidRPr="007264C7">
        <w:rPr>
          <w:rFonts w:eastAsia="Times New Roman"/>
          <w:szCs w:val="24"/>
          <w:lang w:eastAsia="ru-RU"/>
        </w:rPr>
        <w:t>уто</w:t>
      </w:r>
      <w:r w:rsidR="00EC0AA3">
        <w:rPr>
          <w:rFonts w:eastAsia="Times New Roman"/>
          <w:szCs w:val="24"/>
          <w:lang w:eastAsia="ru-RU"/>
        </w:rPr>
        <w:t>-</w:t>
      </w:r>
      <w:r w:rsidRPr="007264C7">
        <w:rPr>
          <w:rFonts w:eastAsia="Times New Roman"/>
          <w:szCs w:val="24"/>
          <w:lang w:eastAsia="ru-RU"/>
        </w:rPr>
        <w:t>ТГСК</w:t>
      </w:r>
    </w:p>
    <w:p w14:paraId="3F8AAE86" w14:textId="77777777" w:rsidR="00533FE8" w:rsidRPr="00EC0AA3" w:rsidRDefault="00533FE8" w:rsidP="00533FE8">
      <w:pPr>
        <w:rPr>
          <w:b/>
          <w:szCs w:val="24"/>
        </w:rPr>
      </w:pPr>
      <w:r w:rsidRPr="00EC0AA3">
        <w:rPr>
          <w:b/>
          <w:szCs w:val="24"/>
        </w:rPr>
        <w:t>Профаза (</w:t>
      </w:r>
      <w:r w:rsidRPr="00EC0AA3">
        <w:rPr>
          <w:b/>
          <w:szCs w:val="24"/>
          <w:lang w:val="en-US"/>
        </w:rPr>
        <w:t>V</w:t>
      </w:r>
      <w:r w:rsidRPr="00EC0AA3">
        <w:rPr>
          <w:b/>
          <w:szCs w:val="24"/>
        </w:rPr>
        <w:t>)</w:t>
      </w:r>
      <w:r w:rsidR="00EC0AA3">
        <w:rPr>
          <w:b/>
          <w:szCs w:val="24"/>
        </w:rPr>
        <w:t>:</w:t>
      </w:r>
    </w:p>
    <w:p w14:paraId="4656250B" w14:textId="77777777" w:rsidR="00533FE8" w:rsidRPr="007264C7" w:rsidRDefault="00533FE8" w:rsidP="00FF4C81">
      <w:pPr>
        <w:numPr>
          <w:ilvl w:val="0"/>
          <w:numId w:val="23"/>
        </w:numPr>
        <w:rPr>
          <w:szCs w:val="24"/>
        </w:rPr>
      </w:pPr>
      <w:r>
        <w:rPr>
          <w:szCs w:val="24"/>
        </w:rPr>
        <w:t>Преднизолон</w:t>
      </w:r>
      <w:r w:rsidR="00417EEC">
        <w:rPr>
          <w:szCs w:val="24"/>
        </w:rPr>
        <w:t>**</w:t>
      </w:r>
      <w:r>
        <w:rPr>
          <w:szCs w:val="24"/>
        </w:rPr>
        <w:t xml:space="preserve"> </w:t>
      </w:r>
      <w:r w:rsidRPr="007264C7">
        <w:rPr>
          <w:szCs w:val="24"/>
        </w:rPr>
        <w:t>30 мг/м</w:t>
      </w:r>
      <w:r w:rsidRPr="00D72E20">
        <w:rPr>
          <w:szCs w:val="24"/>
          <w:vertAlign w:val="superscript"/>
        </w:rPr>
        <w:t>2</w:t>
      </w:r>
      <w:r w:rsidR="00EC0AA3">
        <w:rPr>
          <w:szCs w:val="24"/>
        </w:rPr>
        <w:t xml:space="preserve"> внутрь или в/в, 1–</w:t>
      </w:r>
      <w:r w:rsidRPr="007264C7">
        <w:rPr>
          <w:szCs w:val="24"/>
        </w:rPr>
        <w:t>5</w:t>
      </w:r>
      <w:r w:rsidR="00EC0AA3">
        <w:rPr>
          <w:szCs w:val="24"/>
        </w:rPr>
        <w:t>-й дни</w:t>
      </w:r>
    </w:p>
    <w:p w14:paraId="71D7F315" w14:textId="77777777" w:rsidR="00533FE8" w:rsidRPr="00EC0AA3" w:rsidRDefault="00533FE8" w:rsidP="00FF4C81">
      <w:pPr>
        <w:numPr>
          <w:ilvl w:val="0"/>
          <w:numId w:val="23"/>
        </w:numPr>
        <w:rPr>
          <w:szCs w:val="24"/>
        </w:rPr>
      </w:pPr>
      <w:r w:rsidRPr="007264C7">
        <w:rPr>
          <w:szCs w:val="24"/>
        </w:rPr>
        <w:lastRenderedPageBreak/>
        <w:t>Циклофосфамид</w:t>
      </w:r>
      <w:r w:rsidR="004C2C6A">
        <w:rPr>
          <w:szCs w:val="24"/>
        </w:rPr>
        <w:t>**</w:t>
      </w:r>
      <w:r w:rsidRPr="007264C7">
        <w:rPr>
          <w:szCs w:val="24"/>
        </w:rPr>
        <w:t xml:space="preserve"> 200 мг/м</w:t>
      </w:r>
      <w:r w:rsidRPr="00D72E20">
        <w:rPr>
          <w:szCs w:val="24"/>
          <w:vertAlign w:val="superscript"/>
        </w:rPr>
        <w:t>2</w:t>
      </w:r>
      <w:r w:rsidR="00EC0AA3">
        <w:rPr>
          <w:szCs w:val="24"/>
        </w:rPr>
        <w:t xml:space="preserve"> в/в, 1–</w:t>
      </w:r>
      <w:r w:rsidR="00EC0AA3" w:rsidRPr="007264C7">
        <w:rPr>
          <w:szCs w:val="24"/>
        </w:rPr>
        <w:t>5</w:t>
      </w:r>
      <w:r w:rsidR="00EC0AA3">
        <w:rPr>
          <w:szCs w:val="24"/>
        </w:rPr>
        <w:t>-й дни</w:t>
      </w:r>
    </w:p>
    <w:p w14:paraId="04954F8A" w14:textId="77777777" w:rsidR="00533FE8" w:rsidRPr="007264C7" w:rsidRDefault="00533FE8" w:rsidP="00FF4C81">
      <w:pPr>
        <w:numPr>
          <w:ilvl w:val="0"/>
          <w:numId w:val="23"/>
        </w:numPr>
        <w:rPr>
          <w:szCs w:val="24"/>
        </w:rPr>
      </w:pPr>
      <w:r w:rsidRPr="007264C7">
        <w:rPr>
          <w:szCs w:val="24"/>
        </w:rPr>
        <w:t>Метотрексат</w:t>
      </w:r>
      <w:r w:rsidR="00392AAF">
        <w:rPr>
          <w:szCs w:val="24"/>
        </w:rPr>
        <w:t>**</w:t>
      </w:r>
      <w:r w:rsidR="00EC0AA3">
        <w:rPr>
          <w:szCs w:val="24"/>
        </w:rPr>
        <w:t xml:space="preserve"> 12 мг интратекально, </w:t>
      </w:r>
      <w:r w:rsidRPr="007264C7">
        <w:rPr>
          <w:szCs w:val="24"/>
        </w:rPr>
        <w:t>1</w:t>
      </w:r>
      <w:r w:rsidR="00EC0AA3">
        <w:rPr>
          <w:szCs w:val="24"/>
        </w:rPr>
        <w:t>-й день</w:t>
      </w:r>
    </w:p>
    <w:p w14:paraId="6F190B9D" w14:textId="77777777" w:rsidR="00533FE8" w:rsidRPr="007264C7" w:rsidRDefault="00533FE8" w:rsidP="00FF4C81">
      <w:pPr>
        <w:numPr>
          <w:ilvl w:val="0"/>
          <w:numId w:val="23"/>
        </w:numPr>
        <w:rPr>
          <w:szCs w:val="24"/>
        </w:rPr>
      </w:pPr>
      <w:r w:rsidRPr="007264C7">
        <w:rPr>
          <w:szCs w:val="24"/>
        </w:rPr>
        <w:t>Цитарабин</w:t>
      </w:r>
      <w:r w:rsidR="00421699">
        <w:rPr>
          <w:szCs w:val="24"/>
        </w:rPr>
        <w:t>**</w:t>
      </w:r>
      <w:r w:rsidR="00EC0AA3">
        <w:rPr>
          <w:szCs w:val="24"/>
        </w:rPr>
        <w:t xml:space="preserve"> 30 мг интратекально, </w:t>
      </w:r>
      <w:r w:rsidRPr="007264C7">
        <w:rPr>
          <w:szCs w:val="24"/>
        </w:rPr>
        <w:t>1</w:t>
      </w:r>
      <w:r w:rsidR="00EC0AA3">
        <w:rPr>
          <w:szCs w:val="24"/>
        </w:rPr>
        <w:t>-й день</w:t>
      </w:r>
    </w:p>
    <w:p w14:paraId="2EDF85DD" w14:textId="77777777" w:rsidR="00533FE8" w:rsidRPr="007264C7" w:rsidRDefault="00533FE8" w:rsidP="00FF4C81">
      <w:pPr>
        <w:numPr>
          <w:ilvl w:val="0"/>
          <w:numId w:val="23"/>
        </w:numPr>
        <w:rPr>
          <w:szCs w:val="24"/>
        </w:rPr>
      </w:pPr>
      <w:r>
        <w:rPr>
          <w:szCs w:val="24"/>
        </w:rPr>
        <w:t>Преднизолон</w:t>
      </w:r>
      <w:r w:rsidR="00417EEC">
        <w:rPr>
          <w:szCs w:val="24"/>
        </w:rPr>
        <w:t>**</w:t>
      </w:r>
      <w:r w:rsidR="00EC0AA3">
        <w:rPr>
          <w:szCs w:val="24"/>
        </w:rPr>
        <w:t xml:space="preserve"> 10 мг интратекально, </w:t>
      </w:r>
      <w:r>
        <w:rPr>
          <w:szCs w:val="24"/>
        </w:rPr>
        <w:t>1</w:t>
      </w:r>
      <w:r w:rsidR="00EC0AA3">
        <w:rPr>
          <w:szCs w:val="24"/>
        </w:rPr>
        <w:t>-й день</w:t>
      </w:r>
    </w:p>
    <w:p w14:paraId="501F44A1" w14:textId="77777777" w:rsidR="00533FE8" w:rsidRPr="00EC0AA3" w:rsidRDefault="00533FE8" w:rsidP="00533FE8">
      <w:pPr>
        <w:rPr>
          <w:b/>
          <w:szCs w:val="24"/>
        </w:rPr>
      </w:pPr>
      <w:r w:rsidRPr="00EC0AA3">
        <w:rPr>
          <w:b/>
          <w:szCs w:val="24"/>
        </w:rPr>
        <w:t>Блок А</w:t>
      </w:r>
      <w:r w:rsidR="00EC0AA3">
        <w:rPr>
          <w:b/>
          <w:szCs w:val="24"/>
        </w:rPr>
        <w:t>:</w:t>
      </w:r>
      <w:r w:rsidRPr="00EC0AA3">
        <w:rPr>
          <w:b/>
          <w:szCs w:val="24"/>
        </w:rPr>
        <w:t xml:space="preserve"> </w:t>
      </w:r>
    </w:p>
    <w:p w14:paraId="5A98AA0E" w14:textId="77777777" w:rsidR="00533FE8" w:rsidRPr="007264C7" w:rsidRDefault="00533FE8" w:rsidP="00FF4C81">
      <w:pPr>
        <w:numPr>
          <w:ilvl w:val="0"/>
          <w:numId w:val="23"/>
        </w:numPr>
        <w:rPr>
          <w:szCs w:val="24"/>
        </w:rPr>
      </w:pPr>
      <w:r>
        <w:rPr>
          <w:szCs w:val="24"/>
        </w:rPr>
        <w:t>Дексаметазон</w:t>
      </w:r>
      <w:r w:rsidR="006F5D03">
        <w:rPr>
          <w:szCs w:val="24"/>
        </w:rPr>
        <w:t>**</w:t>
      </w:r>
      <w:r w:rsidRPr="007264C7">
        <w:rPr>
          <w:szCs w:val="24"/>
        </w:rPr>
        <w:t xml:space="preserve"> 10 мг/м</w:t>
      </w:r>
      <w:r w:rsidRPr="00D72E20">
        <w:rPr>
          <w:szCs w:val="24"/>
          <w:vertAlign w:val="superscript"/>
        </w:rPr>
        <w:t>2</w:t>
      </w:r>
      <w:r w:rsidRPr="007264C7">
        <w:rPr>
          <w:szCs w:val="24"/>
        </w:rPr>
        <w:t xml:space="preserve"> в/в или внутрь, </w:t>
      </w:r>
      <w:r w:rsidR="00EC0AA3">
        <w:rPr>
          <w:szCs w:val="24"/>
        </w:rPr>
        <w:t>1–</w:t>
      </w:r>
      <w:r w:rsidRPr="007264C7">
        <w:rPr>
          <w:szCs w:val="24"/>
        </w:rPr>
        <w:t>5</w:t>
      </w:r>
      <w:r w:rsidR="00EC0AA3">
        <w:rPr>
          <w:szCs w:val="24"/>
        </w:rPr>
        <w:t>-й</w:t>
      </w:r>
      <w:r w:rsidR="00EC0AA3" w:rsidRPr="00EC0AA3">
        <w:rPr>
          <w:szCs w:val="24"/>
        </w:rPr>
        <w:t xml:space="preserve"> </w:t>
      </w:r>
      <w:r w:rsidR="00EC0AA3" w:rsidRPr="007264C7">
        <w:rPr>
          <w:szCs w:val="24"/>
        </w:rPr>
        <w:t>дни</w:t>
      </w:r>
    </w:p>
    <w:p w14:paraId="2DC0C58F" w14:textId="77777777" w:rsidR="00533FE8" w:rsidRPr="007264C7" w:rsidRDefault="00533FE8" w:rsidP="00FF4C81">
      <w:pPr>
        <w:numPr>
          <w:ilvl w:val="0"/>
          <w:numId w:val="23"/>
        </w:numPr>
        <w:rPr>
          <w:szCs w:val="24"/>
        </w:rPr>
      </w:pPr>
      <w:r w:rsidRPr="007264C7">
        <w:rPr>
          <w:szCs w:val="24"/>
        </w:rPr>
        <w:t>Ифосфамид</w:t>
      </w:r>
      <w:r w:rsidR="00986B4F" w:rsidRPr="00986B4F">
        <w:rPr>
          <w:szCs w:val="24"/>
        </w:rPr>
        <w:t>**</w:t>
      </w:r>
      <w:r w:rsidRPr="007264C7">
        <w:rPr>
          <w:szCs w:val="24"/>
        </w:rPr>
        <w:t xml:space="preserve"> 800 мг/м</w:t>
      </w:r>
      <w:r w:rsidRPr="00D72E20">
        <w:rPr>
          <w:szCs w:val="24"/>
          <w:vertAlign w:val="superscript"/>
        </w:rPr>
        <w:t>2</w:t>
      </w:r>
      <w:r w:rsidR="00EC0AA3">
        <w:rPr>
          <w:szCs w:val="24"/>
        </w:rPr>
        <w:t xml:space="preserve"> в/в, 1–</w:t>
      </w:r>
      <w:r w:rsidR="00EC0AA3" w:rsidRPr="007264C7">
        <w:rPr>
          <w:szCs w:val="24"/>
        </w:rPr>
        <w:t>5</w:t>
      </w:r>
      <w:r w:rsidR="00EC0AA3">
        <w:rPr>
          <w:szCs w:val="24"/>
        </w:rPr>
        <w:t>-й</w:t>
      </w:r>
      <w:r w:rsidR="00EC0AA3" w:rsidRPr="00EC0AA3">
        <w:rPr>
          <w:szCs w:val="24"/>
        </w:rPr>
        <w:t xml:space="preserve"> </w:t>
      </w:r>
      <w:r w:rsidR="00EC0AA3" w:rsidRPr="007264C7">
        <w:rPr>
          <w:szCs w:val="24"/>
        </w:rPr>
        <w:t>дни</w:t>
      </w:r>
    </w:p>
    <w:p w14:paraId="5767DD0F" w14:textId="77777777" w:rsidR="00533FE8" w:rsidRPr="007264C7" w:rsidRDefault="00533FE8" w:rsidP="00FF4C81">
      <w:pPr>
        <w:numPr>
          <w:ilvl w:val="0"/>
          <w:numId w:val="23"/>
        </w:numPr>
        <w:rPr>
          <w:szCs w:val="24"/>
        </w:rPr>
      </w:pPr>
      <w:r w:rsidRPr="007264C7">
        <w:rPr>
          <w:szCs w:val="24"/>
        </w:rPr>
        <w:t>Метотрексат</w:t>
      </w:r>
      <w:r w:rsidR="00392AAF">
        <w:rPr>
          <w:szCs w:val="24"/>
        </w:rPr>
        <w:t>**</w:t>
      </w:r>
      <w:r w:rsidRPr="007264C7">
        <w:rPr>
          <w:szCs w:val="24"/>
        </w:rPr>
        <w:t xml:space="preserve"> 500 мг/м</w:t>
      </w:r>
      <w:r w:rsidRPr="00D72E20">
        <w:rPr>
          <w:szCs w:val="24"/>
          <w:vertAlign w:val="superscript"/>
        </w:rPr>
        <w:t>2</w:t>
      </w:r>
      <w:r w:rsidRPr="007264C7">
        <w:rPr>
          <w:szCs w:val="24"/>
        </w:rPr>
        <w:t xml:space="preserve"> в/в, 1</w:t>
      </w:r>
      <w:r w:rsidR="00EC0AA3">
        <w:rPr>
          <w:szCs w:val="24"/>
        </w:rPr>
        <w:t>-й</w:t>
      </w:r>
      <w:r w:rsidRPr="007264C7">
        <w:rPr>
          <w:szCs w:val="24"/>
        </w:rPr>
        <w:t xml:space="preserve"> </w:t>
      </w:r>
      <w:r w:rsidR="00EC0AA3" w:rsidRPr="007264C7">
        <w:rPr>
          <w:szCs w:val="24"/>
        </w:rPr>
        <w:t xml:space="preserve">день </w:t>
      </w:r>
      <w:r w:rsidRPr="007264C7">
        <w:rPr>
          <w:szCs w:val="24"/>
        </w:rPr>
        <w:t>(24-часовая инфузия)</w:t>
      </w:r>
    </w:p>
    <w:p w14:paraId="469867AF" w14:textId="77777777" w:rsidR="00533FE8" w:rsidRPr="007264C7" w:rsidRDefault="00533FE8" w:rsidP="00FF4C81">
      <w:pPr>
        <w:numPr>
          <w:ilvl w:val="0"/>
          <w:numId w:val="23"/>
        </w:numPr>
        <w:rPr>
          <w:szCs w:val="24"/>
        </w:rPr>
      </w:pPr>
      <w:r w:rsidRPr="007264C7">
        <w:rPr>
          <w:szCs w:val="24"/>
        </w:rPr>
        <w:t>Цитарабин</w:t>
      </w:r>
      <w:r w:rsidR="00421699">
        <w:rPr>
          <w:szCs w:val="24"/>
        </w:rPr>
        <w:t>**</w:t>
      </w:r>
      <w:r w:rsidRPr="007264C7">
        <w:rPr>
          <w:szCs w:val="24"/>
        </w:rPr>
        <w:t xml:space="preserve"> 150 мг/м</w:t>
      </w:r>
      <w:r w:rsidRPr="00D72E20">
        <w:rPr>
          <w:szCs w:val="24"/>
          <w:vertAlign w:val="superscript"/>
        </w:rPr>
        <w:t>2</w:t>
      </w:r>
      <w:r w:rsidRPr="007264C7">
        <w:rPr>
          <w:szCs w:val="24"/>
        </w:rPr>
        <w:t xml:space="preserve"> в/в каждые 12 </w:t>
      </w:r>
      <w:r w:rsidR="00EC0AA3">
        <w:rPr>
          <w:szCs w:val="24"/>
        </w:rPr>
        <w:t>ч</w:t>
      </w:r>
      <w:r w:rsidRPr="007264C7">
        <w:rPr>
          <w:szCs w:val="24"/>
        </w:rPr>
        <w:t xml:space="preserve">, </w:t>
      </w:r>
      <w:r w:rsidR="00EC0AA3">
        <w:rPr>
          <w:szCs w:val="24"/>
        </w:rPr>
        <w:t>4–</w:t>
      </w:r>
      <w:r w:rsidRPr="007264C7">
        <w:rPr>
          <w:szCs w:val="24"/>
        </w:rPr>
        <w:t>5</w:t>
      </w:r>
      <w:r w:rsidR="00EC0AA3">
        <w:rPr>
          <w:szCs w:val="24"/>
        </w:rPr>
        <w:t>-й</w:t>
      </w:r>
      <w:r w:rsidRPr="007264C7">
        <w:rPr>
          <w:szCs w:val="24"/>
        </w:rPr>
        <w:t xml:space="preserve"> </w:t>
      </w:r>
      <w:r w:rsidR="00EC0AA3" w:rsidRPr="007264C7">
        <w:rPr>
          <w:szCs w:val="24"/>
        </w:rPr>
        <w:t xml:space="preserve">дни </w:t>
      </w:r>
      <w:r w:rsidRPr="007264C7">
        <w:rPr>
          <w:szCs w:val="24"/>
        </w:rPr>
        <w:t>(всего 4 введения)</w:t>
      </w:r>
    </w:p>
    <w:p w14:paraId="5FCE793E" w14:textId="77777777" w:rsidR="00533FE8" w:rsidRPr="007264C7" w:rsidRDefault="00533FE8" w:rsidP="00FF4C81">
      <w:pPr>
        <w:numPr>
          <w:ilvl w:val="0"/>
          <w:numId w:val="23"/>
        </w:numPr>
        <w:rPr>
          <w:szCs w:val="24"/>
        </w:rPr>
      </w:pPr>
      <w:r w:rsidRPr="007264C7">
        <w:rPr>
          <w:szCs w:val="24"/>
        </w:rPr>
        <w:t>Этопозид</w:t>
      </w:r>
      <w:r w:rsidR="00113194" w:rsidRPr="00113194">
        <w:rPr>
          <w:szCs w:val="24"/>
        </w:rPr>
        <w:t>**</w:t>
      </w:r>
      <w:r w:rsidRPr="007264C7">
        <w:rPr>
          <w:szCs w:val="24"/>
        </w:rPr>
        <w:t xml:space="preserve"> 100 мг/м</w:t>
      </w:r>
      <w:r w:rsidRPr="00D72E20">
        <w:rPr>
          <w:szCs w:val="24"/>
          <w:vertAlign w:val="superscript"/>
        </w:rPr>
        <w:t>2</w:t>
      </w:r>
      <w:r w:rsidRPr="007264C7">
        <w:rPr>
          <w:szCs w:val="24"/>
        </w:rPr>
        <w:t xml:space="preserve"> в/в, </w:t>
      </w:r>
      <w:r w:rsidR="00EC0AA3">
        <w:rPr>
          <w:szCs w:val="24"/>
        </w:rPr>
        <w:t>4–</w:t>
      </w:r>
      <w:r w:rsidR="00EC0AA3" w:rsidRPr="007264C7">
        <w:rPr>
          <w:szCs w:val="24"/>
        </w:rPr>
        <w:t>5</w:t>
      </w:r>
      <w:r w:rsidR="00EC0AA3">
        <w:rPr>
          <w:szCs w:val="24"/>
        </w:rPr>
        <w:t>-й</w:t>
      </w:r>
      <w:r w:rsidR="00EC0AA3" w:rsidRPr="007264C7">
        <w:rPr>
          <w:szCs w:val="24"/>
        </w:rPr>
        <w:t xml:space="preserve"> дни</w:t>
      </w:r>
    </w:p>
    <w:p w14:paraId="0F0E231B" w14:textId="77777777" w:rsidR="00533FE8" w:rsidRPr="007264C7" w:rsidRDefault="00533FE8" w:rsidP="00FF4C81">
      <w:pPr>
        <w:numPr>
          <w:ilvl w:val="0"/>
          <w:numId w:val="23"/>
        </w:numPr>
        <w:rPr>
          <w:szCs w:val="24"/>
        </w:rPr>
      </w:pPr>
      <w:r w:rsidRPr="007264C7">
        <w:rPr>
          <w:szCs w:val="24"/>
        </w:rPr>
        <w:t>Метотрексат</w:t>
      </w:r>
      <w:r w:rsidR="00392AAF">
        <w:rPr>
          <w:szCs w:val="24"/>
        </w:rPr>
        <w:t>**</w:t>
      </w:r>
      <w:r w:rsidRPr="007264C7">
        <w:rPr>
          <w:szCs w:val="24"/>
        </w:rPr>
        <w:t xml:space="preserve"> 12 мг интратекально, </w:t>
      </w:r>
      <w:r w:rsidR="00EC0AA3" w:rsidRPr="007264C7">
        <w:rPr>
          <w:szCs w:val="24"/>
        </w:rPr>
        <w:t>1</w:t>
      </w:r>
      <w:r w:rsidR="00EC0AA3">
        <w:rPr>
          <w:szCs w:val="24"/>
        </w:rPr>
        <w:t>-й</w:t>
      </w:r>
      <w:r w:rsidR="00EC0AA3" w:rsidRPr="007264C7">
        <w:rPr>
          <w:szCs w:val="24"/>
        </w:rPr>
        <w:t xml:space="preserve"> день</w:t>
      </w:r>
    </w:p>
    <w:p w14:paraId="2C6585A5" w14:textId="77777777" w:rsidR="00533FE8" w:rsidRPr="007264C7" w:rsidRDefault="00533FE8" w:rsidP="00FF4C81">
      <w:pPr>
        <w:numPr>
          <w:ilvl w:val="0"/>
          <w:numId w:val="23"/>
        </w:numPr>
        <w:rPr>
          <w:szCs w:val="24"/>
        </w:rPr>
      </w:pPr>
      <w:r w:rsidRPr="007264C7">
        <w:rPr>
          <w:szCs w:val="24"/>
        </w:rPr>
        <w:t>Цитарабин</w:t>
      </w:r>
      <w:r w:rsidR="00417EEC">
        <w:rPr>
          <w:szCs w:val="24"/>
        </w:rPr>
        <w:t>**</w:t>
      </w:r>
      <w:r w:rsidRPr="007264C7">
        <w:rPr>
          <w:szCs w:val="24"/>
        </w:rPr>
        <w:t xml:space="preserve"> 30 мг интратекально, </w:t>
      </w:r>
      <w:r w:rsidR="00EC0AA3" w:rsidRPr="007264C7">
        <w:rPr>
          <w:szCs w:val="24"/>
        </w:rPr>
        <w:t>1</w:t>
      </w:r>
      <w:r w:rsidR="00EC0AA3">
        <w:rPr>
          <w:szCs w:val="24"/>
        </w:rPr>
        <w:t>-й</w:t>
      </w:r>
      <w:r w:rsidR="00EC0AA3" w:rsidRPr="007264C7">
        <w:rPr>
          <w:szCs w:val="24"/>
        </w:rPr>
        <w:t xml:space="preserve"> день</w:t>
      </w:r>
    </w:p>
    <w:p w14:paraId="4DC4E5AE" w14:textId="77777777" w:rsidR="00533FE8" w:rsidRPr="007264C7" w:rsidRDefault="00533FE8" w:rsidP="00FF4C81">
      <w:pPr>
        <w:numPr>
          <w:ilvl w:val="0"/>
          <w:numId w:val="23"/>
        </w:numPr>
        <w:rPr>
          <w:szCs w:val="24"/>
        </w:rPr>
      </w:pPr>
      <w:r>
        <w:rPr>
          <w:szCs w:val="24"/>
        </w:rPr>
        <w:t>Преднизолон</w:t>
      </w:r>
      <w:r w:rsidR="00417EEC">
        <w:rPr>
          <w:szCs w:val="24"/>
        </w:rPr>
        <w:t>**</w:t>
      </w:r>
      <w:r>
        <w:rPr>
          <w:szCs w:val="24"/>
        </w:rPr>
        <w:t xml:space="preserve"> 10 мг интратекально, </w:t>
      </w:r>
      <w:r w:rsidR="00EC0AA3" w:rsidRPr="007264C7">
        <w:rPr>
          <w:szCs w:val="24"/>
        </w:rPr>
        <w:t>1</w:t>
      </w:r>
      <w:r w:rsidR="00EC0AA3">
        <w:rPr>
          <w:szCs w:val="24"/>
        </w:rPr>
        <w:t>-й</w:t>
      </w:r>
      <w:r w:rsidR="00EC0AA3" w:rsidRPr="007264C7">
        <w:rPr>
          <w:szCs w:val="24"/>
        </w:rPr>
        <w:t xml:space="preserve"> день</w:t>
      </w:r>
    </w:p>
    <w:p w14:paraId="15AC1CC7" w14:textId="77777777" w:rsidR="00533FE8" w:rsidRPr="00EC0AA3" w:rsidRDefault="00533FE8" w:rsidP="00533FE8">
      <w:pPr>
        <w:rPr>
          <w:b/>
          <w:szCs w:val="24"/>
        </w:rPr>
      </w:pPr>
      <w:r w:rsidRPr="00EC0AA3">
        <w:rPr>
          <w:b/>
          <w:szCs w:val="24"/>
        </w:rPr>
        <w:t>Блок В</w:t>
      </w:r>
      <w:r w:rsidR="00EC0AA3">
        <w:rPr>
          <w:b/>
          <w:szCs w:val="24"/>
        </w:rPr>
        <w:t>:</w:t>
      </w:r>
      <w:r w:rsidRPr="00EC0AA3">
        <w:rPr>
          <w:b/>
          <w:szCs w:val="24"/>
        </w:rPr>
        <w:t xml:space="preserve"> </w:t>
      </w:r>
    </w:p>
    <w:p w14:paraId="06D8CC99" w14:textId="77777777" w:rsidR="00533FE8" w:rsidRPr="007264C7" w:rsidRDefault="00533FE8" w:rsidP="00FF4C81">
      <w:pPr>
        <w:numPr>
          <w:ilvl w:val="0"/>
          <w:numId w:val="23"/>
        </w:numPr>
        <w:rPr>
          <w:szCs w:val="24"/>
        </w:rPr>
      </w:pPr>
      <w:r>
        <w:rPr>
          <w:szCs w:val="24"/>
        </w:rPr>
        <w:t>Дексаметазон</w:t>
      </w:r>
      <w:r w:rsidR="006F5D03">
        <w:rPr>
          <w:szCs w:val="24"/>
        </w:rPr>
        <w:t>**</w:t>
      </w:r>
      <w:r w:rsidRPr="007264C7">
        <w:rPr>
          <w:szCs w:val="24"/>
        </w:rPr>
        <w:t xml:space="preserve"> 10 мг/м</w:t>
      </w:r>
      <w:r w:rsidRPr="00D72E20">
        <w:rPr>
          <w:szCs w:val="24"/>
          <w:vertAlign w:val="superscript"/>
        </w:rPr>
        <w:t>2</w:t>
      </w:r>
      <w:r w:rsidRPr="007264C7">
        <w:rPr>
          <w:szCs w:val="24"/>
        </w:rPr>
        <w:t xml:space="preserve"> в/в или внутрь, </w:t>
      </w:r>
      <w:r w:rsidR="00EC0AA3">
        <w:rPr>
          <w:szCs w:val="24"/>
        </w:rPr>
        <w:t>1–</w:t>
      </w:r>
      <w:r w:rsidR="00EC0AA3" w:rsidRPr="007264C7">
        <w:rPr>
          <w:szCs w:val="24"/>
        </w:rPr>
        <w:t>5</w:t>
      </w:r>
      <w:r w:rsidR="00EC0AA3">
        <w:rPr>
          <w:szCs w:val="24"/>
        </w:rPr>
        <w:t>-й дни</w:t>
      </w:r>
    </w:p>
    <w:p w14:paraId="462DB5F1" w14:textId="77777777" w:rsidR="00533FE8" w:rsidRPr="007264C7" w:rsidRDefault="00533FE8" w:rsidP="00FF4C81">
      <w:pPr>
        <w:numPr>
          <w:ilvl w:val="0"/>
          <w:numId w:val="23"/>
        </w:numPr>
        <w:rPr>
          <w:szCs w:val="24"/>
        </w:rPr>
      </w:pPr>
      <w:r w:rsidRPr="007264C7">
        <w:rPr>
          <w:szCs w:val="24"/>
        </w:rPr>
        <w:t>Циклофосфамид</w:t>
      </w:r>
      <w:r w:rsidR="004C2C6A">
        <w:rPr>
          <w:szCs w:val="24"/>
        </w:rPr>
        <w:t>**</w:t>
      </w:r>
      <w:r w:rsidRPr="007264C7">
        <w:rPr>
          <w:szCs w:val="24"/>
        </w:rPr>
        <w:t xml:space="preserve"> 200 мг/м</w:t>
      </w:r>
      <w:r w:rsidRPr="00D72E20">
        <w:rPr>
          <w:szCs w:val="24"/>
          <w:vertAlign w:val="superscript"/>
        </w:rPr>
        <w:t>2</w:t>
      </w:r>
      <w:r w:rsidR="00EC0AA3">
        <w:rPr>
          <w:szCs w:val="24"/>
        </w:rPr>
        <w:t xml:space="preserve"> в/в, 1–</w:t>
      </w:r>
      <w:r w:rsidRPr="007264C7">
        <w:rPr>
          <w:szCs w:val="24"/>
        </w:rPr>
        <w:t>5</w:t>
      </w:r>
      <w:r w:rsidR="00EC0AA3">
        <w:rPr>
          <w:szCs w:val="24"/>
        </w:rPr>
        <w:t>-й дни</w:t>
      </w:r>
    </w:p>
    <w:p w14:paraId="62A9A668" w14:textId="77777777" w:rsidR="00533FE8" w:rsidRPr="007264C7" w:rsidRDefault="00533FE8" w:rsidP="00FF4C81">
      <w:pPr>
        <w:numPr>
          <w:ilvl w:val="0"/>
          <w:numId w:val="23"/>
        </w:numPr>
        <w:rPr>
          <w:szCs w:val="24"/>
        </w:rPr>
      </w:pPr>
      <w:r w:rsidRPr="007264C7">
        <w:rPr>
          <w:szCs w:val="24"/>
        </w:rPr>
        <w:t>Метотрексат</w:t>
      </w:r>
      <w:r w:rsidR="00392AAF">
        <w:rPr>
          <w:szCs w:val="24"/>
        </w:rPr>
        <w:t>**</w:t>
      </w:r>
      <w:r w:rsidRPr="007264C7">
        <w:rPr>
          <w:szCs w:val="24"/>
        </w:rPr>
        <w:t xml:space="preserve"> 500 мг/м</w:t>
      </w:r>
      <w:r w:rsidRPr="00D72E20">
        <w:rPr>
          <w:szCs w:val="24"/>
          <w:vertAlign w:val="superscript"/>
        </w:rPr>
        <w:t>2</w:t>
      </w:r>
      <w:r w:rsidRPr="007264C7">
        <w:rPr>
          <w:szCs w:val="24"/>
        </w:rPr>
        <w:t xml:space="preserve"> в/в, </w:t>
      </w:r>
      <w:r w:rsidR="00EC0AA3" w:rsidRPr="007264C7">
        <w:rPr>
          <w:szCs w:val="24"/>
        </w:rPr>
        <w:t>1</w:t>
      </w:r>
      <w:r w:rsidR="00EC0AA3">
        <w:rPr>
          <w:szCs w:val="24"/>
        </w:rPr>
        <w:t>-й</w:t>
      </w:r>
      <w:r w:rsidR="00EC0AA3" w:rsidRPr="007264C7">
        <w:rPr>
          <w:szCs w:val="24"/>
        </w:rPr>
        <w:t xml:space="preserve"> день </w:t>
      </w:r>
      <w:r w:rsidRPr="007264C7">
        <w:rPr>
          <w:szCs w:val="24"/>
        </w:rPr>
        <w:t>(24-часовая инфузия)</w:t>
      </w:r>
    </w:p>
    <w:p w14:paraId="2161C50A" w14:textId="77777777" w:rsidR="00533FE8" w:rsidRPr="007264C7" w:rsidRDefault="00533FE8" w:rsidP="00FF4C81">
      <w:pPr>
        <w:numPr>
          <w:ilvl w:val="0"/>
          <w:numId w:val="23"/>
        </w:numPr>
        <w:rPr>
          <w:szCs w:val="24"/>
        </w:rPr>
      </w:pPr>
      <w:r w:rsidRPr="007264C7">
        <w:rPr>
          <w:szCs w:val="24"/>
        </w:rPr>
        <w:t>Доксорубицин</w:t>
      </w:r>
      <w:r w:rsidR="00067484">
        <w:rPr>
          <w:szCs w:val="24"/>
        </w:rPr>
        <w:t>**</w:t>
      </w:r>
      <w:r w:rsidRPr="007264C7">
        <w:rPr>
          <w:szCs w:val="24"/>
        </w:rPr>
        <w:t xml:space="preserve"> 25 мг/м</w:t>
      </w:r>
      <w:r w:rsidRPr="00D72E20">
        <w:rPr>
          <w:szCs w:val="24"/>
          <w:vertAlign w:val="superscript"/>
        </w:rPr>
        <w:t>2</w:t>
      </w:r>
      <w:r w:rsidRPr="007264C7">
        <w:rPr>
          <w:szCs w:val="24"/>
        </w:rPr>
        <w:t xml:space="preserve"> в/в, </w:t>
      </w:r>
      <w:r w:rsidR="00EC0AA3">
        <w:rPr>
          <w:szCs w:val="24"/>
        </w:rPr>
        <w:t>4–</w:t>
      </w:r>
      <w:r w:rsidR="00EC0AA3" w:rsidRPr="007264C7">
        <w:rPr>
          <w:szCs w:val="24"/>
        </w:rPr>
        <w:t>5</w:t>
      </w:r>
      <w:r w:rsidR="00EC0AA3">
        <w:rPr>
          <w:szCs w:val="24"/>
        </w:rPr>
        <w:t>-й</w:t>
      </w:r>
      <w:r w:rsidR="00EC0AA3" w:rsidRPr="007264C7">
        <w:rPr>
          <w:szCs w:val="24"/>
        </w:rPr>
        <w:t xml:space="preserve"> дни</w:t>
      </w:r>
    </w:p>
    <w:p w14:paraId="3ED0E1A1" w14:textId="77777777" w:rsidR="00533FE8" w:rsidRPr="007264C7" w:rsidRDefault="00533FE8" w:rsidP="00FF4C81">
      <w:pPr>
        <w:numPr>
          <w:ilvl w:val="0"/>
          <w:numId w:val="23"/>
        </w:numPr>
        <w:rPr>
          <w:szCs w:val="24"/>
        </w:rPr>
      </w:pPr>
      <w:r w:rsidRPr="007264C7">
        <w:rPr>
          <w:szCs w:val="24"/>
        </w:rPr>
        <w:t>Метотрексат</w:t>
      </w:r>
      <w:r w:rsidR="00392AAF">
        <w:rPr>
          <w:szCs w:val="24"/>
        </w:rPr>
        <w:t>**</w:t>
      </w:r>
      <w:r w:rsidRPr="007264C7">
        <w:rPr>
          <w:szCs w:val="24"/>
        </w:rPr>
        <w:t xml:space="preserve"> 12 мг интратекально, </w:t>
      </w:r>
      <w:r w:rsidR="00EC0AA3" w:rsidRPr="007264C7">
        <w:rPr>
          <w:szCs w:val="24"/>
        </w:rPr>
        <w:t>1</w:t>
      </w:r>
      <w:r w:rsidR="00EC0AA3">
        <w:rPr>
          <w:szCs w:val="24"/>
        </w:rPr>
        <w:t>-й</w:t>
      </w:r>
      <w:r w:rsidR="00EC0AA3" w:rsidRPr="007264C7">
        <w:rPr>
          <w:szCs w:val="24"/>
        </w:rPr>
        <w:t xml:space="preserve"> день</w:t>
      </w:r>
    </w:p>
    <w:p w14:paraId="6E6CC4E3" w14:textId="77777777" w:rsidR="00533FE8" w:rsidRPr="007264C7" w:rsidRDefault="00533FE8" w:rsidP="00FF4C81">
      <w:pPr>
        <w:numPr>
          <w:ilvl w:val="0"/>
          <w:numId w:val="23"/>
        </w:numPr>
        <w:rPr>
          <w:szCs w:val="24"/>
        </w:rPr>
      </w:pPr>
      <w:r w:rsidRPr="007264C7">
        <w:rPr>
          <w:szCs w:val="24"/>
        </w:rPr>
        <w:t>Цитарабин</w:t>
      </w:r>
      <w:r w:rsidR="00421699">
        <w:rPr>
          <w:szCs w:val="24"/>
        </w:rPr>
        <w:t>**</w:t>
      </w:r>
      <w:r w:rsidRPr="007264C7">
        <w:rPr>
          <w:szCs w:val="24"/>
        </w:rPr>
        <w:t xml:space="preserve"> 30 мг интратекально, </w:t>
      </w:r>
      <w:r w:rsidR="00EC0AA3" w:rsidRPr="007264C7">
        <w:rPr>
          <w:szCs w:val="24"/>
        </w:rPr>
        <w:t>1</w:t>
      </w:r>
      <w:r w:rsidR="00EC0AA3">
        <w:rPr>
          <w:szCs w:val="24"/>
        </w:rPr>
        <w:t>-й</w:t>
      </w:r>
      <w:r w:rsidR="00EC0AA3" w:rsidRPr="007264C7">
        <w:rPr>
          <w:szCs w:val="24"/>
        </w:rPr>
        <w:t xml:space="preserve"> день</w:t>
      </w:r>
    </w:p>
    <w:p w14:paraId="5DCA2BC7" w14:textId="77777777" w:rsidR="00533FE8" w:rsidRPr="007264C7" w:rsidRDefault="00533FE8" w:rsidP="00FF4C81">
      <w:pPr>
        <w:numPr>
          <w:ilvl w:val="0"/>
          <w:numId w:val="23"/>
        </w:numPr>
        <w:rPr>
          <w:szCs w:val="24"/>
        </w:rPr>
      </w:pPr>
      <w:r>
        <w:rPr>
          <w:szCs w:val="24"/>
        </w:rPr>
        <w:t>Преднизолон</w:t>
      </w:r>
      <w:r w:rsidR="00417EEC">
        <w:rPr>
          <w:szCs w:val="24"/>
        </w:rPr>
        <w:t>**</w:t>
      </w:r>
      <w:r>
        <w:rPr>
          <w:szCs w:val="24"/>
        </w:rPr>
        <w:t xml:space="preserve"> 10 мг интратекально, </w:t>
      </w:r>
      <w:r w:rsidR="00EC0AA3" w:rsidRPr="007264C7">
        <w:rPr>
          <w:szCs w:val="24"/>
        </w:rPr>
        <w:t>1</w:t>
      </w:r>
      <w:r w:rsidR="00EC0AA3">
        <w:rPr>
          <w:szCs w:val="24"/>
        </w:rPr>
        <w:t>-й</w:t>
      </w:r>
      <w:r w:rsidR="00EC0AA3" w:rsidRPr="007264C7">
        <w:rPr>
          <w:szCs w:val="24"/>
        </w:rPr>
        <w:t xml:space="preserve"> день</w:t>
      </w:r>
    </w:p>
    <w:p w14:paraId="2FFE601D" w14:textId="77777777" w:rsidR="00533FE8" w:rsidRPr="00EC0AA3" w:rsidRDefault="00533FE8" w:rsidP="00533FE8">
      <w:pPr>
        <w:rPr>
          <w:szCs w:val="24"/>
        </w:rPr>
      </w:pPr>
      <w:r w:rsidRPr="00EC0AA3">
        <w:rPr>
          <w:b/>
          <w:szCs w:val="24"/>
        </w:rPr>
        <w:t>Блок АА</w:t>
      </w:r>
      <w:r w:rsidR="00EC0AA3" w:rsidRPr="00EC0AA3">
        <w:rPr>
          <w:b/>
          <w:szCs w:val="24"/>
        </w:rPr>
        <w:t>:</w:t>
      </w:r>
      <w:r w:rsidRPr="00EC0AA3">
        <w:rPr>
          <w:b/>
          <w:szCs w:val="24"/>
        </w:rPr>
        <w:t xml:space="preserve"> </w:t>
      </w:r>
    </w:p>
    <w:p w14:paraId="4CBA04D0" w14:textId="77777777" w:rsidR="00533FE8" w:rsidRPr="007264C7" w:rsidRDefault="00533FE8" w:rsidP="00FF4C81">
      <w:pPr>
        <w:numPr>
          <w:ilvl w:val="0"/>
          <w:numId w:val="23"/>
        </w:numPr>
        <w:rPr>
          <w:szCs w:val="24"/>
        </w:rPr>
      </w:pPr>
      <w:r>
        <w:rPr>
          <w:szCs w:val="24"/>
        </w:rPr>
        <w:t>Дексаметазон</w:t>
      </w:r>
      <w:r w:rsidR="006F5D03">
        <w:rPr>
          <w:szCs w:val="24"/>
        </w:rPr>
        <w:t>**</w:t>
      </w:r>
      <w:r w:rsidRPr="007264C7">
        <w:rPr>
          <w:szCs w:val="24"/>
        </w:rPr>
        <w:t xml:space="preserve"> 10 мг/м</w:t>
      </w:r>
      <w:r w:rsidRPr="00D72E20">
        <w:rPr>
          <w:szCs w:val="24"/>
          <w:vertAlign w:val="superscript"/>
        </w:rPr>
        <w:t>2</w:t>
      </w:r>
      <w:r w:rsidRPr="007264C7">
        <w:rPr>
          <w:szCs w:val="24"/>
        </w:rPr>
        <w:t xml:space="preserve"> в/в или внутрь, </w:t>
      </w:r>
      <w:r w:rsidR="00EC0AA3">
        <w:rPr>
          <w:szCs w:val="24"/>
        </w:rPr>
        <w:t>1–</w:t>
      </w:r>
      <w:r w:rsidR="00EC0AA3" w:rsidRPr="007264C7">
        <w:rPr>
          <w:szCs w:val="24"/>
        </w:rPr>
        <w:t>5</w:t>
      </w:r>
      <w:r w:rsidR="00EC0AA3">
        <w:rPr>
          <w:szCs w:val="24"/>
        </w:rPr>
        <w:t>-й дни</w:t>
      </w:r>
    </w:p>
    <w:p w14:paraId="175775F5" w14:textId="77777777" w:rsidR="00533FE8" w:rsidRPr="007264C7" w:rsidRDefault="00533FE8" w:rsidP="00FF4C81">
      <w:pPr>
        <w:numPr>
          <w:ilvl w:val="0"/>
          <w:numId w:val="23"/>
        </w:numPr>
        <w:rPr>
          <w:szCs w:val="24"/>
        </w:rPr>
      </w:pPr>
      <w:r w:rsidRPr="007264C7">
        <w:rPr>
          <w:szCs w:val="24"/>
        </w:rPr>
        <w:t>Ифосфамид</w:t>
      </w:r>
      <w:r w:rsidR="00986B4F" w:rsidRPr="00986B4F">
        <w:rPr>
          <w:szCs w:val="24"/>
        </w:rPr>
        <w:t>**</w:t>
      </w:r>
      <w:r w:rsidRPr="007264C7">
        <w:rPr>
          <w:szCs w:val="24"/>
        </w:rPr>
        <w:t xml:space="preserve"> 800 мг/м</w:t>
      </w:r>
      <w:r w:rsidRPr="00D72E20">
        <w:rPr>
          <w:szCs w:val="24"/>
          <w:vertAlign w:val="superscript"/>
        </w:rPr>
        <w:t>2</w:t>
      </w:r>
      <w:r w:rsidRPr="007264C7">
        <w:rPr>
          <w:szCs w:val="24"/>
        </w:rPr>
        <w:t xml:space="preserve"> в/в, </w:t>
      </w:r>
      <w:r w:rsidR="00EC0AA3">
        <w:rPr>
          <w:szCs w:val="24"/>
        </w:rPr>
        <w:t>1–</w:t>
      </w:r>
      <w:r w:rsidR="00EC0AA3" w:rsidRPr="007264C7">
        <w:rPr>
          <w:szCs w:val="24"/>
        </w:rPr>
        <w:t>5</w:t>
      </w:r>
      <w:r w:rsidR="00EC0AA3">
        <w:rPr>
          <w:szCs w:val="24"/>
        </w:rPr>
        <w:t>-й дни</w:t>
      </w:r>
    </w:p>
    <w:p w14:paraId="1154FC0B" w14:textId="77777777" w:rsidR="00533FE8" w:rsidRPr="007264C7" w:rsidRDefault="00533FE8" w:rsidP="00FF4C81">
      <w:pPr>
        <w:numPr>
          <w:ilvl w:val="0"/>
          <w:numId w:val="23"/>
        </w:numPr>
        <w:rPr>
          <w:szCs w:val="24"/>
        </w:rPr>
      </w:pPr>
      <w:r w:rsidRPr="007264C7">
        <w:rPr>
          <w:szCs w:val="24"/>
        </w:rPr>
        <w:t>Метотрексат</w:t>
      </w:r>
      <w:r w:rsidR="00392AAF">
        <w:rPr>
          <w:szCs w:val="24"/>
        </w:rPr>
        <w:t>**</w:t>
      </w:r>
      <w:r w:rsidRPr="007264C7">
        <w:rPr>
          <w:szCs w:val="24"/>
        </w:rPr>
        <w:t xml:space="preserve"> 5 г/м</w:t>
      </w:r>
      <w:r w:rsidRPr="00D72E20">
        <w:rPr>
          <w:szCs w:val="24"/>
          <w:vertAlign w:val="superscript"/>
        </w:rPr>
        <w:t>2</w:t>
      </w:r>
      <w:r w:rsidRPr="007264C7">
        <w:rPr>
          <w:szCs w:val="24"/>
        </w:rPr>
        <w:t xml:space="preserve"> в/в, </w:t>
      </w:r>
      <w:r w:rsidR="00EC0AA3" w:rsidRPr="007264C7">
        <w:rPr>
          <w:szCs w:val="24"/>
        </w:rPr>
        <w:t>1</w:t>
      </w:r>
      <w:r w:rsidR="00EC0AA3">
        <w:rPr>
          <w:szCs w:val="24"/>
        </w:rPr>
        <w:t>-й</w:t>
      </w:r>
      <w:r w:rsidR="00EC0AA3" w:rsidRPr="007264C7">
        <w:rPr>
          <w:szCs w:val="24"/>
        </w:rPr>
        <w:t xml:space="preserve"> день </w:t>
      </w:r>
      <w:r w:rsidRPr="007264C7">
        <w:rPr>
          <w:szCs w:val="24"/>
        </w:rPr>
        <w:t>(24-часовая инфузия) (</w:t>
      </w:r>
      <w:r w:rsidR="009421C4">
        <w:rPr>
          <w:szCs w:val="24"/>
        </w:rPr>
        <w:t>п</w:t>
      </w:r>
      <w:r w:rsidR="009421C4" w:rsidRPr="007264C7">
        <w:rPr>
          <w:szCs w:val="24"/>
        </w:rPr>
        <w:t xml:space="preserve">ри </w:t>
      </w:r>
      <w:r w:rsidRPr="007264C7">
        <w:rPr>
          <w:szCs w:val="24"/>
        </w:rPr>
        <w:t xml:space="preserve">лечении по протоколу </w:t>
      </w:r>
      <w:r w:rsidR="00EC0AA3">
        <w:rPr>
          <w:szCs w:val="24"/>
        </w:rPr>
        <w:t>В-НХЛ 2004 маб. –</w:t>
      </w:r>
      <w:r>
        <w:rPr>
          <w:szCs w:val="24"/>
        </w:rPr>
        <w:t xml:space="preserve"> 1 г/м</w:t>
      </w:r>
      <w:r w:rsidR="00D72E20" w:rsidRPr="00D72E20">
        <w:rPr>
          <w:szCs w:val="24"/>
          <w:vertAlign w:val="superscript"/>
        </w:rPr>
        <w:t>2</w:t>
      </w:r>
      <w:r w:rsidRPr="007264C7">
        <w:rPr>
          <w:szCs w:val="24"/>
        </w:rPr>
        <w:t>)</w:t>
      </w:r>
    </w:p>
    <w:p w14:paraId="0455E2C7" w14:textId="77777777" w:rsidR="00533FE8" w:rsidRPr="007264C7" w:rsidRDefault="00533FE8" w:rsidP="00FF4C81">
      <w:pPr>
        <w:numPr>
          <w:ilvl w:val="0"/>
          <w:numId w:val="23"/>
        </w:numPr>
        <w:rPr>
          <w:szCs w:val="24"/>
        </w:rPr>
      </w:pPr>
      <w:r w:rsidRPr="007264C7">
        <w:rPr>
          <w:szCs w:val="24"/>
        </w:rPr>
        <w:t>Винкристин</w:t>
      </w:r>
      <w:r w:rsidR="00457E7B">
        <w:rPr>
          <w:szCs w:val="24"/>
        </w:rPr>
        <w:t>**</w:t>
      </w:r>
      <w:r w:rsidRPr="007264C7">
        <w:rPr>
          <w:szCs w:val="24"/>
        </w:rPr>
        <w:t xml:space="preserve"> 1,4 мг/м</w:t>
      </w:r>
      <w:r w:rsidRPr="00D72E20">
        <w:rPr>
          <w:szCs w:val="24"/>
          <w:vertAlign w:val="superscript"/>
        </w:rPr>
        <w:t>2</w:t>
      </w:r>
      <w:r w:rsidRPr="007264C7">
        <w:rPr>
          <w:szCs w:val="24"/>
        </w:rPr>
        <w:t xml:space="preserve"> (не более 2 мг) в/в, </w:t>
      </w:r>
      <w:r w:rsidR="00EC0AA3" w:rsidRPr="007264C7">
        <w:rPr>
          <w:szCs w:val="24"/>
        </w:rPr>
        <w:t>1</w:t>
      </w:r>
      <w:r w:rsidR="00EC0AA3">
        <w:rPr>
          <w:szCs w:val="24"/>
        </w:rPr>
        <w:t>-й</w:t>
      </w:r>
      <w:r w:rsidR="00EC0AA3" w:rsidRPr="007264C7">
        <w:rPr>
          <w:szCs w:val="24"/>
        </w:rPr>
        <w:t xml:space="preserve"> день</w:t>
      </w:r>
    </w:p>
    <w:p w14:paraId="6DE9A948" w14:textId="77777777" w:rsidR="00533FE8" w:rsidRPr="007264C7" w:rsidRDefault="00533FE8" w:rsidP="00FF4C81">
      <w:pPr>
        <w:numPr>
          <w:ilvl w:val="0"/>
          <w:numId w:val="23"/>
        </w:numPr>
        <w:rPr>
          <w:szCs w:val="24"/>
        </w:rPr>
      </w:pPr>
      <w:r w:rsidRPr="007264C7">
        <w:rPr>
          <w:szCs w:val="24"/>
        </w:rPr>
        <w:t>Цитарабин</w:t>
      </w:r>
      <w:r w:rsidR="00421699">
        <w:rPr>
          <w:szCs w:val="24"/>
        </w:rPr>
        <w:t>**</w:t>
      </w:r>
      <w:r w:rsidRPr="007264C7">
        <w:rPr>
          <w:szCs w:val="24"/>
        </w:rPr>
        <w:t xml:space="preserve"> 150 мг/м</w:t>
      </w:r>
      <w:r w:rsidRPr="00D72E20">
        <w:rPr>
          <w:szCs w:val="24"/>
          <w:vertAlign w:val="superscript"/>
        </w:rPr>
        <w:t>2</w:t>
      </w:r>
      <w:r w:rsidR="00EC0AA3">
        <w:rPr>
          <w:szCs w:val="24"/>
        </w:rPr>
        <w:t xml:space="preserve"> в/в каждые 12 ч</w:t>
      </w:r>
      <w:r w:rsidRPr="007264C7">
        <w:rPr>
          <w:szCs w:val="24"/>
        </w:rPr>
        <w:t xml:space="preserve">, </w:t>
      </w:r>
      <w:r w:rsidR="00EC0AA3">
        <w:rPr>
          <w:szCs w:val="24"/>
        </w:rPr>
        <w:t>4–</w:t>
      </w:r>
      <w:r w:rsidRPr="007264C7">
        <w:rPr>
          <w:szCs w:val="24"/>
        </w:rPr>
        <w:t>5</w:t>
      </w:r>
      <w:r w:rsidR="00EC0AA3">
        <w:rPr>
          <w:szCs w:val="24"/>
        </w:rPr>
        <w:t>-й</w:t>
      </w:r>
      <w:r w:rsidRPr="007264C7">
        <w:rPr>
          <w:szCs w:val="24"/>
        </w:rPr>
        <w:t xml:space="preserve"> </w:t>
      </w:r>
      <w:r w:rsidR="00EC0AA3" w:rsidRPr="007264C7">
        <w:rPr>
          <w:szCs w:val="24"/>
        </w:rPr>
        <w:t xml:space="preserve">дни </w:t>
      </w:r>
      <w:r w:rsidRPr="007264C7">
        <w:rPr>
          <w:szCs w:val="24"/>
        </w:rPr>
        <w:t>(всего 4 введения)</w:t>
      </w:r>
    </w:p>
    <w:p w14:paraId="381029D1" w14:textId="77777777" w:rsidR="00533FE8" w:rsidRPr="007264C7" w:rsidRDefault="00533FE8" w:rsidP="00FF4C81">
      <w:pPr>
        <w:numPr>
          <w:ilvl w:val="0"/>
          <w:numId w:val="23"/>
        </w:numPr>
        <w:rPr>
          <w:szCs w:val="24"/>
        </w:rPr>
      </w:pPr>
      <w:r w:rsidRPr="007264C7">
        <w:rPr>
          <w:szCs w:val="24"/>
        </w:rPr>
        <w:t>Этопозид</w:t>
      </w:r>
      <w:r w:rsidR="00113194" w:rsidRPr="00113194">
        <w:rPr>
          <w:szCs w:val="24"/>
        </w:rPr>
        <w:t>**</w:t>
      </w:r>
      <w:r w:rsidRPr="007264C7">
        <w:rPr>
          <w:szCs w:val="24"/>
        </w:rPr>
        <w:t xml:space="preserve"> 100 мг/м</w:t>
      </w:r>
      <w:r w:rsidRPr="00D72E20">
        <w:rPr>
          <w:szCs w:val="24"/>
          <w:vertAlign w:val="superscript"/>
        </w:rPr>
        <w:t>2</w:t>
      </w:r>
      <w:r w:rsidRPr="007264C7">
        <w:rPr>
          <w:szCs w:val="24"/>
        </w:rPr>
        <w:t xml:space="preserve"> в/в, </w:t>
      </w:r>
      <w:r w:rsidR="00EC0AA3">
        <w:rPr>
          <w:szCs w:val="24"/>
        </w:rPr>
        <w:t>4–</w:t>
      </w:r>
      <w:r w:rsidR="00EC0AA3" w:rsidRPr="007264C7">
        <w:rPr>
          <w:szCs w:val="24"/>
        </w:rPr>
        <w:t>5</w:t>
      </w:r>
      <w:r w:rsidR="00EC0AA3">
        <w:rPr>
          <w:szCs w:val="24"/>
        </w:rPr>
        <w:t>-й</w:t>
      </w:r>
      <w:r w:rsidR="00EC0AA3" w:rsidRPr="007264C7">
        <w:rPr>
          <w:szCs w:val="24"/>
        </w:rPr>
        <w:t xml:space="preserve"> дни</w:t>
      </w:r>
    </w:p>
    <w:p w14:paraId="5F20F7BD" w14:textId="01EDD6D8" w:rsidR="00533FE8" w:rsidRPr="007264C7" w:rsidRDefault="00533FE8" w:rsidP="00FF4C81">
      <w:pPr>
        <w:numPr>
          <w:ilvl w:val="0"/>
          <w:numId w:val="23"/>
        </w:numPr>
        <w:rPr>
          <w:szCs w:val="24"/>
        </w:rPr>
      </w:pPr>
      <w:r w:rsidRPr="007264C7">
        <w:rPr>
          <w:szCs w:val="24"/>
        </w:rPr>
        <w:t>Метотрексат</w:t>
      </w:r>
      <w:r w:rsidR="00392AAF">
        <w:rPr>
          <w:szCs w:val="24"/>
        </w:rPr>
        <w:t>**</w:t>
      </w:r>
      <w:r w:rsidRPr="007264C7">
        <w:rPr>
          <w:szCs w:val="24"/>
        </w:rPr>
        <w:t xml:space="preserve"> 6 мг интратекально, </w:t>
      </w:r>
      <w:r w:rsidR="00EC0AA3">
        <w:rPr>
          <w:szCs w:val="24"/>
        </w:rPr>
        <w:t>1</w:t>
      </w:r>
      <w:r w:rsidR="00B65CEB">
        <w:rPr>
          <w:szCs w:val="24"/>
        </w:rPr>
        <w:t xml:space="preserve">й, </w:t>
      </w:r>
      <w:r w:rsidR="00EC0AA3" w:rsidRPr="007264C7">
        <w:rPr>
          <w:szCs w:val="24"/>
        </w:rPr>
        <w:t>5</w:t>
      </w:r>
      <w:r w:rsidR="00EC0AA3">
        <w:rPr>
          <w:szCs w:val="24"/>
        </w:rPr>
        <w:t>-й дни</w:t>
      </w:r>
    </w:p>
    <w:p w14:paraId="0ECCEC13" w14:textId="1C57D9EA" w:rsidR="00533FE8" w:rsidRPr="007264C7" w:rsidRDefault="00533FE8" w:rsidP="00FF4C81">
      <w:pPr>
        <w:numPr>
          <w:ilvl w:val="0"/>
          <w:numId w:val="23"/>
        </w:numPr>
        <w:rPr>
          <w:szCs w:val="24"/>
        </w:rPr>
      </w:pPr>
      <w:r w:rsidRPr="007264C7">
        <w:rPr>
          <w:szCs w:val="24"/>
        </w:rPr>
        <w:t>Цитарабин</w:t>
      </w:r>
      <w:r w:rsidR="00421699">
        <w:rPr>
          <w:szCs w:val="24"/>
        </w:rPr>
        <w:t>**</w:t>
      </w:r>
      <w:r w:rsidRPr="007264C7">
        <w:rPr>
          <w:szCs w:val="24"/>
        </w:rPr>
        <w:t xml:space="preserve"> 15 мг интратекально, </w:t>
      </w:r>
      <w:r w:rsidR="00B65CEB">
        <w:rPr>
          <w:szCs w:val="24"/>
        </w:rPr>
        <w:t xml:space="preserve">1й, </w:t>
      </w:r>
      <w:r w:rsidR="00EC0AA3" w:rsidRPr="007264C7">
        <w:rPr>
          <w:szCs w:val="24"/>
        </w:rPr>
        <w:t>5</w:t>
      </w:r>
      <w:r w:rsidR="00EC0AA3">
        <w:rPr>
          <w:szCs w:val="24"/>
        </w:rPr>
        <w:t>-й дни</w:t>
      </w:r>
    </w:p>
    <w:p w14:paraId="66894348" w14:textId="714F9763" w:rsidR="00533FE8" w:rsidRPr="007264C7" w:rsidRDefault="00533FE8" w:rsidP="00FF4C81">
      <w:pPr>
        <w:numPr>
          <w:ilvl w:val="0"/>
          <w:numId w:val="23"/>
        </w:numPr>
        <w:rPr>
          <w:szCs w:val="24"/>
        </w:rPr>
      </w:pPr>
      <w:r>
        <w:rPr>
          <w:szCs w:val="24"/>
        </w:rPr>
        <w:t>Преднизолон</w:t>
      </w:r>
      <w:r w:rsidR="00417EEC">
        <w:rPr>
          <w:szCs w:val="24"/>
        </w:rPr>
        <w:t>**</w:t>
      </w:r>
      <w:r>
        <w:rPr>
          <w:szCs w:val="24"/>
        </w:rPr>
        <w:t xml:space="preserve"> 5 мг интратекально, </w:t>
      </w:r>
      <w:r w:rsidR="00B65CEB">
        <w:rPr>
          <w:szCs w:val="24"/>
        </w:rPr>
        <w:t xml:space="preserve">1й, </w:t>
      </w:r>
      <w:r w:rsidR="00EC0AA3" w:rsidRPr="007264C7">
        <w:rPr>
          <w:szCs w:val="24"/>
        </w:rPr>
        <w:t>5</w:t>
      </w:r>
      <w:r w:rsidR="00EC0AA3">
        <w:rPr>
          <w:szCs w:val="24"/>
        </w:rPr>
        <w:t>-й дни</w:t>
      </w:r>
    </w:p>
    <w:p w14:paraId="3AE70BB4" w14:textId="77777777" w:rsidR="00533FE8" w:rsidRPr="00EC0AA3" w:rsidRDefault="00533FE8" w:rsidP="00533FE8">
      <w:pPr>
        <w:rPr>
          <w:szCs w:val="24"/>
        </w:rPr>
      </w:pPr>
      <w:r w:rsidRPr="00EC0AA3">
        <w:rPr>
          <w:b/>
          <w:szCs w:val="24"/>
        </w:rPr>
        <w:t>Блок ВВ</w:t>
      </w:r>
      <w:r w:rsidR="00EC0AA3" w:rsidRPr="00EC0AA3">
        <w:rPr>
          <w:b/>
          <w:szCs w:val="24"/>
        </w:rPr>
        <w:t>:</w:t>
      </w:r>
      <w:r w:rsidRPr="00EC0AA3">
        <w:rPr>
          <w:b/>
          <w:szCs w:val="24"/>
        </w:rPr>
        <w:t xml:space="preserve"> </w:t>
      </w:r>
    </w:p>
    <w:p w14:paraId="4CB8DD78" w14:textId="77777777" w:rsidR="00533FE8" w:rsidRPr="007264C7" w:rsidRDefault="00533FE8" w:rsidP="00FF4C81">
      <w:pPr>
        <w:numPr>
          <w:ilvl w:val="0"/>
          <w:numId w:val="23"/>
        </w:numPr>
        <w:rPr>
          <w:szCs w:val="24"/>
        </w:rPr>
      </w:pPr>
      <w:r>
        <w:rPr>
          <w:szCs w:val="24"/>
        </w:rPr>
        <w:t>Дексаметазон</w:t>
      </w:r>
      <w:r w:rsidR="006F5D03">
        <w:rPr>
          <w:szCs w:val="24"/>
        </w:rPr>
        <w:t>**</w:t>
      </w:r>
      <w:r w:rsidRPr="007264C7">
        <w:rPr>
          <w:szCs w:val="24"/>
        </w:rPr>
        <w:t xml:space="preserve"> 10 мг/м</w:t>
      </w:r>
      <w:r w:rsidRPr="00D72E20">
        <w:rPr>
          <w:szCs w:val="24"/>
          <w:vertAlign w:val="superscript"/>
        </w:rPr>
        <w:t>2</w:t>
      </w:r>
      <w:r w:rsidRPr="007264C7">
        <w:rPr>
          <w:szCs w:val="24"/>
        </w:rPr>
        <w:t xml:space="preserve"> в/в или внутрь, </w:t>
      </w:r>
      <w:r w:rsidR="00EC0AA3">
        <w:rPr>
          <w:szCs w:val="24"/>
        </w:rPr>
        <w:t>1–</w:t>
      </w:r>
      <w:r w:rsidR="00EC0AA3" w:rsidRPr="007264C7">
        <w:rPr>
          <w:szCs w:val="24"/>
        </w:rPr>
        <w:t>5</w:t>
      </w:r>
      <w:r w:rsidR="00EC0AA3">
        <w:rPr>
          <w:szCs w:val="24"/>
        </w:rPr>
        <w:t>-й дни</w:t>
      </w:r>
    </w:p>
    <w:p w14:paraId="6B151FB4" w14:textId="77777777" w:rsidR="00533FE8" w:rsidRPr="007264C7" w:rsidRDefault="00533FE8" w:rsidP="00FF4C81">
      <w:pPr>
        <w:numPr>
          <w:ilvl w:val="0"/>
          <w:numId w:val="23"/>
        </w:numPr>
        <w:rPr>
          <w:szCs w:val="24"/>
        </w:rPr>
      </w:pPr>
      <w:r w:rsidRPr="007264C7">
        <w:rPr>
          <w:szCs w:val="24"/>
        </w:rPr>
        <w:lastRenderedPageBreak/>
        <w:t>Циклофосфамид</w:t>
      </w:r>
      <w:r w:rsidR="004C2C6A">
        <w:rPr>
          <w:szCs w:val="24"/>
        </w:rPr>
        <w:t>**</w:t>
      </w:r>
      <w:r w:rsidRPr="007264C7">
        <w:rPr>
          <w:szCs w:val="24"/>
        </w:rPr>
        <w:t xml:space="preserve"> 200 мг/м</w:t>
      </w:r>
      <w:r w:rsidRPr="00D72E20">
        <w:rPr>
          <w:szCs w:val="24"/>
          <w:vertAlign w:val="superscript"/>
        </w:rPr>
        <w:t>2</w:t>
      </w:r>
      <w:r w:rsidRPr="007264C7">
        <w:rPr>
          <w:szCs w:val="24"/>
        </w:rPr>
        <w:t xml:space="preserve"> в/в, </w:t>
      </w:r>
      <w:r w:rsidR="00EC0AA3">
        <w:rPr>
          <w:szCs w:val="24"/>
        </w:rPr>
        <w:t>1–</w:t>
      </w:r>
      <w:r w:rsidR="00EC0AA3" w:rsidRPr="007264C7">
        <w:rPr>
          <w:szCs w:val="24"/>
        </w:rPr>
        <w:t>5</w:t>
      </w:r>
      <w:r w:rsidR="00EC0AA3">
        <w:rPr>
          <w:szCs w:val="24"/>
        </w:rPr>
        <w:t>-й дни</w:t>
      </w:r>
    </w:p>
    <w:p w14:paraId="246E37CD" w14:textId="77777777" w:rsidR="00533FE8" w:rsidRPr="007264C7" w:rsidRDefault="00533FE8" w:rsidP="00FF4C81">
      <w:pPr>
        <w:numPr>
          <w:ilvl w:val="0"/>
          <w:numId w:val="23"/>
        </w:numPr>
        <w:rPr>
          <w:szCs w:val="24"/>
        </w:rPr>
      </w:pPr>
      <w:r w:rsidRPr="007264C7">
        <w:rPr>
          <w:szCs w:val="24"/>
        </w:rPr>
        <w:t>Метотрексат</w:t>
      </w:r>
      <w:r w:rsidR="00392AAF">
        <w:rPr>
          <w:szCs w:val="24"/>
        </w:rPr>
        <w:t>**</w:t>
      </w:r>
      <w:r w:rsidRPr="007264C7">
        <w:rPr>
          <w:szCs w:val="24"/>
        </w:rPr>
        <w:t xml:space="preserve"> 5 г/м</w:t>
      </w:r>
      <w:r w:rsidRPr="00D72E20">
        <w:rPr>
          <w:szCs w:val="24"/>
          <w:vertAlign w:val="superscript"/>
        </w:rPr>
        <w:t>2</w:t>
      </w:r>
      <w:r w:rsidRPr="007264C7">
        <w:rPr>
          <w:szCs w:val="24"/>
        </w:rPr>
        <w:t xml:space="preserve"> в/в, </w:t>
      </w:r>
      <w:r w:rsidR="00EC0AA3" w:rsidRPr="007264C7">
        <w:rPr>
          <w:szCs w:val="24"/>
        </w:rPr>
        <w:t>1</w:t>
      </w:r>
      <w:r w:rsidR="00EC0AA3">
        <w:rPr>
          <w:szCs w:val="24"/>
        </w:rPr>
        <w:t>-й</w:t>
      </w:r>
      <w:r w:rsidR="00EC0AA3" w:rsidRPr="007264C7">
        <w:rPr>
          <w:szCs w:val="24"/>
        </w:rPr>
        <w:t xml:space="preserve"> день </w:t>
      </w:r>
      <w:r w:rsidRPr="007264C7">
        <w:rPr>
          <w:szCs w:val="24"/>
        </w:rPr>
        <w:t>(24-часовая инфузия) (</w:t>
      </w:r>
      <w:r w:rsidR="009421C4">
        <w:rPr>
          <w:szCs w:val="24"/>
        </w:rPr>
        <w:t>п</w:t>
      </w:r>
      <w:r w:rsidR="009421C4" w:rsidRPr="007264C7">
        <w:rPr>
          <w:szCs w:val="24"/>
        </w:rPr>
        <w:t xml:space="preserve">ри </w:t>
      </w:r>
      <w:r w:rsidRPr="007264C7">
        <w:rPr>
          <w:szCs w:val="24"/>
        </w:rPr>
        <w:t>лечении по прот</w:t>
      </w:r>
      <w:r w:rsidR="00EC0AA3">
        <w:rPr>
          <w:szCs w:val="24"/>
        </w:rPr>
        <w:t>околу В-НХЛ 2004 маб. – 1 г/м</w:t>
      </w:r>
      <w:r w:rsidRPr="00EC0AA3">
        <w:rPr>
          <w:szCs w:val="24"/>
          <w:vertAlign w:val="superscript"/>
        </w:rPr>
        <w:t>2</w:t>
      </w:r>
      <w:r w:rsidRPr="009E1A84">
        <w:rPr>
          <w:szCs w:val="24"/>
        </w:rPr>
        <w:t>)</w:t>
      </w:r>
    </w:p>
    <w:p w14:paraId="335F6D3E" w14:textId="77777777" w:rsidR="00533FE8" w:rsidRPr="007264C7" w:rsidRDefault="00533FE8" w:rsidP="00FF4C81">
      <w:pPr>
        <w:numPr>
          <w:ilvl w:val="0"/>
          <w:numId w:val="23"/>
        </w:numPr>
        <w:rPr>
          <w:szCs w:val="24"/>
        </w:rPr>
      </w:pPr>
      <w:r w:rsidRPr="007264C7">
        <w:rPr>
          <w:szCs w:val="24"/>
        </w:rPr>
        <w:t>Винкристин</w:t>
      </w:r>
      <w:r w:rsidR="00457E7B">
        <w:rPr>
          <w:szCs w:val="24"/>
        </w:rPr>
        <w:t>**</w:t>
      </w:r>
      <w:r w:rsidRPr="007264C7">
        <w:rPr>
          <w:szCs w:val="24"/>
        </w:rPr>
        <w:t xml:space="preserve"> 1,4 мг/м</w:t>
      </w:r>
      <w:r w:rsidRPr="00D72E20">
        <w:rPr>
          <w:szCs w:val="24"/>
          <w:vertAlign w:val="superscript"/>
        </w:rPr>
        <w:t>2</w:t>
      </w:r>
      <w:r w:rsidRPr="007264C7">
        <w:rPr>
          <w:szCs w:val="24"/>
        </w:rPr>
        <w:t xml:space="preserve"> (не более 2 мг) в/в, </w:t>
      </w:r>
      <w:r w:rsidR="00EC0AA3" w:rsidRPr="007264C7">
        <w:rPr>
          <w:szCs w:val="24"/>
        </w:rPr>
        <w:t>1</w:t>
      </w:r>
      <w:r w:rsidR="00EC0AA3">
        <w:rPr>
          <w:szCs w:val="24"/>
        </w:rPr>
        <w:t>-й</w:t>
      </w:r>
      <w:r w:rsidR="00EC0AA3" w:rsidRPr="007264C7">
        <w:rPr>
          <w:szCs w:val="24"/>
        </w:rPr>
        <w:t xml:space="preserve"> день</w:t>
      </w:r>
    </w:p>
    <w:p w14:paraId="6EEEBF15" w14:textId="77777777" w:rsidR="00533FE8" w:rsidRPr="007264C7" w:rsidRDefault="00533FE8" w:rsidP="00FF4C81">
      <w:pPr>
        <w:numPr>
          <w:ilvl w:val="0"/>
          <w:numId w:val="23"/>
        </w:numPr>
        <w:rPr>
          <w:szCs w:val="24"/>
        </w:rPr>
      </w:pPr>
      <w:r w:rsidRPr="007264C7">
        <w:rPr>
          <w:szCs w:val="24"/>
        </w:rPr>
        <w:t>Доксорубицин</w:t>
      </w:r>
      <w:r w:rsidR="00067484">
        <w:rPr>
          <w:szCs w:val="24"/>
        </w:rPr>
        <w:t>**</w:t>
      </w:r>
      <w:r w:rsidRPr="007264C7">
        <w:rPr>
          <w:szCs w:val="24"/>
        </w:rPr>
        <w:t xml:space="preserve"> 25 мг/м</w:t>
      </w:r>
      <w:r w:rsidRPr="00D72E20">
        <w:rPr>
          <w:szCs w:val="24"/>
          <w:vertAlign w:val="superscript"/>
        </w:rPr>
        <w:t>2</w:t>
      </w:r>
      <w:r w:rsidRPr="007264C7">
        <w:rPr>
          <w:szCs w:val="24"/>
        </w:rPr>
        <w:t xml:space="preserve"> в/в, </w:t>
      </w:r>
      <w:r w:rsidR="00EC0AA3">
        <w:rPr>
          <w:szCs w:val="24"/>
        </w:rPr>
        <w:t>4–</w:t>
      </w:r>
      <w:r w:rsidR="00EC0AA3" w:rsidRPr="007264C7">
        <w:rPr>
          <w:szCs w:val="24"/>
        </w:rPr>
        <w:t>5</w:t>
      </w:r>
      <w:r w:rsidR="00EC0AA3">
        <w:rPr>
          <w:szCs w:val="24"/>
        </w:rPr>
        <w:t>-й</w:t>
      </w:r>
      <w:r w:rsidR="00EC0AA3" w:rsidRPr="007264C7">
        <w:rPr>
          <w:szCs w:val="24"/>
        </w:rPr>
        <w:t xml:space="preserve"> дни</w:t>
      </w:r>
    </w:p>
    <w:p w14:paraId="5825877B" w14:textId="156F9659" w:rsidR="00533FE8" w:rsidRPr="007264C7" w:rsidRDefault="00533FE8" w:rsidP="00FF4C81">
      <w:pPr>
        <w:numPr>
          <w:ilvl w:val="0"/>
          <w:numId w:val="23"/>
        </w:numPr>
        <w:rPr>
          <w:szCs w:val="24"/>
        </w:rPr>
      </w:pPr>
      <w:r w:rsidRPr="007264C7">
        <w:rPr>
          <w:szCs w:val="24"/>
        </w:rPr>
        <w:t>Метотрексат</w:t>
      </w:r>
      <w:r w:rsidR="00392AAF">
        <w:rPr>
          <w:szCs w:val="24"/>
        </w:rPr>
        <w:t>**</w:t>
      </w:r>
      <w:r w:rsidRPr="007264C7">
        <w:rPr>
          <w:szCs w:val="24"/>
        </w:rPr>
        <w:t xml:space="preserve"> 6 мг интратекально, </w:t>
      </w:r>
      <w:r w:rsidR="00B65CEB">
        <w:rPr>
          <w:szCs w:val="24"/>
        </w:rPr>
        <w:t xml:space="preserve">1й, </w:t>
      </w:r>
      <w:r w:rsidR="00EC0AA3" w:rsidRPr="007264C7">
        <w:rPr>
          <w:szCs w:val="24"/>
        </w:rPr>
        <w:t>5</w:t>
      </w:r>
      <w:r w:rsidR="00EC0AA3">
        <w:rPr>
          <w:szCs w:val="24"/>
        </w:rPr>
        <w:t>-й дни</w:t>
      </w:r>
    </w:p>
    <w:p w14:paraId="32CB6774" w14:textId="74E77EAA" w:rsidR="00533FE8" w:rsidRPr="007264C7" w:rsidRDefault="00533FE8" w:rsidP="00FF4C81">
      <w:pPr>
        <w:numPr>
          <w:ilvl w:val="0"/>
          <w:numId w:val="23"/>
        </w:numPr>
        <w:rPr>
          <w:szCs w:val="24"/>
        </w:rPr>
      </w:pPr>
      <w:r w:rsidRPr="007264C7">
        <w:rPr>
          <w:szCs w:val="24"/>
        </w:rPr>
        <w:t>Цитарабин</w:t>
      </w:r>
      <w:r w:rsidR="00421699">
        <w:rPr>
          <w:szCs w:val="24"/>
        </w:rPr>
        <w:t>**</w:t>
      </w:r>
      <w:r w:rsidRPr="007264C7">
        <w:rPr>
          <w:szCs w:val="24"/>
        </w:rPr>
        <w:t xml:space="preserve"> 15 мг интратекально, </w:t>
      </w:r>
      <w:r w:rsidR="00B65CEB">
        <w:rPr>
          <w:szCs w:val="24"/>
        </w:rPr>
        <w:t xml:space="preserve">1й, </w:t>
      </w:r>
      <w:r w:rsidR="00EC0AA3" w:rsidRPr="007264C7">
        <w:rPr>
          <w:szCs w:val="24"/>
        </w:rPr>
        <w:t>5</w:t>
      </w:r>
      <w:r w:rsidR="00EC0AA3">
        <w:rPr>
          <w:szCs w:val="24"/>
        </w:rPr>
        <w:t>-й дни</w:t>
      </w:r>
    </w:p>
    <w:p w14:paraId="404CAAF3" w14:textId="6FF331A5" w:rsidR="00533FE8" w:rsidRPr="007264C7" w:rsidRDefault="00533FE8" w:rsidP="00FF4C81">
      <w:pPr>
        <w:numPr>
          <w:ilvl w:val="0"/>
          <w:numId w:val="23"/>
        </w:numPr>
        <w:rPr>
          <w:szCs w:val="24"/>
        </w:rPr>
      </w:pPr>
      <w:r>
        <w:rPr>
          <w:szCs w:val="24"/>
        </w:rPr>
        <w:t>Преднизолон</w:t>
      </w:r>
      <w:r w:rsidR="00417EEC">
        <w:rPr>
          <w:szCs w:val="24"/>
        </w:rPr>
        <w:t>**</w:t>
      </w:r>
      <w:r>
        <w:rPr>
          <w:szCs w:val="24"/>
        </w:rPr>
        <w:t xml:space="preserve"> 5 мг интратекально, </w:t>
      </w:r>
      <w:r w:rsidR="00B65CEB">
        <w:rPr>
          <w:szCs w:val="24"/>
        </w:rPr>
        <w:t xml:space="preserve">1й, </w:t>
      </w:r>
      <w:r w:rsidR="00EC0AA3" w:rsidRPr="007264C7">
        <w:rPr>
          <w:szCs w:val="24"/>
        </w:rPr>
        <w:t>5</w:t>
      </w:r>
      <w:r w:rsidR="00EC0AA3">
        <w:rPr>
          <w:szCs w:val="24"/>
        </w:rPr>
        <w:t>-й дни</w:t>
      </w:r>
    </w:p>
    <w:p w14:paraId="58471600" w14:textId="77777777" w:rsidR="00533FE8" w:rsidRPr="00EC0AA3" w:rsidRDefault="00533FE8" w:rsidP="00533FE8">
      <w:pPr>
        <w:rPr>
          <w:szCs w:val="24"/>
        </w:rPr>
      </w:pPr>
      <w:r w:rsidRPr="00EC0AA3">
        <w:rPr>
          <w:b/>
          <w:szCs w:val="24"/>
        </w:rPr>
        <w:t>Блок СС</w:t>
      </w:r>
      <w:r w:rsidR="00EC0AA3" w:rsidRPr="00EC0AA3">
        <w:rPr>
          <w:b/>
          <w:szCs w:val="24"/>
        </w:rPr>
        <w:t>:</w:t>
      </w:r>
      <w:r w:rsidRPr="00EC0AA3">
        <w:rPr>
          <w:szCs w:val="24"/>
        </w:rPr>
        <w:t xml:space="preserve"> </w:t>
      </w:r>
    </w:p>
    <w:p w14:paraId="3A23E327" w14:textId="77777777" w:rsidR="00533FE8" w:rsidRPr="007264C7" w:rsidRDefault="00533FE8" w:rsidP="00FF4C81">
      <w:pPr>
        <w:numPr>
          <w:ilvl w:val="0"/>
          <w:numId w:val="23"/>
        </w:numPr>
        <w:rPr>
          <w:szCs w:val="24"/>
        </w:rPr>
      </w:pPr>
      <w:r w:rsidRPr="007264C7">
        <w:rPr>
          <w:szCs w:val="24"/>
        </w:rPr>
        <w:t>Дексаметаз</w:t>
      </w:r>
      <w:r>
        <w:rPr>
          <w:szCs w:val="24"/>
        </w:rPr>
        <w:t>он</w:t>
      </w:r>
      <w:r w:rsidR="006F5D03">
        <w:rPr>
          <w:szCs w:val="24"/>
        </w:rPr>
        <w:t>**</w:t>
      </w:r>
      <w:r w:rsidRPr="007264C7">
        <w:rPr>
          <w:szCs w:val="24"/>
        </w:rPr>
        <w:t xml:space="preserve"> 20 мг/м</w:t>
      </w:r>
      <w:r w:rsidRPr="005004D7">
        <w:rPr>
          <w:szCs w:val="24"/>
          <w:vertAlign w:val="superscript"/>
        </w:rPr>
        <w:t>2</w:t>
      </w:r>
      <w:r w:rsidRPr="007264C7">
        <w:rPr>
          <w:szCs w:val="24"/>
        </w:rPr>
        <w:t xml:space="preserve"> в/в или внутрь, </w:t>
      </w:r>
      <w:r w:rsidR="00EC0AA3">
        <w:rPr>
          <w:szCs w:val="24"/>
        </w:rPr>
        <w:t>1–</w:t>
      </w:r>
      <w:r w:rsidR="00EC0AA3" w:rsidRPr="007264C7">
        <w:rPr>
          <w:szCs w:val="24"/>
        </w:rPr>
        <w:t>5</w:t>
      </w:r>
      <w:r w:rsidR="00EC0AA3">
        <w:rPr>
          <w:szCs w:val="24"/>
        </w:rPr>
        <w:t>-й дни</w:t>
      </w:r>
    </w:p>
    <w:p w14:paraId="0DCE3141" w14:textId="77777777" w:rsidR="00533FE8" w:rsidRPr="007264C7" w:rsidRDefault="00533FE8" w:rsidP="00FF4C81">
      <w:pPr>
        <w:numPr>
          <w:ilvl w:val="0"/>
          <w:numId w:val="23"/>
        </w:numPr>
        <w:rPr>
          <w:szCs w:val="24"/>
        </w:rPr>
      </w:pPr>
      <w:r w:rsidRPr="007264C7">
        <w:rPr>
          <w:szCs w:val="24"/>
        </w:rPr>
        <w:t>В</w:t>
      </w:r>
      <w:r w:rsidR="00982DD0">
        <w:rPr>
          <w:szCs w:val="24"/>
        </w:rPr>
        <w:t>инкристин** 1</w:t>
      </w:r>
      <w:r w:rsidRPr="007264C7">
        <w:rPr>
          <w:szCs w:val="24"/>
        </w:rPr>
        <w:t xml:space="preserve"> мг/м</w:t>
      </w:r>
      <w:r w:rsidRPr="005004D7">
        <w:rPr>
          <w:szCs w:val="24"/>
          <w:vertAlign w:val="superscript"/>
        </w:rPr>
        <w:t>2</w:t>
      </w:r>
      <w:r w:rsidR="00982DD0">
        <w:rPr>
          <w:szCs w:val="24"/>
        </w:rPr>
        <w:t xml:space="preserve"> (не более 2</w:t>
      </w:r>
      <w:r w:rsidRPr="007264C7">
        <w:rPr>
          <w:szCs w:val="24"/>
        </w:rPr>
        <w:t xml:space="preserve"> мг) в/в, </w:t>
      </w:r>
      <w:r w:rsidR="00EC0AA3" w:rsidRPr="007264C7">
        <w:rPr>
          <w:szCs w:val="24"/>
        </w:rPr>
        <w:t>1</w:t>
      </w:r>
      <w:r w:rsidR="00EC0AA3">
        <w:rPr>
          <w:szCs w:val="24"/>
        </w:rPr>
        <w:t>-й</w:t>
      </w:r>
      <w:r w:rsidR="00EC0AA3" w:rsidRPr="007264C7">
        <w:rPr>
          <w:szCs w:val="24"/>
        </w:rPr>
        <w:t xml:space="preserve"> день</w:t>
      </w:r>
    </w:p>
    <w:p w14:paraId="3A44352C" w14:textId="77777777" w:rsidR="00533FE8" w:rsidRPr="007264C7" w:rsidRDefault="00533FE8" w:rsidP="00FF4C81">
      <w:pPr>
        <w:numPr>
          <w:ilvl w:val="0"/>
          <w:numId w:val="23"/>
        </w:numPr>
        <w:rPr>
          <w:szCs w:val="24"/>
        </w:rPr>
      </w:pPr>
      <w:r w:rsidRPr="007264C7">
        <w:rPr>
          <w:szCs w:val="24"/>
        </w:rPr>
        <w:t>Цитарабин</w:t>
      </w:r>
      <w:r w:rsidR="00421699">
        <w:rPr>
          <w:szCs w:val="24"/>
        </w:rPr>
        <w:t>**</w:t>
      </w:r>
      <w:r w:rsidRPr="007264C7">
        <w:rPr>
          <w:szCs w:val="24"/>
        </w:rPr>
        <w:t xml:space="preserve"> 2 г/м</w:t>
      </w:r>
      <w:r w:rsidRPr="005004D7">
        <w:rPr>
          <w:szCs w:val="24"/>
          <w:vertAlign w:val="superscript"/>
        </w:rPr>
        <w:t>2</w:t>
      </w:r>
      <w:r w:rsidRPr="007264C7">
        <w:rPr>
          <w:szCs w:val="24"/>
        </w:rPr>
        <w:t xml:space="preserve"> в/в каждые 12</w:t>
      </w:r>
      <w:r w:rsidR="00661530">
        <w:rPr>
          <w:szCs w:val="24"/>
        </w:rPr>
        <w:t xml:space="preserve"> ч</w:t>
      </w:r>
      <w:r w:rsidRPr="007264C7">
        <w:rPr>
          <w:szCs w:val="24"/>
        </w:rPr>
        <w:t xml:space="preserve">, </w:t>
      </w:r>
      <w:r w:rsidR="00661530">
        <w:rPr>
          <w:szCs w:val="24"/>
        </w:rPr>
        <w:t>1–</w:t>
      </w:r>
      <w:r w:rsidRPr="007264C7">
        <w:rPr>
          <w:szCs w:val="24"/>
        </w:rPr>
        <w:t>2</w:t>
      </w:r>
      <w:r w:rsidR="00661530">
        <w:rPr>
          <w:szCs w:val="24"/>
        </w:rPr>
        <w:t>-й</w:t>
      </w:r>
      <w:r w:rsidRPr="007264C7">
        <w:rPr>
          <w:szCs w:val="24"/>
        </w:rPr>
        <w:t xml:space="preserve"> </w:t>
      </w:r>
      <w:r w:rsidR="00661530" w:rsidRPr="007264C7">
        <w:rPr>
          <w:szCs w:val="24"/>
        </w:rPr>
        <w:t xml:space="preserve">дни </w:t>
      </w:r>
      <w:r w:rsidRPr="007264C7">
        <w:rPr>
          <w:szCs w:val="24"/>
        </w:rPr>
        <w:t>(всего 4 введения)</w:t>
      </w:r>
    </w:p>
    <w:p w14:paraId="65B8B96A" w14:textId="77777777" w:rsidR="00533FE8" w:rsidRPr="007264C7" w:rsidRDefault="00533FE8" w:rsidP="00FF4C81">
      <w:pPr>
        <w:numPr>
          <w:ilvl w:val="0"/>
          <w:numId w:val="23"/>
        </w:numPr>
        <w:rPr>
          <w:szCs w:val="24"/>
        </w:rPr>
      </w:pPr>
      <w:r w:rsidRPr="007264C7">
        <w:rPr>
          <w:szCs w:val="24"/>
        </w:rPr>
        <w:t>Этопозид</w:t>
      </w:r>
      <w:r w:rsidR="00113194" w:rsidRPr="00113194">
        <w:rPr>
          <w:szCs w:val="24"/>
        </w:rPr>
        <w:t>**</w:t>
      </w:r>
      <w:r w:rsidRPr="007264C7">
        <w:rPr>
          <w:szCs w:val="24"/>
        </w:rPr>
        <w:t xml:space="preserve"> 150 мг/м</w:t>
      </w:r>
      <w:r w:rsidRPr="005004D7">
        <w:rPr>
          <w:szCs w:val="24"/>
          <w:vertAlign w:val="superscript"/>
        </w:rPr>
        <w:t>2</w:t>
      </w:r>
      <w:r w:rsidRPr="007264C7">
        <w:rPr>
          <w:szCs w:val="24"/>
        </w:rPr>
        <w:t xml:space="preserve"> в/в, </w:t>
      </w:r>
      <w:r w:rsidR="00661530">
        <w:rPr>
          <w:szCs w:val="24"/>
        </w:rPr>
        <w:t>3–</w:t>
      </w:r>
      <w:r w:rsidRPr="007264C7">
        <w:rPr>
          <w:szCs w:val="24"/>
        </w:rPr>
        <w:t>5</w:t>
      </w:r>
      <w:r w:rsidR="00661530">
        <w:rPr>
          <w:szCs w:val="24"/>
        </w:rPr>
        <w:t>-й</w:t>
      </w:r>
      <w:r w:rsidR="00661530" w:rsidRPr="00661530">
        <w:rPr>
          <w:szCs w:val="24"/>
        </w:rPr>
        <w:t xml:space="preserve"> </w:t>
      </w:r>
      <w:r w:rsidR="00661530" w:rsidRPr="007264C7">
        <w:rPr>
          <w:szCs w:val="24"/>
        </w:rPr>
        <w:t>дни</w:t>
      </w:r>
    </w:p>
    <w:p w14:paraId="7AAE0EF1" w14:textId="77777777" w:rsidR="00533FE8" w:rsidRPr="007264C7" w:rsidRDefault="00533FE8" w:rsidP="00FF4C81">
      <w:pPr>
        <w:numPr>
          <w:ilvl w:val="0"/>
          <w:numId w:val="23"/>
        </w:numPr>
        <w:rPr>
          <w:szCs w:val="24"/>
        </w:rPr>
      </w:pPr>
      <w:r w:rsidRPr="007264C7">
        <w:rPr>
          <w:szCs w:val="24"/>
        </w:rPr>
        <w:t>Метотрексат</w:t>
      </w:r>
      <w:r w:rsidR="00392AAF">
        <w:rPr>
          <w:szCs w:val="24"/>
        </w:rPr>
        <w:t>**</w:t>
      </w:r>
      <w:r w:rsidRPr="007264C7">
        <w:rPr>
          <w:szCs w:val="24"/>
        </w:rPr>
        <w:t xml:space="preserve"> 12 мг интратекально, 5</w:t>
      </w:r>
      <w:r w:rsidR="00661530">
        <w:rPr>
          <w:szCs w:val="24"/>
        </w:rPr>
        <w:t>-й день</w:t>
      </w:r>
    </w:p>
    <w:p w14:paraId="028021ED" w14:textId="77777777" w:rsidR="00533FE8" w:rsidRPr="007264C7" w:rsidRDefault="00533FE8" w:rsidP="00FF4C81">
      <w:pPr>
        <w:numPr>
          <w:ilvl w:val="0"/>
          <w:numId w:val="23"/>
        </w:numPr>
        <w:rPr>
          <w:szCs w:val="24"/>
        </w:rPr>
      </w:pPr>
      <w:r w:rsidRPr="007264C7">
        <w:rPr>
          <w:szCs w:val="24"/>
        </w:rPr>
        <w:t>Цитарабин</w:t>
      </w:r>
      <w:r w:rsidR="00421699">
        <w:rPr>
          <w:szCs w:val="24"/>
        </w:rPr>
        <w:t>**</w:t>
      </w:r>
      <w:r w:rsidRPr="007264C7">
        <w:rPr>
          <w:szCs w:val="24"/>
        </w:rPr>
        <w:t xml:space="preserve"> 30 мг интратекально, </w:t>
      </w:r>
      <w:r w:rsidR="00661530" w:rsidRPr="007264C7">
        <w:rPr>
          <w:szCs w:val="24"/>
        </w:rPr>
        <w:t>5</w:t>
      </w:r>
      <w:r w:rsidR="00661530">
        <w:rPr>
          <w:szCs w:val="24"/>
        </w:rPr>
        <w:t>-й день</w:t>
      </w:r>
    </w:p>
    <w:p w14:paraId="08A223A5" w14:textId="77777777" w:rsidR="00533FE8" w:rsidRPr="007264C7" w:rsidRDefault="00533FE8" w:rsidP="00FF4C81">
      <w:pPr>
        <w:numPr>
          <w:ilvl w:val="0"/>
          <w:numId w:val="23"/>
        </w:numPr>
        <w:rPr>
          <w:szCs w:val="24"/>
        </w:rPr>
      </w:pPr>
      <w:r>
        <w:rPr>
          <w:szCs w:val="24"/>
        </w:rPr>
        <w:t>Преднизолон</w:t>
      </w:r>
      <w:r w:rsidR="00417EEC">
        <w:rPr>
          <w:szCs w:val="24"/>
        </w:rPr>
        <w:t>**</w:t>
      </w:r>
      <w:r w:rsidRPr="007264C7">
        <w:rPr>
          <w:szCs w:val="24"/>
        </w:rPr>
        <w:t xml:space="preserve"> 10 мг интратекально, </w:t>
      </w:r>
      <w:r w:rsidR="00661530" w:rsidRPr="007264C7">
        <w:rPr>
          <w:szCs w:val="24"/>
        </w:rPr>
        <w:t>5</w:t>
      </w:r>
      <w:r w:rsidR="00661530">
        <w:rPr>
          <w:szCs w:val="24"/>
        </w:rPr>
        <w:t>-й день</w:t>
      </w:r>
    </w:p>
    <w:p w14:paraId="4F3E1A4E" w14:textId="77777777" w:rsidR="00533FE8" w:rsidRPr="007264C7" w:rsidRDefault="00533FE8" w:rsidP="00FF4C81">
      <w:pPr>
        <w:numPr>
          <w:ilvl w:val="0"/>
          <w:numId w:val="23"/>
        </w:numPr>
        <w:rPr>
          <w:szCs w:val="24"/>
        </w:rPr>
      </w:pPr>
      <w:r>
        <w:rPr>
          <w:szCs w:val="24"/>
        </w:rPr>
        <w:t>Ритуксимаб</w:t>
      </w:r>
      <w:r w:rsidR="006355E9">
        <w:rPr>
          <w:szCs w:val="24"/>
        </w:rPr>
        <w:t>**</w:t>
      </w:r>
      <w:r w:rsidRPr="007264C7">
        <w:rPr>
          <w:szCs w:val="24"/>
        </w:rPr>
        <w:t xml:space="preserve"> 375 мг/м</w:t>
      </w:r>
      <w:r w:rsidRPr="005004D7">
        <w:rPr>
          <w:szCs w:val="24"/>
          <w:vertAlign w:val="superscript"/>
        </w:rPr>
        <w:t>2</w:t>
      </w:r>
      <w:r w:rsidR="00661530">
        <w:rPr>
          <w:szCs w:val="24"/>
        </w:rPr>
        <w:t xml:space="preserve"> в/в 6-8 часов, </w:t>
      </w:r>
      <w:r w:rsidRPr="007264C7">
        <w:rPr>
          <w:szCs w:val="24"/>
        </w:rPr>
        <w:t>0</w:t>
      </w:r>
      <w:r w:rsidR="00661530">
        <w:rPr>
          <w:szCs w:val="24"/>
        </w:rPr>
        <w:t>-й день</w:t>
      </w:r>
      <w:r w:rsidRPr="007264C7">
        <w:rPr>
          <w:szCs w:val="24"/>
        </w:rPr>
        <w:t xml:space="preserve"> каждого блока (в рамках протокола В-НХЛ 2004 маб. в 0</w:t>
      </w:r>
      <w:r w:rsidR="00661530">
        <w:rPr>
          <w:szCs w:val="24"/>
        </w:rPr>
        <w:t>-й день 1-х 4</w:t>
      </w:r>
      <w:r w:rsidRPr="007264C7">
        <w:rPr>
          <w:szCs w:val="24"/>
        </w:rPr>
        <w:t xml:space="preserve"> блоков)</w:t>
      </w:r>
    </w:p>
    <w:p w14:paraId="1C83F6FF" w14:textId="77777777" w:rsidR="00533FE8" w:rsidRDefault="00533FE8" w:rsidP="00533FE8"/>
    <w:p w14:paraId="0DA768EF" w14:textId="77777777" w:rsidR="00533FE8" w:rsidRPr="007264C7" w:rsidRDefault="00533FE8" w:rsidP="00533FE8">
      <w:pPr>
        <w:rPr>
          <w:rFonts w:eastAsia="MS Mincho"/>
          <w:b/>
          <w:color w:val="000000"/>
          <w:szCs w:val="24"/>
          <w:lang w:eastAsia="ja-JP"/>
        </w:rPr>
      </w:pPr>
      <w:bookmarkStart w:id="247" w:name="_Toc464042742"/>
      <w:r w:rsidRPr="007264C7">
        <w:rPr>
          <w:rFonts w:eastAsia="MS Mincho"/>
          <w:b/>
          <w:color w:val="000000"/>
          <w:szCs w:val="24"/>
          <w:lang w:eastAsia="ja-JP"/>
        </w:rPr>
        <w:t>Прог</w:t>
      </w:r>
      <w:r>
        <w:rPr>
          <w:rFonts w:eastAsia="MS Mincho"/>
          <w:b/>
          <w:color w:val="000000"/>
          <w:szCs w:val="24"/>
          <w:lang w:eastAsia="ja-JP"/>
        </w:rPr>
        <w:t>раммы лечения рецидивов и рефра</w:t>
      </w:r>
      <w:r w:rsidRPr="007264C7">
        <w:rPr>
          <w:rFonts w:eastAsia="MS Mincho"/>
          <w:b/>
          <w:color w:val="000000"/>
          <w:szCs w:val="24"/>
          <w:lang w:eastAsia="ja-JP"/>
        </w:rPr>
        <w:t>к</w:t>
      </w:r>
      <w:r>
        <w:rPr>
          <w:rFonts w:eastAsia="MS Mincho"/>
          <w:b/>
          <w:color w:val="000000"/>
          <w:szCs w:val="24"/>
          <w:lang w:eastAsia="ja-JP"/>
        </w:rPr>
        <w:t>терных форм ОЛЛ</w:t>
      </w:r>
    </w:p>
    <w:p w14:paraId="6A71598F" w14:textId="77777777" w:rsidR="00533FE8" w:rsidRPr="007264C7" w:rsidRDefault="00533FE8" w:rsidP="00533FE8">
      <w:pPr>
        <w:rPr>
          <w:b/>
          <w:szCs w:val="24"/>
        </w:rPr>
      </w:pPr>
      <w:r w:rsidRPr="007264C7">
        <w:rPr>
          <w:b/>
          <w:szCs w:val="24"/>
          <w:lang w:val="en-US"/>
        </w:rPr>
        <w:t>Flag</w:t>
      </w:r>
      <w:r w:rsidRPr="00232CB3">
        <w:rPr>
          <w:b/>
          <w:szCs w:val="24"/>
        </w:rPr>
        <w:t>-</w:t>
      </w:r>
      <w:r w:rsidRPr="007264C7">
        <w:rPr>
          <w:b/>
          <w:szCs w:val="24"/>
          <w:lang w:val="en-US"/>
        </w:rPr>
        <w:t>Ida</w:t>
      </w:r>
      <w:r w:rsidR="00EC0AA3">
        <w:rPr>
          <w:b/>
          <w:szCs w:val="24"/>
        </w:rPr>
        <w:t>:</w:t>
      </w:r>
    </w:p>
    <w:p w14:paraId="1985C0C2" w14:textId="77777777" w:rsidR="00533FE8" w:rsidRPr="007264C7" w:rsidRDefault="00BE3546" w:rsidP="00956D03">
      <w:pPr>
        <w:pStyle w:val="-51"/>
        <w:numPr>
          <w:ilvl w:val="0"/>
          <w:numId w:val="8"/>
        </w:numPr>
        <w:suppressAutoHyphens w:val="0"/>
        <w:spacing w:after="200"/>
        <w:contextualSpacing/>
        <w:jc w:val="left"/>
        <w:rPr>
          <w:szCs w:val="24"/>
        </w:rPr>
      </w:pPr>
      <w:r w:rsidRPr="00BE3546">
        <w:rPr>
          <w:szCs w:val="24"/>
        </w:rPr>
        <w:t>#</w:t>
      </w:r>
      <w:r w:rsidR="00533FE8" w:rsidRPr="007264C7">
        <w:rPr>
          <w:szCs w:val="24"/>
        </w:rPr>
        <w:t>Флударабин</w:t>
      </w:r>
      <w:r w:rsidRPr="00BE3546">
        <w:rPr>
          <w:szCs w:val="24"/>
        </w:rPr>
        <w:t>**</w:t>
      </w:r>
      <w:r w:rsidR="00533FE8" w:rsidRPr="007264C7">
        <w:rPr>
          <w:szCs w:val="24"/>
        </w:rPr>
        <w:t xml:space="preserve"> 25 мг/м</w:t>
      </w:r>
      <w:r w:rsidR="00533FE8" w:rsidRPr="007264C7">
        <w:rPr>
          <w:szCs w:val="24"/>
          <w:vertAlign w:val="superscript"/>
        </w:rPr>
        <w:t>2</w:t>
      </w:r>
      <w:r w:rsidR="00533FE8" w:rsidRPr="007264C7">
        <w:rPr>
          <w:szCs w:val="24"/>
        </w:rPr>
        <w:t xml:space="preserve"> в/в за 30 мин, </w:t>
      </w:r>
      <w:r w:rsidR="00DA6C92">
        <w:rPr>
          <w:szCs w:val="24"/>
        </w:rPr>
        <w:t>1–</w:t>
      </w:r>
      <w:r w:rsidR="00DA6C92" w:rsidRPr="007264C7">
        <w:rPr>
          <w:szCs w:val="24"/>
        </w:rPr>
        <w:t>5</w:t>
      </w:r>
      <w:r w:rsidR="00DA6C92">
        <w:rPr>
          <w:szCs w:val="24"/>
        </w:rPr>
        <w:t>-й дни</w:t>
      </w:r>
    </w:p>
    <w:p w14:paraId="3B4084FB" w14:textId="77777777" w:rsidR="00533FE8" w:rsidRPr="007264C7" w:rsidRDefault="00533FE8" w:rsidP="00956D03">
      <w:pPr>
        <w:pStyle w:val="-51"/>
        <w:numPr>
          <w:ilvl w:val="0"/>
          <w:numId w:val="8"/>
        </w:numPr>
        <w:suppressAutoHyphens w:val="0"/>
        <w:spacing w:after="200"/>
        <w:contextualSpacing/>
        <w:jc w:val="left"/>
        <w:rPr>
          <w:szCs w:val="24"/>
        </w:rPr>
      </w:pPr>
      <w:r w:rsidRPr="007264C7">
        <w:rPr>
          <w:szCs w:val="24"/>
        </w:rPr>
        <w:t>Цитарабин</w:t>
      </w:r>
      <w:r w:rsidR="00421699">
        <w:rPr>
          <w:szCs w:val="24"/>
        </w:rPr>
        <w:t>**</w:t>
      </w:r>
      <w:r w:rsidRPr="007264C7">
        <w:rPr>
          <w:szCs w:val="24"/>
        </w:rPr>
        <w:t xml:space="preserve"> 2 г/м</w:t>
      </w:r>
      <w:r w:rsidRPr="007264C7">
        <w:rPr>
          <w:szCs w:val="24"/>
          <w:vertAlign w:val="superscript"/>
        </w:rPr>
        <w:t>2</w:t>
      </w:r>
      <w:r w:rsidR="00DA6C92">
        <w:rPr>
          <w:szCs w:val="24"/>
        </w:rPr>
        <w:t xml:space="preserve"> в/в за 4 ч через 4 ч</w:t>
      </w:r>
      <w:r w:rsidRPr="007264C7">
        <w:rPr>
          <w:szCs w:val="24"/>
        </w:rPr>
        <w:t xml:space="preserve"> после </w:t>
      </w:r>
      <w:r w:rsidR="00BE3546" w:rsidRPr="00BE3546">
        <w:rPr>
          <w:szCs w:val="24"/>
        </w:rPr>
        <w:t>#</w:t>
      </w:r>
      <w:r w:rsidRPr="007264C7">
        <w:rPr>
          <w:szCs w:val="24"/>
        </w:rPr>
        <w:t>флударабина</w:t>
      </w:r>
      <w:r w:rsidR="00BE3546" w:rsidRPr="00BE3546">
        <w:rPr>
          <w:szCs w:val="24"/>
        </w:rPr>
        <w:t>**</w:t>
      </w:r>
      <w:r w:rsidRPr="007264C7">
        <w:rPr>
          <w:szCs w:val="24"/>
        </w:rPr>
        <w:t xml:space="preserve">, </w:t>
      </w:r>
      <w:r w:rsidR="00DA6C92">
        <w:rPr>
          <w:szCs w:val="24"/>
        </w:rPr>
        <w:t>1–</w:t>
      </w:r>
      <w:r w:rsidR="00DA6C92" w:rsidRPr="007264C7">
        <w:rPr>
          <w:szCs w:val="24"/>
        </w:rPr>
        <w:t>5</w:t>
      </w:r>
      <w:r w:rsidR="00DA6C92">
        <w:rPr>
          <w:szCs w:val="24"/>
        </w:rPr>
        <w:t>-й дни</w:t>
      </w:r>
    </w:p>
    <w:p w14:paraId="353A54FF" w14:textId="77777777" w:rsidR="00533FE8" w:rsidRPr="007264C7" w:rsidRDefault="0000078E" w:rsidP="00956D03">
      <w:pPr>
        <w:pStyle w:val="-51"/>
        <w:numPr>
          <w:ilvl w:val="0"/>
          <w:numId w:val="8"/>
        </w:numPr>
        <w:suppressAutoHyphens w:val="0"/>
        <w:spacing w:after="200"/>
        <w:contextualSpacing/>
        <w:jc w:val="left"/>
        <w:rPr>
          <w:szCs w:val="24"/>
        </w:rPr>
      </w:pPr>
      <w:r w:rsidRPr="0000078E">
        <w:rPr>
          <w:szCs w:val="24"/>
        </w:rPr>
        <w:t>#</w:t>
      </w:r>
      <w:r w:rsidR="00533FE8" w:rsidRPr="007264C7">
        <w:rPr>
          <w:szCs w:val="24"/>
        </w:rPr>
        <w:t>Идарубицин</w:t>
      </w:r>
      <w:r w:rsidRPr="0000078E">
        <w:rPr>
          <w:szCs w:val="24"/>
        </w:rPr>
        <w:t>**</w:t>
      </w:r>
      <w:r w:rsidR="00533FE8" w:rsidRPr="007264C7">
        <w:rPr>
          <w:szCs w:val="24"/>
        </w:rPr>
        <w:t xml:space="preserve"> 10 мг/м</w:t>
      </w:r>
      <w:r w:rsidR="00533FE8" w:rsidRPr="007264C7">
        <w:rPr>
          <w:szCs w:val="24"/>
          <w:vertAlign w:val="superscript"/>
        </w:rPr>
        <w:t>2</w:t>
      </w:r>
      <w:r w:rsidR="00DA6C92">
        <w:rPr>
          <w:szCs w:val="24"/>
        </w:rPr>
        <w:t xml:space="preserve"> в/в за 15 мин,</w:t>
      </w:r>
      <w:r w:rsidR="00533FE8" w:rsidRPr="007264C7">
        <w:rPr>
          <w:szCs w:val="24"/>
        </w:rPr>
        <w:t xml:space="preserve"> 1</w:t>
      </w:r>
      <w:r w:rsidR="00DA6C92">
        <w:rPr>
          <w:szCs w:val="24"/>
        </w:rPr>
        <w:t xml:space="preserve">-й и </w:t>
      </w:r>
      <w:r w:rsidR="00533FE8" w:rsidRPr="007264C7">
        <w:rPr>
          <w:szCs w:val="24"/>
        </w:rPr>
        <w:t>3</w:t>
      </w:r>
      <w:r w:rsidR="00DA6C92">
        <w:rPr>
          <w:szCs w:val="24"/>
        </w:rPr>
        <w:t>-й дни</w:t>
      </w:r>
    </w:p>
    <w:p w14:paraId="19DB7CE0" w14:textId="77777777" w:rsidR="00533FE8" w:rsidRPr="007264C7" w:rsidRDefault="00533FE8" w:rsidP="00956D03">
      <w:pPr>
        <w:pStyle w:val="-51"/>
        <w:numPr>
          <w:ilvl w:val="0"/>
          <w:numId w:val="8"/>
        </w:numPr>
        <w:suppressAutoHyphens w:val="0"/>
        <w:spacing w:after="200"/>
        <w:contextualSpacing/>
        <w:jc w:val="left"/>
        <w:rPr>
          <w:szCs w:val="24"/>
        </w:rPr>
      </w:pPr>
      <w:r w:rsidRPr="007264C7">
        <w:rPr>
          <w:szCs w:val="24"/>
        </w:rPr>
        <w:t>Г-КСФ 5 мкг/кг подкожно с 7-го дня до выхода из цитопении</w:t>
      </w:r>
    </w:p>
    <w:p w14:paraId="145266BC" w14:textId="77777777" w:rsidR="00533FE8" w:rsidRPr="007264C7" w:rsidRDefault="00533FE8" w:rsidP="00533FE8">
      <w:pPr>
        <w:rPr>
          <w:b/>
          <w:szCs w:val="24"/>
        </w:rPr>
      </w:pPr>
      <w:r w:rsidRPr="007264C7">
        <w:rPr>
          <w:b/>
          <w:szCs w:val="24"/>
        </w:rPr>
        <w:t>Бортезомиб</w:t>
      </w:r>
      <w:r w:rsidR="00DA6C92">
        <w:rPr>
          <w:b/>
          <w:szCs w:val="24"/>
        </w:rPr>
        <w:t xml:space="preserve"> </w:t>
      </w:r>
      <w:r w:rsidRPr="007264C7">
        <w:rPr>
          <w:b/>
          <w:szCs w:val="24"/>
        </w:rPr>
        <w:t>+</w:t>
      </w:r>
      <w:r w:rsidR="00DA6C92">
        <w:rPr>
          <w:b/>
          <w:szCs w:val="24"/>
        </w:rPr>
        <w:t xml:space="preserve"> д</w:t>
      </w:r>
      <w:r w:rsidRPr="007264C7">
        <w:rPr>
          <w:b/>
          <w:szCs w:val="24"/>
        </w:rPr>
        <w:t>ексаметазон</w:t>
      </w:r>
      <w:r w:rsidR="006F5D03">
        <w:rPr>
          <w:b/>
          <w:szCs w:val="24"/>
        </w:rPr>
        <w:t>**</w:t>
      </w:r>
      <w:r w:rsidR="00DA6C92">
        <w:rPr>
          <w:b/>
          <w:szCs w:val="24"/>
        </w:rPr>
        <w:t xml:space="preserve"> </w:t>
      </w:r>
      <w:r w:rsidRPr="007264C7">
        <w:rPr>
          <w:b/>
          <w:szCs w:val="24"/>
        </w:rPr>
        <w:t>+</w:t>
      </w:r>
      <w:r w:rsidR="00DA6C92">
        <w:rPr>
          <w:b/>
          <w:szCs w:val="24"/>
        </w:rPr>
        <w:t xml:space="preserve"> м</w:t>
      </w:r>
      <w:r w:rsidRPr="007264C7">
        <w:rPr>
          <w:b/>
          <w:szCs w:val="24"/>
        </w:rPr>
        <w:t>итоксантрон</w:t>
      </w:r>
      <w:r w:rsidR="00DA6C92">
        <w:rPr>
          <w:b/>
          <w:szCs w:val="24"/>
        </w:rPr>
        <w:t xml:space="preserve"> </w:t>
      </w:r>
      <w:r w:rsidRPr="007264C7">
        <w:rPr>
          <w:b/>
          <w:szCs w:val="24"/>
        </w:rPr>
        <w:t>+</w:t>
      </w:r>
      <w:r w:rsidR="00DA6C92">
        <w:rPr>
          <w:b/>
          <w:szCs w:val="24"/>
        </w:rPr>
        <w:t xml:space="preserve"> в</w:t>
      </w:r>
      <w:r w:rsidRPr="007264C7">
        <w:rPr>
          <w:b/>
          <w:szCs w:val="24"/>
        </w:rPr>
        <w:t>инкристин</w:t>
      </w:r>
      <w:r w:rsidR="00457E7B">
        <w:rPr>
          <w:b/>
          <w:szCs w:val="24"/>
        </w:rPr>
        <w:t>**</w:t>
      </w:r>
      <w:r w:rsidR="00DA6C92">
        <w:rPr>
          <w:b/>
          <w:szCs w:val="24"/>
        </w:rPr>
        <w:t xml:space="preserve"> </w:t>
      </w:r>
      <w:r w:rsidRPr="007264C7">
        <w:rPr>
          <w:b/>
          <w:szCs w:val="24"/>
        </w:rPr>
        <w:t>+</w:t>
      </w:r>
      <w:r w:rsidR="00DA6C92">
        <w:rPr>
          <w:b/>
          <w:szCs w:val="24"/>
        </w:rPr>
        <w:t xml:space="preserve"> а</w:t>
      </w:r>
      <w:r w:rsidRPr="007264C7">
        <w:rPr>
          <w:b/>
          <w:szCs w:val="24"/>
        </w:rPr>
        <w:t>спарагиназа</w:t>
      </w:r>
      <w:r w:rsidR="00714B4A">
        <w:rPr>
          <w:b/>
          <w:szCs w:val="24"/>
        </w:rPr>
        <w:t>**</w:t>
      </w:r>
    </w:p>
    <w:p w14:paraId="383BE71B" w14:textId="77777777" w:rsidR="00533FE8" w:rsidRPr="007264C7" w:rsidRDefault="00533FE8" w:rsidP="00956D03">
      <w:pPr>
        <w:pStyle w:val="-51"/>
        <w:numPr>
          <w:ilvl w:val="0"/>
          <w:numId w:val="9"/>
        </w:numPr>
        <w:suppressAutoHyphens w:val="0"/>
        <w:autoSpaceDE w:val="0"/>
        <w:autoSpaceDN w:val="0"/>
        <w:adjustRightInd w:val="0"/>
        <w:contextualSpacing/>
        <w:jc w:val="left"/>
        <w:rPr>
          <w:szCs w:val="24"/>
        </w:rPr>
      </w:pPr>
      <w:r w:rsidRPr="007264C7">
        <w:rPr>
          <w:szCs w:val="24"/>
        </w:rPr>
        <w:t>Бортезомиб 1,3 мг/м</w:t>
      </w:r>
      <w:r w:rsidRPr="007264C7">
        <w:rPr>
          <w:szCs w:val="24"/>
          <w:vertAlign w:val="superscript"/>
        </w:rPr>
        <w:t xml:space="preserve">2 </w:t>
      </w:r>
      <w:r w:rsidRPr="007264C7">
        <w:rPr>
          <w:szCs w:val="24"/>
        </w:rPr>
        <w:t>в/в капельно, 1,</w:t>
      </w:r>
      <w:r w:rsidR="00DA6C92">
        <w:rPr>
          <w:szCs w:val="24"/>
        </w:rPr>
        <w:t xml:space="preserve"> </w:t>
      </w:r>
      <w:r w:rsidRPr="007264C7">
        <w:rPr>
          <w:szCs w:val="24"/>
        </w:rPr>
        <w:t>4,</w:t>
      </w:r>
      <w:r w:rsidR="00DA6C92">
        <w:rPr>
          <w:szCs w:val="24"/>
        </w:rPr>
        <w:t xml:space="preserve"> </w:t>
      </w:r>
      <w:r w:rsidRPr="007264C7">
        <w:rPr>
          <w:szCs w:val="24"/>
        </w:rPr>
        <w:t>8,</w:t>
      </w:r>
      <w:r w:rsidR="00DA6C92">
        <w:rPr>
          <w:szCs w:val="24"/>
        </w:rPr>
        <w:t xml:space="preserve"> </w:t>
      </w:r>
      <w:r w:rsidRPr="007264C7">
        <w:rPr>
          <w:szCs w:val="24"/>
        </w:rPr>
        <w:t>11</w:t>
      </w:r>
      <w:r w:rsidR="00DA6C92">
        <w:rPr>
          <w:szCs w:val="24"/>
        </w:rPr>
        <w:t>-й</w:t>
      </w:r>
      <w:r w:rsidR="00DA6C92" w:rsidRPr="00DA6C92">
        <w:rPr>
          <w:szCs w:val="24"/>
        </w:rPr>
        <w:t xml:space="preserve"> </w:t>
      </w:r>
      <w:r w:rsidR="00DA6C92" w:rsidRPr="007264C7">
        <w:rPr>
          <w:szCs w:val="24"/>
        </w:rPr>
        <w:t>дни</w:t>
      </w:r>
    </w:p>
    <w:p w14:paraId="6D1DC21C" w14:textId="77777777" w:rsidR="00533FE8" w:rsidRPr="007264C7" w:rsidRDefault="00533FE8" w:rsidP="00956D03">
      <w:pPr>
        <w:pStyle w:val="-51"/>
        <w:numPr>
          <w:ilvl w:val="0"/>
          <w:numId w:val="9"/>
        </w:numPr>
        <w:suppressAutoHyphens w:val="0"/>
        <w:autoSpaceDE w:val="0"/>
        <w:autoSpaceDN w:val="0"/>
        <w:adjustRightInd w:val="0"/>
        <w:contextualSpacing/>
        <w:jc w:val="left"/>
        <w:rPr>
          <w:szCs w:val="24"/>
        </w:rPr>
      </w:pPr>
      <w:r w:rsidRPr="007264C7">
        <w:rPr>
          <w:szCs w:val="24"/>
        </w:rPr>
        <w:t>Дексаметазон</w:t>
      </w:r>
      <w:r w:rsidR="006F5D03">
        <w:rPr>
          <w:szCs w:val="24"/>
        </w:rPr>
        <w:t>**</w:t>
      </w:r>
      <w:r w:rsidRPr="007264C7">
        <w:rPr>
          <w:szCs w:val="24"/>
        </w:rPr>
        <w:t xml:space="preserve"> 10 мг/м</w:t>
      </w:r>
      <w:r w:rsidRPr="007264C7">
        <w:rPr>
          <w:szCs w:val="24"/>
          <w:vertAlign w:val="superscript"/>
        </w:rPr>
        <w:t>2</w:t>
      </w:r>
      <w:r w:rsidR="00BD6C1E">
        <w:rPr>
          <w:szCs w:val="24"/>
        </w:rPr>
        <w:t xml:space="preserve">, </w:t>
      </w:r>
      <w:r w:rsidRPr="007264C7">
        <w:rPr>
          <w:szCs w:val="24"/>
        </w:rPr>
        <w:t>разделив на 2 введения внутр</w:t>
      </w:r>
      <w:r w:rsidR="00BD6C1E">
        <w:rPr>
          <w:szCs w:val="24"/>
        </w:rPr>
        <w:t>ь</w:t>
      </w:r>
      <w:r w:rsidRPr="007264C7">
        <w:rPr>
          <w:szCs w:val="24"/>
        </w:rPr>
        <w:t xml:space="preserve">, </w:t>
      </w:r>
      <w:r w:rsidR="00DA6C92">
        <w:rPr>
          <w:szCs w:val="24"/>
        </w:rPr>
        <w:t>1–</w:t>
      </w:r>
      <w:r w:rsidRPr="007264C7">
        <w:rPr>
          <w:szCs w:val="24"/>
        </w:rPr>
        <w:t>14</w:t>
      </w:r>
      <w:r w:rsidR="00DA6C92">
        <w:rPr>
          <w:szCs w:val="24"/>
        </w:rPr>
        <w:t>-й</w:t>
      </w:r>
      <w:r w:rsidR="00DA6C92" w:rsidRPr="00DA6C92">
        <w:rPr>
          <w:szCs w:val="24"/>
        </w:rPr>
        <w:t xml:space="preserve"> </w:t>
      </w:r>
      <w:r w:rsidR="00DA6C92" w:rsidRPr="007264C7">
        <w:rPr>
          <w:szCs w:val="24"/>
        </w:rPr>
        <w:t>дни</w:t>
      </w:r>
    </w:p>
    <w:p w14:paraId="29AC9B11" w14:textId="77777777" w:rsidR="00533FE8" w:rsidRPr="007264C7" w:rsidRDefault="00533FE8" w:rsidP="00956D03">
      <w:pPr>
        <w:pStyle w:val="-51"/>
        <w:numPr>
          <w:ilvl w:val="0"/>
          <w:numId w:val="9"/>
        </w:numPr>
        <w:suppressAutoHyphens w:val="0"/>
        <w:autoSpaceDE w:val="0"/>
        <w:autoSpaceDN w:val="0"/>
        <w:adjustRightInd w:val="0"/>
        <w:contextualSpacing/>
        <w:jc w:val="left"/>
        <w:rPr>
          <w:szCs w:val="24"/>
        </w:rPr>
      </w:pPr>
      <w:r w:rsidRPr="007264C7">
        <w:rPr>
          <w:szCs w:val="24"/>
        </w:rPr>
        <w:t>Митоксантрон</w:t>
      </w:r>
      <w:r w:rsidR="006355E9">
        <w:rPr>
          <w:szCs w:val="24"/>
        </w:rPr>
        <w:t>**</w:t>
      </w:r>
      <w:r w:rsidRPr="007264C7">
        <w:rPr>
          <w:szCs w:val="24"/>
        </w:rPr>
        <w:t xml:space="preserve"> 10 мг/м</w:t>
      </w:r>
      <w:r w:rsidRPr="007264C7">
        <w:rPr>
          <w:szCs w:val="24"/>
          <w:vertAlign w:val="superscript"/>
        </w:rPr>
        <w:t>2</w:t>
      </w:r>
      <w:r w:rsidR="00DA6C92">
        <w:rPr>
          <w:szCs w:val="24"/>
        </w:rPr>
        <w:t xml:space="preserve"> в/в капельно за 15–</w:t>
      </w:r>
      <w:r w:rsidRPr="007264C7">
        <w:rPr>
          <w:szCs w:val="24"/>
        </w:rPr>
        <w:t>30 мин, 1</w:t>
      </w:r>
      <w:r w:rsidR="00DA6C92">
        <w:rPr>
          <w:szCs w:val="24"/>
        </w:rPr>
        <w:t>-й</w:t>
      </w:r>
      <w:r w:rsidRPr="007264C7">
        <w:rPr>
          <w:szCs w:val="24"/>
        </w:rPr>
        <w:t>,</w:t>
      </w:r>
      <w:r w:rsidR="00DA6C92">
        <w:rPr>
          <w:szCs w:val="24"/>
        </w:rPr>
        <w:t xml:space="preserve"> </w:t>
      </w:r>
      <w:r w:rsidRPr="007264C7">
        <w:rPr>
          <w:szCs w:val="24"/>
        </w:rPr>
        <w:t>2</w:t>
      </w:r>
      <w:r w:rsidR="00DA6C92">
        <w:rPr>
          <w:szCs w:val="24"/>
        </w:rPr>
        <w:t>-й</w:t>
      </w:r>
      <w:r w:rsidR="00DA6C92" w:rsidRPr="00DA6C92">
        <w:rPr>
          <w:szCs w:val="24"/>
        </w:rPr>
        <w:t xml:space="preserve"> </w:t>
      </w:r>
      <w:r w:rsidR="00DA6C92" w:rsidRPr="007264C7">
        <w:rPr>
          <w:szCs w:val="24"/>
        </w:rPr>
        <w:t>день</w:t>
      </w:r>
    </w:p>
    <w:p w14:paraId="5DC5AE6B" w14:textId="77777777" w:rsidR="00533FE8" w:rsidRPr="007264C7" w:rsidRDefault="00533FE8" w:rsidP="00956D03">
      <w:pPr>
        <w:pStyle w:val="-51"/>
        <w:numPr>
          <w:ilvl w:val="0"/>
          <w:numId w:val="9"/>
        </w:numPr>
        <w:suppressAutoHyphens w:val="0"/>
        <w:autoSpaceDE w:val="0"/>
        <w:autoSpaceDN w:val="0"/>
        <w:adjustRightInd w:val="0"/>
        <w:contextualSpacing/>
        <w:jc w:val="left"/>
        <w:rPr>
          <w:szCs w:val="24"/>
        </w:rPr>
      </w:pPr>
      <w:r w:rsidRPr="007264C7">
        <w:rPr>
          <w:szCs w:val="24"/>
        </w:rPr>
        <w:t>Винкристин</w:t>
      </w:r>
      <w:r w:rsidR="00457E7B">
        <w:rPr>
          <w:szCs w:val="24"/>
        </w:rPr>
        <w:t>**</w:t>
      </w:r>
      <w:r w:rsidRPr="007264C7">
        <w:rPr>
          <w:szCs w:val="24"/>
        </w:rPr>
        <w:t xml:space="preserve"> 2 мг в/в струйно, 1, 8, 15</w:t>
      </w:r>
      <w:r w:rsidR="00DA6C92">
        <w:rPr>
          <w:szCs w:val="24"/>
        </w:rPr>
        <w:t>-й</w:t>
      </w:r>
      <w:r w:rsidR="00DA6C92" w:rsidRPr="00DA6C92">
        <w:rPr>
          <w:szCs w:val="24"/>
        </w:rPr>
        <w:t xml:space="preserve"> </w:t>
      </w:r>
      <w:r w:rsidR="00DA6C92" w:rsidRPr="007264C7">
        <w:rPr>
          <w:szCs w:val="24"/>
        </w:rPr>
        <w:t>дни</w:t>
      </w:r>
    </w:p>
    <w:p w14:paraId="03C13782" w14:textId="77777777" w:rsidR="00533FE8" w:rsidRPr="007264C7" w:rsidRDefault="005004D7" w:rsidP="00956D03">
      <w:pPr>
        <w:pStyle w:val="-51"/>
        <w:numPr>
          <w:ilvl w:val="0"/>
          <w:numId w:val="9"/>
        </w:numPr>
        <w:suppressAutoHyphens w:val="0"/>
        <w:autoSpaceDE w:val="0"/>
        <w:autoSpaceDN w:val="0"/>
        <w:adjustRightInd w:val="0"/>
        <w:contextualSpacing/>
        <w:jc w:val="left"/>
        <w:rPr>
          <w:szCs w:val="24"/>
        </w:rPr>
      </w:pPr>
      <w:r>
        <w:rPr>
          <w:szCs w:val="24"/>
        </w:rPr>
        <w:t>А</w:t>
      </w:r>
      <w:r w:rsidR="00533FE8" w:rsidRPr="007264C7">
        <w:rPr>
          <w:szCs w:val="24"/>
        </w:rPr>
        <w:t>спарагиназа</w:t>
      </w:r>
      <w:r w:rsidR="00714B4A">
        <w:rPr>
          <w:szCs w:val="24"/>
        </w:rPr>
        <w:t>**</w:t>
      </w:r>
      <w:r w:rsidR="00533FE8" w:rsidRPr="007264C7">
        <w:rPr>
          <w:szCs w:val="24"/>
        </w:rPr>
        <w:t xml:space="preserve"> 5 тыс</w:t>
      </w:r>
      <w:r w:rsidR="00DA6C92">
        <w:rPr>
          <w:szCs w:val="24"/>
        </w:rPr>
        <w:t>.</w:t>
      </w:r>
      <w:r w:rsidR="00533FE8" w:rsidRPr="007264C7">
        <w:rPr>
          <w:szCs w:val="24"/>
        </w:rPr>
        <w:t xml:space="preserve"> Ед/м</w:t>
      </w:r>
      <w:r w:rsidR="00533FE8" w:rsidRPr="007264C7">
        <w:rPr>
          <w:szCs w:val="24"/>
          <w:vertAlign w:val="superscript"/>
        </w:rPr>
        <w:t>2</w:t>
      </w:r>
      <w:r w:rsidR="00533FE8" w:rsidRPr="007264C7">
        <w:rPr>
          <w:szCs w:val="24"/>
        </w:rPr>
        <w:t xml:space="preserve"> в</w:t>
      </w:r>
      <w:r w:rsidR="00BD6C1E">
        <w:rPr>
          <w:szCs w:val="24"/>
        </w:rPr>
        <w:t>/</w:t>
      </w:r>
      <w:r w:rsidR="00533FE8" w:rsidRPr="007264C7">
        <w:rPr>
          <w:szCs w:val="24"/>
        </w:rPr>
        <w:t xml:space="preserve">в капельно, </w:t>
      </w:r>
      <w:r w:rsidR="00DA6C92">
        <w:rPr>
          <w:szCs w:val="24"/>
        </w:rPr>
        <w:t>15–</w:t>
      </w:r>
      <w:r w:rsidR="00533FE8" w:rsidRPr="007264C7">
        <w:rPr>
          <w:szCs w:val="24"/>
        </w:rPr>
        <w:t>21</w:t>
      </w:r>
      <w:r w:rsidR="00DA6C92">
        <w:rPr>
          <w:szCs w:val="24"/>
        </w:rPr>
        <w:t>-й</w:t>
      </w:r>
      <w:r w:rsidR="00DA6C92" w:rsidRPr="00DA6C92">
        <w:rPr>
          <w:szCs w:val="24"/>
        </w:rPr>
        <w:t xml:space="preserve"> </w:t>
      </w:r>
      <w:r w:rsidR="00DA6C92" w:rsidRPr="007264C7">
        <w:rPr>
          <w:szCs w:val="24"/>
        </w:rPr>
        <w:t>дни</w:t>
      </w:r>
    </w:p>
    <w:p w14:paraId="267B3AA3" w14:textId="77777777" w:rsidR="00533FE8" w:rsidRPr="007264C7" w:rsidRDefault="00533FE8" w:rsidP="00533FE8">
      <w:pPr>
        <w:ind w:firstLine="709"/>
        <w:contextualSpacing/>
        <w:rPr>
          <w:szCs w:val="24"/>
        </w:rPr>
      </w:pPr>
      <w:r w:rsidRPr="007264C7">
        <w:rPr>
          <w:szCs w:val="24"/>
        </w:rPr>
        <w:t>Всем пациентам проводится интратекальная терапия: в 1-й день цитарабин</w:t>
      </w:r>
      <w:r w:rsidR="00421699">
        <w:rPr>
          <w:szCs w:val="24"/>
        </w:rPr>
        <w:t>**</w:t>
      </w:r>
      <w:r w:rsidRPr="007264C7">
        <w:rPr>
          <w:szCs w:val="24"/>
        </w:rPr>
        <w:t xml:space="preserve"> 30 мг. Если есть вовлечение ЦНС: интратекально метотрексат</w:t>
      </w:r>
      <w:r w:rsidR="00FE233A">
        <w:rPr>
          <w:szCs w:val="24"/>
        </w:rPr>
        <w:t>**</w:t>
      </w:r>
      <w:r w:rsidRPr="007264C7">
        <w:rPr>
          <w:szCs w:val="24"/>
        </w:rPr>
        <w:t xml:space="preserve"> 15 мг, цитарабин</w:t>
      </w:r>
      <w:r w:rsidR="00421699">
        <w:rPr>
          <w:szCs w:val="24"/>
        </w:rPr>
        <w:t>**</w:t>
      </w:r>
      <w:r w:rsidRPr="007264C7">
        <w:rPr>
          <w:szCs w:val="24"/>
        </w:rPr>
        <w:t xml:space="preserve"> 30 мг, </w:t>
      </w:r>
      <w:r w:rsidRPr="007264C7">
        <w:rPr>
          <w:szCs w:val="24"/>
        </w:rPr>
        <w:lastRenderedPageBreak/>
        <w:t>дексаметазон</w:t>
      </w:r>
      <w:r w:rsidR="006F5D03">
        <w:rPr>
          <w:szCs w:val="24"/>
        </w:rPr>
        <w:t>**</w:t>
      </w:r>
      <w:r w:rsidRPr="007264C7">
        <w:rPr>
          <w:szCs w:val="24"/>
        </w:rPr>
        <w:t xml:space="preserve"> 4 мг</w:t>
      </w:r>
      <w:r w:rsidR="00DA6C92">
        <w:rPr>
          <w:szCs w:val="24"/>
        </w:rPr>
        <w:t xml:space="preserve">, </w:t>
      </w:r>
      <w:r w:rsidRPr="007264C7">
        <w:rPr>
          <w:szCs w:val="24"/>
        </w:rPr>
        <w:t>8,</w:t>
      </w:r>
      <w:r w:rsidR="00DA6C92">
        <w:rPr>
          <w:szCs w:val="24"/>
        </w:rPr>
        <w:t xml:space="preserve"> </w:t>
      </w:r>
      <w:r w:rsidRPr="007264C7">
        <w:rPr>
          <w:szCs w:val="24"/>
        </w:rPr>
        <w:t>15,</w:t>
      </w:r>
      <w:r w:rsidR="00DA6C92">
        <w:rPr>
          <w:szCs w:val="24"/>
        </w:rPr>
        <w:t xml:space="preserve"> </w:t>
      </w:r>
      <w:r w:rsidRPr="007264C7">
        <w:rPr>
          <w:szCs w:val="24"/>
        </w:rPr>
        <w:t>22</w:t>
      </w:r>
      <w:r w:rsidR="00DA6C92">
        <w:rPr>
          <w:szCs w:val="24"/>
        </w:rPr>
        <w:t>-й дни</w:t>
      </w:r>
      <w:r w:rsidRPr="007264C7">
        <w:rPr>
          <w:szCs w:val="24"/>
        </w:rPr>
        <w:t>. У пациентов с развившейся полинейропатией</w:t>
      </w:r>
      <w:r>
        <w:rPr>
          <w:szCs w:val="24"/>
        </w:rPr>
        <w:t xml:space="preserve"> доза винкристина</w:t>
      </w:r>
      <w:r w:rsidR="00457E7B">
        <w:rPr>
          <w:szCs w:val="24"/>
        </w:rPr>
        <w:t>**</w:t>
      </w:r>
      <w:r>
        <w:rPr>
          <w:szCs w:val="24"/>
        </w:rPr>
        <w:t xml:space="preserve"> редуцируется </w:t>
      </w:r>
      <w:r w:rsidRPr="007264C7">
        <w:rPr>
          <w:szCs w:val="24"/>
        </w:rPr>
        <w:t>до 1 мг и вводится в дни 1</w:t>
      </w:r>
      <w:r w:rsidR="00DA6C92">
        <w:rPr>
          <w:szCs w:val="24"/>
        </w:rPr>
        <w:t xml:space="preserve">-й </w:t>
      </w:r>
      <w:r w:rsidRPr="007264C7">
        <w:rPr>
          <w:szCs w:val="24"/>
        </w:rPr>
        <w:t>и 8</w:t>
      </w:r>
      <w:r w:rsidR="00DA6C92">
        <w:rPr>
          <w:szCs w:val="24"/>
        </w:rPr>
        <w:t>-й дни</w:t>
      </w:r>
      <w:r w:rsidRPr="007264C7">
        <w:rPr>
          <w:szCs w:val="24"/>
        </w:rPr>
        <w:t>.</w:t>
      </w:r>
    </w:p>
    <w:p w14:paraId="608552D5" w14:textId="77777777" w:rsidR="005004D7" w:rsidRDefault="005004D7" w:rsidP="00533FE8">
      <w:pPr>
        <w:rPr>
          <w:b/>
          <w:szCs w:val="24"/>
        </w:rPr>
      </w:pPr>
    </w:p>
    <w:p w14:paraId="75C7AA7D" w14:textId="77777777" w:rsidR="00533FE8" w:rsidRPr="00950F44" w:rsidRDefault="00533FE8" w:rsidP="00533FE8">
      <w:pPr>
        <w:rPr>
          <w:b/>
          <w:szCs w:val="24"/>
        </w:rPr>
      </w:pPr>
      <w:r w:rsidRPr="007264C7">
        <w:rPr>
          <w:b/>
          <w:szCs w:val="24"/>
        </w:rPr>
        <w:t>Неларабин</w:t>
      </w:r>
      <w:r w:rsidR="00202E16">
        <w:rPr>
          <w:b/>
          <w:szCs w:val="24"/>
        </w:rPr>
        <w:t xml:space="preserve"> </w:t>
      </w:r>
      <w:r w:rsidRPr="007264C7">
        <w:rPr>
          <w:b/>
          <w:szCs w:val="24"/>
        </w:rPr>
        <w:t>+</w:t>
      </w:r>
      <w:r w:rsidR="00202E16">
        <w:rPr>
          <w:b/>
          <w:szCs w:val="24"/>
        </w:rPr>
        <w:t xml:space="preserve"> ц</w:t>
      </w:r>
      <w:r w:rsidR="004C2C6A">
        <w:rPr>
          <w:b/>
          <w:szCs w:val="24"/>
        </w:rPr>
        <w:t>иклофосфамид**</w:t>
      </w:r>
      <w:r w:rsidR="00202E16">
        <w:rPr>
          <w:b/>
          <w:szCs w:val="24"/>
        </w:rPr>
        <w:t xml:space="preserve"> </w:t>
      </w:r>
      <w:r w:rsidRPr="007264C7">
        <w:rPr>
          <w:b/>
          <w:szCs w:val="24"/>
        </w:rPr>
        <w:t>+</w:t>
      </w:r>
      <w:r w:rsidR="00202E16">
        <w:rPr>
          <w:b/>
          <w:szCs w:val="24"/>
        </w:rPr>
        <w:t xml:space="preserve"> </w:t>
      </w:r>
      <w:r w:rsidR="00113194" w:rsidRPr="00950F44">
        <w:rPr>
          <w:b/>
          <w:szCs w:val="24"/>
        </w:rPr>
        <w:t>#</w:t>
      </w:r>
      <w:r w:rsidR="00202E16">
        <w:rPr>
          <w:b/>
          <w:szCs w:val="24"/>
        </w:rPr>
        <w:t>э</w:t>
      </w:r>
      <w:r w:rsidRPr="007264C7">
        <w:rPr>
          <w:b/>
          <w:szCs w:val="24"/>
        </w:rPr>
        <w:t>топозид</w:t>
      </w:r>
      <w:r w:rsidR="00113194" w:rsidRPr="00950F44">
        <w:rPr>
          <w:b/>
          <w:szCs w:val="24"/>
        </w:rPr>
        <w:t>**</w:t>
      </w:r>
    </w:p>
    <w:p w14:paraId="07E479F2" w14:textId="77777777" w:rsidR="00533FE8" w:rsidRPr="007264C7" w:rsidRDefault="00533FE8" w:rsidP="00533FE8">
      <w:pPr>
        <w:rPr>
          <w:szCs w:val="24"/>
        </w:rPr>
      </w:pPr>
      <w:r w:rsidRPr="007264C7">
        <w:rPr>
          <w:szCs w:val="24"/>
        </w:rPr>
        <w:t xml:space="preserve">Схема: блок </w:t>
      </w:r>
      <w:r w:rsidRPr="007264C7">
        <w:rPr>
          <w:szCs w:val="24"/>
          <w:lang w:val="en-US"/>
        </w:rPr>
        <w:t>N</w:t>
      </w:r>
      <w:r w:rsidRPr="007264C7">
        <w:rPr>
          <w:szCs w:val="24"/>
        </w:rPr>
        <w:t xml:space="preserve"> и блок </w:t>
      </w:r>
      <w:r w:rsidRPr="007264C7">
        <w:rPr>
          <w:szCs w:val="24"/>
          <w:lang w:val="en-US"/>
        </w:rPr>
        <w:t>CE</w:t>
      </w:r>
      <w:r w:rsidRPr="007264C7">
        <w:rPr>
          <w:szCs w:val="24"/>
        </w:rPr>
        <w:t xml:space="preserve"> проводят с интервалом 2 дня между собой в любой последовательности.</w:t>
      </w:r>
    </w:p>
    <w:p w14:paraId="6326E831" w14:textId="77777777" w:rsidR="00533FE8" w:rsidRPr="00202E16" w:rsidRDefault="00533FE8" w:rsidP="00533FE8">
      <w:pPr>
        <w:rPr>
          <w:b/>
          <w:szCs w:val="24"/>
        </w:rPr>
      </w:pPr>
      <w:r w:rsidRPr="00202E16">
        <w:rPr>
          <w:b/>
          <w:szCs w:val="24"/>
        </w:rPr>
        <w:t xml:space="preserve">Блок </w:t>
      </w:r>
      <w:r w:rsidRPr="00202E16">
        <w:rPr>
          <w:b/>
          <w:szCs w:val="24"/>
          <w:lang w:val="en-US"/>
        </w:rPr>
        <w:t>N</w:t>
      </w:r>
      <w:r w:rsidR="00202E16">
        <w:rPr>
          <w:b/>
          <w:szCs w:val="24"/>
        </w:rPr>
        <w:t>:</w:t>
      </w:r>
    </w:p>
    <w:p w14:paraId="66A6913D" w14:textId="77777777" w:rsidR="00533FE8" w:rsidRPr="007264C7" w:rsidRDefault="00533FE8" w:rsidP="00956D03">
      <w:pPr>
        <w:pStyle w:val="-51"/>
        <w:numPr>
          <w:ilvl w:val="0"/>
          <w:numId w:val="10"/>
        </w:numPr>
        <w:suppressAutoHyphens w:val="0"/>
        <w:spacing w:after="200"/>
        <w:contextualSpacing/>
        <w:jc w:val="left"/>
        <w:rPr>
          <w:szCs w:val="24"/>
        </w:rPr>
      </w:pPr>
      <w:r w:rsidRPr="007264C7">
        <w:rPr>
          <w:szCs w:val="24"/>
        </w:rPr>
        <w:t>Неларабин</w:t>
      </w:r>
      <w:r w:rsidR="006355E9">
        <w:rPr>
          <w:szCs w:val="24"/>
        </w:rPr>
        <w:t>**</w:t>
      </w:r>
      <w:r w:rsidRPr="007264C7">
        <w:rPr>
          <w:szCs w:val="24"/>
        </w:rPr>
        <w:t xml:space="preserve"> 650 мг/м</w:t>
      </w:r>
      <w:r w:rsidRPr="007264C7">
        <w:rPr>
          <w:szCs w:val="24"/>
          <w:vertAlign w:val="superscript"/>
        </w:rPr>
        <w:t>2</w:t>
      </w:r>
      <w:r w:rsidR="00202E16">
        <w:rPr>
          <w:szCs w:val="24"/>
        </w:rPr>
        <w:t xml:space="preserve"> в/в капельно за 1 ч, 1–</w:t>
      </w:r>
      <w:r w:rsidRPr="007264C7">
        <w:rPr>
          <w:szCs w:val="24"/>
        </w:rPr>
        <w:t>5</w:t>
      </w:r>
      <w:r w:rsidR="00202E16">
        <w:rPr>
          <w:szCs w:val="24"/>
        </w:rPr>
        <w:t>-й дни (или 8–</w:t>
      </w:r>
      <w:r w:rsidRPr="007264C7">
        <w:rPr>
          <w:szCs w:val="24"/>
        </w:rPr>
        <w:t>12</w:t>
      </w:r>
      <w:r w:rsidR="00202E16">
        <w:rPr>
          <w:szCs w:val="24"/>
        </w:rPr>
        <w:t>-й</w:t>
      </w:r>
      <w:r w:rsidRPr="007264C7">
        <w:rPr>
          <w:szCs w:val="24"/>
        </w:rPr>
        <w:t>)</w:t>
      </w:r>
    </w:p>
    <w:p w14:paraId="1F1ED184" w14:textId="77777777" w:rsidR="00533FE8" w:rsidRPr="00202E16" w:rsidRDefault="00533FE8" w:rsidP="00533FE8">
      <w:pPr>
        <w:rPr>
          <w:b/>
          <w:szCs w:val="24"/>
        </w:rPr>
      </w:pPr>
      <w:r w:rsidRPr="00202E16">
        <w:rPr>
          <w:b/>
          <w:szCs w:val="24"/>
        </w:rPr>
        <w:t xml:space="preserve">Блок </w:t>
      </w:r>
      <w:r w:rsidRPr="00202E16">
        <w:rPr>
          <w:b/>
          <w:szCs w:val="24"/>
          <w:lang w:val="en-US"/>
        </w:rPr>
        <w:t>CE</w:t>
      </w:r>
      <w:r w:rsidR="00202E16">
        <w:rPr>
          <w:b/>
          <w:szCs w:val="24"/>
        </w:rPr>
        <w:t>:</w:t>
      </w:r>
    </w:p>
    <w:p w14:paraId="7C586E32" w14:textId="77777777" w:rsidR="00533FE8" w:rsidRPr="007264C7" w:rsidRDefault="004C2C6A" w:rsidP="00956D03">
      <w:pPr>
        <w:pStyle w:val="-51"/>
        <w:numPr>
          <w:ilvl w:val="0"/>
          <w:numId w:val="10"/>
        </w:numPr>
        <w:suppressAutoHyphens w:val="0"/>
        <w:spacing w:after="200"/>
        <w:contextualSpacing/>
        <w:jc w:val="left"/>
        <w:rPr>
          <w:szCs w:val="24"/>
          <w:u w:val="single"/>
        </w:rPr>
      </w:pPr>
      <w:r>
        <w:rPr>
          <w:szCs w:val="24"/>
        </w:rPr>
        <w:t>Циклофосфамид**</w:t>
      </w:r>
      <w:r w:rsidR="00533FE8" w:rsidRPr="007264C7">
        <w:rPr>
          <w:szCs w:val="24"/>
        </w:rPr>
        <w:t xml:space="preserve"> 440 мг/м</w:t>
      </w:r>
      <w:r w:rsidR="00533FE8" w:rsidRPr="007264C7">
        <w:rPr>
          <w:szCs w:val="24"/>
          <w:vertAlign w:val="superscript"/>
        </w:rPr>
        <w:t>2</w:t>
      </w:r>
      <w:r w:rsidR="00202E16">
        <w:rPr>
          <w:szCs w:val="24"/>
        </w:rPr>
        <w:t xml:space="preserve"> в/в капельно, 8–</w:t>
      </w:r>
      <w:r w:rsidR="00533FE8" w:rsidRPr="007264C7">
        <w:rPr>
          <w:szCs w:val="24"/>
        </w:rPr>
        <w:t>12</w:t>
      </w:r>
      <w:r w:rsidR="00202E16">
        <w:rPr>
          <w:szCs w:val="24"/>
        </w:rPr>
        <w:t>-й дни (или 1–</w:t>
      </w:r>
      <w:r w:rsidR="00533FE8" w:rsidRPr="007264C7">
        <w:rPr>
          <w:szCs w:val="24"/>
        </w:rPr>
        <w:t>5</w:t>
      </w:r>
      <w:r w:rsidR="00202E16">
        <w:rPr>
          <w:szCs w:val="24"/>
        </w:rPr>
        <w:t>-й</w:t>
      </w:r>
      <w:r w:rsidR="00533FE8" w:rsidRPr="007264C7">
        <w:rPr>
          <w:szCs w:val="24"/>
        </w:rPr>
        <w:t>)</w:t>
      </w:r>
    </w:p>
    <w:p w14:paraId="4CEF54B7" w14:textId="26216609" w:rsidR="00350F60" w:rsidRPr="00261628" w:rsidRDefault="00113194" w:rsidP="00533FE8">
      <w:pPr>
        <w:pStyle w:val="-51"/>
        <w:numPr>
          <w:ilvl w:val="0"/>
          <w:numId w:val="10"/>
        </w:numPr>
        <w:suppressAutoHyphens w:val="0"/>
        <w:spacing w:after="200"/>
        <w:contextualSpacing/>
        <w:jc w:val="left"/>
        <w:rPr>
          <w:szCs w:val="24"/>
          <w:u w:val="single"/>
        </w:rPr>
      </w:pPr>
      <w:r w:rsidRPr="00113194">
        <w:rPr>
          <w:szCs w:val="24"/>
        </w:rPr>
        <w:t>#</w:t>
      </w:r>
      <w:r w:rsidR="00533FE8" w:rsidRPr="007264C7">
        <w:rPr>
          <w:szCs w:val="24"/>
        </w:rPr>
        <w:t>Этопозид</w:t>
      </w:r>
      <w:r w:rsidRPr="00113194">
        <w:rPr>
          <w:szCs w:val="24"/>
        </w:rPr>
        <w:t>**</w:t>
      </w:r>
      <w:r w:rsidR="00533FE8" w:rsidRPr="007264C7">
        <w:rPr>
          <w:szCs w:val="24"/>
        </w:rPr>
        <w:t xml:space="preserve"> 100 мг/м</w:t>
      </w:r>
      <w:r w:rsidR="00533FE8" w:rsidRPr="007264C7">
        <w:rPr>
          <w:szCs w:val="24"/>
          <w:vertAlign w:val="superscript"/>
        </w:rPr>
        <w:t>2</w:t>
      </w:r>
      <w:r w:rsidR="00533FE8" w:rsidRPr="007264C7">
        <w:rPr>
          <w:szCs w:val="24"/>
        </w:rPr>
        <w:t xml:space="preserve"> в/в</w:t>
      </w:r>
      <w:r w:rsidR="00202E16">
        <w:rPr>
          <w:szCs w:val="24"/>
        </w:rPr>
        <w:t xml:space="preserve"> капельно за 1 ч, 8–</w:t>
      </w:r>
      <w:r w:rsidR="00202E16" w:rsidRPr="007264C7">
        <w:rPr>
          <w:szCs w:val="24"/>
        </w:rPr>
        <w:t>12</w:t>
      </w:r>
      <w:r w:rsidR="00202E16">
        <w:rPr>
          <w:szCs w:val="24"/>
        </w:rPr>
        <w:t>-й дни (или 1–</w:t>
      </w:r>
      <w:r w:rsidR="00533FE8" w:rsidRPr="007264C7">
        <w:rPr>
          <w:szCs w:val="24"/>
        </w:rPr>
        <w:t>5</w:t>
      </w:r>
      <w:r w:rsidR="00202E16">
        <w:rPr>
          <w:szCs w:val="24"/>
        </w:rPr>
        <w:t>-й</w:t>
      </w:r>
      <w:r w:rsidR="00533FE8" w:rsidRPr="007264C7">
        <w:rPr>
          <w:szCs w:val="24"/>
        </w:rPr>
        <w:t>)</w:t>
      </w:r>
    </w:p>
    <w:p w14:paraId="0E1E353C" w14:textId="77777777" w:rsidR="00533FE8" w:rsidRPr="00510729" w:rsidRDefault="00533FE8" w:rsidP="00533FE8">
      <w:pPr>
        <w:rPr>
          <w:b/>
          <w:szCs w:val="24"/>
        </w:rPr>
      </w:pPr>
      <w:r w:rsidRPr="007264C7">
        <w:rPr>
          <w:b/>
          <w:szCs w:val="24"/>
          <w:lang w:val="en-US"/>
        </w:rPr>
        <w:t>BFM</w:t>
      </w:r>
      <w:r w:rsidRPr="007264C7">
        <w:rPr>
          <w:b/>
          <w:szCs w:val="24"/>
        </w:rPr>
        <w:t>-</w:t>
      </w:r>
      <w:r w:rsidRPr="007264C7">
        <w:rPr>
          <w:b/>
          <w:szCs w:val="24"/>
          <w:lang w:val="en-US"/>
        </w:rPr>
        <w:t>REZ</w:t>
      </w:r>
      <w:r>
        <w:rPr>
          <w:b/>
          <w:szCs w:val="24"/>
        </w:rPr>
        <w:t xml:space="preserve"> 2002</w:t>
      </w:r>
    </w:p>
    <w:p w14:paraId="37ED03F5" w14:textId="77777777" w:rsidR="00533FE8" w:rsidRDefault="001453F0" w:rsidP="00533FE8">
      <w:pPr>
        <w:ind w:left="360"/>
        <w:rPr>
          <w:sz w:val="28"/>
          <w:szCs w:val="32"/>
        </w:rPr>
      </w:pPr>
      <w:r>
        <w:rPr>
          <w:noProof/>
          <w:sz w:val="28"/>
          <w:szCs w:val="32"/>
        </w:rPr>
        <w:drawing>
          <wp:inline distT="0" distB="0" distL="0" distR="0" wp14:anchorId="3938D640" wp14:editId="54802918">
            <wp:extent cx="5200015" cy="2465070"/>
            <wp:effectExtent l="19050" t="0" r="63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cstate="print"/>
                    <a:srcRect/>
                    <a:stretch>
                      <a:fillRect/>
                    </a:stretch>
                  </pic:blipFill>
                  <pic:spPr bwMode="auto">
                    <a:xfrm>
                      <a:off x="0" y="0"/>
                      <a:ext cx="5200015" cy="2465070"/>
                    </a:xfrm>
                    <a:prstGeom prst="rect">
                      <a:avLst/>
                    </a:prstGeom>
                    <a:noFill/>
                    <a:ln w="9525">
                      <a:noFill/>
                      <a:miter lim="800000"/>
                      <a:headEnd/>
                      <a:tailEnd/>
                    </a:ln>
                  </pic:spPr>
                </pic:pic>
              </a:graphicData>
            </a:graphic>
          </wp:inline>
        </w:drawing>
      </w:r>
    </w:p>
    <w:p w14:paraId="1ABD9A95" w14:textId="77777777" w:rsidR="00533FE8" w:rsidRPr="004558C4" w:rsidRDefault="009B3363" w:rsidP="00533FE8">
      <w:pPr>
        <w:ind w:left="360"/>
        <w:rPr>
          <w:b/>
          <w:i/>
          <w:szCs w:val="24"/>
        </w:rPr>
      </w:pPr>
      <w:r w:rsidRPr="004558C4">
        <w:rPr>
          <w:b/>
          <w:i/>
          <w:szCs w:val="24"/>
        </w:rPr>
        <w:t>Рис. 1</w:t>
      </w:r>
    </w:p>
    <w:p w14:paraId="76E01207" w14:textId="77777777" w:rsidR="009B3363" w:rsidRDefault="009B3363" w:rsidP="00533FE8">
      <w:pPr>
        <w:ind w:left="360"/>
        <w:rPr>
          <w:sz w:val="28"/>
          <w:szCs w:val="32"/>
        </w:rPr>
      </w:pPr>
    </w:p>
    <w:p w14:paraId="0D2096D3" w14:textId="77777777" w:rsidR="00533FE8" w:rsidRPr="00120DD7" w:rsidRDefault="00533FE8" w:rsidP="00533FE8">
      <w:pPr>
        <w:ind w:left="360"/>
        <w:rPr>
          <w:szCs w:val="24"/>
        </w:rPr>
      </w:pPr>
      <w:r w:rsidRPr="00120DD7">
        <w:rPr>
          <w:szCs w:val="24"/>
        </w:rPr>
        <w:t>Схема:</w:t>
      </w:r>
      <w:r w:rsidRPr="00120DD7">
        <w:rPr>
          <w:noProof/>
          <w:szCs w:val="24"/>
        </w:rPr>
        <w:t xml:space="preserve"> </w:t>
      </w:r>
    </w:p>
    <w:p w14:paraId="3646CEEE" w14:textId="77777777" w:rsidR="00533FE8" w:rsidRPr="00120DD7" w:rsidRDefault="00533FE8" w:rsidP="00533FE8">
      <w:pPr>
        <w:ind w:left="360"/>
        <w:rPr>
          <w:szCs w:val="24"/>
        </w:rPr>
      </w:pPr>
      <w:r w:rsidRPr="00120DD7">
        <w:rPr>
          <w:szCs w:val="24"/>
        </w:rPr>
        <w:t xml:space="preserve">Группа </w:t>
      </w:r>
      <w:r w:rsidRPr="00120DD7">
        <w:rPr>
          <w:szCs w:val="24"/>
          <w:lang w:val="en-US"/>
        </w:rPr>
        <w:t>S</w:t>
      </w:r>
      <w:r w:rsidRPr="00120DD7">
        <w:rPr>
          <w:szCs w:val="24"/>
        </w:rPr>
        <w:t>1 (поздний изолированный внекостно</w:t>
      </w:r>
      <w:r w:rsidR="00CB1925">
        <w:rPr>
          <w:szCs w:val="24"/>
        </w:rPr>
        <w:t>-</w:t>
      </w:r>
      <w:r w:rsidRPr="00120DD7">
        <w:rPr>
          <w:szCs w:val="24"/>
        </w:rPr>
        <w:t>мозговой рецидив).</w:t>
      </w:r>
    </w:p>
    <w:p w14:paraId="557D55BA" w14:textId="77777777" w:rsidR="00533FE8" w:rsidRPr="00120DD7" w:rsidRDefault="00533FE8" w:rsidP="00533FE8">
      <w:pPr>
        <w:ind w:left="360"/>
        <w:rPr>
          <w:szCs w:val="24"/>
        </w:rPr>
      </w:pPr>
      <w:r w:rsidRPr="00120DD7">
        <w:rPr>
          <w:szCs w:val="24"/>
        </w:rPr>
        <w:t xml:space="preserve">Группа </w:t>
      </w:r>
      <w:r w:rsidRPr="00120DD7">
        <w:rPr>
          <w:szCs w:val="24"/>
          <w:lang w:val="en-US"/>
        </w:rPr>
        <w:t>S</w:t>
      </w:r>
      <w:r w:rsidRPr="00120DD7">
        <w:rPr>
          <w:szCs w:val="24"/>
        </w:rPr>
        <w:t>2 (очень ранний и ранний изолированный внекостномозговой рецидив, поздний костномозговой не Т-ОЛЛ и с комбинированным ранним или поздним не Т-ОЛЛ).</w:t>
      </w:r>
    </w:p>
    <w:p w14:paraId="444EB589" w14:textId="77777777" w:rsidR="00533FE8" w:rsidRPr="00120DD7" w:rsidRDefault="00533FE8" w:rsidP="00533FE8">
      <w:pPr>
        <w:ind w:left="360"/>
        <w:rPr>
          <w:szCs w:val="24"/>
        </w:rPr>
      </w:pPr>
      <w:r w:rsidRPr="00120DD7">
        <w:rPr>
          <w:szCs w:val="24"/>
        </w:rPr>
        <w:t xml:space="preserve">Группа </w:t>
      </w:r>
      <w:r w:rsidRPr="00120DD7">
        <w:rPr>
          <w:szCs w:val="24"/>
          <w:lang w:val="en-US"/>
        </w:rPr>
        <w:t>S</w:t>
      </w:r>
      <w:r w:rsidRPr="00120DD7">
        <w:rPr>
          <w:szCs w:val="24"/>
        </w:rPr>
        <w:t>3 (с ранним изолированным костномозговым рецидивом не Т-ОЛЛ).</w:t>
      </w:r>
    </w:p>
    <w:p w14:paraId="1A971101" w14:textId="77777777" w:rsidR="00533FE8" w:rsidRPr="00120DD7" w:rsidRDefault="00533FE8" w:rsidP="00533FE8">
      <w:pPr>
        <w:ind w:left="360"/>
        <w:rPr>
          <w:szCs w:val="24"/>
        </w:rPr>
      </w:pPr>
      <w:r w:rsidRPr="00120DD7">
        <w:rPr>
          <w:szCs w:val="24"/>
        </w:rPr>
        <w:t xml:space="preserve">Группа </w:t>
      </w:r>
      <w:r w:rsidRPr="00120DD7">
        <w:rPr>
          <w:szCs w:val="24"/>
          <w:lang w:val="en-US"/>
        </w:rPr>
        <w:t>S</w:t>
      </w:r>
      <w:r w:rsidRPr="00120DD7">
        <w:rPr>
          <w:szCs w:val="24"/>
        </w:rPr>
        <w:t>4 (</w:t>
      </w:r>
      <w:r w:rsidR="00AA6C89">
        <w:rPr>
          <w:szCs w:val="24"/>
        </w:rPr>
        <w:t xml:space="preserve">с </w:t>
      </w:r>
      <w:r w:rsidRPr="00120DD7">
        <w:rPr>
          <w:szCs w:val="24"/>
        </w:rPr>
        <w:t>очень ранним комбинированным и изолированным костномозговым рецидивом,</w:t>
      </w:r>
      <w:r>
        <w:rPr>
          <w:szCs w:val="24"/>
        </w:rPr>
        <w:t xml:space="preserve"> рецидив костномозговой Т-ОЛЛ).</w:t>
      </w:r>
    </w:p>
    <w:p w14:paraId="30740ABD" w14:textId="77777777" w:rsidR="00533FE8" w:rsidRPr="00404D21" w:rsidRDefault="00533FE8" w:rsidP="00533FE8">
      <w:pPr>
        <w:ind w:left="360"/>
        <w:rPr>
          <w:b/>
          <w:szCs w:val="24"/>
        </w:rPr>
      </w:pPr>
      <w:r w:rsidRPr="00404D21">
        <w:rPr>
          <w:b/>
          <w:szCs w:val="24"/>
        </w:rPr>
        <w:t xml:space="preserve">Блок </w:t>
      </w:r>
      <w:r w:rsidRPr="00404D21">
        <w:rPr>
          <w:b/>
          <w:szCs w:val="24"/>
          <w:lang w:val="en-US"/>
        </w:rPr>
        <w:t>F1</w:t>
      </w:r>
      <w:r w:rsidRPr="00404D21">
        <w:rPr>
          <w:b/>
          <w:szCs w:val="24"/>
        </w:rPr>
        <w:t>(индукция)</w:t>
      </w:r>
      <w:r w:rsidR="00404D21">
        <w:rPr>
          <w:b/>
          <w:szCs w:val="24"/>
        </w:rPr>
        <w:t>:</w:t>
      </w:r>
    </w:p>
    <w:p w14:paraId="6ECCB10D" w14:textId="77777777" w:rsidR="00533FE8" w:rsidRPr="00120DD7" w:rsidRDefault="00533FE8" w:rsidP="00956D03">
      <w:pPr>
        <w:pStyle w:val="-51"/>
        <w:numPr>
          <w:ilvl w:val="0"/>
          <w:numId w:val="11"/>
        </w:numPr>
        <w:suppressAutoHyphens w:val="0"/>
        <w:spacing w:after="200"/>
        <w:contextualSpacing/>
        <w:jc w:val="left"/>
        <w:rPr>
          <w:szCs w:val="24"/>
        </w:rPr>
      </w:pPr>
      <w:r w:rsidRPr="00120DD7">
        <w:rPr>
          <w:szCs w:val="24"/>
        </w:rPr>
        <w:lastRenderedPageBreak/>
        <w:t>Дексаметазон</w:t>
      </w:r>
      <w:r w:rsidR="006F5D03">
        <w:rPr>
          <w:szCs w:val="24"/>
        </w:rPr>
        <w:t>**</w:t>
      </w:r>
      <w:r w:rsidRPr="00120DD7">
        <w:rPr>
          <w:szCs w:val="24"/>
        </w:rPr>
        <w:t xml:space="preserve"> 20 мг/м</w:t>
      </w:r>
      <w:r w:rsidRPr="00120DD7">
        <w:rPr>
          <w:szCs w:val="24"/>
          <w:vertAlign w:val="superscript"/>
        </w:rPr>
        <w:t>2</w:t>
      </w:r>
      <w:r w:rsidRPr="00120DD7">
        <w:rPr>
          <w:szCs w:val="24"/>
        </w:rPr>
        <w:t xml:space="preserve"> внутрь, </w:t>
      </w:r>
      <w:r w:rsidR="00404D21">
        <w:rPr>
          <w:szCs w:val="24"/>
        </w:rPr>
        <w:t>1–</w:t>
      </w:r>
      <w:r w:rsidRPr="00120DD7">
        <w:rPr>
          <w:szCs w:val="24"/>
        </w:rPr>
        <w:t>5</w:t>
      </w:r>
      <w:r w:rsidR="00404D21">
        <w:rPr>
          <w:szCs w:val="24"/>
        </w:rPr>
        <w:t>-й</w:t>
      </w:r>
      <w:r w:rsidR="00404D21" w:rsidRPr="00404D21">
        <w:rPr>
          <w:szCs w:val="24"/>
        </w:rPr>
        <w:t xml:space="preserve"> </w:t>
      </w:r>
      <w:r w:rsidR="00404D21" w:rsidRPr="00120DD7">
        <w:rPr>
          <w:szCs w:val="24"/>
        </w:rPr>
        <w:t>дни</w:t>
      </w:r>
    </w:p>
    <w:p w14:paraId="3DB128FF" w14:textId="77777777" w:rsidR="00533FE8" w:rsidRPr="00120DD7" w:rsidRDefault="00533FE8" w:rsidP="00956D03">
      <w:pPr>
        <w:pStyle w:val="-51"/>
        <w:numPr>
          <w:ilvl w:val="0"/>
          <w:numId w:val="11"/>
        </w:numPr>
        <w:suppressAutoHyphens w:val="0"/>
        <w:spacing w:after="200"/>
        <w:contextualSpacing/>
        <w:jc w:val="left"/>
        <w:rPr>
          <w:szCs w:val="24"/>
        </w:rPr>
      </w:pPr>
      <w:r w:rsidRPr="00120DD7">
        <w:rPr>
          <w:szCs w:val="24"/>
        </w:rPr>
        <w:t>Винкристин</w:t>
      </w:r>
      <w:r w:rsidR="00457E7B">
        <w:rPr>
          <w:szCs w:val="24"/>
        </w:rPr>
        <w:t>**</w:t>
      </w:r>
      <w:r w:rsidRPr="00120DD7">
        <w:rPr>
          <w:szCs w:val="24"/>
        </w:rPr>
        <w:t xml:space="preserve"> 1,5 мг/м</w:t>
      </w:r>
      <w:r w:rsidRPr="00120DD7">
        <w:rPr>
          <w:szCs w:val="24"/>
          <w:vertAlign w:val="superscript"/>
        </w:rPr>
        <w:t>2</w:t>
      </w:r>
      <w:r w:rsidRPr="00120DD7">
        <w:rPr>
          <w:szCs w:val="24"/>
        </w:rPr>
        <w:t xml:space="preserve"> (максималь</w:t>
      </w:r>
      <w:r w:rsidR="00404D21">
        <w:rPr>
          <w:szCs w:val="24"/>
        </w:rPr>
        <w:t xml:space="preserve">ная доза </w:t>
      </w:r>
      <w:r w:rsidR="00235ABC">
        <w:rPr>
          <w:szCs w:val="24"/>
        </w:rPr>
        <w:t xml:space="preserve">– </w:t>
      </w:r>
      <w:r w:rsidR="00404D21">
        <w:rPr>
          <w:szCs w:val="24"/>
        </w:rPr>
        <w:t xml:space="preserve">2 мг) в/в струйно, </w:t>
      </w:r>
      <w:r w:rsidRPr="00120DD7">
        <w:rPr>
          <w:szCs w:val="24"/>
        </w:rPr>
        <w:t>1</w:t>
      </w:r>
      <w:r w:rsidR="00404D21">
        <w:rPr>
          <w:szCs w:val="24"/>
        </w:rPr>
        <w:t>-й</w:t>
      </w:r>
      <w:r w:rsidRPr="00120DD7">
        <w:rPr>
          <w:szCs w:val="24"/>
        </w:rPr>
        <w:t>,</w:t>
      </w:r>
      <w:r w:rsidR="00404D21">
        <w:rPr>
          <w:szCs w:val="24"/>
        </w:rPr>
        <w:t xml:space="preserve"> </w:t>
      </w:r>
      <w:r w:rsidRPr="00120DD7">
        <w:rPr>
          <w:szCs w:val="24"/>
        </w:rPr>
        <w:t>6</w:t>
      </w:r>
      <w:r w:rsidR="00404D21">
        <w:rPr>
          <w:szCs w:val="24"/>
        </w:rPr>
        <w:t>-й дни</w:t>
      </w:r>
    </w:p>
    <w:p w14:paraId="507EA06B" w14:textId="77777777" w:rsidR="00533FE8" w:rsidRPr="00120DD7" w:rsidRDefault="00533FE8" w:rsidP="00956D03">
      <w:pPr>
        <w:pStyle w:val="-51"/>
        <w:numPr>
          <w:ilvl w:val="0"/>
          <w:numId w:val="11"/>
        </w:numPr>
        <w:suppressAutoHyphens w:val="0"/>
        <w:spacing w:after="200"/>
        <w:contextualSpacing/>
        <w:jc w:val="left"/>
        <w:rPr>
          <w:szCs w:val="24"/>
        </w:rPr>
      </w:pPr>
      <w:r w:rsidRPr="00120DD7">
        <w:rPr>
          <w:szCs w:val="24"/>
        </w:rPr>
        <w:t>Метотрексат</w:t>
      </w:r>
      <w:r w:rsidR="00FE233A">
        <w:rPr>
          <w:szCs w:val="24"/>
        </w:rPr>
        <w:t>**</w:t>
      </w:r>
      <w:r w:rsidRPr="00120DD7">
        <w:rPr>
          <w:szCs w:val="24"/>
        </w:rPr>
        <w:t xml:space="preserve"> 1 г/м</w:t>
      </w:r>
      <w:r w:rsidRPr="00120DD7">
        <w:rPr>
          <w:szCs w:val="24"/>
          <w:vertAlign w:val="superscript"/>
        </w:rPr>
        <w:t>2</w:t>
      </w:r>
      <w:r w:rsidR="00404D21">
        <w:rPr>
          <w:szCs w:val="24"/>
        </w:rPr>
        <w:t xml:space="preserve"> в/в инфузия в течение 36 ч, </w:t>
      </w:r>
      <w:r w:rsidRPr="00120DD7">
        <w:rPr>
          <w:szCs w:val="24"/>
        </w:rPr>
        <w:t>1</w:t>
      </w:r>
      <w:r w:rsidR="00404D21">
        <w:rPr>
          <w:szCs w:val="24"/>
        </w:rPr>
        <w:t>-й день</w:t>
      </w:r>
    </w:p>
    <w:p w14:paraId="24DD0449" w14:textId="10E9FE7B" w:rsidR="00533FE8" w:rsidRPr="00120DD7" w:rsidRDefault="005004D7" w:rsidP="00956D03">
      <w:pPr>
        <w:pStyle w:val="-51"/>
        <w:numPr>
          <w:ilvl w:val="0"/>
          <w:numId w:val="11"/>
        </w:numPr>
        <w:suppressAutoHyphens w:val="0"/>
        <w:spacing w:after="200"/>
        <w:contextualSpacing/>
        <w:jc w:val="left"/>
        <w:rPr>
          <w:szCs w:val="24"/>
        </w:rPr>
      </w:pPr>
      <w:r>
        <w:rPr>
          <w:szCs w:val="24"/>
        </w:rPr>
        <w:t>А</w:t>
      </w:r>
      <w:r w:rsidR="00533FE8" w:rsidRPr="00120DD7">
        <w:rPr>
          <w:szCs w:val="24"/>
        </w:rPr>
        <w:t>спарагиназа</w:t>
      </w:r>
      <w:r w:rsidR="00714B4A">
        <w:rPr>
          <w:szCs w:val="24"/>
        </w:rPr>
        <w:t>**</w:t>
      </w:r>
      <w:r w:rsidR="00533FE8" w:rsidRPr="00120DD7">
        <w:rPr>
          <w:szCs w:val="24"/>
        </w:rPr>
        <w:t xml:space="preserve"> 10</w:t>
      </w:r>
      <w:r>
        <w:rPr>
          <w:szCs w:val="24"/>
        </w:rPr>
        <w:t xml:space="preserve"> </w:t>
      </w:r>
      <w:r w:rsidR="00533FE8" w:rsidRPr="00120DD7">
        <w:rPr>
          <w:szCs w:val="24"/>
        </w:rPr>
        <w:t>тыс.</w:t>
      </w:r>
      <w:r>
        <w:rPr>
          <w:szCs w:val="24"/>
        </w:rPr>
        <w:t xml:space="preserve"> </w:t>
      </w:r>
      <w:r w:rsidR="00533FE8" w:rsidRPr="00120DD7">
        <w:rPr>
          <w:szCs w:val="24"/>
        </w:rPr>
        <w:t>Ед/м</w:t>
      </w:r>
      <w:r w:rsidR="00533FE8" w:rsidRPr="00120DD7">
        <w:rPr>
          <w:szCs w:val="24"/>
          <w:vertAlign w:val="superscript"/>
        </w:rPr>
        <w:t xml:space="preserve">2 </w:t>
      </w:r>
      <w:r w:rsidR="0043037B" w:rsidRPr="0043037B">
        <w:rPr>
          <w:szCs w:val="24"/>
          <w:vertAlign w:val="superscript"/>
        </w:rPr>
        <w:t xml:space="preserve"> </w:t>
      </w:r>
      <w:r w:rsidR="0043037B" w:rsidRPr="00B42B8A">
        <w:rPr>
          <w:bCs/>
          <w:iCs/>
        </w:rPr>
        <w:t xml:space="preserve">или </w:t>
      </w:r>
      <w:r w:rsidR="0043037B">
        <w:rPr>
          <w:bCs/>
          <w:iCs/>
        </w:rPr>
        <w:t>пэг</w:t>
      </w:r>
      <w:r w:rsidR="0043037B" w:rsidRPr="009F500F">
        <w:rPr>
          <w:bCs/>
          <w:iCs/>
        </w:rPr>
        <w:t>аспарагаза</w:t>
      </w:r>
      <w:r w:rsidR="0043037B">
        <w:rPr>
          <w:bCs/>
          <w:iCs/>
        </w:rPr>
        <w:t xml:space="preserve"> ** 1000 ЕД/м²   в</w:t>
      </w:r>
      <w:r w:rsidR="00404D21">
        <w:rPr>
          <w:szCs w:val="24"/>
        </w:rPr>
        <w:t>/в капельно за 6 ч,</w:t>
      </w:r>
      <w:r w:rsidR="00533FE8" w:rsidRPr="00120DD7">
        <w:rPr>
          <w:szCs w:val="24"/>
        </w:rPr>
        <w:t xml:space="preserve"> 4</w:t>
      </w:r>
      <w:r w:rsidR="00404D21">
        <w:rPr>
          <w:szCs w:val="24"/>
        </w:rPr>
        <w:t>-й день</w:t>
      </w:r>
    </w:p>
    <w:p w14:paraId="4DFA2F13" w14:textId="77777777" w:rsidR="00533FE8" w:rsidRPr="00120DD7" w:rsidRDefault="00533FE8" w:rsidP="00337DF1">
      <w:pPr>
        <w:ind w:firstLine="720"/>
        <w:rPr>
          <w:szCs w:val="24"/>
        </w:rPr>
      </w:pPr>
      <w:r w:rsidRPr="00120DD7">
        <w:rPr>
          <w:szCs w:val="24"/>
        </w:rPr>
        <w:t>Интратекальное введение метотрексат</w:t>
      </w:r>
      <w:r w:rsidR="00404D21">
        <w:rPr>
          <w:szCs w:val="24"/>
        </w:rPr>
        <w:t>а</w:t>
      </w:r>
      <w:r w:rsidR="00FE233A">
        <w:rPr>
          <w:szCs w:val="24"/>
        </w:rPr>
        <w:t>**</w:t>
      </w:r>
      <w:r w:rsidRPr="00120DD7">
        <w:rPr>
          <w:szCs w:val="24"/>
        </w:rPr>
        <w:t xml:space="preserve"> 15 мг, цитарабин</w:t>
      </w:r>
      <w:r w:rsidR="00404D21">
        <w:rPr>
          <w:szCs w:val="24"/>
        </w:rPr>
        <w:t>а</w:t>
      </w:r>
      <w:r w:rsidR="00421699">
        <w:rPr>
          <w:szCs w:val="24"/>
        </w:rPr>
        <w:t>**</w:t>
      </w:r>
      <w:r w:rsidRPr="00120DD7">
        <w:rPr>
          <w:szCs w:val="24"/>
        </w:rPr>
        <w:t xml:space="preserve"> 30 мг, дексаметазон</w:t>
      </w:r>
      <w:r w:rsidR="00404D21">
        <w:rPr>
          <w:szCs w:val="24"/>
        </w:rPr>
        <w:t>а</w:t>
      </w:r>
      <w:r w:rsidR="006F5D03">
        <w:rPr>
          <w:szCs w:val="24"/>
        </w:rPr>
        <w:t>**</w:t>
      </w:r>
      <w:r w:rsidR="00337DF1">
        <w:rPr>
          <w:szCs w:val="24"/>
        </w:rPr>
        <w:t xml:space="preserve"> </w:t>
      </w:r>
      <w:r w:rsidRPr="00120DD7">
        <w:rPr>
          <w:szCs w:val="24"/>
        </w:rPr>
        <w:t>4 мг в 1-й</w:t>
      </w:r>
      <w:r w:rsidR="00404D21" w:rsidRPr="00404D21">
        <w:rPr>
          <w:szCs w:val="24"/>
        </w:rPr>
        <w:t xml:space="preserve"> </w:t>
      </w:r>
      <w:r w:rsidR="00404D21" w:rsidRPr="00120DD7">
        <w:rPr>
          <w:szCs w:val="24"/>
        </w:rPr>
        <w:t>день</w:t>
      </w:r>
      <w:r w:rsidRPr="00120DD7">
        <w:rPr>
          <w:szCs w:val="24"/>
        </w:rPr>
        <w:t>.</w:t>
      </w:r>
    </w:p>
    <w:p w14:paraId="11ECBB7B" w14:textId="77777777" w:rsidR="00533FE8" w:rsidRPr="00404D21" w:rsidRDefault="00533FE8" w:rsidP="00533FE8">
      <w:pPr>
        <w:ind w:left="360"/>
        <w:rPr>
          <w:b/>
          <w:szCs w:val="24"/>
        </w:rPr>
      </w:pPr>
      <w:r w:rsidRPr="00404D21">
        <w:rPr>
          <w:b/>
          <w:szCs w:val="24"/>
        </w:rPr>
        <w:t xml:space="preserve">Блок </w:t>
      </w:r>
      <w:r w:rsidRPr="00404D21">
        <w:rPr>
          <w:b/>
          <w:szCs w:val="24"/>
          <w:lang w:val="en-US"/>
        </w:rPr>
        <w:t>F</w:t>
      </w:r>
      <w:r w:rsidRPr="00404D21">
        <w:rPr>
          <w:b/>
          <w:szCs w:val="24"/>
        </w:rPr>
        <w:t>2</w:t>
      </w:r>
      <w:r w:rsidR="00404D21">
        <w:rPr>
          <w:b/>
          <w:szCs w:val="24"/>
        </w:rPr>
        <w:t>:</w:t>
      </w:r>
    </w:p>
    <w:p w14:paraId="41E10D6A" w14:textId="77777777" w:rsidR="00533FE8" w:rsidRPr="00120DD7" w:rsidRDefault="00533FE8" w:rsidP="00956D03">
      <w:pPr>
        <w:pStyle w:val="-51"/>
        <w:numPr>
          <w:ilvl w:val="0"/>
          <w:numId w:val="11"/>
        </w:numPr>
        <w:suppressAutoHyphens w:val="0"/>
        <w:spacing w:after="200"/>
        <w:contextualSpacing/>
        <w:jc w:val="left"/>
        <w:rPr>
          <w:szCs w:val="24"/>
        </w:rPr>
      </w:pPr>
      <w:r w:rsidRPr="00120DD7">
        <w:rPr>
          <w:szCs w:val="24"/>
        </w:rPr>
        <w:t>Дексаметазон</w:t>
      </w:r>
      <w:r w:rsidR="006F5D03">
        <w:rPr>
          <w:szCs w:val="24"/>
        </w:rPr>
        <w:t>**</w:t>
      </w:r>
      <w:r w:rsidRPr="00120DD7">
        <w:rPr>
          <w:szCs w:val="24"/>
        </w:rPr>
        <w:t xml:space="preserve"> 20 мг/м</w:t>
      </w:r>
      <w:r w:rsidRPr="00120DD7">
        <w:rPr>
          <w:szCs w:val="24"/>
          <w:vertAlign w:val="superscript"/>
        </w:rPr>
        <w:t>2</w:t>
      </w:r>
      <w:r w:rsidRPr="00120DD7">
        <w:rPr>
          <w:szCs w:val="24"/>
        </w:rPr>
        <w:t xml:space="preserve"> внутрь, </w:t>
      </w:r>
      <w:r w:rsidR="00404D21">
        <w:rPr>
          <w:szCs w:val="24"/>
        </w:rPr>
        <w:t>1–</w:t>
      </w:r>
      <w:r w:rsidRPr="00120DD7">
        <w:rPr>
          <w:szCs w:val="24"/>
        </w:rPr>
        <w:t>5</w:t>
      </w:r>
      <w:r w:rsidR="00404D21">
        <w:rPr>
          <w:szCs w:val="24"/>
        </w:rPr>
        <w:t>-й</w:t>
      </w:r>
      <w:r w:rsidR="00404D21" w:rsidRPr="00404D21">
        <w:rPr>
          <w:szCs w:val="24"/>
        </w:rPr>
        <w:t xml:space="preserve"> </w:t>
      </w:r>
      <w:r w:rsidR="00404D21" w:rsidRPr="00120DD7">
        <w:rPr>
          <w:szCs w:val="24"/>
        </w:rPr>
        <w:t>дни</w:t>
      </w:r>
    </w:p>
    <w:p w14:paraId="71CC6A08" w14:textId="77777777" w:rsidR="00533FE8" w:rsidRPr="00120DD7" w:rsidRDefault="00533FE8" w:rsidP="00956D03">
      <w:pPr>
        <w:pStyle w:val="-51"/>
        <w:numPr>
          <w:ilvl w:val="0"/>
          <w:numId w:val="11"/>
        </w:numPr>
        <w:suppressAutoHyphens w:val="0"/>
        <w:spacing w:after="200"/>
        <w:contextualSpacing/>
        <w:jc w:val="left"/>
        <w:rPr>
          <w:szCs w:val="24"/>
        </w:rPr>
      </w:pPr>
      <w:r w:rsidRPr="00120DD7">
        <w:rPr>
          <w:szCs w:val="24"/>
        </w:rPr>
        <w:t>Винкристин</w:t>
      </w:r>
      <w:r w:rsidR="00457E7B">
        <w:rPr>
          <w:szCs w:val="24"/>
        </w:rPr>
        <w:t>**</w:t>
      </w:r>
      <w:r w:rsidRPr="00120DD7">
        <w:rPr>
          <w:szCs w:val="24"/>
        </w:rPr>
        <w:t xml:space="preserve"> 1,5 мг/м</w:t>
      </w:r>
      <w:r w:rsidRPr="00120DD7">
        <w:rPr>
          <w:szCs w:val="24"/>
          <w:vertAlign w:val="superscript"/>
        </w:rPr>
        <w:t>2</w:t>
      </w:r>
      <w:r w:rsidRPr="00120DD7">
        <w:rPr>
          <w:szCs w:val="24"/>
        </w:rPr>
        <w:t xml:space="preserve"> (максимальная доза </w:t>
      </w:r>
      <w:r w:rsidR="00404D21">
        <w:rPr>
          <w:szCs w:val="24"/>
        </w:rPr>
        <w:t xml:space="preserve">– </w:t>
      </w:r>
      <w:r w:rsidRPr="00120DD7">
        <w:rPr>
          <w:szCs w:val="24"/>
        </w:rPr>
        <w:t>2 мг) в/в струйно, 1</w:t>
      </w:r>
      <w:r w:rsidR="00404D21">
        <w:rPr>
          <w:szCs w:val="24"/>
        </w:rPr>
        <w:t>-й</w:t>
      </w:r>
      <w:r w:rsidRPr="00120DD7">
        <w:rPr>
          <w:szCs w:val="24"/>
        </w:rPr>
        <w:t>,</w:t>
      </w:r>
      <w:r w:rsidR="00404D21">
        <w:rPr>
          <w:szCs w:val="24"/>
        </w:rPr>
        <w:t xml:space="preserve"> </w:t>
      </w:r>
      <w:r w:rsidRPr="00120DD7">
        <w:rPr>
          <w:szCs w:val="24"/>
        </w:rPr>
        <w:t>6</w:t>
      </w:r>
      <w:r w:rsidR="00404D21">
        <w:rPr>
          <w:szCs w:val="24"/>
        </w:rPr>
        <w:t>-й</w:t>
      </w:r>
      <w:r w:rsidR="00404D21" w:rsidRPr="00404D21">
        <w:rPr>
          <w:szCs w:val="24"/>
        </w:rPr>
        <w:t xml:space="preserve"> </w:t>
      </w:r>
      <w:r w:rsidR="00404D21" w:rsidRPr="00120DD7">
        <w:rPr>
          <w:szCs w:val="24"/>
        </w:rPr>
        <w:t>дни</w:t>
      </w:r>
    </w:p>
    <w:p w14:paraId="4A0C9C88" w14:textId="77777777" w:rsidR="00533FE8" w:rsidRPr="00120DD7" w:rsidRDefault="00533FE8" w:rsidP="00956D03">
      <w:pPr>
        <w:pStyle w:val="-51"/>
        <w:numPr>
          <w:ilvl w:val="0"/>
          <w:numId w:val="12"/>
        </w:numPr>
        <w:suppressAutoHyphens w:val="0"/>
        <w:spacing w:after="200"/>
        <w:contextualSpacing/>
        <w:jc w:val="left"/>
        <w:rPr>
          <w:szCs w:val="24"/>
        </w:rPr>
      </w:pPr>
      <w:r w:rsidRPr="00120DD7">
        <w:rPr>
          <w:szCs w:val="24"/>
        </w:rPr>
        <w:t>Цитарабин</w:t>
      </w:r>
      <w:r w:rsidR="00421699">
        <w:rPr>
          <w:szCs w:val="24"/>
        </w:rPr>
        <w:t>**</w:t>
      </w:r>
      <w:r w:rsidRPr="00120DD7">
        <w:rPr>
          <w:szCs w:val="24"/>
        </w:rPr>
        <w:t xml:space="preserve"> 3 г/м</w:t>
      </w:r>
      <w:r w:rsidRPr="00120DD7">
        <w:rPr>
          <w:szCs w:val="24"/>
          <w:vertAlign w:val="superscript"/>
        </w:rPr>
        <w:t>2</w:t>
      </w:r>
      <w:r w:rsidRPr="00120DD7">
        <w:rPr>
          <w:szCs w:val="24"/>
        </w:rPr>
        <w:t xml:space="preserve"> в</w:t>
      </w:r>
      <w:r w:rsidR="005004D7">
        <w:rPr>
          <w:szCs w:val="24"/>
        </w:rPr>
        <w:t>/</w:t>
      </w:r>
      <w:r w:rsidR="00286457">
        <w:rPr>
          <w:szCs w:val="24"/>
        </w:rPr>
        <w:t>в за 3 ч</w:t>
      </w:r>
      <w:r w:rsidRPr="00120DD7">
        <w:rPr>
          <w:szCs w:val="24"/>
        </w:rPr>
        <w:t xml:space="preserve"> 2 раза в день, </w:t>
      </w:r>
      <w:r w:rsidR="00404D21">
        <w:rPr>
          <w:szCs w:val="24"/>
        </w:rPr>
        <w:t>1–</w:t>
      </w:r>
      <w:r w:rsidRPr="00120DD7">
        <w:rPr>
          <w:szCs w:val="24"/>
        </w:rPr>
        <w:t>2</w:t>
      </w:r>
      <w:r w:rsidR="00404D21">
        <w:rPr>
          <w:szCs w:val="24"/>
        </w:rPr>
        <w:t>-й</w:t>
      </w:r>
      <w:r w:rsidR="00404D21" w:rsidRPr="00404D21">
        <w:rPr>
          <w:szCs w:val="24"/>
        </w:rPr>
        <w:t xml:space="preserve"> </w:t>
      </w:r>
      <w:r w:rsidR="00404D21" w:rsidRPr="00120DD7">
        <w:rPr>
          <w:szCs w:val="24"/>
        </w:rPr>
        <w:t>дни</w:t>
      </w:r>
    </w:p>
    <w:p w14:paraId="60DDEF56" w14:textId="2183770F" w:rsidR="00533FE8" w:rsidRPr="00120DD7" w:rsidRDefault="005004D7" w:rsidP="00956D03">
      <w:pPr>
        <w:pStyle w:val="-51"/>
        <w:numPr>
          <w:ilvl w:val="0"/>
          <w:numId w:val="12"/>
        </w:numPr>
        <w:suppressAutoHyphens w:val="0"/>
        <w:spacing w:after="200"/>
        <w:contextualSpacing/>
        <w:jc w:val="left"/>
        <w:rPr>
          <w:szCs w:val="24"/>
        </w:rPr>
      </w:pPr>
      <w:r>
        <w:rPr>
          <w:szCs w:val="24"/>
        </w:rPr>
        <w:t>А</w:t>
      </w:r>
      <w:r w:rsidR="00533FE8" w:rsidRPr="00120DD7">
        <w:rPr>
          <w:szCs w:val="24"/>
        </w:rPr>
        <w:t>спарагиназа</w:t>
      </w:r>
      <w:r w:rsidR="00714B4A">
        <w:rPr>
          <w:szCs w:val="24"/>
        </w:rPr>
        <w:t>**</w:t>
      </w:r>
      <w:r w:rsidR="00533FE8" w:rsidRPr="00120DD7">
        <w:rPr>
          <w:szCs w:val="24"/>
        </w:rPr>
        <w:t xml:space="preserve"> 10</w:t>
      </w:r>
      <w:r>
        <w:rPr>
          <w:szCs w:val="24"/>
        </w:rPr>
        <w:t xml:space="preserve"> </w:t>
      </w:r>
      <w:r w:rsidR="00533FE8" w:rsidRPr="00120DD7">
        <w:rPr>
          <w:szCs w:val="24"/>
        </w:rPr>
        <w:t>тыс.</w:t>
      </w:r>
      <w:r>
        <w:rPr>
          <w:szCs w:val="24"/>
        </w:rPr>
        <w:t xml:space="preserve"> </w:t>
      </w:r>
      <w:r w:rsidR="00533FE8" w:rsidRPr="00120DD7">
        <w:rPr>
          <w:szCs w:val="24"/>
        </w:rPr>
        <w:t>Ед/м</w:t>
      </w:r>
      <w:r w:rsidR="00533FE8" w:rsidRPr="00120DD7">
        <w:rPr>
          <w:szCs w:val="24"/>
          <w:vertAlign w:val="superscript"/>
        </w:rPr>
        <w:t xml:space="preserve">2 </w:t>
      </w:r>
      <w:r w:rsidR="0043037B">
        <w:rPr>
          <w:szCs w:val="24"/>
        </w:rPr>
        <w:t xml:space="preserve"> </w:t>
      </w:r>
      <w:r w:rsidR="0043037B" w:rsidRPr="00B42B8A">
        <w:rPr>
          <w:bCs/>
          <w:iCs/>
        </w:rPr>
        <w:t xml:space="preserve">или </w:t>
      </w:r>
      <w:r w:rsidR="0043037B">
        <w:rPr>
          <w:bCs/>
          <w:iCs/>
        </w:rPr>
        <w:t>пэг</w:t>
      </w:r>
      <w:r w:rsidR="0043037B" w:rsidRPr="009F500F">
        <w:rPr>
          <w:bCs/>
          <w:iCs/>
        </w:rPr>
        <w:t>аспарагаза</w:t>
      </w:r>
      <w:r w:rsidR="0043037B">
        <w:rPr>
          <w:bCs/>
          <w:iCs/>
        </w:rPr>
        <w:t xml:space="preserve"> ** 1000 ЕД/м²   в</w:t>
      </w:r>
      <w:r w:rsidR="00533FE8" w:rsidRPr="00120DD7">
        <w:rPr>
          <w:szCs w:val="24"/>
        </w:rPr>
        <w:t>/в к</w:t>
      </w:r>
      <w:r w:rsidR="00404D21">
        <w:rPr>
          <w:szCs w:val="24"/>
        </w:rPr>
        <w:t xml:space="preserve">апельно за 6 ч, </w:t>
      </w:r>
      <w:r w:rsidR="00533FE8" w:rsidRPr="00120DD7">
        <w:rPr>
          <w:szCs w:val="24"/>
        </w:rPr>
        <w:t>4</w:t>
      </w:r>
      <w:r w:rsidR="00404D21">
        <w:rPr>
          <w:szCs w:val="24"/>
        </w:rPr>
        <w:t>-й день</w:t>
      </w:r>
    </w:p>
    <w:p w14:paraId="3D339F98" w14:textId="77777777" w:rsidR="00533FE8" w:rsidRPr="00120DD7" w:rsidRDefault="00533FE8" w:rsidP="00533FE8">
      <w:pPr>
        <w:rPr>
          <w:szCs w:val="24"/>
        </w:rPr>
      </w:pPr>
      <w:r w:rsidRPr="00120DD7">
        <w:rPr>
          <w:szCs w:val="24"/>
        </w:rPr>
        <w:t>Интратекальное введение метотрексат</w:t>
      </w:r>
      <w:r w:rsidR="00404D21">
        <w:rPr>
          <w:szCs w:val="24"/>
        </w:rPr>
        <w:t>а</w:t>
      </w:r>
      <w:r w:rsidR="00FE233A">
        <w:rPr>
          <w:szCs w:val="24"/>
        </w:rPr>
        <w:t>**</w:t>
      </w:r>
      <w:r w:rsidRPr="00120DD7">
        <w:rPr>
          <w:szCs w:val="24"/>
        </w:rPr>
        <w:t xml:space="preserve"> 15 мг, цитарабин</w:t>
      </w:r>
      <w:r w:rsidR="00404D21">
        <w:rPr>
          <w:szCs w:val="24"/>
        </w:rPr>
        <w:t>а</w:t>
      </w:r>
      <w:r w:rsidR="00421699">
        <w:rPr>
          <w:szCs w:val="24"/>
        </w:rPr>
        <w:t>**</w:t>
      </w:r>
      <w:r w:rsidRPr="00120DD7">
        <w:rPr>
          <w:szCs w:val="24"/>
        </w:rPr>
        <w:t xml:space="preserve"> 30 мг, дексаметазон</w:t>
      </w:r>
      <w:r w:rsidR="00404D21">
        <w:rPr>
          <w:szCs w:val="24"/>
        </w:rPr>
        <w:t>а</w:t>
      </w:r>
      <w:r w:rsidR="006F5D03">
        <w:rPr>
          <w:szCs w:val="24"/>
        </w:rPr>
        <w:t>**</w:t>
      </w:r>
      <w:r w:rsidRPr="00120DD7">
        <w:rPr>
          <w:szCs w:val="24"/>
        </w:rPr>
        <w:t xml:space="preserve"> 4 мг</w:t>
      </w:r>
      <w:r w:rsidR="00404D21">
        <w:rPr>
          <w:szCs w:val="24"/>
        </w:rPr>
        <w:t xml:space="preserve">, </w:t>
      </w:r>
      <w:r w:rsidRPr="00120DD7">
        <w:rPr>
          <w:szCs w:val="24"/>
        </w:rPr>
        <w:t>5-й</w:t>
      </w:r>
      <w:r w:rsidR="00404D21">
        <w:rPr>
          <w:szCs w:val="24"/>
        </w:rPr>
        <w:t xml:space="preserve"> день</w:t>
      </w:r>
      <w:r w:rsidRPr="00120DD7">
        <w:rPr>
          <w:szCs w:val="24"/>
        </w:rPr>
        <w:t>.</w:t>
      </w:r>
    </w:p>
    <w:p w14:paraId="007E4C89" w14:textId="77777777" w:rsidR="00533FE8" w:rsidRPr="00286457" w:rsidRDefault="00533FE8" w:rsidP="00533FE8">
      <w:pPr>
        <w:ind w:firstLine="426"/>
        <w:rPr>
          <w:b/>
          <w:szCs w:val="24"/>
        </w:rPr>
      </w:pPr>
      <w:r w:rsidRPr="00286457">
        <w:rPr>
          <w:b/>
          <w:szCs w:val="24"/>
        </w:rPr>
        <w:t xml:space="preserve">Блок </w:t>
      </w:r>
      <w:r w:rsidRPr="00286457">
        <w:rPr>
          <w:b/>
          <w:szCs w:val="24"/>
          <w:lang w:val="en-US"/>
        </w:rPr>
        <w:t>R2</w:t>
      </w:r>
      <w:r w:rsidR="00286457">
        <w:rPr>
          <w:b/>
          <w:szCs w:val="24"/>
        </w:rPr>
        <w:t>:</w:t>
      </w:r>
    </w:p>
    <w:p w14:paraId="084ACDBC" w14:textId="77777777" w:rsidR="00533FE8" w:rsidRPr="00120DD7" w:rsidRDefault="00533FE8" w:rsidP="00956D03">
      <w:pPr>
        <w:pStyle w:val="-51"/>
        <w:numPr>
          <w:ilvl w:val="0"/>
          <w:numId w:val="13"/>
        </w:numPr>
        <w:suppressAutoHyphens w:val="0"/>
        <w:spacing w:after="200"/>
        <w:contextualSpacing/>
        <w:jc w:val="left"/>
        <w:rPr>
          <w:szCs w:val="24"/>
        </w:rPr>
      </w:pPr>
      <w:r w:rsidRPr="00120DD7">
        <w:rPr>
          <w:szCs w:val="24"/>
        </w:rPr>
        <w:t>Дексаметазон</w:t>
      </w:r>
      <w:r w:rsidR="006F5D03">
        <w:rPr>
          <w:szCs w:val="24"/>
        </w:rPr>
        <w:t>**</w:t>
      </w:r>
      <w:r w:rsidRPr="00120DD7">
        <w:rPr>
          <w:szCs w:val="24"/>
        </w:rPr>
        <w:t xml:space="preserve"> 20 мг/м</w:t>
      </w:r>
      <w:r w:rsidRPr="00120DD7">
        <w:rPr>
          <w:szCs w:val="24"/>
          <w:vertAlign w:val="superscript"/>
        </w:rPr>
        <w:t>2</w:t>
      </w:r>
      <w:r w:rsidRPr="00120DD7">
        <w:rPr>
          <w:szCs w:val="24"/>
        </w:rPr>
        <w:t xml:space="preserve"> внутрь, </w:t>
      </w:r>
      <w:r w:rsidR="00286457">
        <w:rPr>
          <w:szCs w:val="24"/>
        </w:rPr>
        <w:t>1–</w:t>
      </w:r>
      <w:r w:rsidR="00286457" w:rsidRPr="00120DD7">
        <w:rPr>
          <w:szCs w:val="24"/>
        </w:rPr>
        <w:t>5</w:t>
      </w:r>
      <w:r w:rsidR="00286457">
        <w:rPr>
          <w:szCs w:val="24"/>
        </w:rPr>
        <w:t>-й</w:t>
      </w:r>
      <w:r w:rsidR="00286457" w:rsidRPr="00404D21">
        <w:rPr>
          <w:szCs w:val="24"/>
        </w:rPr>
        <w:t xml:space="preserve"> </w:t>
      </w:r>
      <w:r w:rsidR="00286457" w:rsidRPr="00120DD7">
        <w:rPr>
          <w:szCs w:val="24"/>
        </w:rPr>
        <w:t>дни</w:t>
      </w:r>
    </w:p>
    <w:p w14:paraId="38C34DFC" w14:textId="77777777" w:rsidR="00533FE8" w:rsidRPr="00120DD7" w:rsidRDefault="00533FE8" w:rsidP="00956D03">
      <w:pPr>
        <w:pStyle w:val="-51"/>
        <w:numPr>
          <w:ilvl w:val="0"/>
          <w:numId w:val="13"/>
        </w:numPr>
        <w:suppressAutoHyphens w:val="0"/>
        <w:spacing w:after="200"/>
        <w:contextualSpacing/>
        <w:jc w:val="left"/>
        <w:rPr>
          <w:szCs w:val="24"/>
        </w:rPr>
      </w:pPr>
      <w:r>
        <w:rPr>
          <w:szCs w:val="24"/>
        </w:rPr>
        <w:t>Меркаптопурин</w:t>
      </w:r>
      <w:r w:rsidR="004C2C6A">
        <w:rPr>
          <w:szCs w:val="24"/>
        </w:rPr>
        <w:t>**</w:t>
      </w:r>
      <w:r w:rsidRPr="00120DD7">
        <w:rPr>
          <w:szCs w:val="24"/>
        </w:rPr>
        <w:t xml:space="preserve"> 100 мг/м</w:t>
      </w:r>
      <w:r w:rsidRPr="00120DD7">
        <w:rPr>
          <w:szCs w:val="24"/>
          <w:vertAlign w:val="superscript"/>
        </w:rPr>
        <w:t>2</w:t>
      </w:r>
      <w:r w:rsidRPr="00120DD7">
        <w:rPr>
          <w:szCs w:val="24"/>
        </w:rPr>
        <w:t xml:space="preserve"> внутрь, </w:t>
      </w:r>
      <w:r w:rsidR="00286457">
        <w:rPr>
          <w:szCs w:val="24"/>
        </w:rPr>
        <w:t>1–</w:t>
      </w:r>
      <w:r w:rsidR="00286457" w:rsidRPr="00120DD7">
        <w:rPr>
          <w:szCs w:val="24"/>
        </w:rPr>
        <w:t>5</w:t>
      </w:r>
      <w:r w:rsidR="00286457">
        <w:rPr>
          <w:szCs w:val="24"/>
        </w:rPr>
        <w:t>-й</w:t>
      </w:r>
      <w:r w:rsidR="00286457" w:rsidRPr="00404D21">
        <w:rPr>
          <w:szCs w:val="24"/>
        </w:rPr>
        <w:t xml:space="preserve"> </w:t>
      </w:r>
      <w:r w:rsidR="00286457" w:rsidRPr="00120DD7">
        <w:rPr>
          <w:szCs w:val="24"/>
        </w:rPr>
        <w:t>дни</w:t>
      </w:r>
    </w:p>
    <w:p w14:paraId="379393BA" w14:textId="77777777" w:rsidR="00533FE8" w:rsidRPr="00120DD7" w:rsidRDefault="00982DD0" w:rsidP="00956D03">
      <w:pPr>
        <w:pStyle w:val="-51"/>
        <w:numPr>
          <w:ilvl w:val="0"/>
          <w:numId w:val="13"/>
        </w:numPr>
        <w:suppressAutoHyphens w:val="0"/>
        <w:spacing w:after="200"/>
        <w:contextualSpacing/>
        <w:jc w:val="left"/>
        <w:rPr>
          <w:szCs w:val="24"/>
        </w:rPr>
      </w:pPr>
      <w:r>
        <w:rPr>
          <w:szCs w:val="24"/>
        </w:rPr>
        <w:t>Винкристин** 1</w:t>
      </w:r>
      <w:r w:rsidR="00533FE8" w:rsidRPr="00120DD7">
        <w:rPr>
          <w:szCs w:val="24"/>
        </w:rPr>
        <w:t xml:space="preserve"> мг/м</w:t>
      </w:r>
      <w:r w:rsidR="00533FE8" w:rsidRPr="00120DD7">
        <w:rPr>
          <w:szCs w:val="24"/>
          <w:vertAlign w:val="superscript"/>
        </w:rPr>
        <w:t>2</w:t>
      </w:r>
      <w:r w:rsidR="00286457">
        <w:rPr>
          <w:szCs w:val="24"/>
        </w:rPr>
        <w:t xml:space="preserve"> в/в капельно, </w:t>
      </w:r>
      <w:r w:rsidR="00533FE8" w:rsidRPr="00120DD7">
        <w:rPr>
          <w:szCs w:val="24"/>
        </w:rPr>
        <w:t>1</w:t>
      </w:r>
      <w:r w:rsidR="00286457">
        <w:rPr>
          <w:szCs w:val="24"/>
        </w:rPr>
        <w:t>-й день</w:t>
      </w:r>
    </w:p>
    <w:p w14:paraId="33971A31" w14:textId="77777777" w:rsidR="00533FE8" w:rsidRPr="00120DD7" w:rsidRDefault="00533FE8" w:rsidP="00956D03">
      <w:pPr>
        <w:pStyle w:val="-51"/>
        <w:numPr>
          <w:ilvl w:val="0"/>
          <w:numId w:val="13"/>
        </w:numPr>
        <w:suppressAutoHyphens w:val="0"/>
        <w:spacing w:after="200"/>
        <w:contextualSpacing/>
        <w:jc w:val="left"/>
        <w:rPr>
          <w:szCs w:val="24"/>
        </w:rPr>
      </w:pPr>
      <w:r w:rsidRPr="00120DD7">
        <w:rPr>
          <w:szCs w:val="24"/>
        </w:rPr>
        <w:t>Метотрексат</w:t>
      </w:r>
      <w:r w:rsidR="00FE233A">
        <w:rPr>
          <w:szCs w:val="24"/>
        </w:rPr>
        <w:t>**</w:t>
      </w:r>
      <w:r w:rsidRPr="00120DD7">
        <w:rPr>
          <w:szCs w:val="24"/>
        </w:rPr>
        <w:t xml:space="preserve"> 1 г/м</w:t>
      </w:r>
      <w:r w:rsidRPr="00120DD7">
        <w:rPr>
          <w:szCs w:val="24"/>
          <w:vertAlign w:val="superscript"/>
        </w:rPr>
        <w:t>2</w:t>
      </w:r>
      <w:r w:rsidR="00286457">
        <w:rPr>
          <w:szCs w:val="24"/>
        </w:rPr>
        <w:t xml:space="preserve"> в/в инфузия в течение 36 ч</w:t>
      </w:r>
      <w:r w:rsidRPr="00120DD7">
        <w:rPr>
          <w:szCs w:val="24"/>
        </w:rPr>
        <w:t xml:space="preserve">, </w:t>
      </w:r>
      <w:r w:rsidR="00286457" w:rsidRPr="00120DD7">
        <w:rPr>
          <w:szCs w:val="24"/>
        </w:rPr>
        <w:t>1</w:t>
      </w:r>
      <w:r w:rsidR="00286457">
        <w:rPr>
          <w:szCs w:val="24"/>
        </w:rPr>
        <w:t>-й день</w:t>
      </w:r>
    </w:p>
    <w:p w14:paraId="46D4988D" w14:textId="77777777" w:rsidR="00533FE8" w:rsidRPr="00120DD7" w:rsidRDefault="00986B4F" w:rsidP="00956D03">
      <w:pPr>
        <w:pStyle w:val="-51"/>
        <w:numPr>
          <w:ilvl w:val="0"/>
          <w:numId w:val="13"/>
        </w:numPr>
        <w:suppressAutoHyphens w:val="0"/>
        <w:spacing w:after="200"/>
        <w:contextualSpacing/>
        <w:jc w:val="left"/>
        <w:rPr>
          <w:szCs w:val="24"/>
        </w:rPr>
      </w:pPr>
      <w:r w:rsidRPr="00986B4F">
        <w:rPr>
          <w:szCs w:val="24"/>
        </w:rPr>
        <w:t>#</w:t>
      </w:r>
      <w:r w:rsidR="00533FE8" w:rsidRPr="00120DD7">
        <w:rPr>
          <w:szCs w:val="24"/>
        </w:rPr>
        <w:t>Ифосфамид</w:t>
      </w:r>
      <w:r w:rsidRPr="00986B4F">
        <w:rPr>
          <w:szCs w:val="24"/>
        </w:rPr>
        <w:t>**</w:t>
      </w:r>
      <w:r w:rsidR="00533FE8" w:rsidRPr="00120DD7">
        <w:rPr>
          <w:szCs w:val="24"/>
        </w:rPr>
        <w:t xml:space="preserve"> 400 мг/м</w:t>
      </w:r>
      <w:r w:rsidR="00533FE8" w:rsidRPr="00120DD7">
        <w:rPr>
          <w:szCs w:val="24"/>
          <w:vertAlign w:val="superscript"/>
        </w:rPr>
        <w:t>2</w:t>
      </w:r>
      <w:r w:rsidR="00286457">
        <w:rPr>
          <w:szCs w:val="24"/>
        </w:rPr>
        <w:t xml:space="preserve"> в/в инфузия за 1 ч</w:t>
      </w:r>
      <w:r w:rsidR="00533FE8" w:rsidRPr="00120DD7">
        <w:rPr>
          <w:szCs w:val="24"/>
        </w:rPr>
        <w:t xml:space="preserve">, </w:t>
      </w:r>
      <w:r w:rsidR="00286457">
        <w:rPr>
          <w:szCs w:val="24"/>
        </w:rPr>
        <w:t>1–</w:t>
      </w:r>
      <w:r w:rsidR="00286457" w:rsidRPr="00120DD7">
        <w:rPr>
          <w:szCs w:val="24"/>
        </w:rPr>
        <w:t>5</w:t>
      </w:r>
      <w:r w:rsidR="00286457">
        <w:rPr>
          <w:szCs w:val="24"/>
        </w:rPr>
        <w:t>-й</w:t>
      </w:r>
      <w:r w:rsidR="00286457" w:rsidRPr="00404D21">
        <w:rPr>
          <w:szCs w:val="24"/>
        </w:rPr>
        <w:t xml:space="preserve"> </w:t>
      </w:r>
      <w:r w:rsidR="00286457" w:rsidRPr="00120DD7">
        <w:rPr>
          <w:szCs w:val="24"/>
        </w:rPr>
        <w:t>дни</w:t>
      </w:r>
    </w:p>
    <w:p w14:paraId="64ED2F63" w14:textId="77777777" w:rsidR="00533FE8" w:rsidRPr="00120DD7" w:rsidRDefault="00533FE8" w:rsidP="00956D03">
      <w:pPr>
        <w:pStyle w:val="-51"/>
        <w:numPr>
          <w:ilvl w:val="0"/>
          <w:numId w:val="13"/>
        </w:numPr>
        <w:suppressAutoHyphens w:val="0"/>
        <w:spacing w:after="200"/>
        <w:contextualSpacing/>
        <w:jc w:val="left"/>
        <w:rPr>
          <w:szCs w:val="24"/>
        </w:rPr>
      </w:pPr>
      <w:r w:rsidRPr="00120DD7">
        <w:rPr>
          <w:szCs w:val="24"/>
        </w:rPr>
        <w:t>Даунорубицин</w:t>
      </w:r>
      <w:r w:rsidR="00A65A9B">
        <w:rPr>
          <w:szCs w:val="24"/>
        </w:rPr>
        <w:t>**</w:t>
      </w:r>
      <w:r w:rsidRPr="00120DD7">
        <w:rPr>
          <w:szCs w:val="24"/>
        </w:rPr>
        <w:t xml:space="preserve"> 35 мг/м</w:t>
      </w:r>
      <w:r w:rsidRPr="00120DD7">
        <w:rPr>
          <w:szCs w:val="24"/>
          <w:vertAlign w:val="superscript"/>
        </w:rPr>
        <w:t>2</w:t>
      </w:r>
      <w:r w:rsidR="00286457">
        <w:rPr>
          <w:szCs w:val="24"/>
        </w:rPr>
        <w:t xml:space="preserve"> в/в инфузия за 24 ч, </w:t>
      </w:r>
      <w:r w:rsidRPr="00120DD7">
        <w:rPr>
          <w:szCs w:val="24"/>
        </w:rPr>
        <w:t>5</w:t>
      </w:r>
      <w:r w:rsidR="00286457">
        <w:rPr>
          <w:szCs w:val="24"/>
        </w:rPr>
        <w:t>-й день</w:t>
      </w:r>
    </w:p>
    <w:p w14:paraId="7A3FE4D1" w14:textId="2E5322ED" w:rsidR="00533FE8" w:rsidRPr="00120DD7" w:rsidRDefault="005004D7" w:rsidP="00956D03">
      <w:pPr>
        <w:pStyle w:val="-51"/>
        <w:numPr>
          <w:ilvl w:val="0"/>
          <w:numId w:val="13"/>
        </w:numPr>
        <w:suppressAutoHyphens w:val="0"/>
        <w:spacing w:after="200"/>
        <w:contextualSpacing/>
        <w:jc w:val="left"/>
        <w:rPr>
          <w:szCs w:val="24"/>
        </w:rPr>
      </w:pPr>
      <w:r>
        <w:rPr>
          <w:szCs w:val="24"/>
        </w:rPr>
        <w:t>А</w:t>
      </w:r>
      <w:r w:rsidR="00533FE8" w:rsidRPr="00120DD7">
        <w:rPr>
          <w:szCs w:val="24"/>
        </w:rPr>
        <w:t>спарагиназа</w:t>
      </w:r>
      <w:r w:rsidR="00714B4A">
        <w:rPr>
          <w:szCs w:val="24"/>
        </w:rPr>
        <w:t>**</w:t>
      </w:r>
      <w:r w:rsidR="00533FE8" w:rsidRPr="00120DD7">
        <w:rPr>
          <w:szCs w:val="24"/>
        </w:rPr>
        <w:t xml:space="preserve"> 10</w:t>
      </w:r>
      <w:r>
        <w:rPr>
          <w:szCs w:val="24"/>
        </w:rPr>
        <w:t xml:space="preserve"> </w:t>
      </w:r>
      <w:r w:rsidR="00533FE8" w:rsidRPr="00120DD7">
        <w:rPr>
          <w:szCs w:val="24"/>
        </w:rPr>
        <w:t>тыс.</w:t>
      </w:r>
      <w:r>
        <w:rPr>
          <w:szCs w:val="24"/>
        </w:rPr>
        <w:t xml:space="preserve"> </w:t>
      </w:r>
      <w:r w:rsidR="00533FE8" w:rsidRPr="00120DD7">
        <w:rPr>
          <w:szCs w:val="24"/>
        </w:rPr>
        <w:t>Ед/м</w:t>
      </w:r>
      <w:r w:rsidR="00533FE8" w:rsidRPr="00120DD7">
        <w:rPr>
          <w:szCs w:val="24"/>
          <w:vertAlign w:val="superscript"/>
        </w:rPr>
        <w:t xml:space="preserve">2 </w:t>
      </w:r>
      <w:r w:rsidR="0043037B" w:rsidRPr="00B42B8A">
        <w:rPr>
          <w:bCs/>
          <w:iCs/>
        </w:rPr>
        <w:t xml:space="preserve">или </w:t>
      </w:r>
      <w:r w:rsidR="0043037B">
        <w:rPr>
          <w:bCs/>
          <w:iCs/>
        </w:rPr>
        <w:t>пэг</w:t>
      </w:r>
      <w:r w:rsidR="0043037B" w:rsidRPr="009F500F">
        <w:rPr>
          <w:bCs/>
          <w:iCs/>
        </w:rPr>
        <w:t>аспарагаза</w:t>
      </w:r>
      <w:r w:rsidR="0043037B">
        <w:rPr>
          <w:bCs/>
          <w:iCs/>
        </w:rPr>
        <w:t xml:space="preserve"> ** 1000 ЕД/м²   в</w:t>
      </w:r>
      <w:r w:rsidR="00286457">
        <w:rPr>
          <w:szCs w:val="24"/>
        </w:rPr>
        <w:t xml:space="preserve">/в капельно за 6 ч, </w:t>
      </w:r>
      <w:r w:rsidR="00533FE8" w:rsidRPr="00120DD7">
        <w:rPr>
          <w:szCs w:val="24"/>
        </w:rPr>
        <w:t>6</w:t>
      </w:r>
      <w:r w:rsidR="00286457">
        <w:rPr>
          <w:szCs w:val="24"/>
        </w:rPr>
        <w:t>-й день</w:t>
      </w:r>
    </w:p>
    <w:p w14:paraId="003A2FCC" w14:textId="77777777" w:rsidR="00533FE8" w:rsidRPr="00120DD7" w:rsidRDefault="00533FE8" w:rsidP="00533FE8">
      <w:pPr>
        <w:rPr>
          <w:szCs w:val="24"/>
        </w:rPr>
      </w:pPr>
      <w:r w:rsidRPr="00120DD7">
        <w:rPr>
          <w:szCs w:val="24"/>
        </w:rPr>
        <w:t>Интратекальное введение метотрексат</w:t>
      </w:r>
      <w:r w:rsidR="00286457">
        <w:rPr>
          <w:szCs w:val="24"/>
        </w:rPr>
        <w:t>а</w:t>
      </w:r>
      <w:r w:rsidR="00FE233A">
        <w:rPr>
          <w:szCs w:val="24"/>
        </w:rPr>
        <w:t>**</w:t>
      </w:r>
      <w:r w:rsidRPr="00120DD7">
        <w:rPr>
          <w:szCs w:val="24"/>
        </w:rPr>
        <w:t xml:space="preserve"> 15 мг, цитарабин</w:t>
      </w:r>
      <w:r w:rsidR="00286457">
        <w:rPr>
          <w:szCs w:val="24"/>
        </w:rPr>
        <w:t>а</w:t>
      </w:r>
      <w:r w:rsidR="00421699">
        <w:rPr>
          <w:szCs w:val="24"/>
        </w:rPr>
        <w:t>**</w:t>
      </w:r>
      <w:r w:rsidRPr="00120DD7">
        <w:rPr>
          <w:szCs w:val="24"/>
        </w:rPr>
        <w:t xml:space="preserve"> 30 мг, дексаметазон</w:t>
      </w:r>
      <w:r w:rsidR="00286457">
        <w:rPr>
          <w:szCs w:val="24"/>
        </w:rPr>
        <w:t>а</w:t>
      </w:r>
      <w:r w:rsidR="006F5D03">
        <w:rPr>
          <w:szCs w:val="24"/>
        </w:rPr>
        <w:t>**</w:t>
      </w:r>
      <w:r w:rsidRPr="00120DD7">
        <w:rPr>
          <w:szCs w:val="24"/>
        </w:rPr>
        <w:t xml:space="preserve"> 4 мг в 1-й</w:t>
      </w:r>
      <w:r w:rsidR="00286457" w:rsidRPr="00286457">
        <w:rPr>
          <w:szCs w:val="24"/>
        </w:rPr>
        <w:t xml:space="preserve"> </w:t>
      </w:r>
      <w:r w:rsidR="00286457" w:rsidRPr="00120DD7">
        <w:rPr>
          <w:szCs w:val="24"/>
        </w:rPr>
        <w:t>день</w:t>
      </w:r>
      <w:r w:rsidRPr="00120DD7">
        <w:rPr>
          <w:szCs w:val="24"/>
        </w:rPr>
        <w:t>.</w:t>
      </w:r>
    </w:p>
    <w:p w14:paraId="534860FA" w14:textId="77777777" w:rsidR="00533FE8" w:rsidRPr="00286457" w:rsidRDefault="00533FE8" w:rsidP="00533FE8">
      <w:pPr>
        <w:ind w:firstLine="426"/>
        <w:rPr>
          <w:b/>
          <w:szCs w:val="24"/>
        </w:rPr>
      </w:pPr>
      <w:r w:rsidRPr="00286457">
        <w:rPr>
          <w:b/>
          <w:szCs w:val="24"/>
        </w:rPr>
        <w:t xml:space="preserve">Блок </w:t>
      </w:r>
      <w:r w:rsidRPr="00286457">
        <w:rPr>
          <w:b/>
          <w:szCs w:val="24"/>
          <w:lang w:val="en-US"/>
        </w:rPr>
        <w:t>R</w:t>
      </w:r>
      <w:r w:rsidRPr="00286457">
        <w:rPr>
          <w:b/>
          <w:szCs w:val="24"/>
        </w:rPr>
        <w:t>1</w:t>
      </w:r>
      <w:r w:rsidR="00286457">
        <w:rPr>
          <w:b/>
          <w:szCs w:val="24"/>
        </w:rPr>
        <w:t>:</w:t>
      </w:r>
    </w:p>
    <w:p w14:paraId="1ABD35AF" w14:textId="77777777" w:rsidR="00286457" w:rsidRPr="00120DD7" w:rsidRDefault="00533FE8" w:rsidP="00956D03">
      <w:pPr>
        <w:pStyle w:val="-51"/>
        <w:numPr>
          <w:ilvl w:val="0"/>
          <w:numId w:val="13"/>
        </w:numPr>
        <w:suppressAutoHyphens w:val="0"/>
        <w:spacing w:after="200"/>
        <w:contextualSpacing/>
        <w:jc w:val="left"/>
        <w:rPr>
          <w:szCs w:val="24"/>
        </w:rPr>
      </w:pPr>
      <w:r w:rsidRPr="00120DD7">
        <w:rPr>
          <w:szCs w:val="24"/>
        </w:rPr>
        <w:t>Дексаметазон</w:t>
      </w:r>
      <w:r w:rsidR="006F5D03">
        <w:rPr>
          <w:szCs w:val="24"/>
        </w:rPr>
        <w:t>**</w:t>
      </w:r>
      <w:r w:rsidRPr="00120DD7">
        <w:rPr>
          <w:szCs w:val="24"/>
        </w:rPr>
        <w:t xml:space="preserve"> 20 мг/м</w:t>
      </w:r>
      <w:r w:rsidRPr="00120DD7">
        <w:rPr>
          <w:szCs w:val="24"/>
          <w:vertAlign w:val="superscript"/>
        </w:rPr>
        <w:t>2</w:t>
      </w:r>
      <w:r w:rsidRPr="00120DD7">
        <w:rPr>
          <w:szCs w:val="24"/>
        </w:rPr>
        <w:t xml:space="preserve"> внутрь, </w:t>
      </w:r>
      <w:r w:rsidR="00286457">
        <w:rPr>
          <w:szCs w:val="24"/>
        </w:rPr>
        <w:t>1–</w:t>
      </w:r>
      <w:r w:rsidR="00286457" w:rsidRPr="00120DD7">
        <w:rPr>
          <w:szCs w:val="24"/>
        </w:rPr>
        <w:t>5</w:t>
      </w:r>
      <w:r w:rsidR="00286457">
        <w:rPr>
          <w:szCs w:val="24"/>
        </w:rPr>
        <w:t>-й</w:t>
      </w:r>
      <w:r w:rsidR="00286457" w:rsidRPr="00404D21">
        <w:rPr>
          <w:szCs w:val="24"/>
        </w:rPr>
        <w:t xml:space="preserve"> </w:t>
      </w:r>
      <w:r w:rsidR="00286457" w:rsidRPr="00120DD7">
        <w:rPr>
          <w:szCs w:val="24"/>
        </w:rPr>
        <w:t>дни</w:t>
      </w:r>
    </w:p>
    <w:p w14:paraId="67C13AC9" w14:textId="77777777" w:rsidR="00533FE8" w:rsidRPr="00286457" w:rsidRDefault="00533FE8" w:rsidP="00956D03">
      <w:pPr>
        <w:pStyle w:val="-51"/>
        <w:numPr>
          <w:ilvl w:val="0"/>
          <w:numId w:val="13"/>
        </w:numPr>
        <w:suppressAutoHyphens w:val="0"/>
        <w:spacing w:after="200"/>
        <w:contextualSpacing/>
        <w:jc w:val="left"/>
        <w:rPr>
          <w:szCs w:val="24"/>
        </w:rPr>
      </w:pPr>
      <w:r>
        <w:rPr>
          <w:szCs w:val="24"/>
        </w:rPr>
        <w:t>М</w:t>
      </w:r>
      <w:r w:rsidRPr="00120DD7">
        <w:rPr>
          <w:szCs w:val="24"/>
        </w:rPr>
        <w:t>еркаптопурин</w:t>
      </w:r>
      <w:r w:rsidR="004C2C6A">
        <w:rPr>
          <w:szCs w:val="24"/>
        </w:rPr>
        <w:t>**</w:t>
      </w:r>
      <w:r w:rsidRPr="00120DD7">
        <w:rPr>
          <w:szCs w:val="24"/>
        </w:rPr>
        <w:t xml:space="preserve"> 100 мг/м</w:t>
      </w:r>
      <w:r w:rsidRPr="00120DD7">
        <w:rPr>
          <w:szCs w:val="24"/>
          <w:vertAlign w:val="superscript"/>
        </w:rPr>
        <w:t>2</w:t>
      </w:r>
      <w:r w:rsidRPr="00120DD7">
        <w:rPr>
          <w:szCs w:val="24"/>
        </w:rPr>
        <w:t xml:space="preserve"> внутрь, </w:t>
      </w:r>
      <w:r w:rsidR="00286457">
        <w:rPr>
          <w:szCs w:val="24"/>
        </w:rPr>
        <w:t>1–</w:t>
      </w:r>
      <w:r w:rsidR="00286457" w:rsidRPr="00120DD7">
        <w:rPr>
          <w:szCs w:val="24"/>
        </w:rPr>
        <w:t>5</w:t>
      </w:r>
      <w:r w:rsidR="00286457">
        <w:rPr>
          <w:szCs w:val="24"/>
        </w:rPr>
        <w:t>-й</w:t>
      </w:r>
      <w:r w:rsidR="00286457" w:rsidRPr="00404D21">
        <w:rPr>
          <w:szCs w:val="24"/>
        </w:rPr>
        <w:t xml:space="preserve"> </w:t>
      </w:r>
      <w:r w:rsidR="00286457" w:rsidRPr="00120DD7">
        <w:rPr>
          <w:szCs w:val="24"/>
        </w:rPr>
        <w:t>дни</w:t>
      </w:r>
    </w:p>
    <w:p w14:paraId="7AF92468" w14:textId="77777777" w:rsidR="00533FE8" w:rsidRPr="00120DD7" w:rsidRDefault="00533FE8" w:rsidP="00956D03">
      <w:pPr>
        <w:pStyle w:val="-51"/>
        <w:numPr>
          <w:ilvl w:val="0"/>
          <w:numId w:val="13"/>
        </w:numPr>
        <w:suppressAutoHyphens w:val="0"/>
        <w:spacing w:after="200"/>
        <w:contextualSpacing/>
        <w:jc w:val="left"/>
        <w:rPr>
          <w:szCs w:val="24"/>
        </w:rPr>
      </w:pPr>
      <w:r w:rsidRPr="00120DD7">
        <w:rPr>
          <w:szCs w:val="24"/>
        </w:rPr>
        <w:t>Винкристин</w:t>
      </w:r>
      <w:r w:rsidR="00457E7B">
        <w:rPr>
          <w:szCs w:val="24"/>
        </w:rPr>
        <w:t>**</w:t>
      </w:r>
      <w:r w:rsidRPr="00120DD7">
        <w:rPr>
          <w:szCs w:val="24"/>
        </w:rPr>
        <w:t xml:space="preserve"> 1,5 мг/м</w:t>
      </w:r>
      <w:r w:rsidRPr="00120DD7">
        <w:rPr>
          <w:szCs w:val="24"/>
          <w:vertAlign w:val="superscript"/>
        </w:rPr>
        <w:t>2</w:t>
      </w:r>
      <w:r w:rsidRPr="00120DD7">
        <w:rPr>
          <w:szCs w:val="24"/>
        </w:rPr>
        <w:t xml:space="preserve"> (максимальная доза </w:t>
      </w:r>
      <w:r w:rsidR="00286457">
        <w:rPr>
          <w:szCs w:val="24"/>
        </w:rPr>
        <w:t xml:space="preserve">– </w:t>
      </w:r>
      <w:r w:rsidRPr="00120DD7">
        <w:rPr>
          <w:szCs w:val="24"/>
        </w:rPr>
        <w:t>2 мг) в/в струйно, 1</w:t>
      </w:r>
      <w:r w:rsidR="00286457">
        <w:rPr>
          <w:szCs w:val="24"/>
        </w:rPr>
        <w:t>-й</w:t>
      </w:r>
      <w:r w:rsidRPr="00120DD7">
        <w:rPr>
          <w:szCs w:val="24"/>
        </w:rPr>
        <w:t>,</w:t>
      </w:r>
      <w:r w:rsidR="00286457">
        <w:rPr>
          <w:szCs w:val="24"/>
        </w:rPr>
        <w:t xml:space="preserve"> </w:t>
      </w:r>
      <w:r w:rsidRPr="00120DD7">
        <w:rPr>
          <w:szCs w:val="24"/>
        </w:rPr>
        <w:t>6</w:t>
      </w:r>
      <w:r w:rsidR="00286457">
        <w:rPr>
          <w:szCs w:val="24"/>
        </w:rPr>
        <w:t>-й</w:t>
      </w:r>
      <w:r w:rsidR="00286457" w:rsidRPr="00286457">
        <w:rPr>
          <w:szCs w:val="24"/>
        </w:rPr>
        <w:t xml:space="preserve"> </w:t>
      </w:r>
      <w:r w:rsidR="00286457" w:rsidRPr="00120DD7">
        <w:rPr>
          <w:szCs w:val="24"/>
        </w:rPr>
        <w:t>дни</w:t>
      </w:r>
    </w:p>
    <w:p w14:paraId="42F69F7E" w14:textId="77777777" w:rsidR="00533FE8" w:rsidRPr="00120DD7" w:rsidRDefault="00533FE8" w:rsidP="00956D03">
      <w:pPr>
        <w:pStyle w:val="-51"/>
        <w:numPr>
          <w:ilvl w:val="0"/>
          <w:numId w:val="13"/>
        </w:numPr>
        <w:suppressAutoHyphens w:val="0"/>
        <w:spacing w:after="200"/>
        <w:contextualSpacing/>
        <w:jc w:val="left"/>
        <w:rPr>
          <w:szCs w:val="24"/>
        </w:rPr>
      </w:pPr>
      <w:r w:rsidRPr="00120DD7">
        <w:rPr>
          <w:szCs w:val="24"/>
        </w:rPr>
        <w:t>Метотрексат</w:t>
      </w:r>
      <w:r w:rsidR="00FE233A">
        <w:rPr>
          <w:szCs w:val="24"/>
        </w:rPr>
        <w:t>**</w:t>
      </w:r>
      <w:r w:rsidRPr="00120DD7">
        <w:rPr>
          <w:szCs w:val="24"/>
        </w:rPr>
        <w:t xml:space="preserve"> 1 г/м</w:t>
      </w:r>
      <w:r w:rsidRPr="00120DD7">
        <w:rPr>
          <w:szCs w:val="24"/>
          <w:vertAlign w:val="superscript"/>
        </w:rPr>
        <w:t>2</w:t>
      </w:r>
      <w:r w:rsidRPr="00120DD7">
        <w:rPr>
          <w:szCs w:val="24"/>
        </w:rPr>
        <w:t xml:space="preserve"> в/в инф</w:t>
      </w:r>
      <w:r w:rsidR="00286457">
        <w:rPr>
          <w:szCs w:val="24"/>
        </w:rPr>
        <w:t>узия в течение 36 ч</w:t>
      </w:r>
      <w:r w:rsidRPr="00120DD7">
        <w:rPr>
          <w:szCs w:val="24"/>
        </w:rPr>
        <w:t>, 1</w:t>
      </w:r>
      <w:r w:rsidR="00286457">
        <w:rPr>
          <w:szCs w:val="24"/>
        </w:rPr>
        <w:t>-й</w:t>
      </w:r>
      <w:r w:rsidR="00286457" w:rsidRPr="00286457">
        <w:rPr>
          <w:szCs w:val="24"/>
        </w:rPr>
        <w:t xml:space="preserve"> </w:t>
      </w:r>
      <w:r w:rsidR="00286457" w:rsidRPr="00120DD7">
        <w:rPr>
          <w:szCs w:val="24"/>
        </w:rPr>
        <w:t>день</w:t>
      </w:r>
    </w:p>
    <w:p w14:paraId="0A518C67" w14:textId="77777777" w:rsidR="00533FE8" w:rsidRPr="00120DD7" w:rsidRDefault="00533FE8" w:rsidP="00956D03">
      <w:pPr>
        <w:pStyle w:val="-51"/>
        <w:numPr>
          <w:ilvl w:val="0"/>
          <w:numId w:val="13"/>
        </w:numPr>
        <w:suppressAutoHyphens w:val="0"/>
        <w:spacing w:after="200"/>
        <w:contextualSpacing/>
        <w:jc w:val="left"/>
        <w:rPr>
          <w:szCs w:val="24"/>
        </w:rPr>
      </w:pPr>
      <w:r w:rsidRPr="00120DD7">
        <w:rPr>
          <w:szCs w:val="24"/>
        </w:rPr>
        <w:t>Цитарабин</w:t>
      </w:r>
      <w:r w:rsidR="00421699">
        <w:rPr>
          <w:szCs w:val="24"/>
        </w:rPr>
        <w:t>**</w:t>
      </w:r>
      <w:r w:rsidRPr="00120DD7">
        <w:rPr>
          <w:szCs w:val="24"/>
        </w:rPr>
        <w:t xml:space="preserve"> 2</w:t>
      </w:r>
      <w:r w:rsidR="00421699">
        <w:rPr>
          <w:szCs w:val="24"/>
        </w:rPr>
        <w:t xml:space="preserve"> </w:t>
      </w:r>
      <w:r w:rsidRPr="00120DD7">
        <w:rPr>
          <w:szCs w:val="24"/>
        </w:rPr>
        <w:t>г/м</w:t>
      </w:r>
      <w:r w:rsidRPr="00120DD7">
        <w:rPr>
          <w:szCs w:val="24"/>
          <w:vertAlign w:val="superscript"/>
        </w:rPr>
        <w:t>2</w:t>
      </w:r>
      <w:r w:rsidRPr="00120DD7">
        <w:rPr>
          <w:szCs w:val="24"/>
        </w:rPr>
        <w:t xml:space="preserve"> в</w:t>
      </w:r>
      <w:r w:rsidR="00286457">
        <w:rPr>
          <w:szCs w:val="24"/>
        </w:rPr>
        <w:t>/в за 3 ч 2 раза в день,</w:t>
      </w:r>
      <w:r w:rsidRPr="00120DD7">
        <w:rPr>
          <w:szCs w:val="24"/>
        </w:rPr>
        <w:t xml:space="preserve"> 5</w:t>
      </w:r>
      <w:r w:rsidR="00286457">
        <w:rPr>
          <w:szCs w:val="24"/>
        </w:rPr>
        <w:t>-й день</w:t>
      </w:r>
    </w:p>
    <w:p w14:paraId="758406E8" w14:textId="0104D11A" w:rsidR="00533FE8" w:rsidRPr="00120DD7" w:rsidRDefault="005004D7" w:rsidP="00956D03">
      <w:pPr>
        <w:pStyle w:val="-51"/>
        <w:numPr>
          <w:ilvl w:val="0"/>
          <w:numId w:val="13"/>
        </w:numPr>
        <w:suppressAutoHyphens w:val="0"/>
        <w:spacing w:after="200"/>
        <w:contextualSpacing/>
        <w:jc w:val="left"/>
        <w:rPr>
          <w:szCs w:val="24"/>
        </w:rPr>
      </w:pPr>
      <w:r>
        <w:rPr>
          <w:szCs w:val="24"/>
        </w:rPr>
        <w:lastRenderedPageBreak/>
        <w:t>А</w:t>
      </w:r>
      <w:r w:rsidR="00533FE8" w:rsidRPr="00120DD7">
        <w:rPr>
          <w:szCs w:val="24"/>
        </w:rPr>
        <w:t>спарагиназа</w:t>
      </w:r>
      <w:r w:rsidR="00714B4A">
        <w:rPr>
          <w:szCs w:val="24"/>
        </w:rPr>
        <w:t>**</w:t>
      </w:r>
      <w:r w:rsidR="00533FE8" w:rsidRPr="00120DD7">
        <w:rPr>
          <w:szCs w:val="24"/>
        </w:rPr>
        <w:t xml:space="preserve"> 10</w:t>
      </w:r>
      <w:r>
        <w:rPr>
          <w:szCs w:val="24"/>
        </w:rPr>
        <w:t xml:space="preserve"> </w:t>
      </w:r>
      <w:r w:rsidR="00533FE8" w:rsidRPr="00120DD7">
        <w:rPr>
          <w:szCs w:val="24"/>
        </w:rPr>
        <w:t>тыс.</w:t>
      </w:r>
      <w:r>
        <w:rPr>
          <w:szCs w:val="24"/>
        </w:rPr>
        <w:t xml:space="preserve"> </w:t>
      </w:r>
      <w:r w:rsidR="00533FE8" w:rsidRPr="00120DD7">
        <w:rPr>
          <w:szCs w:val="24"/>
        </w:rPr>
        <w:t>Ед/м</w:t>
      </w:r>
      <w:r w:rsidR="00533FE8" w:rsidRPr="00120DD7">
        <w:rPr>
          <w:szCs w:val="24"/>
          <w:vertAlign w:val="superscript"/>
        </w:rPr>
        <w:t xml:space="preserve">2 </w:t>
      </w:r>
      <w:r w:rsidR="0043037B" w:rsidRPr="00B42B8A">
        <w:rPr>
          <w:bCs/>
          <w:iCs/>
        </w:rPr>
        <w:t xml:space="preserve">или </w:t>
      </w:r>
      <w:r w:rsidR="0043037B">
        <w:rPr>
          <w:bCs/>
          <w:iCs/>
        </w:rPr>
        <w:t>пэг</w:t>
      </w:r>
      <w:r w:rsidR="0043037B" w:rsidRPr="009F500F">
        <w:rPr>
          <w:bCs/>
          <w:iCs/>
        </w:rPr>
        <w:t>аспарагаза</w:t>
      </w:r>
      <w:r w:rsidR="0043037B">
        <w:rPr>
          <w:bCs/>
          <w:iCs/>
        </w:rPr>
        <w:t xml:space="preserve"> ** 1000 ЕД/м²   в</w:t>
      </w:r>
      <w:r w:rsidR="00286457">
        <w:rPr>
          <w:szCs w:val="24"/>
        </w:rPr>
        <w:t>/в капельно за 6 ч</w:t>
      </w:r>
      <w:r w:rsidR="00533FE8" w:rsidRPr="00120DD7">
        <w:rPr>
          <w:szCs w:val="24"/>
        </w:rPr>
        <w:t>, 6</w:t>
      </w:r>
      <w:r w:rsidR="00286457">
        <w:rPr>
          <w:szCs w:val="24"/>
        </w:rPr>
        <w:t>-й</w:t>
      </w:r>
      <w:r w:rsidR="00286457" w:rsidRPr="00286457">
        <w:rPr>
          <w:szCs w:val="24"/>
        </w:rPr>
        <w:t xml:space="preserve"> </w:t>
      </w:r>
      <w:r w:rsidR="00286457" w:rsidRPr="00120DD7">
        <w:rPr>
          <w:szCs w:val="24"/>
        </w:rPr>
        <w:t>день</w:t>
      </w:r>
    </w:p>
    <w:p w14:paraId="6509FB06" w14:textId="77777777" w:rsidR="00533FE8" w:rsidRPr="00120DD7" w:rsidRDefault="00533FE8" w:rsidP="00533FE8">
      <w:pPr>
        <w:rPr>
          <w:szCs w:val="24"/>
        </w:rPr>
      </w:pPr>
      <w:r w:rsidRPr="00120DD7">
        <w:rPr>
          <w:szCs w:val="24"/>
        </w:rPr>
        <w:t>Интратекальное введение метотрексат</w:t>
      </w:r>
      <w:r w:rsidR="00FE233A">
        <w:rPr>
          <w:szCs w:val="24"/>
        </w:rPr>
        <w:t>**</w:t>
      </w:r>
      <w:r w:rsidRPr="00120DD7">
        <w:rPr>
          <w:szCs w:val="24"/>
        </w:rPr>
        <w:t xml:space="preserve"> 15 мг, цитарабин</w:t>
      </w:r>
      <w:r w:rsidR="00421699">
        <w:rPr>
          <w:szCs w:val="24"/>
        </w:rPr>
        <w:t>**</w:t>
      </w:r>
      <w:r w:rsidRPr="00120DD7">
        <w:rPr>
          <w:szCs w:val="24"/>
        </w:rPr>
        <w:t xml:space="preserve"> 30 мг, дексаметазон</w:t>
      </w:r>
      <w:r w:rsidR="006F5D03">
        <w:rPr>
          <w:szCs w:val="24"/>
        </w:rPr>
        <w:t>**</w:t>
      </w:r>
      <w:r w:rsidRPr="00120DD7">
        <w:rPr>
          <w:szCs w:val="24"/>
        </w:rPr>
        <w:t xml:space="preserve"> 4 мг в день 1-й.</w:t>
      </w:r>
    </w:p>
    <w:p w14:paraId="4AF0020D" w14:textId="77777777" w:rsidR="00533FE8" w:rsidRPr="00286457" w:rsidRDefault="00533FE8" w:rsidP="00533FE8">
      <w:pPr>
        <w:ind w:firstLine="426"/>
        <w:rPr>
          <w:b/>
          <w:szCs w:val="24"/>
        </w:rPr>
      </w:pPr>
      <w:r w:rsidRPr="00286457">
        <w:rPr>
          <w:b/>
          <w:szCs w:val="24"/>
        </w:rPr>
        <w:t xml:space="preserve">Блок </w:t>
      </w:r>
      <w:r w:rsidRPr="00286457">
        <w:rPr>
          <w:b/>
          <w:szCs w:val="24"/>
          <w:lang w:val="en-US"/>
        </w:rPr>
        <w:t>II-Ida</w:t>
      </w:r>
      <w:r w:rsidR="00286457">
        <w:rPr>
          <w:b/>
          <w:szCs w:val="24"/>
        </w:rPr>
        <w:t>:</w:t>
      </w:r>
    </w:p>
    <w:p w14:paraId="748B83A3" w14:textId="77777777" w:rsidR="00533FE8" w:rsidRPr="00120DD7" w:rsidRDefault="00533FE8" w:rsidP="00956D03">
      <w:pPr>
        <w:pStyle w:val="-51"/>
        <w:numPr>
          <w:ilvl w:val="0"/>
          <w:numId w:val="13"/>
        </w:numPr>
        <w:suppressAutoHyphens w:val="0"/>
        <w:spacing w:after="200"/>
        <w:contextualSpacing/>
        <w:jc w:val="left"/>
        <w:rPr>
          <w:szCs w:val="24"/>
        </w:rPr>
      </w:pPr>
      <w:r w:rsidRPr="00120DD7">
        <w:rPr>
          <w:szCs w:val="24"/>
        </w:rPr>
        <w:t>Дексаметазон</w:t>
      </w:r>
      <w:r w:rsidR="006F5D03">
        <w:rPr>
          <w:szCs w:val="24"/>
        </w:rPr>
        <w:t>**</w:t>
      </w:r>
      <w:r w:rsidRPr="00120DD7">
        <w:rPr>
          <w:szCs w:val="24"/>
        </w:rPr>
        <w:t xml:space="preserve"> 6 мг/м</w:t>
      </w:r>
      <w:r w:rsidRPr="00120DD7">
        <w:rPr>
          <w:szCs w:val="24"/>
          <w:vertAlign w:val="superscript"/>
        </w:rPr>
        <w:t>2</w:t>
      </w:r>
      <w:r w:rsidRPr="00120DD7">
        <w:rPr>
          <w:szCs w:val="24"/>
        </w:rPr>
        <w:t xml:space="preserve"> внутрь, </w:t>
      </w:r>
      <w:r w:rsidR="00286457">
        <w:rPr>
          <w:szCs w:val="24"/>
        </w:rPr>
        <w:t>1–</w:t>
      </w:r>
      <w:r w:rsidRPr="00120DD7">
        <w:rPr>
          <w:szCs w:val="24"/>
        </w:rPr>
        <w:t>14</w:t>
      </w:r>
      <w:r w:rsidR="00286457">
        <w:rPr>
          <w:szCs w:val="24"/>
        </w:rPr>
        <w:t>-й</w:t>
      </w:r>
      <w:r w:rsidR="00286457" w:rsidRPr="00286457">
        <w:rPr>
          <w:szCs w:val="24"/>
        </w:rPr>
        <w:t xml:space="preserve"> </w:t>
      </w:r>
      <w:r w:rsidR="00286457" w:rsidRPr="00120DD7">
        <w:rPr>
          <w:szCs w:val="24"/>
        </w:rPr>
        <w:t>дни</w:t>
      </w:r>
    </w:p>
    <w:p w14:paraId="2745F908" w14:textId="77777777" w:rsidR="00533FE8" w:rsidRPr="00120DD7" w:rsidRDefault="00533FE8" w:rsidP="00956D03">
      <w:pPr>
        <w:pStyle w:val="-51"/>
        <w:numPr>
          <w:ilvl w:val="0"/>
          <w:numId w:val="13"/>
        </w:numPr>
        <w:suppressAutoHyphens w:val="0"/>
        <w:spacing w:after="200"/>
        <w:contextualSpacing/>
        <w:jc w:val="left"/>
        <w:rPr>
          <w:szCs w:val="24"/>
        </w:rPr>
      </w:pPr>
      <w:r w:rsidRPr="00120DD7">
        <w:rPr>
          <w:szCs w:val="24"/>
        </w:rPr>
        <w:t>Винкристин</w:t>
      </w:r>
      <w:r w:rsidR="00457E7B">
        <w:rPr>
          <w:szCs w:val="24"/>
        </w:rPr>
        <w:t>**</w:t>
      </w:r>
      <w:r w:rsidRPr="00120DD7">
        <w:rPr>
          <w:szCs w:val="24"/>
        </w:rPr>
        <w:t xml:space="preserve"> 1,5 мг/м</w:t>
      </w:r>
      <w:r w:rsidRPr="00120DD7">
        <w:rPr>
          <w:szCs w:val="24"/>
          <w:vertAlign w:val="superscript"/>
        </w:rPr>
        <w:t>2</w:t>
      </w:r>
      <w:r w:rsidRPr="00120DD7">
        <w:rPr>
          <w:szCs w:val="24"/>
        </w:rPr>
        <w:t xml:space="preserve"> (максималь</w:t>
      </w:r>
      <w:r w:rsidR="00286457">
        <w:rPr>
          <w:szCs w:val="24"/>
        </w:rPr>
        <w:t xml:space="preserve">ная доза – 2 мг) в/в струйно, </w:t>
      </w:r>
      <w:r w:rsidRPr="00120DD7">
        <w:rPr>
          <w:szCs w:val="24"/>
        </w:rPr>
        <w:t>1,</w:t>
      </w:r>
      <w:r w:rsidR="00286457">
        <w:rPr>
          <w:szCs w:val="24"/>
        </w:rPr>
        <w:t xml:space="preserve"> </w:t>
      </w:r>
      <w:r w:rsidRPr="00120DD7">
        <w:rPr>
          <w:szCs w:val="24"/>
        </w:rPr>
        <w:t>8, 15, 22</w:t>
      </w:r>
      <w:r w:rsidR="00286457">
        <w:rPr>
          <w:szCs w:val="24"/>
        </w:rPr>
        <w:t>-й дни</w:t>
      </w:r>
    </w:p>
    <w:p w14:paraId="426F6247" w14:textId="77777777" w:rsidR="00533FE8" w:rsidRPr="00120DD7" w:rsidRDefault="0000078E" w:rsidP="00956D03">
      <w:pPr>
        <w:pStyle w:val="-51"/>
        <w:numPr>
          <w:ilvl w:val="0"/>
          <w:numId w:val="13"/>
        </w:numPr>
        <w:suppressAutoHyphens w:val="0"/>
        <w:spacing w:after="200"/>
        <w:contextualSpacing/>
        <w:jc w:val="left"/>
        <w:rPr>
          <w:szCs w:val="24"/>
        </w:rPr>
      </w:pPr>
      <w:r w:rsidRPr="0000078E">
        <w:rPr>
          <w:szCs w:val="24"/>
        </w:rPr>
        <w:t>#</w:t>
      </w:r>
      <w:r w:rsidR="00533FE8" w:rsidRPr="00120DD7">
        <w:rPr>
          <w:szCs w:val="24"/>
        </w:rPr>
        <w:t>Идарубицин</w:t>
      </w:r>
      <w:r w:rsidRPr="0000078E">
        <w:rPr>
          <w:szCs w:val="24"/>
        </w:rPr>
        <w:t>**</w:t>
      </w:r>
      <w:r w:rsidR="00533FE8" w:rsidRPr="00120DD7">
        <w:rPr>
          <w:szCs w:val="24"/>
        </w:rPr>
        <w:t xml:space="preserve"> 6 мг/м</w:t>
      </w:r>
      <w:r w:rsidR="00533FE8" w:rsidRPr="00120DD7">
        <w:rPr>
          <w:szCs w:val="24"/>
          <w:vertAlign w:val="superscript"/>
        </w:rPr>
        <w:t>2</w:t>
      </w:r>
      <w:r w:rsidR="00286457">
        <w:rPr>
          <w:szCs w:val="24"/>
        </w:rPr>
        <w:t xml:space="preserve"> в/в капельно за 15 мин, </w:t>
      </w:r>
      <w:r w:rsidR="00533FE8" w:rsidRPr="00120DD7">
        <w:rPr>
          <w:szCs w:val="24"/>
        </w:rPr>
        <w:t>1,</w:t>
      </w:r>
      <w:r w:rsidR="00286457">
        <w:rPr>
          <w:szCs w:val="24"/>
        </w:rPr>
        <w:t xml:space="preserve"> </w:t>
      </w:r>
      <w:r w:rsidR="00533FE8" w:rsidRPr="00120DD7">
        <w:rPr>
          <w:szCs w:val="24"/>
        </w:rPr>
        <w:t>8, 15, 22</w:t>
      </w:r>
      <w:r w:rsidR="00286457">
        <w:rPr>
          <w:szCs w:val="24"/>
        </w:rPr>
        <w:t>-й дни</w:t>
      </w:r>
    </w:p>
    <w:p w14:paraId="461A0460" w14:textId="6298EB2F" w:rsidR="00533FE8" w:rsidRPr="00120DD7" w:rsidRDefault="005004D7" w:rsidP="00956D03">
      <w:pPr>
        <w:pStyle w:val="-51"/>
        <w:numPr>
          <w:ilvl w:val="0"/>
          <w:numId w:val="13"/>
        </w:numPr>
        <w:suppressAutoHyphens w:val="0"/>
        <w:spacing w:after="200"/>
        <w:contextualSpacing/>
        <w:jc w:val="left"/>
        <w:rPr>
          <w:szCs w:val="24"/>
        </w:rPr>
      </w:pPr>
      <w:r>
        <w:rPr>
          <w:szCs w:val="24"/>
        </w:rPr>
        <w:t>А</w:t>
      </w:r>
      <w:r w:rsidR="00533FE8" w:rsidRPr="00120DD7">
        <w:rPr>
          <w:szCs w:val="24"/>
        </w:rPr>
        <w:t>спарагиназа</w:t>
      </w:r>
      <w:r w:rsidR="00714B4A">
        <w:rPr>
          <w:szCs w:val="24"/>
        </w:rPr>
        <w:t>**</w:t>
      </w:r>
      <w:r w:rsidR="00533FE8" w:rsidRPr="00120DD7">
        <w:rPr>
          <w:szCs w:val="24"/>
        </w:rPr>
        <w:t xml:space="preserve"> 10тыс.</w:t>
      </w:r>
      <w:r w:rsidR="00286457">
        <w:rPr>
          <w:szCs w:val="24"/>
        </w:rPr>
        <w:t xml:space="preserve"> </w:t>
      </w:r>
      <w:r w:rsidR="00533FE8" w:rsidRPr="00120DD7">
        <w:rPr>
          <w:szCs w:val="24"/>
        </w:rPr>
        <w:t>Ед/м</w:t>
      </w:r>
      <w:r w:rsidR="00533FE8" w:rsidRPr="00120DD7">
        <w:rPr>
          <w:szCs w:val="24"/>
          <w:vertAlign w:val="superscript"/>
        </w:rPr>
        <w:t xml:space="preserve">2 </w:t>
      </w:r>
      <w:r w:rsidR="0043037B">
        <w:rPr>
          <w:bCs/>
          <w:iCs/>
        </w:rPr>
        <w:t>в</w:t>
      </w:r>
      <w:r w:rsidR="00286457">
        <w:rPr>
          <w:szCs w:val="24"/>
        </w:rPr>
        <w:t>/в капельно за 6 ч</w:t>
      </w:r>
      <w:r w:rsidR="00533FE8" w:rsidRPr="00120DD7">
        <w:rPr>
          <w:szCs w:val="24"/>
        </w:rPr>
        <w:t>, 1, 6, 11, 16</w:t>
      </w:r>
      <w:r w:rsidR="00286457">
        <w:rPr>
          <w:szCs w:val="24"/>
        </w:rPr>
        <w:t>-й</w:t>
      </w:r>
      <w:r w:rsidR="00286457" w:rsidRPr="00286457">
        <w:rPr>
          <w:szCs w:val="24"/>
        </w:rPr>
        <w:t xml:space="preserve"> </w:t>
      </w:r>
      <w:r w:rsidR="00286457" w:rsidRPr="00120DD7">
        <w:rPr>
          <w:szCs w:val="24"/>
        </w:rPr>
        <w:t>дни</w:t>
      </w:r>
      <w:r w:rsidR="0043037B">
        <w:rPr>
          <w:szCs w:val="24"/>
        </w:rPr>
        <w:t xml:space="preserve"> </w:t>
      </w:r>
      <w:r w:rsidR="0043037B" w:rsidRPr="00B42B8A">
        <w:rPr>
          <w:bCs/>
          <w:iCs/>
        </w:rPr>
        <w:t xml:space="preserve">или </w:t>
      </w:r>
      <w:r w:rsidR="0043037B">
        <w:rPr>
          <w:bCs/>
          <w:iCs/>
        </w:rPr>
        <w:t>пэг</w:t>
      </w:r>
      <w:r w:rsidR="0043037B" w:rsidRPr="009F500F">
        <w:rPr>
          <w:bCs/>
          <w:iCs/>
        </w:rPr>
        <w:t>аспарагаза</w:t>
      </w:r>
      <w:r w:rsidR="0043037B">
        <w:rPr>
          <w:bCs/>
          <w:iCs/>
        </w:rPr>
        <w:t xml:space="preserve"> ** 1000 ЕД/м² </w:t>
      </w:r>
      <w:r w:rsidR="0043037B" w:rsidRPr="00120DD7">
        <w:rPr>
          <w:szCs w:val="24"/>
        </w:rPr>
        <w:t>1,</w:t>
      </w:r>
      <w:r w:rsidR="0043037B">
        <w:rPr>
          <w:szCs w:val="24"/>
        </w:rPr>
        <w:t xml:space="preserve"> 16 дни</w:t>
      </w:r>
    </w:p>
    <w:p w14:paraId="6F26B4C2" w14:textId="77777777" w:rsidR="00533FE8" w:rsidRPr="00120DD7" w:rsidRDefault="004C2C6A" w:rsidP="00956D03">
      <w:pPr>
        <w:pStyle w:val="-51"/>
        <w:numPr>
          <w:ilvl w:val="0"/>
          <w:numId w:val="13"/>
        </w:numPr>
        <w:suppressAutoHyphens w:val="0"/>
        <w:spacing w:after="200"/>
        <w:contextualSpacing/>
        <w:jc w:val="left"/>
        <w:rPr>
          <w:szCs w:val="24"/>
        </w:rPr>
      </w:pPr>
      <w:r>
        <w:rPr>
          <w:szCs w:val="24"/>
        </w:rPr>
        <w:t>Циклофосфамид**</w:t>
      </w:r>
      <w:r w:rsidR="00533FE8" w:rsidRPr="00120DD7">
        <w:rPr>
          <w:szCs w:val="24"/>
        </w:rPr>
        <w:t xml:space="preserve"> 1 г/м</w:t>
      </w:r>
      <w:r w:rsidR="00533FE8" w:rsidRPr="00120DD7">
        <w:rPr>
          <w:szCs w:val="24"/>
          <w:vertAlign w:val="superscript"/>
        </w:rPr>
        <w:t>2</w:t>
      </w:r>
      <w:r w:rsidR="00286457">
        <w:rPr>
          <w:szCs w:val="24"/>
        </w:rPr>
        <w:t xml:space="preserve"> в/в за 1 ч</w:t>
      </w:r>
      <w:r w:rsidR="00533FE8" w:rsidRPr="00120DD7">
        <w:rPr>
          <w:szCs w:val="24"/>
        </w:rPr>
        <w:t xml:space="preserve"> 1 раз в день, 29</w:t>
      </w:r>
      <w:r w:rsidR="00286457">
        <w:rPr>
          <w:szCs w:val="24"/>
        </w:rPr>
        <w:t>-й</w:t>
      </w:r>
      <w:r w:rsidR="00286457" w:rsidRPr="00286457">
        <w:rPr>
          <w:szCs w:val="24"/>
        </w:rPr>
        <w:t xml:space="preserve"> </w:t>
      </w:r>
      <w:r w:rsidR="00286457" w:rsidRPr="00120DD7">
        <w:rPr>
          <w:szCs w:val="24"/>
        </w:rPr>
        <w:t>день</w:t>
      </w:r>
    </w:p>
    <w:p w14:paraId="3AF1672B" w14:textId="77777777" w:rsidR="00533FE8" w:rsidRPr="00120DD7" w:rsidRDefault="00533FE8" w:rsidP="00956D03">
      <w:pPr>
        <w:pStyle w:val="-51"/>
        <w:numPr>
          <w:ilvl w:val="0"/>
          <w:numId w:val="13"/>
        </w:numPr>
        <w:suppressAutoHyphens w:val="0"/>
        <w:spacing w:after="200"/>
        <w:contextualSpacing/>
        <w:jc w:val="left"/>
        <w:rPr>
          <w:szCs w:val="24"/>
        </w:rPr>
      </w:pPr>
      <w:r w:rsidRPr="00120DD7">
        <w:rPr>
          <w:szCs w:val="24"/>
        </w:rPr>
        <w:t>Цитарабин</w:t>
      </w:r>
      <w:r w:rsidR="00421699">
        <w:rPr>
          <w:szCs w:val="24"/>
        </w:rPr>
        <w:t>**</w:t>
      </w:r>
      <w:r w:rsidRPr="00120DD7">
        <w:rPr>
          <w:szCs w:val="24"/>
        </w:rPr>
        <w:t xml:space="preserve"> 75 мг/м</w:t>
      </w:r>
      <w:r w:rsidRPr="00120DD7">
        <w:rPr>
          <w:szCs w:val="24"/>
          <w:vertAlign w:val="superscript"/>
        </w:rPr>
        <w:t>2</w:t>
      </w:r>
      <w:r w:rsidRPr="00120DD7">
        <w:rPr>
          <w:szCs w:val="24"/>
        </w:rPr>
        <w:t xml:space="preserve"> в/в 1 раз в день, </w:t>
      </w:r>
      <w:r w:rsidR="00286457">
        <w:rPr>
          <w:szCs w:val="24"/>
        </w:rPr>
        <w:t>31–34 и 38–</w:t>
      </w:r>
      <w:r w:rsidRPr="00120DD7">
        <w:rPr>
          <w:szCs w:val="24"/>
        </w:rPr>
        <w:t>41</w:t>
      </w:r>
      <w:r w:rsidR="00286457">
        <w:rPr>
          <w:szCs w:val="24"/>
        </w:rPr>
        <w:t>-й</w:t>
      </w:r>
      <w:r w:rsidR="00286457" w:rsidRPr="00286457">
        <w:rPr>
          <w:szCs w:val="24"/>
        </w:rPr>
        <w:t xml:space="preserve"> </w:t>
      </w:r>
      <w:r w:rsidR="00286457" w:rsidRPr="00120DD7">
        <w:rPr>
          <w:szCs w:val="24"/>
        </w:rPr>
        <w:t>дни</w:t>
      </w:r>
    </w:p>
    <w:p w14:paraId="5A0FBDA7" w14:textId="77777777" w:rsidR="00533FE8" w:rsidRPr="00120DD7" w:rsidRDefault="00982DD0" w:rsidP="00956D03">
      <w:pPr>
        <w:pStyle w:val="-51"/>
        <w:numPr>
          <w:ilvl w:val="0"/>
          <w:numId w:val="13"/>
        </w:numPr>
        <w:suppressAutoHyphens w:val="0"/>
        <w:spacing w:after="200"/>
        <w:contextualSpacing/>
        <w:jc w:val="left"/>
        <w:rPr>
          <w:szCs w:val="24"/>
        </w:rPr>
      </w:pPr>
      <w:r w:rsidRPr="00206C30">
        <w:rPr>
          <w:szCs w:val="24"/>
        </w:rPr>
        <w:t>#</w:t>
      </w:r>
      <w:r w:rsidR="00533FE8" w:rsidRPr="00120DD7">
        <w:rPr>
          <w:szCs w:val="24"/>
        </w:rPr>
        <w:t>6-Тиогуанин</w:t>
      </w:r>
      <w:r w:rsidR="009C745C">
        <w:rPr>
          <w:szCs w:val="24"/>
        </w:rPr>
        <w:t>**</w:t>
      </w:r>
      <w:r w:rsidR="00533FE8" w:rsidRPr="00120DD7">
        <w:rPr>
          <w:szCs w:val="24"/>
        </w:rPr>
        <w:t xml:space="preserve"> 60 мг/м</w:t>
      </w:r>
      <w:r w:rsidR="00533FE8" w:rsidRPr="00120DD7">
        <w:rPr>
          <w:szCs w:val="24"/>
          <w:vertAlign w:val="superscript"/>
        </w:rPr>
        <w:t>2</w:t>
      </w:r>
      <w:r w:rsidR="00533FE8" w:rsidRPr="00120DD7">
        <w:rPr>
          <w:szCs w:val="24"/>
        </w:rPr>
        <w:t xml:space="preserve"> внутрь, </w:t>
      </w:r>
      <w:r w:rsidR="00286457">
        <w:rPr>
          <w:szCs w:val="24"/>
        </w:rPr>
        <w:t>29–</w:t>
      </w:r>
      <w:r w:rsidR="00533FE8" w:rsidRPr="00120DD7">
        <w:rPr>
          <w:szCs w:val="24"/>
        </w:rPr>
        <w:t>43</w:t>
      </w:r>
      <w:r w:rsidR="00286457">
        <w:rPr>
          <w:szCs w:val="24"/>
        </w:rPr>
        <w:t>-й</w:t>
      </w:r>
      <w:r w:rsidR="00286457" w:rsidRPr="00286457">
        <w:rPr>
          <w:szCs w:val="24"/>
        </w:rPr>
        <w:t xml:space="preserve"> </w:t>
      </w:r>
      <w:r w:rsidR="00286457" w:rsidRPr="00120DD7">
        <w:rPr>
          <w:szCs w:val="24"/>
        </w:rPr>
        <w:t>дни</w:t>
      </w:r>
    </w:p>
    <w:p w14:paraId="28EB9220" w14:textId="77777777" w:rsidR="00533FE8" w:rsidRPr="00232CB3" w:rsidRDefault="00533FE8" w:rsidP="00533FE8">
      <w:pPr>
        <w:ind w:firstLine="709"/>
        <w:rPr>
          <w:szCs w:val="24"/>
        </w:rPr>
      </w:pPr>
      <w:r w:rsidRPr="00120DD7">
        <w:rPr>
          <w:szCs w:val="24"/>
        </w:rPr>
        <w:t>Интратекальное введение метотрексат</w:t>
      </w:r>
      <w:r w:rsidR="00286457">
        <w:rPr>
          <w:szCs w:val="24"/>
        </w:rPr>
        <w:t>а</w:t>
      </w:r>
      <w:r w:rsidR="00FE233A">
        <w:rPr>
          <w:szCs w:val="24"/>
        </w:rPr>
        <w:t>**</w:t>
      </w:r>
      <w:r w:rsidRPr="00120DD7">
        <w:rPr>
          <w:szCs w:val="24"/>
        </w:rPr>
        <w:t xml:space="preserve"> 15 мг, цитарабин</w:t>
      </w:r>
      <w:r w:rsidR="00286457">
        <w:rPr>
          <w:szCs w:val="24"/>
        </w:rPr>
        <w:t>а</w:t>
      </w:r>
      <w:r w:rsidR="00417EEC">
        <w:rPr>
          <w:szCs w:val="24"/>
        </w:rPr>
        <w:t>**</w:t>
      </w:r>
      <w:r w:rsidRPr="00120DD7">
        <w:rPr>
          <w:szCs w:val="24"/>
        </w:rPr>
        <w:t xml:space="preserve"> 30 мг, дексаметазон</w:t>
      </w:r>
      <w:r w:rsidR="00286457">
        <w:rPr>
          <w:szCs w:val="24"/>
        </w:rPr>
        <w:t>а</w:t>
      </w:r>
      <w:r w:rsidR="006F5D03">
        <w:rPr>
          <w:szCs w:val="24"/>
        </w:rPr>
        <w:t>**</w:t>
      </w:r>
      <w:r w:rsidRPr="00120DD7">
        <w:rPr>
          <w:szCs w:val="24"/>
        </w:rPr>
        <w:t xml:space="preserve"> 4 мг в 1, </w:t>
      </w:r>
      <w:r>
        <w:rPr>
          <w:szCs w:val="24"/>
        </w:rPr>
        <w:t>15, 31, 38</w:t>
      </w:r>
      <w:r w:rsidR="00286457">
        <w:rPr>
          <w:szCs w:val="24"/>
        </w:rPr>
        <w:t>-й</w:t>
      </w:r>
      <w:r w:rsidR="00286457" w:rsidRPr="00286457">
        <w:rPr>
          <w:szCs w:val="24"/>
        </w:rPr>
        <w:t xml:space="preserve"> </w:t>
      </w:r>
      <w:r w:rsidR="00286457" w:rsidRPr="00120DD7">
        <w:rPr>
          <w:szCs w:val="24"/>
        </w:rPr>
        <w:t>дни</w:t>
      </w:r>
      <w:r>
        <w:rPr>
          <w:szCs w:val="24"/>
        </w:rPr>
        <w:t>.</w:t>
      </w:r>
      <w:bookmarkStart w:id="248" w:name="_Toc465074036"/>
    </w:p>
    <w:p w14:paraId="7051A306" w14:textId="77777777" w:rsidR="00533FE8" w:rsidRDefault="00533FE8" w:rsidP="00533FE8">
      <w:pPr>
        <w:ind w:firstLine="540"/>
        <w:jc w:val="center"/>
        <w:rPr>
          <w:b/>
          <w:u w:val="single"/>
        </w:rPr>
      </w:pPr>
    </w:p>
    <w:p w14:paraId="06E80F60" w14:textId="77777777" w:rsidR="00533FE8" w:rsidRDefault="00533FE8" w:rsidP="00B43D3A">
      <w:pPr>
        <w:rPr>
          <w:b/>
          <w:u w:val="single"/>
        </w:rPr>
      </w:pPr>
    </w:p>
    <w:p w14:paraId="0FA28276" w14:textId="042F47D7" w:rsidR="00533FE8" w:rsidRPr="009F500F" w:rsidRDefault="00533FE8" w:rsidP="00B43D3A">
      <w:pPr>
        <w:ind w:firstLine="540"/>
        <w:jc w:val="center"/>
        <w:rPr>
          <w:b/>
        </w:rPr>
      </w:pPr>
      <w:r w:rsidRPr="009F500F">
        <w:rPr>
          <w:b/>
        </w:rPr>
        <w:t>Схема протокола «</w:t>
      </w:r>
      <w:r w:rsidRPr="009F500F">
        <w:rPr>
          <w:b/>
          <w:lang w:val="en-US"/>
        </w:rPr>
        <w:t>Ph</w:t>
      </w:r>
      <w:r w:rsidRPr="009F500F">
        <w:rPr>
          <w:b/>
        </w:rPr>
        <w:t>+</w:t>
      </w:r>
      <w:r w:rsidR="00B43D3A" w:rsidRPr="009F500F">
        <w:rPr>
          <w:b/>
        </w:rPr>
        <w:t xml:space="preserve"> ОЛЛ</w:t>
      </w:r>
      <w:r w:rsidRPr="009F500F">
        <w:rPr>
          <w:b/>
        </w:rPr>
        <w:t>-2012</w:t>
      </w:r>
      <w:r w:rsidR="00797B22" w:rsidRPr="009F500F">
        <w:rPr>
          <w:b/>
          <w:lang w:val="en-US"/>
        </w:rPr>
        <w:t>m</w:t>
      </w:r>
      <w:r w:rsidRPr="009F500F">
        <w:rPr>
          <w:b/>
        </w:rPr>
        <w:t>»</w:t>
      </w:r>
    </w:p>
    <w:p w14:paraId="68739F43" w14:textId="77777777" w:rsidR="00533FE8" w:rsidRPr="009F500F" w:rsidRDefault="00533FE8" w:rsidP="00533FE8">
      <w:pPr>
        <w:jc w:val="left"/>
      </w:pPr>
      <w:r w:rsidRPr="009F500F">
        <w:rPr>
          <w:b/>
          <w:bCs/>
          <w:i/>
          <w:iCs/>
        </w:rPr>
        <w:t>Предфаза:</w:t>
      </w:r>
      <w:r w:rsidRPr="009F500F">
        <w:t xml:space="preserve"> </w:t>
      </w:r>
    </w:p>
    <w:p w14:paraId="36B1C899" w14:textId="77777777" w:rsidR="00533FE8" w:rsidRPr="009F500F" w:rsidRDefault="00533FE8" w:rsidP="00FF4C81">
      <w:pPr>
        <w:pStyle w:val="afff3"/>
        <w:numPr>
          <w:ilvl w:val="0"/>
          <w:numId w:val="32"/>
        </w:numPr>
        <w:jc w:val="left"/>
      </w:pPr>
      <w:r w:rsidRPr="009F500F">
        <w:t>Дексаметазон</w:t>
      </w:r>
      <w:r w:rsidR="006F5D03" w:rsidRPr="009F500F">
        <w:t>**</w:t>
      </w:r>
      <w:r w:rsidRPr="009F500F">
        <w:t xml:space="preserve"> 10</w:t>
      </w:r>
      <w:r w:rsidR="00B43D3A" w:rsidRPr="009F500F">
        <w:t xml:space="preserve"> мг/м², 1–</w:t>
      </w:r>
      <w:r w:rsidRPr="009F500F">
        <w:t>7</w:t>
      </w:r>
      <w:r w:rsidR="00B43D3A" w:rsidRPr="009F500F">
        <w:t>-й</w:t>
      </w:r>
      <w:r w:rsidRPr="009F500F">
        <w:t xml:space="preserve"> дни</w:t>
      </w:r>
    </w:p>
    <w:p w14:paraId="5D6967B4" w14:textId="77777777" w:rsidR="00533FE8" w:rsidRPr="009F500F" w:rsidRDefault="00533FE8" w:rsidP="00FF4C81">
      <w:pPr>
        <w:pStyle w:val="afff3"/>
        <w:numPr>
          <w:ilvl w:val="0"/>
          <w:numId w:val="32"/>
        </w:numPr>
        <w:jc w:val="left"/>
      </w:pPr>
      <w:r w:rsidRPr="009F500F">
        <w:t>Иматиниб</w:t>
      </w:r>
      <w:r w:rsidR="008C31C1" w:rsidRPr="009F500F">
        <w:t>**</w:t>
      </w:r>
      <w:r w:rsidRPr="009F500F">
        <w:t xml:space="preserve"> 600 мг (после подтверждения </w:t>
      </w:r>
      <w:r w:rsidRPr="009F500F">
        <w:rPr>
          <w:lang w:val="en-US"/>
        </w:rPr>
        <w:t>Ph</w:t>
      </w:r>
      <w:r w:rsidRPr="009F500F">
        <w:t>+)</w:t>
      </w:r>
    </w:p>
    <w:p w14:paraId="2FBC413A" w14:textId="77777777" w:rsidR="00533FE8" w:rsidRPr="009F500F" w:rsidRDefault="00533FE8" w:rsidP="00533FE8">
      <w:pPr>
        <w:jc w:val="left"/>
        <w:rPr>
          <w:b/>
        </w:rPr>
      </w:pPr>
      <w:r w:rsidRPr="009F500F">
        <w:rPr>
          <w:b/>
          <w:bCs/>
        </w:rPr>
        <w:t>Пункция КМ на 8</w:t>
      </w:r>
      <w:r w:rsidR="00B43D3A" w:rsidRPr="009F500F">
        <w:rPr>
          <w:b/>
          <w:bCs/>
        </w:rPr>
        <w:t>-й</w:t>
      </w:r>
      <w:r w:rsidRPr="009F500F">
        <w:rPr>
          <w:b/>
          <w:bCs/>
        </w:rPr>
        <w:t xml:space="preserve"> день</w:t>
      </w:r>
    </w:p>
    <w:p w14:paraId="641F29EE" w14:textId="77777777" w:rsidR="00533FE8" w:rsidRPr="009F500F" w:rsidRDefault="00B43D3A" w:rsidP="00533FE8">
      <w:pPr>
        <w:jc w:val="left"/>
        <w:rPr>
          <w:b/>
          <w:bCs/>
          <w:i/>
          <w:iCs/>
        </w:rPr>
      </w:pPr>
      <w:r w:rsidRPr="009F500F">
        <w:rPr>
          <w:b/>
          <w:bCs/>
          <w:i/>
          <w:iCs/>
          <w:lang w:val="en-US"/>
        </w:rPr>
        <w:t>I</w:t>
      </w:r>
      <w:r w:rsidRPr="009F500F">
        <w:rPr>
          <w:b/>
          <w:bCs/>
          <w:i/>
          <w:iCs/>
        </w:rPr>
        <w:t xml:space="preserve"> фаза индукции</w:t>
      </w:r>
      <w:r w:rsidR="00533FE8" w:rsidRPr="009F500F">
        <w:rPr>
          <w:b/>
          <w:bCs/>
          <w:i/>
          <w:iCs/>
        </w:rPr>
        <w:t xml:space="preserve"> </w:t>
      </w:r>
      <w:r w:rsidRPr="009F500F">
        <w:rPr>
          <w:b/>
          <w:bCs/>
          <w:i/>
          <w:iCs/>
        </w:rPr>
        <w:t>(8–</w:t>
      </w:r>
      <w:r w:rsidR="00533FE8" w:rsidRPr="009F500F">
        <w:rPr>
          <w:b/>
          <w:bCs/>
          <w:i/>
          <w:iCs/>
        </w:rPr>
        <w:t>43</w:t>
      </w:r>
      <w:r w:rsidRPr="009F500F">
        <w:rPr>
          <w:b/>
          <w:bCs/>
          <w:i/>
          <w:iCs/>
        </w:rPr>
        <w:t>-й</w:t>
      </w:r>
      <w:r w:rsidR="00533FE8" w:rsidRPr="009F500F">
        <w:rPr>
          <w:b/>
          <w:bCs/>
          <w:i/>
          <w:iCs/>
        </w:rPr>
        <w:t xml:space="preserve"> дни)</w:t>
      </w:r>
      <w:r w:rsidRPr="009F500F">
        <w:rPr>
          <w:b/>
          <w:bCs/>
          <w:i/>
          <w:iCs/>
        </w:rPr>
        <w:t>:</w:t>
      </w:r>
    </w:p>
    <w:p w14:paraId="1A9883D4" w14:textId="77777777" w:rsidR="00533FE8" w:rsidRPr="009F500F" w:rsidRDefault="00533FE8" w:rsidP="00FF4C81">
      <w:pPr>
        <w:pStyle w:val="afff3"/>
        <w:numPr>
          <w:ilvl w:val="0"/>
          <w:numId w:val="33"/>
        </w:numPr>
        <w:jc w:val="left"/>
      </w:pPr>
      <w:r w:rsidRPr="009F500F">
        <w:t>Дексаметазон</w:t>
      </w:r>
      <w:r w:rsidR="006F5D03" w:rsidRPr="009F500F">
        <w:t>**</w:t>
      </w:r>
      <w:r w:rsidRPr="009F500F">
        <w:t xml:space="preserve"> 6 мг/м²</w:t>
      </w:r>
      <w:r w:rsidR="00B43D3A" w:rsidRPr="009F500F">
        <w:t>, 8–</w:t>
      </w:r>
      <w:r w:rsidRPr="009F500F">
        <w:t>22</w:t>
      </w:r>
      <w:r w:rsidR="00B43D3A" w:rsidRPr="009F500F">
        <w:t>-й</w:t>
      </w:r>
      <w:r w:rsidRPr="009F500F">
        <w:t xml:space="preserve"> дни + 5 дней отмены</w:t>
      </w:r>
    </w:p>
    <w:p w14:paraId="680612DC" w14:textId="77777777" w:rsidR="00533FE8" w:rsidRPr="009F500F" w:rsidRDefault="00533FE8" w:rsidP="00FF4C81">
      <w:pPr>
        <w:pStyle w:val="afff3"/>
        <w:numPr>
          <w:ilvl w:val="0"/>
          <w:numId w:val="33"/>
        </w:numPr>
        <w:rPr>
          <w:bCs/>
          <w:iCs/>
        </w:rPr>
      </w:pPr>
      <w:r w:rsidRPr="009F500F">
        <w:rPr>
          <w:bCs/>
          <w:iCs/>
        </w:rPr>
        <w:t>Винкристин</w:t>
      </w:r>
      <w:r w:rsidR="00457E7B" w:rsidRPr="009F500F">
        <w:rPr>
          <w:bCs/>
          <w:iCs/>
        </w:rPr>
        <w:t>**</w:t>
      </w:r>
      <w:r w:rsidRPr="009F500F">
        <w:rPr>
          <w:bCs/>
          <w:iCs/>
        </w:rPr>
        <w:t xml:space="preserve"> 2 мг</w:t>
      </w:r>
      <w:r w:rsidR="00B43D3A" w:rsidRPr="009F500F">
        <w:rPr>
          <w:bCs/>
          <w:iCs/>
        </w:rPr>
        <w:t>,</w:t>
      </w:r>
      <w:r w:rsidRPr="009F500F">
        <w:rPr>
          <w:bCs/>
          <w:iCs/>
        </w:rPr>
        <w:t xml:space="preserve"> 8, 15, 22, 29, 36,</w:t>
      </w:r>
      <w:r w:rsidR="00B43D3A" w:rsidRPr="009F500F">
        <w:rPr>
          <w:bCs/>
          <w:iCs/>
        </w:rPr>
        <w:t xml:space="preserve"> </w:t>
      </w:r>
      <w:r w:rsidRPr="009F500F">
        <w:rPr>
          <w:bCs/>
          <w:iCs/>
        </w:rPr>
        <w:t>43</w:t>
      </w:r>
      <w:r w:rsidR="00B43D3A" w:rsidRPr="009F500F">
        <w:rPr>
          <w:bCs/>
          <w:iCs/>
        </w:rPr>
        <w:t>-й</w:t>
      </w:r>
      <w:r w:rsidRPr="009F500F">
        <w:rPr>
          <w:bCs/>
          <w:iCs/>
        </w:rPr>
        <w:t xml:space="preserve"> дни</w:t>
      </w:r>
    </w:p>
    <w:p w14:paraId="4C0E80A0" w14:textId="77777777" w:rsidR="00533FE8" w:rsidRPr="009F500F" w:rsidRDefault="00533FE8" w:rsidP="00FF4C81">
      <w:pPr>
        <w:pStyle w:val="afff3"/>
        <w:numPr>
          <w:ilvl w:val="0"/>
          <w:numId w:val="33"/>
        </w:numPr>
        <w:rPr>
          <w:bCs/>
          <w:iCs/>
        </w:rPr>
      </w:pPr>
      <w:r w:rsidRPr="009F500F">
        <w:rPr>
          <w:bCs/>
          <w:iCs/>
        </w:rPr>
        <w:t>Иматиниб</w:t>
      </w:r>
      <w:r w:rsidR="008C31C1" w:rsidRPr="009F500F">
        <w:rPr>
          <w:bCs/>
          <w:iCs/>
        </w:rPr>
        <w:t>**</w:t>
      </w:r>
      <w:r w:rsidRPr="009F500F">
        <w:rPr>
          <w:bCs/>
          <w:iCs/>
        </w:rPr>
        <w:t xml:space="preserve"> 600 мг внутрь</w:t>
      </w:r>
      <w:r w:rsidR="00B43D3A" w:rsidRPr="009F500F">
        <w:rPr>
          <w:bCs/>
          <w:iCs/>
        </w:rPr>
        <w:t>, 8–</w:t>
      </w:r>
      <w:r w:rsidRPr="009F500F">
        <w:rPr>
          <w:bCs/>
          <w:iCs/>
        </w:rPr>
        <w:t>43</w:t>
      </w:r>
      <w:r w:rsidR="00B43D3A" w:rsidRPr="009F500F">
        <w:rPr>
          <w:bCs/>
          <w:iCs/>
        </w:rPr>
        <w:t>-й</w:t>
      </w:r>
      <w:r w:rsidRPr="009F500F">
        <w:rPr>
          <w:bCs/>
          <w:iCs/>
        </w:rPr>
        <w:t xml:space="preserve"> дни</w:t>
      </w:r>
    </w:p>
    <w:p w14:paraId="636959E2" w14:textId="77777777" w:rsidR="00533FE8" w:rsidRPr="009F500F" w:rsidRDefault="00533FE8" w:rsidP="00E93107">
      <w:pPr>
        <w:rPr>
          <w:b/>
          <w:bCs/>
          <w:i/>
          <w:iCs/>
        </w:rPr>
      </w:pPr>
      <w:r w:rsidRPr="009F500F">
        <w:rPr>
          <w:bCs/>
          <w:i/>
          <w:iCs/>
        </w:rPr>
        <w:t>Лю</w:t>
      </w:r>
      <w:r w:rsidR="00E93107" w:rsidRPr="009F500F">
        <w:rPr>
          <w:bCs/>
          <w:i/>
          <w:iCs/>
        </w:rPr>
        <w:t>мбальная пункция с введением 3</w:t>
      </w:r>
      <w:r w:rsidRPr="009F500F">
        <w:rPr>
          <w:bCs/>
          <w:i/>
          <w:iCs/>
        </w:rPr>
        <w:t xml:space="preserve"> препаратов </w:t>
      </w:r>
      <w:r w:rsidR="00E93107" w:rsidRPr="009F500F">
        <w:rPr>
          <w:bCs/>
          <w:i/>
          <w:iCs/>
        </w:rPr>
        <w:t>в</w:t>
      </w:r>
      <w:r w:rsidRPr="009F500F">
        <w:rPr>
          <w:bCs/>
          <w:i/>
          <w:iCs/>
        </w:rPr>
        <w:t xml:space="preserve"> 0,</w:t>
      </w:r>
      <w:r w:rsidR="00E93107" w:rsidRPr="009F500F">
        <w:rPr>
          <w:bCs/>
          <w:i/>
          <w:iCs/>
        </w:rPr>
        <w:t xml:space="preserve"> </w:t>
      </w:r>
      <w:r w:rsidRPr="009F500F">
        <w:rPr>
          <w:bCs/>
          <w:i/>
          <w:iCs/>
        </w:rPr>
        <w:t>7,</w:t>
      </w:r>
      <w:r w:rsidR="00E93107" w:rsidRPr="009F500F">
        <w:rPr>
          <w:bCs/>
          <w:i/>
          <w:iCs/>
        </w:rPr>
        <w:t xml:space="preserve"> </w:t>
      </w:r>
      <w:r w:rsidRPr="009F500F">
        <w:rPr>
          <w:bCs/>
          <w:i/>
          <w:iCs/>
        </w:rPr>
        <w:t>14,</w:t>
      </w:r>
      <w:r w:rsidR="00E93107" w:rsidRPr="009F500F">
        <w:rPr>
          <w:bCs/>
          <w:i/>
          <w:iCs/>
        </w:rPr>
        <w:t xml:space="preserve"> </w:t>
      </w:r>
      <w:r w:rsidRPr="009F500F">
        <w:rPr>
          <w:bCs/>
          <w:i/>
          <w:iCs/>
        </w:rPr>
        <w:t>21,</w:t>
      </w:r>
      <w:r w:rsidR="00E93107" w:rsidRPr="009F500F">
        <w:rPr>
          <w:bCs/>
          <w:i/>
          <w:iCs/>
        </w:rPr>
        <w:t xml:space="preserve"> </w:t>
      </w:r>
      <w:r w:rsidRPr="009F500F">
        <w:rPr>
          <w:bCs/>
          <w:i/>
          <w:iCs/>
        </w:rPr>
        <w:t>28,</w:t>
      </w:r>
      <w:r w:rsidR="00E93107" w:rsidRPr="009F500F">
        <w:rPr>
          <w:bCs/>
          <w:i/>
          <w:iCs/>
        </w:rPr>
        <w:t xml:space="preserve"> </w:t>
      </w:r>
      <w:r w:rsidRPr="009F500F">
        <w:rPr>
          <w:bCs/>
          <w:i/>
          <w:iCs/>
        </w:rPr>
        <w:t>35</w:t>
      </w:r>
      <w:r w:rsidR="00E93107" w:rsidRPr="009F500F">
        <w:rPr>
          <w:bCs/>
          <w:i/>
          <w:iCs/>
        </w:rPr>
        <w:t>-й</w:t>
      </w:r>
      <w:r w:rsidRPr="009F500F">
        <w:rPr>
          <w:bCs/>
          <w:i/>
          <w:iCs/>
        </w:rPr>
        <w:t xml:space="preserve"> дни</w:t>
      </w:r>
      <w:r w:rsidR="00E93107" w:rsidRPr="009F500F">
        <w:rPr>
          <w:bCs/>
          <w:i/>
          <w:iCs/>
        </w:rPr>
        <w:t>.</w:t>
      </w:r>
    </w:p>
    <w:p w14:paraId="5BAA122F" w14:textId="77777777" w:rsidR="00533FE8" w:rsidRPr="009F500F" w:rsidRDefault="00533FE8" w:rsidP="00533FE8">
      <w:pPr>
        <w:jc w:val="left"/>
        <w:rPr>
          <w:bCs/>
        </w:rPr>
      </w:pPr>
      <w:r w:rsidRPr="009F500F">
        <w:rPr>
          <w:bCs/>
        </w:rPr>
        <w:t xml:space="preserve"> </w:t>
      </w:r>
    </w:p>
    <w:p w14:paraId="2688822C" w14:textId="77777777" w:rsidR="00533FE8" w:rsidRPr="009F500F" w:rsidRDefault="00720E5F" w:rsidP="00533FE8">
      <w:pPr>
        <w:rPr>
          <w:b/>
        </w:rPr>
      </w:pPr>
      <w:r w:rsidRPr="009F500F">
        <w:rPr>
          <w:noProof/>
        </w:rPr>
        <mc:AlternateContent>
          <mc:Choice Requires="wps">
            <w:drawing>
              <wp:anchor distT="0" distB="0" distL="114300" distR="114300" simplePos="0" relativeHeight="251680256" behindDoc="0" locked="0" layoutInCell="1" allowOverlap="1" wp14:anchorId="53B5615F" wp14:editId="706569AD">
                <wp:simplePos x="0" y="0"/>
                <wp:positionH relativeFrom="column">
                  <wp:posOffset>2857500</wp:posOffset>
                </wp:positionH>
                <wp:positionV relativeFrom="paragraph">
                  <wp:posOffset>234315</wp:posOffset>
                </wp:positionV>
                <wp:extent cx="0" cy="292735"/>
                <wp:effectExtent l="63500" t="0" r="38100" b="24765"/>
                <wp:wrapNone/>
                <wp:docPr id="21" name="Line 3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927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88955A" id="Line 322" o:spid="_x0000_s1026" style="position:absolute;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18.45pt" to="225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">
                <v:stroke endarrow="block"/>
                <o:lock v:ext="edit" shapetype="f"/>
              </v:line>
            </w:pict>
          </mc:Fallback>
        </mc:AlternateContent>
      </w:r>
      <w:r w:rsidR="00533FE8" w:rsidRPr="009F500F">
        <w:rPr>
          <w:b/>
          <w:bCs/>
        </w:rPr>
        <w:t xml:space="preserve">                                Пункция КМ на 43</w:t>
      </w:r>
      <w:r w:rsidR="00E93107" w:rsidRPr="009F500F">
        <w:rPr>
          <w:b/>
          <w:bCs/>
        </w:rPr>
        <w:t>-й</w:t>
      </w:r>
      <w:r w:rsidR="00533FE8" w:rsidRPr="009F500F">
        <w:rPr>
          <w:b/>
          <w:bCs/>
        </w:rPr>
        <w:t xml:space="preserve"> день</w:t>
      </w:r>
      <w:r w:rsidR="00533FE8" w:rsidRPr="009F500F">
        <w:rPr>
          <w:bdr w:val="single" w:sz="4" w:space="0" w:color="auto"/>
        </w:rPr>
        <w:t xml:space="preserve"> оценка </w:t>
      </w:r>
      <w:r w:rsidR="00AF128D" w:rsidRPr="009F500F">
        <w:rPr>
          <w:bdr w:val="single" w:sz="4" w:space="0" w:color="auto"/>
        </w:rPr>
        <w:t>МОБ</w:t>
      </w:r>
      <w:r w:rsidR="00533FE8" w:rsidRPr="009F500F">
        <w:rPr>
          <w:bdr w:val="single" w:sz="4" w:space="0" w:color="auto"/>
        </w:rPr>
        <w:t xml:space="preserve"> в </w:t>
      </w:r>
      <w:r w:rsidR="005A586D" w:rsidRPr="009F500F">
        <w:rPr>
          <w:bdr w:val="single" w:sz="4" w:space="0" w:color="auto"/>
        </w:rPr>
        <w:t>КМ</w:t>
      </w:r>
      <w:r w:rsidR="00E93107" w:rsidRPr="009F500F">
        <w:rPr>
          <w:b/>
          <w:bdr w:val="single" w:sz="4" w:space="0" w:color="auto"/>
        </w:rPr>
        <w:t xml:space="preserve"> </w:t>
      </w:r>
      <w:r w:rsidR="00533FE8" w:rsidRPr="009F500F">
        <w:rPr>
          <w:b/>
          <w:bdr w:val="single" w:sz="4" w:space="0" w:color="auto"/>
        </w:rPr>
        <w:t>(день +43)</w:t>
      </w:r>
      <w:r w:rsidR="00533FE8" w:rsidRPr="009F500F">
        <w:rPr>
          <w:b/>
        </w:rPr>
        <w:t xml:space="preserve">    </w:t>
      </w:r>
    </w:p>
    <w:p w14:paraId="5DF69771" w14:textId="77777777" w:rsidR="00533FE8" w:rsidRPr="009F500F" w:rsidRDefault="00533FE8" w:rsidP="00533FE8">
      <w:pPr>
        <w:jc w:val="center"/>
        <w:rPr>
          <w:b/>
        </w:rPr>
      </w:pPr>
    </w:p>
    <w:p w14:paraId="581CB280" w14:textId="77777777" w:rsidR="00533FE8" w:rsidRPr="009F500F" w:rsidRDefault="00533FE8" w:rsidP="00533FE8">
      <w:pPr>
        <w:rPr>
          <w:b/>
          <w:bCs/>
          <w:i/>
          <w:iCs/>
        </w:rPr>
      </w:pPr>
      <w:r w:rsidRPr="009F500F">
        <w:t xml:space="preserve"> </w:t>
      </w:r>
      <w:r w:rsidRPr="009F500F">
        <w:rPr>
          <w:b/>
          <w:bCs/>
          <w:i/>
          <w:iCs/>
        </w:rPr>
        <w:t xml:space="preserve">   </w:t>
      </w:r>
    </w:p>
    <w:p w14:paraId="5FF8BA48" w14:textId="77777777" w:rsidR="00533FE8" w:rsidRPr="009F500F" w:rsidRDefault="00E93107" w:rsidP="00533FE8">
      <w:pPr>
        <w:jc w:val="center"/>
        <w:rPr>
          <w:u w:val="single"/>
        </w:rPr>
      </w:pPr>
      <w:r w:rsidRPr="009F500F">
        <w:rPr>
          <w:b/>
          <w:bCs/>
          <w:i/>
          <w:iCs/>
          <w:u w:val="single"/>
          <w:lang w:val="en-US"/>
        </w:rPr>
        <w:t>II</w:t>
      </w:r>
      <w:r w:rsidRPr="009F500F">
        <w:rPr>
          <w:b/>
          <w:bCs/>
          <w:i/>
          <w:iCs/>
          <w:u w:val="single"/>
        </w:rPr>
        <w:t xml:space="preserve"> фаза индукции</w:t>
      </w:r>
      <w:r w:rsidR="00533FE8" w:rsidRPr="009F500F">
        <w:rPr>
          <w:b/>
          <w:bCs/>
          <w:i/>
          <w:iCs/>
          <w:u w:val="single"/>
        </w:rPr>
        <w:t xml:space="preserve"> </w:t>
      </w:r>
      <w:r w:rsidRPr="009F500F">
        <w:rPr>
          <w:b/>
          <w:bCs/>
          <w:i/>
          <w:iCs/>
          <w:u w:val="single"/>
        </w:rPr>
        <w:t>(44–</w:t>
      </w:r>
      <w:r w:rsidR="00533FE8" w:rsidRPr="009F500F">
        <w:rPr>
          <w:b/>
          <w:bCs/>
          <w:i/>
          <w:iCs/>
          <w:u w:val="single"/>
        </w:rPr>
        <w:t>70</w:t>
      </w:r>
      <w:r w:rsidRPr="009F500F">
        <w:rPr>
          <w:b/>
          <w:bCs/>
          <w:i/>
          <w:iCs/>
          <w:u w:val="single"/>
        </w:rPr>
        <w:t>-й</w:t>
      </w:r>
      <w:r w:rsidR="00533FE8" w:rsidRPr="009F500F">
        <w:rPr>
          <w:b/>
          <w:bCs/>
          <w:i/>
          <w:iCs/>
          <w:u w:val="single"/>
        </w:rPr>
        <w:t xml:space="preserve"> дни)</w:t>
      </w:r>
    </w:p>
    <w:p w14:paraId="640F3791" w14:textId="77777777" w:rsidR="00533FE8" w:rsidRPr="009F500F" w:rsidRDefault="00533FE8" w:rsidP="00533FE8">
      <w:pPr>
        <w:ind w:left="2431"/>
      </w:pPr>
      <w:r w:rsidRPr="009F500F">
        <w:lastRenderedPageBreak/>
        <w:t>Иматиниб</w:t>
      </w:r>
      <w:r w:rsidR="008C31C1" w:rsidRPr="009F500F">
        <w:t>**</w:t>
      </w:r>
      <w:r w:rsidRPr="009F500F">
        <w:t xml:space="preserve"> 600 мг внутрь</w:t>
      </w:r>
      <w:r w:rsidR="009E6141" w:rsidRPr="009F500F">
        <w:t>,</w:t>
      </w:r>
      <w:r w:rsidRPr="009F500F">
        <w:t xml:space="preserve"> </w:t>
      </w:r>
      <w:r w:rsidR="009E6141" w:rsidRPr="009F500F">
        <w:t>44–</w:t>
      </w:r>
      <w:r w:rsidRPr="009F500F">
        <w:t>70</w:t>
      </w:r>
      <w:r w:rsidR="009E6141" w:rsidRPr="009F500F">
        <w:t>-й</w:t>
      </w:r>
      <w:r w:rsidRPr="009F500F">
        <w:t xml:space="preserve"> дни</w:t>
      </w:r>
    </w:p>
    <w:p w14:paraId="36D3A698" w14:textId="2AE45C4C" w:rsidR="00533FE8" w:rsidRPr="009F500F" w:rsidRDefault="00797B22" w:rsidP="00533FE8">
      <w:pPr>
        <w:ind w:left="2431" w:firstLine="120"/>
        <w:rPr>
          <w:bCs/>
          <w:iCs/>
        </w:rPr>
      </w:pPr>
      <w:r w:rsidRPr="009F500F">
        <w:t>Идарубицин</w:t>
      </w:r>
      <w:r w:rsidR="00714B4A" w:rsidRPr="009F500F">
        <w:t>**</w:t>
      </w:r>
      <w:r w:rsidRPr="009F500F">
        <w:t xml:space="preserve"> 6 мг</w:t>
      </w:r>
      <w:r w:rsidR="00533FE8" w:rsidRPr="009F500F">
        <w:rPr>
          <w:bCs/>
          <w:iCs/>
        </w:rPr>
        <w:t>/м²</w:t>
      </w:r>
      <w:r w:rsidR="009E6141" w:rsidRPr="009F500F">
        <w:rPr>
          <w:bCs/>
          <w:iCs/>
        </w:rPr>
        <w:t xml:space="preserve">, </w:t>
      </w:r>
      <w:r w:rsidRPr="009F500F">
        <w:rPr>
          <w:bCs/>
          <w:iCs/>
        </w:rPr>
        <w:t xml:space="preserve">44, 58 </w:t>
      </w:r>
      <w:r w:rsidR="00533FE8" w:rsidRPr="009F500F">
        <w:rPr>
          <w:bCs/>
          <w:iCs/>
        </w:rPr>
        <w:t>дни</w:t>
      </w:r>
    </w:p>
    <w:p w14:paraId="70AAE4CA" w14:textId="37B243F4" w:rsidR="00533FE8" w:rsidRPr="009F500F" w:rsidRDefault="00533FE8" w:rsidP="00533FE8">
      <w:pPr>
        <w:ind w:firstLine="120"/>
        <w:jc w:val="center"/>
        <w:rPr>
          <w:bCs/>
          <w:i/>
        </w:rPr>
      </w:pPr>
      <w:r w:rsidRPr="009F500F">
        <w:rPr>
          <w:bCs/>
          <w:i/>
          <w:iCs/>
        </w:rPr>
        <w:t>Люм</w:t>
      </w:r>
      <w:r w:rsidR="00E93107" w:rsidRPr="009F500F">
        <w:rPr>
          <w:bCs/>
          <w:i/>
          <w:iCs/>
        </w:rPr>
        <w:t>бальная пункция с введением 3 препаратов в</w:t>
      </w:r>
      <w:r w:rsidRPr="009F500F">
        <w:rPr>
          <w:bCs/>
          <w:i/>
        </w:rPr>
        <w:t xml:space="preserve"> </w:t>
      </w:r>
      <w:r w:rsidR="00797B22" w:rsidRPr="009F500F">
        <w:rPr>
          <w:bCs/>
          <w:i/>
        </w:rPr>
        <w:t>49, 63</w:t>
      </w:r>
      <w:r w:rsidR="00E93107" w:rsidRPr="009F500F">
        <w:rPr>
          <w:bCs/>
          <w:i/>
        </w:rPr>
        <w:t>-й</w:t>
      </w:r>
      <w:r w:rsidR="00797B22" w:rsidRPr="009F500F">
        <w:rPr>
          <w:bCs/>
          <w:i/>
        </w:rPr>
        <w:t xml:space="preserve"> дни</w:t>
      </w:r>
      <w:r w:rsidR="00E93107" w:rsidRPr="009F500F">
        <w:rPr>
          <w:bCs/>
          <w:i/>
        </w:rPr>
        <w:t>.</w:t>
      </w:r>
    </w:p>
    <w:p w14:paraId="671815D6" w14:textId="77777777" w:rsidR="00533FE8" w:rsidRPr="009F500F" w:rsidRDefault="00533FE8" w:rsidP="00533FE8">
      <w:pPr>
        <w:ind w:firstLine="120"/>
        <w:rPr>
          <w:b/>
          <w:bCs/>
        </w:rPr>
      </w:pPr>
      <w:r w:rsidRPr="009F500F">
        <w:rPr>
          <w:b/>
          <w:bCs/>
        </w:rPr>
        <w:t xml:space="preserve">                                               </w:t>
      </w:r>
    </w:p>
    <w:p w14:paraId="220AA7B5" w14:textId="77777777" w:rsidR="00533FE8" w:rsidRPr="009F500F" w:rsidRDefault="00533FE8" w:rsidP="00533FE8">
      <w:pPr>
        <w:ind w:firstLine="120"/>
        <w:rPr>
          <w:b/>
          <w:bCs/>
        </w:rPr>
      </w:pPr>
      <w:r w:rsidRPr="009F500F">
        <w:rPr>
          <w:b/>
          <w:bCs/>
        </w:rPr>
        <w:t xml:space="preserve"> </w:t>
      </w:r>
      <w:r w:rsidRPr="009F500F">
        <w:rPr>
          <w:b/>
          <w:bCs/>
        </w:rPr>
        <w:tab/>
      </w:r>
      <w:r w:rsidRPr="009F500F">
        <w:rPr>
          <w:b/>
          <w:bCs/>
        </w:rPr>
        <w:tab/>
      </w:r>
      <w:r w:rsidRPr="009F500F">
        <w:rPr>
          <w:b/>
          <w:bCs/>
        </w:rPr>
        <w:tab/>
      </w:r>
      <w:r w:rsidRPr="009F500F">
        <w:rPr>
          <w:b/>
          <w:bCs/>
        </w:rPr>
        <w:tab/>
      </w:r>
      <w:r w:rsidRPr="009F500F">
        <w:rPr>
          <w:b/>
          <w:bCs/>
        </w:rPr>
        <w:tab/>
        <w:t>Пункция КМ на 70</w:t>
      </w:r>
      <w:r w:rsidR="00E93107" w:rsidRPr="009F500F">
        <w:rPr>
          <w:b/>
          <w:bCs/>
        </w:rPr>
        <w:t>-й</w:t>
      </w:r>
      <w:r w:rsidRPr="009F500F">
        <w:rPr>
          <w:b/>
          <w:bCs/>
        </w:rPr>
        <w:t xml:space="preserve"> день</w:t>
      </w:r>
    </w:p>
    <w:p w14:paraId="0DD092FD" w14:textId="77777777" w:rsidR="00533FE8" w:rsidRPr="009F500F" w:rsidRDefault="00720E5F" w:rsidP="00533FE8">
      <w:pPr>
        <w:ind w:firstLine="120"/>
        <w:rPr>
          <w:bCs/>
          <w:iCs/>
        </w:rPr>
      </w:pPr>
      <w:r w:rsidRPr="009F500F">
        <w:rPr>
          <w:noProof/>
        </w:rPr>
        <mc:AlternateContent>
          <mc:Choice Requires="wps">
            <w:drawing>
              <wp:anchor distT="0" distB="0" distL="114300" distR="114300" simplePos="0" relativeHeight="251678208" behindDoc="0" locked="0" layoutInCell="1" allowOverlap="1" wp14:anchorId="7D940ED3" wp14:editId="3409B3F5">
                <wp:simplePos x="0" y="0"/>
                <wp:positionH relativeFrom="column">
                  <wp:posOffset>4037330</wp:posOffset>
                </wp:positionH>
                <wp:positionV relativeFrom="paragraph">
                  <wp:posOffset>-3175</wp:posOffset>
                </wp:positionV>
                <wp:extent cx="1216025" cy="125730"/>
                <wp:effectExtent l="0" t="0" r="41275" b="52070"/>
                <wp:wrapNone/>
                <wp:docPr id="20" name="Line 3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216025" cy="12573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2E3F9D" id="Line 320" o:spid="_x0000_s1026" style="position:absolute;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7.9pt,-.25pt" to="413.65pt,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">
                <v:stroke endarrow="block"/>
                <o:lock v:ext="edit" shapetype="f"/>
              </v:line>
            </w:pict>
          </mc:Fallback>
        </mc:AlternateContent>
      </w:r>
      <w:r w:rsidRPr="009F500F">
        <w:rPr>
          <w:noProof/>
        </w:rPr>
        <mc:AlternateContent>
          <mc:Choice Requires="wps">
            <w:drawing>
              <wp:anchor distT="0" distB="0" distL="114300" distR="114300" simplePos="0" relativeHeight="251677184" behindDoc="0" locked="0" layoutInCell="1" allowOverlap="1" wp14:anchorId="734988DB" wp14:editId="67142501">
                <wp:simplePos x="0" y="0"/>
                <wp:positionH relativeFrom="column">
                  <wp:posOffset>712470</wp:posOffset>
                </wp:positionH>
                <wp:positionV relativeFrom="paragraph">
                  <wp:posOffset>-3175</wp:posOffset>
                </wp:positionV>
                <wp:extent cx="1187450" cy="125730"/>
                <wp:effectExtent l="25400" t="0" r="6350" b="52070"/>
                <wp:wrapNone/>
                <wp:docPr id="19" name="Line 3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1187450" cy="12573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374F5B" id="Line 319" o:spid="_x0000_s1026" style="position:absolute;flip:x;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1pt,-.25pt" to="149.6pt,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">
                <v:stroke endarrow="block"/>
                <o:lock v:ext="edit" shapetype="f"/>
              </v:line>
            </w:pict>
          </mc:Fallback>
        </mc:AlternateContent>
      </w:r>
    </w:p>
    <w:p w14:paraId="15A3AB49" w14:textId="77777777" w:rsidR="00533FE8" w:rsidRPr="009F500F" w:rsidRDefault="00533FE8" w:rsidP="00533FE8">
      <w:pPr>
        <w:ind w:firstLine="120"/>
      </w:pPr>
      <w:r w:rsidRPr="009F500F">
        <w:rPr>
          <w:b/>
          <w:bCs/>
        </w:rPr>
        <w:t xml:space="preserve">      </w:t>
      </w:r>
      <w:r w:rsidRPr="009F500F">
        <w:rPr>
          <w:u w:val="single"/>
        </w:rPr>
        <w:t>&lt;</w:t>
      </w:r>
      <w:r w:rsidRPr="009F500F">
        <w:t>5</w:t>
      </w:r>
      <w:r w:rsidR="00E93107" w:rsidRPr="009F500F">
        <w:t xml:space="preserve"> </w:t>
      </w:r>
      <w:r w:rsidRPr="009F500F">
        <w:t>% бластов</w:t>
      </w:r>
      <w:r w:rsidRPr="009F500F">
        <w:rPr>
          <w:sz w:val="40"/>
          <w:szCs w:val="40"/>
        </w:rPr>
        <w:t xml:space="preserve">                                      </w:t>
      </w:r>
      <w:r w:rsidR="00E93107" w:rsidRPr="009F500F">
        <w:rPr>
          <w:sz w:val="40"/>
          <w:szCs w:val="40"/>
        </w:rPr>
        <w:t xml:space="preserve">    </w:t>
      </w:r>
      <w:r w:rsidR="00E93107" w:rsidRPr="009F500F">
        <w:rPr>
          <w:sz w:val="40"/>
          <w:szCs w:val="40"/>
        </w:rPr>
        <w:tab/>
      </w:r>
      <w:r w:rsidR="00E93107" w:rsidRPr="009F500F">
        <w:rPr>
          <w:sz w:val="40"/>
          <w:szCs w:val="40"/>
        </w:rPr>
        <w:tab/>
      </w:r>
      <w:r w:rsidRPr="009F500F">
        <w:rPr>
          <w:sz w:val="40"/>
          <w:szCs w:val="40"/>
        </w:rPr>
        <w:t xml:space="preserve"> </w:t>
      </w:r>
      <w:r w:rsidRPr="009F500F">
        <w:t>&gt;5</w:t>
      </w:r>
      <w:r w:rsidR="00E93107" w:rsidRPr="009F500F">
        <w:t xml:space="preserve"> </w:t>
      </w:r>
      <w:r w:rsidRPr="009F500F">
        <w:t>% бластов</w:t>
      </w:r>
    </w:p>
    <w:p w14:paraId="42EECBE9" w14:textId="77777777" w:rsidR="00533FE8" w:rsidRPr="009F500F" w:rsidRDefault="00720E5F" w:rsidP="00533FE8">
      <w:r w:rsidRPr="009F500F">
        <w:rPr>
          <w:noProof/>
        </w:rPr>
        <mc:AlternateContent>
          <mc:Choice Requires="wps">
            <w:drawing>
              <wp:anchor distT="0" distB="0" distL="114300" distR="114300" simplePos="0" relativeHeight="251679232" behindDoc="0" locked="0" layoutInCell="1" allowOverlap="1" wp14:anchorId="0ADC837D" wp14:editId="48AD0A02">
                <wp:simplePos x="0" y="0"/>
                <wp:positionH relativeFrom="column">
                  <wp:posOffset>5320665</wp:posOffset>
                </wp:positionH>
                <wp:positionV relativeFrom="paragraph">
                  <wp:posOffset>57785</wp:posOffset>
                </wp:positionV>
                <wp:extent cx="0" cy="173355"/>
                <wp:effectExtent l="63500" t="0" r="25400" b="29845"/>
                <wp:wrapNone/>
                <wp:docPr id="18" name="Line 3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17335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4C879B" id="Line 321" o:spid="_x0000_s1026" style="position:absolute;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8.95pt,4.55pt" to="418.95pt,1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">
                <v:stroke endarrow="block"/>
                <o:lock v:ext="edit" shapetype="f"/>
              </v:line>
            </w:pict>
          </mc:Fallback>
        </mc:AlternateContent>
      </w:r>
      <w:r w:rsidRPr="009F500F">
        <w:rPr>
          <w:noProof/>
        </w:rPr>
        <mc:AlternateContent>
          <mc:Choice Requires="wps">
            <w:drawing>
              <wp:anchor distT="0" distB="0" distL="114300" distR="114300" simplePos="0" relativeHeight="251682304" behindDoc="0" locked="0" layoutInCell="1" allowOverlap="1" wp14:anchorId="3165C006" wp14:editId="27848318">
                <wp:simplePos x="0" y="0"/>
                <wp:positionH relativeFrom="column">
                  <wp:posOffset>712470</wp:posOffset>
                </wp:positionH>
                <wp:positionV relativeFrom="paragraph">
                  <wp:posOffset>36830</wp:posOffset>
                </wp:positionV>
                <wp:extent cx="0" cy="194310"/>
                <wp:effectExtent l="63500" t="0" r="25400" b="21590"/>
                <wp:wrapNone/>
                <wp:docPr id="17" name="Line 3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0" cy="1943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1826E7" id="Line 324" o:spid="_x0000_s1026" style="position:absolute;flip:x;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1pt,2.9pt" to="56.1pt,1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">
                <v:stroke endarrow="block"/>
                <o:lock v:ext="edit" shapetype="f"/>
              </v:line>
            </w:pict>
          </mc:Fallback>
        </mc:AlternateContent>
      </w:r>
    </w:p>
    <w:p w14:paraId="5E1192EB" w14:textId="77777777" w:rsidR="00533FE8" w:rsidRPr="009F500F" w:rsidRDefault="00720E5F" w:rsidP="00533FE8">
      <w:r w:rsidRPr="009F500F">
        <w:rPr>
          <w:b/>
          <w:bCs/>
          <w:i/>
          <w:iCs/>
          <w:noProof/>
        </w:rPr>
        <mc:AlternateContent>
          <mc:Choice Requires="wps">
            <w:drawing>
              <wp:anchor distT="0" distB="0" distL="114300" distR="114300" simplePos="0" relativeHeight="251687424" behindDoc="0" locked="0" layoutInCell="1" allowOverlap="1" wp14:anchorId="21A5EC30" wp14:editId="7562B750">
                <wp:simplePos x="0" y="0"/>
                <wp:positionH relativeFrom="column">
                  <wp:posOffset>713740</wp:posOffset>
                </wp:positionH>
                <wp:positionV relativeFrom="paragraph">
                  <wp:posOffset>201930</wp:posOffset>
                </wp:positionV>
                <wp:extent cx="0" cy="708025"/>
                <wp:effectExtent l="63500" t="0" r="25400" b="28575"/>
                <wp:wrapNone/>
                <wp:docPr id="16" name="Line 3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0" cy="70802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7365A0" id="Line 329" o:spid="_x0000_s1026" style="position:absolute;flip:x;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2pt,15.9pt" to="56.2pt,7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">
                <v:stroke endarrow="block"/>
                <o:lock v:ext="edit" shapetype="f"/>
              </v:line>
            </w:pict>
          </mc:Fallback>
        </mc:AlternateContent>
      </w:r>
      <w:r w:rsidR="00533FE8" w:rsidRPr="009F500F">
        <w:t xml:space="preserve">   </w:t>
      </w:r>
      <w:r w:rsidR="00533FE8" w:rsidRPr="009F500F">
        <w:rPr>
          <w:b/>
          <w:bdr w:val="single" w:sz="4" w:space="0" w:color="auto"/>
        </w:rPr>
        <w:t xml:space="preserve">оценка </w:t>
      </w:r>
      <w:r w:rsidR="00AF128D" w:rsidRPr="009F500F">
        <w:rPr>
          <w:b/>
          <w:bdr w:val="single" w:sz="4" w:space="0" w:color="auto"/>
        </w:rPr>
        <w:t>МОБ</w:t>
      </w:r>
      <w:r w:rsidR="00533FE8" w:rsidRPr="009F500F">
        <w:rPr>
          <w:b/>
          <w:bdr w:val="single" w:sz="4" w:space="0" w:color="auto"/>
        </w:rPr>
        <w:t xml:space="preserve"> в </w:t>
      </w:r>
      <w:r w:rsidR="00E93107" w:rsidRPr="009F500F">
        <w:rPr>
          <w:b/>
          <w:bdr w:val="single" w:sz="4" w:space="0" w:color="auto"/>
        </w:rPr>
        <w:t>КМ</w:t>
      </w:r>
      <w:r w:rsidR="00533FE8" w:rsidRPr="009F500F">
        <w:tab/>
      </w:r>
      <w:r w:rsidR="00533FE8" w:rsidRPr="009F500F">
        <w:tab/>
      </w:r>
      <w:r w:rsidR="00533FE8" w:rsidRPr="009F500F">
        <w:tab/>
      </w:r>
      <w:r w:rsidR="00533FE8" w:rsidRPr="009F500F">
        <w:tab/>
      </w:r>
      <w:r w:rsidR="00533FE8" w:rsidRPr="009F500F">
        <w:tab/>
      </w:r>
      <w:r w:rsidR="00533FE8" w:rsidRPr="009F500F">
        <w:tab/>
      </w:r>
      <w:r w:rsidR="00533FE8" w:rsidRPr="009F500F">
        <w:tab/>
      </w:r>
      <w:r w:rsidR="00533FE8" w:rsidRPr="009F500F">
        <w:tab/>
      </w:r>
      <w:r w:rsidR="005A586D" w:rsidRPr="009F500F">
        <w:rPr>
          <w:b/>
          <w:bCs/>
          <w:i/>
          <w:iCs/>
        </w:rPr>
        <w:t>П</w:t>
      </w:r>
      <w:r w:rsidR="00533FE8" w:rsidRPr="009F500F">
        <w:rPr>
          <w:b/>
          <w:bCs/>
          <w:i/>
          <w:iCs/>
        </w:rPr>
        <w:t>рограмма</w:t>
      </w:r>
    </w:p>
    <w:p w14:paraId="633E2313" w14:textId="77777777" w:rsidR="00533FE8" w:rsidRPr="009F500F" w:rsidRDefault="00533FE8" w:rsidP="00533FE8">
      <w:pPr>
        <w:rPr>
          <w:b/>
          <w:i/>
        </w:rPr>
      </w:pPr>
      <w:r w:rsidRPr="009F500F">
        <w:rPr>
          <w:b/>
          <w:bCs/>
          <w:i/>
          <w:iCs/>
        </w:rPr>
        <w:t xml:space="preserve">              </w:t>
      </w:r>
      <w:r w:rsidRPr="009F500F">
        <w:rPr>
          <w:b/>
          <w:bCs/>
          <w:i/>
          <w:iCs/>
        </w:rPr>
        <w:tab/>
      </w:r>
      <w:r w:rsidRPr="009F500F">
        <w:rPr>
          <w:b/>
          <w:bCs/>
          <w:i/>
          <w:iCs/>
        </w:rPr>
        <w:tab/>
      </w:r>
      <w:r w:rsidRPr="009F500F">
        <w:rPr>
          <w:b/>
          <w:bCs/>
          <w:i/>
          <w:iCs/>
        </w:rPr>
        <w:tab/>
      </w:r>
      <w:r w:rsidRPr="009F500F">
        <w:rPr>
          <w:b/>
          <w:bCs/>
          <w:i/>
          <w:iCs/>
        </w:rPr>
        <w:tab/>
      </w:r>
      <w:r w:rsidRPr="009F500F">
        <w:rPr>
          <w:b/>
          <w:bCs/>
          <w:i/>
          <w:iCs/>
        </w:rPr>
        <w:tab/>
      </w:r>
      <w:r w:rsidRPr="009F500F">
        <w:rPr>
          <w:b/>
          <w:bCs/>
          <w:i/>
          <w:iCs/>
        </w:rPr>
        <w:tab/>
      </w:r>
      <w:r w:rsidRPr="009F500F">
        <w:rPr>
          <w:b/>
          <w:bCs/>
          <w:i/>
          <w:iCs/>
        </w:rPr>
        <w:tab/>
      </w:r>
      <w:r w:rsidRPr="009F500F">
        <w:rPr>
          <w:b/>
          <w:bCs/>
          <w:i/>
          <w:iCs/>
        </w:rPr>
        <w:tab/>
      </w:r>
      <w:r w:rsidRPr="009F500F">
        <w:rPr>
          <w:b/>
          <w:bCs/>
          <w:i/>
          <w:iCs/>
        </w:rPr>
        <w:tab/>
        <w:t xml:space="preserve">            </w:t>
      </w:r>
      <w:r w:rsidRPr="009F500F">
        <w:rPr>
          <w:b/>
          <w:i/>
        </w:rPr>
        <w:t>лечения</w:t>
      </w:r>
    </w:p>
    <w:p w14:paraId="61D48AB5" w14:textId="77777777" w:rsidR="00533FE8" w:rsidRPr="009F500F" w:rsidRDefault="00533FE8" w:rsidP="00533FE8">
      <w:pPr>
        <w:rPr>
          <w:b/>
          <w:bCs/>
          <w:i/>
          <w:iCs/>
          <w:u w:val="single"/>
        </w:rPr>
      </w:pPr>
      <w:r w:rsidRPr="009F500F">
        <w:rPr>
          <w:b/>
          <w:i/>
        </w:rPr>
        <w:t xml:space="preserve">                                                                                                                   резистентных форм</w:t>
      </w:r>
      <w:r w:rsidRPr="009F500F">
        <w:t xml:space="preserve">            </w:t>
      </w:r>
      <w:r w:rsidRPr="009F500F">
        <w:rPr>
          <w:b/>
          <w:bCs/>
          <w:i/>
          <w:iCs/>
        </w:rPr>
        <w:t xml:space="preserve">                                                                       </w:t>
      </w:r>
    </w:p>
    <w:p w14:paraId="31DA36CB" w14:textId="77777777" w:rsidR="00533FE8" w:rsidRPr="009F500F" w:rsidRDefault="00533FE8" w:rsidP="00533FE8">
      <w:pPr>
        <w:rPr>
          <w:b/>
          <w:bCs/>
          <w:i/>
          <w:iCs/>
          <w:u w:val="single"/>
        </w:rPr>
      </w:pPr>
    </w:p>
    <w:p w14:paraId="1B74D8F3" w14:textId="77777777" w:rsidR="00533FE8" w:rsidRPr="009F500F" w:rsidRDefault="00E93107" w:rsidP="00533FE8">
      <w:pPr>
        <w:rPr>
          <w:b/>
          <w:bCs/>
          <w:i/>
          <w:iCs/>
        </w:rPr>
      </w:pPr>
      <w:r w:rsidRPr="009F500F">
        <w:rPr>
          <w:b/>
          <w:bCs/>
          <w:i/>
          <w:iCs/>
        </w:rPr>
        <w:t xml:space="preserve">Консолидация </w:t>
      </w:r>
      <w:r w:rsidR="00533FE8" w:rsidRPr="009F500F">
        <w:rPr>
          <w:b/>
          <w:bCs/>
          <w:i/>
          <w:iCs/>
          <w:lang w:val="en-US"/>
        </w:rPr>
        <w:t>I</w:t>
      </w:r>
      <w:r w:rsidRPr="009F500F">
        <w:rPr>
          <w:b/>
          <w:bCs/>
          <w:i/>
          <w:iCs/>
        </w:rPr>
        <w:t xml:space="preserve"> (71–</w:t>
      </w:r>
      <w:r w:rsidR="00533FE8" w:rsidRPr="009F500F">
        <w:rPr>
          <w:b/>
          <w:bCs/>
          <w:i/>
          <w:iCs/>
        </w:rPr>
        <w:t>105</w:t>
      </w:r>
      <w:r w:rsidRPr="009F500F">
        <w:rPr>
          <w:b/>
          <w:bCs/>
          <w:i/>
          <w:iCs/>
        </w:rPr>
        <w:t>-й</w:t>
      </w:r>
      <w:r w:rsidR="00533FE8" w:rsidRPr="009F500F">
        <w:rPr>
          <w:b/>
          <w:bCs/>
          <w:i/>
          <w:iCs/>
        </w:rPr>
        <w:t xml:space="preserve"> дни)  </w:t>
      </w:r>
      <w:r w:rsidR="00533FE8" w:rsidRPr="009F500F">
        <w:t xml:space="preserve">     </w:t>
      </w:r>
      <w:r w:rsidR="00533FE8" w:rsidRPr="009F500F">
        <w:tab/>
      </w:r>
      <w:r w:rsidR="00533FE8" w:rsidRPr="009F500F">
        <w:tab/>
      </w:r>
      <w:r w:rsidR="00533FE8" w:rsidRPr="009F500F">
        <w:tab/>
      </w:r>
      <w:r w:rsidR="00533FE8" w:rsidRPr="009F500F">
        <w:tab/>
        <w:t xml:space="preserve">                        </w:t>
      </w:r>
    </w:p>
    <w:p w14:paraId="6CB39587" w14:textId="1B93F565" w:rsidR="00533FE8" w:rsidRPr="009F500F" w:rsidRDefault="00797B22" w:rsidP="00FF4C81">
      <w:pPr>
        <w:pStyle w:val="afff3"/>
        <w:numPr>
          <w:ilvl w:val="0"/>
          <w:numId w:val="34"/>
        </w:numPr>
        <w:rPr>
          <w:bCs/>
          <w:iCs/>
        </w:rPr>
      </w:pPr>
      <w:r w:rsidRPr="009F500F">
        <w:rPr>
          <w:b/>
          <w:bCs/>
          <w:i/>
          <w:iCs/>
          <w:noProof/>
        </w:rPr>
        <mc:AlternateContent>
          <mc:Choice Requires="wps">
            <w:drawing>
              <wp:anchor distT="0" distB="0" distL="114300" distR="114300" simplePos="0" relativeHeight="251685376" behindDoc="0" locked="0" layoutInCell="1" allowOverlap="1" wp14:anchorId="21D3BCAC" wp14:editId="2EC0D460">
                <wp:simplePos x="0" y="0"/>
                <wp:positionH relativeFrom="column">
                  <wp:posOffset>4564665</wp:posOffset>
                </wp:positionH>
                <wp:positionV relativeFrom="paragraph">
                  <wp:posOffset>477805</wp:posOffset>
                </wp:positionV>
                <wp:extent cx="342900" cy="373925"/>
                <wp:effectExtent l="0" t="0" r="19050" b="26670"/>
                <wp:wrapNone/>
                <wp:docPr id="14" name="AutoShape 3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42900" cy="373925"/>
                        </a:xfrm>
                        <a:prstGeom prst="rightBrace">
                          <a:avLst>
                            <a:gd name="adj1" fmla="val 21343"/>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B13F62" id="AutoShape 327" o:spid="_x0000_s1026" type="#_x0000_t88" style="position:absolute;margin-left:359.4pt;margin-top:37.6pt;width:27pt;height:29.45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" adj="4228"/>
            </w:pict>
          </mc:Fallback>
        </mc:AlternateContent>
      </w:r>
      <w:r w:rsidR="00720E5F" w:rsidRPr="009F500F">
        <w:rPr>
          <w:bCs/>
          <w:iCs/>
          <w:noProof/>
        </w:rPr>
        <mc:AlternateContent>
          <mc:Choice Requires="wps">
            <w:drawing>
              <wp:anchor distT="0" distB="0" distL="114300" distR="114300" simplePos="0" relativeHeight="251683328" behindDoc="0" locked="0" layoutInCell="1" allowOverlap="1" wp14:anchorId="671F7C02" wp14:editId="3DE553FC">
                <wp:simplePos x="0" y="0"/>
                <wp:positionH relativeFrom="column">
                  <wp:posOffset>4900930</wp:posOffset>
                </wp:positionH>
                <wp:positionV relativeFrom="paragraph">
                  <wp:posOffset>240665</wp:posOffset>
                </wp:positionV>
                <wp:extent cx="1483360" cy="1203325"/>
                <wp:effectExtent l="0" t="0" r="2540" b="3175"/>
                <wp:wrapNone/>
                <wp:docPr id="15" name="Text Box 3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483360" cy="1203325"/>
                        </a:xfrm>
                        <a:prstGeom prst="rect">
                          <a:avLst/>
                        </a:prstGeom>
                        <a:solidFill>
                          <a:srgbClr val="FFFFFF"/>
                        </a:solidFill>
                        <a:ln w="9525">
                          <a:solidFill>
                            <a:srgbClr val="000000"/>
                          </a:solidFill>
                          <a:miter lim="800000"/>
                          <a:headEnd/>
                          <a:tailEnd/>
                        </a:ln>
                      </wps:spPr>
                      <wps:txbx>
                        <w:txbxContent>
                          <w:p w14:paraId="5466AB41" w14:textId="77777777" w:rsidR="009E240E" w:rsidRPr="00510729" w:rsidRDefault="009E240E" w:rsidP="005004D7">
                            <w:pPr>
                              <w:jc w:val="left"/>
                            </w:pPr>
                            <w:r w:rsidRPr="00510729">
                              <w:t>Модификация дозы меркаптопурина</w:t>
                            </w:r>
                            <w:r>
                              <w:t>**</w:t>
                            </w:r>
                            <w:r w:rsidRPr="00510729">
                              <w:t xml:space="preserve"> в зависимости от уровня лейкоцитов и тромбоцитов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1F7C02" id="Text Box 325" o:spid="_x0000_s1033" type="#_x0000_t202" style="position:absolute;left:0;text-align:left;margin-left:385.9pt;margin-top:18.95pt;width:116.8pt;height:94.75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">
                <v:path arrowok="t"/>
                <v:textbox>
                  <w:txbxContent>
                    <w:p w14:paraId="5466AB41" w14:textId="77777777" w:rsidR="009E240E" w:rsidRPr="00510729" w:rsidRDefault="009E240E" w:rsidP="005004D7">
                      <w:pPr>
                        <w:jc w:val="left"/>
                      </w:pPr>
                      <w:r w:rsidRPr="00510729">
                        <w:t>Модификация дозы меркаптопурина</w:t>
                      </w:r>
                      <w:r>
                        <w:t>**</w:t>
                      </w:r>
                      <w:r w:rsidRPr="00510729">
                        <w:t xml:space="preserve"> в зависимости от уровня лейкоцитов и тромбоцитов</w:t>
                      </w:r>
                    </w:p>
                  </w:txbxContent>
                </v:textbox>
              </v:shape>
            </w:pict>
          </mc:Fallback>
        </mc:AlternateContent>
      </w:r>
      <w:r w:rsidR="00533FE8" w:rsidRPr="009F500F">
        <w:t>Иматиниб</w:t>
      </w:r>
      <w:r w:rsidR="008C31C1" w:rsidRPr="009F500F">
        <w:t>**</w:t>
      </w:r>
      <w:r w:rsidR="00533FE8" w:rsidRPr="009F500F">
        <w:t xml:space="preserve"> 600 мг внутрь</w:t>
      </w:r>
      <w:r w:rsidR="00E93107" w:rsidRPr="009F500F">
        <w:t>,</w:t>
      </w:r>
      <w:r w:rsidR="00533FE8" w:rsidRPr="009F500F">
        <w:t xml:space="preserve"> </w:t>
      </w:r>
      <w:r w:rsidR="00E93107" w:rsidRPr="009F500F">
        <w:t>71–</w:t>
      </w:r>
      <w:r w:rsidR="00533FE8" w:rsidRPr="009F500F">
        <w:t>105</w:t>
      </w:r>
      <w:r w:rsidR="00E93107" w:rsidRPr="009F500F">
        <w:t>-й</w:t>
      </w:r>
      <w:r w:rsidR="00533FE8" w:rsidRPr="009F500F">
        <w:t xml:space="preserve"> дни (если нет МолПР</w:t>
      </w:r>
      <w:r w:rsidR="00E93107" w:rsidRPr="009F500F">
        <w:t xml:space="preserve">, </w:t>
      </w:r>
      <w:r w:rsidR="00533FE8" w:rsidRPr="009F500F">
        <w:t>переход на дазатиниб 140 мг)</w:t>
      </w:r>
    </w:p>
    <w:p w14:paraId="407C3F2C" w14:textId="42BB03F7" w:rsidR="00533FE8" w:rsidRPr="009F500F" w:rsidRDefault="00533FE8" w:rsidP="00FF4C81">
      <w:pPr>
        <w:pStyle w:val="afff3"/>
        <w:numPr>
          <w:ilvl w:val="0"/>
          <w:numId w:val="34"/>
        </w:numPr>
      </w:pPr>
      <w:r w:rsidRPr="009F500F">
        <w:t>Меркаптопурин</w:t>
      </w:r>
      <w:r w:rsidR="004C2C6A" w:rsidRPr="009F500F">
        <w:t>**</w:t>
      </w:r>
      <w:r w:rsidRPr="009F500F">
        <w:t xml:space="preserve"> 25 мг/м²</w:t>
      </w:r>
      <w:r w:rsidR="00E93107" w:rsidRPr="009F500F">
        <w:t>,</w:t>
      </w:r>
      <w:r w:rsidRPr="009F500F">
        <w:t xml:space="preserve"> 71</w:t>
      </w:r>
      <w:r w:rsidR="00E93107" w:rsidRPr="009F500F">
        <w:t>–</w:t>
      </w:r>
      <w:r w:rsidRPr="009F500F">
        <w:t>105</w:t>
      </w:r>
      <w:r w:rsidR="00E93107" w:rsidRPr="009F500F">
        <w:t>-й</w:t>
      </w:r>
      <w:r w:rsidRPr="009F500F">
        <w:t xml:space="preserve"> дни</w:t>
      </w:r>
    </w:p>
    <w:p w14:paraId="799060CF" w14:textId="5F3B9574" w:rsidR="00533FE8" w:rsidRPr="009F500F" w:rsidRDefault="00533FE8" w:rsidP="00FF4C81">
      <w:pPr>
        <w:pStyle w:val="afff3"/>
        <w:numPr>
          <w:ilvl w:val="0"/>
          <w:numId w:val="34"/>
        </w:numPr>
      </w:pPr>
      <w:r w:rsidRPr="009F500F">
        <w:t>Метотрексат</w:t>
      </w:r>
      <w:r w:rsidR="00FE233A" w:rsidRPr="009F500F">
        <w:t>**</w:t>
      </w:r>
      <w:r w:rsidR="00797B22" w:rsidRPr="009F500F">
        <w:t xml:space="preserve"> 30</w:t>
      </w:r>
      <w:r w:rsidRPr="009F500F">
        <w:t xml:space="preserve"> мг/м</w:t>
      </w:r>
      <w:r w:rsidRPr="009F500F">
        <w:rPr>
          <w:vertAlign w:val="superscript"/>
        </w:rPr>
        <w:t>2</w:t>
      </w:r>
      <w:r w:rsidR="00E93107" w:rsidRPr="009F500F">
        <w:t xml:space="preserve"> в/в кап за 2 ч,</w:t>
      </w:r>
      <w:r w:rsidRPr="009F500F">
        <w:t xml:space="preserve"> 77</w:t>
      </w:r>
      <w:r w:rsidR="00E93107" w:rsidRPr="009F500F">
        <w:t>-й</w:t>
      </w:r>
      <w:r w:rsidRPr="009F500F">
        <w:t>,</w:t>
      </w:r>
      <w:r w:rsidR="00AA6C89" w:rsidRPr="009F500F">
        <w:t xml:space="preserve"> </w:t>
      </w:r>
      <w:r w:rsidR="00797B22" w:rsidRPr="009F500F">
        <w:t xml:space="preserve">84-й, </w:t>
      </w:r>
      <w:r w:rsidRPr="009F500F">
        <w:t>91</w:t>
      </w:r>
      <w:r w:rsidR="00E93107" w:rsidRPr="009F500F">
        <w:t>-й</w:t>
      </w:r>
      <w:r w:rsidR="00797B22" w:rsidRPr="009F500F">
        <w:t>, 98-й</w:t>
      </w:r>
      <w:r w:rsidRPr="009F500F">
        <w:t xml:space="preserve"> дни</w:t>
      </w:r>
      <w:r w:rsidRPr="009F500F">
        <w:tab/>
      </w:r>
      <w:r w:rsidRPr="009F500F">
        <w:tab/>
      </w:r>
      <w:r w:rsidRPr="009F500F">
        <w:tab/>
        <w:t xml:space="preserve">        </w:t>
      </w:r>
    </w:p>
    <w:p w14:paraId="55E49BE7" w14:textId="3FBC5604" w:rsidR="00533FE8" w:rsidRPr="009F500F" w:rsidRDefault="00533FE8" w:rsidP="00533FE8">
      <w:pPr>
        <w:rPr>
          <w:bCs/>
          <w:i/>
        </w:rPr>
      </w:pPr>
      <w:r w:rsidRPr="009F500F">
        <w:rPr>
          <w:bCs/>
          <w:i/>
          <w:iCs/>
        </w:rPr>
        <w:t>Люм</w:t>
      </w:r>
      <w:r w:rsidR="00E93107" w:rsidRPr="009F500F">
        <w:rPr>
          <w:bCs/>
          <w:i/>
          <w:iCs/>
        </w:rPr>
        <w:t>бальная пункция с введением 3</w:t>
      </w:r>
      <w:r w:rsidRPr="009F500F">
        <w:rPr>
          <w:bCs/>
          <w:i/>
          <w:iCs/>
        </w:rPr>
        <w:t xml:space="preserve"> препаратов</w:t>
      </w:r>
      <w:r w:rsidR="00E93107" w:rsidRPr="009F500F">
        <w:rPr>
          <w:bCs/>
          <w:i/>
        </w:rPr>
        <w:t xml:space="preserve"> в</w:t>
      </w:r>
      <w:r w:rsidR="00797B22" w:rsidRPr="009F500F">
        <w:rPr>
          <w:bCs/>
          <w:i/>
        </w:rPr>
        <w:t xml:space="preserve"> 76</w:t>
      </w:r>
      <w:r w:rsidR="00E93107" w:rsidRPr="009F500F">
        <w:rPr>
          <w:bCs/>
          <w:i/>
        </w:rPr>
        <w:t>-й</w:t>
      </w:r>
      <w:r w:rsidRPr="009F500F">
        <w:rPr>
          <w:bCs/>
          <w:i/>
        </w:rPr>
        <w:t xml:space="preserve"> день</w:t>
      </w:r>
      <w:r w:rsidR="00E93107" w:rsidRPr="009F500F">
        <w:rPr>
          <w:bCs/>
          <w:i/>
        </w:rPr>
        <w:t>.</w:t>
      </w:r>
    </w:p>
    <w:p w14:paraId="3E3DE2C8" w14:textId="77777777" w:rsidR="00533FE8" w:rsidRPr="009F500F" w:rsidRDefault="00720E5F" w:rsidP="00533FE8">
      <w:pPr>
        <w:rPr>
          <w:b/>
        </w:rPr>
      </w:pPr>
      <w:r w:rsidRPr="009F500F">
        <w:rPr>
          <w:noProof/>
        </w:rPr>
        <mc:AlternateContent>
          <mc:Choice Requires="wps">
            <w:drawing>
              <wp:anchor distT="0" distB="0" distL="114300" distR="114300" simplePos="0" relativeHeight="251681280" behindDoc="0" locked="0" layoutInCell="1" allowOverlap="1" wp14:anchorId="539F3ADD" wp14:editId="1EA224A7">
                <wp:simplePos x="0" y="0"/>
                <wp:positionH relativeFrom="column">
                  <wp:posOffset>1068705</wp:posOffset>
                </wp:positionH>
                <wp:positionV relativeFrom="paragraph">
                  <wp:posOffset>168910</wp:posOffset>
                </wp:positionV>
                <wp:extent cx="0" cy="228600"/>
                <wp:effectExtent l="63500" t="0" r="38100" b="25400"/>
                <wp:wrapNone/>
                <wp:docPr id="13" name="Line 3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89E089" id="Line 323" o:spid="_x0000_s1026" style="position:absolute;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4.15pt,13.3pt" to="84.15pt,3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">
                <v:stroke endarrow="block"/>
                <o:lock v:ext="edit" shapetype="f"/>
              </v:line>
            </w:pict>
          </mc:Fallback>
        </mc:AlternateContent>
      </w:r>
      <w:r w:rsidR="00533FE8" w:rsidRPr="009F500F">
        <w:rPr>
          <w:b/>
          <w:bCs/>
        </w:rPr>
        <w:t>Пункция КМ на 105</w:t>
      </w:r>
      <w:r w:rsidR="00E93107" w:rsidRPr="009F500F">
        <w:rPr>
          <w:b/>
          <w:bCs/>
        </w:rPr>
        <w:t>-й</w:t>
      </w:r>
      <w:r w:rsidR="00533FE8" w:rsidRPr="009F500F">
        <w:rPr>
          <w:b/>
          <w:bCs/>
        </w:rPr>
        <w:t xml:space="preserve"> день</w:t>
      </w:r>
      <w:r w:rsidR="00533FE8" w:rsidRPr="009F500F">
        <w:rPr>
          <w:bdr w:val="single" w:sz="4" w:space="0" w:color="auto"/>
        </w:rPr>
        <w:t xml:space="preserve"> оценка </w:t>
      </w:r>
      <w:r w:rsidR="00AF128D" w:rsidRPr="009F500F">
        <w:rPr>
          <w:bdr w:val="single" w:sz="4" w:space="0" w:color="auto"/>
        </w:rPr>
        <w:t>МОБ</w:t>
      </w:r>
      <w:r w:rsidR="00533FE8" w:rsidRPr="009F500F">
        <w:rPr>
          <w:bdr w:val="single" w:sz="4" w:space="0" w:color="auto"/>
        </w:rPr>
        <w:t xml:space="preserve"> в </w:t>
      </w:r>
      <w:r w:rsidR="005A586D" w:rsidRPr="009F500F">
        <w:rPr>
          <w:bdr w:val="single" w:sz="4" w:space="0" w:color="auto"/>
        </w:rPr>
        <w:t>КМ</w:t>
      </w:r>
      <w:r w:rsidR="00533FE8" w:rsidRPr="009F500F">
        <w:rPr>
          <w:b/>
          <w:bdr w:val="single" w:sz="4" w:space="0" w:color="auto"/>
        </w:rPr>
        <w:t xml:space="preserve">  (день +105)</w:t>
      </w:r>
      <w:r w:rsidR="00533FE8" w:rsidRPr="009F500F">
        <w:rPr>
          <w:b/>
        </w:rPr>
        <w:t xml:space="preserve">    </w:t>
      </w:r>
    </w:p>
    <w:p w14:paraId="6731E1C7" w14:textId="77777777" w:rsidR="00533FE8" w:rsidRPr="009F500F" w:rsidRDefault="00533FE8" w:rsidP="00533FE8"/>
    <w:p w14:paraId="7FAF884C" w14:textId="77777777" w:rsidR="00533FE8" w:rsidRPr="009F500F" w:rsidRDefault="00E93107" w:rsidP="00533FE8">
      <w:pPr>
        <w:rPr>
          <w:b/>
          <w:bCs/>
          <w:i/>
          <w:iCs/>
        </w:rPr>
      </w:pPr>
      <w:r w:rsidRPr="009F500F">
        <w:rPr>
          <w:b/>
          <w:bCs/>
          <w:i/>
          <w:iCs/>
        </w:rPr>
        <w:t xml:space="preserve">Консолидация </w:t>
      </w:r>
      <w:r w:rsidR="00533FE8" w:rsidRPr="009F500F">
        <w:rPr>
          <w:b/>
          <w:bCs/>
          <w:i/>
          <w:iCs/>
          <w:lang w:val="en-US"/>
        </w:rPr>
        <w:t>II</w:t>
      </w:r>
      <w:r w:rsidR="005A586D" w:rsidRPr="009F500F">
        <w:rPr>
          <w:b/>
          <w:bCs/>
          <w:i/>
          <w:iCs/>
        </w:rPr>
        <w:t xml:space="preserve"> </w:t>
      </w:r>
      <w:r w:rsidRPr="009F500F">
        <w:rPr>
          <w:b/>
          <w:bCs/>
          <w:i/>
          <w:iCs/>
        </w:rPr>
        <w:t>(106–</w:t>
      </w:r>
      <w:r w:rsidR="00533FE8" w:rsidRPr="009F500F">
        <w:rPr>
          <w:b/>
          <w:bCs/>
          <w:i/>
          <w:iCs/>
        </w:rPr>
        <w:t>133</w:t>
      </w:r>
      <w:r w:rsidRPr="009F500F">
        <w:rPr>
          <w:b/>
          <w:bCs/>
          <w:i/>
          <w:iCs/>
        </w:rPr>
        <w:t>-й</w:t>
      </w:r>
      <w:r w:rsidR="00533FE8" w:rsidRPr="009F500F">
        <w:rPr>
          <w:b/>
          <w:bCs/>
          <w:i/>
          <w:iCs/>
        </w:rPr>
        <w:t xml:space="preserve"> дни)</w:t>
      </w:r>
    </w:p>
    <w:p w14:paraId="0C0CD93A" w14:textId="77777777" w:rsidR="00533FE8" w:rsidRPr="009F500F" w:rsidRDefault="00533FE8" w:rsidP="00FF4C81">
      <w:pPr>
        <w:pStyle w:val="afff3"/>
        <w:numPr>
          <w:ilvl w:val="0"/>
          <w:numId w:val="35"/>
        </w:numPr>
        <w:rPr>
          <w:bCs/>
          <w:iCs/>
        </w:rPr>
      </w:pPr>
      <w:r w:rsidRPr="009F500F">
        <w:t>Иматиниб</w:t>
      </w:r>
      <w:r w:rsidR="008C31C1" w:rsidRPr="009F500F">
        <w:t>**</w:t>
      </w:r>
      <w:r w:rsidRPr="009F500F">
        <w:t xml:space="preserve"> 600 мг внутрь</w:t>
      </w:r>
      <w:r w:rsidR="00E93107" w:rsidRPr="009F500F">
        <w:t>,</w:t>
      </w:r>
      <w:r w:rsidRPr="009F500F">
        <w:t xml:space="preserve"> </w:t>
      </w:r>
      <w:r w:rsidR="00E93107" w:rsidRPr="009F500F">
        <w:t>106–</w:t>
      </w:r>
      <w:r w:rsidRPr="009F500F">
        <w:t>133</w:t>
      </w:r>
      <w:r w:rsidR="00E93107" w:rsidRPr="009F500F">
        <w:t>-й</w:t>
      </w:r>
      <w:r w:rsidRPr="009F500F">
        <w:t xml:space="preserve"> дни (или дазатиниб 140 мг)</w:t>
      </w:r>
    </w:p>
    <w:p w14:paraId="63F6453C" w14:textId="7178D5E6" w:rsidR="00533FE8" w:rsidRPr="009F500F" w:rsidRDefault="00533FE8" w:rsidP="00FF4C81">
      <w:pPr>
        <w:pStyle w:val="afff3"/>
        <w:numPr>
          <w:ilvl w:val="0"/>
          <w:numId w:val="35"/>
        </w:numPr>
      </w:pPr>
      <w:r w:rsidRPr="009F500F">
        <w:rPr>
          <w:bCs/>
          <w:iCs/>
        </w:rPr>
        <w:t>Дексаметазон</w:t>
      </w:r>
      <w:r w:rsidR="006F5D03" w:rsidRPr="009F500F">
        <w:rPr>
          <w:bCs/>
          <w:iCs/>
        </w:rPr>
        <w:t>**</w:t>
      </w:r>
      <w:r w:rsidRPr="009F500F">
        <w:t xml:space="preserve"> 6</w:t>
      </w:r>
      <w:r w:rsidR="00797B22" w:rsidRPr="009F500F">
        <w:t>-10</w:t>
      </w:r>
      <w:r w:rsidRPr="009F500F">
        <w:t xml:space="preserve"> мг/м²</w:t>
      </w:r>
      <w:r w:rsidR="00E93107" w:rsidRPr="009F500F">
        <w:t>, 106–</w:t>
      </w:r>
      <w:r w:rsidRPr="009F500F">
        <w:t>120</w:t>
      </w:r>
      <w:r w:rsidR="00E93107" w:rsidRPr="009F500F">
        <w:t>-й</w:t>
      </w:r>
      <w:r w:rsidRPr="009F500F">
        <w:t xml:space="preserve"> дни + 4 дня отмены</w:t>
      </w:r>
    </w:p>
    <w:p w14:paraId="79009EBC" w14:textId="77777777" w:rsidR="00533FE8" w:rsidRPr="009F500F" w:rsidRDefault="00533FE8" w:rsidP="00FF4C81">
      <w:pPr>
        <w:pStyle w:val="afff3"/>
        <w:numPr>
          <w:ilvl w:val="0"/>
          <w:numId w:val="35"/>
        </w:numPr>
      </w:pPr>
      <w:r w:rsidRPr="009F500F">
        <w:rPr>
          <w:bCs/>
          <w:iCs/>
        </w:rPr>
        <w:t>Винкристин</w:t>
      </w:r>
      <w:r w:rsidR="00457E7B" w:rsidRPr="009F500F">
        <w:rPr>
          <w:bCs/>
          <w:iCs/>
        </w:rPr>
        <w:t>**</w:t>
      </w:r>
      <w:r w:rsidRPr="009F500F">
        <w:rPr>
          <w:bCs/>
          <w:iCs/>
        </w:rPr>
        <w:t xml:space="preserve"> 2 мг</w:t>
      </w:r>
      <w:r w:rsidR="00E93107" w:rsidRPr="009F500F">
        <w:rPr>
          <w:bCs/>
          <w:iCs/>
        </w:rPr>
        <w:t>,</w:t>
      </w:r>
      <w:r w:rsidRPr="009F500F">
        <w:t xml:space="preserve"> 106</w:t>
      </w:r>
      <w:r w:rsidR="00E93107" w:rsidRPr="009F500F">
        <w:t>-й</w:t>
      </w:r>
      <w:r w:rsidRPr="009F500F">
        <w:t>, 120</w:t>
      </w:r>
      <w:r w:rsidR="00E93107" w:rsidRPr="009F500F">
        <w:t>-й</w:t>
      </w:r>
      <w:r w:rsidRPr="009F500F">
        <w:t xml:space="preserve"> дни  </w:t>
      </w:r>
    </w:p>
    <w:p w14:paraId="27D69B0B" w14:textId="77777777" w:rsidR="00533FE8" w:rsidRPr="009F500F" w:rsidRDefault="00533FE8" w:rsidP="00533FE8">
      <w:pPr>
        <w:rPr>
          <w:bCs/>
          <w:i/>
          <w:iCs/>
        </w:rPr>
      </w:pPr>
      <w:r w:rsidRPr="009F500F">
        <w:rPr>
          <w:bCs/>
          <w:i/>
          <w:iCs/>
        </w:rPr>
        <w:t xml:space="preserve">Люмбальная пункция с введением </w:t>
      </w:r>
      <w:r w:rsidR="00E93107" w:rsidRPr="009F500F">
        <w:rPr>
          <w:bCs/>
          <w:i/>
          <w:iCs/>
        </w:rPr>
        <w:t>3</w:t>
      </w:r>
      <w:r w:rsidRPr="009F500F">
        <w:rPr>
          <w:bCs/>
          <w:i/>
          <w:iCs/>
        </w:rPr>
        <w:t xml:space="preserve"> препаратов</w:t>
      </w:r>
      <w:r w:rsidRPr="009F500F">
        <w:rPr>
          <w:bCs/>
          <w:i/>
        </w:rPr>
        <w:t xml:space="preserve"> </w:t>
      </w:r>
      <w:r w:rsidR="00E93107" w:rsidRPr="009F500F">
        <w:rPr>
          <w:bCs/>
          <w:i/>
        </w:rPr>
        <w:t xml:space="preserve">в </w:t>
      </w:r>
      <w:r w:rsidRPr="009F500F">
        <w:rPr>
          <w:bCs/>
          <w:i/>
        </w:rPr>
        <w:t>106</w:t>
      </w:r>
      <w:r w:rsidR="00E93107" w:rsidRPr="009F500F">
        <w:rPr>
          <w:bCs/>
          <w:i/>
        </w:rPr>
        <w:t>-й</w:t>
      </w:r>
      <w:r w:rsidRPr="009F500F">
        <w:rPr>
          <w:bCs/>
          <w:i/>
        </w:rPr>
        <w:t xml:space="preserve"> день</w:t>
      </w:r>
      <w:r w:rsidR="00E93107" w:rsidRPr="009F500F">
        <w:rPr>
          <w:bCs/>
          <w:i/>
        </w:rPr>
        <w:t>.</w:t>
      </w:r>
    </w:p>
    <w:p w14:paraId="6F06BB80" w14:textId="77777777" w:rsidR="00533FE8" w:rsidRPr="009F500F" w:rsidRDefault="00720E5F" w:rsidP="00533FE8">
      <w:pPr>
        <w:rPr>
          <w:b/>
        </w:rPr>
      </w:pPr>
      <w:r w:rsidRPr="009F500F">
        <w:rPr>
          <w:noProof/>
        </w:rPr>
        <mc:AlternateContent>
          <mc:Choice Requires="wps">
            <w:drawing>
              <wp:anchor distT="0" distB="0" distL="114300" distR="114300" simplePos="0" relativeHeight="251689472" behindDoc="0" locked="0" layoutInCell="1" allowOverlap="1" wp14:anchorId="4D64D184" wp14:editId="2FC68D4B">
                <wp:simplePos x="0" y="0"/>
                <wp:positionH relativeFrom="column">
                  <wp:posOffset>1090930</wp:posOffset>
                </wp:positionH>
                <wp:positionV relativeFrom="paragraph">
                  <wp:posOffset>283210</wp:posOffset>
                </wp:positionV>
                <wp:extent cx="0" cy="228600"/>
                <wp:effectExtent l="63500" t="0" r="38100" b="25400"/>
                <wp:wrapNone/>
                <wp:docPr id="12" name="Line 3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909D29" id="Line 331" o:spid="_x0000_s1026" style="position:absolute;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5.9pt,22.3pt" to="85.9pt,4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">
                <v:stroke endarrow="block"/>
                <o:lock v:ext="edit" shapetype="f"/>
              </v:line>
            </w:pict>
          </mc:Fallback>
        </mc:AlternateContent>
      </w:r>
      <w:r w:rsidR="00533FE8" w:rsidRPr="009F500F">
        <w:rPr>
          <w:b/>
          <w:bCs/>
        </w:rPr>
        <w:t>Пункция КМ на 133</w:t>
      </w:r>
      <w:r w:rsidR="00E93107" w:rsidRPr="009F500F">
        <w:rPr>
          <w:b/>
          <w:bCs/>
        </w:rPr>
        <w:t>-й</w:t>
      </w:r>
      <w:r w:rsidR="00533FE8" w:rsidRPr="009F500F">
        <w:rPr>
          <w:b/>
          <w:bCs/>
        </w:rPr>
        <w:t xml:space="preserve"> день </w:t>
      </w:r>
      <w:r w:rsidR="00533FE8" w:rsidRPr="009F500F">
        <w:rPr>
          <w:bdr w:val="single" w:sz="4" w:space="0" w:color="auto"/>
        </w:rPr>
        <w:t xml:space="preserve">оценка </w:t>
      </w:r>
      <w:r w:rsidR="00AF128D" w:rsidRPr="009F500F">
        <w:rPr>
          <w:bdr w:val="single" w:sz="4" w:space="0" w:color="auto"/>
        </w:rPr>
        <w:t>МОБ</w:t>
      </w:r>
      <w:r w:rsidR="00533FE8" w:rsidRPr="009F500F">
        <w:rPr>
          <w:bdr w:val="single" w:sz="4" w:space="0" w:color="auto"/>
        </w:rPr>
        <w:t xml:space="preserve"> в </w:t>
      </w:r>
      <w:r w:rsidR="005A586D" w:rsidRPr="009F500F">
        <w:rPr>
          <w:bdr w:val="single" w:sz="4" w:space="0" w:color="auto"/>
        </w:rPr>
        <w:t>КМ</w:t>
      </w:r>
      <w:r w:rsidR="00533FE8" w:rsidRPr="009F500F">
        <w:rPr>
          <w:b/>
          <w:bdr w:val="single" w:sz="4" w:space="0" w:color="auto"/>
        </w:rPr>
        <w:t xml:space="preserve">  (день +133)</w:t>
      </w:r>
      <w:r w:rsidR="00533FE8" w:rsidRPr="009F500F">
        <w:rPr>
          <w:b/>
        </w:rPr>
        <w:t xml:space="preserve">    </w:t>
      </w:r>
    </w:p>
    <w:p w14:paraId="70541AC7" w14:textId="77777777" w:rsidR="00533FE8" w:rsidRPr="009F500F" w:rsidRDefault="00533FE8" w:rsidP="00533FE8"/>
    <w:tbl>
      <w:tblPr>
        <w:tblpPr w:leftFromText="180" w:rightFromText="180" w:vertAnchor="text" w:horzAnchor="page" w:tblpX="8008" w:tblpY="83"/>
        <w:tblW w:w="3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02"/>
        <w:gridCol w:w="1275"/>
        <w:gridCol w:w="1093"/>
      </w:tblGrid>
      <w:tr w:rsidR="009F500F" w:rsidRPr="009F500F" w14:paraId="09399528" w14:textId="77777777" w:rsidTr="00533FE8">
        <w:trPr>
          <w:trHeight w:val="393"/>
        </w:trPr>
        <w:tc>
          <w:tcPr>
            <w:tcW w:w="1202" w:type="dxa"/>
          </w:tcPr>
          <w:p w14:paraId="6594391B" w14:textId="77777777" w:rsidR="00533FE8" w:rsidRPr="009F500F" w:rsidRDefault="00E93107" w:rsidP="008C31C1">
            <w:pPr>
              <w:jc w:val="left"/>
              <w:rPr>
                <w:b/>
                <w:szCs w:val="24"/>
              </w:rPr>
            </w:pPr>
            <w:r w:rsidRPr="009F500F">
              <w:rPr>
                <w:b/>
                <w:szCs w:val="24"/>
              </w:rPr>
              <w:t>Ч</w:t>
            </w:r>
            <w:r w:rsidR="00533FE8" w:rsidRPr="009F500F">
              <w:rPr>
                <w:b/>
                <w:szCs w:val="24"/>
              </w:rPr>
              <w:t>исло лейкоцит</w:t>
            </w:r>
            <w:r w:rsidRPr="009F500F">
              <w:rPr>
                <w:b/>
                <w:szCs w:val="24"/>
              </w:rPr>
              <w:t>ов</w:t>
            </w:r>
          </w:p>
        </w:tc>
        <w:tc>
          <w:tcPr>
            <w:tcW w:w="1275" w:type="dxa"/>
          </w:tcPr>
          <w:p w14:paraId="025FA18C" w14:textId="77777777" w:rsidR="00533FE8" w:rsidRPr="009F500F" w:rsidRDefault="00E93107" w:rsidP="008C31C1">
            <w:pPr>
              <w:jc w:val="left"/>
              <w:rPr>
                <w:b/>
                <w:szCs w:val="24"/>
              </w:rPr>
            </w:pPr>
            <w:r w:rsidRPr="009F500F">
              <w:rPr>
                <w:b/>
                <w:szCs w:val="24"/>
              </w:rPr>
              <w:t>Ч</w:t>
            </w:r>
            <w:r w:rsidR="00533FE8" w:rsidRPr="009F500F">
              <w:rPr>
                <w:b/>
                <w:szCs w:val="24"/>
              </w:rPr>
              <w:t>исло тромбоцитов</w:t>
            </w:r>
          </w:p>
        </w:tc>
        <w:tc>
          <w:tcPr>
            <w:tcW w:w="1093" w:type="dxa"/>
          </w:tcPr>
          <w:p w14:paraId="29C51815" w14:textId="77777777" w:rsidR="00533FE8" w:rsidRPr="009F500F" w:rsidRDefault="00E93107" w:rsidP="008C31C1">
            <w:pPr>
              <w:jc w:val="left"/>
              <w:rPr>
                <w:b/>
                <w:szCs w:val="24"/>
              </w:rPr>
            </w:pPr>
            <w:r w:rsidRPr="009F500F">
              <w:rPr>
                <w:b/>
                <w:szCs w:val="24"/>
              </w:rPr>
              <w:t>Д</w:t>
            </w:r>
            <w:r w:rsidR="00533FE8" w:rsidRPr="009F500F">
              <w:rPr>
                <w:b/>
                <w:szCs w:val="24"/>
              </w:rPr>
              <w:t>оза меркаптопурина</w:t>
            </w:r>
            <w:r w:rsidR="004C2C6A" w:rsidRPr="009F500F">
              <w:rPr>
                <w:b/>
                <w:szCs w:val="24"/>
              </w:rPr>
              <w:t>**</w:t>
            </w:r>
          </w:p>
        </w:tc>
      </w:tr>
      <w:tr w:rsidR="009F500F" w:rsidRPr="009F500F" w14:paraId="65074A6A" w14:textId="77777777" w:rsidTr="00533FE8">
        <w:trPr>
          <w:trHeight w:val="298"/>
        </w:trPr>
        <w:tc>
          <w:tcPr>
            <w:tcW w:w="1202" w:type="dxa"/>
          </w:tcPr>
          <w:p w14:paraId="011BDA81" w14:textId="77777777" w:rsidR="00533FE8" w:rsidRPr="009F500F" w:rsidRDefault="00E93107" w:rsidP="008C31C1">
            <w:pPr>
              <w:jc w:val="left"/>
              <w:rPr>
                <w:szCs w:val="24"/>
              </w:rPr>
            </w:pPr>
            <w:r w:rsidRPr="009F500F">
              <w:rPr>
                <w:szCs w:val="24"/>
              </w:rPr>
              <w:t xml:space="preserve">Более 2,0 </w:t>
            </w:r>
            <w:r w:rsidRPr="009F500F">
              <w:rPr>
                <w:szCs w:val="24"/>
              </w:rPr>
              <w:lastRenderedPageBreak/>
              <w:t xml:space="preserve">× </w:t>
            </w:r>
            <w:r w:rsidR="00533FE8" w:rsidRPr="009F500F">
              <w:rPr>
                <w:szCs w:val="24"/>
              </w:rPr>
              <w:t>10</w:t>
            </w:r>
            <w:r w:rsidR="00533FE8" w:rsidRPr="009F500F">
              <w:rPr>
                <w:szCs w:val="24"/>
                <w:vertAlign w:val="superscript"/>
              </w:rPr>
              <w:t>9</w:t>
            </w:r>
            <w:r w:rsidR="00533FE8" w:rsidRPr="009F500F">
              <w:rPr>
                <w:szCs w:val="24"/>
              </w:rPr>
              <w:t>/л</w:t>
            </w:r>
          </w:p>
        </w:tc>
        <w:tc>
          <w:tcPr>
            <w:tcW w:w="1275" w:type="dxa"/>
          </w:tcPr>
          <w:p w14:paraId="249A3878" w14:textId="77777777" w:rsidR="00533FE8" w:rsidRPr="009F500F" w:rsidRDefault="00E93107" w:rsidP="008C31C1">
            <w:pPr>
              <w:jc w:val="left"/>
              <w:rPr>
                <w:szCs w:val="24"/>
              </w:rPr>
            </w:pPr>
            <w:r w:rsidRPr="009F500F">
              <w:rPr>
                <w:szCs w:val="24"/>
              </w:rPr>
              <w:lastRenderedPageBreak/>
              <w:t xml:space="preserve">Более 100 </w:t>
            </w:r>
            <w:r w:rsidRPr="009F500F">
              <w:rPr>
                <w:szCs w:val="24"/>
              </w:rPr>
              <w:lastRenderedPageBreak/>
              <w:t xml:space="preserve">× </w:t>
            </w:r>
            <w:r w:rsidR="00533FE8" w:rsidRPr="009F500F">
              <w:rPr>
                <w:szCs w:val="24"/>
              </w:rPr>
              <w:t>10</w:t>
            </w:r>
            <w:r w:rsidR="00533FE8" w:rsidRPr="009F500F">
              <w:rPr>
                <w:szCs w:val="24"/>
                <w:vertAlign w:val="superscript"/>
              </w:rPr>
              <w:t>9</w:t>
            </w:r>
            <w:r w:rsidR="00533FE8" w:rsidRPr="009F500F">
              <w:rPr>
                <w:szCs w:val="24"/>
              </w:rPr>
              <w:t>/л</w:t>
            </w:r>
          </w:p>
        </w:tc>
        <w:tc>
          <w:tcPr>
            <w:tcW w:w="1093" w:type="dxa"/>
          </w:tcPr>
          <w:p w14:paraId="4B751083" w14:textId="77777777" w:rsidR="00533FE8" w:rsidRPr="009F500F" w:rsidRDefault="00533FE8" w:rsidP="008C31C1">
            <w:pPr>
              <w:jc w:val="left"/>
              <w:rPr>
                <w:szCs w:val="24"/>
              </w:rPr>
            </w:pPr>
            <w:r w:rsidRPr="009F500F">
              <w:rPr>
                <w:szCs w:val="24"/>
              </w:rPr>
              <w:lastRenderedPageBreak/>
              <w:t>100</w:t>
            </w:r>
            <w:r w:rsidR="00E93107" w:rsidRPr="009F500F">
              <w:rPr>
                <w:szCs w:val="24"/>
              </w:rPr>
              <w:t xml:space="preserve"> </w:t>
            </w:r>
            <w:r w:rsidRPr="009F500F">
              <w:rPr>
                <w:szCs w:val="24"/>
              </w:rPr>
              <w:t xml:space="preserve">% </w:t>
            </w:r>
            <w:r w:rsidRPr="009F500F">
              <w:rPr>
                <w:szCs w:val="24"/>
              </w:rPr>
              <w:lastRenderedPageBreak/>
              <w:t>дозы</w:t>
            </w:r>
          </w:p>
        </w:tc>
      </w:tr>
      <w:tr w:rsidR="009F500F" w:rsidRPr="009F500F" w14:paraId="6440A1EB" w14:textId="77777777" w:rsidTr="00533FE8">
        <w:trPr>
          <w:trHeight w:val="393"/>
        </w:trPr>
        <w:tc>
          <w:tcPr>
            <w:tcW w:w="1202" w:type="dxa"/>
          </w:tcPr>
          <w:p w14:paraId="63BEBE57" w14:textId="77777777" w:rsidR="00533FE8" w:rsidRPr="009F500F" w:rsidRDefault="00E93107" w:rsidP="008C31C1">
            <w:pPr>
              <w:jc w:val="left"/>
              <w:rPr>
                <w:szCs w:val="24"/>
              </w:rPr>
            </w:pPr>
            <w:r w:rsidRPr="009F500F">
              <w:rPr>
                <w:szCs w:val="24"/>
              </w:rPr>
              <w:lastRenderedPageBreak/>
              <w:t>О</w:t>
            </w:r>
            <w:r w:rsidR="00533FE8" w:rsidRPr="009F500F">
              <w:rPr>
                <w:szCs w:val="24"/>
              </w:rPr>
              <w:t>т 1,0</w:t>
            </w:r>
            <w:r w:rsidRPr="009F500F">
              <w:rPr>
                <w:szCs w:val="24"/>
              </w:rPr>
              <w:t xml:space="preserve"> × </w:t>
            </w:r>
            <w:r w:rsidR="00533FE8" w:rsidRPr="009F500F">
              <w:rPr>
                <w:szCs w:val="24"/>
              </w:rPr>
              <w:t>10</w:t>
            </w:r>
            <w:r w:rsidR="00533FE8" w:rsidRPr="009F500F">
              <w:rPr>
                <w:szCs w:val="24"/>
                <w:vertAlign w:val="superscript"/>
              </w:rPr>
              <w:t>9</w:t>
            </w:r>
            <w:r w:rsidR="00533FE8" w:rsidRPr="009F500F">
              <w:rPr>
                <w:szCs w:val="24"/>
              </w:rPr>
              <w:t>/л до 2,0</w:t>
            </w:r>
            <w:r w:rsidRPr="009F500F">
              <w:rPr>
                <w:szCs w:val="24"/>
              </w:rPr>
              <w:t xml:space="preserve"> × </w:t>
            </w:r>
            <w:r w:rsidR="00533FE8" w:rsidRPr="009F500F">
              <w:rPr>
                <w:szCs w:val="24"/>
              </w:rPr>
              <w:t>10</w:t>
            </w:r>
            <w:r w:rsidR="00533FE8" w:rsidRPr="009F500F">
              <w:rPr>
                <w:szCs w:val="24"/>
                <w:vertAlign w:val="superscript"/>
              </w:rPr>
              <w:t>9</w:t>
            </w:r>
            <w:r w:rsidR="00533FE8" w:rsidRPr="009F500F">
              <w:rPr>
                <w:szCs w:val="24"/>
              </w:rPr>
              <w:t>/л</w:t>
            </w:r>
          </w:p>
        </w:tc>
        <w:tc>
          <w:tcPr>
            <w:tcW w:w="1275" w:type="dxa"/>
          </w:tcPr>
          <w:p w14:paraId="2798F6C9" w14:textId="77777777" w:rsidR="00533FE8" w:rsidRPr="009F500F" w:rsidRDefault="00E93107" w:rsidP="008C31C1">
            <w:pPr>
              <w:jc w:val="left"/>
              <w:rPr>
                <w:szCs w:val="24"/>
              </w:rPr>
            </w:pPr>
            <w:r w:rsidRPr="009F500F">
              <w:rPr>
                <w:szCs w:val="24"/>
              </w:rPr>
              <w:t>О</w:t>
            </w:r>
            <w:r w:rsidR="00533FE8" w:rsidRPr="009F500F">
              <w:rPr>
                <w:szCs w:val="24"/>
              </w:rPr>
              <w:t>т 50</w:t>
            </w:r>
            <w:r w:rsidRPr="009F500F">
              <w:rPr>
                <w:szCs w:val="24"/>
              </w:rPr>
              <w:t xml:space="preserve"> × </w:t>
            </w:r>
            <w:r w:rsidR="00533FE8" w:rsidRPr="009F500F">
              <w:rPr>
                <w:szCs w:val="24"/>
              </w:rPr>
              <w:t>10</w:t>
            </w:r>
            <w:r w:rsidR="00533FE8" w:rsidRPr="009F500F">
              <w:rPr>
                <w:szCs w:val="24"/>
                <w:vertAlign w:val="superscript"/>
              </w:rPr>
              <w:t>9</w:t>
            </w:r>
            <w:r w:rsidRPr="009F500F">
              <w:rPr>
                <w:szCs w:val="24"/>
              </w:rPr>
              <w:t>/л до 100 ×</w:t>
            </w:r>
            <w:r w:rsidR="00533FE8" w:rsidRPr="009F500F">
              <w:rPr>
                <w:szCs w:val="24"/>
              </w:rPr>
              <w:t>10</w:t>
            </w:r>
            <w:r w:rsidR="00533FE8" w:rsidRPr="009F500F">
              <w:rPr>
                <w:szCs w:val="24"/>
                <w:vertAlign w:val="superscript"/>
              </w:rPr>
              <w:t>9</w:t>
            </w:r>
            <w:r w:rsidR="00533FE8" w:rsidRPr="009F500F">
              <w:rPr>
                <w:szCs w:val="24"/>
              </w:rPr>
              <w:t>/л</w:t>
            </w:r>
          </w:p>
        </w:tc>
        <w:tc>
          <w:tcPr>
            <w:tcW w:w="1093" w:type="dxa"/>
          </w:tcPr>
          <w:p w14:paraId="32403511" w14:textId="77777777" w:rsidR="00533FE8" w:rsidRPr="009F500F" w:rsidRDefault="00E93107" w:rsidP="008C31C1">
            <w:pPr>
              <w:jc w:val="left"/>
              <w:rPr>
                <w:szCs w:val="24"/>
              </w:rPr>
            </w:pPr>
            <w:r w:rsidRPr="009F500F">
              <w:rPr>
                <w:szCs w:val="24"/>
              </w:rPr>
              <w:t xml:space="preserve">50 % </w:t>
            </w:r>
            <w:r w:rsidR="00533FE8" w:rsidRPr="009F500F">
              <w:rPr>
                <w:szCs w:val="24"/>
              </w:rPr>
              <w:t>дозы</w:t>
            </w:r>
          </w:p>
        </w:tc>
      </w:tr>
      <w:tr w:rsidR="009F500F" w:rsidRPr="009F500F" w14:paraId="7C160FDE" w14:textId="77777777" w:rsidTr="00533FE8">
        <w:trPr>
          <w:trHeight w:val="637"/>
        </w:trPr>
        <w:tc>
          <w:tcPr>
            <w:tcW w:w="1202" w:type="dxa"/>
          </w:tcPr>
          <w:p w14:paraId="1E909EEC" w14:textId="77777777" w:rsidR="00533FE8" w:rsidRPr="009F500F" w:rsidRDefault="00E93107" w:rsidP="008C31C1">
            <w:pPr>
              <w:jc w:val="left"/>
              <w:rPr>
                <w:szCs w:val="24"/>
              </w:rPr>
            </w:pPr>
            <w:r w:rsidRPr="009F500F">
              <w:rPr>
                <w:szCs w:val="24"/>
              </w:rPr>
              <w:t>М</w:t>
            </w:r>
            <w:r w:rsidR="00533FE8" w:rsidRPr="009F500F">
              <w:rPr>
                <w:szCs w:val="24"/>
              </w:rPr>
              <w:t>енее 1,0</w:t>
            </w:r>
            <w:r w:rsidRPr="009F500F">
              <w:rPr>
                <w:szCs w:val="24"/>
              </w:rPr>
              <w:t xml:space="preserve"> × </w:t>
            </w:r>
            <w:r w:rsidR="00533FE8" w:rsidRPr="009F500F">
              <w:rPr>
                <w:szCs w:val="24"/>
              </w:rPr>
              <w:t>10</w:t>
            </w:r>
            <w:r w:rsidR="00533FE8" w:rsidRPr="009F500F">
              <w:rPr>
                <w:szCs w:val="24"/>
                <w:vertAlign w:val="superscript"/>
              </w:rPr>
              <w:t>9</w:t>
            </w:r>
            <w:r w:rsidR="00533FE8" w:rsidRPr="009F500F">
              <w:rPr>
                <w:szCs w:val="24"/>
              </w:rPr>
              <w:t>/л</w:t>
            </w:r>
          </w:p>
        </w:tc>
        <w:tc>
          <w:tcPr>
            <w:tcW w:w="1275" w:type="dxa"/>
          </w:tcPr>
          <w:p w14:paraId="2D2D8273" w14:textId="77777777" w:rsidR="00533FE8" w:rsidRPr="009F500F" w:rsidRDefault="00E93107" w:rsidP="008C31C1">
            <w:pPr>
              <w:jc w:val="left"/>
              <w:rPr>
                <w:szCs w:val="24"/>
              </w:rPr>
            </w:pPr>
            <w:r w:rsidRPr="009F500F">
              <w:rPr>
                <w:szCs w:val="24"/>
              </w:rPr>
              <w:t xml:space="preserve">Менее 50 × </w:t>
            </w:r>
            <w:r w:rsidR="00533FE8" w:rsidRPr="009F500F">
              <w:rPr>
                <w:szCs w:val="24"/>
              </w:rPr>
              <w:t>10</w:t>
            </w:r>
            <w:r w:rsidR="00533FE8" w:rsidRPr="009F500F">
              <w:rPr>
                <w:szCs w:val="24"/>
                <w:vertAlign w:val="superscript"/>
              </w:rPr>
              <w:t>9</w:t>
            </w:r>
            <w:r w:rsidR="00533FE8" w:rsidRPr="009F500F">
              <w:rPr>
                <w:szCs w:val="24"/>
              </w:rPr>
              <w:t>/л</w:t>
            </w:r>
          </w:p>
        </w:tc>
        <w:tc>
          <w:tcPr>
            <w:tcW w:w="1093" w:type="dxa"/>
          </w:tcPr>
          <w:p w14:paraId="45F250E4" w14:textId="77777777" w:rsidR="00533FE8" w:rsidRPr="009F500F" w:rsidRDefault="00533FE8" w:rsidP="008C31C1">
            <w:pPr>
              <w:jc w:val="left"/>
              <w:rPr>
                <w:szCs w:val="24"/>
              </w:rPr>
            </w:pPr>
            <w:r w:rsidRPr="009F500F">
              <w:rPr>
                <w:szCs w:val="24"/>
              </w:rPr>
              <w:t>0</w:t>
            </w:r>
            <w:r w:rsidR="00E93107" w:rsidRPr="009F500F">
              <w:rPr>
                <w:szCs w:val="24"/>
              </w:rPr>
              <w:t xml:space="preserve"> </w:t>
            </w:r>
            <w:r w:rsidRPr="009F500F">
              <w:rPr>
                <w:szCs w:val="24"/>
              </w:rPr>
              <w:t>%</w:t>
            </w:r>
          </w:p>
        </w:tc>
      </w:tr>
    </w:tbl>
    <w:p w14:paraId="756BBE11" w14:textId="77777777" w:rsidR="00533FE8" w:rsidRPr="009F500F" w:rsidRDefault="00720E5F" w:rsidP="00533FE8">
      <w:pPr>
        <w:rPr>
          <w:b/>
          <w:bCs/>
          <w:i/>
          <w:iCs/>
        </w:rPr>
      </w:pPr>
      <w:r w:rsidRPr="009F500F">
        <w:rPr>
          <w:bCs/>
          <w:i/>
          <w:iCs/>
          <w:noProof/>
        </w:rPr>
        <mc:AlternateContent>
          <mc:Choice Requires="wps">
            <w:drawing>
              <wp:anchor distT="0" distB="0" distL="114300" distR="114300" simplePos="0" relativeHeight="251686400" behindDoc="0" locked="0" layoutInCell="1" allowOverlap="1" wp14:anchorId="6F275600" wp14:editId="561B4BBE">
                <wp:simplePos x="0" y="0"/>
                <wp:positionH relativeFrom="column">
                  <wp:posOffset>3736665</wp:posOffset>
                </wp:positionH>
                <wp:positionV relativeFrom="paragraph">
                  <wp:posOffset>48556</wp:posOffset>
                </wp:positionV>
                <wp:extent cx="342900" cy="986400"/>
                <wp:effectExtent l="0" t="0" r="19050" b="23495"/>
                <wp:wrapNone/>
                <wp:docPr id="11" name="AutoShape 3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42900" cy="986400"/>
                        </a:xfrm>
                        <a:prstGeom prst="rightBrace">
                          <a:avLst>
                            <a:gd name="adj1" fmla="val 42299"/>
                            <a:gd name="adj2" fmla="val 50463"/>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5B889B" id="AutoShape 328" o:spid="_x0000_s1026" type="#_x0000_t88" style="position:absolute;margin-left:294.25pt;margin-top:3.8pt;width:27pt;height:77.65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" adj="3176,10900"/>
            </w:pict>
          </mc:Fallback>
        </mc:AlternateContent>
      </w:r>
      <w:r w:rsidR="00E93107" w:rsidRPr="009F500F">
        <w:rPr>
          <w:b/>
          <w:bCs/>
          <w:i/>
          <w:iCs/>
        </w:rPr>
        <w:t xml:space="preserve">Консолидация </w:t>
      </w:r>
      <w:r w:rsidR="00533FE8" w:rsidRPr="009F500F">
        <w:rPr>
          <w:b/>
          <w:bCs/>
          <w:i/>
          <w:iCs/>
          <w:lang w:val="en-US"/>
        </w:rPr>
        <w:t>III</w:t>
      </w:r>
      <w:r w:rsidR="00E93107" w:rsidRPr="009F500F">
        <w:rPr>
          <w:b/>
          <w:bCs/>
          <w:i/>
          <w:iCs/>
        </w:rPr>
        <w:t xml:space="preserve"> (133–</w:t>
      </w:r>
      <w:r w:rsidR="00533FE8" w:rsidRPr="009F500F">
        <w:rPr>
          <w:b/>
          <w:bCs/>
          <w:i/>
          <w:iCs/>
        </w:rPr>
        <w:t>161</w:t>
      </w:r>
      <w:r w:rsidR="00E93107" w:rsidRPr="009F500F">
        <w:rPr>
          <w:b/>
          <w:bCs/>
          <w:i/>
          <w:iCs/>
        </w:rPr>
        <w:t>-й</w:t>
      </w:r>
      <w:r w:rsidR="00533FE8" w:rsidRPr="009F500F">
        <w:rPr>
          <w:b/>
          <w:bCs/>
          <w:i/>
          <w:iCs/>
        </w:rPr>
        <w:t xml:space="preserve"> дни)</w:t>
      </w:r>
    </w:p>
    <w:p w14:paraId="41678D49" w14:textId="77777777" w:rsidR="00533FE8" w:rsidRPr="009F500F" w:rsidRDefault="00533FE8" w:rsidP="00FF4C81">
      <w:pPr>
        <w:pStyle w:val="afff3"/>
        <w:numPr>
          <w:ilvl w:val="0"/>
          <w:numId w:val="36"/>
        </w:numPr>
        <w:rPr>
          <w:bCs/>
          <w:iCs/>
        </w:rPr>
      </w:pPr>
      <w:r w:rsidRPr="009F500F">
        <w:t>Иматиниб</w:t>
      </w:r>
      <w:r w:rsidR="008C31C1" w:rsidRPr="009F500F">
        <w:t>**</w:t>
      </w:r>
      <w:r w:rsidRPr="009F500F">
        <w:t xml:space="preserve"> 600 мг</w:t>
      </w:r>
      <w:r w:rsidR="00E93107" w:rsidRPr="009F500F">
        <w:t>,</w:t>
      </w:r>
      <w:r w:rsidRPr="009F500F">
        <w:t xml:space="preserve"> 133</w:t>
      </w:r>
      <w:r w:rsidR="00D83194" w:rsidRPr="009F500F">
        <w:t>–</w:t>
      </w:r>
      <w:r w:rsidRPr="009F500F">
        <w:t>161</w:t>
      </w:r>
      <w:r w:rsidR="00D83194" w:rsidRPr="009F500F">
        <w:t>-й</w:t>
      </w:r>
      <w:r w:rsidRPr="009F500F">
        <w:t xml:space="preserve"> дни (или дазатиниб 140 мг)</w:t>
      </w:r>
    </w:p>
    <w:p w14:paraId="3CA3EDC8" w14:textId="77777777" w:rsidR="00533FE8" w:rsidRPr="009F500F" w:rsidRDefault="00533FE8" w:rsidP="00FF4C81">
      <w:pPr>
        <w:pStyle w:val="afff3"/>
        <w:numPr>
          <w:ilvl w:val="0"/>
          <w:numId w:val="36"/>
        </w:numPr>
      </w:pPr>
      <w:r w:rsidRPr="009F500F">
        <w:t>Меркаптопурин</w:t>
      </w:r>
      <w:r w:rsidR="004C2C6A" w:rsidRPr="009F500F">
        <w:t>**</w:t>
      </w:r>
      <w:r w:rsidRPr="009F500F">
        <w:t xml:space="preserve"> 25 мг/м²</w:t>
      </w:r>
      <w:r w:rsidR="00E93107" w:rsidRPr="009F500F">
        <w:t>,</w:t>
      </w:r>
      <w:r w:rsidRPr="009F500F">
        <w:t xml:space="preserve"> </w:t>
      </w:r>
      <w:r w:rsidR="00E93107" w:rsidRPr="009F500F">
        <w:t>133–</w:t>
      </w:r>
      <w:r w:rsidRPr="009F500F">
        <w:t>161</w:t>
      </w:r>
      <w:r w:rsidR="00E93107" w:rsidRPr="009F500F">
        <w:t>-й</w:t>
      </w:r>
      <w:r w:rsidRPr="009F500F">
        <w:t xml:space="preserve"> дни</w:t>
      </w:r>
    </w:p>
    <w:p w14:paraId="77E5D756" w14:textId="77777777" w:rsidR="00533FE8" w:rsidRPr="009F500F" w:rsidRDefault="00417EEC" w:rsidP="00FF4C81">
      <w:pPr>
        <w:pStyle w:val="afff3"/>
        <w:numPr>
          <w:ilvl w:val="0"/>
          <w:numId w:val="36"/>
        </w:numPr>
      </w:pPr>
      <w:r w:rsidRPr="009F500F">
        <w:t xml:space="preserve">Цитарабин** </w:t>
      </w:r>
      <w:r w:rsidR="00533FE8" w:rsidRPr="009F500F">
        <w:t>50 мг/м²</w:t>
      </w:r>
      <w:r w:rsidR="00E93107" w:rsidRPr="009F500F">
        <w:t>, 135–138-й, 149–</w:t>
      </w:r>
      <w:r w:rsidR="00533FE8" w:rsidRPr="009F500F">
        <w:t>152</w:t>
      </w:r>
      <w:r w:rsidR="00E93107" w:rsidRPr="009F500F">
        <w:t>-й</w:t>
      </w:r>
      <w:r w:rsidR="00533FE8" w:rsidRPr="009F500F">
        <w:t xml:space="preserve"> дни</w:t>
      </w:r>
    </w:p>
    <w:p w14:paraId="06FAF214" w14:textId="77777777" w:rsidR="00533FE8" w:rsidRPr="009F500F" w:rsidRDefault="00533FE8" w:rsidP="00533FE8">
      <w:pPr>
        <w:rPr>
          <w:bCs/>
          <w:i/>
          <w:iCs/>
        </w:rPr>
      </w:pPr>
      <w:r w:rsidRPr="009F500F">
        <w:rPr>
          <w:bCs/>
          <w:i/>
          <w:iCs/>
        </w:rPr>
        <w:t>Люмбальная пункция с введением препаратов</w:t>
      </w:r>
      <w:r w:rsidRPr="009F500F">
        <w:rPr>
          <w:bCs/>
          <w:i/>
        </w:rPr>
        <w:t xml:space="preserve"> </w:t>
      </w:r>
      <w:r w:rsidR="00E93107" w:rsidRPr="009F500F">
        <w:rPr>
          <w:bCs/>
          <w:i/>
        </w:rPr>
        <w:t xml:space="preserve">в </w:t>
      </w:r>
      <w:r w:rsidRPr="009F500F">
        <w:rPr>
          <w:bCs/>
          <w:i/>
        </w:rPr>
        <w:t>134</w:t>
      </w:r>
      <w:r w:rsidR="00E93107" w:rsidRPr="009F500F">
        <w:rPr>
          <w:bCs/>
          <w:i/>
        </w:rPr>
        <w:t>-й</w:t>
      </w:r>
      <w:r w:rsidRPr="009F500F">
        <w:rPr>
          <w:bCs/>
          <w:i/>
        </w:rPr>
        <w:t xml:space="preserve"> день</w:t>
      </w:r>
      <w:r w:rsidR="00E93107" w:rsidRPr="009F500F">
        <w:rPr>
          <w:bCs/>
          <w:i/>
        </w:rPr>
        <w:t>.</w:t>
      </w:r>
    </w:p>
    <w:p w14:paraId="6425A668" w14:textId="38D35A0A" w:rsidR="00533FE8" w:rsidRPr="009F500F" w:rsidRDefault="00797B22" w:rsidP="00533FE8">
      <w:pPr>
        <w:rPr>
          <w:b/>
        </w:rPr>
      </w:pPr>
      <w:r w:rsidRPr="009F500F">
        <w:rPr>
          <w:noProof/>
        </w:rPr>
        <mc:AlternateContent>
          <mc:Choice Requires="wps">
            <w:drawing>
              <wp:anchor distT="0" distB="0" distL="114300" distR="114300" simplePos="0" relativeHeight="251690496" behindDoc="0" locked="0" layoutInCell="1" allowOverlap="1" wp14:anchorId="57F75995" wp14:editId="5EF6129A">
                <wp:simplePos x="0" y="0"/>
                <wp:positionH relativeFrom="column">
                  <wp:posOffset>1125855</wp:posOffset>
                </wp:positionH>
                <wp:positionV relativeFrom="paragraph">
                  <wp:posOffset>269100</wp:posOffset>
                </wp:positionV>
                <wp:extent cx="0" cy="228600"/>
                <wp:effectExtent l="63500" t="0" r="38100" b="25400"/>
                <wp:wrapNone/>
                <wp:docPr id="10" name="Line 3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94B127" id="Line 332" o:spid="_x0000_s1026" style="position:absolute;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8.65pt,21.2pt" to="88.65pt,3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">
                <v:stroke endarrow="block"/>
                <o:lock v:ext="edit" shapetype="f"/>
              </v:line>
            </w:pict>
          </mc:Fallback>
        </mc:AlternateContent>
      </w:r>
      <w:r w:rsidR="00533FE8" w:rsidRPr="009F500F">
        <w:rPr>
          <w:b/>
          <w:bCs/>
        </w:rPr>
        <w:t>Пункция КМ на 161</w:t>
      </w:r>
      <w:r w:rsidR="00E93107" w:rsidRPr="009F500F">
        <w:rPr>
          <w:b/>
          <w:bCs/>
        </w:rPr>
        <w:t>-й</w:t>
      </w:r>
      <w:r w:rsidR="00533FE8" w:rsidRPr="009F500F">
        <w:rPr>
          <w:b/>
          <w:bCs/>
        </w:rPr>
        <w:t xml:space="preserve"> день</w:t>
      </w:r>
      <w:r w:rsidR="00533FE8" w:rsidRPr="009F500F">
        <w:rPr>
          <w:bdr w:val="single" w:sz="4" w:space="0" w:color="auto"/>
        </w:rPr>
        <w:t xml:space="preserve"> оценка </w:t>
      </w:r>
      <w:r w:rsidR="00AF128D" w:rsidRPr="009F500F">
        <w:rPr>
          <w:bdr w:val="single" w:sz="4" w:space="0" w:color="auto"/>
        </w:rPr>
        <w:t>МОБ</w:t>
      </w:r>
      <w:r w:rsidR="00533FE8" w:rsidRPr="009F500F">
        <w:rPr>
          <w:bdr w:val="single" w:sz="4" w:space="0" w:color="auto"/>
        </w:rPr>
        <w:t xml:space="preserve"> в </w:t>
      </w:r>
      <w:r w:rsidR="005A586D" w:rsidRPr="009F500F">
        <w:rPr>
          <w:bdr w:val="single" w:sz="4" w:space="0" w:color="auto"/>
        </w:rPr>
        <w:t>КМ</w:t>
      </w:r>
      <w:r w:rsidR="00533FE8" w:rsidRPr="009F500F">
        <w:rPr>
          <w:b/>
          <w:bdr w:val="single" w:sz="4" w:space="0" w:color="auto"/>
        </w:rPr>
        <w:t xml:space="preserve">  (день +161)</w:t>
      </w:r>
      <w:r w:rsidR="00533FE8" w:rsidRPr="009F500F">
        <w:rPr>
          <w:b/>
        </w:rPr>
        <w:t xml:space="preserve">    </w:t>
      </w:r>
    </w:p>
    <w:p w14:paraId="6F6C2577" w14:textId="77777777" w:rsidR="00533FE8" w:rsidRPr="009F500F" w:rsidRDefault="00533FE8" w:rsidP="00533FE8"/>
    <w:p w14:paraId="22E63E7E" w14:textId="77777777" w:rsidR="00533FE8" w:rsidRPr="009F500F" w:rsidRDefault="00533FE8" w:rsidP="00533FE8">
      <w:pPr>
        <w:rPr>
          <w:b/>
          <w:i/>
          <w:iCs/>
        </w:rPr>
      </w:pPr>
      <w:r w:rsidRPr="009F500F">
        <w:rPr>
          <w:b/>
          <w:i/>
          <w:iCs/>
        </w:rPr>
        <w:t xml:space="preserve">Поддерживающая терапия в течение 3 лет от момента завершения последнего курса консолидации (после </w:t>
      </w:r>
      <w:r w:rsidR="00F33796" w:rsidRPr="009F500F">
        <w:rPr>
          <w:b/>
          <w:i/>
          <w:iCs/>
        </w:rPr>
        <w:t>ТГСК</w:t>
      </w:r>
      <w:r w:rsidRPr="009F500F">
        <w:rPr>
          <w:b/>
          <w:i/>
          <w:iCs/>
        </w:rPr>
        <w:t xml:space="preserve"> поддерживающая терапия проводится только </w:t>
      </w:r>
      <w:r w:rsidR="005A586D" w:rsidRPr="009F500F">
        <w:rPr>
          <w:b/>
          <w:i/>
          <w:iCs/>
        </w:rPr>
        <w:t>ИТК</w:t>
      </w:r>
      <w:r w:rsidRPr="009F500F">
        <w:rPr>
          <w:b/>
          <w:i/>
          <w:iCs/>
        </w:rPr>
        <w:t xml:space="preserve"> в течение 2 лет)</w:t>
      </w:r>
      <w:r w:rsidR="00E93107" w:rsidRPr="009F500F">
        <w:rPr>
          <w:b/>
          <w:i/>
          <w:iCs/>
        </w:rPr>
        <w:t>.</w:t>
      </w:r>
    </w:p>
    <w:p w14:paraId="4D4DD47C" w14:textId="7881C20C" w:rsidR="00E93107" w:rsidRPr="009F500F" w:rsidRDefault="00533FE8" w:rsidP="00797B22">
      <w:pPr>
        <w:ind w:firstLine="709"/>
        <w:rPr>
          <w:b/>
          <w:bCs/>
          <w:i/>
          <w:iCs/>
        </w:rPr>
      </w:pPr>
      <w:r w:rsidRPr="009F500F">
        <w:rPr>
          <w:b/>
          <w:bCs/>
          <w:i/>
          <w:iCs/>
        </w:rPr>
        <w:t>Между циклами поддерживающей терапии не</w:t>
      </w:r>
      <w:r w:rsidR="00E93107" w:rsidRPr="009F500F">
        <w:rPr>
          <w:b/>
          <w:bCs/>
          <w:i/>
          <w:iCs/>
        </w:rPr>
        <w:t>т интервалов: 1-й</w:t>
      </w:r>
      <w:r w:rsidRPr="009F500F">
        <w:rPr>
          <w:b/>
          <w:bCs/>
          <w:i/>
          <w:iCs/>
        </w:rPr>
        <w:t xml:space="preserve"> день последующего курса следует сразу за последним днем предшествующего</w:t>
      </w:r>
      <w:r w:rsidR="00797B22" w:rsidRPr="009F500F">
        <w:rPr>
          <w:b/>
          <w:bCs/>
          <w:i/>
          <w:iCs/>
        </w:rPr>
        <w:t>.</w:t>
      </w:r>
    </w:p>
    <w:p w14:paraId="3DDD882A" w14:textId="77777777" w:rsidR="00533FE8" w:rsidRPr="009F500F" w:rsidRDefault="00533FE8" w:rsidP="00533FE8">
      <w:pPr>
        <w:rPr>
          <w:b/>
          <w:bCs/>
          <w:i/>
          <w:iCs/>
        </w:rPr>
      </w:pPr>
      <w:r w:rsidRPr="009F500F">
        <w:rPr>
          <w:b/>
          <w:bCs/>
          <w:i/>
          <w:iCs/>
        </w:rPr>
        <w:t xml:space="preserve">Поддерживающая терапия, </w:t>
      </w:r>
      <w:r w:rsidR="00E93107" w:rsidRPr="009F500F">
        <w:rPr>
          <w:b/>
          <w:bCs/>
          <w:i/>
          <w:iCs/>
        </w:rPr>
        <w:t>цикл</w:t>
      </w:r>
      <w:r w:rsidRPr="009F500F">
        <w:rPr>
          <w:b/>
          <w:bCs/>
          <w:i/>
          <w:iCs/>
        </w:rPr>
        <w:t xml:space="preserve"> №</w:t>
      </w:r>
      <w:r w:rsidR="00E93107" w:rsidRPr="009F500F">
        <w:rPr>
          <w:b/>
          <w:bCs/>
          <w:i/>
          <w:iCs/>
        </w:rPr>
        <w:t xml:space="preserve"> 3(1–</w:t>
      </w:r>
      <w:r w:rsidRPr="009F500F">
        <w:rPr>
          <w:b/>
          <w:bCs/>
          <w:i/>
          <w:iCs/>
        </w:rPr>
        <w:t>3)(начало 28</w:t>
      </w:r>
      <w:r w:rsidR="00E93107" w:rsidRPr="009F500F">
        <w:rPr>
          <w:b/>
          <w:bCs/>
          <w:i/>
          <w:iCs/>
        </w:rPr>
        <w:t>-й недели</w:t>
      </w:r>
      <w:r w:rsidRPr="009F500F">
        <w:rPr>
          <w:b/>
          <w:bCs/>
          <w:i/>
          <w:iCs/>
        </w:rPr>
        <w:t xml:space="preserve"> +</w:t>
      </w:r>
      <w:r w:rsidR="00E93107" w:rsidRPr="009F500F">
        <w:rPr>
          <w:b/>
          <w:bCs/>
          <w:i/>
          <w:iCs/>
        </w:rPr>
        <w:t xml:space="preserve"> </w:t>
      </w:r>
      <w:r w:rsidRPr="009F500F">
        <w:rPr>
          <w:b/>
          <w:bCs/>
          <w:i/>
          <w:iCs/>
        </w:rPr>
        <w:t>191</w:t>
      </w:r>
      <w:r w:rsidR="00E93107" w:rsidRPr="009F500F">
        <w:rPr>
          <w:b/>
          <w:bCs/>
          <w:i/>
          <w:iCs/>
        </w:rPr>
        <w:t>-й</w:t>
      </w:r>
      <w:r w:rsidRPr="009F500F">
        <w:rPr>
          <w:b/>
          <w:bCs/>
          <w:i/>
          <w:iCs/>
        </w:rPr>
        <w:t xml:space="preserve"> день)</w:t>
      </w:r>
    </w:p>
    <w:p w14:paraId="76BD9B68" w14:textId="1E361FDB" w:rsidR="00533FE8" w:rsidRPr="009F500F" w:rsidRDefault="00533FE8" w:rsidP="00FF4C81">
      <w:pPr>
        <w:pStyle w:val="afff3"/>
        <w:numPr>
          <w:ilvl w:val="0"/>
          <w:numId w:val="37"/>
        </w:numPr>
      </w:pPr>
      <w:r w:rsidRPr="009F500F">
        <w:t>Иматиниб</w:t>
      </w:r>
      <w:r w:rsidR="008C31C1" w:rsidRPr="009F500F">
        <w:t>**</w:t>
      </w:r>
      <w:r w:rsidRPr="009F500F">
        <w:t xml:space="preserve"> 600 мг</w:t>
      </w:r>
      <w:r w:rsidR="00D83194" w:rsidRPr="009F500F">
        <w:t>, 1–</w:t>
      </w:r>
      <w:r w:rsidRPr="009F500F">
        <w:t>42</w:t>
      </w:r>
      <w:r w:rsidR="00D83194" w:rsidRPr="009F500F">
        <w:t>-й</w:t>
      </w:r>
      <w:r w:rsidRPr="009F500F">
        <w:t xml:space="preserve"> дни (или дазатиниб 140 мг)</w:t>
      </w:r>
    </w:p>
    <w:p w14:paraId="62FFD10D" w14:textId="4F0F166B" w:rsidR="00533FE8" w:rsidRPr="009F500F" w:rsidRDefault="00261628" w:rsidP="00FF4C81">
      <w:pPr>
        <w:pStyle w:val="afff3"/>
        <w:numPr>
          <w:ilvl w:val="0"/>
          <w:numId w:val="37"/>
        </w:numPr>
        <w:rPr>
          <w:bCs/>
          <w:iCs/>
        </w:rPr>
      </w:pPr>
      <w:r w:rsidRPr="009F500F">
        <w:rPr>
          <w:noProof/>
        </w:rPr>
        <mc:AlternateContent>
          <mc:Choice Requires="wps">
            <w:drawing>
              <wp:anchor distT="0" distB="0" distL="114300" distR="114300" simplePos="0" relativeHeight="251688448" behindDoc="0" locked="0" layoutInCell="1" allowOverlap="1" wp14:anchorId="1D31DDF8" wp14:editId="6701A7B1">
                <wp:simplePos x="0" y="0"/>
                <wp:positionH relativeFrom="column">
                  <wp:posOffset>3554686</wp:posOffset>
                </wp:positionH>
                <wp:positionV relativeFrom="paragraph">
                  <wp:posOffset>7620</wp:posOffset>
                </wp:positionV>
                <wp:extent cx="342900" cy="1032510"/>
                <wp:effectExtent l="0" t="0" r="0" b="0"/>
                <wp:wrapNone/>
                <wp:docPr id="4" name="AutoShape 3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42900" cy="1032510"/>
                        </a:xfrm>
                        <a:prstGeom prst="rightBrace">
                          <a:avLst>
                            <a:gd name="adj1" fmla="val 25093"/>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12E31C"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330" o:spid="_x0000_s1026" type="#_x0000_t88" style="position:absolute;margin-left:279.9pt;margin-top:.6pt;width:27pt;height:81.3p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"/>
            </w:pict>
          </mc:Fallback>
        </mc:AlternateContent>
      </w:r>
      <w:r w:rsidRPr="009F500F">
        <w:rPr>
          <w:bCs/>
          <w:iCs/>
          <w:noProof/>
        </w:rPr>
        <mc:AlternateContent>
          <mc:Choice Requires="wps">
            <w:drawing>
              <wp:anchor distT="0" distB="0" distL="114300" distR="114300" simplePos="0" relativeHeight="251684352" behindDoc="0" locked="0" layoutInCell="1" allowOverlap="1" wp14:anchorId="484E6AB3" wp14:editId="10DBEE93">
                <wp:simplePos x="0" y="0"/>
                <wp:positionH relativeFrom="column">
                  <wp:posOffset>4129080</wp:posOffset>
                </wp:positionH>
                <wp:positionV relativeFrom="paragraph">
                  <wp:posOffset>8255</wp:posOffset>
                </wp:positionV>
                <wp:extent cx="2124075" cy="1403350"/>
                <wp:effectExtent l="0" t="0" r="28575" b="25400"/>
                <wp:wrapNone/>
                <wp:docPr id="6" name="Text Box 3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124075" cy="1403350"/>
                        </a:xfrm>
                        <a:prstGeom prst="rect">
                          <a:avLst/>
                        </a:prstGeom>
                        <a:solidFill>
                          <a:srgbClr val="FFFFFF"/>
                        </a:solidFill>
                        <a:ln w="9525">
                          <a:solidFill>
                            <a:srgbClr val="000000"/>
                          </a:solidFill>
                          <a:miter lim="800000"/>
                          <a:headEnd/>
                          <a:tailEnd/>
                        </a:ln>
                      </wps:spPr>
                      <wps:txbx>
                        <w:txbxContent>
                          <w:p w14:paraId="764A1E44" w14:textId="77777777" w:rsidR="009E240E" w:rsidRPr="0009384D" w:rsidRDefault="009E240E" w:rsidP="008C31C1">
                            <w:pPr>
                              <w:jc w:val="left"/>
                            </w:pPr>
                            <w:r w:rsidRPr="0009384D">
                              <w:t>Модификация дозы меркаптопурина</w:t>
                            </w:r>
                            <w:r>
                              <w:t>**</w:t>
                            </w:r>
                            <w:r w:rsidRPr="0009384D">
                              <w:t xml:space="preserve"> и метотрексата</w:t>
                            </w:r>
                            <w:r>
                              <w:t>**</w:t>
                            </w:r>
                            <w:r w:rsidRPr="0009384D">
                              <w:t xml:space="preserve"> в зависимости от уровня лейкоцитов и тромбоцитов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4E6AB3" id="Text Box 326" o:spid="_x0000_s1034" type="#_x0000_t202" style="position:absolute;left:0;text-align:left;margin-left:325.1pt;margin-top:.65pt;width:167.25pt;height:110.5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">
                <v:path arrowok="t"/>
                <v:textbox>
                  <w:txbxContent>
                    <w:p w14:paraId="764A1E44" w14:textId="77777777" w:rsidR="009E240E" w:rsidRPr="0009384D" w:rsidRDefault="009E240E" w:rsidP="008C31C1">
                      <w:pPr>
                        <w:jc w:val="left"/>
                      </w:pPr>
                      <w:r w:rsidRPr="0009384D">
                        <w:t>Модификация дозы меркаптопурина</w:t>
                      </w:r>
                      <w:r>
                        <w:t>**</w:t>
                      </w:r>
                      <w:r w:rsidRPr="0009384D">
                        <w:t xml:space="preserve"> и метотрексата</w:t>
                      </w:r>
                      <w:r>
                        <w:t>**</w:t>
                      </w:r>
                      <w:r w:rsidRPr="0009384D">
                        <w:t xml:space="preserve"> в зависимости от уровня лейкоцитов и тромбоцитов</w:t>
                      </w:r>
                    </w:p>
                  </w:txbxContent>
                </v:textbox>
              </v:shape>
            </w:pict>
          </mc:Fallback>
        </mc:AlternateContent>
      </w:r>
      <w:r w:rsidR="00533FE8" w:rsidRPr="009F500F">
        <w:t>Дексаметазон</w:t>
      </w:r>
      <w:r w:rsidR="006F5D03" w:rsidRPr="009F500F">
        <w:t>**</w:t>
      </w:r>
      <w:r w:rsidR="00533FE8" w:rsidRPr="009F500F">
        <w:rPr>
          <w:bCs/>
          <w:iCs/>
        </w:rPr>
        <w:t xml:space="preserve"> 10 мг/м²</w:t>
      </w:r>
      <w:r w:rsidR="00D83194" w:rsidRPr="009F500F">
        <w:rPr>
          <w:bCs/>
          <w:iCs/>
        </w:rPr>
        <w:t xml:space="preserve">, </w:t>
      </w:r>
      <w:r w:rsidR="00797B22" w:rsidRPr="009F500F">
        <w:rPr>
          <w:bCs/>
          <w:iCs/>
        </w:rPr>
        <w:t>1</w:t>
      </w:r>
      <w:r w:rsidR="00D83194" w:rsidRPr="009F500F">
        <w:rPr>
          <w:bCs/>
          <w:iCs/>
        </w:rPr>
        <w:t>–</w:t>
      </w:r>
      <w:r w:rsidR="00797B22" w:rsidRPr="009F500F">
        <w:rPr>
          <w:bCs/>
          <w:iCs/>
        </w:rPr>
        <w:t>3</w:t>
      </w:r>
      <w:r w:rsidR="00D83194" w:rsidRPr="009F500F">
        <w:rPr>
          <w:bCs/>
          <w:iCs/>
        </w:rPr>
        <w:t>-й</w:t>
      </w:r>
      <w:r w:rsidR="00533FE8" w:rsidRPr="009F500F">
        <w:rPr>
          <w:bCs/>
          <w:iCs/>
        </w:rPr>
        <w:t xml:space="preserve"> дни </w:t>
      </w:r>
    </w:p>
    <w:p w14:paraId="0B03CBB3" w14:textId="4A0D6081" w:rsidR="00533FE8" w:rsidRPr="009F500F" w:rsidRDefault="00533FE8" w:rsidP="00FF4C81">
      <w:pPr>
        <w:pStyle w:val="afff3"/>
        <w:numPr>
          <w:ilvl w:val="0"/>
          <w:numId w:val="37"/>
        </w:numPr>
        <w:rPr>
          <w:bCs/>
          <w:iCs/>
        </w:rPr>
      </w:pPr>
      <w:r w:rsidRPr="009F500F">
        <w:rPr>
          <w:bCs/>
          <w:iCs/>
        </w:rPr>
        <w:t>Винкристин</w:t>
      </w:r>
      <w:r w:rsidR="00457E7B" w:rsidRPr="009F500F">
        <w:rPr>
          <w:bCs/>
          <w:iCs/>
        </w:rPr>
        <w:t>**</w:t>
      </w:r>
      <w:r w:rsidRPr="009F500F">
        <w:rPr>
          <w:bCs/>
          <w:iCs/>
        </w:rPr>
        <w:t xml:space="preserve"> 2 мг</w:t>
      </w:r>
      <w:r w:rsidR="00D83194" w:rsidRPr="009F500F">
        <w:rPr>
          <w:bCs/>
          <w:iCs/>
        </w:rPr>
        <w:t>,</w:t>
      </w:r>
      <w:r w:rsidR="00797B22" w:rsidRPr="009F500F">
        <w:rPr>
          <w:bCs/>
          <w:iCs/>
        </w:rPr>
        <w:t xml:space="preserve"> 1</w:t>
      </w:r>
      <w:r w:rsidR="00D83194" w:rsidRPr="009F500F">
        <w:rPr>
          <w:bCs/>
          <w:iCs/>
        </w:rPr>
        <w:t>-й</w:t>
      </w:r>
      <w:r w:rsidRPr="009F500F">
        <w:rPr>
          <w:bCs/>
          <w:iCs/>
        </w:rPr>
        <w:t xml:space="preserve"> день</w:t>
      </w:r>
    </w:p>
    <w:p w14:paraId="2BAA3BB0" w14:textId="304A0C3B" w:rsidR="00533FE8" w:rsidRPr="009F500F" w:rsidRDefault="00533FE8" w:rsidP="00FF4C81">
      <w:pPr>
        <w:pStyle w:val="afff3"/>
        <w:numPr>
          <w:ilvl w:val="0"/>
          <w:numId w:val="37"/>
        </w:numPr>
      </w:pPr>
      <w:r w:rsidRPr="009F500F">
        <w:t>Меркаптопурин</w:t>
      </w:r>
      <w:r w:rsidR="004C2C6A" w:rsidRPr="009F500F">
        <w:t>**</w:t>
      </w:r>
      <w:r w:rsidRPr="009F500F">
        <w:t xml:space="preserve"> 25 мг/м²</w:t>
      </w:r>
      <w:r w:rsidR="00797B22" w:rsidRPr="009F500F">
        <w:t>, 4</w:t>
      </w:r>
      <w:r w:rsidR="00D83194" w:rsidRPr="009F500F">
        <w:t>–</w:t>
      </w:r>
      <w:r w:rsidR="00797B22" w:rsidRPr="009F500F">
        <w:t>14</w:t>
      </w:r>
      <w:r w:rsidR="00D83194" w:rsidRPr="009F500F">
        <w:t>-й</w:t>
      </w:r>
      <w:r w:rsidRPr="009F500F">
        <w:t xml:space="preserve"> дни</w:t>
      </w:r>
    </w:p>
    <w:p w14:paraId="3CC0A87A" w14:textId="447E6B89" w:rsidR="00533FE8" w:rsidRPr="009F500F" w:rsidRDefault="00533FE8" w:rsidP="00FF4C81">
      <w:pPr>
        <w:pStyle w:val="afff3"/>
        <w:numPr>
          <w:ilvl w:val="0"/>
          <w:numId w:val="37"/>
        </w:numPr>
        <w:rPr>
          <w:bCs/>
          <w:iCs/>
        </w:rPr>
      </w:pPr>
      <w:r w:rsidRPr="009F500F">
        <w:t>Метотрексат</w:t>
      </w:r>
      <w:r w:rsidR="00FE233A" w:rsidRPr="009F500F">
        <w:t>**</w:t>
      </w:r>
      <w:r w:rsidRPr="009F500F">
        <w:t xml:space="preserve"> 3</w:t>
      </w:r>
      <w:r w:rsidRPr="009F500F">
        <w:rPr>
          <w:bCs/>
          <w:iCs/>
        </w:rPr>
        <w:t>0 мг/м²</w:t>
      </w:r>
      <w:r w:rsidR="00D83194" w:rsidRPr="009F500F">
        <w:rPr>
          <w:bCs/>
          <w:iCs/>
        </w:rPr>
        <w:t>,</w:t>
      </w:r>
      <w:r w:rsidR="00797B22" w:rsidRPr="009F500F">
        <w:rPr>
          <w:bCs/>
          <w:iCs/>
        </w:rPr>
        <w:t xml:space="preserve"> 8</w:t>
      </w:r>
      <w:r w:rsidR="00D83194" w:rsidRPr="009F500F">
        <w:rPr>
          <w:bCs/>
          <w:iCs/>
        </w:rPr>
        <w:t>-й</w:t>
      </w:r>
      <w:r w:rsidR="00797B22" w:rsidRPr="009F500F">
        <w:rPr>
          <w:bCs/>
          <w:iCs/>
        </w:rPr>
        <w:t>, 15</w:t>
      </w:r>
      <w:r w:rsidR="00D83194" w:rsidRPr="009F500F">
        <w:rPr>
          <w:bCs/>
          <w:iCs/>
        </w:rPr>
        <w:t>-й</w:t>
      </w:r>
      <w:r w:rsidRPr="009F500F">
        <w:rPr>
          <w:bCs/>
          <w:iCs/>
        </w:rPr>
        <w:t xml:space="preserve"> дни  </w:t>
      </w:r>
    </w:p>
    <w:p w14:paraId="460C2C7B" w14:textId="77777777" w:rsidR="00533FE8" w:rsidRPr="009F500F" w:rsidRDefault="00533FE8" w:rsidP="00533FE8">
      <w:pPr>
        <w:rPr>
          <w:b/>
          <w:bCs/>
          <w:i/>
          <w:iCs/>
        </w:rPr>
      </w:pPr>
    </w:p>
    <w:p w14:paraId="5C13548E" w14:textId="77777777" w:rsidR="00533FE8" w:rsidRPr="009F500F" w:rsidRDefault="00533FE8" w:rsidP="00116EB2">
      <w:pPr>
        <w:rPr>
          <w:b/>
          <w:bCs/>
          <w:i/>
          <w:iCs/>
        </w:rPr>
      </w:pPr>
      <w:r w:rsidRPr="009F500F">
        <w:rPr>
          <w:b/>
          <w:bCs/>
          <w:i/>
          <w:iCs/>
        </w:rPr>
        <w:t>Профилактика нейролейкемии</w:t>
      </w:r>
    </w:p>
    <w:p w14:paraId="6C9FBEAC" w14:textId="77777777" w:rsidR="00AA6C89" w:rsidRPr="009F500F" w:rsidRDefault="00533FE8" w:rsidP="00FF4C81">
      <w:pPr>
        <w:pStyle w:val="FitzBullet"/>
        <w:numPr>
          <w:ilvl w:val="0"/>
          <w:numId w:val="18"/>
        </w:numPr>
        <w:spacing w:before="0" w:after="0"/>
        <w:rPr>
          <w:color w:val="auto"/>
        </w:rPr>
      </w:pPr>
      <w:r w:rsidRPr="009F500F">
        <w:rPr>
          <w:color w:val="auto"/>
        </w:rPr>
        <w:t>Интратекально (</w:t>
      </w:r>
      <w:r w:rsidR="00D72410" w:rsidRPr="009F500F">
        <w:rPr>
          <w:color w:val="auto"/>
        </w:rPr>
        <w:t>цитарабин</w:t>
      </w:r>
      <w:r w:rsidR="00417EEC" w:rsidRPr="009F500F">
        <w:rPr>
          <w:color w:val="auto"/>
        </w:rPr>
        <w:t>**</w:t>
      </w:r>
      <w:r w:rsidR="00D72410" w:rsidRPr="009F500F">
        <w:rPr>
          <w:color w:val="auto"/>
        </w:rPr>
        <w:t xml:space="preserve"> </w:t>
      </w:r>
      <w:r w:rsidRPr="009F500F">
        <w:rPr>
          <w:color w:val="auto"/>
        </w:rPr>
        <w:t xml:space="preserve">30 мг, </w:t>
      </w:r>
      <w:r w:rsidR="00D72410" w:rsidRPr="009F500F">
        <w:rPr>
          <w:color w:val="auto"/>
        </w:rPr>
        <w:t>метотрексат</w:t>
      </w:r>
      <w:r w:rsidR="00FE233A" w:rsidRPr="009F500F">
        <w:rPr>
          <w:color w:val="auto"/>
        </w:rPr>
        <w:t>**</w:t>
      </w:r>
      <w:r w:rsidR="00D72410" w:rsidRPr="009F500F">
        <w:rPr>
          <w:color w:val="auto"/>
        </w:rPr>
        <w:t xml:space="preserve"> </w:t>
      </w:r>
      <w:r w:rsidRPr="009F500F">
        <w:rPr>
          <w:color w:val="auto"/>
        </w:rPr>
        <w:t xml:space="preserve">15 мг, </w:t>
      </w:r>
      <w:r w:rsidR="00D72410" w:rsidRPr="009F500F">
        <w:rPr>
          <w:color w:val="auto"/>
        </w:rPr>
        <w:t>дексаметазон</w:t>
      </w:r>
      <w:r w:rsidR="006F5D03" w:rsidRPr="009F500F">
        <w:rPr>
          <w:color w:val="auto"/>
        </w:rPr>
        <w:t xml:space="preserve">** </w:t>
      </w:r>
      <w:r w:rsidRPr="009F500F">
        <w:rPr>
          <w:color w:val="auto"/>
        </w:rPr>
        <w:t xml:space="preserve">4 мг): </w:t>
      </w:r>
    </w:p>
    <w:p w14:paraId="4762CCB0" w14:textId="4A8567E0" w:rsidR="00533FE8" w:rsidRPr="009F500F" w:rsidRDefault="00533FE8" w:rsidP="00FF4C81">
      <w:pPr>
        <w:pStyle w:val="FitzBullet"/>
        <w:numPr>
          <w:ilvl w:val="0"/>
          <w:numId w:val="18"/>
        </w:numPr>
        <w:spacing w:before="0" w:after="0"/>
        <w:ind w:left="566"/>
        <w:rPr>
          <w:color w:val="auto"/>
        </w:rPr>
      </w:pPr>
      <w:r w:rsidRPr="009F500F">
        <w:rPr>
          <w:color w:val="auto"/>
        </w:rPr>
        <w:t xml:space="preserve">во время индукции: 0, 7, 14, 21, 28, 35, </w:t>
      </w:r>
      <w:r w:rsidR="00797B22" w:rsidRPr="009F500F">
        <w:rPr>
          <w:color w:val="auto"/>
        </w:rPr>
        <w:t>49, 63</w:t>
      </w:r>
      <w:r w:rsidR="00D83194" w:rsidRPr="009F500F">
        <w:rPr>
          <w:color w:val="auto"/>
        </w:rPr>
        <w:t>-й дни</w:t>
      </w:r>
      <w:r w:rsidRPr="009F500F">
        <w:rPr>
          <w:color w:val="auto"/>
        </w:rPr>
        <w:t>;</w:t>
      </w:r>
    </w:p>
    <w:p w14:paraId="34534DAF" w14:textId="35CE027A" w:rsidR="00533FE8" w:rsidRPr="009F500F" w:rsidRDefault="00533FE8" w:rsidP="00FF4C81">
      <w:pPr>
        <w:pStyle w:val="FitzBullet"/>
        <w:numPr>
          <w:ilvl w:val="0"/>
          <w:numId w:val="18"/>
        </w:numPr>
        <w:spacing w:before="0" w:after="0"/>
        <w:ind w:left="566"/>
        <w:jc w:val="both"/>
        <w:rPr>
          <w:color w:val="auto"/>
        </w:rPr>
      </w:pPr>
      <w:r w:rsidRPr="009F500F">
        <w:rPr>
          <w:color w:val="auto"/>
        </w:rPr>
        <w:t>во время курсов консолидации</w:t>
      </w:r>
      <w:r w:rsidR="00AA6C89" w:rsidRPr="009F500F">
        <w:rPr>
          <w:color w:val="auto"/>
        </w:rPr>
        <w:t>:</w:t>
      </w:r>
      <w:r w:rsidR="00797B22" w:rsidRPr="009F500F">
        <w:rPr>
          <w:color w:val="auto"/>
        </w:rPr>
        <w:t xml:space="preserve"> 76</w:t>
      </w:r>
      <w:r w:rsidR="00D83194" w:rsidRPr="009F500F">
        <w:rPr>
          <w:color w:val="auto"/>
        </w:rPr>
        <w:t>-й</w:t>
      </w:r>
      <w:r w:rsidRPr="009F500F">
        <w:rPr>
          <w:color w:val="auto"/>
        </w:rPr>
        <w:t xml:space="preserve"> </w:t>
      </w:r>
      <w:r w:rsidR="00D83194" w:rsidRPr="009F500F">
        <w:rPr>
          <w:color w:val="auto"/>
        </w:rPr>
        <w:t xml:space="preserve">день </w:t>
      </w:r>
      <w:r w:rsidRPr="009F500F">
        <w:rPr>
          <w:color w:val="auto"/>
        </w:rPr>
        <w:t>(</w:t>
      </w:r>
      <w:r w:rsidRPr="009F500F">
        <w:rPr>
          <w:color w:val="auto"/>
          <w:lang w:val="en-US"/>
        </w:rPr>
        <w:t>I</w:t>
      </w:r>
      <w:r w:rsidRPr="009F500F">
        <w:rPr>
          <w:color w:val="auto"/>
        </w:rPr>
        <w:t xml:space="preserve"> консолидация), 106</w:t>
      </w:r>
      <w:r w:rsidR="00D83194" w:rsidRPr="009F500F">
        <w:rPr>
          <w:color w:val="auto"/>
        </w:rPr>
        <w:t>-й день</w:t>
      </w:r>
      <w:r w:rsidRPr="009F500F">
        <w:rPr>
          <w:color w:val="auto"/>
        </w:rPr>
        <w:t xml:space="preserve"> (</w:t>
      </w:r>
      <w:r w:rsidRPr="009F500F">
        <w:rPr>
          <w:color w:val="auto"/>
          <w:lang w:val="en-US"/>
        </w:rPr>
        <w:t>II</w:t>
      </w:r>
      <w:r w:rsidRPr="009F500F">
        <w:rPr>
          <w:color w:val="auto"/>
        </w:rPr>
        <w:t xml:space="preserve"> консолидация), 134</w:t>
      </w:r>
      <w:r w:rsidR="00D83194" w:rsidRPr="009F500F">
        <w:rPr>
          <w:color w:val="auto"/>
        </w:rPr>
        <w:t>-й день</w:t>
      </w:r>
      <w:r w:rsidRPr="009F500F">
        <w:rPr>
          <w:color w:val="auto"/>
        </w:rPr>
        <w:t xml:space="preserve"> (</w:t>
      </w:r>
      <w:r w:rsidRPr="009F500F">
        <w:rPr>
          <w:color w:val="auto"/>
          <w:lang w:val="en-US"/>
        </w:rPr>
        <w:t>III</w:t>
      </w:r>
      <w:r w:rsidRPr="009F500F">
        <w:rPr>
          <w:color w:val="auto"/>
        </w:rPr>
        <w:t xml:space="preserve"> консолидация);</w:t>
      </w:r>
    </w:p>
    <w:p w14:paraId="7AD812EE" w14:textId="77777777" w:rsidR="00533FE8" w:rsidRPr="009F500F" w:rsidRDefault="00D83194" w:rsidP="00FF4C81">
      <w:pPr>
        <w:pStyle w:val="FitzBullet"/>
        <w:numPr>
          <w:ilvl w:val="0"/>
          <w:numId w:val="18"/>
        </w:numPr>
        <w:spacing w:before="0" w:after="0"/>
        <w:ind w:left="452"/>
        <w:jc w:val="both"/>
        <w:rPr>
          <w:color w:val="auto"/>
        </w:rPr>
      </w:pPr>
      <w:r w:rsidRPr="009F500F">
        <w:rPr>
          <w:color w:val="auto"/>
        </w:rPr>
        <w:t>каждые 3 мес</w:t>
      </w:r>
      <w:r w:rsidR="00533FE8" w:rsidRPr="009F500F">
        <w:rPr>
          <w:color w:val="auto"/>
        </w:rPr>
        <w:t xml:space="preserve"> в ходе 3 лет поддерживающей терапии в 1-й день курса до завершения всей программы лечения по протоколу (9 пункций)</w:t>
      </w:r>
      <w:r w:rsidRPr="009F500F">
        <w:rPr>
          <w:color w:val="auto"/>
        </w:rPr>
        <w:t>.</w:t>
      </w:r>
    </w:p>
    <w:p w14:paraId="4E5B24EE" w14:textId="77777777" w:rsidR="00D83194" w:rsidRPr="009F500F" w:rsidRDefault="00D83194" w:rsidP="00D83194">
      <w:pPr>
        <w:pStyle w:val="FitzBullet"/>
        <w:spacing w:before="0" w:after="0"/>
        <w:ind w:left="452" w:firstLine="0"/>
        <w:jc w:val="both"/>
        <w:rPr>
          <w:color w:val="auto"/>
        </w:rPr>
      </w:pPr>
    </w:p>
    <w:p w14:paraId="19A48AAA" w14:textId="77777777" w:rsidR="00533FE8" w:rsidRPr="009F500F" w:rsidRDefault="00533FE8" w:rsidP="00116EB2">
      <w:pPr>
        <w:ind w:left="-540" w:firstLine="709"/>
        <w:rPr>
          <w:b/>
          <w:i/>
        </w:rPr>
      </w:pPr>
      <w:r w:rsidRPr="009F500F">
        <w:rPr>
          <w:b/>
          <w:i/>
        </w:rPr>
        <w:t>Лечение нейролейкемии</w:t>
      </w:r>
    </w:p>
    <w:p w14:paraId="58686B2E" w14:textId="77777777" w:rsidR="00533FE8" w:rsidRPr="009F500F" w:rsidRDefault="00533FE8" w:rsidP="00533FE8">
      <w:pPr>
        <w:spacing w:before="120"/>
        <w:ind w:firstLine="709"/>
      </w:pPr>
      <w:r w:rsidRPr="009F500F">
        <w:t>После диагностики нейролейкемии все пациенты, получающие преднизолон</w:t>
      </w:r>
      <w:r w:rsidR="00417EEC" w:rsidRPr="009F500F">
        <w:t>**</w:t>
      </w:r>
      <w:r w:rsidRPr="009F500F">
        <w:t>, переводятся на дексаметазон</w:t>
      </w:r>
      <w:r w:rsidR="00417EEC" w:rsidRPr="009F500F">
        <w:t>**</w:t>
      </w:r>
      <w:r w:rsidRPr="009F500F">
        <w:t>. Люмбальные пун</w:t>
      </w:r>
      <w:r w:rsidR="00D83194" w:rsidRPr="009F500F">
        <w:t>кции выполняются с частотой 1 раз в 2–3</w:t>
      </w:r>
      <w:r w:rsidRPr="009F500F">
        <w:t xml:space="preserve"> дня до по</w:t>
      </w:r>
      <w:r w:rsidR="00D83194" w:rsidRPr="009F500F">
        <w:t>лучения 3</w:t>
      </w:r>
      <w:r w:rsidRPr="009F500F">
        <w:t xml:space="preserve"> нормальных анализов ликвора</w:t>
      </w:r>
      <w:r w:rsidR="00D83194" w:rsidRPr="009F500F">
        <w:t>, затем пункции выполняются 1 раз в неделю в течение 3</w:t>
      </w:r>
      <w:r w:rsidRPr="009F500F">
        <w:t xml:space="preserve"> мес</w:t>
      </w:r>
      <w:r w:rsidR="00D83194" w:rsidRPr="009F500F">
        <w:t>, затем 1</w:t>
      </w:r>
      <w:r w:rsidRPr="009F500F">
        <w:t xml:space="preserve"> раз в </w:t>
      </w:r>
      <w:r w:rsidR="00D83194" w:rsidRPr="009F500F">
        <w:t>2 нед в течение 3 мес, затем 1 раз в 2 мес</w:t>
      </w:r>
      <w:r w:rsidRPr="009F500F">
        <w:t xml:space="preserve"> до окончания </w:t>
      </w:r>
      <w:r w:rsidRPr="009F500F">
        <w:lastRenderedPageBreak/>
        <w:t xml:space="preserve">лечения. </w:t>
      </w:r>
    </w:p>
    <w:p w14:paraId="38E4B23B" w14:textId="77777777" w:rsidR="00533FE8" w:rsidRPr="00D83194" w:rsidRDefault="00533FE8" w:rsidP="00533FE8">
      <w:pPr>
        <w:spacing w:before="120"/>
        <w:ind w:firstLine="709"/>
        <w:rPr>
          <w:b/>
        </w:rPr>
      </w:pPr>
      <w:r w:rsidRPr="00D83194">
        <w:rPr>
          <w:b/>
        </w:rPr>
        <w:t>Схема терапии блинатумомабом</w:t>
      </w:r>
      <w:r w:rsidR="008C31C1" w:rsidRPr="00D83194">
        <w:rPr>
          <w:b/>
        </w:rPr>
        <w:t>**</w:t>
      </w:r>
    </w:p>
    <w:bookmarkEnd w:id="247"/>
    <w:bookmarkEnd w:id="248"/>
    <w:p w14:paraId="38965834" w14:textId="30BC3F91" w:rsidR="00533FE8" w:rsidRDefault="00533FE8" w:rsidP="00533FE8">
      <w:r w:rsidRPr="00D83194">
        <w:rPr>
          <w:b/>
        </w:rPr>
        <w:t>Предфаза:</w:t>
      </w:r>
      <w:r>
        <w:t xml:space="preserve"> блинатумомаб</w:t>
      </w:r>
      <w:r w:rsidR="008C31C1">
        <w:t>**</w:t>
      </w:r>
      <w:r w:rsidR="007A3AF2">
        <w:t xml:space="preserve"> 9 мкг</w:t>
      </w:r>
      <w:r w:rsidR="00C8081F">
        <w:t>/</w:t>
      </w:r>
      <w:r>
        <w:t>сут</w:t>
      </w:r>
      <w:r w:rsidR="00D83194">
        <w:t>, 1–</w:t>
      </w:r>
      <w:r>
        <w:t>4</w:t>
      </w:r>
      <w:r w:rsidR="00D83194">
        <w:t>-й</w:t>
      </w:r>
      <w:r>
        <w:t xml:space="preserve"> дни</w:t>
      </w:r>
      <w:r w:rsidR="00D83194">
        <w:t>,</w:t>
      </w:r>
      <w:r>
        <w:t xml:space="preserve"> круглосуточная непрерывная инфузия</w:t>
      </w:r>
      <w:r w:rsidR="00D83194">
        <w:t>.</w:t>
      </w:r>
    </w:p>
    <w:p w14:paraId="7AC28367" w14:textId="459E8AD0" w:rsidR="00533FE8" w:rsidRDefault="00533FE8" w:rsidP="00533FE8">
      <w:r w:rsidRPr="00D83194">
        <w:rPr>
          <w:b/>
        </w:rPr>
        <w:t>Курс:</w:t>
      </w:r>
      <w:r>
        <w:t xml:space="preserve"> блинатумомаб</w:t>
      </w:r>
      <w:r w:rsidR="008C31C1">
        <w:t>**</w:t>
      </w:r>
      <w:r>
        <w:t xml:space="preserve"> 28 </w:t>
      </w:r>
      <w:r w:rsidR="007A3AF2">
        <w:t>мкг</w:t>
      </w:r>
      <w:r w:rsidR="00C8081F">
        <w:t>/сут</w:t>
      </w:r>
      <w:r w:rsidR="00D83194">
        <w:t>, 1–</w:t>
      </w:r>
      <w:r>
        <w:t>28-й дни</w:t>
      </w:r>
      <w:r w:rsidR="00D83194">
        <w:t>,</w:t>
      </w:r>
      <w:r>
        <w:t xml:space="preserve"> круглосуточная непрерывная инфузия</w:t>
      </w:r>
      <w:r w:rsidR="00D83194">
        <w:t>.</w:t>
      </w:r>
    </w:p>
    <w:p w14:paraId="3E3188A9" w14:textId="4A87F6B6" w:rsidR="007A3AF2" w:rsidRDefault="007A3AF2" w:rsidP="00533FE8">
      <w:r>
        <w:rPr>
          <w:lang w:val="en-US"/>
        </w:rPr>
        <w:t>NB</w:t>
      </w:r>
      <w:r w:rsidRPr="007A3AF2">
        <w:t>!</w:t>
      </w:r>
      <w:r>
        <w:rPr>
          <w:lang w:val="en-US"/>
        </w:rPr>
        <w:t xml:space="preserve"> </w:t>
      </w:r>
      <w:bookmarkStart w:id="249" w:name="_GoBack"/>
      <w:bookmarkEnd w:id="249"/>
      <w:r>
        <w:t>Дозы препарата для пациента весом более 45 кг.</w:t>
      </w:r>
    </w:p>
    <w:p w14:paraId="1337EF52" w14:textId="0D54808F" w:rsidR="00533FE8" w:rsidRDefault="00D83194" w:rsidP="00533FE8">
      <w:r>
        <w:t>Интервал между курсами –</w:t>
      </w:r>
      <w:r w:rsidR="00533FE8">
        <w:t xml:space="preserve"> 14 дней</w:t>
      </w:r>
      <w:r>
        <w:t>.</w:t>
      </w:r>
    </w:p>
    <w:p w14:paraId="63E4DBA7" w14:textId="77777777" w:rsidR="00533FE8" w:rsidRDefault="00D83194" w:rsidP="00533FE8">
      <w:r>
        <w:t>Рекомендовано 2–</w:t>
      </w:r>
      <w:r w:rsidR="00533FE8">
        <w:t>4 курса</w:t>
      </w:r>
      <w:r>
        <w:t>.</w:t>
      </w:r>
    </w:p>
    <w:p w14:paraId="5DCB7EB7" w14:textId="77777777" w:rsidR="00431841" w:rsidRDefault="00431841" w:rsidP="00533FE8"/>
    <w:p w14:paraId="62C925A5" w14:textId="77777777" w:rsidR="00431841" w:rsidRPr="000C0641" w:rsidRDefault="00431841" w:rsidP="00431841">
      <w:pPr>
        <w:spacing w:before="120"/>
        <w:ind w:firstLine="709"/>
        <w:rPr>
          <w:b/>
          <w:color w:val="000000" w:themeColor="text1"/>
        </w:rPr>
      </w:pPr>
      <w:r w:rsidRPr="000C0641">
        <w:rPr>
          <w:b/>
          <w:color w:val="000000" w:themeColor="text1"/>
        </w:rPr>
        <w:t>Схема терапии инотузумабом озогамицин**</w:t>
      </w:r>
    </w:p>
    <w:p w14:paraId="59B60BBF" w14:textId="77777777" w:rsidR="00431841" w:rsidRPr="000C0641" w:rsidRDefault="00431841" w:rsidP="00431841">
      <w:pPr>
        <w:rPr>
          <w:color w:val="000000" w:themeColor="text1"/>
        </w:rPr>
      </w:pPr>
      <w:r w:rsidRPr="000C0641">
        <w:rPr>
          <w:color w:val="000000" w:themeColor="text1"/>
        </w:rPr>
        <w:t>1 цикл (21-28 дней): инотузумабом озогамицин** день 1-й – 0,8 мг/м</w:t>
      </w:r>
      <w:r w:rsidRPr="000C0641">
        <w:rPr>
          <w:color w:val="000000" w:themeColor="text1"/>
          <w:vertAlign w:val="superscript"/>
        </w:rPr>
        <w:t>2</w:t>
      </w:r>
      <w:r w:rsidRPr="000C0641">
        <w:rPr>
          <w:color w:val="000000" w:themeColor="text1"/>
        </w:rPr>
        <w:t>, день 8-й и 15-й - 0,5 мг/м</w:t>
      </w:r>
      <w:r w:rsidRPr="000C0641">
        <w:rPr>
          <w:color w:val="000000" w:themeColor="text1"/>
          <w:vertAlign w:val="superscript"/>
        </w:rPr>
        <w:t>2</w:t>
      </w:r>
      <w:r w:rsidRPr="000C0641">
        <w:rPr>
          <w:color w:val="000000" w:themeColor="text1"/>
        </w:rPr>
        <w:t xml:space="preserve">. </w:t>
      </w:r>
    </w:p>
    <w:p w14:paraId="37ED924D" w14:textId="77777777" w:rsidR="00431841" w:rsidRPr="000C0641" w:rsidRDefault="00431841" w:rsidP="00431841">
      <w:pPr>
        <w:rPr>
          <w:color w:val="000000" w:themeColor="text1"/>
        </w:rPr>
      </w:pPr>
      <w:r w:rsidRPr="000C0641">
        <w:rPr>
          <w:color w:val="000000" w:themeColor="text1"/>
        </w:rPr>
        <w:t>Рекомендовано 2–4 курса.</w:t>
      </w:r>
    </w:p>
    <w:p w14:paraId="30126DBD" w14:textId="77777777" w:rsidR="00431841" w:rsidRDefault="00431841" w:rsidP="00533FE8"/>
    <w:p w14:paraId="4E08B65D" w14:textId="77777777" w:rsidR="00533FE8" w:rsidRPr="00D83194" w:rsidRDefault="00533FE8" w:rsidP="00533FE8">
      <w:pPr>
        <w:spacing w:before="120"/>
        <w:ind w:firstLine="709"/>
        <w:rPr>
          <w:b/>
        </w:rPr>
      </w:pPr>
      <w:r w:rsidRPr="00D83194">
        <w:rPr>
          <w:b/>
        </w:rPr>
        <w:t>Схема терапии #венетоклакс</w:t>
      </w:r>
      <w:r w:rsidR="008C31C1" w:rsidRPr="00D83194">
        <w:rPr>
          <w:b/>
        </w:rPr>
        <w:t xml:space="preserve"> </w:t>
      </w:r>
      <w:r w:rsidRPr="00D83194">
        <w:rPr>
          <w:b/>
        </w:rPr>
        <w:t>+</w:t>
      </w:r>
      <w:r w:rsidR="008C31C1" w:rsidRPr="00D83194">
        <w:rPr>
          <w:b/>
        </w:rPr>
        <w:t xml:space="preserve"> </w:t>
      </w:r>
      <w:r w:rsidRPr="00D83194">
        <w:rPr>
          <w:b/>
        </w:rPr>
        <w:t>#децитабин</w:t>
      </w:r>
    </w:p>
    <w:p w14:paraId="3F48EB4C" w14:textId="77777777" w:rsidR="00533FE8" w:rsidRDefault="00533FE8" w:rsidP="00533FE8">
      <w:pPr>
        <w:spacing w:before="120"/>
      </w:pPr>
      <w:r>
        <w:t>1</w:t>
      </w:r>
      <w:r w:rsidR="00D83194">
        <w:t>-й</w:t>
      </w:r>
      <w:r>
        <w:t xml:space="preserve"> цикл (28 дней):</w:t>
      </w:r>
      <w:r w:rsidRPr="00FB54F3">
        <w:t xml:space="preserve"> #</w:t>
      </w:r>
      <w:r w:rsidR="00D72410">
        <w:t xml:space="preserve">децитабин </w:t>
      </w:r>
      <w:r>
        <w:t>20 мг/м</w:t>
      </w:r>
      <w:r w:rsidRPr="00FB54F3">
        <w:rPr>
          <w:vertAlign w:val="superscript"/>
        </w:rPr>
        <w:t>2</w:t>
      </w:r>
      <w:r w:rsidR="00D83194" w:rsidRPr="00D83194">
        <w:t>,</w:t>
      </w:r>
      <w:r w:rsidRPr="001034E2">
        <w:t xml:space="preserve"> </w:t>
      </w:r>
      <w:r w:rsidR="00D83194">
        <w:t>1–</w:t>
      </w:r>
      <w:r>
        <w:t>5-й дни</w:t>
      </w:r>
      <w:r w:rsidRPr="00FB54F3">
        <w:t xml:space="preserve"> + #</w:t>
      </w:r>
      <w:r w:rsidR="00D72410">
        <w:t xml:space="preserve">венетоклакс </w:t>
      </w:r>
      <w:r>
        <w:t>400 мг</w:t>
      </w:r>
      <w:r w:rsidR="00D83194">
        <w:t>,</w:t>
      </w:r>
      <w:r>
        <w:t xml:space="preserve"> 2 р</w:t>
      </w:r>
      <w:r w:rsidR="00D72410">
        <w:t>/</w:t>
      </w:r>
      <w:r>
        <w:t>сут</w:t>
      </w:r>
      <w:r w:rsidR="00D83194">
        <w:t>,</w:t>
      </w:r>
      <w:r>
        <w:t xml:space="preserve"> 28 дней</w:t>
      </w:r>
      <w:r w:rsidR="00D83194">
        <w:t>.</w:t>
      </w:r>
    </w:p>
    <w:p w14:paraId="6B779075" w14:textId="77777777" w:rsidR="00533FE8" w:rsidRDefault="00533FE8" w:rsidP="00533FE8">
      <w:pPr>
        <w:rPr>
          <w:szCs w:val="22"/>
          <w:shd w:val="clear" w:color="auto" w:fill="FFFFFF"/>
        </w:rPr>
      </w:pPr>
      <w:r w:rsidRPr="009E43CD">
        <w:rPr>
          <w:szCs w:val="22"/>
          <w:shd w:val="clear" w:color="auto" w:fill="FFFFFF"/>
          <w:lang w:val="en-US"/>
        </w:rPr>
        <w:t>C</w:t>
      </w:r>
      <w:r w:rsidRPr="009E43CD">
        <w:rPr>
          <w:szCs w:val="22"/>
          <w:shd w:val="clear" w:color="auto" w:fill="FFFFFF"/>
        </w:rPr>
        <w:t xml:space="preserve">ледует обратить внимание на необходимость коррекции дозы </w:t>
      </w:r>
      <w:r w:rsidRPr="005C59CD">
        <w:rPr>
          <w:szCs w:val="22"/>
          <w:shd w:val="clear" w:color="auto" w:fill="FFFFFF"/>
        </w:rPr>
        <w:t>#</w:t>
      </w:r>
      <w:r w:rsidRPr="009E43CD">
        <w:rPr>
          <w:szCs w:val="22"/>
          <w:shd w:val="clear" w:color="auto" w:fill="FFFFFF"/>
        </w:rPr>
        <w:t>венетоклакса в случае его использования вместе с ингибиторами </w:t>
      </w:r>
      <w:r w:rsidRPr="009E43CD">
        <w:rPr>
          <w:szCs w:val="22"/>
          <w:shd w:val="clear" w:color="auto" w:fill="FFFFFF"/>
          <w:lang w:val="en-US"/>
        </w:rPr>
        <w:t>CYP</w:t>
      </w:r>
      <w:r w:rsidRPr="009E43CD">
        <w:rPr>
          <w:szCs w:val="22"/>
          <w:shd w:val="clear" w:color="auto" w:fill="FFFFFF"/>
        </w:rPr>
        <w:t>3</w:t>
      </w:r>
      <w:r w:rsidRPr="009E43CD">
        <w:rPr>
          <w:szCs w:val="22"/>
          <w:shd w:val="clear" w:color="auto" w:fill="FFFFFF"/>
          <w:lang w:val="en-US"/>
        </w:rPr>
        <w:t>A</w:t>
      </w:r>
      <w:r w:rsidRPr="009E43CD">
        <w:rPr>
          <w:szCs w:val="22"/>
          <w:shd w:val="clear" w:color="auto" w:fill="FFFFFF"/>
        </w:rPr>
        <w:t xml:space="preserve">. Доза </w:t>
      </w:r>
      <w:r w:rsidR="00234F1E" w:rsidRPr="002D67CB">
        <w:rPr>
          <w:szCs w:val="22"/>
          <w:shd w:val="clear" w:color="auto" w:fill="FFFFFF"/>
        </w:rPr>
        <w:t>#</w:t>
      </w:r>
      <w:r w:rsidRPr="009E43CD">
        <w:rPr>
          <w:szCs w:val="22"/>
          <w:shd w:val="clear" w:color="auto" w:fill="FFFFFF"/>
        </w:rPr>
        <w:t>венетоклакса снижается на 50</w:t>
      </w:r>
      <w:r w:rsidR="00D83194">
        <w:rPr>
          <w:szCs w:val="22"/>
          <w:shd w:val="clear" w:color="auto" w:fill="FFFFFF"/>
        </w:rPr>
        <w:t xml:space="preserve"> </w:t>
      </w:r>
      <w:r w:rsidRPr="009E43CD">
        <w:rPr>
          <w:szCs w:val="22"/>
          <w:shd w:val="clear" w:color="auto" w:fill="FFFFFF"/>
        </w:rPr>
        <w:t>% при совместном использовании с умеренными ингибиторами </w:t>
      </w:r>
      <w:r w:rsidRPr="009E43CD">
        <w:rPr>
          <w:szCs w:val="22"/>
          <w:shd w:val="clear" w:color="auto" w:fill="FFFFFF"/>
          <w:lang w:val="en-US"/>
        </w:rPr>
        <w:t>CYP</w:t>
      </w:r>
      <w:r w:rsidRPr="009E43CD">
        <w:rPr>
          <w:szCs w:val="22"/>
          <w:shd w:val="clear" w:color="auto" w:fill="FFFFFF"/>
        </w:rPr>
        <w:t>3</w:t>
      </w:r>
      <w:r w:rsidRPr="009E43CD">
        <w:rPr>
          <w:szCs w:val="22"/>
          <w:shd w:val="clear" w:color="auto" w:fill="FFFFFF"/>
          <w:lang w:val="en-US"/>
        </w:rPr>
        <w:t>A</w:t>
      </w:r>
      <w:r w:rsidRPr="009E43CD">
        <w:rPr>
          <w:szCs w:val="22"/>
          <w:shd w:val="clear" w:color="auto" w:fill="FFFFFF"/>
        </w:rPr>
        <w:t xml:space="preserve"> (</w:t>
      </w:r>
      <w:r>
        <w:rPr>
          <w:szCs w:val="22"/>
          <w:shd w:val="clear" w:color="auto" w:fill="FFFFFF"/>
        </w:rPr>
        <w:t>например, флуконазол</w:t>
      </w:r>
      <w:r w:rsidR="00116EB2">
        <w:rPr>
          <w:szCs w:val="22"/>
          <w:shd w:val="clear" w:color="auto" w:fill="FFFFFF"/>
        </w:rPr>
        <w:t>**</w:t>
      </w:r>
      <w:r>
        <w:rPr>
          <w:szCs w:val="22"/>
          <w:shd w:val="clear" w:color="auto" w:fill="FFFFFF"/>
        </w:rPr>
        <w:t>, вориконазол</w:t>
      </w:r>
      <w:r w:rsidR="00116EB2">
        <w:rPr>
          <w:szCs w:val="22"/>
          <w:shd w:val="clear" w:color="auto" w:fill="FFFFFF"/>
        </w:rPr>
        <w:t>**</w:t>
      </w:r>
      <w:r>
        <w:rPr>
          <w:szCs w:val="22"/>
          <w:shd w:val="clear" w:color="auto" w:fill="FFFFFF"/>
        </w:rPr>
        <w:t>)</w:t>
      </w:r>
      <w:r w:rsidRPr="009E43CD">
        <w:rPr>
          <w:szCs w:val="22"/>
          <w:shd w:val="clear" w:color="auto" w:fill="FFFFFF"/>
          <w:lang w:val="en-US"/>
        </w:rPr>
        <w:t> </w:t>
      </w:r>
      <w:r w:rsidRPr="009E43CD">
        <w:rPr>
          <w:szCs w:val="22"/>
          <w:shd w:val="clear" w:color="auto" w:fill="FFFFFF"/>
        </w:rPr>
        <w:t>и снижается на 75</w:t>
      </w:r>
      <w:r w:rsidR="00D83194">
        <w:rPr>
          <w:szCs w:val="22"/>
          <w:shd w:val="clear" w:color="auto" w:fill="FFFFFF"/>
        </w:rPr>
        <w:t xml:space="preserve"> </w:t>
      </w:r>
      <w:r w:rsidRPr="009E43CD">
        <w:rPr>
          <w:szCs w:val="22"/>
          <w:shd w:val="clear" w:color="auto" w:fill="FFFFFF"/>
        </w:rPr>
        <w:t>% при совместном использовании с мощными ингибиторами </w:t>
      </w:r>
      <w:r w:rsidRPr="009E43CD">
        <w:rPr>
          <w:szCs w:val="22"/>
          <w:shd w:val="clear" w:color="auto" w:fill="FFFFFF"/>
          <w:lang w:val="en-US"/>
        </w:rPr>
        <w:t>CYP</w:t>
      </w:r>
      <w:r w:rsidRPr="009E43CD">
        <w:rPr>
          <w:szCs w:val="22"/>
          <w:shd w:val="clear" w:color="auto" w:fill="FFFFFF"/>
        </w:rPr>
        <w:t>3</w:t>
      </w:r>
      <w:r w:rsidRPr="009E43CD">
        <w:rPr>
          <w:szCs w:val="22"/>
          <w:shd w:val="clear" w:color="auto" w:fill="FFFFFF"/>
          <w:lang w:val="en-US"/>
        </w:rPr>
        <w:t>A</w:t>
      </w:r>
      <w:r>
        <w:rPr>
          <w:szCs w:val="22"/>
          <w:shd w:val="clear" w:color="auto" w:fill="FFFFFF"/>
        </w:rPr>
        <w:t xml:space="preserve"> (например, карбамазепин</w:t>
      </w:r>
      <w:r w:rsidR="00116EB2">
        <w:rPr>
          <w:szCs w:val="22"/>
          <w:shd w:val="clear" w:color="auto" w:fill="FFFFFF"/>
        </w:rPr>
        <w:t>**</w:t>
      </w:r>
      <w:r>
        <w:rPr>
          <w:szCs w:val="22"/>
          <w:shd w:val="clear" w:color="auto" w:fill="FFFFFF"/>
        </w:rPr>
        <w:t>, фенитоин</w:t>
      </w:r>
      <w:r w:rsidR="00116EB2">
        <w:rPr>
          <w:szCs w:val="22"/>
          <w:shd w:val="clear" w:color="auto" w:fill="FFFFFF"/>
        </w:rPr>
        <w:t>**</w:t>
      </w:r>
      <w:r>
        <w:rPr>
          <w:szCs w:val="22"/>
          <w:shd w:val="clear" w:color="auto" w:fill="FFFFFF"/>
        </w:rPr>
        <w:t>)</w:t>
      </w:r>
      <w:r w:rsidRPr="009E43CD">
        <w:rPr>
          <w:szCs w:val="22"/>
          <w:shd w:val="clear" w:color="auto" w:fill="FFFFFF"/>
        </w:rPr>
        <w:t>.</w:t>
      </w:r>
    </w:p>
    <w:p w14:paraId="64EDCE24" w14:textId="77777777" w:rsidR="00216384" w:rsidRDefault="00216384" w:rsidP="00533FE8">
      <w:pPr>
        <w:rPr>
          <w:szCs w:val="22"/>
          <w:shd w:val="clear" w:color="auto" w:fill="FFFFFF"/>
        </w:rPr>
      </w:pPr>
    </w:p>
    <w:p w14:paraId="3B41C0BC" w14:textId="77777777" w:rsidR="00797B22" w:rsidRDefault="00797B22" w:rsidP="00533FE8">
      <w:pPr>
        <w:rPr>
          <w:szCs w:val="22"/>
          <w:shd w:val="clear" w:color="auto" w:fill="FFFFFF"/>
        </w:rPr>
      </w:pPr>
    </w:p>
    <w:p w14:paraId="120A1BD0" w14:textId="77777777" w:rsidR="00522C20" w:rsidRPr="00522C20" w:rsidRDefault="00216384" w:rsidP="004905C2">
      <w:pPr>
        <w:pStyle w:val="2"/>
      </w:pPr>
      <w:bookmarkStart w:id="250" w:name="_Toc13484842"/>
      <w:bookmarkStart w:id="251" w:name="_Toc26796730"/>
      <w:bookmarkStart w:id="252" w:name="_Toc64467945"/>
      <w:bookmarkStart w:id="253" w:name="_Toc64565669"/>
      <w:r w:rsidRPr="00B7347C">
        <w:t xml:space="preserve">Приложение </w:t>
      </w:r>
      <w:r>
        <w:rPr>
          <w:lang w:val="en-US"/>
        </w:rPr>
        <w:t>A</w:t>
      </w:r>
      <w:r w:rsidRPr="00216384">
        <w:t xml:space="preserve">3.2. </w:t>
      </w:r>
      <w:bookmarkEnd w:id="250"/>
      <w:r>
        <w:t>Д</w:t>
      </w:r>
      <w:r w:rsidR="00CA2AD9">
        <w:t>олгосрочные ре</w:t>
      </w:r>
      <w:r w:rsidRPr="004E7C9C">
        <w:t>з</w:t>
      </w:r>
      <w:r w:rsidR="00CA2AD9">
        <w:t>у</w:t>
      </w:r>
      <w:r w:rsidRPr="004E7C9C">
        <w:t xml:space="preserve">льтаты терапии </w:t>
      </w:r>
      <w:r w:rsidRPr="004E7C9C">
        <w:rPr>
          <w:lang w:val="en-US"/>
        </w:rPr>
        <w:t>Ph</w:t>
      </w:r>
      <w:r w:rsidRPr="004E7C9C">
        <w:t xml:space="preserve">-негативных </w:t>
      </w:r>
      <w:r w:rsidR="004A287F">
        <w:t>ОЛЛ</w:t>
      </w:r>
      <w:r w:rsidR="00950F44">
        <w:t xml:space="preserve"> </w:t>
      </w:r>
      <w:r w:rsidR="00D3052C">
        <w:t>взрослых в зависимости от прин</w:t>
      </w:r>
      <w:r w:rsidRPr="004E7C9C">
        <w:t>ц</w:t>
      </w:r>
      <w:r w:rsidR="00D3052C">
        <w:t>и</w:t>
      </w:r>
      <w:r w:rsidRPr="004E7C9C">
        <w:t>па химиотерапевти</w:t>
      </w:r>
      <w:r>
        <w:t>ческого воздействия</w:t>
      </w:r>
      <w:bookmarkEnd w:id="251"/>
      <w:bookmarkEnd w:id="252"/>
      <w:bookmarkEnd w:id="253"/>
    </w:p>
    <w:p w14:paraId="28D9C126" w14:textId="77777777" w:rsidR="00CA2AD9" w:rsidRPr="001161FD" w:rsidRDefault="00CA2AD9" w:rsidP="001161FD">
      <w:r w:rsidRPr="001161FD">
        <w:rPr>
          <w:b/>
        </w:rPr>
        <w:t>Таблица 5</w:t>
      </w:r>
      <w:r w:rsidR="00522C20" w:rsidRPr="001161FD">
        <w:rPr>
          <w:b/>
        </w:rPr>
        <w:t>.</w:t>
      </w:r>
      <w:r w:rsidR="00522C20" w:rsidRPr="001161FD">
        <w:t xml:space="preserve"> Долгосрочные результаты терапии Ph-негативных ОЛЛ взрослых в зависимости от принципа химиотерапевтического воздействия</w:t>
      </w:r>
    </w:p>
    <w:tbl>
      <w:tblPr>
        <w:tblW w:w="9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88"/>
        <w:gridCol w:w="2289"/>
        <w:gridCol w:w="1985"/>
        <w:gridCol w:w="1722"/>
        <w:gridCol w:w="1920"/>
      </w:tblGrid>
      <w:tr w:rsidR="00216384" w:rsidRPr="00CA7FDC" w14:paraId="06CD06E9" w14:textId="77777777" w:rsidTr="00EF6CA9">
        <w:trPr>
          <w:trHeight w:val="988"/>
        </w:trPr>
        <w:tc>
          <w:tcPr>
            <w:tcW w:w="1788" w:type="dxa"/>
            <w:shd w:val="clear" w:color="auto" w:fill="auto"/>
          </w:tcPr>
          <w:p w14:paraId="44D38654" w14:textId="77777777" w:rsidR="00216384" w:rsidRPr="00E13058" w:rsidRDefault="00216384" w:rsidP="00E13058">
            <w:pPr>
              <w:jc w:val="center"/>
              <w:rPr>
                <w:b/>
                <w:szCs w:val="24"/>
              </w:rPr>
            </w:pPr>
            <w:r w:rsidRPr="00E13058">
              <w:rPr>
                <w:b/>
                <w:szCs w:val="24"/>
              </w:rPr>
              <w:t>Принцип химиотерапевтического воздействия</w:t>
            </w:r>
          </w:p>
        </w:tc>
        <w:tc>
          <w:tcPr>
            <w:tcW w:w="2289" w:type="dxa"/>
            <w:shd w:val="clear" w:color="auto" w:fill="auto"/>
          </w:tcPr>
          <w:p w14:paraId="01D50ED9" w14:textId="77777777" w:rsidR="00216384" w:rsidRPr="00E13058" w:rsidRDefault="00216384" w:rsidP="00E13058">
            <w:pPr>
              <w:jc w:val="center"/>
              <w:rPr>
                <w:b/>
                <w:szCs w:val="24"/>
              </w:rPr>
            </w:pPr>
            <w:r w:rsidRPr="00E13058">
              <w:rPr>
                <w:b/>
                <w:szCs w:val="24"/>
              </w:rPr>
              <w:t>Исследовательская группа</w:t>
            </w:r>
          </w:p>
        </w:tc>
        <w:tc>
          <w:tcPr>
            <w:tcW w:w="1985" w:type="dxa"/>
            <w:shd w:val="clear" w:color="auto" w:fill="auto"/>
          </w:tcPr>
          <w:p w14:paraId="65A75580" w14:textId="77777777" w:rsidR="00216384" w:rsidRPr="00E13058" w:rsidRDefault="00216384" w:rsidP="00E13058">
            <w:pPr>
              <w:jc w:val="center"/>
              <w:rPr>
                <w:b/>
                <w:szCs w:val="24"/>
              </w:rPr>
            </w:pPr>
            <w:r w:rsidRPr="00E13058">
              <w:rPr>
                <w:b/>
                <w:szCs w:val="24"/>
              </w:rPr>
              <w:t>Пациенты</w:t>
            </w:r>
          </w:p>
        </w:tc>
        <w:tc>
          <w:tcPr>
            <w:tcW w:w="1722" w:type="dxa"/>
            <w:shd w:val="clear" w:color="auto" w:fill="auto"/>
          </w:tcPr>
          <w:p w14:paraId="5F87F1F5" w14:textId="77777777" w:rsidR="00216384" w:rsidRPr="00E13058" w:rsidRDefault="00216384" w:rsidP="00E13058">
            <w:pPr>
              <w:jc w:val="center"/>
              <w:rPr>
                <w:b/>
                <w:szCs w:val="24"/>
              </w:rPr>
            </w:pPr>
            <w:r w:rsidRPr="00E13058">
              <w:rPr>
                <w:b/>
                <w:szCs w:val="24"/>
              </w:rPr>
              <w:t xml:space="preserve">Аллогенная </w:t>
            </w:r>
            <w:r w:rsidR="00F33796" w:rsidRPr="00E13058">
              <w:rPr>
                <w:b/>
                <w:szCs w:val="24"/>
              </w:rPr>
              <w:t>ТГСК</w:t>
            </w:r>
            <w:r w:rsidRPr="00E13058">
              <w:rPr>
                <w:b/>
                <w:szCs w:val="24"/>
              </w:rPr>
              <w:t xml:space="preserve"> в 1 ПР</w:t>
            </w:r>
          </w:p>
        </w:tc>
        <w:tc>
          <w:tcPr>
            <w:tcW w:w="1920" w:type="dxa"/>
            <w:shd w:val="clear" w:color="auto" w:fill="auto"/>
          </w:tcPr>
          <w:p w14:paraId="7D5A2868" w14:textId="77777777" w:rsidR="00216384" w:rsidRPr="00E13058" w:rsidRDefault="00216384" w:rsidP="00E13058">
            <w:pPr>
              <w:jc w:val="center"/>
              <w:rPr>
                <w:b/>
                <w:szCs w:val="24"/>
                <w:lang w:val="en-US"/>
              </w:rPr>
            </w:pPr>
            <w:r w:rsidRPr="00E13058">
              <w:rPr>
                <w:b/>
                <w:szCs w:val="24"/>
              </w:rPr>
              <w:t>5-летняя ОВ</w:t>
            </w:r>
          </w:p>
        </w:tc>
      </w:tr>
      <w:tr w:rsidR="00216384" w:rsidRPr="00CA7FDC" w14:paraId="5403C59F" w14:textId="77777777" w:rsidTr="00EF6CA9">
        <w:trPr>
          <w:trHeight w:val="734"/>
        </w:trPr>
        <w:tc>
          <w:tcPr>
            <w:tcW w:w="1788" w:type="dxa"/>
            <w:shd w:val="clear" w:color="auto" w:fill="auto"/>
          </w:tcPr>
          <w:p w14:paraId="028EC621" w14:textId="77777777" w:rsidR="00216384" w:rsidRPr="00E13058" w:rsidRDefault="00216384" w:rsidP="00EB7270">
            <w:pPr>
              <w:jc w:val="left"/>
              <w:rPr>
                <w:szCs w:val="24"/>
              </w:rPr>
            </w:pPr>
            <w:r w:rsidRPr="00CA7FDC">
              <w:rPr>
                <w:szCs w:val="24"/>
              </w:rPr>
              <w:t>Импульсное</w:t>
            </w:r>
            <w:r w:rsidR="00E13058">
              <w:rPr>
                <w:szCs w:val="24"/>
              </w:rPr>
              <w:t xml:space="preserve"> </w:t>
            </w:r>
            <w:r w:rsidRPr="00CA7FDC">
              <w:rPr>
                <w:szCs w:val="24"/>
              </w:rPr>
              <w:t>(</w:t>
            </w:r>
            <w:r w:rsidRPr="00CA7FDC">
              <w:rPr>
                <w:szCs w:val="24"/>
                <w:lang w:val="en-US"/>
              </w:rPr>
              <w:t>Hyper-CVAD)</w:t>
            </w:r>
          </w:p>
        </w:tc>
        <w:tc>
          <w:tcPr>
            <w:tcW w:w="2289" w:type="dxa"/>
            <w:shd w:val="clear" w:color="auto" w:fill="auto"/>
          </w:tcPr>
          <w:p w14:paraId="3A539D48" w14:textId="77777777" w:rsidR="00216384" w:rsidRPr="00E13058" w:rsidRDefault="00E13058" w:rsidP="00D3052C">
            <w:pPr>
              <w:jc w:val="center"/>
              <w:rPr>
                <w:szCs w:val="24"/>
              </w:rPr>
            </w:pPr>
            <w:r>
              <w:rPr>
                <w:szCs w:val="24"/>
              </w:rPr>
              <w:t>Онкологический научный центр</w:t>
            </w:r>
            <w:r w:rsidRPr="00E13058">
              <w:rPr>
                <w:szCs w:val="24"/>
              </w:rPr>
              <w:t xml:space="preserve"> имени М.Д. </w:t>
            </w:r>
            <w:r w:rsidRPr="00E13058">
              <w:rPr>
                <w:szCs w:val="24"/>
              </w:rPr>
              <w:lastRenderedPageBreak/>
              <w:t>Андерсона</w:t>
            </w:r>
            <w:r>
              <w:rPr>
                <w:szCs w:val="24"/>
              </w:rPr>
              <w:t xml:space="preserve"> </w:t>
            </w:r>
            <w:r w:rsidRPr="00E13058">
              <w:rPr>
                <w:szCs w:val="24"/>
              </w:rPr>
              <w:t>[56]</w:t>
            </w:r>
          </w:p>
        </w:tc>
        <w:tc>
          <w:tcPr>
            <w:tcW w:w="1985" w:type="dxa"/>
            <w:shd w:val="clear" w:color="auto" w:fill="auto"/>
          </w:tcPr>
          <w:p w14:paraId="34C59CF7" w14:textId="77777777" w:rsidR="00216384" w:rsidRPr="00D72410" w:rsidRDefault="00D3052C" w:rsidP="00D3052C">
            <w:pPr>
              <w:jc w:val="center"/>
              <w:rPr>
                <w:szCs w:val="24"/>
              </w:rPr>
            </w:pPr>
            <w:r>
              <w:rPr>
                <w:szCs w:val="24"/>
                <w:lang w:val="en-US"/>
              </w:rPr>
              <w:lastRenderedPageBreak/>
              <w:t>n</w:t>
            </w:r>
            <w:r>
              <w:rPr>
                <w:szCs w:val="24"/>
              </w:rPr>
              <w:t xml:space="preserve"> </w:t>
            </w:r>
            <w:r w:rsidR="00216384" w:rsidRPr="00CA7FDC">
              <w:rPr>
                <w:szCs w:val="24"/>
              </w:rPr>
              <w:t>=</w:t>
            </w:r>
            <w:r>
              <w:rPr>
                <w:szCs w:val="24"/>
              </w:rPr>
              <w:t xml:space="preserve"> </w:t>
            </w:r>
            <w:r w:rsidR="00216384" w:rsidRPr="00D72410">
              <w:rPr>
                <w:szCs w:val="24"/>
              </w:rPr>
              <w:t>17</w:t>
            </w:r>
            <w:r w:rsidR="00216384" w:rsidRPr="00CA7FDC">
              <w:rPr>
                <w:szCs w:val="24"/>
              </w:rPr>
              <w:t>8</w:t>
            </w:r>
          </w:p>
        </w:tc>
        <w:tc>
          <w:tcPr>
            <w:tcW w:w="1722" w:type="dxa"/>
            <w:shd w:val="clear" w:color="auto" w:fill="auto"/>
          </w:tcPr>
          <w:p w14:paraId="1C2376FD" w14:textId="77777777" w:rsidR="00216384" w:rsidRPr="00CA7FDC" w:rsidRDefault="00D3052C" w:rsidP="00D3052C">
            <w:pPr>
              <w:jc w:val="center"/>
              <w:rPr>
                <w:szCs w:val="24"/>
              </w:rPr>
            </w:pPr>
            <w:r>
              <w:rPr>
                <w:szCs w:val="24"/>
              </w:rPr>
              <w:t>Н</w:t>
            </w:r>
            <w:r w:rsidR="00216384" w:rsidRPr="00CA7FDC">
              <w:rPr>
                <w:szCs w:val="24"/>
              </w:rPr>
              <w:t>ет</w:t>
            </w:r>
          </w:p>
        </w:tc>
        <w:tc>
          <w:tcPr>
            <w:tcW w:w="1920" w:type="dxa"/>
            <w:shd w:val="clear" w:color="auto" w:fill="auto"/>
          </w:tcPr>
          <w:p w14:paraId="179897C9" w14:textId="77777777" w:rsidR="00216384" w:rsidRPr="00D72410" w:rsidRDefault="00216384" w:rsidP="00D3052C">
            <w:pPr>
              <w:jc w:val="center"/>
              <w:rPr>
                <w:szCs w:val="24"/>
              </w:rPr>
            </w:pPr>
            <w:r w:rsidRPr="00D72410">
              <w:rPr>
                <w:szCs w:val="24"/>
              </w:rPr>
              <w:t>38</w:t>
            </w:r>
            <w:r w:rsidR="00D3052C">
              <w:rPr>
                <w:szCs w:val="24"/>
              </w:rPr>
              <w:t xml:space="preserve"> </w:t>
            </w:r>
            <w:r w:rsidRPr="00D72410">
              <w:rPr>
                <w:szCs w:val="24"/>
              </w:rPr>
              <w:t>%</w:t>
            </w:r>
          </w:p>
        </w:tc>
      </w:tr>
      <w:tr w:rsidR="00216384" w:rsidRPr="00D23E64" w14:paraId="4F4584F4" w14:textId="77777777" w:rsidTr="00300859">
        <w:tc>
          <w:tcPr>
            <w:tcW w:w="1788" w:type="dxa"/>
            <w:vMerge w:val="restart"/>
            <w:shd w:val="clear" w:color="auto" w:fill="auto"/>
          </w:tcPr>
          <w:p w14:paraId="2FC1492B" w14:textId="77777777" w:rsidR="00216384" w:rsidRPr="00CA7FDC" w:rsidRDefault="00216384" w:rsidP="00EB7270">
            <w:pPr>
              <w:jc w:val="left"/>
              <w:rPr>
                <w:szCs w:val="24"/>
              </w:rPr>
            </w:pPr>
            <w:r w:rsidRPr="00CA7FDC">
              <w:rPr>
                <w:szCs w:val="24"/>
              </w:rPr>
              <w:t>Традиционное</w:t>
            </w:r>
          </w:p>
        </w:tc>
        <w:tc>
          <w:tcPr>
            <w:tcW w:w="2289" w:type="dxa"/>
            <w:shd w:val="clear" w:color="auto" w:fill="auto"/>
          </w:tcPr>
          <w:p w14:paraId="2520B962" w14:textId="77777777" w:rsidR="00216384" w:rsidRPr="00945032" w:rsidRDefault="00216384" w:rsidP="00D3052C">
            <w:pPr>
              <w:jc w:val="center"/>
              <w:rPr>
                <w:szCs w:val="24"/>
                <w:lang w:val="en-US"/>
              </w:rPr>
            </w:pPr>
            <w:r w:rsidRPr="00CA7FDC">
              <w:rPr>
                <w:szCs w:val="24"/>
                <w:lang w:val="en-US"/>
              </w:rPr>
              <w:t>MRC</w:t>
            </w:r>
            <w:r w:rsidRPr="00E13058">
              <w:rPr>
                <w:szCs w:val="24"/>
                <w:lang w:val="en-US"/>
              </w:rPr>
              <w:t xml:space="preserve"> </w:t>
            </w:r>
            <w:r w:rsidRPr="00CA7FDC">
              <w:rPr>
                <w:szCs w:val="24"/>
                <w:lang w:val="en-US"/>
              </w:rPr>
              <w:t>UKALL</w:t>
            </w:r>
            <w:r w:rsidR="00E13058" w:rsidRPr="00E13058">
              <w:rPr>
                <w:szCs w:val="24"/>
                <w:lang w:val="en-US"/>
              </w:rPr>
              <w:t xml:space="preserve"> </w:t>
            </w:r>
            <w:r w:rsidRPr="00CA7FDC">
              <w:rPr>
                <w:szCs w:val="24"/>
                <w:lang w:val="en-US"/>
              </w:rPr>
              <w:t>XII</w:t>
            </w:r>
            <w:r w:rsidR="00E13058">
              <w:rPr>
                <w:szCs w:val="24"/>
                <w:lang w:val="en-US"/>
              </w:rPr>
              <w:t>/</w:t>
            </w:r>
            <w:r w:rsidRPr="00CA7FDC">
              <w:rPr>
                <w:szCs w:val="24"/>
                <w:lang w:val="en-US"/>
              </w:rPr>
              <w:t>ECOG</w:t>
            </w:r>
            <w:r w:rsidRPr="00E13058">
              <w:rPr>
                <w:szCs w:val="24"/>
                <w:lang w:val="en-US"/>
              </w:rPr>
              <w:t xml:space="preserve"> </w:t>
            </w:r>
            <w:r w:rsidRPr="00CA7FDC">
              <w:rPr>
                <w:szCs w:val="24"/>
                <w:lang w:val="en-US"/>
              </w:rPr>
              <w:t>E</w:t>
            </w:r>
            <w:r w:rsidRPr="00E13058">
              <w:rPr>
                <w:szCs w:val="24"/>
                <w:lang w:val="en-US"/>
              </w:rPr>
              <w:t>2993</w:t>
            </w:r>
            <w:r w:rsidR="00D72410">
              <w:rPr>
                <w:szCs w:val="24"/>
                <w:lang w:val="en-US"/>
              </w:rPr>
              <w:t xml:space="preserve"> </w:t>
            </w:r>
            <w:r w:rsidR="00D3052C">
              <w:rPr>
                <w:szCs w:val="24"/>
                <w:lang w:val="en-US"/>
              </w:rPr>
              <w:t>[62]</w:t>
            </w:r>
          </w:p>
        </w:tc>
        <w:tc>
          <w:tcPr>
            <w:tcW w:w="1985" w:type="dxa"/>
            <w:shd w:val="clear" w:color="auto" w:fill="auto"/>
          </w:tcPr>
          <w:p w14:paraId="7374B85E" w14:textId="77777777" w:rsidR="00216384" w:rsidRPr="00D14A75" w:rsidRDefault="00D3052C" w:rsidP="00D3052C">
            <w:pPr>
              <w:jc w:val="center"/>
              <w:rPr>
                <w:szCs w:val="24"/>
              </w:rPr>
            </w:pPr>
            <w:r>
              <w:rPr>
                <w:szCs w:val="24"/>
                <w:lang w:val="en-US"/>
              </w:rPr>
              <w:t>n</w:t>
            </w:r>
            <w:r>
              <w:rPr>
                <w:szCs w:val="24"/>
              </w:rPr>
              <w:t xml:space="preserve"> </w:t>
            </w:r>
            <w:r w:rsidR="00216384" w:rsidRPr="00D14A75">
              <w:rPr>
                <w:szCs w:val="24"/>
              </w:rPr>
              <w:t>=</w:t>
            </w:r>
            <w:r>
              <w:rPr>
                <w:szCs w:val="24"/>
              </w:rPr>
              <w:t xml:space="preserve"> 1031, 15–</w:t>
            </w:r>
            <w:r w:rsidR="00216384" w:rsidRPr="00D14A75">
              <w:rPr>
                <w:szCs w:val="24"/>
              </w:rPr>
              <w:t xml:space="preserve">55 </w:t>
            </w:r>
            <w:r w:rsidR="00216384" w:rsidRPr="00CA7FDC">
              <w:rPr>
                <w:szCs w:val="24"/>
              </w:rPr>
              <w:t>лет</w:t>
            </w:r>
          </w:p>
        </w:tc>
        <w:tc>
          <w:tcPr>
            <w:tcW w:w="1722" w:type="dxa"/>
            <w:shd w:val="clear" w:color="auto" w:fill="auto"/>
          </w:tcPr>
          <w:p w14:paraId="5FD1F132" w14:textId="77777777" w:rsidR="00216384" w:rsidRPr="00D3052C" w:rsidRDefault="00216384" w:rsidP="00D3052C">
            <w:pPr>
              <w:jc w:val="center"/>
              <w:rPr>
                <w:szCs w:val="24"/>
                <w:lang w:val="en-US"/>
              </w:rPr>
            </w:pPr>
            <w:r>
              <w:rPr>
                <w:szCs w:val="24"/>
              </w:rPr>
              <w:t>Реализо</w:t>
            </w:r>
            <w:r w:rsidRPr="00CA7FDC">
              <w:rPr>
                <w:szCs w:val="24"/>
              </w:rPr>
              <w:t>вана</w:t>
            </w:r>
            <w:r w:rsidRPr="00D14A75">
              <w:rPr>
                <w:szCs w:val="24"/>
              </w:rPr>
              <w:t xml:space="preserve"> </w:t>
            </w:r>
            <w:r w:rsidRPr="00CA7FDC">
              <w:rPr>
                <w:szCs w:val="24"/>
              </w:rPr>
              <w:t>у</w:t>
            </w:r>
            <w:r w:rsidRPr="00D14A75">
              <w:rPr>
                <w:szCs w:val="24"/>
              </w:rPr>
              <w:t xml:space="preserve"> </w:t>
            </w:r>
            <w:r w:rsidRPr="00D14A75">
              <w:rPr>
                <w:b/>
                <w:bCs/>
                <w:szCs w:val="24"/>
              </w:rPr>
              <w:t>76</w:t>
            </w:r>
            <w:r w:rsidR="00D3052C">
              <w:rPr>
                <w:b/>
                <w:bCs/>
                <w:szCs w:val="24"/>
                <w:lang w:val="en-US"/>
              </w:rPr>
              <w:t xml:space="preserve"> </w:t>
            </w:r>
            <w:r w:rsidRPr="00D14A75">
              <w:rPr>
                <w:b/>
                <w:bCs/>
                <w:szCs w:val="24"/>
              </w:rPr>
              <w:t>%</w:t>
            </w:r>
          </w:p>
        </w:tc>
        <w:tc>
          <w:tcPr>
            <w:tcW w:w="1920" w:type="dxa"/>
            <w:shd w:val="clear" w:color="auto" w:fill="auto"/>
          </w:tcPr>
          <w:p w14:paraId="141EFF88" w14:textId="77777777" w:rsidR="00216384" w:rsidRPr="00D14A75" w:rsidRDefault="00216384" w:rsidP="00D3052C">
            <w:pPr>
              <w:jc w:val="center"/>
              <w:rPr>
                <w:szCs w:val="24"/>
              </w:rPr>
            </w:pPr>
            <w:r w:rsidRPr="00CA7FDC">
              <w:rPr>
                <w:szCs w:val="24"/>
              </w:rPr>
              <w:t>Есть</w:t>
            </w:r>
            <w:r w:rsidRPr="00D14A75">
              <w:rPr>
                <w:szCs w:val="24"/>
              </w:rPr>
              <w:t xml:space="preserve"> </w:t>
            </w:r>
            <w:r w:rsidRPr="00CA7FDC">
              <w:rPr>
                <w:szCs w:val="24"/>
              </w:rPr>
              <w:t>донор</w:t>
            </w:r>
            <w:r w:rsidRPr="00D14A75">
              <w:rPr>
                <w:szCs w:val="24"/>
              </w:rPr>
              <w:t xml:space="preserve"> =</w:t>
            </w:r>
            <w:r w:rsidR="00EB7270" w:rsidRPr="00D14A75">
              <w:rPr>
                <w:szCs w:val="24"/>
              </w:rPr>
              <w:t xml:space="preserve"> </w:t>
            </w:r>
            <w:r w:rsidRPr="00D14A75">
              <w:rPr>
                <w:szCs w:val="24"/>
              </w:rPr>
              <w:t>53</w:t>
            </w:r>
            <w:r w:rsidR="00D3052C">
              <w:rPr>
                <w:szCs w:val="24"/>
              </w:rPr>
              <w:t xml:space="preserve"> </w:t>
            </w:r>
            <w:r w:rsidRPr="00D14A75">
              <w:rPr>
                <w:szCs w:val="24"/>
              </w:rPr>
              <w:t>%</w:t>
            </w:r>
          </w:p>
          <w:p w14:paraId="043DBB42" w14:textId="77777777" w:rsidR="00216384" w:rsidRPr="00D14A75" w:rsidRDefault="00216384" w:rsidP="00D3052C">
            <w:pPr>
              <w:jc w:val="center"/>
              <w:rPr>
                <w:szCs w:val="24"/>
              </w:rPr>
            </w:pPr>
            <w:r w:rsidRPr="00CA7FDC">
              <w:rPr>
                <w:szCs w:val="24"/>
              </w:rPr>
              <w:t>Нет</w:t>
            </w:r>
            <w:r w:rsidRPr="00D14A75">
              <w:rPr>
                <w:szCs w:val="24"/>
              </w:rPr>
              <w:t xml:space="preserve"> </w:t>
            </w:r>
            <w:r w:rsidRPr="00CA7FDC">
              <w:rPr>
                <w:szCs w:val="24"/>
              </w:rPr>
              <w:t>донора</w:t>
            </w:r>
            <w:r w:rsidRPr="00D14A75">
              <w:rPr>
                <w:szCs w:val="24"/>
              </w:rPr>
              <w:t xml:space="preserve"> = 45</w:t>
            </w:r>
            <w:r w:rsidR="00D3052C">
              <w:rPr>
                <w:szCs w:val="24"/>
              </w:rPr>
              <w:t xml:space="preserve"> </w:t>
            </w:r>
            <w:r w:rsidRPr="00D14A75">
              <w:rPr>
                <w:szCs w:val="24"/>
              </w:rPr>
              <w:t>% (</w:t>
            </w:r>
            <w:r w:rsidRPr="00CA7FDC">
              <w:rPr>
                <w:szCs w:val="24"/>
              </w:rPr>
              <w:t>р</w:t>
            </w:r>
            <w:r w:rsidR="00D3052C">
              <w:rPr>
                <w:szCs w:val="24"/>
              </w:rPr>
              <w:t xml:space="preserve"> </w:t>
            </w:r>
            <w:r w:rsidRPr="00D14A75">
              <w:rPr>
                <w:szCs w:val="24"/>
              </w:rPr>
              <w:t>=</w:t>
            </w:r>
            <w:r w:rsidR="00D3052C">
              <w:rPr>
                <w:szCs w:val="24"/>
              </w:rPr>
              <w:t xml:space="preserve"> </w:t>
            </w:r>
            <w:r w:rsidRPr="00D14A75">
              <w:rPr>
                <w:szCs w:val="24"/>
              </w:rPr>
              <w:t>0,01)</w:t>
            </w:r>
          </w:p>
        </w:tc>
      </w:tr>
      <w:tr w:rsidR="00216384" w:rsidRPr="00D23E64" w14:paraId="1380667D" w14:textId="77777777" w:rsidTr="00300859">
        <w:tc>
          <w:tcPr>
            <w:tcW w:w="1788" w:type="dxa"/>
            <w:vMerge/>
            <w:shd w:val="clear" w:color="auto" w:fill="auto"/>
          </w:tcPr>
          <w:p w14:paraId="390A6466" w14:textId="77777777" w:rsidR="00216384" w:rsidRPr="00D14A75" w:rsidRDefault="00216384" w:rsidP="00EB7270">
            <w:pPr>
              <w:jc w:val="left"/>
              <w:rPr>
                <w:szCs w:val="24"/>
              </w:rPr>
            </w:pPr>
          </w:p>
        </w:tc>
        <w:tc>
          <w:tcPr>
            <w:tcW w:w="2289" w:type="dxa"/>
            <w:shd w:val="clear" w:color="auto" w:fill="auto"/>
          </w:tcPr>
          <w:p w14:paraId="5EBA7C23" w14:textId="77777777" w:rsidR="00216384" w:rsidRPr="00D3052C" w:rsidRDefault="00216384" w:rsidP="00D3052C">
            <w:pPr>
              <w:jc w:val="center"/>
              <w:rPr>
                <w:szCs w:val="24"/>
                <w:lang w:val="en-US"/>
              </w:rPr>
            </w:pPr>
            <w:r w:rsidRPr="00CA7FDC">
              <w:rPr>
                <w:szCs w:val="24"/>
                <w:lang w:val="da-DK"/>
              </w:rPr>
              <w:t>GMALL</w:t>
            </w:r>
            <w:r w:rsidR="00D72410">
              <w:rPr>
                <w:szCs w:val="24"/>
                <w:lang w:val="da-DK"/>
              </w:rPr>
              <w:t xml:space="preserve"> </w:t>
            </w:r>
            <w:r w:rsidR="00D3052C">
              <w:rPr>
                <w:szCs w:val="24"/>
                <w:lang w:val="en-US"/>
              </w:rPr>
              <w:t>[55]</w:t>
            </w:r>
          </w:p>
        </w:tc>
        <w:tc>
          <w:tcPr>
            <w:tcW w:w="1985" w:type="dxa"/>
            <w:shd w:val="clear" w:color="auto" w:fill="auto"/>
          </w:tcPr>
          <w:p w14:paraId="333937D0" w14:textId="77777777" w:rsidR="00216384" w:rsidRPr="00D23E64" w:rsidRDefault="00D3052C" w:rsidP="00D3052C">
            <w:pPr>
              <w:jc w:val="center"/>
              <w:rPr>
                <w:szCs w:val="24"/>
                <w:lang w:val="da-DK"/>
              </w:rPr>
            </w:pPr>
            <w:r>
              <w:rPr>
                <w:szCs w:val="24"/>
                <w:lang w:val="da-DK"/>
              </w:rPr>
              <w:t>n</w:t>
            </w:r>
            <w:r>
              <w:rPr>
                <w:szCs w:val="24"/>
              </w:rPr>
              <w:t xml:space="preserve"> </w:t>
            </w:r>
            <w:r w:rsidR="00216384" w:rsidRPr="00D23E64">
              <w:rPr>
                <w:szCs w:val="24"/>
                <w:lang w:val="da-DK"/>
              </w:rPr>
              <w:t>=</w:t>
            </w:r>
            <w:r>
              <w:rPr>
                <w:szCs w:val="24"/>
              </w:rPr>
              <w:t xml:space="preserve"> </w:t>
            </w:r>
            <w:r>
              <w:rPr>
                <w:szCs w:val="24"/>
                <w:lang w:val="da-DK"/>
              </w:rPr>
              <w:t>504, 15–</w:t>
            </w:r>
            <w:r w:rsidR="00216384" w:rsidRPr="00D23E64">
              <w:rPr>
                <w:szCs w:val="24"/>
                <w:lang w:val="da-DK"/>
              </w:rPr>
              <w:t xml:space="preserve">55 </w:t>
            </w:r>
            <w:r w:rsidR="00216384" w:rsidRPr="00CA7FDC">
              <w:rPr>
                <w:szCs w:val="24"/>
              </w:rPr>
              <w:t>лет</w:t>
            </w:r>
          </w:p>
        </w:tc>
        <w:tc>
          <w:tcPr>
            <w:tcW w:w="1722" w:type="dxa"/>
            <w:shd w:val="clear" w:color="auto" w:fill="auto"/>
          </w:tcPr>
          <w:p w14:paraId="351EEC06" w14:textId="77777777" w:rsidR="00216384" w:rsidRPr="00D23E64" w:rsidRDefault="00216384" w:rsidP="00D3052C">
            <w:pPr>
              <w:jc w:val="center"/>
              <w:rPr>
                <w:szCs w:val="24"/>
                <w:lang w:val="da-DK"/>
              </w:rPr>
            </w:pPr>
            <w:r>
              <w:rPr>
                <w:szCs w:val="24"/>
              </w:rPr>
              <w:t>Реализо</w:t>
            </w:r>
            <w:r w:rsidRPr="00CA7FDC">
              <w:rPr>
                <w:szCs w:val="24"/>
              </w:rPr>
              <w:t>вана</w:t>
            </w:r>
            <w:r w:rsidRPr="00D23E64">
              <w:rPr>
                <w:szCs w:val="24"/>
                <w:lang w:val="da-DK"/>
              </w:rPr>
              <w:t xml:space="preserve"> </w:t>
            </w:r>
            <w:r w:rsidRPr="00CA7FDC">
              <w:rPr>
                <w:szCs w:val="24"/>
              </w:rPr>
              <w:t>у</w:t>
            </w:r>
            <w:r w:rsidRPr="00D23E64">
              <w:rPr>
                <w:szCs w:val="24"/>
                <w:lang w:val="da-DK"/>
              </w:rPr>
              <w:t xml:space="preserve"> </w:t>
            </w:r>
            <w:r w:rsidRPr="00D23E64">
              <w:rPr>
                <w:b/>
                <w:bCs/>
                <w:szCs w:val="24"/>
                <w:lang w:val="da-DK"/>
              </w:rPr>
              <w:t>70</w:t>
            </w:r>
            <w:r w:rsidR="00D3052C">
              <w:rPr>
                <w:b/>
                <w:bCs/>
                <w:szCs w:val="24"/>
                <w:lang w:val="da-DK"/>
              </w:rPr>
              <w:t xml:space="preserve"> </w:t>
            </w:r>
            <w:r w:rsidRPr="00D23E64">
              <w:rPr>
                <w:b/>
                <w:bCs/>
                <w:szCs w:val="24"/>
                <w:lang w:val="da-DK"/>
              </w:rPr>
              <w:t>%</w:t>
            </w:r>
            <w:r w:rsidRPr="00D23E64">
              <w:rPr>
                <w:bCs/>
                <w:szCs w:val="24"/>
                <w:lang w:val="da-DK"/>
              </w:rPr>
              <w:t xml:space="preserve"> </w:t>
            </w:r>
            <w:r w:rsidRPr="00CA7FDC">
              <w:rPr>
                <w:bCs/>
                <w:szCs w:val="24"/>
              </w:rPr>
              <w:t>из</w:t>
            </w:r>
            <w:r w:rsidRPr="00D23E64">
              <w:rPr>
                <w:bCs/>
                <w:szCs w:val="24"/>
                <w:lang w:val="da-DK"/>
              </w:rPr>
              <w:t xml:space="preserve"> </w:t>
            </w:r>
            <w:r w:rsidRPr="00CA7FDC">
              <w:rPr>
                <w:bCs/>
                <w:szCs w:val="24"/>
              </w:rPr>
              <w:t>группы</w:t>
            </w:r>
            <w:r w:rsidRPr="00D23E64">
              <w:rPr>
                <w:bCs/>
                <w:szCs w:val="24"/>
                <w:lang w:val="da-DK"/>
              </w:rPr>
              <w:t xml:space="preserve"> </w:t>
            </w:r>
            <w:r w:rsidRPr="00CA7FDC">
              <w:rPr>
                <w:bCs/>
                <w:szCs w:val="24"/>
              </w:rPr>
              <w:t>высокого</w:t>
            </w:r>
            <w:r w:rsidRPr="00D23E64">
              <w:rPr>
                <w:bCs/>
                <w:szCs w:val="24"/>
                <w:lang w:val="da-DK"/>
              </w:rPr>
              <w:t xml:space="preserve"> </w:t>
            </w:r>
            <w:r w:rsidRPr="00CA7FDC">
              <w:rPr>
                <w:bCs/>
                <w:szCs w:val="24"/>
              </w:rPr>
              <w:t>риска</w:t>
            </w:r>
          </w:p>
        </w:tc>
        <w:tc>
          <w:tcPr>
            <w:tcW w:w="1920" w:type="dxa"/>
            <w:shd w:val="clear" w:color="auto" w:fill="auto"/>
          </w:tcPr>
          <w:p w14:paraId="7E516443" w14:textId="77777777" w:rsidR="00216384" w:rsidRPr="00D23E64" w:rsidRDefault="00216384" w:rsidP="00D3052C">
            <w:pPr>
              <w:jc w:val="center"/>
              <w:rPr>
                <w:szCs w:val="24"/>
                <w:lang w:val="da-DK"/>
              </w:rPr>
            </w:pPr>
            <w:r w:rsidRPr="00D23E64">
              <w:rPr>
                <w:szCs w:val="24"/>
                <w:lang w:val="da-DK"/>
              </w:rPr>
              <w:t>54</w:t>
            </w:r>
            <w:r w:rsidR="00D3052C">
              <w:rPr>
                <w:szCs w:val="24"/>
              </w:rPr>
              <w:t xml:space="preserve"> </w:t>
            </w:r>
            <w:r w:rsidRPr="00D23E64">
              <w:rPr>
                <w:szCs w:val="24"/>
                <w:lang w:val="da-DK"/>
              </w:rPr>
              <w:t>%</w:t>
            </w:r>
          </w:p>
        </w:tc>
      </w:tr>
      <w:tr w:rsidR="00216384" w:rsidRPr="00D23E64" w14:paraId="28B72DD0" w14:textId="77777777" w:rsidTr="00300859">
        <w:tc>
          <w:tcPr>
            <w:tcW w:w="1788" w:type="dxa"/>
            <w:shd w:val="clear" w:color="auto" w:fill="auto"/>
          </w:tcPr>
          <w:p w14:paraId="3FE87E89" w14:textId="77777777" w:rsidR="00216384" w:rsidRPr="00D23E64" w:rsidRDefault="00216384" w:rsidP="00EB7270">
            <w:pPr>
              <w:jc w:val="left"/>
              <w:rPr>
                <w:szCs w:val="24"/>
                <w:lang w:val="da-DK"/>
              </w:rPr>
            </w:pPr>
            <w:r w:rsidRPr="00CA7FDC">
              <w:rPr>
                <w:szCs w:val="24"/>
              </w:rPr>
              <w:t>Педиатрический</w:t>
            </w:r>
            <w:r w:rsidRPr="00D23E64">
              <w:rPr>
                <w:szCs w:val="24"/>
                <w:lang w:val="da-DK"/>
              </w:rPr>
              <w:t xml:space="preserve"> </w:t>
            </w:r>
            <w:r w:rsidRPr="00CA7FDC">
              <w:rPr>
                <w:szCs w:val="24"/>
              </w:rPr>
              <w:t>подход</w:t>
            </w:r>
          </w:p>
        </w:tc>
        <w:tc>
          <w:tcPr>
            <w:tcW w:w="2289" w:type="dxa"/>
            <w:shd w:val="clear" w:color="auto" w:fill="auto"/>
          </w:tcPr>
          <w:p w14:paraId="554B1F4A" w14:textId="77777777" w:rsidR="00216384" w:rsidRPr="00D3052C" w:rsidRDefault="00216384" w:rsidP="00D3052C">
            <w:pPr>
              <w:jc w:val="center"/>
              <w:rPr>
                <w:szCs w:val="24"/>
              </w:rPr>
            </w:pPr>
            <w:r w:rsidRPr="00CA7FDC">
              <w:rPr>
                <w:szCs w:val="24"/>
                <w:lang w:val="pt-BR"/>
              </w:rPr>
              <w:t xml:space="preserve">PETHEMA </w:t>
            </w:r>
            <w:r w:rsidR="00D3052C">
              <w:rPr>
                <w:szCs w:val="24"/>
                <w:lang w:val="pt-BR"/>
              </w:rPr>
              <w:t>[64]</w:t>
            </w:r>
          </w:p>
        </w:tc>
        <w:tc>
          <w:tcPr>
            <w:tcW w:w="1985" w:type="dxa"/>
            <w:shd w:val="clear" w:color="auto" w:fill="auto"/>
          </w:tcPr>
          <w:p w14:paraId="3DFC4BB3" w14:textId="77777777" w:rsidR="00216384" w:rsidRPr="00D23E64" w:rsidRDefault="00D3052C" w:rsidP="00D3052C">
            <w:pPr>
              <w:jc w:val="center"/>
              <w:rPr>
                <w:szCs w:val="24"/>
                <w:lang w:val="pt-BR"/>
              </w:rPr>
            </w:pPr>
            <w:r>
              <w:rPr>
                <w:szCs w:val="24"/>
                <w:lang w:val="pt-BR"/>
              </w:rPr>
              <w:t xml:space="preserve">n </w:t>
            </w:r>
            <w:r w:rsidR="00216384" w:rsidRPr="00D23E64">
              <w:rPr>
                <w:szCs w:val="24"/>
                <w:lang w:val="pt-BR"/>
              </w:rPr>
              <w:t>=</w:t>
            </w:r>
            <w:r>
              <w:rPr>
                <w:szCs w:val="24"/>
                <w:lang w:val="pt-BR"/>
              </w:rPr>
              <w:t xml:space="preserve"> 81, 15–</w:t>
            </w:r>
            <w:r w:rsidR="00216384" w:rsidRPr="00D23E64">
              <w:rPr>
                <w:szCs w:val="24"/>
                <w:lang w:val="pt-BR"/>
              </w:rPr>
              <w:t xml:space="preserve">30 </w:t>
            </w:r>
            <w:r w:rsidR="00216384">
              <w:rPr>
                <w:szCs w:val="24"/>
              </w:rPr>
              <w:t>лет</w:t>
            </w:r>
            <w:r w:rsidR="00216384" w:rsidRPr="00D23E64">
              <w:rPr>
                <w:szCs w:val="24"/>
                <w:lang w:val="pt-BR"/>
              </w:rPr>
              <w:t xml:space="preserve">, </w:t>
            </w:r>
            <w:r w:rsidR="00216384">
              <w:rPr>
                <w:szCs w:val="24"/>
              </w:rPr>
              <w:t>группа</w:t>
            </w:r>
            <w:r w:rsidR="00216384" w:rsidRPr="00D23E64">
              <w:rPr>
                <w:szCs w:val="24"/>
                <w:lang w:val="pt-BR"/>
              </w:rPr>
              <w:t xml:space="preserve"> </w:t>
            </w:r>
            <w:r w:rsidR="00216384">
              <w:rPr>
                <w:szCs w:val="24"/>
              </w:rPr>
              <w:t>стандартного</w:t>
            </w:r>
            <w:r w:rsidR="00216384" w:rsidRPr="00D23E64">
              <w:rPr>
                <w:szCs w:val="24"/>
                <w:lang w:val="pt-BR"/>
              </w:rPr>
              <w:t xml:space="preserve"> </w:t>
            </w:r>
            <w:r w:rsidR="00216384">
              <w:rPr>
                <w:szCs w:val="24"/>
              </w:rPr>
              <w:t>риска</w:t>
            </w:r>
          </w:p>
        </w:tc>
        <w:tc>
          <w:tcPr>
            <w:tcW w:w="1722" w:type="dxa"/>
            <w:shd w:val="clear" w:color="auto" w:fill="auto"/>
          </w:tcPr>
          <w:p w14:paraId="12F0E87F" w14:textId="77777777" w:rsidR="00216384" w:rsidRPr="00D23E64" w:rsidRDefault="00D3052C" w:rsidP="00D3052C">
            <w:pPr>
              <w:jc w:val="center"/>
              <w:rPr>
                <w:szCs w:val="24"/>
                <w:lang w:val="pt-BR"/>
              </w:rPr>
            </w:pPr>
            <w:r>
              <w:rPr>
                <w:szCs w:val="24"/>
              </w:rPr>
              <w:t>Н</w:t>
            </w:r>
            <w:r w:rsidR="00216384" w:rsidRPr="00CA7FDC">
              <w:rPr>
                <w:szCs w:val="24"/>
              </w:rPr>
              <w:t>ет</w:t>
            </w:r>
          </w:p>
        </w:tc>
        <w:tc>
          <w:tcPr>
            <w:tcW w:w="1920" w:type="dxa"/>
            <w:shd w:val="clear" w:color="auto" w:fill="auto"/>
          </w:tcPr>
          <w:p w14:paraId="3F141B24" w14:textId="77777777" w:rsidR="00216384" w:rsidRPr="00D23E64" w:rsidRDefault="00216384" w:rsidP="00D3052C">
            <w:pPr>
              <w:jc w:val="center"/>
              <w:rPr>
                <w:szCs w:val="24"/>
                <w:lang w:val="pt-BR"/>
              </w:rPr>
            </w:pPr>
            <w:r w:rsidRPr="00CA7FDC">
              <w:rPr>
                <w:szCs w:val="24"/>
              </w:rPr>
              <w:t>До</w:t>
            </w:r>
            <w:r w:rsidRPr="00D23E64">
              <w:rPr>
                <w:szCs w:val="24"/>
                <w:lang w:val="pt-BR"/>
              </w:rPr>
              <w:t xml:space="preserve"> 21 </w:t>
            </w:r>
            <w:r w:rsidRPr="00CA7FDC">
              <w:rPr>
                <w:szCs w:val="24"/>
              </w:rPr>
              <w:t>года</w:t>
            </w:r>
            <w:r w:rsidRPr="00D23E64">
              <w:rPr>
                <w:szCs w:val="24"/>
                <w:lang w:val="pt-BR"/>
              </w:rPr>
              <w:t xml:space="preserve"> = 77</w:t>
            </w:r>
            <w:r w:rsidR="00D3052C">
              <w:rPr>
                <w:szCs w:val="24"/>
              </w:rPr>
              <w:t xml:space="preserve"> </w:t>
            </w:r>
            <w:r w:rsidRPr="00D23E64">
              <w:rPr>
                <w:szCs w:val="24"/>
                <w:lang w:val="pt-BR"/>
              </w:rPr>
              <w:t>%</w:t>
            </w:r>
          </w:p>
          <w:p w14:paraId="0162071A" w14:textId="77777777" w:rsidR="00216384" w:rsidRPr="00D23E64" w:rsidRDefault="00216384" w:rsidP="00D3052C">
            <w:pPr>
              <w:jc w:val="center"/>
              <w:rPr>
                <w:szCs w:val="24"/>
                <w:lang w:val="pt-BR"/>
              </w:rPr>
            </w:pPr>
            <w:r w:rsidRPr="00CA7FDC">
              <w:rPr>
                <w:szCs w:val="24"/>
              </w:rPr>
              <w:t>В</w:t>
            </w:r>
            <w:r w:rsidRPr="00D23E64">
              <w:rPr>
                <w:szCs w:val="24"/>
                <w:lang w:val="pt-BR"/>
              </w:rPr>
              <w:t xml:space="preserve"> </w:t>
            </w:r>
            <w:r w:rsidRPr="00CA7FDC">
              <w:rPr>
                <w:szCs w:val="24"/>
              </w:rPr>
              <w:t>возрасте</w:t>
            </w:r>
            <w:r w:rsidRPr="00D23E64">
              <w:rPr>
                <w:szCs w:val="24"/>
                <w:lang w:val="pt-BR"/>
              </w:rPr>
              <w:t xml:space="preserve"> </w:t>
            </w:r>
            <w:r w:rsidRPr="00CA7FDC">
              <w:rPr>
                <w:szCs w:val="24"/>
              </w:rPr>
              <w:t>от</w:t>
            </w:r>
            <w:r w:rsidR="00D3052C">
              <w:rPr>
                <w:szCs w:val="24"/>
                <w:lang w:val="pt-BR"/>
              </w:rPr>
              <w:t xml:space="preserve"> 21</w:t>
            </w:r>
            <w:r w:rsidR="00D3052C">
              <w:rPr>
                <w:szCs w:val="24"/>
              </w:rPr>
              <w:t xml:space="preserve"> до </w:t>
            </w:r>
            <w:r w:rsidRPr="00D23E64">
              <w:rPr>
                <w:szCs w:val="24"/>
                <w:lang w:val="pt-BR"/>
              </w:rPr>
              <w:t>30 = 63</w:t>
            </w:r>
            <w:r w:rsidR="00D3052C">
              <w:rPr>
                <w:szCs w:val="24"/>
              </w:rPr>
              <w:t xml:space="preserve"> </w:t>
            </w:r>
            <w:r w:rsidRPr="00D23E64">
              <w:rPr>
                <w:szCs w:val="24"/>
                <w:lang w:val="pt-BR"/>
              </w:rPr>
              <w:t>%</w:t>
            </w:r>
          </w:p>
        </w:tc>
      </w:tr>
      <w:tr w:rsidR="00216384" w:rsidRPr="00D72410" w14:paraId="65824CE0" w14:textId="77777777" w:rsidTr="00300859">
        <w:tc>
          <w:tcPr>
            <w:tcW w:w="1788" w:type="dxa"/>
            <w:shd w:val="clear" w:color="auto" w:fill="auto"/>
          </w:tcPr>
          <w:p w14:paraId="16655557" w14:textId="77777777" w:rsidR="00216384" w:rsidRPr="00D23E64" w:rsidRDefault="00216384" w:rsidP="00EB7270">
            <w:pPr>
              <w:jc w:val="left"/>
              <w:rPr>
                <w:szCs w:val="24"/>
                <w:lang w:val="pt-BR"/>
              </w:rPr>
            </w:pPr>
            <w:r w:rsidRPr="00CA7FDC">
              <w:rPr>
                <w:szCs w:val="24"/>
              </w:rPr>
              <w:t>Неинтенсивное</w:t>
            </w:r>
            <w:r w:rsidRPr="00D23E64">
              <w:rPr>
                <w:szCs w:val="24"/>
                <w:lang w:val="pt-BR"/>
              </w:rPr>
              <w:t xml:space="preserve">, </w:t>
            </w:r>
            <w:r w:rsidRPr="00CA7FDC">
              <w:rPr>
                <w:szCs w:val="24"/>
              </w:rPr>
              <w:t>но</w:t>
            </w:r>
            <w:r w:rsidRPr="00D23E64">
              <w:rPr>
                <w:szCs w:val="24"/>
                <w:lang w:val="pt-BR"/>
              </w:rPr>
              <w:t xml:space="preserve"> </w:t>
            </w:r>
            <w:r w:rsidRPr="00CA7FDC">
              <w:rPr>
                <w:szCs w:val="24"/>
              </w:rPr>
              <w:t>непрерывное</w:t>
            </w:r>
          </w:p>
        </w:tc>
        <w:tc>
          <w:tcPr>
            <w:tcW w:w="2289" w:type="dxa"/>
            <w:shd w:val="clear" w:color="auto" w:fill="auto"/>
          </w:tcPr>
          <w:p w14:paraId="4887A23D" w14:textId="77777777" w:rsidR="00216384" w:rsidRPr="00D3052C" w:rsidRDefault="00216384" w:rsidP="00D3052C">
            <w:pPr>
              <w:jc w:val="center"/>
              <w:rPr>
                <w:szCs w:val="24"/>
                <w:lang w:val="en-US"/>
              </w:rPr>
            </w:pPr>
            <w:r w:rsidRPr="00CA7FDC">
              <w:rPr>
                <w:szCs w:val="24"/>
              </w:rPr>
              <w:t>ОЛЛ</w:t>
            </w:r>
            <w:r w:rsidRPr="00D23E64">
              <w:rPr>
                <w:szCs w:val="24"/>
                <w:lang w:val="pt-BR"/>
              </w:rPr>
              <w:t>-2009</w:t>
            </w:r>
            <w:r w:rsidR="00116EB2" w:rsidRPr="00D23E64">
              <w:rPr>
                <w:szCs w:val="24"/>
                <w:lang w:val="pt-BR"/>
              </w:rPr>
              <w:t xml:space="preserve"> </w:t>
            </w:r>
            <w:r w:rsidR="00D3052C">
              <w:rPr>
                <w:szCs w:val="24"/>
                <w:lang w:val="en-US"/>
              </w:rPr>
              <w:t>[65]</w:t>
            </w:r>
          </w:p>
        </w:tc>
        <w:tc>
          <w:tcPr>
            <w:tcW w:w="1985" w:type="dxa"/>
            <w:shd w:val="clear" w:color="auto" w:fill="auto"/>
          </w:tcPr>
          <w:p w14:paraId="1667E620" w14:textId="77777777" w:rsidR="00216384" w:rsidRPr="00D72410" w:rsidRDefault="00D3052C" w:rsidP="00D3052C">
            <w:pPr>
              <w:jc w:val="center"/>
              <w:rPr>
                <w:szCs w:val="24"/>
              </w:rPr>
            </w:pPr>
            <w:r>
              <w:rPr>
                <w:szCs w:val="24"/>
                <w:lang w:val="en-US"/>
              </w:rPr>
              <w:t xml:space="preserve">n </w:t>
            </w:r>
            <w:r w:rsidR="00216384" w:rsidRPr="00D72410">
              <w:rPr>
                <w:szCs w:val="24"/>
              </w:rPr>
              <w:t>=</w:t>
            </w:r>
            <w:r>
              <w:rPr>
                <w:szCs w:val="24"/>
                <w:lang w:val="en-US"/>
              </w:rPr>
              <w:t xml:space="preserve"> </w:t>
            </w:r>
            <w:r w:rsidR="00216384" w:rsidRPr="00D72410">
              <w:rPr>
                <w:szCs w:val="24"/>
              </w:rPr>
              <w:t>298</w:t>
            </w:r>
            <w:r w:rsidR="00216384" w:rsidRPr="00CA7FDC">
              <w:rPr>
                <w:szCs w:val="24"/>
              </w:rPr>
              <w:t>,</w:t>
            </w:r>
            <w:r>
              <w:rPr>
                <w:szCs w:val="24"/>
              </w:rPr>
              <w:t>15–</w:t>
            </w:r>
            <w:r w:rsidR="00216384" w:rsidRPr="00D72410">
              <w:rPr>
                <w:szCs w:val="24"/>
              </w:rPr>
              <w:t xml:space="preserve">55 </w:t>
            </w:r>
            <w:r w:rsidR="00216384" w:rsidRPr="00CA7FDC">
              <w:rPr>
                <w:szCs w:val="24"/>
              </w:rPr>
              <w:t>лет</w:t>
            </w:r>
          </w:p>
        </w:tc>
        <w:tc>
          <w:tcPr>
            <w:tcW w:w="1722" w:type="dxa"/>
            <w:shd w:val="clear" w:color="auto" w:fill="auto"/>
          </w:tcPr>
          <w:p w14:paraId="2AF42142" w14:textId="77777777" w:rsidR="00216384" w:rsidRPr="00D72410" w:rsidRDefault="00216384" w:rsidP="00D3052C">
            <w:pPr>
              <w:jc w:val="center"/>
              <w:rPr>
                <w:bCs/>
                <w:szCs w:val="24"/>
              </w:rPr>
            </w:pPr>
            <w:r w:rsidRPr="00CA7FDC">
              <w:rPr>
                <w:bCs/>
                <w:szCs w:val="24"/>
              </w:rPr>
              <w:t>Реализована у</w:t>
            </w:r>
            <w:r w:rsidRPr="00D72410">
              <w:rPr>
                <w:bCs/>
                <w:szCs w:val="24"/>
              </w:rPr>
              <w:t xml:space="preserve"> </w:t>
            </w:r>
            <w:r w:rsidRPr="00D3052C">
              <w:rPr>
                <w:b/>
                <w:bCs/>
                <w:szCs w:val="24"/>
              </w:rPr>
              <w:t>7</w:t>
            </w:r>
            <w:r w:rsidR="00D3052C" w:rsidRPr="00D3052C">
              <w:rPr>
                <w:b/>
                <w:bCs/>
                <w:szCs w:val="24"/>
                <w:lang w:val="en-US"/>
              </w:rPr>
              <w:t xml:space="preserve"> </w:t>
            </w:r>
            <w:r w:rsidRPr="00D3052C">
              <w:rPr>
                <w:b/>
                <w:bCs/>
                <w:szCs w:val="24"/>
              </w:rPr>
              <w:t>%</w:t>
            </w:r>
          </w:p>
        </w:tc>
        <w:tc>
          <w:tcPr>
            <w:tcW w:w="1920" w:type="dxa"/>
            <w:shd w:val="clear" w:color="auto" w:fill="auto"/>
          </w:tcPr>
          <w:p w14:paraId="72ACAD53" w14:textId="77777777" w:rsidR="00216384" w:rsidRPr="00CA7FDC" w:rsidRDefault="00216384" w:rsidP="00D3052C">
            <w:pPr>
              <w:jc w:val="center"/>
              <w:rPr>
                <w:szCs w:val="24"/>
              </w:rPr>
            </w:pPr>
            <w:r w:rsidRPr="00CA7FDC">
              <w:rPr>
                <w:szCs w:val="24"/>
              </w:rPr>
              <w:t>60</w:t>
            </w:r>
            <w:r w:rsidR="00D3052C">
              <w:rPr>
                <w:szCs w:val="24"/>
              </w:rPr>
              <w:t xml:space="preserve"> </w:t>
            </w:r>
            <w:r w:rsidRPr="00CA7FDC">
              <w:rPr>
                <w:szCs w:val="24"/>
              </w:rPr>
              <w:t>%</w:t>
            </w:r>
          </w:p>
        </w:tc>
      </w:tr>
    </w:tbl>
    <w:p w14:paraId="52CC13CD" w14:textId="77777777" w:rsidR="00216384" w:rsidRPr="0009384D" w:rsidRDefault="00216384" w:rsidP="00216384">
      <w:pPr>
        <w:pStyle w:val="a6"/>
        <w:rPr>
          <w:lang w:eastAsia="ja-JP"/>
        </w:rPr>
      </w:pPr>
    </w:p>
    <w:p w14:paraId="21C9A2C6" w14:textId="60C2840F" w:rsidR="00304132" w:rsidRPr="00EE51B1" w:rsidRDefault="00990338" w:rsidP="004905C2">
      <w:pPr>
        <w:pStyle w:val="2"/>
        <w:rPr>
          <w:rFonts w:eastAsia="SimSun"/>
        </w:rPr>
      </w:pPr>
      <w:bookmarkStart w:id="254" w:name="_Toc7436026"/>
      <w:bookmarkStart w:id="255" w:name="_Toc13484844"/>
      <w:bookmarkStart w:id="256" w:name="_Toc26796731"/>
      <w:bookmarkStart w:id="257" w:name="_Toc64467946"/>
      <w:bookmarkStart w:id="258" w:name="_Toc64565670"/>
      <w:r w:rsidRPr="00E64AF3">
        <w:t xml:space="preserve">Приложение </w:t>
      </w:r>
      <w:bookmarkEnd w:id="254"/>
      <w:bookmarkEnd w:id="255"/>
      <w:r w:rsidRPr="00E64AF3">
        <w:t xml:space="preserve">А3.3. </w:t>
      </w:r>
      <w:bookmarkEnd w:id="256"/>
      <w:bookmarkEnd w:id="257"/>
      <w:r w:rsidR="00304132" w:rsidRPr="00E64AF3">
        <w:rPr>
          <w:rFonts w:eastAsia="SimSun"/>
        </w:rPr>
        <w:t>Проведение трансплантации аллогенных гемопоэтических стволовых клеток</w:t>
      </w:r>
      <w:bookmarkEnd w:id="258"/>
    </w:p>
    <w:p w14:paraId="4F765C06" w14:textId="77777777" w:rsidR="00304132" w:rsidRPr="00C07B2E" w:rsidRDefault="00304132" w:rsidP="00304132">
      <w:pPr>
        <w:rPr>
          <w:rFonts w:eastAsia="SimSun"/>
        </w:rPr>
      </w:pPr>
    </w:p>
    <w:p w14:paraId="0AB520B5" w14:textId="77777777" w:rsidR="00304132" w:rsidRPr="00EE51B1" w:rsidRDefault="00304132" w:rsidP="00304132">
      <w:pPr>
        <w:rPr>
          <w:rFonts w:eastAsia="SimSun"/>
          <w:b/>
        </w:rPr>
      </w:pPr>
      <w:bookmarkStart w:id="259" w:name="_Toc44401103"/>
      <w:r w:rsidRPr="00EE51B1">
        <w:rPr>
          <w:rFonts w:eastAsia="SimSun"/>
          <w:b/>
        </w:rPr>
        <w:t>1. Отбор пациентов для трансплантации аллогенных гемопоэтических стволовых клеток</w:t>
      </w:r>
      <w:bookmarkEnd w:id="259"/>
    </w:p>
    <w:p w14:paraId="61B48104" w14:textId="4B7C83A5" w:rsidR="00304132" w:rsidRPr="00EE51B1" w:rsidRDefault="00304132" w:rsidP="00304132">
      <w:pPr>
        <w:rPr>
          <w:rFonts w:eastAsia="SimSun"/>
          <w:i/>
          <w:u w:val="single"/>
        </w:rPr>
      </w:pPr>
      <w:bookmarkStart w:id="260" w:name="_Toc44401106"/>
      <w:r w:rsidRPr="00EE51B1">
        <w:rPr>
          <w:rFonts w:eastAsia="SimSun"/>
          <w:i/>
          <w:u w:val="single"/>
        </w:rPr>
        <w:t>Показания для проведения алло-ТГСК</w:t>
      </w:r>
      <w:bookmarkEnd w:id="260"/>
      <w:r w:rsidRPr="00EE51B1">
        <w:rPr>
          <w:rFonts w:eastAsia="SimSun"/>
          <w:i/>
          <w:u w:val="single"/>
        </w:rPr>
        <w:t xml:space="preserve"> </w:t>
      </w:r>
      <w:r w:rsidRPr="00EE51B1">
        <w:rPr>
          <w:rFonts w:eastAsia="SimSun"/>
          <w:u w:val="single"/>
        </w:rPr>
        <w:fldChar w:fldCharType="begin" w:fldLock="1"/>
      </w:r>
      <w:r w:rsidR="00A67ED2">
        <w:rPr>
          <w:rFonts w:eastAsia="SimSun"/>
          <w:u w:val="single"/>
        </w:rPr>
        <w:instrText>ADDIN CSL_CITATION {"citationItems":[{"id":"ITEM-1","itemData":{"id":"ITEM-1","issued":{"date-parts":[["2020"]]},"number-of-pages":"320","publisher":"М.: Практика","title":"Протоколы трансплантации аллогенных гепомоэтических стволовых клеток. Под ред. В.Г. Савченко","type":"book"},"uris":["http://www.mendeley.com/documents/?uuid=4926d981-6699-4015-bdc4-427c195be4de"]}],"mendeley":{"formattedCitation":"[139]","plainTextFormattedCitation":"[139]","previouslyFormattedCitation":"[112]"},"properties":{"noteIndex":0},"schema":"https://github.com/citation-style-language/schema/raw/master/csl-citation.json"}</w:instrText>
      </w:r>
      <w:r w:rsidRPr="00EE51B1">
        <w:rPr>
          <w:rFonts w:eastAsia="SimSun"/>
          <w:u w:val="single"/>
        </w:rPr>
        <w:fldChar w:fldCharType="separate"/>
      </w:r>
      <w:r w:rsidR="00A67ED2" w:rsidRPr="00A67ED2">
        <w:rPr>
          <w:rFonts w:eastAsia="SimSun"/>
          <w:noProof/>
        </w:rPr>
        <w:t>[139]</w:t>
      </w:r>
      <w:r w:rsidRPr="00EE51B1">
        <w:rPr>
          <w:rFonts w:eastAsia="SimSun"/>
          <w:u w:val="single"/>
        </w:rPr>
        <w:fldChar w:fldCharType="end"/>
      </w:r>
      <w:r w:rsidRPr="00EE51B1">
        <w:rPr>
          <w:rFonts w:eastAsia="SimSun"/>
          <w:i/>
          <w:u w:val="single"/>
        </w:rPr>
        <w:t>:</w:t>
      </w:r>
    </w:p>
    <w:p w14:paraId="64C6584F" w14:textId="2F454FA2" w:rsidR="00304132" w:rsidRPr="00C07B2E" w:rsidRDefault="00304132" w:rsidP="00304132">
      <w:pPr>
        <w:rPr>
          <w:rFonts w:eastAsia="SimSun"/>
        </w:rPr>
      </w:pPr>
      <w:r w:rsidRPr="00C07B2E">
        <w:rPr>
          <w:rFonts w:eastAsia="SimSun"/>
        </w:rPr>
        <w:t>Медицинские показания к трансплантации костного мозга и гемопоэтических стволовых клеток определены Приказом Минздрава России от 12.12.2018 N 875н "Об утверждении Порядка оказания медицинской помощи при заболеваниях (состояниях), для лечения которых применяется трансплантация (пересадка) костного мозга и гемопоэтических стволовых клеток, и внесении изменения в Порядок оказания медицинской помощи по профилю "хирургия (трансплантация органов и (или) тканей человека)", утвержденный приказом Министерства здравоохранения Российской Федерации от 31 октября 2012 г. N 567н" (Зарегистрировано в Мин</w:t>
      </w:r>
      <w:r w:rsidR="00930102">
        <w:rPr>
          <w:rFonts w:eastAsia="SimSun"/>
        </w:rPr>
        <w:t>юсте России 09.01.2019 N 53256), где указано, что в</w:t>
      </w:r>
      <w:r w:rsidRPr="00C07B2E">
        <w:rPr>
          <w:rFonts w:eastAsia="SimSun"/>
        </w:rPr>
        <w:t xml:space="preserve"> качестве кандидатов для проведения алло-ТГСК могут рассматриваться пациенты, имеющие: </w:t>
      </w:r>
    </w:p>
    <w:p w14:paraId="2836B115" w14:textId="77777777" w:rsidR="00304132" w:rsidRPr="00C07B2E" w:rsidRDefault="00304132" w:rsidP="008C1767">
      <w:pPr>
        <w:widowControl/>
        <w:numPr>
          <w:ilvl w:val="0"/>
          <w:numId w:val="72"/>
        </w:numPr>
        <w:overflowPunct w:val="0"/>
        <w:textAlignment w:val="baseline"/>
        <w:rPr>
          <w:rFonts w:eastAsia="SimSun"/>
        </w:rPr>
      </w:pPr>
      <w:r w:rsidRPr="00C07B2E">
        <w:rPr>
          <w:rFonts w:eastAsia="SimSun"/>
        </w:rPr>
        <w:lastRenderedPageBreak/>
        <w:t>злокачественные и другие новообразования лимфоидной, кроветворной и родственной им тканей;</w:t>
      </w:r>
    </w:p>
    <w:p w14:paraId="50F24CD1" w14:textId="77777777" w:rsidR="00304132" w:rsidRPr="00930102" w:rsidRDefault="00304132" w:rsidP="00304132">
      <w:pPr>
        <w:rPr>
          <w:rFonts w:eastAsia="SimSun"/>
          <w:strike/>
        </w:rPr>
      </w:pPr>
      <w:bookmarkStart w:id="261" w:name="_Toc44401107"/>
    </w:p>
    <w:p w14:paraId="7A79E0F0" w14:textId="5A85739C" w:rsidR="00304132" w:rsidRPr="00EE51B1" w:rsidRDefault="00304132" w:rsidP="00304132">
      <w:pPr>
        <w:rPr>
          <w:rFonts w:eastAsia="SimSun"/>
          <w:i/>
          <w:u w:val="single"/>
        </w:rPr>
      </w:pPr>
      <w:r w:rsidRPr="00EE51B1">
        <w:rPr>
          <w:rFonts w:eastAsia="SimSun"/>
          <w:i/>
          <w:u w:val="single"/>
        </w:rPr>
        <w:t>Основные критерии для определения рисков трансплантационной летальности у пациентов, которым планируется выполнение алло-ТГСК</w:t>
      </w:r>
      <w:bookmarkEnd w:id="261"/>
      <w:r>
        <w:rPr>
          <w:rFonts w:eastAsia="SimSun"/>
          <w:i/>
          <w:u w:val="single"/>
        </w:rPr>
        <w:t xml:space="preserve"> </w:t>
      </w:r>
      <w:r w:rsidRPr="00EE51B1">
        <w:rPr>
          <w:rFonts w:eastAsia="SimSun"/>
          <w:u w:val="single"/>
        </w:rPr>
        <w:fldChar w:fldCharType="begin" w:fldLock="1"/>
      </w:r>
      <w:r w:rsidR="00A67ED2">
        <w:rPr>
          <w:rFonts w:eastAsia="SimSun"/>
          <w:u w:val="single"/>
        </w:rPr>
        <w:instrText>ADDIN CSL_CITATION {"citationItems":[{"id":"ITEM-1","itemData":{"id":"ITEM-1","issued":{"date-parts":[["2020"]]},"number-of-pages":"320","publisher":"М.: Практика","title":"Протоколы трансплантации аллогенных гепомоэтических стволовых клеток. Под ред. В.Г. Савченко","type":"book"},"uris":["http://www.mendeley.com/documents/?uuid=4926d981-6699-4015-bdc4-427c195be4de"]}],"mendeley":{"formattedCitation":"[139]","plainTextFormattedCitation":"[139]","previouslyFormattedCitation":"[112]"},"properties":{"noteIndex":0},"schema":"https://github.com/citation-style-language/schema/raw/master/csl-citation.json"}</w:instrText>
      </w:r>
      <w:r w:rsidRPr="00EE51B1">
        <w:rPr>
          <w:rFonts w:eastAsia="SimSun"/>
          <w:u w:val="single"/>
        </w:rPr>
        <w:fldChar w:fldCharType="separate"/>
      </w:r>
      <w:r w:rsidR="00A67ED2" w:rsidRPr="00A67ED2">
        <w:rPr>
          <w:rFonts w:eastAsia="SimSun"/>
          <w:noProof/>
        </w:rPr>
        <w:t>[139]</w:t>
      </w:r>
      <w:r w:rsidRPr="00EE51B1">
        <w:rPr>
          <w:rFonts w:eastAsia="SimSun"/>
          <w:u w:val="single"/>
        </w:rPr>
        <w:fldChar w:fldCharType="end"/>
      </w:r>
      <w:r>
        <w:rPr>
          <w:rFonts w:eastAsia="SimSun"/>
          <w:i/>
          <w:u w:val="single"/>
        </w:rPr>
        <w:t>:</w:t>
      </w:r>
      <w:r w:rsidRPr="00EE51B1">
        <w:rPr>
          <w:rFonts w:eastAsia="SimSun"/>
          <w:i/>
          <w:u w:val="single"/>
        </w:rPr>
        <w:t xml:space="preserve"> </w:t>
      </w:r>
    </w:p>
    <w:p w14:paraId="30B7506C" w14:textId="77777777" w:rsidR="00304132" w:rsidRPr="00C07B2E" w:rsidRDefault="00304132" w:rsidP="008C1767">
      <w:pPr>
        <w:widowControl/>
        <w:numPr>
          <w:ilvl w:val="0"/>
          <w:numId w:val="73"/>
        </w:numPr>
        <w:overflowPunct w:val="0"/>
        <w:textAlignment w:val="baseline"/>
        <w:rPr>
          <w:rFonts w:eastAsia="SimSun"/>
        </w:rPr>
      </w:pPr>
      <w:r w:rsidRPr="00C07B2E">
        <w:rPr>
          <w:rFonts w:eastAsia="SimSun"/>
        </w:rPr>
        <w:t>Наличие верифицированного диагноза и статуса (ремиссия, рецидив, стабилизация, прогрессия), которые являются показанием для проведения алло-ТГСК.</w:t>
      </w:r>
    </w:p>
    <w:p w14:paraId="0395152E" w14:textId="4CEFC5BA" w:rsidR="00304132" w:rsidRPr="00E64AF3" w:rsidRDefault="00304132" w:rsidP="008C1767">
      <w:pPr>
        <w:widowControl/>
        <w:numPr>
          <w:ilvl w:val="0"/>
          <w:numId w:val="73"/>
        </w:numPr>
        <w:overflowPunct w:val="0"/>
        <w:textAlignment w:val="baseline"/>
        <w:rPr>
          <w:rFonts w:eastAsia="SimSun"/>
        </w:rPr>
      </w:pPr>
      <w:r w:rsidRPr="00C07B2E">
        <w:rPr>
          <w:rFonts w:eastAsia="SimSun"/>
        </w:rPr>
        <w:t xml:space="preserve">Оценка рисков проведения алло-ТГСК по шкалам </w:t>
      </w:r>
      <w:r w:rsidRPr="00C07B2E">
        <w:rPr>
          <w:rFonts w:eastAsia="SimSun"/>
          <w:lang w:val="en-US"/>
        </w:rPr>
        <w:t>EBMT</w:t>
      </w:r>
      <w:r w:rsidRPr="00C07B2E">
        <w:rPr>
          <w:rFonts w:eastAsia="SimSun"/>
        </w:rPr>
        <w:t xml:space="preserve"> и </w:t>
      </w:r>
      <w:r w:rsidRPr="00C07B2E">
        <w:rPr>
          <w:rFonts w:eastAsia="SimSun"/>
          <w:lang w:val="en-US"/>
        </w:rPr>
        <w:t>HCT</w:t>
      </w:r>
      <w:r w:rsidRPr="00C07B2E">
        <w:rPr>
          <w:rFonts w:eastAsia="SimSun"/>
        </w:rPr>
        <w:t>-</w:t>
      </w:r>
      <w:r w:rsidRPr="00C07B2E">
        <w:rPr>
          <w:rFonts w:eastAsia="SimSun"/>
          <w:lang w:val="en-US"/>
        </w:rPr>
        <w:t>CI</w:t>
      </w:r>
      <w:r w:rsidRPr="00C07B2E">
        <w:rPr>
          <w:rFonts w:eastAsia="SimSun"/>
        </w:rPr>
        <w:t xml:space="preserve"> </w:t>
      </w:r>
      <w:r w:rsidRPr="00E64AF3">
        <w:rPr>
          <w:rFonts w:eastAsia="SimSun"/>
        </w:rPr>
        <w:t>(приложения</w:t>
      </w:r>
      <w:r w:rsidR="00FF203E" w:rsidRPr="00E64AF3">
        <w:rPr>
          <w:rFonts w:eastAsia="SimSun"/>
        </w:rPr>
        <w:t xml:space="preserve"> Г</w:t>
      </w:r>
      <w:r w:rsidR="00E64AF3" w:rsidRPr="00E64AF3">
        <w:rPr>
          <w:rFonts w:eastAsia="SimSun"/>
        </w:rPr>
        <w:t>4, Г5</w:t>
      </w:r>
      <w:r w:rsidRPr="00E64AF3">
        <w:rPr>
          <w:rFonts w:eastAsia="SimSun"/>
        </w:rPr>
        <w:t>).</w:t>
      </w:r>
    </w:p>
    <w:p w14:paraId="095A464E" w14:textId="6F6069AA" w:rsidR="00304132" w:rsidRDefault="00304132" w:rsidP="008C1767">
      <w:pPr>
        <w:widowControl/>
        <w:numPr>
          <w:ilvl w:val="0"/>
          <w:numId w:val="73"/>
        </w:numPr>
        <w:overflowPunct w:val="0"/>
        <w:textAlignment w:val="baseline"/>
        <w:rPr>
          <w:rFonts w:eastAsia="SimSun"/>
        </w:rPr>
      </w:pPr>
      <w:r w:rsidRPr="00EE51B1">
        <w:rPr>
          <w:rFonts w:eastAsia="SimSun"/>
        </w:rPr>
        <w:t xml:space="preserve">Оценка статуса кандидата в реципиенты согласно определению индекса Карновского и </w:t>
      </w:r>
      <w:r w:rsidRPr="00C07B2E">
        <w:rPr>
          <w:rFonts w:eastAsia="SimSun"/>
          <w:lang w:val="en-US"/>
        </w:rPr>
        <w:t>ECOG</w:t>
      </w:r>
    </w:p>
    <w:p w14:paraId="6747C17A" w14:textId="77777777" w:rsidR="00304132" w:rsidRPr="00EE51B1" w:rsidRDefault="00304132" w:rsidP="008C1767">
      <w:pPr>
        <w:widowControl/>
        <w:numPr>
          <w:ilvl w:val="0"/>
          <w:numId w:val="73"/>
        </w:numPr>
        <w:overflowPunct w:val="0"/>
        <w:textAlignment w:val="baseline"/>
        <w:rPr>
          <w:rFonts w:eastAsia="SimSun"/>
        </w:rPr>
      </w:pPr>
      <w:r w:rsidRPr="00EE51B1">
        <w:rPr>
          <w:rFonts w:eastAsia="SimSun"/>
        </w:rPr>
        <w:t xml:space="preserve">Оценка психологического статуса, отсутствие обострения психических заболеваний. </w:t>
      </w:r>
    </w:p>
    <w:p w14:paraId="46D6466D" w14:textId="77777777" w:rsidR="00304132" w:rsidRPr="00EE51B1" w:rsidRDefault="00304132" w:rsidP="008C1767">
      <w:pPr>
        <w:widowControl/>
        <w:numPr>
          <w:ilvl w:val="0"/>
          <w:numId w:val="73"/>
        </w:numPr>
        <w:overflowPunct w:val="0"/>
        <w:textAlignment w:val="baseline"/>
        <w:rPr>
          <w:rFonts w:eastAsia="SimSun"/>
        </w:rPr>
      </w:pPr>
      <w:r w:rsidRPr="00EE51B1">
        <w:rPr>
          <w:rFonts w:eastAsia="SimSun"/>
        </w:rPr>
        <w:t>Оценка функционального состояния почек: концентрация креатинина сыворотки &lt;</w:t>
      </w:r>
      <w:r w:rsidRPr="00C07B2E">
        <w:rPr>
          <w:rFonts w:eastAsia="SimSun"/>
          <w:lang w:val="en-US"/>
        </w:rPr>
        <w:t> </w:t>
      </w:r>
      <w:r w:rsidRPr="00EE51B1">
        <w:rPr>
          <w:rFonts w:eastAsia="SimSun"/>
        </w:rPr>
        <w:t>177 мкмоль/л (&lt;</w:t>
      </w:r>
      <w:r w:rsidRPr="00C07B2E">
        <w:rPr>
          <w:rFonts w:eastAsia="SimSun"/>
        </w:rPr>
        <w:t> </w:t>
      </w:r>
      <w:r w:rsidRPr="00EE51B1">
        <w:rPr>
          <w:rFonts w:eastAsia="SimSun"/>
        </w:rPr>
        <w:t>2 мг/дл) или клиренс креатинина &gt;</w:t>
      </w:r>
      <w:r w:rsidRPr="00C07B2E">
        <w:rPr>
          <w:rFonts w:eastAsia="SimSun"/>
          <w:lang w:val="en-US"/>
        </w:rPr>
        <w:t> </w:t>
      </w:r>
      <w:r w:rsidRPr="00EE51B1">
        <w:rPr>
          <w:rFonts w:eastAsia="SimSun"/>
        </w:rPr>
        <w:t>50 мл/мин/1,73 м</w:t>
      </w:r>
      <w:r w:rsidRPr="00EE51B1">
        <w:rPr>
          <w:rFonts w:eastAsia="SimSun"/>
          <w:vertAlign w:val="superscript"/>
        </w:rPr>
        <w:t>2</w:t>
      </w:r>
      <w:r w:rsidRPr="00EE51B1">
        <w:rPr>
          <w:rFonts w:eastAsia="SimSun"/>
        </w:rPr>
        <w:t>.</w:t>
      </w:r>
    </w:p>
    <w:p w14:paraId="2558AD06" w14:textId="77777777" w:rsidR="00304132" w:rsidRPr="00C07B2E" w:rsidRDefault="00304132" w:rsidP="008C1767">
      <w:pPr>
        <w:widowControl/>
        <w:numPr>
          <w:ilvl w:val="0"/>
          <w:numId w:val="73"/>
        </w:numPr>
        <w:overflowPunct w:val="0"/>
        <w:textAlignment w:val="baseline"/>
        <w:rPr>
          <w:rFonts w:eastAsia="SimSun"/>
        </w:rPr>
      </w:pPr>
      <w:r w:rsidRPr="00C07B2E">
        <w:rPr>
          <w:rFonts w:eastAsia="SimSun"/>
        </w:rPr>
        <w:t xml:space="preserve">Оценка функционального состояния сердечной деятельности: фракция выброса левого желудочка &gt; 35% по </w:t>
      </w:r>
      <w:r w:rsidRPr="00C07B2E">
        <w:rPr>
          <w:rFonts w:eastAsia="SimSun"/>
          <w:lang w:val="en-US"/>
        </w:rPr>
        <w:t>Simpson</w:t>
      </w:r>
      <w:r w:rsidRPr="00C07B2E">
        <w:rPr>
          <w:rFonts w:eastAsia="SimSun"/>
        </w:rPr>
        <w:t xml:space="preserve">, отсутствие нестабильной стенокардии в анамнезе, отсутствие желудочковых аритмий высоких градаций (нарушения ритма </w:t>
      </w:r>
      <w:r w:rsidRPr="00C07B2E">
        <w:rPr>
          <w:rFonts w:eastAsia="SimSun"/>
          <w:lang w:val="en-US"/>
        </w:rPr>
        <w:t>IV</w:t>
      </w:r>
      <w:r w:rsidRPr="00C07B2E">
        <w:rPr>
          <w:rFonts w:eastAsia="SimSun"/>
        </w:rPr>
        <w:t>–</w:t>
      </w:r>
      <w:r w:rsidRPr="00C07B2E">
        <w:rPr>
          <w:rFonts w:eastAsia="SimSun"/>
          <w:lang w:val="en-US"/>
        </w:rPr>
        <w:t>V</w:t>
      </w:r>
      <w:r w:rsidRPr="00C07B2E">
        <w:rPr>
          <w:rFonts w:eastAsia="SimSun"/>
        </w:rPr>
        <w:t xml:space="preserve"> градаций по </w:t>
      </w:r>
      <w:r w:rsidRPr="00C07B2E">
        <w:rPr>
          <w:rFonts w:eastAsia="SimSun"/>
          <w:lang w:val="en-US"/>
        </w:rPr>
        <w:t>Lawn</w:t>
      </w:r>
      <w:r w:rsidRPr="00C07B2E">
        <w:rPr>
          <w:rFonts w:eastAsia="SimSun"/>
        </w:rPr>
        <w:t>—</w:t>
      </w:r>
      <w:r w:rsidRPr="00C07B2E">
        <w:rPr>
          <w:rFonts w:eastAsia="SimSun"/>
          <w:lang w:val="en-US"/>
        </w:rPr>
        <w:t>Wolf</w:t>
      </w:r>
      <w:r w:rsidRPr="00C07B2E">
        <w:rPr>
          <w:rFonts w:eastAsia="SimSun"/>
        </w:rPr>
        <w:t xml:space="preserve">). </w:t>
      </w:r>
    </w:p>
    <w:p w14:paraId="55F28875" w14:textId="77777777" w:rsidR="00304132" w:rsidRPr="00C07B2E" w:rsidRDefault="00304132" w:rsidP="008C1767">
      <w:pPr>
        <w:widowControl/>
        <w:numPr>
          <w:ilvl w:val="0"/>
          <w:numId w:val="73"/>
        </w:numPr>
        <w:overflowPunct w:val="0"/>
        <w:textAlignment w:val="baseline"/>
        <w:rPr>
          <w:rFonts w:eastAsia="SimSun"/>
        </w:rPr>
      </w:pPr>
      <w:r w:rsidRPr="00C07B2E">
        <w:rPr>
          <w:rFonts w:eastAsia="SimSun"/>
        </w:rPr>
        <w:t>Оценка функционального состояния легких: ОФВ1 ≥ 80%; по возможности определяют скорректированную диффузионную способность легких (DLCO), которая должна быть &gt; 35% должного.</w:t>
      </w:r>
    </w:p>
    <w:p w14:paraId="5469E311" w14:textId="77777777" w:rsidR="00304132" w:rsidRPr="00C07B2E" w:rsidRDefault="00304132" w:rsidP="008C1767">
      <w:pPr>
        <w:widowControl/>
        <w:numPr>
          <w:ilvl w:val="0"/>
          <w:numId w:val="73"/>
        </w:numPr>
        <w:overflowPunct w:val="0"/>
        <w:textAlignment w:val="baseline"/>
        <w:rPr>
          <w:rFonts w:eastAsia="SimSun"/>
        </w:rPr>
      </w:pPr>
      <w:r w:rsidRPr="00C07B2E">
        <w:rPr>
          <w:rFonts w:eastAsia="SimSun"/>
        </w:rPr>
        <w:t xml:space="preserve">Оценка функционального состояния печени: </w:t>
      </w:r>
    </w:p>
    <w:p w14:paraId="7D38F8F6" w14:textId="77777777" w:rsidR="00304132" w:rsidRPr="00C07B2E" w:rsidRDefault="00304132" w:rsidP="008C1767">
      <w:pPr>
        <w:widowControl/>
        <w:numPr>
          <w:ilvl w:val="1"/>
          <w:numId w:val="73"/>
        </w:numPr>
        <w:overflowPunct w:val="0"/>
        <w:textAlignment w:val="baseline"/>
      </w:pPr>
      <w:r w:rsidRPr="00C07B2E">
        <w:t>концентрация общего билирубина ≤ 22 мкмоль/л (за исключением доказанного синдрома Жильбера);</w:t>
      </w:r>
    </w:p>
    <w:p w14:paraId="0DB3E3E4" w14:textId="77777777" w:rsidR="00304132" w:rsidRPr="00EE51B1" w:rsidRDefault="00304132" w:rsidP="008C1767">
      <w:pPr>
        <w:widowControl/>
        <w:numPr>
          <w:ilvl w:val="1"/>
          <w:numId w:val="73"/>
        </w:numPr>
        <w:overflowPunct w:val="0"/>
        <w:textAlignment w:val="baseline"/>
      </w:pPr>
      <w:r w:rsidRPr="00C07B2E">
        <w:t>концентрация общего билирубина ≤ 30 мкмоль/л (за исключением доказанного синдрома Жильбера)</w:t>
      </w:r>
      <w:r w:rsidRPr="00EE51B1">
        <w:t>.</w:t>
      </w:r>
    </w:p>
    <w:p w14:paraId="493A524E" w14:textId="77777777" w:rsidR="00304132" w:rsidRDefault="00304132" w:rsidP="00304132">
      <w:pPr>
        <w:rPr>
          <w:rFonts w:eastAsia="SimSun"/>
        </w:rPr>
      </w:pPr>
      <w:bookmarkStart w:id="262" w:name="_Toc44401108"/>
    </w:p>
    <w:p w14:paraId="5D74682E" w14:textId="671E9D46" w:rsidR="00304132" w:rsidRPr="00EE51B1" w:rsidRDefault="00304132" w:rsidP="00304132">
      <w:pPr>
        <w:rPr>
          <w:rFonts w:eastAsia="SimSun"/>
          <w:i/>
          <w:u w:val="single"/>
        </w:rPr>
      </w:pPr>
      <w:r w:rsidRPr="00EE51B1">
        <w:rPr>
          <w:rFonts w:eastAsia="SimSun"/>
          <w:i/>
          <w:u w:val="single"/>
        </w:rPr>
        <w:t>Дополнительные критерии определения рисков трансплантационной летальности у пациентов, которым планируется выполнение алло-ТГСК</w:t>
      </w:r>
      <w:bookmarkEnd w:id="262"/>
      <w:r w:rsidRPr="00EE51B1">
        <w:rPr>
          <w:rFonts w:eastAsia="SimSun"/>
          <w:i/>
          <w:u w:val="single"/>
        </w:rPr>
        <w:t xml:space="preserve"> </w:t>
      </w:r>
      <w:r w:rsidRPr="00EE51B1">
        <w:rPr>
          <w:rFonts w:eastAsia="SimSun"/>
          <w:i/>
          <w:u w:val="single"/>
        </w:rPr>
        <w:fldChar w:fldCharType="begin" w:fldLock="1"/>
      </w:r>
      <w:r w:rsidR="00A67ED2">
        <w:rPr>
          <w:rFonts w:eastAsia="SimSun"/>
          <w:i/>
          <w:u w:val="single"/>
        </w:rPr>
        <w:instrText>ADDIN CSL_CITATION {"citationItems":[{"id":"ITEM-1","itemData":{"id":"ITEM-1","issued":{"date-parts":[["2020"]]},"number-of-pages":"320","publisher":"М.: Практика","title":"Протоколы трансплантации аллогенных гепомоэтических стволовых клеток. Под ред. В.Г. Савченко","type":"book"},"uris":["http://www.mendeley.com/documents/?uuid=4926d981-6699-4015-bdc4-427c195be4de"]}],"mendeley":{"formattedCitation":"[139]","plainTextFormattedCitation":"[139]","previouslyFormattedCitation":"[112]"},"properties":{"noteIndex":0},"schema":"https://github.com/citation-style-language/schema/raw/master/csl-citation.json"}</w:instrText>
      </w:r>
      <w:r w:rsidRPr="00EE51B1">
        <w:rPr>
          <w:rFonts w:eastAsia="SimSun"/>
          <w:i/>
          <w:u w:val="single"/>
        </w:rPr>
        <w:fldChar w:fldCharType="separate"/>
      </w:r>
      <w:r w:rsidR="00A67ED2" w:rsidRPr="00A67ED2">
        <w:rPr>
          <w:rFonts w:eastAsia="SimSun"/>
          <w:noProof/>
        </w:rPr>
        <w:t>[139]</w:t>
      </w:r>
      <w:r w:rsidRPr="00EE51B1">
        <w:rPr>
          <w:rFonts w:eastAsia="SimSun"/>
          <w:i/>
          <w:u w:val="single"/>
        </w:rPr>
        <w:fldChar w:fldCharType="end"/>
      </w:r>
      <w:r w:rsidRPr="00EE51B1">
        <w:rPr>
          <w:rFonts w:eastAsia="SimSun"/>
          <w:i/>
          <w:u w:val="single"/>
        </w:rPr>
        <w:t>:</w:t>
      </w:r>
    </w:p>
    <w:p w14:paraId="55CD917D" w14:textId="77777777" w:rsidR="00304132" w:rsidRPr="00C07B2E" w:rsidRDefault="00304132" w:rsidP="008C1767">
      <w:pPr>
        <w:widowControl/>
        <w:numPr>
          <w:ilvl w:val="0"/>
          <w:numId w:val="74"/>
        </w:numPr>
        <w:overflowPunct w:val="0"/>
        <w:textAlignment w:val="baseline"/>
        <w:rPr>
          <w:rFonts w:eastAsia="SimSun"/>
        </w:rPr>
      </w:pPr>
      <w:r w:rsidRPr="00C07B2E">
        <w:rPr>
          <w:rFonts w:eastAsia="SimSun"/>
        </w:rPr>
        <w:t xml:space="preserve">Иммунодепрессивное состояние: нейтропения, лимфопения с концентрацией </w:t>
      </w:r>
      <w:r w:rsidRPr="00C07B2E">
        <w:rPr>
          <w:rFonts w:eastAsia="SimSun"/>
          <w:lang w:val="en-US"/>
        </w:rPr>
        <w:t>CD</w:t>
      </w:r>
      <w:r w:rsidRPr="00C07B2E">
        <w:rPr>
          <w:rFonts w:eastAsia="SimSun"/>
        </w:rPr>
        <w:t xml:space="preserve">4+ ≤ 200 клеток/мкл, гипогаммаглобулинемия, аспления, применение </w:t>
      </w:r>
      <w:r w:rsidRPr="00C07B2E">
        <w:rPr>
          <w:rFonts w:eastAsia="SimSun"/>
        </w:rPr>
        <w:lastRenderedPageBreak/>
        <w:t>высоких доз ГКС на этапе предшествующей химиотерапии и связь с основным заболеванием.</w:t>
      </w:r>
    </w:p>
    <w:p w14:paraId="4A534E03" w14:textId="77777777" w:rsidR="00304132" w:rsidRPr="00C07B2E" w:rsidRDefault="00304132" w:rsidP="008C1767">
      <w:pPr>
        <w:widowControl/>
        <w:numPr>
          <w:ilvl w:val="0"/>
          <w:numId w:val="74"/>
        </w:numPr>
        <w:overflowPunct w:val="0"/>
        <w:textAlignment w:val="baseline"/>
        <w:rPr>
          <w:rFonts w:eastAsia="SimSun"/>
        </w:rPr>
      </w:pPr>
      <w:r w:rsidRPr="00C07B2E">
        <w:rPr>
          <w:rFonts w:eastAsia="SimSun"/>
        </w:rPr>
        <w:t>Инфекционные осложнения и степень их тяжести, значимость и длительность  в период предшествующей химиотерапии с указанием локализации, чувствительности возбудителя к антимикробным средствам, проводимой терапии: фебрильная нейтропения, пневмония (с указанием установленного возбудителя или отсутствием верификации возбудителя), грибковые инфекции, вирусные инфекции.</w:t>
      </w:r>
    </w:p>
    <w:p w14:paraId="78E4AE9D" w14:textId="77777777" w:rsidR="00304132" w:rsidRPr="00C07B2E" w:rsidRDefault="00304132" w:rsidP="008C1767">
      <w:pPr>
        <w:widowControl/>
        <w:numPr>
          <w:ilvl w:val="0"/>
          <w:numId w:val="74"/>
        </w:numPr>
        <w:overflowPunct w:val="0"/>
        <w:textAlignment w:val="baseline"/>
        <w:rPr>
          <w:rFonts w:eastAsia="SimSun"/>
        </w:rPr>
      </w:pPr>
      <w:r w:rsidRPr="00C07B2E">
        <w:rPr>
          <w:rFonts w:eastAsia="SimSun"/>
        </w:rPr>
        <w:t>Перенесенные заболевания в том числе (</w:t>
      </w:r>
      <w:r w:rsidRPr="00C07B2E">
        <w:rPr>
          <w:rFonts w:eastAsia="SimSun"/>
          <w:lang w:val="en-US"/>
        </w:rPr>
        <w:t>COVID</w:t>
      </w:r>
      <w:r w:rsidRPr="00C07B2E">
        <w:rPr>
          <w:rFonts w:eastAsia="SimSun"/>
        </w:rPr>
        <w:t>-19, туберкулез, вирусные гепатиты)</w:t>
      </w:r>
    </w:p>
    <w:p w14:paraId="780BC1F4" w14:textId="77777777" w:rsidR="00304132" w:rsidRPr="00C07B2E" w:rsidRDefault="00304132" w:rsidP="008C1767">
      <w:pPr>
        <w:widowControl/>
        <w:numPr>
          <w:ilvl w:val="0"/>
          <w:numId w:val="74"/>
        </w:numPr>
        <w:overflowPunct w:val="0"/>
        <w:textAlignment w:val="baseline"/>
        <w:rPr>
          <w:rFonts w:eastAsia="SimSun"/>
        </w:rPr>
      </w:pPr>
      <w:r w:rsidRPr="00C07B2E">
        <w:rPr>
          <w:rFonts w:eastAsia="SimSun"/>
        </w:rPr>
        <w:t>Наличие донорспецифичных анти-</w:t>
      </w:r>
      <w:r w:rsidRPr="00C07B2E">
        <w:rPr>
          <w:rFonts w:eastAsia="SimSun"/>
          <w:lang w:val="en-US"/>
        </w:rPr>
        <w:t>HLA</w:t>
      </w:r>
      <w:r w:rsidRPr="00C07B2E">
        <w:rPr>
          <w:rFonts w:eastAsia="SimSun"/>
        </w:rPr>
        <w:t xml:space="preserve">-антител у реципиента при неродственной частично совместимой или гаплоидентичной ТГСК </w:t>
      </w:r>
    </w:p>
    <w:p w14:paraId="761CB6D5" w14:textId="77777777" w:rsidR="00304132" w:rsidRPr="00C07B2E" w:rsidRDefault="00304132" w:rsidP="008C1767">
      <w:pPr>
        <w:widowControl/>
        <w:numPr>
          <w:ilvl w:val="0"/>
          <w:numId w:val="74"/>
        </w:numPr>
        <w:overflowPunct w:val="0"/>
        <w:textAlignment w:val="baseline"/>
        <w:rPr>
          <w:rFonts w:eastAsia="SimSun"/>
        </w:rPr>
      </w:pPr>
      <w:r w:rsidRPr="00C07B2E">
        <w:rPr>
          <w:rFonts w:eastAsia="SimSun"/>
        </w:rPr>
        <w:t>Тромботические, геморрагические события на этапе предшествующей терапии и причины при их верификации</w:t>
      </w:r>
    </w:p>
    <w:p w14:paraId="469EF9B2" w14:textId="77777777" w:rsidR="00304132" w:rsidRPr="00C07B2E" w:rsidRDefault="00304132" w:rsidP="008C1767">
      <w:pPr>
        <w:widowControl/>
        <w:numPr>
          <w:ilvl w:val="0"/>
          <w:numId w:val="74"/>
        </w:numPr>
        <w:overflowPunct w:val="0"/>
        <w:textAlignment w:val="baseline"/>
        <w:rPr>
          <w:rFonts w:eastAsia="SimSun"/>
        </w:rPr>
      </w:pPr>
      <w:r w:rsidRPr="00C07B2E">
        <w:rPr>
          <w:rFonts w:eastAsia="SimSun"/>
        </w:rPr>
        <w:t xml:space="preserve">Трансфузионный анамнез, наличие данных за рефрактерность к трансфузиям компонентов донорской крови. </w:t>
      </w:r>
    </w:p>
    <w:p w14:paraId="5BDE064B" w14:textId="77777777" w:rsidR="00304132" w:rsidRPr="00C07B2E" w:rsidRDefault="00304132" w:rsidP="008C1767">
      <w:pPr>
        <w:widowControl/>
        <w:numPr>
          <w:ilvl w:val="0"/>
          <w:numId w:val="74"/>
        </w:numPr>
        <w:overflowPunct w:val="0"/>
        <w:textAlignment w:val="baseline"/>
        <w:rPr>
          <w:rFonts w:eastAsia="SimSun"/>
        </w:rPr>
      </w:pPr>
      <w:r w:rsidRPr="00C07B2E">
        <w:rPr>
          <w:rFonts w:eastAsia="SimSun"/>
        </w:rPr>
        <w:t>Наличие гемохроматоза и/или лабораторных признаков перегрузки железом. Проведение в анамнезе трансфузий от родственных доноров.</w:t>
      </w:r>
    </w:p>
    <w:p w14:paraId="6FA442E9" w14:textId="77777777" w:rsidR="00304132" w:rsidRPr="00C07B2E" w:rsidRDefault="00304132" w:rsidP="008C1767">
      <w:pPr>
        <w:widowControl/>
        <w:numPr>
          <w:ilvl w:val="0"/>
          <w:numId w:val="74"/>
        </w:numPr>
        <w:overflowPunct w:val="0"/>
        <w:textAlignment w:val="baseline"/>
        <w:rPr>
          <w:rFonts w:eastAsia="SimSun"/>
        </w:rPr>
      </w:pPr>
      <w:r w:rsidRPr="00C07B2E">
        <w:rPr>
          <w:rFonts w:eastAsia="SimSun"/>
        </w:rPr>
        <w:t>Наличие врожденных или приобретенных пороков</w:t>
      </w:r>
    </w:p>
    <w:p w14:paraId="0BA7D26B" w14:textId="77777777" w:rsidR="00304132" w:rsidRPr="00C07B2E" w:rsidRDefault="00304132" w:rsidP="008C1767">
      <w:pPr>
        <w:widowControl/>
        <w:numPr>
          <w:ilvl w:val="0"/>
          <w:numId w:val="74"/>
        </w:numPr>
        <w:overflowPunct w:val="0"/>
        <w:textAlignment w:val="baseline"/>
        <w:rPr>
          <w:rFonts w:eastAsia="SimSun"/>
        </w:rPr>
      </w:pPr>
      <w:r w:rsidRPr="00C07B2E">
        <w:rPr>
          <w:rFonts w:eastAsia="SimSun"/>
        </w:rPr>
        <w:t>Наличие протезов, имплантатов и биоматериалов.</w:t>
      </w:r>
    </w:p>
    <w:p w14:paraId="40400A65" w14:textId="77777777" w:rsidR="00304132" w:rsidRPr="00C07B2E" w:rsidRDefault="00304132" w:rsidP="008C1767">
      <w:pPr>
        <w:widowControl/>
        <w:numPr>
          <w:ilvl w:val="0"/>
          <w:numId w:val="74"/>
        </w:numPr>
        <w:overflowPunct w:val="0"/>
        <w:textAlignment w:val="baseline"/>
        <w:rPr>
          <w:rFonts w:eastAsia="SimSun"/>
        </w:rPr>
      </w:pPr>
      <w:r w:rsidRPr="00C07B2E">
        <w:rPr>
          <w:rFonts w:eastAsia="SimSun"/>
        </w:rPr>
        <w:t>Наличие хронических заболеваний и их стадия.</w:t>
      </w:r>
    </w:p>
    <w:p w14:paraId="73DB8F04" w14:textId="77777777" w:rsidR="00304132" w:rsidRPr="00470D3D" w:rsidRDefault="00304132" w:rsidP="008C1767">
      <w:pPr>
        <w:widowControl/>
        <w:numPr>
          <w:ilvl w:val="0"/>
          <w:numId w:val="74"/>
        </w:numPr>
        <w:overflowPunct w:val="0"/>
        <w:textAlignment w:val="baseline"/>
        <w:rPr>
          <w:rFonts w:eastAsia="SimSun"/>
        </w:rPr>
      </w:pPr>
      <w:r w:rsidRPr="00470D3D">
        <w:rPr>
          <w:rFonts w:eastAsia="SimSun"/>
        </w:rPr>
        <w:t>Информация о лечении зубов в течение последних 6 мес</w:t>
      </w:r>
      <w:r>
        <w:rPr>
          <w:rFonts w:eastAsia="SimSun"/>
        </w:rPr>
        <w:t>,</w:t>
      </w:r>
      <w:r w:rsidRPr="00470D3D">
        <w:rPr>
          <w:rFonts w:eastAsia="SimSun"/>
        </w:rPr>
        <w:t>, при отсутствии информации</w:t>
      </w:r>
      <w:r w:rsidRPr="00C07B2E">
        <w:rPr>
          <w:rFonts w:eastAsia="SimSun"/>
        </w:rPr>
        <w:t> </w:t>
      </w:r>
      <w:r w:rsidRPr="00470D3D">
        <w:rPr>
          <w:rFonts w:eastAsia="SimSun"/>
        </w:rPr>
        <w:t>— обязательно осмотр стоматолога.</w:t>
      </w:r>
    </w:p>
    <w:p w14:paraId="490A93D9" w14:textId="77777777" w:rsidR="00304132" w:rsidRPr="00C07B2E" w:rsidRDefault="00304132" w:rsidP="008C1767">
      <w:pPr>
        <w:widowControl/>
        <w:numPr>
          <w:ilvl w:val="0"/>
          <w:numId w:val="74"/>
        </w:numPr>
        <w:overflowPunct w:val="0"/>
        <w:textAlignment w:val="baseline"/>
        <w:rPr>
          <w:rFonts w:eastAsia="SimSun"/>
        </w:rPr>
      </w:pPr>
      <w:r w:rsidRPr="00C07B2E">
        <w:rPr>
          <w:rFonts w:eastAsia="SimSun"/>
        </w:rPr>
        <w:t>Консультация гинеколога для женщин с целью выявления риска дисфункциональных маточных кровотечений/перименопаузального статуса.</w:t>
      </w:r>
    </w:p>
    <w:p w14:paraId="35D6CE5D" w14:textId="77777777" w:rsidR="00304132" w:rsidRPr="00C07B2E" w:rsidRDefault="00304132" w:rsidP="008C1767">
      <w:pPr>
        <w:widowControl/>
        <w:numPr>
          <w:ilvl w:val="0"/>
          <w:numId w:val="74"/>
        </w:numPr>
        <w:overflowPunct w:val="0"/>
        <w:textAlignment w:val="baseline"/>
        <w:rPr>
          <w:rFonts w:eastAsia="SimSun"/>
        </w:rPr>
      </w:pPr>
      <w:r w:rsidRPr="00C07B2E">
        <w:rPr>
          <w:rFonts w:eastAsia="SimSun"/>
        </w:rPr>
        <w:t>Эпилептическая активность подтвержденная результатами ЭЭГ</w:t>
      </w:r>
    </w:p>
    <w:p w14:paraId="0CB79A28" w14:textId="77777777" w:rsidR="00304132" w:rsidRPr="00C07B2E" w:rsidRDefault="00304132" w:rsidP="008C1767">
      <w:pPr>
        <w:widowControl/>
        <w:numPr>
          <w:ilvl w:val="0"/>
          <w:numId w:val="74"/>
        </w:numPr>
        <w:overflowPunct w:val="0"/>
        <w:textAlignment w:val="baseline"/>
        <w:rPr>
          <w:rFonts w:eastAsia="SimSun"/>
        </w:rPr>
      </w:pPr>
      <w:r w:rsidRPr="00C07B2E">
        <w:rPr>
          <w:rFonts w:eastAsia="SimSun"/>
        </w:rPr>
        <w:t xml:space="preserve">Нутритивный статус: избыточный вес или дефицит массы тела. </w:t>
      </w:r>
    </w:p>
    <w:p w14:paraId="7AA1B83C" w14:textId="77777777" w:rsidR="00304132" w:rsidRPr="00C07B2E" w:rsidRDefault="00304132" w:rsidP="008C1767">
      <w:pPr>
        <w:widowControl/>
        <w:numPr>
          <w:ilvl w:val="0"/>
          <w:numId w:val="74"/>
        </w:numPr>
        <w:overflowPunct w:val="0"/>
        <w:textAlignment w:val="baseline"/>
        <w:rPr>
          <w:rFonts w:eastAsia="SimSun"/>
        </w:rPr>
      </w:pPr>
      <w:bookmarkStart w:id="263" w:name="_Toc44401109"/>
      <w:r w:rsidRPr="00C07B2E">
        <w:rPr>
          <w:rFonts w:eastAsia="SimSun"/>
        </w:rPr>
        <w:t>Критерии, при наличии которых выполнение алло-ТГСК противопоказано</w:t>
      </w:r>
      <w:bookmarkEnd w:id="263"/>
      <w:r w:rsidRPr="00C07B2E">
        <w:rPr>
          <w:rFonts w:eastAsia="SimSun"/>
        </w:rPr>
        <w:t xml:space="preserve"> </w:t>
      </w:r>
    </w:p>
    <w:p w14:paraId="2925CF7B" w14:textId="77777777" w:rsidR="00304132" w:rsidRPr="00C07B2E" w:rsidRDefault="00304132" w:rsidP="008C1767">
      <w:pPr>
        <w:widowControl/>
        <w:numPr>
          <w:ilvl w:val="0"/>
          <w:numId w:val="74"/>
        </w:numPr>
        <w:overflowPunct w:val="0"/>
        <w:textAlignment w:val="baseline"/>
        <w:rPr>
          <w:rFonts w:eastAsia="SimSun"/>
        </w:rPr>
      </w:pPr>
      <w:r w:rsidRPr="00C07B2E">
        <w:rPr>
          <w:rFonts w:eastAsia="SimSun"/>
        </w:rPr>
        <w:t>Беременность</w:t>
      </w:r>
    </w:p>
    <w:p w14:paraId="2A957AED" w14:textId="77777777" w:rsidR="00304132" w:rsidRPr="00C07B2E" w:rsidRDefault="00304132" w:rsidP="008C1767">
      <w:pPr>
        <w:widowControl/>
        <w:numPr>
          <w:ilvl w:val="0"/>
          <w:numId w:val="74"/>
        </w:numPr>
        <w:overflowPunct w:val="0"/>
        <w:textAlignment w:val="baseline"/>
        <w:rPr>
          <w:rFonts w:eastAsia="SimSun"/>
        </w:rPr>
      </w:pPr>
      <w:r w:rsidRPr="00C07B2E">
        <w:rPr>
          <w:rFonts w:eastAsia="SimSun"/>
        </w:rPr>
        <w:t xml:space="preserve">Цирроз печени, активный вирусный гепатит с признаками нарушения функции печени (гипербилирубинемия, синдром цитолиза, снижение белково-синтетической функции печени) </w:t>
      </w:r>
    </w:p>
    <w:p w14:paraId="43999663" w14:textId="77777777" w:rsidR="00304132" w:rsidRPr="00C07B2E" w:rsidRDefault="00304132" w:rsidP="008C1767">
      <w:pPr>
        <w:widowControl/>
        <w:numPr>
          <w:ilvl w:val="0"/>
          <w:numId w:val="74"/>
        </w:numPr>
        <w:overflowPunct w:val="0"/>
        <w:textAlignment w:val="baseline"/>
        <w:rPr>
          <w:rFonts w:eastAsia="SimSun"/>
        </w:rPr>
      </w:pPr>
      <w:r w:rsidRPr="00C07B2E">
        <w:rPr>
          <w:rFonts w:eastAsia="SimSun"/>
        </w:rPr>
        <w:t>Наличие любой неконтролируемой инфекции.</w:t>
      </w:r>
    </w:p>
    <w:p w14:paraId="762B27F5" w14:textId="77777777" w:rsidR="00304132" w:rsidRPr="00C07B2E" w:rsidRDefault="00304132" w:rsidP="008C1767">
      <w:pPr>
        <w:widowControl/>
        <w:numPr>
          <w:ilvl w:val="0"/>
          <w:numId w:val="74"/>
        </w:numPr>
        <w:overflowPunct w:val="0"/>
        <w:textAlignment w:val="baseline"/>
        <w:rPr>
          <w:rFonts w:eastAsia="SimSun"/>
        </w:rPr>
      </w:pPr>
      <w:r w:rsidRPr="00C07B2E">
        <w:rPr>
          <w:rFonts w:eastAsia="SimSun"/>
          <w:u w:val="single"/>
        </w:rPr>
        <w:lastRenderedPageBreak/>
        <w:t>Другие</w:t>
      </w:r>
      <w:r w:rsidRPr="00C07B2E">
        <w:rPr>
          <w:rFonts w:eastAsia="SimSun"/>
        </w:rPr>
        <w:t xml:space="preserve"> онкологические заболевания различных стадий и локализаций вне ремиссии.</w:t>
      </w:r>
    </w:p>
    <w:p w14:paraId="70A8D398" w14:textId="77777777" w:rsidR="00304132" w:rsidRDefault="00304132" w:rsidP="00304132">
      <w:pPr>
        <w:rPr>
          <w:rFonts w:eastAsia="SimSun"/>
        </w:rPr>
      </w:pPr>
      <w:bookmarkStart w:id="264" w:name="_Toc44401110"/>
    </w:p>
    <w:p w14:paraId="17CA5626" w14:textId="51A8C0A6" w:rsidR="00304132" w:rsidRPr="00470D3D" w:rsidRDefault="00304132" w:rsidP="00304132">
      <w:pPr>
        <w:rPr>
          <w:rFonts w:eastAsia="SimSun"/>
          <w:i/>
          <w:u w:val="single"/>
        </w:rPr>
      </w:pPr>
      <w:bookmarkStart w:id="265" w:name="_Toc44401124"/>
      <w:r w:rsidRPr="00470D3D">
        <w:rPr>
          <w:rFonts w:eastAsia="SimSun"/>
          <w:i/>
          <w:u w:val="single"/>
        </w:rPr>
        <w:t>Список лабораторных и инструментальных исследований для обследования кандидатов на алло-ТГСК</w:t>
      </w:r>
      <w:bookmarkEnd w:id="265"/>
      <w:r w:rsidRPr="00470D3D">
        <w:rPr>
          <w:rFonts w:eastAsia="SimSun"/>
          <w:i/>
          <w:u w:val="single"/>
        </w:rPr>
        <w:t xml:space="preserve"> </w:t>
      </w:r>
      <w:r w:rsidRPr="00470D3D">
        <w:rPr>
          <w:rFonts w:eastAsia="SimSun"/>
          <w:i/>
          <w:u w:val="single"/>
        </w:rPr>
        <w:fldChar w:fldCharType="begin" w:fldLock="1"/>
      </w:r>
      <w:r w:rsidR="00A67ED2">
        <w:rPr>
          <w:rFonts w:eastAsia="SimSun"/>
          <w:i/>
          <w:u w:val="single"/>
        </w:rPr>
        <w:instrText>ADDIN CSL_CITATION {"citationItems":[{"id":"ITEM-1","itemData":{"id":"ITEM-1","issued":{"date-parts":[["2020"]]},"number-of-pages":"320","publisher":"М.: Практика","title":"Протоколы трансплантации аллогенных гепомоэтических стволовых клеток. Под ред. В.Г. Савченко","type":"book"},"uris":["http://www.mendeley.com/documents/?uuid=4926d981-6699-4015-bdc4-427c195be4de"]}],"mendeley":{"formattedCitation":"[139]","plainTextFormattedCitation":"[139]","previouslyFormattedCitation":"[112]"},"properties":{"noteIndex":0},"schema":"https://github.com/citation-style-language/schema/raw/master/csl-citation.json"}</w:instrText>
      </w:r>
      <w:r w:rsidRPr="00470D3D">
        <w:rPr>
          <w:rFonts w:eastAsia="SimSun"/>
          <w:i/>
          <w:u w:val="single"/>
        </w:rPr>
        <w:fldChar w:fldCharType="separate"/>
      </w:r>
      <w:r w:rsidR="00A67ED2" w:rsidRPr="00A67ED2">
        <w:rPr>
          <w:rFonts w:eastAsia="SimSun"/>
          <w:noProof/>
        </w:rPr>
        <w:t>[139]</w:t>
      </w:r>
      <w:r w:rsidRPr="00470D3D">
        <w:rPr>
          <w:rFonts w:eastAsia="SimSun"/>
          <w:i/>
          <w:u w:val="single"/>
        </w:rPr>
        <w:fldChar w:fldCharType="end"/>
      </w:r>
      <w:r>
        <w:rPr>
          <w:rFonts w:eastAsia="SimSun"/>
          <w:i/>
          <w:u w:val="single"/>
        </w:rPr>
        <w:t>:</w:t>
      </w:r>
    </w:p>
    <w:p w14:paraId="4857A0E2" w14:textId="77777777" w:rsidR="00304132" w:rsidRPr="00470D3D" w:rsidRDefault="00304132" w:rsidP="008C1767">
      <w:pPr>
        <w:widowControl/>
        <w:numPr>
          <w:ilvl w:val="0"/>
          <w:numId w:val="80"/>
        </w:numPr>
        <w:overflowPunct w:val="0"/>
        <w:textAlignment w:val="baseline"/>
        <w:rPr>
          <w:rFonts w:eastAsia="SimSun"/>
        </w:rPr>
      </w:pPr>
      <w:r w:rsidRPr="00470D3D">
        <w:rPr>
          <w:rFonts w:eastAsia="SimSun"/>
        </w:rPr>
        <w:t>Общеклинический анализ крови с лейкоцитарной формулой</w:t>
      </w:r>
      <w:r w:rsidRPr="00116C40">
        <w:rPr>
          <w:rStyle w:val="af9"/>
          <w:rFonts w:eastAsia="SimSun"/>
        </w:rPr>
        <w:footnoteReference w:id="4"/>
      </w:r>
      <w:r w:rsidRPr="00470D3D">
        <w:rPr>
          <w:rFonts w:eastAsia="SimSun"/>
        </w:rPr>
        <w:t>.</w:t>
      </w:r>
    </w:p>
    <w:p w14:paraId="64C3D6F7" w14:textId="77777777" w:rsidR="00304132" w:rsidRPr="00470D3D" w:rsidRDefault="00304132" w:rsidP="008C1767">
      <w:pPr>
        <w:widowControl/>
        <w:numPr>
          <w:ilvl w:val="0"/>
          <w:numId w:val="80"/>
        </w:numPr>
        <w:overflowPunct w:val="0"/>
        <w:textAlignment w:val="baseline"/>
        <w:rPr>
          <w:rFonts w:eastAsia="SimSun"/>
        </w:rPr>
      </w:pPr>
      <w:r w:rsidRPr="00470D3D">
        <w:rPr>
          <w:rFonts w:eastAsia="SimSun"/>
        </w:rPr>
        <w:t>Биохимический анализ крови (общий белок, альбумин, глобулин, общий холестерин, мочевая кислота, креатинин, мочевина, билирубин и его фракции, АЛТ, АСТ, щелочная фосфатаза, ГГТП, ЛДГ, ферритин)</w:t>
      </w:r>
      <w:r w:rsidRPr="00116C40">
        <w:rPr>
          <w:rStyle w:val="af9"/>
          <w:rFonts w:eastAsia="SimSun"/>
        </w:rPr>
        <w:footnoteReference w:id="5"/>
      </w:r>
      <w:r w:rsidRPr="00470D3D">
        <w:rPr>
          <w:rFonts w:eastAsia="SimSun"/>
        </w:rPr>
        <w:t>.</w:t>
      </w:r>
    </w:p>
    <w:p w14:paraId="481AABE7" w14:textId="77777777" w:rsidR="00304132" w:rsidRPr="00470D3D" w:rsidRDefault="00304132" w:rsidP="008C1767">
      <w:pPr>
        <w:widowControl/>
        <w:numPr>
          <w:ilvl w:val="0"/>
          <w:numId w:val="80"/>
        </w:numPr>
        <w:overflowPunct w:val="0"/>
        <w:textAlignment w:val="baseline"/>
        <w:rPr>
          <w:rFonts w:eastAsia="SimSun"/>
        </w:rPr>
      </w:pPr>
      <w:r w:rsidRPr="00470D3D">
        <w:rPr>
          <w:rFonts w:eastAsia="SimSun"/>
        </w:rPr>
        <w:t>Коагулограмма (АЧТВ, фибриноген, ПТИ по Квику, МНО)</w:t>
      </w:r>
      <w:r w:rsidRPr="00116C40">
        <w:rPr>
          <w:rStyle w:val="af9"/>
          <w:rFonts w:eastAsia="SimSun"/>
        </w:rPr>
        <w:footnoteReference w:id="6"/>
      </w:r>
      <w:r w:rsidRPr="00470D3D">
        <w:rPr>
          <w:rFonts w:eastAsia="SimSun"/>
        </w:rPr>
        <w:t>.</w:t>
      </w:r>
    </w:p>
    <w:p w14:paraId="4241A585" w14:textId="77777777" w:rsidR="00304132" w:rsidRPr="00C07B2E" w:rsidRDefault="00304132" w:rsidP="008C1767">
      <w:pPr>
        <w:widowControl/>
        <w:numPr>
          <w:ilvl w:val="0"/>
          <w:numId w:val="80"/>
        </w:numPr>
        <w:overflowPunct w:val="0"/>
        <w:textAlignment w:val="baseline"/>
        <w:rPr>
          <w:rFonts w:eastAsia="SimSun"/>
        </w:rPr>
      </w:pPr>
      <w:r w:rsidRPr="00C07B2E">
        <w:rPr>
          <w:rFonts w:eastAsia="SimSun"/>
        </w:rPr>
        <w:t>Глюкоза венозной крови натощак</w:t>
      </w:r>
      <w:r w:rsidRPr="00116C40">
        <w:rPr>
          <w:rStyle w:val="af9"/>
          <w:rFonts w:eastAsia="SimSun"/>
        </w:rPr>
        <w:footnoteReference w:id="7"/>
      </w:r>
      <w:r w:rsidRPr="00C07B2E">
        <w:rPr>
          <w:rFonts w:eastAsia="SimSun"/>
        </w:rPr>
        <w:t>.</w:t>
      </w:r>
    </w:p>
    <w:p w14:paraId="6B77A8AB" w14:textId="77777777" w:rsidR="00304132" w:rsidRPr="00470D3D" w:rsidRDefault="00304132" w:rsidP="008C1767">
      <w:pPr>
        <w:widowControl/>
        <w:numPr>
          <w:ilvl w:val="0"/>
          <w:numId w:val="80"/>
        </w:numPr>
        <w:overflowPunct w:val="0"/>
        <w:textAlignment w:val="baseline"/>
        <w:rPr>
          <w:rFonts w:eastAsia="SimSun"/>
        </w:rPr>
      </w:pPr>
      <w:r w:rsidRPr="00470D3D">
        <w:rPr>
          <w:rFonts w:eastAsia="SimSun"/>
        </w:rPr>
        <w:t xml:space="preserve">Серологические исследования гемотрансмиссивных инфекций (антитела к ВИЧ, </w:t>
      </w:r>
      <w:r w:rsidRPr="00C07B2E">
        <w:rPr>
          <w:rFonts w:eastAsia="SimSun"/>
        </w:rPr>
        <w:t>HB</w:t>
      </w:r>
      <w:r w:rsidRPr="00C07B2E">
        <w:rPr>
          <w:rFonts w:eastAsia="SimSun"/>
          <w:lang w:val="en-US"/>
        </w:rPr>
        <w:t>sAg</w:t>
      </w:r>
      <w:r w:rsidRPr="00470D3D">
        <w:rPr>
          <w:rFonts w:eastAsia="SimSun"/>
        </w:rPr>
        <w:t xml:space="preserve"> качественно, антитела к </w:t>
      </w:r>
      <w:r w:rsidRPr="00C07B2E">
        <w:rPr>
          <w:rFonts w:eastAsia="SimSun"/>
        </w:rPr>
        <w:t>HB</w:t>
      </w:r>
      <w:r w:rsidRPr="00C07B2E">
        <w:rPr>
          <w:rFonts w:eastAsia="SimSun"/>
          <w:lang w:val="en-US"/>
        </w:rPr>
        <w:t>sAg</w:t>
      </w:r>
      <w:r w:rsidRPr="00470D3D">
        <w:rPr>
          <w:rFonts w:eastAsia="SimSun"/>
        </w:rPr>
        <w:t xml:space="preserve"> качественно и количественно, анти-НВсо</w:t>
      </w:r>
      <w:r w:rsidRPr="00C07B2E">
        <w:rPr>
          <w:rFonts w:eastAsia="SimSun"/>
        </w:rPr>
        <w:t>r</w:t>
      </w:r>
      <w:r w:rsidRPr="00470D3D">
        <w:rPr>
          <w:rFonts w:eastAsia="SimSun"/>
        </w:rPr>
        <w:t xml:space="preserve"> качественно, </w:t>
      </w:r>
      <w:r w:rsidRPr="00C07B2E">
        <w:rPr>
          <w:rFonts w:eastAsia="SimSun"/>
          <w:lang w:val="en-US"/>
        </w:rPr>
        <w:t>HBeAg</w:t>
      </w:r>
      <w:r w:rsidRPr="00470D3D">
        <w:rPr>
          <w:rFonts w:eastAsia="SimSun"/>
        </w:rPr>
        <w:t xml:space="preserve"> качественно, анти-</w:t>
      </w:r>
      <w:r w:rsidRPr="00C07B2E">
        <w:rPr>
          <w:rFonts w:eastAsia="SimSun"/>
          <w:lang w:val="en-US"/>
        </w:rPr>
        <w:t>HBeAg</w:t>
      </w:r>
      <w:r w:rsidRPr="00470D3D">
        <w:rPr>
          <w:rFonts w:eastAsia="SimSun"/>
        </w:rPr>
        <w:t>, на сифилис)</w:t>
      </w:r>
      <w:r w:rsidRPr="00116C40">
        <w:rPr>
          <w:rStyle w:val="af9"/>
          <w:rFonts w:eastAsia="SimSun"/>
        </w:rPr>
        <w:footnoteReference w:id="8"/>
      </w:r>
      <w:r w:rsidRPr="00470D3D">
        <w:rPr>
          <w:rFonts w:eastAsia="SimSun"/>
        </w:rPr>
        <w:t>.</w:t>
      </w:r>
    </w:p>
    <w:p w14:paraId="688EA1A7" w14:textId="77777777" w:rsidR="00304132" w:rsidRPr="00470D3D" w:rsidRDefault="00304132" w:rsidP="008C1767">
      <w:pPr>
        <w:widowControl/>
        <w:numPr>
          <w:ilvl w:val="0"/>
          <w:numId w:val="80"/>
        </w:numPr>
        <w:overflowPunct w:val="0"/>
        <w:textAlignment w:val="baseline"/>
        <w:rPr>
          <w:rFonts w:eastAsia="SimSun"/>
        </w:rPr>
      </w:pPr>
      <w:r w:rsidRPr="00470D3D">
        <w:rPr>
          <w:rFonts w:eastAsia="SimSun"/>
        </w:rPr>
        <w:t>Серологические исследования герпесвирусов (</w:t>
      </w:r>
      <w:r w:rsidRPr="00C07B2E">
        <w:rPr>
          <w:rFonts w:eastAsia="SimSun"/>
          <w:lang w:val="en-US"/>
        </w:rPr>
        <w:t>IgG</w:t>
      </w:r>
      <w:r w:rsidRPr="00470D3D">
        <w:rPr>
          <w:rFonts w:eastAsia="SimSun"/>
        </w:rPr>
        <w:t xml:space="preserve"> и </w:t>
      </w:r>
      <w:r w:rsidRPr="00C07B2E">
        <w:rPr>
          <w:rFonts w:eastAsia="SimSun"/>
          <w:lang w:val="en-US"/>
        </w:rPr>
        <w:t>IgM</w:t>
      </w:r>
      <w:r w:rsidRPr="00470D3D">
        <w:rPr>
          <w:rFonts w:eastAsia="SimSun"/>
        </w:rPr>
        <w:t xml:space="preserve"> к </w:t>
      </w:r>
      <w:r w:rsidRPr="00C07B2E">
        <w:rPr>
          <w:rFonts w:eastAsia="SimSun"/>
          <w:lang w:val="en-US"/>
        </w:rPr>
        <w:t>CMV</w:t>
      </w:r>
      <w:r w:rsidRPr="00470D3D">
        <w:rPr>
          <w:rFonts w:eastAsia="SimSun"/>
        </w:rPr>
        <w:t>, вирусу Эпштейна—Барр, герпесу простого герпеса и герпеса 6 типа) и токсоплазме (при возможности)</w:t>
      </w:r>
      <w:r w:rsidRPr="00116C40">
        <w:rPr>
          <w:rStyle w:val="af9"/>
          <w:rFonts w:eastAsia="SimSun"/>
        </w:rPr>
        <w:footnoteReference w:id="9"/>
      </w:r>
      <w:r w:rsidRPr="00470D3D">
        <w:rPr>
          <w:rFonts w:eastAsia="SimSun"/>
        </w:rPr>
        <w:t xml:space="preserve">. </w:t>
      </w:r>
    </w:p>
    <w:p w14:paraId="42DC757C" w14:textId="77777777" w:rsidR="00304132" w:rsidRPr="00C07B2E" w:rsidRDefault="00304132" w:rsidP="008C1767">
      <w:pPr>
        <w:widowControl/>
        <w:numPr>
          <w:ilvl w:val="0"/>
          <w:numId w:val="80"/>
        </w:numPr>
        <w:overflowPunct w:val="0"/>
        <w:textAlignment w:val="baseline"/>
        <w:rPr>
          <w:rFonts w:eastAsia="SimSun"/>
        </w:rPr>
      </w:pPr>
      <w:r w:rsidRPr="00470D3D">
        <w:rPr>
          <w:rFonts w:eastAsia="SimSun"/>
        </w:rPr>
        <w:t xml:space="preserve">Определение ДНК вируса гепатита В и РНК вируса гепатита С с помощью </w:t>
      </w:r>
      <w:r w:rsidRPr="00C07B2E">
        <w:rPr>
          <w:rFonts w:eastAsia="SimSun"/>
        </w:rPr>
        <w:t>ПЦР (качественно, в случае выявления — количественно)</w:t>
      </w:r>
      <w:r w:rsidRPr="00116C40">
        <w:rPr>
          <w:rStyle w:val="af9"/>
          <w:rFonts w:eastAsia="SimSun"/>
        </w:rPr>
        <w:footnoteReference w:id="10"/>
      </w:r>
      <w:r w:rsidRPr="00C07B2E">
        <w:rPr>
          <w:rFonts w:eastAsia="SimSun"/>
        </w:rPr>
        <w:t>.</w:t>
      </w:r>
    </w:p>
    <w:p w14:paraId="1E93EC84" w14:textId="77777777" w:rsidR="00304132" w:rsidRPr="00470D3D" w:rsidRDefault="00304132" w:rsidP="008C1767">
      <w:pPr>
        <w:widowControl/>
        <w:numPr>
          <w:ilvl w:val="0"/>
          <w:numId w:val="80"/>
        </w:numPr>
        <w:overflowPunct w:val="0"/>
        <w:textAlignment w:val="baseline"/>
        <w:rPr>
          <w:rFonts w:eastAsia="SimSun"/>
        </w:rPr>
      </w:pPr>
      <w:r w:rsidRPr="00470D3D">
        <w:rPr>
          <w:rFonts w:eastAsia="SimSun"/>
        </w:rPr>
        <w:t>Исследования по определению статуса основного заболевания</w:t>
      </w:r>
      <w:r w:rsidRPr="00116C40">
        <w:rPr>
          <w:rStyle w:val="af9"/>
          <w:rFonts w:eastAsia="SimSun"/>
        </w:rPr>
        <w:footnoteReference w:id="11"/>
      </w:r>
      <w:r w:rsidRPr="00470D3D">
        <w:rPr>
          <w:rFonts w:eastAsia="SimSun"/>
        </w:rPr>
        <w:t>. Для пациентов с острыми лейкозами обязательна люмбальная пункция с интратекальным введением химиопрепаратов.</w:t>
      </w:r>
    </w:p>
    <w:p w14:paraId="2BE54EF5" w14:textId="77777777" w:rsidR="00304132" w:rsidRPr="00470D3D" w:rsidRDefault="00304132" w:rsidP="008C1767">
      <w:pPr>
        <w:widowControl/>
        <w:numPr>
          <w:ilvl w:val="0"/>
          <w:numId w:val="80"/>
        </w:numPr>
        <w:overflowPunct w:val="0"/>
        <w:textAlignment w:val="baseline"/>
        <w:rPr>
          <w:rFonts w:eastAsia="SimSun"/>
        </w:rPr>
      </w:pPr>
      <w:r w:rsidRPr="00470D3D">
        <w:rPr>
          <w:rFonts w:eastAsia="SimSun"/>
        </w:rPr>
        <w:t>КТ органов грудной клетки (с записью на электронный носитель)</w:t>
      </w:r>
      <w:r w:rsidRPr="00116C40">
        <w:rPr>
          <w:rStyle w:val="af9"/>
          <w:rFonts w:eastAsia="SimSun"/>
        </w:rPr>
        <w:footnoteReference w:id="12"/>
      </w:r>
      <w:r w:rsidRPr="00470D3D">
        <w:rPr>
          <w:rFonts w:eastAsia="SimSun"/>
        </w:rPr>
        <w:t xml:space="preserve">.КТ других областей при необходимости </w:t>
      </w:r>
    </w:p>
    <w:p w14:paraId="1712E007" w14:textId="77777777" w:rsidR="00304132" w:rsidRPr="00470D3D" w:rsidRDefault="00304132" w:rsidP="008C1767">
      <w:pPr>
        <w:widowControl/>
        <w:numPr>
          <w:ilvl w:val="0"/>
          <w:numId w:val="80"/>
        </w:numPr>
        <w:overflowPunct w:val="0"/>
        <w:textAlignment w:val="baseline"/>
        <w:rPr>
          <w:rFonts w:eastAsia="SimSun"/>
        </w:rPr>
      </w:pPr>
      <w:r w:rsidRPr="00470D3D">
        <w:rPr>
          <w:rFonts w:eastAsia="SimSun"/>
        </w:rPr>
        <w:lastRenderedPageBreak/>
        <w:t>ПЭТ-КТ (при необходимости – в соответствии с клиническими рекомендациями (протоколами лечения) )</w:t>
      </w:r>
      <w:r w:rsidRPr="00116C40">
        <w:rPr>
          <w:rStyle w:val="af9"/>
          <w:rFonts w:eastAsia="SimSun"/>
        </w:rPr>
        <w:footnoteReference w:id="13"/>
      </w:r>
      <w:r w:rsidRPr="00470D3D">
        <w:rPr>
          <w:rFonts w:eastAsia="SimSun"/>
        </w:rPr>
        <w:t>.</w:t>
      </w:r>
    </w:p>
    <w:p w14:paraId="4A2929E9" w14:textId="77777777" w:rsidR="00304132" w:rsidRPr="00470D3D" w:rsidRDefault="00304132" w:rsidP="008C1767">
      <w:pPr>
        <w:widowControl/>
        <w:numPr>
          <w:ilvl w:val="0"/>
          <w:numId w:val="80"/>
        </w:numPr>
        <w:overflowPunct w:val="0"/>
        <w:textAlignment w:val="baseline"/>
        <w:rPr>
          <w:rFonts w:eastAsia="SimSun"/>
        </w:rPr>
      </w:pPr>
      <w:r w:rsidRPr="00470D3D">
        <w:rPr>
          <w:rFonts w:eastAsia="SimSun"/>
        </w:rPr>
        <w:t>МРТ головного мозга при наличии показаний (с записью на электронный носитель)</w:t>
      </w:r>
      <w:r w:rsidRPr="00116C40">
        <w:rPr>
          <w:rStyle w:val="af9"/>
          <w:rFonts w:eastAsia="SimSun"/>
        </w:rPr>
        <w:footnoteReference w:id="14"/>
      </w:r>
      <w:r w:rsidRPr="00470D3D">
        <w:rPr>
          <w:rFonts w:eastAsia="SimSun"/>
        </w:rPr>
        <w:t xml:space="preserve">. </w:t>
      </w:r>
    </w:p>
    <w:p w14:paraId="2839A06B" w14:textId="77777777" w:rsidR="00304132" w:rsidRPr="00470D3D" w:rsidRDefault="00304132" w:rsidP="008C1767">
      <w:pPr>
        <w:widowControl/>
        <w:numPr>
          <w:ilvl w:val="0"/>
          <w:numId w:val="80"/>
        </w:numPr>
        <w:overflowPunct w:val="0"/>
        <w:textAlignment w:val="baseline"/>
        <w:rPr>
          <w:rFonts w:eastAsia="SimSun"/>
        </w:rPr>
      </w:pPr>
      <w:r w:rsidRPr="00470D3D">
        <w:rPr>
          <w:rFonts w:eastAsia="SimSun"/>
        </w:rPr>
        <w:t>Рентген или КТ пазух носа.</w:t>
      </w:r>
    </w:p>
    <w:p w14:paraId="45CBFB5E" w14:textId="77777777" w:rsidR="00304132" w:rsidRPr="00C07B2E" w:rsidRDefault="00304132" w:rsidP="008C1767">
      <w:pPr>
        <w:widowControl/>
        <w:numPr>
          <w:ilvl w:val="0"/>
          <w:numId w:val="80"/>
        </w:numPr>
        <w:overflowPunct w:val="0"/>
        <w:textAlignment w:val="baseline"/>
        <w:rPr>
          <w:rFonts w:eastAsia="SimSun"/>
        </w:rPr>
      </w:pPr>
      <w:r w:rsidRPr="00C07B2E">
        <w:rPr>
          <w:rFonts w:eastAsia="SimSun"/>
        </w:rPr>
        <w:t>УЗИ печени, селезенки, почек</w:t>
      </w:r>
      <w:r w:rsidRPr="00116C40">
        <w:rPr>
          <w:rStyle w:val="af9"/>
          <w:rFonts w:eastAsia="SimSun"/>
        </w:rPr>
        <w:footnoteReference w:id="15"/>
      </w:r>
      <w:r w:rsidRPr="00C07B2E">
        <w:rPr>
          <w:rFonts w:eastAsia="SimSun"/>
        </w:rPr>
        <w:t xml:space="preserve">. </w:t>
      </w:r>
    </w:p>
    <w:p w14:paraId="3D771E77" w14:textId="77777777" w:rsidR="00304132" w:rsidRPr="00C07B2E" w:rsidRDefault="00304132" w:rsidP="008C1767">
      <w:pPr>
        <w:widowControl/>
        <w:numPr>
          <w:ilvl w:val="0"/>
          <w:numId w:val="80"/>
        </w:numPr>
        <w:overflowPunct w:val="0"/>
        <w:textAlignment w:val="baseline"/>
        <w:rPr>
          <w:rFonts w:eastAsia="SimSun"/>
        </w:rPr>
      </w:pPr>
      <w:r w:rsidRPr="00C07B2E">
        <w:rPr>
          <w:rFonts w:eastAsia="SimSun"/>
        </w:rPr>
        <w:t>ЭКГ</w:t>
      </w:r>
      <w:r w:rsidRPr="00116C40">
        <w:rPr>
          <w:rStyle w:val="af9"/>
          <w:rFonts w:eastAsia="SimSun"/>
        </w:rPr>
        <w:footnoteReference w:id="16"/>
      </w:r>
      <w:r w:rsidRPr="00C07B2E">
        <w:rPr>
          <w:rFonts w:eastAsia="SimSun"/>
        </w:rPr>
        <w:t>.</w:t>
      </w:r>
    </w:p>
    <w:p w14:paraId="1DD8827D" w14:textId="77777777" w:rsidR="00304132" w:rsidRPr="00C07B2E" w:rsidRDefault="00304132" w:rsidP="008C1767">
      <w:pPr>
        <w:widowControl/>
        <w:numPr>
          <w:ilvl w:val="0"/>
          <w:numId w:val="80"/>
        </w:numPr>
        <w:overflowPunct w:val="0"/>
        <w:textAlignment w:val="baseline"/>
        <w:rPr>
          <w:rFonts w:eastAsia="SimSun"/>
        </w:rPr>
      </w:pPr>
      <w:r>
        <w:rPr>
          <w:rFonts w:eastAsia="SimSun"/>
        </w:rPr>
        <w:t>Т</w:t>
      </w:r>
      <w:r w:rsidRPr="00C07B2E">
        <w:rPr>
          <w:rFonts w:eastAsia="SimSun"/>
        </w:rPr>
        <w:t>рансторакальная ЭхоКГ</w:t>
      </w:r>
      <w:r w:rsidRPr="00116C40">
        <w:rPr>
          <w:rStyle w:val="af9"/>
          <w:rFonts w:eastAsia="SimSun"/>
        </w:rPr>
        <w:footnoteReference w:id="17"/>
      </w:r>
      <w:r w:rsidRPr="00C07B2E">
        <w:rPr>
          <w:rFonts w:eastAsia="SimSun"/>
        </w:rPr>
        <w:t>.</w:t>
      </w:r>
    </w:p>
    <w:p w14:paraId="1612C549" w14:textId="77777777" w:rsidR="00304132" w:rsidRPr="00470D3D" w:rsidRDefault="00304132" w:rsidP="008C1767">
      <w:pPr>
        <w:widowControl/>
        <w:numPr>
          <w:ilvl w:val="0"/>
          <w:numId w:val="80"/>
        </w:numPr>
        <w:overflowPunct w:val="0"/>
        <w:textAlignment w:val="baseline"/>
        <w:rPr>
          <w:rFonts w:eastAsia="SimSun"/>
        </w:rPr>
      </w:pPr>
      <w:r w:rsidRPr="00470D3D">
        <w:rPr>
          <w:rFonts w:eastAsia="SimSun"/>
        </w:rPr>
        <w:t>Исследование функции внешнего дыхания с оценкой ОФВ1 и/или скорректированной диффузионной способности легких (</w:t>
      </w:r>
      <w:r w:rsidRPr="00C07B2E">
        <w:rPr>
          <w:rFonts w:eastAsia="SimSun"/>
        </w:rPr>
        <w:t>DLCO</w:t>
      </w:r>
      <w:r w:rsidRPr="00470D3D">
        <w:rPr>
          <w:rFonts w:eastAsia="SimSun"/>
        </w:rPr>
        <w:t>) (при возможности)</w:t>
      </w:r>
    </w:p>
    <w:p w14:paraId="69274D1F" w14:textId="77777777" w:rsidR="00304132" w:rsidRPr="00470D3D" w:rsidRDefault="00304132" w:rsidP="008C1767">
      <w:pPr>
        <w:widowControl/>
        <w:numPr>
          <w:ilvl w:val="0"/>
          <w:numId w:val="80"/>
        </w:numPr>
        <w:overflowPunct w:val="0"/>
        <w:textAlignment w:val="baseline"/>
        <w:rPr>
          <w:rFonts w:eastAsia="SimSun"/>
        </w:rPr>
      </w:pPr>
      <w:r w:rsidRPr="00470D3D">
        <w:rPr>
          <w:rFonts w:eastAsia="SimSun"/>
        </w:rPr>
        <w:t>ФГДС при наличии в анамнезе язвенных поражений желудка или ДПК</w:t>
      </w:r>
    </w:p>
    <w:p w14:paraId="23C682AB" w14:textId="77777777" w:rsidR="00304132" w:rsidRPr="00C07B2E" w:rsidRDefault="00304132" w:rsidP="008C1767">
      <w:pPr>
        <w:widowControl/>
        <w:numPr>
          <w:ilvl w:val="0"/>
          <w:numId w:val="80"/>
        </w:numPr>
        <w:overflowPunct w:val="0"/>
        <w:textAlignment w:val="baseline"/>
        <w:rPr>
          <w:rFonts w:eastAsia="SimSun"/>
        </w:rPr>
      </w:pPr>
      <w:r w:rsidRPr="00C07B2E">
        <w:rPr>
          <w:rFonts w:eastAsia="SimSun"/>
        </w:rPr>
        <w:t>ЭЭГ при необходимости</w:t>
      </w:r>
    </w:p>
    <w:p w14:paraId="118F9CE3" w14:textId="77777777" w:rsidR="00304132" w:rsidRPr="00470D3D" w:rsidRDefault="00304132" w:rsidP="008C1767">
      <w:pPr>
        <w:widowControl/>
        <w:numPr>
          <w:ilvl w:val="0"/>
          <w:numId w:val="80"/>
        </w:numPr>
        <w:overflowPunct w:val="0"/>
        <w:textAlignment w:val="baseline"/>
        <w:rPr>
          <w:rFonts w:eastAsia="SimSun"/>
        </w:rPr>
      </w:pPr>
      <w:r w:rsidRPr="00470D3D">
        <w:rPr>
          <w:rFonts w:eastAsia="SimSun"/>
        </w:rPr>
        <w:t>Осмотр специалистов: стоматолог (обязательно), гинеколог (обязательно для женщин), оториноларинголог (по показаниям)</w:t>
      </w:r>
      <w:r w:rsidRPr="00116C40">
        <w:rPr>
          <w:rStyle w:val="af9"/>
          <w:rFonts w:eastAsia="SimSun"/>
        </w:rPr>
        <w:footnoteReference w:id="18"/>
      </w:r>
      <w:r w:rsidRPr="00470D3D">
        <w:rPr>
          <w:rFonts w:eastAsia="SimSun"/>
        </w:rPr>
        <w:t xml:space="preserve">. </w:t>
      </w:r>
    </w:p>
    <w:p w14:paraId="4D825DDF" w14:textId="77777777" w:rsidR="00304132" w:rsidRPr="00470D3D" w:rsidRDefault="00304132" w:rsidP="008C1767">
      <w:pPr>
        <w:widowControl/>
        <w:numPr>
          <w:ilvl w:val="0"/>
          <w:numId w:val="80"/>
        </w:numPr>
        <w:overflowPunct w:val="0"/>
        <w:textAlignment w:val="baseline"/>
        <w:rPr>
          <w:rFonts w:eastAsia="SimSun"/>
        </w:rPr>
      </w:pPr>
      <w:r w:rsidRPr="00470D3D">
        <w:t>Определение н</w:t>
      </w:r>
      <w:r w:rsidRPr="00470D3D">
        <w:rPr>
          <w:rFonts w:eastAsia="SimSun"/>
        </w:rPr>
        <w:t>аличия донорспецифичных анти-</w:t>
      </w:r>
      <w:r w:rsidRPr="00C07B2E">
        <w:rPr>
          <w:rFonts w:eastAsia="SimSun"/>
        </w:rPr>
        <w:t>HLA</w:t>
      </w:r>
      <w:r w:rsidRPr="00470D3D">
        <w:rPr>
          <w:rFonts w:eastAsia="SimSun"/>
        </w:rPr>
        <w:t>-антител при неродственной частично совместимой или гаплоидентичной ТГСК (при возможности)</w:t>
      </w:r>
    </w:p>
    <w:p w14:paraId="1D5810B3" w14:textId="77777777" w:rsidR="00304132" w:rsidRDefault="00304132" w:rsidP="00304132">
      <w:pPr>
        <w:rPr>
          <w:rFonts w:eastAsia="SimSun"/>
          <w:i/>
          <w:u w:val="single"/>
        </w:rPr>
      </w:pPr>
    </w:p>
    <w:p w14:paraId="568570F4" w14:textId="05E1803F" w:rsidR="00304132" w:rsidRPr="00EE51B1" w:rsidRDefault="00304132" w:rsidP="00304132">
      <w:pPr>
        <w:rPr>
          <w:rFonts w:eastAsia="SimSun"/>
          <w:i/>
          <w:u w:val="single"/>
        </w:rPr>
      </w:pPr>
      <w:r w:rsidRPr="00EE51B1">
        <w:rPr>
          <w:rFonts w:eastAsia="SimSun"/>
          <w:i/>
          <w:u w:val="single"/>
        </w:rPr>
        <w:t>Алгоритм принятия решения о выполнении алло-ТГСК</w:t>
      </w:r>
      <w:bookmarkEnd w:id="264"/>
      <w:r w:rsidRPr="00EE51B1">
        <w:rPr>
          <w:rFonts w:eastAsia="SimSun"/>
          <w:i/>
          <w:u w:val="single"/>
        </w:rPr>
        <w:t xml:space="preserve"> </w:t>
      </w:r>
      <w:r w:rsidRPr="00EE51B1">
        <w:rPr>
          <w:rFonts w:eastAsia="SimSun"/>
          <w:i/>
          <w:u w:val="single"/>
        </w:rPr>
        <w:fldChar w:fldCharType="begin" w:fldLock="1"/>
      </w:r>
      <w:r w:rsidR="00A67ED2">
        <w:rPr>
          <w:rFonts w:eastAsia="SimSun"/>
          <w:i/>
          <w:u w:val="single"/>
        </w:rPr>
        <w:instrText>ADDIN CSL_CITATION {"citationItems":[{"id":"ITEM-1","itemData":{"id":"ITEM-1","issued":{"date-parts":[["2020"]]},"number-of-pages":"320","publisher":"М.: Практика","title":"Протоколы трансплантации аллогенных гепомоэтических стволовых клеток. Под ред. В.Г. Савченко","type":"book"},"uris":["http://www.mendeley.com/documents/?uuid=4926d981-6699-4015-bdc4-427c195be4de"]}],"mendeley":{"formattedCitation":"[139]","plainTextFormattedCitation":"[139]","previouslyFormattedCitation":"[112]"},"properties":{"noteIndex":0},"schema":"https://github.com/citation-style-language/schema/raw/master/csl-citation.json"}</w:instrText>
      </w:r>
      <w:r w:rsidRPr="00EE51B1">
        <w:rPr>
          <w:rFonts w:eastAsia="SimSun"/>
          <w:i/>
          <w:u w:val="single"/>
        </w:rPr>
        <w:fldChar w:fldCharType="separate"/>
      </w:r>
      <w:r w:rsidR="00A67ED2" w:rsidRPr="00A67ED2">
        <w:rPr>
          <w:rFonts w:eastAsia="SimSun"/>
          <w:noProof/>
        </w:rPr>
        <w:t>[139]</w:t>
      </w:r>
      <w:r w:rsidRPr="00EE51B1">
        <w:rPr>
          <w:rFonts w:eastAsia="SimSun"/>
          <w:i/>
          <w:u w:val="single"/>
        </w:rPr>
        <w:fldChar w:fldCharType="end"/>
      </w:r>
      <w:r w:rsidRPr="00EE51B1">
        <w:rPr>
          <w:rFonts w:eastAsia="SimSun"/>
          <w:i/>
          <w:u w:val="single"/>
        </w:rPr>
        <w:t xml:space="preserve">: </w:t>
      </w:r>
    </w:p>
    <w:p w14:paraId="584B16E2" w14:textId="77777777" w:rsidR="00304132" w:rsidRPr="00C07B2E" w:rsidRDefault="00304132" w:rsidP="00304132">
      <w:pPr>
        <w:rPr>
          <w:rFonts w:eastAsia="SimSun"/>
        </w:rPr>
      </w:pPr>
      <w:r w:rsidRPr="00C07B2E">
        <w:rPr>
          <w:rFonts w:eastAsia="SimSun"/>
        </w:rPr>
        <w:t>Медицинская организация, в которой проводятся наблюдение и лечение пациента, выявившая у пациента медицинские показания к проведению трансплантации костного мозга или гемопоэтических стволовых клеток, для рассмотрения вопроса о необходимости трансплантации костного мозга и гемопоэтических стволовых клеток осуществляет направление пациента в медицинскую организацию, осуществляющую трансплантацию, либо организует проведение дистанционного консилиума с применением телемедицинских технологий в соответствии с порядком организации оказания медицинской помощи с применением телемедицинских технологий.</w:t>
      </w:r>
    </w:p>
    <w:p w14:paraId="53B9B890" w14:textId="77777777" w:rsidR="00304132" w:rsidRPr="00C07B2E" w:rsidRDefault="00304132" w:rsidP="00304132">
      <w:pPr>
        <w:rPr>
          <w:rFonts w:eastAsia="SimSun"/>
        </w:rPr>
      </w:pPr>
      <w:r w:rsidRPr="00C07B2E">
        <w:rPr>
          <w:rFonts w:eastAsia="SimSun"/>
        </w:rPr>
        <w:lastRenderedPageBreak/>
        <w:t>Медицинское заключение о необходимости трансплантации костного мозга или гемопоэтических стволовых клеток (далее - заключение) потенциальному кандидату на проведение алло-ТГСК (реципиенту) выдается на бумажном носителе или в форме электронного документа консилиумом врачей (включая дистанционный консилиум, в случае невозможности проведения очной консультации) организацией, осуществляющей трансплантацию, в соответствии с Инструкцией о выдаче медицинского заключения о необходимости трансплантации органов и (или) тканей человека на основании консультации потенциального реципиента, результатов медицинского обследования, о чем вносится запись в медицинскую документацию пациента.</w:t>
      </w:r>
    </w:p>
    <w:p w14:paraId="16EA4BB3" w14:textId="77777777" w:rsidR="00304132" w:rsidRDefault="00304132" w:rsidP="00304132">
      <w:pPr>
        <w:rPr>
          <w:rFonts w:eastAsia="SimSun"/>
        </w:rPr>
      </w:pPr>
      <w:bookmarkStart w:id="266" w:name="_Toc44401111"/>
    </w:p>
    <w:p w14:paraId="3566CE45" w14:textId="1ABD8DC0" w:rsidR="00304132" w:rsidRPr="00EE51B1" w:rsidRDefault="00304132" w:rsidP="00304132">
      <w:pPr>
        <w:rPr>
          <w:rFonts w:eastAsia="SimSun"/>
          <w:i/>
          <w:u w:val="single"/>
        </w:rPr>
      </w:pPr>
      <w:r w:rsidRPr="00EE51B1">
        <w:rPr>
          <w:rFonts w:eastAsia="SimSun"/>
          <w:i/>
          <w:u w:val="single"/>
        </w:rPr>
        <w:t>Этапы принятия решений о проведении алло-ТГСК</w:t>
      </w:r>
      <w:bookmarkEnd w:id="266"/>
      <w:r w:rsidRPr="00EE51B1">
        <w:rPr>
          <w:rFonts w:eastAsia="SimSun"/>
          <w:i/>
          <w:u w:val="single"/>
        </w:rPr>
        <w:t xml:space="preserve"> </w:t>
      </w:r>
      <w:r w:rsidRPr="00EE51B1">
        <w:rPr>
          <w:rFonts w:eastAsia="SimSun"/>
          <w:i/>
          <w:u w:val="single"/>
        </w:rPr>
        <w:fldChar w:fldCharType="begin" w:fldLock="1"/>
      </w:r>
      <w:r w:rsidR="00A67ED2">
        <w:rPr>
          <w:rFonts w:eastAsia="SimSun"/>
          <w:i/>
          <w:u w:val="single"/>
        </w:rPr>
        <w:instrText>ADDIN CSL_CITATION {"citationItems":[{"id":"ITEM-1","itemData":{"id":"ITEM-1","issued":{"date-parts":[["2020"]]},"number-of-pages":"320","publisher":"М.: Практика","title":"Протоколы трансплантации аллогенных гепомоэтических стволовых клеток. Под ред. В.Г. Савченко","type":"book"},"uris":["http://www.mendeley.com/documents/?uuid=4926d981-6699-4015-bdc4-427c195be4de"]}],"mendeley":{"formattedCitation":"[139]","plainTextFormattedCitation":"[139]","previouslyFormattedCitation":"[112]"},"properties":{"noteIndex":0},"schema":"https://github.com/citation-style-language/schema/raw/master/csl-citation.json"}</w:instrText>
      </w:r>
      <w:r w:rsidRPr="00EE51B1">
        <w:rPr>
          <w:rFonts w:eastAsia="SimSun"/>
          <w:i/>
          <w:u w:val="single"/>
        </w:rPr>
        <w:fldChar w:fldCharType="separate"/>
      </w:r>
      <w:r w:rsidR="00A67ED2" w:rsidRPr="00A67ED2">
        <w:rPr>
          <w:rFonts w:eastAsia="SimSun"/>
          <w:noProof/>
        </w:rPr>
        <w:t>[139]</w:t>
      </w:r>
      <w:r w:rsidRPr="00EE51B1">
        <w:rPr>
          <w:rFonts w:eastAsia="SimSun"/>
          <w:i/>
          <w:u w:val="single"/>
        </w:rPr>
        <w:fldChar w:fldCharType="end"/>
      </w:r>
      <w:r w:rsidRPr="00EE51B1">
        <w:rPr>
          <w:rFonts w:eastAsia="SimSun"/>
          <w:i/>
          <w:u w:val="single"/>
        </w:rPr>
        <w:t xml:space="preserve">: </w:t>
      </w:r>
    </w:p>
    <w:p w14:paraId="44040867" w14:textId="77777777" w:rsidR="00304132" w:rsidRPr="00C07B2E" w:rsidRDefault="00304132" w:rsidP="00304132">
      <w:pPr>
        <w:rPr>
          <w:rFonts w:eastAsia="SimSun"/>
        </w:rPr>
      </w:pPr>
      <w:r w:rsidRPr="00C07B2E">
        <w:rPr>
          <w:rFonts w:eastAsia="SimSun"/>
        </w:rPr>
        <w:t>Этап 1 — рассмотрение медицинской документации, формирование медицинского заключения о необходимости трансплантации костного мозга или гемопоэтических стволовых клеток и направление на инициальное типирование (для поиска родственного или неродственного донора) — решение о возможности проведения алло-ТГСК и инициация поиска донора принимается экспертами на трансплантационной комиссии</w:t>
      </w:r>
      <w:r w:rsidRPr="00C07B2E">
        <w:rPr>
          <w:rFonts w:eastAsia="SimSun"/>
          <w:vertAlign w:val="superscript"/>
        </w:rPr>
        <w:t>1</w:t>
      </w:r>
      <w:r w:rsidRPr="00C07B2E">
        <w:rPr>
          <w:rFonts w:eastAsia="SimSun"/>
        </w:rPr>
        <w:t xml:space="preserve">. После получения заключения о наличии показаний для выполнения алло-ТГСК пациент нуждается в проведении дообследования и стратификации рисков по общесоматическому статусу. </w:t>
      </w:r>
    </w:p>
    <w:p w14:paraId="69C3415D" w14:textId="77777777" w:rsidR="00304132" w:rsidRPr="00C07B2E" w:rsidRDefault="00304132" w:rsidP="00304132">
      <w:pPr>
        <w:rPr>
          <w:rFonts w:eastAsia="SimSun"/>
        </w:rPr>
      </w:pPr>
      <w:r w:rsidRPr="00C07B2E">
        <w:rPr>
          <w:rFonts w:eastAsia="SimSun"/>
        </w:rPr>
        <w:t>Этап 2</w:t>
      </w:r>
      <w:r w:rsidRPr="00C07B2E">
        <w:rPr>
          <w:rFonts w:eastAsia="SimSun"/>
          <w:i/>
        </w:rPr>
        <w:t xml:space="preserve"> — </w:t>
      </w:r>
      <w:r w:rsidRPr="00C07B2E">
        <w:rPr>
          <w:rFonts w:eastAsia="SimSun"/>
        </w:rPr>
        <w:t>получение информации о наличии потенциальных доноров (родственных и неродственных).</w:t>
      </w:r>
    </w:p>
    <w:p w14:paraId="02AF86D9" w14:textId="77777777" w:rsidR="00304132" w:rsidRPr="00C07B2E" w:rsidRDefault="00304132" w:rsidP="00304132">
      <w:pPr>
        <w:rPr>
          <w:rFonts w:eastAsia="SimSun"/>
        </w:rPr>
      </w:pPr>
      <w:r w:rsidRPr="00C07B2E">
        <w:rPr>
          <w:rFonts w:eastAsia="SimSun"/>
        </w:rPr>
        <w:t>Этап 3 — поиск донора (родственного или неродственного) завершен, согласована дата донации.</w:t>
      </w:r>
    </w:p>
    <w:p w14:paraId="22D4E230" w14:textId="77777777" w:rsidR="00304132" w:rsidRDefault="00304132" w:rsidP="00304132">
      <w:pPr>
        <w:rPr>
          <w:rFonts w:eastAsia="SimSun"/>
        </w:rPr>
      </w:pPr>
      <w:r w:rsidRPr="00C07B2E">
        <w:rPr>
          <w:rFonts w:eastAsia="SimSun"/>
        </w:rPr>
        <w:t>Этап 4 — обсуждение сроков госпитализации пациента в отделение трансплантации костного мозга и обследование перед госпитализацией для выполнения алло-ТГСК — решение и дата госпитализации в отделение трансплантации костного мозга принимаются экспертами на трансплантационной комиссии за 4 нед до планируемой госпитализации.</w:t>
      </w:r>
    </w:p>
    <w:p w14:paraId="5BF61D7C" w14:textId="77777777" w:rsidR="00304132" w:rsidRDefault="00304132" w:rsidP="00304132">
      <w:pPr>
        <w:rPr>
          <w:rFonts w:eastAsia="SimSun"/>
        </w:rPr>
      </w:pPr>
      <w:bookmarkStart w:id="267" w:name="_Toc44401112"/>
    </w:p>
    <w:p w14:paraId="0BD60AEC" w14:textId="77777777" w:rsidR="00304132" w:rsidRPr="00EE51B1" w:rsidRDefault="00304132" w:rsidP="00304132">
      <w:pPr>
        <w:rPr>
          <w:rFonts w:eastAsia="SimSun"/>
          <w:b/>
        </w:rPr>
      </w:pPr>
      <w:r w:rsidRPr="00EE51B1">
        <w:rPr>
          <w:rFonts w:eastAsia="SimSun"/>
          <w:b/>
        </w:rPr>
        <w:t>2. Отбор доноров аллогенных ГСК</w:t>
      </w:r>
      <w:bookmarkEnd w:id="267"/>
      <w:r w:rsidRPr="00EE51B1">
        <w:rPr>
          <w:rFonts w:eastAsia="SimSun"/>
          <w:b/>
        </w:rPr>
        <w:t xml:space="preserve"> </w:t>
      </w:r>
    </w:p>
    <w:p w14:paraId="2D6DB04A" w14:textId="14DB6F86" w:rsidR="00304132" w:rsidRPr="00EE51B1" w:rsidRDefault="00304132" w:rsidP="00304132">
      <w:pPr>
        <w:rPr>
          <w:rFonts w:eastAsia="SimSun"/>
          <w:i/>
          <w:u w:val="single"/>
        </w:rPr>
      </w:pPr>
      <w:bookmarkStart w:id="268" w:name="_Toc44401114"/>
      <w:r w:rsidRPr="00EE51B1">
        <w:rPr>
          <w:rFonts w:eastAsia="SimSun"/>
          <w:i/>
          <w:u w:val="single"/>
        </w:rPr>
        <w:t>Основные критерии по отбору доноров аллогенных ГСК</w:t>
      </w:r>
      <w:bookmarkEnd w:id="268"/>
      <w:r>
        <w:rPr>
          <w:rFonts w:eastAsia="SimSun"/>
          <w:i/>
          <w:u w:val="single"/>
        </w:rPr>
        <w:t xml:space="preserve"> </w:t>
      </w:r>
      <w:r w:rsidRPr="00EE51B1">
        <w:rPr>
          <w:rFonts w:eastAsia="SimSun"/>
          <w:i/>
          <w:u w:val="single"/>
        </w:rPr>
        <w:fldChar w:fldCharType="begin" w:fldLock="1"/>
      </w:r>
      <w:r w:rsidR="00A67ED2">
        <w:rPr>
          <w:rFonts w:eastAsia="SimSun"/>
          <w:i/>
          <w:u w:val="single"/>
        </w:rPr>
        <w:instrText>ADDIN CSL_CITATION {"citationItems":[{"id":"ITEM-1","itemData":{"id":"ITEM-1","issued":{"date-parts":[["2020"]]},"number-of-pages":"320","publisher":"М.: Практика","title":"Протоколы трансплантации аллогенных гепомоэтических стволовых клеток. Под ред. В.Г. Савченко","type":"book"},"uris":["http://www.mendeley.com/documents/?uuid=4926d981-6699-4015-bdc4-427c195be4de"]}],"mendeley":{"formattedCitation":"[139]","plainTextFormattedCitation":"[139]","previouslyFormattedCitation":"[112]"},"properties":{"noteIndex":0},"schema":"https://github.com/citation-style-language/schema/raw/master/csl-citation.json"}</w:instrText>
      </w:r>
      <w:r w:rsidRPr="00EE51B1">
        <w:rPr>
          <w:rFonts w:eastAsia="SimSun"/>
          <w:i/>
          <w:u w:val="single"/>
        </w:rPr>
        <w:fldChar w:fldCharType="separate"/>
      </w:r>
      <w:r w:rsidR="00A67ED2" w:rsidRPr="00A67ED2">
        <w:rPr>
          <w:rFonts w:eastAsia="SimSun"/>
          <w:noProof/>
        </w:rPr>
        <w:t>[139]</w:t>
      </w:r>
      <w:r w:rsidRPr="00EE51B1">
        <w:rPr>
          <w:rFonts w:eastAsia="SimSun"/>
          <w:i/>
          <w:u w:val="single"/>
        </w:rPr>
        <w:fldChar w:fldCharType="end"/>
      </w:r>
      <w:r>
        <w:rPr>
          <w:rFonts w:eastAsia="SimSun"/>
          <w:i/>
          <w:u w:val="single"/>
        </w:rPr>
        <w:t>:</w:t>
      </w:r>
      <w:r w:rsidRPr="00EE51B1">
        <w:rPr>
          <w:rFonts w:eastAsia="SimSun"/>
          <w:i/>
          <w:u w:val="single"/>
        </w:rPr>
        <w:t xml:space="preserve"> </w:t>
      </w:r>
    </w:p>
    <w:p w14:paraId="6410D555" w14:textId="6BE7C3B7" w:rsidR="00304132" w:rsidRPr="00C07B2E" w:rsidRDefault="00304132" w:rsidP="008C1767">
      <w:pPr>
        <w:widowControl/>
        <w:numPr>
          <w:ilvl w:val="0"/>
          <w:numId w:val="75"/>
        </w:numPr>
        <w:overflowPunct w:val="0"/>
        <w:textAlignment w:val="baseline"/>
        <w:rPr>
          <w:rFonts w:eastAsia="SimSun"/>
        </w:rPr>
      </w:pPr>
      <w:r w:rsidRPr="00C07B2E">
        <w:rPr>
          <w:rFonts w:eastAsia="SimSun"/>
        </w:rPr>
        <w:t xml:space="preserve">Оценка статуса кандидата в доноры согласно определению индекса Карновского и </w:t>
      </w:r>
      <w:r w:rsidRPr="00C07B2E">
        <w:rPr>
          <w:rFonts w:eastAsia="SimSun"/>
          <w:lang w:val="en-US"/>
        </w:rPr>
        <w:t>ECOG</w:t>
      </w:r>
      <w:r w:rsidRPr="00C07B2E">
        <w:rPr>
          <w:rFonts w:eastAsia="SimSun"/>
        </w:rPr>
        <w:t>-ВОЗ</w:t>
      </w:r>
      <w:r w:rsidR="00FF203E">
        <w:rPr>
          <w:rFonts w:eastAsia="SimSun"/>
        </w:rPr>
        <w:t>.</w:t>
      </w:r>
    </w:p>
    <w:p w14:paraId="74D4FE89" w14:textId="77777777" w:rsidR="00304132" w:rsidRPr="00C07B2E" w:rsidRDefault="00304132" w:rsidP="008C1767">
      <w:pPr>
        <w:widowControl/>
        <w:numPr>
          <w:ilvl w:val="0"/>
          <w:numId w:val="75"/>
        </w:numPr>
        <w:overflowPunct w:val="0"/>
        <w:textAlignment w:val="baseline"/>
        <w:rPr>
          <w:rFonts w:eastAsia="SimSun"/>
        </w:rPr>
      </w:pPr>
      <w:r w:rsidRPr="00EE51B1">
        <w:rPr>
          <w:rFonts w:eastAsia="SimSun"/>
        </w:rPr>
        <w:t xml:space="preserve">Стандартный возраст кандидата в доноры 18–75 лет. В отдельных случаях в качестве доноров могут выступать несовершеннолетние сиблинги. </w:t>
      </w:r>
      <w:r w:rsidRPr="00C07B2E">
        <w:rPr>
          <w:rFonts w:eastAsia="SimSun"/>
        </w:rPr>
        <w:t xml:space="preserve">Решение о </w:t>
      </w:r>
      <w:r w:rsidRPr="00C07B2E">
        <w:rPr>
          <w:rFonts w:eastAsia="SimSun"/>
        </w:rPr>
        <w:lastRenderedPageBreak/>
        <w:t>допуске на донацию в данном случае принимается родителями в соответствии с действующим законадательством РФ.</w:t>
      </w:r>
    </w:p>
    <w:p w14:paraId="2A35B3C0" w14:textId="77777777" w:rsidR="00304132" w:rsidRPr="00C07B2E" w:rsidRDefault="00304132" w:rsidP="008C1767">
      <w:pPr>
        <w:widowControl/>
        <w:numPr>
          <w:ilvl w:val="0"/>
          <w:numId w:val="75"/>
        </w:numPr>
        <w:overflowPunct w:val="0"/>
        <w:textAlignment w:val="baseline"/>
        <w:rPr>
          <w:rFonts w:eastAsia="SimSun"/>
        </w:rPr>
      </w:pPr>
      <w:r w:rsidRPr="00C07B2E">
        <w:rPr>
          <w:rFonts w:eastAsia="SimSun"/>
        </w:rPr>
        <w:t xml:space="preserve">Адекватное психологическое состояние (юридическая дееспособность). </w:t>
      </w:r>
    </w:p>
    <w:p w14:paraId="693D8877" w14:textId="77777777" w:rsidR="00304132" w:rsidRPr="00C07B2E" w:rsidRDefault="00304132" w:rsidP="008C1767">
      <w:pPr>
        <w:widowControl/>
        <w:numPr>
          <w:ilvl w:val="0"/>
          <w:numId w:val="75"/>
        </w:numPr>
        <w:overflowPunct w:val="0"/>
        <w:textAlignment w:val="baseline"/>
        <w:rPr>
          <w:rFonts w:eastAsia="SimSun"/>
        </w:rPr>
      </w:pPr>
      <w:r w:rsidRPr="00C07B2E">
        <w:rPr>
          <w:rFonts w:eastAsia="SimSun"/>
        </w:rPr>
        <w:t xml:space="preserve">Наличие </w:t>
      </w:r>
      <w:r w:rsidRPr="00C07B2E">
        <w:rPr>
          <w:rFonts w:eastAsia="SimSun"/>
          <w:lang w:val="en-US"/>
        </w:rPr>
        <w:t>HLA</w:t>
      </w:r>
      <w:r w:rsidRPr="00C07B2E">
        <w:rPr>
          <w:rFonts w:eastAsia="SimSun"/>
        </w:rPr>
        <w:t xml:space="preserve">-типирования: для родственных — не менее чем по средне-низкому разрешению, для неродственных — по высокому разрешению.  Окончательные требования к разрешению типирования остаются на усмотрение трансплатационного центра в котором проводится алло-ТГСК. </w:t>
      </w:r>
    </w:p>
    <w:p w14:paraId="78A93483" w14:textId="77777777" w:rsidR="00304132" w:rsidRPr="00C07B2E" w:rsidRDefault="00304132" w:rsidP="008C1767">
      <w:pPr>
        <w:widowControl/>
        <w:numPr>
          <w:ilvl w:val="0"/>
          <w:numId w:val="75"/>
        </w:numPr>
        <w:overflowPunct w:val="0"/>
        <w:textAlignment w:val="baseline"/>
        <w:rPr>
          <w:rFonts w:eastAsia="SimSun"/>
        </w:rPr>
      </w:pPr>
      <w:r w:rsidRPr="00C07B2E">
        <w:rPr>
          <w:rFonts w:eastAsia="SimSun"/>
        </w:rPr>
        <w:t>Оценка статуса по гемотрансмиссивным инфекциям (ВИЧ, вирусные гепатиты с дополнительными маркерами и ПЦР, сифилис) и герпес-вирусам (</w:t>
      </w:r>
      <w:r w:rsidRPr="00C07B2E">
        <w:rPr>
          <w:rFonts w:eastAsia="SimSun"/>
          <w:lang w:val="en-US"/>
        </w:rPr>
        <w:t>IgG</w:t>
      </w:r>
      <w:r w:rsidRPr="00C07B2E">
        <w:rPr>
          <w:rFonts w:eastAsia="SimSun"/>
        </w:rPr>
        <w:t xml:space="preserve"> и </w:t>
      </w:r>
      <w:r w:rsidRPr="00C07B2E">
        <w:rPr>
          <w:rFonts w:eastAsia="SimSun"/>
          <w:lang w:val="en-US"/>
        </w:rPr>
        <w:t>IgM</w:t>
      </w:r>
      <w:r w:rsidRPr="00C07B2E">
        <w:rPr>
          <w:rFonts w:eastAsia="SimSun"/>
        </w:rPr>
        <w:t xml:space="preserve"> к </w:t>
      </w:r>
      <w:r w:rsidRPr="00C07B2E">
        <w:rPr>
          <w:rFonts w:eastAsia="SimSun"/>
          <w:lang w:val="en-US"/>
        </w:rPr>
        <w:t>CMV</w:t>
      </w:r>
      <w:r w:rsidRPr="00C07B2E">
        <w:rPr>
          <w:rFonts w:eastAsia="SimSun"/>
        </w:rPr>
        <w:t xml:space="preserve">, вирусу Эпштейна—Барр). </w:t>
      </w:r>
    </w:p>
    <w:p w14:paraId="0E508C64" w14:textId="78A72415" w:rsidR="00304132" w:rsidRPr="00C07B2E" w:rsidRDefault="00304132" w:rsidP="008C1767">
      <w:pPr>
        <w:widowControl/>
        <w:numPr>
          <w:ilvl w:val="0"/>
          <w:numId w:val="75"/>
        </w:numPr>
        <w:overflowPunct w:val="0"/>
        <w:textAlignment w:val="baseline"/>
        <w:rPr>
          <w:rFonts w:eastAsia="SimSun"/>
        </w:rPr>
      </w:pPr>
      <w:r w:rsidRPr="00C07B2E">
        <w:rPr>
          <w:rFonts w:eastAsia="SimSun"/>
        </w:rPr>
        <w:t>Наличие результатов обследования.</w:t>
      </w:r>
    </w:p>
    <w:p w14:paraId="4326831D" w14:textId="77777777" w:rsidR="00304132" w:rsidRDefault="00304132" w:rsidP="00304132">
      <w:pPr>
        <w:rPr>
          <w:rFonts w:eastAsia="SimSun"/>
        </w:rPr>
      </w:pPr>
      <w:bookmarkStart w:id="269" w:name="_Toc44401115"/>
    </w:p>
    <w:p w14:paraId="3780BE83" w14:textId="1F8B9099" w:rsidR="00304132" w:rsidRPr="00EE51B1" w:rsidRDefault="00304132" w:rsidP="00304132">
      <w:pPr>
        <w:rPr>
          <w:rFonts w:eastAsia="SimSun"/>
          <w:i/>
          <w:u w:val="single"/>
        </w:rPr>
      </w:pPr>
      <w:r w:rsidRPr="00EE51B1">
        <w:rPr>
          <w:rFonts w:eastAsia="SimSun"/>
          <w:i/>
          <w:u w:val="single"/>
        </w:rPr>
        <w:t>Дополнительные критерии по отбору доноров аллогенных ГСК</w:t>
      </w:r>
      <w:bookmarkEnd w:id="269"/>
      <w:r w:rsidRPr="00EE51B1">
        <w:rPr>
          <w:rFonts w:eastAsia="SimSun"/>
          <w:i/>
          <w:u w:val="single"/>
        </w:rPr>
        <w:t xml:space="preserve"> </w:t>
      </w:r>
      <w:r w:rsidRPr="00EE51B1">
        <w:rPr>
          <w:rFonts w:eastAsia="SimSun"/>
          <w:i/>
          <w:u w:val="single"/>
        </w:rPr>
        <w:fldChar w:fldCharType="begin" w:fldLock="1"/>
      </w:r>
      <w:r w:rsidR="00A67ED2">
        <w:rPr>
          <w:rFonts w:eastAsia="SimSun"/>
          <w:i/>
          <w:u w:val="single"/>
        </w:rPr>
        <w:instrText>ADDIN CSL_CITATION {"citationItems":[{"id":"ITEM-1","itemData":{"id":"ITEM-1","issued":{"date-parts":[["2020"]]},"number-of-pages":"320","publisher":"М.: Практика","title":"Протоколы трансплантации аллогенных гепомоэтических стволовых клеток. Под ред. В.Г. Савченко","type":"book"},"uris":["http://www.mendeley.com/documents/?uuid=4926d981-6699-4015-bdc4-427c195be4de"]}],"mendeley":{"formattedCitation":"[139]","plainTextFormattedCitation":"[139]","previouslyFormattedCitation":"[112]"},"properties":{"noteIndex":0},"schema":"https://github.com/citation-style-language/schema/raw/master/csl-citation.json"}</w:instrText>
      </w:r>
      <w:r w:rsidRPr="00EE51B1">
        <w:rPr>
          <w:rFonts w:eastAsia="SimSun"/>
          <w:i/>
          <w:u w:val="single"/>
        </w:rPr>
        <w:fldChar w:fldCharType="separate"/>
      </w:r>
      <w:r w:rsidR="00A67ED2" w:rsidRPr="00A67ED2">
        <w:rPr>
          <w:rFonts w:eastAsia="SimSun"/>
          <w:noProof/>
        </w:rPr>
        <w:t>[139]</w:t>
      </w:r>
      <w:r w:rsidRPr="00EE51B1">
        <w:rPr>
          <w:rFonts w:eastAsia="SimSun"/>
          <w:i/>
          <w:u w:val="single"/>
        </w:rPr>
        <w:fldChar w:fldCharType="end"/>
      </w:r>
      <w:r>
        <w:rPr>
          <w:rFonts w:eastAsia="SimSun"/>
          <w:i/>
          <w:u w:val="single"/>
        </w:rPr>
        <w:t>:</w:t>
      </w:r>
    </w:p>
    <w:p w14:paraId="61196C4C" w14:textId="77777777" w:rsidR="00304132" w:rsidRPr="00C07B2E" w:rsidRDefault="00304132" w:rsidP="008C1767">
      <w:pPr>
        <w:widowControl/>
        <w:numPr>
          <w:ilvl w:val="0"/>
          <w:numId w:val="76"/>
        </w:numPr>
        <w:overflowPunct w:val="0"/>
        <w:textAlignment w:val="baseline"/>
        <w:rPr>
          <w:rFonts w:eastAsia="SimSun"/>
        </w:rPr>
      </w:pPr>
      <w:r w:rsidRPr="00C07B2E">
        <w:rPr>
          <w:rFonts w:eastAsia="SimSun"/>
        </w:rPr>
        <w:t>Информация об инфекционном статусе. Перенесенных заболеваниях в том числе (</w:t>
      </w:r>
      <w:r w:rsidRPr="00C07B2E">
        <w:rPr>
          <w:rFonts w:eastAsia="SimSun"/>
          <w:lang w:val="en-US"/>
        </w:rPr>
        <w:t>COVID</w:t>
      </w:r>
      <w:r w:rsidRPr="00C07B2E">
        <w:rPr>
          <w:rFonts w:eastAsia="SimSun"/>
        </w:rPr>
        <w:t>-19, туберкулезе, вирусных гепатитах)</w:t>
      </w:r>
    </w:p>
    <w:p w14:paraId="275C8F1B" w14:textId="77777777" w:rsidR="00304132" w:rsidRPr="00C07B2E" w:rsidRDefault="00304132" w:rsidP="008C1767">
      <w:pPr>
        <w:widowControl/>
        <w:numPr>
          <w:ilvl w:val="0"/>
          <w:numId w:val="76"/>
        </w:numPr>
        <w:overflowPunct w:val="0"/>
        <w:textAlignment w:val="baseline"/>
        <w:rPr>
          <w:rFonts w:eastAsia="SimSun"/>
        </w:rPr>
      </w:pPr>
      <w:r w:rsidRPr="00C07B2E">
        <w:rPr>
          <w:rFonts w:eastAsia="SimSun"/>
        </w:rPr>
        <w:t>Информация о структурных и врожденных аномалиях, наличии протезированного биоматериала.</w:t>
      </w:r>
    </w:p>
    <w:p w14:paraId="24EABD13" w14:textId="77777777" w:rsidR="00304132" w:rsidRPr="00C07B2E" w:rsidRDefault="00304132" w:rsidP="008C1767">
      <w:pPr>
        <w:widowControl/>
        <w:numPr>
          <w:ilvl w:val="0"/>
          <w:numId w:val="76"/>
        </w:numPr>
        <w:overflowPunct w:val="0"/>
        <w:textAlignment w:val="baseline"/>
        <w:rPr>
          <w:rFonts w:eastAsia="SimSun"/>
        </w:rPr>
      </w:pPr>
      <w:r w:rsidRPr="00C07B2E">
        <w:rPr>
          <w:rFonts w:eastAsia="SimSun"/>
        </w:rPr>
        <w:t>Поездки в страны Юго-Восточной Азии, Африки, Центральной и Южной Америки.</w:t>
      </w:r>
    </w:p>
    <w:p w14:paraId="5C645991" w14:textId="77777777" w:rsidR="00304132" w:rsidRPr="00C07B2E" w:rsidRDefault="00304132" w:rsidP="008C1767">
      <w:pPr>
        <w:widowControl/>
        <w:numPr>
          <w:ilvl w:val="0"/>
          <w:numId w:val="76"/>
        </w:numPr>
        <w:overflowPunct w:val="0"/>
        <w:textAlignment w:val="baseline"/>
        <w:rPr>
          <w:rFonts w:eastAsia="SimSun"/>
        </w:rPr>
      </w:pPr>
      <w:r w:rsidRPr="00C07B2E">
        <w:rPr>
          <w:rFonts w:eastAsia="SimSun"/>
        </w:rPr>
        <w:t>Информация о наличии хронических заболеваний и их стадии.</w:t>
      </w:r>
    </w:p>
    <w:p w14:paraId="10CCFD73" w14:textId="77777777" w:rsidR="00304132" w:rsidRPr="00C07B2E" w:rsidRDefault="00304132" w:rsidP="008C1767">
      <w:pPr>
        <w:widowControl/>
        <w:numPr>
          <w:ilvl w:val="0"/>
          <w:numId w:val="76"/>
        </w:numPr>
        <w:overflowPunct w:val="0"/>
        <w:textAlignment w:val="baseline"/>
        <w:rPr>
          <w:rFonts w:eastAsia="SimSun"/>
        </w:rPr>
      </w:pPr>
      <w:r w:rsidRPr="00C07B2E">
        <w:rPr>
          <w:rFonts w:eastAsia="SimSun"/>
        </w:rPr>
        <w:t>Информация о лечении зубов, переливании компонентов крови, татуировках в течение как минимум 6 мес до донации.</w:t>
      </w:r>
    </w:p>
    <w:p w14:paraId="2323DC3A" w14:textId="77777777" w:rsidR="00304132" w:rsidRPr="00C07B2E" w:rsidRDefault="00304132" w:rsidP="008C1767">
      <w:pPr>
        <w:widowControl/>
        <w:numPr>
          <w:ilvl w:val="0"/>
          <w:numId w:val="76"/>
        </w:numPr>
        <w:overflowPunct w:val="0"/>
        <w:textAlignment w:val="baseline"/>
        <w:rPr>
          <w:rFonts w:eastAsia="SimSun"/>
        </w:rPr>
      </w:pPr>
      <w:r w:rsidRPr="00C07B2E">
        <w:rPr>
          <w:rFonts w:eastAsia="SimSun"/>
        </w:rPr>
        <w:t>Количество беременностей и родов в анамнезе.</w:t>
      </w:r>
    </w:p>
    <w:p w14:paraId="31C4606F" w14:textId="77777777" w:rsidR="00304132" w:rsidRPr="00C07B2E" w:rsidRDefault="00304132" w:rsidP="008C1767">
      <w:pPr>
        <w:widowControl/>
        <w:numPr>
          <w:ilvl w:val="0"/>
          <w:numId w:val="76"/>
        </w:numPr>
        <w:overflowPunct w:val="0"/>
        <w:textAlignment w:val="baseline"/>
        <w:rPr>
          <w:rFonts w:eastAsia="SimSun"/>
        </w:rPr>
      </w:pPr>
      <w:r w:rsidRPr="00C07B2E">
        <w:rPr>
          <w:rFonts w:eastAsia="SimSun"/>
        </w:rPr>
        <w:t>Вес донора и реципиента — если вес донора составляет менее 50% от веса пациента, то рекомендуется рассмотреть в качестве источника трансплантата СКК.</w:t>
      </w:r>
    </w:p>
    <w:p w14:paraId="55B4411D" w14:textId="77777777" w:rsidR="00304132" w:rsidRPr="00C07B2E" w:rsidRDefault="00304132" w:rsidP="008C1767">
      <w:pPr>
        <w:widowControl/>
        <w:numPr>
          <w:ilvl w:val="0"/>
          <w:numId w:val="76"/>
        </w:numPr>
        <w:overflowPunct w:val="0"/>
        <w:textAlignment w:val="baseline"/>
        <w:rPr>
          <w:rFonts w:eastAsia="SimSun"/>
        </w:rPr>
      </w:pPr>
      <w:r w:rsidRPr="00C07B2E">
        <w:rPr>
          <w:rFonts w:eastAsia="SimSun"/>
        </w:rPr>
        <w:t xml:space="preserve">Нутритивный статус: избыточный вес или дефицит массы тела (на основаниий ИМТ и/или концентрации альбумина в сыворотке крови). </w:t>
      </w:r>
    </w:p>
    <w:p w14:paraId="7F32D79D" w14:textId="77777777" w:rsidR="00304132" w:rsidRPr="00C07B2E" w:rsidRDefault="00304132" w:rsidP="008C1767">
      <w:pPr>
        <w:widowControl/>
        <w:numPr>
          <w:ilvl w:val="0"/>
          <w:numId w:val="76"/>
        </w:numPr>
        <w:overflowPunct w:val="0"/>
        <w:textAlignment w:val="baseline"/>
        <w:rPr>
          <w:rFonts w:eastAsia="SimSun"/>
        </w:rPr>
      </w:pPr>
      <w:r w:rsidRPr="00C07B2E">
        <w:rPr>
          <w:rFonts w:eastAsia="SimSun"/>
        </w:rPr>
        <w:t>Оперативные вмешательства в анамнезе</w:t>
      </w:r>
    </w:p>
    <w:p w14:paraId="5C869952" w14:textId="77777777" w:rsidR="00304132" w:rsidRPr="00C07B2E" w:rsidRDefault="00304132" w:rsidP="008C1767">
      <w:pPr>
        <w:widowControl/>
        <w:numPr>
          <w:ilvl w:val="0"/>
          <w:numId w:val="76"/>
        </w:numPr>
        <w:overflowPunct w:val="0"/>
        <w:textAlignment w:val="baseline"/>
        <w:rPr>
          <w:rFonts w:eastAsia="SimSun"/>
        </w:rPr>
      </w:pPr>
      <w:r w:rsidRPr="00C07B2E">
        <w:rPr>
          <w:rFonts w:eastAsia="SimSun"/>
        </w:rPr>
        <w:t>Предполагаемая трудная интубация трахеи (для доноров костного мозга)</w:t>
      </w:r>
    </w:p>
    <w:p w14:paraId="2B44C035" w14:textId="77777777" w:rsidR="005961A6" w:rsidRDefault="005961A6" w:rsidP="00304132">
      <w:pPr>
        <w:rPr>
          <w:rFonts w:eastAsia="SimSun"/>
        </w:rPr>
      </w:pPr>
      <w:bookmarkStart w:id="270" w:name="_Toc44401116"/>
    </w:p>
    <w:p w14:paraId="5B18BEC7" w14:textId="300F1ADC" w:rsidR="00304132" w:rsidRPr="00470D3D" w:rsidRDefault="00304132" w:rsidP="00304132">
      <w:pPr>
        <w:rPr>
          <w:rFonts w:eastAsia="SimSun"/>
          <w:i/>
          <w:u w:val="single"/>
        </w:rPr>
      </w:pPr>
      <w:r w:rsidRPr="00470D3D">
        <w:rPr>
          <w:rFonts w:eastAsia="SimSun"/>
          <w:i/>
          <w:u w:val="single"/>
        </w:rPr>
        <w:t>Противопоказания для донорства</w:t>
      </w:r>
      <w:bookmarkEnd w:id="270"/>
      <w:r>
        <w:rPr>
          <w:rFonts w:eastAsia="SimSun"/>
          <w:i/>
          <w:u w:val="single"/>
        </w:rPr>
        <w:t xml:space="preserve"> </w:t>
      </w:r>
      <w:r w:rsidRPr="00EE51B1">
        <w:rPr>
          <w:rFonts w:eastAsia="SimSun"/>
          <w:i/>
          <w:u w:val="single"/>
        </w:rPr>
        <w:fldChar w:fldCharType="begin" w:fldLock="1"/>
      </w:r>
      <w:r w:rsidR="00A67ED2">
        <w:rPr>
          <w:rFonts w:eastAsia="SimSun"/>
          <w:i/>
          <w:u w:val="single"/>
        </w:rPr>
        <w:instrText>ADDIN CSL_CITATION {"citationItems":[{"id":"ITEM-1","itemData":{"id":"ITEM-1","issued":{"date-parts":[["2020"]]},"number-of-pages":"320","publisher":"М.: Практика","title":"Протоколы трансплантации аллогенных гепомоэтических стволовых клеток. Под ред. В.Г. Савченко","type":"book"},"uris":["http://www.mendeley.com/documents/?uuid=4926d981-6699-4015-bdc4-427c195be4de"]}],"mendeley":{"formattedCitation":"[139]","plainTextFormattedCitation":"[139]","previouslyFormattedCitation":"[112]"},"properties":{"noteIndex":0},"schema":"https://github.com/citation-style-language/schema/raw/master/csl-citation.json"}</w:instrText>
      </w:r>
      <w:r w:rsidRPr="00EE51B1">
        <w:rPr>
          <w:rFonts w:eastAsia="SimSun"/>
          <w:i/>
          <w:u w:val="single"/>
        </w:rPr>
        <w:fldChar w:fldCharType="separate"/>
      </w:r>
      <w:r w:rsidR="00A67ED2" w:rsidRPr="00A67ED2">
        <w:rPr>
          <w:rFonts w:eastAsia="SimSun"/>
          <w:noProof/>
        </w:rPr>
        <w:t>[139]</w:t>
      </w:r>
      <w:r w:rsidRPr="00EE51B1">
        <w:rPr>
          <w:rFonts w:eastAsia="SimSun"/>
          <w:i/>
          <w:u w:val="single"/>
        </w:rPr>
        <w:fldChar w:fldCharType="end"/>
      </w:r>
    </w:p>
    <w:p w14:paraId="5F5BC6A9" w14:textId="77777777" w:rsidR="00304132" w:rsidRPr="00C07B2E" w:rsidRDefault="00304132" w:rsidP="00304132">
      <w:pPr>
        <w:rPr>
          <w:rFonts w:eastAsia="SimSun"/>
        </w:rPr>
      </w:pPr>
      <w:r w:rsidRPr="00C07B2E">
        <w:rPr>
          <w:rFonts w:eastAsia="SimSun"/>
        </w:rPr>
        <w:t xml:space="preserve">Медицинские противопоказания для изъятия аллогенного костного мозга и/или забора аллогенных гемопоэтических стволовых клеток в целях их трансплантации являются </w:t>
      </w:r>
      <w:r w:rsidRPr="00C07B2E">
        <w:rPr>
          <w:rFonts w:eastAsia="SimSun"/>
        </w:rPr>
        <w:lastRenderedPageBreak/>
        <w:t xml:space="preserve">следующие заболевания (состояния) у донора которые определены Приказом Минздрава России от 12.12.2018 N 875н "Об утверждении Порядка оказания медицинской помощи при заболеваниях (состояниях), для лечения которых применяется трансплантация (пересадка) костного мозга и гемопоэтических стволовых клеток, и внесении изменения в Порядок оказания медицинской помощи по профилю "хирургия (трансплантация органов и (или) тканей человека)", утвержденный приказом Министерства здравоохранения Российской Федерации от 31 октября 2012 г. N 567н" (Зарегистрировано в Минюсте России 09.01.2019 N 53256). </w:t>
      </w:r>
    </w:p>
    <w:p w14:paraId="5EE13096" w14:textId="77777777" w:rsidR="00304132" w:rsidRPr="00C07B2E" w:rsidRDefault="00304132" w:rsidP="00304132">
      <w:pPr>
        <w:rPr>
          <w:rFonts w:eastAsia="SimSun"/>
        </w:rPr>
      </w:pPr>
    </w:p>
    <w:p w14:paraId="0011D99D" w14:textId="5C8EF028" w:rsidR="00304132" w:rsidRPr="00470D3D" w:rsidRDefault="00304132" w:rsidP="00304132">
      <w:pPr>
        <w:rPr>
          <w:bCs/>
          <w:i/>
          <w:u w:val="single"/>
        </w:rPr>
      </w:pPr>
      <w:bookmarkStart w:id="271" w:name="_Toc44401117"/>
      <w:r w:rsidRPr="00470D3D">
        <w:rPr>
          <w:bCs/>
          <w:i/>
          <w:u w:val="single"/>
        </w:rPr>
        <w:t>Абсолютные медицинские  противопоказания</w:t>
      </w:r>
      <w:r>
        <w:rPr>
          <w:bCs/>
          <w:i/>
          <w:u w:val="single"/>
        </w:rPr>
        <w:t xml:space="preserve"> </w:t>
      </w:r>
      <w:r w:rsidRPr="00EE51B1">
        <w:rPr>
          <w:rFonts w:eastAsia="SimSun"/>
          <w:i/>
          <w:u w:val="single"/>
        </w:rPr>
        <w:fldChar w:fldCharType="begin" w:fldLock="1"/>
      </w:r>
      <w:r w:rsidR="00A67ED2">
        <w:rPr>
          <w:rFonts w:eastAsia="SimSun"/>
          <w:i/>
          <w:u w:val="single"/>
        </w:rPr>
        <w:instrText>ADDIN CSL_CITATION {"citationItems":[{"id":"ITEM-1","itemData":{"id":"ITEM-1","issued":{"date-parts":[["2020"]]},"number-of-pages":"320","publisher":"М.: Практика","title":"Протоколы трансплантации аллогенных гепомоэтических стволовых клеток. Под ред. В.Г. Савченко","type":"book"},"uris":["http://www.mendeley.com/documents/?uuid=4926d981-6699-4015-bdc4-427c195be4de"]}],"mendeley":{"formattedCitation":"[139]","plainTextFormattedCitation":"[139]","previouslyFormattedCitation":"[112]"},"properties":{"noteIndex":0},"schema":"https://github.com/citation-style-language/schema/raw/master/csl-citation.json"}</w:instrText>
      </w:r>
      <w:r w:rsidRPr="00EE51B1">
        <w:rPr>
          <w:rFonts w:eastAsia="SimSun"/>
          <w:i/>
          <w:u w:val="single"/>
        </w:rPr>
        <w:fldChar w:fldCharType="separate"/>
      </w:r>
      <w:r w:rsidR="00A67ED2" w:rsidRPr="00A67ED2">
        <w:rPr>
          <w:rFonts w:eastAsia="SimSun"/>
          <w:noProof/>
        </w:rPr>
        <w:t>[139]</w:t>
      </w:r>
      <w:r w:rsidRPr="00EE51B1">
        <w:rPr>
          <w:rFonts w:eastAsia="SimSun"/>
          <w:i/>
          <w:u w:val="single"/>
        </w:rPr>
        <w:fldChar w:fldCharType="end"/>
      </w:r>
      <w:r w:rsidRPr="00470D3D">
        <w:rPr>
          <w:bCs/>
          <w:i/>
          <w:u w:val="single"/>
        </w:rPr>
        <w:t>:</w:t>
      </w:r>
      <w:bookmarkEnd w:id="271"/>
      <w:r w:rsidRPr="00470D3D">
        <w:rPr>
          <w:bCs/>
          <w:i/>
          <w:u w:val="single"/>
        </w:rPr>
        <w:t xml:space="preserve"> </w:t>
      </w:r>
    </w:p>
    <w:p w14:paraId="47D61DD2" w14:textId="77777777" w:rsidR="00304132" w:rsidRPr="00C07B2E" w:rsidRDefault="00304132" w:rsidP="008C1767">
      <w:pPr>
        <w:widowControl/>
        <w:numPr>
          <w:ilvl w:val="0"/>
          <w:numId w:val="77"/>
        </w:numPr>
        <w:overflowPunct w:val="0"/>
        <w:textAlignment w:val="baseline"/>
        <w:rPr>
          <w:bCs/>
        </w:rPr>
      </w:pPr>
      <w:r w:rsidRPr="00C07B2E">
        <w:rPr>
          <w:bCs/>
        </w:rPr>
        <w:t>инфекционные заболевания в стадии обострения;</w:t>
      </w:r>
    </w:p>
    <w:p w14:paraId="7C42ED8F" w14:textId="77777777" w:rsidR="00304132" w:rsidRPr="00C07B2E" w:rsidRDefault="00304132" w:rsidP="008C1767">
      <w:pPr>
        <w:widowControl/>
        <w:numPr>
          <w:ilvl w:val="0"/>
          <w:numId w:val="77"/>
        </w:numPr>
        <w:overflowPunct w:val="0"/>
        <w:textAlignment w:val="baseline"/>
        <w:rPr>
          <w:bCs/>
        </w:rPr>
      </w:pPr>
      <w:r w:rsidRPr="00C07B2E">
        <w:rPr>
          <w:bCs/>
        </w:rPr>
        <w:t>наличие в крови маркеров вируса иммунодефицита человека;</w:t>
      </w:r>
    </w:p>
    <w:p w14:paraId="2EA0807C" w14:textId="77777777" w:rsidR="00304132" w:rsidRPr="00C07B2E" w:rsidRDefault="00304132" w:rsidP="008C1767">
      <w:pPr>
        <w:widowControl/>
        <w:numPr>
          <w:ilvl w:val="0"/>
          <w:numId w:val="77"/>
        </w:numPr>
        <w:overflowPunct w:val="0"/>
        <w:textAlignment w:val="baseline"/>
        <w:rPr>
          <w:bCs/>
        </w:rPr>
      </w:pPr>
      <w:r w:rsidRPr="00C07B2E">
        <w:rPr>
          <w:bCs/>
        </w:rPr>
        <w:t>болезнь Крейтцфельдта-Якоба в анамнезе;</w:t>
      </w:r>
    </w:p>
    <w:p w14:paraId="5E6DE080" w14:textId="77777777" w:rsidR="00304132" w:rsidRPr="00C07B2E" w:rsidRDefault="00304132" w:rsidP="008C1767">
      <w:pPr>
        <w:widowControl/>
        <w:numPr>
          <w:ilvl w:val="0"/>
          <w:numId w:val="77"/>
        </w:numPr>
        <w:overflowPunct w:val="0"/>
        <w:textAlignment w:val="baseline"/>
        <w:rPr>
          <w:bCs/>
        </w:rPr>
      </w:pPr>
      <w:r w:rsidRPr="00C07B2E">
        <w:rPr>
          <w:bCs/>
        </w:rPr>
        <w:t>злокачественные новообразования;</w:t>
      </w:r>
    </w:p>
    <w:p w14:paraId="384A64F8" w14:textId="77777777" w:rsidR="00304132" w:rsidRPr="00C07B2E" w:rsidRDefault="00304132" w:rsidP="008C1767">
      <w:pPr>
        <w:widowControl/>
        <w:numPr>
          <w:ilvl w:val="0"/>
          <w:numId w:val="77"/>
        </w:numPr>
        <w:overflowPunct w:val="0"/>
        <w:textAlignment w:val="baseline"/>
        <w:rPr>
          <w:bCs/>
        </w:rPr>
      </w:pPr>
      <w:r w:rsidRPr="00C07B2E">
        <w:rPr>
          <w:bCs/>
        </w:rPr>
        <w:t>кахексия;</w:t>
      </w:r>
    </w:p>
    <w:p w14:paraId="1910491A" w14:textId="77777777" w:rsidR="00304132" w:rsidRPr="00C07B2E" w:rsidRDefault="00304132" w:rsidP="008C1767">
      <w:pPr>
        <w:widowControl/>
        <w:numPr>
          <w:ilvl w:val="0"/>
          <w:numId w:val="77"/>
        </w:numPr>
        <w:overflowPunct w:val="0"/>
        <w:textAlignment w:val="baseline"/>
        <w:rPr>
          <w:bCs/>
        </w:rPr>
      </w:pPr>
      <w:r w:rsidRPr="00C07B2E">
        <w:rPr>
          <w:bCs/>
        </w:rPr>
        <w:t>терапия иммуносупрессивными лекарственными препаратами или иными лекарственными препаратами, которые могут повлиять на способность к самоподдержанию собственной популяции и полипотентность костного мозга и гемопоэтических стволовых клеток (на дату изъятия костного мозга и забора гемопоэтических стволовых клеток и до прекращения приема указанных лекарственных препаратов и восстановления кровяных ростков);</w:t>
      </w:r>
    </w:p>
    <w:p w14:paraId="20D1171B" w14:textId="77777777" w:rsidR="00304132" w:rsidRPr="00C07B2E" w:rsidRDefault="00304132" w:rsidP="008C1767">
      <w:pPr>
        <w:widowControl/>
        <w:numPr>
          <w:ilvl w:val="0"/>
          <w:numId w:val="77"/>
        </w:numPr>
        <w:overflowPunct w:val="0"/>
        <w:textAlignment w:val="baseline"/>
        <w:rPr>
          <w:bCs/>
        </w:rPr>
      </w:pPr>
      <w:r w:rsidRPr="00C07B2E">
        <w:rPr>
          <w:bCs/>
        </w:rPr>
        <w:t>психические расстройства и расстройства поведения в состоянии обострения и (или) представляющие опасность для больного и окружающих;</w:t>
      </w:r>
    </w:p>
    <w:p w14:paraId="1070242E" w14:textId="77777777" w:rsidR="00304132" w:rsidRPr="00C07B2E" w:rsidRDefault="00304132" w:rsidP="008C1767">
      <w:pPr>
        <w:widowControl/>
        <w:numPr>
          <w:ilvl w:val="0"/>
          <w:numId w:val="77"/>
        </w:numPr>
        <w:overflowPunct w:val="0"/>
        <w:textAlignment w:val="baseline"/>
        <w:rPr>
          <w:bCs/>
        </w:rPr>
      </w:pPr>
      <w:r w:rsidRPr="00C07B2E">
        <w:rPr>
          <w:bCs/>
        </w:rPr>
        <w:t>психические расстройства и расстройства поведения, вызванные употреблением психоактивных веществ;</w:t>
      </w:r>
    </w:p>
    <w:p w14:paraId="3928A31F" w14:textId="77777777" w:rsidR="00304132" w:rsidRPr="00C07B2E" w:rsidRDefault="00304132" w:rsidP="008C1767">
      <w:pPr>
        <w:widowControl/>
        <w:numPr>
          <w:ilvl w:val="0"/>
          <w:numId w:val="77"/>
        </w:numPr>
        <w:overflowPunct w:val="0"/>
        <w:textAlignment w:val="baseline"/>
        <w:rPr>
          <w:bCs/>
        </w:rPr>
      </w:pPr>
      <w:r w:rsidRPr="00C07B2E">
        <w:rPr>
          <w:bCs/>
        </w:rPr>
        <w:t>беременность;</w:t>
      </w:r>
    </w:p>
    <w:p w14:paraId="6706AEC1" w14:textId="77777777" w:rsidR="00304132" w:rsidRPr="00C07B2E" w:rsidRDefault="00304132" w:rsidP="008C1767">
      <w:pPr>
        <w:widowControl/>
        <w:numPr>
          <w:ilvl w:val="0"/>
          <w:numId w:val="77"/>
        </w:numPr>
        <w:overflowPunct w:val="0"/>
        <w:textAlignment w:val="baseline"/>
        <w:rPr>
          <w:bCs/>
        </w:rPr>
      </w:pPr>
      <w:r w:rsidRPr="00C07B2E">
        <w:rPr>
          <w:bCs/>
        </w:rPr>
        <w:t>грудное вскармливание</w:t>
      </w:r>
      <w:r w:rsidRPr="00C07B2E">
        <w:rPr>
          <w:bCs/>
          <w:lang w:val="en-US"/>
        </w:rPr>
        <w:t>;</w:t>
      </w:r>
    </w:p>
    <w:p w14:paraId="066B21CC" w14:textId="77777777" w:rsidR="00304132" w:rsidRPr="00C07B2E" w:rsidRDefault="00304132" w:rsidP="008C1767">
      <w:pPr>
        <w:widowControl/>
        <w:numPr>
          <w:ilvl w:val="0"/>
          <w:numId w:val="77"/>
        </w:numPr>
        <w:overflowPunct w:val="0"/>
        <w:textAlignment w:val="baseline"/>
        <w:rPr>
          <w:bCs/>
        </w:rPr>
      </w:pPr>
      <w:r w:rsidRPr="00C07B2E">
        <w:rPr>
          <w:bCs/>
        </w:rPr>
        <w:t>отсутствие подписанного донором информированного согласия на забор ГСК или костного мозга</w:t>
      </w:r>
    </w:p>
    <w:p w14:paraId="56FC3000" w14:textId="77777777" w:rsidR="00304132" w:rsidRDefault="00304132" w:rsidP="00304132">
      <w:pPr>
        <w:rPr>
          <w:rFonts w:eastAsia="SimSun"/>
        </w:rPr>
      </w:pPr>
    </w:p>
    <w:p w14:paraId="078E6A21" w14:textId="77777777" w:rsidR="005961A6" w:rsidRDefault="005961A6" w:rsidP="00304132">
      <w:pPr>
        <w:rPr>
          <w:rFonts w:eastAsia="SimSun"/>
        </w:rPr>
      </w:pPr>
    </w:p>
    <w:p w14:paraId="458B1674" w14:textId="77777777" w:rsidR="00261628" w:rsidRDefault="00261628" w:rsidP="00304132">
      <w:pPr>
        <w:rPr>
          <w:rFonts w:eastAsia="SimSun"/>
        </w:rPr>
      </w:pPr>
    </w:p>
    <w:p w14:paraId="03E9423A" w14:textId="77777777" w:rsidR="00261628" w:rsidRDefault="00261628" w:rsidP="00304132">
      <w:pPr>
        <w:rPr>
          <w:rFonts w:eastAsia="SimSun"/>
        </w:rPr>
      </w:pPr>
    </w:p>
    <w:p w14:paraId="269E55A2" w14:textId="77777777" w:rsidR="00261628" w:rsidRDefault="00261628" w:rsidP="00304132">
      <w:pPr>
        <w:rPr>
          <w:rFonts w:eastAsia="SimSun"/>
        </w:rPr>
      </w:pPr>
    </w:p>
    <w:p w14:paraId="723ED9ED" w14:textId="77777777" w:rsidR="005961A6" w:rsidRPr="00C07B2E" w:rsidRDefault="005961A6" w:rsidP="00304132">
      <w:pPr>
        <w:rPr>
          <w:rFonts w:eastAsia="SimSun"/>
        </w:rPr>
      </w:pPr>
    </w:p>
    <w:p w14:paraId="23CA663D" w14:textId="49916F75" w:rsidR="00304132" w:rsidRPr="00470D3D" w:rsidRDefault="00304132" w:rsidP="00304132">
      <w:pPr>
        <w:rPr>
          <w:rFonts w:eastAsia="SimSun"/>
          <w:i/>
          <w:u w:val="single"/>
        </w:rPr>
      </w:pPr>
      <w:bookmarkStart w:id="272" w:name="_Toc44401118"/>
      <w:r w:rsidRPr="00470D3D">
        <w:rPr>
          <w:rFonts w:eastAsia="SimSun"/>
          <w:i/>
          <w:u w:val="single"/>
        </w:rPr>
        <w:t>Относительные медицинские противопоказания</w:t>
      </w:r>
      <w:r>
        <w:rPr>
          <w:rFonts w:eastAsia="SimSun"/>
          <w:i/>
          <w:u w:val="single"/>
        </w:rPr>
        <w:t xml:space="preserve"> </w:t>
      </w:r>
      <w:r w:rsidRPr="00EE51B1">
        <w:rPr>
          <w:rFonts w:eastAsia="SimSun"/>
          <w:i/>
          <w:u w:val="single"/>
        </w:rPr>
        <w:fldChar w:fldCharType="begin" w:fldLock="1"/>
      </w:r>
      <w:r w:rsidR="00A67ED2">
        <w:rPr>
          <w:rFonts w:eastAsia="SimSun"/>
          <w:i/>
          <w:u w:val="single"/>
        </w:rPr>
        <w:instrText>ADDIN CSL_CITATION {"citationItems":[{"id":"ITEM-1","itemData":{"id":"ITEM-1","issued":{"date-parts":[["2020"]]},"number-of-pages":"320","publisher":"М.: Практика","title":"Протоколы трансплантации аллогенных гепомоэтических стволовых клеток. Под ред. В.Г. Савченко","type":"book"},"uris":["http://www.mendeley.com/documents/?uuid=4926d981-6699-4015-bdc4-427c195be4de"]}],"mendeley":{"formattedCitation":"[139]","plainTextFormattedCitation":"[139]","previouslyFormattedCitation":"[112]"},"properties":{"noteIndex":0},"schema":"https://github.com/citation-style-language/schema/raw/master/csl-citation.json"}</w:instrText>
      </w:r>
      <w:r w:rsidRPr="00EE51B1">
        <w:rPr>
          <w:rFonts w:eastAsia="SimSun"/>
          <w:i/>
          <w:u w:val="single"/>
        </w:rPr>
        <w:fldChar w:fldCharType="separate"/>
      </w:r>
      <w:r w:rsidR="00A67ED2" w:rsidRPr="00A67ED2">
        <w:rPr>
          <w:rFonts w:eastAsia="SimSun"/>
          <w:noProof/>
        </w:rPr>
        <w:t>[139]</w:t>
      </w:r>
      <w:r w:rsidRPr="00EE51B1">
        <w:rPr>
          <w:rFonts w:eastAsia="SimSun"/>
          <w:i/>
          <w:u w:val="single"/>
        </w:rPr>
        <w:fldChar w:fldCharType="end"/>
      </w:r>
      <w:r w:rsidRPr="00470D3D">
        <w:rPr>
          <w:rFonts w:eastAsia="SimSun"/>
          <w:i/>
          <w:u w:val="single"/>
        </w:rPr>
        <w:t>:</w:t>
      </w:r>
      <w:bookmarkEnd w:id="272"/>
    </w:p>
    <w:p w14:paraId="26C0FDC4" w14:textId="77777777" w:rsidR="00304132" w:rsidRPr="00C07B2E" w:rsidRDefault="00304132" w:rsidP="008C1767">
      <w:pPr>
        <w:widowControl/>
        <w:numPr>
          <w:ilvl w:val="0"/>
          <w:numId w:val="78"/>
        </w:numPr>
        <w:overflowPunct w:val="0"/>
        <w:textAlignment w:val="baseline"/>
        <w:rPr>
          <w:rFonts w:eastAsia="SimSun"/>
        </w:rPr>
      </w:pPr>
      <w:r w:rsidRPr="00C07B2E">
        <w:rPr>
          <w:rFonts w:eastAsia="SimSun"/>
        </w:rPr>
        <w:t>наличие инфекционных заболеваний вне обострения или инфекционные заболевания в анамнезе, в том числе выявление маркеров вирусов гепатитов (за исключением перенесенного гепатита A в анамнезе), сифилиса;</w:t>
      </w:r>
    </w:p>
    <w:p w14:paraId="54D4063E" w14:textId="77777777" w:rsidR="00304132" w:rsidRPr="00C07B2E" w:rsidRDefault="00304132" w:rsidP="008C1767">
      <w:pPr>
        <w:widowControl/>
        <w:numPr>
          <w:ilvl w:val="0"/>
          <w:numId w:val="78"/>
        </w:numPr>
        <w:overflowPunct w:val="0"/>
        <w:textAlignment w:val="baseline"/>
        <w:rPr>
          <w:rFonts w:eastAsia="SimSun"/>
        </w:rPr>
      </w:pPr>
      <w:r w:rsidRPr="00C07B2E">
        <w:rPr>
          <w:rFonts w:eastAsia="SimSun"/>
        </w:rPr>
        <w:t>доброкачественные новообразования;</w:t>
      </w:r>
    </w:p>
    <w:p w14:paraId="650061A5" w14:textId="77777777" w:rsidR="00304132" w:rsidRPr="00C07B2E" w:rsidRDefault="00304132" w:rsidP="008C1767">
      <w:pPr>
        <w:widowControl/>
        <w:numPr>
          <w:ilvl w:val="0"/>
          <w:numId w:val="78"/>
        </w:numPr>
        <w:overflowPunct w:val="0"/>
        <w:textAlignment w:val="baseline"/>
        <w:rPr>
          <w:rFonts w:eastAsia="SimSun"/>
        </w:rPr>
      </w:pPr>
      <w:r w:rsidRPr="00C07B2E">
        <w:rPr>
          <w:rFonts w:eastAsia="SimSun"/>
        </w:rPr>
        <w:t>нарушения здоровья, связанные с нарушением двигательных функций, болезнями системы кровообращения, болезнями органов пищеварения и органов дыхания, болезнями мочеполовой системы, болезнями эндокринной системы, болезнями крови, кроветворных органов и отдельными нарушениями, вовлекающими иммунный механизм, психическими расстройствами и сопровождающиеся стойким расстройством функций организма;</w:t>
      </w:r>
    </w:p>
    <w:p w14:paraId="5AAEF113" w14:textId="77777777" w:rsidR="00304132" w:rsidRPr="00C07B2E" w:rsidRDefault="00304132" w:rsidP="008C1767">
      <w:pPr>
        <w:widowControl/>
        <w:numPr>
          <w:ilvl w:val="0"/>
          <w:numId w:val="78"/>
        </w:numPr>
        <w:overflowPunct w:val="0"/>
        <w:textAlignment w:val="baseline"/>
        <w:rPr>
          <w:rFonts w:eastAsia="SimSun"/>
        </w:rPr>
      </w:pPr>
      <w:r w:rsidRPr="00C07B2E">
        <w:rPr>
          <w:rFonts w:eastAsia="SimSun"/>
        </w:rPr>
        <w:t>При наличии у донора относительных медицинских противопоказаний для изъятия костного мозга и забора гемопоэтических стволовых клеток решение об изъятии костного мозга или заборе гемопоэтических стволовых клеток принимается консилиумом врачей медицинской организации, осуществляющей трансплантацию.</w:t>
      </w:r>
    </w:p>
    <w:p w14:paraId="04634298" w14:textId="77777777" w:rsidR="00304132" w:rsidRPr="00C07B2E" w:rsidRDefault="00304132" w:rsidP="00304132">
      <w:pPr>
        <w:rPr>
          <w:rFonts w:eastAsia="SimSun"/>
        </w:rPr>
      </w:pPr>
    </w:p>
    <w:p w14:paraId="6EFE68C7" w14:textId="77777777" w:rsidR="00304132" w:rsidRPr="00470D3D" w:rsidRDefault="00304132" w:rsidP="00304132">
      <w:pPr>
        <w:rPr>
          <w:rFonts w:eastAsia="SimSun"/>
          <w:i/>
          <w:u w:val="single"/>
        </w:rPr>
      </w:pPr>
      <w:bookmarkStart w:id="273" w:name="_Toc44401119"/>
      <w:r w:rsidRPr="00470D3D">
        <w:rPr>
          <w:rFonts w:eastAsia="SimSun"/>
          <w:i/>
          <w:u w:val="single"/>
        </w:rPr>
        <w:t>Особые случаи:</w:t>
      </w:r>
      <w:bookmarkEnd w:id="273"/>
    </w:p>
    <w:p w14:paraId="310696E6" w14:textId="77777777" w:rsidR="00304132" w:rsidRPr="00C07B2E" w:rsidRDefault="00304132" w:rsidP="00304132">
      <w:pPr>
        <w:rPr>
          <w:rFonts w:eastAsia="SimSun"/>
        </w:rPr>
      </w:pPr>
      <w:r w:rsidRPr="00C07B2E">
        <w:rPr>
          <w:rFonts w:eastAsia="SimSun"/>
        </w:rPr>
        <w:t>Допускается изъятие костного мозга и забор гемопоэтических стволовых у родственного донора, у которого выявлены маркеры вирусов гепатитов (за исключением перенесенного гепатита A в анамнезе), сифилиса, в случае невозможности подбора другого совместимого донора при соблюдении одновременно следующих условий:</w:t>
      </w:r>
    </w:p>
    <w:p w14:paraId="64D7D217" w14:textId="77777777" w:rsidR="00304132" w:rsidRPr="00C07B2E" w:rsidRDefault="00304132" w:rsidP="008C1767">
      <w:pPr>
        <w:widowControl/>
        <w:numPr>
          <w:ilvl w:val="0"/>
          <w:numId w:val="79"/>
        </w:numPr>
        <w:overflowPunct w:val="0"/>
        <w:textAlignment w:val="baseline"/>
        <w:rPr>
          <w:rFonts w:eastAsia="SimSun"/>
        </w:rPr>
      </w:pPr>
      <w:r w:rsidRPr="00C07B2E">
        <w:rPr>
          <w:rFonts w:eastAsia="SimSun"/>
        </w:rPr>
        <w:t>предварительное проведение этиотропного и симптоматического лечения вирусных гепатитов (за исключением перенесенного гепатита A в анамнезе), сифилиса;</w:t>
      </w:r>
    </w:p>
    <w:p w14:paraId="46A3A2B5" w14:textId="77777777" w:rsidR="00304132" w:rsidRPr="00C07B2E" w:rsidRDefault="00304132" w:rsidP="008C1767">
      <w:pPr>
        <w:widowControl/>
        <w:numPr>
          <w:ilvl w:val="0"/>
          <w:numId w:val="79"/>
        </w:numPr>
        <w:overflowPunct w:val="0"/>
        <w:textAlignment w:val="baseline"/>
        <w:rPr>
          <w:rFonts w:eastAsia="SimSun"/>
        </w:rPr>
      </w:pPr>
      <w:r w:rsidRPr="00C07B2E">
        <w:rPr>
          <w:rFonts w:eastAsia="SimSun"/>
        </w:rPr>
        <w:t>наличие информированного добровольного согласия пациента (реципиента) на медицинское вмешательство с указанием сведений о том, что забор костного мозга и гемопоэтических стволовых клеток будет осуществляться у донора, у которого выявлены маркеры вирусов гепатитов (за исключением перенесенного гепатита A в анамнезе), сифилиса.</w:t>
      </w:r>
    </w:p>
    <w:p w14:paraId="0EA5D83E" w14:textId="77777777" w:rsidR="00304132" w:rsidRPr="00470D3D" w:rsidRDefault="00304132" w:rsidP="00304132">
      <w:pPr>
        <w:rPr>
          <w:rFonts w:eastAsia="SimSun"/>
        </w:rPr>
      </w:pPr>
    </w:p>
    <w:p w14:paraId="0B6577E0" w14:textId="13D67373" w:rsidR="00304132" w:rsidRPr="00470D3D" w:rsidRDefault="00304132" w:rsidP="00304132">
      <w:pPr>
        <w:rPr>
          <w:rFonts w:eastAsia="SimSun"/>
          <w:i/>
          <w:u w:val="single"/>
        </w:rPr>
      </w:pPr>
      <w:bookmarkStart w:id="274" w:name="_Toc44401125"/>
      <w:r w:rsidRPr="00470D3D">
        <w:rPr>
          <w:rFonts w:eastAsia="SimSun"/>
          <w:i/>
          <w:u w:val="single"/>
        </w:rPr>
        <w:t>Список лабораторных и инструментальных исследований для обследования кандидатов в доноры</w:t>
      </w:r>
      <w:bookmarkEnd w:id="274"/>
      <w:r w:rsidRPr="00470D3D">
        <w:rPr>
          <w:rFonts w:eastAsia="SimSun"/>
          <w:i/>
          <w:u w:val="single"/>
        </w:rPr>
        <w:t xml:space="preserve"> </w:t>
      </w:r>
      <w:r w:rsidRPr="00470D3D">
        <w:rPr>
          <w:rFonts w:eastAsia="SimSun"/>
          <w:i/>
          <w:u w:val="single"/>
        </w:rPr>
        <w:fldChar w:fldCharType="begin" w:fldLock="1"/>
      </w:r>
      <w:r w:rsidR="00A67ED2">
        <w:rPr>
          <w:rFonts w:eastAsia="SimSun"/>
          <w:i/>
          <w:u w:val="single"/>
        </w:rPr>
        <w:instrText>ADDIN CSL_CITATION {"citationItems":[{"id":"ITEM-1","itemData":{"id":"ITEM-1","issued":{"date-parts":[["2020"]]},"number-of-pages":"320","publisher":"М.: Практика","title":"Протоколы трансплантации аллогенных гепомоэтических стволовых клеток. Под ред. В.Г. Савченко","type":"book"},"uris":["http://www.mendeley.com/documents/?uuid=4926d981-6699-4015-bdc4-427c195be4de"]}],"mendeley":{"formattedCitation":"[139]","plainTextFormattedCitation":"[139]","previouslyFormattedCitation":"[112]"},"properties":{"noteIndex":0},"schema":"https://github.com/citation-style-language/schema/raw/master/csl-citation.json"}</w:instrText>
      </w:r>
      <w:r w:rsidRPr="00470D3D">
        <w:rPr>
          <w:rFonts w:eastAsia="SimSun"/>
          <w:i/>
          <w:u w:val="single"/>
        </w:rPr>
        <w:fldChar w:fldCharType="separate"/>
      </w:r>
      <w:r w:rsidR="00A67ED2" w:rsidRPr="00A67ED2">
        <w:rPr>
          <w:rFonts w:eastAsia="SimSun"/>
          <w:noProof/>
        </w:rPr>
        <w:t>[139]</w:t>
      </w:r>
      <w:r w:rsidRPr="00470D3D">
        <w:rPr>
          <w:rFonts w:eastAsia="SimSun"/>
          <w:i/>
          <w:u w:val="single"/>
        </w:rPr>
        <w:fldChar w:fldCharType="end"/>
      </w:r>
      <w:r>
        <w:rPr>
          <w:rFonts w:eastAsia="SimSun"/>
          <w:i/>
          <w:u w:val="single"/>
        </w:rPr>
        <w:t>:</w:t>
      </w:r>
    </w:p>
    <w:p w14:paraId="4EB48C70" w14:textId="77777777" w:rsidR="00304132" w:rsidRPr="00C07B2E" w:rsidRDefault="00304132" w:rsidP="00304132">
      <w:pPr>
        <w:rPr>
          <w:rFonts w:eastAsia="SimSun"/>
        </w:rPr>
      </w:pPr>
      <w:r w:rsidRPr="00C07B2E">
        <w:rPr>
          <w:rFonts w:eastAsia="SimSun"/>
        </w:rPr>
        <w:lastRenderedPageBreak/>
        <w:t>Общеклинический анализ крови (включая подсчет тромбоцитов)</w:t>
      </w:r>
    </w:p>
    <w:p w14:paraId="7F7C8A23" w14:textId="77777777" w:rsidR="00304132" w:rsidRPr="00C07B2E" w:rsidRDefault="00304132" w:rsidP="00304132">
      <w:pPr>
        <w:rPr>
          <w:rFonts w:eastAsia="SimSun"/>
        </w:rPr>
      </w:pPr>
      <w:r w:rsidRPr="00C07B2E">
        <w:rPr>
          <w:rFonts w:eastAsia="SimSun"/>
        </w:rPr>
        <w:t>Биохимический анализ крови (общий белок, альбумин, глобулин, общий холестерин, мочевая кислота, креатинин (расчет клиренса креатитнина — см. приложение 3), мочевина, билирубин и его фракции, АЛТ, АСТ, ЩФ, ГГТП, ЛДГ, сывороточное железо).</w:t>
      </w:r>
    </w:p>
    <w:p w14:paraId="67CC5EAB" w14:textId="77777777" w:rsidR="00304132" w:rsidRPr="00C07B2E" w:rsidRDefault="00304132" w:rsidP="00304132">
      <w:pPr>
        <w:rPr>
          <w:rFonts w:eastAsia="SimSun"/>
        </w:rPr>
      </w:pPr>
      <w:r w:rsidRPr="00C07B2E">
        <w:rPr>
          <w:rFonts w:eastAsia="SimSun"/>
        </w:rPr>
        <w:t>Коагулограмма (АЧТВ, фибриноген, ПТИ по Квику, МНО).</w:t>
      </w:r>
    </w:p>
    <w:p w14:paraId="2658AD00" w14:textId="77777777" w:rsidR="00304132" w:rsidRPr="00C07B2E" w:rsidRDefault="00304132" w:rsidP="00304132">
      <w:pPr>
        <w:rPr>
          <w:rFonts w:eastAsia="SimSun"/>
        </w:rPr>
      </w:pPr>
      <w:r w:rsidRPr="00C07B2E">
        <w:rPr>
          <w:rFonts w:eastAsia="SimSun"/>
        </w:rPr>
        <w:t>Глюкоза венозной крови натощак.</w:t>
      </w:r>
    </w:p>
    <w:p w14:paraId="32F19B8A" w14:textId="77777777" w:rsidR="00304132" w:rsidRPr="00C07B2E" w:rsidRDefault="00304132" w:rsidP="00304132">
      <w:pPr>
        <w:rPr>
          <w:rFonts w:eastAsia="SimSun"/>
        </w:rPr>
      </w:pPr>
      <w:r w:rsidRPr="00C07B2E">
        <w:rPr>
          <w:rFonts w:eastAsia="SimSun"/>
        </w:rPr>
        <w:t>Общий анализ мочи.</w:t>
      </w:r>
    </w:p>
    <w:p w14:paraId="79E8BBFF" w14:textId="77777777" w:rsidR="00304132" w:rsidRPr="00C07B2E" w:rsidRDefault="00304132" w:rsidP="00304132">
      <w:pPr>
        <w:rPr>
          <w:rFonts w:eastAsia="SimSun"/>
        </w:rPr>
      </w:pPr>
      <w:r w:rsidRPr="00C07B2E">
        <w:rPr>
          <w:rFonts w:eastAsia="SimSun"/>
        </w:rPr>
        <w:t>Серологические исследования гемотрансмиссивных инфекций (антитела к ВИЧ, HB</w:t>
      </w:r>
      <w:r w:rsidRPr="00C07B2E">
        <w:rPr>
          <w:rFonts w:eastAsia="SimSun"/>
          <w:lang w:val="en-US"/>
        </w:rPr>
        <w:t>sAg</w:t>
      </w:r>
      <w:r w:rsidRPr="00C07B2E">
        <w:rPr>
          <w:rFonts w:eastAsia="SimSun"/>
        </w:rPr>
        <w:t xml:space="preserve"> качественно, антитела к HB</w:t>
      </w:r>
      <w:r w:rsidRPr="00C07B2E">
        <w:rPr>
          <w:rFonts w:eastAsia="SimSun"/>
          <w:lang w:val="en-US"/>
        </w:rPr>
        <w:t>sAg</w:t>
      </w:r>
      <w:r w:rsidRPr="00C07B2E">
        <w:rPr>
          <w:rFonts w:eastAsia="SimSun"/>
        </w:rPr>
        <w:t xml:space="preserve"> качественно и количественно, анти-НВсоr качественно, </w:t>
      </w:r>
      <w:r w:rsidRPr="00C07B2E">
        <w:rPr>
          <w:rFonts w:eastAsia="SimSun"/>
          <w:lang w:val="en-US"/>
        </w:rPr>
        <w:t>HBeAg</w:t>
      </w:r>
      <w:r w:rsidRPr="00C07B2E">
        <w:rPr>
          <w:rFonts w:eastAsia="SimSun"/>
        </w:rPr>
        <w:t xml:space="preserve"> качественно, анти-</w:t>
      </w:r>
      <w:r w:rsidRPr="00C07B2E">
        <w:rPr>
          <w:rFonts w:eastAsia="SimSun"/>
          <w:lang w:val="en-US"/>
        </w:rPr>
        <w:t>HBeAg</w:t>
      </w:r>
      <w:r w:rsidRPr="00C07B2E">
        <w:rPr>
          <w:rFonts w:eastAsia="SimSun"/>
        </w:rPr>
        <w:t>, на сифилис).</w:t>
      </w:r>
    </w:p>
    <w:p w14:paraId="70810EAF" w14:textId="77777777" w:rsidR="00304132" w:rsidRPr="00C07B2E" w:rsidRDefault="00304132" w:rsidP="00304132">
      <w:pPr>
        <w:rPr>
          <w:rFonts w:eastAsia="SimSun"/>
        </w:rPr>
      </w:pPr>
      <w:r w:rsidRPr="00C07B2E">
        <w:rPr>
          <w:rFonts w:eastAsia="SimSun"/>
        </w:rPr>
        <w:t>Серологические исследования герпесвирусных инфекций (</w:t>
      </w:r>
      <w:r w:rsidRPr="00C07B2E">
        <w:rPr>
          <w:rFonts w:eastAsia="SimSun"/>
          <w:lang w:val="en-US"/>
        </w:rPr>
        <w:t>CMV</w:t>
      </w:r>
      <w:r w:rsidRPr="00C07B2E">
        <w:rPr>
          <w:rFonts w:eastAsia="SimSun"/>
        </w:rPr>
        <w:t>, Эпштейна—Барр, вирус герпеса человека 1 и 6-го типа).</w:t>
      </w:r>
    </w:p>
    <w:p w14:paraId="221D42E4" w14:textId="77777777" w:rsidR="00304132" w:rsidRPr="00C07B2E" w:rsidRDefault="00304132" w:rsidP="00304132">
      <w:pPr>
        <w:rPr>
          <w:rFonts w:eastAsia="SimSun"/>
        </w:rPr>
      </w:pPr>
      <w:r w:rsidRPr="00C07B2E">
        <w:rPr>
          <w:rFonts w:eastAsia="SimSun"/>
        </w:rPr>
        <w:t>Определение ДНК вируса гепатита В и РНК вируса гепатита С с помощью ПЦР.</w:t>
      </w:r>
    </w:p>
    <w:p w14:paraId="579BED48" w14:textId="77777777" w:rsidR="00304132" w:rsidRPr="00C07B2E" w:rsidRDefault="00304132" w:rsidP="00304132">
      <w:pPr>
        <w:rPr>
          <w:rFonts w:eastAsia="SimSun"/>
        </w:rPr>
      </w:pPr>
      <w:r w:rsidRPr="00C07B2E">
        <w:rPr>
          <w:rFonts w:eastAsia="SimSun"/>
        </w:rPr>
        <w:t>ЭКГ, по показаниям — трансторакальная ЭхоКГ, холтеровский мониторинг ЭКГ и др.Рентгенография органов грудной клетки, по показаниям — КТ органов грудной клетки и др.</w:t>
      </w:r>
    </w:p>
    <w:p w14:paraId="13EAD5CD" w14:textId="77777777" w:rsidR="00304132" w:rsidRPr="00C07B2E" w:rsidRDefault="00304132" w:rsidP="00304132">
      <w:pPr>
        <w:rPr>
          <w:rFonts w:eastAsia="SimSun"/>
        </w:rPr>
      </w:pPr>
      <w:r w:rsidRPr="00C07B2E">
        <w:rPr>
          <w:rFonts w:eastAsia="SimSun"/>
        </w:rPr>
        <w:t xml:space="preserve">УЗИ органов брюшной полости (по показаниям). </w:t>
      </w:r>
    </w:p>
    <w:p w14:paraId="3318C981" w14:textId="77777777" w:rsidR="00304132" w:rsidRDefault="00304132" w:rsidP="00304132">
      <w:pPr>
        <w:rPr>
          <w:rFonts w:eastAsia="SimSun"/>
        </w:rPr>
      </w:pPr>
      <w:bookmarkStart w:id="275" w:name="_Toc44401126"/>
    </w:p>
    <w:p w14:paraId="58F71DE6" w14:textId="77777777" w:rsidR="00304132" w:rsidRPr="00470D3D" w:rsidRDefault="00304132" w:rsidP="00304132">
      <w:pPr>
        <w:rPr>
          <w:rFonts w:eastAsia="SimSun"/>
          <w:b/>
        </w:rPr>
      </w:pPr>
      <w:r>
        <w:rPr>
          <w:rFonts w:eastAsia="SimSun"/>
          <w:b/>
        </w:rPr>
        <w:t>3</w:t>
      </w:r>
      <w:r w:rsidRPr="00470D3D">
        <w:rPr>
          <w:rFonts w:eastAsia="SimSun"/>
          <w:b/>
        </w:rPr>
        <w:t>. Протокол подготовки к инфузии и  инфузии аллогенных гемопоэтических стволовых клеток</w:t>
      </w:r>
      <w:bookmarkEnd w:id="275"/>
    </w:p>
    <w:p w14:paraId="1B42D7B3" w14:textId="77777777" w:rsidR="00304132" w:rsidRPr="00E87507" w:rsidRDefault="00304132" w:rsidP="00304132">
      <w:pPr>
        <w:rPr>
          <w:rFonts w:eastAsia="SimSun"/>
          <w:i/>
          <w:u w:val="single"/>
        </w:rPr>
      </w:pPr>
      <w:bookmarkStart w:id="276" w:name="_Toc44401128"/>
      <w:r w:rsidRPr="00E87507">
        <w:rPr>
          <w:rFonts w:eastAsia="SimSun"/>
          <w:i/>
          <w:u w:val="single"/>
        </w:rPr>
        <w:t>Установка ЦВК</w:t>
      </w:r>
      <w:bookmarkEnd w:id="276"/>
    </w:p>
    <w:p w14:paraId="6E59AB04" w14:textId="77777777" w:rsidR="00304132" w:rsidRPr="00C07B2E" w:rsidRDefault="00304132" w:rsidP="00304132">
      <w:pPr>
        <w:rPr>
          <w:rFonts w:eastAsia="SimSun"/>
        </w:rPr>
      </w:pPr>
      <w:r w:rsidRPr="00C07B2E">
        <w:rPr>
          <w:rFonts w:eastAsia="SimSun"/>
        </w:rPr>
        <w:t xml:space="preserve">Перед началом кондиционирования больному устанавливают двух- или трехходовой ЦВК в подключичную вену (или во внутреннюю яремную, в наружную яремную вену). </w:t>
      </w:r>
    </w:p>
    <w:p w14:paraId="0102B31D" w14:textId="77777777" w:rsidR="00304132" w:rsidRDefault="00304132" w:rsidP="00304132">
      <w:pPr>
        <w:rPr>
          <w:rFonts w:eastAsia="SimSun"/>
        </w:rPr>
      </w:pPr>
      <w:bookmarkStart w:id="277" w:name="_Toc44401129"/>
    </w:p>
    <w:p w14:paraId="5F9E2059" w14:textId="77777777" w:rsidR="00304132" w:rsidRPr="00E87507" w:rsidRDefault="00304132" w:rsidP="00304132">
      <w:pPr>
        <w:rPr>
          <w:rFonts w:eastAsia="SimSun"/>
          <w:i/>
          <w:u w:val="single"/>
        </w:rPr>
      </w:pPr>
      <w:r w:rsidRPr="00E87507">
        <w:rPr>
          <w:rFonts w:eastAsia="SimSun"/>
          <w:i/>
          <w:u w:val="single"/>
        </w:rPr>
        <w:t>Порядок отсчета дней до и после алло-ТГСК</w:t>
      </w:r>
      <w:bookmarkEnd w:id="277"/>
    </w:p>
    <w:p w14:paraId="504BD4BE" w14:textId="77777777" w:rsidR="00304132" w:rsidRPr="00C07B2E" w:rsidRDefault="00304132" w:rsidP="00304132">
      <w:pPr>
        <w:rPr>
          <w:rFonts w:eastAsia="SimSun"/>
        </w:rPr>
      </w:pPr>
      <w:r w:rsidRPr="00C07B2E">
        <w:rPr>
          <w:rFonts w:eastAsia="SimSun"/>
        </w:rPr>
        <w:t>Днем отсчета считается дата трансплантации. Она обозначается как «день 0», «Д0», «0 день ТГСК» или просто «0». От дня начала кондиционирования до дня инфузии ГСК (первого из дней инфузии ГСК) ведут обратный счет дней. Например: дата алло-ТГСК — 5 января, день «–1» — это 4 января и т. д. В случае если дата следует после алло-ТГСК, то перед ней ставится знак «+». Например: дата алло-ТГСК — 7 декабря, день «+1» — это 8 декабря. Счет ведется до конца жизни пациента, или до следующей ТКМ.</w:t>
      </w:r>
    </w:p>
    <w:p w14:paraId="082D5D3C" w14:textId="77777777" w:rsidR="00304132" w:rsidRDefault="00304132" w:rsidP="00304132">
      <w:pPr>
        <w:rPr>
          <w:rFonts w:eastAsia="SimSun"/>
        </w:rPr>
      </w:pPr>
      <w:bookmarkStart w:id="278" w:name="_Toc44401130"/>
    </w:p>
    <w:p w14:paraId="4F5E82F7" w14:textId="77777777" w:rsidR="00304132" w:rsidRPr="00E87507" w:rsidRDefault="00304132" w:rsidP="00304132">
      <w:pPr>
        <w:rPr>
          <w:rFonts w:eastAsia="SimSun"/>
          <w:i/>
          <w:u w:val="single"/>
        </w:rPr>
      </w:pPr>
      <w:r w:rsidRPr="00E87507">
        <w:rPr>
          <w:rFonts w:eastAsia="SimSun"/>
          <w:i/>
          <w:u w:val="single"/>
        </w:rPr>
        <w:t>Подготовка к инфузии ГСК</w:t>
      </w:r>
      <w:bookmarkEnd w:id="278"/>
    </w:p>
    <w:p w14:paraId="77D31219" w14:textId="77777777" w:rsidR="00304132" w:rsidRPr="00C07B2E" w:rsidRDefault="00304132" w:rsidP="00304132">
      <w:pPr>
        <w:rPr>
          <w:rFonts w:eastAsia="SimSun"/>
        </w:rPr>
      </w:pPr>
      <w:r w:rsidRPr="00C07B2E">
        <w:rPr>
          <w:rFonts w:eastAsia="SimSun"/>
        </w:rPr>
        <w:t>Убедитесь, что выполнены следующие условия:</w:t>
      </w:r>
    </w:p>
    <w:p w14:paraId="776A3726" w14:textId="77777777" w:rsidR="00304132" w:rsidRPr="00C07B2E" w:rsidRDefault="00304132" w:rsidP="008C1767">
      <w:pPr>
        <w:widowControl/>
        <w:numPr>
          <w:ilvl w:val="0"/>
          <w:numId w:val="81"/>
        </w:numPr>
        <w:overflowPunct w:val="0"/>
        <w:textAlignment w:val="baseline"/>
        <w:rPr>
          <w:rFonts w:eastAsia="SimSun"/>
        </w:rPr>
      </w:pPr>
      <w:r w:rsidRPr="00C07B2E">
        <w:rPr>
          <w:rFonts w:eastAsia="SimSun"/>
        </w:rPr>
        <w:lastRenderedPageBreak/>
        <w:t xml:space="preserve">Пациент подписал добровольное информированное согласие на трансплантацию. </w:t>
      </w:r>
    </w:p>
    <w:p w14:paraId="40D2A690" w14:textId="77777777" w:rsidR="00304132" w:rsidRPr="00C07B2E" w:rsidRDefault="00304132" w:rsidP="008C1767">
      <w:pPr>
        <w:widowControl/>
        <w:numPr>
          <w:ilvl w:val="0"/>
          <w:numId w:val="81"/>
        </w:numPr>
        <w:overflowPunct w:val="0"/>
        <w:textAlignment w:val="baseline"/>
        <w:rPr>
          <w:rFonts w:eastAsia="SimSun"/>
        </w:rPr>
      </w:pPr>
      <w:r w:rsidRPr="00C07B2E">
        <w:rPr>
          <w:rFonts w:eastAsia="SimSun"/>
        </w:rPr>
        <w:t xml:space="preserve">Пациенту на момент введения ГСК установлен ЦВК. При отсутствии адекватно функционирующего ЦВК на момент инфузии допускается инфузия клеточной взвеси через периферическую вену, в которой содержание </w:t>
      </w:r>
      <w:r w:rsidRPr="00C07B2E">
        <w:rPr>
          <w:rFonts w:eastAsia="SimSun"/>
          <w:shd w:val="clear" w:color="auto" w:fill="FFFFFF"/>
        </w:rPr>
        <w:t>диметилсульфоксида</w:t>
      </w:r>
      <w:r w:rsidRPr="00C07B2E">
        <w:rPr>
          <w:rFonts w:eastAsia="SimSun"/>
        </w:rPr>
        <w:t xml:space="preserve"> не превышает 10%. </w:t>
      </w:r>
    </w:p>
    <w:p w14:paraId="6C4CC298" w14:textId="77777777" w:rsidR="00304132" w:rsidRPr="00C07B2E" w:rsidRDefault="00304132" w:rsidP="008C1767">
      <w:pPr>
        <w:widowControl/>
        <w:numPr>
          <w:ilvl w:val="0"/>
          <w:numId w:val="81"/>
        </w:numPr>
        <w:overflowPunct w:val="0"/>
        <w:textAlignment w:val="baseline"/>
        <w:rPr>
          <w:rFonts w:eastAsia="SimSun"/>
        </w:rPr>
      </w:pPr>
      <w:r w:rsidRPr="00C07B2E">
        <w:rPr>
          <w:rFonts w:eastAsia="SimSun"/>
        </w:rPr>
        <w:t xml:space="preserve">Прошло не менее 36 ч после завершения введения цитостатических препаратов, входящих в режим кондиционирования. </w:t>
      </w:r>
    </w:p>
    <w:p w14:paraId="57D22AB7" w14:textId="77777777" w:rsidR="00304132" w:rsidRPr="00C07B2E" w:rsidRDefault="00304132" w:rsidP="008C1767">
      <w:pPr>
        <w:widowControl/>
        <w:numPr>
          <w:ilvl w:val="0"/>
          <w:numId w:val="81"/>
        </w:numPr>
        <w:overflowPunct w:val="0"/>
        <w:textAlignment w:val="baseline"/>
        <w:rPr>
          <w:rFonts w:eastAsia="SimSun"/>
        </w:rPr>
      </w:pPr>
      <w:r w:rsidRPr="00C07B2E">
        <w:rPr>
          <w:rFonts w:eastAsia="SimSun"/>
        </w:rPr>
        <w:t>При использовании с –1 дня циклоспорина</w:t>
      </w:r>
      <w:r w:rsidRPr="00C07B2E" w:rsidDel="00DA45A3">
        <w:rPr>
          <w:rFonts w:eastAsia="SimSun"/>
        </w:rPr>
        <w:t xml:space="preserve"> </w:t>
      </w:r>
      <w:r w:rsidRPr="00C07B2E">
        <w:rPr>
          <w:rFonts w:eastAsia="SimSun"/>
        </w:rPr>
        <w:t xml:space="preserve">(в режиме профилактики острой РТПХ) пациенту было введено не менее 3 доз препарата до инфузии ГСК. </w:t>
      </w:r>
    </w:p>
    <w:p w14:paraId="34BDA518" w14:textId="77777777" w:rsidR="00304132" w:rsidRPr="00C07B2E" w:rsidRDefault="00304132" w:rsidP="008C1767">
      <w:pPr>
        <w:widowControl/>
        <w:numPr>
          <w:ilvl w:val="0"/>
          <w:numId w:val="81"/>
        </w:numPr>
        <w:overflowPunct w:val="0"/>
        <w:textAlignment w:val="baseline"/>
        <w:rPr>
          <w:rFonts w:eastAsia="SimSun"/>
        </w:rPr>
      </w:pPr>
      <w:r w:rsidRPr="00C07B2E">
        <w:rPr>
          <w:rFonts w:eastAsia="SimSun"/>
        </w:rPr>
        <w:t>В момент инфузии ГСК введение других препаратов не проводится.</w:t>
      </w:r>
    </w:p>
    <w:p w14:paraId="6A7351CC" w14:textId="77777777" w:rsidR="00304132" w:rsidRPr="00C07B2E" w:rsidRDefault="00304132" w:rsidP="008C1767">
      <w:pPr>
        <w:widowControl/>
        <w:numPr>
          <w:ilvl w:val="0"/>
          <w:numId w:val="81"/>
        </w:numPr>
        <w:overflowPunct w:val="0"/>
        <w:textAlignment w:val="baseline"/>
        <w:rPr>
          <w:rFonts w:eastAsia="SimSun"/>
        </w:rPr>
      </w:pPr>
      <w:r w:rsidRPr="00C07B2E">
        <w:rPr>
          <w:rFonts w:eastAsia="SimSun"/>
        </w:rPr>
        <w:t>В момент введения ГСК запрещено проведение плазмафереза и/или гемодиализа.</w:t>
      </w:r>
    </w:p>
    <w:p w14:paraId="6515F545" w14:textId="77777777" w:rsidR="00304132" w:rsidRPr="00C07B2E" w:rsidRDefault="00304132" w:rsidP="00304132">
      <w:pPr>
        <w:rPr>
          <w:rFonts w:eastAsia="SimSun"/>
        </w:rPr>
      </w:pPr>
      <w:r w:rsidRPr="00C07B2E">
        <w:rPr>
          <w:rFonts w:eastAsia="SimSun"/>
        </w:rPr>
        <w:t>При необходимости проведения плазмафереза и/или гемодиализа инфузия ГСК выполняется до и/или через сутки после завершения этих процедур.</w:t>
      </w:r>
    </w:p>
    <w:p w14:paraId="166F4311" w14:textId="77777777" w:rsidR="00304132" w:rsidRPr="00C07B2E" w:rsidRDefault="00304132" w:rsidP="00304132">
      <w:pPr>
        <w:rPr>
          <w:rFonts w:eastAsia="SimSun"/>
        </w:rPr>
      </w:pPr>
      <w:r w:rsidRPr="00C07B2E">
        <w:rPr>
          <w:rFonts w:eastAsia="SimSun"/>
        </w:rPr>
        <w:t xml:space="preserve">За 2–3 ч до алло-ТГСК рекомендуется проводить инфузионную терапию (коллоидными и кристаллоидными растворами в объеме 500-1500 мл) в случае использования криоконсервированных ГСК. </w:t>
      </w:r>
    </w:p>
    <w:p w14:paraId="456CA556" w14:textId="77777777" w:rsidR="00304132" w:rsidRPr="00C07B2E" w:rsidRDefault="00304132" w:rsidP="00304132">
      <w:pPr>
        <w:rPr>
          <w:rFonts w:eastAsia="SimSun"/>
        </w:rPr>
      </w:pPr>
      <w:r w:rsidRPr="00C07B2E">
        <w:rPr>
          <w:rFonts w:eastAsia="SimSun"/>
        </w:rPr>
        <w:t xml:space="preserve">За 30 мин до введения ГСК, при наличии реакций на трансфузию компонентов крови в анамнезе, должна быть использована премедикация антигистаминными препаратами и/или нестероиднымии противовоспалительными препаратами препаратами и/или метилпреднизолоном (если в предыдущие сутки использовали метилпреднизолон). </w:t>
      </w:r>
    </w:p>
    <w:p w14:paraId="740FBCFD" w14:textId="77777777" w:rsidR="00304132" w:rsidRPr="00C07B2E" w:rsidRDefault="00304132" w:rsidP="00304132">
      <w:pPr>
        <w:rPr>
          <w:rFonts w:eastAsia="SimSun"/>
        </w:rPr>
      </w:pPr>
      <w:r w:rsidRPr="00C07B2E">
        <w:rPr>
          <w:rFonts w:eastAsia="SimSun"/>
        </w:rPr>
        <w:t xml:space="preserve">При любой  несовместимости между донором и реципиентом по системе АВ0 возможно введение метилпреднизолона в дозе 60 мг перед введением ГСК. </w:t>
      </w:r>
    </w:p>
    <w:p w14:paraId="1AD23391" w14:textId="77777777" w:rsidR="00304132" w:rsidRPr="00C07B2E" w:rsidRDefault="00304132" w:rsidP="00304132">
      <w:pPr>
        <w:rPr>
          <w:rFonts w:eastAsia="SimSun"/>
        </w:rPr>
      </w:pPr>
      <w:r w:rsidRPr="00C07B2E">
        <w:rPr>
          <w:rFonts w:eastAsia="SimSun"/>
        </w:rPr>
        <w:t>После получения из лаборатории мешка с ГСК производится его осмотр: указание Ф. И. О. пациента или донора (в зависимости от применяемых в центре требований к маркировке), даты рождения и группы крови, наличие внешних повреждений и/или посторонних примесей в мешке (сгустки, фрагменты костной ткани). В случае выявления «дефектов» мешок возвращается в лабораторию для их устранения.</w:t>
      </w:r>
    </w:p>
    <w:p w14:paraId="0D110CAF" w14:textId="77777777" w:rsidR="00304132" w:rsidRPr="00C07B2E" w:rsidRDefault="00304132" w:rsidP="00304132">
      <w:pPr>
        <w:rPr>
          <w:rFonts w:eastAsia="SimSun"/>
        </w:rPr>
      </w:pPr>
    </w:p>
    <w:p w14:paraId="6220423B" w14:textId="77777777" w:rsidR="00304132" w:rsidRPr="00985050" w:rsidRDefault="00304132" w:rsidP="00304132">
      <w:pPr>
        <w:rPr>
          <w:rFonts w:eastAsia="SimSun"/>
          <w:i/>
          <w:u w:val="single"/>
        </w:rPr>
      </w:pPr>
      <w:bookmarkStart w:id="279" w:name="_Toc44401131"/>
      <w:r w:rsidRPr="00985050">
        <w:rPr>
          <w:rFonts w:eastAsia="SimSun"/>
          <w:i/>
          <w:u w:val="single"/>
        </w:rPr>
        <w:t>Инфузия ГСК</w:t>
      </w:r>
      <w:bookmarkEnd w:id="279"/>
    </w:p>
    <w:p w14:paraId="0A99B52B" w14:textId="77777777" w:rsidR="00304132" w:rsidRPr="00C07B2E" w:rsidRDefault="00304132" w:rsidP="00304132">
      <w:pPr>
        <w:rPr>
          <w:rFonts w:eastAsia="SimSun"/>
        </w:rPr>
      </w:pPr>
      <w:r w:rsidRPr="00C07B2E">
        <w:rPr>
          <w:rFonts w:eastAsia="SimSun"/>
        </w:rPr>
        <w:t xml:space="preserve">Для первого введения выбирают мешок с максимальной клеточностью. При манипуляциях с мешком запрещается использовать металлические инструменты (зажимы, пинцеты и др.). В случае использования криоконсервированных ГСК их предварительно размораживают на </w:t>
      </w:r>
      <w:r w:rsidRPr="00C07B2E">
        <w:rPr>
          <w:rFonts w:eastAsia="SimSun"/>
        </w:rPr>
        <w:lastRenderedPageBreak/>
        <w:t xml:space="preserve">водяной бане или программном размораживателе при температуре 37˚С. После разморозки врач проверяет, что в мешке отсутствуют остаточные фрагменты льда, после чего прокалывает мешок с использованием системы для инфузии. Система для инфузии должна иметь фильтр размером от 150–260 микрон (обычная система для инфузии крови имеет фильтр в 175 микрон). </w:t>
      </w:r>
    </w:p>
    <w:p w14:paraId="45C7DD08" w14:textId="77777777" w:rsidR="00304132" w:rsidRPr="00C07B2E" w:rsidRDefault="00304132" w:rsidP="00304132">
      <w:pPr>
        <w:rPr>
          <w:rFonts w:eastAsia="SimSun"/>
        </w:rPr>
      </w:pPr>
      <w:r w:rsidRPr="00C07B2E">
        <w:rPr>
          <w:rFonts w:eastAsia="SimSun"/>
        </w:rPr>
        <w:t>В случае развития гемолиза инфузия ГСК из следующего мешка не проводится. Инфузии ГСК из следующих мешков возобновляют после хотя бы частичного купирования лизиса эритроцитов. После завершения инфузии ход ЦВК, который был использован для трансплантации, промывают физиологическим раствором. Далее пациент находится под пристальным наблюдением медицинского персонала. По показаниям возможно наблюдение анестезиолога-реаниматолога и/или постоянный мониторинг витальных показателей с помощью прикроватного монитора состояния пациента. Через 2 ч после завершения инфузии выполняют биохимическое исследование крови (оценка сывороточной концентрации К</w:t>
      </w:r>
      <w:r w:rsidRPr="00C07B2E">
        <w:rPr>
          <w:rFonts w:eastAsia="SimSun"/>
          <w:vertAlign w:val="superscript"/>
        </w:rPr>
        <w:t>+</w:t>
      </w:r>
      <w:r w:rsidRPr="00C07B2E">
        <w:rPr>
          <w:rFonts w:eastAsia="SimSun"/>
        </w:rPr>
        <w:t xml:space="preserve">). </w:t>
      </w:r>
    </w:p>
    <w:p w14:paraId="1F774E68" w14:textId="77777777" w:rsidR="00304132" w:rsidRDefault="00304132" w:rsidP="00304132">
      <w:pPr>
        <w:rPr>
          <w:rFonts w:eastAsia="SimSun"/>
        </w:rPr>
      </w:pPr>
      <w:bookmarkStart w:id="280" w:name="_Toc44401132"/>
    </w:p>
    <w:p w14:paraId="3F079EBC" w14:textId="77777777" w:rsidR="00304132" w:rsidRPr="00470D3D" w:rsidRDefault="00304132" w:rsidP="00304132">
      <w:pPr>
        <w:rPr>
          <w:rFonts w:eastAsia="SimSun"/>
          <w:b/>
        </w:rPr>
      </w:pPr>
      <w:r>
        <w:rPr>
          <w:rFonts w:eastAsia="SimSun"/>
          <w:b/>
        </w:rPr>
        <w:t>5.</w:t>
      </w:r>
      <w:r w:rsidRPr="00470D3D">
        <w:rPr>
          <w:rFonts w:eastAsia="SimSun"/>
          <w:b/>
        </w:rPr>
        <w:t xml:space="preserve"> Протокол внутривенного введения антитимоцитарного глобулина</w:t>
      </w:r>
      <w:bookmarkEnd w:id="280"/>
    </w:p>
    <w:p w14:paraId="2261598E" w14:textId="77777777" w:rsidR="00304132" w:rsidRPr="00985050" w:rsidRDefault="00304132" w:rsidP="00304132">
      <w:pPr>
        <w:rPr>
          <w:rFonts w:eastAsia="SimSun"/>
          <w:i/>
          <w:u w:val="single"/>
        </w:rPr>
      </w:pPr>
      <w:bookmarkStart w:id="281" w:name="_Toc44401134"/>
      <w:r w:rsidRPr="00985050">
        <w:rPr>
          <w:rFonts w:eastAsia="SimSun"/>
          <w:i/>
          <w:u w:val="single"/>
        </w:rPr>
        <w:t>Подготовка к введению</w:t>
      </w:r>
      <w:bookmarkEnd w:id="281"/>
      <w:r w:rsidRPr="00985050">
        <w:rPr>
          <w:rFonts w:eastAsia="SimSun"/>
          <w:i/>
          <w:u w:val="single"/>
        </w:rPr>
        <w:t xml:space="preserve"> </w:t>
      </w:r>
    </w:p>
    <w:p w14:paraId="0BB56C77" w14:textId="77777777" w:rsidR="00304132" w:rsidRPr="00C07B2E" w:rsidRDefault="00304132" w:rsidP="00304132">
      <w:pPr>
        <w:rPr>
          <w:rFonts w:eastAsia="SimSun"/>
        </w:rPr>
      </w:pPr>
      <w:r w:rsidRPr="00C07B2E">
        <w:rPr>
          <w:rFonts w:eastAsia="SimSun"/>
        </w:rPr>
        <w:t xml:space="preserve">Убедитесь, что вы информированы обо всех аллергических реакциях пациента. Перед началом введения препарата АТГ настоятельно рекомендуется проведение пробы с этим препаратом. Несмотря на то, что чувствительность и специфичность этого теста клинически не доказаны и его положительный результат не повлияет на введение препарата, проведение тестов рекомендовано для оценки вероятности развития анафилактической реакции на его введение. </w:t>
      </w:r>
    </w:p>
    <w:p w14:paraId="4A0EB678" w14:textId="77777777" w:rsidR="00304132" w:rsidRDefault="00304132" w:rsidP="00304132">
      <w:pPr>
        <w:rPr>
          <w:rFonts w:eastAsia="SimSun"/>
        </w:rPr>
      </w:pPr>
      <w:bookmarkStart w:id="282" w:name="_Toc44401135"/>
    </w:p>
    <w:p w14:paraId="317AFE00" w14:textId="77777777" w:rsidR="00304132" w:rsidRPr="00985050" w:rsidRDefault="00304132" w:rsidP="00304132">
      <w:pPr>
        <w:rPr>
          <w:rFonts w:eastAsia="SimSun"/>
          <w:i/>
          <w:u w:val="single"/>
        </w:rPr>
      </w:pPr>
      <w:r w:rsidRPr="00985050">
        <w:rPr>
          <w:rFonts w:eastAsia="SimSun"/>
          <w:i/>
          <w:u w:val="single"/>
        </w:rPr>
        <w:t>Методика проведения пробы</w:t>
      </w:r>
      <w:bookmarkEnd w:id="282"/>
      <w:r w:rsidRPr="00985050">
        <w:rPr>
          <w:rFonts w:eastAsia="SimSun"/>
          <w:i/>
          <w:u w:val="single"/>
        </w:rPr>
        <w:t xml:space="preserve"> </w:t>
      </w:r>
    </w:p>
    <w:p w14:paraId="566F08C3" w14:textId="77777777" w:rsidR="00304132" w:rsidRPr="00C07B2E" w:rsidRDefault="00304132" w:rsidP="00304132">
      <w:pPr>
        <w:rPr>
          <w:rFonts w:eastAsia="SimSun"/>
        </w:rPr>
      </w:pPr>
      <w:r w:rsidRPr="00C07B2E">
        <w:rPr>
          <w:rFonts w:eastAsia="SimSun"/>
        </w:rPr>
        <w:t xml:space="preserve">На внутренней стороне предплечья, отступив на 5 см от лучезапястного сустава, проводится укол в кожу на глубину 1–1,5 мм через каплю неразведенного препарата. Для этого используют инъекционные иглы для в/к вливаний, имеющие ограничитель глубины. Если через 20 мин после накалывания кожи не происходит образования папулы или волдыря, следует продолжить тестирование путем в/к инъекции: кожу сгибательной поверхности предплечья или на спине обрабатывают 70% спиртом после чего туберкулиновым или инсулиновым шприцем вводят 0,02 мл препарата, разведенного 0,9% раствором натрия хлорида для инъекций в концентрации 1:1000 (по объему) с одновременной контрольной инъекцией 0,9% раствора натрия хлорида для инъекций в том же объеме на расстоянии 5 </w:t>
      </w:r>
      <w:r w:rsidRPr="00C07B2E">
        <w:rPr>
          <w:rFonts w:eastAsia="SimSun"/>
        </w:rPr>
        <w:lastRenderedPageBreak/>
        <w:t>см. Оценка результатов производится через 20 мин. Образование волдыря в месте введения препарата диаметром, превышающим на 3 мм и более диаметр волдыря в месте контрольной инъекции с 0,9% раствора натрия хлорида, а также положительный накожный тест свидетельствуют о повышенной чувствительности к препарату и вероятности развития системной аллергической реакции при его в/в введении.</w:t>
      </w:r>
    </w:p>
    <w:p w14:paraId="7CAFF49B" w14:textId="77777777" w:rsidR="00304132" w:rsidRDefault="00304132" w:rsidP="00304132">
      <w:pPr>
        <w:rPr>
          <w:rFonts w:eastAsia="SimSun"/>
        </w:rPr>
      </w:pPr>
      <w:bookmarkStart w:id="283" w:name="_Toc44401136"/>
    </w:p>
    <w:p w14:paraId="0547E15D" w14:textId="77777777" w:rsidR="00304132" w:rsidRPr="00985050" w:rsidRDefault="00304132" w:rsidP="00304132">
      <w:pPr>
        <w:rPr>
          <w:rFonts w:eastAsia="SimSun"/>
          <w:i/>
          <w:u w:val="single"/>
        </w:rPr>
      </w:pPr>
      <w:r w:rsidRPr="00985050">
        <w:rPr>
          <w:rFonts w:eastAsia="SimSun"/>
          <w:i/>
          <w:u w:val="single"/>
        </w:rPr>
        <w:t>Инфузия лошадиного АТГ</w:t>
      </w:r>
      <w:bookmarkEnd w:id="283"/>
      <w:r w:rsidRPr="00985050">
        <w:rPr>
          <w:rFonts w:eastAsia="SimSun"/>
          <w:i/>
          <w:u w:val="single"/>
        </w:rPr>
        <w:t xml:space="preserve"> </w:t>
      </w:r>
    </w:p>
    <w:p w14:paraId="319D546C" w14:textId="77777777" w:rsidR="00304132" w:rsidRPr="00C07B2E" w:rsidRDefault="00304132" w:rsidP="00304132">
      <w:pPr>
        <w:rPr>
          <w:rFonts w:eastAsia="SimSun"/>
        </w:rPr>
      </w:pPr>
      <w:r w:rsidRPr="00C07B2E">
        <w:rPr>
          <w:rFonts w:eastAsia="SimSun"/>
        </w:rPr>
        <w:t>С целью снижения вероятности выпадения осадка суточная доза препарата АТГ делится на 2 приблизительно равные дозы. Рекомендуется подбирать дозы, кратные 250 мг (1 ампуле). Например, вес пациента 75 кг. Суточная доза 750 мг: утренняя — 500 мг, вечерняя — 250 мг.</w:t>
      </w:r>
    </w:p>
    <w:p w14:paraId="7BBC9071" w14:textId="77777777" w:rsidR="00304132" w:rsidRPr="00C07B2E" w:rsidRDefault="00304132" w:rsidP="00304132">
      <w:pPr>
        <w:rPr>
          <w:rFonts w:eastAsia="SimSun"/>
        </w:rPr>
      </w:pPr>
      <w:r w:rsidRPr="00C07B2E">
        <w:rPr>
          <w:rFonts w:eastAsia="SimSun"/>
        </w:rPr>
        <w:t>Каждая доза препарата разводится на 0,9% растворе хлорида натрия в объеме 500 мл. Время введения каждой из доз препарата АТГ составляет 6 ч:</w:t>
      </w:r>
    </w:p>
    <w:p w14:paraId="0BFE3DC2" w14:textId="77777777" w:rsidR="00304132" w:rsidRPr="00C07B2E" w:rsidRDefault="00304132" w:rsidP="00304132">
      <w:pPr>
        <w:rPr>
          <w:rFonts w:eastAsia="SimSun"/>
        </w:rPr>
      </w:pPr>
      <w:r w:rsidRPr="00C07B2E">
        <w:rPr>
          <w:rFonts w:eastAsia="SimSun"/>
        </w:rPr>
        <w:t>Утренняя доза — 10:00–16:00.</w:t>
      </w:r>
    </w:p>
    <w:p w14:paraId="3393F4F3" w14:textId="77777777" w:rsidR="00304132" w:rsidRPr="00C07B2E" w:rsidRDefault="00304132" w:rsidP="00304132">
      <w:pPr>
        <w:rPr>
          <w:rFonts w:eastAsia="SimSun"/>
        </w:rPr>
      </w:pPr>
      <w:r w:rsidRPr="00C07B2E">
        <w:rPr>
          <w:rFonts w:eastAsia="SimSun"/>
        </w:rPr>
        <w:t>Вечерняя доза — 17:00–23:00.</w:t>
      </w:r>
    </w:p>
    <w:p w14:paraId="4E28CDF7" w14:textId="77777777" w:rsidR="00304132" w:rsidRPr="00C07B2E" w:rsidRDefault="00304132" w:rsidP="00304132">
      <w:pPr>
        <w:rPr>
          <w:rFonts w:eastAsia="SimSun"/>
        </w:rPr>
      </w:pPr>
      <w:r w:rsidRPr="00C07B2E">
        <w:rPr>
          <w:rFonts w:eastAsia="SimSun"/>
        </w:rPr>
        <w:t>Введение препарата идет параллельно с введением метилпреднизолона в суммарной дозе 3 мг/кг (но не более 250 мг/сут). Началу инфузии препарата АТГ предшествует в/в болюсное введение 30 мг метилпреднизолона с последующей 13-часовой инфузией (с 10:00 по 23:00) оставшейся суточной дозы метилпреднизолона.</w:t>
      </w:r>
    </w:p>
    <w:p w14:paraId="0E7265B5" w14:textId="77777777" w:rsidR="00304132" w:rsidRPr="00C07B2E" w:rsidRDefault="00304132" w:rsidP="00304132">
      <w:pPr>
        <w:rPr>
          <w:rFonts w:eastAsia="SimSun"/>
        </w:rPr>
      </w:pPr>
    </w:p>
    <w:p w14:paraId="55B49696" w14:textId="77777777" w:rsidR="00304132" w:rsidRPr="00985050" w:rsidRDefault="00304132" w:rsidP="00304132">
      <w:pPr>
        <w:rPr>
          <w:rFonts w:eastAsia="SimSun"/>
          <w:i/>
          <w:u w:val="single"/>
        </w:rPr>
      </w:pPr>
      <w:bookmarkStart w:id="284" w:name="_Toc44401137"/>
      <w:r w:rsidRPr="00985050">
        <w:rPr>
          <w:rFonts w:eastAsia="SimSun"/>
          <w:i/>
          <w:u w:val="single"/>
        </w:rPr>
        <w:t>Альтернативный способ введения лошадиного АТГ</w:t>
      </w:r>
      <w:bookmarkEnd w:id="284"/>
      <w:r w:rsidRPr="00985050">
        <w:rPr>
          <w:i/>
          <w:u w:val="single"/>
        </w:rPr>
        <w:t xml:space="preserve"> </w:t>
      </w:r>
    </w:p>
    <w:p w14:paraId="0C01DD6D" w14:textId="77777777" w:rsidR="00304132" w:rsidRPr="00C07B2E" w:rsidRDefault="00304132" w:rsidP="00304132"/>
    <w:p w14:paraId="3E984569" w14:textId="77777777" w:rsidR="00304132" w:rsidRPr="00C07B2E" w:rsidRDefault="00304132" w:rsidP="00304132">
      <w:r w:rsidRPr="00C07B2E">
        <w:t xml:space="preserve">Лошадиный АТГ разводится на 500 мл физиологического раствора.  В случае отрицательной кожной пробы проводится 12- часовая инфузия с премедикацией 1 мг/кг метилпреднизолона в\в капельно перед началом введения и через 6 часов после начала введения. В случае положительной кожной пробы доза солумедрола увеличивается до 2 мг/кг. В случае развития аллергической реакции на фоне введения введение препарата останавливается и вводится 2 мг/кг метилпреднизолона. Инфузия возобновляется с удлинением времени введения до 18 часов после разрешения симптомов аллергии. </w:t>
      </w:r>
    </w:p>
    <w:p w14:paraId="72ABAA6D" w14:textId="77777777" w:rsidR="00304132" w:rsidRPr="00C07B2E" w:rsidRDefault="00304132" w:rsidP="00304132">
      <w:pPr>
        <w:rPr>
          <w:rFonts w:eastAsia="SimSun"/>
        </w:rPr>
      </w:pPr>
    </w:p>
    <w:p w14:paraId="3EB61D45" w14:textId="77777777" w:rsidR="00304132" w:rsidRPr="00985050" w:rsidRDefault="00304132" w:rsidP="00304132">
      <w:pPr>
        <w:rPr>
          <w:rFonts w:eastAsia="SimSun"/>
          <w:i/>
          <w:u w:val="single"/>
        </w:rPr>
      </w:pPr>
      <w:bookmarkStart w:id="285" w:name="_Toc44401138"/>
      <w:r w:rsidRPr="00985050">
        <w:rPr>
          <w:rFonts w:eastAsia="SimSun"/>
          <w:i/>
          <w:u w:val="single"/>
        </w:rPr>
        <w:t>Инфузия кроличьего АТГ</w:t>
      </w:r>
      <w:bookmarkEnd w:id="285"/>
    </w:p>
    <w:p w14:paraId="6B8DBBB4" w14:textId="77777777" w:rsidR="00304132" w:rsidRPr="00C07B2E" w:rsidRDefault="00304132" w:rsidP="00304132">
      <w:r w:rsidRPr="00C07B2E">
        <w:t xml:space="preserve">Тимоглобулин (кроличий антитимоцитарный глобулин) вводится в течение 2-3 дней до трансплантации в дозе 2.5 мг/кг на введение (суммарная доза 5-7.5 мг/кг). Крайне желательно, чтобы дни введения не совпадали с днями приема бусульфана, например в -2 </w:t>
      </w:r>
      <w:r w:rsidRPr="00C07B2E">
        <w:lastRenderedPageBreak/>
        <w:t>и -1 дни. Тимоглобулин разводится на 500 мл физиологического раствора.  Кожная проба при использовании Тимоглобулина не проводится. Премедикация перед введением – метилпреднизолон 2 мг/кг в</w:t>
      </w:r>
      <w:r>
        <w:t>/</w:t>
      </w:r>
      <w:r w:rsidRPr="00C07B2E">
        <w:t xml:space="preserve">в капельно. Первая доза вводится за 6 часов. Вторая за 4 часа. В случае развития аллергической реакции на фоне введения введение препарата останавливается и вводится 2 мг/кг метилпреднизолона. Оставшееся время введения удлиняется в два раза. </w:t>
      </w:r>
    </w:p>
    <w:p w14:paraId="3766C7DA" w14:textId="77777777" w:rsidR="00304132" w:rsidRPr="00C07B2E" w:rsidRDefault="00304132" w:rsidP="00304132"/>
    <w:p w14:paraId="7D0DB98D" w14:textId="77777777" w:rsidR="00304132" w:rsidRPr="00C07B2E" w:rsidRDefault="00304132" w:rsidP="00304132">
      <w:r w:rsidRPr="00C07B2E">
        <w:t xml:space="preserve">Графалон (кроличий антитимоцитарный глобулин) вводится в течение 3 дней до трансплантации в дозе 20 мг/кг на введение (суммарная доза 60 мг/кг). Крайне желательно, чтобы дни введения не совпадали с днями приема бусульфана, например в -3, -2 и -1 дни. Графалон разводится на 500 мл физиологического раствора. Кожная проба не проводится. Премедикация перед введением – метилпреднизолон 2 мг/кг в\в капельно. Первая доза вводится за 6 часов. Вторая за 4 часа. В случае развития аллергической реакции на фоне введения введение препарата останавливается и вводится 2 мг/кг метилпреднизолона. Оставшееся время введения удлиняется в два раза.  </w:t>
      </w:r>
    </w:p>
    <w:p w14:paraId="129461BE" w14:textId="77777777" w:rsidR="00304132" w:rsidRDefault="00304132" w:rsidP="00304132">
      <w:pPr>
        <w:rPr>
          <w:rFonts w:eastAsia="SimSun"/>
        </w:rPr>
      </w:pPr>
      <w:bookmarkStart w:id="286" w:name="_Toc44401139"/>
    </w:p>
    <w:p w14:paraId="617671E4" w14:textId="77777777" w:rsidR="00304132" w:rsidRPr="00470D3D" w:rsidRDefault="00304132" w:rsidP="00304132">
      <w:pPr>
        <w:rPr>
          <w:rFonts w:eastAsia="SimSun"/>
          <w:b/>
        </w:rPr>
      </w:pPr>
      <w:r>
        <w:rPr>
          <w:rFonts w:eastAsia="SimSun"/>
          <w:b/>
        </w:rPr>
        <w:t>5</w:t>
      </w:r>
      <w:r w:rsidRPr="00470D3D">
        <w:rPr>
          <w:rFonts w:eastAsia="SimSun"/>
          <w:b/>
        </w:rPr>
        <w:t>. Протоколы кондиционирования и профилактики РТПХ в зависимости от типа донора</w:t>
      </w:r>
      <w:bookmarkEnd w:id="286"/>
    </w:p>
    <w:p w14:paraId="17FC16B1" w14:textId="77777777" w:rsidR="00304132" w:rsidRPr="00985050" w:rsidRDefault="00304132" w:rsidP="00304132">
      <w:pPr>
        <w:rPr>
          <w:rFonts w:eastAsia="SimSun"/>
          <w:i/>
          <w:u w:val="single"/>
        </w:rPr>
      </w:pPr>
      <w:bookmarkStart w:id="287" w:name="_Toc44401140"/>
      <w:r>
        <w:rPr>
          <w:rFonts w:eastAsia="SimSun"/>
          <w:i/>
          <w:u w:val="single"/>
        </w:rPr>
        <w:t>5.</w:t>
      </w:r>
      <w:r w:rsidRPr="00985050">
        <w:rPr>
          <w:rFonts w:eastAsia="SimSun"/>
          <w:i/>
          <w:u w:val="single"/>
        </w:rPr>
        <w:t xml:space="preserve">1. Родственный </w:t>
      </w:r>
      <w:r w:rsidRPr="00985050">
        <w:rPr>
          <w:rFonts w:eastAsia="SimSun"/>
          <w:i/>
          <w:u w:val="single"/>
          <w:lang w:val="en-US"/>
        </w:rPr>
        <w:t>HLA</w:t>
      </w:r>
      <w:r w:rsidRPr="00985050">
        <w:rPr>
          <w:rFonts w:eastAsia="SimSun"/>
          <w:i/>
          <w:u w:val="single"/>
        </w:rPr>
        <w:t>-идентичный донор</w:t>
      </w:r>
      <w:bookmarkEnd w:id="287"/>
      <w:r w:rsidRPr="00985050">
        <w:rPr>
          <w:rFonts w:eastAsia="SimSun"/>
          <w:i/>
          <w:u w:val="single"/>
        </w:rPr>
        <w:t xml:space="preserve"> </w:t>
      </w:r>
    </w:p>
    <w:p w14:paraId="3CFF3621" w14:textId="77777777" w:rsidR="00304132" w:rsidRPr="00C07B2E" w:rsidRDefault="00304132" w:rsidP="00304132">
      <w:pPr>
        <w:rPr>
          <w:rFonts w:eastAsia="SimSun"/>
        </w:rPr>
      </w:pPr>
      <w:r w:rsidRPr="00C07B2E">
        <w:rPr>
          <w:rFonts w:eastAsia="SimSun"/>
        </w:rPr>
        <w:t xml:space="preserve">Схемы и режимы применения препаратов для кондиционирования и профилактики РТПХ указаны в Таблице </w:t>
      </w:r>
      <w:r>
        <w:rPr>
          <w:rFonts w:eastAsia="SimSun"/>
        </w:rPr>
        <w:t>5</w:t>
      </w:r>
      <w:r w:rsidRPr="00C07B2E">
        <w:rPr>
          <w:rFonts w:eastAsia="SimSun"/>
        </w:rPr>
        <w:t>.1.1</w:t>
      </w:r>
    </w:p>
    <w:p w14:paraId="25CC61D0" w14:textId="77777777" w:rsidR="00304132" w:rsidRPr="00C07B2E" w:rsidRDefault="00304132" w:rsidP="00304132">
      <w:pPr>
        <w:rPr>
          <w:rFonts w:eastAsia="SimSun"/>
        </w:rPr>
        <w:sectPr w:rsidR="00304132" w:rsidRPr="00C07B2E" w:rsidSect="00304132">
          <w:headerReference w:type="even" r:id="rId10"/>
          <w:headerReference w:type="default" r:id="rId11"/>
          <w:footerReference w:type="even" r:id="rId12"/>
          <w:footerReference w:type="default" r:id="rId13"/>
          <w:headerReference w:type="first" r:id="rId14"/>
          <w:footerReference w:type="first" r:id="rId15"/>
          <w:pgSz w:w="11907" w:h="16839" w:code="9"/>
          <w:pgMar w:top="1134" w:right="850" w:bottom="1134" w:left="1701" w:header="709" w:footer="567" w:gutter="0"/>
          <w:cols w:space="708"/>
          <w:docGrid w:linePitch="360"/>
        </w:sectPr>
      </w:pPr>
    </w:p>
    <w:p w14:paraId="2CD12987" w14:textId="77777777" w:rsidR="00304132" w:rsidRPr="00C07B2E" w:rsidRDefault="00304132" w:rsidP="00304132">
      <w:pPr>
        <w:rPr>
          <w:rFonts w:eastAsia="SimSun"/>
        </w:rPr>
      </w:pPr>
      <w:r w:rsidRPr="00C07B2E">
        <w:rPr>
          <w:rFonts w:eastAsia="SimSun"/>
        </w:rPr>
        <w:lastRenderedPageBreak/>
        <w:t xml:space="preserve">Таблица </w:t>
      </w:r>
      <w:r>
        <w:rPr>
          <w:rFonts w:eastAsia="SimSun"/>
        </w:rPr>
        <w:t>5</w:t>
      </w:r>
      <w:r w:rsidRPr="00C07B2E">
        <w:rPr>
          <w:rFonts w:eastAsia="SimSun"/>
        </w:rPr>
        <w:t xml:space="preserve">.1.1 Схемы и режимы применения препаратов для кондиционирования и профилактики РТПХ со ссылками на </w:t>
      </w:r>
      <w:r>
        <w:rPr>
          <w:rFonts w:eastAsia="SimSun"/>
        </w:rPr>
        <w:t>таблицы с описанием</w:t>
      </w:r>
    </w:p>
    <w:p w14:paraId="6F32E606" w14:textId="77777777" w:rsidR="00304132" w:rsidRPr="00C07B2E" w:rsidRDefault="00304132" w:rsidP="00304132">
      <w:pPr>
        <w:rPr>
          <w:rFonts w:eastAsia="SimSu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91"/>
        <w:gridCol w:w="809"/>
        <w:gridCol w:w="1222"/>
        <w:gridCol w:w="1659"/>
        <w:gridCol w:w="1539"/>
        <w:gridCol w:w="1713"/>
        <w:gridCol w:w="1713"/>
        <w:gridCol w:w="1713"/>
        <w:gridCol w:w="1919"/>
      </w:tblGrid>
      <w:tr w:rsidR="00304132" w:rsidRPr="00C07B2E" w14:paraId="78AE8726" w14:textId="77777777" w:rsidTr="00CD5E09">
        <w:trPr>
          <w:cantSplit/>
          <w:trHeight w:val="664"/>
        </w:trPr>
        <w:tc>
          <w:tcPr>
            <w:tcW w:w="1408" w:type="pct"/>
            <w:gridSpan w:val="3"/>
            <w:vMerge w:val="restart"/>
            <w:shd w:val="clear" w:color="auto" w:fill="auto"/>
            <w:vAlign w:val="center"/>
          </w:tcPr>
          <w:p w14:paraId="0EAF670C" w14:textId="77777777" w:rsidR="00304132" w:rsidRPr="00C07B2E" w:rsidRDefault="00304132" w:rsidP="00CD5E09">
            <w:pPr>
              <w:rPr>
                <w:rFonts w:eastAsia="SimSun"/>
              </w:rPr>
            </w:pPr>
            <w:r w:rsidRPr="00C07B2E">
              <w:rPr>
                <w:rFonts w:eastAsia="SimSun"/>
              </w:rPr>
              <w:t>Профилактика РТПХ</w:t>
            </w:r>
          </w:p>
        </w:tc>
        <w:tc>
          <w:tcPr>
            <w:tcW w:w="3592" w:type="pct"/>
            <w:gridSpan w:val="6"/>
            <w:shd w:val="clear" w:color="auto" w:fill="auto"/>
            <w:vAlign w:val="center"/>
          </w:tcPr>
          <w:p w14:paraId="7A10FC5D" w14:textId="77777777" w:rsidR="00304132" w:rsidRPr="00C07B2E" w:rsidRDefault="00304132" w:rsidP="00CD5E09">
            <w:pPr>
              <w:rPr>
                <w:rFonts w:eastAsia="SimSun"/>
              </w:rPr>
            </w:pPr>
            <w:r w:rsidRPr="00C07B2E">
              <w:rPr>
                <w:rFonts w:eastAsia="SimSun"/>
              </w:rPr>
              <w:t>Режим кондиционирования</w:t>
            </w:r>
          </w:p>
        </w:tc>
      </w:tr>
      <w:tr w:rsidR="00304132" w:rsidRPr="00C07B2E" w14:paraId="63B9CB90" w14:textId="77777777" w:rsidTr="00CD5E09">
        <w:trPr>
          <w:cantSplit/>
          <w:trHeight w:val="676"/>
        </w:trPr>
        <w:tc>
          <w:tcPr>
            <w:tcW w:w="1408" w:type="pct"/>
            <w:gridSpan w:val="3"/>
            <w:vMerge/>
            <w:shd w:val="clear" w:color="auto" w:fill="auto"/>
            <w:vAlign w:val="center"/>
          </w:tcPr>
          <w:p w14:paraId="5A83B750" w14:textId="77777777" w:rsidR="00304132" w:rsidRPr="00C07B2E" w:rsidRDefault="00304132" w:rsidP="00CD5E09">
            <w:pPr>
              <w:rPr>
                <w:rFonts w:eastAsia="SimSun"/>
              </w:rPr>
            </w:pPr>
          </w:p>
        </w:tc>
        <w:tc>
          <w:tcPr>
            <w:tcW w:w="1120" w:type="pct"/>
            <w:gridSpan w:val="2"/>
            <w:shd w:val="clear" w:color="auto" w:fill="BFBFBF"/>
            <w:vAlign w:val="center"/>
          </w:tcPr>
          <w:p w14:paraId="0A1C514E" w14:textId="77777777" w:rsidR="00304132" w:rsidRPr="00C07B2E" w:rsidRDefault="00304132" w:rsidP="00CD5E09">
            <w:pPr>
              <w:rPr>
                <w:rFonts w:eastAsia="SimSun"/>
              </w:rPr>
            </w:pPr>
            <w:r w:rsidRPr="00C07B2E">
              <w:rPr>
                <w:rFonts w:eastAsia="SimSun"/>
                <w:lang w:val="en-US"/>
              </w:rPr>
              <w:t>Cy</w:t>
            </w:r>
            <w:r w:rsidRPr="00C07B2E">
              <w:rPr>
                <w:rFonts w:eastAsia="SimSun"/>
              </w:rPr>
              <w:t>120</w:t>
            </w:r>
          </w:p>
        </w:tc>
        <w:tc>
          <w:tcPr>
            <w:tcW w:w="600" w:type="pct"/>
            <w:shd w:val="clear" w:color="auto" w:fill="BFBFBF"/>
            <w:vAlign w:val="center"/>
          </w:tcPr>
          <w:p w14:paraId="7B67DD9F" w14:textId="77777777" w:rsidR="00304132" w:rsidRPr="00C07B2E" w:rsidRDefault="00304132" w:rsidP="00CD5E09">
            <w:pPr>
              <w:rPr>
                <w:rFonts w:eastAsia="SimSun"/>
              </w:rPr>
            </w:pPr>
            <w:r w:rsidRPr="00C07B2E">
              <w:rPr>
                <w:rFonts w:eastAsia="SimSun"/>
                <w:lang w:val="en-US"/>
              </w:rPr>
              <w:t>Flu</w:t>
            </w:r>
            <w:r w:rsidRPr="00C07B2E">
              <w:rPr>
                <w:rFonts w:eastAsia="SimSun"/>
              </w:rPr>
              <w:t>150</w:t>
            </w:r>
          </w:p>
        </w:tc>
        <w:tc>
          <w:tcPr>
            <w:tcW w:w="1872" w:type="pct"/>
            <w:gridSpan w:val="3"/>
            <w:shd w:val="clear" w:color="auto" w:fill="BFBFBF"/>
            <w:vAlign w:val="center"/>
          </w:tcPr>
          <w:p w14:paraId="5AAE171E" w14:textId="77777777" w:rsidR="00304132" w:rsidRPr="00C07B2E" w:rsidRDefault="00304132" w:rsidP="00CD5E09">
            <w:pPr>
              <w:rPr>
                <w:rFonts w:eastAsia="SimSun"/>
              </w:rPr>
            </w:pPr>
            <w:r w:rsidRPr="00C07B2E">
              <w:rPr>
                <w:rFonts w:eastAsia="SimSun"/>
                <w:lang w:val="en-US"/>
              </w:rPr>
              <w:t>Flu</w:t>
            </w:r>
            <w:r w:rsidRPr="00C07B2E">
              <w:rPr>
                <w:rFonts w:eastAsia="SimSun"/>
              </w:rPr>
              <w:t>180</w:t>
            </w:r>
          </w:p>
        </w:tc>
      </w:tr>
      <w:tr w:rsidR="00304132" w:rsidRPr="00C07B2E" w14:paraId="6D1AE83E" w14:textId="77777777" w:rsidTr="00CD5E09">
        <w:trPr>
          <w:cantSplit/>
          <w:trHeight w:val="791"/>
        </w:trPr>
        <w:tc>
          <w:tcPr>
            <w:tcW w:w="1408" w:type="pct"/>
            <w:gridSpan w:val="3"/>
            <w:vMerge/>
            <w:shd w:val="clear" w:color="auto" w:fill="auto"/>
            <w:vAlign w:val="center"/>
          </w:tcPr>
          <w:p w14:paraId="69C34234" w14:textId="77777777" w:rsidR="00304132" w:rsidRPr="00C07B2E" w:rsidRDefault="00304132" w:rsidP="00CD5E09">
            <w:pPr>
              <w:rPr>
                <w:rFonts w:eastAsia="SimSun"/>
              </w:rPr>
            </w:pPr>
          </w:p>
        </w:tc>
        <w:tc>
          <w:tcPr>
            <w:tcW w:w="581" w:type="pct"/>
            <w:shd w:val="clear" w:color="auto" w:fill="BFBFBF"/>
            <w:vAlign w:val="center"/>
          </w:tcPr>
          <w:p w14:paraId="02CFBE81" w14:textId="77777777" w:rsidR="00304132" w:rsidRPr="00C07B2E" w:rsidRDefault="00304132" w:rsidP="00CD5E09">
            <w:pPr>
              <w:rPr>
                <w:rFonts w:eastAsia="SimSun"/>
              </w:rPr>
            </w:pPr>
            <w:r w:rsidRPr="00C07B2E">
              <w:rPr>
                <w:rFonts w:eastAsia="SimSun"/>
                <w:lang w:val="en-US"/>
              </w:rPr>
              <w:t>Bu</w:t>
            </w:r>
            <w:r w:rsidRPr="00C07B2E">
              <w:rPr>
                <w:rFonts w:eastAsia="SimSun"/>
              </w:rPr>
              <w:t>12</w:t>
            </w:r>
          </w:p>
        </w:tc>
        <w:tc>
          <w:tcPr>
            <w:tcW w:w="539" w:type="pct"/>
            <w:shd w:val="clear" w:color="auto" w:fill="BFBFBF"/>
            <w:vAlign w:val="center"/>
          </w:tcPr>
          <w:p w14:paraId="76CC06C5" w14:textId="77777777" w:rsidR="00304132" w:rsidRPr="00C07B2E" w:rsidRDefault="00304132" w:rsidP="00CD5E09">
            <w:pPr>
              <w:rPr>
                <w:rFonts w:eastAsia="SimSun"/>
              </w:rPr>
            </w:pPr>
            <w:r w:rsidRPr="00C07B2E">
              <w:rPr>
                <w:rFonts w:eastAsia="SimSun"/>
                <w:lang w:val="en-US"/>
              </w:rPr>
              <w:t>TBI</w:t>
            </w:r>
          </w:p>
        </w:tc>
        <w:tc>
          <w:tcPr>
            <w:tcW w:w="600" w:type="pct"/>
            <w:shd w:val="clear" w:color="auto" w:fill="BFBFBF"/>
            <w:vAlign w:val="center"/>
          </w:tcPr>
          <w:p w14:paraId="0C2C9E58" w14:textId="77777777" w:rsidR="00304132" w:rsidRPr="00C07B2E" w:rsidRDefault="00304132" w:rsidP="00CD5E09">
            <w:pPr>
              <w:rPr>
                <w:rFonts w:eastAsia="SimSun"/>
              </w:rPr>
            </w:pPr>
            <w:r w:rsidRPr="00C07B2E">
              <w:rPr>
                <w:rFonts w:eastAsia="SimSun"/>
                <w:lang w:val="en-US"/>
              </w:rPr>
              <w:t>Bu</w:t>
            </w:r>
            <w:r w:rsidRPr="00C07B2E">
              <w:rPr>
                <w:rFonts w:eastAsia="SimSun"/>
              </w:rPr>
              <w:t>12</w:t>
            </w:r>
          </w:p>
        </w:tc>
        <w:tc>
          <w:tcPr>
            <w:tcW w:w="600" w:type="pct"/>
            <w:shd w:val="clear" w:color="auto" w:fill="BFBFBF"/>
            <w:vAlign w:val="center"/>
          </w:tcPr>
          <w:p w14:paraId="26C35A3B" w14:textId="77777777" w:rsidR="00304132" w:rsidRPr="00C07B2E" w:rsidRDefault="00304132" w:rsidP="00CD5E09">
            <w:pPr>
              <w:rPr>
                <w:rFonts w:eastAsia="SimSun"/>
              </w:rPr>
            </w:pPr>
            <w:r w:rsidRPr="00C07B2E">
              <w:rPr>
                <w:rFonts w:eastAsia="SimSun"/>
                <w:lang w:val="en-US"/>
              </w:rPr>
              <w:t>Bu</w:t>
            </w:r>
            <w:r w:rsidRPr="00C07B2E">
              <w:rPr>
                <w:rFonts w:eastAsia="SimSun"/>
              </w:rPr>
              <w:t>12</w:t>
            </w:r>
          </w:p>
        </w:tc>
        <w:tc>
          <w:tcPr>
            <w:tcW w:w="600" w:type="pct"/>
            <w:shd w:val="clear" w:color="auto" w:fill="BFBFBF"/>
            <w:vAlign w:val="center"/>
          </w:tcPr>
          <w:p w14:paraId="2F694F1E" w14:textId="77777777" w:rsidR="00304132" w:rsidRPr="00C07B2E" w:rsidRDefault="00304132" w:rsidP="00CD5E09">
            <w:pPr>
              <w:rPr>
                <w:rFonts w:eastAsia="SimSun"/>
              </w:rPr>
            </w:pPr>
            <w:r w:rsidRPr="00C07B2E">
              <w:rPr>
                <w:rFonts w:eastAsia="SimSun"/>
                <w:lang w:val="en-US"/>
              </w:rPr>
              <w:t>Bu</w:t>
            </w:r>
            <w:r w:rsidRPr="00C07B2E">
              <w:rPr>
                <w:rFonts w:eastAsia="SimSun"/>
              </w:rPr>
              <w:t>14</w:t>
            </w:r>
          </w:p>
        </w:tc>
        <w:tc>
          <w:tcPr>
            <w:tcW w:w="672" w:type="pct"/>
            <w:shd w:val="clear" w:color="auto" w:fill="BFBFBF"/>
            <w:vAlign w:val="center"/>
          </w:tcPr>
          <w:p w14:paraId="760D08E3" w14:textId="77777777" w:rsidR="00304132" w:rsidRPr="00C07B2E" w:rsidRDefault="00304132" w:rsidP="00CD5E09">
            <w:pPr>
              <w:rPr>
                <w:rFonts w:eastAsia="SimSun"/>
              </w:rPr>
            </w:pPr>
            <w:r w:rsidRPr="00C07B2E">
              <w:rPr>
                <w:rFonts w:eastAsia="SimSun"/>
                <w:lang w:val="en-US"/>
              </w:rPr>
              <w:t>Treo</w:t>
            </w:r>
            <w:r w:rsidRPr="00C07B2E">
              <w:rPr>
                <w:rFonts w:eastAsia="SimSun"/>
              </w:rPr>
              <w:t>42</w:t>
            </w:r>
          </w:p>
        </w:tc>
      </w:tr>
      <w:tr w:rsidR="00304132" w:rsidRPr="00C07B2E" w14:paraId="7D641068" w14:textId="77777777" w:rsidTr="00CD5E09">
        <w:trPr>
          <w:cantSplit/>
          <w:trHeight w:val="1020"/>
        </w:trPr>
        <w:tc>
          <w:tcPr>
            <w:tcW w:w="697" w:type="pct"/>
            <w:shd w:val="clear" w:color="auto" w:fill="BFBFBF"/>
            <w:vAlign w:val="center"/>
          </w:tcPr>
          <w:p w14:paraId="3C4C956C" w14:textId="77777777" w:rsidR="00304132" w:rsidRPr="00C07B2E" w:rsidRDefault="00304132" w:rsidP="00CD5E09">
            <w:pPr>
              <w:rPr>
                <w:rFonts w:eastAsia="SimSun"/>
              </w:rPr>
            </w:pPr>
            <w:r w:rsidRPr="00C07B2E">
              <w:rPr>
                <w:rFonts w:eastAsia="SimSun"/>
              </w:rPr>
              <w:t>-</w:t>
            </w:r>
          </w:p>
        </w:tc>
        <w:tc>
          <w:tcPr>
            <w:tcW w:w="283" w:type="pct"/>
            <w:shd w:val="clear" w:color="auto" w:fill="BFBFBF"/>
            <w:vAlign w:val="center"/>
          </w:tcPr>
          <w:p w14:paraId="610D36A9" w14:textId="77777777" w:rsidR="00304132" w:rsidRPr="00C07B2E" w:rsidRDefault="00304132" w:rsidP="00CD5E09">
            <w:pPr>
              <w:rPr>
                <w:rFonts w:eastAsia="SimSun"/>
              </w:rPr>
            </w:pPr>
            <w:r w:rsidRPr="00C07B2E">
              <w:rPr>
                <w:rFonts w:eastAsia="SimSun"/>
                <w:lang w:val="en-US"/>
              </w:rPr>
              <w:t>CSA</w:t>
            </w:r>
          </w:p>
        </w:tc>
        <w:tc>
          <w:tcPr>
            <w:tcW w:w="428" w:type="pct"/>
            <w:shd w:val="clear" w:color="auto" w:fill="BFBFBF"/>
            <w:vAlign w:val="center"/>
          </w:tcPr>
          <w:p w14:paraId="52F6D6D9" w14:textId="77777777" w:rsidR="00304132" w:rsidRPr="00C07B2E" w:rsidRDefault="00304132" w:rsidP="00CD5E09">
            <w:pPr>
              <w:rPr>
                <w:rFonts w:eastAsia="SimSun"/>
              </w:rPr>
            </w:pPr>
            <w:r w:rsidRPr="00C07B2E">
              <w:rPr>
                <w:rFonts w:eastAsia="SimSun"/>
                <w:lang w:val="en-US"/>
              </w:rPr>
              <w:t>MTX</w:t>
            </w:r>
          </w:p>
        </w:tc>
        <w:tc>
          <w:tcPr>
            <w:tcW w:w="581" w:type="pct"/>
            <w:shd w:val="clear" w:color="auto" w:fill="auto"/>
            <w:vAlign w:val="center"/>
          </w:tcPr>
          <w:p w14:paraId="629D1A6C" w14:textId="77777777" w:rsidR="00304132" w:rsidRPr="00C07B2E" w:rsidRDefault="00304132" w:rsidP="00CD5E09">
            <w:pPr>
              <w:rPr>
                <w:rFonts w:eastAsia="SimSun"/>
              </w:rPr>
            </w:pPr>
            <w:r>
              <w:rPr>
                <w:rFonts w:eastAsia="SimSun"/>
              </w:rPr>
              <w:t>5.</w:t>
            </w:r>
            <w:r w:rsidRPr="00C07B2E">
              <w:rPr>
                <w:rFonts w:eastAsia="SimSun"/>
              </w:rPr>
              <w:t>1.1.1</w:t>
            </w:r>
          </w:p>
        </w:tc>
        <w:tc>
          <w:tcPr>
            <w:tcW w:w="539" w:type="pct"/>
            <w:shd w:val="clear" w:color="auto" w:fill="auto"/>
            <w:vAlign w:val="center"/>
          </w:tcPr>
          <w:p w14:paraId="400B8809" w14:textId="77777777" w:rsidR="00304132" w:rsidRPr="00C07B2E" w:rsidRDefault="00304132" w:rsidP="00CD5E09">
            <w:pPr>
              <w:rPr>
                <w:rFonts w:eastAsia="SimSun"/>
              </w:rPr>
            </w:pPr>
            <w:r>
              <w:rPr>
                <w:rFonts w:eastAsia="SimSun"/>
              </w:rPr>
              <w:t>5.</w:t>
            </w:r>
            <w:r w:rsidRPr="00C07B2E">
              <w:rPr>
                <w:rFonts w:eastAsia="SimSun"/>
              </w:rPr>
              <w:t>1.1.2</w:t>
            </w:r>
          </w:p>
        </w:tc>
        <w:tc>
          <w:tcPr>
            <w:tcW w:w="600" w:type="pct"/>
            <w:shd w:val="clear" w:color="auto" w:fill="auto"/>
            <w:vAlign w:val="center"/>
          </w:tcPr>
          <w:p w14:paraId="156EA334" w14:textId="77777777" w:rsidR="00304132" w:rsidRPr="00C07B2E" w:rsidRDefault="00304132" w:rsidP="00CD5E09">
            <w:r w:rsidRPr="00C07B2E">
              <w:rPr>
                <w:rFonts w:eastAsia="SimSun"/>
              </w:rPr>
              <w:t>-</w:t>
            </w:r>
          </w:p>
        </w:tc>
        <w:tc>
          <w:tcPr>
            <w:tcW w:w="600" w:type="pct"/>
            <w:shd w:val="clear" w:color="auto" w:fill="auto"/>
            <w:vAlign w:val="center"/>
          </w:tcPr>
          <w:p w14:paraId="5077C4E0" w14:textId="77777777" w:rsidR="00304132" w:rsidRPr="00C07B2E" w:rsidRDefault="00304132" w:rsidP="00CD5E09">
            <w:r w:rsidRPr="00C07B2E">
              <w:rPr>
                <w:rFonts w:eastAsia="SimSun"/>
              </w:rPr>
              <w:t>-</w:t>
            </w:r>
          </w:p>
        </w:tc>
        <w:tc>
          <w:tcPr>
            <w:tcW w:w="600" w:type="pct"/>
            <w:shd w:val="clear" w:color="auto" w:fill="auto"/>
            <w:vAlign w:val="center"/>
          </w:tcPr>
          <w:p w14:paraId="1DC8AE0D" w14:textId="77777777" w:rsidR="00304132" w:rsidRPr="00C07B2E" w:rsidRDefault="00304132" w:rsidP="00CD5E09">
            <w:r w:rsidRPr="00C07B2E">
              <w:rPr>
                <w:rFonts w:eastAsia="SimSun"/>
              </w:rPr>
              <w:t>-</w:t>
            </w:r>
          </w:p>
        </w:tc>
        <w:tc>
          <w:tcPr>
            <w:tcW w:w="672" w:type="pct"/>
            <w:shd w:val="clear" w:color="auto" w:fill="auto"/>
            <w:vAlign w:val="center"/>
          </w:tcPr>
          <w:p w14:paraId="36C9F90C" w14:textId="77777777" w:rsidR="00304132" w:rsidRPr="00C07B2E" w:rsidRDefault="00304132" w:rsidP="00CD5E09">
            <w:r w:rsidRPr="00C07B2E">
              <w:rPr>
                <w:rFonts w:eastAsia="SimSun"/>
              </w:rPr>
              <w:t>-</w:t>
            </w:r>
          </w:p>
        </w:tc>
      </w:tr>
      <w:tr w:rsidR="00304132" w:rsidRPr="00C07B2E" w14:paraId="6D0108F1" w14:textId="77777777" w:rsidTr="00CD5E09">
        <w:trPr>
          <w:cantSplit/>
          <w:trHeight w:val="1020"/>
        </w:trPr>
        <w:tc>
          <w:tcPr>
            <w:tcW w:w="697" w:type="pct"/>
            <w:shd w:val="clear" w:color="auto" w:fill="BFBFBF"/>
            <w:vAlign w:val="center"/>
          </w:tcPr>
          <w:p w14:paraId="02D657D4" w14:textId="77777777" w:rsidR="00304132" w:rsidRPr="00C07B2E" w:rsidRDefault="00304132" w:rsidP="00CD5E09">
            <w:pPr>
              <w:rPr>
                <w:rFonts w:eastAsia="SimSun"/>
                <w:lang w:val="en-US"/>
              </w:rPr>
            </w:pPr>
            <w:r w:rsidRPr="00C07B2E">
              <w:rPr>
                <w:rFonts w:eastAsia="SimSun"/>
                <w:lang w:val="en-US"/>
              </w:rPr>
              <w:t>-</w:t>
            </w:r>
          </w:p>
        </w:tc>
        <w:tc>
          <w:tcPr>
            <w:tcW w:w="283" w:type="pct"/>
            <w:shd w:val="clear" w:color="auto" w:fill="BFBFBF"/>
            <w:vAlign w:val="center"/>
          </w:tcPr>
          <w:p w14:paraId="73F3FECF" w14:textId="77777777" w:rsidR="00304132" w:rsidRPr="00C07B2E" w:rsidRDefault="00304132" w:rsidP="00CD5E09">
            <w:pPr>
              <w:rPr>
                <w:rFonts w:eastAsia="SimSun"/>
                <w:lang w:val="en-US"/>
              </w:rPr>
            </w:pPr>
            <w:r w:rsidRPr="00C07B2E">
              <w:rPr>
                <w:rFonts w:eastAsia="SimSun"/>
                <w:lang w:val="en-US"/>
              </w:rPr>
              <w:t>Tx</w:t>
            </w:r>
          </w:p>
        </w:tc>
        <w:tc>
          <w:tcPr>
            <w:tcW w:w="428" w:type="pct"/>
            <w:shd w:val="clear" w:color="auto" w:fill="BFBFBF"/>
            <w:vAlign w:val="center"/>
          </w:tcPr>
          <w:p w14:paraId="72833E24" w14:textId="77777777" w:rsidR="00304132" w:rsidRPr="00C07B2E" w:rsidRDefault="00304132" w:rsidP="00CD5E09">
            <w:pPr>
              <w:rPr>
                <w:rFonts w:eastAsia="SimSun"/>
                <w:lang w:val="en-US"/>
              </w:rPr>
            </w:pPr>
            <w:r w:rsidRPr="00C07B2E">
              <w:rPr>
                <w:rFonts w:eastAsia="SimSun"/>
                <w:lang w:val="en-US"/>
              </w:rPr>
              <w:t>MMF30</w:t>
            </w:r>
          </w:p>
        </w:tc>
        <w:tc>
          <w:tcPr>
            <w:tcW w:w="581" w:type="pct"/>
            <w:shd w:val="clear" w:color="auto" w:fill="auto"/>
            <w:vAlign w:val="center"/>
          </w:tcPr>
          <w:p w14:paraId="2FF3CE0F" w14:textId="77777777" w:rsidR="00304132" w:rsidRPr="00C07B2E" w:rsidRDefault="00304132" w:rsidP="00CD5E09">
            <w:r w:rsidRPr="00C07B2E">
              <w:rPr>
                <w:rFonts w:eastAsia="SimSun"/>
              </w:rPr>
              <w:t>-</w:t>
            </w:r>
          </w:p>
        </w:tc>
        <w:tc>
          <w:tcPr>
            <w:tcW w:w="539" w:type="pct"/>
            <w:shd w:val="clear" w:color="auto" w:fill="auto"/>
            <w:vAlign w:val="center"/>
          </w:tcPr>
          <w:p w14:paraId="3734ED57" w14:textId="77777777" w:rsidR="00304132" w:rsidRPr="00C07B2E" w:rsidRDefault="00304132" w:rsidP="00CD5E09">
            <w:r w:rsidRPr="00C07B2E">
              <w:rPr>
                <w:rFonts w:eastAsia="SimSun"/>
              </w:rPr>
              <w:t>-</w:t>
            </w:r>
          </w:p>
        </w:tc>
        <w:tc>
          <w:tcPr>
            <w:tcW w:w="600" w:type="pct"/>
            <w:shd w:val="clear" w:color="auto" w:fill="auto"/>
            <w:vAlign w:val="center"/>
          </w:tcPr>
          <w:p w14:paraId="0481FEEC" w14:textId="77777777" w:rsidR="00304132" w:rsidRPr="00C07B2E" w:rsidRDefault="00304132" w:rsidP="00CD5E09">
            <w:r w:rsidRPr="00C07B2E">
              <w:rPr>
                <w:rFonts w:eastAsia="SimSun"/>
              </w:rPr>
              <w:t>-</w:t>
            </w:r>
          </w:p>
        </w:tc>
        <w:tc>
          <w:tcPr>
            <w:tcW w:w="600" w:type="pct"/>
            <w:shd w:val="clear" w:color="auto" w:fill="auto"/>
            <w:vAlign w:val="center"/>
          </w:tcPr>
          <w:p w14:paraId="0A1D4ED2" w14:textId="77777777" w:rsidR="00304132" w:rsidRPr="00C07B2E" w:rsidRDefault="00304132" w:rsidP="00CD5E09">
            <w:pPr>
              <w:rPr>
                <w:rFonts w:eastAsia="SimSun"/>
                <w:lang w:val="en-US"/>
              </w:rPr>
            </w:pPr>
            <w:r>
              <w:rPr>
                <w:rFonts w:eastAsia="SimSun"/>
                <w:lang w:val="en-US"/>
              </w:rPr>
              <w:t>5.</w:t>
            </w:r>
            <w:r w:rsidRPr="00C07B2E">
              <w:rPr>
                <w:rFonts w:eastAsia="SimSun"/>
                <w:lang w:val="en-US"/>
              </w:rPr>
              <w:t>1.1.4</w:t>
            </w:r>
          </w:p>
        </w:tc>
        <w:tc>
          <w:tcPr>
            <w:tcW w:w="600" w:type="pct"/>
            <w:shd w:val="clear" w:color="auto" w:fill="auto"/>
            <w:vAlign w:val="center"/>
          </w:tcPr>
          <w:p w14:paraId="216592C7" w14:textId="77777777" w:rsidR="00304132" w:rsidRPr="00C07B2E" w:rsidRDefault="00304132" w:rsidP="00CD5E09">
            <w:pPr>
              <w:rPr>
                <w:rFonts w:eastAsia="SimSun"/>
                <w:lang w:val="en-US"/>
              </w:rPr>
            </w:pPr>
            <w:r>
              <w:rPr>
                <w:rFonts w:eastAsia="SimSun"/>
                <w:lang w:val="en-US"/>
              </w:rPr>
              <w:t>5.</w:t>
            </w:r>
            <w:r w:rsidRPr="00C07B2E">
              <w:rPr>
                <w:rFonts w:eastAsia="SimSun"/>
                <w:lang w:val="en-US"/>
              </w:rPr>
              <w:t>1.1.11</w:t>
            </w:r>
          </w:p>
        </w:tc>
        <w:tc>
          <w:tcPr>
            <w:tcW w:w="672" w:type="pct"/>
            <w:shd w:val="clear" w:color="auto" w:fill="auto"/>
            <w:vAlign w:val="center"/>
          </w:tcPr>
          <w:p w14:paraId="50BC9084" w14:textId="77777777" w:rsidR="00304132" w:rsidRPr="00C07B2E" w:rsidRDefault="00304132" w:rsidP="00CD5E09">
            <w:pPr>
              <w:rPr>
                <w:rFonts w:eastAsia="SimSun"/>
                <w:lang w:val="en-US"/>
              </w:rPr>
            </w:pPr>
            <w:r>
              <w:rPr>
                <w:rFonts w:eastAsia="SimSun"/>
                <w:lang w:val="en-US"/>
              </w:rPr>
              <w:t>5.</w:t>
            </w:r>
            <w:r w:rsidRPr="00C07B2E">
              <w:rPr>
                <w:rFonts w:eastAsia="SimSun"/>
                <w:lang w:val="en-US"/>
              </w:rPr>
              <w:t>1.1.12</w:t>
            </w:r>
          </w:p>
        </w:tc>
      </w:tr>
      <w:tr w:rsidR="00304132" w:rsidRPr="00C07B2E" w14:paraId="7AFA1A5B" w14:textId="77777777" w:rsidTr="00CD5E09">
        <w:trPr>
          <w:cantSplit/>
          <w:trHeight w:val="1020"/>
        </w:trPr>
        <w:tc>
          <w:tcPr>
            <w:tcW w:w="697" w:type="pct"/>
            <w:vMerge w:val="restart"/>
            <w:shd w:val="clear" w:color="auto" w:fill="BFBFBF"/>
            <w:vAlign w:val="center"/>
          </w:tcPr>
          <w:p w14:paraId="5BC10274" w14:textId="77777777" w:rsidR="00304132" w:rsidRPr="00C07B2E" w:rsidRDefault="00304132" w:rsidP="00CD5E09">
            <w:pPr>
              <w:rPr>
                <w:rFonts w:eastAsia="SimSun"/>
                <w:lang w:val="en-US"/>
              </w:rPr>
            </w:pPr>
            <w:r w:rsidRPr="00C07B2E">
              <w:rPr>
                <w:rFonts w:eastAsia="SimSun"/>
                <w:lang w:val="en-US"/>
              </w:rPr>
              <w:t>PT-Cy</w:t>
            </w:r>
          </w:p>
          <w:p w14:paraId="1688148E" w14:textId="77777777" w:rsidR="00304132" w:rsidRPr="00C07B2E" w:rsidRDefault="00304132" w:rsidP="00CD5E09">
            <w:pPr>
              <w:rPr>
                <w:rFonts w:eastAsia="SimSun"/>
                <w:lang w:val="en-US"/>
              </w:rPr>
            </w:pPr>
          </w:p>
        </w:tc>
        <w:tc>
          <w:tcPr>
            <w:tcW w:w="283" w:type="pct"/>
            <w:shd w:val="clear" w:color="auto" w:fill="BFBFBF"/>
            <w:vAlign w:val="center"/>
          </w:tcPr>
          <w:p w14:paraId="7D893B16" w14:textId="77777777" w:rsidR="00304132" w:rsidRPr="00C07B2E" w:rsidRDefault="00304132" w:rsidP="00CD5E09">
            <w:pPr>
              <w:rPr>
                <w:rFonts w:eastAsia="SimSun"/>
                <w:lang w:val="en-US"/>
              </w:rPr>
            </w:pPr>
            <w:r w:rsidRPr="00C07B2E">
              <w:rPr>
                <w:rFonts w:eastAsia="SimSun"/>
                <w:lang w:val="en-US"/>
              </w:rPr>
              <w:t>-</w:t>
            </w:r>
          </w:p>
        </w:tc>
        <w:tc>
          <w:tcPr>
            <w:tcW w:w="428" w:type="pct"/>
            <w:shd w:val="clear" w:color="auto" w:fill="BFBFBF"/>
            <w:vAlign w:val="center"/>
          </w:tcPr>
          <w:p w14:paraId="14ACC157" w14:textId="77777777" w:rsidR="00304132" w:rsidRPr="00C07B2E" w:rsidRDefault="00304132" w:rsidP="00CD5E09">
            <w:pPr>
              <w:rPr>
                <w:rFonts w:eastAsia="SimSun"/>
                <w:lang w:val="en-US"/>
              </w:rPr>
            </w:pPr>
            <w:r w:rsidRPr="00C07B2E">
              <w:rPr>
                <w:rFonts w:eastAsia="SimSun"/>
                <w:lang w:val="en-US"/>
              </w:rPr>
              <w:t>-</w:t>
            </w:r>
          </w:p>
        </w:tc>
        <w:tc>
          <w:tcPr>
            <w:tcW w:w="581" w:type="pct"/>
            <w:shd w:val="clear" w:color="auto" w:fill="auto"/>
            <w:vAlign w:val="center"/>
          </w:tcPr>
          <w:p w14:paraId="4281F44E" w14:textId="77777777" w:rsidR="00304132" w:rsidRPr="00C07B2E" w:rsidRDefault="00304132" w:rsidP="00CD5E09">
            <w:r w:rsidRPr="00C07B2E">
              <w:rPr>
                <w:rFonts w:eastAsia="SimSun"/>
              </w:rPr>
              <w:t>-</w:t>
            </w:r>
          </w:p>
        </w:tc>
        <w:tc>
          <w:tcPr>
            <w:tcW w:w="539" w:type="pct"/>
            <w:shd w:val="clear" w:color="auto" w:fill="auto"/>
            <w:vAlign w:val="center"/>
          </w:tcPr>
          <w:p w14:paraId="0E863C0A" w14:textId="77777777" w:rsidR="00304132" w:rsidRPr="00C07B2E" w:rsidRDefault="00304132" w:rsidP="00CD5E09">
            <w:r w:rsidRPr="00C07B2E">
              <w:rPr>
                <w:rFonts w:eastAsia="SimSun"/>
              </w:rPr>
              <w:t>-</w:t>
            </w:r>
          </w:p>
        </w:tc>
        <w:tc>
          <w:tcPr>
            <w:tcW w:w="600" w:type="pct"/>
            <w:shd w:val="clear" w:color="auto" w:fill="auto"/>
            <w:vAlign w:val="center"/>
          </w:tcPr>
          <w:p w14:paraId="4EBA0E18" w14:textId="77777777" w:rsidR="00304132" w:rsidRPr="00C07B2E" w:rsidRDefault="00304132" w:rsidP="00CD5E09">
            <w:r w:rsidRPr="00C07B2E">
              <w:rPr>
                <w:rFonts w:eastAsia="SimSun"/>
              </w:rPr>
              <w:t>-</w:t>
            </w:r>
          </w:p>
        </w:tc>
        <w:tc>
          <w:tcPr>
            <w:tcW w:w="600" w:type="pct"/>
            <w:shd w:val="clear" w:color="auto" w:fill="auto"/>
            <w:vAlign w:val="center"/>
          </w:tcPr>
          <w:p w14:paraId="52BB8CFA" w14:textId="77777777" w:rsidR="00304132" w:rsidRPr="00C07B2E" w:rsidRDefault="00304132" w:rsidP="00CD5E09">
            <w:pPr>
              <w:rPr>
                <w:rFonts w:eastAsia="SimSun"/>
                <w:lang w:val="en-US"/>
              </w:rPr>
            </w:pPr>
            <w:r>
              <w:rPr>
                <w:rFonts w:eastAsia="SimSun"/>
                <w:lang w:val="en-US"/>
              </w:rPr>
              <w:t>5.</w:t>
            </w:r>
            <w:r w:rsidRPr="00C07B2E">
              <w:rPr>
                <w:rFonts w:eastAsia="SimSun"/>
                <w:lang w:val="en-US"/>
              </w:rPr>
              <w:t>1.1.5</w:t>
            </w:r>
          </w:p>
        </w:tc>
        <w:tc>
          <w:tcPr>
            <w:tcW w:w="600" w:type="pct"/>
            <w:shd w:val="clear" w:color="auto" w:fill="auto"/>
            <w:vAlign w:val="center"/>
          </w:tcPr>
          <w:p w14:paraId="001C3FFF" w14:textId="77777777" w:rsidR="00304132" w:rsidRPr="00C07B2E" w:rsidRDefault="00304132" w:rsidP="00CD5E09">
            <w:pPr>
              <w:rPr>
                <w:rFonts w:eastAsia="SimSun"/>
                <w:lang w:val="en-US"/>
              </w:rPr>
            </w:pPr>
            <w:r>
              <w:rPr>
                <w:rFonts w:eastAsia="SimSun"/>
                <w:lang w:val="en-US"/>
              </w:rPr>
              <w:t>5.</w:t>
            </w:r>
            <w:r w:rsidRPr="00C07B2E">
              <w:rPr>
                <w:rFonts w:eastAsia="SimSun"/>
                <w:lang w:val="en-US"/>
              </w:rPr>
              <w:t>1.1.8</w:t>
            </w:r>
          </w:p>
        </w:tc>
        <w:tc>
          <w:tcPr>
            <w:tcW w:w="672" w:type="pct"/>
            <w:shd w:val="clear" w:color="auto" w:fill="auto"/>
            <w:vAlign w:val="center"/>
          </w:tcPr>
          <w:p w14:paraId="56CFBFB3" w14:textId="77777777" w:rsidR="00304132" w:rsidRPr="00C07B2E" w:rsidRDefault="00304132" w:rsidP="00CD5E09">
            <w:r w:rsidRPr="00C07B2E">
              <w:rPr>
                <w:rFonts w:eastAsia="SimSun"/>
              </w:rPr>
              <w:t>-</w:t>
            </w:r>
          </w:p>
        </w:tc>
      </w:tr>
      <w:tr w:rsidR="00304132" w:rsidRPr="00C07B2E" w14:paraId="3DAFE4D5" w14:textId="77777777" w:rsidTr="00CD5E09">
        <w:trPr>
          <w:cantSplit/>
          <w:trHeight w:val="1020"/>
        </w:trPr>
        <w:tc>
          <w:tcPr>
            <w:tcW w:w="697" w:type="pct"/>
            <w:vMerge/>
            <w:shd w:val="clear" w:color="auto" w:fill="BFBFBF"/>
            <w:vAlign w:val="center"/>
          </w:tcPr>
          <w:p w14:paraId="67D20599" w14:textId="77777777" w:rsidR="00304132" w:rsidRPr="00C07B2E" w:rsidRDefault="00304132" w:rsidP="00CD5E09">
            <w:pPr>
              <w:rPr>
                <w:rFonts w:eastAsia="SimSun"/>
                <w:lang w:val="en-US"/>
              </w:rPr>
            </w:pPr>
          </w:p>
        </w:tc>
        <w:tc>
          <w:tcPr>
            <w:tcW w:w="283" w:type="pct"/>
            <w:vMerge w:val="restart"/>
            <w:shd w:val="clear" w:color="auto" w:fill="BFBFBF"/>
            <w:vAlign w:val="center"/>
          </w:tcPr>
          <w:p w14:paraId="7F2DB830" w14:textId="77777777" w:rsidR="00304132" w:rsidRPr="00C07B2E" w:rsidRDefault="00304132" w:rsidP="00CD5E09">
            <w:pPr>
              <w:rPr>
                <w:rFonts w:eastAsia="SimSun"/>
              </w:rPr>
            </w:pPr>
            <w:r w:rsidRPr="00C07B2E">
              <w:rPr>
                <w:rFonts w:eastAsia="SimSun"/>
                <w:lang w:val="en-US"/>
              </w:rPr>
              <w:t>CSA</w:t>
            </w:r>
          </w:p>
          <w:p w14:paraId="18000213" w14:textId="77777777" w:rsidR="00304132" w:rsidRPr="00C07B2E" w:rsidRDefault="00304132" w:rsidP="00CD5E09">
            <w:pPr>
              <w:rPr>
                <w:rFonts w:eastAsia="SimSun"/>
              </w:rPr>
            </w:pPr>
          </w:p>
        </w:tc>
        <w:tc>
          <w:tcPr>
            <w:tcW w:w="428" w:type="pct"/>
            <w:shd w:val="clear" w:color="auto" w:fill="BFBFBF"/>
            <w:vAlign w:val="center"/>
          </w:tcPr>
          <w:p w14:paraId="535C5776" w14:textId="77777777" w:rsidR="00304132" w:rsidRPr="00C07B2E" w:rsidRDefault="00304132" w:rsidP="00CD5E09">
            <w:pPr>
              <w:rPr>
                <w:rFonts w:eastAsia="SimSun"/>
              </w:rPr>
            </w:pPr>
            <w:r w:rsidRPr="00C07B2E">
              <w:rPr>
                <w:rFonts w:eastAsia="SimSun"/>
                <w:lang w:val="en-US"/>
              </w:rPr>
              <w:t>MMF30</w:t>
            </w:r>
          </w:p>
        </w:tc>
        <w:tc>
          <w:tcPr>
            <w:tcW w:w="581" w:type="pct"/>
            <w:shd w:val="clear" w:color="auto" w:fill="auto"/>
            <w:vAlign w:val="center"/>
          </w:tcPr>
          <w:p w14:paraId="18942B6D" w14:textId="77777777" w:rsidR="00304132" w:rsidRPr="00C07B2E" w:rsidRDefault="00304132" w:rsidP="00CD5E09">
            <w:r w:rsidRPr="00C07B2E">
              <w:rPr>
                <w:rFonts w:eastAsia="SimSun"/>
              </w:rPr>
              <w:t>-</w:t>
            </w:r>
          </w:p>
        </w:tc>
        <w:tc>
          <w:tcPr>
            <w:tcW w:w="539" w:type="pct"/>
            <w:shd w:val="clear" w:color="auto" w:fill="auto"/>
            <w:vAlign w:val="center"/>
          </w:tcPr>
          <w:p w14:paraId="0752BB1C" w14:textId="77777777" w:rsidR="00304132" w:rsidRPr="00C07B2E" w:rsidRDefault="00304132" w:rsidP="00CD5E09">
            <w:r w:rsidRPr="00C07B2E">
              <w:rPr>
                <w:rFonts w:eastAsia="SimSun"/>
              </w:rPr>
              <w:t>-</w:t>
            </w:r>
          </w:p>
        </w:tc>
        <w:tc>
          <w:tcPr>
            <w:tcW w:w="600" w:type="pct"/>
            <w:shd w:val="clear" w:color="auto" w:fill="auto"/>
            <w:vAlign w:val="center"/>
          </w:tcPr>
          <w:p w14:paraId="0BE0D1BB" w14:textId="77777777" w:rsidR="00304132" w:rsidRPr="00C07B2E" w:rsidRDefault="00304132" w:rsidP="00CD5E09">
            <w:r w:rsidRPr="00C07B2E">
              <w:rPr>
                <w:rFonts w:eastAsia="SimSun"/>
              </w:rPr>
              <w:t>-</w:t>
            </w:r>
          </w:p>
        </w:tc>
        <w:tc>
          <w:tcPr>
            <w:tcW w:w="600" w:type="pct"/>
            <w:shd w:val="clear" w:color="auto" w:fill="auto"/>
            <w:vAlign w:val="center"/>
          </w:tcPr>
          <w:p w14:paraId="4ADA9B05" w14:textId="77777777" w:rsidR="00304132" w:rsidRPr="00C07B2E" w:rsidRDefault="00304132" w:rsidP="00CD5E09">
            <w:pPr>
              <w:rPr>
                <w:rFonts w:eastAsia="SimSun"/>
                <w:lang w:val="en-US"/>
              </w:rPr>
            </w:pPr>
            <w:r>
              <w:rPr>
                <w:rFonts w:eastAsia="SimSun"/>
                <w:lang w:val="en-US"/>
              </w:rPr>
              <w:t>5.</w:t>
            </w:r>
            <w:r w:rsidRPr="00C07B2E">
              <w:rPr>
                <w:rFonts w:eastAsia="SimSun"/>
                <w:lang w:val="en-US"/>
              </w:rPr>
              <w:t>1.1.7</w:t>
            </w:r>
          </w:p>
        </w:tc>
        <w:tc>
          <w:tcPr>
            <w:tcW w:w="600" w:type="pct"/>
            <w:shd w:val="clear" w:color="auto" w:fill="auto"/>
            <w:vAlign w:val="center"/>
          </w:tcPr>
          <w:p w14:paraId="3F79EF79" w14:textId="77777777" w:rsidR="00304132" w:rsidRPr="00C07B2E" w:rsidRDefault="00304132" w:rsidP="00CD5E09">
            <w:pPr>
              <w:rPr>
                <w:rFonts w:eastAsia="SimSun"/>
                <w:lang w:val="en-US"/>
              </w:rPr>
            </w:pPr>
            <w:r>
              <w:rPr>
                <w:rFonts w:eastAsia="SimSun"/>
                <w:lang w:val="en-US"/>
              </w:rPr>
              <w:t>5.</w:t>
            </w:r>
            <w:r w:rsidRPr="00C07B2E">
              <w:rPr>
                <w:rFonts w:eastAsia="SimSun"/>
                <w:lang w:val="en-US"/>
              </w:rPr>
              <w:t>1.1.10</w:t>
            </w:r>
          </w:p>
        </w:tc>
        <w:tc>
          <w:tcPr>
            <w:tcW w:w="672" w:type="pct"/>
            <w:shd w:val="clear" w:color="auto" w:fill="auto"/>
            <w:vAlign w:val="center"/>
          </w:tcPr>
          <w:p w14:paraId="43E4DAEF" w14:textId="77777777" w:rsidR="00304132" w:rsidRPr="00C07B2E" w:rsidRDefault="00304132" w:rsidP="00CD5E09">
            <w:r w:rsidRPr="00C07B2E">
              <w:rPr>
                <w:rFonts w:eastAsia="SimSun"/>
              </w:rPr>
              <w:t>-</w:t>
            </w:r>
          </w:p>
        </w:tc>
      </w:tr>
      <w:tr w:rsidR="00304132" w:rsidRPr="00C07B2E" w14:paraId="5AA7E79A" w14:textId="77777777" w:rsidTr="00CD5E09">
        <w:trPr>
          <w:cantSplit/>
          <w:trHeight w:val="1020"/>
        </w:trPr>
        <w:tc>
          <w:tcPr>
            <w:tcW w:w="697" w:type="pct"/>
            <w:vMerge/>
            <w:shd w:val="clear" w:color="auto" w:fill="BFBFBF"/>
            <w:vAlign w:val="center"/>
          </w:tcPr>
          <w:p w14:paraId="1FEA8956" w14:textId="77777777" w:rsidR="00304132" w:rsidRPr="00C07B2E" w:rsidRDefault="00304132" w:rsidP="00CD5E09">
            <w:pPr>
              <w:rPr>
                <w:rFonts w:eastAsia="SimSun"/>
                <w:lang w:val="en-US"/>
              </w:rPr>
            </w:pPr>
          </w:p>
        </w:tc>
        <w:tc>
          <w:tcPr>
            <w:tcW w:w="283" w:type="pct"/>
            <w:vMerge/>
            <w:shd w:val="clear" w:color="auto" w:fill="BFBFBF"/>
            <w:vAlign w:val="center"/>
          </w:tcPr>
          <w:p w14:paraId="03A36670" w14:textId="77777777" w:rsidR="00304132" w:rsidRPr="00C07B2E" w:rsidRDefault="00304132" w:rsidP="00CD5E09">
            <w:pPr>
              <w:rPr>
                <w:rFonts w:eastAsia="SimSun"/>
                <w:lang w:val="en-US"/>
              </w:rPr>
            </w:pPr>
          </w:p>
        </w:tc>
        <w:tc>
          <w:tcPr>
            <w:tcW w:w="428" w:type="pct"/>
            <w:shd w:val="clear" w:color="auto" w:fill="BFBFBF"/>
            <w:vAlign w:val="center"/>
          </w:tcPr>
          <w:p w14:paraId="2E9D8106" w14:textId="77777777" w:rsidR="00304132" w:rsidRPr="00C07B2E" w:rsidRDefault="00304132" w:rsidP="00CD5E09">
            <w:pPr>
              <w:rPr>
                <w:rFonts w:eastAsia="SimSun"/>
                <w:lang w:val="en-US"/>
              </w:rPr>
            </w:pPr>
            <w:r w:rsidRPr="00C07B2E">
              <w:rPr>
                <w:rFonts w:eastAsia="SimSun"/>
                <w:lang w:val="en-US"/>
              </w:rPr>
              <w:t>MMF45</w:t>
            </w:r>
          </w:p>
        </w:tc>
        <w:tc>
          <w:tcPr>
            <w:tcW w:w="581" w:type="pct"/>
            <w:shd w:val="clear" w:color="auto" w:fill="auto"/>
            <w:vAlign w:val="center"/>
          </w:tcPr>
          <w:p w14:paraId="6B6B8EB5" w14:textId="77777777" w:rsidR="00304132" w:rsidRPr="00C07B2E" w:rsidRDefault="00304132" w:rsidP="00CD5E09">
            <w:r w:rsidRPr="00C07B2E">
              <w:rPr>
                <w:rFonts w:eastAsia="SimSun"/>
              </w:rPr>
              <w:t>-</w:t>
            </w:r>
          </w:p>
        </w:tc>
        <w:tc>
          <w:tcPr>
            <w:tcW w:w="539" w:type="pct"/>
            <w:shd w:val="clear" w:color="auto" w:fill="auto"/>
            <w:vAlign w:val="center"/>
          </w:tcPr>
          <w:p w14:paraId="184E9331" w14:textId="77777777" w:rsidR="00304132" w:rsidRPr="00C07B2E" w:rsidRDefault="00304132" w:rsidP="00CD5E09">
            <w:r w:rsidRPr="00C07B2E">
              <w:rPr>
                <w:rFonts w:eastAsia="SimSun"/>
              </w:rPr>
              <w:t>-</w:t>
            </w:r>
          </w:p>
        </w:tc>
        <w:tc>
          <w:tcPr>
            <w:tcW w:w="600" w:type="pct"/>
            <w:shd w:val="clear" w:color="auto" w:fill="auto"/>
            <w:vAlign w:val="center"/>
          </w:tcPr>
          <w:p w14:paraId="197185C3" w14:textId="77777777" w:rsidR="00304132" w:rsidRPr="00C07B2E" w:rsidRDefault="00304132" w:rsidP="00CD5E09">
            <w:pPr>
              <w:rPr>
                <w:rFonts w:eastAsia="SimSun"/>
                <w:lang w:val="en-US"/>
              </w:rPr>
            </w:pPr>
            <w:r>
              <w:rPr>
                <w:rFonts w:eastAsia="SimSun"/>
              </w:rPr>
              <w:t>5.</w:t>
            </w:r>
            <w:r w:rsidRPr="00C07B2E">
              <w:rPr>
                <w:rFonts w:eastAsia="SimSun"/>
              </w:rPr>
              <w:t>1.1.</w:t>
            </w:r>
            <w:r w:rsidRPr="00C07B2E">
              <w:rPr>
                <w:rFonts w:eastAsia="SimSun"/>
                <w:lang w:val="en-US"/>
              </w:rPr>
              <w:t>3</w:t>
            </w:r>
          </w:p>
        </w:tc>
        <w:tc>
          <w:tcPr>
            <w:tcW w:w="600" w:type="pct"/>
            <w:shd w:val="clear" w:color="auto" w:fill="auto"/>
            <w:vAlign w:val="center"/>
          </w:tcPr>
          <w:p w14:paraId="33253DD7" w14:textId="77777777" w:rsidR="00304132" w:rsidRPr="00C07B2E" w:rsidRDefault="00304132" w:rsidP="00CD5E09">
            <w:r w:rsidRPr="00C07B2E">
              <w:rPr>
                <w:rFonts w:eastAsia="SimSun"/>
              </w:rPr>
              <w:t>-</w:t>
            </w:r>
          </w:p>
        </w:tc>
        <w:tc>
          <w:tcPr>
            <w:tcW w:w="600" w:type="pct"/>
            <w:shd w:val="clear" w:color="auto" w:fill="auto"/>
            <w:vAlign w:val="center"/>
          </w:tcPr>
          <w:p w14:paraId="36C23D31" w14:textId="77777777" w:rsidR="00304132" w:rsidRPr="00C07B2E" w:rsidRDefault="00304132" w:rsidP="00CD5E09">
            <w:r w:rsidRPr="00C07B2E">
              <w:rPr>
                <w:rFonts w:eastAsia="SimSun"/>
              </w:rPr>
              <w:t>-</w:t>
            </w:r>
          </w:p>
        </w:tc>
        <w:tc>
          <w:tcPr>
            <w:tcW w:w="672" w:type="pct"/>
            <w:shd w:val="clear" w:color="auto" w:fill="auto"/>
            <w:vAlign w:val="center"/>
          </w:tcPr>
          <w:p w14:paraId="54B263B5" w14:textId="77777777" w:rsidR="00304132" w:rsidRPr="00C07B2E" w:rsidRDefault="00304132" w:rsidP="00CD5E09">
            <w:r w:rsidRPr="00C07B2E">
              <w:rPr>
                <w:rFonts w:eastAsia="SimSun"/>
              </w:rPr>
              <w:t>-</w:t>
            </w:r>
          </w:p>
        </w:tc>
      </w:tr>
      <w:tr w:rsidR="00304132" w:rsidRPr="00C07B2E" w14:paraId="6223355D" w14:textId="77777777" w:rsidTr="00CD5E09">
        <w:trPr>
          <w:cantSplit/>
          <w:trHeight w:val="1020"/>
        </w:trPr>
        <w:tc>
          <w:tcPr>
            <w:tcW w:w="697" w:type="pct"/>
            <w:vMerge/>
            <w:shd w:val="clear" w:color="auto" w:fill="BFBFBF"/>
            <w:vAlign w:val="center"/>
          </w:tcPr>
          <w:p w14:paraId="766CD868" w14:textId="77777777" w:rsidR="00304132" w:rsidRPr="00C07B2E" w:rsidRDefault="00304132" w:rsidP="00CD5E09">
            <w:pPr>
              <w:rPr>
                <w:rFonts w:eastAsia="SimSun"/>
                <w:lang w:val="en-US"/>
              </w:rPr>
            </w:pPr>
          </w:p>
        </w:tc>
        <w:tc>
          <w:tcPr>
            <w:tcW w:w="283" w:type="pct"/>
            <w:shd w:val="clear" w:color="auto" w:fill="BFBFBF"/>
            <w:vAlign w:val="center"/>
          </w:tcPr>
          <w:p w14:paraId="48B70956" w14:textId="77777777" w:rsidR="00304132" w:rsidRPr="00C07B2E" w:rsidRDefault="00304132" w:rsidP="00CD5E09">
            <w:pPr>
              <w:rPr>
                <w:rFonts w:eastAsia="SimSun"/>
                <w:lang w:val="en-US"/>
              </w:rPr>
            </w:pPr>
            <w:r w:rsidRPr="00C07B2E">
              <w:rPr>
                <w:rFonts w:eastAsia="SimSun"/>
                <w:lang w:val="en-US"/>
              </w:rPr>
              <w:t>Tx</w:t>
            </w:r>
          </w:p>
        </w:tc>
        <w:tc>
          <w:tcPr>
            <w:tcW w:w="428" w:type="pct"/>
            <w:shd w:val="clear" w:color="auto" w:fill="BFBFBF"/>
            <w:vAlign w:val="center"/>
          </w:tcPr>
          <w:p w14:paraId="30EE1650" w14:textId="77777777" w:rsidR="00304132" w:rsidRPr="00C07B2E" w:rsidRDefault="00304132" w:rsidP="00CD5E09">
            <w:pPr>
              <w:rPr>
                <w:rFonts w:eastAsia="SimSun"/>
                <w:lang w:val="en-US"/>
              </w:rPr>
            </w:pPr>
            <w:r w:rsidRPr="00C07B2E">
              <w:rPr>
                <w:rFonts w:eastAsia="SimSun"/>
                <w:lang w:val="en-US"/>
              </w:rPr>
              <w:t>MMF30</w:t>
            </w:r>
          </w:p>
        </w:tc>
        <w:tc>
          <w:tcPr>
            <w:tcW w:w="581" w:type="pct"/>
            <w:shd w:val="clear" w:color="auto" w:fill="auto"/>
            <w:vAlign w:val="center"/>
          </w:tcPr>
          <w:p w14:paraId="38DACE62" w14:textId="77777777" w:rsidR="00304132" w:rsidRPr="00C07B2E" w:rsidRDefault="00304132" w:rsidP="00CD5E09">
            <w:r w:rsidRPr="00C07B2E">
              <w:rPr>
                <w:rFonts w:eastAsia="SimSun"/>
              </w:rPr>
              <w:t>-</w:t>
            </w:r>
          </w:p>
        </w:tc>
        <w:tc>
          <w:tcPr>
            <w:tcW w:w="539" w:type="pct"/>
            <w:shd w:val="clear" w:color="auto" w:fill="auto"/>
            <w:vAlign w:val="center"/>
          </w:tcPr>
          <w:p w14:paraId="3D2C5ED7" w14:textId="77777777" w:rsidR="00304132" w:rsidRPr="00C07B2E" w:rsidRDefault="00304132" w:rsidP="00CD5E09">
            <w:r w:rsidRPr="00C07B2E">
              <w:rPr>
                <w:rFonts w:eastAsia="SimSun"/>
              </w:rPr>
              <w:t>-</w:t>
            </w:r>
          </w:p>
        </w:tc>
        <w:tc>
          <w:tcPr>
            <w:tcW w:w="600" w:type="pct"/>
            <w:shd w:val="clear" w:color="auto" w:fill="auto"/>
            <w:vAlign w:val="center"/>
          </w:tcPr>
          <w:p w14:paraId="6A3F44C1" w14:textId="77777777" w:rsidR="00304132" w:rsidRPr="00C07B2E" w:rsidRDefault="00304132" w:rsidP="00CD5E09">
            <w:r w:rsidRPr="00C07B2E">
              <w:rPr>
                <w:rFonts w:eastAsia="SimSun"/>
              </w:rPr>
              <w:t>-</w:t>
            </w:r>
          </w:p>
        </w:tc>
        <w:tc>
          <w:tcPr>
            <w:tcW w:w="600" w:type="pct"/>
            <w:shd w:val="clear" w:color="auto" w:fill="auto"/>
            <w:vAlign w:val="center"/>
          </w:tcPr>
          <w:p w14:paraId="183D9A79" w14:textId="77777777" w:rsidR="00304132" w:rsidRPr="00C07B2E" w:rsidRDefault="00304132" w:rsidP="00CD5E09">
            <w:pPr>
              <w:rPr>
                <w:rFonts w:eastAsia="SimSun"/>
              </w:rPr>
            </w:pPr>
            <w:r>
              <w:rPr>
                <w:rFonts w:eastAsia="SimSun"/>
                <w:lang w:val="en-US"/>
              </w:rPr>
              <w:t>5.</w:t>
            </w:r>
            <w:r w:rsidRPr="00C07B2E">
              <w:rPr>
                <w:rFonts w:eastAsia="SimSun"/>
                <w:lang w:val="en-US"/>
              </w:rPr>
              <w:t>1.1.6</w:t>
            </w:r>
          </w:p>
        </w:tc>
        <w:tc>
          <w:tcPr>
            <w:tcW w:w="600" w:type="pct"/>
            <w:shd w:val="clear" w:color="auto" w:fill="auto"/>
            <w:vAlign w:val="center"/>
          </w:tcPr>
          <w:p w14:paraId="0E5BDF30" w14:textId="77777777" w:rsidR="00304132" w:rsidRPr="00C07B2E" w:rsidRDefault="00304132" w:rsidP="00CD5E09">
            <w:pPr>
              <w:rPr>
                <w:rFonts w:eastAsia="SimSun"/>
                <w:lang w:val="en-US"/>
              </w:rPr>
            </w:pPr>
            <w:r>
              <w:rPr>
                <w:rFonts w:eastAsia="SimSun"/>
                <w:lang w:val="en-US"/>
              </w:rPr>
              <w:t>5.</w:t>
            </w:r>
            <w:r w:rsidRPr="00C07B2E">
              <w:rPr>
                <w:rFonts w:eastAsia="SimSun"/>
                <w:lang w:val="en-US"/>
              </w:rPr>
              <w:t>1.1.9</w:t>
            </w:r>
          </w:p>
        </w:tc>
        <w:tc>
          <w:tcPr>
            <w:tcW w:w="672" w:type="pct"/>
            <w:shd w:val="clear" w:color="auto" w:fill="auto"/>
            <w:vAlign w:val="center"/>
          </w:tcPr>
          <w:p w14:paraId="758DF5FF" w14:textId="77777777" w:rsidR="00304132" w:rsidRPr="00C07B2E" w:rsidRDefault="00304132" w:rsidP="00CD5E09">
            <w:r w:rsidRPr="00C07B2E">
              <w:rPr>
                <w:rFonts w:eastAsia="SimSun"/>
              </w:rPr>
              <w:t>-</w:t>
            </w:r>
          </w:p>
        </w:tc>
      </w:tr>
    </w:tbl>
    <w:p w14:paraId="7BC32931" w14:textId="77777777" w:rsidR="00304132" w:rsidRPr="00C07B2E" w:rsidRDefault="00304132" w:rsidP="00304132">
      <w:pPr>
        <w:rPr>
          <w:rFonts w:eastAsia="SimSun"/>
        </w:rPr>
        <w:sectPr w:rsidR="00304132" w:rsidRPr="00C07B2E" w:rsidSect="00CD5E09">
          <w:type w:val="continuous"/>
          <w:pgSz w:w="16839" w:h="11907" w:orient="landscape" w:code="9"/>
          <w:pgMar w:top="1134" w:right="850" w:bottom="1134" w:left="1701" w:header="709" w:footer="567" w:gutter="0"/>
          <w:cols w:space="708"/>
          <w:docGrid w:linePitch="360"/>
        </w:sectPr>
      </w:pPr>
    </w:p>
    <w:p w14:paraId="09103909" w14:textId="77777777" w:rsidR="00304132" w:rsidRPr="00C07B2E" w:rsidRDefault="00304132" w:rsidP="00304132">
      <w:pPr>
        <w:rPr>
          <w:rFonts w:eastAsia="SimSun"/>
        </w:rPr>
      </w:pPr>
      <w:bookmarkStart w:id="288" w:name="_Toc44401144"/>
      <w:r>
        <w:rPr>
          <w:rFonts w:eastAsia="SimSun"/>
        </w:rPr>
        <w:lastRenderedPageBreak/>
        <w:t>Таблица</w:t>
      </w:r>
      <w:r w:rsidRPr="00C07B2E">
        <w:rPr>
          <w:rFonts w:eastAsia="SimSun"/>
        </w:rPr>
        <w:t xml:space="preserve"> </w:t>
      </w:r>
      <w:r>
        <w:rPr>
          <w:rFonts w:eastAsia="SimSun"/>
        </w:rPr>
        <w:t>5</w:t>
      </w:r>
      <w:r w:rsidRPr="00C07B2E">
        <w:rPr>
          <w:rFonts w:eastAsia="SimSun"/>
        </w:rPr>
        <w:t>.1.1.1 – Bu12+Cy120 / CSA+MTX</w:t>
      </w:r>
      <w:bookmarkEnd w:id="288"/>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1843"/>
        <w:gridCol w:w="1417"/>
        <w:gridCol w:w="1418"/>
        <w:gridCol w:w="1701"/>
        <w:gridCol w:w="2268"/>
      </w:tblGrid>
      <w:tr w:rsidR="00304132" w:rsidRPr="00C07B2E" w14:paraId="308610D2" w14:textId="77777777" w:rsidTr="00CD5E09">
        <w:trPr>
          <w:cantSplit/>
          <w:trHeight w:val="20"/>
          <w:tblHeader/>
        </w:trPr>
        <w:tc>
          <w:tcPr>
            <w:tcW w:w="709" w:type="dxa"/>
            <w:vAlign w:val="center"/>
          </w:tcPr>
          <w:p w14:paraId="4E68C80A" w14:textId="77777777" w:rsidR="00304132" w:rsidRPr="00C07B2E" w:rsidRDefault="00304132" w:rsidP="00CD5E09">
            <w:pPr>
              <w:ind w:left="57" w:right="57"/>
              <w:rPr>
                <w:rFonts w:eastAsia="SimSun"/>
              </w:rPr>
            </w:pPr>
            <w:bookmarkStart w:id="289" w:name="_Hlk513908710"/>
          </w:p>
        </w:tc>
        <w:tc>
          <w:tcPr>
            <w:tcW w:w="1843" w:type="dxa"/>
            <w:vAlign w:val="center"/>
          </w:tcPr>
          <w:p w14:paraId="24CF0332" w14:textId="77777777" w:rsidR="00304132" w:rsidRPr="00C07B2E" w:rsidRDefault="00304132" w:rsidP="00CD5E09">
            <w:pPr>
              <w:ind w:left="57" w:right="57"/>
              <w:rPr>
                <w:rFonts w:eastAsia="SimSun"/>
              </w:rPr>
            </w:pPr>
            <w:r w:rsidRPr="00C07B2E">
              <w:rPr>
                <w:rFonts w:eastAsia="SimSun"/>
              </w:rPr>
              <w:t>Препарат</w:t>
            </w:r>
          </w:p>
        </w:tc>
        <w:tc>
          <w:tcPr>
            <w:tcW w:w="1417" w:type="dxa"/>
            <w:vAlign w:val="center"/>
          </w:tcPr>
          <w:p w14:paraId="34BA6DA8" w14:textId="77777777" w:rsidR="00304132" w:rsidRPr="00C07B2E" w:rsidRDefault="00304132" w:rsidP="00CD5E09">
            <w:pPr>
              <w:ind w:left="57" w:right="57"/>
              <w:rPr>
                <w:rFonts w:eastAsia="SimSun"/>
              </w:rPr>
            </w:pPr>
            <w:r w:rsidRPr="00C07B2E">
              <w:rPr>
                <w:rFonts w:eastAsia="SimSun"/>
              </w:rPr>
              <w:t>Суточная доза</w:t>
            </w:r>
          </w:p>
        </w:tc>
        <w:tc>
          <w:tcPr>
            <w:tcW w:w="1418" w:type="dxa"/>
            <w:vAlign w:val="center"/>
          </w:tcPr>
          <w:p w14:paraId="6F0D8D5C" w14:textId="77777777" w:rsidR="00304132" w:rsidRPr="00C07B2E" w:rsidRDefault="00304132" w:rsidP="00CD5E09">
            <w:pPr>
              <w:ind w:left="57" w:right="57"/>
              <w:rPr>
                <w:rFonts w:eastAsia="SimSun"/>
              </w:rPr>
            </w:pPr>
            <w:r w:rsidRPr="00C07B2E">
              <w:rPr>
                <w:rFonts w:eastAsia="SimSun"/>
              </w:rPr>
              <w:t>Курсовая доза</w:t>
            </w:r>
          </w:p>
        </w:tc>
        <w:tc>
          <w:tcPr>
            <w:tcW w:w="1701" w:type="dxa"/>
            <w:vAlign w:val="center"/>
          </w:tcPr>
          <w:p w14:paraId="75F4FFA0" w14:textId="77777777" w:rsidR="00304132" w:rsidRPr="00C07B2E" w:rsidRDefault="00304132" w:rsidP="00CD5E09">
            <w:pPr>
              <w:ind w:left="57" w:right="57"/>
              <w:rPr>
                <w:rFonts w:eastAsia="SimSun"/>
              </w:rPr>
            </w:pPr>
            <w:r w:rsidRPr="00C07B2E">
              <w:rPr>
                <w:rFonts w:eastAsia="SimSun"/>
              </w:rPr>
              <w:t>Дни введения</w:t>
            </w:r>
          </w:p>
        </w:tc>
        <w:tc>
          <w:tcPr>
            <w:tcW w:w="2268" w:type="dxa"/>
            <w:vAlign w:val="center"/>
          </w:tcPr>
          <w:p w14:paraId="52FF8B0B" w14:textId="77777777" w:rsidR="00304132" w:rsidRPr="00C07B2E" w:rsidRDefault="00304132" w:rsidP="00CD5E09">
            <w:pPr>
              <w:ind w:left="57" w:right="57"/>
              <w:rPr>
                <w:rFonts w:eastAsia="SimSun"/>
              </w:rPr>
            </w:pPr>
            <w:r w:rsidRPr="00C07B2E">
              <w:rPr>
                <w:rFonts w:eastAsia="SimSun"/>
              </w:rPr>
              <w:t>Порядок введения</w:t>
            </w:r>
          </w:p>
        </w:tc>
      </w:tr>
      <w:tr w:rsidR="00304132" w:rsidRPr="00C07B2E" w14:paraId="3E443C81" w14:textId="77777777" w:rsidTr="00CD5E09">
        <w:trPr>
          <w:cantSplit/>
          <w:trHeight w:val="20"/>
        </w:trPr>
        <w:tc>
          <w:tcPr>
            <w:tcW w:w="709" w:type="dxa"/>
            <w:vMerge w:val="restart"/>
            <w:textDirection w:val="btLr"/>
            <w:vAlign w:val="center"/>
          </w:tcPr>
          <w:p w14:paraId="22400A61" w14:textId="77777777" w:rsidR="00304132" w:rsidRPr="00C07B2E" w:rsidRDefault="00304132" w:rsidP="00CD5E09">
            <w:pPr>
              <w:ind w:left="57" w:right="57"/>
              <w:rPr>
                <w:rFonts w:eastAsia="SimSun"/>
              </w:rPr>
            </w:pPr>
            <w:r w:rsidRPr="00C07B2E">
              <w:rPr>
                <w:rFonts w:eastAsia="SimSun"/>
              </w:rPr>
              <w:t>Кондиционирование</w:t>
            </w:r>
          </w:p>
        </w:tc>
        <w:tc>
          <w:tcPr>
            <w:tcW w:w="1843" w:type="dxa"/>
            <w:vAlign w:val="center"/>
          </w:tcPr>
          <w:p w14:paraId="0DDAE6A9" w14:textId="77777777" w:rsidR="00304132" w:rsidRPr="00C07B2E" w:rsidRDefault="00304132" w:rsidP="00CD5E09">
            <w:pPr>
              <w:ind w:left="57" w:right="57"/>
              <w:rPr>
                <w:rFonts w:eastAsia="SimSun"/>
              </w:rPr>
            </w:pPr>
            <w:r w:rsidRPr="00C07B2E">
              <w:rPr>
                <w:rFonts w:eastAsia="SimSun"/>
              </w:rPr>
              <w:t>Бусульфан</w:t>
            </w:r>
          </w:p>
        </w:tc>
        <w:tc>
          <w:tcPr>
            <w:tcW w:w="1417" w:type="dxa"/>
            <w:vAlign w:val="center"/>
          </w:tcPr>
          <w:p w14:paraId="21CF9672" w14:textId="77777777" w:rsidR="00304132" w:rsidRPr="00C07B2E" w:rsidRDefault="00304132" w:rsidP="00CD5E09">
            <w:pPr>
              <w:ind w:left="57" w:right="57"/>
              <w:rPr>
                <w:rFonts w:eastAsia="SimSun"/>
              </w:rPr>
            </w:pPr>
            <w:r w:rsidRPr="00C07B2E">
              <w:rPr>
                <w:rFonts w:eastAsia="SimSun"/>
              </w:rPr>
              <w:t>4 мг/кг</w:t>
            </w:r>
          </w:p>
        </w:tc>
        <w:tc>
          <w:tcPr>
            <w:tcW w:w="1418" w:type="dxa"/>
            <w:vAlign w:val="center"/>
          </w:tcPr>
          <w:p w14:paraId="33CB5DF8" w14:textId="77777777" w:rsidR="00304132" w:rsidRPr="00C07B2E" w:rsidRDefault="00304132" w:rsidP="00CD5E09">
            <w:pPr>
              <w:ind w:left="57" w:right="57"/>
              <w:rPr>
                <w:rFonts w:eastAsia="SimSun"/>
              </w:rPr>
            </w:pPr>
            <w:r w:rsidRPr="00C07B2E">
              <w:rPr>
                <w:rFonts w:eastAsia="SimSun"/>
                <w:lang w:val="en-US"/>
              </w:rPr>
              <w:t>12</w:t>
            </w:r>
            <w:r w:rsidRPr="00C07B2E">
              <w:rPr>
                <w:rFonts w:eastAsia="SimSun"/>
              </w:rPr>
              <w:t xml:space="preserve"> мг/кг</w:t>
            </w:r>
          </w:p>
        </w:tc>
        <w:tc>
          <w:tcPr>
            <w:tcW w:w="1701" w:type="dxa"/>
            <w:vAlign w:val="center"/>
          </w:tcPr>
          <w:p w14:paraId="1BE0C2AC" w14:textId="77777777" w:rsidR="00304132" w:rsidRPr="00C07B2E" w:rsidRDefault="00304132" w:rsidP="00CD5E09">
            <w:pPr>
              <w:ind w:left="57" w:right="57"/>
              <w:rPr>
                <w:rFonts w:eastAsia="SimSun"/>
              </w:rPr>
            </w:pPr>
            <w:r w:rsidRPr="00C07B2E">
              <w:rPr>
                <w:rFonts w:eastAsia="SimSun"/>
                <w:lang w:val="en-US"/>
              </w:rPr>
              <w:t>C</w:t>
            </w:r>
            <w:r w:rsidRPr="00C07B2E">
              <w:rPr>
                <w:rFonts w:eastAsia="SimSun"/>
              </w:rPr>
              <w:t xml:space="preserve"> –6 по –4 день </w:t>
            </w:r>
          </w:p>
        </w:tc>
        <w:tc>
          <w:tcPr>
            <w:tcW w:w="2268" w:type="dxa"/>
            <w:vAlign w:val="center"/>
          </w:tcPr>
          <w:p w14:paraId="1898F037" w14:textId="77777777" w:rsidR="00304132" w:rsidRPr="00985050" w:rsidRDefault="00304132" w:rsidP="00CD5E09">
            <w:pPr>
              <w:ind w:left="57" w:right="57"/>
              <w:rPr>
                <w:rFonts w:eastAsia="SimSun"/>
              </w:rPr>
            </w:pPr>
            <w:r w:rsidRPr="00985050">
              <w:rPr>
                <w:rFonts w:eastAsia="SimSun"/>
              </w:rPr>
              <w:t>Внутрь, суммарная суточная доза разделяется на 4 приема с интервалом 6 часов.</w:t>
            </w:r>
          </w:p>
        </w:tc>
      </w:tr>
      <w:tr w:rsidR="00304132" w:rsidRPr="00C07B2E" w14:paraId="4C74E03E" w14:textId="77777777" w:rsidTr="00CD5E09">
        <w:trPr>
          <w:cantSplit/>
          <w:trHeight w:val="1207"/>
        </w:trPr>
        <w:tc>
          <w:tcPr>
            <w:tcW w:w="709" w:type="dxa"/>
            <w:vMerge/>
            <w:vAlign w:val="center"/>
          </w:tcPr>
          <w:p w14:paraId="5AD2087D" w14:textId="77777777" w:rsidR="00304132" w:rsidRPr="00985050" w:rsidRDefault="00304132" w:rsidP="00CD5E09">
            <w:pPr>
              <w:ind w:left="57" w:right="57"/>
              <w:rPr>
                <w:rFonts w:eastAsia="SimSun"/>
              </w:rPr>
            </w:pPr>
          </w:p>
        </w:tc>
        <w:tc>
          <w:tcPr>
            <w:tcW w:w="1843" w:type="dxa"/>
            <w:vAlign w:val="center"/>
          </w:tcPr>
          <w:p w14:paraId="469C8544" w14:textId="77777777" w:rsidR="00304132" w:rsidRPr="00C07B2E" w:rsidRDefault="00304132" w:rsidP="00CD5E09">
            <w:pPr>
              <w:ind w:left="57" w:right="57"/>
              <w:rPr>
                <w:rFonts w:eastAsia="SimSun"/>
              </w:rPr>
            </w:pPr>
            <w:r w:rsidRPr="00C07B2E">
              <w:rPr>
                <w:rFonts w:eastAsia="SimSun"/>
              </w:rPr>
              <w:t>Циклофосфамид</w:t>
            </w:r>
          </w:p>
        </w:tc>
        <w:tc>
          <w:tcPr>
            <w:tcW w:w="1417" w:type="dxa"/>
            <w:vAlign w:val="center"/>
          </w:tcPr>
          <w:p w14:paraId="7DB16415" w14:textId="77777777" w:rsidR="00304132" w:rsidRPr="00C07B2E" w:rsidRDefault="00304132" w:rsidP="00CD5E09">
            <w:pPr>
              <w:ind w:left="57" w:right="57"/>
              <w:rPr>
                <w:rFonts w:eastAsia="SimSun"/>
              </w:rPr>
            </w:pPr>
            <w:r w:rsidRPr="00C07B2E">
              <w:rPr>
                <w:rFonts w:eastAsia="SimSun"/>
              </w:rPr>
              <w:t>60 мг/кг</w:t>
            </w:r>
          </w:p>
        </w:tc>
        <w:tc>
          <w:tcPr>
            <w:tcW w:w="1418" w:type="dxa"/>
            <w:vAlign w:val="center"/>
          </w:tcPr>
          <w:p w14:paraId="1959666D" w14:textId="77777777" w:rsidR="00304132" w:rsidRPr="00C07B2E" w:rsidRDefault="00304132" w:rsidP="00CD5E09">
            <w:pPr>
              <w:ind w:left="57" w:right="57"/>
              <w:rPr>
                <w:rFonts w:eastAsia="SimSun"/>
              </w:rPr>
            </w:pPr>
            <w:r w:rsidRPr="00C07B2E">
              <w:rPr>
                <w:rFonts w:eastAsia="SimSun"/>
              </w:rPr>
              <w:t>120 мг/кг</w:t>
            </w:r>
          </w:p>
        </w:tc>
        <w:tc>
          <w:tcPr>
            <w:tcW w:w="1701" w:type="dxa"/>
            <w:vAlign w:val="center"/>
          </w:tcPr>
          <w:p w14:paraId="15BB338D" w14:textId="77777777" w:rsidR="00304132" w:rsidRPr="00C07B2E" w:rsidRDefault="00304132" w:rsidP="00CD5E09">
            <w:pPr>
              <w:ind w:left="57" w:right="57"/>
              <w:rPr>
                <w:rFonts w:eastAsia="SimSun"/>
              </w:rPr>
            </w:pPr>
            <w:r w:rsidRPr="00C07B2E">
              <w:rPr>
                <w:rFonts w:eastAsia="SimSun"/>
                <w:lang w:val="en-US"/>
              </w:rPr>
              <w:t>–3, –2 дни</w:t>
            </w:r>
            <w:r w:rsidRPr="00C07B2E">
              <w:rPr>
                <w:rFonts w:eastAsia="SimSun"/>
              </w:rPr>
              <w:t xml:space="preserve"> </w:t>
            </w:r>
          </w:p>
        </w:tc>
        <w:tc>
          <w:tcPr>
            <w:tcW w:w="2268" w:type="dxa"/>
            <w:vAlign w:val="center"/>
          </w:tcPr>
          <w:p w14:paraId="49B5546E" w14:textId="77777777" w:rsidR="00304132" w:rsidRPr="00985050" w:rsidRDefault="00304132" w:rsidP="00CD5E09">
            <w:pPr>
              <w:ind w:left="57" w:right="57"/>
              <w:rPr>
                <w:rFonts w:eastAsia="SimSun"/>
              </w:rPr>
            </w:pPr>
            <w:r w:rsidRPr="00985050">
              <w:rPr>
                <w:rFonts w:eastAsia="SimSun"/>
              </w:rPr>
              <w:t xml:space="preserve">В/в, в течение 2 ч  </w:t>
            </w:r>
          </w:p>
        </w:tc>
      </w:tr>
      <w:tr w:rsidR="00304132" w:rsidRPr="00C07B2E" w14:paraId="2180659C" w14:textId="77777777" w:rsidTr="00CD5E09">
        <w:trPr>
          <w:cantSplit/>
          <w:trHeight w:val="20"/>
        </w:trPr>
        <w:tc>
          <w:tcPr>
            <w:tcW w:w="709" w:type="dxa"/>
            <w:vMerge w:val="restart"/>
            <w:textDirection w:val="btLr"/>
            <w:vAlign w:val="center"/>
          </w:tcPr>
          <w:p w14:paraId="3ACB9406" w14:textId="77777777" w:rsidR="00304132" w:rsidRPr="00C07B2E" w:rsidRDefault="00304132" w:rsidP="00CD5E09">
            <w:pPr>
              <w:ind w:left="57" w:right="57"/>
              <w:rPr>
                <w:rFonts w:eastAsia="SimSun"/>
              </w:rPr>
            </w:pPr>
            <w:r w:rsidRPr="00C07B2E">
              <w:rPr>
                <w:rFonts w:eastAsia="SimSun"/>
              </w:rPr>
              <w:t>Профилактика РТПХ</w:t>
            </w:r>
          </w:p>
        </w:tc>
        <w:tc>
          <w:tcPr>
            <w:tcW w:w="1843" w:type="dxa"/>
            <w:vAlign w:val="center"/>
          </w:tcPr>
          <w:p w14:paraId="2EFA7A6E" w14:textId="77777777" w:rsidR="00304132" w:rsidRPr="00C07B2E" w:rsidRDefault="00304132" w:rsidP="00CD5E09">
            <w:pPr>
              <w:ind w:left="57" w:right="57"/>
              <w:rPr>
                <w:rFonts w:eastAsia="SimSun"/>
              </w:rPr>
            </w:pPr>
            <w:r w:rsidRPr="00C07B2E">
              <w:rPr>
                <w:rFonts w:eastAsia="SimSun"/>
              </w:rPr>
              <w:t xml:space="preserve">Циклоспорин </w:t>
            </w:r>
          </w:p>
        </w:tc>
        <w:tc>
          <w:tcPr>
            <w:tcW w:w="1417" w:type="dxa"/>
            <w:vAlign w:val="center"/>
          </w:tcPr>
          <w:p w14:paraId="5A37960A" w14:textId="77777777" w:rsidR="00304132" w:rsidRPr="00C07B2E" w:rsidRDefault="00304132" w:rsidP="00CD5E09">
            <w:pPr>
              <w:ind w:left="57" w:right="57"/>
              <w:rPr>
                <w:rFonts w:eastAsia="SimSun"/>
              </w:rPr>
            </w:pPr>
            <w:r w:rsidRPr="00C07B2E">
              <w:rPr>
                <w:rFonts w:eastAsia="SimSun"/>
              </w:rPr>
              <w:t>3 мг/кг</w:t>
            </w:r>
          </w:p>
        </w:tc>
        <w:tc>
          <w:tcPr>
            <w:tcW w:w="1418" w:type="dxa"/>
            <w:vAlign w:val="center"/>
          </w:tcPr>
          <w:p w14:paraId="2183F3CC" w14:textId="77777777" w:rsidR="00304132" w:rsidRPr="00C07B2E" w:rsidRDefault="00304132" w:rsidP="00CD5E09">
            <w:pPr>
              <w:ind w:left="57" w:right="57"/>
              <w:rPr>
                <w:rFonts w:eastAsia="SimSun"/>
                <w:lang w:val="en-US"/>
              </w:rPr>
            </w:pPr>
            <w:r w:rsidRPr="00C07B2E">
              <w:rPr>
                <w:rFonts w:eastAsia="SimSun"/>
                <w:lang w:val="en-US"/>
              </w:rPr>
              <w:t>–</w:t>
            </w:r>
          </w:p>
        </w:tc>
        <w:tc>
          <w:tcPr>
            <w:tcW w:w="1701" w:type="dxa"/>
            <w:vAlign w:val="center"/>
          </w:tcPr>
          <w:p w14:paraId="5E2C9DBE" w14:textId="77777777" w:rsidR="00304132" w:rsidRPr="00C07B2E" w:rsidRDefault="00304132" w:rsidP="00CD5E09">
            <w:pPr>
              <w:ind w:left="57" w:right="57"/>
              <w:rPr>
                <w:rFonts w:eastAsia="SimSun"/>
              </w:rPr>
            </w:pPr>
            <w:r w:rsidRPr="00C07B2E">
              <w:rPr>
                <w:rFonts w:eastAsia="SimSun"/>
              </w:rPr>
              <w:t>С –1 дня по +90 день, затем постепенное снижение к +180 дню</w:t>
            </w:r>
          </w:p>
        </w:tc>
        <w:tc>
          <w:tcPr>
            <w:tcW w:w="2268" w:type="dxa"/>
            <w:vAlign w:val="center"/>
          </w:tcPr>
          <w:p w14:paraId="70AC6A8C" w14:textId="77777777" w:rsidR="00304132" w:rsidRPr="00985050" w:rsidRDefault="00304132" w:rsidP="00CD5E09">
            <w:pPr>
              <w:ind w:left="57" w:right="57"/>
              <w:rPr>
                <w:rFonts w:eastAsia="SimSun"/>
              </w:rPr>
            </w:pPr>
            <w:r w:rsidRPr="00C07B2E">
              <w:rPr>
                <w:rFonts w:eastAsia="SimSun"/>
              </w:rPr>
              <w:t xml:space="preserve">В/в, 5-часовая инфузия 2 раза/сут. </w:t>
            </w:r>
            <w:r w:rsidRPr="00985050">
              <w:rPr>
                <w:rFonts w:eastAsia="SimSun"/>
              </w:rPr>
              <w:t>Перевод на прием внутрь при условии восстановления лейкоцитов &gt;</w:t>
            </w:r>
            <w:r w:rsidRPr="00C07B2E">
              <w:rPr>
                <w:rFonts w:eastAsia="SimSun"/>
                <w:lang w:val="en-US"/>
              </w:rPr>
              <w:t> </w:t>
            </w:r>
            <w:r w:rsidRPr="00985050">
              <w:rPr>
                <w:rFonts w:eastAsia="SimSun"/>
              </w:rPr>
              <w:t>1</w:t>
            </w:r>
            <w:r w:rsidRPr="00C07B2E">
              <w:rPr>
                <w:rFonts w:eastAsia="SimSun"/>
                <w:lang w:val="en-US"/>
              </w:rPr>
              <w:t> </w:t>
            </w:r>
            <w:r>
              <w:rPr>
                <w:rFonts w:eastAsia="SimSun"/>
              </w:rPr>
              <w:t>х</w:t>
            </w:r>
            <w:r w:rsidRPr="00C07B2E">
              <w:rPr>
                <w:rFonts w:eastAsia="SimSun"/>
                <w:lang w:val="en-US"/>
              </w:rPr>
              <w:t> </w:t>
            </w:r>
            <w:r w:rsidRPr="00985050">
              <w:rPr>
                <w:rFonts w:eastAsia="SimSun"/>
              </w:rPr>
              <w:t>10</w:t>
            </w:r>
            <w:r w:rsidRPr="00985050">
              <w:rPr>
                <w:rFonts w:eastAsia="SimSun"/>
                <w:vertAlign w:val="superscript"/>
              </w:rPr>
              <w:t>9</w:t>
            </w:r>
            <w:r w:rsidRPr="00985050">
              <w:rPr>
                <w:rFonts w:eastAsia="SimSun"/>
              </w:rPr>
              <w:t xml:space="preserve">/л, при отсутствии тошноты, рвоты, диареи и возможности приема внутрь.; Концентрация 150-350 нг/мл  </w:t>
            </w:r>
          </w:p>
        </w:tc>
      </w:tr>
      <w:tr w:rsidR="00304132" w:rsidRPr="00C07B2E" w14:paraId="0811731A" w14:textId="77777777" w:rsidTr="00CD5E09">
        <w:trPr>
          <w:cantSplit/>
          <w:trHeight w:val="20"/>
        </w:trPr>
        <w:tc>
          <w:tcPr>
            <w:tcW w:w="709" w:type="dxa"/>
            <w:vMerge/>
          </w:tcPr>
          <w:p w14:paraId="55C6E91D" w14:textId="77777777" w:rsidR="00304132" w:rsidRPr="00985050" w:rsidRDefault="00304132" w:rsidP="00CD5E09">
            <w:pPr>
              <w:ind w:left="57" w:right="57"/>
              <w:rPr>
                <w:rFonts w:eastAsia="SimSun"/>
              </w:rPr>
            </w:pPr>
          </w:p>
        </w:tc>
        <w:tc>
          <w:tcPr>
            <w:tcW w:w="1843" w:type="dxa"/>
            <w:vMerge w:val="restart"/>
            <w:vAlign w:val="center"/>
          </w:tcPr>
          <w:p w14:paraId="4AE9D666" w14:textId="77777777" w:rsidR="00304132" w:rsidRPr="00C07B2E" w:rsidRDefault="00304132" w:rsidP="00CD5E09">
            <w:pPr>
              <w:ind w:left="57" w:right="57"/>
              <w:rPr>
                <w:rFonts w:eastAsia="SimSun"/>
              </w:rPr>
            </w:pPr>
            <w:r w:rsidRPr="00C07B2E">
              <w:rPr>
                <w:rFonts w:eastAsia="SimSun"/>
              </w:rPr>
              <w:t>Метотрексат</w:t>
            </w:r>
          </w:p>
        </w:tc>
        <w:tc>
          <w:tcPr>
            <w:tcW w:w="1417" w:type="dxa"/>
            <w:vAlign w:val="center"/>
          </w:tcPr>
          <w:p w14:paraId="07D2F13B" w14:textId="77777777" w:rsidR="00304132" w:rsidRPr="00C07B2E" w:rsidRDefault="00304132" w:rsidP="00CD5E09">
            <w:pPr>
              <w:ind w:left="57" w:right="57"/>
              <w:rPr>
                <w:rFonts w:eastAsia="SimSun"/>
              </w:rPr>
            </w:pPr>
            <w:r w:rsidRPr="00C07B2E">
              <w:rPr>
                <w:rFonts w:eastAsia="SimSun"/>
              </w:rPr>
              <w:t>15 мг/м</w:t>
            </w:r>
            <w:r w:rsidRPr="00C07B2E">
              <w:rPr>
                <w:rFonts w:eastAsia="SimSun"/>
                <w:vertAlign w:val="superscript"/>
              </w:rPr>
              <w:t>2</w:t>
            </w:r>
          </w:p>
        </w:tc>
        <w:tc>
          <w:tcPr>
            <w:tcW w:w="1418" w:type="dxa"/>
            <w:vAlign w:val="center"/>
          </w:tcPr>
          <w:p w14:paraId="427D26AC" w14:textId="77777777" w:rsidR="00304132" w:rsidRPr="00C07B2E" w:rsidRDefault="00304132" w:rsidP="00CD5E09">
            <w:pPr>
              <w:ind w:left="57" w:right="57"/>
              <w:rPr>
                <w:rFonts w:eastAsia="SimSun"/>
              </w:rPr>
            </w:pPr>
            <w:r w:rsidRPr="00C07B2E">
              <w:rPr>
                <w:rFonts w:eastAsia="SimSun"/>
                <w:lang w:val="en-US"/>
              </w:rPr>
              <w:t>–</w:t>
            </w:r>
          </w:p>
        </w:tc>
        <w:tc>
          <w:tcPr>
            <w:tcW w:w="1701" w:type="dxa"/>
            <w:vAlign w:val="center"/>
          </w:tcPr>
          <w:p w14:paraId="56415DD7" w14:textId="77777777" w:rsidR="00304132" w:rsidRPr="00C07B2E" w:rsidRDefault="00304132" w:rsidP="00CD5E09">
            <w:pPr>
              <w:ind w:left="57" w:right="57"/>
              <w:rPr>
                <w:rFonts w:eastAsia="SimSun"/>
              </w:rPr>
            </w:pPr>
            <w:r w:rsidRPr="00C07B2E">
              <w:rPr>
                <w:rFonts w:eastAsia="SimSun"/>
              </w:rPr>
              <w:t>+1 день</w:t>
            </w:r>
          </w:p>
        </w:tc>
        <w:tc>
          <w:tcPr>
            <w:tcW w:w="2268" w:type="dxa"/>
            <w:vAlign w:val="center"/>
          </w:tcPr>
          <w:p w14:paraId="24B9D447" w14:textId="77777777" w:rsidR="00304132" w:rsidRPr="00C07B2E" w:rsidRDefault="00304132" w:rsidP="00CD5E09">
            <w:pPr>
              <w:ind w:left="57" w:right="57"/>
              <w:rPr>
                <w:rFonts w:eastAsia="SimSun"/>
              </w:rPr>
            </w:pPr>
            <w:r w:rsidRPr="00C07B2E">
              <w:rPr>
                <w:rFonts w:eastAsia="SimSun"/>
              </w:rPr>
              <w:t>В/в, в 20 мл физ. р-ра</w:t>
            </w:r>
            <w:bookmarkStart w:id="290" w:name="OLE_LINK12"/>
            <w:bookmarkStart w:id="291" w:name="OLE_LINK13"/>
            <w:r w:rsidRPr="00C07B2E">
              <w:rPr>
                <w:rFonts w:eastAsia="SimSun"/>
              </w:rPr>
              <w:t xml:space="preserve"> </w:t>
            </w:r>
            <w:bookmarkEnd w:id="290"/>
            <w:bookmarkEnd w:id="291"/>
            <w:r w:rsidRPr="00C07B2E">
              <w:rPr>
                <w:rFonts w:eastAsia="SimSun"/>
              </w:rPr>
              <w:t xml:space="preserve"> </w:t>
            </w:r>
          </w:p>
        </w:tc>
      </w:tr>
      <w:tr w:rsidR="00304132" w:rsidRPr="00C07B2E" w14:paraId="4B7FC29D" w14:textId="77777777" w:rsidTr="00CD5E09">
        <w:trPr>
          <w:cantSplit/>
          <w:trHeight w:val="464"/>
        </w:trPr>
        <w:tc>
          <w:tcPr>
            <w:tcW w:w="709" w:type="dxa"/>
            <w:vMerge/>
          </w:tcPr>
          <w:p w14:paraId="20794E9D" w14:textId="77777777" w:rsidR="00304132" w:rsidRPr="00C07B2E" w:rsidRDefault="00304132" w:rsidP="00CD5E09">
            <w:pPr>
              <w:ind w:left="57" w:right="57"/>
              <w:rPr>
                <w:rFonts w:eastAsia="SimSun"/>
              </w:rPr>
            </w:pPr>
          </w:p>
        </w:tc>
        <w:tc>
          <w:tcPr>
            <w:tcW w:w="1843" w:type="dxa"/>
            <w:vMerge/>
            <w:vAlign w:val="center"/>
          </w:tcPr>
          <w:p w14:paraId="68C9B047" w14:textId="77777777" w:rsidR="00304132" w:rsidRPr="00C07B2E" w:rsidRDefault="00304132" w:rsidP="00CD5E09">
            <w:pPr>
              <w:ind w:left="57" w:right="57"/>
              <w:rPr>
                <w:rFonts w:eastAsia="SimSun"/>
              </w:rPr>
            </w:pPr>
          </w:p>
        </w:tc>
        <w:tc>
          <w:tcPr>
            <w:tcW w:w="1417" w:type="dxa"/>
            <w:vAlign w:val="center"/>
          </w:tcPr>
          <w:p w14:paraId="1C7C8C6E" w14:textId="77777777" w:rsidR="00304132" w:rsidRPr="00C07B2E" w:rsidRDefault="00304132" w:rsidP="00CD5E09">
            <w:pPr>
              <w:ind w:left="57" w:right="57"/>
              <w:rPr>
                <w:rFonts w:eastAsia="SimSun"/>
              </w:rPr>
            </w:pPr>
            <w:r w:rsidRPr="00C07B2E">
              <w:rPr>
                <w:rFonts w:eastAsia="SimSun"/>
              </w:rPr>
              <w:t>10 мг/м</w:t>
            </w:r>
            <w:r w:rsidRPr="00C07B2E">
              <w:rPr>
                <w:rFonts w:eastAsia="SimSun"/>
                <w:vertAlign w:val="superscript"/>
              </w:rPr>
              <w:t>2</w:t>
            </w:r>
          </w:p>
        </w:tc>
        <w:tc>
          <w:tcPr>
            <w:tcW w:w="1418" w:type="dxa"/>
            <w:vAlign w:val="center"/>
          </w:tcPr>
          <w:p w14:paraId="71241C5E" w14:textId="77777777" w:rsidR="00304132" w:rsidRPr="00C07B2E" w:rsidRDefault="00304132" w:rsidP="00CD5E09">
            <w:pPr>
              <w:ind w:left="57" w:right="57"/>
              <w:rPr>
                <w:rFonts w:eastAsia="SimSun"/>
              </w:rPr>
            </w:pPr>
            <w:r w:rsidRPr="00C07B2E">
              <w:rPr>
                <w:rFonts w:eastAsia="SimSun"/>
                <w:lang w:val="en-US"/>
              </w:rPr>
              <w:t>–</w:t>
            </w:r>
          </w:p>
        </w:tc>
        <w:tc>
          <w:tcPr>
            <w:tcW w:w="1701" w:type="dxa"/>
            <w:vAlign w:val="center"/>
          </w:tcPr>
          <w:p w14:paraId="11613C23" w14:textId="77777777" w:rsidR="00304132" w:rsidRPr="00C07B2E" w:rsidRDefault="00304132" w:rsidP="00CD5E09">
            <w:pPr>
              <w:ind w:left="57" w:right="57"/>
              <w:rPr>
                <w:rFonts w:eastAsia="SimSun"/>
              </w:rPr>
            </w:pPr>
            <w:r w:rsidRPr="00C07B2E">
              <w:rPr>
                <w:rFonts w:eastAsia="SimSun"/>
              </w:rPr>
              <w:t>+3, +6, +11 дни</w:t>
            </w:r>
          </w:p>
        </w:tc>
        <w:tc>
          <w:tcPr>
            <w:tcW w:w="2268" w:type="dxa"/>
            <w:vAlign w:val="center"/>
          </w:tcPr>
          <w:p w14:paraId="5A4CB31A" w14:textId="77777777" w:rsidR="00304132" w:rsidRPr="00C07B2E" w:rsidRDefault="00304132" w:rsidP="00CD5E09">
            <w:pPr>
              <w:ind w:left="57" w:right="57"/>
              <w:rPr>
                <w:rFonts w:eastAsia="SimSun"/>
              </w:rPr>
            </w:pPr>
            <w:r w:rsidRPr="00C07B2E">
              <w:rPr>
                <w:rFonts w:eastAsia="SimSun"/>
              </w:rPr>
              <w:t xml:space="preserve">В/в, в 20 мл физ. р-ра  </w:t>
            </w:r>
          </w:p>
        </w:tc>
      </w:tr>
      <w:bookmarkEnd w:id="289"/>
    </w:tbl>
    <w:p w14:paraId="7F59D686" w14:textId="77777777" w:rsidR="00304132" w:rsidRPr="00C07B2E" w:rsidRDefault="00304132" w:rsidP="00304132">
      <w:pPr>
        <w:rPr>
          <w:rFonts w:eastAsia="SimSun"/>
        </w:rPr>
      </w:pPr>
    </w:p>
    <w:p w14:paraId="3487DC8C" w14:textId="77777777" w:rsidR="00304132" w:rsidRPr="00C07B2E" w:rsidRDefault="00304132" w:rsidP="00304132">
      <w:pPr>
        <w:rPr>
          <w:rFonts w:eastAsia="SimSun"/>
        </w:rPr>
      </w:pPr>
      <w:bookmarkStart w:id="292" w:name="_Toc44401145"/>
      <w:r w:rsidRPr="00042499">
        <w:rPr>
          <w:rFonts w:eastAsia="SimSun"/>
        </w:rPr>
        <w:lastRenderedPageBreak/>
        <w:t>Таблица</w:t>
      </w:r>
      <w:r w:rsidRPr="00C07B2E">
        <w:rPr>
          <w:rFonts w:eastAsia="SimSun"/>
        </w:rPr>
        <w:t xml:space="preserve"> </w:t>
      </w:r>
      <w:r>
        <w:rPr>
          <w:rFonts w:eastAsia="SimSun"/>
        </w:rPr>
        <w:t>5</w:t>
      </w:r>
      <w:r w:rsidRPr="00C07B2E">
        <w:rPr>
          <w:rFonts w:eastAsia="SimSun"/>
        </w:rPr>
        <w:t>.1.1.2  – TBI+Cy120 / CSA+MTX</w:t>
      </w:r>
      <w:bookmarkEnd w:id="292"/>
    </w:p>
    <w:tbl>
      <w:tblPr>
        <w:tblW w:w="488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78"/>
        <w:gridCol w:w="1921"/>
        <w:gridCol w:w="1303"/>
        <w:gridCol w:w="1375"/>
        <w:gridCol w:w="1688"/>
        <w:gridCol w:w="2172"/>
      </w:tblGrid>
      <w:tr w:rsidR="00304132" w:rsidRPr="00C07B2E" w14:paraId="09113AF9" w14:textId="77777777" w:rsidTr="00CD5E09">
        <w:trPr>
          <w:cantSplit/>
          <w:trHeight w:val="20"/>
          <w:tblHeader/>
        </w:trPr>
        <w:tc>
          <w:tcPr>
            <w:tcW w:w="376" w:type="pct"/>
            <w:vAlign w:val="center"/>
          </w:tcPr>
          <w:p w14:paraId="5B24C917" w14:textId="77777777" w:rsidR="00304132" w:rsidRPr="00C07B2E" w:rsidRDefault="00304132" w:rsidP="00CD5E09">
            <w:pPr>
              <w:rPr>
                <w:rFonts w:eastAsia="SimSun"/>
              </w:rPr>
            </w:pPr>
          </w:p>
        </w:tc>
        <w:tc>
          <w:tcPr>
            <w:tcW w:w="1027" w:type="pct"/>
            <w:vAlign w:val="center"/>
          </w:tcPr>
          <w:p w14:paraId="2D435637" w14:textId="77777777" w:rsidR="00304132" w:rsidRPr="00C07B2E" w:rsidRDefault="00304132" w:rsidP="00CD5E09">
            <w:pPr>
              <w:rPr>
                <w:rFonts w:eastAsia="SimSun"/>
              </w:rPr>
            </w:pPr>
            <w:r w:rsidRPr="00C07B2E">
              <w:rPr>
                <w:rFonts w:eastAsia="SimSun"/>
              </w:rPr>
              <w:t>Препарат</w:t>
            </w:r>
          </w:p>
        </w:tc>
        <w:tc>
          <w:tcPr>
            <w:tcW w:w="718" w:type="pct"/>
            <w:vAlign w:val="center"/>
          </w:tcPr>
          <w:p w14:paraId="0B4F542D" w14:textId="77777777" w:rsidR="00304132" w:rsidRPr="00C07B2E" w:rsidRDefault="00304132" w:rsidP="00CD5E09">
            <w:pPr>
              <w:rPr>
                <w:rFonts w:eastAsia="SimSun"/>
              </w:rPr>
            </w:pPr>
            <w:r w:rsidRPr="00C07B2E">
              <w:rPr>
                <w:rFonts w:eastAsia="SimSun"/>
              </w:rPr>
              <w:t>Суточная доза</w:t>
            </w:r>
          </w:p>
        </w:tc>
        <w:tc>
          <w:tcPr>
            <w:tcW w:w="757" w:type="pct"/>
            <w:vAlign w:val="center"/>
          </w:tcPr>
          <w:p w14:paraId="7D5CEDCD" w14:textId="77777777" w:rsidR="00304132" w:rsidRPr="00C07B2E" w:rsidRDefault="00304132" w:rsidP="00CD5E09">
            <w:pPr>
              <w:rPr>
                <w:rFonts w:eastAsia="SimSun"/>
              </w:rPr>
            </w:pPr>
            <w:r w:rsidRPr="00C07B2E">
              <w:rPr>
                <w:rFonts w:eastAsia="SimSun"/>
              </w:rPr>
              <w:t>Курсовая доза</w:t>
            </w:r>
          </w:p>
        </w:tc>
        <w:tc>
          <w:tcPr>
            <w:tcW w:w="928" w:type="pct"/>
            <w:vAlign w:val="center"/>
          </w:tcPr>
          <w:p w14:paraId="711BDF29" w14:textId="77777777" w:rsidR="00304132" w:rsidRPr="00C07B2E" w:rsidRDefault="00304132" w:rsidP="00CD5E09">
            <w:pPr>
              <w:rPr>
                <w:rFonts w:eastAsia="SimSun"/>
              </w:rPr>
            </w:pPr>
            <w:r w:rsidRPr="00C07B2E">
              <w:rPr>
                <w:rFonts w:eastAsia="SimSun"/>
              </w:rPr>
              <w:t>Дни введения</w:t>
            </w:r>
          </w:p>
        </w:tc>
        <w:tc>
          <w:tcPr>
            <w:tcW w:w="1193" w:type="pct"/>
            <w:vAlign w:val="center"/>
          </w:tcPr>
          <w:p w14:paraId="554D1451" w14:textId="77777777" w:rsidR="00304132" w:rsidRPr="00C07B2E" w:rsidRDefault="00304132" w:rsidP="00CD5E09">
            <w:pPr>
              <w:rPr>
                <w:rFonts w:eastAsia="SimSun"/>
              </w:rPr>
            </w:pPr>
            <w:r w:rsidRPr="00C07B2E">
              <w:rPr>
                <w:rFonts w:eastAsia="SimSun"/>
              </w:rPr>
              <w:t>Порядок введения</w:t>
            </w:r>
          </w:p>
        </w:tc>
      </w:tr>
      <w:tr w:rsidR="00304132" w:rsidRPr="00C07B2E" w14:paraId="55CB75F8" w14:textId="77777777" w:rsidTr="00CD5E09">
        <w:trPr>
          <w:cantSplit/>
          <w:trHeight w:val="20"/>
        </w:trPr>
        <w:tc>
          <w:tcPr>
            <w:tcW w:w="376" w:type="pct"/>
            <w:vMerge w:val="restart"/>
            <w:textDirection w:val="btLr"/>
            <w:vAlign w:val="center"/>
          </w:tcPr>
          <w:p w14:paraId="75102A3C" w14:textId="77777777" w:rsidR="00304132" w:rsidRPr="00C07B2E" w:rsidRDefault="00304132" w:rsidP="00CD5E09">
            <w:pPr>
              <w:rPr>
                <w:rFonts w:eastAsia="SimSun"/>
              </w:rPr>
            </w:pPr>
            <w:r w:rsidRPr="00C07B2E">
              <w:rPr>
                <w:rFonts w:eastAsia="SimSun"/>
              </w:rPr>
              <w:t>Кондиционирование</w:t>
            </w:r>
          </w:p>
        </w:tc>
        <w:tc>
          <w:tcPr>
            <w:tcW w:w="1027" w:type="pct"/>
            <w:vAlign w:val="center"/>
          </w:tcPr>
          <w:p w14:paraId="08314074" w14:textId="77777777" w:rsidR="00304132" w:rsidRPr="00C07B2E" w:rsidRDefault="00304132" w:rsidP="00CD5E09">
            <w:pPr>
              <w:rPr>
                <w:rFonts w:eastAsia="SimSun"/>
              </w:rPr>
            </w:pPr>
            <w:r w:rsidRPr="00C07B2E">
              <w:rPr>
                <w:rFonts w:eastAsia="SimSun"/>
              </w:rPr>
              <w:t>ТТО</w:t>
            </w:r>
          </w:p>
        </w:tc>
        <w:tc>
          <w:tcPr>
            <w:tcW w:w="718" w:type="pct"/>
            <w:vAlign w:val="center"/>
          </w:tcPr>
          <w:p w14:paraId="648250F8" w14:textId="77777777" w:rsidR="00304132" w:rsidRPr="00C07B2E" w:rsidRDefault="00304132" w:rsidP="00CD5E09">
            <w:pPr>
              <w:rPr>
                <w:rFonts w:eastAsia="SimSun"/>
              </w:rPr>
            </w:pPr>
            <w:r w:rsidRPr="00C07B2E">
              <w:rPr>
                <w:rFonts w:eastAsia="SimSun"/>
              </w:rPr>
              <w:t>4 Гр</w:t>
            </w:r>
          </w:p>
        </w:tc>
        <w:tc>
          <w:tcPr>
            <w:tcW w:w="757" w:type="pct"/>
            <w:vAlign w:val="center"/>
          </w:tcPr>
          <w:p w14:paraId="76692816" w14:textId="77777777" w:rsidR="00304132" w:rsidRPr="00C07B2E" w:rsidRDefault="00304132" w:rsidP="00CD5E09">
            <w:pPr>
              <w:rPr>
                <w:rFonts w:eastAsia="SimSun"/>
              </w:rPr>
            </w:pPr>
            <w:r w:rsidRPr="00C07B2E">
              <w:rPr>
                <w:rFonts w:eastAsia="SimSun"/>
                <w:lang w:val="en-US"/>
              </w:rPr>
              <w:t>12</w:t>
            </w:r>
            <w:r w:rsidRPr="00C07B2E">
              <w:rPr>
                <w:rFonts w:eastAsia="SimSun"/>
              </w:rPr>
              <w:t xml:space="preserve"> Гр</w:t>
            </w:r>
          </w:p>
        </w:tc>
        <w:tc>
          <w:tcPr>
            <w:tcW w:w="928" w:type="pct"/>
            <w:vAlign w:val="center"/>
          </w:tcPr>
          <w:p w14:paraId="3B33C6B5" w14:textId="77777777" w:rsidR="00304132" w:rsidRPr="00C07B2E" w:rsidRDefault="00304132" w:rsidP="00CD5E09">
            <w:pPr>
              <w:rPr>
                <w:rFonts w:eastAsia="SimSun"/>
              </w:rPr>
            </w:pPr>
            <w:r w:rsidRPr="00C07B2E">
              <w:rPr>
                <w:rFonts w:eastAsia="SimSun"/>
                <w:lang w:val="en-US"/>
              </w:rPr>
              <w:t>C</w:t>
            </w:r>
            <w:r w:rsidRPr="00C07B2E">
              <w:rPr>
                <w:rFonts w:eastAsia="SimSun"/>
              </w:rPr>
              <w:t xml:space="preserve"> –3 по –1 день </w:t>
            </w:r>
          </w:p>
        </w:tc>
        <w:tc>
          <w:tcPr>
            <w:tcW w:w="1193" w:type="pct"/>
            <w:vAlign w:val="center"/>
          </w:tcPr>
          <w:p w14:paraId="4C5AEB30" w14:textId="77777777" w:rsidR="00304132" w:rsidRPr="00C07B2E" w:rsidRDefault="00304132" w:rsidP="00CD5E09">
            <w:pPr>
              <w:rPr>
                <w:rFonts w:eastAsia="SimSun"/>
              </w:rPr>
            </w:pPr>
            <w:r w:rsidRPr="00C07B2E">
              <w:rPr>
                <w:rFonts w:eastAsia="SimSun"/>
              </w:rPr>
              <w:t>6 фракций по 2 Гр 2 раза в день в течение 3-х дней  с экранированием легких.</w:t>
            </w:r>
          </w:p>
          <w:p w14:paraId="56FD7DAF" w14:textId="77777777" w:rsidR="00304132" w:rsidRPr="00C07B2E" w:rsidRDefault="00304132" w:rsidP="00CD5E09">
            <w:pPr>
              <w:rPr>
                <w:rFonts w:eastAsia="SimSun"/>
              </w:rPr>
            </w:pPr>
          </w:p>
        </w:tc>
      </w:tr>
      <w:tr w:rsidR="00304132" w:rsidRPr="00C07B2E" w14:paraId="2D62EF16" w14:textId="77777777" w:rsidTr="00CD5E09">
        <w:trPr>
          <w:cantSplit/>
          <w:trHeight w:val="1207"/>
        </w:trPr>
        <w:tc>
          <w:tcPr>
            <w:tcW w:w="376" w:type="pct"/>
            <w:vMerge/>
            <w:vAlign w:val="center"/>
          </w:tcPr>
          <w:p w14:paraId="79798B4C" w14:textId="77777777" w:rsidR="00304132" w:rsidRPr="00C07B2E" w:rsidRDefault="00304132" w:rsidP="00CD5E09">
            <w:pPr>
              <w:rPr>
                <w:rFonts w:eastAsia="SimSun"/>
              </w:rPr>
            </w:pPr>
          </w:p>
        </w:tc>
        <w:tc>
          <w:tcPr>
            <w:tcW w:w="1027" w:type="pct"/>
            <w:vAlign w:val="center"/>
          </w:tcPr>
          <w:p w14:paraId="46E1EB81" w14:textId="77777777" w:rsidR="00304132" w:rsidRPr="00C07B2E" w:rsidRDefault="00304132" w:rsidP="00CD5E09">
            <w:pPr>
              <w:rPr>
                <w:rFonts w:eastAsia="SimSun"/>
              </w:rPr>
            </w:pPr>
            <w:r w:rsidRPr="00C07B2E">
              <w:rPr>
                <w:rFonts w:eastAsia="SimSun"/>
              </w:rPr>
              <w:t>Циклофосфамид</w:t>
            </w:r>
          </w:p>
        </w:tc>
        <w:tc>
          <w:tcPr>
            <w:tcW w:w="718" w:type="pct"/>
            <w:vAlign w:val="center"/>
          </w:tcPr>
          <w:p w14:paraId="6414884E" w14:textId="77777777" w:rsidR="00304132" w:rsidRPr="00C07B2E" w:rsidRDefault="00304132" w:rsidP="00CD5E09">
            <w:pPr>
              <w:rPr>
                <w:rFonts w:eastAsia="SimSun"/>
              </w:rPr>
            </w:pPr>
            <w:r w:rsidRPr="00C07B2E">
              <w:rPr>
                <w:rFonts w:eastAsia="SimSun"/>
              </w:rPr>
              <w:t>60 мг/кг</w:t>
            </w:r>
          </w:p>
        </w:tc>
        <w:tc>
          <w:tcPr>
            <w:tcW w:w="757" w:type="pct"/>
            <w:vAlign w:val="center"/>
          </w:tcPr>
          <w:p w14:paraId="02BE0D61" w14:textId="77777777" w:rsidR="00304132" w:rsidRPr="00C07B2E" w:rsidRDefault="00304132" w:rsidP="00CD5E09">
            <w:pPr>
              <w:rPr>
                <w:rFonts w:eastAsia="SimSun"/>
              </w:rPr>
            </w:pPr>
            <w:r w:rsidRPr="00C07B2E">
              <w:rPr>
                <w:rFonts w:eastAsia="SimSun"/>
              </w:rPr>
              <w:t>120 мг/кг</w:t>
            </w:r>
          </w:p>
        </w:tc>
        <w:tc>
          <w:tcPr>
            <w:tcW w:w="928" w:type="pct"/>
            <w:vAlign w:val="center"/>
          </w:tcPr>
          <w:p w14:paraId="5013EB13" w14:textId="77777777" w:rsidR="00304132" w:rsidRPr="00C07B2E" w:rsidRDefault="00304132" w:rsidP="00CD5E09">
            <w:pPr>
              <w:rPr>
                <w:rFonts w:eastAsia="SimSun"/>
              </w:rPr>
            </w:pPr>
            <w:r w:rsidRPr="00C07B2E">
              <w:rPr>
                <w:rFonts w:eastAsia="SimSun"/>
                <w:lang w:val="en-US"/>
              </w:rPr>
              <w:t>–</w:t>
            </w:r>
            <w:r w:rsidRPr="00C07B2E">
              <w:rPr>
                <w:rFonts w:eastAsia="SimSun"/>
              </w:rPr>
              <w:t>6</w:t>
            </w:r>
            <w:r w:rsidRPr="00C07B2E">
              <w:rPr>
                <w:rFonts w:eastAsia="SimSun"/>
                <w:lang w:val="en-US"/>
              </w:rPr>
              <w:t>, –</w:t>
            </w:r>
            <w:r w:rsidRPr="00C07B2E">
              <w:rPr>
                <w:rFonts w:eastAsia="SimSun"/>
              </w:rPr>
              <w:t>5</w:t>
            </w:r>
            <w:r w:rsidRPr="00C07B2E">
              <w:rPr>
                <w:rFonts w:eastAsia="SimSun"/>
                <w:lang w:val="en-US"/>
              </w:rPr>
              <w:t xml:space="preserve"> дни</w:t>
            </w:r>
            <w:r w:rsidRPr="00C07B2E">
              <w:rPr>
                <w:rFonts w:eastAsia="SimSun"/>
              </w:rPr>
              <w:t xml:space="preserve"> </w:t>
            </w:r>
          </w:p>
        </w:tc>
        <w:tc>
          <w:tcPr>
            <w:tcW w:w="1193" w:type="pct"/>
            <w:vAlign w:val="center"/>
          </w:tcPr>
          <w:p w14:paraId="272E1185" w14:textId="77777777" w:rsidR="00304132" w:rsidRPr="00C07B2E" w:rsidRDefault="00304132" w:rsidP="00CD5E09">
            <w:pPr>
              <w:rPr>
                <w:rFonts w:eastAsia="SimSun"/>
              </w:rPr>
            </w:pPr>
            <w:r w:rsidRPr="00C07B2E">
              <w:rPr>
                <w:rFonts w:eastAsia="SimSun"/>
              </w:rPr>
              <w:t xml:space="preserve">В/в, в течение 2 ч </w:t>
            </w:r>
          </w:p>
        </w:tc>
      </w:tr>
      <w:tr w:rsidR="00304132" w:rsidRPr="00C07B2E" w14:paraId="354CBED9" w14:textId="77777777" w:rsidTr="00CD5E09">
        <w:trPr>
          <w:cantSplit/>
          <w:trHeight w:val="20"/>
        </w:trPr>
        <w:tc>
          <w:tcPr>
            <w:tcW w:w="376" w:type="pct"/>
            <w:vMerge w:val="restart"/>
            <w:textDirection w:val="btLr"/>
            <w:vAlign w:val="center"/>
          </w:tcPr>
          <w:p w14:paraId="477AFBAE" w14:textId="77777777" w:rsidR="00304132" w:rsidRPr="00C07B2E" w:rsidRDefault="00304132" w:rsidP="00CD5E09">
            <w:pPr>
              <w:rPr>
                <w:rFonts w:eastAsia="SimSun"/>
              </w:rPr>
            </w:pPr>
            <w:r w:rsidRPr="00C07B2E">
              <w:rPr>
                <w:rFonts w:eastAsia="SimSun"/>
              </w:rPr>
              <w:t>Профилактика РТПХ</w:t>
            </w:r>
          </w:p>
        </w:tc>
        <w:tc>
          <w:tcPr>
            <w:tcW w:w="1027" w:type="pct"/>
            <w:vAlign w:val="center"/>
          </w:tcPr>
          <w:p w14:paraId="54161023" w14:textId="77777777" w:rsidR="00304132" w:rsidRPr="00C07B2E" w:rsidRDefault="00304132" w:rsidP="00CD5E09">
            <w:pPr>
              <w:rPr>
                <w:rFonts w:eastAsia="SimSun"/>
              </w:rPr>
            </w:pPr>
            <w:r w:rsidRPr="00C07B2E">
              <w:rPr>
                <w:rFonts w:eastAsia="SimSun"/>
              </w:rPr>
              <w:t xml:space="preserve">Циклоспорин </w:t>
            </w:r>
          </w:p>
        </w:tc>
        <w:tc>
          <w:tcPr>
            <w:tcW w:w="718" w:type="pct"/>
            <w:vAlign w:val="center"/>
          </w:tcPr>
          <w:p w14:paraId="6D75E4F4" w14:textId="77777777" w:rsidR="00304132" w:rsidRPr="00C07B2E" w:rsidRDefault="00304132" w:rsidP="00CD5E09">
            <w:pPr>
              <w:rPr>
                <w:rFonts w:eastAsia="SimSun"/>
              </w:rPr>
            </w:pPr>
            <w:r w:rsidRPr="00C07B2E">
              <w:rPr>
                <w:rFonts w:eastAsia="SimSun"/>
              </w:rPr>
              <w:t>3 мг/кг</w:t>
            </w:r>
          </w:p>
        </w:tc>
        <w:tc>
          <w:tcPr>
            <w:tcW w:w="757" w:type="pct"/>
            <w:vAlign w:val="center"/>
          </w:tcPr>
          <w:p w14:paraId="5EDD6777" w14:textId="77777777" w:rsidR="00304132" w:rsidRPr="00C07B2E" w:rsidRDefault="00304132" w:rsidP="00CD5E09">
            <w:pPr>
              <w:rPr>
                <w:rFonts w:eastAsia="SimSun"/>
                <w:lang w:val="en-US"/>
              </w:rPr>
            </w:pPr>
            <w:r w:rsidRPr="00C07B2E">
              <w:rPr>
                <w:rFonts w:eastAsia="SimSun"/>
                <w:lang w:val="en-US"/>
              </w:rPr>
              <w:t>–</w:t>
            </w:r>
          </w:p>
        </w:tc>
        <w:tc>
          <w:tcPr>
            <w:tcW w:w="928" w:type="pct"/>
            <w:vAlign w:val="center"/>
          </w:tcPr>
          <w:p w14:paraId="6ED71FC3" w14:textId="77777777" w:rsidR="00304132" w:rsidRPr="00C07B2E" w:rsidRDefault="00304132" w:rsidP="00CD5E09">
            <w:pPr>
              <w:rPr>
                <w:rFonts w:eastAsia="SimSun"/>
              </w:rPr>
            </w:pPr>
            <w:r w:rsidRPr="00C07B2E">
              <w:rPr>
                <w:rFonts w:eastAsia="SimSun"/>
              </w:rPr>
              <w:t>С –1 дня по +90 день, затем постепенное снижение к +180 дню</w:t>
            </w:r>
          </w:p>
        </w:tc>
        <w:tc>
          <w:tcPr>
            <w:tcW w:w="1193" w:type="pct"/>
            <w:vAlign w:val="center"/>
          </w:tcPr>
          <w:p w14:paraId="4DEA6C62" w14:textId="77777777" w:rsidR="00304132" w:rsidRPr="00985050" w:rsidRDefault="00304132" w:rsidP="00CD5E09">
            <w:pPr>
              <w:rPr>
                <w:rFonts w:eastAsia="SimSun"/>
              </w:rPr>
            </w:pPr>
            <w:r w:rsidRPr="00C07B2E">
              <w:rPr>
                <w:rFonts w:eastAsia="SimSun"/>
              </w:rPr>
              <w:t xml:space="preserve">В/в, 5-часовая инфузия 2 раза/сут. </w:t>
            </w:r>
            <w:r w:rsidRPr="00985050">
              <w:rPr>
                <w:rFonts w:eastAsia="SimSun"/>
              </w:rPr>
              <w:t>Перевод на прием внутрь при условии восстановления лейкоцитов &gt;</w:t>
            </w:r>
            <w:r w:rsidRPr="00C07B2E">
              <w:rPr>
                <w:rFonts w:eastAsia="SimSun"/>
                <w:lang w:val="en-US"/>
              </w:rPr>
              <w:t> </w:t>
            </w:r>
            <w:r w:rsidRPr="00985050">
              <w:rPr>
                <w:rFonts w:eastAsia="SimSun"/>
              </w:rPr>
              <w:t>1</w:t>
            </w:r>
            <w:r w:rsidRPr="00C07B2E">
              <w:rPr>
                <w:rFonts w:eastAsia="SimSun"/>
                <w:lang w:val="en-US"/>
              </w:rPr>
              <w:t> </w:t>
            </w:r>
            <w:r>
              <w:rPr>
                <w:rFonts w:eastAsia="SimSun"/>
              </w:rPr>
              <w:t>х</w:t>
            </w:r>
            <w:r w:rsidRPr="00C07B2E">
              <w:rPr>
                <w:rFonts w:eastAsia="SimSun"/>
                <w:lang w:val="en-US"/>
              </w:rPr>
              <w:t> </w:t>
            </w:r>
            <w:r w:rsidRPr="00985050">
              <w:rPr>
                <w:rFonts w:eastAsia="SimSun"/>
              </w:rPr>
              <w:t>10</w:t>
            </w:r>
            <w:r w:rsidRPr="00985050">
              <w:rPr>
                <w:rFonts w:eastAsia="SimSun"/>
                <w:vertAlign w:val="superscript"/>
              </w:rPr>
              <w:t>9</w:t>
            </w:r>
            <w:r w:rsidRPr="00985050">
              <w:rPr>
                <w:rFonts w:eastAsia="SimSun"/>
              </w:rPr>
              <w:t xml:space="preserve">/л, при отсутствии тошноты, рвоты, диареи и возможности приема внутрь.; Концентрация 150-350 нг/мл  </w:t>
            </w:r>
          </w:p>
        </w:tc>
      </w:tr>
      <w:tr w:rsidR="00304132" w:rsidRPr="00C07B2E" w14:paraId="6E46CD71" w14:textId="77777777" w:rsidTr="00CD5E09">
        <w:trPr>
          <w:cantSplit/>
          <w:trHeight w:val="20"/>
        </w:trPr>
        <w:tc>
          <w:tcPr>
            <w:tcW w:w="376" w:type="pct"/>
            <w:vMerge/>
          </w:tcPr>
          <w:p w14:paraId="5C425D1A" w14:textId="77777777" w:rsidR="00304132" w:rsidRPr="00985050" w:rsidRDefault="00304132" w:rsidP="00CD5E09">
            <w:pPr>
              <w:rPr>
                <w:rFonts w:eastAsia="SimSun"/>
              </w:rPr>
            </w:pPr>
          </w:p>
        </w:tc>
        <w:tc>
          <w:tcPr>
            <w:tcW w:w="1027" w:type="pct"/>
            <w:vMerge w:val="restart"/>
            <w:vAlign w:val="center"/>
          </w:tcPr>
          <w:p w14:paraId="78FA9937" w14:textId="77777777" w:rsidR="00304132" w:rsidRPr="00C07B2E" w:rsidRDefault="00304132" w:rsidP="00CD5E09">
            <w:pPr>
              <w:rPr>
                <w:rFonts w:eastAsia="SimSun"/>
              </w:rPr>
            </w:pPr>
            <w:r w:rsidRPr="00C07B2E">
              <w:rPr>
                <w:rFonts w:eastAsia="SimSun"/>
              </w:rPr>
              <w:t>Метотрексат</w:t>
            </w:r>
          </w:p>
        </w:tc>
        <w:tc>
          <w:tcPr>
            <w:tcW w:w="718" w:type="pct"/>
            <w:vAlign w:val="center"/>
          </w:tcPr>
          <w:p w14:paraId="40D4CCF7" w14:textId="77777777" w:rsidR="00304132" w:rsidRPr="00C07B2E" w:rsidRDefault="00304132" w:rsidP="00CD5E09">
            <w:pPr>
              <w:rPr>
                <w:rFonts w:eastAsia="SimSun"/>
              </w:rPr>
            </w:pPr>
            <w:r w:rsidRPr="00C07B2E">
              <w:rPr>
                <w:rFonts w:eastAsia="SimSun"/>
              </w:rPr>
              <w:t>15 мг/м</w:t>
            </w:r>
            <w:r w:rsidRPr="00C07B2E">
              <w:rPr>
                <w:rFonts w:eastAsia="SimSun"/>
                <w:vertAlign w:val="superscript"/>
              </w:rPr>
              <w:t>2</w:t>
            </w:r>
          </w:p>
        </w:tc>
        <w:tc>
          <w:tcPr>
            <w:tcW w:w="757" w:type="pct"/>
            <w:vAlign w:val="center"/>
          </w:tcPr>
          <w:p w14:paraId="3EC7EE7B" w14:textId="77777777" w:rsidR="00304132" w:rsidRPr="00C07B2E" w:rsidRDefault="00304132" w:rsidP="00CD5E09">
            <w:pPr>
              <w:rPr>
                <w:rFonts w:eastAsia="SimSun"/>
              </w:rPr>
            </w:pPr>
            <w:r w:rsidRPr="00C07B2E">
              <w:rPr>
                <w:rFonts w:eastAsia="SimSun"/>
                <w:lang w:val="en-US"/>
              </w:rPr>
              <w:t>–</w:t>
            </w:r>
          </w:p>
        </w:tc>
        <w:tc>
          <w:tcPr>
            <w:tcW w:w="928" w:type="pct"/>
            <w:vAlign w:val="center"/>
          </w:tcPr>
          <w:p w14:paraId="1714BADB" w14:textId="77777777" w:rsidR="00304132" w:rsidRPr="00C07B2E" w:rsidRDefault="00304132" w:rsidP="00CD5E09">
            <w:pPr>
              <w:rPr>
                <w:rFonts w:eastAsia="SimSun"/>
              </w:rPr>
            </w:pPr>
            <w:r w:rsidRPr="00C07B2E">
              <w:rPr>
                <w:rFonts w:eastAsia="SimSun"/>
              </w:rPr>
              <w:t>+1 день</w:t>
            </w:r>
          </w:p>
        </w:tc>
        <w:tc>
          <w:tcPr>
            <w:tcW w:w="1193" w:type="pct"/>
            <w:vAlign w:val="center"/>
          </w:tcPr>
          <w:p w14:paraId="115112B1" w14:textId="77777777" w:rsidR="00304132" w:rsidRPr="00C07B2E" w:rsidRDefault="00304132" w:rsidP="00CD5E09">
            <w:pPr>
              <w:rPr>
                <w:rFonts w:eastAsia="SimSun"/>
              </w:rPr>
            </w:pPr>
            <w:r w:rsidRPr="00C07B2E">
              <w:rPr>
                <w:rFonts w:eastAsia="SimSun"/>
              </w:rPr>
              <w:t>В/в, в 20 мл физ. р-ра</w:t>
            </w:r>
          </w:p>
        </w:tc>
      </w:tr>
      <w:tr w:rsidR="00304132" w:rsidRPr="00C07B2E" w14:paraId="19F50BB8" w14:textId="77777777" w:rsidTr="00CD5E09">
        <w:trPr>
          <w:cantSplit/>
          <w:trHeight w:val="464"/>
        </w:trPr>
        <w:tc>
          <w:tcPr>
            <w:tcW w:w="376" w:type="pct"/>
            <w:vMerge/>
          </w:tcPr>
          <w:p w14:paraId="2D444A49" w14:textId="77777777" w:rsidR="00304132" w:rsidRPr="00C07B2E" w:rsidRDefault="00304132" w:rsidP="00CD5E09">
            <w:pPr>
              <w:rPr>
                <w:rFonts w:eastAsia="SimSun"/>
              </w:rPr>
            </w:pPr>
          </w:p>
        </w:tc>
        <w:tc>
          <w:tcPr>
            <w:tcW w:w="1027" w:type="pct"/>
            <w:vMerge/>
            <w:vAlign w:val="center"/>
          </w:tcPr>
          <w:p w14:paraId="2FE28B17" w14:textId="77777777" w:rsidR="00304132" w:rsidRPr="00C07B2E" w:rsidRDefault="00304132" w:rsidP="00CD5E09">
            <w:pPr>
              <w:rPr>
                <w:rFonts w:eastAsia="SimSun"/>
              </w:rPr>
            </w:pPr>
          </w:p>
        </w:tc>
        <w:tc>
          <w:tcPr>
            <w:tcW w:w="718" w:type="pct"/>
            <w:vAlign w:val="center"/>
          </w:tcPr>
          <w:p w14:paraId="20FED084" w14:textId="77777777" w:rsidR="00304132" w:rsidRPr="00C07B2E" w:rsidRDefault="00304132" w:rsidP="00CD5E09">
            <w:pPr>
              <w:rPr>
                <w:rFonts w:eastAsia="SimSun"/>
              </w:rPr>
            </w:pPr>
            <w:r w:rsidRPr="00C07B2E">
              <w:rPr>
                <w:rFonts w:eastAsia="SimSun"/>
              </w:rPr>
              <w:t>10 мг/м</w:t>
            </w:r>
            <w:r w:rsidRPr="00C07B2E">
              <w:rPr>
                <w:rFonts w:eastAsia="SimSun"/>
                <w:vertAlign w:val="superscript"/>
              </w:rPr>
              <w:t>2</w:t>
            </w:r>
          </w:p>
        </w:tc>
        <w:tc>
          <w:tcPr>
            <w:tcW w:w="757" w:type="pct"/>
            <w:vAlign w:val="center"/>
          </w:tcPr>
          <w:p w14:paraId="6A9225A7" w14:textId="77777777" w:rsidR="00304132" w:rsidRPr="00C07B2E" w:rsidRDefault="00304132" w:rsidP="00CD5E09">
            <w:pPr>
              <w:rPr>
                <w:rFonts w:eastAsia="SimSun"/>
              </w:rPr>
            </w:pPr>
            <w:r w:rsidRPr="00C07B2E">
              <w:rPr>
                <w:rFonts w:eastAsia="SimSun"/>
                <w:lang w:val="en-US"/>
              </w:rPr>
              <w:t>–</w:t>
            </w:r>
          </w:p>
        </w:tc>
        <w:tc>
          <w:tcPr>
            <w:tcW w:w="928" w:type="pct"/>
            <w:vAlign w:val="center"/>
          </w:tcPr>
          <w:p w14:paraId="03BB5F5F" w14:textId="77777777" w:rsidR="00304132" w:rsidRPr="00C07B2E" w:rsidRDefault="00304132" w:rsidP="00CD5E09">
            <w:pPr>
              <w:rPr>
                <w:rFonts w:eastAsia="SimSun"/>
              </w:rPr>
            </w:pPr>
            <w:r w:rsidRPr="00C07B2E">
              <w:rPr>
                <w:rFonts w:eastAsia="SimSun"/>
              </w:rPr>
              <w:t>+3, +6, +11 дни</w:t>
            </w:r>
          </w:p>
        </w:tc>
        <w:tc>
          <w:tcPr>
            <w:tcW w:w="1193" w:type="pct"/>
            <w:vAlign w:val="center"/>
          </w:tcPr>
          <w:p w14:paraId="464681F9" w14:textId="77777777" w:rsidR="00304132" w:rsidRPr="00C07B2E" w:rsidRDefault="00304132" w:rsidP="00CD5E09">
            <w:pPr>
              <w:rPr>
                <w:rFonts w:eastAsia="SimSun"/>
              </w:rPr>
            </w:pPr>
            <w:r w:rsidRPr="00C07B2E">
              <w:rPr>
                <w:rFonts w:eastAsia="SimSun"/>
              </w:rPr>
              <w:t xml:space="preserve">В/в, в 20 мл физ. р-ра </w:t>
            </w:r>
          </w:p>
        </w:tc>
      </w:tr>
    </w:tbl>
    <w:p w14:paraId="68CF58A6" w14:textId="77777777" w:rsidR="00304132" w:rsidRPr="00C07B2E" w:rsidRDefault="00304132" w:rsidP="00304132">
      <w:pPr>
        <w:rPr>
          <w:rFonts w:eastAsia="SimSun"/>
        </w:rPr>
      </w:pPr>
    </w:p>
    <w:p w14:paraId="7588CB18" w14:textId="77777777" w:rsidR="00304132" w:rsidRPr="00C07B2E" w:rsidRDefault="00304132" w:rsidP="00304132">
      <w:pPr>
        <w:rPr>
          <w:rFonts w:eastAsia="SimSun"/>
        </w:rPr>
      </w:pPr>
      <w:bookmarkStart w:id="293" w:name="_Toc44401146"/>
      <w:r w:rsidRPr="00042499">
        <w:rPr>
          <w:rFonts w:eastAsia="SimSun"/>
        </w:rPr>
        <w:t>Таблица</w:t>
      </w:r>
      <w:r w:rsidRPr="00C07B2E">
        <w:rPr>
          <w:rFonts w:eastAsia="SimSun"/>
        </w:rPr>
        <w:t xml:space="preserve"> </w:t>
      </w:r>
      <w:r>
        <w:rPr>
          <w:rFonts w:eastAsia="SimSun"/>
        </w:rPr>
        <w:t>5</w:t>
      </w:r>
      <w:r w:rsidRPr="00C07B2E">
        <w:rPr>
          <w:rFonts w:eastAsia="SimSun"/>
        </w:rPr>
        <w:t>.1.1.3  – Flu150+Bu12 / PT-Cy+CSA+MMF45</w:t>
      </w:r>
      <w:bookmarkEnd w:id="293"/>
    </w:p>
    <w:tbl>
      <w:tblPr>
        <w:tblW w:w="9356" w:type="dxa"/>
        <w:tblInd w:w="108" w:type="dxa"/>
        <w:tblLayout w:type="fixed"/>
        <w:tblCellMar>
          <w:left w:w="10" w:type="dxa"/>
          <w:right w:w="10" w:type="dxa"/>
        </w:tblCellMar>
        <w:tblLook w:val="0000" w:firstRow="0" w:lastRow="0" w:firstColumn="0" w:lastColumn="0" w:noHBand="0" w:noVBand="0"/>
      </w:tblPr>
      <w:tblGrid>
        <w:gridCol w:w="709"/>
        <w:gridCol w:w="1843"/>
        <w:gridCol w:w="1417"/>
        <w:gridCol w:w="1418"/>
        <w:gridCol w:w="1701"/>
        <w:gridCol w:w="2268"/>
      </w:tblGrid>
      <w:tr w:rsidR="00304132" w:rsidRPr="00C07B2E" w14:paraId="186A67BE" w14:textId="77777777" w:rsidTr="00CD5E09">
        <w:trPr>
          <w:cantSplit/>
          <w:trHeight w:val="20"/>
          <w:tblHeader/>
        </w:trPr>
        <w:tc>
          <w:tcPr>
            <w:tcW w:w="7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BE43C0D" w14:textId="77777777" w:rsidR="00304132" w:rsidRPr="00470D3D" w:rsidRDefault="00304132" w:rsidP="00CD5E09">
            <w:pPr>
              <w:rPr>
                <w:rFonts w:eastAsia="SimSun"/>
              </w:rPr>
            </w:pPr>
          </w:p>
        </w:tc>
        <w:tc>
          <w:tcPr>
            <w:tcW w:w="184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DE07A98" w14:textId="77777777" w:rsidR="00304132" w:rsidRPr="00C07B2E" w:rsidRDefault="00304132" w:rsidP="00CD5E09">
            <w:r w:rsidRPr="00C07B2E">
              <w:rPr>
                <w:rFonts w:eastAsia="SimSun"/>
              </w:rPr>
              <w:t>Препарат</w:t>
            </w:r>
          </w:p>
        </w:tc>
        <w:tc>
          <w:tcPr>
            <w:tcW w:w="14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7CBD1B7" w14:textId="77777777" w:rsidR="00304132" w:rsidRPr="00C07B2E" w:rsidRDefault="00304132" w:rsidP="00CD5E09">
            <w:r w:rsidRPr="00C07B2E">
              <w:rPr>
                <w:rFonts w:eastAsia="SimSun"/>
              </w:rPr>
              <w:t>Суточная доза</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13931AB" w14:textId="77777777" w:rsidR="00304132" w:rsidRPr="00C07B2E" w:rsidRDefault="00304132" w:rsidP="00CD5E09">
            <w:r w:rsidRPr="00C07B2E">
              <w:rPr>
                <w:rFonts w:eastAsia="SimSun"/>
              </w:rPr>
              <w:t>Курсовая доза</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A33654F" w14:textId="77777777" w:rsidR="00304132" w:rsidRPr="00C07B2E" w:rsidRDefault="00304132" w:rsidP="00CD5E09">
            <w:r w:rsidRPr="00C07B2E">
              <w:rPr>
                <w:rFonts w:eastAsia="SimSun"/>
              </w:rPr>
              <w:t>Дни введения</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0C248A9" w14:textId="77777777" w:rsidR="00304132" w:rsidRPr="00C07B2E" w:rsidRDefault="00304132" w:rsidP="00CD5E09">
            <w:r w:rsidRPr="00C07B2E">
              <w:rPr>
                <w:rFonts w:eastAsia="SimSun"/>
              </w:rPr>
              <w:t>Порядок введения</w:t>
            </w:r>
          </w:p>
        </w:tc>
      </w:tr>
      <w:tr w:rsidR="00304132" w:rsidRPr="00C07B2E" w14:paraId="51168755" w14:textId="77777777" w:rsidTr="00CD5E09">
        <w:trPr>
          <w:cantSplit/>
          <w:trHeight w:val="20"/>
        </w:trPr>
        <w:tc>
          <w:tcPr>
            <w:tcW w:w="709" w:type="dxa"/>
            <w:vMerge w:val="restar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btLr"/>
            <w:vAlign w:val="center"/>
          </w:tcPr>
          <w:p w14:paraId="451AB086" w14:textId="77777777" w:rsidR="00304132" w:rsidRPr="00C07B2E" w:rsidRDefault="00304132" w:rsidP="00CD5E09">
            <w:r w:rsidRPr="00C07B2E">
              <w:rPr>
                <w:rFonts w:eastAsia="SimSun"/>
              </w:rPr>
              <w:t>Кондиционирование</w:t>
            </w:r>
          </w:p>
        </w:tc>
        <w:tc>
          <w:tcPr>
            <w:tcW w:w="184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BF2EFFB" w14:textId="77777777" w:rsidR="00304132" w:rsidRPr="00C07B2E" w:rsidRDefault="00304132" w:rsidP="00CD5E09">
            <w:r w:rsidRPr="00C07B2E">
              <w:rPr>
                <w:rFonts w:eastAsia="SimSun"/>
              </w:rPr>
              <w:t>Флударабин</w:t>
            </w:r>
          </w:p>
        </w:tc>
        <w:tc>
          <w:tcPr>
            <w:tcW w:w="14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1ED27DC" w14:textId="77777777" w:rsidR="00304132" w:rsidRPr="00C07B2E" w:rsidRDefault="00304132" w:rsidP="00CD5E09">
            <w:r w:rsidRPr="00C07B2E">
              <w:t>30 мг/м</w:t>
            </w:r>
            <w:r w:rsidRPr="00C07B2E">
              <w:rPr>
                <w:vertAlign w:val="superscript"/>
              </w:rPr>
              <w:t>2</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21ED4D4" w14:textId="77777777" w:rsidR="00304132" w:rsidRPr="00C07B2E" w:rsidRDefault="00304132" w:rsidP="00CD5E09">
            <w:r w:rsidRPr="00C07B2E">
              <w:t>150 мг/м</w:t>
            </w:r>
            <w:r w:rsidRPr="00C07B2E">
              <w:rPr>
                <w:vertAlign w:val="superscript"/>
              </w:rPr>
              <w:t>2</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3D77B72" w14:textId="77777777" w:rsidR="00304132" w:rsidRPr="00C07B2E" w:rsidRDefault="00304132" w:rsidP="00CD5E09">
            <w:r w:rsidRPr="00C07B2E">
              <w:rPr>
                <w:rFonts w:eastAsia="SimSun"/>
              </w:rPr>
              <w:t xml:space="preserve">С </w:t>
            </w:r>
            <w:r w:rsidRPr="00C07B2E">
              <w:rPr>
                <w:rFonts w:eastAsia="SimSun"/>
                <w:lang w:val="en-US"/>
              </w:rPr>
              <w:t>–</w:t>
            </w:r>
            <w:r w:rsidRPr="00C07B2E">
              <w:rPr>
                <w:rFonts w:eastAsia="SimSun"/>
              </w:rPr>
              <w:t xml:space="preserve">6 по </w:t>
            </w:r>
            <w:r w:rsidRPr="00C07B2E">
              <w:rPr>
                <w:rFonts w:eastAsia="SimSun"/>
                <w:lang w:val="en-US"/>
              </w:rPr>
              <w:t>–</w:t>
            </w:r>
            <w:r w:rsidRPr="00C07B2E">
              <w:rPr>
                <w:rFonts w:eastAsia="SimSun"/>
              </w:rPr>
              <w:t>2 день</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CA78141" w14:textId="77777777" w:rsidR="00304132" w:rsidRPr="00C07B2E" w:rsidRDefault="00304132" w:rsidP="00CD5E09">
            <w:r w:rsidRPr="00C07B2E">
              <w:rPr>
                <w:rFonts w:eastAsia="SimSun"/>
              </w:rPr>
              <w:t>В/в, в течение 30 - 60 мин</w:t>
            </w:r>
          </w:p>
        </w:tc>
      </w:tr>
      <w:tr w:rsidR="00304132" w:rsidRPr="00C07B2E" w14:paraId="2025BF8C" w14:textId="77777777" w:rsidTr="00CD5E09">
        <w:trPr>
          <w:cantSplit/>
          <w:trHeight w:val="2123"/>
        </w:trPr>
        <w:tc>
          <w:tcPr>
            <w:tcW w:w="709"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852B738" w14:textId="77777777" w:rsidR="00304132" w:rsidRPr="00C07B2E" w:rsidRDefault="00304132" w:rsidP="00CD5E09"/>
        </w:tc>
        <w:tc>
          <w:tcPr>
            <w:tcW w:w="184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84BDC66" w14:textId="77777777" w:rsidR="00304132" w:rsidRPr="00C07B2E" w:rsidRDefault="00304132" w:rsidP="00CD5E09">
            <w:r w:rsidRPr="00C07B2E">
              <w:rPr>
                <w:rFonts w:eastAsia="SimSun"/>
              </w:rPr>
              <w:t>Бусульфан</w:t>
            </w:r>
          </w:p>
        </w:tc>
        <w:tc>
          <w:tcPr>
            <w:tcW w:w="14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15314F7" w14:textId="77777777" w:rsidR="00304132" w:rsidRPr="00C07B2E" w:rsidRDefault="00304132" w:rsidP="00CD5E09">
            <w:r w:rsidRPr="00C07B2E">
              <w:rPr>
                <w:rFonts w:eastAsia="SimSun"/>
              </w:rPr>
              <w:t>4 мг/кг</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B580E64" w14:textId="77777777" w:rsidR="00304132" w:rsidRPr="00C07B2E" w:rsidRDefault="00304132" w:rsidP="00CD5E09">
            <w:r w:rsidRPr="00C07B2E">
              <w:rPr>
                <w:rFonts w:eastAsia="SimSun"/>
              </w:rPr>
              <w:t>12 мг/кг</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C2CD0D1" w14:textId="77777777" w:rsidR="00304132" w:rsidRPr="00C07B2E" w:rsidRDefault="00304132" w:rsidP="00CD5E09">
            <w:r w:rsidRPr="00C07B2E">
              <w:rPr>
                <w:rFonts w:eastAsia="SimSun"/>
                <w:lang w:val="en-US"/>
              </w:rPr>
              <w:t>-5, –4</w:t>
            </w:r>
            <w:r w:rsidRPr="00C07B2E">
              <w:rPr>
                <w:rFonts w:eastAsia="SimSun"/>
              </w:rPr>
              <w:t xml:space="preserve">, </w:t>
            </w:r>
            <w:r w:rsidRPr="00C07B2E">
              <w:rPr>
                <w:rFonts w:eastAsia="SimSun"/>
                <w:lang w:val="en-US"/>
              </w:rPr>
              <w:t>–3</w:t>
            </w:r>
            <w:r w:rsidRPr="00C07B2E">
              <w:rPr>
                <w:rFonts w:eastAsia="SimSun"/>
              </w:rPr>
              <w:t xml:space="preserve"> дни</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E53CE7F" w14:textId="77777777" w:rsidR="00304132" w:rsidRPr="00C07B2E" w:rsidRDefault="00304132" w:rsidP="00CD5E09">
            <w:r w:rsidRPr="00C07B2E">
              <w:rPr>
                <w:rFonts w:eastAsia="SimSun"/>
              </w:rPr>
              <w:t>Внутрь, суммарная суточная доза разделяется на 4 приема с интервалом 6 часов.</w:t>
            </w:r>
          </w:p>
        </w:tc>
      </w:tr>
      <w:tr w:rsidR="00304132" w:rsidRPr="00C07B2E" w14:paraId="44FDA426" w14:textId="77777777" w:rsidTr="00CD5E09">
        <w:trPr>
          <w:cantSplit/>
          <w:trHeight w:val="20"/>
        </w:trPr>
        <w:tc>
          <w:tcPr>
            <w:tcW w:w="709" w:type="dxa"/>
            <w:vMerge w:val="restar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btLr"/>
            <w:vAlign w:val="center"/>
          </w:tcPr>
          <w:p w14:paraId="6332166E" w14:textId="77777777" w:rsidR="00304132" w:rsidRPr="00C07B2E" w:rsidRDefault="00304132" w:rsidP="00CD5E09">
            <w:r w:rsidRPr="00C07B2E">
              <w:rPr>
                <w:rFonts w:eastAsia="SimSun"/>
              </w:rPr>
              <w:t>Профилактика РТПХ</w:t>
            </w:r>
          </w:p>
        </w:tc>
        <w:tc>
          <w:tcPr>
            <w:tcW w:w="184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393591F" w14:textId="77777777" w:rsidR="00304132" w:rsidRPr="00C07B2E" w:rsidRDefault="00304132" w:rsidP="00CD5E09">
            <w:r w:rsidRPr="00C07B2E">
              <w:rPr>
                <w:rFonts w:eastAsia="SimSun"/>
              </w:rPr>
              <w:t>Циклоспорин</w:t>
            </w:r>
          </w:p>
        </w:tc>
        <w:tc>
          <w:tcPr>
            <w:tcW w:w="14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6CEC7F7" w14:textId="77777777" w:rsidR="00304132" w:rsidRPr="00C07B2E" w:rsidRDefault="00304132" w:rsidP="00CD5E09">
            <w:r w:rsidRPr="00C07B2E">
              <w:rPr>
                <w:rFonts w:eastAsia="SimSun"/>
              </w:rPr>
              <w:t>3 мг/кг</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5DA1012" w14:textId="77777777" w:rsidR="00304132" w:rsidRPr="00C07B2E" w:rsidRDefault="00304132" w:rsidP="00CD5E09">
            <w:r w:rsidRPr="00C07B2E">
              <w:rPr>
                <w:rFonts w:eastAsia="SimSun"/>
                <w:lang w:val="en-US"/>
              </w:rPr>
              <w:t>–</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9A74500" w14:textId="77777777" w:rsidR="00304132" w:rsidRPr="00C07B2E" w:rsidRDefault="00304132" w:rsidP="00CD5E09">
            <w:r w:rsidRPr="00C07B2E">
              <w:t>С +5 по +90 день</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10EEF42" w14:textId="77777777" w:rsidR="00304132" w:rsidRPr="000F445E" w:rsidRDefault="00304132" w:rsidP="00CD5E09">
            <w:r w:rsidRPr="00C07B2E">
              <w:rPr>
                <w:rFonts w:eastAsia="SimSun"/>
              </w:rPr>
              <w:t xml:space="preserve">В/в, 5-часовая инфузия 2 раза/сут. </w:t>
            </w:r>
            <w:r w:rsidRPr="000F445E">
              <w:rPr>
                <w:rFonts w:eastAsia="SimSun"/>
              </w:rPr>
              <w:t>Перевод на прием внутрь при условии восстановления лейкоцитов &gt; 1</w:t>
            </w:r>
            <w:r w:rsidRPr="00C07B2E">
              <w:rPr>
                <w:rFonts w:eastAsia="SimSun"/>
              </w:rPr>
              <w:t> </w:t>
            </w:r>
            <w:r>
              <w:rPr>
                <w:rFonts w:eastAsia="SimSun"/>
              </w:rPr>
              <w:t>х</w:t>
            </w:r>
            <w:r w:rsidRPr="000F445E">
              <w:rPr>
                <w:rFonts w:eastAsia="SimSun"/>
              </w:rPr>
              <w:t xml:space="preserve"> 10</w:t>
            </w:r>
            <w:r w:rsidRPr="000F445E">
              <w:rPr>
                <w:rFonts w:eastAsia="SimSun"/>
                <w:vertAlign w:val="superscript"/>
              </w:rPr>
              <w:t>9</w:t>
            </w:r>
            <w:r w:rsidRPr="000F445E">
              <w:rPr>
                <w:rFonts w:eastAsia="SimSun"/>
              </w:rPr>
              <w:t>/л, при отсутствии тошноты, рвоты, диареи и возможности приема внутрь. Концентрация 150-350</w:t>
            </w:r>
            <w:r>
              <w:rPr>
                <w:rFonts w:eastAsia="SimSun"/>
              </w:rPr>
              <w:t xml:space="preserve"> </w:t>
            </w:r>
            <w:r w:rsidRPr="000F445E">
              <w:rPr>
                <w:rFonts w:eastAsia="SimSun"/>
              </w:rPr>
              <w:t>пг/мл.</w:t>
            </w:r>
          </w:p>
        </w:tc>
      </w:tr>
      <w:tr w:rsidR="00304132" w:rsidRPr="00C07B2E" w14:paraId="5052741E" w14:textId="77777777" w:rsidTr="00CD5E09">
        <w:trPr>
          <w:cantSplit/>
          <w:trHeight w:val="20"/>
        </w:trPr>
        <w:tc>
          <w:tcPr>
            <w:tcW w:w="709"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18F123B" w14:textId="77777777" w:rsidR="00304132" w:rsidRPr="00C07B2E" w:rsidRDefault="00304132" w:rsidP="00CD5E09"/>
        </w:tc>
        <w:tc>
          <w:tcPr>
            <w:tcW w:w="184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8BB45C2" w14:textId="77777777" w:rsidR="00304132" w:rsidRPr="00C07B2E" w:rsidRDefault="00304132" w:rsidP="00CD5E09">
            <w:r w:rsidRPr="00C07B2E">
              <w:rPr>
                <w:rFonts w:eastAsia="SimSun"/>
              </w:rPr>
              <w:t>Микофенолата мофетил</w:t>
            </w:r>
          </w:p>
        </w:tc>
        <w:tc>
          <w:tcPr>
            <w:tcW w:w="14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3702BFF" w14:textId="77777777" w:rsidR="00304132" w:rsidRPr="00C07B2E" w:rsidRDefault="00304132" w:rsidP="00CD5E09">
            <w:r w:rsidRPr="00C07B2E">
              <w:t>45 мг/кг</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154ADAD" w14:textId="77777777" w:rsidR="00304132" w:rsidRPr="00C07B2E" w:rsidRDefault="00304132" w:rsidP="00CD5E09">
            <w:r w:rsidRPr="00C07B2E">
              <w:t>-</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897B018" w14:textId="77777777" w:rsidR="00304132" w:rsidRPr="00C07B2E" w:rsidRDefault="00304132" w:rsidP="00CD5E09">
            <w:r w:rsidRPr="00C07B2E">
              <w:t>С +5 по +30 день</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E4B784A" w14:textId="77777777" w:rsidR="00304132" w:rsidRPr="000F445E" w:rsidRDefault="00304132" w:rsidP="00CD5E09">
            <w:r w:rsidRPr="000F445E">
              <w:rPr>
                <w:rFonts w:eastAsia="SimSun"/>
              </w:rPr>
              <w:t>Внутрь, суммарная суточная доза разделяется на 2- 4 приема (не более 3</w:t>
            </w:r>
            <w:r>
              <w:rPr>
                <w:rFonts w:eastAsia="SimSun"/>
              </w:rPr>
              <w:t xml:space="preserve"> </w:t>
            </w:r>
            <w:r w:rsidRPr="000F445E">
              <w:rPr>
                <w:rFonts w:eastAsia="SimSun"/>
              </w:rPr>
              <w:t>г/сут)</w:t>
            </w:r>
          </w:p>
        </w:tc>
      </w:tr>
      <w:tr w:rsidR="00304132" w:rsidRPr="00C07B2E" w14:paraId="47DC0A01" w14:textId="77777777" w:rsidTr="00CD5E09">
        <w:trPr>
          <w:cantSplit/>
          <w:trHeight w:val="464"/>
        </w:trPr>
        <w:tc>
          <w:tcPr>
            <w:tcW w:w="709"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63D7673" w14:textId="77777777" w:rsidR="00304132" w:rsidRPr="00C07B2E" w:rsidRDefault="00304132" w:rsidP="00CD5E09"/>
        </w:tc>
        <w:tc>
          <w:tcPr>
            <w:tcW w:w="184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EF5BB31" w14:textId="77777777" w:rsidR="00304132" w:rsidRPr="00C07B2E" w:rsidRDefault="00304132" w:rsidP="00CD5E09">
            <w:r w:rsidRPr="00C07B2E">
              <w:rPr>
                <w:rFonts w:eastAsia="SimSun"/>
              </w:rPr>
              <w:t>Циклофосфамид</w:t>
            </w:r>
          </w:p>
        </w:tc>
        <w:tc>
          <w:tcPr>
            <w:tcW w:w="14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41B4774" w14:textId="77777777" w:rsidR="00304132" w:rsidRPr="00C07B2E" w:rsidRDefault="00304132" w:rsidP="00CD5E09">
            <w:r w:rsidRPr="00C07B2E">
              <w:rPr>
                <w:rFonts w:eastAsia="SimSun"/>
              </w:rPr>
              <w:t>50 мг/кг</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5910256" w14:textId="77777777" w:rsidR="00304132" w:rsidRPr="00C07B2E" w:rsidRDefault="00304132" w:rsidP="00CD5E09">
            <w:r w:rsidRPr="00C07B2E">
              <w:rPr>
                <w:rFonts w:eastAsia="SimSun"/>
              </w:rPr>
              <w:t>100 мг/кг</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71364DF" w14:textId="77777777" w:rsidR="00304132" w:rsidRPr="00C07B2E" w:rsidRDefault="00304132" w:rsidP="00CD5E09">
            <w:r w:rsidRPr="00C07B2E">
              <w:rPr>
                <w:rFonts w:eastAsia="SimSun"/>
              </w:rPr>
              <w:t>+3, +4 дни</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E11B1BA" w14:textId="77777777" w:rsidR="00304132" w:rsidRPr="00C07B2E" w:rsidRDefault="00304132" w:rsidP="00CD5E09">
            <w:r w:rsidRPr="00C07B2E">
              <w:rPr>
                <w:rFonts w:eastAsia="SimSun"/>
              </w:rPr>
              <w:t xml:space="preserve">В/в, в течение 2 ч  </w:t>
            </w:r>
          </w:p>
        </w:tc>
      </w:tr>
    </w:tbl>
    <w:p w14:paraId="5F78B59B" w14:textId="77777777" w:rsidR="00304132" w:rsidRPr="00C07B2E" w:rsidRDefault="00304132" w:rsidP="00304132">
      <w:pPr>
        <w:rPr>
          <w:rFonts w:eastAsia="SimSun"/>
        </w:rPr>
      </w:pPr>
    </w:p>
    <w:p w14:paraId="34DBF511" w14:textId="77777777" w:rsidR="00304132" w:rsidRPr="00C07B2E" w:rsidRDefault="00304132" w:rsidP="00304132">
      <w:pPr>
        <w:rPr>
          <w:rFonts w:eastAsia="SimSun"/>
        </w:rPr>
      </w:pPr>
      <w:bookmarkStart w:id="294" w:name="_Toc44401147"/>
      <w:r w:rsidRPr="00042499">
        <w:rPr>
          <w:rFonts w:eastAsia="SimSun"/>
        </w:rPr>
        <w:t>Таблица</w:t>
      </w:r>
      <w:r w:rsidRPr="00C07B2E">
        <w:rPr>
          <w:rFonts w:eastAsia="SimSun"/>
        </w:rPr>
        <w:t xml:space="preserve"> </w:t>
      </w:r>
      <w:r>
        <w:rPr>
          <w:rFonts w:eastAsia="SimSun"/>
        </w:rPr>
        <w:t>5</w:t>
      </w:r>
      <w:r w:rsidRPr="00C07B2E">
        <w:rPr>
          <w:rFonts w:eastAsia="SimSun"/>
        </w:rPr>
        <w:t>.1.1.4  – Flu180+Bu12 / Tx+MMF30</w:t>
      </w:r>
      <w:bookmarkEnd w:id="294"/>
    </w:p>
    <w:tbl>
      <w:tblPr>
        <w:tblW w:w="9356"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1843"/>
        <w:gridCol w:w="1417"/>
        <w:gridCol w:w="1418"/>
        <w:gridCol w:w="1701"/>
        <w:gridCol w:w="2268"/>
      </w:tblGrid>
      <w:tr w:rsidR="00304132" w:rsidRPr="00C07B2E" w14:paraId="1E75FC23" w14:textId="77777777" w:rsidTr="00CD5E09">
        <w:trPr>
          <w:cantSplit/>
          <w:trHeight w:val="20"/>
          <w:tblHeader/>
          <w:jc w:val="right"/>
        </w:trPr>
        <w:tc>
          <w:tcPr>
            <w:tcW w:w="709" w:type="dxa"/>
            <w:vAlign w:val="center"/>
          </w:tcPr>
          <w:p w14:paraId="75556D61" w14:textId="77777777" w:rsidR="00304132" w:rsidRPr="00C07B2E" w:rsidRDefault="00304132" w:rsidP="00CD5E09">
            <w:pPr>
              <w:rPr>
                <w:rFonts w:eastAsia="SimSun"/>
              </w:rPr>
            </w:pPr>
          </w:p>
        </w:tc>
        <w:tc>
          <w:tcPr>
            <w:tcW w:w="1843" w:type="dxa"/>
            <w:vAlign w:val="center"/>
          </w:tcPr>
          <w:p w14:paraId="69522B21" w14:textId="77777777" w:rsidR="00304132" w:rsidRPr="00C07B2E" w:rsidRDefault="00304132" w:rsidP="00CD5E09">
            <w:pPr>
              <w:rPr>
                <w:rFonts w:eastAsia="SimSun"/>
              </w:rPr>
            </w:pPr>
            <w:r w:rsidRPr="00C07B2E">
              <w:rPr>
                <w:rFonts w:eastAsia="SimSun"/>
              </w:rPr>
              <w:t>Препарат</w:t>
            </w:r>
          </w:p>
        </w:tc>
        <w:tc>
          <w:tcPr>
            <w:tcW w:w="1417" w:type="dxa"/>
            <w:vAlign w:val="center"/>
          </w:tcPr>
          <w:p w14:paraId="104D8BCD" w14:textId="77777777" w:rsidR="00304132" w:rsidRPr="00C07B2E" w:rsidRDefault="00304132" w:rsidP="00CD5E09">
            <w:pPr>
              <w:rPr>
                <w:rFonts w:eastAsia="SimSun"/>
              </w:rPr>
            </w:pPr>
            <w:r w:rsidRPr="00C07B2E">
              <w:rPr>
                <w:rFonts w:eastAsia="SimSun"/>
              </w:rPr>
              <w:t>Суточная доза</w:t>
            </w:r>
          </w:p>
        </w:tc>
        <w:tc>
          <w:tcPr>
            <w:tcW w:w="1418" w:type="dxa"/>
            <w:vAlign w:val="center"/>
          </w:tcPr>
          <w:p w14:paraId="09F8DFCA" w14:textId="77777777" w:rsidR="00304132" w:rsidRPr="00C07B2E" w:rsidRDefault="00304132" w:rsidP="00CD5E09">
            <w:pPr>
              <w:rPr>
                <w:rFonts w:eastAsia="SimSun"/>
              </w:rPr>
            </w:pPr>
            <w:r w:rsidRPr="00C07B2E">
              <w:rPr>
                <w:rFonts w:eastAsia="SimSun"/>
              </w:rPr>
              <w:t>Курсовая доза</w:t>
            </w:r>
          </w:p>
        </w:tc>
        <w:tc>
          <w:tcPr>
            <w:tcW w:w="1701" w:type="dxa"/>
            <w:vAlign w:val="center"/>
          </w:tcPr>
          <w:p w14:paraId="2BADF138" w14:textId="77777777" w:rsidR="00304132" w:rsidRPr="00C07B2E" w:rsidRDefault="00304132" w:rsidP="00CD5E09">
            <w:pPr>
              <w:rPr>
                <w:rFonts w:eastAsia="SimSun"/>
              </w:rPr>
            </w:pPr>
            <w:r w:rsidRPr="00C07B2E">
              <w:rPr>
                <w:rFonts w:eastAsia="SimSun"/>
              </w:rPr>
              <w:t>Дни введения</w:t>
            </w:r>
          </w:p>
        </w:tc>
        <w:tc>
          <w:tcPr>
            <w:tcW w:w="2268" w:type="dxa"/>
            <w:vAlign w:val="center"/>
          </w:tcPr>
          <w:p w14:paraId="4B0BCAF5" w14:textId="77777777" w:rsidR="00304132" w:rsidRPr="00C07B2E" w:rsidRDefault="00304132" w:rsidP="00CD5E09">
            <w:pPr>
              <w:rPr>
                <w:rFonts w:eastAsia="SimSun"/>
              </w:rPr>
            </w:pPr>
            <w:r w:rsidRPr="00C07B2E">
              <w:rPr>
                <w:rFonts w:eastAsia="SimSun"/>
              </w:rPr>
              <w:t>Порядок введения</w:t>
            </w:r>
          </w:p>
        </w:tc>
      </w:tr>
      <w:tr w:rsidR="00304132" w:rsidRPr="00C07B2E" w14:paraId="0D6BED7C" w14:textId="77777777" w:rsidTr="00CD5E09">
        <w:trPr>
          <w:cantSplit/>
          <w:trHeight w:val="20"/>
          <w:jc w:val="right"/>
        </w:trPr>
        <w:tc>
          <w:tcPr>
            <w:tcW w:w="709" w:type="dxa"/>
            <w:vMerge w:val="restart"/>
            <w:textDirection w:val="btLr"/>
            <w:vAlign w:val="center"/>
          </w:tcPr>
          <w:p w14:paraId="2F568A1B" w14:textId="77777777" w:rsidR="00304132" w:rsidRPr="00C07B2E" w:rsidRDefault="00304132" w:rsidP="00CD5E09">
            <w:pPr>
              <w:rPr>
                <w:rFonts w:eastAsia="SimSun"/>
              </w:rPr>
            </w:pPr>
            <w:r w:rsidRPr="00C07B2E">
              <w:rPr>
                <w:rFonts w:eastAsia="SimSun"/>
              </w:rPr>
              <w:t>Кондиционирование</w:t>
            </w:r>
          </w:p>
        </w:tc>
        <w:tc>
          <w:tcPr>
            <w:tcW w:w="1843" w:type="dxa"/>
            <w:vAlign w:val="center"/>
          </w:tcPr>
          <w:p w14:paraId="25FCFAE9" w14:textId="77777777" w:rsidR="00304132" w:rsidRPr="00C07B2E" w:rsidRDefault="00304132" w:rsidP="00CD5E09">
            <w:pPr>
              <w:rPr>
                <w:rFonts w:eastAsia="SimSun"/>
              </w:rPr>
            </w:pPr>
            <w:r w:rsidRPr="00C07B2E">
              <w:rPr>
                <w:rFonts w:eastAsia="SimSun"/>
              </w:rPr>
              <w:t xml:space="preserve">Флударабин </w:t>
            </w:r>
          </w:p>
        </w:tc>
        <w:tc>
          <w:tcPr>
            <w:tcW w:w="1417" w:type="dxa"/>
            <w:vAlign w:val="center"/>
          </w:tcPr>
          <w:p w14:paraId="753292F6" w14:textId="77777777" w:rsidR="00304132" w:rsidRPr="00C07B2E" w:rsidRDefault="00304132" w:rsidP="00CD5E09">
            <w:pPr>
              <w:rPr>
                <w:rFonts w:eastAsia="SimSun"/>
              </w:rPr>
            </w:pPr>
            <w:r w:rsidRPr="00C07B2E">
              <w:rPr>
                <w:rFonts w:eastAsia="SimSun"/>
              </w:rPr>
              <w:t>30 мг/</w:t>
            </w:r>
            <w:r w:rsidRPr="000F445E">
              <w:rPr>
                <w:rFonts w:eastAsia="SimSun"/>
              </w:rPr>
              <w:t>м</w:t>
            </w:r>
            <w:r w:rsidRPr="000F445E">
              <w:rPr>
                <w:rFonts w:eastAsia="SimSun"/>
                <w:vertAlign w:val="superscript"/>
              </w:rPr>
              <w:t>2</w:t>
            </w:r>
          </w:p>
        </w:tc>
        <w:tc>
          <w:tcPr>
            <w:tcW w:w="1418" w:type="dxa"/>
            <w:vAlign w:val="center"/>
          </w:tcPr>
          <w:p w14:paraId="303CCACC" w14:textId="77777777" w:rsidR="00304132" w:rsidRPr="00C07B2E" w:rsidRDefault="00304132" w:rsidP="00CD5E09">
            <w:pPr>
              <w:rPr>
                <w:rFonts w:eastAsia="SimSun"/>
              </w:rPr>
            </w:pPr>
            <w:r w:rsidRPr="00C07B2E">
              <w:rPr>
                <w:rFonts w:eastAsia="SimSun"/>
              </w:rPr>
              <w:t>180 мг/м</w:t>
            </w:r>
            <w:r w:rsidRPr="000F445E">
              <w:rPr>
                <w:rFonts w:eastAsia="SimSun"/>
                <w:vertAlign w:val="superscript"/>
              </w:rPr>
              <w:t>2</w:t>
            </w:r>
          </w:p>
        </w:tc>
        <w:tc>
          <w:tcPr>
            <w:tcW w:w="1701" w:type="dxa"/>
            <w:vAlign w:val="center"/>
          </w:tcPr>
          <w:p w14:paraId="273CCF73" w14:textId="77777777" w:rsidR="00304132" w:rsidRPr="00C07B2E" w:rsidRDefault="00304132" w:rsidP="00CD5E09">
            <w:pPr>
              <w:rPr>
                <w:rFonts w:eastAsia="SimSun"/>
              </w:rPr>
            </w:pPr>
            <w:r w:rsidRPr="00C07B2E">
              <w:rPr>
                <w:rFonts w:eastAsia="SimSun"/>
              </w:rPr>
              <w:t>С -7 дня по -2 день</w:t>
            </w:r>
          </w:p>
        </w:tc>
        <w:tc>
          <w:tcPr>
            <w:tcW w:w="2268" w:type="dxa"/>
            <w:vAlign w:val="center"/>
          </w:tcPr>
          <w:p w14:paraId="62EF325C" w14:textId="77777777" w:rsidR="00304132" w:rsidRPr="00C07B2E" w:rsidRDefault="00304132" w:rsidP="00CD5E09">
            <w:pPr>
              <w:rPr>
                <w:rFonts w:eastAsia="SimSun"/>
              </w:rPr>
            </w:pPr>
            <w:r w:rsidRPr="00C07B2E">
              <w:rPr>
                <w:rFonts w:eastAsia="SimSun"/>
              </w:rPr>
              <w:t>В/в, в течение 30 - 60 мин</w:t>
            </w:r>
          </w:p>
        </w:tc>
      </w:tr>
      <w:tr w:rsidR="00304132" w:rsidRPr="00C07B2E" w14:paraId="63363CF6" w14:textId="77777777" w:rsidTr="00CD5E09">
        <w:trPr>
          <w:cantSplit/>
          <w:trHeight w:val="1207"/>
          <w:jc w:val="right"/>
        </w:trPr>
        <w:tc>
          <w:tcPr>
            <w:tcW w:w="709" w:type="dxa"/>
            <w:vMerge/>
            <w:vAlign w:val="center"/>
          </w:tcPr>
          <w:p w14:paraId="00825D68" w14:textId="77777777" w:rsidR="00304132" w:rsidRPr="00C07B2E" w:rsidRDefault="00304132" w:rsidP="00CD5E09">
            <w:pPr>
              <w:rPr>
                <w:rFonts w:eastAsia="SimSun"/>
              </w:rPr>
            </w:pPr>
          </w:p>
        </w:tc>
        <w:tc>
          <w:tcPr>
            <w:tcW w:w="1843" w:type="dxa"/>
            <w:vAlign w:val="center"/>
          </w:tcPr>
          <w:p w14:paraId="24460A77" w14:textId="77777777" w:rsidR="00304132" w:rsidRPr="00C07B2E" w:rsidRDefault="00304132" w:rsidP="00CD5E09">
            <w:pPr>
              <w:rPr>
                <w:rFonts w:eastAsia="SimSun"/>
              </w:rPr>
            </w:pPr>
            <w:r w:rsidRPr="00C07B2E">
              <w:rPr>
                <w:rFonts w:eastAsia="SimSun"/>
              </w:rPr>
              <w:t>Бусульфан</w:t>
            </w:r>
          </w:p>
        </w:tc>
        <w:tc>
          <w:tcPr>
            <w:tcW w:w="1417" w:type="dxa"/>
            <w:vAlign w:val="center"/>
          </w:tcPr>
          <w:p w14:paraId="2E0C4D1A" w14:textId="77777777" w:rsidR="00304132" w:rsidRPr="00C07B2E" w:rsidRDefault="00304132" w:rsidP="00CD5E09">
            <w:pPr>
              <w:rPr>
                <w:rFonts w:eastAsia="SimSun"/>
              </w:rPr>
            </w:pPr>
            <w:r w:rsidRPr="00C07B2E">
              <w:rPr>
                <w:rFonts w:eastAsia="SimSun"/>
              </w:rPr>
              <w:t xml:space="preserve">4 мг/кг </w:t>
            </w:r>
          </w:p>
        </w:tc>
        <w:tc>
          <w:tcPr>
            <w:tcW w:w="1418" w:type="dxa"/>
            <w:vAlign w:val="center"/>
          </w:tcPr>
          <w:p w14:paraId="28F6A392" w14:textId="77777777" w:rsidR="00304132" w:rsidRPr="00C07B2E" w:rsidRDefault="00304132" w:rsidP="00CD5E09">
            <w:pPr>
              <w:rPr>
                <w:rFonts w:eastAsia="SimSun"/>
              </w:rPr>
            </w:pPr>
            <w:r w:rsidRPr="00C07B2E">
              <w:rPr>
                <w:rFonts w:eastAsia="SimSun"/>
                <w:lang w:val="en-US"/>
              </w:rPr>
              <w:t>12</w:t>
            </w:r>
            <w:r w:rsidRPr="00C07B2E">
              <w:rPr>
                <w:rFonts w:eastAsia="SimSun"/>
              </w:rPr>
              <w:t xml:space="preserve"> мг/кг </w:t>
            </w:r>
          </w:p>
        </w:tc>
        <w:tc>
          <w:tcPr>
            <w:tcW w:w="1701" w:type="dxa"/>
            <w:vAlign w:val="center"/>
          </w:tcPr>
          <w:p w14:paraId="18EDCDF4" w14:textId="77777777" w:rsidR="00304132" w:rsidRPr="00C07B2E" w:rsidRDefault="00304132" w:rsidP="00CD5E09">
            <w:pPr>
              <w:rPr>
                <w:rFonts w:eastAsia="SimSun"/>
              </w:rPr>
            </w:pPr>
            <w:r w:rsidRPr="00C07B2E">
              <w:rPr>
                <w:rFonts w:eastAsia="SimSun"/>
              </w:rPr>
              <w:t>С -</w:t>
            </w:r>
            <w:r w:rsidRPr="00C07B2E">
              <w:rPr>
                <w:rFonts w:eastAsia="SimSun"/>
                <w:lang w:val="en-US"/>
              </w:rPr>
              <w:t>5</w:t>
            </w:r>
            <w:r w:rsidRPr="00C07B2E">
              <w:rPr>
                <w:rFonts w:eastAsia="SimSun"/>
              </w:rPr>
              <w:t xml:space="preserve"> дня по -3 день</w:t>
            </w:r>
          </w:p>
        </w:tc>
        <w:tc>
          <w:tcPr>
            <w:tcW w:w="2268" w:type="dxa"/>
            <w:vAlign w:val="center"/>
          </w:tcPr>
          <w:p w14:paraId="7602C46B" w14:textId="77777777" w:rsidR="00304132" w:rsidRPr="00C07B2E" w:rsidRDefault="00304132" w:rsidP="00CD5E09">
            <w:pPr>
              <w:rPr>
                <w:rFonts w:eastAsia="SimSun"/>
              </w:rPr>
            </w:pPr>
            <w:r w:rsidRPr="00C07B2E">
              <w:rPr>
                <w:rFonts w:eastAsia="SimSun"/>
              </w:rPr>
              <w:t xml:space="preserve">Внутрь, суммарная суточная доза разделяется на 4 приема с интервалом 6 часов. </w:t>
            </w:r>
          </w:p>
        </w:tc>
      </w:tr>
      <w:tr w:rsidR="00304132" w:rsidRPr="00C07B2E" w14:paraId="5BAEE9CE" w14:textId="77777777" w:rsidTr="00CD5E09">
        <w:trPr>
          <w:cantSplit/>
          <w:trHeight w:val="1498"/>
          <w:jc w:val="right"/>
        </w:trPr>
        <w:tc>
          <w:tcPr>
            <w:tcW w:w="709" w:type="dxa"/>
            <w:vMerge w:val="restart"/>
            <w:textDirection w:val="btLr"/>
            <w:vAlign w:val="center"/>
          </w:tcPr>
          <w:p w14:paraId="32CD83CF" w14:textId="77777777" w:rsidR="00304132" w:rsidRPr="00C07B2E" w:rsidRDefault="00304132" w:rsidP="00CD5E09">
            <w:pPr>
              <w:rPr>
                <w:rFonts w:eastAsia="SimSun"/>
              </w:rPr>
            </w:pPr>
            <w:r w:rsidRPr="00C07B2E">
              <w:rPr>
                <w:rFonts w:eastAsia="SimSun"/>
              </w:rPr>
              <w:t>Профилактика РТПХ</w:t>
            </w:r>
          </w:p>
        </w:tc>
        <w:tc>
          <w:tcPr>
            <w:tcW w:w="1843" w:type="dxa"/>
            <w:vAlign w:val="center"/>
          </w:tcPr>
          <w:p w14:paraId="114658E5" w14:textId="77777777" w:rsidR="00304132" w:rsidRPr="00C07B2E" w:rsidRDefault="00304132" w:rsidP="00CD5E09">
            <w:pPr>
              <w:rPr>
                <w:rFonts w:eastAsia="SimSun"/>
              </w:rPr>
            </w:pPr>
            <w:r w:rsidRPr="00C07B2E">
              <w:rPr>
                <w:rFonts w:eastAsia="SimSun"/>
              </w:rPr>
              <w:t xml:space="preserve">Такролимус </w:t>
            </w:r>
          </w:p>
        </w:tc>
        <w:tc>
          <w:tcPr>
            <w:tcW w:w="1417" w:type="dxa"/>
            <w:vAlign w:val="center"/>
          </w:tcPr>
          <w:p w14:paraId="52CD019D" w14:textId="77777777" w:rsidR="00304132" w:rsidRPr="00C07B2E" w:rsidRDefault="00304132" w:rsidP="00CD5E09">
            <w:pPr>
              <w:rPr>
                <w:rFonts w:eastAsia="SimSun"/>
              </w:rPr>
            </w:pPr>
            <w:r w:rsidRPr="00C07B2E">
              <w:rPr>
                <w:rFonts w:eastAsia="SimSun"/>
              </w:rPr>
              <w:t>0,03 мг/кг</w:t>
            </w:r>
          </w:p>
        </w:tc>
        <w:tc>
          <w:tcPr>
            <w:tcW w:w="1418" w:type="dxa"/>
            <w:vAlign w:val="center"/>
          </w:tcPr>
          <w:p w14:paraId="1DC3B543" w14:textId="77777777" w:rsidR="00304132" w:rsidRPr="00C07B2E" w:rsidRDefault="00304132" w:rsidP="00CD5E09">
            <w:pPr>
              <w:rPr>
                <w:rFonts w:eastAsia="SimSun"/>
              </w:rPr>
            </w:pPr>
            <w:r w:rsidRPr="00C07B2E">
              <w:rPr>
                <w:rFonts w:eastAsia="SimSun"/>
                <w:lang w:val="en-US"/>
              </w:rPr>
              <w:t>–</w:t>
            </w:r>
          </w:p>
        </w:tc>
        <w:tc>
          <w:tcPr>
            <w:tcW w:w="1701" w:type="dxa"/>
            <w:vAlign w:val="center"/>
          </w:tcPr>
          <w:p w14:paraId="780D7AEB" w14:textId="77777777" w:rsidR="00304132" w:rsidRPr="00C07B2E" w:rsidRDefault="00304132" w:rsidP="00CD5E09">
            <w:pPr>
              <w:rPr>
                <w:rFonts w:eastAsia="SimSun"/>
              </w:rPr>
            </w:pPr>
            <w:r w:rsidRPr="00C07B2E">
              <w:rPr>
                <w:rFonts w:eastAsia="SimSun"/>
              </w:rPr>
              <w:t xml:space="preserve">С </w:t>
            </w:r>
            <w:r w:rsidRPr="00C07B2E">
              <w:rPr>
                <w:rFonts w:eastAsia="SimSun"/>
                <w:lang w:val="en-US"/>
              </w:rPr>
              <w:t>-1</w:t>
            </w:r>
            <w:r w:rsidRPr="00C07B2E">
              <w:rPr>
                <w:rFonts w:eastAsia="SimSun"/>
              </w:rPr>
              <w:t xml:space="preserve"> дня длительно </w:t>
            </w:r>
          </w:p>
        </w:tc>
        <w:tc>
          <w:tcPr>
            <w:tcW w:w="2268" w:type="dxa"/>
            <w:vAlign w:val="center"/>
          </w:tcPr>
          <w:p w14:paraId="38317053" w14:textId="77777777" w:rsidR="00304132" w:rsidRPr="000F445E" w:rsidRDefault="00304132" w:rsidP="00CD5E09">
            <w:pPr>
              <w:rPr>
                <w:rFonts w:eastAsia="SimSun"/>
              </w:rPr>
            </w:pPr>
            <w:r w:rsidRPr="00C07B2E">
              <w:rPr>
                <w:rFonts w:eastAsia="SimSun"/>
              </w:rPr>
              <w:t xml:space="preserve">В/в инфузия в течение 24 ч с последующей коррекцией суточной дозы по концентрации. </w:t>
            </w:r>
            <w:r w:rsidRPr="000F445E">
              <w:rPr>
                <w:rFonts w:eastAsia="SimSun"/>
              </w:rPr>
              <w:t>Перевод на прием внутрь при условии восстановления лейкоцитов &gt; 1</w:t>
            </w:r>
            <w:r w:rsidRPr="00C07B2E">
              <w:rPr>
                <w:rFonts w:eastAsia="SimSun"/>
              </w:rPr>
              <w:t> </w:t>
            </w:r>
            <w:r>
              <w:rPr>
                <w:rFonts w:eastAsia="SimSun"/>
              </w:rPr>
              <w:t xml:space="preserve">х </w:t>
            </w:r>
            <w:r w:rsidRPr="000F445E">
              <w:rPr>
                <w:rFonts w:eastAsia="SimSun"/>
              </w:rPr>
              <w:t>10</w:t>
            </w:r>
            <w:r w:rsidRPr="000F445E">
              <w:rPr>
                <w:rFonts w:eastAsia="SimSun"/>
                <w:vertAlign w:val="superscript"/>
              </w:rPr>
              <w:t>9</w:t>
            </w:r>
            <w:r w:rsidRPr="000F445E">
              <w:rPr>
                <w:rFonts w:eastAsia="SimSun"/>
              </w:rPr>
              <w:t xml:space="preserve">/л, при отсутствии тошноты, рвоты, диареи и возможности приема внутрь. Концентрация </w:t>
            </w:r>
            <w:r w:rsidRPr="00C07B2E">
              <w:rPr>
                <w:rFonts w:eastAsia="SimSun"/>
                <w:lang w:val="en-US"/>
              </w:rPr>
              <w:t>Tx</w:t>
            </w:r>
            <w:r w:rsidRPr="000F445E">
              <w:rPr>
                <w:rFonts w:eastAsia="SimSun"/>
              </w:rPr>
              <w:t xml:space="preserve"> 5-15 нг/мл.    </w:t>
            </w:r>
          </w:p>
        </w:tc>
      </w:tr>
      <w:tr w:rsidR="00304132" w:rsidRPr="00C07B2E" w14:paraId="247C93BE" w14:textId="77777777" w:rsidTr="00CD5E09">
        <w:trPr>
          <w:cantSplit/>
          <w:trHeight w:val="2381"/>
          <w:jc w:val="right"/>
        </w:trPr>
        <w:tc>
          <w:tcPr>
            <w:tcW w:w="709" w:type="dxa"/>
            <w:vMerge/>
            <w:textDirection w:val="btLr"/>
            <w:vAlign w:val="center"/>
          </w:tcPr>
          <w:p w14:paraId="604C72E1" w14:textId="77777777" w:rsidR="00304132" w:rsidRPr="000F445E" w:rsidRDefault="00304132" w:rsidP="00CD5E09">
            <w:pPr>
              <w:rPr>
                <w:rFonts w:eastAsia="SimSun"/>
              </w:rPr>
            </w:pPr>
          </w:p>
        </w:tc>
        <w:tc>
          <w:tcPr>
            <w:tcW w:w="1843" w:type="dxa"/>
            <w:vAlign w:val="center"/>
          </w:tcPr>
          <w:p w14:paraId="6FE002EB" w14:textId="77777777" w:rsidR="00304132" w:rsidRPr="00C07B2E" w:rsidRDefault="00304132" w:rsidP="00CD5E09">
            <w:pPr>
              <w:rPr>
                <w:rFonts w:eastAsia="SimSun"/>
              </w:rPr>
            </w:pPr>
            <w:r w:rsidRPr="00C07B2E">
              <w:rPr>
                <w:rFonts w:eastAsia="SimSun"/>
              </w:rPr>
              <w:t>Микофенолата мофетил</w:t>
            </w:r>
          </w:p>
        </w:tc>
        <w:tc>
          <w:tcPr>
            <w:tcW w:w="1417" w:type="dxa"/>
            <w:vAlign w:val="center"/>
          </w:tcPr>
          <w:p w14:paraId="7FDCE1C3" w14:textId="77777777" w:rsidR="00304132" w:rsidRPr="00C07B2E" w:rsidRDefault="00304132" w:rsidP="00CD5E09">
            <w:pPr>
              <w:rPr>
                <w:rFonts w:eastAsia="SimSun"/>
              </w:rPr>
            </w:pPr>
            <w:r w:rsidRPr="00C07B2E">
              <w:rPr>
                <w:rFonts w:eastAsia="SimSun"/>
              </w:rPr>
              <w:t xml:space="preserve">30 мг/кг </w:t>
            </w:r>
          </w:p>
        </w:tc>
        <w:tc>
          <w:tcPr>
            <w:tcW w:w="1418" w:type="dxa"/>
            <w:vAlign w:val="center"/>
          </w:tcPr>
          <w:p w14:paraId="57CDE15C" w14:textId="77777777" w:rsidR="00304132" w:rsidRPr="00C07B2E" w:rsidRDefault="00304132" w:rsidP="00CD5E09">
            <w:pPr>
              <w:rPr>
                <w:rFonts w:eastAsia="SimSun"/>
              </w:rPr>
            </w:pPr>
            <w:r w:rsidRPr="00C07B2E">
              <w:rPr>
                <w:rFonts w:eastAsia="SimSun"/>
              </w:rPr>
              <w:t>–</w:t>
            </w:r>
          </w:p>
        </w:tc>
        <w:tc>
          <w:tcPr>
            <w:tcW w:w="1701" w:type="dxa"/>
            <w:vAlign w:val="center"/>
          </w:tcPr>
          <w:p w14:paraId="104B7971" w14:textId="77777777" w:rsidR="00304132" w:rsidRPr="00C07B2E" w:rsidRDefault="00304132" w:rsidP="00CD5E09">
            <w:pPr>
              <w:rPr>
                <w:rFonts w:eastAsia="SimSun"/>
              </w:rPr>
            </w:pPr>
            <w:r w:rsidRPr="00C07B2E">
              <w:rPr>
                <w:rFonts w:eastAsia="SimSun"/>
              </w:rPr>
              <w:t xml:space="preserve">С </w:t>
            </w:r>
            <w:r w:rsidRPr="00C07B2E">
              <w:rPr>
                <w:rFonts w:eastAsia="SimSun"/>
                <w:lang w:val="en-US"/>
              </w:rPr>
              <w:t>-1</w:t>
            </w:r>
            <w:r w:rsidRPr="00C07B2E">
              <w:rPr>
                <w:rFonts w:eastAsia="SimSun"/>
              </w:rPr>
              <w:t xml:space="preserve"> дня по +3</w:t>
            </w:r>
            <w:r w:rsidRPr="00C07B2E">
              <w:rPr>
                <w:rFonts w:eastAsia="SimSun"/>
                <w:lang w:val="en-US"/>
              </w:rPr>
              <w:t>0</w:t>
            </w:r>
            <w:r w:rsidRPr="00C07B2E">
              <w:rPr>
                <w:rFonts w:eastAsia="SimSun"/>
              </w:rPr>
              <w:t xml:space="preserve"> день </w:t>
            </w:r>
          </w:p>
        </w:tc>
        <w:tc>
          <w:tcPr>
            <w:tcW w:w="2268" w:type="dxa"/>
            <w:vAlign w:val="center"/>
          </w:tcPr>
          <w:p w14:paraId="3A7E908F" w14:textId="77777777" w:rsidR="00304132" w:rsidRPr="00C07B2E" w:rsidRDefault="00304132" w:rsidP="00CD5E09">
            <w:pPr>
              <w:ind w:right="-138"/>
              <w:rPr>
                <w:rFonts w:eastAsia="SimSun"/>
              </w:rPr>
            </w:pPr>
            <w:r w:rsidRPr="00C07B2E">
              <w:rPr>
                <w:rFonts w:eastAsia="SimSun"/>
              </w:rPr>
              <w:t>Внутрь, суммарная суточная доза разделяется на 2- 4 приема (не более 3г/сут)</w:t>
            </w:r>
          </w:p>
        </w:tc>
      </w:tr>
    </w:tbl>
    <w:p w14:paraId="5A3CB909" w14:textId="77777777" w:rsidR="00304132" w:rsidRPr="00C07B2E" w:rsidRDefault="00304132" w:rsidP="00304132">
      <w:pPr>
        <w:rPr>
          <w:rFonts w:eastAsia="SimSun"/>
        </w:rPr>
        <w:sectPr w:rsidR="00304132" w:rsidRPr="00C07B2E" w:rsidSect="00CD5E09">
          <w:type w:val="continuous"/>
          <w:pgSz w:w="11907" w:h="16839" w:code="9"/>
          <w:pgMar w:top="1134" w:right="850" w:bottom="1134" w:left="1701" w:header="709" w:footer="567" w:gutter="0"/>
          <w:cols w:space="708"/>
          <w:docGrid w:linePitch="360"/>
        </w:sectPr>
      </w:pPr>
    </w:p>
    <w:p w14:paraId="66938661" w14:textId="77777777" w:rsidR="00304132" w:rsidRDefault="00304132" w:rsidP="00304132">
      <w:pPr>
        <w:rPr>
          <w:rFonts w:eastAsia="SimSun"/>
        </w:rPr>
      </w:pPr>
      <w:bookmarkStart w:id="295" w:name="_Toc44401148"/>
    </w:p>
    <w:p w14:paraId="44971799" w14:textId="77777777" w:rsidR="00304132" w:rsidRPr="00C07B2E" w:rsidRDefault="00304132" w:rsidP="00304132">
      <w:pPr>
        <w:rPr>
          <w:rFonts w:eastAsia="SimSun"/>
        </w:rPr>
      </w:pPr>
      <w:r w:rsidRPr="00042499">
        <w:rPr>
          <w:rFonts w:eastAsia="SimSun"/>
        </w:rPr>
        <w:lastRenderedPageBreak/>
        <w:t>Таблица</w:t>
      </w:r>
      <w:r w:rsidRPr="00C07B2E">
        <w:rPr>
          <w:rFonts w:eastAsia="SimSun"/>
        </w:rPr>
        <w:t xml:space="preserve"> </w:t>
      </w:r>
      <w:r>
        <w:rPr>
          <w:rFonts w:eastAsia="SimSun"/>
        </w:rPr>
        <w:t>5</w:t>
      </w:r>
      <w:r w:rsidRPr="00C07B2E">
        <w:rPr>
          <w:rFonts w:eastAsia="SimSun"/>
        </w:rPr>
        <w:t>.1.1.5  – Flu180+Bu12 / PT-Cy</w:t>
      </w:r>
      <w:bookmarkEnd w:id="295"/>
    </w:p>
    <w:tbl>
      <w:tblPr>
        <w:tblW w:w="9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9"/>
        <w:gridCol w:w="1843"/>
        <w:gridCol w:w="1417"/>
        <w:gridCol w:w="1337"/>
        <w:gridCol w:w="1701"/>
        <w:gridCol w:w="2268"/>
      </w:tblGrid>
      <w:tr w:rsidR="00304132" w:rsidRPr="00C07B2E" w14:paraId="58ED845B" w14:textId="77777777" w:rsidTr="00CD5E09">
        <w:trPr>
          <w:cantSplit/>
          <w:trHeight w:val="20"/>
          <w:tblHeader/>
        </w:trPr>
        <w:tc>
          <w:tcPr>
            <w:tcW w:w="959" w:type="dxa"/>
            <w:vAlign w:val="center"/>
          </w:tcPr>
          <w:p w14:paraId="737112AF" w14:textId="77777777" w:rsidR="00304132" w:rsidRPr="00980822" w:rsidRDefault="00304132" w:rsidP="00CD5E09">
            <w:pPr>
              <w:ind w:firstLine="98"/>
              <w:rPr>
                <w:rFonts w:eastAsia="SimSun"/>
              </w:rPr>
            </w:pPr>
          </w:p>
        </w:tc>
        <w:tc>
          <w:tcPr>
            <w:tcW w:w="1843" w:type="dxa"/>
            <w:vAlign w:val="center"/>
          </w:tcPr>
          <w:p w14:paraId="53E6B610" w14:textId="77777777" w:rsidR="00304132" w:rsidRPr="00C07B2E" w:rsidRDefault="00304132" w:rsidP="00CD5E09">
            <w:pPr>
              <w:ind w:firstLine="98"/>
              <w:rPr>
                <w:rFonts w:eastAsia="SimSun"/>
              </w:rPr>
            </w:pPr>
            <w:r w:rsidRPr="00C07B2E">
              <w:rPr>
                <w:rFonts w:eastAsia="SimSun"/>
              </w:rPr>
              <w:t>Препарат</w:t>
            </w:r>
          </w:p>
        </w:tc>
        <w:tc>
          <w:tcPr>
            <w:tcW w:w="1417" w:type="dxa"/>
            <w:vAlign w:val="center"/>
          </w:tcPr>
          <w:p w14:paraId="54E372A1" w14:textId="77777777" w:rsidR="00304132" w:rsidRPr="00C07B2E" w:rsidRDefault="00304132" w:rsidP="00CD5E09">
            <w:pPr>
              <w:ind w:firstLine="98"/>
              <w:rPr>
                <w:rFonts w:eastAsia="SimSun"/>
              </w:rPr>
            </w:pPr>
            <w:r w:rsidRPr="00C07B2E">
              <w:rPr>
                <w:rFonts w:eastAsia="SimSun"/>
              </w:rPr>
              <w:t>Суточная доза</w:t>
            </w:r>
          </w:p>
        </w:tc>
        <w:tc>
          <w:tcPr>
            <w:tcW w:w="1337" w:type="dxa"/>
            <w:vAlign w:val="center"/>
          </w:tcPr>
          <w:p w14:paraId="34B17D21" w14:textId="77777777" w:rsidR="00304132" w:rsidRPr="00C07B2E" w:rsidRDefault="00304132" w:rsidP="00CD5E09">
            <w:pPr>
              <w:ind w:firstLine="98"/>
              <w:rPr>
                <w:rFonts w:eastAsia="SimSun"/>
              </w:rPr>
            </w:pPr>
            <w:r w:rsidRPr="00C07B2E">
              <w:rPr>
                <w:rFonts w:eastAsia="SimSun"/>
              </w:rPr>
              <w:t>Курсовая доза</w:t>
            </w:r>
          </w:p>
        </w:tc>
        <w:tc>
          <w:tcPr>
            <w:tcW w:w="1701" w:type="dxa"/>
            <w:vAlign w:val="center"/>
          </w:tcPr>
          <w:p w14:paraId="181A3162" w14:textId="77777777" w:rsidR="00304132" w:rsidRPr="00C07B2E" w:rsidRDefault="00304132" w:rsidP="00CD5E09">
            <w:pPr>
              <w:ind w:firstLine="98"/>
              <w:rPr>
                <w:rFonts w:eastAsia="SimSun"/>
              </w:rPr>
            </w:pPr>
            <w:r w:rsidRPr="00C07B2E">
              <w:rPr>
                <w:rFonts w:eastAsia="SimSun"/>
              </w:rPr>
              <w:t>Дни введения</w:t>
            </w:r>
          </w:p>
        </w:tc>
        <w:tc>
          <w:tcPr>
            <w:tcW w:w="2268" w:type="dxa"/>
            <w:vAlign w:val="center"/>
          </w:tcPr>
          <w:p w14:paraId="3FE540A3" w14:textId="77777777" w:rsidR="00304132" w:rsidRPr="00C07B2E" w:rsidRDefault="00304132" w:rsidP="00CD5E09">
            <w:pPr>
              <w:ind w:firstLine="98"/>
              <w:rPr>
                <w:rFonts w:eastAsia="SimSun"/>
              </w:rPr>
            </w:pPr>
            <w:r w:rsidRPr="00C07B2E">
              <w:rPr>
                <w:rFonts w:eastAsia="SimSun"/>
              </w:rPr>
              <w:t>Порядок введения</w:t>
            </w:r>
          </w:p>
        </w:tc>
      </w:tr>
      <w:tr w:rsidR="00304132" w:rsidRPr="00C07B2E" w14:paraId="28E54253" w14:textId="77777777" w:rsidTr="00CD5E09">
        <w:trPr>
          <w:cantSplit/>
          <w:trHeight w:val="20"/>
        </w:trPr>
        <w:tc>
          <w:tcPr>
            <w:tcW w:w="959" w:type="dxa"/>
            <w:vMerge w:val="restart"/>
            <w:textDirection w:val="btLr"/>
            <w:vAlign w:val="center"/>
          </w:tcPr>
          <w:p w14:paraId="2AFB7A6A" w14:textId="77777777" w:rsidR="00304132" w:rsidRPr="00C07B2E" w:rsidRDefault="00304132" w:rsidP="00CD5E09">
            <w:pPr>
              <w:ind w:firstLine="98"/>
              <w:rPr>
                <w:rFonts w:eastAsia="SimSun"/>
              </w:rPr>
            </w:pPr>
            <w:r w:rsidRPr="00C07B2E">
              <w:rPr>
                <w:rFonts w:eastAsia="SimSun"/>
              </w:rPr>
              <w:t>Кондиционирование</w:t>
            </w:r>
          </w:p>
        </w:tc>
        <w:tc>
          <w:tcPr>
            <w:tcW w:w="1843" w:type="dxa"/>
            <w:vAlign w:val="center"/>
          </w:tcPr>
          <w:p w14:paraId="0C9408CE" w14:textId="77777777" w:rsidR="00304132" w:rsidRPr="00C07B2E" w:rsidRDefault="00304132" w:rsidP="00CD5E09">
            <w:pPr>
              <w:ind w:firstLine="98"/>
              <w:rPr>
                <w:rFonts w:eastAsia="SimSun"/>
              </w:rPr>
            </w:pPr>
            <w:r w:rsidRPr="00C07B2E">
              <w:rPr>
                <w:rFonts w:eastAsia="SimSun"/>
              </w:rPr>
              <w:t xml:space="preserve">Флударабин </w:t>
            </w:r>
          </w:p>
        </w:tc>
        <w:tc>
          <w:tcPr>
            <w:tcW w:w="1417" w:type="dxa"/>
            <w:vAlign w:val="center"/>
          </w:tcPr>
          <w:p w14:paraId="26228793" w14:textId="77777777" w:rsidR="00304132" w:rsidRPr="00C07B2E" w:rsidRDefault="00304132" w:rsidP="00CD5E09">
            <w:pPr>
              <w:ind w:firstLine="98"/>
              <w:rPr>
                <w:rFonts w:eastAsia="SimSun"/>
              </w:rPr>
            </w:pPr>
            <w:r w:rsidRPr="00C07B2E">
              <w:rPr>
                <w:rFonts w:eastAsia="SimSun"/>
              </w:rPr>
              <w:t>30 мг/м</w:t>
            </w:r>
            <w:r w:rsidRPr="000F445E">
              <w:rPr>
                <w:rFonts w:eastAsia="SimSun"/>
                <w:vertAlign w:val="superscript"/>
              </w:rPr>
              <w:t>2</w:t>
            </w:r>
          </w:p>
        </w:tc>
        <w:tc>
          <w:tcPr>
            <w:tcW w:w="1337" w:type="dxa"/>
            <w:vAlign w:val="center"/>
          </w:tcPr>
          <w:p w14:paraId="15B7E9D9" w14:textId="77777777" w:rsidR="00304132" w:rsidRPr="00C07B2E" w:rsidRDefault="00304132" w:rsidP="00CD5E09">
            <w:pPr>
              <w:ind w:firstLine="98"/>
              <w:rPr>
                <w:rFonts w:eastAsia="SimSun"/>
              </w:rPr>
            </w:pPr>
            <w:r w:rsidRPr="00C07B2E">
              <w:rPr>
                <w:rFonts w:eastAsia="SimSun"/>
              </w:rPr>
              <w:t>180 мг/м</w:t>
            </w:r>
            <w:r w:rsidRPr="000F445E">
              <w:rPr>
                <w:rFonts w:eastAsia="SimSun"/>
                <w:vertAlign w:val="superscript"/>
              </w:rPr>
              <w:t>2</w:t>
            </w:r>
          </w:p>
        </w:tc>
        <w:tc>
          <w:tcPr>
            <w:tcW w:w="1701" w:type="dxa"/>
            <w:vAlign w:val="center"/>
          </w:tcPr>
          <w:p w14:paraId="4B92DC55" w14:textId="77777777" w:rsidR="00304132" w:rsidRPr="00C07B2E" w:rsidRDefault="00304132" w:rsidP="00CD5E09">
            <w:pPr>
              <w:ind w:firstLine="98"/>
              <w:rPr>
                <w:rFonts w:eastAsia="SimSun"/>
              </w:rPr>
            </w:pPr>
            <w:r w:rsidRPr="00C07B2E">
              <w:rPr>
                <w:rFonts w:eastAsia="SimSun"/>
              </w:rPr>
              <w:t>С -7 дня по -2 день</w:t>
            </w:r>
          </w:p>
        </w:tc>
        <w:tc>
          <w:tcPr>
            <w:tcW w:w="2268" w:type="dxa"/>
            <w:vAlign w:val="center"/>
          </w:tcPr>
          <w:p w14:paraId="5C1B930D" w14:textId="77777777" w:rsidR="00304132" w:rsidRPr="00C07B2E" w:rsidRDefault="00304132" w:rsidP="00CD5E09">
            <w:pPr>
              <w:ind w:firstLine="98"/>
              <w:rPr>
                <w:rFonts w:eastAsia="SimSun"/>
              </w:rPr>
            </w:pPr>
            <w:r w:rsidRPr="00C07B2E">
              <w:rPr>
                <w:rFonts w:eastAsia="SimSun"/>
              </w:rPr>
              <w:t>В/в, в течение 30 - 60 мин</w:t>
            </w:r>
          </w:p>
        </w:tc>
      </w:tr>
      <w:tr w:rsidR="00304132" w:rsidRPr="00C07B2E" w14:paraId="74856C96" w14:textId="77777777" w:rsidTr="00CD5E09">
        <w:trPr>
          <w:cantSplit/>
          <w:trHeight w:val="1207"/>
        </w:trPr>
        <w:tc>
          <w:tcPr>
            <w:tcW w:w="959" w:type="dxa"/>
            <w:vMerge/>
            <w:vAlign w:val="center"/>
          </w:tcPr>
          <w:p w14:paraId="7E2E3381" w14:textId="77777777" w:rsidR="00304132" w:rsidRPr="00C07B2E" w:rsidRDefault="00304132" w:rsidP="00CD5E09">
            <w:pPr>
              <w:ind w:firstLine="98"/>
              <w:rPr>
                <w:rFonts w:eastAsia="SimSun"/>
              </w:rPr>
            </w:pPr>
          </w:p>
        </w:tc>
        <w:tc>
          <w:tcPr>
            <w:tcW w:w="1843" w:type="dxa"/>
            <w:vAlign w:val="center"/>
          </w:tcPr>
          <w:p w14:paraId="4D7AD566" w14:textId="77777777" w:rsidR="00304132" w:rsidRPr="00C07B2E" w:rsidRDefault="00304132" w:rsidP="00CD5E09">
            <w:pPr>
              <w:ind w:firstLine="98"/>
              <w:rPr>
                <w:rFonts w:eastAsia="SimSun"/>
              </w:rPr>
            </w:pPr>
            <w:r w:rsidRPr="00C07B2E">
              <w:rPr>
                <w:rFonts w:eastAsia="SimSun"/>
              </w:rPr>
              <w:t>Бусульфан</w:t>
            </w:r>
          </w:p>
        </w:tc>
        <w:tc>
          <w:tcPr>
            <w:tcW w:w="1417" w:type="dxa"/>
            <w:vAlign w:val="center"/>
          </w:tcPr>
          <w:p w14:paraId="7C597581" w14:textId="77777777" w:rsidR="00304132" w:rsidRPr="00C07B2E" w:rsidRDefault="00304132" w:rsidP="00CD5E09">
            <w:pPr>
              <w:ind w:firstLine="98"/>
              <w:rPr>
                <w:rFonts w:eastAsia="SimSun"/>
              </w:rPr>
            </w:pPr>
            <w:r w:rsidRPr="00C07B2E">
              <w:rPr>
                <w:rFonts w:eastAsia="SimSun"/>
              </w:rPr>
              <w:t xml:space="preserve">4 мг/кг </w:t>
            </w:r>
          </w:p>
        </w:tc>
        <w:tc>
          <w:tcPr>
            <w:tcW w:w="1337" w:type="dxa"/>
            <w:vAlign w:val="center"/>
          </w:tcPr>
          <w:p w14:paraId="0EFDD2B2" w14:textId="77777777" w:rsidR="00304132" w:rsidRPr="00C07B2E" w:rsidRDefault="00304132" w:rsidP="00CD5E09">
            <w:pPr>
              <w:ind w:firstLine="98"/>
              <w:rPr>
                <w:rFonts w:eastAsia="SimSun"/>
              </w:rPr>
            </w:pPr>
            <w:r w:rsidRPr="00C07B2E">
              <w:rPr>
                <w:rFonts w:eastAsia="SimSun"/>
                <w:lang w:val="en-US"/>
              </w:rPr>
              <w:t>12</w:t>
            </w:r>
            <w:r w:rsidRPr="00C07B2E">
              <w:rPr>
                <w:rFonts w:eastAsia="SimSun"/>
              </w:rPr>
              <w:t xml:space="preserve"> мг/кг </w:t>
            </w:r>
          </w:p>
        </w:tc>
        <w:tc>
          <w:tcPr>
            <w:tcW w:w="1701" w:type="dxa"/>
            <w:vAlign w:val="center"/>
          </w:tcPr>
          <w:p w14:paraId="3A88C1D1" w14:textId="77777777" w:rsidR="00304132" w:rsidRPr="00C07B2E" w:rsidRDefault="00304132" w:rsidP="00CD5E09">
            <w:pPr>
              <w:ind w:firstLine="98"/>
              <w:rPr>
                <w:rFonts w:eastAsia="SimSun"/>
              </w:rPr>
            </w:pPr>
            <w:r w:rsidRPr="00C07B2E">
              <w:rPr>
                <w:rFonts w:eastAsia="SimSun"/>
              </w:rPr>
              <w:t>С -5 дня по -3 день</w:t>
            </w:r>
          </w:p>
        </w:tc>
        <w:tc>
          <w:tcPr>
            <w:tcW w:w="2268" w:type="dxa"/>
            <w:vAlign w:val="center"/>
          </w:tcPr>
          <w:p w14:paraId="2B804FE2" w14:textId="77777777" w:rsidR="00304132" w:rsidRPr="00C07B2E" w:rsidRDefault="00304132" w:rsidP="00CD5E09">
            <w:pPr>
              <w:ind w:firstLine="98"/>
              <w:rPr>
                <w:rFonts w:eastAsia="SimSun"/>
              </w:rPr>
            </w:pPr>
            <w:r w:rsidRPr="00C07B2E">
              <w:rPr>
                <w:rFonts w:eastAsia="SimSun"/>
              </w:rPr>
              <w:t>Внутрь, суммарная суточная доза разделяется на 4 приема с интервалом 6 часов.</w:t>
            </w:r>
          </w:p>
        </w:tc>
      </w:tr>
      <w:tr w:rsidR="00304132" w:rsidRPr="00C07B2E" w14:paraId="19BB2E7C" w14:textId="77777777" w:rsidTr="00CD5E09">
        <w:trPr>
          <w:cantSplit/>
          <w:trHeight w:val="1498"/>
        </w:trPr>
        <w:tc>
          <w:tcPr>
            <w:tcW w:w="959" w:type="dxa"/>
            <w:textDirection w:val="btLr"/>
            <w:vAlign w:val="center"/>
          </w:tcPr>
          <w:p w14:paraId="3DA3AE61" w14:textId="77777777" w:rsidR="00304132" w:rsidRPr="00C07B2E" w:rsidRDefault="00304132" w:rsidP="00CD5E09">
            <w:pPr>
              <w:ind w:firstLine="98"/>
              <w:rPr>
                <w:rFonts w:eastAsia="SimSun"/>
              </w:rPr>
            </w:pPr>
            <w:r w:rsidRPr="00C07B2E">
              <w:rPr>
                <w:rFonts w:eastAsia="SimSun"/>
              </w:rPr>
              <w:t>Профилактика РТПХ</w:t>
            </w:r>
          </w:p>
        </w:tc>
        <w:tc>
          <w:tcPr>
            <w:tcW w:w="1843" w:type="dxa"/>
            <w:vAlign w:val="center"/>
          </w:tcPr>
          <w:p w14:paraId="4B658AB1" w14:textId="77777777" w:rsidR="00304132" w:rsidRPr="00C07B2E" w:rsidRDefault="00304132" w:rsidP="00CD5E09">
            <w:pPr>
              <w:ind w:firstLine="98"/>
              <w:rPr>
                <w:rFonts w:eastAsia="SimSun"/>
              </w:rPr>
            </w:pPr>
            <w:r w:rsidRPr="00C07B2E">
              <w:rPr>
                <w:rFonts w:eastAsia="SimSun"/>
              </w:rPr>
              <w:t>Циклофосфамид</w:t>
            </w:r>
          </w:p>
        </w:tc>
        <w:tc>
          <w:tcPr>
            <w:tcW w:w="1417" w:type="dxa"/>
            <w:vAlign w:val="center"/>
          </w:tcPr>
          <w:p w14:paraId="11867EC5" w14:textId="77777777" w:rsidR="00304132" w:rsidRPr="00C07B2E" w:rsidRDefault="00304132" w:rsidP="00CD5E09">
            <w:pPr>
              <w:ind w:firstLine="98"/>
              <w:rPr>
                <w:rFonts w:eastAsia="SimSun"/>
              </w:rPr>
            </w:pPr>
            <w:r w:rsidRPr="00C07B2E">
              <w:rPr>
                <w:rFonts w:eastAsia="SimSun"/>
              </w:rPr>
              <w:t>50 мг/кг</w:t>
            </w:r>
          </w:p>
        </w:tc>
        <w:tc>
          <w:tcPr>
            <w:tcW w:w="1337" w:type="dxa"/>
            <w:vAlign w:val="center"/>
          </w:tcPr>
          <w:p w14:paraId="6FBA1691" w14:textId="77777777" w:rsidR="00304132" w:rsidRPr="00C07B2E" w:rsidRDefault="00304132" w:rsidP="00CD5E09">
            <w:pPr>
              <w:ind w:firstLine="98"/>
              <w:rPr>
                <w:rFonts w:eastAsia="SimSun"/>
              </w:rPr>
            </w:pPr>
            <w:r w:rsidRPr="00C07B2E">
              <w:rPr>
                <w:rFonts w:eastAsia="SimSun"/>
              </w:rPr>
              <w:t>100 мг/кг</w:t>
            </w:r>
          </w:p>
        </w:tc>
        <w:tc>
          <w:tcPr>
            <w:tcW w:w="1701" w:type="dxa"/>
            <w:vAlign w:val="center"/>
          </w:tcPr>
          <w:p w14:paraId="5100B20F" w14:textId="77777777" w:rsidR="00304132" w:rsidRPr="00C07B2E" w:rsidRDefault="00304132" w:rsidP="00CD5E09">
            <w:pPr>
              <w:ind w:firstLine="98"/>
              <w:rPr>
                <w:rFonts w:eastAsia="SimSun"/>
              </w:rPr>
            </w:pPr>
            <w:r w:rsidRPr="00C07B2E">
              <w:rPr>
                <w:rFonts w:eastAsia="SimSun"/>
              </w:rPr>
              <w:t>С +3 дня по +4 день</w:t>
            </w:r>
          </w:p>
        </w:tc>
        <w:tc>
          <w:tcPr>
            <w:tcW w:w="2268" w:type="dxa"/>
            <w:vAlign w:val="center"/>
          </w:tcPr>
          <w:p w14:paraId="22BBCD2E" w14:textId="77777777" w:rsidR="00304132" w:rsidRPr="00C07B2E" w:rsidRDefault="00304132" w:rsidP="00CD5E09">
            <w:pPr>
              <w:ind w:firstLine="98"/>
              <w:rPr>
                <w:rFonts w:eastAsia="SimSun"/>
              </w:rPr>
            </w:pPr>
            <w:r w:rsidRPr="00C07B2E">
              <w:rPr>
                <w:rFonts w:eastAsia="SimSun"/>
              </w:rPr>
              <w:t xml:space="preserve">В/в, в течение 2 ч  </w:t>
            </w:r>
          </w:p>
        </w:tc>
      </w:tr>
    </w:tbl>
    <w:p w14:paraId="3CF31D8B" w14:textId="77777777" w:rsidR="00304132" w:rsidRPr="00C07B2E" w:rsidRDefault="00304132" w:rsidP="00304132">
      <w:pPr>
        <w:rPr>
          <w:rFonts w:eastAsia="SimSun"/>
        </w:rPr>
      </w:pPr>
    </w:p>
    <w:p w14:paraId="55C136CF" w14:textId="77777777" w:rsidR="00304132" w:rsidRPr="00C07B2E" w:rsidRDefault="00304132" w:rsidP="00304132">
      <w:pPr>
        <w:rPr>
          <w:rFonts w:eastAsia="SimSun"/>
        </w:rPr>
      </w:pPr>
      <w:r w:rsidRPr="00C07B2E">
        <w:rPr>
          <w:rFonts w:eastAsia="SimSun"/>
        </w:rPr>
        <w:tab/>
      </w:r>
    </w:p>
    <w:p w14:paraId="706090D1" w14:textId="77777777" w:rsidR="00304132" w:rsidRPr="00C07B2E" w:rsidRDefault="00304132" w:rsidP="00304132">
      <w:pPr>
        <w:rPr>
          <w:rFonts w:eastAsia="SimSun"/>
        </w:rPr>
      </w:pPr>
      <w:bookmarkStart w:id="296" w:name="_Toc44401149"/>
      <w:r w:rsidRPr="00042499">
        <w:rPr>
          <w:rFonts w:eastAsia="SimSun"/>
        </w:rPr>
        <w:t>Таблица</w:t>
      </w:r>
      <w:r w:rsidRPr="00C07B2E">
        <w:rPr>
          <w:rFonts w:eastAsia="SimSun"/>
        </w:rPr>
        <w:t xml:space="preserve"> </w:t>
      </w:r>
      <w:r>
        <w:rPr>
          <w:rFonts w:eastAsia="SimSun"/>
        </w:rPr>
        <w:t>5</w:t>
      </w:r>
      <w:r w:rsidRPr="00C07B2E">
        <w:rPr>
          <w:rFonts w:eastAsia="SimSun"/>
        </w:rPr>
        <w:t>.1.1.6  – Flu180+Bu12 / PT-Cy+Tx+MMF30</w:t>
      </w:r>
      <w:bookmarkEnd w:id="296"/>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843"/>
        <w:gridCol w:w="1417"/>
        <w:gridCol w:w="1418"/>
        <w:gridCol w:w="1701"/>
        <w:gridCol w:w="2268"/>
      </w:tblGrid>
      <w:tr w:rsidR="00304132" w:rsidRPr="00C07B2E" w14:paraId="2EDB3B1E" w14:textId="77777777" w:rsidTr="00CD5E09">
        <w:trPr>
          <w:cantSplit/>
          <w:trHeight w:val="20"/>
          <w:tblHeader/>
        </w:trPr>
        <w:tc>
          <w:tcPr>
            <w:tcW w:w="993" w:type="dxa"/>
            <w:vAlign w:val="center"/>
          </w:tcPr>
          <w:p w14:paraId="43A0982A" w14:textId="77777777" w:rsidR="00304132" w:rsidRPr="00470D3D" w:rsidRDefault="00304132" w:rsidP="00CD5E09">
            <w:pPr>
              <w:rPr>
                <w:rFonts w:eastAsia="SimSun"/>
              </w:rPr>
            </w:pPr>
          </w:p>
        </w:tc>
        <w:tc>
          <w:tcPr>
            <w:tcW w:w="1843" w:type="dxa"/>
            <w:vAlign w:val="center"/>
          </w:tcPr>
          <w:p w14:paraId="02FA4F04" w14:textId="77777777" w:rsidR="00304132" w:rsidRPr="00C07B2E" w:rsidRDefault="00304132" w:rsidP="00CD5E09">
            <w:pPr>
              <w:rPr>
                <w:rFonts w:eastAsia="SimSun"/>
              </w:rPr>
            </w:pPr>
            <w:r w:rsidRPr="00C07B2E">
              <w:rPr>
                <w:rFonts w:eastAsia="SimSun"/>
              </w:rPr>
              <w:t>Препарат</w:t>
            </w:r>
          </w:p>
        </w:tc>
        <w:tc>
          <w:tcPr>
            <w:tcW w:w="1417" w:type="dxa"/>
            <w:vAlign w:val="center"/>
          </w:tcPr>
          <w:p w14:paraId="57B5F211" w14:textId="77777777" w:rsidR="00304132" w:rsidRPr="00C07B2E" w:rsidRDefault="00304132" w:rsidP="00CD5E09">
            <w:pPr>
              <w:rPr>
                <w:rFonts w:eastAsia="SimSun"/>
              </w:rPr>
            </w:pPr>
            <w:r w:rsidRPr="00C07B2E">
              <w:rPr>
                <w:rFonts w:eastAsia="SimSun"/>
              </w:rPr>
              <w:t>Суточная доза</w:t>
            </w:r>
          </w:p>
        </w:tc>
        <w:tc>
          <w:tcPr>
            <w:tcW w:w="1418" w:type="dxa"/>
            <w:vAlign w:val="center"/>
          </w:tcPr>
          <w:p w14:paraId="7A14570F" w14:textId="77777777" w:rsidR="00304132" w:rsidRPr="00C07B2E" w:rsidRDefault="00304132" w:rsidP="00CD5E09">
            <w:pPr>
              <w:rPr>
                <w:rFonts w:eastAsia="SimSun"/>
              </w:rPr>
            </w:pPr>
            <w:r w:rsidRPr="00C07B2E">
              <w:rPr>
                <w:rFonts w:eastAsia="SimSun"/>
              </w:rPr>
              <w:t>Курсовая доза</w:t>
            </w:r>
          </w:p>
        </w:tc>
        <w:tc>
          <w:tcPr>
            <w:tcW w:w="1701" w:type="dxa"/>
            <w:vAlign w:val="center"/>
          </w:tcPr>
          <w:p w14:paraId="795CC5F8" w14:textId="77777777" w:rsidR="00304132" w:rsidRPr="00C07B2E" w:rsidRDefault="00304132" w:rsidP="00CD5E09">
            <w:pPr>
              <w:rPr>
                <w:rFonts w:eastAsia="SimSun"/>
              </w:rPr>
            </w:pPr>
            <w:r w:rsidRPr="00C07B2E">
              <w:rPr>
                <w:rFonts w:eastAsia="SimSun"/>
              </w:rPr>
              <w:t>Дни введения</w:t>
            </w:r>
          </w:p>
        </w:tc>
        <w:tc>
          <w:tcPr>
            <w:tcW w:w="2268" w:type="dxa"/>
            <w:vAlign w:val="center"/>
          </w:tcPr>
          <w:p w14:paraId="7723AE1B" w14:textId="77777777" w:rsidR="00304132" w:rsidRPr="00C07B2E" w:rsidRDefault="00304132" w:rsidP="00CD5E09">
            <w:pPr>
              <w:rPr>
                <w:rFonts w:eastAsia="SimSun"/>
              </w:rPr>
            </w:pPr>
            <w:r w:rsidRPr="00C07B2E">
              <w:rPr>
                <w:rFonts w:eastAsia="SimSun"/>
              </w:rPr>
              <w:t>Порядок введения</w:t>
            </w:r>
          </w:p>
        </w:tc>
      </w:tr>
      <w:tr w:rsidR="00304132" w:rsidRPr="00C07B2E" w14:paraId="593E1FE1" w14:textId="77777777" w:rsidTr="00CD5E09">
        <w:trPr>
          <w:cantSplit/>
          <w:trHeight w:val="20"/>
        </w:trPr>
        <w:tc>
          <w:tcPr>
            <w:tcW w:w="993" w:type="dxa"/>
            <w:vMerge w:val="restart"/>
            <w:textDirection w:val="btLr"/>
            <w:vAlign w:val="center"/>
          </w:tcPr>
          <w:p w14:paraId="2B77CABC" w14:textId="77777777" w:rsidR="00304132" w:rsidRPr="00C07B2E" w:rsidRDefault="00304132" w:rsidP="00CD5E09">
            <w:pPr>
              <w:rPr>
                <w:rFonts w:eastAsia="SimSun"/>
              </w:rPr>
            </w:pPr>
            <w:r w:rsidRPr="00C07B2E">
              <w:rPr>
                <w:rFonts w:eastAsia="SimSun"/>
              </w:rPr>
              <w:t>Кондиционирование</w:t>
            </w:r>
          </w:p>
        </w:tc>
        <w:tc>
          <w:tcPr>
            <w:tcW w:w="1843" w:type="dxa"/>
            <w:vAlign w:val="center"/>
          </w:tcPr>
          <w:p w14:paraId="2DA96A29" w14:textId="77777777" w:rsidR="00304132" w:rsidRPr="00C07B2E" w:rsidRDefault="00304132" w:rsidP="00CD5E09">
            <w:pPr>
              <w:rPr>
                <w:rFonts w:eastAsia="SimSun"/>
              </w:rPr>
            </w:pPr>
            <w:r w:rsidRPr="00C07B2E">
              <w:rPr>
                <w:rFonts w:eastAsia="SimSun"/>
              </w:rPr>
              <w:t xml:space="preserve">Флударабин </w:t>
            </w:r>
          </w:p>
        </w:tc>
        <w:tc>
          <w:tcPr>
            <w:tcW w:w="1417" w:type="dxa"/>
            <w:vAlign w:val="center"/>
          </w:tcPr>
          <w:p w14:paraId="575A74E5" w14:textId="77777777" w:rsidR="00304132" w:rsidRPr="00C07B2E" w:rsidRDefault="00304132" w:rsidP="00CD5E09">
            <w:pPr>
              <w:rPr>
                <w:rFonts w:eastAsia="SimSun"/>
              </w:rPr>
            </w:pPr>
            <w:r w:rsidRPr="00C07B2E">
              <w:rPr>
                <w:rFonts w:eastAsia="SimSun"/>
              </w:rPr>
              <w:t>30 мг/м</w:t>
            </w:r>
            <w:r w:rsidRPr="000F445E">
              <w:rPr>
                <w:rFonts w:eastAsia="SimSun"/>
                <w:vertAlign w:val="superscript"/>
              </w:rPr>
              <w:t>2</w:t>
            </w:r>
          </w:p>
        </w:tc>
        <w:tc>
          <w:tcPr>
            <w:tcW w:w="1418" w:type="dxa"/>
            <w:vAlign w:val="center"/>
          </w:tcPr>
          <w:p w14:paraId="44435267" w14:textId="77777777" w:rsidR="00304132" w:rsidRPr="00C07B2E" w:rsidRDefault="00304132" w:rsidP="00CD5E09">
            <w:pPr>
              <w:rPr>
                <w:rFonts w:eastAsia="SimSun"/>
              </w:rPr>
            </w:pPr>
            <w:r w:rsidRPr="00C07B2E">
              <w:rPr>
                <w:rFonts w:eastAsia="SimSun"/>
              </w:rPr>
              <w:t>180 мг/м</w:t>
            </w:r>
            <w:r w:rsidRPr="000F445E">
              <w:rPr>
                <w:rFonts w:eastAsia="SimSun"/>
                <w:vertAlign w:val="superscript"/>
              </w:rPr>
              <w:t>2</w:t>
            </w:r>
          </w:p>
        </w:tc>
        <w:tc>
          <w:tcPr>
            <w:tcW w:w="1701" w:type="dxa"/>
            <w:vAlign w:val="center"/>
          </w:tcPr>
          <w:p w14:paraId="65BD11C2" w14:textId="77777777" w:rsidR="00304132" w:rsidRPr="00C07B2E" w:rsidRDefault="00304132" w:rsidP="00CD5E09">
            <w:pPr>
              <w:rPr>
                <w:rFonts w:eastAsia="SimSun"/>
              </w:rPr>
            </w:pPr>
            <w:r w:rsidRPr="00C07B2E">
              <w:rPr>
                <w:rFonts w:eastAsia="SimSun"/>
              </w:rPr>
              <w:t>С -7 дня по -2 день</w:t>
            </w:r>
          </w:p>
        </w:tc>
        <w:tc>
          <w:tcPr>
            <w:tcW w:w="2268" w:type="dxa"/>
            <w:vAlign w:val="center"/>
          </w:tcPr>
          <w:p w14:paraId="215F1F3D" w14:textId="77777777" w:rsidR="00304132" w:rsidRPr="00C07B2E" w:rsidRDefault="00304132" w:rsidP="00CD5E09">
            <w:pPr>
              <w:rPr>
                <w:rFonts w:eastAsia="SimSun"/>
              </w:rPr>
            </w:pPr>
            <w:r w:rsidRPr="00C07B2E">
              <w:rPr>
                <w:rFonts w:eastAsia="SimSun"/>
              </w:rPr>
              <w:t>В/в, в течение 30 - 60 мин</w:t>
            </w:r>
          </w:p>
        </w:tc>
      </w:tr>
      <w:tr w:rsidR="00304132" w:rsidRPr="00C07B2E" w14:paraId="4FA292CD" w14:textId="77777777" w:rsidTr="00CD5E09">
        <w:trPr>
          <w:cantSplit/>
          <w:trHeight w:val="1207"/>
        </w:trPr>
        <w:tc>
          <w:tcPr>
            <w:tcW w:w="993" w:type="dxa"/>
            <w:vMerge/>
            <w:vAlign w:val="center"/>
          </w:tcPr>
          <w:p w14:paraId="3F59E7D6" w14:textId="77777777" w:rsidR="00304132" w:rsidRPr="00C07B2E" w:rsidRDefault="00304132" w:rsidP="00CD5E09">
            <w:pPr>
              <w:rPr>
                <w:rFonts w:eastAsia="SimSun"/>
              </w:rPr>
            </w:pPr>
          </w:p>
        </w:tc>
        <w:tc>
          <w:tcPr>
            <w:tcW w:w="1843" w:type="dxa"/>
            <w:vAlign w:val="center"/>
          </w:tcPr>
          <w:p w14:paraId="771FC233" w14:textId="77777777" w:rsidR="00304132" w:rsidRPr="00C07B2E" w:rsidRDefault="00304132" w:rsidP="00CD5E09">
            <w:pPr>
              <w:rPr>
                <w:rFonts w:eastAsia="SimSun"/>
              </w:rPr>
            </w:pPr>
            <w:r w:rsidRPr="00C07B2E">
              <w:rPr>
                <w:rFonts w:eastAsia="SimSun"/>
              </w:rPr>
              <w:t>Бусульфан</w:t>
            </w:r>
          </w:p>
        </w:tc>
        <w:tc>
          <w:tcPr>
            <w:tcW w:w="1417" w:type="dxa"/>
            <w:vAlign w:val="center"/>
          </w:tcPr>
          <w:p w14:paraId="186A06FB" w14:textId="77777777" w:rsidR="00304132" w:rsidRPr="00C07B2E" w:rsidRDefault="00304132" w:rsidP="00CD5E09">
            <w:pPr>
              <w:rPr>
                <w:rFonts w:eastAsia="SimSun"/>
              </w:rPr>
            </w:pPr>
            <w:r w:rsidRPr="00C07B2E">
              <w:rPr>
                <w:rFonts w:eastAsia="SimSun"/>
              </w:rPr>
              <w:t xml:space="preserve">4 мг/кг </w:t>
            </w:r>
          </w:p>
        </w:tc>
        <w:tc>
          <w:tcPr>
            <w:tcW w:w="1418" w:type="dxa"/>
            <w:vAlign w:val="center"/>
          </w:tcPr>
          <w:p w14:paraId="369A86C1" w14:textId="77777777" w:rsidR="00304132" w:rsidRPr="00C07B2E" w:rsidRDefault="00304132" w:rsidP="00CD5E09">
            <w:pPr>
              <w:rPr>
                <w:rFonts w:eastAsia="SimSun"/>
              </w:rPr>
            </w:pPr>
            <w:r w:rsidRPr="00C07B2E">
              <w:rPr>
                <w:rFonts w:eastAsia="SimSun"/>
                <w:lang w:val="en-US"/>
              </w:rPr>
              <w:t>1</w:t>
            </w:r>
            <w:r w:rsidRPr="00C07B2E">
              <w:rPr>
                <w:rFonts w:eastAsia="SimSun"/>
              </w:rPr>
              <w:t xml:space="preserve">2мг/кг </w:t>
            </w:r>
          </w:p>
        </w:tc>
        <w:tc>
          <w:tcPr>
            <w:tcW w:w="1701" w:type="dxa"/>
            <w:vAlign w:val="center"/>
          </w:tcPr>
          <w:p w14:paraId="61305D19" w14:textId="77777777" w:rsidR="00304132" w:rsidRPr="00C07B2E" w:rsidRDefault="00304132" w:rsidP="00CD5E09">
            <w:pPr>
              <w:rPr>
                <w:rFonts w:eastAsia="SimSun"/>
              </w:rPr>
            </w:pPr>
            <w:r w:rsidRPr="00C07B2E">
              <w:rPr>
                <w:rFonts w:eastAsia="SimSun"/>
              </w:rPr>
              <w:t>С -</w:t>
            </w:r>
            <w:r w:rsidRPr="00C07B2E">
              <w:rPr>
                <w:rFonts w:eastAsia="SimSun"/>
                <w:lang w:val="en-US"/>
              </w:rPr>
              <w:t>5</w:t>
            </w:r>
            <w:r w:rsidRPr="00C07B2E">
              <w:rPr>
                <w:rFonts w:eastAsia="SimSun"/>
              </w:rPr>
              <w:t xml:space="preserve"> дня по -3 день</w:t>
            </w:r>
          </w:p>
        </w:tc>
        <w:tc>
          <w:tcPr>
            <w:tcW w:w="2268" w:type="dxa"/>
            <w:vAlign w:val="center"/>
          </w:tcPr>
          <w:p w14:paraId="177070C2" w14:textId="77777777" w:rsidR="00304132" w:rsidRPr="00C07B2E" w:rsidRDefault="00304132" w:rsidP="00CD5E09">
            <w:pPr>
              <w:rPr>
                <w:rFonts w:eastAsia="SimSun"/>
              </w:rPr>
            </w:pPr>
            <w:r w:rsidRPr="00C07B2E">
              <w:rPr>
                <w:rFonts w:eastAsia="SimSun"/>
              </w:rPr>
              <w:t>Внутрь, суммарная суточная доза разделяется на 4 приема с интервалом 6 часов.</w:t>
            </w:r>
          </w:p>
        </w:tc>
      </w:tr>
      <w:tr w:rsidR="00304132" w:rsidRPr="00C07B2E" w14:paraId="753D35D0" w14:textId="77777777" w:rsidTr="00CD5E09">
        <w:trPr>
          <w:cantSplit/>
          <w:trHeight w:val="1498"/>
        </w:trPr>
        <w:tc>
          <w:tcPr>
            <w:tcW w:w="993" w:type="dxa"/>
            <w:vMerge w:val="restart"/>
            <w:textDirection w:val="btLr"/>
            <w:vAlign w:val="center"/>
          </w:tcPr>
          <w:p w14:paraId="2AE69186" w14:textId="77777777" w:rsidR="00304132" w:rsidRPr="00C07B2E" w:rsidRDefault="00304132" w:rsidP="00CD5E09">
            <w:pPr>
              <w:rPr>
                <w:rFonts w:eastAsia="SimSun"/>
              </w:rPr>
            </w:pPr>
            <w:r w:rsidRPr="00C07B2E">
              <w:rPr>
                <w:rFonts w:eastAsia="SimSun"/>
              </w:rPr>
              <w:t>Профилактика РТПХ</w:t>
            </w:r>
          </w:p>
        </w:tc>
        <w:tc>
          <w:tcPr>
            <w:tcW w:w="1843" w:type="dxa"/>
            <w:vAlign w:val="center"/>
          </w:tcPr>
          <w:p w14:paraId="6A698D5B" w14:textId="77777777" w:rsidR="00304132" w:rsidRPr="00C07B2E" w:rsidRDefault="00304132" w:rsidP="00CD5E09">
            <w:pPr>
              <w:rPr>
                <w:rFonts w:eastAsia="SimSun"/>
              </w:rPr>
            </w:pPr>
            <w:r w:rsidRPr="00C07B2E">
              <w:rPr>
                <w:rFonts w:eastAsia="SimSun"/>
              </w:rPr>
              <w:t>Циклофосфамид</w:t>
            </w:r>
          </w:p>
        </w:tc>
        <w:tc>
          <w:tcPr>
            <w:tcW w:w="1417" w:type="dxa"/>
            <w:vAlign w:val="center"/>
          </w:tcPr>
          <w:p w14:paraId="6E60C76E" w14:textId="77777777" w:rsidR="00304132" w:rsidRPr="00C07B2E" w:rsidRDefault="00304132" w:rsidP="00CD5E09">
            <w:pPr>
              <w:rPr>
                <w:rFonts w:eastAsia="SimSun"/>
              </w:rPr>
            </w:pPr>
            <w:r w:rsidRPr="00C07B2E">
              <w:rPr>
                <w:rFonts w:eastAsia="SimSun"/>
              </w:rPr>
              <w:t>50 мг/кг</w:t>
            </w:r>
          </w:p>
        </w:tc>
        <w:tc>
          <w:tcPr>
            <w:tcW w:w="1418" w:type="dxa"/>
            <w:vAlign w:val="center"/>
          </w:tcPr>
          <w:p w14:paraId="11CFABF8" w14:textId="77777777" w:rsidR="00304132" w:rsidRPr="00C07B2E" w:rsidRDefault="00304132" w:rsidP="00CD5E09">
            <w:pPr>
              <w:rPr>
                <w:rFonts w:eastAsia="SimSun"/>
              </w:rPr>
            </w:pPr>
            <w:r w:rsidRPr="00C07B2E">
              <w:rPr>
                <w:rFonts w:eastAsia="SimSun"/>
              </w:rPr>
              <w:t>100 мг/кг</w:t>
            </w:r>
          </w:p>
        </w:tc>
        <w:tc>
          <w:tcPr>
            <w:tcW w:w="1701" w:type="dxa"/>
            <w:vAlign w:val="center"/>
          </w:tcPr>
          <w:p w14:paraId="6704F6DF" w14:textId="77777777" w:rsidR="00304132" w:rsidRPr="00C07B2E" w:rsidRDefault="00304132" w:rsidP="00CD5E09">
            <w:pPr>
              <w:rPr>
                <w:rFonts w:eastAsia="SimSun"/>
              </w:rPr>
            </w:pPr>
            <w:r w:rsidRPr="00C07B2E">
              <w:rPr>
                <w:rFonts w:eastAsia="SimSun"/>
              </w:rPr>
              <w:t>С +3 дня по +4 день</w:t>
            </w:r>
          </w:p>
        </w:tc>
        <w:tc>
          <w:tcPr>
            <w:tcW w:w="2268" w:type="dxa"/>
            <w:vAlign w:val="center"/>
          </w:tcPr>
          <w:p w14:paraId="447FC88A" w14:textId="77777777" w:rsidR="00304132" w:rsidRPr="00C07B2E" w:rsidRDefault="00304132" w:rsidP="00CD5E09">
            <w:pPr>
              <w:rPr>
                <w:rFonts w:eastAsia="SimSun"/>
              </w:rPr>
            </w:pPr>
            <w:r w:rsidRPr="00C07B2E">
              <w:rPr>
                <w:rFonts w:eastAsia="SimSun"/>
              </w:rPr>
              <w:t xml:space="preserve">В/в, в течение 2 ч  </w:t>
            </w:r>
          </w:p>
        </w:tc>
      </w:tr>
      <w:tr w:rsidR="00304132" w:rsidRPr="00C07B2E" w14:paraId="1609A3D6" w14:textId="77777777" w:rsidTr="00CD5E09">
        <w:trPr>
          <w:cantSplit/>
          <w:trHeight w:val="958"/>
        </w:trPr>
        <w:tc>
          <w:tcPr>
            <w:tcW w:w="993" w:type="dxa"/>
            <w:vMerge/>
            <w:textDirection w:val="btLr"/>
            <w:vAlign w:val="center"/>
          </w:tcPr>
          <w:p w14:paraId="48466B0B" w14:textId="77777777" w:rsidR="00304132" w:rsidRPr="00C07B2E" w:rsidRDefault="00304132" w:rsidP="00CD5E09">
            <w:pPr>
              <w:rPr>
                <w:rFonts w:eastAsia="SimSun"/>
              </w:rPr>
            </w:pPr>
          </w:p>
        </w:tc>
        <w:tc>
          <w:tcPr>
            <w:tcW w:w="1843" w:type="dxa"/>
            <w:vAlign w:val="center"/>
          </w:tcPr>
          <w:p w14:paraId="50854FD9" w14:textId="77777777" w:rsidR="00304132" w:rsidRPr="00C07B2E" w:rsidRDefault="00304132" w:rsidP="00CD5E09">
            <w:pPr>
              <w:rPr>
                <w:rFonts w:eastAsia="SimSun"/>
              </w:rPr>
            </w:pPr>
            <w:r w:rsidRPr="00C07B2E">
              <w:rPr>
                <w:rFonts w:eastAsia="SimSun"/>
              </w:rPr>
              <w:t xml:space="preserve">Такролимус </w:t>
            </w:r>
          </w:p>
        </w:tc>
        <w:tc>
          <w:tcPr>
            <w:tcW w:w="1417" w:type="dxa"/>
            <w:vAlign w:val="center"/>
          </w:tcPr>
          <w:p w14:paraId="25552348" w14:textId="77777777" w:rsidR="00304132" w:rsidRPr="00C07B2E" w:rsidRDefault="00304132" w:rsidP="00CD5E09">
            <w:pPr>
              <w:rPr>
                <w:rFonts w:eastAsia="SimSun"/>
              </w:rPr>
            </w:pPr>
            <w:r w:rsidRPr="00C07B2E">
              <w:rPr>
                <w:rFonts w:eastAsia="SimSun"/>
              </w:rPr>
              <w:t>0,03 мг/кг</w:t>
            </w:r>
          </w:p>
        </w:tc>
        <w:tc>
          <w:tcPr>
            <w:tcW w:w="1418" w:type="dxa"/>
            <w:vAlign w:val="center"/>
          </w:tcPr>
          <w:p w14:paraId="4E3746C4" w14:textId="77777777" w:rsidR="00304132" w:rsidRPr="00C07B2E" w:rsidRDefault="00304132" w:rsidP="00CD5E09">
            <w:pPr>
              <w:rPr>
                <w:rFonts w:eastAsia="SimSun"/>
              </w:rPr>
            </w:pPr>
            <w:r w:rsidRPr="00C07B2E">
              <w:rPr>
                <w:rFonts w:eastAsia="SimSun"/>
                <w:lang w:val="en-US"/>
              </w:rPr>
              <w:t>–</w:t>
            </w:r>
          </w:p>
        </w:tc>
        <w:tc>
          <w:tcPr>
            <w:tcW w:w="1701" w:type="dxa"/>
            <w:vAlign w:val="center"/>
          </w:tcPr>
          <w:p w14:paraId="39A29D3A" w14:textId="77777777" w:rsidR="00304132" w:rsidRPr="00C07B2E" w:rsidRDefault="00304132" w:rsidP="00CD5E09">
            <w:pPr>
              <w:rPr>
                <w:rFonts w:eastAsia="SimSun"/>
              </w:rPr>
            </w:pPr>
            <w:r w:rsidRPr="00C07B2E">
              <w:rPr>
                <w:rFonts w:eastAsia="SimSun"/>
              </w:rPr>
              <w:t xml:space="preserve">С +5 дня длительно </w:t>
            </w:r>
          </w:p>
        </w:tc>
        <w:tc>
          <w:tcPr>
            <w:tcW w:w="2268" w:type="dxa"/>
            <w:vAlign w:val="center"/>
          </w:tcPr>
          <w:p w14:paraId="2E76939C" w14:textId="77777777" w:rsidR="00304132" w:rsidRPr="000F445E" w:rsidRDefault="00304132" w:rsidP="00CD5E09">
            <w:pPr>
              <w:rPr>
                <w:rFonts w:eastAsia="SimSun"/>
              </w:rPr>
            </w:pPr>
            <w:r w:rsidRPr="00C07B2E">
              <w:rPr>
                <w:rFonts w:eastAsia="SimSun"/>
              </w:rPr>
              <w:t xml:space="preserve">В/в инфузия в течение 24 ч с последующей коррекцией суточной дозы по концентрации. </w:t>
            </w:r>
            <w:r w:rsidRPr="000F445E">
              <w:rPr>
                <w:rFonts w:eastAsia="SimSun"/>
              </w:rPr>
              <w:t>Перевод на прием внутрь при условии восстановления лейкоцитов &gt; 1</w:t>
            </w:r>
            <w:r>
              <w:rPr>
                <w:rFonts w:eastAsia="SimSun"/>
              </w:rPr>
              <w:t xml:space="preserve">х </w:t>
            </w:r>
            <w:r w:rsidRPr="000F445E">
              <w:rPr>
                <w:rFonts w:eastAsia="SimSun"/>
              </w:rPr>
              <w:t>10</w:t>
            </w:r>
            <w:r w:rsidRPr="000F445E">
              <w:rPr>
                <w:rFonts w:eastAsia="SimSun"/>
                <w:vertAlign w:val="superscript"/>
              </w:rPr>
              <w:t>9</w:t>
            </w:r>
            <w:r w:rsidRPr="000F445E">
              <w:rPr>
                <w:rFonts w:eastAsia="SimSun"/>
              </w:rPr>
              <w:t xml:space="preserve">/л, при отсутствии тошноты, рвоты, диареи и возможности приема внутрь. Концентрация </w:t>
            </w:r>
            <w:r w:rsidRPr="00C07B2E">
              <w:rPr>
                <w:rFonts w:eastAsia="SimSun"/>
              </w:rPr>
              <w:t>Tx</w:t>
            </w:r>
            <w:r w:rsidRPr="000F445E">
              <w:rPr>
                <w:rFonts w:eastAsia="SimSun"/>
              </w:rPr>
              <w:t xml:space="preserve"> 5-15 нг/мл.   </w:t>
            </w:r>
          </w:p>
        </w:tc>
      </w:tr>
      <w:tr w:rsidR="00304132" w:rsidRPr="00C07B2E" w14:paraId="51849E8C" w14:textId="77777777" w:rsidTr="00CD5E09">
        <w:trPr>
          <w:cantSplit/>
          <w:trHeight w:val="1861"/>
        </w:trPr>
        <w:tc>
          <w:tcPr>
            <w:tcW w:w="993" w:type="dxa"/>
            <w:vMerge/>
            <w:textDirection w:val="btLr"/>
            <w:vAlign w:val="center"/>
          </w:tcPr>
          <w:p w14:paraId="0ADF0C42" w14:textId="77777777" w:rsidR="00304132" w:rsidRPr="000F445E" w:rsidRDefault="00304132" w:rsidP="00CD5E09">
            <w:pPr>
              <w:rPr>
                <w:rFonts w:eastAsia="SimSun"/>
              </w:rPr>
            </w:pPr>
          </w:p>
        </w:tc>
        <w:tc>
          <w:tcPr>
            <w:tcW w:w="1843" w:type="dxa"/>
            <w:vAlign w:val="center"/>
          </w:tcPr>
          <w:p w14:paraId="29E5E657" w14:textId="77777777" w:rsidR="00304132" w:rsidRPr="00C07B2E" w:rsidRDefault="00304132" w:rsidP="00CD5E09">
            <w:pPr>
              <w:rPr>
                <w:rFonts w:eastAsia="SimSun"/>
              </w:rPr>
            </w:pPr>
            <w:r w:rsidRPr="00C07B2E">
              <w:rPr>
                <w:rFonts w:eastAsia="SimSun"/>
              </w:rPr>
              <w:t>Микофенолата мофетил</w:t>
            </w:r>
          </w:p>
        </w:tc>
        <w:tc>
          <w:tcPr>
            <w:tcW w:w="1417" w:type="dxa"/>
            <w:vAlign w:val="center"/>
          </w:tcPr>
          <w:p w14:paraId="73C27171" w14:textId="77777777" w:rsidR="00304132" w:rsidRPr="00C07B2E" w:rsidRDefault="00304132" w:rsidP="00CD5E09">
            <w:pPr>
              <w:rPr>
                <w:rFonts w:eastAsia="SimSun"/>
              </w:rPr>
            </w:pPr>
            <w:r w:rsidRPr="00C07B2E">
              <w:rPr>
                <w:rFonts w:eastAsia="SimSun"/>
              </w:rPr>
              <w:t xml:space="preserve">30 мг/кг </w:t>
            </w:r>
          </w:p>
        </w:tc>
        <w:tc>
          <w:tcPr>
            <w:tcW w:w="1418" w:type="dxa"/>
            <w:vAlign w:val="center"/>
          </w:tcPr>
          <w:p w14:paraId="0586F417" w14:textId="77777777" w:rsidR="00304132" w:rsidRPr="00C07B2E" w:rsidRDefault="00304132" w:rsidP="00CD5E09">
            <w:pPr>
              <w:rPr>
                <w:rFonts w:eastAsia="SimSun"/>
              </w:rPr>
            </w:pPr>
            <w:r w:rsidRPr="00C07B2E">
              <w:rPr>
                <w:rFonts w:eastAsia="SimSun"/>
              </w:rPr>
              <w:t>–</w:t>
            </w:r>
          </w:p>
        </w:tc>
        <w:tc>
          <w:tcPr>
            <w:tcW w:w="1701" w:type="dxa"/>
            <w:vAlign w:val="center"/>
          </w:tcPr>
          <w:p w14:paraId="254EC989" w14:textId="77777777" w:rsidR="00304132" w:rsidRPr="00C07B2E" w:rsidRDefault="00304132" w:rsidP="00CD5E09">
            <w:pPr>
              <w:rPr>
                <w:rFonts w:eastAsia="SimSun"/>
              </w:rPr>
            </w:pPr>
            <w:r w:rsidRPr="00C07B2E">
              <w:rPr>
                <w:rFonts w:eastAsia="SimSun"/>
              </w:rPr>
              <w:t xml:space="preserve">С +5 дня по +35 день </w:t>
            </w:r>
          </w:p>
        </w:tc>
        <w:tc>
          <w:tcPr>
            <w:tcW w:w="2268" w:type="dxa"/>
            <w:vAlign w:val="center"/>
          </w:tcPr>
          <w:p w14:paraId="5A964291" w14:textId="77777777" w:rsidR="00304132" w:rsidRPr="00C07B2E" w:rsidRDefault="00304132" w:rsidP="00CD5E09">
            <w:pPr>
              <w:rPr>
                <w:rFonts w:eastAsia="SimSun"/>
              </w:rPr>
            </w:pPr>
            <w:r w:rsidRPr="00C07B2E">
              <w:rPr>
                <w:rFonts w:eastAsia="SimSun"/>
              </w:rPr>
              <w:t>Внутрь, суммарная суточная доза разделяется на 2- 4 приема (не более 3г/сут).</w:t>
            </w:r>
          </w:p>
        </w:tc>
      </w:tr>
    </w:tbl>
    <w:p w14:paraId="67C353F2" w14:textId="77777777" w:rsidR="00304132" w:rsidRPr="00C07B2E" w:rsidRDefault="00304132" w:rsidP="00304132">
      <w:pPr>
        <w:rPr>
          <w:rFonts w:eastAsia="SimSun"/>
        </w:rPr>
      </w:pPr>
    </w:p>
    <w:p w14:paraId="4B786B1E" w14:textId="77777777" w:rsidR="00304132" w:rsidRPr="00C07B2E" w:rsidRDefault="00304132" w:rsidP="00304132">
      <w:pPr>
        <w:rPr>
          <w:rFonts w:eastAsia="SimSun"/>
        </w:rPr>
      </w:pPr>
      <w:bookmarkStart w:id="297" w:name="_Toc44401150"/>
      <w:r w:rsidRPr="00042499">
        <w:rPr>
          <w:rFonts w:eastAsia="SimSun"/>
        </w:rPr>
        <w:t>Таблица</w:t>
      </w:r>
      <w:r w:rsidRPr="00C07B2E">
        <w:rPr>
          <w:rFonts w:eastAsia="SimSun"/>
        </w:rPr>
        <w:t xml:space="preserve"> </w:t>
      </w:r>
      <w:r>
        <w:rPr>
          <w:rFonts w:eastAsia="SimSun"/>
        </w:rPr>
        <w:t>5</w:t>
      </w:r>
      <w:r w:rsidRPr="00C07B2E">
        <w:rPr>
          <w:rFonts w:eastAsia="SimSun"/>
        </w:rPr>
        <w:t>.1.1.7  – Flu180+Bu12 / PT-Cy+CSA+MMF30</w:t>
      </w:r>
      <w:bookmarkEnd w:id="29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95"/>
        <w:gridCol w:w="1921"/>
        <w:gridCol w:w="1305"/>
        <w:gridCol w:w="1400"/>
        <w:gridCol w:w="1653"/>
        <w:gridCol w:w="2172"/>
      </w:tblGrid>
      <w:tr w:rsidR="00304132" w:rsidRPr="00C07B2E" w14:paraId="10E4F89D" w14:textId="77777777" w:rsidTr="00CD5E09">
        <w:trPr>
          <w:cantSplit/>
          <w:trHeight w:val="20"/>
          <w:tblHeader/>
        </w:trPr>
        <w:tc>
          <w:tcPr>
            <w:tcW w:w="484" w:type="pct"/>
            <w:vAlign w:val="center"/>
          </w:tcPr>
          <w:p w14:paraId="65B22F91" w14:textId="77777777" w:rsidR="00304132" w:rsidRPr="00470D3D" w:rsidRDefault="00304132" w:rsidP="00CD5E09">
            <w:pPr>
              <w:rPr>
                <w:rFonts w:eastAsia="SimSun"/>
              </w:rPr>
            </w:pPr>
          </w:p>
        </w:tc>
        <w:tc>
          <w:tcPr>
            <w:tcW w:w="1003" w:type="pct"/>
            <w:vAlign w:val="center"/>
          </w:tcPr>
          <w:p w14:paraId="7FD7CD6D" w14:textId="77777777" w:rsidR="00304132" w:rsidRPr="00C07B2E" w:rsidRDefault="00304132" w:rsidP="00CD5E09">
            <w:pPr>
              <w:rPr>
                <w:rFonts w:eastAsia="SimSun"/>
              </w:rPr>
            </w:pPr>
            <w:r w:rsidRPr="00C07B2E">
              <w:rPr>
                <w:rFonts w:eastAsia="SimSun"/>
              </w:rPr>
              <w:t>Препарат</w:t>
            </w:r>
          </w:p>
        </w:tc>
        <w:tc>
          <w:tcPr>
            <w:tcW w:w="703" w:type="pct"/>
            <w:vAlign w:val="center"/>
          </w:tcPr>
          <w:p w14:paraId="14F0C330" w14:textId="77777777" w:rsidR="00304132" w:rsidRPr="00C07B2E" w:rsidRDefault="00304132" w:rsidP="00CD5E09">
            <w:pPr>
              <w:rPr>
                <w:rFonts w:eastAsia="SimSun"/>
              </w:rPr>
            </w:pPr>
            <w:r w:rsidRPr="00C07B2E">
              <w:rPr>
                <w:rFonts w:eastAsia="SimSun"/>
              </w:rPr>
              <w:t>Суточная доза</w:t>
            </w:r>
          </w:p>
        </w:tc>
        <w:tc>
          <w:tcPr>
            <w:tcW w:w="754" w:type="pct"/>
            <w:vAlign w:val="center"/>
          </w:tcPr>
          <w:p w14:paraId="737CD430" w14:textId="77777777" w:rsidR="00304132" w:rsidRPr="00C07B2E" w:rsidRDefault="00304132" w:rsidP="00CD5E09">
            <w:pPr>
              <w:rPr>
                <w:rFonts w:eastAsia="SimSun"/>
              </w:rPr>
            </w:pPr>
            <w:r w:rsidRPr="00C07B2E">
              <w:rPr>
                <w:rFonts w:eastAsia="SimSun"/>
              </w:rPr>
              <w:t>Курсовая доза</w:t>
            </w:r>
          </w:p>
        </w:tc>
        <w:tc>
          <w:tcPr>
            <w:tcW w:w="889" w:type="pct"/>
            <w:vAlign w:val="center"/>
          </w:tcPr>
          <w:p w14:paraId="16E527C8" w14:textId="77777777" w:rsidR="00304132" w:rsidRPr="00C07B2E" w:rsidRDefault="00304132" w:rsidP="00CD5E09">
            <w:pPr>
              <w:rPr>
                <w:rFonts w:eastAsia="SimSun"/>
              </w:rPr>
            </w:pPr>
            <w:r w:rsidRPr="00C07B2E">
              <w:rPr>
                <w:rFonts w:eastAsia="SimSun"/>
              </w:rPr>
              <w:t>Дни введения</w:t>
            </w:r>
          </w:p>
        </w:tc>
        <w:tc>
          <w:tcPr>
            <w:tcW w:w="1167" w:type="pct"/>
            <w:vAlign w:val="center"/>
          </w:tcPr>
          <w:p w14:paraId="7033DE53" w14:textId="77777777" w:rsidR="00304132" w:rsidRPr="00C07B2E" w:rsidRDefault="00304132" w:rsidP="00CD5E09">
            <w:pPr>
              <w:rPr>
                <w:rFonts w:eastAsia="SimSun"/>
              </w:rPr>
            </w:pPr>
            <w:r w:rsidRPr="00C07B2E">
              <w:rPr>
                <w:rFonts w:eastAsia="SimSun"/>
              </w:rPr>
              <w:t>Порядок введения</w:t>
            </w:r>
          </w:p>
        </w:tc>
      </w:tr>
      <w:tr w:rsidR="00304132" w:rsidRPr="00C07B2E" w14:paraId="3DFB6DB5" w14:textId="77777777" w:rsidTr="00CD5E09">
        <w:trPr>
          <w:cantSplit/>
          <w:trHeight w:val="20"/>
        </w:trPr>
        <w:tc>
          <w:tcPr>
            <w:tcW w:w="484" w:type="pct"/>
            <w:vMerge w:val="restart"/>
            <w:textDirection w:val="btLr"/>
            <w:vAlign w:val="center"/>
          </w:tcPr>
          <w:p w14:paraId="3B224639" w14:textId="77777777" w:rsidR="00304132" w:rsidRPr="00C07B2E" w:rsidRDefault="00304132" w:rsidP="00CD5E09">
            <w:pPr>
              <w:rPr>
                <w:rFonts w:eastAsia="SimSun"/>
              </w:rPr>
            </w:pPr>
            <w:r w:rsidRPr="00C07B2E">
              <w:rPr>
                <w:rFonts w:eastAsia="SimSun"/>
              </w:rPr>
              <w:t>Кондиционирование</w:t>
            </w:r>
          </w:p>
        </w:tc>
        <w:tc>
          <w:tcPr>
            <w:tcW w:w="1003" w:type="pct"/>
            <w:vAlign w:val="center"/>
          </w:tcPr>
          <w:p w14:paraId="2CECD279" w14:textId="77777777" w:rsidR="00304132" w:rsidRPr="00C07B2E" w:rsidRDefault="00304132" w:rsidP="00CD5E09">
            <w:pPr>
              <w:rPr>
                <w:rFonts w:eastAsia="SimSun"/>
              </w:rPr>
            </w:pPr>
            <w:r w:rsidRPr="00C07B2E">
              <w:rPr>
                <w:rFonts w:eastAsia="SimSun"/>
              </w:rPr>
              <w:t xml:space="preserve">Флударабин </w:t>
            </w:r>
          </w:p>
        </w:tc>
        <w:tc>
          <w:tcPr>
            <w:tcW w:w="703" w:type="pct"/>
            <w:vAlign w:val="center"/>
          </w:tcPr>
          <w:p w14:paraId="145336AA" w14:textId="77777777" w:rsidR="00304132" w:rsidRPr="00C07B2E" w:rsidRDefault="00304132" w:rsidP="00CD5E09">
            <w:pPr>
              <w:rPr>
                <w:rFonts w:eastAsia="SimSun"/>
              </w:rPr>
            </w:pPr>
            <w:r w:rsidRPr="00C07B2E">
              <w:rPr>
                <w:rFonts w:eastAsia="SimSun"/>
              </w:rPr>
              <w:t>30 мг/м</w:t>
            </w:r>
            <w:r w:rsidRPr="000F445E">
              <w:rPr>
                <w:rFonts w:eastAsia="SimSun"/>
                <w:vertAlign w:val="superscript"/>
              </w:rPr>
              <w:t>2</w:t>
            </w:r>
          </w:p>
        </w:tc>
        <w:tc>
          <w:tcPr>
            <w:tcW w:w="754" w:type="pct"/>
            <w:vAlign w:val="center"/>
          </w:tcPr>
          <w:p w14:paraId="5764CEE7" w14:textId="77777777" w:rsidR="00304132" w:rsidRPr="00C07B2E" w:rsidRDefault="00304132" w:rsidP="00CD5E09">
            <w:pPr>
              <w:rPr>
                <w:rFonts w:eastAsia="SimSun"/>
              </w:rPr>
            </w:pPr>
            <w:r w:rsidRPr="00C07B2E">
              <w:rPr>
                <w:rFonts w:eastAsia="SimSun"/>
              </w:rPr>
              <w:t>180 мг/м</w:t>
            </w:r>
            <w:r w:rsidRPr="000F445E">
              <w:rPr>
                <w:rFonts w:eastAsia="SimSun"/>
                <w:vertAlign w:val="superscript"/>
              </w:rPr>
              <w:t>2</w:t>
            </w:r>
          </w:p>
        </w:tc>
        <w:tc>
          <w:tcPr>
            <w:tcW w:w="889" w:type="pct"/>
            <w:vAlign w:val="center"/>
          </w:tcPr>
          <w:p w14:paraId="51626822" w14:textId="77777777" w:rsidR="00304132" w:rsidRPr="00C07B2E" w:rsidRDefault="00304132" w:rsidP="00CD5E09">
            <w:pPr>
              <w:rPr>
                <w:rFonts w:eastAsia="SimSun"/>
              </w:rPr>
            </w:pPr>
            <w:r w:rsidRPr="00C07B2E">
              <w:rPr>
                <w:rFonts w:eastAsia="SimSun"/>
              </w:rPr>
              <w:t>С -7 дня по -2 день</w:t>
            </w:r>
          </w:p>
        </w:tc>
        <w:tc>
          <w:tcPr>
            <w:tcW w:w="1167" w:type="pct"/>
            <w:vAlign w:val="center"/>
          </w:tcPr>
          <w:p w14:paraId="4741AFA0" w14:textId="77777777" w:rsidR="00304132" w:rsidRPr="00C07B2E" w:rsidRDefault="00304132" w:rsidP="00CD5E09">
            <w:pPr>
              <w:rPr>
                <w:rFonts w:eastAsia="SimSun"/>
              </w:rPr>
            </w:pPr>
            <w:r w:rsidRPr="00C07B2E">
              <w:rPr>
                <w:rFonts w:eastAsia="SimSun"/>
              </w:rPr>
              <w:t>В/в, в течение 30 - 60 мин</w:t>
            </w:r>
          </w:p>
        </w:tc>
      </w:tr>
      <w:tr w:rsidR="00304132" w:rsidRPr="00C07B2E" w14:paraId="78F97B1D" w14:textId="77777777" w:rsidTr="00CD5E09">
        <w:trPr>
          <w:cantSplit/>
          <w:trHeight w:val="1207"/>
        </w:trPr>
        <w:tc>
          <w:tcPr>
            <w:tcW w:w="484" w:type="pct"/>
            <w:vMerge/>
            <w:vAlign w:val="center"/>
          </w:tcPr>
          <w:p w14:paraId="71AC97C3" w14:textId="77777777" w:rsidR="00304132" w:rsidRPr="00C07B2E" w:rsidRDefault="00304132" w:rsidP="00CD5E09">
            <w:pPr>
              <w:rPr>
                <w:rFonts w:eastAsia="SimSun"/>
              </w:rPr>
            </w:pPr>
          </w:p>
        </w:tc>
        <w:tc>
          <w:tcPr>
            <w:tcW w:w="1003" w:type="pct"/>
            <w:vAlign w:val="center"/>
          </w:tcPr>
          <w:p w14:paraId="0546F9F9" w14:textId="77777777" w:rsidR="00304132" w:rsidRPr="00C07B2E" w:rsidRDefault="00304132" w:rsidP="00CD5E09">
            <w:pPr>
              <w:rPr>
                <w:rFonts w:eastAsia="SimSun"/>
              </w:rPr>
            </w:pPr>
            <w:r w:rsidRPr="00C07B2E">
              <w:rPr>
                <w:rFonts w:eastAsia="SimSun"/>
              </w:rPr>
              <w:t>Бусульфан</w:t>
            </w:r>
          </w:p>
        </w:tc>
        <w:tc>
          <w:tcPr>
            <w:tcW w:w="703" w:type="pct"/>
            <w:vAlign w:val="center"/>
          </w:tcPr>
          <w:p w14:paraId="0EF068C0" w14:textId="77777777" w:rsidR="00304132" w:rsidRPr="00C07B2E" w:rsidRDefault="00304132" w:rsidP="00CD5E09">
            <w:pPr>
              <w:rPr>
                <w:rFonts w:eastAsia="SimSun"/>
              </w:rPr>
            </w:pPr>
            <w:r w:rsidRPr="00C07B2E">
              <w:rPr>
                <w:rFonts w:eastAsia="SimSun"/>
              </w:rPr>
              <w:t xml:space="preserve">4 мг/кг </w:t>
            </w:r>
          </w:p>
        </w:tc>
        <w:tc>
          <w:tcPr>
            <w:tcW w:w="754" w:type="pct"/>
            <w:vAlign w:val="center"/>
          </w:tcPr>
          <w:p w14:paraId="37EF566E" w14:textId="77777777" w:rsidR="00304132" w:rsidRPr="00C07B2E" w:rsidRDefault="00304132" w:rsidP="00CD5E09">
            <w:pPr>
              <w:rPr>
                <w:rFonts w:eastAsia="SimSun"/>
              </w:rPr>
            </w:pPr>
            <w:r w:rsidRPr="00C07B2E">
              <w:rPr>
                <w:rFonts w:eastAsia="SimSun"/>
                <w:lang w:val="en-US"/>
              </w:rPr>
              <w:t>12</w:t>
            </w:r>
            <w:r w:rsidRPr="00C07B2E">
              <w:rPr>
                <w:rFonts w:eastAsia="SimSun"/>
              </w:rPr>
              <w:t xml:space="preserve"> мг/кг </w:t>
            </w:r>
          </w:p>
        </w:tc>
        <w:tc>
          <w:tcPr>
            <w:tcW w:w="889" w:type="pct"/>
            <w:vAlign w:val="center"/>
          </w:tcPr>
          <w:p w14:paraId="73D39B24" w14:textId="77777777" w:rsidR="00304132" w:rsidRPr="00C07B2E" w:rsidRDefault="00304132" w:rsidP="00CD5E09">
            <w:pPr>
              <w:rPr>
                <w:rFonts w:eastAsia="SimSun"/>
              </w:rPr>
            </w:pPr>
            <w:r w:rsidRPr="00C07B2E">
              <w:rPr>
                <w:rFonts w:eastAsia="SimSun"/>
              </w:rPr>
              <w:t>С -</w:t>
            </w:r>
            <w:r w:rsidRPr="00C07B2E">
              <w:rPr>
                <w:rFonts w:eastAsia="SimSun"/>
                <w:lang w:val="en-US"/>
              </w:rPr>
              <w:t>5</w:t>
            </w:r>
            <w:r w:rsidRPr="00C07B2E">
              <w:rPr>
                <w:rFonts w:eastAsia="SimSun"/>
              </w:rPr>
              <w:t xml:space="preserve"> дня по -3 день</w:t>
            </w:r>
          </w:p>
        </w:tc>
        <w:tc>
          <w:tcPr>
            <w:tcW w:w="1167" w:type="pct"/>
            <w:vAlign w:val="center"/>
          </w:tcPr>
          <w:p w14:paraId="17F3A479" w14:textId="77777777" w:rsidR="00304132" w:rsidRPr="00C07B2E" w:rsidRDefault="00304132" w:rsidP="00CD5E09">
            <w:pPr>
              <w:rPr>
                <w:rFonts w:eastAsia="SimSun"/>
              </w:rPr>
            </w:pPr>
            <w:r w:rsidRPr="00C07B2E">
              <w:rPr>
                <w:rFonts w:eastAsia="SimSun"/>
              </w:rPr>
              <w:t>Внутрь, суммарная суточная доза разделяется на 4 приема с интервалом 6 часов.</w:t>
            </w:r>
          </w:p>
        </w:tc>
      </w:tr>
      <w:tr w:rsidR="00304132" w:rsidRPr="00C07B2E" w14:paraId="0647A496" w14:textId="77777777" w:rsidTr="00CD5E09">
        <w:trPr>
          <w:cantSplit/>
          <w:trHeight w:val="1498"/>
        </w:trPr>
        <w:tc>
          <w:tcPr>
            <w:tcW w:w="484" w:type="pct"/>
            <w:vMerge w:val="restart"/>
            <w:textDirection w:val="btLr"/>
            <w:vAlign w:val="center"/>
          </w:tcPr>
          <w:p w14:paraId="15F4FA7A" w14:textId="77777777" w:rsidR="00304132" w:rsidRPr="00C07B2E" w:rsidRDefault="00304132" w:rsidP="00CD5E09">
            <w:pPr>
              <w:rPr>
                <w:rFonts w:eastAsia="SimSun"/>
              </w:rPr>
            </w:pPr>
            <w:r w:rsidRPr="00C07B2E">
              <w:rPr>
                <w:rFonts w:eastAsia="SimSun"/>
              </w:rPr>
              <w:t>Профилактика РТПХ</w:t>
            </w:r>
          </w:p>
        </w:tc>
        <w:tc>
          <w:tcPr>
            <w:tcW w:w="1003" w:type="pct"/>
            <w:vAlign w:val="center"/>
          </w:tcPr>
          <w:p w14:paraId="7239E65F" w14:textId="77777777" w:rsidR="00304132" w:rsidRPr="00C07B2E" w:rsidRDefault="00304132" w:rsidP="00CD5E09">
            <w:pPr>
              <w:rPr>
                <w:rFonts w:eastAsia="SimSun"/>
              </w:rPr>
            </w:pPr>
            <w:r w:rsidRPr="00C07B2E">
              <w:rPr>
                <w:rFonts w:eastAsia="SimSun"/>
              </w:rPr>
              <w:t>Циклофосфамид</w:t>
            </w:r>
          </w:p>
        </w:tc>
        <w:tc>
          <w:tcPr>
            <w:tcW w:w="703" w:type="pct"/>
            <w:vAlign w:val="center"/>
          </w:tcPr>
          <w:p w14:paraId="3247B25D" w14:textId="77777777" w:rsidR="00304132" w:rsidRPr="00C07B2E" w:rsidRDefault="00304132" w:rsidP="00CD5E09">
            <w:pPr>
              <w:rPr>
                <w:rFonts w:eastAsia="SimSun"/>
              </w:rPr>
            </w:pPr>
            <w:r w:rsidRPr="00C07B2E">
              <w:rPr>
                <w:rFonts w:eastAsia="SimSun"/>
              </w:rPr>
              <w:t>50 мг/кг</w:t>
            </w:r>
          </w:p>
        </w:tc>
        <w:tc>
          <w:tcPr>
            <w:tcW w:w="754" w:type="pct"/>
            <w:vAlign w:val="center"/>
          </w:tcPr>
          <w:p w14:paraId="03926A56" w14:textId="77777777" w:rsidR="00304132" w:rsidRPr="00C07B2E" w:rsidRDefault="00304132" w:rsidP="00CD5E09">
            <w:pPr>
              <w:rPr>
                <w:rFonts w:eastAsia="SimSun"/>
              </w:rPr>
            </w:pPr>
            <w:r w:rsidRPr="00C07B2E">
              <w:rPr>
                <w:rFonts w:eastAsia="SimSun"/>
              </w:rPr>
              <w:t>100 мг/кг</w:t>
            </w:r>
          </w:p>
        </w:tc>
        <w:tc>
          <w:tcPr>
            <w:tcW w:w="889" w:type="pct"/>
            <w:vAlign w:val="center"/>
          </w:tcPr>
          <w:p w14:paraId="230622D6" w14:textId="77777777" w:rsidR="00304132" w:rsidRPr="00C07B2E" w:rsidRDefault="00304132" w:rsidP="00CD5E09">
            <w:pPr>
              <w:rPr>
                <w:rFonts w:eastAsia="SimSun"/>
              </w:rPr>
            </w:pPr>
            <w:r w:rsidRPr="00C07B2E">
              <w:rPr>
                <w:rFonts w:eastAsia="SimSun"/>
              </w:rPr>
              <w:t>В +3 день  и +5 день</w:t>
            </w:r>
          </w:p>
        </w:tc>
        <w:tc>
          <w:tcPr>
            <w:tcW w:w="1167" w:type="pct"/>
            <w:vAlign w:val="center"/>
          </w:tcPr>
          <w:p w14:paraId="3D732B0F" w14:textId="77777777" w:rsidR="00304132" w:rsidRPr="00C07B2E" w:rsidRDefault="00304132" w:rsidP="00CD5E09">
            <w:pPr>
              <w:rPr>
                <w:rFonts w:eastAsia="SimSun"/>
              </w:rPr>
            </w:pPr>
            <w:r w:rsidRPr="00C07B2E">
              <w:rPr>
                <w:rFonts w:eastAsia="SimSun"/>
              </w:rPr>
              <w:t xml:space="preserve">В/в, в течение 2 ч  </w:t>
            </w:r>
          </w:p>
        </w:tc>
      </w:tr>
      <w:tr w:rsidR="00304132" w:rsidRPr="00C07B2E" w14:paraId="61995A92" w14:textId="77777777" w:rsidTr="00CD5E09">
        <w:trPr>
          <w:cantSplit/>
          <w:trHeight w:val="958"/>
        </w:trPr>
        <w:tc>
          <w:tcPr>
            <w:tcW w:w="484" w:type="pct"/>
            <w:vMerge/>
            <w:textDirection w:val="btLr"/>
            <w:vAlign w:val="center"/>
          </w:tcPr>
          <w:p w14:paraId="0581C292" w14:textId="77777777" w:rsidR="00304132" w:rsidRPr="00C07B2E" w:rsidRDefault="00304132" w:rsidP="00CD5E09">
            <w:pPr>
              <w:rPr>
                <w:rFonts w:eastAsia="SimSun"/>
              </w:rPr>
            </w:pPr>
          </w:p>
        </w:tc>
        <w:tc>
          <w:tcPr>
            <w:tcW w:w="1003" w:type="pct"/>
            <w:vAlign w:val="center"/>
          </w:tcPr>
          <w:p w14:paraId="5E1217BB" w14:textId="77777777" w:rsidR="00304132" w:rsidRPr="00C07B2E" w:rsidRDefault="00304132" w:rsidP="00CD5E09">
            <w:pPr>
              <w:rPr>
                <w:rFonts w:eastAsia="SimSun"/>
              </w:rPr>
            </w:pPr>
            <w:r w:rsidRPr="00C07B2E">
              <w:rPr>
                <w:rFonts w:eastAsia="SimSun"/>
              </w:rPr>
              <w:t>Микофенолата мофетил</w:t>
            </w:r>
          </w:p>
        </w:tc>
        <w:tc>
          <w:tcPr>
            <w:tcW w:w="703" w:type="pct"/>
            <w:vAlign w:val="center"/>
          </w:tcPr>
          <w:p w14:paraId="77253FB7" w14:textId="77777777" w:rsidR="00304132" w:rsidRPr="00C07B2E" w:rsidRDefault="00304132" w:rsidP="00CD5E09">
            <w:pPr>
              <w:rPr>
                <w:rFonts w:eastAsia="SimSun"/>
              </w:rPr>
            </w:pPr>
            <w:r w:rsidRPr="00C07B2E">
              <w:rPr>
                <w:rFonts w:eastAsia="SimSun"/>
              </w:rPr>
              <w:t xml:space="preserve">30 мг/кг </w:t>
            </w:r>
          </w:p>
        </w:tc>
        <w:tc>
          <w:tcPr>
            <w:tcW w:w="754" w:type="pct"/>
            <w:vAlign w:val="center"/>
          </w:tcPr>
          <w:p w14:paraId="6B0A4710" w14:textId="77777777" w:rsidR="00304132" w:rsidRPr="00C07B2E" w:rsidRDefault="00304132" w:rsidP="00CD5E09">
            <w:pPr>
              <w:rPr>
                <w:rFonts w:eastAsia="SimSun"/>
              </w:rPr>
            </w:pPr>
            <w:r w:rsidRPr="00C07B2E">
              <w:rPr>
                <w:rFonts w:eastAsia="SimSun"/>
              </w:rPr>
              <w:t>–</w:t>
            </w:r>
          </w:p>
        </w:tc>
        <w:tc>
          <w:tcPr>
            <w:tcW w:w="889" w:type="pct"/>
            <w:vAlign w:val="center"/>
          </w:tcPr>
          <w:p w14:paraId="04552D1F" w14:textId="77777777" w:rsidR="00304132" w:rsidRPr="00C07B2E" w:rsidRDefault="00304132" w:rsidP="00CD5E09">
            <w:pPr>
              <w:rPr>
                <w:rFonts w:eastAsia="SimSun"/>
              </w:rPr>
            </w:pPr>
            <w:r w:rsidRPr="00C07B2E">
              <w:rPr>
                <w:rFonts w:eastAsia="SimSun"/>
              </w:rPr>
              <w:t xml:space="preserve">С +1 дня по +28 день </w:t>
            </w:r>
          </w:p>
        </w:tc>
        <w:tc>
          <w:tcPr>
            <w:tcW w:w="1167" w:type="pct"/>
            <w:vAlign w:val="center"/>
          </w:tcPr>
          <w:p w14:paraId="52B0BEED" w14:textId="77777777" w:rsidR="00304132" w:rsidRPr="000F445E" w:rsidRDefault="00304132" w:rsidP="00CD5E09">
            <w:pPr>
              <w:rPr>
                <w:rFonts w:eastAsia="SimSun"/>
              </w:rPr>
            </w:pPr>
            <w:r w:rsidRPr="000F445E">
              <w:rPr>
                <w:rFonts w:eastAsia="SimSun"/>
              </w:rPr>
              <w:t>Внутрь, суммарная суточная доза разделяется на 2- 4 приема (не более 3</w:t>
            </w:r>
            <w:r>
              <w:rPr>
                <w:rFonts w:eastAsia="SimSun"/>
              </w:rPr>
              <w:t xml:space="preserve"> </w:t>
            </w:r>
            <w:r w:rsidRPr="000F445E">
              <w:rPr>
                <w:rFonts w:eastAsia="SimSun"/>
              </w:rPr>
              <w:t>г/сут).</w:t>
            </w:r>
          </w:p>
        </w:tc>
      </w:tr>
      <w:tr w:rsidR="00304132" w:rsidRPr="000F445E" w14:paraId="72B500B4" w14:textId="77777777" w:rsidTr="00CD5E09">
        <w:trPr>
          <w:cantSplit/>
          <w:trHeight w:val="958"/>
        </w:trPr>
        <w:tc>
          <w:tcPr>
            <w:tcW w:w="484" w:type="pct"/>
            <w:vMerge/>
            <w:textDirection w:val="btLr"/>
            <w:vAlign w:val="center"/>
          </w:tcPr>
          <w:p w14:paraId="53347006" w14:textId="77777777" w:rsidR="00304132" w:rsidRPr="000F445E" w:rsidRDefault="00304132" w:rsidP="00CD5E09">
            <w:pPr>
              <w:rPr>
                <w:rFonts w:eastAsia="SimSun"/>
              </w:rPr>
            </w:pPr>
          </w:p>
        </w:tc>
        <w:tc>
          <w:tcPr>
            <w:tcW w:w="1003" w:type="pct"/>
            <w:vAlign w:val="center"/>
          </w:tcPr>
          <w:p w14:paraId="1DBA7FFB" w14:textId="77777777" w:rsidR="00304132" w:rsidRPr="00C07B2E" w:rsidRDefault="00304132" w:rsidP="00CD5E09">
            <w:pPr>
              <w:rPr>
                <w:rFonts w:eastAsia="SimSun"/>
              </w:rPr>
            </w:pPr>
            <w:r w:rsidRPr="00C07B2E">
              <w:rPr>
                <w:rFonts w:eastAsia="SimSun"/>
              </w:rPr>
              <w:t>Циклоспорин А</w:t>
            </w:r>
          </w:p>
        </w:tc>
        <w:tc>
          <w:tcPr>
            <w:tcW w:w="703" w:type="pct"/>
            <w:vAlign w:val="center"/>
          </w:tcPr>
          <w:p w14:paraId="16CC85F2" w14:textId="77777777" w:rsidR="00304132" w:rsidRPr="00C07B2E" w:rsidRDefault="00304132" w:rsidP="00CD5E09">
            <w:pPr>
              <w:rPr>
                <w:rFonts w:eastAsia="SimSun"/>
              </w:rPr>
            </w:pPr>
            <w:r w:rsidRPr="00C07B2E">
              <w:rPr>
                <w:rFonts w:eastAsia="SimSun"/>
              </w:rPr>
              <w:t>3  мг/кг</w:t>
            </w:r>
          </w:p>
        </w:tc>
        <w:tc>
          <w:tcPr>
            <w:tcW w:w="754" w:type="pct"/>
            <w:vAlign w:val="center"/>
          </w:tcPr>
          <w:p w14:paraId="3F3B4C83" w14:textId="77777777" w:rsidR="00304132" w:rsidRPr="00C07B2E" w:rsidRDefault="00304132" w:rsidP="00CD5E09">
            <w:pPr>
              <w:rPr>
                <w:rFonts w:eastAsia="SimSun"/>
              </w:rPr>
            </w:pPr>
            <w:r w:rsidRPr="00C07B2E">
              <w:rPr>
                <w:rFonts w:eastAsia="SimSun"/>
              </w:rPr>
              <w:t>-</w:t>
            </w:r>
          </w:p>
        </w:tc>
        <w:tc>
          <w:tcPr>
            <w:tcW w:w="889" w:type="pct"/>
            <w:vAlign w:val="center"/>
          </w:tcPr>
          <w:p w14:paraId="60F30EE3" w14:textId="77777777" w:rsidR="00304132" w:rsidRPr="00C07B2E" w:rsidRDefault="00304132" w:rsidP="00CD5E09">
            <w:pPr>
              <w:rPr>
                <w:rFonts w:eastAsia="SimSun"/>
              </w:rPr>
            </w:pPr>
            <w:r w:rsidRPr="00C07B2E">
              <w:rPr>
                <w:rFonts w:eastAsia="SimSun"/>
              </w:rPr>
              <w:t xml:space="preserve">С -1 дня по +100 день </w:t>
            </w:r>
          </w:p>
        </w:tc>
        <w:tc>
          <w:tcPr>
            <w:tcW w:w="1167" w:type="pct"/>
            <w:vAlign w:val="center"/>
          </w:tcPr>
          <w:p w14:paraId="678EF760" w14:textId="77777777" w:rsidR="00304132" w:rsidRPr="000F445E" w:rsidRDefault="00304132" w:rsidP="00CD5E09">
            <w:pPr>
              <w:rPr>
                <w:rFonts w:eastAsia="SimSun"/>
              </w:rPr>
            </w:pPr>
            <w:r w:rsidRPr="00C07B2E">
              <w:rPr>
                <w:rFonts w:eastAsia="SimSun"/>
              </w:rPr>
              <w:t xml:space="preserve">В/в, 5-часовая инфузия 2 раза/сут. </w:t>
            </w:r>
            <w:r w:rsidRPr="000F445E">
              <w:rPr>
                <w:rFonts w:eastAsia="SimSun"/>
              </w:rPr>
              <w:t>Перевод на прием внутрь при условии восстановления лейкоцитов &gt; 1</w:t>
            </w:r>
            <w:r>
              <w:rPr>
                <w:rFonts w:eastAsia="SimSun"/>
              </w:rPr>
              <w:t xml:space="preserve"> х </w:t>
            </w:r>
            <w:r w:rsidRPr="000F445E">
              <w:rPr>
                <w:rFonts w:eastAsia="SimSun"/>
              </w:rPr>
              <w:t>10</w:t>
            </w:r>
            <w:r w:rsidRPr="000F445E">
              <w:rPr>
                <w:rFonts w:eastAsia="SimSun"/>
                <w:vertAlign w:val="superscript"/>
              </w:rPr>
              <w:t>9</w:t>
            </w:r>
            <w:r w:rsidRPr="000F445E">
              <w:rPr>
                <w:rFonts w:eastAsia="SimSun"/>
              </w:rPr>
              <w:t>/л, при отсутствии тошноты, рвоты, диареи и возможности приема внутрь. Концентрация 150-350</w:t>
            </w:r>
            <w:r>
              <w:rPr>
                <w:rFonts w:eastAsia="SimSun"/>
              </w:rPr>
              <w:t xml:space="preserve"> </w:t>
            </w:r>
            <w:r w:rsidRPr="000F445E">
              <w:rPr>
                <w:rFonts w:eastAsia="SimSun"/>
              </w:rPr>
              <w:t>пг/мл.</w:t>
            </w:r>
          </w:p>
        </w:tc>
      </w:tr>
    </w:tbl>
    <w:p w14:paraId="24E8E9A3" w14:textId="77777777" w:rsidR="00304132" w:rsidRPr="00C07B2E" w:rsidRDefault="00304132" w:rsidP="00304132">
      <w:pPr>
        <w:rPr>
          <w:rFonts w:eastAsia="SimSun"/>
        </w:rPr>
      </w:pPr>
    </w:p>
    <w:p w14:paraId="1657C997" w14:textId="77777777" w:rsidR="00304132" w:rsidRPr="00C07B2E" w:rsidRDefault="00304132" w:rsidP="00304132">
      <w:pPr>
        <w:rPr>
          <w:rFonts w:eastAsia="SimSun"/>
        </w:rPr>
      </w:pPr>
      <w:bookmarkStart w:id="298" w:name="_Toc44401151"/>
      <w:r w:rsidRPr="00042499">
        <w:rPr>
          <w:rFonts w:eastAsia="SimSun"/>
        </w:rPr>
        <w:t>Таблица</w:t>
      </w:r>
      <w:r w:rsidRPr="00C07B2E">
        <w:rPr>
          <w:rFonts w:eastAsia="SimSun"/>
        </w:rPr>
        <w:t xml:space="preserve"> </w:t>
      </w:r>
      <w:r>
        <w:rPr>
          <w:rFonts w:eastAsia="SimSun"/>
        </w:rPr>
        <w:t>5</w:t>
      </w:r>
      <w:r w:rsidRPr="00C07B2E">
        <w:rPr>
          <w:rFonts w:eastAsia="SimSun"/>
        </w:rPr>
        <w:t>.1.1.8  – Flu180+Bu14 / PT-Cy</w:t>
      </w:r>
      <w:bookmarkEnd w:id="298"/>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809"/>
        <w:gridCol w:w="1417"/>
        <w:gridCol w:w="1418"/>
        <w:gridCol w:w="1701"/>
        <w:gridCol w:w="2268"/>
      </w:tblGrid>
      <w:tr w:rsidR="00304132" w:rsidRPr="00C07B2E" w14:paraId="35D423ED" w14:textId="77777777" w:rsidTr="00CD5E09">
        <w:trPr>
          <w:cantSplit/>
          <w:trHeight w:val="20"/>
          <w:tblHeader/>
        </w:trPr>
        <w:tc>
          <w:tcPr>
            <w:tcW w:w="993" w:type="dxa"/>
            <w:vAlign w:val="center"/>
          </w:tcPr>
          <w:p w14:paraId="40DD623F" w14:textId="77777777" w:rsidR="00304132" w:rsidRPr="00C07B2E" w:rsidRDefault="00304132" w:rsidP="00CD5E09">
            <w:pPr>
              <w:rPr>
                <w:rFonts w:eastAsia="SimSun"/>
              </w:rPr>
            </w:pPr>
          </w:p>
        </w:tc>
        <w:tc>
          <w:tcPr>
            <w:tcW w:w="1809" w:type="dxa"/>
            <w:vAlign w:val="center"/>
          </w:tcPr>
          <w:p w14:paraId="080EF42A" w14:textId="77777777" w:rsidR="00304132" w:rsidRPr="00C07B2E" w:rsidRDefault="00304132" w:rsidP="00CD5E09">
            <w:pPr>
              <w:rPr>
                <w:rFonts w:eastAsia="SimSun"/>
              </w:rPr>
            </w:pPr>
            <w:r w:rsidRPr="00C07B2E">
              <w:rPr>
                <w:rFonts w:eastAsia="SimSun"/>
              </w:rPr>
              <w:t>Препарат</w:t>
            </w:r>
          </w:p>
        </w:tc>
        <w:tc>
          <w:tcPr>
            <w:tcW w:w="1417" w:type="dxa"/>
            <w:vAlign w:val="center"/>
          </w:tcPr>
          <w:p w14:paraId="40B9AA9A" w14:textId="77777777" w:rsidR="00304132" w:rsidRPr="00C07B2E" w:rsidRDefault="00304132" w:rsidP="00CD5E09">
            <w:pPr>
              <w:rPr>
                <w:rFonts w:eastAsia="SimSun"/>
              </w:rPr>
            </w:pPr>
            <w:r w:rsidRPr="00C07B2E">
              <w:rPr>
                <w:rFonts w:eastAsia="SimSun"/>
              </w:rPr>
              <w:t>Суточная доза</w:t>
            </w:r>
          </w:p>
        </w:tc>
        <w:tc>
          <w:tcPr>
            <w:tcW w:w="1418" w:type="dxa"/>
            <w:vAlign w:val="center"/>
          </w:tcPr>
          <w:p w14:paraId="2DD2AA64" w14:textId="77777777" w:rsidR="00304132" w:rsidRPr="00C07B2E" w:rsidRDefault="00304132" w:rsidP="00CD5E09">
            <w:pPr>
              <w:rPr>
                <w:rFonts w:eastAsia="SimSun"/>
              </w:rPr>
            </w:pPr>
            <w:r w:rsidRPr="00C07B2E">
              <w:rPr>
                <w:rFonts w:eastAsia="SimSun"/>
              </w:rPr>
              <w:t>Курсовая доза</w:t>
            </w:r>
          </w:p>
        </w:tc>
        <w:tc>
          <w:tcPr>
            <w:tcW w:w="1701" w:type="dxa"/>
            <w:vAlign w:val="center"/>
          </w:tcPr>
          <w:p w14:paraId="05DF8D02" w14:textId="77777777" w:rsidR="00304132" w:rsidRPr="00C07B2E" w:rsidRDefault="00304132" w:rsidP="00CD5E09">
            <w:pPr>
              <w:rPr>
                <w:rFonts w:eastAsia="SimSun"/>
              </w:rPr>
            </w:pPr>
            <w:r w:rsidRPr="00C07B2E">
              <w:rPr>
                <w:rFonts w:eastAsia="SimSun"/>
              </w:rPr>
              <w:t>Дни введения</w:t>
            </w:r>
          </w:p>
        </w:tc>
        <w:tc>
          <w:tcPr>
            <w:tcW w:w="2268" w:type="dxa"/>
            <w:vAlign w:val="center"/>
          </w:tcPr>
          <w:p w14:paraId="6C312E8F" w14:textId="77777777" w:rsidR="00304132" w:rsidRPr="00C07B2E" w:rsidRDefault="00304132" w:rsidP="00CD5E09">
            <w:pPr>
              <w:rPr>
                <w:rFonts w:eastAsia="SimSun"/>
              </w:rPr>
            </w:pPr>
            <w:r w:rsidRPr="00C07B2E">
              <w:rPr>
                <w:rFonts w:eastAsia="SimSun"/>
              </w:rPr>
              <w:t>Порядок введения</w:t>
            </w:r>
          </w:p>
        </w:tc>
      </w:tr>
      <w:tr w:rsidR="00304132" w:rsidRPr="00C07B2E" w14:paraId="2CD026D6" w14:textId="77777777" w:rsidTr="00CD5E09">
        <w:trPr>
          <w:cantSplit/>
          <w:trHeight w:val="20"/>
        </w:trPr>
        <w:tc>
          <w:tcPr>
            <w:tcW w:w="993" w:type="dxa"/>
            <w:vMerge w:val="restart"/>
            <w:textDirection w:val="btLr"/>
            <w:vAlign w:val="center"/>
          </w:tcPr>
          <w:p w14:paraId="26731E3B" w14:textId="77777777" w:rsidR="00304132" w:rsidRPr="00C07B2E" w:rsidRDefault="00304132" w:rsidP="00CD5E09">
            <w:pPr>
              <w:rPr>
                <w:rFonts w:eastAsia="SimSun"/>
              </w:rPr>
            </w:pPr>
            <w:r w:rsidRPr="00C07B2E">
              <w:rPr>
                <w:rFonts w:eastAsia="SimSun"/>
              </w:rPr>
              <w:t>Кондиционирование</w:t>
            </w:r>
          </w:p>
        </w:tc>
        <w:tc>
          <w:tcPr>
            <w:tcW w:w="1809" w:type="dxa"/>
            <w:vAlign w:val="center"/>
          </w:tcPr>
          <w:p w14:paraId="295B7CD3" w14:textId="77777777" w:rsidR="00304132" w:rsidRPr="00C07B2E" w:rsidRDefault="00304132" w:rsidP="00CD5E09">
            <w:pPr>
              <w:rPr>
                <w:rFonts w:eastAsia="SimSun"/>
              </w:rPr>
            </w:pPr>
            <w:r w:rsidRPr="00C07B2E">
              <w:rPr>
                <w:rFonts w:eastAsia="SimSun"/>
              </w:rPr>
              <w:t xml:space="preserve">Флударабин </w:t>
            </w:r>
          </w:p>
        </w:tc>
        <w:tc>
          <w:tcPr>
            <w:tcW w:w="1417" w:type="dxa"/>
            <w:vAlign w:val="center"/>
          </w:tcPr>
          <w:p w14:paraId="35D077C1" w14:textId="77777777" w:rsidR="00304132" w:rsidRPr="00C07B2E" w:rsidRDefault="00304132" w:rsidP="00CD5E09">
            <w:pPr>
              <w:rPr>
                <w:rFonts w:eastAsia="SimSun"/>
              </w:rPr>
            </w:pPr>
            <w:r w:rsidRPr="00C07B2E">
              <w:rPr>
                <w:rFonts w:eastAsia="SimSun"/>
              </w:rPr>
              <w:t>30 мг/м</w:t>
            </w:r>
            <w:r w:rsidRPr="000F445E">
              <w:rPr>
                <w:rFonts w:eastAsia="SimSun"/>
                <w:vertAlign w:val="superscript"/>
              </w:rPr>
              <w:t>2</w:t>
            </w:r>
          </w:p>
        </w:tc>
        <w:tc>
          <w:tcPr>
            <w:tcW w:w="1418" w:type="dxa"/>
            <w:vAlign w:val="center"/>
          </w:tcPr>
          <w:p w14:paraId="198EFD6F" w14:textId="77777777" w:rsidR="00304132" w:rsidRPr="00C07B2E" w:rsidRDefault="00304132" w:rsidP="00CD5E09">
            <w:pPr>
              <w:rPr>
                <w:rFonts w:eastAsia="SimSun"/>
              </w:rPr>
            </w:pPr>
            <w:r w:rsidRPr="00C07B2E">
              <w:rPr>
                <w:rFonts w:eastAsia="SimSun"/>
              </w:rPr>
              <w:t>180 мг/м</w:t>
            </w:r>
            <w:r w:rsidRPr="000F445E">
              <w:rPr>
                <w:rFonts w:eastAsia="SimSun"/>
                <w:vertAlign w:val="superscript"/>
              </w:rPr>
              <w:t>2</w:t>
            </w:r>
          </w:p>
        </w:tc>
        <w:tc>
          <w:tcPr>
            <w:tcW w:w="1701" w:type="dxa"/>
            <w:vAlign w:val="center"/>
          </w:tcPr>
          <w:p w14:paraId="1D9D4865" w14:textId="77777777" w:rsidR="00304132" w:rsidRPr="00C07B2E" w:rsidRDefault="00304132" w:rsidP="00CD5E09">
            <w:pPr>
              <w:rPr>
                <w:rFonts w:eastAsia="SimSun"/>
              </w:rPr>
            </w:pPr>
            <w:r w:rsidRPr="00C07B2E">
              <w:rPr>
                <w:rFonts w:eastAsia="SimSun"/>
              </w:rPr>
              <w:t>С -7 дня по -2 день</w:t>
            </w:r>
          </w:p>
        </w:tc>
        <w:tc>
          <w:tcPr>
            <w:tcW w:w="2268" w:type="dxa"/>
            <w:vAlign w:val="center"/>
          </w:tcPr>
          <w:p w14:paraId="35EEFF97" w14:textId="77777777" w:rsidR="00304132" w:rsidRPr="00C07B2E" w:rsidRDefault="00304132" w:rsidP="00CD5E09">
            <w:pPr>
              <w:rPr>
                <w:rFonts w:eastAsia="SimSun"/>
              </w:rPr>
            </w:pPr>
            <w:r w:rsidRPr="00C07B2E">
              <w:rPr>
                <w:rFonts w:eastAsia="SimSun"/>
              </w:rPr>
              <w:t>В/в, в течение 30 - 60 мин</w:t>
            </w:r>
          </w:p>
        </w:tc>
      </w:tr>
      <w:tr w:rsidR="00304132" w:rsidRPr="00C07B2E" w14:paraId="60A4F3A0" w14:textId="77777777" w:rsidTr="00CD5E09">
        <w:trPr>
          <w:cantSplit/>
          <w:trHeight w:val="1207"/>
        </w:trPr>
        <w:tc>
          <w:tcPr>
            <w:tcW w:w="993" w:type="dxa"/>
            <w:vMerge/>
            <w:vAlign w:val="center"/>
          </w:tcPr>
          <w:p w14:paraId="486EB78F" w14:textId="77777777" w:rsidR="00304132" w:rsidRPr="00C07B2E" w:rsidRDefault="00304132" w:rsidP="00CD5E09">
            <w:pPr>
              <w:rPr>
                <w:rFonts w:eastAsia="SimSun"/>
              </w:rPr>
            </w:pPr>
          </w:p>
        </w:tc>
        <w:tc>
          <w:tcPr>
            <w:tcW w:w="1809" w:type="dxa"/>
            <w:vAlign w:val="center"/>
          </w:tcPr>
          <w:p w14:paraId="5A84BE4B" w14:textId="77777777" w:rsidR="00304132" w:rsidRPr="00C07B2E" w:rsidRDefault="00304132" w:rsidP="00CD5E09">
            <w:pPr>
              <w:rPr>
                <w:rFonts w:eastAsia="SimSun"/>
              </w:rPr>
            </w:pPr>
            <w:r w:rsidRPr="00C07B2E">
              <w:rPr>
                <w:rFonts w:eastAsia="SimSun"/>
              </w:rPr>
              <w:t>Бусульфан</w:t>
            </w:r>
          </w:p>
        </w:tc>
        <w:tc>
          <w:tcPr>
            <w:tcW w:w="1417" w:type="dxa"/>
            <w:vAlign w:val="center"/>
          </w:tcPr>
          <w:p w14:paraId="318518D1" w14:textId="77777777" w:rsidR="00304132" w:rsidRPr="00C07B2E" w:rsidRDefault="00304132" w:rsidP="00CD5E09">
            <w:pPr>
              <w:rPr>
                <w:rFonts w:eastAsia="SimSun"/>
              </w:rPr>
            </w:pPr>
            <w:r w:rsidRPr="00C07B2E">
              <w:rPr>
                <w:rFonts w:eastAsia="SimSun"/>
              </w:rPr>
              <w:t xml:space="preserve">4 мг/кг </w:t>
            </w:r>
          </w:p>
        </w:tc>
        <w:tc>
          <w:tcPr>
            <w:tcW w:w="1418" w:type="dxa"/>
            <w:vAlign w:val="center"/>
          </w:tcPr>
          <w:p w14:paraId="5A15CE09" w14:textId="77777777" w:rsidR="00304132" w:rsidRPr="00C07B2E" w:rsidRDefault="00304132" w:rsidP="00CD5E09">
            <w:pPr>
              <w:rPr>
                <w:rFonts w:eastAsia="SimSun"/>
              </w:rPr>
            </w:pPr>
            <w:r w:rsidRPr="00C07B2E">
              <w:rPr>
                <w:rFonts w:eastAsia="SimSun"/>
                <w:lang w:val="en-US"/>
              </w:rPr>
              <w:t>14</w:t>
            </w:r>
            <w:r w:rsidRPr="00C07B2E">
              <w:rPr>
                <w:rFonts w:eastAsia="SimSun"/>
              </w:rPr>
              <w:t xml:space="preserve"> мг/кг </w:t>
            </w:r>
          </w:p>
        </w:tc>
        <w:tc>
          <w:tcPr>
            <w:tcW w:w="1701" w:type="dxa"/>
            <w:vAlign w:val="center"/>
          </w:tcPr>
          <w:p w14:paraId="118E0D62" w14:textId="77777777" w:rsidR="00304132" w:rsidRPr="00C07B2E" w:rsidRDefault="00304132" w:rsidP="00CD5E09">
            <w:pPr>
              <w:rPr>
                <w:rFonts w:eastAsia="SimSun"/>
              </w:rPr>
            </w:pPr>
            <w:r w:rsidRPr="00C07B2E">
              <w:rPr>
                <w:rFonts w:eastAsia="SimSun"/>
              </w:rPr>
              <w:t>С -</w:t>
            </w:r>
            <w:r w:rsidRPr="00C07B2E">
              <w:rPr>
                <w:rFonts w:eastAsia="SimSun"/>
                <w:lang w:val="en-US"/>
              </w:rPr>
              <w:t>6</w:t>
            </w:r>
            <w:r w:rsidRPr="00C07B2E">
              <w:rPr>
                <w:rFonts w:eastAsia="SimSun"/>
              </w:rPr>
              <w:t xml:space="preserve"> дня по -3 день</w:t>
            </w:r>
          </w:p>
        </w:tc>
        <w:tc>
          <w:tcPr>
            <w:tcW w:w="2268" w:type="dxa"/>
            <w:vAlign w:val="center"/>
          </w:tcPr>
          <w:p w14:paraId="11A4217A" w14:textId="77777777" w:rsidR="00304132" w:rsidRPr="00C07B2E" w:rsidRDefault="00304132" w:rsidP="00CD5E09">
            <w:pPr>
              <w:rPr>
                <w:rFonts w:eastAsia="SimSun"/>
              </w:rPr>
            </w:pPr>
            <w:r w:rsidRPr="00C07B2E">
              <w:rPr>
                <w:rFonts w:eastAsia="SimSun"/>
              </w:rPr>
              <w:t>Внутрь, суммарная суточная доза разделяется на 4 приема с интервалом 6 часов. День -6: бусульфан разделяется на 2 приема с интервалом 6 часов, в вечернее время (18.00, 24.00)</w:t>
            </w:r>
          </w:p>
        </w:tc>
      </w:tr>
      <w:tr w:rsidR="00304132" w:rsidRPr="00C07B2E" w14:paraId="0705EE73" w14:textId="77777777" w:rsidTr="00CD5E09">
        <w:trPr>
          <w:cantSplit/>
          <w:trHeight w:val="1498"/>
        </w:trPr>
        <w:tc>
          <w:tcPr>
            <w:tcW w:w="993" w:type="dxa"/>
            <w:textDirection w:val="btLr"/>
            <w:vAlign w:val="center"/>
          </w:tcPr>
          <w:p w14:paraId="332324B5" w14:textId="77777777" w:rsidR="00304132" w:rsidRPr="00C07B2E" w:rsidRDefault="00304132" w:rsidP="00CD5E09">
            <w:pPr>
              <w:rPr>
                <w:rFonts w:eastAsia="SimSun"/>
              </w:rPr>
            </w:pPr>
            <w:r w:rsidRPr="00C07B2E">
              <w:rPr>
                <w:rFonts w:eastAsia="SimSun"/>
              </w:rPr>
              <w:t>Профилактика РТПХ</w:t>
            </w:r>
          </w:p>
        </w:tc>
        <w:tc>
          <w:tcPr>
            <w:tcW w:w="1809" w:type="dxa"/>
            <w:vAlign w:val="center"/>
          </w:tcPr>
          <w:p w14:paraId="6643F697" w14:textId="77777777" w:rsidR="00304132" w:rsidRPr="00C07B2E" w:rsidRDefault="00304132" w:rsidP="00CD5E09">
            <w:pPr>
              <w:rPr>
                <w:rFonts w:eastAsia="SimSun"/>
              </w:rPr>
            </w:pPr>
            <w:r w:rsidRPr="00C07B2E">
              <w:rPr>
                <w:rFonts w:eastAsia="SimSun"/>
              </w:rPr>
              <w:t>Циклофосфамид</w:t>
            </w:r>
          </w:p>
        </w:tc>
        <w:tc>
          <w:tcPr>
            <w:tcW w:w="1417" w:type="dxa"/>
            <w:vAlign w:val="center"/>
          </w:tcPr>
          <w:p w14:paraId="5857D998" w14:textId="77777777" w:rsidR="00304132" w:rsidRPr="00C07B2E" w:rsidRDefault="00304132" w:rsidP="00CD5E09">
            <w:pPr>
              <w:rPr>
                <w:rFonts w:eastAsia="SimSun"/>
              </w:rPr>
            </w:pPr>
            <w:r w:rsidRPr="00C07B2E">
              <w:rPr>
                <w:rFonts w:eastAsia="SimSun"/>
              </w:rPr>
              <w:t>50 мг/кг</w:t>
            </w:r>
          </w:p>
        </w:tc>
        <w:tc>
          <w:tcPr>
            <w:tcW w:w="1418" w:type="dxa"/>
            <w:vAlign w:val="center"/>
          </w:tcPr>
          <w:p w14:paraId="3D4374C9" w14:textId="77777777" w:rsidR="00304132" w:rsidRPr="00C07B2E" w:rsidRDefault="00304132" w:rsidP="00CD5E09">
            <w:pPr>
              <w:rPr>
                <w:rFonts w:eastAsia="SimSun"/>
              </w:rPr>
            </w:pPr>
            <w:r w:rsidRPr="00C07B2E">
              <w:rPr>
                <w:rFonts w:eastAsia="SimSun"/>
              </w:rPr>
              <w:t>100 мг/кг</w:t>
            </w:r>
          </w:p>
        </w:tc>
        <w:tc>
          <w:tcPr>
            <w:tcW w:w="1701" w:type="dxa"/>
            <w:vAlign w:val="center"/>
          </w:tcPr>
          <w:p w14:paraId="5FE41151" w14:textId="77777777" w:rsidR="00304132" w:rsidRPr="00C07B2E" w:rsidRDefault="00304132" w:rsidP="00CD5E09">
            <w:pPr>
              <w:rPr>
                <w:rFonts w:eastAsia="SimSun"/>
              </w:rPr>
            </w:pPr>
            <w:r w:rsidRPr="00C07B2E">
              <w:rPr>
                <w:rFonts w:eastAsia="SimSun"/>
              </w:rPr>
              <w:t>С +3 дня по +4 день</w:t>
            </w:r>
          </w:p>
        </w:tc>
        <w:tc>
          <w:tcPr>
            <w:tcW w:w="2268" w:type="dxa"/>
            <w:vAlign w:val="center"/>
          </w:tcPr>
          <w:p w14:paraId="4B794982" w14:textId="77777777" w:rsidR="00304132" w:rsidRPr="00C07B2E" w:rsidRDefault="00304132" w:rsidP="00CD5E09">
            <w:pPr>
              <w:rPr>
                <w:rFonts w:eastAsia="SimSun"/>
              </w:rPr>
            </w:pPr>
            <w:r w:rsidRPr="00C07B2E">
              <w:rPr>
                <w:rFonts w:eastAsia="SimSun"/>
              </w:rPr>
              <w:t xml:space="preserve">В/в, в течение 2 ч  </w:t>
            </w:r>
          </w:p>
        </w:tc>
      </w:tr>
    </w:tbl>
    <w:p w14:paraId="09996CAD" w14:textId="77777777" w:rsidR="00304132" w:rsidRPr="00C07B2E" w:rsidRDefault="00304132" w:rsidP="00304132">
      <w:pPr>
        <w:rPr>
          <w:rFonts w:eastAsia="SimSun"/>
        </w:rPr>
      </w:pPr>
    </w:p>
    <w:p w14:paraId="5DEAD37B" w14:textId="77777777" w:rsidR="00304132" w:rsidRPr="00C07B2E" w:rsidRDefault="00304132" w:rsidP="00304132">
      <w:pPr>
        <w:rPr>
          <w:rFonts w:eastAsia="SimSun"/>
        </w:rPr>
      </w:pPr>
      <w:bookmarkStart w:id="299" w:name="_Toc44401152"/>
      <w:r w:rsidRPr="00042499">
        <w:rPr>
          <w:rFonts w:eastAsia="SimSun"/>
        </w:rPr>
        <w:t>Таблица</w:t>
      </w:r>
      <w:r w:rsidRPr="00C07B2E">
        <w:rPr>
          <w:rFonts w:eastAsia="SimSun"/>
        </w:rPr>
        <w:t xml:space="preserve"> </w:t>
      </w:r>
      <w:r>
        <w:rPr>
          <w:rFonts w:eastAsia="SimSun"/>
        </w:rPr>
        <w:t>5</w:t>
      </w:r>
      <w:r w:rsidRPr="00C07B2E">
        <w:rPr>
          <w:rFonts w:eastAsia="SimSun"/>
        </w:rPr>
        <w:t>.1.1.9 – Flu180+Bu14 / PT-Cy+Tx+MMF30</w:t>
      </w:r>
      <w:bookmarkEnd w:id="299"/>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809"/>
        <w:gridCol w:w="1417"/>
        <w:gridCol w:w="1418"/>
        <w:gridCol w:w="1701"/>
        <w:gridCol w:w="2268"/>
      </w:tblGrid>
      <w:tr w:rsidR="00304132" w:rsidRPr="00C07B2E" w14:paraId="63782849" w14:textId="77777777" w:rsidTr="00CD5E09">
        <w:trPr>
          <w:cantSplit/>
          <w:trHeight w:val="20"/>
          <w:tblHeader/>
        </w:trPr>
        <w:tc>
          <w:tcPr>
            <w:tcW w:w="993" w:type="dxa"/>
            <w:vAlign w:val="center"/>
          </w:tcPr>
          <w:p w14:paraId="14BFFD16" w14:textId="77777777" w:rsidR="00304132" w:rsidRPr="00470D3D" w:rsidRDefault="00304132" w:rsidP="00CD5E09">
            <w:pPr>
              <w:rPr>
                <w:rFonts w:eastAsia="SimSun"/>
              </w:rPr>
            </w:pPr>
          </w:p>
        </w:tc>
        <w:tc>
          <w:tcPr>
            <w:tcW w:w="1809" w:type="dxa"/>
            <w:vAlign w:val="center"/>
          </w:tcPr>
          <w:p w14:paraId="245D01F2" w14:textId="77777777" w:rsidR="00304132" w:rsidRPr="00C07B2E" w:rsidRDefault="00304132" w:rsidP="00CD5E09">
            <w:pPr>
              <w:rPr>
                <w:rFonts w:eastAsia="SimSun"/>
              </w:rPr>
            </w:pPr>
            <w:r w:rsidRPr="00C07B2E">
              <w:rPr>
                <w:rFonts w:eastAsia="SimSun"/>
              </w:rPr>
              <w:t>Препарат</w:t>
            </w:r>
          </w:p>
        </w:tc>
        <w:tc>
          <w:tcPr>
            <w:tcW w:w="1417" w:type="dxa"/>
            <w:vAlign w:val="center"/>
          </w:tcPr>
          <w:p w14:paraId="1F20694C" w14:textId="77777777" w:rsidR="00304132" w:rsidRPr="00C07B2E" w:rsidRDefault="00304132" w:rsidP="00CD5E09">
            <w:pPr>
              <w:rPr>
                <w:rFonts w:eastAsia="SimSun"/>
              </w:rPr>
            </w:pPr>
            <w:r w:rsidRPr="00C07B2E">
              <w:rPr>
                <w:rFonts w:eastAsia="SimSun"/>
              </w:rPr>
              <w:t>Суточная доза</w:t>
            </w:r>
          </w:p>
        </w:tc>
        <w:tc>
          <w:tcPr>
            <w:tcW w:w="1418" w:type="dxa"/>
            <w:vAlign w:val="center"/>
          </w:tcPr>
          <w:p w14:paraId="39744DEB" w14:textId="77777777" w:rsidR="00304132" w:rsidRPr="00C07B2E" w:rsidRDefault="00304132" w:rsidP="00CD5E09">
            <w:pPr>
              <w:rPr>
                <w:rFonts w:eastAsia="SimSun"/>
              </w:rPr>
            </w:pPr>
            <w:r w:rsidRPr="00C07B2E">
              <w:rPr>
                <w:rFonts w:eastAsia="SimSun"/>
              </w:rPr>
              <w:t>Курсовая доза</w:t>
            </w:r>
          </w:p>
        </w:tc>
        <w:tc>
          <w:tcPr>
            <w:tcW w:w="1701" w:type="dxa"/>
            <w:vAlign w:val="center"/>
          </w:tcPr>
          <w:p w14:paraId="3DDE0AE3" w14:textId="77777777" w:rsidR="00304132" w:rsidRPr="00C07B2E" w:rsidRDefault="00304132" w:rsidP="00CD5E09">
            <w:pPr>
              <w:rPr>
                <w:rFonts w:eastAsia="SimSun"/>
              </w:rPr>
            </w:pPr>
            <w:r w:rsidRPr="00C07B2E">
              <w:rPr>
                <w:rFonts w:eastAsia="SimSun"/>
              </w:rPr>
              <w:t>Дни введения</w:t>
            </w:r>
          </w:p>
        </w:tc>
        <w:tc>
          <w:tcPr>
            <w:tcW w:w="2268" w:type="dxa"/>
            <w:vAlign w:val="center"/>
          </w:tcPr>
          <w:p w14:paraId="0A546A21" w14:textId="77777777" w:rsidR="00304132" w:rsidRPr="00C07B2E" w:rsidRDefault="00304132" w:rsidP="00CD5E09">
            <w:pPr>
              <w:rPr>
                <w:rFonts w:eastAsia="SimSun"/>
              </w:rPr>
            </w:pPr>
            <w:r w:rsidRPr="00C07B2E">
              <w:rPr>
                <w:rFonts w:eastAsia="SimSun"/>
              </w:rPr>
              <w:t>Порядок введения</w:t>
            </w:r>
          </w:p>
        </w:tc>
      </w:tr>
      <w:tr w:rsidR="00304132" w:rsidRPr="00C07B2E" w14:paraId="1B259153" w14:textId="77777777" w:rsidTr="00CD5E09">
        <w:trPr>
          <w:cantSplit/>
          <w:trHeight w:val="20"/>
        </w:trPr>
        <w:tc>
          <w:tcPr>
            <w:tcW w:w="993" w:type="dxa"/>
            <w:vMerge w:val="restart"/>
            <w:textDirection w:val="btLr"/>
            <w:vAlign w:val="center"/>
          </w:tcPr>
          <w:p w14:paraId="13AE707C" w14:textId="77777777" w:rsidR="00304132" w:rsidRPr="00C07B2E" w:rsidRDefault="00304132" w:rsidP="00CD5E09">
            <w:pPr>
              <w:rPr>
                <w:rFonts w:eastAsia="SimSun"/>
              </w:rPr>
            </w:pPr>
            <w:r w:rsidRPr="00C07B2E">
              <w:rPr>
                <w:rFonts w:eastAsia="SimSun"/>
              </w:rPr>
              <w:t>Кондиционирование</w:t>
            </w:r>
          </w:p>
        </w:tc>
        <w:tc>
          <w:tcPr>
            <w:tcW w:w="1809" w:type="dxa"/>
            <w:vAlign w:val="center"/>
          </w:tcPr>
          <w:p w14:paraId="261DF11B" w14:textId="77777777" w:rsidR="00304132" w:rsidRPr="00C07B2E" w:rsidRDefault="00304132" w:rsidP="00CD5E09">
            <w:pPr>
              <w:rPr>
                <w:rFonts w:eastAsia="SimSun"/>
              </w:rPr>
            </w:pPr>
            <w:r w:rsidRPr="00C07B2E">
              <w:rPr>
                <w:rFonts w:eastAsia="SimSun"/>
              </w:rPr>
              <w:t xml:space="preserve">Флударабин </w:t>
            </w:r>
          </w:p>
        </w:tc>
        <w:tc>
          <w:tcPr>
            <w:tcW w:w="1417" w:type="dxa"/>
            <w:vAlign w:val="center"/>
          </w:tcPr>
          <w:p w14:paraId="65B76B27" w14:textId="77777777" w:rsidR="00304132" w:rsidRPr="00C07B2E" w:rsidRDefault="00304132" w:rsidP="00CD5E09">
            <w:pPr>
              <w:rPr>
                <w:rFonts w:eastAsia="SimSun"/>
              </w:rPr>
            </w:pPr>
            <w:r w:rsidRPr="00C07B2E">
              <w:rPr>
                <w:rFonts w:eastAsia="SimSun"/>
              </w:rPr>
              <w:t>30 мг/м</w:t>
            </w:r>
            <w:r w:rsidRPr="000F445E">
              <w:rPr>
                <w:rFonts w:eastAsia="SimSun"/>
                <w:vertAlign w:val="superscript"/>
              </w:rPr>
              <w:t>2</w:t>
            </w:r>
          </w:p>
        </w:tc>
        <w:tc>
          <w:tcPr>
            <w:tcW w:w="1418" w:type="dxa"/>
            <w:vAlign w:val="center"/>
          </w:tcPr>
          <w:p w14:paraId="4896A8E9" w14:textId="77777777" w:rsidR="00304132" w:rsidRPr="00C07B2E" w:rsidRDefault="00304132" w:rsidP="00CD5E09">
            <w:pPr>
              <w:rPr>
                <w:rFonts w:eastAsia="SimSun"/>
              </w:rPr>
            </w:pPr>
            <w:r w:rsidRPr="00C07B2E">
              <w:rPr>
                <w:rFonts w:eastAsia="SimSun"/>
              </w:rPr>
              <w:t>180 мг/м</w:t>
            </w:r>
            <w:r w:rsidRPr="000F445E">
              <w:rPr>
                <w:rFonts w:eastAsia="SimSun"/>
                <w:vertAlign w:val="superscript"/>
              </w:rPr>
              <w:t>2</w:t>
            </w:r>
          </w:p>
        </w:tc>
        <w:tc>
          <w:tcPr>
            <w:tcW w:w="1701" w:type="dxa"/>
            <w:vAlign w:val="center"/>
          </w:tcPr>
          <w:p w14:paraId="56DAC224" w14:textId="77777777" w:rsidR="00304132" w:rsidRPr="00C07B2E" w:rsidRDefault="00304132" w:rsidP="00CD5E09">
            <w:pPr>
              <w:rPr>
                <w:rFonts w:eastAsia="SimSun"/>
              </w:rPr>
            </w:pPr>
            <w:r w:rsidRPr="00C07B2E">
              <w:rPr>
                <w:rFonts w:eastAsia="SimSun"/>
              </w:rPr>
              <w:t>С -7 дня по -2 день</w:t>
            </w:r>
          </w:p>
        </w:tc>
        <w:tc>
          <w:tcPr>
            <w:tcW w:w="2268" w:type="dxa"/>
            <w:vAlign w:val="center"/>
          </w:tcPr>
          <w:p w14:paraId="2156D491" w14:textId="77777777" w:rsidR="00304132" w:rsidRPr="00C07B2E" w:rsidRDefault="00304132" w:rsidP="00CD5E09">
            <w:pPr>
              <w:rPr>
                <w:rFonts w:eastAsia="SimSun"/>
              </w:rPr>
            </w:pPr>
            <w:r w:rsidRPr="00C07B2E">
              <w:rPr>
                <w:rFonts w:eastAsia="SimSun"/>
              </w:rPr>
              <w:t>В/в, в течение 30 - 60 мин</w:t>
            </w:r>
          </w:p>
        </w:tc>
      </w:tr>
      <w:tr w:rsidR="00304132" w:rsidRPr="00C07B2E" w14:paraId="6E35939D" w14:textId="77777777" w:rsidTr="00CD5E09">
        <w:trPr>
          <w:cantSplit/>
          <w:trHeight w:val="1207"/>
        </w:trPr>
        <w:tc>
          <w:tcPr>
            <w:tcW w:w="993" w:type="dxa"/>
            <w:vMerge/>
            <w:vAlign w:val="center"/>
          </w:tcPr>
          <w:p w14:paraId="0B44DE0B" w14:textId="77777777" w:rsidR="00304132" w:rsidRPr="00C07B2E" w:rsidRDefault="00304132" w:rsidP="00CD5E09">
            <w:pPr>
              <w:rPr>
                <w:rFonts w:eastAsia="SimSun"/>
              </w:rPr>
            </w:pPr>
          </w:p>
        </w:tc>
        <w:tc>
          <w:tcPr>
            <w:tcW w:w="1809" w:type="dxa"/>
            <w:vAlign w:val="center"/>
          </w:tcPr>
          <w:p w14:paraId="6C070B02" w14:textId="77777777" w:rsidR="00304132" w:rsidRPr="00C07B2E" w:rsidRDefault="00304132" w:rsidP="00CD5E09">
            <w:pPr>
              <w:rPr>
                <w:rFonts w:eastAsia="SimSun"/>
              </w:rPr>
            </w:pPr>
            <w:r w:rsidRPr="00C07B2E">
              <w:rPr>
                <w:rFonts w:eastAsia="SimSun"/>
              </w:rPr>
              <w:t>Бусульфан</w:t>
            </w:r>
          </w:p>
        </w:tc>
        <w:tc>
          <w:tcPr>
            <w:tcW w:w="1417" w:type="dxa"/>
            <w:vAlign w:val="center"/>
          </w:tcPr>
          <w:p w14:paraId="653E42B6" w14:textId="77777777" w:rsidR="00304132" w:rsidRPr="00C07B2E" w:rsidRDefault="00304132" w:rsidP="00CD5E09">
            <w:pPr>
              <w:rPr>
                <w:rFonts w:eastAsia="SimSun"/>
              </w:rPr>
            </w:pPr>
            <w:r w:rsidRPr="00C07B2E">
              <w:rPr>
                <w:rFonts w:eastAsia="SimSun"/>
              </w:rPr>
              <w:t xml:space="preserve">4 мг/кг </w:t>
            </w:r>
          </w:p>
        </w:tc>
        <w:tc>
          <w:tcPr>
            <w:tcW w:w="1418" w:type="dxa"/>
            <w:vAlign w:val="center"/>
          </w:tcPr>
          <w:p w14:paraId="20922B0B" w14:textId="77777777" w:rsidR="00304132" w:rsidRPr="00C07B2E" w:rsidRDefault="00304132" w:rsidP="00CD5E09">
            <w:pPr>
              <w:rPr>
                <w:rFonts w:eastAsia="SimSun"/>
              </w:rPr>
            </w:pPr>
            <w:r w:rsidRPr="00C07B2E">
              <w:rPr>
                <w:rFonts w:eastAsia="SimSun"/>
                <w:lang w:val="en-US"/>
              </w:rPr>
              <w:t>1</w:t>
            </w:r>
            <w:r w:rsidRPr="00C07B2E">
              <w:rPr>
                <w:rFonts w:eastAsia="SimSun"/>
              </w:rPr>
              <w:t xml:space="preserve">4мг/кг </w:t>
            </w:r>
          </w:p>
        </w:tc>
        <w:tc>
          <w:tcPr>
            <w:tcW w:w="1701" w:type="dxa"/>
            <w:vAlign w:val="center"/>
          </w:tcPr>
          <w:p w14:paraId="228A0031" w14:textId="77777777" w:rsidR="00304132" w:rsidRPr="00C07B2E" w:rsidRDefault="00304132" w:rsidP="00CD5E09">
            <w:pPr>
              <w:rPr>
                <w:rFonts w:eastAsia="SimSun"/>
              </w:rPr>
            </w:pPr>
            <w:r w:rsidRPr="00C07B2E">
              <w:rPr>
                <w:rFonts w:eastAsia="SimSun"/>
              </w:rPr>
              <w:t>С -6 дня по -3 день</w:t>
            </w:r>
          </w:p>
        </w:tc>
        <w:tc>
          <w:tcPr>
            <w:tcW w:w="2268" w:type="dxa"/>
            <w:vAlign w:val="center"/>
          </w:tcPr>
          <w:p w14:paraId="23361E4F" w14:textId="77777777" w:rsidR="00304132" w:rsidRPr="00C07B2E" w:rsidRDefault="00304132" w:rsidP="00CD5E09">
            <w:pPr>
              <w:rPr>
                <w:rFonts w:eastAsia="SimSun"/>
              </w:rPr>
            </w:pPr>
            <w:r w:rsidRPr="00C07B2E">
              <w:rPr>
                <w:rFonts w:eastAsia="SimSun"/>
              </w:rPr>
              <w:t>Внутрь, суммарная суточная доза разделяется на 4 приема с интервалом 6 часов. День -6: бусульфан разделяется на 2 приема с интервалом 6 часов, в вечернее время (18.00, 24.00)</w:t>
            </w:r>
          </w:p>
        </w:tc>
      </w:tr>
      <w:tr w:rsidR="00304132" w:rsidRPr="00C07B2E" w14:paraId="25CD07A2" w14:textId="77777777" w:rsidTr="00CD5E09">
        <w:trPr>
          <w:cantSplit/>
          <w:trHeight w:val="622"/>
        </w:trPr>
        <w:tc>
          <w:tcPr>
            <w:tcW w:w="993" w:type="dxa"/>
            <w:vMerge w:val="restart"/>
            <w:textDirection w:val="btLr"/>
            <w:vAlign w:val="center"/>
          </w:tcPr>
          <w:p w14:paraId="186CE2DA" w14:textId="77777777" w:rsidR="00304132" w:rsidRPr="00C07B2E" w:rsidRDefault="00304132" w:rsidP="00CD5E09">
            <w:pPr>
              <w:rPr>
                <w:rFonts w:eastAsia="SimSun"/>
              </w:rPr>
            </w:pPr>
            <w:r w:rsidRPr="00C07B2E">
              <w:rPr>
                <w:rFonts w:eastAsia="SimSun"/>
              </w:rPr>
              <w:t>Профилактика РТПХ</w:t>
            </w:r>
          </w:p>
        </w:tc>
        <w:tc>
          <w:tcPr>
            <w:tcW w:w="1809" w:type="dxa"/>
            <w:vAlign w:val="center"/>
          </w:tcPr>
          <w:p w14:paraId="24477F91" w14:textId="77777777" w:rsidR="00304132" w:rsidRPr="00C07B2E" w:rsidRDefault="00304132" w:rsidP="00CD5E09">
            <w:pPr>
              <w:rPr>
                <w:rFonts w:eastAsia="SimSun"/>
              </w:rPr>
            </w:pPr>
            <w:r w:rsidRPr="00C07B2E">
              <w:rPr>
                <w:rFonts w:eastAsia="SimSun"/>
              </w:rPr>
              <w:t>Циклофосфамид</w:t>
            </w:r>
          </w:p>
        </w:tc>
        <w:tc>
          <w:tcPr>
            <w:tcW w:w="1417" w:type="dxa"/>
            <w:vAlign w:val="center"/>
          </w:tcPr>
          <w:p w14:paraId="65F5A442" w14:textId="77777777" w:rsidR="00304132" w:rsidRPr="00C07B2E" w:rsidRDefault="00304132" w:rsidP="00CD5E09">
            <w:pPr>
              <w:rPr>
                <w:rFonts w:eastAsia="SimSun"/>
              </w:rPr>
            </w:pPr>
            <w:r w:rsidRPr="00C07B2E">
              <w:rPr>
                <w:rFonts w:eastAsia="SimSun"/>
              </w:rPr>
              <w:t>50 мг/кг</w:t>
            </w:r>
          </w:p>
        </w:tc>
        <w:tc>
          <w:tcPr>
            <w:tcW w:w="1418" w:type="dxa"/>
            <w:vAlign w:val="center"/>
          </w:tcPr>
          <w:p w14:paraId="1BAB55DD" w14:textId="77777777" w:rsidR="00304132" w:rsidRPr="00C07B2E" w:rsidRDefault="00304132" w:rsidP="00CD5E09">
            <w:pPr>
              <w:rPr>
                <w:rFonts w:eastAsia="SimSun"/>
              </w:rPr>
            </w:pPr>
            <w:r w:rsidRPr="00C07B2E">
              <w:rPr>
                <w:rFonts w:eastAsia="SimSun"/>
              </w:rPr>
              <w:t>100 мг/кг</w:t>
            </w:r>
          </w:p>
        </w:tc>
        <w:tc>
          <w:tcPr>
            <w:tcW w:w="1701" w:type="dxa"/>
            <w:vAlign w:val="center"/>
          </w:tcPr>
          <w:p w14:paraId="1709C99E" w14:textId="77777777" w:rsidR="00304132" w:rsidRPr="00C07B2E" w:rsidRDefault="00304132" w:rsidP="00CD5E09">
            <w:pPr>
              <w:rPr>
                <w:rFonts w:eastAsia="SimSun"/>
              </w:rPr>
            </w:pPr>
            <w:r w:rsidRPr="00C07B2E">
              <w:rPr>
                <w:rFonts w:eastAsia="SimSun"/>
              </w:rPr>
              <w:t>С +3 дня по +4 день</w:t>
            </w:r>
          </w:p>
        </w:tc>
        <w:tc>
          <w:tcPr>
            <w:tcW w:w="2268" w:type="dxa"/>
            <w:vAlign w:val="center"/>
          </w:tcPr>
          <w:p w14:paraId="6D886D11" w14:textId="77777777" w:rsidR="00304132" w:rsidRPr="00C07B2E" w:rsidRDefault="00304132" w:rsidP="00CD5E09">
            <w:pPr>
              <w:rPr>
                <w:rFonts w:eastAsia="SimSun"/>
              </w:rPr>
            </w:pPr>
            <w:r w:rsidRPr="00C07B2E">
              <w:rPr>
                <w:rFonts w:eastAsia="SimSun"/>
              </w:rPr>
              <w:t xml:space="preserve">В/в, в течение 2 ч  </w:t>
            </w:r>
          </w:p>
        </w:tc>
      </w:tr>
      <w:tr w:rsidR="00304132" w:rsidRPr="00C07B2E" w14:paraId="0AA78334" w14:textId="77777777" w:rsidTr="00CD5E09">
        <w:trPr>
          <w:cantSplit/>
          <w:trHeight w:val="958"/>
        </w:trPr>
        <w:tc>
          <w:tcPr>
            <w:tcW w:w="993" w:type="dxa"/>
            <w:vMerge/>
            <w:textDirection w:val="btLr"/>
            <w:vAlign w:val="center"/>
          </w:tcPr>
          <w:p w14:paraId="45AA9F67" w14:textId="77777777" w:rsidR="00304132" w:rsidRPr="00C07B2E" w:rsidRDefault="00304132" w:rsidP="00CD5E09">
            <w:pPr>
              <w:rPr>
                <w:rFonts w:eastAsia="SimSun"/>
              </w:rPr>
            </w:pPr>
          </w:p>
        </w:tc>
        <w:tc>
          <w:tcPr>
            <w:tcW w:w="1809" w:type="dxa"/>
            <w:vAlign w:val="center"/>
          </w:tcPr>
          <w:p w14:paraId="3DB20C2F" w14:textId="77777777" w:rsidR="00304132" w:rsidRPr="00C07B2E" w:rsidRDefault="00304132" w:rsidP="00CD5E09">
            <w:pPr>
              <w:rPr>
                <w:rFonts w:eastAsia="SimSun"/>
              </w:rPr>
            </w:pPr>
            <w:r w:rsidRPr="00C07B2E">
              <w:rPr>
                <w:rFonts w:eastAsia="SimSun"/>
              </w:rPr>
              <w:t xml:space="preserve">Такролимус </w:t>
            </w:r>
          </w:p>
        </w:tc>
        <w:tc>
          <w:tcPr>
            <w:tcW w:w="1417" w:type="dxa"/>
            <w:vAlign w:val="center"/>
          </w:tcPr>
          <w:p w14:paraId="728A31C6" w14:textId="77777777" w:rsidR="00304132" w:rsidRPr="00C07B2E" w:rsidRDefault="00304132" w:rsidP="00CD5E09">
            <w:pPr>
              <w:rPr>
                <w:rFonts w:eastAsia="SimSun"/>
              </w:rPr>
            </w:pPr>
            <w:r w:rsidRPr="00C07B2E">
              <w:rPr>
                <w:rFonts w:eastAsia="SimSun"/>
              </w:rPr>
              <w:t>0,03 мг/кг</w:t>
            </w:r>
          </w:p>
        </w:tc>
        <w:tc>
          <w:tcPr>
            <w:tcW w:w="1418" w:type="dxa"/>
            <w:vAlign w:val="center"/>
          </w:tcPr>
          <w:p w14:paraId="3AA47CCE" w14:textId="77777777" w:rsidR="00304132" w:rsidRPr="00C07B2E" w:rsidRDefault="00304132" w:rsidP="00CD5E09">
            <w:pPr>
              <w:rPr>
                <w:rFonts w:eastAsia="SimSun"/>
              </w:rPr>
            </w:pPr>
            <w:r w:rsidRPr="00C07B2E">
              <w:rPr>
                <w:rFonts w:eastAsia="SimSun"/>
                <w:lang w:val="en-US"/>
              </w:rPr>
              <w:t>–</w:t>
            </w:r>
          </w:p>
        </w:tc>
        <w:tc>
          <w:tcPr>
            <w:tcW w:w="1701" w:type="dxa"/>
            <w:vAlign w:val="center"/>
          </w:tcPr>
          <w:p w14:paraId="5354B8B0" w14:textId="77777777" w:rsidR="00304132" w:rsidRPr="00C07B2E" w:rsidRDefault="00304132" w:rsidP="00CD5E09">
            <w:pPr>
              <w:rPr>
                <w:rFonts w:eastAsia="SimSun"/>
              </w:rPr>
            </w:pPr>
            <w:r w:rsidRPr="00C07B2E">
              <w:rPr>
                <w:rFonts w:eastAsia="SimSun"/>
              </w:rPr>
              <w:t xml:space="preserve">С +5 дня длительно </w:t>
            </w:r>
          </w:p>
        </w:tc>
        <w:tc>
          <w:tcPr>
            <w:tcW w:w="2268" w:type="dxa"/>
            <w:vAlign w:val="center"/>
          </w:tcPr>
          <w:p w14:paraId="743E0735" w14:textId="77777777" w:rsidR="00304132" w:rsidRPr="000F445E" w:rsidRDefault="00304132" w:rsidP="00CD5E09">
            <w:pPr>
              <w:rPr>
                <w:rFonts w:eastAsia="SimSun"/>
              </w:rPr>
            </w:pPr>
            <w:r w:rsidRPr="00C07B2E">
              <w:rPr>
                <w:rFonts w:eastAsia="SimSun"/>
              </w:rPr>
              <w:t xml:space="preserve">В/в инфузия в течение 24 ч с последующей коррекцией суточной дозы по концентрации. </w:t>
            </w:r>
            <w:r w:rsidRPr="000F445E">
              <w:rPr>
                <w:rFonts w:eastAsia="SimSun"/>
              </w:rPr>
              <w:t>Перевод на прием внутрь при условии восстановления лейкоцитов &gt; 1</w:t>
            </w:r>
            <w:r>
              <w:rPr>
                <w:rFonts w:eastAsia="SimSun"/>
              </w:rPr>
              <w:t xml:space="preserve"> х </w:t>
            </w:r>
            <w:r w:rsidRPr="000F445E">
              <w:rPr>
                <w:rFonts w:eastAsia="SimSun"/>
              </w:rPr>
              <w:t>10</w:t>
            </w:r>
            <w:r w:rsidRPr="000F445E">
              <w:rPr>
                <w:rFonts w:eastAsia="SimSun"/>
                <w:vertAlign w:val="superscript"/>
              </w:rPr>
              <w:t>9</w:t>
            </w:r>
            <w:r w:rsidRPr="000F445E">
              <w:rPr>
                <w:rFonts w:eastAsia="SimSun"/>
              </w:rPr>
              <w:t xml:space="preserve">/л, при отсутствии тошноты, рвоты, диареи и возможности приема внутрь. Концентрация </w:t>
            </w:r>
            <w:r w:rsidRPr="00C07B2E">
              <w:rPr>
                <w:rFonts w:eastAsia="SimSun"/>
              </w:rPr>
              <w:t>Tx</w:t>
            </w:r>
            <w:r w:rsidRPr="000F445E">
              <w:rPr>
                <w:rFonts w:eastAsia="SimSun"/>
              </w:rPr>
              <w:t xml:space="preserve"> 5-15 нг/мл.    </w:t>
            </w:r>
          </w:p>
        </w:tc>
      </w:tr>
      <w:tr w:rsidR="00304132" w:rsidRPr="00C07B2E" w14:paraId="3F2D093D" w14:textId="77777777" w:rsidTr="00CD5E09">
        <w:trPr>
          <w:cantSplit/>
          <w:trHeight w:val="986"/>
        </w:trPr>
        <w:tc>
          <w:tcPr>
            <w:tcW w:w="993" w:type="dxa"/>
            <w:vMerge/>
            <w:textDirection w:val="btLr"/>
            <w:vAlign w:val="center"/>
          </w:tcPr>
          <w:p w14:paraId="57611A9C" w14:textId="77777777" w:rsidR="00304132" w:rsidRPr="000F445E" w:rsidRDefault="00304132" w:rsidP="00CD5E09">
            <w:pPr>
              <w:rPr>
                <w:rFonts w:eastAsia="SimSun"/>
              </w:rPr>
            </w:pPr>
          </w:p>
        </w:tc>
        <w:tc>
          <w:tcPr>
            <w:tcW w:w="1809" w:type="dxa"/>
            <w:vAlign w:val="center"/>
          </w:tcPr>
          <w:p w14:paraId="4346BFC5" w14:textId="77777777" w:rsidR="00304132" w:rsidRPr="00C07B2E" w:rsidRDefault="00304132" w:rsidP="00CD5E09">
            <w:pPr>
              <w:rPr>
                <w:rFonts w:eastAsia="SimSun"/>
              </w:rPr>
            </w:pPr>
            <w:r w:rsidRPr="00C07B2E">
              <w:rPr>
                <w:rFonts w:eastAsia="SimSun"/>
              </w:rPr>
              <w:t>Микофенолата мофетил</w:t>
            </w:r>
          </w:p>
        </w:tc>
        <w:tc>
          <w:tcPr>
            <w:tcW w:w="1417" w:type="dxa"/>
            <w:vAlign w:val="center"/>
          </w:tcPr>
          <w:p w14:paraId="0C37AE07" w14:textId="77777777" w:rsidR="00304132" w:rsidRPr="00C07B2E" w:rsidRDefault="00304132" w:rsidP="00CD5E09">
            <w:pPr>
              <w:rPr>
                <w:rFonts w:eastAsia="SimSun"/>
              </w:rPr>
            </w:pPr>
            <w:r w:rsidRPr="00C07B2E">
              <w:rPr>
                <w:rFonts w:eastAsia="SimSun"/>
              </w:rPr>
              <w:t xml:space="preserve">30 мг/кг </w:t>
            </w:r>
          </w:p>
        </w:tc>
        <w:tc>
          <w:tcPr>
            <w:tcW w:w="1418" w:type="dxa"/>
            <w:vAlign w:val="center"/>
          </w:tcPr>
          <w:p w14:paraId="4F1C04A1" w14:textId="77777777" w:rsidR="00304132" w:rsidRPr="00C07B2E" w:rsidRDefault="00304132" w:rsidP="00CD5E09">
            <w:pPr>
              <w:rPr>
                <w:rFonts w:eastAsia="SimSun"/>
              </w:rPr>
            </w:pPr>
            <w:r w:rsidRPr="00C07B2E">
              <w:rPr>
                <w:rFonts w:eastAsia="SimSun"/>
              </w:rPr>
              <w:t>–</w:t>
            </w:r>
          </w:p>
        </w:tc>
        <w:tc>
          <w:tcPr>
            <w:tcW w:w="1701" w:type="dxa"/>
            <w:vAlign w:val="center"/>
          </w:tcPr>
          <w:p w14:paraId="00EA7646" w14:textId="77777777" w:rsidR="00304132" w:rsidRPr="00C07B2E" w:rsidRDefault="00304132" w:rsidP="00CD5E09">
            <w:pPr>
              <w:rPr>
                <w:rFonts w:eastAsia="SimSun"/>
              </w:rPr>
            </w:pPr>
            <w:r w:rsidRPr="00C07B2E">
              <w:rPr>
                <w:rFonts w:eastAsia="SimSun"/>
              </w:rPr>
              <w:t xml:space="preserve">С +5 дня по +35 день </w:t>
            </w:r>
          </w:p>
        </w:tc>
        <w:tc>
          <w:tcPr>
            <w:tcW w:w="2268" w:type="dxa"/>
            <w:vAlign w:val="center"/>
          </w:tcPr>
          <w:p w14:paraId="3DC8107B" w14:textId="77777777" w:rsidR="00304132" w:rsidRPr="00C07B2E" w:rsidRDefault="00304132" w:rsidP="00CD5E09">
            <w:pPr>
              <w:rPr>
                <w:rFonts w:eastAsia="SimSun"/>
              </w:rPr>
            </w:pPr>
            <w:r w:rsidRPr="00C07B2E">
              <w:rPr>
                <w:rFonts w:eastAsia="SimSun"/>
              </w:rPr>
              <w:t>Внутрь, суммарная суточная доза разделяется на 2- 4 приема (не более 3г/сут).</w:t>
            </w:r>
          </w:p>
        </w:tc>
      </w:tr>
    </w:tbl>
    <w:p w14:paraId="3DC84433" w14:textId="77777777" w:rsidR="00304132" w:rsidRPr="00C07B2E" w:rsidRDefault="00304132" w:rsidP="00304132">
      <w:pPr>
        <w:rPr>
          <w:rFonts w:eastAsia="SimSun"/>
        </w:rPr>
      </w:pPr>
    </w:p>
    <w:p w14:paraId="46ED269A" w14:textId="77777777" w:rsidR="00304132" w:rsidRPr="00C07B2E" w:rsidRDefault="00304132" w:rsidP="00304132">
      <w:pPr>
        <w:rPr>
          <w:rFonts w:eastAsia="SimSun"/>
        </w:rPr>
      </w:pPr>
      <w:bookmarkStart w:id="300" w:name="_Toc44401153"/>
      <w:r w:rsidRPr="00042499">
        <w:rPr>
          <w:rFonts w:eastAsia="SimSun"/>
        </w:rPr>
        <w:t>Таблица</w:t>
      </w:r>
      <w:r w:rsidRPr="00C07B2E">
        <w:rPr>
          <w:rFonts w:eastAsia="SimSun"/>
        </w:rPr>
        <w:t xml:space="preserve"> </w:t>
      </w:r>
      <w:r>
        <w:rPr>
          <w:rFonts w:eastAsia="SimSun"/>
        </w:rPr>
        <w:t>5</w:t>
      </w:r>
      <w:r w:rsidRPr="00C07B2E">
        <w:rPr>
          <w:rFonts w:eastAsia="SimSun"/>
        </w:rPr>
        <w:t>.1.1.10  – Flu180+Bu14 / PT-Cy+CSA+MMF30</w:t>
      </w:r>
      <w:bookmarkEnd w:id="300"/>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2"/>
        <w:gridCol w:w="1810"/>
        <w:gridCol w:w="1417"/>
        <w:gridCol w:w="1418"/>
        <w:gridCol w:w="1701"/>
        <w:gridCol w:w="2268"/>
      </w:tblGrid>
      <w:tr w:rsidR="00304132" w:rsidRPr="00C07B2E" w14:paraId="03E5FE70" w14:textId="77777777" w:rsidTr="00CD5E09">
        <w:trPr>
          <w:cantSplit/>
          <w:trHeight w:val="20"/>
          <w:tblHeader/>
        </w:trPr>
        <w:tc>
          <w:tcPr>
            <w:tcW w:w="992" w:type="dxa"/>
            <w:vAlign w:val="center"/>
          </w:tcPr>
          <w:p w14:paraId="12EEC621" w14:textId="77777777" w:rsidR="00304132" w:rsidRPr="00470D3D" w:rsidRDefault="00304132" w:rsidP="00CD5E09">
            <w:pPr>
              <w:rPr>
                <w:rFonts w:eastAsia="SimSun"/>
              </w:rPr>
            </w:pPr>
          </w:p>
        </w:tc>
        <w:tc>
          <w:tcPr>
            <w:tcW w:w="1810" w:type="dxa"/>
            <w:vAlign w:val="center"/>
          </w:tcPr>
          <w:p w14:paraId="6D338DD8" w14:textId="77777777" w:rsidR="00304132" w:rsidRPr="00C07B2E" w:rsidRDefault="00304132" w:rsidP="00CD5E09">
            <w:pPr>
              <w:rPr>
                <w:rFonts w:eastAsia="SimSun"/>
              </w:rPr>
            </w:pPr>
            <w:r w:rsidRPr="00C07B2E">
              <w:rPr>
                <w:rFonts w:eastAsia="SimSun"/>
              </w:rPr>
              <w:t>Препарат</w:t>
            </w:r>
          </w:p>
        </w:tc>
        <w:tc>
          <w:tcPr>
            <w:tcW w:w="1417" w:type="dxa"/>
            <w:vAlign w:val="center"/>
          </w:tcPr>
          <w:p w14:paraId="6DD57799" w14:textId="77777777" w:rsidR="00304132" w:rsidRPr="00C07B2E" w:rsidRDefault="00304132" w:rsidP="00CD5E09">
            <w:pPr>
              <w:rPr>
                <w:rFonts w:eastAsia="SimSun"/>
              </w:rPr>
            </w:pPr>
            <w:r w:rsidRPr="00C07B2E">
              <w:rPr>
                <w:rFonts w:eastAsia="SimSun"/>
              </w:rPr>
              <w:t>Суточная доза</w:t>
            </w:r>
          </w:p>
        </w:tc>
        <w:tc>
          <w:tcPr>
            <w:tcW w:w="1418" w:type="dxa"/>
            <w:vAlign w:val="center"/>
          </w:tcPr>
          <w:p w14:paraId="315A2A95" w14:textId="77777777" w:rsidR="00304132" w:rsidRPr="00C07B2E" w:rsidRDefault="00304132" w:rsidP="00CD5E09">
            <w:pPr>
              <w:rPr>
                <w:rFonts w:eastAsia="SimSun"/>
              </w:rPr>
            </w:pPr>
            <w:r w:rsidRPr="00C07B2E">
              <w:rPr>
                <w:rFonts w:eastAsia="SimSun"/>
              </w:rPr>
              <w:t>Курсовая доза</w:t>
            </w:r>
          </w:p>
        </w:tc>
        <w:tc>
          <w:tcPr>
            <w:tcW w:w="1701" w:type="dxa"/>
            <w:vAlign w:val="center"/>
          </w:tcPr>
          <w:p w14:paraId="6B2075A9" w14:textId="77777777" w:rsidR="00304132" w:rsidRPr="00C07B2E" w:rsidRDefault="00304132" w:rsidP="00CD5E09">
            <w:pPr>
              <w:rPr>
                <w:rFonts w:eastAsia="SimSun"/>
              </w:rPr>
            </w:pPr>
            <w:r w:rsidRPr="00C07B2E">
              <w:rPr>
                <w:rFonts w:eastAsia="SimSun"/>
              </w:rPr>
              <w:t>Дни введения</w:t>
            </w:r>
          </w:p>
        </w:tc>
        <w:tc>
          <w:tcPr>
            <w:tcW w:w="2268" w:type="dxa"/>
            <w:vAlign w:val="center"/>
          </w:tcPr>
          <w:p w14:paraId="574EC4F0" w14:textId="77777777" w:rsidR="00304132" w:rsidRPr="00C07B2E" w:rsidRDefault="00304132" w:rsidP="00CD5E09">
            <w:pPr>
              <w:rPr>
                <w:rFonts w:eastAsia="SimSun"/>
              </w:rPr>
            </w:pPr>
            <w:r w:rsidRPr="00C07B2E">
              <w:rPr>
                <w:rFonts w:eastAsia="SimSun"/>
              </w:rPr>
              <w:t>Порядок введения</w:t>
            </w:r>
          </w:p>
        </w:tc>
      </w:tr>
      <w:tr w:rsidR="00304132" w:rsidRPr="00C07B2E" w14:paraId="6ABEB8A3" w14:textId="77777777" w:rsidTr="00CD5E09">
        <w:trPr>
          <w:cantSplit/>
          <w:trHeight w:val="20"/>
        </w:trPr>
        <w:tc>
          <w:tcPr>
            <w:tcW w:w="992" w:type="dxa"/>
            <w:vMerge w:val="restart"/>
            <w:textDirection w:val="btLr"/>
            <w:vAlign w:val="center"/>
          </w:tcPr>
          <w:p w14:paraId="295EBA99" w14:textId="77777777" w:rsidR="00304132" w:rsidRPr="00C07B2E" w:rsidRDefault="00304132" w:rsidP="00CD5E09">
            <w:pPr>
              <w:rPr>
                <w:rFonts w:eastAsia="SimSun"/>
              </w:rPr>
            </w:pPr>
            <w:r w:rsidRPr="00C07B2E">
              <w:rPr>
                <w:rFonts w:eastAsia="SimSun"/>
              </w:rPr>
              <w:t>Кондиционирование</w:t>
            </w:r>
          </w:p>
        </w:tc>
        <w:tc>
          <w:tcPr>
            <w:tcW w:w="1810" w:type="dxa"/>
            <w:vAlign w:val="center"/>
          </w:tcPr>
          <w:p w14:paraId="322943FE" w14:textId="77777777" w:rsidR="00304132" w:rsidRPr="00C07B2E" w:rsidRDefault="00304132" w:rsidP="00CD5E09">
            <w:pPr>
              <w:rPr>
                <w:rFonts w:eastAsia="SimSun"/>
              </w:rPr>
            </w:pPr>
            <w:r w:rsidRPr="00C07B2E">
              <w:rPr>
                <w:rFonts w:eastAsia="SimSun"/>
              </w:rPr>
              <w:t xml:space="preserve">Флударабин </w:t>
            </w:r>
          </w:p>
        </w:tc>
        <w:tc>
          <w:tcPr>
            <w:tcW w:w="1417" w:type="dxa"/>
            <w:vAlign w:val="center"/>
          </w:tcPr>
          <w:p w14:paraId="74223AE4" w14:textId="77777777" w:rsidR="00304132" w:rsidRPr="00C07B2E" w:rsidRDefault="00304132" w:rsidP="00CD5E09">
            <w:pPr>
              <w:rPr>
                <w:rFonts w:eastAsia="SimSun"/>
              </w:rPr>
            </w:pPr>
            <w:r w:rsidRPr="00C07B2E">
              <w:rPr>
                <w:rFonts w:eastAsia="SimSun"/>
              </w:rPr>
              <w:t>30 мг/м</w:t>
            </w:r>
            <w:r w:rsidRPr="000F445E">
              <w:rPr>
                <w:rFonts w:eastAsia="SimSun"/>
                <w:vertAlign w:val="superscript"/>
              </w:rPr>
              <w:t>2</w:t>
            </w:r>
          </w:p>
        </w:tc>
        <w:tc>
          <w:tcPr>
            <w:tcW w:w="1418" w:type="dxa"/>
            <w:vAlign w:val="center"/>
          </w:tcPr>
          <w:p w14:paraId="603A31F0" w14:textId="77777777" w:rsidR="00304132" w:rsidRPr="00C07B2E" w:rsidRDefault="00304132" w:rsidP="00CD5E09">
            <w:pPr>
              <w:rPr>
                <w:rFonts w:eastAsia="SimSun"/>
              </w:rPr>
            </w:pPr>
            <w:r w:rsidRPr="00C07B2E">
              <w:rPr>
                <w:rFonts w:eastAsia="SimSun"/>
              </w:rPr>
              <w:t>180 мг/м</w:t>
            </w:r>
            <w:r w:rsidRPr="000F445E">
              <w:rPr>
                <w:rFonts w:eastAsia="SimSun"/>
                <w:vertAlign w:val="superscript"/>
              </w:rPr>
              <w:t>2</w:t>
            </w:r>
          </w:p>
        </w:tc>
        <w:tc>
          <w:tcPr>
            <w:tcW w:w="1701" w:type="dxa"/>
            <w:vAlign w:val="center"/>
          </w:tcPr>
          <w:p w14:paraId="339AC0CB" w14:textId="77777777" w:rsidR="00304132" w:rsidRPr="00C07B2E" w:rsidRDefault="00304132" w:rsidP="00CD5E09">
            <w:pPr>
              <w:rPr>
                <w:rFonts w:eastAsia="SimSun"/>
              </w:rPr>
            </w:pPr>
            <w:r w:rsidRPr="00C07B2E">
              <w:rPr>
                <w:rFonts w:eastAsia="SimSun"/>
              </w:rPr>
              <w:t>С -7 дня по -2 день</w:t>
            </w:r>
          </w:p>
        </w:tc>
        <w:tc>
          <w:tcPr>
            <w:tcW w:w="2268" w:type="dxa"/>
            <w:vAlign w:val="center"/>
          </w:tcPr>
          <w:p w14:paraId="52E30835" w14:textId="77777777" w:rsidR="00304132" w:rsidRPr="00C07B2E" w:rsidRDefault="00304132" w:rsidP="00CD5E09">
            <w:pPr>
              <w:rPr>
                <w:rFonts w:eastAsia="SimSun"/>
              </w:rPr>
            </w:pPr>
            <w:r w:rsidRPr="00C07B2E">
              <w:rPr>
                <w:rFonts w:eastAsia="SimSun"/>
              </w:rPr>
              <w:t>В/в, в течение 30 - 60 мин</w:t>
            </w:r>
          </w:p>
        </w:tc>
      </w:tr>
      <w:tr w:rsidR="00304132" w:rsidRPr="00C07B2E" w14:paraId="0B6142C3" w14:textId="77777777" w:rsidTr="00CD5E09">
        <w:trPr>
          <w:cantSplit/>
          <w:trHeight w:val="1207"/>
        </w:trPr>
        <w:tc>
          <w:tcPr>
            <w:tcW w:w="992" w:type="dxa"/>
            <w:vMerge/>
            <w:vAlign w:val="center"/>
          </w:tcPr>
          <w:p w14:paraId="31BE27D2" w14:textId="77777777" w:rsidR="00304132" w:rsidRPr="00C07B2E" w:rsidRDefault="00304132" w:rsidP="00CD5E09">
            <w:pPr>
              <w:rPr>
                <w:rFonts w:eastAsia="SimSun"/>
              </w:rPr>
            </w:pPr>
          </w:p>
        </w:tc>
        <w:tc>
          <w:tcPr>
            <w:tcW w:w="1810" w:type="dxa"/>
            <w:vAlign w:val="center"/>
          </w:tcPr>
          <w:p w14:paraId="670A7EA0" w14:textId="77777777" w:rsidR="00304132" w:rsidRPr="00C07B2E" w:rsidRDefault="00304132" w:rsidP="00CD5E09">
            <w:pPr>
              <w:rPr>
                <w:rFonts w:eastAsia="SimSun"/>
              </w:rPr>
            </w:pPr>
            <w:r w:rsidRPr="00C07B2E">
              <w:rPr>
                <w:rFonts w:eastAsia="SimSun"/>
              </w:rPr>
              <w:t>Бусульфан</w:t>
            </w:r>
          </w:p>
        </w:tc>
        <w:tc>
          <w:tcPr>
            <w:tcW w:w="1417" w:type="dxa"/>
            <w:vAlign w:val="center"/>
          </w:tcPr>
          <w:p w14:paraId="18A8AA14" w14:textId="77777777" w:rsidR="00304132" w:rsidRPr="00C07B2E" w:rsidRDefault="00304132" w:rsidP="00CD5E09">
            <w:pPr>
              <w:rPr>
                <w:rFonts w:eastAsia="SimSun"/>
              </w:rPr>
            </w:pPr>
            <w:r w:rsidRPr="00C07B2E">
              <w:rPr>
                <w:rFonts w:eastAsia="SimSun"/>
              </w:rPr>
              <w:t xml:space="preserve">4 мг/кг </w:t>
            </w:r>
          </w:p>
        </w:tc>
        <w:tc>
          <w:tcPr>
            <w:tcW w:w="1418" w:type="dxa"/>
            <w:vAlign w:val="center"/>
          </w:tcPr>
          <w:p w14:paraId="19916E9A" w14:textId="77777777" w:rsidR="00304132" w:rsidRPr="00C07B2E" w:rsidRDefault="00304132" w:rsidP="00CD5E09">
            <w:pPr>
              <w:rPr>
                <w:rFonts w:eastAsia="SimSun"/>
              </w:rPr>
            </w:pPr>
            <w:r w:rsidRPr="00C07B2E">
              <w:rPr>
                <w:rFonts w:eastAsia="SimSun"/>
                <w:lang w:val="en-US"/>
              </w:rPr>
              <w:t>14</w:t>
            </w:r>
            <w:r w:rsidRPr="00C07B2E">
              <w:rPr>
                <w:rFonts w:eastAsia="SimSun"/>
              </w:rPr>
              <w:t xml:space="preserve"> мг/кг </w:t>
            </w:r>
          </w:p>
        </w:tc>
        <w:tc>
          <w:tcPr>
            <w:tcW w:w="1701" w:type="dxa"/>
            <w:vAlign w:val="center"/>
          </w:tcPr>
          <w:p w14:paraId="7B4CB94C" w14:textId="77777777" w:rsidR="00304132" w:rsidRPr="00C07B2E" w:rsidRDefault="00304132" w:rsidP="00CD5E09">
            <w:pPr>
              <w:rPr>
                <w:rFonts w:eastAsia="SimSun"/>
              </w:rPr>
            </w:pPr>
            <w:r w:rsidRPr="00C07B2E">
              <w:rPr>
                <w:rFonts w:eastAsia="SimSun"/>
              </w:rPr>
              <w:t>С -</w:t>
            </w:r>
            <w:r w:rsidRPr="00C07B2E">
              <w:rPr>
                <w:rFonts w:eastAsia="SimSun"/>
                <w:lang w:val="en-US"/>
              </w:rPr>
              <w:t>6</w:t>
            </w:r>
            <w:r w:rsidRPr="00C07B2E">
              <w:rPr>
                <w:rFonts w:eastAsia="SimSun"/>
              </w:rPr>
              <w:t xml:space="preserve"> дня по -3 день</w:t>
            </w:r>
          </w:p>
        </w:tc>
        <w:tc>
          <w:tcPr>
            <w:tcW w:w="2268" w:type="dxa"/>
            <w:vAlign w:val="center"/>
          </w:tcPr>
          <w:p w14:paraId="496D9105" w14:textId="77777777" w:rsidR="00304132" w:rsidRPr="00C07B2E" w:rsidRDefault="00304132" w:rsidP="00CD5E09">
            <w:pPr>
              <w:rPr>
                <w:rFonts w:eastAsia="SimSun"/>
              </w:rPr>
            </w:pPr>
            <w:r w:rsidRPr="00C07B2E">
              <w:rPr>
                <w:rFonts w:eastAsia="SimSun"/>
              </w:rPr>
              <w:t>Внутрь, суммарная суточная доза разделяется на 4 приема с интервалом 6 часов. День -6: бусульфан разделяется на 2 приема с интервалом 6 часов, в вечернее время (18.00, 24.00)</w:t>
            </w:r>
          </w:p>
        </w:tc>
      </w:tr>
      <w:tr w:rsidR="00304132" w:rsidRPr="00C07B2E" w14:paraId="38D01B14" w14:textId="77777777" w:rsidTr="00CD5E09">
        <w:trPr>
          <w:cantSplit/>
          <w:trHeight w:val="424"/>
        </w:trPr>
        <w:tc>
          <w:tcPr>
            <w:tcW w:w="992" w:type="dxa"/>
            <w:vMerge w:val="restart"/>
            <w:textDirection w:val="btLr"/>
            <w:vAlign w:val="center"/>
          </w:tcPr>
          <w:p w14:paraId="2D4AF36E" w14:textId="77777777" w:rsidR="00304132" w:rsidRPr="00C07B2E" w:rsidRDefault="00304132" w:rsidP="00CD5E09">
            <w:pPr>
              <w:rPr>
                <w:rFonts w:eastAsia="SimSun"/>
              </w:rPr>
            </w:pPr>
            <w:r w:rsidRPr="00C07B2E">
              <w:rPr>
                <w:rFonts w:eastAsia="SimSun"/>
              </w:rPr>
              <w:t>Профилактика РТПХ</w:t>
            </w:r>
          </w:p>
        </w:tc>
        <w:tc>
          <w:tcPr>
            <w:tcW w:w="1810" w:type="dxa"/>
            <w:vAlign w:val="center"/>
          </w:tcPr>
          <w:p w14:paraId="2F698C78" w14:textId="77777777" w:rsidR="00304132" w:rsidRPr="00C07B2E" w:rsidRDefault="00304132" w:rsidP="00CD5E09">
            <w:pPr>
              <w:rPr>
                <w:rFonts w:eastAsia="SimSun"/>
              </w:rPr>
            </w:pPr>
            <w:r w:rsidRPr="00C07B2E">
              <w:rPr>
                <w:rFonts w:eastAsia="SimSun"/>
              </w:rPr>
              <w:t>Циклофосфамид</w:t>
            </w:r>
          </w:p>
        </w:tc>
        <w:tc>
          <w:tcPr>
            <w:tcW w:w="1417" w:type="dxa"/>
            <w:vAlign w:val="center"/>
          </w:tcPr>
          <w:p w14:paraId="7F3E9256" w14:textId="77777777" w:rsidR="00304132" w:rsidRPr="00C07B2E" w:rsidRDefault="00304132" w:rsidP="00CD5E09">
            <w:pPr>
              <w:rPr>
                <w:rFonts w:eastAsia="SimSun"/>
              </w:rPr>
            </w:pPr>
            <w:r w:rsidRPr="00C07B2E">
              <w:rPr>
                <w:rFonts w:eastAsia="SimSun"/>
              </w:rPr>
              <w:t>50 мг/кг</w:t>
            </w:r>
          </w:p>
        </w:tc>
        <w:tc>
          <w:tcPr>
            <w:tcW w:w="1418" w:type="dxa"/>
            <w:vAlign w:val="center"/>
          </w:tcPr>
          <w:p w14:paraId="1E80D6AB" w14:textId="77777777" w:rsidR="00304132" w:rsidRPr="00C07B2E" w:rsidRDefault="00304132" w:rsidP="00CD5E09">
            <w:pPr>
              <w:rPr>
                <w:rFonts w:eastAsia="SimSun"/>
              </w:rPr>
            </w:pPr>
            <w:r w:rsidRPr="00C07B2E">
              <w:rPr>
                <w:rFonts w:eastAsia="SimSun"/>
              </w:rPr>
              <w:t>100 мг/кг</w:t>
            </w:r>
          </w:p>
        </w:tc>
        <w:tc>
          <w:tcPr>
            <w:tcW w:w="1701" w:type="dxa"/>
            <w:vAlign w:val="center"/>
          </w:tcPr>
          <w:p w14:paraId="4FB8277A" w14:textId="77777777" w:rsidR="00304132" w:rsidRPr="00C07B2E" w:rsidRDefault="00304132" w:rsidP="00CD5E09">
            <w:pPr>
              <w:rPr>
                <w:rFonts w:eastAsia="SimSun"/>
              </w:rPr>
            </w:pPr>
            <w:r w:rsidRPr="00C07B2E">
              <w:rPr>
                <w:rFonts w:eastAsia="SimSun"/>
              </w:rPr>
              <w:t>В +3 день  и +5 день</w:t>
            </w:r>
          </w:p>
        </w:tc>
        <w:tc>
          <w:tcPr>
            <w:tcW w:w="2268" w:type="dxa"/>
            <w:vAlign w:val="center"/>
          </w:tcPr>
          <w:p w14:paraId="66CF467D" w14:textId="77777777" w:rsidR="00304132" w:rsidRPr="00C07B2E" w:rsidRDefault="00304132" w:rsidP="00CD5E09">
            <w:pPr>
              <w:rPr>
                <w:rFonts w:eastAsia="SimSun"/>
              </w:rPr>
            </w:pPr>
            <w:r w:rsidRPr="00C07B2E">
              <w:rPr>
                <w:rFonts w:eastAsia="SimSun"/>
              </w:rPr>
              <w:t xml:space="preserve">В/в, в течение 2 ч  </w:t>
            </w:r>
          </w:p>
        </w:tc>
      </w:tr>
      <w:tr w:rsidR="00304132" w:rsidRPr="00C07B2E" w14:paraId="5179FF34" w14:textId="77777777" w:rsidTr="00CD5E09">
        <w:trPr>
          <w:cantSplit/>
          <w:trHeight w:val="958"/>
        </w:trPr>
        <w:tc>
          <w:tcPr>
            <w:tcW w:w="992" w:type="dxa"/>
            <w:vMerge/>
            <w:textDirection w:val="btLr"/>
            <w:vAlign w:val="center"/>
          </w:tcPr>
          <w:p w14:paraId="22AB96CC" w14:textId="77777777" w:rsidR="00304132" w:rsidRPr="00C07B2E" w:rsidRDefault="00304132" w:rsidP="00CD5E09">
            <w:pPr>
              <w:rPr>
                <w:rFonts w:eastAsia="SimSun"/>
              </w:rPr>
            </w:pPr>
          </w:p>
        </w:tc>
        <w:tc>
          <w:tcPr>
            <w:tcW w:w="1810" w:type="dxa"/>
            <w:vAlign w:val="center"/>
          </w:tcPr>
          <w:p w14:paraId="2BC4E35B" w14:textId="77777777" w:rsidR="00304132" w:rsidRPr="00C07B2E" w:rsidRDefault="00304132" w:rsidP="00CD5E09">
            <w:pPr>
              <w:rPr>
                <w:rFonts w:eastAsia="SimSun"/>
              </w:rPr>
            </w:pPr>
            <w:r w:rsidRPr="00C07B2E">
              <w:rPr>
                <w:rFonts w:eastAsia="SimSun"/>
              </w:rPr>
              <w:t>Микофенолата мофетил</w:t>
            </w:r>
          </w:p>
        </w:tc>
        <w:tc>
          <w:tcPr>
            <w:tcW w:w="1417" w:type="dxa"/>
            <w:vAlign w:val="center"/>
          </w:tcPr>
          <w:p w14:paraId="3B52EC55" w14:textId="77777777" w:rsidR="00304132" w:rsidRPr="00C07B2E" w:rsidRDefault="00304132" w:rsidP="00CD5E09">
            <w:pPr>
              <w:rPr>
                <w:rFonts w:eastAsia="SimSun"/>
              </w:rPr>
            </w:pPr>
            <w:r w:rsidRPr="00C07B2E">
              <w:rPr>
                <w:rFonts w:eastAsia="SimSun"/>
              </w:rPr>
              <w:t xml:space="preserve">30 мг/кг </w:t>
            </w:r>
          </w:p>
        </w:tc>
        <w:tc>
          <w:tcPr>
            <w:tcW w:w="1418" w:type="dxa"/>
            <w:vAlign w:val="center"/>
          </w:tcPr>
          <w:p w14:paraId="77413D49" w14:textId="77777777" w:rsidR="00304132" w:rsidRPr="00C07B2E" w:rsidRDefault="00304132" w:rsidP="00CD5E09">
            <w:pPr>
              <w:rPr>
                <w:rFonts w:eastAsia="SimSun"/>
              </w:rPr>
            </w:pPr>
            <w:r w:rsidRPr="00C07B2E">
              <w:rPr>
                <w:rFonts w:eastAsia="SimSun"/>
              </w:rPr>
              <w:t>–</w:t>
            </w:r>
          </w:p>
        </w:tc>
        <w:tc>
          <w:tcPr>
            <w:tcW w:w="1701" w:type="dxa"/>
            <w:vAlign w:val="center"/>
          </w:tcPr>
          <w:p w14:paraId="1CD91381" w14:textId="77777777" w:rsidR="00304132" w:rsidRPr="00C07B2E" w:rsidRDefault="00304132" w:rsidP="00CD5E09">
            <w:pPr>
              <w:rPr>
                <w:rFonts w:eastAsia="SimSun"/>
              </w:rPr>
            </w:pPr>
            <w:r w:rsidRPr="00C07B2E">
              <w:rPr>
                <w:rFonts w:eastAsia="SimSun"/>
              </w:rPr>
              <w:t xml:space="preserve">С +1 дня по +28 день </w:t>
            </w:r>
          </w:p>
        </w:tc>
        <w:tc>
          <w:tcPr>
            <w:tcW w:w="2268" w:type="dxa"/>
            <w:vAlign w:val="center"/>
          </w:tcPr>
          <w:p w14:paraId="4ECE0A9D" w14:textId="77777777" w:rsidR="00304132" w:rsidRPr="00C07B2E" w:rsidRDefault="00304132" w:rsidP="00CD5E09">
            <w:pPr>
              <w:rPr>
                <w:rFonts w:eastAsia="SimSun"/>
              </w:rPr>
            </w:pPr>
            <w:r w:rsidRPr="00C07B2E">
              <w:rPr>
                <w:rFonts w:eastAsia="SimSun"/>
              </w:rPr>
              <w:t>Внутрь, суммарная суточная доза разделяется на 2- 4 приема (не более 3г/сут).</w:t>
            </w:r>
          </w:p>
        </w:tc>
      </w:tr>
      <w:tr w:rsidR="00304132" w:rsidRPr="000F445E" w14:paraId="7E624454" w14:textId="77777777" w:rsidTr="00CD5E09">
        <w:trPr>
          <w:cantSplit/>
          <w:trHeight w:val="958"/>
        </w:trPr>
        <w:tc>
          <w:tcPr>
            <w:tcW w:w="992" w:type="dxa"/>
            <w:vMerge/>
            <w:textDirection w:val="btLr"/>
            <w:vAlign w:val="center"/>
          </w:tcPr>
          <w:p w14:paraId="50404362" w14:textId="77777777" w:rsidR="00304132" w:rsidRPr="00C07B2E" w:rsidRDefault="00304132" w:rsidP="00CD5E09">
            <w:pPr>
              <w:rPr>
                <w:rFonts w:eastAsia="SimSun"/>
              </w:rPr>
            </w:pPr>
          </w:p>
        </w:tc>
        <w:tc>
          <w:tcPr>
            <w:tcW w:w="1810" w:type="dxa"/>
            <w:vAlign w:val="center"/>
          </w:tcPr>
          <w:p w14:paraId="4C65EA1B" w14:textId="77777777" w:rsidR="00304132" w:rsidRPr="00C07B2E" w:rsidRDefault="00304132" w:rsidP="00CD5E09">
            <w:pPr>
              <w:rPr>
                <w:rFonts w:eastAsia="SimSun"/>
              </w:rPr>
            </w:pPr>
            <w:r w:rsidRPr="00C07B2E">
              <w:rPr>
                <w:rFonts w:eastAsia="SimSun"/>
              </w:rPr>
              <w:t>Циклоспорин А</w:t>
            </w:r>
          </w:p>
        </w:tc>
        <w:tc>
          <w:tcPr>
            <w:tcW w:w="1417" w:type="dxa"/>
            <w:vAlign w:val="center"/>
          </w:tcPr>
          <w:p w14:paraId="7CD2F009" w14:textId="77777777" w:rsidR="00304132" w:rsidRPr="00C07B2E" w:rsidRDefault="00304132" w:rsidP="00CD5E09">
            <w:pPr>
              <w:rPr>
                <w:rFonts w:eastAsia="SimSun"/>
              </w:rPr>
            </w:pPr>
            <w:r w:rsidRPr="00C07B2E">
              <w:rPr>
                <w:rFonts w:eastAsia="SimSun"/>
              </w:rPr>
              <w:t>3 мг/кг</w:t>
            </w:r>
          </w:p>
        </w:tc>
        <w:tc>
          <w:tcPr>
            <w:tcW w:w="1418" w:type="dxa"/>
            <w:vAlign w:val="center"/>
          </w:tcPr>
          <w:p w14:paraId="434F8E7E" w14:textId="77777777" w:rsidR="00304132" w:rsidRPr="00C07B2E" w:rsidRDefault="00304132" w:rsidP="00CD5E09">
            <w:pPr>
              <w:rPr>
                <w:rFonts w:eastAsia="SimSun"/>
              </w:rPr>
            </w:pPr>
            <w:r w:rsidRPr="00C07B2E">
              <w:rPr>
                <w:rFonts w:eastAsia="SimSun"/>
              </w:rPr>
              <w:t>-</w:t>
            </w:r>
          </w:p>
        </w:tc>
        <w:tc>
          <w:tcPr>
            <w:tcW w:w="1701" w:type="dxa"/>
            <w:vAlign w:val="center"/>
          </w:tcPr>
          <w:p w14:paraId="5E1A501D" w14:textId="77777777" w:rsidR="00304132" w:rsidRPr="00C07B2E" w:rsidRDefault="00304132" w:rsidP="00CD5E09">
            <w:pPr>
              <w:rPr>
                <w:rFonts w:eastAsia="SimSun"/>
              </w:rPr>
            </w:pPr>
            <w:r w:rsidRPr="00C07B2E">
              <w:rPr>
                <w:rFonts w:eastAsia="SimSun"/>
              </w:rPr>
              <w:t xml:space="preserve">С -1 дня по +100 день </w:t>
            </w:r>
          </w:p>
        </w:tc>
        <w:tc>
          <w:tcPr>
            <w:tcW w:w="2268" w:type="dxa"/>
            <w:vAlign w:val="center"/>
          </w:tcPr>
          <w:p w14:paraId="3280484B" w14:textId="77777777" w:rsidR="00304132" w:rsidRPr="000F445E" w:rsidRDefault="00304132" w:rsidP="00CD5E09">
            <w:pPr>
              <w:rPr>
                <w:rFonts w:eastAsia="SimSun"/>
              </w:rPr>
            </w:pPr>
            <w:r w:rsidRPr="00C07B2E">
              <w:rPr>
                <w:rFonts w:eastAsia="SimSun"/>
              </w:rPr>
              <w:t xml:space="preserve">В/в, 5-часовая инфузия 2 раза/сут. </w:t>
            </w:r>
            <w:r w:rsidRPr="000F445E">
              <w:rPr>
                <w:rFonts w:eastAsia="SimSun"/>
              </w:rPr>
              <w:t>Перевод на прием внутрь при условии восстановления лейкоцитов &gt; 1</w:t>
            </w:r>
            <w:r>
              <w:rPr>
                <w:rFonts w:eastAsia="SimSun"/>
              </w:rPr>
              <w:t>х 1</w:t>
            </w:r>
            <w:r w:rsidRPr="000F445E">
              <w:rPr>
                <w:rFonts w:eastAsia="SimSun"/>
              </w:rPr>
              <w:t>0</w:t>
            </w:r>
            <w:r w:rsidRPr="000F445E">
              <w:rPr>
                <w:rFonts w:eastAsia="SimSun"/>
                <w:vertAlign w:val="superscript"/>
              </w:rPr>
              <w:t>9</w:t>
            </w:r>
            <w:r w:rsidRPr="000F445E">
              <w:rPr>
                <w:rFonts w:eastAsia="SimSun"/>
              </w:rPr>
              <w:t>/л, при отсутствии тошноты, рвоты, диареи и возможности приема внутрь. Концентрация 150-350пг/мл.</w:t>
            </w:r>
          </w:p>
        </w:tc>
      </w:tr>
    </w:tbl>
    <w:p w14:paraId="1AE4379D" w14:textId="77777777" w:rsidR="00304132" w:rsidRPr="00C07B2E" w:rsidRDefault="00304132" w:rsidP="00304132">
      <w:pPr>
        <w:rPr>
          <w:rFonts w:eastAsia="SimSun"/>
        </w:rPr>
      </w:pPr>
    </w:p>
    <w:p w14:paraId="4036477E" w14:textId="77777777" w:rsidR="00304132" w:rsidRPr="00C07B2E" w:rsidRDefault="00304132" w:rsidP="00304132">
      <w:pPr>
        <w:rPr>
          <w:rFonts w:eastAsia="SimSun"/>
        </w:rPr>
      </w:pPr>
      <w:bookmarkStart w:id="301" w:name="_Toc44401154"/>
      <w:r w:rsidRPr="00042499">
        <w:rPr>
          <w:rFonts w:eastAsia="SimSun"/>
        </w:rPr>
        <w:t>Таблица</w:t>
      </w:r>
      <w:r w:rsidRPr="00C07B2E">
        <w:rPr>
          <w:rFonts w:eastAsia="SimSun"/>
        </w:rPr>
        <w:t xml:space="preserve"> </w:t>
      </w:r>
      <w:r>
        <w:rPr>
          <w:rFonts w:eastAsia="SimSun"/>
        </w:rPr>
        <w:t>5</w:t>
      </w:r>
      <w:r w:rsidRPr="00C07B2E">
        <w:rPr>
          <w:rFonts w:eastAsia="SimSun"/>
        </w:rPr>
        <w:t>.1.1.11  – Flu180+Bu14 / Tx+MMF30</w:t>
      </w:r>
      <w:bookmarkEnd w:id="301"/>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809"/>
        <w:gridCol w:w="1417"/>
        <w:gridCol w:w="1418"/>
        <w:gridCol w:w="1701"/>
        <w:gridCol w:w="2268"/>
      </w:tblGrid>
      <w:tr w:rsidR="00304132" w:rsidRPr="00C07B2E" w14:paraId="7AB8F310" w14:textId="77777777" w:rsidTr="00CD5E09">
        <w:trPr>
          <w:cantSplit/>
          <w:trHeight w:val="20"/>
          <w:tblHeader/>
        </w:trPr>
        <w:tc>
          <w:tcPr>
            <w:tcW w:w="993" w:type="dxa"/>
            <w:vAlign w:val="center"/>
          </w:tcPr>
          <w:p w14:paraId="7D619538" w14:textId="77777777" w:rsidR="00304132" w:rsidRPr="00C07B2E" w:rsidRDefault="00304132" w:rsidP="00CD5E09">
            <w:pPr>
              <w:rPr>
                <w:rFonts w:eastAsia="SimSun"/>
              </w:rPr>
            </w:pPr>
          </w:p>
        </w:tc>
        <w:tc>
          <w:tcPr>
            <w:tcW w:w="1809" w:type="dxa"/>
            <w:vAlign w:val="center"/>
          </w:tcPr>
          <w:p w14:paraId="23A68D7E" w14:textId="77777777" w:rsidR="00304132" w:rsidRPr="00C07B2E" w:rsidRDefault="00304132" w:rsidP="00CD5E09">
            <w:pPr>
              <w:rPr>
                <w:rFonts w:eastAsia="SimSun"/>
              </w:rPr>
            </w:pPr>
            <w:r w:rsidRPr="00C07B2E">
              <w:rPr>
                <w:rFonts w:eastAsia="SimSun"/>
              </w:rPr>
              <w:t>Препарат</w:t>
            </w:r>
          </w:p>
        </w:tc>
        <w:tc>
          <w:tcPr>
            <w:tcW w:w="1417" w:type="dxa"/>
            <w:vAlign w:val="center"/>
          </w:tcPr>
          <w:p w14:paraId="478ECFE6" w14:textId="77777777" w:rsidR="00304132" w:rsidRPr="00C07B2E" w:rsidRDefault="00304132" w:rsidP="00CD5E09">
            <w:pPr>
              <w:rPr>
                <w:rFonts w:eastAsia="SimSun"/>
              </w:rPr>
            </w:pPr>
            <w:r w:rsidRPr="00C07B2E">
              <w:rPr>
                <w:rFonts w:eastAsia="SimSun"/>
              </w:rPr>
              <w:t>Суточная доза</w:t>
            </w:r>
          </w:p>
        </w:tc>
        <w:tc>
          <w:tcPr>
            <w:tcW w:w="1418" w:type="dxa"/>
            <w:vAlign w:val="center"/>
          </w:tcPr>
          <w:p w14:paraId="4CCA7C14" w14:textId="77777777" w:rsidR="00304132" w:rsidRPr="00C07B2E" w:rsidRDefault="00304132" w:rsidP="00CD5E09">
            <w:pPr>
              <w:rPr>
                <w:rFonts w:eastAsia="SimSun"/>
              </w:rPr>
            </w:pPr>
            <w:r w:rsidRPr="00C07B2E">
              <w:rPr>
                <w:rFonts w:eastAsia="SimSun"/>
              </w:rPr>
              <w:t>Курсовая доза</w:t>
            </w:r>
          </w:p>
        </w:tc>
        <w:tc>
          <w:tcPr>
            <w:tcW w:w="1701" w:type="dxa"/>
            <w:vAlign w:val="center"/>
          </w:tcPr>
          <w:p w14:paraId="0F06D6B9" w14:textId="77777777" w:rsidR="00304132" w:rsidRPr="00C07B2E" w:rsidRDefault="00304132" w:rsidP="00CD5E09">
            <w:pPr>
              <w:rPr>
                <w:rFonts w:eastAsia="SimSun"/>
              </w:rPr>
            </w:pPr>
            <w:r w:rsidRPr="00C07B2E">
              <w:rPr>
                <w:rFonts w:eastAsia="SimSun"/>
              </w:rPr>
              <w:t>Дни введения</w:t>
            </w:r>
          </w:p>
        </w:tc>
        <w:tc>
          <w:tcPr>
            <w:tcW w:w="2268" w:type="dxa"/>
            <w:vAlign w:val="center"/>
          </w:tcPr>
          <w:p w14:paraId="14682750" w14:textId="77777777" w:rsidR="00304132" w:rsidRPr="00C07B2E" w:rsidRDefault="00304132" w:rsidP="00CD5E09">
            <w:pPr>
              <w:rPr>
                <w:rFonts w:eastAsia="SimSun"/>
              </w:rPr>
            </w:pPr>
            <w:r w:rsidRPr="00C07B2E">
              <w:rPr>
                <w:rFonts w:eastAsia="SimSun"/>
              </w:rPr>
              <w:t>Порядок введения</w:t>
            </w:r>
          </w:p>
        </w:tc>
      </w:tr>
      <w:tr w:rsidR="00304132" w:rsidRPr="00C07B2E" w14:paraId="6DB23FBA" w14:textId="77777777" w:rsidTr="00CD5E09">
        <w:trPr>
          <w:cantSplit/>
          <w:trHeight w:val="20"/>
        </w:trPr>
        <w:tc>
          <w:tcPr>
            <w:tcW w:w="993" w:type="dxa"/>
            <w:vMerge w:val="restart"/>
            <w:textDirection w:val="btLr"/>
            <w:vAlign w:val="center"/>
          </w:tcPr>
          <w:p w14:paraId="2451A633" w14:textId="77777777" w:rsidR="00304132" w:rsidRPr="00C07B2E" w:rsidRDefault="00304132" w:rsidP="00CD5E09">
            <w:pPr>
              <w:rPr>
                <w:rFonts w:eastAsia="SimSun"/>
              </w:rPr>
            </w:pPr>
            <w:r w:rsidRPr="00C07B2E">
              <w:rPr>
                <w:rFonts w:eastAsia="SimSun"/>
              </w:rPr>
              <w:t>Кондиционирование</w:t>
            </w:r>
          </w:p>
        </w:tc>
        <w:tc>
          <w:tcPr>
            <w:tcW w:w="1809" w:type="dxa"/>
            <w:vAlign w:val="center"/>
          </w:tcPr>
          <w:p w14:paraId="6B61AFE4" w14:textId="77777777" w:rsidR="00304132" w:rsidRPr="00C07B2E" w:rsidRDefault="00304132" w:rsidP="00CD5E09">
            <w:pPr>
              <w:rPr>
                <w:rFonts w:eastAsia="SimSun"/>
              </w:rPr>
            </w:pPr>
            <w:r w:rsidRPr="00C07B2E">
              <w:rPr>
                <w:rFonts w:eastAsia="SimSun"/>
              </w:rPr>
              <w:t xml:space="preserve">Флударабин </w:t>
            </w:r>
          </w:p>
        </w:tc>
        <w:tc>
          <w:tcPr>
            <w:tcW w:w="1417" w:type="dxa"/>
            <w:vAlign w:val="center"/>
          </w:tcPr>
          <w:p w14:paraId="1DA5B4F7" w14:textId="77777777" w:rsidR="00304132" w:rsidRPr="00C07B2E" w:rsidRDefault="00304132" w:rsidP="00CD5E09">
            <w:pPr>
              <w:rPr>
                <w:rFonts w:eastAsia="SimSun"/>
              </w:rPr>
            </w:pPr>
            <w:r w:rsidRPr="00C07B2E">
              <w:rPr>
                <w:rFonts w:eastAsia="SimSun"/>
              </w:rPr>
              <w:t>30 мг/м</w:t>
            </w:r>
            <w:r w:rsidRPr="000F445E">
              <w:rPr>
                <w:rFonts w:eastAsia="SimSun"/>
                <w:vertAlign w:val="superscript"/>
              </w:rPr>
              <w:t>2</w:t>
            </w:r>
          </w:p>
        </w:tc>
        <w:tc>
          <w:tcPr>
            <w:tcW w:w="1418" w:type="dxa"/>
            <w:vAlign w:val="center"/>
          </w:tcPr>
          <w:p w14:paraId="791C3A60" w14:textId="77777777" w:rsidR="00304132" w:rsidRPr="00C07B2E" w:rsidRDefault="00304132" w:rsidP="00CD5E09">
            <w:pPr>
              <w:rPr>
                <w:rFonts w:eastAsia="SimSun"/>
              </w:rPr>
            </w:pPr>
            <w:r w:rsidRPr="00C07B2E">
              <w:rPr>
                <w:rFonts w:eastAsia="SimSun"/>
              </w:rPr>
              <w:t>180 мг/м</w:t>
            </w:r>
            <w:r w:rsidRPr="000F445E">
              <w:rPr>
                <w:rFonts w:eastAsia="SimSun"/>
                <w:vertAlign w:val="superscript"/>
              </w:rPr>
              <w:t>2</w:t>
            </w:r>
          </w:p>
        </w:tc>
        <w:tc>
          <w:tcPr>
            <w:tcW w:w="1701" w:type="dxa"/>
            <w:vAlign w:val="center"/>
          </w:tcPr>
          <w:p w14:paraId="4AF85C20" w14:textId="77777777" w:rsidR="00304132" w:rsidRPr="00C07B2E" w:rsidRDefault="00304132" w:rsidP="00CD5E09">
            <w:pPr>
              <w:rPr>
                <w:rFonts w:eastAsia="SimSun"/>
              </w:rPr>
            </w:pPr>
            <w:r w:rsidRPr="00C07B2E">
              <w:rPr>
                <w:rFonts w:eastAsia="SimSun"/>
              </w:rPr>
              <w:t>С -7 дня по -2 день</w:t>
            </w:r>
          </w:p>
        </w:tc>
        <w:tc>
          <w:tcPr>
            <w:tcW w:w="2268" w:type="dxa"/>
            <w:vAlign w:val="center"/>
          </w:tcPr>
          <w:p w14:paraId="34F31D27" w14:textId="77777777" w:rsidR="00304132" w:rsidRPr="00C07B2E" w:rsidRDefault="00304132" w:rsidP="00CD5E09">
            <w:pPr>
              <w:rPr>
                <w:rFonts w:eastAsia="SimSun"/>
              </w:rPr>
            </w:pPr>
            <w:r w:rsidRPr="00C07B2E">
              <w:rPr>
                <w:rFonts w:eastAsia="SimSun"/>
              </w:rPr>
              <w:t>В/в, в течение 30 - 60 мин</w:t>
            </w:r>
          </w:p>
        </w:tc>
      </w:tr>
      <w:tr w:rsidR="00304132" w:rsidRPr="00C07B2E" w14:paraId="6E0673A1" w14:textId="77777777" w:rsidTr="00CD5E09">
        <w:trPr>
          <w:cantSplit/>
          <w:trHeight w:val="1207"/>
        </w:trPr>
        <w:tc>
          <w:tcPr>
            <w:tcW w:w="993" w:type="dxa"/>
            <w:vMerge/>
            <w:vAlign w:val="center"/>
          </w:tcPr>
          <w:p w14:paraId="6A43A540" w14:textId="77777777" w:rsidR="00304132" w:rsidRPr="00C07B2E" w:rsidRDefault="00304132" w:rsidP="00CD5E09">
            <w:pPr>
              <w:rPr>
                <w:rFonts w:eastAsia="SimSun"/>
              </w:rPr>
            </w:pPr>
          </w:p>
        </w:tc>
        <w:tc>
          <w:tcPr>
            <w:tcW w:w="1809" w:type="dxa"/>
            <w:vAlign w:val="center"/>
          </w:tcPr>
          <w:p w14:paraId="40276AA2" w14:textId="77777777" w:rsidR="00304132" w:rsidRPr="00C07B2E" w:rsidRDefault="00304132" w:rsidP="00CD5E09">
            <w:pPr>
              <w:rPr>
                <w:rFonts w:eastAsia="SimSun"/>
              </w:rPr>
            </w:pPr>
            <w:r w:rsidRPr="00C07B2E">
              <w:rPr>
                <w:rFonts w:eastAsia="SimSun"/>
              </w:rPr>
              <w:t>Бусульфан</w:t>
            </w:r>
          </w:p>
        </w:tc>
        <w:tc>
          <w:tcPr>
            <w:tcW w:w="1417" w:type="dxa"/>
            <w:vAlign w:val="center"/>
          </w:tcPr>
          <w:p w14:paraId="43328F49" w14:textId="77777777" w:rsidR="00304132" w:rsidRPr="00C07B2E" w:rsidRDefault="00304132" w:rsidP="00CD5E09">
            <w:pPr>
              <w:rPr>
                <w:rFonts w:eastAsia="SimSun"/>
              </w:rPr>
            </w:pPr>
            <w:r w:rsidRPr="00C07B2E">
              <w:rPr>
                <w:rFonts w:eastAsia="SimSun"/>
              </w:rPr>
              <w:t xml:space="preserve">4 мг/кг </w:t>
            </w:r>
          </w:p>
        </w:tc>
        <w:tc>
          <w:tcPr>
            <w:tcW w:w="1418" w:type="dxa"/>
            <w:vAlign w:val="center"/>
          </w:tcPr>
          <w:p w14:paraId="05AFB379" w14:textId="77777777" w:rsidR="00304132" w:rsidRPr="00C07B2E" w:rsidRDefault="00304132" w:rsidP="00CD5E09">
            <w:pPr>
              <w:rPr>
                <w:rFonts w:eastAsia="SimSun"/>
              </w:rPr>
            </w:pPr>
            <w:r w:rsidRPr="00C07B2E">
              <w:rPr>
                <w:rFonts w:eastAsia="SimSun"/>
                <w:lang w:val="en-US"/>
              </w:rPr>
              <w:t>14</w:t>
            </w:r>
            <w:r w:rsidRPr="00C07B2E">
              <w:rPr>
                <w:rFonts w:eastAsia="SimSun"/>
              </w:rPr>
              <w:t xml:space="preserve"> мг/кг </w:t>
            </w:r>
          </w:p>
        </w:tc>
        <w:tc>
          <w:tcPr>
            <w:tcW w:w="1701" w:type="dxa"/>
            <w:vAlign w:val="center"/>
          </w:tcPr>
          <w:p w14:paraId="4084D52A" w14:textId="77777777" w:rsidR="00304132" w:rsidRPr="00C07B2E" w:rsidRDefault="00304132" w:rsidP="00CD5E09">
            <w:pPr>
              <w:rPr>
                <w:rFonts w:eastAsia="SimSun"/>
              </w:rPr>
            </w:pPr>
            <w:r w:rsidRPr="00C07B2E">
              <w:rPr>
                <w:rFonts w:eastAsia="SimSun"/>
              </w:rPr>
              <w:t>С -</w:t>
            </w:r>
            <w:r w:rsidRPr="00C07B2E">
              <w:rPr>
                <w:rFonts w:eastAsia="SimSun"/>
                <w:lang w:val="en-US"/>
              </w:rPr>
              <w:t>6</w:t>
            </w:r>
            <w:r w:rsidRPr="00C07B2E">
              <w:rPr>
                <w:rFonts w:eastAsia="SimSun"/>
              </w:rPr>
              <w:t xml:space="preserve"> дня по -3 день</w:t>
            </w:r>
          </w:p>
        </w:tc>
        <w:tc>
          <w:tcPr>
            <w:tcW w:w="2268" w:type="dxa"/>
            <w:vAlign w:val="center"/>
          </w:tcPr>
          <w:p w14:paraId="42F28C8A" w14:textId="77777777" w:rsidR="00304132" w:rsidRPr="00C07B2E" w:rsidRDefault="00304132" w:rsidP="00CD5E09">
            <w:pPr>
              <w:rPr>
                <w:rFonts w:eastAsia="SimSun"/>
              </w:rPr>
            </w:pPr>
            <w:r w:rsidRPr="00C07B2E">
              <w:rPr>
                <w:rFonts w:eastAsia="SimSun"/>
              </w:rPr>
              <w:t>Внутрь, суммарная суточная доза разделяется на 4 приема с интервалом 6 часов. День -6: бусульфан разделяется на 2 приема с интервалом 6 часов, в вечернее время (18.00, 24.00)</w:t>
            </w:r>
          </w:p>
        </w:tc>
      </w:tr>
      <w:tr w:rsidR="00304132" w:rsidRPr="000F445E" w14:paraId="4D9B4812" w14:textId="77777777" w:rsidTr="00CD5E09">
        <w:trPr>
          <w:cantSplit/>
          <w:trHeight w:val="1498"/>
        </w:trPr>
        <w:tc>
          <w:tcPr>
            <w:tcW w:w="993" w:type="dxa"/>
            <w:vMerge w:val="restart"/>
            <w:textDirection w:val="btLr"/>
            <w:vAlign w:val="center"/>
          </w:tcPr>
          <w:p w14:paraId="088EDE1A" w14:textId="77777777" w:rsidR="00304132" w:rsidRPr="00C07B2E" w:rsidRDefault="00304132" w:rsidP="00CD5E09">
            <w:pPr>
              <w:rPr>
                <w:rFonts w:eastAsia="SimSun"/>
              </w:rPr>
            </w:pPr>
            <w:r w:rsidRPr="00C07B2E">
              <w:rPr>
                <w:rFonts w:eastAsia="SimSun"/>
              </w:rPr>
              <w:lastRenderedPageBreak/>
              <w:t>Профилактика РТПХ</w:t>
            </w:r>
          </w:p>
        </w:tc>
        <w:tc>
          <w:tcPr>
            <w:tcW w:w="1809" w:type="dxa"/>
            <w:vAlign w:val="center"/>
          </w:tcPr>
          <w:p w14:paraId="6BEB5399" w14:textId="77777777" w:rsidR="00304132" w:rsidRPr="00C07B2E" w:rsidRDefault="00304132" w:rsidP="00CD5E09">
            <w:pPr>
              <w:rPr>
                <w:rFonts w:eastAsia="SimSun"/>
              </w:rPr>
            </w:pPr>
            <w:r w:rsidRPr="00C07B2E">
              <w:rPr>
                <w:rFonts w:eastAsia="SimSun"/>
              </w:rPr>
              <w:t xml:space="preserve">Такролимус </w:t>
            </w:r>
          </w:p>
        </w:tc>
        <w:tc>
          <w:tcPr>
            <w:tcW w:w="1417" w:type="dxa"/>
            <w:vAlign w:val="center"/>
          </w:tcPr>
          <w:p w14:paraId="3DF311B6" w14:textId="77777777" w:rsidR="00304132" w:rsidRPr="00C07B2E" w:rsidRDefault="00304132" w:rsidP="00CD5E09">
            <w:pPr>
              <w:rPr>
                <w:rFonts w:eastAsia="SimSun"/>
              </w:rPr>
            </w:pPr>
            <w:r w:rsidRPr="00C07B2E">
              <w:rPr>
                <w:rFonts w:eastAsia="SimSun"/>
              </w:rPr>
              <w:t>0,03 мг/кг</w:t>
            </w:r>
          </w:p>
        </w:tc>
        <w:tc>
          <w:tcPr>
            <w:tcW w:w="1418" w:type="dxa"/>
            <w:vAlign w:val="center"/>
          </w:tcPr>
          <w:p w14:paraId="30FB5A25" w14:textId="77777777" w:rsidR="00304132" w:rsidRPr="00C07B2E" w:rsidRDefault="00304132" w:rsidP="00CD5E09">
            <w:pPr>
              <w:rPr>
                <w:rFonts w:eastAsia="SimSun"/>
              </w:rPr>
            </w:pPr>
            <w:r w:rsidRPr="00C07B2E">
              <w:rPr>
                <w:rFonts w:eastAsia="SimSun"/>
              </w:rPr>
              <w:t>–</w:t>
            </w:r>
          </w:p>
        </w:tc>
        <w:tc>
          <w:tcPr>
            <w:tcW w:w="1701" w:type="dxa"/>
            <w:vAlign w:val="center"/>
          </w:tcPr>
          <w:p w14:paraId="35BE0DEA" w14:textId="77777777" w:rsidR="00304132" w:rsidRPr="00C07B2E" w:rsidRDefault="00304132" w:rsidP="00CD5E09">
            <w:pPr>
              <w:rPr>
                <w:rFonts w:eastAsia="SimSun"/>
              </w:rPr>
            </w:pPr>
            <w:r w:rsidRPr="00C07B2E">
              <w:rPr>
                <w:rFonts w:eastAsia="SimSun"/>
              </w:rPr>
              <w:t xml:space="preserve">С +5 дня длительно </w:t>
            </w:r>
          </w:p>
        </w:tc>
        <w:tc>
          <w:tcPr>
            <w:tcW w:w="2268" w:type="dxa"/>
            <w:vAlign w:val="center"/>
          </w:tcPr>
          <w:p w14:paraId="5728A6FE" w14:textId="77777777" w:rsidR="00304132" w:rsidRPr="000F445E" w:rsidRDefault="00304132" w:rsidP="00CD5E09">
            <w:pPr>
              <w:rPr>
                <w:rFonts w:eastAsia="SimSun"/>
              </w:rPr>
            </w:pPr>
            <w:r w:rsidRPr="00C07B2E">
              <w:rPr>
                <w:rFonts w:eastAsia="SimSun"/>
              </w:rPr>
              <w:t xml:space="preserve">В/в инфузия в течение 24 ч с последующей коррекцией суточной дозы по концентрации. </w:t>
            </w:r>
            <w:r w:rsidRPr="000F445E">
              <w:rPr>
                <w:rFonts w:eastAsia="SimSun"/>
              </w:rPr>
              <w:t xml:space="preserve">Перевод на прием внутрь при условии восстановления лейкоцитов &gt; 1 </w:t>
            </w:r>
            <w:r>
              <w:rPr>
                <w:rFonts w:eastAsia="SimSun"/>
              </w:rPr>
              <w:t xml:space="preserve">х </w:t>
            </w:r>
            <w:r w:rsidRPr="000F445E">
              <w:rPr>
                <w:rFonts w:eastAsia="SimSun"/>
              </w:rPr>
              <w:t>10</w:t>
            </w:r>
            <w:r w:rsidRPr="000F445E">
              <w:rPr>
                <w:rFonts w:eastAsia="SimSun"/>
                <w:vertAlign w:val="superscript"/>
              </w:rPr>
              <w:t>9</w:t>
            </w:r>
            <w:r w:rsidRPr="000F445E">
              <w:rPr>
                <w:rFonts w:eastAsia="SimSun"/>
              </w:rPr>
              <w:t xml:space="preserve">/л, при отсутствии тошноты, рвоты, диареи и возможности приема внутрь. Концентрация </w:t>
            </w:r>
            <w:r w:rsidRPr="00C07B2E">
              <w:rPr>
                <w:rFonts w:eastAsia="SimSun"/>
              </w:rPr>
              <w:t>Tx</w:t>
            </w:r>
            <w:r w:rsidRPr="000F445E">
              <w:rPr>
                <w:rFonts w:eastAsia="SimSun"/>
              </w:rPr>
              <w:t xml:space="preserve"> 5-15 нг/мл.    </w:t>
            </w:r>
          </w:p>
        </w:tc>
      </w:tr>
      <w:tr w:rsidR="00304132" w:rsidRPr="00C07B2E" w14:paraId="45879B8E" w14:textId="77777777" w:rsidTr="00CD5E09">
        <w:trPr>
          <w:cantSplit/>
          <w:trHeight w:val="805"/>
        </w:trPr>
        <w:tc>
          <w:tcPr>
            <w:tcW w:w="993" w:type="dxa"/>
            <w:vMerge/>
            <w:textDirection w:val="btLr"/>
            <w:vAlign w:val="center"/>
          </w:tcPr>
          <w:p w14:paraId="5928C6A9" w14:textId="77777777" w:rsidR="00304132" w:rsidRPr="000F445E" w:rsidRDefault="00304132" w:rsidP="00CD5E09">
            <w:pPr>
              <w:rPr>
                <w:rFonts w:eastAsia="SimSun"/>
              </w:rPr>
            </w:pPr>
          </w:p>
        </w:tc>
        <w:tc>
          <w:tcPr>
            <w:tcW w:w="1809" w:type="dxa"/>
            <w:vAlign w:val="center"/>
          </w:tcPr>
          <w:p w14:paraId="0C5A1F5C" w14:textId="77777777" w:rsidR="00304132" w:rsidRPr="00C07B2E" w:rsidRDefault="00304132" w:rsidP="00CD5E09">
            <w:pPr>
              <w:rPr>
                <w:rFonts w:eastAsia="SimSun"/>
              </w:rPr>
            </w:pPr>
            <w:r w:rsidRPr="00C07B2E">
              <w:rPr>
                <w:rFonts w:eastAsia="SimSun"/>
              </w:rPr>
              <w:t>Микофенолата мофетил</w:t>
            </w:r>
          </w:p>
        </w:tc>
        <w:tc>
          <w:tcPr>
            <w:tcW w:w="1417" w:type="dxa"/>
            <w:vAlign w:val="center"/>
          </w:tcPr>
          <w:p w14:paraId="7871B75A" w14:textId="77777777" w:rsidR="00304132" w:rsidRPr="00C07B2E" w:rsidRDefault="00304132" w:rsidP="00CD5E09">
            <w:pPr>
              <w:rPr>
                <w:rFonts w:eastAsia="SimSun"/>
              </w:rPr>
            </w:pPr>
            <w:r w:rsidRPr="00C07B2E">
              <w:rPr>
                <w:rFonts w:eastAsia="SimSun"/>
              </w:rPr>
              <w:t xml:space="preserve">30 мг/кг </w:t>
            </w:r>
          </w:p>
        </w:tc>
        <w:tc>
          <w:tcPr>
            <w:tcW w:w="1418" w:type="dxa"/>
            <w:vAlign w:val="center"/>
          </w:tcPr>
          <w:p w14:paraId="3D93FAF8" w14:textId="77777777" w:rsidR="00304132" w:rsidRPr="00C07B2E" w:rsidRDefault="00304132" w:rsidP="00CD5E09">
            <w:pPr>
              <w:rPr>
                <w:rFonts w:eastAsia="SimSun"/>
              </w:rPr>
            </w:pPr>
            <w:r w:rsidRPr="00C07B2E">
              <w:rPr>
                <w:rFonts w:eastAsia="SimSun"/>
              </w:rPr>
              <w:t>–</w:t>
            </w:r>
          </w:p>
        </w:tc>
        <w:tc>
          <w:tcPr>
            <w:tcW w:w="1701" w:type="dxa"/>
            <w:vAlign w:val="center"/>
          </w:tcPr>
          <w:p w14:paraId="710FDEEC" w14:textId="77777777" w:rsidR="00304132" w:rsidRPr="00C07B2E" w:rsidRDefault="00304132" w:rsidP="00CD5E09">
            <w:pPr>
              <w:rPr>
                <w:rFonts w:eastAsia="SimSun"/>
              </w:rPr>
            </w:pPr>
            <w:r w:rsidRPr="00C07B2E">
              <w:rPr>
                <w:rFonts w:eastAsia="SimSun"/>
              </w:rPr>
              <w:t xml:space="preserve">С +5 дня по +35 день </w:t>
            </w:r>
          </w:p>
        </w:tc>
        <w:tc>
          <w:tcPr>
            <w:tcW w:w="2268" w:type="dxa"/>
            <w:vAlign w:val="center"/>
          </w:tcPr>
          <w:p w14:paraId="08E7F3FB" w14:textId="77777777" w:rsidR="00304132" w:rsidRPr="000F445E" w:rsidRDefault="00304132" w:rsidP="00CD5E09">
            <w:pPr>
              <w:rPr>
                <w:rFonts w:eastAsia="SimSun"/>
              </w:rPr>
            </w:pPr>
            <w:r w:rsidRPr="000F445E">
              <w:rPr>
                <w:rFonts w:eastAsia="SimSun"/>
              </w:rPr>
              <w:t>Внутрь, суммарная суточная доза разделяется на 2- 4 приема (не более 3</w:t>
            </w:r>
            <w:r>
              <w:rPr>
                <w:rFonts w:eastAsia="SimSun"/>
              </w:rPr>
              <w:t xml:space="preserve"> </w:t>
            </w:r>
            <w:r w:rsidRPr="000F445E">
              <w:rPr>
                <w:rFonts w:eastAsia="SimSun"/>
              </w:rPr>
              <w:t>г/сут).</w:t>
            </w:r>
          </w:p>
        </w:tc>
      </w:tr>
    </w:tbl>
    <w:p w14:paraId="7E677957" w14:textId="77777777" w:rsidR="00304132" w:rsidRPr="00C07B2E" w:rsidRDefault="00304132" w:rsidP="00304132">
      <w:pPr>
        <w:rPr>
          <w:rFonts w:eastAsia="SimSun"/>
        </w:rPr>
      </w:pPr>
    </w:p>
    <w:p w14:paraId="62A6E7E1" w14:textId="77777777" w:rsidR="00304132" w:rsidRPr="00C07B2E" w:rsidRDefault="00304132" w:rsidP="00304132">
      <w:pPr>
        <w:rPr>
          <w:rFonts w:eastAsia="SimSun"/>
        </w:rPr>
      </w:pPr>
      <w:bookmarkStart w:id="302" w:name="_Toc44401155"/>
      <w:r w:rsidRPr="00042499">
        <w:rPr>
          <w:rFonts w:eastAsia="SimSun"/>
        </w:rPr>
        <w:t>Таблица</w:t>
      </w:r>
      <w:r w:rsidRPr="00C07B2E">
        <w:rPr>
          <w:rFonts w:eastAsia="SimSun"/>
        </w:rPr>
        <w:t xml:space="preserve"> </w:t>
      </w:r>
      <w:r>
        <w:rPr>
          <w:rFonts w:eastAsia="SimSun"/>
        </w:rPr>
        <w:t>5</w:t>
      </w:r>
      <w:r w:rsidRPr="00C07B2E">
        <w:rPr>
          <w:rFonts w:eastAsia="SimSun"/>
        </w:rPr>
        <w:t>.1.1.12  – Flu180+Treo42 / PT-Cy+Tx+MMF30</w:t>
      </w:r>
      <w:bookmarkEnd w:id="302"/>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01"/>
        <w:gridCol w:w="1701"/>
        <w:gridCol w:w="1417"/>
        <w:gridCol w:w="1418"/>
        <w:gridCol w:w="1701"/>
        <w:gridCol w:w="2268"/>
      </w:tblGrid>
      <w:tr w:rsidR="00304132" w:rsidRPr="00C07B2E" w14:paraId="3CAFBD2A" w14:textId="77777777" w:rsidTr="00CD5E09">
        <w:trPr>
          <w:cantSplit/>
          <w:trHeight w:val="20"/>
          <w:tblHeader/>
        </w:trPr>
        <w:tc>
          <w:tcPr>
            <w:tcW w:w="1101" w:type="dxa"/>
            <w:vAlign w:val="center"/>
          </w:tcPr>
          <w:p w14:paraId="381A8485" w14:textId="77777777" w:rsidR="00304132" w:rsidRPr="00470D3D" w:rsidRDefault="00304132" w:rsidP="00CD5E09">
            <w:pPr>
              <w:rPr>
                <w:rFonts w:eastAsia="SimSun"/>
              </w:rPr>
            </w:pPr>
          </w:p>
        </w:tc>
        <w:tc>
          <w:tcPr>
            <w:tcW w:w="1701" w:type="dxa"/>
            <w:vAlign w:val="center"/>
          </w:tcPr>
          <w:p w14:paraId="6C5ABDBA" w14:textId="77777777" w:rsidR="00304132" w:rsidRPr="00C07B2E" w:rsidRDefault="00304132" w:rsidP="00CD5E09">
            <w:pPr>
              <w:rPr>
                <w:rFonts w:eastAsia="SimSun"/>
              </w:rPr>
            </w:pPr>
            <w:r w:rsidRPr="00C07B2E">
              <w:rPr>
                <w:rFonts w:eastAsia="SimSun"/>
              </w:rPr>
              <w:t>Препарат</w:t>
            </w:r>
          </w:p>
        </w:tc>
        <w:tc>
          <w:tcPr>
            <w:tcW w:w="1417" w:type="dxa"/>
            <w:vAlign w:val="center"/>
          </w:tcPr>
          <w:p w14:paraId="702D797C" w14:textId="77777777" w:rsidR="00304132" w:rsidRPr="00C07B2E" w:rsidRDefault="00304132" w:rsidP="00CD5E09">
            <w:pPr>
              <w:rPr>
                <w:rFonts w:eastAsia="SimSun"/>
              </w:rPr>
            </w:pPr>
            <w:r w:rsidRPr="00C07B2E">
              <w:rPr>
                <w:rFonts w:eastAsia="SimSun"/>
              </w:rPr>
              <w:t>Суточная доза</w:t>
            </w:r>
          </w:p>
        </w:tc>
        <w:tc>
          <w:tcPr>
            <w:tcW w:w="1418" w:type="dxa"/>
            <w:vAlign w:val="center"/>
          </w:tcPr>
          <w:p w14:paraId="1B9A8010" w14:textId="77777777" w:rsidR="00304132" w:rsidRPr="00C07B2E" w:rsidRDefault="00304132" w:rsidP="00CD5E09">
            <w:pPr>
              <w:rPr>
                <w:rFonts w:eastAsia="SimSun"/>
              </w:rPr>
            </w:pPr>
            <w:r w:rsidRPr="00C07B2E">
              <w:rPr>
                <w:rFonts w:eastAsia="SimSun"/>
              </w:rPr>
              <w:t>Курсовая доза</w:t>
            </w:r>
          </w:p>
        </w:tc>
        <w:tc>
          <w:tcPr>
            <w:tcW w:w="1701" w:type="dxa"/>
            <w:vAlign w:val="center"/>
          </w:tcPr>
          <w:p w14:paraId="112F9C97" w14:textId="77777777" w:rsidR="00304132" w:rsidRPr="00C07B2E" w:rsidRDefault="00304132" w:rsidP="00CD5E09">
            <w:pPr>
              <w:rPr>
                <w:rFonts w:eastAsia="SimSun"/>
              </w:rPr>
            </w:pPr>
            <w:r w:rsidRPr="00C07B2E">
              <w:rPr>
                <w:rFonts w:eastAsia="SimSun"/>
              </w:rPr>
              <w:t>Дни введения</w:t>
            </w:r>
          </w:p>
        </w:tc>
        <w:tc>
          <w:tcPr>
            <w:tcW w:w="2268" w:type="dxa"/>
            <w:vAlign w:val="center"/>
          </w:tcPr>
          <w:p w14:paraId="6A96F7DD" w14:textId="77777777" w:rsidR="00304132" w:rsidRPr="00C07B2E" w:rsidRDefault="00304132" w:rsidP="00CD5E09">
            <w:pPr>
              <w:rPr>
                <w:rFonts w:eastAsia="SimSun"/>
              </w:rPr>
            </w:pPr>
            <w:r w:rsidRPr="00C07B2E">
              <w:rPr>
                <w:rFonts w:eastAsia="SimSun"/>
              </w:rPr>
              <w:t>Порядок введения</w:t>
            </w:r>
          </w:p>
        </w:tc>
      </w:tr>
      <w:tr w:rsidR="00304132" w:rsidRPr="00C07B2E" w14:paraId="06D542BB" w14:textId="77777777" w:rsidTr="00CD5E09">
        <w:trPr>
          <w:cantSplit/>
          <w:trHeight w:val="20"/>
        </w:trPr>
        <w:tc>
          <w:tcPr>
            <w:tcW w:w="1101" w:type="dxa"/>
            <w:vMerge w:val="restart"/>
            <w:textDirection w:val="btLr"/>
            <w:vAlign w:val="center"/>
          </w:tcPr>
          <w:p w14:paraId="3CF8D2F8" w14:textId="77777777" w:rsidR="00304132" w:rsidRPr="00C07B2E" w:rsidRDefault="00304132" w:rsidP="00CD5E09">
            <w:pPr>
              <w:rPr>
                <w:rFonts w:eastAsia="SimSun"/>
              </w:rPr>
            </w:pPr>
            <w:r w:rsidRPr="00C07B2E">
              <w:rPr>
                <w:rFonts w:eastAsia="SimSun"/>
              </w:rPr>
              <w:t>Кондиционирование</w:t>
            </w:r>
          </w:p>
        </w:tc>
        <w:tc>
          <w:tcPr>
            <w:tcW w:w="1701" w:type="dxa"/>
            <w:vAlign w:val="center"/>
          </w:tcPr>
          <w:p w14:paraId="30C23E59" w14:textId="77777777" w:rsidR="00304132" w:rsidRPr="00C07B2E" w:rsidRDefault="00304132" w:rsidP="00CD5E09">
            <w:pPr>
              <w:rPr>
                <w:rFonts w:eastAsia="SimSun"/>
              </w:rPr>
            </w:pPr>
            <w:r w:rsidRPr="00C07B2E">
              <w:rPr>
                <w:rFonts w:eastAsia="SimSun"/>
              </w:rPr>
              <w:t xml:space="preserve">Флударабин </w:t>
            </w:r>
          </w:p>
        </w:tc>
        <w:tc>
          <w:tcPr>
            <w:tcW w:w="1417" w:type="dxa"/>
            <w:vAlign w:val="center"/>
          </w:tcPr>
          <w:p w14:paraId="26DEB666" w14:textId="77777777" w:rsidR="00304132" w:rsidRPr="000F445E" w:rsidRDefault="00304132" w:rsidP="00CD5E09">
            <w:pPr>
              <w:rPr>
                <w:rFonts w:eastAsia="SimSun"/>
              </w:rPr>
            </w:pPr>
            <w:r w:rsidRPr="00C07B2E">
              <w:rPr>
                <w:rFonts w:eastAsia="SimSun"/>
              </w:rPr>
              <w:t>30 мг/м</w:t>
            </w:r>
            <w:r w:rsidRPr="000F445E">
              <w:rPr>
                <w:rFonts w:eastAsia="SimSun"/>
                <w:vertAlign w:val="superscript"/>
              </w:rPr>
              <w:t>2</w:t>
            </w:r>
          </w:p>
        </w:tc>
        <w:tc>
          <w:tcPr>
            <w:tcW w:w="1418" w:type="dxa"/>
            <w:vAlign w:val="center"/>
          </w:tcPr>
          <w:p w14:paraId="49082745" w14:textId="77777777" w:rsidR="00304132" w:rsidRPr="00C07B2E" w:rsidRDefault="00304132" w:rsidP="00CD5E09">
            <w:pPr>
              <w:rPr>
                <w:rFonts w:eastAsia="SimSun"/>
              </w:rPr>
            </w:pPr>
            <w:r w:rsidRPr="00C07B2E">
              <w:rPr>
                <w:rFonts w:eastAsia="SimSun"/>
              </w:rPr>
              <w:t>180 мг/м</w:t>
            </w:r>
            <w:r w:rsidRPr="005659AA">
              <w:rPr>
                <w:rFonts w:eastAsia="SimSun"/>
                <w:vertAlign w:val="superscript"/>
              </w:rPr>
              <w:t>2</w:t>
            </w:r>
          </w:p>
        </w:tc>
        <w:tc>
          <w:tcPr>
            <w:tcW w:w="1701" w:type="dxa"/>
            <w:vAlign w:val="center"/>
          </w:tcPr>
          <w:p w14:paraId="58D74F17" w14:textId="77777777" w:rsidR="00304132" w:rsidRPr="00C07B2E" w:rsidRDefault="00304132" w:rsidP="00CD5E09">
            <w:pPr>
              <w:rPr>
                <w:rFonts w:eastAsia="SimSun"/>
              </w:rPr>
            </w:pPr>
            <w:r w:rsidRPr="00C07B2E">
              <w:rPr>
                <w:rFonts w:eastAsia="SimSun"/>
              </w:rPr>
              <w:t>С -7 дня по -2 день</w:t>
            </w:r>
          </w:p>
        </w:tc>
        <w:tc>
          <w:tcPr>
            <w:tcW w:w="2268" w:type="dxa"/>
            <w:vAlign w:val="center"/>
          </w:tcPr>
          <w:p w14:paraId="57021B11" w14:textId="77777777" w:rsidR="00304132" w:rsidRPr="006A31EC" w:rsidRDefault="00304132" w:rsidP="00CD5E09">
            <w:pPr>
              <w:rPr>
                <w:rFonts w:eastAsia="SimSun"/>
              </w:rPr>
            </w:pPr>
            <w:r w:rsidRPr="006A31EC">
              <w:rPr>
                <w:rFonts w:eastAsia="SimSun"/>
              </w:rPr>
              <w:t>В/в, в течение 30 - 60 мин</w:t>
            </w:r>
          </w:p>
        </w:tc>
      </w:tr>
      <w:tr w:rsidR="00304132" w:rsidRPr="00C07B2E" w14:paraId="02FE5FAA" w14:textId="77777777" w:rsidTr="00CD5E09">
        <w:trPr>
          <w:cantSplit/>
          <w:trHeight w:val="778"/>
        </w:trPr>
        <w:tc>
          <w:tcPr>
            <w:tcW w:w="1101" w:type="dxa"/>
            <w:vMerge/>
            <w:vAlign w:val="center"/>
          </w:tcPr>
          <w:p w14:paraId="3E6DB475" w14:textId="77777777" w:rsidR="00304132" w:rsidRPr="006A31EC" w:rsidRDefault="00304132" w:rsidP="00CD5E09">
            <w:pPr>
              <w:rPr>
                <w:rFonts w:eastAsia="SimSun"/>
              </w:rPr>
            </w:pPr>
          </w:p>
        </w:tc>
        <w:tc>
          <w:tcPr>
            <w:tcW w:w="1701" w:type="dxa"/>
            <w:vAlign w:val="center"/>
          </w:tcPr>
          <w:p w14:paraId="11B0D302" w14:textId="77777777" w:rsidR="00304132" w:rsidRPr="00C07B2E" w:rsidRDefault="00304132" w:rsidP="00CD5E09">
            <w:pPr>
              <w:rPr>
                <w:rFonts w:eastAsia="SimSun"/>
              </w:rPr>
            </w:pPr>
            <w:r w:rsidRPr="00C07B2E">
              <w:rPr>
                <w:rFonts w:eastAsia="SimSun"/>
              </w:rPr>
              <w:t xml:space="preserve">Треосульфан </w:t>
            </w:r>
          </w:p>
        </w:tc>
        <w:tc>
          <w:tcPr>
            <w:tcW w:w="1417" w:type="dxa"/>
            <w:vAlign w:val="center"/>
          </w:tcPr>
          <w:p w14:paraId="479BB9C9" w14:textId="77777777" w:rsidR="00304132" w:rsidRPr="00C07B2E" w:rsidRDefault="00304132" w:rsidP="00CD5E09">
            <w:pPr>
              <w:rPr>
                <w:rFonts w:eastAsia="SimSun"/>
              </w:rPr>
            </w:pPr>
            <w:r w:rsidRPr="00C07B2E">
              <w:rPr>
                <w:rFonts w:eastAsia="SimSun"/>
              </w:rPr>
              <w:t>14 г/кг</w:t>
            </w:r>
          </w:p>
        </w:tc>
        <w:tc>
          <w:tcPr>
            <w:tcW w:w="1418" w:type="dxa"/>
            <w:vAlign w:val="center"/>
          </w:tcPr>
          <w:p w14:paraId="3C33277D" w14:textId="77777777" w:rsidR="00304132" w:rsidRPr="00C07B2E" w:rsidRDefault="00304132" w:rsidP="00CD5E09">
            <w:pPr>
              <w:rPr>
                <w:rFonts w:eastAsia="SimSun"/>
              </w:rPr>
            </w:pPr>
            <w:r w:rsidRPr="00C07B2E">
              <w:rPr>
                <w:rFonts w:eastAsia="SimSun"/>
              </w:rPr>
              <w:t>42 г/кг</w:t>
            </w:r>
          </w:p>
        </w:tc>
        <w:tc>
          <w:tcPr>
            <w:tcW w:w="1701" w:type="dxa"/>
            <w:vAlign w:val="center"/>
          </w:tcPr>
          <w:p w14:paraId="117ECD97" w14:textId="77777777" w:rsidR="00304132" w:rsidRPr="00C07B2E" w:rsidRDefault="00304132" w:rsidP="00CD5E09">
            <w:pPr>
              <w:rPr>
                <w:rFonts w:eastAsia="SimSun"/>
              </w:rPr>
            </w:pPr>
            <w:r w:rsidRPr="00C07B2E">
              <w:rPr>
                <w:rFonts w:eastAsia="SimSun"/>
              </w:rPr>
              <w:t xml:space="preserve">С -5 дня по -3 день </w:t>
            </w:r>
          </w:p>
        </w:tc>
        <w:tc>
          <w:tcPr>
            <w:tcW w:w="2268" w:type="dxa"/>
            <w:vAlign w:val="center"/>
          </w:tcPr>
          <w:p w14:paraId="48A1D1E7" w14:textId="77777777" w:rsidR="00304132" w:rsidRPr="006A31EC" w:rsidRDefault="00304132" w:rsidP="00CD5E09">
            <w:pPr>
              <w:rPr>
                <w:rFonts w:eastAsia="SimSun"/>
              </w:rPr>
            </w:pPr>
            <w:r w:rsidRPr="006A31EC">
              <w:rPr>
                <w:rFonts w:eastAsia="SimSun"/>
              </w:rPr>
              <w:t xml:space="preserve">В/в инфуия, в течение 2 часов </w:t>
            </w:r>
          </w:p>
        </w:tc>
      </w:tr>
      <w:tr w:rsidR="00304132" w:rsidRPr="005659AA" w14:paraId="0F9EA6D5" w14:textId="77777777" w:rsidTr="00CD5E09">
        <w:trPr>
          <w:cantSplit/>
          <w:trHeight w:val="1498"/>
        </w:trPr>
        <w:tc>
          <w:tcPr>
            <w:tcW w:w="1101" w:type="dxa"/>
            <w:vMerge w:val="restart"/>
            <w:textDirection w:val="btLr"/>
            <w:vAlign w:val="center"/>
          </w:tcPr>
          <w:p w14:paraId="73A8C0F1" w14:textId="77777777" w:rsidR="00304132" w:rsidRPr="00C07B2E" w:rsidRDefault="00304132" w:rsidP="00CD5E09">
            <w:pPr>
              <w:rPr>
                <w:rFonts w:eastAsia="SimSun"/>
              </w:rPr>
            </w:pPr>
            <w:r w:rsidRPr="00C07B2E">
              <w:rPr>
                <w:rFonts w:eastAsia="SimSun"/>
              </w:rPr>
              <w:lastRenderedPageBreak/>
              <w:t>Профилактика РТПХ</w:t>
            </w:r>
          </w:p>
        </w:tc>
        <w:tc>
          <w:tcPr>
            <w:tcW w:w="1701" w:type="dxa"/>
            <w:vAlign w:val="center"/>
          </w:tcPr>
          <w:p w14:paraId="2BFEC2A2" w14:textId="77777777" w:rsidR="00304132" w:rsidRPr="00C07B2E" w:rsidRDefault="00304132" w:rsidP="00CD5E09">
            <w:pPr>
              <w:rPr>
                <w:rFonts w:eastAsia="SimSun"/>
              </w:rPr>
            </w:pPr>
            <w:r w:rsidRPr="00C07B2E">
              <w:rPr>
                <w:rFonts w:eastAsia="SimSun"/>
              </w:rPr>
              <w:t xml:space="preserve">Такролимус </w:t>
            </w:r>
          </w:p>
        </w:tc>
        <w:tc>
          <w:tcPr>
            <w:tcW w:w="1417" w:type="dxa"/>
            <w:vAlign w:val="center"/>
          </w:tcPr>
          <w:p w14:paraId="677D8C9A" w14:textId="77777777" w:rsidR="00304132" w:rsidRPr="00C07B2E" w:rsidRDefault="00304132" w:rsidP="00CD5E09">
            <w:pPr>
              <w:rPr>
                <w:rFonts w:eastAsia="SimSun"/>
              </w:rPr>
            </w:pPr>
            <w:r w:rsidRPr="00C07B2E">
              <w:rPr>
                <w:rFonts w:eastAsia="SimSun"/>
              </w:rPr>
              <w:t>0,03 мг/кг</w:t>
            </w:r>
          </w:p>
        </w:tc>
        <w:tc>
          <w:tcPr>
            <w:tcW w:w="1418" w:type="dxa"/>
            <w:vAlign w:val="center"/>
          </w:tcPr>
          <w:p w14:paraId="5687E249" w14:textId="77777777" w:rsidR="00304132" w:rsidRPr="00C07B2E" w:rsidRDefault="00304132" w:rsidP="00CD5E09">
            <w:pPr>
              <w:rPr>
                <w:rFonts w:eastAsia="SimSun"/>
              </w:rPr>
            </w:pPr>
            <w:r w:rsidRPr="00C07B2E">
              <w:rPr>
                <w:rFonts w:eastAsia="SimSun"/>
                <w:lang w:val="en-US"/>
              </w:rPr>
              <w:t>–</w:t>
            </w:r>
          </w:p>
        </w:tc>
        <w:tc>
          <w:tcPr>
            <w:tcW w:w="1701" w:type="dxa"/>
            <w:vAlign w:val="center"/>
          </w:tcPr>
          <w:p w14:paraId="3600EB67" w14:textId="77777777" w:rsidR="00304132" w:rsidRPr="00C07B2E" w:rsidRDefault="00304132" w:rsidP="00CD5E09">
            <w:pPr>
              <w:rPr>
                <w:rFonts w:eastAsia="SimSun"/>
              </w:rPr>
            </w:pPr>
            <w:r w:rsidRPr="00C07B2E">
              <w:rPr>
                <w:rFonts w:eastAsia="SimSun"/>
              </w:rPr>
              <w:t xml:space="preserve">С +5 дня длительно </w:t>
            </w:r>
          </w:p>
        </w:tc>
        <w:tc>
          <w:tcPr>
            <w:tcW w:w="2268" w:type="dxa"/>
            <w:vAlign w:val="center"/>
          </w:tcPr>
          <w:p w14:paraId="5C53A2F0" w14:textId="77777777" w:rsidR="00304132" w:rsidRPr="005659AA" w:rsidRDefault="00304132" w:rsidP="00CD5E09">
            <w:pPr>
              <w:rPr>
                <w:rFonts w:eastAsia="SimSun"/>
              </w:rPr>
            </w:pPr>
            <w:r w:rsidRPr="006A31EC">
              <w:rPr>
                <w:rFonts w:eastAsia="SimSun"/>
              </w:rPr>
              <w:t xml:space="preserve">В/в инфузия в течение 24 ч с последующей коррекцией суточной дозы по концентрации. Перевод на прием внутрь при условии восстановления лейкоцитов &gt; 1 </w:t>
            </w:r>
            <w:r>
              <w:rPr>
                <w:rFonts w:eastAsia="SimSun"/>
              </w:rPr>
              <w:t xml:space="preserve">х </w:t>
            </w:r>
            <w:r w:rsidRPr="006A31EC">
              <w:rPr>
                <w:rFonts w:eastAsia="SimSun"/>
              </w:rPr>
              <w:t>10</w:t>
            </w:r>
            <w:r w:rsidRPr="006A31EC">
              <w:rPr>
                <w:rFonts w:eastAsia="SimSun"/>
                <w:vertAlign w:val="superscript"/>
              </w:rPr>
              <w:t>9</w:t>
            </w:r>
            <w:r w:rsidRPr="006A31EC">
              <w:rPr>
                <w:rFonts w:eastAsia="SimSun"/>
              </w:rPr>
              <w:t xml:space="preserve">/л, при отсутствии тошноты, рвоты, диареи и возможности приема внутрь. </w:t>
            </w:r>
            <w:r w:rsidRPr="005659AA">
              <w:rPr>
                <w:rFonts w:eastAsia="SimSun"/>
              </w:rPr>
              <w:t xml:space="preserve">Концентрация </w:t>
            </w:r>
            <w:r w:rsidRPr="00C07B2E">
              <w:rPr>
                <w:rFonts w:eastAsia="SimSun"/>
              </w:rPr>
              <w:t>Tx</w:t>
            </w:r>
            <w:r w:rsidRPr="005659AA">
              <w:rPr>
                <w:rFonts w:eastAsia="SimSun"/>
              </w:rPr>
              <w:t xml:space="preserve"> 5-15 нг/мл.    </w:t>
            </w:r>
          </w:p>
        </w:tc>
      </w:tr>
      <w:tr w:rsidR="00304132" w:rsidRPr="00C07B2E" w14:paraId="4FCD8A49" w14:textId="77777777" w:rsidTr="00CD5E09">
        <w:trPr>
          <w:cantSplit/>
          <w:trHeight w:val="858"/>
        </w:trPr>
        <w:tc>
          <w:tcPr>
            <w:tcW w:w="1101" w:type="dxa"/>
            <w:vMerge/>
            <w:textDirection w:val="btLr"/>
            <w:vAlign w:val="center"/>
          </w:tcPr>
          <w:p w14:paraId="54730475" w14:textId="77777777" w:rsidR="00304132" w:rsidRPr="005659AA" w:rsidRDefault="00304132" w:rsidP="00CD5E09">
            <w:pPr>
              <w:rPr>
                <w:rFonts w:eastAsia="SimSun"/>
              </w:rPr>
            </w:pPr>
          </w:p>
        </w:tc>
        <w:tc>
          <w:tcPr>
            <w:tcW w:w="1701" w:type="dxa"/>
            <w:vAlign w:val="center"/>
          </w:tcPr>
          <w:p w14:paraId="5B7ED67E" w14:textId="77777777" w:rsidR="00304132" w:rsidRPr="00C07B2E" w:rsidRDefault="00304132" w:rsidP="00CD5E09">
            <w:pPr>
              <w:rPr>
                <w:rFonts w:eastAsia="SimSun"/>
              </w:rPr>
            </w:pPr>
            <w:r w:rsidRPr="00C07B2E">
              <w:rPr>
                <w:rFonts w:eastAsia="SimSun"/>
              </w:rPr>
              <w:t>Микофенолата мофетил</w:t>
            </w:r>
          </w:p>
        </w:tc>
        <w:tc>
          <w:tcPr>
            <w:tcW w:w="1417" w:type="dxa"/>
            <w:vAlign w:val="center"/>
          </w:tcPr>
          <w:p w14:paraId="2BF77F62" w14:textId="77777777" w:rsidR="00304132" w:rsidRPr="00C07B2E" w:rsidRDefault="00304132" w:rsidP="00CD5E09">
            <w:pPr>
              <w:rPr>
                <w:rFonts w:eastAsia="SimSun"/>
              </w:rPr>
            </w:pPr>
            <w:r w:rsidRPr="00C07B2E">
              <w:rPr>
                <w:rFonts w:eastAsia="SimSun"/>
                <w:lang w:val="en-US"/>
              </w:rPr>
              <w:t>30</w:t>
            </w:r>
            <w:r w:rsidRPr="00C07B2E">
              <w:rPr>
                <w:rFonts w:eastAsia="SimSun"/>
              </w:rPr>
              <w:t xml:space="preserve"> мг/кг </w:t>
            </w:r>
          </w:p>
        </w:tc>
        <w:tc>
          <w:tcPr>
            <w:tcW w:w="1418" w:type="dxa"/>
            <w:vAlign w:val="center"/>
          </w:tcPr>
          <w:p w14:paraId="50DEA3C0" w14:textId="77777777" w:rsidR="00304132" w:rsidRPr="00C07B2E" w:rsidRDefault="00304132" w:rsidP="00CD5E09">
            <w:pPr>
              <w:rPr>
                <w:rFonts w:eastAsia="SimSun"/>
              </w:rPr>
            </w:pPr>
            <w:r w:rsidRPr="00C07B2E">
              <w:rPr>
                <w:rFonts w:eastAsia="SimSun"/>
              </w:rPr>
              <w:t>–</w:t>
            </w:r>
          </w:p>
        </w:tc>
        <w:tc>
          <w:tcPr>
            <w:tcW w:w="1701" w:type="dxa"/>
            <w:vAlign w:val="center"/>
          </w:tcPr>
          <w:p w14:paraId="083CCBBA" w14:textId="77777777" w:rsidR="00304132" w:rsidRPr="00C07B2E" w:rsidRDefault="00304132" w:rsidP="00CD5E09">
            <w:pPr>
              <w:rPr>
                <w:rFonts w:eastAsia="SimSun"/>
              </w:rPr>
            </w:pPr>
            <w:r w:rsidRPr="00C07B2E">
              <w:rPr>
                <w:rFonts w:eastAsia="SimSun"/>
              </w:rPr>
              <w:t xml:space="preserve">С +5 дня по +35 день </w:t>
            </w:r>
          </w:p>
        </w:tc>
        <w:tc>
          <w:tcPr>
            <w:tcW w:w="2268" w:type="dxa"/>
            <w:vAlign w:val="center"/>
          </w:tcPr>
          <w:p w14:paraId="1F606348" w14:textId="77777777" w:rsidR="00304132" w:rsidRPr="005659AA" w:rsidRDefault="00304132" w:rsidP="00CD5E09">
            <w:pPr>
              <w:rPr>
                <w:rFonts w:eastAsia="SimSun"/>
              </w:rPr>
            </w:pPr>
            <w:r w:rsidRPr="005659AA">
              <w:rPr>
                <w:rFonts w:eastAsia="SimSun"/>
              </w:rPr>
              <w:t>Внутрь, суммарная суточная доза разделяется на 2- 4 приема (не более 3</w:t>
            </w:r>
            <w:r>
              <w:rPr>
                <w:rFonts w:eastAsia="SimSun"/>
              </w:rPr>
              <w:t xml:space="preserve"> </w:t>
            </w:r>
            <w:r w:rsidRPr="005659AA">
              <w:rPr>
                <w:rFonts w:eastAsia="SimSun"/>
              </w:rPr>
              <w:t>г/сут).</w:t>
            </w:r>
          </w:p>
        </w:tc>
      </w:tr>
      <w:tr w:rsidR="00304132" w:rsidRPr="00C07B2E" w14:paraId="4C7B0A79" w14:textId="77777777" w:rsidTr="00CD5E09">
        <w:trPr>
          <w:cantSplit/>
          <w:trHeight w:val="472"/>
        </w:trPr>
        <w:tc>
          <w:tcPr>
            <w:tcW w:w="1101" w:type="dxa"/>
            <w:vMerge/>
            <w:textDirection w:val="btLr"/>
            <w:vAlign w:val="center"/>
          </w:tcPr>
          <w:p w14:paraId="1B3EF727" w14:textId="77777777" w:rsidR="00304132" w:rsidRPr="005659AA" w:rsidRDefault="00304132" w:rsidP="00CD5E09">
            <w:pPr>
              <w:rPr>
                <w:rFonts w:eastAsia="SimSun"/>
              </w:rPr>
            </w:pPr>
          </w:p>
        </w:tc>
        <w:tc>
          <w:tcPr>
            <w:tcW w:w="1701" w:type="dxa"/>
            <w:vAlign w:val="center"/>
          </w:tcPr>
          <w:p w14:paraId="599C4478" w14:textId="77777777" w:rsidR="00304132" w:rsidRPr="00C07B2E" w:rsidRDefault="00304132" w:rsidP="00CD5E09">
            <w:pPr>
              <w:rPr>
                <w:rFonts w:eastAsia="SimSun"/>
              </w:rPr>
            </w:pPr>
            <w:r w:rsidRPr="00C07B2E">
              <w:rPr>
                <w:rFonts w:eastAsia="SimSun"/>
              </w:rPr>
              <w:t xml:space="preserve">Циклофосфамид </w:t>
            </w:r>
          </w:p>
        </w:tc>
        <w:tc>
          <w:tcPr>
            <w:tcW w:w="1417" w:type="dxa"/>
            <w:vAlign w:val="center"/>
          </w:tcPr>
          <w:p w14:paraId="5AFB9D5D" w14:textId="77777777" w:rsidR="00304132" w:rsidRPr="00C07B2E" w:rsidRDefault="00304132" w:rsidP="00CD5E09">
            <w:pPr>
              <w:rPr>
                <w:rFonts w:eastAsia="SimSun"/>
              </w:rPr>
            </w:pPr>
            <w:r w:rsidRPr="00C07B2E">
              <w:rPr>
                <w:rFonts w:eastAsia="SimSun"/>
              </w:rPr>
              <w:t xml:space="preserve">50 мг/кг </w:t>
            </w:r>
          </w:p>
        </w:tc>
        <w:tc>
          <w:tcPr>
            <w:tcW w:w="1418" w:type="dxa"/>
            <w:vAlign w:val="center"/>
          </w:tcPr>
          <w:p w14:paraId="01D0D699" w14:textId="77777777" w:rsidR="00304132" w:rsidRPr="00C07B2E" w:rsidRDefault="00304132" w:rsidP="00CD5E09">
            <w:pPr>
              <w:rPr>
                <w:rFonts w:eastAsia="SimSun"/>
              </w:rPr>
            </w:pPr>
            <w:r w:rsidRPr="00C07B2E">
              <w:rPr>
                <w:rFonts w:eastAsia="SimSun"/>
              </w:rPr>
              <w:t>100 мг/кг</w:t>
            </w:r>
          </w:p>
        </w:tc>
        <w:tc>
          <w:tcPr>
            <w:tcW w:w="1701" w:type="dxa"/>
            <w:vAlign w:val="center"/>
          </w:tcPr>
          <w:p w14:paraId="43C56EF1" w14:textId="77777777" w:rsidR="00304132" w:rsidRPr="00C07B2E" w:rsidRDefault="00304132" w:rsidP="00CD5E09">
            <w:pPr>
              <w:rPr>
                <w:rFonts w:eastAsia="SimSun"/>
              </w:rPr>
            </w:pPr>
            <w:r w:rsidRPr="00C07B2E">
              <w:rPr>
                <w:rFonts w:eastAsia="SimSun"/>
              </w:rPr>
              <w:t>С +3 дня по +4 день</w:t>
            </w:r>
          </w:p>
        </w:tc>
        <w:tc>
          <w:tcPr>
            <w:tcW w:w="2268" w:type="dxa"/>
            <w:vAlign w:val="center"/>
          </w:tcPr>
          <w:p w14:paraId="083DF8B6" w14:textId="77777777" w:rsidR="00304132" w:rsidRPr="00C07B2E" w:rsidRDefault="00304132" w:rsidP="00CD5E09">
            <w:pPr>
              <w:rPr>
                <w:rFonts w:eastAsia="SimSun"/>
              </w:rPr>
            </w:pPr>
            <w:r w:rsidRPr="00C07B2E">
              <w:rPr>
                <w:rFonts w:eastAsia="SimSun"/>
              </w:rPr>
              <w:t xml:space="preserve">В/в, в течение 2 ч  </w:t>
            </w:r>
          </w:p>
        </w:tc>
      </w:tr>
    </w:tbl>
    <w:p w14:paraId="274DB22E" w14:textId="77777777" w:rsidR="00304132" w:rsidRPr="00C07B2E" w:rsidRDefault="00304132" w:rsidP="00304132">
      <w:pPr>
        <w:rPr>
          <w:rFonts w:eastAsia="SimSun"/>
        </w:rPr>
        <w:sectPr w:rsidR="00304132" w:rsidRPr="00C07B2E" w:rsidSect="00CD5E09">
          <w:type w:val="continuous"/>
          <w:pgSz w:w="11907" w:h="16839" w:code="9"/>
          <w:pgMar w:top="1134" w:right="850" w:bottom="1134" w:left="1701" w:header="709" w:footer="567" w:gutter="0"/>
          <w:cols w:space="708"/>
          <w:docGrid w:linePitch="360"/>
        </w:sectPr>
      </w:pPr>
    </w:p>
    <w:p w14:paraId="6AB9499A" w14:textId="77777777" w:rsidR="00304132" w:rsidRDefault="00304132" w:rsidP="00304132">
      <w:pPr>
        <w:rPr>
          <w:rFonts w:eastAsia="SimSun"/>
        </w:rPr>
      </w:pPr>
      <w:bookmarkStart w:id="303" w:name="_Toc44401156"/>
    </w:p>
    <w:bookmarkEnd w:id="303"/>
    <w:p w14:paraId="5E31E7BC" w14:textId="1720F48D" w:rsidR="00304132" w:rsidRPr="00C07B2E" w:rsidRDefault="00304132" w:rsidP="00304132">
      <w:pPr>
        <w:rPr>
          <w:rFonts w:eastAsia="SimSun"/>
        </w:rPr>
        <w:sectPr w:rsidR="00304132" w:rsidRPr="00C07B2E" w:rsidSect="00CD5E09">
          <w:footerReference w:type="default" r:id="rId16"/>
          <w:type w:val="continuous"/>
          <w:pgSz w:w="11907" w:h="16839" w:code="9"/>
          <w:pgMar w:top="1134" w:right="850" w:bottom="1134" w:left="1701" w:header="709" w:footer="567" w:gutter="0"/>
          <w:cols w:space="708"/>
          <w:docGrid w:linePitch="360"/>
        </w:sectPr>
      </w:pPr>
      <w:r w:rsidRPr="00C07B2E">
        <w:rPr>
          <w:rFonts w:eastAsia="SimSun"/>
        </w:rPr>
        <w:t>Схемы и режимы применения препаратов для кондиционирования и профилактики РТПХ</w:t>
      </w:r>
      <w:r>
        <w:rPr>
          <w:rFonts w:eastAsia="SimSun"/>
        </w:rPr>
        <w:t xml:space="preserve"> при проведении </w:t>
      </w:r>
      <w:r w:rsidRPr="006A31EC">
        <w:rPr>
          <w:rFonts w:eastAsia="SimSun"/>
          <w:b/>
          <w:u w:val="single"/>
        </w:rPr>
        <w:t>аллоТГСК в режиме пониженной интенсивности</w:t>
      </w:r>
      <w:r w:rsidRPr="00C07B2E">
        <w:rPr>
          <w:rFonts w:eastAsia="SimSun"/>
        </w:rPr>
        <w:t xml:space="preserve"> указаны в Таблице </w:t>
      </w:r>
      <w:r>
        <w:rPr>
          <w:rFonts w:eastAsia="SimSun"/>
        </w:rPr>
        <w:t>5.</w:t>
      </w:r>
      <w:r w:rsidR="00E332F3">
        <w:rPr>
          <w:rFonts w:eastAsia="SimSun"/>
        </w:rPr>
        <w:t>1.2</w:t>
      </w:r>
    </w:p>
    <w:p w14:paraId="3B940A9D" w14:textId="77777777" w:rsidR="00304132" w:rsidRPr="00C07B2E" w:rsidRDefault="00304132" w:rsidP="00304132">
      <w:pPr>
        <w:rPr>
          <w:rFonts w:eastAsia="SimSun"/>
        </w:rPr>
      </w:pPr>
      <w:r w:rsidRPr="00C07B2E">
        <w:rPr>
          <w:rFonts w:eastAsia="SimSun"/>
        </w:rPr>
        <w:lastRenderedPageBreak/>
        <w:t xml:space="preserve">Таблица </w:t>
      </w:r>
      <w:r>
        <w:rPr>
          <w:rFonts w:eastAsia="SimSun"/>
        </w:rPr>
        <w:t>5.</w:t>
      </w:r>
      <w:r w:rsidRPr="00C07B2E">
        <w:rPr>
          <w:rFonts w:eastAsia="SimSun"/>
        </w:rPr>
        <w:t xml:space="preserve">1.2 Схемы и режимы применения препаратов для кондиционирования и профилактики РТПХ со ссылками на </w:t>
      </w:r>
      <w:r>
        <w:rPr>
          <w:rFonts w:eastAsia="SimSun"/>
        </w:rPr>
        <w:t>таблицы с описанием</w:t>
      </w:r>
    </w:p>
    <w:p w14:paraId="3967F16B" w14:textId="77777777" w:rsidR="00304132" w:rsidRPr="00C07B2E" w:rsidRDefault="00304132" w:rsidP="00304132">
      <w:pPr>
        <w:rPr>
          <w:rFonts w:eastAsia="SimSu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4"/>
        <w:gridCol w:w="808"/>
        <w:gridCol w:w="742"/>
        <w:gridCol w:w="1136"/>
        <w:gridCol w:w="959"/>
        <w:gridCol w:w="931"/>
        <w:gridCol w:w="959"/>
        <w:gridCol w:w="839"/>
        <w:gridCol w:w="839"/>
        <w:gridCol w:w="959"/>
        <w:gridCol w:w="960"/>
        <w:gridCol w:w="1143"/>
        <w:gridCol w:w="1260"/>
        <w:gridCol w:w="960"/>
        <w:gridCol w:w="949"/>
      </w:tblGrid>
      <w:tr w:rsidR="00304132" w:rsidRPr="006A31EC" w14:paraId="159F4ABC" w14:textId="77777777" w:rsidTr="00CD5E09">
        <w:trPr>
          <w:cantSplit/>
          <w:trHeight w:val="381"/>
        </w:trPr>
        <w:tc>
          <w:tcPr>
            <w:tcW w:w="1237" w:type="pct"/>
            <w:gridSpan w:val="4"/>
            <w:vMerge w:val="restart"/>
            <w:shd w:val="clear" w:color="auto" w:fill="auto"/>
            <w:vAlign w:val="center"/>
          </w:tcPr>
          <w:p w14:paraId="63A55B2E" w14:textId="77777777" w:rsidR="00304132" w:rsidRPr="006A31EC" w:rsidRDefault="00304132" w:rsidP="00CD5E09">
            <w:pPr>
              <w:rPr>
                <w:rFonts w:eastAsia="SimSun"/>
                <w:sz w:val="22"/>
              </w:rPr>
            </w:pPr>
            <w:r w:rsidRPr="006A31EC">
              <w:rPr>
                <w:rFonts w:eastAsia="SimSun"/>
                <w:sz w:val="22"/>
              </w:rPr>
              <w:t>Профилактика РТПХ</w:t>
            </w:r>
          </w:p>
        </w:tc>
        <w:tc>
          <w:tcPr>
            <w:tcW w:w="3763" w:type="pct"/>
            <w:gridSpan w:val="11"/>
          </w:tcPr>
          <w:p w14:paraId="59A7CE39" w14:textId="77777777" w:rsidR="00304132" w:rsidRPr="006A31EC" w:rsidRDefault="00304132" w:rsidP="00CD5E09">
            <w:pPr>
              <w:rPr>
                <w:rFonts w:eastAsia="SimSun"/>
                <w:sz w:val="22"/>
              </w:rPr>
            </w:pPr>
            <w:r w:rsidRPr="006A31EC">
              <w:rPr>
                <w:rFonts w:eastAsia="SimSun"/>
                <w:sz w:val="22"/>
              </w:rPr>
              <w:t>Режим кондиционирования</w:t>
            </w:r>
          </w:p>
        </w:tc>
      </w:tr>
      <w:tr w:rsidR="00304132" w:rsidRPr="006A31EC" w14:paraId="4A4B1648" w14:textId="77777777" w:rsidTr="00CD5E09">
        <w:trPr>
          <w:cantSplit/>
          <w:trHeight w:val="400"/>
        </w:trPr>
        <w:tc>
          <w:tcPr>
            <w:tcW w:w="1237" w:type="pct"/>
            <w:gridSpan w:val="4"/>
            <w:vMerge/>
            <w:shd w:val="clear" w:color="auto" w:fill="auto"/>
            <w:vAlign w:val="center"/>
          </w:tcPr>
          <w:p w14:paraId="1B02C299" w14:textId="77777777" w:rsidR="00304132" w:rsidRPr="006A31EC" w:rsidRDefault="00304132" w:rsidP="00CD5E09">
            <w:pPr>
              <w:rPr>
                <w:rFonts w:eastAsia="SimSun"/>
                <w:sz w:val="22"/>
                <w:lang w:val="en-US"/>
              </w:rPr>
            </w:pPr>
          </w:p>
        </w:tc>
        <w:tc>
          <w:tcPr>
            <w:tcW w:w="337" w:type="pct"/>
            <w:shd w:val="clear" w:color="auto" w:fill="D9D9D9"/>
            <w:vAlign w:val="center"/>
          </w:tcPr>
          <w:p w14:paraId="53F0392E" w14:textId="77777777" w:rsidR="00304132" w:rsidRPr="006A31EC" w:rsidRDefault="00304132" w:rsidP="00CD5E09">
            <w:pPr>
              <w:rPr>
                <w:rFonts w:eastAsia="SimSun"/>
                <w:sz w:val="22"/>
              </w:rPr>
            </w:pPr>
            <w:r w:rsidRPr="006A31EC">
              <w:rPr>
                <w:rFonts w:eastAsia="SimSun"/>
                <w:sz w:val="22"/>
                <w:lang w:val="en-US"/>
              </w:rPr>
              <w:t>Flu</w:t>
            </w:r>
            <w:r w:rsidRPr="006A31EC">
              <w:rPr>
                <w:rFonts w:eastAsia="SimSun"/>
                <w:sz w:val="22"/>
              </w:rPr>
              <w:t>90</w:t>
            </w:r>
          </w:p>
        </w:tc>
        <w:tc>
          <w:tcPr>
            <w:tcW w:w="312" w:type="pct"/>
            <w:shd w:val="clear" w:color="auto" w:fill="D9D9D9"/>
            <w:vAlign w:val="center"/>
          </w:tcPr>
          <w:p w14:paraId="41CE6C22" w14:textId="77777777" w:rsidR="00304132" w:rsidRPr="006A31EC" w:rsidRDefault="00304132" w:rsidP="00CD5E09">
            <w:pPr>
              <w:rPr>
                <w:rFonts w:eastAsia="SimSun"/>
                <w:sz w:val="22"/>
                <w:lang w:val="en-US"/>
              </w:rPr>
            </w:pPr>
            <w:r w:rsidRPr="006A31EC">
              <w:rPr>
                <w:rFonts w:eastAsia="SimSun"/>
                <w:sz w:val="22"/>
                <w:lang w:val="en-US"/>
              </w:rPr>
              <w:t>Flu10</w:t>
            </w:r>
            <w:r w:rsidRPr="006A31EC">
              <w:rPr>
                <w:rFonts w:eastAsia="SimSun"/>
                <w:sz w:val="22"/>
              </w:rPr>
              <w:t>0</w:t>
            </w:r>
          </w:p>
        </w:tc>
        <w:tc>
          <w:tcPr>
            <w:tcW w:w="337" w:type="pct"/>
            <w:shd w:val="clear" w:color="auto" w:fill="D9D9D9"/>
            <w:vAlign w:val="center"/>
          </w:tcPr>
          <w:p w14:paraId="271726B3" w14:textId="77777777" w:rsidR="00304132" w:rsidRPr="006A31EC" w:rsidRDefault="00304132" w:rsidP="00CD5E09">
            <w:pPr>
              <w:rPr>
                <w:rFonts w:eastAsia="SimSun"/>
                <w:sz w:val="22"/>
              </w:rPr>
            </w:pPr>
            <w:r w:rsidRPr="006A31EC">
              <w:rPr>
                <w:rFonts w:eastAsia="SimSun"/>
                <w:sz w:val="22"/>
                <w:lang w:val="en-US"/>
              </w:rPr>
              <w:t>Flu1</w:t>
            </w:r>
            <w:r w:rsidRPr="006A31EC">
              <w:rPr>
                <w:rFonts w:eastAsia="SimSun"/>
                <w:sz w:val="22"/>
              </w:rPr>
              <w:t>20</w:t>
            </w:r>
          </w:p>
        </w:tc>
        <w:tc>
          <w:tcPr>
            <w:tcW w:w="1264" w:type="pct"/>
            <w:gridSpan w:val="4"/>
            <w:shd w:val="clear" w:color="auto" w:fill="D9D9D9"/>
            <w:vAlign w:val="center"/>
          </w:tcPr>
          <w:p w14:paraId="3E346C68" w14:textId="77777777" w:rsidR="00304132" w:rsidRPr="006A31EC" w:rsidRDefault="00304132" w:rsidP="00CD5E09">
            <w:pPr>
              <w:rPr>
                <w:rFonts w:eastAsia="SimSun"/>
                <w:sz w:val="22"/>
              </w:rPr>
            </w:pPr>
            <w:r w:rsidRPr="006A31EC">
              <w:rPr>
                <w:rFonts w:eastAsia="SimSun"/>
                <w:sz w:val="22"/>
                <w:lang w:val="en-US"/>
              </w:rPr>
              <w:t>Flu150</w:t>
            </w:r>
          </w:p>
        </w:tc>
        <w:tc>
          <w:tcPr>
            <w:tcW w:w="1515" w:type="pct"/>
            <w:gridSpan w:val="4"/>
            <w:shd w:val="clear" w:color="auto" w:fill="D9D9D9"/>
            <w:vAlign w:val="center"/>
          </w:tcPr>
          <w:p w14:paraId="7C2FA147" w14:textId="77777777" w:rsidR="00304132" w:rsidRPr="006A31EC" w:rsidRDefault="00304132" w:rsidP="00CD5E09">
            <w:pPr>
              <w:rPr>
                <w:rFonts w:eastAsia="SimSun"/>
                <w:sz w:val="22"/>
                <w:lang w:val="en-US"/>
              </w:rPr>
            </w:pPr>
            <w:r w:rsidRPr="006A31EC">
              <w:rPr>
                <w:rFonts w:eastAsia="SimSun"/>
                <w:sz w:val="22"/>
                <w:lang w:val="en-US"/>
              </w:rPr>
              <w:t>Flu180</w:t>
            </w:r>
          </w:p>
        </w:tc>
      </w:tr>
      <w:tr w:rsidR="00304132" w:rsidRPr="006A31EC" w14:paraId="3A1F7B7E" w14:textId="77777777" w:rsidTr="00CD5E09">
        <w:trPr>
          <w:cantSplit/>
          <w:trHeight w:val="351"/>
        </w:trPr>
        <w:tc>
          <w:tcPr>
            <w:tcW w:w="1237" w:type="pct"/>
            <w:gridSpan w:val="4"/>
            <w:vMerge/>
            <w:shd w:val="clear" w:color="auto" w:fill="auto"/>
            <w:vAlign w:val="center"/>
          </w:tcPr>
          <w:p w14:paraId="3DA29ACD" w14:textId="77777777" w:rsidR="00304132" w:rsidRPr="006A31EC" w:rsidRDefault="00304132" w:rsidP="00CD5E09">
            <w:pPr>
              <w:rPr>
                <w:rFonts w:eastAsia="SimSun"/>
                <w:sz w:val="22"/>
                <w:lang w:val="en-US"/>
              </w:rPr>
            </w:pPr>
          </w:p>
        </w:tc>
        <w:tc>
          <w:tcPr>
            <w:tcW w:w="337" w:type="pct"/>
            <w:shd w:val="clear" w:color="auto" w:fill="D9D9D9"/>
            <w:vAlign w:val="center"/>
          </w:tcPr>
          <w:p w14:paraId="221991BA" w14:textId="77777777" w:rsidR="00304132" w:rsidRPr="006A31EC" w:rsidRDefault="00304132" w:rsidP="00CD5E09">
            <w:pPr>
              <w:rPr>
                <w:rFonts w:eastAsia="SimSun"/>
                <w:sz w:val="22"/>
                <w:lang w:val="en-US"/>
              </w:rPr>
            </w:pPr>
            <w:r w:rsidRPr="006A31EC">
              <w:rPr>
                <w:rFonts w:eastAsia="SimSun"/>
                <w:sz w:val="22"/>
                <w:lang w:val="en-US"/>
              </w:rPr>
              <w:t>Benda</w:t>
            </w:r>
          </w:p>
        </w:tc>
        <w:tc>
          <w:tcPr>
            <w:tcW w:w="312" w:type="pct"/>
            <w:shd w:val="clear" w:color="auto" w:fill="D9D9D9"/>
            <w:vAlign w:val="center"/>
          </w:tcPr>
          <w:p w14:paraId="49F84B96" w14:textId="77777777" w:rsidR="00304132" w:rsidRPr="006A31EC" w:rsidRDefault="00304132" w:rsidP="00CD5E09">
            <w:pPr>
              <w:rPr>
                <w:rFonts w:eastAsia="SimSun"/>
                <w:sz w:val="22"/>
                <w:lang w:val="en-US"/>
              </w:rPr>
            </w:pPr>
            <w:r w:rsidRPr="006A31EC">
              <w:rPr>
                <w:rFonts w:eastAsia="SimSun"/>
                <w:sz w:val="22"/>
                <w:lang w:val="en-US"/>
              </w:rPr>
              <w:t>Cy100</w:t>
            </w:r>
          </w:p>
        </w:tc>
        <w:tc>
          <w:tcPr>
            <w:tcW w:w="337" w:type="pct"/>
            <w:shd w:val="clear" w:color="auto" w:fill="D9D9D9"/>
            <w:vAlign w:val="center"/>
          </w:tcPr>
          <w:p w14:paraId="55788A1D" w14:textId="77777777" w:rsidR="00304132" w:rsidRPr="006A31EC" w:rsidRDefault="00304132" w:rsidP="00CD5E09">
            <w:pPr>
              <w:rPr>
                <w:rFonts w:eastAsia="SimSun"/>
                <w:sz w:val="22"/>
                <w:lang w:val="en-US"/>
              </w:rPr>
            </w:pPr>
            <w:r w:rsidRPr="006A31EC">
              <w:rPr>
                <w:rFonts w:eastAsia="SimSun"/>
                <w:sz w:val="22"/>
                <w:lang w:val="en-US"/>
              </w:rPr>
              <w:t>Cy2000</w:t>
            </w:r>
          </w:p>
        </w:tc>
        <w:tc>
          <w:tcPr>
            <w:tcW w:w="590" w:type="pct"/>
            <w:gridSpan w:val="2"/>
            <w:shd w:val="clear" w:color="auto" w:fill="D9D9D9"/>
            <w:vAlign w:val="center"/>
          </w:tcPr>
          <w:p w14:paraId="0C576576" w14:textId="77777777" w:rsidR="00304132" w:rsidRPr="006A31EC" w:rsidRDefault="00304132" w:rsidP="00CD5E09">
            <w:pPr>
              <w:rPr>
                <w:rFonts w:eastAsia="SimSun"/>
                <w:sz w:val="22"/>
                <w:lang w:val="en-US"/>
              </w:rPr>
            </w:pPr>
            <w:r w:rsidRPr="006A31EC">
              <w:rPr>
                <w:rFonts w:eastAsia="SimSun"/>
                <w:sz w:val="22"/>
                <w:lang w:val="en-US"/>
              </w:rPr>
              <w:t>Bu8</w:t>
            </w:r>
          </w:p>
        </w:tc>
        <w:tc>
          <w:tcPr>
            <w:tcW w:w="337" w:type="pct"/>
            <w:shd w:val="clear" w:color="auto" w:fill="D9D9D9"/>
            <w:vAlign w:val="center"/>
          </w:tcPr>
          <w:p w14:paraId="0FDC1B10" w14:textId="77777777" w:rsidR="00304132" w:rsidRPr="006A31EC" w:rsidRDefault="00304132" w:rsidP="00CD5E09">
            <w:pPr>
              <w:rPr>
                <w:rFonts w:eastAsia="SimSun"/>
                <w:sz w:val="22"/>
                <w:lang w:val="en-US"/>
              </w:rPr>
            </w:pPr>
            <w:r w:rsidRPr="006A31EC">
              <w:rPr>
                <w:rFonts w:eastAsia="SimSun"/>
                <w:sz w:val="22"/>
                <w:lang w:val="en-US"/>
              </w:rPr>
              <w:t>-</w:t>
            </w:r>
          </w:p>
        </w:tc>
        <w:tc>
          <w:tcPr>
            <w:tcW w:w="337" w:type="pct"/>
            <w:shd w:val="clear" w:color="auto" w:fill="D9D9D9"/>
            <w:vAlign w:val="center"/>
          </w:tcPr>
          <w:p w14:paraId="0A06FB53" w14:textId="77777777" w:rsidR="00304132" w:rsidRPr="006A31EC" w:rsidRDefault="00304132" w:rsidP="00CD5E09">
            <w:pPr>
              <w:rPr>
                <w:rFonts w:eastAsia="SimSun"/>
                <w:sz w:val="22"/>
                <w:lang w:val="en-US"/>
              </w:rPr>
            </w:pPr>
            <w:r w:rsidRPr="006A31EC">
              <w:rPr>
                <w:rFonts w:eastAsia="SimSun"/>
                <w:sz w:val="22"/>
                <w:lang w:val="en-US"/>
              </w:rPr>
              <w:t>-</w:t>
            </w:r>
          </w:p>
        </w:tc>
        <w:tc>
          <w:tcPr>
            <w:tcW w:w="401" w:type="pct"/>
            <w:shd w:val="clear" w:color="auto" w:fill="D9D9D9"/>
            <w:vAlign w:val="center"/>
          </w:tcPr>
          <w:p w14:paraId="48E44FB5" w14:textId="77777777" w:rsidR="00304132" w:rsidRPr="006A31EC" w:rsidRDefault="00304132" w:rsidP="00CD5E09">
            <w:pPr>
              <w:rPr>
                <w:rFonts w:eastAsia="SimSun"/>
                <w:sz w:val="22"/>
                <w:lang w:val="en-US"/>
              </w:rPr>
            </w:pPr>
            <w:r w:rsidRPr="006A31EC">
              <w:rPr>
                <w:rFonts w:eastAsia="SimSun"/>
                <w:sz w:val="22"/>
                <w:lang w:val="en-US"/>
              </w:rPr>
              <w:t>Bu8</w:t>
            </w:r>
          </w:p>
        </w:tc>
        <w:tc>
          <w:tcPr>
            <w:tcW w:w="442" w:type="pct"/>
            <w:shd w:val="clear" w:color="auto" w:fill="D9D9D9"/>
            <w:vAlign w:val="center"/>
          </w:tcPr>
          <w:p w14:paraId="79D2A133" w14:textId="77777777" w:rsidR="00304132" w:rsidRPr="006A31EC" w:rsidRDefault="00304132" w:rsidP="00CD5E09">
            <w:pPr>
              <w:rPr>
                <w:rFonts w:eastAsia="SimSun"/>
                <w:sz w:val="22"/>
                <w:lang w:val="en-US"/>
              </w:rPr>
            </w:pPr>
            <w:r w:rsidRPr="006A31EC">
              <w:rPr>
                <w:rFonts w:eastAsia="SimSun"/>
                <w:sz w:val="22"/>
                <w:lang w:val="en-US"/>
              </w:rPr>
              <w:t>Bu10</w:t>
            </w:r>
          </w:p>
        </w:tc>
        <w:tc>
          <w:tcPr>
            <w:tcW w:w="337" w:type="pct"/>
            <w:shd w:val="clear" w:color="auto" w:fill="D9D9D9"/>
            <w:vAlign w:val="center"/>
          </w:tcPr>
          <w:p w14:paraId="207F288D" w14:textId="77777777" w:rsidR="00304132" w:rsidRPr="006A31EC" w:rsidRDefault="00304132" w:rsidP="00CD5E09">
            <w:pPr>
              <w:rPr>
                <w:rFonts w:eastAsia="SimSun"/>
                <w:sz w:val="22"/>
                <w:lang w:val="en-US"/>
              </w:rPr>
            </w:pPr>
            <w:r w:rsidRPr="006A31EC">
              <w:rPr>
                <w:rFonts w:eastAsia="SimSun"/>
                <w:sz w:val="22"/>
                <w:lang w:val="en-US"/>
              </w:rPr>
              <w:t>Cy</w:t>
            </w:r>
            <w:r w:rsidRPr="006A31EC">
              <w:rPr>
                <w:rFonts w:eastAsia="SimSun"/>
                <w:sz w:val="22"/>
              </w:rPr>
              <w:t>12</w:t>
            </w:r>
            <w:r w:rsidRPr="006A31EC">
              <w:rPr>
                <w:rFonts w:eastAsia="SimSun"/>
                <w:sz w:val="22"/>
                <w:lang w:val="en-US"/>
              </w:rPr>
              <w:t>00</w:t>
            </w:r>
          </w:p>
        </w:tc>
        <w:tc>
          <w:tcPr>
            <w:tcW w:w="337" w:type="pct"/>
            <w:shd w:val="clear" w:color="auto" w:fill="D9D9D9"/>
            <w:vAlign w:val="center"/>
          </w:tcPr>
          <w:p w14:paraId="494368FD" w14:textId="77777777" w:rsidR="00304132" w:rsidRPr="006A31EC" w:rsidRDefault="00304132" w:rsidP="00CD5E09">
            <w:pPr>
              <w:rPr>
                <w:rFonts w:eastAsia="SimSun"/>
                <w:sz w:val="22"/>
                <w:lang w:val="en-US"/>
              </w:rPr>
            </w:pPr>
            <w:r w:rsidRPr="006A31EC">
              <w:rPr>
                <w:rFonts w:eastAsia="SimSun"/>
                <w:sz w:val="22"/>
                <w:lang w:val="en-US"/>
              </w:rPr>
              <w:t>Mel100</w:t>
            </w:r>
          </w:p>
        </w:tc>
      </w:tr>
      <w:tr w:rsidR="00304132" w:rsidRPr="006A31EC" w14:paraId="10A1ABAD" w14:textId="77777777" w:rsidTr="00CD5E09">
        <w:trPr>
          <w:cantSplit/>
          <w:trHeight w:val="354"/>
        </w:trPr>
        <w:tc>
          <w:tcPr>
            <w:tcW w:w="1237" w:type="pct"/>
            <w:gridSpan w:val="4"/>
            <w:vMerge/>
            <w:shd w:val="clear" w:color="auto" w:fill="auto"/>
            <w:vAlign w:val="center"/>
          </w:tcPr>
          <w:p w14:paraId="64D1527C" w14:textId="77777777" w:rsidR="00304132" w:rsidRPr="006A31EC" w:rsidRDefault="00304132" w:rsidP="00CD5E09">
            <w:pPr>
              <w:rPr>
                <w:rFonts w:eastAsia="SimSun"/>
                <w:sz w:val="22"/>
                <w:lang w:val="en-US"/>
              </w:rPr>
            </w:pPr>
          </w:p>
        </w:tc>
        <w:tc>
          <w:tcPr>
            <w:tcW w:w="337" w:type="pct"/>
            <w:shd w:val="clear" w:color="auto" w:fill="D9D9D9"/>
            <w:vAlign w:val="center"/>
          </w:tcPr>
          <w:p w14:paraId="4D564459" w14:textId="77777777" w:rsidR="00304132" w:rsidRPr="006A31EC" w:rsidRDefault="00304132" w:rsidP="00CD5E09">
            <w:pPr>
              <w:rPr>
                <w:rFonts w:eastAsia="SimSun"/>
                <w:sz w:val="22"/>
                <w:lang w:val="en-US"/>
              </w:rPr>
            </w:pPr>
            <w:r w:rsidRPr="006A31EC">
              <w:rPr>
                <w:rFonts w:eastAsia="SimSun"/>
                <w:sz w:val="22"/>
                <w:lang w:val="en-US"/>
              </w:rPr>
              <w:t>-</w:t>
            </w:r>
          </w:p>
        </w:tc>
        <w:tc>
          <w:tcPr>
            <w:tcW w:w="312" w:type="pct"/>
            <w:shd w:val="clear" w:color="auto" w:fill="D9D9D9"/>
          </w:tcPr>
          <w:p w14:paraId="0188FA5B" w14:textId="77777777" w:rsidR="00304132" w:rsidRPr="006A31EC" w:rsidRDefault="00304132" w:rsidP="00CD5E09">
            <w:pPr>
              <w:rPr>
                <w:rFonts w:eastAsia="SimSun"/>
                <w:sz w:val="22"/>
                <w:lang w:val="en-US"/>
              </w:rPr>
            </w:pPr>
          </w:p>
        </w:tc>
        <w:tc>
          <w:tcPr>
            <w:tcW w:w="337" w:type="pct"/>
            <w:shd w:val="clear" w:color="auto" w:fill="D9D9D9"/>
            <w:vAlign w:val="center"/>
          </w:tcPr>
          <w:p w14:paraId="7EF9175F" w14:textId="77777777" w:rsidR="00304132" w:rsidRPr="006A31EC" w:rsidRDefault="00304132" w:rsidP="00CD5E09">
            <w:pPr>
              <w:rPr>
                <w:rFonts w:eastAsia="SimSun"/>
                <w:sz w:val="22"/>
                <w:lang w:val="en-US"/>
              </w:rPr>
            </w:pPr>
            <w:r w:rsidRPr="006A31EC">
              <w:rPr>
                <w:rFonts w:eastAsia="SimSun"/>
                <w:sz w:val="22"/>
                <w:lang w:val="en-US"/>
              </w:rPr>
              <w:t>Mel 140</w:t>
            </w:r>
          </w:p>
        </w:tc>
        <w:tc>
          <w:tcPr>
            <w:tcW w:w="295" w:type="pct"/>
            <w:shd w:val="clear" w:color="auto" w:fill="D9D9D9"/>
          </w:tcPr>
          <w:p w14:paraId="35029F0F" w14:textId="77777777" w:rsidR="00304132" w:rsidRPr="006A31EC" w:rsidRDefault="00304132" w:rsidP="00CD5E09">
            <w:pPr>
              <w:rPr>
                <w:rFonts w:eastAsia="SimSun"/>
                <w:sz w:val="22"/>
                <w:lang w:val="en-US"/>
              </w:rPr>
            </w:pPr>
            <w:r w:rsidRPr="006A31EC">
              <w:rPr>
                <w:rFonts w:eastAsia="SimSun"/>
                <w:sz w:val="22"/>
                <w:lang w:val="en-US"/>
              </w:rPr>
              <w:t>-</w:t>
            </w:r>
          </w:p>
        </w:tc>
        <w:tc>
          <w:tcPr>
            <w:tcW w:w="295" w:type="pct"/>
            <w:shd w:val="clear" w:color="auto" w:fill="D9D9D9"/>
            <w:vAlign w:val="center"/>
          </w:tcPr>
          <w:p w14:paraId="409CD818" w14:textId="77777777" w:rsidR="00304132" w:rsidRPr="006A31EC" w:rsidRDefault="00304132" w:rsidP="00CD5E09">
            <w:pPr>
              <w:rPr>
                <w:rFonts w:eastAsia="SimSun"/>
                <w:sz w:val="22"/>
                <w:lang w:val="en-US"/>
              </w:rPr>
            </w:pPr>
            <w:r w:rsidRPr="006A31EC">
              <w:rPr>
                <w:rFonts w:eastAsia="SimSun"/>
                <w:sz w:val="22"/>
                <w:lang w:val="en-US"/>
              </w:rPr>
              <w:t>Thio</w:t>
            </w:r>
          </w:p>
        </w:tc>
        <w:tc>
          <w:tcPr>
            <w:tcW w:w="337" w:type="pct"/>
            <w:shd w:val="clear" w:color="auto" w:fill="D9D9D9"/>
            <w:vAlign w:val="center"/>
          </w:tcPr>
          <w:p w14:paraId="5C1ADBCC" w14:textId="77777777" w:rsidR="00304132" w:rsidRPr="006A31EC" w:rsidRDefault="00304132" w:rsidP="00CD5E09">
            <w:pPr>
              <w:rPr>
                <w:rFonts w:eastAsia="SimSun"/>
                <w:sz w:val="22"/>
                <w:lang w:val="en-US"/>
              </w:rPr>
            </w:pPr>
            <w:r w:rsidRPr="006A31EC">
              <w:rPr>
                <w:rFonts w:eastAsia="SimSun"/>
                <w:sz w:val="22"/>
                <w:lang w:val="en-US"/>
              </w:rPr>
              <w:t>Treo36</w:t>
            </w:r>
          </w:p>
        </w:tc>
        <w:tc>
          <w:tcPr>
            <w:tcW w:w="337" w:type="pct"/>
            <w:shd w:val="clear" w:color="auto" w:fill="D9D9D9"/>
            <w:vAlign w:val="center"/>
          </w:tcPr>
          <w:p w14:paraId="0D6EFB1A" w14:textId="77777777" w:rsidR="00304132" w:rsidRPr="006A31EC" w:rsidRDefault="00304132" w:rsidP="00CD5E09">
            <w:pPr>
              <w:rPr>
                <w:rFonts w:eastAsia="SimSun"/>
                <w:sz w:val="22"/>
                <w:lang w:val="en-US"/>
              </w:rPr>
            </w:pPr>
            <w:r w:rsidRPr="006A31EC">
              <w:rPr>
                <w:rFonts w:eastAsia="SimSun"/>
                <w:sz w:val="22"/>
                <w:lang w:val="en-US"/>
              </w:rPr>
              <w:t>Thio</w:t>
            </w:r>
          </w:p>
        </w:tc>
        <w:tc>
          <w:tcPr>
            <w:tcW w:w="401" w:type="pct"/>
            <w:shd w:val="clear" w:color="auto" w:fill="D9D9D9"/>
            <w:vAlign w:val="center"/>
          </w:tcPr>
          <w:p w14:paraId="75A3CDB0" w14:textId="77777777" w:rsidR="00304132" w:rsidRPr="006A31EC" w:rsidRDefault="00304132" w:rsidP="00CD5E09">
            <w:pPr>
              <w:rPr>
                <w:rFonts w:eastAsia="SimSun"/>
                <w:sz w:val="22"/>
                <w:lang w:val="en-US"/>
              </w:rPr>
            </w:pPr>
            <w:r w:rsidRPr="006A31EC">
              <w:rPr>
                <w:rFonts w:eastAsia="SimSun"/>
                <w:sz w:val="22"/>
                <w:lang w:val="en-US"/>
              </w:rPr>
              <w:t>-</w:t>
            </w:r>
          </w:p>
        </w:tc>
        <w:tc>
          <w:tcPr>
            <w:tcW w:w="442" w:type="pct"/>
            <w:shd w:val="clear" w:color="auto" w:fill="D9D9D9"/>
            <w:vAlign w:val="center"/>
          </w:tcPr>
          <w:p w14:paraId="2816D073" w14:textId="77777777" w:rsidR="00304132" w:rsidRPr="006A31EC" w:rsidRDefault="00304132" w:rsidP="00CD5E09">
            <w:pPr>
              <w:rPr>
                <w:rFonts w:eastAsia="SimSun"/>
                <w:sz w:val="22"/>
                <w:lang w:val="en-US"/>
              </w:rPr>
            </w:pPr>
            <w:r w:rsidRPr="006A31EC">
              <w:rPr>
                <w:rFonts w:eastAsia="SimSun"/>
                <w:sz w:val="22"/>
                <w:lang w:val="en-US"/>
              </w:rPr>
              <w:t>-</w:t>
            </w:r>
          </w:p>
        </w:tc>
        <w:tc>
          <w:tcPr>
            <w:tcW w:w="337" w:type="pct"/>
            <w:shd w:val="clear" w:color="auto" w:fill="D9D9D9"/>
            <w:vAlign w:val="center"/>
          </w:tcPr>
          <w:p w14:paraId="0E479AD4" w14:textId="77777777" w:rsidR="00304132" w:rsidRPr="006A31EC" w:rsidRDefault="00304132" w:rsidP="00CD5E09">
            <w:pPr>
              <w:rPr>
                <w:rFonts w:eastAsia="SimSun"/>
                <w:sz w:val="22"/>
                <w:lang w:val="en-US"/>
              </w:rPr>
            </w:pPr>
            <w:r w:rsidRPr="006A31EC">
              <w:rPr>
                <w:rFonts w:eastAsia="SimSun"/>
                <w:sz w:val="22"/>
                <w:lang w:val="en-US"/>
              </w:rPr>
              <w:t>-</w:t>
            </w:r>
          </w:p>
        </w:tc>
        <w:tc>
          <w:tcPr>
            <w:tcW w:w="337" w:type="pct"/>
            <w:shd w:val="clear" w:color="auto" w:fill="D9D9D9"/>
          </w:tcPr>
          <w:p w14:paraId="6C0B82B1" w14:textId="77777777" w:rsidR="00304132" w:rsidRPr="006A31EC" w:rsidRDefault="00304132" w:rsidP="00CD5E09">
            <w:pPr>
              <w:rPr>
                <w:rFonts w:eastAsia="SimSun"/>
                <w:sz w:val="22"/>
                <w:lang w:val="en-US"/>
              </w:rPr>
            </w:pPr>
          </w:p>
        </w:tc>
      </w:tr>
      <w:tr w:rsidR="00304132" w:rsidRPr="006A31EC" w14:paraId="72E8C34B" w14:textId="77777777" w:rsidTr="00CD5E09">
        <w:trPr>
          <w:cantSplit/>
          <w:trHeight w:val="624"/>
        </w:trPr>
        <w:tc>
          <w:tcPr>
            <w:tcW w:w="293" w:type="pct"/>
            <w:vMerge w:val="restart"/>
            <w:shd w:val="clear" w:color="auto" w:fill="D9D9D9"/>
            <w:vAlign w:val="center"/>
          </w:tcPr>
          <w:p w14:paraId="2543CA91" w14:textId="77777777" w:rsidR="00304132" w:rsidRPr="006A31EC" w:rsidRDefault="00304132" w:rsidP="00CD5E09">
            <w:pPr>
              <w:rPr>
                <w:rFonts w:eastAsia="SimSun"/>
                <w:sz w:val="22"/>
                <w:lang w:val="en-US"/>
              </w:rPr>
            </w:pPr>
            <w:r w:rsidRPr="006A31EC">
              <w:rPr>
                <w:rFonts w:eastAsia="SimSun"/>
                <w:sz w:val="22"/>
                <w:lang w:val="en-US"/>
              </w:rPr>
              <w:t>hATG</w:t>
            </w:r>
          </w:p>
        </w:tc>
        <w:tc>
          <w:tcPr>
            <w:tcW w:w="284" w:type="pct"/>
            <w:vMerge w:val="restart"/>
            <w:shd w:val="clear" w:color="auto" w:fill="D9D9D9"/>
            <w:vAlign w:val="center"/>
          </w:tcPr>
          <w:p w14:paraId="34BED16D" w14:textId="77777777" w:rsidR="00304132" w:rsidRPr="006A31EC" w:rsidRDefault="00304132" w:rsidP="00CD5E09">
            <w:pPr>
              <w:rPr>
                <w:rFonts w:eastAsia="SimSun"/>
                <w:sz w:val="22"/>
                <w:lang w:val="en-US"/>
              </w:rPr>
            </w:pPr>
            <w:r w:rsidRPr="006A31EC">
              <w:rPr>
                <w:rFonts w:eastAsia="SimSun"/>
                <w:sz w:val="22"/>
                <w:lang w:val="en-US"/>
              </w:rPr>
              <w:t>CSA</w:t>
            </w:r>
          </w:p>
        </w:tc>
        <w:tc>
          <w:tcPr>
            <w:tcW w:w="261" w:type="pct"/>
            <w:vMerge w:val="restart"/>
            <w:shd w:val="clear" w:color="auto" w:fill="D9D9D9"/>
            <w:vAlign w:val="center"/>
          </w:tcPr>
          <w:p w14:paraId="177517A5" w14:textId="77777777" w:rsidR="00304132" w:rsidRPr="006A31EC" w:rsidRDefault="00304132" w:rsidP="00CD5E09">
            <w:pPr>
              <w:rPr>
                <w:rFonts w:eastAsia="SimSun"/>
                <w:sz w:val="22"/>
                <w:lang w:val="en-US"/>
              </w:rPr>
            </w:pPr>
            <w:r w:rsidRPr="006A31EC">
              <w:rPr>
                <w:rFonts w:eastAsia="SimSun"/>
                <w:sz w:val="22"/>
                <w:lang w:val="en-US"/>
              </w:rPr>
              <w:t>MTX</w:t>
            </w:r>
          </w:p>
        </w:tc>
        <w:tc>
          <w:tcPr>
            <w:tcW w:w="398" w:type="pct"/>
            <w:shd w:val="clear" w:color="auto" w:fill="D9D9D9"/>
            <w:vAlign w:val="center"/>
          </w:tcPr>
          <w:p w14:paraId="0218CEA4" w14:textId="77777777" w:rsidR="00304132" w:rsidRPr="006A31EC" w:rsidRDefault="00304132" w:rsidP="00CD5E09">
            <w:pPr>
              <w:rPr>
                <w:rFonts w:eastAsia="SimSun"/>
                <w:sz w:val="22"/>
                <w:lang w:val="en-US"/>
              </w:rPr>
            </w:pPr>
            <w:r w:rsidRPr="006A31EC">
              <w:rPr>
                <w:rFonts w:eastAsia="SimSun"/>
                <w:sz w:val="22"/>
                <w:lang w:val="en-US"/>
              </w:rPr>
              <w:t>-</w:t>
            </w:r>
          </w:p>
        </w:tc>
        <w:tc>
          <w:tcPr>
            <w:tcW w:w="337" w:type="pct"/>
            <w:shd w:val="clear" w:color="auto" w:fill="auto"/>
            <w:vAlign w:val="center"/>
          </w:tcPr>
          <w:p w14:paraId="0CBC17D0" w14:textId="77777777" w:rsidR="00304132" w:rsidRPr="006A31EC" w:rsidRDefault="00304132" w:rsidP="00CD5E09">
            <w:pPr>
              <w:rPr>
                <w:rFonts w:eastAsia="SimSun"/>
                <w:sz w:val="22"/>
                <w:lang w:val="en-US"/>
              </w:rPr>
            </w:pPr>
          </w:p>
        </w:tc>
        <w:tc>
          <w:tcPr>
            <w:tcW w:w="312" w:type="pct"/>
            <w:vAlign w:val="center"/>
          </w:tcPr>
          <w:p w14:paraId="26EA3CD1" w14:textId="77777777" w:rsidR="00304132" w:rsidRPr="006A31EC" w:rsidRDefault="00304132" w:rsidP="00CD5E09">
            <w:pPr>
              <w:rPr>
                <w:rFonts w:eastAsia="SimSun"/>
                <w:sz w:val="22"/>
              </w:rPr>
            </w:pPr>
            <w:r w:rsidRPr="006A31EC">
              <w:rPr>
                <w:rFonts w:eastAsia="SimSun"/>
                <w:sz w:val="22"/>
                <w:lang w:val="en-US"/>
              </w:rPr>
              <w:t>5.1.2.</w:t>
            </w:r>
            <w:r w:rsidRPr="006A31EC">
              <w:rPr>
                <w:rFonts w:eastAsia="SimSun"/>
                <w:sz w:val="22"/>
              </w:rPr>
              <w:t>18</w:t>
            </w:r>
          </w:p>
        </w:tc>
        <w:tc>
          <w:tcPr>
            <w:tcW w:w="337" w:type="pct"/>
            <w:shd w:val="clear" w:color="auto" w:fill="auto"/>
            <w:vAlign w:val="center"/>
          </w:tcPr>
          <w:p w14:paraId="032BD584" w14:textId="77777777" w:rsidR="00304132" w:rsidRPr="006A31EC" w:rsidRDefault="00304132" w:rsidP="00CD5E09">
            <w:pPr>
              <w:rPr>
                <w:rFonts w:eastAsia="SimSun"/>
                <w:sz w:val="22"/>
                <w:lang w:val="en-US"/>
              </w:rPr>
            </w:pPr>
          </w:p>
        </w:tc>
        <w:tc>
          <w:tcPr>
            <w:tcW w:w="295" w:type="pct"/>
            <w:shd w:val="clear" w:color="auto" w:fill="auto"/>
            <w:vAlign w:val="center"/>
          </w:tcPr>
          <w:p w14:paraId="43AAEB01" w14:textId="77777777" w:rsidR="00304132" w:rsidRPr="006A31EC" w:rsidRDefault="00304132" w:rsidP="00CD5E09">
            <w:pPr>
              <w:rPr>
                <w:rFonts w:eastAsia="SimSun"/>
                <w:sz w:val="22"/>
                <w:lang w:val="en-US"/>
              </w:rPr>
            </w:pPr>
          </w:p>
        </w:tc>
        <w:tc>
          <w:tcPr>
            <w:tcW w:w="295" w:type="pct"/>
            <w:shd w:val="clear" w:color="auto" w:fill="auto"/>
            <w:vAlign w:val="center"/>
          </w:tcPr>
          <w:p w14:paraId="0F06507C" w14:textId="77777777" w:rsidR="00304132" w:rsidRPr="006A31EC" w:rsidRDefault="00304132" w:rsidP="00CD5E09">
            <w:pPr>
              <w:rPr>
                <w:rFonts w:eastAsia="SimSun"/>
                <w:sz w:val="22"/>
                <w:lang w:val="en-US"/>
              </w:rPr>
            </w:pPr>
          </w:p>
        </w:tc>
        <w:tc>
          <w:tcPr>
            <w:tcW w:w="337" w:type="pct"/>
            <w:shd w:val="clear" w:color="auto" w:fill="auto"/>
            <w:vAlign w:val="center"/>
          </w:tcPr>
          <w:p w14:paraId="004A5FF2" w14:textId="77777777" w:rsidR="00304132" w:rsidRPr="006A31EC" w:rsidRDefault="00304132" w:rsidP="00CD5E09">
            <w:pPr>
              <w:rPr>
                <w:rFonts w:eastAsia="SimSun"/>
                <w:sz w:val="22"/>
                <w:lang w:val="en-US"/>
              </w:rPr>
            </w:pPr>
          </w:p>
        </w:tc>
        <w:tc>
          <w:tcPr>
            <w:tcW w:w="337" w:type="pct"/>
            <w:shd w:val="clear" w:color="auto" w:fill="auto"/>
            <w:vAlign w:val="center"/>
          </w:tcPr>
          <w:p w14:paraId="404F718C" w14:textId="77777777" w:rsidR="00304132" w:rsidRPr="006A31EC" w:rsidRDefault="00304132" w:rsidP="00CD5E09">
            <w:pPr>
              <w:rPr>
                <w:sz w:val="22"/>
              </w:rPr>
            </w:pPr>
          </w:p>
        </w:tc>
        <w:tc>
          <w:tcPr>
            <w:tcW w:w="401" w:type="pct"/>
            <w:shd w:val="clear" w:color="auto" w:fill="auto"/>
            <w:vAlign w:val="center"/>
          </w:tcPr>
          <w:p w14:paraId="42C3EF43" w14:textId="77777777" w:rsidR="00304132" w:rsidRPr="006A31EC" w:rsidRDefault="00304132" w:rsidP="00CD5E09">
            <w:pPr>
              <w:rPr>
                <w:sz w:val="22"/>
              </w:rPr>
            </w:pPr>
          </w:p>
        </w:tc>
        <w:tc>
          <w:tcPr>
            <w:tcW w:w="442" w:type="pct"/>
            <w:shd w:val="clear" w:color="auto" w:fill="auto"/>
            <w:vAlign w:val="center"/>
          </w:tcPr>
          <w:p w14:paraId="71BEB8AD" w14:textId="77777777" w:rsidR="00304132" w:rsidRPr="006A31EC" w:rsidRDefault="00304132" w:rsidP="00CD5E09">
            <w:pPr>
              <w:rPr>
                <w:rFonts w:eastAsia="SimSun"/>
                <w:sz w:val="22"/>
                <w:lang w:val="en-US"/>
              </w:rPr>
            </w:pPr>
          </w:p>
        </w:tc>
        <w:tc>
          <w:tcPr>
            <w:tcW w:w="337" w:type="pct"/>
            <w:shd w:val="clear" w:color="auto" w:fill="auto"/>
            <w:vAlign w:val="center"/>
          </w:tcPr>
          <w:p w14:paraId="3CBFAECC" w14:textId="77777777" w:rsidR="00304132" w:rsidRPr="006A31EC" w:rsidRDefault="00304132" w:rsidP="00CD5E09">
            <w:pPr>
              <w:rPr>
                <w:rFonts w:eastAsia="SimSun"/>
                <w:sz w:val="22"/>
                <w:lang w:val="en-US"/>
              </w:rPr>
            </w:pPr>
          </w:p>
        </w:tc>
        <w:tc>
          <w:tcPr>
            <w:tcW w:w="337" w:type="pct"/>
          </w:tcPr>
          <w:p w14:paraId="20A19BF5" w14:textId="77777777" w:rsidR="00304132" w:rsidRPr="006A31EC" w:rsidRDefault="00304132" w:rsidP="00CD5E09">
            <w:pPr>
              <w:rPr>
                <w:rFonts w:eastAsia="SimSun"/>
                <w:sz w:val="22"/>
                <w:lang w:val="en-US"/>
              </w:rPr>
            </w:pPr>
          </w:p>
        </w:tc>
      </w:tr>
      <w:tr w:rsidR="00304132" w:rsidRPr="006A31EC" w14:paraId="067BA940" w14:textId="77777777" w:rsidTr="00CD5E09">
        <w:trPr>
          <w:cantSplit/>
          <w:trHeight w:val="624"/>
        </w:trPr>
        <w:tc>
          <w:tcPr>
            <w:tcW w:w="293" w:type="pct"/>
            <w:vMerge/>
            <w:shd w:val="clear" w:color="auto" w:fill="D9D9D9"/>
            <w:vAlign w:val="center"/>
          </w:tcPr>
          <w:p w14:paraId="66990469" w14:textId="77777777" w:rsidR="00304132" w:rsidRPr="006A31EC" w:rsidRDefault="00304132" w:rsidP="00CD5E09">
            <w:pPr>
              <w:rPr>
                <w:rFonts w:eastAsia="SimSun"/>
                <w:sz w:val="22"/>
                <w:lang w:val="en-US"/>
              </w:rPr>
            </w:pPr>
          </w:p>
        </w:tc>
        <w:tc>
          <w:tcPr>
            <w:tcW w:w="284" w:type="pct"/>
            <w:vMerge/>
            <w:shd w:val="clear" w:color="auto" w:fill="D9D9D9"/>
            <w:vAlign w:val="center"/>
          </w:tcPr>
          <w:p w14:paraId="174B2D34" w14:textId="77777777" w:rsidR="00304132" w:rsidRPr="006A31EC" w:rsidRDefault="00304132" w:rsidP="00CD5E09">
            <w:pPr>
              <w:rPr>
                <w:rFonts w:eastAsia="SimSun"/>
                <w:sz w:val="22"/>
                <w:lang w:val="en-US"/>
              </w:rPr>
            </w:pPr>
          </w:p>
        </w:tc>
        <w:tc>
          <w:tcPr>
            <w:tcW w:w="261" w:type="pct"/>
            <w:vMerge/>
            <w:shd w:val="clear" w:color="auto" w:fill="D9D9D9"/>
            <w:vAlign w:val="center"/>
          </w:tcPr>
          <w:p w14:paraId="3A11DD70" w14:textId="77777777" w:rsidR="00304132" w:rsidRPr="006A31EC" w:rsidRDefault="00304132" w:rsidP="00CD5E09">
            <w:pPr>
              <w:rPr>
                <w:rFonts w:eastAsia="SimSun"/>
                <w:sz w:val="22"/>
                <w:lang w:val="en-US"/>
              </w:rPr>
            </w:pPr>
          </w:p>
        </w:tc>
        <w:tc>
          <w:tcPr>
            <w:tcW w:w="398" w:type="pct"/>
            <w:shd w:val="clear" w:color="auto" w:fill="D9D9D9"/>
            <w:vAlign w:val="center"/>
          </w:tcPr>
          <w:p w14:paraId="5A68D858" w14:textId="77777777" w:rsidR="00304132" w:rsidRPr="006A31EC" w:rsidRDefault="00304132" w:rsidP="00CD5E09">
            <w:pPr>
              <w:rPr>
                <w:rFonts w:eastAsia="SimSun"/>
                <w:sz w:val="22"/>
                <w:lang w:val="en-US"/>
              </w:rPr>
            </w:pPr>
            <w:r w:rsidRPr="006A31EC">
              <w:rPr>
                <w:rFonts w:eastAsia="SimSun"/>
                <w:sz w:val="22"/>
                <w:lang w:val="en-US"/>
              </w:rPr>
              <w:t>MMF30</w:t>
            </w:r>
          </w:p>
        </w:tc>
        <w:tc>
          <w:tcPr>
            <w:tcW w:w="337" w:type="pct"/>
            <w:shd w:val="clear" w:color="auto" w:fill="auto"/>
            <w:vAlign w:val="center"/>
          </w:tcPr>
          <w:p w14:paraId="03408CD4" w14:textId="77777777" w:rsidR="00304132" w:rsidRPr="006A31EC" w:rsidRDefault="00304132" w:rsidP="00CD5E09">
            <w:pPr>
              <w:rPr>
                <w:sz w:val="22"/>
              </w:rPr>
            </w:pPr>
            <w:r w:rsidRPr="006A31EC">
              <w:rPr>
                <w:rFonts w:eastAsia="SimSun"/>
                <w:sz w:val="22"/>
                <w:lang w:val="en-US"/>
              </w:rPr>
              <w:t>-</w:t>
            </w:r>
          </w:p>
        </w:tc>
        <w:tc>
          <w:tcPr>
            <w:tcW w:w="312" w:type="pct"/>
          </w:tcPr>
          <w:p w14:paraId="5E6740DC" w14:textId="77777777" w:rsidR="00304132" w:rsidRPr="006A31EC" w:rsidRDefault="00304132" w:rsidP="00CD5E09">
            <w:pPr>
              <w:rPr>
                <w:rFonts w:eastAsia="SimSun"/>
                <w:sz w:val="22"/>
                <w:lang w:val="en-US"/>
              </w:rPr>
            </w:pPr>
          </w:p>
        </w:tc>
        <w:tc>
          <w:tcPr>
            <w:tcW w:w="337" w:type="pct"/>
            <w:shd w:val="clear" w:color="auto" w:fill="auto"/>
            <w:vAlign w:val="center"/>
          </w:tcPr>
          <w:p w14:paraId="3A301955" w14:textId="77777777" w:rsidR="00304132" w:rsidRPr="006A31EC" w:rsidRDefault="00304132" w:rsidP="00CD5E09">
            <w:pPr>
              <w:rPr>
                <w:sz w:val="22"/>
              </w:rPr>
            </w:pPr>
            <w:r w:rsidRPr="006A31EC">
              <w:rPr>
                <w:rFonts w:eastAsia="SimSun"/>
                <w:sz w:val="22"/>
                <w:lang w:val="en-US"/>
              </w:rPr>
              <w:t>-</w:t>
            </w:r>
          </w:p>
        </w:tc>
        <w:tc>
          <w:tcPr>
            <w:tcW w:w="295" w:type="pct"/>
            <w:shd w:val="clear" w:color="auto" w:fill="auto"/>
            <w:vAlign w:val="center"/>
          </w:tcPr>
          <w:p w14:paraId="6248A173" w14:textId="77777777" w:rsidR="00304132" w:rsidRPr="006A31EC" w:rsidRDefault="00304132" w:rsidP="00CD5E09">
            <w:pPr>
              <w:rPr>
                <w:sz w:val="22"/>
              </w:rPr>
            </w:pPr>
            <w:r w:rsidRPr="006A31EC">
              <w:rPr>
                <w:rFonts w:eastAsia="SimSun"/>
                <w:sz w:val="22"/>
                <w:lang w:val="en-US"/>
              </w:rPr>
              <w:t>-</w:t>
            </w:r>
          </w:p>
        </w:tc>
        <w:tc>
          <w:tcPr>
            <w:tcW w:w="295" w:type="pct"/>
            <w:shd w:val="clear" w:color="auto" w:fill="auto"/>
            <w:vAlign w:val="center"/>
          </w:tcPr>
          <w:p w14:paraId="1766B53C" w14:textId="77777777" w:rsidR="00304132" w:rsidRPr="006A31EC" w:rsidRDefault="00304132" w:rsidP="00CD5E09">
            <w:pPr>
              <w:rPr>
                <w:rFonts w:eastAsia="SimSun"/>
                <w:sz w:val="22"/>
                <w:lang w:val="en-US"/>
              </w:rPr>
            </w:pPr>
            <w:r w:rsidRPr="006A31EC">
              <w:rPr>
                <w:rFonts w:eastAsia="SimSun"/>
                <w:sz w:val="22"/>
                <w:lang w:val="en-US"/>
              </w:rPr>
              <w:t>5.1.2.1</w:t>
            </w:r>
          </w:p>
        </w:tc>
        <w:tc>
          <w:tcPr>
            <w:tcW w:w="337" w:type="pct"/>
            <w:shd w:val="clear" w:color="auto" w:fill="auto"/>
            <w:vAlign w:val="center"/>
          </w:tcPr>
          <w:p w14:paraId="5A438D52" w14:textId="77777777" w:rsidR="00304132" w:rsidRPr="006A31EC" w:rsidRDefault="00304132" w:rsidP="00CD5E09">
            <w:pPr>
              <w:rPr>
                <w:sz w:val="22"/>
              </w:rPr>
            </w:pPr>
            <w:r w:rsidRPr="006A31EC">
              <w:rPr>
                <w:rFonts w:eastAsia="SimSun"/>
                <w:sz w:val="22"/>
                <w:lang w:val="en-US"/>
              </w:rPr>
              <w:t>-</w:t>
            </w:r>
          </w:p>
        </w:tc>
        <w:tc>
          <w:tcPr>
            <w:tcW w:w="337" w:type="pct"/>
            <w:shd w:val="clear" w:color="auto" w:fill="auto"/>
            <w:vAlign w:val="center"/>
          </w:tcPr>
          <w:p w14:paraId="6C916A6A" w14:textId="77777777" w:rsidR="00304132" w:rsidRPr="006A31EC" w:rsidRDefault="00304132" w:rsidP="00CD5E09">
            <w:pPr>
              <w:rPr>
                <w:sz w:val="22"/>
              </w:rPr>
            </w:pPr>
          </w:p>
        </w:tc>
        <w:tc>
          <w:tcPr>
            <w:tcW w:w="401" w:type="pct"/>
            <w:shd w:val="clear" w:color="auto" w:fill="auto"/>
            <w:vAlign w:val="center"/>
          </w:tcPr>
          <w:p w14:paraId="21AC465E" w14:textId="77777777" w:rsidR="00304132" w:rsidRPr="006A31EC" w:rsidRDefault="00304132" w:rsidP="00CD5E09">
            <w:pPr>
              <w:rPr>
                <w:sz w:val="22"/>
              </w:rPr>
            </w:pPr>
            <w:r w:rsidRPr="006A31EC">
              <w:rPr>
                <w:sz w:val="22"/>
              </w:rPr>
              <w:t>5.1.2.5</w:t>
            </w:r>
          </w:p>
        </w:tc>
        <w:tc>
          <w:tcPr>
            <w:tcW w:w="442" w:type="pct"/>
            <w:shd w:val="clear" w:color="auto" w:fill="auto"/>
            <w:vAlign w:val="center"/>
          </w:tcPr>
          <w:p w14:paraId="69144050" w14:textId="77777777" w:rsidR="00304132" w:rsidRPr="006A31EC" w:rsidRDefault="00304132" w:rsidP="00CD5E09">
            <w:pPr>
              <w:rPr>
                <w:sz w:val="22"/>
              </w:rPr>
            </w:pPr>
            <w:r w:rsidRPr="006A31EC">
              <w:rPr>
                <w:rFonts w:eastAsia="SimSun"/>
                <w:sz w:val="22"/>
                <w:lang w:val="en-US"/>
              </w:rPr>
              <w:t>-</w:t>
            </w:r>
          </w:p>
        </w:tc>
        <w:tc>
          <w:tcPr>
            <w:tcW w:w="337" w:type="pct"/>
            <w:shd w:val="clear" w:color="auto" w:fill="auto"/>
            <w:vAlign w:val="center"/>
          </w:tcPr>
          <w:p w14:paraId="48F437CB" w14:textId="77777777" w:rsidR="00304132" w:rsidRPr="006A31EC" w:rsidRDefault="00304132" w:rsidP="00CD5E09">
            <w:pPr>
              <w:rPr>
                <w:sz w:val="22"/>
              </w:rPr>
            </w:pPr>
            <w:r w:rsidRPr="006A31EC">
              <w:rPr>
                <w:rFonts w:eastAsia="SimSun"/>
                <w:sz w:val="22"/>
                <w:lang w:val="en-US"/>
              </w:rPr>
              <w:t>-</w:t>
            </w:r>
          </w:p>
        </w:tc>
        <w:tc>
          <w:tcPr>
            <w:tcW w:w="337" w:type="pct"/>
          </w:tcPr>
          <w:p w14:paraId="5C0D54D0" w14:textId="77777777" w:rsidR="00304132" w:rsidRPr="006A31EC" w:rsidRDefault="00304132" w:rsidP="00CD5E09">
            <w:pPr>
              <w:rPr>
                <w:rFonts w:eastAsia="SimSun"/>
                <w:sz w:val="22"/>
                <w:lang w:val="en-US"/>
              </w:rPr>
            </w:pPr>
          </w:p>
        </w:tc>
      </w:tr>
      <w:tr w:rsidR="00304132" w:rsidRPr="006A31EC" w14:paraId="15A7B2CD" w14:textId="77777777" w:rsidTr="00CD5E09">
        <w:trPr>
          <w:cantSplit/>
          <w:trHeight w:val="624"/>
        </w:trPr>
        <w:tc>
          <w:tcPr>
            <w:tcW w:w="293" w:type="pct"/>
            <w:vMerge/>
            <w:shd w:val="clear" w:color="auto" w:fill="D9D9D9"/>
            <w:vAlign w:val="center"/>
          </w:tcPr>
          <w:p w14:paraId="5118AF20" w14:textId="77777777" w:rsidR="00304132" w:rsidRPr="006A31EC" w:rsidRDefault="00304132" w:rsidP="00CD5E09">
            <w:pPr>
              <w:rPr>
                <w:rFonts w:eastAsia="SimSun"/>
                <w:sz w:val="22"/>
                <w:lang w:val="en-US"/>
              </w:rPr>
            </w:pPr>
          </w:p>
        </w:tc>
        <w:tc>
          <w:tcPr>
            <w:tcW w:w="284" w:type="pct"/>
            <w:shd w:val="clear" w:color="auto" w:fill="D9D9D9"/>
            <w:vAlign w:val="center"/>
          </w:tcPr>
          <w:p w14:paraId="3B034547" w14:textId="77777777" w:rsidR="00304132" w:rsidRPr="006A31EC" w:rsidRDefault="00304132" w:rsidP="00CD5E09">
            <w:pPr>
              <w:rPr>
                <w:rFonts w:eastAsia="SimSun"/>
                <w:sz w:val="22"/>
                <w:lang w:val="en-US"/>
              </w:rPr>
            </w:pPr>
            <w:r w:rsidRPr="006A31EC">
              <w:rPr>
                <w:rFonts w:eastAsia="SimSun"/>
                <w:sz w:val="22"/>
                <w:lang w:val="en-US"/>
              </w:rPr>
              <w:t>Tx</w:t>
            </w:r>
          </w:p>
        </w:tc>
        <w:tc>
          <w:tcPr>
            <w:tcW w:w="261" w:type="pct"/>
            <w:shd w:val="clear" w:color="auto" w:fill="D9D9D9"/>
            <w:vAlign w:val="center"/>
          </w:tcPr>
          <w:p w14:paraId="078588CB" w14:textId="77777777" w:rsidR="00304132" w:rsidRPr="006A31EC" w:rsidRDefault="00304132" w:rsidP="00CD5E09">
            <w:pPr>
              <w:rPr>
                <w:rFonts w:eastAsia="SimSun"/>
                <w:sz w:val="22"/>
                <w:lang w:val="en-US"/>
              </w:rPr>
            </w:pPr>
            <w:r w:rsidRPr="006A31EC">
              <w:rPr>
                <w:rFonts w:eastAsia="SimSun"/>
                <w:sz w:val="22"/>
                <w:lang w:val="en-US"/>
              </w:rPr>
              <w:t>-</w:t>
            </w:r>
          </w:p>
        </w:tc>
        <w:tc>
          <w:tcPr>
            <w:tcW w:w="398" w:type="pct"/>
            <w:shd w:val="clear" w:color="auto" w:fill="D9D9D9"/>
            <w:vAlign w:val="center"/>
          </w:tcPr>
          <w:p w14:paraId="28DD789D" w14:textId="77777777" w:rsidR="00304132" w:rsidRPr="006A31EC" w:rsidRDefault="00304132" w:rsidP="00CD5E09">
            <w:pPr>
              <w:rPr>
                <w:rFonts w:eastAsia="SimSun"/>
                <w:sz w:val="22"/>
                <w:lang w:val="en-US"/>
              </w:rPr>
            </w:pPr>
            <w:r w:rsidRPr="006A31EC">
              <w:rPr>
                <w:rFonts w:eastAsia="SimSun"/>
                <w:sz w:val="22"/>
                <w:lang w:val="en-US"/>
              </w:rPr>
              <w:t>MMF30</w:t>
            </w:r>
          </w:p>
        </w:tc>
        <w:tc>
          <w:tcPr>
            <w:tcW w:w="337" w:type="pct"/>
            <w:shd w:val="clear" w:color="auto" w:fill="auto"/>
            <w:vAlign w:val="center"/>
          </w:tcPr>
          <w:p w14:paraId="5368E099" w14:textId="77777777" w:rsidR="00304132" w:rsidRPr="006A31EC" w:rsidRDefault="00304132" w:rsidP="00CD5E09">
            <w:pPr>
              <w:rPr>
                <w:sz w:val="22"/>
              </w:rPr>
            </w:pPr>
            <w:r w:rsidRPr="006A31EC">
              <w:rPr>
                <w:rFonts w:eastAsia="SimSun"/>
                <w:sz w:val="22"/>
                <w:lang w:val="en-US"/>
              </w:rPr>
              <w:t>-</w:t>
            </w:r>
          </w:p>
        </w:tc>
        <w:tc>
          <w:tcPr>
            <w:tcW w:w="312" w:type="pct"/>
          </w:tcPr>
          <w:p w14:paraId="797D24F2" w14:textId="77777777" w:rsidR="00304132" w:rsidRPr="006A31EC" w:rsidRDefault="00304132" w:rsidP="00CD5E09">
            <w:pPr>
              <w:rPr>
                <w:rFonts w:eastAsia="SimSun"/>
                <w:sz w:val="22"/>
                <w:lang w:val="en-US"/>
              </w:rPr>
            </w:pPr>
          </w:p>
        </w:tc>
        <w:tc>
          <w:tcPr>
            <w:tcW w:w="337" w:type="pct"/>
            <w:shd w:val="clear" w:color="auto" w:fill="auto"/>
            <w:vAlign w:val="center"/>
          </w:tcPr>
          <w:p w14:paraId="50FF502C" w14:textId="77777777" w:rsidR="00304132" w:rsidRPr="006A31EC" w:rsidRDefault="00304132" w:rsidP="00CD5E09">
            <w:pPr>
              <w:rPr>
                <w:sz w:val="22"/>
              </w:rPr>
            </w:pPr>
            <w:r w:rsidRPr="006A31EC">
              <w:rPr>
                <w:rFonts w:eastAsia="SimSun"/>
                <w:sz w:val="22"/>
                <w:lang w:val="en-US"/>
              </w:rPr>
              <w:t>-</w:t>
            </w:r>
          </w:p>
        </w:tc>
        <w:tc>
          <w:tcPr>
            <w:tcW w:w="295" w:type="pct"/>
            <w:shd w:val="clear" w:color="auto" w:fill="auto"/>
            <w:vAlign w:val="center"/>
          </w:tcPr>
          <w:p w14:paraId="6DB3965A" w14:textId="77777777" w:rsidR="00304132" w:rsidRPr="006A31EC" w:rsidRDefault="00304132" w:rsidP="00CD5E09">
            <w:pPr>
              <w:rPr>
                <w:sz w:val="22"/>
              </w:rPr>
            </w:pPr>
            <w:r w:rsidRPr="006A31EC">
              <w:rPr>
                <w:rFonts w:eastAsia="SimSun"/>
                <w:sz w:val="22"/>
                <w:lang w:val="en-US"/>
              </w:rPr>
              <w:t>-</w:t>
            </w:r>
          </w:p>
        </w:tc>
        <w:tc>
          <w:tcPr>
            <w:tcW w:w="295" w:type="pct"/>
            <w:shd w:val="clear" w:color="auto" w:fill="auto"/>
            <w:vAlign w:val="center"/>
          </w:tcPr>
          <w:p w14:paraId="1D9BE9E4" w14:textId="77777777" w:rsidR="00304132" w:rsidRPr="006A31EC" w:rsidRDefault="00304132" w:rsidP="00CD5E09">
            <w:pPr>
              <w:rPr>
                <w:sz w:val="22"/>
              </w:rPr>
            </w:pPr>
            <w:r w:rsidRPr="006A31EC">
              <w:rPr>
                <w:rFonts w:eastAsia="SimSun"/>
                <w:sz w:val="22"/>
                <w:lang w:val="en-US"/>
              </w:rPr>
              <w:t>-</w:t>
            </w:r>
          </w:p>
        </w:tc>
        <w:tc>
          <w:tcPr>
            <w:tcW w:w="337" w:type="pct"/>
            <w:shd w:val="clear" w:color="auto" w:fill="auto"/>
            <w:vAlign w:val="center"/>
          </w:tcPr>
          <w:p w14:paraId="01689896" w14:textId="77777777" w:rsidR="00304132" w:rsidRPr="006A31EC" w:rsidRDefault="00304132" w:rsidP="00CD5E09">
            <w:pPr>
              <w:rPr>
                <w:sz w:val="22"/>
              </w:rPr>
            </w:pPr>
            <w:r w:rsidRPr="006A31EC">
              <w:rPr>
                <w:rFonts w:eastAsia="SimSun"/>
                <w:sz w:val="22"/>
                <w:lang w:val="en-US"/>
              </w:rPr>
              <w:t>-</w:t>
            </w:r>
          </w:p>
        </w:tc>
        <w:tc>
          <w:tcPr>
            <w:tcW w:w="337" w:type="pct"/>
            <w:shd w:val="clear" w:color="auto" w:fill="auto"/>
            <w:vAlign w:val="center"/>
          </w:tcPr>
          <w:p w14:paraId="24B27448" w14:textId="77777777" w:rsidR="00304132" w:rsidRPr="006A31EC" w:rsidRDefault="00304132" w:rsidP="00CD5E09">
            <w:pPr>
              <w:rPr>
                <w:sz w:val="22"/>
              </w:rPr>
            </w:pPr>
            <w:r w:rsidRPr="006A31EC">
              <w:rPr>
                <w:sz w:val="22"/>
              </w:rPr>
              <w:t>5.1.2.21</w:t>
            </w:r>
          </w:p>
        </w:tc>
        <w:tc>
          <w:tcPr>
            <w:tcW w:w="401" w:type="pct"/>
            <w:shd w:val="clear" w:color="auto" w:fill="auto"/>
            <w:vAlign w:val="center"/>
          </w:tcPr>
          <w:p w14:paraId="6D23B410" w14:textId="77777777" w:rsidR="00304132" w:rsidRPr="006A31EC" w:rsidRDefault="00304132" w:rsidP="00CD5E09">
            <w:pPr>
              <w:rPr>
                <w:sz w:val="22"/>
              </w:rPr>
            </w:pPr>
            <w:r w:rsidRPr="006A31EC">
              <w:rPr>
                <w:rFonts w:eastAsia="SimSun"/>
                <w:sz w:val="22"/>
                <w:lang w:val="en-US"/>
              </w:rPr>
              <w:t>-</w:t>
            </w:r>
          </w:p>
        </w:tc>
        <w:tc>
          <w:tcPr>
            <w:tcW w:w="442" w:type="pct"/>
            <w:shd w:val="clear" w:color="auto" w:fill="auto"/>
            <w:vAlign w:val="center"/>
          </w:tcPr>
          <w:p w14:paraId="0DBFC137" w14:textId="77777777" w:rsidR="00304132" w:rsidRPr="006A31EC" w:rsidRDefault="00304132" w:rsidP="00CD5E09">
            <w:pPr>
              <w:rPr>
                <w:sz w:val="22"/>
              </w:rPr>
            </w:pPr>
            <w:r w:rsidRPr="006A31EC">
              <w:rPr>
                <w:rFonts w:eastAsia="SimSun"/>
                <w:sz w:val="22"/>
                <w:lang w:val="en-US"/>
              </w:rPr>
              <w:t>-</w:t>
            </w:r>
          </w:p>
        </w:tc>
        <w:tc>
          <w:tcPr>
            <w:tcW w:w="337" w:type="pct"/>
            <w:shd w:val="clear" w:color="auto" w:fill="auto"/>
            <w:vAlign w:val="center"/>
          </w:tcPr>
          <w:p w14:paraId="10640C5D" w14:textId="77777777" w:rsidR="00304132" w:rsidRPr="006A31EC" w:rsidRDefault="00304132" w:rsidP="00CD5E09">
            <w:pPr>
              <w:rPr>
                <w:rFonts w:eastAsia="SimSun"/>
                <w:sz w:val="22"/>
              </w:rPr>
            </w:pPr>
            <w:r w:rsidRPr="006A31EC">
              <w:rPr>
                <w:rFonts w:eastAsia="SimSun"/>
                <w:sz w:val="22"/>
                <w:lang w:val="en-US"/>
              </w:rPr>
              <w:t>5.1.2.2</w:t>
            </w:r>
            <w:r w:rsidRPr="006A31EC">
              <w:rPr>
                <w:rFonts w:eastAsia="SimSun"/>
                <w:sz w:val="22"/>
              </w:rPr>
              <w:t>2</w:t>
            </w:r>
          </w:p>
        </w:tc>
        <w:tc>
          <w:tcPr>
            <w:tcW w:w="337" w:type="pct"/>
          </w:tcPr>
          <w:p w14:paraId="693AF3CB" w14:textId="77777777" w:rsidR="00304132" w:rsidRPr="006A31EC" w:rsidRDefault="00304132" w:rsidP="00CD5E09">
            <w:pPr>
              <w:rPr>
                <w:rFonts w:eastAsia="SimSun"/>
                <w:sz w:val="22"/>
                <w:lang w:val="en-US"/>
              </w:rPr>
            </w:pPr>
          </w:p>
        </w:tc>
      </w:tr>
      <w:tr w:rsidR="00304132" w:rsidRPr="006A31EC" w14:paraId="1530E8F2" w14:textId="77777777" w:rsidTr="00CD5E09">
        <w:trPr>
          <w:cantSplit/>
          <w:trHeight w:val="624"/>
        </w:trPr>
        <w:tc>
          <w:tcPr>
            <w:tcW w:w="293" w:type="pct"/>
            <w:vMerge w:val="restart"/>
            <w:shd w:val="clear" w:color="auto" w:fill="D9D9D9"/>
            <w:vAlign w:val="center"/>
          </w:tcPr>
          <w:p w14:paraId="5D832635" w14:textId="77777777" w:rsidR="00304132" w:rsidRPr="006A31EC" w:rsidRDefault="00304132" w:rsidP="00CD5E09">
            <w:pPr>
              <w:rPr>
                <w:rFonts w:eastAsia="SimSun"/>
                <w:sz w:val="22"/>
                <w:lang w:val="en-US"/>
              </w:rPr>
            </w:pPr>
            <w:r w:rsidRPr="006A31EC">
              <w:rPr>
                <w:rFonts w:eastAsia="SimSun"/>
                <w:sz w:val="22"/>
                <w:lang w:val="en-US"/>
              </w:rPr>
              <w:t>rATG</w:t>
            </w:r>
          </w:p>
        </w:tc>
        <w:tc>
          <w:tcPr>
            <w:tcW w:w="284" w:type="pct"/>
            <w:shd w:val="clear" w:color="auto" w:fill="D9D9D9"/>
            <w:vAlign w:val="center"/>
          </w:tcPr>
          <w:p w14:paraId="0B5DA0E4" w14:textId="77777777" w:rsidR="00304132" w:rsidRPr="006A31EC" w:rsidRDefault="00304132" w:rsidP="00CD5E09">
            <w:pPr>
              <w:rPr>
                <w:rFonts w:eastAsia="SimSun"/>
                <w:sz w:val="22"/>
                <w:lang w:val="en-US"/>
              </w:rPr>
            </w:pPr>
            <w:r w:rsidRPr="006A31EC">
              <w:rPr>
                <w:rFonts w:eastAsia="SimSun"/>
                <w:sz w:val="22"/>
                <w:lang w:val="en-US"/>
              </w:rPr>
              <w:t>CSA</w:t>
            </w:r>
          </w:p>
        </w:tc>
        <w:tc>
          <w:tcPr>
            <w:tcW w:w="261" w:type="pct"/>
            <w:shd w:val="clear" w:color="auto" w:fill="D9D9D9"/>
            <w:vAlign w:val="center"/>
          </w:tcPr>
          <w:p w14:paraId="21F1F1F1" w14:textId="77777777" w:rsidR="00304132" w:rsidRPr="006A31EC" w:rsidRDefault="00304132" w:rsidP="00CD5E09">
            <w:pPr>
              <w:rPr>
                <w:rFonts w:eastAsia="SimSun"/>
                <w:sz w:val="22"/>
                <w:lang w:val="en-US"/>
              </w:rPr>
            </w:pPr>
            <w:r w:rsidRPr="006A31EC">
              <w:rPr>
                <w:rFonts w:eastAsia="SimSun"/>
                <w:sz w:val="22"/>
                <w:lang w:val="en-US"/>
              </w:rPr>
              <w:t>MTX</w:t>
            </w:r>
          </w:p>
        </w:tc>
        <w:tc>
          <w:tcPr>
            <w:tcW w:w="398" w:type="pct"/>
            <w:shd w:val="clear" w:color="auto" w:fill="D9D9D9"/>
            <w:vAlign w:val="center"/>
          </w:tcPr>
          <w:p w14:paraId="59DB7D58" w14:textId="77777777" w:rsidR="00304132" w:rsidRPr="006A31EC" w:rsidRDefault="00304132" w:rsidP="00CD5E09">
            <w:pPr>
              <w:rPr>
                <w:rFonts w:eastAsia="SimSun"/>
                <w:sz w:val="22"/>
                <w:lang w:val="en-US"/>
              </w:rPr>
            </w:pPr>
            <w:r w:rsidRPr="006A31EC">
              <w:rPr>
                <w:rFonts w:eastAsia="SimSun"/>
                <w:sz w:val="22"/>
                <w:lang w:val="en-US"/>
              </w:rPr>
              <w:t>MMF30</w:t>
            </w:r>
          </w:p>
        </w:tc>
        <w:tc>
          <w:tcPr>
            <w:tcW w:w="337" w:type="pct"/>
            <w:shd w:val="clear" w:color="auto" w:fill="auto"/>
            <w:vAlign w:val="center"/>
          </w:tcPr>
          <w:p w14:paraId="54648E28" w14:textId="77777777" w:rsidR="00304132" w:rsidRPr="006A31EC" w:rsidRDefault="00304132" w:rsidP="00CD5E09">
            <w:pPr>
              <w:rPr>
                <w:sz w:val="22"/>
              </w:rPr>
            </w:pPr>
            <w:r w:rsidRPr="006A31EC">
              <w:rPr>
                <w:rFonts w:eastAsia="SimSun"/>
                <w:sz w:val="22"/>
                <w:lang w:val="en-US"/>
              </w:rPr>
              <w:t>-</w:t>
            </w:r>
          </w:p>
        </w:tc>
        <w:tc>
          <w:tcPr>
            <w:tcW w:w="312" w:type="pct"/>
          </w:tcPr>
          <w:p w14:paraId="30AE71AB" w14:textId="77777777" w:rsidR="00304132" w:rsidRPr="006A31EC" w:rsidRDefault="00304132" w:rsidP="00CD5E09">
            <w:pPr>
              <w:rPr>
                <w:rFonts w:eastAsia="SimSun"/>
                <w:sz w:val="22"/>
                <w:lang w:val="en-US"/>
              </w:rPr>
            </w:pPr>
          </w:p>
        </w:tc>
        <w:tc>
          <w:tcPr>
            <w:tcW w:w="337" w:type="pct"/>
            <w:shd w:val="clear" w:color="auto" w:fill="auto"/>
            <w:vAlign w:val="center"/>
          </w:tcPr>
          <w:p w14:paraId="2F4B7E7F" w14:textId="77777777" w:rsidR="00304132" w:rsidRPr="006A31EC" w:rsidRDefault="00304132" w:rsidP="00CD5E09">
            <w:pPr>
              <w:rPr>
                <w:sz w:val="22"/>
              </w:rPr>
            </w:pPr>
            <w:r w:rsidRPr="006A31EC">
              <w:rPr>
                <w:rFonts w:eastAsia="SimSun"/>
                <w:sz w:val="22"/>
                <w:lang w:val="en-US"/>
              </w:rPr>
              <w:t>-</w:t>
            </w:r>
          </w:p>
        </w:tc>
        <w:tc>
          <w:tcPr>
            <w:tcW w:w="295" w:type="pct"/>
            <w:shd w:val="clear" w:color="auto" w:fill="auto"/>
            <w:vAlign w:val="center"/>
          </w:tcPr>
          <w:p w14:paraId="7E408BA6" w14:textId="77777777" w:rsidR="00304132" w:rsidRPr="006A31EC" w:rsidRDefault="00304132" w:rsidP="00CD5E09">
            <w:pPr>
              <w:rPr>
                <w:sz w:val="22"/>
              </w:rPr>
            </w:pPr>
            <w:r w:rsidRPr="006A31EC">
              <w:rPr>
                <w:rFonts w:eastAsia="SimSun"/>
                <w:sz w:val="22"/>
                <w:lang w:val="en-US"/>
              </w:rPr>
              <w:t>-</w:t>
            </w:r>
          </w:p>
        </w:tc>
        <w:tc>
          <w:tcPr>
            <w:tcW w:w="295" w:type="pct"/>
            <w:shd w:val="clear" w:color="auto" w:fill="auto"/>
            <w:vAlign w:val="center"/>
          </w:tcPr>
          <w:p w14:paraId="0D3A6461" w14:textId="77777777" w:rsidR="00304132" w:rsidRPr="006A31EC" w:rsidRDefault="00304132" w:rsidP="00CD5E09">
            <w:pPr>
              <w:rPr>
                <w:rFonts w:eastAsia="SimSun"/>
                <w:sz w:val="22"/>
                <w:lang w:val="en-US"/>
              </w:rPr>
            </w:pPr>
            <w:r w:rsidRPr="006A31EC">
              <w:rPr>
                <w:rFonts w:eastAsia="SimSun"/>
                <w:sz w:val="22"/>
                <w:lang w:val="en-US"/>
              </w:rPr>
              <w:t>5.1.2.2</w:t>
            </w:r>
          </w:p>
        </w:tc>
        <w:tc>
          <w:tcPr>
            <w:tcW w:w="337" w:type="pct"/>
            <w:shd w:val="clear" w:color="auto" w:fill="auto"/>
            <w:vAlign w:val="center"/>
          </w:tcPr>
          <w:p w14:paraId="1429A77F" w14:textId="77777777" w:rsidR="00304132" w:rsidRPr="006A31EC" w:rsidRDefault="00304132" w:rsidP="00CD5E09">
            <w:pPr>
              <w:rPr>
                <w:sz w:val="22"/>
              </w:rPr>
            </w:pPr>
            <w:r w:rsidRPr="006A31EC">
              <w:rPr>
                <w:rFonts w:eastAsia="SimSun"/>
                <w:sz w:val="22"/>
                <w:lang w:val="en-US"/>
              </w:rPr>
              <w:t>-</w:t>
            </w:r>
          </w:p>
        </w:tc>
        <w:tc>
          <w:tcPr>
            <w:tcW w:w="337" w:type="pct"/>
            <w:shd w:val="clear" w:color="auto" w:fill="auto"/>
            <w:vAlign w:val="center"/>
          </w:tcPr>
          <w:p w14:paraId="1D0B66D7" w14:textId="77777777" w:rsidR="00304132" w:rsidRPr="006A31EC" w:rsidRDefault="00304132" w:rsidP="00CD5E09">
            <w:pPr>
              <w:rPr>
                <w:rFonts w:eastAsia="SimSun"/>
                <w:sz w:val="22"/>
              </w:rPr>
            </w:pPr>
            <w:r w:rsidRPr="006A31EC">
              <w:rPr>
                <w:rFonts w:eastAsia="SimSun"/>
                <w:sz w:val="22"/>
                <w:lang w:val="en-US"/>
              </w:rPr>
              <w:t>-</w:t>
            </w:r>
          </w:p>
        </w:tc>
        <w:tc>
          <w:tcPr>
            <w:tcW w:w="401" w:type="pct"/>
            <w:shd w:val="clear" w:color="auto" w:fill="auto"/>
            <w:vAlign w:val="center"/>
          </w:tcPr>
          <w:p w14:paraId="59750651" w14:textId="77777777" w:rsidR="00304132" w:rsidRPr="006A31EC" w:rsidRDefault="00304132" w:rsidP="00CD5E09">
            <w:pPr>
              <w:rPr>
                <w:rFonts w:eastAsia="SimSun"/>
                <w:sz w:val="22"/>
                <w:lang w:val="en-US"/>
              </w:rPr>
            </w:pPr>
            <w:r w:rsidRPr="006A31EC">
              <w:rPr>
                <w:rFonts w:eastAsia="SimSun"/>
                <w:sz w:val="22"/>
                <w:lang w:val="en-US"/>
              </w:rPr>
              <w:t>5.1.2.6</w:t>
            </w:r>
          </w:p>
        </w:tc>
        <w:tc>
          <w:tcPr>
            <w:tcW w:w="442" w:type="pct"/>
            <w:shd w:val="clear" w:color="auto" w:fill="auto"/>
            <w:vAlign w:val="center"/>
          </w:tcPr>
          <w:p w14:paraId="798044D0" w14:textId="77777777" w:rsidR="00304132" w:rsidRPr="006A31EC" w:rsidRDefault="00304132" w:rsidP="00CD5E09">
            <w:pPr>
              <w:rPr>
                <w:sz w:val="22"/>
              </w:rPr>
            </w:pPr>
            <w:r w:rsidRPr="006A31EC">
              <w:rPr>
                <w:rFonts w:eastAsia="SimSun"/>
                <w:sz w:val="22"/>
                <w:lang w:val="en-US"/>
              </w:rPr>
              <w:t>-</w:t>
            </w:r>
          </w:p>
        </w:tc>
        <w:tc>
          <w:tcPr>
            <w:tcW w:w="337" w:type="pct"/>
            <w:shd w:val="clear" w:color="auto" w:fill="auto"/>
            <w:vAlign w:val="center"/>
          </w:tcPr>
          <w:p w14:paraId="48DCD546" w14:textId="77777777" w:rsidR="00304132" w:rsidRPr="006A31EC" w:rsidRDefault="00304132" w:rsidP="00CD5E09">
            <w:pPr>
              <w:rPr>
                <w:sz w:val="22"/>
              </w:rPr>
            </w:pPr>
            <w:r w:rsidRPr="006A31EC">
              <w:rPr>
                <w:rFonts w:eastAsia="SimSun"/>
                <w:sz w:val="22"/>
                <w:lang w:val="en-US"/>
              </w:rPr>
              <w:t>-</w:t>
            </w:r>
          </w:p>
        </w:tc>
        <w:tc>
          <w:tcPr>
            <w:tcW w:w="337" w:type="pct"/>
          </w:tcPr>
          <w:p w14:paraId="5AEEC60E" w14:textId="77777777" w:rsidR="00304132" w:rsidRPr="006A31EC" w:rsidRDefault="00304132" w:rsidP="00CD5E09">
            <w:pPr>
              <w:rPr>
                <w:rFonts w:eastAsia="SimSun"/>
                <w:sz w:val="22"/>
                <w:lang w:val="en-US"/>
              </w:rPr>
            </w:pPr>
          </w:p>
        </w:tc>
      </w:tr>
      <w:tr w:rsidR="00304132" w:rsidRPr="006A31EC" w14:paraId="1578600A" w14:textId="77777777" w:rsidTr="00CD5E09">
        <w:trPr>
          <w:cantSplit/>
          <w:trHeight w:val="624"/>
        </w:trPr>
        <w:tc>
          <w:tcPr>
            <w:tcW w:w="293" w:type="pct"/>
            <w:vMerge/>
            <w:shd w:val="clear" w:color="auto" w:fill="D9D9D9"/>
            <w:vAlign w:val="center"/>
          </w:tcPr>
          <w:p w14:paraId="106547EF" w14:textId="77777777" w:rsidR="00304132" w:rsidRPr="006A31EC" w:rsidRDefault="00304132" w:rsidP="00CD5E09">
            <w:pPr>
              <w:rPr>
                <w:rFonts w:eastAsia="SimSun"/>
                <w:sz w:val="22"/>
                <w:lang w:val="en-US"/>
              </w:rPr>
            </w:pPr>
          </w:p>
        </w:tc>
        <w:tc>
          <w:tcPr>
            <w:tcW w:w="284" w:type="pct"/>
            <w:shd w:val="clear" w:color="auto" w:fill="D9D9D9"/>
            <w:vAlign w:val="center"/>
          </w:tcPr>
          <w:p w14:paraId="18856242" w14:textId="77777777" w:rsidR="00304132" w:rsidRPr="006A31EC" w:rsidRDefault="00304132" w:rsidP="00CD5E09">
            <w:pPr>
              <w:rPr>
                <w:rFonts w:eastAsia="SimSun"/>
                <w:sz w:val="22"/>
                <w:lang w:val="en-US"/>
              </w:rPr>
            </w:pPr>
            <w:r w:rsidRPr="006A31EC">
              <w:rPr>
                <w:rFonts w:eastAsia="SimSun"/>
                <w:sz w:val="22"/>
                <w:lang w:val="en-US"/>
              </w:rPr>
              <w:t>Tx</w:t>
            </w:r>
          </w:p>
        </w:tc>
        <w:tc>
          <w:tcPr>
            <w:tcW w:w="261" w:type="pct"/>
            <w:shd w:val="clear" w:color="auto" w:fill="D9D9D9"/>
            <w:vAlign w:val="center"/>
          </w:tcPr>
          <w:p w14:paraId="50174DED" w14:textId="77777777" w:rsidR="00304132" w:rsidRPr="006A31EC" w:rsidRDefault="00304132" w:rsidP="00CD5E09">
            <w:pPr>
              <w:rPr>
                <w:rFonts w:eastAsia="SimSun"/>
                <w:sz w:val="22"/>
                <w:lang w:val="en-US"/>
              </w:rPr>
            </w:pPr>
            <w:r w:rsidRPr="006A31EC">
              <w:rPr>
                <w:rFonts w:eastAsia="SimSun"/>
                <w:sz w:val="22"/>
                <w:lang w:val="en-US"/>
              </w:rPr>
              <w:t>-</w:t>
            </w:r>
          </w:p>
        </w:tc>
        <w:tc>
          <w:tcPr>
            <w:tcW w:w="398" w:type="pct"/>
            <w:shd w:val="clear" w:color="auto" w:fill="D9D9D9"/>
            <w:vAlign w:val="center"/>
          </w:tcPr>
          <w:p w14:paraId="29154FAC" w14:textId="77777777" w:rsidR="00304132" w:rsidRPr="006A31EC" w:rsidRDefault="00304132" w:rsidP="00CD5E09">
            <w:pPr>
              <w:rPr>
                <w:rFonts w:eastAsia="SimSun"/>
                <w:sz w:val="22"/>
              </w:rPr>
            </w:pPr>
            <w:r w:rsidRPr="006A31EC">
              <w:rPr>
                <w:rFonts w:eastAsia="SimSun"/>
                <w:sz w:val="22"/>
                <w:lang w:val="en-US"/>
              </w:rPr>
              <w:t>MMF30</w:t>
            </w:r>
          </w:p>
        </w:tc>
        <w:tc>
          <w:tcPr>
            <w:tcW w:w="337" w:type="pct"/>
            <w:shd w:val="clear" w:color="auto" w:fill="auto"/>
            <w:vAlign w:val="center"/>
          </w:tcPr>
          <w:p w14:paraId="319E3368" w14:textId="77777777" w:rsidR="00304132" w:rsidRPr="006A31EC" w:rsidRDefault="00304132" w:rsidP="00CD5E09">
            <w:pPr>
              <w:rPr>
                <w:sz w:val="22"/>
              </w:rPr>
            </w:pPr>
            <w:r w:rsidRPr="006A31EC">
              <w:rPr>
                <w:rFonts w:eastAsia="SimSun"/>
                <w:sz w:val="22"/>
                <w:lang w:val="en-US"/>
              </w:rPr>
              <w:t>-</w:t>
            </w:r>
          </w:p>
        </w:tc>
        <w:tc>
          <w:tcPr>
            <w:tcW w:w="312" w:type="pct"/>
          </w:tcPr>
          <w:p w14:paraId="1D26DFEB" w14:textId="77777777" w:rsidR="00304132" w:rsidRPr="006A31EC" w:rsidRDefault="00304132" w:rsidP="00CD5E09">
            <w:pPr>
              <w:rPr>
                <w:rFonts w:eastAsia="SimSun"/>
                <w:sz w:val="22"/>
                <w:lang w:val="en-US"/>
              </w:rPr>
            </w:pPr>
          </w:p>
        </w:tc>
        <w:tc>
          <w:tcPr>
            <w:tcW w:w="337" w:type="pct"/>
            <w:shd w:val="clear" w:color="auto" w:fill="auto"/>
            <w:vAlign w:val="center"/>
          </w:tcPr>
          <w:p w14:paraId="77690A9E" w14:textId="77777777" w:rsidR="00304132" w:rsidRPr="006A31EC" w:rsidRDefault="00304132" w:rsidP="00CD5E09">
            <w:pPr>
              <w:rPr>
                <w:sz w:val="22"/>
              </w:rPr>
            </w:pPr>
            <w:r w:rsidRPr="006A31EC">
              <w:rPr>
                <w:rFonts w:eastAsia="SimSun"/>
                <w:sz w:val="22"/>
                <w:lang w:val="en-US"/>
              </w:rPr>
              <w:t>-</w:t>
            </w:r>
          </w:p>
        </w:tc>
        <w:tc>
          <w:tcPr>
            <w:tcW w:w="295" w:type="pct"/>
            <w:shd w:val="clear" w:color="auto" w:fill="auto"/>
            <w:vAlign w:val="center"/>
          </w:tcPr>
          <w:p w14:paraId="13C93DD9" w14:textId="77777777" w:rsidR="00304132" w:rsidRPr="006A31EC" w:rsidRDefault="00304132" w:rsidP="00CD5E09">
            <w:pPr>
              <w:rPr>
                <w:sz w:val="22"/>
              </w:rPr>
            </w:pPr>
            <w:r w:rsidRPr="006A31EC">
              <w:rPr>
                <w:rFonts w:eastAsia="SimSun"/>
                <w:sz w:val="22"/>
                <w:lang w:val="en-US"/>
              </w:rPr>
              <w:t>-</w:t>
            </w:r>
          </w:p>
        </w:tc>
        <w:tc>
          <w:tcPr>
            <w:tcW w:w="295" w:type="pct"/>
            <w:shd w:val="clear" w:color="auto" w:fill="auto"/>
            <w:vAlign w:val="center"/>
          </w:tcPr>
          <w:p w14:paraId="2A56576B" w14:textId="77777777" w:rsidR="00304132" w:rsidRPr="006A31EC" w:rsidRDefault="00304132" w:rsidP="00CD5E09">
            <w:pPr>
              <w:rPr>
                <w:sz w:val="22"/>
              </w:rPr>
            </w:pPr>
            <w:r w:rsidRPr="006A31EC">
              <w:rPr>
                <w:rFonts w:eastAsia="SimSun"/>
                <w:sz w:val="22"/>
                <w:lang w:val="en-US"/>
              </w:rPr>
              <w:t>-</w:t>
            </w:r>
          </w:p>
        </w:tc>
        <w:tc>
          <w:tcPr>
            <w:tcW w:w="337" w:type="pct"/>
            <w:shd w:val="clear" w:color="auto" w:fill="auto"/>
            <w:vAlign w:val="center"/>
          </w:tcPr>
          <w:p w14:paraId="4D647671" w14:textId="77777777" w:rsidR="00304132" w:rsidRPr="006A31EC" w:rsidRDefault="00304132" w:rsidP="00CD5E09">
            <w:pPr>
              <w:rPr>
                <w:sz w:val="22"/>
              </w:rPr>
            </w:pPr>
            <w:r w:rsidRPr="006A31EC">
              <w:rPr>
                <w:rFonts w:eastAsia="SimSun"/>
                <w:sz w:val="22"/>
                <w:lang w:val="en-US"/>
              </w:rPr>
              <w:t>-</w:t>
            </w:r>
          </w:p>
        </w:tc>
        <w:tc>
          <w:tcPr>
            <w:tcW w:w="337" w:type="pct"/>
            <w:shd w:val="clear" w:color="auto" w:fill="auto"/>
            <w:vAlign w:val="center"/>
          </w:tcPr>
          <w:p w14:paraId="2220AD56" w14:textId="77777777" w:rsidR="00304132" w:rsidRPr="006A31EC" w:rsidRDefault="00304132" w:rsidP="00CD5E09">
            <w:pPr>
              <w:rPr>
                <w:sz w:val="22"/>
              </w:rPr>
            </w:pPr>
            <w:r w:rsidRPr="006A31EC">
              <w:rPr>
                <w:rFonts w:eastAsia="SimSun"/>
                <w:sz w:val="22"/>
                <w:lang w:val="en-US"/>
              </w:rPr>
              <w:t>-</w:t>
            </w:r>
          </w:p>
        </w:tc>
        <w:tc>
          <w:tcPr>
            <w:tcW w:w="401" w:type="pct"/>
            <w:shd w:val="clear" w:color="auto" w:fill="auto"/>
            <w:vAlign w:val="center"/>
          </w:tcPr>
          <w:p w14:paraId="5AA67F60" w14:textId="77777777" w:rsidR="00304132" w:rsidRPr="006A31EC" w:rsidRDefault="00304132" w:rsidP="00CD5E09">
            <w:pPr>
              <w:rPr>
                <w:sz w:val="22"/>
              </w:rPr>
            </w:pPr>
            <w:r w:rsidRPr="006A31EC">
              <w:rPr>
                <w:rFonts w:eastAsia="SimSun"/>
                <w:sz w:val="22"/>
                <w:lang w:val="en-US"/>
              </w:rPr>
              <w:t>-</w:t>
            </w:r>
          </w:p>
        </w:tc>
        <w:tc>
          <w:tcPr>
            <w:tcW w:w="442" w:type="pct"/>
            <w:shd w:val="clear" w:color="auto" w:fill="auto"/>
            <w:vAlign w:val="center"/>
          </w:tcPr>
          <w:p w14:paraId="40717C7D" w14:textId="77777777" w:rsidR="00304132" w:rsidRPr="006A31EC" w:rsidRDefault="00304132" w:rsidP="00CD5E09">
            <w:pPr>
              <w:rPr>
                <w:sz w:val="22"/>
              </w:rPr>
            </w:pPr>
            <w:r w:rsidRPr="006A31EC">
              <w:rPr>
                <w:rFonts w:eastAsia="SimSun"/>
                <w:sz w:val="22"/>
                <w:lang w:val="en-US"/>
              </w:rPr>
              <w:t>-</w:t>
            </w:r>
          </w:p>
        </w:tc>
        <w:tc>
          <w:tcPr>
            <w:tcW w:w="337" w:type="pct"/>
            <w:shd w:val="clear" w:color="auto" w:fill="auto"/>
            <w:vAlign w:val="center"/>
          </w:tcPr>
          <w:p w14:paraId="5CC18F7D" w14:textId="77777777" w:rsidR="00304132" w:rsidRPr="006A31EC" w:rsidRDefault="00304132" w:rsidP="00CD5E09">
            <w:pPr>
              <w:rPr>
                <w:rFonts w:eastAsia="SimSun"/>
                <w:sz w:val="22"/>
              </w:rPr>
            </w:pPr>
            <w:r w:rsidRPr="006A31EC">
              <w:rPr>
                <w:rFonts w:eastAsia="SimSun"/>
                <w:sz w:val="22"/>
                <w:lang w:val="en-US"/>
              </w:rPr>
              <w:t>5.1.2.2</w:t>
            </w:r>
            <w:r w:rsidRPr="006A31EC">
              <w:rPr>
                <w:rFonts w:eastAsia="SimSun"/>
                <w:sz w:val="22"/>
              </w:rPr>
              <w:t>3</w:t>
            </w:r>
          </w:p>
        </w:tc>
        <w:tc>
          <w:tcPr>
            <w:tcW w:w="337" w:type="pct"/>
          </w:tcPr>
          <w:p w14:paraId="08AAA493" w14:textId="77777777" w:rsidR="00304132" w:rsidRPr="006A31EC" w:rsidRDefault="00304132" w:rsidP="00CD5E09">
            <w:pPr>
              <w:rPr>
                <w:rFonts w:eastAsia="SimSun"/>
                <w:sz w:val="22"/>
                <w:lang w:val="en-US"/>
              </w:rPr>
            </w:pPr>
          </w:p>
        </w:tc>
      </w:tr>
      <w:tr w:rsidR="00304132" w:rsidRPr="006A31EC" w14:paraId="1EC4D013" w14:textId="77777777" w:rsidTr="00CD5E09">
        <w:trPr>
          <w:cantSplit/>
          <w:trHeight w:val="624"/>
        </w:trPr>
        <w:tc>
          <w:tcPr>
            <w:tcW w:w="293" w:type="pct"/>
            <w:vMerge w:val="restart"/>
            <w:shd w:val="clear" w:color="auto" w:fill="D9D9D9"/>
            <w:vAlign w:val="center"/>
          </w:tcPr>
          <w:p w14:paraId="460921CB" w14:textId="77777777" w:rsidR="00304132" w:rsidRPr="006A31EC" w:rsidRDefault="00304132" w:rsidP="00CD5E09">
            <w:pPr>
              <w:rPr>
                <w:rFonts w:eastAsia="SimSun"/>
                <w:sz w:val="22"/>
                <w:lang w:val="en-US"/>
              </w:rPr>
            </w:pPr>
            <w:r w:rsidRPr="006A31EC">
              <w:rPr>
                <w:rFonts w:eastAsia="SimSun"/>
                <w:sz w:val="22"/>
                <w:lang w:val="en-US"/>
              </w:rPr>
              <w:t>PT-Cy</w:t>
            </w:r>
          </w:p>
          <w:p w14:paraId="6762517E" w14:textId="77777777" w:rsidR="00304132" w:rsidRPr="006A31EC" w:rsidRDefault="00304132" w:rsidP="00CD5E09">
            <w:pPr>
              <w:rPr>
                <w:rFonts w:eastAsia="SimSun"/>
                <w:sz w:val="22"/>
                <w:lang w:val="en-US"/>
              </w:rPr>
            </w:pPr>
          </w:p>
        </w:tc>
        <w:tc>
          <w:tcPr>
            <w:tcW w:w="284" w:type="pct"/>
            <w:shd w:val="clear" w:color="auto" w:fill="D9D9D9"/>
            <w:vAlign w:val="center"/>
          </w:tcPr>
          <w:p w14:paraId="41DD4C6E" w14:textId="77777777" w:rsidR="00304132" w:rsidRPr="006A31EC" w:rsidRDefault="00304132" w:rsidP="00CD5E09">
            <w:pPr>
              <w:rPr>
                <w:rFonts w:eastAsia="SimSun"/>
                <w:sz w:val="22"/>
                <w:lang w:val="en-US"/>
              </w:rPr>
            </w:pPr>
            <w:r w:rsidRPr="006A31EC">
              <w:rPr>
                <w:rFonts w:eastAsia="SimSun"/>
                <w:sz w:val="22"/>
                <w:lang w:val="en-US"/>
              </w:rPr>
              <w:t>-</w:t>
            </w:r>
          </w:p>
        </w:tc>
        <w:tc>
          <w:tcPr>
            <w:tcW w:w="261" w:type="pct"/>
            <w:shd w:val="clear" w:color="auto" w:fill="D9D9D9"/>
            <w:vAlign w:val="center"/>
          </w:tcPr>
          <w:p w14:paraId="61C9E2E3" w14:textId="77777777" w:rsidR="00304132" w:rsidRPr="006A31EC" w:rsidRDefault="00304132" w:rsidP="00CD5E09">
            <w:pPr>
              <w:rPr>
                <w:rFonts w:eastAsia="SimSun"/>
                <w:sz w:val="22"/>
                <w:lang w:val="en-US"/>
              </w:rPr>
            </w:pPr>
            <w:r w:rsidRPr="006A31EC">
              <w:rPr>
                <w:rFonts w:eastAsia="SimSun"/>
                <w:sz w:val="22"/>
                <w:lang w:val="en-US"/>
              </w:rPr>
              <w:t>-</w:t>
            </w:r>
          </w:p>
        </w:tc>
        <w:tc>
          <w:tcPr>
            <w:tcW w:w="398" w:type="pct"/>
            <w:shd w:val="clear" w:color="auto" w:fill="D9D9D9"/>
            <w:vAlign w:val="center"/>
          </w:tcPr>
          <w:p w14:paraId="191210E2" w14:textId="77777777" w:rsidR="00304132" w:rsidRPr="006A31EC" w:rsidRDefault="00304132" w:rsidP="00CD5E09">
            <w:pPr>
              <w:rPr>
                <w:rFonts w:eastAsia="SimSun"/>
                <w:sz w:val="22"/>
                <w:lang w:val="en-US"/>
              </w:rPr>
            </w:pPr>
            <w:r w:rsidRPr="006A31EC">
              <w:rPr>
                <w:rFonts w:eastAsia="SimSun"/>
                <w:sz w:val="22"/>
                <w:lang w:val="en-US"/>
              </w:rPr>
              <w:t>-</w:t>
            </w:r>
          </w:p>
        </w:tc>
        <w:tc>
          <w:tcPr>
            <w:tcW w:w="337" w:type="pct"/>
            <w:shd w:val="clear" w:color="auto" w:fill="auto"/>
            <w:vAlign w:val="center"/>
          </w:tcPr>
          <w:p w14:paraId="651E6F96" w14:textId="77777777" w:rsidR="00304132" w:rsidRPr="006A31EC" w:rsidRDefault="00304132" w:rsidP="00CD5E09">
            <w:pPr>
              <w:rPr>
                <w:rFonts w:eastAsia="SimSun"/>
                <w:sz w:val="22"/>
                <w:lang w:val="en-US"/>
              </w:rPr>
            </w:pPr>
            <w:r w:rsidRPr="006A31EC">
              <w:rPr>
                <w:rFonts w:eastAsia="SimSun"/>
                <w:sz w:val="22"/>
                <w:lang w:val="en-US"/>
              </w:rPr>
              <w:t>5.1.2.17</w:t>
            </w:r>
          </w:p>
        </w:tc>
        <w:tc>
          <w:tcPr>
            <w:tcW w:w="312" w:type="pct"/>
          </w:tcPr>
          <w:p w14:paraId="5BABC441" w14:textId="77777777" w:rsidR="00304132" w:rsidRPr="006A31EC" w:rsidRDefault="00304132" w:rsidP="00CD5E09">
            <w:pPr>
              <w:rPr>
                <w:rFonts w:eastAsia="SimSun"/>
                <w:sz w:val="22"/>
                <w:lang w:val="en-US"/>
              </w:rPr>
            </w:pPr>
          </w:p>
        </w:tc>
        <w:tc>
          <w:tcPr>
            <w:tcW w:w="337" w:type="pct"/>
            <w:shd w:val="clear" w:color="auto" w:fill="auto"/>
            <w:vAlign w:val="center"/>
          </w:tcPr>
          <w:p w14:paraId="6794C7A1" w14:textId="77777777" w:rsidR="00304132" w:rsidRPr="006A31EC" w:rsidRDefault="00304132" w:rsidP="00CD5E09">
            <w:pPr>
              <w:rPr>
                <w:sz w:val="22"/>
              </w:rPr>
            </w:pPr>
            <w:r w:rsidRPr="006A31EC">
              <w:rPr>
                <w:rFonts w:eastAsia="SimSun"/>
                <w:sz w:val="22"/>
                <w:lang w:val="en-US"/>
              </w:rPr>
              <w:t>-</w:t>
            </w:r>
          </w:p>
        </w:tc>
        <w:tc>
          <w:tcPr>
            <w:tcW w:w="295" w:type="pct"/>
            <w:shd w:val="clear" w:color="auto" w:fill="auto"/>
            <w:vAlign w:val="center"/>
          </w:tcPr>
          <w:p w14:paraId="51BB5968" w14:textId="77777777" w:rsidR="00304132" w:rsidRPr="006A31EC" w:rsidRDefault="00304132" w:rsidP="00CD5E09">
            <w:pPr>
              <w:rPr>
                <w:sz w:val="22"/>
              </w:rPr>
            </w:pPr>
            <w:r w:rsidRPr="006A31EC">
              <w:rPr>
                <w:rFonts w:eastAsia="SimSun"/>
                <w:sz w:val="22"/>
                <w:lang w:val="en-US"/>
              </w:rPr>
              <w:t>-</w:t>
            </w:r>
          </w:p>
        </w:tc>
        <w:tc>
          <w:tcPr>
            <w:tcW w:w="295" w:type="pct"/>
            <w:shd w:val="clear" w:color="auto" w:fill="auto"/>
            <w:vAlign w:val="center"/>
          </w:tcPr>
          <w:p w14:paraId="1B61D688" w14:textId="77777777" w:rsidR="00304132" w:rsidRPr="006A31EC" w:rsidRDefault="00304132" w:rsidP="00CD5E09">
            <w:pPr>
              <w:rPr>
                <w:sz w:val="22"/>
              </w:rPr>
            </w:pPr>
            <w:r w:rsidRPr="006A31EC">
              <w:rPr>
                <w:rFonts w:eastAsia="SimSun"/>
                <w:sz w:val="22"/>
                <w:lang w:val="en-US"/>
              </w:rPr>
              <w:t>-</w:t>
            </w:r>
          </w:p>
        </w:tc>
        <w:tc>
          <w:tcPr>
            <w:tcW w:w="337" w:type="pct"/>
            <w:shd w:val="clear" w:color="auto" w:fill="auto"/>
            <w:vAlign w:val="center"/>
          </w:tcPr>
          <w:p w14:paraId="136FDA87" w14:textId="77777777" w:rsidR="00304132" w:rsidRPr="006A31EC" w:rsidRDefault="00304132" w:rsidP="00CD5E09">
            <w:pPr>
              <w:rPr>
                <w:sz w:val="22"/>
              </w:rPr>
            </w:pPr>
            <w:r w:rsidRPr="006A31EC">
              <w:rPr>
                <w:rFonts w:eastAsia="SimSun"/>
                <w:sz w:val="22"/>
                <w:lang w:val="en-US"/>
              </w:rPr>
              <w:t>-</w:t>
            </w:r>
          </w:p>
        </w:tc>
        <w:tc>
          <w:tcPr>
            <w:tcW w:w="337" w:type="pct"/>
            <w:shd w:val="clear" w:color="auto" w:fill="auto"/>
            <w:vAlign w:val="center"/>
          </w:tcPr>
          <w:p w14:paraId="451F2C95" w14:textId="77777777" w:rsidR="00304132" w:rsidRPr="006A31EC" w:rsidRDefault="00304132" w:rsidP="00CD5E09">
            <w:pPr>
              <w:rPr>
                <w:sz w:val="22"/>
              </w:rPr>
            </w:pPr>
            <w:r w:rsidRPr="006A31EC">
              <w:rPr>
                <w:rFonts w:eastAsia="SimSun"/>
                <w:sz w:val="22"/>
                <w:lang w:val="en-US"/>
              </w:rPr>
              <w:t>-</w:t>
            </w:r>
          </w:p>
        </w:tc>
        <w:tc>
          <w:tcPr>
            <w:tcW w:w="401" w:type="pct"/>
            <w:shd w:val="clear" w:color="auto" w:fill="auto"/>
            <w:vAlign w:val="center"/>
          </w:tcPr>
          <w:p w14:paraId="57FE2B2A" w14:textId="77777777" w:rsidR="00304132" w:rsidRPr="006A31EC" w:rsidRDefault="00304132" w:rsidP="00CD5E09">
            <w:pPr>
              <w:rPr>
                <w:rFonts w:eastAsia="SimSun"/>
                <w:sz w:val="22"/>
                <w:lang w:val="en-US"/>
              </w:rPr>
            </w:pPr>
            <w:r w:rsidRPr="006A31EC">
              <w:rPr>
                <w:rFonts w:eastAsia="SimSun"/>
                <w:sz w:val="22"/>
                <w:lang w:val="en-US"/>
              </w:rPr>
              <w:t>5.1.2.8</w:t>
            </w:r>
          </w:p>
        </w:tc>
        <w:tc>
          <w:tcPr>
            <w:tcW w:w="442" w:type="pct"/>
            <w:shd w:val="clear" w:color="auto" w:fill="auto"/>
            <w:vAlign w:val="center"/>
          </w:tcPr>
          <w:p w14:paraId="4CCADEB2" w14:textId="77777777" w:rsidR="00304132" w:rsidRPr="006A31EC" w:rsidRDefault="00304132" w:rsidP="00CD5E09">
            <w:pPr>
              <w:rPr>
                <w:rFonts w:eastAsia="SimSun"/>
                <w:sz w:val="22"/>
                <w:lang w:val="en-US"/>
              </w:rPr>
            </w:pPr>
            <w:r w:rsidRPr="006A31EC">
              <w:rPr>
                <w:rFonts w:eastAsia="SimSun"/>
                <w:sz w:val="22"/>
                <w:lang w:val="en-US"/>
              </w:rPr>
              <w:t>5.1.2.13</w:t>
            </w:r>
          </w:p>
        </w:tc>
        <w:tc>
          <w:tcPr>
            <w:tcW w:w="337" w:type="pct"/>
            <w:shd w:val="clear" w:color="auto" w:fill="auto"/>
            <w:vAlign w:val="center"/>
          </w:tcPr>
          <w:p w14:paraId="1DCE36D8" w14:textId="77777777" w:rsidR="00304132" w:rsidRPr="006A31EC" w:rsidRDefault="00304132" w:rsidP="00CD5E09">
            <w:pPr>
              <w:rPr>
                <w:sz w:val="22"/>
              </w:rPr>
            </w:pPr>
            <w:r w:rsidRPr="006A31EC">
              <w:rPr>
                <w:rFonts w:eastAsia="SimSun"/>
                <w:sz w:val="22"/>
                <w:lang w:val="en-US"/>
              </w:rPr>
              <w:t>-</w:t>
            </w:r>
          </w:p>
        </w:tc>
        <w:tc>
          <w:tcPr>
            <w:tcW w:w="337" w:type="pct"/>
          </w:tcPr>
          <w:p w14:paraId="0B1AD0B1" w14:textId="77777777" w:rsidR="00304132" w:rsidRPr="006A31EC" w:rsidRDefault="00304132" w:rsidP="00CD5E09">
            <w:pPr>
              <w:rPr>
                <w:rFonts w:eastAsia="SimSun"/>
                <w:sz w:val="22"/>
                <w:lang w:val="en-US"/>
              </w:rPr>
            </w:pPr>
          </w:p>
        </w:tc>
      </w:tr>
      <w:tr w:rsidR="00304132" w:rsidRPr="006A31EC" w14:paraId="2A36B7FF" w14:textId="77777777" w:rsidTr="00CD5E09">
        <w:trPr>
          <w:cantSplit/>
          <w:trHeight w:val="624"/>
        </w:trPr>
        <w:tc>
          <w:tcPr>
            <w:tcW w:w="293" w:type="pct"/>
            <w:vMerge/>
            <w:shd w:val="clear" w:color="auto" w:fill="D9D9D9"/>
            <w:vAlign w:val="center"/>
          </w:tcPr>
          <w:p w14:paraId="7F6F1E19" w14:textId="77777777" w:rsidR="00304132" w:rsidRPr="006A31EC" w:rsidRDefault="00304132" w:rsidP="00CD5E09">
            <w:pPr>
              <w:rPr>
                <w:rFonts w:eastAsia="SimSun"/>
                <w:sz w:val="22"/>
                <w:lang w:val="en-US"/>
              </w:rPr>
            </w:pPr>
          </w:p>
        </w:tc>
        <w:tc>
          <w:tcPr>
            <w:tcW w:w="284" w:type="pct"/>
            <w:vMerge w:val="restart"/>
            <w:shd w:val="clear" w:color="auto" w:fill="D9D9D9"/>
            <w:vAlign w:val="center"/>
          </w:tcPr>
          <w:p w14:paraId="64E2A3EF" w14:textId="77777777" w:rsidR="00304132" w:rsidRPr="006A31EC" w:rsidRDefault="00304132" w:rsidP="00CD5E09">
            <w:pPr>
              <w:rPr>
                <w:rFonts w:eastAsia="SimSun"/>
                <w:sz w:val="22"/>
              </w:rPr>
            </w:pPr>
            <w:r w:rsidRPr="006A31EC">
              <w:rPr>
                <w:rFonts w:eastAsia="SimSun"/>
                <w:sz w:val="22"/>
                <w:lang w:val="en-US"/>
              </w:rPr>
              <w:t>CSA</w:t>
            </w:r>
          </w:p>
          <w:p w14:paraId="65B7F598" w14:textId="77777777" w:rsidR="00304132" w:rsidRPr="006A31EC" w:rsidRDefault="00304132" w:rsidP="00CD5E09">
            <w:pPr>
              <w:rPr>
                <w:rFonts w:eastAsia="SimSun"/>
                <w:sz w:val="22"/>
              </w:rPr>
            </w:pPr>
          </w:p>
        </w:tc>
        <w:tc>
          <w:tcPr>
            <w:tcW w:w="261" w:type="pct"/>
            <w:shd w:val="clear" w:color="auto" w:fill="D9D9D9"/>
            <w:vAlign w:val="center"/>
          </w:tcPr>
          <w:p w14:paraId="5D55A607" w14:textId="77777777" w:rsidR="00304132" w:rsidRPr="006A31EC" w:rsidRDefault="00304132" w:rsidP="00CD5E09">
            <w:pPr>
              <w:rPr>
                <w:rFonts w:eastAsia="SimSun"/>
                <w:sz w:val="22"/>
                <w:lang w:val="en-US"/>
              </w:rPr>
            </w:pPr>
            <w:r w:rsidRPr="006A31EC">
              <w:rPr>
                <w:rFonts w:eastAsia="SimSun"/>
                <w:sz w:val="22"/>
                <w:lang w:val="en-US"/>
              </w:rPr>
              <w:t>-</w:t>
            </w:r>
          </w:p>
        </w:tc>
        <w:tc>
          <w:tcPr>
            <w:tcW w:w="398" w:type="pct"/>
            <w:shd w:val="clear" w:color="auto" w:fill="D9D9D9"/>
            <w:vAlign w:val="center"/>
          </w:tcPr>
          <w:p w14:paraId="39CF4444" w14:textId="77777777" w:rsidR="00304132" w:rsidRPr="006A31EC" w:rsidRDefault="00304132" w:rsidP="00CD5E09">
            <w:pPr>
              <w:rPr>
                <w:rFonts w:eastAsia="SimSun"/>
                <w:sz w:val="22"/>
              </w:rPr>
            </w:pPr>
            <w:r w:rsidRPr="006A31EC">
              <w:rPr>
                <w:rFonts w:eastAsia="SimSun"/>
                <w:sz w:val="22"/>
                <w:lang w:val="en-US"/>
              </w:rPr>
              <w:t>MMF30</w:t>
            </w:r>
          </w:p>
        </w:tc>
        <w:tc>
          <w:tcPr>
            <w:tcW w:w="337" w:type="pct"/>
            <w:shd w:val="clear" w:color="auto" w:fill="auto"/>
            <w:vAlign w:val="center"/>
          </w:tcPr>
          <w:p w14:paraId="5F7AC9DB" w14:textId="77777777" w:rsidR="00304132" w:rsidRPr="006A31EC" w:rsidRDefault="00304132" w:rsidP="00CD5E09">
            <w:pPr>
              <w:rPr>
                <w:sz w:val="22"/>
              </w:rPr>
            </w:pPr>
            <w:r w:rsidRPr="006A31EC">
              <w:rPr>
                <w:rFonts w:eastAsia="SimSun"/>
                <w:sz w:val="22"/>
                <w:lang w:val="en-US"/>
              </w:rPr>
              <w:t>-</w:t>
            </w:r>
          </w:p>
        </w:tc>
        <w:tc>
          <w:tcPr>
            <w:tcW w:w="312" w:type="pct"/>
          </w:tcPr>
          <w:p w14:paraId="049EB8A5" w14:textId="77777777" w:rsidR="00304132" w:rsidRPr="006A31EC" w:rsidRDefault="00304132" w:rsidP="00CD5E09">
            <w:pPr>
              <w:rPr>
                <w:rFonts w:eastAsia="SimSun"/>
                <w:sz w:val="22"/>
                <w:lang w:val="en-US"/>
              </w:rPr>
            </w:pPr>
          </w:p>
        </w:tc>
        <w:tc>
          <w:tcPr>
            <w:tcW w:w="337" w:type="pct"/>
            <w:shd w:val="clear" w:color="auto" w:fill="auto"/>
            <w:vAlign w:val="center"/>
          </w:tcPr>
          <w:p w14:paraId="581E3C80" w14:textId="77777777" w:rsidR="00304132" w:rsidRPr="006A31EC" w:rsidRDefault="00304132" w:rsidP="00CD5E09">
            <w:pPr>
              <w:rPr>
                <w:sz w:val="22"/>
              </w:rPr>
            </w:pPr>
            <w:r w:rsidRPr="006A31EC">
              <w:rPr>
                <w:rFonts w:eastAsia="SimSun"/>
                <w:sz w:val="22"/>
                <w:lang w:val="en-US"/>
              </w:rPr>
              <w:t>-</w:t>
            </w:r>
          </w:p>
        </w:tc>
        <w:tc>
          <w:tcPr>
            <w:tcW w:w="295" w:type="pct"/>
            <w:shd w:val="clear" w:color="auto" w:fill="auto"/>
            <w:vAlign w:val="center"/>
          </w:tcPr>
          <w:p w14:paraId="1B03DAEF" w14:textId="77777777" w:rsidR="00304132" w:rsidRPr="006A31EC" w:rsidRDefault="00304132" w:rsidP="00CD5E09">
            <w:pPr>
              <w:rPr>
                <w:sz w:val="22"/>
              </w:rPr>
            </w:pPr>
            <w:r w:rsidRPr="006A31EC">
              <w:rPr>
                <w:rFonts w:eastAsia="SimSun"/>
                <w:sz w:val="22"/>
                <w:lang w:val="en-US"/>
              </w:rPr>
              <w:t>-</w:t>
            </w:r>
          </w:p>
        </w:tc>
        <w:tc>
          <w:tcPr>
            <w:tcW w:w="295" w:type="pct"/>
            <w:shd w:val="clear" w:color="auto" w:fill="auto"/>
            <w:vAlign w:val="center"/>
          </w:tcPr>
          <w:p w14:paraId="7DF2D3E5" w14:textId="77777777" w:rsidR="00304132" w:rsidRPr="006A31EC" w:rsidRDefault="00304132" w:rsidP="00CD5E09">
            <w:pPr>
              <w:rPr>
                <w:sz w:val="22"/>
              </w:rPr>
            </w:pPr>
            <w:r w:rsidRPr="006A31EC">
              <w:rPr>
                <w:rFonts w:eastAsia="SimSun"/>
                <w:sz w:val="22"/>
                <w:lang w:val="en-US"/>
              </w:rPr>
              <w:t>5.1.2.4</w:t>
            </w:r>
          </w:p>
        </w:tc>
        <w:tc>
          <w:tcPr>
            <w:tcW w:w="337" w:type="pct"/>
            <w:shd w:val="clear" w:color="auto" w:fill="auto"/>
            <w:vAlign w:val="center"/>
          </w:tcPr>
          <w:p w14:paraId="67B7E68F" w14:textId="77777777" w:rsidR="00304132" w:rsidRPr="006A31EC" w:rsidRDefault="00304132" w:rsidP="00CD5E09">
            <w:pPr>
              <w:rPr>
                <w:sz w:val="22"/>
              </w:rPr>
            </w:pPr>
            <w:r w:rsidRPr="006A31EC">
              <w:rPr>
                <w:sz w:val="22"/>
              </w:rPr>
              <w:t>5.1.2.20</w:t>
            </w:r>
          </w:p>
        </w:tc>
        <w:tc>
          <w:tcPr>
            <w:tcW w:w="337" w:type="pct"/>
            <w:shd w:val="clear" w:color="auto" w:fill="auto"/>
            <w:vAlign w:val="center"/>
          </w:tcPr>
          <w:p w14:paraId="1514EB38" w14:textId="77777777" w:rsidR="00304132" w:rsidRPr="006A31EC" w:rsidRDefault="00304132" w:rsidP="00CD5E09">
            <w:pPr>
              <w:rPr>
                <w:sz w:val="22"/>
              </w:rPr>
            </w:pPr>
            <w:r w:rsidRPr="006A31EC">
              <w:rPr>
                <w:rFonts w:eastAsia="SimSun"/>
                <w:sz w:val="22"/>
                <w:lang w:val="en-US"/>
              </w:rPr>
              <w:t>-</w:t>
            </w:r>
          </w:p>
        </w:tc>
        <w:tc>
          <w:tcPr>
            <w:tcW w:w="401" w:type="pct"/>
            <w:shd w:val="clear" w:color="auto" w:fill="auto"/>
            <w:vAlign w:val="center"/>
          </w:tcPr>
          <w:p w14:paraId="5E909311" w14:textId="77777777" w:rsidR="00304132" w:rsidRPr="006A31EC" w:rsidRDefault="00304132" w:rsidP="00CD5E09">
            <w:pPr>
              <w:rPr>
                <w:rFonts w:eastAsia="SimSun"/>
                <w:sz w:val="22"/>
                <w:lang w:val="en-US"/>
              </w:rPr>
            </w:pPr>
            <w:r w:rsidRPr="006A31EC">
              <w:rPr>
                <w:rFonts w:eastAsia="SimSun"/>
                <w:sz w:val="22"/>
                <w:lang w:val="en-US"/>
              </w:rPr>
              <w:t>5.1.2.7/11</w:t>
            </w:r>
          </w:p>
        </w:tc>
        <w:tc>
          <w:tcPr>
            <w:tcW w:w="442" w:type="pct"/>
            <w:shd w:val="clear" w:color="auto" w:fill="auto"/>
            <w:vAlign w:val="center"/>
          </w:tcPr>
          <w:p w14:paraId="6B66D734" w14:textId="77777777" w:rsidR="00304132" w:rsidRPr="006A31EC" w:rsidRDefault="00304132" w:rsidP="00CD5E09">
            <w:pPr>
              <w:rPr>
                <w:sz w:val="22"/>
              </w:rPr>
            </w:pPr>
            <w:r w:rsidRPr="006A31EC">
              <w:rPr>
                <w:rFonts w:eastAsia="SimSun"/>
                <w:sz w:val="22"/>
                <w:lang w:val="en-US"/>
              </w:rPr>
              <w:t>-</w:t>
            </w:r>
          </w:p>
        </w:tc>
        <w:tc>
          <w:tcPr>
            <w:tcW w:w="337" w:type="pct"/>
            <w:shd w:val="clear" w:color="auto" w:fill="auto"/>
            <w:vAlign w:val="center"/>
          </w:tcPr>
          <w:p w14:paraId="635AD289" w14:textId="77777777" w:rsidR="00304132" w:rsidRPr="006A31EC" w:rsidRDefault="00304132" w:rsidP="00CD5E09">
            <w:pPr>
              <w:rPr>
                <w:sz w:val="22"/>
              </w:rPr>
            </w:pPr>
            <w:r w:rsidRPr="006A31EC">
              <w:rPr>
                <w:rFonts w:eastAsia="SimSun"/>
                <w:sz w:val="22"/>
                <w:lang w:val="en-US"/>
              </w:rPr>
              <w:t>-</w:t>
            </w:r>
          </w:p>
        </w:tc>
        <w:tc>
          <w:tcPr>
            <w:tcW w:w="337" w:type="pct"/>
          </w:tcPr>
          <w:p w14:paraId="2E4BBA4C" w14:textId="77777777" w:rsidR="00304132" w:rsidRPr="006A31EC" w:rsidRDefault="00304132" w:rsidP="00CD5E09">
            <w:pPr>
              <w:rPr>
                <w:rFonts w:eastAsia="SimSun"/>
                <w:sz w:val="22"/>
                <w:lang w:val="en-US"/>
              </w:rPr>
            </w:pPr>
          </w:p>
        </w:tc>
      </w:tr>
      <w:tr w:rsidR="00304132" w:rsidRPr="006A31EC" w14:paraId="77FBDD7A" w14:textId="77777777" w:rsidTr="00CD5E09">
        <w:trPr>
          <w:cantSplit/>
          <w:trHeight w:val="624"/>
        </w:trPr>
        <w:tc>
          <w:tcPr>
            <w:tcW w:w="293" w:type="pct"/>
            <w:vMerge/>
            <w:shd w:val="clear" w:color="auto" w:fill="D9D9D9"/>
            <w:vAlign w:val="center"/>
          </w:tcPr>
          <w:p w14:paraId="103D88EE" w14:textId="77777777" w:rsidR="00304132" w:rsidRPr="006A31EC" w:rsidRDefault="00304132" w:rsidP="00CD5E09">
            <w:pPr>
              <w:rPr>
                <w:rFonts w:eastAsia="SimSun"/>
                <w:sz w:val="22"/>
                <w:lang w:val="en-US"/>
              </w:rPr>
            </w:pPr>
          </w:p>
        </w:tc>
        <w:tc>
          <w:tcPr>
            <w:tcW w:w="284" w:type="pct"/>
            <w:vMerge/>
            <w:shd w:val="clear" w:color="auto" w:fill="D9D9D9"/>
            <w:vAlign w:val="center"/>
          </w:tcPr>
          <w:p w14:paraId="23BADD64" w14:textId="77777777" w:rsidR="00304132" w:rsidRPr="006A31EC" w:rsidRDefault="00304132" w:rsidP="00CD5E09">
            <w:pPr>
              <w:rPr>
                <w:rFonts w:eastAsia="SimSun"/>
                <w:sz w:val="22"/>
                <w:lang w:val="en-US"/>
              </w:rPr>
            </w:pPr>
          </w:p>
        </w:tc>
        <w:tc>
          <w:tcPr>
            <w:tcW w:w="261" w:type="pct"/>
            <w:shd w:val="clear" w:color="auto" w:fill="D9D9D9"/>
            <w:vAlign w:val="center"/>
          </w:tcPr>
          <w:p w14:paraId="52CC1161" w14:textId="77777777" w:rsidR="00304132" w:rsidRPr="006A31EC" w:rsidRDefault="00304132" w:rsidP="00CD5E09">
            <w:pPr>
              <w:rPr>
                <w:rFonts w:eastAsia="SimSun"/>
                <w:sz w:val="22"/>
                <w:lang w:val="en-US"/>
              </w:rPr>
            </w:pPr>
            <w:r w:rsidRPr="006A31EC">
              <w:rPr>
                <w:rFonts w:eastAsia="SimSun"/>
                <w:sz w:val="22"/>
                <w:lang w:val="en-US"/>
              </w:rPr>
              <w:t>-</w:t>
            </w:r>
          </w:p>
        </w:tc>
        <w:tc>
          <w:tcPr>
            <w:tcW w:w="398" w:type="pct"/>
            <w:shd w:val="clear" w:color="auto" w:fill="D9D9D9"/>
            <w:vAlign w:val="center"/>
          </w:tcPr>
          <w:p w14:paraId="79C39E16" w14:textId="77777777" w:rsidR="00304132" w:rsidRPr="006A31EC" w:rsidRDefault="00304132" w:rsidP="00CD5E09">
            <w:pPr>
              <w:rPr>
                <w:rFonts w:eastAsia="SimSun"/>
                <w:sz w:val="22"/>
                <w:lang w:val="en-US"/>
              </w:rPr>
            </w:pPr>
            <w:r w:rsidRPr="006A31EC">
              <w:rPr>
                <w:rFonts w:eastAsia="SimSun"/>
                <w:sz w:val="22"/>
                <w:lang w:val="en-US"/>
              </w:rPr>
              <w:t>MMF45</w:t>
            </w:r>
          </w:p>
        </w:tc>
        <w:tc>
          <w:tcPr>
            <w:tcW w:w="337" w:type="pct"/>
            <w:shd w:val="clear" w:color="auto" w:fill="auto"/>
            <w:vAlign w:val="center"/>
          </w:tcPr>
          <w:p w14:paraId="6094A8C0" w14:textId="77777777" w:rsidR="00304132" w:rsidRPr="006A31EC" w:rsidRDefault="00304132" w:rsidP="00CD5E09">
            <w:pPr>
              <w:rPr>
                <w:rFonts w:eastAsia="SimSun"/>
                <w:sz w:val="22"/>
              </w:rPr>
            </w:pPr>
            <w:r w:rsidRPr="006A31EC">
              <w:rPr>
                <w:rFonts w:eastAsia="SimSun"/>
                <w:sz w:val="22"/>
                <w:lang w:val="en-US"/>
              </w:rPr>
              <w:t>-</w:t>
            </w:r>
          </w:p>
        </w:tc>
        <w:tc>
          <w:tcPr>
            <w:tcW w:w="312" w:type="pct"/>
          </w:tcPr>
          <w:p w14:paraId="421ACA35" w14:textId="77777777" w:rsidR="00304132" w:rsidRPr="006A31EC" w:rsidRDefault="00304132" w:rsidP="00CD5E09">
            <w:pPr>
              <w:rPr>
                <w:rFonts w:eastAsia="SimSun"/>
                <w:sz w:val="22"/>
                <w:lang w:val="en-US"/>
              </w:rPr>
            </w:pPr>
          </w:p>
        </w:tc>
        <w:tc>
          <w:tcPr>
            <w:tcW w:w="337" w:type="pct"/>
            <w:shd w:val="clear" w:color="auto" w:fill="auto"/>
            <w:vAlign w:val="center"/>
          </w:tcPr>
          <w:p w14:paraId="18CC21C8" w14:textId="77777777" w:rsidR="00304132" w:rsidRPr="006A31EC" w:rsidRDefault="00304132" w:rsidP="00CD5E09">
            <w:pPr>
              <w:rPr>
                <w:rFonts w:eastAsia="SimSun"/>
                <w:sz w:val="22"/>
              </w:rPr>
            </w:pPr>
            <w:r w:rsidRPr="006A31EC">
              <w:rPr>
                <w:rFonts w:eastAsia="SimSun"/>
                <w:sz w:val="22"/>
                <w:lang w:val="en-US"/>
              </w:rPr>
              <w:t>5.1.2.1</w:t>
            </w:r>
            <w:r w:rsidRPr="006A31EC">
              <w:rPr>
                <w:rFonts w:eastAsia="SimSun"/>
                <w:sz w:val="22"/>
              </w:rPr>
              <w:t>9</w:t>
            </w:r>
          </w:p>
        </w:tc>
        <w:tc>
          <w:tcPr>
            <w:tcW w:w="295" w:type="pct"/>
            <w:shd w:val="clear" w:color="auto" w:fill="auto"/>
            <w:vAlign w:val="center"/>
          </w:tcPr>
          <w:p w14:paraId="6A38B6EB" w14:textId="77777777" w:rsidR="00304132" w:rsidRPr="006A31EC" w:rsidRDefault="00304132" w:rsidP="00CD5E09">
            <w:pPr>
              <w:rPr>
                <w:sz w:val="22"/>
              </w:rPr>
            </w:pPr>
            <w:r w:rsidRPr="006A31EC">
              <w:rPr>
                <w:rFonts w:eastAsia="SimSun"/>
                <w:sz w:val="22"/>
                <w:lang w:val="en-US"/>
              </w:rPr>
              <w:t>5.1.2.3</w:t>
            </w:r>
          </w:p>
        </w:tc>
        <w:tc>
          <w:tcPr>
            <w:tcW w:w="295" w:type="pct"/>
            <w:shd w:val="clear" w:color="auto" w:fill="auto"/>
            <w:vAlign w:val="center"/>
          </w:tcPr>
          <w:p w14:paraId="1CCE373B" w14:textId="77777777" w:rsidR="00304132" w:rsidRPr="006A31EC" w:rsidRDefault="00304132" w:rsidP="00CD5E09">
            <w:pPr>
              <w:rPr>
                <w:sz w:val="22"/>
              </w:rPr>
            </w:pPr>
            <w:r w:rsidRPr="006A31EC">
              <w:rPr>
                <w:rFonts w:eastAsia="SimSun"/>
                <w:sz w:val="22"/>
                <w:lang w:val="en-US"/>
              </w:rPr>
              <w:t>-</w:t>
            </w:r>
          </w:p>
        </w:tc>
        <w:tc>
          <w:tcPr>
            <w:tcW w:w="337" w:type="pct"/>
            <w:shd w:val="clear" w:color="auto" w:fill="auto"/>
            <w:vAlign w:val="center"/>
          </w:tcPr>
          <w:p w14:paraId="2E298E74" w14:textId="77777777" w:rsidR="00304132" w:rsidRPr="006A31EC" w:rsidRDefault="00304132" w:rsidP="00CD5E09">
            <w:pPr>
              <w:rPr>
                <w:sz w:val="22"/>
              </w:rPr>
            </w:pPr>
            <w:r w:rsidRPr="006A31EC">
              <w:rPr>
                <w:rFonts w:eastAsia="SimSun"/>
                <w:sz w:val="22"/>
                <w:lang w:val="en-US"/>
              </w:rPr>
              <w:t>-</w:t>
            </w:r>
          </w:p>
        </w:tc>
        <w:tc>
          <w:tcPr>
            <w:tcW w:w="337" w:type="pct"/>
            <w:shd w:val="clear" w:color="auto" w:fill="auto"/>
            <w:vAlign w:val="center"/>
          </w:tcPr>
          <w:p w14:paraId="0B4ABE94" w14:textId="77777777" w:rsidR="00304132" w:rsidRPr="006A31EC" w:rsidRDefault="00304132" w:rsidP="00CD5E09">
            <w:pPr>
              <w:rPr>
                <w:sz w:val="22"/>
              </w:rPr>
            </w:pPr>
            <w:r w:rsidRPr="006A31EC">
              <w:rPr>
                <w:rFonts w:eastAsia="SimSun"/>
                <w:sz w:val="22"/>
                <w:lang w:val="en-US"/>
              </w:rPr>
              <w:t>-</w:t>
            </w:r>
          </w:p>
        </w:tc>
        <w:tc>
          <w:tcPr>
            <w:tcW w:w="401" w:type="pct"/>
            <w:shd w:val="clear" w:color="auto" w:fill="auto"/>
            <w:vAlign w:val="center"/>
          </w:tcPr>
          <w:p w14:paraId="4D7DDD5A" w14:textId="77777777" w:rsidR="00304132" w:rsidRPr="006A31EC" w:rsidRDefault="00304132" w:rsidP="00CD5E09">
            <w:pPr>
              <w:rPr>
                <w:sz w:val="22"/>
              </w:rPr>
            </w:pPr>
            <w:r w:rsidRPr="006A31EC">
              <w:rPr>
                <w:rFonts w:eastAsia="SimSun"/>
                <w:sz w:val="22"/>
                <w:lang w:val="en-US"/>
              </w:rPr>
              <w:t>-</w:t>
            </w:r>
          </w:p>
        </w:tc>
        <w:tc>
          <w:tcPr>
            <w:tcW w:w="442" w:type="pct"/>
            <w:shd w:val="clear" w:color="auto" w:fill="auto"/>
            <w:vAlign w:val="center"/>
          </w:tcPr>
          <w:p w14:paraId="70A19843" w14:textId="77777777" w:rsidR="00304132" w:rsidRPr="006A31EC" w:rsidRDefault="00304132" w:rsidP="00CD5E09">
            <w:pPr>
              <w:rPr>
                <w:sz w:val="22"/>
              </w:rPr>
            </w:pPr>
            <w:r w:rsidRPr="006A31EC">
              <w:rPr>
                <w:rFonts w:eastAsia="SimSun"/>
                <w:sz w:val="22"/>
                <w:lang w:val="en-US"/>
              </w:rPr>
              <w:t>-</w:t>
            </w:r>
          </w:p>
        </w:tc>
        <w:tc>
          <w:tcPr>
            <w:tcW w:w="337" w:type="pct"/>
            <w:shd w:val="clear" w:color="auto" w:fill="auto"/>
            <w:vAlign w:val="center"/>
          </w:tcPr>
          <w:p w14:paraId="025B48FD" w14:textId="77777777" w:rsidR="00304132" w:rsidRPr="006A31EC" w:rsidRDefault="00304132" w:rsidP="00CD5E09">
            <w:pPr>
              <w:rPr>
                <w:sz w:val="22"/>
              </w:rPr>
            </w:pPr>
            <w:r w:rsidRPr="006A31EC">
              <w:rPr>
                <w:rFonts w:eastAsia="SimSun"/>
                <w:sz w:val="22"/>
                <w:lang w:val="en-US"/>
              </w:rPr>
              <w:t>-</w:t>
            </w:r>
          </w:p>
        </w:tc>
        <w:tc>
          <w:tcPr>
            <w:tcW w:w="337" w:type="pct"/>
          </w:tcPr>
          <w:p w14:paraId="030BD520" w14:textId="77777777" w:rsidR="00304132" w:rsidRPr="006A31EC" w:rsidRDefault="00304132" w:rsidP="00CD5E09">
            <w:pPr>
              <w:rPr>
                <w:rFonts w:eastAsia="SimSun"/>
                <w:sz w:val="22"/>
                <w:lang w:val="en-US"/>
              </w:rPr>
            </w:pPr>
          </w:p>
        </w:tc>
      </w:tr>
      <w:tr w:rsidR="00304132" w:rsidRPr="006A31EC" w14:paraId="4E2ADA2E" w14:textId="77777777" w:rsidTr="00CD5E09">
        <w:trPr>
          <w:cantSplit/>
          <w:trHeight w:val="624"/>
        </w:trPr>
        <w:tc>
          <w:tcPr>
            <w:tcW w:w="293" w:type="pct"/>
            <w:vMerge/>
            <w:shd w:val="clear" w:color="auto" w:fill="D9D9D9"/>
            <w:vAlign w:val="center"/>
          </w:tcPr>
          <w:p w14:paraId="146C92A5" w14:textId="77777777" w:rsidR="00304132" w:rsidRPr="006A31EC" w:rsidRDefault="00304132" w:rsidP="00CD5E09">
            <w:pPr>
              <w:rPr>
                <w:rFonts w:eastAsia="SimSun"/>
                <w:sz w:val="22"/>
                <w:lang w:val="en-US"/>
              </w:rPr>
            </w:pPr>
          </w:p>
        </w:tc>
        <w:tc>
          <w:tcPr>
            <w:tcW w:w="284" w:type="pct"/>
            <w:shd w:val="clear" w:color="auto" w:fill="D9D9D9"/>
            <w:vAlign w:val="center"/>
          </w:tcPr>
          <w:p w14:paraId="2442838F" w14:textId="77777777" w:rsidR="00304132" w:rsidRPr="006A31EC" w:rsidRDefault="00304132" w:rsidP="00CD5E09">
            <w:pPr>
              <w:rPr>
                <w:rFonts w:eastAsia="SimSun"/>
                <w:sz w:val="22"/>
                <w:lang w:val="en-US"/>
              </w:rPr>
            </w:pPr>
            <w:r w:rsidRPr="006A31EC">
              <w:rPr>
                <w:rFonts w:eastAsia="SimSun"/>
                <w:sz w:val="22"/>
                <w:lang w:val="en-US"/>
              </w:rPr>
              <w:t>Tx</w:t>
            </w:r>
          </w:p>
        </w:tc>
        <w:tc>
          <w:tcPr>
            <w:tcW w:w="261" w:type="pct"/>
            <w:shd w:val="clear" w:color="auto" w:fill="D9D9D9"/>
            <w:vAlign w:val="center"/>
          </w:tcPr>
          <w:p w14:paraId="26BDC098" w14:textId="77777777" w:rsidR="00304132" w:rsidRPr="006A31EC" w:rsidRDefault="00304132" w:rsidP="00CD5E09">
            <w:pPr>
              <w:rPr>
                <w:rFonts w:eastAsia="SimSun"/>
                <w:sz w:val="22"/>
                <w:lang w:val="en-US"/>
              </w:rPr>
            </w:pPr>
            <w:r w:rsidRPr="006A31EC">
              <w:rPr>
                <w:rFonts w:eastAsia="SimSun"/>
                <w:sz w:val="22"/>
                <w:lang w:val="en-US"/>
              </w:rPr>
              <w:t>-</w:t>
            </w:r>
          </w:p>
        </w:tc>
        <w:tc>
          <w:tcPr>
            <w:tcW w:w="398" w:type="pct"/>
            <w:shd w:val="clear" w:color="auto" w:fill="D9D9D9"/>
            <w:vAlign w:val="center"/>
          </w:tcPr>
          <w:p w14:paraId="5892512C" w14:textId="77777777" w:rsidR="00304132" w:rsidRPr="006A31EC" w:rsidRDefault="00304132" w:rsidP="00CD5E09">
            <w:pPr>
              <w:rPr>
                <w:rFonts w:eastAsia="SimSun"/>
                <w:sz w:val="22"/>
                <w:lang w:val="en-US"/>
              </w:rPr>
            </w:pPr>
            <w:r w:rsidRPr="006A31EC">
              <w:rPr>
                <w:rFonts w:eastAsia="SimSun"/>
                <w:sz w:val="22"/>
                <w:lang w:val="en-US"/>
              </w:rPr>
              <w:t>MMF30</w:t>
            </w:r>
          </w:p>
        </w:tc>
        <w:tc>
          <w:tcPr>
            <w:tcW w:w="337" w:type="pct"/>
            <w:shd w:val="clear" w:color="auto" w:fill="auto"/>
            <w:vAlign w:val="center"/>
          </w:tcPr>
          <w:p w14:paraId="0040E98B" w14:textId="77777777" w:rsidR="00304132" w:rsidRPr="006A31EC" w:rsidRDefault="00304132" w:rsidP="00CD5E09">
            <w:pPr>
              <w:rPr>
                <w:rFonts w:eastAsia="SimSun"/>
                <w:sz w:val="22"/>
                <w:lang w:val="en-US"/>
              </w:rPr>
            </w:pPr>
            <w:r w:rsidRPr="006A31EC">
              <w:rPr>
                <w:rFonts w:eastAsia="SimSun"/>
                <w:sz w:val="22"/>
                <w:lang w:val="en-US"/>
              </w:rPr>
              <w:t>5.1.2.16</w:t>
            </w:r>
          </w:p>
        </w:tc>
        <w:tc>
          <w:tcPr>
            <w:tcW w:w="312" w:type="pct"/>
          </w:tcPr>
          <w:p w14:paraId="554C23D4" w14:textId="77777777" w:rsidR="00304132" w:rsidRPr="006A31EC" w:rsidRDefault="00304132" w:rsidP="00CD5E09">
            <w:pPr>
              <w:rPr>
                <w:rFonts w:eastAsia="SimSun"/>
                <w:sz w:val="22"/>
                <w:lang w:val="en-US"/>
              </w:rPr>
            </w:pPr>
          </w:p>
        </w:tc>
        <w:tc>
          <w:tcPr>
            <w:tcW w:w="337" w:type="pct"/>
            <w:shd w:val="clear" w:color="auto" w:fill="auto"/>
            <w:vAlign w:val="center"/>
          </w:tcPr>
          <w:p w14:paraId="65076DE8" w14:textId="77777777" w:rsidR="00304132" w:rsidRPr="006A31EC" w:rsidRDefault="00304132" w:rsidP="00CD5E09">
            <w:pPr>
              <w:rPr>
                <w:sz w:val="22"/>
              </w:rPr>
            </w:pPr>
            <w:r w:rsidRPr="006A31EC">
              <w:rPr>
                <w:rFonts w:eastAsia="SimSun"/>
                <w:sz w:val="22"/>
                <w:lang w:val="en-US"/>
              </w:rPr>
              <w:t>-</w:t>
            </w:r>
          </w:p>
        </w:tc>
        <w:tc>
          <w:tcPr>
            <w:tcW w:w="295" w:type="pct"/>
            <w:shd w:val="clear" w:color="auto" w:fill="auto"/>
            <w:vAlign w:val="center"/>
          </w:tcPr>
          <w:p w14:paraId="6910491A" w14:textId="77777777" w:rsidR="00304132" w:rsidRPr="006A31EC" w:rsidRDefault="00304132" w:rsidP="00CD5E09">
            <w:pPr>
              <w:rPr>
                <w:sz w:val="22"/>
              </w:rPr>
            </w:pPr>
            <w:r w:rsidRPr="006A31EC">
              <w:rPr>
                <w:rFonts w:eastAsia="SimSun"/>
                <w:sz w:val="22"/>
                <w:lang w:val="en-US"/>
              </w:rPr>
              <w:t>-</w:t>
            </w:r>
          </w:p>
        </w:tc>
        <w:tc>
          <w:tcPr>
            <w:tcW w:w="295" w:type="pct"/>
            <w:shd w:val="clear" w:color="auto" w:fill="auto"/>
            <w:vAlign w:val="center"/>
          </w:tcPr>
          <w:p w14:paraId="30D152E6" w14:textId="77777777" w:rsidR="00304132" w:rsidRPr="006A31EC" w:rsidRDefault="00304132" w:rsidP="00CD5E09">
            <w:pPr>
              <w:rPr>
                <w:sz w:val="22"/>
              </w:rPr>
            </w:pPr>
            <w:r w:rsidRPr="006A31EC">
              <w:rPr>
                <w:rFonts w:eastAsia="SimSun"/>
                <w:sz w:val="22"/>
                <w:lang w:val="en-US"/>
              </w:rPr>
              <w:t>-</w:t>
            </w:r>
          </w:p>
        </w:tc>
        <w:tc>
          <w:tcPr>
            <w:tcW w:w="337" w:type="pct"/>
            <w:shd w:val="clear" w:color="auto" w:fill="auto"/>
            <w:vAlign w:val="center"/>
          </w:tcPr>
          <w:p w14:paraId="6965FCF8" w14:textId="77777777" w:rsidR="00304132" w:rsidRPr="006A31EC" w:rsidRDefault="00304132" w:rsidP="00CD5E09">
            <w:pPr>
              <w:rPr>
                <w:sz w:val="22"/>
              </w:rPr>
            </w:pPr>
            <w:r w:rsidRPr="006A31EC">
              <w:rPr>
                <w:rFonts w:eastAsia="SimSun"/>
                <w:sz w:val="22"/>
                <w:lang w:val="en-US"/>
              </w:rPr>
              <w:t>-</w:t>
            </w:r>
          </w:p>
        </w:tc>
        <w:tc>
          <w:tcPr>
            <w:tcW w:w="337" w:type="pct"/>
            <w:shd w:val="clear" w:color="auto" w:fill="auto"/>
            <w:vAlign w:val="center"/>
          </w:tcPr>
          <w:p w14:paraId="08A6B7E0" w14:textId="77777777" w:rsidR="00304132" w:rsidRPr="006A31EC" w:rsidRDefault="00304132" w:rsidP="00CD5E09">
            <w:pPr>
              <w:rPr>
                <w:sz w:val="22"/>
              </w:rPr>
            </w:pPr>
            <w:r w:rsidRPr="006A31EC">
              <w:rPr>
                <w:rFonts w:eastAsia="SimSun"/>
                <w:sz w:val="22"/>
                <w:lang w:val="en-US"/>
              </w:rPr>
              <w:t>-</w:t>
            </w:r>
          </w:p>
        </w:tc>
        <w:tc>
          <w:tcPr>
            <w:tcW w:w="401" w:type="pct"/>
            <w:shd w:val="clear" w:color="auto" w:fill="auto"/>
            <w:vAlign w:val="center"/>
          </w:tcPr>
          <w:p w14:paraId="7EE8B090" w14:textId="77777777" w:rsidR="00304132" w:rsidRPr="006A31EC" w:rsidRDefault="00304132" w:rsidP="00CD5E09">
            <w:pPr>
              <w:rPr>
                <w:rFonts w:eastAsia="SimSun"/>
                <w:sz w:val="22"/>
                <w:lang w:val="en-US"/>
              </w:rPr>
            </w:pPr>
            <w:r w:rsidRPr="006A31EC">
              <w:rPr>
                <w:rFonts w:eastAsia="SimSun"/>
                <w:sz w:val="22"/>
                <w:lang w:val="en-US"/>
              </w:rPr>
              <w:t>5.1.2.9</w:t>
            </w:r>
          </w:p>
        </w:tc>
        <w:tc>
          <w:tcPr>
            <w:tcW w:w="442" w:type="pct"/>
            <w:shd w:val="clear" w:color="auto" w:fill="auto"/>
            <w:vAlign w:val="center"/>
          </w:tcPr>
          <w:p w14:paraId="3FCA7A40" w14:textId="77777777" w:rsidR="00304132" w:rsidRPr="006A31EC" w:rsidRDefault="00304132" w:rsidP="00CD5E09">
            <w:pPr>
              <w:rPr>
                <w:rFonts w:eastAsia="SimSun"/>
                <w:sz w:val="22"/>
                <w:lang w:val="en-US"/>
              </w:rPr>
            </w:pPr>
            <w:r w:rsidRPr="006A31EC">
              <w:rPr>
                <w:rFonts w:eastAsia="SimSun"/>
                <w:sz w:val="22"/>
                <w:lang w:val="en-US"/>
              </w:rPr>
              <w:t>5.1.2.14</w:t>
            </w:r>
          </w:p>
        </w:tc>
        <w:tc>
          <w:tcPr>
            <w:tcW w:w="337" w:type="pct"/>
            <w:shd w:val="clear" w:color="auto" w:fill="auto"/>
            <w:vAlign w:val="center"/>
          </w:tcPr>
          <w:p w14:paraId="55C0BF7E" w14:textId="77777777" w:rsidR="00304132" w:rsidRPr="006A31EC" w:rsidRDefault="00304132" w:rsidP="00CD5E09">
            <w:pPr>
              <w:rPr>
                <w:sz w:val="22"/>
              </w:rPr>
            </w:pPr>
            <w:r w:rsidRPr="006A31EC">
              <w:rPr>
                <w:rFonts w:eastAsia="SimSun"/>
                <w:sz w:val="22"/>
              </w:rPr>
              <w:t xml:space="preserve">      </w:t>
            </w:r>
            <w:r w:rsidRPr="006A31EC">
              <w:rPr>
                <w:rFonts w:eastAsia="SimSun"/>
                <w:sz w:val="22"/>
                <w:lang w:val="en-US"/>
              </w:rPr>
              <w:t>-</w:t>
            </w:r>
          </w:p>
        </w:tc>
        <w:tc>
          <w:tcPr>
            <w:tcW w:w="337" w:type="pct"/>
          </w:tcPr>
          <w:p w14:paraId="5E7F213C" w14:textId="77777777" w:rsidR="00304132" w:rsidRPr="006A31EC" w:rsidRDefault="00304132" w:rsidP="00CD5E09">
            <w:pPr>
              <w:rPr>
                <w:rFonts w:eastAsia="SimSun"/>
                <w:sz w:val="22"/>
              </w:rPr>
            </w:pPr>
            <w:r w:rsidRPr="006A31EC">
              <w:rPr>
                <w:rFonts w:eastAsia="SimSun"/>
                <w:sz w:val="22"/>
                <w:lang w:val="en-US"/>
              </w:rPr>
              <w:t>5.1.2.2</w:t>
            </w:r>
            <w:r w:rsidRPr="006A31EC">
              <w:rPr>
                <w:rFonts w:eastAsia="SimSun"/>
                <w:sz w:val="22"/>
              </w:rPr>
              <w:t>4</w:t>
            </w:r>
          </w:p>
        </w:tc>
      </w:tr>
      <w:tr w:rsidR="00304132" w:rsidRPr="006A31EC" w14:paraId="6E9F7B01" w14:textId="77777777" w:rsidTr="00CD5E09">
        <w:trPr>
          <w:cantSplit/>
          <w:trHeight w:val="624"/>
        </w:trPr>
        <w:tc>
          <w:tcPr>
            <w:tcW w:w="293" w:type="pct"/>
            <w:vMerge/>
            <w:shd w:val="clear" w:color="auto" w:fill="D9D9D9"/>
            <w:vAlign w:val="center"/>
          </w:tcPr>
          <w:p w14:paraId="5D00F951" w14:textId="77777777" w:rsidR="00304132" w:rsidRPr="006A31EC" w:rsidRDefault="00304132" w:rsidP="00CD5E09">
            <w:pPr>
              <w:rPr>
                <w:rFonts w:eastAsia="SimSun"/>
                <w:sz w:val="22"/>
                <w:lang w:val="en-US"/>
              </w:rPr>
            </w:pPr>
          </w:p>
        </w:tc>
        <w:tc>
          <w:tcPr>
            <w:tcW w:w="284" w:type="pct"/>
            <w:shd w:val="clear" w:color="auto" w:fill="D9D9D9"/>
            <w:vAlign w:val="center"/>
          </w:tcPr>
          <w:p w14:paraId="096973C4" w14:textId="77777777" w:rsidR="00304132" w:rsidRPr="006A31EC" w:rsidRDefault="00304132" w:rsidP="00CD5E09">
            <w:pPr>
              <w:rPr>
                <w:rFonts w:eastAsia="SimSun"/>
                <w:sz w:val="22"/>
                <w:lang w:val="en-US"/>
              </w:rPr>
            </w:pPr>
            <w:r w:rsidRPr="006A31EC">
              <w:rPr>
                <w:rFonts w:eastAsia="SimSun"/>
                <w:sz w:val="22"/>
                <w:lang w:val="en-US"/>
              </w:rPr>
              <w:t>Ruxo</w:t>
            </w:r>
          </w:p>
        </w:tc>
        <w:tc>
          <w:tcPr>
            <w:tcW w:w="261" w:type="pct"/>
            <w:shd w:val="clear" w:color="auto" w:fill="D9D9D9"/>
            <w:vAlign w:val="center"/>
          </w:tcPr>
          <w:p w14:paraId="2D8AE9CA" w14:textId="77777777" w:rsidR="00304132" w:rsidRPr="006A31EC" w:rsidRDefault="00304132" w:rsidP="00CD5E09">
            <w:pPr>
              <w:rPr>
                <w:rFonts w:eastAsia="SimSun"/>
                <w:sz w:val="22"/>
                <w:lang w:val="en-US"/>
              </w:rPr>
            </w:pPr>
            <w:r w:rsidRPr="006A31EC">
              <w:rPr>
                <w:rFonts w:eastAsia="SimSun"/>
                <w:sz w:val="22"/>
                <w:lang w:val="en-US"/>
              </w:rPr>
              <w:t>-</w:t>
            </w:r>
          </w:p>
        </w:tc>
        <w:tc>
          <w:tcPr>
            <w:tcW w:w="398" w:type="pct"/>
            <w:shd w:val="clear" w:color="auto" w:fill="D9D9D9"/>
            <w:vAlign w:val="center"/>
          </w:tcPr>
          <w:p w14:paraId="4537BE14" w14:textId="77777777" w:rsidR="00304132" w:rsidRPr="006A31EC" w:rsidRDefault="00304132" w:rsidP="00CD5E09">
            <w:pPr>
              <w:rPr>
                <w:rFonts w:eastAsia="SimSun"/>
                <w:sz w:val="22"/>
                <w:lang w:val="en-US"/>
              </w:rPr>
            </w:pPr>
            <w:r w:rsidRPr="006A31EC">
              <w:rPr>
                <w:rFonts w:eastAsia="SimSun"/>
                <w:sz w:val="22"/>
                <w:lang w:val="en-US"/>
              </w:rPr>
              <w:t>-</w:t>
            </w:r>
          </w:p>
        </w:tc>
        <w:tc>
          <w:tcPr>
            <w:tcW w:w="337" w:type="pct"/>
            <w:shd w:val="clear" w:color="auto" w:fill="auto"/>
            <w:vAlign w:val="center"/>
          </w:tcPr>
          <w:p w14:paraId="0683DAFD" w14:textId="77777777" w:rsidR="00304132" w:rsidRPr="006A31EC" w:rsidRDefault="00304132" w:rsidP="00CD5E09">
            <w:pPr>
              <w:rPr>
                <w:sz w:val="22"/>
              </w:rPr>
            </w:pPr>
            <w:r w:rsidRPr="006A31EC">
              <w:rPr>
                <w:rFonts w:eastAsia="SimSun"/>
                <w:sz w:val="22"/>
                <w:lang w:val="en-US"/>
              </w:rPr>
              <w:t>-</w:t>
            </w:r>
          </w:p>
        </w:tc>
        <w:tc>
          <w:tcPr>
            <w:tcW w:w="312" w:type="pct"/>
          </w:tcPr>
          <w:p w14:paraId="0B74C799" w14:textId="77777777" w:rsidR="00304132" w:rsidRPr="006A31EC" w:rsidRDefault="00304132" w:rsidP="00CD5E09">
            <w:pPr>
              <w:rPr>
                <w:rFonts w:eastAsia="SimSun"/>
                <w:sz w:val="22"/>
                <w:lang w:val="en-US"/>
              </w:rPr>
            </w:pPr>
          </w:p>
        </w:tc>
        <w:tc>
          <w:tcPr>
            <w:tcW w:w="337" w:type="pct"/>
            <w:shd w:val="clear" w:color="auto" w:fill="auto"/>
            <w:vAlign w:val="center"/>
          </w:tcPr>
          <w:p w14:paraId="1A19E817" w14:textId="77777777" w:rsidR="00304132" w:rsidRPr="006A31EC" w:rsidRDefault="00304132" w:rsidP="00CD5E09">
            <w:pPr>
              <w:rPr>
                <w:sz w:val="22"/>
              </w:rPr>
            </w:pPr>
            <w:r w:rsidRPr="006A31EC">
              <w:rPr>
                <w:rFonts w:eastAsia="SimSun"/>
                <w:sz w:val="22"/>
                <w:lang w:val="en-US"/>
              </w:rPr>
              <w:t>-</w:t>
            </w:r>
          </w:p>
        </w:tc>
        <w:tc>
          <w:tcPr>
            <w:tcW w:w="295" w:type="pct"/>
            <w:shd w:val="clear" w:color="auto" w:fill="auto"/>
            <w:vAlign w:val="center"/>
          </w:tcPr>
          <w:p w14:paraId="6EE973F9" w14:textId="77777777" w:rsidR="00304132" w:rsidRPr="006A31EC" w:rsidRDefault="00304132" w:rsidP="00CD5E09">
            <w:pPr>
              <w:rPr>
                <w:sz w:val="22"/>
              </w:rPr>
            </w:pPr>
            <w:r w:rsidRPr="006A31EC">
              <w:rPr>
                <w:rFonts w:eastAsia="SimSun"/>
                <w:sz w:val="22"/>
                <w:lang w:val="en-US"/>
              </w:rPr>
              <w:t>-</w:t>
            </w:r>
          </w:p>
        </w:tc>
        <w:tc>
          <w:tcPr>
            <w:tcW w:w="295" w:type="pct"/>
            <w:shd w:val="clear" w:color="auto" w:fill="auto"/>
            <w:vAlign w:val="center"/>
          </w:tcPr>
          <w:p w14:paraId="0D130B73" w14:textId="77777777" w:rsidR="00304132" w:rsidRPr="006A31EC" w:rsidRDefault="00304132" w:rsidP="00CD5E09">
            <w:pPr>
              <w:rPr>
                <w:sz w:val="22"/>
              </w:rPr>
            </w:pPr>
            <w:r w:rsidRPr="006A31EC">
              <w:rPr>
                <w:rFonts w:eastAsia="SimSun"/>
                <w:sz w:val="22"/>
                <w:lang w:val="en-US"/>
              </w:rPr>
              <w:t>-</w:t>
            </w:r>
          </w:p>
        </w:tc>
        <w:tc>
          <w:tcPr>
            <w:tcW w:w="337" w:type="pct"/>
            <w:shd w:val="clear" w:color="auto" w:fill="auto"/>
            <w:vAlign w:val="center"/>
          </w:tcPr>
          <w:p w14:paraId="2EAAF526" w14:textId="77777777" w:rsidR="00304132" w:rsidRPr="006A31EC" w:rsidRDefault="00304132" w:rsidP="00CD5E09">
            <w:pPr>
              <w:rPr>
                <w:sz w:val="22"/>
              </w:rPr>
            </w:pPr>
            <w:r w:rsidRPr="006A31EC">
              <w:rPr>
                <w:rFonts w:eastAsia="SimSun"/>
                <w:sz w:val="22"/>
                <w:lang w:val="en-US"/>
              </w:rPr>
              <w:t>-</w:t>
            </w:r>
          </w:p>
        </w:tc>
        <w:tc>
          <w:tcPr>
            <w:tcW w:w="337" w:type="pct"/>
            <w:shd w:val="clear" w:color="auto" w:fill="auto"/>
            <w:vAlign w:val="center"/>
          </w:tcPr>
          <w:p w14:paraId="6F8B7962" w14:textId="77777777" w:rsidR="00304132" w:rsidRPr="006A31EC" w:rsidRDefault="00304132" w:rsidP="00CD5E09">
            <w:pPr>
              <w:rPr>
                <w:sz w:val="22"/>
              </w:rPr>
            </w:pPr>
            <w:r w:rsidRPr="006A31EC">
              <w:rPr>
                <w:rFonts w:eastAsia="SimSun"/>
                <w:sz w:val="22"/>
                <w:lang w:val="en-US"/>
              </w:rPr>
              <w:t>-</w:t>
            </w:r>
          </w:p>
        </w:tc>
        <w:tc>
          <w:tcPr>
            <w:tcW w:w="401" w:type="pct"/>
            <w:shd w:val="clear" w:color="auto" w:fill="auto"/>
            <w:vAlign w:val="center"/>
          </w:tcPr>
          <w:p w14:paraId="54BCA8D9" w14:textId="77777777" w:rsidR="00304132" w:rsidRPr="006A31EC" w:rsidRDefault="00304132" w:rsidP="00CD5E09">
            <w:pPr>
              <w:rPr>
                <w:rFonts w:eastAsia="SimSun"/>
                <w:sz w:val="22"/>
              </w:rPr>
            </w:pPr>
          </w:p>
        </w:tc>
        <w:tc>
          <w:tcPr>
            <w:tcW w:w="442" w:type="pct"/>
            <w:shd w:val="clear" w:color="auto" w:fill="auto"/>
            <w:vAlign w:val="center"/>
          </w:tcPr>
          <w:p w14:paraId="64A67D99" w14:textId="77777777" w:rsidR="00304132" w:rsidRPr="006A31EC" w:rsidRDefault="00304132" w:rsidP="00CD5E09">
            <w:pPr>
              <w:rPr>
                <w:rFonts w:eastAsia="SimSun"/>
                <w:sz w:val="22"/>
                <w:lang w:val="en-US"/>
              </w:rPr>
            </w:pPr>
            <w:r w:rsidRPr="006A31EC">
              <w:rPr>
                <w:rFonts w:eastAsia="SimSun"/>
                <w:sz w:val="22"/>
                <w:lang w:val="en-US"/>
              </w:rPr>
              <w:t>5.1.2.12/15</w:t>
            </w:r>
          </w:p>
        </w:tc>
        <w:tc>
          <w:tcPr>
            <w:tcW w:w="337" w:type="pct"/>
            <w:shd w:val="clear" w:color="auto" w:fill="auto"/>
            <w:vAlign w:val="center"/>
          </w:tcPr>
          <w:p w14:paraId="622D3E95" w14:textId="77777777" w:rsidR="00304132" w:rsidRPr="006A31EC" w:rsidRDefault="00304132" w:rsidP="00CD5E09">
            <w:pPr>
              <w:rPr>
                <w:sz w:val="22"/>
              </w:rPr>
            </w:pPr>
            <w:r w:rsidRPr="006A31EC">
              <w:rPr>
                <w:rFonts w:eastAsia="SimSun"/>
                <w:sz w:val="22"/>
                <w:lang w:val="en-US"/>
              </w:rPr>
              <w:t>-</w:t>
            </w:r>
          </w:p>
        </w:tc>
        <w:tc>
          <w:tcPr>
            <w:tcW w:w="337" w:type="pct"/>
          </w:tcPr>
          <w:p w14:paraId="7CC6B876" w14:textId="77777777" w:rsidR="00304132" w:rsidRPr="006A31EC" w:rsidRDefault="00304132" w:rsidP="00CD5E09">
            <w:pPr>
              <w:rPr>
                <w:rFonts w:eastAsia="SimSun"/>
                <w:sz w:val="22"/>
                <w:lang w:val="en-US"/>
              </w:rPr>
            </w:pPr>
          </w:p>
        </w:tc>
      </w:tr>
      <w:tr w:rsidR="00304132" w:rsidRPr="006A31EC" w14:paraId="73D26C5A" w14:textId="77777777" w:rsidTr="00CD5E09">
        <w:trPr>
          <w:cantSplit/>
          <w:trHeight w:val="624"/>
        </w:trPr>
        <w:tc>
          <w:tcPr>
            <w:tcW w:w="293" w:type="pct"/>
            <w:shd w:val="clear" w:color="auto" w:fill="D9D9D9"/>
            <w:vAlign w:val="center"/>
          </w:tcPr>
          <w:p w14:paraId="773EC42E" w14:textId="77777777" w:rsidR="00304132" w:rsidRPr="006A31EC" w:rsidRDefault="00304132" w:rsidP="00CD5E09">
            <w:pPr>
              <w:rPr>
                <w:rFonts w:eastAsia="SimSun"/>
                <w:sz w:val="22"/>
                <w:lang w:val="en-US"/>
              </w:rPr>
            </w:pPr>
            <w:r w:rsidRPr="006A31EC">
              <w:rPr>
                <w:rFonts w:eastAsia="SimSun"/>
                <w:sz w:val="22"/>
                <w:lang w:val="en-US"/>
              </w:rPr>
              <w:lastRenderedPageBreak/>
              <w:t>-</w:t>
            </w:r>
          </w:p>
        </w:tc>
        <w:tc>
          <w:tcPr>
            <w:tcW w:w="284" w:type="pct"/>
            <w:shd w:val="clear" w:color="auto" w:fill="D9D9D9"/>
            <w:vAlign w:val="center"/>
          </w:tcPr>
          <w:p w14:paraId="3DF90B6D" w14:textId="77777777" w:rsidR="00304132" w:rsidRPr="006A31EC" w:rsidRDefault="00304132" w:rsidP="00CD5E09">
            <w:pPr>
              <w:rPr>
                <w:rFonts w:eastAsia="SimSun"/>
                <w:sz w:val="22"/>
                <w:lang w:val="en-US"/>
              </w:rPr>
            </w:pPr>
            <w:r w:rsidRPr="006A31EC">
              <w:rPr>
                <w:rFonts w:eastAsia="SimSun"/>
                <w:sz w:val="22"/>
                <w:lang w:val="en-US"/>
              </w:rPr>
              <w:t>Tx</w:t>
            </w:r>
          </w:p>
        </w:tc>
        <w:tc>
          <w:tcPr>
            <w:tcW w:w="261" w:type="pct"/>
            <w:shd w:val="clear" w:color="auto" w:fill="D9D9D9"/>
            <w:vAlign w:val="center"/>
          </w:tcPr>
          <w:p w14:paraId="16383209" w14:textId="77777777" w:rsidR="00304132" w:rsidRPr="006A31EC" w:rsidRDefault="00304132" w:rsidP="00CD5E09">
            <w:pPr>
              <w:rPr>
                <w:rFonts w:eastAsia="SimSun"/>
                <w:sz w:val="22"/>
                <w:lang w:val="en-US"/>
              </w:rPr>
            </w:pPr>
            <w:r w:rsidRPr="006A31EC">
              <w:rPr>
                <w:rFonts w:eastAsia="SimSun"/>
                <w:sz w:val="22"/>
                <w:lang w:val="en-US"/>
              </w:rPr>
              <w:t>-</w:t>
            </w:r>
          </w:p>
        </w:tc>
        <w:tc>
          <w:tcPr>
            <w:tcW w:w="398" w:type="pct"/>
            <w:shd w:val="clear" w:color="auto" w:fill="D9D9D9"/>
            <w:vAlign w:val="center"/>
          </w:tcPr>
          <w:p w14:paraId="04E44A28" w14:textId="77777777" w:rsidR="00304132" w:rsidRPr="006A31EC" w:rsidRDefault="00304132" w:rsidP="00CD5E09">
            <w:pPr>
              <w:rPr>
                <w:rFonts w:eastAsia="SimSun"/>
                <w:sz w:val="22"/>
                <w:lang w:val="en-US"/>
              </w:rPr>
            </w:pPr>
            <w:r w:rsidRPr="006A31EC">
              <w:rPr>
                <w:rFonts w:eastAsia="SimSun"/>
                <w:sz w:val="22"/>
                <w:lang w:val="en-US"/>
              </w:rPr>
              <w:t>MMF30</w:t>
            </w:r>
          </w:p>
        </w:tc>
        <w:tc>
          <w:tcPr>
            <w:tcW w:w="337" w:type="pct"/>
            <w:shd w:val="clear" w:color="auto" w:fill="auto"/>
            <w:vAlign w:val="center"/>
          </w:tcPr>
          <w:p w14:paraId="44FD8D90" w14:textId="77777777" w:rsidR="00304132" w:rsidRPr="006A31EC" w:rsidRDefault="00304132" w:rsidP="00CD5E09">
            <w:pPr>
              <w:rPr>
                <w:sz w:val="22"/>
              </w:rPr>
            </w:pPr>
            <w:r w:rsidRPr="006A31EC">
              <w:rPr>
                <w:rFonts w:eastAsia="SimSun"/>
                <w:sz w:val="22"/>
                <w:lang w:val="en-US"/>
              </w:rPr>
              <w:t>-</w:t>
            </w:r>
          </w:p>
        </w:tc>
        <w:tc>
          <w:tcPr>
            <w:tcW w:w="312" w:type="pct"/>
          </w:tcPr>
          <w:p w14:paraId="4E2CAD85" w14:textId="77777777" w:rsidR="00304132" w:rsidRPr="006A31EC" w:rsidRDefault="00304132" w:rsidP="00CD5E09">
            <w:pPr>
              <w:rPr>
                <w:rFonts w:eastAsia="SimSun"/>
                <w:sz w:val="22"/>
                <w:lang w:val="en-US"/>
              </w:rPr>
            </w:pPr>
          </w:p>
        </w:tc>
        <w:tc>
          <w:tcPr>
            <w:tcW w:w="337" w:type="pct"/>
            <w:shd w:val="clear" w:color="auto" w:fill="auto"/>
            <w:vAlign w:val="center"/>
          </w:tcPr>
          <w:p w14:paraId="2309A9D9" w14:textId="77777777" w:rsidR="00304132" w:rsidRPr="006A31EC" w:rsidRDefault="00304132" w:rsidP="00CD5E09">
            <w:pPr>
              <w:rPr>
                <w:sz w:val="22"/>
              </w:rPr>
            </w:pPr>
            <w:r w:rsidRPr="006A31EC">
              <w:rPr>
                <w:rFonts w:eastAsia="SimSun"/>
                <w:sz w:val="22"/>
                <w:lang w:val="en-US"/>
              </w:rPr>
              <w:t>-</w:t>
            </w:r>
          </w:p>
        </w:tc>
        <w:tc>
          <w:tcPr>
            <w:tcW w:w="295" w:type="pct"/>
            <w:shd w:val="clear" w:color="auto" w:fill="auto"/>
            <w:vAlign w:val="center"/>
          </w:tcPr>
          <w:p w14:paraId="44C5BE34" w14:textId="77777777" w:rsidR="00304132" w:rsidRPr="006A31EC" w:rsidRDefault="00304132" w:rsidP="00CD5E09">
            <w:pPr>
              <w:rPr>
                <w:sz w:val="22"/>
              </w:rPr>
            </w:pPr>
            <w:r w:rsidRPr="006A31EC">
              <w:rPr>
                <w:rFonts w:eastAsia="SimSun"/>
                <w:sz w:val="22"/>
                <w:lang w:val="en-US"/>
              </w:rPr>
              <w:t>-</w:t>
            </w:r>
          </w:p>
        </w:tc>
        <w:tc>
          <w:tcPr>
            <w:tcW w:w="295" w:type="pct"/>
            <w:shd w:val="clear" w:color="auto" w:fill="auto"/>
            <w:vAlign w:val="center"/>
          </w:tcPr>
          <w:p w14:paraId="711E9898" w14:textId="77777777" w:rsidR="00304132" w:rsidRPr="006A31EC" w:rsidRDefault="00304132" w:rsidP="00CD5E09">
            <w:pPr>
              <w:rPr>
                <w:sz w:val="22"/>
              </w:rPr>
            </w:pPr>
            <w:r w:rsidRPr="006A31EC">
              <w:rPr>
                <w:rFonts w:eastAsia="SimSun"/>
                <w:sz w:val="22"/>
                <w:lang w:val="en-US"/>
              </w:rPr>
              <w:t>-</w:t>
            </w:r>
          </w:p>
        </w:tc>
        <w:tc>
          <w:tcPr>
            <w:tcW w:w="337" w:type="pct"/>
            <w:shd w:val="clear" w:color="auto" w:fill="auto"/>
            <w:vAlign w:val="center"/>
          </w:tcPr>
          <w:p w14:paraId="3DD0F8E7" w14:textId="77777777" w:rsidR="00304132" w:rsidRPr="006A31EC" w:rsidRDefault="00304132" w:rsidP="00CD5E09">
            <w:pPr>
              <w:rPr>
                <w:sz w:val="22"/>
              </w:rPr>
            </w:pPr>
            <w:r w:rsidRPr="006A31EC">
              <w:rPr>
                <w:rFonts w:eastAsia="SimSun"/>
                <w:sz w:val="22"/>
                <w:lang w:val="en-US"/>
              </w:rPr>
              <w:t>-</w:t>
            </w:r>
          </w:p>
        </w:tc>
        <w:tc>
          <w:tcPr>
            <w:tcW w:w="337" w:type="pct"/>
            <w:shd w:val="clear" w:color="auto" w:fill="auto"/>
            <w:vAlign w:val="center"/>
          </w:tcPr>
          <w:p w14:paraId="14E98F29" w14:textId="77777777" w:rsidR="00304132" w:rsidRPr="006A31EC" w:rsidRDefault="00304132" w:rsidP="00CD5E09">
            <w:pPr>
              <w:rPr>
                <w:sz w:val="22"/>
              </w:rPr>
            </w:pPr>
            <w:r w:rsidRPr="006A31EC">
              <w:rPr>
                <w:rFonts w:eastAsia="SimSun"/>
                <w:sz w:val="22"/>
                <w:lang w:val="en-US"/>
              </w:rPr>
              <w:t>-</w:t>
            </w:r>
          </w:p>
        </w:tc>
        <w:tc>
          <w:tcPr>
            <w:tcW w:w="401" w:type="pct"/>
            <w:shd w:val="clear" w:color="auto" w:fill="auto"/>
            <w:vAlign w:val="center"/>
          </w:tcPr>
          <w:p w14:paraId="5F25D82E" w14:textId="77777777" w:rsidR="00304132" w:rsidRPr="006A31EC" w:rsidRDefault="00304132" w:rsidP="00CD5E09">
            <w:pPr>
              <w:rPr>
                <w:rFonts w:eastAsia="SimSun"/>
                <w:sz w:val="22"/>
                <w:lang w:val="en-US"/>
              </w:rPr>
            </w:pPr>
            <w:r w:rsidRPr="006A31EC">
              <w:rPr>
                <w:rFonts w:eastAsia="SimSun"/>
                <w:sz w:val="22"/>
                <w:lang w:val="en-US"/>
              </w:rPr>
              <w:t>5.1.2.10</w:t>
            </w:r>
          </w:p>
        </w:tc>
        <w:tc>
          <w:tcPr>
            <w:tcW w:w="442" w:type="pct"/>
            <w:shd w:val="clear" w:color="auto" w:fill="auto"/>
            <w:vAlign w:val="center"/>
          </w:tcPr>
          <w:p w14:paraId="49E35712" w14:textId="77777777" w:rsidR="00304132" w:rsidRPr="006A31EC" w:rsidRDefault="00304132" w:rsidP="00CD5E09">
            <w:pPr>
              <w:rPr>
                <w:rFonts w:eastAsia="SimSun"/>
                <w:sz w:val="22"/>
                <w:lang w:val="en-US"/>
              </w:rPr>
            </w:pPr>
          </w:p>
        </w:tc>
        <w:tc>
          <w:tcPr>
            <w:tcW w:w="337" w:type="pct"/>
            <w:shd w:val="clear" w:color="auto" w:fill="auto"/>
            <w:vAlign w:val="center"/>
          </w:tcPr>
          <w:p w14:paraId="319018C5" w14:textId="77777777" w:rsidR="00304132" w:rsidRPr="006A31EC" w:rsidRDefault="00304132" w:rsidP="00CD5E09">
            <w:pPr>
              <w:rPr>
                <w:sz w:val="22"/>
              </w:rPr>
            </w:pPr>
            <w:r w:rsidRPr="006A31EC">
              <w:rPr>
                <w:rFonts w:eastAsia="SimSun"/>
                <w:sz w:val="22"/>
                <w:lang w:val="en-US"/>
              </w:rPr>
              <w:t>-</w:t>
            </w:r>
          </w:p>
        </w:tc>
        <w:tc>
          <w:tcPr>
            <w:tcW w:w="337" w:type="pct"/>
          </w:tcPr>
          <w:p w14:paraId="0012FF22" w14:textId="77777777" w:rsidR="00304132" w:rsidRPr="006A31EC" w:rsidRDefault="00304132" w:rsidP="00CD5E09">
            <w:pPr>
              <w:rPr>
                <w:rFonts w:eastAsia="SimSun"/>
                <w:sz w:val="22"/>
                <w:lang w:val="en-US"/>
              </w:rPr>
            </w:pPr>
          </w:p>
        </w:tc>
      </w:tr>
    </w:tbl>
    <w:p w14:paraId="6A93B0F4" w14:textId="77777777" w:rsidR="00304132" w:rsidRPr="00C07B2E" w:rsidRDefault="00304132" w:rsidP="00304132">
      <w:pPr>
        <w:rPr>
          <w:rFonts w:eastAsia="SimSun"/>
        </w:rPr>
        <w:sectPr w:rsidR="00304132" w:rsidRPr="00C07B2E" w:rsidSect="00CD5E09">
          <w:type w:val="continuous"/>
          <w:pgSz w:w="16839" w:h="11907" w:orient="landscape" w:code="9"/>
          <w:pgMar w:top="1134" w:right="850" w:bottom="1134" w:left="1701" w:header="709" w:footer="567" w:gutter="0"/>
          <w:cols w:space="708"/>
          <w:docGrid w:linePitch="360"/>
        </w:sectPr>
      </w:pPr>
    </w:p>
    <w:p w14:paraId="3EF87CA6" w14:textId="77777777" w:rsidR="00304132" w:rsidRPr="00C07B2E" w:rsidRDefault="00304132" w:rsidP="00304132">
      <w:pPr>
        <w:rPr>
          <w:rFonts w:eastAsia="SimSun"/>
        </w:rPr>
      </w:pPr>
    </w:p>
    <w:p w14:paraId="5DD2B762" w14:textId="77777777" w:rsidR="00304132" w:rsidRPr="00C07B2E" w:rsidRDefault="00304132" w:rsidP="00304132">
      <w:pPr>
        <w:rPr>
          <w:rFonts w:eastAsia="SimSun"/>
        </w:rPr>
      </w:pPr>
      <w:bookmarkStart w:id="304" w:name="_Toc44401159"/>
      <w:r w:rsidRPr="00042499">
        <w:rPr>
          <w:rFonts w:eastAsia="SimSun"/>
        </w:rPr>
        <w:t>Таблица</w:t>
      </w:r>
      <w:r w:rsidRPr="00C07B2E">
        <w:rPr>
          <w:rFonts w:eastAsia="SimSun"/>
        </w:rPr>
        <w:t xml:space="preserve"> </w:t>
      </w:r>
      <w:r>
        <w:rPr>
          <w:rFonts w:eastAsia="SimSun"/>
        </w:rPr>
        <w:t>5.</w:t>
      </w:r>
      <w:r w:rsidRPr="00C07B2E">
        <w:rPr>
          <w:rFonts w:eastAsia="SimSun"/>
        </w:rPr>
        <w:t>1.2.1  – Flu150+Bu8+Thio / hATG+CSA+MTX+MMF30</w:t>
      </w:r>
      <w:bookmarkEnd w:id="304"/>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843"/>
        <w:gridCol w:w="1417"/>
        <w:gridCol w:w="1418"/>
        <w:gridCol w:w="1701"/>
        <w:gridCol w:w="2268"/>
      </w:tblGrid>
      <w:tr w:rsidR="00304132" w:rsidRPr="00AC3044" w14:paraId="53CFC797" w14:textId="77777777" w:rsidTr="00CD5E09">
        <w:trPr>
          <w:cantSplit/>
          <w:trHeight w:val="20"/>
          <w:tblHeader/>
        </w:trPr>
        <w:tc>
          <w:tcPr>
            <w:tcW w:w="993" w:type="dxa"/>
          </w:tcPr>
          <w:p w14:paraId="77D20496" w14:textId="77777777" w:rsidR="00304132" w:rsidRPr="00470D3D" w:rsidRDefault="00304132" w:rsidP="00CD5E09">
            <w:pPr>
              <w:rPr>
                <w:rFonts w:eastAsia="SimSun"/>
              </w:rPr>
            </w:pPr>
          </w:p>
        </w:tc>
        <w:tc>
          <w:tcPr>
            <w:tcW w:w="1843" w:type="dxa"/>
            <w:vAlign w:val="center"/>
          </w:tcPr>
          <w:p w14:paraId="4F06F477" w14:textId="77777777" w:rsidR="00304132" w:rsidRPr="00AC3044" w:rsidRDefault="00304132" w:rsidP="00CD5E09">
            <w:pPr>
              <w:rPr>
                <w:rFonts w:eastAsia="SimSun"/>
              </w:rPr>
            </w:pPr>
            <w:r w:rsidRPr="00AC3044">
              <w:rPr>
                <w:rFonts w:eastAsia="SimSun"/>
              </w:rPr>
              <w:t>Препарат</w:t>
            </w:r>
          </w:p>
        </w:tc>
        <w:tc>
          <w:tcPr>
            <w:tcW w:w="1417" w:type="dxa"/>
            <w:vAlign w:val="center"/>
          </w:tcPr>
          <w:p w14:paraId="58DD4A60" w14:textId="77777777" w:rsidR="00304132" w:rsidRPr="00AC3044" w:rsidRDefault="00304132" w:rsidP="00CD5E09">
            <w:pPr>
              <w:rPr>
                <w:rFonts w:eastAsia="SimSun"/>
              </w:rPr>
            </w:pPr>
            <w:r w:rsidRPr="00AC3044">
              <w:rPr>
                <w:rFonts w:eastAsia="SimSun"/>
              </w:rPr>
              <w:t>Суточная доза</w:t>
            </w:r>
          </w:p>
        </w:tc>
        <w:tc>
          <w:tcPr>
            <w:tcW w:w="1418" w:type="dxa"/>
            <w:vAlign w:val="center"/>
          </w:tcPr>
          <w:p w14:paraId="3C7B3A37" w14:textId="77777777" w:rsidR="00304132" w:rsidRPr="00AC3044" w:rsidRDefault="00304132" w:rsidP="00CD5E09">
            <w:pPr>
              <w:rPr>
                <w:rFonts w:eastAsia="SimSun"/>
              </w:rPr>
            </w:pPr>
            <w:r w:rsidRPr="00AC3044">
              <w:rPr>
                <w:rFonts w:eastAsia="SimSun"/>
              </w:rPr>
              <w:t>Курсовая доза</w:t>
            </w:r>
          </w:p>
        </w:tc>
        <w:tc>
          <w:tcPr>
            <w:tcW w:w="1701" w:type="dxa"/>
            <w:vAlign w:val="center"/>
          </w:tcPr>
          <w:p w14:paraId="5E7514B0" w14:textId="77777777" w:rsidR="00304132" w:rsidRPr="00AC3044" w:rsidRDefault="00304132" w:rsidP="00CD5E09">
            <w:pPr>
              <w:rPr>
                <w:rFonts w:eastAsia="SimSun"/>
              </w:rPr>
            </w:pPr>
            <w:r w:rsidRPr="00AC3044">
              <w:rPr>
                <w:rFonts w:eastAsia="SimSun"/>
              </w:rPr>
              <w:t>Дни введения</w:t>
            </w:r>
          </w:p>
        </w:tc>
        <w:tc>
          <w:tcPr>
            <w:tcW w:w="2268" w:type="dxa"/>
            <w:vAlign w:val="center"/>
          </w:tcPr>
          <w:p w14:paraId="4CA7936E" w14:textId="77777777" w:rsidR="00304132" w:rsidRPr="00AC3044" w:rsidRDefault="00304132" w:rsidP="00CD5E09">
            <w:pPr>
              <w:rPr>
                <w:rFonts w:eastAsia="SimSun"/>
              </w:rPr>
            </w:pPr>
            <w:r w:rsidRPr="00AC3044">
              <w:rPr>
                <w:rFonts w:eastAsia="SimSun"/>
              </w:rPr>
              <w:t>Порядок введения</w:t>
            </w:r>
          </w:p>
        </w:tc>
      </w:tr>
      <w:tr w:rsidR="00304132" w:rsidRPr="00AC3044" w14:paraId="498F3226" w14:textId="77777777" w:rsidTr="00CD5E09">
        <w:trPr>
          <w:cantSplit/>
          <w:trHeight w:val="20"/>
        </w:trPr>
        <w:tc>
          <w:tcPr>
            <w:tcW w:w="993" w:type="dxa"/>
            <w:vMerge w:val="restart"/>
            <w:textDirection w:val="btLr"/>
            <w:vAlign w:val="center"/>
          </w:tcPr>
          <w:p w14:paraId="6528C385" w14:textId="77777777" w:rsidR="00304132" w:rsidRPr="00AC3044" w:rsidRDefault="00304132" w:rsidP="00CD5E09">
            <w:pPr>
              <w:rPr>
                <w:rFonts w:eastAsia="SimSun"/>
              </w:rPr>
            </w:pPr>
            <w:r w:rsidRPr="00AC3044">
              <w:rPr>
                <w:rFonts w:eastAsia="SimSun"/>
              </w:rPr>
              <w:t>Кондиционирование</w:t>
            </w:r>
          </w:p>
        </w:tc>
        <w:tc>
          <w:tcPr>
            <w:tcW w:w="1843" w:type="dxa"/>
            <w:vAlign w:val="center"/>
          </w:tcPr>
          <w:p w14:paraId="67E1B316" w14:textId="77777777" w:rsidR="00304132" w:rsidRPr="00AC3044" w:rsidRDefault="00304132" w:rsidP="00CD5E09">
            <w:pPr>
              <w:rPr>
                <w:rFonts w:eastAsia="SimSun"/>
              </w:rPr>
            </w:pPr>
            <w:r w:rsidRPr="00AC3044">
              <w:rPr>
                <w:rFonts w:eastAsia="SimSun"/>
              </w:rPr>
              <w:t xml:space="preserve">Флударабин </w:t>
            </w:r>
          </w:p>
        </w:tc>
        <w:tc>
          <w:tcPr>
            <w:tcW w:w="1417" w:type="dxa"/>
            <w:vAlign w:val="center"/>
          </w:tcPr>
          <w:p w14:paraId="58A030CD" w14:textId="77777777" w:rsidR="00304132" w:rsidRPr="00AC3044" w:rsidRDefault="00304132" w:rsidP="00CD5E09">
            <w:pPr>
              <w:rPr>
                <w:rFonts w:eastAsia="SimSun"/>
              </w:rPr>
            </w:pPr>
            <w:r w:rsidRPr="00AC3044">
              <w:rPr>
                <w:rFonts w:eastAsia="SimSun"/>
              </w:rPr>
              <w:t>50 мг/м</w:t>
            </w:r>
            <w:r w:rsidRPr="005659AA">
              <w:rPr>
                <w:rFonts w:eastAsia="SimSun"/>
                <w:vertAlign w:val="superscript"/>
              </w:rPr>
              <w:t>2</w:t>
            </w:r>
          </w:p>
        </w:tc>
        <w:tc>
          <w:tcPr>
            <w:tcW w:w="1418" w:type="dxa"/>
            <w:vAlign w:val="center"/>
          </w:tcPr>
          <w:p w14:paraId="147D1233" w14:textId="77777777" w:rsidR="00304132" w:rsidRPr="00AC3044" w:rsidRDefault="00304132" w:rsidP="00CD5E09">
            <w:pPr>
              <w:rPr>
                <w:rFonts w:eastAsia="SimSun"/>
              </w:rPr>
            </w:pPr>
            <w:r w:rsidRPr="00AC3044">
              <w:rPr>
                <w:rFonts w:eastAsia="SimSun"/>
              </w:rPr>
              <w:t>150 мг/м</w:t>
            </w:r>
            <w:r w:rsidRPr="005659AA">
              <w:rPr>
                <w:rFonts w:eastAsia="SimSun"/>
                <w:vertAlign w:val="superscript"/>
              </w:rPr>
              <w:t>2</w:t>
            </w:r>
          </w:p>
        </w:tc>
        <w:tc>
          <w:tcPr>
            <w:tcW w:w="1701" w:type="dxa"/>
            <w:vAlign w:val="center"/>
          </w:tcPr>
          <w:p w14:paraId="1D2FED52" w14:textId="77777777" w:rsidR="00304132" w:rsidRPr="00AC3044" w:rsidRDefault="00304132" w:rsidP="00CD5E09">
            <w:pPr>
              <w:rPr>
                <w:rFonts w:eastAsia="SimSun"/>
              </w:rPr>
            </w:pPr>
            <w:r w:rsidRPr="00AC3044">
              <w:rPr>
                <w:rFonts w:eastAsia="SimSun"/>
              </w:rPr>
              <w:t>С –4 по –2 день</w:t>
            </w:r>
          </w:p>
        </w:tc>
        <w:tc>
          <w:tcPr>
            <w:tcW w:w="2268" w:type="dxa"/>
            <w:vAlign w:val="center"/>
          </w:tcPr>
          <w:p w14:paraId="52B01E82" w14:textId="77777777" w:rsidR="00304132" w:rsidRPr="00AC3044" w:rsidRDefault="00304132" w:rsidP="00CD5E09">
            <w:pPr>
              <w:rPr>
                <w:rFonts w:eastAsia="SimSun"/>
              </w:rPr>
            </w:pPr>
            <w:r w:rsidRPr="00AC3044">
              <w:rPr>
                <w:rFonts w:eastAsia="SimSun"/>
              </w:rPr>
              <w:t>В/в, в течение 30 -60 мин</w:t>
            </w:r>
          </w:p>
        </w:tc>
      </w:tr>
      <w:tr w:rsidR="00304132" w:rsidRPr="00AC3044" w14:paraId="766D333A" w14:textId="77777777" w:rsidTr="00CD5E09">
        <w:trPr>
          <w:cantSplit/>
          <w:trHeight w:val="731"/>
        </w:trPr>
        <w:tc>
          <w:tcPr>
            <w:tcW w:w="993" w:type="dxa"/>
            <w:vMerge/>
            <w:textDirection w:val="btLr"/>
            <w:vAlign w:val="center"/>
          </w:tcPr>
          <w:p w14:paraId="1583BC3E" w14:textId="77777777" w:rsidR="00304132" w:rsidRPr="00AC3044" w:rsidRDefault="00304132" w:rsidP="00CD5E09">
            <w:pPr>
              <w:rPr>
                <w:rFonts w:eastAsia="SimSun"/>
              </w:rPr>
            </w:pPr>
          </w:p>
        </w:tc>
        <w:tc>
          <w:tcPr>
            <w:tcW w:w="1843" w:type="dxa"/>
            <w:vAlign w:val="center"/>
          </w:tcPr>
          <w:p w14:paraId="79D9413B" w14:textId="77777777" w:rsidR="00304132" w:rsidRPr="00AC3044" w:rsidRDefault="00304132" w:rsidP="00CD5E09">
            <w:pPr>
              <w:rPr>
                <w:rFonts w:eastAsia="SimSun"/>
              </w:rPr>
            </w:pPr>
            <w:r w:rsidRPr="00AC3044">
              <w:rPr>
                <w:rFonts w:eastAsia="SimSun"/>
              </w:rPr>
              <w:t>Бусульфан</w:t>
            </w:r>
          </w:p>
        </w:tc>
        <w:tc>
          <w:tcPr>
            <w:tcW w:w="1417" w:type="dxa"/>
            <w:vAlign w:val="center"/>
          </w:tcPr>
          <w:p w14:paraId="1EA862CE" w14:textId="77777777" w:rsidR="00304132" w:rsidRPr="00AC3044" w:rsidRDefault="00304132" w:rsidP="00CD5E09">
            <w:pPr>
              <w:rPr>
                <w:rFonts w:eastAsia="SimSun"/>
              </w:rPr>
            </w:pPr>
            <w:r w:rsidRPr="00AC3044">
              <w:rPr>
                <w:rFonts w:eastAsia="SimSun"/>
              </w:rPr>
              <w:t>4 мг/кг</w:t>
            </w:r>
          </w:p>
        </w:tc>
        <w:tc>
          <w:tcPr>
            <w:tcW w:w="1418" w:type="dxa"/>
            <w:vAlign w:val="center"/>
          </w:tcPr>
          <w:p w14:paraId="3CE341BE" w14:textId="77777777" w:rsidR="00304132" w:rsidRPr="00AC3044" w:rsidRDefault="00304132" w:rsidP="00CD5E09">
            <w:pPr>
              <w:rPr>
                <w:rFonts w:eastAsia="SimSun"/>
              </w:rPr>
            </w:pPr>
            <w:r w:rsidRPr="00AC3044">
              <w:rPr>
                <w:rFonts w:eastAsia="SimSun"/>
              </w:rPr>
              <w:t>8 мг/кг</w:t>
            </w:r>
          </w:p>
        </w:tc>
        <w:tc>
          <w:tcPr>
            <w:tcW w:w="1701" w:type="dxa"/>
            <w:vAlign w:val="center"/>
          </w:tcPr>
          <w:p w14:paraId="755DE5BF" w14:textId="77777777" w:rsidR="00304132" w:rsidRPr="00AC3044" w:rsidRDefault="00304132" w:rsidP="00CD5E09">
            <w:pPr>
              <w:rPr>
                <w:rFonts w:eastAsia="SimSun"/>
              </w:rPr>
            </w:pPr>
            <w:r w:rsidRPr="00AC3044">
              <w:rPr>
                <w:rFonts w:eastAsia="SimSun"/>
              </w:rPr>
              <w:t>–3, –2 дни</w:t>
            </w:r>
          </w:p>
        </w:tc>
        <w:tc>
          <w:tcPr>
            <w:tcW w:w="2268" w:type="dxa"/>
            <w:vAlign w:val="center"/>
          </w:tcPr>
          <w:p w14:paraId="2E43B46B" w14:textId="77777777" w:rsidR="00304132" w:rsidRPr="00AC3044" w:rsidRDefault="00304132" w:rsidP="00CD5E09">
            <w:pPr>
              <w:rPr>
                <w:rFonts w:eastAsia="SimSun"/>
              </w:rPr>
            </w:pPr>
            <w:r w:rsidRPr="00AC3044">
              <w:rPr>
                <w:rFonts w:eastAsia="SimSun"/>
              </w:rPr>
              <w:t>Внутрь, суммарная суточная доза разделяется на 4 приема с интервалом 6 часов.</w:t>
            </w:r>
          </w:p>
        </w:tc>
      </w:tr>
      <w:tr w:rsidR="00304132" w:rsidRPr="00AC3044" w14:paraId="0DE07409" w14:textId="77777777" w:rsidTr="00CD5E09">
        <w:trPr>
          <w:cantSplit/>
          <w:trHeight w:val="700"/>
        </w:trPr>
        <w:tc>
          <w:tcPr>
            <w:tcW w:w="993" w:type="dxa"/>
            <w:vMerge/>
            <w:textDirection w:val="btLr"/>
            <w:vAlign w:val="center"/>
          </w:tcPr>
          <w:p w14:paraId="5653276A" w14:textId="77777777" w:rsidR="00304132" w:rsidRPr="00AC3044" w:rsidRDefault="00304132" w:rsidP="00CD5E09">
            <w:pPr>
              <w:rPr>
                <w:rFonts w:eastAsia="SimSun"/>
              </w:rPr>
            </w:pPr>
          </w:p>
        </w:tc>
        <w:tc>
          <w:tcPr>
            <w:tcW w:w="1843" w:type="dxa"/>
            <w:vAlign w:val="center"/>
          </w:tcPr>
          <w:p w14:paraId="4F1BE459" w14:textId="77777777" w:rsidR="00304132" w:rsidRPr="00AC3044" w:rsidRDefault="00304132" w:rsidP="00CD5E09">
            <w:pPr>
              <w:rPr>
                <w:rFonts w:eastAsia="SimSun"/>
              </w:rPr>
            </w:pPr>
            <w:r w:rsidRPr="00AC3044">
              <w:rPr>
                <w:rFonts w:eastAsia="SimSun"/>
              </w:rPr>
              <w:t>Тиотепа</w:t>
            </w:r>
          </w:p>
        </w:tc>
        <w:tc>
          <w:tcPr>
            <w:tcW w:w="1417" w:type="dxa"/>
            <w:vAlign w:val="center"/>
          </w:tcPr>
          <w:p w14:paraId="7C14182C" w14:textId="77777777" w:rsidR="00304132" w:rsidRPr="00AC3044" w:rsidRDefault="00304132" w:rsidP="00CD5E09">
            <w:pPr>
              <w:rPr>
                <w:rFonts w:eastAsia="SimSun"/>
              </w:rPr>
            </w:pPr>
            <w:r w:rsidRPr="00AC3044">
              <w:rPr>
                <w:rFonts w:eastAsia="SimSun"/>
              </w:rPr>
              <w:t>5 мг/кг</w:t>
            </w:r>
          </w:p>
        </w:tc>
        <w:tc>
          <w:tcPr>
            <w:tcW w:w="1418" w:type="dxa"/>
            <w:vAlign w:val="center"/>
          </w:tcPr>
          <w:p w14:paraId="29F05B21" w14:textId="77777777" w:rsidR="00304132" w:rsidRPr="00AC3044" w:rsidRDefault="00304132" w:rsidP="00CD5E09">
            <w:pPr>
              <w:rPr>
                <w:rFonts w:eastAsia="SimSun"/>
              </w:rPr>
            </w:pPr>
            <w:r w:rsidRPr="00AC3044">
              <w:rPr>
                <w:rFonts w:eastAsia="SimSun"/>
              </w:rPr>
              <w:t>10 мг/кг</w:t>
            </w:r>
          </w:p>
        </w:tc>
        <w:tc>
          <w:tcPr>
            <w:tcW w:w="1701" w:type="dxa"/>
            <w:vAlign w:val="center"/>
          </w:tcPr>
          <w:p w14:paraId="04E4C04E" w14:textId="77777777" w:rsidR="00304132" w:rsidRPr="00AC3044" w:rsidRDefault="00304132" w:rsidP="00CD5E09">
            <w:pPr>
              <w:rPr>
                <w:rFonts w:eastAsia="SimSun"/>
              </w:rPr>
            </w:pPr>
            <w:r w:rsidRPr="00AC3044">
              <w:rPr>
                <w:rFonts w:eastAsia="SimSun"/>
              </w:rPr>
              <w:t>-6,-5 дни</w:t>
            </w:r>
          </w:p>
        </w:tc>
        <w:tc>
          <w:tcPr>
            <w:tcW w:w="2268" w:type="dxa"/>
            <w:vAlign w:val="center"/>
          </w:tcPr>
          <w:p w14:paraId="56B23678" w14:textId="77777777" w:rsidR="00304132" w:rsidRPr="00AC3044" w:rsidRDefault="00304132" w:rsidP="00CD5E09">
            <w:pPr>
              <w:rPr>
                <w:rFonts w:eastAsia="SimSun"/>
              </w:rPr>
            </w:pPr>
            <w:r w:rsidRPr="00AC3044">
              <w:rPr>
                <w:rFonts w:eastAsia="SimSun"/>
              </w:rPr>
              <w:t>В/в, в течение 2 ч</w:t>
            </w:r>
          </w:p>
        </w:tc>
      </w:tr>
      <w:tr w:rsidR="00304132" w:rsidRPr="00AC3044" w14:paraId="1E972544" w14:textId="77777777" w:rsidTr="00CD5E09">
        <w:trPr>
          <w:cantSplit/>
          <w:trHeight w:val="20"/>
        </w:trPr>
        <w:tc>
          <w:tcPr>
            <w:tcW w:w="993" w:type="dxa"/>
            <w:vMerge w:val="restart"/>
            <w:textDirection w:val="btLr"/>
          </w:tcPr>
          <w:p w14:paraId="76D039F5" w14:textId="77777777" w:rsidR="00304132" w:rsidRPr="00AC3044" w:rsidRDefault="00304132" w:rsidP="00CD5E09">
            <w:pPr>
              <w:rPr>
                <w:rFonts w:eastAsia="SimSun"/>
              </w:rPr>
            </w:pPr>
            <w:r w:rsidRPr="00AC3044">
              <w:rPr>
                <w:rFonts w:eastAsia="SimSun"/>
              </w:rPr>
              <w:t>Профилактика РТПХ</w:t>
            </w:r>
          </w:p>
        </w:tc>
        <w:tc>
          <w:tcPr>
            <w:tcW w:w="1843" w:type="dxa"/>
            <w:vAlign w:val="center"/>
          </w:tcPr>
          <w:p w14:paraId="2D4C7127" w14:textId="77777777" w:rsidR="00304132" w:rsidRPr="00AC3044" w:rsidRDefault="00304132" w:rsidP="00CD5E09">
            <w:pPr>
              <w:rPr>
                <w:rFonts w:eastAsia="SimSun"/>
              </w:rPr>
            </w:pPr>
            <w:r w:rsidRPr="00AC3044">
              <w:rPr>
                <w:rFonts w:eastAsia="SimSun"/>
              </w:rPr>
              <w:t>АТГ (лошадиный)</w:t>
            </w:r>
          </w:p>
        </w:tc>
        <w:tc>
          <w:tcPr>
            <w:tcW w:w="1417" w:type="dxa"/>
            <w:vAlign w:val="center"/>
          </w:tcPr>
          <w:p w14:paraId="689DB677" w14:textId="77777777" w:rsidR="00304132" w:rsidRPr="00AC3044" w:rsidRDefault="00304132" w:rsidP="00CD5E09">
            <w:pPr>
              <w:rPr>
                <w:rFonts w:eastAsia="SimSun"/>
              </w:rPr>
            </w:pPr>
            <w:r w:rsidRPr="00AC3044">
              <w:rPr>
                <w:rFonts w:eastAsia="SimSun"/>
              </w:rPr>
              <w:t>10-15 мг/кг</w:t>
            </w:r>
          </w:p>
        </w:tc>
        <w:tc>
          <w:tcPr>
            <w:tcW w:w="1418" w:type="dxa"/>
            <w:vAlign w:val="center"/>
          </w:tcPr>
          <w:p w14:paraId="056DD025" w14:textId="77777777" w:rsidR="00304132" w:rsidRPr="00AC3044" w:rsidRDefault="00304132" w:rsidP="00CD5E09">
            <w:pPr>
              <w:rPr>
                <w:rFonts w:eastAsia="SimSun"/>
              </w:rPr>
            </w:pPr>
            <w:r w:rsidRPr="00AC3044">
              <w:rPr>
                <w:rFonts w:eastAsia="SimSun"/>
              </w:rPr>
              <w:t>40-60 мг/кг</w:t>
            </w:r>
          </w:p>
        </w:tc>
        <w:tc>
          <w:tcPr>
            <w:tcW w:w="1701" w:type="dxa"/>
            <w:vAlign w:val="center"/>
          </w:tcPr>
          <w:p w14:paraId="60D6D7E8" w14:textId="77777777" w:rsidR="00304132" w:rsidRPr="00AC3044" w:rsidRDefault="00304132" w:rsidP="00CD5E09">
            <w:pPr>
              <w:rPr>
                <w:rFonts w:eastAsia="SimSun"/>
              </w:rPr>
            </w:pPr>
            <w:r w:rsidRPr="00AC3044">
              <w:rPr>
                <w:rFonts w:eastAsia="SimSun"/>
              </w:rPr>
              <w:t>С –4 по –1 день</w:t>
            </w:r>
          </w:p>
        </w:tc>
        <w:tc>
          <w:tcPr>
            <w:tcW w:w="2268" w:type="dxa"/>
            <w:vAlign w:val="center"/>
          </w:tcPr>
          <w:p w14:paraId="2D25CF86" w14:textId="77777777" w:rsidR="00304132" w:rsidRPr="00AC3044" w:rsidRDefault="00304132" w:rsidP="00CD5E09">
            <w:pPr>
              <w:rPr>
                <w:rFonts w:eastAsia="SimSun"/>
              </w:rPr>
            </w:pPr>
            <w:r w:rsidRPr="00AC3044">
              <w:rPr>
                <w:rFonts w:eastAsia="SimSun"/>
              </w:rPr>
              <w:t>В/в, в течение 6 ч. Суточная доза разделяется</w:t>
            </w:r>
            <w:r w:rsidRPr="00AC3044" w:rsidDel="00130EA4">
              <w:rPr>
                <w:rFonts w:eastAsia="SimSun"/>
              </w:rPr>
              <w:t xml:space="preserve"> </w:t>
            </w:r>
            <w:r w:rsidRPr="00AC3044">
              <w:rPr>
                <w:rFonts w:eastAsia="SimSun"/>
              </w:rPr>
              <w:t>на 2 введения (см.</w:t>
            </w:r>
            <w:r>
              <w:rPr>
                <w:rFonts w:eastAsia="SimSun"/>
              </w:rPr>
              <w:t xml:space="preserve"> </w:t>
            </w:r>
            <w:r w:rsidRPr="00AC3044">
              <w:rPr>
                <w:rFonts w:eastAsia="SimSun"/>
              </w:rPr>
              <w:t xml:space="preserve"> «Инфузия АТГ») </w:t>
            </w:r>
          </w:p>
        </w:tc>
      </w:tr>
      <w:tr w:rsidR="00304132" w:rsidRPr="00AC3044" w14:paraId="3BB036C5" w14:textId="77777777" w:rsidTr="00CD5E09">
        <w:trPr>
          <w:cantSplit/>
          <w:trHeight w:val="20"/>
        </w:trPr>
        <w:tc>
          <w:tcPr>
            <w:tcW w:w="993" w:type="dxa"/>
            <w:vMerge/>
            <w:textDirection w:val="btLr"/>
          </w:tcPr>
          <w:p w14:paraId="277D7686" w14:textId="77777777" w:rsidR="00304132" w:rsidRPr="00AC3044" w:rsidRDefault="00304132" w:rsidP="00CD5E09">
            <w:pPr>
              <w:rPr>
                <w:rFonts w:eastAsia="SimSun"/>
              </w:rPr>
            </w:pPr>
          </w:p>
        </w:tc>
        <w:tc>
          <w:tcPr>
            <w:tcW w:w="1843" w:type="dxa"/>
            <w:vAlign w:val="center"/>
          </w:tcPr>
          <w:p w14:paraId="1338BDD6" w14:textId="77777777" w:rsidR="00304132" w:rsidRPr="00AC3044" w:rsidRDefault="00304132" w:rsidP="00CD5E09">
            <w:pPr>
              <w:rPr>
                <w:rFonts w:eastAsia="SimSun"/>
              </w:rPr>
            </w:pPr>
            <w:r w:rsidRPr="00AC3044">
              <w:rPr>
                <w:rFonts w:eastAsia="SimSun"/>
              </w:rPr>
              <w:t>Циклоспорин</w:t>
            </w:r>
          </w:p>
        </w:tc>
        <w:tc>
          <w:tcPr>
            <w:tcW w:w="1417" w:type="dxa"/>
            <w:vAlign w:val="center"/>
          </w:tcPr>
          <w:p w14:paraId="02D77557" w14:textId="77777777" w:rsidR="00304132" w:rsidRPr="00AC3044" w:rsidRDefault="00304132" w:rsidP="00CD5E09">
            <w:pPr>
              <w:rPr>
                <w:rFonts w:eastAsia="SimSun"/>
              </w:rPr>
            </w:pPr>
            <w:r w:rsidRPr="00AC3044">
              <w:rPr>
                <w:rFonts w:eastAsia="SimSun"/>
              </w:rPr>
              <w:t>3 мг/кг</w:t>
            </w:r>
          </w:p>
        </w:tc>
        <w:tc>
          <w:tcPr>
            <w:tcW w:w="1418" w:type="dxa"/>
            <w:vAlign w:val="center"/>
          </w:tcPr>
          <w:p w14:paraId="1EBD3FBB" w14:textId="77777777" w:rsidR="00304132" w:rsidRPr="00AC3044" w:rsidRDefault="00304132" w:rsidP="00CD5E09">
            <w:pPr>
              <w:rPr>
                <w:rFonts w:eastAsia="SimSun"/>
              </w:rPr>
            </w:pPr>
            <w:r w:rsidRPr="00AC3044">
              <w:rPr>
                <w:rFonts w:eastAsia="SimSun"/>
              </w:rPr>
              <w:t>–</w:t>
            </w:r>
          </w:p>
        </w:tc>
        <w:tc>
          <w:tcPr>
            <w:tcW w:w="1701" w:type="dxa"/>
            <w:vAlign w:val="center"/>
          </w:tcPr>
          <w:p w14:paraId="5D42BA75" w14:textId="77777777" w:rsidR="00304132" w:rsidRPr="00AC3044" w:rsidRDefault="00304132" w:rsidP="00CD5E09">
            <w:pPr>
              <w:rPr>
                <w:rFonts w:eastAsia="SimSun"/>
              </w:rPr>
            </w:pPr>
            <w:r w:rsidRPr="00AC3044">
              <w:rPr>
                <w:rFonts w:eastAsia="SimSun"/>
              </w:rPr>
              <w:t>С –1 дня по +90 день, затем постепенное снижение к +180 дню</w:t>
            </w:r>
          </w:p>
        </w:tc>
        <w:tc>
          <w:tcPr>
            <w:tcW w:w="2268" w:type="dxa"/>
            <w:vAlign w:val="center"/>
          </w:tcPr>
          <w:p w14:paraId="63F7FCF5" w14:textId="77777777" w:rsidR="00304132" w:rsidRPr="00AC3044" w:rsidRDefault="00304132" w:rsidP="00CD5E09">
            <w:pPr>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 xml:space="preserve">х </w:t>
            </w:r>
            <w:r w:rsidRPr="00AC3044">
              <w:rPr>
                <w:rFonts w:eastAsia="SimSun"/>
              </w:rPr>
              <w:t>10</w:t>
            </w:r>
            <w:r w:rsidRPr="000C005F">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150-350 нг/мл  </w:t>
            </w:r>
          </w:p>
        </w:tc>
      </w:tr>
      <w:tr w:rsidR="00304132" w:rsidRPr="00AC3044" w14:paraId="6C7854EB" w14:textId="77777777" w:rsidTr="00CD5E09">
        <w:trPr>
          <w:cantSplit/>
          <w:trHeight w:val="20"/>
        </w:trPr>
        <w:tc>
          <w:tcPr>
            <w:tcW w:w="993" w:type="dxa"/>
            <w:vMerge/>
          </w:tcPr>
          <w:p w14:paraId="7231EF64" w14:textId="77777777" w:rsidR="00304132" w:rsidRPr="00AC3044" w:rsidRDefault="00304132" w:rsidP="00CD5E09">
            <w:pPr>
              <w:rPr>
                <w:rFonts w:eastAsia="SimSun"/>
              </w:rPr>
            </w:pPr>
          </w:p>
        </w:tc>
        <w:tc>
          <w:tcPr>
            <w:tcW w:w="1843" w:type="dxa"/>
            <w:vMerge w:val="restart"/>
            <w:vAlign w:val="center"/>
          </w:tcPr>
          <w:p w14:paraId="00B9C8A4" w14:textId="77777777" w:rsidR="00304132" w:rsidRPr="00AC3044" w:rsidRDefault="00304132" w:rsidP="00CD5E09">
            <w:pPr>
              <w:rPr>
                <w:rFonts w:eastAsia="SimSun"/>
              </w:rPr>
            </w:pPr>
            <w:r w:rsidRPr="00AC3044">
              <w:rPr>
                <w:rFonts w:eastAsia="SimSun"/>
              </w:rPr>
              <w:t>Метотрексат</w:t>
            </w:r>
          </w:p>
        </w:tc>
        <w:tc>
          <w:tcPr>
            <w:tcW w:w="1417" w:type="dxa"/>
            <w:vAlign w:val="center"/>
          </w:tcPr>
          <w:p w14:paraId="7252F20C" w14:textId="77777777" w:rsidR="00304132" w:rsidRPr="00AC3044" w:rsidRDefault="00304132" w:rsidP="00CD5E09">
            <w:pPr>
              <w:rPr>
                <w:rFonts w:eastAsia="SimSun"/>
              </w:rPr>
            </w:pPr>
            <w:r w:rsidRPr="00AC3044">
              <w:rPr>
                <w:rFonts w:eastAsia="SimSun"/>
              </w:rPr>
              <w:t>15 мг/м</w:t>
            </w:r>
            <w:r w:rsidRPr="000C005F">
              <w:rPr>
                <w:rFonts w:eastAsia="SimSun"/>
                <w:vertAlign w:val="superscript"/>
              </w:rPr>
              <w:t>2</w:t>
            </w:r>
          </w:p>
        </w:tc>
        <w:tc>
          <w:tcPr>
            <w:tcW w:w="1418" w:type="dxa"/>
            <w:vAlign w:val="center"/>
          </w:tcPr>
          <w:p w14:paraId="731CB895" w14:textId="77777777" w:rsidR="00304132" w:rsidRPr="00AC3044" w:rsidRDefault="00304132" w:rsidP="00CD5E09">
            <w:pPr>
              <w:rPr>
                <w:rFonts w:eastAsia="SimSun"/>
              </w:rPr>
            </w:pPr>
            <w:r w:rsidRPr="00AC3044">
              <w:rPr>
                <w:rFonts w:eastAsia="SimSun"/>
              </w:rPr>
              <w:t>–</w:t>
            </w:r>
          </w:p>
        </w:tc>
        <w:tc>
          <w:tcPr>
            <w:tcW w:w="1701" w:type="dxa"/>
            <w:vAlign w:val="center"/>
          </w:tcPr>
          <w:p w14:paraId="2FE22C08" w14:textId="77777777" w:rsidR="00304132" w:rsidRPr="00AC3044" w:rsidRDefault="00304132" w:rsidP="00CD5E09">
            <w:pPr>
              <w:rPr>
                <w:rFonts w:eastAsia="SimSun"/>
              </w:rPr>
            </w:pPr>
            <w:r w:rsidRPr="00AC3044">
              <w:rPr>
                <w:rFonts w:eastAsia="SimSun"/>
              </w:rPr>
              <w:t>+1 день</w:t>
            </w:r>
          </w:p>
        </w:tc>
        <w:tc>
          <w:tcPr>
            <w:tcW w:w="2268" w:type="dxa"/>
            <w:vAlign w:val="center"/>
          </w:tcPr>
          <w:p w14:paraId="12C00B25" w14:textId="77777777" w:rsidR="00304132" w:rsidRPr="00AC3044" w:rsidRDefault="00304132" w:rsidP="00CD5E09">
            <w:pPr>
              <w:rPr>
                <w:rFonts w:eastAsia="SimSun"/>
              </w:rPr>
            </w:pPr>
            <w:r w:rsidRPr="00AC3044">
              <w:rPr>
                <w:rFonts w:eastAsia="SimSun"/>
              </w:rPr>
              <w:t xml:space="preserve">В/в, в 20 мл физ. р-ра </w:t>
            </w:r>
          </w:p>
        </w:tc>
      </w:tr>
      <w:tr w:rsidR="00304132" w:rsidRPr="00AC3044" w14:paraId="3F9B68FC" w14:textId="77777777" w:rsidTr="00CD5E09">
        <w:trPr>
          <w:cantSplit/>
          <w:trHeight w:val="464"/>
        </w:trPr>
        <w:tc>
          <w:tcPr>
            <w:tcW w:w="993" w:type="dxa"/>
            <w:vMerge/>
          </w:tcPr>
          <w:p w14:paraId="5F5EAA57" w14:textId="77777777" w:rsidR="00304132" w:rsidRPr="00AC3044" w:rsidRDefault="00304132" w:rsidP="00CD5E09">
            <w:pPr>
              <w:rPr>
                <w:rFonts w:eastAsia="SimSun"/>
              </w:rPr>
            </w:pPr>
          </w:p>
        </w:tc>
        <w:tc>
          <w:tcPr>
            <w:tcW w:w="1843" w:type="dxa"/>
            <w:vMerge/>
            <w:vAlign w:val="center"/>
          </w:tcPr>
          <w:p w14:paraId="4DB9A5E5" w14:textId="77777777" w:rsidR="00304132" w:rsidRPr="00AC3044" w:rsidRDefault="00304132" w:rsidP="00CD5E09">
            <w:pPr>
              <w:rPr>
                <w:rFonts w:eastAsia="SimSun"/>
              </w:rPr>
            </w:pPr>
          </w:p>
        </w:tc>
        <w:tc>
          <w:tcPr>
            <w:tcW w:w="1417" w:type="dxa"/>
            <w:vAlign w:val="center"/>
          </w:tcPr>
          <w:p w14:paraId="661E174F" w14:textId="77777777" w:rsidR="00304132" w:rsidRPr="00AC3044" w:rsidRDefault="00304132" w:rsidP="00CD5E09">
            <w:pPr>
              <w:rPr>
                <w:rFonts w:eastAsia="SimSun"/>
              </w:rPr>
            </w:pPr>
            <w:r w:rsidRPr="00AC3044">
              <w:rPr>
                <w:rFonts w:eastAsia="SimSun"/>
              </w:rPr>
              <w:t>10 мг/м</w:t>
            </w:r>
            <w:r w:rsidRPr="000C005F">
              <w:rPr>
                <w:rFonts w:eastAsia="SimSun"/>
                <w:vertAlign w:val="superscript"/>
              </w:rPr>
              <w:t>2</w:t>
            </w:r>
          </w:p>
        </w:tc>
        <w:tc>
          <w:tcPr>
            <w:tcW w:w="1418" w:type="dxa"/>
            <w:vAlign w:val="center"/>
          </w:tcPr>
          <w:p w14:paraId="2B7118BA" w14:textId="77777777" w:rsidR="00304132" w:rsidRPr="00AC3044" w:rsidRDefault="00304132" w:rsidP="00CD5E09">
            <w:pPr>
              <w:rPr>
                <w:rFonts w:eastAsia="SimSun"/>
              </w:rPr>
            </w:pPr>
            <w:r w:rsidRPr="00AC3044">
              <w:rPr>
                <w:rFonts w:eastAsia="SimSun"/>
              </w:rPr>
              <w:t>–</w:t>
            </w:r>
          </w:p>
        </w:tc>
        <w:tc>
          <w:tcPr>
            <w:tcW w:w="1701" w:type="dxa"/>
            <w:vAlign w:val="center"/>
          </w:tcPr>
          <w:p w14:paraId="2CCE680B" w14:textId="77777777" w:rsidR="00304132" w:rsidRPr="00AC3044" w:rsidRDefault="00304132" w:rsidP="00CD5E09">
            <w:pPr>
              <w:rPr>
                <w:rFonts w:eastAsia="SimSun"/>
              </w:rPr>
            </w:pPr>
            <w:r w:rsidRPr="00AC3044">
              <w:rPr>
                <w:rFonts w:eastAsia="SimSun"/>
              </w:rPr>
              <w:t>+3, +6, +11 день</w:t>
            </w:r>
          </w:p>
        </w:tc>
        <w:tc>
          <w:tcPr>
            <w:tcW w:w="2268" w:type="dxa"/>
            <w:vAlign w:val="center"/>
          </w:tcPr>
          <w:p w14:paraId="057A4AFC" w14:textId="77777777" w:rsidR="00304132" w:rsidRPr="00AC3044" w:rsidRDefault="00304132" w:rsidP="00CD5E09">
            <w:pPr>
              <w:rPr>
                <w:rFonts w:eastAsia="SimSun"/>
              </w:rPr>
            </w:pPr>
            <w:r w:rsidRPr="00AC3044">
              <w:rPr>
                <w:rFonts w:eastAsia="SimSun"/>
              </w:rPr>
              <w:t>В/в, в 20 мл физ. р-ра</w:t>
            </w:r>
          </w:p>
        </w:tc>
      </w:tr>
      <w:tr w:rsidR="00304132" w:rsidRPr="00AC3044" w14:paraId="6F323584" w14:textId="77777777" w:rsidTr="00CD5E09">
        <w:trPr>
          <w:cantSplit/>
          <w:trHeight w:val="464"/>
        </w:trPr>
        <w:tc>
          <w:tcPr>
            <w:tcW w:w="993" w:type="dxa"/>
            <w:vMerge/>
          </w:tcPr>
          <w:p w14:paraId="4817514E" w14:textId="77777777" w:rsidR="00304132" w:rsidRPr="00AC3044" w:rsidRDefault="00304132" w:rsidP="00CD5E09">
            <w:pPr>
              <w:rPr>
                <w:rFonts w:eastAsia="SimSun"/>
              </w:rPr>
            </w:pPr>
          </w:p>
        </w:tc>
        <w:tc>
          <w:tcPr>
            <w:tcW w:w="1843" w:type="dxa"/>
            <w:vMerge w:val="restart"/>
            <w:vAlign w:val="center"/>
          </w:tcPr>
          <w:p w14:paraId="4196FB4C" w14:textId="77777777" w:rsidR="00304132" w:rsidRPr="00AC3044" w:rsidRDefault="00304132" w:rsidP="00CD5E09">
            <w:pPr>
              <w:rPr>
                <w:rFonts w:eastAsia="SimSun"/>
              </w:rPr>
            </w:pPr>
            <w:r w:rsidRPr="00AC3044">
              <w:rPr>
                <w:rFonts w:eastAsia="SimSun"/>
              </w:rPr>
              <w:t>Микофенолата мофетил (только при использовании СКК)</w:t>
            </w:r>
          </w:p>
        </w:tc>
        <w:tc>
          <w:tcPr>
            <w:tcW w:w="1417" w:type="dxa"/>
            <w:vAlign w:val="center"/>
          </w:tcPr>
          <w:p w14:paraId="583363E8" w14:textId="77777777" w:rsidR="00304132" w:rsidRPr="00AC3044" w:rsidRDefault="00304132" w:rsidP="00CD5E09">
            <w:pPr>
              <w:rPr>
                <w:rFonts w:eastAsia="SimSun"/>
              </w:rPr>
            </w:pPr>
            <w:r w:rsidRPr="00AC3044">
              <w:rPr>
                <w:rFonts w:eastAsia="SimSun"/>
              </w:rPr>
              <w:t>2000 мг</w:t>
            </w:r>
          </w:p>
        </w:tc>
        <w:tc>
          <w:tcPr>
            <w:tcW w:w="1418" w:type="dxa"/>
            <w:vAlign w:val="center"/>
          </w:tcPr>
          <w:p w14:paraId="468C9831" w14:textId="77777777" w:rsidR="00304132" w:rsidRPr="00AC3044" w:rsidRDefault="00304132" w:rsidP="00CD5E09">
            <w:pPr>
              <w:rPr>
                <w:rFonts w:eastAsia="SimSun"/>
              </w:rPr>
            </w:pPr>
            <w:r w:rsidRPr="00AC3044">
              <w:rPr>
                <w:rFonts w:eastAsia="SimSun"/>
              </w:rPr>
              <w:t>–</w:t>
            </w:r>
          </w:p>
        </w:tc>
        <w:tc>
          <w:tcPr>
            <w:tcW w:w="1701" w:type="dxa"/>
            <w:vAlign w:val="center"/>
          </w:tcPr>
          <w:p w14:paraId="1AB772A2" w14:textId="77777777" w:rsidR="00304132" w:rsidRPr="00AC3044" w:rsidRDefault="00304132" w:rsidP="00CD5E09">
            <w:pPr>
              <w:rPr>
                <w:rFonts w:eastAsia="SimSun"/>
              </w:rPr>
            </w:pPr>
            <w:r w:rsidRPr="00AC3044">
              <w:rPr>
                <w:rFonts w:eastAsia="SimSun"/>
              </w:rPr>
              <w:t>С +1 по +14 день</w:t>
            </w:r>
          </w:p>
        </w:tc>
        <w:tc>
          <w:tcPr>
            <w:tcW w:w="2268" w:type="dxa"/>
            <w:vAlign w:val="center"/>
          </w:tcPr>
          <w:p w14:paraId="0AB57ABC" w14:textId="77777777" w:rsidR="00304132" w:rsidRPr="00AC3044" w:rsidRDefault="00304132" w:rsidP="00CD5E09">
            <w:pPr>
              <w:rPr>
                <w:rFonts w:eastAsia="SimSun"/>
              </w:rPr>
            </w:pPr>
            <w:r w:rsidRPr="00AC3044">
              <w:rPr>
                <w:rFonts w:eastAsia="SimSun"/>
              </w:rPr>
              <w:t>Внутрь, суммарная суточная доза разделяется на 2- 4 приема (не более 3г/сут).</w:t>
            </w:r>
          </w:p>
        </w:tc>
      </w:tr>
      <w:tr w:rsidR="00304132" w:rsidRPr="00AC3044" w14:paraId="3F1AFA2C" w14:textId="77777777" w:rsidTr="00CD5E09">
        <w:trPr>
          <w:cantSplit/>
          <w:trHeight w:val="464"/>
        </w:trPr>
        <w:tc>
          <w:tcPr>
            <w:tcW w:w="993" w:type="dxa"/>
            <w:vMerge/>
          </w:tcPr>
          <w:p w14:paraId="743C0422" w14:textId="77777777" w:rsidR="00304132" w:rsidRPr="00AC3044" w:rsidRDefault="00304132" w:rsidP="00CD5E09">
            <w:pPr>
              <w:rPr>
                <w:rFonts w:eastAsia="SimSun"/>
              </w:rPr>
            </w:pPr>
          </w:p>
        </w:tc>
        <w:tc>
          <w:tcPr>
            <w:tcW w:w="1843" w:type="dxa"/>
            <w:vMerge/>
            <w:vAlign w:val="center"/>
          </w:tcPr>
          <w:p w14:paraId="3D777DDE" w14:textId="77777777" w:rsidR="00304132" w:rsidRPr="00AC3044" w:rsidRDefault="00304132" w:rsidP="00CD5E09">
            <w:pPr>
              <w:rPr>
                <w:rFonts w:eastAsia="SimSun"/>
              </w:rPr>
            </w:pPr>
          </w:p>
        </w:tc>
        <w:tc>
          <w:tcPr>
            <w:tcW w:w="1417" w:type="dxa"/>
            <w:vAlign w:val="center"/>
          </w:tcPr>
          <w:p w14:paraId="2C248EAF" w14:textId="77777777" w:rsidR="00304132" w:rsidRPr="00AC3044" w:rsidRDefault="00304132" w:rsidP="00CD5E09">
            <w:pPr>
              <w:rPr>
                <w:rFonts w:eastAsia="SimSun"/>
              </w:rPr>
            </w:pPr>
            <w:r w:rsidRPr="00AC3044">
              <w:rPr>
                <w:rFonts w:eastAsia="SimSun"/>
              </w:rPr>
              <w:t>1000 мг</w:t>
            </w:r>
          </w:p>
        </w:tc>
        <w:tc>
          <w:tcPr>
            <w:tcW w:w="1418" w:type="dxa"/>
            <w:vAlign w:val="center"/>
          </w:tcPr>
          <w:p w14:paraId="11828BAB" w14:textId="77777777" w:rsidR="00304132" w:rsidRPr="00AC3044" w:rsidRDefault="00304132" w:rsidP="00CD5E09">
            <w:pPr>
              <w:rPr>
                <w:rFonts w:eastAsia="SimSun"/>
              </w:rPr>
            </w:pPr>
            <w:r w:rsidRPr="00AC3044">
              <w:rPr>
                <w:rFonts w:eastAsia="SimSun"/>
              </w:rPr>
              <w:t>–</w:t>
            </w:r>
          </w:p>
        </w:tc>
        <w:tc>
          <w:tcPr>
            <w:tcW w:w="1701" w:type="dxa"/>
            <w:vAlign w:val="center"/>
          </w:tcPr>
          <w:p w14:paraId="5834EC85" w14:textId="77777777" w:rsidR="00304132" w:rsidRPr="00AC3044" w:rsidRDefault="00304132" w:rsidP="00CD5E09">
            <w:pPr>
              <w:rPr>
                <w:rFonts w:eastAsia="SimSun"/>
              </w:rPr>
            </w:pPr>
            <w:r w:rsidRPr="00AC3044">
              <w:rPr>
                <w:rFonts w:eastAsia="SimSun"/>
              </w:rPr>
              <w:t>С +15 по +90 день</w:t>
            </w:r>
          </w:p>
        </w:tc>
        <w:tc>
          <w:tcPr>
            <w:tcW w:w="2268" w:type="dxa"/>
            <w:vAlign w:val="center"/>
          </w:tcPr>
          <w:p w14:paraId="01629C83" w14:textId="77777777" w:rsidR="00304132" w:rsidRPr="00AC3044" w:rsidRDefault="00304132" w:rsidP="00CD5E09">
            <w:pPr>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г/сут).</w:t>
            </w:r>
          </w:p>
        </w:tc>
      </w:tr>
    </w:tbl>
    <w:p w14:paraId="08FC46C0" w14:textId="77777777" w:rsidR="00304132" w:rsidRDefault="00304132" w:rsidP="00304132">
      <w:pPr>
        <w:rPr>
          <w:rFonts w:eastAsia="SimSun"/>
        </w:rPr>
      </w:pPr>
      <w:bookmarkStart w:id="305" w:name="_Toc44401160"/>
    </w:p>
    <w:p w14:paraId="5132EDBE" w14:textId="77777777" w:rsidR="00304132" w:rsidRPr="00C07B2E" w:rsidRDefault="00304132" w:rsidP="00304132">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1.2.2  – Flu150+Bu8+Thio / rATG+CSA+MTX+MMF30</w:t>
      </w:r>
      <w:bookmarkEnd w:id="305"/>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843"/>
        <w:gridCol w:w="1417"/>
        <w:gridCol w:w="1418"/>
        <w:gridCol w:w="1701"/>
        <w:gridCol w:w="2268"/>
      </w:tblGrid>
      <w:tr w:rsidR="00304132" w:rsidRPr="00AC3044" w14:paraId="21CBCF7A" w14:textId="77777777" w:rsidTr="00CD5E09">
        <w:trPr>
          <w:cantSplit/>
          <w:trHeight w:val="20"/>
          <w:tblHeader/>
        </w:trPr>
        <w:tc>
          <w:tcPr>
            <w:tcW w:w="993" w:type="dxa"/>
          </w:tcPr>
          <w:p w14:paraId="29D7827E" w14:textId="77777777" w:rsidR="00304132" w:rsidRPr="00470D3D" w:rsidRDefault="00304132" w:rsidP="00CD5E09">
            <w:pPr>
              <w:rPr>
                <w:rFonts w:eastAsia="SimSun"/>
              </w:rPr>
            </w:pPr>
          </w:p>
        </w:tc>
        <w:tc>
          <w:tcPr>
            <w:tcW w:w="1843" w:type="dxa"/>
            <w:vAlign w:val="center"/>
          </w:tcPr>
          <w:p w14:paraId="4BB5E7E6" w14:textId="77777777" w:rsidR="00304132" w:rsidRPr="00AC3044" w:rsidRDefault="00304132" w:rsidP="00CD5E09">
            <w:pPr>
              <w:rPr>
                <w:rFonts w:eastAsia="SimSun"/>
              </w:rPr>
            </w:pPr>
            <w:r w:rsidRPr="00AC3044">
              <w:rPr>
                <w:rFonts w:eastAsia="SimSun"/>
              </w:rPr>
              <w:t>Препарат</w:t>
            </w:r>
          </w:p>
        </w:tc>
        <w:tc>
          <w:tcPr>
            <w:tcW w:w="1417" w:type="dxa"/>
            <w:vAlign w:val="center"/>
          </w:tcPr>
          <w:p w14:paraId="1C8E5160" w14:textId="77777777" w:rsidR="00304132" w:rsidRPr="00AC3044" w:rsidRDefault="00304132" w:rsidP="00CD5E09">
            <w:pPr>
              <w:rPr>
                <w:rFonts w:eastAsia="SimSun"/>
              </w:rPr>
            </w:pPr>
            <w:r w:rsidRPr="00AC3044">
              <w:rPr>
                <w:rFonts w:eastAsia="SimSun"/>
              </w:rPr>
              <w:t>Суточная доза</w:t>
            </w:r>
          </w:p>
        </w:tc>
        <w:tc>
          <w:tcPr>
            <w:tcW w:w="1418" w:type="dxa"/>
            <w:vAlign w:val="center"/>
          </w:tcPr>
          <w:p w14:paraId="1AD49C28" w14:textId="77777777" w:rsidR="00304132" w:rsidRPr="00AC3044" w:rsidRDefault="00304132" w:rsidP="00CD5E09">
            <w:pPr>
              <w:rPr>
                <w:rFonts w:eastAsia="SimSun"/>
              </w:rPr>
            </w:pPr>
            <w:r w:rsidRPr="00AC3044">
              <w:rPr>
                <w:rFonts w:eastAsia="SimSun"/>
              </w:rPr>
              <w:t>Курсовая доза</w:t>
            </w:r>
          </w:p>
        </w:tc>
        <w:tc>
          <w:tcPr>
            <w:tcW w:w="1701" w:type="dxa"/>
            <w:vAlign w:val="center"/>
          </w:tcPr>
          <w:p w14:paraId="69775A8F" w14:textId="77777777" w:rsidR="00304132" w:rsidRPr="00AC3044" w:rsidRDefault="00304132" w:rsidP="00CD5E09">
            <w:pPr>
              <w:rPr>
                <w:rFonts w:eastAsia="SimSun"/>
              </w:rPr>
            </w:pPr>
            <w:r w:rsidRPr="00AC3044">
              <w:rPr>
                <w:rFonts w:eastAsia="SimSun"/>
              </w:rPr>
              <w:t>Дни введения</w:t>
            </w:r>
          </w:p>
        </w:tc>
        <w:tc>
          <w:tcPr>
            <w:tcW w:w="2268" w:type="dxa"/>
            <w:vAlign w:val="center"/>
          </w:tcPr>
          <w:p w14:paraId="22DA0A59" w14:textId="77777777" w:rsidR="00304132" w:rsidRPr="00AC3044" w:rsidRDefault="00304132" w:rsidP="00CD5E09">
            <w:pPr>
              <w:rPr>
                <w:rFonts w:eastAsia="SimSun"/>
              </w:rPr>
            </w:pPr>
            <w:r w:rsidRPr="00AC3044">
              <w:rPr>
                <w:rFonts w:eastAsia="SimSun"/>
              </w:rPr>
              <w:t>Порядок введения</w:t>
            </w:r>
          </w:p>
        </w:tc>
      </w:tr>
      <w:tr w:rsidR="00304132" w:rsidRPr="00AC3044" w14:paraId="57C0AA37" w14:textId="77777777" w:rsidTr="00CD5E09">
        <w:trPr>
          <w:cantSplit/>
          <w:trHeight w:val="20"/>
        </w:trPr>
        <w:tc>
          <w:tcPr>
            <w:tcW w:w="993" w:type="dxa"/>
            <w:vMerge w:val="restart"/>
            <w:textDirection w:val="btLr"/>
            <w:vAlign w:val="center"/>
          </w:tcPr>
          <w:p w14:paraId="22E33850" w14:textId="77777777" w:rsidR="00304132" w:rsidRPr="00AC3044" w:rsidRDefault="00304132" w:rsidP="00CD5E09">
            <w:pPr>
              <w:rPr>
                <w:rFonts w:eastAsia="SimSun"/>
              </w:rPr>
            </w:pPr>
            <w:r w:rsidRPr="00AC3044">
              <w:rPr>
                <w:rFonts w:eastAsia="SimSun"/>
              </w:rPr>
              <w:t>Кондиционирование</w:t>
            </w:r>
          </w:p>
        </w:tc>
        <w:tc>
          <w:tcPr>
            <w:tcW w:w="1843" w:type="dxa"/>
            <w:vAlign w:val="center"/>
          </w:tcPr>
          <w:p w14:paraId="01F4295C" w14:textId="77777777" w:rsidR="00304132" w:rsidRPr="00AC3044" w:rsidRDefault="00304132" w:rsidP="00CD5E09">
            <w:pPr>
              <w:rPr>
                <w:rFonts w:eastAsia="SimSun"/>
              </w:rPr>
            </w:pPr>
            <w:r w:rsidRPr="00AC3044">
              <w:rPr>
                <w:rFonts w:eastAsia="SimSun"/>
              </w:rPr>
              <w:t xml:space="preserve">Флударабин </w:t>
            </w:r>
          </w:p>
        </w:tc>
        <w:tc>
          <w:tcPr>
            <w:tcW w:w="1417" w:type="dxa"/>
            <w:vAlign w:val="center"/>
          </w:tcPr>
          <w:p w14:paraId="0EE36F2A" w14:textId="77777777" w:rsidR="00304132" w:rsidRPr="00AC3044" w:rsidRDefault="00304132" w:rsidP="00CD5E09">
            <w:pPr>
              <w:rPr>
                <w:rFonts w:eastAsia="SimSun"/>
              </w:rPr>
            </w:pPr>
            <w:r w:rsidRPr="00AC3044">
              <w:rPr>
                <w:rFonts w:eastAsia="SimSun"/>
              </w:rPr>
              <w:t>50 мг/м</w:t>
            </w:r>
            <w:r w:rsidRPr="000C005F">
              <w:rPr>
                <w:rFonts w:eastAsia="SimSun"/>
                <w:vertAlign w:val="superscript"/>
              </w:rPr>
              <w:t>2</w:t>
            </w:r>
          </w:p>
        </w:tc>
        <w:tc>
          <w:tcPr>
            <w:tcW w:w="1418" w:type="dxa"/>
            <w:vAlign w:val="center"/>
          </w:tcPr>
          <w:p w14:paraId="462C4F57" w14:textId="77777777" w:rsidR="00304132" w:rsidRPr="00AC3044" w:rsidRDefault="00304132" w:rsidP="00CD5E09">
            <w:pPr>
              <w:rPr>
                <w:rFonts w:eastAsia="SimSun"/>
              </w:rPr>
            </w:pPr>
            <w:r w:rsidRPr="00AC3044">
              <w:rPr>
                <w:rFonts w:eastAsia="SimSun"/>
              </w:rPr>
              <w:t>150 мг/м</w:t>
            </w:r>
            <w:r w:rsidRPr="000C005F">
              <w:rPr>
                <w:rFonts w:eastAsia="SimSun"/>
                <w:vertAlign w:val="superscript"/>
              </w:rPr>
              <w:t>2</w:t>
            </w:r>
          </w:p>
        </w:tc>
        <w:tc>
          <w:tcPr>
            <w:tcW w:w="1701" w:type="dxa"/>
            <w:vAlign w:val="center"/>
          </w:tcPr>
          <w:p w14:paraId="2CEC861D" w14:textId="77777777" w:rsidR="00304132" w:rsidRPr="00AC3044" w:rsidRDefault="00304132" w:rsidP="00CD5E09">
            <w:pPr>
              <w:rPr>
                <w:rFonts w:eastAsia="SimSun"/>
              </w:rPr>
            </w:pPr>
            <w:r w:rsidRPr="00AC3044">
              <w:rPr>
                <w:rFonts w:eastAsia="SimSun"/>
              </w:rPr>
              <w:t>С –4 по –2 день</w:t>
            </w:r>
          </w:p>
        </w:tc>
        <w:tc>
          <w:tcPr>
            <w:tcW w:w="2268" w:type="dxa"/>
            <w:vAlign w:val="center"/>
          </w:tcPr>
          <w:p w14:paraId="08E1C148" w14:textId="77777777" w:rsidR="00304132" w:rsidRPr="00AC3044" w:rsidRDefault="00304132" w:rsidP="00CD5E09">
            <w:pPr>
              <w:rPr>
                <w:rFonts w:eastAsia="SimSun"/>
              </w:rPr>
            </w:pPr>
            <w:r w:rsidRPr="00AC3044">
              <w:rPr>
                <w:rFonts w:eastAsia="SimSun"/>
              </w:rPr>
              <w:t>В/в, в течение 30 -60 мин</w:t>
            </w:r>
          </w:p>
        </w:tc>
      </w:tr>
      <w:tr w:rsidR="00304132" w:rsidRPr="00AC3044" w14:paraId="3C371A71" w14:textId="77777777" w:rsidTr="00CD5E09">
        <w:trPr>
          <w:cantSplit/>
          <w:trHeight w:val="687"/>
        </w:trPr>
        <w:tc>
          <w:tcPr>
            <w:tcW w:w="993" w:type="dxa"/>
            <w:vMerge/>
            <w:textDirection w:val="btLr"/>
            <w:vAlign w:val="center"/>
          </w:tcPr>
          <w:p w14:paraId="154EEFA0" w14:textId="77777777" w:rsidR="00304132" w:rsidRPr="00AC3044" w:rsidRDefault="00304132" w:rsidP="00CD5E09">
            <w:pPr>
              <w:rPr>
                <w:rFonts w:eastAsia="SimSun"/>
              </w:rPr>
            </w:pPr>
          </w:p>
        </w:tc>
        <w:tc>
          <w:tcPr>
            <w:tcW w:w="1843" w:type="dxa"/>
            <w:vAlign w:val="center"/>
          </w:tcPr>
          <w:p w14:paraId="104B9955" w14:textId="77777777" w:rsidR="00304132" w:rsidRPr="00AC3044" w:rsidRDefault="00304132" w:rsidP="00CD5E09">
            <w:pPr>
              <w:rPr>
                <w:rFonts w:eastAsia="SimSun"/>
              </w:rPr>
            </w:pPr>
            <w:r w:rsidRPr="00AC3044">
              <w:rPr>
                <w:rFonts w:eastAsia="SimSun"/>
              </w:rPr>
              <w:t>Бусульфан</w:t>
            </w:r>
          </w:p>
        </w:tc>
        <w:tc>
          <w:tcPr>
            <w:tcW w:w="1417" w:type="dxa"/>
            <w:vAlign w:val="center"/>
          </w:tcPr>
          <w:p w14:paraId="3F45FAF1" w14:textId="77777777" w:rsidR="00304132" w:rsidRPr="00AC3044" w:rsidRDefault="00304132" w:rsidP="00CD5E09">
            <w:pPr>
              <w:rPr>
                <w:rFonts w:eastAsia="SimSun"/>
              </w:rPr>
            </w:pPr>
            <w:r w:rsidRPr="00AC3044">
              <w:rPr>
                <w:rFonts w:eastAsia="SimSun"/>
              </w:rPr>
              <w:t>4 мг/кг</w:t>
            </w:r>
          </w:p>
        </w:tc>
        <w:tc>
          <w:tcPr>
            <w:tcW w:w="1418" w:type="dxa"/>
            <w:vAlign w:val="center"/>
          </w:tcPr>
          <w:p w14:paraId="7AB8B7B4" w14:textId="77777777" w:rsidR="00304132" w:rsidRPr="00AC3044" w:rsidRDefault="00304132" w:rsidP="00CD5E09">
            <w:pPr>
              <w:rPr>
                <w:rFonts w:eastAsia="SimSun"/>
              </w:rPr>
            </w:pPr>
            <w:r w:rsidRPr="00AC3044">
              <w:rPr>
                <w:rFonts w:eastAsia="SimSun"/>
              </w:rPr>
              <w:t>8 мг/кг</w:t>
            </w:r>
          </w:p>
        </w:tc>
        <w:tc>
          <w:tcPr>
            <w:tcW w:w="1701" w:type="dxa"/>
            <w:vAlign w:val="center"/>
          </w:tcPr>
          <w:p w14:paraId="1B6C7186" w14:textId="77777777" w:rsidR="00304132" w:rsidRPr="00AC3044" w:rsidRDefault="00304132" w:rsidP="00CD5E09">
            <w:pPr>
              <w:rPr>
                <w:rFonts w:eastAsia="SimSun"/>
              </w:rPr>
            </w:pPr>
            <w:r w:rsidRPr="00AC3044">
              <w:rPr>
                <w:rFonts w:eastAsia="SimSun"/>
              </w:rPr>
              <w:t>–3, –2 дни</w:t>
            </w:r>
          </w:p>
        </w:tc>
        <w:tc>
          <w:tcPr>
            <w:tcW w:w="2268" w:type="dxa"/>
            <w:vAlign w:val="center"/>
          </w:tcPr>
          <w:p w14:paraId="2A4BE258" w14:textId="77777777" w:rsidR="00304132" w:rsidRPr="00AC3044" w:rsidRDefault="00304132" w:rsidP="00CD5E09">
            <w:pPr>
              <w:rPr>
                <w:rFonts w:eastAsia="SimSun"/>
              </w:rPr>
            </w:pPr>
            <w:r w:rsidRPr="00AC3044">
              <w:rPr>
                <w:rFonts w:eastAsia="SimSun"/>
              </w:rPr>
              <w:t>Внутрь, суммарная суточная доза разделяется на 4 приема</w:t>
            </w:r>
          </w:p>
        </w:tc>
      </w:tr>
      <w:tr w:rsidR="00304132" w:rsidRPr="00AC3044" w14:paraId="365B8F00" w14:textId="77777777" w:rsidTr="00CD5E09">
        <w:trPr>
          <w:cantSplit/>
          <w:trHeight w:val="697"/>
        </w:trPr>
        <w:tc>
          <w:tcPr>
            <w:tcW w:w="993" w:type="dxa"/>
            <w:vMerge/>
            <w:textDirection w:val="btLr"/>
            <w:vAlign w:val="center"/>
          </w:tcPr>
          <w:p w14:paraId="28FE3E0A" w14:textId="77777777" w:rsidR="00304132" w:rsidRPr="00AC3044" w:rsidRDefault="00304132" w:rsidP="00CD5E09">
            <w:pPr>
              <w:rPr>
                <w:rFonts w:eastAsia="SimSun"/>
              </w:rPr>
            </w:pPr>
          </w:p>
        </w:tc>
        <w:tc>
          <w:tcPr>
            <w:tcW w:w="1843" w:type="dxa"/>
            <w:vAlign w:val="center"/>
          </w:tcPr>
          <w:p w14:paraId="3C9EC912" w14:textId="77777777" w:rsidR="00304132" w:rsidRPr="00AC3044" w:rsidRDefault="00304132" w:rsidP="00CD5E09">
            <w:pPr>
              <w:rPr>
                <w:rFonts w:eastAsia="SimSun"/>
              </w:rPr>
            </w:pPr>
            <w:r w:rsidRPr="00AC3044">
              <w:rPr>
                <w:rFonts w:eastAsia="SimSun"/>
              </w:rPr>
              <w:t>Тиотепа</w:t>
            </w:r>
          </w:p>
        </w:tc>
        <w:tc>
          <w:tcPr>
            <w:tcW w:w="1417" w:type="dxa"/>
            <w:vAlign w:val="center"/>
          </w:tcPr>
          <w:p w14:paraId="32947D4C" w14:textId="77777777" w:rsidR="00304132" w:rsidRPr="00AC3044" w:rsidRDefault="00304132" w:rsidP="00CD5E09">
            <w:pPr>
              <w:rPr>
                <w:rFonts w:eastAsia="SimSun"/>
              </w:rPr>
            </w:pPr>
            <w:r w:rsidRPr="00AC3044">
              <w:rPr>
                <w:rFonts w:eastAsia="SimSun"/>
              </w:rPr>
              <w:t>5 мг/кг</w:t>
            </w:r>
          </w:p>
        </w:tc>
        <w:tc>
          <w:tcPr>
            <w:tcW w:w="1418" w:type="dxa"/>
            <w:vAlign w:val="center"/>
          </w:tcPr>
          <w:p w14:paraId="0597AA93" w14:textId="77777777" w:rsidR="00304132" w:rsidRPr="00AC3044" w:rsidRDefault="00304132" w:rsidP="00CD5E09">
            <w:pPr>
              <w:rPr>
                <w:rFonts w:eastAsia="SimSun"/>
              </w:rPr>
            </w:pPr>
            <w:r w:rsidRPr="00AC3044">
              <w:rPr>
                <w:rFonts w:eastAsia="SimSun"/>
              </w:rPr>
              <w:t>10 мг/кг</w:t>
            </w:r>
          </w:p>
        </w:tc>
        <w:tc>
          <w:tcPr>
            <w:tcW w:w="1701" w:type="dxa"/>
            <w:vAlign w:val="center"/>
          </w:tcPr>
          <w:p w14:paraId="26777457" w14:textId="77777777" w:rsidR="00304132" w:rsidRPr="00AC3044" w:rsidRDefault="00304132" w:rsidP="00CD5E09">
            <w:pPr>
              <w:rPr>
                <w:rFonts w:eastAsia="SimSun"/>
              </w:rPr>
            </w:pPr>
            <w:r w:rsidRPr="00AC3044">
              <w:rPr>
                <w:rFonts w:eastAsia="SimSun"/>
              </w:rPr>
              <w:t>-6,-5 дни</w:t>
            </w:r>
          </w:p>
        </w:tc>
        <w:tc>
          <w:tcPr>
            <w:tcW w:w="2268" w:type="dxa"/>
            <w:vAlign w:val="center"/>
          </w:tcPr>
          <w:p w14:paraId="4FB6E427" w14:textId="77777777" w:rsidR="00304132" w:rsidRPr="00AC3044" w:rsidRDefault="00304132" w:rsidP="00CD5E09">
            <w:pPr>
              <w:rPr>
                <w:rFonts w:eastAsia="SimSun"/>
              </w:rPr>
            </w:pPr>
            <w:r w:rsidRPr="00AC3044">
              <w:rPr>
                <w:rFonts w:eastAsia="SimSun"/>
              </w:rPr>
              <w:t>В/в, в течение 2 ч</w:t>
            </w:r>
          </w:p>
        </w:tc>
      </w:tr>
      <w:tr w:rsidR="00304132" w:rsidRPr="00AC3044" w14:paraId="16C6AFB7" w14:textId="77777777" w:rsidTr="00CD5E09">
        <w:trPr>
          <w:cantSplit/>
          <w:trHeight w:val="20"/>
        </w:trPr>
        <w:tc>
          <w:tcPr>
            <w:tcW w:w="993" w:type="dxa"/>
            <w:vMerge w:val="restart"/>
            <w:textDirection w:val="btLr"/>
            <w:vAlign w:val="center"/>
          </w:tcPr>
          <w:p w14:paraId="7189BCE0" w14:textId="77777777" w:rsidR="00304132" w:rsidRPr="00AC3044" w:rsidRDefault="00304132" w:rsidP="00CD5E09">
            <w:pPr>
              <w:rPr>
                <w:rFonts w:eastAsia="SimSun"/>
              </w:rPr>
            </w:pPr>
            <w:r w:rsidRPr="00AC3044">
              <w:rPr>
                <w:rFonts w:eastAsia="SimSun"/>
              </w:rPr>
              <w:t>Профилактика РТПХ</w:t>
            </w:r>
          </w:p>
        </w:tc>
        <w:tc>
          <w:tcPr>
            <w:tcW w:w="1843" w:type="dxa"/>
            <w:vAlign w:val="center"/>
          </w:tcPr>
          <w:p w14:paraId="4C1FE153" w14:textId="77777777" w:rsidR="00304132" w:rsidRPr="00AC3044" w:rsidRDefault="00304132" w:rsidP="00CD5E09">
            <w:pPr>
              <w:rPr>
                <w:rFonts w:eastAsia="SimSun"/>
              </w:rPr>
            </w:pPr>
            <w:r w:rsidRPr="00AC3044">
              <w:rPr>
                <w:rFonts w:eastAsia="SimSun"/>
              </w:rPr>
              <w:t>АТГ (кроличий)</w:t>
            </w:r>
          </w:p>
        </w:tc>
        <w:tc>
          <w:tcPr>
            <w:tcW w:w="1417" w:type="dxa"/>
            <w:vAlign w:val="center"/>
          </w:tcPr>
          <w:p w14:paraId="7E14020B" w14:textId="77777777" w:rsidR="00304132" w:rsidRPr="00AC3044" w:rsidRDefault="00304132" w:rsidP="00CD5E09">
            <w:pPr>
              <w:rPr>
                <w:rFonts w:eastAsia="SimSun"/>
              </w:rPr>
            </w:pPr>
            <w:r w:rsidRPr="00AC3044">
              <w:rPr>
                <w:rFonts w:eastAsia="SimSun"/>
              </w:rPr>
              <w:t>2,5 мг/кг</w:t>
            </w:r>
          </w:p>
        </w:tc>
        <w:tc>
          <w:tcPr>
            <w:tcW w:w="1418" w:type="dxa"/>
            <w:vAlign w:val="center"/>
          </w:tcPr>
          <w:p w14:paraId="609F587B" w14:textId="77777777" w:rsidR="00304132" w:rsidRPr="00AC3044" w:rsidRDefault="00304132" w:rsidP="00CD5E09">
            <w:pPr>
              <w:rPr>
                <w:rFonts w:eastAsia="SimSun"/>
              </w:rPr>
            </w:pPr>
            <w:r w:rsidRPr="00AC3044">
              <w:rPr>
                <w:rFonts w:eastAsia="SimSun"/>
              </w:rPr>
              <w:t>5- 7,5 мг/кг2</w:t>
            </w:r>
          </w:p>
        </w:tc>
        <w:tc>
          <w:tcPr>
            <w:tcW w:w="1701" w:type="dxa"/>
            <w:vAlign w:val="center"/>
          </w:tcPr>
          <w:p w14:paraId="5C124385" w14:textId="77777777" w:rsidR="00304132" w:rsidRPr="00AC3044" w:rsidRDefault="00304132" w:rsidP="00CD5E09">
            <w:pPr>
              <w:rPr>
                <w:rFonts w:eastAsia="SimSun"/>
              </w:rPr>
            </w:pPr>
            <w:r w:rsidRPr="00AC3044">
              <w:rPr>
                <w:rFonts w:eastAsia="SimSun"/>
              </w:rPr>
              <w:t>С –3 по – 2 (-1) день</w:t>
            </w:r>
          </w:p>
        </w:tc>
        <w:tc>
          <w:tcPr>
            <w:tcW w:w="2268" w:type="dxa"/>
            <w:vAlign w:val="center"/>
          </w:tcPr>
          <w:p w14:paraId="43B5212E" w14:textId="77777777" w:rsidR="00304132" w:rsidRPr="00AC3044" w:rsidRDefault="00304132" w:rsidP="00CD5E09">
            <w:pPr>
              <w:rPr>
                <w:rFonts w:eastAsia="SimSun"/>
              </w:rPr>
            </w:pPr>
            <w:r w:rsidRPr="00AC3044">
              <w:rPr>
                <w:rFonts w:eastAsia="SimSun"/>
              </w:rPr>
              <w:t>В/в, в течение 6 ч. Суточная доза разделяется</w:t>
            </w:r>
            <w:r w:rsidRPr="00AC3044" w:rsidDel="00130EA4">
              <w:rPr>
                <w:rFonts w:eastAsia="SimSun"/>
              </w:rPr>
              <w:t xml:space="preserve"> </w:t>
            </w:r>
            <w:r w:rsidRPr="00AC3044">
              <w:rPr>
                <w:rFonts w:eastAsia="SimSun"/>
              </w:rPr>
              <w:t xml:space="preserve">на 2 введения (см. «Инфузия АТГ») </w:t>
            </w:r>
          </w:p>
        </w:tc>
      </w:tr>
      <w:tr w:rsidR="00304132" w:rsidRPr="00AC3044" w14:paraId="13F15933" w14:textId="77777777" w:rsidTr="00CD5E09">
        <w:trPr>
          <w:cantSplit/>
          <w:trHeight w:val="20"/>
        </w:trPr>
        <w:tc>
          <w:tcPr>
            <w:tcW w:w="993" w:type="dxa"/>
            <w:vMerge/>
            <w:textDirection w:val="btLr"/>
            <w:vAlign w:val="center"/>
          </w:tcPr>
          <w:p w14:paraId="5F4FB654" w14:textId="77777777" w:rsidR="00304132" w:rsidRPr="00AC3044" w:rsidRDefault="00304132" w:rsidP="00CD5E09">
            <w:pPr>
              <w:rPr>
                <w:rFonts w:eastAsia="SimSun"/>
              </w:rPr>
            </w:pPr>
          </w:p>
        </w:tc>
        <w:tc>
          <w:tcPr>
            <w:tcW w:w="1843" w:type="dxa"/>
            <w:vAlign w:val="center"/>
          </w:tcPr>
          <w:p w14:paraId="10128CDC" w14:textId="77777777" w:rsidR="00304132" w:rsidRPr="00AC3044" w:rsidRDefault="00304132" w:rsidP="00CD5E09">
            <w:pPr>
              <w:rPr>
                <w:rFonts w:eastAsia="SimSun"/>
              </w:rPr>
            </w:pPr>
            <w:r w:rsidRPr="00AC3044">
              <w:rPr>
                <w:rFonts w:eastAsia="SimSun"/>
              </w:rPr>
              <w:t>Циклоспорин</w:t>
            </w:r>
          </w:p>
        </w:tc>
        <w:tc>
          <w:tcPr>
            <w:tcW w:w="1417" w:type="dxa"/>
            <w:vAlign w:val="center"/>
          </w:tcPr>
          <w:p w14:paraId="32B28D51" w14:textId="77777777" w:rsidR="00304132" w:rsidRPr="00AC3044" w:rsidRDefault="00304132" w:rsidP="00CD5E09">
            <w:pPr>
              <w:rPr>
                <w:rFonts w:eastAsia="SimSun"/>
              </w:rPr>
            </w:pPr>
            <w:r w:rsidRPr="00AC3044">
              <w:rPr>
                <w:rFonts w:eastAsia="SimSun"/>
              </w:rPr>
              <w:t>3 мг/кг</w:t>
            </w:r>
          </w:p>
        </w:tc>
        <w:tc>
          <w:tcPr>
            <w:tcW w:w="1418" w:type="dxa"/>
            <w:vAlign w:val="center"/>
          </w:tcPr>
          <w:p w14:paraId="06E43B83" w14:textId="77777777" w:rsidR="00304132" w:rsidRPr="00AC3044" w:rsidRDefault="00304132" w:rsidP="00CD5E09">
            <w:pPr>
              <w:rPr>
                <w:rFonts w:eastAsia="SimSun"/>
              </w:rPr>
            </w:pPr>
            <w:r w:rsidRPr="00AC3044">
              <w:rPr>
                <w:rFonts w:eastAsia="SimSun"/>
              </w:rPr>
              <w:t>–</w:t>
            </w:r>
          </w:p>
        </w:tc>
        <w:tc>
          <w:tcPr>
            <w:tcW w:w="1701" w:type="dxa"/>
            <w:vAlign w:val="center"/>
          </w:tcPr>
          <w:p w14:paraId="7CCBD752" w14:textId="77777777" w:rsidR="00304132" w:rsidRPr="00AC3044" w:rsidRDefault="00304132" w:rsidP="00CD5E09">
            <w:pPr>
              <w:rPr>
                <w:rFonts w:eastAsia="SimSun"/>
              </w:rPr>
            </w:pPr>
            <w:r w:rsidRPr="00AC3044">
              <w:rPr>
                <w:rFonts w:eastAsia="SimSun"/>
              </w:rPr>
              <w:t>С –1 дня по +90 день, затем постепенное снижение к +180 дню</w:t>
            </w:r>
          </w:p>
        </w:tc>
        <w:tc>
          <w:tcPr>
            <w:tcW w:w="2268" w:type="dxa"/>
            <w:vAlign w:val="center"/>
          </w:tcPr>
          <w:p w14:paraId="3310509D" w14:textId="77777777" w:rsidR="00304132" w:rsidRPr="00AC3044" w:rsidRDefault="00304132" w:rsidP="00CD5E09">
            <w:pPr>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0C005F">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150-350 нг/мл  </w:t>
            </w:r>
          </w:p>
        </w:tc>
      </w:tr>
      <w:tr w:rsidR="00304132" w:rsidRPr="00AC3044" w14:paraId="273A1C15" w14:textId="77777777" w:rsidTr="00CD5E09">
        <w:trPr>
          <w:cantSplit/>
          <w:trHeight w:val="20"/>
        </w:trPr>
        <w:tc>
          <w:tcPr>
            <w:tcW w:w="993" w:type="dxa"/>
            <w:vMerge/>
            <w:vAlign w:val="center"/>
          </w:tcPr>
          <w:p w14:paraId="2CF7BBEA" w14:textId="77777777" w:rsidR="00304132" w:rsidRPr="00AC3044" w:rsidRDefault="00304132" w:rsidP="00CD5E09">
            <w:pPr>
              <w:rPr>
                <w:rFonts w:eastAsia="SimSun"/>
              </w:rPr>
            </w:pPr>
          </w:p>
        </w:tc>
        <w:tc>
          <w:tcPr>
            <w:tcW w:w="1843" w:type="dxa"/>
            <w:vMerge w:val="restart"/>
            <w:vAlign w:val="center"/>
          </w:tcPr>
          <w:p w14:paraId="36F0D74D" w14:textId="77777777" w:rsidR="00304132" w:rsidRPr="00AC3044" w:rsidRDefault="00304132" w:rsidP="00CD5E09">
            <w:pPr>
              <w:rPr>
                <w:rFonts w:eastAsia="SimSun"/>
              </w:rPr>
            </w:pPr>
            <w:r w:rsidRPr="00AC3044">
              <w:rPr>
                <w:rFonts w:eastAsia="SimSun"/>
              </w:rPr>
              <w:t>Метотрексат</w:t>
            </w:r>
          </w:p>
        </w:tc>
        <w:tc>
          <w:tcPr>
            <w:tcW w:w="1417" w:type="dxa"/>
            <w:vAlign w:val="center"/>
          </w:tcPr>
          <w:p w14:paraId="50806FE6" w14:textId="77777777" w:rsidR="00304132" w:rsidRPr="00AC3044" w:rsidRDefault="00304132" w:rsidP="00CD5E09">
            <w:pPr>
              <w:rPr>
                <w:rFonts w:eastAsia="SimSun"/>
              </w:rPr>
            </w:pPr>
            <w:r w:rsidRPr="00AC3044">
              <w:rPr>
                <w:rFonts w:eastAsia="SimSun"/>
              </w:rPr>
              <w:t>15 мг/м</w:t>
            </w:r>
            <w:r w:rsidRPr="000C005F">
              <w:rPr>
                <w:rFonts w:eastAsia="SimSun"/>
                <w:vertAlign w:val="superscript"/>
              </w:rPr>
              <w:t>2</w:t>
            </w:r>
          </w:p>
        </w:tc>
        <w:tc>
          <w:tcPr>
            <w:tcW w:w="1418" w:type="dxa"/>
            <w:vAlign w:val="center"/>
          </w:tcPr>
          <w:p w14:paraId="6A51BCF8" w14:textId="77777777" w:rsidR="00304132" w:rsidRPr="00AC3044" w:rsidRDefault="00304132" w:rsidP="00CD5E09">
            <w:pPr>
              <w:rPr>
                <w:rFonts w:eastAsia="SimSun"/>
              </w:rPr>
            </w:pPr>
            <w:r w:rsidRPr="00AC3044">
              <w:rPr>
                <w:rFonts w:eastAsia="SimSun"/>
              </w:rPr>
              <w:t>–</w:t>
            </w:r>
          </w:p>
        </w:tc>
        <w:tc>
          <w:tcPr>
            <w:tcW w:w="1701" w:type="dxa"/>
            <w:vAlign w:val="center"/>
          </w:tcPr>
          <w:p w14:paraId="5CCB5DF1" w14:textId="77777777" w:rsidR="00304132" w:rsidRPr="00AC3044" w:rsidRDefault="00304132" w:rsidP="00CD5E09">
            <w:pPr>
              <w:rPr>
                <w:rFonts w:eastAsia="SimSun"/>
              </w:rPr>
            </w:pPr>
            <w:r w:rsidRPr="00AC3044">
              <w:rPr>
                <w:rFonts w:eastAsia="SimSun"/>
              </w:rPr>
              <w:t>+1 день</w:t>
            </w:r>
          </w:p>
        </w:tc>
        <w:tc>
          <w:tcPr>
            <w:tcW w:w="2268" w:type="dxa"/>
            <w:vAlign w:val="center"/>
          </w:tcPr>
          <w:p w14:paraId="00DFDD51" w14:textId="77777777" w:rsidR="00304132" w:rsidRPr="00AC3044" w:rsidRDefault="00304132" w:rsidP="00CD5E09">
            <w:pPr>
              <w:rPr>
                <w:rFonts w:eastAsia="SimSun"/>
              </w:rPr>
            </w:pPr>
            <w:r w:rsidRPr="00AC3044">
              <w:rPr>
                <w:rFonts w:eastAsia="SimSun"/>
              </w:rPr>
              <w:t xml:space="preserve">В/в, в 20 мл физ. р-ра </w:t>
            </w:r>
          </w:p>
        </w:tc>
      </w:tr>
      <w:tr w:rsidR="00304132" w:rsidRPr="00AC3044" w14:paraId="6C920AF8" w14:textId="77777777" w:rsidTr="00CD5E09">
        <w:trPr>
          <w:cantSplit/>
          <w:trHeight w:val="464"/>
        </w:trPr>
        <w:tc>
          <w:tcPr>
            <w:tcW w:w="993" w:type="dxa"/>
            <w:vMerge/>
            <w:vAlign w:val="center"/>
          </w:tcPr>
          <w:p w14:paraId="7B54192F" w14:textId="77777777" w:rsidR="00304132" w:rsidRPr="00AC3044" w:rsidRDefault="00304132" w:rsidP="00CD5E09">
            <w:pPr>
              <w:rPr>
                <w:rFonts w:eastAsia="SimSun"/>
              </w:rPr>
            </w:pPr>
          </w:p>
        </w:tc>
        <w:tc>
          <w:tcPr>
            <w:tcW w:w="1843" w:type="dxa"/>
            <w:vMerge/>
            <w:vAlign w:val="center"/>
          </w:tcPr>
          <w:p w14:paraId="64571752" w14:textId="77777777" w:rsidR="00304132" w:rsidRPr="00AC3044" w:rsidRDefault="00304132" w:rsidP="00CD5E09">
            <w:pPr>
              <w:rPr>
                <w:rFonts w:eastAsia="SimSun"/>
              </w:rPr>
            </w:pPr>
          </w:p>
        </w:tc>
        <w:tc>
          <w:tcPr>
            <w:tcW w:w="1417" w:type="dxa"/>
            <w:vAlign w:val="center"/>
          </w:tcPr>
          <w:p w14:paraId="7C2694F4" w14:textId="77777777" w:rsidR="00304132" w:rsidRPr="00AC3044" w:rsidRDefault="00304132" w:rsidP="00CD5E09">
            <w:pPr>
              <w:rPr>
                <w:rFonts w:eastAsia="SimSun"/>
              </w:rPr>
            </w:pPr>
            <w:r w:rsidRPr="00AC3044">
              <w:rPr>
                <w:rFonts w:eastAsia="SimSun"/>
              </w:rPr>
              <w:t>10 мг/м</w:t>
            </w:r>
            <w:r w:rsidRPr="000C005F">
              <w:rPr>
                <w:rFonts w:eastAsia="SimSun"/>
                <w:vertAlign w:val="superscript"/>
              </w:rPr>
              <w:t>2</w:t>
            </w:r>
          </w:p>
        </w:tc>
        <w:tc>
          <w:tcPr>
            <w:tcW w:w="1418" w:type="dxa"/>
            <w:vAlign w:val="center"/>
          </w:tcPr>
          <w:p w14:paraId="6F2D519E" w14:textId="77777777" w:rsidR="00304132" w:rsidRPr="00AC3044" w:rsidRDefault="00304132" w:rsidP="00CD5E09">
            <w:pPr>
              <w:rPr>
                <w:rFonts w:eastAsia="SimSun"/>
              </w:rPr>
            </w:pPr>
            <w:r w:rsidRPr="00AC3044">
              <w:rPr>
                <w:rFonts w:eastAsia="SimSun"/>
              </w:rPr>
              <w:t>–</w:t>
            </w:r>
          </w:p>
        </w:tc>
        <w:tc>
          <w:tcPr>
            <w:tcW w:w="1701" w:type="dxa"/>
            <w:vAlign w:val="center"/>
          </w:tcPr>
          <w:p w14:paraId="38A119B4" w14:textId="77777777" w:rsidR="00304132" w:rsidRPr="00AC3044" w:rsidRDefault="00304132" w:rsidP="00CD5E09">
            <w:pPr>
              <w:rPr>
                <w:rFonts w:eastAsia="SimSun"/>
              </w:rPr>
            </w:pPr>
            <w:r w:rsidRPr="00AC3044">
              <w:rPr>
                <w:rFonts w:eastAsia="SimSun"/>
              </w:rPr>
              <w:t>+3, +6, +11 день</w:t>
            </w:r>
          </w:p>
        </w:tc>
        <w:tc>
          <w:tcPr>
            <w:tcW w:w="2268" w:type="dxa"/>
            <w:vAlign w:val="center"/>
          </w:tcPr>
          <w:p w14:paraId="1763D93F" w14:textId="77777777" w:rsidR="00304132" w:rsidRPr="00AC3044" w:rsidRDefault="00304132" w:rsidP="00CD5E09">
            <w:pPr>
              <w:rPr>
                <w:rFonts w:eastAsia="SimSun"/>
              </w:rPr>
            </w:pPr>
            <w:r w:rsidRPr="00AC3044">
              <w:rPr>
                <w:rFonts w:eastAsia="SimSun"/>
              </w:rPr>
              <w:t xml:space="preserve">В/в, в 20 мл физ. р-ра </w:t>
            </w:r>
          </w:p>
        </w:tc>
      </w:tr>
      <w:tr w:rsidR="00304132" w:rsidRPr="00AC3044" w14:paraId="112754E0" w14:textId="77777777" w:rsidTr="00CD5E09">
        <w:trPr>
          <w:cantSplit/>
          <w:trHeight w:val="464"/>
        </w:trPr>
        <w:tc>
          <w:tcPr>
            <w:tcW w:w="993" w:type="dxa"/>
            <w:vMerge/>
            <w:vAlign w:val="center"/>
          </w:tcPr>
          <w:p w14:paraId="39BBB811" w14:textId="77777777" w:rsidR="00304132" w:rsidRPr="00AC3044" w:rsidRDefault="00304132" w:rsidP="00CD5E09">
            <w:pPr>
              <w:rPr>
                <w:rFonts w:eastAsia="SimSun"/>
              </w:rPr>
            </w:pPr>
          </w:p>
        </w:tc>
        <w:tc>
          <w:tcPr>
            <w:tcW w:w="1843" w:type="dxa"/>
            <w:vMerge w:val="restart"/>
            <w:vAlign w:val="center"/>
          </w:tcPr>
          <w:p w14:paraId="71913445" w14:textId="77777777" w:rsidR="00304132" w:rsidRPr="00AC3044" w:rsidRDefault="00304132" w:rsidP="00CD5E09">
            <w:pPr>
              <w:rPr>
                <w:rFonts w:eastAsia="SimSun"/>
              </w:rPr>
            </w:pPr>
            <w:r w:rsidRPr="00AC3044">
              <w:rPr>
                <w:rFonts w:eastAsia="SimSun"/>
              </w:rPr>
              <w:t>Микофенолата мофетил (только при использовании СКК)</w:t>
            </w:r>
          </w:p>
        </w:tc>
        <w:tc>
          <w:tcPr>
            <w:tcW w:w="1417" w:type="dxa"/>
            <w:vAlign w:val="center"/>
          </w:tcPr>
          <w:p w14:paraId="6A8F41EF" w14:textId="77777777" w:rsidR="00304132" w:rsidRPr="00AC3044" w:rsidRDefault="00304132" w:rsidP="00CD5E09">
            <w:pPr>
              <w:rPr>
                <w:rFonts w:eastAsia="SimSun"/>
              </w:rPr>
            </w:pPr>
            <w:r w:rsidRPr="00AC3044">
              <w:rPr>
                <w:rFonts w:eastAsia="SimSun"/>
              </w:rPr>
              <w:t>2000 мг</w:t>
            </w:r>
          </w:p>
        </w:tc>
        <w:tc>
          <w:tcPr>
            <w:tcW w:w="1418" w:type="dxa"/>
            <w:vAlign w:val="center"/>
          </w:tcPr>
          <w:p w14:paraId="14E16C3B" w14:textId="77777777" w:rsidR="00304132" w:rsidRPr="00AC3044" w:rsidRDefault="00304132" w:rsidP="00CD5E09">
            <w:pPr>
              <w:rPr>
                <w:rFonts w:eastAsia="SimSun"/>
              </w:rPr>
            </w:pPr>
            <w:r w:rsidRPr="00AC3044">
              <w:rPr>
                <w:rFonts w:eastAsia="SimSun"/>
              </w:rPr>
              <w:t>–</w:t>
            </w:r>
          </w:p>
        </w:tc>
        <w:tc>
          <w:tcPr>
            <w:tcW w:w="1701" w:type="dxa"/>
            <w:vAlign w:val="center"/>
          </w:tcPr>
          <w:p w14:paraId="2701D752" w14:textId="77777777" w:rsidR="00304132" w:rsidRPr="00AC3044" w:rsidRDefault="00304132" w:rsidP="00CD5E09">
            <w:pPr>
              <w:rPr>
                <w:rFonts w:eastAsia="SimSun"/>
              </w:rPr>
            </w:pPr>
            <w:r w:rsidRPr="00AC3044">
              <w:rPr>
                <w:rFonts w:eastAsia="SimSun"/>
              </w:rPr>
              <w:t>С +1 по +14 день</w:t>
            </w:r>
          </w:p>
        </w:tc>
        <w:tc>
          <w:tcPr>
            <w:tcW w:w="2268" w:type="dxa"/>
            <w:vAlign w:val="center"/>
          </w:tcPr>
          <w:p w14:paraId="0CAE2DFF" w14:textId="77777777" w:rsidR="00304132" w:rsidRPr="00AC3044" w:rsidRDefault="00304132" w:rsidP="00CD5E09">
            <w:pPr>
              <w:rPr>
                <w:rFonts w:eastAsia="SimSun"/>
              </w:rPr>
            </w:pPr>
            <w:r w:rsidRPr="00AC3044">
              <w:rPr>
                <w:rFonts w:eastAsia="SimSun"/>
              </w:rPr>
              <w:t>Внутрь, суммарная суточная доза разделяется на 2- 4 приема.</w:t>
            </w:r>
          </w:p>
        </w:tc>
      </w:tr>
      <w:tr w:rsidR="00304132" w:rsidRPr="00AC3044" w14:paraId="10E1B890" w14:textId="77777777" w:rsidTr="00CD5E09">
        <w:trPr>
          <w:cantSplit/>
          <w:trHeight w:val="464"/>
        </w:trPr>
        <w:tc>
          <w:tcPr>
            <w:tcW w:w="993" w:type="dxa"/>
            <w:vMerge/>
            <w:vAlign w:val="center"/>
          </w:tcPr>
          <w:p w14:paraId="2CEFC28F" w14:textId="77777777" w:rsidR="00304132" w:rsidRPr="00AC3044" w:rsidRDefault="00304132" w:rsidP="00CD5E09">
            <w:pPr>
              <w:rPr>
                <w:rFonts w:eastAsia="SimSun"/>
              </w:rPr>
            </w:pPr>
          </w:p>
        </w:tc>
        <w:tc>
          <w:tcPr>
            <w:tcW w:w="1843" w:type="dxa"/>
            <w:vMerge/>
            <w:vAlign w:val="center"/>
          </w:tcPr>
          <w:p w14:paraId="0507AFBC" w14:textId="77777777" w:rsidR="00304132" w:rsidRPr="00AC3044" w:rsidRDefault="00304132" w:rsidP="00CD5E09">
            <w:pPr>
              <w:rPr>
                <w:rFonts w:eastAsia="SimSun"/>
              </w:rPr>
            </w:pPr>
          </w:p>
        </w:tc>
        <w:tc>
          <w:tcPr>
            <w:tcW w:w="1417" w:type="dxa"/>
            <w:vAlign w:val="center"/>
          </w:tcPr>
          <w:p w14:paraId="12ED733A" w14:textId="77777777" w:rsidR="00304132" w:rsidRPr="00AC3044" w:rsidRDefault="00304132" w:rsidP="00CD5E09">
            <w:pPr>
              <w:rPr>
                <w:rFonts w:eastAsia="SimSun"/>
              </w:rPr>
            </w:pPr>
            <w:r w:rsidRPr="00AC3044">
              <w:rPr>
                <w:rFonts w:eastAsia="SimSun"/>
              </w:rPr>
              <w:t>1000 мг</w:t>
            </w:r>
          </w:p>
        </w:tc>
        <w:tc>
          <w:tcPr>
            <w:tcW w:w="1418" w:type="dxa"/>
            <w:vAlign w:val="center"/>
          </w:tcPr>
          <w:p w14:paraId="3A6A26D4" w14:textId="77777777" w:rsidR="00304132" w:rsidRPr="00AC3044" w:rsidRDefault="00304132" w:rsidP="00CD5E09">
            <w:pPr>
              <w:rPr>
                <w:rFonts w:eastAsia="SimSun"/>
              </w:rPr>
            </w:pPr>
            <w:r w:rsidRPr="00AC3044">
              <w:rPr>
                <w:rFonts w:eastAsia="SimSun"/>
              </w:rPr>
              <w:t>–</w:t>
            </w:r>
          </w:p>
        </w:tc>
        <w:tc>
          <w:tcPr>
            <w:tcW w:w="1701" w:type="dxa"/>
            <w:vAlign w:val="center"/>
          </w:tcPr>
          <w:p w14:paraId="156053AF" w14:textId="77777777" w:rsidR="00304132" w:rsidRPr="00AC3044" w:rsidRDefault="00304132" w:rsidP="00CD5E09">
            <w:pPr>
              <w:rPr>
                <w:rFonts w:eastAsia="SimSun"/>
              </w:rPr>
            </w:pPr>
            <w:r w:rsidRPr="00AC3044">
              <w:rPr>
                <w:rFonts w:eastAsia="SimSun"/>
              </w:rPr>
              <w:t>С +15 по +90 день</w:t>
            </w:r>
          </w:p>
        </w:tc>
        <w:tc>
          <w:tcPr>
            <w:tcW w:w="2268" w:type="dxa"/>
            <w:vAlign w:val="center"/>
          </w:tcPr>
          <w:p w14:paraId="2B770AAF" w14:textId="77777777" w:rsidR="00304132" w:rsidRPr="00AC3044" w:rsidRDefault="00304132" w:rsidP="00CD5E09">
            <w:pPr>
              <w:rPr>
                <w:rFonts w:eastAsia="SimSun"/>
              </w:rPr>
            </w:pPr>
            <w:r w:rsidRPr="00AC3044">
              <w:rPr>
                <w:rFonts w:eastAsia="SimSun"/>
              </w:rPr>
              <w:t>Внутрь, суммарная суточная доза разделяется на 2- 4 приема.</w:t>
            </w:r>
          </w:p>
        </w:tc>
      </w:tr>
    </w:tbl>
    <w:p w14:paraId="3E722FC0" w14:textId="77777777" w:rsidR="00304132" w:rsidRDefault="00304132" w:rsidP="00304132">
      <w:pPr>
        <w:rPr>
          <w:rFonts w:eastAsia="SimSun"/>
        </w:rPr>
      </w:pPr>
      <w:bookmarkStart w:id="306" w:name="_Toc44401161"/>
    </w:p>
    <w:p w14:paraId="3D9E9E82" w14:textId="77777777" w:rsidR="00304132" w:rsidRPr="00C07B2E" w:rsidRDefault="00304132" w:rsidP="00304132">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1.2.3 – Flu150+Bu8 / PT-Cy+CSA+MMF45</w:t>
      </w:r>
      <w:bookmarkEnd w:id="306"/>
    </w:p>
    <w:tbl>
      <w:tblPr>
        <w:tblW w:w="9640" w:type="dxa"/>
        <w:tblInd w:w="-34" w:type="dxa"/>
        <w:tblLayout w:type="fixed"/>
        <w:tblCellMar>
          <w:left w:w="10" w:type="dxa"/>
          <w:right w:w="10" w:type="dxa"/>
        </w:tblCellMar>
        <w:tblLook w:val="0000" w:firstRow="0" w:lastRow="0" w:firstColumn="0" w:lastColumn="0" w:noHBand="0" w:noVBand="0"/>
      </w:tblPr>
      <w:tblGrid>
        <w:gridCol w:w="993"/>
        <w:gridCol w:w="1843"/>
        <w:gridCol w:w="1417"/>
        <w:gridCol w:w="1418"/>
        <w:gridCol w:w="1701"/>
        <w:gridCol w:w="2268"/>
      </w:tblGrid>
      <w:tr w:rsidR="00304132" w:rsidRPr="00AC3044" w14:paraId="47286567" w14:textId="77777777" w:rsidTr="00CD5E09">
        <w:trPr>
          <w:cantSplit/>
          <w:trHeight w:val="20"/>
          <w:tblHeader/>
        </w:trPr>
        <w:tc>
          <w:tcPr>
            <w:tcW w:w="99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933BF31" w14:textId="77777777" w:rsidR="00304132" w:rsidRPr="00470D3D" w:rsidRDefault="00304132" w:rsidP="00CD5E09">
            <w:pPr>
              <w:rPr>
                <w:rFonts w:eastAsia="SimSun"/>
              </w:rPr>
            </w:pPr>
          </w:p>
        </w:tc>
        <w:tc>
          <w:tcPr>
            <w:tcW w:w="184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13A65BD" w14:textId="77777777" w:rsidR="00304132" w:rsidRPr="00AC3044" w:rsidRDefault="00304132" w:rsidP="00CD5E09">
            <w:pPr>
              <w:rPr>
                <w:rFonts w:eastAsia="SimSun"/>
              </w:rPr>
            </w:pPr>
            <w:r w:rsidRPr="00AC3044">
              <w:rPr>
                <w:rFonts w:eastAsia="SimSun"/>
              </w:rPr>
              <w:t>Препарат</w:t>
            </w:r>
          </w:p>
        </w:tc>
        <w:tc>
          <w:tcPr>
            <w:tcW w:w="14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85DBA35" w14:textId="77777777" w:rsidR="00304132" w:rsidRPr="00AC3044" w:rsidRDefault="00304132" w:rsidP="00CD5E09">
            <w:pPr>
              <w:rPr>
                <w:rFonts w:eastAsia="SimSun"/>
              </w:rPr>
            </w:pPr>
            <w:r w:rsidRPr="00AC3044">
              <w:rPr>
                <w:rFonts w:eastAsia="SimSun"/>
              </w:rPr>
              <w:t>Суточная доза</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EBD6616" w14:textId="77777777" w:rsidR="00304132" w:rsidRPr="00AC3044" w:rsidRDefault="00304132" w:rsidP="00CD5E09">
            <w:pPr>
              <w:rPr>
                <w:rFonts w:eastAsia="SimSun"/>
              </w:rPr>
            </w:pPr>
            <w:r w:rsidRPr="00AC3044">
              <w:rPr>
                <w:rFonts w:eastAsia="SimSun"/>
              </w:rPr>
              <w:t>Курсовая доза</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30223DF" w14:textId="77777777" w:rsidR="00304132" w:rsidRPr="00AC3044" w:rsidRDefault="00304132" w:rsidP="00CD5E09">
            <w:pPr>
              <w:rPr>
                <w:rFonts w:eastAsia="SimSun"/>
              </w:rPr>
            </w:pPr>
            <w:r w:rsidRPr="00AC3044">
              <w:rPr>
                <w:rFonts w:eastAsia="SimSun"/>
              </w:rPr>
              <w:t>Дни введения</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426FF98" w14:textId="77777777" w:rsidR="00304132" w:rsidRPr="00AC3044" w:rsidRDefault="00304132" w:rsidP="00CD5E09">
            <w:pPr>
              <w:rPr>
                <w:rFonts w:eastAsia="SimSun"/>
              </w:rPr>
            </w:pPr>
            <w:r w:rsidRPr="00AC3044">
              <w:rPr>
                <w:rFonts w:eastAsia="SimSun"/>
              </w:rPr>
              <w:t>Порядок введения</w:t>
            </w:r>
          </w:p>
        </w:tc>
      </w:tr>
      <w:tr w:rsidR="00304132" w:rsidRPr="00AC3044" w14:paraId="133FA929" w14:textId="77777777" w:rsidTr="00CD5E09">
        <w:trPr>
          <w:cantSplit/>
          <w:trHeight w:val="20"/>
        </w:trPr>
        <w:tc>
          <w:tcPr>
            <w:tcW w:w="993" w:type="dxa"/>
            <w:vMerge w:val="restar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btLr"/>
            <w:vAlign w:val="center"/>
          </w:tcPr>
          <w:p w14:paraId="73C6EB91" w14:textId="77777777" w:rsidR="00304132" w:rsidRPr="00AC3044" w:rsidRDefault="00304132" w:rsidP="00CD5E09">
            <w:pPr>
              <w:rPr>
                <w:rFonts w:eastAsia="SimSun"/>
              </w:rPr>
            </w:pPr>
            <w:r w:rsidRPr="00AC3044">
              <w:rPr>
                <w:rFonts w:eastAsia="SimSun"/>
              </w:rPr>
              <w:t>Кондиционирование</w:t>
            </w:r>
          </w:p>
        </w:tc>
        <w:tc>
          <w:tcPr>
            <w:tcW w:w="184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14820FF" w14:textId="77777777" w:rsidR="00304132" w:rsidRPr="00AC3044" w:rsidRDefault="00304132" w:rsidP="00CD5E09">
            <w:pPr>
              <w:rPr>
                <w:rFonts w:eastAsia="SimSun"/>
              </w:rPr>
            </w:pPr>
            <w:r w:rsidRPr="00AC3044">
              <w:rPr>
                <w:rFonts w:eastAsia="SimSun"/>
              </w:rPr>
              <w:t>Флударабин</w:t>
            </w:r>
          </w:p>
        </w:tc>
        <w:tc>
          <w:tcPr>
            <w:tcW w:w="141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3726B246" w14:textId="77777777" w:rsidR="00304132" w:rsidRPr="00AC3044" w:rsidRDefault="00304132" w:rsidP="00CD5E09">
            <w:pPr>
              <w:rPr>
                <w:rFonts w:eastAsia="SimSun"/>
              </w:rPr>
            </w:pPr>
            <w:r w:rsidRPr="00AC3044">
              <w:rPr>
                <w:rFonts w:eastAsia="SimSun"/>
              </w:rPr>
              <w:t>30 мг/м</w:t>
            </w:r>
            <w:r w:rsidRPr="000C005F">
              <w:rPr>
                <w:rFonts w:eastAsia="SimSun"/>
                <w:vertAlign w:val="superscript"/>
              </w:rPr>
              <w:t>2</w:t>
            </w:r>
          </w:p>
        </w:tc>
        <w:tc>
          <w:tcPr>
            <w:tcW w:w="141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629206E3" w14:textId="77777777" w:rsidR="00304132" w:rsidRPr="00AC3044" w:rsidRDefault="00304132" w:rsidP="00CD5E09">
            <w:pPr>
              <w:rPr>
                <w:rFonts w:eastAsia="SimSun"/>
              </w:rPr>
            </w:pPr>
            <w:r w:rsidRPr="00AC3044">
              <w:rPr>
                <w:rFonts w:eastAsia="SimSun"/>
              </w:rPr>
              <w:t>150 мг/м</w:t>
            </w:r>
            <w:r w:rsidRPr="000C005F">
              <w:rPr>
                <w:rFonts w:eastAsia="SimSun"/>
                <w:vertAlign w:val="superscript"/>
              </w:rPr>
              <w:t>2</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71F1C0B" w14:textId="77777777" w:rsidR="00304132" w:rsidRPr="00AC3044" w:rsidRDefault="00304132" w:rsidP="00CD5E09">
            <w:pPr>
              <w:rPr>
                <w:rFonts w:eastAsia="SimSun"/>
              </w:rPr>
            </w:pPr>
            <w:r w:rsidRPr="00AC3044">
              <w:rPr>
                <w:rFonts w:eastAsia="SimSun"/>
              </w:rPr>
              <w:t>С –6 по –2 день</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F8382DA" w14:textId="77777777" w:rsidR="00304132" w:rsidRPr="00AC3044" w:rsidRDefault="00304132" w:rsidP="00CD5E09">
            <w:pPr>
              <w:rPr>
                <w:rFonts w:eastAsia="SimSun"/>
              </w:rPr>
            </w:pPr>
            <w:r w:rsidRPr="00AC3044">
              <w:rPr>
                <w:rFonts w:eastAsia="SimSun"/>
              </w:rPr>
              <w:t>В/в, в течение 30 -60 мин</w:t>
            </w:r>
          </w:p>
        </w:tc>
      </w:tr>
      <w:tr w:rsidR="00304132" w:rsidRPr="00AC3044" w14:paraId="71BD6298" w14:textId="77777777" w:rsidTr="00CD5E09">
        <w:trPr>
          <w:cantSplit/>
          <w:trHeight w:val="918"/>
        </w:trPr>
        <w:tc>
          <w:tcPr>
            <w:tcW w:w="993"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btLr"/>
            <w:vAlign w:val="center"/>
          </w:tcPr>
          <w:p w14:paraId="0C4933B5" w14:textId="77777777" w:rsidR="00304132" w:rsidRPr="00AC3044" w:rsidRDefault="00304132" w:rsidP="00CD5E09">
            <w:pPr>
              <w:rPr>
                <w:rFonts w:eastAsia="SimSun"/>
              </w:rPr>
            </w:pPr>
          </w:p>
        </w:tc>
        <w:tc>
          <w:tcPr>
            <w:tcW w:w="184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5167DD" w14:textId="77777777" w:rsidR="00304132" w:rsidRPr="00AC3044" w:rsidRDefault="00304132" w:rsidP="00CD5E09">
            <w:pPr>
              <w:rPr>
                <w:rFonts w:eastAsia="SimSun"/>
              </w:rPr>
            </w:pPr>
            <w:r w:rsidRPr="00AC3044">
              <w:rPr>
                <w:rFonts w:eastAsia="SimSun"/>
              </w:rPr>
              <w:t>Бусульфан</w:t>
            </w:r>
          </w:p>
        </w:tc>
        <w:tc>
          <w:tcPr>
            <w:tcW w:w="14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10A8392" w14:textId="77777777" w:rsidR="00304132" w:rsidRPr="00AC3044" w:rsidRDefault="00304132" w:rsidP="00CD5E09">
            <w:pPr>
              <w:rPr>
                <w:rFonts w:eastAsia="SimSun"/>
              </w:rPr>
            </w:pPr>
            <w:r w:rsidRPr="00AC3044">
              <w:rPr>
                <w:rFonts w:eastAsia="SimSun"/>
              </w:rPr>
              <w:t>4 мг/кг</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B663C4D" w14:textId="77777777" w:rsidR="00304132" w:rsidRPr="00AC3044" w:rsidRDefault="00304132" w:rsidP="00CD5E09">
            <w:pPr>
              <w:rPr>
                <w:rFonts w:eastAsia="SimSun"/>
              </w:rPr>
            </w:pPr>
            <w:r w:rsidRPr="00AC3044">
              <w:rPr>
                <w:rFonts w:eastAsia="SimSun"/>
              </w:rPr>
              <w:t>8 мг/кг</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C241BA9" w14:textId="77777777" w:rsidR="00304132" w:rsidRPr="00AC3044" w:rsidRDefault="00304132" w:rsidP="00CD5E09">
            <w:pPr>
              <w:rPr>
                <w:rFonts w:eastAsia="SimSun"/>
              </w:rPr>
            </w:pPr>
            <w:r w:rsidRPr="00AC3044">
              <w:rPr>
                <w:rFonts w:eastAsia="SimSun"/>
              </w:rPr>
              <w:t xml:space="preserve"> –4, –3 дни</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045D305" w14:textId="77777777" w:rsidR="00304132" w:rsidRPr="00AC3044" w:rsidRDefault="00304132" w:rsidP="00CD5E09">
            <w:pPr>
              <w:rPr>
                <w:rFonts w:eastAsia="SimSun"/>
              </w:rPr>
            </w:pPr>
            <w:r w:rsidRPr="00AC3044">
              <w:rPr>
                <w:rFonts w:eastAsia="SimSun"/>
              </w:rPr>
              <w:t>Внутрь, суммарная суточная доза разделяется на 4 приема с интервалом 6 часов.</w:t>
            </w:r>
          </w:p>
        </w:tc>
      </w:tr>
      <w:tr w:rsidR="00304132" w:rsidRPr="00AC3044" w14:paraId="6C8D9442" w14:textId="77777777" w:rsidTr="00CD5E09">
        <w:trPr>
          <w:cantSplit/>
          <w:trHeight w:val="20"/>
        </w:trPr>
        <w:tc>
          <w:tcPr>
            <w:tcW w:w="993" w:type="dxa"/>
            <w:vMerge w:val="restar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btLr"/>
            <w:vAlign w:val="center"/>
          </w:tcPr>
          <w:p w14:paraId="097C641F" w14:textId="77777777" w:rsidR="00304132" w:rsidRPr="00AC3044" w:rsidRDefault="00304132" w:rsidP="00CD5E09">
            <w:pPr>
              <w:rPr>
                <w:rFonts w:eastAsia="SimSun"/>
              </w:rPr>
            </w:pPr>
            <w:r w:rsidRPr="00AC3044">
              <w:rPr>
                <w:rFonts w:eastAsia="SimSun"/>
              </w:rPr>
              <w:t>Профилактика РТПХ</w:t>
            </w:r>
          </w:p>
        </w:tc>
        <w:tc>
          <w:tcPr>
            <w:tcW w:w="184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419B954" w14:textId="77777777" w:rsidR="00304132" w:rsidRPr="00AC3044" w:rsidRDefault="00304132" w:rsidP="00CD5E09">
            <w:pPr>
              <w:rPr>
                <w:rFonts w:eastAsia="SimSun"/>
              </w:rPr>
            </w:pPr>
            <w:r w:rsidRPr="00AC3044">
              <w:rPr>
                <w:rFonts w:eastAsia="SimSun"/>
              </w:rPr>
              <w:t>Циклоспорин</w:t>
            </w:r>
          </w:p>
        </w:tc>
        <w:tc>
          <w:tcPr>
            <w:tcW w:w="14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9E78A9A" w14:textId="77777777" w:rsidR="00304132" w:rsidRPr="00AC3044" w:rsidRDefault="00304132" w:rsidP="00CD5E09">
            <w:pPr>
              <w:rPr>
                <w:rFonts w:eastAsia="SimSun"/>
              </w:rPr>
            </w:pPr>
            <w:r w:rsidRPr="00AC3044">
              <w:rPr>
                <w:rFonts w:eastAsia="SimSun"/>
              </w:rPr>
              <w:t>3 мг/кг</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2BD33E6" w14:textId="77777777" w:rsidR="00304132" w:rsidRPr="00AC3044" w:rsidRDefault="00304132" w:rsidP="00CD5E09">
            <w:pPr>
              <w:rPr>
                <w:rFonts w:eastAsia="SimSun"/>
              </w:rPr>
            </w:pPr>
            <w:r w:rsidRPr="00AC3044">
              <w:rPr>
                <w:rFonts w:eastAsia="SimSun"/>
              </w:rPr>
              <w:t>–</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F7CE55B" w14:textId="77777777" w:rsidR="00304132" w:rsidRPr="00AC3044" w:rsidRDefault="00304132" w:rsidP="00CD5E09">
            <w:pPr>
              <w:rPr>
                <w:rFonts w:eastAsia="SimSun"/>
              </w:rPr>
            </w:pPr>
            <w:r w:rsidRPr="00AC3044">
              <w:rPr>
                <w:rFonts w:eastAsia="SimSun"/>
              </w:rPr>
              <w:t>С +5 по +90 день</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577B5FD" w14:textId="77777777" w:rsidR="00304132" w:rsidRPr="00AC3044" w:rsidRDefault="00304132" w:rsidP="00CD5E09">
            <w:pPr>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0C005F">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304132" w:rsidRPr="00AC3044" w14:paraId="460A4373" w14:textId="77777777" w:rsidTr="00CD5E09">
        <w:trPr>
          <w:cantSplit/>
          <w:trHeight w:val="20"/>
        </w:trPr>
        <w:tc>
          <w:tcPr>
            <w:tcW w:w="993"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E7D90A8" w14:textId="77777777" w:rsidR="00304132" w:rsidRPr="00AC3044" w:rsidRDefault="00304132" w:rsidP="00CD5E09">
            <w:pPr>
              <w:rPr>
                <w:rFonts w:eastAsia="SimSun"/>
              </w:rPr>
            </w:pPr>
          </w:p>
        </w:tc>
        <w:tc>
          <w:tcPr>
            <w:tcW w:w="184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2232712" w14:textId="77777777" w:rsidR="00304132" w:rsidRPr="00AC3044" w:rsidRDefault="00304132" w:rsidP="00CD5E09">
            <w:pPr>
              <w:rPr>
                <w:rFonts w:eastAsia="SimSun"/>
              </w:rPr>
            </w:pPr>
            <w:r w:rsidRPr="00AC3044">
              <w:rPr>
                <w:rFonts w:eastAsia="SimSun"/>
              </w:rPr>
              <w:t>Микофенолата мофетил</w:t>
            </w:r>
          </w:p>
        </w:tc>
        <w:tc>
          <w:tcPr>
            <w:tcW w:w="14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99E8D32" w14:textId="77777777" w:rsidR="00304132" w:rsidRPr="00AC3044" w:rsidRDefault="00304132" w:rsidP="00CD5E09">
            <w:pPr>
              <w:rPr>
                <w:rFonts w:eastAsia="SimSun"/>
              </w:rPr>
            </w:pPr>
            <w:r w:rsidRPr="00AC3044">
              <w:rPr>
                <w:rFonts w:eastAsia="SimSun"/>
              </w:rPr>
              <w:t>45 мг/кг</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29B7EB8" w14:textId="77777777" w:rsidR="00304132" w:rsidRPr="00AC3044" w:rsidRDefault="00304132" w:rsidP="00CD5E09">
            <w:pPr>
              <w:rPr>
                <w:rFonts w:eastAsia="SimSun"/>
              </w:rPr>
            </w:pPr>
            <w:r w:rsidRPr="00AC3044">
              <w:rPr>
                <w:rFonts w:eastAsia="SimSun"/>
              </w:rPr>
              <w:t>–</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2595B98" w14:textId="77777777" w:rsidR="00304132" w:rsidRPr="00AC3044" w:rsidRDefault="00304132" w:rsidP="00CD5E09">
            <w:pPr>
              <w:rPr>
                <w:rFonts w:eastAsia="SimSun"/>
              </w:rPr>
            </w:pPr>
            <w:r w:rsidRPr="00AC3044">
              <w:rPr>
                <w:rFonts w:eastAsia="SimSun"/>
              </w:rPr>
              <w:t>С +5 по +30 день</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91BAEB5" w14:textId="77777777" w:rsidR="00304132" w:rsidRPr="00AC3044" w:rsidRDefault="00304132" w:rsidP="00CD5E09">
            <w:pPr>
              <w:rPr>
                <w:rFonts w:eastAsia="SimSun"/>
              </w:rPr>
            </w:pPr>
            <w:r w:rsidRPr="00AC3044">
              <w:rPr>
                <w:rFonts w:eastAsia="SimSun"/>
              </w:rPr>
              <w:t>Внутрь, суммарная суточная доза разделяется на 4 приема (не более 3</w:t>
            </w:r>
            <w:r>
              <w:rPr>
                <w:rFonts w:eastAsia="SimSun"/>
              </w:rPr>
              <w:t xml:space="preserve"> </w:t>
            </w:r>
            <w:r w:rsidRPr="00AC3044">
              <w:rPr>
                <w:rFonts w:eastAsia="SimSun"/>
              </w:rPr>
              <w:t>г/сут)</w:t>
            </w:r>
          </w:p>
        </w:tc>
      </w:tr>
      <w:tr w:rsidR="00304132" w:rsidRPr="00AC3044" w14:paraId="0642B798" w14:textId="77777777" w:rsidTr="00CD5E09">
        <w:trPr>
          <w:cantSplit/>
          <w:trHeight w:val="464"/>
        </w:trPr>
        <w:tc>
          <w:tcPr>
            <w:tcW w:w="993"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2CA699F" w14:textId="77777777" w:rsidR="00304132" w:rsidRPr="00AC3044" w:rsidRDefault="00304132" w:rsidP="00CD5E09">
            <w:pPr>
              <w:rPr>
                <w:rFonts w:eastAsia="SimSun"/>
              </w:rPr>
            </w:pPr>
          </w:p>
        </w:tc>
        <w:tc>
          <w:tcPr>
            <w:tcW w:w="184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A42C03D" w14:textId="77777777" w:rsidR="00304132" w:rsidRPr="00AC3044" w:rsidRDefault="00304132" w:rsidP="00CD5E09">
            <w:pPr>
              <w:rPr>
                <w:rFonts w:eastAsia="SimSun"/>
              </w:rPr>
            </w:pPr>
            <w:r w:rsidRPr="00AC3044">
              <w:rPr>
                <w:rFonts w:eastAsia="SimSun"/>
              </w:rPr>
              <w:t>Циклофосфамид</w:t>
            </w:r>
          </w:p>
        </w:tc>
        <w:tc>
          <w:tcPr>
            <w:tcW w:w="14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DD5EF4D" w14:textId="77777777" w:rsidR="00304132" w:rsidRPr="00AC3044" w:rsidRDefault="00304132" w:rsidP="00CD5E09">
            <w:pPr>
              <w:rPr>
                <w:rFonts w:eastAsia="SimSun"/>
              </w:rPr>
            </w:pPr>
            <w:r w:rsidRPr="00AC3044">
              <w:rPr>
                <w:rFonts w:eastAsia="SimSun"/>
              </w:rPr>
              <w:t>50 мг/кг</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34A42A7" w14:textId="77777777" w:rsidR="00304132" w:rsidRPr="00AC3044" w:rsidRDefault="00304132" w:rsidP="00CD5E09">
            <w:pPr>
              <w:rPr>
                <w:rFonts w:eastAsia="SimSun"/>
              </w:rPr>
            </w:pPr>
            <w:r w:rsidRPr="00AC3044">
              <w:rPr>
                <w:rFonts w:eastAsia="SimSun"/>
              </w:rPr>
              <w:t>100 мг/кг</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2EBC6E1" w14:textId="77777777" w:rsidR="00304132" w:rsidRPr="00AC3044" w:rsidRDefault="00304132" w:rsidP="00CD5E09">
            <w:pPr>
              <w:rPr>
                <w:rFonts w:eastAsia="SimSun"/>
              </w:rPr>
            </w:pPr>
            <w:r w:rsidRPr="00AC3044">
              <w:rPr>
                <w:rFonts w:eastAsia="SimSun"/>
              </w:rPr>
              <w:t>+3, +4 дни</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A3960C7" w14:textId="77777777" w:rsidR="00304132" w:rsidRPr="00AC3044" w:rsidRDefault="00304132" w:rsidP="00CD5E09">
            <w:pPr>
              <w:rPr>
                <w:rFonts w:eastAsia="SimSun"/>
              </w:rPr>
            </w:pPr>
            <w:r w:rsidRPr="00AC3044">
              <w:rPr>
                <w:rFonts w:eastAsia="SimSun"/>
              </w:rPr>
              <w:t>В/в, инфузия в течение 2 ч</w:t>
            </w:r>
          </w:p>
        </w:tc>
      </w:tr>
    </w:tbl>
    <w:p w14:paraId="4889FB17" w14:textId="77777777" w:rsidR="00304132" w:rsidRDefault="00304132" w:rsidP="00304132">
      <w:pPr>
        <w:rPr>
          <w:rFonts w:eastAsia="SimSun"/>
        </w:rPr>
      </w:pPr>
      <w:bookmarkStart w:id="307" w:name="_Toc44401162"/>
    </w:p>
    <w:p w14:paraId="70727606" w14:textId="77777777" w:rsidR="00304132" w:rsidRPr="00C07B2E" w:rsidRDefault="00304132" w:rsidP="00304132">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1.2.4  – Flu150+Bu8+Thio / PT-Cy+CSA+ MMF30</w:t>
      </w:r>
      <w:bookmarkEnd w:id="307"/>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843"/>
        <w:gridCol w:w="1417"/>
        <w:gridCol w:w="1418"/>
        <w:gridCol w:w="1701"/>
        <w:gridCol w:w="2268"/>
      </w:tblGrid>
      <w:tr w:rsidR="00304132" w:rsidRPr="00AC3044" w14:paraId="16263517" w14:textId="77777777" w:rsidTr="00CD5E09">
        <w:trPr>
          <w:cantSplit/>
          <w:trHeight w:val="20"/>
          <w:tblHeader/>
        </w:trPr>
        <w:tc>
          <w:tcPr>
            <w:tcW w:w="993" w:type="dxa"/>
          </w:tcPr>
          <w:p w14:paraId="7226A7C2" w14:textId="77777777" w:rsidR="00304132" w:rsidRPr="00470D3D" w:rsidRDefault="00304132" w:rsidP="00CD5E09">
            <w:pPr>
              <w:rPr>
                <w:rFonts w:eastAsia="SimSun"/>
              </w:rPr>
            </w:pPr>
          </w:p>
        </w:tc>
        <w:tc>
          <w:tcPr>
            <w:tcW w:w="1843" w:type="dxa"/>
            <w:vAlign w:val="center"/>
          </w:tcPr>
          <w:p w14:paraId="4FFEA6C0" w14:textId="77777777" w:rsidR="00304132" w:rsidRPr="00AC3044" w:rsidRDefault="00304132" w:rsidP="00CD5E09">
            <w:pPr>
              <w:rPr>
                <w:rFonts w:eastAsia="SimSun"/>
              </w:rPr>
            </w:pPr>
            <w:r w:rsidRPr="00AC3044">
              <w:rPr>
                <w:rFonts w:eastAsia="SimSun"/>
              </w:rPr>
              <w:t>Препарат</w:t>
            </w:r>
          </w:p>
        </w:tc>
        <w:tc>
          <w:tcPr>
            <w:tcW w:w="1417" w:type="dxa"/>
            <w:vAlign w:val="center"/>
          </w:tcPr>
          <w:p w14:paraId="774FF587" w14:textId="77777777" w:rsidR="00304132" w:rsidRPr="00AC3044" w:rsidRDefault="00304132" w:rsidP="00CD5E09">
            <w:pPr>
              <w:rPr>
                <w:rFonts w:eastAsia="SimSun"/>
              </w:rPr>
            </w:pPr>
            <w:r w:rsidRPr="00AC3044">
              <w:rPr>
                <w:rFonts w:eastAsia="SimSun"/>
              </w:rPr>
              <w:t>Суточная доза</w:t>
            </w:r>
          </w:p>
        </w:tc>
        <w:tc>
          <w:tcPr>
            <w:tcW w:w="1418" w:type="dxa"/>
            <w:vAlign w:val="center"/>
          </w:tcPr>
          <w:p w14:paraId="518B3DD1" w14:textId="77777777" w:rsidR="00304132" w:rsidRPr="00AC3044" w:rsidRDefault="00304132" w:rsidP="00CD5E09">
            <w:pPr>
              <w:rPr>
                <w:rFonts w:eastAsia="SimSun"/>
              </w:rPr>
            </w:pPr>
            <w:r w:rsidRPr="00AC3044">
              <w:rPr>
                <w:rFonts w:eastAsia="SimSun"/>
              </w:rPr>
              <w:t>Курсовая доза</w:t>
            </w:r>
          </w:p>
        </w:tc>
        <w:tc>
          <w:tcPr>
            <w:tcW w:w="1701" w:type="dxa"/>
            <w:vAlign w:val="center"/>
          </w:tcPr>
          <w:p w14:paraId="65CF6BD7" w14:textId="77777777" w:rsidR="00304132" w:rsidRPr="00AC3044" w:rsidRDefault="00304132" w:rsidP="00CD5E09">
            <w:pPr>
              <w:rPr>
                <w:rFonts w:eastAsia="SimSun"/>
              </w:rPr>
            </w:pPr>
            <w:r w:rsidRPr="00AC3044">
              <w:rPr>
                <w:rFonts w:eastAsia="SimSun"/>
              </w:rPr>
              <w:t>Дни введения</w:t>
            </w:r>
          </w:p>
        </w:tc>
        <w:tc>
          <w:tcPr>
            <w:tcW w:w="2268" w:type="dxa"/>
            <w:vAlign w:val="center"/>
          </w:tcPr>
          <w:p w14:paraId="61690D0A" w14:textId="77777777" w:rsidR="00304132" w:rsidRPr="00AC3044" w:rsidRDefault="00304132" w:rsidP="00CD5E09">
            <w:pPr>
              <w:rPr>
                <w:rFonts w:eastAsia="SimSun"/>
              </w:rPr>
            </w:pPr>
            <w:r w:rsidRPr="00AC3044">
              <w:rPr>
                <w:rFonts w:eastAsia="SimSun"/>
              </w:rPr>
              <w:t>Порядок введения</w:t>
            </w:r>
          </w:p>
        </w:tc>
      </w:tr>
      <w:tr w:rsidR="00304132" w:rsidRPr="00AC3044" w14:paraId="0525BB37" w14:textId="77777777" w:rsidTr="00CD5E09">
        <w:trPr>
          <w:cantSplit/>
          <w:trHeight w:val="20"/>
        </w:trPr>
        <w:tc>
          <w:tcPr>
            <w:tcW w:w="993" w:type="dxa"/>
            <w:vMerge w:val="restart"/>
            <w:textDirection w:val="btLr"/>
            <w:vAlign w:val="center"/>
          </w:tcPr>
          <w:p w14:paraId="52CF81E1" w14:textId="77777777" w:rsidR="00304132" w:rsidRPr="00AC3044" w:rsidRDefault="00304132" w:rsidP="00CD5E09">
            <w:pPr>
              <w:rPr>
                <w:rFonts w:eastAsia="SimSun"/>
              </w:rPr>
            </w:pPr>
            <w:r w:rsidRPr="00AC3044">
              <w:rPr>
                <w:rFonts w:eastAsia="SimSun"/>
              </w:rPr>
              <w:t>Кондиционирование</w:t>
            </w:r>
          </w:p>
        </w:tc>
        <w:tc>
          <w:tcPr>
            <w:tcW w:w="1843" w:type="dxa"/>
            <w:vAlign w:val="center"/>
          </w:tcPr>
          <w:p w14:paraId="7DB67C5C" w14:textId="77777777" w:rsidR="00304132" w:rsidRPr="00AC3044" w:rsidRDefault="00304132" w:rsidP="00CD5E09">
            <w:pPr>
              <w:rPr>
                <w:rFonts w:eastAsia="SimSun"/>
              </w:rPr>
            </w:pPr>
            <w:r w:rsidRPr="00AC3044">
              <w:rPr>
                <w:rFonts w:eastAsia="SimSun"/>
              </w:rPr>
              <w:t xml:space="preserve">Флударабин </w:t>
            </w:r>
          </w:p>
        </w:tc>
        <w:tc>
          <w:tcPr>
            <w:tcW w:w="1417" w:type="dxa"/>
            <w:vAlign w:val="center"/>
          </w:tcPr>
          <w:p w14:paraId="5CCDDDA4" w14:textId="77777777" w:rsidR="00304132" w:rsidRPr="00AC3044" w:rsidRDefault="00304132" w:rsidP="00CD5E09">
            <w:pPr>
              <w:rPr>
                <w:rFonts w:eastAsia="SimSun"/>
              </w:rPr>
            </w:pPr>
            <w:r w:rsidRPr="00AC3044">
              <w:rPr>
                <w:rFonts w:eastAsia="SimSun"/>
              </w:rPr>
              <w:t>50 мг/м</w:t>
            </w:r>
            <w:r w:rsidRPr="000C005F">
              <w:rPr>
                <w:rFonts w:eastAsia="SimSun"/>
                <w:vertAlign w:val="superscript"/>
              </w:rPr>
              <w:t>2</w:t>
            </w:r>
          </w:p>
        </w:tc>
        <w:tc>
          <w:tcPr>
            <w:tcW w:w="1418" w:type="dxa"/>
            <w:vAlign w:val="center"/>
          </w:tcPr>
          <w:p w14:paraId="60BCBF1B" w14:textId="77777777" w:rsidR="00304132" w:rsidRPr="00AC3044" w:rsidRDefault="00304132" w:rsidP="00CD5E09">
            <w:pPr>
              <w:rPr>
                <w:rFonts w:eastAsia="SimSun"/>
              </w:rPr>
            </w:pPr>
            <w:r w:rsidRPr="00AC3044">
              <w:rPr>
                <w:rFonts w:eastAsia="SimSun"/>
              </w:rPr>
              <w:t>150 мг/м</w:t>
            </w:r>
            <w:r w:rsidRPr="000C005F">
              <w:rPr>
                <w:rFonts w:eastAsia="SimSun"/>
                <w:vertAlign w:val="superscript"/>
              </w:rPr>
              <w:t>2</w:t>
            </w:r>
          </w:p>
        </w:tc>
        <w:tc>
          <w:tcPr>
            <w:tcW w:w="1701" w:type="dxa"/>
            <w:vAlign w:val="center"/>
          </w:tcPr>
          <w:p w14:paraId="43FC698B" w14:textId="77777777" w:rsidR="00304132" w:rsidRPr="00AC3044" w:rsidRDefault="00304132" w:rsidP="00CD5E09">
            <w:pPr>
              <w:rPr>
                <w:rFonts w:eastAsia="SimSun"/>
              </w:rPr>
            </w:pPr>
            <w:r w:rsidRPr="00AC3044">
              <w:rPr>
                <w:rFonts w:eastAsia="SimSun"/>
              </w:rPr>
              <w:t>С –4 по –2 день</w:t>
            </w:r>
          </w:p>
        </w:tc>
        <w:tc>
          <w:tcPr>
            <w:tcW w:w="2268" w:type="dxa"/>
            <w:vAlign w:val="center"/>
          </w:tcPr>
          <w:p w14:paraId="4569C134" w14:textId="77777777" w:rsidR="00304132" w:rsidRPr="00AC3044" w:rsidRDefault="00304132" w:rsidP="00CD5E09">
            <w:pPr>
              <w:rPr>
                <w:rFonts w:eastAsia="SimSun"/>
              </w:rPr>
            </w:pPr>
            <w:r w:rsidRPr="00AC3044">
              <w:rPr>
                <w:rFonts w:eastAsia="SimSun"/>
              </w:rPr>
              <w:t>В/в, в течение 30 -60 мин</w:t>
            </w:r>
          </w:p>
        </w:tc>
      </w:tr>
      <w:tr w:rsidR="00304132" w:rsidRPr="00AC3044" w14:paraId="3E4A52A4" w14:textId="77777777" w:rsidTr="00CD5E09">
        <w:trPr>
          <w:cantSplit/>
          <w:trHeight w:val="703"/>
        </w:trPr>
        <w:tc>
          <w:tcPr>
            <w:tcW w:w="993" w:type="dxa"/>
            <w:vMerge/>
            <w:textDirection w:val="btLr"/>
            <w:vAlign w:val="center"/>
          </w:tcPr>
          <w:p w14:paraId="138BDFDC" w14:textId="77777777" w:rsidR="00304132" w:rsidRPr="00AC3044" w:rsidRDefault="00304132" w:rsidP="00CD5E09">
            <w:pPr>
              <w:rPr>
                <w:rFonts w:eastAsia="SimSun"/>
              </w:rPr>
            </w:pPr>
          </w:p>
        </w:tc>
        <w:tc>
          <w:tcPr>
            <w:tcW w:w="1843" w:type="dxa"/>
            <w:vAlign w:val="center"/>
          </w:tcPr>
          <w:p w14:paraId="7817BB35" w14:textId="77777777" w:rsidR="00304132" w:rsidRPr="00AC3044" w:rsidRDefault="00304132" w:rsidP="00CD5E09">
            <w:pPr>
              <w:rPr>
                <w:rFonts w:eastAsia="SimSun"/>
              </w:rPr>
            </w:pPr>
            <w:r w:rsidRPr="00AC3044">
              <w:rPr>
                <w:rFonts w:eastAsia="SimSun"/>
              </w:rPr>
              <w:t>Бусульфан</w:t>
            </w:r>
          </w:p>
        </w:tc>
        <w:tc>
          <w:tcPr>
            <w:tcW w:w="1417" w:type="dxa"/>
            <w:vAlign w:val="center"/>
          </w:tcPr>
          <w:p w14:paraId="4175DA9D" w14:textId="77777777" w:rsidR="00304132" w:rsidRPr="00AC3044" w:rsidRDefault="00304132" w:rsidP="00CD5E09">
            <w:pPr>
              <w:rPr>
                <w:rFonts w:eastAsia="SimSun"/>
              </w:rPr>
            </w:pPr>
            <w:r w:rsidRPr="00AC3044">
              <w:rPr>
                <w:rFonts w:eastAsia="SimSun"/>
              </w:rPr>
              <w:t>4 мг/кг</w:t>
            </w:r>
          </w:p>
        </w:tc>
        <w:tc>
          <w:tcPr>
            <w:tcW w:w="1418" w:type="dxa"/>
            <w:vAlign w:val="center"/>
          </w:tcPr>
          <w:p w14:paraId="61508456" w14:textId="77777777" w:rsidR="00304132" w:rsidRPr="00AC3044" w:rsidRDefault="00304132" w:rsidP="00CD5E09">
            <w:pPr>
              <w:rPr>
                <w:rFonts w:eastAsia="SimSun"/>
              </w:rPr>
            </w:pPr>
            <w:r w:rsidRPr="00AC3044">
              <w:rPr>
                <w:rFonts w:eastAsia="SimSun"/>
              </w:rPr>
              <w:t>8 мг/кг</w:t>
            </w:r>
          </w:p>
        </w:tc>
        <w:tc>
          <w:tcPr>
            <w:tcW w:w="1701" w:type="dxa"/>
            <w:vAlign w:val="center"/>
          </w:tcPr>
          <w:p w14:paraId="68F1C622" w14:textId="77777777" w:rsidR="00304132" w:rsidRPr="00AC3044" w:rsidRDefault="00304132" w:rsidP="00CD5E09">
            <w:pPr>
              <w:rPr>
                <w:rFonts w:eastAsia="SimSun"/>
              </w:rPr>
            </w:pPr>
            <w:r w:rsidRPr="00AC3044">
              <w:rPr>
                <w:rFonts w:eastAsia="SimSun"/>
              </w:rPr>
              <w:t>–3, –2 дни</w:t>
            </w:r>
          </w:p>
        </w:tc>
        <w:tc>
          <w:tcPr>
            <w:tcW w:w="2268" w:type="dxa"/>
            <w:vAlign w:val="center"/>
          </w:tcPr>
          <w:p w14:paraId="1E4AFFF6" w14:textId="77777777" w:rsidR="00304132" w:rsidRPr="00AC3044" w:rsidRDefault="00304132" w:rsidP="00CD5E09">
            <w:pPr>
              <w:rPr>
                <w:rFonts w:eastAsia="SimSun"/>
              </w:rPr>
            </w:pPr>
            <w:r w:rsidRPr="00AC3044">
              <w:rPr>
                <w:rFonts w:eastAsia="SimSun"/>
              </w:rPr>
              <w:t>Внутрь, суммарная суточная доза разделяется на 4 приема с интервалом 6 часов.</w:t>
            </w:r>
          </w:p>
        </w:tc>
      </w:tr>
      <w:tr w:rsidR="00304132" w:rsidRPr="00AC3044" w14:paraId="657D05B9" w14:textId="77777777" w:rsidTr="00CD5E09">
        <w:trPr>
          <w:cantSplit/>
          <w:trHeight w:val="704"/>
        </w:trPr>
        <w:tc>
          <w:tcPr>
            <w:tcW w:w="993" w:type="dxa"/>
            <w:vMerge/>
            <w:textDirection w:val="btLr"/>
            <w:vAlign w:val="center"/>
          </w:tcPr>
          <w:p w14:paraId="445121FD" w14:textId="77777777" w:rsidR="00304132" w:rsidRPr="00AC3044" w:rsidRDefault="00304132" w:rsidP="00CD5E09">
            <w:pPr>
              <w:rPr>
                <w:rFonts w:eastAsia="SimSun"/>
              </w:rPr>
            </w:pPr>
          </w:p>
        </w:tc>
        <w:tc>
          <w:tcPr>
            <w:tcW w:w="1843" w:type="dxa"/>
            <w:vAlign w:val="center"/>
          </w:tcPr>
          <w:p w14:paraId="7791BA87" w14:textId="77777777" w:rsidR="00304132" w:rsidRPr="00AC3044" w:rsidRDefault="00304132" w:rsidP="00CD5E09">
            <w:pPr>
              <w:rPr>
                <w:rFonts w:eastAsia="SimSun"/>
              </w:rPr>
            </w:pPr>
            <w:r w:rsidRPr="00AC3044">
              <w:rPr>
                <w:rFonts w:eastAsia="SimSun"/>
              </w:rPr>
              <w:t>Тиотепа</w:t>
            </w:r>
          </w:p>
        </w:tc>
        <w:tc>
          <w:tcPr>
            <w:tcW w:w="1417" w:type="dxa"/>
            <w:vAlign w:val="center"/>
          </w:tcPr>
          <w:p w14:paraId="2CADC228" w14:textId="77777777" w:rsidR="00304132" w:rsidRPr="00AC3044" w:rsidRDefault="00304132" w:rsidP="00CD5E09">
            <w:pPr>
              <w:rPr>
                <w:rFonts w:eastAsia="SimSun"/>
              </w:rPr>
            </w:pPr>
            <w:r w:rsidRPr="00AC3044">
              <w:rPr>
                <w:rFonts w:eastAsia="SimSun"/>
              </w:rPr>
              <w:t>5 мг/кг</w:t>
            </w:r>
          </w:p>
        </w:tc>
        <w:tc>
          <w:tcPr>
            <w:tcW w:w="1418" w:type="dxa"/>
            <w:vAlign w:val="center"/>
          </w:tcPr>
          <w:p w14:paraId="20FE4EC7" w14:textId="77777777" w:rsidR="00304132" w:rsidRPr="00AC3044" w:rsidRDefault="00304132" w:rsidP="00CD5E09">
            <w:pPr>
              <w:rPr>
                <w:rFonts w:eastAsia="SimSun"/>
              </w:rPr>
            </w:pPr>
            <w:r w:rsidRPr="00AC3044">
              <w:rPr>
                <w:rFonts w:eastAsia="SimSun"/>
              </w:rPr>
              <w:t>10 мг/кг</w:t>
            </w:r>
          </w:p>
        </w:tc>
        <w:tc>
          <w:tcPr>
            <w:tcW w:w="1701" w:type="dxa"/>
            <w:vAlign w:val="center"/>
          </w:tcPr>
          <w:p w14:paraId="5720DE64" w14:textId="77777777" w:rsidR="00304132" w:rsidRPr="00AC3044" w:rsidRDefault="00304132" w:rsidP="00CD5E09">
            <w:pPr>
              <w:rPr>
                <w:rFonts w:eastAsia="SimSun"/>
              </w:rPr>
            </w:pPr>
            <w:r w:rsidRPr="00AC3044">
              <w:rPr>
                <w:rFonts w:eastAsia="SimSun"/>
              </w:rPr>
              <w:t>-6,-5 дни</w:t>
            </w:r>
          </w:p>
        </w:tc>
        <w:tc>
          <w:tcPr>
            <w:tcW w:w="2268" w:type="dxa"/>
            <w:vAlign w:val="center"/>
          </w:tcPr>
          <w:p w14:paraId="230081B7" w14:textId="77777777" w:rsidR="00304132" w:rsidRPr="00AC3044" w:rsidRDefault="00304132" w:rsidP="00CD5E09">
            <w:pPr>
              <w:rPr>
                <w:rFonts w:eastAsia="SimSun"/>
              </w:rPr>
            </w:pPr>
            <w:r w:rsidRPr="00AC3044">
              <w:rPr>
                <w:rFonts w:eastAsia="SimSun"/>
              </w:rPr>
              <w:t>В/в, в течение 2 ч.</w:t>
            </w:r>
          </w:p>
        </w:tc>
      </w:tr>
      <w:tr w:rsidR="00304132" w:rsidRPr="00AC3044" w14:paraId="44EA9082" w14:textId="77777777" w:rsidTr="00CD5E09">
        <w:trPr>
          <w:cantSplit/>
          <w:trHeight w:val="20"/>
        </w:trPr>
        <w:tc>
          <w:tcPr>
            <w:tcW w:w="993" w:type="dxa"/>
            <w:vMerge w:val="restart"/>
            <w:textDirection w:val="btLr"/>
            <w:vAlign w:val="center"/>
          </w:tcPr>
          <w:p w14:paraId="0851658C" w14:textId="77777777" w:rsidR="00304132" w:rsidRPr="00AC3044" w:rsidRDefault="00304132" w:rsidP="00CD5E09">
            <w:pPr>
              <w:rPr>
                <w:rFonts w:eastAsia="SimSun"/>
              </w:rPr>
            </w:pPr>
            <w:r w:rsidRPr="00AC3044">
              <w:rPr>
                <w:rFonts w:eastAsia="SimSun"/>
              </w:rPr>
              <w:t>Профилактика РТПХ</w:t>
            </w:r>
          </w:p>
        </w:tc>
        <w:tc>
          <w:tcPr>
            <w:tcW w:w="1843" w:type="dxa"/>
            <w:vAlign w:val="center"/>
          </w:tcPr>
          <w:p w14:paraId="35B16F72" w14:textId="77777777" w:rsidR="00304132" w:rsidRPr="00AC3044" w:rsidRDefault="00304132" w:rsidP="00CD5E09">
            <w:pPr>
              <w:rPr>
                <w:rFonts w:eastAsia="SimSun"/>
              </w:rPr>
            </w:pPr>
            <w:r w:rsidRPr="00AC3044">
              <w:rPr>
                <w:rFonts w:eastAsia="SimSun"/>
              </w:rPr>
              <w:t>Циклофосфамид</w:t>
            </w:r>
          </w:p>
        </w:tc>
        <w:tc>
          <w:tcPr>
            <w:tcW w:w="1417" w:type="dxa"/>
            <w:vAlign w:val="center"/>
          </w:tcPr>
          <w:p w14:paraId="730D3C1B" w14:textId="77777777" w:rsidR="00304132" w:rsidRPr="00AC3044" w:rsidRDefault="00304132" w:rsidP="00CD5E09">
            <w:pPr>
              <w:rPr>
                <w:rFonts w:eastAsia="SimSun"/>
              </w:rPr>
            </w:pPr>
            <w:r w:rsidRPr="00AC3044">
              <w:rPr>
                <w:rFonts w:eastAsia="SimSun"/>
              </w:rPr>
              <w:t>50 мг/кг</w:t>
            </w:r>
          </w:p>
        </w:tc>
        <w:tc>
          <w:tcPr>
            <w:tcW w:w="1418" w:type="dxa"/>
            <w:vAlign w:val="center"/>
          </w:tcPr>
          <w:p w14:paraId="5DC7D3E3" w14:textId="77777777" w:rsidR="00304132" w:rsidRPr="00AC3044" w:rsidRDefault="00304132" w:rsidP="00CD5E09">
            <w:pPr>
              <w:rPr>
                <w:rFonts w:eastAsia="SimSun"/>
              </w:rPr>
            </w:pPr>
            <w:r w:rsidRPr="00AC3044">
              <w:rPr>
                <w:rFonts w:eastAsia="SimSun"/>
              </w:rPr>
              <w:t>100 мг/кг</w:t>
            </w:r>
          </w:p>
        </w:tc>
        <w:tc>
          <w:tcPr>
            <w:tcW w:w="1701" w:type="dxa"/>
            <w:vAlign w:val="center"/>
          </w:tcPr>
          <w:p w14:paraId="5618A3E0" w14:textId="77777777" w:rsidR="00304132" w:rsidRPr="00AC3044" w:rsidRDefault="00304132" w:rsidP="00CD5E09">
            <w:pPr>
              <w:rPr>
                <w:rFonts w:eastAsia="SimSun"/>
              </w:rPr>
            </w:pPr>
            <w:r w:rsidRPr="00AC3044">
              <w:rPr>
                <w:rFonts w:eastAsia="SimSun"/>
              </w:rPr>
              <w:t xml:space="preserve">+3,+4 дни </w:t>
            </w:r>
          </w:p>
        </w:tc>
        <w:tc>
          <w:tcPr>
            <w:tcW w:w="2268" w:type="dxa"/>
            <w:vAlign w:val="center"/>
          </w:tcPr>
          <w:p w14:paraId="0A539E3F" w14:textId="77777777" w:rsidR="00304132" w:rsidRPr="00AC3044" w:rsidRDefault="00304132" w:rsidP="00CD5E09">
            <w:pPr>
              <w:rPr>
                <w:rFonts w:eastAsia="SimSun"/>
              </w:rPr>
            </w:pPr>
            <w:r w:rsidRPr="00AC3044">
              <w:rPr>
                <w:rFonts w:eastAsia="SimSun"/>
              </w:rPr>
              <w:t xml:space="preserve">В/в, в течение 2 ч </w:t>
            </w:r>
          </w:p>
        </w:tc>
      </w:tr>
      <w:tr w:rsidR="00304132" w:rsidRPr="00AC3044" w14:paraId="0A52C54E" w14:textId="77777777" w:rsidTr="00CD5E09">
        <w:trPr>
          <w:cantSplit/>
          <w:trHeight w:val="20"/>
        </w:trPr>
        <w:tc>
          <w:tcPr>
            <w:tcW w:w="993" w:type="dxa"/>
            <w:vMerge/>
            <w:textDirection w:val="btLr"/>
          </w:tcPr>
          <w:p w14:paraId="75B698D9" w14:textId="77777777" w:rsidR="00304132" w:rsidRPr="00AC3044" w:rsidRDefault="00304132" w:rsidP="00CD5E09">
            <w:pPr>
              <w:rPr>
                <w:rFonts w:eastAsia="SimSun"/>
              </w:rPr>
            </w:pPr>
          </w:p>
        </w:tc>
        <w:tc>
          <w:tcPr>
            <w:tcW w:w="1843" w:type="dxa"/>
            <w:vAlign w:val="center"/>
          </w:tcPr>
          <w:p w14:paraId="7912C3ED" w14:textId="77777777" w:rsidR="00304132" w:rsidRPr="00AC3044" w:rsidRDefault="00304132" w:rsidP="00CD5E09">
            <w:pPr>
              <w:rPr>
                <w:rFonts w:eastAsia="SimSun"/>
              </w:rPr>
            </w:pPr>
            <w:r w:rsidRPr="00AC3044">
              <w:rPr>
                <w:rFonts w:eastAsia="SimSun"/>
              </w:rPr>
              <w:t>Циклоспорин</w:t>
            </w:r>
          </w:p>
        </w:tc>
        <w:tc>
          <w:tcPr>
            <w:tcW w:w="1417" w:type="dxa"/>
            <w:vAlign w:val="center"/>
          </w:tcPr>
          <w:p w14:paraId="5FF3481E" w14:textId="77777777" w:rsidR="00304132" w:rsidRPr="00AC3044" w:rsidRDefault="00304132" w:rsidP="00CD5E09">
            <w:pPr>
              <w:rPr>
                <w:rFonts w:eastAsia="SimSun"/>
              </w:rPr>
            </w:pPr>
            <w:r w:rsidRPr="00AC3044">
              <w:rPr>
                <w:rFonts w:eastAsia="SimSun"/>
              </w:rPr>
              <w:t>3 мг/кг</w:t>
            </w:r>
          </w:p>
        </w:tc>
        <w:tc>
          <w:tcPr>
            <w:tcW w:w="1418" w:type="dxa"/>
            <w:vAlign w:val="center"/>
          </w:tcPr>
          <w:p w14:paraId="13228BD4" w14:textId="77777777" w:rsidR="00304132" w:rsidRPr="00AC3044" w:rsidRDefault="00304132" w:rsidP="00CD5E09">
            <w:pPr>
              <w:rPr>
                <w:rFonts w:eastAsia="SimSun"/>
              </w:rPr>
            </w:pPr>
            <w:r w:rsidRPr="00AC3044">
              <w:rPr>
                <w:rFonts w:eastAsia="SimSun"/>
              </w:rPr>
              <w:t>–</w:t>
            </w:r>
          </w:p>
        </w:tc>
        <w:tc>
          <w:tcPr>
            <w:tcW w:w="1701" w:type="dxa"/>
            <w:vAlign w:val="center"/>
          </w:tcPr>
          <w:p w14:paraId="2F5B1131" w14:textId="77777777" w:rsidR="00304132" w:rsidRPr="00AC3044" w:rsidRDefault="00304132" w:rsidP="00CD5E09">
            <w:pPr>
              <w:rPr>
                <w:rFonts w:eastAsia="SimSun"/>
              </w:rPr>
            </w:pPr>
            <w:r w:rsidRPr="00AC3044">
              <w:rPr>
                <w:rFonts w:eastAsia="SimSun"/>
              </w:rPr>
              <w:t>С +5 по +60 день, затем постепенное снижение к +100 дню</w:t>
            </w:r>
          </w:p>
        </w:tc>
        <w:tc>
          <w:tcPr>
            <w:tcW w:w="2268" w:type="dxa"/>
            <w:vAlign w:val="center"/>
          </w:tcPr>
          <w:p w14:paraId="53AF6216" w14:textId="77777777" w:rsidR="00304132" w:rsidRPr="00AC3044" w:rsidRDefault="00304132" w:rsidP="00CD5E09">
            <w:pPr>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0C005F">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150-350 нг/мл  </w:t>
            </w:r>
          </w:p>
        </w:tc>
      </w:tr>
      <w:tr w:rsidR="00304132" w:rsidRPr="00AC3044" w14:paraId="2AE4F444" w14:textId="77777777" w:rsidTr="00CD5E09">
        <w:trPr>
          <w:cantSplit/>
          <w:trHeight w:val="464"/>
        </w:trPr>
        <w:tc>
          <w:tcPr>
            <w:tcW w:w="993" w:type="dxa"/>
            <w:vMerge/>
          </w:tcPr>
          <w:p w14:paraId="2467F69D" w14:textId="77777777" w:rsidR="00304132" w:rsidRPr="00AC3044" w:rsidRDefault="00304132" w:rsidP="00CD5E09">
            <w:pPr>
              <w:rPr>
                <w:rFonts w:eastAsia="SimSun"/>
              </w:rPr>
            </w:pPr>
          </w:p>
        </w:tc>
        <w:tc>
          <w:tcPr>
            <w:tcW w:w="1843" w:type="dxa"/>
            <w:vAlign w:val="center"/>
          </w:tcPr>
          <w:p w14:paraId="436C9E21" w14:textId="77777777" w:rsidR="00304132" w:rsidRPr="00AC3044" w:rsidRDefault="00304132" w:rsidP="00CD5E09">
            <w:pPr>
              <w:rPr>
                <w:rFonts w:eastAsia="SimSun"/>
              </w:rPr>
            </w:pPr>
            <w:r w:rsidRPr="00AC3044">
              <w:rPr>
                <w:rFonts w:eastAsia="SimSun"/>
              </w:rPr>
              <w:t>Микофенолата мофетил</w:t>
            </w:r>
          </w:p>
        </w:tc>
        <w:tc>
          <w:tcPr>
            <w:tcW w:w="1417" w:type="dxa"/>
            <w:vAlign w:val="center"/>
          </w:tcPr>
          <w:p w14:paraId="38FB4190" w14:textId="77777777" w:rsidR="00304132" w:rsidRPr="00AC3044" w:rsidRDefault="00304132" w:rsidP="00CD5E09">
            <w:pPr>
              <w:rPr>
                <w:rFonts w:eastAsia="SimSun"/>
              </w:rPr>
            </w:pPr>
            <w:r w:rsidRPr="00AC3044">
              <w:rPr>
                <w:rFonts w:eastAsia="SimSun"/>
              </w:rPr>
              <w:t>30 мг/кг</w:t>
            </w:r>
          </w:p>
        </w:tc>
        <w:tc>
          <w:tcPr>
            <w:tcW w:w="1418" w:type="dxa"/>
            <w:vAlign w:val="center"/>
          </w:tcPr>
          <w:p w14:paraId="1A0F0888" w14:textId="77777777" w:rsidR="00304132" w:rsidRPr="00AC3044" w:rsidRDefault="00304132" w:rsidP="00CD5E09">
            <w:pPr>
              <w:rPr>
                <w:rFonts w:eastAsia="SimSun"/>
              </w:rPr>
            </w:pPr>
            <w:r w:rsidRPr="00AC3044">
              <w:rPr>
                <w:rFonts w:eastAsia="SimSun"/>
              </w:rPr>
              <w:t>–</w:t>
            </w:r>
          </w:p>
        </w:tc>
        <w:tc>
          <w:tcPr>
            <w:tcW w:w="1701" w:type="dxa"/>
            <w:vAlign w:val="center"/>
          </w:tcPr>
          <w:p w14:paraId="4DC70D5E" w14:textId="77777777" w:rsidR="00304132" w:rsidRPr="00AC3044" w:rsidRDefault="00304132" w:rsidP="00CD5E09">
            <w:pPr>
              <w:rPr>
                <w:rFonts w:eastAsia="SimSun"/>
              </w:rPr>
            </w:pPr>
            <w:r w:rsidRPr="00AC3044">
              <w:rPr>
                <w:rFonts w:eastAsia="SimSun"/>
              </w:rPr>
              <w:t>С +5 по +30 день</w:t>
            </w:r>
          </w:p>
        </w:tc>
        <w:tc>
          <w:tcPr>
            <w:tcW w:w="2268" w:type="dxa"/>
            <w:vAlign w:val="center"/>
          </w:tcPr>
          <w:p w14:paraId="68589F52" w14:textId="77777777" w:rsidR="00304132" w:rsidRPr="00AC3044" w:rsidRDefault="00304132" w:rsidP="00CD5E09">
            <w:pPr>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г/сут).</w:t>
            </w:r>
          </w:p>
        </w:tc>
      </w:tr>
    </w:tbl>
    <w:p w14:paraId="2C7BA8A0" w14:textId="77777777" w:rsidR="00304132" w:rsidRPr="00C07B2E" w:rsidRDefault="00304132" w:rsidP="00304132">
      <w:pPr>
        <w:rPr>
          <w:rFonts w:eastAsia="SimSun"/>
        </w:rPr>
      </w:pPr>
    </w:p>
    <w:p w14:paraId="1F00C663" w14:textId="77777777" w:rsidR="00304132" w:rsidRPr="00C07B2E" w:rsidRDefault="00304132" w:rsidP="00304132">
      <w:pPr>
        <w:rPr>
          <w:rFonts w:eastAsia="SimSun"/>
        </w:rPr>
      </w:pPr>
      <w:bookmarkStart w:id="308" w:name="_Toc44401163"/>
      <w:r w:rsidRPr="00042499">
        <w:rPr>
          <w:rFonts w:eastAsia="SimSun"/>
        </w:rPr>
        <w:t>Таблица</w:t>
      </w:r>
      <w:r w:rsidRPr="00C07B2E">
        <w:rPr>
          <w:rFonts w:eastAsia="SimSun"/>
        </w:rPr>
        <w:t xml:space="preserve"> </w:t>
      </w:r>
      <w:r>
        <w:rPr>
          <w:rFonts w:eastAsia="SimSun"/>
        </w:rPr>
        <w:t>5.</w:t>
      </w:r>
      <w:r w:rsidRPr="00C07B2E">
        <w:rPr>
          <w:rFonts w:eastAsia="SimSun"/>
        </w:rPr>
        <w:t>1.2.5  – Flu180+Bu8 / hATG+CSA+MTX+MMF30</w:t>
      </w:r>
      <w:bookmarkEnd w:id="308"/>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843"/>
        <w:gridCol w:w="1417"/>
        <w:gridCol w:w="1418"/>
        <w:gridCol w:w="1701"/>
        <w:gridCol w:w="2268"/>
      </w:tblGrid>
      <w:tr w:rsidR="00304132" w:rsidRPr="00AC3044" w14:paraId="48649F0E" w14:textId="77777777" w:rsidTr="00CD5E09">
        <w:trPr>
          <w:cantSplit/>
          <w:trHeight w:val="20"/>
          <w:tblHeader/>
        </w:trPr>
        <w:tc>
          <w:tcPr>
            <w:tcW w:w="993" w:type="dxa"/>
          </w:tcPr>
          <w:p w14:paraId="7BC789A5" w14:textId="77777777" w:rsidR="00304132" w:rsidRPr="00470D3D" w:rsidRDefault="00304132" w:rsidP="00CD5E09">
            <w:pPr>
              <w:rPr>
                <w:rFonts w:eastAsia="SimSun"/>
              </w:rPr>
            </w:pPr>
          </w:p>
        </w:tc>
        <w:tc>
          <w:tcPr>
            <w:tcW w:w="1843" w:type="dxa"/>
            <w:vAlign w:val="center"/>
          </w:tcPr>
          <w:p w14:paraId="30F87C4C" w14:textId="77777777" w:rsidR="00304132" w:rsidRPr="00AC3044" w:rsidRDefault="00304132" w:rsidP="00CD5E09">
            <w:pPr>
              <w:rPr>
                <w:rFonts w:eastAsia="SimSun"/>
              </w:rPr>
            </w:pPr>
            <w:r w:rsidRPr="00AC3044">
              <w:rPr>
                <w:rFonts w:eastAsia="SimSun"/>
              </w:rPr>
              <w:t>Препарат</w:t>
            </w:r>
          </w:p>
        </w:tc>
        <w:tc>
          <w:tcPr>
            <w:tcW w:w="1417" w:type="dxa"/>
            <w:vAlign w:val="center"/>
          </w:tcPr>
          <w:p w14:paraId="47C5451A" w14:textId="77777777" w:rsidR="00304132" w:rsidRPr="00AC3044" w:rsidRDefault="00304132" w:rsidP="00CD5E09">
            <w:pPr>
              <w:rPr>
                <w:rFonts w:eastAsia="SimSun"/>
              </w:rPr>
            </w:pPr>
            <w:r w:rsidRPr="00AC3044">
              <w:rPr>
                <w:rFonts w:eastAsia="SimSun"/>
              </w:rPr>
              <w:t>Суточная доза</w:t>
            </w:r>
          </w:p>
        </w:tc>
        <w:tc>
          <w:tcPr>
            <w:tcW w:w="1418" w:type="dxa"/>
            <w:vAlign w:val="center"/>
          </w:tcPr>
          <w:p w14:paraId="75F8D9F2" w14:textId="77777777" w:rsidR="00304132" w:rsidRPr="00AC3044" w:rsidRDefault="00304132" w:rsidP="00CD5E09">
            <w:pPr>
              <w:rPr>
                <w:rFonts w:eastAsia="SimSun"/>
              </w:rPr>
            </w:pPr>
            <w:r w:rsidRPr="00AC3044">
              <w:rPr>
                <w:rFonts w:eastAsia="SimSun"/>
              </w:rPr>
              <w:t>Курсовая доза</w:t>
            </w:r>
          </w:p>
        </w:tc>
        <w:tc>
          <w:tcPr>
            <w:tcW w:w="1701" w:type="dxa"/>
            <w:vAlign w:val="center"/>
          </w:tcPr>
          <w:p w14:paraId="66CE2182" w14:textId="77777777" w:rsidR="00304132" w:rsidRPr="00AC3044" w:rsidRDefault="00304132" w:rsidP="00CD5E09">
            <w:pPr>
              <w:rPr>
                <w:rFonts w:eastAsia="SimSun"/>
              </w:rPr>
            </w:pPr>
            <w:r w:rsidRPr="00AC3044">
              <w:rPr>
                <w:rFonts w:eastAsia="SimSun"/>
              </w:rPr>
              <w:t>Дни введения</w:t>
            </w:r>
          </w:p>
        </w:tc>
        <w:tc>
          <w:tcPr>
            <w:tcW w:w="2268" w:type="dxa"/>
            <w:vAlign w:val="center"/>
          </w:tcPr>
          <w:p w14:paraId="0CE8572A" w14:textId="77777777" w:rsidR="00304132" w:rsidRPr="00AC3044" w:rsidRDefault="00304132" w:rsidP="00CD5E09">
            <w:pPr>
              <w:rPr>
                <w:rFonts w:eastAsia="SimSun"/>
              </w:rPr>
            </w:pPr>
            <w:r w:rsidRPr="00AC3044">
              <w:rPr>
                <w:rFonts w:eastAsia="SimSun"/>
              </w:rPr>
              <w:t>Порядок введения</w:t>
            </w:r>
          </w:p>
        </w:tc>
      </w:tr>
      <w:tr w:rsidR="00304132" w:rsidRPr="00AC3044" w14:paraId="20FAC35F" w14:textId="77777777" w:rsidTr="00CD5E09">
        <w:trPr>
          <w:cantSplit/>
          <w:trHeight w:val="20"/>
        </w:trPr>
        <w:tc>
          <w:tcPr>
            <w:tcW w:w="993" w:type="dxa"/>
            <w:vMerge w:val="restart"/>
            <w:textDirection w:val="btLr"/>
            <w:vAlign w:val="center"/>
          </w:tcPr>
          <w:p w14:paraId="5736A9C9" w14:textId="77777777" w:rsidR="00304132" w:rsidRPr="00AC3044" w:rsidRDefault="00304132" w:rsidP="00CD5E09">
            <w:pPr>
              <w:rPr>
                <w:rFonts w:eastAsia="SimSun"/>
              </w:rPr>
            </w:pPr>
            <w:r w:rsidRPr="00AC3044">
              <w:rPr>
                <w:rFonts w:eastAsia="SimSun"/>
              </w:rPr>
              <w:t>Кондиционирование</w:t>
            </w:r>
          </w:p>
        </w:tc>
        <w:tc>
          <w:tcPr>
            <w:tcW w:w="1843" w:type="dxa"/>
            <w:vAlign w:val="center"/>
          </w:tcPr>
          <w:p w14:paraId="671C6BB8" w14:textId="77777777" w:rsidR="00304132" w:rsidRPr="00AC3044" w:rsidRDefault="00304132" w:rsidP="00CD5E09">
            <w:pPr>
              <w:rPr>
                <w:rFonts w:eastAsia="SimSun"/>
              </w:rPr>
            </w:pPr>
            <w:r w:rsidRPr="00AC3044">
              <w:rPr>
                <w:rFonts w:eastAsia="SimSun"/>
              </w:rPr>
              <w:t xml:space="preserve">Флударабин </w:t>
            </w:r>
          </w:p>
        </w:tc>
        <w:tc>
          <w:tcPr>
            <w:tcW w:w="1417" w:type="dxa"/>
            <w:vAlign w:val="center"/>
          </w:tcPr>
          <w:p w14:paraId="485D5AAB" w14:textId="77777777" w:rsidR="00304132" w:rsidRPr="00AC3044" w:rsidRDefault="00304132" w:rsidP="00CD5E09">
            <w:pPr>
              <w:rPr>
                <w:rFonts w:eastAsia="SimSun"/>
              </w:rPr>
            </w:pPr>
            <w:r w:rsidRPr="00AC3044">
              <w:rPr>
                <w:rFonts w:eastAsia="SimSun"/>
              </w:rPr>
              <w:t>30 мг/м</w:t>
            </w:r>
            <w:r w:rsidRPr="000C005F">
              <w:rPr>
                <w:rFonts w:eastAsia="SimSun"/>
                <w:vertAlign w:val="superscript"/>
              </w:rPr>
              <w:t>2</w:t>
            </w:r>
          </w:p>
        </w:tc>
        <w:tc>
          <w:tcPr>
            <w:tcW w:w="1418" w:type="dxa"/>
            <w:vAlign w:val="center"/>
          </w:tcPr>
          <w:p w14:paraId="406C3062" w14:textId="77777777" w:rsidR="00304132" w:rsidRPr="00AC3044" w:rsidRDefault="00304132" w:rsidP="00CD5E09">
            <w:pPr>
              <w:rPr>
                <w:rFonts w:eastAsia="SimSun"/>
              </w:rPr>
            </w:pPr>
            <w:r w:rsidRPr="00AC3044">
              <w:rPr>
                <w:rFonts w:eastAsia="SimSun"/>
              </w:rPr>
              <w:t>180 мг/м</w:t>
            </w:r>
            <w:r w:rsidRPr="000C005F">
              <w:rPr>
                <w:rFonts w:eastAsia="SimSun"/>
                <w:vertAlign w:val="superscript"/>
              </w:rPr>
              <w:t>2</w:t>
            </w:r>
          </w:p>
        </w:tc>
        <w:tc>
          <w:tcPr>
            <w:tcW w:w="1701" w:type="dxa"/>
            <w:vAlign w:val="center"/>
          </w:tcPr>
          <w:p w14:paraId="1188E669" w14:textId="77777777" w:rsidR="00304132" w:rsidRPr="00AC3044" w:rsidRDefault="00304132" w:rsidP="00CD5E09">
            <w:pPr>
              <w:rPr>
                <w:rFonts w:eastAsia="SimSun"/>
              </w:rPr>
            </w:pPr>
            <w:r w:rsidRPr="00AC3044">
              <w:rPr>
                <w:rFonts w:eastAsia="SimSun"/>
              </w:rPr>
              <w:t>С –10 по –5 день</w:t>
            </w:r>
          </w:p>
        </w:tc>
        <w:tc>
          <w:tcPr>
            <w:tcW w:w="2268" w:type="dxa"/>
            <w:vAlign w:val="center"/>
          </w:tcPr>
          <w:p w14:paraId="4BFC1692" w14:textId="77777777" w:rsidR="00304132" w:rsidRPr="00AC3044" w:rsidRDefault="00304132" w:rsidP="00CD5E09">
            <w:pPr>
              <w:rPr>
                <w:rFonts w:eastAsia="SimSun"/>
              </w:rPr>
            </w:pPr>
            <w:r w:rsidRPr="00AC3044">
              <w:rPr>
                <w:rFonts w:eastAsia="SimSun"/>
              </w:rPr>
              <w:t>В/в, в течение 30 -60 мин</w:t>
            </w:r>
          </w:p>
        </w:tc>
      </w:tr>
      <w:tr w:rsidR="00304132" w:rsidRPr="00AC3044" w14:paraId="73A15818" w14:textId="77777777" w:rsidTr="00CD5E09">
        <w:trPr>
          <w:cantSplit/>
          <w:trHeight w:val="1043"/>
        </w:trPr>
        <w:tc>
          <w:tcPr>
            <w:tcW w:w="993" w:type="dxa"/>
            <w:vMerge/>
            <w:textDirection w:val="btLr"/>
            <w:vAlign w:val="center"/>
          </w:tcPr>
          <w:p w14:paraId="4F25CF4E" w14:textId="77777777" w:rsidR="00304132" w:rsidRPr="00AC3044" w:rsidRDefault="00304132" w:rsidP="00CD5E09">
            <w:pPr>
              <w:rPr>
                <w:rFonts w:eastAsia="SimSun"/>
              </w:rPr>
            </w:pPr>
          </w:p>
        </w:tc>
        <w:tc>
          <w:tcPr>
            <w:tcW w:w="1843" w:type="dxa"/>
            <w:vAlign w:val="center"/>
          </w:tcPr>
          <w:p w14:paraId="788EBB39" w14:textId="77777777" w:rsidR="00304132" w:rsidRPr="00AC3044" w:rsidRDefault="00304132" w:rsidP="00CD5E09">
            <w:pPr>
              <w:rPr>
                <w:rFonts w:eastAsia="SimSun"/>
              </w:rPr>
            </w:pPr>
            <w:r w:rsidRPr="00AC3044">
              <w:rPr>
                <w:rFonts w:eastAsia="SimSun"/>
              </w:rPr>
              <w:t>Бусульфан</w:t>
            </w:r>
          </w:p>
        </w:tc>
        <w:tc>
          <w:tcPr>
            <w:tcW w:w="1417" w:type="dxa"/>
            <w:vAlign w:val="center"/>
          </w:tcPr>
          <w:p w14:paraId="16B17C63" w14:textId="77777777" w:rsidR="00304132" w:rsidRPr="00AC3044" w:rsidRDefault="00304132" w:rsidP="00CD5E09">
            <w:pPr>
              <w:rPr>
                <w:rFonts w:eastAsia="SimSun"/>
              </w:rPr>
            </w:pPr>
            <w:r w:rsidRPr="00AC3044">
              <w:rPr>
                <w:rFonts w:eastAsia="SimSun"/>
              </w:rPr>
              <w:t>4 мг/кг</w:t>
            </w:r>
          </w:p>
        </w:tc>
        <w:tc>
          <w:tcPr>
            <w:tcW w:w="1418" w:type="dxa"/>
            <w:vAlign w:val="center"/>
          </w:tcPr>
          <w:p w14:paraId="31FD8D0D" w14:textId="77777777" w:rsidR="00304132" w:rsidRPr="00AC3044" w:rsidRDefault="00304132" w:rsidP="00CD5E09">
            <w:pPr>
              <w:rPr>
                <w:rFonts w:eastAsia="SimSun"/>
              </w:rPr>
            </w:pPr>
            <w:r w:rsidRPr="00AC3044">
              <w:rPr>
                <w:rFonts w:eastAsia="SimSun"/>
              </w:rPr>
              <w:t>8 мг/кг</w:t>
            </w:r>
          </w:p>
        </w:tc>
        <w:tc>
          <w:tcPr>
            <w:tcW w:w="1701" w:type="dxa"/>
            <w:vAlign w:val="center"/>
          </w:tcPr>
          <w:p w14:paraId="6718F034" w14:textId="77777777" w:rsidR="00304132" w:rsidRPr="00AC3044" w:rsidRDefault="00304132" w:rsidP="00CD5E09">
            <w:pPr>
              <w:rPr>
                <w:rFonts w:eastAsia="SimSun"/>
              </w:rPr>
            </w:pPr>
            <w:r w:rsidRPr="00AC3044">
              <w:rPr>
                <w:rFonts w:eastAsia="SimSun"/>
              </w:rPr>
              <w:t>–6, –5 дни</w:t>
            </w:r>
          </w:p>
        </w:tc>
        <w:tc>
          <w:tcPr>
            <w:tcW w:w="2268" w:type="dxa"/>
            <w:vAlign w:val="center"/>
          </w:tcPr>
          <w:p w14:paraId="42C3FBD8" w14:textId="77777777" w:rsidR="00304132" w:rsidRPr="00AC3044" w:rsidRDefault="00304132" w:rsidP="00CD5E09">
            <w:pPr>
              <w:rPr>
                <w:rFonts w:eastAsia="SimSun"/>
              </w:rPr>
            </w:pPr>
            <w:r w:rsidRPr="00AC3044">
              <w:rPr>
                <w:rFonts w:eastAsia="SimSun"/>
              </w:rPr>
              <w:t>Внутрь, суммарная суточная доза разделяется на 4 приема с интервалом 6 часов.</w:t>
            </w:r>
          </w:p>
        </w:tc>
      </w:tr>
      <w:tr w:rsidR="00304132" w:rsidRPr="00AC3044" w14:paraId="2B6635B3" w14:textId="77777777" w:rsidTr="00CD5E09">
        <w:trPr>
          <w:cantSplit/>
          <w:trHeight w:val="20"/>
        </w:trPr>
        <w:tc>
          <w:tcPr>
            <w:tcW w:w="993" w:type="dxa"/>
            <w:vMerge w:val="restart"/>
            <w:textDirection w:val="btLr"/>
          </w:tcPr>
          <w:p w14:paraId="0FBD8DA1" w14:textId="77777777" w:rsidR="00304132" w:rsidRPr="00AC3044" w:rsidRDefault="00304132" w:rsidP="00CD5E09">
            <w:pPr>
              <w:rPr>
                <w:rFonts w:eastAsia="SimSun"/>
              </w:rPr>
            </w:pPr>
            <w:r w:rsidRPr="00AC3044">
              <w:rPr>
                <w:rFonts w:eastAsia="SimSun"/>
              </w:rPr>
              <w:t>Профилактика РТПХ</w:t>
            </w:r>
          </w:p>
        </w:tc>
        <w:tc>
          <w:tcPr>
            <w:tcW w:w="1843" w:type="dxa"/>
            <w:vAlign w:val="center"/>
          </w:tcPr>
          <w:p w14:paraId="75EF052B" w14:textId="77777777" w:rsidR="00304132" w:rsidRPr="00AC3044" w:rsidRDefault="00304132" w:rsidP="00CD5E09">
            <w:pPr>
              <w:rPr>
                <w:rFonts w:eastAsia="SimSun"/>
              </w:rPr>
            </w:pPr>
            <w:r w:rsidRPr="00AC3044">
              <w:rPr>
                <w:rFonts w:eastAsia="SimSun"/>
              </w:rPr>
              <w:t>АТГ (лошадиный)</w:t>
            </w:r>
          </w:p>
        </w:tc>
        <w:tc>
          <w:tcPr>
            <w:tcW w:w="1417" w:type="dxa"/>
            <w:vAlign w:val="center"/>
          </w:tcPr>
          <w:p w14:paraId="6DA63EDA" w14:textId="77777777" w:rsidR="00304132" w:rsidRPr="00AC3044" w:rsidRDefault="00304132" w:rsidP="00CD5E09">
            <w:pPr>
              <w:rPr>
                <w:rFonts w:eastAsia="SimSun"/>
              </w:rPr>
            </w:pPr>
            <w:r w:rsidRPr="00AC3044">
              <w:rPr>
                <w:rFonts w:eastAsia="SimSun"/>
              </w:rPr>
              <w:t>10 -15 мг/кг</w:t>
            </w:r>
          </w:p>
        </w:tc>
        <w:tc>
          <w:tcPr>
            <w:tcW w:w="1418" w:type="dxa"/>
            <w:vAlign w:val="center"/>
          </w:tcPr>
          <w:p w14:paraId="1DC61155" w14:textId="77777777" w:rsidR="00304132" w:rsidRPr="00AC3044" w:rsidRDefault="00304132" w:rsidP="00CD5E09">
            <w:pPr>
              <w:rPr>
                <w:rFonts w:eastAsia="SimSun"/>
              </w:rPr>
            </w:pPr>
            <w:r w:rsidRPr="00AC3044">
              <w:rPr>
                <w:rFonts w:eastAsia="SimSun"/>
              </w:rPr>
              <w:t>40 -60 мг/кг</w:t>
            </w:r>
          </w:p>
        </w:tc>
        <w:tc>
          <w:tcPr>
            <w:tcW w:w="1701" w:type="dxa"/>
            <w:vAlign w:val="center"/>
          </w:tcPr>
          <w:p w14:paraId="52939F27" w14:textId="77777777" w:rsidR="00304132" w:rsidRPr="00AC3044" w:rsidRDefault="00304132" w:rsidP="00CD5E09">
            <w:pPr>
              <w:rPr>
                <w:rFonts w:eastAsia="SimSun"/>
              </w:rPr>
            </w:pPr>
            <w:r w:rsidRPr="00AC3044">
              <w:rPr>
                <w:rFonts w:eastAsia="SimSun"/>
              </w:rPr>
              <w:t>С –4 по –1 день</w:t>
            </w:r>
          </w:p>
        </w:tc>
        <w:tc>
          <w:tcPr>
            <w:tcW w:w="2268" w:type="dxa"/>
            <w:vAlign w:val="center"/>
          </w:tcPr>
          <w:p w14:paraId="044D7AA1" w14:textId="77777777" w:rsidR="00304132" w:rsidRPr="00AC3044" w:rsidRDefault="00304132" w:rsidP="00CD5E09">
            <w:pPr>
              <w:rPr>
                <w:rFonts w:eastAsia="SimSun"/>
              </w:rPr>
            </w:pPr>
            <w:r w:rsidRPr="00AC3044">
              <w:rPr>
                <w:rFonts w:eastAsia="SimSun"/>
              </w:rPr>
              <w:t>В/в, в течение 6 ч. Суточная доза разделяется</w:t>
            </w:r>
            <w:r w:rsidRPr="00AC3044" w:rsidDel="00130EA4">
              <w:rPr>
                <w:rFonts w:eastAsia="SimSun"/>
              </w:rPr>
              <w:t xml:space="preserve"> </w:t>
            </w:r>
            <w:r w:rsidRPr="00AC3044">
              <w:rPr>
                <w:rFonts w:eastAsia="SimSun"/>
              </w:rPr>
              <w:t xml:space="preserve">на 2 введения (см. «Инфузия АТГ») </w:t>
            </w:r>
          </w:p>
        </w:tc>
      </w:tr>
      <w:tr w:rsidR="00304132" w:rsidRPr="00AC3044" w14:paraId="1302BDBE" w14:textId="77777777" w:rsidTr="00CD5E09">
        <w:trPr>
          <w:cantSplit/>
          <w:trHeight w:val="20"/>
        </w:trPr>
        <w:tc>
          <w:tcPr>
            <w:tcW w:w="993" w:type="dxa"/>
            <w:vMerge/>
            <w:textDirection w:val="btLr"/>
          </w:tcPr>
          <w:p w14:paraId="0B26EB3F" w14:textId="77777777" w:rsidR="00304132" w:rsidRPr="00AC3044" w:rsidRDefault="00304132" w:rsidP="00CD5E09">
            <w:pPr>
              <w:rPr>
                <w:rFonts w:eastAsia="SimSun"/>
              </w:rPr>
            </w:pPr>
          </w:p>
        </w:tc>
        <w:tc>
          <w:tcPr>
            <w:tcW w:w="1843" w:type="dxa"/>
            <w:vAlign w:val="center"/>
          </w:tcPr>
          <w:p w14:paraId="6F1B93D8" w14:textId="77777777" w:rsidR="00304132" w:rsidRPr="00AC3044" w:rsidRDefault="00304132" w:rsidP="00CD5E09">
            <w:pPr>
              <w:rPr>
                <w:rFonts w:eastAsia="SimSun"/>
              </w:rPr>
            </w:pPr>
            <w:r w:rsidRPr="00AC3044">
              <w:rPr>
                <w:rFonts w:eastAsia="SimSun"/>
              </w:rPr>
              <w:t>Циклоспорин</w:t>
            </w:r>
          </w:p>
        </w:tc>
        <w:tc>
          <w:tcPr>
            <w:tcW w:w="1417" w:type="dxa"/>
            <w:vAlign w:val="center"/>
          </w:tcPr>
          <w:p w14:paraId="1003BC02" w14:textId="77777777" w:rsidR="00304132" w:rsidRPr="00AC3044" w:rsidRDefault="00304132" w:rsidP="00CD5E09">
            <w:pPr>
              <w:rPr>
                <w:rFonts w:eastAsia="SimSun"/>
              </w:rPr>
            </w:pPr>
            <w:r w:rsidRPr="00AC3044">
              <w:rPr>
                <w:rFonts w:eastAsia="SimSun"/>
              </w:rPr>
              <w:t>3 мг/кг</w:t>
            </w:r>
          </w:p>
        </w:tc>
        <w:tc>
          <w:tcPr>
            <w:tcW w:w="1418" w:type="dxa"/>
            <w:vAlign w:val="center"/>
          </w:tcPr>
          <w:p w14:paraId="7A5059FC" w14:textId="77777777" w:rsidR="00304132" w:rsidRPr="00AC3044" w:rsidRDefault="00304132" w:rsidP="00CD5E09">
            <w:pPr>
              <w:rPr>
                <w:rFonts w:eastAsia="SimSun"/>
              </w:rPr>
            </w:pPr>
            <w:r w:rsidRPr="00AC3044">
              <w:rPr>
                <w:rFonts w:eastAsia="SimSun"/>
              </w:rPr>
              <w:t>–</w:t>
            </w:r>
          </w:p>
        </w:tc>
        <w:tc>
          <w:tcPr>
            <w:tcW w:w="1701" w:type="dxa"/>
            <w:vAlign w:val="center"/>
          </w:tcPr>
          <w:p w14:paraId="779920C3" w14:textId="77777777" w:rsidR="00304132" w:rsidRPr="00AC3044" w:rsidRDefault="00304132" w:rsidP="00CD5E09">
            <w:pPr>
              <w:rPr>
                <w:rFonts w:eastAsia="SimSun"/>
              </w:rPr>
            </w:pPr>
            <w:r w:rsidRPr="00AC3044">
              <w:rPr>
                <w:rFonts w:eastAsia="SimSun"/>
              </w:rPr>
              <w:t>С –1 дня по +90 день, затем постепенное снижение к +180 дню</w:t>
            </w:r>
          </w:p>
        </w:tc>
        <w:tc>
          <w:tcPr>
            <w:tcW w:w="2268" w:type="dxa"/>
            <w:vAlign w:val="center"/>
          </w:tcPr>
          <w:p w14:paraId="488AE1BC" w14:textId="77777777" w:rsidR="00304132" w:rsidRPr="00AC3044" w:rsidRDefault="00304132" w:rsidP="00CD5E09">
            <w:pPr>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0C005F">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304132" w:rsidRPr="00AC3044" w14:paraId="5A1A312E" w14:textId="77777777" w:rsidTr="00CD5E09">
        <w:trPr>
          <w:cantSplit/>
          <w:trHeight w:val="20"/>
        </w:trPr>
        <w:tc>
          <w:tcPr>
            <w:tcW w:w="993" w:type="dxa"/>
            <w:vMerge/>
          </w:tcPr>
          <w:p w14:paraId="6B35F0B2" w14:textId="77777777" w:rsidR="00304132" w:rsidRPr="00AC3044" w:rsidRDefault="00304132" w:rsidP="00CD5E09">
            <w:pPr>
              <w:rPr>
                <w:rFonts w:eastAsia="SimSun"/>
              </w:rPr>
            </w:pPr>
          </w:p>
        </w:tc>
        <w:tc>
          <w:tcPr>
            <w:tcW w:w="1843" w:type="dxa"/>
            <w:vMerge w:val="restart"/>
            <w:vAlign w:val="center"/>
          </w:tcPr>
          <w:p w14:paraId="0F5FD23B" w14:textId="77777777" w:rsidR="00304132" w:rsidRPr="00AC3044" w:rsidRDefault="00304132" w:rsidP="00CD5E09">
            <w:pPr>
              <w:rPr>
                <w:rFonts w:eastAsia="SimSun"/>
              </w:rPr>
            </w:pPr>
            <w:r w:rsidRPr="00AC3044">
              <w:rPr>
                <w:rFonts w:eastAsia="SimSun"/>
              </w:rPr>
              <w:t>Метотрексат</w:t>
            </w:r>
          </w:p>
        </w:tc>
        <w:tc>
          <w:tcPr>
            <w:tcW w:w="1417" w:type="dxa"/>
            <w:vAlign w:val="center"/>
          </w:tcPr>
          <w:p w14:paraId="6A10D4C2" w14:textId="77777777" w:rsidR="00304132" w:rsidRPr="00AC3044" w:rsidRDefault="00304132" w:rsidP="00CD5E09">
            <w:pPr>
              <w:rPr>
                <w:rFonts w:eastAsia="SimSun"/>
              </w:rPr>
            </w:pPr>
            <w:r w:rsidRPr="00AC3044">
              <w:rPr>
                <w:rFonts w:eastAsia="SimSun"/>
              </w:rPr>
              <w:t>15 мг/м</w:t>
            </w:r>
            <w:r w:rsidRPr="000C005F">
              <w:rPr>
                <w:rFonts w:eastAsia="SimSun"/>
                <w:vertAlign w:val="superscript"/>
              </w:rPr>
              <w:t>2</w:t>
            </w:r>
          </w:p>
        </w:tc>
        <w:tc>
          <w:tcPr>
            <w:tcW w:w="1418" w:type="dxa"/>
            <w:vAlign w:val="center"/>
          </w:tcPr>
          <w:p w14:paraId="22BF0094" w14:textId="77777777" w:rsidR="00304132" w:rsidRPr="00AC3044" w:rsidRDefault="00304132" w:rsidP="00CD5E09">
            <w:pPr>
              <w:rPr>
                <w:rFonts w:eastAsia="SimSun"/>
              </w:rPr>
            </w:pPr>
            <w:r w:rsidRPr="00AC3044">
              <w:rPr>
                <w:rFonts w:eastAsia="SimSun"/>
              </w:rPr>
              <w:t>–</w:t>
            </w:r>
          </w:p>
        </w:tc>
        <w:tc>
          <w:tcPr>
            <w:tcW w:w="1701" w:type="dxa"/>
            <w:vAlign w:val="center"/>
          </w:tcPr>
          <w:p w14:paraId="1485E909" w14:textId="77777777" w:rsidR="00304132" w:rsidRPr="00AC3044" w:rsidRDefault="00304132" w:rsidP="00CD5E09">
            <w:pPr>
              <w:rPr>
                <w:rFonts w:eastAsia="SimSun"/>
              </w:rPr>
            </w:pPr>
            <w:r w:rsidRPr="00AC3044">
              <w:rPr>
                <w:rFonts w:eastAsia="SimSun"/>
              </w:rPr>
              <w:t>+1 день</w:t>
            </w:r>
          </w:p>
        </w:tc>
        <w:tc>
          <w:tcPr>
            <w:tcW w:w="2268" w:type="dxa"/>
            <w:vAlign w:val="center"/>
          </w:tcPr>
          <w:p w14:paraId="7049CBBE" w14:textId="77777777" w:rsidR="00304132" w:rsidRPr="00AC3044" w:rsidRDefault="00304132" w:rsidP="00CD5E09">
            <w:pPr>
              <w:rPr>
                <w:rFonts w:eastAsia="SimSun"/>
              </w:rPr>
            </w:pPr>
            <w:r w:rsidRPr="00AC3044">
              <w:rPr>
                <w:rFonts w:eastAsia="SimSun"/>
              </w:rPr>
              <w:t xml:space="preserve">В/в, в 20 мл физ. р-ра </w:t>
            </w:r>
          </w:p>
        </w:tc>
      </w:tr>
      <w:tr w:rsidR="00304132" w:rsidRPr="00AC3044" w14:paraId="27C3F18C" w14:textId="77777777" w:rsidTr="00CD5E09">
        <w:trPr>
          <w:cantSplit/>
          <w:trHeight w:val="464"/>
        </w:trPr>
        <w:tc>
          <w:tcPr>
            <w:tcW w:w="993" w:type="dxa"/>
            <w:vMerge/>
          </w:tcPr>
          <w:p w14:paraId="39DDA6F9" w14:textId="77777777" w:rsidR="00304132" w:rsidRPr="00AC3044" w:rsidRDefault="00304132" w:rsidP="00CD5E09">
            <w:pPr>
              <w:rPr>
                <w:rFonts w:eastAsia="SimSun"/>
              </w:rPr>
            </w:pPr>
          </w:p>
        </w:tc>
        <w:tc>
          <w:tcPr>
            <w:tcW w:w="1843" w:type="dxa"/>
            <w:vMerge/>
            <w:vAlign w:val="center"/>
          </w:tcPr>
          <w:p w14:paraId="075B8291" w14:textId="77777777" w:rsidR="00304132" w:rsidRPr="00AC3044" w:rsidRDefault="00304132" w:rsidP="00CD5E09">
            <w:pPr>
              <w:rPr>
                <w:rFonts w:eastAsia="SimSun"/>
              </w:rPr>
            </w:pPr>
          </w:p>
        </w:tc>
        <w:tc>
          <w:tcPr>
            <w:tcW w:w="1417" w:type="dxa"/>
            <w:vAlign w:val="center"/>
          </w:tcPr>
          <w:p w14:paraId="5CAC9B90" w14:textId="77777777" w:rsidR="00304132" w:rsidRPr="00AC3044" w:rsidRDefault="00304132" w:rsidP="00CD5E09">
            <w:pPr>
              <w:rPr>
                <w:rFonts w:eastAsia="SimSun"/>
              </w:rPr>
            </w:pPr>
            <w:r w:rsidRPr="00AC3044">
              <w:rPr>
                <w:rFonts w:eastAsia="SimSun"/>
              </w:rPr>
              <w:t>10 мг/м</w:t>
            </w:r>
            <w:r w:rsidRPr="000C005F">
              <w:rPr>
                <w:rFonts w:eastAsia="SimSun"/>
                <w:vertAlign w:val="superscript"/>
              </w:rPr>
              <w:t>2</w:t>
            </w:r>
          </w:p>
        </w:tc>
        <w:tc>
          <w:tcPr>
            <w:tcW w:w="1418" w:type="dxa"/>
            <w:vAlign w:val="center"/>
          </w:tcPr>
          <w:p w14:paraId="64D8C791" w14:textId="77777777" w:rsidR="00304132" w:rsidRPr="00AC3044" w:rsidRDefault="00304132" w:rsidP="00CD5E09">
            <w:pPr>
              <w:rPr>
                <w:rFonts w:eastAsia="SimSun"/>
              </w:rPr>
            </w:pPr>
            <w:r w:rsidRPr="00AC3044">
              <w:rPr>
                <w:rFonts w:eastAsia="SimSun"/>
              </w:rPr>
              <w:t>–</w:t>
            </w:r>
          </w:p>
        </w:tc>
        <w:tc>
          <w:tcPr>
            <w:tcW w:w="1701" w:type="dxa"/>
            <w:vAlign w:val="center"/>
          </w:tcPr>
          <w:p w14:paraId="6B6CE0DC" w14:textId="77777777" w:rsidR="00304132" w:rsidRPr="00AC3044" w:rsidRDefault="00304132" w:rsidP="00CD5E09">
            <w:pPr>
              <w:rPr>
                <w:rFonts w:eastAsia="SimSun"/>
              </w:rPr>
            </w:pPr>
            <w:r w:rsidRPr="00AC3044">
              <w:rPr>
                <w:rFonts w:eastAsia="SimSun"/>
              </w:rPr>
              <w:t>+3, +6, +11 день</w:t>
            </w:r>
          </w:p>
        </w:tc>
        <w:tc>
          <w:tcPr>
            <w:tcW w:w="2268" w:type="dxa"/>
            <w:vAlign w:val="center"/>
          </w:tcPr>
          <w:p w14:paraId="4AFB5A4C" w14:textId="77777777" w:rsidR="00304132" w:rsidRPr="00AC3044" w:rsidRDefault="00304132" w:rsidP="00CD5E09">
            <w:pPr>
              <w:rPr>
                <w:rFonts w:eastAsia="SimSun"/>
              </w:rPr>
            </w:pPr>
            <w:r w:rsidRPr="00AC3044">
              <w:rPr>
                <w:rFonts w:eastAsia="SimSun"/>
              </w:rPr>
              <w:t xml:space="preserve">В/в, в 20 мл физ. р-ра </w:t>
            </w:r>
          </w:p>
        </w:tc>
      </w:tr>
      <w:tr w:rsidR="00304132" w:rsidRPr="00AC3044" w14:paraId="6E1E38C2" w14:textId="77777777" w:rsidTr="00CD5E09">
        <w:trPr>
          <w:cantSplit/>
          <w:trHeight w:val="464"/>
        </w:trPr>
        <w:tc>
          <w:tcPr>
            <w:tcW w:w="993" w:type="dxa"/>
            <w:vMerge/>
          </w:tcPr>
          <w:p w14:paraId="23165CD5" w14:textId="77777777" w:rsidR="00304132" w:rsidRPr="00AC3044" w:rsidRDefault="00304132" w:rsidP="00CD5E09">
            <w:pPr>
              <w:rPr>
                <w:rFonts w:eastAsia="SimSun"/>
              </w:rPr>
            </w:pPr>
          </w:p>
        </w:tc>
        <w:tc>
          <w:tcPr>
            <w:tcW w:w="1843" w:type="dxa"/>
            <w:vMerge w:val="restart"/>
            <w:vAlign w:val="center"/>
          </w:tcPr>
          <w:p w14:paraId="2BF40A1B" w14:textId="77777777" w:rsidR="00304132" w:rsidRPr="00AC3044" w:rsidRDefault="00304132" w:rsidP="00CD5E09">
            <w:pPr>
              <w:rPr>
                <w:rFonts w:eastAsia="SimSun"/>
              </w:rPr>
            </w:pPr>
            <w:r w:rsidRPr="00AC3044">
              <w:rPr>
                <w:rFonts w:eastAsia="SimSun"/>
              </w:rPr>
              <w:t>Микофенолата мофетил (только при использовании СКК)</w:t>
            </w:r>
          </w:p>
        </w:tc>
        <w:tc>
          <w:tcPr>
            <w:tcW w:w="1417" w:type="dxa"/>
            <w:vAlign w:val="center"/>
          </w:tcPr>
          <w:p w14:paraId="4C348686" w14:textId="77777777" w:rsidR="00304132" w:rsidRPr="00AC3044" w:rsidRDefault="00304132" w:rsidP="00CD5E09">
            <w:pPr>
              <w:rPr>
                <w:rFonts w:eastAsia="SimSun"/>
              </w:rPr>
            </w:pPr>
            <w:r w:rsidRPr="00AC3044">
              <w:rPr>
                <w:rFonts w:eastAsia="SimSun"/>
              </w:rPr>
              <w:t>2000 мг</w:t>
            </w:r>
          </w:p>
        </w:tc>
        <w:tc>
          <w:tcPr>
            <w:tcW w:w="1418" w:type="dxa"/>
            <w:vAlign w:val="center"/>
          </w:tcPr>
          <w:p w14:paraId="16199EEB" w14:textId="77777777" w:rsidR="00304132" w:rsidRPr="00AC3044" w:rsidRDefault="00304132" w:rsidP="00CD5E09">
            <w:pPr>
              <w:rPr>
                <w:rFonts w:eastAsia="SimSun"/>
              </w:rPr>
            </w:pPr>
            <w:r w:rsidRPr="00AC3044">
              <w:rPr>
                <w:rFonts w:eastAsia="SimSun"/>
              </w:rPr>
              <w:t>–</w:t>
            </w:r>
          </w:p>
        </w:tc>
        <w:tc>
          <w:tcPr>
            <w:tcW w:w="1701" w:type="dxa"/>
            <w:vAlign w:val="center"/>
          </w:tcPr>
          <w:p w14:paraId="6FF267D9" w14:textId="77777777" w:rsidR="00304132" w:rsidRPr="00AC3044" w:rsidRDefault="00304132" w:rsidP="00CD5E09">
            <w:pPr>
              <w:rPr>
                <w:rFonts w:eastAsia="SimSun"/>
              </w:rPr>
            </w:pPr>
            <w:r w:rsidRPr="00AC3044">
              <w:rPr>
                <w:rFonts w:eastAsia="SimSun"/>
              </w:rPr>
              <w:t>С +1 по +14 день</w:t>
            </w:r>
          </w:p>
        </w:tc>
        <w:tc>
          <w:tcPr>
            <w:tcW w:w="2268" w:type="dxa"/>
            <w:vAlign w:val="center"/>
          </w:tcPr>
          <w:p w14:paraId="4186DECD" w14:textId="77777777" w:rsidR="00304132" w:rsidRPr="00AC3044" w:rsidRDefault="00304132" w:rsidP="00CD5E09">
            <w:pPr>
              <w:rPr>
                <w:rFonts w:eastAsia="SimSun"/>
              </w:rPr>
            </w:pPr>
            <w:r w:rsidRPr="00AC3044">
              <w:rPr>
                <w:rFonts w:eastAsia="SimSun"/>
              </w:rPr>
              <w:t>Внутрь, суммарная суточная доза разделяется на 2-4 приема.</w:t>
            </w:r>
          </w:p>
        </w:tc>
      </w:tr>
      <w:tr w:rsidR="00304132" w:rsidRPr="00AC3044" w14:paraId="70298981" w14:textId="77777777" w:rsidTr="00CD5E09">
        <w:trPr>
          <w:cantSplit/>
          <w:trHeight w:val="464"/>
        </w:trPr>
        <w:tc>
          <w:tcPr>
            <w:tcW w:w="993" w:type="dxa"/>
            <w:vMerge/>
          </w:tcPr>
          <w:p w14:paraId="187465F6" w14:textId="77777777" w:rsidR="00304132" w:rsidRPr="00AC3044" w:rsidRDefault="00304132" w:rsidP="00CD5E09">
            <w:pPr>
              <w:rPr>
                <w:rFonts w:eastAsia="SimSun"/>
              </w:rPr>
            </w:pPr>
          </w:p>
        </w:tc>
        <w:tc>
          <w:tcPr>
            <w:tcW w:w="1843" w:type="dxa"/>
            <w:vMerge/>
            <w:vAlign w:val="center"/>
          </w:tcPr>
          <w:p w14:paraId="44784F08" w14:textId="77777777" w:rsidR="00304132" w:rsidRPr="00AC3044" w:rsidRDefault="00304132" w:rsidP="00CD5E09">
            <w:pPr>
              <w:rPr>
                <w:rFonts w:eastAsia="SimSun"/>
              </w:rPr>
            </w:pPr>
          </w:p>
        </w:tc>
        <w:tc>
          <w:tcPr>
            <w:tcW w:w="1417" w:type="dxa"/>
            <w:vAlign w:val="center"/>
          </w:tcPr>
          <w:p w14:paraId="567CB661" w14:textId="77777777" w:rsidR="00304132" w:rsidRPr="00AC3044" w:rsidRDefault="00304132" w:rsidP="00CD5E09">
            <w:pPr>
              <w:rPr>
                <w:rFonts w:eastAsia="SimSun"/>
              </w:rPr>
            </w:pPr>
            <w:r w:rsidRPr="00AC3044">
              <w:rPr>
                <w:rFonts w:eastAsia="SimSun"/>
              </w:rPr>
              <w:t>1000 мг</w:t>
            </w:r>
          </w:p>
        </w:tc>
        <w:tc>
          <w:tcPr>
            <w:tcW w:w="1418" w:type="dxa"/>
            <w:vAlign w:val="center"/>
          </w:tcPr>
          <w:p w14:paraId="096D843A" w14:textId="77777777" w:rsidR="00304132" w:rsidRPr="00AC3044" w:rsidRDefault="00304132" w:rsidP="00CD5E09">
            <w:pPr>
              <w:rPr>
                <w:rFonts w:eastAsia="SimSun"/>
              </w:rPr>
            </w:pPr>
            <w:r w:rsidRPr="00AC3044">
              <w:rPr>
                <w:rFonts w:eastAsia="SimSun"/>
              </w:rPr>
              <w:t>–</w:t>
            </w:r>
          </w:p>
        </w:tc>
        <w:tc>
          <w:tcPr>
            <w:tcW w:w="1701" w:type="dxa"/>
            <w:vAlign w:val="center"/>
          </w:tcPr>
          <w:p w14:paraId="49766881" w14:textId="77777777" w:rsidR="00304132" w:rsidRPr="00AC3044" w:rsidRDefault="00304132" w:rsidP="00CD5E09">
            <w:pPr>
              <w:rPr>
                <w:rFonts w:eastAsia="SimSun"/>
              </w:rPr>
            </w:pPr>
            <w:r w:rsidRPr="00AC3044">
              <w:rPr>
                <w:rFonts w:eastAsia="SimSun"/>
              </w:rPr>
              <w:t>С +15 по +90 день</w:t>
            </w:r>
          </w:p>
        </w:tc>
        <w:tc>
          <w:tcPr>
            <w:tcW w:w="2268" w:type="dxa"/>
            <w:vAlign w:val="center"/>
          </w:tcPr>
          <w:p w14:paraId="5E9408FC" w14:textId="77777777" w:rsidR="00304132" w:rsidRPr="00AC3044" w:rsidRDefault="00304132" w:rsidP="00CD5E09">
            <w:pPr>
              <w:rPr>
                <w:rFonts w:eastAsia="SimSun"/>
              </w:rPr>
            </w:pPr>
            <w:r w:rsidRPr="00AC3044">
              <w:rPr>
                <w:rFonts w:eastAsia="SimSun"/>
              </w:rPr>
              <w:t>Внутрь, суммарная суточная доза разделяется на 2-4 приема.</w:t>
            </w:r>
          </w:p>
        </w:tc>
      </w:tr>
    </w:tbl>
    <w:p w14:paraId="048D1187" w14:textId="77777777" w:rsidR="00304132" w:rsidRDefault="00304132" w:rsidP="00304132">
      <w:pPr>
        <w:rPr>
          <w:rFonts w:eastAsia="SimSun"/>
        </w:rPr>
      </w:pPr>
      <w:bookmarkStart w:id="309" w:name="_Toc44401164"/>
    </w:p>
    <w:p w14:paraId="32E61EAB" w14:textId="77777777" w:rsidR="00304132" w:rsidRPr="00C07B2E" w:rsidRDefault="00304132" w:rsidP="00304132">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1.2.6  – Flu180+Bu8 / rATG+CSA+MTX+MMF30</w:t>
      </w:r>
      <w:bookmarkEnd w:id="309"/>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843"/>
        <w:gridCol w:w="1417"/>
        <w:gridCol w:w="1559"/>
        <w:gridCol w:w="1560"/>
        <w:gridCol w:w="2268"/>
      </w:tblGrid>
      <w:tr w:rsidR="00304132" w:rsidRPr="00AC3044" w14:paraId="6960D916" w14:textId="77777777" w:rsidTr="00CD5E09">
        <w:trPr>
          <w:cantSplit/>
          <w:trHeight w:val="20"/>
          <w:tblHeader/>
        </w:trPr>
        <w:tc>
          <w:tcPr>
            <w:tcW w:w="993" w:type="dxa"/>
          </w:tcPr>
          <w:p w14:paraId="4133498F" w14:textId="77777777" w:rsidR="00304132" w:rsidRPr="00470D3D" w:rsidRDefault="00304132" w:rsidP="00CD5E09">
            <w:pPr>
              <w:rPr>
                <w:rFonts w:eastAsia="SimSun"/>
              </w:rPr>
            </w:pPr>
          </w:p>
        </w:tc>
        <w:tc>
          <w:tcPr>
            <w:tcW w:w="1843" w:type="dxa"/>
            <w:vAlign w:val="center"/>
          </w:tcPr>
          <w:p w14:paraId="6799B8B5" w14:textId="77777777" w:rsidR="00304132" w:rsidRPr="00AC3044" w:rsidRDefault="00304132" w:rsidP="00CD5E09">
            <w:pPr>
              <w:rPr>
                <w:rFonts w:eastAsia="SimSun"/>
              </w:rPr>
            </w:pPr>
            <w:r w:rsidRPr="00AC3044">
              <w:rPr>
                <w:rFonts w:eastAsia="SimSun"/>
              </w:rPr>
              <w:t>Препарат</w:t>
            </w:r>
          </w:p>
        </w:tc>
        <w:tc>
          <w:tcPr>
            <w:tcW w:w="1417" w:type="dxa"/>
            <w:vAlign w:val="center"/>
          </w:tcPr>
          <w:p w14:paraId="0F4FD5B8" w14:textId="77777777" w:rsidR="00304132" w:rsidRPr="00AC3044" w:rsidRDefault="00304132" w:rsidP="00CD5E09">
            <w:pPr>
              <w:rPr>
                <w:rFonts w:eastAsia="SimSun"/>
              </w:rPr>
            </w:pPr>
            <w:r w:rsidRPr="00AC3044">
              <w:rPr>
                <w:rFonts w:eastAsia="SimSun"/>
              </w:rPr>
              <w:t>Суточная доза</w:t>
            </w:r>
          </w:p>
        </w:tc>
        <w:tc>
          <w:tcPr>
            <w:tcW w:w="1559" w:type="dxa"/>
            <w:vAlign w:val="center"/>
          </w:tcPr>
          <w:p w14:paraId="04C69EC8" w14:textId="77777777" w:rsidR="00304132" w:rsidRPr="00AC3044" w:rsidRDefault="00304132" w:rsidP="00CD5E09">
            <w:pPr>
              <w:rPr>
                <w:rFonts w:eastAsia="SimSun"/>
              </w:rPr>
            </w:pPr>
            <w:r w:rsidRPr="00AC3044">
              <w:rPr>
                <w:rFonts w:eastAsia="SimSun"/>
              </w:rPr>
              <w:t>Курсовая доза</w:t>
            </w:r>
          </w:p>
        </w:tc>
        <w:tc>
          <w:tcPr>
            <w:tcW w:w="1560" w:type="dxa"/>
            <w:vAlign w:val="center"/>
          </w:tcPr>
          <w:p w14:paraId="52C61534" w14:textId="77777777" w:rsidR="00304132" w:rsidRPr="00AC3044" w:rsidRDefault="00304132" w:rsidP="00CD5E09">
            <w:pPr>
              <w:rPr>
                <w:rFonts w:eastAsia="SimSun"/>
              </w:rPr>
            </w:pPr>
            <w:r w:rsidRPr="00AC3044">
              <w:rPr>
                <w:rFonts w:eastAsia="SimSun"/>
              </w:rPr>
              <w:t>Дни введения</w:t>
            </w:r>
          </w:p>
        </w:tc>
        <w:tc>
          <w:tcPr>
            <w:tcW w:w="2268" w:type="dxa"/>
            <w:vAlign w:val="center"/>
          </w:tcPr>
          <w:p w14:paraId="14284EB9" w14:textId="77777777" w:rsidR="00304132" w:rsidRPr="00AC3044" w:rsidRDefault="00304132" w:rsidP="00CD5E09">
            <w:pPr>
              <w:rPr>
                <w:rFonts w:eastAsia="SimSun"/>
              </w:rPr>
            </w:pPr>
            <w:r w:rsidRPr="00AC3044">
              <w:rPr>
                <w:rFonts w:eastAsia="SimSun"/>
              </w:rPr>
              <w:t>Порядок введения</w:t>
            </w:r>
          </w:p>
        </w:tc>
      </w:tr>
      <w:tr w:rsidR="00304132" w:rsidRPr="00AC3044" w14:paraId="69C73B2F" w14:textId="77777777" w:rsidTr="00CD5E09">
        <w:trPr>
          <w:cantSplit/>
          <w:trHeight w:val="20"/>
        </w:trPr>
        <w:tc>
          <w:tcPr>
            <w:tcW w:w="993" w:type="dxa"/>
            <w:vMerge w:val="restart"/>
            <w:textDirection w:val="btLr"/>
            <w:vAlign w:val="center"/>
          </w:tcPr>
          <w:p w14:paraId="4374FE94" w14:textId="77777777" w:rsidR="00304132" w:rsidRPr="00AC3044" w:rsidRDefault="00304132" w:rsidP="00CD5E09">
            <w:pPr>
              <w:rPr>
                <w:rFonts w:eastAsia="SimSun"/>
              </w:rPr>
            </w:pPr>
            <w:r w:rsidRPr="00AC3044">
              <w:rPr>
                <w:rFonts w:eastAsia="SimSun"/>
              </w:rPr>
              <w:t>Кондиционирование</w:t>
            </w:r>
          </w:p>
        </w:tc>
        <w:tc>
          <w:tcPr>
            <w:tcW w:w="1843" w:type="dxa"/>
            <w:vAlign w:val="center"/>
          </w:tcPr>
          <w:p w14:paraId="7A574895" w14:textId="77777777" w:rsidR="00304132" w:rsidRPr="00AC3044" w:rsidRDefault="00304132" w:rsidP="00CD5E09">
            <w:pPr>
              <w:rPr>
                <w:rFonts w:eastAsia="SimSun"/>
              </w:rPr>
            </w:pPr>
            <w:r w:rsidRPr="00AC3044">
              <w:rPr>
                <w:rFonts w:eastAsia="SimSun"/>
              </w:rPr>
              <w:t xml:space="preserve">Флударабин </w:t>
            </w:r>
          </w:p>
        </w:tc>
        <w:tc>
          <w:tcPr>
            <w:tcW w:w="1417" w:type="dxa"/>
            <w:vAlign w:val="center"/>
          </w:tcPr>
          <w:p w14:paraId="01886DA6" w14:textId="77777777" w:rsidR="00304132" w:rsidRPr="00AC3044" w:rsidRDefault="00304132" w:rsidP="00CD5E09">
            <w:pPr>
              <w:rPr>
                <w:rFonts w:eastAsia="SimSun"/>
              </w:rPr>
            </w:pPr>
            <w:r w:rsidRPr="00AC3044">
              <w:rPr>
                <w:rFonts w:eastAsia="SimSun"/>
              </w:rPr>
              <w:t>30 мг/м</w:t>
            </w:r>
            <w:r w:rsidRPr="001E6DBE">
              <w:rPr>
                <w:rFonts w:eastAsia="SimSun"/>
                <w:vertAlign w:val="superscript"/>
              </w:rPr>
              <w:t>2</w:t>
            </w:r>
          </w:p>
        </w:tc>
        <w:tc>
          <w:tcPr>
            <w:tcW w:w="1559" w:type="dxa"/>
            <w:vAlign w:val="center"/>
          </w:tcPr>
          <w:p w14:paraId="69E333F9" w14:textId="77777777" w:rsidR="00304132" w:rsidRPr="00AC3044" w:rsidRDefault="00304132" w:rsidP="00CD5E09">
            <w:pPr>
              <w:rPr>
                <w:rFonts w:eastAsia="SimSun"/>
              </w:rPr>
            </w:pPr>
            <w:r w:rsidRPr="00AC3044">
              <w:rPr>
                <w:rFonts w:eastAsia="SimSun"/>
              </w:rPr>
              <w:t>180 мг/м</w:t>
            </w:r>
            <w:r w:rsidRPr="001E6DBE">
              <w:rPr>
                <w:rFonts w:eastAsia="SimSun"/>
                <w:vertAlign w:val="superscript"/>
              </w:rPr>
              <w:t>2</w:t>
            </w:r>
          </w:p>
        </w:tc>
        <w:tc>
          <w:tcPr>
            <w:tcW w:w="1560" w:type="dxa"/>
            <w:vAlign w:val="center"/>
          </w:tcPr>
          <w:p w14:paraId="4C4DB9EA" w14:textId="77777777" w:rsidR="00304132" w:rsidRPr="00AC3044" w:rsidRDefault="00304132" w:rsidP="00CD5E09">
            <w:pPr>
              <w:rPr>
                <w:rFonts w:eastAsia="SimSun"/>
              </w:rPr>
            </w:pPr>
            <w:r w:rsidRPr="00AC3044">
              <w:rPr>
                <w:rFonts w:eastAsia="SimSun"/>
              </w:rPr>
              <w:t>С –9 по –4 день</w:t>
            </w:r>
          </w:p>
        </w:tc>
        <w:tc>
          <w:tcPr>
            <w:tcW w:w="2268" w:type="dxa"/>
            <w:vAlign w:val="center"/>
          </w:tcPr>
          <w:p w14:paraId="5CE21EDF" w14:textId="77777777" w:rsidR="00304132" w:rsidRPr="00AC3044" w:rsidRDefault="00304132" w:rsidP="00CD5E09">
            <w:pPr>
              <w:rPr>
                <w:rFonts w:eastAsia="SimSun"/>
              </w:rPr>
            </w:pPr>
            <w:r w:rsidRPr="00AC3044">
              <w:rPr>
                <w:rFonts w:eastAsia="SimSun"/>
              </w:rPr>
              <w:t>В/в, в течение 30 -60 мин</w:t>
            </w:r>
          </w:p>
        </w:tc>
      </w:tr>
      <w:tr w:rsidR="00304132" w:rsidRPr="00AC3044" w14:paraId="3FD93887" w14:textId="77777777" w:rsidTr="00CD5E09">
        <w:trPr>
          <w:cantSplit/>
          <w:trHeight w:val="1472"/>
        </w:trPr>
        <w:tc>
          <w:tcPr>
            <w:tcW w:w="993" w:type="dxa"/>
            <w:vMerge/>
            <w:textDirection w:val="btLr"/>
            <w:vAlign w:val="center"/>
          </w:tcPr>
          <w:p w14:paraId="1B3662AD" w14:textId="77777777" w:rsidR="00304132" w:rsidRPr="00AC3044" w:rsidRDefault="00304132" w:rsidP="00CD5E09">
            <w:pPr>
              <w:rPr>
                <w:rFonts w:eastAsia="SimSun"/>
              </w:rPr>
            </w:pPr>
          </w:p>
        </w:tc>
        <w:tc>
          <w:tcPr>
            <w:tcW w:w="1843" w:type="dxa"/>
            <w:vAlign w:val="center"/>
          </w:tcPr>
          <w:p w14:paraId="10745035" w14:textId="77777777" w:rsidR="00304132" w:rsidRPr="00AC3044" w:rsidRDefault="00304132" w:rsidP="00CD5E09">
            <w:pPr>
              <w:rPr>
                <w:rFonts w:eastAsia="SimSun"/>
              </w:rPr>
            </w:pPr>
            <w:r w:rsidRPr="00AC3044">
              <w:rPr>
                <w:rFonts w:eastAsia="SimSun"/>
              </w:rPr>
              <w:t>Бусульфан</w:t>
            </w:r>
          </w:p>
        </w:tc>
        <w:tc>
          <w:tcPr>
            <w:tcW w:w="1417" w:type="dxa"/>
            <w:vAlign w:val="center"/>
          </w:tcPr>
          <w:p w14:paraId="5935AE0F" w14:textId="77777777" w:rsidR="00304132" w:rsidRPr="00AC3044" w:rsidRDefault="00304132" w:rsidP="00CD5E09">
            <w:pPr>
              <w:rPr>
                <w:rFonts w:eastAsia="SimSun"/>
              </w:rPr>
            </w:pPr>
            <w:r w:rsidRPr="00AC3044">
              <w:rPr>
                <w:rFonts w:eastAsia="SimSun"/>
              </w:rPr>
              <w:t>4 мг/кг</w:t>
            </w:r>
          </w:p>
        </w:tc>
        <w:tc>
          <w:tcPr>
            <w:tcW w:w="1559" w:type="dxa"/>
            <w:vAlign w:val="center"/>
          </w:tcPr>
          <w:p w14:paraId="7B63671D" w14:textId="77777777" w:rsidR="00304132" w:rsidRPr="00AC3044" w:rsidRDefault="00304132" w:rsidP="00CD5E09">
            <w:pPr>
              <w:rPr>
                <w:rFonts w:eastAsia="SimSun"/>
              </w:rPr>
            </w:pPr>
            <w:r w:rsidRPr="00AC3044">
              <w:rPr>
                <w:rFonts w:eastAsia="SimSun"/>
              </w:rPr>
              <w:t>8 мг/кг</w:t>
            </w:r>
          </w:p>
        </w:tc>
        <w:tc>
          <w:tcPr>
            <w:tcW w:w="1560" w:type="dxa"/>
            <w:vAlign w:val="center"/>
          </w:tcPr>
          <w:p w14:paraId="2F77B26E" w14:textId="77777777" w:rsidR="00304132" w:rsidRPr="00AC3044" w:rsidRDefault="00304132" w:rsidP="00CD5E09">
            <w:pPr>
              <w:rPr>
                <w:rFonts w:eastAsia="SimSun"/>
              </w:rPr>
            </w:pPr>
            <w:r w:rsidRPr="00AC3044">
              <w:rPr>
                <w:rFonts w:eastAsia="SimSun"/>
              </w:rPr>
              <w:t>–5, –4 дни</w:t>
            </w:r>
          </w:p>
        </w:tc>
        <w:tc>
          <w:tcPr>
            <w:tcW w:w="2268" w:type="dxa"/>
            <w:vAlign w:val="center"/>
          </w:tcPr>
          <w:p w14:paraId="1E04F935" w14:textId="77777777" w:rsidR="00304132" w:rsidRPr="00AC3044" w:rsidRDefault="00304132" w:rsidP="00CD5E09">
            <w:pPr>
              <w:rPr>
                <w:rFonts w:eastAsia="SimSun"/>
              </w:rPr>
            </w:pPr>
            <w:r w:rsidRPr="00AC3044">
              <w:rPr>
                <w:rFonts w:eastAsia="SimSun"/>
              </w:rPr>
              <w:t>Внутрь, суммарная суточная доза разделяется на 4 приема с интервалом 6 часов.</w:t>
            </w:r>
          </w:p>
        </w:tc>
      </w:tr>
      <w:tr w:rsidR="00304132" w:rsidRPr="00AC3044" w14:paraId="44E771EC" w14:textId="77777777" w:rsidTr="00CD5E09">
        <w:trPr>
          <w:cantSplit/>
          <w:trHeight w:val="20"/>
        </w:trPr>
        <w:tc>
          <w:tcPr>
            <w:tcW w:w="993" w:type="dxa"/>
            <w:vMerge w:val="restart"/>
            <w:textDirection w:val="btLr"/>
            <w:vAlign w:val="center"/>
          </w:tcPr>
          <w:p w14:paraId="0B5A5775" w14:textId="77777777" w:rsidR="00304132" w:rsidRPr="00AC3044" w:rsidRDefault="00304132" w:rsidP="00CD5E09">
            <w:pPr>
              <w:rPr>
                <w:rFonts w:eastAsia="SimSun"/>
              </w:rPr>
            </w:pPr>
            <w:r w:rsidRPr="00AC3044">
              <w:rPr>
                <w:rFonts w:eastAsia="SimSun"/>
              </w:rPr>
              <w:t>Профилактика РТПХ</w:t>
            </w:r>
          </w:p>
        </w:tc>
        <w:tc>
          <w:tcPr>
            <w:tcW w:w="1843" w:type="dxa"/>
            <w:vAlign w:val="center"/>
          </w:tcPr>
          <w:p w14:paraId="23D9D0C3" w14:textId="77777777" w:rsidR="00304132" w:rsidRPr="00AC3044" w:rsidRDefault="00304132" w:rsidP="00CD5E09">
            <w:pPr>
              <w:rPr>
                <w:rFonts w:eastAsia="SimSun"/>
              </w:rPr>
            </w:pPr>
            <w:r w:rsidRPr="00AC3044">
              <w:rPr>
                <w:rFonts w:eastAsia="SimSun"/>
              </w:rPr>
              <w:t>АТГ (кроличий)</w:t>
            </w:r>
          </w:p>
        </w:tc>
        <w:tc>
          <w:tcPr>
            <w:tcW w:w="1417" w:type="dxa"/>
            <w:vAlign w:val="center"/>
          </w:tcPr>
          <w:p w14:paraId="762A9796" w14:textId="77777777" w:rsidR="00304132" w:rsidRPr="00AC3044" w:rsidRDefault="00304132" w:rsidP="00CD5E09">
            <w:pPr>
              <w:rPr>
                <w:rFonts w:eastAsia="SimSun"/>
              </w:rPr>
            </w:pPr>
            <w:r w:rsidRPr="00AC3044">
              <w:rPr>
                <w:rFonts w:eastAsia="SimSun"/>
              </w:rPr>
              <w:t>2,5 мг/кг</w:t>
            </w:r>
          </w:p>
        </w:tc>
        <w:tc>
          <w:tcPr>
            <w:tcW w:w="1559" w:type="dxa"/>
            <w:vAlign w:val="center"/>
          </w:tcPr>
          <w:p w14:paraId="5B065206" w14:textId="77777777" w:rsidR="00304132" w:rsidRPr="00AC3044" w:rsidRDefault="00304132" w:rsidP="00CD5E09">
            <w:pPr>
              <w:rPr>
                <w:rFonts w:eastAsia="SimSun"/>
              </w:rPr>
            </w:pPr>
            <w:r w:rsidRPr="00AC3044">
              <w:rPr>
                <w:rFonts w:eastAsia="SimSun"/>
              </w:rPr>
              <w:t>5 - 7,5 мг/кг</w:t>
            </w:r>
            <w:r w:rsidRPr="001E6DBE">
              <w:rPr>
                <w:rFonts w:eastAsia="SimSun"/>
                <w:vertAlign w:val="superscript"/>
              </w:rPr>
              <w:t>2</w:t>
            </w:r>
          </w:p>
        </w:tc>
        <w:tc>
          <w:tcPr>
            <w:tcW w:w="1560" w:type="dxa"/>
            <w:vAlign w:val="center"/>
          </w:tcPr>
          <w:p w14:paraId="1C8585D3" w14:textId="77777777" w:rsidR="00304132" w:rsidRPr="00AC3044" w:rsidRDefault="00304132" w:rsidP="00CD5E09">
            <w:pPr>
              <w:rPr>
                <w:rFonts w:eastAsia="SimSun"/>
              </w:rPr>
            </w:pPr>
            <w:r w:rsidRPr="00AC3044">
              <w:rPr>
                <w:rFonts w:eastAsia="SimSun"/>
              </w:rPr>
              <w:t>С –3 по –2 (-1) день</w:t>
            </w:r>
          </w:p>
        </w:tc>
        <w:tc>
          <w:tcPr>
            <w:tcW w:w="2268" w:type="dxa"/>
            <w:vAlign w:val="center"/>
          </w:tcPr>
          <w:p w14:paraId="496BBABB" w14:textId="77777777" w:rsidR="00304132" w:rsidRPr="00AC3044" w:rsidRDefault="00304132" w:rsidP="00CD5E09">
            <w:pPr>
              <w:rPr>
                <w:rFonts w:eastAsia="SimSun"/>
              </w:rPr>
            </w:pPr>
            <w:r w:rsidRPr="00AC3044">
              <w:rPr>
                <w:rFonts w:eastAsia="SimSun"/>
              </w:rPr>
              <w:t>В/в, в течение 6 ч. Суточная доза разделяется</w:t>
            </w:r>
            <w:r w:rsidRPr="00AC3044" w:rsidDel="00130EA4">
              <w:rPr>
                <w:rFonts w:eastAsia="SimSun"/>
              </w:rPr>
              <w:t xml:space="preserve"> </w:t>
            </w:r>
            <w:r w:rsidRPr="00AC3044">
              <w:rPr>
                <w:rFonts w:eastAsia="SimSun"/>
              </w:rPr>
              <w:t xml:space="preserve">на 2 введения (см. «Инфузия АТГ») </w:t>
            </w:r>
          </w:p>
        </w:tc>
      </w:tr>
      <w:tr w:rsidR="00304132" w:rsidRPr="00AC3044" w14:paraId="26151E11" w14:textId="77777777" w:rsidTr="00CD5E09">
        <w:trPr>
          <w:cantSplit/>
          <w:trHeight w:val="20"/>
        </w:trPr>
        <w:tc>
          <w:tcPr>
            <w:tcW w:w="993" w:type="dxa"/>
            <w:vMerge/>
            <w:textDirection w:val="btLr"/>
            <w:vAlign w:val="center"/>
          </w:tcPr>
          <w:p w14:paraId="7E0A4A57" w14:textId="77777777" w:rsidR="00304132" w:rsidRPr="00AC3044" w:rsidRDefault="00304132" w:rsidP="00CD5E09">
            <w:pPr>
              <w:rPr>
                <w:rFonts w:eastAsia="SimSun"/>
              </w:rPr>
            </w:pPr>
          </w:p>
        </w:tc>
        <w:tc>
          <w:tcPr>
            <w:tcW w:w="1843" w:type="dxa"/>
            <w:vAlign w:val="center"/>
          </w:tcPr>
          <w:p w14:paraId="6BD2E31D" w14:textId="77777777" w:rsidR="00304132" w:rsidRPr="00AC3044" w:rsidRDefault="00304132" w:rsidP="00CD5E09">
            <w:pPr>
              <w:rPr>
                <w:rFonts w:eastAsia="SimSun"/>
              </w:rPr>
            </w:pPr>
            <w:r w:rsidRPr="00AC3044">
              <w:rPr>
                <w:rFonts w:eastAsia="SimSun"/>
              </w:rPr>
              <w:t>Циклоспорин</w:t>
            </w:r>
          </w:p>
        </w:tc>
        <w:tc>
          <w:tcPr>
            <w:tcW w:w="1417" w:type="dxa"/>
            <w:vAlign w:val="center"/>
          </w:tcPr>
          <w:p w14:paraId="145FC4F3" w14:textId="77777777" w:rsidR="00304132" w:rsidRPr="00AC3044" w:rsidRDefault="00304132" w:rsidP="00CD5E09">
            <w:pPr>
              <w:rPr>
                <w:rFonts w:eastAsia="SimSun"/>
              </w:rPr>
            </w:pPr>
            <w:r w:rsidRPr="00AC3044">
              <w:rPr>
                <w:rFonts w:eastAsia="SimSun"/>
              </w:rPr>
              <w:t>3 мг/кг</w:t>
            </w:r>
          </w:p>
        </w:tc>
        <w:tc>
          <w:tcPr>
            <w:tcW w:w="1559" w:type="dxa"/>
            <w:vAlign w:val="center"/>
          </w:tcPr>
          <w:p w14:paraId="39136A08" w14:textId="77777777" w:rsidR="00304132" w:rsidRPr="00AC3044" w:rsidRDefault="00304132" w:rsidP="00CD5E09">
            <w:pPr>
              <w:rPr>
                <w:rFonts w:eastAsia="SimSun"/>
              </w:rPr>
            </w:pPr>
            <w:r w:rsidRPr="00AC3044">
              <w:rPr>
                <w:rFonts w:eastAsia="SimSun"/>
              </w:rPr>
              <w:t>–</w:t>
            </w:r>
          </w:p>
        </w:tc>
        <w:tc>
          <w:tcPr>
            <w:tcW w:w="1560" w:type="dxa"/>
            <w:vAlign w:val="center"/>
          </w:tcPr>
          <w:p w14:paraId="38D780E2" w14:textId="77777777" w:rsidR="00304132" w:rsidRPr="00AC3044" w:rsidRDefault="00304132" w:rsidP="00CD5E09">
            <w:pPr>
              <w:rPr>
                <w:rFonts w:eastAsia="SimSun"/>
              </w:rPr>
            </w:pPr>
            <w:r w:rsidRPr="00AC3044">
              <w:rPr>
                <w:rFonts w:eastAsia="SimSun"/>
              </w:rPr>
              <w:t>С –1 дня по +90 день, затем постепенное снижение к +180 дню</w:t>
            </w:r>
          </w:p>
        </w:tc>
        <w:tc>
          <w:tcPr>
            <w:tcW w:w="2268" w:type="dxa"/>
            <w:vAlign w:val="center"/>
          </w:tcPr>
          <w:p w14:paraId="3E783EFC" w14:textId="77777777" w:rsidR="00304132" w:rsidRPr="00AC3044" w:rsidRDefault="00304132" w:rsidP="00CD5E09">
            <w:pPr>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1E6DBE">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304132" w:rsidRPr="00AC3044" w14:paraId="3ABEABFD" w14:textId="77777777" w:rsidTr="00CD5E09">
        <w:trPr>
          <w:cantSplit/>
          <w:trHeight w:val="20"/>
        </w:trPr>
        <w:tc>
          <w:tcPr>
            <w:tcW w:w="993" w:type="dxa"/>
            <w:vMerge/>
            <w:vAlign w:val="center"/>
          </w:tcPr>
          <w:p w14:paraId="132F47D2" w14:textId="77777777" w:rsidR="00304132" w:rsidRPr="00AC3044" w:rsidRDefault="00304132" w:rsidP="00CD5E09">
            <w:pPr>
              <w:rPr>
                <w:rFonts w:eastAsia="SimSun"/>
              </w:rPr>
            </w:pPr>
          </w:p>
        </w:tc>
        <w:tc>
          <w:tcPr>
            <w:tcW w:w="1843" w:type="dxa"/>
            <w:vMerge w:val="restart"/>
            <w:vAlign w:val="center"/>
          </w:tcPr>
          <w:p w14:paraId="17E30E5F" w14:textId="77777777" w:rsidR="00304132" w:rsidRPr="00AC3044" w:rsidRDefault="00304132" w:rsidP="00CD5E09">
            <w:pPr>
              <w:rPr>
                <w:rFonts w:eastAsia="SimSun"/>
              </w:rPr>
            </w:pPr>
            <w:r w:rsidRPr="00AC3044">
              <w:rPr>
                <w:rFonts w:eastAsia="SimSun"/>
              </w:rPr>
              <w:t>Метотрексат</w:t>
            </w:r>
          </w:p>
        </w:tc>
        <w:tc>
          <w:tcPr>
            <w:tcW w:w="1417" w:type="dxa"/>
            <w:vAlign w:val="center"/>
          </w:tcPr>
          <w:p w14:paraId="7CAB0622" w14:textId="77777777" w:rsidR="00304132" w:rsidRPr="00AC3044" w:rsidRDefault="00304132" w:rsidP="00CD5E09">
            <w:pPr>
              <w:rPr>
                <w:rFonts w:eastAsia="SimSun"/>
              </w:rPr>
            </w:pPr>
            <w:r w:rsidRPr="00AC3044">
              <w:rPr>
                <w:rFonts w:eastAsia="SimSun"/>
              </w:rPr>
              <w:t>15 мг/м</w:t>
            </w:r>
            <w:r w:rsidRPr="001E6DBE">
              <w:rPr>
                <w:rFonts w:eastAsia="SimSun"/>
                <w:vertAlign w:val="superscript"/>
              </w:rPr>
              <w:t>2</w:t>
            </w:r>
          </w:p>
        </w:tc>
        <w:tc>
          <w:tcPr>
            <w:tcW w:w="1559" w:type="dxa"/>
            <w:vAlign w:val="center"/>
          </w:tcPr>
          <w:p w14:paraId="48174C53" w14:textId="77777777" w:rsidR="00304132" w:rsidRPr="00AC3044" w:rsidRDefault="00304132" w:rsidP="00CD5E09">
            <w:pPr>
              <w:rPr>
                <w:rFonts w:eastAsia="SimSun"/>
              </w:rPr>
            </w:pPr>
            <w:r w:rsidRPr="00AC3044">
              <w:rPr>
                <w:rFonts w:eastAsia="SimSun"/>
              </w:rPr>
              <w:t>–</w:t>
            </w:r>
          </w:p>
        </w:tc>
        <w:tc>
          <w:tcPr>
            <w:tcW w:w="1560" w:type="dxa"/>
            <w:vAlign w:val="center"/>
          </w:tcPr>
          <w:p w14:paraId="40D7DD4D" w14:textId="77777777" w:rsidR="00304132" w:rsidRPr="00AC3044" w:rsidRDefault="00304132" w:rsidP="00CD5E09">
            <w:pPr>
              <w:rPr>
                <w:rFonts w:eastAsia="SimSun"/>
              </w:rPr>
            </w:pPr>
            <w:r w:rsidRPr="00AC3044">
              <w:rPr>
                <w:rFonts w:eastAsia="SimSun"/>
              </w:rPr>
              <w:t>+1 день</w:t>
            </w:r>
          </w:p>
        </w:tc>
        <w:tc>
          <w:tcPr>
            <w:tcW w:w="2268" w:type="dxa"/>
            <w:vAlign w:val="center"/>
          </w:tcPr>
          <w:p w14:paraId="3451A1F3" w14:textId="77777777" w:rsidR="00304132" w:rsidRPr="00AC3044" w:rsidRDefault="00304132" w:rsidP="00CD5E09">
            <w:pPr>
              <w:rPr>
                <w:rFonts w:eastAsia="SimSun"/>
              </w:rPr>
            </w:pPr>
            <w:r w:rsidRPr="00AC3044">
              <w:rPr>
                <w:rFonts w:eastAsia="SimSun"/>
              </w:rPr>
              <w:t>В/в, в 20 мл физ. р-ра</w:t>
            </w:r>
          </w:p>
        </w:tc>
      </w:tr>
      <w:tr w:rsidR="00304132" w:rsidRPr="00AC3044" w14:paraId="2BC8D500" w14:textId="77777777" w:rsidTr="00CD5E09">
        <w:trPr>
          <w:cantSplit/>
          <w:trHeight w:val="464"/>
        </w:trPr>
        <w:tc>
          <w:tcPr>
            <w:tcW w:w="993" w:type="dxa"/>
            <w:vMerge/>
            <w:vAlign w:val="center"/>
          </w:tcPr>
          <w:p w14:paraId="3FD8D20A" w14:textId="77777777" w:rsidR="00304132" w:rsidRPr="00AC3044" w:rsidRDefault="00304132" w:rsidP="00CD5E09">
            <w:pPr>
              <w:rPr>
                <w:rFonts w:eastAsia="SimSun"/>
              </w:rPr>
            </w:pPr>
          </w:p>
        </w:tc>
        <w:tc>
          <w:tcPr>
            <w:tcW w:w="1843" w:type="dxa"/>
            <w:vMerge/>
            <w:vAlign w:val="center"/>
          </w:tcPr>
          <w:p w14:paraId="7BFEAE42" w14:textId="77777777" w:rsidR="00304132" w:rsidRPr="00AC3044" w:rsidRDefault="00304132" w:rsidP="00CD5E09">
            <w:pPr>
              <w:rPr>
                <w:rFonts w:eastAsia="SimSun"/>
              </w:rPr>
            </w:pPr>
          </w:p>
        </w:tc>
        <w:tc>
          <w:tcPr>
            <w:tcW w:w="1417" w:type="dxa"/>
            <w:vAlign w:val="center"/>
          </w:tcPr>
          <w:p w14:paraId="74701801" w14:textId="77777777" w:rsidR="00304132" w:rsidRPr="00AC3044" w:rsidRDefault="00304132" w:rsidP="00CD5E09">
            <w:pPr>
              <w:rPr>
                <w:rFonts w:eastAsia="SimSun"/>
              </w:rPr>
            </w:pPr>
            <w:r w:rsidRPr="00AC3044">
              <w:rPr>
                <w:rFonts w:eastAsia="SimSun"/>
              </w:rPr>
              <w:t>10 мг/м</w:t>
            </w:r>
            <w:r w:rsidRPr="001E6DBE">
              <w:rPr>
                <w:rFonts w:eastAsia="SimSun"/>
                <w:vertAlign w:val="superscript"/>
              </w:rPr>
              <w:t>2</w:t>
            </w:r>
          </w:p>
        </w:tc>
        <w:tc>
          <w:tcPr>
            <w:tcW w:w="1559" w:type="dxa"/>
            <w:vAlign w:val="center"/>
          </w:tcPr>
          <w:p w14:paraId="0B55CC49" w14:textId="77777777" w:rsidR="00304132" w:rsidRPr="00AC3044" w:rsidRDefault="00304132" w:rsidP="00CD5E09">
            <w:pPr>
              <w:rPr>
                <w:rFonts w:eastAsia="SimSun"/>
              </w:rPr>
            </w:pPr>
            <w:r w:rsidRPr="00AC3044">
              <w:rPr>
                <w:rFonts w:eastAsia="SimSun"/>
              </w:rPr>
              <w:t>–</w:t>
            </w:r>
          </w:p>
        </w:tc>
        <w:tc>
          <w:tcPr>
            <w:tcW w:w="1560" w:type="dxa"/>
            <w:vAlign w:val="center"/>
          </w:tcPr>
          <w:p w14:paraId="758AD1FA" w14:textId="77777777" w:rsidR="00304132" w:rsidRPr="00AC3044" w:rsidRDefault="00304132" w:rsidP="00CD5E09">
            <w:pPr>
              <w:rPr>
                <w:rFonts w:eastAsia="SimSun"/>
              </w:rPr>
            </w:pPr>
            <w:r w:rsidRPr="00AC3044">
              <w:rPr>
                <w:rFonts w:eastAsia="SimSun"/>
              </w:rPr>
              <w:t>+3, +6, +11 день</w:t>
            </w:r>
          </w:p>
        </w:tc>
        <w:tc>
          <w:tcPr>
            <w:tcW w:w="2268" w:type="dxa"/>
            <w:vAlign w:val="center"/>
          </w:tcPr>
          <w:p w14:paraId="69A64C45" w14:textId="77777777" w:rsidR="00304132" w:rsidRPr="00AC3044" w:rsidRDefault="00304132" w:rsidP="00CD5E09">
            <w:pPr>
              <w:rPr>
                <w:rFonts w:eastAsia="SimSun"/>
              </w:rPr>
            </w:pPr>
            <w:r w:rsidRPr="00AC3044">
              <w:rPr>
                <w:rFonts w:eastAsia="SimSun"/>
              </w:rPr>
              <w:t xml:space="preserve">В/в, в 20 мл физ. р-ра </w:t>
            </w:r>
          </w:p>
        </w:tc>
      </w:tr>
      <w:tr w:rsidR="00304132" w:rsidRPr="00AC3044" w14:paraId="2F418822" w14:textId="77777777" w:rsidTr="00CD5E09">
        <w:trPr>
          <w:cantSplit/>
          <w:trHeight w:val="464"/>
        </w:trPr>
        <w:tc>
          <w:tcPr>
            <w:tcW w:w="993" w:type="dxa"/>
            <w:vMerge/>
            <w:vAlign w:val="center"/>
          </w:tcPr>
          <w:p w14:paraId="52A023FC" w14:textId="77777777" w:rsidR="00304132" w:rsidRPr="00AC3044" w:rsidRDefault="00304132" w:rsidP="00CD5E09">
            <w:pPr>
              <w:rPr>
                <w:rFonts w:eastAsia="SimSun"/>
              </w:rPr>
            </w:pPr>
          </w:p>
        </w:tc>
        <w:tc>
          <w:tcPr>
            <w:tcW w:w="1843" w:type="dxa"/>
            <w:vMerge w:val="restart"/>
            <w:vAlign w:val="center"/>
          </w:tcPr>
          <w:p w14:paraId="64916338" w14:textId="77777777" w:rsidR="00304132" w:rsidRPr="00AC3044" w:rsidRDefault="00304132" w:rsidP="00CD5E09">
            <w:pPr>
              <w:rPr>
                <w:rFonts w:eastAsia="SimSun"/>
              </w:rPr>
            </w:pPr>
            <w:r w:rsidRPr="00AC3044">
              <w:rPr>
                <w:rFonts w:eastAsia="SimSun"/>
              </w:rPr>
              <w:t>Микофенолата мофетил (только при использовании СКК)</w:t>
            </w:r>
          </w:p>
        </w:tc>
        <w:tc>
          <w:tcPr>
            <w:tcW w:w="1417" w:type="dxa"/>
            <w:vAlign w:val="center"/>
          </w:tcPr>
          <w:p w14:paraId="38985208" w14:textId="77777777" w:rsidR="00304132" w:rsidRPr="00AC3044" w:rsidRDefault="00304132" w:rsidP="00CD5E09">
            <w:pPr>
              <w:rPr>
                <w:rFonts w:eastAsia="SimSun"/>
              </w:rPr>
            </w:pPr>
            <w:r w:rsidRPr="00AC3044">
              <w:rPr>
                <w:rFonts w:eastAsia="SimSun"/>
              </w:rPr>
              <w:t>2000 мг</w:t>
            </w:r>
          </w:p>
        </w:tc>
        <w:tc>
          <w:tcPr>
            <w:tcW w:w="1559" w:type="dxa"/>
            <w:vAlign w:val="center"/>
          </w:tcPr>
          <w:p w14:paraId="468FCBF5" w14:textId="77777777" w:rsidR="00304132" w:rsidRPr="00AC3044" w:rsidRDefault="00304132" w:rsidP="00CD5E09">
            <w:pPr>
              <w:rPr>
                <w:rFonts w:eastAsia="SimSun"/>
              </w:rPr>
            </w:pPr>
            <w:r w:rsidRPr="00AC3044">
              <w:rPr>
                <w:rFonts w:eastAsia="SimSun"/>
              </w:rPr>
              <w:t>–</w:t>
            </w:r>
          </w:p>
        </w:tc>
        <w:tc>
          <w:tcPr>
            <w:tcW w:w="1560" w:type="dxa"/>
            <w:vAlign w:val="center"/>
          </w:tcPr>
          <w:p w14:paraId="159041AF" w14:textId="77777777" w:rsidR="00304132" w:rsidRPr="00AC3044" w:rsidRDefault="00304132" w:rsidP="00CD5E09">
            <w:pPr>
              <w:rPr>
                <w:rFonts w:eastAsia="SimSun"/>
              </w:rPr>
            </w:pPr>
            <w:r w:rsidRPr="00AC3044">
              <w:rPr>
                <w:rFonts w:eastAsia="SimSun"/>
              </w:rPr>
              <w:t>С +1 по +14 день</w:t>
            </w:r>
          </w:p>
        </w:tc>
        <w:tc>
          <w:tcPr>
            <w:tcW w:w="2268" w:type="dxa"/>
            <w:vAlign w:val="center"/>
          </w:tcPr>
          <w:p w14:paraId="5A349B95" w14:textId="77777777" w:rsidR="00304132" w:rsidRPr="00AC3044" w:rsidRDefault="00304132" w:rsidP="00CD5E09">
            <w:pPr>
              <w:rPr>
                <w:rFonts w:eastAsia="SimSun"/>
              </w:rPr>
            </w:pPr>
            <w:r w:rsidRPr="00AC3044">
              <w:rPr>
                <w:rFonts w:eastAsia="SimSun"/>
              </w:rPr>
              <w:t>Внутрь, суммарная суточная доза разделяется на 2-4 приема.</w:t>
            </w:r>
          </w:p>
        </w:tc>
      </w:tr>
      <w:tr w:rsidR="00304132" w:rsidRPr="00AC3044" w14:paraId="1FC883AB" w14:textId="77777777" w:rsidTr="00CD5E09">
        <w:trPr>
          <w:cantSplit/>
          <w:trHeight w:val="464"/>
        </w:trPr>
        <w:tc>
          <w:tcPr>
            <w:tcW w:w="993" w:type="dxa"/>
            <w:vMerge/>
            <w:vAlign w:val="center"/>
          </w:tcPr>
          <w:p w14:paraId="00105480" w14:textId="77777777" w:rsidR="00304132" w:rsidRPr="00AC3044" w:rsidRDefault="00304132" w:rsidP="00CD5E09">
            <w:pPr>
              <w:rPr>
                <w:rFonts w:eastAsia="SimSun"/>
              </w:rPr>
            </w:pPr>
          </w:p>
        </w:tc>
        <w:tc>
          <w:tcPr>
            <w:tcW w:w="1843" w:type="dxa"/>
            <w:vMerge/>
            <w:vAlign w:val="center"/>
          </w:tcPr>
          <w:p w14:paraId="0D86654E" w14:textId="77777777" w:rsidR="00304132" w:rsidRPr="00AC3044" w:rsidRDefault="00304132" w:rsidP="00CD5E09">
            <w:pPr>
              <w:rPr>
                <w:rFonts w:eastAsia="SimSun"/>
              </w:rPr>
            </w:pPr>
          </w:p>
        </w:tc>
        <w:tc>
          <w:tcPr>
            <w:tcW w:w="1417" w:type="dxa"/>
            <w:vAlign w:val="center"/>
          </w:tcPr>
          <w:p w14:paraId="77E91AA8" w14:textId="77777777" w:rsidR="00304132" w:rsidRPr="00AC3044" w:rsidRDefault="00304132" w:rsidP="00CD5E09">
            <w:pPr>
              <w:rPr>
                <w:rFonts w:eastAsia="SimSun"/>
              </w:rPr>
            </w:pPr>
            <w:r w:rsidRPr="00AC3044">
              <w:rPr>
                <w:rFonts w:eastAsia="SimSun"/>
              </w:rPr>
              <w:t>1000 мг</w:t>
            </w:r>
          </w:p>
        </w:tc>
        <w:tc>
          <w:tcPr>
            <w:tcW w:w="1559" w:type="dxa"/>
            <w:vAlign w:val="center"/>
          </w:tcPr>
          <w:p w14:paraId="44B084CD" w14:textId="77777777" w:rsidR="00304132" w:rsidRPr="00AC3044" w:rsidRDefault="00304132" w:rsidP="00CD5E09">
            <w:pPr>
              <w:rPr>
                <w:rFonts w:eastAsia="SimSun"/>
              </w:rPr>
            </w:pPr>
            <w:r w:rsidRPr="00AC3044">
              <w:rPr>
                <w:rFonts w:eastAsia="SimSun"/>
              </w:rPr>
              <w:t>–</w:t>
            </w:r>
          </w:p>
        </w:tc>
        <w:tc>
          <w:tcPr>
            <w:tcW w:w="1560" w:type="dxa"/>
            <w:vAlign w:val="center"/>
          </w:tcPr>
          <w:p w14:paraId="42E39825" w14:textId="77777777" w:rsidR="00304132" w:rsidRPr="00AC3044" w:rsidRDefault="00304132" w:rsidP="00CD5E09">
            <w:pPr>
              <w:rPr>
                <w:rFonts w:eastAsia="SimSun"/>
              </w:rPr>
            </w:pPr>
            <w:r w:rsidRPr="00AC3044">
              <w:rPr>
                <w:rFonts w:eastAsia="SimSun"/>
              </w:rPr>
              <w:t>С +15 по +90 день</w:t>
            </w:r>
          </w:p>
        </w:tc>
        <w:tc>
          <w:tcPr>
            <w:tcW w:w="2268" w:type="dxa"/>
            <w:vAlign w:val="center"/>
          </w:tcPr>
          <w:p w14:paraId="30509DF5" w14:textId="77777777" w:rsidR="00304132" w:rsidRPr="00AC3044" w:rsidRDefault="00304132" w:rsidP="00CD5E09">
            <w:pPr>
              <w:rPr>
                <w:rFonts w:eastAsia="SimSun"/>
              </w:rPr>
            </w:pPr>
            <w:r w:rsidRPr="00AC3044">
              <w:rPr>
                <w:rFonts w:eastAsia="SimSun"/>
              </w:rPr>
              <w:t>Внутрь, суммарная суточная доза разделяется на 2-4 приема.</w:t>
            </w:r>
          </w:p>
        </w:tc>
      </w:tr>
    </w:tbl>
    <w:p w14:paraId="6A6FEB6B" w14:textId="77777777" w:rsidR="00304132" w:rsidRDefault="00304132" w:rsidP="00304132">
      <w:pPr>
        <w:rPr>
          <w:rFonts w:eastAsia="SimSun"/>
        </w:rPr>
      </w:pPr>
      <w:bookmarkStart w:id="310" w:name="_Toc44401165"/>
    </w:p>
    <w:p w14:paraId="62A75FD4" w14:textId="77777777" w:rsidR="00304132" w:rsidRPr="00C07B2E" w:rsidRDefault="00304132" w:rsidP="00304132">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1.2.7  – Flu180+Bu8 / PT-Cy+CSA+MMF30</w:t>
      </w:r>
      <w:bookmarkEnd w:id="310"/>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843"/>
        <w:gridCol w:w="1417"/>
        <w:gridCol w:w="1559"/>
        <w:gridCol w:w="1560"/>
        <w:gridCol w:w="2268"/>
      </w:tblGrid>
      <w:tr w:rsidR="00304132" w:rsidRPr="00AC3044" w14:paraId="3E8CBEC3" w14:textId="77777777" w:rsidTr="00CD5E09">
        <w:trPr>
          <w:cantSplit/>
          <w:trHeight w:val="20"/>
          <w:tblHeader/>
        </w:trPr>
        <w:tc>
          <w:tcPr>
            <w:tcW w:w="993" w:type="dxa"/>
          </w:tcPr>
          <w:p w14:paraId="4A1440CD" w14:textId="77777777" w:rsidR="00304132" w:rsidRPr="00470D3D" w:rsidRDefault="00304132" w:rsidP="00CD5E09">
            <w:pPr>
              <w:rPr>
                <w:rFonts w:eastAsia="SimSun"/>
              </w:rPr>
            </w:pPr>
          </w:p>
          <w:p w14:paraId="0606CAD3" w14:textId="77777777" w:rsidR="00304132" w:rsidRPr="00470D3D" w:rsidRDefault="00304132" w:rsidP="00CD5E09">
            <w:pPr>
              <w:rPr>
                <w:rFonts w:eastAsia="SimSun"/>
              </w:rPr>
            </w:pPr>
          </w:p>
        </w:tc>
        <w:tc>
          <w:tcPr>
            <w:tcW w:w="1843" w:type="dxa"/>
            <w:vAlign w:val="center"/>
          </w:tcPr>
          <w:p w14:paraId="4D9FA5AB" w14:textId="77777777" w:rsidR="00304132" w:rsidRPr="00AC3044" w:rsidRDefault="00304132" w:rsidP="00CD5E09">
            <w:pPr>
              <w:rPr>
                <w:rFonts w:eastAsia="SimSun"/>
              </w:rPr>
            </w:pPr>
            <w:r w:rsidRPr="00AC3044">
              <w:rPr>
                <w:rFonts w:eastAsia="SimSun"/>
              </w:rPr>
              <w:t>Препарат</w:t>
            </w:r>
          </w:p>
        </w:tc>
        <w:tc>
          <w:tcPr>
            <w:tcW w:w="1417" w:type="dxa"/>
            <w:vAlign w:val="center"/>
          </w:tcPr>
          <w:p w14:paraId="00A360A0" w14:textId="77777777" w:rsidR="00304132" w:rsidRPr="00AC3044" w:rsidRDefault="00304132" w:rsidP="00CD5E09">
            <w:pPr>
              <w:rPr>
                <w:rFonts w:eastAsia="SimSun"/>
              </w:rPr>
            </w:pPr>
            <w:r w:rsidRPr="00AC3044">
              <w:rPr>
                <w:rFonts w:eastAsia="SimSun"/>
              </w:rPr>
              <w:t>Суточная доза</w:t>
            </w:r>
          </w:p>
        </w:tc>
        <w:tc>
          <w:tcPr>
            <w:tcW w:w="1559" w:type="dxa"/>
            <w:vAlign w:val="center"/>
          </w:tcPr>
          <w:p w14:paraId="16BE82E4" w14:textId="77777777" w:rsidR="00304132" w:rsidRPr="00AC3044" w:rsidRDefault="00304132" w:rsidP="00CD5E09">
            <w:pPr>
              <w:rPr>
                <w:rFonts w:eastAsia="SimSun"/>
              </w:rPr>
            </w:pPr>
            <w:r w:rsidRPr="00AC3044">
              <w:rPr>
                <w:rFonts w:eastAsia="SimSun"/>
              </w:rPr>
              <w:t>Курсовая доза</w:t>
            </w:r>
          </w:p>
        </w:tc>
        <w:tc>
          <w:tcPr>
            <w:tcW w:w="1560" w:type="dxa"/>
            <w:vAlign w:val="center"/>
          </w:tcPr>
          <w:p w14:paraId="25B0111D" w14:textId="77777777" w:rsidR="00304132" w:rsidRPr="00AC3044" w:rsidRDefault="00304132" w:rsidP="00CD5E09">
            <w:pPr>
              <w:rPr>
                <w:rFonts w:eastAsia="SimSun"/>
              </w:rPr>
            </w:pPr>
            <w:r w:rsidRPr="00AC3044">
              <w:rPr>
                <w:rFonts w:eastAsia="SimSun"/>
              </w:rPr>
              <w:t>Дни введения</w:t>
            </w:r>
          </w:p>
        </w:tc>
        <w:tc>
          <w:tcPr>
            <w:tcW w:w="2268" w:type="dxa"/>
            <w:vAlign w:val="center"/>
          </w:tcPr>
          <w:p w14:paraId="6E8D51EC" w14:textId="77777777" w:rsidR="00304132" w:rsidRPr="00AC3044" w:rsidRDefault="00304132" w:rsidP="00CD5E09">
            <w:pPr>
              <w:rPr>
                <w:rFonts w:eastAsia="SimSun"/>
              </w:rPr>
            </w:pPr>
            <w:r w:rsidRPr="00AC3044">
              <w:rPr>
                <w:rFonts w:eastAsia="SimSun"/>
              </w:rPr>
              <w:t>Порядок введения</w:t>
            </w:r>
          </w:p>
        </w:tc>
      </w:tr>
      <w:tr w:rsidR="00304132" w:rsidRPr="00AC3044" w14:paraId="2C950F86" w14:textId="77777777" w:rsidTr="00CD5E09">
        <w:trPr>
          <w:cantSplit/>
          <w:trHeight w:val="20"/>
        </w:trPr>
        <w:tc>
          <w:tcPr>
            <w:tcW w:w="993" w:type="dxa"/>
            <w:vMerge w:val="restart"/>
            <w:textDirection w:val="btLr"/>
            <w:vAlign w:val="center"/>
          </w:tcPr>
          <w:p w14:paraId="387F0FFD" w14:textId="77777777" w:rsidR="00304132" w:rsidRPr="00AC3044" w:rsidRDefault="00304132" w:rsidP="00CD5E09">
            <w:pPr>
              <w:rPr>
                <w:rFonts w:eastAsia="SimSun"/>
              </w:rPr>
            </w:pPr>
            <w:r w:rsidRPr="00AC3044">
              <w:rPr>
                <w:rFonts w:eastAsia="SimSun"/>
              </w:rPr>
              <w:t>Кондиционирование</w:t>
            </w:r>
          </w:p>
        </w:tc>
        <w:tc>
          <w:tcPr>
            <w:tcW w:w="1843" w:type="dxa"/>
            <w:vAlign w:val="center"/>
          </w:tcPr>
          <w:p w14:paraId="7D952BE2" w14:textId="77777777" w:rsidR="00304132" w:rsidRPr="00AC3044" w:rsidRDefault="00304132" w:rsidP="00CD5E09">
            <w:pPr>
              <w:rPr>
                <w:rFonts w:eastAsia="SimSun"/>
              </w:rPr>
            </w:pPr>
            <w:r w:rsidRPr="00AC3044">
              <w:rPr>
                <w:rFonts w:eastAsia="SimSun"/>
              </w:rPr>
              <w:t xml:space="preserve">Флударабин </w:t>
            </w:r>
          </w:p>
        </w:tc>
        <w:tc>
          <w:tcPr>
            <w:tcW w:w="1417" w:type="dxa"/>
            <w:vAlign w:val="center"/>
          </w:tcPr>
          <w:p w14:paraId="5EC1682C" w14:textId="77777777" w:rsidR="00304132" w:rsidRPr="00AC3044" w:rsidRDefault="00304132" w:rsidP="00CD5E09">
            <w:pPr>
              <w:rPr>
                <w:rFonts w:eastAsia="SimSun"/>
              </w:rPr>
            </w:pPr>
            <w:r w:rsidRPr="00AC3044">
              <w:rPr>
                <w:rFonts w:eastAsia="SimSun"/>
              </w:rPr>
              <w:t>30 мг/м</w:t>
            </w:r>
            <w:r w:rsidRPr="001E6DBE">
              <w:rPr>
                <w:rFonts w:eastAsia="SimSun"/>
                <w:vertAlign w:val="superscript"/>
              </w:rPr>
              <w:t>2</w:t>
            </w:r>
          </w:p>
        </w:tc>
        <w:tc>
          <w:tcPr>
            <w:tcW w:w="1559" w:type="dxa"/>
            <w:vAlign w:val="center"/>
          </w:tcPr>
          <w:p w14:paraId="3CC64F8E" w14:textId="77777777" w:rsidR="00304132" w:rsidRPr="00AC3044" w:rsidRDefault="00304132" w:rsidP="00CD5E09">
            <w:pPr>
              <w:rPr>
                <w:rFonts w:eastAsia="SimSun"/>
              </w:rPr>
            </w:pPr>
            <w:r w:rsidRPr="00AC3044">
              <w:rPr>
                <w:rFonts w:eastAsia="SimSun"/>
              </w:rPr>
              <w:t>150 мг/м</w:t>
            </w:r>
            <w:r w:rsidRPr="001E6DBE">
              <w:rPr>
                <w:rFonts w:eastAsia="SimSun"/>
                <w:vertAlign w:val="superscript"/>
              </w:rPr>
              <w:t>2</w:t>
            </w:r>
          </w:p>
        </w:tc>
        <w:tc>
          <w:tcPr>
            <w:tcW w:w="1560" w:type="dxa"/>
            <w:vAlign w:val="center"/>
          </w:tcPr>
          <w:p w14:paraId="1EE6BFD2" w14:textId="77777777" w:rsidR="00304132" w:rsidRPr="00AC3044" w:rsidRDefault="00304132" w:rsidP="00CD5E09">
            <w:pPr>
              <w:rPr>
                <w:rFonts w:eastAsia="SimSun"/>
              </w:rPr>
            </w:pPr>
            <w:r w:rsidRPr="00AC3044">
              <w:rPr>
                <w:rFonts w:eastAsia="SimSun"/>
              </w:rPr>
              <w:t>С –6 по –2 день</w:t>
            </w:r>
          </w:p>
        </w:tc>
        <w:tc>
          <w:tcPr>
            <w:tcW w:w="2268" w:type="dxa"/>
            <w:vAlign w:val="center"/>
          </w:tcPr>
          <w:p w14:paraId="1559AED6" w14:textId="77777777" w:rsidR="00304132" w:rsidRPr="00AC3044" w:rsidRDefault="00304132" w:rsidP="00CD5E09">
            <w:pPr>
              <w:rPr>
                <w:rFonts w:eastAsia="SimSun"/>
              </w:rPr>
            </w:pPr>
            <w:r w:rsidRPr="00AC3044">
              <w:rPr>
                <w:rFonts w:eastAsia="SimSun"/>
              </w:rPr>
              <w:t>В/в, в течение 30 -60 мин</w:t>
            </w:r>
          </w:p>
        </w:tc>
      </w:tr>
      <w:tr w:rsidR="00304132" w:rsidRPr="00AC3044" w14:paraId="05471F2A" w14:textId="77777777" w:rsidTr="00CD5E09">
        <w:trPr>
          <w:cantSplit/>
          <w:trHeight w:val="1337"/>
        </w:trPr>
        <w:tc>
          <w:tcPr>
            <w:tcW w:w="993" w:type="dxa"/>
            <w:vMerge/>
            <w:textDirection w:val="btLr"/>
            <w:vAlign w:val="center"/>
          </w:tcPr>
          <w:p w14:paraId="6D8161F7" w14:textId="77777777" w:rsidR="00304132" w:rsidRPr="00AC3044" w:rsidRDefault="00304132" w:rsidP="00CD5E09">
            <w:pPr>
              <w:rPr>
                <w:rFonts w:eastAsia="SimSun"/>
              </w:rPr>
            </w:pPr>
          </w:p>
        </w:tc>
        <w:tc>
          <w:tcPr>
            <w:tcW w:w="1843" w:type="dxa"/>
            <w:vAlign w:val="center"/>
          </w:tcPr>
          <w:p w14:paraId="17983C37" w14:textId="77777777" w:rsidR="00304132" w:rsidRPr="00AC3044" w:rsidRDefault="00304132" w:rsidP="00CD5E09">
            <w:pPr>
              <w:rPr>
                <w:rFonts w:eastAsia="SimSun"/>
              </w:rPr>
            </w:pPr>
            <w:r w:rsidRPr="00AC3044">
              <w:rPr>
                <w:rFonts w:eastAsia="SimSun"/>
              </w:rPr>
              <w:t>Бусульфан</w:t>
            </w:r>
          </w:p>
        </w:tc>
        <w:tc>
          <w:tcPr>
            <w:tcW w:w="1417" w:type="dxa"/>
            <w:vAlign w:val="center"/>
          </w:tcPr>
          <w:p w14:paraId="464ACAA5" w14:textId="77777777" w:rsidR="00304132" w:rsidRPr="00AC3044" w:rsidRDefault="00304132" w:rsidP="00CD5E09">
            <w:pPr>
              <w:rPr>
                <w:rFonts w:eastAsia="SimSun"/>
              </w:rPr>
            </w:pPr>
            <w:r w:rsidRPr="00AC3044">
              <w:rPr>
                <w:rFonts w:eastAsia="SimSun"/>
              </w:rPr>
              <w:t>4 мг/кг</w:t>
            </w:r>
          </w:p>
        </w:tc>
        <w:tc>
          <w:tcPr>
            <w:tcW w:w="1559" w:type="dxa"/>
            <w:vAlign w:val="center"/>
          </w:tcPr>
          <w:p w14:paraId="3E4CEC6A" w14:textId="77777777" w:rsidR="00304132" w:rsidRPr="00AC3044" w:rsidRDefault="00304132" w:rsidP="00CD5E09">
            <w:pPr>
              <w:rPr>
                <w:rFonts w:eastAsia="SimSun"/>
              </w:rPr>
            </w:pPr>
            <w:r w:rsidRPr="00AC3044">
              <w:rPr>
                <w:rFonts w:eastAsia="SimSun"/>
              </w:rPr>
              <w:t>8 мг/кг</w:t>
            </w:r>
          </w:p>
        </w:tc>
        <w:tc>
          <w:tcPr>
            <w:tcW w:w="1560" w:type="dxa"/>
            <w:vAlign w:val="center"/>
          </w:tcPr>
          <w:p w14:paraId="28167B7F" w14:textId="77777777" w:rsidR="00304132" w:rsidRPr="00AC3044" w:rsidRDefault="00304132" w:rsidP="00CD5E09">
            <w:pPr>
              <w:rPr>
                <w:rFonts w:eastAsia="SimSun"/>
              </w:rPr>
            </w:pPr>
            <w:r w:rsidRPr="00AC3044">
              <w:rPr>
                <w:rFonts w:eastAsia="SimSun"/>
              </w:rPr>
              <w:t>–5, –4 дни</w:t>
            </w:r>
          </w:p>
        </w:tc>
        <w:tc>
          <w:tcPr>
            <w:tcW w:w="2268" w:type="dxa"/>
            <w:vAlign w:val="center"/>
          </w:tcPr>
          <w:p w14:paraId="018C7A94" w14:textId="77777777" w:rsidR="00304132" w:rsidRPr="00AC3044" w:rsidRDefault="00304132" w:rsidP="00CD5E09">
            <w:pPr>
              <w:rPr>
                <w:rFonts w:eastAsia="SimSun"/>
              </w:rPr>
            </w:pPr>
            <w:r w:rsidRPr="00AC3044">
              <w:rPr>
                <w:rFonts w:eastAsia="SimSun"/>
              </w:rPr>
              <w:t>Внутрь, суммарная суточная доза разделяется на 4 приема с интервалом 6 часов.</w:t>
            </w:r>
          </w:p>
        </w:tc>
      </w:tr>
      <w:tr w:rsidR="00304132" w:rsidRPr="00AC3044" w14:paraId="1AF4DDFE" w14:textId="77777777" w:rsidTr="00CD5E09">
        <w:trPr>
          <w:cantSplit/>
          <w:trHeight w:val="20"/>
        </w:trPr>
        <w:tc>
          <w:tcPr>
            <w:tcW w:w="993" w:type="dxa"/>
            <w:vMerge w:val="restart"/>
            <w:textDirection w:val="btLr"/>
            <w:vAlign w:val="center"/>
          </w:tcPr>
          <w:p w14:paraId="148345DC" w14:textId="77777777" w:rsidR="00304132" w:rsidRPr="00AC3044" w:rsidRDefault="00304132" w:rsidP="00CD5E09">
            <w:pPr>
              <w:rPr>
                <w:rFonts w:eastAsia="SimSun"/>
              </w:rPr>
            </w:pPr>
            <w:r w:rsidRPr="00AC3044">
              <w:rPr>
                <w:rFonts w:eastAsia="SimSun"/>
              </w:rPr>
              <w:t>Профилактика РТПХ</w:t>
            </w:r>
          </w:p>
        </w:tc>
        <w:tc>
          <w:tcPr>
            <w:tcW w:w="1843" w:type="dxa"/>
            <w:vAlign w:val="center"/>
          </w:tcPr>
          <w:p w14:paraId="0B1BBF5B" w14:textId="77777777" w:rsidR="00304132" w:rsidRPr="00AC3044" w:rsidRDefault="00304132" w:rsidP="00CD5E09">
            <w:pPr>
              <w:rPr>
                <w:rFonts w:eastAsia="SimSun"/>
              </w:rPr>
            </w:pPr>
            <w:r w:rsidRPr="00AC3044">
              <w:rPr>
                <w:rFonts w:eastAsia="SimSun"/>
              </w:rPr>
              <w:t>Циклофосфамид</w:t>
            </w:r>
          </w:p>
        </w:tc>
        <w:tc>
          <w:tcPr>
            <w:tcW w:w="1417" w:type="dxa"/>
            <w:vAlign w:val="center"/>
          </w:tcPr>
          <w:p w14:paraId="4288C3A2" w14:textId="77777777" w:rsidR="00304132" w:rsidRPr="00AC3044" w:rsidRDefault="00304132" w:rsidP="00CD5E09">
            <w:pPr>
              <w:rPr>
                <w:rFonts w:eastAsia="SimSun"/>
              </w:rPr>
            </w:pPr>
            <w:r w:rsidRPr="00AC3044">
              <w:rPr>
                <w:rFonts w:eastAsia="SimSun"/>
              </w:rPr>
              <w:t>50 мг/кг</w:t>
            </w:r>
          </w:p>
        </w:tc>
        <w:tc>
          <w:tcPr>
            <w:tcW w:w="1559" w:type="dxa"/>
            <w:vAlign w:val="center"/>
          </w:tcPr>
          <w:p w14:paraId="13C5E505" w14:textId="77777777" w:rsidR="00304132" w:rsidRPr="00AC3044" w:rsidRDefault="00304132" w:rsidP="00CD5E09">
            <w:pPr>
              <w:rPr>
                <w:rFonts w:eastAsia="SimSun"/>
              </w:rPr>
            </w:pPr>
            <w:r w:rsidRPr="00AC3044">
              <w:rPr>
                <w:rFonts w:eastAsia="SimSun"/>
              </w:rPr>
              <w:t>100 мг/кг</w:t>
            </w:r>
          </w:p>
        </w:tc>
        <w:tc>
          <w:tcPr>
            <w:tcW w:w="1560" w:type="dxa"/>
            <w:vAlign w:val="center"/>
          </w:tcPr>
          <w:p w14:paraId="29EF9B3A" w14:textId="77777777" w:rsidR="00304132" w:rsidRPr="00AC3044" w:rsidRDefault="00304132" w:rsidP="00CD5E09">
            <w:pPr>
              <w:rPr>
                <w:rFonts w:eastAsia="SimSun"/>
              </w:rPr>
            </w:pPr>
            <w:r w:rsidRPr="00AC3044">
              <w:rPr>
                <w:rFonts w:eastAsia="SimSun"/>
              </w:rPr>
              <w:t xml:space="preserve">+3,+4 дни </w:t>
            </w:r>
          </w:p>
        </w:tc>
        <w:tc>
          <w:tcPr>
            <w:tcW w:w="2268" w:type="dxa"/>
            <w:vAlign w:val="center"/>
          </w:tcPr>
          <w:p w14:paraId="6822D290" w14:textId="77777777" w:rsidR="00304132" w:rsidRPr="00AC3044" w:rsidRDefault="00304132" w:rsidP="00CD5E09">
            <w:pPr>
              <w:rPr>
                <w:rFonts w:eastAsia="SimSun"/>
              </w:rPr>
            </w:pPr>
            <w:r w:rsidRPr="00AC3044">
              <w:rPr>
                <w:rFonts w:eastAsia="SimSun"/>
              </w:rPr>
              <w:t xml:space="preserve">В/в, в течение 2 ч  </w:t>
            </w:r>
          </w:p>
        </w:tc>
      </w:tr>
      <w:tr w:rsidR="00304132" w:rsidRPr="00AC3044" w14:paraId="79464FB7" w14:textId="77777777" w:rsidTr="00CD5E09">
        <w:trPr>
          <w:cantSplit/>
          <w:trHeight w:val="20"/>
        </w:trPr>
        <w:tc>
          <w:tcPr>
            <w:tcW w:w="993" w:type="dxa"/>
            <w:vMerge/>
            <w:textDirection w:val="btLr"/>
          </w:tcPr>
          <w:p w14:paraId="3EF52088" w14:textId="77777777" w:rsidR="00304132" w:rsidRPr="00AC3044" w:rsidRDefault="00304132" w:rsidP="00CD5E09">
            <w:pPr>
              <w:rPr>
                <w:rFonts w:eastAsia="SimSun"/>
              </w:rPr>
            </w:pPr>
          </w:p>
        </w:tc>
        <w:tc>
          <w:tcPr>
            <w:tcW w:w="1843" w:type="dxa"/>
            <w:vAlign w:val="center"/>
          </w:tcPr>
          <w:p w14:paraId="5CEDD147" w14:textId="77777777" w:rsidR="00304132" w:rsidRPr="00AC3044" w:rsidRDefault="00304132" w:rsidP="00CD5E09">
            <w:pPr>
              <w:rPr>
                <w:rFonts w:eastAsia="SimSun"/>
              </w:rPr>
            </w:pPr>
            <w:r w:rsidRPr="00AC3044">
              <w:rPr>
                <w:rFonts w:eastAsia="SimSun"/>
              </w:rPr>
              <w:t>Циклоспорин</w:t>
            </w:r>
          </w:p>
        </w:tc>
        <w:tc>
          <w:tcPr>
            <w:tcW w:w="1417" w:type="dxa"/>
            <w:vAlign w:val="center"/>
          </w:tcPr>
          <w:p w14:paraId="2A8282C3" w14:textId="77777777" w:rsidR="00304132" w:rsidRPr="00AC3044" w:rsidRDefault="00304132" w:rsidP="00CD5E09">
            <w:pPr>
              <w:rPr>
                <w:rFonts w:eastAsia="SimSun"/>
              </w:rPr>
            </w:pPr>
            <w:r w:rsidRPr="00AC3044">
              <w:rPr>
                <w:rFonts w:eastAsia="SimSun"/>
              </w:rPr>
              <w:t>3 мг/кг</w:t>
            </w:r>
          </w:p>
        </w:tc>
        <w:tc>
          <w:tcPr>
            <w:tcW w:w="1559" w:type="dxa"/>
            <w:vAlign w:val="center"/>
          </w:tcPr>
          <w:p w14:paraId="6BDF30E1" w14:textId="77777777" w:rsidR="00304132" w:rsidRPr="00AC3044" w:rsidRDefault="00304132" w:rsidP="00CD5E09">
            <w:pPr>
              <w:rPr>
                <w:rFonts w:eastAsia="SimSun"/>
              </w:rPr>
            </w:pPr>
            <w:r w:rsidRPr="00AC3044">
              <w:rPr>
                <w:rFonts w:eastAsia="SimSun"/>
              </w:rPr>
              <w:t>–</w:t>
            </w:r>
          </w:p>
        </w:tc>
        <w:tc>
          <w:tcPr>
            <w:tcW w:w="1560" w:type="dxa"/>
            <w:vAlign w:val="center"/>
          </w:tcPr>
          <w:p w14:paraId="6C6310DC" w14:textId="77777777" w:rsidR="00304132" w:rsidRPr="00AC3044" w:rsidRDefault="00304132" w:rsidP="00CD5E09">
            <w:pPr>
              <w:rPr>
                <w:rFonts w:eastAsia="SimSun"/>
              </w:rPr>
            </w:pPr>
            <w:r w:rsidRPr="00AC3044">
              <w:rPr>
                <w:rFonts w:eastAsia="SimSun"/>
              </w:rPr>
              <w:t>С +5 по +60 день, затем постепенное снижение к +100 дню</w:t>
            </w:r>
          </w:p>
        </w:tc>
        <w:tc>
          <w:tcPr>
            <w:tcW w:w="2268" w:type="dxa"/>
            <w:vAlign w:val="center"/>
          </w:tcPr>
          <w:p w14:paraId="2F8AC222" w14:textId="77777777" w:rsidR="00304132" w:rsidRPr="00AC3044" w:rsidRDefault="00304132" w:rsidP="00CD5E09">
            <w:pPr>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1E6DBE">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304132" w:rsidRPr="00AC3044" w14:paraId="1F220376" w14:textId="77777777" w:rsidTr="00CD5E09">
        <w:trPr>
          <w:cantSplit/>
          <w:trHeight w:val="464"/>
        </w:trPr>
        <w:tc>
          <w:tcPr>
            <w:tcW w:w="993" w:type="dxa"/>
            <w:vMerge/>
          </w:tcPr>
          <w:p w14:paraId="196D169F" w14:textId="77777777" w:rsidR="00304132" w:rsidRPr="00AC3044" w:rsidRDefault="00304132" w:rsidP="00CD5E09">
            <w:pPr>
              <w:rPr>
                <w:rFonts w:eastAsia="SimSun"/>
              </w:rPr>
            </w:pPr>
          </w:p>
        </w:tc>
        <w:tc>
          <w:tcPr>
            <w:tcW w:w="1843" w:type="dxa"/>
            <w:vAlign w:val="center"/>
          </w:tcPr>
          <w:p w14:paraId="09097E0C" w14:textId="77777777" w:rsidR="00304132" w:rsidRPr="00AC3044" w:rsidRDefault="00304132" w:rsidP="00CD5E09">
            <w:pPr>
              <w:rPr>
                <w:rFonts w:eastAsia="SimSun"/>
              </w:rPr>
            </w:pPr>
            <w:r w:rsidRPr="00AC3044">
              <w:rPr>
                <w:rFonts w:eastAsia="SimSun"/>
              </w:rPr>
              <w:t>Микофенолата мофетил</w:t>
            </w:r>
          </w:p>
        </w:tc>
        <w:tc>
          <w:tcPr>
            <w:tcW w:w="1417" w:type="dxa"/>
            <w:vAlign w:val="center"/>
          </w:tcPr>
          <w:p w14:paraId="4C35533F" w14:textId="77777777" w:rsidR="00304132" w:rsidRPr="00AC3044" w:rsidRDefault="00304132" w:rsidP="00CD5E09">
            <w:pPr>
              <w:rPr>
                <w:rFonts w:eastAsia="SimSun"/>
              </w:rPr>
            </w:pPr>
            <w:r w:rsidRPr="00AC3044">
              <w:rPr>
                <w:rFonts w:eastAsia="SimSun"/>
              </w:rPr>
              <w:t>30 мг/кг</w:t>
            </w:r>
          </w:p>
        </w:tc>
        <w:tc>
          <w:tcPr>
            <w:tcW w:w="1559" w:type="dxa"/>
            <w:vAlign w:val="center"/>
          </w:tcPr>
          <w:p w14:paraId="34C77D44" w14:textId="77777777" w:rsidR="00304132" w:rsidRPr="00AC3044" w:rsidRDefault="00304132" w:rsidP="00CD5E09">
            <w:pPr>
              <w:rPr>
                <w:rFonts w:eastAsia="SimSun"/>
              </w:rPr>
            </w:pPr>
            <w:r w:rsidRPr="00AC3044">
              <w:rPr>
                <w:rFonts w:eastAsia="SimSun"/>
              </w:rPr>
              <w:t>–</w:t>
            </w:r>
          </w:p>
        </w:tc>
        <w:tc>
          <w:tcPr>
            <w:tcW w:w="1560" w:type="dxa"/>
            <w:vAlign w:val="center"/>
          </w:tcPr>
          <w:p w14:paraId="641D6A53" w14:textId="77777777" w:rsidR="00304132" w:rsidRPr="00AC3044" w:rsidRDefault="00304132" w:rsidP="00CD5E09">
            <w:pPr>
              <w:rPr>
                <w:rFonts w:eastAsia="SimSun"/>
              </w:rPr>
            </w:pPr>
            <w:r w:rsidRPr="00AC3044">
              <w:rPr>
                <w:rFonts w:eastAsia="SimSun"/>
              </w:rPr>
              <w:t>С +5 по +30 день</w:t>
            </w:r>
          </w:p>
        </w:tc>
        <w:tc>
          <w:tcPr>
            <w:tcW w:w="2268" w:type="dxa"/>
            <w:vAlign w:val="center"/>
          </w:tcPr>
          <w:p w14:paraId="5784DD13" w14:textId="77777777" w:rsidR="00304132" w:rsidRPr="00AC3044" w:rsidRDefault="00304132" w:rsidP="00CD5E09">
            <w:pPr>
              <w:rPr>
                <w:rFonts w:eastAsia="SimSun"/>
              </w:rPr>
            </w:pPr>
            <w:r w:rsidRPr="00AC3044">
              <w:rPr>
                <w:rFonts w:eastAsia="SimSun"/>
              </w:rPr>
              <w:t>Внутрь, суммарная суточная доза разделяется на 2- 4 приема.</w:t>
            </w:r>
          </w:p>
        </w:tc>
      </w:tr>
    </w:tbl>
    <w:p w14:paraId="76EB8C5F" w14:textId="77777777" w:rsidR="00304132" w:rsidRDefault="00304132" w:rsidP="00304132">
      <w:pPr>
        <w:rPr>
          <w:rFonts w:eastAsia="SimSun"/>
        </w:rPr>
      </w:pPr>
      <w:bookmarkStart w:id="311" w:name="_Toc44401166"/>
    </w:p>
    <w:p w14:paraId="457515CB" w14:textId="77777777" w:rsidR="00304132" w:rsidRPr="00C07B2E" w:rsidRDefault="00304132" w:rsidP="00304132">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1.2.8  – Flu180+Bu8 / PT-Cy</w:t>
      </w:r>
      <w:bookmarkEnd w:id="311"/>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843"/>
        <w:gridCol w:w="1417"/>
        <w:gridCol w:w="1559"/>
        <w:gridCol w:w="1559"/>
        <w:gridCol w:w="2269"/>
      </w:tblGrid>
      <w:tr w:rsidR="00304132" w:rsidRPr="00AC3044" w14:paraId="6A48556A" w14:textId="77777777" w:rsidTr="00CD5E09">
        <w:trPr>
          <w:cantSplit/>
          <w:trHeight w:val="20"/>
          <w:tblHeader/>
        </w:trPr>
        <w:tc>
          <w:tcPr>
            <w:tcW w:w="993" w:type="dxa"/>
            <w:vAlign w:val="center"/>
          </w:tcPr>
          <w:p w14:paraId="37D1DB32" w14:textId="77777777" w:rsidR="00304132" w:rsidRPr="00AC3044" w:rsidRDefault="00304132" w:rsidP="00CD5E09">
            <w:pPr>
              <w:rPr>
                <w:rFonts w:eastAsia="SimSun"/>
              </w:rPr>
            </w:pPr>
          </w:p>
        </w:tc>
        <w:tc>
          <w:tcPr>
            <w:tcW w:w="1843" w:type="dxa"/>
            <w:vAlign w:val="center"/>
          </w:tcPr>
          <w:p w14:paraId="08D2EDD3" w14:textId="77777777" w:rsidR="00304132" w:rsidRPr="00AC3044" w:rsidRDefault="00304132" w:rsidP="00CD5E09">
            <w:pPr>
              <w:rPr>
                <w:rFonts w:eastAsia="SimSun"/>
              </w:rPr>
            </w:pPr>
            <w:r w:rsidRPr="00AC3044">
              <w:rPr>
                <w:rFonts w:eastAsia="SimSun"/>
              </w:rPr>
              <w:t>Препарат</w:t>
            </w:r>
          </w:p>
        </w:tc>
        <w:tc>
          <w:tcPr>
            <w:tcW w:w="1417" w:type="dxa"/>
            <w:vAlign w:val="center"/>
          </w:tcPr>
          <w:p w14:paraId="1EFA7745" w14:textId="77777777" w:rsidR="00304132" w:rsidRPr="00AC3044" w:rsidRDefault="00304132" w:rsidP="00CD5E09">
            <w:pPr>
              <w:rPr>
                <w:rFonts w:eastAsia="SimSun"/>
              </w:rPr>
            </w:pPr>
            <w:r w:rsidRPr="00AC3044">
              <w:rPr>
                <w:rFonts w:eastAsia="SimSun"/>
              </w:rPr>
              <w:t>Суточная доза</w:t>
            </w:r>
          </w:p>
        </w:tc>
        <w:tc>
          <w:tcPr>
            <w:tcW w:w="1559" w:type="dxa"/>
            <w:vAlign w:val="center"/>
          </w:tcPr>
          <w:p w14:paraId="09BE4DB7" w14:textId="77777777" w:rsidR="00304132" w:rsidRPr="00AC3044" w:rsidRDefault="00304132" w:rsidP="00CD5E09">
            <w:pPr>
              <w:rPr>
                <w:rFonts w:eastAsia="SimSun"/>
              </w:rPr>
            </w:pPr>
            <w:r w:rsidRPr="00AC3044">
              <w:rPr>
                <w:rFonts w:eastAsia="SimSun"/>
              </w:rPr>
              <w:t>Курсовая доза</w:t>
            </w:r>
          </w:p>
        </w:tc>
        <w:tc>
          <w:tcPr>
            <w:tcW w:w="1559" w:type="dxa"/>
            <w:vAlign w:val="center"/>
          </w:tcPr>
          <w:p w14:paraId="64B80912" w14:textId="77777777" w:rsidR="00304132" w:rsidRPr="00AC3044" w:rsidRDefault="00304132" w:rsidP="00CD5E09">
            <w:pPr>
              <w:rPr>
                <w:rFonts w:eastAsia="SimSun"/>
              </w:rPr>
            </w:pPr>
            <w:r w:rsidRPr="00AC3044">
              <w:rPr>
                <w:rFonts w:eastAsia="SimSun"/>
              </w:rPr>
              <w:t>Дни введения</w:t>
            </w:r>
          </w:p>
        </w:tc>
        <w:tc>
          <w:tcPr>
            <w:tcW w:w="2269" w:type="dxa"/>
            <w:vAlign w:val="center"/>
          </w:tcPr>
          <w:p w14:paraId="0340DC19" w14:textId="77777777" w:rsidR="00304132" w:rsidRPr="00AC3044" w:rsidRDefault="00304132" w:rsidP="00CD5E09">
            <w:pPr>
              <w:rPr>
                <w:rFonts w:eastAsia="SimSun"/>
              </w:rPr>
            </w:pPr>
            <w:r w:rsidRPr="00AC3044">
              <w:rPr>
                <w:rFonts w:eastAsia="SimSun"/>
              </w:rPr>
              <w:t>Порядок введения</w:t>
            </w:r>
          </w:p>
        </w:tc>
      </w:tr>
      <w:tr w:rsidR="00304132" w:rsidRPr="00AC3044" w14:paraId="4F3210B6" w14:textId="77777777" w:rsidTr="00CD5E09">
        <w:trPr>
          <w:cantSplit/>
          <w:trHeight w:val="20"/>
        </w:trPr>
        <w:tc>
          <w:tcPr>
            <w:tcW w:w="993" w:type="dxa"/>
            <w:vMerge w:val="restart"/>
            <w:textDirection w:val="btLr"/>
            <w:vAlign w:val="center"/>
          </w:tcPr>
          <w:p w14:paraId="7401B566" w14:textId="77777777" w:rsidR="00304132" w:rsidRPr="00AC3044" w:rsidRDefault="00304132" w:rsidP="00CD5E09">
            <w:pPr>
              <w:rPr>
                <w:rFonts w:eastAsia="SimSun"/>
              </w:rPr>
            </w:pPr>
            <w:r w:rsidRPr="00AC3044">
              <w:rPr>
                <w:rFonts w:eastAsia="SimSun"/>
              </w:rPr>
              <w:t>Кондиционирование</w:t>
            </w:r>
          </w:p>
        </w:tc>
        <w:tc>
          <w:tcPr>
            <w:tcW w:w="1843" w:type="dxa"/>
            <w:vAlign w:val="center"/>
          </w:tcPr>
          <w:p w14:paraId="0098FE7F" w14:textId="77777777" w:rsidR="00304132" w:rsidRPr="00AC3044" w:rsidRDefault="00304132" w:rsidP="00CD5E09">
            <w:pPr>
              <w:rPr>
                <w:rFonts w:eastAsia="SimSun"/>
              </w:rPr>
            </w:pPr>
            <w:r w:rsidRPr="00AC3044">
              <w:rPr>
                <w:rFonts w:eastAsia="SimSun"/>
              </w:rPr>
              <w:t xml:space="preserve">Флударабин </w:t>
            </w:r>
          </w:p>
        </w:tc>
        <w:tc>
          <w:tcPr>
            <w:tcW w:w="1417" w:type="dxa"/>
            <w:vAlign w:val="center"/>
          </w:tcPr>
          <w:p w14:paraId="08680C1B" w14:textId="77777777" w:rsidR="00304132" w:rsidRPr="00AC3044" w:rsidRDefault="00304132" w:rsidP="00CD5E09">
            <w:pPr>
              <w:rPr>
                <w:rFonts w:eastAsia="SimSun"/>
              </w:rPr>
            </w:pPr>
            <w:r w:rsidRPr="00AC3044">
              <w:rPr>
                <w:rFonts w:eastAsia="SimSun"/>
              </w:rPr>
              <w:t>30 мг/м</w:t>
            </w:r>
            <w:r w:rsidRPr="001E6DBE">
              <w:rPr>
                <w:rFonts w:eastAsia="SimSun"/>
                <w:vertAlign w:val="superscript"/>
              </w:rPr>
              <w:t>2</w:t>
            </w:r>
          </w:p>
        </w:tc>
        <w:tc>
          <w:tcPr>
            <w:tcW w:w="1559" w:type="dxa"/>
            <w:vAlign w:val="center"/>
          </w:tcPr>
          <w:p w14:paraId="1AA5239B" w14:textId="77777777" w:rsidR="00304132" w:rsidRPr="00AC3044" w:rsidRDefault="00304132" w:rsidP="00CD5E09">
            <w:pPr>
              <w:rPr>
                <w:rFonts w:eastAsia="SimSun"/>
              </w:rPr>
            </w:pPr>
            <w:r w:rsidRPr="00AC3044">
              <w:rPr>
                <w:rFonts w:eastAsia="SimSun"/>
              </w:rPr>
              <w:t>180 мг/м</w:t>
            </w:r>
            <w:r w:rsidRPr="001E6DBE">
              <w:rPr>
                <w:rFonts w:eastAsia="SimSun"/>
                <w:vertAlign w:val="superscript"/>
              </w:rPr>
              <w:t>2</w:t>
            </w:r>
          </w:p>
        </w:tc>
        <w:tc>
          <w:tcPr>
            <w:tcW w:w="1559" w:type="dxa"/>
            <w:vAlign w:val="center"/>
          </w:tcPr>
          <w:p w14:paraId="4C53AE56" w14:textId="77777777" w:rsidR="00304132" w:rsidRPr="00AC3044" w:rsidRDefault="00304132" w:rsidP="00CD5E09">
            <w:pPr>
              <w:rPr>
                <w:rFonts w:eastAsia="SimSun"/>
              </w:rPr>
            </w:pPr>
            <w:r w:rsidRPr="00AC3044">
              <w:rPr>
                <w:rFonts w:eastAsia="SimSun"/>
              </w:rPr>
              <w:t>С -7 дня по -2 день</w:t>
            </w:r>
          </w:p>
        </w:tc>
        <w:tc>
          <w:tcPr>
            <w:tcW w:w="2269" w:type="dxa"/>
            <w:vAlign w:val="center"/>
          </w:tcPr>
          <w:p w14:paraId="41540434" w14:textId="77777777" w:rsidR="00304132" w:rsidRPr="00AC3044" w:rsidRDefault="00304132" w:rsidP="00CD5E09">
            <w:pPr>
              <w:rPr>
                <w:rFonts w:eastAsia="SimSun"/>
              </w:rPr>
            </w:pPr>
            <w:r w:rsidRPr="00AC3044">
              <w:rPr>
                <w:rFonts w:eastAsia="SimSun"/>
              </w:rPr>
              <w:t>В/в, в течение 30 -60 мин</w:t>
            </w:r>
          </w:p>
        </w:tc>
      </w:tr>
      <w:tr w:rsidR="00304132" w:rsidRPr="00AC3044" w14:paraId="3FA0A2FA" w14:textId="77777777" w:rsidTr="00CD5E09">
        <w:trPr>
          <w:cantSplit/>
          <w:trHeight w:val="294"/>
        </w:trPr>
        <w:tc>
          <w:tcPr>
            <w:tcW w:w="993" w:type="dxa"/>
            <w:vMerge/>
            <w:vAlign w:val="center"/>
          </w:tcPr>
          <w:p w14:paraId="4EB7FD71" w14:textId="77777777" w:rsidR="00304132" w:rsidRPr="00AC3044" w:rsidRDefault="00304132" w:rsidP="00CD5E09">
            <w:pPr>
              <w:rPr>
                <w:rFonts w:eastAsia="SimSun"/>
              </w:rPr>
            </w:pPr>
          </w:p>
        </w:tc>
        <w:tc>
          <w:tcPr>
            <w:tcW w:w="1843" w:type="dxa"/>
            <w:vAlign w:val="center"/>
          </w:tcPr>
          <w:p w14:paraId="0382C467" w14:textId="77777777" w:rsidR="00304132" w:rsidRPr="00AC3044" w:rsidRDefault="00304132" w:rsidP="00CD5E09">
            <w:pPr>
              <w:rPr>
                <w:rFonts w:eastAsia="SimSun"/>
              </w:rPr>
            </w:pPr>
            <w:r w:rsidRPr="00AC3044">
              <w:rPr>
                <w:rFonts w:eastAsia="SimSun"/>
              </w:rPr>
              <w:t>Бусульфан</w:t>
            </w:r>
          </w:p>
        </w:tc>
        <w:tc>
          <w:tcPr>
            <w:tcW w:w="1417" w:type="dxa"/>
            <w:vAlign w:val="center"/>
          </w:tcPr>
          <w:p w14:paraId="4AB5498E" w14:textId="77777777" w:rsidR="00304132" w:rsidRPr="00AC3044" w:rsidRDefault="00304132" w:rsidP="00CD5E09">
            <w:pPr>
              <w:rPr>
                <w:rFonts w:eastAsia="SimSun"/>
              </w:rPr>
            </w:pPr>
            <w:r w:rsidRPr="00AC3044">
              <w:rPr>
                <w:rFonts w:eastAsia="SimSun"/>
              </w:rPr>
              <w:t xml:space="preserve">4 мг/кг </w:t>
            </w:r>
          </w:p>
        </w:tc>
        <w:tc>
          <w:tcPr>
            <w:tcW w:w="1559" w:type="dxa"/>
            <w:vAlign w:val="center"/>
          </w:tcPr>
          <w:p w14:paraId="27D3B7E3" w14:textId="77777777" w:rsidR="00304132" w:rsidRPr="00AC3044" w:rsidRDefault="00304132" w:rsidP="00CD5E09">
            <w:pPr>
              <w:rPr>
                <w:rFonts w:eastAsia="SimSun"/>
              </w:rPr>
            </w:pPr>
            <w:r w:rsidRPr="00AC3044">
              <w:rPr>
                <w:rFonts w:eastAsia="SimSun"/>
              </w:rPr>
              <w:t xml:space="preserve">8 мг/кг </w:t>
            </w:r>
          </w:p>
        </w:tc>
        <w:tc>
          <w:tcPr>
            <w:tcW w:w="1559" w:type="dxa"/>
            <w:vAlign w:val="center"/>
          </w:tcPr>
          <w:p w14:paraId="00423724" w14:textId="77777777" w:rsidR="00304132" w:rsidRPr="00AC3044" w:rsidRDefault="00304132" w:rsidP="00CD5E09">
            <w:pPr>
              <w:rPr>
                <w:rFonts w:eastAsia="SimSun"/>
              </w:rPr>
            </w:pPr>
            <w:r w:rsidRPr="00AC3044">
              <w:rPr>
                <w:rFonts w:eastAsia="SimSun"/>
              </w:rPr>
              <w:t>С -4 дня по -3 день</w:t>
            </w:r>
          </w:p>
        </w:tc>
        <w:tc>
          <w:tcPr>
            <w:tcW w:w="2269" w:type="dxa"/>
            <w:vAlign w:val="center"/>
          </w:tcPr>
          <w:p w14:paraId="074A11FC" w14:textId="77777777" w:rsidR="00304132" w:rsidRPr="00AC3044" w:rsidRDefault="00304132" w:rsidP="00CD5E09">
            <w:pPr>
              <w:rPr>
                <w:rFonts w:eastAsia="SimSun"/>
              </w:rPr>
            </w:pPr>
            <w:r w:rsidRPr="00AC3044">
              <w:rPr>
                <w:rFonts w:eastAsia="SimSun"/>
              </w:rPr>
              <w:t>Внутрь, суммарная суточная доза разделяется на 4 приема с интервалом 6 часов.</w:t>
            </w:r>
          </w:p>
        </w:tc>
      </w:tr>
      <w:tr w:rsidR="00304132" w:rsidRPr="00AC3044" w14:paraId="07E7339A" w14:textId="77777777" w:rsidTr="00CD5E09">
        <w:trPr>
          <w:cantSplit/>
          <w:trHeight w:val="1054"/>
        </w:trPr>
        <w:tc>
          <w:tcPr>
            <w:tcW w:w="993" w:type="dxa"/>
            <w:textDirection w:val="btLr"/>
            <w:vAlign w:val="center"/>
          </w:tcPr>
          <w:p w14:paraId="10991C0B" w14:textId="77777777" w:rsidR="00304132" w:rsidRPr="00AC3044" w:rsidRDefault="00304132" w:rsidP="00CD5E09">
            <w:pPr>
              <w:rPr>
                <w:rFonts w:eastAsia="SimSun"/>
              </w:rPr>
            </w:pPr>
            <w:r w:rsidRPr="00AC3044">
              <w:rPr>
                <w:rFonts w:eastAsia="SimSun"/>
              </w:rPr>
              <w:t>Профилактика РТПХ</w:t>
            </w:r>
          </w:p>
        </w:tc>
        <w:tc>
          <w:tcPr>
            <w:tcW w:w="1843" w:type="dxa"/>
            <w:vAlign w:val="center"/>
          </w:tcPr>
          <w:p w14:paraId="5CD58446" w14:textId="77777777" w:rsidR="00304132" w:rsidRPr="00AC3044" w:rsidRDefault="00304132" w:rsidP="00CD5E09">
            <w:pPr>
              <w:rPr>
                <w:rFonts w:eastAsia="SimSun"/>
              </w:rPr>
            </w:pPr>
            <w:r w:rsidRPr="00AC3044">
              <w:rPr>
                <w:rFonts w:eastAsia="SimSun"/>
              </w:rPr>
              <w:t>Циклофосфамид</w:t>
            </w:r>
          </w:p>
        </w:tc>
        <w:tc>
          <w:tcPr>
            <w:tcW w:w="1417" w:type="dxa"/>
            <w:vAlign w:val="center"/>
          </w:tcPr>
          <w:p w14:paraId="064046B4" w14:textId="77777777" w:rsidR="00304132" w:rsidRPr="00AC3044" w:rsidRDefault="00304132" w:rsidP="00CD5E09">
            <w:pPr>
              <w:rPr>
                <w:rFonts w:eastAsia="SimSun"/>
              </w:rPr>
            </w:pPr>
            <w:r w:rsidRPr="00AC3044">
              <w:rPr>
                <w:rFonts w:eastAsia="SimSun"/>
              </w:rPr>
              <w:t>50 мг/кг</w:t>
            </w:r>
          </w:p>
        </w:tc>
        <w:tc>
          <w:tcPr>
            <w:tcW w:w="1559" w:type="dxa"/>
            <w:vAlign w:val="center"/>
          </w:tcPr>
          <w:p w14:paraId="6AE50FA0" w14:textId="77777777" w:rsidR="00304132" w:rsidRPr="00AC3044" w:rsidRDefault="00304132" w:rsidP="00CD5E09">
            <w:pPr>
              <w:rPr>
                <w:rFonts w:eastAsia="SimSun"/>
              </w:rPr>
            </w:pPr>
            <w:r w:rsidRPr="00AC3044">
              <w:rPr>
                <w:rFonts w:eastAsia="SimSun"/>
              </w:rPr>
              <w:t>100 мг/кг</w:t>
            </w:r>
          </w:p>
        </w:tc>
        <w:tc>
          <w:tcPr>
            <w:tcW w:w="1559" w:type="dxa"/>
            <w:vAlign w:val="center"/>
          </w:tcPr>
          <w:p w14:paraId="70955BB7" w14:textId="77777777" w:rsidR="00304132" w:rsidRPr="00AC3044" w:rsidRDefault="00304132" w:rsidP="00CD5E09">
            <w:pPr>
              <w:rPr>
                <w:rFonts w:eastAsia="SimSun"/>
              </w:rPr>
            </w:pPr>
            <w:r w:rsidRPr="00AC3044">
              <w:rPr>
                <w:rFonts w:eastAsia="SimSun"/>
              </w:rPr>
              <w:t>С +3 дня по +4 день</w:t>
            </w:r>
          </w:p>
        </w:tc>
        <w:tc>
          <w:tcPr>
            <w:tcW w:w="2269" w:type="dxa"/>
            <w:vAlign w:val="center"/>
          </w:tcPr>
          <w:p w14:paraId="2CEC7F95" w14:textId="77777777" w:rsidR="00304132" w:rsidRPr="00AC3044" w:rsidRDefault="00304132" w:rsidP="00CD5E09">
            <w:pPr>
              <w:rPr>
                <w:rFonts w:eastAsia="SimSun"/>
              </w:rPr>
            </w:pPr>
            <w:r w:rsidRPr="00AC3044">
              <w:rPr>
                <w:rFonts w:eastAsia="SimSun"/>
              </w:rPr>
              <w:t xml:space="preserve">В/в, в течение 2 ч  </w:t>
            </w:r>
          </w:p>
        </w:tc>
      </w:tr>
    </w:tbl>
    <w:p w14:paraId="4BB33E76" w14:textId="77777777" w:rsidR="00304132" w:rsidRDefault="00304132" w:rsidP="00304132">
      <w:pPr>
        <w:rPr>
          <w:rFonts w:eastAsia="SimSun"/>
        </w:rPr>
      </w:pPr>
      <w:bookmarkStart w:id="312" w:name="_Toc44401167"/>
    </w:p>
    <w:p w14:paraId="36701274" w14:textId="77777777" w:rsidR="00304132" w:rsidRPr="00C07B2E" w:rsidRDefault="00304132" w:rsidP="00304132">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1.2.9  – Flu180+Bu8 / PT-Cy+Tx+MMF30</w:t>
      </w:r>
      <w:bookmarkEnd w:id="312"/>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843"/>
        <w:gridCol w:w="1417"/>
        <w:gridCol w:w="1559"/>
        <w:gridCol w:w="1560"/>
        <w:gridCol w:w="2268"/>
      </w:tblGrid>
      <w:tr w:rsidR="00304132" w:rsidRPr="00AC3044" w14:paraId="663B0368" w14:textId="77777777" w:rsidTr="00CD5E09">
        <w:trPr>
          <w:cantSplit/>
          <w:trHeight w:val="20"/>
          <w:tblHeader/>
        </w:trPr>
        <w:tc>
          <w:tcPr>
            <w:tcW w:w="993" w:type="dxa"/>
            <w:vAlign w:val="center"/>
          </w:tcPr>
          <w:p w14:paraId="0480C0F7" w14:textId="77777777" w:rsidR="00304132" w:rsidRPr="00470D3D" w:rsidRDefault="00304132" w:rsidP="00CD5E09">
            <w:pPr>
              <w:rPr>
                <w:rFonts w:eastAsia="SimSun"/>
              </w:rPr>
            </w:pPr>
          </w:p>
        </w:tc>
        <w:tc>
          <w:tcPr>
            <w:tcW w:w="1843" w:type="dxa"/>
            <w:vAlign w:val="center"/>
          </w:tcPr>
          <w:p w14:paraId="5A776885" w14:textId="77777777" w:rsidR="00304132" w:rsidRPr="00AC3044" w:rsidRDefault="00304132" w:rsidP="00CD5E09">
            <w:pPr>
              <w:rPr>
                <w:rFonts w:eastAsia="SimSun"/>
              </w:rPr>
            </w:pPr>
            <w:r w:rsidRPr="00AC3044">
              <w:rPr>
                <w:rFonts w:eastAsia="SimSun"/>
              </w:rPr>
              <w:t>Препарат</w:t>
            </w:r>
          </w:p>
        </w:tc>
        <w:tc>
          <w:tcPr>
            <w:tcW w:w="1417" w:type="dxa"/>
            <w:vAlign w:val="center"/>
          </w:tcPr>
          <w:p w14:paraId="31F19746" w14:textId="77777777" w:rsidR="00304132" w:rsidRPr="00AC3044" w:rsidRDefault="00304132" w:rsidP="00CD5E09">
            <w:pPr>
              <w:rPr>
                <w:rFonts w:eastAsia="SimSun"/>
              </w:rPr>
            </w:pPr>
            <w:r w:rsidRPr="00AC3044">
              <w:rPr>
                <w:rFonts w:eastAsia="SimSun"/>
              </w:rPr>
              <w:t>Суточная доза</w:t>
            </w:r>
          </w:p>
        </w:tc>
        <w:tc>
          <w:tcPr>
            <w:tcW w:w="1559" w:type="dxa"/>
            <w:vAlign w:val="center"/>
          </w:tcPr>
          <w:p w14:paraId="1C4533EB" w14:textId="77777777" w:rsidR="00304132" w:rsidRPr="00AC3044" w:rsidRDefault="00304132" w:rsidP="00CD5E09">
            <w:pPr>
              <w:rPr>
                <w:rFonts w:eastAsia="SimSun"/>
              </w:rPr>
            </w:pPr>
            <w:r w:rsidRPr="00AC3044">
              <w:rPr>
                <w:rFonts w:eastAsia="SimSun"/>
              </w:rPr>
              <w:t>Курсовая доза</w:t>
            </w:r>
          </w:p>
        </w:tc>
        <w:tc>
          <w:tcPr>
            <w:tcW w:w="1560" w:type="dxa"/>
            <w:vAlign w:val="center"/>
          </w:tcPr>
          <w:p w14:paraId="25E58FE5" w14:textId="77777777" w:rsidR="00304132" w:rsidRPr="00AC3044" w:rsidRDefault="00304132" w:rsidP="00CD5E09">
            <w:pPr>
              <w:rPr>
                <w:rFonts w:eastAsia="SimSun"/>
              </w:rPr>
            </w:pPr>
            <w:r w:rsidRPr="00AC3044">
              <w:rPr>
                <w:rFonts w:eastAsia="SimSun"/>
              </w:rPr>
              <w:t>Дни введения</w:t>
            </w:r>
          </w:p>
        </w:tc>
        <w:tc>
          <w:tcPr>
            <w:tcW w:w="2268" w:type="dxa"/>
            <w:vAlign w:val="center"/>
          </w:tcPr>
          <w:p w14:paraId="72CE0FA4" w14:textId="77777777" w:rsidR="00304132" w:rsidRPr="00AC3044" w:rsidRDefault="00304132" w:rsidP="00CD5E09">
            <w:pPr>
              <w:rPr>
                <w:rFonts w:eastAsia="SimSun"/>
              </w:rPr>
            </w:pPr>
            <w:r w:rsidRPr="00AC3044">
              <w:rPr>
                <w:rFonts w:eastAsia="SimSun"/>
              </w:rPr>
              <w:t>Порядок введения</w:t>
            </w:r>
          </w:p>
        </w:tc>
      </w:tr>
      <w:tr w:rsidR="00304132" w:rsidRPr="00AC3044" w14:paraId="1CE37D9B" w14:textId="77777777" w:rsidTr="00CD5E09">
        <w:trPr>
          <w:cantSplit/>
          <w:trHeight w:val="20"/>
        </w:trPr>
        <w:tc>
          <w:tcPr>
            <w:tcW w:w="993" w:type="dxa"/>
            <w:vMerge w:val="restart"/>
            <w:textDirection w:val="btLr"/>
            <w:vAlign w:val="center"/>
          </w:tcPr>
          <w:p w14:paraId="00FE9E4D" w14:textId="77777777" w:rsidR="00304132" w:rsidRPr="00AC3044" w:rsidRDefault="00304132" w:rsidP="00CD5E09">
            <w:pPr>
              <w:rPr>
                <w:rFonts w:eastAsia="SimSun"/>
              </w:rPr>
            </w:pPr>
            <w:r w:rsidRPr="00AC3044">
              <w:rPr>
                <w:rFonts w:eastAsia="SimSun"/>
              </w:rPr>
              <w:t>Кондиционирование</w:t>
            </w:r>
          </w:p>
        </w:tc>
        <w:tc>
          <w:tcPr>
            <w:tcW w:w="1843" w:type="dxa"/>
            <w:vAlign w:val="center"/>
          </w:tcPr>
          <w:p w14:paraId="430BAA91" w14:textId="77777777" w:rsidR="00304132" w:rsidRPr="00AC3044" w:rsidRDefault="00304132" w:rsidP="00CD5E09">
            <w:pPr>
              <w:rPr>
                <w:rFonts w:eastAsia="SimSun"/>
              </w:rPr>
            </w:pPr>
            <w:r w:rsidRPr="00AC3044">
              <w:rPr>
                <w:rFonts w:eastAsia="SimSun"/>
              </w:rPr>
              <w:t xml:space="preserve">Флударабин </w:t>
            </w:r>
          </w:p>
        </w:tc>
        <w:tc>
          <w:tcPr>
            <w:tcW w:w="1417" w:type="dxa"/>
            <w:vAlign w:val="center"/>
          </w:tcPr>
          <w:p w14:paraId="319B582A" w14:textId="77777777" w:rsidR="00304132" w:rsidRPr="00AC3044" w:rsidRDefault="00304132" w:rsidP="00CD5E09">
            <w:pPr>
              <w:rPr>
                <w:rFonts w:eastAsia="SimSun"/>
              </w:rPr>
            </w:pPr>
            <w:r w:rsidRPr="00AC3044">
              <w:rPr>
                <w:rFonts w:eastAsia="SimSun"/>
              </w:rPr>
              <w:t>30 мг/м</w:t>
            </w:r>
            <w:r w:rsidRPr="001E6DBE">
              <w:rPr>
                <w:rFonts w:eastAsia="SimSun"/>
                <w:vertAlign w:val="superscript"/>
              </w:rPr>
              <w:t>2</w:t>
            </w:r>
          </w:p>
        </w:tc>
        <w:tc>
          <w:tcPr>
            <w:tcW w:w="1559" w:type="dxa"/>
            <w:vAlign w:val="center"/>
          </w:tcPr>
          <w:p w14:paraId="2F92203F" w14:textId="77777777" w:rsidR="00304132" w:rsidRPr="00AC3044" w:rsidRDefault="00304132" w:rsidP="00CD5E09">
            <w:pPr>
              <w:rPr>
                <w:rFonts w:eastAsia="SimSun"/>
              </w:rPr>
            </w:pPr>
            <w:r w:rsidRPr="00AC3044">
              <w:rPr>
                <w:rFonts w:eastAsia="SimSun"/>
              </w:rPr>
              <w:t>180 мг/м</w:t>
            </w:r>
            <w:r w:rsidRPr="001E6DBE">
              <w:rPr>
                <w:rFonts w:eastAsia="SimSun"/>
                <w:vertAlign w:val="superscript"/>
              </w:rPr>
              <w:t>2</w:t>
            </w:r>
          </w:p>
        </w:tc>
        <w:tc>
          <w:tcPr>
            <w:tcW w:w="1560" w:type="dxa"/>
            <w:vAlign w:val="center"/>
          </w:tcPr>
          <w:p w14:paraId="13EBD453" w14:textId="77777777" w:rsidR="00304132" w:rsidRPr="00AC3044" w:rsidRDefault="00304132" w:rsidP="00CD5E09">
            <w:pPr>
              <w:rPr>
                <w:rFonts w:eastAsia="SimSun"/>
              </w:rPr>
            </w:pPr>
            <w:r w:rsidRPr="00AC3044">
              <w:rPr>
                <w:rFonts w:eastAsia="SimSun"/>
              </w:rPr>
              <w:t>С -7 дня по -2 день</w:t>
            </w:r>
          </w:p>
        </w:tc>
        <w:tc>
          <w:tcPr>
            <w:tcW w:w="2268" w:type="dxa"/>
            <w:vAlign w:val="center"/>
          </w:tcPr>
          <w:p w14:paraId="593D39E9" w14:textId="77777777" w:rsidR="00304132" w:rsidRPr="00AC3044" w:rsidRDefault="00304132" w:rsidP="00CD5E09">
            <w:pPr>
              <w:rPr>
                <w:rFonts w:eastAsia="SimSun"/>
              </w:rPr>
            </w:pPr>
            <w:r w:rsidRPr="00AC3044">
              <w:rPr>
                <w:rFonts w:eastAsia="SimSun"/>
              </w:rPr>
              <w:t>В/в, в течение 30 -60 мин</w:t>
            </w:r>
          </w:p>
        </w:tc>
      </w:tr>
      <w:tr w:rsidR="00304132" w:rsidRPr="00AC3044" w14:paraId="25748F5A" w14:textId="77777777" w:rsidTr="00CD5E09">
        <w:trPr>
          <w:cantSplit/>
          <w:trHeight w:val="961"/>
        </w:trPr>
        <w:tc>
          <w:tcPr>
            <w:tcW w:w="993" w:type="dxa"/>
            <w:vMerge/>
            <w:vAlign w:val="center"/>
          </w:tcPr>
          <w:p w14:paraId="5E56749B" w14:textId="77777777" w:rsidR="00304132" w:rsidRPr="00AC3044" w:rsidRDefault="00304132" w:rsidP="00CD5E09">
            <w:pPr>
              <w:rPr>
                <w:rFonts w:eastAsia="SimSun"/>
              </w:rPr>
            </w:pPr>
          </w:p>
        </w:tc>
        <w:tc>
          <w:tcPr>
            <w:tcW w:w="1843" w:type="dxa"/>
            <w:vAlign w:val="center"/>
          </w:tcPr>
          <w:p w14:paraId="35C43B38" w14:textId="77777777" w:rsidR="00304132" w:rsidRPr="00AC3044" w:rsidRDefault="00304132" w:rsidP="00CD5E09">
            <w:pPr>
              <w:rPr>
                <w:rFonts w:eastAsia="SimSun"/>
              </w:rPr>
            </w:pPr>
            <w:r w:rsidRPr="00AC3044">
              <w:rPr>
                <w:rFonts w:eastAsia="SimSun"/>
              </w:rPr>
              <w:t>Бусульфан</w:t>
            </w:r>
          </w:p>
        </w:tc>
        <w:tc>
          <w:tcPr>
            <w:tcW w:w="1417" w:type="dxa"/>
            <w:vAlign w:val="center"/>
          </w:tcPr>
          <w:p w14:paraId="4420B62D" w14:textId="77777777" w:rsidR="00304132" w:rsidRPr="00AC3044" w:rsidRDefault="00304132" w:rsidP="00CD5E09">
            <w:pPr>
              <w:rPr>
                <w:rFonts w:eastAsia="SimSun"/>
              </w:rPr>
            </w:pPr>
            <w:r w:rsidRPr="00AC3044">
              <w:rPr>
                <w:rFonts w:eastAsia="SimSun"/>
              </w:rPr>
              <w:t xml:space="preserve">4 мг/кг </w:t>
            </w:r>
          </w:p>
        </w:tc>
        <w:tc>
          <w:tcPr>
            <w:tcW w:w="1559" w:type="dxa"/>
            <w:vAlign w:val="center"/>
          </w:tcPr>
          <w:p w14:paraId="35F9A63A" w14:textId="77777777" w:rsidR="00304132" w:rsidRPr="00AC3044" w:rsidRDefault="00304132" w:rsidP="00CD5E09">
            <w:pPr>
              <w:rPr>
                <w:rFonts w:eastAsia="SimSun"/>
              </w:rPr>
            </w:pPr>
            <w:r w:rsidRPr="00AC3044">
              <w:rPr>
                <w:rFonts w:eastAsia="SimSun"/>
              </w:rPr>
              <w:t xml:space="preserve">8 мг/кг </w:t>
            </w:r>
          </w:p>
        </w:tc>
        <w:tc>
          <w:tcPr>
            <w:tcW w:w="1560" w:type="dxa"/>
            <w:vAlign w:val="center"/>
          </w:tcPr>
          <w:p w14:paraId="456ADCA8" w14:textId="77777777" w:rsidR="00304132" w:rsidRPr="00AC3044" w:rsidRDefault="00304132" w:rsidP="00CD5E09">
            <w:pPr>
              <w:rPr>
                <w:rFonts w:eastAsia="SimSun"/>
              </w:rPr>
            </w:pPr>
            <w:r w:rsidRPr="00AC3044">
              <w:rPr>
                <w:rFonts w:eastAsia="SimSun"/>
              </w:rPr>
              <w:t>С -4 дня по -3 день</w:t>
            </w:r>
          </w:p>
        </w:tc>
        <w:tc>
          <w:tcPr>
            <w:tcW w:w="2268" w:type="dxa"/>
            <w:vAlign w:val="center"/>
          </w:tcPr>
          <w:p w14:paraId="2F9FEDDA" w14:textId="77777777" w:rsidR="00304132" w:rsidRPr="00AC3044" w:rsidRDefault="00304132" w:rsidP="00CD5E09">
            <w:pPr>
              <w:rPr>
                <w:rFonts w:eastAsia="SimSun"/>
              </w:rPr>
            </w:pPr>
            <w:r w:rsidRPr="00AC3044">
              <w:rPr>
                <w:rFonts w:eastAsia="SimSun"/>
              </w:rPr>
              <w:t>Внутрь, суммарная суточная доза разделяется на 4 приема с интервалом 6 часов.</w:t>
            </w:r>
          </w:p>
        </w:tc>
      </w:tr>
      <w:tr w:rsidR="00304132" w:rsidRPr="00AC3044" w14:paraId="66C5864A" w14:textId="77777777" w:rsidTr="00CD5E09">
        <w:trPr>
          <w:cantSplit/>
          <w:trHeight w:val="1498"/>
        </w:trPr>
        <w:tc>
          <w:tcPr>
            <w:tcW w:w="993" w:type="dxa"/>
            <w:vMerge w:val="restart"/>
            <w:textDirection w:val="btLr"/>
            <w:vAlign w:val="center"/>
          </w:tcPr>
          <w:p w14:paraId="03AC2A4B" w14:textId="77777777" w:rsidR="00304132" w:rsidRPr="00AC3044" w:rsidRDefault="00304132" w:rsidP="00CD5E09">
            <w:pPr>
              <w:rPr>
                <w:rFonts w:eastAsia="SimSun"/>
              </w:rPr>
            </w:pPr>
            <w:r w:rsidRPr="00AC3044">
              <w:rPr>
                <w:rFonts w:eastAsia="SimSun"/>
              </w:rPr>
              <w:t>Профилактика РТПХ</w:t>
            </w:r>
          </w:p>
        </w:tc>
        <w:tc>
          <w:tcPr>
            <w:tcW w:w="1843" w:type="dxa"/>
            <w:vAlign w:val="center"/>
          </w:tcPr>
          <w:p w14:paraId="7EDF345E" w14:textId="77777777" w:rsidR="00304132" w:rsidRPr="00AC3044" w:rsidRDefault="00304132" w:rsidP="00CD5E09">
            <w:pPr>
              <w:rPr>
                <w:rFonts w:eastAsia="SimSun"/>
              </w:rPr>
            </w:pPr>
            <w:r w:rsidRPr="00AC3044">
              <w:rPr>
                <w:rFonts w:eastAsia="SimSun"/>
              </w:rPr>
              <w:t>Циклофосфамид</w:t>
            </w:r>
          </w:p>
        </w:tc>
        <w:tc>
          <w:tcPr>
            <w:tcW w:w="1417" w:type="dxa"/>
            <w:vAlign w:val="center"/>
          </w:tcPr>
          <w:p w14:paraId="53E8F208" w14:textId="77777777" w:rsidR="00304132" w:rsidRPr="00AC3044" w:rsidRDefault="00304132" w:rsidP="00CD5E09">
            <w:pPr>
              <w:rPr>
                <w:rFonts w:eastAsia="SimSun"/>
              </w:rPr>
            </w:pPr>
            <w:r w:rsidRPr="00AC3044">
              <w:rPr>
                <w:rFonts w:eastAsia="SimSun"/>
              </w:rPr>
              <w:t>50 мг/кг</w:t>
            </w:r>
          </w:p>
        </w:tc>
        <w:tc>
          <w:tcPr>
            <w:tcW w:w="1559" w:type="dxa"/>
            <w:vAlign w:val="center"/>
          </w:tcPr>
          <w:p w14:paraId="2A9A0EB9" w14:textId="77777777" w:rsidR="00304132" w:rsidRPr="00AC3044" w:rsidRDefault="00304132" w:rsidP="00CD5E09">
            <w:pPr>
              <w:rPr>
                <w:rFonts w:eastAsia="SimSun"/>
              </w:rPr>
            </w:pPr>
            <w:r w:rsidRPr="00AC3044">
              <w:rPr>
                <w:rFonts w:eastAsia="SimSun"/>
              </w:rPr>
              <w:t>100 мг/кг</w:t>
            </w:r>
          </w:p>
        </w:tc>
        <w:tc>
          <w:tcPr>
            <w:tcW w:w="1560" w:type="dxa"/>
            <w:vAlign w:val="center"/>
          </w:tcPr>
          <w:p w14:paraId="7333A5AC" w14:textId="77777777" w:rsidR="00304132" w:rsidRPr="00AC3044" w:rsidRDefault="00304132" w:rsidP="00CD5E09">
            <w:pPr>
              <w:rPr>
                <w:rFonts w:eastAsia="SimSun"/>
              </w:rPr>
            </w:pPr>
            <w:r w:rsidRPr="00AC3044">
              <w:rPr>
                <w:rFonts w:eastAsia="SimSun"/>
              </w:rPr>
              <w:t>С +3 дня по +4 день</w:t>
            </w:r>
          </w:p>
        </w:tc>
        <w:tc>
          <w:tcPr>
            <w:tcW w:w="2268" w:type="dxa"/>
            <w:vAlign w:val="center"/>
          </w:tcPr>
          <w:p w14:paraId="1F67A8DA" w14:textId="77777777" w:rsidR="00304132" w:rsidRPr="00AC3044" w:rsidRDefault="00304132" w:rsidP="00CD5E09">
            <w:pPr>
              <w:rPr>
                <w:rFonts w:eastAsia="SimSun"/>
              </w:rPr>
            </w:pPr>
            <w:r w:rsidRPr="00AC3044">
              <w:rPr>
                <w:rFonts w:eastAsia="SimSun"/>
              </w:rPr>
              <w:t xml:space="preserve">В/в, в течение 2 ч  </w:t>
            </w:r>
          </w:p>
        </w:tc>
      </w:tr>
      <w:tr w:rsidR="00304132" w:rsidRPr="00AC3044" w14:paraId="0F18B780" w14:textId="77777777" w:rsidTr="00CD5E09">
        <w:trPr>
          <w:cantSplit/>
          <w:trHeight w:val="958"/>
        </w:trPr>
        <w:tc>
          <w:tcPr>
            <w:tcW w:w="993" w:type="dxa"/>
            <w:vMerge/>
            <w:textDirection w:val="btLr"/>
            <w:vAlign w:val="center"/>
          </w:tcPr>
          <w:p w14:paraId="42BDAF95" w14:textId="77777777" w:rsidR="00304132" w:rsidRPr="00AC3044" w:rsidRDefault="00304132" w:rsidP="00CD5E09">
            <w:pPr>
              <w:rPr>
                <w:rFonts w:eastAsia="SimSun"/>
              </w:rPr>
            </w:pPr>
          </w:p>
        </w:tc>
        <w:tc>
          <w:tcPr>
            <w:tcW w:w="1843" w:type="dxa"/>
            <w:vAlign w:val="center"/>
          </w:tcPr>
          <w:p w14:paraId="0205B3C9" w14:textId="77777777" w:rsidR="00304132" w:rsidRPr="00AC3044" w:rsidRDefault="00304132" w:rsidP="00CD5E09">
            <w:pPr>
              <w:rPr>
                <w:rFonts w:eastAsia="SimSun"/>
              </w:rPr>
            </w:pPr>
            <w:r w:rsidRPr="00AC3044">
              <w:rPr>
                <w:rFonts w:eastAsia="SimSun"/>
              </w:rPr>
              <w:t xml:space="preserve">Такролимус </w:t>
            </w:r>
          </w:p>
        </w:tc>
        <w:tc>
          <w:tcPr>
            <w:tcW w:w="1417" w:type="dxa"/>
            <w:vAlign w:val="center"/>
          </w:tcPr>
          <w:p w14:paraId="2FCED287" w14:textId="77777777" w:rsidR="00304132" w:rsidRPr="00AC3044" w:rsidRDefault="00304132" w:rsidP="00CD5E09">
            <w:pPr>
              <w:rPr>
                <w:rFonts w:eastAsia="SimSun"/>
              </w:rPr>
            </w:pPr>
            <w:r w:rsidRPr="00AC3044">
              <w:rPr>
                <w:rFonts w:eastAsia="SimSun"/>
              </w:rPr>
              <w:t>0,03 мг/кг</w:t>
            </w:r>
          </w:p>
        </w:tc>
        <w:tc>
          <w:tcPr>
            <w:tcW w:w="1559" w:type="dxa"/>
            <w:vAlign w:val="center"/>
          </w:tcPr>
          <w:p w14:paraId="2C6F5AD7" w14:textId="77777777" w:rsidR="00304132" w:rsidRPr="00AC3044" w:rsidRDefault="00304132" w:rsidP="00CD5E09">
            <w:pPr>
              <w:rPr>
                <w:rFonts w:eastAsia="SimSun"/>
              </w:rPr>
            </w:pPr>
            <w:r w:rsidRPr="00AC3044">
              <w:rPr>
                <w:rFonts w:eastAsia="SimSun"/>
              </w:rPr>
              <w:t>–</w:t>
            </w:r>
          </w:p>
        </w:tc>
        <w:tc>
          <w:tcPr>
            <w:tcW w:w="1560" w:type="dxa"/>
            <w:vAlign w:val="center"/>
          </w:tcPr>
          <w:p w14:paraId="46FCB3C3" w14:textId="77777777" w:rsidR="00304132" w:rsidRPr="00AC3044" w:rsidRDefault="00304132" w:rsidP="00CD5E09">
            <w:pPr>
              <w:rPr>
                <w:rFonts w:eastAsia="SimSun"/>
              </w:rPr>
            </w:pPr>
            <w:r w:rsidRPr="00AC3044">
              <w:rPr>
                <w:rFonts w:eastAsia="SimSun"/>
              </w:rPr>
              <w:t xml:space="preserve">С +5 дня длительно </w:t>
            </w:r>
          </w:p>
        </w:tc>
        <w:tc>
          <w:tcPr>
            <w:tcW w:w="2268" w:type="dxa"/>
            <w:vAlign w:val="center"/>
          </w:tcPr>
          <w:p w14:paraId="67890885" w14:textId="77777777" w:rsidR="00304132" w:rsidRPr="00AC3044" w:rsidRDefault="00304132" w:rsidP="00CD5E09">
            <w:pPr>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х</w:t>
            </w:r>
            <w:r w:rsidRPr="00AC3044">
              <w:rPr>
                <w:rFonts w:eastAsia="SimSun"/>
              </w:rPr>
              <w:t xml:space="preserve"> 10</w:t>
            </w:r>
            <w:r w:rsidRPr="001E6DBE">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304132" w:rsidRPr="00AC3044" w14:paraId="6D532B26" w14:textId="77777777" w:rsidTr="00CD5E09">
        <w:trPr>
          <w:cantSplit/>
          <w:trHeight w:val="544"/>
        </w:trPr>
        <w:tc>
          <w:tcPr>
            <w:tcW w:w="993" w:type="dxa"/>
            <w:vMerge/>
            <w:textDirection w:val="btLr"/>
            <w:vAlign w:val="center"/>
          </w:tcPr>
          <w:p w14:paraId="42447388" w14:textId="77777777" w:rsidR="00304132" w:rsidRPr="00AC3044" w:rsidRDefault="00304132" w:rsidP="00CD5E09">
            <w:pPr>
              <w:rPr>
                <w:rFonts w:eastAsia="SimSun"/>
              </w:rPr>
            </w:pPr>
          </w:p>
        </w:tc>
        <w:tc>
          <w:tcPr>
            <w:tcW w:w="1843" w:type="dxa"/>
            <w:vAlign w:val="center"/>
          </w:tcPr>
          <w:p w14:paraId="5710ED90" w14:textId="77777777" w:rsidR="00304132" w:rsidRPr="00AC3044" w:rsidRDefault="00304132" w:rsidP="00CD5E09">
            <w:pPr>
              <w:rPr>
                <w:rFonts w:eastAsia="SimSun"/>
              </w:rPr>
            </w:pPr>
            <w:r w:rsidRPr="00AC3044">
              <w:rPr>
                <w:rFonts w:eastAsia="SimSun"/>
              </w:rPr>
              <w:t>Микофенолата мофетил</w:t>
            </w:r>
          </w:p>
        </w:tc>
        <w:tc>
          <w:tcPr>
            <w:tcW w:w="1417" w:type="dxa"/>
            <w:vAlign w:val="center"/>
          </w:tcPr>
          <w:p w14:paraId="3F76A041" w14:textId="77777777" w:rsidR="00304132" w:rsidRPr="00AC3044" w:rsidRDefault="00304132" w:rsidP="00CD5E09">
            <w:pPr>
              <w:rPr>
                <w:rFonts w:eastAsia="SimSun"/>
              </w:rPr>
            </w:pPr>
            <w:r w:rsidRPr="00AC3044">
              <w:rPr>
                <w:rFonts w:eastAsia="SimSun"/>
              </w:rPr>
              <w:t xml:space="preserve">30 мг/кг </w:t>
            </w:r>
          </w:p>
        </w:tc>
        <w:tc>
          <w:tcPr>
            <w:tcW w:w="1559" w:type="dxa"/>
            <w:vAlign w:val="center"/>
          </w:tcPr>
          <w:p w14:paraId="44EEA984" w14:textId="77777777" w:rsidR="00304132" w:rsidRPr="00AC3044" w:rsidRDefault="00304132" w:rsidP="00CD5E09">
            <w:pPr>
              <w:rPr>
                <w:rFonts w:eastAsia="SimSun"/>
              </w:rPr>
            </w:pPr>
            <w:r w:rsidRPr="00AC3044">
              <w:rPr>
                <w:rFonts w:eastAsia="SimSun"/>
              </w:rPr>
              <w:t>–</w:t>
            </w:r>
          </w:p>
        </w:tc>
        <w:tc>
          <w:tcPr>
            <w:tcW w:w="1560" w:type="dxa"/>
            <w:vAlign w:val="center"/>
          </w:tcPr>
          <w:p w14:paraId="12EA06DF" w14:textId="77777777" w:rsidR="00304132" w:rsidRPr="00AC3044" w:rsidRDefault="00304132" w:rsidP="00CD5E09">
            <w:pPr>
              <w:rPr>
                <w:rFonts w:eastAsia="SimSun"/>
              </w:rPr>
            </w:pPr>
            <w:r w:rsidRPr="00AC3044">
              <w:rPr>
                <w:rFonts w:eastAsia="SimSun"/>
              </w:rPr>
              <w:t xml:space="preserve">С +5 дня по +35 день </w:t>
            </w:r>
          </w:p>
        </w:tc>
        <w:tc>
          <w:tcPr>
            <w:tcW w:w="2268" w:type="dxa"/>
            <w:vAlign w:val="center"/>
          </w:tcPr>
          <w:p w14:paraId="37164B4A" w14:textId="77777777" w:rsidR="00304132" w:rsidRPr="00AC3044" w:rsidRDefault="00304132" w:rsidP="00CD5E09">
            <w:pPr>
              <w:rPr>
                <w:rFonts w:eastAsia="SimSun"/>
              </w:rPr>
            </w:pPr>
            <w:r w:rsidRPr="00AC3044">
              <w:rPr>
                <w:rFonts w:eastAsia="SimSun"/>
              </w:rPr>
              <w:t>Внутрь, суммарная суточная доза разделяется на 2- 4 приема.</w:t>
            </w:r>
          </w:p>
        </w:tc>
      </w:tr>
    </w:tbl>
    <w:p w14:paraId="2AAB45C5" w14:textId="77777777" w:rsidR="00304132" w:rsidRPr="00C07B2E" w:rsidRDefault="00304132" w:rsidP="00304132">
      <w:pPr>
        <w:rPr>
          <w:rFonts w:eastAsia="SimSun"/>
        </w:rPr>
      </w:pPr>
    </w:p>
    <w:p w14:paraId="07A05EE0" w14:textId="77777777" w:rsidR="00304132" w:rsidRPr="00C07B2E" w:rsidRDefault="00304132" w:rsidP="00304132">
      <w:pPr>
        <w:rPr>
          <w:rFonts w:eastAsia="SimSun"/>
        </w:rPr>
      </w:pPr>
      <w:bookmarkStart w:id="313" w:name="_Toc44401168"/>
      <w:r w:rsidRPr="00042499">
        <w:rPr>
          <w:rFonts w:eastAsia="SimSun"/>
        </w:rPr>
        <w:t>Таблица</w:t>
      </w:r>
      <w:r w:rsidRPr="00C07B2E">
        <w:rPr>
          <w:rFonts w:eastAsia="SimSun"/>
        </w:rPr>
        <w:t xml:space="preserve"> </w:t>
      </w:r>
      <w:r>
        <w:rPr>
          <w:rFonts w:eastAsia="SimSun"/>
        </w:rPr>
        <w:t>5.</w:t>
      </w:r>
      <w:r w:rsidRPr="00C07B2E">
        <w:rPr>
          <w:rFonts w:eastAsia="SimSun"/>
        </w:rPr>
        <w:t>1.2.10  – Flu180+Bu8 / Tx+MMF30</w:t>
      </w:r>
      <w:bookmarkEnd w:id="313"/>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843"/>
        <w:gridCol w:w="1417"/>
        <w:gridCol w:w="1559"/>
        <w:gridCol w:w="1560"/>
        <w:gridCol w:w="2268"/>
      </w:tblGrid>
      <w:tr w:rsidR="00304132" w:rsidRPr="00AC3044" w14:paraId="3C756DEE" w14:textId="77777777" w:rsidTr="00CD5E09">
        <w:trPr>
          <w:cantSplit/>
          <w:trHeight w:val="20"/>
          <w:tblHeader/>
        </w:trPr>
        <w:tc>
          <w:tcPr>
            <w:tcW w:w="993" w:type="dxa"/>
            <w:vAlign w:val="center"/>
          </w:tcPr>
          <w:p w14:paraId="2E6475B7" w14:textId="77777777" w:rsidR="00304132" w:rsidRPr="00AC3044" w:rsidRDefault="00304132" w:rsidP="00CD5E09">
            <w:pPr>
              <w:rPr>
                <w:rFonts w:eastAsia="SimSun"/>
              </w:rPr>
            </w:pPr>
          </w:p>
        </w:tc>
        <w:tc>
          <w:tcPr>
            <w:tcW w:w="1843" w:type="dxa"/>
            <w:vAlign w:val="center"/>
          </w:tcPr>
          <w:p w14:paraId="5F04CC1D" w14:textId="77777777" w:rsidR="00304132" w:rsidRPr="00AC3044" w:rsidRDefault="00304132" w:rsidP="00CD5E09">
            <w:pPr>
              <w:rPr>
                <w:rFonts w:eastAsia="SimSun"/>
              </w:rPr>
            </w:pPr>
            <w:r w:rsidRPr="00AC3044">
              <w:rPr>
                <w:rFonts w:eastAsia="SimSun"/>
              </w:rPr>
              <w:t>Препарат</w:t>
            </w:r>
          </w:p>
        </w:tc>
        <w:tc>
          <w:tcPr>
            <w:tcW w:w="1417" w:type="dxa"/>
            <w:vAlign w:val="center"/>
          </w:tcPr>
          <w:p w14:paraId="56175E2F" w14:textId="77777777" w:rsidR="00304132" w:rsidRPr="00AC3044" w:rsidRDefault="00304132" w:rsidP="00CD5E09">
            <w:pPr>
              <w:rPr>
                <w:rFonts w:eastAsia="SimSun"/>
              </w:rPr>
            </w:pPr>
            <w:r w:rsidRPr="00AC3044">
              <w:rPr>
                <w:rFonts w:eastAsia="SimSun"/>
              </w:rPr>
              <w:t>Суточная доза</w:t>
            </w:r>
          </w:p>
        </w:tc>
        <w:tc>
          <w:tcPr>
            <w:tcW w:w="1559" w:type="dxa"/>
            <w:vAlign w:val="center"/>
          </w:tcPr>
          <w:p w14:paraId="59850F42" w14:textId="77777777" w:rsidR="00304132" w:rsidRPr="00AC3044" w:rsidRDefault="00304132" w:rsidP="00CD5E09">
            <w:pPr>
              <w:rPr>
                <w:rFonts w:eastAsia="SimSun"/>
              </w:rPr>
            </w:pPr>
            <w:r w:rsidRPr="00AC3044">
              <w:rPr>
                <w:rFonts w:eastAsia="SimSun"/>
              </w:rPr>
              <w:t>Курсовая доза</w:t>
            </w:r>
          </w:p>
        </w:tc>
        <w:tc>
          <w:tcPr>
            <w:tcW w:w="1560" w:type="dxa"/>
            <w:vAlign w:val="center"/>
          </w:tcPr>
          <w:p w14:paraId="60A73D2D" w14:textId="77777777" w:rsidR="00304132" w:rsidRPr="00AC3044" w:rsidRDefault="00304132" w:rsidP="00CD5E09">
            <w:pPr>
              <w:rPr>
                <w:rFonts w:eastAsia="SimSun"/>
              </w:rPr>
            </w:pPr>
            <w:r w:rsidRPr="00AC3044">
              <w:rPr>
                <w:rFonts w:eastAsia="SimSun"/>
              </w:rPr>
              <w:t>Дни введения</w:t>
            </w:r>
          </w:p>
        </w:tc>
        <w:tc>
          <w:tcPr>
            <w:tcW w:w="2268" w:type="dxa"/>
            <w:vAlign w:val="center"/>
          </w:tcPr>
          <w:p w14:paraId="0AE2DE43" w14:textId="77777777" w:rsidR="00304132" w:rsidRPr="00AC3044" w:rsidRDefault="00304132" w:rsidP="00CD5E09">
            <w:pPr>
              <w:rPr>
                <w:rFonts w:eastAsia="SimSun"/>
              </w:rPr>
            </w:pPr>
            <w:r w:rsidRPr="00AC3044">
              <w:rPr>
                <w:rFonts w:eastAsia="SimSun"/>
              </w:rPr>
              <w:t>Порядок введения</w:t>
            </w:r>
          </w:p>
        </w:tc>
      </w:tr>
      <w:tr w:rsidR="00304132" w:rsidRPr="00AC3044" w14:paraId="58641212" w14:textId="77777777" w:rsidTr="00CD5E09">
        <w:trPr>
          <w:cantSplit/>
          <w:trHeight w:val="20"/>
        </w:trPr>
        <w:tc>
          <w:tcPr>
            <w:tcW w:w="993" w:type="dxa"/>
            <w:vMerge w:val="restart"/>
            <w:textDirection w:val="btLr"/>
            <w:vAlign w:val="center"/>
          </w:tcPr>
          <w:p w14:paraId="00072925" w14:textId="77777777" w:rsidR="00304132" w:rsidRPr="00AC3044" w:rsidRDefault="00304132" w:rsidP="00CD5E09">
            <w:pPr>
              <w:rPr>
                <w:rFonts w:eastAsia="SimSun"/>
              </w:rPr>
            </w:pPr>
            <w:r w:rsidRPr="00AC3044">
              <w:rPr>
                <w:rFonts w:eastAsia="SimSun"/>
              </w:rPr>
              <w:t>Кондиционирование</w:t>
            </w:r>
          </w:p>
        </w:tc>
        <w:tc>
          <w:tcPr>
            <w:tcW w:w="1843" w:type="dxa"/>
            <w:vAlign w:val="center"/>
          </w:tcPr>
          <w:p w14:paraId="2DC21036" w14:textId="77777777" w:rsidR="00304132" w:rsidRPr="00AC3044" w:rsidRDefault="00304132" w:rsidP="00CD5E09">
            <w:pPr>
              <w:rPr>
                <w:rFonts w:eastAsia="SimSun"/>
              </w:rPr>
            </w:pPr>
            <w:r w:rsidRPr="00AC3044">
              <w:rPr>
                <w:rFonts w:eastAsia="SimSun"/>
              </w:rPr>
              <w:t xml:space="preserve">Флударабин </w:t>
            </w:r>
          </w:p>
        </w:tc>
        <w:tc>
          <w:tcPr>
            <w:tcW w:w="1417" w:type="dxa"/>
            <w:vAlign w:val="center"/>
          </w:tcPr>
          <w:p w14:paraId="08F4C210" w14:textId="77777777" w:rsidR="00304132" w:rsidRPr="00AC3044" w:rsidRDefault="00304132" w:rsidP="00CD5E09">
            <w:pPr>
              <w:rPr>
                <w:rFonts w:eastAsia="SimSun"/>
              </w:rPr>
            </w:pPr>
            <w:r w:rsidRPr="00AC3044">
              <w:rPr>
                <w:rFonts w:eastAsia="SimSun"/>
              </w:rPr>
              <w:t>30 мг/м</w:t>
            </w:r>
            <w:r w:rsidRPr="001E6DBE">
              <w:rPr>
                <w:rFonts w:eastAsia="SimSun"/>
                <w:vertAlign w:val="superscript"/>
              </w:rPr>
              <w:t>2</w:t>
            </w:r>
          </w:p>
        </w:tc>
        <w:tc>
          <w:tcPr>
            <w:tcW w:w="1559" w:type="dxa"/>
            <w:vAlign w:val="center"/>
          </w:tcPr>
          <w:p w14:paraId="30C583C8" w14:textId="77777777" w:rsidR="00304132" w:rsidRPr="00AC3044" w:rsidRDefault="00304132" w:rsidP="00CD5E09">
            <w:pPr>
              <w:rPr>
                <w:rFonts w:eastAsia="SimSun"/>
              </w:rPr>
            </w:pPr>
            <w:r w:rsidRPr="00AC3044">
              <w:rPr>
                <w:rFonts w:eastAsia="SimSun"/>
              </w:rPr>
              <w:t>180 мг/м</w:t>
            </w:r>
            <w:r w:rsidRPr="001E6DBE">
              <w:rPr>
                <w:rFonts w:eastAsia="SimSun"/>
                <w:vertAlign w:val="superscript"/>
              </w:rPr>
              <w:t>2</w:t>
            </w:r>
          </w:p>
        </w:tc>
        <w:tc>
          <w:tcPr>
            <w:tcW w:w="1560" w:type="dxa"/>
            <w:vAlign w:val="center"/>
          </w:tcPr>
          <w:p w14:paraId="245D4A54" w14:textId="77777777" w:rsidR="00304132" w:rsidRPr="00AC3044" w:rsidRDefault="00304132" w:rsidP="00CD5E09">
            <w:pPr>
              <w:rPr>
                <w:rFonts w:eastAsia="SimSun"/>
              </w:rPr>
            </w:pPr>
            <w:r w:rsidRPr="00AC3044">
              <w:rPr>
                <w:rFonts w:eastAsia="SimSun"/>
              </w:rPr>
              <w:t>С -7 дня по -2 день</w:t>
            </w:r>
          </w:p>
        </w:tc>
        <w:tc>
          <w:tcPr>
            <w:tcW w:w="2268" w:type="dxa"/>
            <w:vAlign w:val="center"/>
          </w:tcPr>
          <w:p w14:paraId="29F9349C" w14:textId="77777777" w:rsidR="00304132" w:rsidRPr="00AC3044" w:rsidRDefault="00304132" w:rsidP="00CD5E09">
            <w:pPr>
              <w:rPr>
                <w:rFonts w:eastAsia="SimSun"/>
              </w:rPr>
            </w:pPr>
            <w:r w:rsidRPr="00AC3044">
              <w:rPr>
                <w:rFonts w:eastAsia="SimSun"/>
              </w:rPr>
              <w:t>В/в, в течение 30 -60 мин</w:t>
            </w:r>
          </w:p>
        </w:tc>
      </w:tr>
      <w:tr w:rsidR="00304132" w:rsidRPr="00AC3044" w14:paraId="04C60438" w14:textId="77777777" w:rsidTr="00CD5E09">
        <w:trPr>
          <w:cantSplit/>
          <w:trHeight w:val="784"/>
        </w:trPr>
        <w:tc>
          <w:tcPr>
            <w:tcW w:w="993" w:type="dxa"/>
            <w:vMerge/>
            <w:vAlign w:val="center"/>
          </w:tcPr>
          <w:p w14:paraId="12162EBC" w14:textId="77777777" w:rsidR="00304132" w:rsidRPr="00AC3044" w:rsidRDefault="00304132" w:rsidP="00CD5E09">
            <w:pPr>
              <w:rPr>
                <w:rFonts w:eastAsia="SimSun"/>
              </w:rPr>
            </w:pPr>
          </w:p>
        </w:tc>
        <w:tc>
          <w:tcPr>
            <w:tcW w:w="1843" w:type="dxa"/>
            <w:vAlign w:val="center"/>
          </w:tcPr>
          <w:p w14:paraId="780B8EE0" w14:textId="77777777" w:rsidR="00304132" w:rsidRPr="00AC3044" w:rsidRDefault="00304132" w:rsidP="00CD5E09">
            <w:pPr>
              <w:rPr>
                <w:rFonts w:eastAsia="SimSun"/>
              </w:rPr>
            </w:pPr>
            <w:r w:rsidRPr="00AC3044">
              <w:rPr>
                <w:rFonts w:eastAsia="SimSun"/>
              </w:rPr>
              <w:t>Бусульфан</w:t>
            </w:r>
          </w:p>
        </w:tc>
        <w:tc>
          <w:tcPr>
            <w:tcW w:w="1417" w:type="dxa"/>
            <w:vAlign w:val="center"/>
          </w:tcPr>
          <w:p w14:paraId="6E752A7F" w14:textId="77777777" w:rsidR="00304132" w:rsidRPr="00AC3044" w:rsidRDefault="00304132" w:rsidP="00CD5E09">
            <w:pPr>
              <w:rPr>
                <w:rFonts w:eastAsia="SimSun"/>
              </w:rPr>
            </w:pPr>
            <w:r w:rsidRPr="00AC3044">
              <w:rPr>
                <w:rFonts w:eastAsia="SimSun"/>
              </w:rPr>
              <w:t xml:space="preserve">4 мг/кг </w:t>
            </w:r>
          </w:p>
        </w:tc>
        <w:tc>
          <w:tcPr>
            <w:tcW w:w="1559" w:type="dxa"/>
            <w:vAlign w:val="center"/>
          </w:tcPr>
          <w:p w14:paraId="1FEC458C" w14:textId="77777777" w:rsidR="00304132" w:rsidRPr="00AC3044" w:rsidRDefault="00304132" w:rsidP="00CD5E09">
            <w:pPr>
              <w:rPr>
                <w:rFonts w:eastAsia="SimSun"/>
              </w:rPr>
            </w:pPr>
            <w:r w:rsidRPr="00AC3044">
              <w:rPr>
                <w:rFonts w:eastAsia="SimSun"/>
              </w:rPr>
              <w:t xml:space="preserve">8 мг/кг </w:t>
            </w:r>
          </w:p>
        </w:tc>
        <w:tc>
          <w:tcPr>
            <w:tcW w:w="1560" w:type="dxa"/>
            <w:vAlign w:val="center"/>
          </w:tcPr>
          <w:p w14:paraId="4634C5A1" w14:textId="77777777" w:rsidR="00304132" w:rsidRPr="00AC3044" w:rsidRDefault="00304132" w:rsidP="00CD5E09">
            <w:pPr>
              <w:rPr>
                <w:rFonts w:eastAsia="SimSun"/>
              </w:rPr>
            </w:pPr>
            <w:r w:rsidRPr="00AC3044">
              <w:rPr>
                <w:rFonts w:eastAsia="SimSun"/>
              </w:rPr>
              <w:t>С -4 дня по -3 день</w:t>
            </w:r>
          </w:p>
        </w:tc>
        <w:tc>
          <w:tcPr>
            <w:tcW w:w="2268" w:type="dxa"/>
            <w:vAlign w:val="center"/>
          </w:tcPr>
          <w:p w14:paraId="718E8D0C" w14:textId="77777777" w:rsidR="00304132" w:rsidRPr="00AC3044" w:rsidRDefault="00304132" w:rsidP="00CD5E09">
            <w:pPr>
              <w:rPr>
                <w:rFonts w:eastAsia="SimSun"/>
              </w:rPr>
            </w:pPr>
            <w:r w:rsidRPr="00AC3044">
              <w:rPr>
                <w:rFonts w:eastAsia="SimSun"/>
              </w:rPr>
              <w:t>Внутрь, суммарная суточная доза разделяется на 4 приема с интервалом 6 часов.</w:t>
            </w:r>
          </w:p>
        </w:tc>
      </w:tr>
      <w:tr w:rsidR="00304132" w:rsidRPr="00AC3044" w14:paraId="692CFA08" w14:textId="77777777" w:rsidTr="00CD5E09">
        <w:trPr>
          <w:cantSplit/>
          <w:trHeight w:val="1498"/>
        </w:trPr>
        <w:tc>
          <w:tcPr>
            <w:tcW w:w="993" w:type="dxa"/>
            <w:vMerge w:val="restart"/>
            <w:textDirection w:val="btLr"/>
            <w:vAlign w:val="center"/>
          </w:tcPr>
          <w:p w14:paraId="3B9C7963" w14:textId="77777777" w:rsidR="00304132" w:rsidRPr="00AC3044" w:rsidRDefault="00304132" w:rsidP="00CD5E09">
            <w:pPr>
              <w:rPr>
                <w:rFonts w:eastAsia="SimSun"/>
              </w:rPr>
            </w:pPr>
            <w:r w:rsidRPr="00AC3044">
              <w:rPr>
                <w:rFonts w:eastAsia="SimSun"/>
              </w:rPr>
              <w:lastRenderedPageBreak/>
              <w:t>Профилактика РТПХ</w:t>
            </w:r>
          </w:p>
        </w:tc>
        <w:tc>
          <w:tcPr>
            <w:tcW w:w="1843" w:type="dxa"/>
            <w:vAlign w:val="center"/>
          </w:tcPr>
          <w:p w14:paraId="7CE9A8C6" w14:textId="77777777" w:rsidR="00304132" w:rsidRPr="00AC3044" w:rsidRDefault="00304132" w:rsidP="00CD5E09">
            <w:pPr>
              <w:rPr>
                <w:rFonts w:eastAsia="SimSun"/>
              </w:rPr>
            </w:pPr>
            <w:r w:rsidRPr="00AC3044">
              <w:rPr>
                <w:rFonts w:eastAsia="SimSun"/>
              </w:rPr>
              <w:t xml:space="preserve">Такролимус </w:t>
            </w:r>
          </w:p>
        </w:tc>
        <w:tc>
          <w:tcPr>
            <w:tcW w:w="1417" w:type="dxa"/>
            <w:vAlign w:val="center"/>
          </w:tcPr>
          <w:p w14:paraId="2AFC9DA8" w14:textId="77777777" w:rsidR="00304132" w:rsidRPr="00AC3044" w:rsidRDefault="00304132" w:rsidP="00CD5E09">
            <w:pPr>
              <w:rPr>
                <w:rFonts w:eastAsia="SimSun"/>
              </w:rPr>
            </w:pPr>
            <w:r w:rsidRPr="00AC3044">
              <w:rPr>
                <w:rFonts w:eastAsia="SimSun"/>
              </w:rPr>
              <w:t>0,03 мг/кг</w:t>
            </w:r>
          </w:p>
        </w:tc>
        <w:tc>
          <w:tcPr>
            <w:tcW w:w="1559" w:type="dxa"/>
            <w:vAlign w:val="center"/>
          </w:tcPr>
          <w:p w14:paraId="3838F4E6" w14:textId="77777777" w:rsidR="00304132" w:rsidRPr="00AC3044" w:rsidRDefault="00304132" w:rsidP="00CD5E09">
            <w:pPr>
              <w:rPr>
                <w:rFonts w:eastAsia="SimSun"/>
              </w:rPr>
            </w:pPr>
            <w:r w:rsidRPr="00AC3044">
              <w:rPr>
                <w:rFonts w:eastAsia="SimSun"/>
              </w:rPr>
              <w:t>–</w:t>
            </w:r>
          </w:p>
        </w:tc>
        <w:tc>
          <w:tcPr>
            <w:tcW w:w="1560" w:type="dxa"/>
            <w:vAlign w:val="center"/>
          </w:tcPr>
          <w:p w14:paraId="7C17DE3D" w14:textId="77777777" w:rsidR="00304132" w:rsidRPr="00AC3044" w:rsidRDefault="00304132" w:rsidP="00CD5E09">
            <w:pPr>
              <w:rPr>
                <w:rFonts w:eastAsia="SimSun"/>
              </w:rPr>
            </w:pPr>
            <w:r w:rsidRPr="00AC3044">
              <w:rPr>
                <w:rFonts w:eastAsia="SimSun"/>
              </w:rPr>
              <w:t xml:space="preserve">С -1 дня длительно </w:t>
            </w:r>
          </w:p>
        </w:tc>
        <w:tc>
          <w:tcPr>
            <w:tcW w:w="2268" w:type="dxa"/>
            <w:vAlign w:val="center"/>
          </w:tcPr>
          <w:p w14:paraId="3AB5BD53" w14:textId="77777777" w:rsidR="00304132" w:rsidRPr="00AC3044" w:rsidRDefault="00304132" w:rsidP="00CD5E09">
            <w:pPr>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 </w:t>
            </w:r>
            <w:r w:rsidRPr="00AC3044">
              <w:rPr>
                <w:rFonts w:eastAsia="SimSun"/>
              </w:rPr>
              <w:t>10</w:t>
            </w:r>
            <w:r w:rsidRPr="001E6DBE">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304132" w:rsidRPr="00AC3044" w14:paraId="1CFED463" w14:textId="77777777" w:rsidTr="00CD5E09">
        <w:trPr>
          <w:cantSplit/>
          <w:trHeight w:val="538"/>
        </w:trPr>
        <w:tc>
          <w:tcPr>
            <w:tcW w:w="993" w:type="dxa"/>
            <w:vMerge/>
            <w:textDirection w:val="btLr"/>
            <w:vAlign w:val="center"/>
          </w:tcPr>
          <w:p w14:paraId="7D80FFC9" w14:textId="77777777" w:rsidR="00304132" w:rsidRPr="00AC3044" w:rsidRDefault="00304132" w:rsidP="00CD5E09">
            <w:pPr>
              <w:rPr>
                <w:rFonts w:eastAsia="SimSun"/>
              </w:rPr>
            </w:pPr>
          </w:p>
        </w:tc>
        <w:tc>
          <w:tcPr>
            <w:tcW w:w="1843" w:type="dxa"/>
            <w:vAlign w:val="center"/>
          </w:tcPr>
          <w:p w14:paraId="58E1BE06" w14:textId="77777777" w:rsidR="00304132" w:rsidRPr="00AC3044" w:rsidRDefault="00304132" w:rsidP="00CD5E09">
            <w:pPr>
              <w:rPr>
                <w:rFonts w:eastAsia="SimSun"/>
              </w:rPr>
            </w:pPr>
            <w:r w:rsidRPr="00AC3044">
              <w:rPr>
                <w:rFonts w:eastAsia="SimSun"/>
              </w:rPr>
              <w:t>Микофенолата мофетил</w:t>
            </w:r>
          </w:p>
        </w:tc>
        <w:tc>
          <w:tcPr>
            <w:tcW w:w="1417" w:type="dxa"/>
            <w:vAlign w:val="center"/>
          </w:tcPr>
          <w:p w14:paraId="6743DDB2" w14:textId="77777777" w:rsidR="00304132" w:rsidRPr="00AC3044" w:rsidRDefault="00304132" w:rsidP="00CD5E09">
            <w:pPr>
              <w:rPr>
                <w:rFonts w:eastAsia="SimSun"/>
              </w:rPr>
            </w:pPr>
            <w:r w:rsidRPr="00AC3044">
              <w:rPr>
                <w:rFonts w:eastAsia="SimSun"/>
              </w:rPr>
              <w:t xml:space="preserve">30 мг/кг </w:t>
            </w:r>
          </w:p>
        </w:tc>
        <w:tc>
          <w:tcPr>
            <w:tcW w:w="1559" w:type="dxa"/>
            <w:vAlign w:val="center"/>
          </w:tcPr>
          <w:p w14:paraId="319CD69F" w14:textId="77777777" w:rsidR="00304132" w:rsidRPr="00AC3044" w:rsidRDefault="00304132" w:rsidP="00CD5E09">
            <w:pPr>
              <w:rPr>
                <w:rFonts w:eastAsia="SimSun"/>
              </w:rPr>
            </w:pPr>
            <w:r w:rsidRPr="00AC3044">
              <w:rPr>
                <w:rFonts w:eastAsia="SimSun"/>
              </w:rPr>
              <w:t>–</w:t>
            </w:r>
          </w:p>
        </w:tc>
        <w:tc>
          <w:tcPr>
            <w:tcW w:w="1560" w:type="dxa"/>
            <w:vAlign w:val="center"/>
          </w:tcPr>
          <w:p w14:paraId="68E26D3F" w14:textId="77777777" w:rsidR="00304132" w:rsidRPr="00AC3044" w:rsidRDefault="00304132" w:rsidP="00CD5E09">
            <w:pPr>
              <w:rPr>
                <w:rFonts w:eastAsia="SimSun"/>
              </w:rPr>
            </w:pPr>
            <w:r w:rsidRPr="00AC3044">
              <w:rPr>
                <w:rFonts w:eastAsia="SimSun"/>
              </w:rPr>
              <w:t xml:space="preserve">С -1 дня по +30 день </w:t>
            </w:r>
          </w:p>
        </w:tc>
        <w:tc>
          <w:tcPr>
            <w:tcW w:w="2268" w:type="dxa"/>
            <w:vAlign w:val="center"/>
          </w:tcPr>
          <w:p w14:paraId="518601C5" w14:textId="77777777" w:rsidR="00304132" w:rsidRPr="00AC3044" w:rsidRDefault="00304132" w:rsidP="00CD5E09">
            <w:pPr>
              <w:rPr>
                <w:rFonts w:eastAsia="SimSun"/>
              </w:rPr>
            </w:pPr>
            <w:r w:rsidRPr="00AC3044">
              <w:rPr>
                <w:rFonts w:eastAsia="SimSun"/>
              </w:rPr>
              <w:t>Внутрь, суммарная суточная доза разделяется на 2- 4 приема.</w:t>
            </w:r>
          </w:p>
        </w:tc>
      </w:tr>
    </w:tbl>
    <w:p w14:paraId="77268A11" w14:textId="77777777" w:rsidR="00304132" w:rsidRDefault="00304132" w:rsidP="00304132">
      <w:pPr>
        <w:rPr>
          <w:rFonts w:eastAsia="SimSun"/>
        </w:rPr>
      </w:pPr>
      <w:bookmarkStart w:id="314" w:name="_Toc44401169"/>
    </w:p>
    <w:p w14:paraId="1C8B9F8B" w14:textId="77777777" w:rsidR="00304132" w:rsidRDefault="00304132" w:rsidP="00304132">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1.2.11  – Flu180+Bu8/ PT-Cy+CSA+MMF30</w:t>
      </w:r>
      <w:bookmarkEnd w:id="314"/>
    </w:p>
    <w:tbl>
      <w:tblPr>
        <w:tblW w:w="95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9"/>
        <w:gridCol w:w="1843"/>
        <w:gridCol w:w="1417"/>
        <w:gridCol w:w="1701"/>
        <w:gridCol w:w="1418"/>
        <w:gridCol w:w="2246"/>
      </w:tblGrid>
      <w:tr w:rsidR="00304132" w:rsidRPr="00AC3044" w14:paraId="72AA6BBD" w14:textId="77777777" w:rsidTr="00CD5E09">
        <w:trPr>
          <w:cantSplit/>
          <w:trHeight w:val="20"/>
          <w:tblHeader/>
        </w:trPr>
        <w:tc>
          <w:tcPr>
            <w:tcW w:w="959" w:type="dxa"/>
            <w:vAlign w:val="center"/>
          </w:tcPr>
          <w:p w14:paraId="33746A98" w14:textId="77777777" w:rsidR="00304132" w:rsidRPr="00470D3D" w:rsidRDefault="00304132" w:rsidP="00CD5E09">
            <w:pPr>
              <w:rPr>
                <w:rFonts w:eastAsia="SimSun"/>
              </w:rPr>
            </w:pPr>
          </w:p>
        </w:tc>
        <w:tc>
          <w:tcPr>
            <w:tcW w:w="1843" w:type="dxa"/>
            <w:vAlign w:val="center"/>
          </w:tcPr>
          <w:p w14:paraId="142A0D8E" w14:textId="77777777" w:rsidR="00304132" w:rsidRPr="00AC3044" w:rsidRDefault="00304132" w:rsidP="00CD5E09">
            <w:pPr>
              <w:rPr>
                <w:rFonts w:eastAsia="SimSun"/>
              </w:rPr>
            </w:pPr>
            <w:r w:rsidRPr="00AC3044">
              <w:rPr>
                <w:rFonts w:eastAsia="SimSun"/>
              </w:rPr>
              <w:t>Препарат</w:t>
            </w:r>
          </w:p>
        </w:tc>
        <w:tc>
          <w:tcPr>
            <w:tcW w:w="1417" w:type="dxa"/>
            <w:vAlign w:val="center"/>
          </w:tcPr>
          <w:p w14:paraId="2C56CD3D" w14:textId="77777777" w:rsidR="00304132" w:rsidRPr="00AC3044" w:rsidRDefault="00304132" w:rsidP="00CD5E09">
            <w:pPr>
              <w:rPr>
                <w:rFonts w:eastAsia="SimSun"/>
              </w:rPr>
            </w:pPr>
            <w:r w:rsidRPr="00AC3044">
              <w:rPr>
                <w:rFonts w:eastAsia="SimSun"/>
              </w:rPr>
              <w:t>Суточная доза</w:t>
            </w:r>
          </w:p>
        </w:tc>
        <w:tc>
          <w:tcPr>
            <w:tcW w:w="1701" w:type="dxa"/>
            <w:vAlign w:val="center"/>
          </w:tcPr>
          <w:p w14:paraId="190C7009" w14:textId="77777777" w:rsidR="00304132" w:rsidRPr="00AC3044" w:rsidRDefault="00304132" w:rsidP="00CD5E09">
            <w:pPr>
              <w:rPr>
                <w:rFonts w:eastAsia="SimSun"/>
              </w:rPr>
            </w:pPr>
            <w:r w:rsidRPr="00AC3044">
              <w:rPr>
                <w:rFonts w:eastAsia="SimSun"/>
              </w:rPr>
              <w:t>Курсовая доза</w:t>
            </w:r>
          </w:p>
        </w:tc>
        <w:tc>
          <w:tcPr>
            <w:tcW w:w="1418" w:type="dxa"/>
            <w:vAlign w:val="center"/>
          </w:tcPr>
          <w:p w14:paraId="0D32B8B4" w14:textId="77777777" w:rsidR="00304132" w:rsidRPr="00AC3044" w:rsidRDefault="00304132" w:rsidP="00CD5E09">
            <w:pPr>
              <w:rPr>
                <w:rFonts w:eastAsia="SimSun"/>
              </w:rPr>
            </w:pPr>
            <w:r w:rsidRPr="00AC3044">
              <w:rPr>
                <w:rFonts w:eastAsia="SimSun"/>
              </w:rPr>
              <w:t>Дни введения</w:t>
            </w:r>
          </w:p>
        </w:tc>
        <w:tc>
          <w:tcPr>
            <w:tcW w:w="2246" w:type="dxa"/>
            <w:vAlign w:val="center"/>
          </w:tcPr>
          <w:p w14:paraId="6DE4840A" w14:textId="77777777" w:rsidR="00304132" w:rsidRPr="00AC3044" w:rsidRDefault="00304132" w:rsidP="00CD5E09">
            <w:pPr>
              <w:rPr>
                <w:rFonts w:eastAsia="SimSun"/>
              </w:rPr>
            </w:pPr>
            <w:r w:rsidRPr="00AC3044">
              <w:rPr>
                <w:rFonts w:eastAsia="SimSun"/>
              </w:rPr>
              <w:t>Порядок введения</w:t>
            </w:r>
          </w:p>
        </w:tc>
      </w:tr>
      <w:tr w:rsidR="00304132" w:rsidRPr="00AC3044" w14:paraId="2588C754" w14:textId="77777777" w:rsidTr="00CD5E09">
        <w:trPr>
          <w:cantSplit/>
          <w:trHeight w:val="20"/>
        </w:trPr>
        <w:tc>
          <w:tcPr>
            <w:tcW w:w="959" w:type="dxa"/>
            <w:vMerge w:val="restart"/>
            <w:textDirection w:val="btLr"/>
            <w:vAlign w:val="center"/>
          </w:tcPr>
          <w:p w14:paraId="0EF43876" w14:textId="77777777" w:rsidR="00304132" w:rsidRPr="00AC3044" w:rsidRDefault="00304132" w:rsidP="00CD5E09">
            <w:pPr>
              <w:rPr>
                <w:rFonts w:eastAsia="SimSun"/>
              </w:rPr>
            </w:pPr>
            <w:r w:rsidRPr="00AC3044">
              <w:rPr>
                <w:rFonts w:eastAsia="SimSun"/>
              </w:rPr>
              <w:t>Кондиционирование</w:t>
            </w:r>
          </w:p>
        </w:tc>
        <w:tc>
          <w:tcPr>
            <w:tcW w:w="1843" w:type="dxa"/>
            <w:vAlign w:val="center"/>
          </w:tcPr>
          <w:p w14:paraId="4A26B1A7" w14:textId="77777777" w:rsidR="00304132" w:rsidRPr="00AC3044" w:rsidRDefault="00304132" w:rsidP="00CD5E09">
            <w:pPr>
              <w:rPr>
                <w:rFonts w:eastAsia="SimSun"/>
              </w:rPr>
            </w:pPr>
            <w:r w:rsidRPr="00AC3044">
              <w:rPr>
                <w:rFonts w:eastAsia="SimSun"/>
              </w:rPr>
              <w:t xml:space="preserve">Флударабин </w:t>
            </w:r>
          </w:p>
        </w:tc>
        <w:tc>
          <w:tcPr>
            <w:tcW w:w="1417" w:type="dxa"/>
            <w:vAlign w:val="center"/>
          </w:tcPr>
          <w:p w14:paraId="497A22A4" w14:textId="77777777" w:rsidR="00304132" w:rsidRPr="00AC3044" w:rsidRDefault="00304132" w:rsidP="00CD5E09">
            <w:pPr>
              <w:rPr>
                <w:rFonts w:eastAsia="SimSun"/>
              </w:rPr>
            </w:pPr>
            <w:r w:rsidRPr="00AC3044">
              <w:rPr>
                <w:rFonts w:eastAsia="SimSun"/>
              </w:rPr>
              <w:t>30 мг/м</w:t>
            </w:r>
            <w:r w:rsidRPr="001E6DBE">
              <w:rPr>
                <w:rFonts w:eastAsia="SimSun"/>
                <w:vertAlign w:val="superscript"/>
              </w:rPr>
              <w:t>2</w:t>
            </w:r>
          </w:p>
        </w:tc>
        <w:tc>
          <w:tcPr>
            <w:tcW w:w="1701" w:type="dxa"/>
            <w:vAlign w:val="center"/>
          </w:tcPr>
          <w:p w14:paraId="6D8FD8A6" w14:textId="77777777" w:rsidR="00304132" w:rsidRPr="00AC3044" w:rsidRDefault="00304132" w:rsidP="00CD5E09">
            <w:pPr>
              <w:rPr>
                <w:rFonts w:eastAsia="SimSun"/>
              </w:rPr>
            </w:pPr>
            <w:r w:rsidRPr="00AC3044">
              <w:rPr>
                <w:rFonts w:eastAsia="SimSun"/>
              </w:rPr>
              <w:t>180 мг/м</w:t>
            </w:r>
            <w:r w:rsidRPr="001E6DBE">
              <w:rPr>
                <w:rFonts w:eastAsia="SimSun"/>
                <w:vertAlign w:val="superscript"/>
              </w:rPr>
              <w:t>2</w:t>
            </w:r>
          </w:p>
        </w:tc>
        <w:tc>
          <w:tcPr>
            <w:tcW w:w="1418" w:type="dxa"/>
            <w:vAlign w:val="center"/>
          </w:tcPr>
          <w:p w14:paraId="427747CC" w14:textId="77777777" w:rsidR="00304132" w:rsidRPr="00AC3044" w:rsidRDefault="00304132" w:rsidP="00CD5E09">
            <w:pPr>
              <w:rPr>
                <w:rFonts w:eastAsia="SimSun"/>
              </w:rPr>
            </w:pPr>
            <w:r w:rsidRPr="00AC3044">
              <w:rPr>
                <w:rFonts w:eastAsia="SimSun"/>
              </w:rPr>
              <w:t>С -7 дня по -2 день</w:t>
            </w:r>
          </w:p>
        </w:tc>
        <w:tc>
          <w:tcPr>
            <w:tcW w:w="2246" w:type="dxa"/>
            <w:vAlign w:val="center"/>
          </w:tcPr>
          <w:p w14:paraId="750A41BC" w14:textId="77777777" w:rsidR="00304132" w:rsidRPr="00AC3044" w:rsidRDefault="00304132" w:rsidP="00CD5E09">
            <w:pPr>
              <w:rPr>
                <w:rFonts w:eastAsia="SimSun"/>
              </w:rPr>
            </w:pPr>
            <w:r w:rsidRPr="00AC3044">
              <w:rPr>
                <w:rFonts w:eastAsia="SimSun"/>
              </w:rPr>
              <w:t>В/в, в течение 30 -60 мин</w:t>
            </w:r>
          </w:p>
        </w:tc>
      </w:tr>
      <w:tr w:rsidR="00304132" w:rsidRPr="00AC3044" w14:paraId="5B732CA0" w14:textId="77777777" w:rsidTr="00CD5E09">
        <w:trPr>
          <w:cantSplit/>
          <w:trHeight w:val="550"/>
        </w:trPr>
        <w:tc>
          <w:tcPr>
            <w:tcW w:w="959" w:type="dxa"/>
            <w:vMerge/>
            <w:vAlign w:val="center"/>
          </w:tcPr>
          <w:p w14:paraId="0B53A913" w14:textId="77777777" w:rsidR="00304132" w:rsidRPr="00AC3044" w:rsidRDefault="00304132" w:rsidP="00CD5E09">
            <w:pPr>
              <w:rPr>
                <w:rFonts w:eastAsia="SimSun"/>
              </w:rPr>
            </w:pPr>
          </w:p>
        </w:tc>
        <w:tc>
          <w:tcPr>
            <w:tcW w:w="1843" w:type="dxa"/>
            <w:vAlign w:val="center"/>
          </w:tcPr>
          <w:p w14:paraId="238A034A" w14:textId="77777777" w:rsidR="00304132" w:rsidRPr="00AC3044" w:rsidRDefault="00304132" w:rsidP="00CD5E09">
            <w:pPr>
              <w:rPr>
                <w:rFonts w:eastAsia="SimSun"/>
              </w:rPr>
            </w:pPr>
            <w:r w:rsidRPr="00AC3044">
              <w:rPr>
                <w:rFonts w:eastAsia="SimSun"/>
              </w:rPr>
              <w:t>Бусульфан</w:t>
            </w:r>
          </w:p>
        </w:tc>
        <w:tc>
          <w:tcPr>
            <w:tcW w:w="1417" w:type="dxa"/>
            <w:vAlign w:val="center"/>
          </w:tcPr>
          <w:p w14:paraId="00ACE901" w14:textId="77777777" w:rsidR="00304132" w:rsidRPr="00AC3044" w:rsidRDefault="00304132" w:rsidP="00CD5E09">
            <w:pPr>
              <w:rPr>
                <w:rFonts w:eastAsia="SimSun"/>
              </w:rPr>
            </w:pPr>
            <w:r w:rsidRPr="00AC3044">
              <w:rPr>
                <w:rFonts w:eastAsia="SimSun"/>
              </w:rPr>
              <w:t xml:space="preserve">4 мг/кг </w:t>
            </w:r>
          </w:p>
        </w:tc>
        <w:tc>
          <w:tcPr>
            <w:tcW w:w="1701" w:type="dxa"/>
            <w:vAlign w:val="center"/>
          </w:tcPr>
          <w:p w14:paraId="04738AE8" w14:textId="77777777" w:rsidR="00304132" w:rsidRPr="00AC3044" w:rsidRDefault="00304132" w:rsidP="00CD5E09">
            <w:pPr>
              <w:rPr>
                <w:rFonts w:eastAsia="SimSun"/>
              </w:rPr>
            </w:pPr>
            <w:r w:rsidRPr="00AC3044">
              <w:rPr>
                <w:rFonts w:eastAsia="SimSun"/>
              </w:rPr>
              <w:t xml:space="preserve">8 мг/кг </w:t>
            </w:r>
          </w:p>
        </w:tc>
        <w:tc>
          <w:tcPr>
            <w:tcW w:w="1418" w:type="dxa"/>
            <w:vAlign w:val="center"/>
          </w:tcPr>
          <w:p w14:paraId="5FA49AF5" w14:textId="77777777" w:rsidR="00304132" w:rsidRPr="00AC3044" w:rsidRDefault="00304132" w:rsidP="00CD5E09">
            <w:pPr>
              <w:rPr>
                <w:rFonts w:eastAsia="SimSun"/>
              </w:rPr>
            </w:pPr>
            <w:r w:rsidRPr="00AC3044">
              <w:rPr>
                <w:rFonts w:eastAsia="SimSun"/>
              </w:rPr>
              <w:t>С -4 дня по -3 день</w:t>
            </w:r>
          </w:p>
        </w:tc>
        <w:tc>
          <w:tcPr>
            <w:tcW w:w="2246" w:type="dxa"/>
            <w:vAlign w:val="center"/>
          </w:tcPr>
          <w:p w14:paraId="48D98293" w14:textId="77777777" w:rsidR="00304132" w:rsidRPr="00AC3044" w:rsidRDefault="00304132" w:rsidP="00CD5E09">
            <w:pPr>
              <w:rPr>
                <w:rFonts w:eastAsia="SimSun"/>
              </w:rPr>
            </w:pPr>
            <w:r w:rsidRPr="00AC3044">
              <w:rPr>
                <w:rFonts w:eastAsia="SimSun"/>
              </w:rPr>
              <w:t>Внутрь, суммарная суточная доза разделяется на 4 приема с интервалом 6 часов.</w:t>
            </w:r>
          </w:p>
        </w:tc>
      </w:tr>
      <w:tr w:rsidR="00304132" w:rsidRPr="00AC3044" w14:paraId="79A1F8E3" w14:textId="77777777" w:rsidTr="00CD5E09">
        <w:trPr>
          <w:cantSplit/>
          <w:trHeight w:val="1498"/>
        </w:trPr>
        <w:tc>
          <w:tcPr>
            <w:tcW w:w="959" w:type="dxa"/>
            <w:vMerge w:val="restart"/>
            <w:textDirection w:val="btLr"/>
            <w:vAlign w:val="center"/>
          </w:tcPr>
          <w:p w14:paraId="6C83CD30" w14:textId="77777777" w:rsidR="00304132" w:rsidRPr="00AC3044" w:rsidRDefault="00304132" w:rsidP="00CD5E09">
            <w:pPr>
              <w:rPr>
                <w:rFonts w:eastAsia="SimSun"/>
              </w:rPr>
            </w:pPr>
            <w:r w:rsidRPr="00AC3044">
              <w:rPr>
                <w:rFonts w:eastAsia="SimSun"/>
              </w:rPr>
              <w:t>Профилактика РТПХ</w:t>
            </w:r>
          </w:p>
        </w:tc>
        <w:tc>
          <w:tcPr>
            <w:tcW w:w="1843" w:type="dxa"/>
            <w:vAlign w:val="center"/>
          </w:tcPr>
          <w:p w14:paraId="1763AD31" w14:textId="77777777" w:rsidR="00304132" w:rsidRPr="00AC3044" w:rsidRDefault="00304132" w:rsidP="00CD5E09">
            <w:pPr>
              <w:rPr>
                <w:rFonts w:eastAsia="SimSun"/>
              </w:rPr>
            </w:pPr>
            <w:r w:rsidRPr="00AC3044">
              <w:rPr>
                <w:rFonts w:eastAsia="SimSun"/>
              </w:rPr>
              <w:t>Циклофосфамид</w:t>
            </w:r>
          </w:p>
        </w:tc>
        <w:tc>
          <w:tcPr>
            <w:tcW w:w="1417" w:type="dxa"/>
            <w:vAlign w:val="center"/>
          </w:tcPr>
          <w:p w14:paraId="65F7E2ED" w14:textId="77777777" w:rsidR="00304132" w:rsidRPr="00AC3044" w:rsidRDefault="00304132" w:rsidP="00CD5E09">
            <w:pPr>
              <w:rPr>
                <w:rFonts w:eastAsia="SimSun"/>
              </w:rPr>
            </w:pPr>
            <w:r w:rsidRPr="00AC3044">
              <w:rPr>
                <w:rFonts w:eastAsia="SimSun"/>
              </w:rPr>
              <w:t>50 мг/кг</w:t>
            </w:r>
          </w:p>
        </w:tc>
        <w:tc>
          <w:tcPr>
            <w:tcW w:w="1701" w:type="dxa"/>
            <w:vAlign w:val="center"/>
          </w:tcPr>
          <w:p w14:paraId="71C98BCA" w14:textId="77777777" w:rsidR="00304132" w:rsidRPr="00AC3044" w:rsidRDefault="00304132" w:rsidP="00CD5E09">
            <w:pPr>
              <w:rPr>
                <w:rFonts w:eastAsia="SimSun"/>
              </w:rPr>
            </w:pPr>
            <w:r w:rsidRPr="00AC3044">
              <w:rPr>
                <w:rFonts w:eastAsia="SimSun"/>
              </w:rPr>
              <w:t>100 мг/кг</w:t>
            </w:r>
          </w:p>
        </w:tc>
        <w:tc>
          <w:tcPr>
            <w:tcW w:w="1418" w:type="dxa"/>
            <w:vAlign w:val="center"/>
          </w:tcPr>
          <w:p w14:paraId="5C04C196" w14:textId="77777777" w:rsidR="00304132" w:rsidRPr="00AC3044" w:rsidRDefault="00304132" w:rsidP="00CD5E09">
            <w:pPr>
              <w:rPr>
                <w:rFonts w:eastAsia="SimSun"/>
              </w:rPr>
            </w:pPr>
            <w:r w:rsidRPr="00AC3044">
              <w:rPr>
                <w:rFonts w:eastAsia="SimSun"/>
              </w:rPr>
              <w:t>В +3 день  и +5 день</w:t>
            </w:r>
          </w:p>
        </w:tc>
        <w:tc>
          <w:tcPr>
            <w:tcW w:w="2246" w:type="dxa"/>
            <w:vAlign w:val="center"/>
          </w:tcPr>
          <w:p w14:paraId="3D83856A" w14:textId="77777777" w:rsidR="00304132" w:rsidRPr="00AC3044" w:rsidRDefault="00304132" w:rsidP="00CD5E09">
            <w:pPr>
              <w:rPr>
                <w:rFonts w:eastAsia="SimSun"/>
              </w:rPr>
            </w:pPr>
            <w:r w:rsidRPr="00AC3044">
              <w:rPr>
                <w:rFonts w:eastAsia="SimSun"/>
              </w:rPr>
              <w:t>В/в, в течение 2 часов</w:t>
            </w:r>
          </w:p>
        </w:tc>
      </w:tr>
      <w:tr w:rsidR="00304132" w:rsidRPr="00AC3044" w14:paraId="6ECF01A5" w14:textId="77777777" w:rsidTr="00CD5E09">
        <w:trPr>
          <w:cantSplit/>
          <w:trHeight w:val="958"/>
        </w:trPr>
        <w:tc>
          <w:tcPr>
            <w:tcW w:w="959" w:type="dxa"/>
            <w:vMerge/>
            <w:textDirection w:val="btLr"/>
            <w:vAlign w:val="center"/>
          </w:tcPr>
          <w:p w14:paraId="55D6244F" w14:textId="77777777" w:rsidR="00304132" w:rsidRPr="00AC3044" w:rsidRDefault="00304132" w:rsidP="00CD5E09">
            <w:pPr>
              <w:rPr>
                <w:rFonts w:eastAsia="SimSun"/>
              </w:rPr>
            </w:pPr>
          </w:p>
        </w:tc>
        <w:tc>
          <w:tcPr>
            <w:tcW w:w="1843" w:type="dxa"/>
            <w:vAlign w:val="center"/>
          </w:tcPr>
          <w:p w14:paraId="133BD0AE" w14:textId="77777777" w:rsidR="00304132" w:rsidRPr="00AC3044" w:rsidRDefault="00304132" w:rsidP="00CD5E09">
            <w:pPr>
              <w:rPr>
                <w:rFonts w:eastAsia="SimSun"/>
              </w:rPr>
            </w:pPr>
            <w:r w:rsidRPr="00AC3044">
              <w:rPr>
                <w:rFonts w:eastAsia="SimSun"/>
              </w:rPr>
              <w:t>Микофенолата мофетил</w:t>
            </w:r>
          </w:p>
        </w:tc>
        <w:tc>
          <w:tcPr>
            <w:tcW w:w="1417" w:type="dxa"/>
            <w:vAlign w:val="center"/>
          </w:tcPr>
          <w:p w14:paraId="78C15EDA" w14:textId="77777777" w:rsidR="00304132" w:rsidRPr="00AC3044" w:rsidRDefault="00304132" w:rsidP="00CD5E09">
            <w:pPr>
              <w:rPr>
                <w:rFonts w:eastAsia="SimSun"/>
              </w:rPr>
            </w:pPr>
            <w:r w:rsidRPr="00AC3044">
              <w:rPr>
                <w:rFonts w:eastAsia="SimSun"/>
              </w:rPr>
              <w:t xml:space="preserve">30 мг/кг </w:t>
            </w:r>
          </w:p>
        </w:tc>
        <w:tc>
          <w:tcPr>
            <w:tcW w:w="1701" w:type="dxa"/>
            <w:vAlign w:val="center"/>
          </w:tcPr>
          <w:p w14:paraId="2D60C184" w14:textId="77777777" w:rsidR="00304132" w:rsidRPr="00AC3044" w:rsidRDefault="00304132" w:rsidP="00CD5E09">
            <w:pPr>
              <w:rPr>
                <w:rFonts w:eastAsia="SimSun"/>
              </w:rPr>
            </w:pPr>
            <w:r w:rsidRPr="00AC3044">
              <w:rPr>
                <w:rFonts w:eastAsia="SimSun"/>
              </w:rPr>
              <w:t>–</w:t>
            </w:r>
          </w:p>
        </w:tc>
        <w:tc>
          <w:tcPr>
            <w:tcW w:w="1418" w:type="dxa"/>
            <w:vAlign w:val="center"/>
          </w:tcPr>
          <w:p w14:paraId="73ECA337" w14:textId="77777777" w:rsidR="00304132" w:rsidRPr="00AC3044" w:rsidRDefault="00304132" w:rsidP="00CD5E09">
            <w:pPr>
              <w:rPr>
                <w:rFonts w:eastAsia="SimSun"/>
              </w:rPr>
            </w:pPr>
            <w:r w:rsidRPr="00AC3044">
              <w:rPr>
                <w:rFonts w:eastAsia="SimSun"/>
              </w:rPr>
              <w:t xml:space="preserve">С +1 дня по +28 день </w:t>
            </w:r>
          </w:p>
        </w:tc>
        <w:tc>
          <w:tcPr>
            <w:tcW w:w="2246" w:type="dxa"/>
            <w:vAlign w:val="center"/>
          </w:tcPr>
          <w:p w14:paraId="583E7302" w14:textId="77777777" w:rsidR="00304132" w:rsidRPr="00AC3044" w:rsidRDefault="00304132" w:rsidP="00CD5E09">
            <w:pPr>
              <w:rPr>
                <w:rFonts w:eastAsia="SimSun"/>
              </w:rPr>
            </w:pPr>
            <w:r w:rsidRPr="00AC3044">
              <w:rPr>
                <w:rFonts w:eastAsia="SimSun"/>
              </w:rPr>
              <w:t>Внутрь, суммарная суточная доза разделяется на 2- 4 приема.</w:t>
            </w:r>
          </w:p>
        </w:tc>
      </w:tr>
      <w:tr w:rsidR="00304132" w:rsidRPr="00AC3044" w14:paraId="72EEF681" w14:textId="77777777" w:rsidTr="00CD5E09">
        <w:trPr>
          <w:cantSplit/>
          <w:trHeight w:val="958"/>
        </w:trPr>
        <w:tc>
          <w:tcPr>
            <w:tcW w:w="959" w:type="dxa"/>
            <w:vMerge/>
            <w:textDirection w:val="btLr"/>
            <w:vAlign w:val="center"/>
          </w:tcPr>
          <w:p w14:paraId="167F02B1" w14:textId="77777777" w:rsidR="00304132" w:rsidRPr="00AC3044" w:rsidRDefault="00304132" w:rsidP="00CD5E09">
            <w:pPr>
              <w:rPr>
                <w:rFonts w:eastAsia="SimSun"/>
              </w:rPr>
            </w:pPr>
          </w:p>
        </w:tc>
        <w:tc>
          <w:tcPr>
            <w:tcW w:w="1843" w:type="dxa"/>
            <w:vAlign w:val="center"/>
          </w:tcPr>
          <w:p w14:paraId="2196FB92" w14:textId="77777777" w:rsidR="00304132" w:rsidRPr="00AC3044" w:rsidRDefault="00304132" w:rsidP="00CD5E09">
            <w:pPr>
              <w:rPr>
                <w:rFonts w:eastAsia="SimSun"/>
              </w:rPr>
            </w:pPr>
            <w:r w:rsidRPr="00AC3044">
              <w:rPr>
                <w:rFonts w:eastAsia="SimSun"/>
              </w:rPr>
              <w:t>Циклоспорин А</w:t>
            </w:r>
          </w:p>
        </w:tc>
        <w:tc>
          <w:tcPr>
            <w:tcW w:w="1417" w:type="dxa"/>
            <w:vAlign w:val="center"/>
          </w:tcPr>
          <w:p w14:paraId="383DDD84" w14:textId="77777777" w:rsidR="00304132" w:rsidRPr="00AC3044" w:rsidRDefault="00304132" w:rsidP="00CD5E09">
            <w:pPr>
              <w:rPr>
                <w:rFonts w:eastAsia="SimSun"/>
              </w:rPr>
            </w:pPr>
            <w:r w:rsidRPr="00AC3044">
              <w:rPr>
                <w:rFonts w:eastAsia="SimSun"/>
              </w:rPr>
              <w:t>3  мг/кг</w:t>
            </w:r>
          </w:p>
        </w:tc>
        <w:tc>
          <w:tcPr>
            <w:tcW w:w="1701" w:type="dxa"/>
            <w:vAlign w:val="center"/>
          </w:tcPr>
          <w:p w14:paraId="3867E3C0" w14:textId="77777777" w:rsidR="00304132" w:rsidRPr="00AC3044" w:rsidRDefault="00304132" w:rsidP="00CD5E09">
            <w:pPr>
              <w:rPr>
                <w:rFonts w:eastAsia="SimSun"/>
              </w:rPr>
            </w:pPr>
            <w:r w:rsidRPr="00AC3044">
              <w:rPr>
                <w:rFonts w:eastAsia="SimSun"/>
              </w:rPr>
              <w:t>-</w:t>
            </w:r>
          </w:p>
        </w:tc>
        <w:tc>
          <w:tcPr>
            <w:tcW w:w="1418" w:type="dxa"/>
            <w:vAlign w:val="center"/>
          </w:tcPr>
          <w:p w14:paraId="04990B94" w14:textId="77777777" w:rsidR="00304132" w:rsidRPr="00AC3044" w:rsidRDefault="00304132" w:rsidP="00CD5E09">
            <w:pPr>
              <w:rPr>
                <w:rFonts w:eastAsia="SimSun"/>
              </w:rPr>
            </w:pPr>
            <w:r w:rsidRPr="00AC3044">
              <w:rPr>
                <w:rFonts w:eastAsia="SimSun"/>
              </w:rPr>
              <w:t xml:space="preserve">С -1 дня по +100 день </w:t>
            </w:r>
          </w:p>
        </w:tc>
        <w:tc>
          <w:tcPr>
            <w:tcW w:w="2246" w:type="dxa"/>
            <w:vAlign w:val="center"/>
          </w:tcPr>
          <w:p w14:paraId="7E5DE389" w14:textId="77777777" w:rsidR="00304132" w:rsidRPr="00AC3044" w:rsidRDefault="00304132" w:rsidP="00CD5E09">
            <w:pPr>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1E6DBE">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bl>
    <w:p w14:paraId="547396E4" w14:textId="77777777" w:rsidR="00304132" w:rsidRDefault="00304132" w:rsidP="00304132">
      <w:pPr>
        <w:rPr>
          <w:rFonts w:eastAsia="SimSun"/>
        </w:rPr>
      </w:pPr>
    </w:p>
    <w:p w14:paraId="7170958C" w14:textId="77777777" w:rsidR="00304132" w:rsidRPr="00C07B2E" w:rsidRDefault="00304132" w:rsidP="00304132">
      <w:pPr>
        <w:rPr>
          <w:rFonts w:eastAsia="SimSun"/>
        </w:rPr>
      </w:pPr>
      <w:bookmarkStart w:id="315" w:name="_Toc44401170"/>
      <w:r w:rsidRPr="00042499">
        <w:rPr>
          <w:rFonts w:eastAsia="SimSun"/>
        </w:rPr>
        <w:t>Таблица</w:t>
      </w:r>
      <w:r w:rsidRPr="00C07B2E">
        <w:rPr>
          <w:rFonts w:eastAsia="SimSun"/>
        </w:rPr>
        <w:t xml:space="preserve"> </w:t>
      </w:r>
      <w:r>
        <w:rPr>
          <w:rFonts w:eastAsia="SimSun"/>
        </w:rPr>
        <w:t>5.</w:t>
      </w:r>
      <w:r w:rsidRPr="00C07B2E">
        <w:rPr>
          <w:rFonts w:eastAsia="SimSun"/>
        </w:rPr>
        <w:t>1.2.12  – Flu180+Bu10 / PT-Cy+Ruxo</w:t>
      </w:r>
      <w:bookmarkEnd w:id="315"/>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9"/>
        <w:gridCol w:w="1843"/>
        <w:gridCol w:w="1417"/>
        <w:gridCol w:w="1701"/>
        <w:gridCol w:w="1418"/>
        <w:gridCol w:w="2268"/>
      </w:tblGrid>
      <w:tr w:rsidR="00304132" w:rsidRPr="00AC3044" w14:paraId="0D3868DF" w14:textId="77777777" w:rsidTr="00CD5E09">
        <w:trPr>
          <w:cantSplit/>
          <w:trHeight w:val="20"/>
          <w:tblHeader/>
        </w:trPr>
        <w:tc>
          <w:tcPr>
            <w:tcW w:w="959" w:type="dxa"/>
            <w:vAlign w:val="center"/>
          </w:tcPr>
          <w:p w14:paraId="07260B35" w14:textId="77777777" w:rsidR="00304132" w:rsidRPr="00470D3D" w:rsidRDefault="00304132" w:rsidP="00CD5E09">
            <w:pPr>
              <w:rPr>
                <w:rFonts w:eastAsia="SimSun"/>
              </w:rPr>
            </w:pPr>
          </w:p>
        </w:tc>
        <w:tc>
          <w:tcPr>
            <w:tcW w:w="1843" w:type="dxa"/>
            <w:vAlign w:val="center"/>
          </w:tcPr>
          <w:p w14:paraId="5988A0BB" w14:textId="77777777" w:rsidR="00304132" w:rsidRPr="00AC3044" w:rsidRDefault="00304132" w:rsidP="00CD5E09">
            <w:pPr>
              <w:rPr>
                <w:rFonts w:eastAsia="SimSun"/>
              </w:rPr>
            </w:pPr>
            <w:r w:rsidRPr="00AC3044">
              <w:rPr>
                <w:rFonts w:eastAsia="SimSun"/>
              </w:rPr>
              <w:t>Препарат</w:t>
            </w:r>
          </w:p>
        </w:tc>
        <w:tc>
          <w:tcPr>
            <w:tcW w:w="1417" w:type="dxa"/>
            <w:vAlign w:val="center"/>
          </w:tcPr>
          <w:p w14:paraId="698B13C7" w14:textId="77777777" w:rsidR="00304132" w:rsidRPr="00AC3044" w:rsidRDefault="00304132" w:rsidP="00CD5E09">
            <w:pPr>
              <w:rPr>
                <w:rFonts w:eastAsia="SimSun"/>
              </w:rPr>
            </w:pPr>
            <w:r w:rsidRPr="00AC3044">
              <w:rPr>
                <w:rFonts w:eastAsia="SimSun"/>
              </w:rPr>
              <w:t>Суточная доза</w:t>
            </w:r>
          </w:p>
        </w:tc>
        <w:tc>
          <w:tcPr>
            <w:tcW w:w="1701" w:type="dxa"/>
            <w:vAlign w:val="center"/>
          </w:tcPr>
          <w:p w14:paraId="17829E13" w14:textId="77777777" w:rsidR="00304132" w:rsidRPr="00AC3044" w:rsidRDefault="00304132" w:rsidP="00CD5E09">
            <w:pPr>
              <w:rPr>
                <w:rFonts w:eastAsia="SimSun"/>
              </w:rPr>
            </w:pPr>
            <w:r w:rsidRPr="00AC3044">
              <w:rPr>
                <w:rFonts w:eastAsia="SimSun"/>
              </w:rPr>
              <w:t>Курсовая доза</w:t>
            </w:r>
          </w:p>
        </w:tc>
        <w:tc>
          <w:tcPr>
            <w:tcW w:w="1418" w:type="dxa"/>
            <w:vAlign w:val="center"/>
          </w:tcPr>
          <w:p w14:paraId="08F6FE25" w14:textId="77777777" w:rsidR="00304132" w:rsidRPr="00AC3044" w:rsidRDefault="00304132" w:rsidP="00CD5E09">
            <w:pPr>
              <w:rPr>
                <w:rFonts w:eastAsia="SimSun"/>
              </w:rPr>
            </w:pPr>
            <w:r w:rsidRPr="00AC3044">
              <w:rPr>
                <w:rFonts w:eastAsia="SimSun"/>
              </w:rPr>
              <w:t>Дни введения</w:t>
            </w:r>
          </w:p>
        </w:tc>
        <w:tc>
          <w:tcPr>
            <w:tcW w:w="2268" w:type="dxa"/>
            <w:vAlign w:val="center"/>
          </w:tcPr>
          <w:p w14:paraId="0680909C" w14:textId="77777777" w:rsidR="00304132" w:rsidRPr="00AC3044" w:rsidRDefault="00304132" w:rsidP="00CD5E09">
            <w:pPr>
              <w:rPr>
                <w:rFonts w:eastAsia="SimSun"/>
              </w:rPr>
            </w:pPr>
            <w:r w:rsidRPr="00AC3044">
              <w:rPr>
                <w:rFonts w:eastAsia="SimSun"/>
              </w:rPr>
              <w:t>Порядок введения</w:t>
            </w:r>
          </w:p>
        </w:tc>
      </w:tr>
      <w:tr w:rsidR="00304132" w:rsidRPr="00AC3044" w14:paraId="7B9FFCE1" w14:textId="77777777" w:rsidTr="00CD5E09">
        <w:trPr>
          <w:cantSplit/>
          <w:trHeight w:val="20"/>
        </w:trPr>
        <w:tc>
          <w:tcPr>
            <w:tcW w:w="959" w:type="dxa"/>
            <w:vMerge w:val="restart"/>
            <w:textDirection w:val="btLr"/>
            <w:vAlign w:val="center"/>
          </w:tcPr>
          <w:p w14:paraId="481BEF54" w14:textId="77777777" w:rsidR="00304132" w:rsidRPr="00AC3044" w:rsidRDefault="00304132" w:rsidP="00CD5E09">
            <w:pPr>
              <w:rPr>
                <w:rFonts w:eastAsia="SimSun"/>
              </w:rPr>
            </w:pPr>
            <w:r w:rsidRPr="00AC3044">
              <w:rPr>
                <w:rFonts w:eastAsia="SimSun"/>
              </w:rPr>
              <w:t>Кондиционирование</w:t>
            </w:r>
          </w:p>
        </w:tc>
        <w:tc>
          <w:tcPr>
            <w:tcW w:w="1843" w:type="dxa"/>
            <w:vAlign w:val="center"/>
          </w:tcPr>
          <w:p w14:paraId="72B94BD2" w14:textId="77777777" w:rsidR="00304132" w:rsidRPr="00AC3044" w:rsidRDefault="00304132" w:rsidP="00CD5E09">
            <w:pPr>
              <w:rPr>
                <w:rFonts w:eastAsia="SimSun"/>
              </w:rPr>
            </w:pPr>
            <w:r w:rsidRPr="00AC3044">
              <w:rPr>
                <w:rFonts w:eastAsia="SimSun"/>
              </w:rPr>
              <w:t xml:space="preserve">Флударабин </w:t>
            </w:r>
          </w:p>
        </w:tc>
        <w:tc>
          <w:tcPr>
            <w:tcW w:w="1417" w:type="dxa"/>
            <w:vAlign w:val="center"/>
          </w:tcPr>
          <w:p w14:paraId="499E9D1E" w14:textId="77777777" w:rsidR="00304132" w:rsidRPr="00AC3044" w:rsidRDefault="00304132" w:rsidP="00CD5E09">
            <w:pPr>
              <w:rPr>
                <w:rFonts w:eastAsia="SimSun"/>
              </w:rPr>
            </w:pPr>
            <w:r w:rsidRPr="00AC3044">
              <w:rPr>
                <w:rFonts w:eastAsia="SimSun"/>
              </w:rPr>
              <w:t>30 мг/м</w:t>
            </w:r>
            <w:r w:rsidRPr="001E6DBE">
              <w:rPr>
                <w:rFonts w:eastAsia="SimSun"/>
                <w:vertAlign w:val="superscript"/>
              </w:rPr>
              <w:t>2</w:t>
            </w:r>
          </w:p>
        </w:tc>
        <w:tc>
          <w:tcPr>
            <w:tcW w:w="1701" w:type="dxa"/>
            <w:vAlign w:val="center"/>
          </w:tcPr>
          <w:p w14:paraId="64FE5C0A" w14:textId="77777777" w:rsidR="00304132" w:rsidRPr="00AC3044" w:rsidRDefault="00304132" w:rsidP="00CD5E09">
            <w:pPr>
              <w:rPr>
                <w:rFonts w:eastAsia="SimSun"/>
              </w:rPr>
            </w:pPr>
            <w:r w:rsidRPr="00AC3044">
              <w:rPr>
                <w:rFonts w:eastAsia="SimSun"/>
              </w:rPr>
              <w:t>180 мг/м</w:t>
            </w:r>
            <w:r w:rsidRPr="001E6DBE">
              <w:rPr>
                <w:rFonts w:eastAsia="SimSun"/>
                <w:vertAlign w:val="superscript"/>
              </w:rPr>
              <w:t>2</w:t>
            </w:r>
          </w:p>
        </w:tc>
        <w:tc>
          <w:tcPr>
            <w:tcW w:w="1418" w:type="dxa"/>
            <w:vAlign w:val="center"/>
          </w:tcPr>
          <w:p w14:paraId="0D1DEB2A" w14:textId="77777777" w:rsidR="00304132" w:rsidRPr="00AC3044" w:rsidRDefault="00304132" w:rsidP="00CD5E09">
            <w:pPr>
              <w:rPr>
                <w:rFonts w:eastAsia="SimSun"/>
              </w:rPr>
            </w:pPr>
            <w:r w:rsidRPr="00AC3044">
              <w:rPr>
                <w:rFonts w:eastAsia="SimSun"/>
              </w:rPr>
              <w:t>С -7 дня по -2 день</w:t>
            </w:r>
          </w:p>
        </w:tc>
        <w:tc>
          <w:tcPr>
            <w:tcW w:w="2268" w:type="dxa"/>
            <w:vAlign w:val="center"/>
          </w:tcPr>
          <w:p w14:paraId="4FD36394" w14:textId="77777777" w:rsidR="00304132" w:rsidRPr="00AC3044" w:rsidRDefault="00304132" w:rsidP="00CD5E09">
            <w:pPr>
              <w:rPr>
                <w:rFonts w:eastAsia="SimSun"/>
              </w:rPr>
            </w:pPr>
            <w:r w:rsidRPr="00AC3044">
              <w:rPr>
                <w:rFonts w:eastAsia="SimSun"/>
              </w:rPr>
              <w:t>В/в, в течение 30 -60 мин</w:t>
            </w:r>
          </w:p>
        </w:tc>
      </w:tr>
      <w:tr w:rsidR="00304132" w:rsidRPr="00AC3044" w14:paraId="081F9ECD" w14:textId="77777777" w:rsidTr="00CD5E09">
        <w:trPr>
          <w:cantSplit/>
          <w:trHeight w:val="998"/>
        </w:trPr>
        <w:tc>
          <w:tcPr>
            <w:tcW w:w="959" w:type="dxa"/>
            <w:vMerge/>
            <w:vAlign w:val="center"/>
          </w:tcPr>
          <w:p w14:paraId="43B534F4" w14:textId="77777777" w:rsidR="00304132" w:rsidRPr="00AC3044" w:rsidRDefault="00304132" w:rsidP="00CD5E09">
            <w:pPr>
              <w:rPr>
                <w:rFonts w:eastAsia="SimSun"/>
              </w:rPr>
            </w:pPr>
          </w:p>
        </w:tc>
        <w:tc>
          <w:tcPr>
            <w:tcW w:w="1843" w:type="dxa"/>
            <w:vAlign w:val="center"/>
          </w:tcPr>
          <w:p w14:paraId="19BD602A" w14:textId="77777777" w:rsidR="00304132" w:rsidRPr="00AC3044" w:rsidRDefault="00304132" w:rsidP="00CD5E09">
            <w:pPr>
              <w:rPr>
                <w:rFonts w:eastAsia="SimSun"/>
              </w:rPr>
            </w:pPr>
            <w:r w:rsidRPr="00AC3044">
              <w:rPr>
                <w:rFonts w:eastAsia="SimSun"/>
              </w:rPr>
              <w:t>Бусульфан</w:t>
            </w:r>
          </w:p>
        </w:tc>
        <w:tc>
          <w:tcPr>
            <w:tcW w:w="1417" w:type="dxa"/>
            <w:vAlign w:val="center"/>
          </w:tcPr>
          <w:p w14:paraId="111EF7D6" w14:textId="77777777" w:rsidR="00304132" w:rsidRPr="00AC3044" w:rsidRDefault="00304132" w:rsidP="00CD5E09">
            <w:pPr>
              <w:rPr>
                <w:rFonts w:eastAsia="SimSun"/>
              </w:rPr>
            </w:pPr>
            <w:r w:rsidRPr="00AC3044">
              <w:rPr>
                <w:rFonts w:eastAsia="SimSun"/>
              </w:rPr>
              <w:t xml:space="preserve">4 мг/кг </w:t>
            </w:r>
          </w:p>
        </w:tc>
        <w:tc>
          <w:tcPr>
            <w:tcW w:w="1701" w:type="dxa"/>
            <w:vAlign w:val="center"/>
          </w:tcPr>
          <w:p w14:paraId="6C1698A4" w14:textId="77777777" w:rsidR="00304132" w:rsidRPr="00AC3044" w:rsidRDefault="00304132" w:rsidP="00CD5E09">
            <w:pPr>
              <w:rPr>
                <w:rFonts w:eastAsia="SimSun"/>
              </w:rPr>
            </w:pPr>
            <w:r w:rsidRPr="00AC3044">
              <w:rPr>
                <w:rFonts w:eastAsia="SimSun"/>
              </w:rPr>
              <w:t xml:space="preserve">10 мг/кг </w:t>
            </w:r>
          </w:p>
        </w:tc>
        <w:tc>
          <w:tcPr>
            <w:tcW w:w="1418" w:type="dxa"/>
            <w:vAlign w:val="center"/>
          </w:tcPr>
          <w:p w14:paraId="39EACBDB" w14:textId="77777777" w:rsidR="00304132" w:rsidRPr="00AC3044" w:rsidRDefault="00304132" w:rsidP="00CD5E09">
            <w:pPr>
              <w:rPr>
                <w:rFonts w:eastAsia="SimSun"/>
              </w:rPr>
            </w:pPr>
            <w:r w:rsidRPr="00AC3044">
              <w:rPr>
                <w:rFonts w:eastAsia="SimSun"/>
              </w:rPr>
              <w:t>С -5 дня по -3 день</w:t>
            </w:r>
          </w:p>
        </w:tc>
        <w:tc>
          <w:tcPr>
            <w:tcW w:w="2268" w:type="dxa"/>
            <w:vAlign w:val="center"/>
          </w:tcPr>
          <w:p w14:paraId="7F9B6932" w14:textId="77777777" w:rsidR="00304132" w:rsidRPr="00470D3D" w:rsidRDefault="00304132" w:rsidP="00CD5E09">
            <w:pPr>
              <w:rPr>
                <w:rFonts w:eastAsia="SimSun"/>
              </w:rPr>
            </w:pPr>
            <w:r w:rsidRPr="00AC3044">
              <w:rPr>
                <w:rFonts w:eastAsia="SimSun"/>
              </w:rPr>
              <w:t xml:space="preserve">Внутрь, суммарная суточная доза разделяется на 4 приема с интервалом 6 часов. </w:t>
            </w:r>
            <w:r w:rsidRPr="00470D3D">
              <w:rPr>
                <w:rFonts w:eastAsia="SimSun"/>
              </w:rPr>
              <w:t>День -6: бусульфан разделяется на 2 приема с интервалом 6 часов, в вечернее время (18.00, 24.00)</w:t>
            </w:r>
          </w:p>
        </w:tc>
      </w:tr>
      <w:tr w:rsidR="00304132" w:rsidRPr="00AC3044" w14:paraId="185FE21E" w14:textId="77777777" w:rsidTr="00CD5E09">
        <w:trPr>
          <w:cantSplit/>
          <w:trHeight w:val="636"/>
        </w:trPr>
        <w:tc>
          <w:tcPr>
            <w:tcW w:w="959" w:type="dxa"/>
            <w:vMerge w:val="restart"/>
            <w:textDirection w:val="btLr"/>
            <w:vAlign w:val="center"/>
          </w:tcPr>
          <w:p w14:paraId="401BC6DC" w14:textId="77777777" w:rsidR="00304132" w:rsidRPr="00AC3044" w:rsidRDefault="00304132" w:rsidP="00CD5E09">
            <w:pPr>
              <w:rPr>
                <w:rFonts w:eastAsia="SimSun"/>
              </w:rPr>
            </w:pPr>
            <w:r w:rsidRPr="00AC3044">
              <w:rPr>
                <w:rFonts w:eastAsia="SimSun"/>
              </w:rPr>
              <w:t>Профилактика РТПХ</w:t>
            </w:r>
          </w:p>
        </w:tc>
        <w:tc>
          <w:tcPr>
            <w:tcW w:w="1843" w:type="dxa"/>
            <w:vAlign w:val="center"/>
          </w:tcPr>
          <w:p w14:paraId="04A8BC18" w14:textId="77777777" w:rsidR="00304132" w:rsidRPr="00AC3044" w:rsidRDefault="00304132" w:rsidP="00CD5E09">
            <w:pPr>
              <w:rPr>
                <w:rFonts w:eastAsia="SimSun"/>
              </w:rPr>
            </w:pPr>
            <w:r w:rsidRPr="00AC3044">
              <w:rPr>
                <w:rFonts w:eastAsia="SimSun"/>
              </w:rPr>
              <w:t>Циклофосфамид</w:t>
            </w:r>
          </w:p>
        </w:tc>
        <w:tc>
          <w:tcPr>
            <w:tcW w:w="1417" w:type="dxa"/>
            <w:vAlign w:val="center"/>
          </w:tcPr>
          <w:p w14:paraId="584493D9" w14:textId="77777777" w:rsidR="00304132" w:rsidRPr="00AC3044" w:rsidRDefault="00304132" w:rsidP="00CD5E09">
            <w:pPr>
              <w:rPr>
                <w:rFonts w:eastAsia="SimSun"/>
              </w:rPr>
            </w:pPr>
            <w:r w:rsidRPr="00AC3044">
              <w:rPr>
                <w:rFonts w:eastAsia="SimSun"/>
              </w:rPr>
              <w:t>50 мг/кг</w:t>
            </w:r>
          </w:p>
        </w:tc>
        <w:tc>
          <w:tcPr>
            <w:tcW w:w="1701" w:type="dxa"/>
            <w:vAlign w:val="center"/>
          </w:tcPr>
          <w:p w14:paraId="59E8CF56" w14:textId="77777777" w:rsidR="00304132" w:rsidRPr="00AC3044" w:rsidRDefault="00304132" w:rsidP="00CD5E09">
            <w:pPr>
              <w:rPr>
                <w:rFonts w:eastAsia="SimSun"/>
              </w:rPr>
            </w:pPr>
            <w:r w:rsidRPr="00AC3044">
              <w:rPr>
                <w:rFonts w:eastAsia="SimSun"/>
              </w:rPr>
              <w:t>100 мг/кг</w:t>
            </w:r>
          </w:p>
        </w:tc>
        <w:tc>
          <w:tcPr>
            <w:tcW w:w="1418" w:type="dxa"/>
            <w:vAlign w:val="center"/>
          </w:tcPr>
          <w:p w14:paraId="5366F879" w14:textId="77777777" w:rsidR="00304132" w:rsidRPr="00AC3044" w:rsidRDefault="00304132" w:rsidP="00CD5E09">
            <w:pPr>
              <w:rPr>
                <w:rFonts w:eastAsia="SimSun"/>
              </w:rPr>
            </w:pPr>
            <w:r w:rsidRPr="00AC3044">
              <w:rPr>
                <w:rFonts w:eastAsia="SimSun"/>
              </w:rPr>
              <w:t>С +3 дня по +4 день</w:t>
            </w:r>
          </w:p>
        </w:tc>
        <w:tc>
          <w:tcPr>
            <w:tcW w:w="2268" w:type="dxa"/>
            <w:vAlign w:val="center"/>
          </w:tcPr>
          <w:p w14:paraId="305718D1" w14:textId="77777777" w:rsidR="00304132" w:rsidRPr="00AC3044" w:rsidRDefault="00304132" w:rsidP="00CD5E09">
            <w:pPr>
              <w:rPr>
                <w:rFonts w:eastAsia="SimSun"/>
              </w:rPr>
            </w:pPr>
            <w:r w:rsidRPr="00AC3044">
              <w:rPr>
                <w:rFonts w:eastAsia="SimSun"/>
              </w:rPr>
              <w:t>В/в, в течение 2 часов</w:t>
            </w:r>
          </w:p>
        </w:tc>
      </w:tr>
      <w:tr w:rsidR="00304132" w:rsidRPr="00AC3044" w14:paraId="7DAEA322" w14:textId="77777777" w:rsidTr="00CD5E09">
        <w:trPr>
          <w:cantSplit/>
          <w:trHeight w:val="688"/>
        </w:trPr>
        <w:tc>
          <w:tcPr>
            <w:tcW w:w="959" w:type="dxa"/>
            <w:vMerge/>
            <w:textDirection w:val="btLr"/>
            <w:vAlign w:val="center"/>
          </w:tcPr>
          <w:p w14:paraId="31726AB9" w14:textId="77777777" w:rsidR="00304132" w:rsidRPr="00AC3044" w:rsidRDefault="00304132" w:rsidP="00CD5E09">
            <w:pPr>
              <w:rPr>
                <w:rFonts w:eastAsia="SimSun"/>
              </w:rPr>
            </w:pPr>
          </w:p>
        </w:tc>
        <w:tc>
          <w:tcPr>
            <w:tcW w:w="1843" w:type="dxa"/>
            <w:vAlign w:val="center"/>
          </w:tcPr>
          <w:p w14:paraId="0D74FC2C" w14:textId="77777777" w:rsidR="00304132" w:rsidRPr="00AC3044" w:rsidRDefault="00304132" w:rsidP="00CD5E09">
            <w:pPr>
              <w:rPr>
                <w:rFonts w:eastAsia="SimSun"/>
              </w:rPr>
            </w:pPr>
            <w:r w:rsidRPr="00AC3044">
              <w:rPr>
                <w:rFonts w:eastAsia="SimSun"/>
              </w:rPr>
              <w:t>Руксолитиниб</w:t>
            </w:r>
          </w:p>
        </w:tc>
        <w:tc>
          <w:tcPr>
            <w:tcW w:w="1417" w:type="dxa"/>
            <w:vAlign w:val="center"/>
          </w:tcPr>
          <w:p w14:paraId="5BFAE9F7" w14:textId="77777777" w:rsidR="00304132" w:rsidRPr="00AC3044" w:rsidRDefault="00304132" w:rsidP="00CD5E09">
            <w:pPr>
              <w:rPr>
                <w:rFonts w:eastAsia="SimSun"/>
              </w:rPr>
            </w:pPr>
            <w:r w:rsidRPr="00AC3044">
              <w:rPr>
                <w:rFonts w:eastAsia="SimSun"/>
              </w:rPr>
              <w:t>45 мг</w:t>
            </w:r>
          </w:p>
        </w:tc>
        <w:tc>
          <w:tcPr>
            <w:tcW w:w="1701" w:type="dxa"/>
            <w:vAlign w:val="center"/>
          </w:tcPr>
          <w:p w14:paraId="43EE9B98" w14:textId="77777777" w:rsidR="00304132" w:rsidRPr="00AC3044" w:rsidRDefault="00304132" w:rsidP="00CD5E09">
            <w:pPr>
              <w:rPr>
                <w:rFonts w:eastAsia="SimSun"/>
              </w:rPr>
            </w:pPr>
            <w:r w:rsidRPr="00AC3044">
              <w:rPr>
                <w:rFonts w:eastAsia="SimSun"/>
              </w:rPr>
              <w:t>270 мг</w:t>
            </w:r>
          </w:p>
        </w:tc>
        <w:tc>
          <w:tcPr>
            <w:tcW w:w="1418" w:type="dxa"/>
            <w:vAlign w:val="center"/>
          </w:tcPr>
          <w:p w14:paraId="33D40184" w14:textId="77777777" w:rsidR="00304132" w:rsidRPr="00AC3044" w:rsidRDefault="00304132" w:rsidP="00CD5E09">
            <w:pPr>
              <w:rPr>
                <w:rFonts w:eastAsia="SimSun"/>
              </w:rPr>
            </w:pPr>
            <w:r w:rsidRPr="00AC3044">
              <w:rPr>
                <w:rFonts w:eastAsia="SimSun"/>
              </w:rPr>
              <w:t xml:space="preserve">С -7 дня по -2 день </w:t>
            </w:r>
          </w:p>
        </w:tc>
        <w:tc>
          <w:tcPr>
            <w:tcW w:w="2268" w:type="dxa"/>
            <w:vAlign w:val="center"/>
          </w:tcPr>
          <w:p w14:paraId="674B02FC" w14:textId="77777777" w:rsidR="00304132" w:rsidRPr="00AC3044" w:rsidRDefault="00304132" w:rsidP="00CD5E09">
            <w:pPr>
              <w:rPr>
                <w:rFonts w:eastAsia="SimSun"/>
              </w:rPr>
            </w:pPr>
            <w:r w:rsidRPr="00AC3044">
              <w:rPr>
                <w:rFonts w:eastAsia="SimSun"/>
              </w:rPr>
              <w:t xml:space="preserve">Внутрь суточную дозу </w:t>
            </w:r>
          </w:p>
          <w:p w14:paraId="43BE7C2D" w14:textId="77777777" w:rsidR="00304132" w:rsidRPr="00AC3044" w:rsidRDefault="00304132" w:rsidP="00CD5E09">
            <w:pPr>
              <w:rPr>
                <w:rFonts w:eastAsia="SimSun"/>
              </w:rPr>
            </w:pPr>
            <w:r w:rsidRPr="00AC3044">
              <w:rPr>
                <w:rFonts w:eastAsia="SimSun"/>
              </w:rPr>
              <w:t>за 3 приема</w:t>
            </w:r>
          </w:p>
        </w:tc>
      </w:tr>
      <w:tr w:rsidR="00304132" w:rsidRPr="00AC3044" w14:paraId="6303F571" w14:textId="77777777" w:rsidTr="00CD5E09">
        <w:trPr>
          <w:cantSplit/>
          <w:trHeight w:val="839"/>
        </w:trPr>
        <w:tc>
          <w:tcPr>
            <w:tcW w:w="959" w:type="dxa"/>
            <w:vMerge/>
            <w:textDirection w:val="btLr"/>
            <w:vAlign w:val="center"/>
          </w:tcPr>
          <w:p w14:paraId="2FB558EC" w14:textId="77777777" w:rsidR="00304132" w:rsidRPr="00AC3044" w:rsidRDefault="00304132" w:rsidP="00CD5E09">
            <w:pPr>
              <w:rPr>
                <w:rFonts w:eastAsia="SimSun"/>
              </w:rPr>
            </w:pPr>
          </w:p>
        </w:tc>
        <w:tc>
          <w:tcPr>
            <w:tcW w:w="1843" w:type="dxa"/>
            <w:vAlign w:val="center"/>
          </w:tcPr>
          <w:p w14:paraId="5B211C17" w14:textId="77777777" w:rsidR="00304132" w:rsidRPr="00AC3044" w:rsidRDefault="00304132" w:rsidP="00CD5E09">
            <w:pPr>
              <w:rPr>
                <w:rFonts w:eastAsia="SimSun"/>
              </w:rPr>
            </w:pPr>
            <w:r w:rsidRPr="00AC3044">
              <w:rPr>
                <w:rFonts w:eastAsia="SimSun"/>
              </w:rPr>
              <w:t xml:space="preserve">Руксолитиниб </w:t>
            </w:r>
          </w:p>
        </w:tc>
        <w:tc>
          <w:tcPr>
            <w:tcW w:w="1417" w:type="dxa"/>
            <w:vAlign w:val="center"/>
          </w:tcPr>
          <w:p w14:paraId="203F8DB4" w14:textId="77777777" w:rsidR="00304132" w:rsidRPr="00AC3044" w:rsidRDefault="00304132" w:rsidP="00CD5E09">
            <w:pPr>
              <w:rPr>
                <w:rFonts w:eastAsia="SimSun"/>
              </w:rPr>
            </w:pPr>
            <w:r w:rsidRPr="00AC3044">
              <w:rPr>
                <w:rFonts w:eastAsia="SimSun"/>
              </w:rPr>
              <w:t>15 мг</w:t>
            </w:r>
          </w:p>
        </w:tc>
        <w:tc>
          <w:tcPr>
            <w:tcW w:w="1701" w:type="dxa"/>
            <w:vAlign w:val="center"/>
          </w:tcPr>
          <w:p w14:paraId="412BE2B8" w14:textId="77777777" w:rsidR="00304132" w:rsidRPr="00AC3044" w:rsidRDefault="00304132" w:rsidP="00CD5E09">
            <w:pPr>
              <w:rPr>
                <w:rFonts w:eastAsia="SimSun"/>
              </w:rPr>
            </w:pPr>
            <w:r w:rsidRPr="00AC3044">
              <w:rPr>
                <w:rFonts w:eastAsia="SimSun"/>
              </w:rPr>
              <w:t>-</w:t>
            </w:r>
          </w:p>
        </w:tc>
        <w:tc>
          <w:tcPr>
            <w:tcW w:w="1418" w:type="dxa"/>
            <w:vAlign w:val="center"/>
          </w:tcPr>
          <w:p w14:paraId="4BA58CC0" w14:textId="77777777" w:rsidR="00304132" w:rsidRPr="00AC3044" w:rsidRDefault="00304132" w:rsidP="00CD5E09">
            <w:pPr>
              <w:rPr>
                <w:rFonts w:eastAsia="SimSun"/>
              </w:rPr>
            </w:pPr>
            <w:r w:rsidRPr="00AC3044">
              <w:rPr>
                <w:rFonts w:eastAsia="SimSun"/>
              </w:rPr>
              <w:t>С +5 дня по +100 день</w:t>
            </w:r>
          </w:p>
        </w:tc>
        <w:tc>
          <w:tcPr>
            <w:tcW w:w="2268" w:type="dxa"/>
            <w:vAlign w:val="center"/>
          </w:tcPr>
          <w:p w14:paraId="29158EC6" w14:textId="77777777" w:rsidR="00304132" w:rsidRPr="00AC3044" w:rsidRDefault="00304132" w:rsidP="00CD5E09">
            <w:pPr>
              <w:rPr>
                <w:rFonts w:eastAsia="SimSun"/>
              </w:rPr>
            </w:pPr>
            <w:r w:rsidRPr="00AC3044">
              <w:rPr>
                <w:rFonts w:eastAsia="SimSun"/>
              </w:rPr>
              <w:t xml:space="preserve">Внутрь суточную дозу </w:t>
            </w:r>
          </w:p>
          <w:p w14:paraId="3B13006C" w14:textId="77777777" w:rsidR="00304132" w:rsidRPr="00AC3044" w:rsidRDefault="00304132" w:rsidP="00CD5E09">
            <w:pPr>
              <w:rPr>
                <w:rFonts w:eastAsia="SimSun"/>
              </w:rPr>
            </w:pPr>
            <w:r w:rsidRPr="00AC3044">
              <w:rPr>
                <w:rFonts w:eastAsia="SimSun"/>
              </w:rPr>
              <w:t>за 2 приема</w:t>
            </w:r>
          </w:p>
        </w:tc>
      </w:tr>
    </w:tbl>
    <w:p w14:paraId="29EBD176" w14:textId="77777777" w:rsidR="00304132" w:rsidRDefault="00304132" w:rsidP="00304132">
      <w:pPr>
        <w:rPr>
          <w:rFonts w:eastAsia="SimSun"/>
        </w:rPr>
      </w:pPr>
      <w:bookmarkStart w:id="316" w:name="_Toc44401171"/>
    </w:p>
    <w:p w14:paraId="56CF5470" w14:textId="77777777" w:rsidR="00304132" w:rsidRPr="00C07B2E" w:rsidRDefault="00304132" w:rsidP="00304132">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1.2.13  – Flu180+Bu10 / PT-Cy</w:t>
      </w:r>
      <w:bookmarkEnd w:id="316"/>
    </w:p>
    <w:tbl>
      <w:tblPr>
        <w:tblW w:w="95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66"/>
        <w:gridCol w:w="1802"/>
        <w:gridCol w:w="1495"/>
        <w:gridCol w:w="1695"/>
        <w:gridCol w:w="1408"/>
        <w:gridCol w:w="2278"/>
      </w:tblGrid>
      <w:tr w:rsidR="00304132" w:rsidRPr="00AC3044" w14:paraId="2D38B4C5" w14:textId="77777777" w:rsidTr="00CD5E09">
        <w:trPr>
          <w:cantSplit/>
          <w:trHeight w:val="20"/>
          <w:tblHeader/>
        </w:trPr>
        <w:tc>
          <w:tcPr>
            <w:tcW w:w="866" w:type="dxa"/>
            <w:vAlign w:val="center"/>
          </w:tcPr>
          <w:p w14:paraId="6AE72BD8" w14:textId="77777777" w:rsidR="00304132" w:rsidRPr="00470D3D" w:rsidRDefault="00304132" w:rsidP="00CD5E09">
            <w:pPr>
              <w:rPr>
                <w:rFonts w:eastAsia="SimSun"/>
              </w:rPr>
            </w:pPr>
          </w:p>
        </w:tc>
        <w:tc>
          <w:tcPr>
            <w:tcW w:w="1802" w:type="dxa"/>
            <w:vAlign w:val="center"/>
          </w:tcPr>
          <w:p w14:paraId="4189F188" w14:textId="77777777" w:rsidR="00304132" w:rsidRPr="00AC3044" w:rsidRDefault="00304132" w:rsidP="00CD5E09">
            <w:pPr>
              <w:rPr>
                <w:rFonts w:eastAsia="SimSun"/>
              </w:rPr>
            </w:pPr>
            <w:r w:rsidRPr="00AC3044">
              <w:rPr>
                <w:rFonts w:eastAsia="SimSun"/>
              </w:rPr>
              <w:t>Препарат</w:t>
            </w:r>
          </w:p>
        </w:tc>
        <w:tc>
          <w:tcPr>
            <w:tcW w:w="1495" w:type="dxa"/>
            <w:vAlign w:val="center"/>
          </w:tcPr>
          <w:p w14:paraId="6403D62E" w14:textId="77777777" w:rsidR="00304132" w:rsidRPr="00AC3044" w:rsidRDefault="00304132" w:rsidP="00CD5E09">
            <w:pPr>
              <w:rPr>
                <w:rFonts w:eastAsia="SimSun"/>
              </w:rPr>
            </w:pPr>
            <w:r w:rsidRPr="00AC3044">
              <w:rPr>
                <w:rFonts w:eastAsia="SimSun"/>
              </w:rPr>
              <w:t>Суточная доза</w:t>
            </w:r>
          </w:p>
        </w:tc>
        <w:tc>
          <w:tcPr>
            <w:tcW w:w="1695" w:type="dxa"/>
            <w:vAlign w:val="center"/>
          </w:tcPr>
          <w:p w14:paraId="023C9282" w14:textId="77777777" w:rsidR="00304132" w:rsidRPr="00AC3044" w:rsidRDefault="00304132" w:rsidP="00CD5E09">
            <w:pPr>
              <w:rPr>
                <w:rFonts w:eastAsia="SimSun"/>
              </w:rPr>
            </w:pPr>
            <w:r w:rsidRPr="00AC3044">
              <w:rPr>
                <w:rFonts w:eastAsia="SimSun"/>
              </w:rPr>
              <w:t>Курсовая доза</w:t>
            </w:r>
          </w:p>
        </w:tc>
        <w:tc>
          <w:tcPr>
            <w:tcW w:w="1408" w:type="dxa"/>
            <w:vAlign w:val="center"/>
          </w:tcPr>
          <w:p w14:paraId="68CD3900" w14:textId="77777777" w:rsidR="00304132" w:rsidRPr="00AC3044" w:rsidRDefault="00304132" w:rsidP="00CD5E09">
            <w:pPr>
              <w:rPr>
                <w:rFonts w:eastAsia="SimSun"/>
              </w:rPr>
            </w:pPr>
            <w:r w:rsidRPr="00AC3044">
              <w:rPr>
                <w:rFonts w:eastAsia="SimSun"/>
              </w:rPr>
              <w:t>Дни введения</w:t>
            </w:r>
          </w:p>
        </w:tc>
        <w:tc>
          <w:tcPr>
            <w:tcW w:w="2278" w:type="dxa"/>
            <w:vAlign w:val="center"/>
          </w:tcPr>
          <w:p w14:paraId="2410A28D" w14:textId="77777777" w:rsidR="00304132" w:rsidRPr="00AC3044" w:rsidRDefault="00304132" w:rsidP="00CD5E09">
            <w:pPr>
              <w:rPr>
                <w:rFonts w:eastAsia="SimSun"/>
              </w:rPr>
            </w:pPr>
            <w:r w:rsidRPr="00AC3044">
              <w:rPr>
                <w:rFonts w:eastAsia="SimSun"/>
              </w:rPr>
              <w:t>Порядок введения</w:t>
            </w:r>
          </w:p>
        </w:tc>
      </w:tr>
      <w:tr w:rsidR="00304132" w:rsidRPr="00AC3044" w14:paraId="50C9DEB1" w14:textId="77777777" w:rsidTr="00CD5E09">
        <w:trPr>
          <w:cantSplit/>
          <w:trHeight w:val="20"/>
        </w:trPr>
        <w:tc>
          <w:tcPr>
            <w:tcW w:w="866" w:type="dxa"/>
            <w:vMerge w:val="restart"/>
            <w:textDirection w:val="btLr"/>
            <w:vAlign w:val="center"/>
          </w:tcPr>
          <w:p w14:paraId="737BB039" w14:textId="77777777" w:rsidR="00304132" w:rsidRPr="00AC3044" w:rsidRDefault="00304132" w:rsidP="00CD5E09">
            <w:pPr>
              <w:rPr>
                <w:rFonts w:eastAsia="SimSun"/>
              </w:rPr>
            </w:pPr>
            <w:r w:rsidRPr="00AC3044">
              <w:rPr>
                <w:rFonts w:eastAsia="SimSun"/>
              </w:rPr>
              <w:t>Кондиционирование</w:t>
            </w:r>
          </w:p>
        </w:tc>
        <w:tc>
          <w:tcPr>
            <w:tcW w:w="1802" w:type="dxa"/>
            <w:vAlign w:val="center"/>
          </w:tcPr>
          <w:p w14:paraId="6B245F8F" w14:textId="77777777" w:rsidR="00304132" w:rsidRPr="00AC3044" w:rsidRDefault="00304132" w:rsidP="00CD5E09">
            <w:pPr>
              <w:rPr>
                <w:rFonts w:eastAsia="SimSun"/>
              </w:rPr>
            </w:pPr>
            <w:r w:rsidRPr="00AC3044">
              <w:rPr>
                <w:rFonts w:eastAsia="SimSun"/>
              </w:rPr>
              <w:t xml:space="preserve">Флударабин </w:t>
            </w:r>
          </w:p>
        </w:tc>
        <w:tc>
          <w:tcPr>
            <w:tcW w:w="1495" w:type="dxa"/>
            <w:vAlign w:val="center"/>
          </w:tcPr>
          <w:p w14:paraId="6D72DDAB" w14:textId="77777777" w:rsidR="00304132" w:rsidRPr="00AC3044" w:rsidRDefault="00304132" w:rsidP="00CD5E09">
            <w:pPr>
              <w:rPr>
                <w:rFonts w:eastAsia="SimSun"/>
              </w:rPr>
            </w:pPr>
            <w:r w:rsidRPr="00AC3044">
              <w:rPr>
                <w:rFonts w:eastAsia="SimSun"/>
              </w:rPr>
              <w:t>30 мг/м</w:t>
            </w:r>
            <w:r w:rsidRPr="001E6DBE">
              <w:rPr>
                <w:rFonts w:eastAsia="SimSun"/>
                <w:vertAlign w:val="superscript"/>
              </w:rPr>
              <w:t>2</w:t>
            </w:r>
          </w:p>
        </w:tc>
        <w:tc>
          <w:tcPr>
            <w:tcW w:w="1695" w:type="dxa"/>
            <w:vAlign w:val="center"/>
          </w:tcPr>
          <w:p w14:paraId="6AAED88A" w14:textId="77777777" w:rsidR="00304132" w:rsidRPr="00AC3044" w:rsidRDefault="00304132" w:rsidP="00CD5E09">
            <w:pPr>
              <w:rPr>
                <w:rFonts w:eastAsia="SimSun"/>
              </w:rPr>
            </w:pPr>
            <w:r w:rsidRPr="00AC3044">
              <w:rPr>
                <w:rFonts w:eastAsia="SimSun"/>
              </w:rPr>
              <w:t>180 мг/м</w:t>
            </w:r>
            <w:r w:rsidRPr="001E6DBE">
              <w:rPr>
                <w:rFonts w:eastAsia="SimSun"/>
                <w:vertAlign w:val="superscript"/>
              </w:rPr>
              <w:t>2</w:t>
            </w:r>
          </w:p>
        </w:tc>
        <w:tc>
          <w:tcPr>
            <w:tcW w:w="1408" w:type="dxa"/>
            <w:vAlign w:val="center"/>
          </w:tcPr>
          <w:p w14:paraId="50B603DE" w14:textId="77777777" w:rsidR="00304132" w:rsidRPr="00AC3044" w:rsidRDefault="00304132" w:rsidP="00CD5E09">
            <w:pPr>
              <w:rPr>
                <w:rFonts w:eastAsia="SimSun"/>
              </w:rPr>
            </w:pPr>
            <w:r w:rsidRPr="00AC3044">
              <w:rPr>
                <w:rFonts w:eastAsia="SimSun"/>
              </w:rPr>
              <w:t>С -7 дня по -2 день</w:t>
            </w:r>
          </w:p>
        </w:tc>
        <w:tc>
          <w:tcPr>
            <w:tcW w:w="2278" w:type="dxa"/>
            <w:vAlign w:val="center"/>
          </w:tcPr>
          <w:p w14:paraId="71BF3E67" w14:textId="77777777" w:rsidR="00304132" w:rsidRPr="00AC3044" w:rsidRDefault="00304132" w:rsidP="00CD5E09">
            <w:pPr>
              <w:rPr>
                <w:rFonts w:eastAsia="SimSun"/>
              </w:rPr>
            </w:pPr>
            <w:r w:rsidRPr="00AC3044">
              <w:rPr>
                <w:rFonts w:eastAsia="SimSun"/>
              </w:rPr>
              <w:t>В/в, в течение 30 -60 мин</w:t>
            </w:r>
          </w:p>
        </w:tc>
      </w:tr>
      <w:tr w:rsidR="00304132" w:rsidRPr="00AC3044" w14:paraId="5971C256" w14:textId="77777777" w:rsidTr="00CD5E09">
        <w:trPr>
          <w:cantSplit/>
          <w:trHeight w:val="1114"/>
        </w:trPr>
        <w:tc>
          <w:tcPr>
            <w:tcW w:w="866" w:type="dxa"/>
            <w:vMerge/>
            <w:vAlign w:val="center"/>
          </w:tcPr>
          <w:p w14:paraId="6B710E14" w14:textId="77777777" w:rsidR="00304132" w:rsidRPr="00AC3044" w:rsidRDefault="00304132" w:rsidP="00CD5E09">
            <w:pPr>
              <w:rPr>
                <w:rFonts w:eastAsia="SimSun"/>
              </w:rPr>
            </w:pPr>
          </w:p>
        </w:tc>
        <w:tc>
          <w:tcPr>
            <w:tcW w:w="1802" w:type="dxa"/>
            <w:vAlign w:val="center"/>
          </w:tcPr>
          <w:p w14:paraId="6B36170A" w14:textId="77777777" w:rsidR="00304132" w:rsidRPr="00AC3044" w:rsidRDefault="00304132" w:rsidP="00CD5E09">
            <w:pPr>
              <w:rPr>
                <w:rFonts w:eastAsia="SimSun"/>
              </w:rPr>
            </w:pPr>
            <w:r w:rsidRPr="00AC3044">
              <w:rPr>
                <w:rFonts w:eastAsia="SimSun"/>
              </w:rPr>
              <w:t>Бусульфан</w:t>
            </w:r>
          </w:p>
        </w:tc>
        <w:tc>
          <w:tcPr>
            <w:tcW w:w="1495" w:type="dxa"/>
            <w:vAlign w:val="center"/>
          </w:tcPr>
          <w:p w14:paraId="151ECB8D" w14:textId="77777777" w:rsidR="00304132" w:rsidRPr="00AC3044" w:rsidRDefault="00304132" w:rsidP="00CD5E09">
            <w:pPr>
              <w:rPr>
                <w:rFonts w:eastAsia="SimSun"/>
              </w:rPr>
            </w:pPr>
            <w:r w:rsidRPr="00AC3044">
              <w:rPr>
                <w:rFonts w:eastAsia="SimSun"/>
              </w:rPr>
              <w:t xml:space="preserve">4 мг/кг </w:t>
            </w:r>
          </w:p>
        </w:tc>
        <w:tc>
          <w:tcPr>
            <w:tcW w:w="1695" w:type="dxa"/>
            <w:vAlign w:val="center"/>
          </w:tcPr>
          <w:p w14:paraId="5973AFDF" w14:textId="77777777" w:rsidR="00304132" w:rsidRPr="00AC3044" w:rsidRDefault="00304132" w:rsidP="00CD5E09">
            <w:pPr>
              <w:rPr>
                <w:rFonts w:eastAsia="SimSun"/>
              </w:rPr>
            </w:pPr>
            <w:r w:rsidRPr="00AC3044">
              <w:rPr>
                <w:rFonts w:eastAsia="SimSun"/>
              </w:rPr>
              <w:t xml:space="preserve">10 мг/кг </w:t>
            </w:r>
          </w:p>
        </w:tc>
        <w:tc>
          <w:tcPr>
            <w:tcW w:w="1408" w:type="dxa"/>
            <w:vAlign w:val="center"/>
          </w:tcPr>
          <w:p w14:paraId="462EDB13" w14:textId="77777777" w:rsidR="00304132" w:rsidRPr="00AC3044" w:rsidRDefault="00304132" w:rsidP="00CD5E09">
            <w:pPr>
              <w:rPr>
                <w:rFonts w:eastAsia="SimSun"/>
              </w:rPr>
            </w:pPr>
            <w:r w:rsidRPr="00AC3044">
              <w:rPr>
                <w:rFonts w:eastAsia="SimSun"/>
              </w:rPr>
              <w:t>С -5 дня по -3 день</w:t>
            </w:r>
          </w:p>
        </w:tc>
        <w:tc>
          <w:tcPr>
            <w:tcW w:w="2278" w:type="dxa"/>
            <w:vAlign w:val="center"/>
          </w:tcPr>
          <w:p w14:paraId="0E97324F" w14:textId="77777777" w:rsidR="00304132" w:rsidRPr="00AC3044" w:rsidRDefault="00304132" w:rsidP="00CD5E09">
            <w:pPr>
              <w:rPr>
                <w:rFonts w:eastAsia="SimSun"/>
              </w:rPr>
            </w:pPr>
            <w:r w:rsidRPr="00AC3044">
              <w:rPr>
                <w:rFonts w:eastAsia="SimSun"/>
              </w:rPr>
              <w:t>Внутрь, суммарная суточная доза разделяется на 4 приема с интервалом 6 часов. День -6: бусульфан разделяется на 2 приема с интервалом 6 часов, в вечернее время (18.00, 24.00)</w:t>
            </w:r>
          </w:p>
        </w:tc>
      </w:tr>
      <w:tr w:rsidR="00304132" w:rsidRPr="00AC3044" w14:paraId="66BF0515" w14:textId="77777777" w:rsidTr="00CD5E09">
        <w:trPr>
          <w:cantSplit/>
          <w:trHeight w:val="1176"/>
        </w:trPr>
        <w:tc>
          <w:tcPr>
            <w:tcW w:w="866" w:type="dxa"/>
            <w:textDirection w:val="btLr"/>
            <w:vAlign w:val="center"/>
          </w:tcPr>
          <w:p w14:paraId="7C393B93" w14:textId="77777777" w:rsidR="00304132" w:rsidRPr="00AC3044" w:rsidRDefault="00304132" w:rsidP="00CD5E09">
            <w:pPr>
              <w:rPr>
                <w:rFonts w:eastAsia="SimSun"/>
              </w:rPr>
            </w:pPr>
            <w:r w:rsidRPr="00AC3044">
              <w:rPr>
                <w:rFonts w:eastAsia="SimSun"/>
              </w:rPr>
              <w:t>Профилактика РТПХ</w:t>
            </w:r>
          </w:p>
        </w:tc>
        <w:tc>
          <w:tcPr>
            <w:tcW w:w="1802" w:type="dxa"/>
            <w:vAlign w:val="center"/>
          </w:tcPr>
          <w:p w14:paraId="3AAF6A8B" w14:textId="77777777" w:rsidR="00304132" w:rsidRPr="00AC3044" w:rsidRDefault="00304132" w:rsidP="00CD5E09">
            <w:pPr>
              <w:rPr>
                <w:rFonts w:eastAsia="SimSun"/>
              </w:rPr>
            </w:pPr>
            <w:r w:rsidRPr="00AC3044">
              <w:rPr>
                <w:rFonts w:eastAsia="SimSun"/>
              </w:rPr>
              <w:t>Циклофосфамид</w:t>
            </w:r>
          </w:p>
        </w:tc>
        <w:tc>
          <w:tcPr>
            <w:tcW w:w="1495" w:type="dxa"/>
            <w:vAlign w:val="center"/>
          </w:tcPr>
          <w:p w14:paraId="76971EF3" w14:textId="77777777" w:rsidR="00304132" w:rsidRPr="00AC3044" w:rsidRDefault="00304132" w:rsidP="00CD5E09">
            <w:pPr>
              <w:rPr>
                <w:rFonts w:eastAsia="SimSun"/>
              </w:rPr>
            </w:pPr>
            <w:r w:rsidRPr="00AC3044">
              <w:rPr>
                <w:rFonts w:eastAsia="SimSun"/>
              </w:rPr>
              <w:t>50 мг/кг</w:t>
            </w:r>
          </w:p>
        </w:tc>
        <w:tc>
          <w:tcPr>
            <w:tcW w:w="1695" w:type="dxa"/>
            <w:vAlign w:val="center"/>
          </w:tcPr>
          <w:p w14:paraId="1E8B42EC" w14:textId="77777777" w:rsidR="00304132" w:rsidRPr="00AC3044" w:rsidRDefault="00304132" w:rsidP="00CD5E09">
            <w:pPr>
              <w:rPr>
                <w:rFonts w:eastAsia="SimSun"/>
              </w:rPr>
            </w:pPr>
            <w:r w:rsidRPr="00AC3044">
              <w:rPr>
                <w:rFonts w:eastAsia="SimSun"/>
              </w:rPr>
              <w:t>100 мг/кг</w:t>
            </w:r>
          </w:p>
        </w:tc>
        <w:tc>
          <w:tcPr>
            <w:tcW w:w="1408" w:type="dxa"/>
            <w:vAlign w:val="center"/>
          </w:tcPr>
          <w:p w14:paraId="5F9307E9" w14:textId="77777777" w:rsidR="00304132" w:rsidRPr="00AC3044" w:rsidRDefault="00304132" w:rsidP="00CD5E09">
            <w:pPr>
              <w:rPr>
                <w:rFonts w:eastAsia="SimSun"/>
              </w:rPr>
            </w:pPr>
            <w:r w:rsidRPr="00AC3044">
              <w:rPr>
                <w:rFonts w:eastAsia="SimSun"/>
              </w:rPr>
              <w:t>С +3 дня по +4 день</w:t>
            </w:r>
          </w:p>
        </w:tc>
        <w:tc>
          <w:tcPr>
            <w:tcW w:w="2278" w:type="dxa"/>
            <w:vAlign w:val="center"/>
          </w:tcPr>
          <w:p w14:paraId="26A36DFB" w14:textId="77777777" w:rsidR="00304132" w:rsidRPr="00AC3044" w:rsidRDefault="00304132" w:rsidP="00CD5E09">
            <w:pPr>
              <w:rPr>
                <w:rFonts w:eastAsia="SimSun"/>
              </w:rPr>
            </w:pPr>
            <w:r w:rsidRPr="00AC3044">
              <w:rPr>
                <w:rFonts w:eastAsia="SimSun"/>
              </w:rPr>
              <w:t>В/в, в течение 2 часов</w:t>
            </w:r>
          </w:p>
        </w:tc>
      </w:tr>
    </w:tbl>
    <w:p w14:paraId="4932DABC" w14:textId="77777777" w:rsidR="00304132" w:rsidRPr="00C07B2E" w:rsidRDefault="00304132" w:rsidP="00304132">
      <w:pPr>
        <w:rPr>
          <w:rFonts w:eastAsia="SimSun"/>
        </w:rPr>
      </w:pPr>
    </w:p>
    <w:p w14:paraId="3EFE2B8C" w14:textId="77777777" w:rsidR="00304132" w:rsidRPr="00C07B2E" w:rsidRDefault="00304132" w:rsidP="00304132">
      <w:pPr>
        <w:rPr>
          <w:rFonts w:eastAsia="SimSun"/>
        </w:rPr>
      </w:pPr>
      <w:bookmarkStart w:id="317" w:name="_Toc44401172"/>
      <w:r w:rsidRPr="00042499">
        <w:rPr>
          <w:rFonts w:eastAsia="SimSun"/>
        </w:rPr>
        <w:t>Таблица</w:t>
      </w:r>
      <w:r w:rsidRPr="00C07B2E">
        <w:rPr>
          <w:rFonts w:eastAsia="SimSun"/>
        </w:rPr>
        <w:t xml:space="preserve"> </w:t>
      </w:r>
      <w:r>
        <w:rPr>
          <w:rFonts w:eastAsia="SimSun"/>
        </w:rPr>
        <w:t>5.</w:t>
      </w:r>
      <w:r w:rsidRPr="00C07B2E">
        <w:rPr>
          <w:rFonts w:eastAsia="SimSun"/>
        </w:rPr>
        <w:t>1.2.14  – Flu180+Bu10 / PT-Cy+Tx+MMF30</w:t>
      </w:r>
      <w:bookmarkEnd w:id="317"/>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9"/>
        <w:gridCol w:w="1701"/>
        <w:gridCol w:w="1559"/>
        <w:gridCol w:w="1701"/>
        <w:gridCol w:w="1418"/>
        <w:gridCol w:w="2268"/>
      </w:tblGrid>
      <w:tr w:rsidR="00304132" w:rsidRPr="00AC3044" w14:paraId="509A8416" w14:textId="77777777" w:rsidTr="00CD5E09">
        <w:trPr>
          <w:cantSplit/>
          <w:trHeight w:val="20"/>
          <w:tblHeader/>
        </w:trPr>
        <w:tc>
          <w:tcPr>
            <w:tcW w:w="959" w:type="dxa"/>
            <w:vAlign w:val="center"/>
          </w:tcPr>
          <w:p w14:paraId="37D97E1D" w14:textId="77777777" w:rsidR="00304132" w:rsidRPr="00470D3D" w:rsidRDefault="00304132" w:rsidP="00CD5E09">
            <w:pPr>
              <w:rPr>
                <w:rFonts w:eastAsia="SimSun"/>
              </w:rPr>
            </w:pPr>
          </w:p>
        </w:tc>
        <w:tc>
          <w:tcPr>
            <w:tcW w:w="1701" w:type="dxa"/>
            <w:vAlign w:val="center"/>
          </w:tcPr>
          <w:p w14:paraId="2DC7F9B9" w14:textId="77777777" w:rsidR="00304132" w:rsidRPr="00AC3044" w:rsidRDefault="00304132" w:rsidP="00CD5E09">
            <w:pPr>
              <w:rPr>
                <w:rFonts w:eastAsia="SimSun"/>
              </w:rPr>
            </w:pPr>
            <w:r w:rsidRPr="00AC3044">
              <w:rPr>
                <w:rFonts w:eastAsia="SimSun"/>
              </w:rPr>
              <w:t>Препарат</w:t>
            </w:r>
          </w:p>
        </w:tc>
        <w:tc>
          <w:tcPr>
            <w:tcW w:w="1559" w:type="dxa"/>
            <w:vAlign w:val="center"/>
          </w:tcPr>
          <w:p w14:paraId="6BC40A37" w14:textId="77777777" w:rsidR="00304132" w:rsidRPr="00AC3044" w:rsidRDefault="00304132" w:rsidP="00CD5E09">
            <w:pPr>
              <w:rPr>
                <w:rFonts w:eastAsia="SimSun"/>
              </w:rPr>
            </w:pPr>
            <w:r w:rsidRPr="00AC3044">
              <w:rPr>
                <w:rFonts w:eastAsia="SimSun"/>
              </w:rPr>
              <w:t>Суточная доза</w:t>
            </w:r>
          </w:p>
        </w:tc>
        <w:tc>
          <w:tcPr>
            <w:tcW w:w="1701" w:type="dxa"/>
            <w:vAlign w:val="center"/>
          </w:tcPr>
          <w:p w14:paraId="5AC8E248" w14:textId="77777777" w:rsidR="00304132" w:rsidRPr="00AC3044" w:rsidRDefault="00304132" w:rsidP="00CD5E09">
            <w:pPr>
              <w:rPr>
                <w:rFonts w:eastAsia="SimSun"/>
              </w:rPr>
            </w:pPr>
            <w:r w:rsidRPr="00AC3044">
              <w:rPr>
                <w:rFonts w:eastAsia="SimSun"/>
              </w:rPr>
              <w:t>Курсовая доза</w:t>
            </w:r>
          </w:p>
        </w:tc>
        <w:tc>
          <w:tcPr>
            <w:tcW w:w="1418" w:type="dxa"/>
            <w:vAlign w:val="center"/>
          </w:tcPr>
          <w:p w14:paraId="679DB933" w14:textId="77777777" w:rsidR="00304132" w:rsidRPr="00AC3044" w:rsidRDefault="00304132" w:rsidP="00CD5E09">
            <w:pPr>
              <w:rPr>
                <w:rFonts w:eastAsia="SimSun"/>
              </w:rPr>
            </w:pPr>
            <w:r w:rsidRPr="00AC3044">
              <w:rPr>
                <w:rFonts w:eastAsia="SimSun"/>
              </w:rPr>
              <w:t>Дни введения</w:t>
            </w:r>
          </w:p>
        </w:tc>
        <w:tc>
          <w:tcPr>
            <w:tcW w:w="2268" w:type="dxa"/>
            <w:vAlign w:val="center"/>
          </w:tcPr>
          <w:p w14:paraId="28D6B996" w14:textId="77777777" w:rsidR="00304132" w:rsidRPr="00AC3044" w:rsidRDefault="00304132" w:rsidP="00CD5E09">
            <w:pPr>
              <w:rPr>
                <w:rFonts w:eastAsia="SimSun"/>
              </w:rPr>
            </w:pPr>
            <w:r w:rsidRPr="00AC3044">
              <w:rPr>
                <w:rFonts w:eastAsia="SimSun"/>
              </w:rPr>
              <w:t>Порядок введения</w:t>
            </w:r>
          </w:p>
        </w:tc>
      </w:tr>
      <w:tr w:rsidR="00304132" w:rsidRPr="00AC3044" w14:paraId="683563C2" w14:textId="77777777" w:rsidTr="00CD5E09">
        <w:trPr>
          <w:cantSplit/>
          <w:trHeight w:val="20"/>
        </w:trPr>
        <w:tc>
          <w:tcPr>
            <w:tcW w:w="959" w:type="dxa"/>
            <w:vMerge w:val="restart"/>
            <w:textDirection w:val="btLr"/>
            <w:vAlign w:val="center"/>
          </w:tcPr>
          <w:p w14:paraId="52CA1C9A" w14:textId="77777777" w:rsidR="00304132" w:rsidRPr="00AC3044" w:rsidRDefault="00304132" w:rsidP="00CD5E09">
            <w:pPr>
              <w:rPr>
                <w:rFonts w:eastAsia="SimSun"/>
              </w:rPr>
            </w:pPr>
            <w:r w:rsidRPr="00AC3044">
              <w:rPr>
                <w:rFonts w:eastAsia="SimSun"/>
              </w:rPr>
              <w:t>Кондиционирование</w:t>
            </w:r>
          </w:p>
        </w:tc>
        <w:tc>
          <w:tcPr>
            <w:tcW w:w="1701" w:type="dxa"/>
            <w:vAlign w:val="center"/>
          </w:tcPr>
          <w:p w14:paraId="2EB82D44" w14:textId="77777777" w:rsidR="00304132" w:rsidRPr="00AC3044" w:rsidRDefault="00304132" w:rsidP="00CD5E09">
            <w:pPr>
              <w:rPr>
                <w:rFonts w:eastAsia="SimSun"/>
              </w:rPr>
            </w:pPr>
            <w:r w:rsidRPr="00AC3044">
              <w:rPr>
                <w:rFonts w:eastAsia="SimSun"/>
              </w:rPr>
              <w:t xml:space="preserve">Флударабин </w:t>
            </w:r>
          </w:p>
        </w:tc>
        <w:tc>
          <w:tcPr>
            <w:tcW w:w="1559" w:type="dxa"/>
            <w:vAlign w:val="center"/>
          </w:tcPr>
          <w:p w14:paraId="6AAD6410" w14:textId="77777777" w:rsidR="00304132" w:rsidRPr="00AC3044" w:rsidRDefault="00304132" w:rsidP="00CD5E09">
            <w:pPr>
              <w:rPr>
                <w:rFonts w:eastAsia="SimSun"/>
              </w:rPr>
            </w:pPr>
            <w:r w:rsidRPr="00AC3044">
              <w:rPr>
                <w:rFonts w:eastAsia="SimSun"/>
              </w:rPr>
              <w:t>30 мг/м</w:t>
            </w:r>
            <w:r w:rsidRPr="001E6DBE">
              <w:rPr>
                <w:rFonts w:eastAsia="SimSun"/>
                <w:vertAlign w:val="superscript"/>
              </w:rPr>
              <w:t>2</w:t>
            </w:r>
          </w:p>
        </w:tc>
        <w:tc>
          <w:tcPr>
            <w:tcW w:w="1701" w:type="dxa"/>
            <w:vAlign w:val="center"/>
          </w:tcPr>
          <w:p w14:paraId="18E4BC44" w14:textId="77777777" w:rsidR="00304132" w:rsidRPr="00AC3044" w:rsidRDefault="00304132" w:rsidP="00CD5E09">
            <w:pPr>
              <w:rPr>
                <w:rFonts w:eastAsia="SimSun"/>
              </w:rPr>
            </w:pPr>
            <w:r w:rsidRPr="00AC3044">
              <w:rPr>
                <w:rFonts w:eastAsia="SimSun"/>
              </w:rPr>
              <w:t>180 мг/м</w:t>
            </w:r>
            <w:r w:rsidRPr="001E6DBE">
              <w:rPr>
                <w:rFonts w:eastAsia="SimSun"/>
                <w:vertAlign w:val="superscript"/>
              </w:rPr>
              <w:t>2</w:t>
            </w:r>
          </w:p>
        </w:tc>
        <w:tc>
          <w:tcPr>
            <w:tcW w:w="1418" w:type="dxa"/>
            <w:vAlign w:val="center"/>
          </w:tcPr>
          <w:p w14:paraId="1A17393F" w14:textId="77777777" w:rsidR="00304132" w:rsidRPr="00AC3044" w:rsidRDefault="00304132" w:rsidP="00CD5E09">
            <w:pPr>
              <w:rPr>
                <w:rFonts w:eastAsia="SimSun"/>
              </w:rPr>
            </w:pPr>
            <w:r w:rsidRPr="00AC3044">
              <w:rPr>
                <w:rFonts w:eastAsia="SimSun"/>
              </w:rPr>
              <w:t>С -7 дня по -2 день</w:t>
            </w:r>
          </w:p>
        </w:tc>
        <w:tc>
          <w:tcPr>
            <w:tcW w:w="2268" w:type="dxa"/>
            <w:vAlign w:val="center"/>
          </w:tcPr>
          <w:p w14:paraId="07FBF6BD" w14:textId="77777777" w:rsidR="00304132" w:rsidRPr="00AC3044" w:rsidRDefault="00304132" w:rsidP="00CD5E09">
            <w:pPr>
              <w:rPr>
                <w:rFonts w:eastAsia="SimSun"/>
              </w:rPr>
            </w:pPr>
            <w:r w:rsidRPr="00AC3044">
              <w:rPr>
                <w:rFonts w:eastAsia="SimSun"/>
              </w:rPr>
              <w:t>В/в, в течение 30 -60 мин</w:t>
            </w:r>
          </w:p>
        </w:tc>
      </w:tr>
      <w:tr w:rsidR="00304132" w:rsidRPr="00AC3044" w14:paraId="156CB089" w14:textId="77777777" w:rsidTr="00CD5E09">
        <w:trPr>
          <w:cantSplit/>
          <w:trHeight w:val="1207"/>
        </w:trPr>
        <w:tc>
          <w:tcPr>
            <w:tcW w:w="959" w:type="dxa"/>
            <w:vMerge/>
            <w:vAlign w:val="center"/>
          </w:tcPr>
          <w:p w14:paraId="63410508" w14:textId="77777777" w:rsidR="00304132" w:rsidRPr="00AC3044" w:rsidRDefault="00304132" w:rsidP="00CD5E09">
            <w:pPr>
              <w:rPr>
                <w:rFonts w:eastAsia="SimSun"/>
              </w:rPr>
            </w:pPr>
          </w:p>
        </w:tc>
        <w:tc>
          <w:tcPr>
            <w:tcW w:w="1701" w:type="dxa"/>
            <w:vAlign w:val="center"/>
          </w:tcPr>
          <w:p w14:paraId="506AF1E6" w14:textId="77777777" w:rsidR="00304132" w:rsidRPr="00AC3044" w:rsidRDefault="00304132" w:rsidP="00CD5E09">
            <w:pPr>
              <w:rPr>
                <w:rFonts w:eastAsia="SimSun"/>
              </w:rPr>
            </w:pPr>
            <w:r w:rsidRPr="00AC3044">
              <w:rPr>
                <w:rFonts w:eastAsia="SimSun"/>
              </w:rPr>
              <w:t>Бусульфан</w:t>
            </w:r>
          </w:p>
        </w:tc>
        <w:tc>
          <w:tcPr>
            <w:tcW w:w="1559" w:type="dxa"/>
            <w:vAlign w:val="center"/>
          </w:tcPr>
          <w:p w14:paraId="31CEF745" w14:textId="77777777" w:rsidR="00304132" w:rsidRPr="00AC3044" w:rsidRDefault="00304132" w:rsidP="00CD5E09">
            <w:pPr>
              <w:rPr>
                <w:rFonts w:eastAsia="SimSun"/>
              </w:rPr>
            </w:pPr>
            <w:r w:rsidRPr="00AC3044">
              <w:rPr>
                <w:rFonts w:eastAsia="SimSun"/>
              </w:rPr>
              <w:t xml:space="preserve">4 мг/кг </w:t>
            </w:r>
          </w:p>
        </w:tc>
        <w:tc>
          <w:tcPr>
            <w:tcW w:w="1701" w:type="dxa"/>
            <w:vAlign w:val="center"/>
          </w:tcPr>
          <w:p w14:paraId="6BF0EF6D" w14:textId="77777777" w:rsidR="00304132" w:rsidRPr="00AC3044" w:rsidRDefault="00304132" w:rsidP="00CD5E09">
            <w:pPr>
              <w:rPr>
                <w:rFonts w:eastAsia="SimSun"/>
              </w:rPr>
            </w:pPr>
            <w:r w:rsidRPr="00AC3044">
              <w:rPr>
                <w:rFonts w:eastAsia="SimSun"/>
              </w:rPr>
              <w:t xml:space="preserve">10 мг/кг </w:t>
            </w:r>
          </w:p>
        </w:tc>
        <w:tc>
          <w:tcPr>
            <w:tcW w:w="1418" w:type="dxa"/>
            <w:vAlign w:val="center"/>
          </w:tcPr>
          <w:p w14:paraId="151E0EE1" w14:textId="77777777" w:rsidR="00304132" w:rsidRPr="00AC3044" w:rsidRDefault="00304132" w:rsidP="00CD5E09">
            <w:pPr>
              <w:rPr>
                <w:rFonts w:eastAsia="SimSun"/>
              </w:rPr>
            </w:pPr>
            <w:r w:rsidRPr="00AC3044">
              <w:rPr>
                <w:rFonts w:eastAsia="SimSun"/>
              </w:rPr>
              <w:t>С -5 дня по -3 день</w:t>
            </w:r>
          </w:p>
        </w:tc>
        <w:tc>
          <w:tcPr>
            <w:tcW w:w="2268" w:type="dxa"/>
            <w:vAlign w:val="center"/>
          </w:tcPr>
          <w:p w14:paraId="3D2D7EF7" w14:textId="77777777" w:rsidR="00304132" w:rsidRPr="00AC3044" w:rsidRDefault="00304132" w:rsidP="00CD5E09">
            <w:pPr>
              <w:rPr>
                <w:rFonts w:eastAsia="SimSun"/>
              </w:rPr>
            </w:pPr>
            <w:r w:rsidRPr="00AC3044">
              <w:rPr>
                <w:rFonts w:eastAsia="SimSun"/>
              </w:rPr>
              <w:t>Внутрь, суммарная суточная доза разделяется на 4 приема с интервалом 6 часов. День -6: бусульфан разделяется на 2 приема с интервалом 6 часов, в вечернее время (18.00, 24.00)</w:t>
            </w:r>
          </w:p>
        </w:tc>
      </w:tr>
      <w:tr w:rsidR="00304132" w:rsidRPr="00AC3044" w14:paraId="06EB8215" w14:textId="77777777" w:rsidTr="00CD5E09">
        <w:trPr>
          <w:cantSplit/>
          <w:trHeight w:val="1498"/>
        </w:trPr>
        <w:tc>
          <w:tcPr>
            <w:tcW w:w="959" w:type="dxa"/>
            <w:vMerge w:val="restart"/>
            <w:textDirection w:val="btLr"/>
            <w:vAlign w:val="center"/>
          </w:tcPr>
          <w:p w14:paraId="05BD3357" w14:textId="77777777" w:rsidR="00304132" w:rsidRPr="00AC3044" w:rsidRDefault="00304132" w:rsidP="00CD5E09">
            <w:pPr>
              <w:rPr>
                <w:rFonts w:eastAsia="SimSun"/>
              </w:rPr>
            </w:pPr>
            <w:r w:rsidRPr="00AC3044">
              <w:rPr>
                <w:rFonts w:eastAsia="SimSun"/>
              </w:rPr>
              <w:lastRenderedPageBreak/>
              <w:t>Профилактика РТПХ</w:t>
            </w:r>
          </w:p>
        </w:tc>
        <w:tc>
          <w:tcPr>
            <w:tcW w:w="1701" w:type="dxa"/>
            <w:vAlign w:val="center"/>
          </w:tcPr>
          <w:p w14:paraId="46675397" w14:textId="77777777" w:rsidR="00304132" w:rsidRPr="00AC3044" w:rsidRDefault="00304132" w:rsidP="00CD5E09">
            <w:pPr>
              <w:rPr>
                <w:rFonts w:eastAsia="SimSun"/>
              </w:rPr>
            </w:pPr>
            <w:r w:rsidRPr="00AC3044">
              <w:rPr>
                <w:rFonts w:eastAsia="SimSun"/>
              </w:rPr>
              <w:t>Циклофосфамид</w:t>
            </w:r>
          </w:p>
        </w:tc>
        <w:tc>
          <w:tcPr>
            <w:tcW w:w="1559" w:type="dxa"/>
            <w:vAlign w:val="center"/>
          </w:tcPr>
          <w:p w14:paraId="04FEB089" w14:textId="77777777" w:rsidR="00304132" w:rsidRPr="00AC3044" w:rsidRDefault="00304132" w:rsidP="00CD5E09">
            <w:pPr>
              <w:rPr>
                <w:rFonts w:eastAsia="SimSun"/>
              </w:rPr>
            </w:pPr>
            <w:r w:rsidRPr="00AC3044">
              <w:rPr>
                <w:rFonts w:eastAsia="SimSun"/>
              </w:rPr>
              <w:t>50 мг/кг</w:t>
            </w:r>
          </w:p>
        </w:tc>
        <w:tc>
          <w:tcPr>
            <w:tcW w:w="1701" w:type="dxa"/>
            <w:vAlign w:val="center"/>
          </w:tcPr>
          <w:p w14:paraId="39C721BB" w14:textId="77777777" w:rsidR="00304132" w:rsidRPr="00AC3044" w:rsidRDefault="00304132" w:rsidP="00CD5E09">
            <w:pPr>
              <w:rPr>
                <w:rFonts w:eastAsia="SimSun"/>
              </w:rPr>
            </w:pPr>
            <w:r w:rsidRPr="00AC3044">
              <w:rPr>
                <w:rFonts w:eastAsia="SimSun"/>
              </w:rPr>
              <w:t>100 мг/кг</w:t>
            </w:r>
          </w:p>
        </w:tc>
        <w:tc>
          <w:tcPr>
            <w:tcW w:w="1418" w:type="dxa"/>
            <w:vAlign w:val="center"/>
          </w:tcPr>
          <w:p w14:paraId="2765D1FC" w14:textId="77777777" w:rsidR="00304132" w:rsidRPr="00AC3044" w:rsidRDefault="00304132" w:rsidP="00CD5E09">
            <w:pPr>
              <w:rPr>
                <w:rFonts w:eastAsia="SimSun"/>
              </w:rPr>
            </w:pPr>
            <w:r w:rsidRPr="00AC3044">
              <w:rPr>
                <w:rFonts w:eastAsia="SimSun"/>
              </w:rPr>
              <w:t>С +3 дня по +4 день</w:t>
            </w:r>
          </w:p>
        </w:tc>
        <w:tc>
          <w:tcPr>
            <w:tcW w:w="2268" w:type="dxa"/>
            <w:vAlign w:val="center"/>
          </w:tcPr>
          <w:p w14:paraId="08357C3A" w14:textId="77777777" w:rsidR="00304132" w:rsidRPr="00AC3044" w:rsidRDefault="00304132" w:rsidP="00CD5E09">
            <w:pPr>
              <w:rPr>
                <w:rFonts w:eastAsia="SimSun"/>
              </w:rPr>
            </w:pPr>
            <w:r w:rsidRPr="00AC3044">
              <w:rPr>
                <w:rFonts w:eastAsia="SimSun"/>
              </w:rPr>
              <w:t>В/в, в течение 2 часов</w:t>
            </w:r>
          </w:p>
        </w:tc>
      </w:tr>
      <w:tr w:rsidR="00304132" w:rsidRPr="00AC3044" w14:paraId="614FACE5" w14:textId="77777777" w:rsidTr="00CD5E09">
        <w:trPr>
          <w:cantSplit/>
          <w:trHeight w:val="958"/>
        </w:trPr>
        <w:tc>
          <w:tcPr>
            <w:tcW w:w="959" w:type="dxa"/>
            <w:vMerge/>
            <w:textDirection w:val="btLr"/>
            <w:vAlign w:val="center"/>
          </w:tcPr>
          <w:p w14:paraId="13EA1E46" w14:textId="77777777" w:rsidR="00304132" w:rsidRPr="00AC3044" w:rsidRDefault="00304132" w:rsidP="00CD5E09">
            <w:pPr>
              <w:rPr>
                <w:rFonts w:eastAsia="SimSun"/>
              </w:rPr>
            </w:pPr>
          </w:p>
        </w:tc>
        <w:tc>
          <w:tcPr>
            <w:tcW w:w="1701" w:type="dxa"/>
            <w:vAlign w:val="center"/>
          </w:tcPr>
          <w:p w14:paraId="17981137" w14:textId="77777777" w:rsidR="00304132" w:rsidRPr="00AC3044" w:rsidRDefault="00304132" w:rsidP="00CD5E09">
            <w:pPr>
              <w:rPr>
                <w:rFonts w:eastAsia="SimSun"/>
              </w:rPr>
            </w:pPr>
            <w:r w:rsidRPr="00AC3044">
              <w:rPr>
                <w:rFonts w:eastAsia="SimSun"/>
              </w:rPr>
              <w:t xml:space="preserve">Такролимус </w:t>
            </w:r>
          </w:p>
        </w:tc>
        <w:tc>
          <w:tcPr>
            <w:tcW w:w="1559" w:type="dxa"/>
            <w:vAlign w:val="center"/>
          </w:tcPr>
          <w:p w14:paraId="3FD91DC8" w14:textId="77777777" w:rsidR="00304132" w:rsidRPr="00AC3044" w:rsidRDefault="00304132" w:rsidP="00CD5E09">
            <w:pPr>
              <w:rPr>
                <w:rFonts w:eastAsia="SimSun"/>
              </w:rPr>
            </w:pPr>
            <w:r w:rsidRPr="00AC3044">
              <w:rPr>
                <w:rFonts w:eastAsia="SimSun"/>
              </w:rPr>
              <w:t>0,03 мг/кг</w:t>
            </w:r>
          </w:p>
        </w:tc>
        <w:tc>
          <w:tcPr>
            <w:tcW w:w="1701" w:type="dxa"/>
            <w:vAlign w:val="center"/>
          </w:tcPr>
          <w:p w14:paraId="07586158" w14:textId="77777777" w:rsidR="00304132" w:rsidRPr="00AC3044" w:rsidRDefault="00304132" w:rsidP="00CD5E09">
            <w:pPr>
              <w:rPr>
                <w:rFonts w:eastAsia="SimSun"/>
              </w:rPr>
            </w:pPr>
            <w:r w:rsidRPr="00AC3044">
              <w:rPr>
                <w:rFonts w:eastAsia="SimSun"/>
              </w:rPr>
              <w:t>–</w:t>
            </w:r>
          </w:p>
        </w:tc>
        <w:tc>
          <w:tcPr>
            <w:tcW w:w="1418" w:type="dxa"/>
            <w:vAlign w:val="center"/>
          </w:tcPr>
          <w:p w14:paraId="649B1EB8" w14:textId="77777777" w:rsidR="00304132" w:rsidRPr="00AC3044" w:rsidRDefault="00304132" w:rsidP="00CD5E09">
            <w:pPr>
              <w:rPr>
                <w:rFonts w:eastAsia="SimSun"/>
              </w:rPr>
            </w:pPr>
            <w:r w:rsidRPr="00AC3044">
              <w:rPr>
                <w:rFonts w:eastAsia="SimSun"/>
              </w:rPr>
              <w:t xml:space="preserve">С +5 дня длительно </w:t>
            </w:r>
          </w:p>
        </w:tc>
        <w:tc>
          <w:tcPr>
            <w:tcW w:w="2268" w:type="dxa"/>
            <w:vAlign w:val="center"/>
          </w:tcPr>
          <w:p w14:paraId="2DF66A10" w14:textId="77777777" w:rsidR="00304132" w:rsidRPr="00AC3044" w:rsidRDefault="00304132" w:rsidP="00CD5E09">
            <w:pPr>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w:t>
            </w:r>
            <w:r w:rsidRPr="00AC3044">
              <w:rPr>
                <w:rFonts w:eastAsia="SimSun"/>
              </w:rPr>
              <w:t xml:space="preserve"> 10</w:t>
            </w:r>
            <w:r w:rsidRPr="001E6DBE">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304132" w:rsidRPr="00AC3044" w14:paraId="29545130" w14:textId="77777777" w:rsidTr="00CD5E09">
        <w:trPr>
          <w:cantSplit/>
          <w:trHeight w:val="986"/>
        </w:trPr>
        <w:tc>
          <w:tcPr>
            <w:tcW w:w="959" w:type="dxa"/>
            <w:vMerge/>
            <w:textDirection w:val="btLr"/>
            <w:vAlign w:val="center"/>
          </w:tcPr>
          <w:p w14:paraId="48A8B92A" w14:textId="77777777" w:rsidR="00304132" w:rsidRPr="00AC3044" w:rsidRDefault="00304132" w:rsidP="00CD5E09">
            <w:pPr>
              <w:rPr>
                <w:rFonts w:eastAsia="SimSun"/>
              </w:rPr>
            </w:pPr>
          </w:p>
        </w:tc>
        <w:tc>
          <w:tcPr>
            <w:tcW w:w="1701" w:type="dxa"/>
            <w:vAlign w:val="center"/>
          </w:tcPr>
          <w:p w14:paraId="0BD45049" w14:textId="77777777" w:rsidR="00304132" w:rsidRPr="00AC3044" w:rsidRDefault="00304132" w:rsidP="00CD5E09">
            <w:pPr>
              <w:rPr>
                <w:rFonts w:eastAsia="SimSun"/>
              </w:rPr>
            </w:pPr>
            <w:r w:rsidRPr="00AC3044">
              <w:rPr>
                <w:rFonts w:eastAsia="SimSun"/>
              </w:rPr>
              <w:t>Микофенолата мофетил</w:t>
            </w:r>
          </w:p>
        </w:tc>
        <w:tc>
          <w:tcPr>
            <w:tcW w:w="1559" w:type="dxa"/>
            <w:vAlign w:val="center"/>
          </w:tcPr>
          <w:p w14:paraId="6B18B3B1" w14:textId="77777777" w:rsidR="00304132" w:rsidRPr="00AC3044" w:rsidRDefault="00304132" w:rsidP="00CD5E09">
            <w:pPr>
              <w:rPr>
                <w:rFonts w:eastAsia="SimSun"/>
              </w:rPr>
            </w:pPr>
            <w:r w:rsidRPr="00AC3044">
              <w:rPr>
                <w:rFonts w:eastAsia="SimSun"/>
              </w:rPr>
              <w:t xml:space="preserve">30 мг/кг </w:t>
            </w:r>
          </w:p>
        </w:tc>
        <w:tc>
          <w:tcPr>
            <w:tcW w:w="1701" w:type="dxa"/>
            <w:vAlign w:val="center"/>
          </w:tcPr>
          <w:p w14:paraId="2DB28FD4" w14:textId="77777777" w:rsidR="00304132" w:rsidRPr="00AC3044" w:rsidRDefault="00304132" w:rsidP="00CD5E09">
            <w:pPr>
              <w:rPr>
                <w:rFonts w:eastAsia="SimSun"/>
              </w:rPr>
            </w:pPr>
            <w:r w:rsidRPr="00AC3044">
              <w:rPr>
                <w:rFonts w:eastAsia="SimSun"/>
              </w:rPr>
              <w:t>–</w:t>
            </w:r>
          </w:p>
        </w:tc>
        <w:tc>
          <w:tcPr>
            <w:tcW w:w="1418" w:type="dxa"/>
            <w:vAlign w:val="center"/>
          </w:tcPr>
          <w:p w14:paraId="36447BAD" w14:textId="77777777" w:rsidR="00304132" w:rsidRPr="00AC3044" w:rsidRDefault="00304132" w:rsidP="00CD5E09">
            <w:pPr>
              <w:rPr>
                <w:rFonts w:eastAsia="SimSun"/>
              </w:rPr>
            </w:pPr>
            <w:r w:rsidRPr="00AC3044">
              <w:rPr>
                <w:rFonts w:eastAsia="SimSun"/>
              </w:rPr>
              <w:t xml:space="preserve">С +5 дня по +35 день </w:t>
            </w:r>
          </w:p>
        </w:tc>
        <w:tc>
          <w:tcPr>
            <w:tcW w:w="2268" w:type="dxa"/>
            <w:vAlign w:val="center"/>
          </w:tcPr>
          <w:p w14:paraId="7C497682" w14:textId="77777777" w:rsidR="00304132" w:rsidRPr="00AC3044" w:rsidRDefault="00304132" w:rsidP="00CD5E09">
            <w:pPr>
              <w:rPr>
                <w:rFonts w:eastAsia="SimSun"/>
              </w:rPr>
            </w:pPr>
            <w:r w:rsidRPr="00AC3044">
              <w:rPr>
                <w:rFonts w:eastAsia="SimSun"/>
              </w:rPr>
              <w:t>Внутрь, суммарная суточная доза разделяется на 2- 4 приема.</w:t>
            </w:r>
          </w:p>
        </w:tc>
      </w:tr>
    </w:tbl>
    <w:p w14:paraId="22BB70F0" w14:textId="77777777" w:rsidR="00304132" w:rsidRPr="00C07B2E" w:rsidRDefault="00304132" w:rsidP="00304132">
      <w:pPr>
        <w:rPr>
          <w:rFonts w:eastAsia="SimSun"/>
        </w:rPr>
      </w:pPr>
    </w:p>
    <w:p w14:paraId="0BE85A24" w14:textId="77777777" w:rsidR="00304132" w:rsidRPr="00C07B2E" w:rsidRDefault="00304132" w:rsidP="00304132">
      <w:pPr>
        <w:rPr>
          <w:rFonts w:eastAsia="SimSun"/>
        </w:rPr>
      </w:pPr>
      <w:bookmarkStart w:id="318" w:name="_Toc44401173"/>
      <w:r w:rsidRPr="00042499">
        <w:rPr>
          <w:rFonts w:eastAsia="SimSun"/>
        </w:rPr>
        <w:t>Таблица</w:t>
      </w:r>
      <w:r w:rsidRPr="00C07B2E">
        <w:rPr>
          <w:rFonts w:eastAsia="SimSun"/>
        </w:rPr>
        <w:t xml:space="preserve"> </w:t>
      </w:r>
      <w:r>
        <w:rPr>
          <w:rFonts w:eastAsia="SimSun"/>
        </w:rPr>
        <w:t>5.</w:t>
      </w:r>
      <w:r w:rsidRPr="00C07B2E">
        <w:rPr>
          <w:rFonts w:eastAsia="SimSun"/>
        </w:rPr>
        <w:t>1.2.15  – Flu180+Bu10 / PT-Cy+Ruxo</w:t>
      </w:r>
      <w:bookmarkEnd w:id="318"/>
      <w:r w:rsidRPr="00C07B2E">
        <w:rPr>
          <w:rFonts w:eastAsia="SimSun"/>
        </w:rPr>
        <w:t xml:space="preserve"> </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667"/>
        <w:gridCol w:w="1559"/>
        <w:gridCol w:w="1701"/>
        <w:gridCol w:w="1418"/>
        <w:gridCol w:w="2268"/>
      </w:tblGrid>
      <w:tr w:rsidR="00304132" w:rsidRPr="00AC3044" w14:paraId="16CE07A1" w14:textId="77777777" w:rsidTr="00CD5E09">
        <w:trPr>
          <w:cantSplit/>
          <w:trHeight w:val="20"/>
          <w:tblHeader/>
        </w:trPr>
        <w:tc>
          <w:tcPr>
            <w:tcW w:w="993" w:type="dxa"/>
            <w:vAlign w:val="center"/>
          </w:tcPr>
          <w:p w14:paraId="6BD6DE55" w14:textId="77777777" w:rsidR="00304132" w:rsidRPr="00470D3D" w:rsidRDefault="00304132" w:rsidP="00CD5E09">
            <w:pPr>
              <w:rPr>
                <w:rFonts w:eastAsia="SimSun"/>
              </w:rPr>
            </w:pPr>
          </w:p>
        </w:tc>
        <w:tc>
          <w:tcPr>
            <w:tcW w:w="1667" w:type="dxa"/>
            <w:vAlign w:val="center"/>
          </w:tcPr>
          <w:p w14:paraId="2D1C591E" w14:textId="77777777" w:rsidR="00304132" w:rsidRPr="00AC3044" w:rsidRDefault="00304132" w:rsidP="00CD5E09">
            <w:pPr>
              <w:rPr>
                <w:rFonts w:eastAsia="SimSun"/>
              </w:rPr>
            </w:pPr>
            <w:r w:rsidRPr="00AC3044">
              <w:rPr>
                <w:rFonts w:eastAsia="SimSun"/>
              </w:rPr>
              <w:t>Препарат</w:t>
            </w:r>
          </w:p>
        </w:tc>
        <w:tc>
          <w:tcPr>
            <w:tcW w:w="1559" w:type="dxa"/>
            <w:vAlign w:val="center"/>
          </w:tcPr>
          <w:p w14:paraId="33939FA7" w14:textId="77777777" w:rsidR="00304132" w:rsidRPr="00AC3044" w:rsidRDefault="00304132" w:rsidP="00CD5E09">
            <w:pPr>
              <w:rPr>
                <w:rFonts w:eastAsia="SimSun"/>
              </w:rPr>
            </w:pPr>
            <w:r w:rsidRPr="00AC3044">
              <w:rPr>
                <w:rFonts w:eastAsia="SimSun"/>
              </w:rPr>
              <w:t>Суточная доза</w:t>
            </w:r>
          </w:p>
        </w:tc>
        <w:tc>
          <w:tcPr>
            <w:tcW w:w="1701" w:type="dxa"/>
            <w:vAlign w:val="center"/>
          </w:tcPr>
          <w:p w14:paraId="416095A5" w14:textId="77777777" w:rsidR="00304132" w:rsidRPr="00AC3044" w:rsidRDefault="00304132" w:rsidP="00CD5E09">
            <w:pPr>
              <w:rPr>
                <w:rFonts w:eastAsia="SimSun"/>
              </w:rPr>
            </w:pPr>
            <w:r w:rsidRPr="00AC3044">
              <w:rPr>
                <w:rFonts w:eastAsia="SimSun"/>
              </w:rPr>
              <w:t>Курсовая доза</w:t>
            </w:r>
          </w:p>
        </w:tc>
        <w:tc>
          <w:tcPr>
            <w:tcW w:w="1418" w:type="dxa"/>
            <w:vAlign w:val="center"/>
          </w:tcPr>
          <w:p w14:paraId="3159BBD3" w14:textId="77777777" w:rsidR="00304132" w:rsidRPr="00AC3044" w:rsidRDefault="00304132" w:rsidP="00CD5E09">
            <w:pPr>
              <w:rPr>
                <w:rFonts w:eastAsia="SimSun"/>
              </w:rPr>
            </w:pPr>
            <w:r w:rsidRPr="00AC3044">
              <w:rPr>
                <w:rFonts w:eastAsia="SimSun"/>
              </w:rPr>
              <w:t>Дни введения</w:t>
            </w:r>
          </w:p>
        </w:tc>
        <w:tc>
          <w:tcPr>
            <w:tcW w:w="2268" w:type="dxa"/>
            <w:vAlign w:val="center"/>
          </w:tcPr>
          <w:p w14:paraId="5A87622C" w14:textId="77777777" w:rsidR="00304132" w:rsidRPr="00AC3044" w:rsidRDefault="00304132" w:rsidP="00CD5E09">
            <w:pPr>
              <w:rPr>
                <w:rFonts w:eastAsia="SimSun"/>
              </w:rPr>
            </w:pPr>
            <w:r w:rsidRPr="00AC3044">
              <w:rPr>
                <w:rFonts w:eastAsia="SimSun"/>
              </w:rPr>
              <w:t>Порядок введения</w:t>
            </w:r>
          </w:p>
        </w:tc>
      </w:tr>
      <w:tr w:rsidR="00304132" w:rsidRPr="00AC3044" w14:paraId="1E30468B" w14:textId="77777777" w:rsidTr="00CD5E09">
        <w:trPr>
          <w:cantSplit/>
          <w:trHeight w:val="20"/>
        </w:trPr>
        <w:tc>
          <w:tcPr>
            <w:tcW w:w="993" w:type="dxa"/>
            <w:vMerge w:val="restart"/>
            <w:textDirection w:val="btLr"/>
            <w:vAlign w:val="center"/>
          </w:tcPr>
          <w:p w14:paraId="79077690" w14:textId="77777777" w:rsidR="00304132" w:rsidRPr="00AC3044" w:rsidRDefault="00304132" w:rsidP="00CD5E09">
            <w:pPr>
              <w:rPr>
                <w:rFonts w:eastAsia="SimSun"/>
              </w:rPr>
            </w:pPr>
            <w:r w:rsidRPr="00AC3044">
              <w:rPr>
                <w:rFonts w:eastAsia="SimSun"/>
              </w:rPr>
              <w:t>Кондиционирование</w:t>
            </w:r>
          </w:p>
        </w:tc>
        <w:tc>
          <w:tcPr>
            <w:tcW w:w="1667" w:type="dxa"/>
            <w:vAlign w:val="center"/>
          </w:tcPr>
          <w:p w14:paraId="2E5C72AB" w14:textId="77777777" w:rsidR="00304132" w:rsidRPr="00AC3044" w:rsidRDefault="00304132" w:rsidP="00CD5E09">
            <w:pPr>
              <w:rPr>
                <w:rFonts w:eastAsia="SimSun"/>
              </w:rPr>
            </w:pPr>
            <w:r w:rsidRPr="00AC3044">
              <w:rPr>
                <w:rFonts w:eastAsia="SimSun"/>
              </w:rPr>
              <w:t xml:space="preserve">Флударабин </w:t>
            </w:r>
          </w:p>
        </w:tc>
        <w:tc>
          <w:tcPr>
            <w:tcW w:w="1559" w:type="dxa"/>
            <w:vAlign w:val="center"/>
          </w:tcPr>
          <w:p w14:paraId="2BA7C371" w14:textId="77777777" w:rsidR="00304132" w:rsidRPr="00AC3044" w:rsidRDefault="00304132" w:rsidP="00CD5E09">
            <w:pPr>
              <w:rPr>
                <w:rFonts w:eastAsia="SimSun"/>
              </w:rPr>
            </w:pPr>
            <w:r w:rsidRPr="00AC3044">
              <w:rPr>
                <w:rFonts w:eastAsia="SimSun"/>
              </w:rPr>
              <w:t>30 мг/м</w:t>
            </w:r>
            <w:r w:rsidRPr="001E6DBE">
              <w:rPr>
                <w:rFonts w:eastAsia="SimSun"/>
                <w:vertAlign w:val="superscript"/>
              </w:rPr>
              <w:t>2</w:t>
            </w:r>
          </w:p>
        </w:tc>
        <w:tc>
          <w:tcPr>
            <w:tcW w:w="1701" w:type="dxa"/>
            <w:vAlign w:val="center"/>
          </w:tcPr>
          <w:p w14:paraId="5E019E2A" w14:textId="77777777" w:rsidR="00304132" w:rsidRPr="00AC3044" w:rsidRDefault="00304132" w:rsidP="00CD5E09">
            <w:pPr>
              <w:rPr>
                <w:rFonts w:eastAsia="SimSun"/>
              </w:rPr>
            </w:pPr>
            <w:r w:rsidRPr="00AC3044">
              <w:rPr>
                <w:rFonts w:eastAsia="SimSun"/>
              </w:rPr>
              <w:t>180 мг/м</w:t>
            </w:r>
            <w:r w:rsidRPr="001E6DBE">
              <w:rPr>
                <w:rFonts w:eastAsia="SimSun"/>
                <w:vertAlign w:val="superscript"/>
              </w:rPr>
              <w:t>2</w:t>
            </w:r>
          </w:p>
        </w:tc>
        <w:tc>
          <w:tcPr>
            <w:tcW w:w="1418" w:type="dxa"/>
            <w:vAlign w:val="center"/>
          </w:tcPr>
          <w:p w14:paraId="7F1DA279" w14:textId="77777777" w:rsidR="00304132" w:rsidRPr="00AC3044" w:rsidRDefault="00304132" w:rsidP="00CD5E09">
            <w:pPr>
              <w:rPr>
                <w:rFonts w:eastAsia="SimSun"/>
              </w:rPr>
            </w:pPr>
            <w:r w:rsidRPr="00AC3044">
              <w:rPr>
                <w:rFonts w:eastAsia="SimSun"/>
              </w:rPr>
              <w:t>С -7 дня по -2 день</w:t>
            </w:r>
          </w:p>
        </w:tc>
        <w:tc>
          <w:tcPr>
            <w:tcW w:w="2268" w:type="dxa"/>
            <w:vAlign w:val="center"/>
          </w:tcPr>
          <w:p w14:paraId="2EEEE768" w14:textId="77777777" w:rsidR="00304132" w:rsidRPr="00AC3044" w:rsidRDefault="00304132" w:rsidP="00CD5E09">
            <w:pPr>
              <w:rPr>
                <w:rFonts w:eastAsia="SimSun"/>
              </w:rPr>
            </w:pPr>
            <w:r w:rsidRPr="00AC3044">
              <w:rPr>
                <w:rFonts w:eastAsia="SimSun"/>
              </w:rPr>
              <w:t>В/в, в течение 30 -60 мин</w:t>
            </w:r>
          </w:p>
        </w:tc>
      </w:tr>
      <w:tr w:rsidR="00304132" w:rsidRPr="00AC3044" w14:paraId="3066A27E" w14:textId="77777777" w:rsidTr="00CD5E09">
        <w:trPr>
          <w:cantSplit/>
          <w:trHeight w:val="1207"/>
        </w:trPr>
        <w:tc>
          <w:tcPr>
            <w:tcW w:w="993" w:type="dxa"/>
            <w:vMerge/>
            <w:vAlign w:val="center"/>
          </w:tcPr>
          <w:p w14:paraId="3D0EFA18" w14:textId="77777777" w:rsidR="00304132" w:rsidRPr="00AC3044" w:rsidRDefault="00304132" w:rsidP="00CD5E09">
            <w:pPr>
              <w:rPr>
                <w:rFonts w:eastAsia="SimSun"/>
              </w:rPr>
            </w:pPr>
          </w:p>
        </w:tc>
        <w:tc>
          <w:tcPr>
            <w:tcW w:w="1667" w:type="dxa"/>
            <w:vAlign w:val="center"/>
          </w:tcPr>
          <w:p w14:paraId="029D3C05" w14:textId="77777777" w:rsidR="00304132" w:rsidRPr="00AC3044" w:rsidRDefault="00304132" w:rsidP="00CD5E09">
            <w:pPr>
              <w:rPr>
                <w:rFonts w:eastAsia="SimSun"/>
              </w:rPr>
            </w:pPr>
            <w:r w:rsidRPr="00AC3044">
              <w:rPr>
                <w:rFonts w:eastAsia="SimSun"/>
              </w:rPr>
              <w:t>Бусульфан</w:t>
            </w:r>
          </w:p>
        </w:tc>
        <w:tc>
          <w:tcPr>
            <w:tcW w:w="1559" w:type="dxa"/>
            <w:vAlign w:val="center"/>
          </w:tcPr>
          <w:p w14:paraId="6514425D" w14:textId="77777777" w:rsidR="00304132" w:rsidRPr="00AC3044" w:rsidRDefault="00304132" w:rsidP="00CD5E09">
            <w:pPr>
              <w:rPr>
                <w:rFonts w:eastAsia="SimSun"/>
              </w:rPr>
            </w:pPr>
            <w:r w:rsidRPr="00AC3044">
              <w:rPr>
                <w:rFonts w:eastAsia="SimSun"/>
              </w:rPr>
              <w:t xml:space="preserve">4 мг/кг </w:t>
            </w:r>
          </w:p>
        </w:tc>
        <w:tc>
          <w:tcPr>
            <w:tcW w:w="1701" w:type="dxa"/>
            <w:vAlign w:val="center"/>
          </w:tcPr>
          <w:p w14:paraId="5542CC9E" w14:textId="77777777" w:rsidR="00304132" w:rsidRPr="00AC3044" w:rsidRDefault="00304132" w:rsidP="00CD5E09">
            <w:pPr>
              <w:rPr>
                <w:rFonts w:eastAsia="SimSun"/>
              </w:rPr>
            </w:pPr>
            <w:r w:rsidRPr="00AC3044">
              <w:rPr>
                <w:rFonts w:eastAsia="SimSun"/>
              </w:rPr>
              <w:t xml:space="preserve">10 мг/кг </w:t>
            </w:r>
          </w:p>
        </w:tc>
        <w:tc>
          <w:tcPr>
            <w:tcW w:w="1418" w:type="dxa"/>
            <w:vAlign w:val="center"/>
          </w:tcPr>
          <w:p w14:paraId="7EB0AA47" w14:textId="77777777" w:rsidR="00304132" w:rsidRPr="00AC3044" w:rsidRDefault="00304132" w:rsidP="00CD5E09">
            <w:pPr>
              <w:rPr>
                <w:rFonts w:eastAsia="SimSun"/>
              </w:rPr>
            </w:pPr>
            <w:r w:rsidRPr="00AC3044">
              <w:rPr>
                <w:rFonts w:eastAsia="SimSun"/>
              </w:rPr>
              <w:t>С -5 дня по -3 день</w:t>
            </w:r>
          </w:p>
        </w:tc>
        <w:tc>
          <w:tcPr>
            <w:tcW w:w="2268" w:type="dxa"/>
            <w:vAlign w:val="center"/>
          </w:tcPr>
          <w:p w14:paraId="5A8160AD" w14:textId="77777777" w:rsidR="00304132" w:rsidRPr="00AC3044" w:rsidRDefault="00304132" w:rsidP="00CD5E09">
            <w:pPr>
              <w:rPr>
                <w:rFonts w:eastAsia="SimSun"/>
              </w:rPr>
            </w:pPr>
            <w:r w:rsidRPr="00AC3044">
              <w:rPr>
                <w:rFonts w:eastAsia="SimSun"/>
              </w:rPr>
              <w:t>Внутрь, суммарная суточная доза разделяется на 4 приема с интервалом 6 часов. День -6: бусульфан разделяется на 2 приема с интервалом 6 часов, в вечернее время (18.00, 24.00)</w:t>
            </w:r>
          </w:p>
        </w:tc>
      </w:tr>
      <w:tr w:rsidR="00304132" w:rsidRPr="00AC3044" w14:paraId="22FF2D85" w14:textId="77777777" w:rsidTr="00CD5E09">
        <w:trPr>
          <w:cantSplit/>
          <w:trHeight w:val="582"/>
        </w:trPr>
        <w:tc>
          <w:tcPr>
            <w:tcW w:w="993" w:type="dxa"/>
            <w:vMerge w:val="restart"/>
            <w:textDirection w:val="btLr"/>
            <w:vAlign w:val="center"/>
          </w:tcPr>
          <w:p w14:paraId="6C7486D9" w14:textId="77777777" w:rsidR="00304132" w:rsidRPr="00AC3044" w:rsidRDefault="00304132" w:rsidP="00CD5E09">
            <w:pPr>
              <w:rPr>
                <w:rFonts w:eastAsia="SimSun"/>
              </w:rPr>
            </w:pPr>
            <w:r w:rsidRPr="00AC3044">
              <w:rPr>
                <w:rFonts w:eastAsia="SimSun"/>
              </w:rPr>
              <w:t>Профилактика РТПХ</w:t>
            </w:r>
          </w:p>
        </w:tc>
        <w:tc>
          <w:tcPr>
            <w:tcW w:w="1667" w:type="dxa"/>
            <w:vAlign w:val="center"/>
          </w:tcPr>
          <w:p w14:paraId="4D66332F" w14:textId="77777777" w:rsidR="00304132" w:rsidRPr="00AC3044" w:rsidRDefault="00304132" w:rsidP="00CD5E09">
            <w:pPr>
              <w:rPr>
                <w:rFonts w:eastAsia="SimSun"/>
              </w:rPr>
            </w:pPr>
            <w:r w:rsidRPr="00AC3044">
              <w:rPr>
                <w:rFonts w:eastAsia="SimSun"/>
              </w:rPr>
              <w:t>Циклофосфамид</w:t>
            </w:r>
          </w:p>
        </w:tc>
        <w:tc>
          <w:tcPr>
            <w:tcW w:w="1559" w:type="dxa"/>
            <w:vAlign w:val="center"/>
          </w:tcPr>
          <w:p w14:paraId="64C671C1" w14:textId="77777777" w:rsidR="00304132" w:rsidRPr="00AC3044" w:rsidRDefault="00304132" w:rsidP="00CD5E09">
            <w:pPr>
              <w:rPr>
                <w:rFonts w:eastAsia="SimSun"/>
              </w:rPr>
            </w:pPr>
            <w:r w:rsidRPr="00AC3044">
              <w:rPr>
                <w:rFonts w:eastAsia="SimSun"/>
              </w:rPr>
              <w:t>50 мг/кг</w:t>
            </w:r>
          </w:p>
        </w:tc>
        <w:tc>
          <w:tcPr>
            <w:tcW w:w="1701" w:type="dxa"/>
            <w:vAlign w:val="center"/>
          </w:tcPr>
          <w:p w14:paraId="2C06F798" w14:textId="77777777" w:rsidR="00304132" w:rsidRPr="00AC3044" w:rsidRDefault="00304132" w:rsidP="00CD5E09">
            <w:pPr>
              <w:rPr>
                <w:rFonts w:eastAsia="SimSun"/>
              </w:rPr>
            </w:pPr>
            <w:r w:rsidRPr="00AC3044">
              <w:rPr>
                <w:rFonts w:eastAsia="SimSun"/>
              </w:rPr>
              <w:t>100 мг/кг</w:t>
            </w:r>
          </w:p>
        </w:tc>
        <w:tc>
          <w:tcPr>
            <w:tcW w:w="1418" w:type="dxa"/>
            <w:vAlign w:val="center"/>
          </w:tcPr>
          <w:p w14:paraId="22554D13" w14:textId="77777777" w:rsidR="00304132" w:rsidRPr="00AC3044" w:rsidRDefault="00304132" w:rsidP="00CD5E09">
            <w:pPr>
              <w:rPr>
                <w:rFonts w:eastAsia="SimSun"/>
              </w:rPr>
            </w:pPr>
            <w:r w:rsidRPr="00AC3044">
              <w:rPr>
                <w:rFonts w:eastAsia="SimSun"/>
              </w:rPr>
              <w:t>С +3 дня по +4 день</w:t>
            </w:r>
          </w:p>
        </w:tc>
        <w:tc>
          <w:tcPr>
            <w:tcW w:w="2268" w:type="dxa"/>
            <w:vAlign w:val="center"/>
          </w:tcPr>
          <w:p w14:paraId="3D7A96FD" w14:textId="77777777" w:rsidR="00304132" w:rsidRPr="00AC3044" w:rsidRDefault="00304132" w:rsidP="00CD5E09">
            <w:pPr>
              <w:rPr>
                <w:rFonts w:eastAsia="SimSun"/>
              </w:rPr>
            </w:pPr>
            <w:r w:rsidRPr="00AC3044">
              <w:rPr>
                <w:rFonts w:eastAsia="SimSun"/>
              </w:rPr>
              <w:t>В/в, в течение 2 часов</w:t>
            </w:r>
          </w:p>
        </w:tc>
      </w:tr>
      <w:tr w:rsidR="00304132" w:rsidRPr="00AC3044" w14:paraId="3B8A8CF9" w14:textId="77777777" w:rsidTr="00CD5E09">
        <w:trPr>
          <w:cantSplit/>
          <w:trHeight w:val="562"/>
        </w:trPr>
        <w:tc>
          <w:tcPr>
            <w:tcW w:w="993" w:type="dxa"/>
            <w:vMerge/>
            <w:textDirection w:val="btLr"/>
            <w:vAlign w:val="center"/>
          </w:tcPr>
          <w:p w14:paraId="32821757" w14:textId="77777777" w:rsidR="00304132" w:rsidRPr="00AC3044" w:rsidRDefault="00304132" w:rsidP="00CD5E09">
            <w:pPr>
              <w:rPr>
                <w:rFonts w:eastAsia="SimSun"/>
              </w:rPr>
            </w:pPr>
          </w:p>
        </w:tc>
        <w:tc>
          <w:tcPr>
            <w:tcW w:w="1667" w:type="dxa"/>
            <w:vAlign w:val="center"/>
          </w:tcPr>
          <w:p w14:paraId="43C63E25" w14:textId="77777777" w:rsidR="00304132" w:rsidRPr="00AC3044" w:rsidRDefault="00304132" w:rsidP="00CD5E09">
            <w:pPr>
              <w:rPr>
                <w:rFonts w:eastAsia="SimSun"/>
              </w:rPr>
            </w:pPr>
            <w:r w:rsidRPr="00AC3044">
              <w:rPr>
                <w:rFonts w:eastAsia="SimSun"/>
              </w:rPr>
              <w:t>Руксолитиниб</w:t>
            </w:r>
          </w:p>
        </w:tc>
        <w:tc>
          <w:tcPr>
            <w:tcW w:w="1559" w:type="dxa"/>
            <w:vAlign w:val="center"/>
          </w:tcPr>
          <w:p w14:paraId="274AED9B" w14:textId="77777777" w:rsidR="00304132" w:rsidRPr="00AC3044" w:rsidRDefault="00304132" w:rsidP="00CD5E09">
            <w:pPr>
              <w:rPr>
                <w:rFonts w:eastAsia="SimSun"/>
              </w:rPr>
            </w:pPr>
            <w:r w:rsidRPr="00AC3044">
              <w:rPr>
                <w:rFonts w:eastAsia="SimSun"/>
              </w:rPr>
              <w:t>45 мг</w:t>
            </w:r>
          </w:p>
        </w:tc>
        <w:tc>
          <w:tcPr>
            <w:tcW w:w="1701" w:type="dxa"/>
            <w:vAlign w:val="center"/>
          </w:tcPr>
          <w:p w14:paraId="008A16D3" w14:textId="77777777" w:rsidR="00304132" w:rsidRPr="00AC3044" w:rsidRDefault="00304132" w:rsidP="00CD5E09">
            <w:pPr>
              <w:rPr>
                <w:rFonts w:eastAsia="SimSun"/>
              </w:rPr>
            </w:pPr>
            <w:r w:rsidRPr="00AC3044">
              <w:rPr>
                <w:rFonts w:eastAsia="SimSun"/>
              </w:rPr>
              <w:t>270 мг</w:t>
            </w:r>
          </w:p>
        </w:tc>
        <w:tc>
          <w:tcPr>
            <w:tcW w:w="1418" w:type="dxa"/>
            <w:vAlign w:val="center"/>
          </w:tcPr>
          <w:p w14:paraId="4C9A4304" w14:textId="77777777" w:rsidR="00304132" w:rsidRPr="00AC3044" w:rsidRDefault="00304132" w:rsidP="00CD5E09">
            <w:pPr>
              <w:rPr>
                <w:rFonts w:eastAsia="SimSun"/>
              </w:rPr>
            </w:pPr>
            <w:r w:rsidRPr="00AC3044">
              <w:rPr>
                <w:rFonts w:eastAsia="SimSun"/>
              </w:rPr>
              <w:t xml:space="preserve">С -7 дня по -2 день </w:t>
            </w:r>
          </w:p>
        </w:tc>
        <w:tc>
          <w:tcPr>
            <w:tcW w:w="2268" w:type="dxa"/>
            <w:vAlign w:val="center"/>
          </w:tcPr>
          <w:p w14:paraId="5509CA4B" w14:textId="77777777" w:rsidR="00304132" w:rsidRPr="00AC3044" w:rsidRDefault="00304132" w:rsidP="00CD5E09">
            <w:pPr>
              <w:rPr>
                <w:rFonts w:eastAsia="SimSun"/>
              </w:rPr>
            </w:pPr>
            <w:r w:rsidRPr="00AC3044">
              <w:rPr>
                <w:rFonts w:eastAsia="SimSun"/>
              </w:rPr>
              <w:t xml:space="preserve">Внутрь суточную дозу </w:t>
            </w:r>
          </w:p>
          <w:p w14:paraId="73A27C61" w14:textId="77777777" w:rsidR="00304132" w:rsidRPr="00AC3044" w:rsidRDefault="00304132" w:rsidP="00CD5E09">
            <w:pPr>
              <w:rPr>
                <w:rFonts w:eastAsia="SimSun"/>
              </w:rPr>
            </w:pPr>
            <w:r w:rsidRPr="00AC3044">
              <w:rPr>
                <w:rFonts w:eastAsia="SimSun"/>
              </w:rPr>
              <w:t>за 3 приема</w:t>
            </w:r>
          </w:p>
        </w:tc>
      </w:tr>
      <w:tr w:rsidR="00304132" w:rsidRPr="00AC3044" w14:paraId="4D51DAB3" w14:textId="77777777" w:rsidTr="00CD5E09">
        <w:trPr>
          <w:cantSplit/>
          <w:trHeight w:val="769"/>
        </w:trPr>
        <w:tc>
          <w:tcPr>
            <w:tcW w:w="993" w:type="dxa"/>
            <w:vMerge/>
            <w:textDirection w:val="btLr"/>
            <w:vAlign w:val="center"/>
          </w:tcPr>
          <w:p w14:paraId="4D4F107C" w14:textId="77777777" w:rsidR="00304132" w:rsidRPr="00AC3044" w:rsidRDefault="00304132" w:rsidP="00CD5E09">
            <w:pPr>
              <w:rPr>
                <w:rFonts w:eastAsia="SimSun"/>
              </w:rPr>
            </w:pPr>
          </w:p>
        </w:tc>
        <w:tc>
          <w:tcPr>
            <w:tcW w:w="1667" w:type="dxa"/>
            <w:vAlign w:val="center"/>
          </w:tcPr>
          <w:p w14:paraId="6D3851B1" w14:textId="77777777" w:rsidR="00304132" w:rsidRPr="00AC3044" w:rsidRDefault="00304132" w:rsidP="00CD5E09">
            <w:pPr>
              <w:rPr>
                <w:rFonts w:eastAsia="SimSun"/>
              </w:rPr>
            </w:pPr>
            <w:r w:rsidRPr="00AC3044">
              <w:rPr>
                <w:rFonts w:eastAsia="SimSun"/>
              </w:rPr>
              <w:t xml:space="preserve">Руксолитиниб </w:t>
            </w:r>
          </w:p>
        </w:tc>
        <w:tc>
          <w:tcPr>
            <w:tcW w:w="1559" w:type="dxa"/>
            <w:vAlign w:val="center"/>
          </w:tcPr>
          <w:p w14:paraId="24A2DBAE" w14:textId="77777777" w:rsidR="00304132" w:rsidRPr="00AC3044" w:rsidRDefault="00304132" w:rsidP="00CD5E09">
            <w:pPr>
              <w:rPr>
                <w:rFonts w:eastAsia="SimSun"/>
              </w:rPr>
            </w:pPr>
            <w:r w:rsidRPr="00AC3044">
              <w:rPr>
                <w:rFonts w:eastAsia="SimSun"/>
              </w:rPr>
              <w:t>15 мг</w:t>
            </w:r>
          </w:p>
        </w:tc>
        <w:tc>
          <w:tcPr>
            <w:tcW w:w="1701" w:type="dxa"/>
            <w:vAlign w:val="center"/>
          </w:tcPr>
          <w:p w14:paraId="16D256BD" w14:textId="77777777" w:rsidR="00304132" w:rsidRPr="00AC3044" w:rsidRDefault="00304132" w:rsidP="00CD5E09">
            <w:pPr>
              <w:rPr>
                <w:rFonts w:eastAsia="SimSun"/>
              </w:rPr>
            </w:pPr>
            <w:r w:rsidRPr="00AC3044">
              <w:rPr>
                <w:rFonts w:eastAsia="SimSun"/>
              </w:rPr>
              <w:t>-</w:t>
            </w:r>
          </w:p>
        </w:tc>
        <w:tc>
          <w:tcPr>
            <w:tcW w:w="1418" w:type="dxa"/>
            <w:vAlign w:val="center"/>
          </w:tcPr>
          <w:p w14:paraId="1E5650CD" w14:textId="77777777" w:rsidR="00304132" w:rsidRPr="00AC3044" w:rsidRDefault="00304132" w:rsidP="00CD5E09">
            <w:pPr>
              <w:rPr>
                <w:rFonts w:eastAsia="SimSun"/>
              </w:rPr>
            </w:pPr>
            <w:r w:rsidRPr="00AC3044">
              <w:rPr>
                <w:rFonts w:eastAsia="SimSun"/>
              </w:rPr>
              <w:t>С +5 дня по +100 день</w:t>
            </w:r>
          </w:p>
        </w:tc>
        <w:tc>
          <w:tcPr>
            <w:tcW w:w="2268" w:type="dxa"/>
            <w:vAlign w:val="center"/>
          </w:tcPr>
          <w:p w14:paraId="70668E87" w14:textId="77777777" w:rsidR="00304132" w:rsidRPr="00AC3044" w:rsidRDefault="00304132" w:rsidP="00CD5E09">
            <w:pPr>
              <w:rPr>
                <w:rFonts w:eastAsia="SimSun"/>
              </w:rPr>
            </w:pPr>
            <w:r w:rsidRPr="00AC3044">
              <w:rPr>
                <w:rFonts w:eastAsia="SimSun"/>
              </w:rPr>
              <w:t xml:space="preserve">Внутрь суточную дозу </w:t>
            </w:r>
          </w:p>
          <w:p w14:paraId="2976CAE1" w14:textId="77777777" w:rsidR="00304132" w:rsidRPr="00AC3044" w:rsidRDefault="00304132" w:rsidP="00CD5E09">
            <w:pPr>
              <w:rPr>
                <w:rFonts w:eastAsia="SimSun"/>
              </w:rPr>
            </w:pPr>
            <w:r w:rsidRPr="00AC3044">
              <w:rPr>
                <w:rFonts w:eastAsia="SimSun"/>
              </w:rPr>
              <w:t>за 2 приема</w:t>
            </w:r>
          </w:p>
        </w:tc>
      </w:tr>
    </w:tbl>
    <w:p w14:paraId="583FF15F" w14:textId="77777777" w:rsidR="00304132" w:rsidRDefault="00304132" w:rsidP="00304132">
      <w:pPr>
        <w:rPr>
          <w:rFonts w:eastAsia="SimSun"/>
        </w:rPr>
      </w:pPr>
      <w:bookmarkStart w:id="319" w:name="_Toc44401174"/>
    </w:p>
    <w:p w14:paraId="281BBC61" w14:textId="77777777" w:rsidR="00304132" w:rsidRPr="00C07B2E" w:rsidRDefault="00304132" w:rsidP="00304132">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1.2.16  – Flu90+Benda /PT-Cy+Tx+MMF30</w:t>
      </w:r>
      <w:bookmarkEnd w:id="319"/>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9"/>
        <w:gridCol w:w="1701"/>
        <w:gridCol w:w="1559"/>
        <w:gridCol w:w="1701"/>
        <w:gridCol w:w="1418"/>
        <w:gridCol w:w="2268"/>
      </w:tblGrid>
      <w:tr w:rsidR="00304132" w:rsidRPr="00AC3044" w14:paraId="3110F61B" w14:textId="77777777" w:rsidTr="00CD5E09">
        <w:trPr>
          <w:cantSplit/>
          <w:trHeight w:val="20"/>
          <w:tblHeader/>
        </w:trPr>
        <w:tc>
          <w:tcPr>
            <w:tcW w:w="959" w:type="dxa"/>
            <w:vAlign w:val="center"/>
          </w:tcPr>
          <w:p w14:paraId="4B169A2C" w14:textId="77777777" w:rsidR="00304132" w:rsidRPr="00AC3044" w:rsidRDefault="00304132" w:rsidP="00CD5E09">
            <w:pPr>
              <w:rPr>
                <w:rFonts w:eastAsia="SimSun"/>
              </w:rPr>
            </w:pPr>
          </w:p>
        </w:tc>
        <w:tc>
          <w:tcPr>
            <w:tcW w:w="1701" w:type="dxa"/>
            <w:vAlign w:val="center"/>
          </w:tcPr>
          <w:p w14:paraId="3D256805" w14:textId="77777777" w:rsidR="00304132" w:rsidRPr="00AC3044" w:rsidRDefault="00304132" w:rsidP="00CD5E09">
            <w:pPr>
              <w:rPr>
                <w:rFonts w:eastAsia="SimSun"/>
              </w:rPr>
            </w:pPr>
            <w:r w:rsidRPr="00AC3044">
              <w:rPr>
                <w:rFonts w:eastAsia="SimSun"/>
              </w:rPr>
              <w:t>Препарат</w:t>
            </w:r>
          </w:p>
        </w:tc>
        <w:tc>
          <w:tcPr>
            <w:tcW w:w="1559" w:type="dxa"/>
            <w:vAlign w:val="center"/>
          </w:tcPr>
          <w:p w14:paraId="5F146015" w14:textId="77777777" w:rsidR="00304132" w:rsidRPr="00AC3044" w:rsidRDefault="00304132" w:rsidP="00CD5E09">
            <w:pPr>
              <w:rPr>
                <w:rFonts w:eastAsia="SimSun"/>
              </w:rPr>
            </w:pPr>
            <w:r w:rsidRPr="00AC3044">
              <w:rPr>
                <w:rFonts w:eastAsia="SimSun"/>
              </w:rPr>
              <w:t>Суточная доза</w:t>
            </w:r>
          </w:p>
        </w:tc>
        <w:tc>
          <w:tcPr>
            <w:tcW w:w="1701" w:type="dxa"/>
            <w:vAlign w:val="center"/>
          </w:tcPr>
          <w:p w14:paraId="2BB6DE6C" w14:textId="77777777" w:rsidR="00304132" w:rsidRPr="00AC3044" w:rsidRDefault="00304132" w:rsidP="00CD5E09">
            <w:pPr>
              <w:rPr>
                <w:rFonts w:eastAsia="SimSun"/>
              </w:rPr>
            </w:pPr>
            <w:r w:rsidRPr="00AC3044">
              <w:rPr>
                <w:rFonts w:eastAsia="SimSun"/>
              </w:rPr>
              <w:t>Курсовая доза</w:t>
            </w:r>
          </w:p>
        </w:tc>
        <w:tc>
          <w:tcPr>
            <w:tcW w:w="1418" w:type="dxa"/>
            <w:vAlign w:val="center"/>
          </w:tcPr>
          <w:p w14:paraId="217F9214" w14:textId="77777777" w:rsidR="00304132" w:rsidRPr="00AC3044" w:rsidRDefault="00304132" w:rsidP="00CD5E09">
            <w:pPr>
              <w:rPr>
                <w:rFonts w:eastAsia="SimSun"/>
              </w:rPr>
            </w:pPr>
            <w:r w:rsidRPr="00AC3044">
              <w:rPr>
                <w:rFonts w:eastAsia="SimSun"/>
              </w:rPr>
              <w:t>Дни введения</w:t>
            </w:r>
          </w:p>
        </w:tc>
        <w:tc>
          <w:tcPr>
            <w:tcW w:w="2268" w:type="dxa"/>
            <w:vAlign w:val="center"/>
          </w:tcPr>
          <w:p w14:paraId="3613CFA0" w14:textId="77777777" w:rsidR="00304132" w:rsidRPr="00AC3044" w:rsidRDefault="00304132" w:rsidP="00CD5E09">
            <w:pPr>
              <w:rPr>
                <w:rFonts w:eastAsia="SimSun"/>
              </w:rPr>
            </w:pPr>
            <w:r w:rsidRPr="00AC3044">
              <w:rPr>
                <w:rFonts w:eastAsia="SimSun"/>
              </w:rPr>
              <w:t>Порядок введения</w:t>
            </w:r>
          </w:p>
        </w:tc>
      </w:tr>
      <w:tr w:rsidR="00304132" w:rsidRPr="00AC3044" w14:paraId="3334FCF8" w14:textId="77777777" w:rsidTr="00CD5E09">
        <w:trPr>
          <w:cantSplit/>
          <w:trHeight w:val="20"/>
        </w:trPr>
        <w:tc>
          <w:tcPr>
            <w:tcW w:w="959" w:type="dxa"/>
            <w:vMerge w:val="restart"/>
            <w:textDirection w:val="btLr"/>
            <w:vAlign w:val="center"/>
          </w:tcPr>
          <w:p w14:paraId="72BE407F" w14:textId="77777777" w:rsidR="00304132" w:rsidRPr="00AC3044" w:rsidRDefault="00304132" w:rsidP="00CD5E09">
            <w:pPr>
              <w:rPr>
                <w:rFonts w:eastAsia="SimSun"/>
              </w:rPr>
            </w:pPr>
            <w:r w:rsidRPr="00AC3044">
              <w:rPr>
                <w:rFonts w:eastAsia="SimSun"/>
              </w:rPr>
              <w:t>Кондиционирование</w:t>
            </w:r>
          </w:p>
        </w:tc>
        <w:tc>
          <w:tcPr>
            <w:tcW w:w="1701" w:type="dxa"/>
            <w:vAlign w:val="center"/>
          </w:tcPr>
          <w:p w14:paraId="07BD4E69" w14:textId="77777777" w:rsidR="00304132" w:rsidRPr="00AC3044" w:rsidRDefault="00304132" w:rsidP="00CD5E09">
            <w:pPr>
              <w:rPr>
                <w:rFonts w:eastAsia="SimSun"/>
              </w:rPr>
            </w:pPr>
            <w:r w:rsidRPr="00AC3044">
              <w:rPr>
                <w:rFonts w:eastAsia="SimSun"/>
              </w:rPr>
              <w:t xml:space="preserve">Флударабин </w:t>
            </w:r>
          </w:p>
        </w:tc>
        <w:tc>
          <w:tcPr>
            <w:tcW w:w="1559" w:type="dxa"/>
            <w:vAlign w:val="center"/>
          </w:tcPr>
          <w:p w14:paraId="0475D8CE" w14:textId="77777777" w:rsidR="00304132" w:rsidRPr="00AC3044" w:rsidRDefault="00304132" w:rsidP="00CD5E09">
            <w:pPr>
              <w:rPr>
                <w:rFonts w:eastAsia="SimSun"/>
              </w:rPr>
            </w:pPr>
            <w:r w:rsidRPr="00AC3044">
              <w:rPr>
                <w:rFonts w:eastAsia="SimSun"/>
              </w:rPr>
              <w:t>30 мг/м</w:t>
            </w:r>
            <w:r w:rsidRPr="001E6DBE">
              <w:rPr>
                <w:rFonts w:eastAsia="SimSun"/>
                <w:vertAlign w:val="superscript"/>
              </w:rPr>
              <w:t>2</w:t>
            </w:r>
          </w:p>
        </w:tc>
        <w:tc>
          <w:tcPr>
            <w:tcW w:w="1701" w:type="dxa"/>
            <w:vAlign w:val="center"/>
          </w:tcPr>
          <w:p w14:paraId="380B1554" w14:textId="77777777" w:rsidR="00304132" w:rsidRPr="00AC3044" w:rsidRDefault="00304132" w:rsidP="00CD5E09">
            <w:pPr>
              <w:rPr>
                <w:rFonts w:eastAsia="SimSun"/>
              </w:rPr>
            </w:pPr>
            <w:r w:rsidRPr="00AC3044">
              <w:rPr>
                <w:rFonts w:eastAsia="SimSun"/>
              </w:rPr>
              <w:t>90 мг/м</w:t>
            </w:r>
            <w:r w:rsidRPr="001E6DBE">
              <w:rPr>
                <w:rFonts w:eastAsia="SimSun"/>
                <w:vertAlign w:val="superscript"/>
              </w:rPr>
              <w:t>2</w:t>
            </w:r>
          </w:p>
        </w:tc>
        <w:tc>
          <w:tcPr>
            <w:tcW w:w="1418" w:type="dxa"/>
            <w:vAlign w:val="center"/>
          </w:tcPr>
          <w:p w14:paraId="1C3DFDBA" w14:textId="77777777" w:rsidR="00304132" w:rsidRPr="00AC3044" w:rsidRDefault="00304132" w:rsidP="00CD5E09">
            <w:pPr>
              <w:rPr>
                <w:rFonts w:eastAsia="SimSun"/>
              </w:rPr>
            </w:pPr>
            <w:r w:rsidRPr="00AC3044">
              <w:rPr>
                <w:rFonts w:eastAsia="SimSun"/>
              </w:rPr>
              <w:t>С -4 дня по -2 день</w:t>
            </w:r>
          </w:p>
        </w:tc>
        <w:tc>
          <w:tcPr>
            <w:tcW w:w="2268" w:type="dxa"/>
            <w:vAlign w:val="center"/>
          </w:tcPr>
          <w:p w14:paraId="113B839E" w14:textId="77777777" w:rsidR="00304132" w:rsidRPr="00AC3044" w:rsidRDefault="00304132" w:rsidP="00CD5E09">
            <w:pPr>
              <w:rPr>
                <w:rFonts w:eastAsia="SimSun"/>
              </w:rPr>
            </w:pPr>
            <w:r w:rsidRPr="00AC3044">
              <w:rPr>
                <w:rFonts w:eastAsia="SimSun"/>
              </w:rPr>
              <w:t>В/в, в течение 30 -60 мин</w:t>
            </w:r>
          </w:p>
        </w:tc>
      </w:tr>
      <w:tr w:rsidR="00304132" w:rsidRPr="00AC3044" w14:paraId="25F6514C" w14:textId="77777777" w:rsidTr="00CD5E09">
        <w:trPr>
          <w:cantSplit/>
          <w:trHeight w:val="678"/>
        </w:trPr>
        <w:tc>
          <w:tcPr>
            <w:tcW w:w="959" w:type="dxa"/>
            <w:vMerge/>
            <w:vAlign w:val="center"/>
          </w:tcPr>
          <w:p w14:paraId="12D99541" w14:textId="77777777" w:rsidR="00304132" w:rsidRPr="00AC3044" w:rsidRDefault="00304132" w:rsidP="00CD5E09">
            <w:pPr>
              <w:rPr>
                <w:rFonts w:eastAsia="SimSun"/>
              </w:rPr>
            </w:pPr>
          </w:p>
        </w:tc>
        <w:tc>
          <w:tcPr>
            <w:tcW w:w="1701" w:type="dxa"/>
            <w:vAlign w:val="center"/>
          </w:tcPr>
          <w:p w14:paraId="403FAC50" w14:textId="77777777" w:rsidR="00304132" w:rsidRPr="00AC3044" w:rsidRDefault="00304132" w:rsidP="00CD5E09">
            <w:pPr>
              <w:rPr>
                <w:rFonts w:eastAsia="SimSun"/>
              </w:rPr>
            </w:pPr>
            <w:r w:rsidRPr="00AC3044">
              <w:rPr>
                <w:rFonts w:eastAsia="SimSun"/>
              </w:rPr>
              <w:t>Бендамустин</w:t>
            </w:r>
          </w:p>
        </w:tc>
        <w:tc>
          <w:tcPr>
            <w:tcW w:w="1559" w:type="dxa"/>
            <w:vAlign w:val="center"/>
          </w:tcPr>
          <w:p w14:paraId="65C260C3" w14:textId="77777777" w:rsidR="00304132" w:rsidRPr="00AC3044" w:rsidRDefault="00304132" w:rsidP="00CD5E09">
            <w:pPr>
              <w:rPr>
                <w:rFonts w:eastAsia="SimSun"/>
              </w:rPr>
            </w:pPr>
            <w:r w:rsidRPr="00AC3044">
              <w:rPr>
                <w:rFonts w:eastAsia="SimSun"/>
              </w:rPr>
              <w:t>130 мг/м</w:t>
            </w:r>
            <w:r w:rsidRPr="001E6DBE">
              <w:rPr>
                <w:rFonts w:eastAsia="SimSun"/>
                <w:vertAlign w:val="superscript"/>
              </w:rPr>
              <w:t>2</w:t>
            </w:r>
            <w:r w:rsidRPr="00AC3044">
              <w:rPr>
                <w:rFonts w:eastAsia="SimSun"/>
              </w:rPr>
              <w:t xml:space="preserve"> </w:t>
            </w:r>
          </w:p>
        </w:tc>
        <w:tc>
          <w:tcPr>
            <w:tcW w:w="1701" w:type="dxa"/>
            <w:vAlign w:val="center"/>
          </w:tcPr>
          <w:p w14:paraId="6D0701A9" w14:textId="77777777" w:rsidR="00304132" w:rsidRPr="00AC3044" w:rsidRDefault="00304132" w:rsidP="00CD5E09">
            <w:pPr>
              <w:rPr>
                <w:rFonts w:eastAsia="SimSun"/>
              </w:rPr>
            </w:pPr>
            <w:r w:rsidRPr="00AC3044">
              <w:rPr>
                <w:rFonts w:eastAsia="SimSun"/>
              </w:rPr>
              <w:t>390 мг/м</w:t>
            </w:r>
            <w:r w:rsidRPr="001E6DBE">
              <w:rPr>
                <w:rFonts w:eastAsia="SimSun"/>
                <w:vertAlign w:val="superscript"/>
              </w:rPr>
              <w:t>2</w:t>
            </w:r>
          </w:p>
        </w:tc>
        <w:tc>
          <w:tcPr>
            <w:tcW w:w="1418" w:type="dxa"/>
            <w:vAlign w:val="center"/>
          </w:tcPr>
          <w:p w14:paraId="40D7B505" w14:textId="77777777" w:rsidR="00304132" w:rsidRPr="00AC3044" w:rsidRDefault="00304132" w:rsidP="00CD5E09">
            <w:pPr>
              <w:rPr>
                <w:rFonts w:eastAsia="SimSun"/>
              </w:rPr>
            </w:pPr>
            <w:r w:rsidRPr="00AC3044">
              <w:rPr>
                <w:rFonts w:eastAsia="SimSun"/>
              </w:rPr>
              <w:t xml:space="preserve">  С -4 дня по -2 день</w:t>
            </w:r>
          </w:p>
        </w:tc>
        <w:tc>
          <w:tcPr>
            <w:tcW w:w="2268" w:type="dxa"/>
            <w:vAlign w:val="center"/>
          </w:tcPr>
          <w:p w14:paraId="2E4847C6" w14:textId="77777777" w:rsidR="00304132" w:rsidRPr="00AC3044" w:rsidRDefault="00304132" w:rsidP="00CD5E09">
            <w:pPr>
              <w:rPr>
                <w:rFonts w:eastAsia="SimSun"/>
              </w:rPr>
            </w:pPr>
            <w:r w:rsidRPr="00AC3044">
              <w:rPr>
                <w:rFonts w:eastAsia="SimSun"/>
              </w:rPr>
              <w:t>В/в, в течение 1 часа</w:t>
            </w:r>
          </w:p>
        </w:tc>
      </w:tr>
      <w:tr w:rsidR="00304132" w:rsidRPr="00AC3044" w14:paraId="76FF5306" w14:textId="77777777" w:rsidTr="00CD5E09">
        <w:trPr>
          <w:cantSplit/>
          <w:trHeight w:val="958"/>
        </w:trPr>
        <w:tc>
          <w:tcPr>
            <w:tcW w:w="959" w:type="dxa"/>
            <w:vMerge w:val="restart"/>
            <w:textDirection w:val="btLr"/>
            <w:vAlign w:val="center"/>
          </w:tcPr>
          <w:p w14:paraId="75998654" w14:textId="77777777" w:rsidR="00304132" w:rsidRPr="00AC3044" w:rsidRDefault="00304132" w:rsidP="00CD5E09">
            <w:pPr>
              <w:rPr>
                <w:rFonts w:eastAsia="SimSun"/>
              </w:rPr>
            </w:pPr>
            <w:r w:rsidRPr="00AC3044">
              <w:rPr>
                <w:rFonts w:eastAsia="SimSun"/>
              </w:rPr>
              <w:lastRenderedPageBreak/>
              <w:t>Профилактика РТПХ</w:t>
            </w:r>
          </w:p>
        </w:tc>
        <w:tc>
          <w:tcPr>
            <w:tcW w:w="1701" w:type="dxa"/>
            <w:vAlign w:val="center"/>
          </w:tcPr>
          <w:p w14:paraId="1DC34DC9" w14:textId="77777777" w:rsidR="00304132" w:rsidRPr="00AC3044" w:rsidRDefault="00304132" w:rsidP="00CD5E09">
            <w:pPr>
              <w:rPr>
                <w:rFonts w:eastAsia="SimSun"/>
              </w:rPr>
            </w:pPr>
            <w:r w:rsidRPr="00AC3044">
              <w:rPr>
                <w:rFonts w:eastAsia="SimSun"/>
              </w:rPr>
              <w:t xml:space="preserve">Такролимус </w:t>
            </w:r>
          </w:p>
        </w:tc>
        <w:tc>
          <w:tcPr>
            <w:tcW w:w="1559" w:type="dxa"/>
            <w:vAlign w:val="center"/>
          </w:tcPr>
          <w:p w14:paraId="688BE8DD" w14:textId="77777777" w:rsidR="00304132" w:rsidRPr="00AC3044" w:rsidRDefault="00304132" w:rsidP="00CD5E09">
            <w:pPr>
              <w:rPr>
                <w:rFonts w:eastAsia="SimSun"/>
              </w:rPr>
            </w:pPr>
            <w:r w:rsidRPr="00AC3044">
              <w:rPr>
                <w:rFonts w:eastAsia="SimSun"/>
              </w:rPr>
              <w:t>0,03 мг/кг</w:t>
            </w:r>
          </w:p>
        </w:tc>
        <w:tc>
          <w:tcPr>
            <w:tcW w:w="1701" w:type="dxa"/>
            <w:vAlign w:val="center"/>
          </w:tcPr>
          <w:p w14:paraId="5A71661D" w14:textId="77777777" w:rsidR="00304132" w:rsidRPr="00AC3044" w:rsidRDefault="00304132" w:rsidP="00CD5E09">
            <w:pPr>
              <w:rPr>
                <w:rFonts w:eastAsia="SimSun"/>
              </w:rPr>
            </w:pPr>
            <w:r w:rsidRPr="00AC3044">
              <w:rPr>
                <w:rFonts w:eastAsia="SimSun"/>
              </w:rPr>
              <w:t>–</w:t>
            </w:r>
          </w:p>
        </w:tc>
        <w:tc>
          <w:tcPr>
            <w:tcW w:w="1418" w:type="dxa"/>
            <w:vAlign w:val="center"/>
          </w:tcPr>
          <w:p w14:paraId="4B673BBA" w14:textId="77777777" w:rsidR="00304132" w:rsidRPr="00AC3044" w:rsidRDefault="00304132" w:rsidP="00CD5E09">
            <w:pPr>
              <w:rPr>
                <w:rFonts w:eastAsia="SimSun"/>
              </w:rPr>
            </w:pPr>
            <w:r w:rsidRPr="00AC3044">
              <w:rPr>
                <w:rFonts w:eastAsia="SimSun"/>
              </w:rPr>
              <w:t xml:space="preserve">С +5 дня длительно </w:t>
            </w:r>
          </w:p>
        </w:tc>
        <w:tc>
          <w:tcPr>
            <w:tcW w:w="2268" w:type="dxa"/>
            <w:vAlign w:val="center"/>
          </w:tcPr>
          <w:p w14:paraId="526B3C90" w14:textId="77777777" w:rsidR="00304132" w:rsidRPr="00AC3044" w:rsidRDefault="00304132" w:rsidP="00CD5E09">
            <w:pPr>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w:t>
            </w:r>
            <w:r w:rsidRPr="00AC3044">
              <w:rPr>
                <w:rFonts w:eastAsia="SimSun"/>
              </w:rPr>
              <w:t xml:space="preserve"> 10</w:t>
            </w:r>
            <w:r w:rsidRPr="001E6DBE">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304132" w:rsidRPr="00AC3044" w14:paraId="1B72C3E4" w14:textId="77777777" w:rsidTr="00CD5E09">
        <w:trPr>
          <w:cantSplit/>
          <w:trHeight w:val="579"/>
        </w:trPr>
        <w:tc>
          <w:tcPr>
            <w:tcW w:w="959" w:type="dxa"/>
            <w:vMerge/>
            <w:textDirection w:val="btLr"/>
            <w:vAlign w:val="center"/>
          </w:tcPr>
          <w:p w14:paraId="3C2110E7" w14:textId="77777777" w:rsidR="00304132" w:rsidRPr="00AC3044" w:rsidRDefault="00304132" w:rsidP="00CD5E09">
            <w:pPr>
              <w:rPr>
                <w:rFonts w:eastAsia="SimSun"/>
              </w:rPr>
            </w:pPr>
          </w:p>
        </w:tc>
        <w:tc>
          <w:tcPr>
            <w:tcW w:w="1701" w:type="dxa"/>
            <w:vAlign w:val="center"/>
          </w:tcPr>
          <w:p w14:paraId="5B925458" w14:textId="77777777" w:rsidR="00304132" w:rsidRPr="00AC3044" w:rsidRDefault="00304132" w:rsidP="00CD5E09">
            <w:pPr>
              <w:rPr>
                <w:rFonts w:eastAsia="SimSun"/>
              </w:rPr>
            </w:pPr>
            <w:r w:rsidRPr="00AC3044">
              <w:rPr>
                <w:rFonts w:eastAsia="SimSun"/>
              </w:rPr>
              <w:t>Циклофосфамид</w:t>
            </w:r>
          </w:p>
        </w:tc>
        <w:tc>
          <w:tcPr>
            <w:tcW w:w="1559" w:type="dxa"/>
            <w:vAlign w:val="center"/>
          </w:tcPr>
          <w:p w14:paraId="17BA996D" w14:textId="77777777" w:rsidR="00304132" w:rsidRPr="00AC3044" w:rsidRDefault="00304132" w:rsidP="00CD5E09">
            <w:pPr>
              <w:rPr>
                <w:rFonts w:eastAsia="SimSun"/>
              </w:rPr>
            </w:pPr>
            <w:r w:rsidRPr="00AC3044">
              <w:rPr>
                <w:rFonts w:eastAsia="SimSun"/>
              </w:rPr>
              <w:t>50 мг/кг</w:t>
            </w:r>
          </w:p>
        </w:tc>
        <w:tc>
          <w:tcPr>
            <w:tcW w:w="1701" w:type="dxa"/>
            <w:vAlign w:val="center"/>
          </w:tcPr>
          <w:p w14:paraId="6C9C9BD3" w14:textId="77777777" w:rsidR="00304132" w:rsidRPr="00AC3044" w:rsidRDefault="00304132" w:rsidP="00CD5E09">
            <w:pPr>
              <w:rPr>
                <w:rFonts w:eastAsia="SimSun"/>
              </w:rPr>
            </w:pPr>
            <w:r w:rsidRPr="00AC3044">
              <w:rPr>
                <w:rFonts w:eastAsia="SimSun"/>
              </w:rPr>
              <w:t>100 мг/кг</w:t>
            </w:r>
          </w:p>
        </w:tc>
        <w:tc>
          <w:tcPr>
            <w:tcW w:w="1418" w:type="dxa"/>
            <w:vAlign w:val="center"/>
          </w:tcPr>
          <w:p w14:paraId="4F12D474" w14:textId="77777777" w:rsidR="00304132" w:rsidRPr="00AC3044" w:rsidRDefault="00304132" w:rsidP="00CD5E09">
            <w:pPr>
              <w:rPr>
                <w:rFonts w:eastAsia="SimSun"/>
              </w:rPr>
            </w:pPr>
            <w:r w:rsidRPr="00AC3044">
              <w:rPr>
                <w:rFonts w:eastAsia="SimSun"/>
              </w:rPr>
              <w:t xml:space="preserve">В дни +3, +4 </w:t>
            </w:r>
          </w:p>
        </w:tc>
        <w:tc>
          <w:tcPr>
            <w:tcW w:w="2268" w:type="dxa"/>
            <w:vAlign w:val="center"/>
          </w:tcPr>
          <w:p w14:paraId="206D4813" w14:textId="77777777" w:rsidR="00304132" w:rsidRPr="00AC3044" w:rsidRDefault="00304132" w:rsidP="00CD5E09">
            <w:pPr>
              <w:rPr>
                <w:rFonts w:eastAsia="SimSun"/>
              </w:rPr>
            </w:pPr>
            <w:r w:rsidRPr="00AC3044">
              <w:rPr>
                <w:rFonts w:eastAsia="SimSun"/>
              </w:rPr>
              <w:t>В/в, в течение 2 часов</w:t>
            </w:r>
          </w:p>
        </w:tc>
      </w:tr>
      <w:tr w:rsidR="00304132" w:rsidRPr="00AC3044" w14:paraId="6B2FBB71" w14:textId="77777777" w:rsidTr="00CD5E09">
        <w:trPr>
          <w:cantSplit/>
          <w:trHeight w:val="418"/>
        </w:trPr>
        <w:tc>
          <w:tcPr>
            <w:tcW w:w="959" w:type="dxa"/>
            <w:vMerge/>
            <w:textDirection w:val="btLr"/>
            <w:vAlign w:val="center"/>
          </w:tcPr>
          <w:p w14:paraId="1CD1C424" w14:textId="77777777" w:rsidR="00304132" w:rsidRPr="00AC3044" w:rsidRDefault="00304132" w:rsidP="00CD5E09">
            <w:pPr>
              <w:rPr>
                <w:rFonts w:eastAsia="SimSun"/>
              </w:rPr>
            </w:pPr>
          </w:p>
        </w:tc>
        <w:tc>
          <w:tcPr>
            <w:tcW w:w="1701" w:type="dxa"/>
            <w:vAlign w:val="center"/>
          </w:tcPr>
          <w:p w14:paraId="365E6967" w14:textId="77777777" w:rsidR="00304132" w:rsidRPr="00AC3044" w:rsidRDefault="00304132" w:rsidP="00CD5E09">
            <w:pPr>
              <w:rPr>
                <w:rFonts w:eastAsia="SimSun"/>
              </w:rPr>
            </w:pPr>
            <w:r w:rsidRPr="00AC3044">
              <w:rPr>
                <w:rFonts w:eastAsia="SimSun"/>
              </w:rPr>
              <w:t>Микофенолата мофетил</w:t>
            </w:r>
          </w:p>
        </w:tc>
        <w:tc>
          <w:tcPr>
            <w:tcW w:w="1559" w:type="dxa"/>
            <w:vAlign w:val="center"/>
          </w:tcPr>
          <w:p w14:paraId="5EFE6377" w14:textId="77777777" w:rsidR="00304132" w:rsidRPr="00AC3044" w:rsidRDefault="00304132" w:rsidP="00CD5E09">
            <w:pPr>
              <w:rPr>
                <w:rFonts w:eastAsia="SimSun"/>
              </w:rPr>
            </w:pPr>
            <w:r w:rsidRPr="00AC3044">
              <w:rPr>
                <w:rFonts w:eastAsia="SimSun"/>
              </w:rPr>
              <w:t xml:space="preserve">30 мг/кг </w:t>
            </w:r>
          </w:p>
        </w:tc>
        <w:tc>
          <w:tcPr>
            <w:tcW w:w="1701" w:type="dxa"/>
            <w:vAlign w:val="center"/>
          </w:tcPr>
          <w:p w14:paraId="603ABE45" w14:textId="77777777" w:rsidR="00304132" w:rsidRPr="00AC3044" w:rsidRDefault="00304132" w:rsidP="00CD5E09">
            <w:pPr>
              <w:rPr>
                <w:rFonts w:eastAsia="SimSun"/>
              </w:rPr>
            </w:pPr>
            <w:r w:rsidRPr="00AC3044">
              <w:rPr>
                <w:rFonts w:eastAsia="SimSun"/>
              </w:rPr>
              <w:t>–</w:t>
            </w:r>
          </w:p>
        </w:tc>
        <w:tc>
          <w:tcPr>
            <w:tcW w:w="1418" w:type="dxa"/>
            <w:vAlign w:val="center"/>
          </w:tcPr>
          <w:p w14:paraId="48A24870" w14:textId="77777777" w:rsidR="00304132" w:rsidRPr="00AC3044" w:rsidRDefault="00304132" w:rsidP="00CD5E09">
            <w:pPr>
              <w:rPr>
                <w:rFonts w:eastAsia="SimSun"/>
              </w:rPr>
            </w:pPr>
            <w:r w:rsidRPr="00AC3044">
              <w:rPr>
                <w:rFonts w:eastAsia="SimSun"/>
              </w:rPr>
              <w:t xml:space="preserve">С +5 дня по +35 день </w:t>
            </w:r>
          </w:p>
        </w:tc>
        <w:tc>
          <w:tcPr>
            <w:tcW w:w="2268" w:type="dxa"/>
            <w:vAlign w:val="center"/>
          </w:tcPr>
          <w:p w14:paraId="14C1D5B2" w14:textId="77777777" w:rsidR="00304132" w:rsidRPr="00AC3044" w:rsidRDefault="00304132" w:rsidP="00CD5E09">
            <w:pPr>
              <w:rPr>
                <w:rFonts w:eastAsia="SimSun"/>
              </w:rPr>
            </w:pPr>
            <w:r w:rsidRPr="00AC3044">
              <w:rPr>
                <w:rFonts w:eastAsia="SimSun"/>
              </w:rPr>
              <w:t>Внутрь, суммарная суточная доза разделяется на 2- 4 приема.</w:t>
            </w:r>
          </w:p>
        </w:tc>
      </w:tr>
    </w:tbl>
    <w:p w14:paraId="2136DD95" w14:textId="77777777" w:rsidR="00304132" w:rsidRDefault="00304132" w:rsidP="00304132">
      <w:pPr>
        <w:rPr>
          <w:rFonts w:eastAsia="SimSun"/>
        </w:rPr>
      </w:pPr>
      <w:bookmarkStart w:id="320" w:name="_Toc44401175"/>
    </w:p>
    <w:p w14:paraId="50DF5699" w14:textId="77777777" w:rsidR="00304132" w:rsidRPr="00042499" w:rsidRDefault="00304132" w:rsidP="00304132">
      <w:pPr>
        <w:rPr>
          <w:rFonts w:eastAsia="SimSun"/>
          <w:lang w:val="en-US"/>
        </w:rPr>
      </w:pPr>
      <w:r>
        <w:rPr>
          <w:rFonts w:eastAsia="SimSun"/>
        </w:rPr>
        <w:t>Таблица</w:t>
      </w:r>
      <w:r w:rsidRPr="00042499">
        <w:rPr>
          <w:rFonts w:eastAsia="SimSun"/>
          <w:lang w:val="en-US"/>
        </w:rPr>
        <w:t xml:space="preserve"> </w:t>
      </w:r>
      <w:r>
        <w:rPr>
          <w:rFonts w:eastAsia="SimSun"/>
          <w:lang w:val="en-US"/>
        </w:rPr>
        <w:t>5.</w:t>
      </w:r>
      <w:r w:rsidRPr="00042499">
        <w:rPr>
          <w:rFonts w:eastAsia="SimSun"/>
          <w:lang w:val="en-US"/>
        </w:rPr>
        <w:t xml:space="preserve">1.2.17  – </w:t>
      </w:r>
      <w:r w:rsidRPr="00C07B2E">
        <w:rPr>
          <w:rFonts w:eastAsia="SimSun"/>
        </w:rPr>
        <w:t>Flu</w:t>
      </w:r>
      <w:r w:rsidRPr="00042499">
        <w:rPr>
          <w:rFonts w:eastAsia="SimSun"/>
          <w:lang w:val="en-US"/>
        </w:rPr>
        <w:t>90+</w:t>
      </w:r>
      <w:r w:rsidRPr="00C07B2E">
        <w:rPr>
          <w:rFonts w:eastAsia="SimSun"/>
        </w:rPr>
        <w:t>Benda</w:t>
      </w:r>
      <w:r w:rsidRPr="00042499">
        <w:rPr>
          <w:rFonts w:eastAsia="SimSun"/>
          <w:lang w:val="en-US"/>
        </w:rPr>
        <w:t xml:space="preserve"> /</w:t>
      </w:r>
      <w:r w:rsidRPr="00C07B2E">
        <w:rPr>
          <w:rFonts w:eastAsia="SimSun"/>
        </w:rPr>
        <w:t>PT</w:t>
      </w:r>
      <w:r w:rsidRPr="00042499">
        <w:rPr>
          <w:rFonts w:eastAsia="SimSun"/>
          <w:lang w:val="en-US"/>
        </w:rPr>
        <w:t>-</w:t>
      </w:r>
      <w:r w:rsidRPr="00C07B2E">
        <w:rPr>
          <w:rFonts w:eastAsia="SimSun"/>
        </w:rPr>
        <w:t>Cy</w:t>
      </w:r>
      <w:bookmarkEnd w:id="320"/>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9"/>
        <w:gridCol w:w="1701"/>
        <w:gridCol w:w="1559"/>
        <w:gridCol w:w="1701"/>
        <w:gridCol w:w="1418"/>
        <w:gridCol w:w="2268"/>
      </w:tblGrid>
      <w:tr w:rsidR="00304132" w:rsidRPr="00AC3044" w14:paraId="7B8D68C8" w14:textId="77777777" w:rsidTr="00CD5E09">
        <w:trPr>
          <w:cantSplit/>
          <w:trHeight w:val="20"/>
          <w:tblHeader/>
        </w:trPr>
        <w:tc>
          <w:tcPr>
            <w:tcW w:w="959" w:type="dxa"/>
            <w:vAlign w:val="center"/>
          </w:tcPr>
          <w:p w14:paraId="230A11A3" w14:textId="77777777" w:rsidR="00304132" w:rsidRPr="009B5A5D" w:rsidRDefault="00304132" w:rsidP="00CD5E09">
            <w:pPr>
              <w:rPr>
                <w:rFonts w:eastAsia="SimSun"/>
                <w:lang w:val="en-US"/>
              </w:rPr>
            </w:pPr>
          </w:p>
        </w:tc>
        <w:tc>
          <w:tcPr>
            <w:tcW w:w="1701" w:type="dxa"/>
            <w:vAlign w:val="center"/>
          </w:tcPr>
          <w:p w14:paraId="54535CD3" w14:textId="77777777" w:rsidR="00304132" w:rsidRPr="00AC3044" w:rsidRDefault="00304132" w:rsidP="00CD5E09">
            <w:pPr>
              <w:rPr>
                <w:rFonts w:eastAsia="SimSun"/>
              </w:rPr>
            </w:pPr>
            <w:r w:rsidRPr="00AC3044">
              <w:rPr>
                <w:rFonts w:eastAsia="SimSun"/>
              </w:rPr>
              <w:t>Препарат</w:t>
            </w:r>
          </w:p>
        </w:tc>
        <w:tc>
          <w:tcPr>
            <w:tcW w:w="1559" w:type="dxa"/>
            <w:vAlign w:val="center"/>
          </w:tcPr>
          <w:p w14:paraId="1D1CF6DA" w14:textId="77777777" w:rsidR="00304132" w:rsidRPr="00AC3044" w:rsidRDefault="00304132" w:rsidP="00CD5E09">
            <w:pPr>
              <w:rPr>
                <w:rFonts w:eastAsia="SimSun"/>
              </w:rPr>
            </w:pPr>
            <w:r w:rsidRPr="00AC3044">
              <w:rPr>
                <w:rFonts w:eastAsia="SimSun"/>
              </w:rPr>
              <w:t>Суточная доза</w:t>
            </w:r>
          </w:p>
        </w:tc>
        <w:tc>
          <w:tcPr>
            <w:tcW w:w="1701" w:type="dxa"/>
            <w:vAlign w:val="center"/>
          </w:tcPr>
          <w:p w14:paraId="7B36C7C2" w14:textId="77777777" w:rsidR="00304132" w:rsidRPr="00AC3044" w:rsidRDefault="00304132" w:rsidP="00CD5E09">
            <w:pPr>
              <w:rPr>
                <w:rFonts w:eastAsia="SimSun"/>
              </w:rPr>
            </w:pPr>
            <w:r w:rsidRPr="00AC3044">
              <w:rPr>
                <w:rFonts w:eastAsia="SimSun"/>
              </w:rPr>
              <w:t>Курсовая доза</w:t>
            </w:r>
          </w:p>
        </w:tc>
        <w:tc>
          <w:tcPr>
            <w:tcW w:w="1418" w:type="dxa"/>
            <w:vAlign w:val="center"/>
          </w:tcPr>
          <w:p w14:paraId="7F9A5103" w14:textId="77777777" w:rsidR="00304132" w:rsidRPr="00AC3044" w:rsidRDefault="00304132" w:rsidP="00CD5E09">
            <w:pPr>
              <w:rPr>
                <w:rFonts w:eastAsia="SimSun"/>
              </w:rPr>
            </w:pPr>
            <w:r w:rsidRPr="00AC3044">
              <w:rPr>
                <w:rFonts w:eastAsia="SimSun"/>
              </w:rPr>
              <w:t>Дни введения</w:t>
            </w:r>
          </w:p>
        </w:tc>
        <w:tc>
          <w:tcPr>
            <w:tcW w:w="2268" w:type="dxa"/>
            <w:vAlign w:val="center"/>
          </w:tcPr>
          <w:p w14:paraId="5E22E3E3" w14:textId="77777777" w:rsidR="00304132" w:rsidRPr="00AC3044" w:rsidRDefault="00304132" w:rsidP="00CD5E09">
            <w:pPr>
              <w:rPr>
                <w:rFonts w:eastAsia="SimSun"/>
              </w:rPr>
            </w:pPr>
            <w:r w:rsidRPr="00AC3044">
              <w:rPr>
                <w:rFonts w:eastAsia="SimSun"/>
              </w:rPr>
              <w:t>Порядок введения</w:t>
            </w:r>
          </w:p>
        </w:tc>
      </w:tr>
      <w:tr w:rsidR="00304132" w:rsidRPr="00AC3044" w14:paraId="6EC10FC6" w14:textId="77777777" w:rsidTr="00CD5E09">
        <w:trPr>
          <w:cantSplit/>
          <w:trHeight w:val="20"/>
        </w:trPr>
        <w:tc>
          <w:tcPr>
            <w:tcW w:w="959" w:type="dxa"/>
            <w:vMerge w:val="restart"/>
            <w:textDirection w:val="btLr"/>
            <w:vAlign w:val="center"/>
          </w:tcPr>
          <w:p w14:paraId="7AF9C161" w14:textId="77777777" w:rsidR="00304132" w:rsidRPr="00AC3044" w:rsidRDefault="00304132" w:rsidP="00CD5E09">
            <w:pPr>
              <w:rPr>
                <w:rFonts w:eastAsia="SimSun"/>
              </w:rPr>
            </w:pPr>
            <w:r w:rsidRPr="00AC3044">
              <w:rPr>
                <w:rFonts w:eastAsia="SimSun"/>
              </w:rPr>
              <w:t>Кондиционирование</w:t>
            </w:r>
          </w:p>
        </w:tc>
        <w:tc>
          <w:tcPr>
            <w:tcW w:w="1701" w:type="dxa"/>
            <w:vAlign w:val="center"/>
          </w:tcPr>
          <w:p w14:paraId="5A7CA8D6" w14:textId="77777777" w:rsidR="00304132" w:rsidRPr="00AC3044" w:rsidRDefault="00304132" w:rsidP="00CD5E09">
            <w:pPr>
              <w:rPr>
                <w:rFonts w:eastAsia="SimSun"/>
              </w:rPr>
            </w:pPr>
            <w:r w:rsidRPr="00AC3044">
              <w:rPr>
                <w:rFonts w:eastAsia="SimSun"/>
              </w:rPr>
              <w:t xml:space="preserve">Флударабин </w:t>
            </w:r>
          </w:p>
        </w:tc>
        <w:tc>
          <w:tcPr>
            <w:tcW w:w="1559" w:type="dxa"/>
            <w:vAlign w:val="center"/>
          </w:tcPr>
          <w:p w14:paraId="7B660AA8" w14:textId="77777777" w:rsidR="00304132" w:rsidRPr="00AC3044" w:rsidRDefault="00304132" w:rsidP="00CD5E09">
            <w:pPr>
              <w:rPr>
                <w:rFonts w:eastAsia="SimSun"/>
              </w:rPr>
            </w:pPr>
            <w:r w:rsidRPr="00AC3044">
              <w:rPr>
                <w:rFonts w:eastAsia="SimSun"/>
              </w:rPr>
              <w:t>30 мг/м</w:t>
            </w:r>
            <w:r w:rsidRPr="001E6DBE">
              <w:rPr>
                <w:rFonts w:eastAsia="SimSun"/>
                <w:vertAlign w:val="superscript"/>
              </w:rPr>
              <w:t>2</w:t>
            </w:r>
          </w:p>
        </w:tc>
        <w:tc>
          <w:tcPr>
            <w:tcW w:w="1701" w:type="dxa"/>
            <w:vAlign w:val="center"/>
          </w:tcPr>
          <w:p w14:paraId="14B3C4F9" w14:textId="77777777" w:rsidR="00304132" w:rsidRPr="00AC3044" w:rsidRDefault="00304132" w:rsidP="00CD5E09">
            <w:pPr>
              <w:rPr>
                <w:rFonts w:eastAsia="SimSun"/>
              </w:rPr>
            </w:pPr>
            <w:r w:rsidRPr="00AC3044">
              <w:rPr>
                <w:rFonts w:eastAsia="SimSun"/>
              </w:rPr>
              <w:t>90 мг/м</w:t>
            </w:r>
            <w:r w:rsidRPr="001E6DBE">
              <w:rPr>
                <w:rFonts w:eastAsia="SimSun"/>
                <w:vertAlign w:val="superscript"/>
              </w:rPr>
              <w:t>2</w:t>
            </w:r>
          </w:p>
        </w:tc>
        <w:tc>
          <w:tcPr>
            <w:tcW w:w="1418" w:type="dxa"/>
            <w:vAlign w:val="center"/>
          </w:tcPr>
          <w:p w14:paraId="4F983456" w14:textId="77777777" w:rsidR="00304132" w:rsidRPr="00AC3044" w:rsidRDefault="00304132" w:rsidP="00CD5E09">
            <w:pPr>
              <w:rPr>
                <w:rFonts w:eastAsia="SimSun"/>
              </w:rPr>
            </w:pPr>
            <w:r w:rsidRPr="00AC3044">
              <w:rPr>
                <w:rFonts w:eastAsia="SimSun"/>
              </w:rPr>
              <w:t>С -4 дня по -2 день</w:t>
            </w:r>
          </w:p>
        </w:tc>
        <w:tc>
          <w:tcPr>
            <w:tcW w:w="2268" w:type="dxa"/>
            <w:vAlign w:val="center"/>
          </w:tcPr>
          <w:p w14:paraId="1D1CA3B5" w14:textId="77777777" w:rsidR="00304132" w:rsidRPr="00AC3044" w:rsidRDefault="00304132" w:rsidP="00CD5E09">
            <w:pPr>
              <w:rPr>
                <w:rFonts w:eastAsia="SimSun"/>
              </w:rPr>
            </w:pPr>
            <w:r w:rsidRPr="00AC3044">
              <w:rPr>
                <w:rFonts w:eastAsia="SimSun"/>
              </w:rPr>
              <w:t>В/в, в течение 30 -60 мин</w:t>
            </w:r>
          </w:p>
        </w:tc>
      </w:tr>
      <w:tr w:rsidR="00304132" w:rsidRPr="00AC3044" w14:paraId="3D29C72B" w14:textId="77777777" w:rsidTr="00CD5E09">
        <w:trPr>
          <w:cantSplit/>
          <w:trHeight w:val="394"/>
        </w:trPr>
        <w:tc>
          <w:tcPr>
            <w:tcW w:w="959" w:type="dxa"/>
            <w:vMerge/>
            <w:vAlign w:val="center"/>
          </w:tcPr>
          <w:p w14:paraId="7F870188" w14:textId="77777777" w:rsidR="00304132" w:rsidRPr="00AC3044" w:rsidRDefault="00304132" w:rsidP="00CD5E09">
            <w:pPr>
              <w:rPr>
                <w:rFonts w:eastAsia="SimSun"/>
              </w:rPr>
            </w:pPr>
          </w:p>
        </w:tc>
        <w:tc>
          <w:tcPr>
            <w:tcW w:w="1701" w:type="dxa"/>
            <w:vAlign w:val="center"/>
          </w:tcPr>
          <w:p w14:paraId="7952C01B" w14:textId="77777777" w:rsidR="00304132" w:rsidRPr="00AC3044" w:rsidRDefault="00304132" w:rsidP="00CD5E09">
            <w:pPr>
              <w:rPr>
                <w:rFonts w:eastAsia="SimSun"/>
              </w:rPr>
            </w:pPr>
            <w:r w:rsidRPr="00AC3044">
              <w:rPr>
                <w:rFonts w:eastAsia="SimSun"/>
              </w:rPr>
              <w:t>Бендамустин</w:t>
            </w:r>
          </w:p>
        </w:tc>
        <w:tc>
          <w:tcPr>
            <w:tcW w:w="1559" w:type="dxa"/>
            <w:vAlign w:val="center"/>
          </w:tcPr>
          <w:p w14:paraId="76A0B5D4" w14:textId="77777777" w:rsidR="00304132" w:rsidRPr="00AC3044" w:rsidRDefault="00304132" w:rsidP="00CD5E09">
            <w:pPr>
              <w:rPr>
                <w:rFonts w:eastAsia="SimSun"/>
              </w:rPr>
            </w:pPr>
            <w:r w:rsidRPr="00AC3044">
              <w:rPr>
                <w:rFonts w:eastAsia="SimSun"/>
              </w:rPr>
              <w:t>130 мг/м</w:t>
            </w:r>
            <w:r w:rsidRPr="001E6DBE">
              <w:rPr>
                <w:rFonts w:eastAsia="SimSun"/>
                <w:vertAlign w:val="superscript"/>
              </w:rPr>
              <w:t>2</w:t>
            </w:r>
            <w:r w:rsidRPr="00AC3044">
              <w:rPr>
                <w:rFonts w:eastAsia="SimSun"/>
              </w:rPr>
              <w:t xml:space="preserve"> </w:t>
            </w:r>
          </w:p>
        </w:tc>
        <w:tc>
          <w:tcPr>
            <w:tcW w:w="1701" w:type="dxa"/>
            <w:vAlign w:val="center"/>
          </w:tcPr>
          <w:p w14:paraId="0E6C871F" w14:textId="77777777" w:rsidR="00304132" w:rsidRPr="00AC3044" w:rsidRDefault="00304132" w:rsidP="00CD5E09">
            <w:pPr>
              <w:rPr>
                <w:rFonts w:eastAsia="SimSun"/>
              </w:rPr>
            </w:pPr>
            <w:r w:rsidRPr="00AC3044">
              <w:rPr>
                <w:rFonts w:eastAsia="SimSun"/>
              </w:rPr>
              <w:t>390 мг/м</w:t>
            </w:r>
            <w:r w:rsidRPr="001E6DBE">
              <w:rPr>
                <w:rFonts w:eastAsia="SimSun"/>
                <w:vertAlign w:val="superscript"/>
              </w:rPr>
              <w:t>2</w:t>
            </w:r>
          </w:p>
        </w:tc>
        <w:tc>
          <w:tcPr>
            <w:tcW w:w="1418" w:type="dxa"/>
            <w:vAlign w:val="center"/>
          </w:tcPr>
          <w:p w14:paraId="74886289" w14:textId="77777777" w:rsidR="00304132" w:rsidRPr="00AC3044" w:rsidRDefault="00304132" w:rsidP="00CD5E09">
            <w:pPr>
              <w:rPr>
                <w:rFonts w:eastAsia="SimSun"/>
              </w:rPr>
            </w:pPr>
            <w:r w:rsidRPr="00AC3044">
              <w:rPr>
                <w:rFonts w:eastAsia="SimSun"/>
              </w:rPr>
              <w:t xml:space="preserve">  С -4 дня по -2 день</w:t>
            </w:r>
          </w:p>
        </w:tc>
        <w:tc>
          <w:tcPr>
            <w:tcW w:w="2268" w:type="dxa"/>
            <w:vAlign w:val="center"/>
          </w:tcPr>
          <w:p w14:paraId="2F391D67" w14:textId="77777777" w:rsidR="00304132" w:rsidRPr="00AC3044" w:rsidRDefault="00304132" w:rsidP="00CD5E09">
            <w:pPr>
              <w:rPr>
                <w:rFonts w:eastAsia="SimSun"/>
              </w:rPr>
            </w:pPr>
            <w:r w:rsidRPr="00AC3044">
              <w:rPr>
                <w:rFonts w:eastAsia="SimSun"/>
              </w:rPr>
              <w:t>В/в, в течение 1 часа</w:t>
            </w:r>
          </w:p>
        </w:tc>
      </w:tr>
      <w:tr w:rsidR="00304132" w:rsidRPr="00AC3044" w14:paraId="1430D235" w14:textId="77777777" w:rsidTr="00CD5E09">
        <w:trPr>
          <w:cantSplit/>
          <w:trHeight w:val="958"/>
        </w:trPr>
        <w:tc>
          <w:tcPr>
            <w:tcW w:w="959" w:type="dxa"/>
            <w:textDirection w:val="btLr"/>
            <w:vAlign w:val="center"/>
          </w:tcPr>
          <w:p w14:paraId="06CA92CB" w14:textId="77777777" w:rsidR="00304132" w:rsidRPr="00AC3044" w:rsidRDefault="00304132" w:rsidP="00CD5E09">
            <w:pPr>
              <w:rPr>
                <w:rFonts w:eastAsia="SimSun"/>
              </w:rPr>
            </w:pPr>
            <w:r w:rsidRPr="00AC3044">
              <w:rPr>
                <w:rFonts w:eastAsia="SimSun"/>
              </w:rPr>
              <w:lastRenderedPageBreak/>
              <w:t>Профилактика РТПХ</w:t>
            </w:r>
          </w:p>
        </w:tc>
        <w:tc>
          <w:tcPr>
            <w:tcW w:w="1701" w:type="dxa"/>
            <w:vAlign w:val="center"/>
          </w:tcPr>
          <w:p w14:paraId="246E24E1" w14:textId="77777777" w:rsidR="00304132" w:rsidRPr="00AC3044" w:rsidRDefault="00304132" w:rsidP="00CD5E09">
            <w:pPr>
              <w:rPr>
                <w:rFonts w:eastAsia="SimSun"/>
              </w:rPr>
            </w:pPr>
            <w:r w:rsidRPr="00AC3044">
              <w:rPr>
                <w:rFonts w:eastAsia="SimSun"/>
              </w:rPr>
              <w:t>Циклофосфамид</w:t>
            </w:r>
          </w:p>
        </w:tc>
        <w:tc>
          <w:tcPr>
            <w:tcW w:w="1559" w:type="dxa"/>
            <w:vAlign w:val="center"/>
          </w:tcPr>
          <w:p w14:paraId="308988E2" w14:textId="77777777" w:rsidR="00304132" w:rsidRPr="00AC3044" w:rsidRDefault="00304132" w:rsidP="00CD5E09">
            <w:pPr>
              <w:rPr>
                <w:rFonts w:eastAsia="SimSun"/>
              </w:rPr>
            </w:pPr>
            <w:r w:rsidRPr="00AC3044">
              <w:rPr>
                <w:rFonts w:eastAsia="SimSun"/>
              </w:rPr>
              <w:t>50 мг/кг</w:t>
            </w:r>
          </w:p>
        </w:tc>
        <w:tc>
          <w:tcPr>
            <w:tcW w:w="1701" w:type="dxa"/>
            <w:vAlign w:val="center"/>
          </w:tcPr>
          <w:p w14:paraId="275501F9" w14:textId="77777777" w:rsidR="00304132" w:rsidRPr="00AC3044" w:rsidRDefault="00304132" w:rsidP="00CD5E09">
            <w:pPr>
              <w:rPr>
                <w:rFonts w:eastAsia="SimSun"/>
              </w:rPr>
            </w:pPr>
            <w:r w:rsidRPr="00AC3044">
              <w:rPr>
                <w:rFonts w:eastAsia="SimSun"/>
              </w:rPr>
              <w:t>100 мг/кг</w:t>
            </w:r>
          </w:p>
        </w:tc>
        <w:tc>
          <w:tcPr>
            <w:tcW w:w="1418" w:type="dxa"/>
            <w:vAlign w:val="center"/>
          </w:tcPr>
          <w:p w14:paraId="033965F5" w14:textId="77777777" w:rsidR="00304132" w:rsidRPr="00AC3044" w:rsidRDefault="00304132" w:rsidP="00CD5E09">
            <w:pPr>
              <w:rPr>
                <w:rFonts w:eastAsia="SimSun"/>
              </w:rPr>
            </w:pPr>
            <w:r w:rsidRPr="00AC3044">
              <w:rPr>
                <w:rFonts w:eastAsia="SimSun"/>
              </w:rPr>
              <w:t xml:space="preserve">В дни +3, +4 </w:t>
            </w:r>
          </w:p>
        </w:tc>
        <w:tc>
          <w:tcPr>
            <w:tcW w:w="2268" w:type="dxa"/>
            <w:vAlign w:val="center"/>
          </w:tcPr>
          <w:p w14:paraId="4C0919D5" w14:textId="77777777" w:rsidR="00304132" w:rsidRPr="00AC3044" w:rsidRDefault="00304132" w:rsidP="00CD5E09">
            <w:pPr>
              <w:rPr>
                <w:rFonts w:eastAsia="SimSun"/>
              </w:rPr>
            </w:pPr>
            <w:r w:rsidRPr="00AC3044">
              <w:rPr>
                <w:rFonts w:eastAsia="SimSun"/>
              </w:rPr>
              <w:t>В/в, в течение 2 часов</w:t>
            </w:r>
          </w:p>
        </w:tc>
      </w:tr>
    </w:tbl>
    <w:p w14:paraId="2FFCECDC" w14:textId="77777777" w:rsidR="00304132" w:rsidRDefault="00304132" w:rsidP="00304132">
      <w:pPr>
        <w:rPr>
          <w:rFonts w:eastAsia="SimSun"/>
        </w:rPr>
      </w:pPr>
      <w:bookmarkStart w:id="321" w:name="_Toc44401176"/>
    </w:p>
    <w:p w14:paraId="151770D7" w14:textId="77777777" w:rsidR="00304132" w:rsidRPr="00C07B2E" w:rsidRDefault="00304132" w:rsidP="00304132">
      <w:pPr>
        <w:rPr>
          <w:rFonts w:eastAsia="SimSun"/>
        </w:rPr>
      </w:pPr>
      <w:r>
        <w:rPr>
          <w:rFonts w:eastAsia="SimSun"/>
        </w:rPr>
        <w:t>Таблица</w:t>
      </w:r>
      <w:r w:rsidRPr="00C07B2E">
        <w:rPr>
          <w:rFonts w:eastAsia="SimSun"/>
        </w:rPr>
        <w:t xml:space="preserve"> </w:t>
      </w:r>
      <w:r>
        <w:rPr>
          <w:rFonts w:eastAsia="SimSun"/>
        </w:rPr>
        <w:t>5.</w:t>
      </w:r>
      <w:r w:rsidRPr="00C07B2E">
        <w:rPr>
          <w:rFonts w:eastAsia="SimSun"/>
        </w:rPr>
        <w:t>2.2.18 – Flu100+Cy100 / hATG+CSA+MTX</w:t>
      </w:r>
      <w:bookmarkEnd w:id="321"/>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701"/>
        <w:gridCol w:w="1559"/>
        <w:gridCol w:w="1701"/>
        <w:gridCol w:w="1418"/>
        <w:gridCol w:w="2268"/>
      </w:tblGrid>
      <w:tr w:rsidR="00304132" w:rsidRPr="00AC3044" w14:paraId="487B3F15" w14:textId="77777777" w:rsidTr="00CD5E09">
        <w:trPr>
          <w:cantSplit/>
          <w:trHeight w:val="20"/>
          <w:tblHeader/>
        </w:trPr>
        <w:tc>
          <w:tcPr>
            <w:tcW w:w="993" w:type="dxa"/>
          </w:tcPr>
          <w:p w14:paraId="3F50B56F" w14:textId="77777777" w:rsidR="00304132" w:rsidRPr="00470D3D" w:rsidRDefault="00304132" w:rsidP="00CD5E09">
            <w:pPr>
              <w:rPr>
                <w:rFonts w:eastAsia="SimSun"/>
              </w:rPr>
            </w:pPr>
          </w:p>
        </w:tc>
        <w:tc>
          <w:tcPr>
            <w:tcW w:w="1701" w:type="dxa"/>
            <w:vAlign w:val="center"/>
          </w:tcPr>
          <w:p w14:paraId="164D2830" w14:textId="77777777" w:rsidR="00304132" w:rsidRPr="00AC3044" w:rsidRDefault="00304132" w:rsidP="00CD5E09">
            <w:pPr>
              <w:rPr>
                <w:rFonts w:eastAsia="SimSun"/>
              </w:rPr>
            </w:pPr>
            <w:r w:rsidRPr="00AC3044">
              <w:rPr>
                <w:rFonts w:eastAsia="SimSun"/>
              </w:rPr>
              <w:t>Препарат</w:t>
            </w:r>
          </w:p>
        </w:tc>
        <w:tc>
          <w:tcPr>
            <w:tcW w:w="1559" w:type="dxa"/>
            <w:vAlign w:val="center"/>
          </w:tcPr>
          <w:p w14:paraId="290B6A25" w14:textId="77777777" w:rsidR="00304132" w:rsidRPr="00AC3044" w:rsidRDefault="00304132" w:rsidP="00CD5E09">
            <w:pPr>
              <w:rPr>
                <w:rFonts w:eastAsia="SimSun"/>
              </w:rPr>
            </w:pPr>
            <w:r w:rsidRPr="00AC3044">
              <w:rPr>
                <w:rFonts w:eastAsia="SimSun"/>
              </w:rPr>
              <w:t>Суточная доза</w:t>
            </w:r>
          </w:p>
        </w:tc>
        <w:tc>
          <w:tcPr>
            <w:tcW w:w="1701" w:type="dxa"/>
            <w:vAlign w:val="center"/>
          </w:tcPr>
          <w:p w14:paraId="35F3C377" w14:textId="77777777" w:rsidR="00304132" w:rsidRPr="00AC3044" w:rsidRDefault="00304132" w:rsidP="00CD5E09">
            <w:pPr>
              <w:rPr>
                <w:rFonts w:eastAsia="SimSun"/>
              </w:rPr>
            </w:pPr>
            <w:r w:rsidRPr="00AC3044">
              <w:rPr>
                <w:rFonts w:eastAsia="SimSun"/>
              </w:rPr>
              <w:t>Курсовая доза</w:t>
            </w:r>
          </w:p>
        </w:tc>
        <w:tc>
          <w:tcPr>
            <w:tcW w:w="1418" w:type="dxa"/>
            <w:vAlign w:val="center"/>
          </w:tcPr>
          <w:p w14:paraId="639E84A5" w14:textId="77777777" w:rsidR="00304132" w:rsidRPr="00AC3044" w:rsidRDefault="00304132" w:rsidP="00CD5E09">
            <w:pPr>
              <w:rPr>
                <w:rFonts w:eastAsia="SimSun"/>
              </w:rPr>
            </w:pPr>
            <w:r w:rsidRPr="00AC3044">
              <w:rPr>
                <w:rFonts w:eastAsia="SimSun"/>
              </w:rPr>
              <w:t>Дни введения</w:t>
            </w:r>
          </w:p>
        </w:tc>
        <w:tc>
          <w:tcPr>
            <w:tcW w:w="2268" w:type="dxa"/>
            <w:vAlign w:val="center"/>
          </w:tcPr>
          <w:p w14:paraId="535394AB" w14:textId="77777777" w:rsidR="00304132" w:rsidRPr="00AC3044" w:rsidRDefault="00304132" w:rsidP="00CD5E09">
            <w:pPr>
              <w:rPr>
                <w:rFonts w:eastAsia="SimSun"/>
              </w:rPr>
            </w:pPr>
            <w:r w:rsidRPr="00AC3044">
              <w:rPr>
                <w:rFonts w:eastAsia="SimSun"/>
              </w:rPr>
              <w:t>Порядок введения</w:t>
            </w:r>
          </w:p>
        </w:tc>
      </w:tr>
      <w:tr w:rsidR="00304132" w:rsidRPr="00C07B2E" w14:paraId="1B164E6F" w14:textId="77777777" w:rsidTr="00CD5E09">
        <w:trPr>
          <w:cantSplit/>
          <w:trHeight w:val="20"/>
        </w:trPr>
        <w:tc>
          <w:tcPr>
            <w:tcW w:w="993" w:type="dxa"/>
            <w:vMerge w:val="restart"/>
            <w:textDirection w:val="btLr"/>
            <w:vAlign w:val="center"/>
          </w:tcPr>
          <w:p w14:paraId="3B2FF61A" w14:textId="77777777" w:rsidR="00304132" w:rsidRPr="00AC3044" w:rsidRDefault="00304132" w:rsidP="00CD5E09">
            <w:pPr>
              <w:rPr>
                <w:rFonts w:eastAsia="SimSun"/>
              </w:rPr>
            </w:pPr>
            <w:r w:rsidRPr="00AC3044">
              <w:rPr>
                <w:rFonts w:eastAsia="SimSun"/>
              </w:rPr>
              <w:t>Кондиционирование</w:t>
            </w:r>
          </w:p>
        </w:tc>
        <w:tc>
          <w:tcPr>
            <w:tcW w:w="1701" w:type="dxa"/>
            <w:vAlign w:val="center"/>
          </w:tcPr>
          <w:p w14:paraId="3A010562" w14:textId="77777777" w:rsidR="00304132" w:rsidRPr="00AC3044" w:rsidRDefault="00304132" w:rsidP="00CD5E09">
            <w:pPr>
              <w:rPr>
                <w:rFonts w:eastAsia="SimSun"/>
              </w:rPr>
            </w:pPr>
            <w:r w:rsidRPr="00AC3044">
              <w:rPr>
                <w:rFonts w:eastAsia="SimSun"/>
              </w:rPr>
              <w:t xml:space="preserve">Флударабин </w:t>
            </w:r>
          </w:p>
        </w:tc>
        <w:tc>
          <w:tcPr>
            <w:tcW w:w="1559" w:type="dxa"/>
            <w:vAlign w:val="center"/>
          </w:tcPr>
          <w:p w14:paraId="54385472" w14:textId="77777777" w:rsidR="00304132" w:rsidRPr="00AC3044" w:rsidRDefault="00304132" w:rsidP="00CD5E09">
            <w:pPr>
              <w:rPr>
                <w:rFonts w:eastAsia="SimSun"/>
              </w:rPr>
            </w:pPr>
            <w:r w:rsidRPr="00AC3044">
              <w:rPr>
                <w:rFonts w:eastAsia="SimSun"/>
              </w:rPr>
              <w:t>25 мг/м</w:t>
            </w:r>
            <w:r w:rsidRPr="001E6DBE">
              <w:rPr>
                <w:rFonts w:eastAsia="SimSun"/>
                <w:vertAlign w:val="superscript"/>
              </w:rPr>
              <w:t>2</w:t>
            </w:r>
          </w:p>
        </w:tc>
        <w:tc>
          <w:tcPr>
            <w:tcW w:w="1701" w:type="dxa"/>
            <w:vAlign w:val="center"/>
          </w:tcPr>
          <w:p w14:paraId="100C7D12" w14:textId="77777777" w:rsidR="00304132" w:rsidRPr="00AC3044" w:rsidRDefault="00304132" w:rsidP="00CD5E09">
            <w:pPr>
              <w:rPr>
                <w:rFonts w:eastAsia="SimSun"/>
              </w:rPr>
            </w:pPr>
            <w:r w:rsidRPr="00AC3044">
              <w:rPr>
                <w:rFonts w:eastAsia="SimSun"/>
              </w:rPr>
              <w:t>100 мг/м</w:t>
            </w:r>
            <w:r w:rsidRPr="001E6DBE">
              <w:rPr>
                <w:rFonts w:eastAsia="SimSun"/>
                <w:vertAlign w:val="superscript"/>
              </w:rPr>
              <w:t>2</w:t>
            </w:r>
          </w:p>
        </w:tc>
        <w:tc>
          <w:tcPr>
            <w:tcW w:w="1418" w:type="dxa"/>
            <w:vAlign w:val="center"/>
          </w:tcPr>
          <w:p w14:paraId="4A26E558" w14:textId="77777777" w:rsidR="00304132" w:rsidRPr="00AC3044" w:rsidRDefault="00304132" w:rsidP="00CD5E09">
            <w:pPr>
              <w:rPr>
                <w:rFonts w:eastAsia="SimSun"/>
              </w:rPr>
            </w:pPr>
            <w:r w:rsidRPr="00AC3044">
              <w:rPr>
                <w:rFonts w:eastAsia="SimSun"/>
              </w:rPr>
              <w:t xml:space="preserve">С –5 по –2 день </w:t>
            </w:r>
          </w:p>
        </w:tc>
        <w:tc>
          <w:tcPr>
            <w:tcW w:w="2268" w:type="dxa"/>
            <w:vAlign w:val="center"/>
          </w:tcPr>
          <w:p w14:paraId="51393796" w14:textId="77777777" w:rsidR="00304132" w:rsidRPr="00AC3044" w:rsidRDefault="00304132" w:rsidP="00CD5E09">
            <w:pPr>
              <w:rPr>
                <w:rFonts w:eastAsia="SimSun"/>
              </w:rPr>
            </w:pPr>
            <w:r w:rsidRPr="00AC3044">
              <w:rPr>
                <w:rFonts w:eastAsia="SimSun"/>
              </w:rPr>
              <w:t>В/в, в течение 30 -60 мин</w:t>
            </w:r>
          </w:p>
        </w:tc>
      </w:tr>
      <w:tr w:rsidR="00304132" w:rsidRPr="00C07B2E" w14:paraId="3B79278B" w14:textId="77777777" w:rsidTr="00CD5E09">
        <w:trPr>
          <w:cantSplit/>
          <w:trHeight w:val="704"/>
        </w:trPr>
        <w:tc>
          <w:tcPr>
            <w:tcW w:w="993" w:type="dxa"/>
            <w:vMerge/>
            <w:textDirection w:val="btLr"/>
            <w:vAlign w:val="center"/>
          </w:tcPr>
          <w:p w14:paraId="41CBC31A" w14:textId="77777777" w:rsidR="00304132" w:rsidRPr="00AC3044" w:rsidRDefault="00304132" w:rsidP="00CD5E09">
            <w:pPr>
              <w:rPr>
                <w:rFonts w:eastAsia="SimSun"/>
              </w:rPr>
            </w:pPr>
          </w:p>
        </w:tc>
        <w:tc>
          <w:tcPr>
            <w:tcW w:w="1701" w:type="dxa"/>
            <w:vAlign w:val="center"/>
          </w:tcPr>
          <w:p w14:paraId="4108A0ED" w14:textId="77777777" w:rsidR="00304132" w:rsidRPr="00AC3044" w:rsidRDefault="00304132" w:rsidP="00CD5E09">
            <w:pPr>
              <w:rPr>
                <w:rFonts w:eastAsia="SimSun"/>
              </w:rPr>
            </w:pPr>
            <w:r w:rsidRPr="00AC3044">
              <w:rPr>
                <w:rFonts w:eastAsia="SimSun"/>
              </w:rPr>
              <w:t>Циклофосфамид</w:t>
            </w:r>
          </w:p>
        </w:tc>
        <w:tc>
          <w:tcPr>
            <w:tcW w:w="1559" w:type="dxa"/>
            <w:vAlign w:val="center"/>
          </w:tcPr>
          <w:p w14:paraId="03126DD5" w14:textId="77777777" w:rsidR="00304132" w:rsidRPr="00AC3044" w:rsidRDefault="00304132" w:rsidP="00CD5E09">
            <w:pPr>
              <w:rPr>
                <w:rFonts w:eastAsia="SimSun"/>
              </w:rPr>
            </w:pPr>
            <w:r w:rsidRPr="00AC3044">
              <w:rPr>
                <w:rFonts w:eastAsia="SimSun"/>
              </w:rPr>
              <w:t>25 мг/кг</w:t>
            </w:r>
          </w:p>
        </w:tc>
        <w:tc>
          <w:tcPr>
            <w:tcW w:w="1701" w:type="dxa"/>
            <w:vAlign w:val="center"/>
          </w:tcPr>
          <w:p w14:paraId="750C2DA9" w14:textId="77777777" w:rsidR="00304132" w:rsidRPr="00AC3044" w:rsidRDefault="00304132" w:rsidP="00CD5E09">
            <w:pPr>
              <w:rPr>
                <w:rFonts w:eastAsia="SimSun"/>
              </w:rPr>
            </w:pPr>
            <w:r w:rsidRPr="00AC3044">
              <w:rPr>
                <w:rFonts w:eastAsia="SimSun"/>
              </w:rPr>
              <w:t>100 мг/кг</w:t>
            </w:r>
          </w:p>
        </w:tc>
        <w:tc>
          <w:tcPr>
            <w:tcW w:w="1418" w:type="dxa"/>
            <w:vAlign w:val="center"/>
          </w:tcPr>
          <w:p w14:paraId="6F40AFD2" w14:textId="77777777" w:rsidR="00304132" w:rsidRPr="00AC3044" w:rsidRDefault="00304132" w:rsidP="00CD5E09">
            <w:pPr>
              <w:rPr>
                <w:rFonts w:eastAsia="SimSun"/>
              </w:rPr>
            </w:pPr>
            <w:r w:rsidRPr="00AC3044">
              <w:rPr>
                <w:rFonts w:eastAsia="SimSun"/>
              </w:rPr>
              <w:t>С –5 по –2 день</w:t>
            </w:r>
          </w:p>
        </w:tc>
        <w:tc>
          <w:tcPr>
            <w:tcW w:w="2268" w:type="dxa"/>
            <w:vAlign w:val="center"/>
          </w:tcPr>
          <w:p w14:paraId="1FA5ECC6" w14:textId="77777777" w:rsidR="00304132" w:rsidRPr="00AC3044" w:rsidRDefault="00304132" w:rsidP="00CD5E09">
            <w:pPr>
              <w:rPr>
                <w:rFonts w:eastAsia="SimSun"/>
              </w:rPr>
            </w:pPr>
            <w:r w:rsidRPr="00AC3044">
              <w:rPr>
                <w:rFonts w:eastAsia="SimSun"/>
              </w:rPr>
              <w:t>В/в, в течение 2 часов</w:t>
            </w:r>
          </w:p>
        </w:tc>
      </w:tr>
      <w:tr w:rsidR="00304132" w:rsidRPr="00C07B2E" w14:paraId="763FF27A" w14:textId="77777777" w:rsidTr="00CD5E09">
        <w:trPr>
          <w:cantSplit/>
          <w:trHeight w:val="20"/>
        </w:trPr>
        <w:tc>
          <w:tcPr>
            <w:tcW w:w="993" w:type="dxa"/>
            <w:vMerge w:val="restart"/>
            <w:textDirection w:val="btLr"/>
            <w:vAlign w:val="center"/>
          </w:tcPr>
          <w:p w14:paraId="31EEE181" w14:textId="77777777" w:rsidR="00304132" w:rsidRPr="00AC3044" w:rsidRDefault="00304132" w:rsidP="00CD5E09">
            <w:pPr>
              <w:rPr>
                <w:rFonts w:eastAsia="SimSun"/>
              </w:rPr>
            </w:pPr>
            <w:r w:rsidRPr="00AC3044">
              <w:rPr>
                <w:rFonts w:eastAsia="SimSun"/>
              </w:rPr>
              <w:t>Профилактика РТПХ</w:t>
            </w:r>
          </w:p>
        </w:tc>
        <w:tc>
          <w:tcPr>
            <w:tcW w:w="1701" w:type="dxa"/>
            <w:vAlign w:val="center"/>
          </w:tcPr>
          <w:p w14:paraId="344DDBD2" w14:textId="77777777" w:rsidR="00304132" w:rsidRPr="00AC3044" w:rsidRDefault="00304132" w:rsidP="00CD5E09">
            <w:pPr>
              <w:rPr>
                <w:rFonts w:eastAsia="SimSun"/>
              </w:rPr>
            </w:pPr>
            <w:r w:rsidRPr="00AC3044">
              <w:rPr>
                <w:rFonts w:eastAsia="SimSun"/>
              </w:rPr>
              <w:t>АТГ (лошадиный)</w:t>
            </w:r>
          </w:p>
        </w:tc>
        <w:tc>
          <w:tcPr>
            <w:tcW w:w="1559" w:type="dxa"/>
            <w:vAlign w:val="center"/>
          </w:tcPr>
          <w:p w14:paraId="29F6C57B" w14:textId="77777777" w:rsidR="00304132" w:rsidRPr="00AC3044" w:rsidRDefault="00304132" w:rsidP="00CD5E09">
            <w:pPr>
              <w:rPr>
                <w:rFonts w:eastAsia="SimSun"/>
              </w:rPr>
            </w:pPr>
            <w:r w:rsidRPr="00AC3044">
              <w:rPr>
                <w:rFonts w:eastAsia="SimSun"/>
              </w:rPr>
              <w:t>25 мг/кг</w:t>
            </w:r>
          </w:p>
        </w:tc>
        <w:tc>
          <w:tcPr>
            <w:tcW w:w="1701" w:type="dxa"/>
            <w:vAlign w:val="center"/>
          </w:tcPr>
          <w:p w14:paraId="7B02D061" w14:textId="77777777" w:rsidR="00304132" w:rsidRPr="00AC3044" w:rsidRDefault="00304132" w:rsidP="00CD5E09">
            <w:pPr>
              <w:rPr>
                <w:rFonts w:eastAsia="SimSun"/>
              </w:rPr>
            </w:pPr>
            <w:r w:rsidRPr="00AC3044">
              <w:rPr>
                <w:rFonts w:eastAsia="SimSun"/>
              </w:rPr>
              <w:t>100 мг/кг</w:t>
            </w:r>
          </w:p>
        </w:tc>
        <w:tc>
          <w:tcPr>
            <w:tcW w:w="1418" w:type="dxa"/>
            <w:vAlign w:val="center"/>
          </w:tcPr>
          <w:p w14:paraId="36010B21" w14:textId="77777777" w:rsidR="00304132" w:rsidRPr="00AC3044" w:rsidRDefault="00304132" w:rsidP="00CD5E09">
            <w:pPr>
              <w:rPr>
                <w:rFonts w:eastAsia="SimSun"/>
              </w:rPr>
            </w:pPr>
            <w:r w:rsidRPr="00AC3044">
              <w:rPr>
                <w:rFonts w:eastAsia="SimSun"/>
              </w:rPr>
              <w:t>С –4 по –1 день</w:t>
            </w:r>
          </w:p>
        </w:tc>
        <w:tc>
          <w:tcPr>
            <w:tcW w:w="2268" w:type="dxa"/>
            <w:vAlign w:val="center"/>
          </w:tcPr>
          <w:p w14:paraId="6114CE6C" w14:textId="77777777" w:rsidR="00304132" w:rsidRPr="00AC3044" w:rsidRDefault="00304132" w:rsidP="00CD5E09">
            <w:pPr>
              <w:rPr>
                <w:rFonts w:eastAsia="SimSun"/>
              </w:rPr>
            </w:pPr>
            <w:r w:rsidRPr="00AC3044">
              <w:rPr>
                <w:rFonts w:eastAsia="SimSun"/>
              </w:rPr>
              <w:t>В/в, в течение 6 ч. Суточная доза разделяется</w:t>
            </w:r>
            <w:r w:rsidRPr="00AC3044" w:rsidDel="00130EA4">
              <w:rPr>
                <w:rFonts w:eastAsia="SimSun"/>
              </w:rPr>
              <w:t xml:space="preserve"> </w:t>
            </w:r>
            <w:r w:rsidRPr="00AC3044">
              <w:rPr>
                <w:rFonts w:eastAsia="SimSun"/>
              </w:rPr>
              <w:t>на 2 введения (см. гл. 3, «Инфузия АТГ»)</w:t>
            </w:r>
          </w:p>
        </w:tc>
      </w:tr>
      <w:tr w:rsidR="00304132" w:rsidRPr="00C07B2E" w14:paraId="10C68D08" w14:textId="77777777" w:rsidTr="00CD5E09">
        <w:trPr>
          <w:cantSplit/>
          <w:trHeight w:val="1141"/>
        </w:trPr>
        <w:tc>
          <w:tcPr>
            <w:tcW w:w="993" w:type="dxa"/>
            <w:vMerge/>
            <w:textDirection w:val="btLr"/>
          </w:tcPr>
          <w:p w14:paraId="0E462C15" w14:textId="77777777" w:rsidR="00304132" w:rsidRPr="00AC3044" w:rsidRDefault="00304132" w:rsidP="00CD5E09">
            <w:pPr>
              <w:rPr>
                <w:rFonts w:eastAsia="SimSun"/>
              </w:rPr>
            </w:pPr>
          </w:p>
        </w:tc>
        <w:tc>
          <w:tcPr>
            <w:tcW w:w="1701" w:type="dxa"/>
            <w:vAlign w:val="center"/>
          </w:tcPr>
          <w:p w14:paraId="3515DB8D" w14:textId="77777777" w:rsidR="00304132" w:rsidRPr="00AC3044" w:rsidRDefault="00304132" w:rsidP="00CD5E09">
            <w:pPr>
              <w:rPr>
                <w:rFonts w:eastAsia="SimSun"/>
              </w:rPr>
            </w:pPr>
            <w:r w:rsidRPr="00AC3044">
              <w:rPr>
                <w:rFonts w:eastAsia="SimSun"/>
              </w:rPr>
              <w:t>Циклоспорин</w:t>
            </w:r>
          </w:p>
        </w:tc>
        <w:tc>
          <w:tcPr>
            <w:tcW w:w="1559" w:type="dxa"/>
            <w:vAlign w:val="center"/>
          </w:tcPr>
          <w:p w14:paraId="2294735C" w14:textId="77777777" w:rsidR="00304132" w:rsidRPr="00AC3044" w:rsidRDefault="00304132" w:rsidP="00CD5E09">
            <w:pPr>
              <w:rPr>
                <w:rFonts w:eastAsia="SimSun"/>
              </w:rPr>
            </w:pPr>
            <w:r w:rsidRPr="00AC3044">
              <w:rPr>
                <w:rFonts w:eastAsia="SimSun"/>
              </w:rPr>
              <w:t>3 мг/кг</w:t>
            </w:r>
          </w:p>
        </w:tc>
        <w:tc>
          <w:tcPr>
            <w:tcW w:w="1701" w:type="dxa"/>
            <w:vAlign w:val="center"/>
          </w:tcPr>
          <w:p w14:paraId="341A60AC" w14:textId="77777777" w:rsidR="00304132" w:rsidRPr="00AC3044" w:rsidRDefault="00304132" w:rsidP="00CD5E09">
            <w:pPr>
              <w:rPr>
                <w:rFonts w:eastAsia="SimSun"/>
              </w:rPr>
            </w:pPr>
            <w:r w:rsidRPr="00AC3044">
              <w:rPr>
                <w:rFonts w:eastAsia="SimSun"/>
              </w:rPr>
              <w:t>–</w:t>
            </w:r>
          </w:p>
        </w:tc>
        <w:tc>
          <w:tcPr>
            <w:tcW w:w="1418" w:type="dxa"/>
            <w:vAlign w:val="center"/>
          </w:tcPr>
          <w:p w14:paraId="72FB6E90" w14:textId="77777777" w:rsidR="00304132" w:rsidRPr="00AC3044" w:rsidRDefault="00304132" w:rsidP="00CD5E09">
            <w:pPr>
              <w:rPr>
                <w:rFonts w:eastAsia="SimSun"/>
              </w:rPr>
            </w:pPr>
            <w:r w:rsidRPr="00AC3044">
              <w:rPr>
                <w:rFonts w:eastAsia="SimSun"/>
              </w:rPr>
              <w:t>С –1 дня по +230 день затем постепенное снижение к +270 дню</w:t>
            </w:r>
          </w:p>
        </w:tc>
        <w:tc>
          <w:tcPr>
            <w:tcW w:w="2268" w:type="dxa"/>
            <w:vAlign w:val="center"/>
          </w:tcPr>
          <w:p w14:paraId="32CD807A" w14:textId="77777777" w:rsidR="00304132" w:rsidRPr="00AC3044" w:rsidRDefault="00304132" w:rsidP="00CD5E09">
            <w:pPr>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1E6DBE">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304132" w:rsidRPr="00C07B2E" w14:paraId="031A45DD" w14:textId="77777777" w:rsidTr="00CD5E09">
        <w:trPr>
          <w:cantSplit/>
          <w:trHeight w:val="20"/>
        </w:trPr>
        <w:tc>
          <w:tcPr>
            <w:tcW w:w="993" w:type="dxa"/>
            <w:vMerge/>
          </w:tcPr>
          <w:p w14:paraId="2C1D350A" w14:textId="77777777" w:rsidR="00304132" w:rsidRPr="00AC3044" w:rsidRDefault="00304132" w:rsidP="00CD5E09">
            <w:pPr>
              <w:rPr>
                <w:rFonts w:eastAsia="SimSun"/>
              </w:rPr>
            </w:pPr>
          </w:p>
        </w:tc>
        <w:tc>
          <w:tcPr>
            <w:tcW w:w="1701" w:type="dxa"/>
            <w:vAlign w:val="center"/>
          </w:tcPr>
          <w:p w14:paraId="77887EE5" w14:textId="77777777" w:rsidR="00304132" w:rsidRPr="00AC3044" w:rsidRDefault="00304132" w:rsidP="00CD5E09">
            <w:pPr>
              <w:rPr>
                <w:rFonts w:eastAsia="SimSun"/>
              </w:rPr>
            </w:pPr>
            <w:r w:rsidRPr="00AC3044">
              <w:rPr>
                <w:rFonts w:eastAsia="SimSun"/>
              </w:rPr>
              <w:t>Метотрексат</w:t>
            </w:r>
          </w:p>
        </w:tc>
        <w:tc>
          <w:tcPr>
            <w:tcW w:w="1559" w:type="dxa"/>
            <w:vAlign w:val="center"/>
          </w:tcPr>
          <w:p w14:paraId="4A791538" w14:textId="77777777" w:rsidR="00304132" w:rsidRPr="00AC3044" w:rsidRDefault="00304132" w:rsidP="00CD5E09">
            <w:pPr>
              <w:rPr>
                <w:rFonts w:eastAsia="SimSun"/>
              </w:rPr>
            </w:pPr>
            <w:r w:rsidRPr="00AC3044">
              <w:rPr>
                <w:rFonts w:eastAsia="SimSun"/>
              </w:rPr>
              <w:t>15 мг/м</w:t>
            </w:r>
            <w:r w:rsidRPr="001E6DBE">
              <w:rPr>
                <w:rFonts w:eastAsia="SimSun"/>
                <w:vertAlign w:val="superscript"/>
              </w:rPr>
              <w:t>2</w:t>
            </w:r>
          </w:p>
        </w:tc>
        <w:tc>
          <w:tcPr>
            <w:tcW w:w="1701" w:type="dxa"/>
            <w:vAlign w:val="center"/>
          </w:tcPr>
          <w:p w14:paraId="222FF344" w14:textId="77777777" w:rsidR="00304132" w:rsidRPr="00AC3044" w:rsidRDefault="00304132" w:rsidP="00CD5E09">
            <w:pPr>
              <w:rPr>
                <w:rFonts w:eastAsia="SimSun"/>
              </w:rPr>
            </w:pPr>
            <w:r w:rsidRPr="00AC3044">
              <w:rPr>
                <w:rFonts w:eastAsia="SimSun"/>
              </w:rPr>
              <w:t>–</w:t>
            </w:r>
          </w:p>
        </w:tc>
        <w:tc>
          <w:tcPr>
            <w:tcW w:w="1418" w:type="dxa"/>
            <w:vAlign w:val="center"/>
          </w:tcPr>
          <w:p w14:paraId="24943D17" w14:textId="77777777" w:rsidR="00304132" w:rsidRPr="00AC3044" w:rsidRDefault="00304132" w:rsidP="00CD5E09">
            <w:pPr>
              <w:rPr>
                <w:rFonts w:eastAsia="SimSun"/>
              </w:rPr>
            </w:pPr>
            <w:r w:rsidRPr="00AC3044">
              <w:rPr>
                <w:rFonts w:eastAsia="SimSun"/>
              </w:rPr>
              <w:t>+1 день</w:t>
            </w:r>
          </w:p>
        </w:tc>
        <w:tc>
          <w:tcPr>
            <w:tcW w:w="2268" w:type="dxa"/>
            <w:vAlign w:val="center"/>
          </w:tcPr>
          <w:p w14:paraId="65F85679" w14:textId="77777777" w:rsidR="00304132" w:rsidRPr="00AC3044" w:rsidRDefault="00304132" w:rsidP="00CD5E09">
            <w:pPr>
              <w:rPr>
                <w:rFonts w:eastAsia="SimSun"/>
              </w:rPr>
            </w:pPr>
            <w:r w:rsidRPr="00AC3044">
              <w:rPr>
                <w:rFonts w:eastAsia="SimSun"/>
              </w:rPr>
              <w:t xml:space="preserve">В/в, в 20 мл физ. р-ра </w:t>
            </w:r>
          </w:p>
        </w:tc>
      </w:tr>
      <w:tr w:rsidR="00304132" w:rsidRPr="00C07B2E" w14:paraId="6CAAE60A" w14:textId="77777777" w:rsidTr="00CD5E09">
        <w:trPr>
          <w:cantSplit/>
          <w:trHeight w:val="464"/>
        </w:trPr>
        <w:tc>
          <w:tcPr>
            <w:tcW w:w="993" w:type="dxa"/>
            <w:vMerge/>
          </w:tcPr>
          <w:p w14:paraId="21F6E3F6" w14:textId="77777777" w:rsidR="00304132" w:rsidRPr="00AC3044" w:rsidRDefault="00304132" w:rsidP="00CD5E09">
            <w:pPr>
              <w:rPr>
                <w:rFonts w:eastAsia="SimSun"/>
              </w:rPr>
            </w:pPr>
          </w:p>
        </w:tc>
        <w:tc>
          <w:tcPr>
            <w:tcW w:w="1701" w:type="dxa"/>
            <w:vAlign w:val="center"/>
          </w:tcPr>
          <w:p w14:paraId="17942273" w14:textId="77777777" w:rsidR="00304132" w:rsidRPr="00AC3044" w:rsidRDefault="00304132" w:rsidP="00CD5E09">
            <w:pPr>
              <w:rPr>
                <w:rFonts w:eastAsia="SimSun"/>
              </w:rPr>
            </w:pPr>
            <w:r w:rsidRPr="00AC3044">
              <w:rPr>
                <w:rFonts w:eastAsia="SimSun"/>
              </w:rPr>
              <w:t>Метотрексат</w:t>
            </w:r>
          </w:p>
        </w:tc>
        <w:tc>
          <w:tcPr>
            <w:tcW w:w="1559" w:type="dxa"/>
            <w:vAlign w:val="center"/>
          </w:tcPr>
          <w:p w14:paraId="28FA443C" w14:textId="77777777" w:rsidR="00304132" w:rsidRPr="00AC3044" w:rsidRDefault="00304132" w:rsidP="00CD5E09">
            <w:pPr>
              <w:rPr>
                <w:rFonts w:eastAsia="SimSun"/>
              </w:rPr>
            </w:pPr>
            <w:r w:rsidRPr="00AC3044">
              <w:rPr>
                <w:rFonts w:eastAsia="SimSun"/>
              </w:rPr>
              <w:t>10 мг/м</w:t>
            </w:r>
            <w:r w:rsidRPr="001E6DBE">
              <w:rPr>
                <w:rFonts w:eastAsia="SimSun"/>
                <w:vertAlign w:val="superscript"/>
              </w:rPr>
              <w:t>2</w:t>
            </w:r>
          </w:p>
        </w:tc>
        <w:tc>
          <w:tcPr>
            <w:tcW w:w="1701" w:type="dxa"/>
            <w:vAlign w:val="center"/>
          </w:tcPr>
          <w:p w14:paraId="24187CF4" w14:textId="77777777" w:rsidR="00304132" w:rsidRPr="00AC3044" w:rsidRDefault="00304132" w:rsidP="00CD5E09">
            <w:pPr>
              <w:rPr>
                <w:rFonts w:eastAsia="SimSun"/>
              </w:rPr>
            </w:pPr>
            <w:r w:rsidRPr="00AC3044">
              <w:rPr>
                <w:rFonts w:eastAsia="SimSun"/>
              </w:rPr>
              <w:t>–</w:t>
            </w:r>
          </w:p>
        </w:tc>
        <w:tc>
          <w:tcPr>
            <w:tcW w:w="1418" w:type="dxa"/>
            <w:vAlign w:val="center"/>
          </w:tcPr>
          <w:p w14:paraId="5A7E573C" w14:textId="77777777" w:rsidR="00304132" w:rsidRPr="00AC3044" w:rsidRDefault="00304132" w:rsidP="00CD5E09">
            <w:pPr>
              <w:rPr>
                <w:rFonts w:eastAsia="SimSun"/>
              </w:rPr>
            </w:pPr>
            <w:r w:rsidRPr="00AC3044">
              <w:rPr>
                <w:rFonts w:eastAsia="SimSun"/>
              </w:rPr>
              <w:t>+3, +6, +11 дни</w:t>
            </w:r>
          </w:p>
        </w:tc>
        <w:tc>
          <w:tcPr>
            <w:tcW w:w="2268" w:type="dxa"/>
            <w:vAlign w:val="center"/>
          </w:tcPr>
          <w:p w14:paraId="3BE57449" w14:textId="77777777" w:rsidR="00304132" w:rsidRPr="00AC3044" w:rsidRDefault="00304132" w:rsidP="00CD5E09">
            <w:pPr>
              <w:rPr>
                <w:rFonts w:eastAsia="SimSun"/>
              </w:rPr>
            </w:pPr>
            <w:r w:rsidRPr="00AC3044">
              <w:rPr>
                <w:rFonts w:eastAsia="SimSun"/>
              </w:rPr>
              <w:t xml:space="preserve">В/в, в 20 мл физ. р-ра </w:t>
            </w:r>
          </w:p>
        </w:tc>
      </w:tr>
    </w:tbl>
    <w:p w14:paraId="7347FF72" w14:textId="77777777" w:rsidR="00304132" w:rsidRDefault="00304132" w:rsidP="00304132">
      <w:pPr>
        <w:rPr>
          <w:rFonts w:eastAsia="SimSun"/>
        </w:rPr>
      </w:pPr>
      <w:bookmarkStart w:id="322" w:name="_Toc44401177"/>
    </w:p>
    <w:p w14:paraId="2C1FB552" w14:textId="77777777" w:rsidR="00304132" w:rsidRPr="00042499" w:rsidRDefault="00304132" w:rsidP="00304132">
      <w:pPr>
        <w:rPr>
          <w:rFonts w:eastAsia="SimSun"/>
          <w:lang w:val="en-US"/>
        </w:rPr>
      </w:pPr>
      <w:r>
        <w:rPr>
          <w:rFonts w:eastAsia="SimSun"/>
        </w:rPr>
        <w:t>Таблица</w:t>
      </w:r>
      <w:r w:rsidRPr="00042499">
        <w:rPr>
          <w:rFonts w:eastAsia="SimSun"/>
          <w:lang w:val="en-US"/>
        </w:rPr>
        <w:t xml:space="preserve"> </w:t>
      </w:r>
      <w:r>
        <w:rPr>
          <w:rFonts w:eastAsia="SimSun"/>
          <w:lang w:val="en-US"/>
        </w:rPr>
        <w:t>5.</w:t>
      </w:r>
      <w:r w:rsidRPr="00042499">
        <w:rPr>
          <w:rFonts w:eastAsia="SimSun"/>
          <w:lang w:val="en-US"/>
        </w:rPr>
        <w:t xml:space="preserve">1.2.19  – </w:t>
      </w:r>
      <w:r w:rsidRPr="00657BC2">
        <w:rPr>
          <w:rFonts w:eastAsia="SimSun"/>
          <w:lang w:val="en-US"/>
        </w:rPr>
        <w:t>Flu</w:t>
      </w:r>
      <w:r w:rsidRPr="00042499">
        <w:rPr>
          <w:rFonts w:eastAsia="SimSun"/>
          <w:lang w:val="en-US"/>
        </w:rPr>
        <w:t>120+</w:t>
      </w:r>
      <w:r w:rsidRPr="00657BC2">
        <w:rPr>
          <w:rFonts w:eastAsia="SimSun"/>
          <w:lang w:val="en-US"/>
        </w:rPr>
        <w:t>Cy</w:t>
      </w:r>
      <w:r w:rsidRPr="00042499">
        <w:rPr>
          <w:rFonts w:eastAsia="SimSun"/>
          <w:lang w:val="en-US"/>
        </w:rPr>
        <w:t>2000+</w:t>
      </w:r>
      <w:r w:rsidRPr="00657BC2">
        <w:rPr>
          <w:rFonts w:eastAsia="SimSun"/>
          <w:lang w:val="en-US"/>
        </w:rPr>
        <w:t>Mel</w:t>
      </w:r>
      <w:r w:rsidRPr="00042499">
        <w:rPr>
          <w:rFonts w:eastAsia="SimSun"/>
          <w:lang w:val="en-US"/>
        </w:rPr>
        <w:t xml:space="preserve">140 / </w:t>
      </w:r>
      <w:r w:rsidRPr="00657BC2">
        <w:rPr>
          <w:rFonts w:eastAsia="SimSun"/>
          <w:lang w:val="en-US"/>
        </w:rPr>
        <w:t>PT</w:t>
      </w:r>
      <w:r w:rsidRPr="00042499">
        <w:rPr>
          <w:rFonts w:eastAsia="SimSun"/>
          <w:lang w:val="en-US"/>
        </w:rPr>
        <w:t>-</w:t>
      </w:r>
      <w:r w:rsidRPr="00657BC2">
        <w:rPr>
          <w:rFonts w:eastAsia="SimSun"/>
          <w:lang w:val="en-US"/>
        </w:rPr>
        <w:t>Cy</w:t>
      </w:r>
      <w:r w:rsidRPr="00042499">
        <w:rPr>
          <w:rFonts w:eastAsia="SimSun"/>
          <w:lang w:val="en-US"/>
        </w:rPr>
        <w:t>+</w:t>
      </w:r>
      <w:r w:rsidRPr="00657BC2">
        <w:rPr>
          <w:rFonts w:eastAsia="SimSun"/>
          <w:lang w:val="en-US"/>
        </w:rPr>
        <w:t>CSA</w:t>
      </w:r>
      <w:r w:rsidRPr="00042499">
        <w:rPr>
          <w:rFonts w:eastAsia="SimSun"/>
          <w:lang w:val="en-US"/>
        </w:rPr>
        <w:t>+</w:t>
      </w:r>
      <w:r w:rsidRPr="00657BC2">
        <w:rPr>
          <w:rFonts w:eastAsia="SimSun"/>
          <w:lang w:val="en-US"/>
        </w:rPr>
        <w:t>MMF</w:t>
      </w:r>
      <w:r w:rsidRPr="00042499">
        <w:rPr>
          <w:rFonts w:eastAsia="SimSun"/>
          <w:lang w:val="en-US"/>
        </w:rPr>
        <w:t>45</w:t>
      </w:r>
      <w:bookmarkEnd w:id="322"/>
    </w:p>
    <w:tbl>
      <w:tblPr>
        <w:tblW w:w="9605" w:type="dxa"/>
        <w:tblInd w:w="1" w:type="dxa"/>
        <w:tblLayout w:type="fixed"/>
        <w:tblCellMar>
          <w:left w:w="10" w:type="dxa"/>
          <w:right w:w="10" w:type="dxa"/>
        </w:tblCellMar>
        <w:tblLook w:val="0000" w:firstRow="0" w:lastRow="0" w:firstColumn="0" w:lastColumn="0" w:noHBand="0" w:noVBand="0"/>
      </w:tblPr>
      <w:tblGrid>
        <w:gridCol w:w="958"/>
        <w:gridCol w:w="1701"/>
        <w:gridCol w:w="1559"/>
        <w:gridCol w:w="1701"/>
        <w:gridCol w:w="1418"/>
        <w:gridCol w:w="2268"/>
      </w:tblGrid>
      <w:tr w:rsidR="00304132" w:rsidRPr="00AC3044" w14:paraId="73E8FBC6" w14:textId="77777777" w:rsidTr="00CD5E09">
        <w:trPr>
          <w:trHeight w:val="20"/>
          <w:tblHeader/>
        </w:trPr>
        <w:tc>
          <w:tcPr>
            <w:tcW w:w="95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77BDCD6" w14:textId="77777777" w:rsidR="00304132" w:rsidRPr="009B5A5D" w:rsidRDefault="00304132" w:rsidP="00CD5E09">
            <w:pPr>
              <w:rPr>
                <w:rFonts w:eastAsia="SimSun"/>
                <w:lang w:val="en-US"/>
              </w:rPr>
            </w:pP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5D3D39C" w14:textId="77777777" w:rsidR="00304132" w:rsidRPr="00AC3044" w:rsidRDefault="00304132" w:rsidP="00CD5E09">
            <w:pPr>
              <w:rPr>
                <w:rFonts w:eastAsia="SimSun"/>
              </w:rPr>
            </w:pPr>
            <w:r w:rsidRPr="00AC3044">
              <w:rPr>
                <w:rFonts w:eastAsia="SimSun"/>
              </w:rPr>
              <w:t>Препарат</w:t>
            </w:r>
          </w:p>
        </w:tc>
        <w:tc>
          <w:tcPr>
            <w:tcW w:w="15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A69E7A7" w14:textId="77777777" w:rsidR="00304132" w:rsidRPr="00AC3044" w:rsidRDefault="00304132" w:rsidP="00CD5E09">
            <w:pPr>
              <w:rPr>
                <w:rFonts w:eastAsia="SimSun"/>
              </w:rPr>
            </w:pPr>
            <w:r w:rsidRPr="00AC3044">
              <w:rPr>
                <w:rFonts w:eastAsia="SimSun"/>
              </w:rPr>
              <w:t>Суточная доза</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BE8E5A7" w14:textId="77777777" w:rsidR="00304132" w:rsidRPr="00AC3044" w:rsidRDefault="00304132" w:rsidP="00CD5E09">
            <w:pPr>
              <w:rPr>
                <w:rFonts w:eastAsia="SimSun"/>
              </w:rPr>
            </w:pPr>
            <w:r w:rsidRPr="00AC3044">
              <w:rPr>
                <w:rFonts w:eastAsia="SimSun"/>
              </w:rPr>
              <w:t>Курсовая доза</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0BF3EC4" w14:textId="77777777" w:rsidR="00304132" w:rsidRPr="00AC3044" w:rsidRDefault="00304132" w:rsidP="00CD5E09">
            <w:pPr>
              <w:rPr>
                <w:rFonts w:eastAsia="SimSun"/>
              </w:rPr>
            </w:pPr>
            <w:r w:rsidRPr="00AC3044">
              <w:rPr>
                <w:rFonts w:eastAsia="SimSun"/>
              </w:rPr>
              <w:t>Дни введения</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3D7ABDD" w14:textId="77777777" w:rsidR="00304132" w:rsidRPr="00AC3044" w:rsidRDefault="00304132" w:rsidP="00CD5E09">
            <w:pPr>
              <w:rPr>
                <w:rFonts w:eastAsia="SimSun"/>
              </w:rPr>
            </w:pPr>
            <w:r w:rsidRPr="00AC3044">
              <w:rPr>
                <w:rFonts w:eastAsia="SimSun"/>
              </w:rPr>
              <w:t>Порядок введения</w:t>
            </w:r>
          </w:p>
        </w:tc>
      </w:tr>
      <w:tr w:rsidR="00304132" w:rsidRPr="00AC3044" w14:paraId="3D4468D2" w14:textId="77777777" w:rsidTr="00CD5E09">
        <w:trPr>
          <w:trHeight w:val="20"/>
        </w:trPr>
        <w:tc>
          <w:tcPr>
            <w:tcW w:w="958" w:type="dxa"/>
            <w:vMerge w:val="restart"/>
            <w:tcBorders>
              <w:top w:val="single" w:sz="4" w:space="0" w:color="00000A"/>
              <w:left w:val="single" w:sz="4" w:space="0" w:color="00000A"/>
              <w:right w:val="single" w:sz="4" w:space="0" w:color="00000A"/>
            </w:tcBorders>
            <w:tcMar>
              <w:top w:w="0" w:type="dxa"/>
              <w:left w:w="108" w:type="dxa"/>
              <w:bottom w:w="0" w:type="dxa"/>
              <w:right w:w="108" w:type="dxa"/>
            </w:tcMar>
            <w:textDirection w:val="btLr"/>
            <w:vAlign w:val="center"/>
          </w:tcPr>
          <w:p w14:paraId="4C0FC780" w14:textId="77777777" w:rsidR="00304132" w:rsidRPr="00AC3044" w:rsidRDefault="00304132" w:rsidP="00CD5E09">
            <w:pPr>
              <w:rPr>
                <w:rFonts w:eastAsia="SimSun"/>
              </w:rPr>
            </w:pPr>
            <w:r w:rsidRPr="00AC3044">
              <w:rPr>
                <w:rFonts w:eastAsia="SimSun"/>
              </w:rPr>
              <w:t>Кондиционирование</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4655AFC" w14:textId="77777777" w:rsidR="00304132" w:rsidRPr="00AC3044" w:rsidRDefault="00304132" w:rsidP="00CD5E09">
            <w:pPr>
              <w:rPr>
                <w:rFonts w:eastAsia="SimSun"/>
              </w:rPr>
            </w:pPr>
            <w:r w:rsidRPr="00AC3044">
              <w:rPr>
                <w:rFonts w:eastAsia="SimSun"/>
              </w:rPr>
              <w:t>Флударабин</w:t>
            </w:r>
          </w:p>
        </w:tc>
        <w:tc>
          <w:tcPr>
            <w:tcW w:w="155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0F603517" w14:textId="77777777" w:rsidR="00304132" w:rsidRPr="00AC3044" w:rsidRDefault="00304132" w:rsidP="00CD5E09">
            <w:pPr>
              <w:rPr>
                <w:rFonts w:eastAsia="SimSun"/>
              </w:rPr>
            </w:pPr>
            <w:r w:rsidRPr="00AC3044">
              <w:rPr>
                <w:rFonts w:eastAsia="SimSun"/>
              </w:rPr>
              <w:t>40 мг/м</w:t>
            </w:r>
            <w:r w:rsidRPr="001E6DBE">
              <w:rPr>
                <w:rFonts w:eastAsia="SimSun"/>
                <w:vertAlign w:val="superscript"/>
              </w:rPr>
              <w:t>2</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78E16807" w14:textId="77777777" w:rsidR="00304132" w:rsidRPr="00AC3044" w:rsidRDefault="00304132" w:rsidP="00CD5E09">
            <w:pPr>
              <w:rPr>
                <w:rFonts w:eastAsia="SimSun"/>
              </w:rPr>
            </w:pPr>
            <w:r w:rsidRPr="00AC3044">
              <w:rPr>
                <w:rFonts w:eastAsia="SimSun"/>
              </w:rPr>
              <w:t>120 мг/м</w:t>
            </w:r>
            <w:r w:rsidRPr="001E6DBE">
              <w:rPr>
                <w:rFonts w:eastAsia="SimSun"/>
                <w:vertAlign w:val="superscript"/>
              </w:rPr>
              <w:t>2</w:t>
            </w:r>
          </w:p>
        </w:tc>
        <w:tc>
          <w:tcPr>
            <w:tcW w:w="141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7A60C8FA" w14:textId="77777777" w:rsidR="00304132" w:rsidRPr="00AC3044" w:rsidRDefault="00304132" w:rsidP="00CD5E09">
            <w:pPr>
              <w:rPr>
                <w:rFonts w:eastAsia="SimSun"/>
              </w:rPr>
            </w:pPr>
            <w:r w:rsidRPr="00AC3044">
              <w:rPr>
                <w:rFonts w:eastAsia="SimSun"/>
              </w:rPr>
              <w:t>С –5 по –3 день</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E0B2983" w14:textId="77777777" w:rsidR="00304132" w:rsidRPr="00AC3044" w:rsidRDefault="00304132" w:rsidP="00CD5E09">
            <w:pPr>
              <w:rPr>
                <w:rFonts w:eastAsia="SimSun"/>
              </w:rPr>
            </w:pPr>
            <w:r w:rsidRPr="00AC3044">
              <w:rPr>
                <w:rFonts w:eastAsia="SimSun"/>
              </w:rPr>
              <w:t>В/в, в течение 30 -60 мин</w:t>
            </w:r>
          </w:p>
        </w:tc>
      </w:tr>
      <w:tr w:rsidR="00304132" w:rsidRPr="00AC3044" w14:paraId="213E7020" w14:textId="77777777" w:rsidTr="00CD5E09">
        <w:trPr>
          <w:trHeight w:val="1011"/>
        </w:trPr>
        <w:tc>
          <w:tcPr>
            <w:tcW w:w="958" w:type="dxa"/>
            <w:vMerge/>
            <w:tcBorders>
              <w:left w:val="single" w:sz="4" w:space="0" w:color="00000A"/>
              <w:right w:val="single" w:sz="4" w:space="0" w:color="00000A"/>
            </w:tcBorders>
            <w:tcMar>
              <w:top w:w="0" w:type="dxa"/>
              <w:left w:w="108" w:type="dxa"/>
              <w:bottom w:w="0" w:type="dxa"/>
              <w:right w:w="108" w:type="dxa"/>
            </w:tcMar>
            <w:textDirection w:val="btLr"/>
            <w:vAlign w:val="center"/>
          </w:tcPr>
          <w:p w14:paraId="04761F3A" w14:textId="77777777" w:rsidR="00304132" w:rsidRPr="00AC3044" w:rsidRDefault="00304132" w:rsidP="00CD5E09">
            <w:pPr>
              <w:rPr>
                <w:rFonts w:eastAsia="SimSun"/>
              </w:rPr>
            </w:pP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298ACDE" w14:textId="77777777" w:rsidR="00304132" w:rsidRPr="00AC3044" w:rsidRDefault="00304132" w:rsidP="00CD5E09">
            <w:pPr>
              <w:rPr>
                <w:rFonts w:eastAsia="SimSun"/>
              </w:rPr>
            </w:pPr>
            <w:r w:rsidRPr="00AC3044">
              <w:rPr>
                <w:rFonts w:eastAsia="SimSun"/>
              </w:rPr>
              <w:t>Циклофосфамид</w:t>
            </w:r>
          </w:p>
        </w:tc>
        <w:tc>
          <w:tcPr>
            <w:tcW w:w="15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62C8E59" w14:textId="77777777" w:rsidR="00304132" w:rsidRPr="00AC3044" w:rsidRDefault="00304132" w:rsidP="00CD5E09">
            <w:pPr>
              <w:rPr>
                <w:rFonts w:eastAsia="SimSun"/>
              </w:rPr>
            </w:pPr>
            <w:r w:rsidRPr="00AC3044">
              <w:rPr>
                <w:rFonts w:eastAsia="SimSun"/>
              </w:rPr>
              <w:t>1000 мг/м</w:t>
            </w:r>
            <w:r w:rsidRPr="001E6DBE">
              <w:rPr>
                <w:rFonts w:eastAsia="SimSun"/>
                <w:vertAlign w:val="superscript"/>
              </w:rPr>
              <w:t>2</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65DD409" w14:textId="77777777" w:rsidR="00304132" w:rsidRPr="00AC3044" w:rsidRDefault="00304132" w:rsidP="00CD5E09">
            <w:pPr>
              <w:rPr>
                <w:rFonts w:eastAsia="SimSun"/>
              </w:rPr>
            </w:pPr>
            <w:r w:rsidRPr="00AC3044">
              <w:rPr>
                <w:rFonts w:eastAsia="SimSun"/>
              </w:rPr>
              <w:t>2000 мг/м</w:t>
            </w:r>
            <w:r w:rsidRPr="001E6DBE">
              <w:rPr>
                <w:rFonts w:eastAsia="SimSun"/>
                <w:vertAlign w:val="superscript"/>
              </w:rPr>
              <w:t>2</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89C1FBA" w14:textId="77777777" w:rsidR="00304132" w:rsidRPr="00AC3044" w:rsidRDefault="00304132" w:rsidP="00CD5E09">
            <w:pPr>
              <w:rPr>
                <w:rFonts w:eastAsia="SimSun"/>
              </w:rPr>
            </w:pPr>
            <w:r w:rsidRPr="00AC3044">
              <w:rPr>
                <w:rFonts w:eastAsia="SimSun"/>
              </w:rPr>
              <w:t>-7, -6 дни</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87A2732" w14:textId="77777777" w:rsidR="00304132" w:rsidRPr="00AC3044" w:rsidRDefault="00304132" w:rsidP="00CD5E09">
            <w:pPr>
              <w:rPr>
                <w:rFonts w:eastAsia="SimSun"/>
              </w:rPr>
            </w:pPr>
            <w:r w:rsidRPr="00AC3044">
              <w:rPr>
                <w:rFonts w:eastAsia="SimSun"/>
              </w:rPr>
              <w:t>В/в, в течение 2 часов</w:t>
            </w:r>
          </w:p>
        </w:tc>
      </w:tr>
      <w:tr w:rsidR="00304132" w:rsidRPr="00AC3044" w14:paraId="2B30DA3D" w14:textId="77777777" w:rsidTr="00CD5E09">
        <w:trPr>
          <w:trHeight w:val="402"/>
        </w:trPr>
        <w:tc>
          <w:tcPr>
            <w:tcW w:w="958" w:type="dxa"/>
            <w:vMerge/>
            <w:tcBorders>
              <w:left w:val="single" w:sz="4" w:space="0" w:color="00000A"/>
              <w:bottom w:val="single" w:sz="4" w:space="0" w:color="00000A"/>
              <w:right w:val="single" w:sz="4" w:space="0" w:color="00000A"/>
            </w:tcBorders>
            <w:tcMar>
              <w:top w:w="0" w:type="dxa"/>
              <w:left w:w="108" w:type="dxa"/>
              <w:bottom w:w="0" w:type="dxa"/>
              <w:right w:w="108" w:type="dxa"/>
            </w:tcMar>
            <w:textDirection w:val="btLr"/>
            <w:vAlign w:val="center"/>
          </w:tcPr>
          <w:p w14:paraId="73602F9F" w14:textId="77777777" w:rsidR="00304132" w:rsidRPr="00AC3044" w:rsidRDefault="00304132" w:rsidP="00CD5E09">
            <w:pPr>
              <w:rPr>
                <w:rFonts w:eastAsia="SimSun"/>
              </w:rPr>
            </w:pP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C0FE936" w14:textId="77777777" w:rsidR="00304132" w:rsidRPr="00AC3044" w:rsidRDefault="00304132" w:rsidP="00CD5E09">
            <w:pPr>
              <w:rPr>
                <w:rFonts w:eastAsia="SimSun"/>
              </w:rPr>
            </w:pPr>
            <w:r w:rsidRPr="00AC3044">
              <w:rPr>
                <w:rFonts w:eastAsia="SimSun"/>
              </w:rPr>
              <w:t>Мелфалан</w:t>
            </w:r>
          </w:p>
        </w:tc>
        <w:tc>
          <w:tcPr>
            <w:tcW w:w="15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9729F9A" w14:textId="77777777" w:rsidR="00304132" w:rsidRPr="00AC3044" w:rsidRDefault="00304132" w:rsidP="00CD5E09">
            <w:pPr>
              <w:rPr>
                <w:rFonts w:eastAsia="SimSun"/>
              </w:rPr>
            </w:pPr>
            <w:r w:rsidRPr="00AC3044">
              <w:rPr>
                <w:rFonts w:eastAsia="SimSun"/>
              </w:rPr>
              <w:t>140 мг/м</w:t>
            </w:r>
            <w:r w:rsidRPr="001E6DBE">
              <w:rPr>
                <w:rFonts w:eastAsia="SimSun"/>
                <w:vertAlign w:val="superscript"/>
              </w:rPr>
              <w:t>2</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D618866" w14:textId="77777777" w:rsidR="00304132" w:rsidRPr="00AC3044" w:rsidRDefault="00304132" w:rsidP="00CD5E09">
            <w:pPr>
              <w:rPr>
                <w:rFonts w:eastAsia="SimSun"/>
              </w:rPr>
            </w:pPr>
            <w:r w:rsidRPr="00AC3044">
              <w:rPr>
                <w:rFonts w:eastAsia="SimSun"/>
              </w:rPr>
              <w:t>140 мг/м</w:t>
            </w:r>
            <w:r w:rsidRPr="001E6DBE">
              <w:rPr>
                <w:rFonts w:eastAsia="SimSun"/>
                <w:vertAlign w:val="superscript"/>
              </w:rPr>
              <w:t>2</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1BA8667" w14:textId="77777777" w:rsidR="00304132" w:rsidRPr="00AC3044" w:rsidRDefault="00304132" w:rsidP="00CD5E09">
            <w:pPr>
              <w:rPr>
                <w:rFonts w:eastAsia="SimSun"/>
              </w:rPr>
            </w:pPr>
            <w:r w:rsidRPr="00AC3044">
              <w:rPr>
                <w:rFonts w:eastAsia="SimSun"/>
              </w:rPr>
              <w:t>-2 день</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BC2CC9F" w14:textId="77777777" w:rsidR="00304132" w:rsidRPr="00AC3044" w:rsidRDefault="00304132" w:rsidP="00CD5E09">
            <w:pPr>
              <w:rPr>
                <w:rFonts w:eastAsia="SimSun"/>
              </w:rPr>
            </w:pPr>
            <w:r w:rsidRPr="00AC3044">
              <w:rPr>
                <w:rFonts w:eastAsia="SimSun"/>
              </w:rPr>
              <w:t>В/в, в течение 1 часа</w:t>
            </w:r>
          </w:p>
        </w:tc>
      </w:tr>
      <w:tr w:rsidR="00304132" w:rsidRPr="00AC3044" w14:paraId="1BA1A163" w14:textId="77777777" w:rsidTr="00CD5E09">
        <w:trPr>
          <w:trHeight w:val="20"/>
        </w:trPr>
        <w:tc>
          <w:tcPr>
            <w:tcW w:w="958" w:type="dxa"/>
            <w:vMerge w:val="restar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btLr"/>
            <w:vAlign w:val="center"/>
          </w:tcPr>
          <w:p w14:paraId="0C3124EA" w14:textId="77777777" w:rsidR="00304132" w:rsidRPr="00AC3044" w:rsidRDefault="00304132" w:rsidP="00CD5E09">
            <w:pPr>
              <w:rPr>
                <w:rFonts w:eastAsia="SimSun"/>
              </w:rPr>
            </w:pPr>
            <w:r w:rsidRPr="00AC3044">
              <w:rPr>
                <w:rFonts w:eastAsia="SimSun"/>
              </w:rPr>
              <w:t>Профилактика РТПХ</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461D4D0" w14:textId="77777777" w:rsidR="00304132" w:rsidRPr="00AC3044" w:rsidRDefault="00304132" w:rsidP="00CD5E09">
            <w:pPr>
              <w:rPr>
                <w:rFonts w:eastAsia="SimSun"/>
              </w:rPr>
            </w:pPr>
            <w:r w:rsidRPr="00AC3044">
              <w:rPr>
                <w:rFonts w:eastAsia="SimSun"/>
              </w:rPr>
              <w:t>Циклоспорин</w:t>
            </w:r>
          </w:p>
        </w:tc>
        <w:tc>
          <w:tcPr>
            <w:tcW w:w="15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82E050E" w14:textId="77777777" w:rsidR="00304132" w:rsidRPr="00AC3044" w:rsidRDefault="00304132" w:rsidP="00CD5E09">
            <w:pPr>
              <w:rPr>
                <w:rFonts w:eastAsia="SimSun"/>
              </w:rPr>
            </w:pPr>
            <w:r w:rsidRPr="00AC3044">
              <w:rPr>
                <w:rFonts w:eastAsia="SimSun"/>
              </w:rPr>
              <w:t>3 мг/кг</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884CD98" w14:textId="77777777" w:rsidR="00304132" w:rsidRPr="00AC3044" w:rsidRDefault="00304132" w:rsidP="00CD5E09">
            <w:pPr>
              <w:rPr>
                <w:rFonts w:eastAsia="SimSun"/>
              </w:rPr>
            </w:pPr>
            <w:r w:rsidRPr="00AC3044">
              <w:rPr>
                <w:rFonts w:eastAsia="SimSun"/>
              </w:rPr>
              <w:t>–</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09CFFC17" w14:textId="77777777" w:rsidR="00304132" w:rsidRPr="00AC3044" w:rsidRDefault="00304132" w:rsidP="00CD5E09">
            <w:pPr>
              <w:rPr>
                <w:rFonts w:eastAsia="SimSun"/>
              </w:rPr>
            </w:pPr>
            <w:r w:rsidRPr="00AC3044">
              <w:rPr>
                <w:rFonts w:eastAsia="SimSun"/>
              </w:rPr>
              <w:t>С +5 по +90 день</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B06B6DB" w14:textId="77777777" w:rsidR="00304132" w:rsidRPr="00AC3044" w:rsidRDefault="00304132" w:rsidP="00CD5E09">
            <w:pPr>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1E6DBE">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w:t>
            </w:r>
            <w:r>
              <w:rPr>
                <w:rFonts w:eastAsia="SimSun"/>
              </w:rPr>
              <w:t xml:space="preserve"> </w:t>
            </w:r>
            <w:r w:rsidRPr="00AC3044">
              <w:rPr>
                <w:rFonts w:eastAsia="SimSun"/>
              </w:rPr>
              <w:t>пг/мл</w:t>
            </w:r>
          </w:p>
        </w:tc>
      </w:tr>
      <w:tr w:rsidR="00304132" w:rsidRPr="00AC3044" w14:paraId="01A977D7" w14:textId="77777777" w:rsidTr="00CD5E09">
        <w:trPr>
          <w:trHeight w:val="20"/>
        </w:trPr>
        <w:tc>
          <w:tcPr>
            <w:tcW w:w="958"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2B924CA" w14:textId="77777777" w:rsidR="00304132" w:rsidRPr="00AC3044" w:rsidRDefault="00304132" w:rsidP="00CD5E09">
            <w:pPr>
              <w:rPr>
                <w:rFonts w:eastAsia="SimSun"/>
              </w:rPr>
            </w:pP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3C51A59" w14:textId="77777777" w:rsidR="00304132" w:rsidRPr="00AC3044" w:rsidRDefault="00304132" w:rsidP="00CD5E09">
            <w:pPr>
              <w:rPr>
                <w:rFonts w:eastAsia="SimSun"/>
              </w:rPr>
            </w:pPr>
            <w:r w:rsidRPr="00AC3044">
              <w:rPr>
                <w:rFonts w:eastAsia="SimSun"/>
              </w:rPr>
              <w:t>Микофенолата мофетил</w:t>
            </w:r>
          </w:p>
        </w:tc>
        <w:tc>
          <w:tcPr>
            <w:tcW w:w="15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B908E51" w14:textId="77777777" w:rsidR="00304132" w:rsidRPr="00AC3044" w:rsidRDefault="00304132" w:rsidP="00CD5E09">
            <w:pPr>
              <w:rPr>
                <w:rFonts w:eastAsia="SimSun"/>
              </w:rPr>
            </w:pPr>
            <w:r w:rsidRPr="00AC3044">
              <w:rPr>
                <w:rFonts w:eastAsia="SimSun"/>
              </w:rPr>
              <w:t>45 мг/кг</w:t>
            </w:r>
            <w:r w:rsidRPr="00AC3044">
              <w:rPr>
                <w:rFonts w:eastAsia="SimSun"/>
              </w:rPr>
              <w:tab/>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3B085ED" w14:textId="77777777" w:rsidR="00304132" w:rsidRPr="00AC3044" w:rsidRDefault="00304132" w:rsidP="00CD5E09">
            <w:pPr>
              <w:rPr>
                <w:rFonts w:eastAsia="SimSun"/>
              </w:rPr>
            </w:pPr>
            <w:r w:rsidRPr="00AC3044">
              <w:rPr>
                <w:rFonts w:eastAsia="SimSun"/>
              </w:rPr>
              <w:t>–</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60EC066" w14:textId="77777777" w:rsidR="00304132" w:rsidRPr="00AC3044" w:rsidRDefault="00304132" w:rsidP="00CD5E09">
            <w:pPr>
              <w:rPr>
                <w:rFonts w:eastAsia="SimSun"/>
              </w:rPr>
            </w:pPr>
            <w:r w:rsidRPr="00AC3044">
              <w:rPr>
                <w:rFonts w:eastAsia="SimSun"/>
              </w:rPr>
              <w:t>С +5 по +30 день</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EF7C0B9" w14:textId="77777777" w:rsidR="00304132" w:rsidRPr="00AC3044" w:rsidRDefault="00304132" w:rsidP="00CD5E09">
            <w:pPr>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г/сут).</w:t>
            </w:r>
          </w:p>
        </w:tc>
      </w:tr>
      <w:tr w:rsidR="00304132" w:rsidRPr="00AC3044" w14:paraId="12CF9267" w14:textId="77777777" w:rsidTr="00CD5E09">
        <w:trPr>
          <w:trHeight w:val="464"/>
        </w:trPr>
        <w:tc>
          <w:tcPr>
            <w:tcW w:w="958"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D6725AE" w14:textId="77777777" w:rsidR="00304132" w:rsidRPr="00AC3044" w:rsidRDefault="00304132" w:rsidP="00CD5E09">
            <w:pPr>
              <w:rPr>
                <w:rFonts w:eastAsia="SimSun"/>
              </w:rPr>
            </w:pP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91D755A" w14:textId="77777777" w:rsidR="00304132" w:rsidRPr="00AC3044" w:rsidRDefault="00304132" w:rsidP="00CD5E09">
            <w:pPr>
              <w:rPr>
                <w:rFonts w:eastAsia="SimSun"/>
              </w:rPr>
            </w:pPr>
            <w:r w:rsidRPr="00AC3044">
              <w:rPr>
                <w:rFonts w:eastAsia="SimSun"/>
              </w:rPr>
              <w:t>Циклофосфам</w:t>
            </w:r>
            <w:r w:rsidRPr="00AC3044">
              <w:rPr>
                <w:rFonts w:eastAsia="SimSun"/>
              </w:rPr>
              <w:lastRenderedPageBreak/>
              <w:t>ид</w:t>
            </w:r>
          </w:p>
        </w:tc>
        <w:tc>
          <w:tcPr>
            <w:tcW w:w="15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A2BEDA3" w14:textId="77777777" w:rsidR="00304132" w:rsidRPr="00AC3044" w:rsidRDefault="00304132" w:rsidP="00CD5E09">
            <w:pPr>
              <w:rPr>
                <w:rFonts w:eastAsia="SimSun"/>
              </w:rPr>
            </w:pPr>
            <w:r w:rsidRPr="00AC3044">
              <w:rPr>
                <w:rFonts w:eastAsia="SimSun"/>
              </w:rPr>
              <w:lastRenderedPageBreak/>
              <w:t>50 мг/кг</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2486E4A" w14:textId="77777777" w:rsidR="00304132" w:rsidRPr="00AC3044" w:rsidRDefault="00304132" w:rsidP="00CD5E09">
            <w:pPr>
              <w:rPr>
                <w:rFonts w:eastAsia="SimSun"/>
              </w:rPr>
            </w:pPr>
            <w:r w:rsidRPr="00AC3044">
              <w:rPr>
                <w:rFonts w:eastAsia="SimSun"/>
              </w:rPr>
              <w:t>100 мг/кг</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FBBF230" w14:textId="77777777" w:rsidR="00304132" w:rsidRPr="00AC3044" w:rsidRDefault="00304132" w:rsidP="00CD5E09">
            <w:pPr>
              <w:rPr>
                <w:rFonts w:eastAsia="SimSun"/>
              </w:rPr>
            </w:pPr>
            <w:r w:rsidRPr="00AC3044">
              <w:rPr>
                <w:rFonts w:eastAsia="SimSun"/>
              </w:rPr>
              <w:t>+3, +4 дни</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846E518" w14:textId="77777777" w:rsidR="00304132" w:rsidRPr="00AC3044" w:rsidRDefault="00304132" w:rsidP="00CD5E09">
            <w:pPr>
              <w:rPr>
                <w:rFonts w:eastAsia="SimSun"/>
              </w:rPr>
            </w:pPr>
            <w:r w:rsidRPr="00AC3044">
              <w:rPr>
                <w:rFonts w:eastAsia="SimSun"/>
              </w:rPr>
              <w:t xml:space="preserve">В/в, в течение 2 </w:t>
            </w:r>
            <w:r w:rsidRPr="00AC3044">
              <w:rPr>
                <w:rFonts w:eastAsia="SimSun"/>
              </w:rPr>
              <w:lastRenderedPageBreak/>
              <w:t>часов</w:t>
            </w:r>
          </w:p>
        </w:tc>
      </w:tr>
    </w:tbl>
    <w:p w14:paraId="4030343D" w14:textId="77777777" w:rsidR="00304132" w:rsidRDefault="00304132" w:rsidP="00304132">
      <w:pPr>
        <w:rPr>
          <w:rFonts w:eastAsia="SimSun"/>
        </w:rPr>
      </w:pPr>
      <w:bookmarkStart w:id="323" w:name="_Toc44401178"/>
    </w:p>
    <w:p w14:paraId="1450D231" w14:textId="77777777" w:rsidR="00304132" w:rsidRPr="00C07B2E" w:rsidRDefault="00304132" w:rsidP="00304132">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1.2.20  – Flu150+Treo36 / PT-Cy+CSA+MMF30</w:t>
      </w:r>
      <w:bookmarkEnd w:id="323"/>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701"/>
        <w:gridCol w:w="1559"/>
        <w:gridCol w:w="1701"/>
        <w:gridCol w:w="1418"/>
        <w:gridCol w:w="2268"/>
      </w:tblGrid>
      <w:tr w:rsidR="00304132" w:rsidRPr="00AC3044" w14:paraId="086CA54E" w14:textId="77777777" w:rsidTr="00CD5E09">
        <w:trPr>
          <w:cantSplit/>
          <w:trHeight w:val="20"/>
          <w:tblHeader/>
        </w:trPr>
        <w:tc>
          <w:tcPr>
            <w:tcW w:w="993" w:type="dxa"/>
          </w:tcPr>
          <w:p w14:paraId="7B9C66F5" w14:textId="77777777" w:rsidR="00304132" w:rsidRPr="00470D3D" w:rsidRDefault="00304132" w:rsidP="00CD5E09">
            <w:pPr>
              <w:rPr>
                <w:rFonts w:eastAsia="SimSun"/>
              </w:rPr>
            </w:pPr>
          </w:p>
          <w:p w14:paraId="3A26B7F2" w14:textId="77777777" w:rsidR="00304132" w:rsidRPr="00470D3D" w:rsidRDefault="00304132" w:rsidP="00CD5E09">
            <w:pPr>
              <w:rPr>
                <w:rFonts w:eastAsia="SimSun"/>
              </w:rPr>
            </w:pPr>
          </w:p>
        </w:tc>
        <w:tc>
          <w:tcPr>
            <w:tcW w:w="1701" w:type="dxa"/>
            <w:vAlign w:val="center"/>
          </w:tcPr>
          <w:p w14:paraId="7A6B8AF7" w14:textId="77777777" w:rsidR="00304132" w:rsidRPr="00AC3044" w:rsidRDefault="00304132" w:rsidP="00CD5E09">
            <w:pPr>
              <w:rPr>
                <w:rFonts w:eastAsia="SimSun"/>
              </w:rPr>
            </w:pPr>
            <w:r w:rsidRPr="00AC3044">
              <w:rPr>
                <w:rFonts w:eastAsia="SimSun"/>
              </w:rPr>
              <w:t>Препарат</w:t>
            </w:r>
          </w:p>
        </w:tc>
        <w:tc>
          <w:tcPr>
            <w:tcW w:w="1559" w:type="dxa"/>
            <w:vAlign w:val="center"/>
          </w:tcPr>
          <w:p w14:paraId="0ABF0D96" w14:textId="77777777" w:rsidR="00304132" w:rsidRPr="00AC3044" w:rsidRDefault="00304132" w:rsidP="00CD5E09">
            <w:pPr>
              <w:rPr>
                <w:rFonts w:eastAsia="SimSun"/>
              </w:rPr>
            </w:pPr>
            <w:r w:rsidRPr="00AC3044">
              <w:rPr>
                <w:rFonts w:eastAsia="SimSun"/>
              </w:rPr>
              <w:t>Суточная доза</w:t>
            </w:r>
          </w:p>
        </w:tc>
        <w:tc>
          <w:tcPr>
            <w:tcW w:w="1701" w:type="dxa"/>
            <w:vAlign w:val="center"/>
          </w:tcPr>
          <w:p w14:paraId="5E78DDAD" w14:textId="77777777" w:rsidR="00304132" w:rsidRPr="00AC3044" w:rsidRDefault="00304132" w:rsidP="00CD5E09">
            <w:pPr>
              <w:rPr>
                <w:rFonts w:eastAsia="SimSun"/>
              </w:rPr>
            </w:pPr>
            <w:r w:rsidRPr="00AC3044">
              <w:rPr>
                <w:rFonts w:eastAsia="SimSun"/>
              </w:rPr>
              <w:t>Курсовая доза</w:t>
            </w:r>
          </w:p>
        </w:tc>
        <w:tc>
          <w:tcPr>
            <w:tcW w:w="1418" w:type="dxa"/>
            <w:vAlign w:val="center"/>
          </w:tcPr>
          <w:p w14:paraId="5DDD19CD" w14:textId="77777777" w:rsidR="00304132" w:rsidRPr="00AC3044" w:rsidRDefault="00304132" w:rsidP="00CD5E09">
            <w:pPr>
              <w:rPr>
                <w:rFonts w:eastAsia="SimSun"/>
              </w:rPr>
            </w:pPr>
            <w:r w:rsidRPr="00AC3044">
              <w:rPr>
                <w:rFonts w:eastAsia="SimSun"/>
              </w:rPr>
              <w:t>Дни введения</w:t>
            </w:r>
          </w:p>
        </w:tc>
        <w:tc>
          <w:tcPr>
            <w:tcW w:w="2268" w:type="dxa"/>
            <w:vAlign w:val="center"/>
          </w:tcPr>
          <w:p w14:paraId="0633B327" w14:textId="77777777" w:rsidR="00304132" w:rsidRPr="00AC3044" w:rsidRDefault="00304132" w:rsidP="00CD5E09">
            <w:pPr>
              <w:rPr>
                <w:rFonts w:eastAsia="SimSun"/>
              </w:rPr>
            </w:pPr>
            <w:r w:rsidRPr="00AC3044">
              <w:rPr>
                <w:rFonts w:eastAsia="SimSun"/>
              </w:rPr>
              <w:t>Порядок введения</w:t>
            </w:r>
          </w:p>
        </w:tc>
      </w:tr>
      <w:tr w:rsidR="00304132" w:rsidRPr="00AC3044" w14:paraId="5124A1FF" w14:textId="77777777" w:rsidTr="00CD5E09">
        <w:trPr>
          <w:cantSplit/>
          <w:trHeight w:val="20"/>
        </w:trPr>
        <w:tc>
          <w:tcPr>
            <w:tcW w:w="993" w:type="dxa"/>
            <w:vMerge w:val="restart"/>
            <w:textDirection w:val="btLr"/>
            <w:vAlign w:val="center"/>
          </w:tcPr>
          <w:p w14:paraId="4B0E5569" w14:textId="77777777" w:rsidR="00304132" w:rsidRPr="00AC3044" w:rsidRDefault="00304132" w:rsidP="00CD5E09">
            <w:pPr>
              <w:rPr>
                <w:rFonts w:eastAsia="SimSun"/>
              </w:rPr>
            </w:pPr>
            <w:r w:rsidRPr="00AC3044">
              <w:rPr>
                <w:rFonts w:eastAsia="SimSun"/>
              </w:rPr>
              <w:t>Кондиционирование</w:t>
            </w:r>
          </w:p>
        </w:tc>
        <w:tc>
          <w:tcPr>
            <w:tcW w:w="1701" w:type="dxa"/>
            <w:vAlign w:val="center"/>
          </w:tcPr>
          <w:p w14:paraId="7FEF8032" w14:textId="77777777" w:rsidR="00304132" w:rsidRPr="00AC3044" w:rsidRDefault="00304132" w:rsidP="00CD5E09">
            <w:pPr>
              <w:rPr>
                <w:rFonts w:eastAsia="SimSun"/>
              </w:rPr>
            </w:pPr>
            <w:r w:rsidRPr="00AC3044">
              <w:rPr>
                <w:rFonts w:eastAsia="SimSun"/>
              </w:rPr>
              <w:t xml:space="preserve">Флударабин </w:t>
            </w:r>
          </w:p>
        </w:tc>
        <w:tc>
          <w:tcPr>
            <w:tcW w:w="1559" w:type="dxa"/>
            <w:vAlign w:val="center"/>
          </w:tcPr>
          <w:p w14:paraId="22160350" w14:textId="77777777" w:rsidR="00304132" w:rsidRPr="00AC3044" w:rsidRDefault="00304132" w:rsidP="00CD5E09">
            <w:pPr>
              <w:rPr>
                <w:rFonts w:eastAsia="SimSun"/>
              </w:rPr>
            </w:pPr>
            <w:r w:rsidRPr="00AC3044">
              <w:rPr>
                <w:rFonts w:eastAsia="SimSun"/>
              </w:rPr>
              <w:t>30 мг/м</w:t>
            </w:r>
            <w:r w:rsidRPr="001E6DBE">
              <w:rPr>
                <w:rFonts w:eastAsia="SimSun"/>
                <w:vertAlign w:val="superscript"/>
              </w:rPr>
              <w:t>2</w:t>
            </w:r>
          </w:p>
        </w:tc>
        <w:tc>
          <w:tcPr>
            <w:tcW w:w="1701" w:type="dxa"/>
            <w:vAlign w:val="center"/>
          </w:tcPr>
          <w:p w14:paraId="4189E55C" w14:textId="77777777" w:rsidR="00304132" w:rsidRPr="00AC3044" w:rsidRDefault="00304132" w:rsidP="00CD5E09">
            <w:pPr>
              <w:rPr>
                <w:rFonts w:eastAsia="SimSun"/>
              </w:rPr>
            </w:pPr>
            <w:r w:rsidRPr="00AC3044">
              <w:rPr>
                <w:rFonts w:eastAsia="SimSun"/>
              </w:rPr>
              <w:t>150 мг/м</w:t>
            </w:r>
            <w:r w:rsidRPr="001E6DBE">
              <w:rPr>
                <w:rFonts w:eastAsia="SimSun"/>
                <w:vertAlign w:val="superscript"/>
              </w:rPr>
              <w:t>2</w:t>
            </w:r>
          </w:p>
        </w:tc>
        <w:tc>
          <w:tcPr>
            <w:tcW w:w="1418" w:type="dxa"/>
            <w:vAlign w:val="center"/>
          </w:tcPr>
          <w:p w14:paraId="6230D755" w14:textId="77777777" w:rsidR="00304132" w:rsidRPr="00AC3044" w:rsidRDefault="00304132" w:rsidP="00CD5E09">
            <w:pPr>
              <w:rPr>
                <w:rFonts w:eastAsia="SimSun"/>
              </w:rPr>
            </w:pPr>
            <w:r w:rsidRPr="00AC3044">
              <w:rPr>
                <w:rFonts w:eastAsia="SimSun"/>
              </w:rPr>
              <w:t>С –6 по –2 день</w:t>
            </w:r>
          </w:p>
        </w:tc>
        <w:tc>
          <w:tcPr>
            <w:tcW w:w="2268" w:type="dxa"/>
            <w:vAlign w:val="center"/>
          </w:tcPr>
          <w:p w14:paraId="06C1BAB7" w14:textId="77777777" w:rsidR="00304132" w:rsidRPr="00AC3044" w:rsidRDefault="00304132" w:rsidP="00CD5E09">
            <w:pPr>
              <w:rPr>
                <w:rFonts w:eastAsia="SimSun"/>
              </w:rPr>
            </w:pPr>
            <w:r w:rsidRPr="00AC3044">
              <w:rPr>
                <w:rFonts w:eastAsia="SimSun"/>
              </w:rPr>
              <w:t>В/в, в течение 30 -60 мин</w:t>
            </w:r>
          </w:p>
        </w:tc>
      </w:tr>
      <w:tr w:rsidR="00304132" w:rsidRPr="00AC3044" w14:paraId="1D569D4D" w14:textId="77777777" w:rsidTr="00CD5E09">
        <w:trPr>
          <w:cantSplit/>
          <w:trHeight w:val="801"/>
        </w:trPr>
        <w:tc>
          <w:tcPr>
            <w:tcW w:w="993" w:type="dxa"/>
            <w:vMerge/>
            <w:textDirection w:val="btLr"/>
            <w:vAlign w:val="center"/>
          </w:tcPr>
          <w:p w14:paraId="0567913A" w14:textId="77777777" w:rsidR="00304132" w:rsidRPr="00AC3044" w:rsidRDefault="00304132" w:rsidP="00CD5E09">
            <w:pPr>
              <w:rPr>
                <w:rFonts w:eastAsia="SimSun"/>
              </w:rPr>
            </w:pPr>
          </w:p>
        </w:tc>
        <w:tc>
          <w:tcPr>
            <w:tcW w:w="1701" w:type="dxa"/>
            <w:vAlign w:val="center"/>
          </w:tcPr>
          <w:p w14:paraId="713B0C86" w14:textId="77777777" w:rsidR="00304132" w:rsidRPr="00AC3044" w:rsidRDefault="00304132" w:rsidP="00CD5E09">
            <w:pPr>
              <w:rPr>
                <w:rFonts w:eastAsia="SimSun"/>
              </w:rPr>
            </w:pPr>
            <w:r w:rsidRPr="00AC3044">
              <w:rPr>
                <w:rFonts w:eastAsia="SimSun"/>
              </w:rPr>
              <w:t>Треосульфан</w:t>
            </w:r>
          </w:p>
        </w:tc>
        <w:tc>
          <w:tcPr>
            <w:tcW w:w="1559" w:type="dxa"/>
            <w:vAlign w:val="center"/>
          </w:tcPr>
          <w:p w14:paraId="015C6233" w14:textId="77777777" w:rsidR="00304132" w:rsidRPr="00AC3044" w:rsidRDefault="00304132" w:rsidP="00CD5E09">
            <w:pPr>
              <w:rPr>
                <w:rFonts w:eastAsia="SimSun"/>
              </w:rPr>
            </w:pPr>
            <w:r w:rsidRPr="00AC3044">
              <w:rPr>
                <w:rFonts w:eastAsia="SimSun"/>
              </w:rPr>
              <w:t>12 г/м</w:t>
            </w:r>
            <w:r w:rsidRPr="001E6DBE">
              <w:rPr>
                <w:rFonts w:eastAsia="SimSun"/>
                <w:vertAlign w:val="superscript"/>
              </w:rPr>
              <w:t>2</w:t>
            </w:r>
          </w:p>
        </w:tc>
        <w:tc>
          <w:tcPr>
            <w:tcW w:w="1701" w:type="dxa"/>
            <w:vAlign w:val="center"/>
          </w:tcPr>
          <w:p w14:paraId="502FF932" w14:textId="77777777" w:rsidR="00304132" w:rsidRPr="00AC3044" w:rsidRDefault="00304132" w:rsidP="00CD5E09">
            <w:pPr>
              <w:rPr>
                <w:rFonts w:eastAsia="SimSun"/>
              </w:rPr>
            </w:pPr>
            <w:r w:rsidRPr="00AC3044">
              <w:rPr>
                <w:rFonts w:eastAsia="SimSun"/>
              </w:rPr>
              <w:t>36 г/м</w:t>
            </w:r>
            <w:r w:rsidRPr="001E6DBE">
              <w:rPr>
                <w:rFonts w:eastAsia="SimSun"/>
                <w:vertAlign w:val="superscript"/>
              </w:rPr>
              <w:t>2</w:t>
            </w:r>
          </w:p>
        </w:tc>
        <w:tc>
          <w:tcPr>
            <w:tcW w:w="1418" w:type="dxa"/>
            <w:vAlign w:val="center"/>
          </w:tcPr>
          <w:p w14:paraId="5B77D59F" w14:textId="77777777" w:rsidR="00304132" w:rsidRPr="00AC3044" w:rsidRDefault="00304132" w:rsidP="00CD5E09">
            <w:pPr>
              <w:rPr>
                <w:rFonts w:eastAsia="SimSun"/>
              </w:rPr>
            </w:pPr>
            <w:r w:rsidRPr="00AC3044">
              <w:rPr>
                <w:rFonts w:eastAsia="SimSun"/>
              </w:rPr>
              <w:t>С –6 по –4 день</w:t>
            </w:r>
          </w:p>
        </w:tc>
        <w:tc>
          <w:tcPr>
            <w:tcW w:w="2268" w:type="dxa"/>
            <w:vAlign w:val="center"/>
          </w:tcPr>
          <w:p w14:paraId="1F4B0DA1" w14:textId="77777777" w:rsidR="00304132" w:rsidRPr="00AC3044" w:rsidRDefault="00304132" w:rsidP="00CD5E09">
            <w:pPr>
              <w:rPr>
                <w:rFonts w:eastAsia="SimSun"/>
              </w:rPr>
            </w:pPr>
            <w:r w:rsidRPr="00AC3044">
              <w:rPr>
                <w:rFonts w:eastAsia="SimSun"/>
              </w:rPr>
              <w:t>В/в, в течение 2 ч</w:t>
            </w:r>
          </w:p>
        </w:tc>
      </w:tr>
      <w:tr w:rsidR="00304132" w:rsidRPr="00AC3044" w14:paraId="6D6337E7" w14:textId="77777777" w:rsidTr="00CD5E09">
        <w:trPr>
          <w:cantSplit/>
          <w:trHeight w:val="20"/>
        </w:trPr>
        <w:tc>
          <w:tcPr>
            <w:tcW w:w="993" w:type="dxa"/>
            <w:vMerge w:val="restart"/>
            <w:textDirection w:val="btLr"/>
            <w:vAlign w:val="center"/>
          </w:tcPr>
          <w:p w14:paraId="1EDD5536" w14:textId="77777777" w:rsidR="00304132" w:rsidRPr="00AC3044" w:rsidRDefault="00304132" w:rsidP="00CD5E09">
            <w:pPr>
              <w:rPr>
                <w:rFonts w:eastAsia="SimSun"/>
              </w:rPr>
            </w:pPr>
            <w:r w:rsidRPr="00AC3044">
              <w:rPr>
                <w:rFonts w:eastAsia="SimSun"/>
              </w:rPr>
              <w:t>Профилактика РТПХ</w:t>
            </w:r>
          </w:p>
        </w:tc>
        <w:tc>
          <w:tcPr>
            <w:tcW w:w="1701" w:type="dxa"/>
            <w:vAlign w:val="center"/>
          </w:tcPr>
          <w:p w14:paraId="2C1AC1F9" w14:textId="77777777" w:rsidR="00304132" w:rsidRPr="00AC3044" w:rsidRDefault="00304132" w:rsidP="00CD5E09">
            <w:pPr>
              <w:rPr>
                <w:rFonts w:eastAsia="SimSun"/>
              </w:rPr>
            </w:pPr>
            <w:r w:rsidRPr="00AC3044">
              <w:rPr>
                <w:rFonts w:eastAsia="SimSun"/>
              </w:rPr>
              <w:t>Циклофосфамид</w:t>
            </w:r>
          </w:p>
        </w:tc>
        <w:tc>
          <w:tcPr>
            <w:tcW w:w="1559" w:type="dxa"/>
            <w:vAlign w:val="center"/>
          </w:tcPr>
          <w:p w14:paraId="199040A1" w14:textId="77777777" w:rsidR="00304132" w:rsidRPr="00AC3044" w:rsidRDefault="00304132" w:rsidP="00CD5E09">
            <w:pPr>
              <w:rPr>
                <w:rFonts w:eastAsia="SimSun"/>
              </w:rPr>
            </w:pPr>
            <w:r w:rsidRPr="00AC3044">
              <w:rPr>
                <w:rFonts w:eastAsia="SimSun"/>
              </w:rPr>
              <w:t>50 мг/кг</w:t>
            </w:r>
          </w:p>
        </w:tc>
        <w:tc>
          <w:tcPr>
            <w:tcW w:w="1701" w:type="dxa"/>
            <w:vAlign w:val="center"/>
          </w:tcPr>
          <w:p w14:paraId="4E0C2BCA" w14:textId="77777777" w:rsidR="00304132" w:rsidRPr="00AC3044" w:rsidRDefault="00304132" w:rsidP="00CD5E09">
            <w:pPr>
              <w:rPr>
                <w:rFonts w:eastAsia="SimSun"/>
              </w:rPr>
            </w:pPr>
            <w:r w:rsidRPr="00AC3044">
              <w:rPr>
                <w:rFonts w:eastAsia="SimSun"/>
              </w:rPr>
              <w:t>100 мг/кг</w:t>
            </w:r>
          </w:p>
        </w:tc>
        <w:tc>
          <w:tcPr>
            <w:tcW w:w="1418" w:type="dxa"/>
            <w:vAlign w:val="center"/>
          </w:tcPr>
          <w:p w14:paraId="43F8D347" w14:textId="77777777" w:rsidR="00304132" w:rsidRPr="00AC3044" w:rsidRDefault="00304132" w:rsidP="00CD5E09">
            <w:pPr>
              <w:rPr>
                <w:rFonts w:eastAsia="SimSun"/>
              </w:rPr>
            </w:pPr>
            <w:r w:rsidRPr="00AC3044">
              <w:rPr>
                <w:rFonts w:eastAsia="SimSun"/>
              </w:rPr>
              <w:t xml:space="preserve">+3,+4 дни </w:t>
            </w:r>
          </w:p>
        </w:tc>
        <w:tc>
          <w:tcPr>
            <w:tcW w:w="2268" w:type="dxa"/>
            <w:vAlign w:val="center"/>
          </w:tcPr>
          <w:p w14:paraId="3BCE1E0A" w14:textId="77777777" w:rsidR="00304132" w:rsidRPr="00AC3044" w:rsidRDefault="00304132" w:rsidP="00CD5E09">
            <w:pPr>
              <w:rPr>
                <w:rFonts w:eastAsia="SimSun"/>
              </w:rPr>
            </w:pPr>
            <w:r w:rsidRPr="00AC3044">
              <w:rPr>
                <w:rFonts w:eastAsia="SimSun"/>
              </w:rPr>
              <w:t>В/в, в течение 2 часов</w:t>
            </w:r>
          </w:p>
        </w:tc>
      </w:tr>
      <w:tr w:rsidR="00304132" w:rsidRPr="00AC3044" w14:paraId="3C61C301" w14:textId="77777777" w:rsidTr="00CD5E09">
        <w:trPr>
          <w:cantSplit/>
          <w:trHeight w:val="20"/>
        </w:trPr>
        <w:tc>
          <w:tcPr>
            <w:tcW w:w="993" w:type="dxa"/>
            <w:vMerge/>
            <w:textDirection w:val="btLr"/>
          </w:tcPr>
          <w:p w14:paraId="126483B2" w14:textId="77777777" w:rsidR="00304132" w:rsidRPr="00AC3044" w:rsidRDefault="00304132" w:rsidP="00CD5E09">
            <w:pPr>
              <w:rPr>
                <w:rFonts w:eastAsia="SimSun"/>
              </w:rPr>
            </w:pPr>
          </w:p>
        </w:tc>
        <w:tc>
          <w:tcPr>
            <w:tcW w:w="1701" w:type="dxa"/>
            <w:vAlign w:val="center"/>
          </w:tcPr>
          <w:p w14:paraId="351CF0FF" w14:textId="77777777" w:rsidR="00304132" w:rsidRPr="00AC3044" w:rsidRDefault="00304132" w:rsidP="00CD5E09">
            <w:pPr>
              <w:rPr>
                <w:rFonts w:eastAsia="SimSun"/>
              </w:rPr>
            </w:pPr>
            <w:r w:rsidRPr="00AC3044">
              <w:rPr>
                <w:rFonts w:eastAsia="SimSun"/>
              </w:rPr>
              <w:t>Циклоспорин</w:t>
            </w:r>
          </w:p>
        </w:tc>
        <w:tc>
          <w:tcPr>
            <w:tcW w:w="1559" w:type="dxa"/>
            <w:vAlign w:val="center"/>
          </w:tcPr>
          <w:p w14:paraId="32563C5B" w14:textId="77777777" w:rsidR="00304132" w:rsidRPr="00AC3044" w:rsidRDefault="00304132" w:rsidP="00CD5E09">
            <w:pPr>
              <w:rPr>
                <w:rFonts w:eastAsia="SimSun"/>
              </w:rPr>
            </w:pPr>
            <w:r w:rsidRPr="00AC3044">
              <w:rPr>
                <w:rFonts w:eastAsia="SimSun"/>
              </w:rPr>
              <w:t>3 мг/кг</w:t>
            </w:r>
          </w:p>
        </w:tc>
        <w:tc>
          <w:tcPr>
            <w:tcW w:w="1701" w:type="dxa"/>
            <w:vAlign w:val="center"/>
          </w:tcPr>
          <w:p w14:paraId="3156411B" w14:textId="77777777" w:rsidR="00304132" w:rsidRPr="00AC3044" w:rsidRDefault="00304132" w:rsidP="00CD5E09">
            <w:pPr>
              <w:rPr>
                <w:rFonts w:eastAsia="SimSun"/>
              </w:rPr>
            </w:pPr>
            <w:r w:rsidRPr="00AC3044">
              <w:rPr>
                <w:rFonts w:eastAsia="SimSun"/>
              </w:rPr>
              <w:t>–</w:t>
            </w:r>
          </w:p>
        </w:tc>
        <w:tc>
          <w:tcPr>
            <w:tcW w:w="1418" w:type="dxa"/>
            <w:vAlign w:val="center"/>
          </w:tcPr>
          <w:p w14:paraId="550C7EAD" w14:textId="77777777" w:rsidR="00304132" w:rsidRPr="00AC3044" w:rsidRDefault="00304132" w:rsidP="00CD5E09">
            <w:pPr>
              <w:rPr>
                <w:rFonts w:eastAsia="SimSun"/>
              </w:rPr>
            </w:pPr>
            <w:r w:rsidRPr="00AC3044">
              <w:rPr>
                <w:rFonts w:eastAsia="SimSun"/>
              </w:rPr>
              <w:t>С +5 по +60 день, затем постепенное снижение к +100 дню</w:t>
            </w:r>
          </w:p>
        </w:tc>
        <w:tc>
          <w:tcPr>
            <w:tcW w:w="2268" w:type="dxa"/>
            <w:vAlign w:val="center"/>
          </w:tcPr>
          <w:p w14:paraId="5B6492D4" w14:textId="77777777" w:rsidR="00304132" w:rsidRPr="00AC3044" w:rsidRDefault="00304132" w:rsidP="00CD5E09">
            <w:pPr>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1E6DBE">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304132" w:rsidRPr="00AC3044" w14:paraId="4939AABC" w14:textId="77777777" w:rsidTr="00CD5E09">
        <w:trPr>
          <w:cantSplit/>
          <w:trHeight w:val="464"/>
        </w:trPr>
        <w:tc>
          <w:tcPr>
            <w:tcW w:w="993" w:type="dxa"/>
            <w:vMerge/>
          </w:tcPr>
          <w:p w14:paraId="0D82DE19" w14:textId="77777777" w:rsidR="00304132" w:rsidRPr="00AC3044" w:rsidRDefault="00304132" w:rsidP="00CD5E09">
            <w:pPr>
              <w:rPr>
                <w:rFonts w:eastAsia="SimSun"/>
              </w:rPr>
            </w:pPr>
          </w:p>
        </w:tc>
        <w:tc>
          <w:tcPr>
            <w:tcW w:w="1701" w:type="dxa"/>
            <w:vAlign w:val="center"/>
          </w:tcPr>
          <w:p w14:paraId="708F2BA9" w14:textId="77777777" w:rsidR="00304132" w:rsidRPr="00AC3044" w:rsidRDefault="00304132" w:rsidP="00CD5E09">
            <w:pPr>
              <w:rPr>
                <w:rFonts w:eastAsia="SimSun"/>
              </w:rPr>
            </w:pPr>
            <w:r w:rsidRPr="00AC3044">
              <w:rPr>
                <w:rFonts w:eastAsia="SimSun"/>
              </w:rPr>
              <w:t>Микофенолата мофетил</w:t>
            </w:r>
          </w:p>
        </w:tc>
        <w:tc>
          <w:tcPr>
            <w:tcW w:w="1559" w:type="dxa"/>
            <w:vAlign w:val="center"/>
          </w:tcPr>
          <w:p w14:paraId="3F8AF6A5" w14:textId="77777777" w:rsidR="00304132" w:rsidRPr="00AC3044" w:rsidRDefault="00304132" w:rsidP="00CD5E09">
            <w:pPr>
              <w:rPr>
                <w:rFonts w:eastAsia="SimSun"/>
              </w:rPr>
            </w:pPr>
            <w:r w:rsidRPr="00AC3044">
              <w:rPr>
                <w:rFonts w:eastAsia="SimSun"/>
              </w:rPr>
              <w:t>30 мг/кг</w:t>
            </w:r>
          </w:p>
        </w:tc>
        <w:tc>
          <w:tcPr>
            <w:tcW w:w="1701" w:type="dxa"/>
            <w:vAlign w:val="center"/>
          </w:tcPr>
          <w:p w14:paraId="5124E258" w14:textId="77777777" w:rsidR="00304132" w:rsidRPr="00AC3044" w:rsidRDefault="00304132" w:rsidP="00CD5E09">
            <w:pPr>
              <w:rPr>
                <w:rFonts w:eastAsia="SimSun"/>
              </w:rPr>
            </w:pPr>
            <w:r w:rsidRPr="00AC3044">
              <w:rPr>
                <w:rFonts w:eastAsia="SimSun"/>
              </w:rPr>
              <w:t>–</w:t>
            </w:r>
          </w:p>
        </w:tc>
        <w:tc>
          <w:tcPr>
            <w:tcW w:w="1418" w:type="dxa"/>
            <w:vAlign w:val="center"/>
          </w:tcPr>
          <w:p w14:paraId="0F0C31F9" w14:textId="77777777" w:rsidR="00304132" w:rsidRPr="00AC3044" w:rsidRDefault="00304132" w:rsidP="00CD5E09">
            <w:pPr>
              <w:rPr>
                <w:rFonts w:eastAsia="SimSun"/>
              </w:rPr>
            </w:pPr>
            <w:r w:rsidRPr="00AC3044">
              <w:rPr>
                <w:rFonts w:eastAsia="SimSun"/>
              </w:rPr>
              <w:t>С +5 по +30 день</w:t>
            </w:r>
          </w:p>
        </w:tc>
        <w:tc>
          <w:tcPr>
            <w:tcW w:w="2268" w:type="dxa"/>
            <w:vAlign w:val="center"/>
          </w:tcPr>
          <w:p w14:paraId="61E5D56D" w14:textId="77777777" w:rsidR="00304132" w:rsidRPr="00AC3044" w:rsidRDefault="00304132" w:rsidP="00CD5E09">
            <w:pPr>
              <w:rPr>
                <w:rFonts w:eastAsia="SimSun"/>
              </w:rPr>
            </w:pPr>
            <w:r w:rsidRPr="00AC3044">
              <w:rPr>
                <w:rFonts w:eastAsia="SimSun"/>
              </w:rPr>
              <w:t>Внутрь, суммарная суточная доза разделяется на 2- 4 приема (не более 3г/сут).</w:t>
            </w:r>
          </w:p>
        </w:tc>
      </w:tr>
    </w:tbl>
    <w:p w14:paraId="4457DCF7" w14:textId="77777777" w:rsidR="00304132" w:rsidRPr="00C07B2E" w:rsidRDefault="00304132" w:rsidP="00304132">
      <w:pPr>
        <w:rPr>
          <w:rFonts w:eastAsia="SimSun"/>
        </w:rPr>
      </w:pPr>
    </w:p>
    <w:p w14:paraId="79C4D46E" w14:textId="77777777" w:rsidR="00304132" w:rsidRPr="00042499" w:rsidRDefault="00304132" w:rsidP="00304132">
      <w:pPr>
        <w:rPr>
          <w:rFonts w:eastAsia="SimSun"/>
          <w:lang w:val="en-US"/>
        </w:rPr>
      </w:pPr>
      <w:bookmarkStart w:id="324" w:name="_Toc44401179"/>
      <w:r>
        <w:rPr>
          <w:rFonts w:eastAsia="SimSun"/>
        </w:rPr>
        <w:t>Таблица</w:t>
      </w:r>
      <w:r w:rsidRPr="00042499">
        <w:rPr>
          <w:rFonts w:eastAsia="SimSun"/>
          <w:lang w:val="en-US"/>
        </w:rPr>
        <w:t xml:space="preserve"> </w:t>
      </w:r>
      <w:r>
        <w:rPr>
          <w:rFonts w:eastAsia="SimSun"/>
          <w:lang w:val="en-US"/>
        </w:rPr>
        <w:t>5.</w:t>
      </w:r>
      <w:r w:rsidRPr="00042499">
        <w:rPr>
          <w:rFonts w:eastAsia="SimSun"/>
          <w:lang w:val="en-US"/>
        </w:rPr>
        <w:t xml:space="preserve">1.2.21  – </w:t>
      </w:r>
      <w:r w:rsidRPr="00657BC2">
        <w:rPr>
          <w:rFonts w:eastAsia="SimSun"/>
          <w:lang w:val="en-US"/>
        </w:rPr>
        <w:t>Flu</w:t>
      </w:r>
      <w:r w:rsidRPr="00042499">
        <w:rPr>
          <w:rFonts w:eastAsia="SimSun"/>
          <w:lang w:val="en-US"/>
        </w:rPr>
        <w:t>150+</w:t>
      </w:r>
      <w:r w:rsidRPr="00657BC2">
        <w:rPr>
          <w:rFonts w:eastAsia="SimSun"/>
          <w:lang w:val="en-US"/>
        </w:rPr>
        <w:t>Thio</w:t>
      </w:r>
      <w:r w:rsidRPr="00042499">
        <w:rPr>
          <w:rFonts w:eastAsia="SimSun"/>
          <w:lang w:val="en-US"/>
        </w:rPr>
        <w:t xml:space="preserve"> / </w:t>
      </w:r>
      <w:r w:rsidRPr="00657BC2">
        <w:rPr>
          <w:rFonts w:eastAsia="SimSun"/>
          <w:lang w:val="en-US"/>
        </w:rPr>
        <w:t>hATG</w:t>
      </w:r>
      <w:r w:rsidRPr="00042499">
        <w:rPr>
          <w:rFonts w:eastAsia="SimSun"/>
          <w:lang w:val="en-US"/>
        </w:rPr>
        <w:t>+</w:t>
      </w:r>
      <w:r w:rsidRPr="00657BC2">
        <w:rPr>
          <w:rFonts w:eastAsia="SimSun"/>
          <w:lang w:val="en-US"/>
        </w:rPr>
        <w:t>Tx</w:t>
      </w:r>
      <w:r w:rsidRPr="00042499">
        <w:rPr>
          <w:rFonts w:eastAsia="SimSun"/>
          <w:lang w:val="en-US"/>
        </w:rPr>
        <w:t>+</w:t>
      </w:r>
      <w:r w:rsidRPr="00657BC2">
        <w:rPr>
          <w:rFonts w:eastAsia="SimSun"/>
          <w:lang w:val="en-US"/>
        </w:rPr>
        <w:t>MMF</w:t>
      </w:r>
      <w:r w:rsidRPr="00042499">
        <w:rPr>
          <w:rFonts w:eastAsia="SimSun"/>
          <w:lang w:val="en-US"/>
        </w:rPr>
        <w:t>30</w:t>
      </w:r>
      <w:bookmarkEnd w:id="324"/>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9"/>
        <w:gridCol w:w="1701"/>
        <w:gridCol w:w="1559"/>
        <w:gridCol w:w="1701"/>
        <w:gridCol w:w="1418"/>
        <w:gridCol w:w="2268"/>
      </w:tblGrid>
      <w:tr w:rsidR="00304132" w:rsidRPr="00AC3044" w14:paraId="0F28998C" w14:textId="77777777" w:rsidTr="00CD5E09">
        <w:trPr>
          <w:cantSplit/>
          <w:trHeight w:val="20"/>
          <w:tblHeader/>
        </w:trPr>
        <w:tc>
          <w:tcPr>
            <w:tcW w:w="959" w:type="dxa"/>
            <w:vAlign w:val="center"/>
          </w:tcPr>
          <w:p w14:paraId="0F1684F6" w14:textId="77777777" w:rsidR="00304132" w:rsidRPr="00657BC2" w:rsidRDefault="00304132" w:rsidP="00CD5E09">
            <w:pPr>
              <w:rPr>
                <w:rFonts w:eastAsia="SimSun"/>
                <w:lang w:val="en-US"/>
              </w:rPr>
            </w:pPr>
          </w:p>
        </w:tc>
        <w:tc>
          <w:tcPr>
            <w:tcW w:w="1701" w:type="dxa"/>
            <w:vAlign w:val="center"/>
          </w:tcPr>
          <w:p w14:paraId="6DF794BA" w14:textId="77777777" w:rsidR="00304132" w:rsidRPr="00AC3044" w:rsidRDefault="00304132" w:rsidP="00CD5E09">
            <w:pPr>
              <w:rPr>
                <w:rFonts w:eastAsia="SimSun"/>
              </w:rPr>
            </w:pPr>
            <w:r w:rsidRPr="00AC3044">
              <w:rPr>
                <w:rFonts w:eastAsia="SimSun"/>
              </w:rPr>
              <w:t>Препарат</w:t>
            </w:r>
          </w:p>
        </w:tc>
        <w:tc>
          <w:tcPr>
            <w:tcW w:w="1559" w:type="dxa"/>
            <w:vAlign w:val="center"/>
          </w:tcPr>
          <w:p w14:paraId="4E1188B9" w14:textId="77777777" w:rsidR="00304132" w:rsidRPr="00AC3044" w:rsidRDefault="00304132" w:rsidP="00CD5E09">
            <w:pPr>
              <w:rPr>
                <w:rFonts w:eastAsia="SimSun"/>
              </w:rPr>
            </w:pPr>
            <w:r w:rsidRPr="00AC3044">
              <w:rPr>
                <w:rFonts w:eastAsia="SimSun"/>
              </w:rPr>
              <w:t>Суточная доза</w:t>
            </w:r>
          </w:p>
        </w:tc>
        <w:tc>
          <w:tcPr>
            <w:tcW w:w="1701" w:type="dxa"/>
            <w:vAlign w:val="center"/>
          </w:tcPr>
          <w:p w14:paraId="11B70371" w14:textId="77777777" w:rsidR="00304132" w:rsidRPr="00AC3044" w:rsidRDefault="00304132" w:rsidP="00CD5E09">
            <w:pPr>
              <w:rPr>
                <w:rFonts w:eastAsia="SimSun"/>
              </w:rPr>
            </w:pPr>
            <w:r w:rsidRPr="00AC3044">
              <w:rPr>
                <w:rFonts w:eastAsia="SimSun"/>
              </w:rPr>
              <w:t>Курсовая доза</w:t>
            </w:r>
          </w:p>
        </w:tc>
        <w:tc>
          <w:tcPr>
            <w:tcW w:w="1418" w:type="dxa"/>
            <w:vAlign w:val="center"/>
          </w:tcPr>
          <w:p w14:paraId="350BBE8C" w14:textId="77777777" w:rsidR="00304132" w:rsidRPr="00AC3044" w:rsidRDefault="00304132" w:rsidP="00CD5E09">
            <w:pPr>
              <w:rPr>
                <w:rFonts w:eastAsia="SimSun"/>
              </w:rPr>
            </w:pPr>
            <w:r w:rsidRPr="00AC3044">
              <w:rPr>
                <w:rFonts w:eastAsia="SimSun"/>
              </w:rPr>
              <w:t>Дни введения</w:t>
            </w:r>
          </w:p>
        </w:tc>
        <w:tc>
          <w:tcPr>
            <w:tcW w:w="2268" w:type="dxa"/>
            <w:vAlign w:val="center"/>
          </w:tcPr>
          <w:p w14:paraId="1E99D90D" w14:textId="77777777" w:rsidR="00304132" w:rsidRPr="00AC3044" w:rsidRDefault="00304132" w:rsidP="00CD5E09">
            <w:pPr>
              <w:rPr>
                <w:rFonts w:eastAsia="SimSun"/>
              </w:rPr>
            </w:pPr>
            <w:r w:rsidRPr="00AC3044">
              <w:rPr>
                <w:rFonts w:eastAsia="SimSun"/>
              </w:rPr>
              <w:t>Порядок введения</w:t>
            </w:r>
          </w:p>
        </w:tc>
      </w:tr>
      <w:tr w:rsidR="00304132" w:rsidRPr="00AC3044" w14:paraId="1DDFE7A7" w14:textId="77777777" w:rsidTr="00CD5E09">
        <w:trPr>
          <w:cantSplit/>
          <w:trHeight w:val="20"/>
        </w:trPr>
        <w:tc>
          <w:tcPr>
            <w:tcW w:w="959" w:type="dxa"/>
            <w:vMerge w:val="restart"/>
            <w:textDirection w:val="btLr"/>
            <w:vAlign w:val="center"/>
          </w:tcPr>
          <w:p w14:paraId="239750D3" w14:textId="77777777" w:rsidR="00304132" w:rsidRPr="00AC3044" w:rsidRDefault="00304132" w:rsidP="00CD5E09">
            <w:pPr>
              <w:rPr>
                <w:rFonts w:eastAsia="SimSun"/>
              </w:rPr>
            </w:pPr>
            <w:r w:rsidRPr="00AC3044">
              <w:rPr>
                <w:rFonts w:eastAsia="SimSun"/>
              </w:rPr>
              <w:t>Кондиционирование</w:t>
            </w:r>
          </w:p>
        </w:tc>
        <w:tc>
          <w:tcPr>
            <w:tcW w:w="1701" w:type="dxa"/>
            <w:vAlign w:val="center"/>
          </w:tcPr>
          <w:p w14:paraId="7F0474A2" w14:textId="77777777" w:rsidR="00304132" w:rsidRPr="00AC3044" w:rsidRDefault="00304132" w:rsidP="00CD5E09">
            <w:pPr>
              <w:rPr>
                <w:rFonts w:eastAsia="SimSun"/>
              </w:rPr>
            </w:pPr>
            <w:r w:rsidRPr="00AC3044">
              <w:rPr>
                <w:rFonts w:eastAsia="SimSun"/>
              </w:rPr>
              <w:t xml:space="preserve">Флударабин </w:t>
            </w:r>
          </w:p>
        </w:tc>
        <w:tc>
          <w:tcPr>
            <w:tcW w:w="1559" w:type="dxa"/>
            <w:vAlign w:val="center"/>
          </w:tcPr>
          <w:p w14:paraId="68FB5DB7" w14:textId="77777777" w:rsidR="00304132" w:rsidRPr="00AC3044" w:rsidRDefault="00304132" w:rsidP="00CD5E09">
            <w:pPr>
              <w:rPr>
                <w:rFonts w:eastAsia="SimSun"/>
              </w:rPr>
            </w:pPr>
            <w:r w:rsidRPr="00AC3044">
              <w:rPr>
                <w:rFonts w:eastAsia="SimSun"/>
              </w:rPr>
              <w:t>30 мг/м</w:t>
            </w:r>
            <w:r w:rsidRPr="001E6DBE">
              <w:rPr>
                <w:rFonts w:eastAsia="SimSun"/>
                <w:vertAlign w:val="superscript"/>
              </w:rPr>
              <w:t>2</w:t>
            </w:r>
          </w:p>
        </w:tc>
        <w:tc>
          <w:tcPr>
            <w:tcW w:w="1701" w:type="dxa"/>
            <w:vAlign w:val="center"/>
          </w:tcPr>
          <w:p w14:paraId="0E4720DB" w14:textId="77777777" w:rsidR="00304132" w:rsidRPr="00AC3044" w:rsidRDefault="00304132" w:rsidP="00CD5E09">
            <w:pPr>
              <w:rPr>
                <w:rFonts w:eastAsia="SimSun"/>
              </w:rPr>
            </w:pPr>
            <w:r w:rsidRPr="00AC3044">
              <w:rPr>
                <w:rFonts w:eastAsia="SimSun"/>
              </w:rPr>
              <w:t>150 мг/м</w:t>
            </w:r>
            <w:r w:rsidRPr="001E6DBE">
              <w:rPr>
                <w:rFonts w:eastAsia="SimSun"/>
                <w:vertAlign w:val="superscript"/>
              </w:rPr>
              <w:t>2</w:t>
            </w:r>
          </w:p>
        </w:tc>
        <w:tc>
          <w:tcPr>
            <w:tcW w:w="1418" w:type="dxa"/>
            <w:vAlign w:val="center"/>
          </w:tcPr>
          <w:p w14:paraId="59C43033" w14:textId="77777777" w:rsidR="00304132" w:rsidRPr="00AC3044" w:rsidRDefault="00304132" w:rsidP="00CD5E09">
            <w:pPr>
              <w:rPr>
                <w:rFonts w:eastAsia="SimSun"/>
              </w:rPr>
            </w:pPr>
            <w:r w:rsidRPr="00AC3044">
              <w:rPr>
                <w:rFonts w:eastAsia="SimSun"/>
              </w:rPr>
              <w:t>С -6 дня по -2 день</w:t>
            </w:r>
          </w:p>
        </w:tc>
        <w:tc>
          <w:tcPr>
            <w:tcW w:w="2268" w:type="dxa"/>
            <w:vAlign w:val="center"/>
          </w:tcPr>
          <w:p w14:paraId="5679E8AC" w14:textId="77777777" w:rsidR="00304132" w:rsidRPr="00AC3044" w:rsidRDefault="00304132" w:rsidP="00CD5E09">
            <w:pPr>
              <w:rPr>
                <w:rFonts w:eastAsia="SimSun"/>
              </w:rPr>
            </w:pPr>
            <w:r w:rsidRPr="00AC3044">
              <w:rPr>
                <w:rFonts w:eastAsia="SimSun"/>
              </w:rPr>
              <w:t>В/в, в течение 30 -60 мин</w:t>
            </w:r>
          </w:p>
        </w:tc>
      </w:tr>
      <w:tr w:rsidR="00304132" w:rsidRPr="00AC3044" w14:paraId="36F2C4E8" w14:textId="77777777" w:rsidTr="00CD5E09">
        <w:trPr>
          <w:cantSplit/>
          <w:trHeight w:val="574"/>
        </w:trPr>
        <w:tc>
          <w:tcPr>
            <w:tcW w:w="959" w:type="dxa"/>
            <w:vMerge/>
            <w:vAlign w:val="center"/>
          </w:tcPr>
          <w:p w14:paraId="31C6AAFD" w14:textId="77777777" w:rsidR="00304132" w:rsidRPr="00AC3044" w:rsidRDefault="00304132" w:rsidP="00CD5E09">
            <w:pPr>
              <w:rPr>
                <w:rFonts w:eastAsia="SimSun"/>
              </w:rPr>
            </w:pPr>
          </w:p>
        </w:tc>
        <w:tc>
          <w:tcPr>
            <w:tcW w:w="1701" w:type="dxa"/>
            <w:vAlign w:val="center"/>
          </w:tcPr>
          <w:p w14:paraId="2D9A8407" w14:textId="77777777" w:rsidR="00304132" w:rsidRPr="00AC3044" w:rsidRDefault="00304132" w:rsidP="00CD5E09">
            <w:pPr>
              <w:rPr>
                <w:rFonts w:eastAsia="SimSun"/>
              </w:rPr>
            </w:pPr>
            <w:r w:rsidRPr="00AC3044">
              <w:rPr>
                <w:rFonts w:eastAsia="SimSun"/>
              </w:rPr>
              <w:t>Тиотепа</w:t>
            </w:r>
          </w:p>
        </w:tc>
        <w:tc>
          <w:tcPr>
            <w:tcW w:w="1559" w:type="dxa"/>
            <w:vAlign w:val="center"/>
          </w:tcPr>
          <w:p w14:paraId="1BC7CB66" w14:textId="77777777" w:rsidR="00304132" w:rsidRPr="00AC3044" w:rsidRDefault="00304132" w:rsidP="00CD5E09">
            <w:pPr>
              <w:rPr>
                <w:rFonts w:eastAsia="SimSun"/>
              </w:rPr>
            </w:pPr>
            <w:r w:rsidRPr="00AC3044">
              <w:rPr>
                <w:rFonts w:eastAsia="SimSun"/>
              </w:rPr>
              <w:t>5 мг/м</w:t>
            </w:r>
            <w:r w:rsidRPr="001E6DBE">
              <w:rPr>
                <w:rFonts w:eastAsia="SimSun"/>
                <w:vertAlign w:val="superscript"/>
              </w:rPr>
              <w:t>2</w:t>
            </w:r>
            <w:r w:rsidRPr="00AC3044">
              <w:rPr>
                <w:rFonts w:eastAsia="SimSun"/>
              </w:rPr>
              <w:t xml:space="preserve"> </w:t>
            </w:r>
          </w:p>
        </w:tc>
        <w:tc>
          <w:tcPr>
            <w:tcW w:w="1701" w:type="dxa"/>
            <w:vAlign w:val="center"/>
          </w:tcPr>
          <w:p w14:paraId="5AD2CD23" w14:textId="77777777" w:rsidR="00304132" w:rsidRPr="00AC3044" w:rsidRDefault="00304132" w:rsidP="00CD5E09">
            <w:pPr>
              <w:rPr>
                <w:rFonts w:eastAsia="SimSun"/>
              </w:rPr>
            </w:pPr>
            <w:r w:rsidRPr="00AC3044">
              <w:rPr>
                <w:rFonts w:eastAsia="SimSun"/>
              </w:rPr>
              <w:t>10 мг/м</w:t>
            </w:r>
            <w:r w:rsidRPr="001E6DBE">
              <w:rPr>
                <w:rFonts w:eastAsia="SimSun"/>
                <w:vertAlign w:val="superscript"/>
              </w:rPr>
              <w:t>2</w:t>
            </w:r>
          </w:p>
        </w:tc>
        <w:tc>
          <w:tcPr>
            <w:tcW w:w="1418" w:type="dxa"/>
            <w:vAlign w:val="center"/>
          </w:tcPr>
          <w:p w14:paraId="6414A3AF" w14:textId="77777777" w:rsidR="00304132" w:rsidRPr="00AC3044" w:rsidRDefault="00304132" w:rsidP="00CD5E09">
            <w:pPr>
              <w:rPr>
                <w:rFonts w:eastAsia="SimSun"/>
              </w:rPr>
            </w:pPr>
            <w:r w:rsidRPr="00AC3044">
              <w:rPr>
                <w:rFonts w:eastAsia="SimSun"/>
              </w:rPr>
              <w:t xml:space="preserve"> Дни -5; -4  </w:t>
            </w:r>
          </w:p>
        </w:tc>
        <w:tc>
          <w:tcPr>
            <w:tcW w:w="2268" w:type="dxa"/>
            <w:vAlign w:val="center"/>
          </w:tcPr>
          <w:p w14:paraId="06D866F7" w14:textId="77777777" w:rsidR="00304132" w:rsidRPr="00AC3044" w:rsidRDefault="00304132" w:rsidP="00CD5E09">
            <w:pPr>
              <w:rPr>
                <w:rFonts w:eastAsia="SimSun"/>
              </w:rPr>
            </w:pPr>
            <w:r w:rsidRPr="00AC3044">
              <w:rPr>
                <w:rFonts w:eastAsia="SimSun"/>
              </w:rPr>
              <w:t>В/в, в течение 2 ч</w:t>
            </w:r>
          </w:p>
        </w:tc>
      </w:tr>
      <w:tr w:rsidR="00304132" w:rsidRPr="00AC3044" w14:paraId="31F70210" w14:textId="77777777" w:rsidTr="00CD5E09">
        <w:trPr>
          <w:cantSplit/>
          <w:trHeight w:val="695"/>
        </w:trPr>
        <w:tc>
          <w:tcPr>
            <w:tcW w:w="959" w:type="dxa"/>
            <w:vMerge w:val="restart"/>
            <w:textDirection w:val="btLr"/>
            <w:vAlign w:val="center"/>
          </w:tcPr>
          <w:p w14:paraId="1A78D472" w14:textId="77777777" w:rsidR="00304132" w:rsidRPr="00AC3044" w:rsidRDefault="00304132" w:rsidP="00CD5E09">
            <w:pPr>
              <w:rPr>
                <w:rFonts w:eastAsia="SimSun"/>
              </w:rPr>
            </w:pPr>
            <w:r w:rsidRPr="00AC3044">
              <w:rPr>
                <w:rFonts w:eastAsia="SimSun"/>
              </w:rPr>
              <w:t>Профилактика РТПХ</w:t>
            </w:r>
          </w:p>
        </w:tc>
        <w:tc>
          <w:tcPr>
            <w:tcW w:w="1701" w:type="dxa"/>
            <w:vAlign w:val="center"/>
          </w:tcPr>
          <w:p w14:paraId="287ADCED" w14:textId="77777777" w:rsidR="00304132" w:rsidRPr="00AC3044" w:rsidRDefault="00304132" w:rsidP="00CD5E09">
            <w:pPr>
              <w:rPr>
                <w:rFonts w:eastAsia="SimSun"/>
              </w:rPr>
            </w:pPr>
            <w:r w:rsidRPr="00AC3044">
              <w:rPr>
                <w:rFonts w:eastAsia="SimSun"/>
              </w:rPr>
              <w:t>АТГ (лошадиный)</w:t>
            </w:r>
          </w:p>
        </w:tc>
        <w:tc>
          <w:tcPr>
            <w:tcW w:w="1559" w:type="dxa"/>
            <w:vAlign w:val="center"/>
          </w:tcPr>
          <w:p w14:paraId="0C7A3CD4" w14:textId="77777777" w:rsidR="00304132" w:rsidRPr="00AC3044" w:rsidRDefault="00304132" w:rsidP="00CD5E09">
            <w:pPr>
              <w:rPr>
                <w:rFonts w:eastAsia="SimSun"/>
              </w:rPr>
            </w:pPr>
            <w:r w:rsidRPr="00AC3044">
              <w:rPr>
                <w:rFonts w:eastAsia="SimSun"/>
              </w:rPr>
              <w:t>20 мг/кг</w:t>
            </w:r>
          </w:p>
        </w:tc>
        <w:tc>
          <w:tcPr>
            <w:tcW w:w="1701" w:type="dxa"/>
            <w:vAlign w:val="center"/>
          </w:tcPr>
          <w:p w14:paraId="487C447E" w14:textId="77777777" w:rsidR="00304132" w:rsidRPr="00AC3044" w:rsidRDefault="00304132" w:rsidP="00CD5E09">
            <w:pPr>
              <w:rPr>
                <w:rFonts w:eastAsia="SimSun"/>
              </w:rPr>
            </w:pPr>
            <w:r w:rsidRPr="00AC3044">
              <w:rPr>
                <w:rFonts w:eastAsia="SimSun"/>
              </w:rPr>
              <w:t>60 мг/кг</w:t>
            </w:r>
          </w:p>
        </w:tc>
        <w:tc>
          <w:tcPr>
            <w:tcW w:w="1418" w:type="dxa"/>
            <w:vAlign w:val="center"/>
          </w:tcPr>
          <w:p w14:paraId="625C6772" w14:textId="77777777" w:rsidR="00304132" w:rsidRPr="00AC3044" w:rsidRDefault="00304132" w:rsidP="00CD5E09">
            <w:pPr>
              <w:rPr>
                <w:rFonts w:eastAsia="SimSun"/>
              </w:rPr>
            </w:pPr>
            <w:r w:rsidRPr="00AC3044">
              <w:rPr>
                <w:rFonts w:eastAsia="SimSun"/>
              </w:rPr>
              <w:t>В дни -3, -2, -1</w:t>
            </w:r>
          </w:p>
        </w:tc>
        <w:tc>
          <w:tcPr>
            <w:tcW w:w="2268" w:type="dxa"/>
            <w:vAlign w:val="center"/>
          </w:tcPr>
          <w:p w14:paraId="0DF959CF" w14:textId="77777777" w:rsidR="00304132" w:rsidRPr="00AC3044" w:rsidRDefault="00304132" w:rsidP="00CD5E09">
            <w:pPr>
              <w:rPr>
                <w:rFonts w:eastAsia="SimSun"/>
              </w:rPr>
            </w:pPr>
            <w:r w:rsidRPr="00AC3044">
              <w:rPr>
                <w:rFonts w:eastAsia="SimSun"/>
              </w:rPr>
              <w:t>В/в. Суточная доза разделяется на 2 введения (см.</w:t>
            </w:r>
            <w:r>
              <w:rPr>
                <w:rFonts w:eastAsia="SimSun"/>
              </w:rPr>
              <w:t xml:space="preserve"> </w:t>
            </w:r>
            <w:r w:rsidRPr="00AC3044">
              <w:rPr>
                <w:rFonts w:eastAsia="SimSun"/>
              </w:rPr>
              <w:t>«Инфузия АТГ»)</w:t>
            </w:r>
          </w:p>
        </w:tc>
      </w:tr>
      <w:tr w:rsidR="00304132" w:rsidRPr="00AC3044" w14:paraId="56B0AB41" w14:textId="77777777" w:rsidTr="00CD5E09">
        <w:trPr>
          <w:cantSplit/>
          <w:trHeight w:val="958"/>
        </w:trPr>
        <w:tc>
          <w:tcPr>
            <w:tcW w:w="959" w:type="dxa"/>
            <w:vMerge/>
            <w:textDirection w:val="btLr"/>
            <w:vAlign w:val="center"/>
          </w:tcPr>
          <w:p w14:paraId="6C16EB90" w14:textId="77777777" w:rsidR="00304132" w:rsidRPr="00AC3044" w:rsidRDefault="00304132" w:rsidP="00CD5E09">
            <w:pPr>
              <w:rPr>
                <w:rFonts w:eastAsia="SimSun"/>
              </w:rPr>
            </w:pPr>
          </w:p>
        </w:tc>
        <w:tc>
          <w:tcPr>
            <w:tcW w:w="1701" w:type="dxa"/>
            <w:vAlign w:val="center"/>
          </w:tcPr>
          <w:p w14:paraId="4657E5A7" w14:textId="77777777" w:rsidR="00304132" w:rsidRPr="00AC3044" w:rsidRDefault="00304132" w:rsidP="00CD5E09">
            <w:pPr>
              <w:rPr>
                <w:rFonts w:eastAsia="SimSun"/>
              </w:rPr>
            </w:pPr>
            <w:r w:rsidRPr="00AC3044">
              <w:rPr>
                <w:rFonts w:eastAsia="SimSun"/>
              </w:rPr>
              <w:t xml:space="preserve">Такролимус </w:t>
            </w:r>
          </w:p>
        </w:tc>
        <w:tc>
          <w:tcPr>
            <w:tcW w:w="1559" w:type="dxa"/>
            <w:vAlign w:val="center"/>
          </w:tcPr>
          <w:p w14:paraId="351218B3" w14:textId="77777777" w:rsidR="00304132" w:rsidRPr="00AC3044" w:rsidRDefault="00304132" w:rsidP="00CD5E09">
            <w:pPr>
              <w:rPr>
                <w:rFonts w:eastAsia="SimSun"/>
              </w:rPr>
            </w:pPr>
            <w:r w:rsidRPr="00AC3044">
              <w:rPr>
                <w:rFonts w:eastAsia="SimSun"/>
              </w:rPr>
              <w:t>0,03 мг/кг</w:t>
            </w:r>
          </w:p>
        </w:tc>
        <w:tc>
          <w:tcPr>
            <w:tcW w:w="1701" w:type="dxa"/>
            <w:vAlign w:val="center"/>
          </w:tcPr>
          <w:p w14:paraId="124A6D7C" w14:textId="77777777" w:rsidR="00304132" w:rsidRPr="00AC3044" w:rsidRDefault="00304132" w:rsidP="00CD5E09">
            <w:pPr>
              <w:rPr>
                <w:rFonts w:eastAsia="SimSun"/>
              </w:rPr>
            </w:pPr>
            <w:r w:rsidRPr="00AC3044">
              <w:rPr>
                <w:rFonts w:eastAsia="SimSun"/>
              </w:rPr>
              <w:t>–</w:t>
            </w:r>
          </w:p>
        </w:tc>
        <w:tc>
          <w:tcPr>
            <w:tcW w:w="1418" w:type="dxa"/>
            <w:vAlign w:val="center"/>
          </w:tcPr>
          <w:p w14:paraId="4C56FB73" w14:textId="77777777" w:rsidR="00304132" w:rsidRPr="00AC3044" w:rsidRDefault="00304132" w:rsidP="00CD5E09">
            <w:pPr>
              <w:rPr>
                <w:rFonts w:eastAsia="SimSun"/>
              </w:rPr>
            </w:pPr>
            <w:r w:rsidRPr="00AC3044">
              <w:rPr>
                <w:rFonts w:eastAsia="SimSun"/>
              </w:rPr>
              <w:t xml:space="preserve">С -1 дня длительно </w:t>
            </w:r>
          </w:p>
        </w:tc>
        <w:tc>
          <w:tcPr>
            <w:tcW w:w="2268" w:type="dxa"/>
            <w:vAlign w:val="center"/>
          </w:tcPr>
          <w:p w14:paraId="3FF9369B" w14:textId="77777777" w:rsidR="00304132" w:rsidRPr="00AC3044" w:rsidRDefault="00304132" w:rsidP="00CD5E09">
            <w:pPr>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 </w:t>
            </w:r>
            <w:r w:rsidRPr="00AC3044">
              <w:rPr>
                <w:rFonts w:eastAsia="SimSun"/>
              </w:rPr>
              <w:t>10</w:t>
            </w:r>
            <w:r w:rsidRPr="001E6DBE">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304132" w:rsidRPr="00AC3044" w14:paraId="2E7F6DC3" w14:textId="77777777" w:rsidTr="00CD5E09">
        <w:trPr>
          <w:cantSplit/>
          <w:trHeight w:val="986"/>
        </w:trPr>
        <w:tc>
          <w:tcPr>
            <w:tcW w:w="959" w:type="dxa"/>
            <w:vMerge/>
            <w:textDirection w:val="btLr"/>
            <w:vAlign w:val="center"/>
          </w:tcPr>
          <w:p w14:paraId="52A6B960" w14:textId="77777777" w:rsidR="00304132" w:rsidRPr="00AC3044" w:rsidRDefault="00304132" w:rsidP="00CD5E09">
            <w:pPr>
              <w:rPr>
                <w:rFonts w:eastAsia="SimSun"/>
              </w:rPr>
            </w:pPr>
          </w:p>
        </w:tc>
        <w:tc>
          <w:tcPr>
            <w:tcW w:w="1701" w:type="dxa"/>
            <w:vAlign w:val="center"/>
          </w:tcPr>
          <w:p w14:paraId="61226CC4" w14:textId="77777777" w:rsidR="00304132" w:rsidRPr="00AC3044" w:rsidRDefault="00304132" w:rsidP="00CD5E09">
            <w:pPr>
              <w:rPr>
                <w:rFonts w:eastAsia="SimSun"/>
              </w:rPr>
            </w:pPr>
            <w:r w:rsidRPr="00AC3044">
              <w:rPr>
                <w:rFonts w:eastAsia="SimSun"/>
              </w:rPr>
              <w:t>Микофенолата мофетил</w:t>
            </w:r>
          </w:p>
        </w:tc>
        <w:tc>
          <w:tcPr>
            <w:tcW w:w="1559" w:type="dxa"/>
            <w:vAlign w:val="center"/>
          </w:tcPr>
          <w:p w14:paraId="00B393B1" w14:textId="77777777" w:rsidR="00304132" w:rsidRPr="00AC3044" w:rsidRDefault="00304132" w:rsidP="00CD5E09">
            <w:pPr>
              <w:rPr>
                <w:rFonts w:eastAsia="SimSun"/>
              </w:rPr>
            </w:pPr>
            <w:r w:rsidRPr="00AC3044">
              <w:rPr>
                <w:rFonts w:eastAsia="SimSun"/>
              </w:rPr>
              <w:t xml:space="preserve">30 мг/кг </w:t>
            </w:r>
          </w:p>
        </w:tc>
        <w:tc>
          <w:tcPr>
            <w:tcW w:w="1701" w:type="dxa"/>
            <w:vAlign w:val="center"/>
          </w:tcPr>
          <w:p w14:paraId="0435A3C7" w14:textId="77777777" w:rsidR="00304132" w:rsidRPr="00AC3044" w:rsidRDefault="00304132" w:rsidP="00CD5E09">
            <w:pPr>
              <w:rPr>
                <w:rFonts w:eastAsia="SimSun"/>
              </w:rPr>
            </w:pPr>
            <w:r w:rsidRPr="00AC3044">
              <w:rPr>
                <w:rFonts w:eastAsia="SimSun"/>
              </w:rPr>
              <w:t>–</w:t>
            </w:r>
          </w:p>
        </w:tc>
        <w:tc>
          <w:tcPr>
            <w:tcW w:w="1418" w:type="dxa"/>
            <w:vAlign w:val="center"/>
          </w:tcPr>
          <w:p w14:paraId="18D8BECC" w14:textId="77777777" w:rsidR="00304132" w:rsidRPr="00AC3044" w:rsidRDefault="00304132" w:rsidP="00CD5E09">
            <w:pPr>
              <w:rPr>
                <w:rFonts w:eastAsia="SimSun"/>
              </w:rPr>
            </w:pPr>
            <w:r w:rsidRPr="00AC3044">
              <w:rPr>
                <w:rFonts w:eastAsia="SimSun"/>
              </w:rPr>
              <w:t xml:space="preserve">С -1 дня по +30 день </w:t>
            </w:r>
          </w:p>
        </w:tc>
        <w:tc>
          <w:tcPr>
            <w:tcW w:w="2268" w:type="dxa"/>
            <w:vAlign w:val="center"/>
          </w:tcPr>
          <w:p w14:paraId="4E1C4B3E" w14:textId="77777777" w:rsidR="00304132" w:rsidRPr="00AC3044" w:rsidRDefault="00304132" w:rsidP="00CD5E09">
            <w:pPr>
              <w:rPr>
                <w:rFonts w:eastAsia="SimSun"/>
              </w:rPr>
            </w:pPr>
            <w:r w:rsidRPr="00AC3044">
              <w:rPr>
                <w:rFonts w:eastAsia="SimSun"/>
              </w:rPr>
              <w:t xml:space="preserve">Внутрь, суммарная суточная доза разделяется на 2- 4 приема (не более 3г/сут).  </w:t>
            </w:r>
          </w:p>
        </w:tc>
      </w:tr>
    </w:tbl>
    <w:p w14:paraId="69A28E88" w14:textId="77777777" w:rsidR="00304132" w:rsidRDefault="00304132" w:rsidP="00304132">
      <w:pPr>
        <w:rPr>
          <w:rFonts w:eastAsia="SimSun"/>
        </w:rPr>
      </w:pPr>
      <w:bookmarkStart w:id="325" w:name="_Toc44401180"/>
    </w:p>
    <w:p w14:paraId="1C42D631" w14:textId="77777777" w:rsidR="00304132" w:rsidRPr="00C07B2E" w:rsidRDefault="00304132" w:rsidP="00304132">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1.2.22  – Flu180+Cy1200/ hATG+Tx+MMF30</w:t>
      </w:r>
      <w:bookmarkEnd w:id="325"/>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9"/>
        <w:gridCol w:w="1701"/>
        <w:gridCol w:w="1559"/>
        <w:gridCol w:w="1701"/>
        <w:gridCol w:w="1418"/>
        <w:gridCol w:w="2268"/>
      </w:tblGrid>
      <w:tr w:rsidR="00304132" w:rsidRPr="00AC3044" w14:paraId="5A885D92" w14:textId="77777777" w:rsidTr="00CD5E09">
        <w:trPr>
          <w:cantSplit/>
          <w:trHeight w:val="20"/>
          <w:tblHeader/>
        </w:trPr>
        <w:tc>
          <w:tcPr>
            <w:tcW w:w="959" w:type="dxa"/>
            <w:vAlign w:val="center"/>
          </w:tcPr>
          <w:p w14:paraId="4B1FE706" w14:textId="77777777" w:rsidR="00304132" w:rsidRPr="00AC3044" w:rsidRDefault="00304132" w:rsidP="00CD5E09">
            <w:pPr>
              <w:rPr>
                <w:rFonts w:eastAsia="SimSun"/>
              </w:rPr>
            </w:pPr>
          </w:p>
        </w:tc>
        <w:tc>
          <w:tcPr>
            <w:tcW w:w="1701" w:type="dxa"/>
            <w:vAlign w:val="center"/>
          </w:tcPr>
          <w:p w14:paraId="21EEA720" w14:textId="77777777" w:rsidR="00304132" w:rsidRPr="00AC3044" w:rsidRDefault="00304132" w:rsidP="00CD5E09">
            <w:pPr>
              <w:rPr>
                <w:rFonts w:eastAsia="SimSun"/>
              </w:rPr>
            </w:pPr>
            <w:r w:rsidRPr="00AC3044">
              <w:rPr>
                <w:rFonts w:eastAsia="SimSun"/>
              </w:rPr>
              <w:t>Препарат</w:t>
            </w:r>
          </w:p>
        </w:tc>
        <w:tc>
          <w:tcPr>
            <w:tcW w:w="1559" w:type="dxa"/>
            <w:vAlign w:val="center"/>
          </w:tcPr>
          <w:p w14:paraId="5B8E3736" w14:textId="77777777" w:rsidR="00304132" w:rsidRPr="00AC3044" w:rsidRDefault="00304132" w:rsidP="00CD5E09">
            <w:pPr>
              <w:rPr>
                <w:rFonts w:eastAsia="SimSun"/>
              </w:rPr>
            </w:pPr>
            <w:r w:rsidRPr="00AC3044">
              <w:rPr>
                <w:rFonts w:eastAsia="SimSun"/>
              </w:rPr>
              <w:t>Суточная доза</w:t>
            </w:r>
          </w:p>
        </w:tc>
        <w:tc>
          <w:tcPr>
            <w:tcW w:w="1701" w:type="dxa"/>
            <w:vAlign w:val="center"/>
          </w:tcPr>
          <w:p w14:paraId="79E9027B" w14:textId="77777777" w:rsidR="00304132" w:rsidRPr="00AC3044" w:rsidRDefault="00304132" w:rsidP="00CD5E09">
            <w:pPr>
              <w:rPr>
                <w:rFonts w:eastAsia="SimSun"/>
              </w:rPr>
            </w:pPr>
            <w:r w:rsidRPr="00AC3044">
              <w:rPr>
                <w:rFonts w:eastAsia="SimSun"/>
              </w:rPr>
              <w:t>Курсовая доза</w:t>
            </w:r>
          </w:p>
        </w:tc>
        <w:tc>
          <w:tcPr>
            <w:tcW w:w="1418" w:type="dxa"/>
            <w:vAlign w:val="center"/>
          </w:tcPr>
          <w:p w14:paraId="7B113027" w14:textId="77777777" w:rsidR="00304132" w:rsidRPr="00AC3044" w:rsidRDefault="00304132" w:rsidP="00CD5E09">
            <w:pPr>
              <w:rPr>
                <w:rFonts w:eastAsia="SimSun"/>
              </w:rPr>
            </w:pPr>
            <w:r w:rsidRPr="00AC3044">
              <w:rPr>
                <w:rFonts w:eastAsia="SimSun"/>
              </w:rPr>
              <w:t>Дни введения</w:t>
            </w:r>
          </w:p>
        </w:tc>
        <w:tc>
          <w:tcPr>
            <w:tcW w:w="2268" w:type="dxa"/>
            <w:vAlign w:val="center"/>
          </w:tcPr>
          <w:p w14:paraId="5D713197" w14:textId="77777777" w:rsidR="00304132" w:rsidRPr="00AC3044" w:rsidRDefault="00304132" w:rsidP="00CD5E09">
            <w:pPr>
              <w:rPr>
                <w:rFonts w:eastAsia="SimSun"/>
              </w:rPr>
            </w:pPr>
            <w:r w:rsidRPr="00AC3044">
              <w:rPr>
                <w:rFonts w:eastAsia="SimSun"/>
              </w:rPr>
              <w:t>Порядок введения</w:t>
            </w:r>
          </w:p>
        </w:tc>
      </w:tr>
      <w:tr w:rsidR="00304132" w:rsidRPr="00AC3044" w14:paraId="4E24FA4B" w14:textId="77777777" w:rsidTr="00CD5E09">
        <w:trPr>
          <w:cantSplit/>
          <w:trHeight w:val="20"/>
        </w:trPr>
        <w:tc>
          <w:tcPr>
            <w:tcW w:w="959" w:type="dxa"/>
            <w:vMerge w:val="restart"/>
            <w:textDirection w:val="btLr"/>
            <w:vAlign w:val="center"/>
          </w:tcPr>
          <w:p w14:paraId="3C7AA393" w14:textId="77777777" w:rsidR="00304132" w:rsidRPr="00AC3044" w:rsidRDefault="00304132" w:rsidP="00CD5E09">
            <w:pPr>
              <w:rPr>
                <w:rFonts w:eastAsia="SimSun"/>
              </w:rPr>
            </w:pPr>
            <w:r w:rsidRPr="00AC3044">
              <w:rPr>
                <w:rFonts w:eastAsia="SimSun"/>
              </w:rPr>
              <w:t>Кондиционирование</w:t>
            </w:r>
          </w:p>
        </w:tc>
        <w:tc>
          <w:tcPr>
            <w:tcW w:w="1701" w:type="dxa"/>
            <w:vAlign w:val="center"/>
          </w:tcPr>
          <w:p w14:paraId="47E209B5" w14:textId="77777777" w:rsidR="00304132" w:rsidRPr="00AC3044" w:rsidRDefault="00304132" w:rsidP="00CD5E09">
            <w:pPr>
              <w:rPr>
                <w:rFonts w:eastAsia="SimSun"/>
              </w:rPr>
            </w:pPr>
            <w:r w:rsidRPr="00AC3044">
              <w:rPr>
                <w:rFonts w:eastAsia="SimSun"/>
              </w:rPr>
              <w:t xml:space="preserve">Флударабин </w:t>
            </w:r>
          </w:p>
        </w:tc>
        <w:tc>
          <w:tcPr>
            <w:tcW w:w="1559" w:type="dxa"/>
            <w:vAlign w:val="center"/>
          </w:tcPr>
          <w:p w14:paraId="459B2D49" w14:textId="77777777" w:rsidR="00304132" w:rsidRPr="00AC3044" w:rsidRDefault="00304132" w:rsidP="00CD5E09">
            <w:pPr>
              <w:rPr>
                <w:rFonts w:eastAsia="SimSun"/>
              </w:rPr>
            </w:pPr>
            <w:r w:rsidRPr="00AC3044">
              <w:rPr>
                <w:rFonts w:eastAsia="SimSun"/>
              </w:rPr>
              <w:t>30 мг/м</w:t>
            </w:r>
            <w:r w:rsidRPr="001E6DBE">
              <w:rPr>
                <w:rFonts w:eastAsia="SimSun"/>
                <w:vertAlign w:val="superscript"/>
              </w:rPr>
              <w:t>2</w:t>
            </w:r>
          </w:p>
        </w:tc>
        <w:tc>
          <w:tcPr>
            <w:tcW w:w="1701" w:type="dxa"/>
            <w:vAlign w:val="center"/>
          </w:tcPr>
          <w:p w14:paraId="6D251CC3" w14:textId="77777777" w:rsidR="00304132" w:rsidRPr="00AC3044" w:rsidRDefault="00304132" w:rsidP="00CD5E09">
            <w:pPr>
              <w:rPr>
                <w:rFonts w:eastAsia="SimSun"/>
              </w:rPr>
            </w:pPr>
            <w:r w:rsidRPr="00AC3044">
              <w:rPr>
                <w:rFonts w:eastAsia="SimSun"/>
              </w:rPr>
              <w:t>180 мг/м</w:t>
            </w:r>
            <w:r w:rsidRPr="001E6DBE">
              <w:rPr>
                <w:rFonts w:eastAsia="SimSun"/>
                <w:vertAlign w:val="superscript"/>
              </w:rPr>
              <w:t>2</w:t>
            </w:r>
          </w:p>
        </w:tc>
        <w:tc>
          <w:tcPr>
            <w:tcW w:w="1418" w:type="dxa"/>
            <w:vAlign w:val="center"/>
          </w:tcPr>
          <w:p w14:paraId="43CD5D79" w14:textId="77777777" w:rsidR="00304132" w:rsidRPr="00AC3044" w:rsidRDefault="00304132" w:rsidP="00CD5E09">
            <w:pPr>
              <w:rPr>
                <w:rFonts w:eastAsia="SimSun"/>
              </w:rPr>
            </w:pPr>
            <w:r w:rsidRPr="00AC3044">
              <w:rPr>
                <w:rFonts w:eastAsia="SimSun"/>
              </w:rPr>
              <w:t>С -7 дня по -2 день</w:t>
            </w:r>
          </w:p>
        </w:tc>
        <w:tc>
          <w:tcPr>
            <w:tcW w:w="2268" w:type="dxa"/>
            <w:vAlign w:val="center"/>
          </w:tcPr>
          <w:p w14:paraId="3887D5E1" w14:textId="77777777" w:rsidR="00304132" w:rsidRPr="00AC3044" w:rsidRDefault="00304132" w:rsidP="00CD5E09">
            <w:pPr>
              <w:rPr>
                <w:rFonts w:eastAsia="SimSun"/>
              </w:rPr>
            </w:pPr>
            <w:r w:rsidRPr="00AC3044">
              <w:rPr>
                <w:rFonts w:eastAsia="SimSun"/>
              </w:rPr>
              <w:t>В/в, в течение 30 -60 мин</w:t>
            </w:r>
          </w:p>
        </w:tc>
      </w:tr>
      <w:tr w:rsidR="00304132" w:rsidRPr="00AC3044" w14:paraId="37B2065B" w14:textId="77777777" w:rsidTr="00CD5E09">
        <w:trPr>
          <w:cantSplit/>
          <w:trHeight w:val="864"/>
        </w:trPr>
        <w:tc>
          <w:tcPr>
            <w:tcW w:w="959" w:type="dxa"/>
            <w:vMerge/>
            <w:vAlign w:val="center"/>
          </w:tcPr>
          <w:p w14:paraId="7BA2FC1D" w14:textId="77777777" w:rsidR="00304132" w:rsidRPr="00AC3044" w:rsidRDefault="00304132" w:rsidP="00CD5E09">
            <w:pPr>
              <w:rPr>
                <w:rFonts w:eastAsia="SimSun"/>
              </w:rPr>
            </w:pPr>
          </w:p>
        </w:tc>
        <w:tc>
          <w:tcPr>
            <w:tcW w:w="1701" w:type="dxa"/>
            <w:vAlign w:val="center"/>
          </w:tcPr>
          <w:p w14:paraId="36AEE1D1" w14:textId="77777777" w:rsidR="00304132" w:rsidRPr="00AC3044" w:rsidRDefault="00304132" w:rsidP="00CD5E09">
            <w:pPr>
              <w:rPr>
                <w:rFonts w:eastAsia="SimSun"/>
              </w:rPr>
            </w:pPr>
            <w:r w:rsidRPr="00AC3044">
              <w:rPr>
                <w:rFonts w:eastAsia="SimSun"/>
              </w:rPr>
              <w:t>Циклофосфамид</w:t>
            </w:r>
          </w:p>
        </w:tc>
        <w:tc>
          <w:tcPr>
            <w:tcW w:w="1559" w:type="dxa"/>
            <w:vAlign w:val="center"/>
          </w:tcPr>
          <w:p w14:paraId="6E19DD60" w14:textId="77777777" w:rsidR="00304132" w:rsidRPr="00AC3044" w:rsidRDefault="00304132" w:rsidP="00CD5E09">
            <w:pPr>
              <w:rPr>
                <w:rFonts w:eastAsia="SimSun"/>
              </w:rPr>
            </w:pPr>
            <w:r w:rsidRPr="00AC3044">
              <w:rPr>
                <w:rFonts w:eastAsia="SimSun"/>
              </w:rPr>
              <w:t>300 мг/м</w:t>
            </w:r>
            <w:r w:rsidRPr="001E6DBE">
              <w:rPr>
                <w:rFonts w:eastAsia="SimSun"/>
                <w:vertAlign w:val="superscript"/>
              </w:rPr>
              <w:t>2</w:t>
            </w:r>
            <w:r w:rsidRPr="00AC3044">
              <w:rPr>
                <w:rFonts w:eastAsia="SimSun"/>
              </w:rPr>
              <w:t xml:space="preserve"> </w:t>
            </w:r>
          </w:p>
        </w:tc>
        <w:tc>
          <w:tcPr>
            <w:tcW w:w="1701" w:type="dxa"/>
            <w:vAlign w:val="center"/>
          </w:tcPr>
          <w:p w14:paraId="714E8C88" w14:textId="77777777" w:rsidR="00304132" w:rsidRPr="00AC3044" w:rsidRDefault="00304132" w:rsidP="00CD5E09">
            <w:pPr>
              <w:rPr>
                <w:rFonts w:eastAsia="SimSun"/>
              </w:rPr>
            </w:pPr>
            <w:r w:rsidRPr="00AC3044">
              <w:rPr>
                <w:rFonts w:eastAsia="SimSun"/>
              </w:rPr>
              <w:t>1200 мг/м</w:t>
            </w:r>
            <w:r w:rsidRPr="001E6DBE">
              <w:rPr>
                <w:rFonts w:eastAsia="SimSun"/>
                <w:vertAlign w:val="superscript"/>
              </w:rPr>
              <w:t>2</w:t>
            </w:r>
          </w:p>
        </w:tc>
        <w:tc>
          <w:tcPr>
            <w:tcW w:w="1418" w:type="dxa"/>
            <w:vAlign w:val="center"/>
          </w:tcPr>
          <w:p w14:paraId="6D722388" w14:textId="77777777" w:rsidR="00304132" w:rsidRPr="00AC3044" w:rsidRDefault="00304132" w:rsidP="00CD5E09">
            <w:pPr>
              <w:rPr>
                <w:rFonts w:eastAsia="SimSun"/>
              </w:rPr>
            </w:pPr>
            <w:r w:rsidRPr="00AC3044">
              <w:rPr>
                <w:rFonts w:eastAsia="SimSun"/>
              </w:rPr>
              <w:t xml:space="preserve"> С -5 дня по -2 день </w:t>
            </w:r>
          </w:p>
        </w:tc>
        <w:tc>
          <w:tcPr>
            <w:tcW w:w="2268" w:type="dxa"/>
            <w:vAlign w:val="center"/>
          </w:tcPr>
          <w:p w14:paraId="4ECA086C" w14:textId="77777777" w:rsidR="00304132" w:rsidRPr="00AC3044" w:rsidRDefault="00304132" w:rsidP="00CD5E09">
            <w:pPr>
              <w:rPr>
                <w:rFonts w:eastAsia="SimSun"/>
              </w:rPr>
            </w:pPr>
            <w:r w:rsidRPr="00AC3044">
              <w:rPr>
                <w:rFonts w:eastAsia="SimSun"/>
              </w:rPr>
              <w:t>В/в, в течение 2 ч</w:t>
            </w:r>
          </w:p>
        </w:tc>
      </w:tr>
      <w:tr w:rsidR="00304132" w:rsidRPr="00AC3044" w14:paraId="6D45836D" w14:textId="77777777" w:rsidTr="00CD5E09">
        <w:trPr>
          <w:cantSplit/>
          <w:trHeight w:val="640"/>
        </w:trPr>
        <w:tc>
          <w:tcPr>
            <w:tcW w:w="959" w:type="dxa"/>
            <w:vMerge w:val="restart"/>
            <w:textDirection w:val="btLr"/>
            <w:vAlign w:val="center"/>
          </w:tcPr>
          <w:p w14:paraId="43AA92D9" w14:textId="77777777" w:rsidR="00304132" w:rsidRPr="00AC3044" w:rsidRDefault="00304132" w:rsidP="00CD5E09">
            <w:pPr>
              <w:rPr>
                <w:rFonts w:eastAsia="SimSun"/>
              </w:rPr>
            </w:pPr>
            <w:r w:rsidRPr="00AC3044">
              <w:rPr>
                <w:rFonts w:eastAsia="SimSun"/>
              </w:rPr>
              <w:t>Профилактика РТПХ</w:t>
            </w:r>
          </w:p>
        </w:tc>
        <w:tc>
          <w:tcPr>
            <w:tcW w:w="1701" w:type="dxa"/>
            <w:vAlign w:val="center"/>
          </w:tcPr>
          <w:p w14:paraId="01D054BF" w14:textId="77777777" w:rsidR="00304132" w:rsidRPr="00AC3044" w:rsidRDefault="00304132" w:rsidP="00CD5E09">
            <w:pPr>
              <w:rPr>
                <w:rFonts w:eastAsia="SimSun"/>
              </w:rPr>
            </w:pPr>
            <w:r w:rsidRPr="00AC3044">
              <w:rPr>
                <w:rFonts w:eastAsia="SimSun"/>
              </w:rPr>
              <w:t xml:space="preserve"> АТГ (лошадиный)</w:t>
            </w:r>
          </w:p>
        </w:tc>
        <w:tc>
          <w:tcPr>
            <w:tcW w:w="1559" w:type="dxa"/>
            <w:vAlign w:val="center"/>
          </w:tcPr>
          <w:p w14:paraId="304FC28F" w14:textId="77777777" w:rsidR="00304132" w:rsidRPr="00AC3044" w:rsidRDefault="00304132" w:rsidP="00CD5E09">
            <w:pPr>
              <w:rPr>
                <w:rFonts w:eastAsia="SimSun"/>
              </w:rPr>
            </w:pPr>
            <w:r w:rsidRPr="00AC3044">
              <w:rPr>
                <w:rFonts w:eastAsia="SimSun"/>
              </w:rPr>
              <w:t>20 мг/кг</w:t>
            </w:r>
          </w:p>
        </w:tc>
        <w:tc>
          <w:tcPr>
            <w:tcW w:w="1701" w:type="dxa"/>
            <w:vAlign w:val="center"/>
          </w:tcPr>
          <w:p w14:paraId="7EE7B101" w14:textId="77777777" w:rsidR="00304132" w:rsidRPr="00AC3044" w:rsidRDefault="00304132" w:rsidP="00CD5E09">
            <w:pPr>
              <w:rPr>
                <w:rFonts w:eastAsia="SimSun"/>
              </w:rPr>
            </w:pPr>
            <w:r w:rsidRPr="00AC3044">
              <w:rPr>
                <w:rFonts w:eastAsia="SimSun"/>
              </w:rPr>
              <w:t>60 мг/кг</w:t>
            </w:r>
          </w:p>
        </w:tc>
        <w:tc>
          <w:tcPr>
            <w:tcW w:w="1418" w:type="dxa"/>
            <w:vAlign w:val="center"/>
          </w:tcPr>
          <w:p w14:paraId="197E6808" w14:textId="77777777" w:rsidR="00304132" w:rsidRPr="00AC3044" w:rsidRDefault="00304132" w:rsidP="00CD5E09">
            <w:pPr>
              <w:rPr>
                <w:rFonts w:eastAsia="SimSun"/>
              </w:rPr>
            </w:pPr>
            <w:r w:rsidRPr="00AC3044">
              <w:rPr>
                <w:rFonts w:eastAsia="SimSun"/>
              </w:rPr>
              <w:t>В дни -3, -2, -1</w:t>
            </w:r>
          </w:p>
        </w:tc>
        <w:tc>
          <w:tcPr>
            <w:tcW w:w="2268" w:type="dxa"/>
            <w:vAlign w:val="center"/>
          </w:tcPr>
          <w:p w14:paraId="2169A757" w14:textId="77777777" w:rsidR="00304132" w:rsidRPr="00AC3044" w:rsidRDefault="00304132" w:rsidP="00CD5E09">
            <w:pPr>
              <w:rPr>
                <w:rFonts w:eastAsia="SimSun"/>
              </w:rPr>
            </w:pPr>
            <w:r w:rsidRPr="00AC3044">
              <w:rPr>
                <w:rFonts w:eastAsia="SimSun"/>
              </w:rPr>
              <w:t>В/в. Суточная доза разделяется на 2 введения (см.</w:t>
            </w:r>
            <w:r>
              <w:rPr>
                <w:rFonts w:eastAsia="SimSun"/>
              </w:rPr>
              <w:t xml:space="preserve"> </w:t>
            </w:r>
            <w:r w:rsidRPr="00AC3044">
              <w:rPr>
                <w:rFonts w:eastAsia="SimSun"/>
              </w:rPr>
              <w:t>«Инфузия АТГ»)</w:t>
            </w:r>
          </w:p>
        </w:tc>
      </w:tr>
      <w:tr w:rsidR="00304132" w:rsidRPr="00AC3044" w14:paraId="710001F7" w14:textId="77777777" w:rsidTr="00CD5E09">
        <w:trPr>
          <w:cantSplit/>
          <w:trHeight w:val="958"/>
        </w:trPr>
        <w:tc>
          <w:tcPr>
            <w:tcW w:w="959" w:type="dxa"/>
            <w:vMerge/>
            <w:textDirection w:val="btLr"/>
            <w:vAlign w:val="center"/>
          </w:tcPr>
          <w:p w14:paraId="1ECFF019" w14:textId="77777777" w:rsidR="00304132" w:rsidRPr="00AC3044" w:rsidRDefault="00304132" w:rsidP="00CD5E09">
            <w:pPr>
              <w:rPr>
                <w:rFonts w:eastAsia="SimSun"/>
              </w:rPr>
            </w:pPr>
          </w:p>
        </w:tc>
        <w:tc>
          <w:tcPr>
            <w:tcW w:w="1701" w:type="dxa"/>
            <w:vAlign w:val="center"/>
          </w:tcPr>
          <w:p w14:paraId="2A3AC088" w14:textId="77777777" w:rsidR="00304132" w:rsidRPr="00AC3044" w:rsidRDefault="00304132" w:rsidP="00CD5E09">
            <w:pPr>
              <w:rPr>
                <w:rFonts w:eastAsia="SimSun"/>
              </w:rPr>
            </w:pPr>
            <w:r w:rsidRPr="00AC3044">
              <w:rPr>
                <w:rFonts w:eastAsia="SimSun"/>
              </w:rPr>
              <w:t xml:space="preserve">Такролимус </w:t>
            </w:r>
          </w:p>
        </w:tc>
        <w:tc>
          <w:tcPr>
            <w:tcW w:w="1559" w:type="dxa"/>
            <w:vAlign w:val="center"/>
          </w:tcPr>
          <w:p w14:paraId="2AF8E5E4" w14:textId="77777777" w:rsidR="00304132" w:rsidRPr="00AC3044" w:rsidRDefault="00304132" w:rsidP="00CD5E09">
            <w:pPr>
              <w:rPr>
                <w:rFonts w:eastAsia="SimSun"/>
              </w:rPr>
            </w:pPr>
            <w:r w:rsidRPr="00AC3044">
              <w:rPr>
                <w:rFonts w:eastAsia="SimSun"/>
              </w:rPr>
              <w:t>0,03 мг/кг</w:t>
            </w:r>
          </w:p>
        </w:tc>
        <w:tc>
          <w:tcPr>
            <w:tcW w:w="1701" w:type="dxa"/>
            <w:vAlign w:val="center"/>
          </w:tcPr>
          <w:p w14:paraId="2998366B" w14:textId="77777777" w:rsidR="00304132" w:rsidRPr="00AC3044" w:rsidRDefault="00304132" w:rsidP="00CD5E09">
            <w:pPr>
              <w:rPr>
                <w:rFonts w:eastAsia="SimSun"/>
              </w:rPr>
            </w:pPr>
            <w:r w:rsidRPr="00AC3044">
              <w:rPr>
                <w:rFonts w:eastAsia="SimSun"/>
              </w:rPr>
              <w:t>–</w:t>
            </w:r>
          </w:p>
        </w:tc>
        <w:tc>
          <w:tcPr>
            <w:tcW w:w="1418" w:type="dxa"/>
            <w:vAlign w:val="center"/>
          </w:tcPr>
          <w:p w14:paraId="4F6C7180" w14:textId="77777777" w:rsidR="00304132" w:rsidRPr="00AC3044" w:rsidRDefault="00304132" w:rsidP="00CD5E09">
            <w:pPr>
              <w:rPr>
                <w:rFonts w:eastAsia="SimSun"/>
              </w:rPr>
            </w:pPr>
            <w:r w:rsidRPr="00AC3044">
              <w:rPr>
                <w:rFonts w:eastAsia="SimSun"/>
              </w:rPr>
              <w:t xml:space="preserve">С -1 дня длительно </w:t>
            </w:r>
          </w:p>
        </w:tc>
        <w:tc>
          <w:tcPr>
            <w:tcW w:w="2268" w:type="dxa"/>
            <w:vAlign w:val="center"/>
          </w:tcPr>
          <w:p w14:paraId="0E4B120C" w14:textId="77777777" w:rsidR="00304132" w:rsidRPr="00AC3044" w:rsidRDefault="00304132" w:rsidP="00CD5E09">
            <w:pPr>
              <w:rPr>
                <w:rFonts w:eastAsia="SimSun"/>
              </w:rPr>
            </w:pPr>
            <w:r w:rsidRPr="00AC3044">
              <w:rPr>
                <w:rFonts w:eastAsia="SimSun"/>
              </w:rPr>
              <w:t xml:space="preserve">В/в инфузия в течение 24 ч с последующей коррекцией суточной дозы по концентрации. Перевод на прием внутрь при условии восстановления лейкоцитов &gt; 1* 109/л, при отсутствии тошноты, рвоты, диареи и возможности приема внутрь. Концентрация Tx 5-15 нг/мл.    </w:t>
            </w:r>
          </w:p>
        </w:tc>
      </w:tr>
      <w:tr w:rsidR="00304132" w:rsidRPr="00AC3044" w14:paraId="51F25BF1" w14:textId="77777777" w:rsidTr="00CD5E09">
        <w:trPr>
          <w:cantSplit/>
          <w:trHeight w:val="709"/>
        </w:trPr>
        <w:tc>
          <w:tcPr>
            <w:tcW w:w="959" w:type="dxa"/>
            <w:vMerge/>
            <w:textDirection w:val="btLr"/>
            <w:vAlign w:val="center"/>
          </w:tcPr>
          <w:p w14:paraId="285855FF" w14:textId="77777777" w:rsidR="00304132" w:rsidRPr="00AC3044" w:rsidRDefault="00304132" w:rsidP="00CD5E09">
            <w:pPr>
              <w:rPr>
                <w:rFonts w:eastAsia="SimSun"/>
              </w:rPr>
            </w:pPr>
          </w:p>
        </w:tc>
        <w:tc>
          <w:tcPr>
            <w:tcW w:w="1701" w:type="dxa"/>
            <w:vAlign w:val="center"/>
          </w:tcPr>
          <w:p w14:paraId="5FE7D573" w14:textId="77777777" w:rsidR="00304132" w:rsidRPr="00AC3044" w:rsidRDefault="00304132" w:rsidP="00CD5E09">
            <w:pPr>
              <w:rPr>
                <w:rFonts w:eastAsia="SimSun"/>
              </w:rPr>
            </w:pPr>
            <w:r w:rsidRPr="00AC3044">
              <w:rPr>
                <w:rFonts w:eastAsia="SimSun"/>
              </w:rPr>
              <w:t>Микофенолата мофетил</w:t>
            </w:r>
          </w:p>
        </w:tc>
        <w:tc>
          <w:tcPr>
            <w:tcW w:w="1559" w:type="dxa"/>
            <w:vAlign w:val="center"/>
          </w:tcPr>
          <w:p w14:paraId="5BF4975C" w14:textId="77777777" w:rsidR="00304132" w:rsidRPr="00AC3044" w:rsidRDefault="00304132" w:rsidP="00CD5E09">
            <w:pPr>
              <w:rPr>
                <w:rFonts w:eastAsia="SimSun"/>
              </w:rPr>
            </w:pPr>
            <w:r w:rsidRPr="00AC3044">
              <w:rPr>
                <w:rFonts w:eastAsia="SimSun"/>
              </w:rPr>
              <w:t xml:space="preserve">30 мг/кг </w:t>
            </w:r>
          </w:p>
        </w:tc>
        <w:tc>
          <w:tcPr>
            <w:tcW w:w="1701" w:type="dxa"/>
            <w:vAlign w:val="center"/>
          </w:tcPr>
          <w:p w14:paraId="515F848E" w14:textId="77777777" w:rsidR="00304132" w:rsidRPr="00AC3044" w:rsidRDefault="00304132" w:rsidP="00CD5E09">
            <w:pPr>
              <w:rPr>
                <w:rFonts w:eastAsia="SimSun"/>
              </w:rPr>
            </w:pPr>
            <w:r w:rsidRPr="00AC3044">
              <w:rPr>
                <w:rFonts w:eastAsia="SimSun"/>
              </w:rPr>
              <w:t>–</w:t>
            </w:r>
          </w:p>
        </w:tc>
        <w:tc>
          <w:tcPr>
            <w:tcW w:w="1418" w:type="dxa"/>
            <w:vAlign w:val="center"/>
          </w:tcPr>
          <w:p w14:paraId="586D1726" w14:textId="77777777" w:rsidR="00304132" w:rsidRPr="00AC3044" w:rsidRDefault="00304132" w:rsidP="00CD5E09">
            <w:pPr>
              <w:rPr>
                <w:rFonts w:eastAsia="SimSun"/>
              </w:rPr>
            </w:pPr>
            <w:r w:rsidRPr="00AC3044">
              <w:rPr>
                <w:rFonts w:eastAsia="SimSun"/>
              </w:rPr>
              <w:t xml:space="preserve">С -1 дня по +30 день </w:t>
            </w:r>
          </w:p>
        </w:tc>
        <w:tc>
          <w:tcPr>
            <w:tcW w:w="2268" w:type="dxa"/>
            <w:vAlign w:val="center"/>
          </w:tcPr>
          <w:p w14:paraId="6C1DE54B" w14:textId="77777777" w:rsidR="00304132" w:rsidRPr="00AC3044" w:rsidRDefault="00304132" w:rsidP="00CD5E09">
            <w:pPr>
              <w:rPr>
                <w:rFonts w:eastAsia="SimSun"/>
              </w:rPr>
            </w:pPr>
            <w:r w:rsidRPr="00AC3044">
              <w:rPr>
                <w:rFonts w:eastAsia="SimSun"/>
              </w:rPr>
              <w:t xml:space="preserve">Внутрь, суммарная суточная доза разделяется на 2- 4 приема (не более 3г/сут).  </w:t>
            </w:r>
          </w:p>
        </w:tc>
      </w:tr>
    </w:tbl>
    <w:p w14:paraId="59BE0364" w14:textId="77777777" w:rsidR="00304132" w:rsidRPr="00C07B2E" w:rsidRDefault="00304132" w:rsidP="00304132">
      <w:pPr>
        <w:rPr>
          <w:rFonts w:eastAsia="SimSun"/>
        </w:rPr>
      </w:pPr>
    </w:p>
    <w:p w14:paraId="6995012C" w14:textId="77777777" w:rsidR="00304132" w:rsidRPr="00042499" w:rsidRDefault="00304132" w:rsidP="00304132">
      <w:pPr>
        <w:rPr>
          <w:rFonts w:eastAsia="SimSun"/>
          <w:lang w:val="en-US"/>
        </w:rPr>
      </w:pPr>
      <w:bookmarkStart w:id="326" w:name="_Toc44401181"/>
      <w:r>
        <w:rPr>
          <w:rFonts w:eastAsia="SimSun"/>
        </w:rPr>
        <w:t>Таблица</w:t>
      </w:r>
      <w:r w:rsidRPr="00042499">
        <w:rPr>
          <w:rFonts w:eastAsia="SimSun"/>
          <w:lang w:val="en-US"/>
        </w:rPr>
        <w:t xml:space="preserve"> </w:t>
      </w:r>
      <w:r>
        <w:rPr>
          <w:rFonts w:eastAsia="SimSun"/>
          <w:lang w:val="en-US"/>
        </w:rPr>
        <w:t>5.</w:t>
      </w:r>
      <w:r w:rsidRPr="00042499">
        <w:rPr>
          <w:rFonts w:eastAsia="SimSun"/>
          <w:lang w:val="en-US"/>
        </w:rPr>
        <w:t xml:space="preserve">1.2.23  – </w:t>
      </w:r>
      <w:r w:rsidRPr="00657BC2">
        <w:rPr>
          <w:rFonts w:eastAsia="SimSun"/>
          <w:lang w:val="en-US"/>
        </w:rPr>
        <w:t>Flu</w:t>
      </w:r>
      <w:r w:rsidRPr="00042499">
        <w:rPr>
          <w:rFonts w:eastAsia="SimSun"/>
          <w:lang w:val="en-US"/>
        </w:rPr>
        <w:t>180+</w:t>
      </w:r>
      <w:r w:rsidRPr="00657BC2">
        <w:rPr>
          <w:rFonts w:eastAsia="SimSun"/>
          <w:lang w:val="en-US"/>
        </w:rPr>
        <w:t>Cy</w:t>
      </w:r>
      <w:r w:rsidRPr="00042499">
        <w:rPr>
          <w:rFonts w:eastAsia="SimSun"/>
          <w:lang w:val="en-US"/>
        </w:rPr>
        <w:t xml:space="preserve">1200 / </w:t>
      </w:r>
      <w:r w:rsidRPr="00657BC2">
        <w:rPr>
          <w:rFonts w:eastAsia="SimSun"/>
          <w:lang w:val="en-US"/>
        </w:rPr>
        <w:t>rATG</w:t>
      </w:r>
      <w:r w:rsidRPr="00042499">
        <w:rPr>
          <w:rFonts w:eastAsia="SimSun"/>
          <w:lang w:val="en-US"/>
        </w:rPr>
        <w:t>+</w:t>
      </w:r>
      <w:r w:rsidRPr="00657BC2">
        <w:rPr>
          <w:rFonts w:eastAsia="SimSun"/>
          <w:lang w:val="en-US"/>
        </w:rPr>
        <w:t>Tx</w:t>
      </w:r>
      <w:r w:rsidRPr="00042499">
        <w:rPr>
          <w:rFonts w:eastAsia="SimSun"/>
          <w:lang w:val="en-US"/>
        </w:rPr>
        <w:t>+</w:t>
      </w:r>
      <w:r w:rsidRPr="00657BC2">
        <w:rPr>
          <w:rFonts w:eastAsia="SimSun"/>
          <w:lang w:val="en-US"/>
        </w:rPr>
        <w:t>MMF</w:t>
      </w:r>
      <w:r w:rsidRPr="00042499">
        <w:rPr>
          <w:rFonts w:eastAsia="SimSun"/>
          <w:lang w:val="en-US"/>
        </w:rPr>
        <w:t>30</w:t>
      </w:r>
      <w:bookmarkEnd w:id="326"/>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9"/>
        <w:gridCol w:w="1701"/>
        <w:gridCol w:w="1559"/>
        <w:gridCol w:w="1701"/>
        <w:gridCol w:w="1418"/>
        <w:gridCol w:w="2268"/>
      </w:tblGrid>
      <w:tr w:rsidR="00304132" w:rsidRPr="00AC3044" w14:paraId="3D835159" w14:textId="77777777" w:rsidTr="00CD5E09">
        <w:trPr>
          <w:cantSplit/>
          <w:trHeight w:val="20"/>
          <w:tblHeader/>
        </w:trPr>
        <w:tc>
          <w:tcPr>
            <w:tcW w:w="959" w:type="dxa"/>
            <w:vAlign w:val="center"/>
          </w:tcPr>
          <w:p w14:paraId="145AD9C4" w14:textId="77777777" w:rsidR="00304132" w:rsidRPr="00657BC2" w:rsidRDefault="00304132" w:rsidP="00CD5E09">
            <w:pPr>
              <w:rPr>
                <w:rFonts w:eastAsia="SimSun"/>
                <w:lang w:val="en-US"/>
              </w:rPr>
            </w:pPr>
          </w:p>
        </w:tc>
        <w:tc>
          <w:tcPr>
            <w:tcW w:w="1701" w:type="dxa"/>
            <w:vAlign w:val="center"/>
          </w:tcPr>
          <w:p w14:paraId="7C60F370" w14:textId="77777777" w:rsidR="00304132" w:rsidRPr="00AC3044" w:rsidRDefault="00304132" w:rsidP="00CD5E09">
            <w:pPr>
              <w:rPr>
                <w:rFonts w:eastAsia="SimSun"/>
              </w:rPr>
            </w:pPr>
            <w:r w:rsidRPr="00AC3044">
              <w:rPr>
                <w:rFonts w:eastAsia="SimSun"/>
              </w:rPr>
              <w:t>Препарат</w:t>
            </w:r>
          </w:p>
        </w:tc>
        <w:tc>
          <w:tcPr>
            <w:tcW w:w="1559" w:type="dxa"/>
            <w:vAlign w:val="center"/>
          </w:tcPr>
          <w:p w14:paraId="2E681B94" w14:textId="77777777" w:rsidR="00304132" w:rsidRPr="00AC3044" w:rsidRDefault="00304132" w:rsidP="00CD5E09">
            <w:pPr>
              <w:rPr>
                <w:rFonts w:eastAsia="SimSun"/>
              </w:rPr>
            </w:pPr>
            <w:r w:rsidRPr="00AC3044">
              <w:rPr>
                <w:rFonts w:eastAsia="SimSun"/>
              </w:rPr>
              <w:t>Суточная доза</w:t>
            </w:r>
          </w:p>
        </w:tc>
        <w:tc>
          <w:tcPr>
            <w:tcW w:w="1701" w:type="dxa"/>
            <w:vAlign w:val="center"/>
          </w:tcPr>
          <w:p w14:paraId="6AF6DB66" w14:textId="77777777" w:rsidR="00304132" w:rsidRPr="00AC3044" w:rsidRDefault="00304132" w:rsidP="00CD5E09">
            <w:pPr>
              <w:rPr>
                <w:rFonts w:eastAsia="SimSun"/>
              </w:rPr>
            </w:pPr>
            <w:r w:rsidRPr="00AC3044">
              <w:rPr>
                <w:rFonts w:eastAsia="SimSun"/>
              </w:rPr>
              <w:t>Курсовая доза</w:t>
            </w:r>
          </w:p>
        </w:tc>
        <w:tc>
          <w:tcPr>
            <w:tcW w:w="1418" w:type="dxa"/>
            <w:vAlign w:val="center"/>
          </w:tcPr>
          <w:p w14:paraId="1B4BC1B5" w14:textId="77777777" w:rsidR="00304132" w:rsidRPr="00AC3044" w:rsidRDefault="00304132" w:rsidP="00CD5E09">
            <w:pPr>
              <w:rPr>
                <w:rFonts w:eastAsia="SimSun"/>
              </w:rPr>
            </w:pPr>
            <w:r w:rsidRPr="00AC3044">
              <w:rPr>
                <w:rFonts w:eastAsia="SimSun"/>
              </w:rPr>
              <w:t>Дни введения</w:t>
            </w:r>
          </w:p>
        </w:tc>
        <w:tc>
          <w:tcPr>
            <w:tcW w:w="2268" w:type="dxa"/>
            <w:vAlign w:val="center"/>
          </w:tcPr>
          <w:p w14:paraId="4452F4BA" w14:textId="77777777" w:rsidR="00304132" w:rsidRPr="00AC3044" w:rsidRDefault="00304132" w:rsidP="00CD5E09">
            <w:pPr>
              <w:rPr>
                <w:rFonts w:eastAsia="SimSun"/>
              </w:rPr>
            </w:pPr>
            <w:r w:rsidRPr="00AC3044">
              <w:rPr>
                <w:rFonts w:eastAsia="SimSun"/>
              </w:rPr>
              <w:t>Порядок введения</w:t>
            </w:r>
          </w:p>
        </w:tc>
      </w:tr>
      <w:tr w:rsidR="00304132" w:rsidRPr="00AC3044" w14:paraId="7602BD06" w14:textId="77777777" w:rsidTr="00CD5E09">
        <w:trPr>
          <w:cantSplit/>
          <w:trHeight w:val="20"/>
        </w:trPr>
        <w:tc>
          <w:tcPr>
            <w:tcW w:w="959" w:type="dxa"/>
            <w:vMerge w:val="restart"/>
            <w:textDirection w:val="btLr"/>
            <w:vAlign w:val="center"/>
          </w:tcPr>
          <w:p w14:paraId="71D48BA3" w14:textId="77777777" w:rsidR="00304132" w:rsidRPr="00AC3044" w:rsidRDefault="00304132" w:rsidP="00CD5E09">
            <w:pPr>
              <w:rPr>
                <w:rFonts w:eastAsia="SimSun"/>
              </w:rPr>
            </w:pPr>
            <w:r w:rsidRPr="00AC3044">
              <w:rPr>
                <w:rFonts w:eastAsia="SimSun"/>
              </w:rPr>
              <w:t>Кондиционирование</w:t>
            </w:r>
          </w:p>
        </w:tc>
        <w:tc>
          <w:tcPr>
            <w:tcW w:w="1701" w:type="dxa"/>
            <w:vAlign w:val="center"/>
          </w:tcPr>
          <w:p w14:paraId="01FDD0EC" w14:textId="77777777" w:rsidR="00304132" w:rsidRPr="00AC3044" w:rsidRDefault="00304132" w:rsidP="00CD5E09">
            <w:pPr>
              <w:rPr>
                <w:rFonts w:eastAsia="SimSun"/>
              </w:rPr>
            </w:pPr>
            <w:r w:rsidRPr="00AC3044">
              <w:rPr>
                <w:rFonts w:eastAsia="SimSun"/>
              </w:rPr>
              <w:t xml:space="preserve">Флударабин </w:t>
            </w:r>
          </w:p>
        </w:tc>
        <w:tc>
          <w:tcPr>
            <w:tcW w:w="1559" w:type="dxa"/>
            <w:vAlign w:val="center"/>
          </w:tcPr>
          <w:p w14:paraId="0144A602" w14:textId="77777777" w:rsidR="00304132" w:rsidRPr="00AC3044" w:rsidRDefault="00304132" w:rsidP="00CD5E09">
            <w:pPr>
              <w:rPr>
                <w:rFonts w:eastAsia="SimSun"/>
              </w:rPr>
            </w:pPr>
            <w:r w:rsidRPr="00AC3044">
              <w:rPr>
                <w:rFonts w:eastAsia="SimSun"/>
              </w:rPr>
              <w:t>30 мг/м</w:t>
            </w:r>
            <w:r w:rsidRPr="001E6DBE">
              <w:rPr>
                <w:rFonts w:eastAsia="SimSun"/>
                <w:vertAlign w:val="superscript"/>
              </w:rPr>
              <w:t>2</w:t>
            </w:r>
          </w:p>
        </w:tc>
        <w:tc>
          <w:tcPr>
            <w:tcW w:w="1701" w:type="dxa"/>
            <w:vAlign w:val="center"/>
          </w:tcPr>
          <w:p w14:paraId="41A15E04" w14:textId="77777777" w:rsidR="00304132" w:rsidRPr="00AC3044" w:rsidRDefault="00304132" w:rsidP="00CD5E09">
            <w:pPr>
              <w:rPr>
                <w:rFonts w:eastAsia="SimSun"/>
              </w:rPr>
            </w:pPr>
            <w:r w:rsidRPr="00AC3044">
              <w:rPr>
                <w:rFonts w:eastAsia="SimSun"/>
              </w:rPr>
              <w:t>180 мг/м</w:t>
            </w:r>
            <w:r w:rsidRPr="001E6DBE">
              <w:rPr>
                <w:rFonts w:eastAsia="SimSun"/>
                <w:vertAlign w:val="superscript"/>
              </w:rPr>
              <w:t>2</w:t>
            </w:r>
          </w:p>
        </w:tc>
        <w:tc>
          <w:tcPr>
            <w:tcW w:w="1418" w:type="dxa"/>
            <w:vAlign w:val="center"/>
          </w:tcPr>
          <w:p w14:paraId="66A08E45" w14:textId="77777777" w:rsidR="00304132" w:rsidRPr="00AC3044" w:rsidRDefault="00304132" w:rsidP="00CD5E09">
            <w:pPr>
              <w:rPr>
                <w:rFonts w:eastAsia="SimSun"/>
              </w:rPr>
            </w:pPr>
            <w:r w:rsidRPr="00AC3044">
              <w:rPr>
                <w:rFonts w:eastAsia="SimSun"/>
              </w:rPr>
              <w:t>С -7 дня по -2 день</w:t>
            </w:r>
          </w:p>
        </w:tc>
        <w:tc>
          <w:tcPr>
            <w:tcW w:w="2268" w:type="dxa"/>
            <w:vAlign w:val="center"/>
          </w:tcPr>
          <w:p w14:paraId="387EDD76" w14:textId="77777777" w:rsidR="00304132" w:rsidRPr="00AC3044" w:rsidRDefault="00304132" w:rsidP="00CD5E09">
            <w:pPr>
              <w:rPr>
                <w:rFonts w:eastAsia="SimSun"/>
              </w:rPr>
            </w:pPr>
            <w:r w:rsidRPr="00AC3044">
              <w:rPr>
                <w:rFonts w:eastAsia="SimSun"/>
              </w:rPr>
              <w:t>В/в, в течение 30 -60 мин</w:t>
            </w:r>
          </w:p>
        </w:tc>
      </w:tr>
      <w:tr w:rsidR="00304132" w:rsidRPr="00AC3044" w14:paraId="6248534A" w14:textId="77777777" w:rsidTr="00CD5E09">
        <w:trPr>
          <w:cantSplit/>
          <w:trHeight w:val="1207"/>
        </w:trPr>
        <w:tc>
          <w:tcPr>
            <w:tcW w:w="959" w:type="dxa"/>
            <w:vMerge/>
            <w:vAlign w:val="center"/>
          </w:tcPr>
          <w:p w14:paraId="621A821E" w14:textId="77777777" w:rsidR="00304132" w:rsidRPr="00AC3044" w:rsidRDefault="00304132" w:rsidP="00CD5E09">
            <w:pPr>
              <w:rPr>
                <w:rFonts w:eastAsia="SimSun"/>
              </w:rPr>
            </w:pPr>
          </w:p>
        </w:tc>
        <w:tc>
          <w:tcPr>
            <w:tcW w:w="1701" w:type="dxa"/>
            <w:vAlign w:val="center"/>
          </w:tcPr>
          <w:p w14:paraId="2DFEAB51" w14:textId="77777777" w:rsidR="00304132" w:rsidRPr="00AC3044" w:rsidRDefault="00304132" w:rsidP="00CD5E09">
            <w:pPr>
              <w:rPr>
                <w:rFonts w:eastAsia="SimSun"/>
              </w:rPr>
            </w:pPr>
            <w:r w:rsidRPr="00AC3044">
              <w:rPr>
                <w:rFonts w:eastAsia="SimSun"/>
              </w:rPr>
              <w:t>Циклофосфамид</w:t>
            </w:r>
          </w:p>
        </w:tc>
        <w:tc>
          <w:tcPr>
            <w:tcW w:w="1559" w:type="dxa"/>
            <w:vAlign w:val="center"/>
          </w:tcPr>
          <w:p w14:paraId="1DFF03EA" w14:textId="77777777" w:rsidR="00304132" w:rsidRPr="00AC3044" w:rsidRDefault="00304132" w:rsidP="00CD5E09">
            <w:pPr>
              <w:rPr>
                <w:rFonts w:eastAsia="SimSun"/>
              </w:rPr>
            </w:pPr>
            <w:r w:rsidRPr="00AC3044">
              <w:rPr>
                <w:rFonts w:eastAsia="SimSun"/>
              </w:rPr>
              <w:t>300 мг/м</w:t>
            </w:r>
            <w:r w:rsidRPr="001E6DBE">
              <w:rPr>
                <w:rFonts w:eastAsia="SimSun"/>
                <w:vertAlign w:val="superscript"/>
              </w:rPr>
              <w:t>2</w:t>
            </w:r>
            <w:r w:rsidRPr="00AC3044">
              <w:rPr>
                <w:rFonts w:eastAsia="SimSun"/>
              </w:rPr>
              <w:t xml:space="preserve"> </w:t>
            </w:r>
          </w:p>
        </w:tc>
        <w:tc>
          <w:tcPr>
            <w:tcW w:w="1701" w:type="dxa"/>
            <w:vAlign w:val="center"/>
          </w:tcPr>
          <w:p w14:paraId="5B45F868" w14:textId="77777777" w:rsidR="00304132" w:rsidRPr="00AC3044" w:rsidRDefault="00304132" w:rsidP="00CD5E09">
            <w:pPr>
              <w:rPr>
                <w:rFonts w:eastAsia="SimSun"/>
              </w:rPr>
            </w:pPr>
            <w:r w:rsidRPr="00AC3044">
              <w:rPr>
                <w:rFonts w:eastAsia="SimSun"/>
              </w:rPr>
              <w:t>1200 мг/м</w:t>
            </w:r>
            <w:r w:rsidRPr="001E6DBE">
              <w:rPr>
                <w:rFonts w:eastAsia="SimSun"/>
                <w:vertAlign w:val="superscript"/>
              </w:rPr>
              <w:t>2</w:t>
            </w:r>
          </w:p>
        </w:tc>
        <w:tc>
          <w:tcPr>
            <w:tcW w:w="1418" w:type="dxa"/>
            <w:vAlign w:val="center"/>
          </w:tcPr>
          <w:p w14:paraId="265783CD" w14:textId="77777777" w:rsidR="00304132" w:rsidRPr="00AC3044" w:rsidRDefault="00304132" w:rsidP="00CD5E09">
            <w:pPr>
              <w:rPr>
                <w:rFonts w:eastAsia="SimSun"/>
              </w:rPr>
            </w:pPr>
            <w:r w:rsidRPr="00AC3044">
              <w:rPr>
                <w:rFonts w:eastAsia="SimSun"/>
              </w:rPr>
              <w:t xml:space="preserve"> С -5 дня по -2 день </w:t>
            </w:r>
          </w:p>
        </w:tc>
        <w:tc>
          <w:tcPr>
            <w:tcW w:w="2268" w:type="dxa"/>
            <w:vAlign w:val="center"/>
          </w:tcPr>
          <w:p w14:paraId="06681708" w14:textId="77777777" w:rsidR="00304132" w:rsidRPr="00AC3044" w:rsidRDefault="00304132" w:rsidP="00CD5E09">
            <w:pPr>
              <w:rPr>
                <w:rFonts w:eastAsia="SimSun"/>
              </w:rPr>
            </w:pPr>
            <w:r w:rsidRPr="00AC3044">
              <w:rPr>
                <w:rFonts w:eastAsia="SimSun"/>
              </w:rPr>
              <w:t>В/в, в течение 2 ч</w:t>
            </w:r>
          </w:p>
        </w:tc>
      </w:tr>
      <w:tr w:rsidR="00304132" w:rsidRPr="00AC3044" w14:paraId="2FF98945" w14:textId="77777777" w:rsidTr="00CD5E09">
        <w:trPr>
          <w:cantSplit/>
          <w:trHeight w:val="858"/>
        </w:trPr>
        <w:tc>
          <w:tcPr>
            <w:tcW w:w="959" w:type="dxa"/>
            <w:vMerge w:val="restart"/>
            <w:textDirection w:val="btLr"/>
            <w:vAlign w:val="center"/>
          </w:tcPr>
          <w:p w14:paraId="0BB01F5E" w14:textId="77777777" w:rsidR="00304132" w:rsidRPr="00AC3044" w:rsidRDefault="00304132" w:rsidP="00CD5E09">
            <w:pPr>
              <w:rPr>
                <w:rFonts w:eastAsia="SimSun"/>
              </w:rPr>
            </w:pPr>
            <w:r w:rsidRPr="00AC3044">
              <w:rPr>
                <w:rFonts w:eastAsia="SimSun"/>
              </w:rPr>
              <w:t>Профилактика РТПХ</w:t>
            </w:r>
          </w:p>
        </w:tc>
        <w:tc>
          <w:tcPr>
            <w:tcW w:w="1701" w:type="dxa"/>
            <w:vAlign w:val="center"/>
          </w:tcPr>
          <w:p w14:paraId="7EB018AF" w14:textId="77777777" w:rsidR="00304132" w:rsidRPr="00AC3044" w:rsidRDefault="00304132" w:rsidP="00CD5E09">
            <w:pPr>
              <w:rPr>
                <w:rFonts w:eastAsia="SimSun"/>
              </w:rPr>
            </w:pPr>
            <w:r w:rsidRPr="00AC3044">
              <w:rPr>
                <w:rFonts w:eastAsia="SimSun"/>
              </w:rPr>
              <w:t>АТГ (кроличий)</w:t>
            </w:r>
          </w:p>
        </w:tc>
        <w:tc>
          <w:tcPr>
            <w:tcW w:w="1559" w:type="dxa"/>
            <w:vAlign w:val="center"/>
          </w:tcPr>
          <w:p w14:paraId="44AFF2FA" w14:textId="77777777" w:rsidR="00304132" w:rsidRPr="00AC3044" w:rsidRDefault="00304132" w:rsidP="00CD5E09">
            <w:pPr>
              <w:rPr>
                <w:rFonts w:eastAsia="SimSun"/>
              </w:rPr>
            </w:pPr>
            <w:r w:rsidRPr="00AC3044">
              <w:rPr>
                <w:rFonts w:eastAsia="SimSun"/>
              </w:rPr>
              <w:t>5 мг/кг</w:t>
            </w:r>
          </w:p>
        </w:tc>
        <w:tc>
          <w:tcPr>
            <w:tcW w:w="1701" w:type="dxa"/>
            <w:vAlign w:val="center"/>
          </w:tcPr>
          <w:p w14:paraId="2D092EF9" w14:textId="77777777" w:rsidR="00304132" w:rsidRPr="00AC3044" w:rsidRDefault="00304132" w:rsidP="00CD5E09">
            <w:pPr>
              <w:rPr>
                <w:rFonts w:eastAsia="SimSun"/>
              </w:rPr>
            </w:pPr>
            <w:r w:rsidRPr="00AC3044">
              <w:rPr>
                <w:rFonts w:eastAsia="SimSun"/>
              </w:rPr>
              <w:t>10 мг/кг</w:t>
            </w:r>
          </w:p>
        </w:tc>
        <w:tc>
          <w:tcPr>
            <w:tcW w:w="1418" w:type="dxa"/>
            <w:vAlign w:val="center"/>
          </w:tcPr>
          <w:p w14:paraId="545BCB3E" w14:textId="77777777" w:rsidR="00304132" w:rsidRPr="00AC3044" w:rsidRDefault="00304132" w:rsidP="00CD5E09">
            <w:pPr>
              <w:rPr>
                <w:rFonts w:eastAsia="SimSun"/>
              </w:rPr>
            </w:pPr>
            <w:r w:rsidRPr="00AC3044">
              <w:rPr>
                <w:rFonts w:eastAsia="SimSun"/>
              </w:rPr>
              <w:t>В дни -2, -1</w:t>
            </w:r>
          </w:p>
        </w:tc>
        <w:tc>
          <w:tcPr>
            <w:tcW w:w="2268" w:type="dxa"/>
            <w:vAlign w:val="center"/>
          </w:tcPr>
          <w:p w14:paraId="6090D99F" w14:textId="77777777" w:rsidR="00304132" w:rsidRPr="00AC3044" w:rsidRDefault="00304132" w:rsidP="00CD5E09">
            <w:pPr>
              <w:rPr>
                <w:rFonts w:eastAsia="SimSun"/>
              </w:rPr>
            </w:pPr>
            <w:r w:rsidRPr="00AC3044">
              <w:rPr>
                <w:rFonts w:eastAsia="SimSun"/>
              </w:rPr>
              <w:t>В/в. Суточная доза разделяется на 2 введения (см. гл.</w:t>
            </w:r>
            <w:r>
              <w:rPr>
                <w:rFonts w:eastAsia="SimSun"/>
              </w:rPr>
              <w:t xml:space="preserve"> </w:t>
            </w:r>
            <w:r w:rsidRPr="00AC3044">
              <w:rPr>
                <w:rFonts w:eastAsia="SimSun"/>
              </w:rPr>
              <w:t>«Инфузия АТГ»)</w:t>
            </w:r>
          </w:p>
        </w:tc>
      </w:tr>
      <w:tr w:rsidR="00304132" w:rsidRPr="00AC3044" w14:paraId="5B74D865" w14:textId="77777777" w:rsidTr="00CD5E09">
        <w:trPr>
          <w:cantSplit/>
          <w:trHeight w:val="958"/>
        </w:trPr>
        <w:tc>
          <w:tcPr>
            <w:tcW w:w="959" w:type="dxa"/>
            <w:vMerge/>
            <w:textDirection w:val="btLr"/>
            <w:vAlign w:val="center"/>
          </w:tcPr>
          <w:p w14:paraId="1313F41C" w14:textId="77777777" w:rsidR="00304132" w:rsidRPr="00AC3044" w:rsidRDefault="00304132" w:rsidP="00CD5E09">
            <w:pPr>
              <w:rPr>
                <w:rFonts w:eastAsia="SimSun"/>
              </w:rPr>
            </w:pPr>
          </w:p>
        </w:tc>
        <w:tc>
          <w:tcPr>
            <w:tcW w:w="1701" w:type="dxa"/>
            <w:vAlign w:val="center"/>
          </w:tcPr>
          <w:p w14:paraId="7F889A0E" w14:textId="77777777" w:rsidR="00304132" w:rsidRPr="00AC3044" w:rsidRDefault="00304132" w:rsidP="00CD5E09">
            <w:pPr>
              <w:rPr>
                <w:rFonts w:eastAsia="SimSun"/>
              </w:rPr>
            </w:pPr>
            <w:r w:rsidRPr="00AC3044">
              <w:rPr>
                <w:rFonts w:eastAsia="SimSun"/>
              </w:rPr>
              <w:t xml:space="preserve">Такролимус </w:t>
            </w:r>
          </w:p>
        </w:tc>
        <w:tc>
          <w:tcPr>
            <w:tcW w:w="1559" w:type="dxa"/>
            <w:vAlign w:val="center"/>
          </w:tcPr>
          <w:p w14:paraId="368AFAA8" w14:textId="77777777" w:rsidR="00304132" w:rsidRPr="00AC3044" w:rsidRDefault="00304132" w:rsidP="00CD5E09">
            <w:pPr>
              <w:rPr>
                <w:rFonts w:eastAsia="SimSun"/>
              </w:rPr>
            </w:pPr>
            <w:r w:rsidRPr="00AC3044">
              <w:rPr>
                <w:rFonts w:eastAsia="SimSun"/>
              </w:rPr>
              <w:t>0,03 мг/кг</w:t>
            </w:r>
          </w:p>
        </w:tc>
        <w:tc>
          <w:tcPr>
            <w:tcW w:w="1701" w:type="dxa"/>
            <w:vAlign w:val="center"/>
          </w:tcPr>
          <w:p w14:paraId="0CBEC458" w14:textId="77777777" w:rsidR="00304132" w:rsidRPr="00AC3044" w:rsidRDefault="00304132" w:rsidP="00CD5E09">
            <w:pPr>
              <w:rPr>
                <w:rFonts w:eastAsia="SimSun"/>
              </w:rPr>
            </w:pPr>
            <w:r w:rsidRPr="00AC3044">
              <w:rPr>
                <w:rFonts w:eastAsia="SimSun"/>
              </w:rPr>
              <w:t>–</w:t>
            </w:r>
          </w:p>
        </w:tc>
        <w:tc>
          <w:tcPr>
            <w:tcW w:w="1418" w:type="dxa"/>
            <w:vAlign w:val="center"/>
          </w:tcPr>
          <w:p w14:paraId="0D7F181F" w14:textId="77777777" w:rsidR="00304132" w:rsidRPr="00AC3044" w:rsidRDefault="00304132" w:rsidP="00CD5E09">
            <w:pPr>
              <w:rPr>
                <w:rFonts w:eastAsia="SimSun"/>
              </w:rPr>
            </w:pPr>
            <w:r w:rsidRPr="00AC3044">
              <w:rPr>
                <w:rFonts w:eastAsia="SimSun"/>
              </w:rPr>
              <w:t xml:space="preserve">С -1 дня длительно </w:t>
            </w:r>
          </w:p>
        </w:tc>
        <w:tc>
          <w:tcPr>
            <w:tcW w:w="2268" w:type="dxa"/>
            <w:vAlign w:val="center"/>
          </w:tcPr>
          <w:p w14:paraId="5FCD20EC" w14:textId="77777777" w:rsidR="00304132" w:rsidRPr="00AC3044" w:rsidRDefault="00304132" w:rsidP="00CD5E09">
            <w:pPr>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 </w:t>
            </w:r>
            <w:r w:rsidRPr="00AC3044">
              <w:rPr>
                <w:rFonts w:eastAsia="SimSun"/>
              </w:rPr>
              <w:t>10</w:t>
            </w:r>
            <w:r w:rsidRPr="001E6DBE">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304132" w:rsidRPr="00AC3044" w14:paraId="7738A79E" w14:textId="77777777" w:rsidTr="00CD5E09">
        <w:trPr>
          <w:cantSplit/>
          <w:trHeight w:val="370"/>
        </w:trPr>
        <w:tc>
          <w:tcPr>
            <w:tcW w:w="959" w:type="dxa"/>
            <w:vMerge/>
            <w:textDirection w:val="btLr"/>
            <w:vAlign w:val="center"/>
          </w:tcPr>
          <w:p w14:paraId="2C9E92A7" w14:textId="77777777" w:rsidR="00304132" w:rsidRPr="00AC3044" w:rsidRDefault="00304132" w:rsidP="00CD5E09">
            <w:pPr>
              <w:rPr>
                <w:rFonts w:eastAsia="SimSun"/>
              </w:rPr>
            </w:pPr>
          </w:p>
        </w:tc>
        <w:tc>
          <w:tcPr>
            <w:tcW w:w="1701" w:type="dxa"/>
            <w:vAlign w:val="center"/>
          </w:tcPr>
          <w:p w14:paraId="5A6CE316" w14:textId="77777777" w:rsidR="00304132" w:rsidRPr="00AC3044" w:rsidRDefault="00304132" w:rsidP="00CD5E09">
            <w:pPr>
              <w:rPr>
                <w:rFonts w:eastAsia="SimSun"/>
              </w:rPr>
            </w:pPr>
            <w:r w:rsidRPr="00AC3044">
              <w:rPr>
                <w:rFonts w:eastAsia="SimSun"/>
              </w:rPr>
              <w:t>Микофенолата мофетил</w:t>
            </w:r>
          </w:p>
        </w:tc>
        <w:tc>
          <w:tcPr>
            <w:tcW w:w="1559" w:type="dxa"/>
            <w:vAlign w:val="center"/>
          </w:tcPr>
          <w:p w14:paraId="1E50BBB4" w14:textId="77777777" w:rsidR="00304132" w:rsidRPr="00AC3044" w:rsidRDefault="00304132" w:rsidP="00CD5E09">
            <w:pPr>
              <w:rPr>
                <w:rFonts w:eastAsia="SimSun"/>
              </w:rPr>
            </w:pPr>
            <w:r w:rsidRPr="00AC3044">
              <w:rPr>
                <w:rFonts w:eastAsia="SimSun"/>
              </w:rPr>
              <w:t xml:space="preserve">30 мг/кг </w:t>
            </w:r>
          </w:p>
        </w:tc>
        <w:tc>
          <w:tcPr>
            <w:tcW w:w="1701" w:type="dxa"/>
            <w:vAlign w:val="center"/>
          </w:tcPr>
          <w:p w14:paraId="1A3DB3C5" w14:textId="77777777" w:rsidR="00304132" w:rsidRPr="00AC3044" w:rsidRDefault="00304132" w:rsidP="00CD5E09">
            <w:pPr>
              <w:rPr>
                <w:rFonts w:eastAsia="SimSun"/>
              </w:rPr>
            </w:pPr>
            <w:r w:rsidRPr="00AC3044">
              <w:rPr>
                <w:rFonts w:eastAsia="SimSun"/>
              </w:rPr>
              <w:t>–</w:t>
            </w:r>
          </w:p>
        </w:tc>
        <w:tc>
          <w:tcPr>
            <w:tcW w:w="1418" w:type="dxa"/>
            <w:vAlign w:val="center"/>
          </w:tcPr>
          <w:p w14:paraId="4C265C11" w14:textId="77777777" w:rsidR="00304132" w:rsidRPr="00AC3044" w:rsidRDefault="00304132" w:rsidP="00CD5E09">
            <w:pPr>
              <w:rPr>
                <w:rFonts w:eastAsia="SimSun"/>
              </w:rPr>
            </w:pPr>
            <w:r w:rsidRPr="00AC3044">
              <w:rPr>
                <w:rFonts w:eastAsia="SimSun"/>
              </w:rPr>
              <w:t xml:space="preserve">С -1 дня по +30 день </w:t>
            </w:r>
          </w:p>
        </w:tc>
        <w:tc>
          <w:tcPr>
            <w:tcW w:w="2268" w:type="dxa"/>
            <w:vAlign w:val="center"/>
          </w:tcPr>
          <w:p w14:paraId="76A6C74C" w14:textId="77777777" w:rsidR="00304132" w:rsidRPr="00AC3044" w:rsidRDefault="00304132" w:rsidP="00CD5E09">
            <w:pPr>
              <w:rPr>
                <w:rFonts w:eastAsia="SimSun"/>
              </w:rPr>
            </w:pPr>
            <w:r w:rsidRPr="00AC3044">
              <w:rPr>
                <w:rFonts w:eastAsia="SimSun"/>
              </w:rPr>
              <w:t xml:space="preserve">Внутрь, суммарная суточная доза разделяется на 2- 4 приема (не более 3г/сут).  </w:t>
            </w:r>
          </w:p>
        </w:tc>
      </w:tr>
    </w:tbl>
    <w:p w14:paraId="53833FB9" w14:textId="77777777" w:rsidR="00304132" w:rsidRDefault="00304132" w:rsidP="00304132">
      <w:pPr>
        <w:rPr>
          <w:rFonts w:eastAsia="SimSun"/>
        </w:rPr>
      </w:pPr>
      <w:bookmarkStart w:id="327" w:name="_Toc44401182"/>
    </w:p>
    <w:p w14:paraId="6D3088A0" w14:textId="77777777" w:rsidR="00304132" w:rsidRPr="00C07B2E" w:rsidRDefault="00304132" w:rsidP="00304132">
      <w:pPr>
        <w:rPr>
          <w:rFonts w:eastAsia="SimSun"/>
        </w:rPr>
      </w:pPr>
      <w:r w:rsidRPr="00042499">
        <w:rPr>
          <w:rFonts w:eastAsia="SimSun"/>
        </w:rPr>
        <w:lastRenderedPageBreak/>
        <w:t>Таблица</w:t>
      </w:r>
      <w:r w:rsidRPr="00C07B2E">
        <w:rPr>
          <w:rFonts w:eastAsia="SimSun"/>
        </w:rPr>
        <w:t xml:space="preserve"> </w:t>
      </w:r>
      <w:r>
        <w:rPr>
          <w:rFonts w:eastAsia="SimSun"/>
        </w:rPr>
        <w:t>5.</w:t>
      </w:r>
      <w:r w:rsidRPr="00C07B2E">
        <w:rPr>
          <w:rFonts w:eastAsia="SimSun"/>
        </w:rPr>
        <w:t>2.2.24 – Flu180+Mel100/ PT-Cy+Tx+MMF30</w:t>
      </w:r>
      <w:bookmarkEnd w:id="327"/>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9"/>
        <w:gridCol w:w="1701"/>
        <w:gridCol w:w="1559"/>
        <w:gridCol w:w="1701"/>
        <w:gridCol w:w="1418"/>
        <w:gridCol w:w="2268"/>
      </w:tblGrid>
      <w:tr w:rsidR="00304132" w:rsidRPr="00AC3044" w14:paraId="07468273" w14:textId="77777777" w:rsidTr="00CD5E09">
        <w:trPr>
          <w:cantSplit/>
          <w:trHeight w:val="20"/>
          <w:tblHeader/>
        </w:trPr>
        <w:tc>
          <w:tcPr>
            <w:tcW w:w="959" w:type="dxa"/>
            <w:vAlign w:val="center"/>
          </w:tcPr>
          <w:p w14:paraId="79F65BF5" w14:textId="77777777" w:rsidR="00304132" w:rsidRPr="00AC3044" w:rsidRDefault="00304132" w:rsidP="00CD5E09">
            <w:pPr>
              <w:rPr>
                <w:rFonts w:eastAsia="SimSun"/>
              </w:rPr>
            </w:pPr>
          </w:p>
        </w:tc>
        <w:tc>
          <w:tcPr>
            <w:tcW w:w="1701" w:type="dxa"/>
            <w:vAlign w:val="center"/>
          </w:tcPr>
          <w:p w14:paraId="7B32AD54" w14:textId="77777777" w:rsidR="00304132" w:rsidRPr="00AC3044" w:rsidRDefault="00304132" w:rsidP="00CD5E09">
            <w:pPr>
              <w:rPr>
                <w:rFonts w:eastAsia="SimSun"/>
              </w:rPr>
            </w:pPr>
            <w:r w:rsidRPr="00AC3044">
              <w:rPr>
                <w:rFonts w:eastAsia="SimSun"/>
              </w:rPr>
              <w:t>Препарат</w:t>
            </w:r>
          </w:p>
        </w:tc>
        <w:tc>
          <w:tcPr>
            <w:tcW w:w="1559" w:type="dxa"/>
            <w:vAlign w:val="center"/>
          </w:tcPr>
          <w:p w14:paraId="62305BEF" w14:textId="77777777" w:rsidR="00304132" w:rsidRPr="00AC3044" w:rsidRDefault="00304132" w:rsidP="00CD5E09">
            <w:pPr>
              <w:rPr>
                <w:rFonts w:eastAsia="SimSun"/>
              </w:rPr>
            </w:pPr>
            <w:r w:rsidRPr="00AC3044">
              <w:rPr>
                <w:rFonts w:eastAsia="SimSun"/>
              </w:rPr>
              <w:t>Суточная доза</w:t>
            </w:r>
          </w:p>
        </w:tc>
        <w:tc>
          <w:tcPr>
            <w:tcW w:w="1701" w:type="dxa"/>
            <w:vAlign w:val="center"/>
          </w:tcPr>
          <w:p w14:paraId="7443D9BB" w14:textId="77777777" w:rsidR="00304132" w:rsidRPr="00AC3044" w:rsidRDefault="00304132" w:rsidP="00CD5E09">
            <w:pPr>
              <w:rPr>
                <w:rFonts w:eastAsia="SimSun"/>
              </w:rPr>
            </w:pPr>
            <w:r w:rsidRPr="00AC3044">
              <w:rPr>
                <w:rFonts w:eastAsia="SimSun"/>
              </w:rPr>
              <w:t>Курсовая доза</w:t>
            </w:r>
          </w:p>
        </w:tc>
        <w:tc>
          <w:tcPr>
            <w:tcW w:w="1418" w:type="dxa"/>
            <w:vAlign w:val="center"/>
          </w:tcPr>
          <w:p w14:paraId="6A04C913" w14:textId="77777777" w:rsidR="00304132" w:rsidRPr="00AC3044" w:rsidRDefault="00304132" w:rsidP="00CD5E09">
            <w:pPr>
              <w:rPr>
                <w:rFonts w:eastAsia="SimSun"/>
              </w:rPr>
            </w:pPr>
            <w:r w:rsidRPr="00AC3044">
              <w:rPr>
                <w:rFonts w:eastAsia="SimSun"/>
              </w:rPr>
              <w:t>Дни введения</w:t>
            </w:r>
          </w:p>
        </w:tc>
        <w:tc>
          <w:tcPr>
            <w:tcW w:w="2268" w:type="dxa"/>
            <w:vAlign w:val="center"/>
          </w:tcPr>
          <w:p w14:paraId="54A2DEB4" w14:textId="77777777" w:rsidR="00304132" w:rsidRPr="00AC3044" w:rsidRDefault="00304132" w:rsidP="00CD5E09">
            <w:pPr>
              <w:rPr>
                <w:rFonts w:eastAsia="SimSun"/>
              </w:rPr>
            </w:pPr>
            <w:r w:rsidRPr="00AC3044">
              <w:rPr>
                <w:rFonts w:eastAsia="SimSun"/>
              </w:rPr>
              <w:t>Порядок введения</w:t>
            </w:r>
          </w:p>
        </w:tc>
      </w:tr>
      <w:tr w:rsidR="00304132" w:rsidRPr="00AC3044" w14:paraId="532969C9" w14:textId="77777777" w:rsidTr="00CD5E09">
        <w:trPr>
          <w:cantSplit/>
          <w:trHeight w:val="20"/>
        </w:trPr>
        <w:tc>
          <w:tcPr>
            <w:tcW w:w="959" w:type="dxa"/>
            <w:vMerge w:val="restart"/>
            <w:textDirection w:val="btLr"/>
            <w:vAlign w:val="center"/>
          </w:tcPr>
          <w:p w14:paraId="37072E33" w14:textId="77777777" w:rsidR="00304132" w:rsidRPr="00AC3044" w:rsidRDefault="00304132" w:rsidP="00CD5E09">
            <w:pPr>
              <w:rPr>
                <w:rFonts w:eastAsia="SimSun"/>
              </w:rPr>
            </w:pPr>
            <w:r w:rsidRPr="00AC3044">
              <w:rPr>
                <w:rFonts w:eastAsia="SimSun"/>
              </w:rPr>
              <w:t>Кондиционирование</w:t>
            </w:r>
          </w:p>
        </w:tc>
        <w:tc>
          <w:tcPr>
            <w:tcW w:w="1701" w:type="dxa"/>
            <w:vAlign w:val="center"/>
          </w:tcPr>
          <w:p w14:paraId="29842BC0" w14:textId="77777777" w:rsidR="00304132" w:rsidRPr="00AC3044" w:rsidRDefault="00304132" w:rsidP="00CD5E09">
            <w:pPr>
              <w:rPr>
                <w:rFonts w:eastAsia="SimSun"/>
              </w:rPr>
            </w:pPr>
            <w:r w:rsidRPr="00AC3044">
              <w:rPr>
                <w:rFonts w:eastAsia="SimSun"/>
              </w:rPr>
              <w:t xml:space="preserve">Флударабин </w:t>
            </w:r>
          </w:p>
        </w:tc>
        <w:tc>
          <w:tcPr>
            <w:tcW w:w="1559" w:type="dxa"/>
            <w:vAlign w:val="center"/>
          </w:tcPr>
          <w:p w14:paraId="4E8F3AB1" w14:textId="77777777" w:rsidR="00304132" w:rsidRPr="00AC3044" w:rsidRDefault="00304132" w:rsidP="00CD5E09">
            <w:pPr>
              <w:rPr>
                <w:rFonts w:eastAsia="SimSun"/>
              </w:rPr>
            </w:pPr>
            <w:r w:rsidRPr="00AC3044">
              <w:rPr>
                <w:rFonts w:eastAsia="SimSun"/>
              </w:rPr>
              <w:t>30 мг/м</w:t>
            </w:r>
            <w:r w:rsidRPr="001E6DBE">
              <w:rPr>
                <w:rFonts w:eastAsia="SimSun"/>
                <w:vertAlign w:val="superscript"/>
              </w:rPr>
              <w:t>2</w:t>
            </w:r>
          </w:p>
        </w:tc>
        <w:tc>
          <w:tcPr>
            <w:tcW w:w="1701" w:type="dxa"/>
            <w:vAlign w:val="center"/>
          </w:tcPr>
          <w:p w14:paraId="67CB7F40" w14:textId="77777777" w:rsidR="00304132" w:rsidRPr="00AC3044" w:rsidRDefault="00304132" w:rsidP="00CD5E09">
            <w:pPr>
              <w:rPr>
                <w:rFonts w:eastAsia="SimSun"/>
              </w:rPr>
            </w:pPr>
            <w:r w:rsidRPr="00AC3044">
              <w:rPr>
                <w:rFonts w:eastAsia="SimSun"/>
              </w:rPr>
              <w:t>180 мг/м</w:t>
            </w:r>
            <w:r w:rsidRPr="001E6DBE">
              <w:rPr>
                <w:rFonts w:eastAsia="SimSun"/>
                <w:vertAlign w:val="superscript"/>
              </w:rPr>
              <w:t>2</w:t>
            </w:r>
          </w:p>
        </w:tc>
        <w:tc>
          <w:tcPr>
            <w:tcW w:w="1418" w:type="dxa"/>
            <w:vAlign w:val="center"/>
          </w:tcPr>
          <w:p w14:paraId="04DDAA1F" w14:textId="77777777" w:rsidR="00304132" w:rsidRPr="00AC3044" w:rsidRDefault="00304132" w:rsidP="00CD5E09">
            <w:pPr>
              <w:rPr>
                <w:rFonts w:eastAsia="SimSun"/>
              </w:rPr>
            </w:pPr>
            <w:r w:rsidRPr="00AC3044">
              <w:rPr>
                <w:rFonts w:eastAsia="SimSun"/>
              </w:rPr>
              <w:t>С -7 дня по -2 день</w:t>
            </w:r>
          </w:p>
        </w:tc>
        <w:tc>
          <w:tcPr>
            <w:tcW w:w="2268" w:type="dxa"/>
            <w:vAlign w:val="center"/>
          </w:tcPr>
          <w:p w14:paraId="46D42201" w14:textId="77777777" w:rsidR="00304132" w:rsidRPr="00AC3044" w:rsidRDefault="00304132" w:rsidP="00CD5E09">
            <w:pPr>
              <w:rPr>
                <w:rFonts w:eastAsia="SimSun"/>
              </w:rPr>
            </w:pPr>
            <w:r w:rsidRPr="00AC3044">
              <w:rPr>
                <w:rFonts w:eastAsia="SimSun"/>
              </w:rPr>
              <w:t>В/в, в течение 30 -60 мин</w:t>
            </w:r>
          </w:p>
        </w:tc>
      </w:tr>
      <w:tr w:rsidR="00304132" w:rsidRPr="00AC3044" w14:paraId="6087F732" w14:textId="77777777" w:rsidTr="00CD5E09">
        <w:trPr>
          <w:cantSplit/>
          <w:trHeight w:val="440"/>
        </w:trPr>
        <w:tc>
          <w:tcPr>
            <w:tcW w:w="959" w:type="dxa"/>
            <w:vMerge/>
            <w:vAlign w:val="center"/>
          </w:tcPr>
          <w:p w14:paraId="76CC33A9" w14:textId="77777777" w:rsidR="00304132" w:rsidRPr="00AC3044" w:rsidRDefault="00304132" w:rsidP="00CD5E09">
            <w:pPr>
              <w:rPr>
                <w:rFonts w:eastAsia="SimSun"/>
              </w:rPr>
            </w:pPr>
          </w:p>
        </w:tc>
        <w:tc>
          <w:tcPr>
            <w:tcW w:w="1701" w:type="dxa"/>
            <w:vAlign w:val="center"/>
          </w:tcPr>
          <w:p w14:paraId="12E6CCF7" w14:textId="77777777" w:rsidR="00304132" w:rsidRPr="00AC3044" w:rsidRDefault="00304132" w:rsidP="00CD5E09">
            <w:pPr>
              <w:rPr>
                <w:rFonts w:eastAsia="SimSun"/>
              </w:rPr>
            </w:pPr>
            <w:r w:rsidRPr="00AC3044">
              <w:rPr>
                <w:rFonts w:eastAsia="SimSun"/>
              </w:rPr>
              <w:t>Мелфалан</w:t>
            </w:r>
          </w:p>
        </w:tc>
        <w:tc>
          <w:tcPr>
            <w:tcW w:w="1559" w:type="dxa"/>
            <w:vAlign w:val="center"/>
          </w:tcPr>
          <w:p w14:paraId="3B51C8DE" w14:textId="77777777" w:rsidR="00304132" w:rsidRPr="00AC3044" w:rsidRDefault="00304132" w:rsidP="00CD5E09">
            <w:pPr>
              <w:rPr>
                <w:rFonts w:eastAsia="SimSun"/>
              </w:rPr>
            </w:pPr>
            <w:r w:rsidRPr="00AC3044">
              <w:rPr>
                <w:rFonts w:eastAsia="SimSun"/>
              </w:rPr>
              <w:t>100 мг/м</w:t>
            </w:r>
            <w:r w:rsidRPr="001E6DBE">
              <w:rPr>
                <w:rFonts w:eastAsia="SimSun"/>
                <w:vertAlign w:val="superscript"/>
              </w:rPr>
              <w:t>2</w:t>
            </w:r>
            <w:r w:rsidRPr="00AC3044">
              <w:rPr>
                <w:rFonts w:eastAsia="SimSun"/>
              </w:rPr>
              <w:t xml:space="preserve"> </w:t>
            </w:r>
          </w:p>
        </w:tc>
        <w:tc>
          <w:tcPr>
            <w:tcW w:w="1701" w:type="dxa"/>
            <w:vAlign w:val="center"/>
          </w:tcPr>
          <w:p w14:paraId="4B93BBC6" w14:textId="77777777" w:rsidR="00304132" w:rsidRPr="00AC3044" w:rsidRDefault="00304132" w:rsidP="00CD5E09">
            <w:pPr>
              <w:rPr>
                <w:rFonts w:eastAsia="SimSun"/>
              </w:rPr>
            </w:pPr>
            <w:r w:rsidRPr="00AC3044">
              <w:rPr>
                <w:rFonts w:eastAsia="SimSun"/>
              </w:rPr>
              <w:t>100 мг/м</w:t>
            </w:r>
            <w:r w:rsidRPr="001E6DBE">
              <w:rPr>
                <w:rFonts w:eastAsia="SimSun"/>
                <w:vertAlign w:val="superscript"/>
              </w:rPr>
              <w:t>2</w:t>
            </w:r>
          </w:p>
        </w:tc>
        <w:tc>
          <w:tcPr>
            <w:tcW w:w="1418" w:type="dxa"/>
            <w:vAlign w:val="center"/>
          </w:tcPr>
          <w:p w14:paraId="7D976D92" w14:textId="77777777" w:rsidR="00304132" w:rsidRPr="00AC3044" w:rsidRDefault="00304132" w:rsidP="00CD5E09">
            <w:pPr>
              <w:rPr>
                <w:rFonts w:eastAsia="SimSun"/>
              </w:rPr>
            </w:pPr>
            <w:r w:rsidRPr="00AC3044">
              <w:rPr>
                <w:rFonts w:eastAsia="SimSun"/>
              </w:rPr>
              <w:t xml:space="preserve">В -2 день </w:t>
            </w:r>
          </w:p>
        </w:tc>
        <w:tc>
          <w:tcPr>
            <w:tcW w:w="2268" w:type="dxa"/>
            <w:vAlign w:val="center"/>
          </w:tcPr>
          <w:p w14:paraId="355387A8" w14:textId="77777777" w:rsidR="00304132" w:rsidRPr="00AC3044" w:rsidRDefault="00304132" w:rsidP="00CD5E09">
            <w:pPr>
              <w:rPr>
                <w:rFonts w:eastAsia="SimSun"/>
              </w:rPr>
            </w:pPr>
            <w:r w:rsidRPr="00AC3044">
              <w:rPr>
                <w:rFonts w:eastAsia="SimSun"/>
              </w:rPr>
              <w:t>В/в, в течение 1 часа</w:t>
            </w:r>
          </w:p>
        </w:tc>
      </w:tr>
      <w:tr w:rsidR="00304132" w:rsidRPr="00AC3044" w14:paraId="0750FD14" w14:textId="77777777" w:rsidTr="00CD5E09">
        <w:trPr>
          <w:cantSplit/>
          <w:trHeight w:val="516"/>
        </w:trPr>
        <w:tc>
          <w:tcPr>
            <w:tcW w:w="959" w:type="dxa"/>
            <w:vMerge w:val="restart"/>
            <w:textDirection w:val="btLr"/>
            <w:vAlign w:val="center"/>
          </w:tcPr>
          <w:p w14:paraId="5B2317B9" w14:textId="77777777" w:rsidR="00304132" w:rsidRPr="00AC3044" w:rsidRDefault="00304132" w:rsidP="00CD5E09">
            <w:pPr>
              <w:rPr>
                <w:rFonts w:eastAsia="SimSun"/>
              </w:rPr>
            </w:pPr>
            <w:r w:rsidRPr="00AC3044">
              <w:rPr>
                <w:rFonts w:eastAsia="SimSun"/>
              </w:rPr>
              <w:t>Профилактика РТПХ</w:t>
            </w:r>
          </w:p>
        </w:tc>
        <w:tc>
          <w:tcPr>
            <w:tcW w:w="1701" w:type="dxa"/>
            <w:vAlign w:val="center"/>
          </w:tcPr>
          <w:p w14:paraId="6C51F6E3" w14:textId="77777777" w:rsidR="00304132" w:rsidRPr="00AC3044" w:rsidRDefault="00304132" w:rsidP="00CD5E09">
            <w:pPr>
              <w:rPr>
                <w:rFonts w:eastAsia="SimSun"/>
              </w:rPr>
            </w:pPr>
            <w:r w:rsidRPr="00AC3044">
              <w:rPr>
                <w:rFonts w:eastAsia="SimSun"/>
              </w:rPr>
              <w:t>Циклофосфамид</w:t>
            </w:r>
          </w:p>
        </w:tc>
        <w:tc>
          <w:tcPr>
            <w:tcW w:w="1559" w:type="dxa"/>
            <w:vAlign w:val="center"/>
          </w:tcPr>
          <w:p w14:paraId="1F7944C6" w14:textId="77777777" w:rsidR="00304132" w:rsidRPr="00AC3044" w:rsidRDefault="00304132" w:rsidP="00CD5E09">
            <w:pPr>
              <w:rPr>
                <w:rFonts w:eastAsia="SimSun"/>
              </w:rPr>
            </w:pPr>
            <w:r w:rsidRPr="00AC3044">
              <w:rPr>
                <w:rFonts w:eastAsia="SimSun"/>
              </w:rPr>
              <w:t>50 мг/кг</w:t>
            </w:r>
          </w:p>
        </w:tc>
        <w:tc>
          <w:tcPr>
            <w:tcW w:w="1701" w:type="dxa"/>
            <w:vAlign w:val="center"/>
          </w:tcPr>
          <w:p w14:paraId="0A501F66" w14:textId="77777777" w:rsidR="00304132" w:rsidRPr="00AC3044" w:rsidRDefault="00304132" w:rsidP="00CD5E09">
            <w:pPr>
              <w:rPr>
                <w:rFonts w:eastAsia="SimSun"/>
              </w:rPr>
            </w:pPr>
            <w:r w:rsidRPr="00AC3044">
              <w:rPr>
                <w:rFonts w:eastAsia="SimSun"/>
              </w:rPr>
              <w:t>100 мг/кг</w:t>
            </w:r>
          </w:p>
        </w:tc>
        <w:tc>
          <w:tcPr>
            <w:tcW w:w="1418" w:type="dxa"/>
            <w:vAlign w:val="center"/>
          </w:tcPr>
          <w:p w14:paraId="3ED139C3" w14:textId="77777777" w:rsidR="00304132" w:rsidRPr="00AC3044" w:rsidRDefault="00304132" w:rsidP="00CD5E09">
            <w:pPr>
              <w:rPr>
                <w:rFonts w:eastAsia="SimSun"/>
              </w:rPr>
            </w:pPr>
            <w:r w:rsidRPr="00AC3044">
              <w:rPr>
                <w:rFonts w:eastAsia="SimSun"/>
              </w:rPr>
              <w:t xml:space="preserve">+3,+4 дни </w:t>
            </w:r>
          </w:p>
        </w:tc>
        <w:tc>
          <w:tcPr>
            <w:tcW w:w="2268" w:type="dxa"/>
            <w:vAlign w:val="center"/>
          </w:tcPr>
          <w:p w14:paraId="7BA1C008" w14:textId="77777777" w:rsidR="00304132" w:rsidRPr="00AC3044" w:rsidRDefault="00304132" w:rsidP="00CD5E09">
            <w:pPr>
              <w:rPr>
                <w:rFonts w:eastAsia="SimSun"/>
              </w:rPr>
            </w:pPr>
            <w:r w:rsidRPr="00AC3044">
              <w:rPr>
                <w:rFonts w:eastAsia="SimSun"/>
              </w:rPr>
              <w:t xml:space="preserve">В/в, в течение 2 ч </w:t>
            </w:r>
          </w:p>
        </w:tc>
      </w:tr>
      <w:tr w:rsidR="00304132" w:rsidRPr="00AC3044" w14:paraId="77BE9979" w14:textId="77777777" w:rsidTr="00CD5E09">
        <w:trPr>
          <w:cantSplit/>
          <w:trHeight w:val="958"/>
        </w:trPr>
        <w:tc>
          <w:tcPr>
            <w:tcW w:w="959" w:type="dxa"/>
            <w:vMerge/>
            <w:textDirection w:val="btLr"/>
            <w:vAlign w:val="center"/>
          </w:tcPr>
          <w:p w14:paraId="490999A5" w14:textId="77777777" w:rsidR="00304132" w:rsidRPr="00AC3044" w:rsidRDefault="00304132" w:rsidP="00CD5E09">
            <w:pPr>
              <w:rPr>
                <w:rFonts w:eastAsia="SimSun"/>
              </w:rPr>
            </w:pPr>
          </w:p>
        </w:tc>
        <w:tc>
          <w:tcPr>
            <w:tcW w:w="1701" w:type="dxa"/>
            <w:vAlign w:val="center"/>
          </w:tcPr>
          <w:p w14:paraId="10581D52" w14:textId="77777777" w:rsidR="00304132" w:rsidRPr="00AC3044" w:rsidRDefault="00304132" w:rsidP="00CD5E09">
            <w:pPr>
              <w:rPr>
                <w:rFonts w:eastAsia="SimSun"/>
              </w:rPr>
            </w:pPr>
            <w:r w:rsidRPr="00AC3044">
              <w:rPr>
                <w:rFonts w:eastAsia="SimSun"/>
              </w:rPr>
              <w:t xml:space="preserve">Такролимус </w:t>
            </w:r>
          </w:p>
        </w:tc>
        <w:tc>
          <w:tcPr>
            <w:tcW w:w="1559" w:type="dxa"/>
            <w:vAlign w:val="center"/>
          </w:tcPr>
          <w:p w14:paraId="1F69861E" w14:textId="77777777" w:rsidR="00304132" w:rsidRPr="00AC3044" w:rsidRDefault="00304132" w:rsidP="00CD5E09">
            <w:pPr>
              <w:rPr>
                <w:rFonts w:eastAsia="SimSun"/>
              </w:rPr>
            </w:pPr>
            <w:r w:rsidRPr="00AC3044">
              <w:rPr>
                <w:rFonts w:eastAsia="SimSun"/>
              </w:rPr>
              <w:t>0,03 мг/кг</w:t>
            </w:r>
          </w:p>
        </w:tc>
        <w:tc>
          <w:tcPr>
            <w:tcW w:w="1701" w:type="dxa"/>
            <w:vAlign w:val="center"/>
          </w:tcPr>
          <w:p w14:paraId="2E4AF0A3" w14:textId="77777777" w:rsidR="00304132" w:rsidRPr="00AC3044" w:rsidRDefault="00304132" w:rsidP="00CD5E09">
            <w:pPr>
              <w:rPr>
                <w:rFonts w:eastAsia="SimSun"/>
              </w:rPr>
            </w:pPr>
            <w:r w:rsidRPr="00AC3044">
              <w:rPr>
                <w:rFonts w:eastAsia="SimSun"/>
              </w:rPr>
              <w:t>–</w:t>
            </w:r>
          </w:p>
        </w:tc>
        <w:tc>
          <w:tcPr>
            <w:tcW w:w="1418" w:type="dxa"/>
            <w:vAlign w:val="center"/>
          </w:tcPr>
          <w:p w14:paraId="0BFE587D" w14:textId="77777777" w:rsidR="00304132" w:rsidRPr="00AC3044" w:rsidRDefault="00304132" w:rsidP="00CD5E09">
            <w:pPr>
              <w:rPr>
                <w:rFonts w:eastAsia="SimSun"/>
              </w:rPr>
            </w:pPr>
            <w:r w:rsidRPr="00AC3044">
              <w:rPr>
                <w:rFonts w:eastAsia="SimSun"/>
              </w:rPr>
              <w:t xml:space="preserve">С -1 дня длительно </w:t>
            </w:r>
          </w:p>
        </w:tc>
        <w:tc>
          <w:tcPr>
            <w:tcW w:w="2268" w:type="dxa"/>
            <w:vAlign w:val="center"/>
          </w:tcPr>
          <w:p w14:paraId="37955A86" w14:textId="77777777" w:rsidR="00304132" w:rsidRPr="00AC3044" w:rsidRDefault="00304132" w:rsidP="00CD5E09">
            <w:pPr>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 </w:t>
            </w:r>
            <w:r w:rsidRPr="00AC3044">
              <w:rPr>
                <w:rFonts w:eastAsia="SimSun"/>
              </w:rPr>
              <w:t>10</w:t>
            </w:r>
            <w:r w:rsidRPr="001E6DBE">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304132" w:rsidRPr="00AC3044" w14:paraId="74BCCEB6" w14:textId="77777777" w:rsidTr="00CD5E09">
        <w:trPr>
          <w:cantSplit/>
          <w:trHeight w:val="986"/>
        </w:trPr>
        <w:tc>
          <w:tcPr>
            <w:tcW w:w="959" w:type="dxa"/>
            <w:vMerge/>
            <w:textDirection w:val="btLr"/>
            <w:vAlign w:val="center"/>
          </w:tcPr>
          <w:p w14:paraId="6612AC25" w14:textId="77777777" w:rsidR="00304132" w:rsidRPr="00AC3044" w:rsidRDefault="00304132" w:rsidP="00CD5E09">
            <w:pPr>
              <w:rPr>
                <w:rFonts w:eastAsia="SimSun"/>
              </w:rPr>
            </w:pPr>
          </w:p>
        </w:tc>
        <w:tc>
          <w:tcPr>
            <w:tcW w:w="1701" w:type="dxa"/>
            <w:vAlign w:val="center"/>
          </w:tcPr>
          <w:p w14:paraId="7562E493" w14:textId="77777777" w:rsidR="00304132" w:rsidRPr="00AC3044" w:rsidRDefault="00304132" w:rsidP="00CD5E09">
            <w:pPr>
              <w:rPr>
                <w:rFonts w:eastAsia="SimSun"/>
              </w:rPr>
            </w:pPr>
            <w:r w:rsidRPr="00AC3044">
              <w:rPr>
                <w:rFonts w:eastAsia="SimSun"/>
              </w:rPr>
              <w:t>Микофенолата мофетил</w:t>
            </w:r>
          </w:p>
        </w:tc>
        <w:tc>
          <w:tcPr>
            <w:tcW w:w="1559" w:type="dxa"/>
            <w:vAlign w:val="center"/>
          </w:tcPr>
          <w:p w14:paraId="6DE7D323" w14:textId="77777777" w:rsidR="00304132" w:rsidRPr="00AC3044" w:rsidRDefault="00304132" w:rsidP="00CD5E09">
            <w:pPr>
              <w:rPr>
                <w:rFonts w:eastAsia="SimSun"/>
              </w:rPr>
            </w:pPr>
            <w:r w:rsidRPr="00AC3044">
              <w:rPr>
                <w:rFonts w:eastAsia="SimSun"/>
              </w:rPr>
              <w:t xml:space="preserve">30 мг/кг </w:t>
            </w:r>
          </w:p>
        </w:tc>
        <w:tc>
          <w:tcPr>
            <w:tcW w:w="1701" w:type="dxa"/>
            <w:vAlign w:val="center"/>
          </w:tcPr>
          <w:p w14:paraId="719BC9BE" w14:textId="77777777" w:rsidR="00304132" w:rsidRPr="00AC3044" w:rsidRDefault="00304132" w:rsidP="00CD5E09">
            <w:pPr>
              <w:rPr>
                <w:rFonts w:eastAsia="SimSun"/>
              </w:rPr>
            </w:pPr>
            <w:r w:rsidRPr="00AC3044">
              <w:rPr>
                <w:rFonts w:eastAsia="SimSun"/>
              </w:rPr>
              <w:t>–</w:t>
            </w:r>
          </w:p>
        </w:tc>
        <w:tc>
          <w:tcPr>
            <w:tcW w:w="1418" w:type="dxa"/>
            <w:vAlign w:val="center"/>
          </w:tcPr>
          <w:p w14:paraId="00976AC0" w14:textId="77777777" w:rsidR="00304132" w:rsidRPr="00AC3044" w:rsidRDefault="00304132" w:rsidP="00CD5E09">
            <w:pPr>
              <w:rPr>
                <w:rFonts w:eastAsia="SimSun"/>
              </w:rPr>
            </w:pPr>
            <w:r w:rsidRPr="00AC3044">
              <w:rPr>
                <w:rFonts w:eastAsia="SimSun"/>
              </w:rPr>
              <w:t xml:space="preserve">С -1 дня по +30 день </w:t>
            </w:r>
          </w:p>
        </w:tc>
        <w:tc>
          <w:tcPr>
            <w:tcW w:w="2268" w:type="dxa"/>
            <w:vAlign w:val="center"/>
          </w:tcPr>
          <w:p w14:paraId="4BE6EA71" w14:textId="77777777" w:rsidR="00304132" w:rsidRPr="00AC3044" w:rsidRDefault="00304132" w:rsidP="00CD5E09">
            <w:pPr>
              <w:rPr>
                <w:rFonts w:eastAsia="SimSun"/>
              </w:rPr>
            </w:pPr>
            <w:r w:rsidRPr="00AC3044">
              <w:rPr>
                <w:rFonts w:eastAsia="SimSun"/>
              </w:rPr>
              <w:t xml:space="preserve">Внутрь, суммарная суточная доза разделяется на 2- 4 приема (не более 3г/сут).  </w:t>
            </w:r>
          </w:p>
        </w:tc>
      </w:tr>
    </w:tbl>
    <w:p w14:paraId="0A53035F" w14:textId="77777777" w:rsidR="00304132" w:rsidRPr="00C07B2E" w:rsidRDefault="00304132" w:rsidP="00304132">
      <w:pPr>
        <w:rPr>
          <w:rFonts w:eastAsia="SimSun"/>
        </w:rPr>
        <w:sectPr w:rsidR="00304132" w:rsidRPr="00C07B2E" w:rsidSect="00CD5E09">
          <w:footerReference w:type="default" r:id="rId17"/>
          <w:type w:val="continuous"/>
          <w:pgSz w:w="11907" w:h="16839" w:code="9"/>
          <w:pgMar w:top="1134" w:right="850" w:bottom="1134" w:left="1701" w:header="709" w:footer="567" w:gutter="0"/>
          <w:cols w:space="708"/>
          <w:docGrid w:linePitch="360"/>
        </w:sectPr>
      </w:pPr>
    </w:p>
    <w:p w14:paraId="2DB512AD" w14:textId="77777777" w:rsidR="00304132" w:rsidRDefault="00304132" w:rsidP="00304132">
      <w:pPr>
        <w:rPr>
          <w:rFonts w:eastAsia="SimSun"/>
        </w:rPr>
      </w:pPr>
      <w:bookmarkStart w:id="328" w:name="_Toc44401183"/>
    </w:p>
    <w:p w14:paraId="169A5569" w14:textId="77777777" w:rsidR="00304132" w:rsidRPr="00470E23" w:rsidRDefault="00304132" w:rsidP="00304132">
      <w:pPr>
        <w:rPr>
          <w:rFonts w:eastAsia="SimSun"/>
          <w:i/>
          <w:u w:val="single"/>
        </w:rPr>
      </w:pPr>
      <w:r w:rsidRPr="00470E23">
        <w:rPr>
          <w:rFonts w:eastAsia="SimSun"/>
          <w:i/>
          <w:u w:val="single"/>
        </w:rPr>
        <w:t>2. Неродственный HLA-идентичный донор</w:t>
      </w:r>
      <w:bookmarkEnd w:id="328"/>
      <w:r w:rsidRPr="00470E23">
        <w:rPr>
          <w:rFonts w:eastAsia="SimSun"/>
          <w:i/>
          <w:u w:val="single"/>
        </w:rPr>
        <w:t xml:space="preserve"> </w:t>
      </w:r>
    </w:p>
    <w:p w14:paraId="39CB5976" w14:textId="77777777" w:rsidR="00304132" w:rsidRDefault="00304132" w:rsidP="00304132">
      <w:pPr>
        <w:rPr>
          <w:rFonts w:eastAsia="SimSun"/>
        </w:rPr>
      </w:pPr>
      <w:bookmarkStart w:id="329" w:name="_Toc44401184"/>
    </w:p>
    <w:bookmarkEnd w:id="329"/>
    <w:p w14:paraId="4933E62C" w14:textId="77777777" w:rsidR="00304132" w:rsidRPr="00C07B2E" w:rsidRDefault="00304132" w:rsidP="00304132">
      <w:pPr>
        <w:rPr>
          <w:rFonts w:eastAsia="SimSun"/>
        </w:rPr>
      </w:pPr>
      <w:r w:rsidRPr="00C07B2E">
        <w:rPr>
          <w:rFonts w:eastAsia="SimSun"/>
        </w:rPr>
        <w:t xml:space="preserve">Схемы и режимы применения препаратов для </w:t>
      </w:r>
      <w:r w:rsidRPr="00470E23">
        <w:rPr>
          <w:rFonts w:eastAsia="SimSun"/>
          <w:b/>
          <w:u w:val="single"/>
        </w:rPr>
        <w:t>кондиционирования в миелоаблативном режиме</w:t>
      </w:r>
      <w:r w:rsidRPr="00C07B2E">
        <w:rPr>
          <w:rFonts w:eastAsia="SimSun"/>
        </w:rPr>
        <w:t xml:space="preserve"> и профилактики РТПХ указаны в Таблице </w:t>
      </w:r>
      <w:r>
        <w:rPr>
          <w:rFonts w:eastAsia="SimSun"/>
        </w:rPr>
        <w:t>5.</w:t>
      </w:r>
      <w:r w:rsidRPr="00C07B2E">
        <w:rPr>
          <w:rFonts w:eastAsia="SimSun"/>
        </w:rPr>
        <w:t>2.1</w:t>
      </w:r>
    </w:p>
    <w:p w14:paraId="67120BCF" w14:textId="77777777" w:rsidR="00304132" w:rsidRPr="00C07B2E" w:rsidRDefault="00304132" w:rsidP="00304132">
      <w:pPr>
        <w:rPr>
          <w:rFonts w:eastAsia="SimSun"/>
        </w:rPr>
        <w:sectPr w:rsidR="00304132" w:rsidRPr="00C07B2E" w:rsidSect="00CD5E09">
          <w:headerReference w:type="even" r:id="rId18"/>
          <w:type w:val="continuous"/>
          <w:pgSz w:w="11907" w:h="16839" w:code="9"/>
          <w:pgMar w:top="1134" w:right="850" w:bottom="1134" w:left="1701" w:header="709" w:footer="567" w:gutter="0"/>
          <w:cols w:space="708"/>
          <w:docGrid w:linePitch="360"/>
        </w:sectPr>
      </w:pPr>
    </w:p>
    <w:p w14:paraId="3A5BFEA2" w14:textId="77777777" w:rsidR="00304132" w:rsidRPr="00C07B2E" w:rsidRDefault="00304132" w:rsidP="00304132">
      <w:pPr>
        <w:rPr>
          <w:rFonts w:eastAsia="SimSun"/>
        </w:rPr>
      </w:pPr>
      <w:r w:rsidRPr="00C07B2E">
        <w:rPr>
          <w:rFonts w:eastAsia="SimSun"/>
        </w:rPr>
        <w:lastRenderedPageBreak/>
        <w:t xml:space="preserve">Таблица </w:t>
      </w:r>
      <w:r>
        <w:rPr>
          <w:rFonts w:eastAsia="SimSun"/>
        </w:rPr>
        <w:t>5.</w:t>
      </w:r>
      <w:r w:rsidRPr="00C07B2E">
        <w:rPr>
          <w:rFonts w:eastAsia="SimSun"/>
        </w:rPr>
        <w:t xml:space="preserve">2.1 Схемы и режимы применения препаратов для кондиционирования и профилактики РТПХ со ссылками на </w:t>
      </w:r>
      <w:r>
        <w:rPr>
          <w:rFonts w:eastAsia="SimSun"/>
        </w:rPr>
        <w:t>таблицы с описанием</w:t>
      </w:r>
    </w:p>
    <w:p w14:paraId="76445F0B" w14:textId="77777777" w:rsidR="00304132" w:rsidRPr="00C07B2E" w:rsidRDefault="00304132" w:rsidP="00304132">
      <w:pPr>
        <w:rPr>
          <w:rFonts w:eastAsia="SimSun"/>
        </w:rPr>
      </w:pPr>
    </w:p>
    <w:tbl>
      <w:tblPr>
        <w:tblW w:w="494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9"/>
        <w:gridCol w:w="1346"/>
        <w:gridCol w:w="1450"/>
        <w:gridCol w:w="2017"/>
        <w:gridCol w:w="2116"/>
        <w:gridCol w:w="1913"/>
        <w:gridCol w:w="2113"/>
        <w:gridCol w:w="1603"/>
      </w:tblGrid>
      <w:tr w:rsidR="00304132" w:rsidRPr="00470E23" w14:paraId="35389060" w14:textId="77777777" w:rsidTr="00CD5E09">
        <w:trPr>
          <w:cantSplit/>
          <w:trHeight w:val="640"/>
        </w:trPr>
        <w:tc>
          <w:tcPr>
            <w:tcW w:w="2255" w:type="pct"/>
            <w:gridSpan w:val="4"/>
            <w:vMerge w:val="restart"/>
            <w:shd w:val="clear" w:color="auto" w:fill="auto"/>
            <w:vAlign w:val="center"/>
          </w:tcPr>
          <w:p w14:paraId="37FF332A" w14:textId="77777777" w:rsidR="00304132" w:rsidRPr="00470E23" w:rsidRDefault="00304132" w:rsidP="00CD5E09">
            <w:pPr>
              <w:rPr>
                <w:rFonts w:eastAsia="SimSun"/>
              </w:rPr>
            </w:pPr>
            <w:r w:rsidRPr="00470E23">
              <w:rPr>
                <w:rFonts w:eastAsia="SimSun"/>
              </w:rPr>
              <w:t>Профилактика РТПХ</w:t>
            </w:r>
          </w:p>
        </w:tc>
        <w:tc>
          <w:tcPr>
            <w:tcW w:w="2745" w:type="pct"/>
            <w:gridSpan w:val="4"/>
            <w:tcBorders>
              <w:left w:val="single" w:sz="4" w:space="0" w:color="00000A"/>
              <w:right w:val="single" w:sz="4" w:space="0" w:color="00000A"/>
            </w:tcBorders>
            <w:shd w:val="clear" w:color="auto" w:fill="auto"/>
          </w:tcPr>
          <w:p w14:paraId="545AA9FF" w14:textId="77777777" w:rsidR="00304132" w:rsidRPr="00470E23" w:rsidRDefault="00304132" w:rsidP="00CD5E09">
            <w:pPr>
              <w:rPr>
                <w:rFonts w:eastAsia="SimSun"/>
              </w:rPr>
            </w:pPr>
            <w:r w:rsidRPr="00470E23">
              <w:rPr>
                <w:rFonts w:eastAsia="SimSun"/>
              </w:rPr>
              <w:t>Режим кондиционирования</w:t>
            </w:r>
          </w:p>
        </w:tc>
      </w:tr>
      <w:tr w:rsidR="00304132" w:rsidRPr="00470E23" w14:paraId="727E52D7" w14:textId="77777777" w:rsidTr="00CD5E09">
        <w:trPr>
          <w:cantSplit/>
          <w:trHeight w:val="549"/>
        </w:trPr>
        <w:tc>
          <w:tcPr>
            <w:tcW w:w="2255" w:type="pct"/>
            <w:gridSpan w:val="4"/>
            <w:vMerge/>
            <w:shd w:val="clear" w:color="auto" w:fill="auto"/>
            <w:vAlign w:val="center"/>
          </w:tcPr>
          <w:p w14:paraId="56078C90" w14:textId="77777777" w:rsidR="00304132" w:rsidRPr="00470E23" w:rsidRDefault="00304132" w:rsidP="00CD5E09">
            <w:pPr>
              <w:rPr>
                <w:rFonts w:eastAsia="SimSun"/>
              </w:rPr>
            </w:pPr>
          </w:p>
        </w:tc>
        <w:tc>
          <w:tcPr>
            <w:tcW w:w="750" w:type="pct"/>
            <w:shd w:val="clear" w:color="auto" w:fill="D9D9D9"/>
            <w:vAlign w:val="center"/>
          </w:tcPr>
          <w:p w14:paraId="7AA85A68" w14:textId="77777777" w:rsidR="00304132" w:rsidRPr="00470E23" w:rsidRDefault="00304132" w:rsidP="00CD5E09">
            <w:pPr>
              <w:rPr>
                <w:rFonts w:eastAsia="SimSun"/>
              </w:rPr>
            </w:pPr>
            <w:r w:rsidRPr="00470E23">
              <w:rPr>
                <w:rFonts w:eastAsia="SimSun"/>
              </w:rPr>
              <w:t>Cy120</w:t>
            </w:r>
          </w:p>
        </w:tc>
        <w:tc>
          <w:tcPr>
            <w:tcW w:w="1995" w:type="pct"/>
            <w:gridSpan w:val="3"/>
            <w:shd w:val="clear" w:color="auto" w:fill="D9D9D9"/>
            <w:vAlign w:val="center"/>
          </w:tcPr>
          <w:p w14:paraId="27A14FC7" w14:textId="77777777" w:rsidR="00304132" w:rsidRPr="00470E23" w:rsidRDefault="00304132" w:rsidP="00CD5E09">
            <w:pPr>
              <w:rPr>
                <w:rFonts w:eastAsia="SimSun"/>
              </w:rPr>
            </w:pPr>
            <w:r w:rsidRPr="00470E23">
              <w:rPr>
                <w:rFonts w:eastAsia="SimSun"/>
              </w:rPr>
              <w:t>Flu180</w:t>
            </w:r>
          </w:p>
        </w:tc>
      </w:tr>
      <w:tr w:rsidR="00304132" w:rsidRPr="00470E23" w14:paraId="4362D82D" w14:textId="77777777" w:rsidTr="00CD5E09">
        <w:trPr>
          <w:cantSplit/>
          <w:trHeight w:val="571"/>
        </w:trPr>
        <w:tc>
          <w:tcPr>
            <w:tcW w:w="2255" w:type="pct"/>
            <w:gridSpan w:val="4"/>
            <w:vMerge/>
            <w:shd w:val="clear" w:color="auto" w:fill="auto"/>
            <w:vAlign w:val="center"/>
          </w:tcPr>
          <w:p w14:paraId="733D023B" w14:textId="77777777" w:rsidR="00304132" w:rsidRPr="00470E23" w:rsidRDefault="00304132" w:rsidP="00CD5E09">
            <w:pPr>
              <w:rPr>
                <w:rFonts w:eastAsia="SimSun"/>
              </w:rPr>
            </w:pPr>
          </w:p>
        </w:tc>
        <w:tc>
          <w:tcPr>
            <w:tcW w:w="750" w:type="pct"/>
            <w:shd w:val="clear" w:color="auto" w:fill="D9D9D9"/>
            <w:vAlign w:val="center"/>
          </w:tcPr>
          <w:p w14:paraId="068B82A7" w14:textId="77777777" w:rsidR="00304132" w:rsidRPr="00470E23" w:rsidRDefault="00304132" w:rsidP="00CD5E09">
            <w:pPr>
              <w:rPr>
                <w:rFonts w:eastAsia="SimSun"/>
              </w:rPr>
            </w:pPr>
            <w:r w:rsidRPr="00470E23">
              <w:rPr>
                <w:rFonts w:eastAsia="SimSun"/>
              </w:rPr>
              <w:t>Bu12</w:t>
            </w:r>
          </w:p>
        </w:tc>
        <w:tc>
          <w:tcPr>
            <w:tcW w:w="678" w:type="pct"/>
            <w:shd w:val="clear" w:color="auto" w:fill="D9D9D9"/>
            <w:vAlign w:val="center"/>
          </w:tcPr>
          <w:p w14:paraId="312005D4" w14:textId="77777777" w:rsidR="00304132" w:rsidRPr="00470E23" w:rsidRDefault="00304132" w:rsidP="00CD5E09">
            <w:pPr>
              <w:rPr>
                <w:rFonts w:eastAsia="SimSun"/>
              </w:rPr>
            </w:pPr>
            <w:r w:rsidRPr="00470E23">
              <w:rPr>
                <w:rFonts w:eastAsia="SimSun"/>
              </w:rPr>
              <w:t>Bu12</w:t>
            </w:r>
          </w:p>
        </w:tc>
        <w:tc>
          <w:tcPr>
            <w:tcW w:w="749" w:type="pct"/>
            <w:shd w:val="clear" w:color="auto" w:fill="D9D9D9"/>
            <w:vAlign w:val="center"/>
          </w:tcPr>
          <w:p w14:paraId="348C6298" w14:textId="77777777" w:rsidR="00304132" w:rsidRPr="00470E23" w:rsidRDefault="00304132" w:rsidP="00CD5E09">
            <w:pPr>
              <w:rPr>
                <w:rFonts w:eastAsia="SimSun"/>
              </w:rPr>
            </w:pPr>
            <w:r w:rsidRPr="00470E23">
              <w:rPr>
                <w:rFonts w:eastAsia="SimSun"/>
              </w:rPr>
              <w:t>Bu14</w:t>
            </w:r>
          </w:p>
        </w:tc>
        <w:tc>
          <w:tcPr>
            <w:tcW w:w="568" w:type="pct"/>
            <w:shd w:val="clear" w:color="auto" w:fill="D9D9D9"/>
            <w:vAlign w:val="center"/>
          </w:tcPr>
          <w:p w14:paraId="08AF2D20" w14:textId="77777777" w:rsidR="00304132" w:rsidRPr="00470E23" w:rsidRDefault="00304132" w:rsidP="00CD5E09">
            <w:pPr>
              <w:rPr>
                <w:rFonts w:eastAsia="SimSun"/>
              </w:rPr>
            </w:pPr>
            <w:r w:rsidRPr="00470E23">
              <w:rPr>
                <w:rFonts w:eastAsia="SimSun"/>
              </w:rPr>
              <w:t>Treo42</w:t>
            </w:r>
          </w:p>
        </w:tc>
      </w:tr>
      <w:tr w:rsidR="00304132" w:rsidRPr="00470E23" w14:paraId="08A60305" w14:textId="77777777" w:rsidTr="00CD5E09">
        <w:trPr>
          <w:cantSplit/>
          <w:trHeight w:val="551"/>
        </w:trPr>
        <w:tc>
          <w:tcPr>
            <w:tcW w:w="2255" w:type="pct"/>
            <w:gridSpan w:val="4"/>
            <w:vMerge/>
            <w:shd w:val="clear" w:color="auto" w:fill="auto"/>
            <w:vAlign w:val="center"/>
          </w:tcPr>
          <w:p w14:paraId="420C0EFD" w14:textId="77777777" w:rsidR="00304132" w:rsidRPr="00470E23" w:rsidRDefault="00304132" w:rsidP="00CD5E09">
            <w:pPr>
              <w:rPr>
                <w:rFonts w:eastAsia="SimSun"/>
              </w:rPr>
            </w:pPr>
          </w:p>
        </w:tc>
        <w:tc>
          <w:tcPr>
            <w:tcW w:w="750" w:type="pct"/>
            <w:shd w:val="clear" w:color="auto" w:fill="D9D9D9"/>
            <w:vAlign w:val="center"/>
          </w:tcPr>
          <w:p w14:paraId="63A7D52D" w14:textId="77777777" w:rsidR="00304132" w:rsidRPr="00470E23" w:rsidRDefault="00304132" w:rsidP="00CD5E09">
            <w:pPr>
              <w:rPr>
                <w:rFonts w:eastAsia="SimSun"/>
              </w:rPr>
            </w:pPr>
            <w:r w:rsidRPr="00470E23">
              <w:rPr>
                <w:rFonts w:eastAsia="SimSun"/>
              </w:rPr>
              <w:t>-</w:t>
            </w:r>
          </w:p>
        </w:tc>
        <w:tc>
          <w:tcPr>
            <w:tcW w:w="678" w:type="pct"/>
            <w:shd w:val="clear" w:color="auto" w:fill="D9D9D9"/>
            <w:vAlign w:val="center"/>
          </w:tcPr>
          <w:p w14:paraId="38AA1450" w14:textId="77777777" w:rsidR="00304132" w:rsidRPr="00470E23" w:rsidRDefault="00304132" w:rsidP="00CD5E09">
            <w:pPr>
              <w:rPr>
                <w:rFonts w:eastAsia="SimSun"/>
              </w:rPr>
            </w:pPr>
            <w:r w:rsidRPr="00470E23">
              <w:rPr>
                <w:rFonts w:eastAsia="SimSun"/>
              </w:rPr>
              <w:t>-</w:t>
            </w:r>
          </w:p>
        </w:tc>
        <w:tc>
          <w:tcPr>
            <w:tcW w:w="749" w:type="pct"/>
            <w:shd w:val="clear" w:color="auto" w:fill="D9D9D9"/>
            <w:vAlign w:val="center"/>
          </w:tcPr>
          <w:p w14:paraId="6FDA094A" w14:textId="77777777" w:rsidR="00304132" w:rsidRPr="00470E23" w:rsidRDefault="00304132" w:rsidP="00CD5E09">
            <w:pPr>
              <w:rPr>
                <w:rFonts w:eastAsia="SimSun"/>
              </w:rPr>
            </w:pPr>
            <w:r w:rsidRPr="00470E23">
              <w:rPr>
                <w:rFonts w:eastAsia="SimSun"/>
              </w:rPr>
              <w:t>-</w:t>
            </w:r>
          </w:p>
        </w:tc>
        <w:tc>
          <w:tcPr>
            <w:tcW w:w="568" w:type="pct"/>
            <w:shd w:val="clear" w:color="auto" w:fill="D9D9D9"/>
            <w:vAlign w:val="center"/>
          </w:tcPr>
          <w:p w14:paraId="1AA35FFC" w14:textId="77777777" w:rsidR="00304132" w:rsidRPr="00470E23" w:rsidRDefault="00304132" w:rsidP="00CD5E09">
            <w:pPr>
              <w:rPr>
                <w:rFonts w:eastAsia="SimSun"/>
              </w:rPr>
            </w:pPr>
            <w:r w:rsidRPr="00470E23">
              <w:rPr>
                <w:rFonts w:eastAsia="SimSun"/>
              </w:rPr>
              <w:t>-</w:t>
            </w:r>
          </w:p>
        </w:tc>
      </w:tr>
      <w:tr w:rsidR="00304132" w:rsidRPr="00470E23" w14:paraId="4E4918F0" w14:textId="77777777" w:rsidTr="00CD5E09">
        <w:trPr>
          <w:cantSplit/>
          <w:trHeight w:val="850"/>
        </w:trPr>
        <w:tc>
          <w:tcPr>
            <w:tcW w:w="549" w:type="pct"/>
            <w:tcBorders>
              <w:bottom w:val="single" w:sz="4" w:space="0" w:color="00000A"/>
            </w:tcBorders>
            <w:shd w:val="clear" w:color="auto" w:fill="D9D9D9"/>
            <w:vAlign w:val="center"/>
          </w:tcPr>
          <w:p w14:paraId="63CE7A55" w14:textId="77777777" w:rsidR="00304132" w:rsidRPr="00470E23" w:rsidRDefault="00304132" w:rsidP="00CD5E09">
            <w:pPr>
              <w:rPr>
                <w:rFonts w:eastAsia="SimSun"/>
              </w:rPr>
            </w:pPr>
            <w:r w:rsidRPr="00470E23">
              <w:rPr>
                <w:rFonts w:eastAsia="SimSun"/>
              </w:rPr>
              <w:t>hATG</w:t>
            </w:r>
          </w:p>
        </w:tc>
        <w:tc>
          <w:tcPr>
            <w:tcW w:w="477" w:type="pct"/>
            <w:shd w:val="clear" w:color="auto" w:fill="D9D9D9"/>
            <w:vAlign w:val="center"/>
          </w:tcPr>
          <w:p w14:paraId="0337EC78" w14:textId="77777777" w:rsidR="00304132" w:rsidRPr="00470E23" w:rsidRDefault="00304132" w:rsidP="00CD5E09">
            <w:pPr>
              <w:rPr>
                <w:rFonts w:eastAsia="SimSun"/>
              </w:rPr>
            </w:pPr>
            <w:r w:rsidRPr="00470E23">
              <w:rPr>
                <w:rFonts w:eastAsia="SimSun"/>
              </w:rPr>
              <w:t>CSA</w:t>
            </w:r>
          </w:p>
        </w:tc>
        <w:tc>
          <w:tcPr>
            <w:tcW w:w="514" w:type="pct"/>
            <w:shd w:val="clear" w:color="auto" w:fill="D9D9D9"/>
            <w:vAlign w:val="center"/>
          </w:tcPr>
          <w:p w14:paraId="1377660D" w14:textId="77777777" w:rsidR="00304132" w:rsidRPr="00470E23" w:rsidRDefault="00304132" w:rsidP="00CD5E09">
            <w:pPr>
              <w:rPr>
                <w:rFonts w:eastAsia="SimSun"/>
              </w:rPr>
            </w:pPr>
            <w:r w:rsidRPr="00470E23">
              <w:rPr>
                <w:rFonts w:eastAsia="SimSun"/>
              </w:rPr>
              <w:t>MTX</w:t>
            </w:r>
          </w:p>
        </w:tc>
        <w:tc>
          <w:tcPr>
            <w:tcW w:w="715" w:type="pct"/>
            <w:shd w:val="clear" w:color="auto" w:fill="D9D9D9"/>
            <w:vAlign w:val="center"/>
          </w:tcPr>
          <w:p w14:paraId="6692CBE0" w14:textId="77777777" w:rsidR="00304132" w:rsidRPr="00470E23" w:rsidRDefault="00304132" w:rsidP="00CD5E09">
            <w:pPr>
              <w:rPr>
                <w:rFonts w:eastAsia="SimSun"/>
              </w:rPr>
            </w:pPr>
            <w:r w:rsidRPr="00470E23">
              <w:rPr>
                <w:rFonts w:eastAsia="SimSun"/>
              </w:rPr>
              <w:t>MMF45</w:t>
            </w:r>
          </w:p>
        </w:tc>
        <w:tc>
          <w:tcPr>
            <w:tcW w:w="750" w:type="pct"/>
            <w:shd w:val="clear" w:color="auto" w:fill="auto"/>
            <w:vAlign w:val="center"/>
          </w:tcPr>
          <w:p w14:paraId="28A44856" w14:textId="77777777" w:rsidR="00304132" w:rsidRPr="00470E23" w:rsidRDefault="00304132" w:rsidP="00CD5E09">
            <w:pPr>
              <w:rPr>
                <w:rFonts w:eastAsia="SimSun"/>
              </w:rPr>
            </w:pPr>
            <w:r w:rsidRPr="00470E23">
              <w:rPr>
                <w:rFonts w:eastAsia="SimSun"/>
              </w:rPr>
              <w:t>5.2.1.1</w:t>
            </w:r>
          </w:p>
        </w:tc>
        <w:tc>
          <w:tcPr>
            <w:tcW w:w="678" w:type="pct"/>
            <w:shd w:val="clear" w:color="auto" w:fill="auto"/>
            <w:vAlign w:val="center"/>
          </w:tcPr>
          <w:p w14:paraId="4177DDAA" w14:textId="77777777" w:rsidR="00304132" w:rsidRPr="00470E23" w:rsidRDefault="00304132" w:rsidP="00CD5E09">
            <w:pPr>
              <w:rPr>
                <w:rFonts w:eastAsia="SimSun"/>
              </w:rPr>
            </w:pPr>
            <w:r w:rsidRPr="00470E23">
              <w:rPr>
                <w:rFonts w:eastAsia="SimSun"/>
              </w:rPr>
              <w:t>-</w:t>
            </w:r>
          </w:p>
        </w:tc>
        <w:tc>
          <w:tcPr>
            <w:tcW w:w="749" w:type="pct"/>
            <w:shd w:val="clear" w:color="auto" w:fill="auto"/>
            <w:vAlign w:val="center"/>
          </w:tcPr>
          <w:p w14:paraId="2E7F951B" w14:textId="77777777" w:rsidR="00304132" w:rsidRPr="00470E23" w:rsidRDefault="00304132" w:rsidP="00CD5E09">
            <w:pPr>
              <w:rPr>
                <w:rFonts w:eastAsia="SimSun"/>
              </w:rPr>
            </w:pPr>
            <w:r w:rsidRPr="00470E23">
              <w:rPr>
                <w:rFonts w:eastAsia="SimSun"/>
              </w:rPr>
              <w:t>-</w:t>
            </w:r>
          </w:p>
        </w:tc>
        <w:tc>
          <w:tcPr>
            <w:tcW w:w="568" w:type="pct"/>
            <w:shd w:val="clear" w:color="auto" w:fill="auto"/>
            <w:vAlign w:val="center"/>
          </w:tcPr>
          <w:p w14:paraId="6F87F82F" w14:textId="77777777" w:rsidR="00304132" w:rsidRPr="00470E23" w:rsidRDefault="00304132" w:rsidP="00CD5E09">
            <w:pPr>
              <w:rPr>
                <w:rFonts w:eastAsia="SimSun"/>
              </w:rPr>
            </w:pPr>
            <w:r w:rsidRPr="00470E23">
              <w:rPr>
                <w:rFonts w:eastAsia="SimSun"/>
              </w:rPr>
              <w:t>-</w:t>
            </w:r>
          </w:p>
        </w:tc>
      </w:tr>
      <w:tr w:rsidR="00304132" w:rsidRPr="00470E23" w14:paraId="60F46289" w14:textId="77777777" w:rsidTr="00CD5E09">
        <w:trPr>
          <w:cantSplit/>
          <w:trHeight w:val="850"/>
        </w:trPr>
        <w:tc>
          <w:tcPr>
            <w:tcW w:w="549" w:type="pct"/>
            <w:tcBorders>
              <w:top w:val="single" w:sz="4" w:space="0" w:color="00000A"/>
              <w:bottom w:val="single" w:sz="4" w:space="0" w:color="00000A"/>
            </w:tcBorders>
            <w:shd w:val="clear" w:color="auto" w:fill="D9D9D9"/>
            <w:vAlign w:val="center"/>
          </w:tcPr>
          <w:p w14:paraId="654E7E62" w14:textId="77777777" w:rsidR="00304132" w:rsidRPr="00470E23" w:rsidRDefault="00304132" w:rsidP="00CD5E09">
            <w:pPr>
              <w:rPr>
                <w:rFonts w:eastAsia="SimSun"/>
              </w:rPr>
            </w:pPr>
            <w:r w:rsidRPr="00470E23">
              <w:rPr>
                <w:rFonts w:eastAsia="SimSun"/>
              </w:rPr>
              <w:t>rATG</w:t>
            </w:r>
          </w:p>
        </w:tc>
        <w:tc>
          <w:tcPr>
            <w:tcW w:w="477" w:type="pct"/>
            <w:shd w:val="clear" w:color="auto" w:fill="D9D9D9"/>
            <w:vAlign w:val="center"/>
          </w:tcPr>
          <w:p w14:paraId="0F537595" w14:textId="77777777" w:rsidR="00304132" w:rsidRPr="00470E23" w:rsidRDefault="00304132" w:rsidP="00CD5E09">
            <w:pPr>
              <w:rPr>
                <w:rFonts w:eastAsia="SimSun"/>
              </w:rPr>
            </w:pPr>
            <w:r w:rsidRPr="00470E23">
              <w:rPr>
                <w:rFonts w:eastAsia="SimSun"/>
              </w:rPr>
              <w:t>CSA</w:t>
            </w:r>
          </w:p>
        </w:tc>
        <w:tc>
          <w:tcPr>
            <w:tcW w:w="514" w:type="pct"/>
            <w:shd w:val="clear" w:color="auto" w:fill="D9D9D9"/>
            <w:vAlign w:val="center"/>
          </w:tcPr>
          <w:p w14:paraId="0FD291E6" w14:textId="77777777" w:rsidR="00304132" w:rsidRPr="00470E23" w:rsidRDefault="00304132" w:rsidP="00CD5E09">
            <w:pPr>
              <w:rPr>
                <w:rFonts w:eastAsia="SimSun"/>
              </w:rPr>
            </w:pPr>
            <w:r w:rsidRPr="00470E23">
              <w:rPr>
                <w:rFonts w:eastAsia="SimSun"/>
              </w:rPr>
              <w:t>MTX</w:t>
            </w:r>
          </w:p>
        </w:tc>
        <w:tc>
          <w:tcPr>
            <w:tcW w:w="715" w:type="pct"/>
            <w:shd w:val="clear" w:color="auto" w:fill="D9D9D9"/>
            <w:vAlign w:val="center"/>
          </w:tcPr>
          <w:p w14:paraId="1C33E3F2" w14:textId="77777777" w:rsidR="00304132" w:rsidRPr="00470E23" w:rsidRDefault="00304132" w:rsidP="00CD5E09">
            <w:pPr>
              <w:rPr>
                <w:rFonts w:eastAsia="SimSun"/>
              </w:rPr>
            </w:pPr>
            <w:r w:rsidRPr="00470E23">
              <w:rPr>
                <w:rFonts w:eastAsia="SimSun"/>
              </w:rPr>
              <w:t>MMF45</w:t>
            </w:r>
          </w:p>
        </w:tc>
        <w:tc>
          <w:tcPr>
            <w:tcW w:w="750" w:type="pct"/>
            <w:shd w:val="clear" w:color="auto" w:fill="auto"/>
            <w:vAlign w:val="center"/>
          </w:tcPr>
          <w:p w14:paraId="0DBC8805" w14:textId="77777777" w:rsidR="00304132" w:rsidRPr="00470E23" w:rsidRDefault="00304132" w:rsidP="00CD5E09">
            <w:pPr>
              <w:rPr>
                <w:rFonts w:eastAsia="SimSun"/>
              </w:rPr>
            </w:pPr>
            <w:r w:rsidRPr="00470E23">
              <w:rPr>
                <w:rFonts w:eastAsia="SimSun"/>
              </w:rPr>
              <w:t>5.2.1.2</w:t>
            </w:r>
          </w:p>
        </w:tc>
        <w:tc>
          <w:tcPr>
            <w:tcW w:w="678" w:type="pct"/>
            <w:shd w:val="clear" w:color="auto" w:fill="auto"/>
            <w:vAlign w:val="center"/>
          </w:tcPr>
          <w:p w14:paraId="14BAD7C6" w14:textId="77777777" w:rsidR="00304132" w:rsidRPr="00470E23" w:rsidRDefault="00304132" w:rsidP="00CD5E09">
            <w:pPr>
              <w:rPr>
                <w:rFonts w:eastAsia="SimSun"/>
              </w:rPr>
            </w:pPr>
            <w:r w:rsidRPr="00470E23">
              <w:rPr>
                <w:rFonts w:eastAsia="SimSun"/>
              </w:rPr>
              <w:t>-</w:t>
            </w:r>
          </w:p>
        </w:tc>
        <w:tc>
          <w:tcPr>
            <w:tcW w:w="749" w:type="pct"/>
            <w:shd w:val="clear" w:color="auto" w:fill="auto"/>
            <w:vAlign w:val="center"/>
          </w:tcPr>
          <w:p w14:paraId="5EF483FF" w14:textId="77777777" w:rsidR="00304132" w:rsidRPr="00470E23" w:rsidRDefault="00304132" w:rsidP="00CD5E09">
            <w:pPr>
              <w:rPr>
                <w:rFonts w:eastAsia="SimSun"/>
              </w:rPr>
            </w:pPr>
            <w:r w:rsidRPr="00470E23">
              <w:rPr>
                <w:rFonts w:eastAsia="SimSun"/>
              </w:rPr>
              <w:t>-</w:t>
            </w:r>
          </w:p>
        </w:tc>
        <w:tc>
          <w:tcPr>
            <w:tcW w:w="568" w:type="pct"/>
            <w:shd w:val="clear" w:color="auto" w:fill="auto"/>
            <w:vAlign w:val="center"/>
          </w:tcPr>
          <w:p w14:paraId="6578A8E6" w14:textId="77777777" w:rsidR="00304132" w:rsidRPr="00470E23" w:rsidRDefault="00304132" w:rsidP="00CD5E09">
            <w:pPr>
              <w:rPr>
                <w:rFonts w:eastAsia="SimSun"/>
              </w:rPr>
            </w:pPr>
            <w:r w:rsidRPr="00470E23">
              <w:rPr>
                <w:rFonts w:eastAsia="SimSun"/>
              </w:rPr>
              <w:t>-</w:t>
            </w:r>
          </w:p>
        </w:tc>
      </w:tr>
      <w:tr w:rsidR="00304132" w:rsidRPr="00470E23" w14:paraId="0A738F4B" w14:textId="77777777" w:rsidTr="00CD5E09">
        <w:trPr>
          <w:cantSplit/>
          <w:trHeight w:val="850"/>
        </w:trPr>
        <w:tc>
          <w:tcPr>
            <w:tcW w:w="549" w:type="pct"/>
            <w:vMerge w:val="restart"/>
            <w:shd w:val="clear" w:color="auto" w:fill="D9D9D9"/>
            <w:vAlign w:val="center"/>
          </w:tcPr>
          <w:p w14:paraId="1A74F997" w14:textId="77777777" w:rsidR="00304132" w:rsidRPr="00470E23" w:rsidRDefault="00304132" w:rsidP="00CD5E09">
            <w:pPr>
              <w:rPr>
                <w:rFonts w:eastAsia="SimSun"/>
              </w:rPr>
            </w:pPr>
            <w:r w:rsidRPr="00470E23">
              <w:rPr>
                <w:rFonts w:eastAsia="SimSun"/>
              </w:rPr>
              <w:t>PT-Cy</w:t>
            </w:r>
          </w:p>
          <w:p w14:paraId="1497C4D7" w14:textId="77777777" w:rsidR="00304132" w:rsidRPr="00470E23" w:rsidRDefault="00304132" w:rsidP="00CD5E09">
            <w:pPr>
              <w:rPr>
                <w:rFonts w:eastAsia="SimSun"/>
              </w:rPr>
            </w:pPr>
          </w:p>
        </w:tc>
        <w:tc>
          <w:tcPr>
            <w:tcW w:w="477" w:type="pct"/>
            <w:shd w:val="clear" w:color="auto" w:fill="D9D9D9"/>
            <w:vAlign w:val="center"/>
          </w:tcPr>
          <w:p w14:paraId="1D671B50" w14:textId="77777777" w:rsidR="00304132" w:rsidRPr="00470E23" w:rsidRDefault="00304132" w:rsidP="00CD5E09">
            <w:pPr>
              <w:rPr>
                <w:rFonts w:eastAsia="SimSun"/>
              </w:rPr>
            </w:pPr>
            <w:r w:rsidRPr="00470E23">
              <w:rPr>
                <w:rFonts w:eastAsia="SimSun"/>
              </w:rPr>
              <w:t>-</w:t>
            </w:r>
          </w:p>
        </w:tc>
        <w:tc>
          <w:tcPr>
            <w:tcW w:w="514" w:type="pct"/>
            <w:shd w:val="clear" w:color="auto" w:fill="D9D9D9"/>
            <w:vAlign w:val="center"/>
          </w:tcPr>
          <w:p w14:paraId="178F902D" w14:textId="77777777" w:rsidR="00304132" w:rsidRPr="00470E23" w:rsidRDefault="00304132" w:rsidP="00CD5E09">
            <w:pPr>
              <w:rPr>
                <w:rFonts w:eastAsia="SimSun"/>
              </w:rPr>
            </w:pPr>
            <w:r w:rsidRPr="00470E23">
              <w:rPr>
                <w:rFonts w:eastAsia="SimSun"/>
              </w:rPr>
              <w:t>-</w:t>
            </w:r>
          </w:p>
        </w:tc>
        <w:tc>
          <w:tcPr>
            <w:tcW w:w="715" w:type="pct"/>
            <w:shd w:val="clear" w:color="auto" w:fill="D9D9D9"/>
            <w:vAlign w:val="center"/>
          </w:tcPr>
          <w:p w14:paraId="799AC617" w14:textId="77777777" w:rsidR="00304132" w:rsidRPr="00470E23" w:rsidRDefault="00304132" w:rsidP="00CD5E09">
            <w:pPr>
              <w:rPr>
                <w:rFonts w:eastAsia="SimSun"/>
              </w:rPr>
            </w:pPr>
            <w:r w:rsidRPr="00470E23">
              <w:rPr>
                <w:rFonts w:eastAsia="SimSun"/>
              </w:rPr>
              <w:t>-</w:t>
            </w:r>
          </w:p>
        </w:tc>
        <w:tc>
          <w:tcPr>
            <w:tcW w:w="750" w:type="pct"/>
            <w:shd w:val="clear" w:color="auto" w:fill="auto"/>
            <w:vAlign w:val="center"/>
          </w:tcPr>
          <w:p w14:paraId="41AE65F4" w14:textId="77777777" w:rsidR="00304132" w:rsidRPr="00470E23" w:rsidRDefault="00304132" w:rsidP="00CD5E09">
            <w:pPr>
              <w:rPr>
                <w:rFonts w:eastAsia="SimSun"/>
              </w:rPr>
            </w:pPr>
            <w:r w:rsidRPr="00470E23">
              <w:rPr>
                <w:rFonts w:eastAsia="SimSun"/>
              </w:rPr>
              <w:t>-</w:t>
            </w:r>
          </w:p>
        </w:tc>
        <w:tc>
          <w:tcPr>
            <w:tcW w:w="678" w:type="pct"/>
            <w:shd w:val="clear" w:color="auto" w:fill="auto"/>
            <w:vAlign w:val="center"/>
          </w:tcPr>
          <w:p w14:paraId="5A8A1662" w14:textId="77777777" w:rsidR="00304132" w:rsidRPr="00470E23" w:rsidRDefault="00304132" w:rsidP="00CD5E09">
            <w:pPr>
              <w:rPr>
                <w:rFonts w:eastAsia="SimSun"/>
              </w:rPr>
            </w:pPr>
            <w:r w:rsidRPr="00470E23">
              <w:rPr>
                <w:rFonts w:eastAsia="SimSun"/>
              </w:rPr>
              <w:t>5.2.1.3</w:t>
            </w:r>
          </w:p>
        </w:tc>
        <w:tc>
          <w:tcPr>
            <w:tcW w:w="749" w:type="pct"/>
            <w:shd w:val="clear" w:color="auto" w:fill="auto"/>
            <w:vAlign w:val="center"/>
          </w:tcPr>
          <w:p w14:paraId="7E899825" w14:textId="77777777" w:rsidR="00304132" w:rsidRPr="00470E23" w:rsidRDefault="00304132" w:rsidP="00CD5E09">
            <w:pPr>
              <w:rPr>
                <w:rFonts w:eastAsia="SimSun"/>
              </w:rPr>
            </w:pPr>
            <w:r w:rsidRPr="00470E23">
              <w:rPr>
                <w:rFonts w:eastAsia="SimSun"/>
              </w:rPr>
              <w:t>5.2.1.7</w:t>
            </w:r>
          </w:p>
        </w:tc>
        <w:tc>
          <w:tcPr>
            <w:tcW w:w="568" w:type="pct"/>
            <w:shd w:val="clear" w:color="auto" w:fill="auto"/>
            <w:vAlign w:val="center"/>
          </w:tcPr>
          <w:p w14:paraId="7F9ECEE1" w14:textId="77777777" w:rsidR="00304132" w:rsidRPr="00470E23" w:rsidRDefault="00304132" w:rsidP="00CD5E09">
            <w:pPr>
              <w:rPr>
                <w:rFonts w:eastAsia="SimSun"/>
              </w:rPr>
            </w:pPr>
            <w:r w:rsidRPr="00470E23">
              <w:rPr>
                <w:rFonts w:eastAsia="SimSun"/>
              </w:rPr>
              <w:t>-</w:t>
            </w:r>
          </w:p>
        </w:tc>
      </w:tr>
      <w:tr w:rsidR="00304132" w:rsidRPr="00470E23" w14:paraId="4FF52BCA" w14:textId="77777777" w:rsidTr="00CD5E09">
        <w:trPr>
          <w:cantSplit/>
          <w:trHeight w:val="850"/>
        </w:trPr>
        <w:tc>
          <w:tcPr>
            <w:tcW w:w="549" w:type="pct"/>
            <w:vMerge/>
            <w:shd w:val="clear" w:color="auto" w:fill="D9D9D9"/>
            <w:vAlign w:val="center"/>
          </w:tcPr>
          <w:p w14:paraId="0E4CE5F9" w14:textId="77777777" w:rsidR="00304132" w:rsidRPr="00470E23" w:rsidRDefault="00304132" w:rsidP="00CD5E09">
            <w:pPr>
              <w:rPr>
                <w:rFonts w:eastAsia="SimSun"/>
              </w:rPr>
            </w:pPr>
          </w:p>
        </w:tc>
        <w:tc>
          <w:tcPr>
            <w:tcW w:w="477" w:type="pct"/>
            <w:tcBorders>
              <w:bottom w:val="single" w:sz="4" w:space="0" w:color="00000A"/>
            </w:tcBorders>
            <w:shd w:val="clear" w:color="auto" w:fill="D9D9D9"/>
            <w:vAlign w:val="center"/>
          </w:tcPr>
          <w:p w14:paraId="371F3E00" w14:textId="77777777" w:rsidR="00304132" w:rsidRPr="00470E23" w:rsidRDefault="00304132" w:rsidP="00CD5E09">
            <w:pPr>
              <w:rPr>
                <w:rFonts w:eastAsia="SimSun"/>
              </w:rPr>
            </w:pPr>
            <w:r w:rsidRPr="00470E23">
              <w:rPr>
                <w:rFonts w:eastAsia="SimSun"/>
              </w:rPr>
              <w:t>CSA</w:t>
            </w:r>
          </w:p>
          <w:p w14:paraId="449A56D9" w14:textId="77777777" w:rsidR="00304132" w:rsidRPr="00470E23" w:rsidRDefault="00304132" w:rsidP="00CD5E09">
            <w:pPr>
              <w:rPr>
                <w:rFonts w:eastAsia="SimSun"/>
              </w:rPr>
            </w:pPr>
          </w:p>
        </w:tc>
        <w:tc>
          <w:tcPr>
            <w:tcW w:w="514" w:type="pct"/>
            <w:shd w:val="clear" w:color="auto" w:fill="D9D9D9"/>
            <w:vAlign w:val="center"/>
          </w:tcPr>
          <w:p w14:paraId="70029C4B" w14:textId="77777777" w:rsidR="00304132" w:rsidRPr="00470E23" w:rsidRDefault="00304132" w:rsidP="00CD5E09">
            <w:pPr>
              <w:rPr>
                <w:rFonts w:eastAsia="SimSun"/>
              </w:rPr>
            </w:pPr>
            <w:r w:rsidRPr="00470E23">
              <w:rPr>
                <w:rFonts w:eastAsia="SimSun"/>
              </w:rPr>
              <w:t>-</w:t>
            </w:r>
          </w:p>
        </w:tc>
        <w:tc>
          <w:tcPr>
            <w:tcW w:w="715" w:type="pct"/>
            <w:shd w:val="clear" w:color="auto" w:fill="D9D9D9"/>
            <w:vAlign w:val="center"/>
          </w:tcPr>
          <w:p w14:paraId="2F32E4CE" w14:textId="77777777" w:rsidR="00304132" w:rsidRPr="00470E23" w:rsidRDefault="00304132" w:rsidP="00CD5E09">
            <w:pPr>
              <w:rPr>
                <w:rFonts w:eastAsia="SimSun"/>
              </w:rPr>
            </w:pPr>
            <w:r w:rsidRPr="00470E23">
              <w:rPr>
                <w:rFonts w:eastAsia="SimSun"/>
              </w:rPr>
              <w:t>MMF30</w:t>
            </w:r>
          </w:p>
        </w:tc>
        <w:tc>
          <w:tcPr>
            <w:tcW w:w="750" w:type="pct"/>
            <w:shd w:val="clear" w:color="auto" w:fill="auto"/>
            <w:vAlign w:val="center"/>
          </w:tcPr>
          <w:p w14:paraId="4E807A8B" w14:textId="77777777" w:rsidR="00304132" w:rsidRPr="00470E23" w:rsidRDefault="00304132" w:rsidP="00CD5E09">
            <w:pPr>
              <w:rPr>
                <w:rFonts w:eastAsia="SimSun"/>
              </w:rPr>
            </w:pPr>
            <w:r w:rsidRPr="00470E23">
              <w:rPr>
                <w:rFonts w:eastAsia="SimSun"/>
              </w:rPr>
              <w:t>-</w:t>
            </w:r>
          </w:p>
        </w:tc>
        <w:tc>
          <w:tcPr>
            <w:tcW w:w="678" w:type="pct"/>
            <w:shd w:val="clear" w:color="auto" w:fill="auto"/>
            <w:vAlign w:val="center"/>
          </w:tcPr>
          <w:p w14:paraId="31E9F9D1" w14:textId="77777777" w:rsidR="00304132" w:rsidRPr="00470E23" w:rsidRDefault="00304132" w:rsidP="00CD5E09">
            <w:pPr>
              <w:rPr>
                <w:rFonts w:eastAsia="SimSun"/>
              </w:rPr>
            </w:pPr>
            <w:r w:rsidRPr="00470E23">
              <w:rPr>
                <w:rFonts w:eastAsia="SimSun"/>
              </w:rPr>
              <w:t>5.2.1.5</w:t>
            </w:r>
          </w:p>
        </w:tc>
        <w:tc>
          <w:tcPr>
            <w:tcW w:w="749" w:type="pct"/>
            <w:shd w:val="clear" w:color="auto" w:fill="auto"/>
            <w:vAlign w:val="center"/>
          </w:tcPr>
          <w:p w14:paraId="7821A02A" w14:textId="77777777" w:rsidR="00304132" w:rsidRPr="00470E23" w:rsidRDefault="00304132" w:rsidP="00CD5E09">
            <w:pPr>
              <w:rPr>
                <w:rFonts w:eastAsia="SimSun"/>
              </w:rPr>
            </w:pPr>
            <w:r w:rsidRPr="00470E23">
              <w:rPr>
                <w:rFonts w:eastAsia="SimSun"/>
              </w:rPr>
              <w:t>5.2.1.9</w:t>
            </w:r>
          </w:p>
        </w:tc>
        <w:tc>
          <w:tcPr>
            <w:tcW w:w="568" w:type="pct"/>
            <w:shd w:val="clear" w:color="auto" w:fill="auto"/>
            <w:vAlign w:val="center"/>
          </w:tcPr>
          <w:p w14:paraId="3D0A51E9" w14:textId="77777777" w:rsidR="00304132" w:rsidRPr="00470E23" w:rsidRDefault="00304132" w:rsidP="00CD5E09">
            <w:pPr>
              <w:rPr>
                <w:rFonts w:eastAsia="SimSun"/>
              </w:rPr>
            </w:pPr>
            <w:r w:rsidRPr="00470E23">
              <w:rPr>
                <w:rFonts w:eastAsia="SimSun"/>
              </w:rPr>
              <w:t>-</w:t>
            </w:r>
          </w:p>
        </w:tc>
      </w:tr>
      <w:tr w:rsidR="00304132" w:rsidRPr="00470E23" w14:paraId="024C6A18" w14:textId="77777777" w:rsidTr="00CD5E09">
        <w:trPr>
          <w:cantSplit/>
          <w:trHeight w:val="850"/>
        </w:trPr>
        <w:tc>
          <w:tcPr>
            <w:tcW w:w="549" w:type="pct"/>
            <w:vMerge/>
            <w:tcBorders>
              <w:bottom w:val="single" w:sz="4" w:space="0" w:color="00000A"/>
            </w:tcBorders>
            <w:shd w:val="clear" w:color="auto" w:fill="D9D9D9"/>
            <w:vAlign w:val="center"/>
          </w:tcPr>
          <w:p w14:paraId="0B9DBD8D" w14:textId="77777777" w:rsidR="00304132" w:rsidRPr="00470E23" w:rsidRDefault="00304132" w:rsidP="00CD5E09">
            <w:pPr>
              <w:rPr>
                <w:rFonts w:eastAsia="SimSun"/>
              </w:rPr>
            </w:pPr>
          </w:p>
        </w:tc>
        <w:tc>
          <w:tcPr>
            <w:tcW w:w="477" w:type="pct"/>
            <w:tcBorders>
              <w:bottom w:val="single" w:sz="4" w:space="0" w:color="00000A"/>
            </w:tcBorders>
            <w:shd w:val="clear" w:color="auto" w:fill="D9D9D9"/>
            <w:vAlign w:val="center"/>
          </w:tcPr>
          <w:p w14:paraId="3D7D838B" w14:textId="77777777" w:rsidR="00304132" w:rsidRPr="00470E23" w:rsidRDefault="00304132" w:rsidP="00CD5E09">
            <w:pPr>
              <w:rPr>
                <w:rFonts w:eastAsia="SimSun"/>
              </w:rPr>
            </w:pPr>
            <w:r w:rsidRPr="00470E23">
              <w:rPr>
                <w:rFonts w:eastAsia="SimSun"/>
              </w:rPr>
              <w:t>Tx</w:t>
            </w:r>
          </w:p>
        </w:tc>
        <w:tc>
          <w:tcPr>
            <w:tcW w:w="514" w:type="pct"/>
            <w:shd w:val="clear" w:color="auto" w:fill="D9D9D9"/>
            <w:vAlign w:val="center"/>
          </w:tcPr>
          <w:p w14:paraId="132C439D" w14:textId="77777777" w:rsidR="00304132" w:rsidRPr="00470E23" w:rsidRDefault="00304132" w:rsidP="00CD5E09">
            <w:pPr>
              <w:rPr>
                <w:rFonts w:eastAsia="SimSun"/>
              </w:rPr>
            </w:pPr>
            <w:r w:rsidRPr="00470E23">
              <w:rPr>
                <w:rFonts w:eastAsia="SimSun"/>
              </w:rPr>
              <w:t>-</w:t>
            </w:r>
          </w:p>
        </w:tc>
        <w:tc>
          <w:tcPr>
            <w:tcW w:w="715" w:type="pct"/>
            <w:shd w:val="clear" w:color="auto" w:fill="D9D9D9"/>
            <w:vAlign w:val="center"/>
          </w:tcPr>
          <w:p w14:paraId="242AA8E4" w14:textId="77777777" w:rsidR="00304132" w:rsidRPr="00470E23" w:rsidRDefault="00304132" w:rsidP="00CD5E09">
            <w:pPr>
              <w:rPr>
                <w:rFonts w:eastAsia="SimSun"/>
              </w:rPr>
            </w:pPr>
            <w:r w:rsidRPr="00470E23">
              <w:rPr>
                <w:rFonts w:eastAsia="SimSun"/>
              </w:rPr>
              <w:t>MMF30</w:t>
            </w:r>
          </w:p>
        </w:tc>
        <w:tc>
          <w:tcPr>
            <w:tcW w:w="750" w:type="pct"/>
            <w:shd w:val="clear" w:color="auto" w:fill="auto"/>
            <w:vAlign w:val="center"/>
          </w:tcPr>
          <w:p w14:paraId="139DF7EA" w14:textId="77777777" w:rsidR="00304132" w:rsidRPr="00470E23" w:rsidRDefault="00304132" w:rsidP="00CD5E09">
            <w:pPr>
              <w:rPr>
                <w:rFonts w:eastAsia="SimSun"/>
              </w:rPr>
            </w:pPr>
            <w:r w:rsidRPr="00470E23">
              <w:rPr>
                <w:rFonts w:eastAsia="SimSun"/>
              </w:rPr>
              <w:t>-</w:t>
            </w:r>
          </w:p>
        </w:tc>
        <w:tc>
          <w:tcPr>
            <w:tcW w:w="678" w:type="pct"/>
            <w:shd w:val="clear" w:color="auto" w:fill="auto"/>
            <w:vAlign w:val="center"/>
          </w:tcPr>
          <w:p w14:paraId="2E3C919E" w14:textId="77777777" w:rsidR="00304132" w:rsidRPr="00470E23" w:rsidRDefault="00304132" w:rsidP="00CD5E09">
            <w:pPr>
              <w:rPr>
                <w:rFonts w:eastAsia="SimSun"/>
              </w:rPr>
            </w:pPr>
            <w:r w:rsidRPr="00470E23">
              <w:rPr>
                <w:rFonts w:eastAsia="SimSun"/>
              </w:rPr>
              <w:t>5.2.1.4</w:t>
            </w:r>
          </w:p>
        </w:tc>
        <w:tc>
          <w:tcPr>
            <w:tcW w:w="749" w:type="pct"/>
            <w:shd w:val="clear" w:color="auto" w:fill="auto"/>
            <w:vAlign w:val="center"/>
          </w:tcPr>
          <w:p w14:paraId="64AB2A6C" w14:textId="77777777" w:rsidR="00304132" w:rsidRPr="00470E23" w:rsidRDefault="00304132" w:rsidP="00CD5E09">
            <w:pPr>
              <w:rPr>
                <w:rFonts w:eastAsia="SimSun"/>
              </w:rPr>
            </w:pPr>
            <w:r w:rsidRPr="00470E23">
              <w:rPr>
                <w:rFonts w:eastAsia="SimSun"/>
              </w:rPr>
              <w:t>5.2.1.8</w:t>
            </w:r>
          </w:p>
        </w:tc>
        <w:tc>
          <w:tcPr>
            <w:tcW w:w="568" w:type="pct"/>
            <w:shd w:val="clear" w:color="auto" w:fill="auto"/>
            <w:vAlign w:val="center"/>
          </w:tcPr>
          <w:p w14:paraId="15874AC7" w14:textId="77777777" w:rsidR="00304132" w:rsidRPr="00470E23" w:rsidRDefault="00304132" w:rsidP="00CD5E09">
            <w:pPr>
              <w:rPr>
                <w:rFonts w:eastAsia="SimSun"/>
              </w:rPr>
            </w:pPr>
            <w:r w:rsidRPr="00470E23">
              <w:rPr>
                <w:rFonts w:eastAsia="SimSun"/>
              </w:rPr>
              <w:t>5.2.1.11</w:t>
            </w:r>
          </w:p>
        </w:tc>
      </w:tr>
      <w:tr w:rsidR="00304132" w:rsidRPr="00470E23" w14:paraId="42C12A06" w14:textId="77777777" w:rsidTr="00CD5E09">
        <w:trPr>
          <w:cantSplit/>
          <w:trHeight w:val="850"/>
        </w:trPr>
        <w:tc>
          <w:tcPr>
            <w:tcW w:w="549" w:type="pct"/>
            <w:shd w:val="clear" w:color="auto" w:fill="D9D9D9"/>
            <w:vAlign w:val="center"/>
          </w:tcPr>
          <w:p w14:paraId="488EDE3B" w14:textId="77777777" w:rsidR="00304132" w:rsidRPr="00470E23" w:rsidRDefault="00304132" w:rsidP="00CD5E09">
            <w:pPr>
              <w:rPr>
                <w:rFonts w:eastAsia="SimSun"/>
              </w:rPr>
            </w:pPr>
            <w:r w:rsidRPr="00470E23">
              <w:rPr>
                <w:rFonts w:eastAsia="SimSun"/>
              </w:rPr>
              <w:t>-</w:t>
            </w:r>
          </w:p>
        </w:tc>
        <w:tc>
          <w:tcPr>
            <w:tcW w:w="477" w:type="pct"/>
            <w:shd w:val="clear" w:color="auto" w:fill="D9D9D9"/>
            <w:vAlign w:val="center"/>
          </w:tcPr>
          <w:p w14:paraId="2BF04A2A" w14:textId="77777777" w:rsidR="00304132" w:rsidRPr="00470E23" w:rsidRDefault="00304132" w:rsidP="00CD5E09">
            <w:pPr>
              <w:rPr>
                <w:rFonts w:eastAsia="SimSun"/>
              </w:rPr>
            </w:pPr>
            <w:r w:rsidRPr="00470E23">
              <w:rPr>
                <w:rFonts w:eastAsia="SimSun"/>
              </w:rPr>
              <w:t>Tx</w:t>
            </w:r>
          </w:p>
        </w:tc>
        <w:tc>
          <w:tcPr>
            <w:tcW w:w="514" w:type="pct"/>
            <w:shd w:val="clear" w:color="auto" w:fill="D9D9D9"/>
            <w:vAlign w:val="center"/>
          </w:tcPr>
          <w:p w14:paraId="3C59F7BD" w14:textId="77777777" w:rsidR="00304132" w:rsidRPr="00470E23" w:rsidRDefault="00304132" w:rsidP="00CD5E09">
            <w:pPr>
              <w:rPr>
                <w:rFonts w:eastAsia="SimSun"/>
              </w:rPr>
            </w:pPr>
            <w:r w:rsidRPr="00470E23">
              <w:rPr>
                <w:rFonts w:eastAsia="SimSun"/>
              </w:rPr>
              <w:t>-</w:t>
            </w:r>
          </w:p>
        </w:tc>
        <w:tc>
          <w:tcPr>
            <w:tcW w:w="715" w:type="pct"/>
            <w:shd w:val="clear" w:color="auto" w:fill="D9D9D9"/>
            <w:vAlign w:val="center"/>
          </w:tcPr>
          <w:p w14:paraId="6281D644" w14:textId="77777777" w:rsidR="00304132" w:rsidRPr="00470E23" w:rsidRDefault="00304132" w:rsidP="00CD5E09">
            <w:pPr>
              <w:rPr>
                <w:rFonts w:eastAsia="SimSun"/>
              </w:rPr>
            </w:pPr>
            <w:r w:rsidRPr="00470E23">
              <w:rPr>
                <w:rFonts w:eastAsia="SimSun"/>
              </w:rPr>
              <w:t>MMF30</w:t>
            </w:r>
          </w:p>
        </w:tc>
        <w:tc>
          <w:tcPr>
            <w:tcW w:w="750" w:type="pct"/>
            <w:shd w:val="clear" w:color="auto" w:fill="auto"/>
            <w:vAlign w:val="center"/>
          </w:tcPr>
          <w:p w14:paraId="2A05C8EB" w14:textId="77777777" w:rsidR="00304132" w:rsidRPr="00470E23" w:rsidRDefault="00304132" w:rsidP="00CD5E09">
            <w:pPr>
              <w:rPr>
                <w:rFonts w:eastAsia="SimSun"/>
              </w:rPr>
            </w:pPr>
            <w:r w:rsidRPr="00470E23">
              <w:rPr>
                <w:rFonts w:eastAsia="SimSun"/>
              </w:rPr>
              <w:t>-</w:t>
            </w:r>
          </w:p>
        </w:tc>
        <w:tc>
          <w:tcPr>
            <w:tcW w:w="678" w:type="pct"/>
            <w:shd w:val="clear" w:color="auto" w:fill="auto"/>
            <w:vAlign w:val="center"/>
          </w:tcPr>
          <w:p w14:paraId="3AF9AD86" w14:textId="77777777" w:rsidR="00304132" w:rsidRPr="00470E23" w:rsidRDefault="00304132" w:rsidP="00CD5E09">
            <w:pPr>
              <w:rPr>
                <w:rFonts w:eastAsia="SimSun"/>
              </w:rPr>
            </w:pPr>
            <w:r w:rsidRPr="00470E23">
              <w:rPr>
                <w:rFonts w:eastAsia="SimSun"/>
              </w:rPr>
              <w:t>5.2.1.6</w:t>
            </w:r>
          </w:p>
        </w:tc>
        <w:tc>
          <w:tcPr>
            <w:tcW w:w="749" w:type="pct"/>
            <w:shd w:val="clear" w:color="auto" w:fill="auto"/>
            <w:vAlign w:val="center"/>
          </w:tcPr>
          <w:p w14:paraId="1782B277" w14:textId="77777777" w:rsidR="00304132" w:rsidRPr="00470E23" w:rsidRDefault="00304132" w:rsidP="00CD5E09">
            <w:pPr>
              <w:rPr>
                <w:rFonts w:eastAsia="SimSun"/>
              </w:rPr>
            </w:pPr>
            <w:r w:rsidRPr="00470E23">
              <w:rPr>
                <w:rFonts w:eastAsia="SimSun"/>
              </w:rPr>
              <w:t>5.2.1.10</w:t>
            </w:r>
          </w:p>
        </w:tc>
        <w:tc>
          <w:tcPr>
            <w:tcW w:w="568" w:type="pct"/>
            <w:shd w:val="clear" w:color="auto" w:fill="auto"/>
            <w:vAlign w:val="center"/>
          </w:tcPr>
          <w:p w14:paraId="0C054F55" w14:textId="77777777" w:rsidR="00304132" w:rsidRPr="00470E23" w:rsidRDefault="00304132" w:rsidP="00CD5E09">
            <w:pPr>
              <w:rPr>
                <w:rFonts w:eastAsia="SimSun"/>
              </w:rPr>
            </w:pPr>
            <w:r w:rsidRPr="00470E23">
              <w:rPr>
                <w:rFonts w:eastAsia="SimSun"/>
              </w:rPr>
              <w:t>-</w:t>
            </w:r>
          </w:p>
        </w:tc>
      </w:tr>
    </w:tbl>
    <w:p w14:paraId="07760039" w14:textId="77777777" w:rsidR="00304132" w:rsidRPr="00C07B2E" w:rsidRDefault="00304132" w:rsidP="00304132">
      <w:pPr>
        <w:rPr>
          <w:rFonts w:eastAsia="SimSun"/>
        </w:rPr>
      </w:pPr>
    </w:p>
    <w:p w14:paraId="54F34E97" w14:textId="77777777" w:rsidR="00304132" w:rsidRPr="00C07B2E" w:rsidRDefault="00304132" w:rsidP="00304132">
      <w:pPr>
        <w:rPr>
          <w:rFonts w:eastAsia="SimSun"/>
        </w:rPr>
        <w:sectPr w:rsidR="00304132" w:rsidRPr="00C07B2E" w:rsidSect="00CD5E09">
          <w:type w:val="continuous"/>
          <w:pgSz w:w="16839" w:h="11907" w:orient="landscape" w:code="9"/>
          <w:pgMar w:top="1134" w:right="850" w:bottom="1134" w:left="1701" w:header="709" w:footer="567" w:gutter="0"/>
          <w:cols w:space="708"/>
          <w:docGrid w:linePitch="360"/>
        </w:sectPr>
      </w:pPr>
    </w:p>
    <w:p w14:paraId="151AE66D" w14:textId="77777777" w:rsidR="00304132" w:rsidRPr="00C07B2E" w:rsidRDefault="00304132" w:rsidP="00304132">
      <w:pPr>
        <w:rPr>
          <w:rFonts w:eastAsia="SimSun"/>
        </w:rPr>
      </w:pPr>
    </w:p>
    <w:p w14:paraId="4406A8D5" w14:textId="77777777" w:rsidR="00304132" w:rsidRPr="00C07B2E" w:rsidRDefault="00304132" w:rsidP="00304132">
      <w:pPr>
        <w:rPr>
          <w:rFonts w:eastAsia="SimSun"/>
        </w:rPr>
      </w:pPr>
      <w:bookmarkStart w:id="330" w:name="_Toc44401187"/>
      <w:r w:rsidRPr="00042499">
        <w:rPr>
          <w:rFonts w:eastAsia="SimSun"/>
        </w:rPr>
        <w:t>Таблица</w:t>
      </w:r>
      <w:r w:rsidRPr="00C07B2E">
        <w:rPr>
          <w:rFonts w:eastAsia="SimSun"/>
        </w:rPr>
        <w:t xml:space="preserve"> </w:t>
      </w:r>
      <w:r>
        <w:rPr>
          <w:rFonts w:eastAsia="SimSun"/>
        </w:rPr>
        <w:t>5.</w:t>
      </w:r>
      <w:r w:rsidRPr="00C07B2E">
        <w:rPr>
          <w:rFonts w:eastAsia="SimSun"/>
        </w:rPr>
        <w:t>2.1.1  – Bu12+Cy120 / hATG+CSA+MTX+MMF45</w:t>
      </w:r>
      <w:bookmarkEnd w:id="330"/>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5"/>
        <w:gridCol w:w="1701"/>
        <w:gridCol w:w="1417"/>
        <w:gridCol w:w="1418"/>
        <w:gridCol w:w="1701"/>
        <w:gridCol w:w="2268"/>
      </w:tblGrid>
      <w:tr w:rsidR="00304132" w:rsidRPr="00AC3044" w14:paraId="091C85BE" w14:textId="77777777" w:rsidTr="00CD5E09">
        <w:trPr>
          <w:cantSplit/>
          <w:trHeight w:val="20"/>
          <w:tblHeader/>
        </w:trPr>
        <w:tc>
          <w:tcPr>
            <w:tcW w:w="1135" w:type="dxa"/>
          </w:tcPr>
          <w:p w14:paraId="4E87C6EC" w14:textId="77777777" w:rsidR="00304132" w:rsidRPr="00470D3D" w:rsidRDefault="00304132" w:rsidP="00CD5E09">
            <w:pPr>
              <w:rPr>
                <w:rFonts w:eastAsia="SimSun"/>
              </w:rPr>
            </w:pPr>
          </w:p>
        </w:tc>
        <w:tc>
          <w:tcPr>
            <w:tcW w:w="1701" w:type="dxa"/>
          </w:tcPr>
          <w:p w14:paraId="49E739E1" w14:textId="77777777" w:rsidR="00304132" w:rsidRPr="00AC3044" w:rsidRDefault="00304132" w:rsidP="00CD5E09">
            <w:pPr>
              <w:rPr>
                <w:rFonts w:eastAsia="SimSun"/>
              </w:rPr>
            </w:pPr>
            <w:r w:rsidRPr="00AC3044">
              <w:rPr>
                <w:rFonts w:eastAsia="SimSun"/>
              </w:rPr>
              <w:t>Препарат</w:t>
            </w:r>
          </w:p>
        </w:tc>
        <w:tc>
          <w:tcPr>
            <w:tcW w:w="1417" w:type="dxa"/>
          </w:tcPr>
          <w:p w14:paraId="46A44707" w14:textId="77777777" w:rsidR="00304132" w:rsidRPr="00AC3044" w:rsidRDefault="00304132" w:rsidP="00CD5E09">
            <w:pPr>
              <w:rPr>
                <w:rFonts w:eastAsia="SimSun"/>
              </w:rPr>
            </w:pPr>
            <w:r w:rsidRPr="00AC3044">
              <w:rPr>
                <w:rFonts w:eastAsia="SimSun"/>
              </w:rPr>
              <w:t>Суточная доза</w:t>
            </w:r>
          </w:p>
        </w:tc>
        <w:tc>
          <w:tcPr>
            <w:tcW w:w="1418" w:type="dxa"/>
          </w:tcPr>
          <w:p w14:paraId="2745ACAA" w14:textId="77777777" w:rsidR="00304132" w:rsidRPr="00AC3044" w:rsidRDefault="00304132" w:rsidP="00CD5E09">
            <w:pPr>
              <w:rPr>
                <w:rFonts w:eastAsia="SimSun"/>
              </w:rPr>
            </w:pPr>
            <w:r w:rsidRPr="00AC3044">
              <w:rPr>
                <w:rFonts w:eastAsia="SimSun"/>
              </w:rPr>
              <w:t>Курсовая доза</w:t>
            </w:r>
          </w:p>
        </w:tc>
        <w:tc>
          <w:tcPr>
            <w:tcW w:w="1701" w:type="dxa"/>
          </w:tcPr>
          <w:p w14:paraId="36FDB66C" w14:textId="77777777" w:rsidR="00304132" w:rsidRPr="00AC3044" w:rsidRDefault="00304132" w:rsidP="00CD5E09">
            <w:pPr>
              <w:rPr>
                <w:rFonts w:eastAsia="SimSun"/>
              </w:rPr>
            </w:pPr>
            <w:r w:rsidRPr="00AC3044">
              <w:rPr>
                <w:rFonts w:eastAsia="SimSun"/>
              </w:rPr>
              <w:t>Дни введения</w:t>
            </w:r>
          </w:p>
        </w:tc>
        <w:tc>
          <w:tcPr>
            <w:tcW w:w="2268" w:type="dxa"/>
          </w:tcPr>
          <w:p w14:paraId="3E4C1DB5" w14:textId="77777777" w:rsidR="00304132" w:rsidRPr="00AC3044" w:rsidRDefault="00304132" w:rsidP="00CD5E09">
            <w:pPr>
              <w:rPr>
                <w:rFonts w:eastAsia="SimSun"/>
              </w:rPr>
            </w:pPr>
            <w:r w:rsidRPr="00AC3044">
              <w:rPr>
                <w:rFonts w:eastAsia="SimSun"/>
              </w:rPr>
              <w:t>Порядок введения</w:t>
            </w:r>
          </w:p>
        </w:tc>
      </w:tr>
      <w:tr w:rsidR="00304132" w:rsidRPr="00AC3044" w14:paraId="5A262AB8" w14:textId="77777777" w:rsidTr="00CD5E09">
        <w:trPr>
          <w:cantSplit/>
          <w:trHeight w:val="650"/>
        </w:trPr>
        <w:tc>
          <w:tcPr>
            <w:tcW w:w="1135" w:type="dxa"/>
            <w:vMerge w:val="restart"/>
            <w:textDirection w:val="btLr"/>
          </w:tcPr>
          <w:p w14:paraId="26438D76" w14:textId="77777777" w:rsidR="00304132" w:rsidRPr="00AC3044" w:rsidRDefault="00304132" w:rsidP="00CD5E09">
            <w:pPr>
              <w:rPr>
                <w:rFonts w:eastAsia="SimSun"/>
              </w:rPr>
            </w:pPr>
            <w:r w:rsidRPr="00AC3044">
              <w:rPr>
                <w:rFonts w:eastAsia="SimSun"/>
              </w:rPr>
              <w:t>Кондиционирование</w:t>
            </w:r>
          </w:p>
        </w:tc>
        <w:tc>
          <w:tcPr>
            <w:tcW w:w="1701" w:type="dxa"/>
          </w:tcPr>
          <w:p w14:paraId="0896ADA1" w14:textId="77777777" w:rsidR="00304132" w:rsidRPr="00AC3044" w:rsidRDefault="00304132" w:rsidP="00CD5E09">
            <w:pPr>
              <w:rPr>
                <w:rFonts w:eastAsia="SimSun"/>
              </w:rPr>
            </w:pPr>
            <w:r w:rsidRPr="00AC3044">
              <w:rPr>
                <w:rFonts w:eastAsia="SimSun"/>
              </w:rPr>
              <w:t>Бусульфан</w:t>
            </w:r>
          </w:p>
        </w:tc>
        <w:tc>
          <w:tcPr>
            <w:tcW w:w="1417" w:type="dxa"/>
          </w:tcPr>
          <w:p w14:paraId="178FB116" w14:textId="77777777" w:rsidR="00304132" w:rsidRPr="00AC3044" w:rsidRDefault="00304132" w:rsidP="00CD5E09">
            <w:pPr>
              <w:rPr>
                <w:rFonts w:eastAsia="SimSun"/>
              </w:rPr>
            </w:pPr>
            <w:r w:rsidRPr="00AC3044">
              <w:rPr>
                <w:rFonts w:eastAsia="SimSun"/>
              </w:rPr>
              <w:t>4 мг/кг</w:t>
            </w:r>
          </w:p>
        </w:tc>
        <w:tc>
          <w:tcPr>
            <w:tcW w:w="1418" w:type="dxa"/>
          </w:tcPr>
          <w:p w14:paraId="7E896A49" w14:textId="77777777" w:rsidR="00304132" w:rsidRPr="00AC3044" w:rsidRDefault="00304132" w:rsidP="00CD5E09">
            <w:pPr>
              <w:rPr>
                <w:rFonts w:eastAsia="SimSun"/>
              </w:rPr>
            </w:pPr>
            <w:r w:rsidRPr="00AC3044">
              <w:rPr>
                <w:rFonts w:eastAsia="SimSun"/>
              </w:rPr>
              <w:t>12 мг/кг</w:t>
            </w:r>
          </w:p>
        </w:tc>
        <w:tc>
          <w:tcPr>
            <w:tcW w:w="1701" w:type="dxa"/>
          </w:tcPr>
          <w:p w14:paraId="78BF75CA" w14:textId="77777777" w:rsidR="00304132" w:rsidRPr="00AC3044" w:rsidRDefault="00304132" w:rsidP="00CD5E09">
            <w:pPr>
              <w:rPr>
                <w:rFonts w:eastAsia="SimSun"/>
              </w:rPr>
            </w:pPr>
            <w:r w:rsidRPr="00AC3044">
              <w:rPr>
                <w:rFonts w:eastAsia="SimSun"/>
              </w:rPr>
              <w:t>С –6 по –4 день</w:t>
            </w:r>
          </w:p>
        </w:tc>
        <w:tc>
          <w:tcPr>
            <w:tcW w:w="2268" w:type="dxa"/>
          </w:tcPr>
          <w:p w14:paraId="6416CF93" w14:textId="77777777" w:rsidR="00304132" w:rsidRPr="00AC3044" w:rsidRDefault="00304132" w:rsidP="00CD5E09">
            <w:pPr>
              <w:rPr>
                <w:rFonts w:eastAsia="SimSun"/>
              </w:rPr>
            </w:pPr>
            <w:r w:rsidRPr="00AC3044">
              <w:rPr>
                <w:rFonts w:eastAsia="SimSun"/>
              </w:rPr>
              <w:t>Внутрь, суммарная суточная доза разделяется на 4 приема с интервалом 6 часов.</w:t>
            </w:r>
          </w:p>
        </w:tc>
      </w:tr>
      <w:tr w:rsidR="00304132" w:rsidRPr="00AC3044" w14:paraId="02AD9D6D" w14:textId="77777777" w:rsidTr="00CD5E09">
        <w:trPr>
          <w:cantSplit/>
          <w:trHeight w:val="418"/>
        </w:trPr>
        <w:tc>
          <w:tcPr>
            <w:tcW w:w="1135" w:type="dxa"/>
            <w:vMerge/>
          </w:tcPr>
          <w:p w14:paraId="0541B967" w14:textId="77777777" w:rsidR="00304132" w:rsidRPr="00AC3044" w:rsidRDefault="00304132" w:rsidP="00CD5E09">
            <w:pPr>
              <w:rPr>
                <w:rFonts w:eastAsia="SimSun"/>
              </w:rPr>
            </w:pPr>
          </w:p>
        </w:tc>
        <w:tc>
          <w:tcPr>
            <w:tcW w:w="1701" w:type="dxa"/>
          </w:tcPr>
          <w:p w14:paraId="45724EC1" w14:textId="77777777" w:rsidR="00304132" w:rsidRPr="00AC3044" w:rsidRDefault="00304132" w:rsidP="00CD5E09">
            <w:pPr>
              <w:rPr>
                <w:rFonts w:eastAsia="SimSun"/>
              </w:rPr>
            </w:pPr>
            <w:r w:rsidRPr="00AC3044">
              <w:rPr>
                <w:rFonts w:eastAsia="SimSun"/>
              </w:rPr>
              <w:t>Циклофосфамид</w:t>
            </w:r>
          </w:p>
        </w:tc>
        <w:tc>
          <w:tcPr>
            <w:tcW w:w="1417" w:type="dxa"/>
          </w:tcPr>
          <w:p w14:paraId="4D440DA4" w14:textId="77777777" w:rsidR="00304132" w:rsidRPr="00AC3044" w:rsidRDefault="00304132" w:rsidP="00CD5E09">
            <w:pPr>
              <w:rPr>
                <w:rFonts w:eastAsia="SimSun"/>
              </w:rPr>
            </w:pPr>
            <w:r w:rsidRPr="00AC3044">
              <w:rPr>
                <w:rFonts w:eastAsia="SimSun"/>
              </w:rPr>
              <w:t>60 мг/кг</w:t>
            </w:r>
          </w:p>
        </w:tc>
        <w:tc>
          <w:tcPr>
            <w:tcW w:w="1418" w:type="dxa"/>
          </w:tcPr>
          <w:p w14:paraId="46CC2A03" w14:textId="77777777" w:rsidR="00304132" w:rsidRPr="00AC3044" w:rsidRDefault="00304132" w:rsidP="00CD5E09">
            <w:pPr>
              <w:rPr>
                <w:rFonts w:eastAsia="SimSun"/>
              </w:rPr>
            </w:pPr>
            <w:r w:rsidRPr="00AC3044">
              <w:rPr>
                <w:rFonts w:eastAsia="SimSun"/>
              </w:rPr>
              <w:t>120 мг/кг</w:t>
            </w:r>
          </w:p>
        </w:tc>
        <w:tc>
          <w:tcPr>
            <w:tcW w:w="1701" w:type="dxa"/>
          </w:tcPr>
          <w:p w14:paraId="2174A256" w14:textId="77777777" w:rsidR="00304132" w:rsidRPr="00AC3044" w:rsidRDefault="00304132" w:rsidP="00CD5E09">
            <w:pPr>
              <w:rPr>
                <w:rFonts w:eastAsia="SimSun"/>
              </w:rPr>
            </w:pPr>
            <w:r w:rsidRPr="00AC3044">
              <w:rPr>
                <w:rFonts w:eastAsia="SimSun"/>
              </w:rPr>
              <w:t xml:space="preserve">–3, –2 дни </w:t>
            </w:r>
          </w:p>
        </w:tc>
        <w:tc>
          <w:tcPr>
            <w:tcW w:w="2268" w:type="dxa"/>
          </w:tcPr>
          <w:p w14:paraId="128490A4" w14:textId="77777777" w:rsidR="00304132" w:rsidRPr="00AC3044" w:rsidRDefault="00304132" w:rsidP="00CD5E09">
            <w:pPr>
              <w:rPr>
                <w:rFonts w:eastAsia="SimSun"/>
              </w:rPr>
            </w:pPr>
            <w:r w:rsidRPr="00AC3044">
              <w:rPr>
                <w:rFonts w:eastAsia="SimSun"/>
              </w:rPr>
              <w:t xml:space="preserve">В/в, в течение 2 ч </w:t>
            </w:r>
          </w:p>
        </w:tc>
      </w:tr>
      <w:tr w:rsidR="00304132" w:rsidRPr="00AC3044" w14:paraId="47E1944D" w14:textId="77777777" w:rsidTr="00CD5E09">
        <w:trPr>
          <w:cantSplit/>
          <w:trHeight w:val="20"/>
        </w:trPr>
        <w:tc>
          <w:tcPr>
            <w:tcW w:w="1135" w:type="dxa"/>
            <w:vMerge w:val="restart"/>
            <w:textDirection w:val="btLr"/>
          </w:tcPr>
          <w:p w14:paraId="597D1AC4" w14:textId="77777777" w:rsidR="00304132" w:rsidRPr="00AC3044" w:rsidRDefault="00304132" w:rsidP="00CD5E09">
            <w:pPr>
              <w:rPr>
                <w:rFonts w:eastAsia="SimSun"/>
              </w:rPr>
            </w:pPr>
            <w:r w:rsidRPr="00AC3044">
              <w:rPr>
                <w:rFonts w:eastAsia="SimSun"/>
              </w:rPr>
              <w:t>Профилактика РТПХ</w:t>
            </w:r>
          </w:p>
        </w:tc>
        <w:tc>
          <w:tcPr>
            <w:tcW w:w="1701" w:type="dxa"/>
          </w:tcPr>
          <w:p w14:paraId="2F78A593" w14:textId="77777777" w:rsidR="00304132" w:rsidRPr="00AC3044" w:rsidRDefault="00304132" w:rsidP="00CD5E09">
            <w:pPr>
              <w:rPr>
                <w:rFonts w:eastAsia="SimSun"/>
              </w:rPr>
            </w:pPr>
            <w:r w:rsidRPr="00AC3044">
              <w:rPr>
                <w:rFonts w:eastAsia="SimSun"/>
              </w:rPr>
              <w:t>АТГ (лошадиный)</w:t>
            </w:r>
          </w:p>
        </w:tc>
        <w:tc>
          <w:tcPr>
            <w:tcW w:w="1417" w:type="dxa"/>
          </w:tcPr>
          <w:p w14:paraId="4274D71D" w14:textId="77777777" w:rsidR="00304132" w:rsidRPr="00AC3044" w:rsidRDefault="00304132" w:rsidP="00CD5E09">
            <w:pPr>
              <w:rPr>
                <w:rFonts w:eastAsia="SimSun"/>
              </w:rPr>
            </w:pPr>
            <w:r w:rsidRPr="00AC3044">
              <w:rPr>
                <w:rFonts w:eastAsia="SimSun"/>
              </w:rPr>
              <w:t>10-15 мг/кг</w:t>
            </w:r>
          </w:p>
        </w:tc>
        <w:tc>
          <w:tcPr>
            <w:tcW w:w="1418" w:type="dxa"/>
          </w:tcPr>
          <w:p w14:paraId="176D3DCB" w14:textId="77777777" w:rsidR="00304132" w:rsidRPr="00AC3044" w:rsidRDefault="00304132" w:rsidP="00CD5E09">
            <w:pPr>
              <w:rPr>
                <w:rFonts w:eastAsia="SimSun"/>
              </w:rPr>
            </w:pPr>
            <w:r w:rsidRPr="00AC3044">
              <w:rPr>
                <w:rFonts w:eastAsia="SimSun"/>
              </w:rPr>
              <w:t>40-60 мг/кг</w:t>
            </w:r>
          </w:p>
        </w:tc>
        <w:tc>
          <w:tcPr>
            <w:tcW w:w="1701" w:type="dxa"/>
          </w:tcPr>
          <w:p w14:paraId="54E84872" w14:textId="77777777" w:rsidR="00304132" w:rsidRPr="00AC3044" w:rsidRDefault="00304132" w:rsidP="00CD5E09">
            <w:pPr>
              <w:rPr>
                <w:rFonts w:eastAsia="SimSun"/>
              </w:rPr>
            </w:pPr>
            <w:r w:rsidRPr="00AC3044">
              <w:rPr>
                <w:rFonts w:eastAsia="SimSun"/>
              </w:rPr>
              <w:t>С –4 по –1 день</w:t>
            </w:r>
          </w:p>
        </w:tc>
        <w:tc>
          <w:tcPr>
            <w:tcW w:w="2268" w:type="dxa"/>
          </w:tcPr>
          <w:p w14:paraId="6E3023FD" w14:textId="77777777" w:rsidR="00304132" w:rsidRPr="00AC3044" w:rsidRDefault="00304132" w:rsidP="00CD5E09">
            <w:pPr>
              <w:rPr>
                <w:rFonts w:eastAsia="SimSun"/>
              </w:rPr>
            </w:pPr>
            <w:r w:rsidRPr="00AC3044">
              <w:rPr>
                <w:rFonts w:eastAsia="SimSun"/>
              </w:rPr>
              <w:t>В/в. Суточная доза разделяется</w:t>
            </w:r>
            <w:r w:rsidRPr="00AC3044" w:rsidDel="00130EA4">
              <w:rPr>
                <w:rFonts w:eastAsia="SimSun"/>
              </w:rPr>
              <w:t xml:space="preserve"> </w:t>
            </w:r>
            <w:r w:rsidRPr="00AC3044">
              <w:rPr>
                <w:rFonts w:eastAsia="SimSun"/>
              </w:rPr>
              <w:t>на 2 введения (см.</w:t>
            </w:r>
            <w:r>
              <w:rPr>
                <w:rFonts w:eastAsia="SimSun"/>
              </w:rPr>
              <w:t xml:space="preserve"> </w:t>
            </w:r>
            <w:r w:rsidRPr="00AC3044">
              <w:rPr>
                <w:rFonts w:eastAsia="SimSun"/>
              </w:rPr>
              <w:t xml:space="preserve">«Инфузия АТГ») </w:t>
            </w:r>
          </w:p>
        </w:tc>
      </w:tr>
      <w:tr w:rsidR="00304132" w:rsidRPr="00AC3044" w14:paraId="61C49007" w14:textId="77777777" w:rsidTr="00CD5E09">
        <w:trPr>
          <w:cantSplit/>
          <w:trHeight w:val="20"/>
        </w:trPr>
        <w:tc>
          <w:tcPr>
            <w:tcW w:w="1135" w:type="dxa"/>
            <w:vMerge/>
            <w:textDirection w:val="btLr"/>
          </w:tcPr>
          <w:p w14:paraId="34031D53" w14:textId="77777777" w:rsidR="00304132" w:rsidRPr="00AC3044" w:rsidRDefault="00304132" w:rsidP="00CD5E09">
            <w:pPr>
              <w:rPr>
                <w:rFonts w:eastAsia="SimSun"/>
              </w:rPr>
            </w:pPr>
          </w:p>
        </w:tc>
        <w:tc>
          <w:tcPr>
            <w:tcW w:w="1701" w:type="dxa"/>
          </w:tcPr>
          <w:p w14:paraId="7688BA56" w14:textId="77777777" w:rsidR="00304132" w:rsidRPr="00AC3044" w:rsidRDefault="00304132" w:rsidP="00CD5E09">
            <w:pPr>
              <w:rPr>
                <w:rFonts w:eastAsia="SimSun"/>
              </w:rPr>
            </w:pPr>
            <w:r w:rsidRPr="00AC3044">
              <w:rPr>
                <w:rFonts w:eastAsia="SimSun"/>
              </w:rPr>
              <w:t>Циклоспорин</w:t>
            </w:r>
          </w:p>
        </w:tc>
        <w:tc>
          <w:tcPr>
            <w:tcW w:w="1417" w:type="dxa"/>
          </w:tcPr>
          <w:p w14:paraId="7661767E" w14:textId="77777777" w:rsidR="00304132" w:rsidRPr="00AC3044" w:rsidRDefault="00304132" w:rsidP="00CD5E09">
            <w:pPr>
              <w:rPr>
                <w:rFonts w:eastAsia="SimSun"/>
              </w:rPr>
            </w:pPr>
            <w:r w:rsidRPr="00AC3044">
              <w:rPr>
                <w:rFonts w:eastAsia="SimSun"/>
              </w:rPr>
              <w:t>3 мг/кг</w:t>
            </w:r>
          </w:p>
        </w:tc>
        <w:tc>
          <w:tcPr>
            <w:tcW w:w="1418" w:type="dxa"/>
          </w:tcPr>
          <w:p w14:paraId="140BA65A" w14:textId="77777777" w:rsidR="00304132" w:rsidRPr="00AC3044" w:rsidRDefault="00304132" w:rsidP="00CD5E09">
            <w:pPr>
              <w:rPr>
                <w:rFonts w:eastAsia="SimSun"/>
              </w:rPr>
            </w:pPr>
            <w:r w:rsidRPr="00AC3044">
              <w:rPr>
                <w:rFonts w:eastAsia="SimSun"/>
              </w:rPr>
              <w:t>–</w:t>
            </w:r>
          </w:p>
        </w:tc>
        <w:tc>
          <w:tcPr>
            <w:tcW w:w="1701" w:type="dxa"/>
          </w:tcPr>
          <w:p w14:paraId="1DF997CD" w14:textId="77777777" w:rsidR="00304132" w:rsidRPr="00AC3044" w:rsidRDefault="00304132" w:rsidP="00CD5E09">
            <w:pPr>
              <w:rPr>
                <w:rFonts w:eastAsia="SimSun"/>
              </w:rPr>
            </w:pPr>
            <w:r w:rsidRPr="00AC3044">
              <w:rPr>
                <w:rFonts w:eastAsia="SimSun"/>
              </w:rPr>
              <w:t>С –1 по +90 день, затем постепенное снижение к +180 дню</w:t>
            </w:r>
          </w:p>
        </w:tc>
        <w:tc>
          <w:tcPr>
            <w:tcW w:w="2268" w:type="dxa"/>
          </w:tcPr>
          <w:p w14:paraId="0B41436E" w14:textId="77777777" w:rsidR="00304132" w:rsidRPr="00AC3044" w:rsidRDefault="00304132" w:rsidP="00CD5E09">
            <w:pPr>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 xml:space="preserve">х </w:t>
            </w:r>
            <w:r w:rsidRPr="00AC3044">
              <w:rPr>
                <w:rFonts w:eastAsia="SimSun"/>
              </w:rPr>
              <w:t>10</w:t>
            </w:r>
            <w:r w:rsidRPr="001E6DBE">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304132" w:rsidRPr="00AC3044" w14:paraId="22A8A4A5" w14:textId="77777777" w:rsidTr="00CD5E09">
        <w:trPr>
          <w:cantSplit/>
          <w:trHeight w:val="20"/>
        </w:trPr>
        <w:tc>
          <w:tcPr>
            <w:tcW w:w="1135" w:type="dxa"/>
            <w:vMerge/>
          </w:tcPr>
          <w:p w14:paraId="4CD637CE" w14:textId="77777777" w:rsidR="00304132" w:rsidRPr="00AC3044" w:rsidRDefault="00304132" w:rsidP="00CD5E09">
            <w:pPr>
              <w:rPr>
                <w:rFonts w:eastAsia="SimSun"/>
              </w:rPr>
            </w:pPr>
          </w:p>
        </w:tc>
        <w:tc>
          <w:tcPr>
            <w:tcW w:w="1701" w:type="dxa"/>
            <w:vMerge w:val="restart"/>
          </w:tcPr>
          <w:p w14:paraId="5127BCD1" w14:textId="77777777" w:rsidR="00304132" w:rsidRPr="00AC3044" w:rsidRDefault="00304132" w:rsidP="00CD5E09">
            <w:pPr>
              <w:rPr>
                <w:rFonts w:eastAsia="SimSun"/>
              </w:rPr>
            </w:pPr>
            <w:r w:rsidRPr="00AC3044">
              <w:rPr>
                <w:rFonts w:eastAsia="SimSun"/>
              </w:rPr>
              <w:t>Метотрексат</w:t>
            </w:r>
          </w:p>
        </w:tc>
        <w:tc>
          <w:tcPr>
            <w:tcW w:w="1417" w:type="dxa"/>
          </w:tcPr>
          <w:p w14:paraId="7C8375BD" w14:textId="77777777" w:rsidR="00304132" w:rsidRPr="00AC3044" w:rsidRDefault="00304132" w:rsidP="00CD5E09">
            <w:pPr>
              <w:rPr>
                <w:rFonts w:eastAsia="SimSun"/>
              </w:rPr>
            </w:pPr>
            <w:r w:rsidRPr="00AC3044">
              <w:rPr>
                <w:rFonts w:eastAsia="SimSun"/>
              </w:rPr>
              <w:t>15 мг/м</w:t>
            </w:r>
            <w:r w:rsidRPr="001E6DBE">
              <w:rPr>
                <w:rFonts w:eastAsia="SimSun"/>
                <w:vertAlign w:val="superscript"/>
              </w:rPr>
              <w:t>2</w:t>
            </w:r>
          </w:p>
        </w:tc>
        <w:tc>
          <w:tcPr>
            <w:tcW w:w="1418" w:type="dxa"/>
          </w:tcPr>
          <w:p w14:paraId="5A48CF5E" w14:textId="77777777" w:rsidR="00304132" w:rsidRPr="00AC3044" w:rsidRDefault="00304132" w:rsidP="00CD5E09">
            <w:pPr>
              <w:rPr>
                <w:rFonts w:eastAsia="SimSun"/>
              </w:rPr>
            </w:pPr>
            <w:r w:rsidRPr="00AC3044">
              <w:rPr>
                <w:rFonts w:eastAsia="SimSun"/>
              </w:rPr>
              <w:t>–</w:t>
            </w:r>
          </w:p>
        </w:tc>
        <w:tc>
          <w:tcPr>
            <w:tcW w:w="1701" w:type="dxa"/>
          </w:tcPr>
          <w:p w14:paraId="36481ECB" w14:textId="77777777" w:rsidR="00304132" w:rsidRPr="00AC3044" w:rsidRDefault="00304132" w:rsidP="00CD5E09">
            <w:pPr>
              <w:rPr>
                <w:rFonts w:eastAsia="SimSun"/>
              </w:rPr>
            </w:pPr>
            <w:r w:rsidRPr="00AC3044">
              <w:rPr>
                <w:rFonts w:eastAsia="SimSun"/>
              </w:rPr>
              <w:t>+1 день</w:t>
            </w:r>
          </w:p>
        </w:tc>
        <w:tc>
          <w:tcPr>
            <w:tcW w:w="2268" w:type="dxa"/>
          </w:tcPr>
          <w:p w14:paraId="07D21CD4" w14:textId="77777777" w:rsidR="00304132" w:rsidRPr="00AC3044" w:rsidRDefault="00304132" w:rsidP="00CD5E09">
            <w:pPr>
              <w:rPr>
                <w:rFonts w:eastAsia="SimSun"/>
              </w:rPr>
            </w:pPr>
            <w:r w:rsidRPr="00AC3044">
              <w:rPr>
                <w:rFonts w:eastAsia="SimSun"/>
              </w:rPr>
              <w:t xml:space="preserve">В/в, в 20 мл физ. р-ра  </w:t>
            </w:r>
          </w:p>
        </w:tc>
      </w:tr>
      <w:tr w:rsidR="00304132" w:rsidRPr="00AC3044" w14:paraId="3FA7E797" w14:textId="77777777" w:rsidTr="00CD5E09">
        <w:trPr>
          <w:cantSplit/>
          <w:trHeight w:val="464"/>
        </w:trPr>
        <w:tc>
          <w:tcPr>
            <w:tcW w:w="1135" w:type="dxa"/>
            <w:vMerge/>
          </w:tcPr>
          <w:p w14:paraId="3AC10730" w14:textId="77777777" w:rsidR="00304132" w:rsidRPr="00AC3044" w:rsidRDefault="00304132" w:rsidP="00CD5E09">
            <w:pPr>
              <w:rPr>
                <w:rFonts w:eastAsia="SimSun"/>
              </w:rPr>
            </w:pPr>
          </w:p>
        </w:tc>
        <w:tc>
          <w:tcPr>
            <w:tcW w:w="1701" w:type="dxa"/>
            <w:vMerge/>
          </w:tcPr>
          <w:p w14:paraId="1A3D8D96" w14:textId="77777777" w:rsidR="00304132" w:rsidRPr="00AC3044" w:rsidRDefault="00304132" w:rsidP="00CD5E09">
            <w:pPr>
              <w:rPr>
                <w:rFonts w:eastAsia="SimSun"/>
              </w:rPr>
            </w:pPr>
          </w:p>
        </w:tc>
        <w:tc>
          <w:tcPr>
            <w:tcW w:w="1417" w:type="dxa"/>
          </w:tcPr>
          <w:p w14:paraId="466D8277" w14:textId="77777777" w:rsidR="00304132" w:rsidRPr="00AC3044" w:rsidRDefault="00304132" w:rsidP="00CD5E09">
            <w:pPr>
              <w:rPr>
                <w:rFonts w:eastAsia="SimSun"/>
              </w:rPr>
            </w:pPr>
            <w:r w:rsidRPr="00AC3044">
              <w:rPr>
                <w:rFonts w:eastAsia="SimSun"/>
              </w:rPr>
              <w:t>10 мг/м</w:t>
            </w:r>
            <w:r w:rsidRPr="001E6DBE">
              <w:rPr>
                <w:rFonts w:eastAsia="SimSun"/>
                <w:vertAlign w:val="superscript"/>
              </w:rPr>
              <w:t>2</w:t>
            </w:r>
          </w:p>
        </w:tc>
        <w:tc>
          <w:tcPr>
            <w:tcW w:w="1418" w:type="dxa"/>
          </w:tcPr>
          <w:p w14:paraId="7232FA4D" w14:textId="77777777" w:rsidR="00304132" w:rsidRPr="00AC3044" w:rsidRDefault="00304132" w:rsidP="00CD5E09">
            <w:pPr>
              <w:rPr>
                <w:rFonts w:eastAsia="SimSun"/>
              </w:rPr>
            </w:pPr>
            <w:r w:rsidRPr="00AC3044">
              <w:rPr>
                <w:rFonts w:eastAsia="SimSun"/>
              </w:rPr>
              <w:t>–</w:t>
            </w:r>
          </w:p>
        </w:tc>
        <w:tc>
          <w:tcPr>
            <w:tcW w:w="1701" w:type="dxa"/>
          </w:tcPr>
          <w:p w14:paraId="28B94B78" w14:textId="77777777" w:rsidR="00304132" w:rsidRPr="00AC3044" w:rsidRDefault="00304132" w:rsidP="00CD5E09">
            <w:pPr>
              <w:rPr>
                <w:rFonts w:eastAsia="SimSun"/>
              </w:rPr>
            </w:pPr>
            <w:r w:rsidRPr="00AC3044">
              <w:rPr>
                <w:rFonts w:eastAsia="SimSun"/>
              </w:rPr>
              <w:t>+3, +6, +11 дни</w:t>
            </w:r>
          </w:p>
        </w:tc>
        <w:tc>
          <w:tcPr>
            <w:tcW w:w="2268" w:type="dxa"/>
          </w:tcPr>
          <w:p w14:paraId="6790F8DB" w14:textId="77777777" w:rsidR="00304132" w:rsidRPr="00AC3044" w:rsidRDefault="00304132" w:rsidP="00CD5E09">
            <w:pPr>
              <w:rPr>
                <w:rFonts w:eastAsia="SimSun"/>
              </w:rPr>
            </w:pPr>
            <w:r w:rsidRPr="00AC3044">
              <w:rPr>
                <w:rFonts w:eastAsia="SimSun"/>
              </w:rPr>
              <w:t xml:space="preserve">В/в, в 20 мл физ. р-ра  </w:t>
            </w:r>
          </w:p>
        </w:tc>
      </w:tr>
      <w:tr w:rsidR="00304132" w:rsidRPr="00AC3044" w14:paraId="3E03ED11" w14:textId="77777777" w:rsidTr="00CD5E09">
        <w:trPr>
          <w:cantSplit/>
          <w:trHeight w:val="464"/>
        </w:trPr>
        <w:tc>
          <w:tcPr>
            <w:tcW w:w="1135" w:type="dxa"/>
            <w:vMerge/>
          </w:tcPr>
          <w:p w14:paraId="276C5344" w14:textId="77777777" w:rsidR="00304132" w:rsidRPr="00AC3044" w:rsidRDefault="00304132" w:rsidP="00CD5E09">
            <w:pPr>
              <w:rPr>
                <w:rFonts w:eastAsia="SimSun"/>
              </w:rPr>
            </w:pPr>
          </w:p>
        </w:tc>
        <w:tc>
          <w:tcPr>
            <w:tcW w:w="1701" w:type="dxa"/>
          </w:tcPr>
          <w:p w14:paraId="01C30F27" w14:textId="77777777" w:rsidR="00304132" w:rsidRPr="00AC3044" w:rsidRDefault="00304132" w:rsidP="00CD5E09">
            <w:pPr>
              <w:rPr>
                <w:rFonts w:eastAsia="SimSun"/>
              </w:rPr>
            </w:pPr>
            <w:r w:rsidRPr="00AC3044">
              <w:rPr>
                <w:rFonts w:eastAsia="SimSun"/>
              </w:rPr>
              <w:t>Микофенолата мофетил</w:t>
            </w:r>
          </w:p>
        </w:tc>
        <w:tc>
          <w:tcPr>
            <w:tcW w:w="1417" w:type="dxa"/>
          </w:tcPr>
          <w:p w14:paraId="33290E88" w14:textId="77777777" w:rsidR="00304132" w:rsidRPr="00AC3044" w:rsidRDefault="00304132" w:rsidP="00CD5E09">
            <w:pPr>
              <w:rPr>
                <w:rFonts w:eastAsia="SimSun"/>
              </w:rPr>
            </w:pPr>
            <w:r w:rsidRPr="00AC3044">
              <w:rPr>
                <w:rFonts w:eastAsia="SimSun"/>
              </w:rPr>
              <w:t>45 мг/кг</w:t>
            </w:r>
          </w:p>
        </w:tc>
        <w:tc>
          <w:tcPr>
            <w:tcW w:w="1418" w:type="dxa"/>
          </w:tcPr>
          <w:p w14:paraId="491F3633" w14:textId="77777777" w:rsidR="00304132" w:rsidRPr="00AC3044" w:rsidRDefault="00304132" w:rsidP="00CD5E09">
            <w:pPr>
              <w:rPr>
                <w:rFonts w:eastAsia="SimSun"/>
              </w:rPr>
            </w:pPr>
            <w:r w:rsidRPr="00AC3044">
              <w:rPr>
                <w:rFonts w:eastAsia="SimSun"/>
              </w:rPr>
              <w:t>–</w:t>
            </w:r>
          </w:p>
        </w:tc>
        <w:tc>
          <w:tcPr>
            <w:tcW w:w="1701" w:type="dxa"/>
          </w:tcPr>
          <w:p w14:paraId="4D6F153F" w14:textId="77777777" w:rsidR="00304132" w:rsidRPr="00AC3044" w:rsidRDefault="00304132" w:rsidP="00CD5E09">
            <w:pPr>
              <w:rPr>
                <w:rFonts w:eastAsia="SimSun"/>
              </w:rPr>
            </w:pPr>
            <w:r w:rsidRPr="00AC3044">
              <w:rPr>
                <w:rFonts w:eastAsia="SimSun"/>
              </w:rPr>
              <w:t>С +1 по +90 день</w:t>
            </w:r>
          </w:p>
        </w:tc>
        <w:tc>
          <w:tcPr>
            <w:tcW w:w="2268" w:type="dxa"/>
          </w:tcPr>
          <w:p w14:paraId="398F001B" w14:textId="77777777" w:rsidR="00304132" w:rsidRPr="00AC3044" w:rsidRDefault="00304132" w:rsidP="00CD5E09">
            <w:pPr>
              <w:rPr>
                <w:rFonts w:eastAsia="SimSun"/>
              </w:rPr>
            </w:pPr>
            <w:r w:rsidRPr="00AC3044">
              <w:rPr>
                <w:rFonts w:eastAsia="SimSun"/>
              </w:rPr>
              <w:t xml:space="preserve">Внутрь, суммарная суточная доза разделяется на 2- 4 приема (не более 3г/сут).  </w:t>
            </w:r>
          </w:p>
        </w:tc>
      </w:tr>
    </w:tbl>
    <w:p w14:paraId="37AA762D" w14:textId="77777777" w:rsidR="00304132" w:rsidRDefault="00304132" w:rsidP="00304132">
      <w:pPr>
        <w:rPr>
          <w:rFonts w:eastAsia="SimSun"/>
        </w:rPr>
      </w:pPr>
      <w:bookmarkStart w:id="331" w:name="_Toc44401188"/>
    </w:p>
    <w:p w14:paraId="21845D63" w14:textId="77777777" w:rsidR="00304132" w:rsidRPr="00391D6D" w:rsidRDefault="00304132" w:rsidP="00304132">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2.1.2 – Bu12+Cy120 / rATG+CSA+MTX+MMF45</w:t>
      </w:r>
      <w:bookmarkEnd w:id="331"/>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5"/>
        <w:gridCol w:w="1701"/>
        <w:gridCol w:w="1417"/>
        <w:gridCol w:w="1418"/>
        <w:gridCol w:w="1701"/>
        <w:gridCol w:w="2268"/>
      </w:tblGrid>
      <w:tr w:rsidR="00304132" w:rsidRPr="00AC3044" w14:paraId="3AAAD236" w14:textId="77777777" w:rsidTr="00CD5E09">
        <w:trPr>
          <w:cantSplit/>
          <w:trHeight w:val="20"/>
          <w:tblHeader/>
        </w:trPr>
        <w:tc>
          <w:tcPr>
            <w:tcW w:w="1135" w:type="dxa"/>
          </w:tcPr>
          <w:p w14:paraId="6DFF6BEA" w14:textId="77777777" w:rsidR="00304132" w:rsidRPr="00470D3D" w:rsidRDefault="00304132" w:rsidP="00CD5E09">
            <w:pPr>
              <w:rPr>
                <w:rFonts w:eastAsia="SimSun"/>
              </w:rPr>
            </w:pPr>
          </w:p>
        </w:tc>
        <w:tc>
          <w:tcPr>
            <w:tcW w:w="1701" w:type="dxa"/>
            <w:vAlign w:val="center"/>
          </w:tcPr>
          <w:p w14:paraId="7ADBDEC0" w14:textId="77777777" w:rsidR="00304132" w:rsidRPr="00AC3044" w:rsidRDefault="00304132" w:rsidP="00CD5E09">
            <w:pPr>
              <w:rPr>
                <w:rFonts w:eastAsia="SimSun"/>
              </w:rPr>
            </w:pPr>
            <w:r w:rsidRPr="00AC3044">
              <w:rPr>
                <w:rFonts w:eastAsia="SimSun"/>
              </w:rPr>
              <w:t>Препарат</w:t>
            </w:r>
          </w:p>
        </w:tc>
        <w:tc>
          <w:tcPr>
            <w:tcW w:w="1417" w:type="dxa"/>
            <w:vAlign w:val="center"/>
          </w:tcPr>
          <w:p w14:paraId="5FFD5792" w14:textId="77777777" w:rsidR="00304132" w:rsidRPr="00AC3044" w:rsidRDefault="00304132" w:rsidP="00CD5E09">
            <w:pPr>
              <w:rPr>
                <w:rFonts w:eastAsia="SimSun"/>
              </w:rPr>
            </w:pPr>
            <w:r w:rsidRPr="00AC3044">
              <w:rPr>
                <w:rFonts w:eastAsia="SimSun"/>
              </w:rPr>
              <w:t>Суточная доза</w:t>
            </w:r>
          </w:p>
        </w:tc>
        <w:tc>
          <w:tcPr>
            <w:tcW w:w="1418" w:type="dxa"/>
            <w:vAlign w:val="center"/>
          </w:tcPr>
          <w:p w14:paraId="15156491" w14:textId="77777777" w:rsidR="00304132" w:rsidRPr="00AC3044" w:rsidRDefault="00304132" w:rsidP="00CD5E09">
            <w:pPr>
              <w:rPr>
                <w:rFonts w:eastAsia="SimSun"/>
              </w:rPr>
            </w:pPr>
            <w:r w:rsidRPr="00AC3044">
              <w:rPr>
                <w:rFonts w:eastAsia="SimSun"/>
              </w:rPr>
              <w:t>Курсовая доза</w:t>
            </w:r>
          </w:p>
        </w:tc>
        <w:tc>
          <w:tcPr>
            <w:tcW w:w="1701" w:type="dxa"/>
            <w:vAlign w:val="center"/>
          </w:tcPr>
          <w:p w14:paraId="70BFD10F" w14:textId="77777777" w:rsidR="00304132" w:rsidRPr="00AC3044" w:rsidRDefault="00304132" w:rsidP="00CD5E09">
            <w:pPr>
              <w:rPr>
                <w:rFonts w:eastAsia="SimSun"/>
              </w:rPr>
            </w:pPr>
            <w:r w:rsidRPr="00AC3044">
              <w:rPr>
                <w:rFonts w:eastAsia="SimSun"/>
              </w:rPr>
              <w:t>Дни введения</w:t>
            </w:r>
          </w:p>
        </w:tc>
        <w:tc>
          <w:tcPr>
            <w:tcW w:w="2268" w:type="dxa"/>
            <w:vAlign w:val="center"/>
          </w:tcPr>
          <w:p w14:paraId="09C42A1C" w14:textId="77777777" w:rsidR="00304132" w:rsidRDefault="00304132" w:rsidP="00CD5E09">
            <w:pPr>
              <w:rPr>
                <w:rFonts w:eastAsia="SimSun"/>
              </w:rPr>
            </w:pPr>
            <w:r w:rsidRPr="00AC3044">
              <w:rPr>
                <w:rFonts w:eastAsia="SimSun"/>
              </w:rPr>
              <w:t>Порядок введения</w:t>
            </w:r>
          </w:p>
          <w:p w14:paraId="459018D0" w14:textId="77777777" w:rsidR="00304132" w:rsidRPr="001E6DBE" w:rsidRDefault="00304132" w:rsidP="00CD5E09">
            <w:pPr>
              <w:rPr>
                <w:rFonts w:eastAsia="SimSun"/>
              </w:rPr>
            </w:pPr>
          </w:p>
          <w:p w14:paraId="4414B695" w14:textId="77777777" w:rsidR="00304132" w:rsidRPr="001E6DBE" w:rsidRDefault="00304132" w:rsidP="00CD5E09">
            <w:pPr>
              <w:rPr>
                <w:rFonts w:eastAsia="SimSun"/>
              </w:rPr>
            </w:pPr>
          </w:p>
          <w:p w14:paraId="69AD55DB" w14:textId="77777777" w:rsidR="00304132" w:rsidRPr="001E6DBE" w:rsidRDefault="00304132" w:rsidP="00CD5E09">
            <w:pPr>
              <w:rPr>
                <w:rFonts w:eastAsia="SimSun"/>
              </w:rPr>
            </w:pPr>
          </w:p>
          <w:p w14:paraId="39C3A9B2" w14:textId="77777777" w:rsidR="00304132" w:rsidRDefault="00304132" w:rsidP="00CD5E09">
            <w:pPr>
              <w:rPr>
                <w:rFonts w:eastAsia="SimSun"/>
              </w:rPr>
            </w:pPr>
          </w:p>
          <w:p w14:paraId="2251E42A" w14:textId="77777777" w:rsidR="00304132" w:rsidRPr="001E6DBE" w:rsidRDefault="00304132" w:rsidP="00CD5E09">
            <w:pPr>
              <w:rPr>
                <w:rFonts w:eastAsia="SimSun"/>
              </w:rPr>
            </w:pPr>
          </w:p>
        </w:tc>
      </w:tr>
      <w:tr w:rsidR="00304132" w:rsidRPr="00AC3044" w14:paraId="4D8DC05E" w14:textId="77777777" w:rsidTr="00CD5E09">
        <w:trPr>
          <w:cantSplit/>
          <w:trHeight w:val="20"/>
        </w:trPr>
        <w:tc>
          <w:tcPr>
            <w:tcW w:w="1135" w:type="dxa"/>
            <w:vMerge w:val="restart"/>
            <w:textDirection w:val="btLr"/>
            <w:vAlign w:val="center"/>
          </w:tcPr>
          <w:p w14:paraId="464F28E0" w14:textId="77777777" w:rsidR="00304132" w:rsidRPr="00AC3044" w:rsidRDefault="00304132" w:rsidP="00CD5E09">
            <w:pPr>
              <w:rPr>
                <w:rFonts w:eastAsia="SimSun"/>
              </w:rPr>
            </w:pPr>
            <w:r w:rsidRPr="00AC3044">
              <w:rPr>
                <w:rFonts w:eastAsia="SimSun"/>
              </w:rPr>
              <w:t>Кондиционирование</w:t>
            </w:r>
          </w:p>
        </w:tc>
        <w:tc>
          <w:tcPr>
            <w:tcW w:w="1701" w:type="dxa"/>
            <w:vAlign w:val="center"/>
          </w:tcPr>
          <w:p w14:paraId="65DFE93F" w14:textId="77777777" w:rsidR="00304132" w:rsidRPr="00AC3044" w:rsidRDefault="00304132" w:rsidP="00CD5E09">
            <w:pPr>
              <w:rPr>
                <w:rFonts w:eastAsia="SimSun"/>
              </w:rPr>
            </w:pPr>
            <w:r w:rsidRPr="00AC3044">
              <w:rPr>
                <w:rFonts w:eastAsia="SimSun"/>
              </w:rPr>
              <w:t>Бусульфан</w:t>
            </w:r>
          </w:p>
        </w:tc>
        <w:tc>
          <w:tcPr>
            <w:tcW w:w="1417" w:type="dxa"/>
            <w:vAlign w:val="center"/>
          </w:tcPr>
          <w:p w14:paraId="5A0407DA" w14:textId="77777777" w:rsidR="00304132" w:rsidRPr="00AC3044" w:rsidRDefault="00304132" w:rsidP="00CD5E09">
            <w:pPr>
              <w:rPr>
                <w:rFonts w:eastAsia="SimSun"/>
              </w:rPr>
            </w:pPr>
            <w:r w:rsidRPr="00AC3044">
              <w:rPr>
                <w:rFonts w:eastAsia="SimSun"/>
              </w:rPr>
              <w:t>4 мг/кг</w:t>
            </w:r>
          </w:p>
        </w:tc>
        <w:tc>
          <w:tcPr>
            <w:tcW w:w="1418" w:type="dxa"/>
            <w:vAlign w:val="center"/>
          </w:tcPr>
          <w:p w14:paraId="67AE1A99" w14:textId="77777777" w:rsidR="00304132" w:rsidRPr="00AC3044" w:rsidRDefault="00304132" w:rsidP="00CD5E09">
            <w:pPr>
              <w:rPr>
                <w:rFonts w:eastAsia="SimSun"/>
              </w:rPr>
            </w:pPr>
            <w:r w:rsidRPr="00AC3044">
              <w:rPr>
                <w:rFonts w:eastAsia="SimSun"/>
              </w:rPr>
              <w:t>12 мг/кг</w:t>
            </w:r>
          </w:p>
        </w:tc>
        <w:tc>
          <w:tcPr>
            <w:tcW w:w="1701" w:type="dxa"/>
            <w:vAlign w:val="center"/>
          </w:tcPr>
          <w:p w14:paraId="1D3F48B5" w14:textId="77777777" w:rsidR="00304132" w:rsidRPr="00AC3044" w:rsidRDefault="00304132" w:rsidP="00CD5E09">
            <w:pPr>
              <w:rPr>
                <w:rFonts w:eastAsia="SimSun"/>
              </w:rPr>
            </w:pPr>
            <w:r w:rsidRPr="00AC3044">
              <w:rPr>
                <w:rFonts w:eastAsia="SimSun"/>
              </w:rPr>
              <w:t>С –6 по –4 день</w:t>
            </w:r>
          </w:p>
        </w:tc>
        <w:tc>
          <w:tcPr>
            <w:tcW w:w="2268" w:type="dxa"/>
            <w:vAlign w:val="center"/>
          </w:tcPr>
          <w:p w14:paraId="1FD51B87" w14:textId="77777777" w:rsidR="00304132" w:rsidRPr="00AC3044" w:rsidRDefault="00304132" w:rsidP="00CD5E09">
            <w:pPr>
              <w:rPr>
                <w:rFonts w:eastAsia="SimSun"/>
              </w:rPr>
            </w:pPr>
            <w:r w:rsidRPr="00AC3044">
              <w:rPr>
                <w:rFonts w:eastAsia="SimSun"/>
              </w:rPr>
              <w:t>Внутрь, суммарная суточная доза разделяется на 4 приема с интервалом 6 часов.</w:t>
            </w:r>
          </w:p>
        </w:tc>
      </w:tr>
      <w:tr w:rsidR="00304132" w:rsidRPr="00AC3044" w14:paraId="27E06F65" w14:textId="77777777" w:rsidTr="00CD5E09">
        <w:trPr>
          <w:cantSplit/>
          <w:trHeight w:val="1038"/>
        </w:trPr>
        <w:tc>
          <w:tcPr>
            <w:tcW w:w="1135" w:type="dxa"/>
            <w:vMerge/>
            <w:vAlign w:val="center"/>
          </w:tcPr>
          <w:p w14:paraId="5219A413" w14:textId="77777777" w:rsidR="00304132" w:rsidRPr="00AC3044" w:rsidRDefault="00304132" w:rsidP="00CD5E09">
            <w:pPr>
              <w:rPr>
                <w:rFonts w:eastAsia="SimSun"/>
              </w:rPr>
            </w:pPr>
          </w:p>
        </w:tc>
        <w:tc>
          <w:tcPr>
            <w:tcW w:w="1701" w:type="dxa"/>
            <w:vAlign w:val="center"/>
          </w:tcPr>
          <w:p w14:paraId="3CB84325" w14:textId="77777777" w:rsidR="00304132" w:rsidRPr="00AC3044" w:rsidRDefault="00304132" w:rsidP="00CD5E09">
            <w:pPr>
              <w:rPr>
                <w:rFonts w:eastAsia="SimSun"/>
              </w:rPr>
            </w:pPr>
            <w:r w:rsidRPr="00AC3044">
              <w:rPr>
                <w:rFonts w:eastAsia="SimSun"/>
              </w:rPr>
              <w:t>Циклофосфамид</w:t>
            </w:r>
          </w:p>
        </w:tc>
        <w:tc>
          <w:tcPr>
            <w:tcW w:w="1417" w:type="dxa"/>
            <w:vAlign w:val="center"/>
          </w:tcPr>
          <w:p w14:paraId="03F4BEE8" w14:textId="77777777" w:rsidR="00304132" w:rsidRPr="00AC3044" w:rsidRDefault="00304132" w:rsidP="00CD5E09">
            <w:pPr>
              <w:rPr>
                <w:rFonts w:eastAsia="SimSun"/>
              </w:rPr>
            </w:pPr>
            <w:r w:rsidRPr="00AC3044">
              <w:rPr>
                <w:rFonts w:eastAsia="SimSun"/>
              </w:rPr>
              <w:t>60 мг/кг</w:t>
            </w:r>
          </w:p>
        </w:tc>
        <w:tc>
          <w:tcPr>
            <w:tcW w:w="1418" w:type="dxa"/>
            <w:vAlign w:val="center"/>
          </w:tcPr>
          <w:p w14:paraId="5F4C834D" w14:textId="77777777" w:rsidR="00304132" w:rsidRPr="00AC3044" w:rsidRDefault="00304132" w:rsidP="00CD5E09">
            <w:pPr>
              <w:rPr>
                <w:rFonts w:eastAsia="SimSun"/>
              </w:rPr>
            </w:pPr>
            <w:r w:rsidRPr="00AC3044">
              <w:rPr>
                <w:rFonts w:eastAsia="SimSun"/>
              </w:rPr>
              <w:t>120 мг/кг</w:t>
            </w:r>
          </w:p>
        </w:tc>
        <w:tc>
          <w:tcPr>
            <w:tcW w:w="1701" w:type="dxa"/>
            <w:vAlign w:val="center"/>
          </w:tcPr>
          <w:p w14:paraId="15560395" w14:textId="77777777" w:rsidR="00304132" w:rsidRPr="00AC3044" w:rsidRDefault="00304132" w:rsidP="00CD5E09">
            <w:pPr>
              <w:rPr>
                <w:rFonts w:eastAsia="SimSun"/>
              </w:rPr>
            </w:pPr>
            <w:r w:rsidRPr="00AC3044">
              <w:rPr>
                <w:rFonts w:eastAsia="SimSun"/>
              </w:rPr>
              <w:t xml:space="preserve">–3, –2 дни </w:t>
            </w:r>
          </w:p>
        </w:tc>
        <w:tc>
          <w:tcPr>
            <w:tcW w:w="2268" w:type="dxa"/>
            <w:vAlign w:val="center"/>
          </w:tcPr>
          <w:p w14:paraId="1FD4201B" w14:textId="77777777" w:rsidR="00304132" w:rsidRPr="00AC3044" w:rsidRDefault="00304132" w:rsidP="00CD5E09">
            <w:pPr>
              <w:rPr>
                <w:rFonts w:eastAsia="SimSun"/>
              </w:rPr>
            </w:pPr>
            <w:r w:rsidRPr="00AC3044">
              <w:rPr>
                <w:rFonts w:eastAsia="SimSun"/>
              </w:rPr>
              <w:t xml:space="preserve">В/в, в течение 2 ч </w:t>
            </w:r>
          </w:p>
        </w:tc>
      </w:tr>
      <w:tr w:rsidR="00304132" w:rsidRPr="00AC3044" w14:paraId="3FBBCFCE" w14:textId="77777777" w:rsidTr="00CD5E09">
        <w:trPr>
          <w:cantSplit/>
          <w:trHeight w:val="20"/>
        </w:trPr>
        <w:tc>
          <w:tcPr>
            <w:tcW w:w="1135" w:type="dxa"/>
            <w:vMerge w:val="restart"/>
            <w:textDirection w:val="btLr"/>
            <w:vAlign w:val="center"/>
          </w:tcPr>
          <w:p w14:paraId="681E4962" w14:textId="77777777" w:rsidR="00304132" w:rsidRPr="00AC3044" w:rsidRDefault="00304132" w:rsidP="00CD5E09">
            <w:pPr>
              <w:rPr>
                <w:rFonts w:eastAsia="SimSun"/>
              </w:rPr>
            </w:pPr>
            <w:r w:rsidRPr="00AC3044">
              <w:rPr>
                <w:rFonts w:eastAsia="SimSun"/>
              </w:rPr>
              <w:t>Профилактика РТПХ</w:t>
            </w:r>
          </w:p>
        </w:tc>
        <w:tc>
          <w:tcPr>
            <w:tcW w:w="1701" w:type="dxa"/>
            <w:vAlign w:val="center"/>
          </w:tcPr>
          <w:p w14:paraId="6CF230AE" w14:textId="77777777" w:rsidR="00304132" w:rsidRPr="00AC3044" w:rsidRDefault="00304132" w:rsidP="00CD5E09">
            <w:pPr>
              <w:rPr>
                <w:rFonts w:eastAsia="SimSun"/>
              </w:rPr>
            </w:pPr>
            <w:r w:rsidRPr="00AC3044">
              <w:rPr>
                <w:rFonts w:eastAsia="SimSun"/>
              </w:rPr>
              <w:t>АТГ (кроличий)</w:t>
            </w:r>
          </w:p>
        </w:tc>
        <w:tc>
          <w:tcPr>
            <w:tcW w:w="1417" w:type="dxa"/>
            <w:vAlign w:val="center"/>
          </w:tcPr>
          <w:p w14:paraId="22427B9F" w14:textId="77777777" w:rsidR="00304132" w:rsidRPr="00AC3044" w:rsidRDefault="00304132" w:rsidP="00CD5E09">
            <w:pPr>
              <w:rPr>
                <w:rFonts w:eastAsia="SimSun"/>
              </w:rPr>
            </w:pPr>
            <w:r w:rsidRPr="00AC3044">
              <w:rPr>
                <w:rFonts w:eastAsia="SimSun"/>
              </w:rPr>
              <w:t>2,5 мг/кг</w:t>
            </w:r>
          </w:p>
        </w:tc>
        <w:tc>
          <w:tcPr>
            <w:tcW w:w="1418" w:type="dxa"/>
            <w:vAlign w:val="center"/>
          </w:tcPr>
          <w:p w14:paraId="6B8D58B4" w14:textId="77777777" w:rsidR="00304132" w:rsidRPr="00AC3044" w:rsidRDefault="00304132" w:rsidP="00CD5E09">
            <w:pPr>
              <w:rPr>
                <w:rFonts w:eastAsia="SimSun"/>
              </w:rPr>
            </w:pPr>
            <w:r w:rsidRPr="00AC3044">
              <w:rPr>
                <w:rFonts w:eastAsia="SimSun"/>
              </w:rPr>
              <w:t>5-7,5 мг/кг</w:t>
            </w:r>
          </w:p>
        </w:tc>
        <w:tc>
          <w:tcPr>
            <w:tcW w:w="1701" w:type="dxa"/>
            <w:vAlign w:val="center"/>
          </w:tcPr>
          <w:p w14:paraId="2890D858" w14:textId="77777777" w:rsidR="00304132" w:rsidRPr="00AC3044" w:rsidRDefault="00304132" w:rsidP="00CD5E09">
            <w:pPr>
              <w:rPr>
                <w:rFonts w:eastAsia="SimSun"/>
              </w:rPr>
            </w:pPr>
            <w:r w:rsidRPr="00AC3044">
              <w:rPr>
                <w:rFonts w:eastAsia="SimSun"/>
              </w:rPr>
              <w:t>С –3 по –2 (-1) день</w:t>
            </w:r>
          </w:p>
        </w:tc>
        <w:tc>
          <w:tcPr>
            <w:tcW w:w="2268" w:type="dxa"/>
            <w:vAlign w:val="center"/>
          </w:tcPr>
          <w:p w14:paraId="57C8719F" w14:textId="77777777" w:rsidR="00304132" w:rsidRPr="00AC3044" w:rsidRDefault="00304132" w:rsidP="00CD5E09">
            <w:pPr>
              <w:rPr>
                <w:rFonts w:eastAsia="SimSun"/>
              </w:rPr>
            </w:pPr>
            <w:r w:rsidRPr="00AC3044">
              <w:rPr>
                <w:rFonts w:eastAsia="SimSun"/>
              </w:rPr>
              <w:t>В/в. Суточная доза разделяется</w:t>
            </w:r>
            <w:r w:rsidRPr="00AC3044" w:rsidDel="00130EA4">
              <w:rPr>
                <w:rFonts w:eastAsia="SimSun"/>
              </w:rPr>
              <w:t xml:space="preserve"> </w:t>
            </w:r>
            <w:r w:rsidRPr="00AC3044">
              <w:rPr>
                <w:rFonts w:eastAsia="SimSun"/>
              </w:rPr>
              <w:t>на 2 введения (см.</w:t>
            </w:r>
            <w:r>
              <w:rPr>
                <w:rFonts w:eastAsia="SimSun"/>
              </w:rPr>
              <w:t xml:space="preserve"> </w:t>
            </w:r>
            <w:r w:rsidRPr="00AC3044">
              <w:rPr>
                <w:rFonts w:eastAsia="SimSun"/>
              </w:rPr>
              <w:t xml:space="preserve">«Инфузия АТГ») </w:t>
            </w:r>
          </w:p>
        </w:tc>
      </w:tr>
      <w:tr w:rsidR="00304132" w:rsidRPr="00AC3044" w14:paraId="74402B46" w14:textId="77777777" w:rsidTr="00CD5E09">
        <w:trPr>
          <w:cantSplit/>
          <w:trHeight w:val="20"/>
        </w:trPr>
        <w:tc>
          <w:tcPr>
            <w:tcW w:w="1135" w:type="dxa"/>
            <w:vMerge/>
            <w:textDirection w:val="btLr"/>
          </w:tcPr>
          <w:p w14:paraId="231FF305" w14:textId="77777777" w:rsidR="00304132" w:rsidRPr="00AC3044" w:rsidRDefault="00304132" w:rsidP="00CD5E09">
            <w:pPr>
              <w:rPr>
                <w:rFonts w:eastAsia="SimSun"/>
              </w:rPr>
            </w:pPr>
          </w:p>
        </w:tc>
        <w:tc>
          <w:tcPr>
            <w:tcW w:w="1701" w:type="dxa"/>
            <w:vAlign w:val="center"/>
          </w:tcPr>
          <w:p w14:paraId="1BBAD0D9" w14:textId="77777777" w:rsidR="00304132" w:rsidRPr="00AC3044" w:rsidRDefault="00304132" w:rsidP="00CD5E09">
            <w:pPr>
              <w:rPr>
                <w:rFonts w:eastAsia="SimSun"/>
              </w:rPr>
            </w:pPr>
            <w:r w:rsidRPr="00AC3044">
              <w:rPr>
                <w:rFonts w:eastAsia="SimSun"/>
              </w:rPr>
              <w:t>Циклоспорин</w:t>
            </w:r>
          </w:p>
        </w:tc>
        <w:tc>
          <w:tcPr>
            <w:tcW w:w="1417" w:type="dxa"/>
            <w:vAlign w:val="center"/>
          </w:tcPr>
          <w:p w14:paraId="68EAD9FD" w14:textId="77777777" w:rsidR="00304132" w:rsidRPr="00AC3044" w:rsidRDefault="00304132" w:rsidP="00CD5E09">
            <w:pPr>
              <w:rPr>
                <w:rFonts w:eastAsia="SimSun"/>
              </w:rPr>
            </w:pPr>
            <w:r w:rsidRPr="00AC3044">
              <w:rPr>
                <w:rFonts w:eastAsia="SimSun"/>
              </w:rPr>
              <w:t>3 мг/кг</w:t>
            </w:r>
          </w:p>
        </w:tc>
        <w:tc>
          <w:tcPr>
            <w:tcW w:w="1418" w:type="dxa"/>
            <w:vAlign w:val="center"/>
          </w:tcPr>
          <w:p w14:paraId="14B9B1DA" w14:textId="77777777" w:rsidR="00304132" w:rsidRPr="00AC3044" w:rsidRDefault="00304132" w:rsidP="00CD5E09">
            <w:pPr>
              <w:rPr>
                <w:rFonts w:eastAsia="SimSun"/>
              </w:rPr>
            </w:pPr>
            <w:r w:rsidRPr="00AC3044">
              <w:rPr>
                <w:rFonts w:eastAsia="SimSun"/>
              </w:rPr>
              <w:t>–</w:t>
            </w:r>
          </w:p>
        </w:tc>
        <w:tc>
          <w:tcPr>
            <w:tcW w:w="1701" w:type="dxa"/>
            <w:vAlign w:val="center"/>
          </w:tcPr>
          <w:p w14:paraId="32E8C419" w14:textId="77777777" w:rsidR="00304132" w:rsidRPr="00AC3044" w:rsidRDefault="00304132" w:rsidP="00CD5E09">
            <w:pPr>
              <w:rPr>
                <w:rFonts w:eastAsia="SimSun"/>
              </w:rPr>
            </w:pPr>
            <w:r w:rsidRPr="00AC3044">
              <w:rPr>
                <w:rFonts w:eastAsia="SimSun"/>
              </w:rPr>
              <w:t>С –1 по +90 день, затем постепенное снижение к +180 дню</w:t>
            </w:r>
          </w:p>
        </w:tc>
        <w:tc>
          <w:tcPr>
            <w:tcW w:w="2268" w:type="dxa"/>
            <w:vAlign w:val="center"/>
          </w:tcPr>
          <w:p w14:paraId="26B7CCFF" w14:textId="77777777" w:rsidR="00304132" w:rsidRPr="00AC3044" w:rsidRDefault="00304132" w:rsidP="00CD5E09">
            <w:pPr>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1E6DBE">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304132" w:rsidRPr="00AC3044" w14:paraId="57BF3075" w14:textId="77777777" w:rsidTr="00CD5E09">
        <w:trPr>
          <w:cantSplit/>
          <w:trHeight w:val="20"/>
        </w:trPr>
        <w:tc>
          <w:tcPr>
            <w:tcW w:w="1135" w:type="dxa"/>
            <w:vMerge/>
          </w:tcPr>
          <w:p w14:paraId="5CC9180F" w14:textId="77777777" w:rsidR="00304132" w:rsidRPr="00AC3044" w:rsidRDefault="00304132" w:rsidP="00CD5E09">
            <w:pPr>
              <w:rPr>
                <w:rFonts w:eastAsia="SimSun"/>
              </w:rPr>
            </w:pPr>
          </w:p>
        </w:tc>
        <w:tc>
          <w:tcPr>
            <w:tcW w:w="1701" w:type="dxa"/>
            <w:vMerge w:val="restart"/>
            <w:vAlign w:val="center"/>
          </w:tcPr>
          <w:p w14:paraId="29ACEC90" w14:textId="77777777" w:rsidR="00304132" w:rsidRPr="00AC3044" w:rsidRDefault="00304132" w:rsidP="00CD5E09">
            <w:pPr>
              <w:rPr>
                <w:rFonts w:eastAsia="SimSun"/>
              </w:rPr>
            </w:pPr>
            <w:r w:rsidRPr="00AC3044">
              <w:rPr>
                <w:rFonts w:eastAsia="SimSun"/>
              </w:rPr>
              <w:t>Метотрексат</w:t>
            </w:r>
          </w:p>
        </w:tc>
        <w:tc>
          <w:tcPr>
            <w:tcW w:w="1417" w:type="dxa"/>
            <w:vAlign w:val="center"/>
          </w:tcPr>
          <w:p w14:paraId="69FC267A" w14:textId="77777777" w:rsidR="00304132" w:rsidRPr="00AC3044" w:rsidRDefault="00304132" w:rsidP="00CD5E09">
            <w:pPr>
              <w:rPr>
                <w:rFonts w:eastAsia="SimSun"/>
              </w:rPr>
            </w:pPr>
            <w:r w:rsidRPr="00AC3044">
              <w:rPr>
                <w:rFonts w:eastAsia="SimSun"/>
              </w:rPr>
              <w:t>15 мг/м</w:t>
            </w:r>
            <w:r w:rsidRPr="001E6DBE">
              <w:rPr>
                <w:rFonts w:eastAsia="SimSun"/>
                <w:vertAlign w:val="superscript"/>
              </w:rPr>
              <w:t>2</w:t>
            </w:r>
          </w:p>
        </w:tc>
        <w:tc>
          <w:tcPr>
            <w:tcW w:w="1418" w:type="dxa"/>
            <w:vAlign w:val="center"/>
          </w:tcPr>
          <w:p w14:paraId="095D122E" w14:textId="77777777" w:rsidR="00304132" w:rsidRPr="00AC3044" w:rsidRDefault="00304132" w:rsidP="00CD5E09">
            <w:pPr>
              <w:rPr>
                <w:rFonts w:eastAsia="SimSun"/>
              </w:rPr>
            </w:pPr>
            <w:r w:rsidRPr="00AC3044">
              <w:rPr>
                <w:rFonts w:eastAsia="SimSun"/>
              </w:rPr>
              <w:t>–</w:t>
            </w:r>
          </w:p>
        </w:tc>
        <w:tc>
          <w:tcPr>
            <w:tcW w:w="1701" w:type="dxa"/>
            <w:vAlign w:val="center"/>
          </w:tcPr>
          <w:p w14:paraId="528F2BDA" w14:textId="77777777" w:rsidR="00304132" w:rsidRPr="00AC3044" w:rsidRDefault="00304132" w:rsidP="00CD5E09">
            <w:pPr>
              <w:rPr>
                <w:rFonts w:eastAsia="SimSun"/>
              </w:rPr>
            </w:pPr>
            <w:r w:rsidRPr="00AC3044">
              <w:rPr>
                <w:rFonts w:eastAsia="SimSun"/>
              </w:rPr>
              <w:t>+1 день</w:t>
            </w:r>
          </w:p>
        </w:tc>
        <w:tc>
          <w:tcPr>
            <w:tcW w:w="2268" w:type="dxa"/>
            <w:vAlign w:val="center"/>
          </w:tcPr>
          <w:p w14:paraId="59922C6D" w14:textId="77777777" w:rsidR="00304132" w:rsidRPr="00AC3044" w:rsidRDefault="00304132" w:rsidP="00CD5E09">
            <w:pPr>
              <w:rPr>
                <w:rFonts w:eastAsia="SimSun"/>
              </w:rPr>
            </w:pPr>
            <w:r w:rsidRPr="00AC3044">
              <w:rPr>
                <w:rFonts w:eastAsia="SimSun"/>
              </w:rPr>
              <w:t xml:space="preserve">В/в, в 20 мл физ. р-ра </w:t>
            </w:r>
          </w:p>
        </w:tc>
      </w:tr>
      <w:tr w:rsidR="00304132" w:rsidRPr="00AC3044" w14:paraId="58208F71" w14:textId="77777777" w:rsidTr="00CD5E09">
        <w:trPr>
          <w:cantSplit/>
          <w:trHeight w:val="464"/>
        </w:trPr>
        <w:tc>
          <w:tcPr>
            <w:tcW w:w="1135" w:type="dxa"/>
            <w:vMerge/>
          </w:tcPr>
          <w:p w14:paraId="5CB2D0B1" w14:textId="77777777" w:rsidR="00304132" w:rsidRPr="00AC3044" w:rsidRDefault="00304132" w:rsidP="00CD5E09">
            <w:pPr>
              <w:rPr>
                <w:rFonts w:eastAsia="SimSun"/>
              </w:rPr>
            </w:pPr>
          </w:p>
        </w:tc>
        <w:tc>
          <w:tcPr>
            <w:tcW w:w="1701" w:type="dxa"/>
            <w:vMerge/>
            <w:vAlign w:val="center"/>
          </w:tcPr>
          <w:p w14:paraId="52FD0E7C" w14:textId="77777777" w:rsidR="00304132" w:rsidRPr="00AC3044" w:rsidRDefault="00304132" w:rsidP="00CD5E09">
            <w:pPr>
              <w:rPr>
                <w:rFonts w:eastAsia="SimSun"/>
              </w:rPr>
            </w:pPr>
          </w:p>
        </w:tc>
        <w:tc>
          <w:tcPr>
            <w:tcW w:w="1417" w:type="dxa"/>
            <w:vAlign w:val="center"/>
          </w:tcPr>
          <w:p w14:paraId="5121925F" w14:textId="77777777" w:rsidR="00304132" w:rsidRPr="00AC3044" w:rsidRDefault="00304132" w:rsidP="00CD5E09">
            <w:pPr>
              <w:rPr>
                <w:rFonts w:eastAsia="SimSun"/>
              </w:rPr>
            </w:pPr>
            <w:r w:rsidRPr="00AC3044">
              <w:rPr>
                <w:rFonts w:eastAsia="SimSun"/>
              </w:rPr>
              <w:t>10 мг/м</w:t>
            </w:r>
            <w:r w:rsidRPr="001E6DBE">
              <w:rPr>
                <w:rFonts w:eastAsia="SimSun"/>
                <w:vertAlign w:val="superscript"/>
              </w:rPr>
              <w:t>2</w:t>
            </w:r>
          </w:p>
        </w:tc>
        <w:tc>
          <w:tcPr>
            <w:tcW w:w="1418" w:type="dxa"/>
            <w:vAlign w:val="center"/>
          </w:tcPr>
          <w:p w14:paraId="0FF932DC" w14:textId="77777777" w:rsidR="00304132" w:rsidRPr="00AC3044" w:rsidRDefault="00304132" w:rsidP="00CD5E09">
            <w:pPr>
              <w:rPr>
                <w:rFonts w:eastAsia="SimSun"/>
              </w:rPr>
            </w:pPr>
            <w:r w:rsidRPr="00AC3044">
              <w:rPr>
                <w:rFonts w:eastAsia="SimSun"/>
              </w:rPr>
              <w:t>–</w:t>
            </w:r>
          </w:p>
        </w:tc>
        <w:tc>
          <w:tcPr>
            <w:tcW w:w="1701" w:type="dxa"/>
            <w:vAlign w:val="center"/>
          </w:tcPr>
          <w:p w14:paraId="6620EE6C" w14:textId="77777777" w:rsidR="00304132" w:rsidRPr="00AC3044" w:rsidRDefault="00304132" w:rsidP="00CD5E09">
            <w:pPr>
              <w:rPr>
                <w:rFonts w:eastAsia="SimSun"/>
              </w:rPr>
            </w:pPr>
            <w:r w:rsidRPr="00AC3044">
              <w:rPr>
                <w:rFonts w:eastAsia="SimSun"/>
              </w:rPr>
              <w:t>+3, +6, +11 дни</w:t>
            </w:r>
          </w:p>
        </w:tc>
        <w:tc>
          <w:tcPr>
            <w:tcW w:w="2268" w:type="dxa"/>
            <w:vAlign w:val="center"/>
          </w:tcPr>
          <w:p w14:paraId="18679089" w14:textId="77777777" w:rsidR="00304132" w:rsidRPr="00AC3044" w:rsidRDefault="00304132" w:rsidP="00CD5E09">
            <w:pPr>
              <w:rPr>
                <w:rFonts w:eastAsia="SimSun"/>
              </w:rPr>
            </w:pPr>
            <w:r w:rsidRPr="00AC3044">
              <w:rPr>
                <w:rFonts w:eastAsia="SimSun"/>
              </w:rPr>
              <w:t xml:space="preserve">В/в, в 20 мл физ. р-ра </w:t>
            </w:r>
          </w:p>
        </w:tc>
      </w:tr>
      <w:tr w:rsidR="00304132" w:rsidRPr="00AC3044" w14:paraId="4822B5A3" w14:textId="77777777" w:rsidTr="00CD5E09">
        <w:trPr>
          <w:cantSplit/>
          <w:trHeight w:val="464"/>
        </w:trPr>
        <w:tc>
          <w:tcPr>
            <w:tcW w:w="1135" w:type="dxa"/>
            <w:vMerge/>
          </w:tcPr>
          <w:p w14:paraId="742BBA50" w14:textId="77777777" w:rsidR="00304132" w:rsidRPr="00AC3044" w:rsidRDefault="00304132" w:rsidP="00CD5E09">
            <w:pPr>
              <w:rPr>
                <w:rFonts w:eastAsia="SimSun"/>
              </w:rPr>
            </w:pPr>
          </w:p>
        </w:tc>
        <w:tc>
          <w:tcPr>
            <w:tcW w:w="1701" w:type="dxa"/>
            <w:vAlign w:val="center"/>
          </w:tcPr>
          <w:p w14:paraId="4C978E37" w14:textId="77777777" w:rsidR="00304132" w:rsidRPr="00AC3044" w:rsidRDefault="00304132" w:rsidP="00CD5E09">
            <w:pPr>
              <w:rPr>
                <w:rFonts w:eastAsia="SimSun"/>
              </w:rPr>
            </w:pPr>
            <w:r w:rsidRPr="00AC3044">
              <w:rPr>
                <w:rFonts w:eastAsia="SimSun"/>
              </w:rPr>
              <w:t>Микофенолата мофетил</w:t>
            </w:r>
          </w:p>
        </w:tc>
        <w:tc>
          <w:tcPr>
            <w:tcW w:w="1417" w:type="dxa"/>
            <w:vAlign w:val="center"/>
          </w:tcPr>
          <w:p w14:paraId="6D37B742" w14:textId="77777777" w:rsidR="00304132" w:rsidRPr="00AC3044" w:rsidRDefault="00304132" w:rsidP="00CD5E09">
            <w:pPr>
              <w:rPr>
                <w:rFonts w:eastAsia="SimSun"/>
              </w:rPr>
            </w:pPr>
            <w:r w:rsidRPr="00AC3044">
              <w:rPr>
                <w:rFonts w:eastAsia="SimSun"/>
              </w:rPr>
              <w:t>45 мг/кг</w:t>
            </w:r>
          </w:p>
        </w:tc>
        <w:tc>
          <w:tcPr>
            <w:tcW w:w="1418" w:type="dxa"/>
            <w:vAlign w:val="center"/>
          </w:tcPr>
          <w:p w14:paraId="0D7E52AB" w14:textId="77777777" w:rsidR="00304132" w:rsidRPr="00AC3044" w:rsidRDefault="00304132" w:rsidP="00CD5E09">
            <w:pPr>
              <w:rPr>
                <w:rFonts w:eastAsia="SimSun"/>
              </w:rPr>
            </w:pPr>
            <w:r w:rsidRPr="00AC3044">
              <w:rPr>
                <w:rFonts w:eastAsia="SimSun"/>
              </w:rPr>
              <w:t>–</w:t>
            </w:r>
          </w:p>
        </w:tc>
        <w:tc>
          <w:tcPr>
            <w:tcW w:w="1701" w:type="dxa"/>
            <w:vAlign w:val="center"/>
          </w:tcPr>
          <w:p w14:paraId="42362EFB" w14:textId="77777777" w:rsidR="00304132" w:rsidRPr="00AC3044" w:rsidRDefault="00304132" w:rsidP="00CD5E09">
            <w:pPr>
              <w:rPr>
                <w:rFonts w:eastAsia="SimSun"/>
              </w:rPr>
            </w:pPr>
            <w:r w:rsidRPr="00AC3044">
              <w:rPr>
                <w:rFonts w:eastAsia="SimSun"/>
              </w:rPr>
              <w:t>С +1 по +90 день</w:t>
            </w:r>
          </w:p>
        </w:tc>
        <w:tc>
          <w:tcPr>
            <w:tcW w:w="2268" w:type="dxa"/>
            <w:vAlign w:val="center"/>
          </w:tcPr>
          <w:p w14:paraId="33B52A40" w14:textId="77777777" w:rsidR="00304132" w:rsidRPr="00AC3044" w:rsidRDefault="00304132" w:rsidP="00CD5E09">
            <w:pPr>
              <w:rPr>
                <w:rFonts w:eastAsia="SimSun"/>
              </w:rPr>
            </w:pPr>
            <w:r w:rsidRPr="00AC3044">
              <w:rPr>
                <w:rFonts w:eastAsia="SimSun"/>
              </w:rPr>
              <w:t xml:space="preserve">Внутрь, суммарная суточная доза разделяется на 2- 4 приема (не более 3г/сут).  </w:t>
            </w:r>
          </w:p>
        </w:tc>
      </w:tr>
    </w:tbl>
    <w:p w14:paraId="769F06A1" w14:textId="77777777" w:rsidR="00304132" w:rsidRDefault="00304132" w:rsidP="00304132">
      <w:pPr>
        <w:rPr>
          <w:rFonts w:eastAsia="SimSun"/>
        </w:rPr>
      </w:pPr>
      <w:bookmarkStart w:id="332" w:name="_Toc44401189"/>
    </w:p>
    <w:p w14:paraId="4DCE3537" w14:textId="77777777" w:rsidR="00304132" w:rsidRPr="00C07B2E" w:rsidRDefault="00304132" w:rsidP="00304132">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2.1.3  – Flu180+Bu12 / PT-Cy</w:t>
      </w:r>
      <w:bookmarkEnd w:id="332"/>
    </w:p>
    <w:tbl>
      <w:tblPr>
        <w:tblW w:w="96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22"/>
        <w:gridCol w:w="1710"/>
        <w:gridCol w:w="1424"/>
        <w:gridCol w:w="1427"/>
        <w:gridCol w:w="1694"/>
        <w:gridCol w:w="2274"/>
      </w:tblGrid>
      <w:tr w:rsidR="00304132" w:rsidRPr="00AC3044" w14:paraId="7276562A" w14:textId="77777777" w:rsidTr="00CD5E09">
        <w:trPr>
          <w:cantSplit/>
          <w:trHeight w:val="20"/>
          <w:tblHeader/>
        </w:trPr>
        <w:tc>
          <w:tcPr>
            <w:tcW w:w="1122" w:type="dxa"/>
            <w:vAlign w:val="center"/>
          </w:tcPr>
          <w:p w14:paraId="7ADC5A04" w14:textId="77777777" w:rsidR="00304132" w:rsidRPr="00AC3044" w:rsidRDefault="00304132" w:rsidP="00CD5E09">
            <w:pPr>
              <w:rPr>
                <w:rFonts w:eastAsia="SimSun"/>
              </w:rPr>
            </w:pPr>
          </w:p>
        </w:tc>
        <w:tc>
          <w:tcPr>
            <w:tcW w:w="1710" w:type="dxa"/>
            <w:vAlign w:val="center"/>
          </w:tcPr>
          <w:p w14:paraId="72763FE4" w14:textId="77777777" w:rsidR="00304132" w:rsidRPr="00AC3044" w:rsidRDefault="00304132" w:rsidP="00CD5E09">
            <w:pPr>
              <w:rPr>
                <w:rFonts w:eastAsia="SimSun"/>
              </w:rPr>
            </w:pPr>
            <w:r w:rsidRPr="00AC3044">
              <w:rPr>
                <w:rFonts w:eastAsia="SimSun"/>
              </w:rPr>
              <w:t>Препарат</w:t>
            </w:r>
          </w:p>
        </w:tc>
        <w:tc>
          <w:tcPr>
            <w:tcW w:w="1424" w:type="dxa"/>
            <w:vAlign w:val="center"/>
          </w:tcPr>
          <w:p w14:paraId="3D7DF228" w14:textId="77777777" w:rsidR="00304132" w:rsidRPr="00AC3044" w:rsidRDefault="00304132" w:rsidP="00CD5E09">
            <w:pPr>
              <w:rPr>
                <w:rFonts w:eastAsia="SimSun"/>
              </w:rPr>
            </w:pPr>
            <w:r w:rsidRPr="00AC3044">
              <w:rPr>
                <w:rFonts w:eastAsia="SimSun"/>
              </w:rPr>
              <w:t>Суточная доза</w:t>
            </w:r>
          </w:p>
        </w:tc>
        <w:tc>
          <w:tcPr>
            <w:tcW w:w="1427" w:type="dxa"/>
            <w:vAlign w:val="center"/>
          </w:tcPr>
          <w:p w14:paraId="23BFCAC4" w14:textId="77777777" w:rsidR="00304132" w:rsidRPr="00AC3044" w:rsidRDefault="00304132" w:rsidP="00CD5E09">
            <w:pPr>
              <w:rPr>
                <w:rFonts w:eastAsia="SimSun"/>
              </w:rPr>
            </w:pPr>
            <w:r w:rsidRPr="00AC3044">
              <w:rPr>
                <w:rFonts w:eastAsia="SimSun"/>
              </w:rPr>
              <w:t>Курсовая доза</w:t>
            </w:r>
          </w:p>
        </w:tc>
        <w:tc>
          <w:tcPr>
            <w:tcW w:w="1694" w:type="dxa"/>
            <w:vAlign w:val="center"/>
          </w:tcPr>
          <w:p w14:paraId="0FD279B4" w14:textId="77777777" w:rsidR="00304132" w:rsidRPr="00AC3044" w:rsidRDefault="00304132" w:rsidP="00CD5E09">
            <w:pPr>
              <w:rPr>
                <w:rFonts w:eastAsia="SimSun"/>
              </w:rPr>
            </w:pPr>
            <w:r w:rsidRPr="00AC3044">
              <w:rPr>
                <w:rFonts w:eastAsia="SimSun"/>
              </w:rPr>
              <w:t>Дни введения</w:t>
            </w:r>
          </w:p>
        </w:tc>
        <w:tc>
          <w:tcPr>
            <w:tcW w:w="2274" w:type="dxa"/>
            <w:vAlign w:val="center"/>
          </w:tcPr>
          <w:p w14:paraId="1893A038" w14:textId="77777777" w:rsidR="00304132" w:rsidRPr="00AC3044" w:rsidRDefault="00304132" w:rsidP="00CD5E09">
            <w:pPr>
              <w:rPr>
                <w:rFonts w:eastAsia="SimSun"/>
              </w:rPr>
            </w:pPr>
            <w:r w:rsidRPr="00AC3044">
              <w:rPr>
                <w:rFonts w:eastAsia="SimSun"/>
              </w:rPr>
              <w:t>Порядок введения</w:t>
            </w:r>
          </w:p>
        </w:tc>
      </w:tr>
      <w:tr w:rsidR="00304132" w:rsidRPr="00AC3044" w14:paraId="3A55CE49" w14:textId="77777777" w:rsidTr="00CD5E09">
        <w:trPr>
          <w:cantSplit/>
          <w:trHeight w:val="20"/>
        </w:trPr>
        <w:tc>
          <w:tcPr>
            <w:tcW w:w="1122" w:type="dxa"/>
            <w:vMerge w:val="restart"/>
            <w:textDirection w:val="btLr"/>
            <w:vAlign w:val="center"/>
          </w:tcPr>
          <w:p w14:paraId="40D47096" w14:textId="77777777" w:rsidR="00304132" w:rsidRPr="00AC3044" w:rsidRDefault="00304132" w:rsidP="00CD5E09">
            <w:pPr>
              <w:rPr>
                <w:rFonts w:eastAsia="SimSun"/>
              </w:rPr>
            </w:pPr>
            <w:r w:rsidRPr="00AC3044">
              <w:rPr>
                <w:rFonts w:eastAsia="SimSun"/>
              </w:rPr>
              <w:t>Кондиционирование</w:t>
            </w:r>
          </w:p>
        </w:tc>
        <w:tc>
          <w:tcPr>
            <w:tcW w:w="1710" w:type="dxa"/>
            <w:vAlign w:val="center"/>
          </w:tcPr>
          <w:p w14:paraId="30EFF08D" w14:textId="77777777" w:rsidR="00304132" w:rsidRPr="00AC3044" w:rsidRDefault="00304132" w:rsidP="00CD5E09">
            <w:pPr>
              <w:rPr>
                <w:rFonts w:eastAsia="SimSun"/>
              </w:rPr>
            </w:pPr>
            <w:r w:rsidRPr="00AC3044">
              <w:rPr>
                <w:rFonts w:eastAsia="SimSun"/>
              </w:rPr>
              <w:t xml:space="preserve">Флударабин </w:t>
            </w:r>
          </w:p>
        </w:tc>
        <w:tc>
          <w:tcPr>
            <w:tcW w:w="1424" w:type="dxa"/>
            <w:vAlign w:val="center"/>
          </w:tcPr>
          <w:p w14:paraId="7FEC24B0" w14:textId="77777777" w:rsidR="00304132" w:rsidRPr="00AC3044" w:rsidRDefault="00304132" w:rsidP="00CD5E09">
            <w:pPr>
              <w:rPr>
                <w:rFonts w:eastAsia="SimSun"/>
              </w:rPr>
            </w:pPr>
            <w:r w:rsidRPr="00AC3044">
              <w:rPr>
                <w:rFonts w:eastAsia="SimSun"/>
              </w:rPr>
              <w:t>30 мг/м</w:t>
            </w:r>
            <w:r w:rsidRPr="001E6DBE">
              <w:rPr>
                <w:rFonts w:eastAsia="SimSun"/>
                <w:vertAlign w:val="superscript"/>
              </w:rPr>
              <w:t>2</w:t>
            </w:r>
          </w:p>
        </w:tc>
        <w:tc>
          <w:tcPr>
            <w:tcW w:w="1427" w:type="dxa"/>
            <w:vAlign w:val="center"/>
          </w:tcPr>
          <w:p w14:paraId="2148817B" w14:textId="77777777" w:rsidR="00304132" w:rsidRPr="00AC3044" w:rsidRDefault="00304132" w:rsidP="00CD5E09">
            <w:pPr>
              <w:rPr>
                <w:rFonts w:eastAsia="SimSun"/>
              </w:rPr>
            </w:pPr>
            <w:r w:rsidRPr="00AC3044">
              <w:rPr>
                <w:rFonts w:eastAsia="SimSun"/>
              </w:rPr>
              <w:t>180 мг/м</w:t>
            </w:r>
            <w:r w:rsidRPr="001E6DBE">
              <w:rPr>
                <w:rFonts w:eastAsia="SimSun"/>
                <w:vertAlign w:val="superscript"/>
              </w:rPr>
              <w:t>2</w:t>
            </w:r>
          </w:p>
        </w:tc>
        <w:tc>
          <w:tcPr>
            <w:tcW w:w="1694" w:type="dxa"/>
            <w:vAlign w:val="center"/>
          </w:tcPr>
          <w:p w14:paraId="759C03CD" w14:textId="77777777" w:rsidR="00304132" w:rsidRPr="00AC3044" w:rsidRDefault="00304132" w:rsidP="00CD5E09">
            <w:pPr>
              <w:rPr>
                <w:rFonts w:eastAsia="SimSun"/>
              </w:rPr>
            </w:pPr>
            <w:r w:rsidRPr="00AC3044">
              <w:rPr>
                <w:rFonts w:eastAsia="SimSun"/>
              </w:rPr>
              <w:t>С -7 дня по -2 день</w:t>
            </w:r>
          </w:p>
        </w:tc>
        <w:tc>
          <w:tcPr>
            <w:tcW w:w="2274" w:type="dxa"/>
            <w:vAlign w:val="center"/>
          </w:tcPr>
          <w:p w14:paraId="7D4AD18B" w14:textId="77777777" w:rsidR="00304132" w:rsidRPr="00AC3044" w:rsidRDefault="00304132" w:rsidP="00CD5E09">
            <w:pPr>
              <w:rPr>
                <w:rFonts w:eastAsia="SimSun"/>
              </w:rPr>
            </w:pPr>
            <w:r w:rsidRPr="00AC3044">
              <w:rPr>
                <w:rFonts w:eastAsia="SimSun"/>
              </w:rPr>
              <w:t>В/в, в течение 30 -60 мин</w:t>
            </w:r>
          </w:p>
        </w:tc>
      </w:tr>
      <w:tr w:rsidR="00304132" w:rsidRPr="00AC3044" w14:paraId="5BA06945" w14:textId="77777777" w:rsidTr="00CD5E09">
        <w:trPr>
          <w:cantSplit/>
          <w:trHeight w:val="688"/>
        </w:trPr>
        <w:tc>
          <w:tcPr>
            <w:tcW w:w="1122" w:type="dxa"/>
            <w:vMerge/>
            <w:vAlign w:val="center"/>
          </w:tcPr>
          <w:p w14:paraId="08D7AC0D" w14:textId="77777777" w:rsidR="00304132" w:rsidRPr="00AC3044" w:rsidRDefault="00304132" w:rsidP="00CD5E09">
            <w:pPr>
              <w:rPr>
                <w:rFonts w:eastAsia="SimSun"/>
              </w:rPr>
            </w:pPr>
          </w:p>
        </w:tc>
        <w:tc>
          <w:tcPr>
            <w:tcW w:w="1710" w:type="dxa"/>
            <w:vAlign w:val="center"/>
          </w:tcPr>
          <w:p w14:paraId="54F026EB" w14:textId="77777777" w:rsidR="00304132" w:rsidRPr="00AC3044" w:rsidRDefault="00304132" w:rsidP="00CD5E09">
            <w:pPr>
              <w:rPr>
                <w:rFonts w:eastAsia="SimSun"/>
              </w:rPr>
            </w:pPr>
            <w:r w:rsidRPr="00AC3044">
              <w:rPr>
                <w:rFonts w:eastAsia="SimSun"/>
              </w:rPr>
              <w:t>Бусульфан</w:t>
            </w:r>
          </w:p>
        </w:tc>
        <w:tc>
          <w:tcPr>
            <w:tcW w:w="1424" w:type="dxa"/>
            <w:vAlign w:val="center"/>
          </w:tcPr>
          <w:p w14:paraId="1C11E80E" w14:textId="77777777" w:rsidR="00304132" w:rsidRPr="00AC3044" w:rsidRDefault="00304132" w:rsidP="00CD5E09">
            <w:pPr>
              <w:rPr>
                <w:rFonts w:eastAsia="SimSun"/>
              </w:rPr>
            </w:pPr>
            <w:r w:rsidRPr="00AC3044">
              <w:rPr>
                <w:rFonts w:eastAsia="SimSun"/>
              </w:rPr>
              <w:t xml:space="preserve">4 мг/кг </w:t>
            </w:r>
          </w:p>
        </w:tc>
        <w:tc>
          <w:tcPr>
            <w:tcW w:w="1427" w:type="dxa"/>
            <w:vAlign w:val="center"/>
          </w:tcPr>
          <w:p w14:paraId="76001D07" w14:textId="77777777" w:rsidR="00304132" w:rsidRPr="00AC3044" w:rsidRDefault="00304132" w:rsidP="00CD5E09">
            <w:pPr>
              <w:rPr>
                <w:rFonts w:eastAsia="SimSun"/>
              </w:rPr>
            </w:pPr>
            <w:r w:rsidRPr="00AC3044">
              <w:rPr>
                <w:rFonts w:eastAsia="SimSun"/>
              </w:rPr>
              <w:t xml:space="preserve">12 мг/кг </w:t>
            </w:r>
          </w:p>
        </w:tc>
        <w:tc>
          <w:tcPr>
            <w:tcW w:w="1694" w:type="dxa"/>
            <w:vAlign w:val="center"/>
          </w:tcPr>
          <w:p w14:paraId="7D667B5E" w14:textId="77777777" w:rsidR="00304132" w:rsidRPr="00AC3044" w:rsidRDefault="00304132" w:rsidP="00CD5E09">
            <w:pPr>
              <w:rPr>
                <w:rFonts w:eastAsia="SimSun"/>
              </w:rPr>
            </w:pPr>
            <w:r w:rsidRPr="00AC3044">
              <w:rPr>
                <w:rFonts w:eastAsia="SimSun"/>
              </w:rPr>
              <w:t>С -5 дня по -3 день</w:t>
            </w:r>
          </w:p>
        </w:tc>
        <w:tc>
          <w:tcPr>
            <w:tcW w:w="2274" w:type="dxa"/>
            <w:vAlign w:val="center"/>
          </w:tcPr>
          <w:p w14:paraId="5F97BFA8" w14:textId="77777777" w:rsidR="00304132" w:rsidRPr="00AC3044" w:rsidRDefault="00304132" w:rsidP="00CD5E09">
            <w:pPr>
              <w:rPr>
                <w:rFonts w:eastAsia="SimSun"/>
              </w:rPr>
            </w:pPr>
            <w:r w:rsidRPr="00AC3044">
              <w:rPr>
                <w:rFonts w:eastAsia="SimSun"/>
              </w:rPr>
              <w:t>Внутрь, суммарная суточная доза разделяется на 4 приема с интервалом 6 часов.</w:t>
            </w:r>
          </w:p>
        </w:tc>
      </w:tr>
      <w:tr w:rsidR="00304132" w:rsidRPr="00AC3044" w14:paraId="2CC74651" w14:textId="77777777" w:rsidTr="00CD5E09">
        <w:trPr>
          <w:cantSplit/>
          <w:trHeight w:val="980"/>
        </w:trPr>
        <w:tc>
          <w:tcPr>
            <w:tcW w:w="1122" w:type="dxa"/>
            <w:textDirection w:val="btLr"/>
            <w:vAlign w:val="center"/>
          </w:tcPr>
          <w:p w14:paraId="33F362B8" w14:textId="77777777" w:rsidR="00304132" w:rsidRPr="00AC3044" w:rsidRDefault="00304132" w:rsidP="00CD5E09">
            <w:pPr>
              <w:rPr>
                <w:rFonts w:eastAsia="SimSun"/>
              </w:rPr>
            </w:pPr>
            <w:r w:rsidRPr="00AC3044">
              <w:rPr>
                <w:rFonts w:eastAsia="SimSun"/>
              </w:rPr>
              <w:t>Профилактика РТПХ</w:t>
            </w:r>
          </w:p>
        </w:tc>
        <w:tc>
          <w:tcPr>
            <w:tcW w:w="1710" w:type="dxa"/>
            <w:vAlign w:val="center"/>
          </w:tcPr>
          <w:p w14:paraId="1B1F00D7" w14:textId="77777777" w:rsidR="00304132" w:rsidRPr="00AC3044" w:rsidRDefault="00304132" w:rsidP="00CD5E09">
            <w:pPr>
              <w:rPr>
                <w:rFonts w:eastAsia="SimSun"/>
              </w:rPr>
            </w:pPr>
            <w:r w:rsidRPr="00AC3044">
              <w:rPr>
                <w:rFonts w:eastAsia="SimSun"/>
              </w:rPr>
              <w:t>Циклофосфамид</w:t>
            </w:r>
          </w:p>
        </w:tc>
        <w:tc>
          <w:tcPr>
            <w:tcW w:w="1424" w:type="dxa"/>
            <w:vAlign w:val="center"/>
          </w:tcPr>
          <w:p w14:paraId="0F700356" w14:textId="77777777" w:rsidR="00304132" w:rsidRPr="00AC3044" w:rsidRDefault="00304132" w:rsidP="00CD5E09">
            <w:pPr>
              <w:rPr>
                <w:rFonts w:eastAsia="SimSun"/>
              </w:rPr>
            </w:pPr>
            <w:r w:rsidRPr="00AC3044">
              <w:rPr>
                <w:rFonts w:eastAsia="SimSun"/>
              </w:rPr>
              <w:t>50 мг/кг</w:t>
            </w:r>
          </w:p>
        </w:tc>
        <w:tc>
          <w:tcPr>
            <w:tcW w:w="1427" w:type="dxa"/>
            <w:vAlign w:val="center"/>
          </w:tcPr>
          <w:p w14:paraId="573CBBCE" w14:textId="77777777" w:rsidR="00304132" w:rsidRPr="00AC3044" w:rsidRDefault="00304132" w:rsidP="00CD5E09">
            <w:pPr>
              <w:rPr>
                <w:rFonts w:eastAsia="SimSun"/>
              </w:rPr>
            </w:pPr>
            <w:r w:rsidRPr="00AC3044">
              <w:rPr>
                <w:rFonts w:eastAsia="SimSun"/>
              </w:rPr>
              <w:t>100 мг/кг</w:t>
            </w:r>
          </w:p>
        </w:tc>
        <w:tc>
          <w:tcPr>
            <w:tcW w:w="1694" w:type="dxa"/>
            <w:vAlign w:val="center"/>
          </w:tcPr>
          <w:p w14:paraId="4FFDA534" w14:textId="77777777" w:rsidR="00304132" w:rsidRPr="00AC3044" w:rsidRDefault="00304132" w:rsidP="00CD5E09">
            <w:pPr>
              <w:rPr>
                <w:rFonts w:eastAsia="SimSun"/>
              </w:rPr>
            </w:pPr>
            <w:r w:rsidRPr="00AC3044">
              <w:rPr>
                <w:rFonts w:eastAsia="SimSun"/>
              </w:rPr>
              <w:t>С +3 дня по +4 день</w:t>
            </w:r>
          </w:p>
        </w:tc>
        <w:tc>
          <w:tcPr>
            <w:tcW w:w="2274" w:type="dxa"/>
            <w:vAlign w:val="center"/>
          </w:tcPr>
          <w:p w14:paraId="50B78DC9" w14:textId="77777777" w:rsidR="00304132" w:rsidRPr="00AC3044" w:rsidRDefault="00304132" w:rsidP="00CD5E09">
            <w:pPr>
              <w:rPr>
                <w:rFonts w:eastAsia="SimSun"/>
              </w:rPr>
            </w:pPr>
            <w:r w:rsidRPr="00AC3044">
              <w:rPr>
                <w:rFonts w:eastAsia="SimSun"/>
              </w:rPr>
              <w:t>В/в, в течение 2 ч</w:t>
            </w:r>
          </w:p>
        </w:tc>
      </w:tr>
    </w:tbl>
    <w:p w14:paraId="73E15349" w14:textId="77777777" w:rsidR="00304132" w:rsidRPr="00C07B2E" w:rsidRDefault="00304132" w:rsidP="00304132">
      <w:pPr>
        <w:rPr>
          <w:rFonts w:eastAsia="SimSun"/>
        </w:rPr>
      </w:pPr>
      <w:r w:rsidRPr="00C07B2E">
        <w:rPr>
          <w:rFonts w:eastAsia="SimSun"/>
        </w:rPr>
        <w:tab/>
      </w:r>
    </w:p>
    <w:p w14:paraId="26450AC3" w14:textId="77777777" w:rsidR="00304132" w:rsidRPr="00C07B2E" w:rsidRDefault="00304132" w:rsidP="00304132">
      <w:pPr>
        <w:rPr>
          <w:rFonts w:eastAsia="SimSun"/>
        </w:rPr>
      </w:pPr>
      <w:bookmarkStart w:id="333" w:name="_Toc44401190"/>
      <w:r w:rsidRPr="00042499">
        <w:rPr>
          <w:rFonts w:eastAsia="SimSun"/>
        </w:rPr>
        <w:t>Таблица</w:t>
      </w:r>
      <w:r w:rsidRPr="00C07B2E">
        <w:rPr>
          <w:rFonts w:eastAsia="SimSun"/>
        </w:rPr>
        <w:t xml:space="preserve"> </w:t>
      </w:r>
      <w:r>
        <w:rPr>
          <w:rFonts w:eastAsia="SimSun"/>
        </w:rPr>
        <w:t>5.</w:t>
      </w:r>
      <w:r w:rsidRPr="00C07B2E">
        <w:rPr>
          <w:rFonts w:eastAsia="SimSun"/>
        </w:rPr>
        <w:t>2.1.4  – Flu180+Bu12 / PT-Cy+Tx+MMF30</w:t>
      </w:r>
      <w:bookmarkEnd w:id="333"/>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5"/>
        <w:gridCol w:w="1701"/>
        <w:gridCol w:w="1417"/>
        <w:gridCol w:w="1418"/>
        <w:gridCol w:w="1701"/>
        <w:gridCol w:w="2268"/>
      </w:tblGrid>
      <w:tr w:rsidR="00304132" w:rsidRPr="00AC3044" w14:paraId="09FEDB33" w14:textId="77777777" w:rsidTr="00CD5E09">
        <w:trPr>
          <w:cantSplit/>
          <w:trHeight w:val="20"/>
          <w:tblHeader/>
        </w:trPr>
        <w:tc>
          <w:tcPr>
            <w:tcW w:w="1135" w:type="dxa"/>
            <w:vAlign w:val="center"/>
          </w:tcPr>
          <w:p w14:paraId="41BA9C67" w14:textId="77777777" w:rsidR="00304132" w:rsidRPr="00470D3D" w:rsidRDefault="00304132" w:rsidP="00CD5E09">
            <w:pPr>
              <w:rPr>
                <w:rFonts w:eastAsia="SimSun"/>
              </w:rPr>
            </w:pPr>
          </w:p>
        </w:tc>
        <w:tc>
          <w:tcPr>
            <w:tcW w:w="1701" w:type="dxa"/>
            <w:vAlign w:val="center"/>
          </w:tcPr>
          <w:p w14:paraId="2F0EF2C9" w14:textId="77777777" w:rsidR="00304132" w:rsidRPr="00AC3044" w:rsidRDefault="00304132" w:rsidP="00CD5E09">
            <w:pPr>
              <w:rPr>
                <w:rFonts w:eastAsia="SimSun"/>
              </w:rPr>
            </w:pPr>
            <w:r w:rsidRPr="00AC3044">
              <w:rPr>
                <w:rFonts w:eastAsia="SimSun"/>
              </w:rPr>
              <w:t>Препарат</w:t>
            </w:r>
          </w:p>
        </w:tc>
        <w:tc>
          <w:tcPr>
            <w:tcW w:w="1417" w:type="dxa"/>
            <w:vAlign w:val="center"/>
          </w:tcPr>
          <w:p w14:paraId="6B84DAEA" w14:textId="77777777" w:rsidR="00304132" w:rsidRPr="00AC3044" w:rsidRDefault="00304132" w:rsidP="00CD5E09">
            <w:pPr>
              <w:rPr>
                <w:rFonts w:eastAsia="SimSun"/>
              </w:rPr>
            </w:pPr>
            <w:r w:rsidRPr="00AC3044">
              <w:rPr>
                <w:rFonts w:eastAsia="SimSun"/>
              </w:rPr>
              <w:t>Суточная доза</w:t>
            </w:r>
          </w:p>
        </w:tc>
        <w:tc>
          <w:tcPr>
            <w:tcW w:w="1418" w:type="dxa"/>
            <w:vAlign w:val="center"/>
          </w:tcPr>
          <w:p w14:paraId="62CF314D" w14:textId="77777777" w:rsidR="00304132" w:rsidRPr="00AC3044" w:rsidRDefault="00304132" w:rsidP="00CD5E09">
            <w:pPr>
              <w:rPr>
                <w:rFonts w:eastAsia="SimSun"/>
              </w:rPr>
            </w:pPr>
            <w:r w:rsidRPr="00AC3044">
              <w:rPr>
                <w:rFonts w:eastAsia="SimSun"/>
              </w:rPr>
              <w:t>Курсовая доза</w:t>
            </w:r>
          </w:p>
        </w:tc>
        <w:tc>
          <w:tcPr>
            <w:tcW w:w="1701" w:type="dxa"/>
            <w:vAlign w:val="center"/>
          </w:tcPr>
          <w:p w14:paraId="41A33F33" w14:textId="77777777" w:rsidR="00304132" w:rsidRPr="00AC3044" w:rsidRDefault="00304132" w:rsidP="00CD5E09">
            <w:pPr>
              <w:rPr>
                <w:rFonts w:eastAsia="SimSun"/>
              </w:rPr>
            </w:pPr>
            <w:r w:rsidRPr="00AC3044">
              <w:rPr>
                <w:rFonts w:eastAsia="SimSun"/>
              </w:rPr>
              <w:t>Дни введения</w:t>
            </w:r>
          </w:p>
        </w:tc>
        <w:tc>
          <w:tcPr>
            <w:tcW w:w="2268" w:type="dxa"/>
            <w:vAlign w:val="center"/>
          </w:tcPr>
          <w:p w14:paraId="2EBC5468" w14:textId="77777777" w:rsidR="00304132" w:rsidRPr="00AC3044" w:rsidRDefault="00304132" w:rsidP="00CD5E09">
            <w:pPr>
              <w:rPr>
                <w:rFonts w:eastAsia="SimSun"/>
              </w:rPr>
            </w:pPr>
            <w:r w:rsidRPr="00AC3044">
              <w:rPr>
                <w:rFonts w:eastAsia="SimSun"/>
              </w:rPr>
              <w:t>Порядок введения</w:t>
            </w:r>
          </w:p>
        </w:tc>
      </w:tr>
      <w:tr w:rsidR="00304132" w:rsidRPr="00AC3044" w14:paraId="09920585" w14:textId="77777777" w:rsidTr="00CD5E09">
        <w:trPr>
          <w:cantSplit/>
          <w:trHeight w:val="20"/>
        </w:trPr>
        <w:tc>
          <w:tcPr>
            <w:tcW w:w="1135" w:type="dxa"/>
            <w:vMerge w:val="restart"/>
            <w:textDirection w:val="btLr"/>
            <w:vAlign w:val="center"/>
          </w:tcPr>
          <w:p w14:paraId="112BD699" w14:textId="77777777" w:rsidR="00304132" w:rsidRPr="00AC3044" w:rsidRDefault="00304132" w:rsidP="00CD5E09">
            <w:pPr>
              <w:rPr>
                <w:rFonts w:eastAsia="SimSun"/>
              </w:rPr>
            </w:pPr>
            <w:r w:rsidRPr="00AC3044">
              <w:rPr>
                <w:rFonts w:eastAsia="SimSun"/>
              </w:rPr>
              <w:t>Кондиционирование</w:t>
            </w:r>
          </w:p>
        </w:tc>
        <w:tc>
          <w:tcPr>
            <w:tcW w:w="1701" w:type="dxa"/>
            <w:vAlign w:val="center"/>
          </w:tcPr>
          <w:p w14:paraId="59D45F5B" w14:textId="77777777" w:rsidR="00304132" w:rsidRPr="00AC3044" w:rsidRDefault="00304132" w:rsidP="00CD5E09">
            <w:pPr>
              <w:rPr>
                <w:rFonts w:eastAsia="SimSun"/>
              </w:rPr>
            </w:pPr>
            <w:r w:rsidRPr="00AC3044">
              <w:rPr>
                <w:rFonts w:eastAsia="SimSun"/>
              </w:rPr>
              <w:t xml:space="preserve">Флударабин </w:t>
            </w:r>
          </w:p>
        </w:tc>
        <w:tc>
          <w:tcPr>
            <w:tcW w:w="1417" w:type="dxa"/>
            <w:vAlign w:val="center"/>
          </w:tcPr>
          <w:p w14:paraId="435B139B" w14:textId="77777777" w:rsidR="00304132" w:rsidRPr="00AC3044" w:rsidRDefault="00304132" w:rsidP="00CD5E09">
            <w:pPr>
              <w:rPr>
                <w:rFonts w:eastAsia="SimSun"/>
              </w:rPr>
            </w:pPr>
            <w:r w:rsidRPr="00AC3044">
              <w:rPr>
                <w:rFonts w:eastAsia="SimSun"/>
              </w:rPr>
              <w:t>30 мг/м</w:t>
            </w:r>
            <w:r w:rsidRPr="001E6DBE">
              <w:rPr>
                <w:rFonts w:eastAsia="SimSun"/>
                <w:vertAlign w:val="superscript"/>
              </w:rPr>
              <w:t>2</w:t>
            </w:r>
          </w:p>
        </w:tc>
        <w:tc>
          <w:tcPr>
            <w:tcW w:w="1418" w:type="dxa"/>
            <w:vAlign w:val="center"/>
          </w:tcPr>
          <w:p w14:paraId="180BEA37" w14:textId="77777777" w:rsidR="00304132" w:rsidRPr="00AC3044" w:rsidRDefault="00304132" w:rsidP="00CD5E09">
            <w:pPr>
              <w:rPr>
                <w:rFonts w:eastAsia="SimSun"/>
              </w:rPr>
            </w:pPr>
            <w:r w:rsidRPr="00AC3044">
              <w:rPr>
                <w:rFonts w:eastAsia="SimSun"/>
              </w:rPr>
              <w:t>180 мг/м</w:t>
            </w:r>
            <w:r w:rsidRPr="001E6DBE">
              <w:rPr>
                <w:rFonts w:eastAsia="SimSun"/>
                <w:vertAlign w:val="superscript"/>
              </w:rPr>
              <w:t>2</w:t>
            </w:r>
          </w:p>
        </w:tc>
        <w:tc>
          <w:tcPr>
            <w:tcW w:w="1701" w:type="dxa"/>
            <w:vAlign w:val="center"/>
          </w:tcPr>
          <w:p w14:paraId="1C250FB5" w14:textId="77777777" w:rsidR="00304132" w:rsidRPr="00AC3044" w:rsidRDefault="00304132" w:rsidP="00CD5E09">
            <w:pPr>
              <w:rPr>
                <w:rFonts w:eastAsia="SimSun"/>
              </w:rPr>
            </w:pPr>
            <w:r w:rsidRPr="00AC3044">
              <w:rPr>
                <w:rFonts w:eastAsia="SimSun"/>
              </w:rPr>
              <w:t>С -7 дня по -2 день</w:t>
            </w:r>
          </w:p>
        </w:tc>
        <w:tc>
          <w:tcPr>
            <w:tcW w:w="2268" w:type="dxa"/>
            <w:vAlign w:val="center"/>
          </w:tcPr>
          <w:p w14:paraId="54D8506B" w14:textId="77777777" w:rsidR="00304132" w:rsidRPr="00AC3044" w:rsidRDefault="00304132" w:rsidP="00CD5E09">
            <w:pPr>
              <w:rPr>
                <w:rFonts w:eastAsia="SimSun"/>
              </w:rPr>
            </w:pPr>
            <w:r w:rsidRPr="00AC3044">
              <w:rPr>
                <w:rFonts w:eastAsia="SimSun"/>
              </w:rPr>
              <w:t>В/в, в течение 30 -60 мин</w:t>
            </w:r>
          </w:p>
        </w:tc>
      </w:tr>
      <w:tr w:rsidR="00304132" w:rsidRPr="00AC3044" w14:paraId="462DCC09" w14:textId="77777777" w:rsidTr="00CD5E09">
        <w:trPr>
          <w:cantSplit/>
          <w:trHeight w:val="1207"/>
        </w:trPr>
        <w:tc>
          <w:tcPr>
            <w:tcW w:w="1135" w:type="dxa"/>
            <w:vMerge/>
            <w:vAlign w:val="center"/>
          </w:tcPr>
          <w:p w14:paraId="41EA8154" w14:textId="77777777" w:rsidR="00304132" w:rsidRPr="00AC3044" w:rsidRDefault="00304132" w:rsidP="00CD5E09">
            <w:pPr>
              <w:rPr>
                <w:rFonts w:eastAsia="SimSun"/>
              </w:rPr>
            </w:pPr>
          </w:p>
        </w:tc>
        <w:tc>
          <w:tcPr>
            <w:tcW w:w="1701" w:type="dxa"/>
            <w:vAlign w:val="center"/>
          </w:tcPr>
          <w:p w14:paraId="5C704E54" w14:textId="77777777" w:rsidR="00304132" w:rsidRPr="00AC3044" w:rsidRDefault="00304132" w:rsidP="00CD5E09">
            <w:pPr>
              <w:rPr>
                <w:rFonts w:eastAsia="SimSun"/>
              </w:rPr>
            </w:pPr>
            <w:r w:rsidRPr="00AC3044">
              <w:rPr>
                <w:rFonts w:eastAsia="SimSun"/>
              </w:rPr>
              <w:t>Бусульфан</w:t>
            </w:r>
          </w:p>
        </w:tc>
        <w:tc>
          <w:tcPr>
            <w:tcW w:w="1417" w:type="dxa"/>
            <w:vAlign w:val="center"/>
          </w:tcPr>
          <w:p w14:paraId="5B79CC0C" w14:textId="77777777" w:rsidR="00304132" w:rsidRPr="00AC3044" w:rsidRDefault="00304132" w:rsidP="00CD5E09">
            <w:pPr>
              <w:rPr>
                <w:rFonts w:eastAsia="SimSun"/>
              </w:rPr>
            </w:pPr>
            <w:r w:rsidRPr="00AC3044">
              <w:rPr>
                <w:rFonts w:eastAsia="SimSun"/>
              </w:rPr>
              <w:t xml:space="preserve">4 мг/кг </w:t>
            </w:r>
          </w:p>
        </w:tc>
        <w:tc>
          <w:tcPr>
            <w:tcW w:w="1418" w:type="dxa"/>
            <w:vAlign w:val="center"/>
          </w:tcPr>
          <w:p w14:paraId="6A95D8E6" w14:textId="77777777" w:rsidR="00304132" w:rsidRPr="00AC3044" w:rsidRDefault="00304132" w:rsidP="00CD5E09">
            <w:pPr>
              <w:rPr>
                <w:rFonts w:eastAsia="SimSun"/>
              </w:rPr>
            </w:pPr>
            <w:r w:rsidRPr="00AC3044">
              <w:rPr>
                <w:rFonts w:eastAsia="SimSun"/>
              </w:rPr>
              <w:t xml:space="preserve">12мг/кг </w:t>
            </w:r>
          </w:p>
        </w:tc>
        <w:tc>
          <w:tcPr>
            <w:tcW w:w="1701" w:type="dxa"/>
            <w:vAlign w:val="center"/>
          </w:tcPr>
          <w:p w14:paraId="11AEE904" w14:textId="77777777" w:rsidR="00304132" w:rsidRPr="00AC3044" w:rsidRDefault="00304132" w:rsidP="00CD5E09">
            <w:pPr>
              <w:rPr>
                <w:rFonts w:eastAsia="SimSun"/>
              </w:rPr>
            </w:pPr>
            <w:r w:rsidRPr="00AC3044">
              <w:rPr>
                <w:rFonts w:eastAsia="SimSun"/>
              </w:rPr>
              <w:t>С -5 дня по -3 день</w:t>
            </w:r>
          </w:p>
        </w:tc>
        <w:tc>
          <w:tcPr>
            <w:tcW w:w="2268" w:type="dxa"/>
            <w:vAlign w:val="center"/>
          </w:tcPr>
          <w:p w14:paraId="7E2E02C9" w14:textId="77777777" w:rsidR="00304132" w:rsidRPr="00AC3044" w:rsidRDefault="00304132" w:rsidP="00CD5E09">
            <w:pPr>
              <w:rPr>
                <w:rFonts w:eastAsia="SimSun"/>
              </w:rPr>
            </w:pPr>
            <w:r w:rsidRPr="00AC3044">
              <w:rPr>
                <w:rFonts w:eastAsia="SimSun"/>
              </w:rPr>
              <w:t>Внутрь, суммарная суточная доза разделяется на 4 приема с интервалом 6 часов.</w:t>
            </w:r>
          </w:p>
        </w:tc>
      </w:tr>
      <w:tr w:rsidR="00304132" w:rsidRPr="00AC3044" w14:paraId="5F8C53A4" w14:textId="77777777" w:rsidTr="00CD5E09">
        <w:trPr>
          <w:cantSplit/>
          <w:trHeight w:val="669"/>
        </w:trPr>
        <w:tc>
          <w:tcPr>
            <w:tcW w:w="1135" w:type="dxa"/>
            <w:vMerge w:val="restart"/>
            <w:textDirection w:val="btLr"/>
            <w:vAlign w:val="center"/>
          </w:tcPr>
          <w:p w14:paraId="65F94837" w14:textId="77777777" w:rsidR="00304132" w:rsidRPr="00AC3044" w:rsidRDefault="00304132" w:rsidP="00CD5E09">
            <w:pPr>
              <w:rPr>
                <w:rFonts w:eastAsia="SimSun"/>
              </w:rPr>
            </w:pPr>
            <w:r w:rsidRPr="00AC3044">
              <w:rPr>
                <w:rFonts w:eastAsia="SimSun"/>
              </w:rPr>
              <w:t>Профилактика РТПХ</w:t>
            </w:r>
          </w:p>
        </w:tc>
        <w:tc>
          <w:tcPr>
            <w:tcW w:w="1701" w:type="dxa"/>
            <w:vAlign w:val="center"/>
          </w:tcPr>
          <w:p w14:paraId="275442BE" w14:textId="77777777" w:rsidR="00304132" w:rsidRPr="00AC3044" w:rsidRDefault="00304132" w:rsidP="00CD5E09">
            <w:pPr>
              <w:rPr>
                <w:rFonts w:eastAsia="SimSun"/>
              </w:rPr>
            </w:pPr>
            <w:r w:rsidRPr="00AC3044">
              <w:rPr>
                <w:rFonts w:eastAsia="SimSun"/>
              </w:rPr>
              <w:t>Циклофосфамид</w:t>
            </w:r>
          </w:p>
        </w:tc>
        <w:tc>
          <w:tcPr>
            <w:tcW w:w="1417" w:type="dxa"/>
            <w:vAlign w:val="center"/>
          </w:tcPr>
          <w:p w14:paraId="669147EA" w14:textId="77777777" w:rsidR="00304132" w:rsidRPr="00AC3044" w:rsidRDefault="00304132" w:rsidP="00CD5E09">
            <w:pPr>
              <w:rPr>
                <w:rFonts w:eastAsia="SimSun"/>
              </w:rPr>
            </w:pPr>
            <w:r w:rsidRPr="00AC3044">
              <w:rPr>
                <w:rFonts w:eastAsia="SimSun"/>
              </w:rPr>
              <w:t>50 мг/кг</w:t>
            </w:r>
          </w:p>
        </w:tc>
        <w:tc>
          <w:tcPr>
            <w:tcW w:w="1418" w:type="dxa"/>
            <w:vAlign w:val="center"/>
          </w:tcPr>
          <w:p w14:paraId="6E80D47D" w14:textId="77777777" w:rsidR="00304132" w:rsidRPr="00AC3044" w:rsidRDefault="00304132" w:rsidP="00CD5E09">
            <w:pPr>
              <w:rPr>
                <w:rFonts w:eastAsia="SimSun"/>
              </w:rPr>
            </w:pPr>
            <w:r w:rsidRPr="00AC3044">
              <w:rPr>
                <w:rFonts w:eastAsia="SimSun"/>
              </w:rPr>
              <w:t>100 мг/кг</w:t>
            </w:r>
          </w:p>
        </w:tc>
        <w:tc>
          <w:tcPr>
            <w:tcW w:w="1701" w:type="dxa"/>
            <w:vAlign w:val="center"/>
          </w:tcPr>
          <w:p w14:paraId="5F64C29C" w14:textId="77777777" w:rsidR="00304132" w:rsidRPr="00AC3044" w:rsidRDefault="00304132" w:rsidP="00CD5E09">
            <w:pPr>
              <w:rPr>
                <w:rFonts w:eastAsia="SimSun"/>
              </w:rPr>
            </w:pPr>
            <w:r w:rsidRPr="00AC3044">
              <w:rPr>
                <w:rFonts w:eastAsia="SimSun"/>
              </w:rPr>
              <w:t>С +3 дня по +4 день</w:t>
            </w:r>
          </w:p>
        </w:tc>
        <w:tc>
          <w:tcPr>
            <w:tcW w:w="2268" w:type="dxa"/>
            <w:vAlign w:val="center"/>
          </w:tcPr>
          <w:p w14:paraId="378AB69C" w14:textId="77777777" w:rsidR="00304132" w:rsidRPr="00AC3044" w:rsidRDefault="00304132" w:rsidP="00CD5E09">
            <w:pPr>
              <w:rPr>
                <w:rFonts w:eastAsia="SimSun"/>
              </w:rPr>
            </w:pPr>
            <w:r w:rsidRPr="00AC3044">
              <w:rPr>
                <w:rFonts w:eastAsia="SimSun"/>
              </w:rPr>
              <w:t>В/в, в течение 2 ч</w:t>
            </w:r>
          </w:p>
        </w:tc>
      </w:tr>
      <w:tr w:rsidR="00304132" w:rsidRPr="00AC3044" w14:paraId="2D48F527" w14:textId="77777777" w:rsidTr="00CD5E09">
        <w:trPr>
          <w:cantSplit/>
          <w:trHeight w:val="958"/>
        </w:trPr>
        <w:tc>
          <w:tcPr>
            <w:tcW w:w="1135" w:type="dxa"/>
            <w:vMerge/>
            <w:textDirection w:val="btLr"/>
            <w:vAlign w:val="center"/>
          </w:tcPr>
          <w:p w14:paraId="257193AB" w14:textId="77777777" w:rsidR="00304132" w:rsidRPr="00AC3044" w:rsidRDefault="00304132" w:rsidP="00CD5E09">
            <w:pPr>
              <w:rPr>
                <w:rFonts w:eastAsia="SimSun"/>
              </w:rPr>
            </w:pPr>
          </w:p>
        </w:tc>
        <w:tc>
          <w:tcPr>
            <w:tcW w:w="1701" w:type="dxa"/>
            <w:vAlign w:val="center"/>
          </w:tcPr>
          <w:p w14:paraId="113ADFD7" w14:textId="77777777" w:rsidR="00304132" w:rsidRPr="00AC3044" w:rsidRDefault="00304132" w:rsidP="00CD5E09">
            <w:pPr>
              <w:rPr>
                <w:rFonts w:eastAsia="SimSun"/>
              </w:rPr>
            </w:pPr>
            <w:r w:rsidRPr="00AC3044">
              <w:rPr>
                <w:rFonts w:eastAsia="SimSun"/>
              </w:rPr>
              <w:t xml:space="preserve">Такролимус </w:t>
            </w:r>
          </w:p>
        </w:tc>
        <w:tc>
          <w:tcPr>
            <w:tcW w:w="1417" w:type="dxa"/>
            <w:vAlign w:val="center"/>
          </w:tcPr>
          <w:p w14:paraId="1AA9F0FB" w14:textId="77777777" w:rsidR="00304132" w:rsidRPr="00AC3044" w:rsidRDefault="00304132" w:rsidP="00CD5E09">
            <w:pPr>
              <w:rPr>
                <w:rFonts w:eastAsia="SimSun"/>
              </w:rPr>
            </w:pPr>
            <w:r w:rsidRPr="00AC3044">
              <w:rPr>
                <w:rFonts w:eastAsia="SimSun"/>
              </w:rPr>
              <w:t>0,03 мг/кг</w:t>
            </w:r>
          </w:p>
        </w:tc>
        <w:tc>
          <w:tcPr>
            <w:tcW w:w="1418" w:type="dxa"/>
            <w:vAlign w:val="center"/>
          </w:tcPr>
          <w:p w14:paraId="048E97AB" w14:textId="77777777" w:rsidR="00304132" w:rsidRPr="00AC3044" w:rsidRDefault="00304132" w:rsidP="00CD5E09">
            <w:pPr>
              <w:rPr>
                <w:rFonts w:eastAsia="SimSun"/>
              </w:rPr>
            </w:pPr>
            <w:r w:rsidRPr="00AC3044">
              <w:rPr>
                <w:rFonts w:eastAsia="SimSun"/>
              </w:rPr>
              <w:t>–</w:t>
            </w:r>
          </w:p>
        </w:tc>
        <w:tc>
          <w:tcPr>
            <w:tcW w:w="1701" w:type="dxa"/>
            <w:vAlign w:val="center"/>
          </w:tcPr>
          <w:p w14:paraId="6D5D1D5C" w14:textId="77777777" w:rsidR="00304132" w:rsidRPr="00AC3044" w:rsidRDefault="00304132" w:rsidP="00CD5E09">
            <w:pPr>
              <w:rPr>
                <w:rFonts w:eastAsia="SimSun"/>
              </w:rPr>
            </w:pPr>
            <w:r w:rsidRPr="00AC3044">
              <w:rPr>
                <w:rFonts w:eastAsia="SimSun"/>
              </w:rPr>
              <w:t xml:space="preserve">С +5 дня длительно </w:t>
            </w:r>
          </w:p>
        </w:tc>
        <w:tc>
          <w:tcPr>
            <w:tcW w:w="2268" w:type="dxa"/>
            <w:vAlign w:val="center"/>
          </w:tcPr>
          <w:p w14:paraId="283C5300" w14:textId="77777777" w:rsidR="00304132" w:rsidRPr="00AC3044" w:rsidRDefault="00304132" w:rsidP="00CD5E09">
            <w:pPr>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 </w:t>
            </w:r>
            <w:r w:rsidRPr="00AC3044">
              <w:rPr>
                <w:rFonts w:eastAsia="SimSun"/>
              </w:rPr>
              <w:t xml:space="preserve"> 10</w:t>
            </w:r>
            <w:r w:rsidRPr="001E6DBE">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304132" w:rsidRPr="00AC3044" w14:paraId="3522381D" w14:textId="77777777" w:rsidTr="00CD5E09">
        <w:trPr>
          <w:cantSplit/>
          <w:trHeight w:val="486"/>
        </w:trPr>
        <w:tc>
          <w:tcPr>
            <w:tcW w:w="1135" w:type="dxa"/>
            <w:vMerge/>
            <w:textDirection w:val="btLr"/>
            <w:vAlign w:val="center"/>
          </w:tcPr>
          <w:p w14:paraId="62F19DF3" w14:textId="77777777" w:rsidR="00304132" w:rsidRPr="00AC3044" w:rsidRDefault="00304132" w:rsidP="00CD5E09">
            <w:pPr>
              <w:rPr>
                <w:rFonts w:eastAsia="SimSun"/>
              </w:rPr>
            </w:pPr>
          </w:p>
        </w:tc>
        <w:tc>
          <w:tcPr>
            <w:tcW w:w="1701" w:type="dxa"/>
            <w:vAlign w:val="center"/>
          </w:tcPr>
          <w:p w14:paraId="6A4569BD" w14:textId="77777777" w:rsidR="00304132" w:rsidRPr="00AC3044" w:rsidRDefault="00304132" w:rsidP="00CD5E09">
            <w:pPr>
              <w:rPr>
                <w:rFonts w:eastAsia="SimSun"/>
              </w:rPr>
            </w:pPr>
            <w:r w:rsidRPr="00AC3044">
              <w:rPr>
                <w:rFonts w:eastAsia="SimSun"/>
              </w:rPr>
              <w:t>Микофенолата мофетил</w:t>
            </w:r>
          </w:p>
        </w:tc>
        <w:tc>
          <w:tcPr>
            <w:tcW w:w="1417" w:type="dxa"/>
            <w:vAlign w:val="center"/>
          </w:tcPr>
          <w:p w14:paraId="03F6582C" w14:textId="77777777" w:rsidR="00304132" w:rsidRPr="00AC3044" w:rsidRDefault="00304132" w:rsidP="00CD5E09">
            <w:pPr>
              <w:rPr>
                <w:rFonts w:eastAsia="SimSun"/>
              </w:rPr>
            </w:pPr>
            <w:r w:rsidRPr="00AC3044">
              <w:rPr>
                <w:rFonts w:eastAsia="SimSun"/>
              </w:rPr>
              <w:t xml:space="preserve">30 мг/кг </w:t>
            </w:r>
          </w:p>
        </w:tc>
        <w:tc>
          <w:tcPr>
            <w:tcW w:w="1418" w:type="dxa"/>
            <w:vAlign w:val="center"/>
          </w:tcPr>
          <w:p w14:paraId="1CA141AA" w14:textId="77777777" w:rsidR="00304132" w:rsidRPr="00AC3044" w:rsidRDefault="00304132" w:rsidP="00CD5E09">
            <w:pPr>
              <w:rPr>
                <w:rFonts w:eastAsia="SimSun"/>
              </w:rPr>
            </w:pPr>
            <w:r w:rsidRPr="00AC3044">
              <w:rPr>
                <w:rFonts w:eastAsia="SimSun"/>
              </w:rPr>
              <w:t>–</w:t>
            </w:r>
          </w:p>
        </w:tc>
        <w:tc>
          <w:tcPr>
            <w:tcW w:w="1701" w:type="dxa"/>
            <w:vAlign w:val="center"/>
          </w:tcPr>
          <w:p w14:paraId="7160DAA4" w14:textId="77777777" w:rsidR="00304132" w:rsidRPr="00AC3044" w:rsidRDefault="00304132" w:rsidP="00CD5E09">
            <w:pPr>
              <w:rPr>
                <w:rFonts w:eastAsia="SimSun"/>
              </w:rPr>
            </w:pPr>
            <w:r w:rsidRPr="00AC3044">
              <w:rPr>
                <w:rFonts w:eastAsia="SimSun"/>
              </w:rPr>
              <w:t xml:space="preserve">С +5 дня по +35 день </w:t>
            </w:r>
          </w:p>
        </w:tc>
        <w:tc>
          <w:tcPr>
            <w:tcW w:w="2268" w:type="dxa"/>
            <w:vAlign w:val="center"/>
          </w:tcPr>
          <w:p w14:paraId="2BB0B526" w14:textId="77777777" w:rsidR="00304132" w:rsidRPr="00AC3044" w:rsidRDefault="00304132" w:rsidP="00CD5E09">
            <w:pPr>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 xml:space="preserve">г/сут).  </w:t>
            </w:r>
          </w:p>
        </w:tc>
      </w:tr>
    </w:tbl>
    <w:p w14:paraId="7CCF8B0C" w14:textId="77777777" w:rsidR="00304132" w:rsidRDefault="00304132" w:rsidP="00304132">
      <w:pPr>
        <w:rPr>
          <w:rFonts w:eastAsia="SimSun"/>
        </w:rPr>
      </w:pPr>
      <w:bookmarkStart w:id="334" w:name="_Toc44401191"/>
    </w:p>
    <w:p w14:paraId="41163562" w14:textId="77777777" w:rsidR="00304132" w:rsidRPr="00C07B2E" w:rsidRDefault="00304132" w:rsidP="00304132">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2.1.5  – Flu180+Bu12 / PT-Cy+CSA+MMF30</w:t>
      </w:r>
      <w:bookmarkEnd w:id="334"/>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5"/>
        <w:gridCol w:w="1701"/>
        <w:gridCol w:w="1417"/>
        <w:gridCol w:w="1418"/>
        <w:gridCol w:w="1701"/>
        <w:gridCol w:w="2268"/>
      </w:tblGrid>
      <w:tr w:rsidR="00304132" w:rsidRPr="00AC3044" w14:paraId="1B0A9F23" w14:textId="77777777" w:rsidTr="00CD5E09">
        <w:trPr>
          <w:cantSplit/>
          <w:trHeight w:val="20"/>
          <w:tblHeader/>
        </w:trPr>
        <w:tc>
          <w:tcPr>
            <w:tcW w:w="1135" w:type="dxa"/>
            <w:vAlign w:val="center"/>
          </w:tcPr>
          <w:p w14:paraId="0C0ACB58" w14:textId="77777777" w:rsidR="00304132" w:rsidRPr="00470D3D" w:rsidRDefault="00304132" w:rsidP="00CD5E09">
            <w:pPr>
              <w:rPr>
                <w:rFonts w:eastAsia="SimSun"/>
              </w:rPr>
            </w:pPr>
          </w:p>
        </w:tc>
        <w:tc>
          <w:tcPr>
            <w:tcW w:w="1701" w:type="dxa"/>
            <w:vAlign w:val="center"/>
          </w:tcPr>
          <w:p w14:paraId="1527A12C" w14:textId="77777777" w:rsidR="00304132" w:rsidRPr="00AC3044" w:rsidRDefault="00304132" w:rsidP="00CD5E09">
            <w:pPr>
              <w:rPr>
                <w:rFonts w:eastAsia="SimSun"/>
              </w:rPr>
            </w:pPr>
            <w:r w:rsidRPr="00AC3044">
              <w:rPr>
                <w:rFonts w:eastAsia="SimSun"/>
              </w:rPr>
              <w:t>Препарат</w:t>
            </w:r>
          </w:p>
        </w:tc>
        <w:tc>
          <w:tcPr>
            <w:tcW w:w="1417" w:type="dxa"/>
            <w:vAlign w:val="center"/>
          </w:tcPr>
          <w:p w14:paraId="2C5EE349" w14:textId="77777777" w:rsidR="00304132" w:rsidRPr="00AC3044" w:rsidRDefault="00304132" w:rsidP="00CD5E09">
            <w:pPr>
              <w:rPr>
                <w:rFonts w:eastAsia="SimSun"/>
              </w:rPr>
            </w:pPr>
            <w:r w:rsidRPr="00AC3044">
              <w:rPr>
                <w:rFonts w:eastAsia="SimSun"/>
              </w:rPr>
              <w:t>Суточная доза</w:t>
            </w:r>
          </w:p>
        </w:tc>
        <w:tc>
          <w:tcPr>
            <w:tcW w:w="1418" w:type="dxa"/>
            <w:vAlign w:val="center"/>
          </w:tcPr>
          <w:p w14:paraId="4F423A3D" w14:textId="77777777" w:rsidR="00304132" w:rsidRPr="00AC3044" w:rsidRDefault="00304132" w:rsidP="00CD5E09">
            <w:pPr>
              <w:rPr>
                <w:rFonts w:eastAsia="SimSun"/>
              </w:rPr>
            </w:pPr>
            <w:r w:rsidRPr="00AC3044">
              <w:rPr>
                <w:rFonts w:eastAsia="SimSun"/>
              </w:rPr>
              <w:t>Курсовая доза</w:t>
            </w:r>
          </w:p>
        </w:tc>
        <w:tc>
          <w:tcPr>
            <w:tcW w:w="1701" w:type="dxa"/>
            <w:vAlign w:val="center"/>
          </w:tcPr>
          <w:p w14:paraId="3AC12461" w14:textId="77777777" w:rsidR="00304132" w:rsidRPr="00AC3044" w:rsidRDefault="00304132" w:rsidP="00CD5E09">
            <w:pPr>
              <w:rPr>
                <w:rFonts w:eastAsia="SimSun"/>
              </w:rPr>
            </w:pPr>
            <w:r w:rsidRPr="00AC3044">
              <w:rPr>
                <w:rFonts w:eastAsia="SimSun"/>
              </w:rPr>
              <w:t>Дни введения</w:t>
            </w:r>
          </w:p>
        </w:tc>
        <w:tc>
          <w:tcPr>
            <w:tcW w:w="2268" w:type="dxa"/>
            <w:vAlign w:val="center"/>
          </w:tcPr>
          <w:p w14:paraId="1E9D7E7F" w14:textId="77777777" w:rsidR="00304132" w:rsidRPr="00AC3044" w:rsidRDefault="00304132" w:rsidP="00CD5E09">
            <w:pPr>
              <w:rPr>
                <w:rFonts w:eastAsia="SimSun"/>
              </w:rPr>
            </w:pPr>
            <w:r w:rsidRPr="00AC3044">
              <w:rPr>
                <w:rFonts w:eastAsia="SimSun"/>
              </w:rPr>
              <w:t>Порядок введения</w:t>
            </w:r>
          </w:p>
        </w:tc>
      </w:tr>
      <w:tr w:rsidR="00304132" w:rsidRPr="00AC3044" w14:paraId="42085503" w14:textId="77777777" w:rsidTr="00CD5E09">
        <w:trPr>
          <w:cantSplit/>
          <w:trHeight w:val="20"/>
        </w:trPr>
        <w:tc>
          <w:tcPr>
            <w:tcW w:w="1135" w:type="dxa"/>
            <w:vMerge w:val="restart"/>
            <w:textDirection w:val="btLr"/>
            <w:vAlign w:val="center"/>
          </w:tcPr>
          <w:p w14:paraId="0187C2C2" w14:textId="77777777" w:rsidR="00304132" w:rsidRPr="00AC3044" w:rsidRDefault="00304132" w:rsidP="00CD5E09">
            <w:pPr>
              <w:rPr>
                <w:rFonts w:eastAsia="SimSun"/>
              </w:rPr>
            </w:pPr>
            <w:r w:rsidRPr="00AC3044">
              <w:rPr>
                <w:rFonts w:eastAsia="SimSun"/>
              </w:rPr>
              <w:t>Кондиционирование</w:t>
            </w:r>
          </w:p>
        </w:tc>
        <w:tc>
          <w:tcPr>
            <w:tcW w:w="1701" w:type="dxa"/>
            <w:vAlign w:val="center"/>
          </w:tcPr>
          <w:p w14:paraId="50473310" w14:textId="77777777" w:rsidR="00304132" w:rsidRPr="00AC3044" w:rsidRDefault="00304132" w:rsidP="00CD5E09">
            <w:pPr>
              <w:rPr>
                <w:rFonts w:eastAsia="SimSun"/>
              </w:rPr>
            </w:pPr>
            <w:r w:rsidRPr="00AC3044">
              <w:rPr>
                <w:rFonts w:eastAsia="SimSun"/>
              </w:rPr>
              <w:t xml:space="preserve">Флударабин </w:t>
            </w:r>
          </w:p>
        </w:tc>
        <w:tc>
          <w:tcPr>
            <w:tcW w:w="1417" w:type="dxa"/>
            <w:vAlign w:val="center"/>
          </w:tcPr>
          <w:p w14:paraId="567EDB8E" w14:textId="77777777" w:rsidR="00304132" w:rsidRPr="00AC3044" w:rsidRDefault="00304132" w:rsidP="00CD5E09">
            <w:pPr>
              <w:rPr>
                <w:rFonts w:eastAsia="SimSun"/>
              </w:rPr>
            </w:pPr>
            <w:r w:rsidRPr="00AC3044">
              <w:rPr>
                <w:rFonts w:eastAsia="SimSun"/>
              </w:rPr>
              <w:t>30 мг/м</w:t>
            </w:r>
            <w:r w:rsidRPr="001E6DBE">
              <w:rPr>
                <w:rFonts w:eastAsia="SimSun"/>
                <w:vertAlign w:val="superscript"/>
              </w:rPr>
              <w:t>2</w:t>
            </w:r>
          </w:p>
        </w:tc>
        <w:tc>
          <w:tcPr>
            <w:tcW w:w="1418" w:type="dxa"/>
            <w:vAlign w:val="center"/>
          </w:tcPr>
          <w:p w14:paraId="5BB9CDB8" w14:textId="77777777" w:rsidR="00304132" w:rsidRPr="00AC3044" w:rsidRDefault="00304132" w:rsidP="00CD5E09">
            <w:pPr>
              <w:rPr>
                <w:rFonts w:eastAsia="SimSun"/>
              </w:rPr>
            </w:pPr>
            <w:r w:rsidRPr="00AC3044">
              <w:rPr>
                <w:rFonts w:eastAsia="SimSun"/>
              </w:rPr>
              <w:t>180 мг/м</w:t>
            </w:r>
            <w:r w:rsidRPr="001E6DBE">
              <w:rPr>
                <w:rFonts w:eastAsia="SimSun"/>
                <w:vertAlign w:val="superscript"/>
              </w:rPr>
              <w:t>2</w:t>
            </w:r>
          </w:p>
        </w:tc>
        <w:tc>
          <w:tcPr>
            <w:tcW w:w="1701" w:type="dxa"/>
            <w:vAlign w:val="center"/>
          </w:tcPr>
          <w:p w14:paraId="021604B5" w14:textId="77777777" w:rsidR="00304132" w:rsidRPr="00AC3044" w:rsidRDefault="00304132" w:rsidP="00CD5E09">
            <w:pPr>
              <w:rPr>
                <w:rFonts w:eastAsia="SimSun"/>
              </w:rPr>
            </w:pPr>
            <w:r w:rsidRPr="00AC3044">
              <w:rPr>
                <w:rFonts w:eastAsia="SimSun"/>
              </w:rPr>
              <w:t>С -7 дня по -2 день</w:t>
            </w:r>
          </w:p>
        </w:tc>
        <w:tc>
          <w:tcPr>
            <w:tcW w:w="2268" w:type="dxa"/>
            <w:vAlign w:val="center"/>
          </w:tcPr>
          <w:p w14:paraId="21BF46B5" w14:textId="77777777" w:rsidR="00304132" w:rsidRPr="00AC3044" w:rsidRDefault="00304132" w:rsidP="00CD5E09">
            <w:pPr>
              <w:rPr>
                <w:rFonts w:eastAsia="SimSun"/>
              </w:rPr>
            </w:pPr>
            <w:r w:rsidRPr="00AC3044">
              <w:rPr>
                <w:rFonts w:eastAsia="SimSun"/>
              </w:rPr>
              <w:t>В/в, в течение 30 -60 мин</w:t>
            </w:r>
          </w:p>
        </w:tc>
      </w:tr>
      <w:tr w:rsidR="00304132" w:rsidRPr="00AC3044" w14:paraId="634E5F4F" w14:textId="77777777" w:rsidTr="00CD5E09">
        <w:trPr>
          <w:cantSplit/>
          <w:trHeight w:val="1207"/>
        </w:trPr>
        <w:tc>
          <w:tcPr>
            <w:tcW w:w="1135" w:type="dxa"/>
            <w:vMerge/>
            <w:vAlign w:val="center"/>
          </w:tcPr>
          <w:p w14:paraId="54B23AF7" w14:textId="77777777" w:rsidR="00304132" w:rsidRPr="00AC3044" w:rsidRDefault="00304132" w:rsidP="00CD5E09">
            <w:pPr>
              <w:rPr>
                <w:rFonts w:eastAsia="SimSun"/>
              </w:rPr>
            </w:pPr>
          </w:p>
        </w:tc>
        <w:tc>
          <w:tcPr>
            <w:tcW w:w="1701" w:type="dxa"/>
            <w:vAlign w:val="center"/>
          </w:tcPr>
          <w:p w14:paraId="548CFEA1" w14:textId="77777777" w:rsidR="00304132" w:rsidRPr="00AC3044" w:rsidRDefault="00304132" w:rsidP="00CD5E09">
            <w:pPr>
              <w:rPr>
                <w:rFonts w:eastAsia="SimSun"/>
              </w:rPr>
            </w:pPr>
            <w:r w:rsidRPr="00AC3044">
              <w:rPr>
                <w:rFonts w:eastAsia="SimSun"/>
              </w:rPr>
              <w:t>Бусульфан</w:t>
            </w:r>
          </w:p>
        </w:tc>
        <w:tc>
          <w:tcPr>
            <w:tcW w:w="1417" w:type="dxa"/>
            <w:vAlign w:val="center"/>
          </w:tcPr>
          <w:p w14:paraId="40114BB7" w14:textId="77777777" w:rsidR="00304132" w:rsidRPr="00AC3044" w:rsidRDefault="00304132" w:rsidP="00CD5E09">
            <w:pPr>
              <w:rPr>
                <w:rFonts w:eastAsia="SimSun"/>
              </w:rPr>
            </w:pPr>
            <w:r w:rsidRPr="00AC3044">
              <w:rPr>
                <w:rFonts w:eastAsia="SimSun"/>
              </w:rPr>
              <w:t xml:space="preserve">4 мг/кг </w:t>
            </w:r>
          </w:p>
        </w:tc>
        <w:tc>
          <w:tcPr>
            <w:tcW w:w="1418" w:type="dxa"/>
            <w:vAlign w:val="center"/>
          </w:tcPr>
          <w:p w14:paraId="72929487" w14:textId="77777777" w:rsidR="00304132" w:rsidRPr="00AC3044" w:rsidRDefault="00304132" w:rsidP="00CD5E09">
            <w:pPr>
              <w:rPr>
                <w:rFonts w:eastAsia="SimSun"/>
              </w:rPr>
            </w:pPr>
            <w:r w:rsidRPr="00AC3044">
              <w:rPr>
                <w:rFonts w:eastAsia="SimSun"/>
              </w:rPr>
              <w:t xml:space="preserve">12 мг/кг </w:t>
            </w:r>
          </w:p>
        </w:tc>
        <w:tc>
          <w:tcPr>
            <w:tcW w:w="1701" w:type="dxa"/>
            <w:vAlign w:val="center"/>
          </w:tcPr>
          <w:p w14:paraId="7C58F234" w14:textId="77777777" w:rsidR="00304132" w:rsidRPr="00AC3044" w:rsidRDefault="00304132" w:rsidP="00CD5E09">
            <w:pPr>
              <w:rPr>
                <w:rFonts w:eastAsia="SimSun"/>
              </w:rPr>
            </w:pPr>
            <w:r w:rsidRPr="00AC3044">
              <w:rPr>
                <w:rFonts w:eastAsia="SimSun"/>
              </w:rPr>
              <w:t>С -5 дня по -3 день</w:t>
            </w:r>
          </w:p>
        </w:tc>
        <w:tc>
          <w:tcPr>
            <w:tcW w:w="2268" w:type="dxa"/>
            <w:vAlign w:val="center"/>
          </w:tcPr>
          <w:p w14:paraId="7B50BC22" w14:textId="77777777" w:rsidR="00304132" w:rsidRPr="00AC3044" w:rsidRDefault="00304132" w:rsidP="00CD5E09">
            <w:pPr>
              <w:rPr>
                <w:rFonts w:eastAsia="SimSun"/>
              </w:rPr>
            </w:pPr>
            <w:r w:rsidRPr="00AC3044">
              <w:rPr>
                <w:rFonts w:eastAsia="SimSun"/>
              </w:rPr>
              <w:t>Внутрь, суммарная суточная доза разделяется на 4 приема с интервалом 6 часов.</w:t>
            </w:r>
          </w:p>
        </w:tc>
      </w:tr>
      <w:tr w:rsidR="00304132" w:rsidRPr="00AC3044" w14:paraId="2A31B698" w14:textId="77777777" w:rsidTr="00CD5E09">
        <w:trPr>
          <w:cantSplit/>
          <w:trHeight w:val="606"/>
        </w:trPr>
        <w:tc>
          <w:tcPr>
            <w:tcW w:w="1135" w:type="dxa"/>
            <w:vMerge w:val="restart"/>
            <w:textDirection w:val="btLr"/>
            <w:vAlign w:val="center"/>
          </w:tcPr>
          <w:p w14:paraId="50AB3663" w14:textId="77777777" w:rsidR="00304132" w:rsidRPr="00AC3044" w:rsidRDefault="00304132" w:rsidP="00CD5E09">
            <w:pPr>
              <w:rPr>
                <w:rFonts w:eastAsia="SimSun"/>
              </w:rPr>
            </w:pPr>
            <w:r w:rsidRPr="00AC3044">
              <w:rPr>
                <w:rFonts w:eastAsia="SimSun"/>
              </w:rPr>
              <w:t>Профилактика РТПХ</w:t>
            </w:r>
          </w:p>
        </w:tc>
        <w:tc>
          <w:tcPr>
            <w:tcW w:w="1701" w:type="dxa"/>
            <w:vAlign w:val="center"/>
          </w:tcPr>
          <w:p w14:paraId="535241E4" w14:textId="77777777" w:rsidR="00304132" w:rsidRPr="00AC3044" w:rsidRDefault="00304132" w:rsidP="00CD5E09">
            <w:pPr>
              <w:rPr>
                <w:rFonts w:eastAsia="SimSun"/>
              </w:rPr>
            </w:pPr>
            <w:r w:rsidRPr="00AC3044">
              <w:rPr>
                <w:rFonts w:eastAsia="SimSun"/>
              </w:rPr>
              <w:t>Циклофосфамид</w:t>
            </w:r>
          </w:p>
        </w:tc>
        <w:tc>
          <w:tcPr>
            <w:tcW w:w="1417" w:type="dxa"/>
            <w:vAlign w:val="center"/>
          </w:tcPr>
          <w:p w14:paraId="15B69E13" w14:textId="77777777" w:rsidR="00304132" w:rsidRPr="00AC3044" w:rsidRDefault="00304132" w:rsidP="00CD5E09">
            <w:pPr>
              <w:rPr>
                <w:rFonts w:eastAsia="SimSun"/>
              </w:rPr>
            </w:pPr>
            <w:r w:rsidRPr="00AC3044">
              <w:rPr>
                <w:rFonts w:eastAsia="SimSun"/>
              </w:rPr>
              <w:t>50 мг/кг</w:t>
            </w:r>
          </w:p>
        </w:tc>
        <w:tc>
          <w:tcPr>
            <w:tcW w:w="1418" w:type="dxa"/>
            <w:vAlign w:val="center"/>
          </w:tcPr>
          <w:p w14:paraId="19DAF501" w14:textId="77777777" w:rsidR="00304132" w:rsidRPr="00AC3044" w:rsidRDefault="00304132" w:rsidP="00CD5E09">
            <w:pPr>
              <w:rPr>
                <w:rFonts w:eastAsia="SimSun"/>
              </w:rPr>
            </w:pPr>
            <w:r w:rsidRPr="00AC3044">
              <w:rPr>
                <w:rFonts w:eastAsia="SimSun"/>
              </w:rPr>
              <w:t>100 мг/кг</w:t>
            </w:r>
          </w:p>
        </w:tc>
        <w:tc>
          <w:tcPr>
            <w:tcW w:w="1701" w:type="dxa"/>
            <w:vAlign w:val="center"/>
          </w:tcPr>
          <w:p w14:paraId="7FF5E061" w14:textId="77777777" w:rsidR="00304132" w:rsidRPr="00AC3044" w:rsidRDefault="00304132" w:rsidP="00CD5E09">
            <w:pPr>
              <w:rPr>
                <w:rFonts w:eastAsia="SimSun"/>
              </w:rPr>
            </w:pPr>
            <w:r w:rsidRPr="00AC3044">
              <w:rPr>
                <w:rFonts w:eastAsia="SimSun"/>
              </w:rPr>
              <w:t>В +3 день  и +5 день</w:t>
            </w:r>
          </w:p>
        </w:tc>
        <w:tc>
          <w:tcPr>
            <w:tcW w:w="2268" w:type="dxa"/>
            <w:vAlign w:val="center"/>
          </w:tcPr>
          <w:p w14:paraId="16ADF236" w14:textId="77777777" w:rsidR="00304132" w:rsidRPr="00AC3044" w:rsidRDefault="00304132" w:rsidP="00CD5E09">
            <w:pPr>
              <w:rPr>
                <w:rFonts w:eastAsia="SimSun"/>
              </w:rPr>
            </w:pPr>
            <w:r w:rsidRPr="00AC3044">
              <w:rPr>
                <w:rFonts w:eastAsia="SimSun"/>
              </w:rPr>
              <w:t>В/в, в течение 2 ч</w:t>
            </w:r>
          </w:p>
        </w:tc>
      </w:tr>
      <w:tr w:rsidR="00304132" w:rsidRPr="00AC3044" w14:paraId="681FF2D6" w14:textId="77777777" w:rsidTr="00CD5E09">
        <w:trPr>
          <w:cantSplit/>
          <w:trHeight w:val="829"/>
        </w:trPr>
        <w:tc>
          <w:tcPr>
            <w:tcW w:w="1135" w:type="dxa"/>
            <w:vMerge/>
            <w:textDirection w:val="btLr"/>
            <w:vAlign w:val="center"/>
          </w:tcPr>
          <w:p w14:paraId="5036A8CE" w14:textId="77777777" w:rsidR="00304132" w:rsidRPr="00AC3044" w:rsidRDefault="00304132" w:rsidP="00CD5E09">
            <w:pPr>
              <w:rPr>
                <w:rFonts w:eastAsia="SimSun"/>
              </w:rPr>
            </w:pPr>
          </w:p>
        </w:tc>
        <w:tc>
          <w:tcPr>
            <w:tcW w:w="1701" w:type="dxa"/>
            <w:vAlign w:val="center"/>
          </w:tcPr>
          <w:p w14:paraId="5BF6BA88" w14:textId="77777777" w:rsidR="00304132" w:rsidRPr="00AC3044" w:rsidRDefault="00304132" w:rsidP="00CD5E09">
            <w:pPr>
              <w:rPr>
                <w:rFonts w:eastAsia="SimSun"/>
              </w:rPr>
            </w:pPr>
            <w:r w:rsidRPr="00AC3044">
              <w:rPr>
                <w:rFonts w:eastAsia="SimSun"/>
              </w:rPr>
              <w:t>Микофенолата мофетил</w:t>
            </w:r>
          </w:p>
        </w:tc>
        <w:tc>
          <w:tcPr>
            <w:tcW w:w="1417" w:type="dxa"/>
            <w:vAlign w:val="center"/>
          </w:tcPr>
          <w:p w14:paraId="235EC920" w14:textId="77777777" w:rsidR="00304132" w:rsidRPr="00AC3044" w:rsidRDefault="00304132" w:rsidP="00CD5E09">
            <w:pPr>
              <w:rPr>
                <w:rFonts w:eastAsia="SimSun"/>
              </w:rPr>
            </w:pPr>
            <w:r w:rsidRPr="00AC3044">
              <w:rPr>
                <w:rFonts w:eastAsia="SimSun"/>
              </w:rPr>
              <w:t xml:space="preserve">30 мг/кг </w:t>
            </w:r>
          </w:p>
        </w:tc>
        <w:tc>
          <w:tcPr>
            <w:tcW w:w="1418" w:type="dxa"/>
            <w:vAlign w:val="center"/>
          </w:tcPr>
          <w:p w14:paraId="0656A2AD" w14:textId="77777777" w:rsidR="00304132" w:rsidRPr="00AC3044" w:rsidRDefault="00304132" w:rsidP="00CD5E09">
            <w:pPr>
              <w:rPr>
                <w:rFonts w:eastAsia="SimSun"/>
              </w:rPr>
            </w:pPr>
            <w:r w:rsidRPr="00AC3044">
              <w:rPr>
                <w:rFonts w:eastAsia="SimSun"/>
              </w:rPr>
              <w:t>–</w:t>
            </w:r>
          </w:p>
        </w:tc>
        <w:tc>
          <w:tcPr>
            <w:tcW w:w="1701" w:type="dxa"/>
            <w:vAlign w:val="center"/>
          </w:tcPr>
          <w:p w14:paraId="44AB765A" w14:textId="77777777" w:rsidR="00304132" w:rsidRPr="00AC3044" w:rsidRDefault="00304132" w:rsidP="00CD5E09">
            <w:pPr>
              <w:rPr>
                <w:rFonts w:eastAsia="SimSun"/>
              </w:rPr>
            </w:pPr>
            <w:r w:rsidRPr="00AC3044">
              <w:rPr>
                <w:rFonts w:eastAsia="SimSun"/>
              </w:rPr>
              <w:t xml:space="preserve">С +1 дня по +28 день </w:t>
            </w:r>
          </w:p>
        </w:tc>
        <w:tc>
          <w:tcPr>
            <w:tcW w:w="2268" w:type="dxa"/>
            <w:vAlign w:val="center"/>
          </w:tcPr>
          <w:p w14:paraId="00E83AAF" w14:textId="77777777" w:rsidR="00304132" w:rsidRPr="00AC3044" w:rsidRDefault="00304132" w:rsidP="00CD5E09">
            <w:pPr>
              <w:rPr>
                <w:rFonts w:eastAsia="SimSun"/>
              </w:rPr>
            </w:pPr>
            <w:r w:rsidRPr="00AC3044">
              <w:rPr>
                <w:rFonts w:eastAsia="SimSun"/>
              </w:rPr>
              <w:t xml:space="preserve">Внутрь, суммарная суточная доза разделяется на 2- 4 приема (не более 3г/сут).  </w:t>
            </w:r>
          </w:p>
        </w:tc>
      </w:tr>
      <w:tr w:rsidR="00304132" w:rsidRPr="00AC3044" w14:paraId="59E7FEB1" w14:textId="77777777" w:rsidTr="00CD5E09">
        <w:trPr>
          <w:cantSplit/>
          <w:trHeight w:val="958"/>
        </w:trPr>
        <w:tc>
          <w:tcPr>
            <w:tcW w:w="1135" w:type="dxa"/>
            <w:vMerge/>
            <w:textDirection w:val="btLr"/>
            <w:vAlign w:val="center"/>
          </w:tcPr>
          <w:p w14:paraId="2CB3DC7A" w14:textId="77777777" w:rsidR="00304132" w:rsidRPr="00AC3044" w:rsidRDefault="00304132" w:rsidP="00CD5E09">
            <w:pPr>
              <w:rPr>
                <w:rFonts w:eastAsia="SimSun"/>
              </w:rPr>
            </w:pPr>
          </w:p>
        </w:tc>
        <w:tc>
          <w:tcPr>
            <w:tcW w:w="1701" w:type="dxa"/>
            <w:vAlign w:val="center"/>
          </w:tcPr>
          <w:p w14:paraId="0B1E065F" w14:textId="77777777" w:rsidR="00304132" w:rsidRPr="00AC3044" w:rsidRDefault="00304132" w:rsidP="00CD5E09">
            <w:pPr>
              <w:rPr>
                <w:rFonts w:eastAsia="SimSun"/>
              </w:rPr>
            </w:pPr>
            <w:r w:rsidRPr="00AC3044">
              <w:rPr>
                <w:rFonts w:eastAsia="SimSun"/>
              </w:rPr>
              <w:t>Циклоспорин А</w:t>
            </w:r>
          </w:p>
        </w:tc>
        <w:tc>
          <w:tcPr>
            <w:tcW w:w="1417" w:type="dxa"/>
            <w:vAlign w:val="center"/>
          </w:tcPr>
          <w:p w14:paraId="19E71A05" w14:textId="77777777" w:rsidR="00304132" w:rsidRPr="00AC3044" w:rsidRDefault="00304132" w:rsidP="00CD5E09">
            <w:pPr>
              <w:rPr>
                <w:rFonts w:eastAsia="SimSun"/>
              </w:rPr>
            </w:pPr>
            <w:r w:rsidRPr="00AC3044">
              <w:rPr>
                <w:rFonts w:eastAsia="SimSun"/>
              </w:rPr>
              <w:t>3  мг/кг</w:t>
            </w:r>
          </w:p>
        </w:tc>
        <w:tc>
          <w:tcPr>
            <w:tcW w:w="1418" w:type="dxa"/>
            <w:vAlign w:val="center"/>
          </w:tcPr>
          <w:p w14:paraId="51DDEB6F" w14:textId="77777777" w:rsidR="00304132" w:rsidRPr="00AC3044" w:rsidRDefault="00304132" w:rsidP="00CD5E09">
            <w:pPr>
              <w:rPr>
                <w:rFonts w:eastAsia="SimSun"/>
              </w:rPr>
            </w:pPr>
            <w:r w:rsidRPr="00AC3044">
              <w:rPr>
                <w:rFonts w:eastAsia="SimSun"/>
              </w:rPr>
              <w:t>-</w:t>
            </w:r>
          </w:p>
        </w:tc>
        <w:tc>
          <w:tcPr>
            <w:tcW w:w="1701" w:type="dxa"/>
            <w:vAlign w:val="center"/>
          </w:tcPr>
          <w:p w14:paraId="499DF550" w14:textId="77777777" w:rsidR="00304132" w:rsidRPr="00AC3044" w:rsidRDefault="00304132" w:rsidP="00CD5E09">
            <w:pPr>
              <w:rPr>
                <w:rFonts w:eastAsia="SimSun"/>
              </w:rPr>
            </w:pPr>
            <w:r w:rsidRPr="00AC3044">
              <w:rPr>
                <w:rFonts w:eastAsia="SimSun"/>
              </w:rPr>
              <w:t xml:space="preserve">С -1 дня по +100 день </w:t>
            </w:r>
          </w:p>
        </w:tc>
        <w:tc>
          <w:tcPr>
            <w:tcW w:w="2268" w:type="dxa"/>
            <w:vAlign w:val="center"/>
          </w:tcPr>
          <w:p w14:paraId="4BD8DECB" w14:textId="77777777" w:rsidR="00304132" w:rsidRPr="00AC3044" w:rsidRDefault="00304132" w:rsidP="00CD5E09">
            <w:pPr>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1E6DBE">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bl>
    <w:p w14:paraId="3422AA30" w14:textId="77777777" w:rsidR="00304132" w:rsidRPr="001E6DBE" w:rsidRDefault="00304132" w:rsidP="00304132">
      <w:pPr>
        <w:rPr>
          <w:rFonts w:eastAsia="SimSun"/>
        </w:rPr>
      </w:pPr>
    </w:p>
    <w:p w14:paraId="30E7BDC5" w14:textId="77777777" w:rsidR="00304132" w:rsidRPr="00042499" w:rsidRDefault="00304132" w:rsidP="00304132">
      <w:pPr>
        <w:rPr>
          <w:rFonts w:eastAsia="SimSun"/>
          <w:lang w:val="en-US"/>
        </w:rPr>
      </w:pPr>
      <w:bookmarkStart w:id="335" w:name="_Toc44401192"/>
      <w:r>
        <w:rPr>
          <w:rFonts w:eastAsia="SimSun"/>
        </w:rPr>
        <w:t>Таблица</w:t>
      </w:r>
      <w:r w:rsidRPr="00042499">
        <w:rPr>
          <w:rFonts w:eastAsia="SimSun"/>
          <w:lang w:val="en-US"/>
        </w:rPr>
        <w:t xml:space="preserve"> </w:t>
      </w:r>
      <w:r>
        <w:rPr>
          <w:rFonts w:eastAsia="SimSun"/>
          <w:lang w:val="en-US"/>
        </w:rPr>
        <w:t>5.</w:t>
      </w:r>
      <w:r w:rsidRPr="00042499">
        <w:rPr>
          <w:rFonts w:eastAsia="SimSun"/>
          <w:lang w:val="en-US"/>
        </w:rPr>
        <w:t xml:space="preserve">2.1.6  – </w:t>
      </w:r>
      <w:r w:rsidRPr="00C07B2E">
        <w:rPr>
          <w:rFonts w:eastAsia="SimSun"/>
        </w:rPr>
        <w:t>Flu</w:t>
      </w:r>
      <w:r w:rsidRPr="00042499">
        <w:rPr>
          <w:rFonts w:eastAsia="SimSun"/>
          <w:lang w:val="en-US"/>
        </w:rPr>
        <w:t>180+</w:t>
      </w:r>
      <w:r w:rsidRPr="00C07B2E">
        <w:rPr>
          <w:rFonts w:eastAsia="SimSun"/>
        </w:rPr>
        <w:t>Bu</w:t>
      </w:r>
      <w:r w:rsidRPr="00042499">
        <w:rPr>
          <w:rFonts w:eastAsia="SimSun"/>
          <w:lang w:val="en-US"/>
        </w:rPr>
        <w:t xml:space="preserve">12 / </w:t>
      </w:r>
      <w:r w:rsidRPr="00C07B2E">
        <w:rPr>
          <w:rFonts w:eastAsia="SimSun"/>
        </w:rPr>
        <w:t>Tx</w:t>
      </w:r>
      <w:r w:rsidRPr="00042499">
        <w:rPr>
          <w:rFonts w:eastAsia="SimSun"/>
          <w:lang w:val="en-US"/>
        </w:rPr>
        <w:t>+</w:t>
      </w:r>
      <w:r w:rsidRPr="00C07B2E">
        <w:rPr>
          <w:rFonts w:eastAsia="SimSun"/>
        </w:rPr>
        <w:t>MMF</w:t>
      </w:r>
      <w:r w:rsidRPr="00042499">
        <w:rPr>
          <w:rFonts w:eastAsia="SimSun"/>
          <w:lang w:val="en-US"/>
        </w:rPr>
        <w:t>30</w:t>
      </w:r>
      <w:bookmarkEnd w:id="335"/>
    </w:p>
    <w:tbl>
      <w:tblPr>
        <w:tblpPr w:leftFromText="180" w:rightFromText="180" w:vertAnchor="text" w:horzAnchor="margin" w:tblpX="6" w:tblpY="38"/>
        <w:tblW w:w="96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42"/>
        <w:gridCol w:w="1709"/>
        <w:gridCol w:w="1395"/>
        <w:gridCol w:w="1367"/>
        <w:gridCol w:w="1783"/>
        <w:gridCol w:w="2267"/>
      </w:tblGrid>
      <w:tr w:rsidR="00304132" w:rsidRPr="00AC3044" w14:paraId="36201A26" w14:textId="77777777" w:rsidTr="00CD5E09">
        <w:trPr>
          <w:cantSplit/>
          <w:trHeight w:val="20"/>
          <w:tblHeader/>
        </w:trPr>
        <w:tc>
          <w:tcPr>
            <w:tcW w:w="1142" w:type="dxa"/>
            <w:vAlign w:val="center"/>
          </w:tcPr>
          <w:p w14:paraId="4567E93C" w14:textId="77777777" w:rsidR="00304132" w:rsidRPr="00AC3044" w:rsidRDefault="00304132" w:rsidP="00CD5E09">
            <w:pPr>
              <w:rPr>
                <w:rFonts w:eastAsia="SimSun"/>
              </w:rPr>
            </w:pPr>
          </w:p>
        </w:tc>
        <w:tc>
          <w:tcPr>
            <w:tcW w:w="1709" w:type="dxa"/>
            <w:vAlign w:val="center"/>
          </w:tcPr>
          <w:p w14:paraId="3E6B8541" w14:textId="77777777" w:rsidR="00304132" w:rsidRPr="00AC3044" w:rsidRDefault="00304132" w:rsidP="00CD5E09">
            <w:pPr>
              <w:rPr>
                <w:rFonts w:eastAsia="SimSun"/>
              </w:rPr>
            </w:pPr>
            <w:r w:rsidRPr="00AC3044">
              <w:rPr>
                <w:rFonts w:eastAsia="SimSun"/>
              </w:rPr>
              <w:t>Препарат</w:t>
            </w:r>
          </w:p>
        </w:tc>
        <w:tc>
          <w:tcPr>
            <w:tcW w:w="1395" w:type="dxa"/>
            <w:vAlign w:val="center"/>
          </w:tcPr>
          <w:p w14:paraId="3DE3DC04" w14:textId="77777777" w:rsidR="00304132" w:rsidRPr="00AC3044" w:rsidRDefault="00304132" w:rsidP="00CD5E09">
            <w:pPr>
              <w:rPr>
                <w:rFonts w:eastAsia="SimSun"/>
              </w:rPr>
            </w:pPr>
            <w:r w:rsidRPr="00AC3044">
              <w:rPr>
                <w:rFonts w:eastAsia="SimSun"/>
              </w:rPr>
              <w:t>Суточная доза</w:t>
            </w:r>
          </w:p>
        </w:tc>
        <w:tc>
          <w:tcPr>
            <w:tcW w:w="1367" w:type="dxa"/>
            <w:vAlign w:val="center"/>
          </w:tcPr>
          <w:p w14:paraId="697C5147" w14:textId="77777777" w:rsidR="00304132" w:rsidRPr="00AC3044" w:rsidRDefault="00304132" w:rsidP="00CD5E09">
            <w:pPr>
              <w:rPr>
                <w:rFonts w:eastAsia="SimSun"/>
              </w:rPr>
            </w:pPr>
            <w:r w:rsidRPr="00AC3044">
              <w:rPr>
                <w:rFonts w:eastAsia="SimSun"/>
              </w:rPr>
              <w:t>Курсовая доза</w:t>
            </w:r>
          </w:p>
        </w:tc>
        <w:tc>
          <w:tcPr>
            <w:tcW w:w="1783" w:type="dxa"/>
            <w:vAlign w:val="center"/>
          </w:tcPr>
          <w:p w14:paraId="61470A1A" w14:textId="77777777" w:rsidR="00304132" w:rsidRPr="00AC3044" w:rsidRDefault="00304132" w:rsidP="00CD5E09">
            <w:pPr>
              <w:rPr>
                <w:rFonts w:eastAsia="SimSun"/>
              </w:rPr>
            </w:pPr>
            <w:r w:rsidRPr="00AC3044">
              <w:rPr>
                <w:rFonts w:eastAsia="SimSun"/>
              </w:rPr>
              <w:t>Дни введения</w:t>
            </w:r>
          </w:p>
        </w:tc>
        <w:tc>
          <w:tcPr>
            <w:tcW w:w="2267" w:type="dxa"/>
            <w:vAlign w:val="center"/>
          </w:tcPr>
          <w:p w14:paraId="7D5B6434" w14:textId="77777777" w:rsidR="00304132" w:rsidRPr="00AC3044" w:rsidRDefault="00304132" w:rsidP="00CD5E09">
            <w:pPr>
              <w:rPr>
                <w:rFonts w:eastAsia="SimSun"/>
              </w:rPr>
            </w:pPr>
            <w:r w:rsidRPr="00AC3044">
              <w:rPr>
                <w:rFonts w:eastAsia="SimSun"/>
              </w:rPr>
              <w:t>Порядок введения</w:t>
            </w:r>
          </w:p>
        </w:tc>
      </w:tr>
      <w:tr w:rsidR="00304132" w:rsidRPr="00AC3044" w14:paraId="39354D9B" w14:textId="77777777" w:rsidTr="00CD5E09">
        <w:trPr>
          <w:cantSplit/>
          <w:trHeight w:val="20"/>
        </w:trPr>
        <w:tc>
          <w:tcPr>
            <w:tcW w:w="1142" w:type="dxa"/>
            <w:vMerge w:val="restart"/>
            <w:textDirection w:val="btLr"/>
            <w:vAlign w:val="center"/>
          </w:tcPr>
          <w:p w14:paraId="0897F601" w14:textId="77777777" w:rsidR="00304132" w:rsidRPr="00AC3044" w:rsidRDefault="00304132" w:rsidP="00CD5E09">
            <w:pPr>
              <w:rPr>
                <w:rFonts w:eastAsia="SimSun"/>
              </w:rPr>
            </w:pPr>
            <w:r w:rsidRPr="00AC3044">
              <w:rPr>
                <w:rFonts w:eastAsia="SimSun"/>
              </w:rPr>
              <w:t>Кондиционирование</w:t>
            </w:r>
          </w:p>
        </w:tc>
        <w:tc>
          <w:tcPr>
            <w:tcW w:w="1709" w:type="dxa"/>
            <w:vAlign w:val="center"/>
          </w:tcPr>
          <w:p w14:paraId="48C541CE" w14:textId="77777777" w:rsidR="00304132" w:rsidRPr="00AC3044" w:rsidRDefault="00304132" w:rsidP="00CD5E09">
            <w:pPr>
              <w:rPr>
                <w:rFonts w:eastAsia="SimSun"/>
              </w:rPr>
            </w:pPr>
            <w:r w:rsidRPr="00AC3044">
              <w:rPr>
                <w:rFonts w:eastAsia="SimSun"/>
              </w:rPr>
              <w:t xml:space="preserve">Флударабин </w:t>
            </w:r>
          </w:p>
        </w:tc>
        <w:tc>
          <w:tcPr>
            <w:tcW w:w="1395" w:type="dxa"/>
            <w:vAlign w:val="center"/>
          </w:tcPr>
          <w:p w14:paraId="527A5393" w14:textId="77777777" w:rsidR="00304132" w:rsidRPr="00AC3044" w:rsidRDefault="00304132" w:rsidP="00CD5E09">
            <w:pPr>
              <w:rPr>
                <w:rFonts w:eastAsia="SimSun"/>
              </w:rPr>
            </w:pPr>
            <w:r w:rsidRPr="00AC3044">
              <w:rPr>
                <w:rFonts w:eastAsia="SimSun"/>
              </w:rPr>
              <w:t>30 мг/м</w:t>
            </w:r>
            <w:r w:rsidRPr="001E6DBE">
              <w:rPr>
                <w:rFonts w:eastAsia="SimSun"/>
                <w:vertAlign w:val="superscript"/>
              </w:rPr>
              <w:t>2</w:t>
            </w:r>
          </w:p>
        </w:tc>
        <w:tc>
          <w:tcPr>
            <w:tcW w:w="1367" w:type="dxa"/>
            <w:vAlign w:val="center"/>
          </w:tcPr>
          <w:p w14:paraId="39E52324" w14:textId="77777777" w:rsidR="00304132" w:rsidRPr="00AC3044" w:rsidRDefault="00304132" w:rsidP="00CD5E09">
            <w:pPr>
              <w:rPr>
                <w:rFonts w:eastAsia="SimSun"/>
              </w:rPr>
            </w:pPr>
            <w:r w:rsidRPr="00AC3044">
              <w:rPr>
                <w:rFonts w:eastAsia="SimSun"/>
              </w:rPr>
              <w:t>180 мг/м</w:t>
            </w:r>
            <w:r w:rsidRPr="001E6DBE">
              <w:rPr>
                <w:rFonts w:eastAsia="SimSun"/>
                <w:vertAlign w:val="superscript"/>
              </w:rPr>
              <w:t>2</w:t>
            </w:r>
          </w:p>
        </w:tc>
        <w:tc>
          <w:tcPr>
            <w:tcW w:w="1783" w:type="dxa"/>
            <w:vAlign w:val="center"/>
          </w:tcPr>
          <w:p w14:paraId="2681F5C5" w14:textId="77777777" w:rsidR="00304132" w:rsidRPr="00AC3044" w:rsidRDefault="00304132" w:rsidP="00CD5E09">
            <w:pPr>
              <w:rPr>
                <w:rFonts w:eastAsia="SimSun"/>
              </w:rPr>
            </w:pPr>
            <w:r w:rsidRPr="00AC3044">
              <w:rPr>
                <w:rFonts w:eastAsia="SimSun"/>
              </w:rPr>
              <w:t>С -7 дня по -2 день</w:t>
            </w:r>
          </w:p>
        </w:tc>
        <w:tc>
          <w:tcPr>
            <w:tcW w:w="2267" w:type="dxa"/>
            <w:vAlign w:val="center"/>
          </w:tcPr>
          <w:p w14:paraId="62BE4A4D" w14:textId="77777777" w:rsidR="00304132" w:rsidRPr="00AC3044" w:rsidRDefault="00304132" w:rsidP="00CD5E09">
            <w:pPr>
              <w:rPr>
                <w:rFonts w:eastAsia="SimSun"/>
              </w:rPr>
            </w:pPr>
            <w:r w:rsidRPr="00AC3044">
              <w:rPr>
                <w:rFonts w:eastAsia="SimSun"/>
              </w:rPr>
              <w:t>В/в, в течение 30 -60 мин</w:t>
            </w:r>
          </w:p>
        </w:tc>
      </w:tr>
      <w:tr w:rsidR="00304132" w:rsidRPr="00AC3044" w14:paraId="32385779" w14:textId="77777777" w:rsidTr="00CD5E09">
        <w:trPr>
          <w:cantSplit/>
          <w:trHeight w:val="547"/>
        </w:trPr>
        <w:tc>
          <w:tcPr>
            <w:tcW w:w="1142" w:type="dxa"/>
            <w:vMerge/>
            <w:vAlign w:val="center"/>
          </w:tcPr>
          <w:p w14:paraId="4CEF00C9" w14:textId="77777777" w:rsidR="00304132" w:rsidRPr="00AC3044" w:rsidRDefault="00304132" w:rsidP="00CD5E09">
            <w:pPr>
              <w:rPr>
                <w:rFonts w:eastAsia="SimSun"/>
              </w:rPr>
            </w:pPr>
          </w:p>
        </w:tc>
        <w:tc>
          <w:tcPr>
            <w:tcW w:w="1709" w:type="dxa"/>
            <w:vAlign w:val="center"/>
          </w:tcPr>
          <w:p w14:paraId="07FDF1D2" w14:textId="77777777" w:rsidR="00304132" w:rsidRPr="00AC3044" w:rsidRDefault="00304132" w:rsidP="00CD5E09">
            <w:pPr>
              <w:rPr>
                <w:rFonts w:eastAsia="SimSun"/>
              </w:rPr>
            </w:pPr>
            <w:r w:rsidRPr="00AC3044">
              <w:rPr>
                <w:rFonts w:eastAsia="SimSun"/>
              </w:rPr>
              <w:t>Бусульфан</w:t>
            </w:r>
          </w:p>
        </w:tc>
        <w:tc>
          <w:tcPr>
            <w:tcW w:w="1395" w:type="dxa"/>
            <w:vAlign w:val="center"/>
          </w:tcPr>
          <w:p w14:paraId="3432ADC0" w14:textId="77777777" w:rsidR="00304132" w:rsidRPr="00AC3044" w:rsidRDefault="00304132" w:rsidP="00CD5E09">
            <w:pPr>
              <w:rPr>
                <w:rFonts w:eastAsia="SimSun"/>
              </w:rPr>
            </w:pPr>
            <w:r w:rsidRPr="00AC3044">
              <w:rPr>
                <w:rFonts w:eastAsia="SimSun"/>
              </w:rPr>
              <w:t xml:space="preserve">4 мг/кг </w:t>
            </w:r>
          </w:p>
        </w:tc>
        <w:tc>
          <w:tcPr>
            <w:tcW w:w="1367" w:type="dxa"/>
            <w:vAlign w:val="center"/>
          </w:tcPr>
          <w:p w14:paraId="17407BE4" w14:textId="77777777" w:rsidR="00304132" w:rsidRPr="00AC3044" w:rsidRDefault="00304132" w:rsidP="00CD5E09">
            <w:pPr>
              <w:rPr>
                <w:rFonts w:eastAsia="SimSun"/>
              </w:rPr>
            </w:pPr>
            <w:r w:rsidRPr="00AC3044">
              <w:rPr>
                <w:rFonts w:eastAsia="SimSun"/>
              </w:rPr>
              <w:t xml:space="preserve">12 мг/кг </w:t>
            </w:r>
          </w:p>
        </w:tc>
        <w:tc>
          <w:tcPr>
            <w:tcW w:w="1783" w:type="dxa"/>
            <w:vAlign w:val="center"/>
          </w:tcPr>
          <w:p w14:paraId="1FDD84D7" w14:textId="77777777" w:rsidR="00304132" w:rsidRPr="00AC3044" w:rsidRDefault="00304132" w:rsidP="00CD5E09">
            <w:pPr>
              <w:rPr>
                <w:rFonts w:eastAsia="SimSun"/>
              </w:rPr>
            </w:pPr>
            <w:r w:rsidRPr="00AC3044">
              <w:rPr>
                <w:rFonts w:eastAsia="SimSun"/>
              </w:rPr>
              <w:t>С -5 дня по -3 день</w:t>
            </w:r>
          </w:p>
        </w:tc>
        <w:tc>
          <w:tcPr>
            <w:tcW w:w="2267" w:type="dxa"/>
            <w:vAlign w:val="center"/>
          </w:tcPr>
          <w:p w14:paraId="103DE9A0" w14:textId="77777777" w:rsidR="00304132" w:rsidRPr="00AC3044" w:rsidRDefault="00304132" w:rsidP="00CD5E09">
            <w:pPr>
              <w:rPr>
                <w:rFonts w:eastAsia="SimSun"/>
              </w:rPr>
            </w:pPr>
            <w:r w:rsidRPr="00AC3044">
              <w:rPr>
                <w:rFonts w:eastAsia="SimSun"/>
              </w:rPr>
              <w:t>Внутрь, суммарная суточная доза разделяется на 4 приема с интервалом 6 часов.</w:t>
            </w:r>
          </w:p>
        </w:tc>
      </w:tr>
      <w:tr w:rsidR="00304132" w:rsidRPr="00AC3044" w14:paraId="519A1C22" w14:textId="77777777" w:rsidTr="00CD5E09">
        <w:trPr>
          <w:cantSplit/>
          <w:trHeight w:val="1498"/>
        </w:trPr>
        <w:tc>
          <w:tcPr>
            <w:tcW w:w="1142" w:type="dxa"/>
            <w:vMerge w:val="restart"/>
            <w:textDirection w:val="btLr"/>
            <w:vAlign w:val="center"/>
          </w:tcPr>
          <w:p w14:paraId="36808736" w14:textId="77777777" w:rsidR="00304132" w:rsidRPr="00AC3044" w:rsidRDefault="00304132" w:rsidP="00CD5E09">
            <w:pPr>
              <w:rPr>
                <w:rFonts w:eastAsia="SimSun"/>
              </w:rPr>
            </w:pPr>
            <w:r w:rsidRPr="00AC3044">
              <w:rPr>
                <w:rFonts w:eastAsia="SimSun"/>
              </w:rPr>
              <w:t>Профилактика РТПХ</w:t>
            </w:r>
          </w:p>
        </w:tc>
        <w:tc>
          <w:tcPr>
            <w:tcW w:w="1709" w:type="dxa"/>
            <w:vAlign w:val="center"/>
          </w:tcPr>
          <w:p w14:paraId="7BCFFCAD" w14:textId="77777777" w:rsidR="00304132" w:rsidRPr="00AC3044" w:rsidRDefault="00304132" w:rsidP="00CD5E09">
            <w:pPr>
              <w:rPr>
                <w:rFonts w:eastAsia="SimSun"/>
              </w:rPr>
            </w:pPr>
            <w:r w:rsidRPr="00AC3044">
              <w:rPr>
                <w:rFonts w:eastAsia="SimSun"/>
              </w:rPr>
              <w:t xml:space="preserve">Такролимус </w:t>
            </w:r>
          </w:p>
        </w:tc>
        <w:tc>
          <w:tcPr>
            <w:tcW w:w="1395" w:type="dxa"/>
            <w:vAlign w:val="center"/>
          </w:tcPr>
          <w:p w14:paraId="751D85C9" w14:textId="77777777" w:rsidR="00304132" w:rsidRPr="00AC3044" w:rsidRDefault="00304132" w:rsidP="00CD5E09">
            <w:pPr>
              <w:rPr>
                <w:rFonts w:eastAsia="SimSun"/>
              </w:rPr>
            </w:pPr>
            <w:r w:rsidRPr="00AC3044">
              <w:rPr>
                <w:rFonts w:eastAsia="SimSun"/>
              </w:rPr>
              <w:t>0,03 мг/кг</w:t>
            </w:r>
          </w:p>
        </w:tc>
        <w:tc>
          <w:tcPr>
            <w:tcW w:w="1367" w:type="dxa"/>
            <w:vAlign w:val="center"/>
          </w:tcPr>
          <w:p w14:paraId="08A2637D" w14:textId="77777777" w:rsidR="00304132" w:rsidRPr="00AC3044" w:rsidRDefault="00304132" w:rsidP="00CD5E09">
            <w:pPr>
              <w:rPr>
                <w:rFonts w:eastAsia="SimSun"/>
              </w:rPr>
            </w:pPr>
            <w:r w:rsidRPr="00AC3044">
              <w:rPr>
                <w:rFonts w:eastAsia="SimSun"/>
              </w:rPr>
              <w:t>–</w:t>
            </w:r>
          </w:p>
        </w:tc>
        <w:tc>
          <w:tcPr>
            <w:tcW w:w="1783" w:type="dxa"/>
            <w:vAlign w:val="center"/>
          </w:tcPr>
          <w:p w14:paraId="58CF6270" w14:textId="77777777" w:rsidR="00304132" w:rsidRPr="00AC3044" w:rsidRDefault="00304132" w:rsidP="00CD5E09">
            <w:pPr>
              <w:rPr>
                <w:rFonts w:eastAsia="SimSun"/>
              </w:rPr>
            </w:pPr>
            <w:r w:rsidRPr="00AC3044">
              <w:rPr>
                <w:rFonts w:eastAsia="SimSun"/>
              </w:rPr>
              <w:t xml:space="preserve">С +5 дня длительно </w:t>
            </w:r>
          </w:p>
        </w:tc>
        <w:tc>
          <w:tcPr>
            <w:tcW w:w="2267" w:type="dxa"/>
            <w:vAlign w:val="center"/>
          </w:tcPr>
          <w:p w14:paraId="27004D16" w14:textId="77777777" w:rsidR="00304132" w:rsidRPr="00AC3044" w:rsidRDefault="00304132" w:rsidP="00CD5E09">
            <w:pPr>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w:t>
            </w:r>
            <w:r w:rsidRPr="00AC3044">
              <w:rPr>
                <w:rFonts w:eastAsia="SimSun"/>
              </w:rPr>
              <w:t xml:space="preserve"> 10</w:t>
            </w:r>
            <w:r w:rsidRPr="00DB259E">
              <w:rPr>
                <w:rFonts w:eastAsia="SimSun"/>
                <w:vertAlign w:val="superscript"/>
              </w:rPr>
              <w:t>9</w:t>
            </w:r>
            <w:r w:rsidRPr="00AC3044">
              <w:rPr>
                <w:rFonts w:eastAsia="SimSun"/>
              </w:rPr>
              <w:t>/л, при</w:t>
            </w:r>
            <w:r>
              <w:rPr>
                <w:rFonts w:eastAsia="SimSun"/>
              </w:rPr>
              <w:t xml:space="preserve"> </w:t>
            </w:r>
            <w:r w:rsidRPr="00AC3044">
              <w:rPr>
                <w:rFonts w:eastAsia="SimSun"/>
              </w:rPr>
              <w:t xml:space="preserve">отсутствии тошноты, рвоты, диареи и возможности приема внутрь. Концентрация Tx 5-15 нг/мл.    </w:t>
            </w:r>
          </w:p>
        </w:tc>
      </w:tr>
      <w:tr w:rsidR="00304132" w:rsidRPr="00AC3044" w14:paraId="14641EBA" w14:textId="77777777" w:rsidTr="00CD5E09">
        <w:trPr>
          <w:cantSplit/>
          <w:trHeight w:val="625"/>
        </w:trPr>
        <w:tc>
          <w:tcPr>
            <w:tcW w:w="1142" w:type="dxa"/>
            <w:vMerge/>
            <w:textDirection w:val="btLr"/>
            <w:vAlign w:val="center"/>
          </w:tcPr>
          <w:p w14:paraId="203627B5" w14:textId="77777777" w:rsidR="00304132" w:rsidRPr="00AC3044" w:rsidRDefault="00304132" w:rsidP="00CD5E09">
            <w:pPr>
              <w:rPr>
                <w:rFonts w:eastAsia="SimSun"/>
              </w:rPr>
            </w:pPr>
          </w:p>
        </w:tc>
        <w:tc>
          <w:tcPr>
            <w:tcW w:w="1709" w:type="dxa"/>
            <w:vAlign w:val="center"/>
          </w:tcPr>
          <w:p w14:paraId="589E1F0C" w14:textId="77777777" w:rsidR="00304132" w:rsidRPr="00AC3044" w:rsidRDefault="00304132" w:rsidP="00CD5E09">
            <w:pPr>
              <w:rPr>
                <w:rFonts w:eastAsia="SimSun"/>
              </w:rPr>
            </w:pPr>
            <w:r w:rsidRPr="00AC3044">
              <w:rPr>
                <w:rFonts w:eastAsia="SimSun"/>
              </w:rPr>
              <w:t>Микофенолата мофетил</w:t>
            </w:r>
          </w:p>
        </w:tc>
        <w:tc>
          <w:tcPr>
            <w:tcW w:w="1395" w:type="dxa"/>
            <w:vAlign w:val="center"/>
          </w:tcPr>
          <w:p w14:paraId="4519F676" w14:textId="77777777" w:rsidR="00304132" w:rsidRPr="00AC3044" w:rsidRDefault="00304132" w:rsidP="00CD5E09">
            <w:pPr>
              <w:rPr>
                <w:rFonts w:eastAsia="SimSun"/>
              </w:rPr>
            </w:pPr>
            <w:r w:rsidRPr="00AC3044">
              <w:rPr>
                <w:rFonts w:eastAsia="SimSun"/>
              </w:rPr>
              <w:t xml:space="preserve">30 мг/кг </w:t>
            </w:r>
          </w:p>
        </w:tc>
        <w:tc>
          <w:tcPr>
            <w:tcW w:w="1367" w:type="dxa"/>
            <w:vAlign w:val="center"/>
          </w:tcPr>
          <w:p w14:paraId="1010E450" w14:textId="77777777" w:rsidR="00304132" w:rsidRPr="00AC3044" w:rsidRDefault="00304132" w:rsidP="00CD5E09">
            <w:pPr>
              <w:rPr>
                <w:rFonts w:eastAsia="SimSun"/>
              </w:rPr>
            </w:pPr>
            <w:r w:rsidRPr="00AC3044">
              <w:rPr>
                <w:rFonts w:eastAsia="SimSun"/>
              </w:rPr>
              <w:t>–</w:t>
            </w:r>
          </w:p>
        </w:tc>
        <w:tc>
          <w:tcPr>
            <w:tcW w:w="1783" w:type="dxa"/>
            <w:vAlign w:val="center"/>
          </w:tcPr>
          <w:p w14:paraId="73138390" w14:textId="77777777" w:rsidR="00304132" w:rsidRPr="00AC3044" w:rsidRDefault="00304132" w:rsidP="00CD5E09">
            <w:pPr>
              <w:rPr>
                <w:rFonts w:eastAsia="SimSun"/>
              </w:rPr>
            </w:pPr>
            <w:r w:rsidRPr="00AC3044">
              <w:rPr>
                <w:rFonts w:eastAsia="SimSun"/>
              </w:rPr>
              <w:t xml:space="preserve">С +5 дня по +35 день </w:t>
            </w:r>
          </w:p>
        </w:tc>
        <w:tc>
          <w:tcPr>
            <w:tcW w:w="2267" w:type="dxa"/>
            <w:vAlign w:val="center"/>
          </w:tcPr>
          <w:p w14:paraId="4EAB157C" w14:textId="77777777" w:rsidR="00304132" w:rsidRPr="00AC3044" w:rsidRDefault="00304132" w:rsidP="00CD5E09">
            <w:pPr>
              <w:rPr>
                <w:rFonts w:eastAsia="SimSun"/>
              </w:rPr>
            </w:pPr>
            <w:r w:rsidRPr="00AC3044">
              <w:rPr>
                <w:rFonts w:eastAsia="SimSun"/>
              </w:rPr>
              <w:t xml:space="preserve">Внутрь, суммарная суточная доза разделяется на 2- 4 приема (не более 3г/сут).  </w:t>
            </w:r>
          </w:p>
        </w:tc>
      </w:tr>
    </w:tbl>
    <w:p w14:paraId="5FFB6F87" w14:textId="77777777" w:rsidR="00304132" w:rsidRDefault="00304132" w:rsidP="00304132">
      <w:pPr>
        <w:rPr>
          <w:rFonts w:eastAsia="SimSun"/>
        </w:rPr>
      </w:pPr>
      <w:bookmarkStart w:id="336" w:name="_Toc44401193"/>
    </w:p>
    <w:p w14:paraId="4BF28375" w14:textId="77777777" w:rsidR="00304132" w:rsidRDefault="00304132" w:rsidP="00304132">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2.1.7  – Flu180+Bu14 / PT-Cy</w:t>
      </w:r>
      <w:bookmarkStart w:id="337" w:name="_Toc44401194"/>
      <w:bookmarkEnd w:id="336"/>
    </w:p>
    <w:tbl>
      <w:tblPr>
        <w:tblW w:w="9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76"/>
        <w:gridCol w:w="1731"/>
        <w:gridCol w:w="1399"/>
        <w:gridCol w:w="1272"/>
        <w:gridCol w:w="1760"/>
        <w:gridCol w:w="2234"/>
      </w:tblGrid>
      <w:tr w:rsidR="00304132" w:rsidRPr="00AC3044" w14:paraId="6C6A04A5" w14:textId="77777777" w:rsidTr="00CD5E09">
        <w:trPr>
          <w:cantSplit/>
          <w:trHeight w:val="20"/>
          <w:tblHeader/>
        </w:trPr>
        <w:tc>
          <w:tcPr>
            <w:tcW w:w="1176" w:type="dxa"/>
            <w:vAlign w:val="center"/>
          </w:tcPr>
          <w:p w14:paraId="31A9EB2F" w14:textId="77777777" w:rsidR="00304132" w:rsidRPr="00AC3044" w:rsidRDefault="00304132" w:rsidP="00CD5E09">
            <w:pPr>
              <w:rPr>
                <w:rFonts w:eastAsia="SimSun"/>
              </w:rPr>
            </w:pPr>
            <w:r w:rsidRPr="00AC3044">
              <w:rPr>
                <w:rFonts w:eastAsia="SimSun"/>
              </w:rPr>
              <w:tab/>
            </w:r>
          </w:p>
        </w:tc>
        <w:tc>
          <w:tcPr>
            <w:tcW w:w="1731" w:type="dxa"/>
            <w:vAlign w:val="center"/>
          </w:tcPr>
          <w:p w14:paraId="5EB02F15" w14:textId="77777777" w:rsidR="00304132" w:rsidRPr="00AC3044" w:rsidRDefault="00304132" w:rsidP="00CD5E09">
            <w:pPr>
              <w:rPr>
                <w:rFonts w:eastAsia="SimSun"/>
              </w:rPr>
            </w:pPr>
            <w:r w:rsidRPr="00AC3044">
              <w:rPr>
                <w:rFonts w:eastAsia="SimSun"/>
              </w:rPr>
              <w:t>Препарат</w:t>
            </w:r>
          </w:p>
        </w:tc>
        <w:tc>
          <w:tcPr>
            <w:tcW w:w="1399" w:type="dxa"/>
            <w:vAlign w:val="center"/>
          </w:tcPr>
          <w:p w14:paraId="280B1DA2" w14:textId="77777777" w:rsidR="00304132" w:rsidRPr="00AC3044" w:rsidRDefault="00304132" w:rsidP="00CD5E09">
            <w:pPr>
              <w:rPr>
                <w:rFonts w:eastAsia="SimSun"/>
              </w:rPr>
            </w:pPr>
            <w:r w:rsidRPr="00AC3044">
              <w:rPr>
                <w:rFonts w:eastAsia="SimSun"/>
              </w:rPr>
              <w:t>Суточная доза</w:t>
            </w:r>
          </w:p>
        </w:tc>
        <w:tc>
          <w:tcPr>
            <w:tcW w:w="1272" w:type="dxa"/>
            <w:vAlign w:val="center"/>
          </w:tcPr>
          <w:p w14:paraId="4D7CA3FF" w14:textId="77777777" w:rsidR="00304132" w:rsidRPr="00AC3044" w:rsidRDefault="00304132" w:rsidP="00CD5E09">
            <w:pPr>
              <w:rPr>
                <w:rFonts w:eastAsia="SimSun"/>
              </w:rPr>
            </w:pPr>
            <w:r w:rsidRPr="00AC3044">
              <w:rPr>
                <w:rFonts w:eastAsia="SimSun"/>
              </w:rPr>
              <w:t>Курсовая доза</w:t>
            </w:r>
          </w:p>
        </w:tc>
        <w:tc>
          <w:tcPr>
            <w:tcW w:w="1760" w:type="dxa"/>
            <w:vAlign w:val="center"/>
          </w:tcPr>
          <w:p w14:paraId="41AC46CD" w14:textId="77777777" w:rsidR="00304132" w:rsidRPr="00AC3044" w:rsidRDefault="00304132" w:rsidP="00CD5E09">
            <w:pPr>
              <w:rPr>
                <w:rFonts w:eastAsia="SimSun"/>
              </w:rPr>
            </w:pPr>
            <w:r w:rsidRPr="00AC3044">
              <w:rPr>
                <w:rFonts w:eastAsia="SimSun"/>
              </w:rPr>
              <w:t>Дни введения</w:t>
            </w:r>
          </w:p>
        </w:tc>
        <w:tc>
          <w:tcPr>
            <w:tcW w:w="2234" w:type="dxa"/>
            <w:vAlign w:val="center"/>
          </w:tcPr>
          <w:p w14:paraId="09250629" w14:textId="77777777" w:rsidR="00304132" w:rsidRPr="00AC3044" w:rsidRDefault="00304132" w:rsidP="00CD5E09">
            <w:pPr>
              <w:rPr>
                <w:rFonts w:eastAsia="SimSun"/>
              </w:rPr>
            </w:pPr>
            <w:r w:rsidRPr="00AC3044">
              <w:rPr>
                <w:rFonts w:eastAsia="SimSun"/>
              </w:rPr>
              <w:t>Порядок введения</w:t>
            </w:r>
          </w:p>
        </w:tc>
      </w:tr>
      <w:tr w:rsidR="00304132" w:rsidRPr="00AC3044" w14:paraId="6DB05E47" w14:textId="77777777" w:rsidTr="00CD5E09">
        <w:trPr>
          <w:cantSplit/>
          <w:trHeight w:val="20"/>
        </w:trPr>
        <w:tc>
          <w:tcPr>
            <w:tcW w:w="1176" w:type="dxa"/>
            <w:vMerge w:val="restart"/>
            <w:textDirection w:val="btLr"/>
            <w:vAlign w:val="center"/>
          </w:tcPr>
          <w:p w14:paraId="3A411F29" w14:textId="77777777" w:rsidR="00304132" w:rsidRPr="00AC3044" w:rsidRDefault="00304132" w:rsidP="00CD5E09">
            <w:pPr>
              <w:rPr>
                <w:rFonts w:eastAsia="SimSun"/>
              </w:rPr>
            </w:pPr>
            <w:r w:rsidRPr="00AC3044">
              <w:rPr>
                <w:rFonts w:eastAsia="SimSun"/>
              </w:rPr>
              <w:t>Кондиционирование</w:t>
            </w:r>
          </w:p>
        </w:tc>
        <w:tc>
          <w:tcPr>
            <w:tcW w:w="1731" w:type="dxa"/>
            <w:vAlign w:val="center"/>
          </w:tcPr>
          <w:p w14:paraId="6F552D0D" w14:textId="77777777" w:rsidR="00304132" w:rsidRPr="00AC3044" w:rsidRDefault="00304132" w:rsidP="00CD5E09">
            <w:pPr>
              <w:rPr>
                <w:rFonts w:eastAsia="SimSun"/>
              </w:rPr>
            </w:pPr>
            <w:r w:rsidRPr="00AC3044">
              <w:rPr>
                <w:rFonts w:eastAsia="SimSun"/>
              </w:rPr>
              <w:t xml:space="preserve">Флударабин </w:t>
            </w:r>
          </w:p>
        </w:tc>
        <w:tc>
          <w:tcPr>
            <w:tcW w:w="1399" w:type="dxa"/>
            <w:vAlign w:val="center"/>
          </w:tcPr>
          <w:p w14:paraId="31AE3EAA" w14:textId="77777777" w:rsidR="00304132" w:rsidRPr="00AC3044" w:rsidRDefault="00304132" w:rsidP="00CD5E09">
            <w:pPr>
              <w:rPr>
                <w:rFonts w:eastAsia="SimSun"/>
              </w:rPr>
            </w:pPr>
            <w:r w:rsidRPr="00AC3044">
              <w:rPr>
                <w:rFonts w:eastAsia="SimSun"/>
              </w:rPr>
              <w:t>30 мг/м</w:t>
            </w:r>
            <w:r w:rsidRPr="00DB259E">
              <w:rPr>
                <w:rFonts w:eastAsia="SimSun"/>
                <w:vertAlign w:val="superscript"/>
              </w:rPr>
              <w:t>2</w:t>
            </w:r>
          </w:p>
        </w:tc>
        <w:tc>
          <w:tcPr>
            <w:tcW w:w="1272" w:type="dxa"/>
            <w:vAlign w:val="center"/>
          </w:tcPr>
          <w:p w14:paraId="04A6CBD0" w14:textId="77777777" w:rsidR="00304132" w:rsidRPr="00AC3044" w:rsidRDefault="00304132" w:rsidP="00CD5E09">
            <w:pPr>
              <w:rPr>
                <w:rFonts w:eastAsia="SimSun"/>
              </w:rPr>
            </w:pPr>
            <w:r w:rsidRPr="00AC3044">
              <w:rPr>
                <w:rFonts w:eastAsia="SimSun"/>
              </w:rPr>
              <w:t>180 мг/м</w:t>
            </w:r>
            <w:r w:rsidRPr="00DB259E">
              <w:rPr>
                <w:rFonts w:eastAsia="SimSun"/>
                <w:vertAlign w:val="superscript"/>
              </w:rPr>
              <w:t>2</w:t>
            </w:r>
          </w:p>
        </w:tc>
        <w:tc>
          <w:tcPr>
            <w:tcW w:w="1760" w:type="dxa"/>
            <w:vAlign w:val="center"/>
          </w:tcPr>
          <w:p w14:paraId="0DE5AC0E" w14:textId="77777777" w:rsidR="00304132" w:rsidRPr="00AC3044" w:rsidRDefault="00304132" w:rsidP="00CD5E09">
            <w:pPr>
              <w:rPr>
                <w:rFonts w:eastAsia="SimSun"/>
              </w:rPr>
            </w:pPr>
            <w:r w:rsidRPr="00AC3044">
              <w:rPr>
                <w:rFonts w:eastAsia="SimSun"/>
              </w:rPr>
              <w:t>С -7 дня по -2 день</w:t>
            </w:r>
          </w:p>
        </w:tc>
        <w:tc>
          <w:tcPr>
            <w:tcW w:w="2234" w:type="dxa"/>
            <w:vAlign w:val="center"/>
          </w:tcPr>
          <w:p w14:paraId="3F063F1F" w14:textId="77777777" w:rsidR="00304132" w:rsidRPr="00AC3044" w:rsidRDefault="00304132" w:rsidP="00CD5E09">
            <w:pPr>
              <w:rPr>
                <w:rFonts w:eastAsia="SimSun"/>
              </w:rPr>
            </w:pPr>
            <w:r w:rsidRPr="00AC3044">
              <w:rPr>
                <w:rFonts w:eastAsia="SimSun"/>
              </w:rPr>
              <w:t>В/в, в течение 30 -60 мин</w:t>
            </w:r>
          </w:p>
        </w:tc>
      </w:tr>
      <w:tr w:rsidR="00304132" w:rsidRPr="00AC3044" w14:paraId="52F51AD4" w14:textId="77777777" w:rsidTr="00CD5E09">
        <w:trPr>
          <w:cantSplit/>
          <w:trHeight w:val="1207"/>
        </w:trPr>
        <w:tc>
          <w:tcPr>
            <w:tcW w:w="1176" w:type="dxa"/>
            <w:vMerge/>
            <w:vAlign w:val="center"/>
          </w:tcPr>
          <w:p w14:paraId="221DB7B7" w14:textId="77777777" w:rsidR="00304132" w:rsidRPr="00AC3044" w:rsidRDefault="00304132" w:rsidP="00CD5E09">
            <w:pPr>
              <w:rPr>
                <w:rFonts w:eastAsia="SimSun"/>
              </w:rPr>
            </w:pPr>
          </w:p>
        </w:tc>
        <w:tc>
          <w:tcPr>
            <w:tcW w:w="1731" w:type="dxa"/>
            <w:vAlign w:val="center"/>
          </w:tcPr>
          <w:p w14:paraId="691DACF0" w14:textId="77777777" w:rsidR="00304132" w:rsidRPr="00AC3044" w:rsidRDefault="00304132" w:rsidP="00CD5E09">
            <w:pPr>
              <w:rPr>
                <w:rFonts w:eastAsia="SimSun"/>
              </w:rPr>
            </w:pPr>
            <w:r w:rsidRPr="00AC3044">
              <w:rPr>
                <w:rFonts w:eastAsia="SimSun"/>
              </w:rPr>
              <w:t>Бусульфан</w:t>
            </w:r>
          </w:p>
        </w:tc>
        <w:tc>
          <w:tcPr>
            <w:tcW w:w="1399" w:type="dxa"/>
            <w:vAlign w:val="center"/>
          </w:tcPr>
          <w:p w14:paraId="32805BA4" w14:textId="77777777" w:rsidR="00304132" w:rsidRPr="00AC3044" w:rsidRDefault="00304132" w:rsidP="00CD5E09">
            <w:pPr>
              <w:rPr>
                <w:rFonts w:eastAsia="SimSun"/>
              </w:rPr>
            </w:pPr>
            <w:r w:rsidRPr="00AC3044">
              <w:rPr>
                <w:rFonts w:eastAsia="SimSun"/>
              </w:rPr>
              <w:t xml:space="preserve">4 мг/кг </w:t>
            </w:r>
          </w:p>
        </w:tc>
        <w:tc>
          <w:tcPr>
            <w:tcW w:w="1272" w:type="dxa"/>
            <w:vAlign w:val="center"/>
          </w:tcPr>
          <w:p w14:paraId="01485E00" w14:textId="77777777" w:rsidR="00304132" w:rsidRPr="00AC3044" w:rsidRDefault="00304132" w:rsidP="00CD5E09">
            <w:pPr>
              <w:rPr>
                <w:rFonts w:eastAsia="SimSun"/>
              </w:rPr>
            </w:pPr>
            <w:r w:rsidRPr="00AC3044">
              <w:rPr>
                <w:rFonts w:eastAsia="SimSun"/>
              </w:rPr>
              <w:t xml:space="preserve">14 мг/кг </w:t>
            </w:r>
          </w:p>
        </w:tc>
        <w:tc>
          <w:tcPr>
            <w:tcW w:w="1760" w:type="dxa"/>
            <w:vAlign w:val="center"/>
          </w:tcPr>
          <w:p w14:paraId="504ADB0C" w14:textId="77777777" w:rsidR="00304132" w:rsidRPr="00AC3044" w:rsidRDefault="00304132" w:rsidP="00CD5E09">
            <w:pPr>
              <w:rPr>
                <w:rFonts w:eastAsia="SimSun"/>
              </w:rPr>
            </w:pPr>
            <w:r w:rsidRPr="00AC3044">
              <w:rPr>
                <w:rFonts w:eastAsia="SimSun"/>
              </w:rPr>
              <w:t>С -6 дня по -3 день</w:t>
            </w:r>
          </w:p>
        </w:tc>
        <w:tc>
          <w:tcPr>
            <w:tcW w:w="2234" w:type="dxa"/>
            <w:vAlign w:val="center"/>
          </w:tcPr>
          <w:p w14:paraId="62C24C47" w14:textId="77777777" w:rsidR="00304132" w:rsidRPr="00AC3044" w:rsidRDefault="00304132" w:rsidP="00CD5E09">
            <w:pPr>
              <w:rPr>
                <w:rFonts w:eastAsia="SimSun"/>
              </w:rPr>
            </w:pPr>
            <w:r w:rsidRPr="00AC3044">
              <w:rPr>
                <w:rFonts w:eastAsia="SimSun"/>
              </w:rPr>
              <w:t>Внутрь, суммарная суточная доза разделяется на 4 приема с интервалом 6 часов. День -6: бусульфан разделяется на 2 приема с интервалом 6 часов, в вечернее время (18.00, 24.00)</w:t>
            </w:r>
          </w:p>
        </w:tc>
      </w:tr>
      <w:tr w:rsidR="00304132" w:rsidRPr="00AC3044" w14:paraId="3EEF1477" w14:textId="77777777" w:rsidTr="00CD5E09">
        <w:trPr>
          <w:cantSplit/>
          <w:trHeight w:val="1274"/>
        </w:trPr>
        <w:tc>
          <w:tcPr>
            <w:tcW w:w="1176" w:type="dxa"/>
            <w:textDirection w:val="btLr"/>
            <w:vAlign w:val="center"/>
          </w:tcPr>
          <w:p w14:paraId="20132B75" w14:textId="77777777" w:rsidR="00304132" w:rsidRPr="00AC3044" w:rsidRDefault="00304132" w:rsidP="00CD5E09">
            <w:pPr>
              <w:rPr>
                <w:rFonts w:eastAsia="SimSun"/>
              </w:rPr>
            </w:pPr>
            <w:r w:rsidRPr="00AC3044">
              <w:rPr>
                <w:rFonts w:eastAsia="SimSun"/>
              </w:rPr>
              <w:t>Профилактика РТПХ</w:t>
            </w:r>
          </w:p>
        </w:tc>
        <w:tc>
          <w:tcPr>
            <w:tcW w:w="1731" w:type="dxa"/>
            <w:vAlign w:val="center"/>
          </w:tcPr>
          <w:p w14:paraId="1A76E553" w14:textId="77777777" w:rsidR="00304132" w:rsidRPr="00AC3044" w:rsidRDefault="00304132" w:rsidP="00CD5E09">
            <w:pPr>
              <w:rPr>
                <w:rFonts w:eastAsia="SimSun"/>
              </w:rPr>
            </w:pPr>
            <w:r w:rsidRPr="00AC3044">
              <w:rPr>
                <w:rFonts w:eastAsia="SimSun"/>
              </w:rPr>
              <w:t>Циклофосфамид</w:t>
            </w:r>
          </w:p>
        </w:tc>
        <w:tc>
          <w:tcPr>
            <w:tcW w:w="1399" w:type="dxa"/>
            <w:vAlign w:val="center"/>
          </w:tcPr>
          <w:p w14:paraId="5E484F02" w14:textId="77777777" w:rsidR="00304132" w:rsidRPr="00AC3044" w:rsidRDefault="00304132" w:rsidP="00CD5E09">
            <w:pPr>
              <w:rPr>
                <w:rFonts w:eastAsia="SimSun"/>
              </w:rPr>
            </w:pPr>
            <w:r w:rsidRPr="00AC3044">
              <w:rPr>
                <w:rFonts w:eastAsia="SimSun"/>
              </w:rPr>
              <w:t>50 мг/кг</w:t>
            </w:r>
          </w:p>
        </w:tc>
        <w:tc>
          <w:tcPr>
            <w:tcW w:w="1272" w:type="dxa"/>
            <w:vAlign w:val="center"/>
          </w:tcPr>
          <w:p w14:paraId="170BDFDD" w14:textId="77777777" w:rsidR="00304132" w:rsidRPr="00AC3044" w:rsidRDefault="00304132" w:rsidP="00CD5E09">
            <w:pPr>
              <w:rPr>
                <w:rFonts w:eastAsia="SimSun"/>
              </w:rPr>
            </w:pPr>
            <w:r w:rsidRPr="00AC3044">
              <w:rPr>
                <w:rFonts w:eastAsia="SimSun"/>
              </w:rPr>
              <w:t>100 мг/кг</w:t>
            </w:r>
          </w:p>
        </w:tc>
        <w:tc>
          <w:tcPr>
            <w:tcW w:w="1760" w:type="dxa"/>
            <w:vAlign w:val="center"/>
          </w:tcPr>
          <w:p w14:paraId="3D97D67C" w14:textId="77777777" w:rsidR="00304132" w:rsidRPr="00AC3044" w:rsidRDefault="00304132" w:rsidP="00CD5E09">
            <w:pPr>
              <w:rPr>
                <w:rFonts w:eastAsia="SimSun"/>
              </w:rPr>
            </w:pPr>
            <w:r w:rsidRPr="00AC3044">
              <w:rPr>
                <w:rFonts w:eastAsia="SimSun"/>
              </w:rPr>
              <w:t>С +3 дня по +4 день</w:t>
            </w:r>
          </w:p>
        </w:tc>
        <w:tc>
          <w:tcPr>
            <w:tcW w:w="2234" w:type="dxa"/>
            <w:vAlign w:val="center"/>
          </w:tcPr>
          <w:p w14:paraId="050C2B8B" w14:textId="77777777" w:rsidR="00304132" w:rsidRPr="00AC3044" w:rsidRDefault="00304132" w:rsidP="00CD5E09">
            <w:pPr>
              <w:rPr>
                <w:rFonts w:eastAsia="SimSun"/>
              </w:rPr>
            </w:pPr>
            <w:r w:rsidRPr="00AC3044">
              <w:rPr>
                <w:rFonts w:eastAsia="SimSun"/>
              </w:rPr>
              <w:t>В/в, в течение 2 ч</w:t>
            </w:r>
          </w:p>
        </w:tc>
      </w:tr>
    </w:tbl>
    <w:p w14:paraId="74F0F012" w14:textId="77777777" w:rsidR="00304132" w:rsidRDefault="00304132" w:rsidP="00304132">
      <w:pPr>
        <w:rPr>
          <w:rFonts w:eastAsia="SimSun"/>
        </w:rPr>
      </w:pPr>
    </w:p>
    <w:p w14:paraId="5A36D062" w14:textId="77777777" w:rsidR="00304132" w:rsidRPr="00C07B2E" w:rsidRDefault="00304132" w:rsidP="00304132">
      <w:pPr>
        <w:rPr>
          <w:rFonts w:eastAsia="SimSun"/>
        </w:rPr>
      </w:pPr>
      <w:r w:rsidRPr="00042499">
        <w:rPr>
          <w:rFonts w:eastAsia="SimSun"/>
        </w:rPr>
        <w:t>Таблица</w:t>
      </w:r>
      <w:r w:rsidRPr="00C07B2E">
        <w:rPr>
          <w:rFonts w:eastAsia="SimSun"/>
        </w:rPr>
        <w:t xml:space="preserve"> 4.2.1.8  – Flu180+Bu14 / PT-Cy+Tx+MMF30</w:t>
      </w:r>
      <w:bookmarkEnd w:id="337"/>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42"/>
        <w:gridCol w:w="1701"/>
        <w:gridCol w:w="1418"/>
        <w:gridCol w:w="1275"/>
        <w:gridCol w:w="1702"/>
        <w:gridCol w:w="2268"/>
      </w:tblGrid>
      <w:tr w:rsidR="00304132" w:rsidRPr="00AC3044" w14:paraId="1D926B25" w14:textId="77777777" w:rsidTr="00CD5E09">
        <w:trPr>
          <w:cantSplit/>
          <w:trHeight w:val="20"/>
          <w:tblHeader/>
        </w:trPr>
        <w:tc>
          <w:tcPr>
            <w:tcW w:w="1242" w:type="dxa"/>
            <w:vAlign w:val="center"/>
          </w:tcPr>
          <w:p w14:paraId="03E52489" w14:textId="77777777" w:rsidR="00304132" w:rsidRPr="00AC3044" w:rsidRDefault="00304132" w:rsidP="00CD5E09">
            <w:pPr>
              <w:rPr>
                <w:rFonts w:eastAsia="SimSun"/>
              </w:rPr>
            </w:pPr>
          </w:p>
        </w:tc>
        <w:tc>
          <w:tcPr>
            <w:tcW w:w="1701" w:type="dxa"/>
            <w:vAlign w:val="center"/>
          </w:tcPr>
          <w:p w14:paraId="08B74296" w14:textId="77777777" w:rsidR="00304132" w:rsidRPr="00AC3044" w:rsidRDefault="00304132" w:rsidP="00CD5E09">
            <w:pPr>
              <w:rPr>
                <w:rFonts w:eastAsia="SimSun"/>
              </w:rPr>
            </w:pPr>
            <w:r w:rsidRPr="00AC3044">
              <w:rPr>
                <w:rFonts w:eastAsia="SimSun"/>
              </w:rPr>
              <w:t>Препарат</w:t>
            </w:r>
          </w:p>
        </w:tc>
        <w:tc>
          <w:tcPr>
            <w:tcW w:w="1418" w:type="dxa"/>
            <w:vAlign w:val="center"/>
          </w:tcPr>
          <w:p w14:paraId="79822B69" w14:textId="77777777" w:rsidR="00304132" w:rsidRPr="00AC3044" w:rsidRDefault="00304132" w:rsidP="00CD5E09">
            <w:pPr>
              <w:rPr>
                <w:rFonts w:eastAsia="SimSun"/>
              </w:rPr>
            </w:pPr>
            <w:r w:rsidRPr="00AC3044">
              <w:rPr>
                <w:rFonts w:eastAsia="SimSun"/>
              </w:rPr>
              <w:t>Суточная доза</w:t>
            </w:r>
          </w:p>
        </w:tc>
        <w:tc>
          <w:tcPr>
            <w:tcW w:w="1275" w:type="dxa"/>
            <w:vAlign w:val="center"/>
          </w:tcPr>
          <w:p w14:paraId="11C860D2" w14:textId="77777777" w:rsidR="00304132" w:rsidRPr="00AC3044" w:rsidRDefault="00304132" w:rsidP="00CD5E09">
            <w:pPr>
              <w:rPr>
                <w:rFonts w:eastAsia="SimSun"/>
              </w:rPr>
            </w:pPr>
            <w:r w:rsidRPr="00AC3044">
              <w:rPr>
                <w:rFonts w:eastAsia="SimSun"/>
              </w:rPr>
              <w:t>Курсовая доза</w:t>
            </w:r>
          </w:p>
        </w:tc>
        <w:tc>
          <w:tcPr>
            <w:tcW w:w="1702" w:type="dxa"/>
            <w:vAlign w:val="center"/>
          </w:tcPr>
          <w:p w14:paraId="4F370D90" w14:textId="77777777" w:rsidR="00304132" w:rsidRPr="00AC3044" w:rsidRDefault="00304132" w:rsidP="00CD5E09">
            <w:pPr>
              <w:rPr>
                <w:rFonts w:eastAsia="SimSun"/>
              </w:rPr>
            </w:pPr>
            <w:r w:rsidRPr="00AC3044">
              <w:rPr>
                <w:rFonts w:eastAsia="SimSun"/>
              </w:rPr>
              <w:t>Дни введения</w:t>
            </w:r>
          </w:p>
        </w:tc>
        <w:tc>
          <w:tcPr>
            <w:tcW w:w="2268" w:type="dxa"/>
            <w:vAlign w:val="center"/>
          </w:tcPr>
          <w:p w14:paraId="0E102CC6" w14:textId="77777777" w:rsidR="00304132" w:rsidRPr="00AC3044" w:rsidRDefault="00304132" w:rsidP="00CD5E09">
            <w:pPr>
              <w:rPr>
                <w:rFonts w:eastAsia="SimSun"/>
              </w:rPr>
            </w:pPr>
            <w:r w:rsidRPr="00AC3044">
              <w:rPr>
                <w:rFonts w:eastAsia="SimSun"/>
              </w:rPr>
              <w:t>Порядок введения</w:t>
            </w:r>
          </w:p>
        </w:tc>
      </w:tr>
      <w:tr w:rsidR="00304132" w:rsidRPr="00AC3044" w14:paraId="60029ECA" w14:textId="77777777" w:rsidTr="00CD5E09">
        <w:trPr>
          <w:cantSplit/>
          <w:trHeight w:val="20"/>
        </w:trPr>
        <w:tc>
          <w:tcPr>
            <w:tcW w:w="1242" w:type="dxa"/>
            <w:vMerge w:val="restart"/>
            <w:textDirection w:val="btLr"/>
            <w:vAlign w:val="center"/>
          </w:tcPr>
          <w:p w14:paraId="15251B4C" w14:textId="77777777" w:rsidR="00304132" w:rsidRPr="00AC3044" w:rsidRDefault="00304132" w:rsidP="00CD5E09">
            <w:pPr>
              <w:rPr>
                <w:rFonts w:eastAsia="SimSun"/>
              </w:rPr>
            </w:pPr>
            <w:r w:rsidRPr="00AC3044">
              <w:rPr>
                <w:rFonts w:eastAsia="SimSun"/>
              </w:rPr>
              <w:t>Кондиционирование</w:t>
            </w:r>
          </w:p>
        </w:tc>
        <w:tc>
          <w:tcPr>
            <w:tcW w:w="1701" w:type="dxa"/>
            <w:vAlign w:val="center"/>
          </w:tcPr>
          <w:p w14:paraId="4B94F692" w14:textId="77777777" w:rsidR="00304132" w:rsidRPr="00AC3044" w:rsidRDefault="00304132" w:rsidP="00CD5E09">
            <w:pPr>
              <w:rPr>
                <w:rFonts w:eastAsia="SimSun"/>
              </w:rPr>
            </w:pPr>
            <w:r w:rsidRPr="00AC3044">
              <w:rPr>
                <w:rFonts w:eastAsia="SimSun"/>
              </w:rPr>
              <w:t xml:space="preserve">Флударабин </w:t>
            </w:r>
          </w:p>
        </w:tc>
        <w:tc>
          <w:tcPr>
            <w:tcW w:w="1418" w:type="dxa"/>
            <w:vAlign w:val="center"/>
          </w:tcPr>
          <w:p w14:paraId="2CC40F37" w14:textId="77777777" w:rsidR="00304132" w:rsidRPr="00AC3044" w:rsidRDefault="00304132" w:rsidP="00CD5E09">
            <w:pPr>
              <w:rPr>
                <w:rFonts w:eastAsia="SimSun"/>
              </w:rPr>
            </w:pPr>
            <w:r w:rsidRPr="00AC3044">
              <w:rPr>
                <w:rFonts w:eastAsia="SimSun"/>
              </w:rPr>
              <w:t>30 мг/м</w:t>
            </w:r>
            <w:r w:rsidRPr="00DB259E">
              <w:rPr>
                <w:rFonts w:eastAsia="SimSun"/>
                <w:vertAlign w:val="superscript"/>
              </w:rPr>
              <w:t>2</w:t>
            </w:r>
          </w:p>
        </w:tc>
        <w:tc>
          <w:tcPr>
            <w:tcW w:w="1275" w:type="dxa"/>
            <w:vAlign w:val="center"/>
          </w:tcPr>
          <w:p w14:paraId="78887217" w14:textId="77777777" w:rsidR="00304132" w:rsidRPr="00AC3044" w:rsidRDefault="00304132" w:rsidP="00CD5E09">
            <w:pPr>
              <w:rPr>
                <w:rFonts w:eastAsia="SimSun"/>
              </w:rPr>
            </w:pPr>
            <w:r w:rsidRPr="00AC3044">
              <w:rPr>
                <w:rFonts w:eastAsia="SimSun"/>
              </w:rPr>
              <w:t>180 мг/м</w:t>
            </w:r>
            <w:r w:rsidRPr="00DB259E">
              <w:rPr>
                <w:rFonts w:eastAsia="SimSun"/>
                <w:vertAlign w:val="superscript"/>
              </w:rPr>
              <w:t>2</w:t>
            </w:r>
          </w:p>
        </w:tc>
        <w:tc>
          <w:tcPr>
            <w:tcW w:w="1702" w:type="dxa"/>
            <w:vAlign w:val="center"/>
          </w:tcPr>
          <w:p w14:paraId="258DD6A4" w14:textId="77777777" w:rsidR="00304132" w:rsidRPr="00AC3044" w:rsidRDefault="00304132" w:rsidP="00CD5E09">
            <w:pPr>
              <w:rPr>
                <w:rFonts w:eastAsia="SimSun"/>
              </w:rPr>
            </w:pPr>
            <w:r w:rsidRPr="00AC3044">
              <w:rPr>
                <w:rFonts w:eastAsia="SimSun"/>
              </w:rPr>
              <w:t>С -7 дня по -2 день</w:t>
            </w:r>
          </w:p>
        </w:tc>
        <w:tc>
          <w:tcPr>
            <w:tcW w:w="2268" w:type="dxa"/>
            <w:vAlign w:val="center"/>
          </w:tcPr>
          <w:p w14:paraId="4D7015D6" w14:textId="77777777" w:rsidR="00304132" w:rsidRPr="00AC3044" w:rsidRDefault="00304132" w:rsidP="00CD5E09">
            <w:pPr>
              <w:rPr>
                <w:rFonts w:eastAsia="SimSun"/>
              </w:rPr>
            </w:pPr>
            <w:r w:rsidRPr="00AC3044">
              <w:rPr>
                <w:rFonts w:eastAsia="SimSun"/>
              </w:rPr>
              <w:t>В/в, в течение 30 -60 мин</w:t>
            </w:r>
          </w:p>
        </w:tc>
      </w:tr>
      <w:tr w:rsidR="00304132" w:rsidRPr="00AC3044" w14:paraId="6AE8D4F1" w14:textId="77777777" w:rsidTr="00CD5E09">
        <w:trPr>
          <w:cantSplit/>
          <w:trHeight w:val="985"/>
        </w:trPr>
        <w:tc>
          <w:tcPr>
            <w:tcW w:w="1242" w:type="dxa"/>
            <w:vMerge/>
            <w:vAlign w:val="center"/>
          </w:tcPr>
          <w:p w14:paraId="5F92825F" w14:textId="77777777" w:rsidR="00304132" w:rsidRPr="00AC3044" w:rsidRDefault="00304132" w:rsidP="00CD5E09">
            <w:pPr>
              <w:rPr>
                <w:rFonts w:eastAsia="SimSun"/>
              </w:rPr>
            </w:pPr>
          </w:p>
        </w:tc>
        <w:tc>
          <w:tcPr>
            <w:tcW w:w="1701" w:type="dxa"/>
            <w:vAlign w:val="center"/>
          </w:tcPr>
          <w:p w14:paraId="12A0724C" w14:textId="77777777" w:rsidR="00304132" w:rsidRPr="00AC3044" w:rsidRDefault="00304132" w:rsidP="00CD5E09">
            <w:pPr>
              <w:rPr>
                <w:rFonts w:eastAsia="SimSun"/>
              </w:rPr>
            </w:pPr>
            <w:r w:rsidRPr="00AC3044">
              <w:rPr>
                <w:rFonts w:eastAsia="SimSun"/>
              </w:rPr>
              <w:t>Бусульфан</w:t>
            </w:r>
          </w:p>
        </w:tc>
        <w:tc>
          <w:tcPr>
            <w:tcW w:w="1418" w:type="dxa"/>
            <w:vAlign w:val="center"/>
          </w:tcPr>
          <w:p w14:paraId="304D83C9" w14:textId="77777777" w:rsidR="00304132" w:rsidRPr="00AC3044" w:rsidRDefault="00304132" w:rsidP="00CD5E09">
            <w:pPr>
              <w:rPr>
                <w:rFonts w:eastAsia="SimSun"/>
              </w:rPr>
            </w:pPr>
            <w:r w:rsidRPr="00AC3044">
              <w:rPr>
                <w:rFonts w:eastAsia="SimSun"/>
              </w:rPr>
              <w:t xml:space="preserve">4 мг/кг </w:t>
            </w:r>
          </w:p>
        </w:tc>
        <w:tc>
          <w:tcPr>
            <w:tcW w:w="1275" w:type="dxa"/>
            <w:vAlign w:val="center"/>
          </w:tcPr>
          <w:p w14:paraId="28C57603" w14:textId="77777777" w:rsidR="00304132" w:rsidRPr="00AC3044" w:rsidRDefault="00304132" w:rsidP="00CD5E09">
            <w:pPr>
              <w:rPr>
                <w:rFonts w:eastAsia="SimSun"/>
              </w:rPr>
            </w:pPr>
            <w:r w:rsidRPr="00AC3044">
              <w:rPr>
                <w:rFonts w:eastAsia="SimSun"/>
              </w:rPr>
              <w:t xml:space="preserve">14мг/кг </w:t>
            </w:r>
          </w:p>
        </w:tc>
        <w:tc>
          <w:tcPr>
            <w:tcW w:w="1702" w:type="dxa"/>
            <w:vAlign w:val="center"/>
          </w:tcPr>
          <w:p w14:paraId="3A4D0936" w14:textId="77777777" w:rsidR="00304132" w:rsidRPr="00AC3044" w:rsidRDefault="00304132" w:rsidP="00CD5E09">
            <w:pPr>
              <w:rPr>
                <w:rFonts w:eastAsia="SimSun"/>
              </w:rPr>
            </w:pPr>
            <w:r w:rsidRPr="00AC3044">
              <w:rPr>
                <w:rFonts w:eastAsia="SimSun"/>
              </w:rPr>
              <w:t>С -6 дня по -3 день</w:t>
            </w:r>
          </w:p>
        </w:tc>
        <w:tc>
          <w:tcPr>
            <w:tcW w:w="2268" w:type="dxa"/>
            <w:vAlign w:val="center"/>
          </w:tcPr>
          <w:p w14:paraId="38673855" w14:textId="77777777" w:rsidR="00304132" w:rsidRPr="00AC3044" w:rsidRDefault="00304132" w:rsidP="00CD5E09">
            <w:pPr>
              <w:rPr>
                <w:rFonts w:eastAsia="SimSun"/>
              </w:rPr>
            </w:pPr>
            <w:r w:rsidRPr="00AC3044">
              <w:rPr>
                <w:rFonts w:eastAsia="SimSun"/>
              </w:rPr>
              <w:t>Внутрь, суммарная суточная доза разделяется на 4 приема с интервалом 6 часов. День -6: бусульфан разделяется на 2 приема с интервалом 6 часов, в вечернее время (18.00, 24.00)</w:t>
            </w:r>
          </w:p>
        </w:tc>
      </w:tr>
      <w:tr w:rsidR="00304132" w:rsidRPr="00AC3044" w14:paraId="010EA1CB" w14:textId="77777777" w:rsidTr="00CD5E09">
        <w:trPr>
          <w:cantSplit/>
          <w:trHeight w:val="590"/>
        </w:trPr>
        <w:tc>
          <w:tcPr>
            <w:tcW w:w="1242" w:type="dxa"/>
            <w:vMerge w:val="restart"/>
            <w:textDirection w:val="btLr"/>
            <w:vAlign w:val="center"/>
          </w:tcPr>
          <w:p w14:paraId="013E0702" w14:textId="77777777" w:rsidR="00304132" w:rsidRPr="00AC3044" w:rsidRDefault="00304132" w:rsidP="00CD5E09">
            <w:pPr>
              <w:rPr>
                <w:rFonts w:eastAsia="SimSun"/>
              </w:rPr>
            </w:pPr>
            <w:r w:rsidRPr="00AC3044">
              <w:rPr>
                <w:rFonts w:eastAsia="SimSun"/>
              </w:rPr>
              <w:lastRenderedPageBreak/>
              <w:t>Профилактика РТПХ</w:t>
            </w:r>
          </w:p>
        </w:tc>
        <w:tc>
          <w:tcPr>
            <w:tcW w:w="1701" w:type="dxa"/>
            <w:vAlign w:val="center"/>
          </w:tcPr>
          <w:p w14:paraId="439F891B" w14:textId="77777777" w:rsidR="00304132" w:rsidRPr="00AC3044" w:rsidRDefault="00304132" w:rsidP="00CD5E09">
            <w:pPr>
              <w:rPr>
                <w:rFonts w:eastAsia="SimSun"/>
              </w:rPr>
            </w:pPr>
            <w:r w:rsidRPr="00AC3044">
              <w:rPr>
                <w:rFonts w:eastAsia="SimSun"/>
              </w:rPr>
              <w:t>Циклофосфамид</w:t>
            </w:r>
          </w:p>
        </w:tc>
        <w:tc>
          <w:tcPr>
            <w:tcW w:w="1418" w:type="dxa"/>
            <w:vAlign w:val="center"/>
          </w:tcPr>
          <w:p w14:paraId="5A5B9F2F" w14:textId="77777777" w:rsidR="00304132" w:rsidRPr="00AC3044" w:rsidRDefault="00304132" w:rsidP="00CD5E09">
            <w:pPr>
              <w:rPr>
                <w:rFonts w:eastAsia="SimSun"/>
              </w:rPr>
            </w:pPr>
            <w:r w:rsidRPr="00AC3044">
              <w:rPr>
                <w:rFonts w:eastAsia="SimSun"/>
              </w:rPr>
              <w:t>50 мг/кг</w:t>
            </w:r>
          </w:p>
        </w:tc>
        <w:tc>
          <w:tcPr>
            <w:tcW w:w="1275" w:type="dxa"/>
            <w:vAlign w:val="center"/>
          </w:tcPr>
          <w:p w14:paraId="07F6B33B" w14:textId="77777777" w:rsidR="00304132" w:rsidRPr="00AC3044" w:rsidRDefault="00304132" w:rsidP="00CD5E09">
            <w:pPr>
              <w:rPr>
                <w:rFonts w:eastAsia="SimSun"/>
              </w:rPr>
            </w:pPr>
            <w:r w:rsidRPr="00AC3044">
              <w:rPr>
                <w:rFonts w:eastAsia="SimSun"/>
              </w:rPr>
              <w:t>100 мг/кг</w:t>
            </w:r>
          </w:p>
        </w:tc>
        <w:tc>
          <w:tcPr>
            <w:tcW w:w="1702" w:type="dxa"/>
            <w:vAlign w:val="center"/>
          </w:tcPr>
          <w:p w14:paraId="1E469A27" w14:textId="77777777" w:rsidR="00304132" w:rsidRPr="00AC3044" w:rsidRDefault="00304132" w:rsidP="00CD5E09">
            <w:pPr>
              <w:rPr>
                <w:rFonts w:eastAsia="SimSun"/>
              </w:rPr>
            </w:pPr>
            <w:r w:rsidRPr="00AC3044">
              <w:rPr>
                <w:rFonts w:eastAsia="SimSun"/>
              </w:rPr>
              <w:t>С +3 дня по +4 день</w:t>
            </w:r>
          </w:p>
        </w:tc>
        <w:tc>
          <w:tcPr>
            <w:tcW w:w="2268" w:type="dxa"/>
            <w:vAlign w:val="center"/>
          </w:tcPr>
          <w:p w14:paraId="15949B18" w14:textId="77777777" w:rsidR="00304132" w:rsidRPr="00AC3044" w:rsidRDefault="00304132" w:rsidP="00CD5E09">
            <w:pPr>
              <w:rPr>
                <w:rFonts w:eastAsia="SimSun"/>
              </w:rPr>
            </w:pPr>
            <w:r w:rsidRPr="00AC3044">
              <w:rPr>
                <w:rFonts w:eastAsia="SimSun"/>
              </w:rPr>
              <w:t>В/в, в течение 2 ч</w:t>
            </w:r>
          </w:p>
        </w:tc>
      </w:tr>
      <w:tr w:rsidR="00304132" w:rsidRPr="00AC3044" w14:paraId="53DA7AF2" w14:textId="77777777" w:rsidTr="00CD5E09">
        <w:trPr>
          <w:cantSplit/>
          <w:trHeight w:val="958"/>
        </w:trPr>
        <w:tc>
          <w:tcPr>
            <w:tcW w:w="1242" w:type="dxa"/>
            <w:vMerge/>
            <w:textDirection w:val="btLr"/>
            <w:vAlign w:val="center"/>
          </w:tcPr>
          <w:p w14:paraId="29619375" w14:textId="77777777" w:rsidR="00304132" w:rsidRPr="00AC3044" w:rsidRDefault="00304132" w:rsidP="00CD5E09">
            <w:pPr>
              <w:rPr>
                <w:rFonts w:eastAsia="SimSun"/>
              </w:rPr>
            </w:pPr>
          </w:p>
        </w:tc>
        <w:tc>
          <w:tcPr>
            <w:tcW w:w="1701" w:type="dxa"/>
            <w:vAlign w:val="center"/>
          </w:tcPr>
          <w:p w14:paraId="1F62B783" w14:textId="77777777" w:rsidR="00304132" w:rsidRPr="00AC3044" w:rsidRDefault="00304132" w:rsidP="00CD5E09">
            <w:pPr>
              <w:rPr>
                <w:rFonts w:eastAsia="SimSun"/>
              </w:rPr>
            </w:pPr>
            <w:r w:rsidRPr="00AC3044">
              <w:rPr>
                <w:rFonts w:eastAsia="SimSun"/>
              </w:rPr>
              <w:t xml:space="preserve">Такролимус </w:t>
            </w:r>
          </w:p>
        </w:tc>
        <w:tc>
          <w:tcPr>
            <w:tcW w:w="1418" w:type="dxa"/>
            <w:vAlign w:val="center"/>
          </w:tcPr>
          <w:p w14:paraId="2926F0EC" w14:textId="77777777" w:rsidR="00304132" w:rsidRPr="00AC3044" w:rsidRDefault="00304132" w:rsidP="00CD5E09">
            <w:pPr>
              <w:rPr>
                <w:rFonts w:eastAsia="SimSun"/>
              </w:rPr>
            </w:pPr>
            <w:r w:rsidRPr="00AC3044">
              <w:rPr>
                <w:rFonts w:eastAsia="SimSun"/>
              </w:rPr>
              <w:t>0,03 мг/кг</w:t>
            </w:r>
          </w:p>
        </w:tc>
        <w:tc>
          <w:tcPr>
            <w:tcW w:w="1275" w:type="dxa"/>
            <w:vAlign w:val="center"/>
          </w:tcPr>
          <w:p w14:paraId="55F56523" w14:textId="77777777" w:rsidR="00304132" w:rsidRPr="00AC3044" w:rsidRDefault="00304132" w:rsidP="00CD5E09">
            <w:pPr>
              <w:rPr>
                <w:rFonts w:eastAsia="SimSun"/>
              </w:rPr>
            </w:pPr>
            <w:r w:rsidRPr="00AC3044">
              <w:rPr>
                <w:rFonts w:eastAsia="SimSun"/>
              </w:rPr>
              <w:t>–</w:t>
            </w:r>
          </w:p>
        </w:tc>
        <w:tc>
          <w:tcPr>
            <w:tcW w:w="1702" w:type="dxa"/>
            <w:vAlign w:val="center"/>
          </w:tcPr>
          <w:p w14:paraId="4235D847" w14:textId="77777777" w:rsidR="00304132" w:rsidRPr="00AC3044" w:rsidRDefault="00304132" w:rsidP="00CD5E09">
            <w:pPr>
              <w:rPr>
                <w:rFonts w:eastAsia="SimSun"/>
              </w:rPr>
            </w:pPr>
            <w:r w:rsidRPr="00AC3044">
              <w:rPr>
                <w:rFonts w:eastAsia="SimSun"/>
              </w:rPr>
              <w:t xml:space="preserve">С +5 дня длительно </w:t>
            </w:r>
          </w:p>
        </w:tc>
        <w:tc>
          <w:tcPr>
            <w:tcW w:w="2268" w:type="dxa"/>
            <w:vAlign w:val="center"/>
          </w:tcPr>
          <w:p w14:paraId="26B6F4CF" w14:textId="77777777" w:rsidR="00304132" w:rsidRPr="00AC3044" w:rsidRDefault="00304132" w:rsidP="00CD5E09">
            <w:pPr>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w:t>
            </w:r>
            <w:r w:rsidRPr="00AC3044">
              <w:rPr>
                <w:rFonts w:eastAsia="SimSun"/>
              </w:rPr>
              <w:t xml:space="preserve"> 10</w:t>
            </w:r>
            <w:r w:rsidRPr="00DB259E">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304132" w:rsidRPr="00AC3044" w14:paraId="279D372E" w14:textId="77777777" w:rsidTr="00CD5E09">
        <w:trPr>
          <w:cantSplit/>
          <w:trHeight w:val="508"/>
        </w:trPr>
        <w:tc>
          <w:tcPr>
            <w:tcW w:w="1242" w:type="dxa"/>
            <w:vMerge/>
            <w:textDirection w:val="btLr"/>
            <w:vAlign w:val="center"/>
          </w:tcPr>
          <w:p w14:paraId="7FAB7645" w14:textId="77777777" w:rsidR="00304132" w:rsidRPr="00AC3044" w:rsidRDefault="00304132" w:rsidP="00CD5E09">
            <w:pPr>
              <w:rPr>
                <w:rFonts w:eastAsia="SimSun"/>
              </w:rPr>
            </w:pPr>
          </w:p>
        </w:tc>
        <w:tc>
          <w:tcPr>
            <w:tcW w:w="1701" w:type="dxa"/>
            <w:vAlign w:val="center"/>
          </w:tcPr>
          <w:p w14:paraId="6FE52588" w14:textId="77777777" w:rsidR="00304132" w:rsidRPr="00AC3044" w:rsidRDefault="00304132" w:rsidP="00CD5E09">
            <w:pPr>
              <w:rPr>
                <w:rFonts w:eastAsia="SimSun"/>
              </w:rPr>
            </w:pPr>
            <w:r w:rsidRPr="00AC3044">
              <w:rPr>
                <w:rFonts w:eastAsia="SimSun"/>
              </w:rPr>
              <w:t>Микофенолата мофетил</w:t>
            </w:r>
          </w:p>
        </w:tc>
        <w:tc>
          <w:tcPr>
            <w:tcW w:w="1418" w:type="dxa"/>
            <w:vAlign w:val="center"/>
          </w:tcPr>
          <w:p w14:paraId="44DDC4F9" w14:textId="77777777" w:rsidR="00304132" w:rsidRPr="00AC3044" w:rsidRDefault="00304132" w:rsidP="00CD5E09">
            <w:pPr>
              <w:rPr>
                <w:rFonts w:eastAsia="SimSun"/>
              </w:rPr>
            </w:pPr>
            <w:r w:rsidRPr="00AC3044">
              <w:rPr>
                <w:rFonts w:eastAsia="SimSun"/>
              </w:rPr>
              <w:t xml:space="preserve">30 мг/кг </w:t>
            </w:r>
          </w:p>
        </w:tc>
        <w:tc>
          <w:tcPr>
            <w:tcW w:w="1275" w:type="dxa"/>
            <w:vAlign w:val="center"/>
          </w:tcPr>
          <w:p w14:paraId="0ADA53F6" w14:textId="77777777" w:rsidR="00304132" w:rsidRPr="00AC3044" w:rsidRDefault="00304132" w:rsidP="00CD5E09">
            <w:pPr>
              <w:rPr>
                <w:rFonts w:eastAsia="SimSun"/>
              </w:rPr>
            </w:pPr>
            <w:r w:rsidRPr="00AC3044">
              <w:rPr>
                <w:rFonts w:eastAsia="SimSun"/>
              </w:rPr>
              <w:t>–</w:t>
            </w:r>
          </w:p>
        </w:tc>
        <w:tc>
          <w:tcPr>
            <w:tcW w:w="1702" w:type="dxa"/>
            <w:vAlign w:val="center"/>
          </w:tcPr>
          <w:p w14:paraId="74D3AD20" w14:textId="77777777" w:rsidR="00304132" w:rsidRPr="00AC3044" w:rsidRDefault="00304132" w:rsidP="00CD5E09">
            <w:pPr>
              <w:rPr>
                <w:rFonts w:eastAsia="SimSun"/>
              </w:rPr>
            </w:pPr>
            <w:r w:rsidRPr="00AC3044">
              <w:rPr>
                <w:rFonts w:eastAsia="SimSun"/>
              </w:rPr>
              <w:t xml:space="preserve">С +5 дня по +35 день </w:t>
            </w:r>
          </w:p>
        </w:tc>
        <w:tc>
          <w:tcPr>
            <w:tcW w:w="2268" w:type="dxa"/>
            <w:vAlign w:val="center"/>
          </w:tcPr>
          <w:p w14:paraId="77A59DA2" w14:textId="77777777" w:rsidR="00304132" w:rsidRPr="00AC3044" w:rsidRDefault="00304132" w:rsidP="00CD5E09">
            <w:pPr>
              <w:rPr>
                <w:rFonts w:eastAsia="SimSun"/>
              </w:rPr>
            </w:pPr>
            <w:r w:rsidRPr="00AC3044">
              <w:rPr>
                <w:rFonts w:eastAsia="SimSun"/>
              </w:rPr>
              <w:t xml:space="preserve">Внутрь, суммарная суточная доза разделяется на 2- 4 приема (не более 3г/сут).  </w:t>
            </w:r>
          </w:p>
        </w:tc>
      </w:tr>
    </w:tbl>
    <w:p w14:paraId="555AA5C5" w14:textId="77777777" w:rsidR="00304132" w:rsidRPr="00C07B2E" w:rsidRDefault="00304132" w:rsidP="00304132">
      <w:pPr>
        <w:rPr>
          <w:rFonts w:eastAsia="SimSun"/>
        </w:rPr>
      </w:pPr>
    </w:p>
    <w:p w14:paraId="11964A0A" w14:textId="77777777" w:rsidR="00304132" w:rsidRPr="00C07B2E" w:rsidRDefault="00304132" w:rsidP="00304132">
      <w:pPr>
        <w:rPr>
          <w:rFonts w:eastAsia="SimSun"/>
        </w:rPr>
      </w:pPr>
      <w:bookmarkStart w:id="338" w:name="_Toc44401195"/>
      <w:r w:rsidRPr="00042499">
        <w:rPr>
          <w:rFonts w:eastAsia="SimSun"/>
        </w:rPr>
        <w:t>Таблица</w:t>
      </w:r>
      <w:r w:rsidRPr="00C07B2E">
        <w:rPr>
          <w:rFonts w:eastAsia="SimSun"/>
        </w:rPr>
        <w:t xml:space="preserve"> </w:t>
      </w:r>
      <w:r>
        <w:rPr>
          <w:rFonts w:eastAsia="SimSun"/>
        </w:rPr>
        <w:t>5.</w:t>
      </w:r>
      <w:r w:rsidRPr="00C07B2E">
        <w:rPr>
          <w:rFonts w:eastAsia="SimSun"/>
        </w:rPr>
        <w:t>2.1.9  – Flu180+Bu14 / PT-Cy+CSA+MMF30</w:t>
      </w:r>
      <w:bookmarkEnd w:id="338"/>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42"/>
        <w:gridCol w:w="1735"/>
        <w:gridCol w:w="1418"/>
        <w:gridCol w:w="1276"/>
        <w:gridCol w:w="1701"/>
        <w:gridCol w:w="2268"/>
      </w:tblGrid>
      <w:tr w:rsidR="00304132" w:rsidRPr="00AC3044" w14:paraId="1DE0737A" w14:textId="77777777" w:rsidTr="00CD5E09">
        <w:trPr>
          <w:cantSplit/>
          <w:trHeight w:val="20"/>
          <w:tblHeader/>
        </w:trPr>
        <w:tc>
          <w:tcPr>
            <w:tcW w:w="1242" w:type="dxa"/>
            <w:vAlign w:val="center"/>
          </w:tcPr>
          <w:p w14:paraId="4DA32272" w14:textId="77777777" w:rsidR="00304132" w:rsidRPr="00470D3D" w:rsidRDefault="00304132" w:rsidP="00CD5E09">
            <w:pPr>
              <w:rPr>
                <w:rFonts w:eastAsia="SimSun"/>
              </w:rPr>
            </w:pPr>
          </w:p>
        </w:tc>
        <w:tc>
          <w:tcPr>
            <w:tcW w:w="1735" w:type="dxa"/>
            <w:vAlign w:val="center"/>
          </w:tcPr>
          <w:p w14:paraId="066D4DD4" w14:textId="77777777" w:rsidR="00304132" w:rsidRPr="00AC3044" w:rsidRDefault="00304132" w:rsidP="00CD5E09">
            <w:pPr>
              <w:rPr>
                <w:rFonts w:eastAsia="SimSun"/>
              </w:rPr>
            </w:pPr>
            <w:r w:rsidRPr="00AC3044">
              <w:rPr>
                <w:rFonts w:eastAsia="SimSun"/>
              </w:rPr>
              <w:t>Препарат</w:t>
            </w:r>
          </w:p>
        </w:tc>
        <w:tc>
          <w:tcPr>
            <w:tcW w:w="1418" w:type="dxa"/>
            <w:vAlign w:val="center"/>
          </w:tcPr>
          <w:p w14:paraId="2A4F6C66" w14:textId="77777777" w:rsidR="00304132" w:rsidRPr="00AC3044" w:rsidRDefault="00304132" w:rsidP="00CD5E09">
            <w:pPr>
              <w:rPr>
                <w:rFonts w:eastAsia="SimSun"/>
              </w:rPr>
            </w:pPr>
            <w:r w:rsidRPr="00AC3044">
              <w:rPr>
                <w:rFonts w:eastAsia="SimSun"/>
              </w:rPr>
              <w:t>Суточная доза</w:t>
            </w:r>
          </w:p>
        </w:tc>
        <w:tc>
          <w:tcPr>
            <w:tcW w:w="1276" w:type="dxa"/>
            <w:vAlign w:val="center"/>
          </w:tcPr>
          <w:p w14:paraId="43FE493D" w14:textId="77777777" w:rsidR="00304132" w:rsidRPr="00AC3044" w:rsidRDefault="00304132" w:rsidP="00CD5E09">
            <w:pPr>
              <w:rPr>
                <w:rFonts w:eastAsia="SimSun"/>
              </w:rPr>
            </w:pPr>
            <w:r w:rsidRPr="00AC3044">
              <w:rPr>
                <w:rFonts w:eastAsia="SimSun"/>
              </w:rPr>
              <w:t>Курсовая доза</w:t>
            </w:r>
          </w:p>
        </w:tc>
        <w:tc>
          <w:tcPr>
            <w:tcW w:w="1701" w:type="dxa"/>
            <w:vAlign w:val="center"/>
          </w:tcPr>
          <w:p w14:paraId="0D4C8E3E" w14:textId="77777777" w:rsidR="00304132" w:rsidRPr="00AC3044" w:rsidRDefault="00304132" w:rsidP="00CD5E09">
            <w:pPr>
              <w:rPr>
                <w:rFonts w:eastAsia="SimSun"/>
              </w:rPr>
            </w:pPr>
            <w:r w:rsidRPr="00AC3044">
              <w:rPr>
                <w:rFonts w:eastAsia="SimSun"/>
              </w:rPr>
              <w:t>Дни введения</w:t>
            </w:r>
          </w:p>
        </w:tc>
        <w:tc>
          <w:tcPr>
            <w:tcW w:w="2268" w:type="dxa"/>
            <w:vAlign w:val="center"/>
          </w:tcPr>
          <w:p w14:paraId="4CF99546" w14:textId="77777777" w:rsidR="00304132" w:rsidRPr="00AC3044" w:rsidRDefault="00304132" w:rsidP="00CD5E09">
            <w:pPr>
              <w:rPr>
                <w:rFonts w:eastAsia="SimSun"/>
              </w:rPr>
            </w:pPr>
            <w:r w:rsidRPr="00AC3044">
              <w:rPr>
                <w:rFonts w:eastAsia="SimSun"/>
              </w:rPr>
              <w:t>Порядок введения</w:t>
            </w:r>
          </w:p>
        </w:tc>
      </w:tr>
      <w:tr w:rsidR="00304132" w:rsidRPr="00AC3044" w14:paraId="7E0C1AFC" w14:textId="77777777" w:rsidTr="00CD5E09">
        <w:trPr>
          <w:cantSplit/>
          <w:trHeight w:val="20"/>
        </w:trPr>
        <w:tc>
          <w:tcPr>
            <w:tcW w:w="1242" w:type="dxa"/>
            <w:vMerge w:val="restart"/>
            <w:textDirection w:val="btLr"/>
            <w:vAlign w:val="center"/>
          </w:tcPr>
          <w:p w14:paraId="46BAC904" w14:textId="77777777" w:rsidR="00304132" w:rsidRPr="00AC3044" w:rsidRDefault="00304132" w:rsidP="00CD5E09">
            <w:pPr>
              <w:rPr>
                <w:rFonts w:eastAsia="SimSun"/>
              </w:rPr>
            </w:pPr>
            <w:r w:rsidRPr="00AC3044">
              <w:rPr>
                <w:rFonts w:eastAsia="SimSun"/>
              </w:rPr>
              <w:t>Кондиционирование</w:t>
            </w:r>
          </w:p>
        </w:tc>
        <w:tc>
          <w:tcPr>
            <w:tcW w:w="1735" w:type="dxa"/>
            <w:vAlign w:val="center"/>
          </w:tcPr>
          <w:p w14:paraId="06BE730D" w14:textId="77777777" w:rsidR="00304132" w:rsidRPr="00AC3044" w:rsidRDefault="00304132" w:rsidP="00CD5E09">
            <w:pPr>
              <w:rPr>
                <w:rFonts w:eastAsia="SimSun"/>
              </w:rPr>
            </w:pPr>
            <w:r w:rsidRPr="00AC3044">
              <w:rPr>
                <w:rFonts w:eastAsia="SimSun"/>
              </w:rPr>
              <w:t xml:space="preserve">Флударабин </w:t>
            </w:r>
          </w:p>
        </w:tc>
        <w:tc>
          <w:tcPr>
            <w:tcW w:w="1418" w:type="dxa"/>
            <w:vAlign w:val="center"/>
          </w:tcPr>
          <w:p w14:paraId="53506FF8" w14:textId="77777777" w:rsidR="00304132" w:rsidRPr="00AC3044" w:rsidRDefault="00304132" w:rsidP="00CD5E09">
            <w:pPr>
              <w:rPr>
                <w:rFonts w:eastAsia="SimSun"/>
              </w:rPr>
            </w:pPr>
            <w:r w:rsidRPr="00AC3044">
              <w:rPr>
                <w:rFonts w:eastAsia="SimSun"/>
              </w:rPr>
              <w:t>30 мг/м</w:t>
            </w:r>
            <w:r w:rsidRPr="00DB259E">
              <w:rPr>
                <w:rFonts w:eastAsia="SimSun"/>
                <w:vertAlign w:val="superscript"/>
              </w:rPr>
              <w:t>2</w:t>
            </w:r>
          </w:p>
        </w:tc>
        <w:tc>
          <w:tcPr>
            <w:tcW w:w="1276" w:type="dxa"/>
            <w:vAlign w:val="center"/>
          </w:tcPr>
          <w:p w14:paraId="4FE46A6A" w14:textId="77777777" w:rsidR="00304132" w:rsidRPr="00AC3044" w:rsidRDefault="00304132" w:rsidP="00CD5E09">
            <w:pPr>
              <w:rPr>
                <w:rFonts w:eastAsia="SimSun"/>
              </w:rPr>
            </w:pPr>
            <w:r w:rsidRPr="00AC3044">
              <w:rPr>
                <w:rFonts w:eastAsia="SimSun"/>
              </w:rPr>
              <w:t>180 мг/м</w:t>
            </w:r>
            <w:r w:rsidRPr="00DB259E">
              <w:rPr>
                <w:rFonts w:eastAsia="SimSun"/>
                <w:vertAlign w:val="superscript"/>
              </w:rPr>
              <w:t>2</w:t>
            </w:r>
          </w:p>
        </w:tc>
        <w:tc>
          <w:tcPr>
            <w:tcW w:w="1701" w:type="dxa"/>
            <w:vAlign w:val="center"/>
          </w:tcPr>
          <w:p w14:paraId="08D33EE0" w14:textId="77777777" w:rsidR="00304132" w:rsidRPr="00AC3044" w:rsidRDefault="00304132" w:rsidP="00CD5E09">
            <w:pPr>
              <w:rPr>
                <w:rFonts w:eastAsia="SimSun"/>
              </w:rPr>
            </w:pPr>
            <w:r w:rsidRPr="00AC3044">
              <w:rPr>
                <w:rFonts w:eastAsia="SimSun"/>
              </w:rPr>
              <w:t>С -7 дня по -2 день</w:t>
            </w:r>
          </w:p>
        </w:tc>
        <w:tc>
          <w:tcPr>
            <w:tcW w:w="2268" w:type="dxa"/>
            <w:vAlign w:val="center"/>
          </w:tcPr>
          <w:p w14:paraId="2B1FCD1A" w14:textId="77777777" w:rsidR="00304132" w:rsidRPr="00AC3044" w:rsidRDefault="00304132" w:rsidP="00CD5E09">
            <w:pPr>
              <w:rPr>
                <w:rFonts w:eastAsia="SimSun"/>
              </w:rPr>
            </w:pPr>
            <w:r w:rsidRPr="00AC3044">
              <w:rPr>
                <w:rFonts w:eastAsia="SimSun"/>
              </w:rPr>
              <w:t>В/в, в течение 30 -60 мин</w:t>
            </w:r>
          </w:p>
        </w:tc>
      </w:tr>
      <w:tr w:rsidR="00304132" w:rsidRPr="00AC3044" w14:paraId="6F44785D" w14:textId="77777777" w:rsidTr="00CD5E09">
        <w:trPr>
          <w:cantSplit/>
          <w:trHeight w:val="766"/>
        </w:trPr>
        <w:tc>
          <w:tcPr>
            <w:tcW w:w="1242" w:type="dxa"/>
            <w:vMerge/>
            <w:vAlign w:val="center"/>
          </w:tcPr>
          <w:p w14:paraId="31742CC2" w14:textId="77777777" w:rsidR="00304132" w:rsidRPr="00AC3044" w:rsidRDefault="00304132" w:rsidP="00CD5E09">
            <w:pPr>
              <w:rPr>
                <w:rFonts w:eastAsia="SimSun"/>
              </w:rPr>
            </w:pPr>
          </w:p>
        </w:tc>
        <w:tc>
          <w:tcPr>
            <w:tcW w:w="1735" w:type="dxa"/>
            <w:vAlign w:val="center"/>
          </w:tcPr>
          <w:p w14:paraId="50E5E804" w14:textId="77777777" w:rsidR="00304132" w:rsidRPr="00AC3044" w:rsidRDefault="00304132" w:rsidP="00CD5E09">
            <w:pPr>
              <w:rPr>
                <w:rFonts w:eastAsia="SimSun"/>
              </w:rPr>
            </w:pPr>
            <w:r w:rsidRPr="00AC3044">
              <w:rPr>
                <w:rFonts w:eastAsia="SimSun"/>
              </w:rPr>
              <w:t>Бусульфан</w:t>
            </w:r>
          </w:p>
        </w:tc>
        <w:tc>
          <w:tcPr>
            <w:tcW w:w="1418" w:type="dxa"/>
            <w:vAlign w:val="center"/>
          </w:tcPr>
          <w:p w14:paraId="1F02BD9E" w14:textId="77777777" w:rsidR="00304132" w:rsidRPr="00AC3044" w:rsidRDefault="00304132" w:rsidP="00CD5E09">
            <w:pPr>
              <w:rPr>
                <w:rFonts w:eastAsia="SimSun"/>
              </w:rPr>
            </w:pPr>
            <w:r w:rsidRPr="00AC3044">
              <w:rPr>
                <w:rFonts w:eastAsia="SimSun"/>
              </w:rPr>
              <w:t xml:space="preserve">4 мг/кг </w:t>
            </w:r>
          </w:p>
        </w:tc>
        <w:tc>
          <w:tcPr>
            <w:tcW w:w="1276" w:type="dxa"/>
            <w:vAlign w:val="center"/>
          </w:tcPr>
          <w:p w14:paraId="473119E9" w14:textId="77777777" w:rsidR="00304132" w:rsidRPr="00AC3044" w:rsidRDefault="00304132" w:rsidP="00CD5E09">
            <w:pPr>
              <w:rPr>
                <w:rFonts w:eastAsia="SimSun"/>
              </w:rPr>
            </w:pPr>
            <w:r w:rsidRPr="00AC3044">
              <w:rPr>
                <w:rFonts w:eastAsia="SimSun"/>
              </w:rPr>
              <w:t xml:space="preserve">14 мг/кг </w:t>
            </w:r>
          </w:p>
        </w:tc>
        <w:tc>
          <w:tcPr>
            <w:tcW w:w="1701" w:type="dxa"/>
            <w:vAlign w:val="center"/>
          </w:tcPr>
          <w:p w14:paraId="41BBCC5F" w14:textId="77777777" w:rsidR="00304132" w:rsidRPr="00AC3044" w:rsidRDefault="00304132" w:rsidP="00CD5E09">
            <w:pPr>
              <w:rPr>
                <w:rFonts w:eastAsia="SimSun"/>
              </w:rPr>
            </w:pPr>
            <w:r w:rsidRPr="00AC3044">
              <w:rPr>
                <w:rFonts w:eastAsia="SimSun"/>
              </w:rPr>
              <w:t>С -6 дня по -3 день</w:t>
            </w:r>
          </w:p>
        </w:tc>
        <w:tc>
          <w:tcPr>
            <w:tcW w:w="2268" w:type="dxa"/>
            <w:vAlign w:val="center"/>
          </w:tcPr>
          <w:p w14:paraId="5C9C3259" w14:textId="77777777" w:rsidR="00304132" w:rsidRPr="00AC3044" w:rsidRDefault="00304132" w:rsidP="00CD5E09">
            <w:pPr>
              <w:rPr>
                <w:rFonts w:eastAsia="SimSun"/>
              </w:rPr>
            </w:pPr>
            <w:r w:rsidRPr="00AC3044">
              <w:rPr>
                <w:rFonts w:eastAsia="SimSun"/>
              </w:rPr>
              <w:t>Внутрь, суммарная суточная доза разделяется на 4 приема с интервалом 6 часов. День -6: бусульфан разделяется на 2 приема с интервалом 6 часов, в вечернее время (18.00, 24.00)</w:t>
            </w:r>
          </w:p>
        </w:tc>
      </w:tr>
      <w:tr w:rsidR="00304132" w:rsidRPr="00AC3044" w14:paraId="14B90BD3" w14:textId="77777777" w:rsidTr="00CD5E09">
        <w:trPr>
          <w:cantSplit/>
          <w:trHeight w:val="796"/>
        </w:trPr>
        <w:tc>
          <w:tcPr>
            <w:tcW w:w="1242" w:type="dxa"/>
            <w:vMerge w:val="restart"/>
            <w:textDirection w:val="btLr"/>
            <w:vAlign w:val="center"/>
          </w:tcPr>
          <w:p w14:paraId="30CA878A" w14:textId="77777777" w:rsidR="00304132" w:rsidRPr="00AC3044" w:rsidRDefault="00304132" w:rsidP="00CD5E09">
            <w:pPr>
              <w:rPr>
                <w:rFonts w:eastAsia="SimSun"/>
              </w:rPr>
            </w:pPr>
            <w:r w:rsidRPr="00AC3044">
              <w:rPr>
                <w:rFonts w:eastAsia="SimSun"/>
              </w:rPr>
              <w:t>Профилактика РТПХ</w:t>
            </w:r>
          </w:p>
        </w:tc>
        <w:tc>
          <w:tcPr>
            <w:tcW w:w="1735" w:type="dxa"/>
            <w:vAlign w:val="center"/>
          </w:tcPr>
          <w:p w14:paraId="64BE876E" w14:textId="77777777" w:rsidR="00304132" w:rsidRPr="00AC3044" w:rsidRDefault="00304132" w:rsidP="00CD5E09">
            <w:pPr>
              <w:rPr>
                <w:rFonts w:eastAsia="SimSun"/>
              </w:rPr>
            </w:pPr>
            <w:r w:rsidRPr="00AC3044">
              <w:rPr>
                <w:rFonts w:eastAsia="SimSun"/>
              </w:rPr>
              <w:t>Циклофосфамид</w:t>
            </w:r>
          </w:p>
        </w:tc>
        <w:tc>
          <w:tcPr>
            <w:tcW w:w="1418" w:type="dxa"/>
            <w:vAlign w:val="center"/>
          </w:tcPr>
          <w:p w14:paraId="7C5E800B" w14:textId="77777777" w:rsidR="00304132" w:rsidRPr="00AC3044" w:rsidRDefault="00304132" w:rsidP="00CD5E09">
            <w:pPr>
              <w:rPr>
                <w:rFonts w:eastAsia="SimSun"/>
              </w:rPr>
            </w:pPr>
            <w:r w:rsidRPr="00AC3044">
              <w:rPr>
                <w:rFonts w:eastAsia="SimSun"/>
              </w:rPr>
              <w:t>50 мг/кг</w:t>
            </w:r>
          </w:p>
        </w:tc>
        <w:tc>
          <w:tcPr>
            <w:tcW w:w="1276" w:type="dxa"/>
            <w:vAlign w:val="center"/>
          </w:tcPr>
          <w:p w14:paraId="50631437" w14:textId="77777777" w:rsidR="00304132" w:rsidRPr="00AC3044" w:rsidRDefault="00304132" w:rsidP="00CD5E09">
            <w:pPr>
              <w:rPr>
                <w:rFonts w:eastAsia="SimSun"/>
              </w:rPr>
            </w:pPr>
            <w:r w:rsidRPr="00AC3044">
              <w:rPr>
                <w:rFonts w:eastAsia="SimSun"/>
              </w:rPr>
              <w:t>100 мг/кг</w:t>
            </w:r>
          </w:p>
        </w:tc>
        <w:tc>
          <w:tcPr>
            <w:tcW w:w="1701" w:type="dxa"/>
            <w:vAlign w:val="center"/>
          </w:tcPr>
          <w:p w14:paraId="040B6351" w14:textId="77777777" w:rsidR="00304132" w:rsidRPr="00AC3044" w:rsidRDefault="00304132" w:rsidP="00CD5E09">
            <w:pPr>
              <w:rPr>
                <w:rFonts w:eastAsia="SimSun"/>
              </w:rPr>
            </w:pPr>
            <w:r w:rsidRPr="00AC3044">
              <w:rPr>
                <w:rFonts w:eastAsia="SimSun"/>
              </w:rPr>
              <w:t>В +3 день  и +5 день</w:t>
            </w:r>
          </w:p>
        </w:tc>
        <w:tc>
          <w:tcPr>
            <w:tcW w:w="2268" w:type="dxa"/>
            <w:vAlign w:val="center"/>
          </w:tcPr>
          <w:p w14:paraId="43EDCC07" w14:textId="77777777" w:rsidR="00304132" w:rsidRPr="00AC3044" w:rsidRDefault="00304132" w:rsidP="00CD5E09">
            <w:pPr>
              <w:rPr>
                <w:rFonts w:eastAsia="SimSun"/>
              </w:rPr>
            </w:pPr>
            <w:r w:rsidRPr="00AC3044">
              <w:rPr>
                <w:rFonts w:eastAsia="SimSun"/>
              </w:rPr>
              <w:t>В/в, в течение 2 ч</w:t>
            </w:r>
          </w:p>
        </w:tc>
      </w:tr>
      <w:tr w:rsidR="00304132" w:rsidRPr="00AC3044" w14:paraId="67DA0384" w14:textId="77777777" w:rsidTr="00CD5E09">
        <w:trPr>
          <w:cantSplit/>
          <w:trHeight w:val="410"/>
        </w:trPr>
        <w:tc>
          <w:tcPr>
            <w:tcW w:w="1242" w:type="dxa"/>
            <w:vMerge/>
            <w:textDirection w:val="btLr"/>
            <w:vAlign w:val="center"/>
          </w:tcPr>
          <w:p w14:paraId="1A076AFB" w14:textId="77777777" w:rsidR="00304132" w:rsidRPr="00AC3044" w:rsidRDefault="00304132" w:rsidP="00CD5E09">
            <w:pPr>
              <w:rPr>
                <w:rFonts w:eastAsia="SimSun"/>
              </w:rPr>
            </w:pPr>
          </w:p>
        </w:tc>
        <w:tc>
          <w:tcPr>
            <w:tcW w:w="1735" w:type="dxa"/>
            <w:vAlign w:val="center"/>
          </w:tcPr>
          <w:p w14:paraId="299FE40B" w14:textId="77777777" w:rsidR="00304132" w:rsidRPr="00AC3044" w:rsidRDefault="00304132" w:rsidP="00CD5E09">
            <w:pPr>
              <w:rPr>
                <w:rFonts w:eastAsia="SimSun"/>
              </w:rPr>
            </w:pPr>
            <w:r w:rsidRPr="00AC3044">
              <w:rPr>
                <w:rFonts w:eastAsia="SimSun"/>
              </w:rPr>
              <w:t>Микофенолата мофетил</w:t>
            </w:r>
          </w:p>
        </w:tc>
        <w:tc>
          <w:tcPr>
            <w:tcW w:w="1418" w:type="dxa"/>
            <w:vAlign w:val="center"/>
          </w:tcPr>
          <w:p w14:paraId="75FC510F" w14:textId="77777777" w:rsidR="00304132" w:rsidRPr="00AC3044" w:rsidRDefault="00304132" w:rsidP="00CD5E09">
            <w:pPr>
              <w:rPr>
                <w:rFonts w:eastAsia="SimSun"/>
              </w:rPr>
            </w:pPr>
            <w:r w:rsidRPr="00AC3044">
              <w:rPr>
                <w:rFonts w:eastAsia="SimSun"/>
              </w:rPr>
              <w:t xml:space="preserve">30 мг/кг </w:t>
            </w:r>
          </w:p>
        </w:tc>
        <w:tc>
          <w:tcPr>
            <w:tcW w:w="1276" w:type="dxa"/>
            <w:vAlign w:val="center"/>
          </w:tcPr>
          <w:p w14:paraId="6BBEAF32" w14:textId="77777777" w:rsidR="00304132" w:rsidRPr="00AC3044" w:rsidRDefault="00304132" w:rsidP="00CD5E09">
            <w:pPr>
              <w:rPr>
                <w:rFonts w:eastAsia="SimSun"/>
              </w:rPr>
            </w:pPr>
            <w:r w:rsidRPr="00AC3044">
              <w:rPr>
                <w:rFonts w:eastAsia="SimSun"/>
              </w:rPr>
              <w:t>–</w:t>
            </w:r>
          </w:p>
        </w:tc>
        <w:tc>
          <w:tcPr>
            <w:tcW w:w="1701" w:type="dxa"/>
            <w:vAlign w:val="center"/>
          </w:tcPr>
          <w:p w14:paraId="0D541005" w14:textId="77777777" w:rsidR="00304132" w:rsidRPr="00AC3044" w:rsidRDefault="00304132" w:rsidP="00CD5E09">
            <w:pPr>
              <w:rPr>
                <w:rFonts w:eastAsia="SimSun"/>
              </w:rPr>
            </w:pPr>
            <w:r w:rsidRPr="00AC3044">
              <w:rPr>
                <w:rFonts w:eastAsia="SimSun"/>
              </w:rPr>
              <w:t xml:space="preserve">С +1 дня по +28 день </w:t>
            </w:r>
          </w:p>
        </w:tc>
        <w:tc>
          <w:tcPr>
            <w:tcW w:w="2268" w:type="dxa"/>
            <w:vAlign w:val="center"/>
          </w:tcPr>
          <w:p w14:paraId="6CF75738" w14:textId="77777777" w:rsidR="00304132" w:rsidRPr="00AC3044" w:rsidRDefault="00304132" w:rsidP="00CD5E09">
            <w:pPr>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 xml:space="preserve">г/сут).  </w:t>
            </w:r>
          </w:p>
        </w:tc>
      </w:tr>
      <w:tr w:rsidR="00304132" w:rsidRPr="00AC3044" w14:paraId="60ED24D0" w14:textId="77777777" w:rsidTr="00CD5E09">
        <w:trPr>
          <w:cantSplit/>
          <w:trHeight w:val="815"/>
        </w:trPr>
        <w:tc>
          <w:tcPr>
            <w:tcW w:w="1242" w:type="dxa"/>
            <w:vMerge/>
            <w:textDirection w:val="btLr"/>
            <w:vAlign w:val="center"/>
          </w:tcPr>
          <w:p w14:paraId="31C5C8AE" w14:textId="77777777" w:rsidR="00304132" w:rsidRPr="00AC3044" w:rsidRDefault="00304132" w:rsidP="00CD5E09">
            <w:pPr>
              <w:rPr>
                <w:rFonts w:eastAsia="SimSun"/>
              </w:rPr>
            </w:pPr>
          </w:p>
        </w:tc>
        <w:tc>
          <w:tcPr>
            <w:tcW w:w="1735" w:type="dxa"/>
            <w:vAlign w:val="center"/>
          </w:tcPr>
          <w:p w14:paraId="0BB07A01" w14:textId="77777777" w:rsidR="00304132" w:rsidRPr="00AC3044" w:rsidRDefault="00304132" w:rsidP="00CD5E09">
            <w:pPr>
              <w:rPr>
                <w:rFonts w:eastAsia="SimSun"/>
              </w:rPr>
            </w:pPr>
            <w:r w:rsidRPr="00AC3044">
              <w:rPr>
                <w:rFonts w:eastAsia="SimSun"/>
              </w:rPr>
              <w:t>Циклоспорин А</w:t>
            </w:r>
          </w:p>
        </w:tc>
        <w:tc>
          <w:tcPr>
            <w:tcW w:w="1418" w:type="dxa"/>
            <w:vAlign w:val="center"/>
          </w:tcPr>
          <w:p w14:paraId="0C453416" w14:textId="77777777" w:rsidR="00304132" w:rsidRPr="00AC3044" w:rsidRDefault="00304132" w:rsidP="00CD5E09">
            <w:pPr>
              <w:rPr>
                <w:rFonts w:eastAsia="SimSun"/>
              </w:rPr>
            </w:pPr>
            <w:r w:rsidRPr="00AC3044">
              <w:rPr>
                <w:rFonts w:eastAsia="SimSun"/>
              </w:rPr>
              <w:t>3  мг/кг</w:t>
            </w:r>
          </w:p>
        </w:tc>
        <w:tc>
          <w:tcPr>
            <w:tcW w:w="1276" w:type="dxa"/>
            <w:vAlign w:val="center"/>
          </w:tcPr>
          <w:p w14:paraId="55EBDA8D" w14:textId="77777777" w:rsidR="00304132" w:rsidRPr="00AC3044" w:rsidRDefault="00304132" w:rsidP="00CD5E09">
            <w:pPr>
              <w:rPr>
                <w:rFonts w:eastAsia="SimSun"/>
              </w:rPr>
            </w:pPr>
            <w:r w:rsidRPr="00AC3044">
              <w:rPr>
                <w:rFonts w:eastAsia="SimSun"/>
              </w:rPr>
              <w:t>-</w:t>
            </w:r>
          </w:p>
        </w:tc>
        <w:tc>
          <w:tcPr>
            <w:tcW w:w="1701" w:type="dxa"/>
            <w:vAlign w:val="center"/>
          </w:tcPr>
          <w:p w14:paraId="542C33A8" w14:textId="77777777" w:rsidR="00304132" w:rsidRPr="00AC3044" w:rsidRDefault="00304132" w:rsidP="00CD5E09">
            <w:pPr>
              <w:rPr>
                <w:rFonts w:eastAsia="SimSun"/>
              </w:rPr>
            </w:pPr>
            <w:r w:rsidRPr="00AC3044">
              <w:rPr>
                <w:rFonts w:eastAsia="SimSun"/>
              </w:rPr>
              <w:t xml:space="preserve">С -1 дня по +100 день </w:t>
            </w:r>
          </w:p>
        </w:tc>
        <w:tc>
          <w:tcPr>
            <w:tcW w:w="2268" w:type="dxa"/>
            <w:vAlign w:val="center"/>
          </w:tcPr>
          <w:p w14:paraId="3EC6851B" w14:textId="77777777" w:rsidR="00304132" w:rsidRPr="00AC3044" w:rsidRDefault="00304132" w:rsidP="00CD5E09">
            <w:pPr>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DB259E">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bl>
    <w:p w14:paraId="04AA2EC3" w14:textId="77777777" w:rsidR="00304132" w:rsidRPr="00C07B2E" w:rsidRDefault="00304132" w:rsidP="00304132">
      <w:pPr>
        <w:rPr>
          <w:rFonts w:eastAsia="SimSun"/>
        </w:rPr>
      </w:pPr>
    </w:p>
    <w:p w14:paraId="0FD0913C" w14:textId="77777777" w:rsidR="00304132" w:rsidRPr="00C07B2E" w:rsidRDefault="00304132" w:rsidP="00304132">
      <w:pPr>
        <w:rPr>
          <w:rFonts w:eastAsia="SimSun"/>
        </w:rPr>
      </w:pPr>
      <w:bookmarkStart w:id="339" w:name="_Toc44401196"/>
      <w:r w:rsidRPr="00042499">
        <w:rPr>
          <w:rFonts w:eastAsia="SimSun"/>
        </w:rPr>
        <w:lastRenderedPageBreak/>
        <w:t>Таблица</w:t>
      </w:r>
      <w:r w:rsidRPr="00C07B2E">
        <w:rPr>
          <w:rFonts w:eastAsia="SimSun"/>
        </w:rPr>
        <w:t xml:space="preserve"> </w:t>
      </w:r>
      <w:r>
        <w:rPr>
          <w:rFonts w:eastAsia="SimSun"/>
        </w:rPr>
        <w:t>5.</w:t>
      </w:r>
      <w:r w:rsidRPr="00C07B2E">
        <w:rPr>
          <w:rFonts w:eastAsia="SimSun"/>
        </w:rPr>
        <w:t>2.1.10  – Flu180+Bu14 / Tx+MMF30</w:t>
      </w:r>
      <w:bookmarkEnd w:id="339"/>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42"/>
        <w:gridCol w:w="1701"/>
        <w:gridCol w:w="1418"/>
        <w:gridCol w:w="1276"/>
        <w:gridCol w:w="1701"/>
        <w:gridCol w:w="2268"/>
      </w:tblGrid>
      <w:tr w:rsidR="00304132" w:rsidRPr="00AC3044" w14:paraId="4FAE7A95" w14:textId="77777777" w:rsidTr="00CD5E09">
        <w:trPr>
          <w:cantSplit/>
          <w:trHeight w:val="20"/>
          <w:tblHeader/>
        </w:trPr>
        <w:tc>
          <w:tcPr>
            <w:tcW w:w="1242" w:type="dxa"/>
            <w:vAlign w:val="center"/>
          </w:tcPr>
          <w:p w14:paraId="4F606C95" w14:textId="77777777" w:rsidR="00304132" w:rsidRPr="00AC3044" w:rsidRDefault="00304132" w:rsidP="00CD5E09">
            <w:pPr>
              <w:rPr>
                <w:rFonts w:eastAsia="SimSun"/>
              </w:rPr>
            </w:pPr>
          </w:p>
        </w:tc>
        <w:tc>
          <w:tcPr>
            <w:tcW w:w="1701" w:type="dxa"/>
            <w:vAlign w:val="center"/>
          </w:tcPr>
          <w:p w14:paraId="41327C67" w14:textId="77777777" w:rsidR="00304132" w:rsidRPr="00AC3044" w:rsidRDefault="00304132" w:rsidP="00CD5E09">
            <w:pPr>
              <w:rPr>
                <w:rFonts w:eastAsia="SimSun"/>
              </w:rPr>
            </w:pPr>
            <w:r w:rsidRPr="00AC3044">
              <w:rPr>
                <w:rFonts w:eastAsia="SimSun"/>
              </w:rPr>
              <w:t>Препарат</w:t>
            </w:r>
          </w:p>
        </w:tc>
        <w:tc>
          <w:tcPr>
            <w:tcW w:w="1418" w:type="dxa"/>
            <w:vAlign w:val="center"/>
          </w:tcPr>
          <w:p w14:paraId="48DB40F4" w14:textId="77777777" w:rsidR="00304132" w:rsidRPr="00AC3044" w:rsidRDefault="00304132" w:rsidP="00CD5E09">
            <w:pPr>
              <w:rPr>
                <w:rFonts w:eastAsia="SimSun"/>
              </w:rPr>
            </w:pPr>
            <w:r w:rsidRPr="00AC3044">
              <w:rPr>
                <w:rFonts w:eastAsia="SimSun"/>
              </w:rPr>
              <w:t>Суточная доза</w:t>
            </w:r>
          </w:p>
        </w:tc>
        <w:tc>
          <w:tcPr>
            <w:tcW w:w="1276" w:type="dxa"/>
            <w:vAlign w:val="center"/>
          </w:tcPr>
          <w:p w14:paraId="1E5799B3" w14:textId="77777777" w:rsidR="00304132" w:rsidRPr="00AC3044" w:rsidRDefault="00304132" w:rsidP="00CD5E09">
            <w:pPr>
              <w:rPr>
                <w:rFonts w:eastAsia="SimSun"/>
              </w:rPr>
            </w:pPr>
            <w:r w:rsidRPr="00AC3044">
              <w:rPr>
                <w:rFonts w:eastAsia="SimSun"/>
              </w:rPr>
              <w:t>Курсовая доза</w:t>
            </w:r>
          </w:p>
        </w:tc>
        <w:tc>
          <w:tcPr>
            <w:tcW w:w="1701" w:type="dxa"/>
            <w:vAlign w:val="center"/>
          </w:tcPr>
          <w:p w14:paraId="21B01F54" w14:textId="77777777" w:rsidR="00304132" w:rsidRPr="00AC3044" w:rsidRDefault="00304132" w:rsidP="00CD5E09">
            <w:pPr>
              <w:rPr>
                <w:rFonts w:eastAsia="SimSun"/>
              </w:rPr>
            </w:pPr>
            <w:r w:rsidRPr="00AC3044">
              <w:rPr>
                <w:rFonts w:eastAsia="SimSun"/>
              </w:rPr>
              <w:t>Дни введения</w:t>
            </w:r>
          </w:p>
        </w:tc>
        <w:tc>
          <w:tcPr>
            <w:tcW w:w="2268" w:type="dxa"/>
            <w:vAlign w:val="center"/>
          </w:tcPr>
          <w:p w14:paraId="7CAE8EF0" w14:textId="77777777" w:rsidR="00304132" w:rsidRPr="00AC3044" w:rsidRDefault="00304132" w:rsidP="00CD5E09">
            <w:pPr>
              <w:rPr>
                <w:rFonts w:eastAsia="SimSun"/>
              </w:rPr>
            </w:pPr>
            <w:r w:rsidRPr="00AC3044">
              <w:rPr>
                <w:rFonts w:eastAsia="SimSun"/>
              </w:rPr>
              <w:t>Порядок введения</w:t>
            </w:r>
          </w:p>
        </w:tc>
      </w:tr>
      <w:tr w:rsidR="00304132" w:rsidRPr="00AC3044" w14:paraId="6BC6C5A5" w14:textId="77777777" w:rsidTr="00CD5E09">
        <w:trPr>
          <w:cantSplit/>
          <w:trHeight w:val="20"/>
        </w:trPr>
        <w:tc>
          <w:tcPr>
            <w:tcW w:w="1242" w:type="dxa"/>
            <w:vMerge w:val="restart"/>
            <w:textDirection w:val="btLr"/>
            <w:vAlign w:val="center"/>
          </w:tcPr>
          <w:p w14:paraId="73A18775" w14:textId="77777777" w:rsidR="00304132" w:rsidRPr="00AC3044" w:rsidRDefault="00304132" w:rsidP="00CD5E09">
            <w:pPr>
              <w:rPr>
                <w:rFonts w:eastAsia="SimSun"/>
              </w:rPr>
            </w:pPr>
            <w:r w:rsidRPr="00AC3044">
              <w:rPr>
                <w:rFonts w:eastAsia="SimSun"/>
              </w:rPr>
              <w:t>Кондиционирование</w:t>
            </w:r>
          </w:p>
        </w:tc>
        <w:tc>
          <w:tcPr>
            <w:tcW w:w="1701" w:type="dxa"/>
            <w:vAlign w:val="center"/>
          </w:tcPr>
          <w:p w14:paraId="16D691D6" w14:textId="77777777" w:rsidR="00304132" w:rsidRPr="00AC3044" w:rsidRDefault="00304132" w:rsidP="00CD5E09">
            <w:pPr>
              <w:rPr>
                <w:rFonts w:eastAsia="SimSun"/>
              </w:rPr>
            </w:pPr>
            <w:r w:rsidRPr="00AC3044">
              <w:rPr>
                <w:rFonts w:eastAsia="SimSun"/>
              </w:rPr>
              <w:t xml:space="preserve">Флударабин </w:t>
            </w:r>
          </w:p>
        </w:tc>
        <w:tc>
          <w:tcPr>
            <w:tcW w:w="1418" w:type="dxa"/>
            <w:vAlign w:val="center"/>
          </w:tcPr>
          <w:p w14:paraId="40A57BCF" w14:textId="77777777" w:rsidR="00304132" w:rsidRPr="00AC3044" w:rsidRDefault="00304132" w:rsidP="00CD5E09">
            <w:pPr>
              <w:rPr>
                <w:rFonts w:eastAsia="SimSun"/>
              </w:rPr>
            </w:pPr>
            <w:r w:rsidRPr="00AC3044">
              <w:rPr>
                <w:rFonts w:eastAsia="SimSun"/>
              </w:rPr>
              <w:t>30 мг/м</w:t>
            </w:r>
            <w:r w:rsidRPr="00DB259E">
              <w:rPr>
                <w:rFonts w:eastAsia="SimSun"/>
                <w:vertAlign w:val="superscript"/>
              </w:rPr>
              <w:t>2</w:t>
            </w:r>
          </w:p>
        </w:tc>
        <w:tc>
          <w:tcPr>
            <w:tcW w:w="1276" w:type="dxa"/>
            <w:vAlign w:val="center"/>
          </w:tcPr>
          <w:p w14:paraId="278B8F77" w14:textId="77777777" w:rsidR="00304132" w:rsidRPr="00AC3044" w:rsidRDefault="00304132" w:rsidP="00CD5E09">
            <w:pPr>
              <w:rPr>
                <w:rFonts w:eastAsia="SimSun"/>
              </w:rPr>
            </w:pPr>
            <w:r w:rsidRPr="00AC3044">
              <w:rPr>
                <w:rFonts w:eastAsia="SimSun"/>
              </w:rPr>
              <w:t>180 мг/м</w:t>
            </w:r>
            <w:r w:rsidRPr="00DB259E">
              <w:rPr>
                <w:rFonts w:eastAsia="SimSun"/>
                <w:vertAlign w:val="superscript"/>
              </w:rPr>
              <w:t>2</w:t>
            </w:r>
          </w:p>
        </w:tc>
        <w:tc>
          <w:tcPr>
            <w:tcW w:w="1701" w:type="dxa"/>
            <w:vAlign w:val="center"/>
          </w:tcPr>
          <w:p w14:paraId="300B84D9" w14:textId="77777777" w:rsidR="00304132" w:rsidRPr="00AC3044" w:rsidRDefault="00304132" w:rsidP="00CD5E09">
            <w:pPr>
              <w:rPr>
                <w:rFonts w:eastAsia="SimSun"/>
              </w:rPr>
            </w:pPr>
            <w:r w:rsidRPr="00AC3044">
              <w:rPr>
                <w:rFonts w:eastAsia="SimSun"/>
              </w:rPr>
              <w:t>С -7 дня по -2 день</w:t>
            </w:r>
          </w:p>
        </w:tc>
        <w:tc>
          <w:tcPr>
            <w:tcW w:w="2268" w:type="dxa"/>
            <w:vAlign w:val="center"/>
          </w:tcPr>
          <w:p w14:paraId="44F450A6" w14:textId="77777777" w:rsidR="00304132" w:rsidRPr="00AC3044" w:rsidRDefault="00304132" w:rsidP="00CD5E09">
            <w:pPr>
              <w:rPr>
                <w:rFonts w:eastAsia="SimSun"/>
              </w:rPr>
            </w:pPr>
            <w:r w:rsidRPr="00AC3044">
              <w:rPr>
                <w:rFonts w:eastAsia="SimSun"/>
              </w:rPr>
              <w:t>В/в, в течение 30 -60 мин</w:t>
            </w:r>
          </w:p>
        </w:tc>
      </w:tr>
      <w:tr w:rsidR="00304132" w:rsidRPr="00AC3044" w14:paraId="02402BF2" w14:textId="77777777" w:rsidTr="00CD5E09">
        <w:trPr>
          <w:cantSplit/>
          <w:trHeight w:val="1207"/>
        </w:trPr>
        <w:tc>
          <w:tcPr>
            <w:tcW w:w="1242" w:type="dxa"/>
            <w:vMerge/>
            <w:vAlign w:val="center"/>
          </w:tcPr>
          <w:p w14:paraId="439946DF" w14:textId="77777777" w:rsidR="00304132" w:rsidRPr="00AC3044" w:rsidRDefault="00304132" w:rsidP="00CD5E09">
            <w:pPr>
              <w:rPr>
                <w:rFonts w:eastAsia="SimSun"/>
              </w:rPr>
            </w:pPr>
          </w:p>
        </w:tc>
        <w:tc>
          <w:tcPr>
            <w:tcW w:w="1701" w:type="dxa"/>
            <w:vAlign w:val="center"/>
          </w:tcPr>
          <w:p w14:paraId="6A40C3A2" w14:textId="77777777" w:rsidR="00304132" w:rsidRPr="00AC3044" w:rsidRDefault="00304132" w:rsidP="00CD5E09">
            <w:pPr>
              <w:rPr>
                <w:rFonts w:eastAsia="SimSun"/>
              </w:rPr>
            </w:pPr>
            <w:r w:rsidRPr="00AC3044">
              <w:rPr>
                <w:rFonts w:eastAsia="SimSun"/>
              </w:rPr>
              <w:t>Бусульфан</w:t>
            </w:r>
          </w:p>
        </w:tc>
        <w:tc>
          <w:tcPr>
            <w:tcW w:w="1418" w:type="dxa"/>
            <w:vAlign w:val="center"/>
          </w:tcPr>
          <w:p w14:paraId="519E09E6" w14:textId="77777777" w:rsidR="00304132" w:rsidRPr="00AC3044" w:rsidRDefault="00304132" w:rsidP="00CD5E09">
            <w:pPr>
              <w:rPr>
                <w:rFonts w:eastAsia="SimSun"/>
              </w:rPr>
            </w:pPr>
            <w:r w:rsidRPr="00AC3044">
              <w:rPr>
                <w:rFonts w:eastAsia="SimSun"/>
              </w:rPr>
              <w:t xml:space="preserve">4 мг/кг </w:t>
            </w:r>
          </w:p>
        </w:tc>
        <w:tc>
          <w:tcPr>
            <w:tcW w:w="1276" w:type="dxa"/>
            <w:vAlign w:val="center"/>
          </w:tcPr>
          <w:p w14:paraId="36EE938C" w14:textId="77777777" w:rsidR="00304132" w:rsidRPr="00AC3044" w:rsidRDefault="00304132" w:rsidP="00CD5E09">
            <w:pPr>
              <w:rPr>
                <w:rFonts w:eastAsia="SimSun"/>
              </w:rPr>
            </w:pPr>
            <w:r w:rsidRPr="00AC3044">
              <w:rPr>
                <w:rFonts w:eastAsia="SimSun"/>
              </w:rPr>
              <w:t xml:space="preserve">14 мг/кг </w:t>
            </w:r>
          </w:p>
        </w:tc>
        <w:tc>
          <w:tcPr>
            <w:tcW w:w="1701" w:type="dxa"/>
            <w:vAlign w:val="center"/>
          </w:tcPr>
          <w:p w14:paraId="799F3746" w14:textId="77777777" w:rsidR="00304132" w:rsidRPr="00AC3044" w:rsidRDefault="00304132" w:rsidP="00CD5E09">
            <w:pPr>
              <w:rPr>
                <w:rFonts w:eastAsia="SimSun"/>
              </w:rPr>
            </w:pPr>
            <w:r w:rsidRPr="00AC3044">
              <w:rPr>
                <w:rFonts w:eastAsia="SimSun"/>
              </w:rPr>
              <w:t>С -6 дня по -3 день</w:t>
            </w:r>
          </w:p>
        </w:tc>
        <w:tc>
          <w:tcPr>
            <w:tcW w:w="2268" w:type="dxa"/>
            <w:vAlign w:val="center"/>
          </w:tcPr>
          <w:p w14:paraId="6C187B54" w14:textId="77777777" w:rsidR="00304132" w:rsidRPr="00AC3044" w:rsidRDefault="00304132" w:rsidP="00CD5E09">
            <w:pPr>
              <w:rPr>
                <w:rFonts w:eastAsia="SimSun"/>
              </w:rPr>
            </w:pPr>
            <w:r w:rsidRPr="00AC3044">
              <w:rPr>
                <w:rFonts w:eastAsia="SimSun"/>
              </w:rPr>
              <w:t>Внутрь, суммарная суточная доза разделяется на 4 приема с интервалом 6 часов. День -6: бусульфан разделяется на 2 приема с интервалом 6 часов, в вечернее время (18.00, 24.00)</w:t>
            </w:r>
          </w:p>
        </w:tc>
      </w:tr>
      <w:tr w:rsidR="00304132" w:rsidRPr="00AC3044" w14:paraId="4D8D7DF6" w14:textId="77777777" w:rsidTr="00CD5E09">
        <w:trPr>
          <w:cantSplit/>
          <w:trHeight w:val="1498"/>
        </w:trPr>
        <w:tc>
          <w:tcPr>
            <w:tcW w:w="1242" w:type="dxa"/>
            <w:vMerge w:val="restart"/>
            <w:textDirection w:val="btLr"/>
            <w:vAlign w:val="center"/>
          </w:tcPr>
          <w:p w14:paraId="72E2A213" w14:textId="77777777" w:rsidR="00304132" w:rsidRPr="00AC3044" w:rsidRDefault="00304132" w:rsidP="00CD5E09">
            <w:pPr>
              <w:rPr>
                <w:rFonts w:eastAsia="SimSun"/>
              </w:rPr>
            </w:pPr>
            <w:r w:rsidRPr="00AC3044">
              <w:rPr>
                <w:rFonts w:eastAsia="SimSun"/>
              </w:rPr>
              <w:t>Профилактика РТПХ</w:t>
            </w:r>
          </w:p>
        </w:tc>
        <w:tc>
          <w:tcPr>
            <w:tcW w:w="1701" w:type="dxa"/>
            <w:vAlign w:val="center"/>
          </w:tcPr>
          <w:p w14:paraId="7B70B7D3" w14:textId="77777777" w:rsidR="00304132" w:rsidRPr="00AC3044" w:rsidRDefault="00304132" w:rsidP="00CD5E09">
            <w:pPr>
              <w:rPr>
                <w:rFonts w:eastAsia="SimSun"/>
              </w:rPr>
            </w:pPr>
            <w:r w:rsidRPr="00AC3044">
              <w:rPr>
                <w:rFonts w:eastAsia="SimSun"/>
              </w:rPr>
              <w:t xml:space="preserve">Такролимус </w:t>
            </w:r>
          </w:p>
        </w:tc>
        <w:tc>
          <w:tcPr>
            <w:tcW w:w="1418" w:type="dxa"/>
            <w:vAlign w:val="center"/>
          </w:tcPr>
          <w:p w14:paraId="2E49136A" w14:textId="77777777" w:rsidR="00304132" w:rsidRPr="00AC3044" w:rsidRDefault="00304132" w:rsidP="00CD5E09">
            <w:pPr>
              <w:rPr>
                <w:rFonts w:eastAsia="SimSun"/>
              </w:rPr>
            </w:pPr>
            <w:r w:rsidRPr="00AC3044">
              <w:rPr>
                <w:rFonts w:eastAsia="SimSun"/>
              </w:rPr>
              <w:t>0,03 мг/кг</w:t>
            </w:r>
          </w:p>
        </w:tc>
        <w:tc>
          <w:tcPr>
            <w:tcW w:w="1276" w:type="dxa"/>
            <w:vAlign w:val="center"/>
          </w:tcPr>
          <w:p w14:paraId="447A836D" w14:textId="77777777" w:rsidR="00304132" w:rsidRPr="00AC3044" w:rsidRDefault="00304132" w:rsidP="00CD5E09">
            <w:pPr>
              <w:rPr>
                <w:rFonts w:eastAsia="SimSun"/>
              </w:rPr>
            </w:pPr>
            <w:r w:rsidRPr="00AC3044">
              <w:rPr>
                <w:rFonts w:eastAsia="SimSun"/>
              </w:rPr>
              <w:t>–</w:t>
            </w:r>
          </w:p>
        </w:tc>
        <w:tc>
          <w:tcPr>
            <w:tcW w:w="1701" w:type="dxa"/>
            <w:vAlign w:val="center"/>
          </w:tcPr>
          <w:p w14:paraId="2B10D619" w14:textId="77777777" w:rsidR="00304132" w:rsidRPr="00AC3044" w:rsidRDefault="00304132" w:rsidP="00CD5E09">
            <w:pPr>
              <w:rPr>
                <w:rFonts w:eastAsia="SimSun"/>
              </w:rPr>
            </w:pPr>
            <w:r w:rsidRPr="00AC3044">
              <w:rPr>
                <w:rFonts w:eastAsia="SimSun"/>
              </w:rPr>
              <w:t xml:space="preserve">С +5 дня длительно </w:t>
            </w:r>
          </w:p>
        </w:tc>
        <w:tc>
          <w:tcPr>
            <w:tcW w:w="2268" w:type="dxa"/>
            <w:vAlign w:val="center"/>
          </w:tcPr>
          <w:p w14:paraId="3FF24D55" w14:textId="77777777" w:rsidR="00304132" w:rsidRPr="00AC3044" w:rsidRDefault="00304132" w:rsidP="00CD5E09">
            <w:pPr>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 </w:t>
            </w:r>
            <w:r w:rsidRPr="00AC3044">
              <w:rPr>
                <w:rFonts w:eastAsia="SimSun"/>
              </w:rPr>
              <w:t>10</w:t>
            </w:r>
            <w:r w:rsidRPr="00DB259E">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304132" w:rsidRPr="00AC3044" w14:paraId="2DF662F8" w14:textId="77777777" w:rsidTr="00CD5E09">
        <w:trPr>
          <w:cantSplit/>
          <w:trHeight w:val="604"/>
        </w:trPr>
        <w:tc>
          <w:tcPr>
            <w:tcW w:w="1242" w:type="dxa"/>
            <w:vMerge/>
            <w:textDirection w:val="btLr"/>
            <w:vAlign w:val="center"/>
          </w:tcPr>
          <w:p w14:paraId="4826162A" w14:textId="77777777" w:rsidR="00304132" w:rsidRPr="00AC3044" w:rsidRDefault="00304132" w:rsidP="00CD5E09">
            <w:pPr>
              <w:rPr>
                <w:rFonts w:eastAsia="SimSun"/>
              </w:rPr>
            </w:pPr>
          </w:p>
        </w:tc>
        <w:tc>
          <w:tcPr>
            <w:tcW w:w="1701" w:type="dxa"/>
            <w:vAlign w:val="center"/>
          </w:tcPr>
          <w:p w14:paraId="782D3441" w14:textId="77777777" w:rsidR="00304132" w:rsidRPr="00AC3044" w:rsidRDefault="00304132" w:rsidP="00CD5E09">
            <w:pPr>
              <w:rPr>
                <w:rFonts w:eastAsia="SimSun"/>
              </w:rPr>
            </w:pPr>
            <w:r w:rsidRPr="00AC3044">
              <w:rPr>
                <w:rFonts w:eastAsia="SimSun"/>
              </w:rPr>
              <w:t>Микофенолата мофетил</w:t>
            </w:r>
          </w:p>
        </w:tc>
        <w:tc>
          <w:tcPr>
            <w:tcW w:w="1418" w:type="dxa"/>
            <w:vAlign w:val="center"/>
          </w:tcPr>
          <w:p w14:paraId="793A8A23" w14:textId="77777777" w:rsidR="00304132" w:rsidRPr="00AC3044" w:rsidRDefault="00304132" w:rsidP="00CD5E09">
            <w:pPr>
              <w:rPr>
                <w:rFonts w:eastAsia="SimSun"/>
              </w:rPr>
            </w:pPr>
            <w:r w:rsidRPr="00AC3044">
              <w:rPr>
                <w:rFonts w:eastAsia="SimSun"/>
              </w:rPr>
              <w:t xml:space="preserve">30 мг/кг </w:t>
            </w:r>
          </w:p>
        </w:tc>
        <w:tc>
          <w:tcPr>
            <w:tcW w:w="1276" w:type="dxa"/>
            <w:vAlign w:val="center"/>
          </w:tcPr>
          <w:p w14:paraId="55D2498A" w14:textId="77777777" w:rsidR="00304132" w:rsidRPr="00AC3044" w:rsidRDefault="00304132" w:rsidP="00CD5E09">
            <w:pPr>
              <w:rPr>
                <w:rFonts w:eastAsia="SimSun"/>
              </w:rPr>
            </w:pPr>
            <w:r w:rsidRPr="00AC3044">
              <w:rPr>
                <w:rFonts w:eastAsia="SimSun"/>
              </w:rPr>
              <w:t>–</w:t>
            </w:r>
          </w:p>
        </w:tc>
        <w:tc>
          <w:tcPr>
            <w:tcW w:w="1701" w:type="dxa"/>
            <w:vAlign w:val="center"/>
          </w:tcPr>
          <w:p w14:paraId="7F5C1177" w14:textId="77777777" w:rsidR="00304132" w:rsidRPr="00AC3044" w:rsidRDefault="00304132" w:rsidP="00CD5E09">
            <w:pPr>
              <w:rPr>
                <w:rFonts w:eastAsia="SimSun"/>
              </w:rPr>
            </w:pPr>
            <w:r w:rsidRPr="00AC3044">
              <w:rPr>
                <w:rFonts w:eastAsia="SimSun"/>
              </w:rPr>
              <w:t xml:space="preserve">С +5 дня по +35 день </w:t>
            </w:r>
          </w:p>
        </w:tc>
        <w:tc>
          <w:tcPr>
            <w:tcW w:w="2268" w:type="dxa"/>
            <w:vAlign w:val="center"/>
          </w:tcPr>
          <w:p w14:paraId="0A16F65F" w14:textId="77777777" w:rsidR="00304132" w:rsidRPr="00AC3044" w:rsidRDefault="00304132" w:rsidP="00CD5E09">
            <w:pPr>
              <w:rPr>
                <w:rFonts w:eastAsia="SimSun"/>
              </w:rPr>
            </w:pPr>
            <w:r w:rsidRPr="00AC3044">
              <w:rPr>
                <w:rFonts w:eastAsia="SimSun"/>
              </w:rPr>
              <w:t xml:space="preserve">Внутрь, суммарная суточная доза разделяется на 2- 4 приема (не более 3г/сут).  </w:t>
            </w:r>
          </w:p>
        </w:tc>
      </w:tr>
    </w:tbl>
    <w:p w14:paraId="603F905E" w14:textId="77777777" w:rsidR="00304132" w:rsidRDefault="00304132" w:rsidP="00304132">
      <w:pPr>
        <w:rPr>
          <w:rFonts w:eastAsia="SimSun"/>
        </w:rPr>
      </w:pPr>
      <w:bookmarkStart w:id="340" w:name="_Toc44401197"/>
    </w:p>
    <w:p w14:paraId="019262E8" w14:textId="77777777" w:rsidR="00304132" w:rsidRPr="00C07B2E" w:rsidRDefault="00304132" w:rsidP="00304132">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2.1.11  – Flu180+Treo42 / PT-Cy+Tx+MMF30</w:t>
      </w:r>
      <w:bookmarkEnd w:id="340"/>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42"/>
        <w:gridCol w:w="1701"/>
        <w:gridCol w:w="1418"/>
        <w:gridCol w:w="1276"/>
        <w:gridCol w:w="1701"/>
        <w:gridCol w:w="2268"/>
      </w:tblGrid>
      <w:tr w:rsidR="00304132" w:rsidRPr="00C07B2E" w14:paraId="3C244DFC" w14:textId="77777777" w:rsidTr="00CD5E09">
        <w:trPr>
          <w:cantSplit/>
          <w:trHeight w:val="20"/>
          <w:tblHeader/>
        </w:trPr>
        <w:tc>
          <w:tcPr>
            <w:tcW w:w="1242" w:type="dxa"/>
            <w:vAlign w:val="center"/>
          </w:tcPr>
          <w:p w14:paraId="67E92250" w14:textId="77777777" w:rsidR="00304132" w:rsidRPr="00470D3D" w:rsidRDefault="00304132" w:rsidP="00CD5E09">
            <w:pPr>
              <w:rPr>
                <w:rFonts w:eastAsia="SimSun"/>
              </w:rPr>
            </w:pPr>
          </w:p>
        </w:tc>
        <w:tc>
          <w:tcPr>
            <w:tcW w:w="1701" w:type="dxa"/>
            <w:vAlign w:val="center"/>
          </w:tcPr>
          <w:p w14:paraId="75D65491" w14:textId="77777777" w:rsidR="00304132" w:rsidRPr="00C07B2E" w:rsidRDefault="00304132" w:rsidP="00CD5E09">
            <w:pPr>
              <w:rPr>
                <w:rFonts w:eastAsia="SimSun"/>
              </w:rPr>
            </w:pPr>
            <w:r w:rsidRPr="00C07B2E">
              <w:rPr>
                <w:rFonts w:eastAsia="SimSun"/>
              </w:rPr>
              <w:t>Препарат</w:t>
            </w:r>
          </w:p>
        </w:tc>
        <w:tc>
          <w:tcPr>
            <w:tcW w:w="1418" w:type="dxa"/>
            <w:vAlign w:val="center"/>
          </w:tcPr>
          <w:p w14:paraId="3A772D7F" w14:textId="77777777" w:rsidR="00304132" w:rsidRPr="00C07B2E" w:rsidRDefault="00304132" w:rsidP="00CD5E09">
            <w:pPr>
              <w:rPr>
                <w:rFonts w:eastAsia="SimSun"/>
              </w:rPr>
            </w:pPr>
            <w:r w:rsidRPr="00C07B2E">
              <w:rPr>
                <w:rFonts w:eastAsia="SimSun"/>
              </w:rPr>
              <w:t>Суточная доза</w:t>
            </w:r>
          </w:p>
        </w:tc>
        <w:tc>
          <w:tcPr>
            <w:tcW w:w="1276" w:type="dxa"/>
            <w:vAlign w:val="center"/>
          </w:tcPr>
          <w:p w14:paraId="09192D7E" w14:textId="77777777" w:rsidR="00304132" w:rsidRPr="00C07B2E" w:rsidRDefault="00304132" w:rsidP="00CD5E09">
            <w:pPr>
              <w:rPr>
                <w:rFonts w:eastAsia="SimSun"/>
              </w:rPr>
            </w:pPr>
            <w:r w:rsidRPr="00C07B2E">
              <w:rPr>
                <w:rFonts w:eastAsia="SimSun"/>
              </w:rPr>
              <w:t>Курсовая доза</w:t>
            </w:r>
          </w:p>
        </w:tc>
        <w:tc>
          <w:tcPr>
            <w:tcW w:w="1701" w:type="dxa"/>
            <w:vAlign w:val="center"/>
          </w:tcPr>
          <w:p w14:paraId="25F2F1C6" w14:textId="77777777" w:rsidR="00304132" w:rsidRPr="00C07B2E" w:rsidRDefault="00304132" w:rsidP="00CD5E09">
            <w:pPr>
              <w:rPr>
                <w:rFonts w:eastAsia="SimSun"/>
              </w:rPr>
            </w:pPr>
            <w:r w:rsidRPr="00C07B2E">
              <w:rPr>
                <w:rFonts w:eastAsia="SimSun"/>
              </w:rPr>
              <w:t>Дни введения</w:t>
            </w:r>
          </w:p>
        </w:tc>
        <w:tc>
          <w:tcPr>
            <w:tcW w:w="2268" w:type="dxa"/>
            <w:vAlign w:val="center"/>
          </w:tcPr>
          <w:p w14:paraId="7431F8D7" w14:textId="77777777" w:rsidR="00304132" w:rsidRPr="00C07B2E" w:rsidRDefault="00304132" w:rsidP="00CD5E09">
            <w:pPr>
              <w:rPr>
                <w:rFonts w:eastAsia="SimSun"/>
              </w:rPr>
            </w:pPr>
            <w:r w:rsidRPr="00C07B2E">
              <w:rPr>
                <w:rFonts w:eastAsia="SimSun"/>
              </w:rPr>
              <w:t>Порядок введения</w:t>
            </w:r>
          </w:p>
        </w:tc>
      </w:tr>
      <w:tr w:rsidR="00304132" w:rsidRPr="00C07B2E" w14:paraId="38998479" w14:textId="77777777" w:rsidTr="00CD5E09">
        <w:trPr>
          <w:cantSplit/>
          <w:trHeight w:val="20"/>
        </w:trPr>
        <w:tc>
          <w:tcPr>
            <w:tcW w:w="1242" w:type="dxa"/>
            <w:vMerge w:val="restart"/>
            <w:textDirection w:val="btLr"/>
            <w:vAlign w:val="center"/>
          </w:tcPr>
          <w:p w14:paraId="57D09C61" w14:textId="77777777" w:rsidR="00304132" w:rsidRPr="00C07B2E" w:rsidRDefault="00304132" w:rsidP="00CD5E09">
            <w:pPr>
              <w:rPr>
                <w:rFonts w:eastAsia="SimSun"/>
              </w:rPr>
            </w:pPr>
            <w:r w:rsidRPr="00C07B2E">
              <w:rPr>
                <w:rFonts w:eastAsia="SimSun"/>
              </w:rPr>
              <w:t>Кондиционирование</w:t>
            </w:r>
          </w:p>
        </w:tc>
        <w:tc>
          <w:tcPr>
            <w:tcW w:w="1701" w:type="dxa"/>
            <w:vAlign w:val="center"/>
          </w:tcPr>
          <w:p w14:paraId="790C1B4A" w14:textId="77777777" w:rsidR="00304132" w:rsidRPr="00C07B2E" w:rsidRDefault="00304132" w:rsidP="00CD5E09">
            <w:pPr>
              <w:rPr>
                <w:rFonts w:eastAsia="SimSun"/>
              </w:rPr>
            </w:pPr>
            <w:r w:rsidRPr="00C07B2E">
              <w:rPr>
                <w:rFonts w:eastAsia="SimSun"/>
              </w:rPr>
              <w:t xml:space="preserve">Флударабин </w:t>
            </w:r>
          </w:p>
        </w:tc>
        <w:tc>
          <w:tcPr>
            <w:tcW w:w="1418" w:type="dxa"/>
            <w:vAlign w:val="center"/>
          </w:tcPr>
          <w:p w14:paraId="607FCEDB" w14:textId="77777777" w:rsidR="00304132" w:rsidRPr="00C07B2E" w:rsidRDefault="00304132" w:rsidP="00CD5E09">
            <w:pPr>
              <w:rPr>
                <w:rFonts w:eastAsia="SimSun"/>
              </w:rPr>
            </w:pPr>
            <w:r w:rsidRPr="00C07B2E">
              <w:rPr>
                <w:rFonts w:eastAsia="SimSun"/>
              </w:rPr>
              <w:t>30 мг/м</w:t>
            </w:r>
            <w:r w:rsidRPr="00DB259E">
              <w:rPr>
                <w:rFonts w:eastAsia="SimSun"/>
                <w:vertAlign w:val="superscript"/>
              </w:rPr>
              <w:t>2</w:t>
            </w:r>
          </w:p>
        </w:tc>
        <w:tc>
          <w:tcPr>
            <w:tcW w:w="1276" w:type="dxa"/>
            <w:vAlign w:val="center"/>
          </w:tcPr>
          <w:p w14:paraId="222F93D5" w14:textId="77777777" w:rsidR="00304132" w:rsidRPr="00C07B2E" w:rsidRDefault="00304132" w:rsidP="00CD5E09">
            <w:pPr>
              <w:rPr>
                <w:rFonts w:eastAsia="SimSun"/>
              </w:rPr>
            </w:pPr>
            <w:r w:rsidRPr="00C07B2E">
              <w:rPr>
                <w:rFonts w:eastAsia="SimSun"/>
              </w:rPr>
              <w:t>180 мг/м</w:t>
            </w:r>
            <w:r w:rsidRPr="00DB259E">
              <w:rPr>
                <w:rFonts w:eastAsia="SimSun"/>
                <w:vertAlign w:val="superscript"/>
              </w:rPr>
              <w:t>2</w:t>
            </w:r>
          </w:p>
        </w:tc>
        <w:tc>
          <w:tcPr>
            <w:tcW w:w="1701" w:type="dxa"/>
            <w:vAlign w:val="center"/>
          </w:tcPr>
          <w:p w14:paraId="164717EA" w14:textId="77777777" w:rsidR="00304132" w:rsidRPr="00C07B2E" w:rsidRDefault="00304132" w:rsidP="00CD5E09">
            <w:pPr>
              <w:rPr>
                <w:rFonts w:eastAsia="SimSun"/>
              </w:rPr>
            </w:pPr>
            <w:r w:rsidRPr="00C07B2E">
              <w:rPr>
                <w:rFonts w:eastAsia="SimSun"/>
              </w:rPr>
              <w:t>С -7 дня по -2 день</w:t>
            </w:r>
          </w:p>
        </w:tc>
        <w:tc>
          <w:tcPr>
            <w:tcW w:w="2268" w:type="dxa"/>
            <w:vAlign w:val="center"/>
          </w:tcPr>
          <w:p w14:paraId="406D3510" w14:textId="77777777" w:rsidR="00304132" w:rsidRPr="00C07B2E" w:rsidRDefault="00304132" w:rsidP="00CD5E09">
            <w:pPr>
              <w:rPr>
                <w:rFonts w:eastAsia="SimSun"/>
              </w:rPr>
            </w:pPr>
            <w:r w:rsidRPr="00C07B2E">
              <w:rPr>
                <w:rFonts w:eastAsia="SimSun"/>
              </w:rPr>
              <w:t>В/в, в течение 30 -60 мин</w:t>
            </w:r>
          </w:p>
        </w:tc>
      </w:tr>
      <w:tr w:rsidR="00304132" w:rsidRPr="00C07B2E" w14:paraId="63DD970D" w14:textId="77777777" w:rsidTr="00CD5E09">
        <w:trPr>
          <w:cantSplit/>
          <w:trHeight w:val="872"/>
        </w:trPr>
        <w:tc>
          <w:tcPr>
            <w:tcW w:w="1242" w:type="dxa"/>
            <w:vMerge/>
            <w:vAlign w:val="center"/>
          </w:tcPr>
          <w:p w14:paraId="747BF1BE" w14:textId="77777777" w:rsidR="00304132" w:rsidRPr="00C07B2E" w:rsidRDefault="00304132" w:rsidP="00CD5E09">
            <w:pPr>
              <w:rPr>
                <w:rFonts w:eastAsia="SimSun"/>
              </w:rPr>
            </w:pPr>
          </w:p>
        </w:tc>
        <w:tc>
          <w:tcPr>
            <w:tcW w:w="1701" w:type="dxa"/>
            <w:vAlign w:val="center"/>
          </w:tcPr>
          <w:p w14:paraId="51F5F36B" w14:textId="77777777" w:rsidR="00304132" w:rsidRPr="00C07B2E" w:rsidRDefault="00304132" w:rsidP="00CD5E09">
            <w:pPr>
              <w:rPr>
                <w:rFonts w:eastAsia="SimSun"/>
              </w:rPr>
            </w:pPr>
            <w:r w:rsidRPr="00C07B2E">
              <w:rPr>
                <w:rFonts w:eastAsia="SimSun"/>
              </w:rPr>
              <w:t xml:space="preserve">Треосульфан </w:t>
            </w:r>
          </w:p>
        </w:tc>
        <w:tc>
          <w:tcPr>
            <w:tcW w:w="1418" w:type="dxa"/>
            <w:vAlign w:val="center"/>
          </w:tcPr>
          <w:p w14:paraId="63883133" w14:textId="77777777" w:rsidR="00304132" w:rsidRPr="00C07B2E" w:rsidRDefault="00304132" w:rsidP="00CD5E09">
            <w:pPr>
              <w:rPr>
                <w:rFonts w:eastAsia="SimSun"/>
              </w:rPr>
            </w:pPr>
            <w:r w:rsidRPr="00C07B2E">
              <w:rPr>
                <w:rFonts w:eastAsia="SimSun"/>
              </w:rPr>
              <w:t>14 г/кг</w:t>
            </w:r>
          </w:p>
        </w:tc>
        <w:tc>
          <w:tcPr>
            <w:tcW w:w="1276" w:type="dxa"/>
            <w:vAlign w:val="center"/>
          </w:tcPr>
          <w:p w14:paraId="7AD46FDA" w14:textId="77777777" w:rsidR="00304132" w:rsidRPr="00C07B2E" w:rsidRDefault="00304132" w:rsidP="00CD5E09">
            <w:pPr>
              <w:rPr>
                <w:rFonts w:eastAsia="SimSun"/>
              </w:rPr>
            </w:pPr>
            <w:r w:rsidRPr="00C07B2E">
              <w:rPr>
                <w:rFonts w:eastAsia="SimSun"/>
                <w:lang w:val="en-US"/>
              </w:rPr>
              <w:t>4</w:t>
            </w:r>
            <w:r w:rsidRPr="00C07B2E">
              <w:rPr>
                <w:rFonts w:eastAsia="SimSun"/>
              </w:rPr>
              <w:t>2 г/кг</w:t>
            </w:r>
          </w:p>
        </w:tc>
        <w:tc>
          <w:tcPr>
            <w:tcW w:w="1701" w:type="dxa"/>
            <w:vAlign w:val="center"/>
          </w:tcPr>
          <w:p w14:paraId="42D407D7" w14:textId="77777777" w:rsidR="00304132" w:rsidRPr="00C07B2E" w:rsidRDefault="00304132" w:rsidP="00CD5E09">
            <w:pPr>
              <w:rPr>
                <w:rFonts w:eastAsia="SimSun"/>
              </w:rPr>
            </w:pPr>
            <w:r w:rsidRPr="00C07B2E">
              <w:rPr>
                <w:rFonts w:eastAsia="SimSun"/>
              </w:rPr>
              <w:t xml:space="preserve">С -5 дня по -3 день </w:t>
            </w:r>
          </w:p>
        </w:tc>
        <w:tc>
          <w:tcPr>
            <w:tcW w:w="2268" w:type="dxa"/>
            <w:vAlign w:val="center"/>
          </w:tcPr>
          <w:p w14:paraId="5B3D9081" w14:textId="77777777" w:rsidR="00304132" w:rsidRPr="00C07B2E" w:rsidRDefault="00304132" w:rsidP="00CD5E09">
            <w:pPr>
              <w:rPr>
                <w:rFonts w:eastAsia="SimSun"/>
              </w:rPr>
            </w:pPr>
            <w:r w:rsidRPr="00C07B2E">
              <w:rPr>
                <w:rFonts w:eastAsia="SimSun"/>
              </w:rPr>
              <w:t>В/в, в течение 2 часов</w:t>
            </w:r>
          </w:p>
        </w:tc>
      </w:tr>
      <w:tr w:rsidR="00304132" w:rsidRPr="00C07B2E" w14:paraId="5E1BA62E" w14:textId="77777777" w:rsidTr="00CD5E09">
        <w:trPr>
          <w:cantSplit/>
          <w:trHeight w:val="1498"/>
        </w:trPr>
        <w:tc>
          <w:tcPr>
            <w:tcW w:w="1242" w:type="dxa"/>
            <w:vMerge w:val="restart"/>
            <w:textDirection w:val="btLr"/>
            <w:vAlign w:val="center"/>
          </w:tcPr>
          <w:p w14:paraId="46F8C708" w14:textId="77777777" w:rsidR="00304132" w:rsidRPr="00C07B2E" w:rsidRDefault="00304132" w:rsidP="00CD5E09">
            <w:pPr>
              <w:rPr>
                <w:rFonts w:eastAsia="SimSun"/>
              </w:rPr>
            </w:pPr>
            <w:r w:rsidRPr="00C07B2E">
              <w:rPr>
                <w:rFonts w:eastAsia="SimSun"/>
              </w:rPr>
              <w:t>Профилактика РТПХ</w:t>
            </w:r>
          </w:p>
        </w:tc>
        <w:tc>
          <w:tcPr>
            <w:tcW w:w="1701" w:type="dxa"/>
            <w:vAlign w:val="center"/>
          </w:tcPr>
          <w:p w14:paraId="50F85AAB" w14:textId="77777777" w:rsidR="00304132" w:rsidRPr="00C07B2E" w:rsidRDefault="00304132" w:rsidP="00CD5E09">
            <w:pPr>
              <w:rPr>
                <w:rFonts w:eastAsia="SimSun"/>
              </w:rPr>
            </w:pPr>
            <w:r w:rsidRPr="00C07B2E">
              <w:rPr>
                <w:rFonts w:eastAsia="SimSun"/>
              </w:rPr>
              <w:t xml:space="preserve">Такролимус </w:t>
            </w:r>
          </w:p>
        </w:tc>
        <w:tc>
          <w:tcPr>
            <w:tcW w:w="1418" w:type="dxa"/>
            <w:vAlign w:val="center"/>
          </w:tcPr>
          <w:p w14:paraId="62BB2703" w14:textId="77777777" w:rsidR="00304132" w:rsidRPr="00C07B2E" w:rsidRDefault="00304132" w:rsidP="00CD5E09">
            <w:pPr>
              <w:rPr>
                <w:rFonts w:eastAsia="SimSun"/>
              </w:rPr>
            </w:pPr>
            <w:r w:rsidRPr="00C07B2E">
              <w:rPr>
                <w:rFonts w:eastAsia="SimSun"/>
              </w:rPr>
              <w:t>0,03 мг/кг</w:t>
            </w:r>
          </w:p>
        </w:tc>
        <w:tc>
          <w:tcPr>
            <w:tcW w:w="1276" w:type="dxa"/>
            <w:vAlign w:val="center"/>
          </w:tcPr>
          <w:p w14:paraId="40D49693" w14:textId="77777777" w:rsidR="00304132" w:rsidRPr="00C07B2E" w:rsidRDefault="00304132" w:rsidP="00CD5E09">
            <w:pPr>
              <w:rPr>
                <w:rFonts w:eastAsia="SimSun"/>
              </w:rPr>
            </w:pPr>
            <w:r w:rsidRPr="00C07B2E">
              <w:rPr>
                <w:rFonts w:eastAsia="SimSun"/>
                <w:lang w:val="en-US"/>
              </w:rPr>
              <w:t>–</w:t>
            </w:r>
          </w:p>
        </w:tc>
        <w:tc>
          <w:tcPr>
            <w:tcW w:w="1701" w:type="dxa"/>
            <w:vAlign w:val="center"/>
          </w:tcPr>
          <w:p w14:paraId="36A1623D" w14:textId="77777777" w:rsidR="00304132" w:rsidRPr="00C07B2E" w:rsidRDefault="00304132" w:rsidP="00CD5E09">
            <w:pPr>
              <w:rPr>
                <w:rFonts w:eastAsia="SimSun"/>
              </w:rPr>
            </w:pPr>
            <w:r w:rsidRPr="00C07B2E">
              <w:rPr>
                <w:rFonts w:eastAsia="SimSun"/>
              </w:rPr>
              <w:t xml:space="preserve">С +5 дня длительно </w:t>
            </w:r>
          </w:p>
        </w:tc>
        <w:tc>
          <w:tcPr>
            <w:tcW w:w="2268" w:type="dxa"/>
            <w:vAlign w:val="center"/>
          </w:tcPr>
          <w:p w14:paraId="68429A05" w14:textId="77777777" w:rsidR="00304132" w:rsidRPr="00DB259E" w:rsidRDefault="00304132" w:rsidP="00CD5E09">
            <w:pPr>
              <w:rPr>
                <w:rFonts w:eastAsia="SimSun"/>
              </w:rPr>
            </w:pPr>
            <w:r w:rsidRPr="00C07B2E">
              <w:rPr>
                <w:rFonts w:eastAsia="SimSun"/>
              </w:rPr>
              <w:t xml:space="preserve">В/в инфузия в течение 24 ч с последующей коррекцией суточной дозы по концентрации. </w:t>
            </w:r>
            <w:r w:rsidRPr="00DB259E">
              <w:rPr>
                <w:rFonts w:eastAsia="SimSun"/>
              </w:rPr>
              <w:t>Перевод на прием внутрь при условии восстановления лейкоцитов &gt; 1</w:t>
            </w:r>
            <w:r>
              <w:rPr>
                <w:rFonts w:eastAsia="SimSun"/>
              </w:rPr>
              <w:t xml:space="preserve"> х</w:t>
            </w:r>
            <w:r w:rsidRPr="00DB259E">
              <w:rPr>
                <w:rFonts w:eastAsia="SimSun"/>
              </w:rPr>
              <w:t xml:space="preserve"> 10</w:t>
            </w:r>
            <w:r w:rsidRPr="00DB259E">
              <w:rPr>
                <w:rFonts w:eastAsia="SimSun"/>
                <w:vertAlign w:val="superscript"/>
              </w:rPr>
              <w:t>9</w:t>
            </w:r>
            <w:r w:rsidRPr="00DB259E">
              <w:rPr>
                <w:rFonts w:eastAsia="SimSun"/>
              </w:rPr>
              <w:t xml:space="preserve">/л, при отсутствии тошноты, рвоты, диареи и возможности приема внутрь. Концентрация </w:t>
            </w:r>
            <w:r w:rsidRPr="00C07B2E">
              <w:rPr>
                <w:rFonts w:eastAsia="SimSun"/>
              </w:rPr>
              <w:t>Tx</w:t>
            </w:r>
            <w:r w:rsidRPr="00DB259E">
              <w:rPr>
                <w:rFonts w:eastAsia="SimSun"/>
              </w:rPr>
              <w:t xml:space="preserve"> 5-15 нг/мл.    </w:t>
            </w:r>
          </w:p>
        </w:tc>
      </w:tr>
      <w:tr w:rsidR="00304132" w:rsidRPr="00C07B2E" w14:paraId="19F898F8" w14:textId="77777777" w:rsidTr="00CD5E09">
        <w:trPr>
          <w:cantSplit/>
          <w:trHeight w:val="542"/>
        </w:trPr>
        <w:tc>
          <w:tcPr>
            <w:tcW w:w="1242" w:type="dxa"/>
            <w:vMerge/>
            <w:textDirection w:val="btLr"/>
            <w:vAlign w:val="center"/>
          </w:tcPr>
          <w:p w14:paraId="65C30FEB" w14:textId="77777777" w:rsidR="00304132" w:rsidRPr="00DB259E" w:rsidRDefault="00304132" w:rsidP="00CD5E09">
            <w:pPr>
              <w:rPr>
                <w:rFonts w:eastAsia="SimSun"/>
              </w:rPr>
            </w:pPr>
          </w:p>
        </w:tc>
        <w:tc>
          <w:tcPr>
            <w:tcW w:w="1701" w:type="dxa"/>
            <w:vAlign w:val="center"/>
          </w:tcPr>
          <w:p w14:paraId="0746A914" w14:textId="77777777" w:rsidR="00304132" w:rsidRPr="00C07B2E" w:rsidRDefault="00304132" w:rsidP="00CD5E09">
            <w:pPr>
              <w:rPr>
                <w:rFonts w:eastAsia="SimSun"/>
              </w:rPr>
            </w:pPr>
            <w:r w:rsidRPr="00C07B2E">
              <w:rPr>
                <w:rFonts w:eastAsia="SimSun"/>
              </w:rPr>
              <w:t>Микофенолата мофетил</w:t>
            </w:r>
          </w:p>
        </w:tc>
        <w:tc>
          <w:tcPr>
            <w:tcW w:w="1418" w:type="dxa"/>
            <w:vAlign w:val="center"/>
          </w:tcPr>
          <w:p w14:paraId="3CD11DA9" w14:textId="77777777" w:rsidR="00304132" w:rsidRPr="00C07B2E" w:rsidRDefault="00304132" w:rsidP="00CD5E09">
            <w:pPr>
              <w:rPr>
                <w:rFonts w:eastAsia="SimSun"/>
              </w:rPr>
            </w:pPr>
            <w:r w:rsidRPr="00C07B2E">
              <w:rPr>
                <w:rFonts w:eastAsia="SimSun"/>
                <w:lang w:val="en-US"/>
              </w:rPr>
              <w:t>30</w:t>
            </w:r>
            <w:r w:rsidRPr="00C07B2E">
              <w:rPr>
                <w:rFonts w:eastAsia="SimSun"/>
              </w:rPr>
              <w:t xml:space="preserve"> мг/кг </w:t>
            </w:r>
          </w:p>
        </w:tc>
        <w:tc>
          <w:tcPr>
            <w:tcW w:w="1276" w:type="dxa"/>
            <w:vAlign w:val="center"/>
          </w:tcPr>
          <w:p w14:paraId="3D6BBB7B" w14:textId="77777777" w:rsidR="00304132" w:rsidRPr="00C07B2E" w:rsidRDefault="00304132" w:rsidP="00CD5E09">
            <w:pPr>
              <w:rPr>
                <w:rFonts w:eastAsia="SimSun"/>
              </w:rPr>
            </w:pPr>
            <w:r w:rsidRPr="00C07B2E">
              <w:rPr>
                <w:rFonts w:eastAsia="SimSun"/>
              </w:rPr>
              <w:t>–</w:t>
            </w:r>
          </w:p>
        </w:tc>
        <w:tc>
          <w:tcPr>
            <w:tcW w:w="1701" w:type="dxa"/>
            <w:vAlign w:val="center"/>
          </w:tcPr>
          <w:p w14:paraId="6904246A" w14:textId="77777777" w:rsidR="00304132" w:rsidRPr="00C07B2E" w:rsidRDefault="00304132" w:rsidP="00CD5E09">
            <w:pPr>
              <w:rPr>
                <w:rFonts w:eastAsia="SimSun"/>
              </w:rPr>
            </w:pPr>
            <w:r w:rsidRPr="00C07B2E">
              <w:rPr>
                <w:rFonts w:eastAsia="SimSun"/>
              </w:rPr>
              <w:t xml:space="preserve">С +5 дня по +35 день </w:t>
            </w:r>
          </w:p>
        </w:tc>
        <w:tc>
          <w:tcPr>
            <w:tcW w:w="2268" w:type="dxa"/>
            <w:vAlign w:val="center"/>
          </w:tcPr>
          <w:p w14:paraId="5EF5E254" w14:textId="77777777" w:rsidR="00304132" w:rsidRPr="00C07B2E" w:rsidRDefault="00304132" w:rsidP="00CD5E09">
            <w:pPr>
              <w:rPr>
                <w:rFonts w:eastAsia="SimSun"/>
              </w:rPr>
            </w:pPr>
            <w:r w:rsidRPr="00C07B2E">
              <w:rPr>
                <w:rFonts w:eastAsia="SimSun"/>
              </w:rPr>
              <w:t xml:space="preserve">Внутрь, суммарная суточная доза разделяется на 2- 4 приема (не более 3г/сут).  </w:t>
            </w:r>
          </w:p>
        </w:tc>
      </w:tr>
      <w:tr w:rsidR="00304132" w:rsidRPr="00C07B2E" w14:paraId="1B7653E1" w14:textId="77777777" w:rsidTr="00CD5E09">
        <w:trPr>
          <w:cantSplit/>
          <w:trHeight w:val="508"/>
        </w:trPr>
        <w:tc>
          <w:tcPr>
            <w:tcW w:w="1242" w:type="dxa"/>
            <w:vMerge/>
            <w:textDirection w:val="btLr"/>
            <w:vAlign w:val="center"/>
          </w:tcPr>
          <w:p w14:paraId="71111D82" w14:textId="77777777" w:rsidR="00304132" w:rsidRPr="00C07B2E" w:rsidRDefault="00304132" w:rsidP="00CD5E09">
            <w:pPr>
              <w:rPr>
                <w:rFonts w:eastAsia="SimSun"/>
              </w:rPr>
            </w:pPr>
          </w:p>
        </w:tc>
        <w:tc>
          <w:tcPr>
            <w:tcW w:w="1701" w:type="dxa"/>
            <w:vAlign w:val="center"/>
          </w:tcPr>
          <w:p w14:paraId="38A60601" w14:textId="77777777" w:rsidR="00304132" w:rsidRPr="00C07B2E" w:rsidRDefault="00304132" w:rsidP="00CD5E09">
            <w:pPr>
              <w:rPr>
                <w:rFonts w:eastAsia="SimSun"/>
              </w:rPr>
            </w:pPr>
            <w:r w:rsidRPr="00C07B2E">
              <w:rPr>
                <w:rFonts w:eastAsia="SimSun"/>
              </w:rPr>
              <w:t xml:space="preserve">Циклофосфамид </w:t>
            </w:r>
          </w:p>
        </w:tc>
        <w:tc>
          <w:tcPr>
            <w:tcW w:w="1418" w:type="dxa"/>
            <w:vAlign w:val="center"/>
          </w:tcPr>
          <w:p w14:paraId="54411EEB" w14:textId="77777777" w:rsidR="00304132" w:rsidRPr="00C07B2E" w:rsidRDefault="00304132" w:rsidP="00CD5E09">
            <w:pPr>
              <w:rPr>
                <w:rFonts w:eastAsia="SimSun"/>
              </w:rPr>
            </w:pPr>
            <w:r w:rsidRPr="00C07B2E">
              <w:rPr>
                <w:rFonts w:eastAsia="SimSun"/>
              </w:rPr>
              <w:t xml:space="preserve">50 мг/кг </w:t>
            </w:r>
          </w:p>
        </w:tc>
        <w:tc>
          <w:tcPr>
            <w:tcW w:w="1276" w:type="dxa"/>
            <w:vAlign w:val="center"/>
          </w:tcPr>
          <w:p w14:paraId="614BECF1" w14:textId="77777777" w:rsidR="00304132" w:rsidRPr="00C07B2E" w:rsidRDefault="00304132" w:rsidP="00CD5E09">
            <w:pPr>
              <w:rPr>
                <w:rFonts w:eastAsia="SimSun"/>
              </w:rPr>
            </w:pPr>
            <w:r w:rsidRPr="00C07B2E">
              <w:rPr>
                <w:rFonts w:eastAsia="SimSun"/>
              </w:rPr>
              <w:t>100 мг/кг</w:t>
            </w:r>
          </w:p>
        </w:tc>
        <w:tc>
          <w:tcPr>
            <w:tcW w:w="1701" w:type="dxa"/>
            <w:vAlign w:val="center"/>
          </w:tcPr>
          <w:p w14:paraId="38CDD602" w14:textId="77777777" w:rsidR="00304132" w:rsidRPr="00C07B2E" w:rsidRDefault="00304132" w:rsidP="00CD5E09">
            <w:pPr>
              <w:rPr>
                <w:rFonts w:eastAsia="SimSun"/>
              </w:rPr>
            </w:pPr>
            <w:r w:rsidRPr="00C07B2E">
              <w:rPr>
                <w:rFonts w:eastAsia="SimSun"/>
              </w:rPr>
              <w:t>С +3 дня по +4 день</w:t>
            </w:r>
          </w:p>
        </w:tc>
        <w:tc>
          <w:tcPr>
            <w:tcW w:w="2268" w:type="dxa"/>
            <w:vAlign w:val="center"/>
          </w:tcPr>
          <w:p w14:paraId="4B97D940" w14:textId="77777777" w:rsidR="00304132" w:rsidRPr="00C07B2E" w:rsidRDefault="00304132" w:rsidP="00CD5E09">
            <w:pPr>
              <w:rPr>
                <w:rFonts w:eastAsia="SimSun"/>
              </w:rPr>
            </w:pPr>
            <w:r w:rsidRPr="00C07B2E">
              <w:rPr>
                <w:rFonts w:eastAsia="SimSun"/>
              </w:rPr>
              <w:t>В/в, в течение 2 ч</w:t>
            </w:r>
          </w:p>
        </w:tc>
      </w:tr>
    </w:tbl>
    <w:p w14:paraId="257C9A3C" w14:textId="77777777" w:rsidR="00304132" w:rsidRPr="00C07B2E" w:rsidRDefault="00304132" w:rsidP="00304132">
      <w:pPr>
        <w:rPr>
          <w:rFonts w:eastAsia="SimSun"/>
        </w:rPr>
      </w:pPr>
    </w:p>
    <w:p w14:paraId="3835ABD1" w14:textId="77777777" w:rsidR="00304132" w:rsidRPr="00C07B2E" w:rsidRDefault="00304132" w:rsidP="00304132">
      <w:pPr>
        <w:rPr>
          <w:rFonts w:eastAsia="SimSun"/>
        </w:rPr>
        <w:sectPr w:rsidR="00304132" w:rsidRPr="00C07B2E" w:rsidSect="00CD5E09">
          <w:footerReference w:type="default" r:id="rId19"/>
          <w:type w:val="continuous"/>
          <w:pgSz w:w="11907" w:h="16839" w:code="9"/>
          <w:pgMar w:top="1134" w:right="850" w:bottom="1134" w:left="1701" w:header="709" w:footer="567" w:gutter="0"/>
          <w:cols w:space="708"/>
          <w:docGrid w:linePitch="360"/>
        </w:sectPr>
      </w:pPr>
      <w:r w:rsidRPr="00C07B2E">
        <w:rPr>
          <w:rFonts w:eastAsia="SimSun"/>
        </w:rPr>
        <w:t xml:space="preserve">Схемы и режимы применения препаратов для </w:t>
      </w:r>
      <w:r w:rsidRPr="00723FEA">
        <w:rPr>
          <w:rFonts w:eastAsia="SimSun"/>
          <w:b/>
        </w:rPr>
        <w:t>кондиционирования в режиме пониженной</w:t>
      </w:r>
      <w:r>
        <w:rPr>
          <w:rFonts w:eastAsia="SimSun"/>
        </w:rPr>
        <w:t xml:space="preserve"> интенсивности</w:t>
      </w:r>
      <w:r w:rsidRPr="00C07B2E">
        <w:rPr>
          <w:rFonts w:eastAsia="SimSun"/>
        </w:rPr>
        <w:t xml:space="preserve"> и профилактики РТПХ указаны в Таблице </w:t>
      </w:r>
      <w:r>
        <w:rPr>
          <w:rFonts w:eastAsia="SimSun"/>
        </w:rPr>
        <w:t>5.</w:t>
      </w:r>
      <w:r w:rsidRPr="00C07B2E">
        <w:rPr>
          <w:rFonts w:eastAsia="SimSun"/>
        </w:rPr>
        <w:t>2.2</w:t>
      </w:r>
    </w:p>
    <w:p w14:paraId="7E0D375B" w14:textId="77777777" w:rsidR="00304132" w:rsidRPr="00C07B2E" w:rsidRDefault="00304132" w:rsidP="00304132">
      <w:pPr>
        <w:rPr>
          <w:rFonts w:eastAsia="SimSun"/>
        </w:rPr>
      </w:pPr>
      <w:r w:rsidRPr="00C07B2E">
        <w:rPr>
          <w:rFonts w:eastAsia="SimSun"/>
        </w:rPr>
        <w:lastRenderedPageBreak/>
        <w:t xml:space="preserve">Таблица </w:t>
      </w:r>
      <w:r>
        <w:rPr>
          <w:rFonts w:eastAsia="SimSun"/>
        </w:rPr>
        <w:t>5.</w:t>
      </w:r>
      <w:r w:rsidRPr="00C07B2E">
        <w:rPr>
          <w:rFonts w:eastAsia="SimSun"/>
        </w:rPr>
        <w:t xml:space="preserve">2.2 Схемы и режимы применения препаратов для кондиционирования и профилактики РТПХ со ссылками на </w:t>
      </w:r>
      <w:r>
        <w:rPr>
          <w:rFonts w:eastAsia="SimSun"/>
        </w:rPr>
        <w:t>таблицы с описанием</w:t>
      </w:r>
    </w:p>
    <w:p w14:paraId="5C11945E" w14:textId="77777777" w:rsidR="00304132" w:rsidRPr="00C07B2E" w:rsidRDefault="00304132" w:rsidP="00304132">
      <w:pPr>
        <w:rPr>
          <w:rFonts w:eastAsia="SimSu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4"/>
        <w:gridCol w:w="865"/>
        <w:gridCol w:w="880"/>
        <w:gridCol w:w="1222"/>
        <w:gridCol w:w="1177"/>
        <w:gridCol w:w="1031"/>
        <w:gridCol w:w="1265"/>
        <w:gridCol w:w="1228"/>
        <w:gridCol w:w="902"/>
        <w:gridCol w:w="1356"/>
        <w:gridCol w:w="1091"/>
        <w:gridCol w:w="1142"/>
        <w:gridCol w:w="1125"/>
      </w:tblGrid>
      <w:tr w:rsidR="00304132" w:rsidRPr="00470E23" w14:paraId="364FBA09" w14:textId="77777777" w:rsidTr="00CD5E09">
        <w:trPr>
          <w:cantSplit/>
          <w:trHeight w:val="498"/>
        </w:trPr>
        <w:tc>
          <w:tcPr>
            <w:tcW w:w="1387" w:type="pct"/>
            <w:gridSpan w:val="4"/>
            <w:vMerge w:val="restart"/>
            <w:shd w:val="clear" w:color="auto" w:fill="auto"/>
            <w:vAlign w:val="center"/>
          </w:tcPr>
          <w:p w14:paraId="2975D329" w14:textId="77777777" w:rsidR="00304132" w:rsidRPr="00470E23" w:rsidRDefault="00304132" w:rsidP="00CD5E09">
            <w:pPr>
              <w:rPr>
                <w:rFonts w:eastAsia="SimSun"/>
                <w:sz w:val="22"/>
              </w:rPr>
            </w:pPr>
            <w:r w:rsidRPr="00470E23">
              <w:rPr>
                <w:rFonts w:eastAsia="SimSun"/>
                <w:sz w:val="22"/>
              </w:rPr>
              <w:t>Профилактика РТПХ</w:t>
            </w:r>
          </w:p>
        </w:tc>
        <w:tc>
          <w:tcPr>
            <w:tcW w:w="3613" w:type="pct"/>
            <w:gridSpan w:val="9"/>
            <w:shd w:val="clear" w:color="auto" w:fill="auto"/>
            <w:vAlign w:val="center"/>
          </w:tcPr>
          <w:p w14:paraId="28328CC9" w14:textId="77777777" w:rsidR="00304132" w:rsidRPr="00470E23" w:rsidRDefault="00304132" w:rsidP="00CD5E09">
            <w:pPr>
              <w:rPr>
                <w:rFonts w:eastAsia="SimSun"/>
                <w:sz w:val="22"/>
              </w:rPr>
            </w:pPr>
            <w:r w:rsidRPr="00470E23">
              <w:rPr>
                <w:rFonts w:eastAsia="SimSun"/>
                <w:sz w:val="22"/>
              </w:rPr>
              <w:t>Режим кондиционирования</w:t>
            </w:r>
          </w:p>
        </w:tc>
      </w:tr>
      <w:tr w:rsidR="00304132" w:rsidRPr="00470E23" w14:paraId="101C042D" w14:textId="77777777" w:rsidTr="00CD5E09">
        <w:trPr>
          <w:cantSplit/>
          <w:trHeight w:val="433"/>
        </w:trPr>
        <w:tc>
          <w:tcPr>
            <w:tcW w:w="1387" w:type="pct"/>
            <w:gridSpan w:val="4"/>
            <w:vMerge/>
            <w:shd w:val="clear" w:color="auto" w:fill="auto"/>
            <w:vAlign w:val="center"/>
          </w:tcPr>
          <w:p w14:paraId="2BA0BBE5" w14:textId="77777777" w:rsidR="00304132" w:rsidRPr="00470E23" w:rsidRDefault="00304132" w:rsidP="00CD5E09">
            <w:pPr>
              <w:rPr>
                <w:rFonts w:eastAsia="SimSun"/>
                <w:sz w:val="22"/>
              </w:rPr>
            </w:pPr>
          </w:p>
        </w:tc>
        <w:tc>
          <w:tcPr>
            <w:tcW w:w="412" w:type="pct"/>
            <w:shd w:val="clear" w:color="auto" w:fill="D9D9D9"/>
            <w:vAlign w:val="center"/>
          </w:tcPr>
          <w:p w14:paraId="505504C0" w14:textId="77777777" w:rsidR="00304132" w:rsidRPr="00470E23" w:rsidRDefault="00304132" w:rsidP="00CD5E09">
            <w:pPr>
              <w:rPr>
                <w:rFonts w:eastAsia="SimSun"/>
                <w:sz w:val="22"/>
              </w:rPr>
            </w:pPr>
            <w:r w:rsidRPr="00470E23">
              <w:rPr>
                <w:rFonts w:eastAsia="SimSun"/>
                <w:sz w:val="22"/>
              </w:rPr>
              <w:t>Flu90</w:t>
            </w:r>
          </w:p>
        </w:tc>
        <w:tc>
          <w:tcPr>
            <w:tcW w:w="803" w:type="pct"/>
            <w:gridSpan w:val="2"/>
            <w:tcBorders>
              <w:right w:val="single" w:sz="4" w:space="0" w:color="00000A"/>
            </w:tcBorders>
            <w:shd w:val="clear" w:color="auto" w:fill="D9D9D9"/>
            <w:vAlign w:val="center"/>
          </w:tcPr>
          <w:p w14:paraId="68A41B4E" w14:textId="77777777" w:rsidR="00304132" w:rsidRPr="00470E23" w:rsidRDefault="00304132" w:rsidP="00CD5E09">
            <w:pPr>
              <w:rPr>
                <w:rFonts w:eastAsia="SimSun"/>
                <w:sz w:val="22"/>
              </w:rPr>
            </w:pPr>
            <w:r w:rsidRPr="00470E23">
              <w:rPr>
                <w:rFonts w:eastAsia="SimSun"/>
                <w:sz w:val="22"/>
              </w:rPr>
              <w:t>Flu150</w:t>
            </w:r>
          </w:p>
        </w:tc>
        <w:tc>
          <w:tcPr>
            <w:tcW w:w="2398" w:type="pct"/>
            <w:gridSpan w:val="6"/>
            <w:tcBorders>
              <w:left w:val="single" w:sz="4" w:space="0" w:color="00000A"/>
            </w:tcBorders>
            <w:shd w:val="clear" w:color="auto" w:fill="D9D9D9"/>
            <w:vAlign w:val="center"/>
          </w:tcPr>
          <w:p w14:paraId="7AB86C34" w14:textId="77777777" w:rsidR="00304132" w:rsidRPr="00470E23" w:rsidRDefault="00304132" w:rsidP="00CD5E09">
            <w:pPr>
              <w:rPr>
                <w:rFonts w:eastAsia="SimSun"/>
                <w:sz w:val="22"/>
              </w:rPr>
            </w:pPr>
            <w:r w:rsidRPr="00470E23">
              <w:rPr>
                <w:rFonts w:eastAsia="SimSun"/>
                <w:sz w:val="22"/>
              </w:rPr>
              <w:t>Flu180</w:t>
            </w:r>
          </w:p>
        </w:tc>
      </w:tr>
      <w:tr w:rsidR="00304132" w:rsidRPr="00470E23" w14:paraId="784B6C70" w14:textId="77777777" w:rsidTr="00CD5E09">
        <w:trPr>
          <w:cantSplit/>
          <w:trHeight w:val="397"/>
        </w:trPr>
        <w:tc>
          <w:tcPr>
            <w:tcW w:w="1387" w:type="pct"/>
            <w:gridSpan w:val="4"/>
            <w:vMerge/>
            <w:shd w:val="clear" w:color="auto" w:fill="auto"/>
            <w:vAlign w:val="center"/>
          </w:tcPr>
          <w:p w14:paraId="1DD8DA70" w14:textId="77777777" w:rsidR="00304132" w:rsidRPr="00470E23" w:rsidRDefault="00304132" w:rsidP="00CD5E09">
            <w:pPr>
              <w:rPr>
                <w:rFonts w:eastAsia="SimSun"/>
                <w:sz w:val="22"/>
              </w:rPr>
            </w:pPr>
          </w:p>
        </w:tc>
        <w:tc>
          <w:tcPr>
            <w:tcW w:w="412" w:type="pct"/>
            <w:shd w:val="clear" w:color="auto" w:fill="D9D9D9"/>
            <w:vAlign w:val="center"/>
          </w:tcPr>
          <w:p w14:paraId="2340B4FC" w14:textId="77777777" w:rsidR="00304132" w:rsidRPr="00470E23" w:rsidRDefault="00304132" w:rsidP="00CD5E09">
            <w:pPr>
              <w:rPr>
                <w:rFonts w:eastAsia="SimSun"/>
                <w:sz w:val="22"/>
              </w:rPr>
            </w:pPr>
            <w:r w:rsidRPr="00470E23">
              <w:rPr>
                <w:rFonts w:eastAsia="SimSun"/>
                <w:sz w:val="22"/>
              </w:rPr>
              <w:t>Benda</w:t>
            </w:r>
          </w:p>
        </w:tc>
        <w:tc>
          <w:tcPr>
            <w:tcW w:w="361" w:type="pct"/>
            <w:tcBorders>
              <w:right w:val="single" w:sz="4" w:space="0" w:color="00000A"/>
            </w:tcBorders>
            <w:shd w:val="clear" w:color="auto" w:fill="D9D9D9"/>
            <w:vAlign w:val="center"/>
          </w:tcPr>
          <w:p w14:paraId="046BE72A" w14:textId="77777777" w:rsidR="00304132" w:rsidRPr="00470E23" w:rsidRDefault="00304132" w:rsidP="00CD5E09">
            <w:pPr>
              <w:rPr>
                <w:rFonts w:eastAsia="SimSun"/>
                <w:sz w:val="22"/>
              </w:rPr>
            </w:pPr>
            <w:r w:rsidRPr="00470E23">
              <w:rPr>
                <w:rFonts w:eastAsia="SimSun"/>
                <w:sz w:val="22"/>
              </w:rPr>
              <w:t>-</w:t>
            </w:r>
          </w:p>
        </w:tc>
        <w:tc>
          <w:tcPr>
            <w:tcW w:w="443" w:type="pct"/>
            <w:tcBorders>
              <w:left w:val="single" w:sz="4" w:space="0" w:color="00000A"/>
              <w:right w:val="single" w:sz="4" w:space="0" w:color="00000A"/>
            </w:tcBorders>
            <w:shd w:val="clear" w:color="auto" w:fill="D9D9D9"/>
            <w:vAlign w:val="center"/>
          </w:tcPr>
          <w:p w14:paraId="3A8FF1E7" w14:textId="77777777" w:rsidR="00304132" w:rsidRPr="00470E23" w:rsidRDefault="00304132" w:rsidP="00CD5E09">
            <w:pPr>
              <w:rPr>
                <w:rFonts w:eastAsia="SimSun"/>
                <w:sz w:val="22"/>
              </w:rPr>
            </w:pPr>
            <w:r w:rsidRPr="00470E23">
              <w:rPr>
                <w:rFonts w:eastAsia="SimSun"/>
                <w:sz w:val="22"/>
              </w:rPr>
              <w:t>Bu8</w:t>
            </w:r>
          </w:p>
        </w:tc>
        <w:tc>
          <w:tcPr>
            <w:tcW w:w="746" w:type="pct"/>
            <w:gridSpan w:val="2"/>
            <w:shd w:val="clear" w:color="auto" w:fill="D9D9D9"/>
            <w:vAlign w:val="center"/>
          </w:tcPr>
          <w:p w14:paraId="3F3FF4DF" w14:textId="77777777" w:rsidR="00304132" w:rsidRPr="00470E23" w:rsidRDefault="00304132" w:rsidP="00CD5E09">
            <w:pPr>
              <w:rPr>
                <w:rFonts w:eastAsia="SimSun"/>
                <w:sz w:val="22"/>
              </w:rPr>
            </w:pPr>
            <w:r w:rsidRPr="00470E23">
              <w:rPr>
                <w:rFonts w:eastAsia="SimSun"/>
                <w:sz w:val="22"/>
              </w:rPr>
              <w:t>Bu8</w:t>
            </w:r>
          </w:p>
        </w:tc>
        <w:tc>
          <w:tcPr>
            <w:tcW w:w="475" w:type="pct"/>
            <w:shd w:val="clear" w:color="auto" w:fill="D9D9D9"/>
            <w:vAlign w:val="center"/>
          </w:tcPr>
          <w:p w14:paraId="13A1F392" w14:textId="77777777" w:rsidR="00304132" w:rsidRPr="00470E23" w:rsidRDefault="00304132" w:rsidP="00CD5E09">
            <w:pPr>
              <w:rPr>
                <w:rFonts w:eastAsia="SimSun"/>
                <w:sz w:val="22"/>
              </w:rPr>
            </w:pPr>
            <w:r w:rsidRPr="00470E23">
              <w:rPr>
                <w:rFonts w:eastAsia="SimSun"/>
                <w:sz w:val="22"/>
              </w:rPr>
              <w:t>Bu10</w:t>
            </w:r>
          </w:p>
        </w:tc>
        <w:tc>
          <w:tcPr>
            <w:tcW w:w="382" w:type="pct"/>
            <w:shd w:val="clear" w:color="auto" w:fill="D9D9D9"/>
            <w:vAlign w:val="center"/>
          </w:tcPr>
          <w:p w14:paraId="4709D260" w14:textId="77777777" w:rsidR="00304132" w:rsidRPr="00470E23" w:rsidRDefault="00304132" w:rsidP="00CD5E09">
            <w:pPr>
              <w:rPr>
                <w:rFonts w:eastAsia="SimSun"/>
                <w:sz w:val="22"/>
              </w:rPr>
            </w:pPr>
            <w:r w:rsidRPr="00470E23">
              <w:rPr>
                <w:rFonts w:eastAsia="SimSun"/>
                <w:sz w:val="22"/>
              </w:rPr>
              <w:t>Treo36</w:t>
            </w:r>
          </w:p>
        </w:tc>
        <w:tc>
          <w:tcPr>
            <w:tcW w:w="400" w:type="pct"/>
            <w:shd w:val="clear" w:color="auto" w:fill="D9D9D9"/>
            <w:vAlign w:val="center"/>
          </w:tcPr>
          <w:p w14:paraId="5ED87867" w14:textId="77777777" w:rsidR="00304132" w:rsidRPr="00470E23" w:rsidRDefault="00304132" w:rsidP="00CD5E09">
            <w:pPr>
              <w:rPr>
                <w:rFonts w:eastAsia="SimSun"/>
                <w:sz w:val="22"/>
              </w:rPr>
            </w:pPr>
            <w:r w:rsidRPr="00470E23">
              <w:rPr>
                <w:rFonts w:eastAsia="SimSun"/>
                <w:sz w:val="22"/>
              </w:rPr>
              <w:t>Cy1200</w:t>
            </w:r>
          </w:p>
        </w:tc>
        <w:tc>
          <w:tcPr>
            <w:tcW w:w="394" w:type="pct"/>
            <w:shd w:val="clear" w:color="auto" w:fill="D9D9D9"/>
            <w:vAlign w:val="center"/>
          </w:tcPr>
          <w:p w14:paraId="318FE4DB" w14:textId="77777777" w:rsidR="00304132" w:rsidRPr="00470E23" w:rsidRDefault="00304132" w:rsidP="00CD5E09">
            <w:pPr>
              <w:rPr>
                <w:rFonts w:eastAsia="SimSun"/>
                <w:sz w:val="22"/>
              </w:rPr>
            </w:pPr>
            <w:r w:rsidRPr="00470E23">
              <w:rPr>
                <w:rFonts w:eastAsia="SimSun"/>
                <w:sz w:val="22"/>
              </w:rPr>
              <w:t>Mel100</w:t>
            </w:r>
          </w:p>
        </w:tc>
      </w:tr>
      <w:tr w:rsidR="00304132" w:rsidRPr="00470E23" w14:paraId="7864ACB0" w14:textId="77777777" w:rsidTr="00CD5E09">
        <w:trPr>
          <w:cantSplit/>
          <w:trHeight w:val="417"/>
        </w:trPr>
        <w:tc>
          <w:tcPr>
            <w:tcW w:w="1387" w:type="pct"/>
            <w:gridSpan w:val="4"/>
            <w:vMerge/>
            <w:shd w:val="clear" w:color="auto" w:fill="auto"/>
            <w:vAlign w:val="center"/>
          </w:tcPr>
          <w:p w14:paraId="008BFE73" w14:textId="77777777" w:rsidR="00304132" w:rsidRPr="00470E23" w:rsidRDefault="00304132" w:rsidP="00CD5E09">
            <w:pPr>
              <w:rPr>
                <w:rFonts w:eastAsia="SimSun"/>
                <w:sz w:val="22"/>
              </w:rPr>
            </w:pPr>
          </w:p>
        </w:tc>
        <w:tc>
          <w:tcPr>
            <w:tcW w:w="412" w:type="pct"/>
            <w:shd w:val="clear" w:color="auto" w:fill="D9D9D9"/>
            <w:vAlign w:val="center"/>
          </w:tcPr>
          <w:p w14:paraId="15AD3BB3" w14:textId="77777777" w:rsidR="00304132" w:rsidRPr="00470E23" w:rsidRDefault="00304132" w:rsidP="00CD5E09">
            <w:pPr>
              <w:rPr>
                <w:rFonts w:eastAsia="SimSun"/>
                <w:sz w:val="22"/>
              </w:rPr>
            </w:pPr>
            <w:r w:rsidRPr="00470E23">
              <w:rPr>
                <w:rFonts w:eastAsia="SimSun"/>
                <w:sz w:val="22"/>
              </w:rPr>
              <w:t>-</w:t>
            </w:r>
          </w:p>
        </w:tc>
        <w:tc>
          <w:tcPr>
            <w:tcW w:w="361" w:type="pct"/>
            <w:tcBorders>
              <w:right w:val="single" w:sz="4" w:space="0" w:color="00000A"/>
            </w:tcBorders>
            <w:shd w:val="clear" w:color="auto" w:fill="D9D9D9"/>
            <w:vAlign w:val="center"/>
          </w:tcPr>
          <w:p w14:paraId="31D8052A" w14:textId="77777777" w:rsidR="00304132" w:rsidRPr="00470E23" w:rsidRDefault="00304132" w:rsidP="00CD5E09">
            <w:pPr>
              <w:rPr>
                <w:rFonts w:eastAsia="SimSun"/>
                <w:sz w:val="22"/>
              </w:rPr>
            </w:pPr>
            <w:r w:rsidRPr="00470E23">
              <w:rPr>
                <w:rFonts w:eastAsia="SimSun"/>
                <w:sz w:val="22"/>
              </w:rPr>
              <w:t>Thio</w:t>
            </w:r>
          </w:p>
        </w:tc>
        <w:tc>
          <w:tcPr>
            <w:tcW w:w="443" w:type="pct"/>
            <w:tcBorders>
              <w:left w:val="single" w:sz="4" w:space="0" w:color="00000A"/>
            </w:tcBorders>
            <w:shd w:val="clear" w:color="auto" w:fill="D9D9D9"/>
            <w:vAlign w:val="center"/>
          </w:tcPr>
          <w:p w14:paraId="474AF802" w14:textId="77777777" w:rsidR="00304132" w:rsidRPr="00470E23" w:rsidRDefault="00304132" w:rsidP="00CD5E09">
            <w:pPr>
              <w:rPr>
                <w:rFonts w:eastAsia="SimSun"/>
                <w:sz w:val="22"/>
              </w:rPr>
            </w:pPr>
            <w:r w:rsidRPr="00470E23">
              <w:rPr>
                <w:rFonts w:eastAsia="SimSun"/>
                <w:sz w:val="22"/>
              </w:rPr>
              <w:t>Thio</w:t>
            </w:r>
          </w:p>
        </w:tc>
        <w:tc>
          <w:tcPr>
            <w:tcW w:w="430" w:type="pct"/>
            <w:tcBorders>
              <w:right w:val="single" w:sz="4" w:space="0" w:color="00000A"/>
            </w:tcBorders>
            <w:shd w:val="clear" w:color="auto" w:fill="D9D9D9"/>
            <w:vAlign w:val="center"/>
          </w:tcPr>
          <w:p w14:paraId="22193B75" w14:textId="77777777" w:rsidR="00304132" w:rsidRPr="00470E23" w:rsidRDefault="00304132" w:rsidP="00CD5E09">
            <w:pPr>
              <w:rPr>
                <w:rFonts w:eastAsia="SimSun"/>
                <w:sz w:val="22"/>
              </w:rPr>
            </w:pPr>
            <w:r w:rsidRPr="00470E23">
              <w:rPr>
                <w:rFonts w:eastAsia="SimSun"/>
                <w:sz w:val="22"/>
              </w:rPr>
              <w:t>-</w:t>
            </w:r>
          </w:p>
        </w:tc>
        <w:tc>
          <w:tcPr>
            <w:tcW w:w="316" w:type="pct"/>
            <w:tcBorders>
              <w:left w:val="single" w:sz="4" w:space="0" w:color="00000A"/>
            </w:tcBorders>
            <w:shd w:val="clear" w:color="auto" w:fill="D9D9D9"/>
            <w:vAlign w:val="center"/>
          </w:tcPr>
          <w:p w14:paraId="3D0AC7AD" w14:textId="77777777" w:rsidR="00304132" w:rsidRPr="00470E23" w:rsidRDefault="00304132" w:rsidP="00CD5E09">
            <w:pPr>
              <w:rPr>
                <w:rFonts w:eastAsia="SimSun"/>
                <w:sz w:val="22"/>
              </w:rPr>
            </w:pPr>
            <w:r w:rsidRPr="00470E23">
              <w:rPr>
                <w:rFonts w:eastAsia="SimSun"/>
                <w:sz w:val="22"/>
              </w:rPr>
              <w:t>Thio</w:t>
            </w:r>
          </w:p>
        </w:tc>
        <w:tc>
          <w:tcPr>
            <w:tcW w:w="475" w:type="pct"/>
            <w:shd w:val="clear" w:color="auto" w:fill="D9D9D9"/>
            <w:vAlign w:val="center"/>
          </w:tcPr>
          <w:p w14:paraId="619B1F52" w14:textId="77777777" w:rsidR="00304132" w:rsidRPr="00470E23" w:rsidRDefault="00304132" w:rsidP="00CD5E09">
            <w:pPr>
              <w:rPr>
                <w:rFonts w:eastAsia="SimSun"/>
                <w:sz w:val="22"/>
              </w:rPr>
            </w:pPr>
            <w:r w:rsidRPr="00470E23">
              <w:rPr>
                <w:rFonts w:eastAsia="SimSun"/>
                <w:sz w:val="22"/>
              </w:rPr>
              <w:t>-</w:t>
            </w:r>
          </w:p>
        </w:tc>
        <w:tc>
          <w:tcPr>
            <w:tcW w:w="382" w:type="pct"/>
            <w:shd w:val="clear" w:color="auto" w:fill="D9D9D9"/>
            <w:vAlign w:val="center"/>
          </w:tcPr>
          <w:p w14:paraId="170D8713" w14:textId="77777777" w:rsidR="00304132" w:rsidRPr="00470E23" w:rsidRDefault="00304132" w:rsidP="00CD5E09">
            <w:pPr>
              <w:rPr>
                <w:rFonts w:eastAsia="SimSun"/>
                <w:sz w:val="22"/>
              </w:rPr>
            </w:pPr>
            <w:r w:rsidRPr="00470E23">
              <w:rPr>
                <w:rFonts w:eastAsia="SimSun"/>
                <w:sz w:val="22"/>
              </w:rPr>
              <w:t>-</w:t>
            </w:r>
          </w:p>
        </w:tc>
        <w:tc>
          <w:tcPr>
            <w:tcW w:w="400" w:type="pct"/>
            <w:shd w:val="clear" w:color="auto" w:fill="D9D9D9"/>
            <w:vAlign w:val="center"/>
          </w:tcPr>
          <w:p w14:paraId="7D03A829" w14:textId="77777777" w:rsidR="00304132" w:rsidRPr="00470E23" w:rsidRDefault="00304132" w:rsidP="00CD5E09">
            <w:pPr>
              <w:rPr>
                <w:rFonts w:eastAsia="SimSun"/>
                <w:sz w:val="22"/>
              </w:rPr>
            </w:pPr>
          </w:p>
        </w:tc>
        <w:tc>
          <w:tcPr>
            <w:tcW w:w="394" w:type="pct"/>
            <w:shd w:val="clear" w:color="auto" w:fill="D9D9D9"/>
            <w:vAlign w:val="center"/>
          </w:tcPr>
          <w:p w14:paraId="105718F2" w14:textId="77777777" w:rsidR="00304132" w:rsidRPr="00470E23" w:rsidRDefault="00304132" w:rsidP="00CD5E09">
            <w:pPr>
              <w:rPr>
                <w:rFonts w:eastAsia="SimSun"/>
                <w:sz w:val="22"/>
              </w:rPr>
            </w:pPr>
          </w:p>
        </w:tc>
      </w:tr>
      <w:tr w:rsidR="00304132" w:rsidRPr="00470E23" w14:paraId="0D255D70" w14:textId="77777777" w:rsidTr="00CD5E09">
        <w:trPr>
          <w:cantSplit/>
          <w:trHeight w:val="606"/>
        </w:trPr>
        <w:tc>
          <w:tcPr>
            <w:tcW w:w="348" w:type="pct"/>
            <w:vMerge w:val="restart"/>
            <w:shd w:val="clear" w:color="auto" w:fill="D9D9D9"/>
            <w:vAlign w:val="center"/>
          </w:tcPr>
          <w:p w14:paraId="4941E5A8" w14:textId="77777777" w:rsidR="00304132" w:rsidRPr="00470E23" w:rsidRDefault="00304132" w:rsidP="00CD5E09">
            <w:pPr>
              <w:rPr>
                <w:rFonts w:eastAsia="SimSun"/>
                <w:sz w:val="22"/>
              </w:rPr>
            </w:pPr>
            <w:r w:rsidRPr="00470E23">
              <w:rPr>
                <w:rFonts w:eastAsia="SimSun"/>
                <w:sz w:val="22"/>
              </w:rPr>
              <w:t>hATG</w:t>
            </w:r>
          </w:p>
        </w:tc>
        <w:tc>
          <w:tcPr>
            <w:tcW w:w="303" w:type="pct"/>
            <w:shd w:val="clear" w:color="auto" w:fill="D9D9D9"/>
            <w:vAlign w:val="center"/>
          </w:tcPr>
          <w:p w14:paraId="0014327B" w14:textId="77777777" w:rsidR="00304132" w:rsidRPr="00470E23" w:rsidRDefault="00304132" w:rsidP="00CD5E09">
            <w:pPr>
              <w:rPr>
                <w:rFonts w:eastAsia="SimSun"/>
                <w:sz w:val="22"/>
              </w:rPr>
            </w:pPr>
            <w:r w:rsidRPr="00470E23">
              <w:rPr>
                <w:rFonts w:eastAsia="SimSun"/>
                <w:sz w:val="22"/>
              </w:rPr>
              <w:t>CSA</w:t>
            </w:r>
          </w:p>
        </w:tc>
        <w:tc>
          <w:tcPr>
            <w:tcW w:w="308" w:type="pct"/>
            <w:shd w:val="clear" w:color="auto" w:fill="D9D9D9"/>
            <w:vAlign w:val="center"/>
          </w:tcPr>
          <w:p w14:paraId="21E140FF" w14:textId="77777777" w:rsidR="00304132" w:rsidRPr="00470E23" w:rsidRDefault="00304132" w:rsidP="00CD5E09">
            <w:pPr>
              <w:rPr>
                <w:rFonts w:eastAsia="SimSun"/>
                <w:sz w:val="22"/>
              </w:rPr>
            </w:pPr>
            <w:r w:rsidRPr="00470E23">
              <w:rPr>
                <w:rFonts w:eastAsia="SimSun"/>
                <w:sz w:val="22"/>
              </w:rPr>
              <w:t>MTX</w:t>
            </w:r>
          </w:p>
        </w:tc>
        <w:tc>
          <w:tcPr>
            <w:tcW w:w="428" w:type="pct"/>
            <w:shd w:val="clear" w:color="auto" w:fill="D9D9D9"/>
            <w:vAlign w:val="center"/>
          </w:tcPr>
          <w:p w14:paraId="598745D6" w14:textId="77777777" w:rsidR="00304132" w:rsidRPr="00470E23" w:rsidRDefault="00304132" w:rsidP="00CD5E09">
            <w:pPr>
              <w:rPr>
                <w:rFonts w:eastAsia="SimSun"/>
                <w:sz w:val="22"/>
              </w:rPr>
            </w:pPr>
            <w:r w:rsidRPr="00470E23">
              <w:rPr>
                <w:rFonts w:eastAsia="SimSun"/>
                <w:sz w:val="22"/>
              </w:rPr>
              <w:t>MMF45</w:t>
            </w:r>
          </w:p>
        </w:tc>
        <w:tc>
          <w:tcPr>
            <w:tcW w:w="412" w:type="pct"/>
            <w:shd w:val="clear" w:color="auto" w:fill="auto"/>
            <w:vAlign w:val="center"/>
          </w:tcPr>
          <w:p w14:paraId="358F09FF" w14:textId="77777777" w:rsidR="00304132" w:rsidRPr="00470E23" w:rsidRDefault="00304132" w:rsidP="00CD5E09">
            <w:pPr>
              <w:rPr>
                <w:rFonts w:eastAsia="SimSun"/>
                <w:sz w:val="22"/>
              </w:rPr>
            </w:pPr>
            <w:r w:rsidRPr="00470E23">
              <w:rPr>
                <w:rFonts w:eastAsia="SimSun"/>
                <w:sz w:val="22"/>
              </w:rPr>
              <w:t>-</w:t>
            </w:r>
          </w:p>
        </w:tc>
        <w:tc>
          <w:tcPr>
            <w:tcW w:w="361" w:type="pct"/>
            <w:tcBorders>
              <w:right w:val="single" w:sz="4" w:space="0" w:color="00000A"/>
            </w:tcBorders>
            <w:shd w:val="clear" w:color="auto" w:fill="auto"/>
            <w:vAlign w:val="center"/>
          </w:tcPr>
          <w:p w14:paraId="4B7F3AA7" w14:textId="77777777" w:rsidR="00304132" w:rsidRPr="00470E23" w:rsidRDefault="00304132" w:rsidP="00CD5E09">
            <w:pPr>
              <w:rPr>
                <w:rFonts w:eastAsia="SimSun"/>
                <w:sz w:val="22"/>
              </w:rPr>
            </w:pPr>
          </w:p>
        </w:tc>
        <w:tc>
          <w:tcPr>
            <w:tcW w:w="443" w:type="pct"/>
            <w:tcBorders>
              <w:left w:val="single" w:sz="4" w:space="0" w:color="00000A"/>
            </w:tcBorders>
            <w:shd w:val="clear" w:color="auto" w:fill="auto"/>
            <w:vAlign w:val="center"/>
          </w:tcPr>
          <w:p w14:paraId="6AF9E94A" w14:textId="77777777" w:rsidR="00304132" w:rsidRPr="00470E23" w:rsidRDefault="00304132" w:rsidP="00CD5E09">
            <w:pPr>
              <w:rPr>
                <w:rFonts w:eastAsia="SimSun"/>
                <w:sz w:val="22"/>
              </w:rPr>
            </w:pPr>
            <w:r w:rsidRPr="00470E23">
              <w:rPr>
                <w:rFonts w:eastAsia="SimSun"/>
                <w:sz w:val="22"/>
              </w:rPr>
              <w:t>5.2.2.1</w:t>
            </w:r>
          </w:p>
        </w:tc>
        <w:tc>
          <w:tcPr>
            <w:tcW w:w="430" w:type="pct"/>
            <w:tcBorders>
              <w:right w:val="single" w:sz="4" w:space="0" w:color="00000A"/>
            </w:tcBorders>
            <w:shd w:val="clear" w:color="auto" w:fill="auto"/>
            <w:vAlign w:val="center"/>
          </w:tcPr>
          <w:p w14:paraId="1077A6CF" w14:textId="77777777" w:rsidR="00304132" w:rsidRPr="00470E23" w:rsidRDefault="00304132" w:rsidP="00CD5E09">
            <w:pPr>
              <w:rPr>
                <w:rFonts w:eastAsia="SimSun"/>
                <w:sz w:val="22"/>
              </w:rPr>
            </w:pPr>
            <w:r w:rsidRPr="00470E23">
              <w:rPr>
                <w:rFonts w:eastAsia="SimSun"/>
                <w:sz w:val="22"/>
              </w:rPr>
              <w:t>5.2.2.5</w:t>
            </w:r>
          </w:p>
        </w:tc>
        <w:tc>
          <w:tcPr>
            <w:tcW w:w="316" w:type="pct"/>
            <w:tcBorders>
              <w:left w:val="single" w:sz="4" w:space="0" w:color="00000A"/>
            </w:tcBorders>
            <w:shd w:val="clear" w:color="auto" w:fill="auto"/>
            <w:vAlign w:val="center"/>
          </w:tcPr>
          <w:p w14:paraId="59470E77" w14:textId="77777777" w:rsidR="00304132" w:rsidRPr="00470E23" w:rsidRDefault="00304132" w:rsidP="00CD5E09">
            <w:pPr>
              <w:rPr>
                <w:rFonts w:eastAsia="SimSun"/>
                <w:sz w:val="22"/>
              </w:rPr>
            </w:pPr>
          </w:p>
        </w:tc>
        <w:tc>
          <w:tcPr>
            <w:tcW w:w="475" w:type="pct"/>
            <w:shd w:val="clear" w:color="auto" w:fill="auto"/>
            <w:vAlign w:val="center"/>
          </w:tcPr>
          <w:p w14:paraId="1602DF13" w14:textId="77777777" w:rsidR="00304132" w:rsidRPr="00470E23" w:rsidRDefault="00304132" w:rsidP="00CD5E09">
            <w:pPr>
              <w:rPr>
                <w:rFonts w:eastAsia="SimSun"/>
                <w:sz w:val="22"/>
              </w:rPr>
            </w:pPr>
          </w:p>
        </w:tc>
        <w:tc>
          <w:tcPr>
            <w:tcW w:w="382" w:type="pct"/>
            <w:shd w:val="clear" w:color="auto" w:fill="auto"/>
            <w:vAlign w:val="center"/>
          </w:tcPr>
          <w:p w14:paraId="07348857" w14:textId="77777777" w:rsidR="00304132" w:rsidRPr="00470E23" w:rsidRDefault="00304132" w:rsidP="00CD5E09">
            <w:pPr>
              <w:rPr>
                <w:rFonts w:eastAsia="SimSun"/>
                <w:sz w:val="22"/>
              </w:rPr>
            </w:pPr>
          </w:p>
        </w:tc>
        <w:tc>
          <w:tcPr>
            <w:tcW w:w="400" w:type="pct"/>
            <w:shd w:val="clear" w:color="auto" w:fill="auto"/>
            <w:vAlign w:val="center"/>
          </w:tcPr>
          <w:p w14:paraId="055F1A12" w14:textId="77777777" w:rsidR="00304132" w:rsidRPr="00470E23" w:rsidRDefault="00304132" w:rsidP="00CD5E09">
            <w:pPr>
              <w:rPr>
                <w:rFonts w:eastAsia="SimSun"/>
                <w:sz w:val="22"/>
              </w:rPr>
            </w:pPr>
          </w:p>
        </w:tc>
        <w:tc>
          <w:tcPr>
            <w:tcW w:w="394" w:type="pct"/>
            <w:vAlign w:val="center"/>
          </w:tcPr>
          <w:p w14:paraId="2C77DB50" w14:textId="77777777" w:rsidR="00304132" w:rsidRPr="00470E23" w:rsidRDefault="00304132" w:rsidP="00CD5E09">
            <w:pPr>
              <w:rPr>
                <w:rFonts w:eastAsia="SimSun"/>
                <w:sz w:val="22"/>
              </w:rPr>
            </w:pPr>
          </w:p>
        </w:tc>
      </w:tr>
      <w:tr w:rsidR="00304132" w:rsidRPr="00470E23" w14:paraId="22B31669" w14:textId="77777777" w:rsidTr="00CD5E09">
        <w:trPr>
          <w:cantSplit/>
          <w:trHeight w:val="606"/>
        </w:trPr>
        <w:tc>
          <w:tcPr>
            <w:tcW w:w="348" w:type="pct"/>
            <w:vMerge/>
            <w:shd w:val="clear" w:color="auto" w:fill="D9D9D9"/>
            <w:vAlign w:val="center"/>
          </w:tcPr>
          <w:p w14:paraId="6D7E4F34" w14:textId="77777777" w:rsidR="00304132" w:rsidRPr="00470E23" w:rsidRDefault="00304132" w:rsidP="00CD5E09">
            <w:pPr>
              <w:rPr>
                <w:rFonts w:eastAsia="SimSun"/>
                <w:sz w:val="22"/>
              </w:rPr>
            </w:pPr>
          </w:p>
        </w:tc>
        <w:tc>
          <w:tcPr>
            <w:tcW w:w="303" w:type="pct"/>
            <w:shd w:val="clear" w:color="auto" w:fill="D9D9D9"/>
            <w:vAlign w:val="center"/>
          </w:tcPr>
          <w:p w14:paraId="21B15C9A" w14:textId="77777777" w:rsidR="00304132" w:rsidRPr="00470E23" w:rsidRDefault="00304132" w:rsidP="00CD5E09">
            <w:pPr>
              <w:rPr>
                <w:rFonts w:eastAsia="SimSun"/>
                <w:sz w:val="22"/>
              </w:rPr>
            </w:pPr>
            <w:r w:rsidRPr="00470E23">
              <w:rPr>
                <w:rFonts w:eastAsia="SimSun"/>
                <w:sz w:val="22"/>
              </w:rPr>
              <w:t>Tx</w:t>
            </w:r>
          </w:p>
        </w:tc>
        <w:tc>
          <w:tcPr>
            <w:tcW w:w="308" w:type="pct"/>
            <w:shd w:val="clear" w:color="auto" w:fill="D9D9D9"/>
            <w:vAlign w:val="center"/>
          </w:tcPr>
          <w:p w14:paraId="2C3A4A33" w14:textId="77777777" w:rsidR="00304132" w:rsidRPr="00470E23" w:rsidRDefault="00304132" w:rsidP="00CD5E09">
            <w:pPr>
              <w:rPr>
                <w:rFonts w:eastAsia="SimSun"/>
                <w:sz w:val="22"/>
              </w:rPr>
            </w:pPr>
            <w:r w:rsidRPr="00470E23">
              <w:rPr>
                <w:rFonts w:eastAsia="SimSun"/>
                <w:sz w:val="22"/>
              </w:rPr>
              <w:t>-</w:t>
            </w:r>
          </w:p>
        </w:tc>
        <w:tc>
          <w:tcPr>
            <w:tcW w:w="428" w:type="pct"/>
            <w:shd w:val="clear" w:color="auto" w:fill="D9D9D9"/>
            <w:vAlign w:val="center"/>
          </w:tcPr>
          <w:p w14:paraId="533D6097" w14:textId="77777777" w:rsidR="00304132" w:rsidRPr="00470E23" w:rsidRDefault="00304132" w:rsidP="00CD5E09">
            <w:pPr>
              <w:rPr>
                <w:rFonts w:eastAsia="SimSun"/>
                <w:sz w:val="22"/>
              </w:rPr>
            </w:pPr>
            <w:r w:rsidRPr="00470E23">
              <w:rPr>
                <w:rFonts w:eastAsia="SimSun"/>
                <w:sz w:val="22"/>
              </w:rPr>
              <w:t>MMF30</w:t>
            </w:r>
          </w:p>
        </w:tc>
        <w:tc>
          <w:tcPr>
            <w:tcW w:w="412" w:type="pct"/>
            <w:shd w:val="clear" w:color="auto" w:fill="auto"/>
            <w:vAlign w:val="center"/>
          </w:tcPr>
          <w:p w14:paraId="74AF676E" w14:textId="77777777" w:rsidR="00304132" w:rsidRPr="00470E23" w:rsidRDefault="00304132" w:rsidP="00CD5E09">
            <w:pPr>
              <w:rPr>
                <w:rFonts w:eastAsia="SimSun"/>
                <w:sz w:val="22"/>
              </w:rPr>
            </w:pPr>
          </w:p>
        </w:tc>
        <w:tc>
          <w:tcPr>
            <w:tcW w:w="361" w:type="pct"/>
            <w:tcBorders>
              <w:right w:val="single" w:sz="4" w:space="0" w:color="00000A"/>
            </w:tcBorders>
            <w:shd w:val="clear" w:color="auto" w:fill="auto"/>
            <w:vAlign w:val="center"/>
          </w:tcPr>
          <w:p w14:paraId="081FDA5B" w14:textId="77777777" w:rsidR="00304132" w:rsidRPr="00470E23" w:rsidRDefault="00304132" w:rsidP="00CD5E09">
            <w:pPr>
              <w:rPr>
                <w:rFonts w:eastAsia="SimSun"/>
                <w:sz w:val="22"/>
              </w:rPr>
            </w:pPr>
            <w:r w:rsidRPr="00470E23">
              <w:rPr>
                <w:rFonts w:eastAsia="SimSun"/>
                <w:sz w:val="22"/>
              </w:rPr>
              <w:t>5.2.2.17</w:t>
            </w:r>
          </w:p>
        </w:tc>
        <w:tc>
          <w:tcPr>
            <w:tcW w:w="443" w:type="pct"/>
            <w:tcBorders>
              <w:left w:val="single" w:sz="4" w:space="0" w:color="00000A"/>
            </w:tcBorders>
            <w:shd w:val="clear" w:color="auto" w:fill="auto"/>
            <w:vAlign w:val="center"/>
          </w:tcPr>
          <w:p w14:paraId="49087E0B" w14:textId="77777777" w:rsidR="00304132" w:rsidRPr="00470E23" w:rsidRDefault="00304132" w:rsidP="00CD5E09">
            <w:pPr>
              <w:rPr>
                <w:rFonts w:eastAsia="SimSun"/>
                <w:sz w:val="22"/>
              </w:rPr>
            </w:pPr>
          </w:p>
        </w:tc>
        <w:tc>
          <w:tcPr>
            <w:tcW w:w="430" w:type="pct"/>
            <w:tcBorders>
              <w:right w:val="single" w:sz="4" w:space="0" w:color="00000A"/>
            </w:tcBorders>
            <w:shd w:val="clear" w:color="auto" w:fill="auto"/>
            <w:vAlign w:val="center"/>
          </w:tcPr>
          <w:p w14:paraId="65D8538C" w14:textId="77777777" w:rsidR="00304132" w:rsidRPr="00470E23" w:rsidRDefault="00304132" w:rsidP="00CD5E09">
            <w:pPr>
              <w:rPr>
                <w:rFonts w:eastAsia="SimSun"/>
                <w:sz w:val="22"/>
              </w:rPr>
            </w:pPr>
          </w:p>
        </w:tc>
        <w:tc>
          <w:tcPr>
            <w:tcW w:w="316" w:type="pct"/>
            <w:tcBorders>
              <w:left w:val="single" w:sz="4" w:space="0" w:color="00000A"/>
            </w:tcBorders>
            <w:shd w:val="clear" w:color="auto" w:fill="auto"/>
            <w:vAlign w:val="center"/>
          </w:tcPr>
          <w:p w14:paraId="3709FCC0" w14:textId="77777777" w:rsidR="00304132" w:rsidRPr="00470E23" w:rsidRDefault="00304132" w:rsidP="00CD5E09">
            <w:pPr>
              <w:rPr>
                <w:rFonts w:eastAsia="SimSun"/>
                <w:sz w:val="22"/>
              </w:rPr>
            </w:pPr>
          </w:p>
        </w:tc>
        <w:tc>
          <w:tcPr>
            <w:tcW w:w="475" w:type="pct"/>
            <w:shd w:val="clear" w:color="auto" w:fill="auto"/>
            <w:vAlign w:val="center"/>
          </w:tcPr>
          <w:p w14:paraId="153211E4" w14:textId="77777777" w:rsidR="00304132" w:rsidRPr="00470E23" w:rsidRDefault="00304132" w:rsidP="00CD5E09">
            <w:pPr>
              <w:rPr>
                <w:rFonts w:eastAsia="SimSun"/>
                <w:sz w:val="22"/>
              </w:rPr>
            </w:pPr>
          </w:p>
        </w:tc>
        <w:tc>
          <w:tcPr>
            <w:tcW w:w="382" w:type="pct"/>
            <w:shd w:val="clear" w:color="auto" w:fill="auto"/>
            <w:vAlign w:val="center"/>
          </w:tcPr>
          <w:p w14:paraId="3CE51DE3" w14:textId="77777777" w:rsidR="00304132" w:rsidRPr="00470E23" w:rsidRDefault="00304132" w:rsidP="00CD5E09">
            <w:pPr>
              <w:rPr>
                <w:rFonts w:eastAsia="SimSun"/>
                <w:sz w:val="22"/>
              </w:rPr>
            </w:pPr>
          </w:p>
        </w:tc>
        <w:tc>
          <w:tcPr>
            <w:tcW w:w="400" w:type="pct"/>
            <w:shd w:val="clear" w:color="auto" w:fill="auto"/>
            <w:vAlign w:val="center"/>
          </w:tcPr>
          <w:p w14:paraId="3CB860EF" w14:textId="77777777" w:rsidR="00304132" w:rsidRPr="00470E23" w:rsidRDefault="00304132" w:rsidP="00CD5E09">
            <w:pPr>
              <w:rPr>
                <w:rFonts w:eastAsia="SimSun"/>
                <w:sz w:val="22"/>
              </w:rPr>
            </w:pPr>
            <w:r w:rsidRPr="00470E23">
              <w:rPr>
                <w:rFonts w:eastAsia="SimSun"/>
                <w:sz w:val="22"/>
              </w:rPr>
              <w:t>5.2.2.19</w:t>
            </w:r>
          </w:p>
        </w:tc>
        <w:tc>
          <w:tcPr>
            <w:tcW w:w="394" w:type="pct"/>
            <w:vAlign w:val="center"/>
          </w:tcPr>
          <w:p w14:paraId="086B9801" w14:textId="77777777" w:rsidR="00304132" w:rsidRPr="00470E23" w:rsidRDefault="00304132" w:rsidP="00CD5E09">
            <w:pPr>
              <w:rPr>
                <w:rFonts w:eastAsia="SimSun"/>
                <w:sz w:val="22"/>
              </w:rPr>
            </w:pPr>
          </w:p>
        </w:tc>
      </w:tr>
      <w:tr w:rsidR="00304132" w:rsidRPr="00470E23" w14:paraId="66EEB07D" w14:textId="77777777" w:rsidTr="00CD5E09">
        <w:trPr>
          <w:cantSplit/>
          <w:trHeight w:val="606"/>
        </w:trPr>
        <w:tc>
          <w:tcPr>
            <w:tcW w:w="348" w:type="pct"/>
            <w:vMerge w:val="restart"/>
            <w:shd w:val="clear" w:color="auto" w:fill="D9D9D9"/>
            <w:vAlign w:val="center"/>
          </w:tcPr>
          <w:p w14:paraId="4B6F8EE3" w14:textId="77777777" w:rsidR="00304132" w:rsidRPr="00470E23" w:rsidRDefault="00304132" w:rsidP="00CD5E09">
            <w:pPr>
              <w:rPr>
                <w:rFonts w:eastAsia="SimSun"/>
                <w:sz w:val="22"/>
              </w:rPr>
            </w:pPr>
            <w:r w:rsidRPr="00470E23">
              <w:rPr>
                <w:rFonts w:eastAsia="SimSun"/>
                <w:sz w:val="22"/>
              </w:rPr>
              <w:t>rATG</w:t>
            </w:r>
          </w:p>
        </w:tc>
        <w:tc>
          <w:tcPr>
            <w:tcW w:w="303" w:type="pct"/>
            <w:shd w:val="clear" w:color="auto" w:fill="D9D9D9"/>
            <w:vAlign w:val="center"/>
          </w:tcPr>
          <w:p w14:paraId="11C98504" w14:textId="77777777" w:rsidR="00304132" w:rsidRPr="00470E23" w:rsidRDefault="00304132" w:rsidP="00CD5E09">
            <w:pPr>
              <w:rPr>
                <w:rFonts w:eastAsia="SimSun"/>
                <w:sz w:val="22"/>
              </w:rPr>
            </w:pPr>
            <w:r w:rsidRPr="00470E23">
              <w:rPr>
                <w:rFonts w:eastAsia="SimSun"/>
                <w:sz w:val="22"/>
              </w:rPr>
              <w:t>CSA</w:t>
            </w:r>
          </w:p>
        </w:tc>
        <w:tc>
          <w:tcPr>
            <w:tcW w:w="308" w:type="pct"/>
            <w:shd w:val="clear" w:color="auto" w:fill="D9D9D9"/>
            <w:vAlign w:val="center"/>
          </w:tcPr>
          <w:p w14:paraId="7B00A92A" w14:textId="77777777" w:rsidR="00304132" w:rsidRPr="00470E23" w:rsidRDefault="00304132" w:rsidP="00CD5E09">
            <w:pPr>
              <w:rPr>
                <w:rFonts w:eastAsia="SimSun"/>
                <w:sz w:val="22"/>
              </w:rPr>
            </w:pPr>
            <w:r w:rsidRPr="00470E23">
              <w:rPr>
                <w:rFonts w:eastAsia="SimSun"/>
                <w:sz w:val="22"/>
              </w:rPr>
              <w:t>MTX</w:t>
            </w:r>
          </w:p>
        </w:tc>
        <w:tc>
          <w:tcPr>
            <w:tcW w:w="428" w:type="pct"/>
            <w:shd w:val="clear" w:color="auto" w:fill="D9D9D9"/>
            <w:vAlign w:val="center"/>
          </w:tcPr>
          <w:p w14:paraId="6366B1BB" w14:textId="77777777" w:rsidR="00304132" w:rsidRPr="00470E23" w:rsidRDefault="00304132" w:rsidP="00CD5E09">
            <w:pPr>
              <w:rPr>
                <w:rFonts w:eastAsia="SimSun"/>
                <w:sz w:val="22"/>
              </w:rPr>
            </w:pPr>
            <w:r w:rsidRPr="00470E23">
              <w:rPr>
                <w:rFonts w:eastAsia="SimSun"/>
                <w:sz w:val="22"/>
              </w:rPr>
              <w:t>MMF45</w:t>
            </w:r>
          </w:p>
        </w:tc>
        <w:tc>
          <w:tcPr>
            <w:tcW w:w="412" w:type="pct"/>
            <w:shd w:val="clear" w:color="auto" w:fill="auto"/>
            <w:vAlign w:val="center"/>
          </w:tcPr>
          <w:p w14:paraId="75BD4E56" w14:textId="77777777" w:rsidR="00304132" w:rsidRPr="00470E23" w:rsidRDefault="00304132" w:rsidP="00CD5E09">
            <w:pPr>
              <w:rPr>
                <w:rFonts w:eastAsia="SimSun"/>
                <w:sz w:val="22"/>
              </w:rPr>
            </w:pPr>
          </w:p>
        </w:tc>
        <w:tc>
          <w:tcPr>
            <w:tcW w:w="361" w:type="pct"/>
            <w:tcBorders>
              <w:right w:val="single" w:sz="4" w:space="0" w:color="00000A"/>
            </w:tcBorders>
            <w:shd w:val="clear" w:color="auto" w:fill="auto"/>
            <w:vAlign w:val="center"/>
          </w:tcPr>
          <w:p w14:paraId="7A733FA9" w14:textId="77777777" w:rsidR="00304132" w:rsidRPr="00470E23" w:rsidRDefault="00304132" w:rsidP="00CD5E09">
            <w:pPr>
              <w:rPr>
                <w:rFonts w:eastAsia="SimSun"/>
                <w:sz w:val="22"/>
              </w:rPr>
            </w:pPr>
          </w:p>
        </w:tc>
        <w:tc>
          <w:tcPr>
            <w:tcW w:w="443" w:type="pct"/>
            <w:tcBorders>
              <w:left w:val="single" w:sz="4" w:space="0" w:color="00000A"/>
            </w:tcBorders>
            <w:shd w:val="clear" w:color="auto" w:fill="auto"/>
            <w:vAlign w:val="center"/>
          </w:tcPr>
          <w:p w14:paraId="325E3181" w14:textId="77777777" w:rsidR="00304132" w:rsidRPr="00470E23" w:rsidRDefault="00304132" w:rsidP="00CD5E09">
            <w:pPr>
              <w:rPr>
                <w:rFonts w:eastAsia="SimSun"/>
                <w:sz w:val="22"/>
              </w:rPr>
            </w:pPr>
            <w:r w:rsidRPr="00470E23">
              <w:rPr>
                <w:rFonts w:eastAsia="SimSun"/>
                <w:sz w:val="22"/>
              </w:rPr>
              <w:t>5.2.2.2</w:t>
            </w:r>
          </w:p>
        </w:tc>
        <w:tc>
          <w:tcPr>
            <w:tcW w:w="430" w:type="pct"/>
            <w:tcBorders>
              <w:right w:val="single" w:sz="4" w:space="0" w:color="00000A"/>
            </w:tcBorders>
            <w:shd w:val="clear" w:color="auto" w:fill="auto"/>
            <w:vAlign w:val="center"/>
          </w:tcPr>
          <w:p w14:paraId="629DE61F" w14:textId="77777777" w:rsidR="00304132" w:rsidRPr="00470E23" w:rsidRDefault="00304132" w:rsidP="00CD5E09">
            <w:pPr>
              <w:rPr>
                <w:rFonts w:eastAsia="SimSun"/>
                <w:sz w:val="22"/>
              </w:rPr>
            </w:pPr>
            <w:r w:rsidRPr="00470E23">
              <w:rPr>
                <w:rFonts w:eastAsia="SimSun"/>
                <w:sz w:val="22"/>
              </w:rPr>
              <w:t>5.2.2.6</w:t>
            </w:r>
          </w:p>
        </w:tc>
        <w:tc>
          <w:tcPr>
            <w:tcW w:w="316" w:type="pct"/>
            <w:tcBorders>
              <w:left w:val="single" w:sz="4" w:space="0" w:color="00000A"/>
            </w:tcBorders>
            <w:shd w:val="clear" w:color="auto" w:fill="auto"/>
            <w:vAlign w:val="center"/>
          </w:tcPr>
          <w:p w14:paraId="5E921F4F" w14:textId="77777777" w:rsidR="00304132" w:rsidRPr="00470E23" w:rsidRDefault="00304132" w:rsidP="00CD5E09">
            <w:pPr>
              <w:rPr>
                <w:rFonts w:eastAsia="SimSun"/>
                <w:sz w:val="22"/>
              </w:rPr>
            </w:pPr>
          </w:p>
        </w:tc>
        <w:tc>
          <w:tcPr>
            <w:tcW w:w="475" w:type="pct"/>
            <w:shd w:val="clear" w:color="auto" w:fill="auto"/>
            <w:vAlign w:val="center"/>
          </w:tcPr>
          <w:p w14:paraId="26C7F0B1" w14:textId="77777777" w:rsidR="00304132" w:rsidRPr="00470E23" w:rsidRDefault="00304132" w:rsidP="00CD5E09">
            <w:pPr>
              <w:rPr>
                <w:rFonts w:eastAsia="SimSun"/>
                <w:sz w:val="22"/>
              </w:rPr>
            </w:pPr>
          </w:p>
        </w:tc>
        <w:tc>
          <w:tcPr>
            <w:tcW w:w="382" w:type="pct"/>
            <w:shd w:val="clear" w:color="auto" w:fill="auto"/>
            <w:vAlign w:val="center"/>
          </w:tcPr>
          <w:p w14:paraId="5F698BB8" w14:textId="77777777" w:rsidR="00304132" w:rsidRPr="00470E23" w:rsidRDefault="00304132" w:rsidP="00CD5E09">
            <w:pPr>
              <w:rPr>
                <w:rFonts w:eastAsia="SimSun"/>
                <w:sz w:val="22"/>
              </w:rPr>
            </w:pPr>
          </w:p>
        </w:tc>
        <w:tc>
          <w:tcPr>
            <w:tcW w:w="400" w:type="pct"/>
            <w:shd w:val="clear" w:color="auto" w:fill="auto"/>
            <w:vAlign w:val="center"/>
          </w:tcPr>
          <w:p w14:paraId="6F21EE61" w14:textId="77777777" w:rsidR="00304132" w:rsidRPr="00470E23" w:rsidRDefault="00304132" w:rsidP="00CD5E09">
            <w:pPr>
              <w:rPr>
                <w:rFonts w:eastAsia="SimSun"/>
                <w:sz w:val="22"/>
              </w:rPr>
            </w:pPr>
          </w:p>
        </w:tc>
        <w:tc>
          <w:tcPr>
            <w:tcW w:w="394" w:type="pct"/>
            <w:vAlign w:val="center"/>
          </w:tcPr>
          <w:p w14:paraId="03C2E598" w14:textId="77777777" w:rsidR="00304132" w:rsidRPr="00470E23" w:rsidRDefault="00304132" w:rsidP="00CD5E09">
            <w:pPr>
              <w:rPr>
                <w:rFonts w:eastAsia="SimSun"/>
                <w:sz w:val="22"/>
              </w:rPr>
            </w:pPr>
          </w:p>
        </w:tc>
      </w:tr>
      <w:tr w:rsidR="00304132" w:rsidRPr="00470E23" w14:paraId="72283CDF" w14:textId="77777777" w:rsidTr="00CD5E09">
        <w:trPr>
          <w:cantSplit/>
          <w:trHeight w:val="606"/>
        </w:trPr>
        <w:tc>
          <w:tcPr>
            <w:tcW w:w="348" w:type="pct"/>
            <w:vMerge/>
            <w:shd w:val="clear" w:color="auto" w:fill="D9D9D9"/>
            <w:vAlign w:val="center"/>
          </w:tcPr>
          <w:p w14:paraId="6DF5950E" w14:textId="77777777" w:rsidR="00304132" w:rsidRPr="00470E23" w:rsidRDefault="00304132" w:rsidP="00CD5E09">
            <w:pPr>
              <w:rPr>
                <w:rFonts w:eastAsia="SimSun"/>
                <w:sz w:val="22"/>
              </w:rPr>
            </w:pPr>
          </w:p>
        </w:tc>
        <w:tc>
          <w:tcPr>
            <w:tcW w:w="303" w:type="pct"/>
            <w:shd w:val="clear" w:color="auto" w:fill="D9D9D9"/>
            <w:vAlign w:val="center"/>
          </w:tcPr>
          <w:p w14:paraId="01643EA3" w14:textId="77777777" w:rsidR="00304132" w:rsidRPr="00470E23" w:rsidRDefault="00304132" w:rsidP="00CD5E09">
            <w:pPr>
              <w:rPr>
                <w:rFonts w:eastAsia="SimSun"/>
                <w:sz w:val="22"/>
              </w:rPr>
            </w:pPr>
            <w:r w:rsidRPr="00470E23">
              <w:rPr>
                <w:rFonts w:eastAsia="SimSun"/>
                <w:sz w:val="22"/>
              </w:rPr>
              <w:t>Tx</w:t>
            </w:r>
          </w:p>
        </w:tc>
        <w:tc>
          <w:tcPr>
            <w:tcW w:w="308" w:type="pct"/>
            <w:shd w:val="clear" w:color="auto" w:fill="D9D9D9"/>
            <w:vAlign w:val="center"/>
          </w:tcPr>
          <w:p w14:paraId="7DC3B320" w14:textId="77777777" w:rsidR="00304132" w:rsidRPr="00470E23" w:rsidRDefault="00304132" w:rsidP="00CD5E09">
            <w:pPr>
              <w:rPr>
                <w:rFonts w:eastAsia="SimSun"/>
                <w:sz w:val="22"/>
              </w:rPr>
            </w:pPr>
            <w:r w:rsidRPr="00470E23">
              <w:rPr>
                <w:rFonts w:eastAsia="SimSun"/>
                <w:sz w:val="22"/>
              </w:rPr>
              <w:t>-</w:t>
            </w:r>
          </w:p>
        </w:tc>
        <w:tc>
          <w:tcPr>
            <w:tcW w:w="428" w:type="pct"/>
            <w:shd w:val="clear" w:color="auto" w:fill="D9D9D9"/>
            <w:vAlign w:val="center"/>
          </w:tcPr>
          <w:p w14:paraId="57BBD081" w14:textId="77777777" w:rsidR="00304132" w:rsidRPr="00470E23" w:rsidRDefault="00304132" w:rsidP="00CD5E09">
            <w:pPr>
              <w:rPr>
                <w:rFonts w:eastAsia="SimSun"/>
                <w:sz w:val="22"/>
              </w:rPr>
            </w:pPr>
            <w:r w:rsidRPr="00470E23">
              <w:rPr>
                <w:rFonts w:eastAsia="SimSun"/>
                <w:sz w:val="22"/>
              </w:rPr>
              <w:t>MMF30</w:t>
            </w:r>
          </w:p>
        </w:tc>
        <w:tc>
          <w:tcPr>
            <w:tcW w:w="412" w:type="pct"/>
            <w:shd w:val="clear" w:color="auto" w:fill="auto"/>
            <w:vAlign w:val="center"/>
          </w:tcPr>
          <w:p w14:paraId="5B3AD03C" w14:textId="77777777" w:rsidR="00304132" w:rsidRPr="00470E23" w:rsidRDefault="00304132" w:rsidP="00CD5E09">
            <w:pPr>
              <w:rPr>
                <w:rFonts w:eastAsia="SimSun"/>
                <w:sz w:val="22"/>
              </w:rPr>
            </w:pPr>
          </w:p>
        </w:tc>
        <w:tc>
          <w:tcPr>
            <w:tcW w:w="361" w:type="pct"/>
            <w:tcBorders>
              <w:right w:val="single" w:sz="4" w:space="0" w:color="00000A"/>
            </w:tcBorders>
            <w:shd w:val="clear" w:color="auto" w:fill="auto"/>
            <w:vAlign w:val="center"/>
          </w:tcPr>
          <w:p w14:paraId="7A5372CC" w14:textId="77777777" w:rsidR="00304132" w:rsidRPr="00470E23" w:rsidRDefault="00304132" w:rsidP="00CD5E09">
            <w:pPr>
              <w:rPr>
                <w:rFonts w:eastAsia="SimSun"/>
                <w:sz w:val="22"/>
              </w:rPr>
            </w:pPr>
          </w:p>
        </w:tc>
        <w:tc>
          <w:tcPr>
            <w:tcW w:w="443" w:type="pct"/>
            <w:tcBorders>
              <w:left w:val="single" w:sz="4" w:space="0" w:color="00000A"/>
            </w:tcBorders>
            <w:shd w:val="clear" w:color="auto" w:fill="auto"/>
            <w:vAlign w:val="center"/>
          </w:tcPr>
          <w:p w14:paraId="6E67F69D" w14:textId="77777777" w:rsidR="00304132" w:rsidRPr="00470E23" w:rsidRDefault="00304132" w:rsidP="00CD5E09">
            <w:pPr>
              <w:rPr>
                <w:rFonts w:eastAsia="SimSun"/>
                <w:sz w:val="22"/>
              </w:rPr>
            </w:pPr>
          </w:p>
        </w:tc>
        <w:tc>
          <w:tcPr>
            <w:tcW w:w="430" w:type="pct"/>
            <w:tcBorders>
              <w:right w:val="single" w:sz="4" w:space="0" w:color="00000A"/>
            </w:tcBorders>
            <w:shd w:val="clear" w:color="auto" w:fill="auto"/>
            <w:vAlign w:val="center"/>
          </w:tcPr>
          <w:p w14:paraId="256CE4A4" w14:textId="77777777" w:rsidR="00304132" w:rsidRPr="00470E23" w:rsidRDefault="00304132" w:rsidP="00CD5E09">
            <w:pPr>
              <w:rPr>
                <w:rFonts w:eastAsia="SimSun"/>
                <w:sz w:val="22"/>
              </w:rPr>
            </w:pPr>
          </w:p>
        </w:tc>
        <w:tc>
          <w:tcPr>
            <w:tcW w:w="316" w:type="pct"/>
            <w:tcBorders>
              <w:left w:val="single" w:sz="4" w:space="0" w:color="00000A"/>
            </w:tcBorders>
            <w:shd w:val="clear" w:color="auto" w:fill="auto"/>
            <w:vAlign w:val="center"/>
          </w:tcPr>
          <w:p w14:paraId="5D8C27F1" w14:textId="77777777" w:rsidR="00304132" w:rsidRPr="00470E23" w:rsidRDefault="00304132" w:rsidP="00CD5E09">
            <w:pPr>
              <w:rPr>
                <w:rFonts w:eastAsia="SimSun"/>
                <w:sz w:val="22"/>
              </w:rPr>
            </w:pPr>
          </w:p>
        </w:tc>
        <w:tc>
          <w:tcPr>
            <w:tcW w:w="475" w:type="pct"/>
            <w:shd w:val="clear" w:color="auto" w:fill="auto"/>
            <w:vAlign w:val="center"/>
          </w:tcPr>
          <w:p w14:paraId="64E52383" w14:textId="77777777" w:rsidR="00304132" w:rsidRPr="00470E23" w:rsidRDefault="00304132" w:rsidP="00CD5E09">
            <w:pPr>
              <w:rPr>
                <w:rFonts w:eastAsia="SimSun"/>
                <w:sz w:val="22"/>
              </w:rPr>
            </w:pPr>
          </w:p>
        </w:tc>
        <w:tc>
          <w:tcPr>
            <w:tcW w:w="382" w:type="pct"/>
            <w:shd w:val="clear" w:color="auto" w:fill="auto"/>
            <w:vAlign w:val="center"/>
          </w:tcPr>
          <w:p w14:paraId="4590460F" w14:textId="77777777" w:rsidR="00304132" w:rsidRPr="00470E23" w:rsidRDefault="00304132" w:rsidP="00CD5E09">
            <w:pPr>
              <w:rPr>
                <w:rFonts w:eastAsia="SimSun"/>
                <w:sz w:val="22"/>
              </w:rPr>
            </w:pPr>
          </w:p>
        </w:tc>
        <w:tc>
          <w:tcPr>
            <w:tcW w:w="400" w:type="pct"/>
            <w:shd w:val="clear" w:color="auto" w:fill="auto"/>
            <w:vAlign w:val="center"/>
          </w:tcPr>
          <w:p w14:paraId="4ADC95C0" w14:textId="77777777" w:rsidR="00304132" w:rsidRPr="00470E23" w:rsidRDefault="00304132" w:rsidP="00CD5E09">
            <w:pPr>
              <w:rPr>
                <w:rFonts w:eastAsia="SimSun"/>
                <w:sz w:val="22"/>
              </w:rPr>
            </w:pPr>
            <w:r w:rsidRPr="00470E23">
              <w:rPr>
                <w:rFonts w:eastAsia="SimSun"/>
                <w:sz w:val="22"/>
              </w:rPr>
              <w:t>5.2.2.20</w:t>
            </w:r>
          </w:p>
        </w:tc>
        <w:tc>
          <w:tcPr>
            <w:tcW w:w="394" w:type="pct"/>
            <w:vAlign w:val="center"/>
          </w:tcPr>
          <w:p w14:paraId="0B69BA99" w14:textId="77777777" w:rsidR="00304132" w:rsidRPr="00470E23" w:rsidRDefault="00304132" w:rsidP="00CD5E09">
            <w:pPr>
              <w:rPr>
                <w:rFonts w:eastAsia="SimSun"/>
                <w:sz w:val="22"/>
              </w:rPr>
            </w:pPr>
          </w:p>
        </w:tc>
      </w:tr>
      <w:tr w:rsidR="00304132" w:rsidRPr="00470E23" w14:paraId="4F926336" w14:textId="77777777" w:rsidTr="00CD5E09">
        <w:trPr>
          <w:cantSplit/>
          <w:trHeight w:val="606"/>
        </w:trPr>
        <w:tc>
          <w:tcPr>
            <w:tcW w:w="348" w:type="pct"/>
            <w:vMerge w:val="restart"/>
            <w:shd w:val="clear" w:color="auto" w:fill="D9D9D9"/>
            <w:vAlign w:val="center"/>
          </w:tcPr>
          <w:p w14:paraId="0CB4272F" w14:textId="77777777" w:rsidR="00304132" w:rsidRPr="00470E23" w:rsidRDefault="00304132" w:rsidP="00CD5E09">
            <w:pPr>
              <w:rPr>
                <w:rFonts w:eastAsia="SimSun"/>
                <w:sz w:val="22"/>
              </w:rPr>
            </w:pPr>
            <w:r w:rsidRPr="00470E23">
              <w:rPr>
                <w:rFonts w:eastAsia="SimSun"/>
                <w:sz w:val="22"/>
              </w:rPr>
              <w:t>PT-Cy</w:t>
            </w:r>
          </w:p>
          <w:p w14:paraId="764FE666" w14:textId="77777777" w:rsidR="00304132" w:rsidRPr="00470E23" w:rsidRDefault="00304132" w:rsidP="00CD5E09">
            <w:pPr>
              <w:rPr>
                <w:rFonts w:eastAsia="SimSun"/>
                <w:sz w:val="22"/>
              </w:rPr>
            </w:pPr>
          </w:p>
        </w:tc>
        <w:tc>
          <w:tcPr>
            <w:tcW w:w="303" w:type="pct"/>
            <w:shd w:val="clear" w:color="auto" w:fill="D9D9D9"/>
            <w:vAlign w:val="center"/>
          </w:tcPr>
          <w:p w14:paraId="7246DD53" w14:textId="77777777" w:rsidR="00304132" w:rsidRPr="00470E23" w:rsidRDefault="00304132" w:rsidP="00CD5E09">
            <w:pPr>
              <w:rPr>
                <w:rFonts w:eastAsia="SimSun"/>
                <w:sz w:val="22"/>
              </w:rPr>
            </w:pPr>
            <w:r w:rsidRPr="00470E23">
              <w:rPr>
                <w:rFonts w:eastAsia="SimSun"/>
                <w:sz w:val="22"/>
              </w:rPr>
              <w:t>-</w:t>
            </w:r>
          </w:p>
        </w:tc>
        <w:tc>
          <w:tcPr>
            <w:tcW w:w="308" w:type="pct"/>
            <w:shd w:val="clear" w:color="auto" w:fill="D9D9D9"/>
            <w:vAlign w:val="center"/>
          </w:tcPr>
          <w:p w14:paraId="23A5A62D" w14:textId="77777777" w:rsidR="00304132" w:rsidRPr="00470E23" w:rsidRDefault="00304132" w:rsidP="00CD5E09">
            <w:pPr>
              <w:rPr>
                <w:rFonts w:eastAsia="SimSun"/>
                <w:sz w:val="22"/>
              </w:rPr>
            </w:pPr>
            <w:r w:rsidRPr="00470E23">
              <w:rPr>
                <w:rFonts w:eastAsia="SimSun"/>
                <w:sz w:val="22"/>
              </w:rPr>
              <w:t>-</w:t>
            </w:r>
          </w:p>
        </w:tc>
        <w:tc>
          <w:tcPr>
            <w:tcW w:w="428" w:type="pct"/>
            <w:shd w:val="clear" w:color="auto" w:fill="D9D9D9"/>
            <w:vAlign w:val="center"/>
          </w:tcPr>
          <w:p w14:paraId="24E4CAEA" w14:textId="77777777" w:rsidR="00304132" w:rsidRPr="00470E23" w:rsidRDefault="00304132" w:rsidP="00CD5E09">
            <w:pPr>
              <w:rPr>
                <w:rFonts w:eastAsia="SimSun"/>
                <w:sz w:val="22"/>
              </w:rPr>
            </w:pPr>
            <w:r w:rsidRPr="00470E23">
              <w:rPr>
                <w:rFonts w:eastAsia="SimSun"/>
                <w:sz w:val="22"/>
              </w:rPr>
              <w:t>-</w:t>
            </w:r>
          </w:p>
        </w:tc>
        <w:tc>
          <w:tcPr>
            <w:tcW w:w="412" w:type="pct"/>
            <w:shd w:val="clear" w:color="auto" w:fill="auto"/>
            <w:vAlign w:val="center"/>
          </w:tcPr>
          <w:p w14:paraId="7849402E" w14:textId="77777777" w:rsidR="00304132" w:rsidRPr="00470E23" w:rsidRDefault="00304132" w:rsidP="00CD5E09">
            <w:pPr>
              <w:rPr>
                <w:rFonts w:eastAsia="SimSun"/>
                <w:sz w:val="22"/>
              </w:rPr>
            </w:pPr>
            <w:r w:rsidRPr="00470E23">
              <w:rPr>
                <w:rFonts w:eastAsia="SimSun"/>
                <w:sz w:val="22"/>
              </w:rPr>
              <w:t>5.2.2.16</w:t>
            </w:r>
          </w:p>
        </w:tc>
        <w:tc>
          <w:tcPr>
            <w:tcW w:w="361" w:type="pct"/>
            <w:tcBorders>
              <w:right w:val="single" w:sz="4" w:space="0" w:color="00000A"/>
            </w:tcBorders>
            <w:shd w:val="clear" w:color="auto" w:fill="auto"/>
            <w:vAlign w:val="center"/>
          </w:tcPr>
          <w:p w14:paraId="2D30285D" w14:textId="77777777" w:rsidR="00304132" w:rsidRPr="00470E23" w:rsidRDefault="00304132" w:rsidP="00CD5E09">
            <w:pPr>
              <w:rPr>
                <w:rFonts w:eastAsia="SimSun"/>
                <w:sz w:val="22"/>
              </w:rPr>
            </w:pPr>
          </w:p>
        </w:tc>
        <w:tc>
          <w:tcPr>
            <w:tcW w:w="443" w:type="pct"/>
            <w:tcBorders>
              <w:left w:val="single" w:sz="4" w:space="0" w:color="00000A"/>
            </w:tcBorders>
            <w:shd w:val="clear" w:color="auto" w:fill="auto"/>
            <w:vAlign w:val="center"/>
          </w:tcPr>
          <w:p w14:paraId="2B8930CF" w14:textId="77777777" w:rsidR="00304132" w:rsidRPr="00470E23" w:rsidRDefault="00304132" w:rsidP="00CD5E09">
            <w:pPr>
              <w:rPr>
                <w:rFonts w:eastAsia="SimSun"/>
                <w:sz w:val="22"/>
              </w:rPr>
            </w:pPr>
          </w:p>
        </w:tc>
        <w:tc>
          <w:tcPr>
            <w:tcW w:w="430" w:type="pct"/>
            <w:tcBorders>
              <w:right w:val="single" w:sz="4" w:space="0" w:color="00000A"/>
            </w:tcBorders>
            <w:shd w:val="clear" w:color="auto" w:fill="auto"/>
            <w:vAlign w:val="center"/>
          </w:tcPr>
          <w:p w14:paraId="49223171" w14:textId="77777777" w:rsidR="00304132" w:rsidRPr="00470E23" w:rsidRDefault="00304132" w:rsidP="00CD5E09">
            <w:pPr>
              <w:rPr>
                <w:rFonts w:eastAsia="SimSun"/>
                <w:sz w:val="22"/>
              </w:rPr>
            </w:pPr>
          </w:p>
        </w:tc>
        <w:tc>
          <w:tcPr>
            <w:tcW w:w="316" w:type="pct"/>
            <w:tcBorders>
              <w:left w:val="single" w:sz="4" w:space="0" w:color="00000A"/>
            </w:tcBorders>
            <w:shd w:val="clear" w:color="auto" w:fill="auto"/>
            <w:vAlign w:val="center"/>
          </w:tcPr>
          <w:p w14:paraId="3FCF9764" w14:textId="77777777" w:rsidR="00304132" w:rsidRPr="00470E23" w:rsidRDefault="00304132" w:rsidP="00CD5E09">
            <w:pPr>
              <w:rPr>
                <w:rFonts w:eastAsia="SimSun"/>
                <w:sz w:val="22"/>
              </w:rPr>
            </w:pPr>
            <w:r w:rsidRPr="00470E23">
              <w:rPr>
                <w:rFonts w:eastAsia="SimSun"/>
                <w:sz w:val="22"/>
              </w:rPr>
              <w:t>5.2.2.8</w:t>
            </w:r>
          </w:p>
        </w:tc>
        <w:tc>
          <w:tcPr>
            <w:tcW w:w="475" w:type="pct"/>
            <w:shd w:val="clear" w:color="auto" w:fill="auto"/>
            <w:vAlign w:val="center"/>
          </w:tcPr>
          <w:p w14:paraId="19EF9AEB" w14:textId="77777777" w:rsidR="00304132" w:rsidRPr="00470E23" w:rsidRDefault="00304132" w:rsidP="00CD5E09">
            <w:pPr>
              <w:rPr>
                <w:rFonts w:eastAsia="SimSun"/>
                <w:sz w:val="22"/>
              </w:rPr>
            </w:pPr>
            <w:r w:rsidRPr="00470E23">
              <w:rPr>
                <w:rFonts w:eastAsia="SimSun"/>
                <w:sz w:val="22"/>
              </w:rPr>
              <w:t>5.2.2.12</w:t>
            </w:r>
          </w:p>
        </w:tc>
        <w:tc>
          <w:tcPr>
            <w:tcW w:w="382" w:type="pct"/>
            <w:shd w:val="clear" w:color="auto" w:fill="auto"/>
            <w:vAlign w:val="center"/>
          </w:tcPr>
          <w:p w14:paraId="1816D6B5" w14:textId="77777777" w:rsidR="00304132" w:rsidRPr="00470E23" w:rsidRDefault="00304132" w:rsidP="00CD5E09">
            <w:pPr>
              <w:rPr>
                <w:rFonts w:eastAsia="SimSun"/>
                <w:sz w:val="22"/>
              </w:rPr>
            </w:pPr>
          </w:p>
        </w:tc>
        <w:tc>
          <w:tcPr>
            <w:tcW w:w="400" w:type="pct"/>
            <w:shd w:val="clear" w:color="auto" w:fill="auto"/>
            <w:vAlign w:val="center"/>
          </w:tcPr>
          <w:p w14:paraId="3F378D1C" w14:textId="77777777" w:rsidR="00304132" w:rsidRPr="00470E23" w:rsidRDefault="00304132" w:rsidP="00CD5E09">
            <w:pPr>
              <w:rPr>
                <w:rFonts w:eastAsia="SimSun"/>
                <w:sz w:val="22"/>
              </w:rPr>
            </w:pPr>
          </w:p>
        </w:tc>
        <w:tc>
          <w:tcPr>
            <w:tcW w:w="394" w:type="pct"/>
            <w:vAlign w:val="center"/>
          </w:tcPr>
          <w:p w14:paraId="512D3D38" w14:textId="77777777" w:rsidR="00304132" w:rsidRPr="00470E23" w:rsidRDefault="00304132" w:rsidP="00CD5E09">
            <w:pPr>
              <w:rPr>
                <w:rFonts w:eastAsia="SimSun"/>
                <w:sz w:val="22"/>
              </w:rPr>
            </w:pPr>
          </w:p>
        </w:tc>
      </w:tr>
      <w:tr w:rsidR="00304132" w:rsidRPr="00470E23" w14:paraId="3530C29B" w14:textId="77777777" w:rsidTr="00CD5E09">
        <w:trPr>
          <w:cantSplit/>
          <w:trHeight w:val="606"/>
        </w:trPr>
        <w:tc>
          <w:tcPr>
            <w:tcW w:w="348" w:type="pct"/>
            <w:vMerge/>
            <w:shd w:val="clear" w:color="auto" w:fill="D9D9D9"/>
            <w:vAlign w:val="center"/>
          </w:tcPr>
          <w:p w14:paraId="3DF4EE9A" w14:textId="77777777" w:rsidR="00304132" w:rsidRPr="00470E23" w:rsidRDefault="00304132" w:rsidP="00CD5E09">
            <w:pPr>
              <w:rPr>
                <w:rFonts w:eastAsia="SimSun"/>
                <w:sz w:val="22"/>
              </w:rPr>
            </w:pPr>
          </w:p>
        </w:tc>
        <w:tc>
          <w:tcPr>
            <w:tcW w:w="303" w:type="pct"/>
            <w:vMerge w:val="restart"/>
            <w:shd w:val="clear" w:color="auto" w:fill="D9D9D9"/>
            <w:vAlign w:val="center"/>
          </w:tcPr>
          <w:p w14:paraId="78725791" w14:textId="77777777" w:rsidR="00304132" w:rsidRPr="00470E23" w:rsidRDefault="00304132" w:rsidP="00CD5E09">
            <w:pPr>
              <w:rPr>
                <w:rFonts w:eastAsia="SimSun"/>
                <w:sz w:val="22"/>
              </w:rPr>
            </w:pPr>
            <w:r w:rsidRPr="00470E23">
              <w:rPr>
                <w:rFonts w:eastAsia="SimSun"/>
                <w:sz w:val="22"/>
              </w:rPr>
              <w:t>CSA</w:t>
            </w:r>
          </w:p>
          <w:p w14:paraId="55965CC5" w14:textId="77777777" w:rsidR="00304132" w:rsidRPr="00470E23" w:rsidRDefault="00304132" w:rsidP="00CD5E09">
            <w:pPr>
              <w:rPr>
                <w:rFonts w:eastAsia="SimSun"/>
                <w:sz w:val="22"/>
              </w:rPr>
            </w:pPr>
          </w:p>
        </w:tc>
        <w:tc>
          <w:tcPr>
            <w:tcW w:w="308" w:type="pct"/>
            <w:shd w:val="clear" w:color="auto" w:fill="D9D9D9"/>
            <w:vAlign w:val="center"/>
          </w:tcPr>
          <w:p w14:paraId="0471DE97" w14:textId="77777777" w:rsidR="00304132" w:rsidRPr="00470E23" w:rsidRDefault="00304132" w:rsidP="00CD5E09">
            <w:pPr>
              <w:rPr>
                <w:rFonts w:eastAsia="SimSun"/>
                <w:sz w:val="22"/>
              </w:rPr>
            </w:pPr>
            <w:r w:rsidRPr="00470E23">
              <w:rPr>
                <w:rFonts w:eastAsia="SimSun"/>
                <w:sz w:val="22"/>
              </w:rPr>
              <w:t>-</w:t>
            </w:r>
          </w:p>
        </w:tc>
        <w:tc>
          <w:tcPr>
            <w:tcW w:w="428" w:type="pct"/>
            <w:shd w:val="clear" w:color="auto" w:fill="D9D9D9"/>
            <w:vAlign w:val="center"/>
          </w:tcPr>
          <w:p w14:paraId="1F750559" w14:textId="77777777" w:rsidR="00304132" w:rsidRPr="00470E23" w:rsidRDefault="00304132" w:rsidP="00CD5E09">
            <w:pPr>
              <w:rPr>
                <w:rFonts w:eastAsia="SimSun"/>
                <w:sz w:val="22"/>
              </w:rPr>
            </w:pPr>
            <w:r w:rsidRPr="00470E23">
              <w:rPr>
                <w:rFonts w:eastAsia="SimSun"/>
                <w:sz w:val="22"/>
              </w:rPr>
              <w:t>MMF30</w:t>
            </w:r>
          </w:p>
        </w:tc>
        <w:tc>
          <w:tcPr>
            <w:tcW w:w="412" w:type="pct"/>
            <w:shd w:val="clear" w:color="auto" w:fill="auto"/>
            <w:vAlign w:val="center"/>
          </w:tcPr>
          <w:p w14:paraId="675AED8A" w14:textId="77777777" w:rsidR="00304132" w:rsidRPr="00470E23" w:rsidRDefault="00304132" w:rsidP="00CD5E09">
            <w:pPr>
              <w:rPr>
                <w:rFonts w:eastAsia="SimSun"/>
                <w:sz w:val="22"/>
              </w:rPr>
            </w:pPr>
          </w:p>
        </w:tc>
        <w:tc>
          <w:tcPr>
            <w:tcW w:w="361" w:type="pct"/>
            <w:tcBorders>
              <w:right w:val="single" w:sz="4" w:space="0" w:color="00000A"/>
            </w:tcBorders>
            <w:shd w:val="clear" w:color="auto" w:fill="auto"/>
            <w:vAlign w:val="center"/>
          </w:tcPr>
          <w:p w14:paraId="2657A88B" w14:textId="77777777" w:rsidR="00304132" w:rsidRPr="00470E23" w:rsidRDefault="00304132" w:rsidP="00CD5E09">
            <w:pPr>
              <w:rPr>
                <w:rFonts w:eastAsia="SimSun"/>
                <w:sz w:val="22"/>
              </w:rPr>
            </w:pPr>
          </w:p>
        </w:tc>
        <w:tc>
          <w:tcPr>
            <w:tcW w:w="443" w:type="pct"/>
            <w:tcBorders>
              <w:left w:val="single" w:sz="4" w:space="0" w:color="00000A"/>
            </w:tcBorders>
            <w:shd w:val="clear" w:color="auto" w:fill="auto"/>
            <w:vAlign w:val="center"/>
          </w:tcPr>
          <w:p w14:paraId="0BE99512" w14:textId="77777777" w:rsidR="00304132" w:rsidRPr="00470E23" w:rsidRDefault="00304132" w:rsidP="00CD5E09">
            <w:pPr>
              <w:rPr>
                <w:rFonts w:eastAsia="SimSun"/>
                <w:sz w:val="22"/>
              </w:rPr>
            </w:pPr>
            <w:r w:rsidRPr="00470E23">
              <w:rPr>
                <w:rFonts w:eastAsia="SimSun"/>
                <w:sz w:val="22"/>
              </w:rPr>
              <w:t>5.2.2.3</w:t>
            </w:r>
          </w:p>
        </w:tc>
        <w:tc>
          <w:tcPr>
            <w:tcW w:w="430" w:type="pct"/>
            <w:tcBorders>
              <w:right w:val="single" w:sz="4" w:space="0" w:color="00000A"/>
            </w:tcBorders>
            <w:shd w:val="clear" w:color="auto" w:fill="auto"/>
            <w:vAlign w:val="center"/>
          </w:tcPr>
          <w:p w14:paraId="1B088C56" w14:textId="77777777" w:rsidR="00304132" w:rsidRPr="00470E23" w:rsidRDefault="00304132" w:rsidP="00CD5E09">
            <w:pPr>
              <w:rPr>
                <w:rFonts w:eastAsia="SimSun"/>
                <w:sz w:val="22"/>
              </w:rPr>
            </w:pPr>
            <w:r w:rsidRPr="00470E23">
              <w:rPr>
                <w:rFonts w:eastAsia="SimSun"/>
                <w:sz w:val="22"/>
              </w:rPr>
              <w:t>5.2.2.7/11</w:t>
            </w:r>
          </w:p>
        </w:tc>
        <w:tc>
          <w:tcPr>
            <w:tcW w:w="316" w:type="pct"/>
            <w:tcBorders>
              <w:left w:val="single" w:sz="4" w:space="0" w:color="00000A"/>
            </w:tcBorders>
            <w:shd w:val="clear" w:color="auto" w:fill="auto"/>
            <w:vAlign w:val="center"/>
          </w:tcPr>
          <w:p w14:paraId="31FC8CF2" w14:textId="77777777" w:rsidR="00304132" w:rsidRPr="00470E23" w:rsidRDefault="00304132" w:rsidP="00CD5E09">
            <w:pPr>
              <w:rPr>
                <w:rFonts w:eastAsia="SimSun"/>
                <w:sz w:val="22"/>
              </w:rPr>
            </w:pPr>
          </w:p>
        </w:tc>
        <w:tc>
          <w:tcPr>
            <w:tcW w:w="475" w:type="pct"/>
            <w:shd w:val="clear" w:color="auto" w:fill="auto"/>
            <w:vAlign w:val="center"/>
          </w:tcPr>
          <w:p w14:paraId="40B7E140" w14:textId="77777777" w:rsidR="00304132" w:rsidRPr="00470E23" w:rsidRDefault="00304132" w:rsidP="00CD5E09">
            <w:pPr>
              <w:rPr>
                <w:rFonts w:eastAsia="SimSun"/>
                <w:sz w:val="22"/>
              </w:rPr>
            </w:pPr>
          </w:p>
        </w:tc>
        <w:tc>
          <w:tcPr>
            <w:tcW w:w="382" w:type="pct"/>
            <w:shd w:val="clear" w:color="auto" w:fill="auto"/>
            <w:vAlign w:val="center"/>
          </w:tcPr>
          <w:p w14:paraId="69493D13" w14:textId="77777777" w:rsidR="00304132" w:rsidRPr="00470E23" w:rsidRDefault="00304132" w:rsidP="00CD5E09">
            <w:pPr>
              <w:rPr>
                <w:rFonts w:eastAsia="SimSun"/>
                <w:sz w:val="22"/>
              </w:rPr>
            </w:pPr>
            <w:r w:rsidRPr="00470E23">
              <w:rPr>
                <w:rFonts w:eastAsia="SimSun"/>
                <w:sz w:val="22"/>
              </w:rPr>
              <w:t>5.2.2.18</w:t>
            </w:r>
          </w:p>
        </w:tc>
        <w:tc>
          <w:tcPr>
            <w:tcW w:w="400" w:type="pct"/>
            <w:shd w:val="clear" w:color="auto" w:fill="auto"/>
            <w:vAlign w:val="center"/>
          </w:tcPr>
          <w:p w14:paraId="39B8E02A" w14:textId="77777777" w:rsidR="00304132" w:rsidRPr="00470E23" w:rsidRDefault="00304132" w:rsidP="00CD5E09">
            <w:pPr>
              <w:rPr>
                <w:rFonts w:eastAsia="SimSun"/>
                <w:sz w:val="22"/>
              </w:rPr>
            </w:pPr>
          </w:p>
        </w:tc>
        <w:tc>
          <w:tcPr>
            <w:tcW w:w="394" w:type="pct"/>
            <w:vAlign w:val="center"/>
          </w:tcPr>
          <w:p w14:paraId="047C7212" w14:textId="77777777" w:rsidR="00304132" w:rsidRPr="00470E23" w:rsidRDefault="00304132" w:rsidP="00CD5E09">
            <w:pPr>
              <w:rPr>
                <w:rFonts w:eastAsia="SimSun"/>
                <w:sz w:val="22"/>
              </w:rPr>
            </w:pPr>
          </w:p>
        </w:tc>
      </w:tr>
      <w:tr w:rsidR="00304132" w:rsidRPr="00470E23" w14:paraId="409A8BFB" w14:textId="77777777" w:rsidTr="00CD5E09">
        <w:trPr>
          <w:cantSplit/>
          <w:trHeight w:val="606"/>
        </w:trPr>
        <w:tc>
          <w:tcPr>
            <w:tcW w:w="348" w:type="pct"/>
            <w:vMerge/>
            <w:shd w:val="clear" w:color="auto" w:fill="D9D9D9"/>
            <w:vAlign w:val="center"/>
          </w:tcPr>
          <w:p w14:paraId="2AA67247" w14:textId="77777777" w:rsidR="00304132" w:rsidRPr="00470E23" w:rsidRDefault="00304132" w:rsidP="00CD5E09">
            <w:pPr>
              <w:rPr>
                <w:rFonts w:eastAsia="SimSun"/>
                <w:sz w:val="22"/>
              </w:rPr>
            </w:pPr>
          </w:p>
        </w:tc>
        <w:tc>
          <w:tcPr>
            <w:tcW w:w="303" w:type="pct"/>
            <w:vMerge/>
            <w:shd w:val="clear" w:color="auto" w:fill="D9D9D9"/>
            <w:vAlign w:val="center"/>
          </w:tcPr>
          <w:p w14:paraId="4E7AC996" w14:textId="77777777" w:rsidR="00304132" w:rsidRPr="00470E23" w:rsidRDefault="00304132" w:rsidP="00CD5E09">
            <w:pPr>
              <w:rPr>
                <w:rFonts w:eastAsia="SimSun"/>
                <w:sz w:val="22"/>
              </w:rPr>
            </w:pPr>
          </w:p>
        </w:tc>
        <w:tc>
          <w:tcPr>
            <w:tcW w:w="308" w:type="pct"/>
            <w:shd w:val="clear" w:color="auto" w:fill="D9D9D9"/>
            <w:vAlign w:val="center"/>
          </w:tcPr>
          <w:p w14:paraId="57945762" w14:textId="77777777" w:rsidR="00304132" w:rsidRPr="00470E23" w:rsidRDefault="00304132" w:rsidP="00CD5E09">
            <w:pPr>
              <w:rPr>
                <w:rFonts w:eastAsia="SimSun"/>
                <w:sz w:val="22"/>
              </w:rPr>
            </w:pPr>
            <w:r w:rsidRPr="00470E23">
              <w:rPr>
                <w:rFonts w:eastAsia="SimSun"/>
                <w:sz w:val="22"/>
              </w:rPr>
              <w:t>-</w:t>
            </w:r>
          </w:p>
        </w:tc>
        <w:tc>
          <w:tcPr>
            <w:tcW w:w="428" w:type="pct"/>
            <w:shd w:val="clear" w:color="auto" w:fill="D9D9D9"/>
            <w:vAlign w:val="center"/>
          </w:tcPr>
          <w:p w14:paraId="70E926E9" w14:textId="77777777" w:rsidR="00304132" w:rsidRPr="00470E23" w:rsidRDefault="00304132" w:rsidP="00CD5E09">
            <w:pPr>
              <w:rPr>
                <w:rFonts w:eastAsia="SimSun"/>
                <w:sz w:val="22"/>
              </w:rPr>
            </w:pPr>
            <w:r w:rsidRPr="00470E23">
              <w:rPr>
                <w:rFonts w:eastAsia="SimSun"/>
                <w:sz w:val="22"/>
              </w:rPr>
              <w:t>MMF45</w:t>
            </w:r>
          </w:p>
        </w:tc>
        <w:tc>
          <w:tcPr>
            <w:tcW w:w="412" w:type="pct"/>
            <w:shd w:val="clear" w:color="auto" w:fill="auto"/>
            <w:vAlign w:val="center"/>
          </w:tcPr>
          <w:p w14:paraId="3B86B075" w14:textId="77777777" w:rsidR="00304132" w:rsidRPr="00470E23" w:rsidRDefault="00304132" w:rsidP="00CD5E09">
            <w:pPr>
              <w:rPr>
                <w:rFonts w:eastAsia="SimSun"/>
                <w:sz w:val="22"/>
              </w:rPr>
            </w:pPr>
          </w:p>
        </w:tc>
        <w:tc>
          <w:tcPr>
            <w:tcW w:w="361" w:type="pct"/>
            <w:tcBorders>
              <w:right w:val="single" w:sz="4" w:space="0" w:color="00000A"/>
            </w:tcBorders>
            <w:shd w:val="clear" w:color="auto" w:fill="auto"/>
            <w:vAlign w:val="center"/>
          </w:tcPr>
          <w:p w14:paraId="392C3D10" w14:textId="77777777" w:rsidR="00304132" w:rsidRPr="00470E23" w:rsidRDefault="00304132" w:rsidP="00CD5E09">
            <w:pPr>
              <w:rPr>
                <w:rFonts w:eastAsia="SimSun"/>
                <w:sz w:val="22"/>
              </w:rPr>
            </w:pPr>
          </w:p>
        </w:tc>
        <w:tc>
          <w:tcPr>
            <w:tcW w:w="443" w:type="pct"/>
            <w:tcBorders>
              <w:left w:val="single" w:sz="4" w:space="0" w:color="00000A"/>
            </w:tcBorders>
            <w:shd w:val="clear" w:color="auto" w:fill="auto"/>
            <w:vAlign w:val="center"/>
          </w:tcPr>
          <w:p w14:paraId="712F705E" w14:textId="77777777" w:rsidR="00304132" w:rsidRPr="00470E23" w:rsidRDefault="00304132" w:rsidP="00CD5E09">
            <w:pPr>
              <w:rPr>
                <w:rFonts w:eastAsia="SimSun"/>
                <w:sz w:val="22"/>
              </w:rPr>
            </w:pPr>
            <w:r w:rsidRPr="00470E23">
              <w:rPr>
                <w:rFonts w:eastAsia="SimSun"/>
                <w:sz w:val="22"/>
              </w:rPr>
              <w:t>5.2.2.4</w:t>
            </w:r>
          </w:p>
        </w:tc>
        <w:tc>
          <w:tcPr>
            <w:tcW w:w="430" w:type="pct"/>
            <w:tcBorders>
              <w:right w:val="single" w:sz="4" w:space="0" w:color="00000A"/>
            </w:tcBorders>
            <w:shd w:val="clear" w:color="auto" w:fill="auto"/>
            <w:vAlign w:val="center"/>
          </w:tcPr>
          <w:p w14:paraId="43F6B305" w14:textId="77777777" w:rsidR="00304132" w:rsidRPr="00470E23" w:rsidRDefault="00304132" w:rsidP="00CD5E09">
            <w:pPr>
              <w:rPr>
                <w:rFonts w:eastAsia="SimSun"/>
                <w:sz w:val="22"/>
              </w:rPr>
            </w:pPr>
          </w:p>
        </w:tc>
        <w:tc>
          <w:tcPr>
            <w:tcW w:w="316" w:type="pct"/>
            <w:tcBorders>
              <w:left w:val="single" w:sz="4" w:space="0" w:color="00000A"/>
            </w:tcBorders>
            <w:shd w:val="clear" w:color="auto" w:fill="auto"/>
            <w:vAlign w:val="center"/>
          </w:tcPr>
          <w:p w14:paraId="6A3E9DCE" w14:textId="77777777" w:rsidR="00304132" w:rsidRPr="00470E23" w:rsidRDefault="00304132" w:rsidP="00CD5E09">
            <w:pPr>
              <w:rPr>
                <w:rFonts w:eastAsia="SimSun"/>
                <w:sz w:val="22"/>
              </w:rPr>
            </w:pPr>
          </w:p>
        </w:tc>
        <w:tc>
          <w:tcPr>
            <w:tcW w:w="475" w:type="pct"/>
            <w:shd w:val="clear" w:color="auto" w:fill="auto"/>
            <w:vAlign w:val="center"/>
          </w:tcPr>
          <w:p w14:paraId="7F38E39D" w14:textId="77777777" w:rsidR="00304132" w:rsidRPr="00470E23" w:rsidRDefault="00304132" w:rsidP="00CD5E09">
            <w:pPr>
              <w:rPr>
                <w:rFonts w:eastAsia="SimSun"/>
                <w:sz w:val="22"/>
              </w:rPr>
            </w:pPr>
          </w:p>
        </w:tc>
        <w:tc>
          <w:tcPr>
            <w:tcW w:w="382" w:type="pct"/>
            <w:shd w:val="clear" w:color="auto" w:fill="auto"/>
            <w:vAlign w:val="center"/>
          </w:tcPr>
          <w:p w14:paraId="448100EF" w14:textId="77777777" w:rsidR="00304132" w:rsidRPr="00470E23" w:rsidRDefault="00304132" w:rsidP="00CD5E09">
            <w:pPr>
              <w:rPr>
                <w:rFonts w:eastAsia="SimSun"/>
                <w:sz w:val="22"/>
              </w:rPr>
            </w:pPr>
          </w:p>
        </w:tc>
        <w:tc>
          <w:tcPr>
            <w:tcW w:w="400" w:type="pct"/>
            <w:shd w:val="clear" w:color="auto" w:fill="auto"/>
            <w:vAlign w:val="center"/>
          </w:tcPr>
          <w:p w14:paraId="240DB741" w14:textId="77777777" w:rsidR="00304132" w:rsidRPr="00470E23" w:rsidRDefault="00304132" w:rsidP="00CD5E09">
            <w:pPr>
              <w:rPr>
                <w:rFonts w:eastAsia="SimSun"/>
                <w:sz w:val="22"/>
              </w:rPr>
            </w:pPr>
          </w:p>
        </w:tc>
        <w:tc>
          <w:tcPr>
            <w:tcW w:w="394" w:type="pct"/>
            <w:vAlign w:val="center"/>
          </w:tcPr>
          <w:p w14:paraId="3D3BF7B4" w14:textId="77777777" w:rsidR="00304132" w:rsidRPr="00470E23" w:rsidRDefault="00304132" w:rsidP="00CD5E09">
            <w:pPr>
              <w:rPr>
                <w:rFonts w:eastAsia="SimSun"/>
                <w:sz w:val="22"/>
              </w:rPr>
            </w:pPr>
          </w:p>
        </w:tc>
      </w:tr>
      <w:tr w:rsidR="00304132" w:rsidRPr="00470E23" w14:paraId="74E44DCA" w14:textId="77777777" w:rsidTr="00CD5E09">
        <w:trPr>
          <w:cantSplit/>
          <w:trHeight w:val="606"/>
        </w:trPr>
        <w:tc>
          <w:tcPr>
            <w:tcW w:w="348" w:type="pct"/>
            <w:vMerge/>
            <w:shd w:val="clear" w:color="auto" w:fill="D9D9D9"/>
            <w:vAlign w:val="center"/>
          </w:tcPr>
          <w:p w14:paraId="03F902FD" w14:textId="77777777" w:rsidR="00304132" w:rsidRPr="00470E23" w:rsidRDefault="00304132" w:rsidP="00CD5E09">
            <w:pPr>
              <w:rPr>
                <w:rFonts w:eastAsia="SimSun"/>
                <w:sz w:val="22"/>
              </w:rPr>
            </w:pPr>
          </w:p>
        </w:tc>
        <w:tc>
          <w:tcPr>
            <w:tcW w:w="303" w:type="pct"/>
            <w:shd w:val="clear" w:color="auto" w:fill="D9D9D9"/>
            <w:vAlign w:val="center"/>
          </w:tcPr>
          <w:p w14:paraId="02F45F7B" w14:textId="77777777" w:rsidR="00304132" w:rsidRPr="00470E23" w:rsidRDefault="00304132" w:rsidP="00CD5E09">
            <w:pPr>
              <w:rPr>
                <w:rFonts w:eastAsia="SimSun"/>
                <w:sz w:val="22"/>
              </w:rPr>
            </w:pPr>
            <w:r w:rsidRPr="00470E23">
              <w:rPr>
                <w:rFonts w:eastAsia="SimSun"/>
                <w:sz w:val="22"/>
              </w:rPr>
              <w:t>Tx</w:t>
            </w:r>
          </w:p>
        </w:tc>
        <w:tc>
          <w:tcPr>
            <w:tcW w:w="308" w:type="pct"/>
            <w:shd w:val="clear" w:color="auto" w:fill="D9D9D9"/>
            <w:vAlign w:val="center"/>
          </w:tcPr>
          <w:p w14:paraId="73FFB4AB" w14:textId="77777777" w:rsidR="00304132" w:rsidRPr="00470E23" w:rsidRDefault="00304132" w:rsidP="00CD5E09">
            <w:pPr>
              <w:rPr>
                <w:rFonts w:eastAsia="SimSun"/>
                <w:sz w:val="22"/>
              </w:rPr>
            </w:pPr>
            <w:r w:rsidRPr="00470E23">
              <w:rPr>
                <w:rFonts w:eastAsia="SimSun"/>
                <w:sz w:val="22"/>
              </w:rPr>
              <w:t>-</w:t>
            </w:r>
          </w:p>
        </w:tc>
        <w:tc>
          <w:tcPr>
            <w:tcW w:w="428" w:type="pct"/>
            <w:shd w:val="clear" w:color="auto" w:fill="D9D9D9"/>
            <w:vAlign w:val="center"/>
          </w:tcPr>
          <w:p w14:paraId="33C2ECCD" w14:textId="77777777" w:rsidR="00304132" w:rsidRPr="00470E23" w:rsidRDefault="00304132" w:rsidP="00CD5E09">
            <w:pPr>
              <w:rPr>
                <w:rFonts w:eastAsia="SimSun"/>
                <w:sz w:val="22"/>
              </w:rPr>
            </w:pPr>
            <w:r w:rsidRPr="00470E23">
              <w:rPr>
                <w:rFonts w:eastAsia="SimSun"/>
                <w:sz w:val="22"/>
              </w:rPr>
              <w:t>MMF30</w:t>
            </w:r>
          </w:p>
        </w:tc>
        <w:tc>
          <w:tcPr>
            <w:tcW w:w="412" w:type="pct"/>
            <w:shd w:val="clear" w:color="auto" w:fill="auto"/>
            <w:vAlign w:val="center"/>
          </w:tcPr>
          <w:p w14:paraId="5803356F" w14:textId="77777777" w:rsidR="00304132" w:rsidRPr="00470E23" w:rsidRDefault="00304132" w:rsidP="00CD5E09">
            <w:pPr>
              <w:rPr>
                <w:rFonts w:eastAsia="SimSun"/>
                <w:sz w:val="22"/>
              </w:rPr>
            </w:pPr>
            <w:r w:rsidRPr="00470E23">
              <w:rPr>
                <w:rFonts w:eastAsia="SimSun"/>
                <w:sz w:val="22"/>
              </w:rPr>
              <w:t>5.2.2.15</w:t>
            </w:r>
          </w:p>
        </w:tc>
        <w:tc>
          <w:tcPr>
            <w:tcW w:w="361" w:type="pct"/>
            <w:tcBorders>
              <w:right w:val="single" w:sz="4" w:space="0" w:color="00000A"/>
            </w:tcBorders>
            <w:shd w:val="clear" w:color="auto" w:fill="auto"/>
            <w:vAlign w:val="center"/>
          </w:tcPr>
          <w:p w14:paraId="0E25CFAD" w14:textId="77777777" w:rsidR="00304132" w:rsidRPr="00470E23" w:rsidRDefault="00304132" w:rsidP="00CD5E09">
            <w:pPr>
              <w:rPr>
                <w:rFonts w:eastAsia="SimSun"/>
                <w:sz w:val="22"/>
              </w:rPr>
            </w:pPr>
          </w:p>
        </w:tc>
        <w:tc>
          <w:tcPr>
            <w:tcW w:w="443" w:type="pct"/>
            <w:tcBorders>
              <w:left w:val="single" w:sz="4" w:space="0" w:color="00000A"/>
            </w:tcBorders>
            <w:shd w:val="clear" w:color="auto" w:fill="auto"/>
            <w:vAlign w:val="center"/>
          </w:tcPr>
          <w:p w14:paraId="5B9CC5FC" w14:textId="77777777" w:rsidR="00304132" w:rsidRPr="00470E23" w:rsidRDefault="00304132" w:rsidP="00CD5E09">
            <w:pPr>
              <w:rPr>
                <w:rFonts w:eastAsia="SimSun"/>
                <w:sz w:val="22"/>
              </w:rPr>
            </w:pPr>
          </w:p>
        </w:tc>
        <w:tc>
          <w:tcPr>
            <w:tcW w:w="430" w:type="pct"/>
            <w:tcBorders>
              <w:right w:val="single" w:sz="4" w:space="0" w:color="00000A"/>
            </w:tcBorders>
            <w:shd w:val="clear" w:color="auto" w:fill="auto"/>
            <w:vAlign w:val="center"/>
          </w:tcPr>
          <w:p w14:paraId="28643FD9" w14:textId="77777777" w:rsidR="00304132" w:rsidRPr="00470E23" w:rsidRDefault="00304132" w:rsidP="00CD5E09">
            <w:pPr>
              <w:rPr>
                <w:rFonts w:eastAsia="SimSun"/>
                <w:sz w:val="22"/>
              </w:rPr>
            </w:pPr>
            <w:r w:rsidRPr="00470E23">
              <w:rPr>
                <w:rFonts w:eastAsia="SimSun"/>
                <w:sz w:val="22"/>
              </w:rPr>
              <w:t>5.2.2.9</w:t>
            </w:r>
          </w:p>
        </w:tc>
        <w:tc>
          <w:tcPr>
            <w:tcW w:w="316" w:type="pct"/>
            <w:tcBorders>
              <w:left w:val="single" w:sz="4" w:space="0" w:color="00000A"/>
            </w:tcBorders>
            <w:shd w:val="clear" w:color="auto" w:fill="auto"/>
            <w:vAlign w:val="center"/>
          </w:tcPr>
          <w:p w14:paraId="28F21F81" w14:textId="77777777" w:rsidR="00304132" w:rsidRPr="00470E23" w:rsidRDefault="00304132" w:rsidP="00CD5E09">
            <w:pPr>
              <w:rPr>
                <w:rFonts w:eastAsia="SimSun"/>
                <w:sz w:val="22"/>
              </w:rPr>
            </w:pPr>
          </w:p>
        </w:tc>
        <w:tc>
          <w:tcPr>
            <w:tcW w:w="475" w:type="pct"/>
            <w:shd w:val="clear" w:color="auto" w:fill="auto"/>
            <w:vAlign w:val="center"/>
          </w:tcPr>
          <w:p w14:paraId="6BAF7020" w14:textId="77777777" w:rsidR="00304132" w:rsidRPr="00470E23" w:rsidRDefault="00304132" w:rsidP="00CD5E09">
            <w:pPr>
              <w:rPr>
                <w:rFonts w:eastAsia="SimSun"/>
                <w:sz w:val="22"/>
              </w:rPr>
            </w:pPr>
            <w:r w:rsidRPr="00470E23">
              <w:rPr>
                <w:rFonts w:eastAsia="SimSun"/>
                <w:sz w:val="22"/>
              </w:rPr>
              <w:t>5.2.2.13</w:t>
            </w:r>
          </w:p>
        </w:tc>
        <w:tc>
          <w:tcPr>
            <w:tcW w:w="382" w:type="pct"/>
            <w:shd w:val="clear" w:color="auto" w:fill="auto"/>
            <w:vAlign w:val="center"/>
          </w:tcPr>
          <w:p w14:paraId="446D7AC7" w14:textId="77777777" w:rsidR="00304132" w:rsidRPr="00470E23" w:rsidRDefault="00304132" w:rsidP="00CD5E09">
            <w:pPr>
              <w:rPr>
                <w:rFonts w:eastAsia="SimSun"/>
                <w:sz w:val="22"/>
              </w:rPr>
            </w:pPr>
          </w:p>
        </w:tc>
        <w:tc>
          <w:tcPr>
            <w:tcW w:w="400" w:type="pct"/>
            <w:shd w:val="clear" w:color="auto" w:fill="auto"/>
            <w:vAlign w:val="center"/>
          </w:tcPr>
          <w:p w14:paraId="370C0793" w14:textId="77777777" w:rsidR="00304132" w:rsidRPr="00470E23" w:rsidRDefault="00304132" w:rsidP="00CD5E09">
            <w:pPr>
              <w:rPr>
                <w:rFonts w:eastAsia="SimSun"/>
                <w:sz w:val="22"/>
              </w:rPr>
            </w:pPr>
          </w:p>
        </w:tc>
        <w:tc>
          <w:tcPr>
            <w:tcW w:w="394" w:type="pct"/>
            <w:vAlign w:val="center"/>
          </w:tcPr>
          <w:p w14:paraId="638B5FBA" w14:textId="77777777" w:rsidR="00304132" w:rsidRPr="00470E23" w:rsidRDefault="00304132" w:rsidP="00CD5E09">
            <w:pPr>
              <w:rPr>
                <w:rFonts w:eastAsia="SimSun"/>
                <w:sz w:val="22"/>
              </w:rPr>
            </w:pPr>
            <w:r w:rsidRPr="00470E23">
              <w:rPr>
                <w:rFonts w:eastAsia="SimSun"/>
                <w:sz w:val="22"/>
              </w:rPr>
              <w:t>5.2.2.21</w:t>
            </w:r>
          </w:p>
        </w:tc>
      </w:tr>
      <w:tr w:rsidR="00304132" w:rsidRPr="00470E23" w14:paraId="48DABBEA" w14:textId="77777777" w:rsidTr="00CD5E09">
        <w:trPr>
          <w:cantSplit/>
          <w:trHeight w:val="606"/>
        </w:trPr>
        <w:tc>
          <w:tcPr>
            <w:tcW w:w="348" w:type="pct"/>
            <w:vMerge/>
            <w:shd w:val="clear" w:color="auto" w:fill="D9D9D9"/>
            <w:vAlign w:val="center"/>
          </w:tcPr>
          <w:p w14:paraId="75893BCF" w14:textId="77777777" w:rsidR="00304132" w:rsidRPr="00470E23" w:rsidRDefault="00304132" w:rsidP="00CD5E09">
            <w:pPr>
              <w:rPr>
                <w:rFonts w:eastAsia="SimSun"/>
                <w:sz w:val="22"/>
              </w:rPr>
            </w:pPr>
          </w:p>
        </w:tc>
        <w:tc>
          <w:tcPr>
            <w:tcW w:w="303" w:type="pct"/>
            <w:shd w:val="clear" w:color="auto" w:fill="D9D9D9"/>
            <w:vAlign w:val="center"/>
          </w:tcPr>
          <w:p w14:paraId="2CC8771A" w14:textId="77777777" w:rsidR="00304132" w:rsidRPr="00470E23" w:rsidRDefault="00304132" w:rsidP="00CD5E09">
            <w:pPr>
              <w:rPr>
                <w:rFonts w:eastAsia="SimSun"/>
                <w:sz w:val="22"/>
              </w:rPr>
            </w:pPr>
            <w:r w:rsidRPr="00470E23">
              <w:rPr>
                <w:rFonts w:eastAsia="SimSun"/>
                <w:sz w:val="22"/>
              </w:rPr>
              <w:t>Ruxo</w:t>
            </w:r>
          </w:p>
        </w:tc>
        <w:tc>
          <w:tcPr>
            <w:tcW w:w="308" w:type="pct"/>
            <w:shd w:val="clear" w:color="auto" w:fill="D9D9D9"/>
            <w:vAlign w:val="center"/>
          </w:tcPr>
          <w:p w14:paraId="218DE083" w14:textId="77777777" w:rsidR="00304132" w:rsidRPr="00470E23" w:rsidRDefault="00304132" w:rsidP="00CD5E09">
            <w:pPr>
              <w:rPr>
                <w:rFonts w:eastAsia="SimSun"/>
                <w:sz w:val="22"/>
              </w:rPr>
            </w:pPr>
            <w:r w:rsidRPr="00470E23">
              <w:rPr>
                <w:rFonts w:eastAsia="SimSun"/>
                <w:sz w:val="22"/>
              </w:rPr>
              <w:t>-</w:t>
            </w:r>
          </w:p>
        </w:tc>
        <w:tc>
          <w:tcPr>
            <w:tcW w:w="428" w:type="pct"/>
            <w:shd w:val="clear" w:color="auto" w:fill="D9D9D9"/>
            <w:vAlign w:val="center"/>
          </w:tcPr>
          <w:p w14:paraId="5AEAC0AE" w14:textId="77777777" w:rsidR="00304132" w:rsidRPr="00470E23" w:rsidRDefault="00304132" w:rsidP="00CD5E09">
            <w:pPr>
              <w:rPr>
                <w:rFonts w:eastAsia="SimSun"/>
                <w:sz w:val="22"/>
              </w:rPr>
            </w:pPr>
            <w:r w:rsidRPr="00470E23">
              <w:rPr>
                <w:rFonts w:eastAsia="SimSun"/>
                <w:sz w:val="22"/>
              </w:rPr>
              <w:t>-</w:t>
            </w:r>
          </w:p>
        </w:tc>
        <w:tc>
          <w:tcPr>
            <w:tcW w:w="412" w:type="pct"/>
            <w:shd w:val="clear" w:color="auto" w:fill="auto"/>
            <w:vAlign w:val="center"/>
          </w:tcPr>
          <w:p w14:paraId="7AEEAACD" w14:textId="77777777" w:rsidR="00304132" w:rsidRPr="00470E23" w:rsidRDefault="00304132" w:rsidP="00CD5E09">
            <w:pPr>
              <w:rPr>
                <w:rFonts w:eastAsia="SimSun"/>
                <w:sz w:val="22"/>
              </w:rPr>
            </w:pPr>
          </w:p>
        </w:tc>
        <w:tc>
          <w:tcPr>
            <w:tcW w:w="361" w:type="pct"/>
            <w:tcBorders>
              <w:right w:val="single" w:sz="4" w:space="0" w:color="00000A"/>
            </w:tcBorders>
            <w:shd w:val="clear" w:color="auto" w:fill="auto"/>
            <w:vAlign w:val="center"/>
          </w:tcPr>
          <w:p w14:paraId="311B6147" w14:textId="77777777" w:rsidR="00304132" w:rsidRPr="00470E23" w:rsidRDefault="00304132" w:rsidP="00CD5E09">
            <w:pPr>
              <w:rPr>
                <w:rFonts w:eastAsia="SimSun"/>
                <w:sz w:val="22"/>
              </w:rPr>
            </w:pPr>
          </w:p>
        </w:tc>
        <w:tc>
          <w:tcPr>
            <w:tcW w:w="443" w:type="pct"/>
            <w:tcBorders>
              <w:left w:val="single" w:sz="4" w:space="0" w:color="00000A"/>
            </w:tcBorders>
            <w:shd w:val="clear" w:color="auto" w:fill="auto"/>
            <w:vAlign w:val="center"/>
          </w:tcPr>
          <w:p w14:paraId="026F9C5D" w14:textId="77777777" w:rsidR="00304132" w:rsidRPr="00470E23" w:rsidRDefault="00304132" w:rsidP="00CD5E09">
            <w:pPr>
              <w:rPr>
                <w:rFonts w:eastAsia="SimSun"/>
                <w:sz w:val="22"/>
              </w:rPr>
            </w:pPr>
          </w:p>
        </w:tc>
        <w:tc>
          <w:tcPr>
            <w:tcW w:w="430" w:type="pct"/>
            <w:tcBorders>
              <w:right w:val="single" w:sz="4" w:space="0" w:color="00000A"/>
            </w:tcBorders>
            <w:shd w:val="clear" w:color="auto" w:fill="auto"/>
            <w:vAlign w:val="center"/>
          </w:tcPr>
          <w:p w14:paraId="0ECE5EC6" w14:textId="77777777" w:rsidR="00304132" w:rsidRPr="00470E23" w:rsidRDefault="00304132" w:rsidP="00CD5E09">
            <w:pPr>
              <w:rPr>
                <w:rFonts w:eastAsia="SimSun"/>
                <w:sz w:val="22"/>
              </w:rPr>
            </w:pPr>
          </w:p>
        </w:tc>
        <w:tc>
          <w:tcPr>
            <w:tcW w:w="316" w:type="pct"/>
            <w:tcBorders>
              <w:left w:val="single" w:sz="4" w:space="0" w:color="00000A"/>
            </w:tcBorders>
            <w:shd w:val="clear" w:color="auto" w:fill="auto"/>
            <w:vAlign w:val="center"/>
          </w:tcPr>
          <w:p w14:paraId="1E16943F" w14:textId="77777777" w:rsidR="00304132" w:rsidRPr="00470E23" w:rsidRDefault="00304132" w:rsidP="00CD5E09">
            <w:pPr>
              <w:rPr>
                <w:rFonts w:eastAsia="SimSun"/>
                <w:sz w:val="22"/>
              </w:rPr>
            </w:pPr>
          </w:p>
        </w:tc>
        <w:tc>
          <w:tcPr>
            <w:tcW w:w="475" w:type="pct"/>
            <w:shd w:val="clear" w:color="auto" w:fill="auto"/>
            <w:vAlign w:val="center"/>
          </w:tcPr>
          <w:p w14:paraId="6341F5D9" w14:textId="77777777" w:rsidR="00304132" w:rsidRPr="00470E23" w:rsidRDefault="00304132" w:rsidP="00CD5E09">
            <w:pPr>
              <w:rPr>
                <w:rFonts w:eastAsia="SimSun"/>
                <w:sz w:val="22"/>
              </w:rPr>
            </w:pPr>
            <w:r w:rsidRPr="00470E23">
              <w:rPr>
                <w:rFonts w:eastAsia="SimSun"/>
                <w:sz w:val="22"/>
              </w:rPr>
              <w:t>5.2.2.14</w:t>
            </w:r>
          </w:p>
        </w:tc>
        <w:tc>
          <w:tcPr>
            <w:tcW w:w="382" w:type="pct"/>
            <w:shd w:val="clear" w:color="auto" w:fill="auto"/>
            <w:vAlign w:val="center"/>
          </w:tcPr>
          <w:p w14:paraId="7481722D" w14:textId="77777777" w:rsidR="00304132" w:rsidRPr="00470E23" w:rsidRDefault="00304132" w:rsidP="00CD5E09">
            <w:pPr>
              <w:rPr>
                <w:rFonts w:eastAsia="SimSun"/>
                <w:sz w:val="22"/>
              </w:rPr>
            </w:pPr>
          </w:p>
        </w:tc>
        <w:tc>
          <w:tcPr>
            <w:tcW w:w="400" w:type="pct"/>
            <w:shd w:val="clear" w:color="auto" w:fill="auto"/>
            <w:vAlign w:val="center"/>
          </w:tcPr>
          <w:p w14:paraId="25061B37" w14:textId="77777777" w:rsidR="00304132" w:rsidRPr="00470E23" w:rsidRDefault="00304132" w:rsidP="00CD5E09">
            <w:pPr>
              <w:rPr>
                <w:rFonts w:eastAsia="SimSun"/>
                <w:sz w:val="22"/>
              </w:rPr>
            </w:pPr>
          </w:p>
        </w:tc>
        <w:tc>
          <w:tcPr>
            <w:tcW w:w="394" w:type="pct"/>
            <w:vAlign w:val="center"/>
          </w:tcPr>
          <w:p w14:paraId="764ED1FD" w14:textId="77777777" w:rsidR="00304132" w:rsidRPr="00470E23" w:rsidRDefault="00304132" w:rsidP="00CD5E09">
            <w:pPr>
              <w:rPr>
                <w:rFonts w:eastAsia="SimSun"/>
                <w:sz w:val="22"/>
              </w:rPr>
            </w:pPr>
          </w:p>
        </w:tc>
      </w:tr>
      <w:tr w:rsidR="00304132" w:rsidRPr="00470E23" w14:paraId="66E14291" w14:textId="77777777" w:rsidTr="00CD5E09">
        <w:trPr>
          <w:cantSplit/>
          <w:trHeight w:val="606"/>
        </w:trPr>
        <w:tc>
          <w:tcPr>
            <w:tcW w:w="348" w:type="pct"/>
            <w:shd w:val="clear" w:color="auto" w:fill="D9D9D9"/>
            <w:vAlign w:val="center"/>
          </w:tcPr>
          <w:p w14:paraId="0A67D428" w14:textId="77777777" w:rsidR="00304132" w:rsidRPr="00470E23" w:rsidRDefault="00304132" w:rsidP="00CD5E09">
            <w:pPr>
              <w:rPr>
                <w:rFonts w:eastAsia="SimSun"/>
                <w:sz w:val="22"/>
              </w:rPr>
            </w:pPr>
            <w:r w:rsidRPr="00470E23">
              <w:rPr>
                <w:rFonts w:eastAsia="SimSun"/>
                <w:sz w:val="22"/>
              </w:rPr>
              <w:t>-</w:t>
            </w:r>
          </w:p>
        </w:tc>
        <w:tc>
          <w:tcPr>
            <w:tcW w:w="303" w:type="pct"/>
            <w:shd w:val="clear" w:color="auto" w:fill="D9D9D9"/>
            <w:vAlign w:val="center"/>
          </w:tcPr>
          <w:p w14:paraId="4C42B555" w14:textId="77777777" w:rsidR="00304132" w:rsidRPr="00470E23" w:rsidRDefault="00304132" w:rsidP="00CD5E09">
            <w:pPr>
              <w:rPr>
                <w:rFonts w:eastAsia="SimSun"/>
                <w:sz w:val="22"/>
              </w:rPr>
            </w:pPr>
            <w:r w:rsidRPr="00470E23">
              <w:rPr>
                <w:rFonts w:eastAsia="SimSun"/>
                <w:sz w:val="22"/>
              </w:rPr>
              <w:t>Tx</w:t>
            </w:r>
          </w:p>
        </w:tc>
        <w:tc>
          <w:tcPr>
            <w:tcW w:w="308" w:type="pct"/>
            <w:shd w:val="clear" w:color="auto" w:fill="D9D9D9"/>
            <w:vAlign w:val="center"/>
          </w:tcPr>
          <w:p w14:paraId="36335D90" w14:textId="77777777" w:rsidR="00304132" w:rsidRPr="00470E23" w:rsidRDefault="00304132" w:rsidP="00CD5E09">
            <w:pPr>
              <w:rPr>
                <w:rFonts w:eastAsia="SimSun"/>
                <w:sz w:val="22"/>
              </w:rPr>
            </w:pPr>
            <w:r w:rsidRPr="00470E23">
              <w:rPr>
                <w:rFonts w:eastAsia="SimSun"/>
                <w:sz w:val="22"/>
              </w:rPr>
              <w:t>-</w:t>
            </w:r>
          </w:p>
        </w:tc>
        <w:tc>
          <w:tcPr>
            <w:tcW w:w="428" w:type="pct"/>
            <w:shd w:val="clear" w:color="auto" w:fill="D9D9D9"/>
            <w:vAlign w:val="center"/>
          </w:tcPr>
          <w:p w14:paraId="6B99356D" w14:textId="77777777" w:rsidR="00304132" w:rsidRPr="00470E23" w:rsidRDefault="00304132" w:rsidP="00CD5E09">
            <w:pPr>
              <w:rPr>
                <w:rFonts w:eastAsia="SimSun"/>
                <w:sz w:val="22"/>
              </w:rPr>
            </w:pPr>
            <w:r w:rsidRPr="00470E23">
              <w:rPr>
                <w:rFonts w:eastAsia="SimSun"/>
                <w:sz w:val="22"/>
              </w:rPr>
              <w:t>MMF30</w:t>
            </w:r>
          </w:p>
        </w:tc>
        <w:tc>
          <w:tcPr>
            <w:tcW w:w="412" w:type="pct"/>
            <w:shd w:val="clear" w:color="auto" w:fill="auto"/>
            <w:vAlign w:val="center"/>
          </w:tcPr>
          <w:p w14:paraId="6FA387D0" w14:textId="77777777" w:rsidR="00304132" w:rsidRPr="00470E23" w:rsidRDefault="00304132" w:rsidP="00CD5E09">
            <w:pPr>
              <w:rPr>
                <w:rFonts w:eastAsia="SimSun"/>
                <w:sz w:val="22"/>
              </w:rPr>
            </w:pPr>
          </w:p>
        </w:tc>
        <w:tc>
          <w:tcPr>
            <w:tcW w:w="361" w:type="pct"/>
            <w:tcBorders>
              <w:right w:val="single" w:sz="4" w:space="0" w:color="00000A"/>
            </w:tcBorders>
            <w:shd w:val="clear" w:color="auto" w:fill="auto"/>
            <w:vAlign w:val="center"/>
          </w:tcPr>
          <w:p w14:paraId="6F9E2215" w14:textId="77777777" w:rsidR="00304132" w:rsidRPr="00470E23" w:rsidRDefault="00304132" w:rsidP="00CD5E09">
            <w:pPr>
              <w:rPr>
                <w:rFonts w:eastAsia="SimSun"/>
                <w:sz w:val="22"/>
              </w:rPr>
            </w:pPr>
          </w:p>
        </w:tc>
        <w:tc>
          <w:tcPr>
            <w:tcW w:w="443" w:type="pct"/>
            <w:tcBorders>
              <w:left w:val="single" w:sz="4" w:space="0" w:color="00000A"/>
            </w:tcBorders>
            <w:shd w:val="clear" w:color="auto" w:fill="auto"/>
            <w:vAlign w:val="center"/>
          </w:tcPr>
          <w:p w14:paraId="208E72A5" w14:textId="77777777" w:rsidR="00304132" w:rsidRPr="00470E23" w:rsidRDefault="00304132" w:rsidP="00CD5E09">
            <w:pPr>
              <w:rPr>
                <w:rFonts w:eastAsia="SimSun"/>
                <w:sz w:val="22"/>
              </w:rPr>
            </w:pPr>
          </w:p>
        </w:tc>
        <w:tc>
          <w:tcPr>
            <w:tcW w:w="430" w:type="pct"/>
            <w:tcBorders>
              <w:right w:val="single" w:sz="4" w:space="0" w:color="00000A"/>
            </w:tcBorders>
            <w:shd w:val="clear" w:color="auto" w:fill="auto"/>
            <w:vAlign w:val="center"/>
          </w:tcPr>
          <w:p w14:paraId="13D0F6E4" w14:textId="77777777" w:rsidR="00304132" w:rsidRPr="00470E23" w:rsidRDefault="00304132" w:rsidP="00CD5E09">
            <w:pPr>
              <w:rPr>
                <w:rFonts w:eastAsia="SimSun"/>
                <w:sz w:val="22"/>
              </w:rPr>
            </w:pPr>
            <w:r w:rsidRPr="00470E23">
              <w:rPr>
                <w:rFonts w:eastAsia="SimSun"/>
                <w:sz w:val="22"/>
              </w:rPr>
              <w:t>5.2.2.10</w:t>
            </w:r>
          </w:p>
        </w:tc>
        <w:tc>
          <w:tcPr>
            <w:tcW w:w="316" w:type="pct"/>
            <w:tcBorders>
              <w:left w:val="single" w:sz="4" w:space="0" w:color="00000A"/>
            </w:tcBorders>
            <w:shd w:val="clear" w:color="auto" w:fill="auto"/>
            <w:vAlign w:val="center"/>
          </w:tcPr>
          <w:p w14:paraId="529C3F3A" w14:textId="77777777" w:rsidR="00304132" w:rsidRPr="00470E23" w:rsidRDefault="00304132" w:rsidP="00CD5E09">
            <w:pPr>
              <w:rPr>
                <w:rFonts w:eastAsia="SimSun"/>
                <w:sz w:val="22"/>
              </w:rPr>
            </w:pPr>
          </w:p>
        </w:tc>
        <w:tc>
          <w:tcPr>
            <w:tcW w:w="475" w:type="pct"/>
            <w:shd w:val="clear" w:color="auto" w:fill="auto"/>
            <w:vAlign w:val="center"/>
          </w:tcPr>
          <w:p w14:paraId="4F3268F7" w14:textId="77777777" w:rsidR="00304132" w:rsidRPr="00470E23" w:rsidRDefault="00304132" w:rsidP="00CD5E09">
            <w:pPr>
              <w:rPr>
                <w:rFonts w:eastAsia="SimSun"/>
                <w:sz w:val="22"/>
              </w:rPr>
            </w:pPr>
            <w:r w:rsidRPr="00470E23">
              <w:rPr>
                <w:rFonts w:eastAsia="SimSun"/>
                <w:sz w:val="22"/>
              </w:rPr>
              <w:t>5.2.2</w:t>
            </w:r>
          </w:p>
        </w:tc>
        <w:tc>
          <w:tcPr>
            <w:tcW w:w="382" w:type="pct"/>
            <w:shd w:val="clear" w:color="auto" w:fill="auto"/>
            <w:vAlign w:val="center"/>
          </w:tcPr>
          <w:p w14:paraId="5BF19DDA" w14:textId="77777777" w:rsidR="00304132" w:rsidRPr="00470E23" w:rsidRDefault="00304132" w:rsidP="00CD5E09">
            <w:pPr>
              <w:rPr>
                <w:rFonts w:eastAsia="SimSun"/>
                <w:sz w:val="22"/>
              </w:rPr>
            </w:pPr>
          </w:p>
        </w:tc>
        <w:tc>
          <w:tcPr>
            <w:tcW w:w="400" w:type="pct"/>
            <w:shd w:val="clear" w:color="auto" w:fill="auto"/>
            <w:vAlign w:val="center"/>
          </w:tcPr>
          <w:p w14:paraId="5F419108" w14:textId="77777777" w:rsidR="00304132" w:rsidRPr="00470E23" w:rsidRDefault="00304132" w:rsidP="00CD5E09">
            <w:pPr>
              <w:rPr>
                <w:rFonts w:eastAsia="SimSun"/>
                <w:sz w:val="22"/>
              </w:rPr>
            </w:pPr>
          </w:p>
        </w:tc>
        <w:tc>
          <w:tcPr>
            <w:tcW w:w="394" w:type="pct"/>
            <w:vAlign w:val="center"/>
          </w:tcPr>
          <w:p w14:paraId="7165BBC4" w14:textId="77777777" w:rsidR="00304132" w:rsidRPr="00470E23" w:rsidRDefault="00304132" w:rsidP="00CD5E09">
            <w:pPr>
              <w:rPr>
                <w:rFonts w:eastAsia="SimSun"/>
                <w:sz w:val="22"/>
              </w:rPr>
            </w:pPr>
          </w:p>
        </w:tc>
      </w:tr>
    </w:tbl>
    <w:p w14:paraId="6AC391F6" w14:textId="77777777" w:rsidR="00304132" w:rsidRPr="00C07B2E" w:rsidRDefault="00304132" w:rsidP="00304132">
      <w:pPr>
        <w:rPr>
          <w:rFonts w:eastAsia="SimSun"/>
        </w:rPr>
      </w:pPr>
    </w:p>
    <w:p w14:paraId="6BC369AC" w14:textId="77777777" w:rsidR="00304132" w:rsidRPr="00C07B2E" w:rsidRDefault="00304132" w:rsidP="00304132">
      <w:pPr>
        <w:rPr>
          <w:rFonts w:eastAsia="SimSun"/>
        </w:rPr>
        <w:sectPr w:rsidR="00304132" w:rsidRPr="00C07B2E" w:rsidSect="00CD5E09">
          <w:type w:val="continuous"/>
          <w:pgSz w:w="16839" w:h="11907" w:orient="landscape" w:code="9"/>
          <w:pgMar w:top="1134" w:right="850" w:bottom="1134" w:left="1701" w:header="709" w:footer="567" w:gutter="0"/>
          <w:cols w:space="708"/>
          <w:docGrid w:linePitch="360"/>
        </w:sectPr>
      </w:pPr>
    </w:p>
    <w:p w14:paraId="42B9ED7C" w14:textId="77777777" w:rsidR="00304132" w:rsidRPr="00C07B2E" w:rsidRDefault="00304132" w:rsidP="00304132">
      <w:pPr>
        <w:rPr>
          <w:rFonts w:eastAsia="SimSun"/>
        </w:rPr>
      </w:pPr>
      <w:bookmarkStart w:id="341" w:name="_Toc44401201"/>
      <w:r w:rsidRPr="00042499">
        <w:rPr>
          <w:rFonts w:eastAsia="SimSun"/>
        </w:rPr>
        <w:lastRenderedPageBreak/>
        <w:t>Таблица</w:t>
      </w:r>
      <w:r w:rsidRPr="00C07B2E">
        <w:rPr>
          <w:rFonts w:eastAsia="SimSun"/>
        </w:rPr>
        <w:t xml:space="preserve"> </w:t>
      </w:r>
      <w:r>
        <w:rPr>
          <w:rFonts w:eastAsia="SimSun"/>
        </w:rPr>
        <w:t>5.</w:t>
      </w:r>
      <w:r w:rsidRPr="00C07B2E">
        <w:rPr>
          <w:rFonts w:eastAsia="SimSun"/>
        </w:rPr>
        <w:t>2.2.1  – Flu150+Bu8+Thio / hATG+ CSA+MTX+MMF45</w:t>
      </w:r>
      <w:bookmarkEnd w:id="341"/>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701"/>
        <w:gridCol w:w="1559"/>
        <w:gridCol w:w="1418"/>
        <w:gridCol w:w="1701"/>
        <w:gridCol w:w="2268"/>
      </w:tblGrid>
      <w:tr w:rsidR="00304132" w:rsidRPr="00AC3044" w14:paraId="4CBA77E4" w14:textId="77777777" w:rsidTr="00CD5E09">
        <w:trPr>
          <w:cantSplit/>
          <w:trHeight w:val="20"/>
          <w:tblHeader/>
        </w:trPr>
        <w:tc>
          <w:tcPr>
            <w:tcW w:w="993" w:type="dxa"/>
            <w:vAlign w:val="center"/>
          </w:tcPr>
          <w:p w14:paraId="71D88D94" w14:textId="77777777" w:rsidR="00304132" w:rsidRPr="00470D3D" w:rsidRDefault="00304132" w:rsidP="00CD5E09">
            <w:pPr>
              <w:rPr>
                <w:rFonts w:eastAsia="SimSun"/>
              </w:rPr>
            </w:pPr>
          </w:p>
        </w:tc>
        <w:tc>
          <w:tcPr>
            <w:tcW w:w="1701" w:type="dxa"/>
            <w:vAlign w:val="center"/>
          </w:tcPr>
          <w:p w14:paraId="1BBC574F" w14:textId="77777777" w:rsidR="00304132" w:rsidRPr="00AC3044" w:rsidRDefault="00304132" w:rsidP="00CD5E09">
            <w:pPr>
              <w:rPr>
                <w:rFonts w:eastAsia="SimSun"/>
              </w:rPr>
            </w:pPr>
            <w:r w:rsidRPr="00AC3044">
              <w:rPr>
                <w:rFonts w:eastAsia="SimSun"/>
              </w:rPr>
              <w:t>Препарат</w:t>
            </w:r>
          </w:p>
        </w:tc>
        <w:tc>
          <w:tcPr>
            <w:tcW w:w="1559" w:type="dxa"/>
            <w:vAlign w:val="center"/>
          </w:tcPr>
          <w:p w14:paraId="236E44F2" w14:textId="77777777" w:rsidR="00304132" w:rsidRPr="00AC3044" w:rsidRDefault="00304132" w:rsidP="00CD5E09">
            <w:pPr>
              <w:rPr>
                <w:rFonts w:eastAsia="SimSun"/>
              </w:rPr>
            </w:pPr>
            <w:r w:rsidRPr="00AC3044">
              <w:rPr>
                <w:rFonts w:eastAsia="SimSun"/>
              </w:rPr>
              <w:t>Суточная доза</w:t>
            </w:r>
          </w:p>
        </w:tc>
        <w:tc>
          <w:tcPr>
            <w:tcW w:w="1418" w:type="dxa"/>
            <w:vAlign w:val="center"/>
          </w:tcPr>
          <w:p w14:paraId="5857CA2F" w14:textId="77777777" w:rsidR="00304132" w:rsidRPr="00AC3044" w:rsidRDefault="00304132" w:rsidP="00CD5E09">
            <w:pPr>
              <w:rPr>
                <w:rFonts w:eastAsia="SimSun"/>
              </w:rPr>
            </w:pPr>
            <w:r w:rsidRPr="00AC3044">
              <w:rPr>
                <w:rFonts w:eastAsia="SimSun"/>
              </w:rPr>
              <w:t>Курсовая доза</w:t>
            </w:r>
          </w:p>
        </w:tc>
        <w:tc>
          <w:tcPr>
            <w:tcW w:w="1701" w:type="dxa"/>
            <w:vAlign w:val="center"/>
          </w:tcPr>
          <w:p w14:paraId="3AF457D9" w14:textId="77777777" w:rsidR="00304132" w:rsidRPr="00AC3044" w:rsidRDefault="00304132" w:rsidP="00CD5E09">
            <w:pPr>
              <w:rPr>
                <w:rFonts w:eastAsia="SimSun"/>
              </w:rPr>
            </w:pPr>
            <w:r w:rsidRPr="00AC3044">
              <w:rPr>
                <w:rFonts w:eastAsia="SimSun"/>
              </w:rPr>
              <w:t>Дни введения</w:t>
            </w:r>
          </w:p>
        </w:tc>
        <w:tc>
          <w:tcPr>
            <w:tcW w:w="2268" w:type="dxa"/>
            <w:vAlign w:val="center"/>
          </w:tcPr>
          <w:p w14:paraId="4ADAF374" w14:textId="77777777" w:rsidR="00304132" w:rsidRPr="00AC3044" w:rsidRDefault="00304132" w:rsidP="00CD5E09">
            <w:pPr>
              <w:rPr>
                <w:rFonts w:eastAsia="SimSun"/>
              </w:rPr>
            </w:pPr>
            <w:r w:rsidRPr="00AC3044">
              <w:rPr>
                <w:rFonts w:eastAsia="SimSun"/>
              </w:rPr>
              <w:t>Порядок введения</w:t>
            </w:r>
          </w:p>
        </w:tc>
      </w:tr>
      <w:tr w:rsidR="00304132" w:rsidRPr="00AC3044" w14:paraId="7F18685F" w14:textId="77777777" w:rsidTr="00CD5E09">
        <w:trPr>
          <w:cantSplit/>
          <w:trHeight w:val="20"/>
        </w:trPr>
        <w:tc>
          <w:tcPr>
            <w:tcW w:w="993" w:type="dxa"/>
            <w:vMerge w:val="restart"/>
            <w:textDirection w:val="btLr"/>
            <w:vAlign w:val="center"/>
          </w:tcPr>
          <w:p w14:paraId="28963BFF" w14:textId="77777777" w:rsidR="00304132" w:rsidRPr="00AC3044" w:rsidRDefault="00304132" w:rsidP="00CD5E09">
            <w:pPr>
              <w:rPr>
                <w:rFonts w:eastAsia="SimSun"/>
              </w:rPr>
            </w:pPr>
            <w:r w:rsidRPr="00AC3044">
              <w:rPr>
                <w:rFonts w:eastAsia="SimSun"/>
              </w:rPr>
              <w:t>Кондиционирование</w:t>
            </w:r>
          </w:p>
        </w:tc>
        <w:tc>
          <w:tcPr>
            <w:tcW w:w="1701" w:type="dxa"/>
            <w:vAlign w:val="center"/>
          </w:tcPr>
          <w:p w14:paraId="26887B22" w14:textId="77777777" w:rsidR="00304132" w:rsidRPr="00AC3044" w:rsidRDefault="00304132" w:rsidP="00CD5E09">
            <w:pPr>
              <w:rPr>
                <w:rFonts w:eastAsia="SimSun"/>
              </w:rPr>
            </w:pPr>
            <w:r w:rsidRPr="00AC3044">
              <w:rPr>
                <w:rFonts w:eastAsia="SimSun"/>
              </w:rPr>
              <w:t xml:space="preserve">Флударабин </w:t>
            </w:r>
          </w:p>
        </w:tc>
        <w:tc>
          <w:tcPr>
            <w:tcW w:w="1559" w:type="dxa"/>
            <w:vAlign w:val="center"/>
          </w:tcPr>
          <w:p w14:paraId="5CE8847E" w14:textId="77777777" w:rsidR="00304132" w:rsidRPr="00AC3044" w:rsidRDefault="00304132" w:rsidP="00CD5E09">
            <w:pPr>
              <w:rPr>
                <w:rFonts w:eastAsia="SimSun"/>
              </w:rPr>
            </w:pPr>
            <w:r w:rsidRPr="00AC3044">
              <w:rPr>
                <w:rFonts w:eastAsia="SimSun"/>
              </w:rPr>
              <w:t>50 мг/м</w:t>
            </w:r>
            <w:r w:rsidRPr="00DB259E">
              <w:rPr>
                <w:rFonts w:eastAsia="SimSun"/>
                <w:vertAlign w:val="superscript"/>
              </w:rPr>
              <w:t>2</w:t>
            </w:r>
          </w:p>
        </w:tc>
        <w:tc>
          <w:tcPr>
            <w:tcW w:w="1418" w:type="dxa"/>
            <w:vAlign w:val="center"/>
          </w:tcPr>
          <w:p w14:paraId="5F2FB801" w14:textId="77777777" w:rsidR="00304132" w:rsidRPr="00AC3044" w:rsidRDefault="00304132" w:rsidP="00CD5E09">
            <w:pPr>
              <w:rPr>
                <w:rFonts w:eastAsia="SimSun"/>
              </w:rPr>
            </w:pPr>
            <w:r w:rsidRPr="00AC3044">
              <w:rPr>
                <w:rFonts w:eastAsia="SimSun"/>
              </w:rPr>
              <w:t>150 мг/м</w:t>
            </w:r>
            <w:r w:rsidRPr="00DB259E">
              <w:rPr>
                <w:rFonts w:eastAsia="SimSun"/>
                <w:vertAlign w:val="superscript"/>
              </w:rPr>
              <w:t>2</w:t>
            </w:r>
          </w:p>
        </w:tc>
        <w:tc>
          <w:tcPr>
            <w:tcW w:w="1701" w:type="dxa"/>
            <w:vAlign w:val="center"/>
          </w:tcPr>
          <w:p w14:paraId="44B2DD39" w14:textId="77777777" w:rsidR="00304132" w:rsidRPr="00AC3044" w:rsidRDefault="00304132" w:rsidP="00CD5E09">
            <w:pPr>
              <w:rPr>
                <w:rFonts w:eastAsia="SimSun"/>
              </w:rPr>
            </w:pPr>
            <w:r w:rsidRPr="00AC3044">
              <w:rPr>
                <w:rFonts w:eastAsia="SimSun"/>
              </w:rPr>
              <w:t>С –4 по –2 день</w:t>
            </w:r>
          </w:p>
        </w:tc>
        <w:tc>
          <w:tcPr>
            <w:tcW w:w="2268" w:type="dxa"/>
            <w:vAlign w:val="center"/>
          </w:tcPr>
          <w:p w14:paraId="1CDDABE6" w14:textId="77777777" w:rsidR="00304132" w:rsidRPr="00AC3044" w:rsidRDefault="00304132" w:rsidP="00CD5E09">
            <w:pPr>
              <w:rPr>
                <w:rFonts w:eastAsia="SimSun"/>
              </w:rPr>
            </w:pPr>
            <w:r w:rsidRPr="00AC3044">
              <w:rPr>
                <w:rFonts w:eastAsia="SimSun"/>
              </w:rPr>
              <w:t>В/в, в течение 30 -60 мин</w:t>
            </w:r>
          </w:p>
        </w:tc>
      </w:tr>
      <w:tr w:rsidR="00304132" w:rsidRPr="00AC3044" w14:paraId="19F98CD4" w14:textId="77777777" w:rsidTr="00CD5E09">
        <w:trPr>
          <w:cantSplit/>
          <w:trHeight w:val="20"/>
        </w:trPr>
        <w:tc>
          <w:tcPr>
            <w:tcW w:w="993" w:type="dxa"/>
            <w:vMerge/>
            <w:textDirection w:val="btLr"/>
            <w:vAlign w:val="center"/>
          </w:tcPr>
          <w:p w14:paraId="66691233" w14:textId="77777777" w:rsidR="00304132" w:rsidRPr="00AC3044" w:rsidRDefault="00304132" w:rsidP="00CD5E09">
            <w:pPr>
              <w:rPr>
                <w:rFonts w:eastAsia="SimSun"/>
              </w:rPr>
            </w:pPr>
          </w:p>
        </w:tc>
        <w:tc>
          <w:tcPr>
            <w:tcW w:w="1701" w:type="dxa"/>
            <w:vAlign w:val="center"/>
          </w:tcPr>
          <w:p w14:paraId="67EC1AF2" w14:textId="77777777" w:rsidR="00304132" w:rsidRPr="00AC3044" w:rsidRDefault="00304132" w:rsidP="00CD5E09">
            <w:pPr>
              <w:rPr>
                <w:rFonts w:eastAsia="SimSun"/>
              </w:rPr>
            </w:pPr>
            <w:r w:rsidRPr="00AC3044">
              <w:rPr>
                <w:rFonts w:eastAsia="SimSun"/>
              </w:rPr>
              <w:t>Бусульфан</w:t>
            </w:r>
          </w:p>
        </w:tc>
        <w:tc>
          <w:tcPr>
            <w:tcW w:w="1559" w:type="dxa"/>
            <w:vAlign w:val="center"/>
          </w:tcPr>
          <w:p w14:paraId="67D2AFBF" w14:textId="77777777" w:rsidR="00304132" w:rsidRPr="00AC3044" w:rsidRDefault="00304132" w:rsidP="00CD5E09">
            <w:pPr>
              <w:rPr>
                <w:rFonts w:eastAsia="SimSun"/>
              </w:rPr>
            </w:pPr>
            <w:r w:rsidRPr="00AC3044">
              <w:rPr>
                <w:rFonts w:eastAsia="SimSun"/>
              </w:rPr>
              <w:t>4 мг/кг</w:t>
            </w:r>
          </w:p>
        </w:tc>
        <w:tc>
          <w:tcPr>
            <w:tcW w:w="1418" w:type="dxa"/>
            <w:vAlign w:val="center"/>
          </w:tcPr>
          <w:p w14:paraId="18AD1991" w14:textId="77777777" w:rsidR="00304132" w:rsidRPr="00AC3044" w:rsidRDefault="00304132" w:rsidP="00CD5E09">
            <w:pPr>
              <w:rPr>
                <w:rFonts w:eastAsia="SimSun"/>
              </w:rPr>
            </w:pPr>
            <w:r w:rsidRPr="00AC3044">
              <w:rPr>
                <w:rFonts w:eastAsia="SimSun"/>
              </w:rPr>
              <w:t>8 мг/кг</w:t>
            </w:r>
          </w:p>
        </w:tc>
        <w:tc>
          <w:tcPr>
            <w:tcW w:w="1701" w:type="dxa"/>
            <w:vAlign w:val="center"/>
          </w:tcPr>
          <w:p w14:paraId="43BA87B9" w14:textId="77777777" w:rsidR="00304132" w:rsidRPr="00AC3044" w:rsidRDefault="00304132" w:rsidP="00CD5E09">
            <w:pPr>
              <w:rPr>
                <w:rFonts w:eastAsia="SimSun"/>
              </w:rPr>
            </w:pPr>
            <w:r w:rsidRPr="00AC3044">
              <w:rPr>
                <w:rFonts w:eastAsia="SimSun"/>
              </w:rPr>
              <w:t>–3, –2 дни</w:t>
            </w:r>
          </w:p>
        </w:tc>
        <w:tc>
          <w:tcPr>
            <w:tcW w:w="2268" w:type="dxa"/>
            <w:vAlign w:val="center"/>
          </w:tcPr>
          <w:p w14:paraId="65F598F3" w14:textId="77777777" w:rsidR="00304132" w:rsidRPr="00AC3044" w:rsidRDefault="00304132" w:rsidP="00CD5E09">
            <w:pPr>
              <w:rPr>
                <w:rFonts w:eastAsia="SimSun"/>
              </w:rPr>
            </w:pPr>
            <w:r w:rsidRPr="00AC3044">
              <w:rPr>
                <w:rFonts w:eastAsia="SimSun"/>
              </w:rPr>
              <w:t>Внутрь, суммарная суточная доза разделяется на 4 приема с интервалом 6 часов.</w:t>
            </w:r>
          </w:p>
        </w:tc>
      </w:tr>
      <w:tr w:rsidR="00304132" w:rsidRPr="00AC3044" w14:paraId="385C3FB8" w14:textId="77777777" w:rsidTr="00CD5E09">
        <w:trPr>
          <w:cantSplit/>
          <w:trHeight w:val="20"/>
        </w:trPr>
        <w:tc>
          <w:tcPr>
            <w:tcW w:w="993" w:type="dxa"/>
            <w:vMerge/>
            <w:textDirection w:val="btLr"/>
            <w:vAlign w:val="center"/>
          </w:tcPr>
          <w:p w14:paraId="159C5FBC" w14:textId="77777777" w:rsidR="00304132" w:rsidRPr="00AC3044" w:rsidRDefault="00304132" w:rsidP="00CD5E09">
            <w:pPr>
              <w:rPr>
                <w:rFonts w:eastAsia="SimSun"/>
              </w:rPr>
            </w:pPr>
          </w:p>
        </w:tc>
        <w:tc>
          <w:tcPr>
            <w:tcW w:w="1701" w:type="dxa"/>
            <w:vAlign w:val="center"/>
          </w:tcPr>
          <w:p w14:paraId="2B11640C" w14:textId="77777777" w:rsidR="00304132" w:rsidRPr="00AC3044" w:rsidRDefault="00304132" w:rsidP="00CD5E09">
            <w:pPr>
              <w:rPr>
                <w:rFonts w:eastAsia="SimSun"/>
              </w:rPr>
            </w:pPr>
            <w:r w:rsidRPr="00AC3044">
              <w:rPr>
                <w:rFonts w:eastAsia="SimSun"/>
              </w:rPr>
              <w:t>Тиотепа</w:t>
            </w:r>
          </w:p>
        </w:tc>
        <w:tc>
          <w:tcPr>
            <w:tcW w:w="1559" w:type="dxa"/>
            <w:vAlign w:val="center"/>
          </w:tcPr>
          <w:p w14:paraId="5537F567" w14:textId="77777777" w:rsidR="00304132" w:rsidRPr="00AC3044" w:rsidRDefault="00304132" w:rsidP="00CD5E09">
            <w:pPr>
              <w:rPr>
                <w:rFonts w:eastAsia="SimSun"/>
              </w:rPr>
            </w:pPr>
            <w:r w:rsidRPr="00AC3044">
              <w:rPr>
                <w:rFonts w:eastAsia="SimSun"/>
              </w:rPr>
              <w:t>5 мг/кг</w:t>
            </w:r>
          </w:p>
        </w:tc>
        <w:tc>
          <w:tcPr>
            <w:tcW w:w="1418" w:type="dxa"/>
            <w:vAlign w:val="center"/>
          </w:tcPr>
          <w:p w14:paraId="5ECE5079" w14:textId="77777777" w:rsidR="00304132" w:rsidRPr="00AC3044" w:rsidRDefault="00304132" w:rsidP="00CD5E09">
            <w:pPr>
              <w:rPr>
                <w:rFonts w:eastAsia="SimSun"/>
              </w:rPr>
            </w:pPr>
            <w:r w:rsidRPr="00AC3044">
              <w:rPr>
                <w:rFonts w:eastAsia="SimSun"/>
              </w:rPr>
              <w:t>10 мг/кг</w:t>
            </w:r>
          </w:p>
        </w:tc>
        <w:tc>
          <w:tcPr>
            <w:tcW w:w="1701" w:type="dxa"/>
            <w:vAlign w:val="center"/>
          </w:tcPr>
          <w:p w14:paraId="2BF22CEA" w14:textId="77777777" w:rsidR="00304132" w:rsidRPr="00AC3044" w:rsidRDefault="00304132" w:rsidP="00CD5E09">
            <w:pPr>
              <w:rPr>
                <w:rFonts w:eastAsia="SimSun"/>
              </w:rPr>
            </w:pPr>
            <w:r w:rsidRPr="00AC3044">
              <w:rPr>
                <w:rFonts w:eastAsia="SimSun"/>
              </w:rPr>
              <w:t>–6, –5 дни</w:t>
            </w:r>
          </w:p>
        </w:tc>
        <w:tc>
          <w:tcPr>
            <w:tcW w:w="2268" w:type="dxa"/>
            <w:vAlign w:val="center"/>
          </w:tcPr>
          <w:p w14:paraId="04B1E9A0" w14:textId="77777777" w:rsidR="00304132" w:rsidRPr="00AC3044" w:rsidRDefault="00304132" w:rsidP="00CD5E09">
            <w:pPr>
              <w:rPr>
                <w:rFonts w:eastAsia="SimSun"/>
              </w:rPr>
            </w:pPr>
            <w:r w:rsidRPr="00AC3044">
              <w:rPr>
                <w:rFonts w:eastAsia="SimSun"/>
              </w:rPr>
              <w:t>В/в, в течение 2 часов</w:t>
            </w:r>
          </w:p>
        </w:tc>
      </w:tr>
      <w:tr w:rsidR="00304132" w:rsidRPr="00AC3044" w14:paraId="0A92416C" w14:textId="77777777" w:rsidTr="00CD5E09">
        <w:trPr>
          <w:cantSplit/>
          <w:trHeight w:val="20"/>
        </w:trPr>
        <w:tc>
          <w:tcPr>
            <w:tcW w:w="993" w:type="dxa"/>
            <w:vMerge w:val="restart"/>
            <w:textDirection w:val="btLr"/>
            <w:vAlign w:val="center"/>
          </w:tcPr>
          <w:p w14:paraId="46055035" w14:textId="77777777" w:rsidR="00304132" w:rsidRPr="00AC3044" w:rsidRDefault="00304132" w:rsidP="00CD5E09">
            <w:pPr>
              <w:rPr>
                <w:rFonts w:eastAsia="SimSun"/>
              </w:rPr>
            </w:pPr>
            <w:r w:rsidRPr="00AC3044">
              <w:rPr>
                <w:rFonts w:eastAsia="SimSun"/>
              </w:rPr>
              <w:t>Профилактика РТПХ</w:t>
            </w:r>
          </w:p>
        </w:tc>
        <w:tc>
          <w:tcPr>
            <w:tcW w:w="1701" w:type="dxa"/>
            <w:vAlign w:val="center"/>
          </w:tcPr>
          <w:p w14:paraId="54E2DD57" w14:textId="77777777" w:rsidR="00304132" w:rsidRPr="00AC3044" w:rsidRDefault="00304132" w:rsidP="00CD5E09">
            <w:pPr>
              <w:rPr>
                <w:rFonts w:eastAsia="SimSun"/>
              </w:rPr>
            </w:pPr>
            <w:r w:rsidRPr="00AC3044">
              <w:rPr>
                <w:rFonts w:eastAsia="SimSun"/>
              </w:rPr>
              <w:t>АТГ (лошадиный)</w:t>
            </w:r>
          </w:p>
        </w:tc>
        <w:tc>
          <w:tcPr>
            <w:tcW w:w="1559" w:type="dxa"/>
            <w:vAlign w:val="center"/>
          </w:tcPr>
          <w:p w14:paraId="1E523583" w14:textId="77777777" w:rsidR="00304132" w:rsidRPr="00AC3044" w:rsidRDefault="00304132" w:rsidP="00CD5E09">
            <w:pPr>
              <w:rPr>
                <w:rFonts w:eastAsia="SimSun"/>
              </w:rPr>
            </w:pPr>
            <w:r w:rsidRPr="00AC3044">
              <w:rPr>
                <w:rFonts w:eastAsia="SimSun"/>
              </w:rPr>
              <w:t>10-15 мг/кг</w:t>
            </w:r>
          </w:p>
        </w:tc>
        <w:tc>
          <w:tcPr>
            <w:tcW w:w="1418" w:type="dxa"/>
            <w:vAlign w:val="center"/>
          </w:tcPr>
          <w:p w14:paraId="52DBB370" w14:textId="77777777" w:rsidR="00304132" w:rsidRPr="00AC3044" w:rsidRDefault="00304132" w:rsidP="00CD5E09">
            <w:pPr>
              <w:rPr>
                <w:rFonts w:eastAsia="SimSun"/>
              </w:rPr>
            </w:pPr>
            <w:r w:rsidRPr="00AC3044">
              <w:rPr>
                <w:rFonts w:eastAsia="SimSun"/>
              </w:rPr>
              <w:t>40-60 мг/кг</w:t>
            </w:r>
          </w:p>
        </w:tc>
        <w:tc>
          <w:tcPr>
            <w:tcW w:w="1701" w:type="dxa"/>
            <w:vAlign w:val="center"/>
          </w:tcPr>
          <w:p w14:paraId="517FA927" w14:textId="77777777" w:rsidR="00304132" w:rsidRPr="00AC3044" w:rsidRDefault="00304132" w:rsidP="00CD5E09">
            <w:pPr>
              <w:rPr>
                <w:rFonts w:eastAsia="SimSun"/>
              </w:rPr>
            </w:pPr>
            <w:r w:rsidRPr="00AC3044">
              <w:rPr>
                <w:rFonts w:eastAsia="SimSun"/>
              </w:rPr>
              <w:t>С –4 по –1 день</w:t>
            </w:r>
          </w:p>
        </w:tc>
        <w:tc>
          <w:tcPr>
            <w:tcW w:w="2268" w:type="dxa"/>
            <w:vAlign w:val="center"/>
          </w:tcPr>
          <w:p w14:paraId="2989125D" w14:textId="77777777" w:rsidR="00304132" w:rsidRPr="00AC3044" w:rsidRDefault="00304132" w:rsidP="00CD5E09">
            <w:pPr>
              <w:rPr>
                <w:rFonts w:eastAsia="SimSun"/>
              </w:rPr>
            </w:pPr>
            <w:r w:rsidRPr="00AC3044">
              <w:rPr>
                <w:rFonts w:eastAsia="SimSun"/>
              </w:rPr>
              <w:t>В/в. Суточная доза разделяется</w:t>
            </w:r>
            <w:r w:rsidRPr="00AC3044" w:rsidDel="00130EA4">
              <w:rPr>
                <w:rFonts w:eastAsia="SimSun"/>
              </w:rPr>
              <w:t xml:space="preserve"> </w:t>
            </w:r>
            <w:r w:rsidRPr="00AC3044">
              <w:rPr>
                <w:rFonts w:eastAsia="SimSun"/>
              </w:rPr>
              <w:t>на 2 введения (см.</w:t>
            </w:r>
            <w:r>
              <w:rPr>
                <w:rFonts w:eastAsia="SimSun"/>
              </w:rPr>
              <w:t xml:space="preserve"> </w:t>
            </w:r>
            <w:r w:rsidRPr="00AC3044">
              <w:rPr>
                <w:rFonts w:eastAsia="SimSun"/>
              </w:rPr>
              <w:t>«Инфузия АТГ»)</w:t>
            </w:r>
          </w:p>
        </w:tc>
      </w:tr>
      <w:tr w:rsidR="00304132" w:rsidRPr="00AC3044" w14:paraId="4E4F41A6" w14:textId="77777777" w:rsidTr="00CD5E09">
        <w:trPr>
          <w:cantSplit/>
          <w:trHeight w:val="20"/>
        </w:trPr>
        <w:tc>
          <w:tcPr>
            <w:tcW w:w="993" w:type="dxa"/>
            <w:vMerge/>
            <w:textDirection w:val="btLr"/>
          </w:tcPr>
          <w:p w14:paraId="27E4723A" w14:textId="77777777" w:rsidR="00304132" w:rsidRPr="00AC3044" w:rsidRDefault="00304132" w:rsidP="00CD5E09">
            <w:pPr>
              <w:rPr>
                <w:rFonts w:eastAsia="SimSun"/>
              </w:rPr>
            </w:pPr>
          </w:p>
        </w:tc>
        <w:tc>
          <w:tcPr>
            <w:tcW w:w="1701" w:type="dxa"/>
            <w:vAlign w:val="center"/>
          </w:tcPr>
          <w:p w14:paraId="01FED212" w14:textId="77777777" w:rsidR="00304132" w:rsidRPr="00AC3044" w:rsidRDefault="00304132" w:rsidP="00CD5E09">
            <w:pPr>
              <w:rPr>
                <w:rFonts w:eastAsia="SimSun"/>
              </w:rPr>
            </w:pPr>
            <w:r w:rsidRPr="00AC3044">
              <w:rPr>
                <w:rFonts w:eastAsia="SimSun"/>
              </w:rPr>
              <w:t>Циклоспорин</w:t>
            </w:r>
          </w:p>
        </w:tc>
        <w:tc>
          <w:tcPr>
            <w:tcW w:w="1559" w:type="dxa"/>
            <w:vAlign w:val="center"/>
          </w:tcPr>
          <w:p w14:paraId="27CDBC74" w14:textId="77777777" w:rsidR="00304132" w:rsidRPr="00AC3044" w:rsidRDefault="00304132" w:rsidP="00CD5E09">
            <w:pPr>
              <w:rPr>
                <w:rFonts w:eastAsia="SimSun"/>
              </w:rPr>
            </w:pPr>
            <w:r w:rsidRPr="00AC3044">
              <w:rPr>
                <w:rFonts w:eastAsia="SimSun"/>
              </w:rPr>
              <w:t>3 мг/кг</w:t>
            </w:r>
          </w:p>
        </w:tc>
        <w:tc>
          <w:tcPr>
            <w:tcW w:w="1418" w:type="dxa"/>
            <w:vAlign w:val="center"/>
          </w:tcPr>
          <w:p w14:paraId="1AC385A9" w14:textId="77777777" w:rsidR="00304132" w:rsidRPr="00AC3044" w:rsidRDefault="00304132" w:rsidP="00CD5E09">
            <w:pPr>
              <w:rPr>
                <w:rFonts w:eastAsia="SimSun"/>
              </w:rPr>
            </w:pPr>
            <w:r w:rsidRPr="00AC3044">
              <w:rPr>
                <w:rFonts w:eastAsia="SimSun"/>
              </w:rPr>
              <w:t>–</w:t>
            </w:r>
          </w:p>
        </w:tc>
        <w:tc>
          <w:tcPr>
            <w:tcW w:w="1701" w:type="dxa"/>
            <w:vAlign w:val="center"/>
          </w:tcPr>
          <w:p w14:paraId="59EB74DE" w14:textId="77777777" w:rsidR="00304132" w:rsidRPr="00AC3044" w:rsidRDefault="00304132" w:rsidP="00CD5E09">
            <w:pPr>
              <w:rPr>
                <w:rFonts w:eastAsia="SimSun"/>
              </w:rPr>
            </w:pPr>
            <w:r w:rsidRPr="00AC3044">
              <w:rPr>
                <w:rFonts w:eastAsia="SimSun"/>
              </w:rPr>
              <w:t>С –1 по +90 день, затем постепенное снижение к +180 дню</w:t>
            </w:r>
          </w:p>
        </w:tc>
        <w:tc>
          <w:tcPr>
            <w:tcW w:w="2268" w:type="dxa"/>
            <w:vAlign w:val="center"/>
          </w:tcPr>
          <w:p w14:paraId="38EF45A3" w14:textId="77777777" w:rsidR="00304132" w:rsidRPr="00AC3044" w:rsidRDefault="00304132" w:rsidP="00CD5E09">
            <w:pPr>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 xml:space="preserve">х </w:t>
            </w:r>
            <w:r w:rsidRPr="00AC3044">
              <w:rPr>
                <w:rFonts w:eastAsia="SimSun"/>
              </w:rPr>
              <w:t>10</w:t>
            </w:r>
            <w:r w:rsidRPr="00DB259E">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304132" w:rsidRPr="00AC3044" w14:paraId="5C4FC0B2" w14:textId="77777777" w:rsidTr="00CD5E09">
        <w:trPr>
          <w:cantSplit/>
          <w:trHeight w:val="20"/>
        </w:trPr>
        <w:tc>
          <w:tcPr>
            <w:tcW w:w="993" w:type="dxa"/>
            <w:vMerge/>
          </w:tcPr>
          <w:p w14:paraId="5196696D" w14:textId="77777777" w:rsidR="00304132" w:rsidRPr="00AC3044" w:rsidRDefault="00304132" w:rsidP="00CD5E09">
            <w:pPr>
              <w:rPr>
                <w:rFonts w:eastAsia="SimSun"/>
              </w:rPr>
            </w:pPr>
          </w:p>
        </w:tc>
        <w:tc>
          <w:tcPr>
            <w:tcW w:w="1701" w:type="dxa"/>
            <w:vMerge w:val="restart"/>
            <w:vAlign w:val="center"/>
          </w:tcPr>
          <w:p w14:paraId="12575890" w14:textId="77777777" w:rsidR="00304132" w:rsidRPr="00AC3044" w:rsidRDefault="00304132" w:rsidP="00CD5E09">
            <w:pPr>
              <w:rPr>
                <w:rFonts w:eastAsia="SimSun"/>
              </w:rPr>
            </w:pPr>
            <w:r w:rsidRPr="00AC3044">
              <w:rPr>
                <w:rFonts w:eastAsia="SimSun"/>
              </w:rPr>
              <w:t>Метотрексат</w:t>
            </w:r>
          </w:p>
        </w:tc>
        <w:tc>
          <w:tcPr>
            <w:tcW w:w="1559" w:type="dxa"/>
            <w:vAlign w:val="center"/>
          </w:tcPr>
          <w:p w14:paraId="3BED373F" w14:textId="77777777" w:rsidR="00304132" w:rsidRPr="00AC3044" w:rsidRDefault="00304132" w:rsidP="00CD5E09">
            <w:pPr>
              <w:rPr>
                <w:rFonts w:eastAsia="SimSun"/>
              </w:rPr>
            </w:pPr>
            <w:r w:rsidRPr="00AC3044">
              <w:rPr>
                <w:rFonts w:eastAsia="SimSun"/>
              </w:rPr>
              <w:t>15 мг/м</w:t>
            </w:r>
            <w:r w:rsidRPr="00DB259E">
              <w:rPr>
                <w:rFonts w:eastAsia="SimSun"/>
                <w:vertAlign w:val="superscript"/>
              </w:rPr>
              <w:t>2</w:t>
            </w:r>
          </w:p>
        </w:tc>
        <w:tc>
          <w:tcPr>
            <w:tcW w:w="1418" w:type="dxa"/>
            <w:vAlign w:val="center"/>
          </w:tcPr>
          <w:p w14:paraId="166D48CD" w14:textId="77777777" w:rsidR="00304132" w:rsidRPr="00AC3044" w:rsidRDefault="00304132" w:rsidP="00CD5E09">
            <w:pPr>
              <w:rPr>
                <w:rFonts w:eastAsia="SimSun"/>
              </w:rPr>
            </w:pPr>
            <w:r w:rsidRPr="00AC3044">
              <w:rPr>
                <w:rFonts w:eastAsia="SimSun"/>
              </w:rPr>
              <w:t>–</w:t>
            </w:r>
          </w:p>
        </w:tc>
        <w:tc>
          <w:tcPr>
            <w:tcW w:w="1701" w:type="dxa"/>
            <w:vAlign w:val="center"/>
          </w:tcPr>
          <w:p w14:paraId="798E9CF0" w14:textId="77777777" w:rsidR="00304132" w:rsidRPr="00AC3044" w:rsidRDefault="00304132" w:rsidP="00CD5E09">
            <w:pPr>
              <w:rPr>
                <w:rFonts w:eastAsia="SimSun"/>
              </w:rPr>
            </w:pPr>
            <w:r w:rsidRPr="00AC3044">
              <w:rPr>
                <w:rFonts w:eastAsia="SimSun"/>
              </w:rPr>
              <w:t>+1 день</w:t>
            </w:r>
          </w:p>
        </w:tc>
        <w:tc>
          <w:tcPr>
            <w:tcW w:w="2268" w:type="dxa"/>
            <w:vAlign w:val="center"/>
          </w:tcPr>
          <w:p w14:paraId="6F27936D" w14:textId="77777777" w:rsidR="00304132" w:rsidRPr="00AC3044" w:rsidRDefault="00304132" w:rsidP="00CD5E09">
            <w:pPr>
              <w:rPr>
                <w:rFonts w:eastAsia="SimSun"/>
              </w:rPr>
            </w:pPr>
            <w:r w:rsidRPr="00AC3044">
              <w:rPr>
                <w:rFonts w:eastAsia="SimSun"/>
              </w:rPr>
              <w:t>В/в, в 20 мл физ. р-ра</w:t>
            </w:r>
          </w:p>
        </w:tc>
      </w:tr>
      <w:tr w:rsidR="00304132" w:rsidRPr="00AC3044" w14:paraId="0E0FCC52" w14:textId="77777777" w:rsidTr="00CD5E09">
        <w:trPr>
          <w:cantSplit/>
          <w:trHeight w:val="464"/>
        </w:trPr>
        <w:tc>
          <w:tcPr>
            <w:tcW w:w="993" w:type="dxa"/>
            <w:vMerge/>
          </w:tcPr>
          <w:p w14:paraId="7AA04F7E" w14:textId="77777777" w:rsidR="00304132" w:rsidRPr="00AC3044" w:rsidRDefault="00304132" w:rsidP="00CD5E09">
            <w:pPr>
              <w:rPr>
                <w:rFonts w:eastAsia="SimSun"/>
              </w:rPr>
            </w:pPr>
          </w:p>
        </w:tc>
        <w:tc>
          <w:tcPr>
            <w:tcW w:w="1701" w:type="dxa"/>
            <w:vMerge/>
            <w:vAlign w:val="center"/>
          </w:tcPr>
          <w:p w14:paraId="73168503" w14:textId="77777777" w:rsidR="00304132" w:rsidRPr="00AC3044" w:rsidRDefault="00304132" w:rsidP="00CD5E09">
            <w:pPr>
              <w:rPr>
                <w:rFonts w:eastAsia="SimSun"/>
              </w:rPr>
            </w:pPr>
          </w:p>
        </w:tc>
        <w:tc>
          <w:tcPr>
            <w:tcW w:w="1559" w:type="dxa"/>
            <w:vAlign w:val="center"/>
          </w:tcPr>
          <w:p w14:paraId="41F9C830" w14:textId="77777777" w:rsidR="00304132" w:rsidRPr="00AC3044" w:rsidRDefault="00304132" w:rsidP="00CD5E09">
            <w:pPr>
              <w:rPr>
                <w:rFonts w:eastAsia="SimSun"/>
              </w:rPr>
            </w:pPr>
            <w:r w:rsidRPr="00AC3044">
              <w:rPr>
                <w:rFonts w:eastAsia="SimSun"/>
              </w:rPr>
              <w:t>10 мг/м</w:t>
            </w:r>
            <w:r w:rsidRPr="00DB259E">
              <w:rPr>
                <w:rFonts w:eastAsia="SimSun"/>
                <w:vertAlign w:val="superscript"/>
              </w:rPr>
              <w:t>2</w:t>
            </w:r>
          </w:p>
        </w:tc>
        <w:tc>
          <w:tcPr>
            <w:tcW w:w="1418" w:type="dxa"/>
            <w:vAlign w:val="center"/>
          </w:tcPr>
          <w:p w14:paraId="2681BC45" w14:textId="77777777" w:rsidR="00304132" w:rsidRPr="00AC3044" w:rsidRDefault="00304132" w:rsidP="00CD5E09">
            <w:pPr>
              <w:rPr>
                <w:rFonts w:eastAsia="SimSun"/>
              </w:rPr>
            </w:pPr>
            <w:r w:rsidRPr="00AC3044">
              <w:rPr>
                <w:rFonts w:eastAsia="SimSun"/>
              </w:rPr>
              <w:t>–</w:t>
            </w:r>
          </w:p>
        </w:tc>
        <w:tc>
          <w:tcPr>
            <w:tcW w:w="1701" w:type="dxa"/>
            <w:vAlign w:val="center"/>
          </w:tcPr>
          <w:p w14:paraId="5A206CF2" w14:textId="77777777" w:rsidR="00304132" w:rsidRPr="00AC3044" w:rsidRDefault="00304132" w:rsidP="00CD5E09">
            <w:pPr>
              <w:rPr>
                <w:rFonts w:eastAsia="SimSun"/>
              </w:rPr>
            </w:pPr>
            <w:r w:rsidRPr="00AC3044">
              <w:rPr>
                <w:rFonts w:eastAsia="SimSun"/>
              </w:rPr>
              <w:t>+3, +6, +11 дни</w:t>
            </w:r>
          </w:p>
        </w:tc>
        <w:tc>
          <w:tcPr>
            <w:tcW w:w="2268" w:type="dxa"/>
            <w:vAlign w:val="center"/>
          </w:tcPr>
          <w:p w14:paraId="29005D80" w14:textId="77777777" w:rsidR="00304132" w:rsidRPr="00AC3044" w:rsidRDefault="00304132" w:rsidP="00CD5E09">
            <w:pPr>
              <w:rPr>
                <w:rFonts w:eastAsia="SimSun"/>
              </w:rPr>
            </w:pPr>
            <w:r w:rsidRPr="00AC3044">
              <w:rPr>
                <w:rFonts w:eastAsia="SimSun"/>
              </w:rPr>
              <w:t>В/в, в 20 мл физ. р-ра</w:t>
            </w:r>
          </w:p>
        </w:tc>
      </w:tr>
      <w:tr w:rsidR="00304132" w:rsidRPr="00AC3044" w14:paraId="583BF0D8" w14:textId="77777777" w:rsidTr="00CD5E09">
        <w:trPr>
          <w:cantSplit/>
          <w:trHeight w:val="464"/>
        </w:trPr>
        <w:tc>
          <w:tcPr>
            <w:tcW w:w="993" w:type="dxa"/>
            <w:vMerge/>
          </w:tcPr>
          <w:p w14:paraId="0F1E30F2" w14:textId="77777777" w:rsidR="00304132" w:rsidRPr="00AC3044" w:rsidRDefault="00304132" w:rsidP="00CD5E09">
            <w:pPr>
              <w:rPr>
                <w:rFonts w:eastAsia="SimSun"/>
              </w:rPr>
            </w:pPr>
          </w:p>
        </w:tc>
        <w:tc>
          <w:tcPr>
            <w:tcW w:w="1701" w:type="dxa"/>
            <w:vAlign w:val="center"/>
          </w:tcPr>
          <w:p w14:paraId="14486E83" w14:textId="77777777" w:rsidR="00304132" w:rsidRPr="00AC3044" w:rsidRDefault="00304132" w:rsidP="00CD5E09">
            <w:pPr>
              <w:rPr>
                <w:rFonts w:eastAsia="SimSun"/>
              </w:rPr>
            </w:pPr>
            <w:r w:rsidRPr="00AC3044">
              <w:rPr>
                <w:rFonts w:eastAsia="SimSun"/>
              </w:rPr>
              <w:t>Микофенолата мофетил</w:t>
            </w:r>
          </w:p>
        </w:tc>
        <w:tc>
          <w:tcPr>
            <w:tcW w:w="1559" w:type="dxa"/>
            <w:vAlign w:val="center"/>
          </w:tcPr>
          <w:p w14:paraId="39C44CB7" w14:textId="77777777" w:rsidR="00304132" w:rsidRPr="00AC3044" w:rsidRDefault="00304132" w:rsidP="00CD5E09">
            <w:pPr>
              <w:rPr>
                <w:rFonts w:eastAsia="SimSun"/>
              </w:rPr>
            </w:pPr>
            <w:r w:rsidRPr="00AC3044">
              <w:rPr>
                <w:rFonts w:eastAsia="SimSun"/>
              </w:rPr>
              <w:t>45 мг/кг</w:t>
            </w:r>
          </w:p>
        </w:tc>
        <w:tc>
          <w:tcPr>
            <w:tcW w:w="1418" w:type="dxa"/>
            <w:vAlign w:val="center"/>
          </w:tcPr>
          <w:p w14:paraId="3ABFDA01" w14:textId="77777777" w:rsidR="00304132" w:rsidRPr="00AC3044" w:rsidRDefault="00304132" w:rsidP="00CD5E09">
            <w:pPr>
              <w:rPr>
                <w:rFonts w:eastAsia="SimSun"/>
              </w:rPr>
            </w:pPr>
            <w:r w:rsidRPr="00AC3044">
              <w:rPr>
                <w:rFonts w:eastAsia="SimSun"/>
              </w:rPr>
              <w:t>–</w:t>
            </w:r>
          </w:p>
        </w:tc>
        <w:tc>
          <w:tcPr>
            <w:tcW w:w="1701" w:type="dxa"/>
            <w:vAlign w:val="center"/>
          </w:tcPr>
          <w:p w14:paraId="6D1B23D0" w14:textId="77777777" w:rsidR="00304132" w:rsidRPr="00AC3044" w:rsidRDefault="00304132" w:rsidP="00CD5E09">
            <w:pPr>
              <w:rPr>
                <w:rFonts w:eastAsia="SimSun"/>
              </w:rPr>
            </w:pPr>
            <w:r w:rsidRPr="00AC3044">
              <w:rPr>
                <w:rFonts w:eastAsia="SimSun"/>
              </w:rPr>
              <w:t>С +1 по +90 день</w:t>
            </w:r>
          </w:p>
        </w:tc>
        <w:tc>
          <w:tcPr>
            <w:tcW w:w="2268" w:type="dxa"/>
            <w:vAlign w:val="center"/>
          </w:tcPr>
          <w:p w14:paraId="4539DF65" w14:textId="77777777" w:rsidR="00304132" w:rsidRPr="00AC3044" w:rsidRDefault="00304132" w:rsidP="00CD5E09">
            <w:pPr>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 xml:space="preserve">г/сут).  </w:t>
            </w:r>
          </w:p>
        </w:tc>
      </w:tr>
    </w:tbl>
    <w:p w14:paraId="0E936F6E" w14:textId="77777777" w:rsidR="00304132" w:rsidRDefault="00304132" w:rsidP="00304132">
      <w:pPr>
        <w:rPr>
          <w:rFonts w:eastAsia="SimSun"/>
        </w:rPr>
      </w:pPr>
      <w:bookmarkStart w:id="342" w:name="_Toc44401202"/>
    </w:p>
    <w:p w14:paraId="49268416" w14:textId="77777777" w:rsidR="00304132" w:rsidRPr="00C07B2E" w:rsidRDefault="00304132" w:rsidP="00304132">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2.2.2  – Flu150+Bu8+Thio / rATG+ CSA+MTX+MMF45</w:t>
      </w:r>
      <w:bookmarkEnd w:id="342"/>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701"/>
        <w:gridCol w:w="1559"/>
        <w:gridCol w:w="1418"/>
        <w:gridCol w:w="1701"/>
        <w:gridCol w:w="2268"/>
      </w:tblGrid>
      <w:tr w:rsidR="00304132" w:rsidRPr="00AC3044" w14:paraId="57B24CE7" w14:textId="77777777" w:rsidTr="00CD5E09">
        <w:trPr>
          <w:cantSplit/>
          <w:trHeight w:val="20"/>
          <w:tblHeader/>
        </w:trPr>
        <w:tc>
          <w:tcPr>
            <w:tcW w:w="993" w:type="dxa"/>
          </w:tcPr>
          <w:p w14:paraId="65A61183" w14:textId="77777777" w:rsidR="00304132" w:rsidRPr="00470D3D" w:rsidRDefault="00304132" w:rsidP="00CD5E09">
            <w:pPr>
              <w:rPr>
                <w:rFonts w:eastAsia="SimSun"/>
              </w:rPr>
            </w:pPr>
          </w:p>
        </w:tc>
        <w:tc>
          <w:tcPr>
            <w:tcW w:w="1701" w:type="dxa"/>
            <w:vAlign w:val="center"/>
          </w:tcPr>
          <w:p w14:paraId="2EFAC068" w14:textId="77777777" w:rsidR="00304132" w:rsidRPr="00AC3044" w:rsidRDefault="00304132" w:rsidP="00CD5E09">
            <w:pPr>
              <w:rPr>
                <w:rFonts w:eastAsia="SimSun"/>
              </w:rPr>
            </w:pPr>
            <w:r w:rsidRPr="00AC3044">
              <w:rPr>
                <w:rFonts w:eastAsia="SimSun"/>
              </w:rPr>
              <w:t>Препарат</w:t>
            </w:r>
          </w:p>
        </w:tc>
        <w:tc>
          <w:tcPr>
            <w:tcW w:w="1559" w:type="dxa"/>
            <w:vAlign w:val="center"/>
          </w:tcPr>
          <w:p w14:paraId="64B42C3F" w14:textId="77777777" w:rsidR="00304132" w:rsidRPr="00AC3044" w:rsidRDefault="00304132" w:rsidP="00CD5E09">
            <w:pPr>
              <w:rPr>
                <w:rFonts w:eastAsia="SimSun"/>
              </w:rPr>
            </w:pPr>
            <w:r w:rsidRPr="00AC3044">
              <w:rPr>
                <w:rFonts w:eastAsia="SimSun"/>
              </w:rPr>
              <w:t>Суточная доза</w:t>
            </w:r>
          </w:p>
        </w:tc>
        <w:tc>
          <w:tcPr>
            <w:tcW w:w="1418" w:type="dxa"/>
            <w:vAlign w:val="center"/>
          </w:tcPr>
          <w:p w14:paraId="6F125E40" w14:textId="77777777" w:rsidR="00304132" w:rsidRPr="00AC3044" w:rsidRDefault="00304132" w:rsidP="00CD5E09">
            <w:pPr>
              <w:rPr>
                <w:rFonts w:eastAsia="SimSun"/>
              </w:rPr>
            </w:pPr>
            <w:r w:rsidRPr="00AC3044">
              <w:rPr>
                <w:rFonts w:eastAsia="SimSun"/>
              </w:rPr>
              <w:t>Курсовая доза</w:t>
            </w:r>
          </w:p>
        </w:tc>
        <w:tc>
          <w:tcPr>
            <w:tcW w:w="1701" w:type="dxa"/>
            <w:vAlign w:val="center"/>
          </w:tcPr>
          <w:p w14:paraId="2EB6B6A3" w14:textId="77777777" w:rsidR="00304132" w:rsidRPr="00AC3044" w:rsidRDefault="00304132" w:rsidP="00CD5E09">
            <w:pPr>
              <w:rPr>
                <w:rFonts w:eastAsia="SimSun"/>
              </w:rPr>
            </w:pPr>
            <w:r w:rsidRPr="00AC3044">
              <w:rPr>
                <w:rFonts w:eastAsia="SimSun"/>
              </w:rPr>
              <w:t>Дни введения</w:t>
            </w:r>
          </w:p>
        </w:tc>
        <w:tc>
          <w:tcPr>
            <w:tcW w:w="2268" w:type="dxa"/>
            <w:vAlign w:val="center"/>
          </w:tcPr>
          <w:p w14:paraId="32894895" w14:textId="77777777" w:rsidR="00304132" w:rsidRPr="00AC3044" w:rsidRDefault="00304132" w:rsidP="00CD5E09">
            <w:pPr>
              <w:rPr>
                <w:rFonts w:eastAsia="SimSun"/>
              </w:rPr>
            </w:pPr>
            <w:r w:rsidRPr="00AC3044">
              <w:rPr>
                <w:rFonts w:eastAsia="SimSun"/>
              </w:rPr>
              <w:t>Порядок введения</w:t>
            </w:r>
          </w:p>
        </w:tc>
      </w:tr>
      <w:tr w:rsidR="00304132" w:rsidRPr="00AC3044" w14:paraId="4DB0070E" w14:textId="77777777" w:rsidTr="00CD5E09">
        <w:trPr>
          <w:cantSplit/>
          <w:trHeight w:val="20"/>
        </w:trPr>
        <w:tc>
          <w:tcPr>
            <w:tcW w:w="993" w:type="dxa"/>
            <w:vMerge w:val="restart"/>
            <w:textDirection w:val="btLr"/>
            <w:vAlign w:val="center"/>
          </w:tcPr>
          <w:p w14:paraId="6E3D0C69" w14:textId="77777777" w:rsidR="00304132" w:rsidRPr="00AC3044" w:rsidRDefault="00304132" w:rsidP="00CD5E09">
            <w:pPr>
              <w:rPr>
                <w:rFonts w:eastAsia="SimSun"/>
              </w:rPr>
            </w:pPr>
            <w:r w:rsidRPr="00AC3044">
              <w:rPr>
                <w:rFonts w:eastAsia="SimSun"/>
              </w:rPr>
              <w:t>Кондиционирование</w:t>
            </w:r>
          </w:p>
        </w:tc>
        <w:tc>
          <w:tcPr>
            <w:tcW w:w="1701" w:type="dxa"/>
            <w:vAlign w:val="center"/>
          </w:tcPr>
          <w:p w14:paraId="371217D3" w14:textId="77777777" w:rsidR="00304132" w:rsidRPr="00AC3044" w:rsidRDefault="00304132" w:rsidP="00CD5E09">
            <w:pPr>
              <w:rPr>
                <w:rFonts w:eastAsia="SimSun"/>
              </w:rPr>
            </w:pPr>
            <w:r w:rsidRPr="00AC3044">
              <w:rPr>
                <w:rFonts w:eastAsia="SimSun"/>
              </w:rPr>
              <w:t xml:space="preserve">Флударабин </w:t>
            </w:r>
          </w:p>
        </w:tc>
        <w:tc>
          <w:tcPr>
            <w:tcW w:w="1559" w:type="dxa"/>
            <w:vAlign w:val="center"/>
          </w:tcPr>
          <w:p w14:paraId="4C28C0E9" w14:textId="77777777" w:rsidR="00304132" w:rsidRPr="00AC3044" w:rsidRDefault="00304132" w:rsidP="00CD5E09">
            <w:pPr>
              <w:rPr>
                <w:rFonts w:eastAsia="SimSun"/>
              </w:rPr>
            </w:pPr>
            <w:r w:rsidRPr="00AC3044">
              <w:rPr>
                <w:rFonts w:eastAsia="SimSun"/>
              </w:rPr>
              <w:t>50 мг/м</w:t>
            </w:r>
            <w:r w:rsidRPr="00DB259E">
              <w:rPr>
                <w:rFonts w:eastAsia="SimSun"/>
                <w:vertAlign w:val="superscript"/>
              </w:rPr>
              <w:t>2</w:t>
            </w:r>
          </w:p>
        </w:tc>
        <w:tc>
          <w:tcPr>
            <w:tcW w:w="1418" w:type="dxa"/>
            <w:vAlign w:val="center"/>
          </w:tcPr>
          <w:p w14:paraId="527D7A84" w14:textId="77777777" w:rsidR="00304132" w:rsidRPr="00AC3044" w:rsidRDefault="00304132" w:rsidP="00CD5E09">
            <w:pPr>
              <w:rPr>
                <w:rFonts w:eastAsia="SimSun"/>
              </w:rPr>
            </w:pPr>
            <w:r w:rsidRPr="00AC3044">
              <w:rPr>
                <w:rFonts w:eastAsia="SimSun"/>
              </w:rPr>
              <w:t>150 мг/м</w:t>
            </w:r>
            <w:r w:rsidRPr="00DB259E">
              <w:rPr>
                <w:rFonts w:eastAsia="SimSun"/>
                <w:vertAlign w:val="superscript"/>
              </w:rPr>
              <w:t>2</w:t>
            </w:r>
          </w:p>
        </w:tc>
        <w:tc>
          <w:tcPr>
            <w:tcW w:w="1701" w:type="dxa"/>
            <w:vAlign w:val="center"/>
          </w:tcPr>
          <w:p w14:paraId="32D20BEC" w14:textId="77777777" w:rsidR="00304132" w:rsidRPr="00AC3044" w:rsidRDefault="00304132" w:rsidP="00CD5E09">
            <w:pPr>
              <w:rPr>
                <w:rFonts w:eastAsia="SimSun"/>
              </w:rPr>
            </w:pPr>
            <w:r w:rsidRPr="00AC3044">
              <w:rPr>
                <w:rFonts w:eastAsia="SimSun"/>
              </w:rPr>
              <w:t>С –4 по –2 день</w:t>
            </w:r>
          </w:p>
        </w:tc>
        <w:tc>
          <w:tcPr>
            <w:tcW w:w="2268" w:type="dxa"/>
            <w:vAlign w:val="center"/>
          </w:tcPr>
          <w:p w14:paraId="3F201AC6" w14:textId="77777777" w:rsidR="00304132" w:rsidRPr="00AC3044" w:rsidRDefault="00304132" w:rsidP="00CD5E09">
            <w:pPr>
              <w:rPr>
                <w:rFonts w:eastAsia="SimSun"/>
              </w:rPr>
            </w:pPr>
            <w:r w:rsidRPr="00AC3044">
              <w:rPr>
                <w:rFonts w:eastAsia="SimSun"/>
              </w:rPr>
              <w:t>В/в, в течение 30 -60 мин</w:t>
            </w:r>
          </w:p>
        </w:tc>
      </w:tr>
      <w:tr w:rsidR="00304132" w:rsidRPr="00AC3044" w14:paraId="4D76CF1E" w14:textId="77777777" w:rsidTr="00CD5E09">
        <w:trPr>
          <w:cantSplit/>
          <w:trHeight w:val="20"/>
        </w:trPr>
        <w:tc>
          <w:tcPr>
            <w:tcW w:w="993" w:type="dxa"/>
            <w:vMerge/>
            <w:textDirection w:val="btLr"/>
            <w:vAlign w:val="center"/>
          </w:tcPr>
          <w:p w14:paraId="750B77DA" w14:textId="77777777" w:rsidR="00304132" w:rsidRPr="00AC3044" w:rsidRDefault="00304132" w:rsidP="00CD5E09">
            <w:pPr>
              <w:rPr>
                <w:rFonts w:eastAsia="SimSun"/>
              </w:rPr>
            </w:pPr>
          </w:p>
        </w:tc>
        <w:tc>
          <w:tcPr>
            <w:tcW w:w="1701" w:type="dxa"/>
            <w:vAlign w:val="center"/>
          </w:tcPr>
          <w:p w14:paraId="5401E93E" w14:textId="77777777" w:rsidR="00304132" w:rsidRPr="00AC3044" w:rsidRDefault="00304132" w:rsidP="00CD5E09">
            <w:pPr>
              <w:rPr>
                <w:rFonts w:eastAsia="SimSun"/>
              </w:rPr>
            </w:pPr>
            <w:r w:rsidRPr="00AC3044">
              <w:rPr>
                <w:rFonts w:eastAsia="SimSun"/>
              </w:rPr>
              <w:t>Бусульфан</w:t>
            </w:r>
          </w:p>
        </w:tc>
        <w:tc>
          <w:tcPr>
            <w:tcW w:w="1559" w:type="dxa"/>
            <w:vAlign w:val="center"/>
          </w:tcPr>
          <w:p w14:paraId="685DE3E3" w14:textId="77777777" w:rsidR="00304132" w:rsidRPr="00AC3044" w:rsidRDefault="00304132" w:rsidP="00CD5E09">
            <w:pPr>
              <w:rPr>
                <w:rFonts w:eastAsia="SimSun"/>
              </w:rPr>
            </w:pPr>
            <w:r w:rsidRPr="00AC3044">
              <w:rPr>
                <w:rFonts w:eastAsia="SimSun"/>
              </w:rPr>
              <w:t>4 мг/кг</w:t>
            </w:r>
          </w:p>
        </w:tc>
        <w:tc>
          <w:tcPr>
            <w:tcW w:w="1418" w:type="dxa"/>
            <w:vAlign w:val="center"/>
          </w:tcPr>
          <w:p w14:paraId="74FC58AC" w14:textId="77777777" w:rsidR="00304132" w:rsidRPr="00AC3044" w:rsidRDefault="00304132" w:rsidP="00CD5E09">
            <w:pPr>
              <w:rPr>
                <w:rFonts w:eastAsia="SimSun"/>
              </w:rPr>
            </w:pPr>
            <w:r w:rsidRPr="00AC3044">
              <w:rPr>
                <w:rFonts w:eastAsia="SimSun"/>
              </w:rPr>
              <w:t>8 мг/кг</w:t>
            </w:r>
          </w:p>
        </w:tc>
        <w:tc>
          <w:tcPr>
            <w:tcW w:w="1701" w:type="dxa"/>
            <w:vAlign w:val="center"/>
          </w:tcPr>
          <w:p w14:paraId="0FE2BD31" w14:textId="77777777" w:rsidR="00304132" w:rsidRPr="00AC3044" w:rsidRDefault="00304132" w:rsidP="00CD5E09">
            <w:pPr>
              <w:rPr>
                <w:rFonts w:eastAsia="SimSun"/>
              </w:rPr>
            </w:pPr>
            <w:r w:rsidRPr="00AC3044">
              <w:rPr>
                <w:rFonts w:eastAsia="SimSun"/>
              </w:rPr>
              <w:t>–3, –2 дни</w:t>
            </w:r>
          </w:p>
        </w:tc>
        <w:tc>
          <w:tcPr>
            <w:tcW w:w="2268" w:type="dxa"/>
            <w:vAlign w:val="center"/>
          </w:tcPr>
          <w:p w14:paraId="0880BA46" w14:textId="77777777" w:rsidR="00304132" w:rsidRPr="00AC3044" w:rsidRDefault="00304132" w:rsidP="00CD5E09">
            <w:pPr>
              <w:rPr>
                <w:rFonts w:eastAsia="SimSun"/>
              </w:rPr>
            </w:pPr>
            <w:r w:rsidRPr="00AC3044">
              <w:rPr>
                <w:rFonts w:eastAsia="SimSun"/>
              </w:rPr>
              <w:t>Внутрь, суммарная суточная доза разделяется на 4 приема с интервалом 6 часов.</w:t>
            </w:r>
          </w:p>
        </w:tc>
      </w:tr>
      <w:tr w:rsidR="00304132" w:rsidRPr="00AC3044" w14:paraId="4520ECD9" w14:textId="77777777" w:rsidTr="00CD5E09">
        <w:trPr>
          <w:cantSplit/>
          <w:trHeight w:val="20"/>
        </w:trPr>
        <w:tc>
          <w:tcPr>
            <w:tcW w:w="993" w:type="dxa"/>
            <w:vMerge/>
            <w:textDirection w:val="btLr"/>
            <w:vAlign w:val="center"/>
          </w:tcPr>
          <w:p w14:paraId="61F49ADF" w14:textId="77777777" w:rsidR="00304132" w:rsidRPr="00AC3044" w:rsidRDefault="00304132" w:rsidP="00CD5E09">
            <w:pPr>
              <w:rPr>
                <w:rFonts w:eastAsia="SimSun"/>
              </w:rPr>
            </w:pPr>
          </w:p>
        </w:tc>
        <w:tc>
          <w:tcPr>
            <w:tcW w:w="1701" w:type="dxa"/>
            <w:vAlign w:val="center"/>
          </w:tcPr>
          <w:p w14:paraId="7FE64934" w14:textId="77777777" w:rsidR="00304132" w:rsidRPr="00AC3044" w:rsidRDefault="00304132" w:rsidP="00CD5E09">
            <w:pPr>
              <w:rPr>
                <w:rFonts w:eastAsia="SimSun"/>
              </w:rPr>
            </w:pPr>
            <w:r w:rsidRPr="00AC3044">
              <w:rPr>
                <w:rFonts w:eastAsia="SimSun"/>
              </w:rPr>
              <w:t>Тиотепа</w:t>
            </w:r>
          </w:p>
        </w:tc>
        <w:tc>
          <w:tcPr>
            <w:tcW w:w="1559" w:type="dxa"/>
            <w:vAlign w:val="center"/>
          </w:tcPr>
          <w:p w14:paraId="40935B2F" w14:textId="77777777" w:rsidR="00304132" w:rsidRPr="00AC3044" w:rsidRDefault="00304132" w:rsidP="00CD5E09">
            <w:pPr>
              <w:rPr>
                <w:rFonts w:eastAsia="SimSun"/>
              </w:rPr>
            </w:pPr>
            <w:r w:rsidRPr="00AC3044">
              <w:rPr>
                <w:rFonts w:eastAsia="SimSun"/>
              </w:rPr>
              <w:t>5 мг/кг</w:t>
            </w:r>
          </w:p>
        </w:tc>
        <w:tc>
          <w:tcPr>
            <w:tcW w:w="1418" w:type="dxa"/>
            <w:vAlign w:val="center"/>
          </w:tcPr>
          <w:p w14:paraId="701DE753" w14:textId="77777777" w:rsidR="00304132" w:rsidRPr="00AC3044" w:rsidRDefault="00304132" w:rsidP="00CD5E09">
            <w:pPr>
              <w:rPr>
                <w:rFonts w:eastAsia="SimSun"/>
              </w:rPr>
            </w:pPr>
            <w:r w:rsidRPr="00AC3044">
              <w:rPr>
                <w:rFonts w:eastAsia="SimSun"/>
              </w:rPr>
              <w:t>10 мг/кг</w:t>
            </w:r>
          </w:p>
        </w:tc>
        <w:tc>
          <w:tcPr>
            <w:tcW w:w="1701" w:type="dxa"/>
            <w:vAlign w:val="center"/>
          </w:tcPr>
          <w:p w14:paraId="46403F68" w14:textId="77777777" w:rsidR="00304132" w:rsidRPr="00AC3044" w:rsidRDefault="00304132" w:rsidP="00CD5E09">
            <w:pPr>
              <w:rPr>
                <w:rFonts w:eastAsia="SimSun"/>
              </w:rPr>
            </w:pPr>
            <w:r w:rsidRPr="00AC3044">
              <w:rPr>
                <w:rFonts w:eastAsia="SimSun"/>
              </w:rPr>
              <w:t>–6,–5 дни</w:t>
            </w:r>
          </w:p>
        </w:tc>
        <w:tc>
          <w:tcPr>
            <w:tcW w:w="2268" w:type="dxa"/>
            <w:vAlign w:val="center"/>
          </w:tcPr>
          <w:p w14:paraId="29CD541F" w14:textId="77777777" w:rsidR="00304132" w:rsidRPr="00AC3044" w:rsidRDefault="00304132" w:rsidP="00CD5E09">
            <w:pPr>
              <w:rPr>
                <w:rFonts w:eastAsia="SimSun"/>
              </w:rPr>
            </w:pPr>
            <w:r w:rsidRPr="00AC3044">
              <w:rPr>
                <w:rFonts w:eastAsia="SimSun"/>
              </w:rPr>
              <w:t>В/в, в течение 2 часов</w:t>
            </w:r>
          </w:p>
        </w:tc>
      </w:tr>
      <w:tr w:rsidR="00304132" w:rsidRPr="00AC3044" w14:paraId="33F7AA29" w14:textId="77777777" w:rsidTr="00CD5E09">
        <w:trPr>
          <w:cantSplit/>
          <w:trHeight w:val="20"/>
        </w:trPr>
        <w:tc>
          <w:tcPr>
            <w:tcW w:w="993" w:type="dxa"/>
            <w:vMerge w:val="restart"/>
            <w:textDirection w:val="btLr"/>
            <w:vAlign w:val="center"/>
          </w:tcPr>
          <w:p w14:paraId="1B2B1488" w14:textId="77777777" w:rsidR="00304132" w:rsidRPr="00AC3044" w:rsidRDefault="00304132" w:rsidP="00CD5E09">
            <w:pPr>
              <w:rPr>
                <w:rFonts w:eastAsia="SimSun"/>
              </w:rPr>
            </w:pPr>
            <w:r w:rsidRPr="00AC3044">
              <w:rPr>
                <w:rFonts w:eastAsia="SimSun"/>
              </w:rPr>
              <w:t>Профилактика РТПХ</w:t>
            </w:r>
          </w:p>
        </w:tc>
        <w:tc>
          <w:tcPr>
            <w:tcW w:w="1701" w:type="dxa"/>
            <w:vAlign w:val="center"/>
          </w:tcPr>
          <w:p w14:paraId="5EBF54C2" w14:textId="77777777" w:rsidR="00304132" w:rsidRPr="00AC3044" w:rsidRDefault="00304132" w:rsidP="00CD5E09">
            <w:pPr>
              <w:rPr>
                <w:rFonts w:eastAsia="SimSun"/>
              </w:rPr>
            </w:pPr>
            <w:r w:rsidRPr="00AC3044">
              <w:rPr>
                <w:rFonts w:eastAsia="SimSun"/>
              </w:rPr>
              <w:t>АТГ (кроличий)</w:t>
            </w:r>
          </w:p>
        </w:tc>
        <w:tc>
          <w:tcPr>
            <w:tcW w:w="1559" w:type="dxa"/>
            <w:vAlign w:val="center"/>
          </w:tcPr>
          <w:p w14:paraId="6D238EE2" w14:textId="77777777" w:rsidR="00304132" w:rsidRPr="00AC3044" w:rsidRDefault="00304132" w:rsidP="00CD5E09">
            <w:pPr>
              <w:rPr>
                <w:rFonts w:eastAsia="SimSun"/>
              </w:rPr>
            </w:pPr>
            <w:r w:rsidRPr="00AC3044">
              <w:rPr>
                <w:rFonts w:eastAsia="SimSun"/>
              </w:rPr>
              <w:t>2,5 мг/кг</w:t>
            </w:r>
          </w:p>
        </w:tc>
        <w:tc>
          <w:tcPr>
            <w:tcW w:w="1418" w:type="dxa"/>
            <w:vAlign w:val="center"/>
          </w:tcPr>
          <w:p w14:paraId="082D7056" w14:textId="77777777" w:rsidR="00304132" w:rsidRPr="00AC3044" w:rsidRDefault="00304132" w:rsidP="00CD5E09">
            <w:pPr>
              <w:rPr>
                <w:rFonts w:eastAsia="SimSun"/>
              </w:rPr>
            </w:pPr>
            <w:r w:rsidRPr="00AC3044">
              <w:rPr>
                <w:rFonts w:eastAsia="SimSun"/>
              </w:rPr>
              <w:t>5-7,5 мг/кг</w:t>
            </w:r>
          </w:p>
        </w:tc>
        <w:tc>
          <w:tcPr>
            <w:tcW w:w="1701" w:type="dxa"/>
            <w:vAlign w:val="center"/>
          </w:tcPr>
          <w:p w14:paraId="523B4D03" w14:textId="77777777" w:rsidR="00304132" w:rsidRPr="00AC3044" w:rsidRDefault="00304132" w:rsidP="00CD5E09">
            <w:pPr>
              <w:rPr>
                <w:rFonts w:eastAsia="SimSun"/>
              </w:rPr>
            </w:pPr>
            <w:r w:rsidRPr="00AC3044">
              <w:rPr>
                <w:rFonts w:eastAsia="SimSun"/>
              </w:rPr>
              <w:t>С –3 по –2 (-1) день</w:t>
            </w:r>
          </w:p>
        </w:tc>
        <w:tc>
          <w:tcPr>
            <w:tcW w:w="2268" w:type="dxa"/>
            <w:vAlign w:val="center"/>
          </w:tcPr>
          <w:p w14:paraId="480647A7" w14:textId="77777777" w:rsidR="00304132" w:rsidRPr="00AC3044" w:rsidRDefault="00304132" w:rsidP="00CD5E09">
            <w:pPr>
              <w:rPr>
                <w:rFonts w:eastAsia="SimSun"/>
              </w:rPr>
            </w:pPr>
            <w:r w:rsidRPr="00AC3044">
              <w:rPr>
                <w:rFonts w:eastAsia="SimSun"/>
              </w:rPr>
              <w:t>В/в. Суточная доза разделяется</w:t>
            </w:r>
            <w:r w:rsidRPr="00AC3044" w:rsidDel="00130EA4">
              <w:rPr>
                <w:rFonts w:eastAsia="SimSun"/>
              </w:rPr>
              <w:t xml:space="preserve"> </w:t>
            </w:r>
            <w:r w:rsidRPr="00AC3044">
              <w:rPr>
                <w:rFonts w:eastAsia="SimSun"/>
              </w:rPr>
              <w:t>на 2 введения (см.</w:t>
            </w:r>
            <w:r>
              <w:rPr>
                <w:rFonts w:eastAsia="SimSun"/>
              </w:rPr>
              <w:t xml:space="preserve"> </w:t>
            </w:r>
            <w:r w:rsidRPr="00AC3044">
              <w:rPr>
                <w:rFonts w:eastAsia="SimSun"/>
              </w:rPr>
              <w:t>«Инфузия АТГ»)</w:t>
            </w:r>
          </w:p>
        </w:tc>
      </w:tr>
      <w:tr w:rsidR="00304132" w:rsidRPr="00AC3044" w14:paraId="57143474" w14:textId="77777777" w:rsidTr="00CD5E09">
        <w:trPr>
          <w:cantSplit/>
          <w:trHeight w:val="20"/>
        </w:trPr>
        <w:tc>
          <w:tcPr>
            <w:tcW w:w="993" w:type="dxa"/>
            <w:vMerge/>
            <w:textDirection w:val="btLr"/>
          </w:tcPr>
          <w:p w14:paraId="3F47AE3A" w14:textId="77777777" w:rsidR="00304132" w:rsidRPr="00AC3044" w:rsidRDefault="00304132" w:rsidP="00CD5E09">
            <w:pPr>
              <w:rPr>
                <w:rFonts w:eastAsia="SimSun"/>
              </w:rPr>
            </w:pPr>
          </w:p>
        </w:tc>
        <w:tc>
          <w:tcPr>
            <w:tcW w:w="1701" w:type="dxa"/>
            <w:vAlign w:val="center"/>
          </w:tcPr>
          <w:p w14:paraId="3BF3BDEA" w14:textId="77777777" w:rsidR="00304132" w:rsidRPr="00AC3044" w:rsidRDefault="00304132" w:rsidP="00CD5E09">
            <w:pPr>
              <w:rPr>
                <w:rFonts w:eastAsia="SimSun"/>
              </w:rPr>
            </w:pPr>
            <w:r w:rsidRPr="00AC3044">
              <w:rPr>
                <w:rFonts w:eastAsia="SimSun"/>
              </w:rPr>
              <w:t>Циклоспорин</w:t>
            </w:r>
          </w:p>
        </w:tc>
        <w:tc>
          <w:tcPr>
            <w:tcW w:w="1559" w:type="dxa"/>
            <w:vAlign w:val="center"/>
          </w:tcPr>
          <w:p w14:paraId="10C9817E" w14:textId="77777777" w:rsidR="00304132" w:rsidRPr="00AC3044" w:rsidRDefault="00304132" w:rsidP="00CD5E09">
            <w:pPr>
              <w:rPr>
                <w:rFonts w:eastAsia="SimSun"/>
              </w:rPr>
            </w:pPr>
            <w:r w:rsidRPr="00AC3044">
              <w:rPr>
                <w:rFonts w:eastAsia="SimSun"/>
              </w:rPr>
              <w:t>3 мг/кг</w:t>
            </w:r>
          </w:p>
        </w:tc>
        <w:tc>
          <w:tcPr>
            <w:tcW w:w="1418" w:type="dxa"/>
            <w:vAlign w:val="center"/>
          </w:tcPr>
          <w:p w14:paraId="1D797D31" w14:textId="77777777" w:rsidR="00304132" w:rsidRPr="00AC3044" w:rsidRDefault="00304132" w:rsidP="00CD5E09">
            <w:pPr>
              <w:rPr>
                <w:rFonts w:eastAsia="SimSun"/>
              </w:rPr>
            </w:pPr>
            <w:r w:rsidRPr="00AC3044">
              <w:rPr>
                <w:rFonts w:eastAsia="SimSun"/>
              </w:rPr>
              <w:t>–</w:t>
            </w:r>
          </w:p>
        </w:tc>
        <w:tc>
          <w:tcPr>
            <w:tcW w:w="1701" w:type="dxa"/>
            <w:vAlign w:val="center"/>
          </w:tcPr>
          <w:p w14:paraId="58C4800A" w14:textId="77777777" w:rsidR="00304132" w:rsidRPr="00AC3044" w:rsidRDefault="00304132" w:rsidP="00CD5E09">
            <w:pPr>
              <w:rPr>
                <w:rFonts w:eastAsia="SimSun"/>
              </w:rPr>
            </w:pPr>
            <w:r w:rsidRPr="00AC3044">
              <w:rPr>
                <w:rFonts w:eastAsia="SimSun"/>
              </w:rPr>
              <w:t>С–1 по +90 день, затем постепенное снижение к +180 дню</w:t>
            </w:r>
          </w:p>
        </w:tc>
        <w:tc>
          <w:tcPr>
            <w:tcW w:w="2268" w:type="dxa"/>
            <w:vAlign w:val="center"/>
          </w:tcPr>
          <w:p w14:paraId="0570E52A" w14:textId="77777777" w:rsidR="00304132" w:rsidRPr="00AC3044" w:rsidRDefault="00304132" w:rsidP="00CD5E09">
            <w:pPr>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DB259E">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304132" w:rsidRPr="00AC3044" w14:paraId="2C3189DB" w14:textId="77777777" w:rsidTr="00CD5E09">
        <w:trPr>
          <w:cantSplit/>
          <w:trHeight w:val="20"/>
        </w:trPr>
        <w:tc>
          <w:tcPr>
            <w:tcW w:w="993" w:type="dxa"/>
            <w:vMerge/>
          </w:tcPr>
          <w:p w14:paraId="3D2D28D2" w14:textId="77777777" w:rsidR="00304132" w:rsidRPr="00AC3044" w:rsidRDefault="00304132" w:rsidP="00CD5E09">
            <w:pPr>
              <w:rPr>
                <w:rFonts w:eastAsia="SimSun"/>
              </w:rPr>
            </w:pPr>
          </w:p>
        </w:tc>
        <w:tc>
          <w:tcPr>
            <w:tcW w:w="1701" w:type="dxa"/>
            <w:vMerge w:val="restart"/>
            <w:vAlign w:val="center"/>
          </w:tcPr>
          <w:p w14:paraId="0883E299" w14:textId="77777777" w:rsidR="00304132" w:rsidRPr="00AC3044" w:rsidRDefault="00304132" w:rsidP="00CD5E09">
            <w:pPr>
              <w:rPr>
                <w:rFonts w:eastAsia="SimSun"/>
              </w:rPr>
            </w:pPr>
            <w:r w:rsidRPr="00AC3044">
              <w:rPr>
                <w:rFonts w:eastAsia="SimSun"/>
              </w:rPr>
              <w:t>Метотрексат</w:t>
            </w:r>
          </w:p>
        </w:tc>
        <w:tc>
          <w:tcPr>
            <w:tcW w:w="1559" w:type="dxa"/>
            <w:vAlign w:val="center"/>
          </w:tcPr>
          <w:p w14:paraId="4698C70C" w14:textId="77777777" w:rsidR="00304132" w:rsidRPr="00AC3044" w:rsidRDefault="00304132" w:rsidP="00CD5E09">
            <w:pPr>
              <w:rPr>
                <w:rFonts w:eastAsia="SimSun"/>
              </w:rPr>
            </w:pPr>
            <w:r w:rsidRPr="00AC3044">
              <w:rPr>
                <w:rFonts w:eastAsia="SimSun"/>
              </w:rPr>
              <w:t>15 мг/м</w:t>
            </w:r>
            <w:r w:rsidRPr="00DB259E">
              <w:rPr>
                <w:rFonts w:eastAsia="SimSun"/>
                <w:vertAlign w:val="superscript"/>
              </w:rPr>
              <w:t>2</w:t>
            </w:r>
          </w:p>
        </w:tc>
        <w:tc>
          <w:tcPr>
            <w:tcW w:w="1418" w:type="dxa"/>
            <w:vAlign w:val="center"/>
          </w:tcPr>
          <w:p w14:paraId="6E18EB6D" w14:textId="77777777" w:rsidR="00304132" w:rsidRPr="00AC3044" w:rsidRDefault="00304132" w:rsidP="00CD5E09">
            <w:pPr>
              <w:rPr>
                <w:rFonts w:eastAsia="SimSun"/>
              </w:rPr>
            </w:pPr>
            <w:r w:rsidRPr="00AC3044">
              <w:rPr>
                <w:rFonts w:eastAsia="SimSun"/>
              </w:rPr>
              <w:t>–</w:t>
            </w:r>
          </w:p>
        </w:tc>
        <w:tc>
          <w:tcPr>
            <w:tcW w:w="1701" w:type="dxa"/>
            <w:vAlign w:val="center"/>
          </w:tcPr>
          <w:p w14:paraId="4D0CAD28" w14:textId="77777777" w:rsidR="00304132" w:rsidRPr="00AC3044" w:rsidRDefault="00304132" w:rsidP="00CD5E09">
            <w:pPr>
              <w:rPr>
                <w:rFonts w:eastAsia="SimSun"/>
              </w:rPr>
            </w:pPr>
            <w:r w:rsidRPr="00AC3044">
              <w:rPr>
                <w:rFonts w:eastAsia="SimSun"/>
              </w:rPr>
              <w:t>+1 день</w:t>
            </w:r>
          </w:p>
        </w:tc>
        <w:tc>
          <w:tcPr>
            <w:tcW w:w="2268" w:type="dxa"/>
            <w:vAlign w:val="center"/>
          </w:tcPr>
          <w:p w14:paraId="7A5BBB68" w14:textId="77777777" w:rsidR="00304132" w:rsidRPr="00AC3044" w:rsidRDefault="00304132" w:rsidP="00CD5E09">
            <w:pPr>
              <w:rPr>
                <w:rFonts w:eastAsia="SimSun"/>
              </w:rPr>
            </w:pPr>
            <w:r w:rsidRPr="00AC3044">
              <w:rPr>
                <w:rFonts w:eastAsia="SimSun"/>
              </w:rPr>
              <w:t xml:space="preserve">В/в, в 20 мл физ. р-ра </w:t>
            </w:r>
          </w:p>
        </w:tc>
      </w:tr>
      <w:tr w:rsidR="00304132" w:rsidRPr="00AC3044" w14:paraId="2B04C215" w14:textId="77777777" w:rsidTr="00CD5E09">
        <w:trPr>
          <w:cantSplit/>
          <w:trHeight w:val="464"/>
        </w:trPr>
        <w:tc>
          <w:tcPr>
            <w:tcW w:w="993" w:type="dxa"/>
            <w:vMerge/>
          </w:tcPr>
          <w:p w14:paraId="038260D1" w14:textId="77777777" w:rsidR="00304132" w:rsidRPr="00AC3044" w:rsidRDefault="00304132" w:rsidP="00CD5E09">
            <w:pPr>
              <w:rPr>
                <w:rFonts w:eastAsia="SimSun"/>
              </w:rPr>
            </w:pPr>
          </w:p>
        </w:tc>
        <w:tc>
          <w:tcPr>
            <w:tcW w:w="1701" w:type="dxa"/>
            <w:vMerge/>
            <w:vAlign w:val="center"/>
          </w:tcPr>
          <w:p w14:paraId="3BC8E5A0" w14:textId="77777777" w:rsidR="00304132" w:rsidRPr="00AC3044" w:rsidRDefault="00304132" w:rsidP="00CD5E09">
            <w:pPr>
              <w:rPr>
                <w:rFonts w:eastAsia="SimSun"/>
              </w:rPr>
            </w:pPr>
          </w:p>
        </w:tc>
        <w:tc>
          <w:tcPr>
            <w:tcW w:w="1559" w:type="dxa"/>
            <w:vAlign w:val="center"/>
          </w:tcPr>
          <w:p w14:paraId="251E11B4" w14:textId="77777777" w:rsidR="00304132" w:rsidRPr="00AC3044" w:rsidRDefault="00304132" w:rsidP="00CD5E09">
            <w:pPr>
              <w:rPr>
                <w:rFonts w:eastAsia="SimSun"/>
              </w:rPr>
            </w:pPr>
            <w:r w:rsidRPr="00AC3044">
              <w:rPr>
                <w:rFonts w:eastAsia="SimSun"/>
              </w:rPr>
              <w:t>10 мг/м</w:t>
            </w:r>
            <w:r w:rsidRPr="00DB259E">
              <w:rPr>
                <w:rFonts w:eastAsia="SimSun"/>
                <w:vertAlign w:val="superscript"/>
              </w:rPr>
              <w:t>2</w:t>
            </w:r>
          </w:p>
        </w:tc>
        <w:tc>
          <w:tcPr>
            <w:tcW w:w="1418" w:type="dxa"/>
            <w:vAlign w:val="center"/>
          </w:tcPr>
          <w:p w14:paraId="0D99F36C" w14:textId="77777777" w:rsidR="00304132" w:rsidRPr="00AC3044" w:rsidRDefault="00304132" w:rsidP="00CD5E09">
            <w:pPr>
              <w:rPr>
                <w:rFonts w:eastAsia="SimSun"/>
              </w:rPr>
            </w:pPr>
            <w:r w:rsidRPr="00AC3044">
              <w:rPr>
                <w:rFonts w:eastAsia="SimSun"/>
              </w:rPr>
              <w:t>–</w:t>
            </w:r>
          </w:p>
        </w:tc>
        <w:tc>
          <w:tcPr>
            <w:tcW w:w="1701" w:type="dxa"/>
            <w:vAlign w:val="center"/>
          </w:tcPr>
          <w:p w14:paraId="661C1F38" w14:textId="77777777" w:rsidR="00304132" w:rsidRPr="00AC3044" w:rsidRDefault="00304132" w:rsidP="00CD5E09">
            <w:pPr>
              <w:rPr>
                <w:rFonts w:eastAsia="SimSun"/>
              </w:rPr>
            </w:pPr>
            <w:r w:rsidRPr="00AC3044">
              <w:rPr>
                <w:rFonts w:eastAsia="SimSun"/>
              </w:rPr>
              <w:t>+3, +6, +11 дни</w:t>
            </w:r>
          </w:p>
        </w:tc>
        <w:tc>
          <w:tcPr>
            <w:tcW w:w="2268" w:type="dxa"/>
            <w:vAlign w:val="center"/>
          </w:tcPr>
          <w:p w14:paraId="5FE68EE5" w14:textId="77777777" w:rsidR="00304132" w:rsidRPr="00AC3044" w:rsidRDefault="00304132" w:rsidP="00CD5E09">
            <w:pPr>
              <w:rPr>
                <w:rFonts w:eastAsia="SimSun"/>
              </w:rPr>
            </w:pPr>
            <w:r w:rsidRPr="00AC3044">
              <w:rPr>
                <w:rFonts w:eastAsia="SimSun"/>
              </w:rPr>
              <w:t xml:space="preserve">В/в, в 20 мл физ. р-ра </w:t>
            </w:r>
          </w:p>
        </w:tc>
      </w:tr>
      <w:tr w:rsidR="00304132" w:rsidRPr="00AC3044" w14:paraId="4661C75B" w14:textId="77777777" w:rsidTr="00CD5E09">
        <w:trPr>
          <w:cantSplit/>
          <w:trHeight w:val="464"/>
        </w:trPr>
        <w:tc>
          <w:tcPr>
            <w:tcW w:w="993" w:type="dxa"/>
            <w:vMerge/>
          </w:tcPr>
          <w:p w14:paraId="70965FC4" w14:textId="77777777" w:rsidR="00304132" w:rsidRPr="00AC3044" w:rsidRDefault="00304132" w:rsidP="00CD5E09">
            <w:pPr>
              <w:rPr>
                <w:rFonts w:eastAsia="SimSun"/>
              </w:rPr>
            </w:pPr>
          </w:p>
        </w:tc>
        <w:tc>
          <w:tcPr>
            <w:tcW w:w="1701" w:type="dxa"/>
            <w:vAlign w:val="center"/>
          </w:tcPr>
          <w:p w14:paraId="53E4CEA0" w14:textId="77777777" w:rsidR="00304132" w:rsidRPr="00AC3044" w:rsidRDefault="00304132" w:rsidP="00CD5E09">
            <w:pPr>
              <w:rPr>
                <w:rFonts w:eastAsia="SimSun"/>
              </w:rPr>
            </w:pPr>
            <w:r w:rsidRPr="00AC3044">
              <w:rPr>
                <w:rFonts w:eastAsia="SimSun"/>
              </w:rPr>
              <w:t>Микофенолата мофетил</w:t>
            </w:r>
          </w:p>
        </w:tc>
        <w:tc>
          <w:tcPr>
            <w:tcW w:w="1559" w:type="dxa"/>
            <w:vAlign w:val="center"/>
          </w:tcPr>
          <w:p w14:paraId="0BD7A3AC" w14:textId="77777777" w:rsidR="00304132" w:rsidRPr="00AC3044" w:rsidRDefault="00304132" w:rsidP="00CD5E09">
            <w:pPr>
              <w:rPr>
                <w:rFonts w:eastAsia="SimSun"/>
              </w:rPr>
            </w:pPr>
            <w:r w:rsidRPr="00AC3044">
              <w:rPr>
                <w:rFonts w:eastAsia="SimSun"/>
              </w:rPr>
              <w:t>45 мг/кг</w:t>
            </w:r>
          </w:p>
        </w:tc>
        <w:tc>
          <w:tcPr>
            <w:tcW w:w="1418" w:type="dxa"/>
            <w:vAlign w:val="center"/>
          </w:tcPr>
          <w:p w14:paraId="6AAEC543" w14:textId="77777777" w:rsidR="00304132" w:rsidRPr="00AC3044" w:rsidRDefault="00304132" w:rsidP="00CD5E09">
            <w:pPr>
              <w:rPr>
                <w:rFonts w:eastAsia="SimSun"/>
              </w:rPr>
            </w:pPr>
            <w:r w:rsidRPr="00AC3044">
              <w:rPr>
                <w:rFonts w:eastAsia="SimSun"/>
              </w:rPr>
              <w:t>–</w:t>
            </w:r>
          </w:p>
        </w:tc>
        <w:tc>
          <w:tcPr>
            <w:tcW w:w="1701" w:type="dxa"/>
            <w:vAlign w:val="center"/>
          </w:tcPr>
          <w:p w14:paraId="4DD29BFE" w14:textId="77777777" w:rsidR="00304132" w:rsidRPr="00AC3044" w:rsidRDefault="00304132" w:rsidP="00CD5E09">
            <w:pPr>
              <w:rPr>
                <w:rFonts w:eastAsia="SimSun"/>
              </w:rPr>
            </w:pPr>
            <w:r w:rsidRPr="00AC3044">
              <w:rPr>
                <w:rFonts w:eastAsia="SimSun"/>
              </w:rPr>
              <w:t>С +1 по +90 день</w:t>
            </w:r>
          </w:p>
        </w:tc>
        <w:tc>
          <w:tcPr>
            <w:tcW w:w="2268" w:type="dxa"/>
            <w:vAlign w:val="center"/>
          </w:tcPr>
          <w:p w14:paraId="23B73465" w14:textId="77777777" w:rsidR="00304132" w:rsidRPr="00AC3044" w:rsidRDefault="00304132" w:rsidP="00CD5E09">
            <w:pPr>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 xml:space="preserve">г/сут).  </w:t>
            </w:r>
          </w:p>
        </w:tc>
      </w:tr>
    </w:tbl>
    <w:p w14:paraId="3029BE88" w14:textId="77777777" w:rsidR="00304132" w:rsidRDefault="00304132" w:rsidP="00304132">
      <w:pPr>
        <w:rPr>
          <w:rFonts w:eastAsia="SimSun"/>
        </w:rPr>
      </w:pPr>
      <w:bookmarkStart w:id="343" w:name="_Toc44401203"/>
    </w:p>
    <w:p w14:paraId="4C7F4464" w14:textId="77777777" w:rsidR="00304132" w:rsidRPr="00C07B2E" w:rsidRDefault="00304132" w:rsidP="00304132">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2.2.3  – Flu150+Bu8+Thio / PT-Cy+ CSA+MMF30</w:t>
      </w:r>
      <w:bookmarkEnd w:id="343"/>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701"/>
        <w:gridCol w:w="1559"/>
        <w:gridCol w:w="1418"/>
        <w:gridCol w:w="1701"/>
        <w:gridCol w:w="2268"/>
      </w:tblGrid>
      <w:tr w:rsidR="00304132" w:rsidRPr="00AC3044" w14:paraId="6C955757" w14:textId="77777777" w:rsidTr="00CD5E09">
        <w:trPr>
          <w:cantSplit/>
          <w:trHeight w:val="20"/>
          <w:tblHeader/>
        </w:trPr>
        <w:tc>
          <w:tcPr>
            <w:tcW w:w="993" w:type="dxa"/>
          </w:tcPr>
          <w:p w14:paraId="496F9A20" w14:textId="77777777" w:rsidR="00304132" w:rsidRPr="00470D3D" w:rsidRDefault="00304132" w:rsidP="00CD5E09">
            <w:pPr>
              <w:rPr>
                <w:rFonts w:eastAsia="SimSun"/>
              </w:rPr>
            </w:pPr>
          </w:p>
        </w:tc>
        <w:tc>
          <w:tcPr>
            <w:tcW w:w="1701" w:type="dxa"/>
            <w:vAlign w:val="center"/>
          </w:tcPr>
          <w:p w14:paraId="5978A9BF" w14:textId="77777777" w:rsidR="00304132" w:rsidRPr="00AC3044" w:rsidRDefault="00304132" w:rsidP="00CD5E09">
            <w:pPr>
              <w:rPr>
                <w:rFonts w:eastAsia="SimSun"/>
              </w:rPr>
            </w:pPr>
            <w:r w:rsidRPr="00AC3044">
              <w:rPr>
                <w:rFonts w:eastAsia="SimSun"/>
              </w:rPr>
              <w:t>Препарат</w:t>
            </w:r>
          </w:p>
        </w:tc>
        <w:tc>
          <w:tcPr>
            <w:tcW w:w="1559" w:type="dxa"/>
            <w:vAlign w:val="center"/>
          </w:tcPr>
          <w:p w14:paraId="0514E25A" w14:textId="77777777" w:rsidR="00304132" w:rsidRPr="00AC3044" w:rsidRDefault="00304132" w:rsidP="00CD5E09">
            <w:pPr>
              <w:rPr>
                <w:rFonts w:eastAsia="SimSun"/>
              </w:rPr>
            </w:pPr>
            <w:r w:rsidRPr="00AC3044">
              <w:rPr>
                <w:rFonts w:eastAsia="SimSun"/>
              </w:rPr>
              <w:t>Суточная доза</w:t>
            </w:r>
          </w:p>
        </w:tc>
        <w:tc>
          <w:tcPr>
            <w:tcW w:w="1418" w:type="dxa"/>
            <w:vAlign w:val="center"/>
          </w:tcPr>
          <w:p w14:paraId="0D3C41A2" w14:textId="77777777" w:rsidR="00304132" w:rsidRPr="00AC3044" w:rsidRDefault="00304132" w:rsidP="00CD5E09">
            <w:pPr>
              <w:rPr>
                <w:rFonts w:eastAsia="SimSun"/>
              </w:rPr>
            </w:pPr>
            <w:r w:rsidRPr="00AC3044">
              <w:rPr>
                <w:rFonts w:eastAsia="SimSun"/>
              </w:rPr>
              <w:t>Курсовая доза</w:t>
            </w:r>
          </w:p>
        </w:tc>
        <w:tc>
          <w:tcPr>
            <w:tcW w:w="1701" w:type="dxa"/>
            <w:vAlign w:val="center"/>
          </w:tcPr>
          <w:p w14:paraId="5BAE9A66" w14:textId="77777777" w:rsidR="00304132" w:rsidRPr="00AC3044" w:rsidRDefault="00304132" w:rsidP="00CD5E09">
            <w:pPr>
              <w:rPr>
                <w:rFonts w:eastAsia="SimSun"/>
              </w:rPr>
            </w:pPr>
            <w:r w:rsidRPr="00AC3044">
              <w:rPr>
                <w:rFonts w:eastAsia="SimSun"/>
              </w:rPr>
              <w:t>Дни введения</w:t>
            </w:r>
          </w:p>
        </w:tc>
        <w:tc>
          <w:tcPr>
            <w:tcW w:w="2268" w:type="dxa"/>
            <w:vAlign w:val="center"/>
          </w:tcPr>
          <w:p w14:paraId="54661DE2" w14:textId="77777777" w:rsidR="00304132" w:rsidRPr="00AC3044" w:rsidRDefault="00304132" w:rsidP="00CD5E09">
            <w:pPr>
              <w:rPr>
                <w:rFonts w:eastAsia="SimSun"/>
              </w:rPr>
            </w:pPr>
            <w:r w:rsidRPr="00AC3044">
              <w:rPr>
                <w:rFonts w:eastAsia="SimSun"/>
              </w:rPr>
              <w:t>Порядок введения</w:t>
            </w:r>
          </w:p>
        </w:tc>
      </w:tr>
      <w:tr w:rsidR="00304132" w:rsidRPr="00AC3044" w14:paraId="566E1B17" w14:textId="77777777" w:rsidTr="00CD5E09">
        <w:trPr>
          <w:cantSplit/>
          <w:trHeight w:val="20"/>
        </w:trPr>
        <w:tc>
          <w:tcPr>
            <w:tcW w:w="993" w:type="dxa"/>
            <w:vMerge w:val="restart"/>
            <w:textDirection w:val="btLr"/>
            <w:vAlign w:val="center"/>
          </w:tcPr>
          <w:p w14:paraId="3844A88E" w14:textId="77777777" w:rsidR="00304132" w:rsidRPr="00AC3044" w:rsidRDefault="00304132" w:rsidP="00CD5E09">
            <w:pPr>
              <w:rPr>
                <w:rFonts w:eastAsia="SimSun"/>
              </w:rPr>
            </w:pPr>
            <w:r w:rsidRPr="00AC3044">
              <w:rPr>
                <w:rFonts w:eastAsia="SimSun"/>
              </w:rPr>
              <w:t>Кондиционирование</w:t>
            </w:r>
          </w:p>
        </w:tc>
        <w:tc>
          <w:tcPr>
            <w:tcW w:w="1701" w:type="dxa"/>
            <w:vAlign w:val="center"/>
          </w:tcPr>
          <w:p w14:paraId="3D03247B" w14:textId="77777777" w:rsidR="00304132" w:rsidRPr="00AC3044" w:rsidRDefault="00304132" w:rsidP="00CD5E09">
            <w:pPr>
              <w:rPr>
                <w:rFonts w:eastAsia="SimSun"/>
              </w:rPr>
            </w:pPr>
            <w:r w:rsidRPr="00AC3044">
              <w:rPr>
                <w:rFonts w:eastAsia="SimSun"/>
              </w:rPr>
              <w:t xml:space="preserve">Флударабин </w:t>
            </w:r>
          </w:p>
        </w:tc>
        <w:tc>
          <w:tcPr>
            <w:tcW w:w="1559" w:type="dxa"/>
            <w:vAlign w:val="center"/>
          </w:tcPr>
          <w:p w14:paraId="3C9B54CE" w14:textId="77777777" w:rsidR="00304132" w:rsidRPr="00AC3044" w:rsidRDefault="00304132" w:rsidP="00CD5E09">
            <w:pPr>
              <w:rPr>
                <w:rFonts w:eastAsia="SimSun"/>
              </w:rPr>
            </w:pPr>
            <w:r w:rsidRPr="00AC3044">
              <w:rPr>
                <w:rFonts w:eastAsia="SimSun"/>
              </w:rPr>
              <w:t>50 мг/м</w:t>
            </w:r>
            <w:r w:rsidRPr="00DB259E">
              <w:rPr>
                <w:rFonts w:eastAsia="SimSun"/>
                <w:vertAlign w:val="superscript"/>
              </w:rPr>
              <w:t>2</w:t>
            </w:r>
          </w:p>
        </w:tc>
        <w:tc>
          <w:tcPr>
            <w:tcW w:w="1418" w:type="dxa"/>
            <w:vAlign w:val="center"/>
          </w:tcPr>
          <w:p w14:paraId="2E113FAC" w14:textId="77777777" w:rsidR="00304132" w:rsidRPr="00AC3044" w:rsidRDefault="00304132" w:rsidP="00CD5E09">
            <w:pPr>
              <w:rPr>
                <w:rFonts w:eastAsia="SimSun"/>
              </w:rPr>
            </w:pPr>
            <w:r w:rsidRPr="00AC3044">
              <w:rPr>
                <w:rFonts w:eastAsia="SimSun"/>
              </w:rPr>
              <w:t>150 мг/м</w:t>
            </w:r>
            <w:r w:rsidRPr="00DB259E">
              <w:rPr>
                <w:rFonts w:eastAsia="SimSun"/>
                <w:vertAlign w:val="superscript"/>
              </w:rPr>
              <w:t>2</w:t>
            </w:r>
          </w:p>
        </w:tc>
        <w:tc>
          <w:tcPr>
            <w:tcW w:w="1701" w:type="dxa"/>
            <w:vAlign w:val="center"/>
          </w:tcPr>
          <w:p w14:paraId="66C48558" w14:textId="77777777" w:rsidR="00304132" w:rsidRPr="00AC3044" w:rsidRDefault="00304132" w:rsidP="00CD5E09">
            <w:pPr>
              <w:rPr>
                <w:rFonts w:eastAsia="SimSun"/>
              </w:rPr>
            </w:pPr>
            <w:r w:rsidRPr="00AC3044">
              <w:rPr>
                <w:rFonts w:eastAsia="SimSun"/>
              </w:rPr>
              <w:t>С –4 по –2 день</w:t>
            </w:r>
          </w:p>
        </w:tc>
        <w:tc>
          <w:tcPr>
            <w:tcW w:w="2268" w:type="dxa"/>
            <w:vAlign w:val="center"/>
          </w:tcPr>
          <w:p w14:paraId="1C3C7556" w14:textId="77777777" w:rsidR="00304132" w:rsidRPr="00AC3044" w:rsidRDefault="00304132" w:rsidP="00CD5E09">
            <w:pPr>
              <w:rPr>
                <w:rFonts w:eastAsia="SimSun"/>
              </w:rPr>
            </w:pPr>
            <w:r w:rsidRPr="00AC3044">
              <w:rPr>
                <w:rFonts w:eastAsia="SimSun"/>
              </w:rPr>
              <w:t>В/в, в течение 30 -60 мин</w:t>
            </w:r>
          </w:p>
        </w:tc>
      </w:tr>
      <w:tr w:rsidR="00304132" w:rsidRPr="00AC3044" w14:paraId="700B4D09" w14:textId="77777777" w:rsidTr="00CD5E09">
        <w:trPr>
          <w:cantSplit/>
          <w:trHeight w:val="560"/>
        </w:trPr>
        <w:tc>
          <w:tcPr>
            <w:tcW w:w="993" w:type="dxa"/>
            <w:vMerge/>
            <w:textDirection w:val="btLr"/>
            <w:vAlign w:val="center"/>
          </w:tcPr>
          <w:p w14:paraId="591219B2" w14:textId="77777777" w:rsidR="00304132" w:rsidRPr="00AC3044" w:rsidRDefault="00304132" w:rsidP="00CD5E09">
            <w:pPr>
              <w:rPr>
                <w:rFonts w:eastAsia="SimSun"/>
              </w:rPr>
            </w:pPr>
          </w:p>
        </w:tc>
        <w:tc>
          <w:tcPr>
            <w:tcW w:w="1701" w:type="dxa"/>
            <w:vAlign w:val="center"/>
          </w:tcPr>
          <w:p w14:paraId="2670A16D" w14:textId="77777777" w:rsidR="00304132" w:rsidRPr="00AC3044" w:rsidRDefault="00304132" w:rsidP="00CD5E09">
            <w:pPr>
              <w:rPr>
                <w:rFonts w:eastAsia="SimSun"/>
              </w:rPr>
            </w:pPr>
            <w:r w:rsidRPr="00AC3044">
              <w:rPr>
                <w:rFonts w:eastAsia="SimSun"/>
              </w:rPr>
              <w:t>Бусульфан</w:t>
            </w:r>
          </w:p>
        </w:tc>
        <w:tc>
          <w:tcPr>
            <w:tcW w:w="1559" w:type="dxa"/>
            <w:vAlign w:val="center"/>
          </w:tcPr>
          <w:p w14:paraId="49ED8B51" w14:textId="77777777" w:rsidR="00304132" w:rsidRPr="00AC3044" w:rsidRDefault="00304132" w:rsidP="00CD5E09">
            <w:pPr>
              <w:rPr>
                <w:rFonts w:eastAsia="SimSun"/>
              </w:rPr>
            </w:pPr>
            <w:r w:rsidRPr="00AC3044">
              <w:rPr>
                <w:rFonts w:eastAsia="SimSun"/>
              </w:rPr>
              <w:t>4 мг/кг</w:t>
            </w:r>
          </w:p>
        </w:tc>
        <w:tc>
          <w:tcPr>
            <w:tcW w:w="1418" w:type="dxa"/>
            <w:vAlign w:val="center"/>
          </w:tcPr>
          <w:p w14:paraId="39068F86" w14:textId="77777777" w:rsidR="00304132" w:rsidRPr="00AC3044" w:rsidRDefault="00304132" w:rsidP="00CD5E09">
            <w:pPr>
              <w:rPr>
                <w:rFonts w:eastAsia="SimSun"/>
              </w:rPr>
            </w:pPr>
            <w:r w:rsidRPr="00AC3044">
              <w:rPr>
                <w:rFonts w:eastAsia="SimSun"/>
              </w:rPr>
              <w:t>8 мг/кг</w:t>
            </w:r>
          </w:p>
        </w:tc>
        <w:tc>
          <w:tcPr>
            <w:tcW w:w="1701" w:type="dxa"/>
            <w:vAlign w:val="center"/>
          </w:tcPr>
          <w:p w14:paraId="4BBCCD23" w14:textId="77777777" w:rsidR="00304132" w:rsidRPr="00AC3044" w:rsidRDefault="00304132" w:rsidP="00CD5E09">
            <w:pPr>
              <w:rPr>
                <w:rFonts w:eastAsia="SimSun"/>
              </w:rPr>
            </w:pPr>
            <w:r w:rsidRPr="00AC3044">
              <w:rPr>
                <w:rFonts w:eastAsia="SimSun"/>
              </w:rPr>
              <w:t>–3, –2 дни</w:t>
            </w:r>
          </w:p>
        </w:tc>
        <w:tc>
          <w:tcPr>
            <w:tcW w:w="2268" w:type="dxa"/>
            <w:vAlign w:val="center"/>
          </w:tcPr>
          <w:p w14:paraId="2516A02B" w14:textId="77777777" w:rsidR="00304132" w:rsidRPr="00AC3044" w:rsidRDefault="00304132" w:rsidP="00CD5E09">
            <w:pPr>
              <w:rPr>
                <w:rFonts w:eastAsia="SimSun"/>
              </w:rPr>
            </w:pPr>
            <w:r w:rsidRPr="00AC3044">
              <w:rPr>
                <w:rFonts w:eastAsia="SimSun"/>
              </w:rPr>
              <w:t>Внутрь, суммарная суточная доза разделяется на 4 приема с интервалом 6 часов.</w:t>
            </w:r>
          </w:p>
        </w:tc>
      </w:tr>
      <w:tr w:rsidR="00304132" w:rsidRPr="00AC3044" w14:paraId="2DCE00AD" w14:textId="77777777" w:rsidTr="00CD5E09">
        <w:trPr>
          <w:cantSplit/>
          <w:trHeight w:val="809"/>
        </w:trPr>
        <w:tc>
          <w:tcPr>
            <w:tcW w:w="993" w:type="dxa"/>
            <w:vMerge/>
            <w:textDirection w:val="btLr"/>
            <w:vAlign w:val="center"/>
          </w:tcPr>
          <w:p w14:paraId="7C97540B" w14:textId="77777777" w:rsidR="00304132" w:rsidRPr="00AC3044" w:rsidRDefault="00304132" w:rsidP="00CD5E09">
            <w:pPr>
              <w:rPr>
                <w:rFonts w:eastAsia="SimSun"/>
              </w:rPr>
            </w:pPr>
          </w:p>
        </w:tc>
        <w:tc>
          <w:tcPr>
            <w:tcW w:w="1701" w:type="dxa"/>
            <w:vAlign w:val="center"/>
          </w:tcPr>
          <w:p w14:paraId="54801AE9" w14:textId="77777777" w:rsidR="00304132" w:rsidRPr="00AC3044" w:rsidRDefault="00304132" w:rsidP="00CD5E09">
            <w:pPr>
              <w:rPr>
                <w:rFonts w:eastAsia="SimSun"/>
              </w:rPr>
            </w:pPr>
            <w:r w:rsidRPr="00AC3044">
              <w:rPr>
                <w:rFonts w:eastAsia="SimSun"/>
              </w:rPr>
              <w:t>Тиотепа</w:t>
            </w:r>
          </w:p>
        </w:tc>
        <w:tc>
          <w:tcPr>
            <w:tcW w:w="1559" w:type="dxa"/>
            <w:vAlign w:val="center"/>
          </w:tcPr>
          <w:p w14:paraId="519552A8" w14:textId="77777777" w:rsidR="00304132" w:rsidRPr="00AC3044" w:rsidRDefault="00304132" w:rsidP="00CD5E09">
            <w:pPr>
              <w:rPr>
                <w:rFonts w:eastAsia="SimSun"/>
              </w:rPr>
            </w:pPr>
            <w:r w:rsidRPr="00AC3044">
              <w:rPr>
                <w:rFonts w:eastAsia="SimSun"/>
              </w:rPr>
              <w:t>5 мг/кг</w:t>
            </w:r>
          </w:p>
        </w:tc>
        <w:tc>
          <w:tcPr>
            <w:tcW w:w="1418" w:type="dxa"/>
            <w:vAlign w:val="center"/>
          </w:tcPr>
          <w:p w14:paraId="6890D417" w14:textId="77777777" w:rsidR="00304132" w:rsidRPr="00AC3044" w:rsidRDefault="00304132" w:rsidP="00CD5E09">
            <w:pPr>
              <w:rPr>
                <w:rFonts w:eastAsia="SimSun"/>
              </w:rPr>
            </w:pPr>
            <w:r w:rsidRPr="00AC3044">
              <w:rPr>
                <w:rFonts w:eastAsia="SimSun"/>
              </w:rPr>
              <w:t>10 мг/кг</w:t>
            </w:r>
          </w:p>
        </w:tc>
        <w:tc>
          <w:tcPr>
            <w:tcW w:w="1701" w:type="dxa"/>
            <w:vAlign w:val="center"/>
          </w:tcPr>
          <w:p w14:paraId="17256720" w14:textId="77777777" w:rsidR="00304132" w:rsidRPr="00AC3044" w:rsidRDefault="00304132" w:rsidP="00CD5E09">
            <w:pPr>
              <w:rPr>
                <w:rFonts w:eastAsia="SimSun"/>
              </w:rPr>
            </w:pPr>
            <w:r w:rsidRPr="00AC3044">
              <w:rPr>
                <w:rFonts w:eastAsia="SimSun"/>
              </w:rPr>
              <w:t>-6,-5 дни</w:t>
            </w:r>
          </w:p>
        </w:tc>
        <w:tc>
          <w:tcPr>
            <w:tcW w:w="2268" w:type="dxa"/>
            <w:vAlign w:val="center"/>
          </w:tcPr>
          <w:p w14:paraId="10F1F844" w14:textId="77777777" w:rsidR="00304132" w:rsidRPr="00AC3044" w:rsidRDefault="00304132" w:rsidP="00CD5E09">
            <w:pPr>
              <w:rPr>
                <w:rFonts w:eastAsia="SimSun"/>
              </w:rPr>
            </w:pPr>
            <w:r w:rsidRPr="00AC3044">
              <w:rPr>
                <w:rFonts w:eastAsia="SimSun"/>
              </w:rPr>
              <w:t>В/в, в течение 2 часов</w:t>
            </w:r>
          </w:p>
        </w:tc>
      </w:tr>
      <w:tr w:rsidR="00304132" w:rsidRPr="00AC3044" w14:paraId="279B0075" w14:textId="77777777" w:rsidTr="00CD5E09">
        <w:trPr>
          <w:cantSplit/>
          <w:trHeight w:val="1133"/>
        </w:trPr>
        <w:tc>
          <w:tcPr>
            <w:tcW w:w="993" w:type="dxa"/>
            <w:vMerge w:val="restart"/>
            <w:textDirection w:val="btLr"/>
            <w:vAlign w:val="center"/>
          </w:tcPr>
          <w:p w14:paraId="52FCBA9F" w14:textId="77777777" w:rsidR="00304132" w:rsidRPr="00AC3044" w:rsidRDefault="00304132" w:rsidP="00CD5E09">
            <w:pPr>
              <w:rPr>
                <w:rFonts w:eastAsia="SimSun"/>
              </w:rPr>
            </w:pPr>
            <w:r w:rsidRPr="00AC3044">
              <w:rPr>
                <w:rFonts w:eastAsia="SimSun"/>
              </w:rPr>
              <w:t>Профилактика РТПХ</w:t>
            </w:r>
          </w:p>
        </w:tc>
        <w:tc>
          <w:tcPr>
            <w:tcW w:w="1701" w:type="dxa"/>
            <w:vAlign w:val="center"/>
          </w:tcPr>
          <w:p w14:paraId="4490546E" w14:textId="77777777" w:rsidR="00304132" w:rsidRPr="00AC3044" w:rsidRDefault="00304132" w:rsidP="00CD5E09">
            <w:pPr>
              <w:rPr>
                <w:rFonts w:eastAsia="SimSun"/>
              </w:rPr>
            </w:pPr>
            <w:r w:rsidRPr="00AC3044">
              <w:rPr>
                <w:rFonts w:eastAsia="SimSun"/>
              </w:rPr>
              <w:t>Циклоспорин</w:t>
            </w:r>
          </w:p>
        </w:tc>
        <w:tc>
          <w:tcPr>
            <w:tcW w:w="1559" w:type="dxa"/>
            <w:vAlign w:val="center"/>
          </w:tcPr>
          <w:p w14:paraId="7003E4A9" w14:textId="77777777" w:rsidR="00304132" w:rsidRPr="00AC3044" w:rsidRDefault="00304132" w:rsidP="00CD5E09">
            <w:pPr>
              <w:rPr>
                <w:rFonts w:eastAsia="SimSun"/>
              </w:rPr>
            </w:pPr>
            <w:r w:rsidRPr="00AC3044">
              <w:rPr>
                <w:rFonts w:eastAsia="SimSun"/>
              </w:rPr>
              <w:t>3 мг/кг</w:t>
            </w:r>
          </w:p>
        </w:tc>
        <w:tc>
          <w:tcPr>
            <w:tcW w:w="1418" w:type="dxa"/>
            <w:vAlign w:val="center"/>
          </w:tcPr>
          <w:p w14:paraId="60682C64" w14:textId="77777777" w:rsidR="00304132" w:rsidRPr="00AC3044" w:rsidRDefault="00304132" w:rsidP="00CD5E09">
            <w:pPr>
              <w:rPr>
                <w:rFonts w:eastAsia="SimSun"/>
              </w:rPr>
            </w:pPr>
            <w:r w:rsidRPr="00AC3044">
              <w:rPr>
                <w:rFonts w:eastAsia="SimSun"/>
              </w:rPr>
              <w:t>–</w:t>
            </w:r>
          </w:p>
        </w:tc>
        <w:tc>
          <w:tcPr>
            <w:tcW w:w="1701" w:type="dxa"/>
            <w:vAlign w:val="center"/>
          </w:tcPr>
          <w:p w14:paraId="177BE20E" w14:textId="77777777" w:rsidR="00304132" w:rsidRPr="00AC3044" w:rsidRDefault="00304132" w:rsidP="00CD5E09">
            <w:pPr>
              <w:rPr>
                <w:rFonts w:eastAsia="SimSun"/>
              </w:rPr>
            </w:pPr>
            <w:r w:rsidRPr="00AC3044">
              <w:rPr>
                <w:rFonts w:eastAsia="SimSun"/>
              </w:rPr>
              <w:t>С +5 дня по +90 день затем постепенное снижение к +180 дню</w:t>
            </w:r>
          </w:p>
        </w:tc>
        <w:tc>
          <w:tcPr>
            <w:tcW w:w="2268" w:type="dxa"/>
            <w:vAlign w:val="center"/>
          </w:tcPr>
          <w:p w14:paraId="069BF1E1" w14:textId="77777777" w:rsidR="00304132" w:rsidRPr="00AC3044" w:rsidRDefault="00304132" w:rsidP="00CD5E09">
            <w:pPr>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DB259E">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304132" w:rsidRPr="00AC3044" w14:paraId="1369CF6E" w14:textId="77777777" w:rsidTr="00CD5E09">
        <w:trPr>
          <w:cantSplit/>
          <w:trHeight w:val="20"/>
        </w:trPr>
        <w:tc>
          <w:tcPr>
            <w:tcW w:w="993" w:type="dxa"/>
            <w:vMerge/>
            <w:textDirection w:val="btLr"/>
          </w:tcPr>
          <w:p w14:paraId="006D596E" w14:textId="77777777" w:rsidR="00304132" w:rsidRPr="00AC3044" w:rsidRDefault="00304132" w:rsidP="00CD5E09">
            <w:pPr>
              <w:rPr>
                <w:rFonts w:eastAsia="SimSun"/>
              </w:rPr>
            </w:pPr>
          </w:p>
        </w:tc>
        <w:tc>
          <w:tcPr>
            <w:tcW w:w="1701" w:type="dxa"/>
            <w:vAlign w:val="center"/>
          </w:tcPr>
          <w:p w14:paraId="7E0C8B07" w14:textId="77777777" w:rsidR="00304132" w:rsidRPr="00AC3044" w:rsidRDefault="00304132" w:rsidP="00CD5E09">
            <w:pPr>
              <w:rPr>
                <w:rFonts w:eastAsia="SimSun"/>
              </w:rPr>
            </w:pPr>
            <w:r w:rsidRPr="00AC3044">
              <w:rPr>
                <w:rFonts w:eastAsia="SimSun"/>
              </w:rPr>
              <w:t>Микофенолата мофетил</w:t>
            </w:r>
          </w:p>
        </w:tc>
        <w:tc>
          <w:tcPr>
            <w:tcW w:w="1559" w:type="dxa"/>
            <w:vAlign w:val="center"/>
          </w:tcPr>
          <w:p w14:paraId="423E82FB" w14:textId="77777777" w:rsidR="00304132" w:rsidRPr="00AC3044" w:rsidRDefault="00304132" w:rsidP="00CD5E09">
            <w:pPr>
              <w:rPr>
                <w:rFonts w:eastAsia="SimSun"/>
              </w:rPr>
            </w:pPr>
            <w:r w:rsidRPr="00AC3044">
              <w:rPr>
                <w:rFonts w:eastAsia="SimSun"/>
              </w:rPr>
              <w:t>30 мг/кг</w:t>
            </w:r>
          </w:p>
        </w:tc>
        <w:tc>
          <w:tcPr>
            <w:tcW w:w="1418" w:type="dxa"/>
            <w:vAlign w:val="center"/>
          </w:tcPr>
          <w:p w14:paraId="7333AABA" w14:textId="77777777" w:rsidR="00304132" w:rsidRPr="00AC3044" w:rsidRDefault="00304132" w:rsidP="00CD5E09">
            <w:pPr>
              <w:rPr>
                <w:rFonts w:eastAsia="SimSun"/>
              </w:rPr>
            </w:pPr>
            <w:r w:rsidRPr="00AC3044">
              <w:rPr>
                <w:rFonts w:eastAsia="SimSun"/>
              </w:rPr>
              <w:t>–</w:t>
            </w:r>
          </w:p>
        </w:tc>
        <w:tc>
          <w:tcPr>
            <w:tcW w:w="1701" w:type="dxa"/>
            <w:vAlign w:val="center"/>
          </w:tcPr>
          <w:p w14:paraId="20298FB8" w14:textId="77777777" w:rsidR="00304132" w:rsidRPr="00AC3044" w:rsidRDefault="00304132" w:rsidP="00CD5E09">
            <w:pPr>
              <w:rPr>
                <w:rFonts w:eastAsia="SimSun"/>
              </w:rPr>
            </w:pPr>
            <w:r w:rsidRPr="00AC3044">
              <w:rPr>
                <w:rFonts w:eastAsia="SimSun"/>
              </w:rPr>
              <w:t>С +5 по +90 день</w:t>
            </w:r>
          </w:p>
        </w:tc>
        <w:tc>
          <w:tcPr>
            <w:tcW w:w="2268" w:type="dxa"/>
            <w:vAlign w:val="center"/>
          </w:tcPr>
          <w:p w14:paraId="757B39EA" w14:textId="77777777" w:rsidR="00304132" w:rsidRPr="00AC3044" w:rsidRDefault="00304132" w:rsidP="00CD5E09">
            <w:pPr>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 xml:space="preserve">г/сут).  </w:t>
            </w:r>
          </w:p>
        </w:tc>
      </w:tr>
      <w:tr w:rsidR="00304132" w:rsidRPr="00AC3044" w14:paraId="5D79AFAF" w14:textId="77777777" w:rsidTr="00CD5E09">
        <w:trPr>
          <w:cantSplit/>
          <w:trHeight w:val="20"/>
        </w:trPr>
        <w:tc>
          <w:tcPr>
            <w:tcW w:w="993" w:type="dxa"/>
            <w:vMerge/>
            <w:textDirection w:val="btLr"/>
          </w:tcPr>
          <w:p w14:paraId="5D476788" w14:textId="77777777" w:rsidR="00304132" w:rsidRPr="00AC3044" w:rsidRDefault="00304132" w:rsidP="00CD5E09">
            <w:pPr>
              <w:rPr>
                <w:rFonts w:eastAsia="SimSun"/>
              </w:rPr>
            </w:pPr>
          </w:p>
        </w:tc>
        <w:tc>
          <w:tcPr>
            <w:tcW w:w="1701" w:type="dxa"/>
            <w:vAlign w:val="center"/>
          </w:tcPr>
          <w:p w14:paraId="175BAB91" w14:textId="77777777" w:rsidR="00304132" w:rsidRPr="00AC3044" w:rsidRDefault="00304132" w:rsidP="00CD5E09">
            <w:pPr>
              <w:rPr>
                <w:rFonts w:eastAsia="SimSun"/>
              </w:rPr>
            </w:pPr>
            <w:r w:rsidRPr="00AC3044">
              <w:rPr>
                <w:rFonts w:eastAsia="SimSun"/>
              </w:rPr>
              <w:t>Циклофосфамид</w:t>
            </w:r>
          </w:p>
        </w:tc>
        <w:tc>
          <w:tcPr>
            <w:tcW w:w="1559" w:type="dxa"/>
            <w:vAlign w:val="center"/>
          </w:tcPr>
          <w:p w14:paraId="32D1A761" w14:textId="77777777" w:rsidR="00304132" w:rsidRPr="00AC3044" w:rsidRDefault="00304132" w:rsidP="00CD5E09">
            <w:pPr>
              <w:rPr>
                <w:rFonts w:eastAsia="SimSun"/>
              </w:rPr>
            </w:pPr>
            <w:r w:rsidRPr="00AC3044">
              <w:rPr>
                <w:rFonts w:eastAsia="SimSun"/>
              </w:rPr>
              <w:t>50 мг/кг</w:t>
            </w:r>
          </w:p>
        </w:tc>
        <w:tc>
          <w:tcPr>
            <w:tcW w:w="1418" w:type="dxa"/>
            <w:vAlign w:val="center"/>
          </w:tcPr>
          <w:p w14:paraId="300EF594" w14:textId="77777777" w:rsidR="00304132" w:rsidRPr="00AC3044" w:rsidRDefault="00304132" w:rsidP="00CD5E09">
            <w:pPr>
              <w:rPr>
                <w:rFonts w:eastAsia="SimSun"/>
              </w:rPr>
            </w:pPr>
            <w:r w:rsidRPr="00AC3044">
              <w:rPr>
                <w:rFonts w:eastAsia="SimSun"/>
              </w:rPr>
              <w:t>100 мг/кг</w:t>
            </w:r>
          </w:p>
        </w:tc>
        <w:tc>
          <w:tcPr>
            <w:tcW w:w="1701" w:type="dxa"/>
            <w:vAlign w:val="center"/>
          </w:tcPr>
          <w:p w14:paraId="48EFF13A" w14:textId="77777777" w:rsidR="00304132" w:rsidRPr="00AC3044" w:rsidRDefault="00304132" w:rsidP="00CD5E09">
            <w:pPr>
              <w:rPr>
                <w:rFonts w:eastAsia="SimSun"/>
              </w:rPr>
            </w:pPr>
            <w:r w:rsidRPr="00AC3044">
              <w:rPr>
                <w:rFonts w:eastAsia="SimSun"/>
              </w:rPr>
              <w:t xml:space="preserve">+3,+4 дни </w:t>
            </w:r>
          </w:p>
        </w:tc>
        <w:tc>
          <w:tcPr>
            <w:tcW w:w="2268" w:type="dxa"/>
            <w:vAlign w:val="center"/>
          </w:tcPr>
          <w:p w14:paraId="38061C55" w14:textId="77777777" w:rsidR="00304132" w:rsidRPr="00AC3044" w:rsidRDefault="00304132" w:rsidP="00CD5E09">
            <w:pPr>
              <w:rPr>
                <w:rFonts w:eastAsia="SimSun"/>
              </w:rPr>
            </w:pPr>
            <w:r w:rsidRPr="00AC3044">
              <w:rPr>
                <w:rFonts w:eastAsia="SimSun"/>
              </w:rPr>
              <w:t>В/в, в течение 2 часов</w:t>
            </w:r>
          </w:p>
        </w:tc>
      </w:tr>
    </w:tbl>
    <w:p w14:paraId="2055BF5E" w14:textId="77777777" w:rsidR="00304132" w:rsidRPr="00C07B2E" w:rsidRDefault="00304132" w:rsidP="00304132">
      <w:pPr>
        <w:rPr>
          <w:rFonts w:eastAsia="SimSun"/>
        </w:rPr>
      </w:pPr>
    </w:p>
    <w:p w14:paraId="149B371E" w14:textId="77777777" w:rsidR="00304132" w:rsidRPr="00C07B2E" w:rsidRDefault="00304132" w:rsidP="00304132">
      <w:pPr>
        <w:rPr>
          <w:rFonts w:eastAsia="SimSun"/>
        </w:rPr>
      </w:pPr>
      <w:bookmarkStart w:id="344" w:name="_Toc44401204"/>
      <w:r w:rsidRPr="00042499">
        <w:rPr>
          <w:rFonts w:eastAsia="SimSun"/>
        </w:rPr>
        <w:t>Таблица</w:t>
      </w:r>
      <w:r w:rsidRPr="00C07B2E">
        <w:rPr>
          <w:rFonts w:eastAsia="SimSun"/>
        </w:rPr>
        <w:t xml:space="preserve"> </w:t>
      </w:r>
      <w:r>
        <w:rPr>
          <w:rFonts w:eastAsia="SimSun"/>
        </w:rPr>
        <w:t>5.</w:t>
      </w:r>
      <w:r w:rsidRPr="00C07B2E">
        <w:rPr>
          <w:rFonts w:eastAsia="SimSun"/>
        </w:rPr>
        <w:t>2.2.4  – Flu150+Bu8+Thio / PT-Cy+ CSA+MMF45</w:t>
      </w:r>
      <w:bookmarkEnd w:id="344"/>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51"/>
        <w:gridCol w:w="1701"/>
        <w:gridCol w:w="1559"/>
        <w:gridCol w:w="1418"/>
        <w:gridCol w:w="1701"/>
        <w:gridCol w:w="2268"/>
      </w:tblGrid>
      <w:tr w:rsidR="00304132" w:rsidRPr="00AC3044" w14:paraId="6A02C7D7" w14:textId="77777777" w:rsidTr="00CD5E09">
        <w:trPr>
          <w:cantSplit/>
          <w:trHeight w:val="20"/>
          <w:tblHeader/>
        </w:trPr>
        <w:tc>
          <w:tcPr>
            <w:tcW w:w="851" w:type="dxa"/>
          </w:tcPr>
          <w:p w14:paraId="219E35B2" w14:textId="77777777" w:rsidR="00304132" w:rsidRPr="00470D3D" w:rsidRDefault="00304132" w:rsidP="00CD5E09">
            <w:pPr>
              <w:rPr>
                <w:rFonts w:eastAsia="SimSun"/>
              </w:rPr>
            </w:pPr>
          </w:p>
        </w:tc>
        <w:tc>
          <w:tcPr>
            <w:tcW w:w="1701" w:type="dxa"/>
            <w:vAlign w:val="center"/>
          </w:tcPr>
          <w:p w14:paraId="4D7E9F31" w14:textId="77777777" w:rsidR="00304132" w:rsidRPr="00AC3044" w:rsidRDefault="00304132" w:rsidP="00CD5E09">
            <w:pPr>
              <w:rPr>
                <w:rFonts w:eastAsia="SimSun"/>
              </w:rPr>
            </w:pPr>
            <w:r w:rsidRPr="00AC3044">
              <w:rPr>
                <w:rFonts w:eastAsia="SimSun"/>
              </w:rPr>
              <w:t>Препарат</w:t>
            </w:r>
          </w:p>
        </w:tc>
        <w:tc>
          <w:tcPr>
            <w:tcW w:w="1559" w:type="dxa"/>
            <w:vAlign w:val="center"/>
          </w:tcPr>
          <w:p w14:paraId="0DADF71E" w14:textId="77777777" w:rsidR="00304132" w:rsidRPr="00AC3044" w:rsidRDefault="00304132" w:rsidP="00CD5E09">
            <w:pPr>
              <w:rPr>
                <w:rFonts w:eastAsia="SimSun"/>
              </w:rPr>
            </w:pPr>
            <w:r w:rsidRPr="00AC3044">
              <w:rPr>
                <w:rFonts w:eastAsia="SimSun"/>
              </w:rPr>
              <w:t>Суточная доза</w:t>
            </w:r>
          </w:p>
        </w:tc>
        <w:tc>
          <w:tcPr>
            <w:tcW w:w="1418" w:type="dxa"/>
            <w:vAlign w:val="center"/>
          </w:tcPr>
          <w:p w14:paraId="65EDE4FB" w14:textId="77777777" w:rsidR="00304132" w:rsidRPr="00AC3044" w:rsidRDefault="00304132" w:rsidP="00CD5E09">
            <w:pPr>
              <w:rPr>
                <w:rFonts w:eastAsia="SimSun"/>
              </w:rPr>
            </w:pPr>
            <w:r w:rsidRPr="00AC3044">
              <w:rPr>
                <w:rFonts w:eastAsia="SimSun"/>
              </w:rPr>
              <w:t>Курсовая доза</w:t>
            </w:r>
          </w:p>
        </w:tc>
        <w:tc>
          <w:tcPr>
            <w:tcW w:w="1701" w:type="dxa"/>
            <w:vAlign w:val="center"/>
          </w:tcPr>
          <w:p w14:paraId="72765C07" w14:textId="77777777" w:rsidR="00304132" w:rsidRPr="00AC3044" w:rsidRDefault="00304132" w:rsidP="00CD5E09">
            <w:pPr>
              <w:rPr>
                <w:rFonts w:eastAsia="SimSun"/>
              </w:rPr>
            </w:pPr>
            <w:r w:rsidRPr="00AC3044">
              <w:rPr>
                <w:rFonts w:eastAsia="SimSun"/>
              </w:rPr>
              <w:t>Дни введения</w:t>
            </w:r>
          </w:p>
        </w:tc>
        <w:tc>
          <w:tcPr>
            <w:tcW w:w="2268" w:type="dxa"/>
            <w:vAlign w:val="center"/>
          </w:tcPr>
          <w:p w14:paraId="41B5797F" w14:textId="77777777" w:rsidR="00304132" w:rsidRPr="00AC3044" w:rsidRDefault="00304132" w:rsidP="00CD5E09">
            <w:pPr>
              <w:rPr>
                <w:rFonts w:eastAsia="SimSun"/>
              </w:rPr>
            </w:pPr>
            <w:r w:rsidRPr="00AC3044">
              <w:rPr>
                <w:rFonts w:eastAsia="SimSun"/>
              </w:rPr>
              <w:t>Порядок введения</w:t>
            </w:r>
          </w:p>
        </w:tc>
      </w:tr>
      <w:tr w:rsidR="00304132" w:rsidRPr="00AC3044" w14:paraId="2E038DBF" w14:textId="77777777" w:rsidTr="00CD5E09">
        <w:trPr>
          <w:cantSplit/>
          <w:trHeight w:val="20"/>
        </w:trPr>
        <w:tc>
          <w:tcPr>
            <w:tcW w:w="851" w:type="dxa"/>
            <w:vMerge w:val="restart"/>
            <w:textDirection w:val="btLr"/>
            <w:vAlign w:val="center"/>
          </w:tcPr>
          <w:p w14:paraId="07B9609F" w14:textId="77777777" w:rsidR="00304132" w:rsidRPr="00AC3044" w:rsidRDefault="00304132" w:rsidP="00CD5E09">
            <w:pPr>
              <w:rPr>
                <w:rFonts w:eastAsia="SimSun"/>
              </w:rPr>
            </w:pPr>
            <w:r w:rsidRPr="00AC3044">
              <w:rPr>
                <w:rFonts w:eastAsia="SimSun"/>
              </w:rPr>
              <w:t>Кондиционирование</w:t>
            </w:r>
          </w:p>
        </w:tc>
        <w:tc>
          <w:tcPr>
            <w:tcW w:w="1701" w:type="dxa"/>
            <w:vAlign w:val="center"/>
          </w:tcPr>
          <w:p w14:paraId="6DBC5B3F" w14:textId="77777777" w:rsidR="00304132" w:rsidRPr="00AC3044" w:rsidRDefault="00304132" w:rsidP="00CD5E09">
            <w:pPr>
              <w:rPr>
                <w:rFonts w:eastAsia="SimSun"/>
              </w:rPr>
            </w:pPr>
            <w:r w:rsidRPr="00AC3044">
              <w:rPr>
                <w:rFonts w:eastAsia="SimSun"/>
              </w:rPr>
              <w:t xml:space="preserve">Флударабин </w:t>
            </w:r>
          </w:p>
        </w:tc>
        <w:tc>
          <w:tcPr>
            <w:tcW w:w="1559" w:type="dxa"/>
            <w:vAlign w:val="center"/>
          </w:tcPr>
          <w:p w14:paraId="6E057586" w14:textId="77777777" w:rsidR="00304132" w:rsidRPr="00AC3044" w:rsidRDefault="00304132" w:rsidP="00CD5E09">
            <w:pPr>
              <w:rPr>
                <w:rFonts w:eastAsia="SimSun"/>
              </w:rPr>
            </w:pPr>
            <w:r w:rsidRPr="00AC3044">
              <w:rPr>
                <w:rFonts w:eastAsia="SimSun"/>
              </w:rPr>
              <w:t>50 мг/м</w:t>
            </w:r>
            <w:r w:rsidRPr="00DB259E">
              <w:rPr>
                <w:rFonts w:eastAsia="SimSun"/>
                <w:vertAlign w:val="superscript"/>
              </w:rPr>
              <w:t>2</w:t>
            </w:r>
          </w:p>
        </w:tc>
        <w:tc>
          <w:tcPr>
            <w:tcW w:w="1418" w:type="dxa"/>
            <w:vAlign w:val="center"/>
          </w:tcPr>
          <w:p w14:paraId="627A7669" w14:textId="77777777" w:rsidR="00304132" w:rsidRPr="00AC3044" w:rsidRDefault="00304132" w:rsidP="00CD5E09">
            <w:pPr>
              <w:rPr>
                <w:rFonts w:eastAsia="SimSun"/>
              </w:rPr>
            </w:pPr>
            <w:r w:rsidRPr="00AC3044">
              <w:rPr>
                <w:rFonts w:eastAsia="SimSun"/>
              </w:rPr>
              <w:t>150 мг/м</w:t>
            </w:r>
            <w:r w:rsidRPr="00DB259E">
              <w:rPr>
                <w:rFonts w:eastAsia="SimSun"/>
                <w:vertAlign w:val="superscript"/>
              </w:rPr>
              <w:t>2</w:t>
            </w:r>
          </w:p>
        </w:tc>
        <w:tc>
          <w:tcPr>
            <w:tcW w:w="1701" w:type="dxa"/>
            <w:vAlign w:val="center"/>
          </w:tcPr>
          <w:p w14:paraId="0F1D872B" w14:textId="77777777" w:rsidR="00304132" w:rsidRPr="00AC3044" w:rsidRDefault="00304132" w:rsidP="00CD5E09">
            <w:pPr>
              <w:rPr>
                <w:rFonts w:eastAsia="SimSun"/>
              </w:rPr>
            </w:pPr>
            <w:r w:rsidRPr="00AC3044">
              <w:rPr>
                <w:rFonts w:eastAsia="SimSun"/>
              </w:rPr>
              <w:t>С –4 по –2 день</w:t>
            </w:r>
          </w:p>
        </w:tc>
        <w:tc>
          <w:tcPr>
            <w:tcW w:w="2268" w:type="dxa"/>
            <w:vAlign w:val="center"/>
          </w:tcPr>
          <w:p w14:paraId="7AD73B1C" w14:textId="77777777" w:rsidR="00304132" w:rsidRPr="00AC3044" w:rsidRDefault="00304132" w:rsidP="00CD5E09">
            <w:pPr>
              <w:rPr>
                <w:rFonts w:eastAsia="SimSun"/>
              </w:rPr>
            </w:pPr>
            <w:r w:rsidRPr="00AC3044">
              <w:rPr>
                <w:rFonts w:eastAsia="SimSun"/>
              </w:rPr>
              <w:t>В/в, в течение 30 -60 мин</w:t>
            </w:r>
          </w:p>
        </w:tc>
      </w:tr>
      <w:tr w:rsidR="00304132" w:rsidRPr="00AC3044" w14:paraId="7812D094" w14:textId="77777777" w:rsidTr="00CD5E09">
        <w:trPr>
          <w:cantSplit/>
          <w:trHeight w:val="1015"/>
        </w:trPr>
        <w:tc>
          <w:tcPr>
            <w:tcW w:w="851" w:type="dxa"/>
            <w:vMerge/>
            <w:textDirection w:val="btLr"/>
            <w:vAlign w:val="center"/>
          </w:tcPr>
          <w:p w14:paraId="59619381" w14:textId="77777777" w:rsidR="00304132" w:rsidRPr="00AC3044" w:rsidRDefault="00304132" w:rsidP="00CD5E09">
            <w:pPr>
              <w:rPr>
                <w:rFonts w:eastAsia="SimSun"/>
              </w:rPr>
            </w:pPr>
          </w:p>
        </w:tc>
        <w:tc>
          <w:tcPr>
            <w:tcW w:w="1701" w:type="dxa"/>
            <w:vAlign w:val="center"/>
          </w:tcPr>
          <w:p w14:paraId="0F64A1C5" w14:textId="77777777" w:rsidR="00304132" w:rsidRPr="00AC3044" w:rsidRDefault="00304132" w:rsidP="00CD5E09">
            <w:pPr>
              <w:rPr>
                <w:rFonts w:eastAsia="SimSun"/>
              </w:rPr>
            </w:pPr>
            <w:r w:rsidRPr="00AC3044">
              <w:rPr>
                <w:rFonts w:eastAsia="SimSun"/>
              </w:rPr>
              <w:t>Бусульфан</w:t>
            </w:r>
          </w:p>
        </w:tc>
        <w:tc>
          <w:tcPr>
            <w:tcW w:w="1559" w:type="dxa"/>
            <w:vAlign w:val="center"/>
          </w:tcPr>
          <w:p w14:paraId="229EB73E" w14:textId="77777777" w:rsidR="00304132" w:rsidRPr="00AC3044" w:rsidRDefault="00304132" w:rsidP="00CD5E09">
            <w:pPr>
              <w:rPr>
                <w:rFonts w:eastAsia="SimSun"/>
              </w:rPr>
            </w:pPr>
            <w:r w:rsidRPr="00AC3044">
              <w:rPr>
                <w:rFonts w:eastAsia="SimSun"/>
              </w:rPr>
              <w:t>4 мг/кг</w:t>
            </w:r>
          </w:p>
        </w:tc>
        <w:tc>
          <w:tcPr>
            <w:tcW w:w="1418" w:type="dxa"/>
            <w:vAlign w:val="center"/>
          </w:tcPr>
          <w:p w14:paraId="3DE89399" w14:textId="77777777" w:rsidR="00304132" w:rsidRPr="00AC3044" w:rsidRDefault="00304132" w:rsidP="00CD5E09">
            <w:pPr>
              <w:rPr>
                <w:rFonts w:eastAsia="SimSun"/>
              </w:rPr>
            </w:pPr>
            <w:r w:rsidRPr="00AC3044">
              <w:rPr>
                <w:rFonts w:eastAsia="SimSun"/>
              </w:rPr>
              <w:t>8 мг/кг</w:t>
            </w:r>
          </w:p>
        </w:tc>
        <w:tc>
          <w:tcPr>
            <w:tcW w:w="1701" w:type="dxa"/>
            <w:vAlign w:val="center"/>
          </w:tcPr>
          <w:p w14:paraId="1E7338C3" w14:textId="77777777" w:rsidR="00304132" w:rsidRPr="00AC3044" w:rsidRDefault="00304132" w:rsidP="00CD5E09">
            <w:pPr>
              <w:rPr>
                <w:rFonts w:eastAsia="SimSun"/>
              </w:rPr>
            </w:pPr>
            <w:r w:rsidRPr="00AC3044">
              <w:rPr>
                <w:rFonts w:eastAsia="SimSun"/>
              </w:rPr>
              <w:t>–3, –2 дни</w:t>
            </w:r>
          </w:p>
        </w:tc>
        <w:tc>
          <w:tcPr>
            <w:tcW w:w="2268" w:type="dxa"/>
            <w:vAlign w:val="center"/>
          </w:tcPr>
          <w:p w14:paraId="4555650F" w14:textId="77777777" w:rsidR="00304132" w:rsidRPr="00AC3044" w:rsidRDefault="00304132" w:rsidP="00CD5E09">
            <w:pPr>
              <w:rPr>
                <w:rFonts w:eastAsia="SimSun"/>
              </w:rPr>
            </w:pPr>
            <w:r w:rsidRPr="00AC3044">
              <w:rPr>
                <w:rFonts w:eastAsia="SimSun"/>
              </w:rPr>
              <w:t>Внутрь, суммарная суточная доза разделяется на 4 приема с интервалом 6 часов.</w:t>
            </w:r>
          </w:p>
        </w:tc>
      </w:tr>
      <w:tr w:rsidR="00304132" w:rsidRPr="00AC3044" w14:paraId="30D8DED5" w14:textId="77777777" w:rsidTr="00CD5E09">
        <w:trPr>
          <w:cantSplit/>
          <w:trHeight w:val="238"/>
        </w:trPr>
        <w:tc>
          <w:tcPr>
            <w:tcW w:w="851" w:type="dxa"/>
            <w:vMerge/>
            <w:textDirection w:val="btLr"/>
            <w:vAlign w:val="center"/>
          </w:tcPr>
          <w:p w14:paraId="04D8BFB2" w14:textId="77777777" w:rsidR="00304132" w:rsidRPr="00AC3044" w:rsidRDefault="00304132" w:rsidP="00CD5E09">
            <w:pPr>
              <w:rPr>
                <w:rFonts w:eastAsia="SimSun"/>
              </w:rPr>
            </w:pPr>
          </w:p>
        </w:tc>
        <w:tc>
          <w:tcPr>
            <w:tcW w:w="1701" w:type="dxa"/>
            <w:vAlign w:val="center"/>
          </w:tcPr>
          <w:p w14:paraId="0A3EC1F2" w14:textId="77777777" w:rsidR="00304132" w:rsidRPr="00AC3044" w:rsidRDefault="00304132" w:rsidP="00CD5E09">
            <w:pPr>
              <w:rPr>
                <w:rFonts w:eastAsia="SimSun"/>
              </w:rPr>
            </w:pPr>
            <w:r w:rsidRPr="00AC3044">
              <w:rPr>
                <w:rFonts w:eastAsia="SimSun"/>
              </w:rPr>
              <w:t>Тиотепа</w:t>
            </w:r>
          </w:p>
        </w:tc>
        <w:tc>
          <w:tcPr>
            <w:tcW w:w="1559" w:type="dxa"/>
            <w:vAlign w:val="center"/>
          </w:tcPr>
          <w:p w14:paraId="24A30FD2" w14:textId="77777777" w:rsidR="00304132" w:rsidRPr="00AC3044" w:rsidRDefault="00304132" w:rsidP="00CD5E09">
            <w:pPr>
              <w:rPr>
                <w:rFonts w:eastAsia="SimSun"/>
              </w:rPr>
            </w:pPr>
            <w:r w:rsidRPr="00AC3044">
              <w:rPr>
                <w:rFonts w:eastAsia="SimSun"/>
              </w:rPr>
              <w:t>5 мг/кг</w:t>
            </w:r>
          </w:p>
        </w:tc>
        <w:tc>
          <w:tcPr>
            <w:tcW w:w="1418" w:type="dxa"/>
            <w:vAlign w:val="center"/>
          </w:tcPr>
          <w:p w14:paraId="1EA2B9E4" w14:textId="77777777" w:rsidR="00304132" w:rsidRPr="00AC3044" w:rsidRDefault="00304132" w:rsidP="00CD5E09">
            <w:pPr>
              <w:rPr>
                <w:rFonts w:eastAsia="SimSun"/>
              </w:rPr>
            </w:pPr>
            <w:r w:rsidRPr="00AC3044">
              <w:rPr>
                <w:rFonts w:eastAsia="SimSun"/>
              </w:rPr>
              <w:t>10 мг/кг</w:t>
            </w:r>
          </w:p>
        </w:tc>
        <w:tc>
          <w:tcPr>
            <w:tcW w:w="1701" w:type="dxa"/>
            <w:vAlign w:val="center"/>
          </w:tcPr>
          <w:p w14:paraId="63C2280F" w14:textId="77777777" w:rsidR="00304132" w:rsidRPr="00AC3044" w:rsidRDefault="00304132" w:rsidP="00CD5E09">
            <w:pPr>
              <w:rPr>
                <w:rFonts w:eastAsia="SimSun"/>
              </w:rPr>
            </w:pPr>
            <w:r w:rsidRPr="00AC3044">
              <w:rPr>
                <w:rFonts w:eastAsia="SimSun"/>
              </w:rPr>
              <w:t>-6,-5 дни</w:t>
            </w:r>
          </w:p>
        </w:tc>
        <w:tc>
          <w:tcPr>
            <w:tcW w:w="2268" w:type="dxa"/>
            <w:vAlign w:val="center"/>
          </w:tcPr>
          <w:p w14:paraId="2A87A530" w14:textId="77777777" w:rsidR="00304132" w:rsidRPr="00AC3044" w:rsidRDefault="00304132" w:rsidP="00CD5E09">
            <w:pPr>
              <w:rPr>
                <w:rFonts w:eastAsia="SimSun"/>
              </w:rPr>
            </w:pPr>
            <w:r w:rsidRPr="00AC3044">
              <w:rPr>
                <w:rFonts w:eastAsia="SimSun"/>
              </w:rPr>
              <w:t>В/в, в течение 2 часов</w:t>
            </w:r>
          </w:p>
        </w:tc>
      </w:tr>
      <w:tr w:rsidR="00304132" w:rsidRPr="00AC3044" w14:paraId="1C78C9C0" w14:textId="77777777" w:rsidTr="00CD5E09">
        <w:trPr>
          <w:cantSplit/>
          <w:trHeight w:val="2464"/>
        </w:trPr>
        <w:tc>
          <w:tcPr>
            <w:tcW w:w="851" w:type="dxa"/>
            <w:vMerge w:val="restart"/>
            <w:textDirection w:val="btLr"/>
            <w:vAlign w:val="center"/>
          </w:tcPr>
          <w:p w14:paraId="0AE9544B" w14:textId="77777777" w:rsidR="00304132" w:rsidRPr="00AC3044" w:rsidRDefault="00304132" w:rsidP="00CD5E09">
            <w:pPr>
              <w:rPr>
                <w:rFonts w:eastAsia="SimSun"/>
              </w:rPr>
            </w:pPr>
            <w:r w:rsidRPr="00AC3044">
              <w:rPr>
                <w:rFonts w:eastAsia="SimSun"/>
              </w:rPr>
              <w:t>Профилактика РТПХ</w:t>
            </w:r>
          </w:p>
        </w:tc>
        <w:tc>
          <w:tcPr>
            <w:tcW w:w="1701" w:type="dxa"/>
            <w:vAlign w:val="center"/>
          </w:tcPr>
          <w:p w14:paraId="34537C97" w14:textId="77777777" w:rsidR="00304132" w:rsidRPr="00AC3044" w:rsidRDefault="00304132" w:rsidP="00CD5E09">
            <w:pPr>
              <w:rPr>
                <w:rFonts w:eastAsia="SimSun"/>
              </w:rPr>
            </w:pPr>
            <w:r w:rsidRPr="00AC3044">
              <w:rPr>
                <w:rFonts w:eastAsia="SimSun"/>
              </w:rPr>
              <w:t>Циклоспорин</w:t>
            </w:r>
          </w:p>
        </w:tc>
        <w:tc>
          <w:tcPr>
            <w:tcW w:w="1559" w:type="dxa"/>
            <w:vAlign w:val="center"/>
          </w:tcPr>
          <w:p w14:paraId="01DF814E" w14:textId="77777777" w:rsidR="00304132" w:rsidRPr="00AC3044" w:rsidRDefault="00304132" w:rsidP="00CD5E09">
            <w:pPr>
              <w:rPr>
                <w:rFonts w:eastAsia="SimSun"/>
              </w:rPr>
            </w:pPr>
            <w:r w:rsidRPr="00AC3044">
              <w:rPr>
                <w:rFonts w:eastAsia="SimSun"/>
              </w:rPr>
              <w:t>3 мг/кг</w:t>
            </w:r>
          </w:p>
        </w:tc>
        <w:tc>
          <w:tcPr>
            <w:tcW w:w="1418" w:type="dxa"/>
            <w:vAlign w:val="center"/>
          </w:tcPr>
          <w:p w14:paraId="767035A5" w14:textId="77777777" w:rsidR="00304132" w:rsidRPr="00AC3044" w:rsidRDefault="00304132" w:rsidP="00CD5E09">
            <w:pPr>
              <w:rPr>
                <w:rFonts w:eastAsia="SimSun"/>
              </w:rPr>
            </w:pPr>
            <w:r w:rsidRPr="00AC3044">
              <w:rPr>
                <w:rFonts w:eastAsia="SimSun"/>
              </w:rPr>
              <w:t>–</w:t>
            </w:r>
          </w:p>
        </w:tc>
        <w:tc>
          <w:tcPr>
            <w:tcW w:w="1701" w:type="dxa"/>
            <w:vAlign w:val="center"/>
          </w:tcPr>
          <w:p w14:paraId="49C6F082" w14:textId="77777777" w:rsidR="00304132" w:rsidRPr="00AC3044" w:rsidRDefault="00304132" w:rsidP="00CD5E09">
            <w:pPr>
              <w:rPr>
                <w:rFonts w:eastAsia="SimSun"/>
              </w:rPr>
            </w:pPr>
            <w:r w:rsidRPr="00AC3044">
              <w:rPr>
                <w:rFonts w:eastAsia="SimSun"/>
              </w:rPr>
              <w:t>С +5 дня по +90 день затем постепенное снижение к +180 дню</w:t>
            </w:r>
          </w:p>
        </w:tc>
        <w:tc>
          <w:tcPr>
            <w:tcW w:w="2268" w:type="dxa"/>
            <w:vAlign w:val="center"/>
          </w:tcPr>
          <w:p w14:paraId="7005757A" w14:textId="77777777" w:rsidR="00304132" w:rsidRPr="00AC3044" w:rsidRDefault="00304132" w:rsidP="00CD5E09">
            <w:pPr>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DB259E">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304132" w:rsidRPr="00AC3044" w14:paraId="0661967B" w14:textId="77777777" w:rsidTr="00CD5E09">
        <w:trPr>
          <w:cantSplit/>
          <w:trHeight w:val="20"/>
        </w:trPr>
        <w:tc>
          <w:tcPr>
            <w:tcW w:w="851" w:type="dxa"/>
            <w:vMerge/>
            <w:textDirection w:val="btLr"/>
          </w:tcPr>
          <w:p w14:paraId="60E08B1D" w14:textId="77777777" w:rsidR="00304132" w:rsidRPr="00AC3044" w:rsidRDefault="00304132" w:rsidP="00CD5E09">
            <w:pPr>
              <w:rPr>
                <w:rFonts w:eastAsia="SimSun"/>
              </w:rPr>
            </w:pPr>
          </w:p>
        </w:tc>
        <w:tc>
          <w:tcPr>
            <w:tcW w:w="1701" w:type="dxa"/>
            <w:vAlign w:val="center"/>
          </w:tcPr>
          <w:p w14:paraId="2145B280" w14:textId="77777777" w:rsidR="00304132" w:rsidRPr="00AC3044" w:rsidRDefault="00304132" w:rsidP="00CD5E09">
            <w:pPr>
              <w:rPr>
                <w:rFonts w:eastAsia="SimSun"/>
              </w:rPr>
            </w:pPr>
            <w:r w:rsidRPr="00AC3044">
              <w:rPr>
                <w:rFonts w:eastAsia="SimSun"/>
              </w:rPr>
              <w:t>Микофенолата мофетил</w:t>
            </w:r>
          </w:p>
        </w:tc>
        <w:tc>
          <w:tcPr>
            <w:tcW w:w="1559" w:type="dxa"/>
            <w:vAlign w:val="center"/>
          </w:tcPr>
          <w:p w14:paraId="09DD9F9C" w14:textId="77777777" w:rsidR="00304132" w:rsidRPr="00AC3044" w:rsidRDefault="00304132" w:rsidP="00CD5E09">
            <w:pPr>
              <w:rPr>
                <w:rFonts w:eastAsia="SimSun"/>
              </w:rPr>
            </w:pPr>
            <w:r w:rsidRPr="00AC3044">
              <w:rPr>
                <w:rFonts w:eastAsia="SimSun"/>
              </w:rPr>
              <w:t>45 мг/кг</w:t>
            </w:r>
          </w:p>
        </w:tc>
        <w:tc>
          <w:tcPr>
            <w:tcW w:w="1418" w:type="dxa"/>
            <w:vAlign w:val="center"/>
          </w:tcPr>
          <w:p w14:paraId="1640E59D" w14:textId="77777777" w:rsidR="00304132" w:rsidRPr="00AC3044" w:rsidRDefault="00304132" w:rsidP="00CD5E09">
            <w:pPr>
              <w:rPr>
                <w:rFonts w:eastAsia="SimSun"/>
              </w:rPr>
            </w:pPr>
            <w:r w:rsidRPr="00AC3044">
              <w:rPr>
                <w:rFonts w:eastAsia="SimSun"/>
              </w:rPr>
              <w:t>–</w:t>
            </w:r>
          </w:p>
        </w:tc>
        <w:tc>
          <w:tcPr>
            <w:tcW w:w="1701" w:type="dxa"/>
            <w:vAlign w:val="center"/>
          </w:tcPr>
          <w:p w14:paraId="52B56584" w14:textId="77777777" w:rsidR="00304132" w:rsidRPr="00AC3044" w:rsidRDefault="00304132" w:rsidP="00CD5E09">
            <w:pPr>
              <w:rPr>
                <w:rFonts w:eastAsia="SimSun"/>
              </w:rPr>
            </w:pPr>
            <w:r w:rsidRPr="00AC3044">
              <w:rPr>
                <w:rFonts w:eastAsia="SimSun"/>
              </w:rPr>
              <w:t>С +5 по +90 день</w:t>
            </w:r>
          </w:p>
        </w:tc>
        <w:tc>
          <w:tcPr>
            <w:tcW w:w="2268" w:type="dxa"/>
            <w:vAlign w:val="center"/>
          </w:tcPr>
          <w:p w14:paraId="14045C9C" w14:textId="77777777" w:rsidR="00304132" w:rsidRPr="00AC3044" w:rsidRDefault="00304132" w:rsidP="00CD5E09">
            <w:pPr>
              <w:rPr>
                <w:rFonts w:eastAsia="SimSun"/>
              </w:rPr>
            </w:pPr>
            <w:r w:rsidRPr="00AC3044">
              <w:rPr>
                <w:rFonts w:eastAsia="SimSun"/>
              </w:rPr>
              <w:t xml:space="preserve">Внутрь, суммарная суточная доза разделяется на 2- 4 приема (не более 3г/сут).  </w:t>
            </w:r>
          </w:p>
        </w:tc>
      </w:tr>
      <w:tr w:rsidR="00304132" w:rsidRPr="00AC3044" w14:paraId="7FBAB59B" w14:textId="77777777" w:rsidTr="00CD5E09">
        <w:trPr>
          <w:cantSplit/>
          <w:trHeight w:val="20"/>
        </w:trPr>
        <w:tc>
          <w:tcPr>
            <w:tcW w:w="851" w:type="dxa"/>
            <w:vMerge/>
            <w:textDirection w:val="btLr"/>
          </w:tcPr>
          <w:p w14:paraId="68D69CEF" w14:textId="77777777" w:rsidR="00304132" w:rsidRPr="00AC3044" w:rsidRDefault="00304132" w:rsidP="00CD5E09">
            <w:pPr>
              <w:rPr>
                <w:rFonts w:eastAsia="SimSun"/>
              </w:rPr>
            </w:pPr>
          </w:p>
        </w:tc>
        <w:tc>
          <w:tcPr>
            <w:tcW w:w="1701" w:type="dxa"/>
            <w:vAlign w:val="center"/>
          </w:tcPr>
          <w:p w14:paraId="0C4F7C22" w14:textId="77777777" w:rsidR="00304132" w:rsidRPr="00AC3044" w:rsidRDefault="00304132" w:rsidP="00CD5E09">
            <w:pPr>
              <w:rPr>
                <w:rFonts w:eastAsia="SimSun"/>
              </w:rPr>
            </w:pPr>
            <w:r w:rsidRPr="00AC3044">
              <w:rPr>
                <w:rFonts w:eastAsia="SimSun"/>
              </w:rPr>
              <w:t>Циклофосфамид</w:t>
            </w:r>
          </w:p>
        </w:tc>
        <w:tc>
          <w:tcPr>
            <w:tcW w:w="1559" w:type="dxa"/>
            <w:vAlign w:val="center"/>
          </w:tcPr>
          <w:p w14:paraId="6059C8C4" w14:textId="77777777" w:rsidR="00304132" w:rsidRPr="00AC3044" w:rsidRDefault="00304132" w:rsidP="00CD5E09">
            <w:pPr>
              <w:rPr>
                <w:rFonts w:eastAsia="SimSun"/>
              </w:rPr>
            </w:pPr>
            <w:r w:rsidRPr="00AC3044">
              <w:rPr>
                <w:rFonts w:eastAsia="SimSun"/>
              </w:rPr>
              <w:t>50 мг/кг</w:t>
            </w:r>
          </w:p>
        </w:tc>
        <w:tc>
          <w:tcPr>
            <w:tcW w:w="1418" w:type="dxa"/>
            <w:vAlign w:val="center"/>
          </w:tcPr>
          <w:p w14:paraId="6F77EBAE" w14:textId="77777777" w:rsidR="00304132" w:rsidRPr="00AC3044" w:rsidRDefault="00304132" w:rsidP="00CD5E09">
            <w:pPr>
              <w:rPr>
                <w:rFonts w:eastAsia="SimSun"/>
              </w:rPr>
            </w:pPr>
            <w:r w:rsidRPr="00AC3044">
              <w:rPr>
                <w:rFonts w:eastAsia="SimSun"/>
              </w:rPr>
              <w:t>100 мг/кг</w:t>
            </w:r>
          </w:p>
        </w:tc>
        <w:tc>
          <w:tcPr>
            <w:tcW w:w="1701" w:type="dxa"/>
            <w:vAlign w:val="center"/>
          </w:tcPr>
          <w:p w14:paraId="6699624D" w14:textId="77777777" w:rsidR="00304132" w:rsidRPr="00AC3044" w:rsidRDefault="00304132" w:rsidP="00CD5E09">
            <w:pPr>
              <w:rPr>
                <w:rFonts w:eastAsia="SimSun"/>
              </w:rPr>
            </w:pPr>
            <w:r w:rsidRPr="00AC3044">
              <w:rPr>
                <w:rFonts w:eastAsia="SimSun"/>
              </w:rPr>
              <w:t xml:space="preserve">+3,+4 дни </w:t>
            </w:r>
          </w:p>
        </w:tc>
        <w:tc>
          <w:tcPr>
            <w:tcW w:w="2268" w:type="dxa"/>
            <w:vAlign w:val="center"/>
          </w:tcPr>
          <w:p w14:paraId="255D19FD" w14:textId="77777777" w:rsidR="00304132" w:rsidRPr="00AC3044" w:rsidRDefault="00304132" w:rsidP="00CD5E09">
            <w:pPr>
              <w:rPr>
                <w:rFonts w:eastAsia="SimSun"/>
              </w:rPr>
            </w:pPr>
            <w:r w:rsidRPr="00AC3044">
              <w:rPr>
                <w:rFonts w:eastAsia="SimSun"/>
              </w:rPr>
              <w:t>В/в, в течение 2 часов</w:t>
            </w:r>
          </w:p>
        </w:tc>
      </w:tr>
    </w:tbl>
    <w:p w14:paraId="38D5EC14" w14:textId="77777777" w:rsidR="00304132" w:rsidRPr="00C07B2E" w:rsidRDefault="00304132" w:rsidP="00304132">
      <w:pPr>
        <w:rPr>
          <w:rFonts w:eastAsia="SimSun"/>
        </w:rPr>
      </w:pPr>
    </w:p>
    <w:p w14:paraId="01CE7CFB" w14:textId="77777777" w:rsidR="00304132" w:rsidRPr="00C07B2E" w:rsidRDefault="00304132" w:rsidP="00304132">
      <w:pPr>
        <w:rPr>
          <w:rFonts w:eastAsia="SimSun"/>
        </w:rPr>
      </w:pPr>
      <w:bookmarkStart w:id="345" w:name="_Toc44401205"/>
      <w:r w:rsidRPr="00042499">
        <w:rPr>
          <w:rFonts w:eastAsia="SimSun"/>
        </w:rPr>
        <w:t>Таблица</w:t>
      </w:r>
      <w:r w:rsidRPr="00C07B2E">
        <w:rPr>
          <w:rFonts w:eastAsia="SimSun"/>
        </w:rPr>
        <w:t xml:space="preserve"> </w:t>
      </w:r>
      <w:r>
        <w:rPr>
          <w:rFonts w:eastAsia="SimSun"/>
        </w:rPr>
        <w:t>5.</w:t>
      </w:r>
      <w:r w:rsidRPr="00C07B2E">
        <w:rPr>
          <w:rFonts w:eastAsia="SimSun"/>
        </w:rPr>
        <w:t>2.2.5  – Flu180+Bu8 / hATG+CSA+MTX+MMF45</w:t>
      </w:r>
      <w:bookmarkEnd w:id="345"/>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51"/>
        <w:gridCol w:w="1701"/>
        <w:gridCol w:w="1559"/>
        <w:gridCol w:w="1418"/>
        <w:gridCol w:w="1701"/>
        <w:gridCol w:w="2268"/>
      </w:tblGrid>
      <w:tr w:rsidR="00304132" w:rsidRPr="00AC3044" w14:paraId="299082AA" w14:textId="77777777" w:rsidTr="00CD5E09">
        <w:trPr>
          <w:cantSplit/>
          <w:trHeight w:val="20"/>
          <w:tblHeader/>
        </w:trPr>
        <w:tc>
          <w:tcPr>
            <w:tcW w:w="851" w:type="dxa"/>
            <w:vAlign w:val="center"/>
          </w:tcPr>
          <w:p w14:paraId="699D681F" w14:textId="77777777" w:rsidR="00304132" w:rsidRPr="00470D3D" w:rsidRDefault="00304132" w:rsidP="00CD5E09">
            <w:pPr>
              <w:rPr>
                <w:rFonts w:eastAsia="SimSun"/>
              </w:rPr>
            </w:pPr>
          </w:p>
        </w:tc>
        <w:tc>
          <w:tcPr>
            <w:tcW w:w="1701" w:type="dxa"/>
            <w:vAlign w:val="center"/>
          </w:tcPr>
          <w:p w14:paraId="56B05D48" w14:textId="77777777" w:rsidR="00304132" w:rsidRPr="00AC3044" w:rsidRDefault="00304132" w:rsidP="00CD5E09">
            <w:pPr>
              <w:rPr>
                <w:rFonts w:eastAsia="SimSun"/>
              </w:rPr>
            </w:pPr>
            <w:r w:rsidRPr="00AC3044">
              <w:rPr>
                <w:rFonts w:eastAsia="SimSun"/>
              </w:rPr>
              <w:t>Препарат</w:t>
            </w:r>
          </w:p>
        </w:tc>
        <w:tc>
          <w:tcPr>
            <w:tcW w:w="1559" w:type="dxa"/>
            <w:vAlign w:val="center"/>
          </w:tcPr>
          <w:p w14:paraId="46F772D7" w14:textId="77777777" w:rsidR="00304132" w:rsidRPr="00AC3044" w:rsidRDefault="00304132" w:rsidP="00CD5E09">
            <w:pPr>
              <w:rPr>
                <w:rFonts w:eastAsia="SimSun"/>
              </w:rPr>
            </w:pPr>
            <w:r w:rsidRPr="00AC3044">
              <w:rPr>
                <w:rFonts w:eastAsia="SimSun"/>
              </w:rPr>
              <w:t>Суточная доза</w:t>
            </w:r>
          </w:p>
        </w:tc>
        <w:tc>
          <w:tcPr>
            <w:tcW w:w="1418" w:type="dxa"/>
            <w:vAlign w:val="center"/>
          </w:tcPr>
          <w:p w14:paraId="1DFD7A39" w14:textId="77777777" w:rsidR="00304132" w:rsidRPr="00AC3044" w:rsidRDefault="00304132" w:rsidP="00CD5E09">
            <w:pPr>
              <w:rPr>
                <w:rFonts w:eastAsia="SimSun"/>
              </w:rPr>
            </w:pPr>
            <w:r w:rsidRPr="00AC3044">
              <w:rPr>
                <w:rFonts w:eastAsia="SimSun"/>
              </w:rPr>
              <w:t>Курсовая доза</w:t>
            </w:r>
          </w:p>
        </w:tc>
        <w:tc>
          <w:tcPr>
            <w:tcW w:w="1701" w:type="dxa"/>
            <w:vAlign w:val="center"/>
          </w:tcPr>
          <w:p w14:paraId="2046A790" w14:textId="77777777" w:rsidR="00304132" w:rsidRPr="00AC3044" w:rsidRDefault="00304132" w:rsidP="00CD5E09">
            <w:pPr>
              <w:rPr>
                <w:rFonts w:eastAsia="SimSun"/>
              </w:rPr>
            </w:pPr>
            <w:r w:rsidRPr="00AC3044">
              <w:rPr>
                <w:rFonts w:eastAsia="SimSun"/>
              </w:rPr>
              <w:t>Дни введения</w:t>
            </w:r>
          </w:p>
        </w:tc>
        <w:tc>
          <w:tcPr>
            <w:tcW w:w="2268" w:type="dxa"/>
            <w:vAlign w:val="center"/>
          </w:tcPr>
          <w:p w14:paraId="51970465" w14:textId="77777777" w:rsidR="00304132" w:rsidRPr="00AC3044" w:rsidRDefault="00304132" w:rsidP="00CD5E09">
            <w:pPr>
              <w:rPr>
                <w:rFonts w:eastAsia="SimSun"/>
              </w:rPr>
            </w:pPr>
            <w:r w:rsidRPr="00AC3044">
              <w:rPr>
                <w:rFonts w:eastAsia="SimSun"/>
              </w:rPr>
              <w:t>Порядок введения</w:t>
            </w:r>
          </w:p>
        </w:tc>
      </w:tr>
      <w:tr w:rsidR="00304132" w:rsidRPr="00AC3044" w14:paraId="5CED785B" w14:textId="77777777" w:rsidTr="00CD5E09">
        <w:trPr>
          <w:cantSplit/>
          <w:trHeight w:val="20"/>
        </w:trPr>
        <w:tc>
          <w:tcPr>
            <w:tcW w:w="851" w:type="dxa"/>
            <w:vMerge w:val="restart"/>
            <w:textDirection w:val="btLr"/>
            <w:vAlign w:val="center"/>
          </w:tcPr>
          <w:p w14:paraId="27F183C8" w14:textId="77777777" w:rsidR="00304132" w:rsidRPr="00AC3044" w:rsidRDefault="00304132" w:rsidP="00CD5E09">
            <w:pPr>
              <w:rPr>
                <w:rFonts w:eastAsia="SimSun"/>
              </w:rPr>
            </w:pPr>
            <w:r w:rsidRPr="00AC3044">
              <w:rPr>
                <w:rFonts w:eastAsia="SimSun"/>
              </w:rPr>
              <w:t>Кондиционирование</w:t>
            </w:r>
          </w:p>
        </w:tc>
        <w:tc>
          <w:tcPr>
            <w:tcW w:w="1701" w:type="dxa"/>
            <w:vAlign w:val="center"/>
          </w:tcPr>
          <w:p w14:paraId="77596931" w14:textId="77777777" w:rsidR="00304132" w:rsidRPr="00AC3044" w:rsidRDefault="00304132" w:rsidP="00CD5E09">
            <w:pPr>
              <w:rPr>
                <w:rFonts w:eastAsia="SimSun"/>
              </w:rPr>
            </w:pPr>
            <w:r w:rsidRPr="00AC3044">
              <w:rPr>
                <w:rFonts w:eastAsia="SimSun"/>
              </w:rPr>
              <w:t xml:space="preserve">Флударабин </w:t>
            </w:r>
          </w:p>
        </w:tc>
        <w:tc>
          <w:tcPr>
            <w:tcW w:w="1559" w:type="dxa"/>
            <w:vAlign w:val="center"/>
          </w:tcPr>
          <w:p w14:paraId="3C257F54" w14:textId="77777777" w:rsidR="00304132" w:rsidRPr="00AC3044" w:rsidRDefault="00304132" w:rsidP="00CD5E09">
            <w:pPr>
              <w:rPr>
                <w:rFonts w:eastAsia="SimSun"/>
              </w:rPr>
            </w:pPr>
            <w:r w:rsidRPr="00AC3044">
              <w:rPr>
                <w:rFonts w:eastAsia="SimSun"/>
              </w:rPr>
              <w:t>30 мг/м</w:t>
            </w:r>
            <w:r w:rsidRPr="00DB259E">
              <w:rPr>
                <w:rFonts w:eastAsia="SimSun"/>
                <w:vertAlign w:val="superscript"/>
              </w:rPr>
              <w:t>2</w:t>
            </w:r>
          </w:p>
        </w:tc>
        <w:tc>
          <w:tcPr>
            <w:tcW w:w="1418" w:type="dxa"/>
            <w:vAlign w:val="center"/>
          </w:tcPr>
          <w:p w14:paraId="05927D2E" w14:textId="77777777" w:rsidR="00304132" w:rsidRPr="00AC3044" w:rsidRDefault="00304132" w:rsidP="00CD5E09">
            <w:pPr>
              <w:rPr>
                <w:rFonts w:eastAsia="SimSun"/>
              </w:rPr>
            </w:pPr>
            <w:r w:rsidRPr="00AC3044">
              <w:rPr>
                <w:rFonts w:eastAsia="SimSun"/>
              </w:rPr>
              <w:t>180 мг/м</w:t>
            </w:r>
            <w:r w:rsidRPr="00DB259E">
              <w:rPr>
                <w:rFonts w:eastAsia="SimSun"/>
                <w:vertAlign w:val="superscript"/>
              </w:rPr>
              <w:t>2</w:t>
            </w:r>
          </w:p>
        </w:tc>
        <w:tc>
          <w:tcPr>
            <w:tcW w:w="1701" w:type="dxa"/>
            <w:vAlign w:val="center"/>
          </w:tcPr>
          <w:p w14:paraId="5FD90202" w14:textId="77777777" w:rsidR="00304132" w:rsidRPr="00AC3044" w:rsidRDefault="00304132" w:rsidP="00CD5E09">
            <w:pPr>
              <w:rPr>
                <w:rFonts w:eastAsia="SimSun"/>
              </w:rPr>
            </w:pPr>
            <w:r w:rsidRPr="00AC3044">
              <w:rPr>
                <w:rFonts w:eastAsia="SimSun"/>
              </w:rPr>
              <w:t>С –10 по –5 день</w:t>
            </w:r>
          </w:p>
        </w:tc>
        <w:tc>
          <w:tcPr>
            <w:tcW w:w="2268" w:type="dxa"/>
            <w:vAlign w:val="center"/>
          </w:tcPr>
          <w:p w14:paraId="232EFEB0" w14:textId="77777777" w:rsidR="00304132" w:rsidRPr="00AC3044" w:rsidRDefault="00304132" w:rsidP="00CD5E09">
            <w:pPr>
              <w:rPr>
                <w:rFonts w:eastAsia="SimSun"/>
              </w:rPr>
            </w:pPr>
            <w:r w:rsidRPr="00AC3044">
              <w:rPr>
                <w:rFonts w:eastAsia="SimSun"/>
              </w:rPr>
              <w:t>В/в, в течение 30 -60 мин</w:t>
            </w:r>
          </w:p>
        </w:tc>
      </w:tr>
      <w:tr w:rsidR="00304132" w:rsidRPr="00AC3044" w14:paraId="7F4A3DD7" w14:textId="77777777" w:rsidTr="00CD5E09">
        <w:trPr>
          <w:cantSplit/>
          <w:trHeight w:val="20"/>
        </w:trPr>
        <w:tc>
          <w:tcPr>
            <w:tcW w:w="851" w:type="dxa"/>
            <w:vMerge/>
            <w:textDirection w:val="btLr"/>
            <w:vAlign w:val="center"/>
          </w:tcPr>
          <w:p w14:paraId="1D2F33C5" w14:textId="77777777" w:rsidR="00304132" w:rsidRPr="00AC3044" w:rsidRDefault="00304132" w:rsidP="00CD5E09">
            <w:pPr>
              <w:rPr>
                <w:rFonts w:eastAsia="SimSun"/>
              </w:rPr>
            </w:pPr>
          </w:p>
        </w:tc>
        <w:tc>
          <w:tcPr>
            <w:tcW w:w="1701" w:type="dxa"/>
            <w:vAlign w:val="center"/>
          </w:tcPr>
          <w:p w14:paraId="36E1D7F2" w14:textId="77777777" w:rsidR="00304132" w:rsidRPr="00AC3044" w:rsidRDefault="00304132" w:rsidP="00CD5E09">
            <w:pPr>
              <w:rPr>
                <w:rFonts w:eastAsia="SimSun"/>
              </w:rPr>
            </w:pPr>
            <w:r w:rsidRPr="00AC3044">
              <w:rPr>
                <w:rFonts w:eastAsia="SimSun"/>
              </w:rPr>
              <w:t>Бусульфан</w:t>
            </w:r>
          </w:p>
        </w:tc>
        <w:tc>
          <w:tcPr>
            <w:tcW w:w="1559" w:type="dxa"/>
            <w:vAlign w:val="center"/>
          </w:tcPr>
          <w:p w14:paraId="11262E6B" w14:textId="77777777" w:rsidR="00304132" w:rsidRPr="00AC3044" w:rsidRDefault="00304132" w:rsidP="00CD5E09">
            <w:pPr>
              <w:rPr>
                <w:rFonts w:eastAsia="SimSun"/>
              </w:rPr>
            </w:pPr>
            <w:r w:rsidRPr="00AC3044">
              <w:rPr>
                <w:rFonts w:eastAsia="SimSun"/>
              </w:rPr>
              <w:t>4 мг/кг</w:t>
            </w:r>
          </w:p>
        </w:tc>
        <w:tc>
          <w:tcPr>
            <w:tcW w:w="1418" w:type="dxa"/>
            <w:vAlign w:val="center"/>
          </w:tcPr>
          <w:p w14:paraId="00CF67A3" w14:textId="77777777" w:rsidR="00304132" w:rsidRPr="00AC3044" w:rsidRDefault="00304132" w:rsidP="00CD5E09">
            <w:pPr>
              <w:rPr>
                <w:rFonts w:eastAsia="SimSun"/>
              </w:rPr>
            </w:pPr>
            <w:r w:rsidRPr="00AC3044">
              <w:rPr>
                <w:rFonts w:eastAsia="SimSun"/>
              </w:rPr>
              <w:t>8 мг/кг</w:t>
            </w:r>
          </w:p>
        </w:tc>
        <w:tc>
          <w:tcPr>
            <w:tcW w:w="1701" w:type="dxa"/>
            <w:vAlign w:val="center"/>
          </w:tcPr>
          <w:p w14:paraId="2FC78480" w14:textId="77777777" w:rsidR="00304132" w:rsidRPr="00AC3044" w:rsidRDefault="00304132" w:rsidP="00CD5E09">
            <w:pPr>
              <w:rPr>
                <w:rFonts w:eastAsia="SimSun"/>
              </w:rPr>
            </w:pPr>
            <w:r w:rsidRPr="00AC3044">
              <w:rPr>
                <w:rFonts w:eastAsia="SimSun"/>
              </w:rPr>
              <w:t>С –6 по –5 день</w:t>
            </w:r>
          </w:p>
        </w:tc>
        <w:tc>
          <w:tcPr>
            <w:tcW w:w="2268" w:type="dxa"/>
            <w:vAlign w:val="center"/>
          </w:tcPr>
          <w:p w14:paraId="1432E364" w14:textId="77777777" w:rsidR="00304132" w:rsidRPr="00AC3044" w:rsidRDefault="00304132" w:rsidP="00CD5E09">
            <w:pPr>
              <w:rPr>
                <w:rFonts w:eastAsia="SimSun"/>
              </w:rPr>
            </w:pPr>
            <w:r w:rsidRPr="00AC3044">
              <w:rPr>
                <w:rFonts w:eastAsia="SimSun"/>
              </w:rPr>
              <w:t>Внутрь, суммарная суточная доза разделяется на 4 приема с интервалом 6 часов.</w:t>
            </w:r>
          </w:p>
        </w:tc>
      </w:tr>
      <w:tr w:rsidR="00304132" w:rsidRPr="00AC3044" w14:paraId="1F86459D" w14:textId="77777777" w:rsidTr="00CD5E09">
        <w:trPr>
          <w:cantSplit/>
          <w:trHeight w:val="20"/>
        </w:trPr>
        <w:tc>
          <w:tcPr>
            <w:tcW w:w="851" w:type="dxa"/>
            <w:vMerge w:val="restart"/>
            <w:textDirection w:val="btLr"/>
            <w:vAlign w:val="center"/>
          </w:tcPr>
          <w:p w14:paraId="5E3366BD" w14:textId="77777777" w:rsidR="00304132" w:rsidRPr="00AC3044" w:rsidRDefault="00304132" w:rsidP="00CD5E09">
            <w:pPr>
              <w:rPr>
                <w:rFonts w:eastAsia="SimSun"/>
              </w:rPr>
            </w:pPr>
            <w:r w:rsidRPr="00AC3044">
              <w:rPr>
                <w:rFonts w:eastAsia="SimSun"/>
              </w:rPr>
              <w:t>Профилактика РТПХ</w:t>
            </w:r>
          </w:p>
        </w:tc>
        <w:tc>
          <w:tcPr>
            <w:tcW w:w="1701" w:type="dxa"/>
            <w:vAlign w:val="center"/>
          </w:tcPr>
          <w:p w14:paraId="74F94C08" w14:textId="77777777" w:rsidR="00304132" w:rsidRPr="00AC3044" w:rsidRDefault="00304132" w:rsidP="00CD5E09">
            <w:pPr>
              <w:rPr>
                <w:rFonts w:eastAsia="SimSun"/>
              </w:rPr>
            </w:pPr>
            <w:r w:rsidRPr="00AC3044">
              <w:rPr>
                <w:rFonts w:eastAsia="SimSun"/>
              </w:rPr>
              <w:t>АТГ (лошадиный)</w:t>
            </w:r>
          </w:p>
        </w:tc>
        <w:tc>
          <w:tcPr>
            <w:tcW w:w="1559" w:type="dxa"/>
            <w:vAlign w:val="center"/>
          </w:tcPr>
          <w:p w14:paraId="1AE6B3EA" w14:textId="77777777" w:rsidR="00304132" w:rsidRPr="00AC3044" w:rsidRDefault="00304132" w:rsidP="00CD5E09">
            <w:pPr>
              <w:rPr>
                <w:rFonts w:eastAsia="SimSun"/>
              </w:rPr>
            </w:pPr>
            <w:r w:rsidRPr="00AC3044">
              <w:rPr>
                <w:rFonts w:eastAsia="SimSun"/>
              </w:rPr>
              <w:t>10-15 мг/кг</w:t>
            </w:r>
          </w:p>
        </w:tc>
        <w:tc>
          <w:tcPr>
            <w:tcW w:w="1418" w:type="dxa"/>
            <w:vAlign w:val="center"/>
          </w:tcPr>
          <w:p w14:paraId="1F90C5CB" w14:textId="77777777" w:rsidR="00304132" w:rsidRPr="00AC3044" w:rsidRDefault="00304132" w:rsidP="00CD5E09">
            <w:pPr>
              <w:rPr>
                <w:rFonts w:eastAsia="SimSun"/>
              </w:rPr>
            </w:pPr>
            <w:r w:rsidRPr="00AC3044">
              <w:rPr>
                <w:rFonts w:eastAsia="SimSun"/>
              </w:rPr>
              <w:t>40-60 мг/кг</w:t>
            </w:r>
          </w:p>
        </w:tc>
        <w:tc>
          <w:tcPr>
            <w:tcW w:w="1701" w:type="dxa"/>
            <w:vAlign w:val="center"/>
          </w:tcPr>
          <w:p w14:paraId="1000AF8D" w14:textId="77777777" w:rsidR="00304132" w:rsidRPr="00AC3044" w:rsidRDefault="00304132" w:rsidP="00CD5E09">
            <w:pPr>
              <w:rPr>
                <w:rFonts w:eastAsia="SimSun"/>
              </w:rPr>
            </w:pPr>
            <w:r w:rsidRPr="00AC3044">
              <w:rPr>
                <w:rFonts w:eastAsia="SimSun"/>
              </w:rPr>
              <w:t>С –4 по –1 день</w:t>
            </w:r>
          </w:p>
        </w:tc>
        <w:tc>
          <w:tcPr>
            <w:tcW w:w="2268" w:type="dxa"/>
            <w:vAlign w:val="center"/>
          </w:tcPr>
          <w:p w14:paraId="055B6D8C" w14:textId="77777777" w:rsidR="00304132" w:rsidRPr="00AC3044" w:rsidRDefault="00304132" w:rsidP="00CD5E09">
            <w:pPr>
              <w:rPr>
                <w:rFonts w:eastAsia="SimSun"/>
              </w:rPr>
            </w:pPr>
            <w:r w:rsidRPr="00AC3044">
              <w:rPr>
                <w:rFonts w:eastAsia="SimSun"/>
              </w:rPr>
              <w:t>В/в. Суточная доза разделяется</w:t>
            </w:r>
            <w:r w:rsidRPr="00AC3044" w:rsidDel="00130EA4">
              <w:rPr>
                <w:rFonts w:eastAsia="SimSun"/>
              </w:rPr>
              <w:t xml:space="preserve"> </w:t>
            </w:r>
            <w:r w:rsidRPr="00AC3044">
              <w:rPr>
                <w:rFonts w:eastAsia="SimSun"/>
              </w:rPr>
              <w:t>на 2 введения (см.</w:t>
            </w:r>
            <w:r>
              <w:rPr>
                <w:rFonts w:eastAsia="SimSun"/>
              </w:rPr>
              <w:t xml:space="preserve"> </w:t>
            </w:r>
            <w:r w:rsidRPr="00AC3044">
              <w:rPr>
                <w:rFonts w:eastAsia="SimSun"/>
              </w:rPr>
              <w:t>«Инфузия АТГ»)</w:t>
            </w:r>
          </w:p>
        </w:tc>
      </w:tr>
      <w:tr w:rsidR="00304132" w:rsidRPr="00AC3044" w14:paraId="1FD396D7" w14:textId="77777777" w:rsidTr="00CD5E09">
        <w:trPr>
          <w:cantSplit/>
          <w:trHeight w:val="20"/>
        </w:trPr>
        <w:tc>
          <w:tcPr>
            <w:tcW w:w="851" w:type="dxa"/>
            <w:vMerge/>
            <w:textDirection w:val="btLr"/>
          </w:tcPr>
          <w:p w14:paraId="7D2962E3" w14:textId="77777777" w:rsidR="00304132" w:rsidRPr="00AC3044" w:rsidRDefault="00304132" w:rsidP="00CD5E09">
            <w:pPr>
              <w:rPr>
                <w:rFonts w:eastAsia="SimSun"/>
              </w:rPr>
            </w:pPr>
          </w:p>
        </w:tc>
        <w:tc>
          <w:tcPr>
            <w:tcW w:w="1701" w:type="dxa"/>
            <w:vAlign w:val="center"/>
          </w:tcPr>
          <w:p w14:paraId="37C389EA" w14:textId="77777777" w:rsidR="00304132" w:rsidRPr="00AC3044" w:rsidRDefault="00304132" w:rsidP="00CD5E09">
            <w:pPr>
              <w:rPr>
                <w:rFonts w:eastAsia="SimSun"/>
              </w:rPr>
            </w:pPr>
            <w:r w:rsidRPr="00AC3044">
              <w:rPr>
                <w:rFonts w:eastAsia="SimSun"/>
              </w:rPr>
              <w:t>Циклоспорин</w:t>
            </w:r>
          </w:p>
        </w:tc>
        <w:tc>
          <w:tcPr>
            <w:tcW w:w="1559" w:type="dxa"/>
            <w:vAlign w:val="center"/>
          </w:tcPr>
          <w:p w14:paraId="638E9BC4" w14:textId="77777777" w:rsidR="00304132" w:rsidRPr="00AC3044" w:rsidRDefault="00304132" w:rsidP="00CD5E09">
            <w:pPr>
              <w:rPr>
                <w:rFonts w:eastAsia="SimSun"/>
              </w:rPr>
            </w:pPr>
            <w:r w:rsidRPr="00AC3044">
              <w:rPr>
                <w:rFonts w:eastAsia="SimSun"/>
              </w:rPr>
              <w:t>3 мг/кг</w:t>
            </w:r>
          </w:p>
        </w:tc>
        <w:tc>
          <w:tcPr>
            <w:tcW w:w="1418" w:type="dxa"/>
            <w:vAlign w:val="center"/>
          </w:tcPr>
          <w:p w14:paraId="70FA8C29" w14:textId="77777777" w:rsidR="00304132" w:rsidRPr="00AC3044" w:rsidRDefault="00304132" w:rsidP="00CD5E09">
            <w:pPr>
              <w:rPr>
                <w:rFonts w:eastAsia="SimSun"/>
              </w:rPr>
            </w:pPr>
            <w:r w:rsidRPr="00AC3044">
              <w:rPr>
                <w:rFonts w:eastAsia="SimSun"/>
              </w:rPr>
              <w:t>–</w:t>
            </w:r>
          </w:p>
        </w:tc>
        <w:tc>
          <w:tcPr>
            <w:tcW w:w="1701" w:type="dxa"/>
            <w:vAlign w:val="center"/>
          </w:tcPr>
          <w:p w14:paraId="56DFF88E" w14:textId="77777777" w:rsidR="00304132" w:rsidRPr="00AC3044" w:rsidRDefault="00304132" w:rsidP="00CD5E09">
            <w:pPr>
              <w:rPr>
                <w:rFonts w:eastAsia="SimSun"/>
              </w:rPr>
            </w:pPr>
            <w:r w:rsidRPr="00AC3044">
              <w:rPr>
                <w:rFonts w:eastAsia="SimSun"/>
              </w:rPr>
              <w:t>С –1 по +90 день, затем постепенное снижение к +180 дню</w:t>
            </w:r>
          </w:p>
        </w:tc>
        <w:tc>
          <w:tcPr>
            <w:tcW w:w="2268" w:type="dxa"/>
            <w:vAlign w:val="center"/>
          </w:tcPr>
          <w:p w14:paraId="694F3C92" w14:textId="77777777" w:rsidR="00304132" w:rsidRPr="00AC3044" w:rsidRDefault="00304132" w:rsidP="00CD5E09">
            <w:pPr>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sidRPr="00DB259E">
              <w:rPr>
                <w:rFonts w:eastAsia="SimSun"/>
              </w:rPr>
              <w:t>х</w:t>
            </w:r>
            <w:r w:rsidRPr="00AC3044">
              <w:rPr>
                <w:rFonts w:eastAsia="SimSun"/>
              </w:rPr>
              <w:t xml:space="preserve"> 10</w:t>
            </w:r>
            <w:r w:rsidRPr="00DB259E">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304132" w:rsidRPr="00AC3044" w14:paraId="2A748D7C" w14:textId="77777777" w:rsidTr="00CD5E09">
        <w:trPr>
          <w:cantSplit/>
          <w:trHeight w:val="20"/>
        </w:trPr>
        <w:tc>
          <w:tcPr>
            <w:tcW w:w="851" w:type="dxa"/>
            <w:vMerge/>
          </w:tcPr>
          <w:p w14:paraId="134E7BDE" w14:textId="77777777" w:rsidR="00304132" w:rsidRPr="00AC3044" w:rsidRDefault="00304132" w:rsidP="00CD5E09">
            <w:pPr>
              <w:rPr>
                <w:rFonts w:eastAsia="SimSun"/>
              </w:rPr>
            </w:pPr>
          </w:p>
        </w:tc>
        <w:tc>
          <w:tcPr>
            <w:tcW w:w="1701" w:type="dxa"/>
            <w:vMerge w:val="restart"/>
            <w:vAlign w:val="center"/>
          </w:tcPr>
          <w:p w14:paraId="44F2AB3F" w14:textId="77777777" w:rsidR="00304132" w:rsidRPr="00AC3044" w:rsidRDefault="00304132" w:rsidP="00CD5E09">
            <w:pPr>
              <w:rPr>
                <w:rFonts w:eastAsia="SimSun"/>
              </w:rPr>
            </w:pPr>
            <w:r w:rsidRPr="00AC3044">
              <w:rPr>
                <w:rFonts w:eastAsia="SimSun"/>
              </w:rPr>
              <w:t>Метотрексат</w:t>
            </w:r>
          </w:p>
        </w:tc>
        <w:tc>
          <w:tcPr>
            <w:tcW w:w="1559" w:type="dxa"/>
            <w:vAlign w:val="center"/>
          </w:tcPr>
          <w:p w14:paraId="2CA0612F" w14:textId="77777777" w:rsidR="00304132" w:rsidRPr="00AC3044" w:rsidRDefault="00304132" w:rsidP="00CD5E09">
            <w:pPr>
              <w:rPr>
                <w:rFonts w:eastAsia="SimSun"/>
              </w:rPr>
            </w:pPr>
            <w:r w:rsidRPr="00AC3044">
              <w:rPr>
                <w:rFonts w:eastAsia="SimSun"/>
              </w:rPr>
              <w:t>15 мг/м</w:t>
            </w:r>
            <w:r w:rsidRPr="00DB259E">
              <w:rPr>
                <w:rFonts w:eastAsia="SimSun"/>
                <w:vertAlign w:val="superscript"/>
              </w:rPr>
              <w:t>2</w:t>
            </w:r>
          </w:p>
        </w:tc>
        <w:tc>
          <w:tcPr>
            <w:tcW w:w="1418" w:type="dxa"/>
            <w:vAlign w:val="center"/>
          </w:tcPr>
          <w:p w14:paraId="1FBD24FD" w14:textId="77777777" w:rsidR="00304132" w:rsidRPr="00AC3044" w:rsidRDefault="00304132" w:rsidP="00CD5E09">
            <w:pPr>
              <w:rPr>
                <w:rFonts w:eastAsia="SimSun"/>
              </w:rPr>
            </w:pPr>
            <w:r w:rsidRPr="00AC3044">
              <w:rPr>
                <w:rFonts w:eastAsia="SimSun"/>
              </w:rPr>
              <w:t>–</w:t>
            </w:r>
          </w:p>
        </w:tc>
        <w:tc>
          <w:tcPr>
            <w:tcW w:w="1701" w:type="dxa"/>
            <w:vAlign w:val="center"/>
          </w:tcPr>
          <w:p w14:paraId="3640BA61" w14:textId="77777777" w:rsidR="00304132" w:rsidRPr="00AC3044" w:rsidRDefault="00304132" w:rsidP="00CD5E09">
            <w:pPr>
              <w:rPr>
                <w:rFonts w:eastAsia="SimSun"/>
              </w:rPr>
            </w:pPr>
            <w:r w:rsidRPr="00AC3044">
              <w:rPr>
                <w:rFonts w:eastAsia="SimSun"/>
              </w:rPr>
              <w:t>+1 день</w:t>
            </w:r>
          </w:p>
        </w:tc>
        <w:tc>
          <w:tcPr>
            <w:tcW w:w="2268" w:type="dxa"/>
            <w:vAlign w:val="center"/>
          </w:tcPr>
          <w:p w14:paraId="6C3AE51D" w14:textId="77777777" w:rsidR="00304132" w:rsidRPr="00AC3044" w:rsidRDefault="00304132" w:rsidP="00CD5E09">
            <w:pPr>
              <w:rPr>
                <w:rFonts w:eastAsia="SimSun"/>
              </w:rPr>
            </w:pPr>
            <w:r w:rsidRPr="00AC3044">
              <w:rPr>
                <w:rFonts w:eastAsia="SimSun"/>
              </w:rPr>
              <w:t xml:space="preserve">В/в, в 20 мл физ. р-ра </w:t>
            </w:r>
          </w:p>
        </w:tc>
      </w:tr>
      <w:tr w:rsidR="00304132" w:rsidRPr="00AC3044" w14:paraId="13A55339" w14:textId="77777777" w:rsidTr="00CD5E09">
        <w:trPr>
          <w:cantSplit/>
          <w:trHeight w:val="464"/>
        </w:trPr>
        <w:tc>
          <w:tcPr>
            <w:tcW w:w="851" w:type="dxa"/>
            <w:vMerge/>
          </w:tcPr>
          <w:p w14:paraId="5464A2F1" w14:textId="77777777" w:rsidR="00304132" w:rsidRPr="00AC3044" w:rsidRDefault="00304132" w:rsidP="00CD5E09">
            <w:pPr>
              <w:rPr>
                <w:rFonts w:eastAsia="SimSun"/>
              </w:rPr>
            </w:pPr>
          </w:p>
        </w:tc>
        <w:tc>
          <w:tcPr>
            <w:tcW w:w="1701" w:type="dxa"/>
            <w:vMerge/>
            <w:vAlign w:val="center"/>
          </w:tcPr>
          <w:p w14:paraId="33CBC9AC" w14:textId="77777777" w:rsidR="00304132" w:rsidRPr="00AC3044" w:rsidRDefault="00304132" w:rsidP="00CD5E09">
            <w:pPr>
              <w:rPr>
                <w:rFonts w:eastAsia="SimSun"/>
              </w:rPr>
            </w:pPr>
          </w:p>
        </w:tc>
        <w:tc>
          <w:tcPr>
            <w:tcW w:w="1559" w:type="dxa"/>
            <w:vAlign w:val="center"/>
          </w:tcPr>
          <w:p w14:paraId="2C04A852" w14:textId="77777777" w:rsidR="00304132" w:rsidRPr="00AC3044" w:rsidRDefault="00304132" w:rsidP="00CD5E09">
            <w:pPr>
              <w:rPr>
                <w:rFonts w:eastAsia="SimSun"/>
              </w:rPr>
            </w:pPr>
            <w:r w:rsidRPr="00AC3044">
              <w:rPr>
                <w:rFonts w:eastAsia="SimSun"/>
              </w:rPr>
              <w:t>10 мг/м</w:t>
            </w:r>
            <w:r w:rsidRPr="00DB259E">
              <w:rPr>
                <w:rFonts w:eastAsia="SimSun"/>
                <w:vertAlign w:val="superscript"/>
              </w:rPr>
              <w:t>2</w:t>
            </w:r>
          </w:p>
        </w:tc>
        <w:tc>
          <w:tcPr>
            <w:tcW w:w="1418" w:type="dxa"/>
            <w:vAlign w:val="center"/>
          </w:tcPr>
          <w:p w14:paraId="49BA2DA7" w14:textId="77777777" w:rsidR="00304132" w:rsidRPr="00AC3044" w:rsidRDefault="00304132" w:rsidP="00CD5E09">
            <w:pPr>
              <w:rPr>
                <w:rFonts w:eastAsia="SimSun"/>
              </w:rPr>
            </w:pPr>
            <w:r w:rsidRPr="00AC3044">
              <w:rPr>
                <w:rFonts w:eastAsia="SimSun"/>
              </w:rPr>
              <w:t>–</w:t>
            </w:r>
          </w:p>
        </w:tc>
        <w:tc>
          <w:tcPr>
            <w:tcW w:w="1701" w:type="dxa"/>
            <w:vAlign w:val="center"/>
          </w:tcPr>
          <w:p w14:paraId="06762DAC" w14:textId="77777777" w:rsidR="00304132" w:rsidRPr="00AC3044" w:rsidRDefault="00304132" w:rsidP="00CD5E09">
            <w:pPr>
              <w:rPr>
                <w:rFonts w:eastAsia="SimSun"/>
              </w:rPr>
            </w:pPr>
            <w:r w:rsidRPr="00AC3044">
              <w:rPr>
                <w:rFonts w:eastAsia="SimSun"/>
              </w:rPr>
              <w:t>+3, +6, +11 дни</w:t>
            </w:r>
          </w:p>
        </w:tc>
        <w:tc>
          <w:tcPr>
            <w:tcW w:w="2268" w:type="dxa"/>
            <w:vAlign w:val="center"/>
          </w:tcPr>
          <w:p w14:paraId="7EC2D654" w14:textId="77777777" w:rsidR="00304132" w:rsidRPr="00AC3044" w:rsidRDefault="00304132" w:rsidP="00CD5E09">
            <w:pPr>
              <w:rPr>
                <w:rFonts w:eastAsia="SimSun"/>
              </w:rPr>
            </w:pPr>
            <w:r w:rsidRPr="00AC3044">
              <w:rPr>
                <w:rFonts w:eastAsia="SimSun"/>
              </w:rPr>
              <w:t>В/в, в 20 мл физ. р-ра</w:t>
            </w:r>
          </w:p>
        </w:tc>
      </w:tr>
      <w:tr w:rsidR="00304132" w:rsidRPr="00AC3044" w14:paraId="250C3209" w14:textId="77777777" w:rsidTr="00CD5E09">
        <w:trPr>
          <w:cantSplit/>
          <w:trHeight w:val="464"/>
        </w:trPr>
        <w:tc>
          <w:tcPr>
            <w:tcW w:w="851" w:type="dxa"/>
            <w:vMerge/>
          </w:tcPr>
          <w:p w14:paraId="48766B2D" w14:textId="77777777" w:rsidR="00304132" w:rsidRPr="00AC3044" w:rsidRDefault="00304132" w:rsidP="00CD5E09">
            <w:pPr>
              <w:rPr>
                <w:rFonts w:eastAsia="SimSun"/>
              </w:rPr>
            </w:pPr>
          </w:p>
        </w:tc>
        <w:tc>
          <w:tcPr>
            <w:tcW w:w="1701" w:type="dxa"/>
            <w:vAlign w:val="center"/>
          </w:tcPr>
          <w:p w14:paraId="01FA8367" w14:textId="77777777" w:rsidR="00304132" w:rsidRPr="00AC3044" w:rsidRDefault="00304132" w:rsidP="00CD5E09">
            <w:pPr>
              <w:rPr>
                <w:rFonts w:eastAsia="SimSun"/>
              </w:rPr>
            </w:pPr>
            <w:r w:rsidRPr="00AC3044">
              <w:rPr>
                <w:rFonts w:eastAsia="SimSun"/>
              </w:rPr>
              <w:t>Микофенолата мофетил</w:t>
            </w:r>
          </w:p>
        </w:tc>
        <w:tc>
          <w:tcPr>
            <w:tcW w:w="1559" w:type="dxa"/>
            <w:vAlign w:val="center"/>
          </w:tcPr>
          <w:p w14:paraId="028FC909" w14:textId="77777777" w:rsidR="00304132" w:rsidRPr="00AC3044" w:rsidRDefault="00304132" w:rsidP="00CD5E09">
            <w:pPr>
              <w:rPr>
                <w:rFonts w:eastAsia="SimSun"/>
              </w:rPr>
            </w:pPr>
            <w:r w:rsidRPr="00AC3044">
              <w:rPr>
                <w:rFonts w:eastAsia="SimSun"/>
              </w:rPr>
              <w:t>45 мг/кг</w:t>
            </w:r>
          </w:p>
        </w:tc>
        <w:tc>
          <w:tcPr>
            <w:tcW w:w="1418" w:type="dxa"/>
            <w:vAlign w:val="center"/>
          </w:tcPr>
          <w:p w14:paraId="611FFDBD" w14:textId="77777777" w:rsidR="00304132" w:rsidRPr="00AC3044" w:rsidRDefault="00304132" w:rsidP="00CD5E09">
            <w:pPr>
              <w:rPr>
                <w:rFonts w:eastAsia="SimSun"/>
              </w:rPr>
            </w:pPr>
            <w:r w:rsidRPr="00AC3044">
              <w:rPr>
                <w:rFonts w:eastAsia="SimSun"/>
              </w:rPr>
              <w:t>–</w:t>
            </w:r>
          </w:p>
        </w:tc>
        <w:tc>
          <w:tcPr>
            <w:tcW w:w="1701" w:type="dxa"/>
            <w:vAlign w:val="center"/>
          </w:tcPr>
          <w:p w14:paraId="23563797" w14:textId="77777777" w:rsidR="00304132" w:rsidRPr="00AC3044" w:rsidRDefault="00304132" w:rsidP="00CD5E09">
            <w:pPr>
              <w:rPr>
                <w:rFonts w:eastAsia="SimSun"/>
              </w:rPr>
            </w:pPr>
            <w:r w:rsidRPr="00AC3044">
              <w:rPr>
                <w:rFonts w:eastAsia="SimSun"/>
              </w:rPr>
              <w:t>С +1 по +90 день</w:t>
            </w:r>
          </w:p>
        </w:tc>
        <w:tc>
          <w:tcPr>
            <w:tcW w:w="2268" w:type="dxa"/>
            <w:vAlign w:val="center"/>
          </w:tcPr>
          <w:p w14:paraId="3D9F5853" w14:textId="77777777" w:rsidR="00304132" w:rsidRPr="00AC3044" w:rsidRDefault="00304132" w:rsidP="00CD5E09">
            <w:pPr>
              <w:rPr>
                <w:rFonts w:eastAsia="SimSun"/>
              </w:rPr>
            </w:pPr>
            <w:r w:rsidRPr="00AC3044">
              <w:rPr>
                <w:rFonts w:eastAsia="SimSun"/>
              </w:rPr>
              <w:t xml:space="preserve">Внутрь, суммарная суточная доза разделяется на 2- 4 приема (не более 3г/сут).  </w:t>
            </w:r>
          </w:p>
        </w:tc>
      </w:tr>
    </w:tbl>
    <w:p w14:paraId="5FE83A7D" w14:textId="77777777" w:rsidR="00304132" w:rsidRDefault="00304132" w:rsidP="00304132">
      <w:pPr>
        <w:rPr>
          <w:rFonts w:eastAsia="SimSun"/>
        </w:rPr>
      </w:pPr>
      <w:bookmarkStart w:id="346" w:name="_Toc44401206"/>
    </w:p>
    <w:p w14:paraId="6B18C897" w14:textId="77777777" w:rsidR="00304132" w:rsidRPr="00C07B2E" w:rsidRDefault="00304132" w:rsidP="00304132">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2.2.6  – Flu180+Bu8 / rATG+CSA+MTX+MMF45</w:t>
      </w:r>
      <w:bookmarkEnd w:id="346"/>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51"/>
        <w:gridCol w:w="1701"/>
        <w:gridCol w:w="1559"/>
        <w:gridCol w:w="1418"/>
        <w:gridCol w:w="1701"/>
        <w:gridCol w:w="2268"/>
      </w:tblGrid>
      <w:tr w:rsidR="00304132" w:rsidRPr="00AC3044" w14:paraId="61387F57" w14:textId="77777777" w:rsidTr="00CD5E09">
        <w:trPr>
          <w:cantSplit/>
          <w:trHeight w:val="20"/>
          <w:tblHeader/>
        </w:trPr>
        <w:tc>
          <w:tcPr>
            <w:tcW w:w="851" w:type="dxa"/>
          </w:tcPr>
          <w:p w14:paraId="30D43A60" w14:textId="77777777" w:rsidR="00304132" w:rsidRPr="00470D3D" w:rsidRDefault="00304132" w:rsidP="00CD5E09">
            <w:pPr>
              <w:rPr>
                <w:rFonts w:eastAsia="SimSun"/>
              </w:rPr>
            </w:pPr>
          </w:p>
        </w:tc>
        <w:tc>
          <w:tcPr>
            <w:tcW w:w="1701" w:type="dxa"/>
            <w:vAlign w:val="center"/>
          </w:tcPr>
          <w:p w14:paraId="58D02F8B" w14:textId="77777777" w:rsidR="00304132" w:rsidRPr="00AC3044" w:rsidRDefault="00304132" w:rsidP="00CD5E09">
            <w:pPr>
              <w:rPr>
                <w:rFonts w:eastAsia="SimSun"/>
              </w:rPr>
            </w:pPr>
            <w:r w:rsidRPr="00AC3044">
              <w:rPr>
                <w:rFonts w:eastAsia="SimSun"/>
              </w:rPr>
              <w:t>Препарат</w:t>
            </w:r>
          </w:p>
        </w:tc>
        <w:tc>
          <w:tcPr>
            <w:tcW w:w="1559" w:type="dxa"/>
            <w:vAlign w:val="center"/>
          </w:tcPr>
          <w:p w14:paraId="45BCC9F4" w14:textId="77777777" w:rsidR="00304132" w:rsidRPr="00AC3044" w:rsidRDefault="00304132" w:rsidP="00CD5E09">
            <w:pPr>
              <w:rPr>
                <w:rFonts w:eastAsia="SimSun"/>
              </w:rPr>
            </w:pPr>
            <w:r w:rsidRPr="00AC3044">
              <w:rPr>
                <w:rFonts w:eastAsia="SimSun"/>
              </w:rPr>
              <w:t>Суточная доза</w:t>
            </w:r>
          </w:p>
        </w:tc>
        <w:tc>
          <w:tcPr>
            <w:tcW w:w="1418" w:type="dxa"/>
            <w:vAlign w:val="center"/>
          </w:tcPr>
          <w:p w14:paraId="769C630A" w14:textId="77777777" w:rsidR="00304132" w:rsidRPr="00AC3044" w:rsidRDefault="00304132" w:rsidP="00CD5E09">
            <w:pPr>
              <w:rPr>
                <w:rFonts w:eastAsia="SimSun"/>
              </w:rPr>
            </w:pPr>
            <w:r w:rsidRPr="00AC3044">
              <w:rPr>
                <w:rFonts w:eastAsia="SimSun"/>
              </w:rPr>
              <w:t>Курсовая доза</w:t>
            </w:r>
          </w:p>
        </w:tc>
        <w:tc>
          <w:tcPr>
            <w:tcW w:w="1701" w:type="dxa"/>
            <w:vAlign w:val="center"/>
          </w:tcPr>
          <w:p w14:paraId="689068D2" w14:textId="77777777" w:rsidR="00304132" w:rsidRPr="00AC3044" w:rsidRDefault="00304132" w:rsidP="00CD5E09">
            <w:pPr>
              <w:rPr>
                <w:rFonts w:eastAsia="SimSun"/>
              </w:rPr>
            </w:pPr>
            <w:r w:rsidRPr="00AC3044">
              <w:rPr>
                <w:rFonts w:eastAsia="SimSun"/>
              </w:rPr>
              <w:t>Дни введения</w:t>
            </w:r>
          </w:p>
        </w:tc>
        <w:tc>
          <w:tcPr>
            <w:tcW w:w="2268" w:type="dxa"/>
            <w:vAlign w:val="center"/>
          </w:tcPr>
          <w:p w14:paraId="0712399A" w14:textId="77777777" w:rsidR="00304132" w:rsidRPr="00AC3044" w:rsidRDefault="00304132" w:rsidP="00CD5E09">
            <w:pPr>
              <w:rPr>
                <w:rFonts w:eastAsia="SimSun"/>
              </w:rPr>
            </w:pPr>
            <w:r w:rsidRPr="00AC3044">
              <w:rPr>
                <w:rFonts w:eastAsia="SimSun"/>
              </w:rPr>
              <w:t>Порядок введения</w:t>
            </w:r>
          </w:p>
        </w:tc>
      </w:tr>
      <w:tr w:rsidR="00304132" w:rsidRPr="00AC3044" w14:paraId="0FE7E20D" w14:textId="77777777" w:rsidTr="00CD5E09">
        <w:trPr>
          <w:cantSplit/>
          <w:trHeight w:val="20"/>
        </w:trPr>
        <w:tc>
          <w:tcPr>
            <w:tcW w:w="851" w:type="dxa"/>
            <w:vMerge w:val="restart"/>
            <w:textDirection w:val="btLr"/>
            <w:vAlign w:val="center"/>
          </w:tcPr>
          <w:p w14:paraId="4F7A27DD" w14:textId="77777777" w:rsidR="00304132" w:rsidRPr="00AC3044" w:rsidRDefault="00304132" w:rsidP="00CD5E09">
            <w:pPr>
              <w:rPr>
                <w:rFonts w:eastAsia="SimSun"/>
              </w:rPr>
            </w:pPr>
            <w:r w:rsidRPr="00AC3044">
              <w:rPr>
                <w:rFonts w:eastAsia="SimSun"/>
              </w:rPr>
              <w:t>Кондиционирование</w:t>
            </w:r>
          </w:p>
        </w:tc>
        <w:tc>
          <w:tcPr>
            <w:tcW w:w="1701" w:type="dxa"/>
            <w:vAlign w:val="center"/>
          </w:tcPr>
          <w:p w14:paraId="1C581B69" w14:textId="77777777" w:rsidR="00304132" w:rsidRPr="00AC3044" w:rsidRDefault="00304132" w:rsidP="00CD5E09">
            <w:pPr>
              <w:rPr>
                <w:rFonts w:eastAsia="SimSun"/>
              </w:rPr>
            </w:pPr>
            <w:r w:rsidRPr="00AC3044">
              <w:rPr>
                <w:rFonts w:eastAsia="SimSun"/>
              </w:rPr>
              <w:t xml:space="preserve">Флударабин </w:t>
            </w:r>
          </w:p>
        </w:tc>
        <w:tc>
          <w:tcPr>
            <w:tcW w:w="1559" w:type="dxa"/>
            <w:vAlign w:val="center"/>
          </w:tcPr>
          <w:p w14:paraId="7B20419D" w14:textId="77777777" w:rsidR="00304132" w:rsidRPr="00AC3044" w:rsidRDefault="00304132" w:rsidP="00CD5E09">
            <w:pPr>
              <w:rPr>
                <w:rFonts w:eastAsia="SimSun"/>
              </w:rPr>
            </w:pPr>
            <w:r w:rsidRPr="00AC3044">
              <w:rPr>
                <w:rFonts w:eastAsia="SimSun"/>
              </w:rPr>
              <w:t>30 мг/м</w:t>
            </w:r>
            <w:r w:rsidRPr="00DB259E">
              <w:rPr>
                <w:rFonts w:eastAsia="SimSun"/>
                <w:vertAlign w:val="superscript"/>
              </w:rPr>
              <w:t>2</w:t>
            </w:r>
          </w:p>
        </w:tc>
        <w:tc>
          <w:tcPr>
            <w:tcW w:w="1418" w:type="dxa"/>
            <w:vAlign w:val="center"/>
          </w:tcPr>
          <w:p w14:paraId="1F822643" w14:textId="77777777" w:rsidR="00304132" w:rsidRPr="00AC3044" w:rsidRDefault="00304132" w:rsidP="00CD5E09">
            <w:pPr>
              <w:rPr>
                <w:rFonts w:eastAsia="SimSun"/>
              </w:rPr>
            </w:pPr>
            <w:r w:rsidRPr="00AC3044">
              <w:rPr>
                <w:rFonts w:eastAsia="SimSun"/>
              </w:rPr>
              <w:t>180 мг/м</w:t>
            </w:r>
            <w:r w:rsidRPr="00DB259E">
              <w:rPr>
                <w:rFonts w:eastAsia="SimSun"/>
                <w:vertAlign w:val="superscript"/>
              </w:rPr>
              <w:t>2</w:t>
            </w:r>
          </w:p>
        </w:tc>
        <w:tc>
          <w:tcPr>
            <w:tcW w:w="1701" w:type="dxa"/>
            <w:vAlign w:val="center"/>
          </w:tcPr>
          <w:p w14:paraId="5F02A67D" w14:textId="77777777" w:rsidR="00304132" w:rsidRPr="00AC3044" w:rsidRDefault="00304132" w:rsidP="00CD5E09">
            <w:pPr>
              <w:rPr>
                <w:rFonts w:eastAsia="SimSun"/>
              </w:rPr>
            </w:pPr>
            <w:r w:rsidRPr="00AC3044">
              <w:rPr>
                <w:rFonts w:eastAsia="SimSun"/>
              </w:rPr>
              <w:t>С –9 по –4 день</w:t>
            </w:r>
          </w:p>
        </w:tc>
        <w:tc>
          <w:tcPr>
            <w:tcW w:w="2268" w:type="dxa"/>
            <w:vAlign w:val="center"/>
          </w:tcPr>
          <w:p w14:paraId="03B9F490" w14:textId="77777777" w:rsidR="00304132" w:rsidRPr="00AC3044" w:rsidRDefault="00304132" w:rsidP="00CD5E09">
            <w:pPr>
              <w:rPr>
                <w:rFonts w:eastAsia="SimSun"/>
              </w:rPr>
            </w:pPr>
            <w:r w:rsidRPr="00AC3044">
              <w:rPr>
                <w:rFonts w:eastAsia="SimSun"/>
              </w:rPr>
              <w:t>В/в, в течение 30 -60 мин</w:t>
            </w:r>
          </w:p>
        </w:tc>
      </w:tr>
      <w:tr w:rsidR="00304132" w:rsidRPr="00AC3044" w14:paraId="490A74DD" w14:textId="77777777" w:rsidTr="00CD5E09">
        <w:trPr>
          <w:cantSplit/>
          <w:trHeight w:val="20"/>
        </w:trPr>
        <w:tc>
          <w:tcPr>
            <w:tcW w:w="851" w:type="dxa"/>
            <w:vMerge/>
            <w:textDirection w:val="btLr"/>
            <w:vAlign w:val="center"/>
          </w:tcPr>
          <w:p w14:paraId="4DD7C6DE" w14:textId="77777777" w:rsidR="00304132" w:rsidRPr="00AC3044" w:rsidRDefault="00304132" w:rsidP="00CD5E09">
            <w:pPr>
              <w:rPr>
                <w:rFonts w:eastAsia="SimSun"/>
              </w:rPr>
            </w:pPr>
          </w:p>
        </w:tc>
        <w:tc>
          <w:tcPr>
            <w:tcW w:w="1701" w:type="dxa"/>
            <w:vAlign w:val="center"/>
          </w:tcPr>
          <w:p w14:paraId="69F50AB0" w14:textId="77777777" w:rsidR="00304132" w:rsidRPr="00AC3044" w:rsidRDefault="00304132" w:rsidP="00CD5E09">
            <w:pPr>
              <w:rPr>
                <w:rFonts w:eastAsia="SimSun"/>
              </w:rPr>
            </w:pPr>
            <w:r w:rsidRPr="00AC3044">
              <w:rPr>
                <w:rFonts w:eastAsia="SimSun"/>
              </w:rPr>
              <w:t>Бусульфан</w:t>
            </w:r>
          </w:p>
        </w:tc>
        <w:tc>
          <w:tcPr>
            <w:tcW w:w="1559" w:type="dxa"/>
            <w:vAlign w:val="center"/>
          </w:tcPr>
          <w:p w14:paraId="78A7EC2F" w14:textId="77777777" w:rsidR="00304132" w:rsidRPr="00AC3044" w:rsidRDefault="00304132" w:rsidP="00CD5E09">
            <w:pPr>
              <w:rPr>
                <w:rFonts w:eastAsia="SimSun"/>
              </w:rPr>
            </w:pPr>
            <w:r w:rsidRPr="00AC3044">
              <w:rPr>
                <w:rFonts w:eastAsia="SimSun"/>
              </w:rPr>
              <w:t>4 мг/кг</w:t>
            </w:r>
          </w:p>
        </w:tc>
        <w:tc>
          <w:tcPr>
            <w:tcW w:w="1418" w:type="dxa"/>
            <w:vAlign w:val="center"/>
          </w:tcPr>
          <w:p w14:paraId="5D1CB6A4" w14:textId="77777777" w:rsidR="00304132" w:rsidRPr="00AC3044" w:rsidRDefault="00304132" w:rsidP="00CD5E09">
            <w:pPr>
              <w:rPr>
                <w:rFonts w:eastAsia="SimSun"/>
              </w:rPr>
            </w:pPr>
            <w:r w:rsidRPr="00AC3044">
              <w:rPr>
                <w:rFonts w:eastAsia="SimSun"/>
              </w:rPr>
              <w:t>8 мг/кг</w:t>
            </w:r>
          </w:p>
        </w:tc>
        <w:tc>
          <w:tcPr>
            <w:tcW w:w="1701" w:type="dxa"/>
            <w:vAlign w:val="center"/>
          </w:tcPr>
          <w:p w14:paraId="31979D40" w14:textId="77777777" w:rsidR="00304132" w:rsidRPr="00AC3044" w:rsidRDefault="00304132" w:rsidP="00CD5E09">
            <w:pPr>
              <w:rPr>
                <w:rFonts w:eastAsia="SimSun"/>
              </w:rPr>
            </w:pPr>
            <w:r w:rsidRPr="00AC3044">
              <w:rPr>
                <w:rFonts w:eastAsia="SimSun"/>
              </w:rPr>
              <w:t>С –5 по –4 день</w:t>
            </w:r>
          </w:p>
        </w:tc>
        <w:tc>
          <w:tcPr>
            <w:tcW w:w="2268" w:type="dxa"/>
            <w:vAlign w:val="center"/>
          </w:tcPr>
          <w:p w14:paraId="20787AC4" w14:textId="77777777" w:rsidR="00304132" w:rsidRPr="00AC3044" w:rsidRDefault="00304132" w:rsidP="00CD5E09">
            <w:pPr>
              <w:rPr>
                <w:rFonts w:eastAsia="SimSun"/>
              </w:rPr>
            </w:pPr>
            <w:r w:rsidRPr="00AC3044">
              <w:rPr>
                <w:rFonts w:eastAsia="SimSun"/>
              </w:rPr>
              <w:t>Внутрь, суммарная суточная доза разделяется на 4 приема с интервалом 6 часов.</w:t>
            </w:r>
          </w:p>
        </w:tc>
      </w:tr>
      <w:tr w:rsidR="00304132" w:rsidRPr="00AC3044" w14:paraId="17160913" w14:textId="77777777" w:rsidTr="00CD5E09">
        <w:trPr>
          <w:cantSplit/>
          <w:trHeight w:val="20"/>
        </w:trPr>
        <w:tc>
          <w:tcPr>
            <w:tcW w:w="851" w:type="dxa"/>
            <w:vMerge w:val="restart"/>
            <w:textDirection w:val="btLr"/>
            <w:vAlign w:val="center"/>
          </w:tcPr>
          <w:p w14:paraId="31321CF3" w14:textId="77777777" w:rsidR="00304132" w:rsidRPr="00AC3044" w:rsidRDefault="00304132" w:rsidP="00CD5E09">
            <w:pPr>
              <w:rPr>
                <w:rFonts w:eastAsia="SimSun"/>
              </w:rPr>
            </w:pPr>
            <w:r w:rsidRPr="00AC3044">
              <w:rPr>
                <w:rFonts w:eastAsia="SimSun"/>
              </w:rPr>
              <w:t>Профилактика РТПХ</w:t>
            </w:r>
          </w:p>
        </w:tc>
        <w:tc>
          <w:tcPr>
            <w:tcW w:w="1701" w:type="dxa"/>
            <w:vAlign w:val="center"/>
          </w:tcPr>
          <w:p w14:paraId="6A8D67DF" w14:textId="77777777" w:rsidR="00304132" w:rsidRPr="00AC3044" w:rsidRDefault="00304132" w:rsidP="00CD5E09">
            <w:pPr>
              <w:rPr>
                <w:rFonts w:eastAsia="SimSun"/>
              </w:rPr>
            </w:pPr>
            <w:r w:rsidRPr="00AC3044">
              <w:rPr>
                <w:rFonts w:eastAsia="SimSun"/>
              </w:rPr>
              <w:t>АТГ (кроличий)</w:t>
            </w:r>
          </w:p>
        </w:tc>
        <w:tc>
          <w:tcPr>
            <w:tcW w:w="1559" w:type="dxa"/>
            <w:vAlign w:val="center"/>
          </w:tcPr>
          <w:p w14:paraId="4DD6CECC" w14:textId="77777777" w:rsidR="00304132" w:rsidRPr="00AC3044" w:rsidRDefault="00304132" w:rsidP="00CD5E09">
            <w:pPr>
              <w:rPr>
                <w:rFonts w:eastAsia="SimSun"/>
              </w:rPr>
            </w:pPr>
            <w:r w:rsidRPr="00AC3044">
              <w:rPr>
                <w:rFonts w:eastAsia="SimSun"/>
              </w:rPr>
              <w:t>2,5 мг/кг</w:t>
            </w:r>
          </w:p>
        </w:tc>
        <w:tc>
          <w:tcPr>
            <w:tcW w:w="1418" w:type="dxa"/>
            <w:vAlign w:val="center"/>
          </w:tcPr>
          <w:p w14:paraId="44C83A75" w14:textId="77777777" w:rsidR="00304132" w:rsidRPr="00AC3044" w:rsidRDefault="00304132" w:rsidP="00CD5E09">
            <w:pPr>
              <w:rPr>
                <w:rFonts w:eastAsia="SimSun"/>
              </w:rPr>
            </w:pPr>
            <w:r w:rsidRPr="00AC3044">
              <w:rPr>
                <w:rFonts w:eastAsia="SimSun"/>
              </w:rPr>
              <w:t>5- 7,5 мг/кг2</w:t>
            </w:r>
          </w:p>
        </w:tc>
        <w:tc>
          <w:tcPr>
            <w:tcW w:w="1701" w:type="dxa"/>
            <w:vAlign w:val="center"/>
          </w:tcPr>
          <w:p w14:paraId="507765E2" w14:textId="77777777" w:rsidR="00304132" w:rsidRPr="00AC3044" w:rsidRDefault="00304132" w:rsidP="00CD5E09">
            <w:pPr>
              <w:rPr>
                <w:rFonts w:eastAsia="SimSun"/>
              </w:rPr>
            </w:pPr>
            <w:r w:rsidRPr="00AC3044">
              <w:rPr>
                <w:rFonts w:eastAsia="SimSun"/>
              </w:rPr>
              <w:t>С –3 по –2 (-1) день</w:t>
            </w:r>
          </w:p>
        </w:tc>
        <w:tc>
          <w:tcPr>
            <w:tcW w:w="2268" w:type="dxa"/>
            <w:vAlign w:val="center"/>
          </w:tcPr>
          <w:p w14:paraId="0F8C5E9B" w14:textId="77777777" w:rsidR="00304132" w:rsidRPr="00AC3044" w:rsidRDefault="00304132" w:rsidP="00CD5E09">
            <w:pPr>
              <w:rPr>
                <w:rFonts w:eastAsia="SimSun"/>
              </w:rPr>
            </w:pPr>
            <w:r w:rsidRPr="00AC3044">
              <w:rPr>
                <w:rFonts w:eastAsia="SimSun"/>
              </w:rPr>
              <w:t>В/в. Суточная доза разделяется</w:t>
            </w:r>
            <w:r w:rsidRPr="00AC3044" w:rsidDel="00130EA4">
              <w:rPr>
                <w:rFonts w:eastAsia="SimSun"/>
              </w:rPr>
              <w:t xml:space="preserve"> </w:t>
            </w:r>
            <w:r w:rsidRPr="00AC3044">
              <w:rPr>
                <w:rFonts w:eastAsia="SimSun"/>
              </w:rPr>
              <w:t>на 2 введения (см.</w:t>
            </w:r>
            <w:r>
              <w:rPr>
                <w:rFonts w:eastAsia="SimSun"/>
              </w:rPr>
              <w:t xml:space="preserve"> </w:t>
            </w:r>
            <w:r w:rsidRPr="00AC3044">
              <w:rPr>
                <w:rFonts w:eastAsia="SimSun"/>
              </w:rPr>
              <w:t>«Инфузия АТГ»)</w:t>
            </w:r>
          </w:p>
        </w:tc>
      </w:tr>
      <w:tr w:rsidR="00304132" w:rsidRPr="00AC3044" w14:paraId="36993C0B" w14:textId="77777777" w:rsidTr="00CD5E09">
        <w:trPr>
          <w:cantSplit/>
          <w:trHeight w:val="20"/>
        </w:trPr>
        <w:tc>
          <w:tcPr>
            <w:tcW w:w="851" w:type="dxa"/>
            <w:vMerge/>
            <w:textDirection w:val="btLr"/>
          </w:tcPr>
          <w:p w14:paraId="4366CA2F" w14:textId="77777777" w:rsidR="00304132" w:rsidRPr="00AC3044" w:rsidRDefault="00304132" w:rsidP="00CD5E09">
            <w:pPr>
              <w:rPr>
                <w:rFonts w:eastAsia="SimSun"/>
              </w:rPr>
            </w:pPr>
          </w:p>
        </w:tc>
        <w:tc>
          <w:tcPr>
            <w:tcW w:w="1701" w:type="dxa"/>
            <w:vAlign w:val="center"/>
          </w:tcPr>
          <w:p w14:paraId="59675453" w14:textId="77777777" w:rsidR="00304132" w:rsidRPr="00AC3044" w:rsidRDefault="00304132" w:rsidP="00CD5E09">
            <w:pPr>
              <w:rPr>
                <w:rFonts w:eastAsia="SimSun"/>
              </w:rPr>
            </w:pPr>
            <w:r w:rsidRPr="00AC3044">
              <w:rPr>
                <w:rFonts w:eastAsia="SimSun"/>
              </w:rPr>
              <w:t>Циклоспорин</w:t>
            </w:r>
          </w:p>
        </w:tc>
        <w:tc>
          <w:tcPr>
            <w:tcW w:w="1559" w:type="dxa"/>
            <w:vAlign w:val="center"/>
          </w:tcPr>
          <w:p w14:paraId="6C1AD987" w14:textId="77777777" w:rsidR="00304132" w:rsidRPr="00AC3044" w:rsidRDefault="00304132" w:rsidP="00CD5E09">
            <w:pPr>
              <w:rPr>
                <w:rFonts w:eastAsia="SimSun"/>
              </w:rPr>
            </w:pPr>
            <w:r w:rsidRPr="00AC3044">
              <w:rPr>
                <w:rFonts w:eastAsia="SimSun"/>
              </w:rPr>
              <w:t>3 мг/кг</w:t>
            </w:r>
          </w:p>
        </w:tc>
        <w:tc>
          <w:tcPr>
            <w:tcW w:w="1418" w:type="dxa"/>
            <w:vAlign w:val="center"/>
          </w:tcPr>
          <w:p w14:paraId="5D180707" w14:textId="77777777" w:rsidR="00304132" w:rsidRPr="00AC3044" w:rsidRDefault="00304132" w:rsidP="00CD5E09">
            <w:pPr>
              <w:rPr>
                <w:rFonts w:eastAsia="SimSun"/>
              </w:rPr>
            </w:pPr>
            <w:r w:rsidRPr="00AC3044">
              <w:rPr>
                <w:rFonts w:eastAsia="SimSun"/>
              </w:rPr>
              <w:t>–</w:t>
            </w:r>
          </w:p>
        </w:tc>
        <w:tc>
          <w:tcPr>
            <w:tcW w:w="1701" w:type="dxa"/>
            <w:vAlign w:val="center"/>
          </w:tcPr>
          <w:p w14:paraId="7DD28276" w14:textId="77777777" w:rsidR="00304132" w:rsidRPr="00AC3044" w:rsidRDefault="00304132" w:rsidP="00CD5E09">
            <w:pPr>
              <w:rPr>
                <w:rFonts w:eastAsia="SimSun"/>
              </w:rPr>
            </w:pPr>
            <w:r w:rsidRPr="00AC3044">
              <w:rPr>
                <w:rFonts w:eastAsia="SimSun"/>
              </w:rPr>
              <w:t>С–1 по +90 день, затем постепенное снижение к +180 дню</w:t>
            </w:r>
          </w:p>
        </w:tc>
        <w:tc>
          <w:tcPr>
            <w:tcW w:w="2268" w:type="dxa"/>
            <w:vAlign w:val="center"/>
          </w:tcPr>
          <w:p w14:paraId="0FE3F0CA" w14:textId="77777777" w:rsidR="00304132" w:rsidRPr="00AC3044" w:rsidRDefault="00304132" w:rsidP="00CD5E09">
            <w:pPr>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sidRPr="00AC3044">
              <w:rPr>
                <w:rFonts w:eastAsia="SimSun"/>
              </w:rPr>
              <w:t> 109/л, при отсутствии тошноты, рвоты, диареи и возможности приема внутрь. Концентрация 150-350 нг/мл</w:t>
            </w:r>
          </w:p>
        </w:tc>
      </w:tr>
      <w:tr w:rsidR="00304132" w:rsidRPr="00AC3044" w14:paraId="51C957D7" w14:textId="77777777" w:rsidTr="00CD5E09">
        <w:trPr>
          <w:cantSplit/>
          <w:trHeight w:val="20"/>
        </w:trPr>
        <w:tc>
          <w:tcPr>
            <w:tcW w:w="851" w:type="dxa"/>
            <w:vMerge/>
          </w:tcPr>
          <w:p w14:paraId="2FA1307D" w14:textId="77777777" w:rsidR="00304132" w:rsidRPr="00AC3044" w:rsidRDefault="00304132" w:rsidP="00CD5E09">
            <w:pPr>
              <w:rPr>
                <w:rFonts w:eastAsia="SimSun"/>
              </w:rPr>
            </w:pPr>
          </w:p>
        </w:tc>
        <w:tc>
          <w:tcPr>
            <w:tcW w:w="1701" w:type="dxa"/>
            <w:vMerge w:val="restart"/>
            <w:vAlign w:val="center"/>
          </w:tcPr>
          <w:p w14:paraId="55CDF19E" w14:textId="77777777" w:rsidR="00304132" w:rsidRPr="00AC3044" w:rsidRDefault="00304132" w:rsidP="00CD5E09">
            <w:pPr>
              <w:rPr>
                <w:rFonts w:eastAsia="SimSun"/>
              </w:rPr>
            </w:pPr>
            <w:r w:rsidRPr="00AC3044">
              <w:rPr>
                <w:rFonts w:eastAsia="SimSun"/>
              </w:rPr>
              <w:t>Метотрексат</w:t>
            </w:r>
          </w:p>
        </w:tc>
        <w:tc>
          <w:tcPr>
            <w:tcW w:w="1559" w:type="dxa"/>
            <w:vAlign w:val="center"/>
          </w:tcPr>
          <w:p w14:paraId="58BB1BCE" w14:textId="77777777" w:rsidR="00304132" w:rsidRPr="00AC3044" w:rsidRDefault="00304132" w:rsidP="00CD5E09">
            <w:pPr>
              <w:rPr>
                <w:rFonts w:eastAsia="SimSun"/>
              </w:rPr>
            </w:pPr>
            <w:r w:rsidRPr="00AC3044">
              <w:rPr>
                <w:rFonts w:eastAsia="SimSun"/>
              </w:rPr>
              <w:t>15 мг/м</w:t>
            </w:r>
            <w:r w:rsidRPr="00DB259E">
              <w:rPr>
                <w:rFonts w:eastAsia="SimSun"/>
                <w:vertAlign w:val="superscript"/>
              </w:rPr>
              <w:t>2</w:t>
            </w:r>
          </w:p>
        </w:tc>
        <w:tc>
          <w:tcPr>
            <w:tcW w:w="1418" w:type="dxa"/>
            <w:vAlign w:val="center"/>
          </w:tcPr>
          <w:p w14:paraId="1D268CC6" w14:textId="77777777" w:rsidR="00304132" w:rsidRPr="00AC3044" w:rsidRDefault="00304132" w:rsidP="00CD5E09">
            <w:pPr>
              <w:rPr>
                <w:rFonts w:eastAsia="SimSun"/>
              </w:rPr>
            </w:pPr>
            <w:r w:rsidRPr="00AC3044">
              <w:rPr>
                <w:rFonts w:eastAsia="SimSun"/>
              </w:rPr>
              <w:t>–</w:t>
            </w:r>
          </w:p>
        </w:tc>
        <w:tc>
          <w:tcPr>
            <w:tcW w:w="1701" w:type="dxa"/>
            <w:vAlign w:val="center"/>
          </w:tcPr>
          <w:p w14:paraId="6AF340B9" w14:textId="77777777" w:rsidR="00304132" w:rsidRPr="00AC3044" w:rsidRDefault="00304132" w:rsidP="00CD5E09">
            <w:pPr>
              <w:rPr>
                <w:rFonts w:eastAsia="SimSun"/>
              </w:rPr>
            </w:pPr>
            <w:r w:rsidRPr="00AC3044">
              <w:rPr>
                <w:rFonts w:eastAsia="SimSun"/>
              </w:rPr>
              <w:t>+1 день</w:t>
            </w:r>
          </w:p>
        </w:tc>
        <w:tc>
          <w:tcPr>
            <w:tcW w:w="2268" w:type="dxa"/>
            <w:vAlign w:val="center"/>
          </w:tcPr>
          <w:p w14:paraId="1106ED46" w14:textId="77777777" w:rsidR="00304132" w:rsidRPr="00AC3044" w:rsidRDefault="00304132" w:rsidP="00CD5E09">
            <w:pPr>
              <w:rPr>
                <w:rFonts w:eastAsia="SimSun"/>
              </w:rPr>
            </w:pPr>
            <w:r w:rsidRPr="00AC3044">
              <w:rPr>
                <w:rFonts w:eastAsia="SimSun"/>
              </w:rPr>
              <w:t xml:space="preserve">В/в, в 20 мл физ. р-ра </w:t>
            </w:r>
          </w:p>
        </w:tc>
      </w:tr>
      <w:tr w:rsidR="00304132" w:rsidRPr="00AC3044" w14:paraId="593E198A" w14:textId="77777777" w:rsidTr="00CD5E09">
        <w:trPr>
          <w:cantSplit/>
          <w:trHeight w:val="464"/>
        </w:trPr>
        <w:tc>
          <w:tcPr>
            <w:tcW w:w="851" w:type="dxa"/>
            <w:vMerge/>
          </w:tcPr>
          <w:p w14:paraId="343BC2E6" w14:textId="77777777" w:rsidR="00304132" w:rsidRPr="00AC3044" w:rsidRDefault="00304132" w:rsidP="00CD5E09">
            <w:pPr>
              <w:rPr>
                <w:rFonts w:eastAsia="SimSun"/>
              </w:rPr>
            </w:pPr>
          </w:p>
        </w:tc>
        <w:tc>
          <w:tcPr>
            <w:tcW w:w="1701" w:type="dxa"/>
            <w:vMerge/>
            <w:vAlign w:val="center"/>
          </w:tcPr>
          <w:p w14:paraId="73B0CBB1" w14:textId="77777777" w:rsidR="00304132" w:rsidRPr="00AC3044" w:rsidRDefault="00304132" w:rsidP="00CD5E09">
            <w:pPr>
              <w:rPr>
                <w:rFonts w:eastAsia="SimSun"/>
              </w:rPr>
            </w:pPr>
          </w:p>
        </w:tc>
        <w:tc>
          <w:tcPr>
            <w:tcW w:w="1559" w:type="dxa"/>
            <w:vAlign w:val="center"/>
          </w:tcPr>
          <w:p w14:paraId="608332D8" w14:textId="77777777" w:rsidR="00304132" w:rsidRPr="00AC3044" w:rsidRDefault="00304132" w:rsidP="00CD5E09">
            <w:pPr>
              <w:rPr>
                <w:rFonts w:eastAsia="SimSun"/>
              </w:rPr>
            </w:pPr>
            <w:r w:rsidRPr="00AC3044">
              <w:rPr>
                <w:rFonts w:eastAsia="SimSun"/>
              </w:rPr>
              <w:t>10 мг/м</w:t>
            </w:r>
            <w:r w:rsidRPr="00DB259E">
              <w:rPr>
                <w:rFonts w:eastAsia="SimSun"/>
                <w:vertAlign w:val="superscript"/>
              </w:rPr>
              <w:t>2</w:t>
            </w:r>
          </w:p>
        </w:tc>
        <w:tc>
          <w:tcPr>
            <w:tcW w:w="1418" w:type="dxa"/>
            <w:vAlign w:val="center"/>
          </w:tcPr>
          <w:p w14:paraId="244277E4" w14:textId="77777777" w:rsidR="00304132" w:rsidRPr="00AC3044" w:rsidRDefault="00304132" w:rsidP="00CD5E09">
            <w:pPr>
              <w:rPr>
                <w:rFonts w:eastAsia="SimSun"/>
              </w:rPr>
            </w:pPr>
            <w:r w:rsidRPr="00AC3044">
              <w:rPr>
                <w:rFonts w:eastAsia="SimSun"/>
              </w:rPr>
              <w:t>–</w:t>
            </w:r>
          </w:p>
        </w:tc>
        <w:tc>
          <w:tcPr>
            <w:tcW w:w="1701" w:type="dxa"/>
            <w:vAlign w:val="center"/>
          </w:tcPr>
          <w:p w14:paraId="24FE1D21" w14:textId="77777777" w:rsidR="00304132" w:rsidRPr="00AC3044" w:rsidRDefault="00304132" w:rsidP="00CD5E09">
            <w:pPr>
              <w:rPr>
                <w:rFonts w:eastAsia="SimSun"/>
              </w:rPr>
            </w:pPr>
            <w:r w:rsidRPr="00AC3044">
              <w:rPr>
                <w:rFonts w:eastAsia="SimSun"/>
              </w:rPr>
              <w:t>+3, +6, +11 дни</w:t>
            </w:r>
          </w:p>
        </w:tc>
        <w:tc>
          <w:tcPr>
            <w:tcW w:w="2268" w:type="dxa"/>
            <w:vAlign w:val="center"/>
          </w:tcPr>
          <w:p w14:paraId="43B0306A" w14:textId="77777777" w:rsidR="00304132" w:rsidRPr="00AC3044" w:rsidRDefault="00304132" w:rsidP="00CD5E09">
            <w:pPr>
              <w:rPr>
                <w:rFonts w:eastAsia="SimSun"/>
              </w:rPr>
            </w:pPr>
            <w:r w:rsidRPr="00AC3044">
              <w:rPr>
                <w:rFonts w:eastAsia="SimSun"/>
              </w:rPr>
              <w:t xml:space="preserve">В/в, в 20 мл физ. р-ра </w:t>
            </w:r>
          </w:p>
        </w:tc>
      </w:tr>
      <w:tr w:rsidR="00304132" w:rsidRPr="00AC3044" w14:paraId="6F4BB870" w14:textId="77777777" w:rsidTr="00CD5E09">
        <w:trPr>
          <w:cantSplit/>
          <w:trHeight w:val="464"/>
        </w:trPr>
        <w:tc>
          <w:tcPr>
            <w:tcW w:w="851" w:type="dxa"/>
            <w:vMerge/>
          </w:tcPr>
          <w:p w14:paraId="3E66A477" w14:textId="77777777" w:rsidR="00304132" w:rsidRPr="00AC3044" w:rsidRDefault="00304132" w:rsidP="00CD5E09">
            <w:pPr>
              <w:rPr>
                <w:rFonts w:eastAsia="SimSun"/>
              </w:rPr>
            </w:pPr>
          </w:p>
        </w:tc>
        <w:tc>
          <w:tcPr>
            <w:tcW w:w="1701" w:type="dxa"/>
            <w:vAlign w:val="center"/>
          </w:tcPr>
          <w:p w14:paraId="02C04133" w14:textId="77777777" w:rsidR="00304132" w:rsidRPr="00AC3044" w:rsidRDefault="00304132" w:rsidP="00CD5E09">
            <w:pPr>
              <w:rPr>
                <w:rFonts w:eastAsia="SimSun"/>
              </w:rPr>
            </w:pPr>
            <w:r w:rsidRPr="00AC3044">
              <w:rPr>
                <w:rFonts w:eastAsia="SimSun"/>
              </w:rPr>
              <w:t>Микофенолата мофетил</w:t>
            </w:r>
          </w:p>
        </w:tc>
        <w:tc>
          <w:tcPr>
            <w:tcW w:w="1559" w:type="dxa"/>
            <w:vAlign w:val="center"/>
          </w:tcPr>
          <w:p w14:paraId="2491FE72" w14:textId="77777777" w:rsidR="00304132" w:rsidRPr="00AC3044" w:rsidRDefault="00304132" w:rsidP="00CD5E09">
            <w:pPr>
              <w:rPr>
                <w:rFonts w:eastAsia="SimSun"/>
              </w:rPr>
            </w:pPr>
            <w:r w:rsidRPr="00AC3044">
              <w:rPr>
                <w:rFonts w:eastAsia="SimSun"/>
              </w:rPr>
              <w:t>45 мг/кг</w:t>
            </w:r>
          </w:p>
        </w:tc>
        <w:tc>
          <w:tcPr>
            <w:tcW w:w="1418" w:type="dxa"/>
            <w:vAlign w:val="center"/>
          </w:tcPr>
          <w:p w14:paraId="0FDB28BF" w14:textId="77777777" w:rsidR="00304132" w:rsidRPr="00AC3044" w:rsidRDefault="00304132" w:rsidP="00CD5E09">
            <w:pPr>
              <w:rPr>
                <w:rFonts w:eastAsia="SimSun"/>
              </w:rPr>
            </w:pPr>
            <w:r w:rsidRPr="00AC3044">
              <w:rPr>
                <w:rFonts w:eastAsia="SimSun"/>
              </w:rPr>
              <w:t>–</w:t>
            </w:r>
          </w:p>
        </w:tc>
        <w:tc>
          <w:tcPr>
            <w:tcW w:w="1701" w:type="dxa"/>
            <w:vAlign w:val="center"/>
          </w:tcPr>
          <w:p w14:paraId="65B6DCE2" w14:textId="77777777" w:rsidR="00304132" w:rsidRPr="00AC3044" w:rsidRDefault="00304132" w:rsidP="00CD5E09">
            <w:pPr>
              <w:rPr>
                <w:rFonts w:eastAsia="SimSun"/>
              </w:rPr>
            </w:pPr>
            <w:r w:rsidRPr="00AC3044">
              <w:rPr>
                <w:rFonts w:eastAsia="SimSun"/>
              </w:rPr>
              <w:t>С +1 по +90 день</w:t>
            </w:r>
          </w:p>
        </w:tc>
        <w:tc>
          <w:tcPr>
            <w:tcW w:w="2268" w:type="dxa"/>
            <w:vAlign w:val="center"/>
          </w:tcPr>
          <w:p w14:paraId="3344BE77" w14:textId="77777777" w:rsidR="00304132" w:rsidRPr="00AC3044" w:rsidRDefault="00304132" w:rsidP="00CD5E09">
            <w:pPr>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 xml:space="preserve">г/сут).  </w:t>
            </w:r>
          </w:p>
        </w:tc>
      </w:tr>
    </w:tbl>
    <w:p w14:paraId="46EF9F64" w14:textId="77777777" w:rsidR="00304132" w:rsidRDefault="00304132" w:rsidP="00304132">
      <w:pPr>
        <w:rPr>
          <w:rFonts w:eastAsia="SimSun"/>
        </w:rPr>
      </w:pPr>
      <w:bookmarkStart w:id="347" w:name="_Toc44401207"/>
    </w:p>
    <w:p w14:paraId="71C29F29" w14:textId="77777777" w:rsidR="00304132" w:rsidRPr="00C07B2E" w:rsidRDefault="00304132" w:rsidP="00304132">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2.2.7  – Flu180+Bu8 / PT-Cy+CSA+MMF30</w:t>
      </w:r>
      <w:bookmarkEnd w:id="347"/>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51"/>
        <w:gridCol w:w="1701"/>
        <w:gridCol w:w="1559"/>
        <w:gridCol w:w="1418"/>
        <w:gridCol w:w="1701"/>
        <w:gridCol w:w="2268"/>
      </w:tblGrid>
      <w:tr w:rsidR="00304132" w:rsidRPr="00AC3044" w14:paraId="3A5D9298" w14:textId="77777777" w:rsidTr="00CD5E09">
        <w:trPr>
          <w:cantSplit/>
          <w:trHeight w:val="20"/>
          <w:tblHeader/>
        </w:trPr>
        <w:tc>
          <w:tcPr>
            <w:tcW w:w="851" w:type="dxa"/>
          </w:tcPr>
          <w:p w14:paraId="5260CDF2" w14:textId="77777777" w:rsidR="00304132" w:rsidRPr="00470D3D" w:rsidRDefault="00304132" w:rsidP="00CD5E09">
            <w:pPr>
              <w:rPr>
                <w:rFonts w:eastAsia="SimSun"/>
              </w:rPr>
            </w:pPr>
          </w:p>
        </w:tc>
        <w:tc>
          <w:tcPr>
            <w:tcW w:w="1701" w:type="dxa"/>
            <w:vAlign w:val="center"/>
          </w:tcPr>
          <w:p w14:paraId="66C9A609" w14:textId="77777777" w:rsidR="00304132" w:rsidRPr="00AC3044" w:rsidRDefault="00304132" w:rsidP="00CD5E09">
            <w:pPr>
              <w:rPr>
                <w:rFonts w:eastAsia="SimSun"/>
              </w:rPr>
            </w:pPr>
            <w:r w:rsidRPr="00AC3044">
              <w:rPr>
                <w:rFonts w:eastAsia="SimSun"/>
              </w:rPr>
              <w:t>Препарат</w:t>
            </w:r>
          </w:p>
        </w:tc>
        <w:tc>
          <w:tcPr>
            <w:tcW w:w="1559" w:type="dxa"/>
            <w:vAlign w:val="center"/>
          </w:tcPr>
          <w:p w14:paraId="60F3A167" w14:textId="77777777" w:rsidR="00304132" w:rsidRPr="00AC3044" w:rsidRDefault="00304132" w:rsidP="00CD5E09">
            <w:pPr>
              <w:rPr>
                <w:rFonts w:eastAsia="SimSun"/>
              </w:rPr>
            </w:pPr>
            <w:r w:rsidRPr="00AC3044">
              <w:rPr>
                <w:rFonts w:eastAsia="SimSun"/>
              </w:rPr>
              <w:t>Суточная доза</w:t>
            </w:r>
          </w:p>
        </w:tc>
        <w:tc>
          <w:tcPr>
            <w:tcW w:w="1418" w:type="dxa"/>
            <w:vAlign w:val="center"/>
          </w:tcPr>
          <w:p w14:paraId="7D83C91A" w14:textId="77777777" w:rsidR="00304132" w:rsidRPr="00AC3044" w:rsidRDefault="00304132" w:rsidP="00CD5E09">
            <w:pPr>
              <w:rPr>
                <w:rFonts w:eastAsia="SimSun"/>
              </w:rPr>
            </w:pPr>
            <w:r w:rsidRPr="00AC3044">
              <w:rPr>
                <w:rFonts w:eastAsia="SimSun"/>
              </w:rPr>
              <w:t>Курсовая доза</w:t>
            </w:r>
          </w:p>
        </w:tc>
        <w:tc>
          <w:tcPr>
            <w:tcW w:w="1701" w:type="dxa"/>
            <w:vAlign w:val="center"/>
          </w:tcPr>
          <w:p w14:paraId="43C6DEBC" w14:textId="77777777" w:rsidR="00304132" w:rsidRPr="00AC3044" w:rsidRDefault="00304132" w:rsidP="00CD5E09">
            <w:pPr>
              <w:rPr>
                <w:rFonts w:eastAsia="SimSun"/>
              </w:rPr>
            </w:pPr>
            <w:r w:rsidRPr="00AC3044">
              <w:rPr>
                <w:rFonts w:eastAsia="SimSun"/>
              </w:rPr>
              <w:t>Дни введения</w:t>
            </w:r>
          </w:p>
        </w:tc>
        <w:tc>
          <w:tcPr>
            <w:tcW w:w="2268" w:type="dxa"/>
            <w:vAlign w:val="center"/>
          </w:tcPr>
          <w:p w14:paraId="3F5BA88A" w14:textId="77777777" w:rsidR="00304132" w:rsidRPr="00AC3044" w:rsidRDefault="00304132" w:rsidP="00CD5E09">
            <w:pPr>
              <w:rPr>
                <w:rFonts w:eastAsia="SimSun"/>
              </w:rPr>
            </w:pPr>
            <w:r w:rsidRPr="00AC3044">
              <w:rPr>
                <w:rFonts w:eastAsia="SimSun"/>
              </w:rPr>
              <w:t>Порядок введения</w:t>
            </w:r>
          </w:p>
        </w:tc>
      </w:tr>
      <w:tr w:rsidR="00304132" w:rsidRPr="00AC3044" w14:paraId="23AF7824" w14:textId="77777777" w:rsidTr="00CD5E09">
        <w:trPr>
          <w:cantSplit/>
          <w:trHeight w:val="20"/>
        </w:trPr>
        <w:tc>
          <w:tcPr>
            <w:tcW w:w="851" w:type="dxa"/>
            <w:vMerge w:val="restart"/>
            <w:textDirection w:val="btLr"/>
            <w:vAlign w:val="center"/>
          </w:tcPr>
          <w:p w14:paraId="32CDB09B" w14:textId="77777777" w:rsidR="00304132" w:rsidRPr="00AC3044" w:rsidRDefault="00304132" w:rsidP="00CD5E09">
            <w:pPr>
              <w:rPr>
                <w:rFonts w:eastAsia="SimSun"/>
              </w:rPr>
            </w:pPr>
            <w:r w:rsidRPr="00AC3044">
              <w:rPr>
                <w:rFonts w:eastAsia="SimSun"/>
              </w:rPr>
              <w:t>Кондиционирование</w:t>
            </w:r>
          </w:p>
        </w:tc>
        <w:tc>
          <w:tcPr>
            <w:tcW w:w="1701" w:type="dxa"/>
            <w:vAlign w:val="center"/>
          </w:tcPr>
          <w:p w14:paraId="17FCE68E" w14:textId="77777777" w:rsidR="00304132" w:rsidRPr="00AC3044" w:rsidRDefault="00304132" w:rsidP="00CD5E09">
            <w:pPr>
              <w:rPr>
                <w:rFonts w:eastAsia="SimSun"/>
              </w:rPr>
            </w:pPr>
            <w:r w:rsidRPr="00AC3044">
              <w:rPr>
                <w:rFonts w:eastAsia="SimSun"/>
              </w:rPr>
              <w:t xml:space="preserve">Флударабин </w:t>
            </w:r>
          </w:p>
        </w:tc>
        <w:tc>
          <w:tcPr>
            <w:tcW w:w="1559" w:type="dxa"/>
            <w:vAlign w:val="center"/>
          </w:tcPr>
          <w:p w14:paraId="5C258A8F" w14:textId="77777777" w:rsidR="00304132" w:rsidRPr="00AC3044" w:rsidRDefault="00304132" w:rsidP="00CD5E09">
            <w:pPr>
              <w:rPr>
                <w:rFonts w:eastAsia="SimSun"/>
              </w:rPr>
            </w:pPr>
            <w:r w:rsidRPr="00AC3044">
              <w:rPr>
                <w:rFonts w:eastAsia="SimSun"/>
              </w:rPr>
              <w:t>30 мг/м</w:t>
            </w:r>
            <w:r w:rsidRPr="00DB259E">
              <w:rPr>
                <w:rFonts w:eastAsia="SimSun"/>
                <w:vertAlign w:val="superscript"/>
              </w:rPr>
              <w:t>2</w:t>
            </w:r>
          </w:p>
        </w:tc>
        <w:tc>
          <w:tcPr>
            <w:tcW w:w="1418" w:type="dxa"/>
            <w:vAlign w:val="center"/>
          </w:tcPr>
          <w:p w14:paraId="274179E6" w14:textId="77777777" w:rsidR="00304132" w:rsidRPr="00AC3044" w:rsidRDefault="00304132" w:rsidP="00CD5E09">
            <w:pPr>
              <w:rPr>
                <w:rFonts w:eastAsia="SimSun"/>
              </w:rPr>
            </w:pPr>
            <w:r w:rsidRPr="00AC3044">
              <w:rPr>
                <w:rFonts w:eastAsia="SimSun"/>
              </w:rPr>
              <w:t>150 мг/м</w:t>
            </w:r>
            <w:r w:rsidRPr="00DB259E">
              <w:rPr>
                <w:rFonts w:eastAsia="SimSun"/>
                <w:vertAlign w:val="superscript"/>
              </w:rPr>
              <w:t>2</w:t>
            </w:r>
          </w:p>
        </w:tc>
        <w:tc>
          <w:tcPr>
            <w:tcW w:w="1701" w:type="dxa"/>
            <w:vAlign w:val="center"/>
          </w:tcPr>
          <w:p w14:paraId="15EE4041" w14:textId="77777777" w:rsidR="00304132" w:rsidRPr="00AC3044" w:rsidRDefault="00304132" w:rsidP="00CD5E09">
            <w:pPr>
              <w:rPr>
                <w:rFonts w:eastAsia="SimSun"/>
              </w:rPr>
            </w:pPr>
            <w:r w:rsidRPr="00AC3044">
              <w:rPr>
                <w:rFonts w:eastAsia="SimSun"/>
              </w:rPr>
              <w:t>С –6 по –2 день</w:t>
            </w:r>
          </w:p>
        </w:tc>
        <w:tc>
          <w:tcPr>
            <w:tcW w:w="2268" w:type="dxa"/>
            <w:vAlign w:val="center"/>
          </w:tcPr>
          <w:p w14:paraId="7023ACF7" w14:textId="77777777" w:rsidR="00304132" w:rsidRPr="00AC3044" w:rsidRDefault="00304132" w:rsidP="00CD5E09">
            <w:pPr>
              <w:rPr>
                <w:rFonts w:eastAsia="SimSun"/>
              </w:rPr>
            </w:pPr>
            <w:r w:rsidRPr="00AC3044">
              <w:rPr>
                <w:rFonts w:eastAsia="SimSun"/>
              </w:rPr>
              <w:t>В/в, в течение 30 -60 мин</w:t>
            </w:r>
          </w:p>
        </w:tc>
      </w:tr>
      <w:tr w:rsidR="00304132" w:rsidRPr="00AC3044" w14:paraId="2B06ED2A" w14:textId="77777777" w:rsidTr="00CD5E09">
        <w:trPr>
          <w:cantSplit/>
          <w:trHeight w:val="772"/>
        </w:trPr>
        <w:tc>
          <w:tcPr>
            <w:tcW w:w="851" w:type="dxa"/>
            <w:vMerge/>
            <w:textDirection w:val="btLr"/>
            <w:vAlign w:val="center"/>
          </w:tcPr>
          <w:p w14:paraId="1DA0D306" w14:textId="77777777" w:rsidR="00304132" w:rsidRPr="00AC3044" w:rsidRDefault="00304132" w:rsidP="00CD5E09">
            <w:pPr>
              <w:rPr>
                <w:rFonts w:eastAsia="SimSun"/>
              </w:rPr>
            </w:pPr>
          </w:p>
        </w:tc>
        <w:tc>
          <w:tcPr>
            <w:tcW w:w="1701" w:type="dxa"/>
            <w:vAlign w:val="center"/>
          </w:tcPr>
          <w:p w14:paraId="3DCC4DC5" w14:textId="77777777" w:rsidR="00304132" w:rsidRPr="00AC3044" w:rsidRDefault="00304132" w:rsidP="00CD5E09">
            <w:pPr>
              <w:rPr>
                <w:rFonts w:eastAsia="SimSun"/>
              </w:rPr>
            </w:pPr>
            <w:r w:rsidRPr="00AC3044">
              <w:rPr>
                <w:rFonts w:eastAsia="SimSun"/>
              </w:rPr>
              <w:t>Бусульфан</w:t>
            </w:r>
          </w:p>
        </w:tc>
        <w:tc>
          <w:tcPr>
            <w:tcW w:w="1559" w:type="dxa"/>
            <w:vAlign w:val="center"/>
          </w:tcPr>
          <w:p w14:paraId="61D04812" w14:textId="77777777" w:rsidR="00304132" w:rsidRPr="00AC3044" w:rsidRDefault="00304132" w:rsidP="00CD5E09">
            <w:pPr>
              <w:rPr>
                <w:rFonts w:eastAsia="SimSun"/>
              </w:rPr>
            </w:pPr>
            <w:r w:rsidRPr="00AC3044">
              <w:rPr>
                <w:rFonts w:eastAsia="SimSun"/>
              </w:rPr>
              <w:t>4 мг/кг</w:t>
            </w:r>
          </w:p>
        </w:tc>
        <w:tc>
          <w:tcPr>
            <w:tcW w:w="1418" w:type="dxa"/>
            <w:vAlign w:val="center"/>
          </w:tcPr>
          <w:p w14:paraId="0E69BBA6" w14:textId="77777777" w:rsidR="00304132" w:rsidRPr="00AC3044" w:rsidRDefault="00304132" w:rsidP="00CD5E09">
            <w:pPr>
              <w:rPr>
                <w:rFonts w:eastAsia="SimSun"/>
              </w:rPr>
            </w:pPr>
            <w:r w:rsidRPr="00AC3044">
              <w:rPr>
                <w:rFonts w:eastAsia="SimSun"/>
              </w:rPr>
              <w:t>8 мг/кг</w:t>
            </w:r>
          </w:p>
        </w:tc>
        <w:tc>
          <w:tcPr>
            <w:tcW w:w="1701" w:type="dxa"/>
            <w:vAlign w:val="center"/>
          </w:tcPr>
          <w:p w14:paraId="0950925F" w14:textId="77777777" w:rsidR="00304132" w:rsidRPr="00AC3044" w:rsidRDefault="00304132" w:rsidP="00CD5E09">
            <w:pPr>
              <w:rPr>
                <w:rFonts w:eastAsia="SimSun"/>
              </w:rPr>
            </w:pPr>
            <w:r w:rsidRPr="00AC3044">
              <w:rPr>
                <w:rFonts w:eastAsia="SimSun"/>
              </w:rPr>
              <w:t>С –5 по –4 день</w:t>
            </w:r>
          </w:p>
        </w:tc>
        <w:tc>
          <w:tcPr>
            <w:tcW w:w="2268" w:type="dxa"/>
            <w:vAlign w:val="center"/>
          </w:tcPr>
          <w:p w14:paraId="730BE96D" w14:textId="77777777" w:rsidR="00304132" w:rsidRPr="00AC3044" w:rsidRDefault="00304132" w:rsidP="00CD5E09">
            <w:pPr>
              <w:rPr>
                <w:rFonts w:eastAsia="SimSun"/>
              </w:rPr>
            </w:pPr>
            <w:r w:rsidRPr="00AC3044">
              <w:rPr>
                <w:rFonts w:eastAsia="SimSun"/>
              </w:rPr>
              <w:t>Внутрь, суммарная суточная доза разделяется на 4 приема с интервалом 6 часов.</w:t>
            </w:r>
          </w:p>
        </w:tc>
      </w:tr>
      <w:tr w:rsidR="00304132" w:rsidRPr="00AC3044" w14:paraId="65A42393" w14:textId="77777777" w:rsidTr="00CD5E09">
        <w:trPr>
          <w:cantSplit/>
          <w:trHeight w:val="1337"/>
        </w:trPr>
        <w:tc>
          <w:tcPr>
            <w:tcW w:w="851" w:type="dxa"/>
            <w:vMerge w:val="restart"/>
            <w:textDirection w:val="btLr"/>
            <w:vAlign w:val="center"/>
          </w:tcPr>
          <w:p w14:paraId="43C533C2" w14:textId="77777777" w:rsidR="00304132" w:rsidRPr="00AC3044" w:rsidRDefault="00304132" w:rsidP="00CD5E09">
            <w:pPr>
              <w:rPr>
                <w:rFonts w:eastAsia="SimSun"/>
              </w:rPr>
            </w:pPr>
            <w:r w:rsidRPr="00AC3044">
              <w:rPr>
                <w:rFonts w:eastAsia="SimSun"/>
              </w:rPr>
              <w:t>Профилактика РТПХ</w:t>
            </w:r>
          </w:p>
        </w:tc>
        <w:tc>
          <w:tcPr>
            <w:tcW w:w="1701" w:type="dxa"/>
            <w:vAlign w:val="center"/>
          </w:tcPr>
          <w:p w14:paraId="7F5F6899" w14:textId="77777777" w:rsidR="00304132" w:rsidRPr="00AC3044" w:rsidRDefault="00304132" w:rsidP="00CD5E09">
            <w:pPr>
              <w:rPr>
                <w:rFonts w:eastAsia="SimSun"/>
              </w:rPr>
            </w:pPr>
            <w:r w:rsidRPr="00AC3044">
              <w:rPr>
                <w:rFonts w:eastAsia="SimSun"/>
              </w:rPr>
              <w:t>Циклоспорин</w:t>
            </w:r>
          </w:p>
        </w:tc>
        <w:tc>
          <w:tcPr>
            <w:tcW w:w="1559" w:type="dxa"/>
            <w:vAlign w:val="center"/>
          </w:tcPr>
          <w:p w14:paraId="0A3CAE98" w14:textId="77777777" w:rsidR="00304132" w:rsidRPr="00AC3044" w:rsidRDefault="00304132" w:rsidP="00CD5E09">
            <w:pPr>
              <w:rPr>
                <w:rFonts w:eastAsia="SimSun"/>
              </w:rPr>
            </w:pPr>
            <w:r w:rsidRPr="00AC3044">
              <w:rPr>
                <w:rFonts w:eastAsia="SimSun"/>
              </w:rPr>
              <w:t>3 мг/кг</w:t>
            </w:r>
          </w:p>
        </w:tc>
        <w:tc>
          <w:tcPr>
            <w:tcW w:w="1418" w:type="dxa"/>
            <w:vAlign w:val="center"/>
          </w:tcPr>
          <w:p w14:paraId="5502BE2E" w14:textId="77777777" w:rsidR="00304132" w:rsidRPr="00AC3044" w:rsidRDefault="00304132" w:rsidP="00CD5E09">
            <w:pPr>
              <w:rPr>
                <w:rFonts w:eastAsia="SimSun"/>
              </w:rPr>
            </w:pPr>
            <w:r w:rsidRPr="00AC3044">
              <w:rPr>
                <w:rFonts w:eastAsia="SimSun"/>
              </w:rPr>
              <w:t>–</w:t>
            </w:r>
          </w:p>
        </w:tc>
        <w:tc>
          <w:tcPr>
            <w:tcW w:w="1701" w:type="dxa"/>
            <w:vAlign w:val="center"/>
          </w:tcPr>
          <w:p w14:paraId="6546D70E" w14:textId="77777777" w:rsidR="00304132" w:rsidRPr="00AC3044" w:rsidRDefault="00304132" w:rsidP="00CD5E09">
            <w:pPr>
              <w:rPr>
                <w:rFonts w:eastAsia="SimSun"/>
              </w:rPr>
            </w:pPr>
            <w:r w:rsidRPr="00AC3044">
              <w:rPr>
                <w:rFonts w:eastAsia="SimSun"/>
              </w:rPr>
              <w:t>С +5 дня по +90 день затем постепенное снижение к +180 дню</w:t>
            </w:r>
          </w:p>
        </w:tc>
        <w:tc>
          <w:tcPr>
            <w:tcW w:w="2268" w:type="dxa"/>
            <w:vAlign w:val="center"/>
          </w:tcPr>
          <w:p w14:paraId="69B526F3" w14:textId="77777777" w:rsidR="00304132" w:rsidRPr="00AC3044" w:rsidRDefault="00304132" w:rsidP="00CD5E09">
            <w:pPr>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DB259E">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304132" w:rsidRPr="00AC3044" w14:paraId="00414EF4" w14:textId="77777777" w:rsidTr="00CD5E09">
        <w:trPr>
          <w:cantSplit/>
          <w:trHeight w:val="308"/>
        </w:trPr>
        <w:tc>
          <w:tcPr>
            <w:tcW w:w="851" w:type="dxa"/>
            <w:vMerge/>
            <w:textDirection w:val="btLr"/>
          </w:tcPr>
          <w:p w14:paraId="64F59C6F" w14:textId="77777777" w:rsidR="00304132" w:rsidRPr="00AC3044" w:rsidRDefault="00304132" w:rsidP="00CD5E09">
            <w:pPr>
              <w:rPr>
                <w:rFonts w:eastAsia="SimSun"/>
              </w:rPr>
            </w:pPr>
          </w:p>
        </w:tc>
        <w:tc>
          <w:tcPr>
            <w:tcW w:w="1701" w:type="dxa"/>
            <w:vAlign w:val="center"/>
          </w:tcPr>
          <w:p w14:paraId="3D7F4CF4" w14:textId="77777777" w:rsidR="00304132" w:rsidRPr="00AC3044" w:rsidRDefault="00304132" w:rsidP="00CD5E09">
            <w:pPr>
              <w:rPr>
                <w:rFonts w:eastAsia="SimSun"/>
              </w:rPr>
            </w:pPr>
            <w:r w:rsidRPr="00AC3044">
              <w:rPr>
                <w:rFonts w:eastAsia="SimSun"/>
              </w:rPr>
              <w:t>Микофенолата мофетил</w:t>
            </w:r>
          </w:p>
        </w:tc>
        <w:tc>
          <w:tcPr>
            <w:tcW w:w="1559" w:type="dxa"/>
            <w:vAlign w:val="center"/>
          </w:tcPr>
          <w:p w14:paraId="57B8056E" w14:textId="77777777" w:rsidR="00304132" w:rsidRPr="00AC3044" w:rsidRDefault="00304132" w:rsidP="00CD5E09">
            <w:pPr>
              <w:rPr>
                <w:rFonts w:eastAsia="SimSun"/>
              </w:rPr>
            </w:pPr>
            <w:r w:rsidRPr="00AC3044">
              <w:rPr>
                <w:rFonts w:eastAsia="SimSun"/>
              </w:rPr>
              <w:t>30 мг/кг</w:t>
            </w:r>
          </w:p>
        </w:tc>
        <w:tc>
          <w:tcPr>
            <w:tcW w:w="1418" w:type="dxa"/>
            <w:vAlign w:val="center"/>
          </w:tcPr>
          <w:p w14:paraId="49B5302A" w14:textId="77777777" w:rsidR="00304132" w:rsidRPr="00AC3044" w:rsidRDefault="00304132" w:rsidP="00CD5E09">
            <w:pPr>
              <w:rPr>
                <w:rFonts w:eastAsia="SimSun"/>
              </w:rPr>
            </w:pPr>
            <w:r w:rsidRPr="00AC3044">
              <w:rPr>
                <w:rFonts w:eastAsia="SimSun"/>
              </w:rPr>
              <w:t>–</w:t>
            </w:r>
          </w:p>
        </w:tc>
        <w:tc>
          <w:tcPr>
            <w:tcW w:w="1701" w:type="dxa"/>
            <w:vAlign w:val="center"/>
          </w:tcPr>
          <w:p w14:paraId="4705A7FB" w14:textId="77777777" w:rsidR="00304132" w:rsidRPr="00AC3044" w:rsidRDefault="00304132" w:rsidP="00CD5E09">
            <w:pPr>
              <w:rPr>
                <w:rFonts w:eastAsia="SimSun"/>
              </w:rPr>
            </w:pPr>
            <w:r w:rsidRPr="00AC3044">
              <w:rPr>
                <w:rFonts w:eastAsia="SimSun"/>
              </w:rPr>
              <w:t>С +5 по +90 день</w:t>
            </w:r>
          </w:p>
        </w:tc>
        <w:tc>
          <w:tcPr>
            <w:tcW w:w="2268" w:type="dxa"/>
            <w:vAlign w:val="center"/>
          </w:tcPr>
          <w:p w14:paraId="3F0A112A" w14:textId="77777777" w:rsidR="00304132" w:rsidRPr="00AC3044" w:rsidRDefault="00304132" w:rsidP="00CD5E09">
            <w:pPr>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 xml:space="preserve">г/сут).  </w:t>
            </w:r>
          </w:p>
        </w:tc>
      </w:tr>
      <w:tr w:rsidR="00304132" w:rsidRPr="00AC3044" w14:paraId="3D30C889" w14:textId="77777777" w:rsidTr="00CD5E09">
        <w:trPr>
          <w:cantSplit/>
          <w:trHeight w:val="20"/>
        </w:trPr>
        <w:tc>
          <w:tcPr>
            <w:tcW w:w="851" w:type="dxa"/>
            <w:vMerge/>
            <w:textDirection w:val="btLr"/>
          </w:tcPr>
          <w:p w14:paraId="647EA02F" w14:textId="77777777" w:rsidR="00304132" w:rsidRPr="00AC3044" w:rsidRDefault="00304132" w:rsidP="00CD5E09">
            <w:pPr>
              <w:rPr>
                <w:rFonts w:eastAsia="SimSun"/>
              </w:rPr>
            </w:pPr>
          </w:p>
        </w:tc>
        <w:tc>
          <w:tcPr>
            <w:tcW w:w="1701" w:type="dxa"/>
            <w:vAlign w:val="center"/>
          </w:tcPr>
          <w:p w14:paraId="68D41818" w14:textId="77777777" w:rsidR="00304132" w:rsidRPr="00AC3044" w:rsidRDefault="00304132" w:rsidP="00CD5E09">
            <w:pPr>
              <w:rPr>
                <w:rFonts w:eastAsia="SimSun"/>
              </w:rPr>
            </w:pPr>
            <w:r w:rsidRPr="00AC3044">
              <w:rPr>
                <w:rFonts w:eastAsia="SimSun"/>
              </w:rPr>
              <w:t>Циклофосфамид</w:t>
            </w:r>
          </w:p>
        </w:tc>
        <w:tc>
          <w:tcPr>
            <w:tcW w:w="1559" w:type="dxa"/>
            <w:vAlign w:val="center"/>
          </w:tcPr>
          <w:p w14:paraId="2BAD43F6" w14:textId="77777777" w:rsidR="00304132" w:rsidRPr="00AC3044" w:rsidRDefault="00304132" w:rsidP="00CD5E09">
            <w:pPr>
              <w:rPr>
                <w:rFonts w:eastAsia="SimSun"/>
              </w:rPr>
            </w:pPr>
            <w:r w:rsidRPr="00AC3044">
              <w:rPr>
                <w:rFonts w:eastAsia="SimSun"/>
              </w:rPr>
              <w:t>50 мг/кг</w:t>
            </w:r>
          </w:p>
        </w:tc>
        <w:tc>
          <w:tcPr>
            <w:tcW w:w="1418" w:type="dxa"/>
            <w:vAlign w:val="center"/>
          </w:tcPr>
          <w:p w14:paraId="3114F5C8" w14:textId="77777777" w:rsidR="00304132" w:rsidRPr="00AC3044" w:rsidRDefault="00304132" w:rsidP="00CD5E09">
            <w:pPr>
              <w:rPr>
                <w:rFonts w:eastAsia="SimSun"/>
              </w:rPr>
            </w:pPr>
            <w:r w:rsidRPr="00AC3044">
              <w:rPr>
                <w:rFonts w:eastAsia="SimSun"/>
              </w:rPr>
              <w:t>100 мг/кг</w:t>
            </w:r>
          </w:p>
        </w:tc>
        <w:tc>
          <w:tcPr>
            <w:tcW w:w="1701" w:type="dxa"/>
            <w:vAlign w:val="center"/>
          </w:tcPr>
          <w:p w14:paraId="0C25C317" w14:textId="77777777" w:rsidR="00304132" w:rsidRPr="00AC3044" w:rsidRDefault="00304132" w:rsidP="00CD5E09">
            <w:pPr>
              <w:rPr>
                <w:rFonts w:eastAsia="SimSun"/>
              </w:rPr>
            </w:pPr>
            <w:r w:rsidRPr="00AC3044">
              <w:rPr>
                <w:rFonts w:eastAsia="SimSun"/>
              </w:rPr>
              <w:t xml:space="preserve">+3,+4 дни </w:t>
            </w:r>
          </w:p>
        </w:tc>
        <w:tc>
          <w:tcPr>
            <w:tcW w:w="2268" w:type="dxa"/>
            <w:vAlign w:val="center"/>
          </w:tcPr>
          <w:p w14:paraId="1FB9FD22" w14:textId="77777777" w:rsidR="00304132" w:rsidRPr="00AC3044" w:rsidRDefault="00304132" w:rsidP="00CD5E09">
            <w:pPr>
              <w:rPr>
                <w:rFonts w:eastAsia="SimSun"/>
              </w:rPr>
            </w:pPr>
            <w:r w:rsidRPr="00AC3044">
              <w:rPr>
                <w:rFonts w:eastAsia="SimSun"/>
              </w:rPr>
              <w:t>В/в, в течение 2 часов</w:t>
            </w:r>
          </w:p>
        </w:tc>
      </w:tr>
    </w:tbl>
    <w:p w14:paraId="1389F8AE" w14:textId="77777777" w:rsidR="00304132" w:rsidRDefault="00304132" w:rsidP="00304132">
      <w:pPr>
        <w:rPr>
          <w:rFonts w:eastAsia="SimSun"/>
        </w:rPr>
      </w:pPr>
      <w:bookmarkStart w:id="348" w:name="_Toc44401208"/>
    </w:p>
    <w:p w14:paraId="2F15D493" w14:textId="77777777" w:rsidR="00304132" w:rsidRPr="00042499" w:rsidRDefault="00304132" w:rsidP="00304132">
      <w:pPr>
        <w:rPr>
          <w:rFonts w:eastAsia="SimSun"/>
          <w:lang w:val="en-US"/>
        </w:rPr>
      </w:pPr>
      <w:r>
        <w:rPr>
          <w:rFonts w:eastAsia="SimSun"/>
        </w:rPr>
        <w:t>Таблица</w:t>
      </w:r>
      <w:r w:rsidRPr="00042499">
        <w:rPr>
          <w:rFonts w:eastAsia="SimSun"/>
          <w:lang w:val="en-US"/>
        </w:rPr>
        <w:t xml:space="preserve"> </w:t>
      </w:r>
      <w:r>
        <w:rPr>
          <w:rFonts w:eastAsia="SimSun"/>
          <w:lang w:val="en-US"/>
        </w:rPr>
        <w:t>5.</w:t>
      </w:r>
      <w:r w:rsidRPr="00042499">
        <w:rPr>
          <w:rFonts w:eastAsia="SimSun"/>
          <w:lang w:val="en-US"/>
        </w:rPr>
        <w:t xml:space="preserve">2.2.8  – </w:t>
      </w:r>
      <w:r w:rsidRPr="00657BC2">
        <w:rPr>
          <w:rFonts w:eastAsia="SimSun"/>
          <w:lang w:val="en-US"/>
        </w:rPr>
        <w:t>Flu</w:t>
      </w:r>
      <w:r w:rsidRPr="00042499">
        <w:rPr>
          <w:rFonts w:eastAsia="SimSun"/>
          <w:lang w:val="en-US"/>
        </w:rPr>
        <w:t>180+</w:t>
      </w:r>
      <w:r w:rsidRPr="00657BC2">
        <w:rPr>
          <w:rFonts w:eastAsia="SimSun"/>
          <w:lang w:val="en-US"/>
        </w:rPr>
        <w:t>Bu</w:t>
      </w:r>
      <w:r w:rsidRPr="00042499">
        <w:rPr>
          <w:rFonts w:eastAsia="SimSun"/>
          <w:lang w:val="en-US"/>
        </w:rPr>
        <w:t>8+</w:t>
      </w:r>
      <w:r w:rsidRPr="00657BC2">
        <w:rPr>
          <w:rFonts w:eastAsia="SimSun"/>
          <w:lang w:val="en-US"/>
        </w:rPr>
        <w:t>Thio</w:t>
      </w:r>
      <w:r w:rsidRPr="00042499">
        <w:rPr>
          <w:rFonts w:eastAsia="SimSun"/>
          <w:lang w:val="en-US"/>
        </w:rPr>
        <w:t xml:space="preserve"> / </w:t>
      </w:r>
      <w:r w:rsidRPr="00657BC2">
        <w:rPr>
          <w:rFonts w:eastAsia="SimSun"/>
          <w:lang w:val="en-US"/>
        </w:rPr>
        <w:t>PT</w:t>
      </w:r>
      <w:r w:rsidRPr="00042499">
        <w:rPr>
          <w:rFonts w:eastAsia="SimSun"/>
          <w:lang w:val="en-US"/>
        </w:rPr>
        <w:t>-</w:t>
      </w:r>
      <w:r w:rsidRPr="00657BC2">
        <w:rPr>
          <w:rFonts w:eastAsia="SimSun"/>
          <w:lang w:val="en-US"/>
        </w:rPr>
        <w:t>Cy</w:t>
      </w:r>
      <w:bookmarkEnd w:id="348"/>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51"/>
        <w:gridCol w:w="1701"/>
        <w:gridCol w:w="1559"/>
        <w:gridCol w:w="1418"/>
        <w:gridCol w:w="1701"/>
        <w:gridCol w:w="2268"/>
      </w:tblGrid>
      <w:tr w:rsidR="00304132" w:rsidRPr="00AC3044" w14:paraId="76713FF6" w14:textId="77777777" w:rsidTr="00CD5E09">
        <w:trPr>
          <w:cantSplit/>
          <w:trHeight w:val="20"/>
          <w:tblHeader/>
        </w:trPr>
        <w:tc>
          <w:tcPr>
            <w:tcW w:w="851" w:type="dxa"/>
            <w:vAlign w:val="center"/>
          </w:tcPr>
          <w:p w14:paraId="7388C911" w14:textId="77777777" w:rsidR="00304132" w:rsidRPr="00723FEA" w:rsidRDefault="00304132" w:rsidP="00CD5E09">
            <w:pPr>
              <w:rPr>
                <w:rFonts w:eastAsia="SimSun"/>
                <w:lang w:val="en-US"/>
              </w:rPr>
            </w:pPr>
          </w:p>
        </w:tc>
        <w:tc>
          <w:tcPr>
            <w:tcW w:w="1701" w:type="dxa"/>
            <w:vAlign w:val="center"/>
          </w:tcPr>
          <w:p w14:paraId="61967DD2" w14:textId="77777777" w:rsidR="00304132" w:rsidRPr="00AC3044" w:rsidRDefault="00304132" w:rsidP="00CD5E09">
            <w:pPr>
              <w:rPr>
                <w:rFonts w:eastAsia="SimSun"/>
              </w:rPr>
            </w:pPr>
            <w:r w:rsidRPr="00AC3044">
              <w:rPr>
                <w:rFonts w:eastAsia="SimSun"/>
              </w:rPr>
              <w:t>Препарат</w:t>
            </w:r>
          </w:p>
        </w:tc>
        <w:tc>
          <w:tcPr>
            <w:tcW w:w="1559" w:type="dxa"/>
            <w:vAlign w:val="center"/>
          </w:tcPr>
          <w:p w14:paraId="6565C9D0" w14:textId="77777777" w:rsidR="00304132" w:rsidRPr="00AC3044" w:rsidRDefault="00304132" w:rsidP="00CD5E09">
            <w:pPr>
              <w:rPr>
                <w:rFonts w:eastAsia="SimSun"/>
              </w:rPr>
            </w:pPr>
            <w:r w:rsidRPr="00AC3044">
              <w:rPr>
                <w:rFonts w:eastAsia="SimSun"/>
              </w:rPr>
              <w:t>Суточная доза</w:t>
            </w:r>
          </w:p>
        </w:tc>
        <w:tc>
          <w:tcPr>
            <w:tcW w:w="1418" w:type="dxa"/>
            <w:vAlign w:val="center"/>
          </w:tcPr>
          <w:p w14:paraId="0CFC1951" w14:textId="77777777" w:rsidR="00304132" w:rsidRPr="00AC3044" w:rsidRDefault="00304132" w:rsidP="00CD5E09">
            <w:pPr>
              <w:rPr>
                <w:rFonts w:eastAsia="SimSun"/>
              </w:rPr>
            </w:pPr>
            <w:r w:rsidRPr="00AC3044">
              <w:rPr>
                <w:rFonts w:eastAsia="SimSun"/>
              </w:rPr>
              <w:t>Курсовая доза</w:t>
            </w:r>
          </w:p>
        </w:tc>
        <w:tc>
          <w:tcPr>
            <w:tcW w:w="1701" w:type="dxa"/>
            <w:vAlign w:val="center"/>
          </w:tcPr>
          <w:p w14:paraId="3E63E95B" w14:textId="77777777" w:rsidR="00304132" w:rsidRPr="00AC3044" w:rsidRDefault="00304132" w:rsidP="00CD5E09">
            <w:pPr>
              <w:rPr>
                <w:rFonts w:eastAsia="SimSun"/>
              </w:rPr>
            </w:pPr>
            <w:r w:rsidRPr="00AC3044">
              <w:rPr>
                <w:rFonts w:eastAsia="SimSun"/>
              </w:rPr>
              <w:t>Дни введения</w:t>
            </w:r>
          </w:p>
        </w:tc>
        <w:tc>
          <w:tcPr>
            <w:tcW w:w="2268" w:type="dxa"/>
            <w:vAlign w:val="center"/>
          </w:tcPr>
          <w:p w14:paraId="19FC12FD" w14:textId="77777777" w:rsidR="00304132" w:rsidRPr="00AC3044" w:rsidRDefault="00304132" w:rsidP="00CD5E09">
            <w:pPr>
              <w:rPr>
                <w:rFonts w:eastAsia="SimSun"/>
              </w:rPr>
            </w:pPr>
            <w:r w:rsidRPr="00AC3044">
              <w:rPr>
                <w:rFonts w:eastAsia="SimSun"/>
              </w:rPr>
              <w:t>Порядок введения</w:t>
            </w:r>
          </w:p>
        </w:tc>
      </w:tr>
      <w:tr w:rsidR="00304132" w:rsidRPr="00AC3044" w14:paraId="4FAF31B0" w14:textId="77777777" w:rsidTr="00CD5E09">
        <w:trPr>
          <w:cantSplit/>
          <w:trHeight w:val="20"/>
        </w:trPr>
        <w:tc>
          <w:tcPr>
            <w:tcW w:w="851" w:type="dxa"/>
            <w:vMerge w:val="restart"/>
            <w:textDirection w:val="btLr"/>
            <w:vAlign w:val="center"/>
          </w:tcPr>
          <w:p w14:paraId="71AFA837" w14:textId="77777777" w:rsidR="00304132" w:rsidRPr="00AC3044" w:rsidRDefault="00304132" w:rsidP="00CD5E09">
            <w:pPr>
              <w:rPr>
                <w:rFonts w:eastAsia="SimSun"/>
              </w:rPr>
            </w:pPr>
            <w:r w:rsidRPr="00AC3044">
              <w:rPr>
                <w:rFonts w:eastAsia="SimSun"/>
              </w:rPr>
              <w:t>Кондиционирование</w:t>
            </w:r>
          </w:p>
        </w:tc>
        <w:tc>
          <w:tcPr>
            <w:tcW w:w="1701" w:type="dxa"/>
            <w:vAlign w:val="center"/>
          </w:tcPr>
          <w:p w14:paraId="7AD53CE3" w14:textId="77777777" w:rsidR="00304132" w:rsidRPr="00AC3044" w:rsidRDefault="00304132" w:rsidP="00CD5E09">
            <w:pPr>
              <w:rPr>
                <w:rFonts w:eastAsia="SimSun"/>
              </w:rPr>
            </w:pPr>
            <w:r w:rsidRPr="00AC3044">
              <w:rPr>
                <w:rFonts w:eastAsia="SimSun"/>
              </w:rPr>
              <w:t xml:space="preserve">Флударабин </w:t>
            </w:r>
          </w:p>
        </w:tc>
        <w:tc>
          <w:tcPr>
            <w:tcW w:w="1559" w:type="dxa"/>
            <w:vAlign w:val="center"/>
          </w:tcPr>
          <w:p w14:paraId="618DDADB" w14:textId="77777777" w:rsidR="00304132" w:rsidRPr="00AC3044" w:rsidRDefault="00304132" w:rsidP="00CD5E09">
            <w:pPr>
              <w:rPr>
                <w:rFonts w:eastAsia="SimSun"/>
              </w:rPr>
            </w:pPr>
            <w:r w:rsidRPr="00AC3044">
              <w:rPr>
                <w:rFonts w:eastAsia="SimSun"/>
              </w:rPr>
              <w:t>30 мг/м</w:t>
            </w:r>
            <w:r w:rsidRPr="0074195F">
              <w:rPr>
                <w:rFonts w:eastAsia="SimSun"/>
                <w:vertAlign w:val="superscript"/>
              </w:rPr>
              <w:t>2</w:t>
            </w:r>
          </w:p>
        </w:tc>
        <w:tc>
          <w:tcPr>
            <w:tcW w:w="1418" w:type="dxa"/>
            <w:vAlign w:val="center"/>
          </w:tcPr>
          <w:p w14:paraId="1A11F048" w14:textId="77777777" w:rsidR="00304132" w:rsidRPr="00AC3044" w:rsidRDefault="00304132" w:rsidP="00CD5E09">
            <w:pPr>
              <w:rPr>
                <w:rFonts w:eastAsia="SimSun"/>
              </w:rPr>
            </w:pPr>
            <w:r w:rsidRPr="00AC3044">
              <w:rPr>
                <w:rFonts w:eastAsia="SimSun"/>
              </w:rPr>
              <w:t>180 мг/м2</w:t>
            </w:r>
          </w:p>
        </w:tc>
        <w:tc>
          <w:tcPr>
            <w:tcW w:w="1701" w:type="dxa"/>
            <w:vAlign w:val="center"/>
          </w:tcPr>
          <w:p w14:paraId="3D3BC323" w14:textId="77777777" w:rsidR="00304132" w:rsidRPr="00AC3044" w:rsidRDefault="00304132" w:rsidP="00CD5E09">
            <w:pPr>
              <w:rPr>
                <w:rFonts w:eastAsia="SimSun"/>
              </w:rPr>
            </w:pPr>
            <w:r w:rsidRPr="00AC3044">
              <w:rPr>
                <w:rFonts w:eastAsia="SimSun"/>
              </w:rPr>
              <w:t>С -7 дня по -2 день</w:t>
            </w:r>
          </w:p>
        </w:tc>
        <w:tc>
          <w:tcPr>
            <w:tcW w:w="2268" w:type="dxa"/>
            <w:vAlign w:val="center"/>
          </w:tcPr>
          <w:p w14:paraId="38B9EC68" w14:textId="77777777" w:rsidR="00304132" w:rsidRPr="00AC3044" w:rsidRDefault="00304132" w:rsidP="00CD5E09">
            <w:pPr>
              <w:rPr>
                <w:rFonts w:eastAsia="SimSun"/>
              </w:rPr>
            </w:pPr>
            <w:r w:rsidRPr="00AC3044">
              <w:rPr>
                <w:rFonts w:eastAsia="SimSun"/>
              </w:rPr>
              <w:t>В/в, в течение 30 -60 мин</w:t>
            </w:r>
          </w:p>
        </w:tc>
      </w:tr>
      <w:tr w:rsidR="00304132" w:rsidRPr="00AC3044" w14:paraId="783D6916" w14:textId="77777777" w:rsidTr="00CD5E09">
        <w:trPr>
          <w:cantSplit/>
          <w:trHeight w:val="687"/>
        </w:trPr>
        <w:tc>
          <w:tcPr>
            <w:tcW w:w="851" w:type="dxa"/>
            <w:vMerge/>
            <w:vAlign w:val="center"/>
          </w:tcPr>
          <w:p w14:paraId="0F1219F6" w14:textId="77777777" w:rsidR="00304132" w:rsidRPr="00AC3044" w:rsidRDefault="00304132" w:rsidP="00CD5E09">
            <w:pPr>
              <w:rPr>
                <w:rFonts w:eastAsia="SimSun"/>
              </w:rPr>
            </w:pPr>
          </w:p>
        </w:tc>
        <w:tc>
          <w:tcPr>
            <w:tcW w:w="1701" w:type="dxa"/>
            <w:vAlign w:val="center"/>
          </w:tcPr>
          <w:p w14:paraId="447AB0DC" w14:textId="77777777" w:rsidR="00304132" w:rsidRPr="00AC3044" w:rsidRDefault="00304132" w:rsidP="00CD5E09">
            <w:pPr>
              <w:rPr>
                <w:rFonts w:eastAsia="SimSun"/>
              </w:rPr>
            </w:pPr>
            <w:r w:rsidRPr="00AC3044">
              <w:rPr>
                <w:rFonts w:eastAsia="SimSun"/>
              </w:rPr>
              <w:t>Бусульфан</w:t>
            </w:r>
          </w:p>
        </w:tc>
        <w:tc>
          <w:tcPr>
            <w:tcW w:w="1559" w:type="dxa"/>
            <w:vAlign w:val="center"/>
          </w:tcPr>
          <w:p w14:paraId="31DFAE22" w14:textId="77777777" w:rsidR="00304132" w:rsidRPr="00AC3044" w:rsidRDefault="00304132" w:rsidP="00CD5E09">
            <w:pPr>
              <w:rPr>
                <w:rFonts w:eastAsia="SimSun"/>
              </w:rPr>
            </w:pPr>
            <w:r w:rsidRPr="00AC3044">
              <w:rPr>
                <w:rFonts w:eastAsia="SimSun"/>
              </w:rPr>
              <w:t xml:space="preserve">4 мг/кг </w:t>
            </w:r>
          </w:p>
        </w:tc>
        <w:tc>
          <w:tcPr>
            <w:tcW w:w="1418" w:type="dxa"/>
            <w:vAlign w:val="center"/>
          </w:tcPr>
          <w:p w14:paraId="6D280965" w14:textId="77777777" w:rsidR="00304132" w:rsidRPr="00AC3044" w:rsidRDefault="00304132" w:rsidP="00CD5E09">
            <w:pPr>
              <w:rPr>
                <w:rFonts w:eastAsia="SimSun"/>
              </w:rPr>
            </w:pPr>
            <w:r w:rsidRPr="00AC3044">
              <w:rPr>
                <w:rFonts w:eastAsia="SimSun"/>
              </w:rPr>
              <w:t xml:space="preserve">8 мг/кг </w:t>
            </w:r>
          </w:p>
        </w:tc>
        <w:tc>
          <w:tcPr>
            <w:tcW w:w="1701" w:type="dxa"/>
            <w:vAlign w:val="center"/>
          </w:tcPr>
          <w:p w14:paraId="33FD46A0" w14:textId="77777777" w:rsidR="00304132" w:rsidRPr="00AC3044" w:rsidRDefault="00304132" w:rsidP="00CD5E09">
            <w:pPr>
              <w:rPr>
                <w:rFonts w:eastAsia="SimSun"/>
              </w:rPr>
            </w:pPr>
            <w:r w:rsidRPr="00AC3044">
              <w:rPr>
                <w:rFonts w:eastAsia="SimSun"/>
              </w:rPr>
              <w:t>С -4 дня по -3 день</w:t>
            </w:r>
          </w:p>
        </w:tc>
        <w:tc>
          <w:tcPr>
            <w:tcW w:w="2268" w:type="dxa"/>
            <w:vAlign w:val="center"/>
          </w:tcPr>
          <w:p w14:paraId="168B475D" w14:textId="77777777" w:rsidR="00304132" w:rsidRPr="00AC3044" w:rsidRDefault="00304132" w:rsidP="00CD5E09">
            <w:pPr>
              <w:rPr>
                <w:rFonts w:eastAsia="SimSun"/>
              </w:rPr>
            </w:pPr>
            <w:r w:rsidRPr="00AC3044">
              <w:rPr>
                <w:rFonts w:eastAsia="SimSun"/>
              </w:rPr>
              <w:t>Внутрь, суммарная суточная доза разделяется на 4 приема с интервалом 6 часов.</w:t>
            </w:r>
          </w:p>
        </w:tc>
      </w:tr>
      <w:tr w:rsidR="00304132" w:rsidRPr="00AC3044" w14:paraId="15AD8D1E" w14:textId="77777777" w:rsidTr="00CD5E09">
        <w:trPr>
          <w:cantSplit/>
          <w:trHeight w:val="555"/>
        </w:trPr>
        <w:tc>
          <w:tcPr>
            <w:tcW w:w="851" w:type="dxa"/>
            <w:vMerge/>
            <w:vAlign w:val="center"/>
          </w:tcPr>
          <w:p w14:paraId="66F57AEF" w14:textId="77777777" w:rsidR="00304132" w:rsidRPr="00AC3044" w:rsidRDefault="00304132" w:rsidP="00CD5E09">
            <w:pPr>
              <w:rPr>
                <w:rFonts w:eastAsia="SimSun"/>
              </w:rPr>
            </w:pPr>
          </w:p>
        </w:tc>
        <w:tc>
          <w:tcPr>
            <w:tcW w:w="1701" w:type="dxa"/>
            <w:vAlign w:val="center"/>
          </w:tcPr>
          <w:p w14:paraId="727A0C19" w14:textId="77777777" w:rsidR="00304132" w:rsidRPr="00AC3044" w:rsidRDefault="00304132" w:rsidP="00CD5E09">
            <w:pPr>
              <w:rPr>
                <w:rFonts w:eastAsia="SimSun"/>
              </w:rPr>
            </w:pPr>
            <w:r w:rsidRPr="00AC3044">
              <w:rPr>
                <w:rFonts w:eastAsia="SimSun"/>
              </w:rPr>
              <w:t>Тиотепа</w:t>
            </w:r>
          </w:p>
        </w:tc>
        <w:tc>
          <w:tcPr>
            <w:tcW w:w="1559" w:type="dxa"/>
            <w:vAlign w:val="center"/>
          </w:tcPr>
          <w:p w14:paraId="4F2EFCCA" w14:textId="77777777" w:rsidR="00304132" w:rsidRPr="00AC3044" w:rsidRDefault="00304132" w:rsidP="00CD5E09">
            <w:pPr>
              <w:rPr>
                <w:rFonts w:eastAsia="SimSun"/>
              </w:rPr>
            </w:pPr>
            <w:r w:rsidRPr="00AC3044">
              <w:rPr>
                <w:rFonts w:eastAsia="SimSun"/>
              </w:rPr>
              <w:t>5 мг/кг</w:t>
            </w:r>
          </w:p>
        </w:tc>
        <w:tc>
          <w:tcPr>
            <w:tcW w:w="1418" w:type="dxa"/>
            <w:vAlign w:val="center"/>
          </w:tcPr>
          <w:p w14:paraId="58A4A5D3" w14:textId="77777777" w:rsidR="00304132" w:rsidRPr="00AC3044" w:rsidRDefault="00304132" w:rsidP="00CD5E09">
            <w:pPr>
              <w:rPr>
                <w:rFonts w:eastAsia="SimSun"/>
              </w:rPr>
            </w:pPr>
            <w:r w:rsidRPr="00AC3044">
              <w:rPr>
                <w:rFonts w:eastAsia="SimSun"/>
              </w:rPr>
              <w:t>10 мг/кг</w:t>
            </w:r>
          </w:p>
        </w:tc>
        <w:tc>
          <w:tcPr>
            <w:tcW w:w="1701" w:type="dxa"/>
            <w:vAlign w:val="center"/>
          </w:tcPr>
          <w:p w14:paraId="3F7A84B1" w14:textId="77777777" w:rsidR="00304132" w:rsidRPr="00AC3044" w:rsidRDefault="00304132" w:rsidP="00CD5E09">
            <w:pPr>
              <w:rPr>
                <w:rFonts w:eastAsia="SimSun"/>
              </w:rPr>
            </w:pPr>
            <w:r w:rsidRPr="00AC3044">
              <w:rPr>
                <w:rFonts w:eastAsia="SimSun"/>
              </w:rPr>
              <w:t>-6,-5 дни</w:t>
            </w:r>
          </w:p>
        </w:tc>
        <w:tc>
          <w:tcPr>
            <w:tcW w:w="2268" w:type="dxa"/>
            <w:vAlign w:val="center"/>
          </w:tcPr>
          <w:p w14:paraId="5A414980" w14:textId="77777777" w:rsidR="00304132" w:rsidRPr="00AC3044" w:rsidRDefault="00304132" w:rsidP="00CD5E09">
            <w:pPr>
              <w:rPr>
                <w:rFonts w:eastAsia="SimSun"/>
              </w:rPr>
            </w:pPr>
            <w:r w:rsidRPr="00AC3044">
              <w:rPr>
                <w:rFonts w:eastAsia="SimSun"/>
              </w:rPr>
              <w:t>В/в, в течение 2 часов</w:t>
            </w:r>
          </w:p>
        </w:tc>
      </w:tr>
      <w:tr w:rsidR="00304132" w:rsidRPr="00AC3044" w14:paraId="691B97C5" w14:textId="77777777" w:rsidTr="00CD5E09">
        <w:trPr>
          <w:cantSplit/>
          <w:trHeight w:val="1498"/>
        </w:trPr>
        <w:tc>
          <w:tcPr>
            <w:tcW w:w="851" w:type="dxa"/>
            <w:textDirection w:val="btLr"/>
            <w:vAlign w:val="center"/>
          </w:tcPr>
          <w:p w14:paraId="3E0B74AA" w14:textId="77777777" w:rsidR="00304132" w:rsidRPr="00AC3044" w:rsidRDefault="00304132" w:rsidP="00CD5E09">
            <w:pPr>
              <w:rPr>
                <w:rFonts w:eastAsia="SimSun"/>
              </w:rPr>
            </w:pPr>
            <w:r w:rsidRPr="00AC3044">
              <w:rPr>
                <w:rFonts w:eastAsia="SimSun"/>
              </w:rPr>
              <w:t>Профилактика РТПХ</w:t>
            </w:r>
          </w:p>
        </w:tc>
        <w:tc>
          <w:tcPr>
            <w:tcW w:w="1701" w:type="dxa"/>
            <w:vAlign w:val="center"/>
          </w:tcPr>
          <w:p w14:paraId="58878382" w14:textId="77777777" w:rsidR="00304132" w:rsidRPr="00AC3044" w:rsidRDefault="00304132" w:rsidP="00CD5E09">
            <w:pPr>
              <w:rPr>
                <w:rFonts w:eastAsia="SimSun"/>
              </w:rPr>
            </w:pPr>
            <w:r w:rsidRPr="00AC3044">
              <w:rPr>
                <w:rFonts w:eastAsia="SimSun"/>
              </w:rPr>
              <w:t>Циклофосфамид</w:t>
            </w:r>
          </w:p>
        </w:tc>
        <w:tc>
          <w:tcPr>
            <w:tcW w:w="1559" w:type="dxa"/>
            <w:vAlign w:val="center"/>
          </w:tcPr>
          <w:p w14:paraId="61CD05B0" w14:textId="77777777" w:rsidR="00304132" w:rsidRPr="00AC3044" w:rsidRDefault="00304132" w:rsidP="00CD5E09">
            <w:pPr>
              <w:rPr>
                <w:rFonts w:eastAsia="SimSun"/>
              </w:rPr>
            </w:pPr>
            <w:r w:rsidRPr="00AC3044">
              <w:rPr>
                <w:rFonts w:eastAsia="SimSun"/>
              </w:rPr>
              <w:t>50 мг/кг</w:t>
            </w:r>
          </w:p>
        </w:tc>
        <w:tc>
          <w:tcPr>
            <w:tcW w:w="1418" w:type="dxa"/>
            <w:vAlign w:val="center"/>
          </w:tcPr>
          <w:p w14:paraId="11602D9F" w14:textId="77777777" w:rsidR="00304132" w:rsidRPr="00AC3044" w:rsidRDefault="00304132" w:rsidP="00CD5E09">
            <w:pPr>
              <w:rPr>
                <w:rFonts w:eastAsia="SimSun"/>
              </w:rPr>
            </w:pPr>
            <w:r w:rsidRPr="00AC3044">
              <w:rPr>
                <w:rFonts w:eastAsia="SimSun"/>
              </w:rPr>
              <w:t>100 мг/кг</w:t>
            </w:r>
          </w:p>
        </w:tc>
        <w:tc>
          <w:tcPr>
            <w:tcW w:w="1701" w:type="dxa"/>
            <w:vAlign w:val="center"/>
          </w:tcPr>
          <w:p w14:paraId="31C2E9D4" w14:textId="77777777" w:rsidR="00304132" w:rsidRPr="00AC3044" w:rsidRDefault="00304132" w:rsidP="00CD5E09">
            <w:pPr>
              <w:rPr>
                <w:rFonts w:eastAsia="SimSun"/>
              </w:rPr>
            </w:pPr>
            <w:r w:rsidRPr="00AC3044">
              <w:rPr>
                <w:rFonts w:eastAsia="SimSun"/>
              </w:rPr>
              <w:t>С +3 дня по +4 день</w:t>
            </w:r>
          </w:p>
        </w:tc>
        <w:tc>
          <w:tcPr>
            <w:tcW w:w="2268" w:type="dxa"/>
            <w:vAlign w:val="center"/>
          </w:tcPr>
          <w:p w14:paraId="1D914548" w14:textId="77777777" w:rsidR="00304132" w:rsidRPr="00AC3044" w:rsidRDefault="00304132" w:rsidP="00CD5E09">
            <w:pPr>
              <w:rPr>
                <w:rFonts w:eastAsia="SimSun"/>
              </w:rPr>
            </w:pPr>
            <w:r w:rsidRPr="00AC3044">
              <w:rPr>
                <w:rFonts w:eastAsia="SimSun"/>
              </w:rPr>
              <w:t>В/в, в течение 2 часов</w:t>
            </w:r>
          </w:p>
        </w:tc>
      </w:tr>
    </w:tbl>
    <w:p w14:paraId="629A5EBE" w14:textId="77777777" w:rsidR="00304132" w:rsidRDefault="00304132" w:rsidP="00304132">
      <w:pPr>
        <w:rPr>
          <w:rFonts w:eastAsia="SimSun"/>
        </w:rPr>
      </w:pPr>
      <w:bookmarkStart w:id="349" w:name="_Toc44401209"/>
    </w:p>
    <w:p w14:paraId="57319ABB" w14:textId="77777777" w:rsidR="00304132" w:rsidRPr="00C07B2E" w:rsidRDefault="00304132" w:rsidP="00304132">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2.2.9 – Flu180+Bu8 / PT-Cy+Tx+MMF30</w:t>
      </w:r>
      <w:bookmarkEnd w:id="349"/>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1701"/>
        <w:gridCol w:w="1559"/>
        <w:gridCol w:w="1418"/>
        <w:gridCol w:w="1701"/>
        <w:gridCol w:w="2268"/>
      </w:tblGrid>
      <w:tr w:rsidR="00304132" w:rsidRPr="00AC3044" w14:paraId="0EBF05AC" w14:textId="77777777" w:rsidTr="00CD5E09">
        <w:trPr>
          <w:cantSplit/>
          <w:trHeight w:val="20"/>
          <w:tblHeader/>
        </w:trPr>
        <w:tc>
          <w:tcPr>
            <w:tcW w:w="817" w:type="dxa"/>
            <w:vAlign w:val="center"/>
          </w:tcPr>
          <w:p w14:paraId="2509CD81" w14:textId="77777777" w:rsidR="00304132" w:rsidRPr="00470D3D" w:rsidRDefault="00304132" w:rsidP="00CD5E09">
            <w:pPr>
              <w:rPr>
                <w:rFonts w:eastAsia="SimSun"/>
              </w:rPr>
            </w:pPr>
          </w:p>
        </w:tc>
        <w:tc>
          <w:tcPr>
            <w:tcW w:w="1701" w:type="dxa"/>
            <w:vAlign w:val="center"/>
          </w:tcPr>
          <w:p w14:paraId="041D91FA" w14:textId="77777777" w:rsidR="00304132" w:rsidRPr="00AC3044" w:rsidRDefault="00304132" w:rsidP="00CD5E09">
            <w:pPr>
              <w:rPr>
                <w:rFonts w:eastAsia="SimSun"/>
              </w:rPr>
            </w:pPr>
            <w:r w:rsidRPr="00AC3044">
              <w:rPr>
                <w:rFonts w:eastAsia="SimSun"/>
              </w:rPr>
              <w:t>Препарат</w:t>
            </w:r>
          </w:p>
        </w:tc>
        <w:tc>
          <w:tcPr>
            <w:tcW w:w="1559" w:type="dxa"/>
            <w:vAlign w:val="center"/>
          </w:tcPr>
          <w:p w14:paraId="7D75DB90" w14:textId="77777777" w:rsidR="00304132" w:rsidRPr="00AC3044" w:rsidRDefault="00304132" w:rsidP="00CD5E09">
            <w:pPr>
              <w:rPr>
                <w:rFonts w:eastAsia="SimSun"/>
              </w:rPr>
            </w:pPr>
            <w:r w:rsidRPr="00AC3044">
              <w:rPr>
                <w:rFonts w:eastAsia="SimSun"/>
              </w:rPr>
              <w:t>Суточная доза</w:t>
            </w:r>
          </w:p>
        </w:tc>
        <w:tc>
          <w:tcPr>
            <w:tcW w:w="1418" w:type="dxa"/>
            <w:vAlign w:val="center"/>
          </w:tcPr>
          <w:p w14:paraId="2D7528E9" w14:textId="77777777" w:rsidR="00304132" w:rsidRPr="00AC3044" w:rsidRDefault="00304132" w:rsidP="00CD5E09">
            <w:pPr>
              <w:rPr>
                <w:rFonts w:eastAsia="SimSun"/>
              </w:rPr>
            </w:pPr>
            <w:r w:rsidRPr="00AC3044">
              <w:rPr>
                <w:rFonts w:eastAsia="SimSun"/>
              </w:rPr>
              <w:t>Курсовая доза</w:t>
            </w:r>
          </w:p>
        </w:tc>
        <w:tc>
          <w:tcPr>
            <w:tcW w:w="1701" w:type="dxa"/>
            <w:vAlign w:val="center"/>
          </w:tcPr>
          <w:p w14:paraId="02AF4764" w14:textId="77777777" w:rsidR="00304132" w:rsidRPr="00AC3044" w:rsidRDefault="00304132" w:rsidP="00CD5E09">
            <w:pPr>
              <w:rPr>
                <w:rFonts w:eastAsia="SimSun"/>
              </w:rPr>
            </w:pPr>
            <w:r w:rsidRPr="00AC3044">
              <w:rPr>
                <w:rFonts w:eastAsia="SimSun"/>
              </w:rPr>
              <w:t>Дни введения</w:t>
            </w:r>
          </w:p>
        </w:tc>
        <w:tc>
          <w:tcPr>
            <w:tcW w:w="2268" w:type="dxa"/>
            <w:vAlign w:val="center"/>
          </w:tcPr>
          <w:p w14:paraId="19528B84" w14:textId="77777777" w:rsidR="00304132" w:rsidRPr="00AC3044" w:rsidRDefault="00304132" w:rsidP="00CD5E09">
            <w:pPr>
              <w:rPr>
                <w:rFonts w:eastAsia="SimSun"/>
              </w:rPr>
            </w:pPr>
            <w:r w:rsidRPr="00AC3044">
              <w:rPr>
                <w:rFonts w:eastAsia="SimSun"/>
              </w:rPr>
              <w:t>Порядок введения</w:t>
            </w:r>
          </w:p>
        </w:tc>
      </w:tr>
      <w:tr w:rsidR="00304132" w:rsidRPr="00AC3044" w14:paraId="68F46C50" w14:textId="77777777" w:rsidTr="00CD5E09">
        <w:trPr>
          <w:cantSplit/>
          <w:trHeight w:val="20"/>
        </w:trPr>
        <w:tc>
          <w:tcPr>
            <w:tcW w:w="817" w:type="dxa"/>
            <w:vMerge w:val="restart"/>
            <w:textDirection w:val="btLr"/>
            <w:vAlign w:val="center"/>
          </w:tcPr>
          <w:p w14:paraId="5149633C" w14:textId="77777777" w:rsidR="00304132" w:rsidRPr="00AC3044" w:rsidRDefault="00304132" w:rsidP="00CD5E09">
            <w:pPr>
              <w:rPr>
                <w:rFonts w:eastAsia="SimSun"/>
              </w:rPr>
            </w:pPr>
            <w:r w:rsidRPr="00AC3044">
              <w:rPr>
                <w:rFonts w:eastAsia="SimSun"/>
              </w:rPr>
              <w:t>Кондиционирование</w:t>
            </w:r>
          </w:p>
        </w:tc>
        <w:tc>
          <w:tcPr>
            <w:tcW w:w="1701" w:type="dxa"/>
            <w:vAlign w:val="center"/>
          </w:tcPr>
          <w:p w14:paraId="0770E724" w14:textId="77777777" w:rsidR="00304132" w:rsidRPr="00AC3044" w:rsidRDefault="00304132" w:rsidP="00CD5E09">
            <w:pPr>
              <w:rPr>
                <w:rFonts w:eastAsia="SimSun"/>
              </w:rPr>
            </w:pPr>
            <w:r w:rsidRPr="00AC3044">
              <w:rPr>
                <w:rFonts w:eastAsia="SimSun"/>
              </w:rPr>
              <w:t xml:space="preserve">Флударабин </w:t>
            </w:r>
          </w:p>
        </w:tc>
        <w:tc>
          <w:tcPr>
            <w:tcW w:w="1559" w:type="dxa"/>
            <w:vAlign w:val="center"/>
          </w:tcPr>
          <w:p w14:paraId="11600A9A" w14:textId="77777777" w:rsidR="00304132" w:rsidRPr="00AC3044" w:rsidRDefault="00304132" w:rsidP="00CD5E09">
            <w:pPr>
              <w:rPr>
                <w:rFonts w:eastAsia="SimSun"/>
              </w:rPr>
            </w:pPr>
            <w:r w:rsidRPr="00AC3044">
              <w:rPr>
                <w:rFonts w:eastAsia="SimSun"/>
              </w:rPr>
              <w:t>30 мг/м</w:t>
            </w:r>
            <w:r w:rsidRPr="0074195F">
              <w:rPr>
                <w:rFonts w:eastAsia="SimSun"/>
                <w:vertAlign w:val="superscript"/>
              </w:rPr>
              <w:t>2</w:t>
            </w:r>
          </w:p>
        </w:tc>
        <w:tc>
          <w:tcPr>
            <w:tcW w:w="1418" w:type="dxa"/>
            <w:vAlign w:val="center"/>
          </w:tcPr>
          <w:p w14:paraId="2C83641A" w14:textId="77777777" w:rsidR="00304132" w:rsidRPr="00AC3044" w:rsidRDefault="00304132" w:rsidP="00CD5E09">
            <w:pPr>
              <w:rPr>
                <w:rFonts w:eastAsia="SimSun"/>
              </w:rPr>
            </w:pPr>
            <w:r w:rsidRPr="00AC3044">
              <w:rPr>
                <w:rFonts w:eastAsia="SimSun"/>
              </w:rPr>
              <w:t>180 мг/м</w:t>
            </w:r>
            <w:r w:rsidRPr="0074195F">
              <w:rPr>
                <w:rFonts w:eastAsia="SimSun"/>
                <w:vertAlign w:val="superscript"/>
              </w:rPr>
              <w:t>2</w:t>
            </w:r>
          </w:p>
        </w:tc>
        <w:tc>
          <w:tcPr>
            <w:tcW w:w="1701" w:type="dxa"/>
            <w:vAlign w:val="center"/>
          </w:tcPr>
          <w:p w14:paraId="47A40F17" w14:textId="77777777" w:rsidR="00304132" w:rsidRPr="00AC3044" w:rsidRDefault="00304132" w:rsidP="00CD5E09">
            <w:pPr>
              <w:rPr>
                <w:rFonts w:eastAsia="SimSun"/>
              </w:rPr>
            </w:pPr>
            <w:r w:rsidRPr="00AC3044">
              <w:rPr>
                <w:rFonts w:eastAsia="SimSun"/>
              </w:rPr>
              <w:t>С -7 дня по -2 день</w:t>
            </w:r>
          </w:p>
        </w:tc>
        <w:tc>
          <w:tcPr>
            <w:tcW w:w="2268" w:type="dxa"/>
            <w:vAlign w:val="center"/>
          </w:tcPr>
          <w:p w14:paraId="7BE3B06E" w14:textId="77777777" w:rsidR="00304132" w:rsidRPr="00AC3044" w:rsidRDefault="00304132" w:rsidP="00CD5E09">
            <w:pPr>
              <w:rPr>
                <w:rFonts w:eastAsia="SimSun"/>
              </w:rPr>
            </w:pPr>
            <w:r w:rsidRPr="00AC3044">
              <w:rPr>
                <w:rFonts w:eastAsia="SimSun"/>
              </w:rPr>
              <w:t>В/в, в течение 30 -60 мин</w:t>
            </w:r>
          </w:p>
        </w:tc>
      </w:tr>
      <w:tr w:rsidR="00304132" w:rsidRPr="00AC3044" w14:paraId="201EF0A3" w14:textId="77777777" w:rsidTr="00CD5E09">
        <w:trPr>
          <w:cantSplit/>
          <w:trHeight w:val="889"/>
        </w:trPr>
        <w:tc>
          <w:tcPr>
            <w:tcW w:w="817" w:type="dxa"/>
            <w:vMerge/>
            <w:vAlign w:val="center"/>
          </w:tcPr>
          <w:p w14:paraId="03EC18C0" w14:textId="77777777" w:rsidR="00304132" w:rsidRPr="00AC3044" w:rsidRDefault="00304132" w:rsidP="00CD5E09">
            <w:pPr>
              <w:rPr>
                <w:rFonts w:eastAsia="SimSun"/>
              </w:rPr>
            </w:pPr>
          </w:p>
        </w:tc>
        <w:tc>
          <w:tcPr>
            <w:tcW w:w="1701" w:type="dxa"/>
            <w:vAlign w:val="center"/>
          </w:tcPr>
          <w:p w14:paraId="137E2F81" w14:textId="77777777" w:rsidR="00304132" w:rsidRPr="00AC3044" w:rsidRDefault="00304132" w:rsidP="00CD5E09">
            <w:pPr>
              <w:rPr>
                <w:rFonts w:eastAsia="SimSun"/>
              </w:rPr>
            </w:pPr>
            <w:r w:rsidRPr="00AC3044">
              <w:rPr>
                <w:rFonts w:eastAsia="SimSun"/>
              </w:rPr>
              <w:t>Бусульфан</w:t>
            </w:r>
          </w:p>
        </w:tc>
        <w:tc>
          <w:tcPr>
            <w:tcW w:w="1559" w:type="dxa"/>
            <w:vAlign w:val="center"/>
          </w:tcPr>
          <w:p w14:paraId="6AF132B7" w14:textId="77777777" w:rsidR="00304132" w:rsidRPr="00AC3044" w:rsidRDefault="00304132" w:rsidP="00CD5E09">
            <w:pPr>
              <w:rPr>
                <w:rFonts w:eastAsia="SimSun"/>
              </w:rPr>
            </w:pPr>
            <w:r w:rsidRPr="00AC3044">
              <w:rPr>
                <w:rFonts w:eastAsia="SimSun"/>
              </w:rPr>
              <w:t xml:space="preserve">4 мг/кг </w:t>
            </w:r>
          </w:p>
        </w:tc>
        <w:tc>
          <w:tcPr>
            <w:tcW w:w="1418" w:type="dxa"/>
            <w:vAlign w:val="center"/>
          </w:tcPr>
          <w:p w14:paraId="423381EE" w14:textId="77777777" w:rsidR="00304132" w:rsidRPr="00AC3044" w:rsidRDefault="00304132" w:rsidP="00CD5E09">
            <w:pPr>
              <w:rPr>
                <w:rFonts w:eastAsia="SimSun"/>
              </w:rPr>
            </w:pPr>
            <w:r w:rsidRPr="00AC3044">
              <w:rPr>
                <w:rFonts w:eastAsia="SimSun"/>
              </w:rPr>
              <w:t xml:space="preserve">8 мг/кг </w:t>
            </w:r>
          </w:p>
        </w:tc>
        <w:tc>
          <w:tcPr>
            <w:tcW w:w="1701" w:type="dxa"/>
            <w:vAlign w:val="center"/>
          </w:tcPr>
          <w:p w14:paraId="4D0C4D38" w14:textId="77777777" w:rsidR="00304132" w:rsidRPr="00AC3044" w:rsidRDefault="00304132" w:rsidP="00CD5E09">
            <w:pPr>
              <w:rPr>
                <w:rFonts w:eastAsia="SimSun"/>
              </w:rPr>
            </w:pPr>
            <w:r w:rsidRPr="00AC3044">
              <w:rPr>
                <w:rFonts w:eastAsia="SimSun"/>
              </w:rPr>
              <w:t>С -4 дня по -3 день</w:t>
            </w:r>
          </w:p>
        </w:tc>
        <w:tc>
          <w:tcPr>
            <w:tcW w:w="2268" w:type="dxa"/>
            <w:vAlign w:val="center"/>
          </w:tcPr>
          <w:p w14:paraId="6BFB3B4D" w14:textId="77777777" w:rsidR="00304132" w:rsidRPr="00AC3044" w:rsidRDefault="00304132" w:rsidP="00CD5E09">
            <w:pPr>
              <w:rPr>
                <w:rFonts w:eastAsia="SimSun"/>
              </w:rPr>
            </w:pPr>
            <w:r w:rsidRPr="00AC3044">
              <w:rPr>
                <w:rFonts w:eastAsia="SimSun"/>
              </w:rPr>
              <w:t>Внутрь, суммарная суточная доза разделяется на 4 приема с интервалом 6 часов.</w:t>
            </w:r>
          </w:p>
        </w:tc>
      </w:tr>
      <w:tr w:rsidR="00304132" w:rsidRPr="00AC3044" w14:paraId="64F94004" w14:textId="77777777" w:rsidTr="00CD5E09">
        <w:trPr>
          <w:cantSplit/>
          <w:trHeight w:val="548"/>
        </w:trPr>
        <w:tc>
          <w:tcPr>
            <w:tcW w:w="817" w:type="dxa"/>
            <w:vMerge w:val="restart"/>
            <w:textDirection w:val="btLr"/>
            <w:vAlign w:val="center"/>
          </w:tcPr>
          <w:p w14:paraId="5E0253D6" w14:textId="77777777" w:rsidR="00304132" w:rsidRPr="00AC3044" w:rsidRDefault="00304132" w:rsidP="00CD5E09">
            <w:pPr>
              <w:rPr>
                <w:rFonts w:eastAsia="SimSun"/>
              </w:rPr>
            </w:pPr>
            <w:r w:rsidRPr="00AC3044">
              <w:rPr>
                <w:rFonts w:eastAsia="SimSun"/>
              </w:rPr>
              <w:t>Профилактика РТПХ</w:t>
            </w:r>
          </w:p>
        </w:tc>
        <w:tc>
          <w:tcPr>
            <w:tcW w:w="1701" w:type="dxa"/>
            <w:vAlign w:val="center"/>
          </w:tcPr>
          <w:p w14:paraId="1A57228B" w14:textId="77777777" w:rsidR="00304132" w:rsidRPr="00AC3044" w:rsidRDefault="00304132" w:rsidP="00CD5E09">
            <w:pPr>
              <w:rPr>
                <w:rFonts w:eastAsia="SimSun"/>
              </w:rPr>
            </w:pPr>
            <w:r w:rsidRPr="00AC3044">
              <w:rPr>
                <w:rFonts w:eastAsia="SimSun"/>
              </w:rPr>
              <w:t>Циклофосфамид</w:t>
            </w:r>
          </w:p>
        </w:tc>
        <w:tc>
          <w:tcPr>
            <w:tcW w:w="1559" w:type="dxa"/>
            <w:vAlign w:val="center"/>
          </w:tcPr>
          <w:p w14:paraId="1BD4F442" w14:textId="77777777" w:rsidR="00304132" w:rsidRPr="00AC3044" w:rsidRDefault="00304132" w:rsidP="00CD5E09">
            <w:pPr>
              <w:rPr>
                <w:rFonts w:eastAsia="SimSun"/>
              </w:rPr>
            </w:pPr>
            <w:r w:rsidRPr="00AC3044">
              <w:rPr>
                <w:rFonts w:eastAsia="SimSun"/>
              </w:rPr>
              <w:t>50 мг/кг</w:t>
            </w:r>
          </w:p>
        </w:tc>
        <w:tc>
          <w:tcPr>
            <w:tcW w:w="1418" w:type="dxa"/>
            <w:vAlign w:val="center"/>
          </w:tcPr>
          <w:p w14:paraId="53AB3F93" w14:textId="77777777" w:rsidR="00304132" w:rsidRPr="00AC3044" w:rsidRDefault="00304132" w:rsidP="00CD5E09">
            <w:pPr>
              <w:rPr>
                <w:rFonts w:eastAsia="SimSun"/>
              </w:rPr>
            </w:pPr>
            <w:r w:rsidRPr="00AC3044">
              <w:rPr>
                <w:rFonts w:eastAsia="SimSun"/>
              </w:rPr>
              <w:t>100 мг/кг</w:t>
            </w:r>
          </w:p>
        </w:tc>
        <w:tc>
          <w:tcPr>
            <w:tcW w:w="1701" w:type="dxa"/>
            <w:vAlign w:val="center"/>
          </w:tcPr>
          <w:p w14:paraId="6BB2BBB2" w14:textId="77777777" w:rsidR="00304132" w:rsidRPr="00AC3044" w:rsidRDefault="00304132" w:rsidP="00CD5E09">
            <w:pPr>
              <w:rPr>
                <w:rFonts w:eastAsia="SimSun"/>
              </w:rPr>
            </w:pPr>
            <w:r w:rsidRPr="00AC3044">
              <w:rPr>
                <w:rFonts w:eastAsia="SimSun"/>
              </w:rPr>
              <w:t>С +3 дня по +4 день</w:t>
            </w:r>
          </w:p>
        </w:tc>
        <w:tc>
          <w:tcPr>
            <w:tcW w:w="2268" w:type="dxa"/>
            <w:vAlign w:val="center"/>
          </w:tcPr>
          <w:p w14:paraId="42D79EF0" w14:textId="77777777" w:rsidR="00304132" w:rsidRPr="00AC3044" w:rsidRDefault="00304132" w:rsidP="00CD5E09">
            <w:pPr>
              <w:rPr>
                <w:rFonts w:eastAsia="SimSun"/>
              </w:rPr>
            </w:pPr>
            <w:r w:rsidRPr="00AC3044">
              <w:rPr>
                <w:rFonts w:eastAsia="SimSun"/>
              </w:rPr>
              <w:t>В/в, в течение 2 часов</w:t>
            </w:r>
          </w:p>
        </w:tc>
      </w:tr>
      <w:tr w:rsidR="00304132" w:rsidRPr="00AC3044" w14:paraId="5C3BA891" w14:textId="77777777" w:rsidTr="00CD5E09">
        <w:trPr>
          <w:cantSplit/>
          <w:trHeight w:val="958"/>
        </w:trPr>
        <w:tc>
          <w:tcPr>
            <w:tcW w:w="817" w:type="dxa"/>
            <w:vMerge/>
            <w:textDirection w:val="btLr"/>
            <w:vAlign w:val="center"/>
          </w:tcPr>
          <w:p w14:paraId="4919C9B2" w14:textId="77777777" w:rsidR="00304132" w:rsidRPr="00AC3044" w:rsidRDefault="00304132" w:rsidP="00CD5E09">
            <w:pPr>
              <w:rPr>
                <w:rFonts w:eastAsia="SimSun"/>
              </w:rPr>
            </w:pPr>
          </w:p>
        </w:tc>
        <w:tc>
          <w:tcPr>
            <w:tcW w:w="1701" w:type="dxa"/>
            <w:vAlign w:val="center"/>
          </w:tcPr>
          <w:p w14:paraId="7D5B8F3F" w14:textId="77777777" w:rsidR="00304132" w:rsidRPr="00AC3044" w:rsidRDefault="00304132" w:rsidP="00CD5E09">
            <w:pPr>
              <w:rPr>
                <w:rFonts w:eastAsia="SimSun"/>
              </w:rPr>
            </w:pPr>
            <w:r w:rsidRPr="00AC3044">
              <w:rPr>
                <w:rFonts w:eastAsia="SimSun"/>
              </w:rPr>
              <w:t xml:space="preserve">Такролимус </w:t>
            </w:r>
          </w:p>
        </w:tc>
        <w:tc>
          <w:tcPr>
            <w:tcW w:w="1559" w:type="dxa"/>
            <w:vAlign w:val="center"/>
          </w:tcPr>
          <w:p w14:paraId="3C935F12" w14:textId="77777777" w:rsidR="00304132" w:rsidRPr="00AC3044" w:rsidRDefault="00304132" w:rsidP="00CD5E09">
            <w:pPr>
              <w:rPr>
                <w:rFonts w:eastAsia="SimSun"/>
              </w:rPr>
            </w:pPr>
            <w:r w:rsidRPr="00AC3044">
              <w:rPr>
                <w:rFonts w:eastAsia="SimSun"/>
              </w:rPr>
              <w:t>0,03 мг/кг</w:t>
            </w:r>
          </w:p>
        </w:tc>
        <w:tc>
          <w:tcPr>
            <w:tcW w:w="1418" w:type="dxa"/>
            <w:vAlign w:val="center"/>
          </w:tcPr>
          <w:p w14:paraId="7CB300B0" w14:textId="77777777" w:rsidR="00304132" w:rsidRPr="00AC3044" w:rsidRDefault="00304132" w:rsidP="00CD5E09">
            <w:pPr>
              <w:rPr>
                <w:rFonts w:eastAsia="SimSun"/>
              </w:rPr>
            </w:pPr>
            <w:r w:rsidRPr="00AC3044">
              <w:rPr>
                <w:rFonts w:eastAsia="SimSun"/>
              </w:rPr>
              <w:t>–</w:t>
            </w:r>
          </w:p>
        </w:tc>
        <w:tc>
          <w:tcPr>
            <w:tcW w:w="1701" w:type="dxa"/>
            <w:vAlign w:val="center"/>
          </w:tcPr>
          <w:p w14:paraId="7A2E6741" w14:textId="77777777" w:rsidR="00304132" w:rsidRPr="00AC3044" w:rsidRDefault="00304132" w:rsidP="00CD5E09">
            <w:pPr>
              <w:rPr>
                <w:rFonts w:eastAsia="SimSun"/>
              </w:rPr>
            </w:pPr>
            <w:r w:rsidRPr="00AC3044">
              <w:rPr>
                <w:rFonts w:eastAsia="SimSun"/>
              </w:rPr>
              <w:t xml:space="preserve">С +5 дня длительно </w:t>
            </w:r>
          </w:p>
        </w:tc>
        <w:tc>
          <w:tcPr>
            <w:tcW w:w="2268" w:type="dxa"/>
            <w:vAlign w:val="center"/>
          </w:tcPr>
          <w:p w14:paraId="613C2A9D" w14:textId="77777777" w:rsidR="00304132" w:rsidRPr="00AC3044" w:rsidRDefault="00304132" w:rsidP="00CD5E09">
            <w:pPr>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w:t>
            </w:r>
            <w:r w:rsidRPr="00AC3044">
              <w:rPr>
                <w:rFonts w:eastAsia="SimSun"/>
              </w:rPr>
              <w:t xml:space="preserve"> 109/л, при отсутствии тошноты, рвоты, диареи и возможности приема внутрь. Концентрация Tx 5-15 нг/мл.    </w:t>
            </w:r>
          </w:p>
        </w:tc>
      </w:tr>
      <w:tr w:rsidR="00304132" w:rsidRPr="00AC3044" w14:paraId="715FD74E" w14:textId="77777777" w:rsidTr="00CD5E09">
        <w:trPr>
          <w:cantSplit/>
          <w:trHeight w:val="214"/>
        </w:trPr>
        <w:tc>
          <w:tcPr>
            <w:tcW w:w="817" w:type="dxa"/>
            <w:vMerge/>
            <w:textDirection w:val="btLr"/>
            <w:vAlign w:val="center"/>
          </w:tcPr>
          <w:p w14:paraId="77BEB337" w14:textId="77777777" w:rsidR="00304132" w:rsidRPr="00AC3044" w:rsidRDefault="00304132" w:rsidP="00CD5E09">
            <w:pPr>
              <w:rPr>
                <w:rFonts w:eastAsia="SimSun"/>
              </w:rPr>
            </w:pPr>
          </w:p>
        </w:tc>
        <w:tc>
          <w:tcPr>
            <w:tcW w:w="1701" w:type="dxa"/>
            <w:vAlign w:val="center"/>
          </w:tcPr>
          <w:p w14:paraId="69EE3E70" w14:textId="77777777" w:rsidR="00304132" w:rsidRPr="00AC3044" w:rsidRDefault="00304132" w:rsidP="00CD5E09">
            <w:pPr>
              <w:rPr>
                <w:rFonts w:eastAsia="SimSun"/>
              </w:rPr>
            </w:pPr>
            <w:r w:rsidRPr="00AC3044">
              <w:rPr>
                <w:rFonts w:eastAsia="SimSun"/>
              </w:rPr>
              <w:t>Микофенолата мофетил</w:t>
            </w:r>
          </w:p>
        </w:tc>
        <w:tc>
          <w:tcPr>
            <w:tcW w:w="1559" w:type="dxa"/>
            <w:vAlign w:val="center"/>
          </w:tcPr>
          <w:p w14:paraId="73DE3975" w14:textId="77777777" w:rsidR="00304132" w:rsidRPr="00AC3044" w:rsidRDefault="00304132" w:rsidP="00CD5E09">
            <w:pPr>
              <w:rPr>
                <w:rFonts w:eastAsia="SimSun"/>
              </w:rPr>
            </w:pPr>
            <w:r w:rsidRPr="00AC3044">
              <w:rPr>
                <w:rFonts w:eastAsia="SimSun"/>
              </w:rPr>
              <w:t xml:space="preserve">30 мг/кг </w:t>
            </w:r>
          </w:p>
        </w:tc>
        <w:tc>
          <w:tcPr>
            <w:tcW w:w="1418" w:type="dxa"/>
            <w:vAlign w:val="center"/>
          </w:tcPr>
          <w:p w14:paraId="2F4F377D" w14:textId="77777777" w:rsidR="00304132" w:rsidRPr="00AC3044" w:rsidRDefault="00304132" w:rsidP="00CD5E09">
            <w:pPr>
              <w:rPr>
                <w:rFonts w:eastAsia="SimSun"/>
              </w:rPr>
            </w:pPr>
            <w:r w:rsidRPr="00AC3044">
              <w:rPr>
                <w:rFonts w:eastAsia="SimSun"/>
              </w:rPr>
              <w:t>–</w:t>
            </w:r>
          </w:p>
        </w:tc>
        <w:tc>
          <w:tcPr>
            <w:tcW w:w="1701" w:type="dxa"/>
            <w:vAlign w:val="center"/>
          </w:tcPr>
          <w:p w14:paraId="0D10852A" w14:textId="77777777" w:rsidR="00304132" w:rsidRPr="00AC3044" w:rsidRDefault="00304132" w:rsidP="00CD5E09">
            <w:pPr>
              <w:rPr>
                <w:rFonts w:eastAsia="SimSun"/>
              </w:rPr>
            </w:pPr>
            <w:r w:rsidRPr="00AC3044">
              <w:rPr>
                <w:rFonts w:eastAsia="SimSun"/>
              </w:rPr>
              <w:t xml:space="preserve">С +5 дня по +35 день </w:t>
            </w:r>
          </w:p>
        </w:tc>
        <w:tc>
          <w:tcPr>
            <w:tcW w:w="2268" w:type="dxa"/>
            <w:vAlign w:val="center"/>
          </w:tcPr>
          <w:p w14:paraId="4DD14C10" w14:textId="77777777" w:rsidR="00304132" w:rsidRPr="00AC3044" w:rsidRDefault="00304132" w:rsidP="00CD5E09">
            <w:pPr>
              <w:rPr>
                <w:rFonts w:eastAsia="SimSun"/>
              </w:rPr>
            </w:pPr>
            <w:r w:rsidRPr="00AC3044">
              <w:rPr>
                <w:rFonts w:eastAsia="SimSun"/>
              </w:rPr>
              <w:t xml:space="preserve">Внутрь, суммарная суточная доза разделяется на 2- 4 приема (не более 3г/сут).  </w:t>
            </w:r>
          </w:p>
        </w:tc>
      </w:tr>
    </w:tbl>
    <w:p w14:paraId="04D3AED8" w14:textId="77777777" w:rsidR="00304132" w:rsidRDefault="00304132" w:rsidP="00304132">
      <w:pPr>
        <w:rPr>
          <w:rFonts w:eastAsia="SimSun"/>
        </w:rPr>
      </w:pPr>
      <w:bookmarkStart w:id="350" w:name="_Toc44401210"/>
    </w:p>
    <w:p w14:paraId="47E75056" w14:textId="77777777" w:rsidR="00304132" w:rsidRPr="00C07B2E" w:rsidRDefault="00304132" w:rsidP="00304132">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2.2.10  – Flu180+Bu8 / Tx+MMF30</w:t>
      </w:r>
      <w:bookmarkEnd w:id="350"/>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1701"/>
        <w:gridCol w:w="1559"/>
        <w:gridCol w:w="1418"/>
        <w:gridCol w:w="1701"/>
        <w:gridCol w:w="2268"/>
      </w:tblGrid>
      <w:tr w:rsidR="00304132" w:rsidRPr="00AC3044" w14:paraId="30FE2963" w14:textId="77777777" w:rsidTr="00CD5E09">
        <w:trPr>
          <w:cantSplit/>
          <w:trHeight w:val="20"/>
          <w:tblHeader/>
        </w:trPr>
        <w:tc>
          <w:tcPr>
            <w:tcW w:w="817" w:type="dxa"/>
            <w:vAlign w:val="center"/>
          </w:tcPr>
          <w:p w14:paraId="1001D21B" w14:textId="77777777" w:rsidR="00304132" w:rsidRPr="00AC3044" w:rsidRDefault="00304132" w:rsidP="00CD5E09">
            <w:pPr>
              <w:rPr>
                <w:rFonts w:eastAsia="SimSun"/>
              </w:rPr>
            </w:pPr>
          </w:p>
        </w:tc>
        <w:tc>
          <w:tcPr>
            <w:tcW w:w="1701" w:type="dxa"/>
            <w:vAlign w:val="center"/>
          </w:tcPr>
          <w:p w14:paraId="30E607A3" w14:textId="77777777" w:rsidR="00304132" w:rsidRPr="00AC3044" w:rsidRDefault="00304132" w:rsidP="00CD5E09">
            <w:pPr>
              <w:rPr>
                <w:rFonts w:eastAsia="SimSun"/>
              </w:rPr>
            </w:pPr>
            <w:r w:rsidRPr="00AC3044">
              <w:rPr>
                <w:rFonts w:eastAsia="SimSun"/>
              </w:rPr>
              <w:t>Препарат</w:t>
            </w:r>
          </w:p>
        </w:tc>
        <w:tc>
          <w:tcPr>
            <w:tcW w:w="1559" w:type="dxa"/>
            <w:vAlign w:val="center"/>
          </w:tcPr>
          <w:p w14:paraId="03BFCA0A" w14:textId="77777777" w:rsidR="00304132" w:rsidRPr="00AC3044" w:rsidRDefault="00304132" w:rsidP="00CD5E09">
            <w:pPr>
              <w:rPr>
                <w:rFonts w:eastAsia="SimSun"/>
              </w:rPr>
            </w:pPr>
            <w:r w:rsidRPr="00AC3044">
              <w:rPr>
                <w:rFonts w:eastAsia="SimSun"/>
              </w:rPr>
              <w:t>Суточная доза</w:t>
            </w:r>
          </w:p>
        </w:tc>
        <w:tc>
          <w:tcPr>
            <w:tcW w:w="1418" w:type="dxa"/>
            <w:vAlign w:val="center"/>
          </w:tcPr>
          <w:p w14:paraId="6FB6A298" w14:textId="77777777" w:rsidR="00304132" w:rsidRPr="00AC3044" w:rsidRDefault="00304132" w:rsidP="00CD5E09">
            <w:pPr>
              <w:rPr>
                <w:rFonts w:eastAsia="SimSun"/>
              </w:rPr>
            </w:pPr>
            <w:r w:rsidRPr="00AC3044">
              <w:rPr>
                <w:rFonts w:eastAsia="SimSun"/>
              </w:rPr>
              <w:t>Курсовая доза</w:t>
            </w:r>
          </w:p>
        </w:tc>
        <w:tc>
          <w:tcPr>
            <w:tcW w:w="1701" w:type="dxa"/>
            <w:vAlign w:val="center"/>
          </w:tcPr>
          <w:p w14:paraId="4C888D91" w14:textId="77777777" w:rsidR="00304132" w:rsidRPr="00AC3044" w:rsidRDefault="00304132" w:rsidP="00CD5E09">
            <w:pPr>
              <w:rPr>
                <w:rFonts w:eastAsia="SimSun"/>
              </w:rPr>
            </w:pPr>
            <w:r w:rsidRPr="00AC3044">
              <w:rPr>
                <w:rFonts w:eastAsia="SimSun"/>
              </w:rPr>
              <w:t>Дни введения</w:t>
            </w:r>
          </w:p>
        </w:tc>
        <w:tc>
          <w:tcPr>
            <w:tcW w:w="2268" w:type="dxa"/>
            <w:vAlign w:val="center"/>
          </w:tcPr>
          <w:p w14:paraId="2DABC054" w14:textId="77777777" w:rsidR="00304132" w:rsidRPr="00AC3044" w:rsidRDefault="00304132" w:rsidP="00CD5E09">
            <w:pPr>
              <w:rPr>
                <w:rFonts w:eastAsia="SimSun"/>
              </w:rPr>
            </w:pPr>
            <w:r w:rsidRPr="00AC3044">
              <w:rPr>
                <w:rFonts w:eastAsia="SimSun"/>
              </w:rPr>
              <w:t>Порядок введения</w:t>
            </w:r>
          </w:p>
        </w:tc>
      </w:tr>
      <w:tr w:rsidR="00304132" w:rsidRPr="00AC3044" w14:paraId="4B846806" w14:textId="77777777" w:rsidTr="00CD5E09">
        <w:trPr>
          <w:cantSplit/>
          <w:trHeight w:val="20"/>
        </w:trPr>
        <w:tc>
          <w:tcPr>
            <w:tcW w:w="817" w:type="dxa"/>
            <w:vMerge w:val="restart"/>
            <w:textDirection w:val="btLr"/>
            <w:vAlign w:val="center"/>
          </w:tcPr>
          <w:p w14:paraId="218690C3" w14:textId="77777777" w:rsidR="00304132" w:rsidRPr="00AC3044" w:rsidRDefault="00304132" w:rsidP="00CD5E09">
            <w:pPr>
              <w:rPr>
                <w:rFonts w:eastAsia="SimSun"/>
              </w:rPr>
            </w:pPr>
            <w:r w:rsidRPr="00AC3044">
              <w:rPr>
                <w:rFonts w:eastAsia="SimSun"/>
              </w:rPr>
              <w:t>Кондиционирование</w:t>
            </w:r>
          </w:p>
        </w:tc>
        <w:tc>
          <w:tcPr>
            <w:tcW w:w="1701" w:type="dxa"/>
            <w:vAlign w:val="center"/>
          </w:tcPr>
          <w:p w14:paraId="426C3B7E" w14:textId="77777777" w:rsidR="00304132" w:rsidRPr="00AC3044" w:rsidRDefault="00304132" w:rsidP="00CD5E09">
            <w:pPr>
              <w:rPr>
                <w:rFonts w:eastAsia="SimSun"/>
              </w:rPr>
            </w:pPr>
            <w:r w:rsidRPr="00AC3044">
              <w:rPr>
                <w:rFonts w:eastAsia="SimSun"/>
              </w:rPr>
              <w:t xml:space="preserve">Флударабин </w:t>
            </w:r>
          </w:p>
        </w:tc>
        <w:tc>
          <w:tcPr>
            <w:tcW w:w="1559" w:type="dxa"/>
            <w:vAlign w:val="center"/>
          </w:tcPr>
          <w:p w14:paraId="4D332285" w14:textId="77777777" w:rsidR="00304132" w:rsidRPr="00AC3044" w:rsidRDefault="00304132" w:rsidP="00CD5E09">
            <w:pPr>
              <w:rPr>
                <w:rFonts w:eastAsia="SimSun"/>
              </w:rPr>
            </w:pPr>
            <w:r w:rsidRPr="00AC3044">
              <w:rPr>
                <w:rFonts w:eastAsia="SimSun"/>
              </w:rPr>
              <w:t>30 мг/м</w:t>
            </w:r>
            <w:r w:rsidRPr="0074195F">
              <w:rPr>
                <w:rFonts w:eastAsia="SimSun"/>
                <w:vertAlign w:val="superscript"/>
              </w:rPr>
              <w:t>2</w:t>
            </w:r>
          </w:p>
        </w:tc>
        <w:tc>
          <w:tcPr>
            <w:tcW w:w="1418" w:type="dxa"/>
            <w:vAlign w:val="center"/>
          </w:tcPr>
          <w:p w14:paraId="3DC028AD" w14:textId="77777777" w:rsidR="00304132" w:rsidRPr="00AC3044" w:rsidRDefault="00304132" w:rsidP="00CD5E09">
            <w:pPr>
              <w:rPr>
                <w:rFonts w:eastAsia="SimSun"/>
              </w:rPr>
            </w:pPr>
            <w:r w:rsidRPr="00AC3044">
              <w:rPr>
                <w:rFonts w:eastAsia="SimSun"/>
              </w:rPr>
              <w:t>180 мг/м</w:t>
            </w:r>
            <w:r w:rsidRPr="0074195F">
              <w:rPr>
                <w:rFonts w:eastAsia="SimSun"/>
                <w:vertAlign w:val="superscript"/>
              </w:rPr>
              <w:t>2</w:t>
            </w:r>
          </w:p>
        </w:tc>
        <w:tc>
          <w:tcPr>
            <w:tcW w:w="1701" w:type="dxa"/>
            <w:vAlign w:val="center"/>
          </w:tcPr>
          <w:p w14:paraId="0FE53EF4" w14:textId="77777777" w:rsidR="00304132" w:rsidRPr="00AC3044" w:rsidRDefault="00304132" w:rsidP="00CD5E09">
            <w:pPr>
              <w:rPr>
                <w:rFonts w:eastAsia="SimSun"/>
              </w:rPr>
            </w:pPr>
            <w:r w:rsidRPr="00AC3044">
              <w:rPr>
                <w:rFonts w:eastAsia="SimSun"/>
              </w:rPr>
              <w:t>С -7 дня по -2 день</w:t>
            </w:r>
          </w:p>
        </w:tc>
        <w:tc>
          <w:tcPr>
            <w:tcW w:w="2268" w:type="dxa"/>
            <w:vAlign w:val="center"/>
          </w:tcPr>
          <w:p w14:paraId="68ACE2C4" w14:textId="77777777" w:rsidR="00304132" w:rsidRPr="00AC3044" w:rsidRDefault="00304132" w:rsidP="00CD5E09">
            <w:pPr>
              <w:rPr>
                <w:rFonts w:eastAsia="SimSun"/>
              </w:rPr>
            </w:pPr>
            <w:r w:rsidRPr="00AC3044">
              <w:rPr>
                <w:rFonts w:eastAsia="SimSun"/>
              </w:rPr>
              <w:t>В/в, в течение 30 -60 мин</w:t>
            </w:r>
          </w:p>
        </w:tc>
      </w:tr>
      <w:tr w:rsidR="00304132" w:rsidRPr="00AC3044" w14:paraId="431084C7" w14:textId="77777777" w:rsidTr="00CD5E09">
        <w:trPr>
          <w:cantSplit/>
          <w:trHeight w:val="1207"/>
        </w:trPr>
        <w:tc>
          <w:tcPr>
            <w:tcW w:w="817" w:type="dxa"/>
            <w:vMerge/>
            <w:vAlign w:val="center"/>
          </w:tcPr>
          <w:p w14:paraId="31977A75" w14:textId="77777777" w:rsidR="00304132" w:rsidRPr="00AC3044" w:rsidRDefault="00304132" w:rsidP="00CD5E09">
            <w:pPr>
              <w:rPr>
                <w:rFonts w:eastAsia="SimSun"/>
              </w:rPr>
            </w:pPr>
          </w:p>
        </w:tc>
        <w:tc>
          <w:tcPr>
            <w:tcW w:w="1701" w:type="dxa"/>
            <w:vAlign w:val="center"/>
          </w:tcPr>
          <w:p w14:paraId="1B41B0E6" w14:textId="77777777" w:rsidR="00304132" w:rsidRPr="00AC3044" w:rsidRDefault="00304132" w:rsidP="00CD5E09">
            <w:pPr>
              <w:rPr>
                <w:rFonts w:eastAsia="SimSun"/>
              </w:rPr>
            </w:pPr>
            <w:r w:rsidRPr="00AC3044">
              <w:rPr>
                <w:rFonts w:eastAsia="SimSun"/>
              </w:rPr>
              <w:t>Бусульфан</w:t>
            </w:r>
          </w:p>
        </w:tc>
        <w:tc>
          <w:tcPr>
            <w:tcW w:w="1559" w:type="dxa"/>
            <w:vAlign w:val="center"/>
          </w:tcPr>
          <w:p w14:paraId="422C2B97" w14:textId="77777777" w:rsidR="00304132" w:rsidRPr="00AC3044" w:rsidRDefault="00304132" w:rsidP="00CD5E09">
            <w:pPr>
              <w:rPr>
                <w:rFonts w:eastAsia="SimSun"/>
              </w:rPr>
            </w:pPr>
            <w:r w:rsidRPr="00AC3044">
              <w:rPr>
                <w:rFonts w:eastAsia="SimSun"/>
              </w:rPr>
              <w:t xml:space="preserve">4 мг/кг </w:t>
            </w:r>
          </w:p>
        </w:tc>
        <w:tc>
          <w:tcPr>
            <w:tcW w:w="1418" w:type="dxa"/>
            <w:vAlign w:val="center"/>
          </w:tcPr>
          <w:p w14:paraId="33911700" w14:textId="77777777" w:rsidR="00304132" w:rsidRPr="00AC3044" w:rsidRDefault="00304132" w:rsidP="00CD5E09">
            <w:pPr>
              <w:rPr>
                <w:rFonts w:eastAsia="SimSun"/>
              </w:rPr>
            </w:pPr>
            <w:r w:rsidRPr="00AC3044">
              <w:rPr>
                <w:rFonts w:eastAsia="SimSun"/>
              </w:rPr>
              <w:t xml:space="preserve">8 мг/кг </w:t>
            </w:r>
          </w:p>
        </w:tc>
        <w:tc>
          <w:tcPr>
            <w:tcW w:w="1701" w:type="dxa"/>
            <w:vAlign w:val="center"/>
          </w:tcPr>
          <w:p w14:paraId="602C17FD" w14:textId="77777777" w:rsidR="00304132" w:rsidRPr="00AC3044" w:rsidRDefault="00304132" w:rsidP="00CD5E09">
            <w:pPr>
              <w:rPr>
                <w:rFonts w:eastAsia="SimSun"/>
              </w:rPr>
            </w:pPr>
            <w:r w:rsidRPr="00AC3044">
              <w:rPr>
                <w:rFonts w:eastAsia="SimSun"/>
              </w:rPr>
              <w:t>С -4 дня по -3 день</w:t>
            </w:r>
          </w:p>
        </w:tc>
        <w:tc>
          <w:tcPr>
            <w:tcW w:w="2268" w:type="dxa"/>
            <w:vAlign w:val="center"/>
          </w:tcPr>
          <w:p w14:paraId="16A13F92" w14:textId="77777777" w:rsidR="00304132" w:rsidRPr="00AC3044" w:rsidRDefault="00304132" w:rsidP="00CD5E09">
            <w:pPr>
              <w:rPr>
                <w:rFonts w:eastAsia="SimSun"/>
              </w:rPr>
            </w:pPr>
            <w:r w:rsidRPr="00AC3044">
              <w:rPr>
                <w:rFonts w:eastAsia="SimSun"/>
              </w:rPr>
              <w:t>Внутрь, суммарная суточная доза разделяется на 4 приема с интервалом 6 часов.</w:t>
            </w:r>
          </w:p>
        </w:tc>
      </w:tr>
      <w:tr w:rsidR="00304132" w:rsidRPr="00AC3044" w14:paraId="24D0C925" w14:textId="77777777" w:rsidTr="00CD5E09">
        <w:trPr>
          <w:cantSplit/>
          <w:trHeight w:val="1498"/>
        </w:trPr>
        <w:tc>
          <w:tcPr>
            <w:tcW w:w="817" w:type="dxa"/>
            <w:vMerge w:val="restart"/>
            <w:textDirection w:val="btLr"/>
            <w:vAlign w:val="center"/>
          </w:tcPr>
          <w:p w14:paraId="6BC29DBB" w14:textId="77777777" w:rsidR="00304132" w:rsidRPr="00AC3044" w:rsidRDefault="00304132" w:rsidP="00CD5E09">
            <w:pPr>
              <w:rPr>
                <w:rFonts w:eastAsia="SimSun"/>
              </w:rPr>
            </w:pPr>
            <w:r w:rsidRPr="00AC3044">
              <w:rPr>
                <w:rFonts w:eastAsia="SimSun"/>
              </w:rPr>
              <w:t>Профилактика РТПХ</w:t>
            </w:r>
          </w:p>
        </w:tc>
        <w:tc>
          <w:tcPr>
            <w:tcW w:w="1701" w:type="dxa"/>
            <w:vAlign w:val="center"/>
          </w:tcPr>
          <w:p w14:paraId="242A0E2A" w14:textId="77777777" w:rsidR="00304132" w:rsidRPr="00AC3044" w:rsidRDefault="00304132" w:rsidP="00CD5E09">
            <w:pPr>
              <w:rPr>
                <w:rFonts w:eastAsia="SimSun"/>
              </w:rPr>
            </w:pPr>
            <w:r w:rsidRPr="00AC3044">
              <w:rPr>
                <w:rFonts w:eastAsia="SimSun"/>
              </w:rPr>
              <w:t xml:space="preserve">Такролимус </w:t>
            </w:r>
          </w:p>
        </w:tc>
        <w:tc>
          <w:tcPr>
            <w:tcW w:w="1559" w:type="dxa"/>
            <w:vAlign w:val="center"/>
          </w:tcPr>
          <w:p w14:paraId="7C6E2537" w14:textId="77777777" w:rsidR="00304132" w:rsidRPr="00AC3044" w:rsidRDefault="00304132" w:rsidP="00CD5E09">
            <w:pPr>
              <w:rPr>
                <w:rFonts w:eastAsia="SimSun"/>
              </w:rPr>
            </w:pPr>
            <w:r w:rsidRPr="00AC3044">
              <w:rPr>
                <w:rFonts w:eastAsia="SimSun"/>
              </w:rPr>
              <w:t>0,03 мг/кг</w:t>
            </w:r>
          </w:p>
        </w:tc>
        <w:tc>
          <w:tcPr>
            <w:tcW w:w="1418" w:type="dxa"/>
            <w:vAlign w:val="center"/>
          </w:tcPr>
          <w:p w14:paraId="2896A585" w14:textId="77777777" w:rsidR="00304132" w:rsidRPr="00AC3044" w:rsidRDefault="00304132" w:rsidP="00CD5E09">
            <w:pPr>
              <w:rPr>
                <w:rFonts w:eastAsia="SimSun"/>
              </w:rPr>
            </w:pPr>
            <w:r w:rsidRPr="00AC3044">
              <w:rPr>
                <w:rFonts w:eastAsia="SimSun"/>
              </w:rPr>
              <w:t>–</w:t>
            </w:r>
          </w:p>
        </w:tc>
        <w:tc>
          <w:tcPr>
            <w:tcW w:w="1701" w:type="dxa"/>
            <w:vAlign w:val="center"/>
          </w:tcPr>
          <w:p w14:paraId="3658A094" w14:textId="77777777" w:rsidR="00304132" w:rsidRPr="00AC3044" w:rsidRDefault="00304132" w:rsidP="00CD5E09">
            <w:pPr>
              <w:rPr>
                <w:rFonts w:eastAsia="SimSun"/>
              </w:rPr>
            </w:pPr>
            <w:r w:rsidRPr="00AC3044">
              <w:rPr>
                <w:rFonts w:eastAsia="SimSun"/>
              </w:rPr>
              <w:t xml:space="preserve">С +5 дня длительно </w:t>
            </w:r>
          </w:p>
        </w:tc>
        <w:tc>
          <w:tcPr>
            <w:tcW w:w="2268" w:type="dxa"/>
            <w:vAlign w:val="center"/>
          </w:tcPr>
          <w:p w14:paraId="01152FA0" w14:textId="77777777" w:rsidR="00304132" w:rsidRPr="00AC3044" w:rsidRDefault="00304132" w:rsidP="00CD5E09">
            <w:pPr>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х</w:t>
            </w:r>
            <w:r w:rsidRPr="00AC3044">
              <w:rPr>
                <w:rFonts w:eastAsia="SimSun"/>
              </w:rPr>
              <w:t xml:space="preserve"> 10</w:t>
            </w:r>
            <w:r w:rsidRPr="0074195F">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304132" w:rsidRPr="00AC3044" w14:paraId="21BCE277" w14:textId="77777777" w:rsidTr="00CD5E09">
        <w:trPr>
          <w:cantSplit/>
          <w:trHeight w:val="570"/>
        </w:trPr>
        <w:tc>
          <w:tcPr>
            <w:tcW w:w="817" w:type="dxa"/>
            <w:vMerge/>
            <w:textDirection w:val="btLr"/>
            <w:vAlign w:val="center"/>
          </w:tcPr>
          <w:p w14:paraId="78C156DF" w14:textId="77777777" w:rsidR="00304132" w:rsidRPr="00AC3044" w:rsidRDefault="00304132" w:rsidP="00CD5E09">
            <w:pPr>
              <w:rPr>
                <w:rFonts w:eastAsia="SimSun"/>
              </w:rPr>
            </w:pPr>
          </w:p>
        </w:tc>
        <w:tc>
          <w:tcPr>
            <w:tcW w:w="1701" w:type="dxa"/>
            <w:vAlign w:val="center"/>
          </w:tcPr>
          <w:p w14:paraId="2C2EAAD4" w14:textId="77777777" w:rsidR="00304132" w:rsidRPr="00AC3044" w:rsidRDefault="00304132" w:rsidP="00CD5E09">
            <w:pPr>
              <w:rPr>
                <w:rFonts w:eastAsia="SimSun"/>
              </w:rPr>
            </w:pPr>
            <w:r w:rsidRPr="00AC3044">
              <w:rPr>
                <w:rFonts w:eastAsia="SimSun"/>
              </w:rPr>
              <w:t>Микофенолата мофетил</w:t>
            </w:r>
          </w:p>
        </w:tc>
        <w:tc>
          <w:tcPr>
            <w:tcW w:w="1559" w:type="dxa"/>
            <w:vAlign w:val="center"/>
          </w:tcPr>
          <w:p w14:paraId="155C41FD" w14:textId="77777777" w:rsidR="00304132" w:rsidRPr="00AC3044" w:rsidRDefault="00304132" w:rsidP="00CD5E09">
            <w:pPr>
              <w:rPr>
                <w:rFonts w:eastAsia="SimSun"/>
              </w:rPr>
            </w:pPr>
            <w:r w:rsidRPr="00AC3044">
              <w:rPr>
                <w:rFonts w:eastAsia="SimSun"/>
              </w:rPr>
              <w:t xml:space="preserve">30 мг/кг </w:t>
            </w:r>
          </w:p>
        </w:tc>
        <w:tc>
          <w:tcPr>
            <w:tcW w:w="1418" w:type="dxa"/>
            <w:vAlign w:val="center"/>
          </w:tcPr>
          <w:p w14:paraId="0F5C3884" w14:textId="77777777" w:rsidR="00304132" w:rsidRPr="00AC3044" w:rsidRDefault="00304132" w:rsidP="00CD5E09">
            <w:pPr>
              <w:rPr>
                <w:rFonts w:eastAsia="SimSun"/>
              </w:rPr>
            </w:pPr>
            <w:r w:rsidRPr="00AC3044">
              <w:rPr>
                <w:rFonts w:eastAsia="SimSun"/>
              </w:rPr>
              <w:t>–</w:t>
            </w:r>
          </w:p>
        </w:tc>
        <w:tc>
          <w:tcPr>
            <w:tcW w:w="1701" w:type="dxa"/>
            <w:vAlign w:val="center"/>
          </w:tcPr>
          <w:p w14:paraId="5FF0DCDE" w14:textId="77777777" w:rsidR="00304132" w:rsidRPr="00AC3044" w:rsidRDefault="00304132" w:rsidP="00CD5E09">
            <w:pPr>
              <w:rPr>
                <w:rFonts w:eastAsia="SimSun"/>
              </w:rPr>
            </w:pPr>
            <w:r w:rsidRPr="00AC3044">
              <w:rPr>
                <w:rFonts w:eastAsia="SimSun"/>
              </w:rPr>
              <w:t xml:space="preserve">С +5 дня по +35 день </w:t>
            </w:r>
          </w:p>
        </w:tc>
        <w:tc>
          <w:tcPr>
            <w:tcW w:w="2268" w:type="dxa"/>
            <w:vAlign w:val="center"/>
          </w:tcPr>
          <w:p w14:paraId="36562457" w14:textId="77777777" w:rsidR="00304132" w:rsidRPr="00AC3044" w:rsidRDefault="00304132" w:rsidP="00CD5E09">
            <w:pPr>
              <w:rPr>
                <w:rFonts w:eastAsia="SimSun"/>
              </w:rPr>
            </w:pPr>
            <w:r w:rsidRPr="00AC3044">
              <w:rPr>
                <w:rFonts w:eastAsia="SimSun"/>
              </w:rPr>
              <w:t xml:space="preserve">Внутрь, суммарная суточная доза разделяется на 2- 4 приема (не более 3г/сут).  </w:t>
            </w:r>
          </w:p>
        </w:tc>
      </w:tr>
    </w:tbl>
    <w:p w14:paraId="6648C64C" w14:textId="77777777" w:rsidR="00304132" w:rsidRPr="00C07B2E" w:rsidRDefault="00304132" w:rsidP="00304132">
      <w:pPr>
        <w:rPr>
          <w:rFonts w:eastAsia="SimSun"/>
        </w:rPr>
      </w:pPr>
    </w:p>
    <w:p w14:paraId="10EC2E00" w14:textId="77777777" w:rsidR="00304132" w:rsidRPr="00C07B2E" w:rsidRDefault="00304132" w:rsidP="00304132">
      <w:pPr>
        <w:rPr>
          <w:rFonts w:eastAsia="SimSun"/>
        </w:rPr>
      </w:pPr>
      <w:bookmarkStart w:id="351" w:name="_Toc44401211"/>
      <w:r w:rsidRPr="00042499">
        <w:rPr>
          <w:rFonts w:eastAsia="SimSun"/>
        </w:rPr>
        <w:t>Таблица</w:t>
      </w:r>
      <w:r w:rsidRPr="00C07B2E">
        <w:rPr>
          <w:rFonts w:eastAsia="SimSun"/>
        </w:rPr>
        <w:t xml:space="preserve"> </w:t>
      </w:r>
      <w:r>
        <w:rPr>
          <w:rFonts w:eastAsia="SimSun"/>
        </w:rPr>
        <w:t>5.</w:t>
      </w:r>
      <w:r w:rsidRPr="00C07B2E">
        <w:rPr>
          <w:rFonts w:eastAsia="SimSun"/>
        </w:rPr>
        <w:t>2.2.11 – Flu180+Bu8 / PT-Cy+CSA+MMF30</w:t>
      </w:r>
      <w:bookmarkEnd w:id="351"/>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1701"/>
        <w:gridCol w:w="1559"/>
        <w:gridCol w:w="1418"/>
        <w:gridCol w:w="1701"/>
        <w:gridCol w:w="2268"/>
      </w:tblGrid>
      <w:tr w:rsidR="00304132" w:rsidRPr="00AC3044" w14:paraId="3B4D323A" w14:textId="77777777" w:rsidTr="00CD5E09">
        <w:trPr>
          <w:cantSplit/>
          <w:trHeight w:val="20"/>
          <w:tblHeader/>
        </w:trPr>
        <w:tc>
          <w:tcPr>
            <w:tcW w:w="817" w:type="dxa"/>
            <w:vAlign w:val="center"/>
          </w:tcPr>
          <w:p w14:paraId="4FAD680D" w14:textId="77777777" w:rsidR="00304132" w:rsidRPr="00470D3D" w:rsidRDefault="00304132" w:rsidP="00CD5E09">
            <w:pPr>
              <w:rPr>
                <w:rFonts w:eastAsia="SimSun"/>
              </w:rPr>
            </w:pPr>
          </w:p>
        </w:tc>
        <w:tc>
          <w:tcPr>
            <w:tcW w:w="1701" w:type="dxa"/>
            <w:vAlign w:val="center"/>
          </w:tcPr>
          <w:p w14:paraId="4A7DA173" w14:textId="77777777" w:rsidR="00304132" w:rsidRPr="00AC3044" w:rsidRDefault="00304132" w:rsidP="00CD5E09">
            <w:pPr>
              <w:rPr>
                <w:rFonts w:eastAsia="SimSun"/>
              </w:rPr>
            </w:pPr>
            <w:r w:rsidRPr="00AC3044">
              <w:rPr>
                <w:rFonts w:eastAsia="SimSun"/>
              </w:rPr>
              <w:t>Препарат</w:t>
            </w:r>
          </w:p>
        </w:tc>
        <w:tc>
          <w:tcPr>
            <w:tcW w:w="1559" w:type="dxa"/>
            <w:vAlign w:val="center"/>
          </w:tcPr>
          <w:p w14:paraId="50A793BD" w14:textId="77777777" w:rsidR="00304132" w:rsidRPr="00AC3044" w:rsidRDefault="00304132" w:rsidP="00CD5E09">
            <w:pPr>
              <w:rPr>
                <w:rFonts w:eastAsia="SimSun"/>
              </w:rPr>
            </w:pPr>
            <w:r w:rsidRPr="00AC3044">
              <w:rPr>
                <w:rFonts w:eastAsia="SimSun"/>
              </w:rPr>
              <w:t>Суточная доза</w:t>
            </w:r>
          </w:p>
        </w:tc>
        <w:tc>
          <w:tcPr>
            <w:tcW w:w="1418" w:type="dxa"/>
            <w:vAlign w:val="center"/>
          </w:tcPr>
          <w:p w14:paraId="47DBA721" w14:textId="77777777" w:rsidR="00304132" w:rsidRPr="00AC3044" w:rsidRDefault="00304132" w:rsidP="00CD5E09">
            <w:pPr>
              <w:rPr>
                <w:rFonts w:eastAsia="SimSun"/>
              </w:rPr>
            </w:pPr>
            <w:r w:rsidRPr="00AC3044">
              <w:rPr>
                <w:rFonts w:eastAsia="SimSun"/>
              </w:rPr>
              <w:t>Курсовая доза</w:t>
            </w:r>
          </w:p>
        </w:tc>
        <w:tc>
          <w:tcPr>
            <w:tcW w:w="1701" w:type="dxa"/>
            <w:vAlign w:val="center"/>
          </w:tcPr>
          <w:p w14:paraId="50A7854A" w14:textId="77777777" w:rsidR="00304132" w:rsidRPr="00AC3044" w:rsidRDefault="00304132" w:rsidP="00CD5E09">
            <w:pPr>
              <w:rPr>
                <w:rFonts w:eastAsia="SimSun"/>
              </w:rPr>
            </w:pPr>
            <w:r w:rsidRPr="00AC3044">
              <w:rPr>
                <w:rFonts w:eastAsia="SimSun"/>
              </w:rPr>
              <w:t>Дни введения</w:t>
            </w:r>
          </w:p>
        </w:tc>
        <w:tc>
          <w:tcPr>
            <w:tcW w:w="2268" w:type="dxa"/>
            <w:vAlign w:val="center"/>
          </w:tcPr>
          <w:p w14:paraId="45B13BBA" w14:textId="77777777" w:rsidR="00304132" w:rsidRPr="00AC3044" w:rsidRDefault="00304132" w:rsidP="00CD5E09">
            <w:pPr>
              <w:rPr>
                <w:rFonts w:eastAsia="SimSun"/>
              </w:rPr>
            </w:pPr>
            <w:r w:rsidRPr="00AC3044">
              <w:rPr>
                <w:rFonts w:eastAsia="SimSun"/>
              </w:rPr>
              <w:t>Порядок введения</w:t>
            </w:r>
          </w:p>
        </w:tc>
      </w:tr>
      <w:tr w:rsidR="00304132" w:rsidRPr="00AC3044" w14:paraId="788EB225" w14:textId="77777777" w:rsidTr="00CD5E09">
        <w:trPr>
          <w:cantSplit/>
          <w:trHeight w:val="20"/>
        </w:trPr>
        <w:tc>
          <w:tcPr>
            <w:tcW w:w="817" w:type="dxa"/>
            <w:vMerge w:val="restart"/>
            <w:textDirection w:val="btLr"/>
            <w:vAlign w:val="center"/>
          </w:tcPr>
          <w:p w14:paraId="1B8CA4E1" w14:textId="77777777" w:rsidR="00304132" w:rsidRPr="00AC3044" w:rsidRDefault="00304132" w:rsidP="00CD5E09">
            <w:pPr>
              <w:rPr>
                <w:rFonts w:eastAsia="SimSun"/>
              </w:rPr>
            </w:pPr>
            <w:r w:rsidRPr="00AC3044">
              <w:rPr>
                <w:rFonts w:eastAsia="SimSun"/>
              </w:rPr>
              <w:t>Кондиционирование</w:t>
            </w:r>
          </w:p>
        </w:tc>
        <w:tc>
          <w:tcPr>
            <w:tcW w:w="1701" w:type="dxa"/>
            <w:vAlign w:val="center"/>
          </w:tcPr>
          <w:p w14:paraId="7D9DFBFD" w14:textId="77777777" w:rsidR="00304132" w:rsidRPr="00AC3044" w:rsidRDefault="00304132" w:rsidP="00CD5E09">
            <w:pPr>
              <w:rPr>
                <w:rFonts w:eastAsia="SimSun"/>
              </w:rPr>
            </w:pPr>
            <w:r w:rsidRPr="00AC3044">
              <w:rPr>
                <w:rFonts w:eastAsia="SimSun"/>
              </w:rPr>
              <w:t xml:space="preserve">Флударабин </w:t>
            </w:r>
          </w:p>
        </w:tc>
        <w:tc>
          <w:tcPr>
            <w:tcW w:w="1559" w:type="dxa"/>
            <w:vAlign w:val="center"/>
          </w:tcPr>
          <w:p w14:paraId="30D91837" w14:textId="77777777" w:rsidR="00304132" w:rsidRPr="00AC3044" w:rsidRDefault="00304132" w:rsidP="00CD5E09">
            <w:pPr>
              <w:rPr>
                <w:rFonts w:eastAsia="SimSun"/>
              </w:rPr>
            </w:pPr>
            <w:r w:rsidRPr="00AC3044">
              <w:rPr>
                <w:rFonts w:eastAsia="SimSun"/>
              </w:rPr>
              <w:t>30 мг/м</w:t>
            </w:r>
            <w:r w:rsidRPr="0074195F">
              <w:rPr>
                <w:rFonts w:eastAsia="SimSun"/>
                <w:vertAlign w:val="superscript"/>
              </w:rPr>
              <w:t>2</w:t>
            </w:r>
          </w:p>
        </w:tc>
        <w:tc>
          <w:tcPr>
            <w:tcW w:w="1418" w:type="dxa"/>
            <w:vAlign w:val="center"/>
          </w:tcPr>
          <w:p w14:paraId="1382C0D6" w14:textId="77777777" w:rsidR="00304132" w:rsidRPr="00AC3044" w:rsidRDefault="00304132" w:rsidP="00CD5E09">
            <w:pPr>
              <w:rPr>
                <w:rFonts w:eastAsia="SimSun"/>
              </w:rPr>
            </w:pPr>
            <w:r w:rsidRPr="00AC3044">
              <w:rPr>
                <w:rFonts w:eastAsia="SimSun"/>
              </w:rPr>
              <w:t>180 мг/м</w:t>
            </w:r>
            <w:r w:rsidRPr="0074195F">
              <w:rPr>
                <w:rFonts w:eastAsia="SimSun"/>
                <w:vertAlign w:val="superscript"/>
              </w:rPr>
              <w:t>2</w:t>
            </w:r>
          </w:p>
        </w:tc>
        <w:tc>
          <w:tcPr>
            <w:tcW w:w="1701" w:type="dxa"/>
            <w:vAlign w:val="center"/>
          </w:tcPr>
          <w:p w14:paraId="1A2C96D4" w14:textId="77777777" w:rsidR="00304132" w:rsidRPr="00AC3044" w:rsidRDefault="00304132" w:rsidP="00CD5E09">
            <w:pPr>
              <w:rPr>
                <w:rFonts w:eastAsia="SimSun"/>
              </w:rPr>
            </w:pPr>
            <w:r w:rsidRPr="00AC3044">
              <w:rPr>
                <w:rFonts w:eastAsia="SimSun"/>
              </w:rPr>
              <w:t>С -7 дня по -2 день</w:t>
            </w:r>
          </w:p>
        </w:tc>
        <w:tc>
          <w:tcPr>
            <w:tcW w:w="2268" w:type="dxa"/>
            <w:vAlign w:val="center"/>
          </w:tcPr>
          <w:p w14:paraId="3BA308A0" w14:textId="77777777" w:rsidR="00304132" w:rsidRPr="00AC3044" w:rsidRDefault="00304132" w:rsidP="00CD5E09">
            <w:pPr>
              <w:rPr>
                <w:rFonts w:eastAsia="SimSun"/>
              </w:rPr>
            </w:pPr>
            <w:r w:rsidRPr="00AC3044">
              <w:rPr>
                <w:rFonts w:eastAsia="SimSun"/>
              </w:rPr>
              <w:t>В/в, в течение 30 -60 мин</w:t>
            </w:r>
          </w:p>
        </w:tc>
      </w:tr>
      <w:tr w:rsidR="00304132" w:rsidRPr="00AC3044" w14:paraId="4BDB254F" w14:textId="77777777" w:rsidTr="00CD5E09">
        <w:trPr>
          <w:cantSplit/>
          <w:trHeight w:val="1207"/>
        </w:trPr>
        <w:tc>
          <w:tcPr>
            <w:tcW w:w="817" w:type="dxa"/>
            <w:vMerge/>
            <w:vAlign w:val="center"/>
          </w:tcPr>
          <w:p w14:paraId="15553559" w14:textId="77777777" w:rsidR="00304132" w:rsidRPr="00AC3044" w:rsidRDefault="00304132" w:rsidP="00CD5E09">
            <w:pPr>
              <w:rPr>
                <w:rFonts w:eastAsia="SimSun"/>
              </w:rPr>
            </w:pPr>
          </w:p>
        </w:tc>
        <w:tc>
          <w:tcPr>
            <w:tcW w:w="1701" w:type="dxa"/>
            <w:vAlign w:val="center"/>
          </w:tcPr>
          <w:p w14:paraId="00EC4D36" w14:textId="77777777" w:rsidR="00304132" w:rsidRPr="00AC3044" w:rsidRDefault="00304132" w:rsidP="00CD5E09">
            <w:pPr>
              <w:rPr>
                <w:rFonts w:eastAsia="SimSun"/>
              </w:rPr>
            </w:pPr>
            <w:r w:rsidRPr="00AC3044">
              <w:rPr>
                <w:rFonts w:eastAsia="SimSun"/>
              </w:rPr>
              <w:t>Бусульфан</w:t>
            </w:r>
          </w:p>
        </w:tc>
        <w:tc>
          <w:tcPr>
            <w:tcW w:w="1559" w:type="dxa"/>
            <w:vAlign w:val="center"/>
          </w:tcPr>
          <w:p w14:paraId="045AB4BD" w14:textId="77777777" w:rsidR="00304132" w:rsidRPr="00AC3044" w:rsidRDefault="00304132" w:rsidP="00CD5E09">
            <w:pPr>
              <w:rPr>
                <w:rFonts w:eastAsia="SimSun"/>
              </w:rPr>
            </w:pPr>
            <w:r w:rsidRPr="00AC3044">
              <w:rPr>
                <w:rFonts w:eastAsia="SimSun"/>
              </w:rPr>
              <w:t xml:space="preserve">4 мг/кг </w:t>
            </w:r>
          </w:p>
        </w:tc>
        <w:tc>
          <w:tcPr>
            <w:tcW w:w="1418" w:type="dxa"/>
            <w:vAlign w:val="center"/>
          </w:tcPr>
          <w:p w14:paraId="26D458E8" w14:textId="77777777" w:rsidR="00304132" w:rsidRPr="00AC3044" w:rsidRDefault="00304132" w:rsidP="00CD5E09">
            <w:pPr>
              <w:rPr>
                <w:rFonts w:eastAsia="SimSun"/>
              </w:rPr>
            </w:pPr>
            <w:r w:rsidRPr="00AC3044">
              <w:rPr>
                <w:rFonts w:eastAsia="SimSun"/>
              </w:rPr>
              <w:t xml:space="preserve">8 мг/кг </w:t>
            </w:r>
          </w:p>
        </w:tc>
        <w:tc>
          <w:tcPr>
            <w:tcW w:w="1701" w:type="dxa"/>
            <w:vAlign w:val="center"/>
          </w:tcPr>
          <w:p w14:paraId="3B637BA1" w14:textId="77777777" w:rsidR="00304132" w:rsidRPr="00AC3044" w:rsidRDefault="00304132" w:rsidP="00CD5E09">
            <w:pPr>
              <w:rPr>
                <w:rFonts w:eastAsia="SimSun"/>
              </w:rPr>
            </w:pPr>
            <w:r w:rsidRPr="00AC3044">
              <w:rPr>
                <w:rFonts w:eastAsia="SimSun"/>
              </w:rPr>
              <w:t>С -4 дня по -3 день</w:t>
            </w:r>
          </w:p>
        </w:tc>
        <w:tc>
          <w:tcPr>
            <w:tcW w:w="2268" w:type="dxa"/>
            <w:vAlign w:val="center"/>
          </w:tcPr>
          <w:p w14:paraId="728AA4A4" w14:textId="77777777" w:rsidR="00304132" w:rsidRPr="00AC3044" w:rsidRDefault="00304132" w:rsidP="00CD5E09">
            <w:pPr>
              <w:rPr>
                <w:rFonts w:eastAsia="SimSun"/>
              </w:rPr>
            </w:pPr>
            <w:r w:rsidRPr="00AC3044">
              <w:rPr>
                <w:rFonts w:eastAsia="SimSun"/>
              </w:rPr>
              <w:t>Внутрь, суммарная суточная доза разделяется на 4 приема с интервалом 6 часов.</w:t>
            </w:r>
          </w:p>
        </w:tc>
      </w:tr>
      <w:tr w:rsidR="00304132" w:rsidRPr="00AC3044" w14:paraId="69555EA8" w14:textId="77777777" w:rsidTr="00CD5E09">
        <w:trPr>
          <w:cantSplit/>
          <w:trHeight w:val="520"/>
        </w:trPr>
        <w:tc>
          <w:tcPr>
            <w:tcW w:w="817" w:type="dxa"/>
            <w:vMerge w:val="restart"/>
            <w:textDirection w:val="btLr"/>
            <w:vAlign w:val="center"/>
          </w:tcPr>
          <w:p w14:paraId="313319BF" w14:textId="77777777" w:rsidR="00304132" w:rsidRPr="00AC3044" w:rsidRDefault="00304132" w:rsidP="00CD5E09">
            <w:pPr>
              <w:rPr>
                <w:rFonts w:eastAsia="SimSun"/>
              </w:rPr>
            </w:pPr>
            <w:r w:rsidRPr="00AC3044">
              <w:rPr>
                <w:rFonts w:eastAsia="SimSun"/>
              </w:rPr>
              <w:t>Профилактика РТПХ</w:t>
            </w:r>
          </w:p>
        </w:tc>
        <w:tc>
          <w:tcPr>
            <w:tcW w:w="1701" w:type="dxa"/>
            <w:vAlign w:val="center"/>
          </w:tcPr>
          <w:p w14:paraId="106F8A42" w14:textId="77777777" w:rsidR="00304132" w:rsidRPr="00AC3044" w:rsidRDefault="00304132" w:rsidP="00CD5E09">
            <w:pPr>
              <w:rPr>
                <w:rFonts w:eastAsia="SimSun"/>
              </w:rPr>
            </w:pPr>
            <w:r w:rsidRPr="00AC3044">
              <w:rPr>
                <w:rFonts w:eastAsia="SimSun"/>
              </w:rPr>
              <w:t>Циклофосфамид</w:t>
            </w:r>
          </w:p>
        </w:tc>
        <w:tc>
          <w:tcPr>
            <w:tcW w:w="1559" w:type="dxa"/>
            <w:vAlign w:val="center"/>
          </w:tcPr>
          <w:p w14:paraId="2217BF99" w14:textId="77777777" w:rsidR="00304132" w:rsidRPr="00AC3044" w:rsidRDefault="00304132" w:rsidP="00CD5E09">
            <w:pPr>
              <w:rPr>
                <w:rFonts w:eastAsia="SimSun"/>
              </w:rPr>
            </w:pPr>
            <w:r w:rsidRPr="00AC3044">
              <w:rPr>
                <w:rFonts w:eastAsia="SimSun"/>
              </w:rPr>
              <w:t>50 мг/кг</w:t>
            </w:r>
          </w:p>
        </w:tc>
        <w:tc>
          <w:tcPr>
            <w:tcW w:w="1418" w:type="dxa"/>
            <w:vAlign w:val="center"/>
          </w:tcPr>
          <w:p w14:paraId="041E1E36" w14:textId="77777777" w:rsidR="00304132" w:rsidRPr="00AC3044" w:rsidRDefault="00304132" w:rsidP="00CD5E09">
            <w:pPr>
              <w:rPr>
                <w:rFonts w:eastAsia="SimSun"/>
              </w:rPr>
            </w:pPr>
            <w:r w:rsidRPr="00AC3044">
              <w:rPr>
                <w:rFonts w:eastAsia="SimSun"/>
              </w:rPr>
              <w:t>100 мг/кг</w:t>
            </w:r>
          </w:p>
        </w:tc>
        <w:tc>
          <w:tcPr>
            <w:tcW w:w="1701" w:type="dxa"/>
            <w:vAlign w:val="center"/>
          </w:tcPr>
          <w:p w14:paraId="1279B7FD" w14:textId="77777777" w:rsidR="00304132" w:rsidRPr="00AC3044" w:rsidRDefault="00304132" w:rsidP="00CD5E09">
            <w:pPr>
              <w:rPr>
                <w:rFonts w:eastAsia="SimSun"/>
              </w:rPr>
            </w:pPr>
            <w:r w:rsidRPr="00AC3044">
              <w:rPr>
                <w:rFonts w:eastAsia="SimSun"/>
              </w:rPr>
              <w:t>В +3 день  и +5 день</w:t>
            </w:r>
          </w:p>
        </w:tc>
        <w:tc>
          <w:tcPr>
            <w:tcW w:w="2268" w:type="dxa"/>
            <w:vAlign w:val="center"/>
          </w:tcPr>
          <w:p w14:paraId="62942B7E" w14:textId="77777777" w:rsidR="00304132" w:rsidRPr="00AC3044" w:rsidRDefault="00304132" w:rsidP="00CD5E09">
            <w:pPr>
              <w:rPr>
                <w:rFonts w:eastAsia="SimSun"/>
              </w:rPr>
            </w:pPr>
            <w:r w:rsidRPr="00AC3044">
              <w:rPr>
                <w:rFonts w:eastAsia="SimSun"/>
              </w:rPr>
              <w:t>В/в, в течение 2 часов</w:t>
            </w:r>
          </w:p>
        </w:tc>
      </w:tr>
      <w:tr w:rsidR="00304132" w:rsidRPr="00AC3044" w14:paraId="244E298A" w14:textId="77777777" w:rsidTr="00CD5E09">
        <w:trPr>
          <w:cantSplit/>
          <w:trHeight w:val="486"/>
        </w:trPr>
        <w:tc>
          <w:tcPr>
            <w:tcW w:w="817" w:type="dxa"/>
            <w:vMerge/>
            <w:textDirection w:val="btLr"/>
            <w:vAlign w:val="center"/>
          </w:tcPr>
          <w:p w14:paraId="0B1D43BA" w14:textId="77777777" w:rsidR="00304132" w:rsidRPr="00AC3044" w:rsidRDefault="00304132" w:rsidP="00CD5E09">
            <w:pPr>
              <w:rPr>
                <w:rFonts w:eastAsia="SimSun"/>
              </w:rPr>
            </w:pPr>
          </w:p>
        </w:tc>
        <w:tc>
          <w:tcPr>
            <w:tcW w:w="1701" w:type="dxa"/>
            <w:vAlign w:val="center"/>
          </w:tcPr>
          <w:p w14:paraId="7CBBF13C" w14:textId="77777777" w:rsidR="00304132" w:rsidRPr="00AC3044" w:rsidRDefault="00304132" w:rsidP="00CD5E09">
            <w:pPr>
              <w:rPr>
                <w:rFonts w:eastAsia="SimSun"/>
              </w:rPr>
            </w:pPr>
            <w:r w:rsidRPr="00AC3044">
              <w:rPr>
                <w:rFonts w:eastAsia="SimSun"/>
              </w:rPr>
              <w:t>Микофенолата мофетил</w:t>
            </w:r>
          </w:p>
        </w:tc>
        <w:tc>
          <w:tcPr>
            <w:tcW w:w="1559" w:type="dxa"/>
            <w:vAlign w:val="center"/>
          </w:tcPr>
          <w:p w14:paraId="5122939D" w14:textId="77777777" w:rsidR="00304132" w:rsidRPr="00AC3044" w:rsidRDefault="00304132" w:rsidP="00CD5E09">
            <w:pPr>
              <w:rPr>
                <w:rFonts w:eastAsia="SimSun"/>
              </w:rPr>
            </w:pPr>
            <w:r w:rsidRPr="00AC3044">
              <w:rPr>
                <w:rFonts w:eastAsia="SimSun"/>
              </w:rPr>
              <w:t xml:space="preserve">30 мг/кг </w:t>
            </w:r>
          </w:p>
        </w:tc>
        <w:tc>
          <w:tcPr>
            <w:tcW w:w="1418" w:type="dxa"/>
            <w:vAlign w:val="center"/>
          </w:tcPr>
          <w:p w14:paraId="3685E1F3" w14:textId="77777777" w:rsidR="00304132" w:rsidRPr="00AC3044" w:rsidRDefault="00304132" w:rsidP="00CD5E09">
            <w:pPr>
              <w:rPr>
                <w:rFonts w:eastAsia="SimSun"/>
              </w:rPr>
            </w:pPr>
            <w:r w:rsidRPr="00AC3044">
              <w:rPr>
                <w:rFonts w:eastAsia="SimSun"/>
              </w:rPr>
              <w:t>–</w:t>
            </w:r>
          </w:p>
        </w:tc>
        <w:tc>
          <w:tcPr>
            <w:tcW w:w="1701" w:type="dxa"/>
            <w:vAlign w:val="center"/>
          </w:tcPr>
          <w:p w14:paraId="493A010B" w14:textId="77777777" w:rsidR="00304132" w:rsidRPr="00AC3044" w:rsidRDefault="00304132" w:rsidP="00CD5E09">
            <w:pPr>
              <w:rPr>
                <w:rFonts w:eastAsia="SimSun"/>
              </w:rPr>
            </w:pPr>
            <w:r w:rsidRPr="00AC3044">
              <w:rPr>
                <w:rFonts w:eastAsia="SimSun"/>
              </w:rPr>
              <w:t xml:space="preserve">С +1 дня по +28 день </w:t>
            </w:r>
          </w:p>
        </w:tc>
        <w:tc>
          <w:tcPr>
            <w:tcW w:w="2268" w:type="dxa"/>
            <w:vAlign w:val="center"/>
          </w:tcPr>
          <w:p w14:paraId="5146CDB3" w14:textId="77777777" w:rsidR="00304132" w:rsidRPr="00AC3044" w:rsidRDefault="00304132" w:rsidP="00CD5E09">
            <w:pPr>
              <w:rPr>
                <w:rFonts w:eastAsia="SimSun"/>
              </w:rPr>
            </w:pPr>
            <w:r w:rsidRPr="00AC3044">
              <w:rPr>
                <w:rFonts w:eastAsia="SimSun"/>
              </w:rPr>
              <w:t xml:space="preserve">Внутрь, суммарная суточная доза разделяется на 2- 4 приема (не более 3г/сут).  </w:t>
            </w:r>
          </w:p>
        </w:tc>
      </w:tr>
      <w:tr w:rsidR="00304132" w:rsidRPr="00AC3044" w14:paraId="4D0BC3B8" w14:textId="77777777" w:rsidTr="00CD5E09">
        <w:trPr>
          <w:cantSplit/>
          <w:trHeight w:val="958"/>
        </w:trPr>
        <w:tc>
          <w:tcPr>
            <w:tcW w:w="817" w:type="dxa"/>
            <w:vMerge/>
            <w:textDirection w:val="btLr"/>
            <w:vAlign w:val="center"/>
          </w:tcPr>
          <w:p w14:paraId="659C60FB" w14:textId="77777777" w:rsidR="00304132" w:rsidRPr="00AC3044" w:rsidRDefault="00304132" w:rsidP="00CD5E09">
            <w:pPr>
              <w:rPr>
                <w:rFonts w:eastAsia="SimSun"/>
              </w:rPr>
            </w:pPr>
          </w:p>
        </w:tc>
        <w:tc>
          <w:tcPr>
            <w:tcW w:w="1701" w:type="dxa"/>
            <w:vAlign w:val="center"/>
          </w:tcPr>
          <w:p w14:paraId="3B4172D2" w14:textId="77777777" w:rsidR="00304132" w:rsidRPr="00AC3044" w:rsidRDefault="00304132" w:rsidP="00CD5E09">
            <w:pPr>
              <w:rPr>
                <w:rFonts w:eastAsia="SimSun"/>
              </w:rPr>
            </w:pPr>
            <w:r w:rsidRPr="00AC3044">
              <w:rPr>
                <w:rFonts w:eastAsia="SimSun"/>
              </w:rPr>
              <w:t>Циклоспорин А</w:t>
            </w:r>
          </w:p>
        </w:tc>
        <w:tc>
          <w:tcPr>
            <w:tcW w:w="1559" w:type="dxa"/>
            <w:vAlign w:val="center"/>
          </w:tcPr>
          <w:p w14:paraId="58DEC2DF" w14:textId="77777777" w:rsidR="00304132" w:rsidRPr="00AC3044" w:rsidRDefault="00304132" w:rsidP="00CD5E09">
            <w:pPr>
              <w:rPr>
                <w:rFonts w:eastAsia="SimSun"/>
              </w:rPr>
            </w:pPr>
            <w:r w:rsidRPr="00AC3044">
              <w:rPr>
                <w:rFonts w:eastAsia="SimSun"/>
              </w:rPr>
              <w:t>3  мг/кг</w:t>
            </w:r>
          </w:p>
        </w:tc>
        <w:tc>
          <w:tcPr>
            <w:tcW w:w="1418" w:type="dxa"/>
            <w:vAlign w:val="center"/>
          </w:tcPr>
          <w:p w14:paraId="74E6C405" w14:textId="77777777" w:rsidR="00304132" w:rsidRPr="00AC3044" w:rsidRDefault="00304132" w:rsidP="00CD5E09">
            <w:pPr>
              <w:rPr>
                <w:rFonts w:eastAsia="SimSun"/>
              </w:rPr>
            </w:pPr>
            <w:r w:rsidRPr="00AC3044">
              <w:rPr>
                <w:rFonts w:eastAsia="SimSun"/>
              </w:rPr>
              <w:t>-</w:t>
            </w:r>
          </w:p>
        </w:tc>
        <w:tc>
          <w:tcPr>
            <w:tcW w:w="1701" w:type="dxa"/>
            <w:vAlign w:val="center"/>
          </w:tcPr>
          <w:p w14:paraId="53FAD9F1" w14:textId="77777777" w:rsidR="00304132" w:rsidRPr="00AC3044" w:rsidRDefault="00304132" w:rsidP="00CD5E09">
            <w:pPr>
              <w:rPr>
                <w:rFonts w:eastAsia="SimSun"/>
              </w:rPr>
            </w:pPr>
            <w:r w:rsidRPr="00AC3044">
              <w:rPr>
                <w:rFonts w:eastAsia="SimSun"/>
              </w:rPr>
              <w:t xml:space="preserve">С -1 дня по +100 день </w:t>
            </w:r>
          </w:p>
        </w:tc>
        <w:tc>
          <w:tcPr>
            <w:tcW w:w="2268" w:type="dxa"/>
            <w:vAlign w:val="center"/>
          </w:tcPr>
          <w:p w14:paraId="5987E291" w14:textId="77777777" w:rsidR="00304132" w:rsidRPr="00AC3044" w:rsidRDefault="00304132" w:rsidP="00CD5E09">
            <w:pPr>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74195F">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bl>
    <w:p w14:paraId="57604B06" w14:textId="77777777" w:rsidR="00304132" w:rsidRPr="00C07B2E" w:rsidRDefault="00304132" w:rsidP="00304132">
      <w:pPr>
        <w:rPr>
          <w:rFonts w:eastAsia="SimSun"/>
        </w:rPr>
      </w:pPr>
    </w:p>
    <w:p w14:paraId="242B1593" w14:textId="77777777" w:rsidR="00304132" w:rsidRPr="00C07B2E" w:rsidRDefault="00304132" w:rsidP="00304132">
      <w:pPr>
        <w:rPr>
          <w:rFonts w:eastAsia="SimSun"/>
        </w:rPr>
      </w:pPr>
      <w:bookmarkStart w:id="352" w:name="_Toc44401212"/>
      <w:r w:rsidRPr="00042499">
        <w:rPr>
          <w:rFonts w:eastAsia="SimSun"/>
        </w:rPr>
        <w:t>Таблица</w:t>
      </w:r>
      <w:r w:rsidRPr="00C07B2E">
        <w:rPr>
          <w:rFonts w:eastAsia="SimSun"/>
        </w:rPr>
        <w:t xml:space="preserve"> </w:t>
      </w:r>
      <w:r>
        <w:rPr>
          <w:rFonts w:eastAsia="SimSun"/>
        </w:rPr>
        <w:t>5.</w:t>
      </w:r>
      <w:r w:rsidRPr="00C07B2E">
        <w:rPr>
          <w:rFonts w:eastAsia="SimSun"/>
        </w:rPr>
        <w:t>2.2.12  – Flu180+Bu10 / PT-Cy</w:t>
      </w:r>
      <w:bookmarkEnd w:id="352"/>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1701"/>
        <w:gridCol w:w="1559"/>
        <w:gridCol w:w="1418"/>
        <w:gridCol w:w="1701"/>
        <w:gridCol w:w="2268"/>
      </w:tblGrid>
      <w:tr w:rsidR="00304132" w:rsidRPr="00AC3044" w14:paraId="5BE760AD" w14:textId="77777777" w:rsidTr="00CD5E09">
        <w:trPr>
          <w:cantSplit/>
          <w:trHeight w:val="20"/>
          <w:tblHeader/>
        </w:trPr>
        <w:tc>
          <w:tcPr>
            <w:tcW w:w="817" w:type="dxa"/>
            <w:vAlign w:val="center"/>
          </w:tcPr>
          <w:p w14:paraId="23E76D90" w14:textId="77777777" w:rsidR="00304132" w:rsidRPr="00AC3044" w:rsidRDefault="00304132" w:rsidP="00CD5E09">
            <w:pPr>
              <w:rPr>
                <w:rFonts w:eastAsia="SimSun"/>
              </w:rPr>
            </w:pPr>
          </w:p>
        </w:tc>
        <w:tc>
          <w:tcPr>
            <w:tcW w:w="1701" w:type="dxa"/>
            <w:vAlign w:val="center"/>
          </w:tcPr>
          <w:p w14:paraId="0062F9E5" w14:textId="77777777" w:rsidR="00304132" w:rsidRPr="00AC3044" w:rsidRDefault="00304132" w:rsidP="00CD5E09">
            <w:pPr>
              <w:rPr>
                <w:rFonts w:eastAsia="SimSun"/>
              </w:rPr>
            </w:pPr>
            <w:r w:rsidRPr="00AC3044">
              <w:rPr>
                <w:rFonts w:eastAsia="SimSun"/>
              </w:rPr>
              <w:t>Препарат</w:t>
            </w:r>
          </w:p>
        </w:tc>
        <w:tc>
          <w:tcPr>
            <w:tcW w:w="1559" w:type="dxa"/>
            <w:vAlign w:val="center"/>
          </w:tcPr>
          <w:p w14:paraId="70196BBA" w14:textId="77777777" w:rsidR="00304132" w:rsidRPr="00AC3044" w:rsidRDefault="00304132" w:rsidP="00CD5E09">
            <w:pPr>
              <w:rPr>
                <w:rFonts w:eastAsia="SimSun"/>
              </w:rPr>
            </w:pPr>
            <w:r w:rsidRPr="00AC3044">
              <w:rPr>
                <w:rFonts w:eastAsia="SimSun"/>
              </w:rPr>
              <w:t>Суточная доза</w:t>
            </w:r>
          </w:p>
        </w:tc>
        <w:tc>
          <w:tcPr>
            <w:tcW w:w="1418" w:type="dxa"/>
            <w:vAlign w:val="center"/>
          </w:tcPr>
          <w:p w14:paraId="1A46BEDA" w14:textId="77777777" w:rsidR="00304132" w:rsidRPr="00AC3044" w:rsidRDefault="00304132" w:rsidP="00CD5E09">
            <w:pPr>
              <w:rPr>
                <w:rFonts w:eastAsia="SimSun"/>
              </w:rPr>
            </w:pPr>
            <w:r w:rsidRPr="00AC3044">
              <w:rPr>
                <w:rFonts w:eastAsia="SimSun"/>
              </w:rPr>
              <w:t>Курсовая доза</w:t>
            </w:r>
          </w:p>
        </w:tc>
        <w:tc>
          <w:tcPr>
            <w:tcW w:w="1701" w:type="dxa"/>
            <w:vAlign w:val="center"/>
          </w:tcPr>
          <w:p w14:paraId="271471DC" w14:textId="77777777" w:rsidR="00304132" w:rsidRPr="00AC3044" w:rsidRDefault="00304132" w:rsidP="00CD5E09">
            <w:pPr>
              <w:rPr>
                <w:rFonts w:eastAsia="SimSun"/>
              </w:rPr>
            </w:pPr>
            <w:r w:rsidRPr="00AC3044">
              <w:rPr>
                <w:rFonts w:eastAsia="SimSun"/>
              </w:rPr>
              <w:t>Дни введения</w:t>
            </w:r>
          </w:p>
        </w:tc>
        <w:tc>
          <w:tcPr>
            <w:tcW w:w="2268" w:type="dxa"/>
            <w:vAlign w:val="center"/>
          </w:tcPr>
          <w:p w14:paraId="5660D565" w14:textId="77777777" w:rsidR="00304132" w:rsidRPr="00AC3044" w:rsidRDefault="00304132" w:rsidP="00CD5E09">
            <w:pPr>
              <w:rPr>
                <w:rFonts w:eastAsia="SimSun"/>
              </w:rPr>
            </w:pPr>
            <w:r w:rsidRPr="00AC3044">
              <w:rPr>
                <w:rFonts w:eastAsia="SimSun"/>
              </w:rPr>
              <w:t>Порядок введения</w:t>
            </w:r>
          </w:p>
        </w:tc>
      </w:tr>
      <w:tr w:rsidR="00304132" w:rsidRPr="00AC3044" w14:paraId="265A3056" w14:textId="77777777" w:rsidTr="00CD5E09">
        <w:trPr>
          <w:cantSplit/>
          <w:trHeight w:val="20"/>
        </w:trPr>
        <w:tc>
          <w:tcPr>
            <w:tcW w:w="817" w:type="dxa"/>
            <w:vMerge w:val="restart"/>
            <w:textDirection w:val="btLr"/>
            <w:vAlign w:val="center"/>
          </w:tcPr>
          <w:p w14:paraId="5674B6A5" w14:textId="77777777" w:rsidR="00304132" w:rsidRPr="00AC3044" w:rsidRDefault="00304132" w:rsidP="00CD5E09">
            <w:pPr>
              <w:rPr>
                <w:rFonts w:eastAsia="SimSun"/>
              </w:rPr>
            </w:pPr>
            <w:r w:rsidRPr="00AC3044">
              <w:rPr>
                <w:rFonts w:eastAsia="SimSun"/>
              </w:rPr>
              <w:t>Кондиционирование</w:t>
            </w:r>
          </w:p>
        </w:tc>
        <w:tc>
          <w:tcPr>
            <w:tcW w:w="1701" w:type="dxa"/>
            <w:vAlign w:val="center"/>
          </w:tcPr>
          <w:p w14:paraId="568FC410" w14:textId="77777777" w:rsidR="00304132" w:rsidRPr="00AC3044" w:rsidRDefault="00304132" w:rsidP="00CD5E09">
            <w:pPr>
              <w:rPr>
                <w:rFonts w:eastAsia="SimSun"/>
              </w:rPr>
            </w:pPr>
            <w:r w:rsidRPr="00AC3044">
              <w:rPr>
                <w:rFonts w:eastAsia="SimSun"/>
              </w:rPr>
              <w:t xml:space="preserve">Флударабин </w:t>
            </w:r>
          </w:p>
        </w:tc>
        <w:tc>
          <w:tcPr>
            <w:tcW w:w="1559" w:type="dxa"/>
            <w:vAlign w:val="center"/>
          </w:tcPr>
          <w:p w14:paraId="646177C5" w14:textId="77777777" w:rsidR="00304132" w:rsidRPr="00AC3044" w:rsidRDefault="00304132" w:rsidP="00CD5E09">
            <w:pPr>
              <w:rPr>
                <w:rFonts w:eastAsia="SimSun"/>
              </w:rPr>
            </w:pPr>
            <w:r w:rsidRPr="00AC3044">
              <w:rPr>
                <w:rFonts w:eastAsia="SimSun"/>
              </w:rPr>
              <w:t>30 мг/м</w:t>
            </w:r>
            <w:r w:rsidRPr="0074195F">
              <w:rPr>
                <w:rFonts w:eastAsia="SimSun"/>
                <w:vertAlign w:val="superscript"/>
              </w:rPr>
              <w:t>2</w:t>
            </w:r>
          </w:p>
        </w:tc>
        <w:tc>
          <w:tcPr>
            <w:tcW w:w="1418" w:type="dxa"/>
            <w:vAlign w:val="center"/>
          </w:tcPr>
          <w:p w14:paraId="0A3CB83B" w14:textId="77777777" w:rsidR="00304132" w:rsidRPr="00AC3044" w:rsidRDefault="00304132" w:rsidP="00CD5E09">
            <w:pPr>
              <w:rPr>
                <w:rFonts w:eastAsia="SimSun"/>
              </w:rPr>
            </w:pPr>
            <w:r w:rsidRPr="00AC3044">
              <w:rPr>
                <w:rFonts w:eastAsia="SimSun"/>
              </w:rPr>
              <w:t>180 мг/м</w:t>
            </w:r>
            <w:r w:rsidRPr="0074195F">
              <w:rPr>
                <w:rFonts w:eastAsia="SimSun"/>
                <w:vertAlign w:val="superscript"/>
              </w:rPr>
              <w:t>2</w:t>
            </w:r>
          </w:p>
        </w:tc>
        <w:tc>
          <w:tcPr>
            <w:tcW w:w="1701" w:type="dxa"/>
            <w:vAlign w:val="center"/>
          </w:tcPr>
          <w:p w14:paraId="567465FB" w14:textId="77777777" w:rsidR="00304132" w:rsidRPr="00AC3044" w:rsidRDefault="00304132" w:rsidP="00CD5E09">
            <w:pPr>
              <w:rPr>
                <w:rFonts w:eastAsia="SimSun"/>
              </w:rPr>
            </w:pPr>
            <w:r w:rsidRPr="00AC3044">
              <w:rPr>
                <w:rFonts w:eastAsia="SimSun"/>
              </w:rPr>
              <w:t>С -7 дня по -2 день</w:t>
            </w:r>
          </w:p>
        </w:tc>
        <w:tc>
          <w:tcPr>
            <w:tcW w:w="2268" w:type="dxa"/>
            <w:vAlign w:val="center"/>
          </w:tcPr>
          <w:p w14:paraId="4A793104" w14:textId="77777777" w:rsidR="00304132" w:rsidRPr="00AC3044" w:rsidRDefault="00304132" w:rsidP="00CD5E09">
            <w:pPr>
              <w:rPr>
                <w:rFonts w:eastAsia="SimSun"/>
              </w:rPr>
            </w:pPr>
            <w:r w:rsidRPr="00AC3044">
              <w:rPr>
                <w:rFonts w:eastAsia="SimSun"/>
              </w:rPr>
              <w:t>В/в, в течение 30 -60 мин</w:t>
            </w:r>
          </w:p>
        </w:tc>
      </w:tr>
      <w:tr w:rsidR="00304132" w:rsidRPr="00AC3044" w14:paraId="0DA697D0" w14:textId="77777777" w:rsidTr="00CD5E09">
        <w:trPr>
          <w:cantSplit/>
          <w:trHeight w:val="1207"/>
        </w:trPr>
        <w:tc>
          <w:tcPr>
            <w:tcW w:w="817" w:type="dxa"/>
            <w:vMerge/>
            <w:vAlign w:val="center"/>
          </w:tcPr>
          <w:p w14:paraId="6CFD0A76" w14:textId="77777777" w:rsidR="00304132" w:rsidRPr="00AC3044" w:rsidRDefault="00304132" w:rsidP="00CD5E09">
            <w:pPr>
              <w:rPr>
                <w:rFonts w:eastAsia="SimSun"/>
              </w:rPr>
            </w:pPr>
          </w:p>
        </w:tc>
        <w:tc>
          <w:tcPr>
            <w:tcW w:w="1701" w:type="dxa"/>
            <w:vAlign w:val="center"/>
          </w:tcPr>
          <w:p w14:paraId="42874C0D" w14:textId="77777777" w:rsidR="00304132" w:rsidRPr="00AC3044" w:rsidRDefault="00304132" w:rsidP="00CD5E09">
            <w:pPr>
              <w:rPr>
                <w:rFonts w:eastAsia="SimSun"/>
              </w:rPr>
            </w:pPr>
            <w:r w:rsidRPr="00AC3044">
              <w:rPr>
                <w:rFonts w:eastAsia="SimSun"/>
              </w:rPr>
              <w:t>Бусульфан</w:t>
            </w:r>
          </w:p>
        </w:tc>
        <w:tc>
          <w:tcPr>
            <w:tcW w:w="1559" w:type="dxa"/>
            <w:vAlign w:val="center"/>
          </w:tcPr>
          <w:p w14:paraId="5B7D59E0" w14:textId="77777777" w:rsidR="00304132" w:rsidRPr="00AC3044" w:rsidRDefault="00304132" w:rsidP="00CD5E09">
            <w:pPr>
              <w:rPr>
                <w:rFonts w:eastAsia="SimSun"/>
              </w:rPr>
            </w:pPr>
            <w:r w:rsidRPr="00AC3044">
              <w:rPr>
                <w:rFonts w:eastAsia="SimSun"/>
              </w:rPr>
              <w:t xml:space="preserve">4 мг/кг </w:t>
            </w:r>
          </w:p>
        </w:tc>
        <w:tc>
          <w:tcPr>
            <w:tcW w:w="1418" w:type="dxa"/>
            <w:vAlign w:val="center"/>
          </w:tcPr>
          <w:p w14:paraId="72EDC754" w14:textId="77777777" w:rsidR="00304132" w:rsidRPr="00AC3044" w:rsidRDefault="00304132" w:rsidP="00CD5E09">
            <w:pPr>
              <w:rPr>
                <w:rFonts w:eastAsia="SimSun"/>
              </w:rPr>
            </w:pPr>
            <w:r w:rsidRPr="00AC3044">
              <w:rPr>
                <w:rFonts w:eastAsia="SimSun"/>
              </w:rPr>
              <w:t xml:space="preserve">10 мг/кг </w:t>
            </w:r>
          </w:p>
        </w:tc>
        <w:tc>
          <w:tcPr>
            <w:tcW w:w="1701" w:type="dxa"/>
            <w:vAlign w:val="center"/>
          </w:tcPr>
          <w:p w14:paraId="2704E35E" w14:textId="77777777" w:rsidR="00304132" w:rsidRPr="00AC3044" w:rsidRDefault="00304132" w:rsidP="00CD5E09">
            <w:pPr>
              <w:rPr>
                <w:rFonts w:eastAsia="SimSun"/>
              </w:rPr>
            </w:pPr>
            <w:r w:rsidRPr="00AC3044">
              <w:rPr>
                <w:rFonts w:eastAsia="SimSun"/>
              </w:rPr>
              <w:t>С -5 дня по -3 день</w:t>
            </w:r>
          </w:p>
        </w:tc>
        <w:tc>
          <w:tcPr>
            <w:tcW w:w="2268" w:type="dxa"/>
            <w:vAlign w:val="center"/>
          </w:tcPr>
          <w:p w14:paraId="01935EC0" w14:textId="77777777" w:rsidR="00304132" w:rsidRPr="00AC3044" w:rsidRDefault="00304132" w:rsidP="00CD5E09">
            <w:pPr>
              <w:rPr>
                <w:rFonts w:eastAsia="SimSun"/>
              </w:rPr>
            </w:pPr>
            <w:r w:rsidRPr="00AC3044">
              <w:rPr>
                <w:rFonts w:eastAsia="SimSun"/>
              </w:rPr>
              <w:t>Внутрь, суммарная суточная доза разделяется на 4 приема с интервалом 6 часов. День -6: бусульфан разделяется на 2 приема с интервалом 6 часов, в вечернее время (18.00, 24.00)</w:t>
            </w:r>
          </w:p>
        </w:tc>
      </w:tr>
      <w:tr w:rsidR="00304132" w:rsidRPr="00AC3044" w14:paraId="17F56020" w14:textId="77777777" w:rsidTr="00CD5E09">
        <w:trPr>
          <w:cantSplit/>
          <w:trHeight w:val="1498"/>
        </w:trPr>
        <w:tc>
          <w:tcPr>
            <w:tcW w:w="817" w:type="dxa"/>
            <w:textDirection w:val="btLr"/>
            <w:vAlign w:val="center"/>
          </w:tcPr>
          <w:p w14:paraId="4B1AB28C" w14:textId="77777777" w:rsidR="00304132" w:rsidRPr="00AC3044" w:rsidRDefault="00304132" w:rsidP="00CD5E09">
            <w:pPr>
              <w:rPr>
                <w:rFonts w:eastAsia="SimSun"/>
              </w:rPr>
            </w:pPr>
            <w:r w:rsidRPr="00AC3044">
              <w:rPr>
                <w:rFonts w:eastAsia="SimSun"/>
              </w:rPr>
              <w:t>Профилактика РТПХ</w:t>
            </w:r>
          </w:p>
        </w:tc>
        <w:tc>
          <w:tcPr>
            <w:tcW w:w="1701" w:type="dxa"/>
            <w:vAlign w:val="center"/>
          </w:tcPr>
          <w:p w14:paraId="5A407BBD" w14:textId="77777777" w:rsidR="00304132" w:rsidRPr="00AC3044" w:rsidRDefault="00304132" w:rsidP="00CD5E09">
            <w:pPr>
              <w:rPr>
                <w:rFonts w:eastAsia="SimSun"/>
              </w:rPr>
            </w:pPr>
            <w:r w:rsidRPr="00AC3044">
              <w:rPr>
                <w:rFonts w:eastAsia="SimSun"/>
              </w:rPr>
              <w:t>Циклофосфамид</w:t>
            </w:r>
          </w:p>
        </w:tc>
        <w:tc>
          <w:tcPr>
            <w:tcW w:w="1559" w:type="dxa"/>
            <w:vAlign w:val="center"/>
          </w:tcPr>
          <w:p w14:paraId="76D7DFC4" w14:textId="77777777" w:rsidR="00304132" w:rsidRPr="00AC3044" w:rsidRDefault="00304132" w:rsidP="00CD5E09">
            <w:pPr>
              <w:rPr>
                <w:rFonts w:eastAsia="SimSun"/>
              </w:rPr>
            </w:pPr>
            <w:r w:rsidRPr="00AC3044">
              <w:rPr>
                <w:rFonts w:eastAsia="SimSun"/>
              </w:rPr>
              <w:t>50 мг/кг</w:t>
            </w:r>
          </w:p>
        </w:tc>
        <w:tc>
          <w:tcPr>
            <w:tcW w:w="1418" w:type="dxa"/>
            <w:vAlign w:val="center"/>
          </w:tcPr>
          <w:p w14:paraId="52B067CD" w14:textId="77777777" w:rsidR="00304132" w:rsidRPr="00AC3044" w:rsidRDefault="00304132" w:rsidP="00CD5E09">
            <w:pPr>
              <w:rPr>
                <w:rFonts w:eastAsia="SimSun"/>
              </w:rPr>
            </w:pPr>
            <w:r w:rsidRPr="00AC3044">
              <w:rPr>
                <w:rFonts w:eastAsia="SimSun"/>
              </w:rPr>
              <w:t>100 мг/кг</w:t>
            </w:r>
          </w:p>
        </w:tc>
        <w:tc>
          <w:tcPr>
            <w:tcW w:w="1701" w:type="dxa"/>
            <w:vAlign w:val="center"/>
          </w:tcPr>
          <w:p w14:paraId="548AF837" w14:textId="77777777" w:rsidR="00304132" w:rsidRPr="00AC3044" w:rsidRDefault="00304132" w:rsidP="00CD5E09">
            <w:pPr>
              <w:rPr>
                <w:rFonts w:eastAsia="SimSun"/>
              </w:rPr>
            </w:pPr>
            <w:r w:rsidRPr="00AC3044">
              <w:rPr>
                <w:rFonts w:eastAsia="SimSun"/>
              </w:rPr>
              <w:t>С +3 дня по +4 день</w:t>
            </w:r>
          </w:p>
        </w:tc>
        <w:tc>
          <w:tcPr>
            <w:tcW w:w="2268" w:type="dxa"/>
            <w:vAlign w:val="center"/>
          </w:tcPr>
          <w:p w14:paraId="72614087" w14:textId="77777777" w:rsidR="00304132" w:rsidRPr="00AC3044" w:rsidRDefault="00304132" w:rsidP="00CD5E09">
            <w:pPr>
              <w:rPr>
                <w:rFonts w:eastAsia="SimSun"/>
              </w:rPr>
            </w:pPr>
            <w:r w:rsidRPr="00AC3044">
              <w:rPr>
                <w:rFonts w:eastAsia="SimSun"/>
              </w:rPr>
              <w:t>В/в, в течение 2 часов</w:t>
            </w:r>
          </w:p>
        </w:tc>
      </w:tr>
    </w:tbl>
    <w:p w14:paraId="3B756073" w14:textId="77777777" w:rsidR="00304132" w:rsidRDefault="00304132" w:rsidP="00304132">
      <w:pPr>
        <w:rPr>
          <w:rFonts w:eastAsia="SimSun"/>
        </w:rPr>
      </w:pPr>
      <w:bookmarkStart w:id="353" w:name="_Toc44401213"/>
    </w:p>
    <w:p w14:paraId="2101F7CB" w14:textId="77777777" w:rsidR="00304132" w:rsidRPr="00C07B2E" w:rsidRDefault="00304132" w:rsidP="00304132">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2.2.13  – Flu180+Bu10 / PT-Cy+Tx+MMF30</w:t>
      </w:r>
      <w:bookmarkEnd w:id="353"/>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1701"/>
        <w:gridCol w:w="1559"/>
        <w:gridCol w:w="1418"/>
        <w:gridCol w:w="1701"/>
        <w:gridCol w:w="2268"/>
      </w:tblGrid>
      <w:tr w:rsidR="00304132" w:rsidRPr="00AC3044" w14:paraId="47AE8C02" w14:textId="77777777" w:rsidTr="00CD5E09">
        <w:trPr>
          <w:cantSplit/>
          <w:trHeight w:val="20"/>
          <w:tblHeader/>
        </w:trPr>
        <w:tc>
          <w:tcPr>
            <w:tcW w:w="817" w:type="dxa"/>
            <w:vAlign w:val="center"/>
          </w:tcPr>
          <w:p w14:paraId="638BDC51" w14:textId="77777777" w:rsidR="00304132" w:rsidRPr="00470D3D" w:rsidRDefault="00304132" w:rsidP="00CD5E09">
            <w:pPr>
              <w:rPr>
                <w:rFonts w:eastAsia="SimSun"/>
              </w:rPr>
            </w:pPr>
          </w:p>
        </w:tc>
        <w:tc>
          <w:tcPr>
            <w:tcW w:w="1701" w:type="dxa"/>
            <w:vAlign w:val="center"/>
          </w:tcPr>
          <w:p w14:paraId="07900AC3" w14:textId="77777777" w:rsidR="00304132" w:rsidRPr="00AC3044" w:rsidRDefault="00304132" w:rsidP="00CD5E09">
            <w:pPr>
              <w:rPr>
                <w:rFonts w:eastAsia="SimSun"/>
              </w:rPr>
            </w:pPr>
            <w:r w:rsidRPr="00AC3044">
              <w:rPr>
                <w:rFonts w:eastAsia="SimSun"/>
              </w:rPr>
              <w:t>Препарат</w:t>
            </w:r>
          </w:p>
        </w:tc>
        <w:tc>
          <w:tcPr>
            <w:tcW w:w="1559" w:type="dxa"/>
            <w:vAlign w:val="center"/>
          </w:tcPr>
          <w:p w14:paraId="3BF98D91" w14:textId="77777777" w:rsidR="00304132" w:rsidRPr="00AC3044" w:rsidRDefault="00304132" w:rsidP="00CD5E09">
            <w:pPr>
              <w:rPr>
                <w:rFonts w:eastAsia="SimSun"/>
              </w:rPr>
            </w:pPr>
            <w:r w:rsidRPr="00AC3044">
              <w:rPr>
                <w:rFonts w:eastAsia="SimSun"/>
              </w:rPr>
              <w:t>Суточная доза</w:t>
            </w:r>
          </w:p>
        </w:tc>
        <w:tc>
          <w:tcPr>
            <w:tcW w:w="1418" w:type="dxa"/>
            <w:vAlign w:val="center"/>
          </w:tcPr>
          <w:p w14:paraId="6FB8CC63" w14:textId="77777777" w:rsidR="00304132" w:rsidRPr="00AC3044" w:rsidRDefault="00304132" w:rsidP="00CD5E09">
            <w:pPr>
              <w:rPr>
                <w:rFonts w:eastAsia="SimSun"/>
              </w:rPr>
            </w:pPr>
            <w:r w:rsidRPr="00AC3044">
              <w:rPr>
                <w:rFonts w:eastAsia="SimSun"/>
              </w:rPr>
              <w:t>Курсовая доза</w:t>
            </w:r>
          </w:p>
        </w:tc>
        <w:tc>
          <w:tcPr>
            <w:tcW w:w="1701" w:type="dxa"/>
            <w:vAlign w:val="center"/>
          </w:tcPr>
          <w:p w14:paraId="1F85F491" w14:textId="77777777" w:rsidR="00304132" w:rsidRPr="00AC3044" w:rsidRDefault="00304132" w:rsidP="00CD5E09">
            <w:pPr>
              <w:rPr>
                <w:rFonts w:eastAsia="SimSun"/>
              </w:rPr>
            </w:pPr>
            <w:r w:rsidRPr="00AC3044">
              <w:rPr>
                <w:rFonts w:eastAsia="SimSun"/>
              </w:rPr>
              <w:t>Дни введения</w:t>
            </w:r>
          </w:p>
        </w:tc>
        <w:tc>
          <w:tcPr>
            <w:tcW w:w="2268" w:type="dxa"/>
            <w:vAlign w:val="center"/>
          </w:tcPr>
          <w:p w14:paraId="7104293A" w14:textId="77777777" w:rsidR="00304132" w:rsidRPr="00AC3044" w:rsidRDefault="00304132" w:rsidP="00CD5E09">
            <w:pPr>
              <w:rPr>
                <w:rFonts w:eastAsia="SimSun"/>
              </w:rPr>
            </w:pPr>
            <w:r w:rsidRPr="00AC3044">
              <w:rPr>
                <w:rFonts w:eastAsia="SimSun"/>
              </w:rPr>
              <w:t>Порядок введения</w:t>
            </w:r>
          </w:p>
        </w:tc>
      </w:tr>
      <w:tr w:rsidR="00304132" w:rsidRPr="00AC3044" w14:paraId="42B46132" w14:textId="77777777" w:rsidTr="00CD5E09">
        <w:trPr>
          <w:cantSplit/>
          <w:trHeight w:val="20"/>
        </w:trPr>
        <w:tc>
          <w:tcPr>
            <w:tcW w:w="817" w:type="dxa"/>
            <w:vMerge w:val="restart"/>
            <w:textDirection w:val="btLr"/>
            <w:vAlign w:val="center"/>
          </w:tcPr>
          <w:p w14:paraId="0E3DFEF9" w14:textId="77777777" w:rsidR="00304132" w:rsidRPr="00AC3044" w:rsidRDefault="00304132" w:rsidP="00CD5E09">
            <w:pPr>
              <w:rPr>
                <w:rFonts w:eastAsia="SimSun"/>
              </w:rPr>
            </w:pPr>
            <w:r w:rsidRPr="00AC3044">
              <w:rPr>
                <w:rFonts w:eastAsia="SimSun"/>
              </w:rPr>
              <w:t>Кондиционирование</w:t>
            </w:r>
          </w:p>
        </w:tc>
        <w:tc>
          <w:tcPr>
            <w:tcW w:w="1701" w:type="dxa"/>
            <w:vAlign w:val="center"/>
          </w:tcPr>
          <w:p w14:paraId="7B6B4C8D" w14:textId="77777777" w:rsidR="00304132" w:rsidRPr="00AC3044" w:rsidRDefault="00304132" w:rsidP="00CD5E09">
            <w:pPr>
              <w:rPr>
                <w:rFonts w:eastAsia="SimSun"/>
              </w:rPr>
            </w:pPr>
            <w:r w:rsidRPr="00AC3044">
              <w:rPr>
                <w:rFonts w:eastAsia="SimSun"/>
              </w:rPr>
              <w:t xml:space="preserve">Флударабин </w:t>
            </w:r>
          </w:p>
        </w:tc>
        <w:tc>
          <w:tcPr>
            <w:tcW w:w="1559" w:type="dxa"/>
            <w:vAlign w:val="center"/>
          </w:tcPr>
          <w:p w14:paraId="5E64C2F8" w14:textId="77777777" w:rsidR="00304132" w:rsidRPr="00AC3044" w:rsidRDefault="00304132" w:rsidP="00CD5E09">
            <w:pPr>
              <w:rPr>
                <w:rFonts w:eastAsia="SimSun"/>
              </w:rPr>
            </w:pPr>
            <w:r w:rsidRPr="00AC3044">
              <w:rPr>
                <w:rFonts w:eastAsia="SimSun"/>
              </w:rPr>
              <w:t>30 мг/м</w:t>
            </w:r>
            <w:r w:rsidRPr="0074195F">
              <w:rPr>
                <w:rFonts w:eastAsia="SimSun"/>
                <w:vertAlign w:val="superscript"/>
              </w:rPr>
              <w:t>2</w:t>
            </w:r>
          </w:p>
        </w:tc>
        <w:tc>
          <w:tcPr>
            <w:tcW w:w="1418" w:type="dxa"/>
            <w:vAlign w:val="center"/>
          </w:tcPr>
          <w:p w14:paraId="5A9886C6" w14:textId="77777777" w:rsidR="00304132" w:rsidRPr="00AC3044" w:rsidRDefault="00304132" w:rsidP="00CD5E09">
            <w:pPr>
              <w:rPr>
                <w:rFonts w:eastAsia="SimSun"/>
              </w:rPr>
            </w:pPr>
            <w:r w:rsidRPr="00AC3044">
              <w:rPr>
                <w:rFonts w:eastAsia="SimSun"/>
              </w:rPr>
              <w:t>180 мг/м</w:t>
            </w:r>
            <w:r w:rsidRPr="0074195F">
              <w:rPr>
                <w:rFonts w:eastAsia="SimSun"/>
                <w:vertAlign w:val="superscript"/>
              </w:rPr>
              <w:t>2</w:t>
            </w:r>
          </w:p>
        </w:tc>
        <w:tc>
          <w:tcPr>
            <w:tcW w:w="1701" w:type="dxa"/>
            <w:vAlign w:val="center"/>
          </w:tcPr>
          <w:p w14:paraId="28773C3D" w14:textId="77777777" w:rsidR="00304132" w:rsidRPr="00AC3044" w:rsidRDefault="00304132" w:rsidP="00CD5E09">
            <w:pPr>
              <w:rPr>
                <w:rFonts w:eastAsia="SimSun"/>
              </w:rPr>
            </w:pPr>
            <w:r w:rsidRPr="00AC3044">
              <w:rPr>
                <w:rFonts w:eastAsia="SimSun"/>
              </w:rPr>
              <w:t>С -7 дня по -2 день</w:t>
            </w:r>
          </w:p>
        </w:tc>
        <w:tc>
          <w:tcPr>
            <w:tcW w:w="2268" w:type="dxa"/>
            <w:vAlign w:val="center"/>
          </w:tcPr>
          <w:p w14:paraId="014EAFA1" w14:textId="77777777" w:rsidR="00304132" w:rsidRPr="00AC3044" w:rsidRDefault="00304132" w:rsidP="00CD5E09">
            <w:pPr>
              <w:rPr>
                <w:rFonts w:eastAsia="SimSun"/>
              </w:rPr>
            </w:pPr>
            <w:r w:rsidRPr="00AC3044">
              <w:rPr>
                <w:rFonts w:eastAsia="SimSun"/>
              </w:rPr>
              <w:t>В/в, в течение 30 -60 мин</w:t>
            </w:r>
          </w:p>
        </w:tc>
      </w:tr>
      <w:tr w:rsidR="00304132" w:rsidRPr="00AC3044" w14:paraId="3A69D25A" w14:textId="77777777" w:rsidTr="00CD5E09">
        <w:trPr>
          <w:cantSplit/>
          <w:trHeight w:val="1207"/>
        </w:trPr>
        <w:tc>
          <w:tcPr>
            <w:tcW w:w="817" w:type="dxa"/>
            <w:vMerge/>
            <w:vAlign w:val="center"/>
          </w:tcPr>
          <w:p w14:paraId="1D018D5D" w14:textId="77777777" w:rsidR="00304132" w:rsidRPr="00AC3044" w:rsidRDefault="00304132" w:rsidP="00CD5E09">
            <w:pPr>
              <w:rPr>
                <w:rFonts w:eastAsia="SimSun"/>
              </w:rPr>
            </w:pPr>
          </w:p>
        </w:tc>
        <w:tc>
          <w:tcPr>
            <w:tcW w:w="1701" w:type="dxa"/>
            <w:vAlign w:val="center"/>
          </w:tcPr>
          <w:p w14:paraId="5F98F1B0" w14:textId="77777777" w:rsidR="00304132" w:rsidRPr="00AC3044" w:rsidRDefault="00304132" w:rsidP="00CD5E09">
            <w:pPr>
              <w:rPr>
                <w:rFonts w:eastAsia="SimSun"/>
              </w:rPr>
            </w:pPr>
            <w:r w:rsidRPr="00AC3044">
              <w:rPr>
                <w:rFonts w:eastAsia="SimSun"/>
              </w:rPr>
              <w:t>Бусульфан</w:t>
            </w:r>
          </w:p>
        </w:tc>
        <w:tc>
          <w:tcPr>
            <w:tcW w:w="1559" w:type="dxa"/>
            <w:vAlign w:val="center"/>
          </w:tcPr>
          <w:p w14:paraId="097CE307" w14:textId="77777777" w:rsidR="00304132" w:rsidRPr="00AC3044" w:rsidRDefault="00304132" w:rsidP="00CD5E09">
            <w:pPr>
              <w:rPr>
                <w:rFonts w:eastAsia="SimSun"/>
              </w:rPr>
            </w:pPr>
            <w:r w:rsidRPr="00AC3044">
              <w:rPr>
                <w:rFonts w:eastAsia="SimSun"/>
              </w:rPr>
              <w:t xml:space="preserve">4 мг/кг </w:t>
            </w:r>
          </w:p>
        </w:tc>
        <w:tc>
          <w:tcPr>
            <w:tcW w:w="1418" w:type="dxa"/>
            <w:vAlign w:val="center"/>
          </w:tcPr>
          <w:p w14:paraId="171E4136" w14:textId="77777777" w:rsidR="00304132" w:rsidRPr="00AC3044" w:rsidRDefault="00304132" w:rsidP="00CD5E09">
            <w:pPr>
              <w:rPr>
                <w:rFonts w:eastAsia="SimSun"/>
              </w:rPr>
            </w:pPr>
            <w:r w:rsidRPr="00AC3044">
              <w:rPr>
                <w:rFonts w:eastAsia="SimSun"/>
              </w:rPr>
              <w:t xml:space="preserve">10 мг/кг </w:t>
            </w:r>
          </w:p>
        </w:tc>
        <w:tc>
          <w:tcPr>
            <w:tcW w:w="1701" w:type="dxa"/>
            <w:vAlign w:val="center"/>
          </w:tcPr>
          <w:p w14:paraId="7EB87AE5" w14:textId="77777777" w:rsidR="00304132" w:rsidRPr="00AC3044" w:rsidRDefault="00304132" w:rsidP="00CD5E09">
            <w:pPr>
              <w:rPr>
                <w:rFonts w:eastAsia="SimSun"/>
              </w:rPr>
            </w:pPr>
            <w:r w:rsidRPr="00AC3044">
              <w:rPr>
                <w:rFonts w:eastAsia="SimSun"/>
              </w:rPr>
              <w:t>С -5 дня по -3 день</w:t>
            </w:r>
          </w:p>
        </w:tc>
        <w:tc>
          <w:tcPr>
            <w:tcW w:w="2268" w:type="dxa"/>
            <w:vAlign w:val="center"/>
          </w:tcPr>
          <w:p w14:paraId="064FB1EF" w14:textId="77777777" w:rsidR="00304132" w:rsidRPr="00AC3044" w:rsidRDefault="00304132" w:rsidP="00CD5E09">
            <w:pPr>
              <w:rPr>
                <w:rFonts w:eastAsia="SimSun"/>
              </w:rPr>
            </w:pPr>
            <w:r w:rsidRPr="00AC3044">
              <w:rPr>
                <w:rFonts w:eastAsia="SimSun"/>
              </w:rPr>
              <w:t>Внутрь, суммарная суточная доза разделяется на 4 приема с интервалом 6 часов. День -6: бусульфан разделяется на 2 приема с интервалом 6 часов, в вечернее время (18.00, 24.00)</w:t>
            </w:r>
          </w:p>
        </w:tc>
      </w:tr>
      <w:tr w:rsidR="00304132" w:rsidRPr="00AC3044" w14:paraId="50D6FA89" w14:textId="77777777" w:rsidTr="00CD5E09">
        <w:trPr>
          <w:cantSplit/>
          <w:trHeight w:val="368"/>
        </w:trPr>
        <w:tc>
          <w:tcPr>
            <w:tcW w:w="817" w:type="dxa"/>
            <w:vMerge w:val="restart"/>
            <w:textDirection w:val="btLr"/>
            <w:vAlign w:val="center"/>
          </w:tcPr>
          <w:p w14:paraId="08B786D6" w14:textId="77777777" w:rsidR="00304132" w:rsidRPr="00AC3044" w:rsidRDefault="00304132" w:rsidP="00CD5E09">
            <w:pPr>
              <w:rPr>
                <w:rFonts w:eastAsia="SimSun"/>
              </w:rPr>
            </w:pPr>
            <w:r w:rsidRPr="00AC3044">
              <w:rPr>
                <w:rFonts w:eastAsia="SimSun"/>
              </w:rPr>
              <w:t>Профилактика РТПХ</w:t>
            </w:r>
          </w:p>
        </w:tc>
        <w:tc>
          <w:tcPr>
            <w:tcW w:w="1701" w:type="dxa"/>
            <w:vAlign w:val="center"/>
          </w:tcPr>
          <w:p w14:paraId="03BC85CE" w14:textId="77777777" w:rsidR="00304132" w:rsidRPr="00AC3044" w:rsidRDefault="00304132" w:rsidP="00CD5E09">
            <w:pPr>
              <w:rPr>
                <w:rFonts w:eastAsia="SimSun"/>
              </w:rPr>
            </w:pPr>
            <w:r w:rsidRPr="00AC3044">
              <w:rPr>
                <w:rFonts w:eastAsia="SimSun"/>
              </w:rPr>
              <w:t>Циклофосфамид</w:t>
            </w:r>
          </w:p>
        </w:tc>
        <w:tc>
          <w:tcPr>
            <w:tcW w:w="1559" w:type="dxa"/>
            <w:vAlign w:val="center"/>
          </w:tcPr>
          <w:p w14:paraId="7265DCF1" w14:textId="77777777" w:rsidR="00304132" w:rsidRPr="00AC3044" w:rsidRDefault="00304132" w:rsidP="00CD5E09">
            <w:pPr>
              <w:rPr>
                <w:rFonts w:eastAsia="SimSun"/>
              </w:rPr>
            </w:pPr>
            <w:r w:rsidRPr="00AC3044">
              <w:rPr>
                <w:rFonts w:eastAsia="SimSun"/>
              </w:rPr>
              <w:t>50 мг/кг</w:t>
            </w:r>
          </w:p>
        </w:tc>
        <w:tc>
          <w:tcPr>
            <w:tcW w:w="1418" w:type="dxa"/>
            <w:vAlign w:val="center"/>
          </w:tcPr>
          <w:p w14:paraId="48D9F0BA" w14:textId="77777777" w:rsidR="00304132" w:rsidRPr="00AC3044" w:rsidRDefault="00304132" w:rsidP="00CD5E09">
            <w:pPr>
              <w:rPr>
                <w:rFonts w:eastAsia="SimSun"/>
              </w:rPr>
            </w:pPr>
            <w:r w:rsidRPr="00AC3044">
              <w:rPr>
                <w:rFonts w:eastAsia="SimSun"/>
              </w:rPr>
              <w:t>100 мг/кг</w:t>
            </w:r>
          </w:p>
        </w:tc>
        <w:tc>
          <w:tcPr>
            <w:tcW w:w="1701" w:type="dxa"/>
            <w:vAlign w:val="center"/>
          </w:tcPr>
          <w:p w14:paraId="6BF4EE0D" w14:textId="77777777" w:rsidR="00304132" w:rsidRPr="00AC3044" w:rsidRDefault="00304132" w:rsidP="00CD5E09">
            <w:pPr>
              <w:rPr>
                <w:rFonts w:eastAsia="SimSun"/>
              </w:rPr>
            </w:pPr>
            <w:r w:rsidRPr="00AC3044">
              <w:rPr>
                <w:rFonts w:eastAsia="SimSun"/>
              </w:rPr>
              <w:t>С +3 дня по +4 день</w:t>
            </w:r>
          </w:p>
        </w:tc>
        <w:tc>
          <w:tcPr>
            <w:tcW w:w="2268" w:type="dxa"/>
            <w:vAlign w:val="center"/>
          </w:tcPr>
          <w:p w14:paraId="2E5D6ACD" w14:textId="77777777" w:rsidR="00304132" w:rsidRPr="00AC3044" w:rsidRDefault="00304132" w:rsidP="00CD5E09">
            <w:pPr>
              <w:rPr>
                <w:rFonts w:eastAsia="SimSun"/>
              </w:rPr>
            </w:pPr>
            <w:r w:rsidRPr="00AC3044">
              <w:rPr>
                <w:rFonts w:eastAsia="SimSun"/>
              </w:rPr>
              <w:t>В/в, в течение 2 часов</w:t>
            </w:r>
          </w:p>
        </w:tc>
      </w:tr>
      <w:tr w:rsidR="00304132" w:rsidRPr="00AC3044" w14:paraId="7783D694" w14:textId="77777777" w:rsidTr="00CD5E09">
        <w:trPr>
          <w:cantSplit/>
          <w:trHeight w:val="958"/>
        </w:trPr>
        <w:tc>
          <w:tcPr>
            <w:tcW w:w="817" w:type="dxa"/>
            <w:vMerge/>
            <w:textDirection w:val="btLr"/>
            <w:vAlign w:val="center"/>
          </w:tcPr>
          <w:p w14:paraId="62563F38" w14:textId="77777777" w:rsidR="00304132" w:rsidRPr="00AC3044" w:rsidRDefault="00304132" w:rsidP="00CD5E09">
            <w:pPr>
              <w:rPr>
                <w:rFonts w:eastAsia="SimSun"/>
              </w:rPr>
            </w:pPr>
          </w:p>
        </w:tc>
        <w:tc>
          <w:tcPr>
            <w:tcW w:w="1701" w:type="dxa"/>
            <w:vAlign w:val="center"/>
          </w:tcPr>
          <w:p w14:paraId="21C4454D" w14:textId="77777777" w:rsidR="00304132" w:rsidRPr="00AC3044" w:rsidRDefault="00304132" w:rsidP="00CD5E09">
            <w:pPr>
              <w:rPr>
                <w:rFonts w:eastAsia="SimSun"/>
              </w:rPr>
            </w:pPr>
            <w:r w:rsidRPr="00AC3044">
              <w:rPr>
                <w:rFonts w:eastAsia="SimSun"/>
              </w:rPr>
              <w:t xml:space="preserve">Такролимус </w:t>
            </w:r>
          </w:p>
        </w:tc>
        <w:tc>
          <w:tcPr>
            <w:tcW w:w="1559" w:type="dxa"/>
            <w:vAlign w:val="center"/>
          </w:tcPr>
          <w:p w14:paraId="01A35B6A" w14:textId="77777777" w:rsidR="00304132" w:rsidRPr="00AC3044" w:rsidRDefault="00304132" w:rsidP="00CD5E09">
            <w:pPr>
              <w:rPr>
                <w:rFonts w:eastAsia="SimSun"/>
              </w:rPr>
            </w:pPr>
            <w:r w:rsidRPr="00AC3044">
              <w:rPr>
                <w:rFonts w:eastAsia="SimSun"/>
              </w:rPr>
              <w:t>0,03 мг/кг</w:t>
            </w:r>
          </w:p>
        </w:tc>
        <w:tc>
          <w:tcPr>
            <w:tcW w:w="1418" w:type="dxa"/>
            <w:vAlign w:val="center"/>
          </w:tcPr>
          <w:p w14:paraId="72F6AD13" w14:textId="77777777" w:rsidR="00304132" w:rsidRPr="00AC3044" w:rsidRDefault="00304132" w:rsidP="00CD5E09">
            <w:pPr>
              <w:rPr>
                <w:rFonts w:eastAsia="SimSun"/>
              </w:rPr>
            </w:pPr>
            <w:r w:rsidRPr="00AC3044">
              <w:rPr>
                <w:rFonts w:eastAsia="SimSun"/>
              </w:rPr>
              <w:t>–</w:t>
            </w:r>
          </w:p>
        </w:tc>
        <w:tc>
          <w:tcPr>
            <w:tcW w:w="1701" w:type="dxa"/>
            <w:vAlign w:val="center"/>
          </w:tcPr>
          <w:p w14:paraId="7C5A9B40" w14:textId="77777777" w:rsidR="00304132" w:rsidRPr="00AC3044" w:rsidRDefault="00304132" w:rsidP="00CD5E09">
            <w:pPr>
              <w:rPr>
                <w:rFonts w:eastAsia="SimSun"/>
              </w:rPr>
            </w:pPr>
            <w:r w:rsidRPr="00AC3044">
              <w:rPr>
                <w:rFonts w:eastAsia="SimSun"/>
              </w:rPr>
              <w:t xml:space="preserve">С +5 дня длительно </w:t>
            </w:r>
          </w:p>
        </w:tc>
        <w:tc>
          <w:tcPr>
            <w:tcW w:w="2268" w:type="dxa"/>
            <w:vAlign w:val="center"/>
          </w:tcPr>
          <w:p w14:paraId="3B02DA77" w14:textId="77777777" w:rsidR="00304132" w:rsidRPr="00AC3044" w:rsidRDefault="00304132" w:rsidP="00CD5E09">
            <w:pPr>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w:t>
            </w:r>
            <w:r w:rsidRPr="00AC3044">
              <w:rPr>
                <w:rFonts w:eastAsia="SimSun"/>
              </w:rPr>
              <w:t xml:space="preserve"> 10</w:t>
            </w:r>
            <w:r w:rsidRPr="0074195F">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304132" w:rsidRPr="00AC3044" w14:paraId="31856FBC" w14:textId="77777777" w:rsidTr="00CD5E09">
        <w:trPr>
          <w:cantSplit/>
          <w:trHeight w:val="446"/>
        </w:trPr>
        <w:tc>
          <w:tcPr>
            <w:tcW w:w="817" w:type="dxa"/>
            <w:vMerge/>
            <w:textDirection w:val="btLr"/>
            <w:vAlign w:val="center"/>
          </w:tcPr>
          <w:p w14:paraId="17CBD352" w14:textId="77777777" w:rsidR="00304132" w:rsidRPr="00AC3044" w:rsidRDefault="00304132" w:rsidP="00CD5E09">
            <w:pPr>
              <w:rPr>
                <w:rFonts w:eastAsia="SimSun"/>
              </w:rPr>
            </w:pPr>
          </w:p>
        </w:tc>
        <w:tc>
          <w:tcPr>
            <w:tcW w:w="1701" w:type="dxa"/>
            <w:vAlign w:val="center"/>
          </w:tcPr>
          <w:p w14:paraId="0176A578" w14:textId="77777777" w:rsidR="00304132" w:rsidRPr="00AC3044" w:rsidRDefault="00304132" w:rsidP="00CD5E09">
            <w:pPr>
              <w:rPr>
                <w:rFonts w:eastAsia="SimSun"/>
              </w:rPr>
            </w:pPr>
            <w:r w:rsidRPr="00AC3044">
              <w:rPr>
                <w:rFonts w:eastAsia="SimSun"/>
              </w:rPr>
              <w:t>Микофенолата мофетил</w:t>
            </w:r>
          </w:p>
        </w:tc>
        <w:tc>
          <w:tcPr>
            <w:tcW w:w="1559" w:type="dxa"/>
            <w:vAlign w:val="center"/>
          </w:tcPr>
          <w:p w14:paraId="3FB6944E" w14:textId="77777777" w:rsidR="00304132" w:rsidRPr="00AC3044" w:rsidRDefault="00304132" w:rsidP="00CD5E09">
            <w:pPr>
              <w:rPr>
                <w:rFonts w:eastAsia="SimSun"/>
              </w:rPr>
            </w:pPr>
            <w:r w:rsidRPr="00AC3044">
              <w:rPr>
                <w:rFonts w:eastAsia="SimSun"/>
              </w:rPr>
              <w:t xml:space="preserve">30 мг/кг </w:t>
            </w:r>
          </w:p>
        </w:tc>
        <w:tc>
          <w:tcPr>
            <w:tcW w:w="1418" w:type="dxa"/>
            <w:vAlign w:val="center"/>
          </w:tcPr>
          <w:p w14:paraId="5A645884" w14:textId="77777777" w:rsidR="00304132" w:rsidRPr="00AC3044" w:rsidRDefault="00304132" w:rsidP="00CD5E09">
            <w:pPr>
              <w:rPr>
                <w:rFonts w:eastAsia="SimSun"/>
              </w:rPr>
            </w:pPr>
            <w:r w:rsidRPr="00AC3044">
              <w:rPr>
                <w:rFonts w:eastAsia="SimSun"/>
              </w:rPr>
              <w:t>–</w:t>
            </w:r>
          </w:p>
        </w:tc>
        <w:tc>
          <w:tcPr>
            <w:tcW w:w="1701" w:type="dxa"/>
            <w:vAlign w:val="center"/>
          </w:tcPr>
          <w:p w14:paraId="56A49FA3" w14:textId="77777777" w:rsidR="00304132" w:rsidRPr="00AC3044" w:rsidRDefault="00304132" w:rsidP="00CD5E09">
            <w:pPr>
              <w:rPr>
                <w:rFonts w:eastAsia="SimSun"/>
              </w:rPr>
            </w:pPr>
            <w:r w:rsidRPr="00AC3044">
              <w:rPr>
                <w:rFonts w:eastAsia="SimSun"/>
              </w:rPr>
              <w:t xml:space="preserve">С +5 дня по +35 день </w:t>
            </w:r>
          </w:p>
        </w:tc>
        <w:tc>
          <w:tcPr>
            <w:tcW w:w="2268" w:type="dxa"/>
            <w:vAlign w:val="center"/>
          </w:tcPr>
          <w:p w14:paraId="048D0856" w14:textId="77777777" w:rsidR="00304132" w:rsidRPr="00AC3044" w:rsidRDefault="00304132" w:rsidP="00CD5E09">
            <w:pPr>
              <w:rPr>
                <w:rFonts w:eastAsia="SimSun"/>
              </w:rPr>
            </w:pPr>
            <w:r w:rsidRPr="00AC3044">
              <w:rPr>
                <w:rFonts w:eastAsia="SimSun"/>
              </w:rPr>
              <w:t xml:space="preserve">Внутрь, суммарная суточная доза разделяется на 2- 4 приема (не более 3г/сут).  </w:t>
            </w:r>
          </w:p>
        </w:tc>
      </w:tr>
    </w:tbl>
    <w:p w14:paraId="671C4461" w14:textId="77777777" w:rsidR="00304132" w:rsidRDefault="00304132" w:rsidP="00304132">
      <w:pPr>
        <w:rPr>
          <w:rFonts w:eastAsia="SimSun"/>
        </w:rPr>
      </w:pPr>
      <w:bookmarkStart w:id="354" w:name="_Toc44401214"/>
    </w:p>
    <w:p w14:paraId="42782936" w14:textId="77777777" w:rsidR="00304132" w:rsidRPr="00C07B2E" w:rsidRDefault="00304132" w:rsidP="00304132">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2.2.14  – Flu180+Bu10 / PT-Cy+Ruxo</w:t>
      </w:r>
      <w:bookmarkEnd w:id="354"/>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1701"/>
        <w:gridCol w:w="1559"/>
        <w:gridCol w:w="1418"/>
        <w:gridCol w:w="1701"/>
        <w:gridCol w:w="2268"/>
      </w:tblGrid>
      <w:tr w:rsidR="00304132" w:rsidRPr="00AC3044" w14:paraId="0FBAB571" w14:textId="77777777" w:rsidTr="00CD5E09">
        <w:trPr>
          <w:cantSplit/>
          <w:trHeight w:val="20"/>
          <w:tblHeader/>
        </w:trPr>
        <w:tc>
          <w:tcPr>
            <w:tcW w:w="817" w:type="dxa"/>
            <w:vAlign w:val="center"/>
          </w:tcPr>
          <w:p w14:paraId="16D1CCA5" w14:textId="77777777" w:rsidR="00304132" w:rsidRPr="00470D3D" w:rsidRDefault="00304132" w:rsidP="00CD5E09">
            <w:pPr>
              <w:rPr>
                <w:rFonts w:eastAsia="SimSun"/>
              </w:rPr>
            </w:pPr>
          </w:p>
        </w:tc>
        <w:tc>
          <w:tcPr>
            <w:tcW w:w="1701" w:type="dxa"/>
            <w:vAlign w:val="center"/>
          </w:tcPr>
          <w:p w14:paraId="09A4891F" w14:textId="77777777" w:rsidR="00304132" w:rsidRPr="00AC3044" w:rsidRDefault="00304132" w:rsidP="00CD5E09">
            <w:pPr>
              <w:rPr>
                <w:rFonts w:eastAsia="SimSun"/>
              </w:rPr>
            </w:pPr>
            <w:r w:rsidRPr="00AC3044">
              <w:rPr>
                <w:rFonts w:eastAsia="SimSun"/>
              </w:rPr>
              <w:t>Препарат</w:t>
            </w:r>
          </w:p>
        </w:tc>
        <w:tc>
          <w:tcPr>
            <w:tcW w:w="1559" w:type="dxa"/>
            <w:vAlign w:val="center"/>
          </w:tcPr>
          <w:p w14:paraId="082D2010" w14:textId="77777777" w:rsidR="00304132" w:rsidRPr="00AC3044" w:rsidRDefault="00304132" w:rsidP="00CD5E09">
            <w:pPr>
              <w:rPr>
                <w:rFonts w:eastAsia="SimSun"/>
              </w:rPr>
            </w:pPr>
            <w:r w:rsidRPr="00AC3044">
              <w:rPr>
                <w:rFonts w:eastAsia="SimSun"/>
              </w:rPr>
              <w:t>Суточная доза</w:t>
            </w:r>
          </w:p>
        </w:tc>
        <w:tc>
          <w:tcPr>
            <w:tcW w:w="1418" w:type="dxa"/>
            <w:vAlign w:val="center"/>
          </w:tcPr>
          <w:p w14:paraId="4633C953" w14:textId="77777777" w:rsidR="00304132" w:rsidRPr="00AC3044" w:rsidRDefault="00304132" w:rsidP="00CD5E09">
            <w:pPr>
              <w:rPr>
                <w:rFonts w:eastAsia="SimSun"/>
              </w:rPr>
            </w:pPr>
            <w:r w:rsidRPr="00AC3044">
              <w:rPr>
                <w:rFonts w:eastAsia="SimSun"/>
              </w:rPr>
              <w:t>Курсовая доза</w:t>
            </w:r>
          </w:p>
        </w:tc>
        <w:tc>
          <w:tcPr>
            <w:tcW w:w="1701" w:type="dxa"/>
            <w:vAlign w:val="center"/>
          </w:tcPr>
          <w:p w14:paraId="4BBF41E1" w14:textId="77777777" w:rsidR="00304132" w:rsidRPr="00AC3044" w:rsidRDefault="00304132" w:rsidP="00CD5E09">
            <w:pPr>
              <w:rPr>
                <w:rFonts w:eastAsia="SimSun"/>
              </w:rPr>
            </w:pPr>
            <w:r w:rsidRPr="00AC3044">
              <w:rPr>
                <w:rFonts w:eastAsia="SimSun"/>
              </w:rPr>
              <w:t>Дни введения</w:t>
            </w:r>
          </w:p>
        </w:tc>
        <w:tc>
          <w:tcPr>
            <w:tcW w:w="2268" w:type="dxa"/>
            <w:vAlign w:val="center"/>
          </w:tcPr>
          <w:p w14:paraId="034F2E95" w14:textId="77777777" w:rsidR="00304132" w:rsidRPr="00AC3044" w:rsidRDefault="00304132" w:rsidP="00CD5E09">
            <w:pPr>
              <w:rPr>
                <w:rFonts w:eastAsia="SimSun"/>
              </w:rPr>
            </w:pPr>
            <w:r w:rsidRPr="00AC3044">
              <w:rPr>
                <w:rFonts w:eastAsia="SimSun"/>
              </w:rPr>
              <w:t>Порядок введения</w:t>
            </w:r>
          </w:p>
        </w:tc>
      </w:tr>
      <w:tr w:rsidR="00304132" w:rsidRPr="00AC3044" w14:paraId="423A2BDB" w14:textId="77777777" w:rsidTr="00CD5E09">
        <w:trPr>
          <w:cantSplit/>
          <w:trHeight w:val="20"/>
        </w:trPr>
        <w:tc>
          <w:tcPr>
            <w:tcW w:w="817" w:type="dxa"/>
            <w:vMerge w:val="restart"/>
            <w:textDirection w:val="btLr"/>
            <w:vAlign w:val="center"/>
          </w:tcPr>
          <w:p w14:paraId="08CF6315" w14:textId="77777777" w:rsidR="00304132" w:rsidRPr="00AC3044" w:rsidRDefault="00304132" w:rsidP="00CD5E09">
            <w:pPr>
              <w:rPr>
                <w:rFonts w:eastAsia="SimSun"/>
              </w:rPr>
            </w:pPr>
            <w:r w:rsidRPr="00AC3044">
              <w:rPr>
                <w:rFonts w:eastAsia="SimSun"/>
              </w:rPr>
              <w:t>Кондиционирование</w:t>
            </w:r>
          </w:p>
        </w:tc>
        <w:tc>
          <w:tcPr>
            <w:tcW w:w="1701" w:type="dxa"/>
            <w:vAlign w:val="center"/>
          </w:tcPr>
          <w:p w14:paraId="1718DB7F" w14:textId="77777777" w:rsidR="00304132" w:rsidRPr="00AC3044" w:rsidRDefault="00304132" w:rsidP="00CD5E09">
            <w:pPr>
              <w:rPr>
                <w:rFonts w:eastAsia="SimSun"/>
              </w:rPr>
            </w:pPr>
            <w:r w:rsidRPr="00AC3044">
              <w:rPr>
                <w:rFonts w:eastAsia="SimSun"/>
              </w:rPr>
              <w:t xml:space="preserve">Флударабин </w:t>
            </w:r>
          </w:p>
        </w:tc>
        <w:tc>
          <w:tcPr>
            <w:tcW w:w="1559" w:type="dxa"/>
            <w:vAlign w:val="center"/>
          </w:tcPr>
          <w:p w14:paraId="2FA959D3" w14:textId="77777777" w:rsidR="00304132" w:rsidRPr="00AC3044" w:rsidRDefault="00304132" w:rsidP="00CD5E09">
            <w:pPr>
              <w:rPr>
                <w:rFonts w:eastAsia="SimSun"/>
              </w:rPr>
            </w:pPr>
            <w:r w:rsidRPr="00AC3044">
              <w:rPr>
                <w:rFonts w:eastAsia="SimSun"/>
              </w:rPr>
              <w:t>30 мг/м</w:t>
            </w:r>
            <w:r w:rsidRPr="0074195F">
              <w:rPr>
                <w:rFonts w:eastAsia="SimSun"/>
                <w:vertAlign w:val="superscript"/>
              </w:rPr>
              <w:t>2</w:t>
            </w:r>
          </w:p>
        </w:tc>
        <w:tc>
          <w:tcPr>
            <w:tcW w:w="1418" w:type="dxa"/>
            <w:vAlign w:val="center"/>
          </w:tcPr>
          <w:p w14:paraId="0EE7C075" w14:textId="77777777" w:rsidR="00304132" w:rsidRPr="00AC3044" w:rsidRDefault="00304132" w:rsidP="00CD5E09">
            <w:pPr>
              <w:rPr>
                <w:rFonts w:eastAsia="SimSun"/>
              </w:rPr>
            </w:pPr>
            <w:r w:rsidRPr="00AC3044">
              <w:rPr>
                <w:rFonts w:eastAsia="SimSun"/>
              </w:rPr>
              <w:t>180 мг/м</w:t>
            </w:r>
            <w:r w:rsidRPr="0074195F">
              <w:rPr>
                <w:rFonts w:eastAsia="SimSun"/>
                <w:vertAlign w:val="superscript"/>
              </w:rPr>
              <w:t>2</w:t>
            </w:r>
          </w:p>
        </w:tc>
        <w:tc>
          <w:tcPr>
            <w:tcW w:w="1701" w:type="dxa"/>
            <w:vAlign w:val="center"/>
          </w:tcPr>
          <w:p w14:paraId="6BCF02F2" w14:textId="77777777" w:rsidR="00304132" w:rsidRPr="00AC3044" w:rsidRDefault="00304132" w:rsidP="00CD5E09">
            <w:pPr>
              <w:rPr>
                <w:rFonts w:eastAsia="SimSun"/>
              </w:rPr>
            </w:pPr>
            <w:r w:rsidRPr="00AC3044">
              <w:rPr>
                <w:rFonts w:eastAsia="SimSun"/>
              </w:rPr>
              <w:t>С -7 дня по -2 день</w:t>
            </w:r>
          </w:p>
        </w:tc>
        <w:tc>
          <w:tcPr>
            <w:tcW w:w="2268" w:type="dxa"/>
            <w:vAlign w:val="center"/>
          </w:tcPr>
          <w:p w14:paraId="7FB0F1D3" w14:textId="77777777" w:rsidR="00304132" w:rsidRPr="00AC3044" w:rsidRDefault="00304132" w:rsidP="00CD5E09">
            <w:pPr>
              <w:rPr>
                <w:rFonts w:eastAsia="SimSun"/>
              </w:rPr>
            </w:pPr>
            <w:r w:rsidRPr="00AC3044">
              <w:rPr>
                <w:rFonts w:eastAsia="SimSun"/>
              </w:rPr>
              <w:t>В/в, в течение 30 -60 мин</w:t>
            </w:r>
          </w:p>
        </w:tc>
      </w:tr>
      <w:tr w:rsidR="00304132" w:rsidRPr="00AC3044" w14:paraId="37D31B87" w14:textId="77777777" w:rsidTr="00CD5E09">
        <w:trPr>
          <w:cantSplit/>
          <w:trHeight w:val="1207"/>
        </w:trPr>
        <w:tc>
          <w:tcPr>
            <w:tcW w:w="817" w:type="dxa"/>
            <w:vMerge/>
            <w:vAlign w:val="center"/>
          </w:tcPr>
          <w:p w14:paraId="4CB1424E" w14:textId="77777777" w:rsidR="00304132" w:rsidRPr="00AC3044" w:rsidRDefault="00304132" w:rsidP="00CD5E09">
            <w:pPr>
              <w:rPr>
                <w:rFonts w:eastAsia="SimSun"/>
              </w:rPr>
            </w:pPr>
          </w:p>
        </w:tc>
        <w:tc>
          <w:tcPr>
            <w:tcW w:w="1701" w:type="dxa"/>
            <w:vAlign w:val="center"/>
          </w:tcPr>
          <w:p w14:paraId="47498AB2" w14:textId="77777777" w:rsidR="00304132" w:rsidRPr="00AC3044" w:rsidRDefault="00304132" w:rsidP="00CD5E09">
            <w:pPr>
              <w:rPr>
                <w:rFonts w:eastAsia="SimSun"/>
              </w:rPr>
            </w:pPr>
            <w:r w:rsidRPr="00AC3044">
              <w:rPr>
                <w:rFonts w:eastAsia="SimSun"/>
              </w:rPr>
              <w:t>Бусульфан</w:t>
            </w:r>
          </w:p>
        </w:tc>
        <w:tc>
          <w:tcPr>
            <w:tcW w:w="1559" w:type="dxa"/>
            <w:vAlign w:val="center"/>
          </w:tcPr>
          <w:p w14:paraId="6B5A98C4" w14:textId="77777777" w:rsidR="00304132" w:rsidRPr="00AC3044" w:rsidRDefault="00304132" w:rsidP="00CD5E09">
            <w:pPr>
              <w:rPr>
                <w:rFonts w:eastAsia="SimSun"/>
              </w:rPr>
            </w:pPr>
            <w:r w:rsidRPr="00AC3044">
              <w:rPr>
                <w:rFonts w:eastAsia="SimSun"/>
              </w:rPr>
              <w:t xml:space="preserve">4 мг/кг </w:t>
            </w:r>
          </w:p>
        </w:tc>
        <w:tc>
          <w:tcPr>
            <w:tcW w:w="1418" w:type="dxa"/>
            <w:vAlign w:val="center"/>
          </w:tcPr>
          <w:p w14:paraId="0DA389B2" w14:textId="77777777" w:rsidR="00304132" w:rsidRPr="00AC3044" w:rsidRDefault="00304132" w:rsidP="00CD5E09">
            <w:pPr>
              <w:rPr>
                <w:rFonts w:eastAsia="SimSun"/>
              </w:rPr>
            </w:pPr>
            <w:r w:rsidRPr="00AC3044">
              <w:rPr>
                <w:rFonts w:eastAsia="SimSun"/>
              </w:rPr>
              <w:t xml:space="preserve">10 мг/кг </w:t>
            </w:r>
          </w:p>
        </w:tc>
        <w:tc>
          <w:tcPr>
            <w:tcW w:w="1701" w:type="dxa"/>
            <w:vAlign w:val="center"/>
          </w:tcPr>
          <w:p w14:paraId="55E63A1E" w14:textId="77777777" w:rsidR="00304132" w:rsidRPr="00AC3044" w:rsidRDefault="00304132" w:rsidP="00CD5E09">
            <w:pPr>
              <w:rPr>
                <w:rFonts w:eastAsia="SimSun"/>
              </w:rPr>
            </w:pPr>
            <w:r w:rsidRPr="00AC3044">
              <w:rPr>
                <w:rFonts w:eastAsia="SimSun"/>
              </w:rPr>
              <w:t>С -5 дня по -3 день</w:t>
            </w:r>
          </w:p>
        </w:tc>
        <w:tc>
          <w:tcPr>
            <w:tcW w:w="2268" w:type="dxa"/>
            <w:vAlign w:val="center"/>
          </w:tcPr>
          <w:p w14:paraId="7C508389" w14:textId="77777777" w:rsidR="00304132" w:rsidRPr="00AC3044" w:rsidRDefault="00304132" w:rsidP="00CD5E09">
            <w:pPr>
              <w:rPr>
                <w:rFonts w:eastAsia="SimSun"/>
              </w:rPr>
            </w:pPr>
            <w:r w:rsidRPr="00AC3044">
              <w:rPr>
                <w:rFonts w:eastAsia="SimSun"/>
              </w:rPr>
              <w:t>Внутрь, суммарная суточная доза разделяется на 4 приема с интервалом 6 часов. День -6: бусульфан разделяется на 2 приема с интервалом 6 часов, в вечернее время (18.00, 24.00)</w:t>
            </w:r>
          </w:p>
        </w:tc>
      </w:tr>
      <w:tr w:rsidR="00304132" w:rsidRPr="00AC3044" w14:paraId="70943C85" w14:textId="77777777" w:rsidTr="00CD5E09">
        <w:trPr>
          <w:cantSplit/>
          <w:trHeight w:val="716"/>
        </w:trPr>
        <w:tc>
          <w:tcPr>
            <w:tcW w:w="817" w:type="dxa"/>
            <w:vMerge w:val="restart"/>
            <w:textDirection w:val="btLr"/>
            <w:vAlign w:val="center"/>
          </w:tcPr>
          <w:p w14:paraId="38D3CE27" w14:textId="77777777" w:rsidR="00304132" w:rsidRPr="00AC3044" w:rsidRDefault="00304132" w:rsidP="00CD5E09">
            <w:pPr>
              <w:rPr>
                <w:rFonts w:eastAsia="SimSun"/>
              </w:rPr>
            </w:pPr>
            <w:r w:rsidRPr="00AC3044">
              <w:rPr>
                <w:rFonts w:eastAsia="SimSun"/>
              </w:rPr>
              <w:t>Профилактика РТПХ</w:t>
            </w:r>
          </w:p>
        </w:tc>
        <w:tc>
          <w:tcPr>
            <w:tcW w:w="1701" w:type="dxa"/>
            <w:vAlign w:val="center"/>
          </w:tcPr>
          <w:p w14:paraId="30988C47" w14:textId="77777777" w:rsidR="00304132" w:rsidRPr="00AC3044" w:rsidRDefault="00304132" w:rsidP="00CD5E09">
            <w:pPr>
              <w:rPr>
                <w:rFonts w:eastAsia="SimSun"/>
              </w:rPr>
            </w:pPr>
            <w:r w:rsidRPr="00AC3044">
              <w:rPr>
                <w:rFonts w:eastAsia="SimSun"/>
              </w:rPr>
              <w:t>Циклофосфамид</w:t>
            </w:r>
          </w:p>
        </w:tc>
        <w:tc>
          <w:tcPr>
            <w:tcW w:w="1559" w:type="dxa"/>
            <w:vAlign w:val="center"/>
          </w:tcPr>
          <w:p w14:paraId="674A5F06" w14:textId="77777777" w:rsidR="00304132" w:rsidRPr="00AC3044" w:rsidRDefault="00304132" w:rsidP="00CD5E09">
            <w:pPr>
              <w:rPr>
                <w:rFonts w:eastAsia="SimSun"/>
              </w:rPr>
            </w:pPr>
            <w:r w:rsidRPr="00AC3044">
              <w:rPr>
                <w:rFonts w:eastAsia="SimSun"/>
              </w:rPr>
              <w:t>50 мг/кг</w:t>
            </w:r>
          </w:p>
        </w:tc>
        <w:tc>
          <w:tcPr>
            <w:tcW w:w="1418" w:type="dxa"/>
            <w:vAlign w:val="center"/>
          </w:tcPr>
          <w:p w14:paraId="2B2C6437" w14:textId="77777777" w:rsidR="00304132" w:rsidRPr="00AC3044" w:rsidRDefault="00304132" w:rsidP="00CD5E09">
            <w:pPr>
              <w:rPr>
                <w:rFonts w:eastAsia="SimSun"/>
              </w:rPr>
            </w:pPr>
            <w:r w:rsidRPr="00AC3044">
              <w:rPr>
                <w:rFonts w:eastAsia="SimSun"/>
              </w:rPr>
              <w:t>100 мг/кг</w:t>
            </w:r>
          </w:p>
        </w:tc>
        <w:tc>
          <w:tcPr>
            <w:tcW w:w="1701" w:type="dxa"/>
            <w:vAlign w:val="center"/>
          </w:tcPr>
          <w:p w14:paraId="610D4F32" w14:textId="77777777" w:rsidR="00304132" w:rsidRPr="00AC3044" w:rsidRDefault="00304132" w:rsidP="00CD5E09">
            <w:pPr>
              <w:rPr>
                <w:rFonts w:eastAsia="SimSun"/>
              </w:rPr>
            </w:pPr>
            <w:r w:rsidRPr="00AC3044">
              <w:rPr>
                <w:rFonts w:eastAsia="SimSun"/>
              </w:rPr>
              <w:t>С +3 дня по +4 день</w:t>
            </w:r>
          </w:p>
        </w:tc>
        <w:tc>
          <w:tcPr>
            <w:tcW w:w="2268" w:type="dxa"/>
            <w:vAlign w:val="center"/>
          </w:tcPr>
          <w:p w14:paraId="56A41A5D" w14:textId="77777777" w:rsidR="00304132" w:rsidRPr="00AC3044" w:rsidRDefault="00304132" w:rsidP="00CD5E09">
            <w:pPr>
              <w:rPr>
                <w:rFonts w:eastAsia="SimSun"/>
              </w:rPr>
            </w:pPr>
            <w:r w:rsidRPr="00AC3044">
              <w:rPr>
                <w:rFonts w:eastAsia="SimSun"/>
              </w:rPr>
              <w:t>В/в, в течение 2 часов</w:t>
            </w:r>
          </w:p>
        </w:tc>
      </w:tr>
      <w:tr w:rsidR="00304132" w:rsidRPr="00AC3044" w14:paraId="7C3AA794" w14:textId="77777777" w:rsidTr="00CD5E09">
        <w:trPr>
          <w:cantSplit/>
          <w:trHeight w:val="574"/>
        </w:trPr>
        <w:tc>
          <w:tcPr>
            <w:tcW w:w="817" w:type="dxa"/>
            <w:vMerge/>
            <w:textDirection w:val="btLr"/>
            <w:vAlign w:val="center"/>
          </w:tcPr>
          <w:p w14:paraId="01E2B940" w14:textId="77777777" w:rsidR="00304132" w:rsidRPr="00AC3044" w:rsidRDefault="00304132" w:rsidP="00CD5E09">
            <w:pPr>
              <w:rPr>
                <w:rFonts w:eastAsia="SimSun"/>
              </w:rPr>
            </w:pPr>
          </w:p>
        </w:tc>
        <w:tc>
          <w:tcPr>
            <w:tcW w:w="1701" w:type="dxa"/>
            <w:vAlign w:val="center"/>
          </w:tcPr>
          <w:p w14:paraId="71E97455" w14:textId="77777777" w:rsidR="00304132" w:rsidRPr="00AC3044" w:rsidRDefault="00304132" w:rsidP="00CD5E09">
            <w:pPr>
              <w:rPr>
                <w:rFonts w:eastAsia="SimSun"/>
              </w:rPr>
            </w:pPr>
            <w:r w:rsidRPr="00AC3044">
              <w:rPr>
                <w:rFonts w:eastAsia="SimSun"/>
              </w:rPr>
              <w:t>Руксолитиниб</w:t>
            </w:r>
          </w:p>
        </w:tc>
        <w:tc>
          <w:tcPr>
            <w:tcW w:w="1559" w:type="dxa"/>
            <w:vAlign w:val="center"/>
          </w:tcPr>
          <w:p w14:paraId="2420E7E7" w14:textId="77777777" w:rsidR="00304132" w:rsidRPr="00AC3044" w:rsidRDefault="00304132" w:rsidP="00CD5E09">
            <w:pPr>
              <w:rPr>
                <w:rFonts w:eastAsia="SimSun"/>
              </w:rPr>
            </w:pPr>
            <w:r w:rsidRPr="00AC3044">
              <w:rPr>
                <w:rFonts w:eastAsia="SimSun"/>
              </w:rPr>
              <w:t>45 мг</w:t>
            </w:r>
          </w:p>
        </w:tc>
        <w:tc>
          <w:tcPr>
            <w:tcW w:w="1418" w:type="dxa"/>
            <w:vAlign w:val="center"/>
          </w:tcPr>
          <w:p w14:paraId="1D6D5F9D" w14:textId="77777777" w:rsidR="00304132" w:rsidRPr="00AC3044" w:rsidRDefault="00304132" w:rsidP="00CD5E09">
            <w:pPr>
              <w:rPr>
                <w:rFonts w:eastAsia="SimSun"/>
              </w:rPr>
            </w:pPr>
            <w:r w:rsidRPr="00AC3044">
              <w:rPr>
                <w:rFonts w:eastAsia="SimSun"/>
              </w:rPr>
              <w:t>270 мг</w:t>
            </w:r>
          </w:p>
        </w:tc>
        <w:tc>
          <w:tcPr>
            <w:tcW w:w="1701" w:type="dxa"/>
            <w:vAlign w:val="center"/>
          </w:tcPr>
          <w:p w14:paraId="07F9C395" w14:textId="77777777" w:rsidR="00304132" w:rsidRPr="00AC3044" w:rsidRDefault="00304132" w:rsidP="00CD5E09">
            <w:pPr>
              <w:rPr>
                <w:rFonts w:eastAsia="SimSun"/>
              </w:rPr>
            </w:pPr>
            <w:r w:rsidRPr="00AC3044">
              <w:rPr>
                <w:rFonts w:eastAsia="SimSun"/>
              </w:rPr>
              <w:t xml:space="preserve">С -7 дня по -2 день </w:t>
            </w:r>
          </w:p>
        </w:tc>
        <w:tc>
          <w:tcPr>
            <w:tcW w:w="2268" w:type="dxa"/>
            <w:vAlign w:val="center"/>
          </w:tcPr>
          <w:p w14:paraId="13D0F1CA" w14:textId="77777777" w:rsidR="00304132" w:rsidRPr="00AC3044" w:rsidRDefault="00304132" w:rsidP="00CD5E09">
            <w:pPr>
              <w:rPr>
                <w:rFonts w:eastAsia="SimSun"/>
              </w:rPr>
            </w:pPr>
            <w:r w:rsidRPr="00AC3044">
              <w:rPr>
                <w:rFonts w:eastAsia="SimSun"/>
              </w:rPr>
              <w:t xml:space="preserve">Внутрь суточную дозу </w:t>
            </w:r>
          </w:p>
          <w:p w14:paraId="51D890DF" w14:textId="77777777" w:rsidR="00304132" w:rsidRPr="00AC3044" w:rsidRDefault="00304132" w:rsidP="00CD5E09">
            <w:pPr>
              <w:rPr>
                <w:rFonts w:eastAsia="SimSun"/>
              </w:rPr>
            </w:pPr>
            <w:r w:rsidRPr="00AC3044">
              <w:rPr>
                <w:rFonts w:eastAsia="SimSun"/>
              </w:rPr>
              <w:t>за 3 приема</w:t>
            </w:r>
          </w:p>
        </w:tc>
      </w:tr>
      <w:tr w:rsidR="00304132" w:rsidRPr="00AC3044" w14:paraId="3562FDE4" w14:textId="77777777" w:rsidTr="00CD5E09">
        <w:trPr>
          <w:cantSplit/>
          <w:trHeight w:val="498"/>
        </w:trPr>
        <w:tc>
          <w:tcPr>
            <w:tcW w:w="817" w:type="dxa"/>
            <w:vMerge/>
            <w:textDirection w:val="btLr"/>
            <w:vAlign w:val="center"/>
          </w:tcPr>
          <w:p w14:paraId="713BE088" w14:textId="77777777" w:rsidR="00304132" w:rsidRPr="00AC3044" w:rsidRDefault="00304132" w:rsidP="00CD5E09">
            <w:pPr>
              <w:rPr>
                <w:rFonts w:eastAsia="SimSun"/>
              </w:rPr>
            </w:pPr>
          </w:p>
        </w:tc>
        <w:tc>
          <w:tcPr>
            <w:tcW w:w="1701" w:type="dxa"/>
            <w:vAlign w:val="center"/>
          </w:tcPr>
          <w:p w14:paraId="2121C6B5" w14:textId="77777777" w:rsidR="00304132" w:rsidRPr="00AC3044" w:rsidRDefault="00304132" w:rsidP="00CD5E09">
            <w:pPr>
              <w:rPr>
                <w:rFonts w:eastAsia="SimSun"/>
              </w:rPr>
            </w:pPr>
            <w:r w:rsidRPr="00AC3044">
              <w:rPr>
                <w:rFonts w:eastAsia="SimSun"/>
              </w:rPr>
              <w:t xml:space="preserve">Руксолитиниб </w:t>
            </w:r>
          </w:p>
        </w:tc>
        <w:tc>
          <w:tcPr>
            <w:tcW w:w="1559" w:type="dxa"/>
            <w:vAlign w:val="center"/>
          </w:tcPr>
          <w:p w14:paraId="27D0C6A0" w14:textId="77777777" w:rsidR="00304132" w:rsidRPr="00AC3044" w:rsidRDefault="00304132" w:rsidP="00CD5E09">
            <w:pPr>
              <w:rPr>
                <w:rFonts w:eastAsia="SimSun"/>
              </w:rPr>
            </w:pPr>
            <w:r w:rsidRPr="00AC3044">
              <w:rPr>
                <w:rFonts w:eastAsia="SimSun"/>
              </w:rPr>
              <w:t>15 мг</w:t>
            </w:r>
          </w:p>
        </w:tc>
        <w:tc>
          <w:tcPr>
            <w:tcW w:w="1418" w:type="dxa"/>
            <w:vAlign w:val="center"/>
          </w:tcPr>
          <w:p w14:paraId="0F60BCCC" w14:textId="77777777" w:rsidR="00304132" w:rsidRPr="00AC3044" w:rsidRDefault="00304132" w:rsidP="00CD5E09">
            <w:pPr>
              <w:rPr>
                <w:rFonts w:eastAsia="SimSun"/>
              </w:rPr>
            </w:pPr>
            <w:r w:rsidRPr="00AC3044">
              <w:rPr>
                <w:rFonts w:eastAsia="SimSun"/>
              </w:rPr>
              <w:t>-</w:t>
            </w:r>
          </w:p>
        </w:tc>
        <w:tc>
          <w:tcPr>
            <w:tcW w:w="1701" w:type="dxa"/>
            <w:vAlign w:val="center"/>
          </w:tcPr>
          <w:p w14:paraId="0D379B54" w14:textId="77777777" w:rsidR="00304132" w:rsidRPr="00AC3044" w:rsidRDefault="00304132" w:rsidP="00CD5E09">
            <w:pPr>
              <w:rPr>
                <w:rFonts w:eastAsia="SimSun"/>
              </w:rPr>
            </w:pPr>
            <w:r w:rsidRPr="00AC3044">
              <w:rPr>
                <w:rFonts w:eastAsia="SimSun"/>
              </w:rPr>
              <w:t>С +5 дня по +100 день</w:t>
            </w:r>
          </w:p>
        </w:tc>
        <w:tc>
          <w:tcPr>
            <w:tcW w:w="2268" w:type="dxa"/>
            <w:vAlign w:val="center"/>
          </w:tcPr>
          <w:p w14:paraId="294EA85A" w14:textId="77777777" w:rsidR="00304132" w:rsidRPr="00AC3044" w:rsidRDefault="00304132" w:rsidP="00CD5E09">
            <w:pPr>
              <w:rPr>
                <w:rFonts w:eastAsia="SimSun"/>
              </w:rPr>
            </w:pPr>
            <w:r w:rsidRPr="00AC3044">
              <w:rPr>
                <w:rFonts w:eastAsia="SimSun"/>
              </w:rPr>
              <w:t xml:space="preserve">Внутрь суточную дозу </w:t>
            </w:r>
          </w:p>
          <w:p w14:paraId="499D5F6F" w14:textId="77777777" w:rsidR="00304132" w:rsidRPr="00AC3044" w:rsidRDefault="00304132" w:rsidP="00CD5E09">
            <w:pPr>
              <w:rPr>
                <w:rFonts w:eastAsia="SimSun"/>
              </w:rPr>
            </w:pPr>
            <w:r w:rsidRPr="00AC3044">
              <w:rPr>
                <w:rFonts w:eastAsia="SimSun"/>
              </w:rPr>
              <w:t>за 2 приема</w:t>
            </w:r>
          </w:p>
        </w:tc>
      </w:tr>
    </w:tbl>
    <w:p w14:paraId="31B2E221" w14:textId="77777777" w:rsidR="00304132" w:rsidRDefault="00304132" w:rsidP="00304132">
      <w:pPr>
        <w:rPr>
          <w:rFonts w:eastAsia="SimSun"/>
        </w:rPr>
      </w:pPr>
      <w:bookmarkStart w:id="355" w:name="_Toc44401215"/>
    </w:p>
    <w:p w14:paraId="3699DEB6" w14:textId="77777777" w:rsidR="00304132" w:rsidRPr="00C07B2E" w:rsidRDefault="00304132" w:rsidP="00304132">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2.2.15  – Flu90+Benda / PT-Cy+Tx+MMF30</w:t>
      </w:r>
      <w:bookmarkEnd w:id="355"/>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1701"/>
        <w:gridCol w:w="1559"/>
        <w:gridCol w:w="1418"/>
        <w:gridCol w:w="1701"/>
        <w:gridCol w:w="2268"/>
      </w:tblGrid>
      <w:tr w:rsidR="00304132" w:rsidRPr="00AC3044" w14:paraId="55AB481A" w14:textId="77777777" w:rsidTr="00CD5E09">
        <w:trPr>
          <w:cantSplit/>
          <w:trHeight w:val="20"/>
          <w:tblHeader/>
        </w:trPr>
        <w:tc>
          <w:tcPr>
            <w:tcW w:w="817" w:type="dxa"/>
            <w:vAlign w:val="center"/>
          </w:tcPr>
          <w:p w14:paraId="4801B3F9" w14:textId="77777777" w:rsidR="00304132" w:rsidRPr="00AC3044" w:rsidRDefault="00304132" w:rsidP="00CD5E09">
            <w:pPr>
              <w:rPr>
                <w:rFonts w:eastAsia="SimSun"/>
              </w:rPr>
            </w:pPr>
          </w:p>
        </w:tc>
        <w:tc>
          <w:tcPr>
            <w:tcW w:w="1701" w:type="dxa"/>
            <w:vAlign w:val="center"/>
          </w:tcPr>
          <w:p w14:paraId="046238B8" w14:textId="77777777" w:rsidR="00304132" w:rsidRPr="00AC3044" w:rsidRDefault="00304132" w:rsidP="00CD5E09">
            <w:pPr>
              <w:rPr>
                <w:rFonts w:eastAsia="SimSun"/>
              </w:rPr>
            </w:pPr>
            <w:r w:rsidRPr="00AC3044">
              <w:rPr>
                <w:rFonts w:eastAsia="SimSun"/>
              </w:rPr>
              <w:t>Препарат</w:t>
            </w:r>
          </w:p>
        </w:tc>
        <w:tc>
          <w:tcPr>
            <w:tcW w:w="1559" w:type="dxa"/>
            <w:vAlign w:val="center"/>
          </w:tcPr>
          <w:p w14:paraId="4726957A" w14:textId="77777777" w:rsidR="00304132" w:rsidRPr="00AC3044" w:rsidRDefault="00304132" w:rsidP="00CD5E09">
            <w:pPr>
              <w:rPr>
                <w:rFonts w:eastAsia="SimSun"/>
              </w:rPr>
            </w:pPr>
            <w:r w:rsidRPr="00AC3044">
              <w:rPr>
                <w:rFonts w:eastAsia="SimSun"/>
              </w:rPr>
              <w:t>Суточная доза</w:t>
            </w:r>
          </w:p>
        </w:tc>
        <w:tc>
          <w:tcPr>
            <w:tcW w:w="1418" w:type="dxa"/>
            <w:vAlign w:val="center"/>
          </w:tcPr>
          <w:p w14:paraId="2E4150B9" w14:textId="77777777" w:rsidR="00304132" w:rsidRPr="00AC3044" w:rsidRDefault="00304132" w:rsidP="00CD5E09">
            <w:pPr>
              <w:rPr>
                <w:rFonts w:eastAsia="SimSun"/>
              </w:rPr>
            </w:pPr>
            <w:r w:rsidRPr="00AC3044">
              <w:rPr>
                <w:rFonts w:eastAsia="SimSun"/>
              </w:rPr>
              <w:t>Курсовая доза</w:t>
            </w:r>
          </w:p>
        </w:tc>
        <w:tc>
          <w:tcPr>
            <w:tcW w:w="1701" w:type="dxa"/>
            <w:vAlign w:val="center"/>
          </w:tcPr>
          <w:p w14:paraId="1AC29629" w14:textId="77777777" w:rsidR="00304132" w:rsidRPr="00AC3044" w:rsidRDefault="00304132" w:rsidP="00CD5E09">
            <w:pPr>
              <w:rPr>
                <w:rFonts w:eastAsia="SimSun"/>
              </w:rPr>
            </w:pPr>
            <w:r w:rsidRPr="00AC3044">
              <w:rPr>
                <w:rFonts w:eastAsia="SimSun"/>
              </w:rPr>
              <w:t>Дни введения</w:t>
            </w:r>
          </w:p>
        </w:tc>
        <w:tc>
          <w:tcPr>
            <w:tcW w:w="2268" w:type="dxa"/>
            <w:vAlign w:val="center"/>
          </w:tcPr>
          <w:p w14:paraId="36076B47" w14:textId="77777777" w:rsidR="00304132" w:rsidRPr="00AC3044" w:rsidRDefault="00304132" w:rsidP="00CD5E09">
            <w:pPr>
              <w:rPr>
                <w:rFonts w:eastAsia="SimSun"/>
              </w:rPr>
            </w:pPr>
            <w:r w:rsidRPr="00AC3044">
              <w:rPr>
                <w:rFonts w:eastAsia="SimSun"/>
              </w:rPr>
              <w:t>Порядок введения</w:t>
            </w:r>
          </w:p>
        </w:tc>
      </w:tr>
      <w:tr w:rsidR="00304132" w:rsidRPr="00AC3044" w14:paraId="2ECDBB44" w14:textId="77777777" w:rsidTr="00CD5E09">
        <w:trPr>
          <w:cantSplit/>
          <w:trHeight w:val="20"/>
        </w:trPr>
        <w:tc>
          <w:tcPr>
            <w:tcW w:w="817" w:type="dxa"/>
            <w:vMerge w:val="restart"/>
            <w:textDirection w:val="btLr"/>
            <w:vAlign w:val="center"/>
          </w:tcPr>
          <w:p w14:paraId="26F9E7F6" w14:textId="77777777" w:rsidR="00304132" w:rsidRPr="00AC3044" w:rsidRDefault="00304132" w:rsidP="00CD5E09">
            <w:pPr>
              <w:rPr>
                <w:rFonts w:eastAsia="SimSun"/>
              </w:rPr>
            </w:pPr>
            <w:r w:rsidRPr="00AC3044">
              <w:rPr>
                <w:rFonts w:eastAsia="SimSun"/>
              </w:rPr>
              <w:t>Кондиционирование</w:t>
            </w:r>
          </w:p>
        </w:tc>
        <w:tc>
          <w:tcPr>
            <w:tcW w:w="1701" w:type="dxa"/>
            <w:vAlign w:val="center"/>
          </w:tcPr>
          <w:p w14:paraId="5C448C07" w14:textId="77777777" w:rsidR="00304132" w:rsidRPr="00AC3044" w:rsidRDefault="00304132" w:rsidP="00CD5E09">
            <w:pPr>
              <w:rPr>
                <w:rFonts w:eastAsia="SimSun"/>
              </w:rPr>
            </w:pPr>
            <w:r w:rsidRPr="00AC3044">
              <w:rPr>
                <w:rFonts w:eastAsia="SimSun"/>
              </w:rPr>
              <w:t xml:space="preserve">Флударабин </w:t>
            </w:r>
          </w:p>
        </w:tc>
        <w:tc>
          <w:tcPr>
            <w:tcW w:w="1559" w:type="dxa"/>
            <w:vAlign w:val="center"/>
          </w:tcPr>
          <w:p w14:paraId="4CBCC335" w14:textId="77777777" w:rsidR="00304132" w:rsidRPr="00AC3044" w:rsidRDefault="00304132" w:rsidP="00CD5E09">
            <w:pPr>
              <w:rPr>
                <w:rFonts w:eastAsia="SimSun"/>
              </w:rPr>
            </w:pPr>
            <w:r w:rsidRPr="00AC3044">
              <w:rPr>
                <w:rFonts w:eastAsia="SimSun"/>
              </w:rPr>
              <w:t>30 мг/м</w:t>
            </w:r>
            <w:r w:rsidRPr="0074195F">
              <w:rPr>
                <w:rFonts w:eastAsia="SimSun"/>
                <w:vertAlign w:val="superscript"/>
              </w:rPr>
              <w:t>2</w:t>
            </w:r>
          </w:p>
        </w:tc>
        <w:tc>
          <w:tcPr>
            <w:tcW w:w="1418" w:type="dxa"/>
            <w:vAlign w:val="center"/>
          </w:tcPr>
          <w:p w14:paraId="009999DB" w14:textId="77777777" w:rsidR="00304132" w:rsidRPr="00AC3044" w:rsidRDefault="00304132" w:rsidP="00CD5E09">
            <w:pPr>
              <w:rPr>
                <w:rFonts w:eastAsia="SimSun"/>
              </w:rPr>
            </w:pPr>
            <w:r w:rsidRPr="00AC3044">
              <w:rPr>
                <w:rFonts w:eastAsia="SimSun"/>
              </w:rPr>
              <w:t>90 мг/м</w:t>
            </w:r>
            <w:r w:rsidRPr="0074195F">
              <w:rPr>
                <w:rFonts w:eastAsia="SimSun"/>
                <w:vertAlign w:val="superscript"/>
              </w:rPr>
              <w:t>2</w:t>
            </w:r>
          </w:p>
        </w:tc>
        <w:tc>
          <w:tcPr>
            <w:tcW w:w="1701" w:type="dxa"/>
            <w:vAlign w:val="center"/>
          </w:tcPr>
          <w:p w14:paraId="1FB0129E" w14:textId="77777777" w:rsidR="00304132" w:rsidRPr="00AC3044" w:rsidRDefault="00304132" w:rsidP="00CD5E09">
            <w:pPr>
              <w:rPr>
                <w:rFonts w:eastAsia="SimSun"/>
              </w:rPr>
            </w:pPr>
            <w:r w:rsidRPr="00AC3044">
              <w:rPr>
                <w:rFonts w:eastAsia="SimSun"/>
              </w:rPr>
              <w:t>С -4 дня по -2 день</w:t>
            </w:r>
          </w:p>
        </w:tc>
        <w:tc>
          <w:tcPr>
            <w:tcW w:w="2268" w:type="dxa"/>
            <w:vAlign w:val="center"/>
          </w:tcPr>
          <w:p w14:paraId="40C709BF" w14:textId="77777777" w:rsidR="00304132" w:rsidRPr="00AC3044" w:rsidRDefault="00304132" w:rsidP="00CD5E09">
            <w:pPr>
              <w:rPr>
                <w:rFonts w:eastAsia="SimSun"/>
              </w:rPr>
            </w:pPr>
            <w:r w:rsidRPr="00AC3044">
              <w:rPr>
                <w:rFonts w:eastAsia="SimSun"/>
              </w:rPr>
              <w:t>В/в, в течение 30 -60 мин</w:t>
            </w:r>
          </w:p>
        </w:tc>
      </w:tr>
      <w:tr w:rsidR="00304132" w:rsidRPr="00AC3044" w14:paraId="030F1FA1" w14:textId="77777777" w:rsidTr="00CD5E09">
        <w:trPr>
          <w:cantSplit/>
          <w:trHeight w:val="704"/>
        </w:trPr>
        <w:tc>
          <w:tcPr>
            <w:tcW w:w="817" w:type="dxa"/>
            <w:vMerge/>
            <w:vAlign w:val="center"/>
          </w:tcPr>
          <w:p w14:paraId="2595FDD1" w14:textId="77777777" w:rsidR="00304132" w:rsidRPr="00AC3044" w:rsidRDefault="00304132" w:rsidP="00CD5E09">
            <w:pPr>
              <w:rPr>
                <w:rFonts w:eastAsia="SimSun"/>
              </w:rPr>
            </w:pPr>
          </w:p>
        </w:tc>
        <w:tc>
          <w:tcPr>
            <w:tcW w:w="1701" w:type="dxa"/>
            <w:vAlign w:val="center"/>
          </w:tcPr>
          <w:p w14:paraId="0636F3CD" w14:textId="77777777" w:rsidR="00304132" w:rsidRPr="00AC3044" w:rsidRDefault="00304132" w:rsidP="00CD5E09">
            <w:pPr>
              <w:rPr>
                <w:rFonts w:eastAsia="SimSun"/>
              </w:rPr>
            </w:pPr>
            <w:r w:rsidRPr="00AC3044">
              <w:rPr>
                <w:rFonts w:eastAsia="SimSun"/>
              </w:rPr>
              <w:t>Бендамустин</w:t>
            </w:r>
          </w:p>
        </w:tc>
        <w:tc>
          <w:tcPr>
            <w:tcW w:w="1559" w:type="dxa"/>
            <w:vAlign w:val="center"/>
          </w:tcPr>
          <w:p w14:paraId="0533ADC8" w14:textId="77777777" w:rsidR="00304132" w:rsidRPr="00AC3044" w:rsidRDefault="00304132" w:rsidP="00CD5E09">
            <w:pPr>
              <w:rPr>
                <w:rFonts w:eastAsia="SimSun"/>
              </w:rPr>
            </w:pPr>
            <w:r w:rsidRPr="00AC3044">
              <w:rPr>
                <w:rFonts w:eastAsia="SimSun"/>
              </w:rPr>
              <w:t>130 мг/м</w:t>
            </w:r>
            <w:r w:rsidRPr="0074195F">
              <w:rPr>
                <w:rFonts w:eastAsia="SimSun"/>
                <w:vertAlign w:val="superscript"/>
              </w:rPr>
              <w:t>2</w:t>
            </w:r>
            <w:r w:rsidRPr="00AC3044">
              <w:rPr>
                <w:rFonts w:eastAsia="SimSun"/>
              </w:rPr>
              <w:t xml:space="preserve"> </w:t>
            </w:r>
          </w:p>
        </w:tc>
        <w:tc>
          <w:tcPr>
            <w:tcW w:w="1418" w:type="dxa"/>
            <w:vAlign w:val="center"/>
          </w:tcPr>
          <w:p w14:paraId="2A9E8EE0" w14:textId="77777777" w:rsidR="00304132" w:rsidRPr="00AC3044" w:rsidRDefault="00304132" w:rsidP="00CD5E09">
            <w:pPr>
              <w:rPr>
                <w:rFonts w:eastAsia="SimSun"/>
              </w:rPr>
            </w:pPr>
            <w:r w:rsidRPr="00AC3044">
              <w:rPr>
                <w:rFonts w:eastAsia="SimSun"/>
              </w:rPr>
              <w:t>10 мг/м</w:t>
            </w:r>
            <w:r w:rsidRPr="0074195F">
              <w:rPr>
                <w:rFonts w:eastAsia="SimSun"/>
                <w:vertAlign w:val="superscript"/>
              </w:rPr>
              <w:t>2</w:t>
            </w:r>
          </w:p>
        </w:tc>
        <w:tc>
          <w:tcPr>
            <w:tcW w:w="1701" w:type="dxa"/>
            <w:vAlign w:val="center"/>
          </w:tcPr>
          <w:p w14:paraId="1FDBEA37" w14:textId="77777777" w:rsidR="00304132" w:rsidRPr="00AC3044" w:rsidRDefault="00304132" w:rsidP="00CD5E09">
            <w:pPr>
              <w:rPr>
                <w:rFonts w:eastAsia="SimSun"/>
              </w:rPr>
            </w:pPr>
            <w:r w:rsidRPr="00AC3044">
              <w:rPr>
                <w:rFonts w:eastAsia="SimSun"/>
              </w:rPr>
              <w:t xml:space="preserve">  С -4 дня по -2 день</w:t>
            </w:r>
          </w:p>
        </w:tc>
        <w:tc>
          <w:tcPr>
            <w:tcW w:w="2268" w:type="dxa"/>
            <w:vAlign w:val="center"/>
          </w:tcPr>
          <w:p w14:paraId="52B4F45B" w14:textId="77777777" w:rsidR="00304132" w:rsidRPr="00AC3044" w:rsidRDefault="00304132" w:rsidP="00CD5E09">
            <w:pPr>
              <w:rPr>
                <w:rFonts w:eastAsia="SimSun"/>
              </w:rPr>
            </w:pPr>
            <w:r w:rsidRPr="00AC3044">
              <w:rPr>
                <w:rFonts w:eastAsia="SimSun"/>
              </w:rPr>
              <w:t>В/в, в течение 1 часа</w:t>
            </w:r>
          </w:p>
        </w:tc>
      </w:tr>
      <w:tr w:rsidR="00304132" w:rsidRPr="00AC3044" w14:paraId="0BCD7C3C" w14:textId="77777777" w:rsidTr="00CD5E09">
        <w:trPr>
          <w:cantSplit/>
          <w:trHeight w:val="958"/>
        </w:trPr>
        <w:tc>
          <w:tcPr>
            <w:tcW w:w="817" w:type="dxa"/>
            <w:vMerge w:val="restart"/>
            <w:textDirection w:val="btLr"/>
            <w:vAlign w:val="center"/>
          </w:tcPr>
          <w:p w14:paraId="763D0B6C" w14:textId="77777777" w:rsidR="00304132" w:rsidRPr="00AC3044" w:rsidRDefault="00304132" w:rsidP="00CD5E09">
            <w:pPr>
              <w:rPr>
                <w:rFonts w:eastAsia="SimSun"/>
              </w:rPr>
            </w:pPr>
            <w:r w:rsidRPr="00AC3044">
              <w:rPr>
                <w:rFonts w:eastAsia="SimSun"/>
              </w:rPr>
              <w:t>Профилактика РТПХ</w:t>
            </w:r>
          </w:p>
        </w:tc>
        <w:tc>
          <w:tcPr>
            <w:tcW w:w="1701" w:type="dxa"/>
            <w:vAlign w:val="center"/>
          </w:tcPr>
          <w:p w14:paraId="1EEC2753" w14:textId="77777777" w:rsidR="00304132" w:rsidRPr="00AC3044" w:rsidRDefault="00304132" w:rsidP="00CD5E09">
            <w:pPr>
              <w:rPr>
                <w:rFonts w:eastAsia="SimSun"/>
              </w:rPr>
            </w:pPr>
            <w:r w:rsidRPr="00AC3044">
              <w:rPr>
                <w:rFonts w:eastAsia="SimSun"/>
              </w:rPr>
              <w:t xml:space="preserve">Такролимус </w:t>
            </w:r>
          </w:p>
        </w:tc>
        <w:tc>
          <w:tcPr>
            <w:tcW w:w="1559" w:type="dxa"/>
            <w:vAlign w:val="center"/>
          </w:tcPr>
          <w:p w14:paraId="64AD53B9" w14:textId="77777777" w:rsidR="00304132" w:rsidRPr="00AC3044" w:rsidRDefault="00304132" w:rsidP="00CD5E09">
            <w:pPr>
              <w:rPr>
                <w:rFonts w:eastAsia="SimSun"/>
              </w:rPr>
            </w:pPr>
            <w:r w:rsidRPr="00AC3044">
              <w:rPr>
                <w:rFonts w:eastAsia="SimSun"/>
              </w:rPr>
              <w:t>0,03 мг/кг</w:t>
            </w:r>
          </w:p>
        </w:tc>
        <w:tc>
          <w:tcPr>
            <w:tcW w:w="1418" w:type="dxa"/>
            <w:vAlign w:val="center"/>
          </w:tcPr>
          <w:p w14:paraId="6871BF5D" w14:textId="77777777" w:rsidR="00304132" w:rsidRPr="00AC3044" w:rsidRDefault="00304132" w:rsidP="00CD5E09">
            <w:pPr>
              <w:rPr>
                <w:rFonts w:eastAsia="SimSun"/>
              </w:rPr>
            </w:pPr>
            <w:r w:rsidRPr="00AC3044">
              <w:rPr>
                <w:rFonts w:eastAsia="SimSun"/>
              </w:rPr>
              <w:t>–</w:t>
            </w:r>
          </w:p>
        </w:tc>
        <w:tc>
          <w:tcPr>
            <w:tcW w:w="1701" w:type="dxa"/>
            <w:vAlign w:val="center"/>
          </w:tcPr>
          <w:p w14:paraId="6EC746D9" w14:textId="77777777" w:rsidR="00304132" w:rsidRPr="00AC3044" w:rsidRDefault="00304132" w:rsidP="00CD5E09">
            <w:pPr>
              <w:rPr>
                <w:rFonts w:eastAsia="SimSun"/>
              </w:rPr>
            </w:pPr>
            <w:r w:rsidRPr="00AC3044">
              <w:rPr>
                <w:rFonts w:eastAsia="SimSun"/>
              </w:rPr>
              <w:t xml:space="preserve">С +5 дня длительно </w:t>
            </w:r>
          </w:p>
        </w:tc>
        <w:tc>
          <w:tcPr>
            <w:tcW w:w="2268" w:type="dxa"/>
            <w:vAlign w:val="center"/>
          </w:tcPr>
          <w:p w14:paraId="6DF5DA88" w14:textId="77777777" w:rsidR="00304132" w:rsidRPr="00AC3044" w:rsidRDefault="00304132" w:rsidP="00CD5E09">
            <w:pPr>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w:t>
            </w:r>
            <w:r w:rsidRPr="00AC3044">
              <w:rPr>
                <w:rFonts w:eastAsia="SimSun"/>
              </w:rPr>
              <w:t xml:space="preserve"> 10</w:t>
            </w:r>
            <w:r w:rsidRPr="0074195F">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304132" w:rsidRPr="00AC3044" w14:paraId="0C546D81" w14:textId="77777777" w:rsidTr="00CD5E09">
        <w:trPr>
          <w:cantSplit/>
          <w:trHeight w:val="542"/>
        </w:trPr>
        <w:tc>
          <w:tcPr>
            <w:tcW w:w="817" w:type="dxa"/>
            <w:vMerge/>
            <w:textDirection w:val="btLr"/>
            <w:vAlign w:val="center"/>
          </w:tcPr>
          <w:p w14:paraId="6523C1C4" w14:textId="77777777" w:rsidR="00304132" w:rsidRPr="00AC3044" w:rsidRDefault="00304132" w:rsidP="00CD5E09">
            <w:pPr>
              <w:rPr>
                <w:rFonts w:eastAsia="SimSun"/>
              </w:rPr>
            </w:pPr>
          </w:p>
        </w:tc>
        <w:tc>
          <w:tcPr>
            <w:tcW w:w="1701" w:type="dxa"/>
            <w:vAlign w:val="center"/>
          </w:tcPr>
          <w:p w14:paraId="27CD7058" w14:textId="77777777" w:rsidR="00304132" w:rsidRPr="00AC3044" w:rsidRDefault="00304132" w:rsidP="00CD5E09">
            <w:pPr>
              <w:rPr>
                <w:rFonts w:eastAsia="SimSun"/>
              </w:rPr>
            </w:pPr>
            <w:r w:rsidRPr="00AC3044">
              <w:rPr>
                <w:rFonts w:eastAsia="SimSun"/>
              </w:rPr>
              <w:t>Циклофосфамид</w:t>
            </w:r>
          </w:p>
        </w:tc>
        <w:tc>
          <w:tcPr>
            <w:tcW w:w="1559" w:type="dxa"/>
            <w:vAlign w:val="center"/>
          </w:tcPr>
          <w:p w14:paraId="0F5BA847" w14:textId="77777777" w:rsidR="00304132" w:rsidRPr="00AC3044" w:rsidRDefault="00304132" w:rsidP="00CD5E09">
            <w:pPr>
              <w:rPr>
                <w:rFonts w:eastAsia="SimSun"/>
              </w:rPr>
            </w:pPr>
            <w:r w:rsidRPr="00AC3044">
              <w:rPr>
                <w:rFonts w:eastAsia="SimSun"/>
              </w:rPr>
              <w:t>50 мг/кг</w:t>
            </w:r>
          </w:p>
        </w:tc>
        <w:tc>
          <w:tcPr>
            <w:tcW w:w="1418" w:type="dxa"/>
            <w:vAlign w:val="center"/>
          </w:tcPr>
          <w:p w14:paraId="4A536A22" w14:textId="77777777" w:rsidR="00304132" w:rsidRPr="00AC3044" w:rsidRDefault="00304132" w:rsidP="00CD5E09">
            <w:pPr>
              <w:rPr>
                <w:rFonts w:eastAsia="SimSun"/>
              </w:rPr>
            </w:pPr>
            <w:r w:rsidRPr="00AC3044">
              <w:rPr>
                <w:rFonts w:eastAsia="SimSun"/>
              </w:rPr>
              <w:t>100 мг/кг</w:t>
            </w:r>
          </w:p>
        </w:tc>
        <w:tc>
          <w:tcPr>
            <w:tcW w:w="1701" w:type="dxa"/>
            <w:vAlign w:val="center"/>
          </w:tcPr>
          <w:p w14:paraId="7D1B78FC" w14:textId="77777777" w:rsidR="00304132" w:rsidRPr="00AC3044" w:rsidRDefault="00304132" w:rsidP="00CD5E09">
            <w:pPr>
              <w:rPr>
                <w:rFonts w:eastAsia="SimSun"/>
              </w:rPr>
            </w:pPr>
            <w:r w:rsidRPr="00AC3044">
              <w:rPr>
                <w:rFonts w:eastAsia="SimSun"/>
              </w:rPr>
              <w:t xml:space="preserve">В дни +3, +4 </w:t>
            </w:r>
          </w:p>
        </w:tc>
        <w:tc>
          <w:tcPr>
            <w:tcW w:w="2268" w:type="dxa"/>
            <w:vAlign w:val="center"/>
          </w:tcPr>
          <w:p w14:paraId="21FD4533" w14:textId="77777777" w:rsidR="00304132" w:rsidRPr="00AC3044" w:rsidRDefault="00304132" w:rsidP="00CD5E09">
            <w:pPr>
              <w:rPr>
                <w:rFonts w:eastAsia="SimSun"/>
              </w:rPr>
            </w:pPr>
            <w:r w:rsidRPr="00AC3044">
              <w:rPr>
                <w:rFonts w:eastAsia="SimSun"/>
              </w:rPr>
              <w:t>В/в, в течение 2 часов</w:t>
            </w:r>
          </w:p>
        </w:tc>
      </w:tr>
      <w:tr w:rsidR="00304132" w:rsidRPr="00AC3044" w14:paraId="2A76609E" w14:textId="77777777" w:rsidTr="00CD5E09">
        <w:trPr>
          <w:cantSplit/>
          <w:trHeight w:val="550"/>
        </w:trPr>
        <w:tc>
          <w:tcPr>
            <w:tcW w:w="817" w:type="dxa"/>
            <w:vMerge/>
            <w:textDirection w:val="btLr"/>
            <w:vAlign w:val="center"/>
          </w:tcPr>
          <w:p w14:paraId="1DF99547" w14:textId="77777777" w:rsidR="00304132" w:rsidRPr="00AC3044" w:rsidRDefault="00304132" w:rsidP="00CD5E09">
            <w:pPr>
              <w:rPr>
                <w:rFonts w:eastAsia="SimSun"/>
              </w:rPr>
            </w:pPr>
          </w:p>
        </w:tc>
        <w:tc>
          <w:tcPr>
            <w:tcW w:w="1701" w:type="dxa"/>
            <w:vAlign w:val="center"/>
          </w:tcPr>
          <w:p w14:paraId="0AE08D1A" w14:textId="77777777" w:rsidR="00304132" w:rsidRPr="00AC3044" w:rsidRDefault="00304132" w:rsidP="00CD5E09">
            <w:pPr>
              <w:rPr>
                <w:rFonts w:eastAsia="SimSun"/>
              </w:rPr>
            </w:pPr>
            <w:r w:rsidRPr="00AC3044">
              <w:rPr>
                <w:rFonts w:eastAsia="SimSun"/>
              </w:rPr>
              <w:t>Микофенолата мофетил</w:t>
            </w:r>
          </w:p>
        </w:tc>
        <w:tc>
          <w:tcPr>
            <w:tcW w:w="1559" w:type="dxa"/>
            <w:vAlign w:val="center"/>
          </w:tcPr>
          <w:p w14:paraId="6391DCC9" w14:textId="77777777" w:rsidR="00304132" w:rsidRPr="00AC3044" w:rsidRDefault="00304132" w:rsidP="00CD5E09">
            <w:pPr>
              <w:rPr>
                <w:rFonts w:eastAsia="SimSun"/>
              </w:rPr>
            </w:pPr>
            <w:r w:rsidRPr="00AC3044">
              <w:rPr>
                <w:rFonts w:eastAsia="SimSun"/>
              </w:rPr>
              <w:t xml:space="preserve">30 мг/кг </w:t>
            </w:r>
          </w:p>
        </w:tc>
        <w:tc>
          <w:tcPr>
            <w:tcW w:w="1418" w:type="dxa"/>
            <w:vAlign w:val="center"/>
          </w:tcPr>
          <w:p w14:paraId="6DCFE9A7" w14:textId="77777777" w:rsidR="00304132" w:rsidRPr="00AC3044" w:rsidRDefault="00304132" w:rsidP="00CD5E09">
            <w:pPr>
              <w:rPr>
                <w:rFonts w:eastAsia="SimSun"/>
              </w:rPr>
            </w:pPr>
            <w:r w:rsidRPr="00AC3044">
              <w:rPr>
                <w:rFonts w:eastAsia="SimSun"/>
              </w:rPr>
              <w:t>–</w:t>
            </w:r>
          </w:p>
        </w:tc>
        <w:tc>
          <w:tcPr>
            <w:tcW w:w="1701" w:type="dxa"/>
            <w:vAlign w:val="center"/>
          </w:tcPr>
          <w:p w14:paraId="5C439551" w14:textId="77777777" w:rsidR="00304132" w:rsidRPr="00AC3044" w:rsidRDefault="00304132" w:rsidP="00CD5E09">
            <w:pPr>
              <w:rPr>
                <w:rFonts w:eastAsia="SimSun"/>
              </w:rPr>
            </w:pPr>
            <w:r w:rsidRPr="00AC3044">
              <w:rPr>
                <w:rFonts w:eastAsia="SimSun"/>
              </w:rPr>
              <w:t xml:space="preserve">С +5 дня по +35 день </w:t>
            </w:r>
          </w:p>
        </w:tc>
        <w:tc>
          <w:tcPr>
            <w:tcW w:w="2268" w:type="dxa"/>
            <w:vAlign w:val="center"/>
          </w:tcPr>
          <w:p w14:paraId="27C422C3" w14:textId="77777777" w:rsidR="00304132" w:rsidRPr="00AC3044" w:rsidRDefault="00304132" w:rsidP="00CD5E09">
            <w:pPr>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 xml:space="preserve">г/сут).  </w:t>
            </w:r>
          </w:p>
        </w:tc>
      </w:tr>
    </w:tbl>
    <w:p w14:paraId="1A6555B5" w14:textId="77777777" w:rsidR="00304132" w:rsidRPr="0074195F" w:rsidRDefault="00304132" w:rsidP="00304132">
      <w:pPr>
        <w:rPr>
          <w:rFonts w:eastAsia="SimSun"/>
        </w:rPr>
      </w:pPr>
      <w:bookmarkStart w:id="356" w:name="_Toc44401216"/>
    </w:p>
    <w:p w14:paraId="3C95BF18" w14:textId="77777777" w:rsidR="00304132" w:rsidRPr="00042499" w:rsidRDefault="00304132" w:rsidP="00304132">
      <w:pPr>
        <w:rPr>
          <w:rFonts w:eastAsia="SimSun"/>
          <w:lang w:val="en-US"/>
        </w:rPr>
      </w:pPr>
      <w:r>
        <w:rPr>
          <w:rFonts w:eastAsia="SimSun"/>
        </w:rPr>
        <w:t>Таблица</w:t>
      </w:r>
      <w:r w:rsidRPr="00042499">
        <w:rPr>
          <w:rFonts w:eastAsia="SimSun"/>
          <w:lang w:val="en-US"/>
        </w:rPr>
        <w:t xml:space="preserve"> </w:t>
      </w:r>
      <w:r>
        <w:rPr>
          <w:rFonts w:eastAsia="SimSun"/>
          <w:lang w:val="en-US"/>
        </w:rPr>
        <w:t>5.</w:t>
      </w:r>
      <w:r w:rsidRPr="00042499">
        <w:rPr>
          <w:rFonts w:eastAsia="SimSun"/>
          <w:lang w:val="en-US"/>
        </w:rPr>
        <w:t xml:space="preserve">2.2.16  – </w:t>
      </w:r>
      <w:r w:rsidRPr="00C07B2E">
        <w:rPr>
          <w:rFonts w:eastAsia="SimSun"/>
        </w:rPr>
        <w:t>Flu</w:t>
      </w:r>
      <w:r w:rsidRPr="00042499">
        <w:rPr>
          <w:rFonts w:eastAsia="SimSun"/>
          <w:lang w:val="en-US"/>
        </w:rPr>
        <w:t>90+</w:t>
      </w:r>
      <w:r w:rsidRPr="00C07B2E">
        <w:rPr>
          <w:rFonts w:eastAsia="SimSun"/>
        </w:rPr>
        <w:t>Benda</w:t>
      </w:r>
      <w:r w:rsidRPr="00042499">
        <w:rPr>
          <w:rFonts w:eastAsia="SimSun"/>
          <w:lang w:val="en-US"/>
        </w:rPr>
        <w:t xml:space="preserve"> / </w:t>
      </w:r>
      <w:r w:rsidRPr="00C07B2E">
        <w:rPr>
          <w:rFonts w:eastAsia="SimSun"/>
        </w:rPr>
        <w:t>PT</w:t>
      </w:r>
      <w:r w:rsidRPr="00042499">
        <w:rPr>
          <w:rFonts w:eastAsia="SimSun"/>
          <w:lang w:val="en-US"/>
        </w:rPr>
        <w:t>-</w:t>
      </w:r>
      <w:r w:rsidRPr="00C07B2E">
        <w:rPr>
          <w:rFonts w:eastAsia="SimSun"/>
        </w:rPr>
        <w:t>Cy</w:t>
      </w:r>
      <w:bookmarkEnd w:id="356"/>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1701"/>
        <w:gridCol w:w="1559"/>
        <w:gridCol w:w="1418"/>
        <w:gridCol w:w="1701"/>
        <w:gridCol w:w="2268"/>
      </w:tblGrid>
      <w:tr w:rsidR="00304132" w:rsidRPr="00AC3044" w14:paraId="57A81987" w14:textId="77777777" w:rsidTr="00CD5E09">
        <w:trPr>
          <w:cantSplit/>
          <w:trHeight w:val="20"/>
          <w:tblHeader/>
        </w:trPr>
        <w:tc>
          <w:tcPr>
            <w:tcW w:w="817" w:type="dxa"/>
            <w:vAlign w:val="center"/>
          </w:tcPr>
          <w:p w14:paraId="57D0DA5A" w14:textId="77777777" w:rsidR="00304132" w:rsidRPr="00942A16" w:rsidRDefault="00304132" w:rsidP="00CD5E09">
            <w:pPr>
              <w:rPr>
                <w:rFonts w:eastAsia="SimSun"/>
                <w:lang w:val="en-US"/>
              </w:rPr>
            </w:pPr>
          </w:p>
        </w:tc>
        <w:tc>
          <w:tcPr>
            <w:tcW w:w="1701" w:type="dxa"/>
            <w:vAlign w:val="center"/>
          </w:tcPr>
          <w:p w14:paraId="02559859" w14:textId="77777777" w:rsidR="00304132" w:rsidRPr="00AC3044" w:rsidRDefault="00304132" w:rsidP="00CD5E09">
            <w:pPr>
              <w:rPr>
                <w:rFonts w:eastAsia="SimSun"/>
              </w:rPr>
            </w:pPr>
            <w:r w:rsidRPr="00AC3044">
              <w:rPr>
                <w:rFonts w:eastAsia="SimSun"/>
              </w:rPr>
              <w:t>Препарат</w:t>
            </w:r>
          </w:p>
        </w:tc>
        <w:tc>
          <w:tcPr>
            <w:tcW w:w="1559" w:type="dxa"/>
            <w:vAlign w:val="center"/>
          </w:tcPr>
          <w:p w14:paraId="28C24628" w14:textId="77777777" w:rsidR="00304132" w:rsidRPr="00AC3044" w:rsidRDefault="00304132" w:rsidP="00CD5E09">
            <w:pPr>
              <w:rPr>
                <w:rFonts w:eastAsia="SimSun"/>
              </w:rPr>
            </w:pPr>
            <w:r w:rsidRPr="00AC3044">
              <w:rPr>
                <w:rFonts w:eastAsia="SimSun"/>
              </w:rPr>
              <w:t>Суточная доза</w:t>
            </w:r>
          </w:p>
        </w:tc>
        <w:tc>
          <w:tcPr>
            <w:tcW w:w="1418" w:type="dxa"/>
            <w:vAlign w:val="center"/>
          </w:tcPr>
          <w:p w14:paraId="400A2C5F" w14:textId="77777777" w:rsidR="00304132" w:rsidRPr="00AC3044" w:rsidRDefault="00304132" w:rsidP="00CD5E09">
            <w:pPr>
              <w:rPr>
                <w:rFonts w:eastAsia="SimSun"/>
              </w:rPr>
            </w:pPr>
            <w:r w:rsidRPr="00AC3044">
              <w:rPr>
                <w:rFonts w:eastAsia="SimSun"/>
              </w:rPr>
              <w:t>Курсовая доза</w:t>
            </w:r>
          </w:p>
        </w:tc>
        <w:tc>
          <w:tcPr>
            <w:tcW w:w="1701" w:type="dxa"/>
            <w:vAlign w:val="center"/>
          </w:tcPr>
          <w:p w14:paraId="61552010" w14:textId="77777777" w:rsidR="00304132" w:rsidRPr="00AC3044" w:rsidRDefault="00304132" w:rsidP="00CD5E09">
            <w:pPr>
              <w:rPr>
                <w:rFonts w:eastAsia="SimSun"/>
              </w:rPr>
            </w:pPr>
            <w:r w:rsidRPr="00AC3044">
              <w:rPr>
                <w:rFonts w:eastAsia="SimSun"/>
              </w:rPr>
              <w:t>Дни введения</w:t>
            </w:r>
          </w:p>
        </w:tc>
        <w:tc>
          <w:tcPr>
            <w:tcW w:w="2268" w:type="dxa"/>
            <w:vAlign w:val="center"/>
          </w:tcPr>
          <w:p w14:paraId="19BBE0B4" w14:textId="77777777" w:rsidR="00304132" w:rsidRPr="00AC3044" w:rsidRDefault="00304132" w:rsidP="00CD5E09">
            <w:pPr>
              <w:rPr>
                <w:rFonts w:eastAsia="SimSun"/>
              </w:rPr>
            </w:pPr>
            <w:r w:rsidRPr="00AC3044">
              <w:rPr>
                <w:rFonts w:eastAsia="SimSun"/>
              </w:rPr>
              <w:t>Порядок введения</w:t>
            </w:r>
          </w:p>
        </w:tc>
      </w:tr>
      <w:tr w:rsidR="00304132" w:rsidRPr="00AC3044" w14:paraId="745735D2" w14:textId="77777777" w:rsidTr="00CD5E09">
        <w:trPr>
          <w:cantSplit/>
          <w:trHeight w:val="20"/>
        </w:trPr>
        <w:tc>
          <w:tcPr>
            <w:tcW w:w="817" w:type="dxa"/>
            <w:vMerge w:val="restart"/>
            <w:textDirection w:val="btLr"/>
            <w:vAlign w:val="center"/>
          </w:tcPr>
          <w:p w14:paraId="66E83C76" w14:textId="77777777" w:rsidR="00304132" w:rsidRPr="00AC3044" w:rsidRDefault="00304132" w:rsidP="00CD5E09">
            <w:pPr>
              <w:rPr>
                <w:rFonts w:eastAsia="SimSun"/>
              </w:rPr>
            </w:pPr>
            <w:r w:rsidRPr="00AC3044">
              <w:rPr>
                <w:rFonts w:eastAsia="SimSun"/>
              </w:rPr>
              <w:t>Кондиционирование</w:t>
            </w:r>
          </w:p>
        </w:tc>
        <w:tc>
          <w:tcPr>
            <w:tcW w:w="1701" w:type="dxa"/>
            <w:vAlign w:val="center"/>
          </w:tcPr>
          <w:p w14:paraId="766474B3" w14:textId="77777777" w:rsidR="00304132" w:rsidRPr="00AC3044" w:rsidRDefault="00304132" w:rsidP="00CD5E09">
            <w:pPr>
              <w:rPr>
                <w:rFonts w:eastAsia="SimSun"/>
              </w:rPr>
            </w:pPr>
            <w:r w:rsidRPr="00AC3044">
              <w:rPr>
                <w:rFonts w:eastAsia="SimSun"/>
              </w:rPr>
              <w:t xml:space="preserve">Флударабин </w:t>
            </w:r>
          </w:p>
        </w:tc>
        <w:tc>
          <w:tcPr>
            <w:tcW w:w="1559" w:type="dxa"/>
            <w:vAlign w:val="center"/>
          </w:tcPr>
          <w:p w14:paraId="06DDDE35" w14:textId="77777777" w:rsidR="00304132" w:rsidRPr="00AC3044" w:rsidRDefault="00304132" w:rsidP="00CD5E09">
            <w:pPr>
              <w:rPr>
                <w:rFonts w:eastAsia="SimSun"/>
              </w:rPr>
            </w:pPr>
            <w:r w:rsidRPr="00AC3044">
              <w:rPr>
                <w:rFonts w:eastAsia="SimSun"/>
              </w:rPr>
              <w:t>30 мг/м</w:t>
            </w:r>
            <w:r w:rsidRPr="0074195F">
              <w:rPr>
                <w:rFonts w:eastAsia="SimSun"/>
                <w:vertAlign w:val="superscript"/>
              </w:rPr>
              <w:t>2</w:t>
            </w:r>
          </w:p>
        </w:tc>
        <w:tc>
          <w:tcPr>
            <w:tcW w:w="1418" w:type="dxa"/>
            <w:vAlign w:val="center"/>
          </w:tcPr>
          <w:p w14:paraId="08A24F61" w14:textId="77777777" w:rsidR="00304132" w:rsidRPr="00AC3044" w:rsidRDefault="00304132" w:rsidP="00CD5E09">
            <w:pPr>
              <w:rPr>
                <w:rFonts w:eastAsia="SimSun"/>
              </w:rPr>
            </w:pPr>
            <w:r w:rsidRPr="00AC3044">
              <w:rPr>
                <w:rFonts w:eastAsia="SimSun"/>
              </w:rPr>
              <w:t>90 мг/м</w:t>
            </w:r>
            <w:r w:rsidRPr="0074195F">
              <w:rPr>
                <w:rFonts w:eastAsia="SimSun"/>
                <w:vertAlign w:val="superscript"/>
              </w:rPr>
              <w:t>2</w:t>
            </w:r>
          </w:p>
        </w:tc>
        <w:tc>
          <w:tcPr>
            <w:tcW w:w="1701" w:type="dxa"/>
            <w:vAlign w:val="center"/>
          </w:tcPr>
          <w:p w14:paraId="55CBF196" w14:textId="77777777" w:rsidR="00304132" w:rsidRPr="00AC3044" w:rsidRDefault="00304132" w:rsidP="00CD5E09">
            <w:pPr>
              <w:rPr>
                <w:rFonts w:eastAsia="SimSun"/>
              </w:rPr>
            </w:pPr>
            <w:r w:rsidRPr="00AC3044">
              <w:rPr>
                <w:rFonts w:eastAsia="SimSun"/>
              </w:rPr>
              <w:t>С -4 дня по -2 день</w:t>
            </w:r>
          </w:p>
        </w:tc>
        <w:tc>
          <w:tcPr>
            <w:tcW w:w="2268" w:type="dxa"/>
            <w:vAlign w:val="center"/>
          </w:tcPr>
          <w:p w14:paraId="0BFFEDEC" w14:textId="77777777" w:rsidR="00304132" w:rsidRPr="00AC3044" w:rsidRDefault="00304132" w:rsidP="00CD5E09">
            <w:pPr>
              <w:rPr>
                <w:rFonts w:eastAsia="SimSun"/>
              </w:rPr>
            </w:pPr>
            <w:r w:rsidRPr="00AC3044">
              <w:rPr>
                <w:rFonts w:eastAsia="SimSun"/>
              </w:rPr>
              <w:t>В/в, в течение 30 -60 мин</w:t>
            </w:r>
          </w:p>
        </w:tc>
      </w:tr>
      <w:tr w:rsidR="00304132" w:rsidRPr="00AC3044" w14:paraId="470143D3" w14:textId="77777777" w:rsidTr="00CD5E09">
        <w:trPr>
          <w:cantSplit/>
          <w:trHeight w:val="1207"/>
        </w:trPr>
        <w:tc>
          <w:tcPr>
            <w:tcW w:w="817" w:type="dxa"/>
            <w:vMerge/>
            <w:vAlign w:val="center"/>
          </w:tcPr>
          <w:p w14:paraId="50B8B73E" w14:textId="77777777" w:rsidR="00304132" w:rsidRPr="00AC3044" w:rsidRDefault="00304132" w:rsidP="00CD5E09">
            <w:pPr>
              <w:rPr>
                <w:rFonts w:eastAsia="SimSun"/>
              </w:rPr>
            </w:pPr>
          </w:p>
        </w:tc>
        <w:tc>
          <w:tcPr>
            <w:tcW w:w="1701" w:type="dxa"/>
            <w:vAlign w:val="center"/>
          </w:tcPr>
          <w:p w14:paraId="595AAC66" w14:textId="77777777" w:rsidR="00304132" w:rsidRPr="00AC3044" w:rsidRDefault="00304132" w:rsidP="00CD5E09">
            <w:pPr>
              <w:rPr>
                <w:rFonts w:eastAsia="SimSun"/>
              </w:rPr>
            </w:pPr>
            <w:r w:rsidRPr="00AC3044">
              <w:rPr>
                <w:rFonts w:eastAsia="SimSun"/>
              </w:rPr>
              <w:t>Бендамустин</w:t>
            </w:r>
          </w:p>
        </w:tc>
        <w:tc>
          <w:tcPr>
            <w:tcW w:w="1559" w:type="dxa"/>
            <w:vAlign w:val="center"/>
          </w:tcPr>
          <w:p w14:paraId="0694ADF5" w14:textId="77777777" w:rsidR="00304132" w:rsidRPr="00AC3044" w:rsidRDefault="00304132" w:rsidP="00CD5E09">
            <w:pPr>
              <w:rPr>
                <w:rFonts w:eastAsia="SimSun"/>
              </w:rPr>
            </w:pPr>
            <w:r w:rsidRPr="00AC3044">
              <w:rPr>
                <w:rFonts w:eastAsia="SimSun"/>
              </w:rPr>
              <w:t>130 мг/м</w:t>
            </w:r>
            <w:r w:rsidRPr="0074195F">
              <w:rPr>
                <w:rFonts w:eastAsia="SimSun"/>
                <w:vertAlign w:val="superscript"/>
              </w:rPr>
              <w:t>2</w:t>
            </w:r>
            <w:r w:rsidRPr="00AC3044">
              <w:rPr>
                <w:rFonts w:eastAsia="SimSun"/>
              </w:rPr>
              <w:t xml:space="preserve"> </w:t>
            </w:r>
          </w:p>
        </w:tc>
        <w:tc>
          <w:tcPr>
            <w:tcW w:w="1418" w:type="dxa"/>
            <w:vAlign w:val="center"/>
          </w:tcPr>
          <w:p w14:paraId="10E24EDF" w14:textId="77777777" w:rsidR="00304132" w:rsidRPr="00AC3044" w:rsidRDefault="00304132" w:rsidP="00CD5E09">
            <w:pPr>
              <w:rPr>
                <w:rFonts w:eastAsia="SimSun"/>
              </w:rPr>
            </w:pPr>
            <w:r w:rsidRPr="00AC3044">
              <w:rPr>
                <w:rFonts w:eastAsia="SimSun"/>
              </w:rPr>
              <w:t>10 мг/м</w:t>
            </w:r>
            <w:r w:rsidRPr="0074195F">
              <w:rPr>
                <w:rFonts w:eastAsia="SimSun"/>
                <w:vertAlign w:val="superscript"/>
              </w:rPr>
              <w:t>2</w:t>
            </w:r>
          </w:p>
        </w:tc>
        <w:tc>
          <w:tcPr>
            <w:tcW w:w="1701" w:type="dxa"/>
            <w:vAlign w:val="center"/>
          </w:tcPr>
          <w:p w14:paraId="54F883B2" w14:textId="77777777" w:rsidR="00304132" w:rsidRPr="00AC3044" w:rsidRDefault="00304132" w:rsidP="00CD5E09">
            <w:pPr>
              <w:rPr>
                <w:rFonts w:eastAsia="SimSun"/>
              </w:rPr>
            </w:pPr>
            <w:r w:rsidRPr="00AC3044">
              <w:rPr>
                <w:rFonts w:eastAsia="SimSun"/>
              </w:rPr>
              <w:t xml:space="preserve">  С -4 дня по -2 день</w:t>
            </w:r>
          </w:p>
        </w:tc>
        <w:tc>
          <w:tcPr>
            <w:tcW w:w="2268" w:type="dxa"/>
            <w:vAlign w:val="center"/>
          </w:tcPr>
          <w:p w14:paraId="5CE136D4" w14:textId="77777777" w:rsidR="00304132" w:rsidRPr="00AC3044" w:rsidRDefault="00304132" w:rsidP="00CD5E09">
            <w:pPr>
              <w:rPr>
                <w:rFonts w:eastAsia="SimSun"/>
              </w:rPr>
            </w:pPr>
            <w:r w:rsidRPr="00AC3044">
              <w:rPr>
                <w:rFonts w:eastAsia="SimSun"/>
              </w:rPr>
              <w:t>В/в, в течение 1 часа</w:t>
            </w:r>
          </w:p>
        </w:tc>
      </w:tr>
      <w:tr w:rsidR="00304132" w:rsidRPr="00AC3044" w14:paraId="54039238" w14:textId="77777777" w:rsidTr="00CD5E09">
        <w:trPr>
          <w:cantSplit/>
          <w:trHeight w:val="958"/>
        </w:trPr>
        <w:tc>
          <w:tcPr>
            <w:tcW w:w="817" w:type="dxa"/>
            <w:textDirection w:val="btLr"/>
            <w:vAlign w:val="center"/>
          </w:tcPr>
          <w:p w14:paraId="1693C335" w14:textId="77777777" w:rsidR="00304132" w:rsidRPr="00AC3044" w:rsidRDefault="00304132" w:rsidP="00CD5E09">
            <w:pPr>
              <w:rPr>
                <w:rFonts w:eastAsia="SimSun"/>
              </w:rPr>
            </w:pPr>
            <w:r w:rsidRPr="00AC3044">
              <w:rPr>
                <w:rFonts w:eastAsia="SimSun"/>
              </w:rPr>
              <w:t>Профилактика РТПХ</w:t>
            </w:r>
          </w:p>
        </w:tc>
        <w:tc>
          <w:tcPr>
            <w:tcW w:w="1701" w:type="dxa"/>
            <w:vAlign w:val="center"/>
          </w:tcPr>
          <w:p w14:paraId="3DB47BA8" w14:textId="77777777" w:rsidR="00304132" w:rsidRPr="00AC3044" w:rsidRDefault="00304132" w:rsidP="00CD5E09">
            <w:pPr>
              <w:rPr>
                <w:rFonts w:eastAsia="SimSun"/>
              </w:rPr>
            </w:pPr>
            <w:r w:rsidRPr="00AC3044">
              <w:rPr>
                <w:rFonts w:eastAsia="SimSun"/>
              </w:rPr>
              <w:t>Циклофосфамид</w:t>
            </w:r>
          </w:p>
        </w:tc>
        <w:tc>
          <w:tcPr>
            <w:tcW w:w="1559" w:type="dxa"/>
            <w:vAlign w:val="center"/>
          </w:tcPr>
          <w:p w14:paraId="4FF8A6BC" w14:textId="77777777" w:rsidR="00304132" w:rsidRPr="00AC3044" w:rsidRDefault="00304132" w:rsidP="00CD5E09">
            <w:pPr>
              <w:rPr>
                <w:rFonts w:eastAsia="SimSun"/>
              </w:rPr>
            </w:pPr>
            <w:r w:rsidRPr="00AC3044">
              <w:rPr>
                <w:rFonts w:eastAsia="SimSun"/>
              </w:rPr>
              <w:t>50 мг/кг</w:t>
            </w:r>
          </w:p>
        </w:tc>
        <w:tc>
          <w:tcPr>
            <w:tcW w:w="1418" w:type="dxa"/>
            <w:vAlign w:val="center"/>
          </w:tcPr>
          <w:p w14:paraId="112157D0" w14:textId="77777777" w:rsidR="00304132" w:rsidRPr="00AC3044" w:rsidRDefault="00304132" w:rsidP="00CD5E09">
            <w:pPr>
              <w:rPr>
                <w:rFonts w:eastAsia="SimSun"/>
              </w:rPr>
            </w:pPr>
            <w:r w:rsidRPr="00AC3044">
              <w:rPr>
                <w:rFonts w:eastAsia="SimSun"/>
              </w:rPr>
              <w:t>100 мг/кг</w:t>
            </w:r>
          </w:p>
        </w:tc>
        <w:tc>
          <w:tcPr>
            <w:tcW w:w="1701" w:type="dxa"/>
            <w:vAlign w:val="center"/>
          </w:tcPr>
          <w:p w14:paraId="47326E0D" w14:textId="77777777" w:rsidR="00304132" w:rsidRPr="00AC3044" w:rsidRDefault="00304132" w:rsidP="00CD5E09">
            <w:pPr>
              <w:rPr>
                <w:rFonts w:eastAsia="SimSun"/>
              </w:rPr>
            </w:pPr>
            <w:r w:rsidRPr="00AC3044">
              <w:rPr>
                <w:rFonts w:eastAsia="SimSun"/>
              </w:rPr>
              <w:t xml:space="preserve">В дни +3, +4 </w:t>
            </w:r>
          </w:p>
        </w:tc>
        <w:tc>
          <w:tcPr>
            <w:tcW w:w="2268" w:type="dxa"/>
            <w:vAlign w:val="center"/>
          </w:tcPr>
          <w:p w14:paraId="74B4B7FE" w14:textId="77777777" w:rsidR="00304132" w:rsidRPr="00AC3044" w:rsidRDefault="00304132" w:rsidP="00CD5E09">
            <w:pPr>
              <w:rPr>
                <w:rFonts w:eastAsia="SimSun"/>
              </w:rPr>
            </w:pPr>
            <w:r w:rsidRPr="00AC3044">
              <w:rPr>
                <w:rFonts w:eastAsia="SimSun"/>
              </w:rPr>
              <w:t>В/в, в течение 2 часов</w:t>
            </w:r>
          </w:p>
        </w:tc>
      </w:tr>
    </w:tbl>
    <w:p w14:paraId="280D4D6E" w14:textId="77777777" w:rsidR="00304132" w:rsidRDefault="00304132" w:rsidP="00304132">
      <w:pPr>
        <w:rPr>
          <w:rFonts w:eastAsia="SimSun"/>
        </w:rPr>
      </w:pPr>
      <w:bookmarkStart w:id="357" w:name="_Toc44401217"/>
    </w:p>
    <w:p w14:paraId="21603BB2" w14:textId="77777777" w:rsidR="00304132" w:rsidRPr="00042499" w:rsidRDefault="00304132" w:rsidP="00304132">
      <w:pPr>
        <w:rPr>
          <w:rFonts w:eastAsia="SimSun"/>
          <w:lang w:val="en-US"/>
        </w:rPr>
      </w:pPr>
      <w:r>
        <w:rPr>
          <w:rFonts w:eastAsia="SimSun"/>
        </w:rPr>
        <w:t>Таблица</w:t>
      </w:r>
      <w:r w:rsidRPr="00042499">
        <w:rPr>
          <w:rFonts w:eastAsia="SimSun"/>
          <w:lang w:val="en-US"/>
        </w:rPr>
        <w:t xml:space="preserve"> </w:t>
      </w:r>
      <w:r>
        <w:rPr>
          <w:rFonts w:eastAsia="SimSun"/>
          <w:lang w:val="en-US"/>
        </w:rPr>
        <w:t>5.</w:t>
      </w:r>
      <w:r w:rsidRPr="00042499">
        <w:rPr>
          <w:rFonts w:eastAsia="SimSun"/>
          <w:lang w:val="en-US"/>
        </w:rPr>
        <w:t xml:space="preserve">2.2.17  – </w:t>
      </w:r>
      <w:r w:rsidRPr="00657BC2">
        <w:rPr>
          <w:rFonts w:eastAsia="SimSun"/>
          <w:lang w:val="en-US"/>
        </w:rPr>
        <w:t>Flu</w:t>
      </w:r>
      <w:r w:rsidRPr="00042499">
        <w:rPr>
          <w:rFonts w:eastAsia="SimSun"/>
          <w:lang w:val="en-US"/>
        </w:rPr>
        <w:t>150+</w:t>
      </w:r>
      <w:r w:rsidRPr="00657BC2">
        <w:rPr>
          <w:rFonts w:eastAsia="SimSun"/>
          <w:lang w:val="en-US"/>
        </w:rPr>
        <w:t>Thio</w:t>
      </w:r>
      <w:r w:rsidRPr="00042499">
        <w:rPr>
          <w:rFonts w:eastAsia="SimSun"/>
          <w:lang w:val="en-US"/>
        </w:rPr>
        <w:t xml:space="preserve"> / </w:t>
      </w:r>
      <w:r w:rsidRPr="00657BC2">
        <w:rPr>
          <w:rFonts w:eastAsia="SimSun"/>
          <w:lang w:val="en-US"/>
        </w:rPr>
        <w:t>hATG</w:t>
      </w:r>
      <w:r w:rsidRPr="00042499">
        <w:rPr>
          <w:rFonts w:eastAsia="SimSun"/>
          <w:lang w:val="en-US"/>
        </w:rPr>
        <w:t>+</w:t>
      </w:r>
      <w:r w:rsidRPr="00657BC2">
        <w:rPr>
          <w:rFonts w:eastAsia="SimSun"/>
          <w:lang w:val="en-US"/>
        </w:rPr>
        <w:t>Tx</w:t>
      </w:r>
      <w:r w:rsidRPr="00042499">
        <w:rPr>
          <w:rFonts w:eastAsia="SimSun"/>
          <w:lang w:val="en-US"/>
        </w:rPr>
        <w:t>+</w:t>
      </w:r>
      <w:r w:rsidRPr="00657BC2">
        <w:rPr>
          <w:rFonts w:eastAsia="SimSun"/>
          <w:lang w:val="en-US"/>
        </w:rPr>
        <w:t>MMF</w:t>
      </w:r>
      <w:r w:rsidRPr="00042499">
        <w:rPr>
          <w:rFonts w:eastAsia="SimSun"/>
          <w:lang w:val="en-US"/>
        </w:rPr>
        <w:t>30</w:t>
      </w:r>
      <w:bookmarkEnd w:id="357"/>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1701"/>
        <w:gridCol w:w="1559"/>
        <w:gridCol w:w="1418"/>
        <w:gridCol w:w="1701"/>
        <w:gridCol w:w="2268"/>
      </w:tblGrid>
      <w:tr w:rsidR="00304132" w:rsidRPr="00AC3044" w14:paraId="47C833DC" w14:textId="77777777" w:rsidTr="00CD5E09">
        <w:trPr>
          <w:cantSplit/>
          <w:trHeight w:val="20"/>
          <w:tblHeader/>
        </w:trPr>
        <w:tc>
          <w:tcPr>
            <w:tcW w:w="817" w:type="dxa"/>
            <w:vAlign w:val="center"/>
          </w:tcPr>
          <w:p w14:paraId="03DEE120" w14:textId="77777777" w:rsidR="00304132" w:rsidRPr="00942A16" w:rsidRDefault="00304132" w:rsidP="00CD5E09">
            <w:pPr>
              <w:rPr>
                <w:rFonts w:eastAsia="SimSun"/>
                <w:lang w:val="en-US"/>
              </w:rPr>
            </w:pPr>
          </w:p>
        </w:tc>
        <w:tc>
          <w:tcPr>
            <w:tcW w:w="1701" w:type="dxa"/>
            <w:vAlign w:val="center"/>
          </w:tcPr>
          <w:p w14:paraId="186F4AB7" w14:textId="77777777" w:rsidR="00304132" w:rsidRPr="00AC3044" w:rsidRDefault="00304132" w:rsidP="00CD5E09">
            <w:pPr>
              <w:rPr>
                <w:rFonts w:eastAsia="SimSun"/>
              </w:rPr>
            </w:pPr>
            <w:r w:rsidRPr="00AC3044">
              <w:rPr>
                <w:rFonts w:eastAsia="SimSun"/>
              </w:rPr>
              <w:t>Препарат</w:t>
            </w:r>
          </w:p>
        </w:tc>
        <w:tc>
          <w:tcPr>
            <w:tcW w:w="1559" w:type="dxa"/>
            <w:vAlign w:val="center"/>
          </w:tcPr>
          <w:p w14:paraId="009209E7" w14:textId="77777777" w:rsidR="00304132" w:rsidRPr="00AC3044" w:rsidRDefault="00304132" w:rsidP="00CD5E09">
            <w:pPr>
              <w:rPr>
                <w:rFonts w:eastAsia="SimSun"/>
              </w:rPr>
            </w:pPr>
            <w:r w:rsidRPr="00AC3044">
              <w:rPr>
                <w:rFonts w:eastAsia="SimSun"/>
              </w:rPr>
              <w:t>Суточная доза</w:t>
            </w:r>
          </w:p>
        </w:tc>
        <w:tc>
          <w:tcPr>
            <w:tcW w:w="1418" w:type="dxa"/>
            <w:vAlign w:val="center"/>
          </w:tcPr>
          <w:p w14:paraId="7D9297F7" w14:textId="77777777" w:rsidR="00304132" w:rsidRPr="00AC3044" w:rsidRDefault="00304132" w:rsidP="00CD5E09">
            <w:pPr>
              <w:rPr>
                <w:rFonts w:eastAsia="SimSun"/>
              </w:rPr>
            </w:pPr>
            <w:r w:rsidRPr="00AC3044">
              <w:rPr>
                <w:rFonts w:eastAsia="SimSun"/>
              </w:rPr>
              <w:t>Курсовая доза</w:t>
            </w:r>
          </w:p>
        </w:tc>
        <w:tc>
          <w:tcPr>
            <w:tcW w:w="1701" w:type="dxa"/>
            <w:vAlign w:val="center"/>
          </w:tcPr>
          <w:p w14:paraId="7BDCCFA5" w14:textId="77777777" w:rsidR="00304132" w:rsidRPr="00AC3044" w:rsidRDefault="00304132" w:rsidP="00CD5E09">
            <w:pPr>
              <w:rPr>
                <w:rFonts w:eastAsia="SimSun"/>
              </w:rPr>
            </w:pPr>
            <w:r w:rsidRPr="00AC3044">
              <w:rPr>
                <w:rFonts w:eastAsia="SimSun"/>
              </w:rPr>
              <w:t>Дни введения</w:t>
            </w:r>
          </w:p>
        </w:tc>
        <w:tc>
          <w:tcPr>
            <w:tcW w:w="2268" w:type="dxa"/>
            <w:vAlign w:val="center"/>
          </w:tcPr>
          <w:p w14:paraId="6116EE7E" w14:textId="77777777" w:rsidR="00304132" w:rsidRPr="00AC3044" w:rsidRDefault="00304132" w:rsidP="00CD5E09">
            <w:pPr>
              <w:rPr>
                <w:rFonts w:eastAsia="SimSun"/>
              </w:rPr>
            </w:pPr>
            <w:r w:rsidRPr="00AC3044">
              <w:rPr>
                <w:rFonts w:eastAsia="SimSun"/>
              </w:rPr>
              <w:t>Порядок введения</w:t>
            </w:r>
          </w:p>
        </w:tc>
      </w:tr>
      <w:tr w:rsidR="00304132" w:rsidRPr="00AC3044" w14:paraId="2A113E15" w14:textId="77777777" w:rsidTr="00CD5E09">
        <w:trPr>
          <w:cantSplit/>
          <w:trHeight w:val="20"/>
        </w:trPr>
        <w:tc>
          <w:tcPr>
            <w:tcW w:w="817" w:type="dxa"/>
            <w:vMerge w:val="restart"/>
            <w:textDirection w:val="btLr"/>
            <w:vAlign w:val="center"/>
          </w:tcPr>
          <w:p w14:paraId="667A61D3" w14:textId="77777777" w:rsidR="00304132" w:rsidRPr="00AC3044" w:rsidRDefault="00304132" w:rsidP="00CD5E09">
            <w:pPr>
              <w:rPr>
                <w:rFonts w:eastAsia="SimSun"/>
              </w:rPr>
            </w:pPr>
            <w:r w:rsidRPr="00AC3044">
              <w:rPr>
                <w:rFonts w:eastAsia="SimSun"/>
              </w:rPr>
              <w:t>Кондиционирование</w:t>
            </w:r>
          </w:p>
        </w:tc>
        <w:tc>
          <w:tcPr>
            <w:tcW w:w="1701" w:type="dxa"/>
            <w:vAlign w:val="center"/>
          </w:tcPr>
          <w:p w14:paraId="0007D2DE" w14:textId="77777777" w:rsidR="00304132" w:rsidRPr="00AC3044" w:rsidRDefault="00304132" w:rsidP="00CD5E09">
            <w:pPr>
              <w:rPr>
                <w:rFonts w:eastAsia="SimSun"/>
              </w:rPr>
            </w:pPr>
            <w:r w:rsidRPr="00AC3044">
              <w:rPr>
                <w:rFonts w:eastAsia="SimSun"/>
              </w:rPr>
              <w:t xml:space="preserve">Флударабин </w:t>
            </w:r>
          </w:p>
        </w:tc>
        <w:tc>
          <w:tcPr>
            <w:tcW w:w="1559" w:type="dxa"/>
            <w:vAlign w:val="center"/>
          </w:tcPr>
          <w:p w14:paraId="473141C0" w14:textId="77777777" w:rsidR="00304132" w:rsidRPr="00AC3044" w:rsidRDefault="00304132" w:rsidP="00CD5E09">
            <w:pPr>
              <w:rPr>
                <w:rFonts w:eastAsia="SimSun"/>
              </w:rPr>
            </w:pPr>
            <w:r w:rsidRPr="00AC3044">
              <w:rPr>
                <w:rFonts w:eastAsia="SimSun"/>
              </w:rPr>
              <w:t>30 мг/м</w:t>
            </w:r>
            <w:r w:rsidRPr="0074195F">
              <w:rPr>
                <w:rFonts w:eastAsia="SimSun"/>
                <w:vertAlign w:val="superscript"/>
              </w:rPr>
              <w:t>2</w:t>
            </w:r>
          </w:p>
        </w:tc>
        <w:tc>
          <w:tcPr>
            <w:tcW w:w="1418" w:type="dxa"/>
            <w:vAlign w:val="center"/>
          </w:tcPr>
          <w:p w14:paraId="47B437F2" w14:textId="77777777" w:rsidR="00304132" w:rsidRPr="00AC3044" w:rsidRDefault="00304132" w:rsidP="00CD5E09">
            <w:pPr>
              <w:rPr>
                <w:rFonts w:eastAsia="SimSun"/>
              </w:rPr>
            </w:pPr>
            <w:r w:rsidRPr="00AC3044">
              <w:rPr>
                <w:rFonts w:eastAsia="SimSun"/>
              </w:rPr>
              <w:t>150 мг/м</w:t>
            </w:r>
            <w:r w:rsidRPr="0074195F">
              <w:rPr>
                <w:rFonts w:eastAsia="SimSun"/>
                <w:vertAlign w:val="superscript"/>
              </w:rPr>
              <w:t>2</w:t>
            </w:r>
          </w:p>
        </w:tc>
        <w:tc>
          <w:tcPr>
            <w:tcW w:w="1701" w:type="dxa"/>
            <w:vAlign w:val="center"/>
          </w:tcPr>
          <w:p w14:paraId="67D3142E" w14:textId="77777777" w:rsidR="00304132" w:rsidRPr="00AC3044" w:rsidRDefault="00304132" w:rsidP="00CD5E09">
            <w:pPr>
              <w:rPr>
                <w:rFonts w:eastAsia="SimSun"/>
              </w:rPr>
            </w:pPr>
            <w:r w:rsidRPr="00AC3044">
              <w:rPr>
                <w:rFonts w:eastAsia="SimSun"/>
              </w:rPr>
              <w:t>С -6 дня по -2 день</w:t>
            </w:r>
          </w:p>
        </w:tc>
        <w:tc>
          <w:tcPr>
            <w:tcW w:w="2268" w:type="dxa"/>
            <w:vAlign w:val="center"/>
          </w:tcPr>
          <w:p w14:paraId="27BA1DAD" w14:textId="77777777" w:rsidR="00304132" w:rsidRPr="00AC3044" w:rsidRDefault="00304132" w:rsidP="00CD5E09">
            <w:pPr>
              <w:rPr>
                <w:rFonts w:eastAsia="SimSun"/>
              </w:rPr>
            </w:pPr>
            <w:r w:rsidRPr="00AC3044">
              <w:rPr>
                <w:rFonts w:eastAsia="SimSun"/>
              </w:rPr>
              <w:t>В/в, в течение 30 -60 мин</w:t>
            </w:r>
          </w:p>
        </w:tc>
      </w:tr>
      <w:tr w:rsidR="00304132" w:rsidRPr="00AC3044" w14:paraId="52D0F8A7" w14:textId="77777777" w:rsidTr="00CD5E09">
        <w:trPr>
          <w:cantSplit/>
          <w:trHeight w:val="510"/>
        </w:trPr>
        <w:tc>
          <w:tcPr>
            <w:tcW w:w="817" w:type="dxa"/>
            <w:vMerge/>
            <w:vAlign w:val="center"/>
          </w:tcPr>
          <w:p w14:paraId="72876300" w14:textId="77777777" w:rsidR="00304132" w:rsidRPr="00AC3044" w:rsidRDefault="00304132" w:rsidP="00CD5E09">
            <w:pPr>
              <w:rPr>
                <w:rFonts w:eastAsia="SimSun"/>
              </w:rPr>
            </w:pPr>
          </w:p>
        </w:tc>
        <w:tc>
          <w:tcPr>
            <w:tcW w:w="1701" w:type="dxa"/>
            <w:vAlign w:val="center"/>
          </w:tcPr>
          <w:p w14:paraId="4EEDD9C1" w14:textId="77777777" w:rsidR="00304132" w:rsidRPr="00AC3044" w:rsidRDefault="00304132" w:rsidP="00CD5E09">
            <w:pPr>
              <w:rPr>
                <w:rFonts w:eastAsia="SimSun"/>
              </w:rPr>
            </w:pPr>
            <w:r w:rsidRPr="00AC3044">
              <w:rPr>
                <w:rFonts w:eastAsia="SimSun"/>
              </w:rPr>
              <w:t>Тиотепа</w:t>
            </w:r>
          </w:p>
        </w:tc>
        <w:tc>
          <w:tcPr>
            <w:tcW w:w="1559" w:type="dxa"/>
            <w:vAlign w:val="center"/>
          </w:tcPr>
          <w:p w14:paraId="15C7AA8A" w14:textId="77777777" w:rsidR="00304132" w:rsidRPr="00AC3044" w:rsidRDefault="00304132" w:rsidP="00CD5E09">
            <w:pPr>
              <w:rPr>
                <w:rFonts w:eastAsia="SimSun"/>
              </w:rPr>
            </w:pPr>
            <w:r w:rsidRPr="00AC3044">
              <w:rPr>
                <w:rFonts w:eastAsia="SimSun"/>
              </w:rPr>
              <w:t>5 мг/м</w:t>
            </w:r>
            <w:r w:rsidRPr="0074195F">
              <w:rPr>
                <w:rFonts w:eastAsia="SimSun"/>
                <w:vertAlign w:val="superscript"/>
              </w:rPr>
              <w:t>2</w:t>
            </w:r>
            <w:r w:rsidRPr="00AC3044">
              <w:rPr>
                <w:rFonts w:eastAsia="SimSun"/>
              </w:rPr>
              <w:t xml:space="preserve"> </w:t>
            </w:r>
          </w:p>
        </w:tc>
        <w:tc>
          <w:tcPr>
            <w:tcW w:w="1418" w:type="dxa"/>
            <w:vAlign w:val="center"/>
          </w:tcPr>
          <w:p w14:paraId="27E6396A" w14:textId="77777777" w:rsidR="00304132" w:rsidRPr="00AC3044" w:rsidRDefault="00304132" w:rsidP="00CD5E09">
            <w:pPr>
              <w:rPr>
                <w:rFonts w:eastAsia="SimSun"/>
              </w:rPr>
            </w:pPr>
            <w:r w:rsidRPr="00AC3044">
              <w:rPr>
                <w:rFonts w:eastAsia="SimSun"/>
              </w:rPr>
              <w:t>10 мг/м</w:t>
            </w:r>
            <w:r w:rsidRPr="0074195F">
              <w:rPr>
                <w:rFonts w:eastAsia="SimSun"/>
                <w:vertAlign w:val="superscript"/>
              </w:rPr>
              <w:t>2</w:t>
            </w:r>
          </w:p>
        </w:tc>
        <w:tc>
          <w:tcPr>
            <w:tcW w:w="1701" w:type="dxa"/>
            <w:vAlign w:val="center"/>
          </w:tcPr>
          <w:p w14:paraId="463563B6" w14:textId="77777777" w:rsidR="00304132" w:rsidRPr="00AC3044" w:rsidRDefault="00304132" w:rsidP="00CD5E09">
            <w:pPr>
              <w:rPr>
                <w:rFonts w:eastAsia="SimSun"/>
              </w:rPr>
            </w:pPr>
            <w:r w:rsidRPr="00AC3044">
              <w:rPr>
                <w:rFonts w:eastAsia="SimSun"/>
              </w:rPr>
              <w:t xml:space="preserve"> Дни -5; -4  </w:t>
            </w:r>
          </w:p>
        </w:tc>
        <w:tc>
          <w:tcPr>
            <w:tcW w:w="2268" w:type="dxa"/>
            <w:vAlign w:val="center"/>
          </w:tcPr>
          <w:p w14:paraId="093F0C8B" w14:textId="77777777" w:rsidR="00304132" w:rsidRPr="00AC3044" w:rsidRDefault="00304132" w:rsidP="00CD5E09">
            <w:pPr>
              <w:rPr>
                <w:rFonts w:eastAsia="SimSun"/>
              </w:rPr>
            </w:pPr>
            <w:r w:rsidRPr="00AC3044">
              <w:rPr>
                <w:rFonts w:eastAsia="SimSun"/>
              </w:rPr>
              <w:t>В/в, в течение 2 часов</w:t>
            </w:r>
          </w:p>
        </w:tc>
      </w:tr>
      <w:tr w:rsidR="00304132" w:rsidRPr="00AC3044" w14:paraId="65D3269B" w14:textId="77777777" w:rsidTr="00CD5E09">
        <w:trPr>
          <w:cantSplit/>
          <w:trHeight w:val="712"/>
        </w:trPr>
        <w:tc>
          <w:tcPr>
            <w:tcW w:w="817" w:type="dxa"/>
            <w:vMerge w:val="restart"/>
            <w:textDirection w:val="btLr"/>
            <w:vAlign w:val="center"/>
          </w:tcPr>
          <w:p w14:paraId="35DFF570" w14:textId="77777777" w:rsidR="00304132" w:rsidRPr="00AC3044" w:rsidRDefault="00304132" w:rsidP="00CD5E09">
            <w:pPr>
              <w:rPr>
                <w:rFonts w:eastAsia="SimSun"/>
              </w:rPr>
            </w:pPr>
            <w:r w:rsidRPr="00AC3044">
              <w:rPr>
                <w:rFonts w:eastAsia="SimSun"/>
              </w:rPr>
              <w:t>Профилактика РТПХ</w:t>
            </w:r>
          </w:p>
        </w:tc>
        <w:tc>
          <w:tcPr>
            <w:tcW w:w="1701" w:type="dxa"/>
            <w:vAlign w:val="center"/>
          </w:tcPr>
          <w:p w14:paraId="6BD78A33" w14:textId="77777777" w:rsidR="00304132" w:rsidRPr="00AC3044" w:rsidRDefault="00304132" w:rsidP="00CD5E09">
            <w:pPr>
              <w:rPr>
                <w:rFonts w:eastAsia="SimSun"/>
              </w:rPr>
            </w:pPr>
            <w:r w:rsidRPr="00AC3044">
              <w:rPr>
                <w:rFonts w:eastAsia="SimSun"/>
              </w:rPr>
              <w:t>АТГ (лошадиный)</w:t>
            </w:r>
          </w:p>
        </w:tc>
        <w:tc>
          <w:tcPr>
            <w:tcW w:w="1559" w:type="dxa"/>
            <w:vAlign w:val="center"/>
          </w:tcPr>
          <w:p w14:paraId="46DDAF6D" w14:textId="77777777" w:rsidR="00304132" w:rsidRPr="00AC3044" w:rsidRDefault="00304132" w:rsidP="00CD5E09">
            <w:pPr>
              <w:rPr>
                <w:rFonts w:eastAsia="SimSun"/>
              </w:rPr>
            </w:pPr>
            <w:r w:rsidRPr="00AC3044">
              <w:rPr>
                <w:rFonts w:eastAsia="SimSun"/>
              </w:rPr>
              <w:t>20 мг/кг</w:t>
            </w:r>
          </w:p>
        </w:tc>
        <w:tc>
          <w:tcPr>
            <w:tcW w:w="1418" w:type="dxa"/>
            <w:vAlign w:val="center"/>
          </w:tcPr>
          <w:p w14:paraId="419FCDD3" w14:textId="77777777" w:rsidR="00304132" w:rsidRPr="00AC3044" w:rsidRDefault="00304132" w:rsidP="00CD5E09">
            <w:pPr>
              <w:rPr>
                <w:rFonts w:eastAsia="SimSun"/>
              </w:rPr>
            </w:pPr>
            <w:r w:rsidRPr="00AC3044">
              <w:rPr>
                <w:rFonts w:eastAsia="SimSun"/>
              </w:rPr>
              <w:t>60 мг/кг</w:t>
            </w:r>
          </w:p>
        </w:tc>
        <w:tc>
          <w:tcPr>
            <w:tcW w:w="1701" w:type="dxa"/>
            <w:vAlign w:val="center"/>
          </w:tcPr>
          <w:p w14:paraId="2AA800B4" w14:textId="77777777" w:rsidR="00304132" w:rsidRPr="00AC3044" w:rsidRDefault="00304132" w:rsidP="00CD5E09">
            <w:pPr>
              <w:rPr>
                <w:rFonts w:eastAsia="SimSun"/>
              </w:rPr>
            </w:pPr>
            <w:r w:rsidRPr="00AC3044">
              <w:rPr>
                <w:rFonts w:eastAsia="SimSun"/>
              </w:rPr>
              <w:t>В дни -3, -2, -1</w:t>
            </w:r>
          </w:p>
        </w:tc>
        <w:tc>
          <w:tcPr>
            <w:tcW w:w="2268" w:type="dxa"/>
            <w:vAlign w:val="center"/>
          </w:tcPr>
          <w:p w14:paraId="0A2FC632" w14:textId="77777777" w:rsidR="00304132" w:rsidRPr="00AC3044" w:rsidRDefault="00304132" w:rsidP="00CD5E09">
            <w:pPr>
              <w:rPr>
                <w:rFonts w:eastAsia="SimSun"/>
              </w:rPr>
            </w:pPr>
            <w:r w:rsidRPr="00AC3044">
              <w:rPr>
                <w:rFonts w:eastAsia="SimSun"/>
              </w:rPr>
              <w:t xml:space="preserve"> В/в. Суточная доза разделяется на 2 введения (см. «Инфузия АТГ»)</w:t>
            </w:r>
          </w:p>
        </w:tc>
      </w:tr>
      <w:tr w:rsidR="00304132" w:rsidRPr="00AC3044" w14:paraId="42F8E272" w14:textId="77777777" w:rsidTr="00CD5E09">
        <w:trPr>
          <w:cantSplit/>
          <w:trHeight w:val="958"/>
        </w:trPr>
        <w:tc>
          <w:tcPr>
            <w:tcW w:w="817" w:type="dxa"/>
            <w:vMerge/>
            <w:textDirection w:val="btLr"/>
            <w:vAlign w:val="center"/>
          </w:tcPr>
          <w:p w14:paraId="707CFC38" w14:textId="77777777" w:rsidR="00304132" w:rsidRPr="00AC3044" w:rsidRDefault="00304132" w:rsidP="00CD5E09">
            <w:pPr>
              <w:rPr>
                <w:rFonts w:eastAsia="SimSun"/>
              </w:rPr>
            </w:pPr>
          </w:p>
        </w:tc>
        <w:tc>
          <w:tcPr>
            <w:tcW w:w="1701" w:type="dxa"/>
            <w:vAlign w:val="center"/>
          </w:tcPr>
          <w:p w14:paraId="05E4F07A" w14:textId="77777777" w:rsidR="00304132" w:rsidRPr="00AC3044" w:rsidRDefault="00304132" w:rsidP="00CD5E09">
            <w:pPr>
              <w:rPr>
                <w:rFonts w:eastAsia="SimSun"/>
              </w:rPr>
            </w:pPr>
            <w:r w:rsidRPr="00AC3044">
              <w:rPr>
                <w:rFonts w:eastAsia="SimSun"/>
              </w:rPr>
              <w:t xml:space="preserve">Такролимус </w:t>
            </w:r>
          </w:p>
        </w:tc>
        <w:tc>
          <w:tcPr>
            <w:tcW w:w="1559" w:type="dxa"/>
            <w:vAlign w:val="center"/>
          </w:tcPr>
          <w:p w14:paraId="3AEA1CD0" w14:textId="77777777" w:rsidR="00304132" w:rsidRPr="00AC3044" w:rsidRDefault="00304132" w:rsidP="00CD5E09">
            <w:pPr>
              <w:rPr>
                <w:rFonts w:eastAsia="SimSun"/>
              </w:rPr>
            </w:pPr>
            <w:r w:rsidRPr="00AC3044">
              <w:rPr>
                <w:rFonts w:eastAsia="SimSun"/>
              </w:rPr>
              <w:t>0,03 мг/кг</w:t>
            </w:r>
          </w:p>
        </w:tc>
        <w:tc>
          <w:tcPr>
            <w:tcW w:w="1418" w:type="dxa"/>
            <w:vAlign w:val="center"/>
          </w:tcPr>
          <w:p w14:paraId="42601CA6" w14:textId="77777777" w:rsidR="00304132" w:rsidRPr="00AC3044" w:rsidRDefault="00304132" w:rsidP="00CD5E09">
            <w:pPr>
              <w:rPr>
                <w:rFonts w:eastAsia="SimSun"/>
              </w:rPr>
            </w:pPr>
            <w:r w:rsidRPr="00AC3044">
              <w:rPr>
                <w:rFonts w:eastAsia="SimSun"/>
              </w:rPr>
              <w:t>–</w:t>
            </w:r>
          </w:p>
        </w:tc>
        <w:tc>
          <w:tcPr>
            <w:tcW w:w="1701" w:type="dxa"/>
            <w:vAlign w:val="center"/>
          </w:tcPr>
          <w:p w14:paraId="7C37D1E9" w14:textId="77777777" w:rsidR="00304132" w:rsidRPr="00AC3044" w:rsidRDefault="00304132" w:rsidP="00CD5E09">
            <w:pPr>
              <w:rPr>
                <w:rFonts w:eastAsia="SimSun"/>
              </w:rPr>
            </w:pPr>
            <w:r w:rsidRPr="00AC3044">
              <w:rPr>
                <w:rFonts w:eastAsia="SimSun"/>
              </w:rPr>
              <w:t xml:space="preserve">С -1 дня длительно </w:t>
            </w:r>
          </w:p>
        </w:tc>
        <w:tc>
          <w:tcPr>
            <w:tcW w:w="2268" w:type="dxa"/>
            <w:vAlign w:val="center"/>
          </w:tcPr>
          <w:p w14:paraId="047CCE09" w14:textId="77777777" w:rsidR="00304132" w:rsidRPr="00AC3044" w:rsidRDefault="00304132" w:rsidP="00CD5E09">
            <w:pPr>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w:t>
            </w:r>
            <w:r w:rsidRPr="00AC3044">
              <w:rPr>
                <w:rFonts w:eastAsia="SimSun"/>
              </w:rPr>
              <w:t xml:space="preserve"> 10</w:t>
            </w:r>
            <w:r w:rsidRPr="0074195F">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304132" w:rsidRPr="00AC3044" w14:paraId="709AC41F" w14:textId="77777777" w:rsidTr="00CD5E09">
        <w:trPr>
          <w:cantSplit/>
          <w:trHeight w:val="362"/>
        </w:trPr>
        <w:tc>
          <w:tcPr>
            <w:tcW w:w="817" w:type="dxa"/>
            <w:vMerge/>
            <w:textDirection w:val="btLr"/>
            <w:vAlign w:val="center"/>
          </w:tcPr>
          <w:p w14:paraId="61140B93" w14:textId="77777777" w:rsidR="00304132" w:rsidRPr="00AC3044" w:rsidRDefault="00304132" w:rsidP="00CD5E09">
            <w:pPr>
              <w:rPr>
                <w:rFonts w:eastAsia="SimSun"/>
              </w:rPr>
            </w:pPr>
          </w:p>
        </w:tc>
        <w:tc>
          <w:tcPr>
            <w:tcW w:w="1701" w:type="dxa"/>
            <w:vAlign w:val="center"/>
          </w:tcPr>
          <w:p w14:paraId="590CF046" w14:textId="77777777" w:rsidR="00304132" w:rsidRPr="00AC3044" w:rsidRDefault="00304132" w:rsidP="00CD5E09">
            <w:pPr>
              <w:rPr>
                <w:rFonts w:eastAsia="SimSun"/>
              </w:rPr>
            </w:pPr>
            <w:r w:rsidRPr="00AC3044">
              <w:rPr>
                <w:rFonts w:eastAsia="SimSun"/>
              </w:rPr>
              <w:t>Микофенолата мофетил</w:t>
            </w:r>
          </w:p>
        </w:tc>
        <w:tc>
          <w:tcPr>
            <w:tcW w:w="1559" w:type="dxa"/>
            <w:vAlign w:val="center"/>
          </w:tcPr>
          <w:p w14:paraId="606AA085" w14:textId="77777777" w:rsidR="00304132" w:rsidRPr="00AC3044" w:rsidRDefault="00304132" w:rsidP="00CD5E09">
            <w:pPr>
              <w:rPr>
                <w:rFonts w:eastAsia="SimSun"/>
              </w:rPr>
            </w:pPr>
            <w:r w:rsidRPr="00AC3044">
              <w:rPr>
                <w:rFonts w:eastAsia="SimSun"/>
              </w:rPr>
              <w:t xml:space="preserve">30 мг/кг </w:t>
            </w:r>
          </w:p>
        </w:tc>
        <w:tc>
          <w:tcPr>
            <w:tcW w:w="1418" w:type="dxa"/>
            <w:vAlign w:val="center"/>
          </w:tcPr>
          <w:p w14:paraId="759CE827" w14:textId="77777777" w:rsidR="00304132" w:rsidRPr="00AC3044" w:rsidRDefault="00304132" w:rsidP="00CD5E09">
            <w:pPr>
              <w:rPr>
                <w:rFonts w:eastAsia="SimSun"/>
              </w:rPr>
            </w:pPr>
            <w:r w:rsidRPr="00AC3044">
              <w:rPr>
                <w:rFonts w:eastAsia="SimSun"/>
              </w:rPr>
              <w:t>–</w:t>
            </w:r>
          </w:p>
        </w:tc>
        <w:tc>
          <w:tcPr>
            <w:tcW w:w="1701" w:type="dxa"/>
            <w:vAlign w:val="center"/>
          </w:tcPr>
          <w:p w14:paraId="1F831835" w14:textId="77777777" w:rsidR="00304132" w:rsidRPr="00AC3044" w:rsidRDefault="00304132" w:rsidP="00CD5E09">
            <w:pPr>
              <w:rPr>
                <w:rFonts w:eastAsia="SimSun"/>
              </w:rPr>
            </w:pPr>
            <w:r w:rsidRPr="00AC3044">
              <w:rPr>
                <w:rFonts w:eastAsia="SimSun"/>
              </w:rPr>
              <w:t xml:space="preserve">С -1 дня по +30 день </w:t>
            </w:r>
          </w:p>
        </w:tc>
        <w:tc>
          <w:tcPr>
            <w:tcW w:w="2268" w:type="dxa"/>
            <w:vAlign w:val="center"/>
          </w:tcPr>
          <w:p w14:paraId="03445C6F" w14:textId="77777777" w:rsidR="00304132" w:rsidRPr="00AC3044" w:rsidRDefault="00304132" w:rsidP="00CD5E09">
            <w:pPr>
              <w:rPr>
                <w:rFonts w:eastAsia="SimSun"/>
              </w:rPr>
            </w:pPr>
            <w:r w:rsidRPr="00AC3044">
              <w:rPr>
                <w:rFonts w:eastAsia="SimSun"/>
              </w:rPr>
              <w:t xml:space="preserve">Внутрь, суммарная суточная доза разделяется на 2- 4 приема (не более 3г/сут).  </w:t>
            </w:r>
          </w:p>
        </w:tc>
      </w:tr>
    </w:tbl>
    <w:p w14:paraId="7C62C322" w14:textId="77777777" w:rsidR="00304132" w:rsidRDefault="00304132" w:rsidP="00304132">
      <w:pPr>
        <w:rPr>
          <w:rFonts w:eastAsia="SimSun"/>
        </w:rPr>
      </w:pPr>
      <w:bookmarkStart w:id="358" w:name="_Toc44401218"/>
    </w:p>
    <w:p w14:paraId="73E4F971" w14:textId="77777777" w:rsidR="00304132" w:rsidRPr="00C07B2E" w:rsidRDefault="00304132" w:rsidP="00304132">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2.2.18  – Flu180+Treo36 / PT-Cy+CSA+MMF30</w:t>
      </w:r>
      <w:bookmarkEnd w:id="358"/>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1701"/>
        <w:gridCol w:w="1559"/>
        <w:gridCol w:w="1418"/>
        <w:gridCol w:w="1701"/>
        <w:gridCol w:w="2268"/>
      </w:tblGrid>
      <w:tr w:rsidR="00304132" w:rsidRPr="00AC3044" w14:paraId="7E34D2F6" w14:textId="77777777" w:rsidTr="00CD5E09">
        <w:trPr>
          <w:cantSplit/>
          <w:trHeight w:val="20"/>
          <w:tblHeader/>
        </w:trPr>
        <w:tc>
          <w:tcPr>
            <w:tcW w:w="709" w:type="dxa"/>
          </w:tcPr>
          <w:p w14:paraId="32425B43" w14:textId="77777777" w:rsidR="00304132" w:rsidRPr="00470D3D" w:rsidRDefault="00304132" w:rsidP="00CD5E09">
            <w:pPr>
              <w:rPr>
                <w:rFonts w:eastAsia="SimSun"/>
              </w:rPr>
            </w:pPr>
          </w:p>
        </w:tc>
        <w:tc>
          <w:tcPr>
            <w:tcW w:w="1701" w:type="dxa"/>
            <w:vAlign w:val="center"/>
          </w:tcPr>
          <w:p w14:paraId="36B3F2E1" w14:textId="77777777" w:rsidR="00304132" w:rsidRPr="00AC3044" w:rsidRDefault="00304132" w:rsidP="00CD5E09">
            <w:pPr>
              <w:rPr>
                <w:rFonts w:eastAsia="SimSun"/>
              </w:rPr>
            </w:pPr>
            <w:r w:rsidRPr="00AC3044">
              <w:rPr>
                <w:rFonts w:eastAsia="SimSun"/>
              </w:rPr>
              <w:t>Препарат</w:t>
            </w:r>
          </w:p>
        </w:tc>
        <w:tc>
          <w:tcPr>
            <w:tcW w:w="1559" w:type="dxa"/>
            <w:vAlign w:val="center"/>
          </w:tcPr>
          <w:p w14:paraId="30797DE7" w14:textId="77777777" w:rsidR="00304132" w:rsidRPr="00AC3044" w:rsidRDefault="00304132" w:rsidP="00CD5E09">
            <w:pPr>
              <w:rPr>
                <w:rFonts w:eastAsia="SimSun"/>
              </w:rPr>
            </w:pPr>
            <w:r w:rsidRPr="00AC3044">
              <w:rPr>
                <w:rFonts w:eastAsia="SimSun"/>
              </w:rPr>
              <w:t>Суточная доза</w:t>
            </w:r>
          </w:p>
        </w:tc>
        <w:tc>
          <w:tcPr>
            <w:tcW w:w="1418" w:type="dxa"/>
            <w:vAlign w:val="center"/>
          </w:tcPr>
          <w:p w14:paraId="3FDFCA6E" w14:textId="77777777" w:rsidR="00304132" w:rsidRPr="00AC3044" w:rsidRDefault="00304132" w:rsidP="00CD5E09">
            <w:pPr>
              <w:rPr>
                <w:rFonts w:eastAsia="SimSun"/>
              </w:rPr>
            </w:pPr>
            <w:r w:rsidRPr="00AC3044">
              <w:rPr>
                <w:rFonts w:eastAsia="SimSun"/>
              </w:rPr>
              <w:t>Курсовая доза</w:t>
            </w:r>
          </w:p>
        </w:tc>
        <w:tc>
          <w:tcPr>
            <w:tcW w:w="1701" w:type="dxa"/>
            <w:vAlign w:val="center"/>
          </w:tcPr>
          <w:p w14:paraId="0765AAB1" w14:textId="77777777" w:rsidR="00304132" w:rsidRPr="00AC3044" w:rsidRDefault="00304132" w:rsidP="00CD5E09">
            <w:pPr>
              <w:rPr>
                <w:rFonts w:eastAsia="SimSun"/>
              </w:rPr>
            </w:pPr>
            <w:r w:rsidRPr="00AC3044">
              <w:rPr>
                <w:rFonts w:eastAsia="SimSun"/>
              </w:rPr>
              <w:t>Дни введения</w:t>
            </w:r>
          </w:p>
        </w:tc>
        <w:tc>
          <w:tcPr>
            <w:tcW w:w="2268" w:type="dxa"/>
            <w:vAlign w:val="center"/>
          </w:tcPr>
          <w:p w14:paraId="6251FBC6" w14:textId="77777777" w:rsidR="00304132" w:rsidRPr="00AC3044" w:rsidRDefault="00304132" w:rsidP="00CD5E09">
            <w:pPr>
              <w:rPr>
                <w:rFonts w:eastAsia="SimSun"/>
              </w:rPr>
            </w:pPr>
            <w:r w:rsidRPr="00AC3044">
              <w:rPr>
                <w:rFonts w:eastAsia="SimSun"/>
              </w:rPr>
              <w:t>Порядок введения</w:t>
            </w:r>
          </w:p>
        </w:tc>
      </w:tr>
      <w:tr w:rsidR="00304132" w:rsidRPr="00AC3044" w14:paraId="599F477B" w14:textId="77777777" w:rsidTr="00CD5E09">
        <w:trPr>
          <w:cantSplit/>
          <w:trHeight w:val="20"/>
        </w:trPr>
        <w:tc>
          <w:tcPr>
            <w:tcW w:w="709" w:type="dxa"/>
            <w:vMerge w:val="restart"/>
            <w:textDirection w:val="btLr"/>
            <w:vAlign w:val="center"/>
          </w:tcPr>
          <w:p w14:paraId="4B8E271F" w14:textId="77777777" w:rsidR="00304132" w:rsidRPr="00AC3044" w:rsidRDefault="00304132" w:rsidP="00CD5E09">
            <w:pPr>
              <w:rPr>
                <w:rFonts w:eastAsia="SimSun"/>
              </w:rPr>
            </w:pPr>
            <w:r w:rsidRPr="00AC3044">
              <w:rPr>
                <w:rFonts w:eastAsia="SimSun"/>
              </w:rPr>
              <w:t>Кондиционирование</w:t>
            </w:r>
          </w:p>
        </w:tc>
        <w:tc>
          <w:tcPr>
            <w:tcW w:w="1701" w:type="dxa"/>
            <w:vAlign w:val="center"/>
          </w:tcPr>
          <w:p w14:paraId="277F9E90" w14:textId="77777777" w:rsidR="00304132" w:rsidRPr="00AC3044" w:rsidRDefault="00304132" w:rsidP="00CD5E09">
            <w:pPr>
              <w:rPr>
                <w:rFonts w:eastAsia="SimSun"/>
              </w:rPr>
            </w:pPr>
            <w:r w:rsidRPr="00AC3044">
              <w:rPr>
                <w:rFonts w:eastAsia="SimSun"/>
              </w:rPr>
              <w:t xml:space="preserve">Флударабин </w:t>
            </w:r>
          </w:p>
        </w:tc>
        <w:tc>
          <w:tcPr>
            <w:tcW w:w="1559" w:type="dxa"/>
            <w:vAlign w:val="center"/>
          </w:tcPr>
          <w:p w14:paraId="65F2CD08" w14:textId="77777777" w:rsidR="00304132" w:rsidRPr="00AC3044" w:rsidRDefault="00304132" w:rsidP="00CD5E09">
            <w:pPr>
              <w:rPr>
                <w:rFonts w:eastAsia="SimSun"/>
              </w:rPr>
            </w:pPr>
            <w:r w:rsidRPr="00AC3044">
              <w:rPr>
                <w:rFonts w:eastAsia="SimSun"/>
              </w:rPr>
              <w:t>30 мг/м</w:t>
            </w:r>
            <w:r w:rsidRPr="0074195F">
              <w:rPr>
                <w:rFonts w:eastAsia="SimSun"/>
                <w:vertAlign w:val="superscript"/>
              </w:rPr>
              <w:t>2</w:t>
            </w:r>
          </w:p>
        </w:tc>
        <w:tc>
          <w:tcPr>
            <w:tcW w:w="1418" w:type="dxa"/>
            <w:vAlign w:val="center"/>
          </w:tcPr>
          <w:p w14:paraId="2EB09A21" w14:textId="77777777" w:rsidR="00304132" w:rsidRPr="00AC3044" w:rsidRDefault="00304132" w:rsidP="00CD5E09">
            <w:pPr>
              <w:rPr>
                <w:rFonts w:eastAsia="SimSun"/>
              </w:rPr>
            </w:pPr>
            <w:r w:rsidRPr="00AC3044">
              <w:rPr>
                <w:rFonts w:eastAsia="SimSun"/>
              </w:rPr>
              <w:t>150 мг/м</w:t>
            </w:r>
            <w:r w:rsidRPr="0074195F">
              <w:rPr>
                <w:rFonts w:eastAsia="SimSun"/>
                <w:vertAlign w:val="superscript"/>
              </w:rPr>
              <w:t>2</w:t>
            </w:r>
          </w:p>
        </w:tc>
        <w:tc>
          <w:tcPr>
            <w:tcW w:w="1701" w:type="dxa"/>
            <w:vAlign w:val="center"/>
          </w:tcPr>
          <w:p w14:paraId="48159EE2" w14:textId="77777777" w:rsidR="00304132" w:rsidRPr="00AC3044" w:rsidRDefault="00304132" w:rsidP="00CD5E09">
            <w:pPr>
              <w:rPr>
                <w:rFonts w:eastAsia="SimSun"/>
              </w:rPr>
            </w:pPr>
            <w:r w:rsidRPr="00AC3044">
              <w:rPr>
                <w:rFonts w:eastAsia="SimSun"/>
              </w:rPr>
              <w:t>С –6 по –2 день</w:t>
            </w:r>
          </w:p>
        </w:tc>
        <w:tc>
          <w:tcPr>
            <w:tcW w:w="2268" w:type="dxa"/>
            <w:vAlign w:val="center"/>
          </w:tcPr>
          <w:p w14:paraId="007D151A" w14:textId="77777777" w:rsidR="00304132" w:rsidRPr="00AC3044" w:rsidRDefault="00304132" w:rsidP="00CD5E09">
            <w:pPr>
              <w:rPr>
                <w:rFonts w:eastAsia="SimSun"/>
              </w:rPr>
            </w:pPr>
            <w:r w:rsidRPr="00AC3044">
              <w:rPr>
                <w:rFonts w:eastAsia="SimSun"/>
              </w:rPr>
              <w:t>В/в, в течение 30 -60 мин</w:t>
            </w:r>
          </w:p>
        </w:tc>
      </w:tr>
      <w:tr w:rsidR="00304132" w:rsidRPr="00AC3044" w14:paraId="70130188" w14:textId="77777777" w:rsidTr="00CD5E09">
        <w:trPr>
          <w:cantSplit/>
          <w:trHeight w:val="899"/>
        </w:trPr>
        <w:tc>
          <w:tcPr>
            <w:tcW w:w="709" w:type="dxa"/>
            <w:vMerge/>
            <w:textDirection w:val="btLr"/>
            <w:vAlign w:val="center"/>
          </w:tcPr>
          <w:p w14:paraId="4E862D00" w14:textId="77777777" w:rsidR="00304132" w:rsidRPr="00AC3044" w:rsidRDefault="00304132" w:rsidP="00CD5E09">
            <w:pPr>
              <w:rPr>
                <w:rFonts w:eastAsia="SimSun"/>
              </w:rPr>
            </w:pPr>
          </w:p>
        </w:tc>
        <w:tc>
          <w:tcPr>
            <w:tcW w:w="1701" w:type="dxa"/>
            <w:vAlign w:val="center"/>
          </w:tcPr>
          <w:p w14:paraId="0C792CD9" w14:textId="77777777" w:rsidR="00304132" w:rsidRPr="00AC3044" w:rsidRDefault="00304132" w:rsidP="00CD5E09">
            <w:pPr>
              <w:rPr>
                <w:rFonts w:eastAsia="SimSun"/>
              </w:rPr>
            </w:pPr>
            <w:r w:rsidRPr="00AC3044">
              <w:rPr>
                <w:rFonts w:eastAsia="SimSun"/>
              </w:rPr>
              <w:t>Треосульфан</w:t>
            </w:r>
          </w:p>
        </w:tc>
        <w:tc>
          <w:tcPr>
            <w:tcW w:w="1559" w:type="dxa"/>
            <w:vAlign w:val="center"/>
          </w:tcPr>
          <w:p w14:paraId="1FBA3E20" w14:textId="77777777" w:rsidR="00304132" w:rsidRPr="00AC3044" w:rsidRDefault="00304132" w:rsidP="00CD5E09">
            <w:pPr>
              <w:rPr>
                <w:rFonts w:eastAsia="SimSun"/>
              </w:rPr>
            </w:pPr>
            <w:r w:rsidRPr="00AC3044">
              <w:rPr>
                <w:rFonts w:eastAsia="SimSun"/>
              </w:rPr>
              <w:t>12 г/м</w:t>
            </w:r>
            <w:r w:rsidRPr="0074195F">
              <w:rPr>
                <w:rFonts w:eastAsia="SimSun"/>
                <w:vertAlign w:val="superscript"/>
              </w:rPr>
              <w:t>2</w:t>
            </w:r>
          </w:p>
        </w:tc>
        <w:tc>
          <w:tcPr>
            <w:tcW w:w="1418" w:type="dxa"/>
            <w:vAlign w:val="center"/>
          </w:tcPr>
          <w:p w14:paraId="46EE1B6E" w14:textId="77777777" w:rsidR="00304132" w:rsidRPr="00AC3044" w:rsidRDefault="00304132" w:rsidP="00CD5E09">
            <w:pPr>
              <w:rPr>
                <w:rFonts w:eastAsia="SimSun"/>
              </w:rPr>
            </w:pPr>
            <w:r w:rsidRPr="00AC3044">
              <w:rPr>
                <w:rFonts w:eastAsia="SimSun"/>
              </w:rPr>
              <w:t>36 г/м</w:t>
            </w:r>
            <w:r w:rsidRPr="0074195F">
              <w:rPr>
                <w:rFonts w:eastAsia="SimSun"/>
                <w:vertAlign w:val="superscript"/>
              </w:rPr>
              <w:t>2</w:t>
            </w:r>
          </w:p>
        </w:tc>
        <w:tc>
          <w:tcPr>
            <w:tcW w:w="1701" w:type="dxa"/>
            <w:vAlign w:val="center"/>
          </w:tcPr>
          <w:p w14:paraId="379F2194" w14:textId="77777777" w:rsidR="00304132" w:rsidRPr="00AC3044" w:rsidRDefault="00304132" w:rsidP="00CD5E09">
            <w:pPr>
              <w:rPr>
                <w:rFonts w:eastAsia="SimSun"/>
              </w:rPr>
            </w:pPr>
            <w:r w:rsidRPr="00AC3044">
              <w:rPr>
                <w:rFonts w:eastAsia="SimSun"/>
              </w:rPr>
              <w:t>С –6 по –4 день</w:t>
            </w:r>
          </w:p>
        </w:tc>
        <w:tc>
          <w:tcPr>
            <w:tcW w:w="2268" w:type="dxa"/>
            <w:vAlign w:val="center"/>
          </w:tcPr>
          <w:p w14:paraId="6ED803B4" w14:textId="77777777" w:rsidR="00304132" w:rsidRPr="00AC3044" w:rsidRDefault="00304132" w:rsidP="00CD5E09">
            <w:pPr>
              <w:rPr>
                <w:rFonts w:eastAsia="SimSun"/>
              </w:rPr>
            </w:pPr>
            <w:r w:rsidRPr="00AC3044">
              <w:rPr>
                <w:rFonts w:eastAsia="SimSun"/>
              </w:rPr>
              <w:t>В/в, в течение 2 часов</w:t>
            </w:r>
          </w:p>
        </w:tc>
      </w:tr>
      <w:tr w:rsidR="00304132" w:rsidRPr="00AC3044" w14:paraId="4F26D970" w14:textId="77777777" w:rsidTr="00CD5E09">
        <w:trPr>
          <w:cantSplit/>
          <w:trHeight w:val="1394"/>
        </w:trPr>
        <w:tc>
          <w:tcPr>
            <w:tcW w:w="709" w:type="dxa"/>
            <w:vMerge w:val="restart"/>
            <w:textDirection w:val="btLr"/>
            <w:vAlign w:val="center"/>
          </w:tcPr>
          <w:p w14:paraId="242EA309" w14:textId="77777777" w:rsidR="00304132" w:rsidRPr="00AC3044" w:rsidRDefault="00304132" w:rsidP="00CD5E09">
            <w:pPr>
              <w:rPr>
                <w:rFonts w:eastAsia="SimSun"/>
              </w:rPr>
            </w:pPr>
            <w:r w:rsidRPr="00AC3044">
              <w:rPr>
                <w:rFonts w:eastAsia="SimSun"/>
              </w:rPr>
              <w:lastRenderedPageBreak/>
              <w:t>Профилактика РТПХ</w:t>
            </w:r>
          </w:p>
        </w:tc>
        <w:tc>
          <w:tcPr>
            <w:tcW w:w="1701" w:type="dxa"/>
            <w:vAlign w:val="center"/>
          </w:tcPr>
          <w:p w14:paraId="2C316803" w14:textId="77777777" w:rsidR="00304132" w:rsidRPr="00AC3044" w:rsidRDefault="00304132" w:rsidP="00CD5E09">
            <w:pPr>
              <w:rPr>
                <w:rFonts w:eastAsia="SimSun"/>
              </w:rPr>
            </w:pPr>
            <w:r w:rsidRPr="00AC3044">
              <w:rPr>
                <w:rFonts w:eastAsia="SimSun"/>
              </w:rPr>
              <w:t>Циклоспорин</w:t>
            </w:r>
          </w:p>
        </w:tc>
        <w:tc>
          <w:tcPr>
            <w:tcW w:w="1559" w:type="dxa"/>
            <w:vAlign w:val="center"/>
          </w:tcPr>
          <w:p w14:paraId="7E700976" w14:textId="77777777" w:rsidR="00304132" w:rsidRPr="00AC3044" w:rsidRDefault="00304132" w:rsidP="00CD5E09">
            <w:pPr>
              <w:rPr>
                <w:rFonts w:eastAsia="SimSun"/>
              </w:rPr>
            </w:pPr>
            <w:r w:rsidRPr="00AC3044">
              <w:rPr>
                <w:rFonts w:eastAsia="SimSun"/>
              </w:rPr>
              <w:t>3 мг/кг</w:t>
            </w:r>
          </w:p>
        </w:tc>
        <w:tc>
          <w:tcPr>
            <w:tcW w:w="1418" w:type="dxa"/>
            <w:vAlign w:val="center"/>
          </w:tcPr>
          <w:p w14:paraId="2B27F3EC" w14:textId="77777777" w:rsidR="00304132" w:rsidRPr="00AC3044" w:rsidRDefault="00304132" w:rsidP="00CD5E09">
            <w:pPr>
              <w:rPr>
                <w:rFonts w:eastAsia="SimSun"/>
              </w:rPr>
            </w:pPr>
            <w:r w:rsidRPr="00AC3044">
              <w:rPr>
                <w:rFonts w:eastAsia="SimSun"/>
              </w:rPr>
              <w:t>–</w:t>
            </w:r>
          </w:p>
        </w:tc>
        <w:tc>
          <w:tcPr>
            <w:tcW w:w="1701" w:type="dxa"/>
            <w:vAlign w:val="center"/>
          </w:tcPr>
          <w:p w14:paraId="36C5688C" w14:textId="77777777" w:rsidR="00304132" w:rsidRPr="00AC3044" w:rsidRDefault="00304132" w:rsidP="00CD5E09">
            <w:pPr>
              <w:rPr>
                <w:rFonts w:eastAsia="SimSun"/>
              </w:rPr>
            </w:pPr>
            <w:r w:rsidRPr="00AC3044">
              <w:rPr>
                <w:rFonts w:eastAsia="SimSun"/>
              </w:rPr>
              <w:t>С +5 дня по +90 день затем постепенное снижение к +180 дню</w:t>
            </w:r>
          </w:p>
        </w:tc>
        <w:tc>
          <w:tcPr>
            <w:tcW w:w="2268" w:type="dxa"/>
            <w:vAlign w:val="center"/>
          </w:tcPr>
          <w:p w14:paraId="4E488518" w14:textId="77777777" w:rsidR="00304132" w:rsidRPr="00AC3044" w:rsidRDefault="00304132" w:rsidP="00CD5E09">
            <w:pPr>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74195F">
              <w:rPr>
                <w:rFonts w:eastAsia="SimSun"/>
                <w:vertAlign w:val="superscript"/>
              </w:rPr>
              <w:t>9</w:t>
            </w:r>
            <w:r w:rsidRPr="0074195F">
              <w:rPr>
                <w:rFonts w:eastAsia="SimSun"/>
              </w:rPr>
              <w:t>/</w:t>
            </w:r>
            <w:r w:rsidRPr="00AC3044">
              <w:rPr>
                <w:rFonts w:eastAsia="SimSun"/>
              </w:rPr>
              <w:t>л, при отсутствии тошноты, рвоты, диареи и возможности приема внутрь. Концентрация 150-350 нг/мл</w:t>
            </w:r>
          </w:p>
        </w:tc>
      </w:tr>
      <w:tr w:rsidR="00304132" w:rsidRPr="00AC3044" w14:paraId="1AD896AF" w14:textId="77777777" w:rsidTr="00CD5E09">
        <w:trPr>
          <w:cantSplit/>
          <w:trHeight w:val="20"/>
        </w:trPr>
        <w:tc>
          <w:tcPr>
            <w:tcW w:w="709" w:type="dxa"/>
            <w:vMerge/>
            <w:textDirection w:val="btLr"/>
          </w:tcPr>
          <w:p w14:paraId="207070DC" w14:textId="77777777" w:rsidR="00304132" w:rsidRPr="00AC3044" w:rsidRDefault="00304132" w:rsidP="00CD5E09">
            <w:pPr>
              <w:rPr>
                <w:rFonts w:eastAsia="SimSun"/>
              </w:rPr>
            </w:pPr>
          </w:p>
        </w:tc>
        <w:tc>
          <w:tcPr>
            <w:tcW w:w="1701" w:type="dxa"/>
            <w:vAlign w:val="center"/>
          </w:tcPr>
          <w:p w14:paraId="14A6733A" w14:textId="77777777" w:rsidR="00304132" w:rsidRPr="00AC3044" w:rsidRDefault="00304132" w:rsidP="00CD5E09">
            <w:pPr>
              <w:rPr>
                <w:rFonts w:eastAsia="SimSun"/>
              </w:rPr>
            </w:pPr>
            <w:r w:rsidRPr="00AC3044">
              <w:rPr>
                <w:rFonts w:eastAsia="SimSun"/>
              </w:rPr>
              <w:t>Микофенолата мофетил</w:t>
            </w:r>
          </w:p>
        </w:tc>
        <w:tc>
          <w:tcPr>
            <w:tcW w:w="1559" w:type="dxa"/>
            <w:vAlign w:val="center"/>
          </w:tcPr>
          <w:p w14:paraId="509F409A" w14:textId="77777777" w:rsidR="00304132" w:rsidRPr="00AC3044" w:rsidRDefault="00304132" w:rsidP="00CD5E09">
            <w:pPr>
              <w:rPr>
                <w:rFonts w:eastAsia="SimSun"/>
              </w:rPr>
            </w:pPr>
            <w:r w:rsidRPr="00AC3044">
              <w:rPr>
                <w:rFonts w:eastAsia="SimSun"/>
              </w:rPr>
              <w:t>30 мг/кг</w:t>
            </w:r>
          </w:p>
        </w:tc>
        <w:tc>
          <w:tcPr>
            <w:tcW w:w="1418" w:type="dxa"/>
            <w:vAlign w:val="center"/>
          </w:tcPr>
          <w:p w14:paraId="087E2732" w14:textId="77777777" w:rsidR="00304132" w:rsidRPr="00AC3044" w:rsidRDefault="00304132" w:rsidP="00CD5E09">
            <w:pPr>
              <w:rPr>
                <w:rFonts w:eastAsia="SimSun"/>
              </w:rPr>
            </w:pPr>
            <w:r w:rsidRPr="00AC3044">
              <w:rPr>
                <w:rFonts w:eastAsia="SimSun"/>
              </w:rPr>
              <w:t>–</w:t>
            </w:r>
          </w:p>
        </w:tc>
        <w:tc>
          <w:tcPr>
            <w:tcW w:w="1701" w:type="dxa"/>
            <w:vAlign w:val="center"/>
          </w:tcPr>
          <w:p w14:paraId="6AB25512" w14:textId="77777777" w:rsidR="00304132" w:rsidRPr="00AC3044" w:rsidRDefault="00304132" w:rsidP="00CD5E09">
            <w:pPr>
              <w:rPr>
                <w:rFonts w:eastAsia="SimSun"/>
              </w:rPr>
            </w:pPr>
            <w:r w:rsidRPr="00AC3044">
              <w:rPr>
                <w:rFonts w:eastAsia="SimSun"/>
              </w:rPr>
              <w:t>С +5 по +90 день</w:t>
            </w:r>
          </w:p>
        </w:tc>
        <w:tc>
          <w:tcPr>
            <w:tcW w:w="2268" w:type="dxa"/>
            <w:vAlign w:val="center"/>
          </w:tcPr>
          <w:p w14:paraId="56767E50" w14:textId="77777777" w:rsidR="00304132" w:rsidRPr="00AC3044" w:rsidRDefault="00304132" w:rsidP="00CD5E09">
            <w:pPr>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 xml:space="preserve">г/сут).  </w:t>
            </w:r>
          </w:p>
        </w:tc>
      </w:tr>
      <w:tr w:rsidR="00304132" w:rsidRPr="00AC3044" w14:paraId="770F72FC" w14:textId="77777777" w:rsidTr="00CD5E09">
        <w:trPr>
          <w:cantSplit/>
          <w:trHeight w:val="20"/>
        </w:trPr>
        <w:tc>
          <w:tcPr>
            <w:tcW w:w="709" w:type="dxa"/>
            <w:vMerge/>
            <w:textDirection w:val="btLr"/>
          </w:tcPr>
          <w:p w14:paraId="02198654" w14:textId="77777777" w:rsidR="00304132" w:rsidRPr="00AC3044" w:rsidRDefault="00304132" w:rsidP="00CD5E09">
            <w:pPr>
              <w:rPr>
                <w:rFonts w:eastAsia="SimSun"/>
              </w:rPr>
            </w:pPr>
          </w:p>
        </w:tc>
        <w:tc>
          <w:tcPr>
            <w:tcW w:w="1701" w:type="dxa"/>
            <w:vAlign w:val="center"/>
          </w:tcPr>
          <w:p w14:paraId="2842F452" w14:textId="77777777" w:rsidR="00304132" w:rsidRPr="00AC3044" w:rsidRDefault="00304132" w:rsidP="00CD5E09">
            <w:pPr>
              <w:rPr>
                <w:rFonts w:eastAsia="SimSun"/>
              </w:rPr>
            </w:pPr>
            <w:r w:rsidRPr="00AC3044">
              <w:rPr>
                <w:rFonts w:eastAsia="SimSun"/>
              </w:rPr>
              <w:t>Циклофосфамид</w:t>
            </w:r>
          </w:p>
        </w:tc>
        <w:tc>
          <w:tcPr>
            <w:tcW w:w="1559" w:type="dxa"/>
            <w:vAlign w:val="center"/>
          </w:tcPr>
          <w:p w14:paraId="2BA3C349" w14:textId="77777777" w:rsidR="00304132" w:rsidRPr="00AC3044" w:rsidRDefault="00304132" w:rsidP="00CD5E09">
            <w:pPr>
              <w:rPr>
                <w:rFonts w:eastAsia="SimSun"/>
              </w:rPr>
            </w:pPr>
            <w:r w:rsidRPr="00AC3044">
              <w:rPr>
                <w:rFonts w:eastAsia="SimSun"/>
              </w:rPr>
              <w:t>50 мг/кг</w:t>
            </w:r>
          </w:p>
        </w:tc>
        <w:tc>
          <w:tcPr>
            <w:tcW w:w="1418" w:type="dxa"/>
            <w:vAlign w:val="center"/>
          </w:tcPr>
          <w:p w14:paraId="44879BAA" w14:textId="77777777" w:rsidR="00304132" w:rsidRPr="00AC3044" w:rsidRDefault="00304132" w:rsidP="00CD5E09">
            <w:pPr>
              <w:rPr>
                <w:rFonts w:eastAsia="SimSun"/>
              </w:rPr>
            </w:pPr>
            <w:r w:rsidRPr="00AC3044">
              <w:rPr>
                <w:rFonts w:eastAsia="SimSun"/>
              </w:rPr>
              <w:t>100 мг/кг</w:t>
            </w:r>
          </w:p>
        </w:tc>
        <w:tc>
          <w:tcPr>
            <w:tcW w:w="1701" w:type="dxa"/>
            <w:vAlign w:val="center"/>
          </w:tcPr>
          <w:p w14:paraId="216BA1ED" w14:textId="77777777" w:rsidR="00304132" w:rsidRPr="00AC3044" w:rsidRDefault="00304132" w:rsidP="00CD5E09">
            <w:pPr>
              <w:rPr>
                <w:rFonts w:eastAsia="SimSun"/>
              </w:rPr>
            </w:pPr>
            <w:r w:rsidRPr="00AC3044">
              <w:rPr>
                <w:rFonts w:eastAsia="SimSun"/>
              </w:rPr>
              <w:t xml:space="preserve">+3,+4 дни </w:t>
            </w:r>
          </w:p>
        </w:tc>
        <w:tc>
          <w:tcPr>
            <w:tcW w:w="2268" w:type="dxa"/>
            <w:vAlign w:val="center"/>
          </w:tcPr>
          <w:p w14:paraId="392FBA6B" w14:textId="77777777" w:rsidR="00304132" w:rsidRPr="00AC3044" w:rsidRDefault="00304132" w:rsidP="00CD5E09">
            <w:pPr>
              <w:rPr>
                <w:rFonts w:eastAsia="SimSun"/>
              </w:rPr>
            </w:pPr>
            <w:r w:rsidRPr="00AC3044">
              <w:rPr>
                <w:rFonts w:eastAsia="SimSun"/>
              </w:rPr>
              <w:t>В/в, в течение 2 часов</w:t>
            </w:r>
          </w:p>
        </w:tc>
      </w:tr>
    </w:tbl>
    <w:p w14:paraId="26BB1EC4" w14:textId="77777777" w:rsidR="00304132" w:rsidRDefault="00304132" w:rsidP="00304132">
      <w:pPr>
        <w:rPr>
          <w:rFonts w:eastAsia="SimSun"/>
        </w:rPr>
      </w:pPr>
      <w:bookmarkStart w:id="359" w:name="_Toc44401219"/>
    </w:p>
    <w:p w14:paraId="73980A5C" w14:textId="77777777" w:rsidR="00304132" w:rsidRPr="00C07B2E" w:rsidRDefault="00304132" w:rsidP="00304132">
      <w:pPr>
        <w:rPr>
          <w:rFonts w:eastAsia="SimSun"/>
        </w:rPr>
      </w:pPr>
      <w:r w:rsidRPr="00EE51B1">
        <w:rPr>
          <w:rFonts w:eastAsia="SimSun"/>
        </w:rPr>
        <w:t>Таблица</w:t>
      </w:r>
      <w:r w:rsidRPr="00C07B2E">
        <w:rPr>
          <w:rFonts w:eastAsia="SimSun"/>
        </w:rPr>
        <w:t xml:space="preserve"> </w:t>
      </w:r>
      <w:r>
        <w:rPr>
          <w:rFonts w:eastAsia="SimSun"/>
        </w:rPr>
        <w:t>5.</w:t>
      </w:r>
      <w:r w:rsidRPr="00C07B2E">
        <w:rPr>
          <w:rFonts w:eastAsia="SimSun"/>
        </w:rPr>
        <w:t>2.2.19  – Flu180+Cy1200 / hATG+Tx+MMF30</w:t>
      </w:r>
      <w:bookmarkEnd w:id="359"/>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1701"/>
        <w:gridCol w:w="1559"/>
        <w:gridCol w:w="1418"/>
        <w:gridCol w:w="1701"/>
        <w:gridCol w:w="2268"/>
      </w:tblGrid>
      <w:tr w:rsidR="00304132" w:rsidRPr="00AC3044" w14:paraId="21AB9F3D" w14:textId="77777777" w:rsidTr="00CD5E09">
        <w:trPr>
          <w:cantSplit/>
          <w:trHeight w:val="20"/>
          <w:tblHeader/>
        </w:trPr>
        <w:tc>
          <w:tcPr>
            <w:tcW w:w="817" w:type="dxa"/>
            <w:vAlign w:val="center"/>
          </w:tcPr>
          <w:p w14:paraId="2AD25E5D" w14:textId="77777777" w:rsidR="00304132" w:rsidRPr="00AC3044" w:rsidRDefault="00304132" w:rsidP="00CD5E09">
            <w:pPr>
              <w:rPr>
                <w:rFonts w:eastAsia="SimSun"/>
              </w:rPr>
            </w:pPr>
          </w:p>
        </w:tc>
        <w:tc>
          <w:tcPr>
            <w:tcW w:w="1701" w:type="dxa"/>
            <w:vAlign w:val="center"/>
          </w:tcPr>
          <w:p w14:paraId="637AE1D6" w14:textId="77777777" w:rsidR="00304132" w:rsidRPr="00AC3044" w:rsidRDefault="00304132" w:rsidP="00CD5E09">
            <w:pPr>
              <w:rPr>
                <w:rFonts w:eastAsia="SimSun"/>
              </w:rPr>
            </w:pPr>
            <w:r w:rsidRPr="00AC3044">
              <w:rPr>
                <w:rFonts w:eastAsia="SimSun"/>
              </w:rPr>
              <w:t>Препарат</w:t>
            </w:r>
          </w:p>
        </w:tc>
        <w:tc>
          <w:tcPr>
            <w:tcW w:w="1559" w:type="dxa"/>
            <w:vAlign w:val="center"/>
          </w:tcPr>
          <w:p w14:paraId="7C36B697" w14:textId="77777777" w:rsidR="00304132" w:rsidRPr="00AC3044" w:rsidRDefault="00304132" w:rsidP="00CD5E09">
            <w:pPr>
              <w:rPr>
                <w:rFonts w:eastAsia="SimSun"/>
              </w:rPr>
            </w:pPr>
            <w:r w:rsidRPr="00AC3044">
              <w:rPr>
                <w:rFonts w:eastAsia="SimSun"/>
              </w:rPr>
              <w:t>Суточная доза</w:t>
            </w:r>
          </w:p>
        </w:tc>
        <w:tc>
          <w:tcPr>
            <w:tcW w:w="1418" w:type="dxa"/>
            <w:vAlign w:val="center"/>
          </w:tcPr>
          <w:p w14:paraId="5A07B59E" w14:textId="77777777" w:rsidR="00304132" w:rsidRPr="00AC3044" w:rsidRDefault="00304132" w:rsidP="00CD5E09">
            <w:pPr>
              <w:rPr>
                <w:rFonts w:eastAsia="SimSun"/>
              </w:rPr>
            </w:pPr>
            <w:r w:rsidRPr="00AC3044">
              <w:rPr>
                <w:rFonts w:eastAsia="SimSun"/>
              </w:rPr>
              <w:t>Курсовая доза</w:t>
            </w:r>
          </w:p>
        </w:tc>
        <w:tc>
          <w:tcPr>
            <w:tcW w:w="1701" w:type="dxa"/>
            <w:vAlign w:val="center"/>
          </w:tcPr>
          <w:p w14:paraId="74CF447D" w14:textId="77777777" w:rsidR="00304132" w:rsidRPr="00AC3044" w:rsidRDefault="00304132" w:rsidP="00CD5E09">
            <w:pPr>
              <w:rPr>
                <w:rFonts w:eastAsia="SimSun"/>
              </w:rPr>
            </w:pPr>
            <w:r w:rsidRPr="00AC3044">
              <w:rPr>
                <w:rFonts w:eastAsia="SimSun"/>
              </w:rPr>
              <w:t>Дни введения</w:t>
            </w:r>
          </w:p>
        </w:tc>
        <w:tc>
          <w:tcPr>
            <w:tcW w:w="2268" w:type="dxa"/>
            <w:vAlign w:val="center"/>
          </w:tcPr>
          <w:p w14:paraId="4E83644C" w14:textId="77777777" w:rsidR="00304132" w:rsidRPr="00AC3044" w:rsidRDefault="00304132" w:rsidP="00CD5E09">
            <w:pPr>
              <w:rPr>
                <w:rFonts w:eastAsia="SimSun"/>
              </w:rPr>
            </w:pPr>
            <w:r w:rsidRPr="00AC3044">
              <w:rPr>
                <w:rFonts w:eastAsia="SimSun"/>
              </w:rPr>
              <w:t>Порядок введения</w:t>
            </w:r>
          </w:p>
        </w:tc>
      </w:tr>
      <w:tr w:rsidR="00304132" w:rsidRPr="00AC3044" w14:paraId="26A9E2B1" w14:textId="77777777" w:rsidTr="00CD5E09">
        <w:trPr>
          <w:cantSplit/>
          <w:trHeight w:val="20"/>
        </w:trPr>
        <w:tc>
          <w:tcPr>
            <w:tcW w:w="817" w:type="dxa"/>
            <w:vMerge w:val="restart"/>
            <w:textDirection w:val="btLr"/>
            <w:vAlign w:val="center"/>
          </w:tcPr>
          <w:p w14:paraId="5008A2A7" w14:textId="77777777" w:rsidR="00304132" w:rsidRPr="00AC3044" w:rsidRDefault="00304132" w:rsidP="00CD5E09">
            <w:pPr>
              <w:rPr>
                <w:rFonts w:eastAsia="SimSun"/>
              </w:rPr>
            </w:pPr>
            <w:r w:rsidRPr="00AC3044">
              <w:rPr>
                <w:rFonts w:eastAsia="SimSun"/>
              </w:rPr>
              <w:t>Кондиционирование</w:t>
            </w:r>
          </w:p>
        </w:tc>
        <w:tc>
          <w:tcPr>
            <w:tcW w:w="1701" w:type="dxa"/>
            <w:vAlign w:val="center"/>
          </w:tcPr>
          <w:p w14:paraId="7654C30C" w14:textId="77777777" w:rsidR="00304132" w:rsidRPr="00AC3044" w:rsidRDefault="00304132" w:rsidP="00CD5E09">
            <w:pPr>
              <w:rPr>
                <w:rFonts w:eastAsia="SimSun"/>
              </w:rPr>
            </w:pPr>
            <w:r w:rsidRPr="00AC3044">
              <w:rPr>
                <w:rFonts w:eastAsia="SimSun"/>
              </w:rPr>
              <w:t xml:space="preserve">Флударабин </w:t>
            </w:r>
          </w:p>
        </w:tc>
        <w:tc>
          <w:tcPr>
            <w:tcW w:w="1559" w:type="dxa"/>
            <w:vAlign w:val="center"/>
          </w:tcPr>
          <w:p w14:paraId="2CCB9028" w14:textId="77777777" w:rsidR="00304132" w:rsidRPr="00AC3044" w:rsidRDefault="00304132" w:rsidP="00CD5E09">
            <w:pPr>
              <w:rPr>
                <w:rFonts w:eastAsia="SimSun"/>
              </w:rPr>
            </w:pPr>
            <w:r w:rsidRPr="00AC3044">
              <w:rPr>
                <w:rFonts w:eastAsia="SimSun"/>
              </w:rPr>
              <w:t>30 мг/м</w:t>
            </w:r>
            <w:r w:rsidRPr="0074195F">
              <w:rPr>
                <w:rFonts w:eastAsia="SimSun"/>
                <w:vertAlign w:val="superscript"/>
              </w:rPr>
              <w:t>2</w:t>
            </w:r>
          </w:p>
        </w:tc>
        <w:tc>
          <w:tcPr>
            <w:tcW w:w="1418" w:type="dxa"/>
            <w:vAlign w:val="center"/>
          </w:tcPr>
          <w:p w14:paraId="18661E7C" w14:textId="77777777" w:rsidR="00304132" w:rsidRPr="00AC3044" w:rsidRDefault="00304132" w:rsidP="00CD5E09">
            <w:pPr>
              <w:rPr>
                <w:rFonts w:eastAsia="SimSun"/>
              </w:rPr>
            </w:pPr>
            <w:r w:rsidRPr="00AC3044">
              <w:rPr>
                <w:rFonts w:eastAsia="SimSun"/>
              </w:rPr>
              <w:t>180 мг/м</w:t>
            </w:r>
            <w:r w:rsidRPr="0074195F">
              <w:rPr>
                <w:rFonts w:eastAsia="SimSun"/>
                <w:vertAlign w:val="superscript"/>
              </w:rPr>
              <w:t>2</w:t>
            </w:r>
          </w:p>
        </w:tc>
        <w:tc>
          <w:tcPr>
            <w:tcW w:w="1701" w:type="dxa"/>
            <w:vAlign w:val="center"/>
          </w:tcPr>
          <w:p w14:paraId="20AC2742" w14:textId="77777777" w:rsidR="00304132" w:rsidRPr="00AC3044" w:rsidRDefault="00304132" w:rsidP="00CD5E09">
            <w:pPr>
              <w:rPr>
                <w:rFonts w:eastAsia="SimSun"/>
              </w:rPr>
            </w:pPr>
            <w:r w:rsidRPr="00AC3044">
              <w:rPr>
                <w:rFonts w:eastAsia="SimSun"/>
              </w:rPr>
              <w:t>С -7 дня по -2 день</w:t>
            </w:r>
          </w:p>
        </w:tc>
        <w:tc>
          <w:tcPr>
            <w:tcW w:w="2268" w:type="dxa"/>
            <w:vAlign w:val="center"/>
          </w:tcPr>
          <w:p w14:paraId="076AC8E6" w14:textId="77777777" w:rsidR="00304132" w:rsidRPr="00AC3044" w:rsidRDefault="00304132" w:rsidP="00CD5E09">
            <w:pPr>
              <w:rPr>
                <w:rFonts w:eastAsia="SimSun"/>
              </w:rPr>
            </w:pPr>
            <w:r w:rsidRPr="00AC3044">
              <w:rPr>
                <w:rFonts w:eastAsia="SimSun"/>
              </w:rPr>
              <w:t>В/в, в течение 30 -60 мин</w:t>
            </w:r>
          </w:p>
        </w:tc>
      </w:tr>
      <w:tr w:rsidR="00304132" w:rsidRPr="00AC3044" w14:paraId="01CA2225" w14:textId="77777777" w:rsidTr="00CD5E09">
        <w:trPr>
          <w:cantSplit/>
          <w:trHeight w:val="736"/>
        </w:trPr>
        <w:tc>
          <w:tcPr>
            <w:tcW w:w="817" w:type="dxa"/>
            <w:vMerge/>
            <w:vAlign w:val="center"/>
          </w:tcPr>
          <w:p w14:paraId="5E6A708C" w14:textId="77777777" w:rsidR="00304132" w:rsidRPr="00AC3044" w:rsidRDefault="00304132" w:rsidP="00CD5E09">
            <w:pPr>
              <w:rPr>
                <w:rFonts w:eastAsia="SimSun"/>
              </w:rPr>
            </w:pPr>
          </w:p>
        </w:tc>
        <w:tc>
          <w:tcPr>
            <w:tcW w:w="1701" w:type="dxa"/>
            <w:vAlign w:val="center"/>
          </w:tcPr>
          <w:p w14:paraId="346C994E" w14:textId="77777777" w:rsidR="00304132" w:rsidRPr="00AC3044" w:rsidRDefault="00304132" w:rsidP="00CD5E09">
            <w:pPr>
              <w:rPr>
                <w:rFonts w:eastAsia="SimSun"/>
              </w:rPr>
            </w:pPr>
            <w:r w:rsidRPr="00AC3044">
              <w:rPr>
                <w:rFonts w:eastAsia="SimSun"/>
              </w:rPr>
              <w:t>Циклофосфамид</w:t>
            </w:r>
          </w:p>
        </w:tc>
        <w:tc>
          <w:tcPr>
            <w:tcW w:w="1559" w:type="dxa"/>
            <w:vAlign w:val="center"/>
          </w:tcPr>
          <w:p w14:paraId="45421522" w14:textId="77777777" w:rsidR="00304132" w:rsidRPr="00AC3044" w:rsidRDefault="00304132" w:rsidP="00CD5E09">
            <w:pPr>
              <w:rPr>
                <w:rFonts w:eastAsia="SimSun"/>
              </w:rPr>
            </w:pPr>
            <w:r w:rsidRPr="00AC3044">
              <w:rPr>
                <w:rFonts w:eastAsia="SimSun"/>
              </w:rPr>
              <w:t>300 мг/м</w:t>
            </w:r>
            <w:r w:rsidRPr="0074195F">
              <w:rPr>
                <w:rFonts w:eastAsia="SimSun"/>
                <w:vertAlign w:val="superscript"/>
              </w:rPr>
              <w:t>2</w:t>
            </w:r>
            <w:r w:rsidRPr="00AC3044">
              <w:rPr>
                <w:rFonts w:eastAsia="SimSun"/>
              </w:rPr>
              <w:t xml:space="preserve"> </w:t>
            </w:r>
          </w:p>
        </w:tc>
        <w:tc>
          <w:tcPr>
            <w:tcW w:w="1418" w:type="dxa"/>
            <w:vAlign w:val="center"/>
          </w:tcPr>
          <w:p w14:paraId="1331A45A" w14:textId="77777777" w:rsidR="00304132" w:rsidRPr="00AC3044" w:rsidRDefault="00304132" w:rsidP="00CD5E09">
            <w:pPr>
              <w:rPr>
                <w:rFonts w:eastAsia="SimSun"/>
              </w:rPr>
            </w:pPr>
            <w:r w:rsidRPr="00AC3044">
              <w:rPr>
                <w:rFonts w:eastAsia="SimSun"/>
              </w:rPr>
              <w:t>1200 мг/м</w:t>
            </w:r>
            <w:r w:rsidRPr="0074195F">
              <w:rPr>
                <w:rFonts w:eastAsia="SimSun"/>
                <w:vertAlign w:val="superscript"/>
              </w:rPr>
              <w:t>2</w:t>
            </w:r>
          </w:p>
        </w:tc>
        <w:tc>
          <w:tcPr>
            <w:tcW w:w="1701" w:type="dxa"/>
            <w:vAlign w:val="center"/>
          </w:tcPr>
          <w:p w14:paraId="727AD2DB" w14:textId="77777777" w:rsidR="00304132" w:rsidRPr="00AC3044" w:rsidRDefault="00304132" w:rsidP="00CD5E09">
            <w:pPr>
              <w:rPr>
                <w:rFonts w:eastAsia="SimSun"/>
              </w:rPr>
            </w:pPr>
            <w:r w:rsidRPr="00AC3044">
              <w:rPr>
                <w:rFonts w:eastAsia="SimSun"/>
              </w:rPr>
              <w:t xml:space="preserve"> С -5 дня по -2 день </w:t>
            </w:r>
          </w:p>
        </w:tc>
        <w:tc>
          <w:tcPr>
            <w:tcW w:w="2268" w:type="dxa"/>
            <w:vAlign w:val="center"/>
          </w:tcPr>
          <w:p w14:paraId="6CF8044E" w14:textId="77777777" w:rsidR="00304132" w:rsidRPr="00AC3044" w:rsidRDefault="00304132" w:rsidP="00CD5E09">
            <w:pPr>
              <w:rPr>
                <w:rFonts w:eastAsia="SimSun"/>
              </w:rPr>
            </w:pPr>
            <w:r w:rsidRPr="00AC3044">
              <w:rPr>
                <w:rFonts w:eastAsia="SimSun"/>
              </w:rPr>
              <w:t>В/в, в течение 2 часов</w:t>
            </w:r>
          </w:p>
        </w:tc>
      </w:tr>
      <w:tr w:rsidR="00304132" w:rsidRPr="00AC3044" w14:paraId="4BCD2B9F" w14:textId="77777777" w:rsidTr="00CD5E09">
        <w:trPr>
          <w:cantSplit/>
          <w:trHeight w:val="654"/>
        </w:trPr>
        <w:tc>
          <w:tcPr>
            <w:tcW w:w="817" w:type="dxa"/>
            <w:vMerge w:val="restart"/>
            <w:textDirection w:val="btLr"/>
            <w:vAlign w:val="center"/>
          </w:tcPr>
          <w:p w14:paraId="428C9805" w14:textId="77777777" w:rsidR="00304132" w:rsidRPr="00AC3044" w:rsidRDefault="00304132" w:rsidP="00CD5E09">
            <w:pPr>
              <w:rPr>
                <w:rFonts w:eastAsia="SimSun"/>
              </w:rPr>
            </w:pPr>
            <w:r w:rsidRPr="00AC3044">
              <w:rPr>
                <w:rFonts w:eastAsia="SimSun"/>
              </w:rPr>
              <w:lastRenderedPageBreak/>
              <w:t>Профилактика РТПХ</w:t>
            </w:r>
          </w:p>
        </w:tc>
        <w:tc>
          <w:tcPr>
            <w:tcW w:w="1701" w:type="dxa"/>
            <w:vAlign w:val="center"/>
          </w:tcPr>
          <w:p w14:paraId="26B0C299" w14:textId="77777777" w:rsidR="00304132" w:rsidRPr="00AC3044" w:rsidRDefault="00304132" w:rsidP="00CD5E09">
            <w:pPr>
              <w:rPr>
                <w:rFonts w:eastAsia="SimSun"/>
              </w:rPr>
            </w:pPr>
            <w:r w:rsidRPr="00AC3044">
              <w:rPr>
                <w:rFonts w:eastAsia="SimSun"/>
              </w:rPr>
              <w:t xml:space="preserve">АТГ (лошадиный) </w:t>
            </w:r>
          </w:p>
        </w:tc>
        <w:tc>
          <w:tcPr>
            <w:tcW w:w="1559" w:type="dxa"/>
            <w:vAlign w:val="center"/>
          </w:tcPr>
          <w:p w14:paraId="66263CB3" w14:textId="77777777" w:rsidR="00304132" w:rsidRPr="00AC3044" w:rsidRDefault="00304132" w:rsidP="00CD5E09">
            <w:pPr>
              <w:rPr>
                <w:rFonts w:eastAsia="SimSun"/>
              </w:rPr>
            </w:pPr>
            <w:r w:rsidRPr="00AC3044">
              <w:rPr>
                <w:rFonts w:eastAsia="SimSun"/>
              </w:rPr>
              <w:t>20 мг/кг</w:t>
            </w:r>
          </w:p>
        </w:tc>
        <w:tc>
          <w:tcPr>
            <w:tcW w:w="1418" w:type="dxa"/>
            <w:vAlign w:val="center"/>
          </w:tcPr>
          <w:p w14:paraId="63F3860D" w14:textId="77777777" w:rsidR="00304132" w:rsidRPr="00AC3044" w:rsidRDefault="00304132" w:rsidP="00CD5E09">
            <w:pPr>
              <w:rPr>
                <w:rFonts w:eastAsia="SimSun"/>
              </w:rPr>
            </w:pPr>
            <w:r w:rsidRPr="00AC3044">
              <w:rPr>
                <w:rFonts w:eastAsia="SimSun"/>
              </w:rPr>
              <w:t>60 мг/кг</w:t>
            </w:r>
          </w:p>
        </w:tc>
        <w:tc>
          <w:tcPr>
            <w:tcW w:w="1701" w:type="dxa"/>
            <w:vAlign w:val="center"/>
          </w:tcPr>
          <w:p w14:paraId="106A9790" w14:textId="77777777" w:rsidR="00304132" w:rsidRPr="00AC3044" w:rsidRDefault="00304132" w:rsidP="00CD5E09">
            <w:pPr>
              <w:rPr>
                <w:rFonts w:eastAsia="SimSun"/>
              </w:rPr>
            </w:pPr>
            <w:r w:rsidRPr="00AC3044">
              <w:rPr>
                <w:rFonts w:eastAsia="SimSun"/>
              </w:rPr>
              <w:t>В дни -3, -2, -1</w:t>
            </w:r>
          </w:p>
        </w:tc>
        <w:tc>
          <w:tcPr>
            <w:tcW w:w="2268" w:type="dxa"/>
            <w:vAlign w:val="center"/>
          </w:tcPr>
          <w:p w14:paraId="644525EF" w14:textId="77777777" w:rsidR="00304132" w:rsidRPr="00AC3044" w:rsidRDefault="00304132" w:rsidP="00CD5E09">
            <w:pPr>
              <w:rPr>
                <w:rFonts w:eastAsia="SimSun"/>
              </w:rPr>
            </w:pPr>
            <w:r w:rsidRPr="00AC3044">
              <w:rPr>
                <w:rFonts w:eastAsia="SimSun"/>
              </w:rPr>
              <w:t>В/в. Суточная доза разделяется на 2 введения (см. «Инфузия АТГ»)</w:t>
            </w:r>
          </w:p>
        </w:tc>
      </w:tr>
      <w:tr w:rsidR="00304132" w:rsidRPr="00AC3044" w14:paraId="63A4192C" w14:textId="77777777" w:rsidTr="00CD5E09">
        <w:trPr>
          <w:cantSplit/>
          <w:trHeight w:val="958"/>
        </w:trPr>
        <w:tc>
          <w:tcPr>
            <w:tcW w:w="817" w:type="dxa"/>
            <w:vMerge/>
            <w:textDirection w:val="btLr"/>
            <w:vAlign w:val="center"/>
          </w:tcPr>
          <w:p w14:paraId="190F5EE3" w14:textId="77777777" w:rsidR="00304132" w:rsidRPr="00AC3044" w:rsidRDefault="00304132" w:rsidP="00CD5E09">
            <w:pPr>
              <w:rPr>
                <w:rFonts w:eastAsia="SimSun"/>
              </w:rPr>
            </w:pPr>
          </w:p>
        </w:tc>
        <w:tc>
          <w:tcPr>
            <w:tcW w:w="1701" w:type="dxa"/>
            <w:vAlign w:val="center"/>
          </w:tcPr>
          <w:p w14:paraId="7DB7E20F" w14:textId="77777777" w:rsidR="00304132" w:rsidRPr="00AC3044" w:rsidRDefault="00304132" w:rsidP="00CD5E09">
            <w:pPr>
              <w:rPr>
                <w:rFonts w:eastAsia="SimSun"/>
              </w:rPr>
            </w:pPr>
            <w:r w:rsidRPr="00AC3044">
              <w:rPr>
                <w:rFonts w:eastAsia="SimSun"/>
              </w:rPr>
              <w:t xml:space="preserve">Такролимус </w:t>
            </w:r>
          </w:p>
        </w:tc>
        <w:tc>
          <w:tcPr>
            <w:tcW w:w="1559" w:type="dxa"/>
            <w:vAlign w:val="center"/>
          </w:tcPr>
          <w:p w14:paraId="1268511D" w14:textId="77777777" w:rsidR="00304132" w:rsidRPr="00AC3044" w:rsidRDefault="00304132" w:rsidP="00CD5E09">
            <w:pPr>
              <w:rPr>
                <w:rFonts w:eastAsia="SimSun"/>
              </w:rPr>
            </w:pPr>
            <w:r w:rsidRPr="00AC3044">
              <w:rPr>
                <w:rFonts w:eastAsia="SimSun"/>
              </w:rPr>
              <w:t>0,03 мг/кг</w:t>
            </w:r>
          </w:p>
        </w:tc>
        <w:tc>
          <w:tcPr>
            <w:tcW w:w="1418" w:type="dxa"/>
            <w:vAlign w:val="center"/>
          </w:tcPr>
          <w:p w14:paraId="46FC7C28" w14:textId="77777777" w:rsidR="00304132" w:rsidRPr="00AC3044" w:rsidRDefault="00304132" w:rsidP="00CD5E09">
            <w:pPr>
              <w:rPr>
                <w:rFonts w:eastAsia="SimSun"/>
              </w:rPr>
            </w:pPr>
            <w:r w:rsidRPr="00AC3044">
              <w:rPr>
                <w:rFonts w:eastAsia="SimSun"/>
              </w:rPr>
              <w:t>–</w:t>
            </w:r>
          </w:p>
        </w:tc>
        <w:tc>
          <w:tcPr>
            <w:tcW w:w="1701" w:type="dxa"/>
            <w:vAlign w:val="center"/>
          </w:tcPr>
          <w:p w14:paraId="5F33F454" w14:textId="77777777" w:rsidR="00304132" w:rsidRPr="00AC3044" w:rsidRDefault="00304132" w:rsidP="00CD5E09">
            <w:pPr>
              <w:rPr>
                <w:rFonts w:eastAsia="SimSun"/>
              </w:rPr>
            </w:pPr>
            <w:r w:rsidRPr="00AC3044">
              <w:rPr>
                <w:rFonts w:eastAsia="SimSun"/>
              </w:rPr>
              <w:t xml:space="preserve">С -1 дня длительно </w:t>
            </w:r>
          </w:p>
        </w:tc>
        <w:tc>
          <w:tcPr>
            <w:tcW w:w="2268" w:type="dxa"/>
            <w:vAlign w:val="center"/>
          </w:tcPr>
          <w:p w14:paraId="673126A3" w14:textId="77777777" w:rsidR="00304132" w:rsidRPr="00AC3044" w:rsidRDefault="00304132" w:rsidP="00CD5E09">
            <w:pPr>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w:t>
            </w:r>
            <w:r w:rsidRPr="00AC3044">
              <w:rPr>
                <w:rFonts w:eastAsia="SimSun"/>
              </w:rPr>
              <w:t xml:space="preserve"> 10</w:t>
            </w:r>
            <w:r w:rsidRPr="0074195F">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304132" w:rsidRPr="00AC3044" w14:paraId="0E436054" w14:textId="77777777" w:rsidTr="00CD5E09">
        <w:trPr>
          <w:cantSplit/>
          <w:trHeight w:val="392"/>
        </w:trPr>
        <w:tc>
          <w:tcPr>
            <w:tcW w:w="817" w:type="dxa"/>
            <w:vMerge/>
            <w:textDirection w:val="btLr"/>
            <w:vAlign w:val="center"/>
          </w:tcPr>
          <w:p w14:paraId="2966A4A6" w14:textId="77777777" w:rsidR="00304132" w:rsidRPr="00AC3044" w:rsidRDefault="00304132" w:rsidP="00CD5E09">
            <w:pPr>
              <w:rPr>
                <w:rFonts w:eastAsia="SimSun"/>
              </w:rPr>
            </w:pPr>
          </w:p>
        </w:tc>
        <w:tc>
          <w:tcPr>
            <w:tcW w:w="1701" w:type="dxa"/>
            <w:vAlign w:val="center"/>
          </w:tcPr>
          <w:p w14:paraId="61C72ADA" w14:textId="77777777" w:rsidR="00304132" w:rsidRPr="00AC3044" w:rsidRDefault="00304132" w:rsidP="00CD5E09">
            <w:pPr>
              <w:rPr>
                <w:rFonts w:eastAsia="SimSun"/>
              </w:rPr>
            </w:pPr>
            <w:r w:rsidRPr="00AC3044">
              <w:rPr>
                <w:rFonts w:eastAsia="SimSun"/>
              </w:rPr>
              <w:t>Микофенолата мофетил</w:t>
            </w:r>
          </w:p>
        </w:tc>
        <w:tc>
          <w:tcPr>
            <w:tcW w:w="1559" w:type="dxa"/>
            <w:vAlign w:val="center"/>
          </w:tcPr>
          <w:p w14:paraId="30C3D007" w14:textId="77777777" w:rsidR="00304132" w:rsidRPr="00AC3044" w:rsidRDefault="00304132" w:rsidP="00CD5E09">
            <w:pPr>
              <w:rPr>
                <w:rFonts w:eastAsia="SimSun"/>
              </w:rPr>
            </w:pPr>
            <w:r w:rsidRPr="00AC3044">
              <w:rPr>
                <w:rFonts w:eastAsia="SimSun"/>
              </w:rPr>
              <w:t xml:space="preserve">30 мг/кг </w:t>
            </w:r>
          </w:p>
        </w:tc>
        <w:tc>
          <w:tcPr>
            <w:tcW w:w="1418" w:type="dxa"/>
            <w:vAlign w:val="center"/>
          </w:tcPr>
          <w:p w14:paraId="6310666C" w14:textId="77777777" w:rsidR="00304132" w:rsidRPr="00AC3044" w:rsidRDefault="00304132" w:rsidP="00CD5E09">
            <w:pPr>
              <w:rPr>
                <w:rFonts w:eastAsia="SimSun"/>
              </w:rPr>
            </w:pPr>
            <w:r w:rsidRPr="00AC3044">
              <w:rPr>
                <w:rFonts w:eastAsia="SimSun"/>
              </w:rPr>
              <w:t>–</w:t>
            </w:r>
          </w:p>
        </w:tc>
        <w:tc>
          <w:tcPr>
            <w:tcW w:w="1701" w:type="dxa"/>
            <w:vAlign w:val="center"/>
          </w:tcPr>
          <w:p w14:paraId="07361AD3" w14:textId="77777777" w:rsidR="00304132" w:rsidRPr="00AC3044" w:rsidRDefault="00304132" w:rsidP="00CD5E09">
            <w:pPr>
              <w:rPr>
                <w:rFonts w:eastAsia="SimSun"/>
              </w:rPr>
            </w:pPr>
            <w:r w:rsidRPr="00AC3044">
              <w:rPr>
                <w:rFonts w:eastAsia="SimSun"/>
              </w:rPr>
              <w:t xml:space="preserve">С -1 дня по +30 день </w:t>
            </w:r>
          </w:p>
        </w:tc>
        <w:tc>
          <w:tcPr>
            <w:tcW w:w="2268" w:type="dxa"/>
            <w:vAlign w:val="center"/>
          </w:tcPr>
          <w:p w14:paraId="41AFBF1C" w14:textId="77777777" w:rsidR="00304132" w:rsidRPr="00AC3044" w:rsidRDefault="00304132" w:rsidP="00CD5E09">
            <w:pPr>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 xml:space="preserve">г/сут).  </w:t>
            </w:r>
          </w:p>
        </w:tc>
      </w:tr>
    </w:tbl>
    <w:p w14:paraId="49D3311C" w14:textId="77777777" w:rsidR="00304132" w:rsidRPr="0074195F" w:rsidRDefault="00304132" w:rsidP="00304132">
      <w:pPr>
        <w:rPr>
          <w:rFonts w:eastAsia="SimSun"/>
        </w:rPr>
      </w:pPr>
      <w:bookmarkStart w:id="360" w:name="_Toc44401220"/>
    </w:p>
    <w:p w14:paraId="460FDAA9" w14:textId="77777777" w:rsidR="00304132" w:rsidRPr="00EE51B1" w:rsidRDefault="00304132" w:rsidP="00304132">
      <w:pPr>
        <w:rPr>
          <w:rFonts w:eastAsia="SimSun"/>
          <w:lang w:val="en-US"/>
        </w:rPr>
      </w:pPr>
      <w:r>
        <w:rPr>
          <w:rFonts w:eastAsia="SimSun"/>
        </w:rPr>
        <w:t>Таблица</w:t>
      </w:r>
      <w:r w:rsidRPr="00EE51B1">
        <w:rPr>
          <w:rFonts w:eastAsia="SimSun"/>
          <w:lang w:val="en-US"/>
        </w:rPr>
        <w:t xml:space="preserve"> </w:t>
      </w:r>
      <w:r>
        <w:rPr>
          <w:rFonts w:eastAsia="SimSun"/>
          <w:lang w:val="en-US"/>
        </w:rPr>
        <w:t>5.</w:t>
      </w:r>
      <w:r w:rsidRPr="00EE51B1">
        <w:rPr>
          <w:rFonts w:eastAsia="SimSun"/>
          <w:lang w:val="en-US"/>
        </w:rPr>
        <w:t xml:space="preserve">2.2.20  – </w:t>
      </w:r>
      <w:r w:rsidRPr="00657BC2">
        <w:rPr>
          <w:rFonts w:eastAsia="SimSun"/>
          <w:lang w:val="en-US"/>
        </w:rPr>
        <w:t>Flu</w:t>
      </w:r>
      <w:r w:rsidRPr="00EE51B1">
        <w:rPr>
          <w:rFonts w:eastAsia="SimSun"/>
          <w:lang w:val="en-US"/>
        </w:rPr>
        <w:t>180+</w:t>
      </w:r>
      <w:r w:rsidRPr="00657BC2">
        <w:rPr>
          <w:rFonts w:eastAsia="SimSun"/>
          <w:lang w:val="en-US"/>
        </w:rPr>
        <w:t>Cy</w:t>
      </w:r>
      <w:r w:rsidRPr="00EE51B1">
        <w:rPr>
          <w:rFonts w:eastAsia="SimSun"/>
          <w:lang w:val="en-US"/>
        </w:rPr>
        <w:t xml:space="preserve">1200 / </w:t>
      </w:r>
      <w:r w:rsidRPr="00657BC2">
        <w:rPr>
          <w:rFonts w:eastAsia="SimSun"/>
          <w:lang w:val="en-US"/>
        </w:rPr>
        <w:t>rATG</w:t>
      </w:r>
      <w:r w:rsidRPr="00EE51B1">
        <w:rPr>
          <w:rFonts w:eastAsia="SimSun"/>
          <w:lang w:val="en-US"/>
        </w:rPr>
        <w:t>+</w:t>
      </w:r>
      <w:r w:rsidRPr="00657BC2">
        <w:rPr>
          <w:rFonts w:eastAsia="SimSun"/>
          <w:lang w:val="en-US"/>
        </w:rPr>
        <w:t>Tx</w:t>
      </w:r>
      <w:r w:rsidRPr="00EE51B1">
        <w:rPr>
          <w:rFonts w:eastAsia="SimSun"/>
          <w:lang w:val="en-US"/>
        </w:rPr>
        <w:t>+</w:t>
      </w:r>
      <w:r w:rsidRPr="00657BC2">
        <w:rPr>
          <w:rFonts w:eastAsia="SimSun"/>
          <w:lang w:val="en-US"/>
        </w:rPr>
        <w:t>MMF</w:t>
      </w:r>
      <w:r w:rsidRPr="00EE51B1">
        <w:rPr>
          <w:rFonts w:eastAsia="SimSun"/>
          <w:lang w:val="en-US"/>
        </w:rPr>
        <w:t>30</w:t>
      </w:r>
      <w:bookmarkEnd w:id="360"/>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1701"/>
        <w:gridCol w:w="1559"/>
        <w:gridCol w:w="1418"/>
        <w:gridCol w:w="1701"/>
        <w:gridCol w:w="2268"/>
      </w:tblGrid>
      <w:tr w:rsidR="00304132" w:rsidRPr="00AC3044" w14:paraId="73A6645D" w14:textId="77777777" w:rsidTr="00CD5E09">
        <w:trPr>
          <w:cantSplit/>
          <w:trHeight w:val="20"/>
          <w:tblHeader/>
        </w:trPr>
        <w:tc>
          <w:tcPr>
            <w:tcW w:w="817" w:type="dxa"/>
            <w:vAlign w:val="center"/>
          </w:tcPr>
          <w:p w14:paraId="694456EA" w14:textId="77777777" w:rsidR="00304132" w:rsidRPr="00AC3044" w:rsidRDefault="00304132" w:rsidP="00CD5E09">
            <w:pPr>
              <w:rPr>
                <w:rFonts w:eastAsia="SimSun"/>
                <w:lang w:val="en-US"/>
              </w:rPr>
            </w:pPr>
          </w:p>
        </w:tc>
        <w:tc>
          <w:tcPr>
            <w:tcW w:w="1701" w:type="dxa"/>
            <w:vAlign w:val="center"/>
          </w:tcPr>
          <w:p w14:paraId="7DC740D2" w14:textId="77777777" w:rsidR="00304132" w:rsidRPr="00AC3044" w:rsidRDefault="00304132" w:rsidP="00CD5E09">
            <w:pPr>
              <w:rPr>
                <w:rFonts w:eastAsia="SimSun"/>
              </w:rPr>
            </w:pPr>
            <w:r w:rsidRPr="00AC3044">
              <w:rPr>
                <w:rFonts w:eastAsia="SimSun"/>
              </w:rPr>
              <w:t>Препарат</w:t>
            </w:r>
          </w:p>
        </w:tc>
        <w:tc>
          <w:tcPr>
            <w:tcW w:w="1559" w:type="dxa"/>
            <w:vAlign w:val="center"/>
          </w:tcPr>
          <w:p w14:paraId="600EB51E" w14:textId="77777777" w:rsidR="00304132" w:rsidRPr="00AC3044" w:rsidRDefault="00304132" w:rsidP="00CD5E09">
            <w:pPr>
              <w:rPr>
                <w:rFonts w:eastAsia="SimSun"/>
              </w:rPr>
            </w:pPr>
            <w:r w:rsidRPr="00AC3044">
              <w:rPr>
                <w:rFonts w:eastAsia="SimSun"/>
              </w:rPr>
              <w:t>Суточная доза</w:t>
            </w:r>
          </w:p>
        </w:tc>
        <w:tc>
          <w:tcPr>
            <w:tcW w:w="1418" w:type="dxa"/>
            <w:vAlign w:val="center"/>
          </w:tcPr>
          <w:p w14:paraId="2F47316B" w14:textId="77777777" w:rsidR="00304132" w:rsidRPr="00AC3044" w:rsidRDefault="00304132" w:rsidP="00CD5E09">
            <w:pPr>
              <w:rPr>
                <w:rFonts w:eastAsia="SimSun"/>
              </w:rPr>
            </w:pPr>
            <w:r w:rsidRPr="00AC3044">
              <w:rPr>
                <w:rFonts w:eastAsia="SimSun"/>
              </w:rPr>
              <w:t>Курсовая доза</w:t>
            </w:r>
          </w:p>
        </w:tc>
        <w:tc>
          <w:tcPr>
            <w:tcW w:w="1701" w:type="dxa"/>
            <w:vAlign w:val="center"/>
          </w:tcPr>
          <w:p w14:paraId="593F9077" w14:textId="77777777" w:rsidR="00304132" w:rsidRPr="00AC3044" w:rsidRDefault="00304132" w:rsidP="00CD5E09">
            <w:pPr>
              <w:rPr>
                <w:rFonts w:eastAsia="SimSun"/>
              </w:rPr>
            </w:pPr>
            <w:r w:rsidRPr="00AC3044">
              <w:rPr>
                <w:rFonts w:eastAsia="SimSun"/>
              </w:rPr>
              <w:t>Дни введения</w:t>
            </w:r>
          </w:p>
        </w:tc>
        <w:tc>
          <w:tcPr>
            <w:tcW w:w="2268" w:type="dxa"/>
            <w:vAlign w:val="center"/>
          </w:tcPr>
          <w:p w14:paraId="769600B7" w14:textId="77777777" w:rsidR="00304132" w:rsidRPr="00AC3044" w:rsidRDefault="00304132" w:rsidP="00CD5E09">
            <w:pPr>
              <w:rPr>
                <w:rFonts w:eastAsia="SimSun"/>
              </w:rPr>
            </w:pPr>
            <w:r w:rsidRPr="00AC3044">
              <w:rPr>
                <w:rFonts w:eastAsia="SimSun"/>
              </w:rPr>
              <w:t>Порядок введения</w:t>
            </w:r>
          </w:p>
        </w:tc>
      </w:tr>
      <w:tr w:rsidR="00304132" w:rsidRPr="00AC3044" w14:paraId="3B81CB18" w14:textId="77777777" w:rsidTr="00CD5E09">
        <w:trPr>
          <w:cantSplit/>
          <w:trHeight w:val="20"/>
        </w:trPr>
        <w:tc>
          <w:tcPr>
            <w:tcW w:w="817" w:type="dxa"/>
            <w:vMerge w:val="restart"/>
            <w:textDirection w:val="btLr"/>
            <w:vAlign w:val="center"/>
          </w:tcPr>
          <w:p w14:paraId="5165359A" w14:textId="77777777" w:rsidR="00304132" w:rsidRPr="00AC3044" w:rsidRDefault="00304132" w:rsidP="00CD5E09">
            <w:pPr>
              <w:rPr>
                <w:rFonts w:eastAsia="SimSun"/>
              </w:rPr>
            </w:pPr>
            <w:r w:rsidRPr="00AC3044">
              <w:rPr>
                <w:rFonts w:eastAsia="SimSun"/>
              </w:rPr>
              <w:t>Кондиционирование</w:t>
            </w:r>
          </w:p>
        </w:tc>
        <w:tc>
          <w:tcPr>
            <w:tcW w:w="1701" w:type="dxa"/>
            <w:vAlign w:val="center"/>
          </w:tcPr>
          <w:p w14:paraId="32C62B7D" w14:textId="77777777" w:rsidR="00304132" w:rsidRPr="00AC3044" w:rsidRDefault="00304132" w:rsidP="00CD5E09">
            <w:pPr>
              <w:rPr>
                <w:rFonts w:eastAsia="SimSun"/>
              </w:rPr>
            </w:pPr>
            <w:r w:rsidRPr="00AC3044">
              <w:rPr>
                <w:rFonts w:eastAsia="SimSun"/>
              </w:rPr>
              <w:t xml:space="preserve">Флударабин </w:t>
            </w:r>
          </w:p>
        </w:tc>
        <w:tc>
          <w:tcPr>
            <w:tcW w:w="1559" w:type="dxa"/>
            <w:vAlign w:val="center"/>
          </w:tcPr>
          <w:p w14:paraId="777F2C61" w14:textId="77777777" w:rsidR="00304132" w:rsidRPr="0074195F" w:rsidRDefault="00304132" w:rsidP="00CD5E09">
            <w:pPr>
              <w:rPr>
                <w:rFonts w:eastAsia="SimSun"/>
                <w:vertAlign w:val="superscript"/>
              </w:rPr>
            </w:pPr>
            <w:r w:rsidRPr="00AC3044">
              <w:rPr>
                <w:rFonts w:eastAsia="SimSun"/>
              </w:rPr>
              <w:t>30 мг/м</w:t>
            </w:r>
            <w:r w:rsidRPr="0074195F">
              <w:rPr>
                <w:rFonts w:eastAsia="SimSun"/>
                <w:vertAlign w:val="superscript"/>
              </w:rPr>
              <w:t>2</w:t>
            </w:r>
          </w:p>
        </w:tc>
        <w:tc>
          <w:tcPr>
            <w:tcW w:w="1418" w:type="dxa"/>
            <w:vAlign w:val="center"/>
          </w:tcPr>
          <w:p w14:paraId="64D67A80" w14:textId="77777777" w:rsidR="00304132" w:rsidRPr="00AC3044" w:rsidRDefault="00304132" w:rsidP="00CD5E09">
            <w:pPr>
              <w:rPr>
                <w:rFonts w:eastAsia="SimSun"/>
              </w:rPr>
            </w:pPr>
            <w:r w:rsidRPr="00AC3044">
              <w:rPr>
                <w:rFonts w:eastAsia="SimSun"/>
              </w:rPr>
              <w:t>180 мг/м</w:t>
            </w:r>
            <w:r w:rsidRPr="0074195F">
              <w:rPr>
                <w:rFonts w:eastAsia="SimSun"/>
                <w:vertAlign w:val="superscript"/>
              </w:rPr>
              <w:t>2</w:t>
            </w:r>
          </w:p>
        </w:tc>
        <w:tc>
          <w:tcPr>
            <w:tcW w:w="1701" w:type="dxa"/>
            <w:vAlign w:val="center"/>
          </w:tcPr>
          <w:p w14:paraId="132664AF" w14:textId="77777777" w:rsidR="00304132" w:rsidRPr="00AC3044" w:rsidRDefault="00304132" w:rsidP="00CD5E09">
            <w:pPr>
              <w:rPr>
                <w:rFonts w:eastAsia="SimSun"/>
              </w:rPr>
            </w:pPr>
            <w:r w:rsidRPr="00AC3044">
              <w:rPr>
                <w:rFonts w:eastAsia="SimSun"/>
              </w:rPr>
              <w:t>С -7 дня по -2 день</w:t>
            </w:r>
          </w:p>
        </w:tc>
        <w:tc>
          <w:tcPr>
            <w:tcW w:w="2268" w:type="dxa"/>
            <w:vAlign w:val="center"/>
          </w:tcPr>
          <w:p w14:paraId="42F13B6E" w14:textId="77777777" w:rsidR="00304132" w:rsidRPr="00AC3044" w:rsidRDefault="00304132" w:rsidP="00CD5E09">
            <w:pPr>
              <w:rPr>
                <w:rFonts w:eastAsia="SimSun"/>
              </w:rPr>
            </w:pPr>
            <w:r w:rsidRPr="00AC3044">
              <w:rPr>
                <w:rFonts w:eastAsia="SimSun"/>
              </w:rPr>
              <w:t>В/в, в течение 30 -60 мин</w:t>
            </w:r>
          </w:p>
        </w:tc>
      </w:tr>
      <w:tr w:rsidR="00304132" w:rsidRPr="00AC3044" w14:paraId="2A962A22" w14:textId="77777777" w:rsidTr="00CD5E09">
        <w:trPr>
          <w:cantSplit/>
          <w:trHeight w:val="721"/>
        </w:trPr>
        <w:tc>
          <w:tcPr>
            <w:tcW w:w="817" w:type="dxa"/>
            <w:vMerge/>
            <w:vAlign w:val="center"/>
          </w:tcPr>
          <w:p w14:paraId="7D593347" w14:textId="77777777" w:rsidR="00304132" w:rsidRPr="00AC3044" w:rsidRDefault="00304132" w:rsidP="00CD5E09">
            <w:pPr>
              <w:rPr>
                <w:rFonts w:eastAsia="SimSun"/>
              </w:rPr>
            </w:pPr>
          </w:p>
        </w:tc>
        <w:tc>
          <w:tcPr>
            <w:tcW w:w="1701" w:type="dxa"/>
            <w:vAlign w:val="center"/>
          </w:tcPr>
          <w:p w14:paraId="621129A5" w14:textId="77777777" w:rsidR="00304132" w:rsidRPr="00AC3044" w:rsidRDefault="00304132" w:rsidP="00CD5E09">
            <w:pPr>
              <w:rPr>
                <w:rFonts w:eastAsia="SimSun"/>
              </w:rPr>
            </w:pPr>
            <w:r w:rsidRPr="00AC3044">
              <w:rPr>
                <w:rFonts w:eastAsia="SimSun"/>
              </w:rPr>
              <w:t>Циклофосфамид</w:t>
            </w:r>
          </w:p>
        </w:tc>
        <w:tc>
          <w:tcPr>
            <w:tcW w:w="1559" w:type="dxa"/>
            <w:vAlign w:val="center"/>
          </w:tcPr>
          <w:p w14:paraId="47778CB6" w14:textId="77777777" w:rsidR="00304132" w:rsidRPr="00AC3044" w:rsidRDefault="00304132" w:rsidP="00CD5E09">
            <w:pPr>
              <w:rPr>
                <w:rFonts w:eastAsia="SimSun"/>
              </w:rPr>
            </w:pPr>
            <w:r w:rsidRPr="00AC3044">
              <w:rPr>
                <w:rFonts w:eastAsia="SimSun"/>
              </w:rPr>
              <w:t>300 мг/м</w:t>
            </w:r>
            <w:r w:rsidRPr="0074195F">
              <w:rPr>
                <w:rFonts w:eastAsia="SimSun"/>
                <w:vertAlign w:val="superscript"/>
              </w:rPr>
              <w:t>2</w:t>
            </w:r>
            <w:r w:rsidRPr="00AC3044">
              <w:rPr>
                <w:rFonts w:eastAsia="SimSun"/>
              </w:rPr>
              <w:t xml:space="preserve"> </w:t>
            </w:r>
          </w:p>
        </w:tc>
        <w:tc>
          <w:tcPr>
            <w:tcW w:w="1418" w:type="dxa"/>
            <w:vAlign w:val="center"/>
          </w:tcPr>
          <w:p w14:paraId="505DFFED" w14:textId="77777777" w:rsidR="00304132" w:rsidRPr="00AC3044" w:rsidRDefault="00304132" w:rsidP="00CD5E09">
            <w:pPr>
              <w:rPr>
                <w:rFonts w:eastAsia="SimSun"/>
              </w:rPr>
            </w:pPr>
            <w:r w:rsidRPr="00AC3044">
              <w:rPr>
                <w:rFonts w:eastAsia="SimSun"/>
              </w:rPr>
              <w:t>1200 мг/м</w:t>
            </w:r>
            <w:r w:rsidRPr="0074195F">
              <w:rPr>
                <w:rFonts w:eastAsia="SimSun"/>
                <w:vertAlign w:val="superscript"/>
              </w:rPr>
              <w:t>2</w:t>
            </w:r>
          </w:p>
        </w:tc>
        <w:tc>
          <w:tcPr>
            <w:tcW w:w="1701" w:type="dxa"/>
            <w:vAlign w:val="center"/>
          </w:tcPr>
          <w:p w14:paraId="413010D2" w14:textId="77777777" w:rsidR="00304132" w:rsidRPr="00AC3044" w:rsidRDefault="00304132" w:rsidP="00CD5E09">
            <w:pPr>
              <w:rPr>
                <w:rFonts w:eastAsia="SimSun"/>
              </w:rPr>
            </w:pPr>
            <w:r w:rsidRPr="00AC3044">
              <w:rPr>
                <w:rFonts w:eastAsia="SimSun"/>
              </w:rPr>
              <w:t xml:space="preserve"> С -5 дня по -2 день </w:t>
            </w:r>
          </w:p>
        </w:tc>
        <w:tc>
          <w:tcPr>
            <w:tcW w:w="2268" w:type="dxa"/>
            <w:vAlign w:val="center"/>
          </w:tcPr>
          <w:p w14:paraId="6C022D71" w14:textId="77777777" w:rsidR="00304132" w:rsidRPr="00AC3044" w:rsidRDefault="00304132" w:rsidP="00CD5E09">
            <w:pPr>
              <w:rPr>
                <w:rFonts w:eastAsia="SimSun"/>
              </w:rPr>
            </w:pPr>
            <w:r w:rsidRPr="00AC3044">
              <w:rPr>
                <w:rFonts w:eastAsia="SimSun"/>
              </w:rPr>
              <w:t>В/в, в течение 2 часов</w:t>
            </w:r>
          </w:p>
        </w:tc>
      </w:tr>
      <w:tr w:rsidR="00304132" w:rsidRPr="00AC3044" w14:paraId="3B143296" w14:textId="77777777" w:rsidTr="00CD5E09">
        <w:trPr>
          <w:cantSplit/>
          <w:trHeight w:val="547"/>
        </w:trPr>
        <w:tc>
          <w:tcPr>
            <w:tcW w:w="817" w:type="dxa"/>
            <w:vMerge w:val="restart"/>
            <w:textDirection w:val="btLr"/>
            <w:vAlign w:val="center"/>
          </w:tcPr>
          <w:p w14:paraId="5DDB2B59" w14:textId="77777777" w:rsidR="00304132" w:rsidRPr="00AC3044" w:rsidRDefault="00304132" w:rsidP="00CD5E09">
            <w:pPr>
              <w:rPr>
                <w:rFonts w:eastAsia="SimSun"/>
              </w:rPr>
            </w:pPr>
            <w:r w:rsidRPr="00AC3044">
              <w:rPr>
                <w:rFonts w:eastAsia="SimSun"/>
              </w:rPr>
              <w:t>Профилактика РТПХ</w:t>
            </w:r>
          </w:p>
        </w:tc>
        <w:tc>
          <w:tcPr>
            <w:tcW w:w="1701" w:type="dxa"/>
            <w:vAlign w:val="center"/>
          </w:tcPr>
          <w:p w14:paraId="3C1ADCBC" w14:textId="77777777" w:rsidR="00304132" w:rsidRPr="00AC3044" w:rsidRDefault="00304132" w:rsidP="00CD5E09">
            <w:pPr>
              <w:rPr>
                <w:rFonts w:eastAsia="SimSun"/>
              </w:rPr>
            </w:pPr>
            <w:r w:rsidRPr="00AC3044">
              <w:rPr>
                <w:rFonts w:eastAsia="SimSun"/>
              </w:rPr>
              <w:t>АТГ (кроличий)</w:t>
            </w:r>
          </w:p>
        </w:tc>
        <w:tc>
          <w:tcPr>
            <w:tcW w:w="1559" w:type="dxa"/>
            <w:vAlign w:val="center"/>
          </w:tcPr>
          <w:p w14:paraId="6D92E53F" w14:textId="77777777" w:rsidR="00304132" w:rsidRPr="00AC3044" w:rsidRDefault="00304132" w:rsidP="00CD5E09">
            <w:pPr>
              <w:rPr>
                <w:rFonts w:eastAsia="SimSun"/>
              </w:rPr>
            </w:pPr>
            <w:r w:rsidRPr="00AC3044">
              <w:rPr>
                <w:rFonts w:eastAsia="SimSun"/>
              </w:rPr>
              <w:t>5 мг/кг</w:t>
            </w:r>
          </w:p>
        </w:tc>
        <w:tc>
          <w:tcPr>
            <w:tcW w:w="1418" w:type="dxa"/>
            <w:vAlign w:val="center"/>
          </w:tcPr>
          <w:p w14:paraId="377190A2" w14:textId="77777777" w:rsidR="00304132" w:rsidRPr="00AC3044" w:rsidRDefault="00304132" w:rsidP="00CD5E09">
            <w:pPr>
              <w:rPr>
                <w:rFonts w:eastAsia="SimSun"/>
              </w:rPr>
            </w:pPr>
            <w:r w:rsidRPr="00AC3044">
              <w:rPr>
                <w:rFonts w:eastAsia="SimSun"/>
              </w:rPr>
              <w:t>10 мг/кг</w:t>
            </w:r>
          </w:p>
        </w:tc>
        <w:tc>
          <w:tcPr>
            <w:tcW w:w="1701" w:type="dxa"/>
            <w:vAlign w:val="center"/>
          </w:tcPr>
          <w:p w14:paraId="1AC65C50" w14:textId="77777777" w:rsidR="00304132" w:rsidRPr="00AC3044" w:rsidRDefault="00304132" w:rsidP="00CD5E09">
            <w:pPr>
              <w:rPr>
                <w:rFonts w:eastAsia="SimSun"/>
              </w:rPr>
            </w:pPr>
            <w:r w:rsidRPr="00AC3044">
              <w:rPr>
                <w:rFonts w:eastAsia="SimSun"/>
              </w:rPr>
              <w:t>В дни -2, -1</w:t>
            </w:r>
          </w:p>
        </w:tc>
        <w:tc>
          <w:tcPr>
            <w:tcW w:w="2268" w:type="dxa"/>
            <w:vAlign w:val="center"/>
          </w:tcPr>
          <w:p w14:paraId="46D02B26" w14:textId="77777777" w:rsidR="00304132" w:rsidRPr="00AC3044" w:rsidRDefault="00304132" w:rsidP="00CD5E09">
            <w:pPr>
              <w:rPr>
                <w:rFonts w:eastAsia="SimSun"/>
              </w:rPr>
            </w:pPr>
            <w:r w:rsidRPr="00AC3044">
              <w:rPr>
                <w:rFonts w:eastAsia="SimSun"/>
              </w:rPr>
              <w:t>В/в. Суточная доза разделяется на 2 введения (см.</w:t>
            </w:r>
            <w:r>
              <w:rPr>
                <w:rFonts w:eastAsia="SimSun"/>
              </w:rPr>
              <w:t xml:space="preserve"> </w:t>
            </w:r>
            <w:r w:rsidRPr="00AC3044">
              <w:rPr>
                <w:rFonts w:eastAsia="SimSun"/>
              </w:rPr>
              <w:t>«Инфузия АТГ»)</w:t>
            </w:r>
          </w:p>
        </w:tc>
      </w:tr>
      <w:tr w:rsidR="00304132" w:rsidRPr="00AC3044" w14:paraId="2E049BAF" w14:textId="77777777" w:rsidTr="00CD5E09">
        <w:trPr>
          <w:cantSplit/>
          <w:trHeight w:val="958"/>
        </w:trPr>
        <w:tc>
          <w:tcPr>
            <w:tcW w:w="817" w:type="dxa"/>
            <w:vMerge/>
            <w:textDirection w:val="btLr"/>
            <w:vAlign w:val="center"/>
          </w:tcPr>
          <w:p w14:paraId="10E57FE8" w14:textId="77777777" w:rsidR="00304132" w:rsidRPr="00AC3044" w:rsidRDefault="00304132" w:rsidP="00CD5E09">
            <w:pPr>
              <w:rPr>
                <w:rFonts w:eastAsia="SimSun"/>
              </w:rPr>
            </w:pPr>
          </w:p>
        </w:tc>
        <w:tc>
          <w:tcPr>
            <w:tcW w:w="1701" w:type="dxa"/>
            <w:vAlign w:val="center"/>
          </w:tcPr>
          <w:p w14:paraId="4F68B1D6" w14:textId="77777777" w:rsidR="00304132" w:rsidRPr="00AC3044" w:rsidRDefault="00304132" w:rsidP="00CD5E09">
            <w:pPr>
              <w:rPr>
                <w:rFonts w:eastAsia="SimSun"/>
              </w:rPr>
            </w:pPr>
            <w:r w:rsidRPr="00AC3044">
              <w:rPr>
                <w:rFonts w:eastAsia="SimSun"/>
              </w:rPr>
              <w:t xml:space="preserve">Такролимус </w:t>
            </w:r>
          </w:p>
        </w:tc>
        <w:tc>
          <w:tcPr>
            <w:tcW w:w="1559" w:type="dxa"/>
            <w:vAlign w:val="center"/>
          </w:tcPr>
          <w:p w14:paraId="7E7B2E50" w14:textId="77777777" w:rsidR="00304132" w:rsidRPr="00AC3044" w:rsidRDefault="00304132" w:rsidP="00CD5E09">
            <w:pPr>
              <w:rPr>
                <w:rFonts w:eastAsia="SimSun"/>
              </w:rPr>
            </w:pPr>
            <w:r w:rsidRPr="00AC3044">
              <w:rPr>
                <w:rFonts w:eastAsia="SimSun"/>
              </w:rPr>
              <w:t>0,03 мг/кг</w:t>
            </w:r>
          </w:p>
        </w:tc>
        <w:tc>
          <w:tcPr>
            <w:tcW w:w="1418" w:type="dxa"/>
            <w:vAlign w:val="center"/>
          </w:tcPr>
          <w:p w14:paraId="56ACAF84" w14:textId="77777777" w:rsidR="00304132" w:rsidRPr="00AC3044" w:rsidRDefault="00304132" w:rsidP="00CD5E09">
            <w:pPr>
              <w:rPr>
                <w:rFonts w:eastAsia="SimSun"/>
              </w:rPr>
            </w:pPr>
            <w:r w:rsidRPr="00AC3044">
              <w:rPr>
                <w:rFonts w:eastAsia="SimSun"/>
              </w:rPr>
              <w:t>–</w:t>
            </w:r>
          </w:p>
        </w:tc>
        <w:tc>
          <w:tcPr>
            <w:tcW w:w="1701" w:type="dxa"/>
            <w:vAlign w:val="center"/>
          </w:tcPr>
          <w:p w14:paraId="39D64FEB" w14:textId="77777777" w:rsidR="00304132" w:rsidRPr="00AC3044" w:rsidRDefault="00304132" w:rsidP="00CD5E09">
            <w:pPr>
              <w:rPr>
                <w:rFonts w:eastAsia="SimSun"/>
              </w:rPr>
            </w:pPr>
            <w:r w:rsidRPr="00AC3044">
              <w:rPr>
                <w:rFonts w:eastAsia="SimSun"/>
              </w:rPr>
              <w:t xml:space="preserve">С -1 дня длительно </w:t>
            </w:r>
          </w:p>
        </w:tc>
        <w:tc>
          <w:tcPr>
            <w:tcW w:w="2268" w:type="dxa"/>
            <w:vAlign w:val="center"/>
          </w:tcPr>
          <w:p w14:paraId="6DC4B299" w14:textId="77777777" w:rsidR="00304132" w:rsidRPr="00AC3044" w:rsidRDefault="00304132" w:rsidP="00CD5E09">
            <w:pPr>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 </w:t>
            </w:r>
            <w:r w:rsidRPr="00AC3044">
              <w:rPr>
                <w:rFonts w:eastAsia="SimSun"/>
              </w:rPr>
              <w:t>10</w:t>
            </w:r>
            <w:r w:rsidRPr="0074195F">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304132" w:rsidRPr="00AC3044" w14:paraId="3DB62031" w14:textId="77777777" w:rsidTr="00CD5E09">
        <w:trPr>
          <w:cantSplit/>
          <w:trHeight w:val="654"/>
        </w:trPr>
        <w:tc>
          <w:tcPr>
            <w:tcW w:w="817" w:type="dxa"/>
            <w:vMerge/>
            <w:textDirection w:val="btLr"/>
            <w:vAlign w:val="center"/>
          </w:tcPr>
          <w:p w14:paraId="01D5450C" w14:textId="77777777" w:rsidR="00304132" w:rsidRPr="00AC3044" w:rsidRDefault="00304132" w:rsidP="00CD5E09">
            <w:pPr>
              <w:rPr>
                <w:rFonts w:eastAsia="SimSun"/>
              </w:rPr>
            </w:pPr>
          </w:p>
        </w:tc>
        <w:tc>
          <w:tcPr>
            <w:tcW w:w="1701" w:type="dxa"/>
            <w:vAlign w:val="center"/>
          </w:tcPr>
          <w:p w14:paraId="6DC680DF" w14:textId="77777777" w:rsidR="00304132" w:rsidRPr="00AC3044" w:rsidRDefault="00304132" w:rsidP="00CD5E09">
            <w:pPr>
              <w:rPr>
                <w:rFonts w:eastAsia="SimSun"/>
              </w:rPr>
            </w:pPr>
            <w:r w:rsidRPr="00AC3044">
              <w:rPr>
                <w:rFonts w:eastAsia="SimSun"/>
              </w:rPr>
              <w:t>Микофенолата мофетил</w:t>
            </w:r>
          </w:p>
        </w:tc>
        <w:tc>
          <w:tcPr>
            <w:tcW w:w="1559" w:type="dxa"/>
            <w:vAlign w:val="center"/>
          </w:tcPr>
          <w:p w14:paraId="734AEEF6" w14:textId="77777777" w:rsidR="00304132" w:rsidRPr="00AC3044" w:rsidRDefault="00304132" w:rsidP="00CD5E09">
            <w:pPr>
              <w:rPr>
                <w:rFonts w:eastAsia="SimSun"/>
              </w:rPr>
            </w:pPr>
            <w:r w:rsidRPr="00AC3044">
              <w:rPr>
                <w:rFonts w:eastAsia="SimSun"/>
              </w:rPr>
              <w:t xml:space="preserve">30 мг/кг </w:t>
            </w:r>
          </w:p>
        </w:tc>
        <w:tc>
          <w:tcPr>
            <w:tcW w:w="1418" w:type="dxa"/>
            <w:vAlign w:val="center"/>
          </w:tcPr>
          <w:p w14:paraId="1CBE3F31" w14:textId="77777777" w:rsidR="00304132" w:rsidRPr="00AC3044" w:rsidRDefault="00304132" w:rsidP="00CD5E09">
            <w:pPr>
              <w:rPr>
                <w:rFonts w:eastAsia="SimSun"/>
              </w:rPr>
            </w:pPr>
            <w:r w:rsidRPr="00AC3044">
              <w:rPr>
                <w:rFonts w:eastAsia="SimSun"/>
              </w:rPr>
              <w:t>–</w:t>
            </w:r>
          </w:p>
        </w:tc>
        <w:tc>
          <w:tcPr>
            <w:tcW w:w="1701" w:type="dxa"/>
            <w:vAlign w:val="center"/>
          </w:tcPr>
          <w:p w14:paraId="498AFCF6" w14:textId="77777777" w:rsidR="00304132" w:rsidRPr="00AC3044" w:rsidRDefault="00304132" w:rsidP="00CD5E09">
            <w:pPr>
              <w:rPr>
                <w:rFonts w:eastAsia="SimSun"/>
              </w:rPr>
            </w:pPr>
            <w:r w:rsidRPr="00AC3044">
              <w:rPr>
                <w:rFonts w:eastAsia="SimSun"/>
              </w:rPr>
              <w:t xml:space="preserve">С -1 дня по +30 день </w:t>
            </w:r>
          </w:p>
        </w:tc>
        <w:tc>
          <w:tcPr>
            <w:tcW w:w="2268" w:type="dxa"/>
            <w:vAlign w:val="center"/>
          </w:tcPr>
          <w:p w14:paraId="7417521D" w14:textId="77777777" w:rsidR="00304132" w:rsidRPr="00AC3044" w:rsidRDefault="00304132" w:rsidP="00CD5E09">
            <w:pPr>
              <w:rPr>
                <w:rFonts w:eastAsia="SimSun"/>
              </w:rPr>
            </w:pPr>
            <w:r w:rsidRPr="00AC3044">
              <w:rPr>
                <w:rFonts w:eastAsia="SimSun"/>
              </w:rPr>
              <w:t xml:space="preserve">Внутрь, суммарная суточная доза разделяется на 2- 4 приема (не более 3г/сут).  </w:t>
            </w:r>
          </w:p>
        </w:tc>
      </w:tr>
    </w:tbl>
    <w:p w14:paraId="0EFDC2CF" w14:textId="77777777" w:rsidR="00304132" w:rsidRPr="00C07B2E" w:rsidRDefault="00304132" w:rsidP="00304132">
      <w:pPr>
        <w:rPr>
          <w:rFonts w:eastAsia="SimSun"/>
        </w:rPr>
      </w:pPr>
    </w:p>
    <w:p w14:paraId="38272BDB" w14:textId="77777777" w:rsidR="00304132" w:rsidRPr="00C07B2E" w:rsidRDefault="00304132" w:rsidP="00304132">
      <w:pPr>
        <w:rPr>
          <w:rFonts w:eastAsia="SimSun"/>
        </w:rPr>
      </w:pPr>
      <w:bookmarkStart w:id="361" w:name="_Toc44401221"/>
      <w:r w:rsidRPr="00EE51B1">
        <w:rPr>
          <w:rFonts w:eastAsia="SimSun"/>
        </w:rPr>
        <w:t>Таблица</w:t>
      </w:r>
      <w:r w:rsidRPr="00C07B2E">
        <w:rPr>
          <w:rFonts w:eastAsia="SimSun"/>
        </w:rPr>
        <w:t xml:space="preserve"> </w:t>
      </w:r>
      <w:r>
        <w:rPr>
          <w:rFonts w:eastAsia="SimSun"/>
        </w:rPr>
        <w:t>5.</w:t>
      </w:r>
      <w:r w:rsidRPr="00C07B2E">
        <w:rPr>
          <w:rFonts w:eastAsia="SimSun"/>
        </w:rPr>
        <w:t>2.2.21 – Flu180+Mel100/ PT-Cy+Tx+MMF30</w:t>
      </w:r>
      <w:bookmarkEnd w:id="361"/>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1701"/>
        <w:gridCol w:w="1559"/>
        <w:gridCol w:w="1418"/>
        <w:gridCol w:w="1701"/>
        <w:gridCol w:w="2268"/>
      </w:tblGrid>
      <w:tr w:rsidR="00304132" w:rsidRPr="00AC3044" w14:paraId="6AB84098" w14:textId="77777777" w:rsidTr="00CD5E09">
        <w:trPr>
          <w:cantSplit/>
          <w:trHeight w:val="20"/>
          <w:tblHeader/>
        </w:trPr>
        <w:tc>
          <w:tcPr>
            <w:tcW w:w="817" w:type="dxa"/>
            <w:vAlign w:val="center"/>
          </w:tcPr>
          <w:p w14:paraId="51CA544A" w14:textId="77777777" w:rsidR="00304132" w:rsidRPr="00AC3044" w:rsidRDefault="00304132" w:rsidP="00CD5E09">
            <w:pPr>
              <w:rPr>
                <w:rFonts w:eastAsia="SimSun"/>
              </w:rPr>
            </w:pPr>
          </w:p>
        </w:tc>
        <w:tc>
          <w:tcPr>
            <w:tcW w:w="1701" w:type="dxa"/>
            <w:vAlign w:val="center"/>
          </w:tcPr>
          <w:p w14:paraId="5A106BA7" w14:textId="77777777" w:rsidR="00304132" w:rsidRPr="00AC3044" w:rsidRDefault="00304132" w:rsidP="00CD5E09">
            <w:pPr>
              <w:rPr>
                <w:rFonts w:eastAsia="SimSun"/>
              </w:rPr>
            </w:pPr>
            <w:r w:rsidRPr="00AC3044">
              <w:rPr>
                <w:rFonts w:eastAsia="SimSun"/>
              </w:rPr>
              <w:t>Препарат</w:t>
            </w:r>
          </w:p>
        </w:tc>
        <w:tc>
          <w:tcPr>
            <w:tcW w:w="1559" w:type="dxa"/>
            <w:vAlign w:val="center"/>
          </w:tcPr>
          <w:p w14:paraId="42FEDE87" w14:textId="77777777" w:rsidR="00304132" w:rsidRPr="00AC3044" w:rsidRDefault="00304132" w:rsidP="00CD5E09">
            <w:pPr>
              <w:rPr>
                <w:rFonts w:eastAsia="SimSun"/>
              </w:rPr>
            </w:pPr>
            <w:r w:rsidRPr="00AC3044">
              <w:rPr>
                <w:rFonts w:eastAsia="SimSun"/>
              </w:rPr>
              <w:t>Суточная доза</w:t>
            </w:r>
          </w:p>
        </w:tc>
        <w:tc>
          <w:tcPr>
            <w:tcW w:w="1418" w:type="dxa"/>
            <w:vAlign w:val="center"/>
          </w:tcPr>
          <w:p w14:paraId="46ABBA5B" w14:textId="77777777" w:rsidR="00304132" w:rsidRPr="00AC3044" w:rsidRDefault="00304132" w:rsidP="00CD5E09">
            <w:pPr>
              <w:rPr>
                <w:rFonts w:eastAsia="SimSun"/>
              </w:rPr>
            </w:pPr>
            <w:r w:rsidRPr="00AC3044">
              <w:rPr>
                <w:rFonts w:eastAsia="SimSun"/>
              </w:rPr>
              <w:t>Курсовая доза</w:t>
            </w:r>
          </w:p>
        </w:tc>
        <w:tc>
          <w:tcPr>
            <w:tcW w:w="1701" w:type="dxa"/>
            <w:vAlign w:val="center"/>
          </w:tcPr>
          <w:p w14:paraId="451922AE" w14:textId="77777777" w:rsidR="00304132" w:rsidRPr="00AC3044" w:rsidRDefault="00304132" w:rsidP="00CD5E09">
            <w:pPr>
              <w:rPr>
                <w:rFonts w:eastAsia="SimSun"/>
              </w:rPr>
            </w:pPr>
            <w:r w:rsidRPr="00AC3044">
              <w:rPr>
                <w:rFonts w:eastAsia="SimSun"/>
              </w:rPr>
              <w:t>Дни введения</w:t>
            </w:r>
          </w:p>
        </w:tc>
        <w:tc>
          <w:tcPr>
            <w:tcW w:w="2268" w:type="dxa"/>
            <w:vAlign w:val="center"/>
          </w:tcPr>
          <w:p w14:paraId="70543D15" w14:textId="77777777" w:rsidR="00304132" w:rsidRPr="00AC3044" w:rsidRDefault="00304132" w:rsidP="00CD5E09">
            <w:pPr>
              <w:rPr>
                <w:rFonts w:eastAsia="SimSun"/>
              </w:rPr>
            </w:pPr>
            <w:r w:rsidRPr="00AC3044">
              <w:rPr>
                <w:rFonts w:eastAsia="SimSun"/>
              </w:rPr>
              <w:t>Порядок введения</w:t>
            </w:r>
          </w:p>
        </w:tc>
      </w:tr>
      <w:tr w:rsidR="00304132" w:rsidRPr="00AC3044" w14:paraId="4854C8A5" w14:textId="77777777" w:rsidTr="00CD5E09">
        <w:trPr>
          <w:cantSplit/>
          <w:trHeight w:val="20"/>
        </w:trPr>
        <w:tc>
          <w:tcPr>
            <w:tcW w:w="817" w:type="dxa"/>
            <w:vMerge w:val="restart"/>
            <w:textDirection w:val="btLr"/>
            <w:vAlign w:val="center"/>
          </w:tcPr>
          <w:p w14:paraId="3992EBB3" w14:textId="77777777" w:rsidR="00304132" w:rsidRPr="00AC3044" w:rsidRDefault="00304132" w:rsidP="00CD5E09">
            <w:pPr>
              <w:rPr>
                <w:rFonts w:eastAsia="SimSun"/>
              </w:rPr>
            </w:pPr>
            <w:r w:rsidRPr="00AC3044">
              <w:rPr>
                <w:rFonts w:eastAsia="SimSun"/>
              </w:rPr>
              <w:t>Кондиционирование</w:t>
            </w:r>
          </w:p>
        </w:tc>
        <w:tc>
          <w:tcPr>
            <w:tcW w:w="1701" w:type="dxa"/>
            <w:vAlign w:val="center"/>
          </w:tcPr>
          <w:p w14:paraId="5468FBC2" w14:textId="77777777" w:rsidR="00304132" w:rsidRPr="00AC3044" w:rsidRDefault="00304132" w:rsidP="00CD5E09">
            <w:pPr>
              <w:rPr>
                <w:rFonts w:eastAsia="SimSun"/>
              </w:rPr>
            </w:pPr>
            <w:r w:rsidRPr="00AC3044">
              <w:rPr>
                <w:rFonts w:eastAsia="SimSun"/>
              </w:rPr>
              <w:t xml:space="preserve">Флударабин </w:t>
            </w:r>
          </w:p>
        </w:tc>
        <w:tc>
          <w:tcPr>
            <w:tcW w:w="1559" w:type="dxa"/>
            <w:vAlign w:val="center"/>
          </w:tcPr>
          <w:p w14:paraId="5A8F1120" w14:textId="77777777" w:rsidR="00304132" w:rsidRPr="00AC3044" w:rsidRDefault="00304132" w:rsidP="00CD5E09">
            <w:pPr>
              <w:rPr>
                <w:rFonts w:eastAsia="SimSun"/>
              </w:rPr>
            </w:pPr>
            <w:r w:rsidRPr="00AC3044">
              <w:rPr>
                <w:rFonts w:eastAsia="SimSun"/>
              </w:rPr>
              <w:t>30 мг/м</w:t>
            </w:r>
            <w:r w:rsidRPr="0074195F">
              <w:rPr>
                <w:rFonts w:eastAsia="SimSun"/>
                <w:vertAlign w:val="superscript"/>
              </w:rPr>
              <w:t>2</w:t>
            </w:r>
          </w:p>
        </w:tc>
        <w:tc>
          <w:tcPr>
            <w:tcW w:w="1418" w:type="dxa"/>
            <w:vAlign w:val="center"/>
          </w:tcPr>
          <w:p w14:paraId="3D90D5B0" w14:textId="77777777" w:rsidR="00304132" w:rsidRPr="00AC3044" w:rsidRDefault="00304132" w:rsidP="00CD5E09">
            <w:pPr>
              <w:rPr>
                <w:rFonts w:eastAsia="SimSun"/>
              </w:rPr>
            </w:pPr>
            <w:r w:rsidRPr="00AC3044">
              <w:rPr>
                <w:rFonts w:eastAsia="SimSun"/>
              </w:rPr>
              <w:t>180 мг/м</w:t>
            </w:r>
            <w:r w:rsidRPr="0074195F">
              <w:rPr>
                <w:rFonts w:eastAsia="SimSun"/>
                <w:vertAlign w:val="superscript"/>
              </w:rPr>
              <w:t>2</w:t>
            </w:r>
          </w:p>
        </w:tc>
        <w:tc>
          <w:tcPr>
            <w:tcW w:w="1701" w:type="dxa"/>
            <w:vAlign w:val="center"/>
          </w:tcPr>
          <w:p w14:paraId="78628B57" w14:textId="77777777" w:rsidR="00304132" w:rsidRPr="00AC3044" w:rsidRDefault="00304132" w:rsidP="00CD5E09">
            <w:pPr>
              <w:rPr>
                <w:rFonts w:eastAsia="SimSun"/>
              </w:rPr>
            </w:pPr>
            <w:r w:rsidRPr="00AC3044">
              <w:rPr>
                <w:rFonts w:eastAsia="SimSun"/>
              </w:rPr>
              <w:t>С -7 дня по -2 день</w:t>
            </w:r>
          </w:p>
        </w:tc>
        <w:tc>
          <w:tcPr>
            <w:tcW w:w="2268" w:type="dxa"/>
            <w:vAlign w:val="center"/>
          </w:tcPr>
          <w:p w14:paraId="7788709A" w14:textId="77777777" w:rsidR="00304132" w:rsidRPr="00AC3044" w:rsidRDefault="00304132" w:rsidP="00CD5E09">
            <w:pPr>
              <w:rPr>
                <w:rFonts w:eastAsia="SimSun"/>
              </w:rPr>
            </w:pPr>
            <w:r w:rsidRPr="00AC3044">
              <w:rPr>
                <w:rFonts w:eastAsia="SimSun"/>
              </w:rPr>
              <w:t>В/в, в течение 30 -60 мин</w:t>
            </w:r>
          </w:p>
        </w:tc>
      </w:tr>
      <w:tr w:rsidR="00304132" w:rsidRPr="00AC3044" w14:paraId="3A6F0044" w14:textId="77777777" w:rsidTr="00CD5E09">
        <w:trPr>
          <w:cantSplit/>
          <w:trHeight w:val="450"/>
        </w:trPr>
        <w:tc>
          <w:tcPr>
            <w:tcW w:w="817" w:type="dxa"/>
            <w:vMerge/>
            <w:vAlign w:val="center"/>
          </w:tcPr>
          <w:p w14:paraId="77A22FCA" w14:textId="77777777" w:rsidR="00304132" w:rsidRPr="00AC3044" w:rsidRDefault="00304132" w:rsidP="00CD5E09">
            <w:pPr>
              <w:rPr>
                <w:rFonts w:eastAsia="SimSun"/>
              </w:rPr>
            </w:pPr>
          </w:p>
        </w:tc>
        <w:tc>
          <w:tcPr>
            <w:tcW w:w="1701" w:type="dxa"/>
            <w:vAlign w:val="center"/>
          </w:tcPr>
          <w:p w14:paraId="24104E06" w14:textId="77777777" w:rsidR="00304132" w:rsidRPr="00AC3044" w:rsidRDefault="00304132" w:rsidP="00CD5E09">
            <w:pPr>
              <w:rPr>
                <w:rFonts w:eastAsia="SimSun"/>
              </w:rPr>
            </w:pPr>
            <w:r w:rsidRPr="00AC3044">
              <w:rPr>
                <w:rFonts w:eastAsia="SimSun"/>
              </w:rPr>
              <w:t>Мелфалан</w:t>
            </w:r>
          </w:p>
        </w:tc>
        <w:tc>
          <w:tcPr>
            <w:tcW w:w="1559" w:type="dxa"/>
            <w:vAlign w:val="center"/>
          </w:tcPr>
          <w:p w14:paraId="208DF68D" w14:textId="77777777" w:rsidR="00304132" w:rsidRPr="00AC3044" w:rsidRDefault="00304132" w:rsidP="00CD5E09">
            <w:pPr>
              <w:rPr>
                <w:rFonts w:eastAsia="SimSun"/>
              </w:rPr>
            </w:pPr>
            <w:r w:rsidRPr="00AC3044">
              <w:rPr>
                <w:rFonts w:eastAsia="SimSun"/>
              </w:rPr>
              <w:t>100 мг/м</w:t>
            </w:r>
            <w:r w:rsidRPr="0074195F">
              <w:rPr>
                <w:rFonts w:eastAsia="SimSun"/>
                <w:vertAlign w:val="superscript"/>
              </w:rPr>
              <w:t>2</w:t>
            </w:r>
            <w:r w:rsidRPr="00AC3044">
              <w:rPr>
                <w:rFonts w:eastAsia="SimSun"/>
              </w:rPr>
              <w:t xml:space="preserve"> </w:t>
            </w:r>
          </w:p>
        </w:tc>
        <w:tc>
          <w:tcPr>
            <w:tcW w:w="1418" w:type="dxa"/>
            <w:vAlign w:val="center"/>
          </w:tcPr>
          <w:p w14:paraId="013845CF" w14:textId="77777777" w:rsidR="00304132" w:rsidRPr="00AC3044" w:rsidRDefault="00304132" w:rsidP="00CD5E09">
            <w:pPr>
              <w:rPr>
                <w:rFonts w:eastAsia="SimSun"/>
              </w:rPr>
            </w:pPr>
            <w:r w:rsidRPr="00AC3044">
              <w:rPr>
                <w:rFonts w:eastAsia="SimSun"/>
              </w:rPr>
              <w:t>100 мг/м</w:t>
            </w:r>
            <w:r w:rsidRPr="0074195F">
              <w:rPr>
                <w:rFonts w:eastAsia="SimSun"/>
                <w:vertAlign w:val="superscript"/>
              </w:rPr>
              <w:t>2</w:t>
            </w:r>
          </w:p>
        </w:tc>
        <w:tc>
          <w:tcPr>
            <w:tcW w:w="1701" w:type="dxa"/>
            <w:vAlign w:val="center"/>
          </w:tcPr>
          <w:p w14:paraId="66DACDB8" w14:textId="77777777" w:rsidR="00304132" w:rsidRPr="00AC3044" w:rsidRDefault="00304132" w:rsidP="00CD5E09">
            <w:pPr>
              <w:rPr>
                <w:rFonts w:eastAsia="SimSun"/>
              </w:rPr>
            </w:pPr>
            <w:r w:rsidRPr="00AC3044">
              <w:rPr>
                <w:rFonts w:eastAsia="SimSun"/>
              </w:rPr>
              <w:t xml:space="preserve">В -2 день </w:t>
            </w:r>
          </w:p>
        </w:tc>
        <w:tc>
          <w:tcPr>
            <w:tcW w:w="2268" w:type="dxa"/>
            <w:vAlign w:val="center"/>
          </w:tcPr>
          <w:p w14:paraId="7312FC89" w14:textId="77777777" w:rsidR="00304132" w:rsidRPr="00AC3044" w:rsidRDefault="00304132" w:rsidP="00CD5E09">
            <w:pPr>
              <w:rPr>
                <w:rFonts w:eastAsia="SimSun"/>
              </w:rPr>
            </w:pPr>
            <w:r w:rsidRPr="00AC3044">
              <w:rPr>
                <w:rFonts w:eastAsia="SimSun"/>
              </w:rPr>
              <w:t>В/в, в течение 1 часа</w:t>
            </w:r>
          </w:p>
        </w:tc>
      </w:tr>
      <w:tr w:rsidR="00304132" w:rsidRPr="00AC3044" w14:paraId="2E553D3E" w14:textId="77777777" w:rsidTr="00CD5E09">
        <w:trPr>
          <w:cantSplit/>
          <w:trHeight w:val="450"/>
        </w:trPr>
        <w:tc>
          <w:tcPr>
            <w:tcW w:w="817" w:type="dxa"/>
            <w:vMerge w:val="restart"/>
            <w:textDirection w:val="btLr"/>
            <w:vAlign w:val="center"/>
          </w:tcPr>
          <w:p w14:paraId="4F6A0B24" w14:textId="77777777" w:rsidR="00304132" w:rsidRPr="00AC3044" w:rsidRDefault="00304132" w:rsidP="00CD5E09">
            <w:pPr>
              <w:rPr>
                <w:rFonts w:eastAsia="SimSun"/>
              </w:rPr>
            </w:pPr>
            <w:r w:rsidRPr="00AC3044">
              <w:rPr>
                <w:rFonts w:eastAsia="SimSun"/>
              </w:rPr>
              <w:t>Профилактика РТПХ</w:t>
            </w:r>
          </w:p>
        </w:tc>
        <w:tc>
          <w:tcPr>
            <w:tcW w:w="1701" w:type="dxa"/>
            <w:vAlign w:val="center"/>
          </w:tcPr>
          <w:p w14:paraId="323A4722" w14:textId="77777777" w:rsidR="00304132" w:rsidRPr="00AC3044" w:rsidRDefault="00304132" w:rsidP="00CD5E09">
            <w:pPr>
              <w:rPr>
                <w:rFonts w:eastAsia="SimSun"/>
              </w:rPr>
            </w:pPr>
            <w:r w:rsidRPr="00AC3044">
              <w:rPr>
                <w:rFonts w:eastAsia="SimSun"/>
              </w:rPr>
              <w:t>Циклофосфамид</w:t>
            </w:r>
          </w:p>
        </w:tc>
        <w:tc>
          <w:tcPr>
            <w:tcW w:w="1559" w:type="dxa"/>
            <w:vAlign w:val="center"/>
          </w:tcPr>
          <w:p w14:paraId="00C7C224" w14:textId="77777777" w:rsidR="00304132" w:rsidRPr="00AC3044" w:rsidRDefault="00304132" w:rsidP="00CD5E09">
            <w:pPr>
              <w:rPr>
                <w:rFonts w:eastAsia="SimSun"/>
              </w:rPr>
            </w:pPr>
            <w:r w:rsidRPr="00AC3044">
              <w:rPr>
                <w:rFonts w:eastAsia="SimSun"/>
              </w:rPr>
              <w:t>50 мг/кг</w:t>
            </w:r>
          </w:p>
        </w:tc>
        <w:tc>
          <w:tcPr>
            <w:tcW w:w="1418" w:type="dxa"/>
            <w:vAlign w:val="center"/>
          </w:tcPr>
          <w:p w14:paraId="0A6F89F1" w14:textId="77777777" w:rsidR="00304132" w:rsidRPr="00AC3044" w:rsidRDefault="00304132" w:rsidP="00CD5E09">
            <w:pPr>
              <w:rPr>
                <w:rFonts w:eastAsia="SimSun"/>
              </w:rPr>
            </w:pPr>
            <w:r w:rsidRPr="00AC3044">
              <w:rPr>
                <w:rFonts w:eastAsia="SimSun"/>
              </w:rPr>
              <w:t>100 мг/кг</w:t>
            </w:r>
          </w:p>
        </w:tc>
        <w:tc>
          <w:tcPr>
            <w:tcW w:w="1701" w:type="dxa"/>
            <w:vAlign w:val="center"/>
          </w:tcPr>
          <w:p w14:paraId="740B9221" w14:textId="77777777" w:rsidR="00304132" w:rsidRPr="00AC3044" w:rsidRDefault="00304132" w:rsidP="00CD5E09">
            <w:pPr>
              <w:rPr>
                <w:rFonts w:eastAsia="SimSun"/>
              </w:rPr>
            </w:pPr>
            <w:r w:rsidRPr="00AC3044">
              <w:rPr>
                <w:rFonts w:eastAsia="SimSun"/>
              </w:rPr>
              <w:t xml:space="preserve">+3,+4 дни </w:t>
            </w:r>
          </w:p>
        </w:tc>
        <w:tc>
          <w:tcPr>
            <w:tcW w:w="2268" w:type="dxa"/>
            <w:vAlign w:val="center"/>
          </w:tcPr>
          <w:p w14:paraId="7AF1EE70" w14:textId="77777777" w:rsidR="00304132" w:rsidRPr="00AC3044" w:rsidRDefault="00304132" w:rsidP="00CD5E09">
            <w:pPr>
              <w:rPr>
                <w:rFonts w:eastAsia="SimSun"/>
              </w:rPr>
            </w:pPr>
            <w:r w:rsidRPr="00AC3044">
              <w:rPr>
                <w:rFonts w:eastAsia="SimSun"/>
              </w:rPr>
              <w:t>В/в, в течение 2 часов</w:t>
            </w:r>
          </w:p>
        </w:tc>
      </w:tr>
      <w:tr w:rsidR="00304132" w:rsidRPr="00AC3044" w14:paraId="76850E40" w14:textId="77777777" w:rsidTr="00CD5E09">
        <w:trPr>
          <w:cantSplit/>
          <w:trHeight w:val="958"/>
        </w:trPr>
        <w:tc>
          <w:tcPr>
            <w:tcW w:w="817" w:type="dxa"/>
            <w:vMerge/>
            <w:textDirection w:val="btLr"/>
            <w:vAlign w:val="center"/>
          </w:tcPr>
          <w:p w14:paraId="171B456C" w14:textId="77777777" w:rsidR="00304132" w:rsidRPr="00AC3044" w:rsidRDefault="00304132" w:rsidP="00CD5E09">
            <w:pPr>
              <w:rPr>
                <w:rFonts w:eastAsia="SimSun"/>
              </w:rPr>
            </w:pPr>
          </w:p>
        </w:tc>
        <w:tc>
          <w:tcPr>
            <w:tcW w:w="1701" w:type="dxa"/>
            <w:vAlign w:val="center"/>
          </w:tcPr>
          <w:p w14:paraId="0C43082B" w14:textId="77777777" w:rsidR="00304132" w:rsidRPr="00AC3044" w:rsidRDefault="00304132" w:rsidP="00CD5E09">
            <w:pPr>
              <w:rPr>
                <w:rFonts w:eastAsia="SimSun"/>
              </w:rPr>
            </w:pPr>
            <w:r w:rsidRPr="00AC3044">
              <w:rPr>
                <w:rFonts w:eastAsia="SimSun"/>
              </w:rPr>
              <w:t xml:space="preserve">Такролимус </w:t>
            </w:r>
          </w:p>
        </w:tc>
        <w:tc>
          <w:tcPr>
            <w:tcW w:w="1559" w:type="dxa"/>
            <w:vAlign w:val="center"/>
          </w:tcPr>
          <w:p w14:paraId="029D1B7D" w14:textId="77777777" w:rsidR="00304132" w:rsidRPr="00AC3044" w:rsidRDefault="00304132" w:rsidP="00CD5E09">
            <w:pPr>
              <w:rPr>
                <w:rFonts w:eastAsia="SimSun"/>
              </w:rPr>
            </w:pPr>
            <w:r w:rsidRPr="00AC3044">
              <w:rPr>
                <w:rFonts w:eastAsia="SimSun"/>
              </w:rPr>
              <w:t>0,03 мг/кг</w:t>
            </w:r>
          </w:p>
        </w:tc>
        <w:tc>
          <w:tcPr>
            <w:tcW w:w="1418" w:type="dxa"/>
            <w:vAlign w:val="center"/>
          </w:tcPr>
          <w:p w14:paraId="603430EC" w14:textId="77777777" w:rsidR="00304132" w:rsidRPr="00AC3044" w:rsidRDefault="00304132" w:rsidP="00CD5E09">
            <w:pPr>
              <w:rPr>
                <w:rFonts w:eastAsia="SimSun"/>
              </w:rPr>
            </w:pPr>
            <w:r w:rsidRPr="00AC3044">
              <w:rPr>
                <w:rFonts w:eastAsia="SimSun"/>
              </w:rPr>
              <w:t>–</w:t>
            </w:r>
          </w:p>
        </w:tc>
        <w:tc>
          <w:tcPr>
            <w:tcW w:w="1701" w:type="dxa"/>
            <w:vAlign w:val="center"/>
          </w:tcPr>
          <w:p w14:paraId="4D45B583" w14:textId="77777777" w:rsidR="00304132" w:rsidRPr="00AC3044" w:rsidRDefault="00304132" w:rsidP="00CD5E09">
            <w:pPr>
              <w:rPr>
                <w:rFonts w:eastAsia="SimSun"/>
              </w:rPr>
            </w:pPr>
            <w:r w:rsidRPr="00AC3044">
              <w:rPr>
                <w:rFonts w:eastAsia="SimSun"/>
              </w:rPr>
              <w:t xml:space="preserve">С -1 дня длительно </w:t>
            </w:r>
          </w:p>
        </w:tc>
        <w:tc>
          <w:tcPr>
            <w:tcW w:w="2268" w:type="dxa"/>
            <w:vAlign w:val="center"/>
          </w:tcPr>
          <w:p w14:paraId="06514307" w14:textId="77777777" w:rsidR="00304132" w:rsidRPr="00AC3044" w:rsidRDefault="00304132" w:rsidP="00CD5E09">
            <w:pPr>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w:t>
            </w:r>
            <w:r w:rsidRPr="00AC3044">
              <w:rPr>
                <w:rFonts w:eastAsia="SimSun"/>
              </w:rPr>
              <w:t xml:space="preserve"> 10</w:t>
            </w:r>
            <w:r w:rsidRPr="0074195F">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304132" w:rsidRPr="00AC3044" w14:paraId="6EB1D6B8" w14:textId="77777777" w:rsidTr="00CD5E09">
        <w:trPr>
          <w:cantSplit/>
          <w:trHeight w:val="528"/>
        </w:trPr>
        <w:tc>
          <w:tcPr>
            <w:tcW w:w="817" w:type="dxa"/>
            <w:vMerge/>
            <w:textDirection w:val="btLr"/>
            <w:vAlign w:val="center"/>
          </w:tcPr>
          <w:p w14:paraId="69809B9E" w14:textId="77777777" w:rsidR="00304132" w:rsidRPr="00AC3044" w:rsidRDefault="00304132" w:rsidP="00CD5E09">
            <w:pPr>
              <w:rPr>
                <w:rFonts w:eastAsia="SimSun"/>
              </w:rPr>
            </w:pPr>
          </w:p>
        </w:tc>
        <w:tc>
          <w:tcPr>
            <w:tcW w:w="1701" w:type="dxa"/>
            <w:vAlign w:val="center"/>
          </w:tcPr>
          <w:p w14:paraId="05DEEBAC" w14:textId="77777777" w:rsidR="00304132" w:rsidRPr="00AC3044" w:rsidRDefault="00304132" w:rsidP="00CD5E09">
            <w:pPr>
              <w:rPr>
                <w:rFonts w:eastAsia="SimSun"/>
              </w:rPr>
            </w:pPr>
            <w:r w:rsidRPr="00AC3044">
              <w:rPr>
                <w:rFonts w:eastAsia="SimSun"/>
              </w:rPr>
              <w:t>Микофенолата мофетил</w:t>
            </w:r>
          </w:p>
        </w:tc>
        <w:tc>
          <w:tcPr>
            <w:tcW w:w="1559" w:type="dxa"/>
            <w:vAlign w:val="center"/>
          </w:tcPr>
          <w:p w14:paraId="5403CED8" w14:textId="77777777" w:rsidR="00304132" w:rsidRPr="00AC3044" w:rsidRDefault="00304132" w:rsidP="00CD5E09">
            <w:pPr>
              <w:rPr>
                <w:rFonts w:eastAsia="SimSun"/>
              </w:rPr>
            </w:pPr>
            <w:r w:rsidRPr="00AC3044">
              <w:rPr>
                <w:rFonts w:eastAsia="SimSun"/>
              </w:rPr>
              <w:t xml:space="preserve">30 мг/кг </w:t>
            </w:r>
          </w:p>
        </w:tc>
        <w:tc>
          <w:tcPr>
            <w:tcW w:w="1418" w:type="dxa"/>
            <w:vAlign w:val="center"/>
          </w:tcPr>
          <w:p w14:paraId="31231880" w14:textId="77777777" w:rsidR="00304132" w:rsidRPr="00AC3044" w:rsidRDefault="00304132" w:rsidP="00CD5E09">
            <w:pPr>
              <w:rPr>
                <w:rFonts w:eastAsia="SimSun"/>
              </w:rPr>
            </w:pPr>
            <w:r w:rsidRPr="00AC3044">
              <w:rPr>
                <w:rFonts w:eastAsia="SimSun"/>
              </w:rPr>
              <w:t>–</w:t>
            </w:r>
          </w:p>
        </w:tc>
        <w:tc>
          <w:tcPr>
            <w:tcW w:w="1701" w:type="dxa"/>
            <w:vAlign w:val="center"/>
          </w:tcPr>
          <w:p w14:paraId="2A6FACC9" w14:textId="77777777" w:rsidR="00304132" w:rsidRPr="00AC3044" w:rsidRDefault="00304132" w:rsidP="00CD5E09">
            <w:pPr>
              <w:rPr>
                <w:rFonts w:eastAsia="SimSun"/>
              </w:rPr>
            </w:pPr>
            <w:r w:rsidRPr="00AC3044">
              <w:rPr>
                <w:rFonts w:eastAsia="SimSun"/>
              </w:rPr>
              <w:t xml:space="preserve">С -1 дня по +30 день </w:t>
            </w:r>
          </w:p>
        </w:tc>
        <w:tc>
          <w:tcPr>
            <w:tcW w:w="2268" w:type="dxa"/>
            <w:vAlign w:val="center"/>
          </w:tcPr>
          <w:p w14:paraId="19445D09" w14:textId="77777777" w:rsidR="00304132" w:rsidRPr="00AC3044" w:rsidRDefault="00304132" w:rsidP="00CD5E09">
            <w:pPr>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 xml:space="preserve">г/сут).  </w:t>
            </w:r>
          </w:p>
        </w:tc>
      </w:tr>
    </w:tbl>
    <w:p w14:paraId="37873061" w14:textId="77777777" w:rsidR="00304132" w:rsidRPr="00C07B2E" w:rsidRDefault="00304132" w:rsidP="00304132">
      <w:pPr>
        <w:rPr>
          <w:rFonts w:eastAsia="SimSun"/>
        </w:rPr>
        <w:sectPr w:rsidR="00304132" w:rsidRPr="00C07B2E" w:rsidSect="00CD5E09">
          <w:footerReference w:type="default" r:id="rId20"/>
          <w:type w:val="continuous"/>
          <w:pgSz w:w="11907" w:h="16839" w:code="9"/>
          <w:pgMar w:top="1134" w:right="850" w:bottom="1134" w:left="1701" w:header="709" w:footer="567" w:gutter="0"/>
          <w:cols w:space="708"/>
          <w:docGrid w:linePitch="360"/>
        </w:sectPr>
      </w:pPr>
    </w:p>
    <w:p w14:paraId="5857C37E" w14:textId="77777777" w:rsidR="00304132" w:rsidRPr="0074195F" w:rsidRDefault="00304132" w:rsidP="00304132">
      <w:pPr>
        <w:rPr>
          <w:rFonts w:eastAsia="SimSun"/>
        </w:rPr>
      </w:pPr>
      <w:bookmarkStart w:id="362" w:name="_Toc44401222"/>
    </w:p>
    <w:p w14:paraId="39F392D7" w14:textId="77777777" w:rsidR="00304132" w:rsidRPr="00030511" w:rsidRDefault="00304132" w:rsidP="00304132">
      <w:pPr>
        <w:rPr>
          <w:rFonts w:eastAsia="SimSun"/>
          <w:i/>
          <w:u w:val="single"/>
        </w:rPr>
      </w:pPr>
      <w:r w:rsidRPr="00030511">
        <w:rPr>
          <w:rFonts w:eastAsia="SimSun"/>
          <w:i/>
          <w:u w:val="single"/>
        </w:rPr>
        <w:t>3. Неродственный частично совместимый или родственный гаплоидентичный донор</w:t>
      </w:r>
      <w:bookmarkEnd w:id="362"/>
    </w:p>
    <w:p w14:paraId="50550251" w14:textId="77777777" w:rsidR="00304132" w:rsidRDefault="00304132" w:rsidP="00304132">
      <w:pPr>
        <w:rPr>
          <w:rFonts w:eastAsia="SimSun"/>
        </w:rPr>
      </w:pPr>
      <w:bookmarkStart w:id="363" w:name="_Toc44401223"/>
    </w:p>
    <w:bookmarkEnd w:id="363"/>
    <w:p w14:paraId="6846D0D0" w14:textId="77777777" w:rsidR="00304132" w:rsidRDefault="00304132" w:rsidP="00304132">
      <w:pPr>
        <w:rPr>
          <w:rFonts w:eastAsia="SimSun"/>
        </w:rPr>
      </w:pPr>
      <w:r w:rsidRPr="00C07B2E">
        <w:rPr>
          <w:rFonts w:eastAsia="SimSun"/>
        </w:rPr>
        <w:lastRenderedPageBreak/>
        <w:t>Схемы и режимы применения препаратов для кондиционирования</w:t>
      </w:r>
      <w:r>
        <w:rPr>
          <w:rFonts w:eastAsia="SimSun"/>
        </w:rPr>
        <w:t xml:space="preserve"> </w:t>
      </w:r>
      <w:r w:rsidRPr="00030511">
        <w:rPr>
          <w:rFonts w:eastAsia="SimSun"/>
        </w:rPr>
        <w:t>в миелоаблативном режиме и режиме пониженной интенсивности</w:t>
      </w:r>
      <w:r w:rsidRPr="00C07B2E">
        <w:rPr>
          <w:rFonts w:eastAsia="SimSun"/>
        </w:rPr>
        <w:t xml:space="preserve"> и профилактики РТПХ со ссылками на приложения указаны в Таблице </w:t>
      </w:r>
      <w:r>
        <w:rPr>
          <w:rFonts w:eastAsia="SimSun"/>
        </w:rPr>
        <w:t>5.</w:t>
      </w:r>
      <w:r w:rsidRPr="00C07B2E">
        <w:rPr>
          <w:rFonts w:eastAsia="SimSun"/>
        </w:rPr>
        <w:t>3.1</w:t>
      </w:r>
    </w:p>
    <w:p w14:paraId="7FC5B145" w14:textId="77777777" w:rsidR="00304132" w:rsidRPr="00C07B2E" w:rsidRDefault="00304132" w:rsidP="00304132">
      <w:pPr>
        <w:rPr>
          <w:rFonts w:eastAsia="SimSun"/>
        </w:rPr>
        <w:sectPr w:rsidR="00304132" w:rsidRPr="00C07B2E" w:rsidSect="00CD5E09">
          <w:footerReference w:type="default" r:id="rId21"/>
          <w:type w:val="continuous"/>
          <w:pgSz w:w="11907" w:h="16839" w:code="9"/>
          <w:pgMar w:top="1134" w:right="850" w:bottom="1134" w:left="1701" w:header="709" w:footer="567" w:gutter="0"/>
          <w:cols w:space="708"/>
          <w:docGrid w:linePitch="360"/>
        </w:sectPr>
      </w:pPr>
    </w:p>
    <w:p w14:paraId="5E2EB1FB" w14:textId="77777777" w:rsidR="00304132" w:rsidRPr="00C07B2E" w:rsidRDefault="00304132" w:rsidP="00304132">
      <w:pPr>
        <w:rPr>
          <w:rFonts w:eastAsia="SimSun"/>
        </w:rPr>
      </w:pPr>
      <w:r w:rsidRPr="00C07B2E">
        <w:rPr>
          <w:rFonts w:eastAsia="SimSun"/>
        </w:rPr>
        <w:lastRenderedPageBreak/>
        <w:t xml:space="preserve">Таблица </w:t>
      </w:r>
      <w:r>
        <w:rPr>
          <w:rFonts w:eastAsia="SimSun"/>
        </w:rPr>
        <w:t>5.</w:t>
      </w:r>
      <w:r w:rsidRPr="00C07B2E">
        <w:rPr>
          <w:rFonts w:eastAsia="SimSun"/>
        </w:rPr>
        <w:t>3.1 Схемы и режимы применения препаратов для кондиционирования и профилактики РТПХ со ссылками на приложения</w:t>
      </w:r>
    </w:p>
    <w:p w14:paraId="406EC539" w14:textId="77777777" w:rsidR="00304132" w:rsidRPr="00C07B2E" w:rsidRDefault="00304132" w:rsidP="00304132">
      <w:pPr>
        <w:rPr>
          <w:rFonts w:eastAsia="SimSu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7"/>
        <w:gridCol w:w="1053"/>
        <w:gridCol w:w="917"/>
        <w:gridCol w:w="1302"/>
        <w:gridCol w:w="1268"/>
        <w:gridCol w:w="1154"/>
        <w:gridCol w:w="1331"/>
        <w:gridCol w:w="1268"/>
        <w:gridCol w:w="954"/>
        <w:gridCol w:w="954"/>
        <w:gridCol w:w="954"/>
        <w:gridCol w:w="1214"/>
        <w:gridCol w:w="1202"/>
      </w:tblGrid>
      <w:tr w:rsidR="00304132" w:rsidRPr="00470E23" w14:paraId="2F32C30A" w14:textId="77777777" w:rsidTr="00CD5E09">
        <w:trPr>
          <w:cantSplit/>
          <w:trHeight w:val="1020"/>
        </w:trPr>
        <w:tc>
          <w:tcPr>
            <w:tcW w:w="1394" w:type="pct"/>
            <w:gridSpan w:val="4"/>
            <w:vMerge w:val="restart"/>
            <w:tcBorders>
              <w:right w:val="single" w:sz="4" w:space="0" w:color="00000A"/>
            </w:tcBorders>
            <w:shd w:val="clear" w:color="auto" w:fill="auto"/>
            <w:vAlign w:val="center"/>
          </w:tcPr>
          <w:p w14:paraId="7490E9C8" w14:textId="77777777" w:rsidR="00304132" w:rsidRPr="00470E23" w:rsidRDefault="00304132" w:rsidP="00CD5E09">
            <w:pPr>
              <w:rPr>
                <w:rFonts w:eastAsia="SimSun"/>
                <w:sz w:val="22"/>
              </w:rPr>
            </w:pPr>
            <w:r w:rsidRPr="00470E23">
              <w:rPr>
                <w:rFonts w:eastAsia="SimSun"/>
                <w:sz w:val="22"/>
              </w:rPr>
              <w:t>Профилактика РТПХ</w:t>
            </w:r>
          </w:p>
        </w:tc>
        <w:tc>
          <w:tcPr>
            <w:tcW w:w="3606" w:type="pct"/>
            <w:gridSpan w:val="9"/>
            <w:tcBorders>
              <w:left w:val="single" w:sz="4" w:space="0" w:color="00000A"/>
              <w:right w:val="single" w:sz="4" w:space="0" w:color="00000A"/>
            </w:tcBorders>
            <w:shd w:val="clear" w:color="auto" w:fill="auto"/>
            <w:vAlign w:val="center"/>
          </w:tcPr>
          <w:p w14:paraId="766581D5" w14:textId="77777777" w:rsidR="00304132" w:rsidRPr="00470E23" w:rsidRDefault="00304132" w:rsidP="00CD5E09">
            <w:pPr>
              <w:rPr>
                <w:rFonts w:eastAsia="SimSun"/>
                <w:sz w:val="22"/>
              </w:rPr>
            </w:pPr>
            <w:r w:rsidRPr="00470E23">
              <w:rPr>
                <w:rFonts w:eastAsia="SimSun"/>
                <w:sz w:val="22"/>
              </w:rPr>
              <w:t>Режим кондиционирования</w:t>
            </w:r>
          </w:p>
        </w:tc>
      </w:tr>
      <w:tr w:rsidR="00304132" w:rsidRPr="00470E23" w14:paraId="056C123E" w14:textId="77777777" w:rsidTr="00CD5E09">
        <w:trPr>
          <w:cantSplit/>
          <w:trHeight w:val="1020"/>
        </w:trPr>
        <w:tc>
          <w:tcPr>
            <w:tcW w:w="1394" w:type="pct"/>
            <w:gridSpan w:val="4"/>
            <w:vMerge/>
            <w:tcBorders>
              <w:right w:val="single" w:sz="4" w:space="0" w:color="00000A"/>
            </w:tcBorders>
            <w:shd w:val="clear" w:color="auto" w:fill="auto"/>
            <w:vAlign w:val="center"/>
          </w:tcPr>
          <w:p w14:paraId="49711772" w14:textId="77777777" w:rsidR="00304132" w:rsidRPr="00470E23" w:rsidRDefault="00304132" w:rsidP="00CD5E09">
            <w:pPr>
              <w:rPr>
                <w:rFonts w:eastAsia="SimSun"/>
                <w:sz w:val="22"/>
              </w:rPr>
            </w:pPr>
          </w:p>
        </w:tc>
        <w:tc>
          <w:tcPr>
            <w:tcW w:w="1314" w:type="pct"/>
            <w:gridSpan w:val="3"/>
            <w:tcBorders>
              <w:left w:val="single" w:sz="4" w:space="0" w:color="00000A"/>
              <w:right w:val="single" w:sz="4" w:space="0" w:color="00000A"/>
            </w:tcBorders>
            <w:shd w:val="clear" w:color="auto" w:fill="D9D9D9"/>
            <w:vAlign w:val="center"/>
          </w:tcPr>
          <w:p w14:paraId="129D4ED4" w14:textId="77777777" w:rsidR="00304132" w:rsidRPr="00470E23" w:rsidRDefault="00304132" w:rsidP="00CD5E09">
            <w:pPr>
              <w:rPr>
                <w:rFonts w:eastAsia="SimSun"/>
                <w:sz w:val="22"/>
              </w:rPr>
            </w:pPr>
            <w:r w:rsidRPr="00470E23">
              <w:rPr>
                <w:rFonts w:eastAsia="SimSun"/>
                <w:sz w:val="22"/>
              </w:rPr>
              <w:t>Flu150</w:t>
            </w:r>
          </w:p>
        </w:tc>
        <w:tc>
          <w:tcPr>
            <w:tcW w:w="2293" w:type="pct"/>
            <w:gridSpan w:val="6"/>
            <w:tcBorders>
              <w:left w:val="single" w:sz="4" w:space="0" w:color="00000A"/>
              <w:right w:val="single" w:sz="4" w:space="0" w:color="00000A"/>
            </w:tcBorders>
            <w:shd w:val="clear" w:color="auto" w:fill="D9D9D9"/>
            <w:vAlign w:val="center"/>
          </w:tcPr>
          <w:p w14:paraId="37E5C966" w14:textId="77777777" w:rsidR="00304132" w:rsidRPr="00470E23" w:rsidRDefault="00304132" w:rsidP="00CD5E09">
            <w:pPr>
              <w:rPr>
                <w:rFonts w:eastAsia="SimSun"/>
                <w:sz w:val="22"/>
              </w:rPr>
            </w:pPr>
            <w:r w:rsidRPr="00470E23">
              <w:rPr>
                <w:rFonts w:eastAsia="SimSun"/>
                <w:sz w:val="22"/>
              </w:rPr>
              <w:t>Flu180</w:t>
            </w:r>
          </w:p>
        </w:tc>
      </w:tr>
      <w:tr w:rsidR="00304132" w:rsidRPr="00470E23" w14:paraId="7A137CA9" w14:textId="77777777" w:rsidTr="00CD5E09">
        <w:trPr>
          <w:cantSplit/>
          <w:trHeight w:val="1020"/>
        </w:trPr>
        <w:tc>
          <w:tcPr>
            <w:tcW w:w="1394" w:type="pct"/>
            <w:gridSpan w:val="4"/>
            <w:vMerge/>
            <w:tcBorders>
              <w:right w:val="single" w:sz="4" w:space="0" w:color="00000A"/>
            </w:tcBorders>
            <w:shd w:val="clear" w:color="auto" w:fill="auto"/>
            <w:vAlign w:val="center"/>
          </w:tcPr>
          <w:p w14:paraId="1E04933E" w14:textId="77777777" w:rsidR="00304132" w:rsidRPr="00470E23" w:rsidRDefault="00304132" w:rsidP="00CD5E09">
            <w:pPr>
              <w:rPr>
                <w:rFonts w:eastAsia="SimSun"/>
                <w:sz w:val="22"/>
              </w:rPr>
            </w:pPr>
          </w:p>
        </w:tc>
        <w:tc>
          <w:tcPr>
            <w:tcW w:w="444" w:type="pct"/>
            <w:tcBorders>
              <w:left w:val="single" w:sz="4" w:space="0" w:color="00000A"/>
              <w:right w:val="single" w:sz="4" w:space="0" w:color="00000A"/>
            </w:tcBorders>
            <w:shd w:val="clear" w:color="auto" w:fill="D9D9D9"/>
            <w:vAlign w:val="center"/>
          </w:tcPr>
          <w:p w14:paraId="30916646" w14:textId="77777777" w:rsidR="00304132" w:rsidRPr="00470E23" w:rsidRDefault="00304132" w:rsidP="00CD5E09">
            <w:pPr>
              <w:rPr>
                <w:rFonts w:eastAsia="SimSun"/>
                <w:sz w:val="22"/>
              </w:rPr>
            </w:pPr>
            <w:r w:rsidRPr="00470E23">
              <w:rPr>
                <w:rFonts w:eastAsia="SimSun"/>
                <w:sz w:val="22"/>
              </w:rPr>
              <w:t>Bu8</w:t>
            </w:r>
          </w:p>
        </w:tc>
        <w:tc>
          <w:tcPr>
            <w:tcW w:w="404" w:type="pct"/>
            <w:shd w:val="clear" w:color="auto" w:fill="D9D9D9"/>
            <w:vAlign w:val="center"/>
          </w:tcPr>
          <w:p w14:paraId="550D6079" w14:textId="77777777" w:rsidR="00304132" w:rsidRPr="00470E23" w:rsidRDefault="00304132" w:rsidP="00CD5E09">
            <w:pPr>
              <w:rPr>
                <w:rFonts w:eastAsia="SimSun"/>
                <w:sz w:val="22"/>
              </w:rPr>
            </w:pPr>
            <w:r w:rsidRPr="00470E23">
              <w:rPr>
                <w:rFonts w:eastAsia="SimSun"/>
                <w:sz w:val="22"/>
              </w:rPr>
              <w:t>Treo36</w:t>
            </w:r>
          </w:p>
        </w:tc>
        <w:tc>
          <w:tcPr>
            <w:tcW w:w="466" w:type="pct"/>
            <w:shd w:val="clear" w:color="auto" w:fill="D9D9D9"/>
            <w:vAlign w:val="center"/>
          </w:tcPr>
          <w:p w14:paraId="7D3AE203" w14:textId="77777777" w:rsidR="00304132" w:rsidRPr="00470E23" w:rsidRDefault="00304132" w:rsidP="00CD5E09">
            <w:pPr>
              <w:rPr>
                <w:rFonts w:eastAsia="SimSun"/>
                <w:sz w:val="22"/>
              </w:rPr>
            </w:pPr>
            <w:r w:rsidRPr="00470E23">
              <w:rPr>
                <w:rFonts w:eastAsia="SimSun"/>
                <w:sz w:val="22"/>
              </w:rPr>
              <w:t>Cy14</w:t>
            </w:r>
          </w:p>
        </w:tc>
        <w:tc>
          <w:tcPr>
            <w:tcW w:w="444" w:type="pct"/>
            <w:shd w:val="clear" w:color="auto" w:fill="D9D9D9"/>
            <w:vAlign w:val="center"/>
          </w:tcPr>
          <w:p w14:paraId="56FD880C" w14:textId="77777777" w:rsidR="00304132" w:rsidRPr="00470E23" w:rsidRDefault="00304132" w:rsidP="00CD5E09">
            <w:pPr>
              <w:rPr>
                <w:rFonts w:eastAsia="SimSun"/>
                <w:sz w:val="22"/>
              </w:rPr>
            </w:pPr>
            <w:r w:rsidRPr="00470E23">
              <w:rPr>
                <w:rFonts w:eastAsia="SimSun"/>
                <w:sz w:val="22"/>
              </w:rPr>
              <w:t>Bu8</w:t>
            </w:r>
          </w:p>
        </w:tc>
        <w:tc>
          <w:tcPr>
            <w:tcW w:w="334" w:type="pct"/>
            <w:shd w:val="clear" w:color="auto" w:fill="D9D9D9"/>
            <w:vAlign w:val="center"/>
          </w:tcPr>
          <w:p w14:paraId="5759110B" w14:textId="77777777" w:rsidR="00304132" w:rsidRPr="00470E23" w:rsidRDefault="00304132" w:rsidP="00CD5E09">
            <w:pPr>
              <w:rPr>
                <w:rFonts w:eastAsia="SimSun"/>
                <w:sz w:val="22"/>
              </w:rPr>
            </w:pPr>
            <w:r w:rsidRPr="00470E23">
              <w:rPr>
                <w:rFonts w:eastAsia="SimSun"/>
                <w:sz w:val="22"/>
              </w:rPr>
              <w:t>Bu10</w:t>
            </w:r>
          </w:p>
        </w:tc>
        <w:tc>
          <w:tcPr>
            <w:tcW w:w="334" w:type="pct"/>
            <w:shd w:val="clear" w:color="auto" w:fill="D9D9D9"/>
            <w:vAlign w:val="center"/>
          </w:tcPr>
          <w:p w14:paraId="0EEFC74A" w14:textId="77777777" w:rsidR="00304132" w:rsidRPr="00470E23" w:rsidRDefault="00304132" w:rsidP="00CD5E09">
            <w:pPr>
              <w:rPr>
                <w:rFonts w:eastAsia="SimSun"/>
                <w:sz w:val="22"/>
              </w:rPr>
            </w:pPr>
            <w:r w:rsidRPr="00470E23">
              <w:rPr>
                <w:rFonts w:eastAsia="SimSun"/>
                <w:sz w:val="22"/>
              </w:rPr>
              <w:t>Bu12</w:t>
            </w:r>
          </w:p>
        </w:tc>
        <w:tc>
          <w:tcPr>
            <w:tcW w:w="334" w:type="pct"/>
            <w:shd w:val="clear" w:color="auto" w:fill="D9D9D9"/>
            <w:vAlign w:val="center"/>
          </w:tcPr>
          <w:p w14:paraId="1FBD11C4" w14:textId="77777777" w:rsidR="00304132" w:rsidRPr="00470E23" w:rsidRDefault="00304132" w:rsidP="00CD5E09">
            <w:pPr>
              <w:rPr>
                <w:rFonts w:eastAsia="SimSun"/>
                <w:sz w:val="22"/>
              </w:rPr>
            </w:pPr>
            <w:r w:rsidRPr="00470E23">
              <w:rPr>
                <w:rFonts w:eastAsia="SimSun"/>
                <w:sz w:val="22"/>
              </w:rPr>
              <w:t>Bu14</w:t>
            </w:r>
          </w:p>
        </w:tc>
        <w:tc>
          <w:tcPr>
            <w:tcW w:w="425" w:type="pct"/>
            <w:shd w:val="clear" w:color="auto" w:fill="D9D9D9"/>
            <w:vAlign w:val="center"/>
          </w:tcPr>
          <w:p w14:paraId="335F424D" w14:textId="77777777" w:rsidR="00304132" w:rsidRPr="00470E23" w:rsidRDefault="00304132" w:rsidP="00CD5E09">
            <w:pPr>
              <w:rPr>
                <w:rFonts w:eastAsia="SimSun"/>
                <w:sz w:val="22"/>
              </w:rPr>
            </w:pPr>
            <w:r w:rsidRPr="00470E23">
              <w:rPr>
                <w:rFonts w:eastAsia="SimSun"/>
                <w:sz w:val="22"/>
              </w:rPr>
              <w:t>Cy1200</w:t>
            </w:r>
          </w:p>
        </w:tc>
        <w:tc>
          <w:tcPr>
            <w:tcW w:w="422" w:type="pct"/>
            <w:shd w:val="clear" w:color="auto" w:fill="D9D9D9"/>
            <w:vAlign w:val="center"/>
          </w:tcPr>
          <w:p w14:paraId="687F635B" w14:textId="77777777" w:rsidR="00304132" w:rsidRPr="00470E23" w:rsidRDefault="00304132" w:rsidP="00CD5E09">
            <w:pPr>
              <w:rPr>
                <w:rFonts w:eastAsia="SimSun"/>
                <w:sz w:val="22"/>
              </w:rPr>
            </w:pPr>
            <w:r w:rsidRPr="00470E23">
              <w:rPr>
                <w:rFonts w:eastAsia="SimSun"/>
                <w:sz w:val="22"/>
              </w:rPr>
              <w:t>Mel100</w:t>
            </w:r>
          </w:p>
        </w:tc>
      </w:tr>
      <w:tr w:rsidR="00304132" w:rsidRPr="00470E23" w14:paraId="555C65B9" w14:textId="77777777" w:rsidTr="00CD5E09">
        <w:trPr>
          <w:cantSplit/>
          <w:trHeight w:val="1020"/>
        </w:trPr>
        <w:tc>
          <w:tcPr>
            <w:tcW w:w="1394" w:type="pct"/>
            <w:gridSpan w:val="4"/>
            <w:vMerge/>
            <w:tcBorders>
              <w:right w:val="single" w:sz="4" w:space="0" w:color="00000A"/>
            </w:tcBorders>
            <w:shd w:val="clear" w:color="auto" w:fill="auto"/>
            <w:vAlign w:val="center"/>
          </w:tcPr>
          <w:p w14:paraId="58A26118" w14:textId="77777777" w:rsidR="00304132" w:rsidRPr="00470E23" w:rsidRDefault="00304132" w:rsidP="00CD5E09">
            <w:pPr>
              <w:rPr>
                <w:rFonts w:eastAsia="SimSun"/>
                <w:sz w:val="22"/>
              </w:rPr>
            </w:pPr>
          </w:p>
        </w:tc>
        <w:tc>
          <w:tcPr>
            <w:tcW w:w="444" w:type="pct"/>
            <w:tcBorders>
              <w:left w:val="single" w:sz="4" w:space="0" w:color="00000A"/>
            </w:tcBorders>
            <w:shd w:val="clear" w:color="auto" w:fill="D9D9D9"/>
            <w:vAlign w:val="center"/>
          </w:tcPr>
          <w:p w14:paraId="6873BFBD" w14:textId="77777777" w:rsidR="00304132" w:rsidRPr="00470E23" w:rsidRDefault="00304132" w:rsidP="00CD5E09">
            <w:pPr>
              <w:rPr>
                <w:rFonts w:eastAsia="SimSun"/>
                <w:sz w:val="22"/>
              </w:rPr>
            </w:pPr>
          </w:p>
          <w:p w14:paraId="3B8FB6B0" w14:textId="77777777" w:rsidR="00304132" w:rsidRPr="00470E23" w:rsidRDefault="00304132" w:rsidP="00CD5E09">
            <w:pPr>
              <w:rPr>
                <w:rFonts w:eastAsia="SimSun"/>
                <w:sz w:val="22"/>
              </w:rPr>
            </w:pPr>
            <w:r w:rsidRPr="00470E23">
              <w:rPr>
                <w:rFonts w:eastAsia="SimSun"/>
                <w:sz w:val="22"/>
              </w:rPr>
              <w:t>Thio</w:t>
            </w:r>
          </w:p>
        </w:tc>
        <w:tc>
          <w:tcPr>
            <w:tcW w:w="404" w:type="pct"/>
            <w:shd w:val="clear" w:color="auto" w:fill="D9D9D9"/>
            <w:vAlign w:val="center"/>
          </w:tcPr>
          <w:p w14:paraId="13604F8A" w14:textId="77777777" w:rsidR="00304132" w:rsidRPr="00470E23" w:rsidRDefault="00304132" w:rsidP="00CD5E09">
            <w:pPr>
              <w:rPr>
                <w:rFonts w:eastAsia="SimSun"/>
                <w:sz w:val="22"/>
              </w:rPr>
            </w:pPr>
            <w:r w:rsidRPr="00470E23">
              <w:rPr>
                <w:rFonts w:eastAsia="SimSun"/>
                <w:sz w:val="22"/>
              </w:rPr>
              <w:t>-</w:t>
            </w:r>
          </w:p>
        </w:tc>
        <w:tc>
          <w:tcPr>
            <w:tcW w:w="466" w:type="pct"/>
            <w:shd w:val="clear" w:color="auto" w:fill="D9D9D9"/>
            <w:vAlign w:val="center"/>
          </w:tcPr>
          <w:p w14:paraId="70D80D30" w14:textId="77777777" w:rsidR="00304132" w:rsidRPr="00470E23" w:rsidRDefault="00304132" w:rsidP="00CD5E09">
            <w:pPr>
              <w:rPr>
                <w:rFonts w:eastAsia="SimSun"/>
                <w:sz w:val="22"/>
              </w:rPr>
            </w:pPr>
            <w:r w:rsidRPr="00470E23">
              <w:rPr>
                <w:rFonts w:eastAsia="SimSun"/>
                <w:sz w:val="22"/>
              </w:rPr>
              <w:t>TBI</w:t>
            </w:r>
          </w:p>
        </w:tc>
        <w:tc>
          <w:tcPr>
            <w:tcW w:w="444" w:type="pct"/>
            <w:shd w:val="clear" w:color="auto" w:fill="D9D9D9"/>
            <w:vAlign w:val="center"/>
          </w:tcPr>
          <w:p w14:paraId="2B7EE326" w14:textId="77777777" w:rsidR="00304132" w:rsidRPr="00470E23" w:rsidRDefault="00304132" w:rsidP="00CD5E09">
            <w:pPr>
              <w:rPr>
                <w:rFonts w:eastAsia="SimSun"/>
                <w:sz w:val="22"/>
              </w:rPr>
            </w:pPr>
            <w:r w:rsidRPr="00470E23">
              <w:rPr>
                <w:rFonts w:eastAsia="SimSun"/>
                <w:sz w:val="22"/>
              </w:rPr>
              <w:t>-</w:t>
            </w:r>
          </w:p>
        </w:tc>
        <w:tc>
          <w:tcPr>
            <w:tcW w:w="334" w:type="pct"/>
            <w:shd w:val="clear" w:color="auto" w:fill="D9D9D9"/>
            <w:vAlign w:val="center"/>
          </w:tcPr>
          <w:p w14:paraId="3DDCF442" w14:textId="77777777" w:rsidR="00304132" w:rsidRPr="00470E23" w:rsidRDefault="00304132" w:rsidP="00CD5E09">
            <w:pPr>
              <w:rPr>
                <w:rFonts w:eastAsia="SimSun"/>
                <w:sz w:val="22"/>
              </w:rPr>
            </w:pPr>
            <w:r w:rsidRPr="00470E23">
              <w:rPr>
                <w:rFonts w:eastAsia="SimSun"/>
                <w:sz w:val="22"/>
              </w:rPr>
              <w:t>-</w:t>
            </w:r>
          </w:p>
        </w:tc>
        <w:tc>
          <w:tcPr>
            <w:tcW w:w="334" w:type="pct"/>
            <w:shd w:val="clear" w:color="auto" w:fill="D9D9D9"/>
            <w:vAlign w:val="center"/>
          </w:tcPr>
          <w:p w14:paraId="60935E71" w14:textId="77777777" w:rsidR="00304132" w:rsidRPr="00470E23" w:rsidRDefault="00304132" w:rsidP="00CD5E09">
            <w:pPr>
              <w:rPr>
                <w:rFonts w:eastAsia="SimSun"/>
                <w:sz w:val="22"/>
              </w:rPr>
            </w:pPr>
            <w:r w:rsidRPr="00470E23">
              <w:rPr>
                <w:rFonts w:eastAsia="SimSun"/>
                <w:sz w:val="22"/>
              </w:rPr>
              <w:t>-</w:t>
            </w:r>
          </w:p>
        </w:tc>
        <w:tc>
          <w:tcPr>
            <w:tcW w:w="334" w:type="pct"/>
            <w:shd w:val="clear" w:color="auto" w:fill="D9D9D9"/>
            <w:vAlign w:val="center"/>
          </w:tcPr>
          <w:p w14:paraId="109B066C" w14:textId="77777777" w:rsidR="00304132" w:rsidRPr="00470E23" w:rsidRDefault="00304132" w:rsidP="00CD5E09">
            <w:pPr>
              <w:rPr>
                <w:rFonts w:eastAsia="SimSun"/>
                <w:sz w:val="22"/>
              </w:rPr>
            </w:pPr>
            <w:r w:rsidRPr="00470E23">
              <w:rPr>
                <w:rFonts w:eastAsia="SimSun"/>
                <w:sz w:val="22"/>
              </w:rPr>
              <w:t>-</w:t>
            </w:r>
          </w:p>
        </w:tc>
        <w:tc>
          <w:tcPr>
            <w:tcW w:w="425" w:type="pct"/>
            <w:shd w:val="clear" w:color="auto" w:fill="D9D9D9"/>
            <w:vAlign w:val="center"/>
          </w:tcPr>
          <w:p w14:paraId="265209E5" w14:textId="77777777" w:rsidR="00304132" w:rsidRPr="00470E23" w:rsidRDefault="00304132" w:rsidP="00CD5E09">
            <w:pPr>
              <w:rPr>
                <w:rFonts w:eastAsia="SimSun"/>
                <w:sz w:val="22"/>
              </w:rPr>
            </w:pPr>
            <w:r w:rsidRPr="00470E23">
              <w:rPr>
                <w:rFonts w:eastAsia="SimSun"/>
                <w:sz w:val="22"/>
              </w:rPr>
              <w:t>-</w:t>
            </w:r>
          </w:p>
        </w:tc>
        <w:tc>
          <w:tcPr>
            <w:tcW w:w="422" w:type="pct"/>
            <w:shd w:val="clear" w:color="auto" w:fill="D9D9D9"/>
            <w:vAlign w:val="center"/>
          </w:tcPr>
          <w:p w14:paraId="3452538F" w14:textId="77777777" w:rsidR="00304132" w:rsidRPr="00470E23" w:rsidRDefault="00304132" w:rsidP="00CD5E09">
            <w:pPr>
              <w:rPr>
                <w:rFonts w:eastAsia="SimSun"/>
                <w:sz w:val="22"/>
              </w:rPr>
            </w:pPr>
            <w:r w:rsidRPr="00470E23">
              <w:rPr>
                <w:rFonts w:eastAsia="SimSun"/>
                <w:sz w:val="22"/>
              </w:rPr>
              <w:t>-</w:t>
            </w:r>
          </w:p>
        </w:tc>
      </w:tr>
      <w:tr w:rsidR="00304132" w:rsidRPr="00470E23" w14:paraId="79CA4505" w14:textId="77777777" w:rsidTr="00CD5E09">
        <w:trPr>
          <w:cantSplit/>
          <w:trHeight w:val="1020"/>
        </w:trPr>
        <w:tc>
          <w:tcPr>
            <w:tcW w:w="248" w:type="pct"/>
            <w:vMerge w:val="restart"/>
            <w:tcBorders>
              <w:top w:val="single" w:sz="4" w:space="0" w:color="00000A"/>
            </w:tcBorders>
            <w:shd w:val="clear" w:color="auto" w:fill="D9D9D9"/>
            <w:vAlign w:val="center"/>
          </w:tcPr>
          <w:p w14:paraId="54B73CB4" w14:textId="77777777" w:rsidR="00304132" w:rsidRPr="00470E23" w:rsidRDefault="00304132" w:rsidP="00CD5E09">
            <w:pPr>
              <w:rPr>
                <w:rFonts w:eastAsia="SimSun"/>
                <w:sz w:val="22"/>
              </w:rPr>
            </w:pPr>
            <w:r w:rsidRPr="00470E23">
              <w:rPr>
                <w:rFonts w:eastAsia="SimSun"/>
                <w:sz w:val="22"/>
              </w:rPr>
              <w:t>PT-Cy</w:t>
            </w:r>
          </w:p>
        </w:tc>
        <w:tc>
          <w:tcPr>
            <w:tcW w:w="369" w:type="pct"/>
            <w:shd w:val="clear" w:color="auto" w:fill="D9D9D9"/>
            <w:vAlign w:val="center"/>
          </w:tcPr>
          <w:p w14:paraId="14A09EB5" w14:textId="77777777" w:rsidR="00304132" w:rsidRPr="00470E23" w:rsidRDefault="00304132" w:rsidP="00CD5E09">
            <w:pPr>
              <w:rPr>
                <w:rFonts w:eastAsia="SimSun"/>
                <w:sz w:val="22"/>
              </w:rPr>
            </w:pPr>
            <w:r w:rsidRPr="00470E23">
              <w:rPr>
                <w:rFonts w:eastAsia="SimSun"/>
                <w:sz w:val="22"/>
              </w:rPr>
              <w:t>-</w:t>
            </w:r>
          </w:p>
        </w:tc>
        <w:tc>
          <w:tcPr>
            <w:tcW w:w="321" w:type="pct"/>
            <w:shd w:val="clear" w:color="auto" w:fill="D9D9D9"/>
            <w:vAlign w:val="center"/>
          </w:tcPr>
          <w:p w14:paraId="70F54D02" w14:textId="77777777" w:rsidR="00304132" w:rsidRPr="00470E23" w:rsidRDefault="00304132" w:rsidP="00CD5E09">
            <w:pPr>
              <w:rPr>
                <w:rFonts w:eastAsia="SimSun"/>
                <w:sz w:val="22"/>
              </w:rPr>
            </w:pPr>
            <w:r w:rsidRPr="00470E23">
              <w:rPr>
                <w:rFonts w:eastAsia="SimSun"/>
                <w:sz w:val="22"/>
              </w:rPr>
              <w:t>CSA</w:t>
            </w:r>
          </w:p>
        </w:tc>
        <w:tc>
          <w:tcPr>
            <w:tcW w:w="455" w:type="pct"/>
            <w:shd w:val="clear" w:color="auto" w:fill="D9D9D9"/>
            <w:vAlign w:val="center"/>
          </w:tcPr>
          <w:p w14:paraId="0D983BF8" w14:textId="77777777" w:rsidR="00304132" w:rsidRPr="00470E23" w:rsidRDefault="00304132" w:rsidP="00CD5E09">
            <w:pPr>
              <w:rPr>
                <w:rFonts w:eastAsia="SimSun"/>
                <w:sz w:val="22"/>
              </w:rPr>
            </w:pPr>
            <w:r w:rsidRPr="00470E23">
              <w:rPr>
                <w:rFonts w:eastAsia="SimSun"/>
                <w:sz w:val="22"/>
              </w:rPr>
              <w:t>MMF30</w:t>
            </w:r>
          </w:p>
        </w:tc>
        <w:tc>
          <w:tcPr>
            <w:tcW w:w="444" w:type="pct"/>
            <w:tcBorders>
              <w:left w:val="single" w:sz="4" w:space="0" w:color="00000A"/>
            </w:tcBorders>
            <w:shd w:val="clear" w:color="auto" w:fill="auto"/>
            <w:vAlign w:val="center"/>
          </w:tcPr>
          <w:p w14:paraId="24413E7C" w14:textId="77777777" w:rsidR="00304132" w:rsidRPr="00470E23" w:rsidRDefault="00304132" w:rsidP="00CD5E09">
            <w:pPr>
              <w:rPr>
                <w:rFonts w:eastAsia="SimSun"/>
                <w:sz w:val="22"/>
              </w:rPr>
            </w:pPr>
            <w:r w:rsidRPr="00470E23">
              <w:rPr>
                <w:rFonts w:eastAsia="SimSun"/>
                <w:sz w:val="22"/>
              </w:rPr>
              <w:t>5.3.1.1</w:t>
            </w:r>
          </w:p>
        </w:tc>
        <w:tc>
          <w:tcPr>
            <w:tcW w:w="404" w:type="pct"/>
            <w:shd w:val="clear" w:color="auto" w:fill="auto"/>
            <w:vAlign w:val="center"/>
          </w:tcPr>
          <w:p w14:paraId="7606E705" w14:textId="77777777" w:rsidR="00304132" w:rsidRPr="00470E23" w:rsidRDefault="00304132" w:rsidP="00CD5E09">
            <w:pPr>
              <w:rPr>
                <w:rFonts w:eastAsia="SimSun"/>
                <w:sz w:val="22"/>
              </w:rPr>
            </w:pPr>
            <w:r w:rsidRPr="00470E23">
              <w:rPr>
                <w:rFonts w:eastAsia="SimSun"/>
                <w:sz w:val="22"/>
              </w:rPr>
              <w:t>5.3.1.10</w:t>
            </w:r>
          </w:p>
        </w:tc>
        <w:tc>
          <w:tcPr>
            <w:tcW w:w="466" w:type="pct"/>
            <w:shd w:val="clear" w:color="auto" w:fill="auto"/>
            <w:vAlign w:val="center"/>
          </w:tcPr>
          <w:p w14:paraId="01D9B211" w14:textId="77777777" w:rsidR="00304132" w:rsidRPr="00470E23" w:rsidRDefault="00304132" w:rsidP="00CD5E09">
            <w:pPr>
              <w:rPr>
                <w:rFonts w:eastAsia="SimSun"/>
                <w:sz w:val="22"/>
              </w:rPr>
            </w:pPr>
            <w:r w:rsidRPr="00470E23">
              <w:rPr>
                <w:rFonts w:eastAsia="SimSun"/>
                <w:sz w:val="22"/>
              </w:rPr>
              <w:t>-</w:t>
            </w:r>
          </w:p>
        </w:tc>
        <w:tc>
          <w:tcPr>
            <w:tcW w:w="444" w:type="pct"/>
            <w:shd w:val="clear" w:color="auto" w:fill="auto"/>
            <w:vAlign w:val="center"/>
          </w:tcPr>
          <w:p w14:paraId="1790E469" w14:textId="77777777" w:rsidR="00304132" w:rsidRPr="00470E23" w:rsidRDefault="00304132" w:rsidP="00CD5E09">
            <w:pPr>
              <w:rPr>
                <w:rFonts w:eastAsia="SimSun"/>
                <w:sz w:val="22"/>
              </w:rPr>
            </w:pPr>
            <w:r w:rsidRPr="00470E23">
              <w:rPr>
                <w:rFonts w:eastAsia="SimSun"/>
                <w:sz w:val="22"/>
              </w:rPr>
              <w:t>5.3.1.4</w:t>
            </w:r>
          </w:p>
        </w:tc>
        <w:tc>
          <w:tcPr>
            <w:tcW w:w="334" w:type="pct"/>
            <w:shd w:val="clear" w:color="auto" w:fill="auto"/>
            <w:vAlign w:val="center"/>
          </w:tcPr>
          <w:p w14:paraId="2C974665" w14:textId="77777777" w:rsidR="00304132" w:rsidRPr="00470E23" w:rsidRDefault="00304132" w:rsidP="00CD5E09">
            <w:pPr>
              <w:rPr>
                <w:rFonts w:eastAsia="SimSun"/>
                <w:sz w:val="22"/>
              </w:rPr>
            </w:pPr>
            <w:r w:rsidRPr="00470E23">
              <w:rPr>
                <w:rFonts w:eastAsia="SimSun"/>
                <w:sz w:val="22"/>
              </w:rPr>
              <w:t>-</w:t>
            </w:r>
          </w:p>
        </w:tc>
        <w:tc>
          <w:tcPr>
            <w:tcW w:w="334" w:type="pct"/>
            <w:shd w:val="clear" w:color="auto" w:fill="auto"/>
            <w:vAlign w:val="center"/>
          </w:tcPr>
          <w:p w14:paraId="42746EA7" w14:textId="77777777" w:rsidR="00304132" w:rsidRPr="00470E23" w:rsidRDefault="00304132" w:rsidP="00CD5E09">
            <w:pPr>
              <w:rPr>
                <w:rFonts w:eastAsia="SimSun"/>
                <w:sz w:val="22"/>
              </w:rPr>
            </w:pPr>
            <w:r w:rsidRPr="00470E23">
              <w:rPr>
                <w:rFonts w:eastAsia="SimSun"/>
                <w:sz w:val="22"/>
              </w:rPr>
              <w:t>-</w:t>
            </w:r>
          </w:p>
        </w:tc>
        <w:tc>
          <w:tcPr>
            <w:tcW w:w="334" w:type="pct"/>
            <w:shd w:val="clear" w:color="auto" w:fill="auto"/>
            <w:vAlign w:val="center"/>
          </w:tcPr>
          <w:p w14:paraId="07C5CDF8" w14:textId="77777777" w:rsidR="00304132" w:rsidRPr="00470E23" w:rsidRDefault="00304132" w:rsidP="00CD5E09">
            <w:pPr>
              <w:rPr>
                <w:rFonts w:eastAsia="SimSun"/>
                <w:sz w:val="22"/>
              </w:rPr>
            </w:pPr>
            <w:r w:rsidRPr="00470E23">
              <w:rPr>
                <w:rFonts w:eastAsia="SimSun"/>
                <w:sz w:val="22"/>
              </w:rPr>
              <w:t>-</w:t>
            </w:r>
          </w:p>
        </w:tc>
        <w:tc>
          <w:tcPr>
            <w:tcW w:w="425" w:type="pct"/>
            <w:shd w:val="clear" w:color="auto" w:fill="auto"/>
            <w:vAlign w:val="center"/>
          </w:tcPr>
          <w:p w14:paraId="4A7B59A4" w14:textId="77777777" w:rsidR="00304132" w:rsidRPr="00470E23" w:rsidRDefault="00304132" w:rsidP="00CD5E09">
            <w:pPr>
              <w:rPr>
                <w:rFonts w:eastAsia="SimSun"/>
                <w:sz w:val="22"/>
              </w:rPr>
            </w:pPr>
            <w:r w:rsidRPr="00470E23">
              <w:rPr>
                <w:rFonts w:eastAsia="SimSun"/>
                <w:sz w:val="22"/>
              </w:rPr>
              <w:t>-</w:t>
            </w:r>
          </w:p>
        </w:tc>
        <w:tc>
          <w:tcPr>
            <w:tcW w:w="422" w:type="pct"/>
            <w:vAlign w:val="center"/>
          </w:tcPr>
          <w:p w14:paraId="792ACB68" w14:textId="77777777" w:rsidR="00304132" w:rsidRPr="00470E23" w:rsidRDefault="00304132" w:rsidP="00CD5E09">
            <w:pPr>
              <w:rPr>
                <w:rFonts w:eastAsia="SimSun"/>
                <w:sz w:val="22"/>
              </w:rPr>
            </w:pPr>
          </w:p>
        </w:tc>
      </w:tr>
      <w:tr w:rsidR="00304132" w:rsidRPr="00470E23" w14:paraId="0A01A2A9" w14:textId="77777777" w:rsidTr="00CD5E09">
        <w:trPr>
          <w:cantSplit/>
          <w:trHeight w:val="1020"/>
        </w:trPr>
        <w:tc>
          <w:tcPr>
            <w:tcW w:w="248" w:type="pct"/>
            <w:vMerge/>
            <w:shd w:val="clear" w:color="auto" w:fill="D9D9D9"/>
            <w:vAlign w:val="center"/>
          </w:tcPr>
          <w:p w14:paraId="5FC6D4EA" w14:textId="77777777" w:rsidR="00304132" w:rsidRPr="00470E23" w:rsidRDefault="00304132" w:rsidP="00CD5E09">
            <w:pPr>
              <w:rPr>
                <w:rFonts w:eastAsia="SimSun"/>
                <w:sz w:val="22"/>
              </w:rPr>
            </w:pPr>
          </w:p>
        </w:tc>
        <w:tc>
          <w:tcPr>
            <w:tcW w:w="369" w:type="pct"/>
            <w:tcBorders>
              <w:bottom w:val="single" w:sz="4" w:space="0" w:color="00000A"/>
            </w:tcBorders>
            <w:shd w:val="clear" w:color="auto" w:fill="D9D9D9"/>
            <w:vAlign w:val="center"/>
          </w:tcPr>
          <w:p w14:paraId="69E2F7D6" w14:textId="77777777" w:rsidR="00304132" w:rsidRPr="00470E23" w:rsidRDefault="00304132" w:rsidP="00CD5E09">
            <w:pPr>
              <w:rPr>
                <w:rFonts w:eastAsia="SimSun"/>
                <w:sz w:val="22"/>
              </w:rPr>
            </w:pPr>
            <w:r w:rsidRPr="00470E23">
              <w:rPr>
                <w:rFonts w:eastAsia="SimSun"/>
                <w:sz w:val="22"/>
              </w:rPr>
              <w:t>hATG</w:t>
            </w:r>
          </w:p>
        </w:tc>
        <w:tc>
          <w:tcPr>
            <w:tcW w:w="321" w:type="pct"/>
            <w:tcBorders>
              <w:bottom w:val="single" w:sz="4" w:space="0" w:color="00000A"/>
            </w:tcBorders>
            <w:shd w:val="clear" w:color="auto" w:fill="D9D9D9"/>
            <w:vAlign w:val="center"/>
          </w:tcPr>
          <w:p w14:paraId="434ABCFC" w14:textId="77777777" w:rsidR="00304132" w:rsidRPr="00470E23" w:rsidRDefault="00304132" w:rsidP="00CD5E09">
            <w:pPr>
              <w:rPr>
                <w:rFonts w:eastAsia="SimSun"/>
                <w:sz w:val="22"/>
              </w:rPr>
            </w:pPr>
            <w:r w:rsidRPr="00470E23">
              <w:rPr>
                <w:rFonts w:eastAsia="SimSun"/>
                <w:sz w:val="22"/>
              </w:rPr>
              <w:t>CSA</w:t>
            </w:r>
          </w:p>
        </w:tc>
        <w:tc>
          <w:tcPr>
            <w:tcW w:w="455" w:type="pct"/>
            <w:shd w:val="clear" w:color="auto" w:fill="D9D9D9"/>
            <w:vAlign w:val="center"/>
          </w:tcPr>
          <w:p w14:paraId="2540ED22" w14:textId="77777777" w:rsidR="00304132" w:rsidRPr="00470E23" w:rsidRDefault="00304132" w:rsidP="00CD5E09">
            <w:pPr>
              <w:rPr>
                <w:rFonts w:eastAsia="SimSun"/>
                <w:sz w:val="22"/>
              </w:rPr>
            </w:pPr>
            <w:r w:rsidRPr="00470E23">
              <w:rPr>
                <w:rFonts w:eastAsia="SimSun"/>
                <w:sz w:val="22"/>
              </w:rPr>
              <w:t>MMF45</w:t>
            </w:r>
          </w:p>
        </w:tc>
        <w:tc>
          <w:tcPr>
            <w:tcW w:w="444" w:type="pct"/>
            <w:tcBorders>
              <w:left w:val="single" w:sz="4" w:space="0" w:color="00000A"/>
            </w:tcBorders>
            <w:shd w:val="clear" w:color="auto" w:fill="auto"/>
            <w:vAlign w:val="center"/>
          </w:tcPr>
          <w:p w14:paraId="46D6062C" w14:textId="77777777" w:rsidR="00304132" w:rsidRPr="00470E23" w:rsidRDefault="00304132" w:rsidP="00CD5E09">
            <w:pPr>
              <w:rPr>
                <w:rFonts w:eastAsia="SimSun"/>
                <w:sz w:val="22"/>
              </w:rPr>
            </w:pPr>
            <w:r w:rsidRPr="00470E23">
              <w:rPr>
                <w:rFonts w:eastAsia="SimSun"/>
                <w:sz w:val="22"/>
              </w:rPr>
              <w:t>-</w:t>
            </w:r>
          </w:p>
        </w:tc>
        <w:tc>
          <w:tcPr>
            <w:tcW w:w="404" w:type="pct"/>
            <w:shd w:val="clear" w:color="auto" w:fill="auto"/>
            <w:vAlign w:val="center"/>
          </w:tcPr>
          <w:p w14:paraId="1BB79124" w14:textId="77777777" w:rsidR="00304132" w:rsidRPr="00470E23" w:rsidRDefault="00304132" w:rsidP="00CD5E09">
            <w:pPr>
              <w:rPr>
                <w:rFonts w:eastAsia="SimSun"/>
                <w:sz w:val="22"/>
              </w:rPr>
            </w:pPr>
            <w:r w:rsidRPr="00470E23">
              <w:rPr>
                <w:rFonts w:eastAsia="SimSun"/>
                <w:sz w:val="22"/>
              </w:rPr>
              <w:t>-</w:t>
            </w:r>
          </w:p>
        </w:tc>
        <w:tc>
          <w:tcPr>
            <w:tcW w:w="466" w:type="pct"/>
            <w:shd w:val="clear" w:color="auto" w:fill="auto"/>
            <w:vAlign w:val="center"/>
          </w:tcPr>
          <w:p w14:paraId="6C47CCAB" w14:textId="77777777" w:rsidR="00304132" w:rsidRPr="00470E23" w:rsidRDefault="00304132" w:rsidP="00CD5E09">
            <w:pPr>
              <w:rPr>
                <w:rFonts w:eastAsia="SimSun"/>
                <w:sz w:val="22"/>
              </w:rPr>
            </w:pPr>
            <w:r w:rsidRPr="00470E23">
              <w:rPr>
                <w:rFonts w:eastAsia="SimSun"/>
                <w:sz w:val="22"/>
              </w:rPr>
              <w:t>-</w:t>
            </w:r>
          </w:p>
        </w:tc>
        <w:tc>
          <w:tcPr>
            <w:tcW w:w="444" w:type="pct"/>
            <w:shd w:val="clear" w:color="auto" w:fill="auto"/>
            <w:vAlign w:val="center"/>
          </w:tcPr>
          <w:p w14:paraId="1983BDF9" w14:textId="77777777" w:rsidR="00304132" w:rsidRPr="00470E23" w:rsidRDefault="00304132" w:rsidP="00CD5E09">
            <w:pPr>
              <w:rPr>
                <w:rFonts w:eastAsia="SimSun"/>
                <w:sz w:val="22"/>
              </w:rPr>
            </w:pPr>
            <w:r w:rsidRPr="00470E23">
              <w:rPr>
                <w:rFonts w:eastAsia="SimSun"/>
                <w:sz w:val="22"/>
              </w:rPr>
              <w:t>5.3.1.3</w:t>
            </w:r>
          </w:p>
        </w:tc>
        <w:tc>
          <w:tcPr>
            <w:tcW w:w="334" w:type="pct"/>
            <w:shd w:val="clear" w:color="auto" w:fill="auto"/>
            <w:vAlign w:val="center"/>
          </w:tcPr>
          <w:p w14:paraId="6E1BCB0D" w14:textId="77777777" w:rsidR="00304132" w:rsidRPr="00470E23" w:rsidRDefault="00304132" w:rsidP="00CD5E09">
            <w:pPr>
              <w:rPr>
                <w:rFonts w:eastAsia="SimSun"/>
                <w:sz w:val="22"/>
              </w:rPr>
            </w:pPr>
            <w:r w:rsidRPr="00470E23">
              <w:rPr>
                <w:rFonts w:eastAsia="SimSun"/>
                <w:sz w:val="22"/>
              </w:rPr>
              <w:t>-</w:t>
            </w:r>
          </w:p>
        </w:tc>
        <w:tc>
          <w:tcPr>
            <w:tcW w:w="334" w:type="pct"/>
            <w:shd w:val="clear" w:color="auto" w:fill="auto"/>
            <w:vAlign w:val="center"/>
          </w:tcPr>
          <w:p w14:paraId="3B49AA82" w14:textId="77777777" w:rsidR="00304132" w:rsidRPr="00470E23" w:rsidRDefault="00304132" w:rsidP="00CD5E09">
            <w:pPr>
              <w:rPr>
                <w:rFonts w:eastAsia="SimSun"/>
                <w:sz w:val="22"/>
              </w:rPr>
            </w:pPr>
            <w:r w:rsidRPr="00470E23">
              <w:rPr>
                <w:rFonts w:eastAsia="SimSun"/>
                <w:sz w:val="22"/>
              </w:rPr>
              <w:t>-</w:t>
            </w:r>
          </w:p>
        </w:tc>
        <w:tc>
          <w:tcPr>
            <w:tcW w:w="334" w:type="pct"/>
            <w:shd w:val="clear" w:color="auto" w:fill="auto"/>
            <w:vAlign w:val="center"/>
          </w:tcPr>
          <w:p w14:paraId="141F0F93" w14:textId="77777777" w:rsidR="00304132" w:rsidRPr="00470E23" w:rsidRDefault="00304132" w:rsidP="00CD5E09">
            <w:pPr>
              <w:rPr>
                <w:rFonts w:eastAsia="SimSun"/>
                <w:sz w:val="22"/>
              </w:rPr>
            </w:pPr>
            <w:r w:rsidRPr="00470E23">
              <w:rPr>
                <w:rFonts w:eastAsia="SimSun"/>
                <w:sz w:val="22"/>
              </w:rPr>
              <w:t>-</w:t>
            </w:r>
          </w:p>
        </w:tc>
        <w:tc>
          <w:tcPr>
            <w:tcW w:w="425" w:type="pct"/>
            <w:shd w:val="clear" w:color="auto" w:fill="auto"/>
            <w:vAlign w:val="center"/>
          </w:tcPr>
          <w:p w14:paraId="06A545C9" w14:textId="77777777" w:rsidR="00304132" w:rsidRPr="00470E23" w:rsidRDefault="00304132" w:rsidP="00CD5E09">
            <w:pPr>
              <w:rPr>
                <w:rFonts w:eastAsia="SimSun"/>
                <w:sz w:val="22"/>
              </w:rPr>
            </w:pPr>
            <w:r w:rsidRPr="00470E23">
              <w:rPr>
                <w:rFonts w:eastAsia="SimSun"/>
                <w:sz w:val="22"/>
              </w:rPr>
              <w:t>-</w:t>
            </w:r>
          </w:p>
        </w:tc>
        <w:tc>
          <w:tcPr>
            <w:tcW w:w="422" w:type="pct"/>
            <w:vAlign w:val="center"/>
          </w:tcPr>
          <w:p w14:paraId="0D72D929" w14:textId="77777777" w:rsidR="00304132" w:rsidRPr="00470E23" w:rsidRDefault="00304132" w:rsidP="00CD5E09">
            <w:pPr>
              <w:rPr>
                <w:rFonts w:eastAsia="SimSun"/>
                <w:sz w:val="22"/>
              </w:rPr>
            </w:pPr>
          </w:p>
        </w:tc>
      </w:tr>
      <w:tr w:rsidR="00304132" w:rsidRPr="00470E23" w14:paraId="11B4D808" w14:textId="77777777" w:rsidTr="00CD5E09">
        <w:trPr>
          <w:cantSplit/>
          <w:trHeight w:val="1020"/>
        </w:trPr>
        <w:tc>
          <w:tcPr>
            <w:tcW w:w="248" w:type="pct"/>
            <w:vMerge/>
            <w:shd w:val="clear" w:color="auto" w:fill="D9D9D9"/>
            <w:vAlign w:val="center"/>
          </w:tcPr>
          <w:p w14:paraId="7BC9D9AD" w14:textId="77777777" w:rsidR="00304132" w:rsidRPr="00470E23" w:rsidRDefault="00304132" w:rsidP="00CD5E09">
            <w:pPr>
              <w:rPr>
                <w:rFonts w:eastAsia="SimSun"/>
                <w:sz w:val="22"/>
              </w:rPr>
            </w:pPr>
          </w:p>
        </w:tc>
        <w:tc>
          <w:tcPr>
            <w:tcW w:w="369" w:type="pct"/>
            <w:tcBorders>
              <w:top w:val="single" w:sz="4" w:space="0" w:color="00000A"/>
              <w:bottom w:val="single" w:sz="4" w:space="0" w:color="00000A"/>
            </w:tcBorders>
            <w:shd w:val="clear" w:color="auto" w:fill="D9D9D9"/>
            <w:vAlign w:val="center"/>
          </w:tcPr>
          <w:p w14:paraId="09B0A91A" w14:textId="77777777" w:rsidR="00304132" w:rsidRPr="00470E23" w:rsidRDefault="00304132" w:rsidP="00CD5E09">
            <w:pPr>
              <w:rPr>
                <w:rFonts w:eastAsia="SimSun"/>
                <w:sz w:val="22"/>
              </w:rPr>
            </w:pPr>
            <w:r w:rsidRPr="00470E23">
              <w:rPr>
                <w:rFonts w:eastAsia="SimSun"/>
                <w:sz w:val="22"/>
              </w:rPr>
              <w:t>-</w:t>
            </w:r>
          </w:p>
        </w:tc>
        <w:tc>
          <w:tcPr>
            <w:tcW w:w="321" w:type="pct"/>
            <w:tcBorders>
              <w:top w:val="single" w:sz="4" w:space="0" w:color="00000A"/>
              <w:bottom w:val="single" w:sz="4" w:space="0" w:color="00000A"/>
            </w:tcBorders>
            <w:shd w:val="clear" w:color="auto" w:fill="D9D9D9"/>
            <w:vAlign w:val="center"/>
          </w:tcPr>
          <w:p w14:paraId="5954099C" w14:textId="77777777" w:rsidR="00304132" w:rsidRPr="00470E23" w:rsidRDefault="00304132" w:rsidP="00CD5E09">
            <w:pPr>
              <w:rPr>
                <w:rFonts w:eastAsia="SimSun"/>
                <w:sz w:val="22"/>
              </w:rPr>
            </w:pPr>
            <w:r w:rsidRPr="00470E23">
              <w:rPr>
                <w:rFonts w:eastAsia="SimSun"/>
                <w:sz w:val="22"/>
              </w:rPr>
              <w:t>CSA</w:t>
            </w:r>
          </w:p>
        </w:tc>
        <w:tc>
          <w:tcPr>
            <w:tcW w:w="455" w:type="pct"/>
            <w:shd w:val="clear" w:color="auto" w:fill="D9D9D9"/>
            <w:vAlign w:val="center"/>
          </w:tcPr>
          <w:p w14:paraId="0801843C" w14:textId="77777777" w:rsidR="00304132" w:rsidRPr="00470E23" w:rsidRDefault="00304132" w:rsidP="00CD5E09">
            <w:pPr>
              <w:rPr>
                <w:rFonts w:eastAsia="SimSun"/>
                <w:sz w:val="22"/>
              </w:rPr>
            </w:pPr>
            <w:r w:rsidRPr="00470E23">
              <w:rPr>
                <w:rFonts w:eastAsia="SimSun"/>
                <w:sz w:val="22"/>
              </w:rPr>
              <w:t>MMF45</w:t>
            </w:r>
          </w:p>
        </w:tc>
        <w:tc>
          <w:tcPr>
            <w:tcW w:w="444" w:type="pct"/>
            <w:tcBorders>
              <w:left w:val="single" w:sz="4" w:space="0" w:color="00000A"/>
            </w:tcBorders>
            <w:shd w:val="clear" w:color="auto" w:fill="auto"/>
            <w:vAlign w:val="center"/>
          </w:tcPr>
          <w:p w14:paraId="3D3AAE1D" w14:textId="77777777" w:rsidR="00304132" w:rsidRPr="00470E23" w:rsidRDefault="00304132" w:rsidP="00CD5E09">
            <w:pPr>
              <w:rPr>
                <w:rFonts w:eastAsia="SimSun"/>
                <w:sz w:val="22"/>
              </w:rPr>
            </w:pPr>
            <w:r w:rsidRPr="00470E23">
              <w:rPr>
                <w:rFonts w:eastAsia="SimSun"/>
                <w:sz w:val="22"/>
              </w:rPr>
              <w:t>5.3.1.2</w:t>
            </w:r>
          </w:p>
        </w:tc>
        <w:tc>
          <w:tcPr>
            <w:tcW w:w="404" w:type="pct"/>
            <w:shd w:val="clear" w:color="auto" w:fill="auto"/>
            <w:vAlign w:val="center"/>
          </w:tcPr>
          <w:p w14:paraId="0F3670D8" w14:textId="77777777" w:rsidR="00304132" w:rsidRPr="00470E23" w:rsidRDefault="00304132" w:rsidP="00CD5E09">
            <w:pPr>
              <w:rPr>
                <w:rFonts w:eastAsia="SimSun"/>
                <w:sz w:val="22"/>
              </w:rPr>
            </w:pPr>
            <w:r w:rsidRPr="00470E23">
              <w:rPr>
                <w:rFonts w:eastAsia="SimSun"/>
                <w:sz w:val="22"/>
              </w:rPr>
              <w:t>5.3.1.11</w:t>
            </w:r>
          </w:p>
        </w:tc>
        <w:tc>
          <w:tcPr>
            <w:tcW w:w="466" w:type="pct"/>
            <w:shd w:val="clear" w:color="auto" w:fill="auto"/>
            <w:vAlign w:val="center"/>
          </w:tcPr>
          <w:p w14:paraId="3693CDEF" w14:textId="77777777" w:rsidR="00304132" w:rsidRPr="00470E23" w:rsidRDefault="00304132" w:rsidP="00CD5E09">
            <w:pPr>
              <w:rPr>
                <w:rFonts w:eastAsia="SimSun"/>
                <w:sz w:val="22"/>
              </w:rPr>
            </w:pPr>
            <w:r w:rsidRPr="00470E23">
              <w:rPr>
                <w:rFonts w:eastAsia="SimSun"/>
                <w:sz w:val="22"/>
              </w:rPr>
              <w:t>5.3.1.12</w:t>
            </w:r>
          </w:p>
        </w:tc>
        <w:tc>
          <w:tcPr>
            <w:tcW w:w="444" w:type="pct"/>
            <w:shd w:val="clear" w:color="auto" w:fill="auto"/>
            <w:vAlign w:val="center"/>
          </w:tcPr>
          <w:p w14:paraId="5F501DE4" w14:textId="77777777" w:rsidR="00304132" w:rsidRPr="00470E23" w:rsidRDefault="00304132" w:rsidP="00CD5E09">
            <w:pPr>
              <w:rPr>
                <w:rFonts w:eastAsia="SimSun"/>
                <w:sz w:val="22"/>
              </w:rPr>
            </w:pPr>
            <w:r w:rsidRPr="00470E23">
              <w:rPr>
                <w:rFonts w:eastAsia="SimSun"/>
                <w:sz w:val="22"/>
              </w:rPr>
              <w:t>5.3.1.5</w:t>
            </w:r>
          </w:p>
        </w:tc>
        <w:tc>
          <w:tcPr>
            <w:tcW w:w="334" w:type="pct"/>
            <w:shd w:val="clear" w:color="auto" w:fill="auto"/>
            <w:vAlign w:val="center"/>
          </w:tcPr>
          <w:p w14:paraId="1F97AC64" w14:textId="77777777" w:rsidR="00304132" w:rsidRPr="00470E23" w:rsidRDefault="00304132" w:rsidP="00CD5E09">
            <w:pPr>
              <w:rPr>
                <w:rFonts w:eastAsia="SimSun"/>
                <w:sz w:val="22"/>
              </w:rPr>
            </w:pPr>
          </w:p>
        </w:tc>
        <w:tc>
          <w:tcPr>
            <w:tcW w:w="334" w:type="pct"/>
            <w:shd w:val="clear" w:color="auto" w:fill="auto"/>
            <w:vAlign w:val="center"/>
          </w:tcPr>
          <w:p w14:paraId="18BD35C6" w14:textId="77777777" w:rsidR="00304132" w:rsidRPr="00470E23" w:rsidRDefault="00304132" w:rsidP="00CD5E09">
            <w:pPr>
              <w:rPr>
                <w:rFonts w:eastAsia="SimSun"/>
                <w:sz w:val="22"/>
              </w:rPr>
            </w:pPr>
          </w:p>
        </w:tc>
        <w:tc>
          <w:tcPr>
            <w:tcW w:w="334" w:type="pct"/>
            <w:shd w:val="clear" w:color="auto" w:fill="auto"/>
            <w:vAlign w:val="center"/>
          </w:tcPr>
          <w:p w14:paraId="2DC49E4F" w14:textId="77777777" w:rsidR="00304132" w:rsidRPr="00470E23" w:rsidRDefault="00304132" w:rsidP="00CD5E09">
            <w:pPr>
              <w:rPr>
                <w:rFonts w:eastAsia="SimSun"/>
                <w:sz w:val="22"/>
              </w:rPr>
            </w:pPr>
          </w:p>
        </w:tc>
        <w:tc>
          <w:tcPr>
            <w:tcW w:w="425" w:type="pct"/>
            <w:shd w:val="clear" w:color="auto" w:fill="auto"/>
            <w:vAlign w:val="center"/>
          </w:tcPr>
          <w:p w14:paraId="6AFA0B12" w14:textId="77777777" w:rsidR="00304132" w:rsidRPr="00470E23" w:rsidRDefault="00304132" w:rsidP="00CD5E09">
            <w:pPr>
              <w:rPr>
                <w:rFonts w:eastAsia="SimSun"/>
                <w:sz w:val="22"/>
              </w:rPr>
            </w:pPr>
          </w:p>
        </w:tc>
        <w:tc>
          <w:tcPr>
            <w:tcW w:w="422" w:type="pct"/>
            <w:vAlign w:val="center"/>
          </w:tcPr>
          <w:p w14:paraId="1587B198" w14:textId="77777777" w:rsidR="00304132" w:rsidRPr="00470E23" w:rsidRDefault="00304132" w:rsidP="00CD5E09">
            <w:pPr>
              <w:rPr>
                <w:rFonts w:eastAsia="SimSun"/>
                <w:sz w:val="22"/>
              </w:rPr>
            </w:pPr>
          </w:p>
        </w:tc>
      </w:tr>
      <w:tr w:rsidR="00304132" w:rsidRPr="00470E23" w14:paraId="355D5E3C" w14:textId="77777777" w:rsidTr="00CD5E09">
        <w:trPr>
          <w:cantSplit/>
          <w:trHeight w:val="1020"/>
        </w:trPr>
        <w:tc>
          <w:tcPr>
            <w:tcW w:w="248" w:type="pct"/>
            <w:vMerge/>
            <w:tcBorders>
              <w:bottom w:val="single" w:sz="4" w:space="0" w:color="00000A"/>
            </w:tcBorders>
            <w:shd w:val="clear" w:color="auto" w:fill="D9D9D9"/>
            <w:vAlign w:val="center"/>
          </w:tcPr>
          <w:p w14:paraId="61D06D24" w14:textId="77777777" w:rsidR="00304132" w:rsidRPr="00470E23" w:rsidRDefault="00304132" w:rsidP="00CD5E09">
            <w:pPr>
              <w:rPr>
                <w:rFonts w:eastAsia="SimSun"/>
                <w:sz w:val="22"/>
              </w:rPr>
            </w:pPr>
          </w:p>
        </w:tc>
        <w:tc>
          <w:tcPr>
            <w:tcW w:w="369" w:type="pct"/>
            <w:tcBorders>
              <w:top w:val="single" w:sz="4" w:space="0" w:color="00000A"/>
            </w:tcBorders>
            <w:shd w:val="clear" w:color="auto" w:fill="D9D9D9"/>
            <w:vAlign w:val="center"/>
          </w:tcPr>
          <w:p w14:paraId="13F7EDCD" w14:textId="77777777" w:rsidR="00304132" w:rsidRPr="00470E23" w:rsidRDefault="00304132" w:rsidP="00CD5E09">
            <w:pPr>
              <w:rPr>
                <w:rFonts w:eastAsia="SimSun"/>
                <w:sz w:val="22"/>
              </w:rPr>
            </w:pPr>
            <w:r w:rsidRPr="00470E23">
              <w:rPr>
                <w:rFonts w:eastAsia="SimSun"/>
                <w:sz w:val="22"/>
              </w:rPr>
              <w:t>-</w:t>
            </w:r>
          </w:p>
        </w:tc>
        <w:tc>
          <w:tcPr>
            <w:tcW w:w="321" w:type="pct"/>
            <w:tcBorders>
              <w:top w:val="single" w:sz="4" w:space="0" w:color="00000A"/>
            </w:tcBorders>
            <w:shd w:val="clear" w:color="auto" w:fill="D9D9D9"/>
            <w:vAlign w:val="center"/>
          </w:tcPr>
          <w:p w14:paraId="296A7E48" w14:textId="77777777" w:rsidR="00304132" w:rsidRPr="00470E23" w:rsidRDefault="00304132" w:rsidP="00CD5E09">
            <w:pPr>
              <w:rPr>
                <w:rFonts w:eastAsia="SimSun"/>
                <w:sz w:val="22"/>
              </w:rPr>
            </w:pPr>
            <w:r w:rsidRPr="00470E23">
              <w:rPr>
                <w:rFonts w:eastAsia="SimSun"/>
                <w:sz w:val="22"/>
              </w:rPr>
              <w:t>Tx</w:t>
            </w:r>
          </w:p>
        </w:tc>
        <w:tc>
          <w:tcPr>
            <w:tcW w:w="455" w:type="pct"/>
            <w:shd w:val="clear" w:color="auto" w:fill="D9D9D9"/>
            <w:vAlign w:val="center"/>
          </w:tcPr>
          <w:p w14:paraId="757B5B75" w14:textId="77777777" w:rsidR="00304132" w:rsidRPr="00470E23" w:rsidRDefault="00304132" w:rsidP="00CD5E09">
            <w:pPr>
              <w:rPr>
                <w:rFonts w:eastAsia="SimSun"/>
                <w:sz w:val="22"/>
              </w:rPr>
            </w:pPr>
            <w:r w:rsidRPr="00470E23">
              <w:rPr>
                <w:rFonts w:eastAsia="SimSun"/>
                <w:sz w:val="22"/>
              </w:rPr>
              <w:t>MMF45</w:t>
            </w:r>
          </w:p>
        </w:tc>
        <w:tc>
          <w:tcPr>
            <w:tcW w:w="444" w:type="pct"/>
            <w:tcBorders>
              <w:left w:val="single" w:sz="4" w:space="0" w:color="00000A"/>
            </w:tcBorders>
            <w:shd w:val="clear" w:color="auto" w:fill="auto"/>
            <w:vAlign w:val="center"/>
          </w:tcPr>
          <w:p w14:paraId="18708667" w14:textId="77777777" w:rsidR="00304132" w:rsidRPr="00470E23" w:rsidRDefault="00304132" w:rsidP="00CD5E09">
            <w:pPr>
              <w:rPr>
                <w:rFonts w:eastAsia="SimSun"/>
                <w:sz w:val="22"/>
              </w:rPr>
            </w:pPr>
            <w:r w:rsidRPr="00470E23">
              <w:rPr>
                <w:rFonts w:eastAsia="SimSun"/>
                <w:sz w:val="22"/>
              </w:rPr>
              <w:t>-</w:t>
            </w:r>
          </w:p>
        </w:tc>
        <w:tc>
          <w:tcPr>
            <w:tcW w:w="404" w:type="pct"/>
            <w:shd w:val="clear" w:color="auto" w:fill="auto"/>
            <w:vAlign w:val="center"/>
          </w:tcPr>
          <w:p w14:paraId="2FE0CA4D" w14:textId="77777777" w:rsidR="00304132" w:rsidRPr="00470E23" w:rsidRDefault="00304132" w:rsidP="00CD5E09">
            <w:pPr>
              <w:rPr>
                <w:rFonts w:eastAsia="SimSun"/>
                <w:sz w:val="22"/>
              </w:rPr>
            </w:pPr>
            <w:r w:rsidRPr="00470E23">
              <w:rPr>
                <w:rFonts w:eastAsia="SimSun"/>
                <w:sz w:val="22"/>
              </w:rPr>
              <w:t>-</w:t>
            </w:r>
          </w:p>
        </w:tc>
        <w:tc>
          <w:tcPr>
            <w:tcW w:w="466" w:type="pct"/>
            <w:shd w:val="clear" w:color="auto" w:fill="auto"/>
            <w:vAlign w:val="center"/>
          </w:tcPr>
          <w:p w14:paraId="5DBDBE3E" w14:textId="77777777" w:rsidR="00304132" w:rsidRPr="00470E23" w:rsidRDefault="00304132" w:rsidP="00CD5E09">
            <w:pPr>
              <w:rPr>
                <w:rFonts w:eastAsia="SimSun"/>
                <w:sz w:val="22"/>
              </w:rPr>
            </w:pPr>
            <w:r w:rsidRPr="00470E23">
              <w:rPr>
                <w:rFonts w:eastAsia="SimSun"/>
                <w:sz w:val="22"/>
              </w:rPr>
              <w:t>-</w:t>
            </w:r>
          </w:p>
        </w:tc>
        <w:tc>
          <w:tcPr>
            <w:tcW w:w="444" w:type="pct"/>
            <w:shd w:val="clear" w:color="auto" w:fill="auto"/>
            <w:vAlign w:val="center"/>
          </w:tcPr>
          <w:p w14:paraId="53383B4C" w14:textId="77777777" w:rsidR="00304132" w:rsidRPr="00470E23" w:rsidRDefault="00304132" w:rsidP="00CD5E09">
            <w:pPr>
              <w:rPr>
                <w:rFonts w:eastAsia="SimSun"/>
                <w:sz w:val="22"/>
              </w:rPr>
            </w:pPr>
            <w:r w:rsidRPr="00470E23">
              <w:rPr>
                <w:rFonts w:eastAsia="SimSun"/>
                <w:sz w:val="22"/>
              </w:rPr>
              <w:t>5.3.1.6</w:t>
            </w:r>
          </w:p>
        </w:tc>
        <w:tc>
          <w:tcPr>
            <w:tcW w:w="334" w:type="pct"/>
            <w:shd w:val="clear" w:color="auto" w:fill="auto"/>
            <w:vAlign w:val="center"/>
          </w:tcPr>
          <w:p w14:paraId="2F47A63B" w14:textId="77777777" w:rsidR="00304132" w:rsidRPr="00470E23" w:rsidRDefault="00304132" w:rsidP="00CD5E09">
            <w:pPr>
              <w:rPr>
                <w:rFonts w:eastAsia="SimSun"/>
                <w:sz w:val="22"/>
              </w:rPr>
            </w:pPr>
            <w:r w:rsidRPr="00470E23">
              <w:rPr>
                <w:rFonts w:eastAsia="SimSun"/>
                <w:sz w:val="22"/>
              </w:rPr>
              <w:t>5.3.1.7</w:t>
            </w:r>
          </w:p>
        </w:tc>
        <w:tc>
          <w:tcPr>
            <w:tcW w:w="334" w:type="pct"/>
            <w:shd w:val="clear" w:color="auto" w:fill="auto"/>
            <w:vAlign w:val="center"/>
          </w:tcPr>
          <w:p w14:paraId="6AC0F42E" w14:textId="77777777" w:rsidR="00304132" w:rsidRPr="00470E23" w:rsidRDefault="00304132" w:rsidP="00CD5E09">
            <w:pPr>
              <w:rPr>
                <w:rFonts w:eastAsia="SimSun"/>
                <w:sz w:val="22"/>
              </w:rPr>
            </w:pPr>
            <w:r w:rsidRPr="00470E23">
              <w:rPr>
                <w:rFonts w:eastAsia="SimSun"/>
                <w:sz w:val="22"/>
              </w:rPr>
              <w:t>5.3.1.8</w:t>
            </w:r>
          </w:p>
        </w:tc>
        <w:tc>
          <w:tcPr>
            <w:tcW w:w="334" w:type="pct"/>
            <w:shd w:val="clear" w:color="auto" w:fill="auto"/>
            <w:vAlign w:val="center"/>
          </w:tcPr>
          <w:p w14:paraId="0764853F" w14:textId="77777777" w:rsidR="00304132" w:rsidRPr="00470E23" w:rsidRDefault="00304132" w:rsidP="00CD5E09">
            <w:pPr>
              <w:rPr>
                <w:rFonts w:eastAsia="SimSun"/>
                <w:sz w:val="22"/>
              </w:rPr>
            </w:pPr>
            <w:r w:rsidRPr="00470E23">
              <w:rPr>
                <w:rFonts w:eastAsia="SimSun"/>
                <w:sz w:val="22"/>
              </w:rPr>
              <w:t>5.3.1.9</w:t>
            </w:r>
          </w:p>
        </w:tc>
        <w:tc>
          <w:tcPr>
            <w:tcW w:w="425" w:type="pct"/>
            <w:shd w:val="clear" w:color="auto" w:fill="auto"/>
            <w:vAlign w:val="center"/>
          </w:tcPr>
          <w:p w14:paraId="36587104" w14:textId="77777777" w:rsidR="00304132" w:rsidRPr="00470E23" w:rsidRDefault="00304132" w:rsidP="00CD5E09">
            <w:pPr>
              <w:rPr>
                <w:rFonts w:eastAsia="SimSun"/>
                <w:sz w:val="22"/>
              </w:rPr>
            </w:pPr>
            <w:r w:rsidRPr="00470E23">
              <w:rPr>
                <w:rFonts w:eastAsia="SimSun"/>
                <w:sz w:val="22"/>
              </w:rPr>
              <w:t>5.3.1.13</w:t>
            </w:r>
          </w:p>
        </w:tc>
        <w:tc>
          <w:tcPr>
            <w:tcW w:w="422" w:type="pct"/>
            <w:vAlign w:val="center"/>
          </w:tcPr>
          <w:p w14:paraId="79F489F4" w14:textId="77777777" w:rsidR="00304132" w:rsidRPr="00470E23" w:rsidRDefault="00304132" w:rsidP="00CD5E09">
            <w:pPr>
              <w:rPr>
                <w:rFonts w:eastAsia="SimSun"/>
                <w:sz w:val="22"/>
              </w:rPr>
            </w:pPr>
            <w:r w:rsidRPr="00470E23">
              <w:rPr>
                <w:rFonts w:eastAsia="SimSun"/>
                <w:sz w:val="22"/>
              </w:rPr>
              <w:t>5.3.1.14</w:t>
            </w:r>
          </w:p>
        </w:tc>
      </w:tr>
    </w:tbl>
    <w:p w14:paraId="59F502BB" w14:textId="77777777" w:rsidR="00304132" w:rsidRPr="00C07B2E" w:rsidRDefault="00304132" w:rsidP="00304132">
      <w:pPr>
        <w:rPr>
          <w:rFonts w:eastAsia="SimSun"/>
        </w:rPr>
      </w:pPr>
    </w:p>
    <w:p w14:paraId="27769F18" w14:textId="77777777" w:rsidR="00304132" w:rsidRPr="00C07B2E" w:rsidRDefault="00304132" w:rsidP="00304132">
      <w:pPr>
        <w:rPr>
          <w:rFonts w:eastAsia="SimSun"/>
        </w:rPr>
        <w:sectPr w:rsidR="00304132" w:rsidRPr="00C07B2E" w:rsidSect="00CD5E09">
          <w:headerReference w:type="default" r:id="rId22"/>
          <w:footerReference w:type="default" r:id="rId23"/>
          <w:type w:val="continuous"/>
          <w:pgSz w:w="16839" w:h="11907" w:orient="landscape" w:code="9"/>
          <w:pgMar w:top="1134" w:right="850" w:bottom="1134" w:left="1701" w:header="709" w:footer="567" w:gutter="0"/>
          <w:cols w:space="708"/>
          <w:docGrid w:linePitch="360"/>
        </w:sectPr>
      </w:pPr>
    </w:p>
    <w:p w14:paraId="0CC2296C" w14:textId="77777777" w:rsidR="00304132" w:rsidRPr="00C07B2E" w:rsidRDefault="00304132" w:rsidP="00304132">
      <w:pPr>
        <w:rPr>
          <w:rFonts w:eastAsia="SimSun"/>
        </w:rPr>
      </w:pPr>
      <w:bookmarkStart w:id="364" w:name="_Toc44401226"/>
      <w:r w:rsidRPr="00EE51B1">
        <w:rPr>
          <w:rFonts w:eastAsia="SimSun"/>
        </w:rPr>
        <w:lastRenderedPageBreak/>
        <w:t>Таблица</w:t>
      </w:r>
      <w:r w:rsidRPr="00C07B2E">
        <w:rPr>
          <w:rFonts w:eastAsia="SimSun"/>
        </w:rPr>
        <w:t xml:space="preserve"> </w:t>
      </w:r>
      <w:r>
        <w:rPr>
          <w:rFonts w:eastAsia="SimSun"/>
        </w:rPr>
        <w:t>5.</w:t>
      </w:r>
      <w:r w:rsidRPr="00C07B2E">
        <w:rPr>
          <w:rFonts w:eastAsia="SimSun"/>
        </w:rPr>
        <w:t>3.1.1  – Flu150+Bu8+Thio / PT-Cy+CSA+MMF30</w:t>
      </w:r>
      <w:bookmarkEnd w:id="364"/>
    </w:p>
    <w:p w14:paraId="0FBBD593" w14:textId="77777777" w:rsidR="00304132" w:rsidRPr="00C07B2E" w:rsidRDefault="00304132" w:rsidP="00304132">
      <w:pPr>
        <w:rPr>
          <w:rFonts w:eastAsia="SimSun"/>
        </w:rPr>
      </w:pPr>
    </w:p>
    <w:tbl>
      <w:tblPr>
        <w:tblW w:w="964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5"/>
        <w:gridCol w:w="1559"/>
        <w:gridCol w:w="1418"/>
        <w:gridCol w:w="1559"/>
        <w:gridCol w:w="1559"/>
        <w:gridCol w:w="2410"/>
      </w:tblGrid>
      <w:tr w:rsidR="00304132" w:rsidRPr="00AC3044" w14:paraId="564CB01C" w14:textId="77777777" w:rsidTr="00CD5E09">
        <w:trPr>
          <w:cantSplit/>
          <w:trHeight w:val="20"/>
          <w:tblHeader/>
        </w:trPr>
        <w:tc>
          <w:tcPr>
            <w:tcW w:w="1135" w:type="dxa"/>
          </w:tcPr>
          <w:p w14:paraId="33FD2ADD" w14:textId="77777777" w:rsidR="00304132" w:rsidRPr="006A5E21" w:rsidRDefault="00304132" w:rsidP="00CD5E09">
            <w:pPr>
              <w:rPr>
                <w:rFonts w:eastAsia="SimSun"/>
              </w:rPr>
            </w:pPr>
          </w:p>
        </w:tc>
        <w:tc>
          <w:tcPr>
            <w:tcW w:w="1559" w:type="dxa"/>
          </w:tcPr>
          <w:p w14:paraId="12623E8C" w14:textId="77777777" w:rsidR="00304132" w:rsidRPr="00AC3044" w:rsidRDefault="00304132" w:rsidP="00CD5E09">
            <w:pPr>
              <w:rPr>
                <w:rFonts w:eastAsia="SimSun"/>
              </w:rPr>
            </w:pPr>
            <w:r w:rsidRPr="00AC3044">
              <w:rPr>
                <w:rFonts w:eastAsia="SimSun"/>
              </w:rPr>
              <w:t>Препарат</w:t>
            </w:r>
          </w:p>
        </w:tc>
        <w:tc>
          <w:tcPr>
            <w:tcW w:w="1418" w:type="dxa"/>
          </w:tcPr>
          <w:p w14:paraId="5E0647AA" w14:textId="77777777" w:rsidR="00304132" w:rsidRPr="00AC3044" w:rsidRDefault="00304132" w:rsidP="00CD5E09">
            <w:pPr>
              <w:rPr>
                <w:rFonts w:eastAsia="SimSun"/>
              </w:rPr>
            </w:pPr>
            <w:r w:rsidRPr="00AC3044">
              <w:rPr>
                <w:rFonts w:eastAsia="SimSun"/>
              </w:rPr>
              <w:t>Суточная доза</w:t>
            </w:r>
          </w:p>
        </w:tc>
        <w:tc>
          <w:tcPr>
            <w:tcW w:w="1559" w:type="dxa"/>
          </w:tcPr>
          <w:p w14:paraId="31F8378D" w14:textId="77777777" w:rsidR="00304132" w:rsidRPr="00AC3044" w:rsidRDefault="00304132" w:rsidP="00CD5E09">
            <w:pPr>
              <w:rPr>
                <w:rFonts w:eastAsia="SimSun"/>
              </w:rPr>
            </w:pPr>
            <w:r w:rsidRPr="00AC3044">
              <w:rPr>
                <w:rFonts w:eastAsia="SimSun"/>
              </w:rPr>
              <w:t>Курсовая доза</w:t>
            </w:r>
          </w:p>
        </w:tc>
        <w:tc>
          <w:tcPr>
            <w:tcW w:w="1559" w:type="dxa"/>
          </w:tcPr>
          <w:p w14:paraId="1A77DA31" w14:textId="77777777" w:rsidR="00304132" w:rsidRPr="00AC3044" w:rsidRDefault="00304132" w:rsidP="00CD5E09">
            <w:pPr>
              <w:rPr>
                <w:rFonts w:eastAsia="SimSun"/>
              </w:rPr>
            </w:pPr>
            <w:r w:rsidRPr="00AC3044">
              <w:rPr>
                <w:rFonts w:eastAsia="SimSun"/>
              </w:rPr>
              <w:t>Дни введения</w:t>
            </w:r>
          </w:p>
        </w:tc>
        <w:tc>
          <w:tcPr>
            <w:tcW w:w="2410" w:type="dxa"/>
          </w:tcPr>
          <w:p w14:paraId="02FA4599" w14:textId="77777777" w:rsidR="00304132" w:rsidRPr="00AC3044" w:rsidRDefault="00304132" w:rsidP="00CD5E09">
            <w:pPr>
              <w:rPr>
                <w:rFonts w:eastAsia="SimSun"/>
              </w:rPr>
            </w:pPr>
            <w:r w:rsidRPr="00AC3044">
              <w:rPr>
                <w:rFonts w:eastAsia="SimSun"/>
              </w:rPr>
              <w:t>Порядок введения</w:t>
            </w:r>
          </w:p>
        </w:tc>
      </w:tr>
      <w:tr w:rsidR="00304132" w:rsidRPr="00AC3044" w14:paraId="3AB815EA" w14:textId="77777777" w:rsidTr="00CD5E09">
        <w:trPr>
          <w:cantSplit/>
          <w:trHeight w:val="20"/>
        </w:trPr>
        <w:tc>
          <w:tcPr>
            <w:tcW w:w="1135" w:type="dxa"/>
            <w:vMerge w:val="restart"/>
            <w:textDirection w:val="btLr"/>
          </w:tcPr>
          <w:p w14:paraId="570CFE7C" w14:textId="77777777" w:rsidR="00304132" w:rsidRPr="00AC3044" w:rsidRDefault="00304132" w:rsidP="00CD5E09">
            <w:pPr>
              <w:rPr>
                <w:rFonts w:eastAsia="SimSun"/>
              </w:rPr>
            </w:pPr>
            <w:r w:rsidRPr="00AC3044">
              <w:rPr>
                <w:rFonts w:eastAsia="SimSun"/>
              </w:rPr>
              <w:t>Кондиционирование</w:t>
            </w:r>
          </w:p>
        </w:tc>
        <w:tc>
          <w:tcPr>
            <w:tcW w:w="1559" w:type="dxa"/>
          </w:tcPr>
          <w:p w14:paraId="288BC380" w14:textId="77777777" w:rsidR="00304132" w:rsidRPr="00AC3044" w:rsidRDefault="00304132" w:rsidP="00CD5E09">
            <w:pPr>
              <w:rPr>
                <w:rFonts w:eastAsia="SimSun"/>
              </w:rPr>
            </w:pPr>
            <w:r w:rsidRPr="00AC3044">
              <w:rPr>
                <w:rFonts w:eastAsia="SimSun"/>
              </w:rPr>
              <w:t xml:space="preserve">Флударабин </w:t>
            </w:r>
          </w:p>
        </w:tc>
        <w:tc>
          <w:tcPr>
            <w:tcW w:w="1418" w:type="dxa"/>
          </w:tcPr>
          <w:p w14:paraId="14D7C0EC" w14:textId="77777777" w:rsidR="00304132" w:rsidRPr="00AC3044" w:rsidRDefault="00304132" w:rsidP="00CD5E09">
            <w:pPr>
              <w:rPr>
                <w:rFonts w:eastAsia="SimSun"/>
              </w:rPr>
            </w:pPr>
            <w:r w:rsidRPr="00AC3044">
              <w:rPr>
                <w:rFonts w:eastAsia="SimSun"/>
              </w:rPr>
              <w:t>50 мг/м</w:t>
            </w:r>
            <w:r w:rsidRPr="0074195F">
              <w:rPr>
                <w:rFonts w:eastAsia="SimSun"/>
                <w:vertAlign w:val="superscript"/>
              </w:rPr>
              <w:t>2</w:t>
            </w:r>
          </w:p>
        </w:tc>
        <w:tc>
          <w:tcPr>
            <w:tcW w:w="1559" w:type="dxa"/>
          </w:tcPr>
          <w:p w14:paraId="3410D2C9" w14:textId="77777777" w:rsidR="00304132" w:rsidRPr="00AC3044" w:rsidRDefault="00304132" w:rsidP="00CD5E09">
            <w:pPr>
              <w:rPr>
                <w:rFonts w:eastAsia="SimSun"/>
              </w:rPr>
            </w:pPr>
            <w:r w:rsidRPr="00AC3044">
              <w:rPr>
                <w:rFonts w:eastAsia="SimSun"/>
              </w:rPr>
              <w:t>150 мг/м</w:t>
            </w:r>
            <w:r w:rsidRPr="0074195F">
              <w:rPr>
                <w:rFonts w:eastAsia="SimSun"/>
                <w:vertAlign w:val="superscript"/>
              </w:rPr>
              <w:t>2</w:t>
            </w:r>
          </w:p>
        </w:tc>
        <w:tc>
          <w:tcPr>
            <w:tcW w:w="1559" w:type="dxa"/>
          </w:tcPr>
          <w:p w14:paraId="04733394" w14:textId="77777777" w:rsidR="00304132" w:rsidRPr="00AC3044" w:rsidRDefault="00304132" w:rsidP="00CD5E09">
            <w:pPr>
              <w:rPr>
                <w:rFonts w:eastAsia="SimSun"/>
              </w:rPr>
            </w:pPr>
            <w:r w:rsidRPr="00AC3044">
              <w:rPr>
                <w:rFonts w:eastAsia="SimSun"/>
              </w:rPr>
              <w:t>С –4 по –2 день</w:t>
            </w:r>
          </w:p>
        </w:tc>
        <w:tc>
          <w:tcPr>
            <w:tcW w:w="2410" w:type="dxa"/>
          </w:tcPr>
          <w:p w14:paraId="528E5DFA" w14:textId="77777777" w:rsidR="00304132" w:rsidRPr="00AC3044" w:rsidRDefault="00304132" w:rsidP="00CD5E09">
            <w:pPr>
              <w:rPr>
                <w:rFonts w:eastAsia="SimSun"/>
              </w:rPr>
            </w:pPr>
            <w:r w:rsidRPr="00AC3044">
              <w:rPr>
                <w:rFonts w:eastAsia="SimSun"/>
              </w:rPr>
              <w:t>В/в, в течение 30 -60 мин</w:t>
            </w:r>
          </w:p>
        </w:tc>
      </w:tr>
      <w:tr w:rsidR="00304132" w:rsidRPr="00AC3044" w14:paraId="3765A91D" w14:textId="77777777" w:rsidTr="00CD5E09">
        <w:trPr>
          <w:cantSplit/>
          <w:trHeight w:val="642"/>
        </w:trPr>
        <w:tc>
          <w:tcPr>
            <w:tcW w:w="1135" w:type="dxa"/>
            <w:vMerge/>
            <w:textDirection w:val="btLr"/>
          </w:tcPr>
          <w:p w14:paraId="432D8088" w14:textId="77777777" w:rsidR="00304132" w:rsidRPr="00AC3044" w:rsidRDefault="00304132" w:rsidP="00CD5E09">
            <w:pPr>
              <w:rPr>
                <w:rFonts w:eastAsia="SimSun"/>
              </w:rPr>
            </w:pPr>
          </w:p>
        </w:tc>
        <w:tc>
          <w:tcPr>
            <w:tcW w:w="1559" w:type="dxa"/>
          </w:tcPr>
          <w:p w14:paraId="43A8C908" w14:textId="77777777" w:rsidR="00304132" w:rsidRPr="00AC3044" w:rsidRDefault="00304132" w:rsidP="00CD5E09">
            <w:pPr>
              <w:rPr>
                <w:rFonts w:eastAsia="SimSun"/>
              </w:rPr>
            </w:pPr>
            <w:r w:rsidRPr="00AC3044">
              <w:rPr>
                <w:rFonts w:eastAsia="SimSun"/>
              </w:rPr>
              <w:t>Бусульфан</w:t>
            </w:r>
          </w:p>
        </w:tc>
        <w:tc>
          <w:tcPr>
            <w:tcW w:w="1418" w:type="dxa"/>
          </w:tcPr>
          <w:p w14:paraId="3D3519C3" w14:textId="77777777" w:rsidR="00304132" w:rsidRPr="00AC3044" w:rsidRDefault="00304132" w:rsidP="00CD5E09">
            <w:pPr>
              <w:rPr>
                <w:rFonts w:eastAsia="SimSun"/>
              </w:rPr>
            </w:pPr>
            <w:r w:rsidRPr="00AC3044">
              <w:rPr>
                <w:rFonts w:eastAsia="SimSun"/>
              </w:rPr>
              <w:t>4 мг/кг</w:t>
            </w:r>
          </w:p>
        </w:tc>
        <w:tc>
          <w:tcPr>
            <w:tcW w:w="1559" w:type="dxa"/>
          </w:tcPr>
          <w:p w14:paraId="392A3039" w14:textId="77777777" w:rsidR="00304132" w:rsidRPr="00AC3044" w:rsidRDefault="00304132" w:rsidP="00CD5E09">
            <w:pPr>
              <w:rPr>
                <w:rFonts w:eastAsia="SimSun"/>
              </w:rPr>
            </w:pPr>
            <w:r w:rsidRPr="00AC3044">
              <w:rPr>
                <w:rFonts w:eastAsia="SimSun"/>
              </w:rPr>
              <w:t>8 мг/кг</w:t>
            </w:r>
          </w:p>
        </w:tc>
        <w:tc>
          <w:tcPr>
            <w:tcW w:w="1559" w:type="dxa"/>
          </w:tcPr>
          <w:p w14:paraId="2288C124" w14:textId="77777777" w:rsidR="00304132" w:rsidRPr="00AC3044" w:rsidRDefault="00304132" w:rsidP="00CD5E09">
            <w:pPr>
              <w:rPr>
                <w:rFonts w:eastAsia="SimSun"/>
              </w:rPr>
            </w:pPr>
            <w:r w:rsidRPr="00AC3044">
              <w:rPr>
                <w:rFonts w:eastAsia="SimSun"/>
              </w:rPr>
              <w:t>–3, –2 дни</w:t>
            </w:r>
          </w:p>
        </w:tc>
        <w:tc>
          <w:tcPr>
            <w:tcW w:w="2410" w:type="dxa"/>
          </w:tcPr>
          <w:p w14:paraId="73665206" w14:textId="77777777" w:rsidR="00304132" w:rsidRPr="00AC3044" w:rsidRDefault="00304132" w:rsidP="00CD5E09">
            <w:pPr>
              <w:rPr>
                <w:rFonts w:eastAsia="SimSun"/>
              </w:rPr>
            </w:pPr>
            <w:r w:rsidRPr="00AC3044">
              <w:rPr>
                <w:rFonts w:eastAsia="SimSun"/>
              </w:rPr>
              <w:t>Внутрь, суммарная суточная доза разделяется на 4 приема с интервалом 6 часов.</w:t>
            </w:r>
          </w:p>
        </w:tc>
      </w:tr>
      <w:tr w:rsidR="00304132" w:rsidRPr="00AC3044" w14:paraId="2EEEDE37" w14:textId="77777777" w:rsidTr="00CD5E09">
        <w:trPr>
          <w:cantSplit/>
          <w:trHeight w:val="552"/>
        </w:trPr>
        <w:tc>
          <w:tcPr>
            <w:tcW w:w="1135" w:type="dxa"/>
            <w:vMerge/>
            <w:textDirection w:val="btLr"/>
          </w:tcPr>
          <w:p w14:paraId="52159DF8" w14:textId="77777777" w:rsidR="00304132" w:rsidRPr="00AC3044" w:rsidRDefault="00304132" w:rsidP="00CD5E09">
            <w:pPr>
              <w:rPr>
                <w:rFonts w:eastAsia="SimSun"/>
              </w:rPr>
            </w:pPr>
          </w:p>
        </w:tc>
        <w:tc>
          <w:tcPr>
            <w:tcW w:w="1559" w:type="dxa"/>
          </w:tcPr>
          <w:p w14:paraId="225A042B" w14:textId="77777777" w:rsidR="00304132" w:rsidRPr="00AC3044" w:rsidRDefault="00304132" w:rsidP="00CD5E09">
            <w:pPr>
              <w:rPr>
                <w:rFonts w:eastAsia="SimSun"/>
              </w:rPr>
            </w:pPr>
            <w:r w:rsidRPr="00AC3044">
              <w:rPr>
                <w:rFonts w:eastAsia="SimSun"/>
              </w:rPr>
              <w:t>Тиотепа</w:t>
            </w:r>
          </w:p>
        </w:tc>
        <w:tc>
          <w:tcPr>
            <w:tcW w:w="1418" w:type="dxa"/>
          </w:tcPr>
          <w:p w14:paraId="725EADA0" w14:textId="77777777" w:rsidR="00304132" w:rsidRPr="00AC3044" w:rsidRDefault="00304132" w:rsidP="00CD5E09">
            <w:pPr>
              <w:rPr>
                <w:rFonts w:eastAsia="SimSun"/>
              </w:rPr>
            </w:pPr>
            <w:r w:rsidRPr="00AC3044">
              <w:rPr>
                <w:rFonts w:eastAsia="SimSun"/>
              </w:rPr>
              <w:t>5 мг/кг</w:t>
            </w:r>
          </w:p>
        </w:tc>
        <w:tc>
          <w:tcPr>
            <w:tcW w:w="1559" w:type="dxa"/>
          </w:tcPr>
          <w:p w14:paraId="3537C252" w14:textId="77777777" w:rsidR="00304132" w:rsidRPr="00AC3044" w:rsidRDefault="00304132" w:rsidP="00CD5E09">
            <w:pPr>
              <w:rPr>
                <w:rFonts w:eastAsia="SimSun"/>
              </w:rPr>
            </w:pPr>
            <w:r w:rsidRPr="00AC3044">
              <w:rPr>
                <w:rFonts w:eastAsia="SimSun"/>
              </w:rPr>
              <w:t>10 мг/кг</w:t>
            </w:r>
          </w:p>
        </w:tc>
        <w:tc>
          <w:tcPr>
            <w:tcW w:w="1559" w:type="dxa"/>
          </w:tcPr>
          <w:p w14:paraId="37268C8C" w14:textId="77777777" w:rsidR="00304132" w:rsidRPr="00AC3044" w:rsidRDefault="00304132" w:rsidP="00CD5E09">
            <w:pPr>
              <w:rPr>
                <w:rFonts w:eastAsia="SimSun"/>
              </w:rPr>
            </w:pPr>
            <w:r w:rsidRPr="00AC3044">
              <w:rPr>
                <w:rFonts w:eastAsia="SimSun"/>
              </w:rPr>
              <w:t>-6,-5 дни</w:t>
            </w:r>
          </w:p>
        </w:tc>
        <w:tc>
          <w:tcPr>
            <w:tcW w:w="2410" w:type="dxa"/>
          </w:tcPr>
          <w:p w14:paraId="5CEA98A5" w14:textId="77777777" w:rsidR="00304132" w:rsidRPr="00AC3044" w:rsidRDefault="00304132" w:rsidP="00CD5E09">
            <w:pPr>
              <w:rPr>
                <w:rFonts w:eastAsia="SimSun"/>
              </w:rPr>
            </w:pPr>
            <w:r w:rsidRPr="00AC3044">
              <w:rPr>
                <w:rFonts w:eastAsia="SimSun"/>
              </w:rPr>
              <w:t>В/в, в течение 2 часов</w:t>
            </w:r>
          </w:p>
        </w:tc>
      </w:tr>
      <w:tr w:rsidR="00304132" w:rsidRPr="00AC3044" w14:paraId="7179D365" w14:textId="77777777" w:rsidTr="00CD5E09">
        <w:trPr>
          <w:cantSplit/>
          <w:trHeight w:val="1357"/>
        </w:trPr>
        <w:tc>
          <w:tcPr>
            <w:tcW w:w="1135" w:type="dxa"/>
            <w:vMerge w:val="restart"/>
            <w:textDirection w:val="btLr"/>
          </w:tcPr>
          <w:p w14:paraId="1CCFA984" w14:textId="77777777" w:rsidR="00304132" w:rsidRPr="00AC3044" w:rsidRDefault="00304132" w:rsidP="00CD5E09">
            <w:pPr>
              <w:rPr>
                <w:rFonts w:eastAsia="SimSun"/>
              </w:rPr>
            </w:pPr>
            <w:r w:rsidRPr="00AC3044">
              <w:rPr>
                <w:rFonts w:eastAsia="SimSun"/>
              </w:rPr>
              <w:t>Профилактика РТПХ</w:t>
            </w:r>
          </w:p>
        </w:tc>
        <w:tc>
          <w:tcPr>
            <w:tcW w:w="1559" w:type="dxa"/>
          </w:tcPr>
          <w:p w14:paraId="65A6F602" w14:textId="77777777" w:rsidR="00304132" w:rsidRPr="00AC3044" w:rsidRDefault="00304132" w:rsidP="00CD5E09">
            <w:pPr>
              <w:rPr>
                <w:rFonts w:eastAsia="SimSun"/>
              </w:rPr>
            </w:pPr>
            <w:r w:rsidRPr="00AC3044">
              <w:rPr>
                <w:rFonts w:eastAsia="SimSun"/>
              </w:rPr>
              <w:t>Циклоспорин</w:t>
            </w:r>
          </w:p>
        </w:tc>
        <w:tc>
          <w:tcPr>
            <w:tcW w:w="1418" w:type="dxa"/>
          </w:tcPr>
          <w:p w14:paraId="51388863" w14:textId="77777777" w:rsidR="00304132" w:rsidRPr="00AC3044" w:rsidRDefault="00304132" w:rsidP="00CD5E09">
            <w:pPr>
              <w:rPr>
                <w:rFonts w:eastAsia="SimSun"/>
              </w:rPr>
            </w:pPr>
            <w:r w:rsidRPr="00AC3044">
              <w:rPr>
                <w:rFonts w:eastAsia="SimSun"/>
              </w:rPr>
              <w:t>3 мг/кг</w:t>
            </w:r>
          </w:p>
        </w:tc>
        <w:tc>
          <w:tcPr>
            <w:tcW w:w="1559" w:type="dxa"/>
          </w:tcPr>
          <w:p w14:paraId="00D519C2" w14:textId="77777777" w:rsidR="00304132" w:rsidRPr="00AC3044" w:rsidRDefault="00304132" w:rsidP="00CD5E09">
            <w:pPr>
              <w:rPr>
                <w:rFonts w:eastAsia="SimSun"/>
              </w:rPr>
            </w:pPr>
            <w:r w:rsidRPr="00AC3044">
              <w:rPr>
                <w:rFonts w:eastAsia="SimSun"/>
              </w:rPr>
              <w:t>–</w:t>
            </w:r>
          </w:p>
        </w:tc>
        <w:tc>
          <w:tcPr>
            <w:tcW w:w="1559" w:type="dxa"/>
          </w:tcPr>
          <w:p w14:paraId="0A49C826" w14:textId="77777777" w:rsidR="00304132" w:rsidRPr="00AC3044" w:rsidRDefault="00304132" w:rsidP="00CD5E09">
            <w:pPr>
              <w:rPr>
                <w:rFonts w:eastAsia="SimSun"/>
              </w:rPr>
            </w:pPr>
            <w:r w:rsidRPr="00AC3044">
              <w:rPr>
                <w:rFonts w:eastAsia="SimSun"/>
              </w:rPr>
              <w:t>С +5 дня по +90 день затем постепенное снижение к +180 дню</w:t>
            </w:r>
          </w:p>
        </w:tc>
        <w:tc>
          <w:tcPr>
            <w:tcW w:w="2410" w:type="dxa"/>
          </w:tcPr>
          <w:p w14:paraId="4B9014C6" w14:textId="77777777" w:rsidR="00304132" w:rsidRPr="00AC3044" w:rsidRDefault="00304132" w:rsidP="00CD5E09">
            <w:pPr>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74195F">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304132" w:rsidRPr="00AC3044" w14:paraId="4BCBDBFF" w14:textId="77777777" w:rsidTr="00CD5E09">
        <w:trPr>
          <w:cantSplit/>
          <w:trHeight w:val="20"/>
        </w:trPr>
        <w:tc>
          <w:tcPr>
            <w:tcW w:w="1135" w:type="dxa"/>
            <w:vMerge/>
            <w:textDirection w:val="btLr"/>
          </w:tcPr>
          <w:p w14:paraId="69AFBB95" w14:textId="77777777" w:rsidR="00304132" w:rsidRPr="00AC3044" w:rsidRDefault="00304132" w:rsidP="00CD5E09">
            <w:pPr>
              <w:rPr>
                <w:rFonts w:eastAsia="SimSun"/>
              </w:rPr>
            </w:pPr>
          </w:p>
        </w:tc>
        <w:tc>
          <w:tcPr>
            <w:tcW w:w="1559" w:type="dxa"/>
          </w:tcPr>
          <w:p w14:paraId="15BC2091" w14:textId="77777777" w:rsidR="00304132" w:rsidRPr="00AC3044" w:rsidRDefault="00304132" w:rsidP="00CD5E09">
            <w:pPr>
              <w:rPr>
                <w:rFonts w:eastAsia="SimSun"/>
              </w:rPr>
            </w:pPr>
            <w:r w:rsidRPr="00AC3044">
              <w:rPr>
                <w:rFonts w:eastAsia="SimSun"/>
              </w:rPr>
              <w:t>Микофенолата мофетил</w:t>
            </w:r>
          </w:p>
        </w:tc>
        <w:tc>
          <w:tcPr>
            <w:tcW w:w="1418" w:type="dxa"/>
          </w:tcPr>
          <w:p w14:paraId="6D3A218E" w14:textId="77777777" w:rsidR="00304132" w:rsidRPr="00AC3044" w:rsidRDefault="00304132" w:rsidP="00CD5E09">
            <w:pPr>
              <w:rPr>
                <w:rFonts w:eastAsia="SimSun"/>
              </w:rPr>
            </w:pPr>
            <w:r w:rsidRPr="00AC3044">
              <w:rPr>
                <w:rFonts w:eastAsia="SimSun"/>
              </w:rPr>
              <w:t>30 мг/кг</w:t>
            </w:r>
          </w:p>
        </w:tc>
        <w:tc>
          <w:tcPr>
            <w:tcW w:w="1559" w:type="dxa"/>
          </w:tcPr>
          <w:p w14:paraId="6A263E58" w14:textId="77777777" w:rsidR="00304132" w:rsidRPr="00AC3044" w:rsidRDefault="00304132" w:rsidP="00CD5E09">
            <w:pPr>
              <w:rPr>
                <w:rFonts w:eastAsia="SimSun"/>
              </w:rPr>
            </w:pPr>
            <w:r w:rsidRPr="00AC3044">
              <w:rPr>
                <w:rFonts w:eastAsia="SimSun"/>
              </w:rPr>
              <w:t>–</w:t>
            </w:r>
          </w:p>
        </w:tc>
        <w:tc>
          <w:tcPr>
            <w:tcW w:w="1559" w:type="dxa"/>
          </w:tcPr>
          <w:p w14:paraId="58329640" w14:textId="77777777" w:rsidR="00304132" w:rsidRPr="00AC3044" w:rsidRDefault="00304132" w:rsidP="00CD5E09">
            <w:pPr>
              <w:rPr>
                <w:rFonts w:eastAsia="SimSun"/>
              </w:rPr>
            </w:pPr>
            <w:r w:rsidRPr="00AC3044">
              <w:rPr>
                <w:rFonts w:eastAsia="SimSun"/>
              </w:rPr>
              <w:t>С +5 по +90 день</w:t>
            </w:r>
          </w:p>
        </w:tc>
        <w:tc>
          <w:tcPr>
            <w:tcW w:w="2410" w:type="dxa"/>
          </w:tcPr>
          <w:p w14:paraId="27BAFEC0" w14:textId="77777777" w:rsidR="00304132" w:rsidRPr="00AC3044" w:rsidRDefault="00304132" w:rsidP="00CD5E09">
            <w:pPr>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 xml:space="preserve">г/сут).  </w:t>
            </w:r>
          </w:p>
        </w:tc>
      </w:tr>
      <w:tr w:rsidR="00304132" w:rsidRPr="00AC3044" w14:paraId="702D25B5" w14:textId="77777777" w:rsidTr="00CD5E09">
        <w:trPr>
          <w:cantSplit/>
          <w:trHeight w:val="20"/>
        </w:trPr>
        <w:tc>
          <w:tcPr>
            <w:tcW w:w="1135" w:type="dxa"/>
            <w:vMerge/>
            <w:textDirection w:val="btLr"/>
          </w:tcPr>
          <w:p w14:paraId="66C3B414" w14:textId="77777777" w:rsidR="00304132" w:rsidRPr="00AC3044" w:rsidRDefault="00304132" w:rsidP="00CD5E09">
            <w:pPr>
              <w:rPr>
                <w:rFonts w:eastAsia="SimSun"/>
              </w:rPr>
            </w:pPr>
          </w:p>
        </w:tc>
        <w:tc>
          <w:tcPr>
            <w:tcW w:w="1559" w:type="dxa"/>
          </w:tcPr>
          <w:p w14:paraId="7CE0596D" w14:textId="77777777" w:rsidR="00304132" w:rsidRPr="00AC3044" w:rsidRDefault="00304132" w:rsidP="00CD5E09">
            <w:pPr>
              <w:rPr>
                <w:rFonts w:eastAsia="SimSun"/>
              </w:rPr>
            </w:pPr>
            <w:r w:rsidRPr="00AC3044">
              <w:rPr>
                <w:rFonts w:eastAsia="SimSun"/>
              </w:rPr>
              <w:t>Циклофосфамид</w:t>
            </w:r>
          </w:p>
        </w:tc>
        <w:tc>
          <w:tcPr>
            <w:tcW w:w="1418" w:type="dxa"/>
          </w:tcPr>
          <w:p w14:paraId="45D39598" w14:textId="77777777" w:rsidR="00304132" w:rsidRPr="00AC3044" w:rsidRDefault="00304132" w:rsidP="00CD5E09">
            <w:pPr>
              <w:rPr>
                <w:rFonts w:eastAsia="SimSun"/>
              </w:rPr>
            </w:pPr>
            <w:r w:rsidRPr="00AC3044">
              <w:rPr>
                <w:rFonts w:eastAsia="SimSun"/>
              </w:rPr>
              <w:t>50 мг/кг</w:t>
            </w:r>
          </w:p>
        </w:tc>
        <w:tc>
          <w:tcPr>
            <w:tcW w:w="1559" w:type="dxa"/>
          </w:tcPr>
          <w:p w14:paraId="611ED0BE" w14:textId="77777777" w:rsidR="00304132" w:rsidRPr="00AC3044" w:rsidRDefault="00304132" w:rsidP="00CD5E09">
            <w:pPr>
              <w:rPr>
                <w:rFonts w:eastAsia="SimSun"/>
              </w:rPr>
            </w:pPr>
            <w:r w:rsidRPr="00AC3044">
              <w:rPr>
                <w:rFonts w:eastAsia="SimSun"/>
              </w:rPr>
              <w:t>100 мг/кг</w:t>
            </w:r>
          </w:p>
        </w:tc>
        <w:tc>
          <w:tcPr>
            <w:tcW w:w="1559" w:type="dxa"/>
          </w:tcPr>
          <w:p w14:paraId="763AF1C5" w14:textId="77777777" w:rsidR="00304132" w:rsidRPr="00AC3044" w:rsidRDefault="00304132" w:rsidP="00CD5E09">
            <w:pPr>
              <w:rPr>
                <w:rFonts w:eastAsia="SimSun"/>
              </w:rPr>
            </w:pPr>
            <w:r w:rsidRPr="00AC3044">
              <w:rPr>
                <w:rFonts w:eastAsia="SimSun"/>
              </w:rPr>
              <w:t xml:space="preserve">+3,+4 дни </w:t>
            </w:r>
          </w:p>
        </w:tc>
        <w:tc>
          <w:tcPr>
            <w:tcW w:w="2410" w:type="dxa"/>
          </w:tcPr>
          <w:p w14:paraId="4E5A1038" w14:textId="77777777" w:rsidR="00304132" w:rsidRPr="00AC3044" w:rsidRDefault="00304132" w:rsidP="00CD5E09">
            <w:pPr>
              <w:rPr>
                <w:rFonts w:eastAsia="SimSun"/>
              </w:rPr>
            </w:pPr>
            <w:r w:rsidRPr="00AC3044">
              <w:rPr>
                <w:rFonts w:eastAsia="SimSun"/>
              </w:rPr>
              <w:t>В/в, в течение 2 часов</w:t>
            </w:r>
          </w:p>
        </w:tc>
      </w:tr>
    </w:tbl>
    <w:p w14:paraId="0F0C8A24" w14:textId="77777777" w:rsidR="00304132" w:rsidRDefault="00304132" w:rsidP="00304132">
      <w:pPr>
        <w:rPr>
          <w:rFonts w:eastAsia="SimSun"/>
        </w:rPr>
      </w:pPr>
      <w:bookmarkStart w:id="365" w:name="_Toc44401227"/>
    </w:p>
    <w:p w14:paraId="6F1C4471" w14:textId="77777777" w:rsidR="00304132" w:rsidRPr="00C07B2E" w:rsidRDefault="00304132" w:rsidP="00304132">
      <w:pPr>
        <w:rPr>
          <w:rFonts w:eastAsia="SimSun"/>
        </w:rPr>
      </w:pPr>
      <w:r w:rsidRPr="00EE51B1">
        <w:rPr>
          <w:rFonts w:eastAsia="SimSun"/>
        </w:rPr>
        <w:t>Таблица</w:t>
      </w:r>
      <w:r w:rsidRPr="00C07B2E">
        <w:rPr>
          <w:rFonts w:eastAsia="SimSun"/>
        </w:rPr>
        <w:t xml:space="preserve"> </w:t>
      </w:r>
      <w:r>
        <w:rPr>
          <w:rFonts w:eastAsia="SimSun"/>
        </w:rPr>
        <w:t>5.</w:t>
      </w:r>
      <w:r w:rsidRPr="00C07B2E">
        <w:rPr>
          <w:rFonts w:eastAsia="SimSun"/>
        </w:rPr>
        <w:t>3.1.2  – Flu150+Bu8+Thio / PT-Cy+CSA+MMF45</w:t>
      </w:r>
      <w:bookmarkEnd w:id="365"/>
    </w:p>
    <w:tbl>
      <w:tblPr>
        <w:tblW w:w="964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5"/>
        <w:gridCol w:w="1559"/>
        <w:gridCol w:w="1418"/>
        <w:gridCol w:w="1559"/>
        <w:gridCol w:w="1559"/>
        <w:gridCol w:w="2410"/>
      </w:tblGrid>
      <w:tr w:rsidR="00304132" w:rsidRPr="00AC3044" w14:paraId="77347CB7" w14:textId="77777777" w:rsidTr="00CD5E09">
        <w:trPr>
          <w:cantSplit/>
          <w:trHeight w:val="20"/>
          <w:tblHeader/>
        </w:trPr>
        <w:tc>
          <w:tcPr>
            <w:tcW w:w="1135" w:type="dxa"/>
          </w:tcPr>
          <w:p w14:paraId="2A7A9A30" w14:textId="77777777" w:rsidR="00304132" w:rsidRPr="006A5E21" w:rsidRDefault="00304132" w:rsidP="00CD5E09">
            <w:pPr>
              <w:rPr>
                <w:rFonts w:eastAsia="SimSun"/>
              </w:rPr>
            </w:pPr>
          </w:p>
        </w:tc>
        <w:tc>
          <w:tcPr>
            <w:tcW w:w="1559" w:type="dxa"/>
            <w:vAlign w:val="center"/>
          </w:tcPr>
          <w:p w14:paraId="3C79F615" w14:textId="77777777" w:rsidR="00304132" w:rsidRPr="00AC3044" w:rsidRDefault="00304132" w:rsidP="00CD5E09">
            <w:pPr>
              <w:rPr>
                <w:rFonts w:eastAsia="SimSun"/>
              </w:rPr>
            </w:pPr>
            <w:r w:rsidRPr="00AC3044">
              <w:rPr>
                <w:rFonts w:eastAsia="SimSun"/>
              </w:rPr>
              <w:t>Препарат</w:t>
            </w:r>
          </w:p>
        </w:tc>
        <w:tc>
          <w:tcPr>
            <w:tcW w:w="1418" w:type="dxa"/>
            <w:vAlign w:val="center"/>
          </w:tcPr>
          <w:p w14:paraId="2DE26AE2" w14:textId="77777777" w:rsidR="00304132" w:rsidRPr="00AC3044" w:rsidRDefault="00304132" w:rsidP="00CD5E09">
            <w:pPr>
              <w:rPr>
                <w:rFonts w:eastAsia="SimSun"/>
              </w:rPr>
            </w:pPr>
            <w:r w:rsidRPr="00AC3044">
              <w:rPr>
                <w:rFonts w:eastAsia="SimSun"/>
              </w:rPr>
              <w:t>Суточная доза</w:t>
            </w:r>
          </w:p>
        </w:tc>
        <w:tc>
          <w:tcPr>
            <w:tcW w:w="1559" w:type="dxa"/>
            <w:vAlign w:val="center"/>
          </w:tcPr>
          <w:p w14:paraId="622B1F1D" w14:textId="77777777" w:rsidR="00304132" w:rsidRPr="00AC3044" w:rsidRDefault="00304132" w:rsidP="00CD5E09">
            <w:pPr>
              <w:rPr>
                <w:rFonts w:eastAsia="SimSun"/>
              </w:rPr>
            </w:pPr>
            <w:r w:rsidRPr="00AC3044">
              <w:rPr>
                <w:rFonts w:eastAsia="SimSun"/>
              </w:rPr>
              <w:t>Курсовая доза</w:t>
            </w:r>
          </w:p>
        </w:tc>
        <w:tc>
          <w:tcPr>
            <w:tcW w:w="1559" w:type="dxa"/>
            <w:vAlign w:val="center"/>
          </w:tcPr>
          <w:p w14:paraId="2B559286" w14:textId="77777777" w:rsidR="00304132" w:rsidRPr="00AC3044" w:rsidRDefault="00304132" w:rsidP="00CD5E09">
            <w:pPr>
              <w:rPr>
                <w:rFonts w:eastAsia="SimSun"/>
              </w:rPr>
            </w:pPr>
            <w:r w:rsidRPr="00AC3044">
              <w:rPr>
                <w:rFonts w:eastAsia="SimSun"/>
              </w:rPr>
              <w:t>Дни введения</w:t>
            </w:r>
          </w:p>
        </w:tc>
        <w:tc>
          <w:tcPr>
            <w:tcW w:w="2410" w:type="dxa"/>
            <w:vAlign w:val="center"/>
          </w:tcPr>
          <w:p w14:paraId="0CE2E33E" w14:textId="77777777" w:rsidR="00304132" w:rsidRPr="00AC3044" w:rsidRDefault="00304132" w:rsidP="00CD5E09">
            <w:pPr>
              <w:rPr>
                <w:rFonts w:eastAsia="SimSun"/>
              </w:rPr>
            </w:pPr>
            <w:r w:rsidRPr="00AC3044">
              <w:rPr>
                <w:rFonts w:eastAsia="SimSun"/>
              </w:rPr>
              <w:t>Порядок введения</w:t>
            </w:r>
          </w:p>
        </w:tc>
      </w:tr>
      <w:tr w:rsidR="00304132" w:rsidRPr="00AC3044" w14:paraId="4D0D9C64" w14:textId="77777777" w:rsidTr="00CD5E09">
        <w:trPr>
          <w:cantSplit/>
          <w:trHeight w:val="20"/>
        </w:trPr>
        <w:tc>
          <w:tcPr>
            <w:tcW w:w="1135" w:type="dxa"/>
            <w:vMerge w:val="restart"/>
            <w:textDirection w:val="btLr"/>
            <w:vAlign w:val="center"/>
          </w:tcPr>
          <w:p w14:paraId="33A1655A" w14:textId="77777777" w:rsidR="00304132" w:rsidRPr="00AC3044" w:rsidRDefault="00304132" w:rsidP="00CD5E09">
            <w:pPr>
              <w:rPr>
                <w:rFonts w:eastAsia="SimSun"/>
              </w:rPr>
            </w:pPr>
            <w:r w:rsidRPr="00AC3044">
              <w:rPr>
                <w:rFonts w:eastAsia="SimSun"/>
              </w:rPr>
              <w:t>Кондиционирование</w:t>
            </w:r>
          </w:p>
        </w:tc>
        <w:tc>
          <w:tcPr>
            <w:tcW w:w="1559" w:type="dxa"/>
            <w:vAlign w:val="center"/>
          </w:tcPr>
          <w:p w14:paraId="51BA04B0" w14:textId="77777777" w:rsidR="00304132" w:rsidRPr="00AC3044" w:rsidRDefault="00304132" w:rsidP="00CD5E09">
            <w:pPr>
              <w:rPr>
                <w:rFonts w:eastAsia="SimSun"/>
              </w:rPr>
            </w:pPr>
            <w:r w:rsidRPr="00AC3044">
              <w:rPr>
                <w:rFonts w:eastAsia="SimSun"/>
              </w:rPr>
              <w:t xml:space="preserve">Флударабин </w:t>
            </w:r>
          </w:p>
        </w:tc>
        <w:tc>
          <w:tcPr>
            <w:tcW w:w="1418" w:type="dxa"/>
            <w:vAlign w:val="center"/>
          </w:tcPr>
          <w:p w14:paraId="6852A95B" w14:textId="77777777" w:rsidR="00304132" w:rsidRPr="00AC3044" w:rsidRDefault="00304132" w:rsidP="00CD5E09">
            <w:pPr>
              <w:rPr>
                <w:rFonts w:eastAsia="SimSun"/>
              </w:rPr>
            </w:pPr>
            <w:r w:rsidRPr="00AC3044">
              <w:rPr>
                <w:rFonts w:eastAsia="SimSun"/>
              </w:rPr>
              <w:t>50 мг/м</w:t>
            </w:r>
            <w:r w:rsidRPr="0074195F">
              <w:rPr>
                <w:rFonts w:eastAsia="SimSun"/>
                <w:vertAlign w:val="superscript"/>
              </w:rPr>
              <w:t>2</w:t>
            </w:r>
          </w:p>
        </w:tc>
        <w:tc>
          <w:tcPr>
            <w:tcW w:w="1559" w:type="dxa"/>
            <w:vAlign w:val="center"/>
          </w:tcPr>
          <w:p w14:paraId="4637E498" w14:textId="77777777" w:rsidR="00304132" w:rsidRPr="00AC3044" w:rsidRDefault="00304132" w:rsidP="00CD5E09">
            <w:pPr>
              <w:rPr>
                <w:rFonts w:eastAsia="SimSun"/>
              </w:rPr>
            </w:pPr>
            <w:r w:rsidRPr="00AC3044">
              <w:rPr>
                <w:rFonts w:eastAsia="SimSun"/>
              </w:rPr>
              <w:t>150 мг/м</w:t>
            </w:r>
            <w:r w:rsidRPr="0074195F">
              <w:rPr>
                <w:rFonts w:eastAsia="SimSun"/>
                <w:vertAlign w:val="superscript"/>
              </w:rPr>
              <w:t>2</w:t>
            </w:r>
          </w:p>
        </w:tc>
        <w:tc>
          <w:tcPr>
            <w:tcW w:w="1559" w:type="dxa"/>
            <w:vAlign w:val="center"/>
          </w:tcPr>
          <w:p w14:paraId="69498192" w14:textId="77777777" w:rsidR="00304132" w:rsidRPr="00AC3044" w:rsidRDefault="00304132" w:rsidP="00CD5E09">
            <w:pPr>
              <w:rPr>
                <w:rFonts w:eastAsia="SimSun"/>
              </w:rPr>
            </w:pPr>
            <w:r w:rsidRPr="00AC3044">
              <w:rPr>
                <w:rFonts w:eastAsia="SimSun"/>
              </w:rPr>
              <w:t>С –4 по –2 день</w:t>
            </w:r>
          </w:p>
        </w:tc>
        <w:tc>
          <w:tcPr>
            <w:tcW w:w="2410" w:type="dxa"/>
            <w:vAlign w:val="center"/>
          </w:tcPr>
          <w:p w14:paraId="43FC9C86" w14:textId="77777777" w:rsidR="00304132" w:rsidRPr="00AC3044" w:rsidRDefault="00304132" w:rsidP="00CD5E09">
            <w:pPr>
              <w:rPr>
                <w:rFonts w:eastAsia="SimSun"/>
              </w:rPr>
            </w:pPr>
            <w:r w:rsidRPr="00AC3044">
              <w:rPr>
                <w:rFonts w:eastAsia="SimSun"/>
              </w:rPr>
              <w:t>В/в, в течение 30 -60 мин</w:t>
            </w:r>
          </w:p>
        </w:tc>
      </w:tr>
      <w:tr w:rsidR="00304132" w:rsidRPr="00AC3044" w14:paraId="42C4C865" w14:textId="77777777" w:rsidTr="00CD5E09">
        <w:trPr>
          <w:cantSplit/>
          <w:trHeight w:val="550"/>
        </w:trPr>
        <w:tc>
          <w:tcPr>
            <w:tcW w:w="1135" w:type="dxa"/>
            <w:vMerge/>
            <w:textDirection w:val="btLr"/>
            <w:vAlign w:val="center"/>
          </w:tcPr>
          <w:p w14:paraId="1E358EC2" w14:textId="77777777" w:rsidR="00304132" w:rsidRPr="00AC3044" w:rsidRDefault="00304132" w:rsidP="00CD5E09">
            <w:pPr>
              <w:rPr>
                <w:rFonts w:eastAsia="SimSun"/>
              </w:rPr>
            </w:pPr>
          </w:p>
        </w:tc>
        <w:tc>
          <w:tcPr>
            <w:tcW w:w="1559" w:type="dxa"/>
            <w:vAlign w:val="center"/>
          </w:tcPr>
          <w:p w14:paraId="07B26792" w14:textId="77777777" w:rsidR="00304132" w:rsidRPr="00AC3044" w:rsidRDefault="00304132" w:rsidP="00CD5E09">
            <w:pPr>
              <w:rPr>
                <w:rFonts w:eastAsia="SimSun"/>
              </w:rPr>
            </w:pPr>
            <w:r w:rsidRPr="00AC3044">
              <w:rPr>
                <w:rFonts w:eastAsia="SimSun"/>
              </w:rPr>
              <w:t>Бусульфан</w:t>
            </w:r>
          </w:p>
        </w:tc>
        <w:tc>
          <w:tcPr>
            <w:tcW w:w="1418" w:type="dxa"/>
            <w:vAlign w:val="center"/>
          </w:tcPr>
          <w:p w14:paraId="623BFD44" w14:textId="77777777" w:rsidR="00304132" w:rsidRPr="00AC3044" w:rsidRDefault="00304132" w:rsidP="00CD5E09">
            <w:pPr>
              <w:rPr>
                <w:rFonts w:eastAsia="SimSun"/>
              </w:rPr>
            </w:pPr>
            <w:r w:rsidRPr="00AC3044">
              <w:rPr>
                <w:rFonts w:eastAsia="SimSun"/>
              </w:rPr>
              <w:t>4 мг/кг</w:t>
            </w:r>
          </w:p>
        </w:tc>
        <w:tc>
          <w:tcPr>
            <w:tcW w:w="1559" w:type="dxa"/>
            <w:vAlign w:val="center"/>
          </w:tcPr>
          <w:p w14:paraId="32700082" w14:textId="77777777" w:rsidR="00304132" w:rsidRPr="00AC3044" w:rsidRDefault="00304132" w:rsidP="00CD5E09">
            <w:pPr>
              <w:rPr>
                <w:rFonts w:eastAsia="SimSun"/>
              </w:rPr>
            </w:pPr>
            <w:r w:rsidRPr="00AC3044">
              <w:rPr>
                <w:rFonts w:eastAsia="SimSun"/>
              </w:rPr>
              <w:t>8 мг/кг</w:t>
            </w:r>
          </w:p>
        </w:tc>
        <w:tc>
          <w:tcPr>
            <w:tcW w:w="1559" w:type="dxa"/>
            <w:vAlign w:val="center"/>
          </w:tcPr>
          <w:p w14:paraId="0DD036CC" w14:textId="77777777" w:rsidR="00304132" w:rsidRPr="00AC3044" w:rsidRDefault="00304132" w:rsidP="00CD5E09">
            <w:pPr>
              <w:rPr>
                <w:rFonts w:eastAsia="SimSun"/>
              </w:rPr>
            </w:pPr>
            <w:r w:rsidRPr="00AC3044">
              <w:rPr>
                <w:rFonts w:eastAsia="SimSun"/>
              </w:rPr>
              <w:t>–3, –2 дни</w:t>
            </w:r>
          </w:p>
        </w:tc>
        <w:tc>
          <w:tcPr>
            <w:tcW w:w="2410" w:type="dxa"/>
            <w:vAlign w:val="center"/>
          </w:tcPr>
          <w:p w14:paraId="07D2F319" w14:textId="77777777" w:rsidR="00304132" w:rsidRPr="00AC3044" w:rsidRDefault="00304132" w:rsidP="00CD5E09">
            <w:pPr>
              <w:rPr>
                <w:rFonts w:eastAsia="SimSun"/>
              </w:rPr>
            </w:pPr>
            <w:r w:rsidRPr="00AC3044">
              <w:rPr>
                <w:rFonts w:eastAsia="SimSun"/>
              </w:rPr>
              <w:t>Внутрь, суммарная суточная доза разделяется на 4 приема с интервалом 6 часов.</w:t>
            </w:r>
          </w:p>
        </w:tc>
      </w:tr>
      <w:tr w:rsidR="00304132" w:rsidRPr="00AC3044" w14:paraId="45F645E9" w14:textId="77777777" w:rsidTr="00CD5E09">
        <w:trPr>
          <w:cantSplit/>
          <w:trHeight w:val="516"/>
        </w:trPr>
        <w:tc>
          <w:tcPr>
            <w:tcW w:w="1135" w:type="dxa"/>
            <w:vMerge/>
            <w:textDirection w:val="btLr"/>
            <w:vAlign w:val="center"/>
          </w:tcPr>
          <w:p w14:paraId="12489B05" w14:textId="77777777" w:rsidR="00304132" w:rsidRPr="00AC3044" w:rsidRDefault="00304132" w:rsidP="00CD5E09">
            <w:pPr>
              <w:rPr>
                <w:rFonts w:eastAsia="SimSun"/>
              </w:rPr>
            </w:pPr>
          </w:p>
        </w:tc>
        <w:tc>
          <w:tcPr>
            <w:tcW w:w="1559" w:type="dxa"/>
            <w:vAlign w:val="center"/>
          </w:tcPr>
          <w:p w14:paraId="066FB782" w14:textId="77777777" w:rsidR="00304132" w:rsidRPr="00AC3044" w:rsidRDefault="00304132" w:rsidP="00CD5E09">
            <w:pPr>
              <w:rPr>
                <w:rFonts w:eastAsia="SimSun"/>
              </w:rPr>
            </w:pPr>
            <w:r w:rsidRPr="00AC3044">
              <w:rPr>
                <w:rFonts w:eastAsia="SimSun"/>
              </w:rPr>
              <w:t>Тиотепа</w:t>
            </w:r>
          </w:p>
        </w:tc>
        <w:tc>
          <w:tcPr>
            <w:tcW w:w="1418" w:type="dxa"/>
            <w:vAlign w:val="center"/>
          </w:tcPr>
          <w:p w14:paraId="06DF9B8B" w14:textId="77777777" w:rsidR="00304132" w:rsidRPr="00AC3044" w:rsidRDefault="00304132" w:rsidP="00CD5E09">
            <w:pPr>
              <w:rPr>
                <w:rFonts w:eastAsia="SimSun"/>
              </w:rPr>
            </w:pPr>
            <w:r w:rsidRPr="00AC3044">
              <w:rPr>
                <w:rFonts w:eastAsia="SimSun"/>
              </w:rPr>
              <w:t>5 мг/кг</w:t>
            </w:r>
          </w:p>
        </w:tc>
        <w:tc>
          <w:tcPr>
            <w:tcW w:w="1559" w:type="dxa"/>
            <w:vAlign w:val="center"/>
          </w:tcPr>
          <w:p w14:paraId="4B5EE881" w14:textId="77777777" w:rsidR="00304132" w:rsidRPr="00AC3044" w:rsidRDefault="00304132" w:rsidP="00CD5E09">
            <w:pPr>
              <w:rPr>
                <w:rFonts w:eastAsia="SimSun"/>
              </w:rPr>
            </w:pPr>
            <w:r w:rsidRPr="00AC3044">
              <w:rPr>
                <w:rFonts w:eastAsia="SimSun"/>
              </w:rPr>
              <w:t>10 мг/кг</w:t>
            </w:r>
          </w:p>
        </w:tc>
        <w:tc>
          <w:tcPr>
            <w:tcW w:w="1559" w:type="dxa"/>
            <w:vAlign w:val="center"/>
          </w:tcPr>
          <w:p w14:paraId="130A81DF" w14:textId="77777777" w:rsidR="00304132" w:rsidRPr="00AC3044" w:rsidRDefault="00304132" w:rsidP="00CD5E09">
            <w:pPr>
              <w:rPr>
                <w:rFonts w:eastAsia="SimSun"/>
              </w:rPr>
            </w:pPr>
            <w:r w:rsidRPr="00AC3044">
              <w:rPr>
                <w:rFonts w:eastAsia="SimSun"/>
              </w:rPr>
              <w:t>-6,-5 дни</w:t>
            </w:r>
          </w:p>
        </w:tc>
        <w:tc>
          <w:tcPr>
            <w:tcW w:w="2410" w:type="dxa"/>
            <w:vAlign w:val="center"/>
          </w:tcPr>
          <w:p w14:paraId="1524F5CC" w14:textId="77777777" w:rsidR="00304132" w:rsidRPr="00AC3044" w:rsidRDefault="00304132" w:rsidP="00CD5E09">
            <w:pPr>
              <w:rPr>
                <w:rFonts w:eastAsia="SimSun"/>
              </w:rPr>
            </w:pPr>
            <w:r w:rsidRPr="00AC3044">
              <w:rPr>
                <w:rFonts w:eastAsia="SimSun"/>
              </w:rPr>
              <w:t>В/в, в течение 2 часов</w:t>
            </w:r>
          </w:p>
        </w:tc>
      </w:tr>
      <w:tr w:rsidR="00304132" w:rsidRPr="00AC3044" w14:paraId="445F2D68" w14:textId="77777777" w:rsidTr="00CD5E09">
        <w:trPr>
          <w:cantSplit/>
          <w:trHeight w:val="1558"/>
        </w:trPr>
        <w:tc>
          <w:tcPr>
            <w:tcW w:w="1135" w:type="dxa"/>
            <w:vMerge w:val="restart"/>
            <w:textDirection w:val="btLr"/>
            <w:vAlign w:val="center"/>
          </w:tcPr>
          <w:p w14:paraId="13E4DB55" w14:textId="77777777" w:rsidR="00304132" w:rsidRPr="00AC3044" w:rsidRDefault="00304132" w:rsidP="00CD5E09">
            <w:pPr>
              <w:rPr>
                <w:rFonts w:eastAsia="SimSun"/>
              </w:rPr>
            </w:pPr>
            <w:r w:rsidRPr="00AC3044">
              <w:rPr>
                <w:rFonts w:eastAsia="SimSun"/>
              </w:rPr>
              <w:t>Профилактика РТПХ</w:t>
            </w:r>
          </w:p>
        </w:tc>
        <w:tc>
          <w:tcPr>
            <w:tcW w:w="1559" w:type="dxa"/>
            <w:vAlign w:val="center"/>
          </w:tcPr>
          <w:p w14:paraId="4DBEFDA1" w14:textId="77777777" w:rsidR="00304132" w:rsidRPr="00AC3044" w:rsidRDefault="00304132" w:rsidP="00CD5E09">
            <w:pPr>
              <w:rPr>
                <w:rFonts w:eastAsia="SimSun"/>
              </w:rPr>
            </w:pPr>
            <w:r w:rsidRPr="00AC3044">
              <w:rPr>
                <w:rFonts w:eastAsia="SimSun"/>
              </w:rPr>
              <w:t>Циклоспорин</w:t>
            </w:r>
          </w:p>
        </w:tc>
        <w:tc>
          <w:tcPr>
            <w:tcW w:w="1418" w:type="dxa"/>
            <w:vAlign w:val="center"/>
          </w:tcPr>
          <w:p w14:paraId="3314FAB5" w14:textId="77777777" w:rsidR="00304132" w:rsidRPr="00AC3044" w:rsidRDefault="00304132" w:rsidP="00CD5E09">
            <w:pPr>
              <w:rPr>
                <w:rFonts w:eastAsia="SimSun"/>
              </w:rPr>
            </w:pPr>
            <w:r w:rsidRPr="00AC3044">
              <w:rPr>
                <w:rFonts w:eastAsia="SimSun"/>
              </w:rPr>
              <w:t>3 мг/кг</w:t>
            </w:r>
          </w:p>
        </w:tc>
        <w:tc>
          <w:tcPr>
            <w:tcW w:w="1559" w:type="dxa"/>
            <w:vAlign w:val="center"/>
          </w:tcPr>
          <w:p w14:paraId="46E2B6D6" w14:textId="77777777" w:rsidR="00304132" w:rsidRPr="00AC3044" w:rsidRDefault="00304132" w:rsidP="00CD5E09">
            <w:pPr>
              <w:rPr>
                <w:rFonts w:eastAsia="SimSun"/>
              </w:rPr>
            </w:pPr>
            <w:r w:rsidRPr="00AC3044">
              <w:rPr>
                <w:rFonts w:eastAsia="SimSun"/>
              </w:rPr>
              <w:t>–</w:t>
            </w:r>
          </w:p>
        </w:tc>
        <w:tc>
          <w:tcPr>
            <w:tcW w:w="1559" w:type="dxa"/>
            <w:vAlign w:val="center"/>
          </w:tcPr>
          <w:p w14:paraId="028D1BB8" w14:textId="77777777" w:rsidR="00304132" w:rsidRPr="00AC3044" w:rsidRDefault="00304132" w:rsidP="00CD5E09">
            <w:pPr>
              <w:rPr>
                <w:rFonts w:eastAsia="SimSun"/>
              </w:rPr>
            </w:pPr>
            <w:r w:rsidRPr="00AC3044">
              <w:rPr>
                <w:rFonts w:eastAsia="SimSun"/>
              </w:rPr>
              <w:t>С +5 дня по +90 день затем постепенное снижение к +180 дню</w:t>
            </w:r>
          </w:p>
        </w:tc>
        <w:tc>
          <w:tcPr>
            <w:tcW w:w="2410" w:type="dxa"/>
            <w:vAlign w:val="center"/>
          </w:tcPr>
          <w:p w14:paraId="7A6D0B80" w14:textId="77777777" w:rsidR="00304132" w:rsidRPr="00AC3044" w:rsidRDefault="00304132" w:rsidP="00CD5E09">
            <w:pPr>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74195F">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304132" w:rsidRPr="00AC3044" w14:paraId="707D34E5" w14:textId="77777777" w:rsidTr="00CD5E09">
        <w:trPr>
          <w:cantSplit/>
          <w:trHeight w:val="20"/>
        </w:trPr>
        <w:tc>
          <w:tcPr>
            <w:tcW w:w="1135" w:type="dxa"/>
            <w:vMerge/>
            <w:textDirection w:val="btLr"/>
          </w:tcPr>
          <w:p w14:paraId="125DBB96" w14:textId="77777777" w:rsidR="00304132" w:rsidRPr="00AC3044" w:rsidRDefault="00304132" w:rsidP="00CD5E09">
            <w:pPr>
              <w:rPr>
                <w:rFonts w:eastAsia="SimSun"/>
              </w:rPr>
            </w:pPr>
          </w:p>
        </w:tc>
        <w:tc>
          <w:tcPr>
            <w:tcW w:w="1559" w:type="dxa"/>
            <w:vAlign w:val="center"/>
          </w:tcPr>
          <w:p w14:paraId="30F223F0" w14:textId="77777777" w:rsidR="00304132" w:rsidRPr="00AC3044" w:rsidRDefault="00304132" w:rsidP="00CD5E09">
            <w:pPr>
              <w:rPr>
                <w:rFonts w:eastAsia="SimSun"/>
              </w:rPr>
            </w:pPr>
            <w:r w:rsidRPr="00AC3044">
              <w:rPr>
                <w:rFonts w:eastAsia="SimSun"/>
              </w:rPr>
              <w:t>Микофенолата мофетил</w:t>
            </w:r>
          </w:p>
        </w:tc>
        <w:tc>
          <w:tcPr>
            <w:tcW w:w="1418" w:type="dxa"/>
            <w:vAlign w:val="center"/>
          </w:tcPr>
          <w:p w14:paraId="54597BBD" w14:textId="77777777" w:rsidR="00304132" w:rsidRPr="00AC3044" w:rsidRDefault="00304132" w:rsidP="00CD5E09">
            <w:pPr>
              <w:rPr>
                <w:rFonts w:eastAsia="SimSun"/>
              </w:rPr>
            </w:pPr>
            <w:r w:rsidRPr="00AC3044">
              <w:rPr>
                <w:rFonts w:eastAsia="SimSun"/>
              </w:rPr>
              <w:t>45 мг/кг</w:t>
            </w:r>
          </w:p>
        </w:tc>
        <w:tc>
          <w:tcPr>
            <w:tcW w:w="1559" w:type="dxa"/>
            <w:vAlign w:val="center"/>
          </w:tcPr>
          <w:p w14:paraId="07ECDB6E" w14:textId="77777777" w:rsidR="00304132" w:rsidRPr="00AC3044" w:rsidRDefault="00304132" w:rsidP="00CD5E09">
            <w:pPr>
              <w:rPr>
                <w:rFonts w:eastAsia="SimSun"/>
              </w:rPr>
            </w:pPr>
            <w:r w:rsidRPr="00AC3044">
              <w:rPr>
                <w:rFonts w:eastAsia="SimSun"/>
              </w:rPr>
              <w:t>–</w:t>
            </w:r>
          </w:p>
        </w:tc>
        <w:tc>
          <w:tcPr>
            <w:tcW w:w="1559" w:type="dxa"/>
            <w:vAlign w:val="center"/>
          </w:tcPr>
          <w:p w14:paraId="24AAAF4E" w14:textId="77777777" w:rsidR="00304132" w:rsidRPr="00AC3044" w:rsidRDefault="00304132" w:rsidP="00CD5E09">
            <w:pPr>
              <w:rPr>
                <w:rFonts w:eastAsia="SimSun"/>
              </w:rPr>
            </w:pPr>
            <w:r w:rsidRPr="00AC3044">
              <w:rPr>
                <w:rFonts w:eastAsia="SimSun"/>
              </w:rPr>
              <w:t>С +5 по +90 день</w:t>
            </w:r>
          </w:p>
        </w:tc>
        <w:tc>
          <w:tcPr>
            <w:tcW w:w="2410" w:type="dxa"/>
            <w:vAlign w:val="center"/>
          </w:tcPr>
          <w:p w14:paraId="4313FA7C" w14:textId="77777777" w:rsidR="00304132" w:rsidRPr="00AC3044" w:rsidRDefault="00304132" w:rsidP="00CD5E09">
            <w:pPr>
              <w:rPr>
                <w:rFonts w:eastAsia="SimSun"/>
              </w:rPr>
            </w:pPr>
            <w:r w:rsidRPr="00AC3044">
              <w:rPr>
                <w:rFonts w:eastAsia="SimSun"/>
              </w:rPr>
              <w:t xml:space="preserve">Внутрь, суммарная суточная доза разделяется на 2- 4 приема (не более 3г/сут).  </w:t>
            </w:r>
          </w:p>
        </w:tc>
      </w:tr>
      <w:tr w:rsidR="00304132" w:rsidRPr="00AC3044" w14:paraId="1D03690A" w14:textId="77777777" w:rsidTr="00CD5E09">
        <w:trPr>
          <w:cantSplit/>
          <w:trHeight w:val="20"/>
        </w:trPr>
        <w:tc>
          <w:tcPr>
            <w:tcW w:w="1135" w:type="dxa"/>
            <w:vMerge/>
            <w:textDirection w:val="btLr"/>
          </w:tcPr>
          <w:p w14:paraId="0E632AD5" w14:textId="77777777" w:rsidR="00304132" w:rsidRPr="00AC3044" w:rsidRDefault="00304132" w:rsidP="00CD5E09">
            <w:pPr>
              <w:rPr>
                <w:rFonts w:eastAsia="SimSun"/>
              </w:rPr>
            </w:pPr>
          </w:p>
        </w:tc>
        <w:tc>
          <w:tcPr>
            <w:tcW w:w="1559" w:type="dxa"/>
            <w:vAlign w:val="center"/>
          </w:tcPr>
          <w:p w14:paraId="0D6EE7C0" w14:textId="77777777" w:rsidR="00304132" w:rsidRPr="00AC3044" w:rsidRDefault="00304132" w:rsidP="00CD5E09">
            <w:pPr>
              <w:rPr>
                <w:rFonts w:eastAsia="SimSun"/>
              </w:rPr>
            </w:pPr>
            <w:r w:rsidRPr="00AC3044">
              <w:rPr>
                <w:rFonts w:eastAsia="SimSun"/>
              </w:rPr>
              <w:t>Циклофосфамид</w:t>
            </w:r>
          </w:p>
        </w:tc>
        <w:tc>
          <w:tcPr>
            <w:tcW w:w="1418" w:type="dxa"/>
            <w:vAlign w:val="center"/>
          </w:tcPr>
          <w:p w14:paraId="72BD7754" w14:textId="77777777" w:rsidR="00304132" w:rsidRPr="00AC3044" w:rsidRDefault="00304132" w:rsidP="00CD5E09">
            <w:pPr>
              <w:rPr>
                <w:rFonts w:eastAsia="SimSun"/>
              </w:rPr>
            </w:pPr>
            <w:r w:rsidRPr="00AC3044">
              <w:rPr>
                <w:rFonts w:eastAsia="SimSun"/>
              </w:rPr>
              <w:t>50 мг/кг</w:t>
            </w:r>
          </w:p>
        </w:tc>
        <w:tc>
          <w:tcPr>
            <w:tcW w:w="1559" w:type="dxa"/>
            <w:vAlign w:val="center"/>
          </w:tcPr>
          <w:p w14:paraId="6997D5C3" w14:textId="77777777" w:rsidR="00304132" w:rsidRPr="00AC3044" w:rsidRDefault="00304132" w:rsidP="00CD5E09">
            <w:pPr>
              <w:rPr>
                <w:rFonts w:eastAsia="SimSun"/>
              </w:rPr>
            </w:pPr>
            <w:r w:rsidRPr="00AC3044">
              <w:rPr>
                <w:rFonts w:eastAsia="SimSun"/>
              </w:rPr>
              <w:t>100 мг/кг</w:t>
            </w:r>
          </w:p>
        </w:tc>
        <w:tc>
          <w:tcPr>
            <w:tcW w:w="1559" w:type="dxa"/>
            <w:vAlign w:val="center"/>
          </w:tcPr>
          <w:p w14:paraId="00F08A9C" w14:textId="77777777" w:rsidR="00304132" w:rsidRPr="00AC3044" w:rsidRDefault="00304132" w:rsidP="00CD5E09">
            <w:pPr>
              <w:rPr>
                <w:rFonts w:eastAsia="SimSun"/>
              </w:rPr>
            </w:pPr>
            <w:r w:rsidRPr="00AC3044">
              <w:rPr>
                <w:rFonts w:eastAsia="SimSun"/>
              </w:rPr>
              <w:t xml:space="preserve">+3,+4 дни </w:t>
            </w:r>
          </w:p>
        </w:tc>
        <w:tc>
          <w:tcPr>
            <w:tcW w:w="2410" w:type="dxa"/>
            <w:vAlign w:val="center"/>
          </w:tcPr>
          <w:p w14:paraId="27024450" w14:textId="77777777" w:rsidR="00304132" w:rsidRPr="00AC3044" w:rsidRDefault="00304132" w:rsidP="00CD5E09">
            <w:pPr>
              <w:rPr>
                <w:rFonts w:eastAsia="SimSun"/>
              </w:rPr>
            </w:pPr>
            <w:r w:rsidRPr="00AC3044">
              <w:rPr>
                <w:rFonts w:eastAsia="SimSun"/>
              </w:rPr>
              <w:t>В/в, в течение 2 часов</w:t>
            </w:r>
          </w:p>
        </w:tc>
      </w:tr>
    </w:tbl>
    <w:p w14:paraId="26E1578C" w14:textId="77777777" w:rsidR="00304132" w:rsidRPr="00C07B2E" w:rsidRDefault="00304132" w:rsidP="00304132">
      <w:pPr>
        <w:rPr>
          <w:rFonts w:eastAsia="SimSun"/>
        </w:rPr>
      </w:pPr>
    </w:p>
    <w:p w14:paraId="2DE86CD1" w14:textId="77777777" w:rsidR="00304132" w:rsidRPr="00C07B2E" w:rsidRDefault="00304132" w:rsidP="00304132">
      <w:pPr>
        <w:rPr>
          <w:rFonts w:eastAsia="SimSun"/>
        </w:rPr>
      </w:pPr>
      <w:bookmarkStart w:id="366" w:name="_Toc44401228"/>
      <w:r w:rsidRPr="00EE51B1">
        <w:rPr>
          <w:rFonts w:eastAsia="SimSun"/>
        </w:rPr>
        <w:t>Таблица</w:t>
      </w:r>
      <w:r w:rsidRPr="00C07B2E">
        <w:rPr>
          <w:rFonts w:eastAsia="SimSun"/>
        </w:rPr>
        <w:t xml:space="preserve"> </w:t>
      </w:r>
      <w:r>
        <w:rPr>
          <w:rFonts w:eastAsia="SimSun"/>
        </w:rPr>
        <w:t>5.</w:t>
      </w:r>
      <w:r w:rsidRPr="00C07B2E">
        <w:rPr>
          <w:rFonts w:eastAsia="SimSun"/>
        </w:rPr>
        <w:t>3.1.3  – Flu180+Bu8 / PT-Cy+hATG+CSA+MMF45</w:t>
      </w:r>
      <w:bookmarkEnd w:id="366"/>
    </w:p>
    <w:tbl>
      <w:tblPr>
        <w:tblW w:w="964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5"/>
        <w:gridCol w:w="1559"/>
        <w:gridCol w:w="1418"/>
        <w:gridCol w:w="1559"/>
        <w:gridCol w:w="1559"/>
        <w:gridCol w:w="2410"/>
      </w:tblGrid>
      <w:tr w:rsidR="00304132" w:rsidRPr="00AC3044" w14:paraId="566E7E3C" w14:textId="77777777" w:rsidTr="00CD5E09">
        <w:trPr>
          <w:cantSplit/>
          <w:trHeight w:val="20"/>
          <w:tblHeader/>
        </w:trPr>
        <w:tc>
          <w:tcPr>
            <w:tcW w:w="1135" w:type="dxa"/>
          </w:tcPr>
          <w:p w14:paraId="48A34CAE" w14:textId="77777777" w:rsidR="00304132" w:rsidRPr="006A5E21" w:rsidRDefault="00304132" w:rsidP="00CD5E09">
            <w:pPr>
              <w:rPr>
                <w:rFonts w:eastAsia="SimSun"/>
              </w:rPr>
            </w:pPr>
          </w:p>
        </w:tc>
        <w:tc>
          <w:tcPr>
            <w:tcW w:w="1559" w:type="dxa"/>
            <w:vAlign w:val="center"/>
          </w:tcPr>
          <w:p w14:paraId="3BC17AA0" w14:textId="77777777" w:rsidR="00304132" w:rsidRPr="00AC3044" w:rsidRDefault="00304132" w:rsidP="00CD5E09">
            <w:pPr>
              <w:rPr>
                <w:rFonts w:eastAsia="SimSun"/>
              </w:rPr>
            </w:pPr>
            <w:r w:rsidRPr="00AC3044">
              <w:rPr>
                <w:rFonts w:eastAsia="SimSun"/>
              </w:rPr>
              <w:t>Препарат</w:t>
            </w:r>
          </w:p>
        </w:tc>
        <w:tc>
          <w:tcPr>
            <w:tcW w:w="1418" w:type="dxa"/>
            <w:vAlign w:val="center"/>
          </w:tcPr>
          <w:p w14:paraId="088A3255" w14:textId="77777777" w:rsidR="00304132" w:rsidRPr="00AC3044" w:rsidRDefault="00304132" w:rsidP="00CD5E09">
            <w:pPr>
              <w:rPr>
                <w:rFonts w:eastAsia="SimSun"/>
              </w:rPr>
            </w:pPr>
            <w:r w:rsidRPr="00AC3044">
              <w:rPr>
                <w:rFonts w:eastAsia="SimSun"/>
              </w:rPr>
              <w:t>Суточная доза</w:t>
            </w:r>
          </w:p>
        </w:tc>
        <w:tc>
          <w:tcPr>
            <w:tcW w:w="1559" w:type="dxa"/>
            <w:vAlign w:val="center"/>
          </w:tcPr>
          <w:p w14:paraId="38B99110" w14:textId="77777777" w:rsidR="00304132" w:rsidRPr="00AC3044" w:rsidRDefault="00304132" w:rsidP="00CD5E09">
            <w:pPr>
              <w:rPr>
                <w:rFonts w:eastAsia="SimSun"/>
              </w:rPr>
            </w:pPr>
            <w:r w:rsidRPr="00AC3044">
              <w:rPr>
                <w:rFonts w:eastAsia="SimSun"/>
              </w:rPr>
              <w:t>Курсовая доза</w:t>
            </w:r>
          </w:p>
        </w:tc>
        <w:tc>
          <w:tcPr>
            <w:tcW w:w="1559" w:type="dxa"/>
            <w:vAlign w:val="center"/>
          </w:tcPr>
          <w:p w14:paraId="41FEF6C4" w14:textId="77777777" w:rsidR="00304132" w:rsidRPr="00AC3044" w:rsidRDefault="00304132" w:rsidP="00CD5E09">
            <w:pPr>
              <w:rPr>
                <w:rFonts w:eastAsia="SimSun"/>
              </w:rPr>
            </w:pPr>
            <w:r w:rsidRPr="00AC3044">
              <w:rPr>
                <w:rFonts w:eastAsia="SimSun"/>
              </w:rPr>
              <w:t>Дни введения</w:t>
            </w:r>
          </w:p>
        </w:tc>
        <w:tc>
          <w:tcPr>
            <w:tcW w:w="2410" w:type="dxa"/>
            <w:vAlign w:val="center"/>
          </w:tcPr>
          <w:p w14:paraId="6D4DA2E1" w14:textId="77777777" w:rsidR="00304132" w:rsidRPr="00AC3044" w:rsidRDefault="00304132" w:rsidP="00CD5E09">
            <w:pPr>
              <w:rPr>
                <w:rFonts w:eastAsia="SimSun"/>
              </w:rPr>
            </w:pPr>
            <w:r w:rsidRPr="00AC3044">
              <w:rPr>
                <w:rFonts w:eastAsia="SimSun"/>
              </w:rPr>
              <w:t>Порядок введения</w:t>
            </w:r>
          </w:p>
        </w:tc>
      </w:tr>
      <w:tr w:rsidR="00304132" w:rsidRPr="00AC3044" w14:paraId="0470DE67" w14:textId="77777777" w:rsidTr="00CD5E09">
        <w:trPr>
          <w:cantSplit/>
          <w:trHeight w:val="20"/>
        </w:trPr>
        <w:tc>
          <w:tcPr>
            <w:tcW w:w="1135" w:type="dxa"/>
            <w:vMerge w:val="restart"/>
            <w:textDirection w:val="btLr"/>
            <w:vAlign w:val="center"/>
          </w:tcPr>
          <w:p w14:paraId="67ED9E3C" w14:textId="77777777" w:rsidR="00304132" w:rsidRPr="00AC3044" w:rsidRDefault="00304132" w:rsidP="00CD5E09">
            <w:pPr>
              <w:rPr>
                <w:rFonts w:eastAsia="SimSun"/>
              </w:rPr>
            </w:pPr>
            <w:r w:rsidRPr="00AC3044">
              <w:rPr>
                <w:rFonts w:eastAsia="SimSun"/>
              </w:rPr>
              <w:t>Кондиционирование</w:t>
            </w:r>
          </w:p>
        </w:tc>
        <w:tc>
          <w:tcPr>
            <w:tcW w:w="1559" w:type="dxa"/>
            <w:vAlign w:val="center"/>
          </w:tcPr>
          <w:p w14:paraId="21DC46DB" w14:textId="77777777" w:rsidR="00304132" w:rsidRPr="00AC3044" w:rsidRDefault="00304132" w:rsidP="00CD5E09">
            <w:pPr>
              <w:rPr>
                <w:rFonts w:eastAsia="SimSun"/>
              </w:rPr>
            </w:pPr>
            <w:r w:rsidRPr="00AC3044">
              <w:rPr>
                <w:rFonts w:eastAsia="SimSun"/>
              </w:rPr>
              <w:t xml:space="preserve">Флударабин </w:t>
            </w:r>
          </w:p>
        </w:tc>
        <w:tc>
          <w:tcPr>
            <w:tcW w:w="1418" w:type="dxa"/>
            <w:vAlign w:val="center"/>
          </w:tcPr>
          <w:p w14:paraId="1A96F7FB" w14:textId="77777777" w:rsidR="00304132" w:rsidRPr="00AC3044" w:rsidRDefault="00304132" w:rsidP="00CD5E09">
            <w:pPr>
              <w:rPr>
                <w:rFonts w:eastAsia="SimSun"/>
              </w:rPr>
            </w:pPr>
            <w:r w:rsidRPr="00AC3044">
              <w:rPr>
                <w:rFonts w:eastAsia="SimSun"/>
              </w:rPr>
              <w:t>30 мг/м</w:t>
            </w:r>
            <w:r w:rsidRPr="0074195F">
              <w:rPr>
                <w:rFonts w:eastAsia="SimSun"/>
                <w:vertAlign w:val="superscript"/>
              </w:rPr>
              <w:t>2</w:t>
            </w:r>
          </w:p>
        </w:tc>
        <w:tc>
          <w:tcPr>
            <w:tcW w:w="1559" w:type="dxa"/>
            <w:vAlign w:val="center"/>
          </w:tcPr>
          <w:p w14:paraId="2CB42968" w14:textId="77777777" w:rsidR="00304132" w:rsidRPr="00AC3044" w:rsidRDefault="00304132" w:rsidP="00CD5E09">
            <w:pPr>
              <w:rPr>
                <w:rFonts w:eastAsia="SimSun"/>
              </w:rPr>
            </w:pPr>
            <w:r w:rsidRPr="00AC3044">
              <w:rPr>
                <w:rFonts w:eastAsia="SimSun"/>
              </w:rPr>
              <w:t>180 мг/м</w:t>
            </w:r>
            <w:r w:rsidRPr="0074195F">
              <w:rPr>
                <w:rFonts w:eastAsia="SimSun"/>
                <w:vertAlign w:val="superscript"/>
              </w:rPr>
              <w:t>2</w:t>
            </w:r>
          </w:p>
        </w:tc>
        <w:tc>
          <w:tcPr>
            <w:tcW w:w="1559" w:type="dxa"/>
            <w:vAlign w:val="center"/>
          </w:tcPr>
          <w:p w14:paraId="16A550BA" w14:textId="77777777" w:rsidR="00304132" w:rsidRPr="00AC3044" w:rsidRDefault="00304132" w:rsidP="00CD5E09">
            <w:pPr>
              <w:rPr>
                <w:rFonts w:eastAsia="SimSun"/>
              </w:rPr>
            </w:pPr>
            <w:r w:rsidRPr="00AC3044">
              <w:rPr>
                <w:rFonts w:eastAsia="SimSun"/>
              </w:rPr>
              <w:t>С –10 по –5 день</w:t>
            </w:r>
          </w:p>
        </w:tc>
        <w:tc>
          <w:tcPr>
            <w:tcW w:w="2410" w:type="dxa"/>
            <w:vAlign w:val="center"/>
          </w:tcPr>
          <w:p w14:paraId="5F16B028" w14:textId="77777777" w:rsidR="00304132" w:rsidRPr="00AC3044" w:rsidRDefault="00304132" w:rsidP="00CD5E09">
            <w:pPr>
              <w:rPr>
                <w:rFonts w:eastAsia="SimSun"/>
              </w:rPr>
            </w:pPr>
            <w:r w:rsidRPr="00AC3044">
              <w:rPr>
                <w:rFonts w:eastAsia="SimSun"/>
              </w:rPr>
              <w:t>В/в, в течение 30 -60 мин</w:t>
            </w:r>
          </w:p>
        </w:tc>
      </w:tr>
      <w:tr w:rsidR="00304132" w:rsidRPr="00AC3044" w14:paraId="02B430BF" w14:textId="77777777" w:rsidTr="00CD5E09">
        <w:trPr>
          <w:cantSplit/>
          <w:trHeight w:val="2123"/>
        </w:trPr>
        <w:tc>
          <w:tcPr>
            <w:tcW w:w="1135" w:type="dxa"/>
            <w:vMerge/>
            <w:textDirection w:val="btLr"/>
            <w:vAlign w:val="center"/>
          </w:tcPr>
          <w:p w14:paraId="7910D029" w14:textId="77777777" w:rsidR="00304132" w:rsidRPr="00AC3044" w:rsidRDefault="00304132" w:rsidP="00CD5E09">
            <w:pPr>
              <w:rPr>
                <w:rFonts w:eastAsia="SimSun"/>
              </w:rPr>
            </w:pPr>
          </w:p>
        </w:tc>
        <w:tc>
          <w:tcPr>
            <w:tcW w:w="1559" w:type="dxa"/>
            <w:vAlign w:val="center"/>
          </w:tcPr>
          <w:p w14:paraId="150E9E52" w14:textId="77777777" w:rsidR="00304132" w:rsidRPr="00AC3044" w:rsidRDefault="00304132" w:rsidP="00CD5E09">
            <w:pPr>
              <w:rPr>
                <w:rFonts w:eastAsia="SimSun"/>
              </w:rPr>
            </w:pPr>
            <w:r w:rsidRPr="00AC3044">
              <w:rPr>
                <w:rFonts w:eastAsia="SimSun"/>
              </w:rPr>
              <w:t>Бусульфан</w:t>
            </w:r>
          </w:p>
        </w:tc>
        <w:tc>
          <w:tcPr>
            <w:tcW w:w="1418" w:type="dxa"/>
            <w:vAlign w:val="center"/>
          </w:tcPr>
          <w:p w14:paraId="6CDC7924" w14:textId="77777777" w:rsidR="00304132" w:rsidRPr="00AC3044" w:rsidRDefault="00304132" w:rsidP="00CD5E09">
            <w:pPr>
              <w:rPr>
                <w:rFonts w:eastAsia="SimSun"/>
              </w:rPr>
            </w:pPr>
            <w:r w:rsidRPr="00AC3044">
              <w:rPr>
                <w:rFonts w:eastAsia="SimSun"/>
              </w:rPr>
              <w:t>4 мг/кг</w:t>
            </w:r>
          </w:p>
        </w:tc>
        <w:tc>
          <w:tcPr>
            <w:tcW w:w="1559" w:type="dxa"/>
            <w:vAlign w:val="center"/>
          </w:tcPr>
          <w:p w14:paraId="6120539C" w14:textId="77777777" w:rsidR="00304132" w:rsidRPr="00AC3044" w:rsidRDefault="00304132" w:rsidP="00CD5E09">
            <w:pPr>
              <w:rPr>
                <w:rFonts w:eastAsia="SimSun"/>
              </w:rPr>
            </w:pPr>
            <w:r w:rsidRPr="00AC3044">
              <w:rPr>
                <w:rFonts w:eastAsia="SimSun"/>
              </w:rPr>
              <w:t>8 мг/кг</w:t>
            </w:r>
          </w:p>
        </w:tc>
        <w:tc>
          <w:tcPr>
            <w:tcW w:w="1559" w:type="dxa"/>
            <w:vAlign w:val="center"/>
          </w:tcPr>
          <w:p w14:paraId="3034797D" w14:textId="77777777" w:rsidR="00304132" w:rsidRPr="00AC3044" w:rsidRDefault="00304132" w:rsidP="00CD5E09">
            <w:pPr>
              <w:rPr>
                <w:rFonts w:eastAsia="SimSun"/>
              </w:rPr>
            </w:pPr>
            <w:r w:rsidRPr="00AC3044">
              <w:rPr>
                <w:rFonts w:eastAsia="SimSun"/>
              </w:rPr>
              <w:t xml:space="preserve"> –6, –5 дни</w:t>
            </w:r>
          </w:p>
        </w:tc>
        <w:tc>
          <w:tcPr>
            <w:tcW w:w="2410" w:type="dxa"/>
            <w:vAlign w:val="center"/>
          </w:tcPr>
          <w:p w14:paraId="682586E0" w14:textId="77777777" w:rsidR="00304132" w:rsidRPr="00AC3044" w:rsidRDefault="00304132" w:rsidP="00CD5E09">
            <w:pPr>
              <w:rPr>
                <w:rFonts w:eastAsia="SimSun"/>
              </w:rPr>
            </w:pPr>
            <w:r w:rsidRPr="00AC3044">
              <w:rPr>
                <w:rFonts w:eastAsia="SimSun"/>
              </w:rPr>
              <w:t>Внутрь, суммарная суточная доза разделяется на 4 приема с интервалом 6 часов.</w:t>
            </w:r>
          </w:p>
        </w:tc>
      </w:tr>
      <w:tr w:rsidR="00304132" w:rsidRPr="00AC3044" w14:paraId="151A980E" w14:textId="77777777" w:rsidTr="00CD5E09">
        <w:trPr>
          <w:cantSplit/>
          <w:trHeight w:val="20"/>
        </w:trPr>
        <w:tc>
          <w:tcPr>
            <w:tcW w:w="1135" w:type="dxa"/>
            <w:vMerge w:val="restart"/>
            <w:textDirection w:val="btLr"/>
            <w:vAlign w:val="center"/>
          </w:tcPr>
          <w:p w14:paraId="55BEBC0B" w14:textId="77777777" w:rsidR="00304132" w:rsidRPr="00AC3044" w:rsidRDefault="00304132" w:rsidP="00CD5E09">
            <w:pPr>
              <w:rPr>
                <w:rFonts w:eastAsia="SimSun"/>
              </w:rPr>
            </w:pPr>
            <w:r w:rsidRPr="00AC3044">
              <w:rPr>
                <w:rFonts w:eastAsia="SimSun"/>
              </w:rPr>
              <w:t>Профилактика РТПХ</w:t>
            </w:r>
          </w:p>
        </w:tc>
        <w:tc>
          <w:tcPr>
            <w:tcW w:w="1559" w:type="dxa"/>
            <w:vAlign w:val="center"/>
          </w:tcPr>
          <w:p w14:paraId="1140D5BB" w14:textId="77777777" w:rsidR="00304132" w:rsidRPr="00AC3044" w:rsidRDefault="00304132" w:rsidP="00CD5E09">
            <w:pPr>
              <w:rPr>
                <w:rFonts w:eastAsia="SimSun"/>
              </w:rPr>
            </w:pPr>
            <w:r w:rsidRPr="00AC3044">
              <w:rPr>
                <w:rFonts w:eastAsia="SimSun"/>
              </w:rPr>
              <w:t>АТГ (лошадиный)</w:t>
            </w:r>
          </w:p>
        </w:tc>
        <w:tc>
          <w:tcPr>
            <w:tcW w:w="1418" w:type="dxa"/>
            <w:vAlign w:val="center"/>
          </w:tcPr>
          <w:p w14:paraId="7F542858" w14:textId="77777777" w:rsidR="00304132" w:rsidRPr="00AC3044" w:rsidRDefault="00304132" w:rsidP="00CD5E09">
            <w:pPr>
              <w:rPr>
                <w:rFonts w:eastAsia="SimSun"/>
              </w:rPr>
            </w:pPr>
            <w:r w:rsidRPr="00AC3044">
              <w:rPr>
                <w:rFonts w:eastAsia="SimSun"/>
              </w:rPr>
              <w:t>10-15 мг/кг</w:t>
            </w:r>
          </w:p>
        </w:tc>
        <w:tc>
          <w:tcPr>
            <w:tcW w:w="1559" w:type="dxa"/>
            <w:vAlign w:val="center"/>
          </w:tcPr>
          <w:p w14:paraId="5A9CA7C3" w14:textId="77777777" w:rsidR="00304132" w:rsidRPr="00AC3044" w:rsidRDefault="00304132" w:rsidP="00CD5E09">
            <w:pPr>
              <w:rPr>
                <w:rFonts w:eastAsia="SimSun"/>
              </w:rPr>
            </w:pPr>
            <w:r w:rsidRPr="00AC3044">
              <w:rPr>
                <w:rFonts w:eastAsia="SimSun"/>
              </w:rPr>
              <w:t>40-60 мг/кг</w:t>
            </w:r>
          </w:p>
        </w:tc>
        <w:tc>
          <w:tcPr>
            <w:tcW w:w="1559" w:type="dxa"/>
            <w:vAlign w:val="center"/>
          </w:tcPr>
          <w:p w14:paraId="46DCBDFA" w14:textId="77777777" w:rsidR="00304132" w:rsidRPr="00AC3044" w:rsidRDefault="00304132" w:rsidP="00CD5E09">
            <w:pPr>
              <w:rPr>
                <w:rFonts w:eastAsia="SimSun"/>
              </w:rPr>
            </w:pPr>
            <w:r w:rsidRPr="00AC3044">
              <w:rPr>
                <w:rFonts w:eastAsia="SimSun"/>
              </w:rPr>
              <w:t>С –4 по –1 день</w:t>
            </w:r>
          </w:p>
        </w:tc>
        <w:tc>
          <w:tcPr>
            <w:tcW w:w="2410" w:type="dxa"/>
            <w:vAlign w:val="center"/>
          </w:tcPr>
          <w:p w14:paraId="1D710D5E" w14:textId="77777777" w:rsidR="00304132" w:rsidRPr="00AC3044" w:rsidRDefault="00304132" w:rsidP="00CD5E09">
            <w:pPr>
              <w:rPr>
                <w:rFonts w:eastAsia="SimSun"/>
              </w:rPr>
            </w:pPr>
            <w:r w:rsidRPr="00AC3044">
              <w:rPr>
                <w:rFonts w:eastAsia="SimSun"/>
              </w:rPr>
              <w:t>В/в. Суточная доза разделяется</w:t>
            </w:r>
            <w:r w:rsidRPr="00AC3044" w:rsidDel="00130EA4">
              <w:rPr>
                <w:rFonts w:eastAsia="SimSun"/>
              </w:rPr>
              <w:t xml:space="preserve"> </w:t>
            </w:r>
            <w:r w:rsidRPr="00AC3044">
              <w:rPr>
                <w:rFonts w:eastAsia="SimSun"/>
              </w:rPr>
              <w:t>на 2 введения (см.</w:t>
            </w:r>
            <w:r>
              <w:rPr>
                <w:rFonts w:eastAsia="SimSun"/>
              </w:rPr>
              <w:t xml:space="preserve"> </w:t>
            </w:r>
            <w:r w:rsidRPr="00AC3044">
              <w:rPr>
                <w:rFonts w:eastAsia="SimSun"/>
              </w:rPr>
              <w:t>«Инфузия АТГ»)</w:t>
            </w:r>
          </w:p>
        </w:tc>
      </w:tr>
      <w:tr w:rsidR="00304132" w:rsidRPr="00AC3044" w14:paraId="0EEF748B" w14:textId="77777777" w:rsidTr="00CD5E09">
        <w:trPr>
          <w:cantSplit/>
          <w:trHeight w:val="20"/>
        </w:trPr>
        <w:tc>
          <w:tcPr>
            <w:tcW w:w="1135" w:type="dxa"/>
            <w:vMerge/>
            <w:textDirection w:val="btLr"/>
          </w:tcPr>
          <w:p w14:paraId="384820CF" w14:textId="77777777" w:rsidR="00304132" w:rsidRPr="00AC3044" w:rsidRDefault="00304132" w:rsidP="00CD5E09">
            <w:pPr>
              <w:rPr>
                <w:rFonts w:eastAsia="SimSun"/>
              </w:rPr>
            </w:pPr>
          </w:p>
        </w:tc>
        <w:tc>
          <w:tcPr>
            <w:tcW w:w="1559" w:type="dxa"/>
            <w:vAlign w:val="center"/>
          </w:tcPr>
          <w:p w14:paraId="421F893B" w14:textId="77777777" w:rsidR="00304132" w:rsidRPr="00AC3044" w:rsidRDefault="00304132" w:rsidP="00CD5E09">
            <w:pPr>
              <w:rPr>
                <w:rFonts w:eastAsia="SimSun"/>
              </w:rPr>
            </w:pPr>
            <w:r w:rsidRPr="00AC3044">
              <w:rPr>
                <w:rFonts w:eastAsia="SimSun"/>
              </w:rPr>
              <w:t>Циклоспорин</w:t>
            </w:r>
          </w:p>
        </w:tc>
        <w:tc>
          <w:tcPr>
            <w:tcW w:w="1418" w:type="dxa"/>
            <w:vAlign w:val="center"/>
          </w:tcPr>
          <w:p w14:paraId="4EE062B7" w14:textId="77777777" w:rsidR="00304132" w:rsidRPr="00AC3044" w:rsidRDefault="00304132" w:rsidP="00CD5E09">
            <w:pPr>
              <w:rPr>
                <w:rFonts w:eastAsia="SimSun"/>
              </w:rPr>
            </w:pPr>
            <w:r w:rsidRPr="00AC3044">
              <w:rPr>
                <w:rFonts w:eastAsia="SimSun"/>
              </w:rPr>
              <w:t>3 мг/кг</w:t>
            </w:r>
          </w:p>
        </w:tc>
        <w:tc>
          <w:tcPr>
            <w:tcW w:w="1559" w:type="dxa"/>
            <w:vAlign w:val="center"/>
          </w:tcPr>
          <w:p w14:paraId="1137EEDC" w14:textId="77777777" w:rsidR="00304132" w:rsidRPr="00AC3044" w:rsidRDefault="00304132" w:rsidP="00CD5E09">
            <w:pPr>
              <w:rPr>
                <w:rFonts w:eastAsia="SimSun"/>
              </w:rPr>
            </w:pPr>
            <w:r w:rsidRPr="00AC3044">
              <w:rPr>
                <w:rFonts w:eastAsia="SimSun"/>
              </w:rPr>
              <w:t>–</w:t>
            </w:r>
          </w:p>
        </w:tc>
        <w:tc>
          <w:tcPr>
            <w:tcW w:w="1559" w:type="dxa"/>
            <w:vAlign w:val="center"/>
          </w:tcPr>
          <w:p w14:paraId="29D32260" w14:textId="77777777" w:rsidR="00304132" w:rsidRPr="00AC3044" w:rsidRDefault="00304132" w:rsidP="00CD5E09">
            <w:pPr>
              <w:rPr>
                <w:rFonts w:eastAsia="SimSun"/>
              </w:rPr>
            </w:pPr>
            <w:r w:rsidRPr="00AC3044">
              <w:rPr>
                <w:rFonts w:eastAsia="SimSun"/>
              </w:rPr>
              <w:t>С +5 по +90 день, затем постепенное снижение к +180 дню</w:t>
            </w:r>
          </w:p>
        </w:tc>
        <w:tc>
          <w:tcPr>
            <w:tcW w:w="2410" w:type="dxa"/>
            <w:vAlign w:val="center"/>
          </w:tcPr>
          <w:p w14:paraId="23DA760C" w14:textId="77777777" w:rsidR="00304132" w:rsidRPr="00AC3044" w:rsidRDefault="00304132" w:rsidP="00CD5E09">
            <w:pPr>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74195F">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304132" w:rsidRPr="00AC3044" w14:paraId="7D61E5DC" w14:textId="77777777" w:rsidTr="00CD5E09">
        <w:trPr>
          <w:cantSplit/>
          <w:trHeight w:val="20"/>
        </w:trPr>
        <w:tc>
          <w:tcPr>
            <w:tcW w:w="1135" w:type="dxa"/>
            <w:vMerge/>
          </w:tcPr>
          <w:p w14:paraId="1356A53B" w14:textId="77777777" w:rsidR="00304132" w:rsidRPr="00AC3044" w:rsidRDefault="00304132" w:rsidP="00CD5E09">
            <w:pPr>
              <w:rPr>
                <w:rFonts w:eastAsia="SimSun"/>
              </w:rPr>
            </w:pPr>
          </w:p>
        </w:tc>
        <w:tc>
          <w:tcPr>
            <w:tcW w:w="1559" w:type="dxa"/>
            <w:vAlign w:val="center"/>
          </w:tcPr>
          <w:p w14:paraId="7E0D8CC4" w14:textId="77777777" w:rsidR="00304132" w:rsidRPr="00AC3044" w:rsidRDefault="00304132" w:rsidP="00CD5E09">
            <w:pPr>
              <w:rPr>
                <w:rFonts w:eastAsia="SimSun"/>
              </w:rPr>
            </w:pPr>
            <w:r w:rsidRPr="00AC3044">
              <w:rPr>
                <w:rFonts w:eastAsia="SimSun"/>
              </w:rPr>
              <w:t>Микофенолата мофетил</w:t>
            </w:r>
          </w:p>
        </w:tc>
        <w:tc>
          <w:tcPr>
            <w:tcW w:w="1418" w:type="dxa"/>
            <w:vAlign w:val="center"/>
          </w:tcPr>
          <w:p w14:paraId="68DE2E37" w14:textId="77777777" w:rsidR="00304132" w:rsidRPr="00AC3044" w:rsidRDefault="00304132" w:rsidP="00CD5E09">
            <w:pPr>
              <w:rPr>
                <w:rFonts w:eastAsia="SimSun"/>
              </w:rPr>
            </w:pPr>
            <w:r w:rsidRPr="00AC3044">
              <w:rPr>
                <w:rFonts w:eastAsia="SimSun"/>
              </w:rPr>
              <w:t>45 мг/кг</w:t>
            </w:r>
          </w:p>
        </w:tc>
        <w:tc>
          <w:tcPr>
            <w:tcW w:w="1559" w:type="dxa"/>
            <w:vAlign w:val="center"/>
          </w:tcPr>
          <w:p w14:paraId="2E9FED4A" w14:textId="77777777" w:rsidR="00304132" w:rsidRPr="00AC3044" w:rsidRDefault="00304132" w:rsidP="00CD5E09">
            <w:pPr>
              <w:rPr>
                <w:rFonts w:eastAsia="SimSun"/>
              </w:rPr>
            </w:pPr>
            <w:r w:rsidRPr="00AC3044">
              <w:rPr>
                <w:rFonts w:eastAsia="SimSun"/>
              </w:rPr>
              <w:t>–</w:t>
            </w:r>
          </w:p>
        </w:tc>
        <w:tc>
          <w:tcPr>
            <w:tcW w:w="1559" w:type="dxa"/>
            <w:vAlign w:val="center"/>
          </w:tcPr>
          <w:p w14:paraId="485F0CA5" w14:textId="77777777" w:rsidR="00304132" w:rsidRPr="00AC3044" w:rsidRDefault="00304132" w:rsidP="00CD5E09">
            <w:pPr>
              <w:rPr>
                <w:rFonts w:eastAsia="SimSun"/>
              </w:rPr>
            </w:pPr>
            <w:r w:rsidRPr="00AC3044">
              <w:rPr>
                <w:rFonts w:eastAsia="SimSun"/>
              </w:rPr>
              <w:t>С +5 по +90 день</w:t>
            </w:r>
          </w:p>
        </w:tc>
        <w:tc>
          <w:tcPr>
            <w:tcW w:w="2410" w:type="dxa"/>
            <w:vAlign w:val="center"/>
          </w:tcPr>
          <w:p w14:paraId="0174EAD7" w14:textId="77777777" w:rsidR="00304132" w:rsidRPr="00AC3044" w:rsidRDefault="00304132" w:rsidP="00CD5E09">
            <w:pPr>
              <w:rPr>
                <w:rFonts w:eastAsia="SimSun"/>
              </w:rPr>
            </w:pPr>
            <w:r w:rsidRPr="00AC3044">
              <w:rPr>
                <w:rFonts w:eastAsia="SimSun"/>
              </w:rPr>
              <w:t xml:space="preserve">Внутрь, суммарная суточная доза разделяется на 2- 4 приема (не более 3г/сут).  </w:t>
            </w:r>
          </w:p>
        </w:tc>
      </w:tr>
      <w:tr w:rsidR="00304132" w:rsidRPr="00AC3044" w14:paraId="256B54CA" w14:textId="77777777" w:rsidTr="00CD5E09">
        <w:trPr>
          <w:cantSplit/>
          <w:trHeight w:val="464"/>
        </w:trPr>
        <w:tc>
          <w:tcPr>
            <w:tcW w:w="1135" w:type="dxa"/>
            <w:vMerge/>
          </w:tcPr>
          <w:p w14:paraId="2FBC2C20" w14:textId="77777777" w:rsidR="00304132" w:rsidRPr="00AC3044" w:rsidRDefault="00304132" w:rsidP="00CD5E09">
            <w:pPr>
              <w:rPr>
                <w:rFonts w:eastAsia="SimSun"/>
              </w:rPr>
            </w:pPr>
            <w:bookmarkStart w:id="367" w:name="_Hlk716839"/>
          </w:p>
        </w:tc>
        <w:tc>
          <w:tcPr>
            <w:tcW w:w="1559" w:type="dxa"/>
            <w:vAlign w:val="center"/>
          </w:tcPr>
          <w:p w14:paraId="60F588BC" w14:textId="77777777" w:rsidR="00304132" w:rsidRPr="00AC3044" w:rsidRDefault="00304132" w:rsidP="00CD5E09">
            <w:pPr>
              <w:rPr>
                <w:rFonts w:eastAsia="SimSun"/>
              </w:rPr>
            </w:pPr>
            <w:r w:rsidRPr="00AC3044">
              <w:rPr>
                <w:rFonts w:eastAsia="SimSun"/>
              </w:rPr>
              <w:t>Циклофосфамид</w:t>
            </w:r>
          </w:p>
        </w:tc>
        <w:tc>
          <w:tcPr>
            <w:tcW w:w="1418" w:type="dxa"/>
            <w:vAlign w:val="center"/>
          </w:tcPr>
          <w:p w14:paraId="468B8E94" w14:textId="77777777" w:rsidR="00304132" w:rsidRPr="00AC3044" w:rsidRDefault="00304132" w:rsidP="00CD5E09">
            <w:pPr>
              <w:rPr>
                <w:rFonts w:eastAsia="SimSun"/>
              </w:rPr>
            </w:pPr>
            <w:r w:rsidRPr="00AC3044">
              <w:rPr>
                <w:rFonts w:eastAsia="SimSun"/>
              </w:rPr>
              <w:t>50 мг/кг</w:t>
            </w:r>
          </w:p>
        </w:tc>
        <w:tc>
          <w:tcPr>
            <w:tcW w:w="1559" w:type="dxa"/>
            <w:vAlign w:val="center"/>
          </w:tcPr>
          <w:p w14:paraId="72E9AE63" w14:textId="77777777" w:rsidR="00304132" w:rsidRPr="00AC3044" w:rsidRDefault="00304132" w:rsidP="00CD5E09">
            <w:pPr>
              <w:rPr>
                <w:rFonts w:eastAsia="SimSun"/>
              </w:rPr>
            </w:pPr>
            <w:r w:rsidRPr="00AC3044">
              <w:rPr>
                <w:rFonts w:eastAsia="SimSun"/>
              </w:rPr>
              <w:t>100 мг/кг</w:t>
            </w:r>
          </w:p>
        </w:tc>
        <w:tc>
          <w:tcPr>
            <w:tcW w:w="1559" w:type="dxa"/>
            <w:vAlign w:val="center"/>
          </w:tcPr>
          <w:p w14:paraId="09D3F804" w14:textId="77777777" w:rsidR="00304132" w:rsidRPr="00AC3044" w:rsidRDefault="00304132" w:rsidP="00CD5E09">
            <w:pPr>
              <w:rPr>
                <w:rFonts w:eastAsia="SimSun"/>
              </w:rPr>
            </w:pPr>
            <w:r w:rsidRPr="00AC3044">
              <w:rPr>
                <w:rFonts w:eastAsia="SimSun"/>
              </w:rPr>
              <w:t xml:space="preserve">+3, +4 дни </w:t>
            </w:r>
          </w:p>
        </w:tc>
        <w:tc>
          <w:tcPr>
            <w:tcW w:w="2410" w:type="dxa"/>
            <w:vAlign w:val="center"/>
          </w:tcPr>
          <w:p w14:paraId="23DE623C" w14:textId="77777777" w:rsidR="00304132" w:rsidRPr="00AC3044" w:rsidRDefault="00304132" w:rsidP="00CD5E09">
            <w:pPr>
              <w:rPr>
                <w:rFonts w:eastAsia="SimSun"/>
              </w:rPr>
            </w:pPr>
            <w:r w:rsidRPr="00AC3044">
              <w:rPr>
                <w:rFonts w:eastAsia="SimSun"/>
              </w:rPr>
              <w:t>В/в, в течение 2 часов</w:t>
            </w:r>
          </w:p>
        </w:tc>
      </w:tr>
    </w:tbl>
    <w:p w14:paraId="21A09DAE" w14:textId="77777777" w:rsidR="00304132" w:rsidRDefault="00304132" w:rsidP="00304132">
      <w:pPr>
        <w:rPr>
          <w:rFonts w:eastAsia="SimSun"/>
        </w:rPr>
      </w:pPr>
      <w:bookmarkStart w:id="368" w:name="_Toc44401229"/>
      <w:bookmarkEnd w:id="367"/>
    </w:p>
    <w:p w14:paraId="29CDDCF3" w14:textId="77777777" w:rsidR="00304132" w:rsidRPr="00C07B2E" w:rsidRDefault="00304132" w:rsidP="00304132">
      <w:pPr>
        <w:rPr>
          <w:rFonts w:eastAsia="SimSun"/>
        </w:rPr>
      </w:pPr>
      <w:r w:rsidRPr="00EE51B1">
        <w:rPr>
          <w:rFonts w:eastAsia="SimSun"/>
        </w:rPr>
        <w:t>Таблица</w:t>
      </w:r>
      <w:r w:rsidRPr="00C07B2E">
        <w:rPr>
          <w:rFonts w:eastAsia="SimSun"/>
        </w:rPr>
        <w:t xml:space="preserve"> </w:t>
      </w:r>
      <w:r>
        <w:rPr>
          <w:rFonts w:eastAsia="SimSun"/>
        </w:rPr>
        <w:t>5.</w:t>
      </w:r>
      <w:r w:rsidRPr="00C07B2E">
        <w:rPr>
          <w:rFonts w:eastAsia="SimSun"/>
        </w:rPr>
        <w:t>3.1.4  – Flu180+Bu8 / PT-Cy+CSA+MMF30</w:t>
      </w:r>
      <w:bookmarkEnd w:id="368"/>
    </w:p>
    <w:tbl>
      <w:tblPr>
        <w:tblW w:w="9588" w:type="dxa"/>
        <w:tblInd w:w="-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83"/>
        <w:gridCol w:w="1559"/>
        <w:gridCol w:w="1418"/>
        <w:gridCol w:w="1559"/>
        <w:gridCol w:w="1559"/>
        <w:gridCol w:w="2410"/>
      </w:tblGrid>
      <w:tr w:rsidR="00304132" w:rsidRPr="00AC3044" w14:paraId="38C2F61B" w14:textId="77777777" w:rsidTr="00CD5E09">
        <w:trPr>
          <w:cantSplit/>
          <w:trHeight w:val="20"/>
          <w:tblHeader/>
        </w:trPr>
        <w:tc>
          <w:tcPr>
            <w:tcW w:w="1083" w:type="dxa"/>
          </w:tcPr>
          <w:p w14:paraId="59A22DB8" w14:textId="77777777" w:rsidR="00304132" w:rsidRPr="006A5E21" w:rsidRDefault="00304132" w:rsidP="00CD5E09">
            <w:pPr>
              <w:rPr>
                <w:rFonts w:eastAsia="SimSun"/>
              </w:rPr>
            </w:pPr>
          </w:p>
        </w:tc>
        <w:tc>
          <w:tcPr>
            <w:tcW w:w="1559" w:type="dxa"/>
            <w:vAlign w:val="center"/>
          </w:tcPr>
          <w:p w14:paraId="3DC0C4B6" w14:textId="77777777" w:rsidR="00304132" w:rsidRPr="00AC3044" w:rsidRDefault="00304132" w:rsidP="00CD5E09">
            <w:pPr>
              <w:rPr>
                <w:rFonts w:eastAsia="SimSun"/>
              </w:rPr>
            </w:pPr>
            <w:r w:rsidRPr="00AC3044">
              <w:rPr>
                <w:rFonts w:eastAsia="SimSun"/>
              </w:rPr>
              <w:t>Препарат</w:t>
            </w:r>
          </w:p>
        </w:tc>
        <w:tc>
          <w:tcPr>
            <w:tcW w:w="1418" w:type="dxa"/>
            <w:vAlign w:val="center"/>
          </w:tcPr>
          <w:p w14:paraId="27473DEE" w14:textId="77777777" w:rsidR="00304132" w:rsidRPr="00AC3044" w:rsidRDefault="00304132" w:rsidP="00CD5E09">
            <w:pPr>
              <w:rPr>
                <w:rFonts w:eastAsia="SimSun"/>
              </w:rPr>
            </w:pPr>
            <w:r w:rsidRPr="00AC3044">
              <w:rPr>
                <w:rFonts w:eastAsia="SimSun"/>
              </w:rPr>
              <w:t>Суточная доза</w:t>
            </w:r>
          </w:p>
        </w:tc>
        <w:tc>
          <w:tcPr>
            <w:tcW w:w="1559" w:type="dxa"/>
            <w:vAlign w:val="center"/>
          </w:tcPr>
          <w:p w14:paraId="731F95B2" w14:textId="77777777" w:rsidR="00304132" w:rsidRPr="00AC3044" w:rsidRDefault="00304132" w:rsidP="00CD5E09">
            <w:pPr>
              <w:rPr>
                <w:rFonts w:eastAsia="SimSun"/>
              </w:rPr>
            </w:pPr>
            <w:r w:rsidRPr="00AC3044">
              <w:rPr>
                <w:rFonts w:eastAsia="SimSun"/>
              </w:rPr>
              <w:t>Курсовая доза</w:t>
            </w:r>
          </w:p>
        </w:tc>
        <w:tc>
          <w:tcPr>
            <w:tcW w:w="1559" w:type="dxa"/>
            <w:vAlign w:val="center"/>
          </w:tcPr>
          <w:p w14:paraId="1DBEBD62" w14:textId="77777777" w:rsidR="00304132" w:rsidRPr="00AC3044" w:rsidRDefault="00304132" w:rsidP="00CD5E09">
            <w:pPr>
              <w:rPr>
                <w:rFonts w:eastAsia="SimSun"/>
              </w:rPr>
            </w:pPr>
            <w:r w:rsidRPr="00AC3044">
              <w:rPr>
                <w:rFonts w:eastAsia="SimSun"/>
              </w:rPr>
              <w:t>Дни введения</w:t>
            </w:r>
          </w:p>
        </w:tc>
        <w:tc>
          <w:tcPr>
            <w:tcW w:w="2410" w:type="dxa"/>
            <w:vAlign w:val="center"/>
          </w:tcPr>
          <w:p w14:paraId="39742BD9" w14:textId="77777777" w:rsidR="00304132" w:rsidRPr="00AC3044" w:rsidRDefault="00304132" w:rsidP="00CD5E09">
            <w:pPr>
              <w:rPr>
                <w:rFonts w:eastAsia="SimSun"/>
              </w:rPr>
            </w:pPr>
            <w:r w:rsidRPr="00AC3044">
              <w:rPr>
                <w:rFonts w:eastAsia="SimSun"/>
              </w:rPr>
              <w:t>Порядок введения</w:t>
            </w:r>
          </w:p>
        </w:tc>
      </w:tr>
      <w:tr w:rsidR="00304132" w:rsidRPr="00AC3044" w14:paraId="7659E739" w14:textId="77777777" w:rsidTr="00CD5E09">
        <w:trPr>
          <w:cantSplit/>
          <w:trHeight w:val="20"/>
        </w:trPr>
        <w:tc>
          <w:tcPr>
            <w:tcW w:w="1083" w:type="dxa"/>
            <w:vMerge w:val="restart"/>
            <w:textDirection w:val="btLr"/>
            <w:vAlign w:val="center"/>
          </w:tcPr>
          <w:p w14:paraId="2A682E38" w14:textId="77777777" w:rsidR="00304132" w:rsidRPr="00AC3044" w:rsidRDefault="00304132" w:rsidP="00CD5E09">
            <w:pPr>
              <w:rPr>
                <w:rFonts w:eastAsia="SimSun"/>
              </w:rPr>
            </w:pPr>
            <w:r w:rsidRPr="00AC3044">
              <w:rPr>
                <w:rFonts w:eastAsia="SimSun"/>
              </w:rPr>
              <w:t>Кондиционирование</w:t>
            </w:r>
          </w:p>
        </w:tc>
        <w:tc>
          <w:tcPr>
            <w:tcW w:w="1559" w:type="dxa"/>
            <w:vAlign w:val="center"/>
          </w:tcPr>
          <w:p w14:paraId="79C1EDF6" w14:textId="77777777" w:rsidR="00304132" w:rsidRPr="00AC3044" w:rsidRDefault="00304132" w:rsidP="00CD5E09">
            <w:pPr>
              <w:rPr>
                <w:rFonts w:eastAsia="SimSun"/>
              </w:rPr>
            </w:pPr>
            <w:r w:rsidRPr="00AC3044">
              <w:rPr>
                <w:rFonts w:eastAsia="SimSun"/>
              </w:rPr>
              <w:t xml:space="preserve">Флударабин </w:t>
            </w:r>
          </w:p>
        </w:tc>
        <w:tc>
          <w:tcPr>
            <w:tcW w:w="1418" w:type="dxa"/>
            <w:vAlign w:val="center"/>
          </w:tcPr>
          <w:p w14:paraId="1FD2EB7B" w14:textId="77777777" w:rsidR="00304132" w:rsidRPr="00AC3044" w:rsidRDefault="00304132" w:rsidP="00CD5E09">
            <w:pPr>
              <w:rPr>
                <w:rFonts w:eastAsia="SimSun"/>
              </w:rPr>
            </w:pPr>
            <w:r w:rsidRPr="00AC3044">
              <w:rPr>
                <w:rFonts w:eastAsia="SimSun"/>
              </w:rPr>
              <w:t>30 мг/м</w:t>
            </w:r>
            <w:r w:rsidRPr="0074195F">
              <w:rPr>
                <w:rFonts w:eastAsia="SimSun"/>
                <w:vertAlign w:val="superscript"/>
              </w:rPr>
              <w:t>2</w:t>
            </w:r>
          </w:p>
        </w:tc>
        <w:tc>
          <w:tcPr>
            <w:tcW w:w="1559" w:type="dxa"/>
            <w:vAlign w:val="center"/>
          </w:tcPr>
          <w:p w14:paraId="79A0A3EC" w14:textId="77777777" w:rsidR="00304132" w:rsidRPr="00AC3044" w:rsidRDefault="00304132" w:rsidP="00CD5E09">
            <w:pPr>
              <w:rPr>
                <w:rFonts w:eastAsia="SimSun"/>
              </w:rPr>
            </w:pPr>
            <w:r w:rsidRPr="00AC3044">
              <w:rPr>
                <w:rFonts w:eastAsia="SimSun"/>
              </w:rPr>
              <w:t>180 мг/м</w:t>
            </w:r>
            <w:r w:rsidRPr="0074195F">
              <w:rPr>
                <w:rFonts w:eastAsia="SimSun"/>
                <w:vertAlign w:val="superscript"/>
              </w:rPr>
              <w:t>2</w:t>
            </w:r>
          </w:p>
        </w:tc>
        <w:tc>
          <w:tcPr>
            <w:tcW w:w="1559" w:type="dxa"/>
            <w:vAlign w:val="center"/>
          </w:tcPr>
          <w:p w14:paraId="22BD9790" w14:textId="77777777" w:rsidR="00304132" w:rsidRPr="00AC3044" w:rsidRDefault="00304132" w:rsidP="00CD5E09">
            <w:pPr>
              <w:rPr>
                <w:rFonts w:eastAsia="SimSun"/>
              </w:rPr>
            </w:pPr>
            <w:r w:rsidRPr="00AC3044">
              <w:rPr>
                <w:rFonts w:eastAsia="SimSun"/>
              </w:rPr>
              <w:t>С –7 по –2 день</w:t>
            </w:r>
          </w:p>
        </w:tc>
        <w:tc>
          <w:tcPr>
            <w:tcW w:w="2410" w:type="dxa"/>
            <w:vAlign w:val="center"/>
          </w:tcPr>
          <w:p w14:paraId="5E6C287B" w14:textId="77777777" w:rsidR="00304132" w:rsidRPr="00AC3044" w:rsidRDefault="00304132" w:rsidP="00CD5E09">
            <w:pPr>
              <w:rPr>
                <w:rFonts w:eastAsia="SimSun"/>
              </w:rPr>
            </w:pPr>
            <w:r w:rsidRPr="00AC3044">
              <w:rPr>
                <w:rFonts w:eastAsia="SimSun"/>
              </w:rPr>
              <w:t>В/в, в течение 30 -60 мин</w:t>
            </w:r>
          </w:p>
        </w:tc>
      </w:tr>
      <w:tr w:rsidR="00304132" w:rsidRPr="00AC3044" w14:paraId="263C6860" w14:textId="77777777" w:rsidTr="00CD5E09">
        <w:trPr>
          <w:cantSplit/>
          <w:trHeight w:val="1123"/>
        </w:trPr>
        <w:tc>
          <w:tcPr>
            <w:tcW w:w="1083" w:type="dxa"/>
            <w:vMerge/>
            <w:textDirection w:val="btLr"/>
            <w:vAlign w:val="center"/>
          </w:tcPr>
          <w:p w14:paraId="72086F2A" w14:textId="77777777" w:rsidR="00304132" w:rsidRPr="00AC3044" w:rsidRDefault="00304132" w:rsidP="00CD5E09">
            <w:pPr>
              <w:rPr>
                <w:rFonts w:eastAsia="SimSun"/>
              </w:rPr>
            </w:pPr>
          </w:p>
        </w:tc>
        <w:tc>
          <w:tcPr>
            <w:tcW w:w="1559" w:type="dxa"/>
            <w:vAlign w:val="center"/>
          </w:tcPr>
          <w:p w14:paraId="489D8908" w14:textId="77777777" w:rsidR="00304132" w:rsidRPr="00AC3044" w:rsidRDefault="00304132" w:rsidP="00CD5E09">
            <w:pPr>
              <w:rPr>
                <w:rFonts w:eastAsia="SimSun"/>
              </w:rPr>
            </w:pPr>
            <w:r w:rsidRPr="00AC3044">
              <w:rPr>
                <w:rFonts w:eastAsia="SimSun"/>
              </w:rPr>
              <w:t>Бусульфан</w:t>
            </w:r>
          </w:p>
        </w:tc>
        <w:tc>
          <w:tcPr>
            <w:tcW w:w="1418" w:type="dxa"/>
            <w:vAlign w:val="center"/>
          </w:tcPr>
          <w:p w14:paraId="5E9ECB9A" w14:textId="77777777" w:rsidR="00304132" w:rsidRPr="00AC3044" w:rsidRDefault="00304132" w:rsidP="00CD5E09">
            <w:pPr>
              <w:rPr>
                <w:rFonts w:eastAsia="SimSun"/>
              </w:rPr>
            </w:pPr>
            <w:r w:rsidRPr="00AC3044">
              <w:rPr>
                <w:rFonts w:eastAsia="SimSun"/>
              </w:rPr>
              <w:t>4 мг/кг</w:t>
            </w:r>
          </w:p>
        </w:tc>
        <w:tc>
          <w:tcPr>
            <w:tcW w:w="1559" w:type="dxa"/>
            <w:vAlign w:val="center"/>
          </w:tcPr>
          <w:p w14:paraId="0CF5A8AB" w14:textId="77777777" w:rsidR="00304132" w:rsidRPr="00AC3044" w:rsidRDefault="00304132" w:rsidP="00CD5E09">
            <w:pPr>
              <w:rPr>
                <w:rFonts w:eastAsia="SimSun"/>
              </w:rPr>
            </w:pPr>
            <w:r w:rsidRPr="00AC3044">
              <w:rPr>
                <w:rFonts w:eastAsia="SimSun"/>
              </w:rPr>
              <w:t>8 мг/кг</w:t>
            </w:r>
          </w:p>
        </w:tc>
        <w:tc>
          <w:tcPr>
            <w:tcW w:w="1559" w:type="dxa"/>
            <w:vAlign w:val="center"/>
          </w:tcPr>
          <w:p w14:paraId="475453CE" w14:textId="77777777" w:rsidR="00304132" w:rsidRPr="00AC3044" w:rsidRDefault="00304132" w:rsidP="00CD5E09">
            <w:pPr>
              <w:rPr>
                <w:rFonts w:eastAsia="SimSun"/>
              </w:rPr>
            </w:pPr>
            <w:r w:rsidRPr="00AC3044">
              <w:rPr>
                <w:rFonts w:eastAsia="SimSun"/>
              </w:rPr>
              <w:t>–3, –2 дни</w:t>
            </w:r>
          </w:p>
        </w:tc>
        <w:tc>
          <w:tcPr>
            <w:tcW w:w="2410" w:type="dxa"/>
            <w:vAlign w:val="center"/>
          </w:tcPr>
          <w:p w14:paraId="091FDBB5" w14:textId="77777777" w:rsidR="00304132" w:rsidRPr="00AC3044" w:rsidRDefault="00304132" w:rsidP="00CD5E09">
            <w:pPr>
              <w:rPr>
                <w:rFonts w:eastAsia="SimSun"/>
              </w:rPr>
            </w:pPr>
            <w:r w:rsidRPr="00AC3044">
              <w:rPr>
                <w:rFonts w:eastAsia="SimSun"/>
              </w:rPr>
              <w:t>Внутрь, суммарная суточная доза разделяется на 4 приема с интервалом 6 часов.</w:t>
            </w:r>
          </w:p>
        </w:tc>
      </w:tr>
      <w:tr w:rsidR="00304132" w:rsidRPr="00AC3044" w14:paraId="415AAC4F" w14:textId="77777777" w:rsidTr="00CD5E09">
        <w:trPr>
          <w:cantSplit/>
          <w:trHeight w:val="20"/>
        </w:trPr>
        <w:tc>
          <w:tcPr>
            <w:tcW w:w="1083" w:type="dxa"/>
            <w:vMerge w:val="restart"/>
            <w:textDirection w:val="btLr"/>
            <w:vAlign w:val="center"/>
          </w:tcPr>
          <w:p w14:paraId="767CF87F" w14:textId="77777777" w:rsidR="00304132" w:rsidRPr="00AC3044" w:rsidRDefault="00304132" w:rsidP="00CD5E09">
            <w:pPr>
              <w:rPr>
                <w:rFonts w:eastAsia="SimSun"/>
              </w:rPr>
            </w:pPr>
            <w:r w:rsidRPr="00AC3044">
              <w:rPr>
                <w:rFonts w:eastAsia="SimSun"/>
              </w:rPr>
              <w:t>Профилактика РТПХ</w:t>
            </w:r>
          </w:p>
        </w:tc>
        <w:tc>
          <w:tcPr>
            <w:tcW w:w="1559" w:type="dxa"/>
            <w:vAlign w:val="center"/>
          </w:tcPr>
          <w:p w14:paraId="3356273C" w14:textId="77777777" w:rsidR="00304132" w:rsidRPr="00AC3044" w:rsidRDefault="00304132" w:rsidP="00CD5E09">
            <w:pPr>
              <w:rPr>
                <w:rFonts w:eastAsia="SimSun"/>
              </w:rPr>
            </w:pPr>
            <w:r w:rsidRPr="00AC3044">
              <w:rPr>
                <w:rFonts w:eastAsia="SimSun"/>
              </w:rPr>
              <w:t>Циклоспорин</w:t>
            </w:r>
          </w:p>
        </w:tc>
        <w:tc>
          <w:tcPr>
            <w:tcW w:w="1418" w:type="dxa"/>
            <w:vAlign w:val="center"/>
          </w:tcPr>
          <w:p w14:paraId="0B2BEF75" w14:textId="77777777" w:rsidR="00304132" w:rsidRPr="00AC3044" w:rsidRDefault="00304132" w:rsidP="00CD5E09">
            <w:pPr>
              <w:rPr>
                <w:rFonts w:eastAsia="SimSun"/>
              </w:rPr>
            </w:pPr>
            <w:r w:rsidRPr="00AC3044">
              <w:rPr>
                <w:rFonts w:eastAsia="SimSun"/>
              </w:rPr>
              <w:t>3 мг/кг</w:t>
            </w:r>
          </w:p>
        </w:tc>
        <w:tc>
          <w:tcPr>
            <w:tcW w:w="1559" w:type="dxa"/>
            <w:vAlign w:val="center"/>
          </w:tcPr>
          <w:p w14:paraId="2F8E19FF" w14:textId="77777777" w:rsidR="00304132" w:rsidRPr="00AC3044" w:rsidRDefault="00304132" w:rsidP="00CD5E09">
            <w:pPr>
              <w:rPr>
                <w:rFonts w:eastAsia="SimSun"/>
              </w:rPr>
            </w:pPr>
            <w:r w:rsidRPr="00AC3044">
              <w:rPr>
                <w:rFonts w:eastAsia="SimSun"/>
              </w:rPr>
              <w:t>–</w:t>
            </w:r>
          </w:p>
        </w:tc>
        <w:tc>
          <w:tcPr>
            <w:tcW w:w="1559" w:type="dxa"/>
            <w:vAlign w:val="center"/>
          </w:tcPr>
          <w:p w14:paraId="798811D7" w14:textId="77777777" w:rsidR="00304132" w:rsidRPr="00AC3044" w:rsidRDefault="00304132" w:rsidP="00CD5E09">
            <w:pPr>
              <w:rPr>
                <w:rFonts w:eastAsia="SimSun"/>
              </w:rPr>
            </w:pPr>
            <w:r w:rsidRPr="00AC3044">
              <w:rPr>
                <w:rFonts w:eastAsia="SimSun"/>
              </w:rPr>
              <w:t>С +5 по +90 день, затем постепенное снижение к +180 дню</w:t>
            </w:r>
          </w:p>
        </w:tc>
        <w:tc>
          <w:tcPr>
            <w:tcW w:w="2410" w:type="dxa"/>
            <w:vAlign w:val="center"/>
          </w:tcPr>
          <w:p w14:paraId="74216CDF" w14:textId="77777777" w:rsidR="00304132" w:rsidRPr="00AC3044" w:rsidRDefault="00304132" w:rsidP="00CD5E09">
            <w:pPr>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74195F">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304132" w:rsidRPr="00AC3044" w14:paraId="05B88CD9" w14:textId="77777777" w:rsidTr="00CD5E09">
        <w:trPr>
          <w:cantSplit/>
          <w:trHeight w:val="20"/>
        </w:trPr>
        <w:tc>
          <w:tcPr>
            <w:tcW w:w="1083" w:type="dxa"/>
            <w:vMerge/>
          </w:tcPr>
          <w:p w14:paraId="4E9131EF" w14:textId="77777777" w:rsidR="00304132" w:rsidRPr="00AC3044" w:rsidRDefault="00304132" w:rsidP="00CD5E09">
            <w:pPr>
              <w:rPr>
                <w:rFonts w:eastAsia="SimSun"/>
              </w:rPr>
            </w:pPr>
          </w:p>
        </w:tc>
        <w:tc>
          <w:tcPr>
            <w:tcW w:w="1559" w:type="dxa"/>
            <w:vAlign w:val="center"/>
          </w:tcPr>
          <w:p w14:paraId="3335727F" w14:textId="77777777" w:rsidR="00304132" w:rsidRPr="00AC3044" w:rsidRDefault="00304132" w:rsidP="00CD5E09">
            <w:pPr>
              <w:rPr>
                <w:rFonts w:eastAsia="SimSun"/>
              </w:rPr>
            </w:pPr>
            <w:r w:rsidRPr="00AC3044">
              <w:rPr>
                <w:rFonts w:eastAsia="SimSun"/>
              </w:rPr>
              <w:t>Микофенолата мофетил</w:t>
            </w:r>
          </w:p>
        </w:tc>
        <w:tc>
          <w:tcPr>
            <w:tcW w:w="1418" w:type="dxa"/>
            <w:vAlign w:val="center"/>
          </w:tcPr>
          <w:p w14:paraId="24762F5B" w14:textId="77777777" w:rsidR="00304132" w:rsidRPr="00AC3044" w:rsidRDefault="00304132" w:rsidP="00CD5E09">
            <w:pPr>
              <w:rPr>
                <w:rFonts w:eastAsia="SimSun"/>
              </w:rPr>
            </w:pPr>
            <w:r w:rsidRPr="00AC3044">
              <w:rPr>
                <w:rFonts w:eastAsia="SimSun"/>
              </w:rPr>
              <w:t>30 мг/кг</w:t>
            </w:r>
          </w:p>
        </w:tc>
        <w:tc>
          <w:tcPr>
            <w:tcW w:w="1559" w:type="dxa"/>
            <w:vAlign w:val="center"/>
          </w:tcPr>
          <w:p w14:paraId="650378E5" w14:textId="77777777" w:rsidR="00304132" w:rsidRPr="00AC3044" w:rsidRDefault="00304132" w:rsidP="00CD5E09">
            <w:pPr>
              <w:rPr>
                <w:rFonts w:eastAsia="SimSun"/>
              </w:rPr>
            </w:pPr>
            <w:r w:rsidRPr="00AC3044">
              <w:rPr>
                <w:rFonts w:eastAsia="SimSun"/>
              </w:rPr>
              <w:t>–</w:t>
            </w:r>
          </w:p>
        </w:tc>
        <w:tc>
          <w:tcPr>
            <w:tcW w:w="1559" w:type="dxa"/>
            <w:vAlign w:val="center"/>
          </w:tcPr>
          <w:p w14:paraId="5141C3EE" w14:textId="77777777" w:rsidR="00304132" w:rsidRPr="00AC3044" w:rsidRDefault="00304132" w:rsidP="00CD5E09">
            <w:pPr>
              <w:rPr>
                <w:rFonts w:eastAsia="SimSun"/>
              </w:rPr>
            </w:pPr>
            <w:r w:rsidRPr="00AC3044">
              <w:rPr>
                <w:rFonts w:eastAsia="SimSun"/>
              </w:rPr>
              <w:t>С +5 по +90 день</w:t>
            </w:r>
          </w:p>
        </w:tc>
        <w:tc>
          <w:tcPr>
            <w:tcW w:w="2410" w:type="dxa"/>
            <w:vAlign w:val="center"/>
          </w:tcPr>
          <w:p w14:paraId="63065A06" w14:textId="77777777" w:rsidR="00304132" w:rsidRPr="00AC3044" w:rsidRDefault="00304132" w:rsidP="00CD5E09">
            <w:pPr>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 xml:space="preserve">г/сут).  </w:t>
            </w:r>
          </w:p>
        </w:tc>
      </w:tr>
      <w:tr w:rsidR="00304132" w:rsidRPr="00AC3044" w14:paraId="04ACFC4B" w14:textId="77777777" w:rsidTr="00CD5E09">
        <w:trPr>
          <w:cantSplit/>
          <w:trHeight w:val="464"/>
        </w:trPr>
        <w:tc>
          <w:tcPr>
            <w:tcW w:w="1083" w:type="dxa"/>
            <w:vMerge/>
          </w:tcPr>
          <w:p w14:paraId="14000D31" w14:textId="77777777" w:rsidR="00304132" w:rsidRPr="00AC3044" w:rsidRDefault="00304132" w:rsidP="00CD5E09">
            <w:pPr>
              <w:rPr>
                <w:rFonts w:eastAsia="SimSun"/>
              </w:rPr>
            </w:pPr>
          </w:p>
        </w:tc>
        <w:tc>
          <w:tcPr>
            <w:tcW w:w="1559" w:type="dxa"/>
            <w:vAlign w:val="center"/>
          </w:tcPr>
          <w:p w14:paraId="6106D8A8" w14:textId="77777777" w:rsidR="00304132" w:rsidRPr="00AC3044" w:rsidRDefault="00304132" w:rsidP="00CD5E09">
            <w:pPr>
              <w:rPr>
                <w:rFonts w:eastAsia="SimSun"/>
              </w:rPr>
            </w:pPr>
            <w:r w:rsidRPr="00AC3044">
              <w:rPr>
                <w:rFonts w:eastAsia="SimSun"/>
              </w:rPr>
              <w:t>Циклофосфамид</w:t>
            </w:r>
          </w:p>
        </w:tc>
        <w:tc>
          <w:tcPr>
            <w:tcW w:w="1418" w:type="dxa"/>
            <w:vAlign w:val="center"/>
          </w:tcPr>
          <w:p w14:paraId="5EB28649" w14:textId="77777777" w:rsidR="00304132" w:rsidRPr="00AC3044" w:rsidRDefault="00304132" w:rsidP="00CD5E09">
            <w:pPr>
              <w:rPr>
                <w:rFonts w:eastAsia="SimSun"/>
              </w:rPr>
            </w:pPr>
            <w:r w:rsidRPr="00AC3044">
              <w:rPr>
                <w:rFonts w:eastAsia="SimSun"/>
              </w:rPr>
              <w:t>50 мг/кг</w:t>
            </w:r>
          </w:p>
        </w:tc>
        <w:tc>
          <w:tcPr>
            <w:tcW w:w="1559" w:type="dxa"/>
            <w:vAlign w:val="center"/>
          </w:tcPr>
          <w:p w14:paraId="01D695E2" w14:textId="77777777" w:rsidR="00304132" w:rsidRPr="00AC3044" w:rsidRDefault="00304132" w:rsidP="00CD5E09">
            <w:pPr>
              <w:rPr>
                <w:rFonts w:eastAsia="SimSun"/>
              </w:rPr>
            </w:pPr>
            <w:r w:rsidRPr="00AC3044">
              <w:rPr>
                <w:rFonts w:eastAsia="SimSun"/>
              </w:rPr>
              <w:t>100 мг/кг</w:t>
            </w:r>
          </w:p>
        </w:tc>
        <w:tc>
          <w:tcPr>
            <w:tcW w:w="1559" w:type="dxa"/>
            <w:vAlign w:val="center"/>
          </w:tcPr>
          <w:p w14:paraId="2040C024" w14:textId="77777777" w:rsidR="00304132" w:rsidRPr="00AC3044" w:rsidRDefault="00304132" w:rsidP="00CD5E09">
            <w:pPr>
              <w:rPr>
                <w:rFonts w:eastAsia="SimSun"/>
              </w:rPr>
            </w:pPr>
            <w:r w:rsidRPr="00AC3044">
              <w:rPr>
                <w:rFonts w:eastAsia="SimSun"/>
              </w:rPr>
              <w:t xml:space="preserve">+3, +4 дни </w:t>
            </w:r>
          </w:p>
        </w:tc>
        <w:tc>
          <w:tcPr>
            <w:tcW w:w="2410" w:type="dxa"/>
            <w:vAlign w:val="center"/>
          </w:tcPr>
          <w:p w14:paraId="6F17F207" w14:textId="77777777" w:rsidR="00304132" w:rsidRPr="00AC3044" w:rsidRDefault="00304132" w:rsidP="00CD5E09">
            <w:pPr>
              <w:rPr>
                <w:rFonts w:eastAsia="SimSun"/>
              </w:rPr>
            </w:pPr>
            <w:r w:rsidRPr="00AC3044">
              <w:rPr>
                <w:rFonts w:eastAsia="SimSun"/>
              </w:rPr>
              <w:t>В/в, в течение 2 часов</w:t>
            </w:r>
          </w:p>
        </w:tc>
      </w:tr>
    </w:tbl>
    <w:p w14:paraId="7B57858F" w14:textId="77777777" w:rsidR="00304132" w:rsidRDefault="00304132" w:rsidP="00304132">
      <w:pPr>
        <w:rPr>
          <w:rFonts w:eastAsia="SimSun"/>
        </w:rPr>
      </w:pPr>
      <w:bookmarkStart w:id="369" w:name="_Toc44401230"/>
    </w:p>
    <w:p w14:paraId="67ABC79E" w14:textId="77777777" w:rsidR="00304132" w:rsidRPr="00C07B2E" w:rsidRDefault="00304132" w:rsidP="00304132">
      <w:pPr>
        <w:rPr>
          <w:rFonts w:eastAsia="SimSun"/>
        </w:rPr>
      </w:pPr>
      <w:r w:rsidRPr="00EE51B1">
        <w:rPr>
          <w:rFonts w:eastAsia="SimSun"/>
        </w:rPr>
        <w:t>Таблица</w:t>
      </w:r>
      <w:r w:rsidRPr="00C07B2E">
        <w:rPr>
          <w:rFonts w:eastAsia="SimSun"/>
        </w:rPr>
        <w:t xml:space="preserve"> </w:t>
      </w:r>
      <w:r>
        <w:rPr>
          <w:rFonts w:eastAsia="SimSun"/>
        </w:rPr>
        <w:t>5.</w:t>
      </w:r>
      <w:r w:rsidRPr="00C07B2E">
        <w:rPr>
          <w:rFonts w:eastAsia="SimSun"/>
        </w:rPr>
        <w:t>3.1.5  – Flu180+Bu8 / PT-Cy+CSA+MMF45</w:t>
      </w:r>
      <w:bookmarkEnd w:id="369"/>
    </w:p>
    <w:tbl>
      <w:tblPr>
        <w:tblW w:w="9608"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03"/>
        <w:gridCol w:w="1559"/>
        <w:gridCol w:w="1418"/>
        <w:gridCol w:w="1559"/>
        <w:gridCol w:w="1559"/>
        <w:gridCol w:w="2410"/>
      </w:tblGrid>
      <w:tr w:rsidR="00304132" w:rsidRPr="00AC3044" w14:paraId="4F7218C9" w14:textId="77777777" w:rsidTr="00CD5E09">
        <w:trPr>
          <w:cantSplit/>
          <w:trHeight w:val="20"/>
          <w:tblHeader/>
        </w:trPr>
        <w:tc>
          <w:tcPr>
            <w:tcW w:w="1103" w:type="dxa"/>
          </w:tcPr>
          <w:p w14:paraId="4415DE3A" w14:textId="77777777" w:rsidR="00304132" w:rsidRPr="006A5E21" w:rsidRDefault="00304132" w:rsidP="00CD5E09">
            <w:pPr>
              <w:rPr>
                <w:rFonts w:eastAsia="SimSun"/>
              </w:rPr>
            </w:pPr>
          </w:p>
        </w:tc>
        <w:tc>
          <w:tcPr>
            <w:tcW w:w="1559" w:type="dxa"/>
            <w:vAlign w:val="center"/>
          </w:tcPr>
          <w:p w14:paraId="15FB2B25" w14:textId="77777777" w:rsidR="00304132" w:rsidRPr="00AC3044" w:rsidRDefault="00304132" w:rsidP="00CD5E09">
            <w:pPr>
              <w:rPr>
                <w:rFonts w:eastAsia="SimSun"/>
              </w:rPr>
            </w:pPr>
            <w:r w:rsidRPr="00AC3044">
              <w:rPr>
                <w:rFonts w:eastAsia="SimSun"/>
              </w:rPr>
              <w:t>Препарат</w:t>
            </w:r>
          </w:p>
        </w:tc>
        <w:tc>
          <w:tcPr>
            <w:tcW w:w="1418" w:type="dxa"/>
            <w:vAlign w:val="center"/>
          </w:tcPr>
          <w:p w14:paraId="5FB2D646" w14:textId="77777777" w:rsidR="00304132" w:rsidRPr="00AC3044" w:rsidRDefault="00304132" w:rsidP="00CD5E09">
            <w:pPr>
              <w:rPr>
                <w:rFonts w:eastAsia="SimSun"/>
              </w:rPr>
            </w:pPr>
            <w:r w:rsidRPr="00AC3044">
              <w:rPr>
                <w:rFonts w:eastAsia="SimSun"/>
              </w:rPr>
              <w:t>Суточная доза</w:t>
            </w:r>
          </w:p>
        </w:tc>
        <w:tc>
          <w:tcPr>
            <w:tcW w:w="1559" w:type="dxa"/>
            <w:vAlign w:val="center"/>
          </w:tcPr>
          <w:p w14:paraId="6AD31F3B" w14:textId="77777777" w:rsidR="00304132" w:rsidRPr="00AC3044" w:rsidRDefault="00304132" w:rsidP="00CD5E09">
            <w:pPr>
              <w:rPr>
                <w:rFonts w:eastAsia="SimSun"/>
              </w:rPr>
            </w:pPr>
            <w:r w:rsidRPr="00AC3044">
              <w:rPr>
                <w:rFonts w:eastAsia="SimSun"/>
              </w:rPr>
              <w:t>Курсовая доза</w:t>
            </w:r>
          </w:p>
        </w:tc>
        <w:tc>
          <w:tcPr>
            <w:tcW w:w="1559" w:type="dxa"/>
            <w:vAlign w:val="center"/>
          </w:tcPr>
          <w:p w14:paraId="4062188A" w14:textId="77777777" w:rsidR="00304132" w:rsidRPr="00AC3044" w:rsidRDefault="00304132" w:rsidP="00CD5E09">
            <w:pPr>
              <w:rPr>
                <w:rFonts w:eastAsia="SimSun"/>
              </w:rPr>
            </w:pPr>
            <w:r w:rsidRPr="00AC3044">
              <w:rPr>
                <w:rFonts w:eastAsia="SimSun"/>
              </w:rPr>
              <w:t>Дни введения</w:t>
            </w:r>
          </w:p>
        </w:tc>
        <w:tc>
          <w:tcPr>
            <w:tcW w:w="2410" w:type="dxa"/>
            <w:vAlign w:val="center"/>
          </w:tcPr>
          <w:p w14:paraId="0E543496" w14:textId="77777777" w:rsidR="00304132" w:rsidRPr="00AC3044" w:rsidRDefault="00304132" w:rsidP="00CD5E09">
            <w:pPr>
              <w:rPr>
                <w:rFonts w:eastAsia="SimSun"/>
              </w:rPr>
            </w:pPr>
            <w:r w:rsidRPr="00AC3044">
              <w:rPr>
                <w:rFonts w:eastAsia="SimSun"/>
              </w:rPr>
              <w:t>Порядок введения</w:t>
            </w:r>
          </w:p>
        </w:tc>
      </w:tr>
      <w:tr w:rsidR="00304132" w:rsidRPr="00AC3044" w14:paraId="7469A6C0" w14:textId="77777777" w:rsidTr="00CD5E09">
        <w:trPr>
          <w:cantSplit/>
          <w:trHeight w:val="20"/>
        </w:trPr>
        <w:tc>
          <w:tcPr>
            <w:tcW w:w="1103" w:type="dxa"/>
            <w:vMerge w:val="restart"/>
            <w:textDirection w:val="btLr"/>
            <w:vAlign w:val="center"/>
          </w:tcPr>
          <w:p w14:paraId="672DBCFF" w14:textId="77777777" w:rsidR="00304132" w:rsidRPr="00AC3044" w:rsidRDefault="00304132" w:rsidP="00CD5E09">
            <w:pPr>
              <w:rPr>
                <w:rFonts w:eastAsia="SimSun"/>
              </w:rPr>
            </w:pPr>
            <w:r w:rsidRPr="00AC3044">
              <w:rPr>
                <w:rFonts w:eastAsia="SimSun"/>
              </w:rPr>
              <w:t>Кондиционирование</w:t>
            </w:r>
          </w:p>
        </w:tc>
        <w:tc>
          <w:tcPr>
            <w:tcW w:w="1559" w:type="dxa"/>
            <w:vAlign w:val="center"/>
          </w:tcPr>
          <w:p w14:paraId="60B864A4" w14:textId="77777777" w:rsidR="00304132" w:rsidRPr="00AC3044" w:rsidRDefault="00304132" w:rsidP="00CD5E09">
            <w:pPr>
              <w:rPr>
                <w:rFonts w:eastAsia="SimSun"/>
              </w:rPr>
            </w:pPr>
            <w:r w:rsidRPr="00AC3044">
              <w:rPr>
                <w:rFonts w:eastAsia="SimSun"/>
              </w:rPr>
              <w:t xml:space="preserve">Флударабин </w:t>
            </w:r>
          </w:p>
        </w:tc>
        <w:tc>
          <w:tcPr>
            <w:tcW w:w="1418" w:type="dxa"/>
            <w:vAlign w:val="center"/>
          </w:tcPr>
          <w:p w14:paraId="1CF9D7E6" w14:textId="77777777" w:rsidR="00304132" w:rsidRPr="00AC3044" w:rsidRDefault="00304132" w:rsidP="00CD5E09">
            <w:pPr>
              <w:rPr>
                <w:rFonts w:eastAsia="SimSun"/>
              </w:rPr>
            </w:pPr>
            <w:r w:rsidRPr="00AC3044">
              <w:rPr>
                <w:rFonts w:eastAsia="SimSun"/>
              </w:rPr>
              <w:t>30 мг/м</w:t>
            </w:r>
            <w:r w:rsidRPr="0074195F">
              <w:rPr>
                <w:rFonts w:eastAsia="SimSun"/>
                <w:vertAlign w:val="superscript"/>
              </w:rPr>
              <w:t>2</w:t>
            </w:r>
          </w:p>
        </w:tc>
        <w:tc>
          <w:tcPr>
            <w:tcW w:w="1559" w:type="dxa"/>
            <w:vAlign w:val="center"/>
          </w:tcPr>
          <w:p w14:paraId="37DC50BF" w14:textId="77777777" w:rsidR="00304132" w:rsidRPr="00AC3044" w:rsidRDefault="00304132" w:rsidP="00CD5E09">
            <w:pPr>
              <w:rPr>
                <w:rFonts w:eastAsia="SimSun"/>
              </w:rPr>
            </w:pPr>
            <w:r w:rsidRPr="00AC3044">
              <w:rPr>
                <w:rFonts w:eastAsia="SimSun"/>
              </w:rPr>
              <w:t>180 мг/м</w:t>
            </w:r>
            <w:r w:rsidRPr="0074195F">
              <w:rPr>
                <w:rFonts w:eastAsia="SimSun"/>
                <w:vertAlign w:val="superscript"/>
              </w:rPr>
              <w:t>2</w:t>
            </w:r>
          </w:p>
        </w:tc>
        <w:tc>
          <w:tcPr>
            <w:tcW w:w="1559" w:type="dxa"/>
            <w:vAlign w:val="center"/>
          </w:tcPr>
          <w:p w14:paraId="1A128016" w14:textId="77777777" w:rsidR="00304132" w:rsidRPr="00AC3044" w:rsidRDefault="00304132" w:rsidP="00CD5E09">
            <w:pPr>
              <w:rPr>
                <w:rFonts w:eastAsia="SimSun"/>
              </w:rPr>
            </w:pPr>
            <w:r w:rsidRPr="00AC3044">
              <w:rPr>
                <w:rFonts w:eastAsia="SimSun"/>
              </w:rPr>
              <w:t>С –7 по –2 день</w:t>
            </w:r>
          </w:p>
        </w:tc>
        <w:tc>
          <w:tcPr>
            <w:tcW w:w="2410" w:type="dxa"/>
            <w:vAlign w:val="center"/>
          </w:tcPr>
          <w:p w14:paraId="52C89785" w14:textId="77777777" w:rsidR="00304132" w:rsidRPr="00AC3044" w:rsidRDefault="00304132" w:rsidP="00CD5E09">
            <w:pPr>
              <w:rPr>
                <w:rFonts w:eastAsia="SimSun"/>
              </w:rPr>
            </w:pPr>
            <w:r w:rsidRPr="00AC3044">
              <w:rPr>
                <w:rFonts w:eastAsia="SimSun"/>
              </w:rPr>
              <w:t>В/в, в течение 30 -60 мин</w:t>
            </w:r>
          </w:p>
        </w:tc>
      </w:tr>
      <w:tr w:rsidR="00304132" w:rsidRPr="00AC3044" w14:paraId="1FB0D9D0" w14:textId="77777777" w:rsidTr="00CD5E09">
        <w:trPr>
          <w:cantSplit/>
          <w:trHeight w:val="606"/>
        </w:trPr>
        <w:tc>
          <w:tcPr>
            <w:tcW w:w="1103" w:type="dxa"/>
            <w:vMerge/>
            <w:textDirection w:val="btLr"/>
            <w:vAlign w:val="center"/>
          </w:tcPr>
          <w:p w14:paraId="142F0100" w14:textId="77777777" w:rsidR="00304132" w:rsidRPr="00AC3044" w:rsidRDefault="00304132" w:rsidP="00CD5E09">
            <w:pPr>
              <w:rPr>
                <w:rFonts w:eastAsia="SimSun"/>
              </w:rPr>
            </w:pPr>
          </w:p>
        </w:tc>
        <w:tc>
          <w:tcPr>
            <w:tcW w:w="1559" w:type="dxa"/>
            <w:vAlign w:val="center"/>
          </w:tcPr>
          <w:p w14:paraId="6A460A2E" w14:textId="77777777" w:rsidR="00304132" w:rsidRPr="00AC3044" w:rsidRDefault="00304132" w:rsidP="00CD5E09">
            <w:pPr>
              <w:rPr>
                <w:rFonts w:eastAsia="SimSun"/>
              </w:rPr>
            </w:pPr>
            <w:r w:rsidRPr="00AC3044">
              <w:rPr>
                <w:rFonts w:eastAsia="SimSun"/>
              </w:rPr>
              <w:t>Бусульфан</w:t>
            </w:r>
          </w:p>
        </w:tc>
        <w:tc>
          <w:tcPr>
            <w:tcW w:w="1418" w:type="dxa"/>
            <w:vAlign w:val="center"/>
          </w:tcPr>
          <w:p w14:paraId="1C0174DC" w14:textId="77777777" w:rsidR="00304132" w:rsidRPr="00AC3044" w:rsidRDefault="00304132" w:rsidP="00CD5E09">
            <w:pPr>
              <w:rPr>
                <w:rFonts w:eastAsia="SimSun"/>
              </w:rPr>
            </w:pPr>
            <w:r w:rsidRPr="00AC3044">
              <w:rPr>
                <w:rFonts w:eastAsia="SimSun"/>
              </w:rPr>
              <w:t>4 мг/кг</w:t>
            </w:r>
          </w:p>
        </w:tc>
        <w:tc>
          <w:tcPr>
            <w:tcW w:w="1559" w:type="dxa"/>
            <w:vAlign w:val="center"/>
          </w:tcPr>
          <w:p w14:paraId="7EECCFD8" w14:textId="77777777" w:rsidR="00304132" w:rsidRPr="00AC3044" w:rsidRDefault="00304132" w:rsidP="00CD5E09">
            <w:pPr>
              <w:rPr>
                <w:rFonts w:eastAsia="SimSun"/>
              </w:rPr>
            </w:pPr>
            <w:r w:rsidRPr="00AC3044">
              <w:rPr>
                <w:rFonts w:eastAsia="SimSun"/>
              </w:rPr>
              <w:t>8 мг/кг</w:t>
            </w:r>
          </w:p>
        </w:tc>
        <w:tc>
          <w:tcPr>
            <w:tcW w:w="1559" w:type="dxa"/>
            <w:vAlign w:val="center"/>
          </w:tcPr>
          <w:p w14:paraId="5DEE8CF3" w14:textId="77777777" w:rsidR="00304132" w:rsidRPr="00AC3044" w:rsidRDefault="00304132" w:rsidP="00CD5E09">
            <w:pPr>
              <w:rPr>
                <w:rFonts w:eastAsia="SimSun"/>
              </w:rPr>
            </w:pPr>
            <w:r w:rsidRPr="00AC3044">
              <w:rPr>
                <w:rFonts w:eastAsia="SimSun"/>
              </w:rPr>
              <w:t>–3, –2 дни</w:t>
            </w:r>
          </w:p>
        </w:tc>
        <w:tc>
          <w:tcPr>
            <w:tcW w:w="2410" w:type="dxa"/>
            <w:vAlign w:val="center"/>
          </w:tcPr>
          <w:p w14:paraId="23A22D4E" w14:textId="77777777" w:rsidR="00304132" w:rsidRPr="00AC3044" w:rsidRDefault="00304132" w:rsidP="00CD5E09">
            <w:pPr>
              <w:rPr>
                <w:rFonts w:eastAsia="SimSun"/>
              </w:rPr>
            </w:pPr>
            <w:r w:rsidRPr="00AC3044">
              <w:rPr>
                <w:rFonts w:eastAsia="SimSun"/>
              </w:rPr>
              <w:t>Внутрь, суммарная суточная доза разделяется на 4 приема с интервалом 6 часов.</w:t>
            </w:r>
          </w:p>
        </w:tc>
      </w:tr>
      <w:tr w:rsidR="00304132" w:rsidRPr="00AC3044" w14:paraId="2E6643B6" w14:textId="77777777" w:rsidTr="00CD5E09">
        <w:trPr>
          <w:cantSplit/>
          <w:trHeight w:val="20"/>
        </w:trPr>
        <w:tc>
          <w:tcPr>
            <w:tcW w:w="1103" w:type="dxa"/>
            <w:vMerge w:val="restart"/>
            <w:textDirection w:val="btLr"/>
            <w:vAlign w:val="center"/>
          </w:tcPr>
          <w:p w14:paraId="5EA0B72F" w14:textId="77777777" w:rsidR="00304132" w:rsidRPr="00AC3044" w:rsidRDefault="00304132" w:rsidP="00CD5E09">
            <w:pPr>
              <w:rPr>
                <w:rFonts w:eastAsia="SimSun"/>
              </w:rPr>
            </w:pPr>
            <w:r w:rsidRPr="00AC3044">
              <w:rPr>
                <w:rFonts w:eastAsia="SimSun"/>
              </w:rPr>
              <w:t>Профилактика РТПХ</w:t>
            </w:r>
          </w:p>
        </w:tc>
        <w:tc>
          <w:tcPr>
            <w:tcW w:w="1559" w:type="dxa"/>
            <w:vAlign w:val="center"/>
          </w:tcPr>
          <w:p w14:paraId="56A06FDF" w14:textId="77777777" w:rsidR="00304132" w:rsidRPr="00AC3044" w:rsidRDefault="00304132" w:rsidP="00CD5E09">
            <w:pPr>
              <w:rPr>
                <w:rFonts w:eastAsia="SimSun"/>
              </w:rPr>
            </w:pPr>
            <w:r w:rsidRPr="00AC3044">
              <w:rPr>
                <w:rFonts w:eastAsia="SimSun"/>
              </w:rPr>
              <w:t>Циклоспорин</w:t>
            </w:r>
          </w:p>
        </w:tc>
        <w:tc>
          <w:tcPr>
            <w:tcW w:w="1418" w:type="dxa"/>
            <w:vAlign w:val="center"/>
          </w:tcPr>
          <w:p w14:paraId="63F0AA22" w14:textId="77777777" w:rsidR="00304132" w:rsidRPr="00AC3044" w:rsidRDefault="00304132" w:rsidP="00CD5E09">
            <w:pPr>
              <w:rPr>
                <w:rFonts w:eastAsia="SimSun"/>
              </w:rPr>
            </w:pPr>
            <w:r w:rsidRPr="00AC3044">
              <w:rPr>
                <w:rFonts w:eastAsia="SimSun"/>
              </w:rPr>
              <w:t>3 мг/кг</w:t>
            </w:r>
          </w:p>
        </w:tc>
        <w:tc>
          <w:tcPr>
            <w:tcW w:w="1559" w:type="dxa"/>
            <w:vAlign w:val="center"/>
          </w:tcPr>
          <w:p w14:paraId="22BBB850" w14:textId="77777777" w:rsidR="00304132" w:rsidRPr="00AC3044" w:rsidRDefault="00304132" w:rsidP="00CD5E09">
            <w:pPr>
              <w:rPr>
                <w:rFonts w:eastAsia="SimSun"/>
              </w:rPr>
            </w:pPr>
            <w:r w:rsidRPr="00AC3044">
              <w:rPr>
                <w:rFonts w:eastAsia="SimSun"/>
              </w:rPr>
              <w:t>–</w:t>
            </w:r>
          </w:p>
        </w:tc>
        <w:tc>
          <w:tcPr>
            <w:tcW w:w="1559" w:type="dxa"/>
            <w:vAlign w:val="center"/>
          </w:tcPr>
          <w:p w14:paraId="169AA65D" w14:textId="77777777" w:rsidR="00304132" w:rsidRPr="00AC3044" w:rsidRDefault="00304132" w:rsidP="00CD5E09">
            <w:pPr>
              <w:rPr>
                <w:rFonts w:eastAsia="SimSun"/>
              </w:rPr>
            </w:pPr>
            <w:r w:rsidRPr="00AC3044">
              <w:rPr>
                <w:rFonts w:eastAsia="SimSun"/>
              </w:rPr>
              <w:t>С +5 по +90 день, затем постепенное снижение к +180 дню</w:t>
            </w:r>
          </w:p>
        </w:tc>
        <w:tc>
          <w:tcPr>
            <w:tcW w:w="2410" w:type="dxa"/>
            <w:vAlign w:val="center"/>
          </w:tcPr>
          <w:p w14:paraId="45ECF455" w14:textId="77777777" w:rsidR="00304132" w:rsidRPr="00AC3044" w:rsidRDefault="00304132" w:rsidP="00CD5E09">
            <w:pPr>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74195F">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304132" w:rsidRPr="00AC3044" w14:paraId="37CAD559" w14:textId="77777777" w:rsidTr="00CD5E09">
        <w:trPr>
          <w:cantSplit/>
          <w:trHeight w:val="20"/>
        </w:trPr>
        <w:tc>
          <w:tcPr>
            <w:tcW w:w="1103" w:type="dxa"/>
            <w:vMerge/>
          </w:tcPr>
          <w:p w14:paraId="24406700" w14:textId="77777777" w:rsidR="00304132" w:rsidRPr="00AC3044" w:rsidRDefault="00304132" w:rsidP="00CD5E09">
            <w:pPr>
              <w:rPr>
                <w:rFonts w:eastAsia="SimSun"/>
              </w:rPr>
            </w:pPr>
          </w:p>
        </w:tc>
        <w:tc>
          <w:tcPr>
            <w:tcW w:w="1559" w:type="dxa"/>
            <w:vAlign w:val="center"/>
          </w:tcPr>
          <w:p w14:paraId="55BC2239" w14:textId="77777777" w:rsidR="00304132" w:rsidRPr="00AC3044" w:rsidRDefault="00304132" w:rsidP="00CD5E09">
            <w:pPr>
              <w:rPr>
                <w:rFonts w:eastAsia="SimSun"/>
              </w:rPr>
            </w:pPr>
            <w:r w:rsidRPr="00AC3044">
              <w:rPr>
                <w:rFonts w:eastAsia="SimSun"/>
              </w:rPr>
              <w:t>Микофенолата мофетил</w:t>
            </w:r>
          </w:p>
        </w:tc>
        <w:tc>
          <w:tcPr>
            <w:tcW w:w="1418" w:type="dxa"/>
            <w:vAlign w:val="center"/>
          </w:tcPr>
          <w:p w14:paraId="2D79B987" w14:textId="77777777" w:rsidR="00304132" w:rsidRPr="00AC3044" w:rsidRDefault="00304132" w:rsidP="00CD5E09">
            <w:pPr>
              <w:rPr>
                <w:rFonts w:eastAsia="SimSun"/>
              </w:rPr>
            </w:pPr>
            <w:r w:rsidRPr="00AC3044">
              <w:rPr>
                <w:rFonts w:eastAsia="SimSun"/>
              </w:rPr>
              <w:t>45 мг/кг</w:t>
            </w:r>
          </w:p>
        </w:tc>
        <w:tc>
          <w:tcPr>
            <w:tcW w:w="1559" w:type="dxa"/>
            <w:vAlign w:val="center"/>
          </w:tcPr>
          <w:p w14:paraId="31CF3B32" w14:textId="77777777" w:rsidR="00304132" w:rsidRPr="00AC3044" w:rsidRDefault="00304132" w:rsidP="00CD5E09">
            <w:pPr>
              <w:rPr>
                <w:rFonts w:eastAsia="SimSun"/>
              </w:rPr>
            </w:pPr>
            <w:r w:rsidRPr="00AC3044">
              <w:rPr>
                <w:rFonts w:eastAsia="SimSun"/>
              </w:rPr>
              <w:t>–</w:t>
            </w:r>
          </w:p>
        </w:tc>
        <w:tc>
          <w:tcPr>
            <w:tcW w:w="1559" w:type="dxa"/>
            <w:vAlign w:val="center"/>
          </w:tcPr>
          <w:p w14:paraId="761ECE1E" w14:textId="77777777" w:rsidR="00304132" w:rsidRPr="00AC3044" w:rsidRDefault="00304132" w:rsidP="00CD5E09">
            <w:pPr>
              <w:rPr>
                <w:rFonts w:eastAsia="SimSun"/>
              </w:rPr>
            </w:pPr>
            <w:r w:rsidRPr="00AC3044">
              <w:rPr>
                <w:rFonts w:eastAsia="SimSun"/>
              </w:rPr>
              <w:t>С +5 по +90 день</w:t>
            </w:r>
          </w:p>
        </w:tc>
        <w:tc>
          <w:tcPr>
            <w:tcW w:w="2410" w:type="dxa"/>
            <w:vAlign w:val="center"/>
          </w:tcPr>
          <w:p w14:paraId="16D656C1" w14:textId="77777777" w:rsidR="00304132" w:rsidRPr="00AC3044" w:rsidRDefault="00304132" w:rsidP="00CD5E09">
            <w:pPr>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 xml:space="preserve">г/сут).  </w:t>
            </w:r>
          </w:p>
        </w:tc>
      </w:tr>
      <w:tr w:rsidR="00304132" w:rsidRPr="00AC3044" w14:paraId="485A7D9F" w14:textId="77777777" w:rsidTr="00CD5E09">
        <w:trPr>
          <w:cantSplit/>
          <w:trHeight w:val="464"/>
        </w:trPr>
        <w:tc>
          <w:tcPr>
            <w:tcW w:w="1103" w:type="dxa"/>
            <w:vMerge/>
          </w:tcPr>
          <w:p w14:paraId="7B6789C0" w14:textId="77777777" w:rsidR="00304132" w:rsidRPr="00AC3044" w:rsidRDefault="00304132" w:rsidP="00CD5E09">
            <w:pPr>
              <w:rPr>
                <w:rFonts w:eastAsia="SimSun"/>
              </w:rPr>
            </w:pPr>
          </w:p>
        </w:tc>
        <w:tc>
          <w:tcPr>
            <w:tcW w:w="1559" w:type="dxa"/>
            <w:vAlign w:val="center"/>
          </w:tcPr>
          <w:p w14:paraId="4E1C8375" w14:textId="77777777" w:rsidR="00304132" w:rsidRPr="00AC3044" w:rsidRDefault="00304132" w:rsidP="00CD5E09">
            <w:pPr>
              <w:rPr>
                <w:rFonts w:eastAsia="SimSun"/>
              </w:rPr>
            </w:pPr>
            <w:r w:rsidRPr="00AC3044">
              <w:rPr>
                <w:rFonts w:eastAsia="SimSun"/>
              </w:rPr>
              <w:t>Циклофосфамид</w:t>
            </w:r>
          </w:p>
        </w:tc>
        <w:tc>
          <w:tcPr>
            <w:tcW w:w="1418" w:type="dxa"/>
            <w:vAlign w:val="center"/>
          </w:tcPr>
          <w:p w14:paraId="36EC1152" w14:textId="77777777" w:rsidR="00304132" w:rsidRPr="00AC3044" w:rsidRDefault="00304132" w:rsidP="00CD5E09">
            <w:pPr>
              <w:rPr>
                <w:rFonts w:eastAsia="SimSun"/>
              </w:rPr>
            </w:pPr>
            <w:r w:rsidRPr="00AC3044">
              <w:rPr>
                <w:rFonts w:eastAsia="SimSun"/>
              </w:rPr>
              <w:t>50 мг/кг</w:t>
            </w:r>
          </w:p>
        </w:tc>
        <w:tc>
          <w:tcPr>
            <w:tcW w:w="1559" w:type="dxa"/>
            <w:vAlign w:val="center"/>
          </w:tcPr>
          <w:p w14:paraId="19614D42" w14:textId="77777777" w:rsidR="00304132" w:rsidRPr="00AC3044" w:rsidRDefault="00304132" w:rsidP="00CD5E09">
            <w:pPr>
              <w:rPr>
                <w:rFonts w:eastAsia="SimSun"/>
              </w:rPr>
            </w:pPr>
            <w:r w:rsidRPr="00AC3044">
              <w:rPr>
                <w:rFonts w:eastAsia="SimSun"/>
              </w:rPr>
              <w:t>100 мг/кг</w:t>
            </w:r>
          </w:p>
        </w:tc>
        <w:tc>
          <w:tcPr>
            <w:tcW w:w="1559" w:type="dxa"/>
            <w:vAlign w:val="center"/>
          </w:tcPr>
          <w:p w14:paraId="44DDA7FB" w14:textId="77777777" w:rsidR="00304132" w:rsidRPr="00AC3044" w:rsidRDefault="00304132" w:rsidP="00CD5E09">
            <w:pPr>
              <w:rPr>
                <w:rFonts w:eastAsia="SimSun"/>
              </w:rPr>
            </w:pPr>
            <w:r w:rsidRPr="00AC3044">
              <w:rPr>
                <w:rFonts w:eastAsia="SimSun"/>
              </w:rPr>
              <w:t xml:space="preserve">+3, +4 дни </w:t>
            </w:r>
          </w:p>
        </w:tc>
        <w:tc>
          <w:tcPr>
            <w:tcW w:w="2410" w:type="dxa"/>
            <w:vAlign w:val="center"/>
          </w:tcPr>
          <w:p w14:paraId="06821B35" w14:textId="77777777" w:rsidR="00304132" w:rsidRPr="00AC3044" w:rsidRDefault="00304132" w:rsidP="00CD5E09">
            <w:pPr>
              <w:rPr>
                <w:rFonts w:eastAsia="SimSun"/>
              </w:rPr>
            </w:pPr>
            <w:r w:rsidRPr="00AC3044">
              <w:rPr>
                <w:rFonts w:eastAsia="SimSun"/>
              </w:rPr>
              <w:t>В/в, в течение 2 часов</w:t>
            </w:r>
          </w:p>
        </w:tc>
      </w:tr>
    </w:tbl>
    <w:p w14:paraId="52920D89" w14:textId="77777777" w:rsidR="00304132" w:rsidRDefault="00304132" w:rsidP="00304132">
      <w:pPr>
        <w:rPr>
          <w:rFonts w:eastAsia="SimSun"/>
        </w:rPr>
      </w:pPr>
      <w:bookmarkStart w:id="370" w:name="_Toc44401231"/>
    </w:p>
    <w:p w14:paraId="481E1344" w14:textId="77777777" w:rsidR="00304132" w:rsidRPr="00C07B2E" w:rsidRDefault="00304132" w:rsidP="00304132">
      <w:pPr>
        <w:rPr>
          <w:rFonts w:eastAsia="SimSun"/>
        </w:rPr>
      </w:pPr>
      <w:r w:rsidRPr="00EE51B1">
        <w:rPr>
          <w:rFonts w:eastAsia="SimSun"/>
        </w:rPr>
        <w:t>Таблица</w:t>
      </w:r>
      <w:r w:rsidRPr="00C07B2E">
        <w:rPr>
          <w:rFonts w:eastAsia="SimSun"/>
        </w:rPr>
        <w:t xml:space="preserve"> </w:t>
      </w:r>
      <w:r>
        <w:rPr>
          <w:rFonts w:eastAsia="SimSun"/>
        </w:rPr>
        <w:t>5.</w:t>
      </w:r>
      <w:r w:rsidRPr="00C07B2E">
        <w:rPr>
          <w:rFonts w:eastAsia="SimSun"/>
        </w:rPr>
        <w:t>3.1.6  – Flu180+Bu8 / PT-Cy+Tx+MMF45</w:t>
      </w:r>
      <w:bookmarkEnd w:id="370"/>
    </w:p>
    <w:tbl>
      <w:tblPr>
        <w:tblW w:w="964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5"/>
        <w:gridCol w:w="1559"/>
        <w:gridCol w:w="1418"/>
        <w:gridCol w:w="1559"/>
        <w:gridCol w:w="1559"/>
        <w:gridCol w:w="2410"/>
      </w:tblGrid>
      <w:tr w:rsidR="00304132" w:rsidRPr="00AC3044" w14:paraId="1C9E4DBE" w14:textId="77777777" w:rsidTr="00CD5E09">
        <w:trPr>
          <w:cantSplit/>
          <w:trHeight w:val="20"/>
          <w:tblHeader/>
        </w:trPr>
        <w:tc>
          <w:tcPr>
            <w:tcW w:w="1135" w:type="dxa"/>
            <w:vAlign w:val="center"/>
          </w:tcPr>
          <w:p w14:paraId="44D5F105" w14:textId="77777777" w:rsidR="00304132" w:rsidRPr="006A5E21" w:rsidRDefault="00304132" w:rsidP="00CD5E09">
            <w:pPr>
              <w:rPr>
                <w:rFonts w:eastAsia="SimSun"/>
              </w:rPr>
            </w:pPr>
          </w:p>
        </w:tc>
        <w:tc>
          <w:tcPr>
            <w:tcW w:w="1559" w:type="dxa"/>
            <w:vAlign w:val="center"/>
          </w:tcPr>
          <w:p w14:paraId="5E8C1412" w14:textId="77777777" w:rsidR="00304132" w:rsidRPr="00AC3044" w:rsidRDefault="00304132" w:rsidP="00CD5E09">
            <w:pPr>
              <w:rPr>
                <w:rFonts w:eastAsia="SimSun"/>
              </w:rPr>
            </w:pPr>
            <w:r w:rsidRPr="00AC3044">
              <w:rPr>
                <w:rFonts w:eastAsia="SimSun"/>
              </w:rPr>
              <w:t>Препарат</w:t>
            </w:r>
          </w:p>
        </w:tc>
        <w:tc>
          <w:tcPr>
            <w:tcW w:w="1418" w:type="dxa"/>
            <w:vAlign w:val="center"/>
          </w:tcPr>
          <w:p w14:paraId="3EEAECC7" w14:textId="77777777" w:rsidR="00304132" w:rsidRPr="00AC3044" w:rsidRDefault="00304132" w:rsidP="00CD5E09">
            <w:pPr>
              <w:rPr>
                <w:rFonts w:eastAsia="SimSun"/>
              </w:rPr>
            </w:pPr>
            <w:r w:rsidRPr="00AC3044">
              <w:rPr>
                <w:rFonts w:eastAsia="SimSun"/>
              </w:rPr>
              <w:t>Суточная доза</w:t>
            </w:r>
          </w:p>
        </w:tc>
        <w:tc>
          <w:tcPr>
            <w:tcW w:w="1559" w:type="dxa"/>
            <w:vAlign w:val="center"/>
          </w:tcPr>
          <w:p w14:paraId="558A59E5" w14:textId="77777777" w:rsidR="00304132" w:rsidRPr="00AC3044" w:rsidRDefault="00304132" w:rsidP="00CD5E09">
            <w:pPr>
              <w:rPr>
                <w:rFonts w:eastAsia="SimSun"/>
              </w:rPr>
            </w:pPr>
            <w:r w:rsidRPr="00AC3044">
              <w:rPr>
                <w:rFonts w:eastAsia="SimSun"/>
              </w:rPr>
              <w:t>Курсовая доза</w:t>
            </w:r>
          </w:p>
        </w:tc>
        <w:tc>
          <w:tcPr>
            <w:tcW w:w="1559" w:type="dxa"/>
            <w:vAlign w:val="center"/>
          </w:tcPr>
          <w:p w14:paraId="37A78A99" w14:textId="77777777" w:rsidR="00304132" w:rsidRPr="00AC3044" w:rsidRDefault="00304132" w:rsidP="00CD5E09">
            <w:pPr>
              <w:rPr>
                <w:rFonts w:eastAsia="SimSun"/>
              </w:rPr>
            </w:pPr>
            <w:r w:rsidRPr="00AC3044">
              <w:rPr>
                <w:rFonts w:eastAsia="SimSun"/>
              </w:rPr>
              <w:t>Дни введения</w:t>
            </w:r>
          </w:p>
        </w:tc>
        <w:tc>
          <w:tcPr>
            <w:tcW w:w="2410" w:type="dxa"/>
            <w:vAlign w:val="center"/>
          </w:tcPr>
          <w:p w14:paraId="317CD258" w14:textId="77777777" w:rsidR="00304132" w:rsidRPr="00AC3044" w:rsidRDefault="00304132" w:rsidP="00CD5E09">
            <w:pPr>
              <w:rPr>
                <w:rFonts w:eastAsia="SimSun"/>
              </w:rPr>
            </w:pPr>
            <w:r w:rsidRPr="00AC3044">
              <w:rPr>
                <w:rFonts w:eastAsia="SimSun"/>
              </w:rPr>
              <w:t>Порядок введения</w:t>
            </w:r>
          </w:p>
        </w:tc>
      </w:tr>
      <w:tr w:rsidR="00304132" w:rsidRPr="00AC3044" w14:paraId="35953C85" w14:textId="77777777" w:rsidTr="00CD5E09">
        <w:trPr>
          <w:cantSplit/>
          <w:trHeight w:val="20"/>
        </w:trPr>
        <w:tc>
          <w:tcPr>
            <w:tcW w:w="1135" w:type="dxa"/>
            <w:vMerge w:val="restart"/>
            <w:textDirection w:val="btLr"/>
            <w:vAlign w:val="center"/>
          </w:tcPr>
          <w:p w14:paraId="0019285A" w14:textId="77777777" w:rsidR="00304132" w:rsidRPr="00AC3044" w:rsidRDefault="00304132" w:rsidP="00CD5E09">
            <w:pPr>
              <w:rPr>
                <w:rFonts w:eastAsia="SimSun"/>
              </w:rPr>
            </w:pPr>
            <w:r w:rsidRPr="00AC3044">
              <w:rPr>
                <w:rFonts w:eastAsia="SimSun"/>
              </w:rPr>
              <w:t>Кондиционирование</w:t>
            </w:r>
          </w:p>
        </w:tc>
        <w:tc>
          <w:tcPr>
            <w:tcW w:w="1559" w:type="dxa"/>
            <w:vAlign w:val="center"/>
          </w:tcPr>
          <w:p w14:paraId="602DAC41" w14:textId="77777777" w:rsidR="00304132" w:rsidRPr="00AC3044" w:rsidRDefault="00304132" w:rsidP="00CD5E09">
            <w:pPr>
              <w:rPr>
                <w:rFonts w:eastAsia="SimSun"/>
              </w:rPr>
            </w:pPr>
            <w:r w:rsidRPr="00AC3044">
              <w:rPr>
                <w:rFonts w:eastAsia="SimSun"/>
              </w:rPr>
              <w:t xml:space="preserve">Флударабин </w:t>
            </w:r>
          </w:p>
        </w:tc>
        <w:tc>
          <w:tcPr>
            <w:tcW w:w="1418" w:type="dxa"/>
            <w:vAlign w:val="center"/>
          </w:tcPr>
          <w:p w14:paraId="53363638" w14:textId="77777777" w:rsidR="00304132" w:rsidRPr="00AC3044" w:rsidRDefault="00304132" w:rsidP="00CD5E09">
            <w:pPr>
              <w:rPr>
                <w:rFonts w:eastAsia="SimSun"/>
              </w:rPr>
            </w:pPr>
            <w:r w:rsidRPr="00AC3044">
              <w:rPr>
                <w:rFonts w:eastAsia="SimSun"/>
              </w:rPr>
              <w:t>30 мг/м</w:t>
            </w:r>
            <w:r w:rsidRPr="0074195F">
              <w:rPr>
                <w:rFonts w:eastAsia="SimSun"/>
                <w:vertAlign w:val="superscript"/>
              </w:rPr>
              <w:t>2</w:t>
            </w:r>
          </w:p>
        </w:tc>
        <w:tc>
          <w:tcPr>
            <w:tcW w:w="1559" w:type="dxa"/>
            <w:vAlign w:val="center"/>
          </w:tcPr>
          <w:p w14:paraId="61CAEC71" w14:textId="77777777" w:rsidR="00304132" w:rsidRPr="00AC3044" w:rsidRDefault="00304132" w:rsidP="00CD5E09">
            <w:pPr>
              <w:rPr>
                <w:rFonts w:eastAsia="SimSun"/>
              </w:rPr>
            </w:pPr>
            <w:r w:rsidRPr="00AC3044">
              <w:rPr>
                <w:rFonts w:eastAsia="SimSun"/>
              </w:rPr>
              <w:t>180 мг/м</w:t>
            </w:r>
            <w:r w:rsidRPr="0074195F">
              <w:rPr>
                <w:rFonts w:eastAsia="SimSun"/>
                <w:vertAlign w:val="superscript"/>
              </w:rPr>
              <w:t>2</w:t>
            </w:r>
          </w:p>
        </w:tc>
        <w:tc>
          <w:tcPr>
            <w:tcW w:w="1559" w:type="dxa"/>
            <w:vAlign w:val="center"/>
          </w:tcPr>
          <w:p w14:paraId="40DD8CAF" w14:textId="77777777" w:rsidR="00304132" w:rsidRPr="00AC3044" w:rsidRDefault="00304132" w:rsidP="00CD5E09">
            <w:pPr>
              <w:rPr>
                <w:rFonts w:eastAsia="SimSun"/>
              </w:rPr>
            </w:pPr>
            <w:r w:rsidRPr="00AC3044">
              <w:rPr>
                <w:rFonts w:eastAsia="SimSun"/>
              </w:rPr>
              <w:t>С -7 дня по -2 день</w:t>
            </w:r>
          </w:p>
        </w:tc>
        <w:tc>
          <w:tcPr>
            <w:tcW w:w="2410" w:type="dxa"/>
            <w:vAlign w:val="center"/>
          </w:tcPr>
          <w:p w14:paraId="0E6AE30E" w14:textId="77777777" w:rsidR="00304132" w:rsidRPr="00AC3044" w:rsidRDefault="00304132" w:rsidP="00CD5E09">
            <w:pPr>
              <w:rPr>
                <w:rFonts w:eastAsia="SimSun"/>
              </w:rPr>
            </w:pPr>
            <w:r w:rsidRPr="00AC3044">
              <w:rPr>
                <w:rFonts w:eastAsia="SimSun"/>
              </w:rPr>
              <w:t>В/в, в течение 30 -60 мин</w:t>
            </w:r>
          </w:p>
        </w:tc>
      </w:tr>
      <w:tr w:rsidR="00304132" w:rsidRPr="00AC3044" w14:paraId="1746A986" w14:textId="77777777" w:rsidTr="00CD5E09">
        <w:trPr>
          <w:cantSplit/>
          <w:trHeight w:val="436"/>
        </w:trPr>
        <w:tc>
          <w:tcPr>
            <w:tcW w:w="1135" w:type="dxa"/>
            <w:vMerge/>
            <w:vAlign w:val="center"/>
          </w:tcPr>
          <w:p w14:paraId="393F8924" w14:textId="77777777" w:rsidR="00304132" w:rsidRPr="00AC3044" w:rsidRDefault="00304132" w:rsidP="00CD5E09">
            <w:pPr>
              <w:rPr>
                <w:rFonts w:eastAsia="SimSun"/>
              </w:rPr>
            </w:pPr>
          </w:p>
        </w:tc>
        <w:tc>
          <w:tcPr>
            <w:tcW w:w="1559" w:type="dxa"/>
            <w:vAlign w:val="center"/>
          </w:tcPr>
          <w:p w14:paraId="557D0737" w14:textId="77777777" w:rsidR="00304132" w:rsidRPr="00AC3044" w:rsidRDefault="00304132" w:rsidP="00CD5E09">
            <w:pPr>
              <w:rPr>
                <w:rFonts w:eastAsia="SimSun"/>
              </w:rPr>
            </w:pPr>
            <w:r w:rsidRPr="00AC3044">
              <w:rPr>
                <w:rFonts w:eastAsia="SimSun"/>
              </w:rPr>
              <w:t>Бусульфан</w:t>
            </w:r>
          </w:p>
        </w:tc>
        <w:tc>
          <w:tcPr>
            <w:tcW w:w="1418" w:type="dxa"/>
            <w:vAlign w:val="center"/>
          </w:tcPr>
          <w:p w14:paraId="388A9A5A" w14:textId="77777777" w:rsidR="00304132" w:rsidRPr="00AC3044" w:rsidRDefault="00304132" w:rsidP="00CD5E09">
            <w:pPr>
              <w:rPr>
                <w:rFonts w:eastAsia="SimSun"/>
              </w:rPr>
            </w:pPr>
            <w:r w:rsidRPr="00AC3044">
              <w:rPr>
                <w:rFonts w:eastAsia="SimSun"/>
              </w:rPr>
              <w:t xml:space="preserve">4 мг/кг </w:t>
            </w:r>
          </w:p>
        </w:tc>
        <w:tc>
          <w:tcPr>
            <w:tcW w:w="1559" w:type="dxa"/>
            <w:vAlign w:val="center"/>
          </w:tcPr>
          <w:p w14:paraId="38505293" w14:textId="77777777" w:rsidR="00304132" w:rsidRPr="00AC3044" w:rsidRDefault="00304132" w:rsidP="00CD5E09">
            <w:pPr>
              <w:rPr>
                <w:rFonts w:eastAsia="SimSun"/>
              </w:rPr>
            </w:pPr>
            <w:r w:rsidRPr="00AC3044">
              <w:rPr>
                <w:rFonts w:eastAsia="SimSun"/>
              </w:rPr>
              <w:t xml:space="preserve">8 мг/кг </w:t>
            </w:r>
          </w:p>
        </w:tc>
        <w:tc>
          <w:tcPr>
            <w:tcW w:w="1559" w:type="dxa"/>
            <w:vAlign w:val="center"/>
          </w:tcPr>
          <w:p w14:paraId="7C7CB01C" w14:textId="77777777" w:rsidR="00304132" w:rsidRPr="00AC3044" w:rsidRDefault="00304132" w:rsidP="00CD5E09">
            <w:pPr>
              <w:rPr>
                <w:rFonts w:eastAsia="SimSun"/>
              </w:rPr>
            </w:pPr>
            <w:r w:rsidRPr="00AC3044">
              <w:rPr>
                <w:rFonts w:eastAsia="SimSun"/>
              </w:rPr>
              <w:t>С -4 дня по -3 день</w:t>
            </w:r>
          </w:p>
        </w:tc>
        <w:tc>
          <w:tcPr>
            <w:tcW w:w="2410" w:type="dxa"/>
            <w:vAlign w:val="center"/>
          </w:tcPr>
          <w:p w14:paraId="567D12CA" w14:textId="77777777" w:rsidR="00304132" w:rsidRPr="00AC3044" w:rsidRDefault="00304132" w:rsidP="00CD5E09">
            <w:pPr>
              <w:rPr>
                <w:rFonts w:eastAsia="SimSun"/>
              </w:rPr>
            </w:pPr>
            <w:r w:rsidRPr="00AC3044">
              <w:rPr>
                <w:rFonts w:eastAsia="SimSun"/>
              </w:rPr>
              <w:t xml:space="preserve">Внутрь, суммарная суточная доза разделяется на 4 приема с интервалом 6 часов. </w:t>
            </w:r>
          </w:p>
        </w:tc>
      </w:tr>
      <w:tr w:rsidR="00304132" w:rsidRPr="00AC3044" w14:paraId="7AB359D8" w14:textId="77777777" w:rsidTr="00CD5E09">
        <w:trPr>
          <w:cantSplit/>
          <w:trHeight w:val="416"/>
        </w:trPr>
        <w:tc>
          <w:tcPr>
            <w:tcW w:w="1135" w:type="dxa"/>
            <w:vMerge w:val="restart"/>
            <w:textDirection w:val="btLr"/>
            <w:vAlign w:val="center"/>
          </w:tcPr>
          <w:p w14:paraId="0CE240DD" w14:textId="77777777" w:rsidR="00304132" w:rsidRPr="00AC3044" w:rsidRDefault="00304132" w:rsidP="00CD5E09">
            <w:pPr>
              <w:rPr>
                <w:rFonts w:eastAsia="SimSun"/>
              </w:rPr>
            </w:pPr>
            <w:r w:rsidRPr="00AC3044">
              <w:rPr>
                <w:rFonts w:eastAsia="SimSun"/>
              </w:rPr>
              <w:t>Профилактика РТПХ</w:t>
            </w:r>
          </w:p>
        </w:tc>
        <w:tc>
          <w:tcPr>
            <w:tcW w:w="1559" w:type="dxa"/>
            <w:vAlign w:val="center"/>
          </w:tcPr>
          <w:p w14:paraId="5EDF2730" w14:textId="77777777" w:rsidR="00304132" w:rsidRPr="00AC3044" w:rsidRDefault="00304132" w:rsidP="00CD5E09">
            <w:pPr>
              <w:rPr>
                <w:rFonts w:eastAsia="SimSun"/>
              </w:rPr>
            </w:pPr>
            <w:r w:rsidRPr="00AC3044">
              <w:rPr>
                <w:rFonts w:eastAsia="SimSun"/>
              </w:rPr>
              <w:t>Циклофосфамид</w:t>
            </w:r>
          </w:p>
        </w:tc>
        <w:tc>
          <w:tcPr>
            <w:tcW w:w="1418" w:type="dxa"/>
            <w:vAlign w:val="center"/>
          </w:tcPr>
          <w:p w14:paraId="31EF5287" w14:textId="77777777" w:rsidR="00304132" w:rsidRPr="00AC3044" w:rsidRDefault="00304132" w:rsidP="00CD5E09">
            <w:pPr>
              <w:rPr>
                <w:rFonts w:eastAsia="SimSun"/>
              </w:rPr>
            </w:pPr>
            <w:r w:rsidRPr="00AC3044">
              <w:rPr>
                <w:rFonts w:eastAsia="SimSun"/>
              </w:rPr>
              <w:t>50 мг/кг</w:t>
            </w:r>
          </w:p>
        </w:tc>
        <w:tc>
          <w:tcPr>
            <w:tcW w:w="1559" w:type="dxa"/>
            <w:vAlign w:val="center"/>
          </w:tcPr>
          <w:p w14:paraId="453DC2B5" w14:textId="77777777" w:rsidR="00304132" w:rsidRPr="00AC3044" w:rsidRDefault="00304132" w:rsidP="00CD5E09">
            <w:pPr>
              <w:rPr>
                <w:rFonts w:eastAsia="SimSun"/>
              </w:rPr>
            </w:pPr>
            <w:r w:rsidRPr="00AC3044">
              <w:rPr>
                <w:rFonts w:eastAsia="SimSun"/>
              </w:rPr>
              <w:t>100 мг/кг</w:t>
            </w:r>
          </w:p>
        </w:tc>
        <w:tc>
          <w:tcPr>
            <w:tcW w:w="1559" w:type="dxa"/>
            <w:vAlign w:val="center"/>
          </w:tcPr>
          <w:p w14:paraId="6D638666" w14:textId="77777777" w:rsidR="00304132" w:rsidRPr="00AC3044" w:rsidRDefault="00304132" w:rsidP="00CD5E09">
            <w:pPr>
              <w:rPr>
                <w:rFonts w:eastAsia="SimSun"/>
              </w:rPr>
            </w:pPr>
            <w:r w:rsidRPr="00AC3044">
              <w:rPr>
                <w:rFonts w:eastAsia="SimSun"/>
              </w:rPr>
              <w:t>С +3 дня по +4 день</w:t>
            </w:r>
          </w:p>
        </w:tc>
        <w:tc>
          <w:tcPr>
            <w:tcW w:w="2410" w:type="dxa"/>
            <w:vAlign w:val="center"/>
          </w:tcPr>
          <w:p w14:paraId="1E27DF6F" w14:textId="77777777" w:rsidR="00304132" w:rsidRPr="00AC3044" w:rsidRDefault="00304132" w:rsidP="00CD5E09">
            <w:pPr>
              <w:rPr>
                <w:rFonts w:eastAsia="SimSun"/>
              </w:rPr>
            </w:pPr>
            <w:r w:rsidRPr="00AC3044">
              <w:rPr>
                <w:rFonts w:eastAsia="SimSun"/>
              </w:rPr>
              <w:t>В/в, в течение 2 часов</w:t>
            </w:r>
          </w:p>
        </w:tc>
      </w:tr>
      <w:tr w:rsidR="00304132" w:rsidRPr="00AC3044" w14:paraId="19692E26" w14:textId="77777777" w:rsidTr="00CD5E09">
        <w:trPr>
          <w:cantSplit/>
          <w:trHeight w:val="958"/>
        </w:trPr>
        <w:tc>
          <w:tcPr>
            <w:tcW w:w="1135" w:type="dxa"/>
            <w:vMerge/>
            <w:textDirection w:val="btLr"/>
            <w:vAlign w:val="center"/>
          </w:tcPr>
          <w:p w14:paraId="4D8AC055" w14:textId="77777777" w:rsidR="00304132" w:rsidRPr="00AC3044" w:rsidRDefault="00304132" w:rsidP="00CD5E09">
            <w:pPr>
              <w:rPr>
                <w:rFonts w:eastAsia="SimSun"/>
              </w:rPr>
            </w:pPr>
          </w:p>
        </w:tc>
        <w:tc>
          <w:tcPr>
            <w:tcW w:w="1559" w:type="dxa"/>
            <w:vAlign w:val="center"/>
          </w:tcPr>
          <w:p w14:paraId="5F01694C" w14:textId="77777777" w:rsidR="00304132" w:rsidRPr="00AC3044" w:rsidRDefault="00304132" w:rsidP="00CD5E09">
            <w:pPr>
              <w:rPr>
                <w:rFonts w:eastAsia="SimSun"/>
              </w:rPr>
            </w:pPr>
            <w:r w:rsidRPr="00AC3044">
              <w:rPr>
                <w:rFonts w:eastAsia="SimSun"/>
              </w:rPr>
              <w:t xml:space="preserve">Такролимус </w:t>
            </w:r>
          </w:p>
        </w:tc>
        <w:tc>
          <w:tcPr>
            <w:tcW w:w="1418" w:type="dxa"/>
            <w:vAlign w:val="center"/>
          </w:tcPr>
          <w:p w14:paraId="54318271" w14:textId="77777777" w:rsidR="00304132" w:rsidRPr="00AC3044" w:rsidRDefault="00304132" w:rsidP="00CD5E09">
            <w:pPr>
              <w:rPr>
                <w:rFonts w:eastAsia="SimSun"/>
              </w:rPr>
            </w:pPr>
            <w:r w:rsidRPr="00AC3044">
              <w:rPr>
                <w:rFonts w:eastAsia="SimSun"/>
              </w:rPr>
              <w:t>0,03 мг/кг</w:t>
            </w:r>
          </w:p>
        </w:tc>
        <w:tc>
          <w:tcPr>
            <w:tcW w:w="1559" w:type="dxa"/>
            <w:vAlign w:val="center"/>
          </w:tcPr>
          <w:p w14:paraId="0A66103B" w14:textId="77777777" w:rsidR="00304132" w:rsidRPr="00AC3044" w:rsidRDefault="00304132" w:rsidP="00CD5E09">
            <w:pPr>
              <w:rPr>
                <w:rFonts w:eastAsia="SimSun"/>
              </w:rPr>
            </w:pPr>
            <w:r w:rsidRPr="00AC3044">
              <w:rPr>
                <w:rFonts w:eastAsia="SimSun"/>
              </w:rPr>
              <w:t>–</w:t>
            </w:r>
          </w:p>
        </w:tc>
        <w:tc>
          <w:tcPr>
            <w:tcW w:w="1559" w:type="dxa"/>
            <w:vAlign w:val="center"/>
          </w:tcPr>
          <w:p w14:paraId="08895F7C" w14:textId="77777777" w:rsidR="00304132" w:rsidRPr="00AC3044" w:rsidRDefault="00304132" w:rsidP="00CD5E09">
            <w:pPr>
              <w:rPr>
                <w:rFonts w:eastAsia="SimSun"/>
              </w:rPr>
            </w:pPr>
            <w:r w:rsidRPr="00AC3044">
              <w:rPr>
                <w:rFonts w:eastAsia="SimSun"/>
              </w:rPr>
              <w:t xml:space="preserve">С +5 дня длительно </w:t>
            </w:r>
          </w:p>
        </w:tc>
        <w:tc>
          <w:tcPr>
            <w:tcW w:w="2410" w:type="dxa"/>
            <w:vAlign w:val="center"/>
          </w:tcPr>
          <w:p w14:paraId="1920C66E" w14:textId="77777777" w:rsidR="00304132" w:rsidRPr="00AC3044" w:rsidRDefault="00304132" w:rsidP="00CD5E09">
            <w:pPr>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w:t>
            </w:r>
            <w:r w:rsidRPr="00AC3044">
              <w:rPr>
                <w:rFonts w:eastAsia="SimSun"/>
              </w:rPr>
              <w:t xml:space="preserve"> 10</w:t>
            </w:r>
            <w:r w:rsidRPr="0074195F">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304132" w:rsidRPr="00AC3044" w14:paraId="6A4CC971" w14:textId="77777777" w:rsidTr="00CD5E09">
        <w:trPr>
          <w:cantSplit/>
          <w:trHeight w:val="508"/>
        </w:trPr>
        <w:tc>
          <w:tcPr>
            <w:tcW w:w="1135" w:type="dxa"/>
            <w:vMerge/>
            <w:textDirection w:val="btLr"/>
            <w:vAlign w:val="center"/>
          </w:tcPr>
          <w:p w14:paraId="731C2684" w14:textId="77777777" w:rsidR="00304132" w:rsidRPr="00AC3044" w:rsidRDefault="00304132" w:rsidP="00CD5E09">
            <w:pPr>
              <w:rPr>
                <w:rFonts w:eastAsia="SimSun"/>
              </w:rPr>
            </w:pPr>
          </w:p>
        </w:tc>
        <w:tc>
          <w:tcPr>
            <w:tcW w:w="1559" w:type="dxa"/>
            <w:vAlign w:val="center"/>
          </w:tcPr>
          <w:p w14:paraId="19FE976F" w14:textId="77777777" w:rsidR="00304132" w:rsidRPr="00AC3044" w:rsidRDefault="00304132" w:rsidP="00CD5E09">
            <w:pPr>
              <w:rPr>
                <w:rFonts w:eastAsia="SimSun"/>
              </w:rPr>
            </w:pPr>
            <w:r w:rsidRPr="00AC3044">
              <w:rPr>
                <w:rFonts w:eastAsia="SimSun"/>
              </w:rPr>
              <w:t>Микофенолата мофетил</w:t>
            </w:r>
          </w:p>
        </w:tc>
        <w:tc>
          <w:tcPr>
            <w:tcW w:w="1418" w:type="dxa"/>
            <w:vAlign w:val="center"/>
          </w:tcPr>
          <w:p w14:paraId="57042C01" w14:textId="77777777" w:rsidR="00304132" w:rsidRPr="00AC3044" w:rsidRDefault="00304132" w:rsidP="00CD5E09">
            <w:pPr>
              <w:rPr>
                <w:rFonts w:eastAsia="SimSun"/>
              </w:rPr>
            </w:pPr>
            <w:r w:rsidRPr="00AC3044">
              <w:rPr>
                <w:rFonts w:eastAsia="SimSun"/>
              </w:rPr>
              <w:t xml:space="preserve">45 мг/кг </w:t>
            </w:r>
          </w:p>
        </w:tc>
        <w:tc>
          <w:tcPr>
            <w:tcW w:w="1559" w:type="dxa"/>
            <w:vAlign w:val="center"/>
          </w:tcPr>
          <w:p w14:paraId="5619026C" w14:textId="77777777" w:rsidR="00304132" w:rsidRPr="00AC3044" w:rsidRDefault="00304132" w:rsidP="00CD5E09">
            <w:pPr>
              <w:rPr>
                <w:rFonts w:eastAsia="SimSun"/>
              </w:rPr>
            </w:pPr>
            <w:r w:rsidRPr="00AC3044">
              <w:rPr>
                <w:rFonts w:eastAsia="SimSun"/>
              </w:rPr>
              <w:t>–</w:t>
            </w:r>
          </w:p>
        </w:tc>
        <w:tc>
          <w:tcPr>
            <w:tcW w:w="1559" w:type="dxa"/>
            <w:vAlign w:val="center"/>
          </w:tcPr>
          <w:p w14:paraId="187EBDD5" w14:textId="77777777" w:rsidR="00304132" w:rsidRPr="00AC3044" w:rsidRDefault="00304132" w:rsidP="00CD5E09">
            <w:pPr>
              <w:rPr>
                <w:rFonts w:eastAsia="SimSun"/>
              </w:rPr>
            </w:pPr>
            <w:r w:rsidRPr="00AC3044">
              <w:rPr>
                <w:rFonts w:eastAsia="SimSun"/>
              </w:rPr>
              <w:t xml:space="preserve">С +5 дня по +35 день </w:t>
            </w:r>
          </w:p>
        </w:tc>
        <w:tc>
          <w:tcPr>
            <w:tcW w:w="2410" w:type="dxa"/>
            <w:vAlign w:val="center"/>
          </w:tcPr>
          <w:p w14:paraId="51454AA0" w14:textId="77777777" w:rsidR="00304132" w:rsidRPr="00AC3044" w:rsidRDefault="00304132" w:rsidP="00CD5E09">
            <w:pPr>
              <w:rPr>
                <w:rFonts w:eastAsia="SimSun"/>
              </w:rPr>
            </w:pPr>
            <w:r w:rsidRPr="00AC3044">
              <w:rPr>
                <w:rFonts w:eastAsia="SimSun"/>
              </w:rPr>
              <w:t xml:space="preserve">Внутрь, суммарная суточная доза разделяется на 2- 4 приема (не более 3г/сут).  </w:t>
            </w:r>
          </w:p>
        </w:tc>
      </w:tr>
    </w:tbl>
    <w:p w14:paraId="1ED8F4C8" w14:textId="77777777" w:rsidR="00304132" w:rsidRDefault="00304132" w:rsidP="00304132">
      <w:pPr>
        <w:rPr>
          <w:rFonts w:eastAsia="SimSun"/>
        </w:rPr>
      </w:pPr>
      <w:bookmarkStart w:id="371" w:name="_Toc44401232"/>
    </w:p>
    <w:p w14:paraId="04335262" w14:textId="77777777" w:rsidR="00304132" w:rsidRPr="00C07B2E" w:rsidRDefault="00304132" w:rsidP="00304132">
      <w:pPr>
        <w:rPr>
          <w:rFonts w:eastAsia="SimSun"/>
        </w:rPr>
      </w:pPr>
      <w:r w:rsidRPr="00EE51B1">
        <w:rPr>
          <w:rFonts w:eastAsia="SimSun"/>
        </w:rPr>
        <w:t>Таблица</w:t>
      </w:r>
      <w:r w:rsidRPr="00C07B2E">
        <w:rPr>
          <w:rFonts w:eastAsia="SimSun"/>
        </w:rPr>
        <w:t xml:space="preserve"> </w:t>
      </w:r>
      <w:r>
        <w:rPr>
          <w:rFonts w:eastAsia="SimSun"/>
        </w:rPr>
        <w:t>5.</w:t>
      </w:r>
      <w:r w:rsidRPr="00C07B2E">
        <w:rPr>
          <w:rFonts w:eastAsia="SimSun"/>
        </w:rPr>
        <w:t>3.1.7  – Flu180+Bu10 / PT-Cy+Tx+MMF45</w:t>
      </w:r>
      <w:bookmarkEnd w:id="371"/>
    </w:p>
    <w:tbl>
      <w:tblPr>
        <w:tblW w:w="964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5"/>
        <w:gridCol w:w="1559"/>
        <w:gridCol w:w="1418"/>
        <w:gridCol w:w="1559"/>
        <w:gridCol w:w="1559"/>
        <w:gridCol w:w="2410"/>
      </w:tblGrid>
      <w:tr w:rsidR="00304132" w:rsidRPr="00AC3044" w14:paraId="56B681E3" w14:textId="77777777" w:rsidTr="00CD5E09">
        <w:trPr>
          <w:cantSplit/>
          <w:trHeight w:val="20"/>
          <w:tblHeader/>
        </w:trPr>
        <w:tc>
          <w:tcPr>
            <w:tcW w:w="1135" w:type="dxa"/>
            <w:vAlign w:val="center"/>
          </w:tcPr>
          <w:p w14:paraId="3FEC3625" w14:textId="77777777" w:rsidR="00304132" w:rsidRPr="006A5E21" w:rsidRDefault="00304132" w:rsidP="00CD5E09">
            <w:pPr>
              <w:rPr>
                <w:rFonts w:eastAsia="SimSun"/>
              </w:rPr>
            </w:pPr>
          </w:p>
        </w:tc>
        <w:tc>
          <w:tcPr>
            <w:tcW w:w="1559" w:type="dxa"/>
            <w:vAlign w:val="center"/>
          </w:tcPr>
          <w:p w14:paraId="63E5FA4A" w14:textId="77777777" w:rsidR="00304132" w:rsidRPr="00AC3044" w:rsidRDefault="00304132" w:rsidP="00CD5E09">
            <w:pPr>
              <w:rPr>
                <w:rFonts w:eastAsia="SimSun"/>
              </w:rPr>
            </w:pPr>
            <w:r w:rsidRPr="00AC3044">
              <w:rPr>
                <w:rFonts w:eastAsia="SimSun"/>
              </w:rPr>
              <w:t>Препарат</w:t>
            </w:r>
          </w:p>
        </w:tc>
        <w:tc>
          <w:tcPr>
            <w:tcW w:w="1418" w:type="dxa"/>
            <w:vAlign w:val="center"/>
          </w:tcPr>
          <w:p w14:paraId="08BFC25A" w14:textId="77777777" w:rsidR="00304132" w:rsidRPr="00AC3044" w:rsidRDefault="00304132" w:rsidP="00CD5E09">
            <w:pPr>
              <w:rPr>
                <w:rFonts w:eastAsia="SimSun"/>
              </w:rPr>
            </w:pPr>
            <w:r w:rsidRPr="00AC3044">
              <w:rPr>
                <w:rFonts w:eastAsia="SimSun"/>
              </w:rPr>
              <w:t>Суточная доза</w:t>
            </w:r>
          </w:p>
        </w:tc>
        <w:tc>
          <w:tcPr>
            <w:tcW w:w="1559" w:type="dxa"/>
            <w:vAlign w:val="center"/>
          </w:tcPr>
          <w:p w14:paraId="3F8FA587" w14:textId="77777777" w:rsidR="00304132" w:rsidRPr="00AC3044" w:rsidRDefault="00304132" w:rsidP="00CD5E09">
            <w:pPr>
              <w:rPr>
                <w:rFonts w:eastAsia="SimSun"/>
              </w:rPr>
            </w:pPr>
            <w:r w:rsidRPr="00AC3044">
              <w:rPr>
                <w:rFonts w:eastAsia="SimSun"/>
              </w:rPr>
              <w:t>Курсовая доза</w:t>
            </w:r>
          </w:p>
        </w:tc>
        <w:tc>
          <w:tcPr>
            <w:tcW w:w="1559" w:type="dxa"/>
            <w:vAlign w:val="center"/>
          </w:tcPr>
          <w:p w14:paraId="04CDF3AE" w14:textId="77777777" w:rsidR="00304132" w:rsidRPr="00AC3044" w:rsidRDefault="00304132" w:rsidP="00CD5E09">
            <w:pPr>
              <w:rPr>
                <w:rFonts w:eastAsia="SimSun"/>
              </w:rPr>
            </w:pPr>
            <w:r w:rsidRPr="00AC3044">
              <w:rPr>
                <w:rFonts w:eastAsia="SimSun"/>
              </w:rPr>
              <w:t>Дни введения</w:t>
            </w:r>
          </w:p>
        </w:tc>
        <w:tc>
          <w:tcPr>
            <w:tcW w:w="2410" w:type="dxa"/>
            <w:vAlign w:val="center"/>
          </w:tcPr>
          <w:p w14:paraId="6C0A0032" w14:textId="77777777" w:rsidR="00304132" w:rsidRPr="00AC3044" w:rsidRDefault="00304132" w:rsidP="00CD5E09">
            <w:pPr>
              <w:rPr>
                <w:rFonts w:eastAsia="SimSun"/>
              </w:rPr>
            </w:pPr>
            <w:r w:rsidRPr="00AC3044">
              <w:rPr>
                <w:rFonts w:eastAsia="SimSun"/>
              </w:rPr>
              <w:t>Порядок введения</w:t>
            </w:r>
          </w:p>
        </w:tc>
      </w:tr>
      <w:tr w:rsidR="00304132" w:rsidRPr="00AC3044" w14:paraId="42F1CCD0" w14:textId="77777777" w:rsidTr="00CD5E09">
        <w:trPr>
          <w:cantSplit/>
          <w:trHeight w:val="20"/>
        </w:trPr>
        <w:tc>
          <w:tcPr>
            <w:tcW w:w="1135" w:type="dxa"/>
            <w:vMerge w:val="restart"/>
            <w:textDirection w:val="btLr"/>
            <w:vAlign w:val="center"/>
          </w:tcPr>
          <w:p w14:paraId="32A1C7E5" w14:textId="77777777" w:rsidR="00304132" w:rsidRPr="00AC3044" w:rsidRDefault="00304132" w:rsidP="00CD5E09">
            <w:pPr>
              <w:rPr>
                <w:rFonts w:eastAsia="SimSun"/>
              </w:rPr>
            </w:pPr>
            <w:r w:rsidRPr="00AC3044">
              <w:rPr>
                <w:rFonts w:eastAsia="SimSun"/>
              </w:rPr>
              <w:t>Кондиционирование</w:t>
            </w:r>
          </w:p>
        </w:tc>
        <w:tc>
          <w:tcPr>
            <w:tcW w:w="1559" w:type="dxa"/>
            <w:vAlign w:val="center"/>
          </w:tcPr>
          <w:p w14:paraId="037E5B49" w14:textId="77777777" w:rsidR="00304132" w:rsidRPr="00AC3044" w:rsidRDefault="00304132" w:rsidP="00CD5E09">
            <w:pPr>
              <w:rPr>
                <w:rFonts w:eastAsia="SimSun"/>
              </w:rPr>
            </w:pPr>
            <w:r w:rsidRPr="00AC3044">
              <w:rPr>
                <w:rFonts w:eastAsia="SimSun"/>
              </w:rPr>
              <w:t xml:space="preserve">Флударабин </w:t>
            </w:r>
          </w:p>
        </w:tc>
        <w:tc>
          <w:tcPr>
            <w:tcW w:w="1418" w:type="dxa"/>
            <w:vAlign w:val="center"/>
          </w:tcPr>
          <w:p w14:paraId="2180B0C0" w14:textId="77777777" w:rsidR="00304132" w:rsidRPr="00AC3044" w:rsidRDefault="00304132" w:rsidP="00CD5E09">
            <w:pPr>
              <w:rPr>
                <w:rFonts w:eastAsia="SimSun"/>
              </w:rPr>
            </w:pPr>
            <w:r w:rsidRPr="00AC3044">
              <w:rPr>
                <w:rFonts w:eastAsia="SimSun"/>
              </w:rPr>
              <w:t>30 мг/м</w:t>
            </w:r>
            <w:r w:rsidRPr="0074195F">
              <w:rPr>
                <w:rFonts w:eastAsia="SimSun"/>
                <w:vertAlign w:val="superscript"/>
              </w:rPr>
              <w:t>2</w:t>
            </w:r>
          </w:p>
        </w:tc>
        <w:tc>
          <w:tcPr>
            <w:tcW w:w="1559" w:type="dxa"/>
            <w:vAlign w:val="center"/>
          </w:tcPr>
          <w:p w14:paraId="61097630" w14:textId="77777777" w:rsidR="00304132" w:rsidRPr="00AC3044" w:rsidRDefault="00304132" w:rsidP="00CD5E09">
            <w:pPr>
              <w:rPr>
                <w:rFonts w:eastAsia="SimSun"/>
              </w:rPr>
            </w:pPr>
            <w:r w:rsidRPr="00AC3044">
              <w:rPr>
                <w:rFonts w:eastAsia="SimSun"/>
              </w:rPr>
              <w:t>180 мг/м</w:t>
            </w:r>
            <w:r w:rsidRPr="0074195F">
              <w:rPr>
                <w:rFonts w:eastAsia="SimSun"/>
                <w:vertAlign w:val="superscript"/>
              </w:rPr>
              <w:t>2</w:t>
            </w:r>
          </w:p>
        </w:tc>
        <w:tc>
          <w:tcPr>
            <w:tcW w:w="1559" w:type="dxa"/>
            <w:vAlign w:val="center"/>
          </w:tcPr>
          <w:p w14:paraId="4307F15E" w14:textId="77777777" w:rsidR="00304132" w:rsidRPr="00AC3044" w:rsidRDefault="00304132" w:rsidP="00CD5E09">
            <w:pPr>
              <w:rPr>
                <w:rFonts w:eastAsia="SimSun"/>
              </w:rPr>
            </w:pPr>
            <w:r w:rsidRPr="00AC3044">
              <w:rPr>
                <w:rFonts w:eastAsia="SimSun"/>
              </w:rPr>
              <w:t>С -7 дня по -2 день</w:t>
            </w:r>
          </w:p>
        </w:tc>
        <w:tc>
          <w:tcPr>
            <w:tcW w:w="2410" w:type="dxa"/>
            <w:vAlign w:val="center"/>
          </w:tcPr>
          <w:p w14:paraId="22C38C80" w14:textId="77777777" w:rsidR="00304132" w:rsidRPr="00AC3044" w:rsidRDefault="00304132" w:rsidP="00CD5E09">
            <w:pPr>
              <w:rPr>
                <w:rFonts w:eastAsia="SimSun"/>
              </w:rPr>
            </w:pPr>
            <w:r w:rsidRPr="00AC3044">
              <w:rPr>
                <w:rFonts w:eastAsia="SimSun"/>
              </w:rPr>
              <w:t>В/в, в течение 30 -60 мин</w:t>
            </w:r>
          </w:p>
        </w:tc>
      </w:tr>
      <w:tr w:rsidR="00304132" w:rsidRPr="00AC3044" w14:paraId="0684A7C4" w14:textId="77777777" w:rsidTr="00CD5E09">
        <w:trPr>
          <w:cantSplit/>
          <w:trHeight w:val="390"/>
        </w:trPr>
        <w:tc>
          <w:tcPr>
            <w:tcW w:w="1135" w:type="dxa"/>
            <w:vMerge/>
            <w:vAlign w:val="center"/>
          </w:tcPr>
          <w:p w14:paraId="514B17E3" w14:textId="77777777" w:rsidR="00304132" w:rsidRPr="00AC3044" w:rsidRDefault="00304132" w:rsidP="00CD5E09">
            <w:pPr>
              <w:rPr>
                <w:rFonts w:eastAsia="SimSun"/>
              </w:rPr>
            </w:pPr>
          </w:p>
        </w:tc>
        <w:tc>
          <w:tcPr>
            <w:tcW w:w="1559" w:type="dxa"/>
            <w:vAlign w:val="center"/>
          </w:tcPr>
          <w:p w14:paraId="48E02E84" w14:textId="77777777" w:rsidR="00304132" w:rsidRPr="00AC3044" w:rsidRDefault="00304132" w:rsidP="00CD5E09">
            <w:pPr>
              <w:rPr>
                <w:rFonts w:eastAsia="SimSun"/>
              </w:rPr>
            </w:pPr>
            <w:r w:rsidRPr="00AC3044">
              <w:rPr>
                <w:rFonts w:eastAsia="SimSun"/>
              </w:rPr>
              <w:t>Бусульфан</w:t>
            </w:r>
          </w:p>
        </w:tc>
        <w:tc>
          <w:tcPr>
            <w:tcW w:w="1418" w:type="dxa"/>
            <w:vAlign w:val="center"/>
          </w:tcPr>
          <w:p w14:paraId="5B6549A1" w14:textId="77777777" w:rsidR="00304132" w:rsidRPr="00AC3044" w:rsidRDefault="00304132" w:rsidP="00CD5E09">
            <w:pPr>
              <w:rPr>
                <w:rFonts w:eastAsia="SimSun"/>
              </w:rPr>
            </w:pPr>
            <w:r w:rsidRPr="00AC3044">
              <w:rPr>
                <w:rFonts w:eastAsia="SimSun"/>
              </w:rPr>
              <w:t xml:space="preserve">4 мг/кг </w:t>
            </w:r>
          </w:p>
        </w:tc>
        <w:tc>
          <w:tcPr>
            <w:tcW w:w="1559" w:type="dxa"/>
            <w:vAlign w:val="center"/>
          </w:tcPr>
          <w:p w14:paraId="57C690DC" w14:textId="77777777" w:rsidR="00304132" w:rsidRPr="00AC3044" w:rsidRDefault="00304132" w:rsidP="00CD5E09">
            <w:pPr>
              <w:rPr>
                <w:rFonts w:eastAsia="SimSun"/>
              </w:rPr>
            </w:pPr>
            <w:r w:rsidRPr="00AC3044">
              <w:rPr>
                <w:rFonts w:eastAsia="SimSun"/>
              </w:rPr>
              <w:t xml:space="preserve">10 мг/кг </w:t>
            </w:r>
          </w:p>
        </w:tc>
        <w:tc>
          <w:tcPr>
            <w:tcW w:w="1559" w:type="dxa"/>
            <w:vAlign w:val="center"/>
          </w:tcPr>
          <w:p w14:paraId="77B02CEC" w14:textId="77777777" w:rsidR="00304132" w:rsidRPr="00AC3044" w:rsidRDefault="00304132" w:rsidP="00CD5E09">
            <w:pPr>
              <w:rPr>
                <w:rFonts w:eastAsia="SimSun"/>
              </w:rPr>
            </w:pPr>
            <w:r w:rsidRPr="00AC3044">
              <w:rPr>
                <w:rFonts w:eastAsia="SimSun"/>
              </w:rPr>
              <w:t>С -5 дня по -3 день</w:t>
            </w:r>
          </w:p>
        </w:tc>
        <w:tc>
          <w:tcPr>
            <w:tcW w:w="2410" w:type="dxa"/>
            <w:vAlign w:val="center"/>
          </w:tcPr>
          <w:p w14:paraId="3CB8543E" w14:textId="77777777" w:rsidR="00304132" w:rsidRPr="00AC3044" w:rsidRDefault="00304132" w:rsidP="00CD5E09">
            <w:pPr>
              <w:rPr>
                <w:rFonts w:eastAsia="SimSun"/>
              </w:rPr>
            </w:pPr>
            <w:r w:rsidRPr="00AC3044">
              <w:rPr>
                <w:rFonts w:eastAsia="SimSun"/>
              </w:rPr>
              <w:t>Внутрь, суммарная суточная доза разделяется на 4 приема с интервалом 6 часов.</w:t>
            </w:r>
          </w:p>
        </w:tc>
      </w:tr>
      <w:tr w:rsidR="00304132" w:rsidRPr="00AC3044" w14:paraId="0DC948A7" w14:textId="77777777" w:rsidTr="00CD5E09">
        <w:trPr>
          <w:cantSplit/>
          <w:trHeight w:val="1498"/>
        </w:trPr>
        <w:tc>
          <w:tcPr>
            <w:tcW w:w="1135" w:type="dxa"/>
            <w:vMerge w:val="restart"/>
            <w:textDirection w:val="btLr"/>
            <w:vAlign w:val="center"/>
          </w:tcPr>
          <w:p w14:paraId="2A24CA7E" w14:textId="77777777" w:rsidR="00304132" w:rsidRPr="00AC3044" w:rsidRDefault="00304132" w:rsidP="00CD5E09">
            <w:pPr>
              <w:rPr>
                <w:rFonts w:eastAsia="SimSun"/>
              </w:rPr>
            </w:pPr>
            <w:r w:rsidRPr="00AC3044">
              <w:rPr>
                <w:rFonts w:eastAsia="SimSun"/>
              </w:rPr>
              <w:t>Профилактика РТПХ</w:t>
            </w:r>
          </w:p>
        </w:tc>
        <w:tc>
          <w:tcPr>
            <w:tcW w:w="1559" w:type="dxa"/>
            <w:vAlign w:val="center"/>
          </w:tcPr>
          <w:p w14:paraId="607917C4" w14:textId="77777777" w:rsidR="00304132" w:rsidRPr="00AC3044" w:rsidRDefault="00304132" w:rsidP="00CD5E09">
            <w:pPr>
              <w:rPr>
                <w:rFonts w:eastAsia="SimSun"/>
              </w:rPr>
            </w:pPr>
            <w:r w:rsidRPr="00AC3044">
              <w:rPr>
                <w:rFonts w:eastAsia="SimSun"/>
              </w:rPr>
              <w:t>Циклофосфамид</w:t>
            </w:r>
          </w:p>
        </w:tc>
        <w:tc>
          <w:tcPr>
            <w:tcW w:w="1418" w:type="dxa"/>
            <w:vAlign w:val="center"/>
          </w:tcPr>
          <w:p w14:paraId="2091ABCC" w14:textId="77777777" w:rsidR="00304132" w:rsidRPr="00AC3044" w:rsidRDefault="00304132" w:rsidP="00CD5E09">
            <w:pPr>
              <w:rPr>
                <w:rFonts w:eastAsia="SimSun"/>
              </w:rPr>
            </w:pPr>
            <w:r w:rsidRPr="00AC3044">
              <w:rPr>
                <w:rFonts w:eastAsia="SimSun"/>
              </w:rPr>
              <w:t>50 мг/кг</w:t>
            </w:r>
          </w:p>
        </w:tc>
        <w:tc>
          <w:tcPr>
            <w:tcW w:w="1559" w:type="dxa"/>
            <w:vAlign w:val="center"/>
          </w:tcPr>
          <w:p w14:paraId="0F7872AD" w14:textId="77777777" w:rsidR="00304132" w:rsidRPr="00AC3044" w:rsidRDefault="00304132" w:rsidP="00CD5E09">
            <w:pPr>
              <w:rPr>
                <w:rFonts w:eastAsia="SimSun"/>
              </w:rPr>
            </w:pPr>
            <w:r w:rsidRPr="00AC3044">
              <w:rPr>
                <w:rFonts w:eastAsia="SimSun"/>
              </w:rPr>
              <w:t>100 мг/кг</w:t>
            </w:r>
          </w:p>
        </w:tc>
        <w:tc>
          <w:tcPr>
            <w:tcW w:w="1559" w:type="dxa"/>
            <w:vAlign w:val="center"/>
          </w:tcPr>
          <w:p w14:paraId="1AD407DA" w14:textId="77777777" w:rsidR="00304132" w:rsidRPr="00AC3044" w:rsidRDefault="00304132" w:rsidP="00CD5E09">
            <w:pPr>
              <w:rPr>
                <w:rFonts w:eastAsia="SimSun"/>
              </w:rPr>
            </w:pPr>
            <w:r w:rsidRPr="00AC3044">
              <w:rPr>
                <w:rFonts w:eastAsia="SimSun"/>
              </w:rPr>
              <w:t>С +3 дня по +4 день</w:t>
            </w:r>
          </w:p>
        </w:tc>
        <w:tc>
          <w:tcPr>
            <w:tcW w:w="2410" w:type="dxa"/>
            <w:vAlign w:val="center"/>
          </w:tcPr>
          <w:p w14:paraId="533E0817" w14:textId="77777777" w:rsidR="00304132" w:rsidRPr="00AC3044" w:rsidRDefault="00304132" w:rsidP="00CD5E09">
            <w:pPr>
              <w:rPr>
                <w:rFonts w:eastAsia="SimSun"/>
              </w:rPr>
            </w:pPr>
            <w:r w:rsidRPr="00AC3044">
              <w:rPr>
                <w:rFonts w:eastAsia="SimSun"/>
              </w:rPr>
              <w:t>В/в, в течение 2 часов</w:t>
            </w:r>
          </w:p>
        </w:tc>
      </w:tr>
      <w:tr w:rsidR="00304132" w:rsidRPr="00AC3044" w14:paraId="4685FA41" w14:textId="77777777" w:rsidTr="00CD5E09">
        <w:trPr>
          <w:cantSplit/>
          <w:trHeight w:val="1598"/>
        </w:trPr>
        <w:tc>
          <w:tcPr>
            <w:tcW w:w="1135" w:type="dxa"/>
            <w:vMerge/>
            <w:textDirection w:val="btLr"/>
            <w:vAlign w:val="center"/>
          </w:tcPr>
          <w:p w14:paraId="7DF4F087" w14:textId="77777777" w:rsidR="00304132" w:rsidRPr="00AC3044" w:rsidRDefault="00304132" w:rsidP="00CD5E09">
            <w:pPr>
              <w:rPr>
                <w:rFonts w:eastAsia="SimSun"/>
              </w:rPr>
            </w:pPr>
          </w:p>
        </w:tc>
        <w:tc>
          <w:tcPr>
            <w:tcW w:w="1559" w:type="dxa"/>
            <w:vAlign w:val="center"/>
          </w:tcPr>
          <w:p w14:paraId="38BC5E49" w14:textId="77777777" w:rsidR="00304132" w:rsidRPr="00AC3044" w:rsidRDefault="00304132" w:rsidP="00CD5E09">
            <w:pPr>
              <w:rPr>
                <w:rFonts w:eastAsia="SimSun"/>
              </w:rPr>
            </w:pPr>
            <w:r w:rsidRPr="00AC3044">
              <w:rPr>
                <w:rFonts w:eastAsia="SimSun"/>
              </w:rPr>
              <w:t xml:space="preserve">Такролимус </w:t>
            </w:r>
          </w:p>
        </w:tc>
        <w:tc>
          <w:tcPr>
            <w:tcW w:w="1418" w:type="dxa"/>
            <w:vAlign w:val="center"/>
          </w:tcPr>
          <w:p w14:paraId="2D79D815" w14:textId="77777777" w:rsidR="00304132" w:rsidRPr="00AC3044" w:rsidRDefault="00304132" w:rsidP="00CD5E09">
            <w:pPr>
              <w:rPr>
                <w:rFonts w:eastAsia="SimSun"/>
              </w:rPr>
            </w:pPr>
            <w:r w:rsidRPr="00AC3044">
              <w:rPr>
                <w:rFonts w:eastAsia="SimSun"/>
              </w:rPr>
              <w:t>0,03 мг/кг</w:t>
            </w:r>
          </w:p>
        </w:tc>
        <w:tc>
          <w:tcPr>
            <w:tcW w:w="1559" w:type="dxa"/>
            <w:vAlign w:val="center"/>
          </w:tcPr>
          <w:p w14:paraId="366374FF" w14:textId="77777777" w:rsidR="00304132" w:rsidRPr="00AC3044" w:rsidRDefault="00304132" w:rsidP="00CD5E09">
            <w:pPr>
              <w:rPr>
                <w:rFonts w:eastAsia="SimSun"/>
              </w:rPr>
            </w:pPr>
            <w:r w:rsidRPr="00AC3044">
              <w:rPr>
                <w:rFonts w:eastAsia="SimSun"/>
              </w:rPr>
              <w:t>–</w:t>
            </w:r>
          </w:p>
        </w:tc>
        <w:tc>
          <w:tcPr>
            <w:tcW w:w="1559" w:type="dxa"/>
            <w:vAlign w:val="center"/>
          </w:tcPr>
          <w:p w14:paraId="208C2C89" w14:textId="77777777" w:rsidR="00304132" w:rsidRPr="00AC3044" w:rsidRDefault="00304132" w:rsidP="00CD5E09">
            <w:pPr>
              <w:rPr>
                <w:rFonts w:eastAsia="SimSun"/>
              </w:rPr>
            </w:pPr>
            <w:r w:rsidRPr="00AC3044">
              <w:rPr>
                <w:rFonts w:eastAsia="SimSun"/>
              </w:rPr>
              <w:t xml:space="preserve">С +5 дня длительно </w:t>
            </w:r>
          </w:p>
        </w:tc>
        <w:tc>
          <w:tcPr>
            <w:tcW w:w="2410" w:type="dxa"/>
            <w:vAlign w:val="center"/>
          </w:tcPr>
          <w:p w14:paraId="3C954BB4" w14:textId="77777777" w:rsidR="00304132" w:rsidRPr="00AC3044" w:rsidRDefault="00304132" w:rsidP="00CD5E09">
            <w:pPr>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w:t>
            </w:r>
            <w:r w:rsidRPr="00AC3044">
              <w:rPr>
                <w:rFonts w:eastAsia="SimSun"/>
              </w:rPr>
              <w:t xml:space="preserve"> 10</w:t>
            </w:r>
            <w:r w:rsidRPr="0074195F">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304132" w:rsidRPr="00AC3044" w14:paraId="3F77B9EE" w14:textId="77777777" w:rsidTr="00CD5E09">
        <w:trPr>
          <w:cantSplit/>
          <w:trHeight w:val="434"/>
        </w:trPr>
        <w:tc>
          <w:tcPr>
            <w:tcW w:w="1135" w:type="dxa"/>
            <w:vMerge/>
            <w:textDirection w:val="btLr"/>
            <w:vAlign w:val="center"/>
          </w:tcPr>
          <w:p w14:paraId="1CDE5C7E" w14:textId="77777777" w:rsidR="00304132" w:rsidRPr="00AC3044" w:rsidRDefault="00304132" w:rsidP="00CD5E09">
            <w:pPr>
              <w:rPr>
                <w:rFonts w:eastAsia="SimSun"/>
              </w:rPr>
            </w:pPr>
          </w:p>
        </w:tc>
        <w:tc>
          <w:tcPr>
            <w:tcW w:w="1559" w:type="dxa"/>
            <w:vAlign w:val="center"/>
          </w:tcPr>
          <w:p w14:paraId="198F0F30" w14:textId="77777777" w:rsidR="00304132" w:rsidRPr="00AC3044" w:rsidRDefault="00304132" w:rsidP="00CD5E09">
            <w:pPr>
              <w:rPr>
                <w:rFonts w:eastAsia="SimSun"/>
              </w:rPr>
            </w:pPr>
            <w:r w:rsidRPr="00AC3044">
              <w:rPr>
                <w:rFonts w:eastAsia="SimSun"/>
              </w:rPr>
              <w:t>Микофенолата мофетил</w:t>
            </w:r>
          </w:p>
        </w:tc>
        <w:tc>
          <w:tcPr>
            <w:tcW w:w="1418" w:type="dxa"/>
            <w:vAlign w:val="center"/>
          </w:tcPr>
          <w:p w14:paraId="20466DDF" w14:textId="77777777" w:rsidR="00304132" w:rsidRPr="00AC3044" w:rsidRDefault="00304132" w:rsidP="00CD5E09">
            <w:pPr>
              <w:rPr>
                <w:rFonts w:eastAsia="SimSun"/>
              </w:rPr>
            </w:pPr>
            <w:r w:rsidRPr="00AC3044">
              <w:rPr>
                <w:rFonts w:eastAsia="SimSun"/>
              </w:rPr>
              <w:t xml:space="preserve">45 мг/кг </w:t>
            </w:r>
          </w:p>
        </w:tc>
        <w:tc>
          <w:tcPr>
            <w:tcW w:w="1559" w:type="dxa"/>
            <w:vAlign w:val="center"/>
          </w:tcPr>
          <w:p w14:paraId="48F1B7C9" w14:textId="77777777" w:rsidR="00304132" w:rsidRPr="00AC3044" w:rsidRDefault="00304132" w:rsidP="00CD5E09">
            <w:pPr>
              <w:rPr>
                <w:rFonts w:eastAsia="SimSun"/>
              </w:rPr>
            </w:pPr>
            <w:r w:rsidRPr="00AC3044">
              <w:rPr>
                <w:rFonts w:eastAsia="SimSun"/>
              </w:rPr>
              <w:t>–</w:t>
            </w:r>
          </w:p>
        </w:tc>
        <w:tc>
          <w:tcPr>
            <w:tcW w:w="1559" w:type="dxa"/>
            <w:vAlign w:val="center"/>
          </w:tcPr>
          <w:p w14:paraId="7C248790" w14:textId="77777777" w:rsidR="00304132" w:rsidRPr="00AC3044" w:rsidRDefault="00304132" w:rsidP="00CD5E09">
            <w:pPr>
              <w:rPr>
                <w:rFonts w:eastAsia="SimSun"/>
              </w:rPr>
            </w:pPr>
            <w:r w:rsidRPr="00AC3044">
              <w:rPr>
                <w:rFonts w:eastAsia="SimSun"/>
              </w:rPr>
              <w:t xml:space="preserve">С +5 дня по +35 день </w:t>
            </w:r>
          </w:p>
        </w:tc>
        <w:tc>
          <w:tcPr>
            <w:tcW w:w="2410" w:type="dxa"/>
            <w:vAlign w:val="center"/>
          </w:tcPr>
          <w:p w14:paraId="20718E95" w14:textId="77777777" w:rsidR="00304132" w:rsidRPr="00AC3044" w:rsidRDefault="00304132" w:rsidP="00CD5E09">
            <w:pPr>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 xml:space="preserve">г/сут).  </w:t>
            </w:r>
          </w:p>
        </w:tc>
      </w:tr>
    </w:tbl>
    <w:p w14:paraId="6F24A418" w14:textId="77777777" w:rsidR="00304132" w:rsidRDefault="00304132" w:rsidP="00304132">
      <w:pPr>
        <w:rPr>
          <w:rFonts w:eastAsia="SimSun"/>
        </w:rPr>
      </w:pPr>
      <w:bookmarkStart w:id="372" w:name="_Toc44401233"/>
    </w:p>
    <w:p w14:paraId="6BB8153E" w14:textId="77777777" w:rsidR="00304132" w:rsidRPr="00C07B2E" w:rsidRDefault="00304132" w:rsidP="00304132">
      <w:pPr>
        <w:rPr>
          <w:rFonts w:eastAsia="SimSun"/>
        </w:rPr>
      </w:pPr>
      <w:r w:rsidRPr="00EE51B1">
        <w:rPr>
          <w:rFonts w:eastAsia="SimSun"/>
        </w:rPr>
        <w:t>Таблица</w:t>
      </w:r>
      <w:r w:rsidRPr="00C07B2E">
        <w:rPr>
          <w:rFonts w:eastAsia="SimSun"/>
        </w:rPr>
        <w:t xml:space="preserve"> </w:t>
      </w:r>
      <w:r>
        <w:rPr>
          <w:rFonts w:eastAsia="SimSun"/>
        </w:rPr>
        <w:t>5.</w:t>
      </w:r>
      <w:r w:rsidRPr="00C07B2E">
        <w:rPr>
          <w:rFonts w:eastAsia="SimSun"/>
        </w:rPr>
        <w:t>3.1.8  – Flu180+Bu12 / PT-Cy+Tx+MMF45</w:t>
      </w:r>
      <w:bookmarkEnd w:id="372"/>
    </w:p>
    <w:tbl>
      <w:tblPr>
        <w:tblW w:w="964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5"/>
        <w:gridCol w:w="1559"/>
        <w:gridCol w:w="1418"/>
        <w:gridCol w:w="1559"/>
        <w:gridCol w:w="1559"/>
        <w:gridCol w:w="2410"/>
      </w:tblGrid>
      <w:tr w:rsidR="00304132" w:rsidRPr="00AC3044" w14:paraId="640A4033" w14:textId="77777777" w:rsidTr="00CD5E09">
        <w:trPr>
          <w:cantSplit/>
          <w:trHeight w:val="20"/>
          <w:tblHeader/>
        </w:trPr>
        <w:tc>
          <w:tcPr>
            <w:tcW w:w="1135" w:type="dxa"/>
            <w:vAlign w:val="center"/>
          </w:tcPr>
          <w:p w14:paraId="1013D45A" w14:textId="77777777" w:rsidR="00304132" w:rsidRPr="006A5E21" w:rsidRDefault="00304132" w:rsidP="00CD5E09">
            <w:pPr>
              <w:rPr>
                <w:rFonts w:eastAsia="SimSun"/>
              </w:rPr>
            </w:pPr>
          </w:p>
        </w:tc>
        <w:tc>
          <w:tcPr>
            <w:tcW w:w="1559" w:type="dxa"/>
            <w:vAlign w:val="center"/>
          </w:tcPr>
          <w:p w14:paraId="63C638AA" w14:textId="77777777" w:rsidR="00304132" w:rsidRPr="00AC3044" w:rsidRDefault="00304132" w:rsidP="00CD5E09">
            <w:pPr>
              <w:rPr>
                <w:rFonts w:eastAsia="SimSun"/>
              </w:rPr>
            </w:pPr>
            <w:r w:rsidRPr="00AC3044">
              <w:rPr>
                <w:rFonts w:eastAsia="SimSun"/>
              </w:rPr>
              <w:t>Препарат</w:t>
            </w:r>
          </w:p>
        </w:tc>
        <w:tc>
          <w:tcPr>
            <w:tcW w:w="1418" w:type="dxa"/>
            <w:vAlign w:val="center"/>
          </w:tcPr>
          <w:p w14:paraId="4678C5E6" w14:textId="77777777" w:rsidR="00304132" w:rsidRPr="00AC3044" w:rsidRDefault="00304132" w:rsidP="00CD5E09">
            <w:pPr>
              <w:rPr>
                <w:rFonts w:eastAsia="SimSun"/>
              </w:rPr>
            </w:pPr>
            <w:r w:rsidRPr="00AC3044">
              <w:rPr>
                <w:rFonts w:eastAsia="SimSun"/>
              </w:rPr>
              <w:t>Суточная доза</w:t>
            </w:r>
          </w:p>
        </w:tc>
        <w:tc>
          <w:tcPr>
            <w:tcW w:w="1559" w:type="dxa"/>
            <w:vAlign w:val="center"/>
          </w:tcPr>
          <w:p w14:paraId="224CD0DD" w14:textId="77777777" w:rsidR="00304132" w:rsidRPr="00AC3044" w:rsidRDefault="00304132" w:rsidP="00CD5E09">
            <w:pPr>
              <w:rPr>
                <w:rFonts w:eastAsia="SimSun"/>
              </w:rPr>
            </w:pPr>
            <w:r w:rsidRPr="00AC3044">
              <w:rPr>
                <w:rFonts w:eastAsia="SimSun"/>
              </w:rPr>
              <w:t>Курсовая доза</w:t>
            </w:r>
          </w:p>
        </w:tc>
        <w:tc>
          <w:tcPr>
            <w:tcW w:w="1559" w:type="dxa"/>
            <w:vAlign w:val="center"/>
          </w:tcPr>
          <w:p w14:paraId="77F56C9F" w14:textId="77777777" w:rsidR="00304132" w:rsidRPr="00AC3044" w:rsidRDefault="00304132" w:rsidP="00CD5E09">
            <w:pPr>
              <w:rPr>
                <w:rFonts w:eastAsia="SimSun"/>
              </w:rPr>
            </w:pPr>
            <w:r w:rsidRPr="00AC3044">
              <w:rPr>
                <w:rFonts w:eastAsia="SimSun"/>
              </w:rPr>
              <w:t>Дни введения</w:t>
            </w:r>
          </w:p>
        </w:tc>
        <w:tc>
          <w:tcPr>
            <w:tcW w:w="2410" w:type="dxa"/>
            <w:vAlign w:val="center"/>
          </w:tcPr>
          <w:p w14:paraId="1D5514C3" w14:textId="77777777" w:rsidR="00304132" w:rsidRPr="00AC3044" w:rsidRDefault="00304132" w:rsidP="00CD5E09">
            <w:pPr>
              <w:rPr>
                <w:rFonts w:eastAsia="SimSun"/>
              </w:rPr>
            </w:pPr>
            <w:r w:rsidRPr="00AC3044">
              <w:rPr>
                <w:rFonts w:eastAsia="SimSun"/>
              </w:rPr>
              <w:t>Порядок введения</w:t>
            </w:r>
          </w:p>
        </w:tc>
      </w:tr>
      <w:tr w:rsidR="00304132" w:rsidRPr="00AC3044" w14:paraId="04CB2E1F" w14:textId="77777777" w:rsidTr="00CD5E09">
        <w:trPr>
          <w:cantSplit/>
          <w:trHeight w:val="20"/>
        </w:trPr>
        <w:tc>
          <w:tcPr>
            <w:tcW w:w="1135" w:type="dxa"/>
            <w:vMerge w:val="restart"/>
            <w:textDirection w:val="btLr"/>
            <w:vAlign w:val="center"/>
          </w:tcPr>
          <w:p w14:paraId="784DC9AD" w14:textId="77777777" w:rsidR="00304132" w:rsidRPr="00AC3044" w:rsidRDefault="00304132" w:rsidP="00CD5E09">
            <w:pPr>
              <w:rPr>
                <w:rFonts w:eastAsia="SimSun"/>
              </w:rPr>
            </w:pPr>
            <w:r w:rsidRPr="00AC3044">
              <w:rPr>
                <w:rFonts w:eastAsia="SimSun"/>
              </w:rPr>
              <w:t>Кондиционирование</w:t>
            </w:r>
          </w:p>
        </w:tc>
        <w:tc>
          <w:tcPr>
            <w:tcW w:w="1559" w:type="dxa"/>
            <w:vAlign w:val="center"/>
          </w:tcPr>
          <w:p w14:paraId="5B3EFA4A" w14:textId="77777777" w:rsidR="00304132" w:rsidRPr="00AC3044" w:rsidRDefault="00304132" w:rsidP="00CD5E09">
            <w:pPr>
              <w:rPr>
                <w:rFonts w:eastAsia="SimSun"/>
              </w:rPr>
            </w:pPr>
            <w:r w:rsidRPr="00AC3044">
              <w:rPr>
                <w:rFonts w:eastAsia="SimSun"/>
              </w:rPr>
              <w:t xml:space="preserve">Флударабин </w:t>
            </w:r>
          </w:p>
        </w:tc>
        <w:tc>
          <w:tcPr>
            <w:tcW w:w="1418" w:type="dxa"/>
            <w:vAlign w:val="center"/>
          </w:tcPr>
          <w:p w14:paraId="1A14E03F" w14:textId="77777777" w:rsidR="00304132" w:rsidRPr="00AC3044" w:rsidRDefault="00304132" w:rsidP="00CD5E09">
            <w:pPr>
              <w:rPr>
                <w:rFonts w:eastAsia="SimSun"/>
              </w:rPr>
            </w:pPr>
            <w:r w:rsidRPr="00AC3044">
              <w:rPr>
                <w:rFonts w:eastAsia="SimSun"/>
              </w:rPr>
              <w:t>30 мг/м</w:t>
            </w:r>
            <w:r w:rsidRPr="0074195F">
              <w:rPr>
                <w:rFonts w:eastAsia="SimSun"/>
                <w:vertAlign w:val="superscript"/>
              </w:rPr>
              <w:t>2</w:t>
            </w:r>
          </w:p>
        </w:tc>
        <w:tc>
          <w:tcPr>
            <w:tcW w:w="1559" w:type="dxa"/>
            <w:vAlign w:val="center"/>
          </w:tcPr>
          <w:p w14:paraId="2DEB91ED" w14:textId="77777777" w:rsidR="00304132" w:rsidRPr="00AC3044" w:rsidRDefault="00304132" w:rsidP="00CD5E09">
            <w:pPr>
              <w:rPr>
                <w:rFonts w:eastAsia="SimSun"/>
              </w:rPr>
            </w:pPr>
            <w:r w:rsidRPr="00AC3044">
              <w:rPr>
                <w:rFonts w:eastAsia="SimSun"/>
              </w:rPr>
              <w:t>180 мг/м</w:t>
            </w:r>
            <w:r w:rsidRPr="0074195F">
              <w:rPr>
                <w:rFonts w:eastAsia="SimSun"/>
                <w:vertAlign w:val="superscript"/>
              </w:rPr>
              <w:t>2</w:t>
            </w:r>
          </w:p>
        </w:tc>
        <w:tc>
          <w:tcPr>
            <w:tcW w:w="1559" w:type="dxa"/>
            <w:vAlign w:val="center"/>
          </w:tcPr>
          <w:p w14:paraId="4149FE0D" w14:textId="77777777" w:rsidR="00304132" w:rsidRPr="00AC3044" w:rsidRDefault="00304132" w:rsidP="00CD5E09">
            <w:pPr>
              <w:rPr>
                <w:rFonts w:eastAsia="SimSun"/>
              </w:rPr>
            </w:pPr>
            <w:r w:rsidRPr="00AC3044">
              <w:rPr>
                <w:rFonts w:eastAsia="SimSun"/>
              </w:rPr>
              <w:t>С -7 дня по -2 день</w:t>
            </w:r>
          </w:p>
        </w:tc>
        <w:tc>
          <w:tcPr>
            <w:tcW w:w="2410" w:type="dxa"/>
            <w:vAlign w:val="center"/>
          </w:tcPr>
          <w:p w14:paraId="4EA4011A" w14:textId="77777777" w:rsidR="00304132" w:rsidRPr="00AC3044" w:rsidRDefault="00304132" w:rsidP="00CD5E09">
            <w:pPr>
              <w:rPr>
                <w:rFonts w:eastAsia="SimSun"/>
              </w:rPr>
            </w:pPr>
            <w:r w:rsidRPr="00AC3044">
              <w:rPr>
                <w:rFonts w:eastAsia="SimSun"/>
              </w:rPr>
              <w:t>В/в, в течение 30 -60 мин</w:t>
            </w:r>
          </w:p>
        </w:tc>
      </w:tr>
      <w:tr w:rsidR="00304132" w:rsidRPr="00AC3044" w14:paraId="7EEDD836" w14:textId="77777777" w:rsidTr="00CD5E09">
        <w:trPr>
          <w:cantSplit/>
          <w:trHeight w:val="1207"/>
        </w:trPr>
        <w:tc>
          <w:tcPr>
            <w:tcW w:w="1135" w:type="dxa"/>
            <w:vMerge/>
            <w:vAlign w:val="center"/>
          </w:tcPr>
          <w:p w14:paraId="01B50F6A" w14:textId="77777777" w:rsidR="00304132" w:rsidRPr="00AC3044" w:rsidRDefault="00304132" w:rsidP="00CD5E09">
            <w:pPr>
              <w:rPr>
                <w:rFonts w:eastAsia="SimSun"/>
              </w:rPr>
            </w:pPr>
          </w:p>
        </w:tc>
        <w:tc>
          <w:tcPr>
            <w:tcW w:w="1559" w:type="dxa"/>
            <w:vAlign w:val="center"/>
          </w:tcPr>
          <w:p w14:paraId="1A1D192C" w14:textId="77777777" w:rsidR="00304132" w:rsidRPr="00AC3044" w:rsidRDefault="00304132" w:rsidP="00CD5E09">
            <w:pPr>
              <w:rPr>
                <w:rFonts w:eastAsia="SimSun"/>
              </w:rPr>
            </w:pPr>
            <w:r w:rsidRPr="00AC3044">
              <w:rPr>
                <w:rFonts w:eastAsia="SimSun"/>
              </w:rPr>
              <w:t>Бусульфан</w:t>
            </w:r>
          </w:p>
        </w:tc>
        <w:tc>
          <w:tcPr>
            <w:tcW w:w="1418" w:type="dxa"/>
            <w:vAlign w:val="center"/>
          </w:tcPr>
          <w:p w14:paraId="695B6149" w14:textId="77777777" w:rsidR="00304132" w:rsidRPr="00AC3044" w:rsidRDefault="00304132" w:rsidP="00CD5E09">
            <w:pPr>
              <w:rPr>
                <w:rFonts w:eastAsia="SimSun"/>
              </w:rPr>
            </w:pPr>
            <w:r w:rsidRPr="00AC3044">
              <w:rPr>
                <w:rFonts w:eastAsia="SimSun"/>
              </w:rPr>
              <w:t xml:space="preserve">4 мг/кг </w:t>
            </w:r>
          </w:p>
        </w:tc>
        <w:tc>
          <w:tcPr>
            <w:tcW w:w="1559" w:type="dxa"/>
            <w:vAlign w:val="center"/>
          </w:tcPr>
          <w:p w14:paraId="71B0161E" w14:textId="77777777" w:rsidR="00304132" w:rsidRPr="00AC3044" w:rsidRDefault="00304132" w:rsidP="00CD5E09">
            <w:pPr>
              <w:rPr>
                <w:rFonts w:eastAsia="SimSun"/>
              </w:rPr>
            </w:pPr>
            <w:r w:rsidRPr="00AC3044">
              <w:rPr>
                <w:rFonts w:eastAsia="SimSun"/>
              </w:rPr>
              <w:t xml:space="preserve">12 мг/кг </w:t>
            </w:r>
          </w:p>
        </w:tc>
        <w:tc>
          <w:tcPr>
            <w:tcW w:w="1559" w:type="dxa"/>
            <w:vAlign w:val="center"/>
          </w:tcPr>
          <w:p w14:paraId="0B4D6C9F" w14:textId="77777777" w:rsidR="00304132" w:rsidRPr="00AC3044" w:rsidRDefault="00304132" w:rsidP="00CD5E09">
            <w:pPr>
              <w:rPr>
                <w:rFonts w:eastAsia="SimSun"/>
              </w:rPr>
            </w:pPr>
            <w:r w:rsidRPr="00AC3044">
              <w:rPr>
                <w:rFonts w:eastAsia="SimSun"/>
              </w:rPr>
              <w:t>С -5 дня по -3 день</w:t>
            </w:r>
          </w:p>
        </w:tc>
        <w:tc>
          <w:tcPr>
            <w:tcW w:w="2410" w:type="dxa"/>
            <w:vAlign w:val="center"/>
          </w:tcPr>
          <w:p w14:paraId="344CBCA5" w14:textId="77777777" w:rsidR="00304132" w:rsidRPr="00AC3044" w:rsidRDefault="00304132" w:rsidP="00CD5E09">
            <w:pPr>
              <w:rPr>
                <w:rFonts w:eastAsia="SimSun"/>
              </w:rPr>
            </w:pPr>
            <w:r w:rsidRPr="00AC3044">
              <w:rPr>
                <w:rFonts w:eastAsia="SimSun"/>
              </w:rPr>
              <w:t>Внутрь, суммарная суточная доза разделяется на 4 приема с интервалом 6 часов.</w:t>
            </w:r>
          </w:p>
        </w:tc>
      </w:tr>
      <w:tr w:rsidR="00304132" w:rsidRPr="00AC3044" w14:paraId="42B94A7C" w14:textId="77777777" w:rsidTr="00CD5E09">
        <w:trPr>
          <w:cantSplit/>
          <w:trHeight w:val="660"/>
        </w:trPr>
        <w:tc>
          <w:tcPr>
            <w:tcW w:w="1135" w:type="dxa"/>
            <w:vMerge w:val="restart"/>
            <w:textDirection w:val="btLr"/>
            <w:vAlign w:val="center"/>
          </w:tcPr>
          <w:p w14:paraId="058C7A65" w14:textId="77777777" w:rsidR="00304132" w:rsidRPr="00AC3044" w:rsidRDefault="00304132" w:rsidP="00CD5E09">
            <w:pPr>
              <w:rPr>
                <w:rFonts w:eastAsia="SimSun"/>
              </w:rPr>
            </w:pPr>
            <w:r w:rsidRPr="00AC3044">
              <w:rPr>
                <w:rFonts w:eastAsia="SimSun"/>
              </w:rPr>
              <w:t>Профилактика РТПХ</w:t>
            </w:r>
          </w:p>
        </w:tc>
        <w:tc>
          <w:tcPr>
            <w:tcW w:w="1559" w:type="dxa"/>
            <w:vAlign w:val="center"/>
          </w:tcPr>
          <w:p w14:paraId="79402205" w14:textId="77777777" w:rsidR="00304132" w:rsidRPr="00AC3044" w:rsidRDefault="00304132" w:rsidP="00CD5E09">
            <w:pPr>
              <w:rPr>
                <w:rFonts w:eastAsia="SimSun"/>
              </w:rPr>
            </w:pPr>
            <w:r w:rsidRPr="00AC3044">
              <w:rPr>
                <w:rFonts w:eastAsia="SimSun"/>
              </w:rPr>
              <w:t>Циклофосфамид</w:t>
            </w:r>
          </w:p>
        </w:tc>
        <w:tc>
          <w:tcPr>
            <w:tcW w:w="1418" w:type="dxa"/>
            <w:vAlign w:val="center"/>
          </w:tcPr>
          <w:p w14:paraId="2C6615E6" w14:textId="77777777" w:rsidR="00304132" w:rsidRPr="00AC3044" w:rsidRDefault="00304132" w:rsidP="00CD5E09">
            <w:pPr>
              <w:rPr>
                <w:rFonts w:eastAsia="SimSun"/>
              </w:rPr>
            </w:pPr>
            <w:r w:rsidRPr="00AC3044">
              <w:rPr>
                <w:rFonts w:eastAsia="SimSun"/>
              </w:rPr>
              <w:t>50 мг/кг</w:t>
            </w:r>
          </w:p>
        </w:tc>
        <w:tc>
          <w:tcPr>
            <w:tcW w:w="1559" w:type="dxa"/>
            <w:vAlign w:val="center"/>
          </w:tcPr>
          <w:p w14:paraId="6362EA99" w14:textId="77777777" w:rsidR="00304132" w:rsidRPr="00AC3044" w:rsidRDefault="00304132" w:rsidP="00CD5E09">
            <w:pPr>
              <w:rPr>
                <w:rFonts w:eastAsia="SimSun"/>
              </w:rPr>
            </w:pPr>
            <w:r w:rsidRPr="00AC3044">
              <w:rPr>
                <w:rFonts w:eastAsia="SimSun"/>
              </w:rPr>
              <w:t>100 мг/кг</w:t>
            </w:r>
          </w:p>
        </w:tc>
        <w:tc>
          <w:tcPr>
            <w:tcW w:w="1559" w:type="dxa"/>
            <w:vAlign w:val="center"/>
          </w:tcPr>
          <w:p w14:paraId="64CEEBD0" w14:textId="77777777" w:rsidR="00304132" w:rsidRPr="00AC3044" w:rsidRDefault="00304132" w:rsidP="00CD5E09">
            <w:pPr>
              <w:rPr>
                <w:rFonts w:eastAsia="SimSun"/>
              </w:rPr>
            </w:pPr>
            <w:r w:rsidRPr="00AC3044">
              <w:rPr>
                <w:rFonts w:eastAsia="SimSun"/>
              </w:rPr>
              <w:t>С +3 дня по +4 день</w:t>
            </w:r>
          </w:p>
        </w:tc>
        <w:tc>
          <w:tcPr>
            <w:tcW w:w="2410" w:type="dxa"/>
            <w:vAlign w:val="center"/>
          </w:tcPr>
          <w:p w14:paraId="71396A8B" w14:textId="77777777" w:rsidR="00304132" w:rsidRPr="00AC3044" w:rsidRDefault="00304132" w:rsidP="00CD5E09">
            <w:pPr>
              <w:rPr>
                <w:rFonts w:eastAsia="SimSun"/>
              </w:rPr>
            </w:pPr>
            <w:r w:rsidRPr="00AC3044">
              <w:rPr>
                <w:rFonts w:eastAsia="SimSun"/>
              </w:rPr>
              <w:t>В/в, в течение 2 часов</w:t>
            </w:r>
          </w:p>
        </w:tc>
      </w:tr>
      <w:tr w:rsidR="00304132" w:rsidRPr="00AC3044" w14:paraId="3E6D4C7F" w14:textId="77777777" w:rsidTr="00CD5E09">
        <w:trPr>
          <w:cantSplit/>
          <w:trHeight w:val="958"/>
        </w:trPr>
        <w:tc>
          <w:tcPr>
            <w:tcW w:w="1135" w:type="dxa"/>
            <w:vMerge/>
            <w:textDirection w:val="btLr"/>
            <w:vAlign w:val="center"/>
          </w:tcPr>
          <w:p w14:paraId="596B57C7" w14:textId="77777777" w:rsidR="00304132" w:rsidRPr="00AC3044" w:rsidRDefault="00304132" w:rsidP="00CD5E09">
            <w:pPr>
              <w:rPr>
                <w:rFonts w:eastAsia="SimSun"/>
              </w:rPr>
            </w:pPr>
          </w:p>
        </w:tc>
        <w:tc>
          <w:tcPr>
            <w:tcW w:w="1559" w:type="dxa"/>
            <w:vAlign w:val="center"/>
          </w:tcPr>
          <w:p w14:paraId="06135A3E" w14:textId="77777777" w:rsidR="00304132" w:rsidRPr="00AC3044" w:rsidRDefault="00304132" w:rsidP="00CD5E09">
            <w:pPr>
              <w:rPr>
                <w:rFonts w:eastAsia="SimSun"/>
              </w:rPr>
            </w:pPr>
            <w:r w:rsidRPr="00AC3044">
              <w:rPr>
                <w:rFonts w:eastAsia="SimSun"/>
              </w:rPr>
              <w:t xml:space="preserve">Такролимус </w:t>
            </w:r>
          </w:p>
        </w:tc>
        <w:tc>
          <w:tcPr>
            <w:tcW w:w="1418" w:type="dxa"/>
            <w:vAlign w:val="center"/>
          </w:tcPr>
          <w:p w14:paraId="2F79B40C" w14:textId="77777777" w:rsidR="00304132" w:rsidRPr="00AC3044" w:rsidRDefault="00304132" w:rsidP="00CD5E09">
            <w:pPr>
              <w:rPr>
                <w:rFonts w:eastAsia="SimSun"/>
              </w:rPr>
            </w:pPr>
            <w:r w:rsidRPr="00AC3044">
              <w:rPr>
                <w:rFonts w:eastAsia="SimSun"/>
              </w:rPr>
              <w:t>0,03 мг/кг</w:t>
            </w:r>
          </w:p>
        </w:tc>
        <w:tc>
          <w:tcPr>
            <w:tcW w:w="1559" w:type="dxa"/>
            <w:vAlign w:val="center"/>
          </w:tcPr>
          <w:p w14:paraId="6AFCFAB0" w14:textId="77777777" w:rsidR="00304132" w:rsidRPr="00AC3044" w:rsidRDefault="00304132" w:rsidP="00CD5E09">
            <w:pPr>
              <w:rPr>
                <w:rFonts w:eastAsia="SimSun"/>
              </w:rPr>
            </w:pPr>
            <w:r w:rsidRPr="00AC3044">
              <w:rPr>
                <w:rFonts w:eastAsia="SimSun"/>
              </w:rPr>
              <w:t>–</w:t>
            </w:r>
          </w:p>
        </w:tc>
        <w:tc>
          <w:tcPr>
            <w:tcW w:w="1559" w:type="dxa"/>
            <w:vAlign w:val="center"/>
          </w:tcPr>
          <w:p w14:paraId="062A12F9" w14:textId="77777777" w:rsidR="00304132" w:rsidRPr="00AC3044" w:rsidRDefault="00304132" w:rsidP="00CD5E09">
            <w:pPr>
              <w:rPr>
                <w:rFonts w:eastAsia="SimSun"/>
              </w:rPr>
            </w:pPr>
            <w:r w:rsidRPr="00AC3044">
              <w:rPr>
                <w:rFonts w:eastAsia="SimSun"/>
              </w:rPr>
              <w:t xml:space="preserve">С +5 дня длительно </w:t>
            </w:r>
          </w:p>
        </w:tc>
        <w:tc>
          <w:tcPr>
            <w:tcW w:w="2410" w:type="dxa"/>
            <w:vAlign w:val="center"/>
          </w:tcPr>
          <w:p w14:paraId="172696A1" w14:textId="77777777" w:rsidR="00304132" w:rsidRPr="00AC3044" w:rsidRDefault="00304132" w:rsidP="00CD5E09">
            <w:pPr>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w:t>
            </w:r>
            <w:r w:rsidRPr="00AC3044">
              <w:rPr>
                <w:rFonts w:eastAsia="SimSun"/>
              </w:rPr>
              <w:t xml:space="preserve"> 10</w:t>
            </w:r>
            <w:r w:rsidRPr="0074195F">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bl>
    <w:p w14:paraId="021C6BD9" w14:textId="77777777" w:rsidR="00304132" w:rsidRDefault="00304132" w:rsidP="00304132">
      <w:pPr>
        <w:rPr>
          <w:rFonts w:eastAsia="SimSun"/>
        </w:rPr>
      </w:pPr>
      <w:bookmarkStart w:id="373" w:name="_Toc44401234"/>
    </w:p>
    <w:p w14:paraId="176210CB" w14:textId="77777777" w:rsidR="00304132" w:rsidRPr="00030511" w:rsidRDefault="00304132" w:rsidP="00304132">
      <w:pPr>
        <w:rPr>
          <w:rFonts w:eastAsia="SimSun"/>
        </w:rPr>
      </w:pPr>
      <w:r w:rsidRPr="00030511">
        <w:rPr>
          <w:rFonts w:eastAsia="SimSun"/>
        </w:rPr>
        <w:t xml:space="preserve">Таблица 5.3.1.9  – </w:t>
      </w:r>
      <w:r w:rsidRPr="00C07B2E">
        <w:rPr>
          <w:rFonts w:eastAsia="SimSun"/>
        </w:rPr>
        <w:t>Flu</w:t>
      </w:r>
      <w:r w:rsidRPr="00030511">
        <w:rPr>
          <w:rFonts w:eastAsia="SimSun"/>
        </w:rPr>
        <w:t>180+</w:t>
      </w:r>
      <w:r w:rsidRPr="00C07B2E">
        <w:rPr>
          <w:rFonts w:eastAsia="SimSun"/>
        </w:rPr>
        <w:t>Bu</w:t>
      </w:r>
      <w:r w:rsidRPr="00030511">
        <w:rPr>
          <w:rFonts w:eastAsia="SimSun"/>
        </w:rPr>
        <w:t xml:space="preserve">14 / </w:t>
      </w:r>
      <w:r w:rsidRPr="00C07B2E">
        <w:rPr>
          <w:rFonts w:eastAsia="SimSun"/>
        </w:rPr>
        <w:t>PT</w:t>
      </w:r>
      <w:r w:rsidRPr="00030511">
        <w:rPr>
          <w:rFonts w:eastAsia="SimSun"/>
        </w:rPr>
        <w:t>-</w:t>
      </w:r>
      <w:r w:rsidRPr="00C07B2E">
        <w:rPr>
          <w:rFonts w:eastAsia="SimSun"/>
        </w:rPr>
        <w:t>Cy</w:t>
      </w:r>
      <w:r w:rsidRPr="00030511">
        <w:rPr>
          <w:rFonts w:eastAsia="SimSun"/>
        </w:rPr>
        <w:t>+</w:t>
      </w:r>
      <w:r w:rsidRPr="00C07B2E">
        <w:rPr>
          <w:rFonts w:eastAsia="SimSun"/>
        </w:rPr>
        <w:t>Tx</w:t>
      </w:r>
      <w:r w:rsidRPr="00030511">
        <w:rPr>
          <w:rFonts w:eastAsia="SimSun"/>
        </w:rPr>
        <w:t>+</w:t>
      </w:r>
      <w:r w:rsidRPr="00C07B2E">
        <w:rPr>
          <w:rFonts w:eastAsia="SimSun"/>
        </w:rPr>
        <w:t>MMF</w:t>
      </w:r>
      <w:r w:rsidRPr="00030511">
        <w:rPr>
          <w:rFonts w:eastAsia="SimSun"/>
        </w:rPr>
        <w:t>45</w:t>
      </w:r>
      <w:bookmarkEnd w:id="373"/>
    </w:p>
    <w:tbl>
      <w:tblPr>
        <w:tblW w:w="964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5"/>
        <w:gridCol w:w="1559"/>
        <w:gridCol w:w="1418"/>
        <w:gridCol w:w="1559"/>
        <w:gridCol w:w="1559"/>
        <w:gridCol w:w="2410"/>
      </w:tblGrid>
      <w:tr w:rsidR="00304132" w:rsidRPr="00AC3044" w14:paraId="28FBEFDB" w14:textId="77777777" w:rsidTr="00CD5E09">
        <w:trPr>
          <w:cantSplit/>
          <w:trHeight w:val="20"/>
          <w:tblHeader/>
        </w:trPr>
        <w:tc>
          <w:tcPr>
            <w:tcW w:w="1135" w:type="dxa"/>
            <w:vAlign w:val="center"/>
          </w:tcPr>
          <w:p w14:paraId="282AEEA0" w14:textId="77777777" w:rsidR="00304132" w:rsidRPr="00AC3044" w:rsidRDefault="00304132" w:rsidP="00CD5E09">
            <w:pPr>
              <w:rPr>
                <w:rFonts w:eastAsia="SimSun"/>
              </w:rPr>
            </w:pPr>
          </w:p>
        </w:tc>
        <w:tc>
          <w:tcPr>
            <w:tcW w:w="1559" w:type="dxa"/>
            <w:vAlign w:val="center"/>
          </w:tcPr>
          <w:p w14:paraId="1211476B" w14:textId="77777777" w:rsidR="00304132" w:rsidRPr="00AC3044" w:rsidRDefault="00304132" w:rsidP="00CD5E09">
            <w:pPr>
              <w:rPr>
                <w:rFonts w:eastAsia="SimSun"/>
              </w:rPr>
            </w:pPr>
            <w:r w:rsidRPr="00AC3044">
              <w:rPr>
                <w:rFonts w:eastAsia="SimSun"/>
              </w:rPr>
              <w:t>Препарат</w:t>
            </w:r>
          </w:p>
        </w:tc>
        <w:tc>
          <w:tcPr>
            <w:tcW w:w="1418" w:type="dxa"/>
            <w:vAlign w:val="center"/>
          </w:tcPr>
          <w:p w14:paraId="3BED9ECD" w14:textId="77777777" w:rsidR="00304132" w:rsidRPr="00AC3044" w:rsidRDefault="00304132" w:rsidP="00CD5E09">
            <w:pPr>
              <w:rPr>
                <w:rFonts w:eastAsia="SimSun"/>
              </w:rPr>
            </w:pPr>
            <w:r w:rsidRPr="00AC3044">
              <w:rPr>
                <w:rFonts w:eastAsia="SimSun"/>
              </w:rPr>
              <w:t>Суточная доза</w:t>
            </w:r>
          </w:p>
        </w:tc>
        <w:tc>
          <w:tcPr>
            <w:tcW w:w="1559" w:type="dxa"/>
            <w:vAlign w:val="center"/>
          </w:tcPr>
          <w:p w14:paraId="25F1EA87" w14:textId="77777777" w:rsidR="00304132" w:rsidRPr="00AC3044" w:rsidRDefault="00304132" w:rsidP="00CD5E09">
            <w:pPr>
              <w:rPr>
                <w:rFonts w:eastAsia="SimSun"/>
              </w:rPr>
            </w:pPr>
            <w:r w:rsidRPr="00AC3044">
              <w:rPr>
                <w:rFonts w:eastAsia="SimSun"/>
              </w:rPr>
              <w:t>Курсовая доза</w:t>
            </w:r>
          </w:p>
        </w:tc>
        <w:tc>
          <w:tcPr>
            <w:tcW w:w="1559" w:type="dxa"/>
            <w:vAlign w:val="center"/>
          </w:tcPr>
          <w:p w14:paraId="4CBEFE88" w14:textId="77777777" w:rsidR="00304132" w:rsidRPr="00AC3044" w:rsidRDefault="00304132" w:rsidP="00CD5E09">
            <w:pPr>
              <w:rPr>
                <w:rFonts w:eastAsia="SimSun"/>
              </w:rPr>
            </w:pPr>
            <w:r w:rsidRPr="00AC3044">
              <w:rPr>
                <w:rFonts w:eastAsia="SimSun"/>
              </w:rPr>
              <w:t>Дни введения</w:t>
            </w:r>
          </w:p>
        </w:tc>
        <w:tc>
          <w:tcPr>
            <w:tcW w:w="2410" w:type="dxa"/>
            <w:vAlign w:val="center"/>
          </w:tcPr>
          <w:p w14:paraId="563777CE" w14:textId="77777777" w:rsidR="00304132" w:rsidRPr="00AC3044" w:rsidRDefault="00304132" w:rsidP="00CD5E09">
            <w:pPr>
              <w:rPr>
                <w:rFonts w:eastAsia="SimSun"/>
              </w:rPr>
            </w:pPr>
            <w:r w:rsidRPr="00AC3044">
              <w:rPr>
                <w:rFonts w:eastAsia="SimSun"/>
              </w:rPr>
              <w:t>Порядок введения</w:t>
            </w:r>
          </w:p>
        </w:tc>
      </w:tr>
      <w:tr w:rsidR="00304132" w:rsidRPr="00AC3044" w14:paraId="0E2E1AAC" w14:textId="77777777" w:rsidTr="00CD5E09">
        <w:trPr>
          <w:cantSplit/>
          <w:trHeight w:val="450"/>
        </w:trPr>
        <w:tc>
          <w:tcPr>
            <w:tcW w:w="1135" w:type="dxa"/>
            <w:vMerge w:val="restart"/>
            <w:textDirection w:val="btLr"/>
            <w:vAlign w:val="center"/>
          </w:tcPr>
          <w:p w14:paraId="642D6C1D" w14:textId="77777777" w:rsidR="00304132" w:rsidRPr="00AC3044" w:rsidRDefault="00304132" w:rsidP="00CD5E09">
            <w:pPr>
              <w:rPr>
                <w:rFonts w:eastAsia="SimSun"/>
              </w:rPr>
            </w:pPr>
            <w:r w:rsidRPr="00AC3044">
              <w:rPr>
                <w:rFonts w:eastAsia="SimSun"/>
              </w:rPr>
              <w:t>Кондиционирование</w:t>
            </w:r>
          </w:p>
        </w:tc>
        <w:tc>
          <w:tcPr>
            <w:tcW w:w="1559" w:type="dxa"/>
            <w:vAlign w:val="center"/>
          </w:tcPr>
          <w:p w14:paraId="3D998048" w14:textId="77777777" w:rsidR="00304132" w:rsidRPr="00AC3044" w:rsidRDefault="00304132" w:rsidP="00CD5E09">
            <w:pPr>
              <w:rPr>
                <w:rFonts w:eastAsia="SimSun"/>
              </w:rPr>
            </w:pPr>
            <w:r w:rsidRPr="00AC3044">
              <w:rPr>
                <w:rFonts w:eastAsia="SimSun"/>
              </w:rPr>
              <w:t xml:space="preserve">Флударабин </w:t>
            </w:r>
          </w:p>
        </w:tc>
        <w:tc>
          <w:tcPr>
            <w:tcW w:w="1418" w:type="dxa"/>
            <w:vAlign w:val="center"/>
          </w:tcPr>
          <w:p w14:paraId="44DB2BA3" w14:textId="77777777" w:rsidR="00304132" w:rsidRPr="00AC3044" w:rsidRDefault="00304132" w:rsidP="00CD5E09">
            <w:pPr>
              <w:rPr>
                <w:rFonts w:eastAsia="SimSun"/>
              </w:rPr>
            </w:pPr>
            <w:r w:rsidRPr="00AC3044">
              <w:rPr>
                <w:rFonts w:eastAsia="SimSun"/>
              </w:rPr>
              <w:t>30 мг/м</w:t>
            </w:r>
            <w:r w:rsidRPr="0074195F">
              <w:rPr>
                <w:rFonts w:eastAsia="SimSun"/>
                <w:vertAlign w:val="superscript"/>
              </w:rPr>
              <w:t>2</w:t>
            </w:r>
          </w:p>
        </w:tc>
        <w:tc>
          <w:tcPr>
            <w:tcW w:w="1559" w:type="dxa"/>
            <w:vAlign w:val="center"/>
          </w:tcPr>
          <w:p w14:paraId="2725F21F" w14:textId="77777777" w:rsidR="00304132" w:rsidRPr="00AC3044" w:rsidRDefault="00304132" w:rsidP="00CD5E09">
            <w:pPr>
              <w:rPr>
                <w:rFonts w:eastAsia="SimSun"/>
              </w:rPr>
            </w:pPr>
            <w:r w:rsidRPr="00AC3044">
              <w:rPr>
                <w:rFonts w:eastAsia="SimSun"/>
              </w:rPr>
              <w:t>180 мг/м</w:t>
            </w:r>
            <w:r w:rsidRPr="0074195F">
              <w:rPr>
                <w:rFonts w:eastAsia="SimSun"/>
                <w:vertAlign w:val="superscript"/>
              </w:rPr>
              <w:t>2</w:t>
            </w:r>
          </w:p>
        </w:tc>
        <w:tc>
          <w:tcPr>
            <w:tcW w:w="1559" w:type="dxa"/>
            <w:vAlign w:val="center"/>
          </w:tcPr>
          <w:p w14:paraId="75C643EF" w14:textId="77777777" w:rsidR="00304132" w:rsidRPr="00AC3044" w:rsidRDefault="00304132" w:rsidP="00CD5E09">
            <w:pPr>
              <w:rPr>
                <w:rFonts w:eastAsia="SimSun"/>
              </w:rPr>
            </w:pPr>
            <w:r w:rsidRPr="00AC3044">
              <w:rPr>
                <w:rFonts w:eastAsia="SimSun"/>
              </w:rPr>
              <w:t>С -7 дня по -2 день</w:t>
            </w:r>
          </w:p>
        </w:tc>
        <w:tc>
          <w:tcPr>
            <w:tcW w:w="2410" w:type="dxa"/>
            <w:vAlign w:val="center"/>
          </w:tcPr>
          <w:p w14:paraId="52291C43" w14:textId="77777777" w:rsidR="00304132" w:rsidRPr="00AC3044" w:rsidRDefault="00304132" w:rsidP="00CD5E09">
            <w:pPr>
              <w:rPr>
                <w:rFonts w:eastAsia="SimSun"/>
              </w:rPr>
            </w:pPr>
            <w:r w:rsidRPr="00AC3044">
              <w:rPr>
                <w:rFonts w:eastAsia="SimSun"/>
              </w:rPr>
              <w:t>В/в, в течение 30 -60 мин</w:t>
            </w:r>
          </w:p>
        </w:tc>
      </w:tr>
      <w:tr w:rsidR="00304132" w:rsidRPr="00AC3044" w14:paraId="3C48446A" w14:textId="77777777" w:rsidTr="00CD5E09">
        <w:trPr>
          <w:cantSplit/>
          <w:trHeight w:val="1207"/>
        </w:trPr>
        <w:tc>
          <w:tcPr>
            <w:tcW w:w="1135" w:type="dxa"/>
            <w:vMerge/>
            <w:vAlign w:val="center"/>
          </w:tcPr>
          <w:p w14:paraId="19C1F448" w14:textId="77777777" w:rsidR="00304132" w:rsidRPr="00AC3044" w:rsidRDefault="00304132" w:rsidP="00CD5E09">
            <w:pPr>
              <w:rPr>
                <w:rFonts w:eastAsia="SimSun"/>
              </w:rPr>
            </w:pPr>
          </w:p>
        </w:tc>
        <w:tc>
          <w:tcPr>
            <w:tcW w:w="1559" w:type="dxa"/>
            <w:vAlign w:val="center"/>
          </w:tcPr>
          <w:p w14:paraId="40C51FAF" w14:textId="77777777" w:rsidR="00304132" w:rsidRPr="00AC3044" w:rsidRDefault="00304132" w:rsidP="00CD5E09">
            <w:pPr>
              <w:rPr>
                <w:rFonts w:eastAsia="SimSun"/>
              </w:rPr>
            </w:pPr>
            <w:r w:rsidRPr="00AC3044">
              <w:rPr>
                <w:rFonts w:eastAsia="SimSun"/>
              </w:rPr>
              <w:t>Бусульфан</w:t>
            </w:r>
          </w:p>
        </w:tc>
        <w:tc>
          <w:tcPr>
            <w:tcW w:w="1418" w:type="dxa"/>
            <w:vAlign w:val="center"/>
          </w:tcPr>
          <w:p w14:paraId="655D58E2" w14:textId="77777777" w:rsidR="00304132" w:rsidRPr="00AC3044" w:rsidRDefault="00304132" w:rsidP="00CD5E09">
            <w:pPr>
              <w:rPr>
                <w:rFonts w:eastAsia="SimSun"/>
              </w:rPr>
            </w:pPr>
            <w:r w:rsidRPr="00AC3044">
              <w:rPr>
                <w:rFonts w:eastAsia="SimSun"/>
              </w:rPr>
              <w:t xml:space="preserve">4 мг/кг </w:t>
            </w:r>
          </w:p>
        </w:tc>
        <w:tc>
          <w:tcPr>
            <w:tcW w:w="1559" w:type="dxa"/>
            <w:vAlign w:val="center"/>
          </w:tcPr>
          <w:p w14:paraId="4927CDE9" w14:textId="77777777" w:rsidR="00304132" w:rsidRPr="00AC3044" w:rsidRDefault="00304132" w:rsidP="00CD5E09">
            <w:pPr>
              <w:rPr>
                <w:rFonts w:eastAsia="SimSun"/>
              </w:rPr>
            </w:pPr>
            <w:r w:rsidRPr="00AC3044">
              <w:rPr>
                <w:rFonts w:eastAsia="SimSun"/>
              </w:rPr>
              <w:t xml:space="preserve">14 мг/кг </w:t>
            </w:r>
          </w:p>
        </w:tc>
        <w:tc>
          <w:tcPr>
            <w:tcW w:w="1559" w:type="dxa"/>
            <w:vAlign w:val="center"/>
          </w:tcPr>
          <w:p w14:paraId="17134E7F" w14:textId="77777777" w:rsidR="00304132" w:rsidRPr="00AC3044" w:rsidRDefault="00304132" w:rsidP="00CD5E09">
            <w:pPr>
              <w:rPr>
                <w:rFonts w:eastAsia="SimSun"/>
              </w:rPr>
            </w:pPr>
            <w:r w:rsidRPr="00AC3044">
              <w:rPr>
                <w:rFonts w:eastAsia="SimSun"/>
              </w:rPr>
              <w:t>С -6 дня по -3 день</w:t>
            </w:r>
          </w:p>
        </w:tc>
        <w:tc>
          <w:tcPr>
            <w:tcW w:w="2410" w:type="dxa"/>
            <w:vAlign w:val="center"/>
          </w:tcPr>
          <w:p w14:paraId="5AB7125C" w14:textId="77777777" w:rsidR="00304132" w:rsidRPr="00AC3044" w:rsidRDefault="00304132" w:rsidP="00CD5E09">
            <w:pPr>
              <w:rPr>
                <w:rFonts w:eastAsia="SimSun"/>
              </w:rPr>
            </w:pPr>
            <w:r w:rsidRPr="00AC3044">
              <w:rPr>
                <w:rFonts w:eastAsia="SimSun"/>
              </w:rPr>
              <w:t>Внутрь, суммарная суточная доза разделяется на 4 приема с интервалом 6 часов. День -6: бусульфан разделяется на 2 приема с интервалом 6 часов, в вечернее время (18.00, 24.00)</w:t>
            </w:r>
          </w:p>
        </w:tc>
      </w:tr>
      <w:tr w:rsidR="00304132" w:rsidRPr="00AC3044" w14:paraId="08422A04" w14:textId="77777777" w:rsidTr="00CD5E09">
        <w:trPr>
          <w:cantSplit/>
          <w:trHeight w:val="606"/>
        </w:trPr>
        <w:tc>
          <w:tcPr>
            <w:tcW w:w="1135" w:type="dxa"/>
            <w:vMerge w:val="restart"/>
            <w:textDirection w:val="btLr"/>
            <w:vAlign w:val="center"/>
          </w:tcPr>
          <w:p w14:paraId="3B756D0D" w14:textId="77777777" w:rsidR="00304132" w:rsidRPr="00AC3044" w:rsidRDefault="00304132" w:rsidP="00CD5E09">
            <w:pPr>
              <w:rPr>
                <w:rFonts w:eastAsia="SimSun"/>
              </w:rPr>
            </w:pPr>
            <w:r w:rsidRPr="00AC3044">
              <w:rPr>
                <w:rFonts w:eastAsia="SimSun"/>
              </w:rPr>
              <w:t>Профилактика РТПХ</w:t>
            </w:r>
          </w:p>
        </w:tc>
        <w:tc>
          <w:tcPr>
            <w:tcW w:w="1559" w:type="dxa"/>
            <w:vAlign w:val="center"/>
          </w:tcPr>
          <w:p w14:paraId="22E55DB2" w14:textId="77777777" w:rsidR="00304132" w:rsidRPr="00AC3044" w:rsidRDefault="00304132" w:rsidP="00CD5E09">
            <w:pPr>
              <w:rPr>
                <w:rFonts w:eastAsia="SimSun"/>
              </w:rPr>
            </w:pPr>
            <w:r w:rsidRPr="00AC3044">
              <w:rPr>
                <w:rFonts w:eastAsia="SimSun"/>
              </w:rPr>
              <w:t>Циклофосфамид</w:t>
            </w:r>
          </w:p>
        </w:tc>
        <w:tc>
          <w:tcPr>
            <w:tcW w:w="1418" w:type="dxa"/>
            <w:vAlign w:val="center"/>
          </w:tcPr>
          <w:p w14:paraId="54484490" w14:textId="77777777" w:rsidR="00304132" w:rsidRPr="00AC3044" w:rsidRDefault="00304132" w:rsidP="00CD5E09">
            <w:pPr>
              <w:rPr>
                <w:rFonts w:eastAsia="SimSun"/>
              </w:rPr>
            </w:pPr>
            <w:r w:rsidRPr="00AC3044">
              <w:rPr>
                <w:rFonts w:eastAsia="SimSun"/>
              </w:rPr>
              <w:t>50 мг/кг</w:t>
            </w:r>
          </w:p>
        </w:tc>
        <w:tc>
          <w:tcPr>
            <w:tcW w:w="1559" w:type="dxa"/>
            <w:vAlign w:val="center"/>
          </w:tcPr>
          <w:p w14:paraId="737B2C6A" w14:textId="77777777" w:rsidR="00304132" w:rsidRPr="00AC3044" w:rsidRDefault="00304132" w:rsidP="00CD5E09">
            <w:pPr>
              <w:rPr>
                <w:rFonts w:eastAsia="SimSun"/>
              </w:rPr>
            </w:pPr>
            <w:r w:rsidRPr="00AC3044">
              <w:rPr>
                <w:rFonts w:eastAsia="SimSun"/>
              </w:rPr>
              <w:t>100 мг/кг</w:t>
            </w:r>
          </w:p>
        </w:tc>
        <w:tc>
          <w:tcPr>
            <w:tcW w:w="1559" w:type="dxa"/>
            <w:vAlign w:val="center"/>
          </w:tcPr>
          <w:p w14:paraId="5763D21F" w14:textId="77777777" w:rsidR="00304132" w:rsidRPr="00AC3044" w:rsidRDefault="00304132" w:rsidP="00CD5E09">
            <w:pPr>
              <w:rPr>
                <w:rFonts w:eastAsia="SimSun"/>
              </w:rPr>
            </w:pPr>
            <w:r w:rsidRPr="00AC3044">
              <w:rPr>
                <w:rFonts w:eastAsia="SimSun"/>
              </w:rPr>
              <w:t>С +3 дня по +4 день</w:t>
            </w:r>
          </w:p>
        </w:tc>
        <w:tc>
          <w:tcPr>
            <w:tcW w:w="2410" w:type="dxa"/>
            <w:vAlign w:val="center"/>
          </w:tcPr>
          <w:p w14:paraId="2B80D398" w14:textId="77777777" w:rsidR="00304132" w:rsidRPr="00AC3044" w:rsidRDefault="00304132" w:rsidP="00CD5E09">
            <w:pPr>
              <w:rPr>
                <w:rFonts w:eastAsia="SimSun"/>
              </w:rPr>
            </w:pPr>
            <w:r w:rsidRPr="00AC3044">
              <w:rPr>
                <w:rFonts w:eastAsia="SimSun"/>
              </w:rPr>
              <w:t>В/в, в течение 2 часов</w:t>
            </w:r>
          </w:p>
        </w:tc>
      </w:tr>
      <w:tr w:rsidR="00304132" w:rsidRPr="00AC3044" w14:paraId="568ED979" w14:textId="77777777" w:rsidTr="00CD5E09">
        <w:trPr>
          <w:cantSplit/>
          <w:trHeight w:val="958"/>
        </w:trPr>
        <w:tc>
          <w:tcPr>
            <w:tcW w:w="1135" w:type="dxa"/>
            <w:vMerge/>
            <w:textDirection w:val="btLr"/>
            <w:vAlign w:val="center"/>
          </w:tcPr>
          <w:p w14:paraId="6D528CFA" w14:textId="77777777" w:rsidR="00304132" w:rsidRPr="00AC3044" w:rsidRDefault="00304132" w:rsidP="00CD5E09">
            <w:pPr>
              <w:rPr>
                <w:rFonts w:eastAsia="SimSun"/>
              </w:rPr>
            </w:pPr>
          </w:p>
        </w:tc>
        <w:tc>
          <w:tcPr>
            <w:tcW w:w="1559" w:type="dxa"/>
            <w:vAlign w:val="center"/>
          </w:tcPr>
          <w:p w14:paraId="12F75580" w14:textId="77777777" w:rsidR="00304132" w:rsidRPr="00AC3044" w:rsidRDefault="00304132" w:rsidP="00CD5E09">
            <w:pPr>
              <w:rPr>
                <w:rFonts w:eastAsia="SimSun"/>
              </w:rPr>
            </w:pPr>
            <w:r w:rsidRPr="00AC3044">
              <w:rPr>
                <w:rFonts w:eastAsia="SimSun"/>
              </w:rPr>
              <w:t xml:space="preserve">Такролимус </w:t>
            </w:r>
          </w:p>
        </w:tc>
        <w:tc>
          <w:tcPr>
            <w:tcW w:w="1418" w:type="dxa"/>
            <w:vAlign w:val="center"/>
          </w:tcPr>
          <w:p w14:paraId="3597BA96" w14:textId="77777777" w:rsidR="00304132" w:rsidRPr="00AC3044" w:rsidRDefault="00304132" w:rsidP="00CD5E09">
            <w:pPr>
              <w:rPr>
                <w:rFonts w:eastAsia="SimSun"/>
              </w:rPr>
            </w:pPr>
            <w:r w:rsidRPr="00AC3044">
              <w:rPr>
                <w:rFonts w:eastAsia="SimSun"/>
              </w:rPr>
              <w:t>0,03 мг/кг</w:t>
            </w:r>
          </w:p>
        </w:tc>
        <w:tc>
          <w:tcPr>
            <w:tcW w:w="1559" w:type="dxa"/>
            <w:vAlign w:val="center"/>
          </w:tcPr>
          <w:p w14:paraId="18DDD0FB" w14:textId="77777777" w:rsidR="00304132" w:rsidRPr="00AC3044" w:rsidRDefault="00304132" w:rsidP="00CD5E09">
            <w:pPr>
              <w:rPr>
                <w:rFonts w:eastAsia="SimSun"/>
              </w:rPr>
            </w:pPr>
            <w:r w:rsidRPr="00AC3044">
              <w:rPr>
                <w:rFonts w:eastAsia="SimSun"/>
              </w:rPr>
              <w:t>–</w:t>
            </w:r>
          </w:p>
        </w:tc>
        <w:tc>
          <w:tcPr>
            <w:tcW w:w="1559" w:type="dxa"/>
            <w:vAlign w:val="center"/>
          </w:tcPr>
          <w:p w14:paraId="10A6E169" w14:textId="77777777" w:rsidR="00304132" w:rsidRPr="00AC3044" w:rsidRDefault="00304132" w:rsidP="00CD5E09">
            <w:pPr>
              <w:rPr>
                <w:rFonts w:eastAsia="SimSun"/>
              </w:rPr>
            </w:pPr>
            <w:r w:rsidRPr="00AC3044">
              <w:rPr>
                <w:rFonts w:eastAsia="SimSun"/>
              </w:rPr>
              <w:t xml:space="preserve">С +5 дня длительно </w:t>
            </w:r>
          </w:p>
        </w:tc>
        <w:tc>
          <w:tcPr>
            <w:tcW w:w="2410" w:type="dxa"/>
            <w:vAlign w:val="center"/>
          </w:tcPr>
          <w:p w14:paraId="6D2243C5" w14:textId="77777777" w:rsidR="00304132" w:rsidRPr="00AC3044" w:rsidRDefault="00304132" w:rsidP="00CD5E09">
            <w:pPr>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w:t>
            </w:r>
            <w:r w:rsidRPr="00AC3044">
              <w:rPr>
                <w:rFonts w:eastAsia="SimSun"/>
              </w:rPr>
              <w:t xml:space="preserve"> 10</w:t>
            </w:r>
            <w:r w:rsidRPr="0074195F">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304132" w:rsidRPr="00AC3044" w14:paraId="0DAC1C1B" w14:textId="77777777" w:rsidTr="00CD5E09">
        <w:trPr>
          <w:cantSplit/>
          <w:trHeight w:val="576"/>
        </w:trPr>
        <w:tc>
          <w:tcPr>
            <w:tcW w:w="1135" w:type="dxa"/>
            <w:vMerge/>
            <w:textDirection w:val="btLr"/>
            <w:vAlign w:val="center"/>
          </w:tcPr>
          <w:p w14:paraId="4139C901" w14:textId="77777777" w:rsidR="00304132" w:rsidRPr="00AC3044" w:rsidRDefault="00304132" w:rsidP="00CD5E09">
            <w:pPr>
              <w:rPr>
                <w:rFonts w:eastAsia="SimSun"/>
              </w:rPr>
            </w:pPr>
          </w:p>
        </w:tc>
        <w:tc>
          <w:tcPr>
            <w:tcW w:w="1559" w:type="dxa"/>
            <w:vAlign w:val="center"/>
          </w:tcPr>
          <w:p w14:paraId="60E1013B" w14:textId="77777777" w:rsidR="00304132" w:rsidRPr="00AC3044" w:rsidRDefault="00304132" w:rsidP="00CD5E09">
            <w:pPr>
              <w:rPr>
                <w:rFonts w:eastAsia="SimSun"/>
              </w:rPr>
            </w:pPr>
            <w:r w:rsidRPr="00AC3044">
              <w:rPr>
                <w:rFonts w:eastAsia="SimSun"/>
              </w:rPr>
              <w:t>Микофенолата мофетил</w:t>
            </w:r>
          </w:p>
        </w:tc>
        <w:tc>
          <w:tcPr>
            <w:tcW w:w="1418" w:type="dxa"/>
            <w:vAlign w:val="center"/>
          </w:tcPr>
          <w:p w14:paraId="32F9146B" w14:textId="77777777" w:rsidR="00304132" w:rsidRPr="00AC3044" w:rsidRDefault="00304132" w:rsidP="00CD5E09">
            <w:pPr>
              <w:rPr>
                <w:rFonts w:eastAsia="SimSun"/>
              </w:rPr>
            </w:pPr>
            <w:r w:rsidRPr="00AC3044">
              <w:rPr>
                <w:rFonts w:eastAsia="SimSun"/>
              </w:rPr>
              <w:t xml:space="preserve">45 мг/кг </w:t>
            </w:r>
          </w:p>
        </w:tc>
        <w:tc>
          <w:tcPr>
            <w:tcW w:w="1559" w:type="dxa"/>
            <w:vAlign w:val="center"/>
          </w:tcPr>
          <w:p w14:paraId="18911A80" w14:textId="77777777" w:rsidR="00304132" w:rsidRPr="00AC3044" w:rsidRDefault="00304132" w:rsidP="00CD5E09">
            <w:pPr>
              <w:rPr>
                <w:rFonts w:eastAsia="SimSun"/>
              </w:rPr>
            </w:pPr>
            <w:r w:rsidRPr="00AC3044">
              <w:rPr>
                <w:rFonts w:eastAsia="SimSun"/>
              </w:rPr>
              <w:t>–</w:t>
            </w:r>
          </w:p>
        </w:tc>
        <w:tc>
          <w:tcPr>
            <w:tcW w:w="1559" w:type="dxa"/>
            <w:vAlign w:val="center"/>
          </w:tcPr>
          <w:p w14:paraId="11B25ADF" w14:textId="77777777" w:rsidR="00304132" w:rsidRPr="00AC3044" w:rsidRDefault="00304132" w:rsidP="00CD5E09">
            <w:pPr>
              <w:rPr>
                <w:rFonts w:eastAsia="SimSun"/>
              </w:rPr>
            </w:pPr>
            <w:r w:rsidRPr="00AC3044">
              <w:rPr>
                <w:rFonts w:eastAsia="SimSun"/>
              </w:rPr>
              <w:t xml:space="preserve">С +5 дня по +35 день </w:t>
            </w:r>
          </w:p>
        </w:tc>
        <w:tc>
          <w:tcPr>
            <w:tcW w:w="2410" w:type="dxa"/>
            <w:vAlign w:val="center"/>
          </w:tcPr>
          <w:p w14:paraId="0254E399" w14:textId="77777777" w:rsidR="00304132" w:rsidRPr="00AC3044" w:rsidRDefault="00304132" w:rsidP="00CD5E09">
            <w:pPr>
              <w:rPr>
                <w:rFonts w:eastAsia="SimSun"/>
              </w:rPr>
            </w:pPr>
            <w:r w:rsidRPr="00AC3044">
              <w:rPr>
                <w:rFonts w:eastAsia="SimSun"/>
              </w:rPr>
              <w:t xml:space="preserve">Внутрь, суммарная суточная доза разделяется на 2- 4 приема (не более 3г/сут).  </w:t>
            </w:r>
          </w:p>
        </w:tc>
      </w:tr>
    </w:tbl>
    <w:p w14:paraId="1EBF0224" w14:textId="77777777" w:rsidR="00304132" w:rsidRPr="00C07B2E" w:rsidRDefault="00304132" w:rsidP="00304132">
      <w:pPr>
        <w:rPr>
          <w:rFonts w:eastAsia="SimSun"/>
        </w:rPr>
      </w:pPr>
    </w:p>
    <w:p w14:paraId="20C1F0C1" w14:textId="77777777" w:rsidR="00304132" w:rsidRPr="00C07B2E" w:rsidRDefault="00304132" w:rsidP="00304132">
      <w:pPr>
        <w:rPr>
          <w:rFonts w:eastAsia="SimSun"/>
        </w:rPr>
      </w:pPr>
      <w:bookmarkStart w:id="374" w:name="_Toc44401235"/>
      <w:r w:rsidRPr="00EE51B1">
        <w:rPr>
          <w:rFonts w:eastAsia="SimSun"/>
        </w:rPr>
        <w:t>Таблица</w:t>
      </w:r>
      <w:r w:rsidRPr="00C07B2E">
        <w:rPr>
          <w:rFonts w:eastAsia="SimSun"/>
        </w:rPr>
        <w:t xml:space="preserve"> </w:t>
      </w:r>
      <w:r>
        <w:rPr>
          <w:rFonts w:eastAsia="SimSun"/>
        </w:rPr>
        <w:t>5.</w:t>
      </w:r>
      <w:r w:rsidRPr="00C07B2E">
        <w:rPr>
          <w:rFonts w:eastAsia="SimSun"/>
        </w:rPr>
        <w:t>3.1.10  – Flu150+Treo36 / PT-Cy+CSA+MMF30</w:t>
      </w:r>
      <w:bookmarkEnd w:id="374"/>
    </w:p>
    <w:tbl>
      <w:tblPr>
        <w:tblW w:w="9608"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03"/>
        <w:gridCol w:w="1559"/>
        <w:gridCol w:w="1418"/>
        <w:gridCol w:w="1559"/>
        <w:gridCol w:w="1559"/>
        <w:gridCol w:w="2410"/>
      </w:tblGrid>
      <w:tr w:rsidR="00304132" w:rsidRPr="00AC3044" w14:paraId="087D7D12" w14:textId="77777777" w:rsidTr="00CD5E09">
        <w:trPr>
          <w:cantSplit/>
          <w:trHeight w:val="20"/>
          <w:tblHeader/>
        </w:trPr>
        <w:tc>
          <w:tcPr>
            <w:tcW w:w="1103" w:type="dxa"/>
          </w:tcPr>
          <w:p w14:paraId="4B3DCF24" w14:textId="77777777" w:rsidR="00304132" w:rsidRPr="006A5E21" w:rsidRDefault="00304132" w:rsidP="00CD5E09">
            <w:pPr>
              <w:rPr>
                <w:rFonts w:eastAsia="SimSun"/>
              </w:rPr>
            </w:pPr>
          </w:p>
        </w:tc>
        <w:tc>
          <w:tcPr>
            <w:tcW w:w="1559" w:type="dxa"/>
            <w:vAlign w:val="center"/>
          </w:tcPr>
          <w:p w14:paraId="1D40664E" w14:textId="77777777" w:rsidR="00304132" w:rsidRPr="00AC3044" w:rsidRDefault="00304132" w:rsidP="00CD5E09">
            <w:pPr>
              <w:rPr>
                <w:rFonts w:eastAsia="SimSun"/>
              </w:rPr>
            </w:pPr>
            <w:r w:rsidRPr="00AC3044">
              <w:rPr>
                <w:rFonts w:eastAsia="SimSun"/>
              </w:rPr>
              <w:t>Препарат</w:t>
            </w:r>
          </w:p>
        </w:tc>
        <w:tc>
          <w:tcPr>
            <w:tcW w:w="1418" w:type="dxa"/>
            <w:vAlign w:val="center"/>
          </w:tcPr>
          <w:p w14:paraId="4AA18A17" w14:textId="77777777" w:rsidR="00304132" w:rsidRPr="00AC3044" w:rsidRDefault="00304132" w:rsidP="00CD5E09">
            <w:pPr>
              <w:rPr>
                <w:rFonts w:eastAsia="SimSun"/>
              </w:rPr>
            </w:pPr>
            <w:r w:rsidRPr="00AC3044">
              <w:rPr>
                <w:rFonts w:eastAsia="SimSun"/>
              </w:rPr>
              <w:t>Суточная доза</w:t>
            </w:r>
          </w:p>
        </w:tc>
        <w:tc>
          <w:tcPr>
            <w:tcW w:w="1559" w:type="dxa"/>
            <w:vAlign w:val="center"/>
          </w:tcPr>
          <w:p w14:paraId="323B6055" w14:textId="77777777" w:rsidR="00304132" w:rsidRPr="00AC3044" w:rsidRDefault="00304132" w:rsidP="00CD5E09">
            <w:pPr>
              <w:rPr>
                <w:rFonts w:eastAsia="SimSun"/>
              </w:rPr>
            </w:pPr>
            <w:r w:rsidRPr="00AC3044">
              <w:rPr>
                <w:rFonts w:eastAsia="SimSun"/>
              </w:rPr>
              <w:t>Курсовая доза</w:t>
            </w:r>
          </w:p>
        </w:tc>
        <w:tc>
          <w:tcPr>
            <w:tcW w:w="1559" w:type="dxa"/>
            <w:vAlign w:val="center"/>
          </w:tcPr>
          <w:p w14:paraId="2AEB7DC3" w14:textId="77777777" w:rsidR="00304132" w:rsidRPr="00AC3044" w:rsidRDefault="00304132" w:rsidP="00CD5E09">
            <w:pPr>
              <w:rPr>
                <w:rFonts w:eastAsia="SimSun"/>
              </w:rPr>
            </w:pPr>
            <w:r w:rsidRPr="00AC3044">
              <w:rPr>
                <w:rFonts w:eastAsia="SimSun"/>
              </w:rPr>
              <w:t>Дни введения</w:t>
            </w:r>
          </w:p>
        </w:tc>
        <w:tc>
          <w:tcPr>
            <w:tcW w:w="2410" w:type="dxa"/>
            <w:vAlign w:val="center"/>
          </w:tcPr>
          <w:p w14:paraId="2744765C" w14:textId="77777777" w:rsidR="00304132" w:rsidRPr="00AC3044" w:rsidRDefault="00304132" w:rsidP="00CD5E09">
            <w:pPr>
              <w:rPr>
                <w:rFonts w:eastAsia="SimSun"/>
              </w:rPr>
            </w:pPr>
            <w:r w:rsidRPr="00AC3044">
              <w:rPr>
                <w:rFonts w:eastAsia="SimSun"/>
              </w:rPr>
              <w:t>Порядок введения</w:t>
            </w:r>
          </w:p>
        </w:tc>
      </w:tr>
      <w:tr w:rsidR="00304132" w:rsidRPr="00AC3044" w14:paraId="3BA41981" w14:textId="77777777" w:rsidTr="00CD5E09">
        <w:trPr>
          <w:cantSplit/>
          <w:trHeight w:val="20"/>
        </w:trPr>
        <w:tc>
          <w:tcPr>
            <w:tcW w:w="1103" w:type="dxa"/>
            <w:vMerge w:val="restart"/>
            <w:textDirection w:val="btLr"/>
            <w:vAlign w:val="center"/>
          </w:tcPr>
          <w:p w14:paraId="5133C041" w14:textId="77777777" w:rsidR="00304132" w:rsidRPr="00AC3044" w:rsidRDefault="00304132" w:rsidP="00CD5E09">
            <w:pPr>
              <w:rPr>
                <w:rFonts w:eastAsia="SimSun"/>
              </w:rPr>
            </w:pPr>
            <w:r w:rsidRPr="00AC3044">
              <w:rPr>
                <w:rFonts w:eastAsia="SimSun"/>
              </w:rPr>
              <w:t>Кондиционирование</w:t>
            </w:r>
          </w:p>
        </w:tc>
        <w:tc>
          <w:tcPr>
            <w:tcW w:w="1559" w:type="dxa"/>
            <w:vAlign w:val="center"/>
          </w:tcPr>
          <w:p w14:paraId="4963579A" w14:textId="77777777" w:rsidR="00304132" w:rsidRPr="00AC3044" w:rsidRDefault="00304132" w:rsidP="00CD5E09">
            <w:pPr>
              <w:rPr>
                <w:rFonts w:eastAsia="SimSun"/>
              </w:rPr>
            </w:pPr>
            <w:r w:rsidRPr="00AC3044">
              <w:rPr>
                <w:rFonts w:eastAsia="SimSun"/>
              </w:rPr>
              <w:t xml:space="preserve">Флударабин </w:t>
            </w:r>
          </w:p>
        </w:tc>
        <w:tc>
          <w:tcPr>
            <w:tcW w:w="1418" w:type="dxa"/>
            <w:vAlign w:val="center"/>
          </w:tcPr>
          <w:p w14:paraId="03248E8F" w14:textId="77777777" w:rsidR="00304132" w:rsidRPr="00AC3044" w:rsidRDefault="00304132" w:rsidP="00CD5E09">
            <w:pPr>
              <w:rPr>
                <w:rFonts w:eastAsia="SimSun"/>
              </w:rPr>
            </w:pPr>
            <w:r w:rsidRPr="00AC3044">
              <w:rPr>
                <w:rFonts w:eastAsia="SimSun"/>
              </w:rPr>
              <w:t>30 мг/м2</w:t>
            </w:r>
          </w:p>
        </w:tc>
        <w:tc>
          <w:tcPr>
            <w:tcW w:w="1559" w:type="dxa"/>
            <w:vAlign w:val="center"/>
          </w:tcPr>
          <w:p w14:paraId="2C7DAEBC" w14:textId="77777777" w:rsidR="00304132" w:rsidRPr="00AC3044" w:rsidRDefault="00304132" w:rsidP="00CD5E09">
            <w:pPr>
              <w:rPr>
                <w:rFonts w:eastAsia="SimSun"/>
              </w:rPr>
            </w:pPr>
            <w:r w:rsidRPr="00AC3044">
              <w:rPr>
                <w:rFonts w:eastAsia="SimSun"/>
              </w:rPr>
              <w:t>150 мг/м</w:t>
            </w:r>
            <w:r w:rsidRPr="0074195F">
              <w:rPr>
                <w:rFonts w:eastAsia="SimSun"/>
                <w:vertAlign w:val="superscript"/>
              </w:rPr>
              <w:t>2</w:t>
            </w:r>
          </w:p>
        </w:tc>
        <w:tc>
          <w:tcPr>
            <w:tcW w:w="1559" w:type="dxa"/>
            <w:vAlign w:val="center"/>
          </w:tcPr>
          <w:p w14:paraId="6CA53145" w14:textId="77777777" w:rsidR="00304132" w:rsidRPr="00AC3044" w:rsidRDefault="00304132" w:rsidP="00CD5E09">
            <w:pPr>
              <w:rPr>
                <w:rFonts w:eastAsia="SimSun"/>
              </w:rPr>
            </w:pPr>
            <w:r w:rsidRPr="00AC3044">
              <w:rPr>
                <w:rFonts w:eastAsia="SimSun"/>
              </w:rPr>
              <w:t>С –6 по –2 день</w:t>
            </w:r>
          </w:p>
        </w:tc>
        <w:tc>
          <w:tcPr>
            <w:tcW w:w="2410" w:type="dxa"/>
            <w:vAlign w:val="center"/>
          </w:tcPr>
          <w:p w14:paraId="18602625" w14:textId="77777777" w:rsidR="00304132" w:rsidRPr="00AC3044" w:rsidRDefault="00304132" w:rsidP="00CD5E09">
            <w:pPr>
              <w:rPr>
                <w:rFonts w:eastAsia="SimSun"/>
              </w:rPr>
            </w:pPr>
            <w:r w:rsidRPr="00AC3044">
              <w:rPr>
                <w:rFonts w:eastAsia="SimSun"/>
              </w:rPr>
              <w:t>В/в, в течение 30 -60 мин</w:t>
            </w:r>
          </w:p>
        </w:tc>
      </w:tr>
      <w:tr w:rsidR="00304132" w:rsidRPr="00AC3044" w14:paraId="2771A6A8" w14:textId="77777777" w:rsidTr="00CD5E09">
        <w:trPr>
          <w:cantSplit/>
          <w:trHeight w:val="879"/>
        </w:trPr>
        <w:tc>
          <w:tcPr>
            <w:tcW w:w="1103" w:type="dxa"/>
            <w:vMerge/>
            <w:textDirection w:val="btLr"/>
            <w:vAlign w:val="center"/>
          </w:tcPr>
          <w:p w14:paraId="21734F52" w14:textId="77777777" w:rsidR="00304132" w:rsidRPr="00AC3044" w:rsidRDefault="00304132" w:rsidP="00CD5E09">
            <w:pPr>
              <w:rPr>
                <w:rFonts w:eastAsia="SimSun"/>
              </w:rPr>
            </w:pPr>
          </w:p>
        </w:tc>
        <w:tc>
          <w:tcPr>
            <w:tcW w:w="1559" w:type="dxa"/>
            <w:vAlign w:val="center"/>
          </w:tcPr>
          <w:p w14:paraId="5FB6AE04" w14:textId="77777777" w:rsidR="00304132" w:rsidRPr="00AC3044" w:rsidRDefault="00304132" w:rsidP="00CD5E09">
            <w:pPr>
              <w:rPr>
                <w:rFonts w:eastAsia="SimSun"/>
              </w:rPr>
            </w:pPr>
            <w:r w:rsidRPr="00AC3044">
              <w:rPr>
                <w:rFonts w:eastAsia="SimSun"/>
              </w:rPr>
              <w:t>Треосульфан</w:t>
            </w:r>
          </w:p>
        </w:tc>
        <w:tc>
          <w:tcPr>
            <w:tcW w:w="1418" w:type="dxa"/>
            <w:vAlign w:val="center"/>
          </w:tcPr>
          <w:p w14:paraId="7E3EB640" w14:textId="77777777" w:rsidR="00304132" w:rsidRPr="00AC3044" w:rsidRDefault="00304132" w:rsidP="00CD5E09">
            <w:pPr>
              <w:rPr>
                <w:rFonts w:eastAsia="SimSun"/>
              </w:rPr>
            </w:pPr>
            <w:r w:rsidRPr="00AC3044">
              <w:rPr>
                <w:rFonts w:eastAsia="SimSun"/>
              </w:rPr>
              <w:t>12 г/м2</w:t>
            </w:r>
          </w:p>
        </w:tc>
        <w:tc>
          <w:tcPr>
            <w:tcW w:w="1559" w:type="dxa"/>
            <w:vAlign w:val="center"/>
          </w:tcPr>
          <w:p w14:paraId="46E2BD8B" w14:textId="77777777" w:rsidR="00304132" w:rsidRPr="00AC3044" w:rsidRDefault="00304132" w:rsidP="00CD5E09">
            <w:pPr>
              <w:rPr>
                <w:rFonts w:eastAsia="SimSun"/>
              </w:rPr>
            </w:pPr>
            <w:r w:rsidRPr="00AC3044">
              <w:rPr>
                <w:rFonts w:eastAsia="SimSun"/>
              </w:rPr>
              <w:t>36 г/м</w:t>
            </w:r>
            <w:r w:rsidRPr="0074195F">
              <w:rPr>
                <w:rFonts w:eastAsia="SimSun"/>
                <w:vertAlign w:val="superscript"/>
              </w:rPr>
              <w:t>2</w:t>
            </w:r>
          </w:p>
        </w:tc>
        <w:tc>
          <w:tcPr>
            <w:tcW w:w="1559" w:type="dxa"/>
            <w:vAlign w:val="center"/>
          </w:tcPr>
          <w:p w14:paraId="038E66ED" w14:textId="77777777" w:rsidR="00304132" w:rsidRPr="00AC3044" w:rsidRDefault="00304132" w:rsidP="00CD5E09">
            <w:pPr>
              <w:rPr>
                <w:rFonts w:eastAsia="SimSun"/>
              </w:rPr>
            </w:pPr>
            <w:r w:rsidRPr="00AC3044">
              <w:rPr>
                <w:rFonts w:eastAsia="SimSun"/>
              </w:rPr>
              <w:t>С –6 по –4 день</w:t>
            </w:r>
          </w:p>
        </w:tc>
        <w:tc>
          <w:tcPr>
            <w:tcW w:w="2410" w:type="dxa"/>
            <w:vAlign w:val="center"/>
          </w:tcPr>
          <w:p w14:paraId="090F3505" w14:textId="77777777" w:rsidR="00304132" w:rsidRPr="00AC3044" w:rsidRDefault="00304132" w:rsidP="00CD5E09">
            <w:pPr>
              <w:rPr>
                <w:rFonts w:eastAsia="SimSun"/>
              </w:rPr>
            </w:pPr>
            <w:r w:rsidRPr="00AC3044">
              <w:rPr>
                <w:rFonts w:eastAsia="SimSun"/>
              </w:rPr>
              <w:t>В/в, в течение 2 часов</w:t>
            </w:r>
          </w:p>
        </w:tc>
      </w:tr>
      <w:tr w:rsidR="00304132" w:rsidRPr="00AC3044" w14:paraId="78422CA0" w14:textId="77777777" w:rsidTr="00CD5E09">
        <w:trPr>
          <w:cantSplit/>
          <w:trHeight w:val="1534"/>
        </w:trPr>
        <w:tc>
          <w:tcPr>
            <w:tcW w:w="1103" w:type="dxa"/>
            <w:vMerge w:val="restart"/>
            <w:textDirection w:val="btLr"/>
            <w:vAlign w:val="center"/>
          </w:tcPr>
          <w:p w14:paraId="4E134A74" w14:textId="77777777" w:rsidR="00304132" w:rsidRPr="00AC3044" w:rsidRDefault="00304132" w:rsidP="00CD5E09">
            <w:pPr>
              <w:rPr>
                <w:rFonts w:eastAsia="SimSun"/>
              </w:rPr>
            </w:pPr>
            <w:r w:rsidRPr="00AC3044">
              <w:rPr>
                <w:rFonts w:eastAsia="SimSun"/>
              </w:rPr>
              <w:t>Профилактика РТПХ</w:t>
            </w:r>
          </w:p>
        </w:tc>
        <w:tc>
          <w:tcPr>
            <w:tcW w:w="1559" w:type="dxa"/>
            <w:vAlign w:val="center"/>
          </w:tcPr>
          <w:p w14:paraId="551C32A9" w14:textId="77777777" w:rsidR="00304132" w:rsidRPr="00AC3044" w:rsidRDefault="00304132" w:rsidP="00CD5E09">
            <w:pPr>
              <w:rPr>
                <w:rFonts w:eastAsia="SimSun"/>
              </w:rPr>
            </w:pPr>
            <w:r w:rsidRPr="00AC3044">
              <w:rPr>
                <w:rFonts w:eastAsia="SimSun"/>
              </w:rPr>
              <w:t>Циклоспорин</w:t>
            </w:r>
          </w:p>
        </w:tc>
        <w:tc>
          <w:tcPr>
            <w:tcW w:w="1418" w:type="dxa"/>
            <w:vAlign w:val="center"/>
          </w:tcPr>
          <w:p w14:paraId="35D0542A" w14:textId="77777777" w:rsidR="00304132" w:rsidRPr="00AC3044" w:rsidRDefault="00304132" w:rsidP="00CD5E09">
            <w:pPr>
              <w:rPr>
                <w:rFonts w:eastAsia="SimSun"/>
              </w:rPr>
            </w:pPr>
            <w:r w:rsidRPr="00AC3044">
              <w:rPr>
                <w:rFonts w:eastAsia="SimSun"/>
              </w:rPr>
              <w:t>3 мг/кг</w:t>
            </w:r>
          </w:p>
        </w:tc>
        <w:tc>
          <w:tcPr>
            <w:tcW w:w="1559" w:type="dxa"/>
            <w:vAlign w:val="center"/>
          </w:tcPr>
          <w:p w14:paraId="14398FC6" w14:textId="77777777" w:rsidR="00304132" w:rsidRPr="00AC3044" w:rsidRDefault="00304132" w:rsidP="00CD5E09">
            <w:pPr>
              <w:rPr>
                <w:rFonts w:eastAsia="SimSun"/>
              </w:rPr>
            </w:pPr>
            <w:r w:rsidRPr="00AC3044">
              <w:rPr>
                <w:rFonts w:eastAsia="SimSun"/>
              </w:rPr>
              <w:t>–</w:t>
            </w:r>
          </w:p>
        </w:tc>
        <w:tc>
          <w:tcPr>
            <w:tcW w:w="1559" w:type="dxa"/>
            <w:vAlign w:val="center"/>
          </w:tcPr>
          <w:p w14:paraId="7F4D6176" w14:textId="77777777" w:rsidR="00304132" w:rsidRPr="00AC3044" w:rsidRDefault="00304132" w:rsidP="00CD5E09">
            <w:pPr>
              <w:rPr>
                <w:rFonts w:eastAsia="SimSun"/>
              </w:rPr>
            </w:pPr>
            <w:r w:rsidRPr="00AC3044">
              <w:rPr>
                <w:rFonts w:eastAsia="SimSun"/>
              </w:rPr>
              <w:t>С +5 дня по +90 день затем постепенное снижение к +180 дню</w:t>
            </w:r>
          </w:p>
        </w:tc>
        <w:tc>
          <w:tcPr>
            <w:tcW w:w="2410" w:type="dxa"/>
            <w:vAlign w:val="center"/>
          </w:tcPr>
          <w:p w14:paraId="56A0F775" w14:textId="77777777" w:rsidR="00304132" w:rsidRPr="00AC3044" w:rsidRDefault="00304132" w:rsidP="00CD5E09">
            <w:pPr>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74195F">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304132" w:rsidRPr="00AC3044" w14:paraId="43B50FC0" w14:textId="77777777" w:rsidTr="00CD5E09">
        <w:trPr>
          <w:cantSplit/>
          <w:trHeight w:val="20"/>
        </w:trPr>
        <w:tc>
          <w:tcPr>
            <w:tcW w:w="1103" w:type="dxa"/>
            <w:vMerge/>
            <w:textDirection w:val="btLr"/>
          </w:tcPr>
          <w:p w14:paraId="1DB6F043" w14:textId="77777777" w:rsidR="00304132" w:rsidRPr="00AC3044" w:rsidRDefault="00304132" w:rsidP="00CD5E09">
            <w:pPr>
              <w:rPr>
                <w:rFonts w:eastAsia="SimSun"/>
              </w:rPr>
            </w:pPr>
          </w:p>
        </w:tc>
        <w:tc>
          <w:tcPr>
            <w:tcW w:w="1559" w:type="dxa"/>
            <w:vAlign w:val="center"/>
          </w:tcPr>
          <w:p w14:paraId="0E2BF0D1" w14:textId="77777777" w:rsidR="00304132" w:rsidRPr="00AC3044" w:rsidRDefault="00304132" w:rsidP="00CD5E09">
            <w:pPr>
              <w:rPr>
                <w:rFonts w:eastAsia="SimSun"/>
              </w:rPr>
            </w:pPr>
            <w:r w:rsidRPr="00AC3044">
              <w:rPr>
                <w:rFonts w:eastAsia="SimSun"/>
              </w:rPr>
              <w:t>Микофенолата мофетил</w:t>
            </w:r>
          </w:p>
        </w:tc>
        <w:tc>
          <w:tcPr>
            <w:tcW w:w="1418" w:type="dxa"/>
            <w:vAlign w:val="center"/>
          </w:tcPr>
          <w:p w14:paraId="46C2376D" w14:textId="77777777" w:rsidR="00304132" w:rsidRPr="00AC3044" w:rsidRDefault="00304132" w:rsidP="00CD5E09">
            <w:pPr>
              <w:rPr>
                <w:rFonts w:eastAsia="SimSun"/>
              </w:rPr>
            </w:pPr>
            <w:r w:rsidRPr="00AC3044">
              <w:rPr>
                <w:rFonts w:eastAsia="SimSun"/>
              </w:rPr>
              <w:t>30 мг/кг</w:t>
            </w:r>
          </w:p>
        </w:tc>
        <w:tc>
          <w:tcPr>
            <w:tcW w:w="1559" w:type="dxa"/>
            <w:vAlign w:val="center"/>
          </w:tcPr>
          <w:p w14:paraId="23D51E9A" w14:textId="77777777" w:rsidR="00304132" w:rsidRPr="00AC3044" w:rsidRDefault="00304132" w:rsidP="00CD5E09">
            <w:pPr>
              <w:rPr>
                <w:rFonts w:eastAsia="SimSun"/>
              </w:rPr>
            </w:pPr>
            <w:r w:rsidRPr="00AC3044">
              <w:rPr>
                <w:rFonts w:eastAsia="SimSun"/>
              </w:rPr>
              <w:t>–</w:t>
            </w:r>
          </w:p>
        </w:tc>
        <w:tc>
          <w:tcPr>
            <w:tcW w:w="1559" w:type="dxa"/>
            <w:vAlign w:val="center"/>
          </w:tcPr>
          <w:p w14:paraId="4203B0CB" w14:textId="77777777" w:rsidR="00304132" w:rsidRPr="00AC3044" w:rsidRDefault="00304132" w:rsidP="00CD5E09">
            <w:pPr>
              <w:rPr>
                <w:rFonts w:eastAsia="SimSun"/>
              </w:rPr>
            </w:pPr>
            <w:r w:rsidRPr="00AC3044">
              <w:rPr>
                <w:rFonts w:eastAsia="SimSun"/>
              </w:rPr>
              <w:t>С +5 по +90 день</w:t>
            </w:r>
          </w:p>
        </w:tc>
        <w:tc>
          <w:tcPr>
            <w:tcW w:w="2410" w:type="dxa"/>
            <w:vAlign w:val="center"/>
          </w:tcPr>
          <w:p w14:paraId="22A23417" w14:textId="77777777" w:rsidR="00304132" w:rsidRPr="00AC3044" w:rsidRDefault="00304132" w:rsidP="00CD5E09">
            <w:pPr>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 xml:space="preserve">г/сут).  </w:t>
            </w:r>
          </w:p>
        </w:tc>
      </w:tr>
      <w:tr w:rsidR="00304132" w:rsidRPr="00AC3044" w14:paraId="772913CD" w14:textId="77777777" w:rsidTr="00CD5E09">
        <w:trPr>
          <w:cantSplit/>
          <w:trHeight w:val="20"/>
        </w:trPr>
        <w:tc>
          <w:tcPr>
            <w:tcW w:w="1103" w:type="dxa"/>
            <w:vMerge/>
            <w:textDirection w:val="btLr"/>
          </w:tcPr>
          <w:p w14:paraId="142A17D6" w14:textId="77777777" w:rsidR="00304132" w:rsidRPr="00AC3044" w:rsidRDefault="00304132" w:rsidP="00CD5E09">
            <w:pPr>
              <w:rPr>
                <w:rFonts w:eastAsia="SimSun"/>
              </w:rPr>
            </w:pPr>
          </w:p>
        </w:tc>
        <w:tc>
          <w:tcPr>
            <w:tcW w:w="1559" w:type="dxa"/>
            <w:vAlign w:val="center"/>
          </w:tcPr>
          <w:p w14:paraId="2DE1337A" w14:textId="77777777" w:rsidR="00304132" w:rsidRPr="00AC3044" w:rsidRDefault="00304132" w:rsidP="00CD5E09">
            <w:pPr>
              <w:rPr>
                <w:rFonts w:eastAsia="SimSun"/>
              </w:rPr>
            </w:pPr>
            <w:r w:rsidRPr="00AC3044">
              <w:rPr>
                <w:rFonts w:eastAsia="SimSun"/>
              </w:rPr>
              <w:t>Циклофосфамид</w:t>
            </w:r>
          </w:p>
        </w:tc>
        <w:tc>
          <w:tcPr>
            <w:tcW w:w="1418" w:type="dxa"/>
            <w:vAlign w:val="center"/>
          </w:tcPr>
          <w:p w14:paraId="338094C8" w14:textId="77777777" w:rsidR="00304132" w:rsidRPr="00AC3044" w:rsidRDefault="00304132" w:rsidP="00CD5E09">
            <w:pPr>
              <w:rPr>
                <w:rFonts w:eastAsia="SimSun"/>
              </w:rPr>
            </w:pPr>
            <w:r w:rsidRPr="00AC3044">
              <w:rPr>
                <w:rFonts w:eastAsia="SimSun"/>
              </w:rPr>
              <w:t>50 мг/кг</w:t>
            </w:r>
          </w:p>
        </w:tc>
        <w:tc>
          <w:tcPr>
            <w:tcW w:w="1559" w:type="dxa"/>
            <w:vAlign w:val="center"/>
          </w:tcPr>
          <w:p w14:paraId="66D87EBE" w14:textId="77777777" w:rsidR="00304132" w:rsidRPr="00AC3044" w:rsidRDefault="00304132" w:rsidP="00CD5E09">
            <w:pPr>
              <w:rPr>
                <w:rFonts w:eastAsia="SimSun"/>
              </w:rPr>
            </w:pPr>
            <w:r w:rsidRPr="00AC3044">
              <w:rPr>
                <w:rFonts w:eastAsia="SimSun"/>
              </w:rPr>
              <w:t>100 мг/кг</w:t>
            </w:r>
          </w:p>
        </w:tc>
        <w:tc>
          <w:tcPr>
            <w:tcW w:w="1559" w:type="dxa"/>
            <w:vAlign w:val="center"/>
          </w:tcPr>
          <w:p w14:paraId="1A8320CF" w14:textId="77777777" w:rsidR="00304132" w:rsidRPr="00AC3044" w:rsidRDefault="00304132" w:rsidP="00CD5E09">
            <w:pPr>
              <w:rPr>
                <w:rFonts w:eastAsia="SimSun"/>
              </w:rPr>
            </w:pPr>
            <w:r w:rsidRPr="00AC3044">
              <w:rPr>
                <w:rFonts w:eastAsia="SimSun"/>
              </w:rPr>
              <w:t xml:space="preserve">+3,+4 дни </w:t>
            </w:r>
          </w:p>
        </w:tc>
        <w:tc>
          <w:tcPr>
            <w:tcW w:w="2410" w:type="dxa"/>
            <w:vAlign w:val="center"/>
          </w:tcPr>
          <w:p w14:paraId="338E5A40" w14:textId="77777777" w:rsidR="00304132" w:rsidRPr="00AC3044" w:rsidRDefault="00304132" w:rsidP="00CD5E09">
            <w:pPr>
              <w:rPr>
                <w:rFonts w:eastAsia="SimSun"/>
              </w:rPr>
            </w:pPr>
            <w:r w:rsidRPr="00AC3044">
              <w:rPr>
                <w:rFonts w:eastAsia="SimSun"/>
              </w:rPr>
              <w:t>В/в, в течение 2 часов</w:t>
            </w:r>
          </w:p>
        </w:tc>
      </w:tr>
    </w:tbl>
    <w:p w14:paraId="7DE99568" w14:textId="77777777" w:rsidR="00304132" w:rsidRDefault="00304132" w:rsidP="00304132">
      <w:pPr>
        <w:rPr>
          <w:rFonts w:eastAsia="SimSun"/>
        </w:rPr>
      </w:pPr>
      <w:bookmarkStart w:id="375" w:name="_Toc44401236"/>
    </w:p>
    <w:p w14:paraId="0515B364" w14:textId="77777777" w:rsidR="00304132" w:rsidRPr="00C07B2E" w:rsidRDefault="00304132" w:rsidP="00304132">
      <w:pPr>
        <w:rPr>
          <w:rFonts w:eastAsia="SimSun"/>
        </w:rPr>
      </w:pPr>
      <w:r w:rsidRPr="00EE51B1">
        <w:rPr>
          <w:rFonts w:eastAsia="SimSun"/>
        </w:rPr>
        <w:t>Таблица</w:t>
      </w:r>
      <w:r w:rsidRPr="00C07B2E">
        <w:rPr>
          <w:rFonts w:eastAsia="SimSun"/>
        </w:rPr>
        <w:t xml:space="preserve"> </w:t>
      </w:r>
      <w:r>
        <w:rPr>
          <w:rFonts w:eastAsia="SimSun"/>
        </w:rPr>
        <w:t>5.</w:t>
      </w:r>
      <w:r w:rsidRPr="00C07B2E">
        <w:rPr>
          <w:rFonts w:eastAsia="SimSun"/>
        </w:rPr>
        <w:t>3.1.11  – Flu150+Treo36 / PT-Cy+CSA+MMF45</w:t>
      </w:r>
      <w:bookmarkEnd w:id="375"/>
    </w:p>
    <w:tbl>
      <w:tblPr>
        <w:tblW w:w="964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5"/>
        <w:gridCol w:w="1559"/>
        <w:gridCol w:w="1418"/>
        <w:gridCol w:w="1559"/>
        <w:gridCol w:w="1559"/>
        <w:gridCol w:w="2410"/>
      </w:tblGrid>
      <w:tr w:rsidR="00304132" w:rsidRPr="00AC3044" w14:paraId="3A5447ED" w14:textId="77777777" w:rsidTr="00CD5E09">
        <w:trPr>
          <w:cantSplit/>
          <w:trHeight w:val="20"/>
          <w:tblHeader/>
        </w:trPr>
        <w:tc>
          <w:tcPr>
            <w:tcW w:w="1135" w:type="dxa"/>
          </w:tcPr>
          <w:p w14:paraId="2C8FB981" w14:textId="77777777" w:rsidR="00304132" w:rsidRPr="006A5E21" w:rsidRDefault="00304132" w:rsidP="00CD5E09">
            <w:pPr>
              <w:rPr>
                <w:rFonts w:eastAsia="SimSun"/>
              </w:rPr>
            </w:pPr>
          </w:p>
        </w:tc>
        <w:tc>
          <w:tcPr>
            <w:tcW w:w="1559" w:type="dxa"/>
            <w:vAlign w:val="center"/>
          </w:tcPr>
          <w:p w14:paraId="20CC49DB" w14:textId="77777777" w:rsidR="00304132" w:rsidRPr="00AC3044" w:rsidRDefault="00304132" w:rsidP="00CD5E09">
            <w:pPr>
              <w:rPr>
                <w:rFonts w:eastAsia="SimSun"/>
              </w:rPr>
            </w:pPr>
            <w:r w:rsidRPr="00AC3044">
              <w:rPr>
                <w:rFonts w:eastAsia="SimSun"/>
              </w:rPr>
              <w:t>Препарат</w:t>
            </w:r>
          </w:p>
        </w:tc>
        <w:tc>
          <w:tcPr>
            <w:tcW w:w="1418" w:type="dxa"/>
            <w:vAlign w:val="center"/>
          </w:tcPr>
          <w:p w14:paraId="583A0EAE" w14:textId="77777777" w:rsidR="00304132" w:rsidRPr="00AC3044" w:rsidRDefault="00304132" w:rsidP="00CD5E09">
            <w:pPr>
              <w:rPr>
                <w:rFonts w:eastAsia="SimSun"/>
              </w:rPr>
            </w:pPr>
            <w:r w:rsidRPr="00AC3044">
              <w:rPr>
                <w:rFonts w:eastAsia="SimSun"/>
              </w:rPr>
              <w:t>Суточная доза</w:t>
            </w:r>
          </w:p>
        </w:tc>
        <w:tc>
          <w:tcPr>
            <w:tcW w:w="1559" w:type="dxa"/>
            <w:vAlign w:val="center"/>
          </w:tcPr>
          <w:p w14:paraId="465204EC" w14:textId="77777777" w:rsidR="00304132" w:rsidRPr="00AC3044" w:rsidRDefault="00304132" w:rsidP="00CD5E09">
            <w:pPr>
              <w:rPr>
                <w:rFonts w:eastAsia="SimSun"/>
              </w:rPr>
            </w:pPr>
            <w:r w:rsidRPr="00AC3044">
              <w:rPr>
                <w:rFonts w:eastAsia="SimSun"/>
              </w:rPr>
              <w:t>Курсовая доза</w:t>
            </w:r>
          </w:p>
        </w:tc>
        <w:tc>
          <w:tcPr>
            <w:tcW w:w="1559" w:type="dxa"/>
            <w:vAlign w:val="center"/>
          </w:tcPr>
          <w:p w14:paraId="5393B829" w14:textId="77777777" w:rsidR="00304132" w:rsidRPr="00AC3044" w:rsidRDefault="00304132" w:rsidP="00CD5E09">
            <w:pPr>
              <w:rPr>
                <w:rFonts w:eastAsia="SimSun"/>
              </w:rPr>
            </w:pPr>
            <w:r w:rsidRPr="00AC3044">
              <w:rPr>
                <w:rFonts w:eastAsia="SimSun"/>
              </w:rPr>
              <w:t>Дни введения</w:t>
            </w:r>
          </w:p>
        </w:tc>
        <w:tc>
          <w:tcPr>
            <w:tcW w:w="2410" w:type="dxa"/>
            <w:vAlign w:val="center"/>
          </w:tcPr>
          <w:p w14:paraId="650CE258" w14:textId="77777777" w:rsidR="00304132" w:rsidRPr="00AC3044" w:rsidRDefault="00304132" w:rsidP="00CD5E09">
            <w:pPr>
              <w:rPr>
                <w:rFonts w:eastAsia="SimSun"/>
              </w:rPr>
            </w:pPr>
            <w:r w:rsidRPr="00AC3044">
              <w:rPr>
                <w:rFonts w:eastAsia="SimSun"/>
              </w:rPr>
              <w:t>Порядок введения</w:t>
            </w:r>
          </w:p>
        </w:tc>
      </w:tr>
      <w:tr w:rsidR="00304132" w:rsidRPr="00AC3044" w14:paraId="7BE79352" w14:textId="77777777" w:rsidTr="00CD5E09">
        <w:trPr>
          <w:cantSplit/>
          <w:trHeight w:val="20"/>
        </w:trPr>
        <w:tc>
          <w:tcPr>
            <w:tcW w:w="1135" w:type="dxa"/>
            <w:vMerge w:val="restart"/>
            <w:textDirection w:val="btLr"/>
            <w:vAlign w:val="center"/>
          </w:tcPr>
          <w:p w14:paraId="4E580F89" w14:textId="77777777" w:rsidR="00304132" w:rsidRPr="00AC3044" w:rsidRDefault="00304132" w:rsidP="00CD5E09">
            <w:pPr>
              <w:rPr>
                <w:rFonts w:eastAsia="SimSun"/>
              </w:rPr>
            </w:pPr>
            <w:r w:rsidRPr="00AC3044">
              <w:rPr>
                <w:rFonts w:eastAsia="SimSun"/>
              </w:rPr>
              <w:t>Кондиционирование</w:t>
            </w:r>
          </w:p>
        </w:tc>
        <w:tc>
          <w:tcPr>
            <w:tcW w:w="1559" w:type="dxa"/>
            <w:vAlign w:val="center"/>
          </w:tcPr>
          <w:p w14:paraId="2358DCB4" w14:textId="77777777" w:rsidR="00304132" w:rsidRPr="00AC3044" w:rsidRDefault="00304132" w:rsidP="00CD5E09">
            <w:pPr>
              <w:rPr>
                <w:rFonts w:eastAsia="SimSun"/>
              </w:rPr>
            </w:pPr>
            <w:r w:rsidRPr="00AC3044">
              <w:rPr>
                <w:rFonts w:eastAsia="SimSun"/>
              </w:rPr>
              <w:t xml:space="preserve">Флударабин </w:t>
            </w:r>
          </w:p>
        </w:tc>
        <w:tc>
          <w:tcPr>
            <w:tcW w:w="1418" w:type="dxa"/>
            <w:vAlign w:val="center"/>
          </w:tcPr>
          <w:p w14:paraId="2317A861" w14:textId="77777777" w:rsidR="00304132" w:rsidRPr="00AC3044" w:rsidRDefault="00304132" w:rsidP="00CD5E09">
            <w:pPr>
              <w:rPr>
                <w:rFonts w:eastAsia="SimSun"/>
              </w:rPr>
            </w:pPr>
            <w:r w:rsidRPr="00AC3044">
              <w:rPr>
                <w:rFonts w:eastAsia="SimSun"/>
              </w:rPr>
              <w:t>30 мг/м</w:t>
            </w:r>
            <w:r w:rsidRPr="0074195F">
              <w:rPr>
                <w:rFonts w:eastAsia="SimSun"/>
                <w:vertAlign w:val="superscript"/>
              </w:rPr>
              <w:t>2</w:t>
            </w:r>
          </w:p>
        </w:tc>
        <w:tc>
          <w:tcPr>
            <w:tcW w:w="1559" w:type="dxa"/>
            <w:vAlign w:val="center"/>
          </w:tcPr>
          <w:p w14:paraId="5DA3538C" w14:textId="77777777" w:rsidR="00304132" w:rsidRPr="00AC3044" w:rsidRDefault="00304132" w:rsidP="00CD5E09">
            <w:pPr>
              <w:rPr>
                <w:rFonts w:eastAsia="SimSun"/>
              </w:rPr>
            </w:pPr>
            <w:r w:rsidRPr="00AC3044">
              <w:rPr>
                <w:rFonts w:eastAsia="SimSun"/>
              </w:rPr>
              <w:t>150 мг/м</w:t>
            </w:r>
            <w:r w:rsidRPr="0074195F">
              <w:rPr>
                <w:rFonts w:eastAsia="SimSun"/>
                <w:vertAlign w:val="superscript"/>
              </w:rPr>
              <w:t>2</w:t>
            </w:r>
          </w:p>
        </w:tc>
        <w:tc>
          <w:tcPr>
            <w:tcW w:w="1559" w:type="dxa"/>
            <w:vAlign w:val="center"/>
          </w:tcPr>
          <w:p w14:paraId="5DC9188B" w14:textId="77777777" w:rsidR="00304132" w:rsidRPr="00AC3044" w:rsidRDefault="00304132" w:rsidP="00CD5E09">
            <w:pPr>
              <w:rPr>
                <w:rFonts w:eastAsia="SimSun"/>
              </w:rPr>
            </w:pPr>
            <w:r w:rsidRPr="00AC3044">
              <w:rPr>
                <w:rFonts w:eastAsia="SimSun"/>
              </w:rPr>
              <w:t>С –6 по –2 день</w:t>
            </w:r>
          </w:p>
        </w:tc>
        <w:tc>
          <w:tcPr>
            <w:tcW w:w="2410" w:type="dxa"/>
            <w:vAlign w:val="center"/>
          </w:tcPr>
          <w:p w14:paraId="06BF81EA" w14:textId="77777777" w:rsidR="00304132" w:rsidRPr="00AC3044" w:rsidRDefault="00304132" w:rsidP="00CD5E09">
            <w:pPr>
              <w:rPr>
                <w:rFonts w:eastAsia="SimSun"/>
              </w:rPr>
            </w:pPr>
            <w:r w:rsidRPr="00AC3044">
              <w:rPr>
                <w:rFonts w:eastAsia="SimSun"/>
              </w:rPr>
              <w:t xml:space="preserve"> В/в, в течение 30 -60 мин</w:t>
            </w:r>
          </w:p>
        </w:tc>
      </w:tr>
      <w:tr w:rsidR="00304132" w:rsidRPr="00AC3044" w14:paraId="7D3A2062" w14:textId="77777777" w:rsidTr="00CD5E09">
        <w:trPr>
          <w:cantSplit/>
          <w:trHeight w:val="985"/>
        </w:trPr>
        <w:tc>
          <w:tcPr>
            <w:tcW w:w="1135" w:type="dxa"/>
            <w:vMerge/>
            <w:textDirection w:val="btLr"/>
            <w:vAlign w:val="center"/>
          </w:tcPr>
          <w:p w14:paraId="7E0B9C28" w14:textId="77777777" w:rsidR="00304132" w:rsidRPr="00AC3044" w:rsidRDefault="00304132" w:rsidP="00CD5E09">
            <w:pPr>
              <w:rPr>
                <w:rFonts w:eastAsia="SimSun"/>
              </w:rPr>
            </w:pPr>
          </w:p>
        </w:tc>
        <w:tc>
          <w:tcPr>
            <w:tcW w:w="1559" w:type="dxa"/>
            <w:vAlign w:val="center"/>
          </w:tcPr>
          <w:p w14:paraId="1E72B5FA" w14:textId="77777777" w:rsidR="00304132" w:rsidRPr="00AC3044" w:rsidRDefault="00304132" w:rsidP="00CD5E09">
            <w:pPr>
              <w:rPr>
                <w:rFonts w:eastAsia="SimSun"/>
              </w:rPr>
            </w:pPr>
            <w:r w:rsidRPr="00AC3044">
              <w:rPr>
                <w:rFonts w:eastAsia="SimSun"/>
              </w:rPr>
              <w:t>Треосульфан</w:t>
            </w:r>
          </w:p>
        </w:tc>
        <w:tc>
          <w:tcPr>
            <w:tcW w:w="1418" w:type="dxa"/>
            <w:vAlign w:val="center"/>
          </w:tcPr>
          <w:p w14:paraId="31BBECA5" w14:textId="77777777" w:rsidR="00304132" w:rsidRPr="00AC3044" w:rsidRDefault="00304132" w:rsidP="00CD5E09">
            <w:pPr>
              <w:rPr>
                <w:rFonts w:eastAsia="SimSun"/>
              </w:rPr>
            </w:pPr>
            <w:r w:rsidRPr="00AC3044">
              <w:rPr>
                <w:rFonts w:eastAsia="SimSun"/>
              </w:rPr>
              <w:t>12 г/м</w:t>
            </w:r>
            <w:r w:rsidRPr="0074195F">
              <w:rPr>
                <w:rFonts w:eastAsia="SimSun"/>
                <w:vertAlign w:val="superscript"/>
              </w:rPr>
              <w:t>2</w:t>
            </w:r>
          </w:p>
        </w:tc>
        <w:tc>
          <w:tcPr>
            <w:tcW w:w="1559" w:type="dxa"/>
            <w:vAlign w:val="center"/>
          </w:tcPr>
          <w:p w14:paraId="117251F5" w14:textId="77777777" w:rsidR="00304132" w:rsidRPr="00AC3044" w:rsidRDefault="00304132" w:rsidP="00CD5E09">
            <w:pPr>
              <w:rPr>
                <w:rFonts w:eastAsia="SimSun"/>
              </w:rPr>
            </w:pPr>
            <w:r w:rsidRPr="00AC3044">
              <w:rPr>
                <w:rFonts w:eastAsia="SimSun"/>
              </w:rPr>
              <w:t>36 г/м</w:t>
            </w:r>
            <w:r w:rsidRPr="0074195F">
              <w:rPr>
                <w:rFonts w:eastAsia="SimSun"/>
                <w:vertAlign w:val="superscript"/>
              </w:rPr>
              <w:t>2</w:t>
            </w:r>
          </w:p>
        </w:tc>
        <w:tc>
          <w:tcPr>
            <w:tcW w:w="1559" w:type="dxa"/>
            <w:vAlign w:val="center"/>
          </w:tcPr>
          <w:p w14:paraId="69BED993" w14:textId="77777777" w:rsidR="00304132" w:rsidRPr="00AC3044" w:rsidRDefault="00304132" w:rsidP="00CD5E09">
            <w:pPr>
              <w:rPr>
                <w:rFonts w:eastAsia="SimSun"/>
              </w:rPr>
            </w:pPr>
            <w:r w:rsidRPr="00AC3044">
              <w:rPr>
                <w:rFonts w:eastAsia="SimSun"/>
              </w:rPr>
              <w:t>С –6 по –4 день</w:t>
            </w:r>
          </w:p>
        </w:tc>
        <w:tc>
          <w:tcPr>
            <w:tcW w:w="2410" w:type="dxa"/>
            <w:vAlign w:val="center"/>
          </w:tcPr>
          <w:p w14:paraId="59ADD7BC" w14:textId="77777777" w:rsidR="00304132" w:rsidRPr="00AC3044" w:rsidRDefault="00304132" w:rsidP="00CD5E09">
            <w:pPr>
              <w:rPr>
                <w:rFonts w:eastAsia="SimSun"/>
              </w:rPr>
            </w:pPr>
            <w:r w:rsidRPr="00AC3044">
              <w:rPr>
                <w:rFonts w:eastAsia="SimSun"/>
              </w:rPr>
              <w:t>В/в, в течение 2 часов</w:t>
            </w:r>
          </w:p>
        </w:tc>
      </w:tr>
      <w:tr w:rsidR="00304132" w:rsidRPr="00AC3044" w14:paraId="4DD1F10C" w14:textId="77777777" w:rsidTr="00CD5E09">
        <w:trPr>
          <w:cantSplit/>
          <w:trHeight w:val="1680"/>
        </w:trPr>
        <w:tc>
          <w:tcPr>
            <w:tcW w:w="1135" w:type="dxa"/>
            <w:vMerge w:val="restart"/>
            <w:textDirection w:val="btLr"/>
            <w:vAlign w:val="center"/>
          </w:tcPr>
          <w:p w14:paraId="39F94EAE" w14:textId="77777777" w:rsidR="00304132" w:rsidRPr="00AC3044" w:rsidRDefault="00304132" w:rsidP="00CD5E09">
            <w:pPr>
              <w:rPr>
                <w:rFonts w:eastAsia="SimSun"/>
              </w:rPr>
            </w:pPr>
            <w:r w:rsidRPr="00AC3044">
              <w:rPr>
                <w:rFonts w:eastAsia="SimSun"/>
              </w:rPr>
              <w:t>Профилактика РТПХ</w:t>
            </w:r>
          </w:p>
        </w:tc>
        <w:tc>
          <w:tcPr>
            <w:tcW w:w="1559" w:type="dxa"/>
            <w:vAlign w:val="center"/>
          </w:tcPr>
          <w:p w14:paraId="2C4C4573" w14:textId="77777777" w:rsidR="00304132" w:rsidRPr="00AC3044" w:rsidRDefault="00304132" w:rsidP="00CD5E09">
            <w:pPr>
              <w:rPr>
                <w:rFonts w:eastAsia="SimSun"/>
              </w:rPr>
            </w:pPr>
            <w:r w:rsidRPr="00AC3044">
              <w:rPr>
                <w:rFonts w:eastAsia="SimSun"/>
              </w:rPr>
              <w:t>Циклоспорин</w:t>
            </w:r>
          </w:p>
        </w:tc>
        <w:tc>
          <w:tcPr>
            <w:tcW w:w="1418" w:type="dxa"/>
            <w:vAlign w:val="center"/>
          </w:tcPr>
          <w:p w14:paraId="05111743" w14:textId="77777777" w:rsidR="00304132" w:rsidRPr="00AC3044" w:rsidRDefault="00304132" w:rsidP="00CD5E09">
            <w:pPr>
              <w:rPr>
                <w:rFonts w:eastAsia="SimSun"/>
              </w:rPr>
            </w:pPr>
            <w:r w:rsidRPr="00AC3044">
              <w:rPr>
                <w:rFonts w:eastAsia="SimSun"/>
              </w:rPr>
              <w:t>3 мг/кг</w:t>
            </w:r>
          </w:p>
        </w:tc>
        <w:tc>
          <w:tcPr>
            <w:tcW w:w="1559" w:type="dxa"/>
            <w:vAlign w:val="center"/>
          </w:tcPr>
          <w:p w14:paraId="7BB60794" w14:textId="77777777" w:rsidR="00304132" w:rsidRPr="00AC3044" w:rsidRDefault="00304132" w:rsidP="00CD5E09">
            <w:pPr>
              <w:rPr>
                <w:rFonts w:eastAsia="SimSun"/>
              </w:rPr>
            </w:pPr>
            <w:r w:rsidRPr="00AC3044">
              <w:rPr>
                <w:rFonts w:eastAsia="SimSun"/>
              </w:rPr>
              <w:t>–</w:t>
            </w:r>
          </w:p>
        </w:tc>
        <w:tc>
          <w:tcPr>
            <w:tcW w:w="1559" w:type="dxa"/>
            <w:vAlign w:val="center"/>
          </w:tcPr>
          <w:p w14:paraId="114DB959" w14:textId="77777777" w:rsidR="00304132" w:rsidRPr="00AC3044" w:rsidRDefault="00304132" w:rsidP="00CD5E09">
            <w:pPr>
              <w:rPr>
                <w:rFonts w:eastAsia="SimSun"/>
              </w:rPr>
            </w:pPr>
            <w:r w:rsidRPr="00AC3044">
              <w:rPr>
                <w:rFonts w:eastAsia="SimSun"/>
              </w:rPr>
              <w:t>С +5 дня по +90 день затем постепенное снижение к +180 дню</w:t>
            </w:r>
          </w:p>
        </w:tc>
        <w:tc>
          <w:tcPr>
            <w:tcW w:w="2410" w:type="dxa"/>
            <w:vAlign w:val="center"/>
          </w:tcPr>
          <w:p w14:paraId="6DCC331E" w14:textId="77777777" w:rsidR="00304132" w:rsidRPr="00AC3044" w:rsidRDefault="00304132" w:rsidP="00CD5E09">
            <w:pPr>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74195F">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304132" w:rsidRPr="00AC3044" w14:paraId="01B8CAEF" w14:textId="77777777" w:rsidTr="00CD5E09">
        <w:trPr>
          <w:cantSplit/>
          <w:trHeight w:val="20"/>
        </w:trPr>
        <w:tc>
          <w:tcPr>
            <w:tcW w:w="1135" w:type="dxa"/>
            <w:vMerge/>
            <w:textDirection w:val="btLr"/>
          </w:tcPr>
          <w:p w14:paraId="0A19299C" w14:textId="77777777" w:rsidR="00304132" w:rsidRPr="00AC3044" w:rsidRDefault="00304132" w:rsidP="00CD5E09">
            <w:pPr>
              <w:rPr>
                <w:rFonts w:eastAsia="SimSun"/>
              </w:rPr>
            </w:pPr>
          </w:p>
        </w:tc>
        <w:tc>
          <w:tcPr>
            <w:tcW w:w="1559" w:type="dxa"/>
            <w:vAlign w:val="center"/>
          </w:tcPr>
          <w:p w14:paraId="025E0DC2" w14:textId="77777777" w:rsidR="00304132" w:rsidRPr="00AC3044" w:rsidRDefault="00304132" w:rsidP="00CD5E09">
            <w:pPr>
              <w:rPr>
                <w:rFonts w:eastAsia="SimSun"/>
              </w:rPr>
            </w:pPr>
            <w:r w:rsidRPr="00AC3044">
              <w:rPr>
                <w:rFonts w:eastAsia="SimSun"/>
              </w:rPr>
              <w:t>Микофенолата мофетил</w:t>
            </w:r>
          </w:p>
        </w:tc>
        <w:tc>
          <w:tcPr>
            <w:tcW w:w="1418" w:type="dxa"/>
            <w:vAlign w:val="center"/>
          </w:tcPr>
          <w:p w14:paraId="6D4274E9" w14:textId="77777777" w:rsidR="00304132" w:rsidRPr="00AC3044" w:rsidRDefault="00304132" w:rsidP="00CD5E09">
            <w:pPr>
              <w:rPr>
                <w:rFonts w:eastAsia="SimSun"/>
              </w:rPr>
            </w:pPr>
            <w:r w:rsidRPr="00AC3044">
              <w:rPr>
                <w:rFonts w:eastAsia="SimSun"/>
              </w:rPr>
              <w:t>45 мг/кг</w:t>
            </w:r>
          </w:p>
        </w:tc>
        <w:tc>
          <w:tcPr>
            <w:tcW w:w="1559" w:type="dxa"/>
            <w:vAlign w:val="center"/>
          </w:tcPr>
          <w:p w14:paraId="298BF9A5" w14:textId="77777777" w:rsidR="00304132" w:rsidRPr="00AC3044" w:rsidRDefault="00304132" w:rsidP="00CD5E09">
            <w:pPr>
              <w:rPr>
                <w:rFonts w:eastAsia="SimSun"/>
              </w:rPr>
            </w:pPr>
            <w:r w:rsidRPr="00AC3044">
              <w:rPr>
                <w:rFonts w:eastAsia="SimSun"/>
              </w:rPr>
              <w:t>–</w:t>
            </w:r>
          </w:p>
        </w:tc>
        <w:tc>
          <w:tcPr>
            <w:tcW w:w="1559" w:type="dxa"/>
            <w:vAlign w:val="center"/>
          </w:tcPr>
          <w:p w14:paraId="79F5082E" w14:textId="77777777" w:rsidR="00304132" w:rsidRPr="00AC3044" w:rsidRDefault="00304132" w:rsidP="00CD5E09">
            <w:pPr>
              <w:rPr>
                <w:rFonts w:eastAsia="SimSun"/>
              </w:rPr>
            </w:pPr>
            <w:r w:rsidRPr="00AC3044">
              <w:rPr>
                <w:rFonts w:eastAsia="SimSun"/>
              </w:rPr>
              <w:t>С +5 по +90 день</w:t>
            </w:r>
          </w:p>
        </w:tc>
        <w:tc>
          <w:tcPr>
            <w:tcW w:w="2410" w:type="dxa"/>
            <w:vAlign w:val="center"/>
          </w:tcPr>
          <w:p w14:paraId="4847B35D" w14:textId="77777777" w:rsidR="00304132" w:rsidRPr="00AC3044" w:rsidRDefault="00304132" w:rsidP="00CD5E09">
            <w:pPr>
              <w:rPr>
                <w:rFonts w:eastAsia="SimSun"/>
              </w:rPr>
            </w:pPr>
            <w:r w:rsidRPr="00AC3044">
              <w:rPr>
                <w:rFonts w:eastAsia="SimSun"/>
              </w:rPr>
              <w:t xml:space="preserve">Внутрь, суммарная суточная доза разделяется на 2- 4 приема (не более 3г/сут).  </w:t>
            </w:r>
          </w:p>
        </w:tc>
      </w:tr>
      <w:tr w:rsidR="00304132" w:rsidRPr="00AC3044" w14:paraId="20B59AA9" w14:textId="77777777" w:rsidTr="00CD5E09">
        <w:trPr>
          <w:cantSplit/>
          <w:trHeight w:val="20"/>
        </w:trPr>
        <w:tc>
          <w:tcPr>
            <w:tcW w:w="1135" w:type="dxa"/>
            <w:vMerge/>
            <w:textDirection w:val="btLr"/>
          </w:tcPr>
          <w:p w14:paraId="294DE5A1" w14:textId="77777777" w:rsidR="00304132" w:rsidRPr="00AC3044" w:rsidRDefault="00304132" w:rsidP="00CD5E09">
            <w:pPr>
              <w:rPr>
                <w:rFonts w:eastAsia="SimSun"/>
              </w:rPr>
            </w:pPr>
          </w:p>
        </w:tc>
        <w:tc>
          <w:tcPr>
            <w:tcW w:w="1559" w:type="dxa"/>
            <w:vAlign w:val="center"/>
          </w:tcPr>
          <w:p w14:paraId="2C6F0AD0" w14:textId="77777777" w:rsidR="00304132" w:rsidRPr="00AC3044" w:rsidRDefault="00304132" w:rsidP="00CD5E09">
            <w:pPr>
              <w:rPr>
                <w:rFonts w:eastAsia="SimSun"/>
              </w:rPr>
            </w:pPr>
            <w:r w:rsidRPr="00AC3044">
              <w:rPr>
                <w:rFonts w:eastAsia="SimSun"/>
              </w:rPr>
              <w:t>Циклофосфамид</w:t>
            </w:r>
          </w:p>
        </w:tc>
        <w:tc>
          <w:tcPr>
            <w:tcW w:w="1418" w:type="dxa"/>
            <w:vAlign w:val="center"/>
          </w:tcPr>
          <w:p w14:paraId="3AFE9652" w14:textId="77777777" w:rsidR="00304132" w:rsidRPr="00AC3044" w:rsidRDefault="00304132" w:rsidP="00CD5E09">
            <w:pPr>
              <w:rPr>
                <w:rFonts w:eastAsia="SimSun"/>
              </w:rPr>
            </w:pPr>
            <w:r w:rsidRPr="00AC3044">
              <w:rPr>
                <w:rFonts w:eastAsia="SimSun"/>
              </w:rPr>
              <w:t>50 мг/кг</w:t>
            </w:r>
          </w:p>
        </w:tc>
        <w:tc>
          <w:tcPr>
            <w:tcW w:w="1559" w:type="dxa"/>
            <w:vAlign w:val="center"/>
          </w:tcPr>
          <w:p w14:paraId="53D98993" w14:textId="77777777" w:rsidR="00304132" w:rsidRPr="00AC3044" w:rsidRDefault="00304132" w:rsidP="00CD5E09">
            <w:pPr>
              <w:rPr>
                <w:rFonts w:eastAsia="SimSun"/>
              </w:rPr>
            </w:pPr>
            <w:r w:rsidRPr="00AC3044">
              <w:rPr>
                <w:rFonts w:eastAsia="SimSun"/>
              </w:rPr>
              <w:t>100 мг/кг</w:t>
            </w:r>
          </w:p>
        </w:tc>
        <w:tc>
          <w:tcPr>
            <w:tcW w:w="1559" w:type="dxa"/>
            <w:vAlign w:val="center"/>
          </w:tcPr>
          <w:p w14:paraId="5B7FB8AC" w14:textId="77777777" w:rsidR="00304132" w:rsidRPr="00AC3044" w:rsidRDefault="00304132" w:rsidP="00CD5E09">
            <w:pPr>
              <w:rPr>
                <w:rFonts w:eastAsia="SimSun"/>
              </w:rPr>
            </w:pPr>
            <w:r w:rsidRPr="00AC3044">
              <w:rPr>
                <w:rFonts w:eastAsia="SimSun"/>
              </w:rPr>
              <w:t xml:space="preserve">+3,+4 дни </w:t>
            </w:r>
          </w:p>
        </w:tc>
        <w:tc>
          <w:tcPr>
            <w:tcW w:w="2410" w:type="dxa"/>
            <w:vAlign w:val="center"/>
          </w:tcPr>
          <w:p w14:paraId="4DDC8A61" w14:textId="77777777" w:rsidR="00304132" w:rsidRPr="00AC3044" w:rsidRDefault="00304132" w:rsidP="00CD5E09">
            <w:pPr>
              <w:rPr>
                <w:rFonts w:eastAsia="SimSun"/>
              </w:rPr>
            </w:pPr>
            <w:r w:rsidRPr="00AC3044">
              <w:rPr>
                <w:rFonts w:eastAsia="SimSun"/>
              </w:rPr>
              <w:t>В/в, в течение 2 часов</w:t>
            </w:r>
          </w:p>
        </w:tc>
      </w:tr>
    </w:tbl>
    <w:p w14:paraId="71FAFCB0" w14:textId="77777777" w:rsidR="00304132" w:rsidRPr="00C07B2E" w:rsidRDefault="00304132" w:rsidP="00304132">
      <w:pPr>
        <w:rPr>
          <w:rFonts w:eastAsia="SimSun"/>
        </w:rPr>
      </w:pPr>
    </w:p>
    <w:p w14:paraId="44BCEE17" w14:textId="77777777" w:rsidR="00304132" w:rsidRPr="00C07B2E" w:rsidRDefault="00304132" w:rsidP="00304132">
      <w:pPr>
        <w:rPr>
          <w:rFonts w:eastAsia="SimSun"/>
        </w:rPr>
      </w:pPr>
    </w:p>
    <w:p w14:paraId="1F06AF77" w14:textId="77777777" w:rsidR="00304132" w:rsidRPr="00C07B2E" w:rsidRDefault="00304132" w:rsidP="00304132">
      <w:pPr>
        <w:rPr>
          <w:rFonts w:eastAsia="SimSun"/>
        </w:rPr>
      </w:pPr>
      <w:bookmarkStart w:id="376" w:name="_Toc44401237"/>
      <w:r>
        <w:rPr>
          <w:rFonts w:eastAsia="SimSun"/>
        </w:rPr>
        <w:lastRenderedPageBreak/>
        <w:t>Таблица</w:t>
      </w:r>
      <w:r w:rsidRPr="00C07B2E">
        <w:rPr>
          <w:rFonts w:eastAsia="SimSun"/>
        </w:rPr>
        <w:t xml:space="preserve"> </w:t>
      </w:r>
      <w:r>
        <w:rPr>
          <w:rFonts w:eastAsia="SimSun"/>
        </w:rPr>
        <w:t>5.</w:t>
      </w:r>
      <w:r w:rsidRPr="00C07B2E">
        <w:rPr>
          <w:rFonts w:eastAsia="SimSun"/>
        </w:rPr>
        <w:t>3.1. 12 – Flu150+Cy29+TBI / PT-Cy+CSA+MMF45</w:t>
      </w:r>
      <w:bookmarkEnd w:id="376"/>
    </w:p>
    <w:tbl>
      <w:tblPr>
        <w:tblW w:w="5036"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23"/>
        <w:gridCol w:w="1524"/>
        <w:gridCol w:w="1388"/>
        <w:gridCol w:w="1520"/>
        <w:gridCol w:w="1382"/>
        <w:gridCol w:w="2478"/>
      </w:tblGrid>
      <w:tr w:rsidR="00304132" w:rsidRPr="00AC3044" w14:paraId="491CAABB" w14:textId="77777777" w:rsidTr="00CD5E09">
        <w:trPr>
          <w:cantSplit/>
          <w:trHeight w:val="20"/>
          <w:tblHeader/>
        </w:trPr>
        <w:tc>
          <w:tcPr>
            <w:tcW w:w="596" w:type="pct"/>
            <w:vAlign w:val="center"/>
          </w:tcPr>
          <w:p w14:paraId="5E862A2A" w14:textId="77777777" w:rsidR="00304132" w:rsidRPr="00AC3044" w:rsidRDefault="00304132" w:rsidP="00CD5E09">
            <w:pPr>
              <w:rPr>
                <w:rFonts w:eastAsia="SimSun"/>
              </w:rPr>
            </w:pPr>
          </w:p>
        </w:tc>
        <w:tc>
          <w:tcPr>
            <w:tcW w:w="809" w:type="pct"/>
            <w:vAlign w:val="center"/>
          </w:tcPr>
          <w:p w14:paraId="5C0C8777" w14:textId="77777777" w:rsidR="00304132" w:rsidRPr="00AC3044" w:rsidRDefault="00304132" w:rsidP="00CD5E09">
            <w:pPr>
              <w:rPr>
                <w:rFonts w:eastAsia="SimSun"/>
              </w:rPr>
            </w:pPr>
            <w:r w:rsidRPr="00AC3044">
              <w:rPr>
                <w:rFonts w:eastAsia="SimSun"/>
              </w:rPr>
              <w:t>Препарат</w:t>
            </w:r>
          </w:p>
        </w:tc>
        <w:tc>
          <w:tcPr>
            <w:tcW w:w="737" w:type="pct"/>
            <w:vAlign w:val="center"/>
          </w:tcPr>
          <w:p w14:paraId="67B5C3E2" w14:textId="77777777" w:rsidR="00304132" w:rsidRPr="00AC3044" w:rsidRDefault="00304132" w:rsidP="00CD5E09">
            <w:pPr>
              <w:rPr>
                <w:rFonts w:eastAsia="SimSun"/>
              </w:rPr>
            </w:pPr>
            <w:r w:rsidRPr="00AC3044">
              <w:rPr>
                <w:rFonts w:eastAsia="SimSun"/>
              </w:rPr>
              <w:t>Суточная доза</w:t>
            </w:r>
          </w:p>
        </w:tc>
        <w:tc>
          <w:tcPr>
            <w:tcW w:w="807" w:type="pct"/>
            <w:vAlign w:val="center"/>
          </w:tcPr>
          <w:p w14:paraId="4328A545" w14:textId="77777777" w:rsidR="00304132" w:rsidRPr="00AC3044" w:rsidRDefault="00304132" w:rsidP="00CD5E09">
            <w:pPr>
              <w:rPr>
                <w:rFonts w:eastAsia="SimSun"/>
              </w:rPr>
            </w:pPr>
            <w:r w:rsidRPr="00AC3044">
              <w:rPr>
                <w:rFonts w:eastAsia="SimSun"/>
              </w:rPr>
              <w:t>Курсовая доза</w:t>
            </w:r>
          </w:p>
        </w:tc>
        <w:tc>
          <w:tcPr>
            <w:tcW w:w="734" w:type="pct"/>
            <w:vAlign w:val="center"/>
          </w:tcPr>
          <w:p w14:paraId="09591EB0" w14:textId="77777777" w:rsidR="00304132" w:rsidRPr="00AC3044" w:rsidRDefault="00304132" w:rsidP="00CD5E09">
            <w:pPr>
              <w:rPr>
                <w:rFonts w:eastAsia="SimSun"/>
              </w:rPr>
            </w:pPr>
            <w:r w:rsidRPr="00AC3044">
              <w:rPr>
                <w:rFonts w:eastAsia="SimSun"/>
              </w:rPr>
              <w:t>Дни введения</w:t>
            </w:r>
          </w:p>
        </w:tc>
        <w:tc>
          <w:tcPr>
            <w:tcW w:w="1316" w:type="pct"/>
            <w:vAlign w:val="center"/>
          </w:tcPr>
          <w:p w14:paraId="3AFAF884" w14:textId="77777777" w:rsidR="00304132" w:rsidRPr="00AC3044" w:rsidRDefault="00304132" w:rsidP="00CD5E09">
            <w:pPr>
              <w:rPr>
                <w:rFonts w:eastAsia="SimSun"/>
              </w:rPr>
            </w:pPr>
            <w:r w:rsidRPr="00AC3044">
              <w:rPr>
                <w:rFonts w:eastAsia="SimSun"/>
              </w:rPr>
              <w:t>Порядок введения</w:t>
            </w:r>
          </w:p>
        </w:tc>
      </w:tr>
      <w:tr w:rsidR="00304132" w:rsidRPr="00AC3044" w14:paraId="331E9AB8" w14:textId="77777777" w:rsidTr="00CD5E09">
        <w:trPr>
          <w:cantSplit/>
          <w:trHeight w:val="20"/>
        </w:trPr>
        <w:tc>
          <w:tcPr>
            <w:tcW w:w="596" w:type="pct"/>
            <w:vMerge w:val="restart"/>
            <w:textDirection w:val="btLr"/>
            <w:vAlign w:val="center"/>
          </w:tcPr>
          <w:p w14:paraId="6BCEAC69" w14:textId="77777777" w:rsidR="00304132" w:rsidRPr="00AC3044" w:rsidRDefault="00304132" w:rsidP="00CD5E09">
            <w:pPr>
              <w:rPr>
                <w:rFonts w:eastAsia="SimSun"/>
              </w:rPr>
            </w:pPr>
            <w:r w:rsidRPr="00AC3044">
              <w:rPr>
                <w:rFonts w:eastAsia="SimSun"/>
              </w:rPr>
              <w:t>Кондиционирование</w:t>
            </w:r>
          </w:p>
        </w:tc>
        <w:tc>
          <w:tcPr>
            <w:tcW w:w="809" w:type="pct"/>
          </w:tcPr>
          <w:p w14:paraId="72B9283C" w14:textId="77777777" w:rsidR="00304132" w:rsidRPr="00AC3044" w:rsidRDefault="00304132" w:rsidP="00CD5E09">
            <w:pPr>
              <w:rPr>
                <w:rFonts w:eastAsia="SimSun"/>
              </w:rPr>
            </w:pPr>
            <w:r w:rsidRPr="00AC3044">
              <w:rPr>
                <w:rFonts w:eastAsia="SimSun"/>
              </w:rPr>
              <w:t xml:space="preserve">Флударабин </w:t>
            </w:r>
          </w:p>
        </w:tc>
        <w:tc>
          <w:tcPr>
            <w:tcW w:w="737" w:type="pct"/>
          </w:tcPr>
          <w:p w14:paraId="44497BCF" w14:textId="77777777" w:rsidR="00304132" w:rsidRPr="00AC3044" w:rsidRDefault="00304132" w:rsidP="00CD5E09">
            <w:pPr>
              <w:rPr>
                <w:rFonts w:eastAsia="SimSun"/>
              </w:rPr>
            </w:pPr>
            <w:r w:rsidRPr="00AC3044">
              <w:rPr>
                <w:rFonts w:eastAsia="SimSun"/>
              </w:rPr>
              <w:t>30 мг/м</w:t>
            </w:r>
            <w:r w:rsidRPr="0074195F">
              <w:rPr>
                <w:rFonts w:eastAsia="SimSun"/>
                <w:vertAlign w:val="superscript"/>
              </w:rPr>
              <w:t>2</w:t>
            </w:r>
          </w:p>
        </w:tc>
        <w:tc>
          <w:tcPr>
            <w:tcW w:w="807" w:type="pct"/>
          </w:tcPr>
          <w:p w14:paraId="521F9156" w14:textId="77777777" w:rsidR="00304132" w:rsidRPr="00AC3044" w:rsidRDefault="00304132" w:rsidP="00CD5E09">
            <w:pPr>
              <w:rPr>
                <w:rFonts w:eastAsia="SimSun"/>
              </w:rPr>
            </w:pPr>
            <w:r w:rsidRPr="00AC3044">
              <w:rPr>
                <w:rFonts w:eastAsia="SimSun"/>
              </w:rPr>
              <w:t>150 мг/м</w:t>
            </w:r>
            <w:r w:rsidRPr="0074195F">
              <w:rPr>
                <w:rFonts w:eastAsia="SimSun"/>
                <w:vertAlign w:val="superscript"/>
              </w:rPr>
              <w:t>2</w:t>
            </w:r>
          </w:p>
        </w:tc>
        <w:tc>
          <w:tcPr>
            <w:tcW w:w="734" w:type="pct"/>
          </w:tcPr>
          <w:p w14:paraId="2017619E" w14:textId="77777777" w:rsidR="00304132" w:rsidRPr="00AC3044" w:rsidRDefault="00304132" w:rsidP="00CD5E09">
            <w:pPr>
              <w:rPr>
                <w:rFonts w:eastAsia="SimSun"/>
              </w:rPr>
            </w:pPr>
            <w:r w:rsidRPr="00AC3044">
              <w:rPr>
                <w:rFonts w:eastAsia="SimSun"/>
              </w:rPr>
              <w:t>С –6 по –2 день</w:t>
            </w:r>
          </w:p>
        </w:tc>
        <w:tc>
          <w:tcPr>
            <w:tcW w:w="1316" w:type="pct"/>
          </w:tcPr>
          <w:p w14:paraId="3C08A7EA" w14:textId="77777777" w:rsidR="00304132" w:rsidRPr="00AC3044" w:rsidRDefault="00304132" w:rsidP="00CD5E09">
            <w:pPr>
              <w:rPr>
                <w:rFonts w:eastAsia="SimSun"/>
              </w:rPr>
            </w:pPr>
            <w:r w:rsidRPr="00C07B2E">
              <w:rPr>
                <w:rFonts w:eastAsia="SimSun"/>
              </w:rPr>
              <w:t>В/в, в течение 30 -60 мин</w:t>
            </w:r>
          </w:p>
        </w:tc>
      </w:tr>
      <w:tr w:rsidR="00304132" w:rsidRPr="00AC3044" w14:paraId="382B575C" w14:textId="77777777" w:rsidTr="00CD5E09">
        <w:trPr>
          <w:cantSplit/>
          <w:trHeight w:val="586"/>
        </w:trPr>
        <w:tc>
          <w:tcPr>
            <w:tcW w:w="596" w:type="pct"/>
            <w:vMerge/>
            <w:vAlign w:val="center"/>
          </w:tcPr>
          <w:p w14:paraId="38224F19" w14:textId="77777777" w:rsidR="00304132" w:rsidRPr="00AC3044" w:rsidRDefault="00304132" w:rsidP="00CD5E09">
            <w:pPr>
              <w:rPr>
                <w:rFonts w:eastAsia="SimSun"/>
              </w:rPr>
            </w:pPr>
          </w:p>
        </w:tc>
        <w:tc>
          <w:tcPr>
            <w:tcW w:w="809" w:type="pct"/>
            <w:vAlign w:val="center"/>
          </w:tcPr>
          <w:p w14:paraId="17414C26" w14:textId="77777777" w:rsidR="00304132" w:rsidRPr="00AC3044" w:rsidRDefault="00304132" w:rsidP="00CD5E09">
            <w:pPr>
              <w:rPr>
                <w:rFonts w:eastAsia="SimSun"/>
              </w:rPr>
            </w:pPr>
            <w:r w:rsidRPr="00AC3044">
              <w:rPr>
                <w:rFonts w:eastAsia="SimSun"/>
              </w:rPr>
              <w:t>Циклофосфамид</w:t>
            </w:r>
          </w:p>
        </w:tc>
        <w:tc>
          <w:tcPr>
            <w:tcW w:w="737" w:type="pct"/>
            <w:vAlign w:val="center"/>
          </w:tcPr>
          <w:p w14:paraId="3F130E05" w14:textId="77777777" w:rsidR="00304132" w:rsidRPr="00AC3044" w:rsidRDefault="00304132" w:rsidP="00CD5E09">
            <w:pPr>
              <w:rPr>
                <w:rFonts w:eastAsia="SimSun"/>
              </w:rPr>
            </w:pPr>
            <w:r w:rsidRPr="00AC3044">
              <w:rPr>
                <w:rFonts w:eastAsia="SimSun"/>
              </w:rPr>
              <w:t>14,5 мг/кг</w:t>
            </w:r>
          </w:p>
        </w:tc>
        <w:tc>
          <w:tcPr>
            <w:tcW w:w="807" w:type="pct"/>
            <w:vAlign w:val="center"/>
          </w:tcPr>
          <w:p w14:paraId="590DA2D7" w14:textId="77777777" w:rsidR="00304132" w:rsidRPr="00AC3044" w:rsidRDefault="00304132" w:rsidP="00CD5E09">
            <w:pPr>
              <w:rPr>
                <w:rFonts w:eastAsia="SimSun"/>
              </w:rPr>
            </w:pPr>
            <w:r w:rsidRPr="00AC3044">
              <w:rPr>
                <w:rFonts w:eastAsia="SimSun"/>
              </w:rPr>
              <w:t>29 мг/кг</w:t>
            </w:r>
          </w:p>
        </w:tc>
        <w:tc>
          <w:tcPr>
            <w:tcW w:w="734" w:type="pct"/>
            <w:vAlign w:val="center"/>
          </w:tcPr>
          <w:p w14:paraId="7B2D07D1" w14:textId="77777777" w:rsidR="00304132" w:rsidRPr="00AC3044" w:rsidRDefault="00304132" w:rsidP="00CD5E09">
            <w:pPr>
              <w:rPr>
                <w:rFonts w:eastAsia="SimSun"/>
              </w:rPr>
            </w:pPr>
            <w:r w:rsidRPr="00AC3044">
              <w:rPr>
                <w:rFonts w:eastAsia="SimSun"/>
              </w:rPr>
              <w:t xml:space="preserve">–6, –5 дни </w:t>
            </w:r>
          </w:p>
        </w:tc>
        <w:tc>
          <w:tcPr>
            <w:tcW w:w="1316" w:type="pct"/>
            <w:vAlign w:val="center"/>
          </w:tcPr>
          <w:p w14:paraId="0991C47B" w14:textId="77777777" w:rsidR="00304132" w:rsidRPr="00AC3044" w:rsidRDefault="00304132" w:rsidP="00CD5E09">
            <w:pPr>
              <w:rPr>
                <w:rFonts w:eastAsia="SimSun"/>
              </w:rPr>
            </w:pPr>
            <w:r w:rsidRPr="00AC3044">
              <w:rPr>
                <w:rFonts w:eastAsia="SimSun"/>
              </w:rPr>
              <w:t>В/в, в течение 1 часа</w:t>
            </w:r>
          </w:p>
        </w:tc>
      </w:tr>
      <w:tr w:rsidR="00304132" w:rsidRPr="00AC3044" w14:paraId="32308BE9" w14:textId="77777777" w:rsidTr="00CD5E09">
        <w:trPr>
          <w:cantSplit/>
          <w:trHeight w:val="566"/>
        </w:trPr>
        <w:tc>
          <w:tcPr>
            <w:tcW w:w="596" w:type="pct"/>
            <w:vMerge/>
            <w:vAlign w:val="center"/>
          </w:tcPr>
          <w:p w14:paraId="71C3327F" w14:textId="77777777" w:rsidR="00304132" w:rsidRPr="00AC3044" w:rsidRDefault="00304132" w:rsidP="00CD5E09">
            <w:pPr>
              <w:rPr>
                <w:rFonts w:eastAsia="SimSun"/>
              </w:rPr>
            </w:pPr>
          </w:p>
        </w:tc>
        <w:tc>
          <w:tcPr>
            <w:tcW w:w="809" w:type="pct"/>
            <w:vAlign w:val="center"/>
          </w:tcPr>
          <w:p w14:paraId="68751650" w14:textId="77777777" w:rsidR="00304132" w:rsidRPr="00AC3044" w:rsidRDefault="00304132" w:rsidP="00CD5E09">
            <w:pPr>
              <w:rPr>
                <w:rFonts w:eastAsia="SimSun"/>
              </w:rPr>
            </w:pPr>
            <w:r w:rsidRPr="00AC3044">
              <w:rPr>
                <w:rFonts w:eastAsia="SimSun"/>
              </w:rPr>
              <w:t>ТТО</w:t>
            </w:r>
          </w:p>
        </w:tc>
        <w:tc>
          <w:tcPr>
            <w:tcW w:w="737" w:type="pct"/>
            <w:vAlign w:val="center"/>
          </w:tcPr>
          <w:p w14:paraId="6EE5F5B8" w14:textId="77777777" w:rsidR="00304132" w:rsidRPr="00AC3044" w:rsidRDefault="00304132" w:rsidP="00CD5E09">
            <w:pPr>
              <w:rPr>
                <w:rFonts w:eastAsia="SimSun"/>
              </w:rPr>
            </w:pPr>
            <w:r w:rsidRPr="00AC3044">
              <w:rPr>
                <w:rFonts w:eastAsia="SimSun"/>
              </w:rPr>
              <w:t>2 Гр</w:t>
            </w:r>
          </w:p>
        </w:tc>
        <w:tc>
          <w:tcPr>
            <w:tcW w:w="807" w:type="pct"/>
            <w:vAlign w:val="center"/>
          </w:tcPr>
          <w:p w14:paraId="07107AF3" w14:textId="77777777" w:rsidR="00304132" w:rsidRPr="00AC3044" w:rsidRDefault="00304132" w:rsidP="00CD5E09">
            <w:pPr>
              <w:rPr>
                <w:rFonts w:eastAsia="SimSun"/>
              </w:rPr>
            </w:pPr>
            <w:r w:rsidRPr="00AC3044">
              <w:rPr>
                <w:rFonts w:eastAsia="SimSun"/>
              </w:rPr>
              <w:t>2 Гр</w:t>
            </w:r>
          </w:p>
        </w:tc>
        <w:tc>
          <w:tcPr>
            <w:tcW w:w="734" w:type="pct"/>
            <w:vAlign w:val="center"/>
          </w:tcPr>
          <w:p w14:paraId="1E496D5C" w14:textId="77777777" w:rsidR="00304132" w:rsidRPr="00AC3044" w:rsidRDefault="00304132" w:rsidP="00CD5E09">
            <w:pPr>
              <w:rPr>
                <w:rFonts w:eastAsia="SimSun"/>
              </w:rPr>
            </w:pPr>
            <w:r w:rsidRPr="00AC3044">
              <w:rPr>
                <w:rFonts w:eastAsia="SimSun"/>
              </w:rPr>
              <w:t xml:space="preserve">Д-1 </w:t>
            </w:r>
          </w:p>
        </w:tc>
        <w:tc>
          <w:tcPr>
            <w:tcW w:w="1316" w:type="pct"/>
            <w:vAlign w:val="center"/>
          </w:tcPr>
          <w:p w14:paraId="01F514ED" w14:textId="77777777" w:rsidR="00304132" w:rsidRPr="00AC3044" w:rsidRDefault="00304132" w:rsidP="00CD5E09">
            <w:pPr>
              <w:rPr>
                <w:rFonts w:eastAsia="SimSun"/>
              </w:rPr>
            </w:pPr>
            <w:r w:rsidRPr="00AC3044">
              <w:rPr>
                <w:rFonts w:eastAsia="SimSun"/>
              </w:rPr>
              <w:t>1 фракция 2 Гр за 2 часа  без экранированиия легких</w:t>
            </w:r>
          </w:p>
        </w:tc>
      </w:tr>
      <w:tr w:rsidR="00304132" w:rsidRPr="00AC3044" w14:paraId="3EF93E6A" w14:textId="77777777" w:rsidTr="00CD5E09">
        <w:trPr>
          <w:cantSplit/>
          <w:trHeight w:val="20"/>
        </w:trPr>
        <w:tc>
          <w:tcPr>
            <w:tcW w:w="596" w:type="pct"/>
            <w:vMerge w:val="restart"/>
            <w:textDirection w:val="btLr"/>
            <w:vAlign w:val="center"/>
          </w:tcPr>
          <w:p w14:paraId="0B742BE3" w14:textId="77777777" w:rsidR="00304132" w:rsidRPr="00AC3044" w:rsidRDefault="00304132" w:rsidP="00CD5E09">
            <w:pPr>
              <w:rPr>
                <w:rFonts w:eastAsia="SimSun"/>
              </w:rPr>
            </w:pPr>
            <w:r w:rsidRPr="00AC3044">
              <w:rPr>
                <w:rFonts w:eastAsia="SimSun"/>
              </w:rPr>
              <w:t>Профилактика РТПХ</w:t>
            </w:r>
          </w:p>
        </w:tc>
        <w:tc>
          <w:tcPr>
            <w:tcW w:w="809" w:type="pct"/>
          </w:tcPr>
          <w:p w14:paraId="02C45D77" w14:textId="77777777" w:rsidR="00304132" w:rsidRPr="00AC3044" w:rsidRDefault="00304132" w:rsidP="00CD5E09">
            <w:pPr>
              <w:rPr>
                <w:rFonts w:eastAsia="SimSun"/>
              </w:rPr>
            </w:pPr>
            <w:r w:rsidRPr="00AC3044">
              <w:rPr>
                <w:rFonts w:eastAsia="SimSun"/>
              </w:rPr>
              <w:t>Циклофосфамид</w:t>
            </w:r>
          </w:p>
        </w:tc>
        <w:tc>
          <w:tcPr>
            <w:tcW w:w="737" w:type="pct"/>
          </w:tcPr>
          <w:p w14:paraId="424241F9" w14:textId="77777777" w:rsidR="00304132" w:rsidRPr="00AC3044" w:rsidRDefault="00304132" w:rsidP="00CD5E09">
            <w:pPr>
              <w:rPr>
                <w:rFonts w:eastAsia="SimSun"/>
              </w:rPr>
            </w:pPr>
            <w:r w:rsidRPr="00AC3044">
              <w:rPr>
                <w:rFonts w:eastAsia="SimSun"/>
              </w:rPr>
              <w:t>50 мг/кг</w:t>
            </w:r>
          </w:p>
        </w:tc>
        <w:tc>
          <w:tcPr>
            <w:tcW w:w="807" w:type="pct"/>
          </w:tcPr>
          <w:p w14:paraId="02E9B997" w14:textId="77777777" w:rsidR="00304132" w:rsidRPr="00AC3044" w:rsidRDefault="00304132" w:rsidP="00CD5E09">
            <w:pPr>
              <w:rPr>
                <w:rFonts w:eastAsia="SimSun"/>
              </w:rPr>
            </w:pPr>
            <w:r w:rsidRPr="00AC3044">
              <w:rPr>
                <w:rFonts w:eastAsia="SimSun"/>
              </w:rPr>
              <w:t>100 мг/кг</w:t>
            </w:r>
          </w:p>
        </w:tc>
        <w:tc>
          <w:tcPr>
            <w:tcW w:w="734" w:type="pct"/>
          </w:tcPr>
          <w:p w14:paraId="5B818EF3" w14:textId="77777777" w:rsidR="00304132" w:rsidRPr="00AC3044" w:rsidRDefault="00304132" w:rsidP="00CD5E09">
            <w:pPr>
              <w:rPr>
                <w:rFonts w:eastAsia="SimSun"/>
              </w:rPr>
            </w:pPr>
            <w:r w:rsidRPr="00AC3044">
              <w:rPr>
                <w:rFonts w:eastAsia="SimSun"/>
              </w:rPr>
              <w:t xml:space="preserve">+3,+4 дни </w:t>
            </w:r>
          </w:p>
        </w:tc>
        <w:tc>
          <w:tcPr>
            <w:tcW w:w="1316" w:type="pct"/>
          </w:tcPr>
          <w:p w14:paraId="1455E9DB" w14:textId="77777777" w:rsidR="00304132" w:rsidRPr="00AC3044" w:rsidRDefault="00304132" w:rsidP="00CD5E09">
            <w:pPr>
              <w:rPr>
                <w:rFonts w:eastAsia="SimSun"/>
              </w:rPr>
            </w:pPr>
            <w:r w:rsidRPr="00AC3044">
              <w:rPr>
                <w:rFonts w:eastAsia="SimSun"/>
              </w:rPr>
              <w:t>В/в, в течение 2 часов</w:t>
            </w:r>
          </w:p>
        </w:tc>
      </w:tr>
      <w:tr w:rsidR="00304132" w:rsidRPr="00AC3044" w14:paraId="286E49CD" w14:textId="77777777" w:rsidTr="00CD5E09">
        <w:trPr>
          <w:cantSplit/>
          <w:trHeight w:val="20"/>
        </w:trPr>
        <w:tc>
          <w:tcPr>
            <w:tcW w:w="596" w:type="pct"/>
            <w:vMerge/>
          </w:tcPr>
          <w:p w14:paraId="7ADC49C3" w14:textId="77777777" w:rsidR="00304132" w:rsidRPr="00AC3044" w:rsidRDefault="00304132" w:rsidP="00CD5E09">
            <w:pPr>
              <w:rPr>
                <w:rFonts w:eastAsia="SimSun"/>
              </w:rPr>
            </w:pPr>
          </w:p>
        </w:tc>
        <w:tc>
          <w:tcPr>
            <w:tcW w:w="809" w:type="pct"/>
            <w:vAlign w:val="center"/>
          </w:tcPr>
          <w:p w14:paraId="7006B533" w14:textId="77777777" w:rsidR="00304132" w:rsidRPr="00AC3044" w:rsidRDefault="00304132" w:rsidP="00CD5E09">
            <w:pPr>
              <w:rPr>
                <w:rFonts w:eastAsia="SimSun"/>
              </w:rPr>
            </w:pPr>
            <w:r w:rsidRPr="00AC3044">
              <w:rPr>
                <w:rFonts w:eastAsia="SimSun"/>
              </w:rPr>
              <w:t xml:space="preserve">Такролимус </w:t>
            </w:r>
          </w:p>
        </w:tc>
        <w:tc>
          <w:tcPr>
            <w:tcW w:w="737" w:type="pct"/>
            <w:vAlign w:val="center"/>
          </w:tcPr>
          <w:p w14:paraId="4C624D01" w14:textId="77777777" w:rsidR="00304132" w:rsidRPr="00AC3044" w:rsidRDefault="00304132" w:rsidP="00CD5E09">
            <w:pPr>
              <w:rPr>
                <w:rFonts w:eastAsia="SimSun"/>
              </w:rPr>
            </w:pPr>
            <w:r w:rsidRPr="00AC3044">
              <w:rPr>
                <w:rFonts w:eastAsia="SimSun"/>
              </w:rPr>
              <w:t>0,03 мг/кг</w:t>
            </w:r>
          </w:p>
        </w:tc>
        <w:tc>
          <w:tcPr>
            <w:tcW w:w="807" w:type="pct"/>
            <w:vAlign w:val="center"/>
          </w:tcPr>
          <w:p w14:paraId="7230F35B" w14:textId="77777777" w:rsidR="00304132" w:rsidRPr="00AC3044" w:rsidRDefault="00304132" w:rsidP="00CD5E09">
            <w:pPr>
              <w:rPr>
                <w:rFonts w:eastAsia="SimSun"/>
              </w:rPr>
            </w:pPr>
            <w:r w:rsidRPr="00AC3044">
              <w:rPr>
                <w:rFonts w:eastAsia="SimSun"/>
              </w:rPr>
              <w:t>–</w:t>
            </w:r>
          </w:p>
        </w:tc>
        <w:tc>
          <w:tcPr>
            <w:tcW w:w="734" w:type="pct"/>
            <w:vAlign w:val="center"/>
          </w:tcPr>
          <w:p w14:paraId="5AF4DBA6" w14:textId="77777777" w:rsidR="00304132" w:rsidRPr="00AC3044" w:rsidRDefault="00304132" w:rsidP="00CD5E09">
            <w:pPr>
              <w:rPr>
                <w:rFonts w:eastAsia="SimSun"/>
              </w:rPr>
            </w:pPr>
            <w:r w:rsidRPr="00AC3044">
              <w:rPr>
                <w:rFonts w:eastAsia="SimSun"/>
              </w:rPr>
              <w:t>С +5 по +100 день, затем постепенное снижение к +180 дню</w:t>
            </w:r>
          </w:p>
        </w:tc>
        <w:tc>
          <w:tcPr>
            <w:tcW w:w="1316" w:type="pct"/>
            <w:vAlign w:val="center"/>
          </w:tcPr>
          <w:p w14:paraId="7E9B573A" w14:textId="77777777" w:rsidR="00304132" w:rsidRPr="00AC3044" w:rsidRDefault="00304132" w:rsidP="00CD5E09">
            <w:pPr>
              <w:rPr>
                <w:rFonts w:eastAsia="SimSun"/>
              </w:rPr>
            </w:pPr>
            <w:r w:rsidRPr="00C07B2E">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 </w:t>
            </w:r>
            <w:r w:rsidRPr="00C07B2E">
              <w:rPr>
                <w:rFonts w:eastAsia="SimSun"/>
              </w:rPr>
              <w:t>10</w:t>
            </w:r>
            <w:r w:rsidRPr="0074195F">
              <w:rPr>
                <w:rFonts w:eastAsia="SimSun"/>
                <w:vertAlign w:val="superscript"/>
              </w:rPr>
              <w:t>9</w:t>
            </w:r>
            <w:r w:rsidRPr="00C07B2E">
              <w:rPr>
                <w:rFonts w:eastAsia="SimSun"/>
              </w:rPr>
              <w:t xml:space="preserve">/л, при отсутствии тошноты, рвоты, диареи и возможности приема внутрь. Концентрация Tx 5-15 нг/мл.    </w:t>
            </w:r>
          </w:p>
        </w:tc>
      </w:tr>
      <w:tr w:rsidR="00304132" w:rsidRPr="00AC3044" w14:paraId="56AA3EFE" w14:textId="77777777" w:rsidTr="00CD5E09">
        <w:trPr>
          <w:cantSplit/>
          <w:trHeight w:val="464"/>
        </w:trPr>
        <w:tc>
          <w:tcPr>
            <w:tcW w:w="596" w:type="pct"/>
            <w:vMerge/>
          </w:tcPr>
          <w:p w14:paraId="2A120F85" w14:textId="77777777" w:rsidR="00304132" w:rsidRPr="00AC3044" w:rsidRDefault="00304132" w:rsidP="00CD5E09">
            <w:pPr>
              <w:rPr>
                <w:rFonts w:eastAsia="SimSun"/>
              </w:rPr>
            </w:pPr>
          </w:p>
        </w:tc>
        <w:tc>
          <w:tcPr>
            <w:tcW w:w="809" w:type="pct"/>
          </w:tcPr>
          <w:p w14:paraId="11EA3730" w14:textId="77777777" w:rsidR="00304132" w:rsidRPr="00AC3044" w:rsidRDefault="00304132" w:rsidP="00CD5E09">
            <w:pPr>
              <w:rPr>
                <w:rFonts w:eastAsia="SimSun"/>
              </w:rPr>
            </w:pPr>
            <w:r w:rsidRPr="00AC3044">
              <w:rPr>
                <w:rFonts w:eastAsia="SimSun"/>
              </w:rPr>
              <w:t>Микофенолата мофетил</w:t>
            </w:r>
          </w:p>
        </w:tc>
        <w:tc>
          <w:tcPr>
            <w:tcW w:w="737" w:type="pct"/>
          </w:tcPr>
          <w:p w14:paraId="6153E60E" w14:textId="77777777" w:rsidR="00304132" w:rsidRPr="00AC3044" w:rsidRDefault="00304132" w:rsidP="00CD5E09">
            <w:pPr>
              <w:rPr>
                <w:rFonts w:eastAsia="SimSun"/>
              </w:rPr>
            </w:pPr>
            <w:r w:rsidRPr="00AC3044">
              <w:rPr>
                <w:rFonts w:eastAsia="SimSun"/>
              </w:rPr>
              <w:t>45мг/кг</w:t>
            </w:r>
          </w:p>
        </w:tc>
        <w:tc>
          <w:tcPr>
            <w:tcW w:w="807" w:type="pct"/>
          </w:tcPr>
          <w:p w14:paraId="6AAD9B13" w14:textId="77777777" w:rsidR="00304132" w:rsidRPr="00AC3044" w:rsidRDefault="00304132" w:rsidP="00CD5E09">
            <w:pPr>
              <w:rPr>
                <w:rFonts w:eastAsia="SimSun"/>
              </w:rPr>
            </w:pPr>
            <w:r w:rsidRPr="00AC3044">
              <w:rPr>
                <w:rFonts w:eastAsia="SimSun"/>
              </w:rPr>
              <w:t>–</w:t>
            </w:r>
          </w:p>
        </w:tc>
        <w:tc>
          <w:tcPr>
            <w:tcW w:w="734" w:type="pct"/>
          </w:tcPr>
          <w:p w14:paraId="212308A3" w14:textId="77777777" w:rsidR="00304132" w:rsidRPr="00AC3044" w:rsidRDefault="00304132" w:rsidP="00CD5E09">
            <w:pPr>
              <w:rPr>
                <w:rFonts w:eastAsia="SimSun"/>
              </w:rPr>
            </w:pPr>
            <w:r w:rsidRPr="00AC3044">
              <w:rPr>
                <w:rFonts w:eastAsia="SimSun"/>
              </w:rPr>
              <w:t>С +5 по +35 день</w:t>
            </w:r>
          </w:p>
        </w:tc>
        <w:tc>
          <w:tcPr>
            <w:tcW w:w="1316" w:type="pct"/>
          </w:tcPr>
          <w:p w14:paraId="580F1BCC" w14:textId="77777777" w:rsidR="00304132" w:rsidRPr="00AC3044" w:rsidRDefault="00304132" w:rsidP="00CD5E09">
            <w:pPr>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 xml:space="preserve">г/сут).  </w:t>
            </w:r>
          </w:p>
        </w:tc>
      </w:tr>
    </w:tbl>
    <w:p w14:paraId="5C3F86F7" w14:textId="77777777" w:rsidR="00304132" w:rsidRDefault="00304132" w:rsidP="00304132">
      <w:pPr>
        <w:rPr>
          <w:rFonts w:eastAsia="SimSun"/>
        </w:rPr>
      </w:pPr>
      <w:bookmarkStart w:id="377" w:name="_Toc44401238"/>
    </w:p>
    <w:p w14:paraId="0C2992C4" w14:textId="77777777" w:rsidR="00304132" w:rsidRPr="00C07B2E" w:rsidRDefault="00304132" w:rsidP="00304132">
      <w:pPr>
        <w:rPr>
          <w:rFonts w:eastAsia="SimSun"/>
        </w:rPr>
      </w:pPr>
      <w:r w:rsidRPr="00EE51B1">
        <w:rPr>
          <w:rFonts w:eastAsia="SimSun"/>
        </w:rPr>
        <w:lastRenderedPageBreak/>
        <w:t>Таблица</w:t>
      </w:r>
      <w:r w:rsidRPr="00C07B2E">
        <w:rPr>
          <w:rFonts w:eastAsia="SimSun"/>
        </w:rPr>
        <w:t xml:space="preserve"> </w:t>
      </w:r>
      <w:r>
        <w:rPr>
          <w:rFonts w:eastAsia="SimSun"/>
        </w:rPr>
        <w:t>5.</w:t>
      </w:r>
      <w:r w:rsidRPr="00C07B2E">
        <w:rPr>
          <w:rFonts w:eastAsia="SimSun"/>
        </w:rPr>
        <w:t>3.1.13  – Flu180+Cy1200 / PT-Cy+Tx+MMF45</w:t>
      </w:r>
      <w:bookmarkEnd w:id="377"/>
    </w:p>
    <w:tbl>
      <w:tblPr>
        <w:tblW w:w="964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5"/>
        <w:gridCol w:w="1559"/>
        <w:gridCol w:w="1418"/>
        <w:gridCol w:w="1559"/>
        <w:gridCol w:w="1417"/>
        <w:gridCol w:w="2552"/>
      </w:tblGrid>
      <w:tr w:rsidR="00304132" w:rsidRPr="00AC3044" w14:paraId="7C4B86FF" w14:textId="77777777" w:rsidTr="00CD5E09">
        <w:trPr>
          <w:cantSplit/>
          <w:trHeight w:val="20"/>
          <w:tblHeader/>
        </w:trPr>
        <w:tc>
          <w:tcPr>
            <w:tcW w:w="1135" w:type="dxa"/>
            <w:vAlign w:val="center"/>
          </w:tcPr>
          <w:p w14:paraId="31F0254C" w14:textId="77777777" w:rsidR="00304132" w:rsidRPr="00AC3044" w:rsidRDefault="00304132" w:rsidP="00CD5E09">
            <w:pPr>
              <w:rPr>
                <w:rFonts w:eastAsia="SimSun"/>
              </w:rPr>
            </w:pPr>
          </w:p>
        </w:tc>
        <w:tc>
          <w:tcPr>
            <w:tcW w:w="1559" w:type="dxa"/>
            <w:vAlign w:val="center"/>
          </w:tcPr>
          <w:p w14:paraId="64D3A202" w14:textId="77777777" w:rsidR="00304132" w:rsidRPr="00AC3044" w:rsidRDefault="00304132" w:rsidP="00CD5E09">
            <w:pPr>
              <w:rPr>
                <w:rFonts w:eastAsia="SimSun"/>
              </w:rPr>
            </w:pPr>
            <w:r w:rsidRPr="00AC3044">
              <w:rPr>
                <w:rFonts w:eastAsia="SimSun"/>
              </w:rPr>
              <w:t>Препарат</w:t>
            </w:r>
          </w:p>
        </w:tc>
        <w:tc>
          <w:tcPr>
            <w:tcW w:w="1418" w:type="dxa"/>
            <w:vAlign w:val="center"/>
          </w:tcPr>
          <w:p w14:paraId="25FB18EB" w14:textId="77777777" w:rsidR="00304132" w:rsidRPr="00AC3044" w:rsidRDefault="00304132" w:rsidP="00CD5E09">
            <w:pPr>
              <w:rPr>
                <w:rFonts w:eastAsia="SimSun"/>
              </w:rPr>
            </w:pPr>
            <w:r w:rsidRPr="00AC3044">
              <w:rPr>
                <w:rFonts w:eastAsia="SimSun"/>
              </w:rPr>
              <w:t>Суточная доза</w:t>
            </w:r>
          </w:p>
        </w:tc>
        <w:tc>
          <w:tcPr>
            <w:tcW w:w="1559" w:type="dxa"/>
            <w:vAlign w:val="center"/>
          </w:tcPr>
          <w:p w14:paraId="2CF7C251" w14:textId="77777777" w:rsidR="00304132" w:rsidRPr="00AC3044" w:rsidRDefault="00304132" w:rsidP="00CD5E09">
            <w:pPr>
              <w:rPr>
                <w:rFonts w:eastAsia="SimSun"/>
              </w:rPr>
            </w:pPr>
            <w:r w:rsidRPr="00AC3044">
              <w:rPr>
                <w:rFonts w:eastAsia="SimSun"/>
              </w:rPr>
              <w:t>Курсовая доза</w:t>
            </w:r>
          </w:p>
        </w:tc>
        <w:tc>
          <w:tcPr>
            <w:tcW w:w="1417" w:type="dxa"/>
            <w:vAlign w:val="center"/>
          </w:tcPr>
          <w:p w14:paraId="37E67A30" w14:textId="77777777" w:rsidR="00304132" w:rsidRPr="00AC3044" w:rsidRDefault="00304132" w:rsidP="00CD5E09">
            <w:pPr>
              <w:rPr>
                <w:rFonts w:eastAsia="SimSun"/>
              </w:rPr>
            </w:pPr>
            <w:r w:rsidRPr="00AC3044">
              <w:rPr>
                <w:rFonts w:eastAsia="SimSun"/>
              </w:rPr>
              <w:t>Дни введения</w:t>
            </w:r>
          </w:p>
        </w:tc>
        <w:tc>
          <w:tcPr>
            <w:tcW w:w="2552" w:type="dxa"/>
            <w:vAlign w:val="center"/>
          </w:tcPr>
          <w:p w14:paraId="1FEA5855" w14:textId="77777777" w:rsidR="00304132" w:rsidRPr="00AC3044" w:rsidRDefault="00304132" w:rsidP="00CD5E09">
            <w:pPr>
              <w:rPr>
                <w:rFonts w:eastAsia="SimSun"/>
              </w:rPr>
            </w:pPr>
            <w:r w:rsidRPr="00AC3044">
              <w:rPr>
                <w:rFonts w:eastAsia="SimSun"/>
              </w:rPr>
              <w:t>Порядок введения</w:t>
            </w:r>
          </w:p>
        </w:tc>
      </w:tr>
      <w:tr w:rsidR="00304132" w:rsidRPr="00AC3044" w14:paraId="4CE631B2" w14:textId="77777777" w:rsidTr="00CD5E09">
        <w:trPr>
          <w:cantSplit/>
          <w:trHeight w:val="20"/>
        </w:trPr>
        <w:tc>
          <w:tcPr>
            <w:tcW w:w="1135" w:type="dxa"/>
            <w:vMerge w:val="restart"/>
            <w:textDirection w:val="btLr"/>
            <w:vAlign w:val="center"/>
          </w:tcPr>
          <w:p w14:paraId="7886E7D5" w14:textId="77777777" w:rsidR="00304132" w:rsidRPr="00AC3044" w:rsidRDefault="00304132" w:rsidP="00CD5E09">
            <w:pPr>
              <w:rPr>
                <w:rFonts w:eastAsia="SimSun"/>
              </w:rPr>
            </w:pPr>
            <w:r w:rsidRPr="00AC3044">
              <w:rPr>
                <w:rFonts w:eastAsia="SimSun"/>
              </w:rPr>
              <w:t>Кондиционирование</w:t>
            </w:r>
          </w:p>
        </w:tc>
        <w:tc>
          <w:tcPr>
            <w:tcW w:w="1559" w:type="dxa"/>
            <w:vAlign w:val="center"/>
          </w:tcPr>
          <w:p w14:paraId="6A78D8AD" w14:textId="77777777" w:rsidR="00304132" w:rsidRPr="00AC3044" w:rsidRDefault="00304132" w:rsidP="00CD5E09">
            <w:pPr>
              <w:rPr>
                <w:rFonts w:eastAsia="SimSun"/>
              </w:rPr>
            </w:pPr>
            <w:r w:rsidRPr="00AC3044">
              <w:rPr>
                <w:rFonts w:eastAsia="SimSun"/>
              </w:rPr>
              <w:t xml:space="preserve">Флударабин </w:t>
            </w:r>
          </w:p>
        </w:tc>
        <w:tc>
          <w:tcPr>
            <w:tcW w:w="1418" w:type="dxa"/>
            <w:vAlign w:val="center"/>
          </w:tcPr>
          <w:p w14:paraId="391D6041" w14:textId="77777777" w:rsidR="00304132" w:rsidRPr="00AC3044" w:rsidRDefault="00304132" w:rsidP="00CD5E09">
            <w:pPr>
              <w:rPr>
                <w:rFonts w:eastAsia="SimSun"/>
              </w:rPr>
            </w:pPr>
            <w:r w:rsidRPr="00AC3044">
              <w:rPr>
                <w:rFonts w:eastAsia="SimSun"/>
              </w:rPr>
              <w:t>30 мг/м</w:t>
            </w:r>
            <w:r w:rsidRPr="0074195F">
              <w:rPr>
                <w:rFonts w:eastAsia="SimSun"/>
                <w:vertAlign w:val="superscript"/>
              </w:rPr>
              <w:t>2</w:t>
            </w:r>
          </w:p>
        </w:tc>
        <w:tc>
          <w:tcPr>
            <w:tcW w:w="1559" w:type="dxa"/>
            <w:vAlign w:val="center"/>
          </w:tcPr>
          <w:p w14:paraId="37027DAC" w14:textId="77777777" w:rsidR="00304132" w:rsidRPr="00AC3044" w:rsidRDefault="00304132" w:rsidP="00CD5E09">
            <w:pPr>
              <w:rPr>
                <w:rFonts w:eastAsia="SimSun"/>
              </w:rPr>
            </w:pPr>
            <w:r w:rsidRPr="00AC3044">
              <w:rPr>
                <w:rFonts w:eastAsia="SimSun"/>
              </w:rPr>
              <w:t>120 мг/м</w:t>
            </w:r>
            <w:r w:rsidRPr="0074195F">
              <w:rPr>
                <w:rFonts w:eastAsia="SimSun"/>
                <w:vertAlign w:val="superscript"/>
              </w:rPr>
              <w:t>2</w:t>
            </w:r>
          </w:p>
        </w:tc>
        <w:tc>
          <w:tcPr>
            <w:tcW w:w="1417" w:type="dxa"/>
            <w:vAlign w:val="center"/>
          </w:tcPr>
          <w:p w14:paraId="759C0413" w14:textId="77777777" w:rsidR="00304132" w:rsidRPr="00AC3044" w:rsidRDefault="00304132" w:rsidP="00CD5E09">
            <w:pPr>
              <w:rPr>
                <w:rFonts w:eastAsia="SimSun"/>
              </w:rPr>
            </w:pPr>
            <w:r w:rsidRPr="00AC3044">
              <w:rPr>
                <w:rFonts w:eastAsia="SimSun"/>
              </w:rPr>
              <w:t>С -5 дня по -2 день</w:t>
            </w:r>
          </w:p>
        </w:tc>
        <w:tc>
          <w:tcPr>
            <w:tcW w:w="2552" w:type="dxa"/>
            <w:vAlign w:val="center"/>
          </w:tcPr>
          <w:p w14:paraId="7D554FE0" w14:textId="77777777" w:rsidR="00304132" w:rsidRPr="00AC3044" w:rsidRDefault="00304132" w:rsidP="00CD5E09">
            <w:pPr>
              <w:rPr>
                <w:rFonts w:eastAsia="SimSun"/>
              </w:rPr>
            </w:pPr>
            <w:r w:rsidRPr="00AC3044">
              <w:rPr>
                <w:rFonts w:eastAsia="SimSun"/>
              </w:rPr>
              <w:t>В/в, в течение 30 -60 мин</w:t>
            </w:r>
          </w:p>
        </w:tc>
      </w:tr>
      <w:tr w:rsidR="00304132" w:rsidRPr="00AC3044" w14:paraId="4DA40114" w14:textId="77777777" w:rsidTr="00CD5E09">
        <w:trPr>
          <w:cantSplit/>
          <w:trHeight w:val="855"/>
        </w:trPr>
        <w:tc>
          <w:tcPr>
            <w:tcW w:w="1135" w:type="dxa"/>
            <w:vMerge/>
            <w:vAlign w:val="center"/>
          </w:tcPr>
          <w:p w14:paraId="360D541A" w14:textId="77777777" w:rsidR="00304132" w:rsidRPr="00AC3044" w:rsidRDefault="00304132" w:rsidP="00CD5E09">
            <w:pPr>
              <w:rPr>
                <w:rFonts w:eastAsia="SimSun"/>
              </w:rPr>
            </w:pPr>
          </w:p>
        </w:tc>
        <w:tc>
          <w:tcPr>
            <w:tcW w:w="1559" w:type="dxa"/>
            <w:vAlign w:val="center"/>
          </w:tcPr>
          <w:p w14:paraId="38604C80" w14:textId="77777777" w:rsidR="00304132" w:rsidRPr="00AC3044" w:rsidRDefault="00304132" w:rsidP="00CD5E09">
            <w:pPr>
              <w:rPr>
                <w:rFonts w:eastAsia="SimSun"/>
              </w:rPr>
            </w:pPr>
            <w:r w:rsidRPr="00AC3044">
              <w:rPr>
                <w:rFonts w:eastAsia="SimSun"/>
              </w:rPr>
              <w:t>Циклофосфамид</w:t>
            </w:r>
          </w:p>
        </w:tc>
        <w:tc>
          <w:tcPr>
            <w:tcW w:w="1418" w:type="dxa"/>
            <w:vAlign w:val="center"/>
          </w:tcPr>
          <w:p w14:paraId="6163A948" w14:textId="77777777" w:rsidR="00304132" w:rsidRPr="00AC3044" w:rsidRDefault="00304132" w:rsidP="00CD5E09">
            <w:pPr>
              <w:rPr>
                <w:rFonts w:eastAsia="SimSun"/>
              </w:rPr>
            </w:pPr>
            <w:r w:rsidRPr="00AC3044">
              <w:rPr>
                <w:rFonts w:eastAsia="SimSun"/>
              </w:rPr>
              <w:t>300 мг/м</w:t>
            </w:r>
            <w:r w:rsidRPr="0074195F">
              <w:rPr>
                <w:rFonts w:eastAsia="SimSun"/>
                <w:vertAlign w:val="superscript"/>
              </w:rPr>
              <w:t>2</w:t>
            </w:r>
            <w:r w:rsidRPr="00AC3044">
              <w:rPr>
                <w:rFonts w:eastAsia="SimSun"/>
              </w:rPr>
              <w:t xml:space="preserve"> </w:t>
            </w:r>
          </w:p>
        </w:tc>
        <w:tc>
          <w:tcPr>
            <w:tcW w:w="1559" w:type="dxa"/>
            <w:vAlign w:val="center"/>
          </w:tcPr>
          <w:p w14:paraId="476226BE" w14:textId="77777777" w:rsidR="00304132" w:rsidRPr="00AC3044" w:rsidRDefault="00304132" w:rsidP="00CD5E09">
            <w:pPr>
              <w:rPr>
                <w:rFonts w:eastAsia="SimSun"/>
              </w:rPr>
            </w:pPr>
            <w:r w:rsidRPr="00AC3044">
              <w:rPr>
                <w:rFonts w:eastAsia="SimSun"/>
              </w:rPr>
              <w:t>1200 мг/м</w:t>
            </w:r>
            <w:r w:rsidRPr="0074195F">
              <w:rPr>
                <w:rFonts w:eastAsia="SimSun"/>
                <w:vertAlign w:val="superscript"/>
              </w:rPr>
              <w:t>2</w:t>
            </w:r>
          </w:p>
        </w:tc>
        <w:tc>
          <w:tcPr>
            <w:tcW w:w="1417" w:type="dxa"/>
            <w:vAlign w:val="center"/>
          </w:tcPr>
          <w:p w14:paraId="1B751CF8" w14:textId="77777777" w:rsidR="00304132" w:rsidRPr="00AC3044" w:rsidRDefault="00304132" w:rsidP="00CD5E09">
            <w:pPr>
              <w:rPr>
                <w:rFonts w:eastAsia="SimSun"/>
              </w:rPr>
            </w:pPr>
            <w:r w:rsidRPr="00AC3044">
              <w:rPr>
                <w:rFonts w:eastAsia="SimSun"/>
              </w:rPr>
              <w:t xml:space="preserve"> С -5 дня по -2 день </w:t>
            </w:r>
          </w:p>
        </w:tc>
        <w:tc>
          <w:tcPr>
            <w:tcW w:w="2552" w:type="dxa"/>
            <w:vAlign w:val="center"/>
          </w:tcPr>
          <w:p w14:paraId="76E516AE" w14:textId="77777777" w:rsidR="00304132" w:rsidRPr="00AC3044" w:rsidRDefault="00304132" w:rsidP="00CD5E09">
            <w:pPr>
              <w:rPr>
                <w:rFonts w:eastAsia="SimSun"/>
              </w:rPr>
            </w:pPr>
            <w:r w:rsidRPr="00AC3044">
              <w:rPr>
                <w:rFonts w:eastAsia="SimSun"/>
              </w:rPr>
              <w:t>В/в, в течение 2 часов</w:t>
            </w:r>
          </w:p>
        </w:tc>
      </w:tr>
      <w:tr w:rsidR="00304132" w:rsidRPr="00AC3044" w14:paraId="750DA3CC" w14:textId="77777777" w:rsidTr="00CD5E09">
        <w:trPr>
          <w:cantSplit/>
          <w:trHeight w:val="556"/>
        </w:trPr>
        <w:tc>
          <w:tcPr>
            <w:tcW w:w="1135" w:type="dxa"/>
            <w:vMerge w:val="restart"/>
            <w:textDirection w:val="btLr"/>
            <w:vAlign w:val="center"/>
          </w:tcPr>
          <w:p w14:paraId="27CA3D73" w14:textId="77777777" w:rsidR="00304132" w:rsidRPr="00AC3044" w:rsidRDefault="00304132" w:rsidP="00CD5E09">
            <w:pPr>
              <w:rPr>
                <w:rFonts w:eastAsia="SimSun"/>
              </w:rPr>
            </w:pPr>
            <w:r w:rsidRPr="00AC3044">
              <w:rPr>
                <w:rFonts w:eastAsia="SimSun"/>
              </w:rPr>
              <w:t>Профилактика РТПХ</w:t>
            </w:r>
          </w:p>
        </w:tc>
        <w:tc>
          <w:tcPr>
            <w:tcW w:w="1559" w:type="dxa"/>
            <w:vAlign w:val="center"/>
          </w:tcPr>
          <w:p w14:paraId="14A42ECF" w14:textId="77777777" w:rsidR="00304132" w:rsidRPr="00AC3044" w:rsidRDefault="00304132" w:rsidP="00CD5E09">
            <w:pPr>
              <w:rPr>
                <w:rFonts w:eastAsia="SimSun"/>
              </w:rPr>
            </w:pPr>
            <w:r w:rsidRPr="00AC3044">
              <w:rPr>
                <w:rFonts w:eastAsia="SimSun"/>
              </w:rPr>
              <w:t>Циклофосфамид</w:t>
            </w:r>
          </w:p>
        </w:tc>
        <w:tc>
          <w:tcPr>
            <w:tcW w:w="1418" w:type="dxa"/>
            <w:vAlign w:val="center"/>
          </w:tcPr>
          <w:p w14:paraId="79A4805B" w14:textId="77777777" w:rsidR="00304132" w:rsidRPr="00AC3044" w:rsidRDefault="00304132" w:rsidP="00CD5E09">
            <w:pPr>
              <w:rPr>
                <w:rFonts w:eastAsia="SimSun"/>
              </w:rPr>
            </w:pPr>
            <w:r w:rsidRPr="00AC3044">
              <w:rPr>
                <w:rFonts w:eastAsia="SimSun"/>
              </w:rPr>
              <w:t>50 мг/кг</w:t>
            </w:r>
          </w:p>
        </w:tc>
        <w:tc>
          <w:tcPr>
            <w:tcW w:w="1559" w:type="dxa"/>
            <w:vAlign w:val="center"/>
          </w:tcPr>
          <w:p w14:paraId="36DD1600" w14:textId="77777777" w:rsidR="00304132" w:rsidRPr="00AC3044" w:rsidRDefault="00304132" w:rsidP="00CD5E09">
            <w:pPr>
              <w:rPr>
                <w:rFonts w:eastAsia="SimSun"/>
              </w:rPr>
            </w:pPr>
            <w:r w:rsidRPr="00AC3044">
              <w:rPr>
                <w:rFonts w:eastAsia="SimSun"/>
              </w:rPr>
              <w:t>100 мг/кг</w:t>
            </w:r>
          </w:p>
        </w:tc>
        <w:tc>
          <w:tcPr>
            <w:tcW w:w="1417" w:type="dxa"/>
            <w:vAlign w:val="center"/>
          </w:tcPr>
          <w:p w14:paraId="5AA1CA0D" w14:textId="77777777" w:rsidR="00304132" w:rsidRPr="00AC3044" w:rsidRDefault="00304132" w:rsidP="00CD5E09">
            <w:pPr>
              <w:rPr>
                <w:rFonts w:eastAsia="SimSun"/>
              </w:rPr>
            </w:pPr>
            <w:r w:rsidRPr="00AC3044">
              <w:rPr>
                <w:rFonts w:eastAsia="SimSun"/>
              </w:rPr>
              <w:t>С +3 дня по +4 день</w:t>
            </w:r>
          </w:p>
        </w:tc>
        <w:tc>
          <w:tcPr>
            <w:tcW w:w="2552" w:type="dxa"/>
            <w:vAlign w:val="center"/>
          </w:tcPr>
          <w:p w14:paraId="0BD13C94" w14:textId="77777777" w:rsidR="00304132" w:rsidRPr="00AC3044" w:rsidRDefault="00304132" w:rsidP="00CD5E09">
            <w:pPr>
              <w:rPr>
                <w:rFonts w:eastAsia="SimSun"/>
              </w:rPr>
            </w:pPr>
            <w:r w:rsidRPr="00AC3044">
              <w:rPr>
                <w:rFonts w:eastAsia="SimSun"/>
              </w:rPr>
              <w:t>В/в, в течение 2 часов</w:t>
            </w:r>
          </w:p>
        </w:tc>
      </w:tr>
      <w:tr w:rsidR="00304132" w:rsidRPr="00AC3044" w14:paraId="47CE692E" w14:textId="77777777" w:rsidTr="00CD5E09">
        <w:trPr>
          <w:cantSplit/>
          <w:trHeight w:val="958"/>
        </w:trPr>
        <w:tc>
          <w:tcPr>
            <w:tcW w:w="1135" w:type="dxa"/>
            <w:vMerge/>
            <w:textDirection w:val="btLr"/>
            <w:vAlign w:val="center"/>
          </w:tcPr>
          <w:p w14:paraId="2751C57E" w14:textId="77777777" w:rsidR="00304132" w:rsidRPr="00AC3044" w:rsidRDefault="00304132" w:rsidP="00CD5E09">
            <w:pPr>
              <w:rPr>
                <w:rFonts w:eastAsia="SimSun"/>
              </w:rPr>
            </w:pPr>
          </w:p>
        </w:tc>
        <w:tc>
          <w:tcPr>
            <w:tcW w:w="1559" w:type="dxa"/>
            <w:vAlign w:val="center"/>
          </w:tcPr>
          <w:p w14:paraId="07123A55" w14:textId="77777777" w:rsidR="00304132" w:rsidRPr="00AC3044" w:rsidRDefault="00304132" w:rsidP="00CD5E09">
            <w:pPr>
              <w:rPr>
                <w:rFonts w:eastAsia="SimSun"/>
              </w:rPr>
            </w:pPr>
            <w:r w:rsidRPr="00AC3044">
              <w:rPr>
                <w:rFonts w:eastAsia="SimSun"/>
              </w:rPr>
              <w:t xml:space="preserve">Такролимус </w:t>
            </w:r>
          </w:p>
        </w:tc>
        <w:tc>
          <w:tcPr>
            <w:tcW w:w="1418" w:type="dxa"/>
            <w:vAlign w:val="center"/>
          </w:tcPr>
          <w:p w14:paraId="61549443" w14:textId="77777777" w:rsidR="00304132" w:rsidRPr="00AC3044" w:rsidRDefault="00304132" w:rsidP="00CD5E09">
            <w:pPr>
              <w:rPr>
                <w:rFonts w:eastAsia="SimSun"/>
              </w:rPr>
            </w:pPr>
            <w:r w:rsidRPr="00AC3044">
              <w:rPr>
                <w:rFonts w:eastAsia="SimSun"/>
              </w:rPr>
              <w:t>0,03 мг/кг</w:t>
            </w:r>
          </w:p>
        </w:tc>
        <w:tc>
          <w:tcPr>
            <w:tcW w:w="1559" w:type="dxa"/>
            <w:vAlign w:val="center"/>
          </w:tcPr>
          <w:p w14:paraId="04C8AFD3" w14:textId="77777777" w:rsidR="00304132" w:rsidRPr="00AC3044" w:rsidRDefault="00304132" w:rsidP="00CD5E09">
            <w:pPr>
              <w:rPr>
                <w:rFonts w:eastAsia="SimSun"/>
              </w:rPr>
            </w:pPr>
            <w:r w:rsidRPr="00AC3044">
              <w:rPr>
                <w:rFonts w:eastAsia="SimSun"/>
              </w:rPr>
              <w:t>–</w:t>
            </w:r>
          </w:p>
        </w:tc>
        <w:tc>
          <w:tcPr>
            <w:tcW w:w="1417" w:type="dxa"/>
            <w:vAlign w:val="center"/>
          </w:tcPr>
          <w:p w14:paraId="220DF132" w14:textId="77777777" w:rsidR="00304132" w:rsidRPr="00AC3044" w:rsidRDefault="00304132" w:rsidP="00CD5E09">
            <w:pPr>
              <w:rPr>
                <w:rFonts w:eastAsia="SimSun"/>
              </w:rPr>
            </w:pPr>
            <w:r w:rsidRPr="00AC3044">
              <w:rPr>
                <w:rFonts w:eastAsia="SimSun"/>
              </w:rPr>
              <w:t xml:space="preserve">С +5 дня длительно </w:t>
            </w:r>
          </w:p>
        </w:tc>
        <w:tc>
          <w:tcPr>
            <w:tcW w:w="2552" w:type="dxa"/>
            <w:vAlign w:val="center"/>
          </w:tcPr>
          <w:p w14:paraId="0BEABFD8" w14:textId="77777777" w:rsidR="00304132" w:rsidRPr="00AC3044" w:rsidRDefault="00304132" w:rsidP="00CD5E09">
            <w:pPr>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w:t>
            </w:r>
            <w:r w:rsidRPr="00AC3044">
              <w:rPr>
                <w:rFonts w:eastAsia="SimSun"/>
              </w:rPr>
              <w:t xml:space="preserve"> 10</w:t>
            </w:r>
            <w:r w:rsidRPr="0074195F">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304132" w:rsidRPr="00AC3044" w14:paraId="29A5B69C" w14:textId="77777777" w:rsidTr="00CD5E09">
        <w:trPr>
          <w:cantSplit/>
          <w:trHeight w:val="491"/>
        </w:trPr>
        <w:tc>
          <w:tcPr>
            <w:tcW w:w="1135" w:type="dxa"/>
            <w:vMerge/>
            <w:textDirection w:val="btLr"/>
            <w:vAlign w:val="center"/>
          </w:tcPr>
          <w:p w14:paraId="54A5EDE4" w14:textId="77777777" w:rsidR="00304132" w:rsidRPr="00AC3044" w:rsidRDefault="00304132" w:rsidP="00CD5E09">
            <w:pPr>
              <w:rPr>
                <w:rFonts w:eastAsia="SimSun"/>
              </w:rPr>
            </w:pPr>
          </w:p>
        </w:tc>
        <w:tc>
          <w:tcPr>
            <w:tcW w:w="1559" w:type="dxa"/>
            <w:vAlign w:val="center"/>
          </w:tcPr>
          <w:p w14:paraId="7CA4180B" w14:textId="77777777" w:rsidR="00304132" w:rsidRPr="00AC3044" w:rsidRDefault="00304132" w:rsidP="00CD5E09">
            <w:pPr>
              <w:rPr>
                <w:rFonts w:eastAsia="SimSun"/>
              </w:rPr>
            </w:pPr>
            <w:r w:rsidRPr="00AC3044">
              <w:rPr>
                <w:rFonts w:eastAsia="SimSun"/>
              </w:rPr>
              <w:t>Микофенолата мофетил</w:t>
            </w:r>
          </w:p>
        </w:tc>
        <w:tc>
          <w:tcPr>
            <w:tcW w:w="1418" w:type="dxa"/>
            <w:vAlign w:val="center"/>
          </w:tcPr>
          <w:p w14:paraId="3E3B647E" w14:textId="77777777" w:rsidR="00304132" w:rsidRPr="00AC3044" w:rsidRDefault="00304132" w:rsidP="00CD5E09">
            <w:pPr>
              <w:rPr>
                <w:rFonts w:eastAsia="SimSun"/>
              </w:rPr>
            </w:pPr>
            <w:r w:rsidRPr="00AC3044">
              <w:rPr>
                <w:rFonts w:eastAsia="SimSun"/>
              </w:rPr>
              <w:t xml:space="preserve">45 мг/кг </w:t>
            </w:r>
          </w:p>
        </w:tc>
        <w:tc>
          <w:tcPr>
            <w:tcW w:w="1559" w:type="dxa"/>
            <w:vAlign w:val="center"/>
          </w:tcPr>
          <w:p w14:paraId="078B116A" w14:textId="77777777" w:rsidR="00304132" w:rsidRPr="00AC3044" w:rsidRDefault="00304132" w:rsidP="00CD5E09">
            <w:pPr>
              <w:rPr>
                <w:rFonts w:eastAsia="SimSun"/>
              </w:rPr>
            </w:pPr>
            <w:r w:rsidRPr="00AC3044">
              <w:rPr>
                <w:rFonts w:eastAsia="SimSun"/>
              </w:rPr>
              <w:t>–</w:t>
            </w:r>
          </w:p>
        </w:tc>
        <w:tc>
          <w:tcPr>
            <w:tcW w:w="1417" w:type="dxa"/>
            <w:vAlign w:val="center"/>
          </w:tcPr>
          <w:p w14:paraId="7D27C89A" w14:textId="77777777" w:rsidR="00304132" w:rsidRPr="00AC3044" w:rsidRDefault="00304132" w:rsidP="00CD5E09">
            <w:pPr>
              <w:rPr>
                <w:rFonts w:eastAsia="SimSun"/>
              </w:rPr>
            </w:pPr>
            <w:r w:rsidRPr="00AC3044">
              <w:rPr>
                <w:rFonts w:eastAsia="SimSun"/>
              </w:rPr>
              <w:t xml:space="preserve">С +5 дня по +35 день </w:t>
            </w:r>
          </w:p>
        </w:tc>
        <w:tc>
          <w:tcPr>
            <w:tcW w:w="2552" w:type="dxa"/>
            <w:vAlign w:val="center"/>
          </w:tcPr>
          <w:p w14:paraId="7A47A584" w14:textId="77777777" w:rsidR="00304132" w:rsidRPr="00AC3044" w:rsidRDefault="00304132" w:rsidP="00CD5E09">
            <w:pPr>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 xml:space="preserve">г/сут).  </w:t>
            </w:r>
          </w:p>
        </w:tc>
      </w:tr>
    </w:tbl>
    <w:p w14:paraId="555B49AD" w14:textId="77777777" w:rsidR="00304132" w:rsidRDefault="00304132" w:rsidP="00304132">
      <w:pPr>
        <w:rPr>
          <w:rFonts w:eastAsia="SimSun"/>
        </w:rPr>
      </w:pPr>
      <w:bookmarkStart w:id="378" w:name="_Toc44401239"/>
    </w:p>
    <w:p w14:paraId="2A2644DF" w14:textId="77777777" w:rsidR="00304132" w:rsidRPr="00C07B2E" w:rsidRDefault="00304132" w:rsidP="00304132">
      <w:pPr>
        <w:rPr>
          <w:rFonts w:eastAsia="SimSun"/>
        </w:rPr>
      </w:pPr>
      <w:r w:rsidRPr="00EE51B1">
        <w:rPr>
          <w:rFonts w:eastAsia="SimSun"/>
        </w:rPr>
        <w:t>Таблица</w:t>
      </w:r>
      <w:r w:rsidRPr="00C07B2E">
        <w:rPr>
          <w:rFonts w:eastAsia="SimSun"/>
        </w:rPr>
        <w:t xml:space="preserve"> </w:t>
      </w:r>
      <w:r>
        <w:rPr>
          <w:rFonts w:eastAsia="SimSun"/>
        </w:rPr>
        <w:t>5.</w:t>
      </w:r>
      <w:r w:rsidRPr="00C07B2E">
        <w:rPr>
          <w:rFonts w:eastAsia="SimSun"/>
        </w:rPr>
        <w:t>3.1.14  – Flu180+Mel100 / PT-Cy+Tx+MMF45</w:t>
      </w:r>
      <w:bookmarkEnd w:id="378"/>
    </w:p>
    <w:tbl>
      <w:tblPr>
        <w:tblW w:w="964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5"/>
        <w:gridCol w:w="1559"/>
        <w:gridCol w:w="1418"/>
        <w:gridCol w:w="1559"/>
        <w:gridCol w:w="1417"/>
        <w:gridCol w:w="2552"/>
      </w:tblGrid>
      <w:tr w:rsidR="00304132" w:rsidRPr="00AC3044" w14:paraId="79DD3AD6" w14:textId="77777777" w:rsidTr="00CD5E09">
        <w:trPr>
          <w:cantSplit/>
          <w:trHeight w:val="20"/>
          <w:tblHeader/>
        </w:trPr>
        <w:tc>
          <w:tcPr>
            <w:tcW w:w="1135" w:type="dxa"/>
            <w:vAlign w:val="center"/>
          </w:tcPr>
          <w:p w14:paraId="192CDC61" w14:textId="77777777" w:rsidR="00304132" w:rsidRPr="00AC3044" w:rsidRDefault="00304132" w:rsidP="00CD5E09">
            <w:pPr>
              <w:rPr>
                <w:rFonts w:eastAsia="SimSun"/>
              </w:rPr>
            </w:pPr>
          </w:p>
        </w:tc>
        <w:tc>
          <w:tcPr>
            <w:tcW w:w="1559" w:type="dxa"/>
            <w:vAlign w:val="center"/>
          </w:tcPr>
          <w:p w14:paraId="690F4602" w14:textId="77777777" w:rsidR="00304132" w:rsidRPr="00AC3044" w:rsidRDefault="00304132" w:rsidP="00CD5E09">
            <w:pPr>
              <w:rPr>
                <w:rFonts w:eastAsia="SimSun"/>
              </w:rPr>
            </w:pPr>
            <w:r w:rsidRPr="00AC3044">
              <w:rPr>
                <w:rFonts w:eastAsia="SimSun"/>
              </w:rPr>
              <w:t>Препарат</w:t>
            </w:r>
          </w:p>
        </w:tc>
        <w:tc>
          <w:tcPr>
            <w:tcW w:w="1418" w:type="dxa"/>
            <w:vAlign w:val="center"/>
          </w:tcPr>
          <w:p w14:paraId="09FDB397" w14:textId="77777777" w:rsidR="00304132" w:rsidRPr="00AC3044" w:rsidRDefault="00304132" w:rsidP="00CD5E09">
            <w:pPr>
              <w:rPr>
                <w:rFonts w:eastAsia="SimSun"/>
              </w:rPr>
            </w:pPr>
            <w:r w:rsidRPr="00AC3044">
              <w:rPr>
                <w:rFonts w:eastAsia="SimSun"/>
              </w:rPr>
              <w:t>Суточная доза</w:t>
            </w:r>
          </w:p>
        </w:tc>
        <w:tc>
          <w:tcPr>
            <w:tcW w:w="1559" w:type="dxa"/>
            <w:vAlign w:val="center"/>
          </w:tcPr>
          <w:p w14:paraId="64DF5ACE" w14:textId="77777777" w:rsidR="00304132" w:rsidRPr="00AC3044" w:rsidRDefault="00304132" w:rsidP="00CD5E09">
            <w:pPr>
              <w:rPr>
                <w:rFonts w:eastAsia="SimSun"/>
              </w:rPr>
            </w:pPr>
            <w:r w:rsidRPr="00AC3044">
              <w:rPr>
                <w:rFonts w:eastAsia="SimSun"/>
              </w:rPr>
              <w:t>Курсовая доза</w:t>
            </w:r>
          </w:p>
        </w:tc>
        <w:tc>
          <w:tcPr>
            <w:tcW w:w="1417" w:type="dxa"/>
            <w:vAlign w:val="center"/>
          </w:tcPr>
          <w:p w14:paraId="67AB7E74" w14:textId="77777777" w:rsidR="00304132" w:rsidRPr="00AC3044" w:rsidRDefault="00304132" w:rsidP="00CD5E09">
            <w:pPr>
              <w:rPr>
                <w:rFonts w:eastAsia="SimSun"/>
              </w:rPr>
            </w:pPr>
            <w:r w:rsidRPr="00AC3044">
              <w:rPr>
                <w:rFonts w:eastAsia="SimSun"/>
              </w:rPr>
              <w:t>Дни введения</w:t>
            </w:r>
          </w:p>
        </w:tc>
        <w:tc>
          <w:tcPr>
            <w:tcW w:w="2552" w:type="dxa"/>
            <w:vAlign w:val="center"/>
          </w:tcPr>
          <w:p w14:paraId="391F1E61" w14:textId="77777777" w:rsidR="00304132" w:rsidRPr="00AC3044" w:rsidRDefault="00304132" w:rsidP="00CD5E09">
            <w:pPr>
              <w:rPr>
                <w:rFonts w:eastAsia="SimSun"/>
              </w:rPr>
            </w:pPr>
            <w:r w:rsidRPr="00AC3044">
              <w:rPr>
                <w:rFonts w:eastAsia="SimSun"/>
              </w:rPr>
              <w:t>Порядок введения</w:t>
            </w:r>
          </w:p>
        </w:tc>
      </w:tr>
      <w:tr w:rsidR="00304132" w:rsidRPr="00AC3044" w14:paraId="319AA110" w14:textId="77777777" w:rsidTr="00CD5E09">
        <w:trPr>
          <w:cantSplit/>
          <w:trHeight w:val="20"/>
        </w:trPr>
        <w:tc>
          <w:tcPr>
            <w:tcW w:w="1135" w:type="dxa"/>
            <w:vMerge w:val="restart"/>
            <w:textDirection w:val="btLr"/>
            <w:vAlign w:val="center"/>
          </w:tcPr>
          <w:p w14:paraId="37272E83" w14:textId="77777777" w:rsidR="00304132" w:rsidRPr="00AC3044" w:rsidRDefault="00304132" w:rsidP="00CD5E09">
            <w:pPr>
              <w:rPr>
                <w:rFonts w:eastAsia="SimSun"/>
              </w:rPr>
            </w:pPr>
            <w:r w:rsidRPr="00AC3044">
              <w:rPr>
                <w:rFonts w:eastAsia="SimSun"/>
              </w:rPr>
              <w:t>Кондиционирование</w:t>
            </w:r>
          </w:p>
        </w:tc>
        <w:tc>
          <w:tcPr>
            <w:tcW w:w="1559" w:type="dxa"/>
            <w:vAlign w:val="center"/>
          </w:tcPr>
          <w:p w14:paraId="75301A59" w14:textId="77777777" w:rsidR="00304132" w:rsidRPr="00AC3044" w:rsidRDefault="00304132" w:rsidP="00CD5E09">
            <w:pPr>
              <w:rPr>
                <w:rFonts w:eastAsia="SimSun"/>
              </w:rPr>
            </w:pPr>
            <w:r w:rsidRPr="00AC3044">
              <w:rPr>
                <w:rFonts w:eastAsia="SimSun"/>
              </w:rPr>
              <w:t xml:space="preserve">Флударабин </w:t>
            </w:r>
          </w:p>
        </w:tc>
        <w:tc>
          <w:tcPr>
            <w:tcW w:w="1418" w:type="dxa"/>
            <w:vAlign w:val="center"/>
          </w:tcPr>
          <w:p w14:paraId="516FC277" w14:textId="77777777" w:rsidR="00304132" w:rsidRPr="00AC3044" w:rsidRDefault="00304132" w:rsidP="00CD5E09">
            <w:pPr>
              <w:rPr>
                <w:rFonts w:eastAsia="SimSun"/>
              </w:rPr>
            </w:pPr>
            <w:r w:rsidRPr="00AC3044">
              <w:rPr>
                <w:rFonts w:eastAsia="SimSun"/>
              </w:rPr>
              <w:t>30 мг/м</w:t>
            </w:r>
            <w:r w:rsidRPr="0074195F">
              <w:rPr>
                <w:rFonts w:eastAsia="SimSun"/>
                <w:vertAlign w:val="superscript"/>
              </w:rPr>
              <w:t>2</w:t>
            </w:r>
          </w:p>
        </w:tc>
        <w:tc>
          <w:tcPr>
            <w:tcW w:w="1559" w:type="dxa"/>
            <w:vAlign w:val="center"/>
          </w:tcPr>
          <w:p w14:paraId="47842C11" w14:textId="77777777" w:rsidR="00304132" w:rsidRPr="00AC3044" w:rsidRDefault="00304132" w:rsidP="00CD5E09">
            <w:pPr>
              <w:rPr>
                <w:rFonts w:eastAsia="SimSun"/>
              </w:rPr>
            </w:pPr>
            <w:r w:rsidRPr="00AC3044">
              <w:rPr>
                <w:rFonts w:eastAsia="SimSun"/>
              </w:rPr>
              <w:t>180 мг/м</w:t>
            </w:r>
            <w:r w:rsidRPr="0074195F">
              <w:rPr>
                <w:rFonts w:eastAsia="SimSun"/>
                <w:vertAlign w:val="superscript"/>
              </w:rPr>
              <w:t>2</w:t>
            </w:r>
          </w:p>
        </w:tc>
        <w:tc>
          <w:tcPr>
            <w:tcW w:w="1417" w:type="dxa"/>
            <w:vAlign w:val="center"/>
          </w:tcPr>
          <w:p w14:paraId="349B640A" w14:textId="77777777" w:rsidR="00304132" w:rsidRPr="00AC3044" w:rsidRDefault="00304132" w:rsidP="00CD5E09">
            <w:pPr>
              <w:rPr>
                <w:rFonts w:eastAsia="SimSun"/>
              </w:rPr>
            </w:pPr>
            <w:r w:rsidRPr="00AC3044">
              <w:rPr>
                <w:rFonts w:eastAsia="SimSun"/>
              </w:rPr>
              <w:t>С -7 дня по -2 день</w:t>
            </w:r>
          </w:p>
        </w:tc>
        <w:tc>
          <w:tcPr>
            <w:tcW w:w="2552" w:type="dxa"/>
            <w:vAlign w:val="center"/>
          </w:tcPr>
          <w:p w14:paraId="4859A1A2" w14:textId="77777777" w:rsidR="00304132" w:rsidRPr="00AC3044" w:rsidRDefault="00304132" w:rsidP="00CD5E09">
            <w:pPr>
              <w:rPr>
                <w:rFonts w:eastAsia="SimSun"/>
              </w:rPr>
            </w:pPr>
            <w:r w:rsidRPr="00AC3044">
              <w:rPr>
                <w:rFonts w:eastAsia="SimSun"/>
              </w:rPr>
              <w:t>В/в, в течение 30 -60 мин</w:t>
            </w:r>
          </w:p>
        </w:tc>
      </w:tr>
      <w:tr w:rsidR="00304132" w:rsidRPr="00AC3044" w14:paraId="771CDB8E" w14:textId="77777777" w:rsidTr="00CD5E09">
        <w:trPr>
          <w:cantSplit/>
          <w:trHeight w:val="1207"/>
        </w:trPr>
        <w:tc>
          <w:tcPr>
            <w:tcW w:w="1135" w:type="dxa"/>
            <w:vMerge/>
            <w:vAlign w:val="center"/>
          </w:tcPr>
          <w:p w14:paraId="1421BB28" w14:textId="77777777" w:rsidR="00304132" w:rsidRPr="00AC3044" w:rsidRDefault="00304132" w:rsidP="00CD5E09">
            <w:pPr>
              <w:rPr>
                <w:rFonts w:eastAsia="SimSun"/>
              </w:rPr>
            </w:pPr>
          </w:p>
        </w:tc>
        <w:tc>
          <w:tcPr>
            <w:tcW w:w="1559" w:type="dxa"/>
            <w:vAlign w:val="center"/>
          </w:tcPr>
          <w:p w14:paraId="6D15A6ED" w14:textId="77777777" w:rsidR="00304132" w:rsidRPr="00AC3044" w:rsidRDefault="00304132" w:rsidP="00CD5E09">
            <w:pPr>
              <w:rPr>
                <w:rFonts w:eastAsia="SimSun"/>
              </w:rPr>
            </w:pPr>
            <w:r w:rsidRPr="00AC3044">
              <w:rPr>
                <w:rFonts w:eastAsia="SimSun"/>
              </w:rPr>
              <w:t>Мелфалан</w:t>
            </w:r>
          </w:p>
        </w:tc>
        <w:tc>
          <w:tcPr>
            <w:tcW w:w="1418" w:type="dxa"/>
            <w:vAlign w:val="center"/>
          </w:tcPr>
          <w:p w14:paraId="72B1B12E" w14:textId="77777777" w:rsidR="00304132" w:rsidRPr="00AC3044" w:rsidRDefault="00304132" w:rsidP="00CD5E09">
            <w:pPr>
              <w:rPr>
                <w:rFonts w:eastAsia="SimSun"/>
              </w:rPr>
            </w:pPr>
            <w:r w:rsidRPr="00AC3044">
              <w:rPr>
                <w:rFonts w:eastAsia="SimSun"/>
              </w:rPr>
              <w:t>100 мг/м</w:t>
            </w:r>
            <w:r w:rsidRPr="0074195F">
              <w:rPr>
                <w:rFonts w:eastAsia="SimSun"/>
                <w:vertAlign w:val="superscript"/>
              </w:rPr>
              <w:t>2</w:t>
            </w:r>
            <w:r w:rsidRPr="00AC3044">
              <w:rPr>
                <w:rFonts w:eastAsia="SimSun"/>
              </w:rPr>
              <w:t xml:space="preserve"> </w:t>
            </w:r>
          </w:p>
        </w:tc>
        <w:tc>
          <w:tcPr>
            <w:tcW w:w="1559" w:type="dxa"/>
            <w:vAlign w:val="center"/>
          </w:tcPr>
          <w:p w14:paraId="25E71EE2" w14:textId="77777777" w:rsidR="00304132" w:rsidRPr="00AC3044" w:rsidRDefault="00304132" w:rsidP="00CD5E09">
            <w:pPr>
              <w:rPr>
                <w:rFonts w:eastAsia="SimSun"/>
              </w:rPr>
            </w:pPr>
            <w:r w:rsidRPr="00AC3044">
              <w:rPr>
                <w:rFonts w:eastAsia="SimSun"/>
              </w:rPr>
              <w:t>100 мг/м</w:t>
            </w:r>
            <w:r w:rsidRPr="0074195F">
              <w:rPr>
                <w:rFonts w:eastAsia="SimSun"/>
                <w:vertAlign w:val="superscript"/>
              </w:rPr>
              <w:t>2</w:t>
            </w:r>
          </w:p>
        </w:tc>
        <w:tc>
          <w:tcPr>
            <w:tcW w:w="1417" w:type="dxa"/>
            <w:vAlign w:val="center"/>
          </w:tcPr>
          <w:p w14:paraId="2E98909B" w14:textId="77777777" w:rsidR="00304132" w:rsidRPr="00AC3044" w:rsidRDefault="00304132" w:rsidP="00CD5E09">
            <w:pPr>
              <w:rPr>
                <w:rFonts w:eastAsia="SimSun"/>
              </w:rPr>
            </w:pPr>
            <w:r w:rsidRPr="00AC3044">
              <w:rPr>
                <w:rFonts w:eastAsia="SimSun"/>
              </w:rPr>
              <w:t xml:space="preserve">В -2 день </w:t>
            </w:r>
          </w:p>
        </w:tc>
        <w:tc>
          <w:tcPr>
            <w:tcW w:w="2552" w:type="dxa"/>
            <w:vAlign w:val="center"/>
          </w:tcPr>
          <w:p w14:paraId="2DF04F3E" w14:textId="77777777" w:rsidR="00304132" w:rsidRPr="00AC3044" w:rsidRDefault="00304132" w:rsidP="00CD5E09">
            <w:pPr>
              <w:rPr>
                <w:rFonts w:eastAsia="SimSun"/>
              </w:rPr>
            </w:pPr>
            <w:r w:rsidRPr="00AC3044">
              <w:rPr>
                <w:rFonts w:eastAsia="SimSun"/>
              </w:rPr>
              <w:t>В/в, в течение 1 часа</w:t>
            </w:r>
          </w:p>
        </w:tc>
      </w:tr>
      <w:tr w:rsidR="00304132" w:rsidRPr="00AC3044" w14:paraId="157DE48B" w14:textId="77777777" w:rsidTr="00CD5E09">
        <w:trPr>
          <w:cantSplit/>
          <w:trHeight w:val="606"/>
        </w:trPr>
        <w:tc>
          <w:tcPr>
            <w:tcW w:w="1135" w:type="dxa"/>
            <w:vMerge w:val="restart"/>
            <w:textDirection w:val="btLr"/>
            <w:vAlign w:val="center"/>
          </w:tcPr>
          <w:p w14:paraId="291FD537" w14:textId="77777777" w:rsidR="00304132" w:rsidRPr="00AC3044" w:rsidRDefault="00304132" w:rsidP="00CD5E09">
            <w:pPr>
              <w:rPr>
                <w:rFonts w:eastAsia="SimSun"/>
              </w:rPr>
            </w:pPr>
            <w:r w:rsidRPr="00AC3044">
              <w:rPr>
                <w:rFonts w:eastAsia="SimSun"/>
              </w:rPr>
              <w:t>Профилактика РТПХ</w:t>
            </w:r>
          </w:p>
        </w:tc>
        <w:tc>
          <w:tcPr>
            <w:tcW w:w="1559" w:type="dxa"/>
            <w:vAlign w:val="center"/>
          </w:tcPr>
          <w:p w14:paraId="454377EC" w14:textId="77777777" w:rsidR="00304132" w:rsidRPr="00AC3044" w:rsidRDefault="00304132" w:rsidP="00CD5E09">
            <w:pPr>
              <w:rPr>
                <w:rFonts w:eastAsia="SimSun"/>
              </w:rPr>
            </w:pPr>
            <w:r w:rsidRPr="00AC3044">
              <w:rPr>
                <w:rFonts w:eastAsia="SimSun"/>
              </w:rPr>
              <w:t>Циклофосфамид</w:t>
            </w:r>
          </w:p>
        </w:tc>
        <w:tc>
          <w:tcPr>
            <w:tcW w:w="1418" w:type="dxa"/>
            <w:vAlign w:val="center"/>
          </w:tcPr>
          <w:p w14:paraId="485C6383" w14:textId="77777777" w:rsidR="00304132" w:rsidRPr="00AC3044" w:rsidRDefault="00304132" w:rsidP="00CD5E09">
            <w:pPr>
              <w:rPr>
                <w:rFonts w:eastAsia="SimSun"/>
              </w:rPr>
            </w:pPr>
            <w:r w:rsidRPr="00AC3044">
              <w:rPr>
                <w:rFonts w:eastAsia="SimSun"/>
              </w:rPr>
              <w:t>50 мг/кг</w:t>
            </w:r>
          </w:p>
        </w:tc>
        <w:tc>
          <w:tcPr>
            <w:tcW w:w="1559" w:type="dxa"/>
            <w:vAlign w:val="center"/>
          </w:tcPr>
          <w:p w14:paraId="1B627D12" w14:textId="77777777" w:rsidR="00304132" w:rsidRPr="00AC3044" w:rsidRDefault="00304132" w:rsidP="00CD5E09">
            <w:pPr>
              <w:rPr>
                <w:rFonts w:eastAsia="SimSun"/>
              </w:rPr>
            </w:pPr>
            <w:r w:rsidRPr="00AC3044">
              <w:rPr>
                <w:rFonts w:eastAsia="SimSun"/>
              </w:rPr>
              <w:t>100 мг/кг</w:t>
            </w:r>
          </w:p>
        </w:tc>
        <w:tc>
          <w:tcPr>
            <w:tcW w:w="1417" w:type="dxa"/>
            <w:vAlign w:val="center"/>
          </w:tcPr>
          <w:p w14:paraId="2C64E545" w14:textId="77777777" w:rsidR="00304132" w:rsidRPr="00AC3044" w:rsidRDefault="00304132" w:rsidP="00CD5E09">
            <w:pPr>
              <w:rPr>
                <w:rFonts w:eastAsia="SimSun"/>
              </w:rPr>
            </w:pPr>
            <w:r w:rsidRPr="00AC3044">
              <w:rPr>
                <w:rFonts w:eastAsia="SimSun"/>
              </w:rPr>
              <w:t xml:space="preserve">+3,+4 дни </w:t>
            </w:r>
          </w:p>
        </w:tc>
        <w:tc>
          <w:tcPr>
            <w:tcW w:w="2552" w:type="dxa"/>
            <w:vAlign w:val="center"/>
          </w:tcPr>
          <w:p w14:paraId="35BC57B7" w14:textId="77777777" w:rsidR="00304132" w:rsidRPr="00AC3044" w:rsidRDefault="00304132" w:rsidP="00CD5E09">
            <w:pPr>
              <w:rPr>
                <w:rFonts w:eastAsia="SimSun"/>
              </w:rPr>
            </w:pPr>
            <w:r w:rsidRPr="00AC3044">
              <w:rPr>
                <w:rFonts w:eastAsia="SimSun"/>
              </w:rPr>
              <w:t>В/в, в течение 2 часов</w:t>
            </w:r>
          </w:p>
        </w:tc>
      </w:tr>
      <w:tr w:rsidR="00304132" w:rsidRPr="00AC3044" w14:paraId="5C70E2B2" w14:textId="77777777" w:rsidTr="00CD5E09">
        <w:trPr>
          <w:cantSplit/>
          <w:trHeight w:val="958"/>
        </w:trPr>
        <w:tc>
          <w:tcPr>
            <w:tcW w:w="1135" w:type="dxa"/>
            <w:vMerge/>
            <w:textDirection w:val="btLr"/>
            <w:vAlign w:val="center"/>
          </w:tcPr>
          <w:p w14:paraId="19B572E7" w14:textId="77777777" w:rsidR="00304132" w:rsidRPr="00AC3044" w:rsidRDefault="00304132" w:rsidP="00CD5E09">
            <w:pPr>
              <w:rPr>
                <w:rFonts w:eastAsia="SimSun"/>
              </w:rPr>
            </w:pPr>
          </w:p>
        </w:tc>
        <w:tc>
          <w:tcPr>
            <w:tcW w:w="1559" w:type="dxa"/>
            <w:vAlign w:val="center"/>
          </w:tcPr>
          <w:p w14:paraId="6105C98E" w14:textId="77777777" w:rsidR="00304132" w:rsidRPr="00AC3044" w:rsidRDefault="00304132" w:rsidP="00CD5E09">
            <w:pPr>
              <w:rPr>
                <w:rFonts w:eastAsia="SimSun"/>
              </w:rPr>
            </w:pPr>
            <w:r w:rsidRPr="00AC3044">
              <w:rPr>
                <w:rFonts w:eastAsia="SimSun"/>
              </w:rPr>
              <w:t xml:space="preserve">Такролимус </w:t>
            </w:r>
          </w:p>
        </w:tc>
        <w:tc>
          <w:tcPr>
            <w:tcW w:w="1418" w:type="dxa"/>
            <w:vAlign w:val="center"/>
          </w:tcPr>
          <w:p w14:paraId="36122AEC" w14:textId="77777777" w:rsidR="00304132" w:rsidRPr="00AC3044" w:rsidRDefault="00304132" w:rsidP="00CD5E09">
            <w:pPr>
              <w:rPr>
                <w:rFonts w:eastAsia="SimSun"/>
              </w:rPr>
            </w:pPr>
            <w:r w:rsidRPr="00AC3044">
              <w:rPr>
                <w:rFonts w:eastAsia="SimSun"/>
              </w:rPr>
              <w:t>0,03 мг/кг</w:t>
            </w:r>
          </w:p>
        </w:tc>
        <w:tc>
          <w:tcPr>
            <w:tcW w:w="1559" w:type="dxa"/>
            <w:vAlign w:val="center"/>
          </w:tcPr>
          <w:p w14:paraId="72056D82" w14:textId="77777777" w:rsidR="00304132" w:rsidRPr="00AC3044" w:rsidRDefault="00304132" w:rsidP="00CD5E09">
            <w:pPr>
              <w:rPr>
                <w:rFonts w:eastAsia="SimSun"/>
              </w:rPr>
            </w:pPr>
            <w:r w:rsidRPr="00AC3044">
              <w:rPr>
                <w:rFonts w:eastAsia="SimSun"/>
              </w:rPr>
              <w:t>–</w:t>
            </w:r>
          </w:p>
        </w:tc>
        <w:tc>
          <w:tcPr>
            <w:tcW w:w="1417" w:type="dxa"/>
            <w:vAlign w:val="center"/>
          </w:tcPr>
          <w:p w14:paraId="554702E5" w14:textId="77777777" w:rsidR="00304132" w:rsidRPr="00AC3044" w:rsidRDefault="00304132" w:rsidP="00CD5E09">
            <w:pPr>
              <w:rPr>
                <w:rFonts w:eastAsia="SimSun"/>
              </w:rPr>
            </w:pPr>
            <w:r w:rsidRPr="00AC3044">
              <w:rPr>
                <w:rFonts w:eastAsia="SimSun"/>
              </w:rPr>
              <w:t xml:space="preserve">С -1 дня длительно </w:t>
            </w:r>
          </w:p>
        </w:tc>
        <w:tc>
          <w:tcPr>
            <w:tcW w:w="2552" w:type="dxa"/>
            <w:vAlign w:val="center"/>
          </w:tcPr>
          <w:p w14:paraId="2046EFF9" w14:textId="77777777" w:rsidR="00304132" w:rsidRPr="00AC3044" w:rsidRDefault="00304132" w:rsidP="00CD5E09">
            <w:pPr>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w:t>
            </w:r>
            <w:r w:rsidRPr="00AC3044">
              <w:rPr>
                <w:rFonts w:eastAsia="SimSun"/>
              </w:rPr>
              <w:t xml:space="preserve"> 10</w:t>
            </w:r>
            <w:r w:rsidRPr="0074195F">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304132" w:rsidRPr="00AC3044" w14:paraId="15E44BAE" w14:textId="77777777" w:rsidTr="00CD5E09">
        <w:trPr>
          <w:cantSplit/>
          <w:trHeight w:val="386"/>
        </w:trPr>
        <w:tc>
          <w:tcPr>
            <w:tcW w:w="1135" w:type="dxa"/>
            <w:vMerge/>
            <w:textDirection w:val="btLr"/>
            <w:vAlign w:val="center"/>
          </w:tcPr>
          <w:p w14:paraId="71B5AC30" w14:textId="77777777" w:rsidR="00304132" w:rsidRPr="00AC3044" w:rsidRDefault="00304132" w:rsidP="00CD5E09">
            <w:pPr>
              <w:rPr>
                <w:rFonts w:eastAsia="SimSun"/>
              </w:rPr>
            </w:pPr>
          </w:p>
        </w:tc>
        <w:tc>
          <w:tcPr>
            <w:tcW w:w="1559" w:type="dxa"/>
            <w:vAlign w:val="center"/>
          </w:tcPr>
          <w:p w14:paraId="619BB25C" w14:textId="77777777" w:rsidR="00304132" w:rsidRPr="00AC3044" w:rsidRDefault="00304132" w:rsidP="00CD5E09">
            <w:pPr>
              <w:rPr>
                <w:rFonts w:eastAsia="SimSun"/>
              </w:rPr>
            </w:pPr>
            <w:r w:rsidRPr="00AC3044">
              <w:rPr>
                <w:rFonts w:eastAsia="SimSun"/>
              </w:rPr>
              <w:t>Микофенолата мофетил</w:t>
            </w:r>
          </w:p>
        </w:tc>
        <w:tc>
          <w:tcPr>
            <w:tcW w:w="1418" w:type="dxa"/>
            <w:vAlign w:val="center"/>
          </w:tcPr>
          <w:p w14:paraId="2D165641" w14:textId="77777777" w:rsidR="00304132" w:rsidRPr="00AC3044" w:rsidRDefault="00304132" w:rsidP="00CD5E09">
            <w:pPr>
              <w:rPr>
                <w:rFonts w:eastAsia="SimSun"/>
              </w:rPr>
            </w:pPr>
            <w:r w:rsidRPr="00AC3044">
              <w:rPr>
                <w:rFonts w:eastAsia="SimSun"/>
              </w:rPr>
              <w:t xml:space="preserve">30 мг/кг </w:t>
            </w:r>
          </w:p>
        </w:tc>
        <w:tc>
          <w:tcPr>
            <w:tcW w:w="1559" w:type="dxa"/>
            <w:vAlign w:val="center"/>
          </w:tcPr>
          <w:p w14:paraId="4CF7C57E" w14:textId="77777777" w:rsidR="00304132" w:rsidRPr="00AC3044" w:rsidRDefault="00304132" w:rsidP="00CD5E09">
            <w:pPr>
              <w:rPr>
                <w:rFonts w:eastAsia="SimSun"/>
              </w:rPr>
            </w:pPr>
            <w:r w:rsidRPr="00AC3044">
              <w:rPr>
                <w:rFonts w:eastAsia="SimSun"/>
              </w:rPr>
              <w:t>–</w:t>
            </w:r>
          </w:p>
        </w:tc>
        <w:tc>
          <w:tcPr>
            <w:tcW w:w="1417" w:type="dxa"/>
            <w:vAlign w:val="center"/>
          </w:tcPr>
          <w:p w14:paraId="5860505C" w14:textId="77777777" w:rsidR="00304132" w:rsidRPr="00AC3044" w:rsidRDefault="00304132" w:rsidP="00CD5E09">
            <w:pPr>
              <w:rPr>
                <w:rFonts w:eastAsia="SimSun"/>
              </w:rPr>
            </w:pPr>
            <w:r w:rsidRPr="00AC3044">
              <w:rPr>
                <w:rFonts w:eastAsia="SimSun"/>
              </w:rPr>
              <w:t xml:space="preserve">С -1 дня по +30 день </w:t>
            </w:r>
          </w:p>
        </w:tc>
        <w:tc>
          <w:tcPr>
            <w:tcW w:w="2552" w:type="dxa"/>
            <w:vAlign w:val="center"/>
          </w:tcPr>
          <w:p w14:paraId="01F7AE3F" w14:textId="77777777" w:rsidR="00304132" w:rsidRPr="00AC3044" w:rsidRDefault="00304132" w:rsidP="00CD5E09">
            <w:pPr>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 xml:space="preserve">г/сут).  </w:t>
            </w:r>
          </w:p>
        </w:tc>
      </w:tr>
    </w:tbl>
    <w:p w14:paraId="72380CCE" w14:textId="77777777" w:rsidR="00304132" w:rsidRPr="00C07B2E" w:rsidRDefault="00304132" w:rsidP="00304132">
      <w:pPr>
        <w:rPr>
          <w:rFonts w:eastAsia="SimSun"/>
        </w:rPr>
      </w:pPr>
    </w:p>
    <w:p w14:paraId="6B502D53" w14:textId="77777777" w:rsidR="00304132" w:rsidRPr="000F445E" w:rsidRDefault="00304132" w:rsidP="00304132">
      <w:pPr>
        <w:rPr>
          <w:rFonts w:eastAsia="SimSun"/>
          <w:i/>
          <w:u w:val="single"/>
        </w:rPr>
      </w:pPr>
      <w:bookmarkStart w:id="379" w:name="_Toc44401240"/>
      <w:r w:rsidRPr="000F445E">
        <w:rPr>
          <w:rFonts w:eastAsia="SimSun"/>
          <w:i/>
          <w:u w:val="single"/>
        </w:rPr>
        <w:t>4.  Алло-ТГСК с использованием манипулированных  трансплантатов (ex vivo Т-клеточная деплеция, позитивная CD34+ селекция)</w:t>
      </w:r>
      <w:bookmarkEnd w:id="379"/>
      <w:r w:rsidRPr="000F445E">
        <w:rPr>
          <w:rFonts w:eastAsia="SimSun"/>
          <w:i/>
          <w:u w:val="single"/>
        </w:rPr>
        <w:t xml:space="preserve"> </w:t>
      </w:r>
    </w:p>
    <w:p w14:paraId="7DE7B7F8" w14:textId="77777777" w:rsidR="00304132" w:rsidRDefault="00304132" w:rsidP="00304132">
      <w:pPr>
        <w:rPr>
          <w:rFonts w:eastAsia="SimSun"/>
        </w:rPr>
      </w:pPr>
      <w:bookmarkStart w:id="380" w:name="_Toc44401242"/>
    </w:p>
    <w:bookmarkEnd w:id="380"/>
    <w:p w14:paraId="3D8997CF" w14:textId="77777777" w:rsidR="00304132" w:rsidRPr="00C07B2E" w:rsidRDefault="00304132" w:rsidP="00304132">
      <w:pPr>
        <w:rPr>
          <w:rFonts w:eastAsia="SimSun"/>
        </w:rPr>
      </w:pPr>
      <w:r w:rsidRPr="00C07B2E">
        <w:rPr>
          <w:rFonts w:eastAsia="SimSun"/>
        </w:rPr>
        <w:t xml:space="preserve">Схема и режим применения препаратов для кондиционирования и профилактики РТПХ приведены в </w:t>
      </w:r>
      <w:r>
        <w:rPr>
          <w:rFonts w:eastAsia="SimSun"/>
        </w:rPr>
        <w:t>Таблицах</w:t>
      </w:r>
      <w:r w:rsidRPr="00C07B2E">
        <w:rPr>
          <w:rFonts w:eastAsia="SimSun"/>
        </w:rPr>
        <w:t xml:space="preserve"> </w:t>
      </w:r>
      <w:r>
        <w:rPr>
          <w:rFonts w:eastAsia="SimSun"/>
        </w:rPr>
        <w:t>5.</w:t>
      </w:r>
      <w:r w:rsidRPr="00C07B2E">
        <w:rPr>
          <w:rFonts w:eastAsia="SimSun"/>
        </w:rPr>
        <w:t xml:space="preserve">4.1, </w:t>
      </w:r>
      <w:r>
        <w:rPr>
          <w:rFonts w:eastAsia="SimSun"/>
        </w:rPr>
        <w:t>5.</w:t>
      </w:r>
      <w:r w:rsidRPr="00C07B2E">
        <w:rPr>
          <w:rFonts w:eastAsia="SimSun"/>
        </w:rPr>
        <w:t xml:space="preserve">4.2 и </w:t>
      </w:r>
      <w:r>
        <w:rPr>
          <w:rFonts w:eastAsia="SimSun"/>
        </w:rPr>
        <w:t>5.</w:t>
      </w:r>
      <w:r w:rsidRPr="00C07B2E">
        <w:rPr>
          <w:rFonts w:eastAsia="SimSun"/>
        </w:rPr>
        <w:t xml:space="preserve">4.3. </w:t>
      </w:r>
    </w:p>
    <w:p w14:paraId="6291BDA2" w14:textId="77777777" w:rsidR="00304132" w:rsidRDefault="00304132" w:rsidP="00304132">
      <w:pPr>
        <w:rPr>
          <w:rFonts w:eastAsia="SimSun"/>
        </w:rPr>
      </w:pPr>
      <w:bookmarkStart w:id="381" w:name="_Toc44401243"/>
    </w:p>
    <w:p w14:paraId="0C24DD1A" w14:textId="77777777" w:rsidR="00304132" w:rsidRPr="00EE51B1" w:rsidRDefault="00304132" w:rsidP="00304132">
      <w:pPr>
        <w:rPr>
          <w:rFonts w:eastAsia="SimSun"/>
          <w:lang w:val="en-US"/>
        </w:rPr>
      </w:pPr>
      <w:r>
        <w:rPr>
          <w:rFonts w:eastAsia="SimSun"/>
        </w:rPr>
        <w:t>Таблица</w:t>
      </w:r>
      <w:r w:rsidRPr="00EE51B1">
        <w:rPr>
          <w:rFonts w:eastAsia="SimSun"/>
          <w:lang w:val="en-US"/>
        </w:rPr>
        <w:t xml:space="preserve"> </w:t>
      </w:r>
      <w:r>
        <w:rPr>
          <w:rFonts w:eastAsia="SimSun"/>
          <w:lang w:val="en-US"/>
        </w:rPr>
        <w:t>5.</w:t>
      </w:r>
      <w:r w:rsidRPr="00EE51B1">
        <w:rPr>
          <w:rFonts w:eastAsia="SimSun"/>
          <w:lang w:val="en-US"/>
        </w:rPr>
        <w:t xml:space="preserve">4.1  – </w:t>
      </w:r>
      <w:r w:rsidRPr="00657BC2">
        <w:rPr>
          <w:rFonts w:eastAsia="SimSun"/>
          <w:lang w:val="en-US"/>
        </w:rPr>
        <w:t>Flu</w:t>
      </w:r>
      <w:r w:rsidRPr="00EE51B1">
        <w:rPr>
          <w:rFonts w:eastAsia="SimSun"/>
          <w:lang w:val="en-US"/>
        </w:rPr>
        <w:t>150+</w:t>
      </w:r>
      <w:r w:rsidRPr="00657BC2">
        <w:rPr>
          <w:rFonts w:eastAsia="SimSun"/>
          <w:lang w:val="en-US"/>
        </w:rPr>
        <w:t>Treo</w:t>
      </w:r>
      <w:r w:rsidRPr="00EE51B1">
        <w:rPr>
          <w:rFonts w:eastAsia="SimSun"/>
          <w:lang w:val="en-US"/>
        </w:rPr>
        <w:t>42+</w:t>
      </w:r>
      <w:r w:rsidRPr="00657BC2">
        <w:rPr>
          <w:rFonts w:eastAsia="SimSun"/>
          <w:lang w:val="en-US"/>
        </w:rPr>
        <w:t>Thio</w:t>
      </w:r>
      <w:r w:rsidRPr="00EE51B1">
        <w:rPr>
          <w:rFonts w:eastAsia="SimSun"/>
          <w:lang w:val="en-US"/>
        </w:rPr>
        <w:t xml:space="preserve"> / </w:t>
      </w:r>
      <w:r w:rsidRPr="00657BC2">
        <w:rPr>
          <w:rFonts w:eastAsia="SimSun"/>
          <w:lang w:val="en-US"/>
        </w:rPr>
        <w:t>TCR</w:t>
      </w:r>
      <w:r w:rsidRPr="00C07B2E">
        <w:rPr>
          <w:rFonts w:eastAsia="SimSun"/>
        </w:rPr>
        <w:t>αβ</w:t>
      </w:r>
      <w:r w:rsidRPr="00EE51B1">
        <w:rPr>
          <w:rFonts w:eastAsia="SimSun"/>
          <w:lang w:val="en-US"/>
        </w:rPr>
        <w:t>-</w:t>
      </w:r>
      <w:r w:rsidRPr="00657BC2">
        <w:rPr>
          <w:rFonts w:eastAsia="SimSun"/>
          <w:lang w:val="en-US"/>
        </w:rPr>
        <w:t>CD</w:t>
      </w:r>
      <w:r w:rsidRPr="00EE51B1">
        <w:rPr>
          <w:rFonts w:eastAsia="SimSun"/>
          <w:lang w:val="en-US"/>
        </w:rPr>
        <w:t>19</w:t>
      </w:r>
      <w:bookmarkEnd w:id="381"/>
    </w:p>
    <w:tbl>
      <w:tblPr>
        <w:tblW w:w="10490"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51"/>
        <w:gridCol w:w="2268"/>
        <w:gridCol w:w="1276"/>
        <w:gridCol w:w="1417"/>
        <w:gridCol w:w="1843"/>
        <w:gridCol w:w="2835"/>
      </w:tblGrid>
      <w:tr w:rsidR="00304132" w:rsidRPr="00AC3044" w14:paraId="558E4B02" w14:textId="77777777" w:rsidTr="00CD5E09">
        <w:trPr>
          <w:cantSplit/>
          <w:trHeight w:val="20"/>
          <w:tblHeader/>
        </w:trPr>
        <w:tc>
          <w:tcPr>
            <w:tcW w:w="851" w:type="dxa"/>
          </w:tcPr>
          <w:p w14:paraId="7D42DB79" w14:textId="77777777" w:rsidR="00304132" w:rsidRPr="000F445E" w:rsidRDefault="00304132" w:rsidP="00CD5E09">
            <w:pPr>
              <w:rPr>
                <w:rFonts w:eastAsia="SimSun"/>
                <w:lang w:val="en-US"/>
              </w:rPr>
            </w:pPr>
          </w:p>
        </w:tc>
        <w:tc>
          <w:tcPr>
            <w:tcW w:w="2268" w:type="dxa"/>
            <w:vAlign w:val="center"/>
          </w:tcPr>
          <w:p w14:paraId="08EAB788" w14:textId="77777777" w:rsidR="00304132" w:rsidRPr="00AC3044" w:rsidRDefault="00304132" w:rsidP="00CD5E09">
            <w:pPr>
              <w:rPr>
                <w:rFonts w:eastAsia="SimSun"/>
              </w:rPr>
            </w:pPr>
            <w:r w:rsidRPr="00AC3044">
              <w:rPr>
                <w:rFonts w:eastAsia="SimSun"/>
              </w:rPr>
              <w:t>Препарат</w:t>
            </w:r>
          </w:p>
        </w:tc>
        <w:tc>
          <w:tcPr>
            <w:tcW w:w="1276" w:type="dxa"/>
            <w:vAlign w:val="center"/>
          </w:tcPr>
          <w:p w14:paraId="2F8F9893" w14:textId="77777777" w:rsidR="00304132" w:rsidRPr="00AC3044" w:rsidRDefault="00304132" w:rsidP="00CD5E09">
            <w:pPr>
              <w:rPr>
                <w:rFonts w:eastAsia="SimSun"/>
              </w:rPr>
            </w:pPr>
            <w:r w:rsidRPr="00AC3044">
              <w:rPr>
                <w:rFonts w:eastAsia="SimSun"/>
              </w:rPr>
              <w:t>Суточная доза</w:t>
            </w:r>
          </w:p>
        </w:tc>
        <w:tc>
          <w:tcPr>
            <w:tcW w:w="1417" w:type="dxa"/>
            <w:vAlign w:val="center"/>
          </w:tcPr>
          <w:p w14:paraId="32DD13C6" w14:textId="77777777" w:rsidR="00304132" w:rsidRPr="00AC3044" w:rsidRDefault="00304132" w:rsidP="00CD5E09">
            <w:pPr>
              <w:rPr>
                <w:rFonts w:eastAsia="SimSun"/>
              </w:rPr>
            </w:pPr>
            <w:r w:rsidRPr="00AC3044">
              <w:rPr>
                <w:rFonts w:eastAsia="SimSun"/>
              </w:rPr>
              <w:t>Курсовая доза</w:t>
            </w:r>
          </w:p>
        </w:tc>
        <w:tc>
          <w:tcPr>
            <w:tcW w:w="1843" w:type="dxa"/>
            <w:vAlign w:val="center"/>
          </w:tcPr>
          <w:p w14:paraId="664C5AA2" w14:textId="77777777" w:rsidR="00304132" w:rsidRPr="00AC3044" w:rsidRDefault="00304132" w:rsidP="00CD5E09">
            <w:pPr>
              <w:rPr>
                <w:rFonts w:eastAsia="SimSun"/>
              </w:rPr>
            </w:pPr>
            <w:r w:rsidRPr="00AC3044">
              <w:rPr>
                <w:rFonts w:eastAsia="SimSun"/>
              </w:rPr>
              <w:t>Дни введения</w:t>
            </w:r>
          </w:p>
        </w:tc>
        <w:tc>
          <w:tcPr>
            <w:tcW w:w="2835" w:type="dxa"/>
            <w:vAlign w:val="center"/>
          </w:tcPr>
          <w:p w14:paraId="1A3DF28A" w14:textId="77777777" w:rsidR="00304132" w:rsidRPr="00AC3044" w:rsidRDefault="00304132" w:rsidP="00CD5E09">
            <w:pPr>
              <w:rPr>
                <w:rFonts w:eastAsia="SimSun"/>
              </w:rPr>
            </w:pPr>
            <w:r w:rsidRPr="00AC3044">
              <w:rPr>
                <w:rFonts w:eastAsia="SimSun"/>
              </w:rPr>
              <w:t>Порядок введения</w:t>
            </w:r>
          </w:p>
        </w:tc>
      </w:tr>
      <w:tr w:rsidR="00304132" w:rsidRPr="00AC3044" w14:paraId="39741DD2" w14:textId="77777777" w:rsidTr="00CD5E09">
        <w:trPr>
          <w:cantSplit/>
          <w:trHeight w:val="20"/>
        </w:trPr>
        <w:tc>
          <w:tcPr>
            <w:tcW w:w="851" w:type="dxa"/>
            <w:vMerge w:val="restart"/>
            <w:textDirection w:val="btLr"/>
            <w:vAlign w:val="center"/>
          </w:tcPr>
          <w:p w14:paraId="4EE07261" w14:textId="77777777" w:rsidR="00304132" w:rsidRPr="00AC3044" w:rsidRDefault="00304132" w:rsidP="00CD5E09">
            <w:pPr>
              <w:rPr>
                <w:rFonts w:eastAsia="SimSun"/>
              </w:rPr>
            </w:pPr>
            <w:r w:rsidRPr="00AC3044">
              <w:rPr>
                <w:rFonts w:eastAsia="SimSun"/>
              </w:rPr>
              <w:t>Кондиционирование</w:t>
            </w:r>
          </w:p>
        </w:tc>
        <w:tc>
          <w:tcPr>
            <w:tcW w:w="2268" w:type="dxa"/>
            <w:vAlign w:val="center"/>
          </w:tcPr>
          <w:p w14:paraId="1390C73C" w14:textId="77777777" w:rsidR="00304132" w:rsidRPr="00AC3044" w:rsidRDefault="00304132" w:rsidP="00CD5E09">
            <w:pPr>
              <w:rPr>
                <w:rFonts w:eastAsia="SimSun"/>
              </w:rPr>
            </w:pPr>
            <w:r w:rsidRPr="00AC3044">
              <w:rPr>
                <w:rFonts w:eastAsia="SimSun"/>
              </w:rPr>
              <w:t>Треосульфан</w:t>
            </w:r>
          </w:p>
        </w:tc>
        <w:tc>
          <w:tcPr>
            <w:tcW w:w="1276" w:type="dxa"/>
            <w:vAlign w:val="center"/>
          </w:tcPr>
          <w:p w14:paraId="34381407" w14:textId="77777777" w:rsidR="00304132" w:rsidRPr="00AC3044" w:rsidRDefault="00304132" w:rsidP="00CD5E09">
            <w:pPr>
              <w:rPr>
                <w:rFonts w:eastAsia="SimSun"/>
              </w:rPr>
            </w:pPr>
            <w:r w:rsidRPr="00AC3044">
              <w:rPr>
                <w:rFonts w:eastAsia="SimSun"/>
              </w:rPr>
              <w:t>14 г/м</w:t>
            </w:r>
            <w:r w:rsidRPr="0074195F">
              <w:rPr>
                <w:rFonts w:eastAsia="SimSun"/>
                <w:vertAlign w:val="superscript"/>
              </w:rPr>
              <w:t>2</w:t>
            </w:r>
          </w:p>
        </w:tc>
        <w:tc>
          <w:tcPr>
            <w:tcW w:w="1417" w:type="dxa"/>
            <w:vAlign w:val="center"/>
          </w:tcPr>
          <w:p w14:paraId="6665121A" w14:textId="77777777" w:rsidR="00304132" w:rsidRPr="00AC3044" w:rsidRDefault="00304132" w:rsidP="00CD5E09">
            <w:pPr>
              <w:rPr>
                <w:rFonts w:eastAsia="SimSun"/>
              </w:rPr>
            </w:pPr>
            <w:r w:rsidRPr="00AC3044">
              <w:rPr>
                <w:rFonts w:eastAsia="SimSun"/>
              </w:rPr>
              <w:t>42 г/м</w:t>
            </w:r>
            <w:r w:rsidRPr="0074195F">
              <w:rPr>
                <w:rFonts w:eastAsia="SimSun"/>
                <w:vertAlign w:val="superscript"/>
              </w:rPr>
              <w:t>2</w:t>
            </w:r>
          </w:p>
        </w:tc>
        <w:tc>
          <w:tcPr>
            <w:tcW w:w="1843" w:type="dxa"/>
            <w:vAlign w:val="center"/>
          </w:tcPr>
          <w:p w14:paraId="4E746D2D" w14:textId="77777777" w:rsidR="00304132" w:rsidRPr="00AC3044" w:rsidRDefault="00304132" w:rsidP="00CD5E09">
            <w:pPr>
              <w:rPr>
                <w:rFonts w:eastAsia="SimSun"/>
              </w:rPr>
            </w:pPr>
            <w:r w:rsidRPr="00AC3044">
              <w:rPr>
                <w:rFonts w:eastAsia="SimSun"/>
              </w:rPr>
              <w:t>–5,–4,–3</w:t>
            </w:r>
          </w:p>
        </w:tc>
        <w:tc>
          <w:tcPr>
            <w:tcW w:w="2835" w:type="dxa"/>
            <w:vAlign w:val="center"/>
          </w:tcPr>
          <w:p w14:paraId="638D293E" w14:textId="77777777" w:rsidR="00304132" w:rsidRPr="00AC3044" w:rsidRDefault="00304132" w:rsidP="00CD5E09">
            <w:pPr>
              <w:rPr>
                <w:rFonts w:eastAsia="SimSun"/>
              </w:rPr>
            </w:pPr>
            <w:r w:rsidRPr="00AC3044">
              <w:rPr>
                <w:rFonts w:eastAsia="SimSun"/>
              </w:rPr>
              <w:t>В/в, в течение 2 часов</w:t>
            </w:r>
          </w:p>
        </w:tc>
      </w:tr>
      <w:tr w:rsidR="00304132" w:rsidRPr="00AC3044" w14:paraId="3D01098D" w14:textId="77777777" w:rsidTr="00CD5E09">
        <w:trPr>
          <w:cantSplit/>
          <w:trHeight w:val="457"/>
        </w:trPr>
        <w:tc>
          <w:tcPr>
            <w:tcW w:w="851" w:type="dxa"/>
            <w:vMerge/>
            <w:textDirection w:val="btLr"/>
            <w:vAlign w:val="center"/>
          </w:tcPr>
          <w:p w14:paraId="36A8C327" w14:textId="77777777" w:rsidR="00304132" w:rsidRPr="00AC3044" w:rsidRDefault="00304132" w:rsidP="00CD5E09">
            <w:pPr>
              <w:rPr>
                <w:rFonts w:eastAsia="SimSun"/>
              </w:rPr>
            </w:pPr>
          </w:p>
        </w:tc>
        <w:tc>
          <w:tcPr>
            <w:tcW w:w="2268" w:type="dxa"/>
            <w:vAlign w:val="center"/>
          </w:tcPr>
          <w:p w14:paraId="03537C0C" w14:textId="77777777" w:rsidR="00304132" w:rsidRPr="00AC3044" w:rsidRDefault="00304132" w:rsidP="00CD5E09">
            <w:pPr>
              <w:rPr>
                <w:rFonts w:eastAsia="SimSun"/>
              </w:rPr>
            </w:pPr>
            <w:r w:rsidRPr="00AC3044">
              <w:rPr>
                <w:rFonts w:eastAsia="SimSun"/>
              </w:rPr>
              <w:t>Тиотепа</w:t>
            </w:r>
          </w:p>
        </w:tc>
        <w:tc>
          <w:tcPr>
            <w:tcW w:w="1276" w:type="dxa"/>
            <w:vAlign w:val="center"/>
          </w:tcPr>
          <w:p w14:paraId="34CA99C6" w14:textId="77777777" w:rsidR="00304132" w:rsidRPr="00AC3044" w:rsidRDefault="00304132" w:rsidP="00CD5E09">
            <w:pPr>
              <w:rPr>
                <w:rFonts w:eastAsia="SimSun"/>
              </w:rPr>
            </w:pPr>
            <w:r w:rsidRPr="00AC3044">
              <w:rPr>
                <w:rFonts w:eastAsia="SimSun"/>
              </w:rPr>
              <w:t xml:space="preserve">5мг/кг </w:t>
            </w:r>
          </w:p>
        </w:tc>
        <w:tc>
          <w:tcPr>
            <w:tcW w:w="1417" w:type="dxa"/>
            <w:vAlign w:val="center"/>
          </w:tcPr>
          <w:p w14:paraId="5B7A0A5C" w14:textId="77777777" w:rsidR="00304132" w:rsidRPr="00AC3044" w:rsidRDefault="00304132" w:rsidP="00CD5E09">
            <w:pPr>
              <w:rPr>
                <w:rFonts w:eastAsia="SimSun"/>
              </w:rPr>
            </w:pPr>
            <w:r w:rsidRPr="00AC3044">
              <w:rPr>
                <w:rFonts w:eastAsia="SimSun"/>
              </w:rPr>
              <w:t>10 мг/кг</w:t>
            </w:r>
          </w:p>
        </w:tc>
        <w:tc>
          <w:tcPr>
            <w:tcW w:w="1843" w:type="dxa"/>
            <w:vAlign w:val="center"/>
          </w:tcPr>
          <w:p w14:paraId="73EC5C90" w14:textId="77777777" w:rsidR="00304132" w:rsidRPr="00AC3044" w:rsidRDefault="00304132" w:rsidP="00CD5E09">
            <w:pPr>
              <w:rPr>
                <w:rFonts w:eastAsia="SimSun"/>
              </w:rPr>
            </w:pPr>
            <w:r w:rsidRPr="00AC3044">
              <w:rPr>
                <w:rFonts w:eastAsia="SimSun"/>
              </w:rPr>
              <w:t>–6,–5</w:t>
            </w:r>
          </w:p>
        </w:tc>
        <w:tc>
          <w:tcPr>
            <w:tcW w:w="2835" w:type="dxa"/>
            <w:vAlign w:val="center"/>
          </w:tcPr>
          <w:p w14:paraId="4DA7E4CA" w14:textId="77777777" w:rsidR="00304132" w:rsidRPr="00AC3044" w:rsidRDefault="00304132" w:rsidP="00CD5E09">
            <w:pPr>
              <w:rPr>
                <w:rFonts w:eastAsia="SimSun"/>
              </w:rPr>
            </w:pPr>
            <w:r w:rsidRPr="00AC3044">
              <w:rPr>
                <w:rFonts w:eastAsia="SimSun"/>
              </w:rPr>
              <w:t>В/в, в течение 2 часов</w:t>
            </w:r>
          </w:p>
        </w:tc>
      </w:tr>
      <w:tr w:rsidR="00304132" w:rsidRPr="00AC3044" w14:paraId="4A72DA89" w14:textId="77777777" w:rsidTr="00CD5E09">
        <w:trPr>
          <w:cantSplit/>
          <w:trHeight w:val="262"/>
        </w:trPr>
        <w:tc>
          <w:tcPr>
            <w:tcW w:w="851" w:type="dxa"/>
            <w:vMerge/>
            <w:textDirection w:val="btLr"/>
            <w:vAlign w:val="center"/>
          </w:tcPr>
          <w:p w14:paraId="6BD83CD6" w14:textId="77777777" w:rsidR="00304132" w:rsidRPr="00AC3044" w:rsidRDefault="00304132" w:rsidP="00CD5E09">
            <w:pPr>
              <w:rPr>
                <w:rFonts w:eastAsia="SimSun"/>
              </w:rPr>
            </w:pPr>
          </w:p>
        </w:tc>
        <w:tc>
          <w:tcPr>
            <w:tcW w:w="2268" w:type="dxa"/>
            <w:vAlign w:val="center"/>
          </w:tcPr>
          <w:p w14:paraId="61A2DD0B" w14:textId="77777777" w:rsidR="00304132" w:rsidRPr="00AC3044" w:rsidRDefault="00304132" w:rsidP="00CD5E09">
            <w:pPr>
              <w:rPr>
                <w:rFonts w:eastAsia="SimSun"/>
              </w:rPr>
            </w:pPr>
            <w:r w:rsidRPr="00AC3044">
              <w:rPr>
                <w:rFonts w:eastAsia="SimSun"/>
              </w:rPr>
              <w:t>Флударабин</w:t>
            </w:r>
          </w:p>
        </w:tc>
        <w:tc>
          <w:tcPr>
            <w:tcW w:w="1276" w:type="dxa"/>
            <w:vAlign w:val="center"/>
          </w:tcPr>
          <w:p w14:paraId="4006E037" w14:textId="77777777" w:rsidR="00304132" w:rsidRPr="00AC3044" w:rsidRDefault="00304132" w:rsidP="00CD5E09">
            <w:pPr>
              <w:rPr>
                <w:rFonts w:eastAsia="SimSun"/>
              </w:rPr>
            </w:pPr>
            <w:r w:rsidRPr="00AC3044">
              <w:rPr>
                <w:rFonts w:eastAsia="SimSun"/>
              </w:rPr>
              <w:t>30 мг/м</w:t>
            </w:r>
            <w:r w:rsidRPr="0074195F">
              <w:rPr>
                <w:rFonts w:eastAsia="SimSun"/>
                <w:vertAlign w:val="superscript"/>
              </w:rPr>
              <w:t>2</w:t>
            </w:r>
          </w:p>
        </w:tc>
        <w:tc>
          <w:tcPr>
            <w:tcW w:w="1417" w:type="dxa"/>
            <w:vAlign w:val="center"/>
          </w:tcPr>
          <w:p w14:paraId="62D46310" w14:textId="77777777" w:rsidR="00304132" w:rsidRPr="00AC3044" w:rsidRDefault="00304132" w:rsidP="00CD5E09">
            <w:pPr>
              <w:rPr>
                <w:rFonts w:eastAsia="SimSun"/>
              </w:rPr>
            </w:pPr>
            <w:r w:rsidRPr="00AC3044">
              <w:rPr>
                <w:rFonts w:eastAsia="SimSun"/>
              </w:rPr>
              <w:t>150 мг/м</w:t>
            </w:r>
            <w:r w:rsidRPr="0074195F">
              <w:rPr>
                <w:rFonts w:eastAsia="SimSun"/>
                <w:vertAlign w:val="superscript"/>
              </w:rPr>
              <w:t>2</w:t>
            </w:r>
          </w:p>
        </w:tc>
        <w:tc>
          <w:tcPr>
            <w:tcW w:w="1843" w:type="dxa"/>
            <w:vAlign w:val="center"/>
          </w:tcPr>
          <w:p w14:paraId="08E948CA" w14:textId="77777777" w:rsidR="00304132" w:rsidRPr="00AC3044" w:rsidRDefault="00304132" w:rsidP="00CD5E09">
            <w:pPr>
              <w:rPr>
                <w:rFonts w:eastAsia="SimSun"/>
              </w:rPr>
            </w:pPr>
            <w:r w:rsidRPr="00AC3044">
              <w:rPr>
                <w:rFonts w:eastAsia="SimSun"/>
              </w:rPr>
              <w:t>–6,–5,–4, –3, –2</w:t>
            </w:r>
          </w:p>
        </w:tc>
        <w:tc>
          <w:tcPr>
            <w:tcW w:w="2835" w:type="dxa"/>
            <w:vAlign w:val="center"/>
          </w:tcPr>
          <w:p w14:paraId="789A170A" w14:textId="77777777" w:rsidR="00304132" w:rsidRPr="00AC3044" w:rsidRDefault="00304132" w:rsidP="00CD5E09">
            <w:pPr>
              <w:rPr>
                <w:rFonts w:eastAsia="SimSun"/>
              </w:rPr>
            </w:pPr>
            <w:r w:rsidRPr="00AC3044">
              <w:rPr>
                <w:rFonts w:eastAsia="SimSun"/>
              </w:rPr>
              <w:t>В/в, в течение 30 -60 мин</w:t>
            </w:r>
          </w:p>
        </w:tc>
      </w:tr>
      <w:tr w:rsidR="00304132" w:rsidRPr="00AC3044" w14:paraId="66BA376C" w14:textId="77777777" w:rsidTr="00CD5E09">
        <w:trPr>
          <w:cantSplit/>
          <w:trHeight w:val="388"/>
        </w:trPr>
        <w:tc>
          <w:tcPr>
            <w:tcW w:w="851" w:type="dxa"/>
            <w:vMerge w:val="restart"/>
            <w:textDirection w:val="btLr"/>
            <w:vAlign w:val="center"/>
          </w:tcPr>
          <w:p w14:paraId="33369602" w14:textId="77777777" w:rsidR="00304132" w:rsidRPr="00AC3044" w:rsidRDefault="00304132" w:rsidP="00CD5E09">
            <w:pPr>
              <w:rPr>
                <w:rFonts w:eastAsia="SimSun"/>
              </w:rPr>
            </w:pPr>
            <w:r w:rsidRPr="00AC3044">
              <w:rPr>
                <w:rFonts w:eastAsia="SimSun"/>
              </w:rPr>
              <w:t>Профилактика РТПХ</w:t>
            </w:r>
          </w:p>
        </w:tc>
        <w:tc>
          <w:tcPr>
            <w:tcW w:w="2268" w:type="dxa"/>
            <w:vAlign w:val="center"/>
          </w:tcPr>
          <w:p w14:paraId="50259534" w14:textId="77777777" w:rsidR="00304132" w:rsidRPr="00AC3044" w:rsidRDefault="00304132" w:rsidP="00CD5E09">
            <w:pPr>
              <w:rPr>
                <w:rFonts w:eastAsia="SimSun"/>
              </w:rPr>
            </w:pPr>
            <w:r w:rsidRPr="00AC3044">
              <w:rPr>
                <w:rFonts w:eastAsia="SimSun"/>
              </w:rPr>
              <w:t>Ритуксимаб</w:t>
            </w:r>
          </w:p>
        </w:tc>
        <w:tc>
          <w:tcPr>
            <w:tcW w:w="1276" w:type="dxa"/>
            <w:vAlign w:val="center"/>
          </w:tcPr>
          <w:p w14:paraId="4CD9DADC" w14:textId="77777777" w:rsidR="00304132" w:rsidRPr="00AC3044" w:rsidRDefault="00304132" w:rsidP="00CD5E09">
            <w:pPr>
              <w:rPr>
                <w:rFonts w:eastAsia="SimSun"/>
              </w:rPr>
            </w:pPr>
            <w:r w:rsidRPr="00AC3044">
              <w:rPr>
                <w:rFonts w:eastAsia="SimSun"/>
              </w:rPr>
              <w:t>100  мг/м</w:t>
            </w:r>
            <w:r w:rsidRPr="0074195F">
              <w:rPr>
                <w:rFonts w:eastAsia="SimSun"/>
                <w:vertAlign w:val="superscript"/>
              </w:rPr>
              <w:t>2</w:t>
            </w:r>
          </w:p>
        </w:tc>
        <w:tc>
          <w:tcPr>
            <w:tcW w:w="1417" w:type="dxa"/>
            <w:vAlign w:val="center"/>
          </w:tcPr>
          <w:p w14:paraId="5CAE0422" w14:textId="77777777" w:rsidR="00304132" w:rsidRPr="00AC3044" w:rsidRDefault="00304132" w:rsidP="00CD5E09">
            <w:pPr>
              <w:rPr>
                <w:rFonts w:eastAsia="SimSun"/>
              </w:rPr>
            </w:pPr>
            <w:r w:rsidRPr="00AC3044">
              <w:rPr>
                <w:rFonts w:eastAsia="SimSun"/>
              </w:rPr>
              <w:t>100  мг/м</w:t>
            </w:r>
            <w:r w:rsidRPr="0074195F">
              <w:rPr>
                <w:rFonts w:eastAsia="SimSun"/>
                <w:vertAlign w:val="superscript"/>
              </w:rPr>
              <w:t>2</w:t>
            </w:r>
          </w:p>
        </w:tc>
        <w:tc>
          <w:tcPr>
            <w:tcW w:w="1843" w:type="dxa"/>
            <w:vAlign w:val="center"/>
          </w:tcPr>
          <w:p w14:paraId="1AE180DE" w14:textId="77777777" w:rsidR="00304132" w:rsidRPr="00AC3044" w:rsidRDefault="00304132" w:rsidP="00CD5E09">
            <w:pPr>
              <w:rPr>
                <w:rFonts w:eastAsia="SimSun"/>
              </w:rPr>
            </w:pPr>
            <w:r w:rsidRPr="00AC3044">
              <w:rPr>
                <w:rFonts w:eastAsia="SimSun"/>
              </w:rPr>
              <w:t>–1</w:t>
            </w:r>
          </w:p>
        </w:tc>
        <w:tc>
          <w:tcPr>
            <w:tcW w:w="2835" w:type="dxa"/>
            <w:vAlign w:val="center"/>
          </w:tcPr>
          <w:p w14:paraId="5819896E" w14:textId="77777777" w:rsidR="00304132" w:rsidRPr="00AC3044" w:rsidRDefault="00304132" w:rsidP="00CD5E09">
            <w:pPr>
              <w:rPr>
                <w:rFonts w:eastAsia="SimSun"/>
              </w:rPr>
            </w:pPr>
            <w:r w:rsidRPr="00AC3044">
              <w:rPr>
                <w:rFonts w:eastAsia="SimSun"/>
              </w:rPr>
              <w:t>В/в, в течение 2 часов</w:t>
            </w:r>
          </w:p>
        </w:tc>
      </w:tr>
      <w:tr w:rsidR="00304132" w:rsidRPr="00AC3044" w14:paraId="78F64C53" w14:textId="77777777" w:rsidTr="00CD5E09">
        <w:trPr>
          <w:cantSplit/>
          <w:trHeight w:val="20"/>
        </w:trPr>
        <w:tc>
          <w:tcPr>
            <w:tcW w:w="851" w:type="dxa"/>
            <w:vMerge/>
            <w:textDirection w:val="btLr"/>
          </w:tcPr>
          <w:p w14:paraId="10ED0ABF" w14:textId="77777777" w:rsidR="00304132" w:rsidRPr="00AC3044" w:rsidRDefault="00304132" w:rsidP="00CD5E09">
            <w:pPr>
              <w:rPr>
                <w:rFonts w:eastAsia="SimSun"/>
              </w:rPr>
            </w:pPr>
          </w:p>
        </w:tc>
        <w:tc>
          <w:tcPr>
            <w:tcW w:w="2268" w:type="dxa"/>
            <w:vAlign w:val="center"/>
          </w:tcPr>
          <w:p w14:paraId="70C1F310" w14:textId="77777777" w:rsidR="00304132" w:rsidRPr="00AC3044" w:rsidRDefault="00304132" w:rsidP="00CD5E09">
            <w:pPr>
              <w:rPr>
                <w:rFonts w:eastAsia="SimSun"/>
              </w:rPr>
            </w:pPr>
            <w:r w:rsidRPr="00AC3044">
              <w:rPr>
                <w:rFonts w:eastAsia="SimSun"/>
              </w:rPr>
              <w:t>Тоцилизумаб</w:t>
            </w:r>
          </w:p>
        </w:tc>
        <w:tc>
          <w:tcPr>
            <w:tcW w:w="1276" w:type="dxa"/>
            <w:vAlign w:val="center"/>
          </w:tcPr>
          <w:p w14:paraId="5B96970F" w14:textId="77777777" w:rsidR="00304132" w:rsidRPr="00AC3044" w:rsidRDefault="00304132" w:rsidP="00CD5E09">
            <w:pPr>
              <w:rPr>
                <w:rFonts w:eastAsia="SimSun"/>
              </w:rPr>
            </w:pPr>
            <w:r w:rsidRPr="00AC3044">
              <w:rPr>
                <w:rFonts w:eastAsia="SimSun"/>
              </w:rPr>
              <w:t>8 мг/кг</w:t>
            </w:r>
          </w:p>
        </w:tc>
        <w:tc>
          <w:tcPr>
            <w:tcW w:w="1417" w:type="dxa"/>
            <w:vAlign w:val="center"/>
          </w:tcPr>
          <w:p w14:paraId="3B2E0A2B" w14:textId="77777777" w:rsidR="00304132" w:rsidRPr="00AC3044" w:rsidRDefault="00304132" w:rsidP="00CD5E09">
            <w:pPr>
              <w:rPr>
                <w:rFonts w:eastAsia="SimSun"/>
              </w:rPr>
            </w:pPr>
            <w:r w:rsidRPr="00AC3044">
              <w:rPr>
                <w:rFonts w:eastAsia="SimSun"/>
              </w:rPr>
              <w:t>8 мг/кг</w:t>
            </w:r>
          </w:p>
        </w:tc>
        <w:tc>
          <w:tcPr>
            <w:tcW w:w="1843" w:type="dxa"/>
            <w:vAlign w:val="center"/>
          </w:tcPr>
          <w:p w14:paraId="7048E6CA" w14:textId="77777777" w:rsidR="00304132" w:rsidRPr="00AC3044" w:rsidRDefault="00304132" w:rsidP="00CD5E09">
            <w:pPr>
              <w:rPr>
                <w:rFonts w:eastAsia="SimSun"/>
              </w:rPr>
            </w:pPr>
            <w:r w:rsidRPr="00AC3044">
              <w:rPr>
                <w:rFonts w:eastAsia="SimSun"/>
              </w:rPr>
              <w:t>–1, +21</w:t>
            </w:r>
          </w:p>
        </w:tc>
        <w:tc>
          <w:tcPr>
            <w:tcW w:w="2835" w:type="dxa"/>
            <w:vAlign w:val="center"/>
          </w:tcPr>
          <w:p w14:paraId="37CAC50D" w14:textId="77777777" w:rsidR="00304132" w:rsidRPr="00AC3044" w:rsidRDefault="00304132" w:rsidP="00CD5E09">
            <w:pPr>
              <w:rPr>
                <w:rFonts w:eastAsia="SimSun"/>
              </w:rPr>
            </w:pPr>
            <w:r w:rsidRPr="00AC3044">
              <w:rPr>
                <w:rFonts w:eastAsia="SimSun"/>
              </w:rPr>
              <w:t>В/в, в течение 1 часа</w:t>
            </w:r>
          </w:p>
        </w:tc>
      </w:tr>
      <w:tr w:rsidR="00304132" w:rsidRPr="00AC3044" w14:paraId="34EFEDE8" w14:textId="77777777" w:rsidTr="00CD5E09">
        <w:trPr>
          <w:cantSplit/>
          <w:trHeight w:val="20"/>
        </w:trPr>
        <w:tc>
          <w:tcPr>
            <w:tcW w:w="851" w:type="dxa"/>
            <w:vMerge/>
            <w:textDirection w:val="btLr"/>
          </w:tcPr>
          <w:p w14:paraId="1BDB0CBB" w14:textId="77777777" w:rsidR="00304132" w:rsidRPr="00AC3044" w:rsidRDefault="00304132" w:rsidP="00CD5E09">
            <w:pPr>
              <w:rPr>
                <w:rFonts w:eastAsia="SimSun"/>
              </w:rPr>
            </w:pPr>
          </w:p>
        </w:tc>
        <w:tc>
          <w:tcPr>
            <w:tcW w:w="2268" w:type="dxa"/>
            <w:vAlign w:val="center"/>
          </w:tcPr>
          <w:p w14:paraId="3D843016" w14:textId="77777777" w:rsidR="00304132" w:rsidRPr="00AC3044" w:rsidRDefault="00304132" w:rsidP="00CD5E09">
            <w:pPr>
              <w:rPr>
                <w:rFonts w:eastAsia="SimSun"/>
              </w:rPr>
            </w:pPr>
            <w:r w:rsidRPr="00AC3044">
              <w:rPr>
                <w:rFonts w:eastAsia="SimSun"/>
              </w:rPr>
              <w:t>Абатацепт1</w:t>
            </w:r>
          </w:p>
        </w:tc>
        <w:tc>
          <w:tcPr>
            <w:tcW w:w="1276" w:type="dxa"/>
            <w:vAlign w:val="center"/>
          </w:tcPr>
          <w:p w14:paraId="133580C8" w14:textId="77777777" w:rsidR="00304132" w:rsidRPr="00AC3044" w:rsidRDefault="00304132" w:rsidP="00CD5E09">
            <w:pPr>
              <w:rPr>
                <w:rFonts w:eastAsia="SimSun"/>
              </w:rPr>
            </w:pPr>
            <w:r w:rsidRPr="00AC3044">
              <w:rPr>
                <w:rFonts w:eastAsia="SimSun"/>
              </w:rPr>
              <w:t>10 мг/кг</w:t>
            </w:r>
          </w:p>
        </w:tc>
        <w:tc>
          <w:tcPr>
            <w:tcW w:w="1417" w:type="dxa"/>
            <w:vAlign w:val="center"/>
          </w:tcPr>
          <w:p w14:paraId="069A2265" w14:textId="77777777" w:rsidR="00304132" w:rsidRPr="00AC3044" w:rsidRDefault="00304132" w:rsidP="00CD5E09">
            <w:pPr>
              <w:rPr>
                <w:rFonts w:eastAsia="SimSun"/>
              </w:rPr>
            </w:pPr>
            <w:r w:rsidRPr="00AC3044">
              <w:rPr>
                <w:rFonts w:eastAsia="SimSun"/>
              </w:rPr>
              <w:t>40 мг/кг</w:t>
            </w:r>
          </w:p>
        </w:tc>
        <w:tc>
          <w:tcPr>
            <w:tcW w:w="1843" w:type="dxa"/>
            <w:vAlign w:val="center"/>
          </w:tcPr>
          <w:p w14:paraId="622636D6" w14:textId="77777777" w:rsidR="00304132" w:rsidRPr="00AC3044" w:rsidRDefault="00304132" w:rsidP="00CD5E09">
            <w:pPr>
              <w:rPr>
                <w:rFonts w:eastAsia="SimSun"/>
              </w:rPr>
            </w:pPr>
            <w:r w:rsidRPr="00AC3044">
              <w:rPr>
                <w:rFonts w:eastAsia="SimSun"/>
              </w:rPr>
              <w:t>–1,+7,+14,+28</w:t>
            </w:r>
          </w:p>
        </w:tc>
        <w:tc>
          <w:tcPr>
            <w:tcW w:w="2835" w:type="dxa"/>
            <w:vAlign w:val="center"/>
          </w:tcPr>
          <w:p w14:paraId="6F1287C8" w14:textId="77777777" w:rsidR="00304132" w:rsidRPr="00AC3044" w:rsidRDefault="00304132" w:rsidP="00CD5E09">
            <w:pPr>
              <w:rPr>
                <w:rFonts w:eastAsia="SimSun"/>
              </w:rPr>
            </w:pPr>
            <w:r w:rsidRPr="00AC3044">
              <w:rPr>
                <w:rFonts w:eastAsia="SimSun"/>
              </w:rPr>
              <w:t>В/в, в течение 30 мин</w:t>
            </w:r>
          </w:p>
        </w:tc>
      </w:tr>
      <w:tr w:rsidR="00304132" w:rsidRPr="00AC3044" w14:paraId="63D87ACF" w14:textId="77777777" w:rsidTr="00CD5E09">
        <w:trPr>
          <w:cantSplit/>
          <w:trHeight w:val="1482"/>
        </w:trPr>
        <w:tc>
          <w:tcPr>
            <w:tcW w:w="851" w:type="dxa"/>
            <w:textDirection w:val="btLr"/>
            <w:vAlign w:val="center"/>
          </w:tcPr>
          <w:p w14:paraId="7386A6A2" w14:textId="77777777" w:rsidR="00304132" w:rsidRPr="00AC3044" w:rsidRDefault="00304132" w:rsidP="00CD5E09">
            <w:pPr>
              <w:rPr>
                <w:rFonts w:eastAsia="SimSun"/>
              </w:rPr>
            </w:pPr>
            <w:r w:rsidRPr="00AC3044">
              <w:rPr>
                <w:rFonts w:eastAsia="SimSun"/>
              </w:rPr>
              <w:t xml:space="preserve">Ex vivo манипуляция с трансплантатом </w:t>
            </w:r>
          </w:p>
        </w:tc>
        <w:tc>
          <w:tcPr>
            <w:tcW w:w="2268" w:type="dxa"/>
            <w:vAlign w:val="center"/>
          </w:tcPr>
          <w:p w14:paraId="0FB38E63" w14:textId="77777777" w:rsidR="00304132" w:rsidRPr="00AC3044" w:rsidRDefault="00304132" w:rsidP="00CD5E09">
            <w:pPr>
              <w:rPr>
                <w:rFonts w:eastAsia="SimSun"/>
              </w:rPr>
            </w:pPr>
            <w:r w:rsidRPr="00AC3044">
              <w:rPr>
                <w:rFonts w:eastAsia="SimSun"/>
              </w:rPr>
              <w:t>Комплексная услуга TCRαβ/CD19 деплеция</w:t>
            </w:r>
          </w:p>
        </w:tc>
        <w:tc>
          <w:tcPr>
            <w:tcW w:w="1276" w:type="dxa"/>
            <w:vAlign w:val="center"/>
          </w:tcPr>
          <w:p w14:paraId="766A376A" w14:textId="77777777" w:rsidR="00304132" w:rsidRPr="00AC3044" w:rsidRDefault="00304132" w:rsidP="00CD5E09">
            <w:pPr>
              <w:rPr>
                <w:rFonts w:eastAsia="SimSun"/>
              </w:rPr>
            </w:pPr>
            <w:r w:rsidRPr="00AC3044">
              <w:rPr>
                <w:rFonts w:eastAsia="SimSun"/>
              </w:rPr>
              <w:t>–</w:t>
            </w:r>
          </w:p>
        </w:tc>
        <w:tc>
          <w:tcPr>
            <w:tcW w:w="1417" w:type="dxa"/>
            <w:vAlign w:val="center"/>
          </w:tcPr>
          <w:p w14:paraId="63DCDA56" w14:textId="77777777" w:rsidR="00304132" w:rsidRPr="00AC3044" w:rsidRDefault="00304132" w:rsidP="00CD5E09">
            <w:pPr>
              <w:rPr>
                <w:rFonts w:eastAsia="SimSun"/>
              </w:rPr>
            </w:pPr>
            <w:r w:rsidRPr="00AC3044">
              <w:rPr>
                <w:rFonts w:eastAsia="SimSun"/>
              </w:rPr>
              <w:t>–</w:t>
            </w:r>
          </w:p>
        </w:tc>
        <w:tc>
          <w:tcPr>
            <w:tcW w:w="1843" w:type="dxa"/>
            <w:vAlign w:val="center"/>
          </w:tcPr>
          <w:p w14:paraId="2AB106C3" w14:textId="77777777" w:rsidR="00304132" w:rsidRPr="00AC3044" w:rsidRDefault="00304132" w:rsidP="00CD5E09">
            <w:pPr>
              <w:rPr>
                <w:rFonts w:eastAsia="SimSun"/>
              </w:rPr>
            </w:pPr>
            <w:r w:rsidRPr="00AC3044">
              <w:rPr>
                <w:rFonts w:eastAsia="SimSun"/>
              </w:rPr>
              <w:t>0</w:t>
            </w:r>
          </w:p>
        </w:tc>
        <w:tc>
          <w:tcPr>
            <w:tcW w:w="2835" w:type="dxa"/>
            <w:vAlign w:val="center"/>
          </w:tcPr>
          <w:p w14:paraId="645D216F" w14:textId="77777777" w:rsidR="00304132" w:rsidRPr="00AC3044" w:rsidRDefault="00304132" w:rsidP="00CD5E09">
            <w:pPr>
              <w:rPr>
                <w:rFonts w:eastAsia="SimSun"/>
              </w:rPr>
            </w:pPr>
            <w:r w:rsidRPr="00AC3044">
              <w:rPr>
                <w:rFonts w:eastAsia="SimSun"/>
              </w:rPr>
              <w:t>-</w:t>
            </w:r>
          </w:p>
        </w:tc>
      </w:tr>
      <w:tr w:rsidR="00304132" w:rsidRPr="00AC3044" w14:paraId="063D4DE3" w14:textId="77777777" w:rsidTr="00CD5E09">
        <w:trPr>
          <w:trHeight w:val="20"/>
        </w:trPr>
        <w:tc>
          <w:tcPr>
            <w:tcW w:w="10490" w:type="dxa"/>
            <w:gridSpan w:val="6"/>
          </w:tcPr>
          <w:p w14:paraId="02EC4F17" w14:textId="77777777" w:rsidR="00304132" w:rsidRPr="00AC3044" w:rsidRDefault="00304132" w:rsidP="00CD5E09">
            <w:pPr>
              <w:rPr>
                <w:rFonts w:eastAsia="SimSun"/>
              </w:rPr>
            </w:pPr>
            <w:r w:rsidRPr="00AC3044">
              <w:rPr>
                <w:rFonts w:eastAsia="SimSun"/>
              </w:rPr>
              <w:t>1 Раствор абатацепта нельзя использовать с оборудованием, имеющим в своём составе силикон.  Содержимое одного флакона растворяют в 10 мл воды для инъекций, используя одноразовый бессиликоновый шприц, имеющийся в комплекте с препаратом. Полученный концентрат немедленно разбавляют 0.9% раствором натрия хлорида для инъекций для получения инфузионного раствора, который немедленно вводится в/в за 30мин через инфузионную систему.  Абатацепт нельзя вводить одновременно с другими препаратами через одну инфузионную систему.</w:t>
            </w:r>
          </w:p>
          <w:p w14:paraId="3EA2CA72" w14:textId="77777777" w:rsidR="00304132" w:rsidRPr="00AC3044" w:rsidRDefault="00304132" w:rsidP="00CD5E09">
            <w:pPr>
              <w:rPr>
                <w:rFonts w:eastAsia="SimSun"/>
              </w:rPr>
            </w:pPr>
          </w:p>
        </w:tc>
      </w:tr>
    </w:tbl>
    <w:p w14:paraId="78E1B91B" w14:textId="77777777" w:rsidR="00304132" w:rsidRPr="00C07B2E" w:rsidRDefault="00304132" w:rsidP="00304132">
      <w:pPr>
        <w:rPr>
          <w:rFonts w:eastAsia="SimSun"/>
        </w:rPr>
      </w:pPr>
    </w:p>
    <w:p w14:paraId="06873121" w14:textId="77777777" w:rsidR="00304132" w:rsidRPr="00657BC2" w:rsidRDefault="00304132" w:rsidP="00304132">
      <w:pPr>
        <w:rPr>
          <w:rFonts w:eastAsia="SimSun"/>
          <w:lang w:val="en-US"/>
        </w:rPr>
      </w:pPr>
      <w:bookmarkStart w:id="382" w:name="_Toc44401244"/>
      <w:r>
        <w:rPr>
          <w:rFonts w:eastAsia="SimSun"/>
        </w:rPr>
        <w:t>Таблица</w:t>
      </w:r>
      <w:r w:rsidRPr="00657BC2">
        <w:rPr>
          <w:rFonts w:eastAsia="SimSun"/>
          <w:lang w:val="en-US"/>
        </w:rPr>
        <w:t xml:space="preserve"> 5.4.2.  – Flu150+Treo42+Mel140 / TCR</w:t>
      </w:r>
      <w:r w:rsidRPr="00C07B2E">
        <w:rPr>
          <w:rFonts w:eastAsia="SimSun"/>
        </w:rPr>
        <w:t>αβ</w:t>
      </w:r>
      <w:r w:rsidRPr="00657BC2">
        <w:rPr>
          <w:rFonts w:eastAsia="SimSun"/>
          <w:lang w:val="en-US"/>
        </w:rPr>
        <w:t>-CD19</w:t>
      </w:r>
      <w:bookmarkEnd w:id="382"/>
    </w:p>
    <w:tbl>
      <w:tblPr>
        <w:tblW w:w="10490"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2410"/>
        <w:gridCol w:w="1276"/>
        <w:gridCol w:w="1417"/>
        <w:gridCol w:w="1843"/>
        <w:gridCol w:w="2835"/>
      </w:tblGrid>
      <w:tr w:rsidR="00304132" w:rsidRPr="00AC3044" w14:paraId="6EB1FC1B" w14:textId="77777777" w:rsidTr="00CD5E09">
        <w:trPr>
          <w:cantSplit/>
          <w:trHeight w:val="20"/>
          <w:tblHeader/>
        </w:trPr>
        <w:tc>
          <w:tcPr>
            <w:tcW w:w="709" w:type="dxa"/>
          </w:tcPr>
          <w:p w14:paraId="0B747D42" w14:textId="77777777" w:rsidR="00304132" w:rsidRPr="00657BC2" w:rsidRDefault="00304132" w:rsidP="00CD5E09">
            <w:pPr>
              <w:rPr>
                <w:rFonts w:eastAsia="SimSun"/>
                <w:lang w:val="en-US"/>
              </w:rPr>
            </w:pPr>
          </w:p>
        </w:tc>
        <w:tc>
          <w:tcPr>
            <w:tcW w:w="2410" w:type="dxa"/>
            <w:vAlign w:val="center"/>
          </w:tcPr>
          <w:p w14:paraId="0EF5FE48" w14:textId="77777777" w:rsidR="00304132" w:rsidRPr="00AC3044" w:rsidRDefault="00304132" w:rsidP="00CD5E09">
            <w:pPr>
              <w:rPr>
                <w:rFonts w:eastAsia="SimSun"/>
              </w:rPr>
            </w:pPr>
            <w:r w:rsidRPr="00AC3044">
              <w:rPr>
                <w:rFonts w:eastAsia="SimSun"/>
              </w:rPr>
              <w:t>Препарат</w:t>
            </w:r>
          </w:p>
        </w:tc>
        <w:tc>
          <w:tcPr>
            <w:tcW w:w="1276" w:type="dxa"/>
            <w:vAlign w:val="center"/>
          </w:tcPr>
          <w:p w14:paraId="0E28D791" w14:textId="77777777" w:rsidR="00304132" w:rsidRPr="00AC3044" w:rsidRDefault="00304132" w:rsidP="00CD5E09">
            <w:pPr>
              <w:rPr>
                <w:rFonts w:eastAsia="SimSun"/>
              </w:rPr>
            </w:pPr>
            <w:r w:rsidRPr="00AC3044">
              <w:rPr>
                <w:rFonts w:eastAsia="SimSun"/>
              </w:rPr>
              <w:t>Суточная доза</w:t>
            </w:r>
          </w:p>
        </w:tc>
        <w:tc>
          <w:tcPr>
            <w:tcW w:w="1417" w:type="dxa"/>
            <w:vAlign w:val="center"/>
          </w:tcPr>
          <w:p w14:paraId="4FE28D1F" w14:textId="77777777" w:rsidR="00304132" w:rsidRPr="00AC3044" w:rsidRDefault="00304132" w:rsidP="00CD5E09">
            <w:pPr>
              <w:rPr>
                <w:rFonts w:eastAsia="SimSun"/>
              </w:rPr>
            </w:pPr>
            <w:r w:rsidRPr="00AC3044">
              <w:rPr>
                <w:rFonts w:eastAsia="SimSun"/>
              </w:rPr>
              <w:t>Курсовая доза</w:t>
            </w:r>
          </w:p>
        </w:tc>
        <w:tc>
          <w:tcPr>
            <w:tcW w:w="1843" w:type="dxa"/>
            <w:vAlign w:val="center"/>
          </w:tcPr>
          <w:p w14:paraId="414CC7FC" w14:textId="77777777" w:rsidR="00304132" w:rsidRPr="00AC3044" w:rsidRDefault="00304132" w:rsidP="00CD5E09">
            <w:pPr>
              <w:rPr>
                <w:rFonts w:eastAsia="SimSun"/>
              </w:rPr>
            </w:pPr>
            <w:r w:rsidRPr="00AC3044">
              <w:rPr>
                <w:rFonts w:eastAsia="SimSun"/>
              </w:rPr>
              <w:t>Дни введения</w:t>
            </w:r>
          </w:p>
        </w:tc>
        <w:tc>
          <w:tcPr>
            <w:tcW w:w="2835" w:type="dxa"/>
            <w:vAlign w:val="center"/>
          </w:tcPr>
          <w:p w14:paraId="39A0F3B3" w14:textId="77777777" w:rsidR="00304132" w:rsidRPr="00AC3044" w:rsidRDefault="00304132" w:rsidP="00CD5E09">
            <w:pPr>
              <w:rPr>
                <w:rFonts w:eastAsia="SimSun"/>
              </w:rPr>
            </w:pPr>
            <w:r w:rsidRPr="00AC3044">
              <w:rPr>
                <w:rFonts w:eastAsia="SimSun"/>
              </w:rPr>
              <w:t>Порядок введения</w:t>
            </w:r>
          </w:p>
        </w:tc>
      </w:tr>
      <w:tr w:rsidR="00304132" w:rsidRPr="00AC3044" w14:paraId="1686FE29" w14:textId="77777777" w:rsidTr="00CD5E09">
        <w:trPr>
          <w:cantSplit/>
          <w:trHeight w:val="20"/>
        </w:trPr>
        <w:tc>
          <w:tcPr>
            <w:tcW w:w="709" w:type="dxa"/>
            <w:vMerge w:val="restart"/>
            <w:textDirection w:val="btLr"/>
            <w:vAlign w:val="center"/>
          </w:tcPr>
          <w:p w14:paraId="3D218F18" w14:textId="77777777" w:rsidR="00304132" w:rsidRPr="00AC3044" w:rsidRDefault="00304132" w:rsidP="00CD5E09">
            <w:pPr>
              <w:rPr>
                <w:rFonts w:eastAsia="SimSun"/>
              </w:rPr>
            </w:pPr>
            <w:r w:rsidRPr="00AC3044">
              <w:rPr>
                <w:rFonts w:eastAsia="SimSun"/>
              </w:rPr>
              <w:t>Кондиционирование</w:t>
            </w:r>
          </w:p>
        </w:tc>
        <w:tc>
          <w:tcPr>
            <w:tcW w:w="2410" w:type="dxa"/>
          </w:tcPr>
          <w:p w14:paraId="4B7B6C27" w14:textId="77777777" w:rsidR="00304132" w:rsidRPr="00AC3044" w:rsidRDefault="00304132" w:rsidP="00CD5E09">
            <w:pPr>
              <w:rPr>
                <w:rFonts w:eastAsia="SimSun"/>
              </w:rPr>
            </w:pPr>
            <w:r w:rsidRPr="00AC3044">
              <w:rPr>
                <w:rFonts w:eastAsia="SimSun"/>
              </w:rPr>
              <w:t>Треосульфан</w:t>
            </w:r>
          </w:p>
        </w:tc>
        <w:tc>
          <w:tcPr>
            <w:tcW w:w="1276" w:type="dxa"/>
            <w:vAlign w:val="center"/>
          </w:tcPr>
          <w:p w14:paraId="58F0E53D" w14:textId="77777777" w:rsidR="00304132" w:rsidRPr="00AC3044" w:rsidRDefault="00304132" w:rsidP="00CD5E09">
            <w:pPr>
              <w:rPr>
                <w:rFonts w:eastAsia="SimSun"/>
              </w:rPr>
            </w:pPr>
            <w:r w:rsidRPr="00AC3044">
              <w:rPr>
                <w:rFonts w:eastAsia="SimSun"/>
              </w:rPr>
              <w:t>14 г/м</w:t>
            </w:r>
            <w:r w:rsidRPr="0074195F">
              <w:rPr>
                <w:rFonts w:eastAsia="SimSun"/>
                <w:vertAlign w:val="superscript"/>
              </w:rPr>
              <w:t>2</w:t>
            </w:r>
          </w:p>
        </w:tc>
        <w:tc>
          <w:tcPr>
            <w:tcW w:w="1417" w:type="dxa"/>
            <w:vAlign w:val="center"/>
          </w:tcPr>
          <w:p w14:paraId="2C974388" w14:textId="77777777" w:rsidR="00304132" w:rsidRPr="00AC3044" w:rsidRDefault="00304132" w:rsidP="00CD5E09">
            <w:pPr>
              <w:rPr>
                <w:rFonts w:eastAsia="SimSun"/>
              </w:rPr>
            </w:pPr>
            <w:r w:rsidRPr="00AC3044">
              <w:rPr>
                <w:rFonts w:eastAsia="SimSun"/>
              </w:rPr>
              <w:t>42 г/м</w:t>
            </w:r>
            <w:r w:rsidRPr="0074195F">
              <w:rPr>
                <w:rFonts w:eastAsia="SimSun"/>
                <w:vertAlign w:val="superscript"/>
              </w:rPr>
              <w:t>2</w:t>
            </w:r>
          </w:p>
        </w:tc>
        <w:tc>
          <w:tcPr>
            <w:tcW w:w="1843" w:type="dxa"/>
            <w:vAlign w:val="center"/>
          </w:tcPr>
          <w:p w14:paraId="4206813D" w14:textId="77777777" w:rsidR="00304132" w:rsidRPr="00AC3044" w:rsidRDefault="00304132" w:rsidP="00CD5E09">
            <w:pPr>
              <w:rPr>
                <w:rFonts w:eastAsia="SimSun"/>
              </w:rPr>
            </w:pPr>
            <w:r w:rsidRPr="00AC3044">
              <w:rPr>
                <w:rFonts w:eastAsia="SimSun"/>
              </w:rPr>
              <w:t>–5,–4,–3</w:t>
            </w:r>
          </w:p>
        </w:tc>
        <w:tc>
          <w:tcPr>
            <w:tcW w:w="2835" w:type="dxa"/>
            <w:vAlign w:val="center"/>
          </w:tcPr>
          <w:p w14:paraId="0E98C9EB" w14:textId="77777777" w:rsidR="00304132" w:rsidRPr="00AC3044" w:rsidRDefault="00304132" w:rsidP="00CD5E09">
            <w:pPr>
              <w:rPr>
                <w:rFonts w:eastAsia="SimSun"/>
              </w:rPr>
            </w:pPr>
            <w:r w:rsidRPr="00AC3044">
              <w:rPr>
                <w:rFonts w:eastAsia="SimSun"/>
              </w:rPr>
              <w:t>В/в, в течение 2 часов</w:t>
            </w:r>
          </w:p>
        </w:tc>
      </w:tr>
      <w:tr w:rsidR="00304132" w:rsidRPr="00AC3044" w14:paraId="0537E110" w14:textId="77777777" w:rsidTr="00CD5E09">
        <w:trPr>
          <w:cantSplit/>
          <w:trHeight w:val="785"/>
        </w:trPr>
        <w:tc>
          <w:tcPr>
            <w:tcW w:w="709" w:type="dxa"/>
            <w:vMerge/>
            <w:textDirection w:val="btLr"/>
            <w:vAlign w:val="center"/>
          </w:tcPr>
          <w:p w14:paraId="53D130CD" w14:textId="77777777" w:rsidR="00304132" w:rsidRPr="00AC3044" w:rsidRDefault="00304132" w:rsidP="00CD5E09">
            <w:pPr>
              <w:rPr>
                <w:rFonts w:eastAsia="SimSun"/>
              </w:rPr>
            </w:pPr>
          </w:p>
        </w:tc>
        <w:tc>
          <w:tcPr>
            <w:tcW w:w="2410" w:type="dxa"/>
          </w:tcPr>
          <w:p w14:paraId="1B4A145F" w14:textId="77777777" w:rsidR="00304132" w:rsidRPr="00AC3044" w:rsidRDefault="00304132" w:rsidP="00CD5E09">
            <w:pPr>
              <w:rPr>
                <w:rFonts w:eastAsia="SimSun"/>
              </w:rPr>
            </w:pPr>
            <w:r w:rsidRPr="00AC3044">
              <w:rPr>
                <w:rFonts w:eastAsia="SimSun"/>
              </w:rPr>
              <w:t>Мелфалан</w:t>
            </w:r>
          </w:p>
        </w:tc>
        <w:tc>
          <w:tcPr>
            <w:tcW w:w="1276" w:type="dxa"/>
          </w:tcPr>
          <w:p w14:paraId="03FC4992" w14:textId="77777777" w:rsidR="00304132" w:rsidRPr="00AC3044" w:rsidRDefault="00304132" w:rsidP="00CD5E09">
            <w:pPr>
              <w:rPr>
                <w:rFonts w:eastAsia="SimSun"/>
              </w:rPr>
            </w:pPr>
            <w:r w:rsidRPr="00AC3044">
              <w:rPr>
                <w:rFonts w:eastAsia="SimSun"/>
              </w:rPr>
              <w:t>70 мг/м</w:t>
            </w:r>
            <w:r w:rsidRPr="0074195F">
              <w:rPr>
                <w:rFonts w:eastAsia="SimSun"/>
                <w:vertAlign w:val="superscript"/>
              </w:rPr>
              <w:t>2</w:t>
            </w:r>
          </w:p>
        </w:tc>
        <w:tc>
          <w:tcPr>
            <w:tcW w:w="1417" w:type="dxa"/>
          </w:tcPr>
          <w:p w14:paraId="009F1D57" w14:textId="77777777" w:rsidR="00304132" w:rsidRPr="00AC3044" w:rsidRDefault="00304132" w:rsidP="00CD5E09">
            <w:pPr>
              <w:rPr>
                <w:rFonts w:eastAsia="SimSun"/>
              </w:rPr>
            </w:pPr>
            <w:r w:rsidRPr="00AC3044">
              <w:rPr>
                <w:rFonts w:eastAsia="SimSun"/>
              </w:rPr>
              <w:t>140 мг/м</w:t>
            </w:r>
            <w:r w:rsidRPr="0074195F">
              <w:rPr>
                <w:rFonts w:eastAsia="SimSun"/>
                <w:vertAlign w:val="superscript"/>
              </w:rPr>
              <w:t>2</w:t>
            </w:r>
          </w:p>
        </w:tc>
        <w:tc>
          <w:tcPr>
            <w:tcW w:w="1843" w:type="dxa"/>
          </w:tcPr>
          <w:p w14:paraId="73354807" w14:textId="77777777" w:rsidR="00304132" w:rsidRPr="00AC3044" w:rsidRDefault="00304132" w:rsidP="00CD5E09">
            <w:pPr>
              <w:rPr>
                <w:rFonts w:eastAsia="SimSun"/>
              </w:rPr>
            </w:pPr>
            <w:r w:rsidRPr="00AC3044">
              <w:rPr>
                <w:rFonts w:eastAsia="SimSun"/>
              </w:rPr>
              <w:t>–3, –2</w:t>
            </w:r>
          </w:p>
        </w:tc>
        <w:tc>
          <w:tcPr>
            <w:tcW w:w="2835" w:type="dxa"/>
          </w:tcPr>
          <w:p w14:paraId="5E1921F0" w14:textId="77777777" w:rsidR="00304132" w:rsidRPr="00AC3044" w:rsidRDefault="00304132" w:rsidP="00CD5E09">
            <w:pPr>
              <w:rPr>
                <w:rFonts w:eastAsia="SimSun"/>
              </w:rPr>
            </w:pPr>
            <w:r w:rsidRPr="00AC3044">
              <w:rPr>
                <w:rFonts w:eastAsia="SimSun"/>
              </w:rPr>
              <w:t>В/в, в течение 1 часа, через 2 часа после введения флударабина</w:t>
            </w:r>
          </w:p>
        </w:tc>
      </w:tr>
      <w:tr w:rsidR="00304132" w:rsidRPr="00AC3044" w14:paraId="0A6C3958" w14:textId="77777777" w:rsidTr="00CD5E09">
        <w:trPr>
          <w:cantSplit/>
          <w:trHeight w:val="56"/>
        </w:trPr>
        <w:tc>
          <w:tcPr>
            <w:tcW w:w="709" w:type="dxa"/>
            <w:vMerge/>
            <w:textDirection w:val="btLr"/>
            <w:vAlign w:val="center"/>
          </w:tcPr>
          <w:p w14:paraId="4BC1D35E" w14:textId="77777777" w:rsidR="00304132" w:rsidRPr="00AC3044" w:rsidRDefault="00304132" w:rsidP="00CD5E09">
            <w:pPr>
              <w:rPr>
                <w:rFonts w:eastAsia="SimSun"/>
              </w:rPr>
            </w:pPr>
          </w:p>
        </w:tc>
        <w:tc>
          <w:tcPr>
            <w:tcW w:w="2410" w:type="dxa"/>
            <w:vAlign w:val="center"/>
          </w:tcPr>
          <w:p w14:paraId="65D68B99" w14:textId="77777777" w:rsidR="00304132" w:rsidRPr="00AC3044" w:rsidRDefault="00304132" w:rsidP="00CD5E09">
            <w:pPr>
              <w:rPr>
                <w:rFonts w:eastAsia="SimSun"/>
              </w:rPr>
            </w:pPr>
            <w:r w:rsidRPr="00AC3044">
              <w:rPr>
                <w:rFonts w:eastAsia="SimSun"/>
              </w:rPr>
              <w:t>Флударабин</w:t>
            </w:r>
          </w:p>
        </w:tc>
        <w:tc>
          <w:tcPr>
            <w:tcW w:w="1276" w:type="dxa"/>
            <w:vAlign w:val="center"/>
          </w:tcPr>
          <w:p w14:paraId="72B64D3D" w14:textId="77777777" w:rsidR="00304132" w:rsidRPr="00AC3044" w:rsidRDefault="00304132" w:rsidP="00CD5E09">
            <w:pPr>
              <w:rPr>
                <w:rFonts w:eastAsia="SimSun"/>
              </w:rPr>
            </w:pPr>
            <w:r w:rsidRPr="00AC3044">
              <w:rPr>
                <w:rFonts w:eastAsia="SimSun"/>
              </w:rPr>
              <w:t>30 мг/м</w:t>
            </w:r>
            <w:r w:rsidRPr="0074195F">
              <w:rPr>
                <w:rFonts w:eastAsia="SimSun"/>
                <w:vertAlign w:val="superscript"/>
              </w:rPr>
              <w:t>2</w:t>
            </w:r>
          </w:p>
        </w:tc>
        <w:tc>
          <w:tcPr>
            <w:tcW w:w="1417" w:type="dxa"/>
            <w:vAlign w:val="center"/>
          </w:tcPr>
          <w:p w14:paraId="56BE0323" w14:textId="77777777" w:rsidR="00304132" w:rsidRPr="00AC3044" w:rsidRDefault="00304132" w:rsidP="00CD5E09">
            <w:pPr>
              <w:rPr>
                <w:rFonts w:eastAsia="SimSun"/>
              </w:rPr>
            </w:pPr>
            <w:r w:rsidRPr="00AC3044">
              <w:rPr>
                <w:rFonts w:eastAsia="SimSun"/>
              </w:rPr>
              <w:t>150 мг/м</w:t>
            </w:r>
            <w:r w:rsidRPr="0074195F">
              <w:rPr>
                <w:rFonts w:eastAsia="SimSun"/>
                <w:vertAlign w:val="superscript"/>
              </w:rPr>
              <w:t>2</w:t>
            </w:r>
          </w:p>
        </w:tc>
        <w:tc>
          <w:tcPr>
            <w:tcW w:w="1843" w:type="dxa"/>
            <w:vAlign w:val="center"/>
          </w:tcPr>
          <w:p w14:paraId="528B37CC" w14:textId="77777777" w:rsidR="00304132" w:rsidRPr="00AC3044" w:rsidRDefault="00304132" w:rsidP="00CD5E09">
            <w:pPr>
              <w:rPr>
                <w:rFonts w:eastAsia="SimSun"/>
              </w:rPr>
            </w:pPr>
            <w:r w:rsidRPr="00AC3044">
              <w:rPr>
                <w:rFonts w:eastAsia="SimSun"/>
              </w:rPr>
              <w:t>–6,–5,–4, –3, –2</w:t>
            </w:r>
          </w:p>
        </w:tc>
        <w:tc>
          <w:tcPr>
            <w:tcW w:w="2835" w:type="dxa"/>
            <w:vAlign w:val="center"/>
          </w:tcPr>
          <w:p w14:paraId="41E85E08" w14:textId="77777777" w:rsidR="00304132" w:rsidRPr="00AC3044" w:rsidRDefault="00304132" w:rsidP="00CD5E09">
            <w:pPr>
              <w:rPr>
                <w:rFonts w:eastAsia="SimSun"/>
              </w:rPr>
            </w:pPr>
            <w:r w:rsidRPr="00AC3044">
              <w:rPr>
                <w:rFonts w:eastAsia="SimSun"/>
              </w:rPr>
              <w:t>В/в, в течение 30 -60 мин</w:t>
            </w:r>
          </w:p>
        </w:tc>
      </w:tr>
      <w:tr w:rsidR="00304132" w:rsidRPr="00AC3044" w14:paraId="62FD90AD" w14:textId="77777777" w:rsidTr="00CD5E09">
        <w:trPr>
          <w:cantSplit/>
          <w:trHeight w:val="548"/>
        </w:trPr>
        <w:tc>
          <w:tcPr>
            <w:tcW w:w="709" w:type="dxa"/>
            <w:vMerge w:val="restart"/>
            <w:textDirection w:val="btLr"/>
            <w:vAlign w:val="center"/>
          </w:tcPr>
          <w:p w14:paraId="74E08FAD" w14:textId="77777777" w:rsidR="00304132" w:rsidRPr="00AC3044" w:rsidRDefault="00304132" w:rsidP="00CD5E09">
            <w:pPr>
              <w:rPr>
                <w:rFonts w:eastAsia="SimSun"/>
              </w:rPr>
            </w:pPr>
            <w:r w:rsidRPr="00AC3044">
              <w:rPr>
                <w:rFonts w:eastAsia="SimSun"/>
              </w:rPr>
              <w:t>Профилактика РТПХ</w:t>
            </w:r>
          </w:p>
        </w:tc>
        <w:tc>
          <w:tcPr>
            <w:tcW w:w="2410" w:type="dxa"/>
            <w:vAlign w:val="center"/>
          </w:tcPr>
          <w:p w14:paraId="65F4CE37" w14:textId="77777777" w:rsidR="00304132" w:rsidRPr="00AC3044" w:rsidRDefault="00304132" w:rsidP="00CD5E09">
            <w:pPr>
              <w:rPr>
                <w:rFonts w:eastAsia="SimSun"/>
              </w:rPr>
            </w:pPr>
            <w:r w:rsidRPr="00AC3044">
              <w:rPr>
                <w:rFonts w:eastAsia="SimSun"/>
              </w:rPr>
              <w:t>Ритуксимаб</w:t>
            </w:r>
          </w:p>
        </w:tc>
        <w:tc>
          <w:tcPr>
            <w:tcW w:w="1276" w:type="dxa"/>
            <w:vAlign w:val="center"/>
          </w:tcPr>
          <w:p w14:paraId="7B98033F" w14:textId="77777777" w:rsidR="00304132" w:rsidRPr="00AC3044" w:rsidRDefault="00304132" w:rsidP="00CD5E09">
            <w:pPr>
              <w:rPr>
                <w:rFonts w:eastAsia="SimSun"/>
              </w:rPr>
            </w:pPr>
            <w:r w:rsidRPr="00AC3044">
              <w:rPr>
                <w:rFonts w:eastAsia="SimSun"/>
              </w:rPr>
              <w:t>100  мг/м</w:t>
            </w:r>
            <w:r w:rsidRPr="0074195F">
              <w:rPr>
                <w:rFonts w:eastAsia="SimSun"/>
                <w:vertAlign w:val="superscript"/>
              </w:rPr>
              <w:t>2</w:t>
            </w:r>
          </w:p>
        </w:tc>
        <w:tc>
          <w:tcPr>
            <w:tcW w:w="1417" w:type="dxa"/>
            <w:vAlign w:val="center"/>
          </w:tcPr>
          <w:p w14:paraId="11C17DFA" w14:textId="77777777" w:rsidR="00304132" w:rsidRPr="00AC3044" w:rsidRDefault="00304132" w:rsidP="00CD5E09">
            <w:pPr>
              <w:rPr>
                <w:rFonts w:eastAsia="SimSun"/>
              </w:rPr>
            </w:pPr>
            <w:r w:rsidRPr="00AC3044">
              <w:rPr>
                <w:rFonts w:eastAsia="SimSun"/>
              </w:rPr>
              <w:t>100  мг/м</w:t>
            </w:r>
            <w:r w:rsidRPr="0074195F">
              <w:rPr>
                <w:rFonts w:eastAsia="SimSun"/>
                <w:vertAlign w:val="superscript"/>
              </w:rPr>
              <w:t>2</w:t>
            </w:r>
          </w:p>
        </w:tc>
        <w:tc>
          <w:tcPr>
            <w:tcW w:w="1843" w:type="dxa"/>
            <w:vAlign w:val="center"/>
          </w:tcPr>
          <w:p w14:paraId="470A9D7C" w14:textId="77777777" w:rsidR="00304132" w:rsidRPr="00AC3044" w:rsidRDefault="00304132" w:rsidP="00CD5E09">
            <w:pPr>
              <w:rPr>
                <w:rFonts w:eastAsia="SimSun"/>
              </w:rPr>
            </w:pPr>
            <w:r w:rsidRPr="00AC3044">
              <w:rPr>
                <w:rFonts w:eastAsia="SimSun"/>
              </w:rPr>
              <w:t>–1</w:t>
            </w:r>
          </w:p>
        </w:tc>
        <w:tc>
          <w:tcPr>
            <w:tcW w:w="2835" w:type="dxa"/>
            <w:vAlign w:val="center"/>
          </w:tcPr>
          <w:p w14:paraId="7D488AB1" w14:textId="77777777" w:rsidR="00304132" w:rsidRPr="00AC3044" w:rsidRDefault="00304132" w:rsidP="00CD5E09">
            <w:pPr>
              <w:rPr>
                <w:rFonts w:eastAsia="SimSun"/>
              </w:rPr>
            </w:pPr>
            <w:r w:rsidRPr="00AC3044">
              <w:rPr>
                <w:rFonts w:eastAsia="SimSun"/>
              </w:rPr>
              <w:t>В/в, в течение 2 часов</w:t>
            </w:r>
          </w:p>
        </w:tc>
      </w:tr>
      <w:tr w:rsidR="00304132" w:rsidRPr="00AC3044" w14:paraId="66DAC198" w14:textId="77777777" w:rsidTr="00CD5E09">
        <w:trPr>
          <w:cantSplit/>
          <w:trHeight w:val="20"/>
        </w:trPr>
        <w:tc>
          <w:tcPr>
            <w:tcW w:w="709" w:type="dxa"/>
            <w:vMerge/>
            <w:textDirection w:val="btLr"/>
          </w:tcPr>
          <w:p w14:paraId="34A417BD" w14:textId="77777777" w:rsidR="00304132" w:rsidRPr="00AC3044" w:rsidRDefault="00304132" w:rsidP="00CD5E09">
            <w:pPr>
              <w:rPr>
                <w:rFonts w:eastAsia="SimSun"/>
              </w:rPr>
            </w:pPr>
          </w:p>
        </w:tc>
        <w:tc>
          <w:tcPr>
            <w:tcW w:w="2410" w:type="dxa"/>
            <w:vAlign w:val="center"/>
          </w:tcPr>
          <w:p w14:paraId="162F6DCD" w14:textId="77777777" w:rsidR="00304132" w:rsidRPr="00AC3044" w:rsidRDefault="00304132" w:rsidP="00CD5E09">
            <w:pPr>
              <w:rPr>
                <w:rFonts w:eastAsia="SimSun"/>
              </w:rPr>
            </w:pPr>
            <w:r w:rsidRPr="00AC3044">
              <w:rPr>
                <w:rFonts w:eastAsia="SimSun"/>
              </w:rPr>
              <w:t>Тоцилизумаб</w:t>
            </w:r>
          </w:p>
        </w:tc>
        <w:tc>
          <w:tcPr>
            <w:tcW w:w="1276" w:type="dxa"/>
            <w:vAlign w:val="center"/>
          </w:tcPr>
          <w:p w14:paraId="34941788" w14:textId="77777777" w:rsidR="00304132" w:rsidRPr="00AC3044" w:rsidRDefault="00304132" w:rsidP="00CD5E09">
            <w:pPr>
              <w:rPr>
                <w:rFonts w:eastAsia="SimSun"/>
              </w:rPr>
            </w:pPr>
            <w:r w:rsidRPr="00AC3044">
              <w:rPr>
                <w:rFonts w:eastAsia="SimSun"/>
              </w:rPr>
              <w:t>8 мг/кг</w:t>
            </w:r>
          </w:p>
        </w:tc>
        <w:tc>
          <w:tcPr>
            <w:tcW w:w="1417" w:type="dxa"/>
            <w:vAlign w:val="center"/>
          </w:tcPr>
          <w:p w14:paraId="30578FE1" w14:textId="77777777" w:rsidR="00304132" w:rsidRPr="00AC3044" w:rsidRDefault="00304132" w:rsidP="00CD5E09">
            <w:pPr>
              <w:rPr>
                <w:rFonts w:eastAsia="SimSun"/>
              </w:rPr>
            </w:pPr>
            <w:r w:rsidRPr="00AC3044">
              <w:rPr>
                <w:rFonts w:eastAsia="SimSun"/>
              </w:rPr>
              <w:t>8 мг/кг</w:t>
            </w:r>
          </w:p>
        </w:tc>
        <w:tc>
          <w:tcPr>
            <w:tcW w:w="1843" w:type="dxa"/>
            <w:vAlign w:val="center"/>
          </w:tcPr>
          <w:p w14:paraId="2A376B8E" w14:textId="77777777" w:rsidR="00304132" w:rsidRPr="00AC3044" w:rsidRDefault="00304132" w:rsidP="00CD5E09">
            <w:pPr>
              <w:rPr>
                <w:rFonts w:eastAsia="SimSun"/>
              </w:rPr>
            </w:pPr>
            <w:r w:rsidRPr="00AC3044">
              <w:rPr>
                <w:rFonts w:eastAsia="SimSun"/>
              </w:rPr>
              <w:t>–1, +21</w:t>
            </w:r>
          </w:p>
        </w:tc>
        <w:tc>
          <w:tcPr>
            <w:tcW w:w="2835" w:type="dxa"/>
            <w:vAlign w:val="center"/>
          </w:tcPr>
          <w:p w14:paraId="2B25DEA2" w14:textId="77777777" w:rsidR="00304132" w:rsidRPr="00AC3044" w:rsidRDefault="00304132" w:rsidP="00CD5E09">
            <w:pPr>
              <w:rPr>
                <w:rFonts w:eastAsia="SimSun"/>
              </w:rPr>
            </w:pPr>
            <w:r w:rsidRPr="00AC3044">
              <w:rPr>
                <w:rFonts w:eastAsia="SimSun"/>
              </w:rPr>
              <w:t>В/в, в течение 1 часа</w:t>
            </w:r>
          </w:p>
        </w:tc>
      </w:tr>
      <w:tr w:rsidR="00304132" w:rsidRPr="00AC3044" w14:paraId="152A01AD" w14:textId="77777777" w:rsidTr="00CD5E09">
        <w:trPr>
          <w:cantSplit/>
          <w:trHeight w:val="20"/>
        </w:trPr>
        <w:tc>
          <w:tcPr>
            <w:tcW w:w="709" w:type="dxa"/>
            <w:vMerge/>
            <w:textDirection w:val="btLr"/>
          </w:tcPr>
          <w:p w14:paraId="7141CEC4" w14:textId="77777777" w:rsidR="00304132" w:rsidRPr="00AC3044" w:rsidRDefault="00304132" w:rsidP="00CD5E09">
            <w:pPr>
              <w:rPr>
                <w:rFonts w:eastAsia="SimSun"/>
              </w:rPr>
            </w:pPr>
          </w:p>
        </w:tc>
        <w:tc>
          <w:tcPr>
            <w:tcW w:w="2410" w:type="dxa"/>
            <w:vAlign w:val="center"/>
          </w:tcPr>
          <w:p w14:paraId="04A61A49" w14:textId="77777777" w:rsidR="00304132" w:rsidRPr="00AC3044" w:rsidRDefault="00304132" w:rsidP="00CD5E09">
            <w:pPr>
              <w:rPr>
                <w:rFonts w:eastAsia="SimSun"/>
              </w:rPr>
            </w:pPr>
            <w:r w:rsidRPr="00AC3044">
              <w:rPr>
                <w:rFonts w:eastAsia="SimSun"/>
              </w:rPr>
              <w:t>Абатацепт1</w:t>
            </w:r>
          </w:p>
        </w:tc>
        <w:tc>
          <w:tcPr>
            <w:tcW w:w="1276" w:type="dxa"/>
            <w:vAlign w:val="center"/>
          </w:tcPr>
          <w:p w14:paraId="734B1757" w14:textId="77777777" w:rsidR="00304132" w:rsidRPr="00AC3044" w:rsidRDefault="00304132" w:rsidP="00CD5E09">
            <w:pPr>
              <w:rPr>
                <w:rFonts w:eastAsia="SimSun"/>
              </w:rPr>
            </w:pPr>
            <w:r w:rsidRPr="00AC3044">
              <w:rPr>
                <w:rFonts w:eastAsia="SimSun"/>
              </w:rPr>
              <w:t>10 мг/кг</w:t>
            </w:r>
          </w:p>
        </w:tc>
        <w:tc>
          <w:tcPr>
            <w:tcW w:w="1417" w:type="dxa"/>
            <w:vAlign w:val="center"/>
          </w:tcPr>
          <w:p w14:paraId="22CB66FC" w14:textId="77777777" w:rsidR="00304132" w:rsidRPr="00AC3044" w:rsidRDefault="00304132" w:rsidP="00CD5E09">
            <w:pPr>
              <w:rPr>
                <w:rFonts w:eastAsia="SimSun"/>
              </w:rPr>
            </w:pPr>
            <w:r w:rsidRPr="00AC3044">
              <w:rPr>
                <w:rFonts w:eastAsia="SimSun"/>
              </w:rPr>
              <w:t>40 мг/кг</w:t>
            </w:r>
          </w:p>
        </w:tc>
        <w:tc>
          <w:tcPr>
            <w:tcW w:w="1843" w:type="dxa"/>
            <w:vAlign w:val="center"/>
          </w:tcPr>
          <w:p w14:paraId="703A871E" w14:textId="77777777" w:rsidR="00304132" w:rsidRPr="00AC3044" w:rsidRDefault="00304132" w:rsidP="00CD5E09">
            <w:pPr>
              <w:rPr>
                <w:rFonts w:eastAsia="SimSun"/>
              </w:rPr>
            </w:pPr>
            <w:r w:rsidRPr="00AC3044">
              <w:rPr>
                <w:rFonts w:eastAsia="SimSun"/>
              </w:rPr>
              <w:t>–1,+7,+14,+28</w:t>
            </w:r>
          </w:p>
        </w:tc>
        <w:tc>
          <w:tcPr>
            <w:tcW w:w="2835" w:type="dxa"/>
            <w:vAlign w:val="center"/>
          </w:tcPr>
          <w:p w14:paraId="105E853C" w14:textId="77777777" w:rsidR="00304132" w:rsidRPr="00AC3044" w:rsidRDefault="00304132" w:rsidP="00CD5E09">
            <w:pPr>
              <w:rPr>
                <w:rFonts w:eastAsia="SimSun"/>
              </w:rPr>
            </w:pPr>
            <w:r w:rsidRPr="00AC3044">
              <w:rPr>
                <w:rFonts w:eastAsia="SimSun"/>
              </w:rPr>
              <w:t>В/в, в течение 30 мин</w:t>
            </w:r>
          </w:p>
        </w:tc>
      </w:tr>
      <w:tr w:rsidR="00304132" w:rsidRPr="00AC3044" w14:paraId="0D988FC4" w14:textId="77777777" w:rsidTr="00CD5E09">
        <w:trPr>
          <w:cantSplit/>
          <w:trHeight w:val="1797"/>
        </w:trPr>
        <w:tc>
          <w:tcPr>
            <w:tcW w:w="709" w:type="dxa"/>
            <w:textDirection w:val="btLr"/>
            <w:vAlign w:val="center"/>
          </w:tcPr>
          <w:p w14:paraId="078F0A24" w14:textId="77777777" w:rsidR="00304132" w:rsidRPr="00AC3044" w:rsidRDefault="00304132" w:rsidP="00CD5E09">
            <w:pPr>
              <w:rPr>
                <w:rFonts w:eastAsia="SimSun"/>
              </w:rPr>
            </w:pPr>
            <w:r w:rsidRPr="00AC3044">
              <w:rPr>
                <w:rFonts w:eastAsia="SimSun"/>
              </w:rPr>
              <w:lastRenderedPageBreak/>
              <w:t>Ex vivo манипуляция  с трансплантатом</w:t>
            </w:r>
          </w:p>
        </w:tc>
        <w:tc>
          <w:tcPr>
            <w:tcW w:w="2410" w:type="dxa"/>
            <w:vAlign w:val="center"/>
          </w:tcPr>
          <w:p w14:paraId="1584B4B6" w14:textId="77777777" w:rsidR="00304132" w:rsidRPr="00AC3044" w:rsidRDefault="00304132" w:rsidP="00CD5E09">
            <w:pPr>
              <w:rPr>
                <w:rFonts w:eastAsia="SimSun"/>
              </w:rPr>
            </w:pPr>
            <w:r w:rsidRPr="00AC3044">
              <w:rPr>
                <w:rFonts w:eastAsia="SimSun"/>
              </w:rPr>
              <w:t>Комплексная услуга TCRαβ/CD19 деплеция</w:t>
            </w:r>
          </w:p>
        </w:tc>
        <w:tc>
          <w:tcPr>
            <w:tcW w:w="1276" w:type="dxa"/>
            <w:vAlign w:val="center"/>
          </w:tcPr>
          <w:p w14:paraId="1F157559" w14:textId="77777777" w:rsidR="00304132" w:rsidRPr="00AC3044" w:rsidRDefault="00304132" w:rsidP="00CD5E09">
            <w:pPr>
              <w:rPr>
                <w:rFonts w:eastAsia="SimSun"/>
              </w:rPr>
            </w:pPr>
            <w:r w:rsidRPr="00AC3044">
              <w:rPr>
                <w:rFonts w:eastAsia="SimSun"/>
              </w:rPr>
              <w:t>–</w:t>
            </w:r>
          </w:p>
        </w:tc>
        <w:tc>
          <w:tcPr>
            <w:tcW w:w="1417" w:type="dxa"/>
            <w:vAlign w:val="center"/>
          </w:tcPr>
          <w:p w14:paraId="154398E6" w14:textId="77777777" w:rsidR="00304132" w:rsidRPr="00AC3044" w:rsidRDefault="00304132" w:rsidP="00CD5E09">
            <w:pPr>
              <w:rPr>
                <w:rFonts w:eastAsia="SimSun"/>
              </w:rPr>
            </w:pPr>
            <w:r w:rsidRPr="00AC3044">
              <w:rPr>
                <w:rFonts w:eastAsia="SimSun"/>
              </w:rPr>
              <w:t>–</w:t>
            </w:r>
          </w:p>
        </w:tc>
        <w:tc>
          <w:tcPr>
            <w:tcW w:w="1843" w:type="dxa"/>
            <w:vAlign w:val="center"/>
          </w:tcPr>
          <w:p w14:paraId="5D4D608E" w14:textId="77777777" w:rsidR="00304132" w:rsidRPr="00AC3044" w:rsidRDefault="00304132" w:rsidP="00CD5E09">
            <w:pPr>
              <w:rPr>
                <w:rFonts w:eastAsia="SimSun"/>
              </w:rPr>
            </w:pPr>
            <w:r w:rsidRPr="00AC3044">
              <w:rPr>
                <w:rFonts w:eastAsia="SimSun"/>
              </w:rPr>
              <w:t>0</w:t>
            </w:r>
          </w:p>
        </w:tc>
        <w:tc>
          <w:tcPr>
            <w:tcW w:w="2835" w:type="dxa"/>
            <w:vAlign w:val="center"/>
          </w:tcPr>
          <w:p w14:paraId="7C7E1FD8" w14:textId="77777777" w:rsidR="00304132" w:rsidRPr="00AC3044" w:rsidRDefault="00304132" w:rsidP="00CD5E09">
            <w:pPr>
              <w:rPr>
                <w:rFonts w:eastAsia="SimSun"/>
              </w:rPr>
            </w:pPr>
            <w:r w:rsidRPr="00AC3044">
              <w:rPr>
                <w:rFonts w:eastAsia="SimSun"/>
              </w:rPr>
              <w:t>-</w:t>
            </w:r>
          </w:p>
        </w:tc>
      </w:tr>
      <w:tr w:rsidR="00304132" w:rsidRPr="00AC3044" w14:paraId="14FBE380" w14:textId="77777777" w:rsidTr="00CD5E09">
        <w:trPr>
          <w:trHeight w:val="20"/>
        </w:trPr>
        <w:tc>
          <w:tcPr>
            <w:tcW w:w="10490" w:type="dxa"/>
            <w:gridSpan w:val="6"/>
          </w:tcPr>
          <w:p w14:paraId="30D01411" w14:textId="77777777" w:rsidR="00304132" w:rsidRPr="00AC3044" w:rsidRDefault="00304132" w:rsidP="00CD5E09">
            <w:pPr>
              <w:rPr>
                <w:rFonts w:eastAsia="SimSun"/>
              </w:rPr>
            </w:pPr>
            <w:r w:rsidRPr="00AC3044">
              <w:rPr>
                <w:rFonts w:eastAsia="SimSun"/>
              </w:rPr>
              <w:t>1 Раствор абатацепта нельзя использовать с оборудованием, имеющим в своём составе силикон.  Содержимое одного флакона растворяют в 10 мл воды для инъекций, используя одноразовый бессиликоновый шприц, имеющийся в комплекте с препаратом. Полученный концентрат немедленно разбавляют 0.9% раствором натрия хлорида для инъекций для получения инфузионного раствора, который немедленно вводится в/в за 30мин через инфузионную систему.  Абатацепт нельзя вводить одновременно с другими препаратами через одну инфузионную систему.</w:t>
            </w:r>
          </w:p>
          <w:p w14:paraId="399E9D0E" w14:textId="77777777" w:rsidR="00304132" w:rsidRPr="00AC3044" w:rsidRDefault="00304132" w:rsidP="00CD5E09">
            <w:pPr>
              <w:rPr>
                <w:rFonts w:eastAsia="SimSun"/>
              </w:rPr>
            </w:pPr>
          </w:p>
        </w:tc>
      </w:tr>
    </w:tbl>
    <w:p w14:paraId="1E536EEF" w14:textId="77777777" w:rsidR="00304132" w:rsidRDefault="00304132" w:rsidP="00304132">
      <w:pPr>
        <w:rPr>
          <w:rFonts w:eastAsia="SimSun"/>
        </w:rPr>
      </w:pPr>
      <w:bookmarkStart w:id="383" w:name="_Toc44401245"/>
    </w:p>
    <w:p w14:paraId="01D37A9B" w14:textId="77777777" w:rsidR="00304132" w:rsidRPr="00C07B2E" w:rsidRDefault="00304132" w:rsidP="00304132">
      <w:pPr>
        <w:rPr>
          <w:rFonts w:eastAsia="SimSun"/>
        </w:rPr>
      </w:pPr>
      <w:r w:rsidRPr="00EE51B1">
        <w:rPr>
          <w:rFonts w:eastAsia="SimSun"/>
        </w:rPr>
        <w:t>Таблица</w:t>
      </w:r>
      <w:r w:rsidRPr="00C07B2E">
        <w:rPr>
          <w:rFonts w:eastAsia="SimSun"/>
        </w:rPr>
        <w:t xml:space="preserve"> </w:t>
      </w:r>
      <w:r>
        <w:rPr>
          <w:rFonts w:eastAsia="SimSun"/>
        </w:rPr>
        <w:t>5.</w:t>
      </w:r>
      <w:r w:rsidRPr="00C07B2E">
        <w:rPr>
          <w:rFonts w:eastAsia="SimSun"/>
        </w:rPr>
        <w:t>4.3  – Flu150+Bu12+Thio / TCRαβ-CD19</w:t>
      </w:r>
      <w:bookmarkEnd w:id="383"/>
    </w:p>
    <w:tbl>
      <w:tblPr>
        <w:tblW w:w="10490"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2410"/>
        <w:gridCol w:w="1276"/>
        <w:gridCol w:w="1417"/>
        <w:gridCol w:w="1843"/>
        <w:gridCol w:w="2835"/>
      </w:tblGrid>
      <w:tr w:rsidR="00304132" w:rsidRPr="00AC3044" w14:paraId="5DAAD291" w14:textId="77777777" w:rsidTr="00CD5E09">
        <w:trPr>
          <w:cantSplit/>
          <w:trHeight w:val="20"/>
          <w:tblHeader/>
        </w:trPr>
        <w:tc>
          <w:tcPr>
            <w:tcW w:w="709" w:type="dxa"/>
          </w:tcPr>
          <w:p w14:paraId="29132D21" w14:textId="77777777" w:rsidR="00304132" w:rsidRPr="006A5E21" w:rsidRDefault="00304132" w:rsidP="00CD5E09">
            <w:pPr>
              <w:rPr>
                <w:rFonts w:eastAsia="SimSun"/>
              </w:rPr>
            </w:pPr>
          </w:p>
        </w:tc>
        <w:tc>
          <w:tcPr>
            <w:tcW w:w="2410" w:type="dxa"/>
            <w:vAlign w:val="center"/>
          </w:tcPr>
          <w:p w14:paraId="5FB713E5" w14:textId="77777777" w:rsidR="00304132" w:rsidRPr="00AC3044" w:rsidRDefault="00304132" w:rsidP="00CD5E09">
            <w:pPr>
              <w:rPr>
                <w:rFonts w:eastAsia="SimSun"/>
              </w:rPr>
            </w:pPr>
            <w:r w:rsidRPr="00AC3044">
              <w:rPr>
                <w:rFonts w:eastAsia="SimSun"/>
              </w:rPr>
              <w:t>Препарат</w:t>
            </w:r>
          </w:p>
        </w:tc>
        <w:tc>
          <w:tcPr>
            <w:tcW w:w="1276" w:type="dxa"/>
            <w:vAlign w:val="center"/>
          </w:tcPr>
          <w:p w14:paraId="0D831EEC" w14:textId="77777777" w:rsidR="00304132" w:rsidRPr="00AC3044" w:rsidRDefault="00304132" w:rsidP="00CD5E09">
            <w:pPr>
              <w:rPr>
                <w:rFonts w:eastAsia="SimSun"/>
              </w:rPr>
            </w:pPr>
            <w:r w:rsidRPr="00AC3044">
              <w:rPr>
                <w:rFonts w:eastAsia="SimSun"/>
              </w:rPr>
              <w:t>Суточная доза</w:t>
            </w:r>
          </w:p>
        </w:tc>
        <w:tc>
          <w:tcPr>
            <w:tcW w:w="1417" w:type="dxa"/>
            <w:vAlign w:val="center"/>
          </w:tcPr>
          <w:p w14:paraId="7A45F855" w14:textId="77777777" w:rsidR="00304132" w:rsidRPr="00AC3044" w:rsidRDefault="00304132" w:rsidP="00CD5E09">
            <w:pPr>
              <w:rPr>
                <w:rFonts w:eastAsia="SimSun"/>
              </w:rPr>
            </w:pPr>
            <w:r w:rsidRPr="00AC3044">
              <w:rPr>
                <w:rFonts w:eastAsia="SimSun"/>
              </w:rPr>
              <w:t>Курсовая доза</w:t>
            </w:r>
          </w:p>
        </w:tc>
        <w:tc>
          <w:tcPr>
            <w:tcW w:w="1843" w:type="dxa"/>
            <w:vAlign w:val="center"/>
          </w:tcPr>
          <w:p w14:paraId="6954C259" w14:textId="77777777" w:rsidR="00304132" w:rsidRPr="00AC3044" w:rsidRDefault="00304132" w:rsidP="00CD5E09">
            <w:pPr>
              <w:rPr>
                <w:rFonts w:eastAsia="SimSun"/>
              </w:rPr>
            </w:pPr>
            <w:r w:rsidRPr="00AC3044">
              <w:rPr>
                <w:rFonts w:eastAsia="SimSun"/>
              </w:rPr>
              <w:t>Дни введения</w:t>
            </w:r>
          </w:p>
        </w:tc>
        <w:tc>
          <w:tcPr>
            <w:tcW w:w="2835" w:type="dxa"/>
            <w:vAlign w:val="center"/>
          </w:tcPr>
          <w:p w14:paraId="73B0B8B4" w14:textId="77777777" w:rsidR="00304132" w:rsidRPr="00AC3044" w:rsidRDefault="00304132" w:rsidP="00CD5E09">
            <w:pPr>
              <w:rPr>
                <w:rFonts w:eastAsia="SimSun"/>
              </w:rPr>
            </w:pPr>
            <w:r w:rsidRPr="00AC3044">
              <w:rPr>
                <w:rFonts w:eastAsia="SimSun"/>
              </w:rPr>
              <w:t>Порядок введения</w:t>
            </w:r>
          </w:p>
        </w:tc>
      </w:tr>
      <w:tr w:rsidR="00304132" w:rsidRPr="00AC3044" w14:paraId="43FB0DD1" w14:textId="77777777" w:rsidTr="00CD5E09">
        <w:trPr>
          <w:cantSplit/>
          <w:trHeight w:val="20"/>
        </w:trPr>
        <w:tc>
          <w:tcPr>
            <w:tcW w:w="709" w:type="dxa"/>
            <w:vMerge w:val="restart"/>
            <w:textDirection w:val="btLr"/>
            <w:vAlign w:val="center"/>
          </w:tcPr>
          <w:p w14:paraId="7D5CE435" w14:textId="77777777" w:rsidR="00304132" w:rsidRPr="00AC3044" w:rsidRDefault="00304132" w:rsidP="00CD5E09">
            <w:pPr>
              <w:rPr>
                <w:rFonts w:eastAsia="SimSun"/>
              </w:rPr>
            </w:pPr>
            <w:r w:rsidRPr="00AC3044">
              <w:rPr>
                <w:rFonts w:eastAsia="SimSun"/>
              </w:rPr>
              <w:t>Кондиционирование</w:t>
            </w:r>
          </w:p>
        </w:tc>
        <w:tc>
          <w:tcPr>
            <w:tcW w:w="2410" w:type="dxa"/>
          </w:tcPr>
          <w:p w14:paraId="6FABB5CB" w14:textId="77777777" w:rsidR="00304132" w:rsidRPr="00AC3044" w:rsidRDefault="00304132" w:rsidP="00CD5E09">
            <w:pPr>
              <w:rPr>
                <w:rFonts w:eastAsia="SimSun"/>
              </w:rPr>
            </w:pPr>
            <w:r w:rsidRPr="00AC3044">
              <w:rPr>
                <w:rFonts w:eastAsia="SimSun"/>
              </w:rPr>
              <w:t>Бусульфан</w:t>
            </w:r>
          </w:p>
        </w:tc>
        <w:tc>
          <w:tcPr>
            <w:tcW w:w="1276" w:type="dxa"/>
          </w:tcPr>
          <w:p w14:paraId="296A265B" w14:textId="77777777" w:rsidR="00304132" w:rsidRPr="00AC3044" w:rsidRDefault="00304132" w:rsidP="00CD5E09">
            <w:pPr>
              <w:rPr>
                <w:rFonts w:eastAsia="SimSun"/>
              </w:rPr>
            </w:pPr>
            <w:r w:rsidRPr="00AC3044">
              <w:rPr>
                <w:rFonts w:eastAsia="SimSun"/>
              </w:rPr>
              <w:t>4 мг/кг</w:t>
            </w:r>
          </w:p>
        </w:tc>
        <w:tc>
          <w:tcPr>
            <w:tcW w:w="1417" w:type="dxa"/>
          </w:tcPr>
          <w:p w14:paraId="684E4367" w14:textId="77777777" w:rsidR="00304132" w:rsidRPr="00AC3044" w:rsidRDefault="00304132" w:rsidP="00CD5E09">
            <w:pPr>
              <w:rPr>
                <w:rFonts w:eastAsia="SimSun"/>
              </w:rPr>
            </w:pPr>
            <w:r w:rsidRPr="00AC3044">
              <w:rPr>
                <w:rFonts w:eastAsia="SimSun"/>
              </w:rPr>
              <w:t>12мг/кг</w:t>
            </w:r>
          </w:p>
        </w:tc>
        <w:tc>
          <w:tcPr>
            <w:tcW w:w="1843" w:type="dxa"/>
          </w:tcPr>
          <w:p w14:paraId="1D7CB829" w14:textId="77777777" w:rsidR="00304132" w:rsidRPr="00AC3044" w:rsidRDefault="00304132" w:rsidP="00CD5E09">
            <w:pPr>
              <w:rPr>
                <w:rFonts w:eastAsia="SimSun"/>
              </w:rPr>
            </w:pPr>
            <w:r w:rsidRPr="00AC3044">
              <w:rPr>
                <w:rFonts w:eastAsia="SimSun"/>
              </w:rPr>
              <w:t>–5,–4,–3</w:t>
            </w:r>
          </w:p>
        </w:tc>
        <w:tc>
          <w:tcPr>
            <w:tcW w:w="2835" w:type="dxa"/>
          </w:tcPr>
          <w:p w14:paraId="54B1CC64" w14:textId="77777777" w:rsidR="00304132" w:rsidRPr="00AC3044" w:rsidRDefault="00304132" w:rsidP="00CD5E09">
            <w:pPr>
              <w:rPr>
                <w:rFonts w:eastAsia="SimSun"/>
              </w:rPr>
            </w:pPr>
            <w:r w:rsidRPr="00AC3044">
              <w:rPr>
                <w:rFonts w:eastAsia="SimSun"/>
              </w:rPr>
              <w:t>Внутрь, суммарная суточная доза разделяется на 4 приема с интервалом 6 часов.</w:t>
            </w:r>
          </w:p>
        </w:tc>
      </w:tr>
      <w:tr w:rsidR="00304132" w:rsidRPr="00AC3044" w14:paraId="0BA5E0D7" w14:textId="77777777" w:rsidTr="00CD5E09">
        <w:trPr>
          <w:cantSplit/>
          <w:trHeight w:val="458"/>
        </w:trPr>
        <w:tc>
          <w:tcPr>
            <w:tcW w:w="709" w:type="dxa"/>
            <w:vMerge/>
            <w:textDirection w:val="btLr"/>
            <w:vAlign w:val="center"/>
          </w:tcPr>
          <w:p w14:paraId="114DDD93" w14:textId="77777777" w:rsidR="00304132" w:rsidRPr="00AC3044" w:rsidRDefault="00304132" w:rsidP="00CD5E09">
            <w:pPr>
              <w:rPr>
                <w:rFonts w:eastAsia="SimSun"/>
              </w:rPr>
            </w:pPr>
          </w:p>
        </w:tc>
        <w:tc>
          <w:tcPr>
            <w:tcW w:w="2410" w:type="dxa"/>
            <w:vAlign w:val="center"/>
          </w:tcPr>
          <w:p w14:paraId="733A114A" w14:textId="77777777" w:rsidR="00304132" w:rsidRPr="00AC3044" w:rsidRDefault="00304132" w:rsidP="00CD5E09">
            <w:pPr>
              <w:rPr>
                <w:rFonts w:eastAsia="SimSun"/>
              </w:rPr>
            </w:pPr>
            <w:r w:rsidRPr="00AC3044">
              <w:rPr>
                <w:rFonts w:eastAsia="SimSun"/>
              </w:rPr>
              <w:t>Тиотепа</w:t>
            </w:r>
          </w:p>
        </w:tc>
        <w:tc>
          <w:tcPr>
            <w:tcW w:w="1276" w:type="dxa"/>
            <w:vAlign w:val="center"/>
          </w:tcPr>
          <w:p w14:paraId="15B62944" w14:textId="77777777" w:rsidR="00304132" w:rsidRPr="00AC3044" w:rsidRDefault="00304132" w:rsidP="00CD5E09">
            <w:pPr>
              <w:rPr>
                <w:rFonts w:eastAsia="SimSun"/>
              </w:rPr>
            </w:pPr>
            <w:r w:rsidRPr="00AC3044">
              <w:rPr>
                <w:rFonts w:eastAsia="SimSun"/>
              </w:rPr>
              <w:t xml:space="preserve">5мг/кг </w:t>
            </w:r>
          </w:p>
        </w:tc>
        <w:tc>
          <w:tcPr>
            <w:tcW w:w="1417" w:type="dxa"/>
            <w:vAlign w:val="center"/>
          </w:tcPr>
          <w:p w14:paraId="0859C00B" w14:textId="77777777" w:rsidR="00304132" w:rsidRPr="00AC3044" w:rsidRDefault="00304132" w:rsidP="00CD5E09">
            <w:pPr>
              <w:rPr>
                <w:rFonts w:eastAsia="SimSun"/>
              </w:rPr>
            </w:pPr>
            <w:r w:rsidRPr="00AC3044">
              <w:rPr>
                <w:rFonts w:eastAsia="SimSun"/>
              </w:rPr>
              <w:t>10 мг/кг</w:t>
            </w:r>
          </w:p>
        </w:tc>
        <w:tc>
          <w:tcPr>
            <w:tcW w:w="1843" w:type="dxa"/>
            <w:vAlign w:val="center"/>
          </w:tcPr>
          <w:p w14:paraId="76290B28" w14:textId="77777777" w:rsidR="00304132" w:rsidRPr="00AC3044" w:rsidRDefault="00304132" w:rsidP="00CD5E09">
            <w:pPr>
              <w:rPr>
                <w:rFonts w:eastAsia="SimSun"/>
              </w:rPr>
            </w:pPr>
            <w:r w:rsidRPr="00AC3044">
              <w:rPr>
                <w:rFonts w:eastAsia="SimSun"/>
              </w:rPr>
              <w:t>–6,–5</w:t>
            </w:r>
          </w:p>
        </w:tc>
        <w:tc>
          <w:tcPr>
            <w:tcW w:w="2835" w:type="dxa"/>
            <w:vAlign w:val="center"/>
          </w:tcPr>
          <w:p w14:paraId="1F9E0155" w14:textId="77777777" w:rsidR="00304132" w:rsidRPr="00AC3044" w:rsidRDefault="00304132" w:rsidP="00CD5E09">
            <w:pPr>
              <w:rPr>
                <w:rFonts w:eastAsia="SimSun"/>
              </w:rPr>
            </w:pPr>
            <w:r w:rsidRPr="00AC3044">
              <w:rPr>
                <w:rFonts w:eastAsia="SimSun"/>
              </w:rPr>
              <w:t>В/в, в течение 2 часов</w:t>
            </w:r>
          </w:p>
        </w:tc>
      </w:tr>
      <w:tr w:rsidR="00304132" w:rsidRPr="00AC3044" w14:paraId="7BF8721D" w14:textId="77777777" w:rsidTr="00CD5E09">
        <w:trPr>
          <w:cantSplit/>
          <w:trHeight w:val="550"/>
        </w:trPr>
        <w:tc>
          <w:tcPr>
            <w:tcW w:w="709" w:type="dxa"/>
            <w:vMerge/>
            <w:textDirection w:val="btLr"/>
            <w:vAlign w:val="center"/>
          </w:tcPr>
          <w:p w14:paraId="75AF4C1A" w14:textId="77777777" w:rsidR="00304132" w:rsidRPr="00AC3044" w:rsidRDefault="00304132" w:rsidP="00CD5E09">
            <w:pPr>
              <w:rPr>
                <w:rFonts w:eastAsia="SimSun"/>
              </w:rPr>
            </w:pPr>
          </w:p>
        </w:tc>
        <w:tc>
          <w:tcPr>
            <w:tcW w:w="2410" w:type="dxa"/>
            <w:vAlign w:val="center"/>
          </w:tcPr>
          <w:p w14:paraId="610783E5" w14:textId="77777777" w:rsidR="00304132" w:rsidRPr="00AC3044" w:rsidRDefault="00304132" w:rsidP="00CD5E09">
            <w:pPr>
              <w:rPr>
                <w:rFonts w:eastAsia="SimSun"/>
              </w:rPr>
            </w:pPr>
            <w:r w:rsidRPr="00AC3044">
              <w:rPr>
                <w:rFonts w:eastAsia="SimSun"/>
              </w:rPr>
              <w:t>Флударабин</w:t>
            </w:r>
          </w:p>
        </w:tc>
        <w:tc>
          <w:tcPr>
            <w:tcW w:w="1276" w:type="dxa"/>
            <w:vAlign w:val="center"/>
          </w:tcPr>
          <w:p w14:paraId="785BCB2B" w14:textId="77777777" w:rsidR="00304132" w:rsidRPr="00AC3044" w:rsidRDefault="00304132" w:rsidP="00CD5E09">
            <w:pPr>
              <w:rPr>
                <w:rFonts w:eastAsia="SimSun"/>
              </w:rPr>
            </w:pPr>
            <w:r w:rsidRPr="00AC3044">
              <w:rPr>
                <w:rFonts w:eastAsia="SimSun"/>
              </w:rPr>
              <w:t>30 мг/м</w:t>
            </w:r>
            <w:r w:rsidRPr="0074195F">
              <w:rPr>
                <w:rFonts w:eastAsia="SimSun"/>
                <w:vertAlign w:val="superscript"/>
              </w:rPr>
              <w:t>2</w:t>
            </w:r>
          </w:p>
        </w:tc>
        <w:tc>
          <w:tcPr>
            <w:tcW w:w="1417" w:type="dxa"/>
            <w:vAlign w:val="center"/>
          </w:tcPr>
          <w:p w14:paraId="748E2ECC" w14:textId="77777777" w:rsidR="00304132" w:rsidRPr="00AC3044" w:rsidRDefault="00304132" w:rsidP="00CD5E09">
            <w:pPr>
              <w:rPr>
                <w:rFonts w:eastAsia="SimSun"/>
              </w:rPr>
            </w:pPr>
            <w:r w:rsidRPr="00AC3044">
              <w:rPr>
                <w:rFonts w:eastAsia="SimSun"/>
              </w:rPr>
              <w:t>150 мг/м</w:t>
            </w:r>
            <w:r w:rsidRPr="0074195F">
              <w:rPr>
                <w:rFonts w:eastAsia="SimSun"/>
                <w:vertAlign w:val="superscript"/>
              </w:rPr>
              <w:t>2</w:t>
            </w:r>
          </w:p>
        </w:tc>
        <w:tc>
          <w:tcPr>
            <w:tcW w:w="1843" w:type="dxa"/>
            <w:vAlign w:val="center"/>
          </w:tcPr>
          <w:p w14:paraId="0DA643D2" w14:textId="77777777" w:rsidR="00304132" w:rsidRPr="00AC3044" w:rsidRDefault="00304132" w:rsidP="00CD5E09">
            <w:pPr>
              <w:rPr>
                <w:rFonts w:eastAsia="SimSun"/>
              </w:rPr>
            </w:pPr>
            <w:r w:rsidRPr="00AC3044">
              <w:rPr>
                <w:rFonts w:eastAsia="SimSun"/>
              </w:rPr>
              <w:t>–6,–5,–4, –3, –2</w:t>
            </w:r>
          </w:p>
        </w:tc>
        <w:tc>
          <w:tcPr>
            <w:tcW w:w="2835" w:type="dxa"/>
            <w:vAlign w:val="center"/>
          </w:tcPr>
          <w:p w14:paraId="3E847E92" w14:textId="77777777" w:rsidR="00304132" w:rsidRPr="00AC3044" w:rsidRDefault="00304132" w:rsidP="00CD5E09">
            <w:pPr>
              <w:rPr>
                <w:rFonts w:eastAsia="SimSun"/>
              </w:rPr>
            </w:pPr>
            <w:r w:rsidRPr="00AC3044">
              <w:rPr>
                <w:rFonts w:eastAsia="SimSun"/>
              </w:rPr>
              <w:t>В/в, в течение 30 -60 мин</w:t>
            </w:r>
          </w:p>
        </w:tc>
      </w:tr>
      <w:tr w:rsidR="00304132" w:rsidRPr="00AC3044" w14:paraId="33EE5FEB" w14:textId="77777777" w:rsidTr="00CD5E09">
        <w:trPr>
          <w:cantSplit/>
          <w:trHeight w:val="416"/>
        </w:trPr>
        <w:tc>
          <w:tcPr>
            <w:tcW w:w="709" w:type="dxa"/>
            <w:vMerge w:val="restart"/>
            <w:textDirection w:val="btLr"/>
            <w:vAlign w:val="center"/>
          </w:tcPr>
          <w:p w14:paraId="053EC2E4" w14:textId="77777777" w:rsidR="00304132" w:rsidRPr="00AC3044" w:rsidRDefault="00304132" w:rsidP="00CD5E09">
            <w:pPr>
              <w:rPr>
                <w:rFonts w:eastAsia="SimSun"/>
              </w:rPr>
            </w:pPr>
            <w:r w:rsidRPr="00AC3044">
              <w:rPr>
                <w:rFonts w:eastAsia="SimSun"/>
              </w:rPr>
              <w:t>Профилактика РТПХ</w:t>
            </w:r>
          </w:p>
        </w:tc>
        <w:tc>
          <w:tcPr>
            <w:tcW w:w="2410" w:type="dxa"/>
            <w:vAlign w:val="center"/>
          </w:tcPr>
          <w:p w14:paraId="53C75E26" w14:textId="77777777" w:rsidR="00304132" w:rsidRPr="00AC3044" w:rsidRDefault="00304132" w:rsidP="00CD5E09">
            <w:pPr>
              <w:rPr>
                <w:rFonts w:eastAsia="SimSun"/>
              </w:rPr>
            </w:pPr>
            <w:r w:rsidRPr="00AC3044">
              <w:rPr>
                <w:rFonts w:eastAsia="SimSun"/>
              </w:rPr>
              <w:t>Ритуксимаб</w:t>
            </w:r>
          </w:p>
        </w:tc>
        <w:tc>
          <w:tcPr>
            <w:tcW w:w="1276" w:type="dxa"/>
            <w:vAlign w:val="center"/>
          </w:tcPr>
          <w:p w14:paraId="2273AFEC" w14:textId="77777777" w:rsidR="00304132" w:rsidRPr="00AC3044" w:rsidRDefault="00304132" w:rsidP="00CD5E09">
            <w:pPr>
              <w:rPr>
                <w:rFonts w:eastAsia="SimSun"/>
              </w:rPr>
            </w:pPr>
            <w:r w:rsidRPr="00AC3044">
              <w:rPr>
                <w:rFonts w:eastAsia="SimSun"/>
              </w:rPr>
              <w:t>100 мг/м</w:t>
            </w:r>
            <w:r w:rsidRPr="0074195F">
              <w:rPr>
                <w:rFonts w:eastAsia="SimSun"/>
                <w:vertAlign w:val="superscript"/>
              </w:rPr>
              <w:t>2</w:t>
            </w:r>
          </w:p>
        </w:tc>
        <w:tc>
          <w:tcPr>
            <w:tcW w:w="1417" w:type="dxa"/>
            <w:vAlign w:val="center"/>
          </w:tcPr>
          <w:p w14:paraId="4B30BB96" w14:textId="77777777" w:rsidR="00304132" w:rsidRPr="00AC3044" w:rsidRDefault="00304132" w:rsidP="00CD5E09">
            <w:pPr>
              <w:rPr>
                <w:rFonts w:eastAsia="SimSun"/>
              </w:rPr>
            </w:pPr>
            <w:r w:rsidRPr="00AC3044">
              <w:rPr>
                <w:rFonts w:eastAsia="SimSun"/>
              </w:rPr>
              <w:t>100 мг/м</w:t>
            </w:r>
            <w:r w:rsidRPr="0074195F">
              <w:rPr>
                <w:rFonts w:eastAsia="SimSun"/>
                <w:vertAlign w:val="superscript"/>
              </w:rPr>
              <w:t>2</w:t>
            </w:r>
          </w:p>
        </w:tc>
        <w:tc>
          <w:tcPr>
            <w:tcW w:w="1843" w:type="dxa"/>
            <w:vAlign w:val="center"/>
          </w:tcPr>
          <w:p w14:paraId="279954F1" w14:textId="77777777" w:rsidR="00304132" w:rsidRPr="00AC3044" w:rsidRDefault="00304132" w:rsidP="00CD5E09">
            <w:pPr>
              <w:rPr>
                <w:rFonts w:eastAsia="SimSun"/>
              </w:rPr>
            </w:pPr>
            <w:r w:rsidRPr="00AC3044">
              <w:rPr>
                <w:rFonts w:eastAsia="SimSun"/>
              </w:rPr>
              <w:t>–1</w:t>
            </w:r>
          </w:p>
        </w:tc>
        <w:tc>
          <w:tcPr>
            <w:tcW w:w="2835" w:type="dxa"/>
            <w:vAlign w:val="center"/>
          </w:tcPr>
          <w:p w14:paraId="405C6729" w14:textId="77777777" w:rsidR="00304132" w:rsidRPr="00AC3044" w:rsidRDefault="00304132" w:rsidP="00CD5E09">
            <w:pPr>
              <w:rPr>
                <w:rFonts w:eastAsia="SimSun"/>
              </w:rPr>
            </w:pPr>
            <w:r w:rsidRPr="00AC3044">
              <w:rPr>
                <w:rFonts w:eastAsia="SimSun"/>
              </w:rPr>
              <w:t>В/в, в течение 2 часов</w:t>
            </w:r>
          </w:p>
        </w:tc>
      </w:tr>
      <w:tr w:rsidR="00304132" w:rsidRPr="00AC3044" w14:paraId="401A60E7" w14:textId="77777777" w:rsidTr="00CD5E09">
        <w:trPr>
          <w:cantSplit/>
          <w:trHeight w:val="20"/>
        </w:trPr>
        <w:tc>
          <w:tcPr>
            <w:tcW w:w="709" w:type="dxa"/>
            <w:vMerge/>
            <w:textDirection w:val="btLr"/>
          </w:tcPr>
          <w:p w14:paraId="5AE293E9" w14:textId="77777777" w:rsidR="00304132" w:rsidRPr="00AC3044" w:rsidRDefault="00304132" w:rsidP="00CD5E09">
            <w:pPr>
              <w:rPr>
                <w:rFonts w:eastAsia="SimSun"/>
              </w:rPr>
            </w:pPr>
          </w:p>
        </w:tc>
        <w:tc>
          <w:tcPr>
            <w:tcW w:w="2410" w:type="dxa"/>
            <w:vAlign w:val="center"/>
          </w:tcPr>
          <w:p w14:paraId="41512DCE" w14:textId="77777777" w:rsidR="00304132" w:rsidRPr="00AC3044" w:rsidRDefault="00304132" w:rsidP="00CD5E09">
            <w:pPr>
              <w:rPr>
                <w:rFonts w:eastAsia="SimSun"/>
              </w:rPr>
            </w:pPr>
            <w:r w:rsidRPr="00AC3044">
              <w:rPr>
                <w:rFonts w:eastAsia="SimSun"/>
              </w:rPr>
              <w:t>Тоцилизумаб</w:t>
            </w:r>
          </w:p>
        </w:tc>
        <w:tc>
          <w:tcPr>
            <w:tcW w:w="1276" w:type="dxa"/>
            <w:vAlign w:val="center"/>
          </w:tcPr>
          <w:p w14:paraId="625721B5" w14:textId="77777777" w:rsidR="00304132" w:rsidRPr="00AC3044" w:rsidRDefault="00304132" w:rsidP="00CD5E09">
            <w:pPr>
              <w:rPr>
                <w:rFonts w:eastAsia="SimSun"/>
              </w:rPr>
            </w:pPr>
            <w:r w:rsidRPr="00AC3044">
              <w:rPr>
                <w:rFonts w:eastAsia="SimSun"/>
              </w:rPr>
              <w:t>8 мг/кг</w:t>
            </w:r>
          </w:p>
        </w:tc>
        <w:tc>
          <w:tcPr>
            <w:tcW w:w="1417" w:type="dxa"/>
            <w:vAlign w:val="center"/>
          </w:tcPr>
          <w:p w14:paraId="43B50FD8" w14:textId="77777777" w:rsidR="00304132" w:rsidRPr="00AC3044" w:rsidRDefault="00304132" w:rsidP="00CD5E09">
            <w:pPr>
              <w:rPr>
                <w:rFonts w:eastAsia="SimSun"/>
              </w:rPr>
            </w:pPr>
            <w:r w:rsidRPr="00AC3044">
              <w:rPr>
                <w:rFonts w:eastAsia="SimSun"/>
              </w:rPr>
              <w:t>8 мг/кг</w:t>
            </w:r>
          </w:p>
        </w:tc>
        <w:tc>
          <w:tcPr>
            <w:tcW w:w="1843" w:type="dxa"/>
            <w:vAlign w:val="center"/>
          </w:tcPr>
          <w:p w14:paraId="142DAB50" w14:textId="77777777" w:rsidR="00304132" w:rsidRPr="00AC3044" w:rsidRDefault="00304132" w:rsidP="00CD5E09">
            <w:pPr>
              <w:rPr>
                <w:rFonts w:eastAsia="SimSun"/>
              </w:rPr>
            </w:pPr>
            <w:r w:rsidRPr="00AC3044">
              <w:rPr>
                <w:rFonts w:eastAsia="SimSun"/>
              </w:rPr>
              <w:t>–1, +21</w:t>
            </w:r>
          </w:p>
        </w:tc>
        <w:tc>
          <w:tcPr>
            <w:tcW w:w="2835" w:type="dxa"/>
            <w:vAlign w:val="center"/>
          </w:tcPr>
          <w:p w14:paraId="3711C75F" w14:textId="77777777" w:rsidR="00304132" w:rsidRPr="00AC3044" w:rsidRDefault="00304132" w:rsidP="00CD5E09">
            <w:pPr>
              <w:rPr>
                <w:rFonts w:eastAsia="SimSun"/>
              </w:rPr>
            </w:pPr>
            <w:r w:rsidRPr="00AC3044">
              <w:rPr>
                <w:rFonts w:eastAsia="SimSun"/>
              </w:rPr>
              <w:t>В/в, в течение 1 часа</w:t>
            </w:r>
          </w:p>
        </w:tc>
      </w:tr>
      <w:tr w:rsidR="00304132" w:rsidRPr="00AC3044" w14:paraId="1B5F82A8" w14:textId="77777777" w:rsidTr="00CD5E09">
        <w:trPr>
          <w:cantSplit/>
          <w:trHeight w:val="20"/>
        </w:trPr>
        <w:tc>
          <w:tcPr>
            <w:tcW w:w="709" w:type="dxa"/>
            <w:vMerge/>
            <w:textDirection w:val="btLr"/>
          </w:tcPr>
          <w:p w14:paraId="4F044C24" w14:textId="77777777" w:rsidR="00304132" w:rsidRPr="00AC3044" w:rsidRDefault="00304132" w:rsidP="00CD5E09">
            <w:pPr>
              <w:rPr>
                <w:rFonts w:eastAsia="SimSun"/>
              </w:rPr>
            </w:pPr>
          </w:p>
        </w:tc>
        <w:tc>
          <w:tcPr>
            <w:tcW w:w="2410" w:type="dxa"/>
            <w:vAlign w:val="center"/>
          </w:tcPr>
          <w:p w14:paraId="72E9F331" w14:textId="77777777" w:rsidR="00304132" w:rsidRPr="00AC3044" w:rsidRDefault="00304132" w:rsidP="00CD5E09">
            <w:pPr>
              <w:rPr>
                <w:rFonts w:eastAsia="SimSun"/>
              </w:rPr>
            </w:pPr>
            <w:r w:rsidRPr="00AC3044">
              <w:rPr>
                <w:rFonts w:eastAsia="SimSun"/>
              </w:rPr>
              <w:t>Абатацепт1</w:t>
            </w:r>
          </w:p>
        </w:tc>
        <w:tc>
          <w:tcPr>
            <w:tcW w:w="1276" w:type="dxa"/>
            <w:vAlign w:val="center"/>
          </w:tcPr>
          <w:p w14:paraId="14239125" w14:textId="77777777" w:rsidR="00304132" w:rsidRPr="00AC3044" w:rsidRDefault="00304132" w:rsidP="00CD5E09">
            <w:pPr>
              <w:rPr>
                <w:rFonts w:eastAsia="SimSun"/>
              </w:rPr>
            </w:pPr>
            <w:r w:rsidRPr="00AC3044">
              <w:rPr>
                <w:rFonts w:eastAsia="SimSun"/>
              </w:rPr>
              <w:t>10 мг/кг</w:t>
            </w:r>
          </w:p>
        </w:tc>
        <w:tc>
          <w:tcPr>
            <w:tcW w:w="1417" w:type="dxa"/>
            <w:vAlign w:val="center"/>
          </w:tcPr>
          <w:p w14:paraId="3383F31D" w14:textId="77777777" w:rsidR="00304132" w:rsidRPr="00AC3044" w:rsidRDefault="00304132" w:rsidP="00CD5E09">
            <w:pPr>
              <w:rPr>
                <w:rFonts w:eastAsia="SimSun"/>
              </w:rPr>
            </w:pPr>
            <w:r w:rsidRPr="00AC3044">
              <w:rPr>
                <w:rFonts w:eastAsia="SimSun"/>
              </w:rPr>
              <w:t>40 мг/кг</w:t>
            </w:r>
          </w:p>
        </w:tc>
        <w:tc>
          <w:tcPr>
            <w:tcW w:w="1843" w:type="dxa"/>
            <w:vAlign w:val="center"/>
          </w:tcPr>
          <w:p w14:paraId="68125BA0" w14:textId="77777777" w:rsidR="00304132" w:rsidRPr="00AC3044" w:rsidRDefault="00304132" w:rsidP="00CD5E09">
            <w:pPr>
              <w:rPr>
                <w:rFonts w:eastAsia="SimSun"/>
              </w:rPr>
            </w:pPr>
            <w:r w:rsidRPr="00AC3044">
              <w:rPr>
                <w:rFonts w:eastAsia="SimSun"/>
              </w:rPr>
              <w:t>–1,+7,+14,+28</w:t>
            </w:r>
          </w:p>
        </w:tc>
        <w:tc>
          <w:tcPr>
            <w:tcW w:w="2835" w:type="dxa"/>
            <w:vAlign w:val="center"/>
          </w:tcPr>
          <w:p w14:paraId="2351FCE4" w14:textId="77777777" w:rsidR="00304132" w:rsidRPr="00AC3044" w:rsidRDefault="00304132" w:rsidP="00CD5E09">
            <w:pPr>
              <w:rPr>
                <w:rFonts w:eastAsia="SimSun"/>
              </w:rPr>
            </w:pPr>
            <w:r w:rsidRPr="00AC3044">
              <w:rPr>
                <w:rFonts w:eastAsia="SimSun"/>
              </w:rPr>
              <w:t>В/в, в течение 30 мин</w:t>
            </w:r>
          </w:p>
        </w:tc>
      </w:tr>
      <w:tr w:rsidR="00304132" w:rsidRPr="00AC3044" w14:paraId="7A787FCF" w14:textId="77777777" w:rsidTr="00CD5E09">
        <w:trPr>
          <w:cantSplit/>
          <w:trHeight w:val="1797"/>
        </w:trPr>
        <w:tc>
          <w:tcPr>
            <w:tcW w:w="709" w:type="dxa"/>
            <w:textDirection w:val="btLr"/>
            <w:vAlign w:val="center"/>
          </w:tcPr>
          <w:p w14:paraId="3A2439FA" w14:textId="77777777" w:rsidR="00304132" w:rsidRPr="00AC3044" w:rsidRDefault="00304132" w:rsidP="00CD5E09">
            <w:pPr>
              <w:rPr>
                <w:rFonts w:eastAsia="SimSun"/>
              </w:rPr>
            </w:pPr>
            <w:r w:rsidRPr="00AC3044">
              <w:rPr>
                <w:rFonts w:eastAsia="SimSun"/>
              </w:rPr>
              <w:t>Ex vivo манипуляция  с трансплантатом</w:t>
            </w:r>
          </w:p>
        </w:tc>
        <w:tc>
          <w:tcPr>
            <w:tcW w:w="2410" w:type="dxa"/>
            <w:vAlign w:val="center"/>
          </w:tcPr>
          <w:p w14:paraId="1AD10896" w14:textId="77777777" w:rsidR="00304132" w:rsidRPr="00AC3044" w:rsidRDefault="00304132" w:rsidP="00CD5E09">
            <w:pPr>
              <w:rPr>
                <w:rFonts w:eastAsia="SimSun"/>
              </w:rPr>
            </w:pPr>
            <w:r w:rsidRPr="00AC3044">
              <w:rPr>
                <w:rFonts w:eastAsia="SimSun"/>
              </w:rPr>
              <w:t>Комплексная услуга TCRαβ/CD19 деплеция</w:t>
            </w:r>
          </w:p>
        </w:tc>
        <w:tc>
          <w:tcPr>
            <w:tcW w:w="1276" w:type="dxa"/>
            <w:vAlign w:val="center"/>
          </w:tcPr>
          <w:p w14:paraId="60431105" w14:textId="77777777" w:rsidR="00304132" w:rsidRPr="00AC3044" w:rsidRDefault="00304132" w:rsidP="00CD5E09">
            <w:pPr>
              <w:rPr>
                <w:rFonts w:eastAsia="SimSun"/>
              </w:rPr>
            </w:pPr>
            <w:r w:rsidRPr="00AC3044">
              <w:rPr>
                <w:rFonts w:eastAsia="SimSun"/>
              </w:rPr>
              <w:t>–</w:t>
            </w:r>
          </w:p>
        </w:tc>
        <w:tc>
          <w:tcPr>
            <w:tcW w:w="1417" w:type="dxa"/>
            <w:vAlign w:val="center"/>
          </w:tcPr>
          <w:p w14:paraId="07F0E54E" w14:textId="77777777" w:rsidR="00304132" w:rsidRPr="00AC3044" w:rsidRDefault="00304132" w:rsidP="00CD5E09">
            <w:pPr>
              <w:rPr>
                <w:rFonts w:eastAsia="SimSun"/>
              </w:rPr>
            </w:pPr>
            <w:r w:rsidRPr="00AC3044">
              <w:rPr>
                <w:rFonts w:eastAsia="SimSun"/>
              </w:rPr>
              <w:t>–</w:t>
            </w:r>
          </w:p>
        </w:tc>
        <w:tc>
          <w:tcPr>
            <w:tcW w:w="1843" w:type="dxa"/>
            <w:vAlign w:val="center"/>
          </w:tcPr>
          <w:p w14:paraId="3F9997CF" w14:textId="77777777" w:rsidR="00304132" w:rsidRPr="00AC3044" w:rsidRDefault="00304132" w:rsidP="00CD5E09">
            <w:pPr>
              <w:rPr>
                <w:rFonts w:eastAsia="SimSun"/>
              </w:rPr>
            </w:pPr>
            <w:r w:rsidRPr="00AC3044">
              <w:rPr>
                <w:rFonts w:eastAsia="SimSun"/>
              </w:rPr>
              <w:t>0</w:t>
            </w:r>
          </w:p>
        </w:tc>
        <w:tc>
          <w:tcPr>
            <w:tcW w:w="2835" w:type="dxa"/>
            <w:vAlign w:val="center"/>
          </w:tcPr>
          <w:p w14:paraId="0261BC11" w14:textId="77777777" w:rsidR="00304132" w:rsidRPr="00AC3044" w:rsidRDefault="00304132" w:rsidP="00CD5E09">
            <w:pPr>
              <w:rPr>
                <w:rFonts w:eastAsia="SimSun"/>
              </w:rPr>
            </w:pPr>
            <w:r w:rsidRPr="00AC3044">
              <w:rPr>
                <w:rFonts w:eastAsia="SimSun"/>
              </w:rPr>
              <w:t>-</w:t>
            </w:r>
          </w:p>
        </w:tc>
      </w:tr>
      <w:tr w:rsidR="00304132" w:rsidRPr="00AC3044" w14:paraId="50A34611" w14:textId="77777777" w:rsidTr="00CD5E09">
        <w:trPr>
          <w:trHeight w:val="20"/>
        </w:trPr>
        <w:tc>
          <w:tcPr>
            <w:tcW w:w="10490" w:type="dxa"/>
            <w:gridSpan w:val="6"/>
          </w:tcPr>
          <w:p w14:paraId="7BCC2BC6" w14:textId="77777777" w:rsidR="00304132" w:rsidRPr="00AC3044" w:rsidRDefault="00304132" w:rsidP="00CD5E09">
            <w:pPr>
              <w:rPr>
                <w:rFonts w:eastAsia="SimSun"/>
              </w:rPr>
            </w:pPr>
            <w:r w:rsidRPr="00AC3044">
              <w:rPr>
                <w:rFonts w:eastAsia="SimSun"/>
              </w:rPr>
              <w:t xml:space="preserve">1 Раствор абатацепта нельзя использовать с оборудованием, имеющим в своём составе силикон.  Содержимое одного флакона растворяют в 10 мл воды для инъекций, используя одноразовый бессиликоновый шприц, имеющийся в комплекте с препаратом. Полученный концентрат </w:t>
            </w:r>
            <w:r w:rsidRPr="00AC3044">
              <w:rPr>
                <w:rFonts w:eastAsia="SimSun"/>
              </w:rPr>
              <w:lastRenderedPageBreak/>
              <w:t>немедленно разбавляют 0.9% раствором натрия хлорида для инъекций для получения инфузионного раствора, который немедленно вводится в/в за 30мин через инфузионную систему.  Абатацепт нельзя вводить одновременно с другими препаратами через одну инфузионную систему.</w:t>
            </w:r>
          </w:p>
          <w:p w14:paraId="62B83A59" w14:textId="77777777" w:rsidR="00304132" w:rsidRPr="00AC3044" w:rsidRDefault="00304132" w:rsidP="00CD5E09">
            <w:pPr>
              <w:rPr>
                <w:rFonts w:eastAsia="SimSun"/>
              </w:rPr>
            </w:pPr>
          </w:p>
        </w:tc>
      </w:tr>
    </w:tbl>
    <w:p w14:paraId="22C3DCEF" w14:textId="77777777" w:rsidR="00304132" w:rsidRDefault="00304132" w:rsidP="00304132">
      <w:pPr>
        <w:rPr>
          <w:rFonts w:eastAsia="SimSun"/>
        </w:rPr>
      </w:pPr>
      <w:bookmarkStart w:id="384" w:name="_Toc44401246"/>
    </w:p>
    <w:p w14:paraId="4EFF7FBC" w14:textId="77777777" w:rsidR="00304132" w:rsidRPr="00C07B2E" w:rsidRDefault="00304132" w:rsidP="00304132">
      <w:pPr>
        <w:rPr>
          <w:rFonts w:eastAsia="SimSun"/>
        </w:rPr>
      </w:pPr>
      <w:r>
        <w:rPr>
          <w:rFonts w:eastAsia="SimSun"/>
        </w:rPr>
        <w:t>Таблица</w:t>
      </w:r>
      <w:r w:rsidRPr="00C07B2E">
        <w:rPr>
          <w:rFonts w:eastAsia="SimSun"/>
        </w:rPr>
        <w:t xml:space="preserve"> </w:t>
      </w:r>
      <w:r>
        <w:rPr>
          <w:rFonts w:eastAsia="SimSun"/>
        </w:rPr>
        <w:t>5.</w:t>
      </w:r>
      <w:r w:rsidRPr="00C07B2E">
        <w:rPr>
          <w:rFonts w:eastAsia="SimSun"/>
        </w:rPr>
        <w:t>4.4.  – CD34+ ("boost")</w:t>
      </w:r>
      <w:bookmarkEnd w:id="384"/>
    </w:p>
    <w:tbl>
      <w:tblPr>
        <w:tblW w:w="10490"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1843"/>
        <w:gridCol w:w="1843"/>
        <w:gridCol w:w="1417"/>
        <w:gridCol w:w="1843"/>
        <w:gridCol w:w="2835"/>
      </w:tblGrid>
      <w:tr w:rsidR="00304132" w:rsidRPr="00AC3044" w14:paraId="2938F5F1" w14:textId="77777777" w:rsidTr="00CD5E09">
        <w:trPr>
          <w:cantSplit/>
          <w:trHeight w:val="20"/>
          <w:tblHeader/>
        </w:trPr>
        <w:tc>
          <w:tcPr>
            <w:tcW w:w="709" w:type="dxa"/>
          </w:tcPr>
          <w:p w14:paraId="7968C7CE" w14:textId="77777777" w:rsidR="00304132" w:rsidRPr="00AC3044" w:rsidRDefault="00304132" w:rsidP="00657BC2">
            <w:pPr>
              <w:rPr>
                <w:rFonts w:eastAsia="SimSun"/>
              </w:rPr>
            </w:pPr>
          </w:p>
        </w:tc>
        <w:tc>
          <w:tcPr>
            <w:tcW w:w="1843" w:type="dxa"/>
            <w:vAlign w:val="center"/>
          </w:tcPr>
          <w:p w14:paraId="43C61EE0" w14:textId="77777777" w:rsidR="00304132" w:rsidRPr="00AC3044" w:rsidRDefault="00304132" w:rsidP="00657BC2">
            <w:pPr>
              <w:rPr>
                <w:rFonts w:eastAsia="SimSun"/>
              </w:rPr>
            </w:pPr>
            <w:r w:rsidRPr="00AC3044">
              <w:rPr>
                <w:rFonts w:eastAsia="SimSun"/>
              </w:rPr>
              <w:t>Препарат</w:t>
            </w:r>
          </w:p>
        </w:tc>
        <w:tc>
          <w:tcPr>
            <w:tcW w:w="1843" w:type="dxa"/>
            <w:vAlign w:val="center"/>
          </w:tcPr>
          <w:p w14:paraId="229B46BA" w14:textId="77777777" w:rsidR="00304132" w:rsidRPr="00AC3044" w:rsidRDefault="00304132" w:rsidP="00657BC2">
            <w:pPr>
              <w:rPr>
                <w:rFonts w:eastAsia="SimSun"/>
              </w:rPr>
            </w:pPr>
            <w:r w:rsidRPr="00AC3044">
              <w:rPr>
                <w:rFonts w:eastAsia="SimSun"/>
              </w:rPr>
              <w:t>Суточная доза</w:t>
            </w:r>
          </w:p>
        </w:tc>
        <w:tc>
          <w:tcPr>
            <w:tcW w:w="1417" w:type="dxa"/>
            <w:vAlign w:val="center"/>
          </w:tcPr>
          <w:p w14:paraId="39F50EC2" w14:textId="77777777" w:rsidR="00304132" w:rsidRPr="00AC3044" w:rsidRDefault="00304132" w:rsidP="00657BC2">
            <w:pPr>
              <w:rPr>
                <w:rFonts w:eastAsia="SimSun"/>
              </w:rPr>
            </w:pPr>
            <w:r w:rsidRPr="00AC3044">
              <w:rPr>
                <w:rFonts w:eastAsia="SimSun"/>
              </w:rPr>
              <w:t>Курсовая доза</w:t>
            </w:r>
          </w:p>
        </w:tc>
        <w:tc>
          <w:tcPr>
            <w:tcW w:w="1843" w:type="dxa"/>
            <w:vAlign w:val="center"/>
          </w:tcPr>
          <w:p w14:paraId="0944035E" w14:textId="77777777" w:rsidR="00304132" w:rsidRPr="00AC3044" w:rsidRDefault="00304132" w:rsidP="00657BC2">
            <w:pPr>
              <w:rPr>
                <w:rFonts w:eastAsia="SimSun"/>
              </w:rPr>
            </w:pPr>
            <w:r w:rsidRPr="00AC3044">
              <w:rPr>
                <w:rFonts w:eastAsia="SimSun"/>
              </w:rPr>
              <w:t>Дни введения</w:t>
            </w:r>
          </w:p>
        </w:tc>
        <w:tc>
          <w:tcPr>
            <w:tcW w:w="2835" w:type="dxa"/>
            <w:vAlign w:val="center"/>
          </w:tcPr>
          <w:p w14:paraId="1141ED4A" w14:textId="77777777" w:rsidR="00304132" w:rsidRPr="00AC3044" w:rsidRDefault="00304132" w:rsidP="00657BC2">
            <w:pPr>
              <w:rPr>
                <w:rFonts w:eastAsia="SimSun"/>
              </w:rPr>
            </w:pPr>
            <w:r w:rsidRPr="00AC3044">
              <w:rPr>
                <w:rFonts w:eastAsia="SimSun"/>
              </w:rPr>
              <w:t>Порядок введения</w:t>
            </w:r>
          </w:p>
        </w:tc>
      </w:tr>
      <w:tr w:rsidR="00304132" w:rsidRPr="00AC3044" w14:paraId="7CAB3EAE" w14:textId="77777777" w:rsidTr="00CD5E09">
        <w:trPr>
          <w:cantSplit/>
          <w:trHeight w:val="1831"/>
        </w:trPr>
        <w:tc>
          <w:tcPr>
            <w:tcW w:w="709" w:type="dxa"/>
            <w:textDirection w:val="btLr"/>
            <w:vAlign w:val="center"/>
          </w:tcPr>
          <w:p w14:paraId="093FF206" w14:textId="77777777" w:rsidR="00304132" w:rsidRPr="00AC3044" w:rsidRDefault="00304132" w:rsidP="00657BC2">
            <w:pPr>
              <w:rPr>
                <w:rFonts w:eastAsia="SimSun"/>
              </w:rPr>
            </w:pPr>
            <w:r w:rsidRPr="00AC3044">
              <w:rPr>
                <w:rFonts w:eastAsia="SimSun"/>
              </w:rPr>
              <w:t>Кондиционирование</w:t>
            </w:r>
          </w:p>
        </w:tc>
        <w:tc>
          <w:tcPr>
            <w:tcW w:w="9781" w:type="dxa"/>
            <w:gridSpan w:val="5"/>
            <w:vAlign w:val="center"/>
          </w:tcPr>
          <w:p w14:paraId="753490FD" w14:textId="77777777" w:rsidR="00304132" w:rsidRPr="00AC3044" w:rsidRDefault="00304132" w:rsidP="00657BC2">
            <w:pPr>
              <w:rPr>
                <w:rFonts w:eastAsia="SimSun"/>
              </w:rPr>
            </w:pPr>
            <w:r w:rsidRPr="00AC3044">
              <w:rPr>
                <w:rFonts w:eastAsia="SimSun"/>
              </w:rPr>
              <w:t>Без предварительного кондиционирования</w:t>
            </w:r>
          </w:p>
        </w:tc>
      </w:tr>
      <w:tr w:rsidR="00304132" w:rsidRPr="00AC3044" w14:paraId="498D5C00" w14:textId="77777777" w:rsidTr="00CD5E09">
        <w:trPr>
          <w:cantSplit/>
          <w:trHeight w:val="1688"/>
        </w:trPr>
        <w:tc>
          <w:tcPr>
            <w:tcW w:w="709" w:type="dxa"/>
            <w:vMerge w:val="restart"/>
            <w:textDirection w:val="btLr"/>
            <w:vAlign w:val="center"/>
          </w:tcPr>
          <w:p w14:paraId="50909451" w14:textId="77777777" w:rsidR="00304132" w:rsidRPr="00AC3044" w:rsidRDefault="00304132" w:rsidP="00657BC2">
            <w:pPr>
              <w:rPr>
                <w:rFonts w:eastAsia="SimSun"/>
              </w:rPr>
            </w:pPr>
            <w:r w:rsidRPr="00AC3044">
              <w:rPr>
                <w:rFonts w:eastAsia="SimSun"/>
              </w:rPr>
              <w:t>Профилактика РТПХ</w:t>
            </w:r>
          </w:p>
        </w:tc>
        <w:tc>
          <w:tcPr>
            <w:tcW w:w="1843" w:type="dxa"/>
            <w:vAlign w:val="center"/>
          </w:tcPr>
          <w:p w14:paraId="5596D20C" w14:textId="77777777" w:rsidR="00304132" w:rsidRPr="00AC3044" w:rsidRDefault="00304132" w:rsidP="00657BC2">
            <w:pPr>
              <w:rPr>
                <w:rFonts w:eastAsia="SimSun"/>
              </w:rPr>
            </w:pPr>
            <w:r w:rsidRPr="00AC3044">
              <w:rPr>
                <w:rFonts w:eastAsia="SimSun"/>
              </w:rPr>
              <w:t>Циклоспорин</w:t>
            </w:r>
          </w:p>
        </w:tc>
        <w:tc>
          <w:tcPr>
            <w:tcW w:w="1843" w:type="dxa"/>
            <w:vAlign w:val="center"/>
          </w:tcPr>
          <w:p w14:paraId="16050269" w14:textId="77777777" w:rsidR="00304132" w:rsidRPr="00AC3044" w:rsidRDefault="00304132" w:rsidP="00657BC2">
            <w:pPr>
              <w:rPr>
                <w:rFonts w:eastAsia="SimSun"/>
              </w:rPr>
            </w:pPr>
            <w:r w:rsidRPr="00AC3044">
              <w:rPr>
                <w:rFonts w:eastAsia="SimSun"/>
              </w:rPr>
              <w:t>3 мг/кг</w:t>
            </w:r>
          </w:p>
        </w:tc>
        <w:tc>
          <w:tcPr>
            <w:tcW w:w="1417" w:type="dxa"/>
            <w:vAlign w:val="center"/>
          </w:tcPr>
          <w:p w14:paraId="593A26C6" w14:textId="77777777" w:rsidR="00304132" w:rsidRPr="00AC3044" w:rsidRDefault="00304132" w:rsidP="00657BC2">
            <w:pPr>
              <w:rPr>
                <w:rFonts w:eastAsia="SimSun"/>
              </w:rPr>
            </w:pPr>
            <w:r w:rsidRPr="00AC3044">
              <w:rPr>
                <w:rFonts w:eastAsia="SimSun"/>
              </w:rPr>
              <w:t>–</w:t>
            </w:r>
          </w:p>
        </w:tc>
        <w:tc>
          <w:tcPr>
            <w:tcW w:w="1843" w:type="dxa"/>
            <w:vAlign w:val="center"/>
          </w:tcPr>
          <w:p w14:paraId="26EE4F5A" w14:textId="77777777" w:rsidR="00304132" w:rsidRPr="00AC3044" w:rsidRDefault="00304132" w:rsidP="00657BC2">
            <w:pPr>
              <w:rPr>
                <w:rFonts w:eastAsia="SimSun"/>
              </w:rPr>
            </w:pPr>
            <w:r w:rsidRPr="00AC3044">
              <w:rPr>
                <w:rFonts w:eastAsia="SimSun"/>
              </w:rPr>
              <w:t>С +5 дня по +90 день затем постепенное снижение к +180 дню</w:t>
            </w:r>
          </w:p>
        </w:tc>
        <w:tc>
          <w:tcPr>
            <w:tcW w:w="2835" w:type="dxa"/>
            <w:vAlign w:val="center"/>
          </w:tcPr>
          <w:p w14:paraId="1F66E5DF" w14:textId="1786D795" w:rsidR="00304132" w:rsidRPr="00AC3044" w:rsidRDefault="00304132" w:rsidP="00657BC2">
            <w:pPr>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sidR="00657BC2">
              <w:rPr>
                <w:rFonts w:eastAsia="SimSun"/>
                <w:lang w:val="en-US"/>
              </w:rPr>
              <w:t>x</w:t>
            </w:r>
            <w:r w:rsidRPr="00AC3044">
              <w:rPr>
                <w:rFonts w:eastAsia="SimSun"/>
              </w:rPr>
              <w:t xml:space="preserve"> 10</w:t>
            </w:r>
            <w:r w:rsidRPr="00657BC2">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304132" w:rsidRPr="00AC3044" w14:paraId="38C913D2" w14:textId="77777777" w:rsidTr="00CD5E09">
        <w:trPr>
          <w:cantSplit/>
          <w:trHeight w:val="20"/>
        </w:trPr>
        <w:tc>
          <w:tcPr>
            <w:tcW w:w="709" w:type="dxa"/>
            <w:vMerge/>
            <w:textDirection w:val="btLr"/>
          </w:tcPr>
          <w:p w14:paraId="4F0F4A7C" w14:textId="77777777" w:rsidR="00304132" w:rsidRPr="00AC3044" w:rsidRDefault="00304132" w:rsidP="00657BC2">
            <w:pPr>
              <w:rPr>
                <w:rFonts w:eastAsia="SimSun"/>
              </w:rPr>
            </w:pPr>
          </w:p>
        </w:tc>
        <w:tc>
          <w:tcPr>
            <w:tcW w:w="1843" w:type="dxa"/>
            <w:vAlign w:val="center"/>
          </w:tcPr>
          <w:p w14:paraId="18A952C3" w14:textId="77777777" w:rsidR="00304132" w:rsidRPr="00AC3044" w:rsidRDefault="00304132" w:rsidP="00657BC2">
            <w:pPr>
              <w:rPr>
                <w:rFonts w:eastAsia="SimSun"/>
              </w:rPr>
            </w:pPr>
            <w:r w:rsidRPr="00AC3044">
              <w:rPr>
                <w:rFonts w:eastAsia="SimSun"/>
              </w:rPr>
              <w:t>Микофенолата мофетил</w:t>
            </w:r>
          </w:p>
        </w:tc>
        <w:tc>
          <w:tcPr>
            <w:tcW w:w="1843" w:type="dxa"/>
            <w:vAlign w:val="center"/>
          </w:tcPr>
          <w:p w14:paraId="32D8C2E8" w14:textId="77777777" w:rsidR="00304132" w:rsidRPr="00AC3044" w:rsidRDefault="00304132" w:rsidP="00657BC2">
            <w:pPr>
              <w:rPr>
                <w:rFonts w:eastAsia="SimSun"/>
              </w:rPr>
            </w:pPr>
            <w:r w:rsidRPr="00AC3044">
              <w:rPr>
                <w:rFonts w:eastAsia="SimSun"/>
              </w:rPr>
              <w:t>30 мг/кг</w:t>
            </w:r>
          </w:p>
        </w:tc>
        <w:tc>
          <w:tcPr>
            <w:tcW w:w="1417" w:type="dxa"/>
            <w:vAlign w:val="center"/>
          </w:tcPr>
          <w:p w14:paraId="40B9FD5F" w14:textId="77777777" w:rsidR="00304132" w:rsidRPr="00AC3044" w:rsidRDefault="00304132" w:rsidP="00657BC2">
            <w:pPr>
              <w:rPr>
                <w:rFonts w:eastAsia="SimSun"/>
              </w:rPr>
            </w:pPr>
            <w:r w:rsidRPr="00AC3044">
              <w:rPr>
                <w:rFonts w:eastAsia="SimSun"/>
              </w:rPr>
              <w:t>–</w:t>
            </w:r>
          </w:p>
        </w:tc>
        <w:tc>
          <w:tcPr>
            <w:tcW w:w="1843" w:type="dxa"/>
            <w:vAlign w:val="center"/>
          </w:tcPr>
          <w:p w14:paraId="3A39FD1B" w14:textId="77777777" w:rsidR="00304132" w:rsidRPr="00AC3044" w:rsidRDefault="00304132" w:rsidP="00657BC2">
            <w:pPr>
              <w:rPr>
                <w:rFonts w:eastAsia="SimSun"/>
              </w:rPr>
            </w:pPr>
            <w:r w:rsidRPr="00AC3044">
              <w:rPr>
                <w:rFonts w:eastAsia="SimSun"/>
              </w:rPr>
              <w:t>С +5 по +90 день</w:t>
            </w:r>
          </w:p>
        </w:tc>
        <w:tc>
          <w:tcPr>
            <w:tcW w:w="2835" w:type="dxa"/>
            <w:vAlign w:val="center"/>
          </w:tcPr>
          <w:p w14:paraId="5DAFB53F" w14:textId="77777777" w:rsidR="00304132" w:rsidRPr="00AC3044" w:rsidRDefault="00304132" w:rsidP="00657BC2">
            <w:pPr>
              <w:rPr>
                <w:rFonts w:eastAsia="SimSun"/>
              </w:rPr>
            </w:pPr>
            <w:r w:rsidRPr="00AC3044">
              <w:rPr>
                <w:rFonts w:eastAsia="SimSun"/>
              </w:rPr>
              <w:t xml:space="preserve">Внутрь, суммарная суточная доза разделяется на 2- 4 приема (не более 3г/сут).  </w:t>
            </w:r>
          </w:p>
        </w:tc>
      </w:tr>
      <w:tr w:rsidR="00304132" w:rsidRPr="00AC3044" w14:paraId="5EAF3D19" w14:textId="77777777" w:rsidTr="00CD5E09">
        <w:trPr>
          <w:cantSplit/>
          <w:trHeight w:val="1797"/>
        </w:trPr>
        <w:tc>
          <w:tcPr>
            <w:tcW w:w="709" w:type="dxa"/>
            <w:textDirection w:val="btLr"/>
            <w:vAlign w:val="center"/>
          </w:tcPr>
          <w:p w14:paraId="150A2247" w14:textId="77777777" w:rsidR="00304132" w:rsidRPr="00AC3044" w:rsidRDefault="00304132" w:rsidP="00657BC2">
            <w:pPr>
              <w:rPr>
                <w:rFonts w:eastAsia="SimSun"/>
              </w:rPr>
            </w:pPr>
            <w:r w:rsidRPr="00AC3044">
              <w:rPr>
                <w:rFonts w:eastAsia="SimSun"/>
              </w:rPr>
              <w:t>Ex vivo манипуляция  с трансплантатом</w:t>
            </w:r>
          </w:p>
        </w:tc>
        <w:tc>
          <w:tcPr>
            <w:tcW w:w="1843" w:type="dxa"/>
            <w:vAlign w:val="center"/>
          </w:tcPr>
          <w:p w14:paraId="40D1C01B" w14:textId="77777777" w:rsidR="00304132" w:rsidRPr="00AC3044" w:rsidRDefault="00304132" w:rsidP="00657BC2">
            <w:pPr>
              <w:rPr>
                <w:rFonts w:eastAsia="SimSun"/>
              </w:rPr>
            </w:pPr>
            <w:r w:rsidRPr="00AC3044">
              <w:rPr>
                <w:rFonts w:eastAsia="SimSun"/>
              </w:rPr>
              <w:t>CD34+ селекция (A18.05.017.004)</w:t>
            </w:r>
          </w:p>
        </w:tc>
        <w:tc>
          <w:tcPr>
            <w:tcW w:w="1843" w:type="dxa"/>
            <w:vAlign w:val="center"/>
          </w:tcPr>
          <w:p w14:paraId="49C39C22" w14:textId="77777777" w:rsidR="00304132" w:rsidRPr="00AC3044" w:rsidRDefault="00304132" w:rsidP="00657BC2">
            <w:pPr>
              <w:rPr>
                <w:rFonts w:eastAsia="SimSun"/>
              </w:rPr>
            </w:pPr>
            <w:r w:rsidRPr="00AC3044">
              <w:rPr>
                <w:rFonts w:eastAsia="SimSun"/>
              </w:rPr>
              <w:t>–</w:t>
            </w:r>
          </w:p>
        </w:tc>
        <w:tc>
          <w:tcPr>
            <w:tcW w:w="1417" w:type="dxa"/>
            <w:vAlign w:val="center"/>
          </w:tcPr>
          <w:p w14:paraId="70499366" w14:textId="77777777" w:rsidR="00304132" w:rsidRPr="00AC3044" w:rsidRDefault="00304132" w:rsidP="00657BC2">
            <w:pPr>
              <w:rPr>
                <w:rFonts w:eastAsia="SimSun"/>
              </w:rPr>
            </w:pPr>
            <w:r w:rsidRPr="00AC3044">
              <w:rPr>
                <w:rFonts w:eastAsia="SimSun"/>
              </w:rPr>
              <w:t>–</w:t>
            </w:r>
          </w:p>
        </w:tc>
        <w:tc>
          <w:tcPr>
            <w:tcW w:w="1843" w:type="dxa"/>
            <w:vAlign w:val="center"/>
          </w:tcPr>
          <w:p w14:paraId="51A8A218" w14:textId="77777777" w:rsidR="00304132" w:rsidRPr="00AC3044" w:rsidRDefault="00304132" w:rsidP="00657BC2">
            <w:pPr>
              <w:rPr>
                <w:rFonts w:eastAsia="SimSun"/>
              </w:rPr>
            </w:pPr>
            <w:r w:rsidRPr="00AC3044">
              <w:rPr>
                <w:rFonts w:eastAsia="SimSun"/>
              </w:rPr>
              <w:t>0</w:t>
            </w:r>
          </w:p>
        </w:tc>
        <w:tc>
          <w:tcPr>
            <w:tcW w:w="2835" w:type="dxa"/>
            <w:vAlign w:val="center"/>
          </w:tcPr>
          <w:p w14:paraId="4D5F5E3E" w14:textId="77777777" w:rsidR="00304132" w:rsidRPr="00AC3044" w:rsidRDefault="00304132" w:rsidP="00657BC2">
            <w:pPr>
              <w:rPr>
                <w:rFonts w:eastAsia="SimSun"/>
              </w:rPr>
            </w:pPr>
            <w:r w:rsidRPr="00AC3044">
              <w:rPr>
                <w:rFonts w:eastAsia="SimSun"/>
              </w:rPr>
              <w:t>–</w:t>
            </w:r>
          </w:p>
        </w:tc>
      </w:tr>
      <w:tr w:rsidR="00304132" w:rsidRPr="00AC3044" w14:paraId="65A6A6C1" w14:textId="77777777" w:rsidTr="00CD5E09">
        <w:trPr>
          <w:cantSplit/>
          <w:trHeight w:val="1420"/>
        </w:trPr>
        <w:tc>
          <w:tcPr>
            <w:tcW w:w="709" w:type="dxa"/>
            <w:textDirection w:val="btLr"/>
            <w:vAlign w:val="center"/>
          </w:tcPr>
          <w:p w14:paraId="03C7DA5A" w14:textId="77777777" w:rsidR="00304132" w:rsidRPr="00AC3044" w:rsidRDefault="00304132" w:rsidP="00657BC2">
            <w:pPr>
              <w:rPr>
                <w:rFonts w:eastAsia="SimSun"/>
              </w:rPr>
            </w:pPr>
            <w:r w:rsidRPr="00AC3044">
              <w:rPr>
                <w:rFonts w:eastAsia="SimSun"/>
              </w:rPr>
              <w:lastRenderedPageBreak/>
              <w:t>Сопроводительная терапия</w:t>
            </w:r>
          </w:p>
        </w:tc>
        <w:tc>
          <w:tcPr>
            <w:tcW w:w="1843" w:type="dxa"/>
            <w:vAlign w:val="center"/>
          </w:tcPr>
          <w:p w14:paraId="2510623F" w14:textId="77777777" w:rsidR="00304132" w:rsidRPr="00AC3044" w:rsidRDefault="00304132" w:rsidP="00657BC2">
            <w:pPr>
              <w:rPr>
                <w:rFonts w:eastAsia="SimSun"/>
              </w:rPr>
            </w:pPr>
            <w:r w:rsidRPr="00AC3044">
              <w:rPr>
                <w:rFonts w:eastAsia="SimSun"/>
              </w:rPr>
              <w:t>Урсодезоксихолевая кислота</w:t>
            </w:r>
          </w:p>
        </w:tc>
        <w:tc>
          <w:tcPr>
            <w:tcW w:w="1843" w:type="dxa"/>
            <w:vAlign w:val="center"/>
          </w:tcPr>
          <w:p w14:paraId="0095E388" w14:textId="77777777" w:rsidR="00304132" w:rsidRPr="00AC3044" w:rsidRDefault="00304132" w:rsidP="00657BC2">
            <w:pPr>
              <w:rPr>
                <w:rFonts w:eastAsia="SimSun"/>
              </w:rPr>
            </w:pPr>
            <w:r w:rsidRPr="00AC3044">
              <w:rPr>
                <w:rFonts w:eastAsia="SimSun"/>
              </w:rPr>
              <w:t>12 мг/кг</w:t>
            </w:r>
          </w:p>
        </w:tc>
        <w:tc>
          <w:tcPr>
            <w:tcW w:w="1417" w:type="dxa"/>
            <w:vAlign w:val="center"/>
          </w:tcPr>
          <w:p w14:paraId="11468751" w14:textId="77777777" w:rsidR="00304132" w:rsidRPr="00AC3044" w:rsidRDefault="00304132" w:rsidP="00657BC2">
            <w:pPr>
              <w:rPr>
                <w:rFonts w:eastAsia="SimSun"/>
              </w:rPr>
            </w:pPr>
            <w:r w:rsidRPr="00AC3044">
              <w:rPr>
                <w:rFonts w:eastAsia="SimSun"/>
              </w:rPr>
              <w:t>–</w:t>
            </w:r>
          </w:p>
        </w:tc>
        <w:tc>
          <w:tcPr>
            <w:tcW w:w="1843" w:type="dxa"/>
            <w:vAlign w:val="center"/>
          </w:tcPr>
          <w:p w14:paraId="59C1D6AA" w14:textId="77777777" w:rsidR="00304132" w:rsidRPr="00AC3044" w:rsidRDefault="00304132" w:rsidP="00657BC2">
            <w:pPr>
              <w:rPr>
                <w:rFonts w:eastAsia="SimSun"/>
              </w:rPr>
            </w:pPr>
            <w:r w:rsidRPr="00AC3044">
              <w:rPr>
                <w:rFonts w:eastAsia="SimSun"/>
              </w:rPr>
              <w:t>С 0 по +180 день</w:t>
            </w:r>
          </w:p>
        </w:tc>
        <w:tc>
          <w:tcPr>
            <w:tcW w:w="2835" w:type="dxa"/>
            <w:vAlign w:val="center"/>
          </w:tcPr>
          <w:p w14:paraId="7C550B7D" w14:textId="77777777" w:rsidR="00304132" w:rsidRPr="00AC3044" w:rsidRDefault="00304132" w:rsidP="00657BC2">
            <w:pPr>
              <w:rPr>
                <w:rFonts w:eastAsia="SimSun"/>
              </w:rPr>
            </w:pPr>
            <w:r w:rsidRPr="00AC3044">
              <w:rPr>
                <w:rFonts w:eastAsia="SimSun"/>
              </w:rPr>
              <w:t>Внутрь, суточная доза разделяется на 1–2 приема (вечер или день и вечер)</w:t>
            </w:r>
          </w:p>
        </w:tc>
      </w:tr>
    </w:tbl>
    <w:p w14:paraId="5AF78EDF" w14:textId="77777777" w:rsidR="004A5D94" w:rsidRDefault="004A5D94" w:rsidP="00304132">
      <w:pPr>
        <w:rPr>
          <w:rFonts w:eastAsia="SimSun"/>
        </w:rPr>
      </w:pPr>
      <w:bookmarkStart w:id="385" w:name="_Toc44401247"/>
    </w:p>
    <w:p w14:paraId="322E56B7" w14:textId="2DECDF9D" w:rsidR="00304132" w:rsidRPr="004A5D94" w:rsidRDefault="004A5D94" w:rsidP="00304132">
      <w:pPr>
        <w:rPr>
          <w:rFonts w:eastAsia="SimSun"/>
          <w:b/>
          <w:bCs/>
        </w:rPr>
      </w:pPr>
      <w:r w:rsidRPr="004A5D94">
        <w:rPr>
          <w:rFonts w:eastAsia="SimSun"/>
          <w:b/>
          <w:bCs/>
        </w:rPr>
        <w:t xml:space="preserve">6. </w:t>
      </w:r>
      <w:r w:rsidR="00304132" w:rsidRPr="004A5D94">
        <w:rPr>
          <w:rFonts w:eastAsia="SimSun"/>
          <w:b/>
          <w:bCs/>
        </w:rPr>
        <w:t>Сопроводительная терапия</w:t>
      </w:r>
      <w:bookmarkEnd w:id="385"/>
    </w:p>
    <w:p w14:paraId="36C1837F" w14:textId="77777777" w:rsidR="00304132" w:rsidRDefault="00304132" w:rsidP="00304132">
      <w:pPr>
        <w:rPr>
          <w:rFonts w:eastAsia="SimSun"/>
        </w:rPr>
      </w:pPr>
      <w:bookmarkStart w:id="386" w:name="_Toc44401249"/>
    </w:p>
    <w:bookmarkEnd w:id="386"/>
    <w:p w14:paraId="38DE70E2" w14:textId="73B7CF0D" w:rsidR="00304132" w:rsidRPr="00C07B2E" w:rsidRDefault="00304132" w:rsidP="00304132">
      <w:pPr>
        <w:rPr>
          <w:rFonts w:eastAsia="SimSun"/>
        </w:rPr>
      </w:pPr>
      <w:r w:rsidRPr="00C07B2E">
        <w:rPr>
          <w:rFonts w:eastAsia="SimSun"/>
        </w:rPr>
        <w:t xml:space="preserve">Основные препараты для сопроводительной терапии и их варианты применения указаны в </w:t>
      </w:r>
      <w:r>
        <w:rPr>
          <w:rFonts w:eastAsia="SimSun"/>
        </w:rPr>
        <w:t>Таблице</w:t>
      </w:r>
      <w:r w:rsidRPr="00C07B2E">
        <w:rPr>
          <w:rFonts w:eastAsia="SimSun"/>
        </w:rPr>
        <w:t xml:space="preserve"> </w:t>
      </w:r>
      <w:r>
        <w:rPr>
          <w:rFonts w:eastAsia="SimSun"/>
        </w:rPr>
        <w:t>6</w:t>
      </w:r>
      <w:r w:rsidRPr="00C07B2E">
        <w:rPr>
          <w:rFonts w:eastAsia="SimSun"/>
        </w:rPr>
        <w:t>.1. Допускается использование как отдельных вариантов</w:t>
      </w:r>
      <w:r w:rsidR="002E6003">
        <w:rPr>
          <w:rFonts w:eastAsia="SimSun"/>
        </w:rPr>
        <w:t>,</w:t>
      </w:r>
      <w:r w:rsidRPr="00C07B2E">
        <w:rPr>
          <w:rFonts w:eastAsia="SimSun"/>
        </w:rPr>
        <w:t xml:space="preserve"> так и их комбинаций.</w:t>
      </w:r>
    </w:p>
    <w:p w14:paraId="489D6E76" w14:textId="77777777" w:rsidR="00304132" w:rsidRPr="00C07B2E" w:rsidRDefault="00304132" w:rsidP="00304132">
      <w:pPr>
        <w:rPr>
          <w:rFonts w:eastAsia="SimSun"/>
        </w:rPr>
      </w:pPr>
    </w:p>
    <w:p w14:paraId="5AA36EF8" w14:textId="77777777" w:rsidR="00304132" w:rsidRPr="000F445E" w:rsidRDefault="00304132" w:rsidP="00304132">
      <w:pPr>
        <w:rPr>
          <w:rFonts w:eastAsia="SimSun"/>
        </w:rPr>
      </w:pPr>
      <w:bookmarkStart w:id="387" w:name="_Toc44401250"/>
      <w:r w:rsidRPr="000F445E">
        <w:rPr>
          <w:rFonts w:eastAsia="SimSun"/>
        </w:rPr>
        <w:t xml:space="preserve">Таблица </w:t>
      </w:r>
      <w:r>
        <w:rPr>
          <w:rFonts w:eastAsia="SimSun"/>
        </w:rPr>
        <w:t>6</w:t>
      </w:r>
      <w:r w:rsidRPr="000F445E">
        <w:rPr>
          <w:rFonts w:eastAsia="SimSun"/>
        </w:rPr>
        <w:t>.1 Основные препараты для сопроводительной терапии и их варианты применения</w:t>
      </w:r>
      <w:bookmarkEnd w:id="387"/>
    </w:p>
    <w:p w14:paraId="4AE51295" w14:textId="77777777" w:rsidR="00304132" w:rsidRPr="00C07B2E" w:rsidRDefault="00304132" w:rsidP="00304132">
      <w:pPr>
        <w:rPr>
          <w:rFonts w:eastAsia="SimSu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18"/>
        <w:gridCol w:w="1953"/>
        <w:gridCol w:w="1350"/>
        <w:gridCol w:w="1002"/>
        <w:gridCol w:w="2428"/>
        <w:gridCol w:w="1697"/>
      </w:tblGrid>
      <w:tr w:rsidR="00304132" w:rsidRPr="00AC3044" w14:paraId="5D7EAADC" w14:textId="77777777" w:rsidTr="00CD5E09">
        <w:trPr>
          <w:cantSplit/>
          <w:trHeight w:val="464"/>
        </w:trPr>
        <w:tc>
          <w:tcPr>
            <w:tcW w:w="168" w:type="pct"/>
            <w:tcBorders>
              <w:top w:val="single" w:sz="4" w:space="0" w:color="auto"/>
              <w:left w:val="single" w:sz="4" w:space="0" w:color="auto"/>
              <w:bottom w:val="single" w:sz="4" w:space="0" w:color="auto"/>
              <w:right w:val="single" w:sz="4" w:space="0" w:color="auto"/>
            </w:tcBorders>
            <w:vAlign w:val="center"/>
          </w:tcPr>
          <w:p w14:paraId="5106CCF2" w14:textId="77777777" w:rsidR="00304132" w:rsidRPr="00AC3044" w:rsidRDefault="00304132" w:rsidP="00CD5E09">
            <w:pPr>
              <w:rPr>
                <w:rFonts w:eastAsia="SimSun"/>
              </w:rPr>
            </w:pPr>
            <w:r w:rsidRPr="00AC3044">
              <w:rPr>
                <w:rFonts w:eastAsia="SimSun"/>
              </w:rPr>
              <w:t>Вариант</w:t>
            </w:r>
          </w:p>
        </w:tc>
        <w:tc>
          <w:tcPr>
            <w:tcW w:w="1133" w:type="pct"/>
            <w:tcBorders>
              <w:top w:val="single" w:sz="4" w:space="0" w:color="auto"/>
              <w:left w:val="single" w:sz="4" w:space="0" w:color="auto"/>
              <w:bottom w:val="single" w:sz="4" w:space="0" w:color="auto"/>
              <w:right w:val="single" w:sz="4" w:space="0" w:color="auto"/>
            </w:tcBorders>
            <w:vAlign w:val="center"/>
          </w:tcPr>
          <w:p w14:paraId="0CF1528F" w14:textId="77777777" w:rsidR="00304132" w:rsidRPr="00AC3044" w:rsidRDefault="00304132" w:rsidP="00CD5E09">
            <w:pPr>
              <w:rPr>
                <w:rFonts w:eastAsia="SimSun"/>
              </w:rPr>
            </w:pPr>
            <w:r w:rsidRPr="00AC3044">
              <w:rPr>
                <w:rFonts w:eastAsia="SimSun"/>
              </w:rPr>
              <w:t>Препарат</w:t>
            </w:r>
          </w:p>
        </w:tc>
        <w:tc>
          <w:tcPr>
            <w:tcW w:w="614" w:type="pct"/>
            <w:tcBorders>
              <w:top w:val="single" w:sz="4" w:space="0" w:color="auto"/>
              <w:left w:val="single" w:sz="4" w:space="0" w:color="auto"/>
              <w:bottom w:val="single" w:sz="4" w:space="0" w:color="auto"/>
              <w:right w:val="single" w:sz="4" w:space="0" w:color="auto"/>
            </w:tcBorders>
            <w:vAlign w:val="center"/>
          </w:tcPr>
          <w:p w14:paraId="20F8E7FB" w14:textId="77777777" w:rsidR="00304132" w:rsidRPr="00AC3044" w:rsidRDefault="00304132" w:rsidP="00CD5E09">
            <w:pPr>
              <w:rPr>
                <w:rFonts w:eastAsia="SimSun"/>
              </w:rPr>
            </w:pPr>
            <w:r w:rsidRPr="00AC3044">
              <w:rPr>
                <w:rFonts w:eastAsia="SimSun"/>
              </w:rPr>
              <w:t>Суточная доза</w:t>
            </w:r>
          </w:p>
        </w:tc>
        <w:tc>
          <w:tcPr>
            <w:tcW w:w="486" w:type="pct"/>
            <w:tcBorders>
              <w:top w:val="single" w:sz="4" w:space="0" w:color="auto"/>
              <w:left w:val="single" w:sz="4" w:space="0" w:color="auto"/>
              <w:bottom w:val="single" w:sz="4" w:space="0" w:color="auto"/>
              <w:right w:val="single" w:sz="4" w:space="0" w:color="auto"/>
            </w:tcBorders>
            <w:vAlign w:val="center"/>
          </w:tcPr>
          <w:p w14:paraId="07E84C39" w14:textId="77777777" w:rsidR="00304132" w:rsidRPr="00AC3044" w:rsidRDefault="00304132" w:rsidP="00CD5E09">
            <w:pPr>
              <w:rPr>
                <w:rFonts w:eastAsia="SimSun"/>
              </w:rPr>
            </w:pPr>
            <w:r w:rsidRPr="00AC3044">
              <w:rPr>
                <w:rFonts w:eastAsia="SimSun"/>
              </w:rPr>
              <w:t>Курсовая доза</w:t>
            </w:r>
          </w:p>
        </w:tc>
        <w:tc>
          <w:tcPr>
            <w:tcW w:w="1370" w:type="pct"/>
            <w:tcBorders>
              <w:top w:val="single" w:sz="4" w:space="0" w:color="auto"/>
              <w:left w:val="single" w:sz="4" w:space="0" w:color="auto"/>
              <w:bottom w:val="single" w:sz="4" w:space="0" w:color="auto"/>
              <w:right w:val="single" w:sz="4" w:space="0" w:color="auto"/>
            </w:tcBorders>
            <w:vAlign w:val="center"/>
          </w:tcPr>
          <w:p w14:paraId="75C0D77B" w14:textId="77777777" w:rsidR="00304132" w:rsidRPr="00AC3044" w:rsidRDefault="00304132" w:rsidP="00CD5E09">
            <w:pPr>
              <w:rPr>
                <w:rFonts w:eastAsia="SimSun"/>
              </w:rPr>
            </w:pPr>
            <w:r w:rsidRPr="00AC3044">
              <w:rPr>
                <w:rFonts w:eastAsia="SimSun"/>
              </w:rPr>
              <w:t>Дни введения</w:t>
            </w:r>
          </w:p>
        </w:tc>
        <w:tc>
          <w:tcPr>
            <w:tcW w:w="1229" w:type="pct"/>
            <w:tcBorders>
              <w:top w:val="single" w:sz="4" w:space="0" w:color="auto"/>
              <w:left w:val="single" w:sz="4" w:space="0" w:color="auto"/>
              <w:bottom w:val="single" w:sz="4" w:space="0" w:color="auto"/>
              <w:right w:val="single" w:sz="4" w:space="0" w:color="auto"/>
            </w:tcBorders>
            <w:vAlign w:val="center"/>
          </w:tcPr>
          <w:p w14:paraId="02179368" w14:textId="77777777" w:rsidR="00304132" w:rsidRPr="00AC3044" w:rsidRDefault="00304132" w:rsidP="00CD5E09">
            <w:pPr>
              <w:rPr>
                <w:rFonts w:eastAsia="SimSun"/>
              </w:rPr>
            </w:pPr>
            <w:r w:rsidRPr="00AC3044">
              <w:rPr>
                <w:rFonts w:eastAsia="SimSun"/>
              </w:rPr>
              <w:t>Порядок введения</w:t>
            </w:r>
          </w:p>
        </w:tc>
      </w:tr>
      <w:tr w:rsidR="00304132" w:rsidRPr="00AC3044" w14:paraId="0DDDF993" w14:textId="77777777" w:rsidTr="00CD5E09">
        <w:trPr>
          <w:cantSplit/>
          <w:trHeight w:val="464"/>
        </w:trPr>
        <w:tc>
          <w:tcPr>
            <w:tcW w:w="5000" w:type="pct"/>
            <w:gridSpan w:val="6"/>
          </w:tcPr>
          <w:p w14:paraId="5F6DAEF6" w14:textId="77777777" w:rsidR="00304132" w:rsidRPr="00AC3044" w:rsidRDefault="00304132" w:rsidP="00CD5E09">
            <w:pPr>
              <w:rPr>
                <w:rFonts w:eastAsia="SimSun"/>
              </w:rPr>
            </w:pPr>
            <w:r w:rsidRPr="00AC3044">
              <w:rPr>
                <w:rFonts w:eastAsia="SimSun"/>
              </w:rPr>
              <w:t>Инфузионная терапия</w:t>
            </w:r>
          </w:p>
        </w:tc>
      </w:tr>
      <w:tr w:rsidR="00304132" w:rsidRPr="00AC3044" w14:paraId="71F27210" w14:textId="77777777" w:rsidTr="00CD5E09">
        <w:trPr>
          <w:cantSplit/>
          <w:trHeight w:val="464"/>
        </w:trPr>
        <w:tc>
          <w:tcPr>
            <w:tcW w:w="168" w:type="pct"/>
          </w:tcPr>
          <w:p w14:paraId="17BC2697" w14:textId="77777777" w:rsidR="00304132" w:rsidRPr="00AC3044" w:rsidRDefault="00304132" w:rsidP="00CD5E09">
            <w:pPr>
              <w:rPr>
                <w:rFonts w:eastAsia="SimSun"/>
              </w:rPr>
            </w:pPr>
            <w:r w:rsidRPr="00AC3044">
              <w:rPr>
                <w:rFonts w:eastAsia="SimSun"/>
              </w:rPr>
              <w:t>1</w:t>
            </w:r>
          </w:p>
        </w:tc>
        <w:tc>
          <w:tcPr>
            <w:tcW w:w="1133" w:type="pct"/>
            <w:vAlign w:val="center"/>
          </w:tcPr>
          <w:p w14:paraId="28212C73" w14:textId="77777777" w:rsidR="00304132" w:rsidRPr="00AC3044" w:rsidRDefault="00304132" w:rsidP="00CD5E09">
            <w:pPr>
              <w:rPr>
                <w:rFonts w:eastAsia="SimSun"/>
              </w:rPr>
            </w:pPr>
            <w:r w:rsidRPr="00AC3044">
              <w:rPr>
                <w:rFonts w:eastAsia="SimSun"/>
              </w:rPr>
              <w:t xml:space="preserve">Натрия бикарбонат </w:t>
            </w:r>
          </w:p>
        </w:tc>
        <w:tc>
          <w:tcPr>
            <w:tcW w:w="614" w:type="pct"/>
            <w:vAlign w:val="center"/>
          </w:tcPr>
          <w:p w14:paraId="1BB2F718" w14:textId="77777777" w:rsidR="00304132" w:rsidRPr="00AC3044" w:rsidRDefault="00304132" w:rsidP="00CD5E09">
            <w:pPr>
              <w:rPr>
                <w:rFonts w:eastAsia="SimSun"/>
              </w:rPr>
            </w:pPr>
            <w:r w:rsidRPr="00AC3044">
              <w:rPr>
                <w:rFonts w:eastAsia="SimSun"/>
              </w:rPr>
              <w:t>1200 мг/литр инфузионной терапии</w:t>
            </w:r>
          </w:p>
        </w:tc>
        <w:tc>
          <w:tcPr>
            <w:tcW w:w="486" w:type="pct"/>
            <w:vAlign w:val="center"/>
          </w:tcPr>
          <w:p w14:paraId="3BBE19DA" w14:textId="77777777" w:rsidR="00304132" w:rsidRPr="00AC3044" w:rsidRDefault="00304132" w:rsidP="00CD5E09">
            <w:pPr>
              <w:rPr>
                <w:rFonts w:eastAsia="SimSun"/>
              </w:rPr>
            </w:pPr>
            <w:r w:rsidRPr="00AC3044">
              <w:rPr>
                <w:rFonts w:eastAsia="SimSun"/>
              </w:rPr>
              <w:t>–</w:t>
            </w:r>
          </w:p>
        </w:tc>
        <w:tc>
          <w:tcPr>
            <w:tcW w:w="1370" w:type="pct"/>
            <w:vAlign w:val="center"/>
          </w:tcPr>
          <w:p w14:paraId="06F29AA3" w14:textId="77777777" w:rsidR="00304132" w:rsidRPr="00AC3044" w:rsidRDefault="00304132" w:rsidP="00CD5E09">
            <w:pPr>
              <w:rPr>
                <w:rFonts w:eastAsia="SimSun"/>
              </w:rPr>
            </w:pPr>
            <w:r w:rsidRPr="00AC3044">
              <w:rPr>
                <w:rFonts w:eastAsia="SimSun"/>
              </w:rPr>
              <w:t xml:space="preserve">С дня -7 по -2 день </w:t>
            </w:r>
          </w:p>
        </w:tc>
        <w:tc>
          <w:tcPr>
            <w:tcW w:w="1229" w:type="pct"/>
            <w:vAlign w:val="center"/>
          </w:tcPr>
          <w:p w14:paraId="24231BE9" w14:textId="77777777" w:rsidR="00304132" w:rsidRPr="00AC3044" w:rsidRDefault="00304132" w:rsidP="00CD5E09">
            <w:pPr>
              <w:rPr>
                <w:rFonts w:eastAsia="SimSun"/>
              </w:rPr>
            </w:pPr>
            <w:r w:rsidRPr="00AC3044">
              <w:rPr>
                <w:rFonts w:eastAsia="SimSun"/>
              </w:rPr>
              <w:t>В/в инфузия в течение 3 часов, 30 мл 4% р-ра натрия бикарбоната на 1 литр инфузионной терапии сразу после внутривенного введения химиопрепаратов</w:t>
            </w:r>
          </w:p>
        </w:tc>
      </w:tr>
      <w:tr w:rsidR="00304132" w:rsidRPr="00AC3044" w14:paraId="05A3686C" w14:textId="77777777" w:rsidTr="00CD5E09">
        <w:trPr>
          <w:cantSplit/>
          <w:trHeight w:val="464"/>
        </w:trPr>
        <w:tc>
          <w:tcPr>
            <w:tcW w:w="168" w:type="pct"/>
          </w:tcPr>
          <w:p w14:paraId="7D0EC765" w14:textId="77777777" w:rsidR="00304132" w:rsidRPr="00AC3044" w:rsidRDefault="00304132" w:rsidP="00CD5E09">
            <w:pPr>
              <w:rPr>
                <w:rFonts w:eastAsia="SimSun"/>
              </w:rPr>
            </w:pPr>
            <w:r w:rsidRPr="00AC3044">
              <w:rPr>
                <w:rFonts w:eastAsia="SimSun"/>
              </w:rPr>
              <w:t>2</w:t>
            </w:r>
          </w:p>
        </w:tc>
        <w:tc>
          <w:tcPr>
            <w:tcW w:w="1133" w:type="pct"/>
            <w:vAlign w:val="center"/>
          </w:tcPr>
          <w:p w14:paraId="3B046A00" w14:textId="77777777" w:rsidR="00304132" w:rsidRPr="00AC3044" w:rsidRDefault="00304132" w:rsidP="00CD5E09">
            <w:pPr>
              <w:rPr>
                <w:rFonts w:eastAsia="SimSun"/>
              </w:rPr>
            </w:pPr>
            <w:r w:rsidRPr="00AC3044">
              <w:rPr>
                <w:rFonts w:eastAsia="SimSun"/>
              </w:rPr>
              <w:t xml:space="preserve">Раствор 5% глюкозы </w:t>
            </w:r>
          </w:p>
        </w:tc>
        <w:tc>
          <w:tcPr>
            <w:tcW w:w="2470" w:type="pct"/>
            <w:gridSpan w:val="3"/>
            <w:vAlign w:val="center"/>
          </w:tcPr>
          <w:p w14:paraId="336342AA" w14:textId="77777777" w:rsidR="00304132" w:rsidRPr="00AC3044" w:rsidRDefault="00304132" w:rsidP="00CD5E09">
            <w:pPr>
              <w:rPr>
                <w:rFonts w:eastAsia="SimSun"/>
              </w:rPr>
            </w:pPr>
            <w:r w:rsidRPr="00AC3044">
              <w:rPr>
                <w:rFonts w:eastAsia="SimSun"/>
              </w:rPr>
              <w:t>В соответсвии с клинической ситуацией, в среднем 14-52 дня,  в среднем 0,25 – 3 л/м</w:t>
            </w:r>
            <w:r w:rsidRPr="0074195F">
              <w:rPr>
                <w:rFonts w:eastAsia="SimSun"/>
                <w:vertAlign w:val="superscript"/>
              </w:rPr>
              <w:t>2</w:t>
            </w:r>
          </w:p>
        </w:tc>
        <w:tc>
          <w:tcPr>
            <w:tcW w:w="1229" w:type="pct"/>
            <w:vAlign w:val="center"/>
          </w:tcPr>
          <w:p w14:paraId="0201443C" w14:textId="77777777" w:rsidR="00304132" w:rsidRPr="00AC3044" w:rsidRDefault="00304132" w:rsidP="00CD5E09">
            <w:pPr>
              <w:rPr>
                <w:rFonts w:eastAsia="SimSun"/>
              </w:rPr>
            </w:pPr>
            <w:r w:rsidRPr="00AC3044">
              <w:rPr>
                <w:rFonts w:eastAsia="SimSun"/>
              </w:rPr>
              <w:t>В/в инфузия</w:t>
            </w:r>
          </w:p>
        </w:tc>
      </w:tr>
      <w:tr w:rsidR="00304132" w:rsidRPr="00AC3044" w14:paraId="0B1B5566" w14:textId="77777777" w:rsidTr="00CD5E09">
        <w:trPr>
          <w:cantSplit/>
          <w:trHeight w:val="464"/>
        </w:trPr>
        <w:tc>
          <w:tcPr>
            <w:tcW w:w="168" w:type="pct"/>
          </w:tcPr>
          <w:p w14:paraId="68E9BAAC" w14:textId="77777777" w:rsidR="00304132" w:rsidRPr="00AC3044" w:rsidRDefault="00304132" w:rsidP="00CD5E09">
            <w:pPr>
              <w:rPr>
                <w:rFonts w:eastAsia="SimSun"/>
              </w:rPr>
            </w:pPr>
            <w:r w:rsidRPr="00AC3044">
              <w:rPr>
                <w:rFonts w:eastAsia="SimSun"/>
              </w:rPr>
              <w:lastRenderedPageBreak/>
              <w:t>3</w:t>
            </w:r>
          </w:p>
        </w:tc>
        <w:tc>
          <w:tcPr>
            <w:tcW w:w="1133" w:type="pct"/>
            <w:vAlign w:val="center"/>
          </w:tcPr>
          <w:p w14:paraId="69AB353C" w14:textId="77777777" w:rsidR="00304132" w:rsidRPr="00AC3044" w:rsidRDefault="00304132" w:rsidP="00CD5E09">
            <w:pPr>
              <w:rPr>
                <w:rFonts w:eastAsia="SimSun"/>
              </w:rPr>
            </w:pPr>
            <w:r w:rsidRPr="00AC3044">
              <w:rPr>
                <w:rFonts w:eastAsia="SimSun"/>
              </w:rPr>
              <w:t>Раствор хлорида натрия (0,9% NaCl)</w:t>
            </w:r>
          </w:p>
        </w:tc>
        <w:tc>
          <w:tcPr>
            <w:tcW w:w="2470" w:type="pct"/>
            <w:gridSpan w:val="3"/>
            <w:vAlign w:val="center"/>
          </w:tcPr>
          <w:p w14:paraId="68262AC4" w14:textId="77777777" w:rsidR="00304132" w:rsidRPr="00AC3044" w:rsidRDefault="00304132" w:rsidP="00CD5E09">
            <w:pPr>
              <w:rPr>
                <w:rFonts w:eastAsia="SimSun"/>
              </w:rPr>
            </w:pPr>
            <w:r w:rsidRPr="00AC3044">
              <w:rPr>
                <w:rFonts w:eastAsia="SimSun"/>
              </w:rPr>
              <w:t>В соответсвии с клинической ситуацией, в среднем 14-52 дня,  в среднем 0,25 – 3 л/м</w:t>
            </w:r>
            <w:r w:rsidRPr="0074195F">
              <w:rPr>
                <w:rFonts w:eastAsia="SimSun"/>
                <w:vertAlign w:val="superscript"/>
              </w:rPr>
              <w:t>2</w:t>
            </w:r>
          </w:p>
        </w:tc>
        <w:tc>
          <w:tcPr>
            <w:tcW w:w="1229" w:type="pct"/>
            <w:vAlign w:val="center"/>
          </w:tcPr>
          <w:p w14:paraId="1B439798" w14:textId="77777777" w:rsidR="00304132" w:rsidRPr="00AC3044" w:rsidRDefault="00304132" w:rsidP="00CD5E09">
            <w:pPr>
              <w:rPr>
                <w:rFonts w:eastAsia="SimSun"/>
              </w:rPr>
            </w:pPr>
            <w:r w:rsidRPr="00AC3044">
              <w:rPr>
                <w:rFonts w:eastAsia="SimSun"/>
              </w:rPr>
              <w:t>В/в инфузия</w:t>
            </w:r>
          </w:p>
        </w:tc>
      </w:tr>
      <w:tr w:rsidR="00304132" w:rsidRPr="00AC3044" w14:paraId="07FBF72C" w14:textId="77777777" w:rsidTr="00CD5E09">
        <w:trPr>
          <w:cantSplit/>
          <w:trHeight w:val="464"/>
        </w:trPr>
        <w:tc>
          <w:tcPr>
            <w:tcW w:w="168" w:type="pct"/>
          </w:tcPr>
          <w:p w14:paraId="32A7DFDB" w14:textId="77777777" w:rsidR="00304132" w:rsidRPr="00AC3044" w:rsidRDefault="00304132" w:rsidP="00CD5E09">
            <w:pPr>
              <w:rPr>
                <w:rFonts w:eastAsia="SimSun"/>
              </w:rPr>
            </w:pPr>
            <w:r w:rsidRPr="00AC3044">
              <w:rPr>
                <w:rFonts w:eastAsia="SimSun"/>
              </w:rPr>
              <w:t>4</w:t>
            </w:r>
          </w:p>
        </w:tc>
        <w:tc>
          <w:tcPr>
            <w:tcW w:w="1133" w:type="pct"/>
            <w:vAlign w:val="center"/>
          </w:tcPr>
          <w:p w14:paraId="6D439811" w14:textId="77777777" w:rsidR="00304132" w:rsidRPr="00AC3044" w:rsidRDefault="00304132" w:rsidP="00CD5E09">
            <w:pPr>
              <w:rPr>
                <w:rFonts w:eastAsia="SimSun"/>
              </w:rPr>
            </w:pPr>
            <w:r w:rsidRPr="00AC3044">
              <w:rPr>
                <w:rFonts w:eastAsia="SimSun"/>
              </w:rPr>
              <w:t>Раствор Рингера</w:t>
            </w:r>
          </w:p>
        </w:tc>
        <w:tc>
          <w:tcPr>
            <w:tcW w:w="2470" w:type="pct"/>
            <w:gridSpan w:val="3"/>
            <w:vAlign w:val="center"/>
          </w:tcPr>
          <w:p w14:paraId="552DB744" w14:textId="77777777" w:rsidR="00304132" w:rsidRPr="00AC3044" w:rsidRDefault="00304132" w:rsidP="00CD5E09">
            <w:pPr>
              <w:rPr>
                <w:rFonts w:eastAsia="SimSun"/>
              </w:rPr>
            </w:pPr>
            <w:r w:rsidRPr="00AC3044">
              <w:rPr>
                <w:rFonts w:eastAsia="SimSun"/>
              </w:rPr>
              <w:t>В соответсвии с клинической ситуацией, в среднем 14-52 дня,  в среднем 0,25 – 3 л/м</w:t>
            </w:r>
            <w:r w:rsidRPr="0074195F">
              <w:rPr>
                <w:rFonts w:eastAsia="SimSun"/>
                <w:vertAlign w:val="superscript"/>
              </w:rPr>
              <w:t>2</w:t>
            </w:r>
          </w:p>
        </w:tc>
        <w:tc>
          <w:tcPr>
            <w:tcW w:w="1229" w:type="pct"/>
            <w:vAlign w:val="center"/>
          </w:tcPr>
          <w:p w14:paraId="55DC858B" w14:textId="77777777" w:rsidR="00304132" w:rsidRPr="00AC3044" w:rsidRDefault="00304132" w:rsidP="00CD5E09">
            <w:pPr>
              <w:rPr>
                <w:rFonts w:eastAsia="SimSun"/>
              </w:rPr>
            </w:pPr>
            <w:r w:rsidRPr="00AC3044">
              <w:rPr>
                <w:rFonts w:eastAsia="SimSun"/>
              </w:rPr>
              <w:t>В/в инфузия</w:t>
            </w:r>
          </w:p>
        </w:tc>
      </w:tr>
      <w:tr w:rsidR="00304132" w:rsidRPr="00AC3044" w14:paraId="601402F8" w14:textId="77777777" w:rsidTr="00CD5E09">
        <w:trPr>
          <w:cantSplit/>
          <w:trHeight w:val="464"/>
        </w:trPr>
        <w:tc>
          <w:tcPr>
            <w:tcW w:w="168" w:type="pct"/>
          </w:tcPr>
          <w:p w14:paraId="68460602" w14:textId="77777777" w:rsidR="00304132" w:rsidRPr="00AC3044" w:rsidRDefault="00304132" w:rsidP="00CD5E09">
            <w:pPr>
              <w:rPr>
                <w:rFonts w:eastAsia="SimSun"/>
              </w:rPr>
            </w:pPr>
            <w:r w:rsidRPr="00AC3044">
              <w:rPr>
                <w:rFonts w:eastAsia="SimSun"/>
              </w:rPr>
              <w:t>5</w:t>
            </w:r>
          </w:p>
        </w:tc>
        <w:tc>
          <w:tcPr>
            <w:tcW w:w="1133" w:type="pct"/>
            <w:vAlign w:val="center"/>
          </w:tcPr>
          <w:p w14:paraId="61616F50" w14:textId="77777777" w:rsidR="00304132" w:rsidRPr="00AC3044" w:rsidRDefault="00304132" w:rsidP="00CD5E09">
            <w:pPr>
              <w:rPr>
                <w:rFonts w:eastAsia="SimSun"/>
              </w:rPr>
            </w:pPr>
            <w:r w:rsidRPr="00AC3044">
              <w:rPr>
                <w:rFonts w:eastAsia="SimSun"/>
              </w:rPr>
              <w:t>Калия и магния аспарагинат</w:t>
            </w:r>
          </w:p>
        </w:tc>
        <w:tc>
          <w:tcPr>
            <w:tcW w:w="2470" w:type="pct"/>
            <w:gridSpan w:val="3"/>
            <w:vAlign w:val="center"/>
          </w:tcPr>
          <w:p w14:paraId="71F8422D" w14:textId="77777777" w:rsidR="00304132" w:rsidRPr="00AC3044" w:rsidRDefault="00304132" w:rsidP="00CD5E09">
            <w:pPr>
              <w:rPr>
                <w:rFonts w:eastAsia="SimSun"/>
              </w:rPr>
            </w:pPr>
            <w:r w:rsidRPr="00AC3044">
              <w:rPr>
                <w:rFonts w:eastAsia="SimSun"/>
              </w:rPr>
              <w:t>В соответсвии с клинической ситуацией, в среднем 14-52 дня,  в среднем 0,25 – 3 л/м</w:t>
            </w:r>
            <w:r w:rsidRPr="0074195F">
              <w:rPr>
                <w:rFonts w:eastAsia="SimSun"/>
                <w:vertAlign w:val="superscript"/>
              </w:rPr>
              <w:t>2</w:t>
            </w:r>
          </w:p>
        </w:tc>
        <w:tc>
          <w:tcPr>
            <w:tcW w:w="1229" w:type="pct"/>
            <w:vAlign w:val="center"/>
          </w:tcPr>
          <w:p w14:paraId="5C0FAAB0" w14:textId="77777777" w:rsidR="00304132" w:rsidRPr="00AC3044" w:rsidRDefault="00304132" w:rsidP="00CD5E09">
            <w:pPr>
              <w:rPr>
                <w:rFonts w:eastAsia="SimSun"/>
              </w:rPr>
            </w:pPr>
            <w:r w:rsidRPr="00AC3044">
              <w:rPr>
                <w:rFonts w:eastAsia="SimSun"/>
              </w:rPr>
              <w:t>В/в инфузия</w:t>
            </w:r>
          </w:p>
        </w:tc>
      </w:tr>
      <w:tr w:rsidR="00304132" w:rsidRPr="00AC3044" w14:paraId="39A3B125" w14:textId="77777777" w:rsidTr="00CD5E09">
        <w:trPr>
          <w:cantSplit/>
          <w:trHeight w:val="464"/>
        </w:trPr>
        <w:tc>
          <w:tcPr>
            <w:tcW w:w="168" w:type="pct"/>
          </w:tcPr>
          <w:p w14:paraId="7AC2C68C" w14:textId="77777777" w:rsidR="00304132" w:rsidRPr="00AC3044" w:rsidRDefault="00304132" w:rsidP="00CD5E09">
            <w:pPr>
              <w:rPr>
                <w:rFonts w:eastAsia="SimSun"/>
              </w:rPr>
            </w:pPr>
            <w:r w:rsidRPr="00AC3044">
              <w:rPr>
                <w:rFonts w:eastAsia="SimSun"/>
              </w:rPr>
              <w:t>6</w:t>
            </w:r>
          </w:p>
        </w:tc>
        <w:tc>
          <w:tcPr>
            <w:tcW w:w="1133" w:type="pct"/>
            <w:vAlign w:val="center"/>
          </w:tcPr>
          <w:p w14:paraId="1D47DCA0" w14:textId="77777777" w:rsidR="00304132" w:rsidRPr="00AC3044" w:rsidRDefault="00304132" w:rsidP="00CD5E09">
            <w:pPr>
              <w:rPr>
                <w:rFonts w:eastAsia="SimSun"/>
              </w:rPr>
            </w:pPr>
            <w:r w:rsidRPr="00AC3044">
              <w:rPr>
                <w:rFonts w:eastAsia="SimSun"/>
              </w:rPr>
              <w:t>4% хлорида калия (KCl)</w:t>
            </w:r>
          </w:p>
        </w:tc>
        <w:tc>
          <w:tcPr>
            <w:tcW w:w="2470" w:type="pct"/>
            <w:gridSpan w:val="3"/>
            <w:vAlign w:val="center"/>
          </w:tcPr>
          <w:p w14:paraId="68E7B206" w14:textId="77777777" w:rsidR="00304132" w:rsidRPr="00AC3044" w:rsidRDefault="00304132" w:rsidP="00CD5E09">
            <w:pPr>
              <w:rPr>
                <w:rFonts w:eastAsia="SimSun"/>
              </w:rPr>
            </w:pPr>
            <w:r w:rsidRPr="00AC3044">
              <w:rPr>
                <w:rFonts w:eastAsia="SimSun"/>
              </w:rPr>
              <w:t>В соответсвии с лабораторными показателями, в среднем 14-52 дня</w:t>
            </w:r>
          </w:p>
        </w:tc>
        <w:tc>
          <w:tcPr>
            <w:tcW w:w="1229" w:type="pct"/>
            <w:vAlign w:val="center"/>
          </w:tcPr>
          <w:p w14:paraId="1BA59076" w14:textId="77777777" w:rsidR="00304132" w:rsidRPr="00AC3044" w:rsidRDefault="00304132" w:rsidP="00CD5E09">
            <w:pPr>
              <w:rPr>
                <w:rFonts w:eastAsia="SimSun"/>
              </w:rPr>
            </w:pPr>
            <w:r w:rsidRPr="00AC3044">
              <w:rPr>
                <w:rFonts w:eastAsia="SimSun"/>
              </w:rPr>
              <w:t>В/в инфузия</w:t>
            </w:r>
          </w:p>
        </w:tc>
      </w:tr>
      <w:tr w:rsidR="00304132" w:rsidRPr="00AC3044" w14:paraId="7A4C81F8" w14:textId="77777777" w:rsidTr="00CD5E09">
        <w:trPr>
          <w:cantSplit/>
          <w:trHeight w:val="464"/>
        </w:trPr>
        <w:tc>
          <w:tcPr>
            <w:tcW w:w="168" w:type="pct"/>
          </w:tcPr>
          <w:p w14:paraId="57CFADB5" w14:textId="77777777" w:rsidR="00304132" w:rsidRPr="00AC3044" w:rsidRDefault="00304132" w:rsidP="00CD5E09">
            <w:pPr>
              <w:rPr>
                <w:rFonts w:eastAsia="SimSun"/>
              </w:rPr>
            </w:pPr>
            <w:r w:rsidRPr="00AC3044">
              <w:rPr>
                <w:rFonts w:eastAsia="SimSun"/>
              </w:rPr>
              <w:t>7</w:t>
            </w:r>
          </w:p>
        </w:tc>
        <w:tc>
          <w:tcPr>
            <w:tcW w:w="1133" w:type="pct"/>
            <w:vAlign w:val="center"/>
          </w:tcPr>
          <w:p w14:paraId="5547EDB7" w14:textId="77777777" w:rsidR="00304132" w:rsidRPr="00AC3044" w:rsidRDefault="00304132" w:rsidP="00CD5E09">
            <w:pPr>
              <w:rPr>
                <w:rFonts w:eastAsia="SimSun"/>
              </w:rPr>
            </w:pPr>
            <w:r w:rsidRPr="00AC3044">
              <w:rPr>
                <w:rFonts w:eastAsia="SimSun"/>
              </w:rPr>
              <w:t>25% сульфат магния (MgSO4)</w:t>
            </w:r>
          </w:p>
        </w:tc>
        <w:tc>
          <w:tcPr>
            <w:tcW w:w="2470" w:type="pct"/>
            <w:gridSpan w:val="3"/>
            <w:vAlign w:val="center"/>
          </w:tcPr>
          <w:p w14:paraId="43777413" w14:textId="77777777" w:rsidR="00304132" w:rsidRPr="00AC3044" w:rsidRDefault="00304132" w:rsidP="00CD5E09">
            <w:pPr>
              <w:rPr>
                <w:rFonts w:eastAsia="SimSun"/>
              </w:rPr>
            </w:pPr>
            <w:r w:rsidRPr="00AC3044">
              <w:rPr>
                <w:rFonts w:eastAsia="SimSun"/>
              </w:rPr>
              <w:t>В соответсвии с лабораторными показателями, в среднем 14-52 дня</w:t>
            </w:r>
          </w:p>
        </w:tc>
        <w:tc>
          <w:tcPr>
            <w:tcW w:w="1229" w:type="pct"/>
            <w:vAlign w:val="center"/>
          </w:tcPr>
          <w:p w14:paraId="58ACDAA3" w14:textId="77777777" w:rsidR="00304132" w:rsidRPr="00AC3044" w:rsidRDefault="00304132" w:rsidP="00CD5E09">
            <w:pPr>
              <w:rPr>
                <w:rFonts w:eastAsia="SimSun"/>
              </w:rPr>
            </w:pPr>
            <w:r w:rsidRPr="00AC3044">
              <w:rPr>
                <w:rFonts w:eastAsia="SimSun"/>
              </w:rPr>
              <w:t>В/в инфузия</w:t>
            </w:r>
          </w:p>
        </w:tc>
      </w:tr>
      <w:tr w:rsidR="00304132" w:rsidRPr="00AC3044" w14:paraId="2B6C27EE" w14:textId="77777777" w:rsidTr="00CD5E09">
        <w:trPr>
          <w:cantSplit/>
          <w:trHeight w:val="464"/>
        </w:trPr>
        <w:tc>
          <w:tcPr>
            <w:tcW w:w="5000" w:type="pct"/>
            <w:gridSpan w:val="6"/>
          </w:tcPr>
          <w:p w14:paraId="6422F05E" w14:textId="77777777" w:rsidR="00304132" w:rsidRPr="00AC3044" w:rsidRDefault="00304132" w:rsidP="00CD5E09">
            <w:pPr>
              <w:rPr>
                <w:rFonts w:eastAsia="SimSun"/>
              </w:rPr>
            </w:pPr>
            <w:r w:rsidRPr="00AC3044">
              <w:rPr>
                <w:rFonts w:eastAsia="SimSun"/>
              </w:rPr>
              <w:t>Антиэметическая терапия</w:t>
            </w:r>
          </w:p>
        </w:tc>
      </w:tr>
      <w:tr w:rsidR="00304132" w:rsidRPr="00AC3044" w14:paraId="664C5160" w14:textId="77777777" w:rsidTr="00CD5E09">
        <w:trPr>
          <w:cantSplit/>
          <w:trHeight w:val="464"/>
        </w:trPr>
        <w:tc>
          <w:tcPr>
            <w:tcW w:w="168" w:type="pct"/>
          </w:tcPr>
          <w:p w14:paraId="6F44B0DF" w14:textId="77777777" w:rsidR="00304132" w:rsidRPr="00AC3044" w:rsidRDefault="00304132" w:rsidP="00CD5E09">
            <w:pPr>
              <w:rPr>
                <w:rFonts w:eastAsia="SimSun"/>
              </w:rPr>
            </w:pPr>
            <w:r w:rsidRPr="00AC3044">
              <w:rPr>
                <w:rFonts w:eastAsia="SimSun"/>
              </w:rPr>
              <w:t>1</w:t>
            </w:r>
          </w:p>
        </w:tc>
        <w:tc>
          <w:tcPr>
            <w:tcW w:w="1133" w:type="pct"/>
            <w:vAlign w:val="center"/>
          </w:tcPr>
          <w:p w14:paraId="39424BEE" w14:textId="77777777" w:rsidR="00304132" w:rsidRPr="00AC3044" w:rsidRDefault="00304132" w:rsidP="00CD5E09">
            <w:pPr>
              <w:rPr>
                <w:rFonts w:eastAsia="SimSun"/>
              </w:rPr>
            </w:pPr>
            <w:r w:rsidRPr="00AC3044">
              <w:rPr>
                <w:rFonts w:eastAsia="SimSun"/>
              </w:rPr>
              <w:t xml:space="preserve">Ондансетрон </w:t>
            </w:r>
          </w:p>
        </w:tc>
        <w:tc>
          <w:tcPr>
            <w:tcW w:w="614" w:type="pct"/>
            <w:vAlign w:val="center"/>
          </w:tcPr>
          <w:p w14:paraId="3F67B91C" w14:textId="77777777" w:rsidR="00304132" w:rsidRPr="00AC3044" w:rsidRDefault="00304132" w:rsidP="00CD5E09">
            <w:pPr>
              <w:rPr>
                <w:rFonts w:eastAsia="SimSun"/>
              </w:rPr>
            </w:pPr>
            <w:r w:rsidRPr="00AC3044">
              <w:rPr>
                <w:rFonts w:eastAsia="SimSun"/>
              </w:rPr>
              <w:t>24 мг</w:t>
            </w:r>
          </w:p>
        </w:tc>
        <w:tc>
          <w:tcPr>
            <w:tcW w:w="486" w:type="pct"/>
            <w:vAlign w:val="center"/>
          </w:tcPr>
          <w:p w14:paraId="0935443D" w14:textId="77777777" w:rsidR="00304132" w:rsidRPr="00AC3044" w:rsidRDefault="00304132" w:rsidP="00CD5E09">
            <w:pPr>
              <w:rPr>
                <w:rFonts w:eastAsia="SimSun"/>
              </w:rPr>
            </w:pPr>
            <w:r w:rsidRPr="00AC3044">
              <w:rPr>
                <w:rFonts w:eastAsia="SimSun"/>
              </w:rPr>
              <w:t>–</w:t>
            </w:r>
          </w:p>
        </w:tc>
        <w:tc>
          <w:tcPr>
            <w:tcW w:w="1370" w:type="pct"/>
            <w:vAlign w:val="center"/>
          </w:tcPr>
          <w:p w14:paraId="5B877C33" w14:textId="77777777" w:rsidR="00304132" w:rsidRPr="00AC3044" w:rsidRDefault="00304132" w:rsidP="00CD5E09">
            <w:pPr>
              <w:rPr>
                <w:rFonts w:eastAsia="SimSun"/>
              </w:rPr>
            </w:pPr>
            <w:r w:rsidRPr="00AC3044">
              <w:rPr>
                <w:rFonts w:eastAsia="SimSun"/>
              </w:rPr>
              <w:t>В дни введения химиопрепаратов, и/или по усмотрению врача, в среднем 7-14 дней</w:t>
            </w:r>
          </w:p>
        </w:tc>
        <w:tc>
          <w:tcPr>
            <w:tcW w:w="1229" w:type="pct"/>
            <w:vAlign w:val="center"/>
          </w:tcPr>
          <w:p w14:paraId="77B49886" w14:textId="77777777" w:rsidR="00304132" w:rsidRPr="00AC3044" w:rsidRDefault="00304132" w:rsidP="00CD5E09">
            <w:pPr>
              <w:rPr>
                <w:rFonts w:eastAsia="SimSun"/>
              </w:rPr>
            </w:pPr>
            <w:r w:rsidRPr="00AC3044">
              <w:rPr>
                <w:rFonts w:eastAsia="SimSun"/>
              </w:rPr>
              <w:t xml:space="preserve">В/в, 8 мг 3 раза/сут  </w:t>
            </w:r>
          </w:p>
        </w:tc>
      </w:tr>
      <w:tr w:rsidR="00304132" w:rsidRPr="00AC3044" w14:paraId="7FAD817B" w14:textId="77777777" w:rsidTr="00CD5E09">
        <w:trPr>
          <w:cantSplit/>
          <w:trHeight w:val="464"/>
        </w:trPr>
        <w:tc>
          <w:tcPr>
            <w:tcW w:w="168" w:type="pct"/>
          </w:tcPr>
          <w:p w14:paraId="18DAC417" w14:textId="77777777" w:rsidR="00304132" w:rsidRPr="00AC3044" w:rsidRDefault="00304132" w:rsidP="00CD5E09">
            <w:pPr>
              <w:rPr>
                <w:rFonts w:eastAsia="SimSun"/>
              </w:rPr>
            </w:pPr>
            <w:r w:rsidRPr="00AC3044">
              <w:rPr>
                <w:rFonts w:eastAsia="SimSun"/>
              </w:rPr>
              <w:t>2</w:t>
            </w:r>
          </w:p>
        </w:tc>
        <w:tc>
          <w:tcPr>
            <w:tcW w:w="1133" w:type="pct"/>
            <w:vAlign w:val="center"/>
          </w:tcPr>
          <w:p w14:paraId="1BA175A2" w14:textId="77777777" w:rsidR="00304132" w:rsidRPr="00AC3044" w:rsidRDefault="00304132" w:rsidP="00CD5E09">
            <w:pPr>
              <w:rPr>
                <w:rFonts w:eastAsia="SimSun"/>
              </w:rPr>
            </w:pPr>
            <w:r w:rsidRPr="00AC3044">
              <w:rPr>
                <w:rFonts w:eastAsia="SimSun"/>
              </w:rPr>
              <w:t>Гранисетрон</w:t>
            </w:r>
          </w:p>
        </w:tc>
        <w:tc>
          <w:tcPr>
            <w:tcW w:w="614" w:type="pct"/>
            <w:vAlign w:val="center"/>
          </w:tcPr>
          <w:p w14:paraId="1C2A8213" w14:textId="77777777" w:rsidR="00304132" w:rsidRPr="00AC3044" w:rsidRDefault="00304132" w:rsidP="00CD5E09">
            <w:pPr>
              <w:rPr>
                <w:rFonts w:eastAsia="SimSun"/>
              </w:rPr>
            </w:pPr>
            <w:r w:rsidRPr="00AC3044">
              <w:rPr>
                <w:rFonts w:eastAsia="SimSun"/>
              </w:rPr>
              <w:t>9 мг</w:t>
            </w:r>
          </w:p>
        </w:tc>
        <w:tc>
          <w:tcPr>
            <w:tcW w:w="486" w:type="pct"/>
            <w:vAlign w:val="center"/>
          </w:tcPr>
          <w:p w14:paraId="25CCCB8D" w14:textId="77777777" w:rsidR="00304132" w:rsidRPr="00AC3044" w:rsidRDefault="00304132" w:rsidP="00CD5E09">
            <w:pPr>
              <w:rPr>
                <w:rFonts w:eastAsia="SimSun"/>
              </w:rPr>
            </w:pPr>
            <w:r w:rsidRPr="00AC3044">
              <w:rPr>
                <w:rFonts w:eastAsia="SimSun"/>
              </w:rPr>
              <w:t>–</w:t>
            </w:r>
          </w:p>
        </w:tc>
        <w:tc>
          <w:tcPr>
            <w:tcW w:w="1370" w:type="pct"/>
            <w:vAlign w:val="center"/>
          </w:tcPr>
          <w:p w14:paraId="3CA99FFD" w14:textId="77777777" w:rsidR="00304132" w:rsidRPr="00AC3044" w:rsidRDefault="00304132" w:rsidP="00CD5E09">
            <w:pPr>
              <w:rPr>
                <w:rFonts w:eastAsia="SimSun"/>
              </w:rPr>
            </w:pPr>
            <w:r w:rsidRPr="00AC3044">
              <w:rPr>
                <w:rFonts w:eastAsia="SimSun"/>
              </w:rPr>
              <w:t>В дни введения химиопрепаратов, и/или по усмотрению врача, в среднем 7-14 дней</w:t>
            </w:r>
          </w:p>
        </w:tc>
        <w:tc>
          <w:tcPr>
            <w:tcW w:w="1229" w:type="pct"/>
            <w:vAlign w:val="center"/>
          </w:tcPr>
          <w:p w14:paraId="526B767D" w14:textId="77777777" w:rsidR="00304132" w:rsidRPr="00AC3044" w:rsidRDefault="00304132" w:rsidP="00CD5E09">
            <w:pPr>
              <w:rPr>
                <w:rFonts w:eastAsia="SimSun"/>
              </w:rPr>
            </w:pPr>
            <w:r w:rsidRPr="00AC3044">
              <w:rPr>
                <w:rFonts w:eastAsia="SimSun"/>
              </w:rPr>
              <w:t xml:space="preserve">В/в, 3 мг 3 раза/сут  </w:t>
            </w:r>
          </w:p>
        </w:tc>
      </w:tr>
      <w:tr w:rsidR="00304132" w:rsidRPr="00AC3044" w14:paraId="6F5DB90B" w14:textId="77777777" w:rsidTr="00CD5E09">
        <w:trPr>
          <w:cantSplit/>
          <w:trHeight w:val="464"/>
        </w:trPr>
        <w:tc>
          <w:tcPr>
            <w:tcW w:w="168" w:type="pct"/>
          </w:tcPr>
          <w:p w14:paraId="3E4D575A" w14:textId="77777777" w:rsidR="00304132" w:rsidRPr="00AC3044" w:rsidRDefault="00304132" w:rsidP="00CD5E09">
            <w:pPr>
              <w:rPr>
                <w:rFonts w:eastAsia="SimSun"/>
              </w:rPr>
            </w:pPr>
            <w:r w:rsidRPr="00AC3044">
              <w:rPr>
                <w:rFonts w:eastAsia="SimSun"/>
              </w:rPr>
              <w:t>3</w:t>
            </w:r>
          </w:p>
        </w:tc>
        <w:tc>
          <w:tcPr>
            <w:tcW w:w="1133" w:type="pct"/>
            <w:vAlign w:val="center"/>
          </w:tcPr>
          <w:p w14:paraId="381CE15A" w14:textId="77777777" w:rsidR="00304132" w:rsidRPr="00AC3044" w:rsidRDefault="00304132" w:rsidP="00CD5E09">
            <w:pPr>
              <w:rPr>
                <w:rFonts w:eastAsia="SimSun"/>
              </w:rPr>
            </w:pPr>
            <w:r w:rsidRPr="00AC3044">
              <w:rPr>
                <w:rFonts w:eastAsia="SimSun"/>
              </w:rPr>
              <w:t>Трописетрон</w:t>
            </w:r>
          </w:p>
        </w:tc>
        <w:tc>
          <w:tcPr>
            <w:tcW w:w="614" w:type="pct"/>
            <w:vAlign w:val="center"/>
          </w:tcPr>
          <w:p w14:paraId="46FE0260" w14:textId="77777777" w:rsidR="00304132" w:rsidRPr="00AC3044" w:rsidRDefault="00304132" w:rsidP="00CD5E09">
            <w:pPr>
              <w:rPr>
                <w:rFonts w:eastAsia="SimSun"/>
              </w:rPr>
            </w:pPr>
            <w:r w:rsidRPr="00AC3044">
              <w:rPr>
                <w:rFonts w:eastAsia="SimSun"/>
              </w:rPr>
              <w:t>5 мг</w:t>
            </w:r>
          </w:p>
        </w:tc>
        <w:tc>
          <w:tcPr>
            <w:tcW w:w="486" w:type="pct"/>
            <w:vAlign w:val="center"/>
          </w:tcPr>
          <w:p w14:paraId="19ADFE0F" w14:textId="77777777" w:rsidR="00304132" w:rsidRPr="00AC3044" w:rsidRDefault="00304132" w:rsidP="00CD5E09">
            <w:pPr>
              <w:rPr>
                <w:rFonts w:eastAsia="SimSun"/>
              </w:rPr>
            </w:pPr>
            <w:r w:rsidRPr="00AC3044">
              <w:rPr>
                <w:rFonts w:eastAsia="SimSun"/>
              </w:rPr>
              <w:t>–</w:t>
            </w:r>
          </w:p>
        </w:tc>
        <w:tc>
          <w:tcPr>
            <w:tcW w:w="1370" w:type="pct"/>
            <w:vAlign w:val="center"/>
          </w:tcPr>
          <w:p w14:paraId="42F84F7B" w14:textId="77777777" w:rsidR="00304132" w:rsidRPr="00AC3044" w:rsidRDefault="00304132" w:rsidP="00CD5E09">
            <w:pPr>
              <w:rPr>
                <w:rFonts w:eastAsia="SimSun"/>
              </w:rPr>
            </w:pPr>
            <w:r w:rsidRPr="00AC3044">
              <w:rPr>
                <w:rFonts w:eastAsia="SimSun"/>
              </w:rPr>
              <w:t>В дни введения химиопрепаратов, и/или по усмотрению врача, в среднем 7-14 дней</w:t>
            </w:r>
          </w:p>
        </w:tc>
        <w:tc>
          <w:tcPr>
            <w:tcW w:w="1229" w:type="pct"/>
            <w:vAlign w:val="center"/>
          </w:tcPr>
          <w:p w14:paraId="4B0DE6D8" w14:textId="77777777" w:rsidR="00304132" w:rsidRPr="00AC3044" w:rsidRDefault="00304132" w:rsidP="00CD5E09">
            <w:pPr>
              <w:rPr>
                <w:rFonts w:eastAsia="SimSun"/>
              </w:rPr>
            </w:pPr>
            <w:r w:rsidRPr="00AC3044">
              <w:rPr>
                <w:rFonts w:eastAsia="SimSun"/>
              </w:rPr>
              <w:t>В/в, 5 мг 1 раз/сут</w:t>
            </w:r>
          </w:p>
        </w:tc>
      </w:tr>
      <w:tr w:rsidR="00304132" w:rsidRPr="00AC3044" w14:paraId="24873DA5" w14:textId="77777777" w:rsidTr="00CD5E09">
        <w:trPr>
          <w:cantSplit/>
          <w:trHeight w:val="464"/>
        </w:trPr>
        <w:tc>
          <w:tcPr>
            <w:tcW w:w="168" w:type="pct"/>
          </w:tcPr>
          <w:p w14:paraId="7990CD42" w14:textId="77777777" w:rsidR="00304132" w:rsidRPr="00AC3044" w:rsidRDefault="00304132" w:rsidP="00CD5E09">
            <w:pPr>
              <w:rPr>
                <w:rFonts w:eastAsia="SimSun"/>
              </w:rPr>
            </w:pPr>
            <w:r w:rsidRPr="00AC3044">
              <w:rPr>
                <w:rFonts w:eastAsia="SimSun"/>
              </w:rPr>
              <w:t>4</w:t>
            </w:r>
          </w:p>
        </w:tc>
        <w:tc>
          <w:tcPr>
            <w:tcW w:w="1133" w:type="pct"/>
            <w:vAlign w:val="center"/>
          </w:tcPr>
          <w:p w14:paraId="431F5D54" w14:textId="77777777" w:rsidR="00304132" w:rsidRPr="00AC3044" w:rsidRDefault="00304132" w:rsidP="00CD5E09">
            <w:pPr>
              <w:rPr>
                <w:rFonts w:eastAsia="SimSun"/>
              </w:rPr>
            </w:pPr>
            <w:r w:rsidRPr="00AC3044">
              <w:rPr>
                <w:rFonts w:eastAsia="SimSun"/>
              </w:rPr>
              <w:t>Палоносетрон</w:t>
            </w:r>
          </w:p>
        </w:tc>
        <w:tc>
          <w:tcPr>
            <w:tcW w:w="614" w:type="pct"/>
            <w:vAlign w:val="center"/>
          </w:tcPr>
          <w:p w14:paraId="254C3F33" w14:textId="77777777" w:rsidR="00304132" w:rsidRPr="00AC3044" w:rsidRDefault="00304132" w:rsidP="00CD5E09">
            <w:pPr>
              <w:rPr>
                <w:rFonts w:eastAsia="SimSun"/>
              </w:rPr>
            </w:pPr>
            <w:r w:rsidRPr="00AC3044">
              <w:rPr>
                <w:rFonts w:eastAsia="SimSun"/>
              </w:rPr>
              <w:t>0,25 мг</w:t>
            </w:r>
          </w:p>
        </w:tc>
        <w:tc>
          <w:tcPr>
            <w:tcW w:w="486" w:type="pct"/>
            <w:vAlign w:val="center"/>
          </w:tcPr>
          <w:p w14:paraId="79215FA4" w14:textId="77777777" w:rsidR="00304132" w:rsidRPr="00AC3044" w:rsidRDefault="00304132" w:rsidP="00CD5E09">
            <w:pPr>
              <w:rPr>
                <w:rFonts w:eastAsia="SimSun"/>
              </w:rPr>
            </w:pPr>
            <w:r w:rsidRPr="00AC3044">
              <w:rPr>
                <w:rFonts w:eastAsia="SimSun"/>
              </w:rPr>
              <w:t>–</w:t>
            </w:r>
          </w:p>
        </w:tc>
        <w:tc>
          <w:tcPr>
            <w:tcW w:w="1370" w:type="pct"/>
            <w:vAlign w:val="center"/>
          </w:tcPr>
          <w:p w14:paraId="105F07CC" w14:textId="77777777" w:rsidR="00304132" w:rsidRPr="00AC3044" w:rsidRDefault="00304132" w:rsidP="00CD5E09">
            <w:pPr>
              <w:rPr>
                <w:rFonts w:eastAsia="SimSun"/>
              </w:rPr>
            </w:pPr>
            <w:r w:rsidRPr="00AC3044">
              <w:rPr>
                <w:rFonts w:eastAsia="SimSun"/>
              </w:rPr>
              <w:t>В дни введения химиопрепаратов, и/или по усмотрению врача, в среднем 7-14 дней</w:t>
            </w:r>
          </w:p>
        </w:tc>
        <w:tc>
          <w:tcPr>
            <w:tcW w:w="1229" w:type="pct"/>
            <w:vAlign w:val="center"/>
          </w:tcPr>
          <w:p w14:paraId="28BAE245" w14:textId="77777777" w:rsidR="00304132" w:rsidRPr="00AC3044" w:rsidRDefault="00304132" w:rsidP="00CD5E09">
            <w:pPr>
              <w:rPr>
                <w:rFonts w:eastAsia="SimSun"/>
              </w:rPr>
            </w:pPr>
            <w:r w:rsidRPr="00AC3044">
              <w:rPr>
                <w:rFonts w:eastAsia="SimSun"/>
              </w:rPr>
              <w:t>В/в</w:t>
            </w:r>
          </w:p>
        </w:tc>
      </w:tr>
      <w:tr w:rsidR="00304132" w:rsidRPr="00AC3044" w14:paraId="4F505B0C" w14:textId="77777777" w:rsidTr="00CD5E09">
        <w:trPr>
          <w:cantSplit/>
          <w:trHeight w:val="464"/>
        </w:trPr>
        <w:tc>
          <w:tcPr>
            <w:tcW w:w="168" w:type="pct"/>
          </w:tcPr>
          <w:p w14:paraId="7354AED7" w14:textId="77777777" w:rsidR="00304132" w:rsidRPr="00AC3044" w:rsidRDefault="00304132" w:rsidP="00CD5E09">
            <w:pPr>
              <w:rPr>
                <w:rFonts w:eastAsia="SimSun"/>
              </w:rPr>
            </w:pPr>
            <w:r w:rsidRPr="00AC3044">
              <w:rPr>
                <w:rFonts w:eastAsia="SimSun"/>
              </w:rPr>
              <w:lastRenderedPageBreak/>
              <w:t>5</w:t>
            </w:r>
          </w:p>
        </w:tc>
        <w:tc>
          <w:tcPr>
            <w:tcW w:w="1133" w:type="pct"/>
            <w:vAlign w:val="center"/>
          </w:tcPr>
          <w:p w14:paraId="12C46E63" w14:textId="77777777" w:rsidR="00304132" w:rsidRPr="00AC3044" w:rsidRDefault="00304132" w:rsidP="00CD5E09">
            <w:pPr>
              <w:rPr>
                <w:rFonts w:eastAsia="SimSun"/>
              </w:rPr>
            </w:pPr>
            <w:r w:rsidRPr="00AC3044">
              <w:rPr>
                <w:rFonts w:eastAsia="SimSun"/>
              </w:rPr>
              <w:t>Апрепитант</w:t>
            </w:r>
          </w:p>
        </w:tc>
        <w:tc>
          <w:tcPr>
            <w:tcW w:w="614" w:type="pct"/>
            <w:vAlign w:val="center"/>
          </w:tcPr>
          <w:p w14:paraId="14CB7E3F" w14:textId="77777777" w:rsidR="00304132" w:rsidRPr="00AC3044" w:rsidRDefault="00304132" w:rsidP="00CD5E09">
            <w:pPr>
              <w:rPr>
                <w:rFonts w:eastAsia="SimSun"/>
              </w:rPr>
            </w:pPr>
            <w:r w:rsidRPr="00AC3044">
              <w:rPr>
                <w:rFonts w:eastAsia="SimSun"/>
              </w:rPr>
              <w:t>125, 80, 80 мг</w:t>
            </w:r>
          </w:p>
        </w:tc>
        <w:tc>
          <w:tcPr>
            <w:tcW w:w="486" w:type="pct"/>
            <w:vAlign w:val="center"/>
          </w:tcPr>
          <w:p w14:paraId="5DB6E5CA" w14:textId="77777777" w:rsidR="00304132" w:rsidRPr="00AC3044" w:rsidRDefault="00304132" w:rsidP="00CD5E09">
            <w:pPr>
              <w:rPr>
                <w:rFonts w:eastAsia="SimSun"/>
              </w:rPr>
            </w:pPr>
            <w:r w:rsidRPr="00AC3044">
              <w:rPr>
                <w:rFonts w:eastAsia="SimSun"/>
              </w:rPr>
              <w:t>–</w:t>
            </w:r>
          </w:p>
        </w:tc>
        <w:tc>
          <w:tcPr>
            <w:tcW w:w="1370" w:type="pct"/>
            <w:vAlign w:val="center"/>
          </w:tcPr>
          <w:p w14:paraId="4C9A6B58" w14:textId="77777777" w:rsidR="00304132" w:rsidRPr="00AC3044" w:rsidRDefault="00304132" w:rsidP="00CD5E09">
            <w:pPr>
              <w:rPr>
                <w:rFonts w:eastAsia="SimSun"/>
              </w:rPr>
            </w:pPr>
            <w:r w:rsidRPr="00AC3044">
              <w:rPr>
                <w:rFonts w:eastAsia="SimSun"/>
              </w:rPr>
              <w:t>При проведении ТТО -3 по -1 дни</w:t>
            </w:r>
          </w:p>
        </w:tc>
        <w:tc>
          <w:tcPr>
            <w:tcW w:w="1229" w:type="pct"/>
            <w:vAlign w:val="center"/>
          </w:tcPr>
          <w:p w14:paraId="5B14FD90" w14:textId="77777777" w:rsidR="00304132" w:rsidRPr="00AC3044" w:rsidRDefault="00304132" w:rsidP="00CD5E09">
            <w:pPr>
              <w:rPr>
                <w:rFonts w:eastAsia="SimSun"/>
              </w:rPr>
            </w:pPr>
            <w:r w:rsidRPr="00AC3044">
              <w:rPr>
                <w:rFonts w:eastAsia="SimSun"/>
              </w:rPr>
              <w:t>Внутрь, перед  утренней фракцией ТТО</w:t>
            </w:r>
          </w:p>
        </w:tc>
      </w:tr>
      <w:tr w:rsidR="00304132" w:rsidRPr="00AC3044" w14:paraId="2661E680" w14:textId="77777777" w:rsidTr="00CD5E09">
        <w:trPr>
          <w:cantSplit/>
          <w:trHeight w:val="464"/>
        </w:trPr>
        <w:tc>
          <w:tcPr>
            <w:tcW w:w="168" w:type="pct"/>
          </w:tcPr>
          <w:p w14:paraId="58C1BE1D" w14:textId="77777777" w:rsidR="00304132" w:rsidRPr="00AC3044" w:rsidRDefault="00304132" w:rsidP="00CD5E09">
            <w:pPr>
              <w:rPr>
                <w:rFonts w:eastAsia="SimSun"/>
              </w:rPr>
            </w:pPr>
            <w:r w:rsidRPr="00AC3044">
              <w:rPr>
                <w:rFonts w:eastAsia="SimSun"/>
              </w:rPr>
              <w:t>6</w:t>
            </w:r>
          </w:p>
        </w:tc>
        <w:tc>
          <w:tcPr>
            <w:tcW w:w="1133" w:type="pct"/>
            <w:vAlign w:val="center"/>
          </w:tcPr>
          <w:p w14:paraId="1BA747D0" w14:textId="77777777" w:rsidR="00304132" w:rsidRPr="00AC3044" w:rsidRDefault="00304132" w:rsidP="00CD5E09">
            <w:pPr>
              <w:rPr>
                <w:rFonts w:eastAsia="SimSun"/>
              </w:rPr>
            </w:pPr>
            <w:r w:rsidRPr="00AC3044">
              <w:rPr>
                <w:rFonts w:eastAsia="SimSun"/>
              </w:rPr>
              <w:t>Фосапрепитант</w:t>
            </w:r>
            <w:r w:rsidRPr="00AC3044">
              <w:rPr>
                <w:rFonts w:eastAsia="SimSun"/>
              </w:rPr>
              <w:tab/>
            </w:r>
          </w:p>
        </w:tc>
        <w:tc>
          <w:tcPr>
            <w:tcW w:w="614" w:type="pct"/>
            <w:vAlign w:val="center"/>
          </w:tcPr>
          <w:p w14:paraId="7B7AB1E7" w14:textId="77777777" w:rsidR="00304132" w:rsidRPr="00AC3044" w:rsidRDefault="00304132" w:rsidP="00CD5E09">
            <w:pPr>
              <w:rPr>
                <w:rFonts w:eastAsia="SimSun"/>
              </w:rPr>
            </w:pPr>
            <w:r w:rsidRPr="00AC3044">
              <w:rPr>
                <w:rFonts w:eastAsia="SimSun"/>
              </w:rPr>
              <w:t>150 мг</w:t>
            </w:r>
          </w:p>
        </w:tc>
        <w:tc>
          <w:tcPr>
            <w:tcW w:w="486" w:type="pct"/>
            <w:vAlign w:val="center"/>
          </w:tcPr>
          <w:p w14:paraId="2D07E5BA" w14:textId="77777777" w:rsidR="00304132" w:rsidRPr="00AC3044" w:rsidRDefault="00304132" w:rsidP="00CD5E09">
            <w:pPr>
              <w:rPr>
                <w:rFonts w:eastAsia="SimSun"/>
              </w:rPr>
            </w:pPr>
            <w:r w:rsidRPr="00AC3044">
              <w:rPr>
                <w:rFonts w:eastAsia="SimSun"/>
              </w:rPr>
              <w:t>–</w:t>
            </w:r>
          </w:p>
        </w:tc>
        <w:tc>
          <w:tcPr>
            <w:tcW w:w="1370" w:type="pct"/>
            <w:vAlign w:val="center"/>
          </w:tcPr>
          <w:p w14:paraId="2304DF52" w14:textId="77777777" w:rsidR="00304132" w:rsidRPr="00AC3044" w:rsidRDefault="00304132" w:rsidP="00CD5E09">
            <w:pPr>
              <w:rPr>
                <w:rFonts w:eastAsia="SimSun"/>
              </w:rPr>
            </w:pPr>
            <w:r w:rsidRPr="00AC3044">
              <w:rPr>
                <w:rFonts w:eastAsia="SimSun"/>
              </w:rPr>
              <w:t>В дни введения химиопрепаратов, и/или по усмотрению врача, в среднем 7-14 дней</w:t>
            </w:r>
          </w:p>
        </w:tc>
        <w:tc>
          <w:tcPr>
            <w:tcW w:w="1229" w:type="pct"/>
            <w:vAlign w:val="center"/>
          </w:tcPr>
          <w:p w14:paraId="0CF822F6" w14:textId="77777777" w:rsidR="00304132" w:rsidRPr="00AC3044" w:rsidRDefault="00304132" w:rsidP="00CD5E09">
            <w:pPr>
              <w:rPr>
                <w:rFonts w:eastAsia="SimSun"/>
              </w:rPr>
            </w:pPr>
            <w:r w:rsidRPr="00AC3044">
              <w:rPr>
                <w:rFonts w:eastAsia="SimSun"/>
              </w:rPr>
              <w:t>В/в, однократно</w:t>
            </w:r>
          </w:p>
        </w:tc>
      </w:tr>
      <w:tr w:rsidR="00304132" w:rsidRPr="00AC3044" w14:paraId="364B6ACF" w14:textId="77777777" w:rsidTr="00CD5E09">
        <w:trPr>
          <w:cantSplit/>
          <w:trHeight w:val="464"/>
        </w:trPr>
        <w:tc>
          <w:tcPr>
            <w:tcW w:w="5000" w:type="pct"/>
            <w:gridSpan w:val="6"/>
          </w:tcPr>
          <w:p w14:paraId="14D479A5" w14:textId="77777777" w:rsidR="00304132" w:rsidRPr="00AC3044" w:rsidRDefault="00304132" w:rsidP="00CD5E09">
            <w:pPr>
              <w:rPr>
                <w:rFonts w:eastAsia="SimSun"/>
              </w:rPr>
            </w:pPr>
            <w:r w:rsidRPr="00AC3044">
              <w:rPr>
                <w:rFonts w:eastAsia="SimSun"/>
              </w:rPr>
              <w:t>Антикоагулянтная терапия</w:t>
            </w:r>
          </w:p>
        </w:tc>
      </w:tr>
      <w:tr w:rsidR="00304132" w:rsidRPr="00AC3044" w14:paraId="40D9EC92" w14:textId="77777777" w:rsidTr="00CD5E09">
        <w:trPr>
          <w:cantSplit/>
          <w:trHeight w:val="464"/>
        </w:trPr>
        <w:tc>
          <w:tcPr>
            <w:tcW w:w="168" w:type="pct"/>
          </w:tcPr>
          <w:p w14:paraId="064D6610" w14:textId="77777777" w:rsidR="00304132" w:rsidRPr="00AC3044" w:rsidRDefault="00304132" w:rsidP="00CD5E09">
            <w:pPr>
              <w:rPr>
                <w:rFonts w:eastAsia="SimSun"/>
              </w:rPr>
            </w:pPr>
            <w:r w:rsidRPr="00AC3044">
              <w:rPr>
                <w:rFonts w:eastAsia="SimSun"/>
              </w:rPr>
              <w:t>1</w:t>
            </w:r>
          </w:p>
        </w:tc>
        <w:tc>
          <w:tcPr>
            <w:tcW w:w="1133" w:type="pct"/>
            <w:vAlign w:val="center"/>
          </w:tcPr>
          <w:p w14:paraId="625125A3" w14:textId="77777777" w:rsidR="00304132" w:rsidRPr="00AC3044" w:rsidRDefault="00304132" w:rsidP="00CD5E09">
            <w:pPr>
              <w:rPr>
                <w:rFonts w:eastAsia="SimSun"/>
              </w:rPr>
            </w:pPr>
            <w:r w:rsidRPr="00AC3044">
              <w:rPr>
                <w:rFonts w:eastAsia="SimSun"/>
              </w:rPr>
              <w:t>Гепарин</w:t>
            </w:r>
          </w:p>
        </w:tc>
        <w:tc>
          <w:tcPr>
            <w:tcW w:w="614" w:type="pct"/>
            <w:vAlign w:val="center"/>
          </w:tcPr>
          <w:p w14:paraId="5E1DD666" w14:textId="77777777" w:rsidR="00304132" w:rsidRPr="00AC3044" w:rsidRDefault="00304132" w:rsidP="00CD5E09">
            <w:pPr>
              <w:rPr>
                <w:rFonts w:eastAsia="SimSun"/>
              </w:rPr>
            </w:pPr>
            <w:r w:rsidRPr="00AC3044">
              <w:rPr>
                <w:rFonts w:eastAsia="SimSun"/>
              </w:rPr>
              <w:t xml:space="preserve">12000 ЕД/сут </w:t>
            </w:r>
          </w:p>
        </w:tc>
        <w:tc>
          <w:tcPr>
            <w:tcW w:w="486" w:type="pct"/>
            <w:vAlign w:val="center"/>
          </w:tcPr>
          <w:p w14:paraId="39B6EE62" w14:textId="77777777" w:rsidR="00304132" w:rsidRPr="00AC3044" w:rsidRDefault="00304132" w:rsidP="00CD5E09">
            <w:pPr>
              <w:rPr>
                <w:rFonts w:eastAsia="SimSun"/>
              </w:rPr>
            </w:pPr>
            <w:r w:rsidRPr="00AC3044">
              <w:rPr>
                <w:rFonts w:eastAsia="SimSun"/>
              </w:rPr>
              <w:t>–</w:t>
            </w:r>
          </w:p>
        </w:tc>
        <w:tc>
          <w:tcPr>
            <w:tcW w:w="1370" w:type="pct"/>
            <w:vAlign w:val="center"/>
          </w:tcPr>
          <w:p w14:paraId="39E3EB96" w14:textId="77777777" w:rsidR="00304132" w:rsidRPr="00AC3044" w:rsidRDefault="00304132" w:rsidP="00CD5E09">
            <w:pPr>
              <w:rPr>
                <w:rFonts w:eastAsia="SimSun"/>
              </w:rPr>
            </w:pPr>
            <w:r w:rsidRPr="00AC3044">
              <w:rPr>
                <w:rFonts w:eastAsia="SimSun"/>
              </w:rPr>
              <w:t>За день до начала кондиционирования по +14 день (до +28 дня включительно при инфицировании гепатитом В, С и/или тромбозах в анамнезе)</w:t>
            </w:r>
          </w:p>
        </w:tc>
        <w:tc>
          <w:tcPr>
            <w:tcW w:w="1229" w:type="pct"/>
            <w:vAlign w:val="center"/>
          </w:tcPr>
          <w:p w14:paraId="77D1A5FE" w14:textId="77777777" w:rsidR="00304132" w:rsidRPr="00AC3044" w:rsidRDefault="00304132" w:rsidP="00CD5E09">
            <w:pPr>
              <w:rPr>
                <w:rFonts w:eastAsia="SimSun"/>
              </w:rPr>
            </w:pPr>
            <w:r w:rsidRPr="00AC3044">
              <w:rPr>
                <w:rFonts w:eastAsia="SimSun"/>
              </w:rPr>
              <w:t>В/в, инфузия в течение 24 ч</w:t>
            </w:r>
          </w:p>
        </w:tc>
      </w:tr>
      <w:tr w:rsidR="00304132" w:rsidRPr="00AC3044" w14:paraId="5346C623" w14:textId="77777777" w:rsidTr="00CD5E09">
        <w:trPr>
          <w:cantSplit/>
          <w:trHeight w:val="464"/>
        </w:trPr>
        <w:tc>
          <w:tcPr>
            <w:tcW w:w="168" w:type="pct"/>
          </w:tcPr>
          <w:p w14:paraId="03557B14" w14:textId="77777777" w:rsidR="00304132" w:rsidRPr="00AC3044" w:rsidRDefault="00304132" w:rsidP="00CD5E09">
            <w:pPr>
              <w:rPr>
                <w:rFonts w:eastAsia="SimSun"/>
              </w:rPr>
            </w:pPr>
            <w:r w:rsidRPr="00AC3044">
              <w:rPr>
                <w:rFonts w:eastAsia="SimSun"/>
              </w:rPr>
              <w:t>2</w:t>
            </w:r>
          </w:p>
        </w:tc>
        <w:tc>
          <w:tcPr>
            <w:tcW w:w="1133" w:type="pct"/>
            <w:vAlign w:val="center"/>
          </w:tcPr>
          <w:p w14:paraId="015F602C" w14:textId="77777777" w:rsidR="00304132" w:rsidRPr="00AC3044" w:rsidRDefault="00304132" w:rsidP="00CD5E09">
            <w:pPr>
              <w:rPr>
                <w:rFonts w:eastAsia="SimSun"/>
              </w:rPr>
            </w:pPr>
            <w:r w:rsidRPr="00AC3044">
              <w:rPr>
                <w:rFonts w:eastAsia="SimSun"/>
              </w:rPr>
              <w:t>Гепарин</w:t>
            </w:r>
          </w:p>
        </w:tc>
        <w:tc>
          <w:tcPr>
            <w:tcW w:w="614" w:type="pct"/>
            <w:vAlign w:val="center"/>
          </w:tcPr>
          <w:p w14:paraId="42F92A69" w14:textId="77777777" w:rsidR="00304132" w:rsidRPr="00AC3044" w:rsidRDefault="00304132" w:rsidP="00CD5E09">
            <w:pPr>
              <w:rPr>
                <w:rFonts w:eastAsia="SimSun"/>
              </w:rPr>
            </w:pPr>
            <w:r w:rsidRPr="00AC3044">
              <w:rPr>
                <w:rFonts w:eastAsia="SimSun"/>
              </w:rPr>
              <w:t xml:space="preserve">100 ЕД/кг </w:t>
            </w:r>
          </w:p>
        </w:tc>
        <w:tc>
          <w:tcPr>
            <w:tcW w:w="486" w:type="pct"/>
            <w:vAlign w:val="center"/>
          </w:tcPr>
          <w:p w14:paraId="6BDCE159" w14:textId="77777777" w:rsidR="00304132" w:rsidRPr="00AC3044" w:rsidRDefault="00304132" w:rsidP="00CD5E09">
            <w:pPr>
              <w:rPr>
                <w:rFonts w:eastAsia="SimSun"/>
              </w:rPr>
            </w:pPr>
            <w:r w:rsidRPr="00AC3044">
              <w:rPr>
                <w:rFonts w:eastAsia="SimSun"/>
              </w:rPr>
              <w:t>–</w:t>
            </w:r>
          </w:p>
        </w:tc>
        <w:tc>
          <w:tcPr>
            <w:tcW w:w="1370" w:type="pct"/>
            <w:vAlign w:val="center"/>
          </w:tcPr>
          <w:p w14:paraId="13BE0B85" w14:textId="77777777" w:rsidR="00304132" w:rsidRPr="00AC3044" w:rsidRDefault="00304132" w:rsidP="00CD5E09">
            <w:pPr>
              <w:rPr>
                <w:rFonts w:eastAsia="SimSun"/>
              </w:rPr>
            </w:pPr>
            <w:r w:rsidRPr="00AC3044">
              <w:rPr>
                <w:rFonts w:eastAsia="SimSun"/>
              </w:rPr>
              <w:t>Весь период использования ЦВК</w:t>
            </w:r>
          </w:p>
        </w:tc>
        <w:tc>
          <w:tcPr>
            <w:tcW w:w="1229" w:type="pct"/>
            <w:vAlign w:val="center"/>
          </w:tcPr>
          <w:p w14:paraId="7CCCAE47" w14:textId="77777777" w:rsidR="00304132" w:rsidRPr="00AC3044" w:rsidRDefault="00304132" w:rsidP="00CD5E09">
            <w:pPr>
              <w:rPr>
                <w:rFonts w:eastAsia="SimSun"/>
              </w:rPr>
            </w:pPr>
            <w:r w:rsidRPr="00AC3044">
              <w:rPr>
                <w:rFonts w:eastAsia="SimSun"/>
              </w:rPr>
              <w:t>В/в, инфузия в течение 24 ч</w:t>
            </w:r>
          </w:p>
        </w:tc>
      </w:tr>
      <w:tr w:rsidR="00304132" w:rsidRPr="00AC3044" w14:paraId="0D8A8949" w14:textId="77777777" w:rsidTr="00CD5E09">
        <w:trPr>
          <w:cantSplit/>
          <w:trHeight w:val="464"/>
        </w:trPr>
        <w:tc>
          <w:tcPr>
            <w:tcW w:w="168" w:type="pct"/>
          </w:tcPr>
          <w:p w14:paraId="5D2C1FBA" w14:textId="77777777" w:rsidR="00304132" w:rsidRPr="00AC3044" w:rsidRDefault="00304132" w:rsidP="00CD5E09">
            <w:pPr>
              <w:rPr>
                <w:rFonts w:eastAsia="SimSun"/>
              </w:rPr>
            </w:pPr>
            <w:r w:rsidRPr="00AC3044">
              <w:rPr>
                <w:rFonts w:eastAsia="SimSun"/>
              </w:rPr>
              <w:t>3</w:t>
            </w:r>
          </w:p>
        </w:tc>
        <w:tc>
          <w:tcPr>
            <w:tcW w:w="1133" w:type="pct"/>
            <w:vAlign w:val="center"/>
          </w:tcPr>
          <w:p w14:paraId="00CA1BCF" w14:textId="77777777" w:rsidR="00304132" w:rsidRPr="00AC3044" w:rsidRDefault="00304132" w:rsidP="00CD5E09">
            <w:pPr>
              <w:rPr>
                <w:rFonts w:eastAsia="SimSun"/>
              </w:rPr>
            </w:pPr>
            <w:r w:rsidRPr="00AC3044">
              <w:rPr>
                <w:rFonts w:eastAsia="SimSun"/>
              </w:rPr>
              <w:t>Гепарин</w:t>
            </w:r>
          </w:p>
        </w:tc>
        <w:tc>
          <w:tcPr>
            <w:tcW w:w="614" w:type="pct"/>
            <w:vAlign w:val="center"/>
          </w:tcPr>
          <w:p w14:paraId="649983A0" w14:textId="77777777" w:rsidR="00304132" w:rsidRPr="00AC3044" w:rsidRDefault="00304132" w:rsidP="00CD5E09">
            <w:pPr>
              <w:rPr>
                <w:rFonts w:eastAsia="SimSun"/>
              </w:rPr>
            </w:pPr>
            <w:r w:rsidRPr="00AC3044">
              <w:rPr>
                <w:rFonts w:eastAsia="SimSun"/>
              </w:rPr>
              <w:t xml:space="preserve">100-500 ЕД/кг </w:t>
            </w:r>
          </w:p>
        </w:tc>
        <w:tc>
          <w:tcPr>
            <w:tcW w:w="486" w:type="pct"/>
            <w:vAlign w:val="center"/>
          </w:tcPr>
          <w:p w14:paraId="705B9080" w14:textId="77777777" w:rsidR="00304132" w:rsidRPr="00AC3044" w:rsidRDefault="00304132" w:rsidP="00CD5E09">
            <w:pPr>
              <w:rPr>
                <w:rFonts w:eastAsia="SimSun"/>
              </w:rPr>
            </w:pPr>
            <w:r w:rsidRPr="00AC3044">
              <w:rPr>
                <w:rFonts w:eastAsia="SimSun"/>
              </w:rPr>
              <w:t>–</w:t>
            </w:r>
          </w:p>
        </w:tc>
        <w:tc>
          <w:tcPr>
            <w:tcW w:w="1370" w:type="pct"/>
            <w:vAlign w:val="center"/>
          </w:tcPr>
          <w:p w14:paraId="03C38214" w14:textId="77777777" w:rsidR="00304132" w:rsidRPr="00AC3044" w:rsidRDefault="00304132" w:rsidP="00CD5E09">
            <w:pPr>
              <w:rPr>
                <w:rFonts w:eastAsia="SimSun"/>
              </w:rPr>
            </w:pPr>
            <w:r w:rsidRPr="00AC3044">
              <w:rPr>
                <w:rFonts w:eastAsia="SimSun"/>
              </w:rPr>
              <w:t>Под контролем АЧТВ, в среднем 14-42 дня</w:t>
            </w:r>
          </w:p>
        </w:tc>
        <w:tc>
          <w:tcPr>
            <w:tcW w:w="1229" w:type="pct"/>
            <w:vAlign w:val="center"/>
          </w:tcPr>
          <w:p w14:paraId="7E61EB3D" w14:textId="77777777" w:rsidR="00304132" w:rsidRPr="00AC3044" w:rsidRDefault="00304132" w:rsidP="00CD5E09">
            <w:pPr>
              <w:rPr>
                <w:rFonts w:eastAsia="SimSun"/>
              </w:rPr>
            </w:pPr>
            <w:r w:rsidRPr="00AC3044">
              <w:rPr>
                <w:rFonts w:eastAsia="SimSun"/>
              </w:rPr>
              <w:t>В/в, инфузия в течение 24 ч</w:t>
            </w:r>
          </w:p>
        </w:tc>
      </w:tr>
      <w:tr w:rsidR="00304132" w:rsidRPr="00AC3044" w14:paraId="4D9F0F2E" w14:textId="77777777" w:rsidTr="00CD5E09">
        <w:trPr>
          <w:cantSplit/>
          <w:trHeight w:val="464"/>
        </w:trPr>
        <w:tc>
          <w:tcPr>
            <w:tcW w:w="168" w:type="pct"/>
          </w:tcPr>
          <w:p w14:paraId="16C16E65" w14:textId="77777777" w:rsidR="00304132" w:rsidRPr="00AC3044" w:rsidRDefault="00304132" w:rsidP="00CD5E09">
            <w:pPr>
              <w:rPr>
                <w:rFonts w:eastAsia="SimSun"/>
              </w:rPr>
            </w:pPr>
            <w:r w:rsidRPr="00AC3044">
              <w:rPr>
                <w:rFonts w:eastAsia="SimSun"/>
              </w:rPr>
              <w:t>4</w:t>
            </w:r>
          </w:p>
        </w:tc>
        <w:tc>
          <w:tcPr>
            <w:tcW w:w="1133" w:type="pct"/>
            <w:vAlign w:val="center"/>
          </w:tcPr>
          <w:p w14:paraId="15B4C700" w14:textId="77777777" w:rsidR="00304132" w:rsidRPr="00AC3044" w:rsidRDefault="00304132" w:rsidP="00CD5E09">
            <w:pPr>
              <w:rPr>
                <w:rFonts w:eastAsia="SimSun"/>
              </w:rPr>
            </w:pPr>
            <w:r w:rsidRPr="00AC3044">
              <w:rPr>
                <w:rFonts w:eastAsia="SimSun"/>
              </w:rPr>
              <w:t>Низкомолекулряные гепарины</w:t>
            </w:r>
          </w:p>
        </w:tc>
        <w:tc>
          <w:tcPr>
            <w:tcW w:w="3699" w:type="pct"/>
            <w:gridSpan w:val="4"/>
            <w:vAlign w:val="center"/>
          </w:tcPr>
          <w:p w14:paraId="53430837" w14:textId="77777777" w:rsidR="00304132" w:rsidRPr="00AC3044" w:rsidRDefault="00304132" w:rsidP="00CD5E09">
            <w:pPr>
              <w:rPr>
                <w:rFonts w:eastAsia="SimSun"/>
              </w:rPr>
            </w:pPr>
            <w:r w:rsidRPr="00AC3044">
              <w:rPr>
                <w:rFonts w:eastAsia="SimSun"/>
              </w:rPr>
              <w:t>В соответсвии с рекомендациями производителя и клинической ситуации, в среднем 14-42 дня.</w:t>
            </w:r>
          </w:p>
        </w:tc>
      </w:tr>
      <w:tr w:rsidR="00304132" w:rsidRPr="00AC3044" w14:paraId="709A3E57" w14:textId="77777777" w:rsidTr="00CD5E09">
        <w:trPr>
          <w:cantSplit/>
          <w:trHeight w:val="464"/>
        </w:trPr>
        <w:tc>
          <w:tcPr>
            <w:tcW w:w="5000" w:type="pct"/>
            <w:gridSpan w:val="6"/>
          </w:tcPr>
          <w:p w14:paraId="6A163272" w14:textId="77777777" w:rsidR="00304132" w:rsidRPr="00AC3044" w:rsidRDefault="00304132" w:rsidP="00CD5E09">
            <w:pPr>
              <w:rPr>
                <w:rFonts w:eastAsia="SimSun"/>
              </w:rPr>
            </w:pPr>
            <w:r w:rsidRPr="00AC3044">
              <w:rPr>
                <w:rFonts w:eastAsia="SimSun"/>
              </w:rPr>
              <w:t>Противосудорожная терапия</w:t>
            </w:r>
          </w:p>
        </w:tc>
      </w:tr>
      <w:tr w:rsidR="00304132" w:rsidRPr="00AC3044" w14:paraId="1994EEA8" w14:textId="77777777" w:rsidTr="00CD5E09">
        <w:trPr>
          <w:cantSplit/>
          <w:trHeight w:val="464"/>
        </w:trPr>
        <w:tc>
          <w:tcPr>
            <w:tcW w:w="168" w:type="pct"/>
          </w:tcPr>
          <w:p w14:paraId="68568444" w14:textId="77777777" w:rsidR="00304132" w:rsidRPr="00AC3044" w:rsidRDefault="00304132" w:rsidP="00CD5E09">
            <w:pPr>
              <w:rPr>
                <w:rFonts w:eastAsia="SimSun"/>
              </w:rPr>
            </w:pPr>
            <w:r w:rsidRPr="00AC3044">
              <w:rPr>
                <w:rFonts w:eastAsia="SimSun"/>
              </w:rPr>
              <w:t>1</w:t>
            </w:r>
          </w:p>
        </w:tc>
        <w:tc>
          <w:tcPr>
            <w:tcW w:w="1133" w:type="pct"/>
            <w:vAlign w:val="center"/>
          </w:tcPr>
          <w:p w14:paraId="5A1D1DDC" w14:textId="77777777" w:rsidR="00304132" w:rsidRPr="00AC3044" w:rsidRDefault="00304132" w:rsidP="00CD5E09">
            <w:pPr>
              <w:rPr>
                <w:rFonts w:eastAsia="SimSun"/>
              </w:rPr>
            </w:pPr>
            <w:r w:rsidRPr="00AC3044">
              <w:rPr>
                <w:rFonts w:eastAsia="SimSun"/>
              </w:rPr>
              <w:t>Карбамазепин</w:t>
            </w:r>
          </w:p>
        </w:tc>
        <w:tc>
          <w:tcPr>
            <w:tcW w:w="614" w:type="pct"/>
            <w:vAlign w:val="center"/>
          </w:tcPr>
          <w:p w14:paraId="2A0F761D" w14:textId="77777777" w:rsidR="00304132" w:rsidRPr="00AC3044" w:rsidRDefault="00304132" w:rsidP="00CD5E09">
            <w:pPr>
              <w:rPr>
                <w:rFonts w:eastAsia="SimSun"/>
              </w:rPr>
            </w:pPr>
            <w:r w:rsidRPr="00AC3044">
              <w:rPr>
                <w:rFonts w:eastAsia="SimSun"/>
              </w:rPr>
              <w:t>200 мг</w:t>
            </w:r>
          </w:p>
        </w:tc>
        <w:tc>
          <w:tcPr>
            <w:tcW w:w="486" w:type="pct"/>
            <w:vAlign w:val="center"/>
          </w:tcPr>
          <w:p w14:paraId="2E32ED4F" w14:textId="77777777" w:rsidR="00304132" w:rsidRPr="00AC3044" w:rsidRDefault="00304132" w:rsidP="00CD5E09">
            <w:pPr>
              <w:rPr>
                <w:rFonts w:eastAsia="SimSun"/>
              </w:rPr>
            </w:pPr>
            <w:r w:rsidRPr="00AC3044">
              <w:rPr>
                <w:rFonts w:eastAsia="SimSun"/>
              </w:rPr>
              <w:t>–</w:t>
            </w:r>
          </w:p>
        </w:tc>
        <w:tc>
          <w:tcPr>
            <w:tcW w:w="1370" w:type="pct"/>
            <w:vAlign w:val="center"/>
          </w:tcPr>
          <w:p w14:paraId="72C6C112" w14:textId="77777777" w:rsidR="00304132" w:rsidRPr="00AC3044" w:rsidRDefault="00304132" w:rsidP="00CD5E09">
            <w:pPr>
              <w:rPr>
                <w:rFonts w:eastAsia="SimSun"/>
              </w:rPr>
            </w:pPr>
            <w:r w:rsidRPr="00AC3044">
              <w:rPr>
                <w:rFonts w:eastAsia="SimSun"/>
              </w:rPr>
              <w:t xml:space="preserve">За сутки до введения бусульфана, в дни приема бусульфана, день следующий после окончания приема бусульфана </w:t>
            </w:r>
          </w:p>
        </w:tc>
        <w:tc>
          <w:tcPr>
            <w:tcW w:w="1229" w:type="pct"/>
            <w:vAlign w:val="center"/>
          </w:tcPr>
          <w:p w14:paraId="4DE9B36B" w14:textId="77777777" w:rsidR="00304132" w:rsidRPr="00AC3044" w:rsidRDefault="00304132" w:rsidP="00CD5E09">
            <w:pPr>
              <w:rPr>
                <w:rFonts w:eastAsia="SimSun"/>
              </w:rPr>
            </w:pPr>
            <w:r w:rsidRPr="00AC3044">
              <w:rPr>
                <w:rFonts w:eastAsia="SimSun"/>
              </w:rPr>
              <w:t>Внутрь, 100 мг 2 раза/сут</w:t>
            </w:r>
          </w:p>
        </w:tc>
      </w:tr>
      <w:tr w:rsidR="00304132" w:rsidRPr="00AC3044" w14:paraId="3AED0749" w14:textId="77777777" w:rsidTr="00CD5E09">
        <w:trPr>
          <w:cantSplit/>
          <w:trHeight w:val="464"/>
        </w:trPr>
        <w:tc>
          <w:tcPr>
            <w:tcW w:w="168" w:type="pct"/>
          </w:tcPr>
          <w:p w14:paraId="01947442" w14:textId="77777777" w:rsidR="00304132" w:rsidRPr="00AC3044" w:rsidRDefault="00304132" w:rsidP="00CD5E09">
            <w:pPr>
              <w:rPr>
                <w:rFonts w:eastAsia="SimSun"/>
              </w:rPr>
            </w:pPr>
            <w:r w:rsidRPr="00AC3044">
              <w:rPr>
                <w:rFonts w:eastAsia="SimSun"/>
              </w:rPr>
              <w:lastRenderedPageBreak/>
              <w:t>2</w:t>
            </w:r>
          </w:p>
        </w:tc>
        <w:tc>
          <w:tcPr>
            <w:tcW w:w="1133" w:type="pct"/>
            <w:vAlign w:val="center"/>
          </w:tcPr>
          <w:p w14:paraId="373CB78F" w14:textId="77777777" w:rsidR="00304132" w:rsidRPr="00AC3044" w:rsidRDefault="00304132" w:rsidP="00CD5E09">
            <w:pPr>
              <w:rPr>
                <w:rFonts w:eastAsia="SimSun"/>
              </w:rPr>
            </w:pPr>
            <w:r w:rsidRPr="00AC3044">
              <w:rPr>
                <w:rFonts w:eastAsia="SimSun"/>
              </w:rPr>
              <w:t>Диазепам (допускается, особенно при наличии судорожного синдрома в анамнезе)</w:t>
            </w:r>
          </w:p>
        </w:tc>
        <w:tc>
          <w:tcPr>
            <w:tcW w:w="614" w:type="pct"/>
            <w:vAlign w:val="center"/>
          </w:tcPr>
          <w:p w14:paraId="2F5AA98A" w14:textId="77777777" w:rsidR="00304132" w:rsidRPr="00AC3044" w:rsidRDefault="00304132" w:rsidP="00CD5E09">
            <w:pPr>
              <w:rPr>
                <w:rFonts w:eastAsia="SimSun"/>
              </w:rPr>
            </w:pPr>
            <w:r w:rsidRPr="00AC3044">
              <w:rPr>
                <w:rFonts w:eastAsia="SimSun"/>
              </w:rPr>
              <w:t>10 мг</w:t>
            </w:r>
          </w:p>
        </w:tc>
        <w:tc>
          <w:tcPr>
            <w:tcW w:w="486" w:type="pct"/>
            <w:vAlign w:val="center"/>
          </w:tcPr>
          <w:p w14:paraId="4426E81A" w14:textId="77777777" w:rsidR="00304132" w:rsidRPr="00AC3044" w:rsidRDefault="00304132" w:rsidP="00CD5E09">
            <w:pPr>
              <w:rPr>
                <w:rFonts w:eastAsia="SimSun"/>
              </w:rPr>
            </w:pPr>
            <w:r w:rsidRPr="00AC3044">
              <w:rPr>
                <w:rFonts w:eastAsia="SimSun"/>
              </w:rPr>
              <w:t>–</w:t>
            </w:r>
          </w:p>
        </w:tc>
        <w:tc>
          <w:tcPr>
            <w:tcW w:w="1370" w:type="pct"/>
            <w:vAlign w:val="center"/>
          </w:tcPr>
          <w:p w14:paraId="23A30689" w14:textId="77777777" w:rsidR="00304132" w:rsidRPr="00AC3044" w:rsidRDefault="00304132" w:rsidP="00CD5E09">
            <w:pPr>
              <w:rPr>
                <w:rFonts w:eastAsia="SimSun"/>
              </w:rPr>
            </w:pPr>
            <w:r w:rsidRPr="00AC3044">
              <w:rPr>
                <w:rFonts w:eastAsia="SimSun"/>
              </w:rPr>
              <w:t>В дни введения ЦФ</w:t>
            </w:r>
          </w:p>
        </w:tc>
        <w:tc>
          <w:tcPr>
            <w:tcW w:w="1229" w:type="pct"/>
            <w:vAlign w:val="center"/>
          </w:tcPr>
          <w:p w14:paraId="403E8E7C" w14:textId="77777777" w:rsidR="00304132" w:rsidRPr="00AC3044" w:rsidRDefault="00304132" w:rsidP="00CD5E09">
            <w:pPr>
              <w:rPr>
                <w:rFonts w:eastAsia="SimSun"/>
              </w:rPr>
            </w:pPr>
            <w:r w:rsidRPr="00AC3044">
              <w:rPr>
                <w:rFonts w:eastAsia="SimSun"/>
              </w:rPr>
              <w:t>В/в, на ночь</w:t>
            </w:r>
          </w:p>
        </w:tc>
      </w:tr>
      <w:tr w:rsidR="00304132" w:rsidRPr="00AC3044" w14:paraId="02593EA5" w14:textId="77777777" w:rsidTr="00CD5E09">
        <w:trPr>
          <w:cantSplit/>
          <w:trHeight w:val="464"/>
        </w:trPr>
        <w:tc>
          <w:tcPr>
            <w:tcW w:w="168" w:type="pct"/>
          </w:tcPr>
          <w:p w14:paraId="323D4600" w14:textId="77777777" w:rsidR="00304132" w:rsidRPr="00AC3044" w:rsidRDefault="00304132" w:rsidP="00CD5E09">
            <w:pPr>
              <w:rPr>
                <w:rFonts w:eastAsia="SimSun"/>
              </w:rPr>
            </w:pPr>
            <w:r w:rsidRPr="00AC3044">
              <w:rPr>
                <w:rFonts w:eastAsia="SimSun"/>
              </w:rPr>
              <w:t>3</w:t>
            </w:r>
          </w:p>
        </w:tc>
        <w:tc>
          <w:tcPr>
            <w:tcW w:w="1133" w:type="pct"/>
            <w:vAlign w:val="center"/>
          </w:tcPr>
          <w:p w14:paraId="73B3369A" w14:textId="77777777" w:rsidR="00304132" w:rsidRPr="00AC3044" w:rsidRDefault="00304132" w:rsidP="00CD5E09">
            <w:pPr>
              <w:rPr>
                <w:rFonts w:eastAsia="SimSun"/>
              </w:rPr>
            </w:pPr>
            <w:r w:rsidRPr="00AC3044">
              <w:rPr>
                <w:rFonts w:eastAsia="SimSun"/>
              </w:rPr>
              <w:t>Левитирацетам</w:t>
            </w:r>
          </w:p>
        </w:tc>
        <w:tc>
          <w:tcPr>
            <w:tcW w:w="614" w:type="pct"/>
            <w:vAlign w:val="center"/>
          </w:tcPr>
          <w:p w14:paraId="3D42B286" w14:textId="77777777" w:rsidR="00304132" w:rsidRPr="00AC3044" w:rsidRDefault="00304132" w:rsidP="00CD5E09">
            <w:pPr>
              <w:rPr>
                <w:rFonts w:eastAsia="SimSun"/>
              </w:rPr>
            </w:pPr>
            <w:r w:rsidRPr="00AC3044">
              <w:rPr>
                <w:rFonts w:eastAsia="SimSun"/>
              </w:rPr>
              <w:t>500 мг</w:t>
            </w:r>
          </w:p>
        </w:tc>
        <w:tc>
          <w:tcPr>
            <w:tcW w:w="486" w:type="pct"/>
            <w:vAlign w:val="center"/>
          </w:tcPr>
          <w:p w14:paraId="42C78CD4" w14:textId="77777777" w:rsidR="00304132" w:rsidRPr="00AC3044" w:rsidRDefault="00304132" w:rsidP="00CD5E09">
            <w:pPr>
              <w:rPr>
                <w:rFonts w:eastAsia="SimSun"/>
              </w:rPr>
            </w:pPr>
            <w:r w:rsidRPr="00AC3044">
              <w:rPr>
                <w:rFonts w:eastAsia="SimSun"/>
              </w:rPr>
              <w:t>–</w:t>
            </w:r>
          </w:p>
        </w:tc>
        <w:tc>
          <w:tcPr>
            <w:tcW w:w="1370" w:type="pct"/>
            <w:vAlign w:val="center"/>
          </w:tcPr>
          <w:p w14:paraId="7C728C29" w14:textId="77777777" w:rsidR="00304132" w:rsidRPr="00AC3044" w:rsidRDefault="00304132" w:rsidP="00CD5E09">
            <w:pPr>
              <w:rPr>
                <w:rFonts w:eastAsia="SimSun"/>
              </w:rPr>
            </w:pPr>
            <w:r w:rsidRPr="00AC3044">
              <w:rPr>
                <w:rFonts w:eastAsia="SimSun"/>
              </w:rPr>
              <w:t>За сутки до введения бусульфана, в дни приема бусульфана, день следующий после окончания приема бусульфана</w:t>
            </w:r>
          </w:p>
        </w:tc>
        <w:tc>
          <w:tcPr>
            <w:tcW w:w="1229" w:type="pct"/>
            <w:vAlign w:val="center"/>
          </w:tcPr>
          <w:p w14:paraId="5177F75B" w14:textId="77777777" w:rsidR="00304132" w:rsidRPr="00AC3044" w:rsidRDefault="00304132" w:rsidP="00CD5E09">
            <w:pPr>
              <w:rPr>
                <w:rFonts w:eastAsia="SimSun"/>
              </w:rPr>
            </w:pPr>
            <w:r w:rsidRPr="00AC3044">
              <w:rPr>
                <w:rFonts w:eastAsia="SimSun"/>
              </w:rPr>
              <w:t>Внутрь, по 250 мг 2 раза/сут</w:t>
            </w:r>
          </w:p>
        </w:tc>
      </w:tr>
      <w:tr w:rsidR="00304132" w:rsidRPr="00AC3044" w14:paraId="32E6CEA3" w14:textId="77777777" w:rsidTr="00CD5E09">
        <w:trPr>
          <w:cantSplit/>
          <w:trHeight w:val="464"/>
        </w:trPr>
        <w:tc>
          <w:tcPr>
            <w:tcW w:w="168" w:type="pct"/>
          </w:tcPr>
          <w:p w14:paraId="34C4F897" w14:textId="77777777" w:rsidR="00304132" w:rsidRPr="00AC3044" w:rsidRDefault="00304132" w:rsidP="00CD5E09">
            <w:pPr>
              <w:rPr>
                <w:rFonts w:eastAsia="SimSun"/>
              </w:rPr>
            </w:pPr>
            <w:r w:rsidRPr="00AC3044">
              <w:rPr>
                <w:rFonts w:eastAsia="SimSun"/>
              </w:rPr>
              <w:t>4</w:t>
            </w:r>
          </w:p>
        </w:tc>
        <w:tc>
          <w:tcPr>
            <w:tcW w:w="1133" w:type="pct"/>
            <w:vAlign w:val="center"/>
          </w:tcPr>
          <w:p w14:paraId="038178A0" w14:textId="77777777" w:rsidR="00304132" w:rsidRPr="00AC3044" w:rsidRDefault="00304132" w:rsidP="00CD5E09">
            <w:pPr>
              <w:rPr>
                <w:rFonts w:eastAsia="SimSun"/>
              </w:rPr>
            </w:pPr>
            <w:r w:rsidRPr="00AC3044">
              <w:rPr>
                <w:rFonts w:eastAsia="SimSun"/>
              </w:rPr>
              <w:t>Левитирацетам</w:t>
            </w:r>
          </w:p>
        </w:tc>
        <w:tc>
          <w:tcPr>
            <w:tcW w:w="614" w:type="pct"/>
            <w:vAlign w:val="center"/>
          </w:tcPr>
          <w:p w14:paraId="18FD4C59" w14:textId="77777777" w:rsidR="00304132" w:rsidRPr="00AC3044" w:rsidRDefault="00304132" w:rsidP="00CD5E09">
            <w:pPr>
              <w:rPr>
                <w:rFonts w:eastAsia="SimSun"/>
              </w:rPr>
            </w:pPr>
            <w:r w:rsidRPr="00AC3044">
              <w:rPr>
                <w:rFonts w:eastAsia="SimSun"/>
              </w:rPr>
              <w:t>1000 мг</w:t>
            </w:r>
          </w:p>
        </w:tc>
        <w:tc>
          <w:tcPr>
            <w:tcW w:w="486" w:type="pct"/>
            <w:vAlign w:val="center"/>
          </w:tcPr>
          <w:p w14:paraId="4866AAFA" w14:textId="77777777" w:rsidR="00304132" w:rsidRPr="00AC3044" w:rsidRDefault="00304132" w:rsidP="00CD5E09">
            <w:pPr>
              <w:rPr>
                <w:rFonts w:eastAsia="SimSun"/>
              </w:rPr>
            </w:pPr>
            <w:r w:rsidRPr="00AC3044">
              <w:rPr>
                <w:rFonts w:eastAsia="SimSun"/>
              </w:rPr>
              <w:t>–</w:t>
            </w:r>
          </w:p>
        </w:tc>
        <w:tc>
          <w:tcPr>
            <w:tcW w:w="1370" w:type="pct"/>
            <w:vAlign w:val="center"/>
          </w:tcPr>
          <w:p w14:paraId="25BA1EF3" w14:textId="77777777" w:rsidR="00304132" w:rsidRPr="00AC3044" w:rsidRDefault="00304132" w:rsidP="00CD5E09">
            <w:pPr>
              <w:rPr>
                <w:rFonts w:eastAsia="SimSun"/>
              </w:rPr>
            </w:pPr>
            <w:r w:rsidRPr="00AC3044">
              <w:rPr>
                <w:rFonts w:eastAsia="SimSun"/>
              </w:rPr>
              <w:t>За сутки до введения бусульфана, в дни приема бусульфана, день следующий после окончания приема бусульфана</w:t>
            </w:r>
          </w:p>
        </w:tc>
        <w:tc>
          <w:tcPr>
            <w:tcW w:w="1229" w:type="pct"/>
            <w:vAlign w:val="center"/>
          </w:tcPr>
          <w:p w14:paraId="704219DB" w14:textId="77777777" w:rsidR="00304132" w:rsidRPr="00AC3044" w:rsidRDefault="00304132" w:rsidP="00CD5E09">
            <w:pPr>
              <w:rPr>
                <w:rFonts w:eastAsia="SimSun"/>
              </w:rPr>
            </w:pPr>
            <w:r w:rsidRPr="00AC3044">
              <w:rPr>
                <w:rFonts w:eastAsia="SimSun"/>
              </w:rPr>
              <w:t>Внутрь, по 1000 мг 2 раза/сут</w:t>
            </w:r>
          </w:p>
        </w:tc>
      </w:tr>
      <w:tr w:rsidR="00304132" w:rsidRPr="00AC3044" w14:paraId="0B6C620F" w14:textId="77777777" w:rsidTr="00CD5E09">
        <w:trPr>
          <w:cantSplit/>
          <w:trHeight w:val="464"/>
        </w:trPr>
        <w:tc>
          <w:tcPr>
            <w:tcW w:w="5000" w:type="pct"/>
            <w:gridSpan w:val="6"/>
          </w:tcPr>
          <w:p w14:paraId="5B92023A" w14:textId="77777777" w:rsidR="00304132" w:rsidRPr="00AC3044" w:rsidRDefault="00304132" w:rsidP="00CD5E09">
            <w:pPr>
              <w:rPr>
                <w:rFonts w:eastAsia="SimSun"/>
              </w:rPr>
            </w:pPr>
            <w:r w:rsidRPr="00AC3044">
              <w:rPr>
                <w:rFonts w:eastAsia="SimSun"/>
              </w:rPr>
              <w:t>Антисекреторная терапия</w:t>
            </w:r>
          </w:p>
        </w:tc>
      </w:tr>
      <w:tr w:rsidR="00304132" w:rsidRPr="00AC3044" w14:paraId="16BA2C14" w14:textId="77777777" w:rsidTr="00CD5E09">
        <w:trPr>
          <w:cantSplit/>
          <w:trHeight w:val="464"/>
        </w:trPr>
        <w:tc>
          <w:tcPr>
            <w:tcW w:w="168" w:type="pct"/>
          </w:tcPr>
          <w:p w14:paraId="57FA9E02" w14:textId="77777777" w:rsidR="00304132" w:rsidRPr="00AC3044" w:rsidRDefault="00304132" w:rsidP="00CD5E09">
            <w:pPr>
              <w:rPr>
                <w:rFonts w:eastAsia="SimSun"/>
              </w:rPr>
            </w:pPr>
            <w:r w:rsidRPr="00AC3044">
              <w:rPr>
                <w:rFonts w:eastAsia="SimSun"/>
              </w:rPr>
              <w:t>1</w:t>
            </w:r>
          </w:p>
        </w:tc>
        <w:tc>
          <w:tcPr>
            <w:tcW w:w="1133" w:type="pct"/>
            <w:vAlign w:val="center"/>
          </w:tcPr>
          <w:p w14:paraId="448C9449" w14:textId="77777777" w:rsidR="00304132" w:rsidRPr="00AC3044" w:rsidRDefault="00304132" w:rsidP="00CD5E09">
            <w:pPr>
              <w:rPr>
                <w:rFonts w:eastAsia="SimSun"/>
              </w:rPr>
            </w:pPr>
            <w:r w:rsidRPr="00AC3044">
              <w:rPr>
                <w:rFonts w:eastAsia="SimSun"/>
              </w:rPr>
              <w:t xml:space="preserve">Омепразол </w:t>
            </w:r>
          </w:p>
        </w:tc>
        <w:tc>
          <w:tcPr>
            <w:tcW w:w="614" w:type="pct"/>
            <w:vAlign w:val="center"/>
          </w:tcPr>
          <w:p w14:paraId="60217B07" w14:textId="77777777" w:rsidR="00304132" w:rsidRPr="00AC3044" w:rsidRDefault="00304132" w:rsidP="00CD5E09">
            <w:pPr>
              <w:rPr>
                <w:rFonts w:eastAsia="SimSun"/>
              </w:rPr>
            </w:pPr>
            <w:r w:rsidRPr="00AC3044">
              <w:rPr>
                <w:rFonts w:eastAsia="SimSun"/>
              </w:rPr>
              <w:t>20-40 мг</w:t>
            </w:r>
          </w:p>
        </w:tc>
        <w:tc>
          <w:tcPr>
            <w:tcW w:w="486" w:type="pct"/>
            <w:vAlign w:val="center"/>
          </w:tcPr>
          <w:p w14:paraId="7F799275" w14:textId="77777777" w:rsidR="00304132" w:rsidRPr="00AC3044" w:rsidRDefault="00304132" w:rsidP="00CD5E09">
            <w:pPr>
              <w:rPr>
                <w:rFonts w:eastAsia="SimSun"/>
              </w:rPr>
            </w:pPr>
            <w:r w:rsidRPr="00AC3044">
              <w:rPr>
                <w:rFonts w:eastAsia="SimSun"/>
              </w:rPr>
              <w:t>–</w:t>
            </w:r>
          </w:p>
        </w:tc>
        <w:tc>
          <w:tcPr>
            <w:tcW w:w="1370" w:type="pct"/>
            <w:vAlign w:val="center"/>
          </w:tcPr>
          <w:p w14:paraId="75F48750" w14:textId="77777777" w:rsidR="00304132" w:rsidRPr="00AC3044" w:rsidRDefault="00304132" w:rsidP="00CD5E09">
            <w:pPr>
              <w:rPr>
                <w:rFonts w:eastAsia="SimSun"/>
              </w:rPr>
            </w:pPr>
            <w:r w:rsidRPr="00AC3044">
              <w:rPr>
                <w:rFonts w:eastAsia="SimSun"/>
              </w:rPr>
              <w:t>В соответсвии с клинической ситуацией, в среднем 14-42 дня</w:t>
            </w:r>
          </w:p>
        </w:tc>
        <w:tc>
          <w:tcPr>
            <w:tcW w:w="1229" w:type="pct"/>
          </w:tcPr>
          <w:p w14:paraId="40F80F29" w14:textId="77777777" w:rsidR="00304132" w:rsidRPr="00AC3044" w:rsidRDefault="00304132" w:rsidP="00CD5E09">
            <w:pPr>
              <w:rPr>
                <w:rFonts w:eastAsia="SimSun"/>
              </w:rPr>
            </w:pPr>
            <w:r w:rsidRPr="00AC3044">
              <w:rPr>
                <w:rFonts w:eastAsia="SimSun"/>
              </w:rPr>
              <w:t>Внутрь, 1 раз в сутки;</w:t>
            </w:r>
          </w:p>
          <w:p w14:paraId="076A5E8E" w14:textId="77777777" w:rsidR="00304132" w:rsidRPr="00AC3044" w:rsidRDefault="00304132" w:rsidP="00CD5E09">
            <w:pPr>
              <w:rPr>
                <w:rFonts w:eastAsia="SimSun"/>
              </w:rPr>
            </w:pPr>
            <w:r w:rsidRPr="00AC3044">
              <w:rPr>
                <w:rFonts w:eastAsia="SimSun"/>
              </w:rPr>
              <w:t>в/в, 1 раз в сутки</w:t>
            </w:r>
          </w:p>
        </w:tc>
      </w:tr>
      <w:tr w:rsidR="00304132" w:rsidRPr="00AC3044" w14:paraId="59691F6A" w14:textId="77777777" w:rsidTr="00CD5E09">
        <w:trPr>
          <w:cantSplit/>
          <w:trHeight w:val="464"/>
        </w:trPr>
        <w:tc>
          <w:tcPr>
            <w:tcW w:w="168" w:type="pct"/>
          </w:tcPr>
          <w:p w14:paraId="7F39C178" w14:textId="77777777" w:rsidR="00304132" w:rsidRPr="00AC3044" w:rsidRDefault="00304132" w:rsidP="00CD5E09">
            <w:pPr>
              <w:rPr>
                <w:rFonts w:eastAsia="SimSun"/>
              </w:rPr>
            </w:pPr>
            <w:r w:rsidRPr="00AC3044">
              <w:rPr>
                <w:rFonts w:eastAsia="SimSun"/>
              </w:rPr>
              <w:t>2</w:t>
            </w:r>
          </w:p>
        </w:tc>
        <w:tc>
          <w:tcPr>
            <w:tcW w:w="1133" w:type="pct"/>
          </w:tcPr>
          <w:p w14:paraId="65C0205D" w14:textId="77777777" w:rsidR="00304132" w:rsidRPr="00AC3044" w:rsidRDefault="00304132" w:rsidP="00CD5E09">
            <w:pPr>
              <w:rPr>
                <w:rFonts w:eastAsia="SimSun"/>
              </w:rPr>
            </w:pPr>
            <w:r w:rsidRPr="00AC3044">
              <w:rPr>
                <w:rFonts w:eastAsia="SimSun"/>
              </w:rPr>
              <w:t>Лансопразол</w:t>
            </w:r>
          </w:p>
        </w:tc>
        <w:tc>
          <w:tcPr>
            <w:tcW w:w="614" w:type="pct"/>
          </w:tcPr>
          <w:p w14:paraId="16A66EB9" w14:textId="77777777" w:rsidR="00304132" w:rsidRPr="00AC3044" w:rsidRDefault="00304132" w:rsidP="00CD5E09">
            <w:pPr>
              <w:rPr>
                <w:rFonts w:eastAsia="SimSun"/>
              </w:rPr>
            </w:pPr>
            <w:r w:rsidRPr="00AC3044">
              <w:rPr>
                <w:rFonts w:eastAsia="SimSun"/>
              </w:rPr>
              <w:t xml:space="preserve">30 </w:t>
            </w:r>
          </w:p>
        </w:tc>
        <w:tc>
          <w:tcPr>
            <w:tcW w:w="486" w:type="pct"/>
            <w:vAlign w:val="center"/>
          </w:tcPr>
          <w:p w14:paraId="09F26802" w14:textId="77777777" w:rsidR="00304132" w:rsidRPr="00AC3044" w:rsidRDefault="00304132" w:rsidP="00CD5E09">
            <w:pPr>
              <w:rPr>
                <w:rFonts w:eastAsia="SimSun"/>
              </w:rPr>
            </w:pPr>
            <w:r w:rsidRPr="00AC3044">
              <w:rPr>
                <w:rFonts w:eastAsia="SimSun"/>
              </w:rPr>
              <w:t>–</w:t>
            </w:r>
          </w:p>
        </w:tc>
        <w:tc>
          <w:tcPr>
            <w:tcW w:w="1370" w:type="pct"/>
            <w:vAlign w:val="center"/>
          </w:tcPr>
          <w:p w14:paraId="338CBC11" w14:textId="77777777" w:rsidR="00304132" w:rsidRPr="00AC3044" w:rsidRDefault="00304132" w:rsidP="00CD5E09">
            <w:pPr>
              <w:rPr>
                <w:rFonts w:eastAsia="SimSun"/>
              </w:rPr>
            </w:pPr>
            <w:r w:rsidRPr="00AC3044">
              <w:rPr>
                <w:rFonts w:eastAsia="SimSun"/>
              </w:rPr>
              <w:t>В соответсвии с клинической ситуацией, в среднем 14-42 дня</w:t>
            </w:r>
          </w:p>
        </w:tc>
        <w:tc>
          <w:tcPr>
            <w:tcW w:w="1229" w:type="pct"/>
          </w:tcPr>
          <w:p w14:paraId="39179984" w14:textId="77777777" w:rsidR="00304132" w:rsidRPr="00AC3044" w:rsidRDefault="00304132" w:rsidP="00CD5E09">
            <w:pPr>
              <w:rPr>
                <w:rFonts w:eastAsia="SimSun"/>
              </w:rPr>
            </w:pPr>
            <w:r w:rsidRPr="00AC3044">
              <w:rPr>
                <w:rFonts w:eastAsia="SimSun"/>
              </w:rPr>
              <w:t>Внутрь, 1 раз в сутки</w:t>
            </w:r>
          </w:p>
        </w:tc>
      </w:tr>
      <w:tr w:rsidR="00304132" w:rsidRPr="00AC3044" w14:paraId="0325FB18" w14:textId="77777777" w:rsidTr="00CD5E09">
        <w:trPr>
          <w:cantSplit/>
          <w:trHeight w:val="464"/>
        </w:trPr>
        <w:tc>
          <w:tcPr>
            <w:tcW w:w="168" w:type="pct"/>
          </w:tcPr>
          <w:p w14:paraId="30E703C5" w14:textId="77777777" w:rsidR="00304132" w:rsidRPr="00AC3044" w:rsidRDefault="00304132" w:rsidP="00CD5E09">
            <w:pPr>
              <w:rPr>
                <w:rFonts w:eastAsia="SimSun"/>
              </w:rPr>
            </w:pPr>
            <w:r w:rsidRPr="00AC3044">
              <w:rPr>
                <w:rFonts w:eastAsia="SimSun"/>
              </w:rPr>
              <w:t>3</w:t>
            </w:r>
          </w:p>
        </w:tc>
        <w:tc>
          <w:tcPr>
            <w:tcW w:w="1133" w:type="pct"/>
          </w:tcPr>
          <w:p w14:paraId="29886360" w14:textId="77777777" w:rsidR="00304132" w:rsidRPr="00AC3044" w:rsidRDefault="00304132" w:rsidP="00CD5E09">
            <w:pPr>
              <w:rPr>
                <w:rFonts w:eastAsia="SimSun"/>
              </w:rPr>
            </w:pPr>
            <w:r w:rsidRPr="00AC3044">
              <w:rPr>
                <w:rFonts w:eastAsia="SimSun"/>
              </w:rPr>
              <w:t>Пантопразол</w:t>
            </w:r>
          </w:p>
        </w:tc>
        <w:tc>
          <w:tcPr>
            <w:tcW w:w="614" w:type="pct"/>
          </w:tcPr>
          <w:p w14:paraId="7059264D" w14:textId="77777777" w:rsidR="00304132" w:rsidRPr="00AC3044" w:rsidRDefault="00304132" w:rsidP="00CD5E09">
            <w:pPr>
              <w:rPr>
                <w:rFonts w:eastAsia="SimSun"/>
              </w:rPr>
            </w:pPr>
            <w:r w:rsidRPr="00AC3044">
              <w:rPr>
                <w:rFonts w:eastAsia="SimSun"/>
              </w:rPr>
              <w:t xml:space="preserve">40 </w:t>
            </w:r>
          </w:p>
        </w:tc>
        <w:tc>
          <w:tcPr>
            <w:tcW w:w="486" w:type="pct"/>
            <w:vAlign w:val="center"/>
          </w:tcPr>
          <w:p w14:paraId="271F3C4E" w14:textId="77777777" w:rsidR="00304132" w:rsidRPr="00AC3044" w:rsidRDefault="00304132" w:rsidP="00CD5E09">
            <w:pPr>
              <w:rPr>
                <w:rFonts w:eastAsia="SimSun"/>
              </w:rPr>
            </w:pPr>
            <w:r w:rsidRPr="00AC3044">
              <w:rPr>
                <w:rFonts w:eastAsia="SimSun"/>
              </w:rPr>
              <w:t>–</w:t>
            </w:r>
          </w:p>
        </w:tc>
        <w:tc>
          <w:tcPr>
            <w:tcW w:w="1370" w:type="pct"/>
            <w:vAlign w:val="center"/>
          </w:tcPr>
          <w:p w14:paraId="74593833" w14:textId="77777777" w:rsidR="00304132" w:rsidRPr="00AC3044" w:rsidRDefault="00304132" w:rsidP="00CD5E09">
            <w:pPr>
              <w:rPr>
                <w:rFonts w:eastAsia="SimSun"/>
              </w:rPr>
            </w:pPr>
            <w:r w:rsidRPr="00AC3044">
              <w:rPr>
                <w:rFonts w:eastAsia="SimSun"/>
              </w:rPr>
              <w:t>В соответсвии с клинической ситуацией, в среднем 14-42 дня</w:t>
            </w:r>
          </w:p>
        </w:tc>
        <w:tc>
          <w:tcPr>
            <w:tcW w:w="1229" w:type="pct"/>
          </w:tcPr>
          <w:p w14:paraId="1DCE01C1" w14:textId="77777777" w:rsidR="00304132" w:rsidRPr="00AC3044" w:rsidRDefault="00304132" w:rsidP="00CD5E09">
            <w:pPr>
              <w:rPr>
                <w:rFonts w:eastAsia="SimSun"/>
              </w:rPr>
            </w:pPr>
            <w:r w:rsidRPr="00AC3044">
              <w:rPr>
                <w:rFonts w:eastAsia="SimSun"/>
              </w:rPr>
              <w:t>Внутрь, 1 раз в сутки</w:t>
            </w:r>
          </w:p>
        </w:tc>
      </w:tr>
      <w:tr w:rsidR="00304132" w:rsidRPr="00AC3044" w14:paraId="652950FF" w14:textId="77777777" w:rsidTr="00CD5E09">
        <w:trPr>
          <w:cantSplit/>
          <w:trHeight w:val="464"/>
        </w:trPr>
        <w:tc>
          <w:tcPr>
            <w:tcW w:w="168" w:type="pct"/>
          </w:tcPr>
          <w:p w14:paraId="631E811D" w14:textId="77777777" w:rsidR="00304132" w:rsidRPr="00AC3044" w:rsidRDefault="00304132" w:rsidP="00CD5E09">
            <w:pPr>
              <w:rPr>
                <w:rFonts w:eastAsia="SimSun"/>
              </w:rPr>
            </w:pPr>
            <w:r w:rsidRPr="00AC3044">
              <w:rPr>
                <w:rFonts w:eastAsia="SimSun"/>
              </w:rPr>
              <w:lastRenderedPageBreak/>
              <w:t>4</w:t>
            </w:r>
          </w:p>
        </w:tc>
        <w:tc>
          <w:tcPr>
            <w:tcW w:w="1133" w:type="pct"/>
          </w:tcPr>
          <w:p w14:paraId="244C14A0" w14:textId="77777777" w:rsidR="00304132" w:rsidRPr="00AC3044" w:rsidRDefault="00304132" w:rsidP="00CD5E09">
            <w:pPr>
              <w:rPr>
                <w:rFonts w:eastAsia="SimSun"/>
              </w:rPr>
            </w:pPr>
            <w:r w:rsidRPr="00AC3044">
              <w:rPr>
                <w:rFonts w:eastAsia="SimSun"/>
              </w:rPr>
              <w:t>Рабепразол</w:t>
            </w:r>
          </w:p>
        </w:tc>
        <w:tc>
          <w:tcPr>
            <w:tcW w:w="614" w:type="pct"/>
          </w:tcPr>
          <w:p w14:paraId="15BFF580" w14:textId="77777777" w:rsidR="00304132" w:rsidRPr="00AC3044" w:rsidRDefault="00304132" w:rsidP="00CD5E09">
            <w:pPr>
              <w:rPr>
                <w:rFonts w:eastAsia="SimSun"/>
              </w:rPr>
            </w:pPr>
            <w:r w:rsidRPr="00AC3044">
              <w:rPr>
                <w:rFonts w:eastAsia="SimSun"/>
              </w:rPr>
              <w:t>20</w:t>
            </w:r>
          </w:p>
        </w:tc>
        <w:tc>
          <w:tcPr>
            <w:tcW w:w="486" w:type="pct"/>
            <w:vAlign w:val="center"/>
          </w:tcPr>
          <w:p w14:paraId="0039EBE5" w14:textId="77777777" w:rsidR="00304132" w:rsidRPr="00AC3044" w:rsidRDefault="00304132" w:rsidP="00CD5E09">
            <w:pPr>
              <w:rPr>
                <w:rFonts w:eastAsia="SimSun"/>
              </w:rPr>
            </w:pPr>
            <w:r w:rsidRPr="00AC3044">
              <w:rPr>
                <w:rFonts w:eastAsia="SimSun"/>
              </w:rPr>
              <w:t>–</w:t>
            </w:r>
          </w:p>
        </w:tc>
        <w:tc>
          <w:tcPr>
            <w:tcW w:w="1370" w:type="pct"/>
            <w:vAlign w:val="center"/>
          </w:tcPr>
          <w:p w14:paraId="491B731A" w14:textId="77777777" w:rsidR="00304132" w:rsidRPr="00AC3044" w:rsidRDefault="00304132" w:rsidP="00CD5E09">
            <w:pPr>
              <w:rPr>
                <w:rFonts w:eastAsia="SimSun"/>
              </w:rPr>
            </w:pPr>
            <w:r w:rsidRPr="00AC3044">
              <w:rPr>
                <w:rFonts w:eastAsia="SimSun"/>
              </w:rPr>
              <w:t>В соответсвии с клинической ситуацией, в среднем 14-42 дня</w:t>
            </w:r>
          </w:p>
        </w:tc>
        <w:tc>
          <w:tcPr>
            <w:tcW w:w="1229" w:type="pct"/>
          </w:tcPr>
          <w:p w14:paraId="3D1B8E27" w14:textId="77777777" w:rsidR="00304132" w:rsidRPr="00AC3044" w:rsidRDefault="00304132" w:rsidP="00CD5E09">
            <w:pPr>
              <w:rPr>
                <w:rFonts w:eastAsia="SimSun"/>
              </w:rPr>
            </w:pPr>
            <w:r w:rsidRPr="00AC3044">
              <w:rPr>
                <w:rFonts w:eastAsia="SimSun"/>
              </w:rPr>
              <w:t>Внутрь, 1 раз в сутки</w:t>
            </w:r>
          </w:p>
        </w:tc>
      </w:tr>
      <w:tr w:rsidR="00304132" w:rsidRPr="00AC3044" w14:paraId="6C8599B5" w14:textId="77777777" w:rsidTr="00CD5E09">
        <w:trPr>
          <w:cantSplit/>
          <w:trHeight w:val="464"/>
        </w:trPr>
        <w:tc>
          <w:tcPr>
            <w:tcW w:w="168" w:type="pct"/>
          </w:tcPr>
          <w:p w14:paraId="7D1536E0" w14:textId="77777777" w:rsidR="00304132" w:rsidRPr="00AC3044" w:rsidRDefault="00304132" w:rsidP="00CD5E09">
            <w:pPr>
              <w:rPr>
                <w:rFonts w:eastAsia="SimSun"/>
              </w:rPr>
            </w:pPr>
            <w:r w:rsidRPr="00AC3044">
              <w:rPr>
                <w:rFonts w:eastAsia="SimSun"/>
              </w:rPr>
              <w:t>5</w:t>
            </w:r>
          </w:p>
        </w:tc>
        <w:tc>
          <w:tcPr>
            <w:tcW w:w="1133" w:type="pct"/>
          </w:tcPr>
          <w:p w14:paraId="31E73353" w14:textId="77777777" w:rsidR="00304132" w:rsidRPr="00AC3044" w:rsidRDefault="00304132" w:rsidP="00CD5E09">
            <w:pPr>
              <w:rPr>
                <w:rFonts w:eastAsia="SimSun"/>
              </w:rPr>
            </w:pPr>
            <w:r w:rsidRPr="00AC3044">
              <w:rPr>
                <w:rFonts w:eastAsia="SimSun"/>
              </w:rPr>
              <w:t>Эзомепразол</w:t>
            </w:r>
          </w:p>
        </w:tc>
        <w:tc>
          <w:tcPr>
            <w:tcW w:w="614" w:type="pct"/>
          </w:tcPr>
          <w:p w14:paraId="0DA8CC0D" w14:textId="77777777" w:rsidR="00304132" w:rsidRPr="00AC3044" w:rsidRDefault="00304132" w:rsidP="00CD5E09">
            <w:pPr>
              <w:rPr>
                <w:rFonts w:eastAsia="SimSun"/>
              </w:rPr>
            </w:pPr>
            <w:r w:rsidRPr="00AC3044">
              <w:rPr>
                <w:rFonts w:eastAsia="SimSun"/>
              </w:rPr>
              <w:t>20</w:t>
            </w:r>
          </w:p>
        </w:tc>
        <w:tc>
          <w:tcPr>
            <w:tcW w:w="486" w:type="pct"/>
            <w:vAlign w:val="center"/>
          </w:tcPr>
          <w:p w14:paraId="1FA8BA7C" w14:textId="77777777" w:rsidR="00304132" w:rsidRPr="00AC3044" w:rsidRDefault="00304132" w:rsidP="00CD5E09">
            <w:pPr>
              <w:rPr>
                <w:rFonts w:eastAsia="SimSun"/>
              </w:rPr>
            </w:pPr>
            <w:r w:rsidRPr="00AC3044">
              <w:rPr>
                <w:rFonts w:eastAsia="SimSun"/>
              </w:rPr>
              <w:t>–</w:t>
            </w:r>
          </w:p>
        </w:tc>
        <w:tc>
          <w:tcPr>
            <w:tcW w:w="1370" w:type="pct"/>
            <w:vAlign w:val="center"/>
          </w:tcPr>
          <w:p w14:paraId="2706DD86" w14:textId="77777777" w:rsidR="00304132" w:rsidRPr="00AC3044" w:rsidRDefault="00304132" w:rsidP="00CD5E09">
            <w:pPr>
              <w:rPr>
                <w:rFonts w:eastAsia="SimSun"/>
              </w:rPr>
            </w:pPr>
            <w:r w:rsidRPr="00AC3044">
              <w:rPr>
                <w:rFonts w:eastAsia="SimSun"/>
              </w:rPr>
              <w:t>В соответсвии с клинической ситуацией, в среднем 14-42 дня</w:t>
            </w:r>
          </w:p>
        </w:tc>
        <w:tc>
          <w:tcPr>
            <w:tcW w:w="1229" w:type="pct"/>
          </w:tcPr>
          <w:p w14:paraId="4D6D132E" w14:textId="77777777" w:rsidR="00304132" w:rsidRPr="00AC3044" w:rsidRDefault="00304132" w:rsidP="00CD5E09">
            <w:pPr>
              <w:rPr>
                <w:rFonts w:eastAsia="SimSun"/>
              </w:rPr>
            </w:pPr>
            <w:r w:rsidRPr="00AC3044">
              <w:rPr>
                <w:rFonts w:eastAsia="SimSun"/>
              </w:rPr>
              <w:t>Внутрь или в/в, 1 раз в сутки</w:t>
            </w:r>
          </w:p>
        </w:tc>
      </w:tr>
      <w:tr w:rsidR="00304132" w:rsidRPr="00AC3044" w14:paraId="0D692B88" w14:textId="77777777" w:rsidTr="00CD5E09">
        <w:trPr>
          <w:cantSplit/>
          <w:trHeight w:val="464"/>
        </w:trPr>
        <w:tc>
          <w:tcPr>
            <w:tcW w:w="168" w:type="pct"/>
          </w:tcPr>
          <w:p w14:paraId="5C66B854" w14:textId="77777777" w:rsidR="00304132" w:rsidRPr="00AC3044" w:rsidRDefault="00304132" w:rsidP="00CD5E09">
            <w:pPr>
              <w:rPr>
                <w:rFonts w:eastAsia="SimSun"/>
              </w:rPr>
            </w:pPr>
            <w:r w:rsidRPr="00AC3044">
              <w:rPr>
                <w:rFonts w:eastAsia="SimSun"/>
              </w:rPr>
              <w:t>6</w:t>
            </w:r>
          </w:p>
        </w:tc>
        <w:tc>
          <w:tcPr>
            <w:tcW w:w="1133" w:type="pct"/>
          </w:tcPr>
          <w:p w14:paraId="6BBA46DB" w14:textId="77777777" w:rsidR="00304132" w:rsidRPr="00AC3044" w:rsidRDefault="00304132" w:rsidP="00CD5E09">
            <w:pPr>
              <w:rPr>
                <w:rFonts w:eastAsia="SimSun"/>
              </w:rPr>
            </w:pPr>
            <w:r w:rsidRPr="00AC3044">
              <w:rPr>
                <w:rFonts w:eastAsia="SimSun"/>
              </w:rPr>
              <w:t>Ранитидин</w:t>
            </w:r>
          </w:p>
        </w:tc>
        <w:tc>
          <w:tcPr>
            <w:tcW w:w="614" w:type="pct"/>
          </w:tcPr>
          <w:p w14:paraId="643D1F51" w14:textId="77777777" w:rsidR="00304132" w:rsidRPr="00AC3044" w:rsidRDefault="00304132" w:rsidP="00CD5E09">
            <w:pPr>
              <w:rPr>
                <w:rFonts w:eastAsia="SimSun"/>
              </w:rPr>
            </w:pPr>
            <w:r w:rsidRPr="00AC3044">
              <w:rPr>
                <w:rFonts w:eastAsia="SimSun"/>
              </w:rPr>
              <w:t>150</w:t>
            </w:r>
          </w:p>
        </w:tc>
        <w:tc>
          <w:tcPr>
            <w:tcW w:w="486" w:type="pct"/>
            <w:vAlign w:val="center"/>
          </w:tcPr>
          <w:p w14:paraId="17E745AA" w14:textId="77777777" w:rsidR="00304132" w:rsidRPr="00AC3044" w:rsidRDefault="00304132" w:rsidP="00CD5E09">
            <w:pPr>
              <w:rPr>
                <w:rFonts w:eastAsia="SimSun"/>
              </w:rPr>
            </w:pPr>
            <w:r w:rsidRPr="00AC3044">
              <w:rPr>
                <w:rFonts w:eastAsia="SimSun"/>
              </w:rPr>
              <w:t>–</w:t>
            </w:r>
          </w:p>
        </w:tc>
        <w:tc>
          <w:tcPr>
            <w:tcW w:w="1370" w:type="pct"/>
            <w:vAlign w:val="center"/>
          </w:tcPr>
          <w:p w14:paraId="1E683911" w14:textId="77777777" w:rsidR="00304132" w:rsidRPr="00AC3044" w:rsidRDefault="00304132" w:rsidP="00CD5E09">
            <w:pPr>
              <w:rPr>
                <w:rFonts w:eastAsia="SimSun"/>
              </w:rPr>
            </w:pPr>
            <w:r w:rsidRPr="00AC3044">
              <w:rPr>
                <w:rFonts w:eastAsia="SimSun"/>
              </w:rPr>
              <w:t>В соответсвии с клинической ситуацией, в среднем 14-42 дня</w:t>
            </w:r>
          </w:p>
        </w:tc>
        <w:tc>
          <w:tcPr>
            <w:tcW w:w="1229" w:type="pct"/>
          </w:tcPr>
          <w:p w14:paraId="1F61FE65" w14:textId="77777777" w:rsidR="00304132" w:rsidRPr="00AC3044" w:rsidRDefault="00304132" w:rsidP="00CD5E09">
            <w:pPr>
              <w:rPr>
                <w:rFonts w:eastAsia="SimSun"/>
              </w:rPr>
            </w:pPr>
            <w:r w:rsidRPr="00AC3044">
              <w:rPr>
                <w:rFonts w:eastAsia="SimSun"/>
              </w:rPr>
              <w:t>Внутрь, 1 раз в сутки, на ночь</w:t>
            </w:r>
          </w:p>
        </w:tc>
      </w:tr>
      <w:tr w:rsidR="00304132" w:rsidRPr="00AC3044" w14:paraId="774E3B2B" w14:textId="77777777" w:rsidTr="00CD5E09">
        <w:trPr>
          <w:cantSplit/>
          <w:trHeight w:val="464"/>
        </w:trPr>
        <w:tc>
          <w:tcPr>
            <w:tcW w:w="168" w:type="pct"/>
          </w:tcPr>
          <w:p w14:paraId="16B7B4C9" w14:textId="77777777" w:rsidR="00304132" w:rsidRPr="00AC3044" w:rsidRDefault="00304132" w:rsidP="00CD5E09">
            <w:pPr>
              <w:rPr>
                <w:rFonts w:eastAsia="SimSun"/>
              </w:rPr>
            </w:pPr>
            <w:r w:rsidRPr="00AC3044">
              <w:rPr>
                <w:rFonts w:eastAsia="SimSun"/>
              </w:rPr>
              <w:t>7</w:t>
            </w:r>
          </w:p>
        </w:tc>
        <w:tc>
          <w:tcPr>
            <w:tcW w:w="1133" w:type="pct"/>
          </w:tcPr>
          <w:p w14:paraId="209F3539" w14:textId="77777777" w:rsidR="00304132" w:rsidRPr="00AC3044" w:rsidRDefault="00304132" w:rsidP="00CD5E09">
            <w:pPr>
              <w:rPr>
                <w:rFonts w:eastAsia="SimSun"/>
              </w:rPr>
            </w:pPr>
            <w:r w:rsidRPr="00AC3044">
              <w:rPr>
                <w:rFonts w:eastAsia="SimSun"/>
              </w:rPr>
              <w:t>Фамотидин</w:t>
            </w:r>
          </w:p>
        </w:tc>
        <w:tc>
          <w:tcPr>
            <w:tcW w:w="614" w:type="pct"/>
          </w:tcPr>
          <w:p w14:paraId="16C99A03" w14:textId="77777777" w:rsidR="00304132" w:rsidRPr="00AC3044" w:rsidRDefault="00304132" w:rsidP="00CD5E09">
            <w:pPr>
              <w:rPr>
                <w:rFonts w:eastAsia="SimSun"/>
              </w:rPr>
            </w:pPr>
            <w:r w:rsidRPr="00AC3044">
              <w:rPr>
                <w:rFonts w:eastAsia="SimSun"/>
              </w:rPr>
              <w:t xml:space="preserve">20 </w:t>
            </w:r>
          </w:p>
        </w:tc>
        <w:tc>
          <w:tcPr>
            <w:tcW w:w="486" w:type="pct"/>
            <w:vAlign w:val="center"/>
          </w:tcPr>
          <w:p w14:paraId="4F261172" w14:textId="77777777" w:rsidR="00304132" w:rsidRPr="00AC3044" w:rsidRDefault="00304132" w:rsidP="00CD5E09">
            <w:pPr>
              <w:rPr>
                <w:rFonts w:eastAsia="SimSun"/>
              </w:rPr>
            </w:pPr>
            <w:r w:rsidRPr="00AC3044">
              <w:rPr>
                <w:rFonts w:eastAsia="SimSun"/>
              </w:rPr>
              <w:t>–</w:t>
            </w:r>
          </w:p>
        </w:tc>
        <w:tc>
          <w:tcPr>
            <w:tcW w:w="1370" w:type="pct"/>
            <w:vAlign w:val="center"/>
          </w:tcPr>
          <w:p w14:paraId="027830A3" w14:textId="77777777" w:rsidR="00304132" w:rsidRPr="00AC3044" w:rsidRDefault="00304132" w:rsidP="00CD5E09">
            <w:pPr>
              <w:rPr>
                <w:rFonts w:eastAsia="SimSun"/>
              </w:rPr>
            </w:pPr>
            <w:r w:rsidRPr="00AC3044">
              <w:rPr>
                <w:rFonts w:eastAsia="SimSun"/>
              </w:rPr>
              <w:t>В соответсвии с клинической ситуацией, в среднем 14-42 дня</w:t>
            </w:r>
          </w:p>
        </w:tc>
        <w:tc>
          <w:tcPr>
            <w:tcW w:w="1229" w:type="pct"/>
          </w:tcPr>
          <w:p w14:paraId="57EE981B" w14:textId="77777777" w:rsidR="00304132" w:rsidRPr="00AC3044" w:rsidRDefault="00304132" w:rsidP="00CD5E09">
            <w:pPr>
              <w:rPr>
                <w:rFonts w:eastAsia="SimSun"/>
              </w:rPr>
            </w:pPr>
            <w:r w:rsidRPr="00AC3044">
              <w:rPr>
                <w:rFonts w:eastAsia="SimSun"/>
              </w:rPr>
              <w:t>Внутрь, 1 раз в сутки, на ночь</w:t>
            </w:r>
          </w:p>
        </w:tc>
      </w:tr>
      <w:tr w:rsidR="00304132" w:rsidRPr="00AC3044" w14:paraId="46B8D381" w14:textId="77777777" w:rsidTr="00CD5E09">
        <w:trPr>
          <w:cantSplit/>
          <w:trHeight w:val="20"/>
        </w:trPr>
        <w:tc>
          <w:tcPr>
            <w:tcW w:w="5000" w:type="pct"/>
            <w:gridSpan w:val="6"/>
          </w:tcPr>
          <w:p w14:paraId="0F40DF07" w14:textId="77777777" w:rsidR="00304132" w:rsidRPr="00AC3044" w:rsidRDefault="00304132" w:rsidP="00CD5E09">
            <w:pPr>
              <w:rPr>
                <w:rFonts w:eastAsia="SimSun"/>
              </w:rPr>
            </w:pPr>
            <w:r w:rsidRPr="00AC3044">
              <w:rPr>
                <w:rFonts w:eastAsia="SimSun"/>
              </w:rPr>
              <w:t>Наркотическая обезболивающая терапия</w:t>
            </w:r>
          </w:p>
        </w:tc>
      </w:tr>
      <w:tr w:rsidR="00304132" w:rsidRPr="00AC3044" w14:paraId="0FE7AC0E" w14:textId="77777777" w:rsidTr="00CD5E09">
        <w:trPr>
          <w:cantSplit/>
          <w:trHeight w:val="20"/>
        </w:trPr>
        <w:tc>
          <w:tcPr>
            <w:tcW w:w="168" w:type="pct"/>
          </w:tcPr>
          <w:p w14:paraId="3B96CC0A" w14:textId="77777777" w:rsidR="00304132" w:rsidRPr="00AC3044" w:rsidRDefault="00304132" w:rsidP="00CD5E09">
            <w:pPr>
              <w:rPr>
                <w:rFonts w:eastAsia="SimSun"/>
              </w:rPr>
            </w:pPr>
            <w:r w:rsidRPr="00AC3044">
              <w:rPr>
                <w:rFonts w:eastAsia="SimSun"/>
              </w:rPr>
              <w:t>1</w:t>
            </w:r>
          </w:p>
        </w:tc>
        <w:tc>
          <w:tcPr>
            <w:tcW w:w="1133" w:type="pct"/>
            <w:vAlign w:val="center"/>
          </w:tcPr>
          <w:p w14:paraId="231E5CBF" w14:textId="77777777" w:rsidR="00304132" w:rsidRPr="00AC3044" w:rsidRDefault="00304132" w:rsidP="00CD5E09">
            <w:pPr>
              <w:rPr>
                <w:rFonts w:eastAsia="SimSun"/>
              </w:rPr>
            </w:pPr>
            <w:r w:rsidRPr="00AC3044">
              <w:rPr>
                <w:rFonts w:eastAsia="SimSun"/>
              </w:rPr>
              <w:t xml:space="preserve">Промедол </w:t>
            </w:r>
          </w:p>
        </w:tc>
        <w:tc>
          <w:tcPr>
            <w:tcW w:w="2470" w:type="pct"/>
            <w:gridSpan w:val="3"/>
            <w:vAlign w:val="center"/>
          </w:tcPr>
          <w:p w14:paraId="5ED8DF4E" w14:textId="77777777" w:rsidR="00304132" w:rsidRPr="00AC3044" w:rsidRDefault="00304132" w:rsidP="00CD5E09">
            <w:pPr>
              <w:rPr>
                <w:rFonts w:eastAsia="SimSun"/>
              </w:rPr>
            </w:pPr>
            <w:r w:rsidRPr="00AC3044">
              <w:rPr>
                <w:rFonts w:eastAsia="SimSun"/>
              </w:rPr>
              <w:t>В соответсвии с клинической ситуацией</w:t>
            </w:r>
          </w:p>
        </w:tc>
        <w:tc>
          <w:tcPr>
            <w:tcW w:w="1229" w:type="pct"/>
            <w:vAlign w:val="center"/>
          </w:tcPr>
          <w:p w14:paraId="40FB9DF6" w14:textId="77777777" w:rsidR="00304132" w:rsidRPr="00AC3044" w:rsidRDefault="00304132" w:rsidP="00CD5E09">
            <w:pPr>
              <w:rPr>
                <w:rFonts w:eastAsia="SimSun"/>
              </w:rPr>
            </w:pPr>
            <w:r w:rsidRPr="00AC3044">
              <w:rPr>
                <w:rFonts w:eastAsia="SimSun"/>
              </w:rPr>
              <w:t>В/в</w:t>
            </w:r>
          </w:p>
        </w:tc>
      </w:tr>
      <w:tr w:rsidR="00304132" w:rsidRPr="00AC3044" w14:paraId="4DA4641C" w14:textId="77777777" w:rsidTr="00CD5E09">
        <w:trPr>
          <w:cantSplit/>
          <w:trHeight w:val="20"/>
        </w:trPr>
        <w:tc>
          <w:tcPr>
            <w:tcW w:w="168" w:type="pct"/>
          </w:tcPr>
          <w:p w14:paraId="45C045B7" w14:textId="77777777" w:rsidR="00304132" w:rsidRPr="00AC3044" w:rsidRDefault="00304132" w:rsidP="00CD5E09">
            <w:pPr>
              <w:rPr>
                <w:rFonts w:eastAsia="SimSun"/>
              </w:rPr>
            </w:pPr>
            <w:r w:rsidRPr="00AC3044">
              <w:rPr>
                <w:rFonts w:eastAsia="SimSun"/>
              </w:rPr>
              <w:t>2</w:t>
            </w:r>
          </w:p>
        </w:tc>
        <w:tc>
          <w:tcPr>
            <w:tcW w:w="1133" w:type="pct"/>
            <w:vAlign w:val="center"/>
          </w:tcPr>
          <w:p w14:paraId="7C3F52E5" w14:textId="77777777" w:rsidR="00304132" w:rsidRPr="00AC3044" w:rsidRDefault="00304132" w:rsidP="00CD5E09">
            <w:pPr>
              <w:rPr>
                <w:rFonts w:eastAsia="SimSun"/>
              </w:rPr>
            </w:pPr>
            <w:r w:rsidRPr="00AC3044">
              <w:rPr>
                <w:rFonts w:eastAsia="SimSun"/>
              </w:rPr>
              <w:t>Трамадол</w:t>
            </w:r>
          </w:p>
        </w:tc>
        <w:tc>
          <w:tcPr>
            <w:tcW w:w="2470" w:type="pct"/>
            <w:gridSpan w:val="3"/>
            <w:vAlign w:val="center"/>
          </w:tcPr>
          <w:p w14:paraId="245C1E18" w14:textId="77777777" w:rsidR="00304132" w:rsidRPr="00AC3044" w:rsidRDefault="00304132" w:rsidP="00CD5E09">
            <w:pPr>
              <w:rPr>
                <w:rFonts w:eastAsia="SimSun"/>
              </w:rPr>
            </w:pPr>
            <w:r w:rsidRPr="00AC3044">
              <w:rPr>
                <w:rFonts w:eastAsia="SimSun"/>
              </w:rPr>
              <w:t>В соответсвии с клинической ситуацией</w:t>
            </w:r>
          </w:p>
        </w:tc>
        <w:tc>
          <w:tcPr>
            <w:tcW w:w="1229" w:type="pct"/>
            <w:vAlign w:val="center"/>
          </w:tcPr>
          <w:p w14:paraId="7CFB3EC7" w14:textId="77777777" w:rsidR="00304132" w:rsidRPr="00AC3044" w:rsidRDefault="00304132" w:rsidP="00CD5E09">
            <w:pPr>
              <w:rPr>
                <w:rFonts w:eastAsia="SimSun"/>
              </w:rPr>
            </w:pPr>
            <w:r w:rsidRPr="00AC3044">
              <w:rPr>
                <w:rFonts w:eastAsia="SimSun"/>
              </w:rPr>
              <w:t>В/в</w:t>
            </w:r>
          </w:p>
        </w:tc>
      </w:tr>
      <w:tr w:rsidR="00304132" w:rsidRPr="00AC3044" w14:paraId="37FD57D1" w14:textId="77777777" w:rsidTr="00CD5E09">
        <w:trPr>
          <w:cantSplit/>
          <w:trHeight w:val="20"/>
        </w:trPr>
        <w:tc>
          <w:tcPr>
            <w:tcW w:w="168" w:type="pct"/>
          </w:tcPr>
          <w:p w14:paraId="36A15DEA" w14:textId="77777777" w:rsidR="00304132" w:rsidRPr="00AC3044" w:rsidRDefault="00304132" w:rsidP="00CD5E09">
            <w:pPr>
              <w:rPr>
                <w:rFonts w:eastAsia="SimSun"/>
              </w:rPr>
            </w:pPr>
            <w:r w:rsidRPr="00AC3044">
              <w:rPr>
                <w:rFonts w:eastAsia="SimSun"/>
              </w:rPr>
              <w:t>3</w:t>
            </w:r>
          </w:p>
        </w:tc>
        <w:tc>
          <w:tcPr>
            <w:tcW w:w="1133" w:type="pct"/>
            <w:vAlign w:val="center"/>
          </w:tcPr>
          <w:p w14:paraId="679CA861" w14:textId="77777777" w:rsidR="00304132" w:rsidRPr="00AC3044" w:rsidRDefault="00304132" w:rsidP="00CD5E09">
            <w:pPr>
              <w:rPr>
                <w:rFonts w:eastAsia="SimSun"/>
              </w:rPr>
            </w:pPr>
            <w:r w:rsidRPr="00AC3044">
              <w:rPr>
                <w:rFonts w:eastAsia="SimSun"/>
              </w:rPr>
              <w:t>Фентанил</w:t>
            </w:r>
          </w:p>
        </w:tc>
        <w:tc>
          <w:tcPr>
            <w:tcW w:w="2470" w:type="pct"/>
            <w:gridSpan w:val="3"/>
            <w:vAlign w:val="center"/>
          </w:tcPr>
          <w:p w14:paraId="7FF4914A" w14:textId="77777777" w:rsidR="00304132" w:rsidRPr="00AC3044" w:rsidRDefault="00304132" w:rsidP="00CD5E09">
            <w:pPr>
              <w:rPr>
                <w:rFonts w:eastAsia="SimSun"/>
              </w:rPr>
            </w:pPr>
            <w:r w:rsidRPr="00AC3044">
              <w:rPr>
                <w:rFonts w:eastAsia="SimSun"/>
              </w:rPr>
              <w:t>В соответсвии с клинической ситуацией</w:t>
            </w:r>
          </w:p>
        </w:tc>
        <w:tc>
          <w:tcPr>
            <w:tcW w:w="1229" w:type="pct"/>
            <w:vAlign w:val="center"/>
          </w:tcPr>
          <w:p w14:paraId="6476ADFB" w14:textId="77777777" w:rsidR="00304132" w:rsidRPr="00AC3044" w:rsidRDefault="00304132" w:rsidP="00CD5E09">
            <w:pPr>
              <w:rPr>
                <w:rFonts w:eastAsia="SimSun"/>
              </w:rPr>
            </w:pPr>
            <w:r w:rsidRPr="00AC3044">
              <w:rPr>
                <w:rFonts w:eastAsia="SimSun"/>
              </w:rPr>
              <w:t>Трансдермально</w:t>
            </w:r>
          </w:p>
        </w:tc>
      </w:tr>
      <w:tr w:rsidR="00304132" w:rsidRPr="00AC3044" w14:paraId="0D42A0D5" w14:textId="77777777" w:rsidTr="00CD5E09">
        <w:trPr>
          <w:cantSplit/>
          <w:trHeight w:val="20"/>
        </w:trPr>
        <w:tc>
          <w:tcPr>
            <w:tcW w:w="168" w:type="pct"/>
          </w:tcPr>
          <w:p w14:paraId="0D1EBA68" w14:textId="77777777" w:rsidR="00304132" w:rsidRPr="00AC3044" w:rsidRDefault="00304132" w:rsidP="00CD5E09">
            <w:pPr>
              <w:rPr>
                <w:rFonts w:eastAsia="SimSun"/>
              </w:rPr>
            </w:pPr>
            <w:r w:rsidRPr="00AC3044">
              <w:rPr>
                <w:rFonts w:eastAsia="SimSun"/>
              </w:rPr>
              <w:t>4</w:t>
            </w:r>
          </w:p>
        </w:tc>
        <w:tc>
          <w:tcPr>
            <w:tcW w:w="1133" w:type="pct"/>
            <w:vAlign w:val="center"/>
          </w:tcPr>
          <w:p w14:paraId="6EE1D436" w14:textId="77777777" w:rsidR="00304132" w:rsidRPr="00AC3044" w:rsidRDefault="00304132" w:rsidP="00CD5E09">
            <w:pPr>
              <w:rPr>
                <w:rFonts w:eastAsia="SimSun"/>
              </w:rPr>
            </w:pPr>
            <w:r w:rsidRPr="00AC3044">
              <w:rPr>
                <w:rFonts w:eastAsia="SimSun"/>
              </w:rPr>
              <w:t>Морфин</w:t>
            </w:r>
          </w:p>
        </w:tc>
        <w:tc>
          <w:tcPr>
            <w:tcW w:w="2470" w:type="pct"/>
            <w:gridSpan w:val="3"/>
            <w:vAlign w:val="center"/>
          </w:tcPr>
          <w:p w14:paraId="689710CE" w14:textId="77777777" w:rsidR="00304132" w:rsidRPr="00AC3044" w:rsidRDefault="00304132" w:rsidP="00CD5E09">
            <w:pPr>
              <w:rPr>
                <w:rFonts w:eastAsia="SimSun"/>
              </w:rPr>
            </w:pPr>
            <w:r w:rsidRPr="00AC3044">
              <w:rPr>
                <w:rFonts w:eastAsia="SimSun"/>
              </w:rPr>
              <w:t>В соответсвии с клинической ситуацией</w:t>
            </w:r>
          </w:p>
        </w:tc>
        <w:tc>
          <w:tcPr>
            <w:tcW w:w="1229" w:type="pct"/>
            <w:vAlign w:val="center"/>
          </w:tcPr>
          <w:p w14:paraId="066C8BFA" w14:textId="77777777" w:rsidR="00304132" w:rsidRPr="00AC3044" w:rsidRDefault="00304132" w:rsidP="00CD5E09">
            <w:pPr>
              <w:rPr>
                <w:rFonts w:eastAsia="SimSun"/>
              </w:rPr>
            </w:pPr>
            <w:r w:rsidRPr="00AC3044">
              <w:rPr>
                <w:rFonts w:eastAsia="SimSun"/>
              </w:rPr>
              <w:t>В/в</w:t>
            </w:r>
          </w:p>
        </w:tc>
      </w:tr>
      <w:tr w:rsidR="00304132" w:rsidRPr="00AC3044" w14:paraId="14C7D7E7" w14:textId="77777777" w:rsidTr="00CD5E09">
        <w:trPr>
          <w:cantSplit/>
          <w:trHeight w:val="20"/>
        </w:trPr>
        <w:tc>
          <w:tcPr>
            <w:tcW w:w="5000" w:type="pct"/>
            <w:gridSpan w:val="6"/>
          </w:tcPr>
          <w:p w14:paraId="5020C8E5" w14:textId="77777777" w:rsidR="00304132" w:rsidRPr="00AC3044" w:rsidRDefault="00304132" w:rsidP="00CD5E09">
            <w:pPr>
              <w:rPr>
                <w:rFonts w:eastAsia="SimSun"/>
              </w:rPr>
            </w:pPr>
            <w:r w:rsidRPr="00AC3044">
              <w:rPr>
                <w:rFonts w:eastAsia="SimSun"/>
              </w:rPr>
              <w:t>Другое</w:t>
            </w:r>
          </w:p>
        </w:tc>
      </w:tr>
      <w:tr w:rsidR="00304132" w:rsidRPr="00AC3044" w14:paraId="1526A948" w14:textId="77777777" w:rsidTr="00CD5E09">
        <w:trPr>
          <w:cantSplit/>
          <w:trHeight w:val="20"/>
        </w:trPr>
        <w:tc>
          <w:tcPr>
            <w:tcW w:w="168" w:type="pct"/>
          </w:tcPr>
          <w:p w14:paraId="51B2832C" w14:textId="77777777" w:rsidR="00304132" w:rsidRPr="00AC3044" w:rsidRDefault="00304132" w:rsidP="00CD5E09">
            <w:pPr>
              <w:rPr>
                <w:rFonts w:eastAsia="SimSun"/>
              </w:rPr>
            </w:pPr>
            <w:r w:rsidRPr="00AC3044">
              <w:rPr>
                <w:rFonts w:eastAsia="SimSun"/>
              </w:rPr>
              <w:t>1</w:t>
            </w:r>
          </w:p>
        </w:tc>
        <w:tc>
          <w:tcPr>
            <w:tcW w:w="1133" w:type="pct"/>
            <w:vAlign w:val="center"/>
          </w:tcPr>
          <w:p w14:paraId="485F090C" w14:textId="77777777" w:rsidR="00304132" w:rsidRPr="00AC3044" w:rsidRDefault="00304132" w:rsidP="00CD5E09">
            <w:pPr>
              <w:rPr>
                <w:rFonts w:eastAsia="SimSun"/>
              </w:rPr>
            </w:pPr>
            <w:r w:rsidRPr="00AC3044">
              <w:rPr>
                <w:rFonts w:eastAsia="SimSun"/>
              </w:rPr>
              <w:t>Месна</w:t>
            </w:r>
          </w:p>
        </w:tc>
        <w:tc>
          <w:tcPr>
            <w:tcW w:w="614" w:type="pct"/>
            <w:vAlign w:val="center"/>
          </w:tcPr>
          <w:p w14:paraId="00EAF7F1" w14:textId="77777777" w:rsidR="00304132" w:rsidRPr="00AC3044" w:rsidRDefault="00304132" w:rsidP="00CD5E09">
            <w:pPr>
              <w:rPr>
                <w:rFonts w:eastAsia="SimSun"/>
              </w:rPr>
            </w:pPr>
            <w:r w:rsidRPr="00AC3044">
              <w:rPr>
                <w:rFonts w:eastAsia="SimSun"/>
              </w:rPr>
              <w:t>120% от дозы ЦФ</w:t>
            </w:r>
          </w:p>
        </w:tc>
        <w:tc>
          <w:tcPr>
            <w:tcW w:w="486" w:type="pct"/>
            <w:vAlign w:val="center"/>
          </w:tcPr>
          <w:p w14:paraId="51367F37" w14:textId="77777777" w:rsidR="00304132" w:rsidRPr="00AC3044" w:rsidRDefault="00304132" w:rsidP="00CD5E09">
            <w:pPr>
              <w:rPr>
                <w:rFonts w:eastAsia="SimSun"/>
              </w:rPr>
            </w:pPr>
            <w:r w:rsidRPr="00AC3044">
              <w:rPr>
                <w:rFonts w:eastAsia="SimSun"/>
              </w:rPr>
              <w:t>–</w:t>
            </w:r>
          </w:p>
        </w:tc>
        <w:tc>
          <w:tcPr>
            <w:tcW w:w="1370" w:type="pct"/>
            <w:vAlign w:val="center"/>
          </w:tcPr>
          <w:p w14:paraId="32BB3055" w14:textId="77777777" w:rsidR="00304132" w:rsidRPr="00AC3044" w:rsidRDefault="00304132" w:rsidP="00CD5E09">
            <w:pPr>
              <w:rPr>
                <w:rFonts w:eastAsia="SimSun"/>
              </w:rPr>
            </w:pPr>
            <w:r w:rsidRPr="00AC3044">
              <w:rPr>
                <w:rFonts w:eastAsia="SimSun"/>
              </w:rPr>
              <w:t>В дни введения ЦФ</w:t>
            </w:r>
          </w:p>
        </w:tc>
        <w:tc>
          <w:tcPr>
            <w:tcW w:w="1229" w:type="pct"/>
            <w:vAlign w:val="center"/>
          </w:tcPr>
          <w:p w14:paraId="5239F988" w14:textId="77777777" w:rsidR="00304132" w:rsidRPr="00AC3044" w:rsidRDefault="00304132" w:rsidP="00CD5E09">
            <w:pPr>
              <w:rPr>
                <w:rFonts w:eastAsia="SimSun"/>
              </w:rPr>
            </w:pPr>
            <w:r w:rsidRPr="00AC3044">
              <w:rPr>
                <w:rFonts w:eastAsia="SimSun"/>
              </w:rPr>
              <w:t xml:space="preserve">В/в, инфузия в течение 24 ч, начиная за 2 ч до введения ЦФ </w:t>
            </w:r>
          </w:p>
        </w:tc>
      </w:tr>
      <w:tr w:rsidR="00304132" w:rsidRPr="00AC3044" w14:paraId="73D4E940" w14:textId="77777777" w:rsidTr="00CD5E09">
        <w:trPr>
          <w:cantSplit/>
          <w:trHeight w:val="20"/>
        </w:trPr>
        <w:tc>
          <w:tcPr>
            <w:tcW w:w="168" w:type="pct"/>
          </w:tcPr>
          <w:p w14:paraId="0738DE97" w14:textId="77777777" w:rsidR="00304132" w:rsidRPr="00AC3044" w:rsidRDefault="00304132" w:rsidP="00CD5E09">
            <w:pPr>
              <w:rPr>
                <w:rFonts w:eastAsia="SimSun"/>
              </w:rPr>
            </w:pPr>
            <w:r w:rsidRPr="00AC3044">
              <w:rPr>
                <w:rFonts w:eastAsia="SimSun"/>
              </w:rPr>
              <w:t>2</w:t>
            </w:r>
          </w:p>
        </w:tc>
        <w:tc>
          <w:tcPr>
            <w:tcW w:w="1133" w:type="pct"/>
            <w:vAlign w:val="center"/>
          </w:tcPr>
          <w:p w14:paraId="2BBFF982" w14:textId="77777777" w:rsidR="00304132" w:rsidRPr="00AC3044" w:rsidRDefault="00304132" w:rsidP="00CD5E09">
            <w:pPr>
              <w:rPr>
                <w:rFonts w:eastAsia="SimSun"/>
              </w:rPr>
            </w:pPr>
            <w:r w:rsidRPr="00AC3044">
              <w:rPr>
                <w:rFonts w:eastAsia="SimSun"/>
              </w:rPr>
              <w:t>Кальция фолинат</w:t>
            </w:r>
          </w:p>
        </w:tc>
        <w:tc>
          <w:tcPr>
            <w:tcW w:w="614" w:type="pct"/>
            <w:vAlign w:val="center"/>
          </w:tcPr>
          <w:p w14:paraId="7ED3C1F8" w14:textId="77777777" w:rsidR="00304132" w:rsidRPr="00AC3044" w:rsidRDefault="00304132" w:rsidP="00CD5E09">
            <w:pPr>
              <w:rPr>
                <w:rFonts w:eastAsia="SimSun"/>
              </w:rPr>
            </w:pPr>
            <w:r w:rsidRPr="00AC3044">
              <w:rPr>
                <w:rFonts w:eastAsia="SimSun"/>
              </w:rPr>
              <w:t>50 мг</w:t>
            </w:r>
          </w:p>
        </w:tc>
        <w:tc>
          <w:tcPr>
            <w:tcW w:w="486" w:type="pct"/>
            <w:vAlign w:val="center"/>
          </w:tcPr>
          <w:p w14:paraId="1CC54DD1" w14:textId="77777777" w:rsidR="00304132" w:rsidRPr="00AC3044" w:rsidRDefault="00304132" w:rsidP="00CD5E09">
            <w:pPr>
              <w:rPr>
                <w:rFonts w:eastAsia="SimSun"/>
              </w:rPr>
            </w:pPr>
            <w:r w:rsidRPr="00AC3044">
              <w:rPr>
                <w:rFonts w:eastAsia="SimSun"/>
              </w:rPr>
              <w:t>–</w:t>
            </w:r>
          </w:p>
        </w:tc>
        <w:tc>
          <w:tcPr>
            <w:tcW w:w="1370" w:type="pct"/>
            <w:vAlign w:val="center"/>
          </w:tcPr>
          <w:p w14:paraId="5847152E" w14:textId="77777777" w:rsidR="00304132" w:rsidRPr="00AC3044" w:rsidRDefault="00304132" w:rsidP="00CD5E09">
            <w:pPr>
              <w:rPr>
                <w:rFonts w:eastAsia="SimSun"/>
              </w:rPr>
            </w:pPr>
            <w:r w:rsidRPr="00AC3044">
              <w:rPr>
                <w:rFonts w:eastAsia="SimSun"/>
              </w:rPr>
              <w:t>В случае применения метотрексата в качестве профилактики РТПХ</w:t>
            </w:r>
          </w:p>
          <w:p w14:paraId="3A045FC7" w14:textId="77777777" w:rsidR="00304132" w:rsidRPr="00AC3044" w:rsidRDefault="00304132" w:rsidP="00CD5E09">
            <w:pPr>
              <w:rPr>
                <w:rFonts w:eastAsia="SimSun"/>
              </w:rPr>
            </w:pPr>
            <w:r w:rsidRPr="00AC3044">
              <w:rPr>
                <w:rFonts w:eastAsia="SimSun"/>
              </w:rPr>
              <w:t xml:space="preserve">+2, +4, +7, +12 дни </w:t>
            </w:r>
          </w:p>
        </w:tc>
        <w:tc>
          <w:tcPr>
            <w:tcW w:w="1229" w:type="pct"/>
            <w:vAlign w:val="center"/>
          </w:tcPr>
          <w:p w14:paraId="54DB1581" w14:textId="77777777" w:rsidR="00304132" w:rsidRPr="00AC3044" w:rsidRDefault="00304132" w:rsidP="00CD5E09">
            <w:pPr>
              <w:rPr>
                <w:rFonts w:eastAsia="SimSun"/>
              </w:rPr>
            </w:pPr>
            <w:r w:rsidRPr="00AC3044">
              <w:rPr>
                <w:rFonts w:eastAsia="SimSun"/>
              </w:rPr>
              <w:t xml:space="preserve">В/в, в 20 мл физ. р-ра  </w:t>
            </w:r>
          </w:p>
        </w:tc>
      </w:tr>
      <w:tr w:rsidR="00304132" w:rsidRPr="00AC3044" w14:paraId="78C55CDA" w14:textId="77777777" w:rsidTr="00CD5E09">
        <w:trPr>
          <w:trHeight w:val="20"/>
        </w:trPr>
        <w:tc>
          <w:tcPr>
            <w:tcW w:w="168" w:type="pct"/>
          </w:tcPr>
          <w:p w14:paraId="4A0531F6" w14:textId="77777777" w:rsidR="00304132" w:rsidRPr="00AC3044" w:rsidRDefault="00304132" w:rsidP="00CD5E09">
            <w:pPr>
              <w:rPr>
                <w:rFonts w:eastAsia="SimSun"/>
              </w:rPr>
            </w:pPr>
            <w:r w:rsidRPr="00AC3044">
              <w:rPr>
                <w:rFonts w:eastAsia="SimSun"/>
              </w:rPr>
              <w:t>3</w:t>
            </w:r>
          </w:p>
        </w:tc>
        <w:tc>
          <w:tcPr>
            <w:tcW w:w="1133" w:type="pct"/>
            <w:vAlign w:val="center"/>
          </w:tcPr>
          <w:p w14:paraId="445A91FE" w14:textId="77777777" w:rsidR="00304132" w:rsidRPr="00AC3044" w:rsidRDefault="00304132" w:rsidP="00CD5E09">
            <w:pPr>
              <w:rPr>
                <w:rFonts w:eastAsia="SimSun"/>
              </w:rPr>
            </w:pPr>
            <w:r w:rsidRPr="00AC3044">
              <w:rPr>
                <w:rFonts w:eastAsia="SimSun"/>
              </w:rPr>
              <w:t xml:space="preserve">Аллопуринол </w:t>
            </w:r>
          </w:p>
        </w:tc>
        <w:tc>
          <w:tcPr>
            <w:tcW w:w="614" w:type="pct"/>
            <w:vAlign w:val="center"/>
          </w:tcPr>
          <w:p w14:paraId="619F9F21" w14:textId="77777777" w:rsidR="00304132" w:rsidRPr="00AC3044" w:rsidRDefault="00304132" w:rsidP="00CD5E09">
            <w:pPr>
              <w:rPr>
                <w:rFonts w:eastAsia="SimSun"/>
              </w:rPr>
            </w:pPr>
            <w:r w:rsidRPr="00AC3044">
              <w:rPr>
                <w:rFonts w:eastAsia="SimSun"/>
              </w:rPr>
              <w:t>200 мг/м</w:t>
            </w:r>
            <w:r w:rsidRPr="00271D11">
              <w:rPr>
                <w:rFonts w:eastAsia="SimSun"/>
                <w:vertAlign w:val="superscript"/>
              </w:rPr>
              <w:t>2</w:t>
            </w:r>
            <w:r w:rsidRPr="00AC3044">
              <w:rPr>
                <w:rFonts w:eastAsia="SimSun"/>
              </w:rPr>
              <w:t xml:space="preserve"> </w:t>
            </w:r>
          </w:p>
        </w:tc>
        <w:tc>
          <w:tcPr>
            <w:tcW w:w="486" w:type="pct"/>
            <w:vAlign w:val="center"/>
          </w:tcPr>
          <w:p w14:paraId="43A8975F" w14:textId="77777777" w:rsidR="00304132" w:rsidRPr="00AC3044" w:rsidRDefault="00304132" w:rsidP="00CD5E09">
            <w:pPr>
              <w:rPr>
                <w:rFonts w:eastAsia="SimSun"/>
              </w:rPr>
            </w:pPr>
            <w:r w:rsidRPr="00AC3044">
              <w:rPr>
                <w:rFonts w:eastAsia="SimSun"/>
              </w:rPr>
              <w:t>–</w:t>
            </w:r>
          </w:p>
        </w:tc>
        <w:tc>
          <w:tcPr>
            <w:tcW w:w="1370" w:type="pct"/>
            <w:vAlign w:val="center"/>
          </w:tcPr>
          <w:p w14:paraId="35C3DDF2" w14:textId="77777777" w:rsidR="00304132" w:rsidRPr="00AC3044" w:rsidRDefault="00304132" w:rsidP="00CD5E09">
            <w:pPr>
              <w:rPr>
                <w:rFonts w:eastAsia="SimSun"/>
              </w:rPr>
            </w:pPr>
            <w:r w:rsidRPr="00AC3044">
              <w:rPr>
                <w:rFonts w:eastAsia="SimSun"/>
              </w:rPr>
              <w:t xml:space="preserve">За день до начала </w:t>
            </w:r>
            <w:r w:rsidRPr="00AC3044">
              <w:rPr>
                <w:rFonts w:eastAsia="SimSun"/>
              </w:rPr>
              <w:lastRenderedPageBreak/>
              <w:t>кондиционирования по –1 день кондиционирования, а также в дни введения посттрансплантационного циклофосфамида</w:t>
            </w:r>
          </w:p>
        </w:tc>
        <w:tc>
          <w:tcPr>
            <w:tcW w:w="1229" w:type="pct"/>
            <w:vAlign w:val="center"/>
          </w:tcPr>
          <w:p w14:paraId="36265CDD" w14:textId="77777777" w:rsidR="00304132" w:rsidRPr="00AC3044" w:rsidRDefault="00304132" w:rsidP="00CD5E09">
            <w:pPr>
              <w:rPr>
                <w:rFonts w:eastAsia="SimSun"/>
              </w:rPr>
            </w:pPr>
            <w:r w:rsidRPr="00AC3044">
              <w:rPr>
                <w:rFonts w:eastAsia="SimSun"/>
              </w:rPr>
              <w:lastRenderedPageBreak/>
              <w:t xml:space="preserve">Внутрь, </w:t>
            </w:r>
            <w:r w:rsidRPr="00AC3044">
              <w:rPr>
                <w:rFonts w:eastAsia="SimSun"/>
              </w:rPr>
              <w:lastRenderedPageBreak/>
              <w:t>однократно или доза разделяется на 2 приема</w:t>
            </w:r>
          </w:p>
        </w:tc>
      </w:tr>
      <w:tr w:rsidR="00304132" w:rsidRPr="00AC3044" w14:paraId="337D0166" w14:textId="77777777" w:rsidTr="00CD5E09">
        <w:trPr>
          <w:trHeight w:val="20"/>
        </w:trPr>
        <w:tc>
          <w:tcPr>
            <w:tcW w:w="168" w:type="pct"/>
          </w:tcPr>
          <w:p w14:paraId="46881DD7" w14:textId="77777777" w:rsidR="00304132" w:rsidRPr="00AC3044" w:rsidRDefault="00304132" w:rsidP="00CD5E09">
            <w:pPr>
              <w:rPr>
                <w:rFonts w:eastAsia="SimSun"/>
              </w:rPr>
            </w:pPr>
            <w:r w:rsidRPr="00AC3044">
              <w:rPr>
                <w:rFonts w:eastAsia="SimSun"/>
              </w:rPr>
              <w:lastRenderedPageBreak/>
              <w:t>4</w:t>
            </w:r>
          </w:p>
        </w:tc>
        <w:tc>
          <w:tcPr>
            <w:tcW w:w="1133" w:type="pct"/>
            <w:vAlign w:val="center"/>
          </w:tcPr>
          <w:p w14:paraId="6EEDAAAD" w14:textId="77777777" w:rsidR="00304132" w:rsidRPr="00AC3044" w:rsidRDefault="00304132" w:rsidP="00CD5E09">
            <w:pPr>
              <w:rPr>
                <w:rFonts w:eastAsia="SimSun"/>
              </w:rPr>
            </w:pPr>
            <w:r w:rsidRPr="00AC3044">
              <w:rPr>
                <w:rFonts w:eastAsia="SimSun"/>
              </w:rPr>
              <w:t xml:space="preserve">Аллопуринол </w:t>
            </w:r>
          </w:p>
        </w:tc>
        <w:tc>
          <w:tcPr>
            <w:tcW w:w="614" w:type="pct"/>
            <w:vAlign w:val="center"/>
          </w:tcPr>
          <w:p w14:paraId="2EB9AC6E" w14:textId="77777777" w:rsidR="00304132" w:rsidRPr="00AC3044" w:rsidRDefault="00304132" w:rsidP="00CD5E09">
            <w:pPr>
              <w:rPr>
                <w:rFonts w:eastAsia="SimSun"/>
              </w:rPr>
            </w:pPr>
            <w:r w:rsidRPr="00AC3044">
              <w:rPr>
                <w:rFonts w:eastAsia="SimSun"/>
              </w:rPr>
              <w:t xml:space="preserve">300мг </w:t>
            </w:r>
          </w:p>
        </w:tc>
        <w:tc>
          <w:tcPr>
            <w:tcW w:w="486" w:type="pct"/>
            <w:vAlign w:val="center"/>
          </w:tcPr>
          <w:p w14:paraId="2418BBEC" w14:textId="77777777" w:rsidR="00304132" w:rsidRPr="00AC3044" w:rsidRDefault="00304132" w:rsidP="00CD5E09">
            <w:pPr>
              <w:rPr>
                <w:rFonts w:eastAsia="SimSun"/>
              </w:rPr>
            </w:pPr>
            <w:r w:rsidRPr="00AC3044">
              <w:rPr>
                <w:rFonts w:eastAsia="SimSun"/>
              </w:rPr>
              <w:t>–</w:t>
            </w:r>
          </w:p>
        </w:tc>
        <w:tc>
          <w:tcPr>
            <w:tcW w:w="1370" w:type="pct"/>
            <w:vAlign w:val="center"/>
          </w:tcPr>
          <w:p w14:paraId="63EE1CE8" w14:textId="77777777" w:rsidR="00304132" w:rsidRPr="00AC3044" w:rsidRDefault="00304132" w:rsidP="00CD5E09">
            <w:pPr>
              <w:rPr>
                <w:rFonts w:eastAsia="SimSun"/>
              </w:rPr>
            </w:pPr>
            <w:r w:rsidRPr="00AC3044">
              <w:rPr>
                <w:rFonts w:eastAsia="SimSun"/>
              </w:rPr>
              <w:t>За день до начала кондиционирования по –1 день кондиционирования, а также в дни введения посттрансплантационного циклофосфамида</w:t>
            </w:r>
          </w:p>
        </w:tc>
        <w:tc>
          <w:tcPr>
            <w:tcW w:w="1229" w:type="pct"/>
            <w:vAlign w:val="center"/>
          </w:tcPr>
          <w:p w14:paraId="40D7D7C2" w14:textId="77777777" w:rsidR="00304132" w:rsidRPr="00AC3044" w:rsidRDefault="00304132" w:rsidP="00CD5E09">
            <w:pPr>
              <w:rPr>
                <w:rFonts w:eastAsia="SimSun"/>
              </w:rPr>
            </w:pPr>
            <w:r w:rsidRPr="00AC3044">
              <w:rPr>
                <w:rFonts w:eastAsia="SimSun"/>
              </w:rPr>
              <w:t>Внутрь, однократно или доза разделяется на 2 приема</w:t>
            </w:r>
          </w:p>
        </w:tc>
      </w:tr>
      <w:tr w:rsidR="00304132" w:rsidRPr="00AC3044" w14:paraId="201D6921" w14:textId="77777777" w:rsidTr="00CD5E09">
        <w:trPr>
          <w:trHeight w:val="20"/>
        </w:trPr>
        <w:tc>
          <w:tcPr>
            <w:tcW w:w="168" w:type="pct"/>
          </w:tcPr>
          <w:p w14:paraId="5DAB6A50" w14:textId="77777777" w:rsidR="00304132" w:rsidRPr="00AC3044" w:rsidRDefault="00304132" w:rsidP="00CD5E09">
            <w:pPr>
              <w:rPr>
                <w:rFonts w:eastAsia="SimSun"/>
              </w:rPr>
            </w:pPr>
            <w:r w:rsidRPr="00AC3044">
              <w:rPr>
                <w:rFonts w:eastAsia="SimSun"/>
              </w:rPr>
              <w:t>5</w:t>
            </w:r>
          </w:p>
        </w:tc>
        <w:tc>
          <w:tcPr>
            <w:tcW w:w="1133" w:type="pct"/>
            <w:vAlign w:val="center"/>
          </w:tcPr>
          <w:p w14:paraId="141A6B1D" w14:textId="77777777" w:rsidR="00304132" w:rsidRPr="00AC3044" w:rsidRDefault="00304132" w:rsidP="00CD5E09">
            <w:pPr>
              <w:rPr>
                <w:rFonts w:eastAsia="SimSun"/>
              </w:rPr>
            </w:pPr>
            <w:r w:rsidRPr="00AC3044">
              <w:rPr>
                <w:rFonts w:eastAsia="SimSun"/>
              </w:rPr>
              <w:t>Урсодезоксихолевая кислота (рекомендуется)</w:t>
            </w:r>
          </w:p>
        </w:tc>
        <w:tc>
          <w:tcPr>
            <w:tcW w:w="614" w:type="pct"/>
            <w:vAlign w:val="center"/>
          </w:tcPr>
          <w:p w14:paraId="548BE82A" w14:textId="77777777" w:rsidR="00304132" w:rsidRPr="00AC3044" w:rsidRDefault="00304132" w:rsidP="00CD5E09">
            <w:pPr>
              <w:rPr>
                <w:rFonts w:eastAsia="SimSun"/>
              </w:rPr>
            </w:pPr>
            <w:r w:rsidRPr="00AC3044">
              <w:rPr>
                <w:rFonts w:eastAsia="SimSun"/>
              </w:rPr>
              <w:t>12 мг/кг</w:t>
            </w:r>
          </w:p>
        </w:tc>
        <w:tc>
          <w:tcPr>
            <w:tcW w:w="486" w:type="pct"/>
            <w:vAlign w:val="center"/>
          </w:tcPr>
          <w:p w14:paraId="165668AE" w14:textId="77777777" w:rsidR="00304132" w:rsidRPr="00AC3044" w:rsidRDefault="00304132" w:rsidP="00CD5E09">
            <w:pPr>
              <w:rPr>
                <w:rFonts w:eastAsia="SimSun"/>
              </w:rPr>
            </w:pPr>
            <w:r w:rsidRPr="00AC3044">
              <w:rPr>
                <w:rFonts w:eastAsia="SimSun"/>
              </w:rPr>
              <w:t>–</w:t>
            </w:r>
          </w:p>
        </w:tc>
        <w:tc>
          <w:tcPr>
            <w:tcW w:w="1370" w:type="pct"/>
            <w:vAlign w:val="center"/>
          </w:tcPr>
          <w:p w14:paraId="0BFA9163" w14:textId="77777777" w:rsidR="00304132" w:rsidRPr="00AC3044" w:rsidRDefault="00304132" w:rsidP="00CD5E09">
            <w:pPr>
              <w:rPr>
                <w:rFonts w:eastAsia="SimSun"/>
              </w:rPr>
            </w:pPr>
            <w:r w:rsidRPr="00AC3044">
              <w:rPr>
                <w:rFonts w:eastAsia="SimSun"/>
              </w:rPr>
              <w:t>C –6 по +180 день</w:t>
            </w:r>
          </w:p>
        </w:tc>
        <w:tc>
          <w:tcPr>
            <w:tcW w:w="1229" w:type="pct"/>
            <w:vAlign w:val="center"/>
          </w:tcPr>
          <w:p w14:paraId="26A842F5" w14:textId="77777777" w:rsidR="00304132" w:rsidRPr="00AC3044" w:rsidRDefault="00304132" w:rsidP="00CD5E09">
            <w:pPr>
              <w:rPr>
                <w:rFonts w:eastAsia="SimSun"/>
              </w:rPr>
            </w:pPr>
            <w:r w:rsidRPr="00AC3044">
              <w:rPr>
                <w:rFonts w:eastAsia="SimSun"/>
              </w:rPr>
              <w:t>Внутрь, суточная доза разделяется на 1–2 приема (вечер или день и вечер)</w:t>
            </w:r>
          </w:p>
        </w:tc>
      </w:tr>
      <w:tr w:rsidR="00304132" w:rsidRPr="00AC3044" w14:paraId="1B94FCFF" w14:textId="77777777" w:rsidTr="00CD5E09">
        <w:trPr>
          <w:trHeight w:val="20"/>
        </w:trPr>
        <w:tc>
          <w:tcPr>
            <w:tcW w:w="168" w:type="pct"/>
          </w:tcPr>
          <w:p w14:paraId="2356CC57" w14:textId="77777777" w:rsidR="00304132" w:rsidRPr="00AC3044" w:rsidRDefault="00304132" w:rsidP="00CD5E09">
            <w:pPr>
              <w:rPr>
                <w:rFonts w:eastAsia="SimSun"/>
              </w:rPr>
            </w:pPr>
            <w:r w:rsidRPr="00AC3044">
              <w:rPr>
                <w:rFonts w:eastAsia="SimSun"/>
              </w:rPr>
              <w:t>6</w:t>
            </w:r>
          </w:p>
        </w:tc>
        <w:tc>
          <w:tcPr>
            <w:tcW w:w="1133" w:type="pct"/>
            <w:vAlign w:val="center"/>
          </w:tcPr>
          <w:p w14:paraId="53E9E5AB" w14:textId="77777777" w:rsidR="00304132" w:rsidRPr="00AC3044" w:rsidRDefault="00304132" w:rsidP="00CD5E09">
            <w:pPr>
              <w:rPr>
                <w:rFonts w:eastAsia="SimSun"/>
              </w:rPr>
            </w:pPr>
            <w:r w:rsidRPr="00AC3044">
              <w:rPr>
                <w:rFonts w:eastAsia="SimSun"/>
              </w:rPr>
              <w:t xml:space="preserve">Метилпреднизолон </w:t>
            </w:r>
          </w:p>
        </w:tc>
        <w:tc>
          <w:tcPr>
            <w:tcW w:w="3699" w:type="pct"/>
            <w:gridSpan w:val="4"/>
            <w:vAlign w:val="center"/>
          </w:tcPr>
          <w:p w14:paraId="4F1CB693" w14:textId="77777777" w:rsidR="00304132" w:rsidRPr="00AC3044" w:rsidRDefault="00304132" w:rsidP="00CD5E09">
            <w:pPr>
              <w:rPr>
                <w:rFonts w:eastAsia="SimSun"/>
              </w:rPr>
            </w:pPr>
            <w:r w:rsidRPr="00AC3044">
              <w:rPr>
                <w:rFonts w:eastAsia="SimSun"/>
              </w:rPr>
              <w:t>см. «Инфузия АТГ»</w:t>
            </w:r>
          </w:p>
        </w:tc>
      </w:tr>
      <w:tr w:rsidR="00304132" w:rsidRPr="00AC3044" w14:paraId="2791653F" w14:textId="77777777" w:rsidTr="00CD5E09">
        <w:trPr>
          <w:trHeight w:val="20"/>
        </w:trPr>
        <w:tc>
          <w:tcPr>
            <w:tcW w:w="168" w:type="pct"/>
          </w:tcPr>
          <w:p w14:paraId="3DBA8313" w14:textId="77777777" w:rsidR="00304132" w:rsidRPr="00AC3044" w:rsidRDefault="00304132" w:rsidP="00CD5E09">
            <w:pPr>
              <w:rPr>
                <w:rFonts w:eastAsia="SimSun"/>
              </w:rPr>
            </w:pPr>
            <w:r w:rsidRPr="00AC3044">
              <w:rPr>
                <w:rFonts w:eastAsia="SimSun"/>
              </w:rPr>
              <w:t>7</w:t>
            </w:r>
          </w:p>
        </w:tc>
        <w:tc>
          <w:tcPr>
            <w:tcW w:w="1133" w:type="pct"/>
            <w:vAlign w:val="center"/>
          </w:tcPr>
          <w:p w14:paraId="374351D6" w14:textId="77777777" w:rsidR="00304132" w:rsidRPr="00AC3044" w:rsidRDefault="00304132" w:rsidP="00CD5E09">
            <w:pPr>
              <w:rPr>
                <w:rFonts w:eastAsia="SimSun"/>
              </w:rPr>
            </w:pPr>
            <w:r w:rsidRPr="00AC3044">
              <w:rPr>
                <w:rFonts w:eastAsia="SimSun"/>
              </w:rPr>
              <w:t>Преднизолон</w:t>
            </w:r>
          </w:p>
        </w:tc>
        <w:tc>
          <w:tcPr>
            <w:tcW w:w="3699" w:type="pct"/>
            <w:gridSpan w:val="4"/>
            <w:vAlign w:val="center"/>
          </w:tcPr>
          <w:p w14:paraId="2CA741BB" w14:textId="77777777" w:rsidR="00304132" w:rsidRPr="00AC3044" w:rsidRDefault="00304132" w:rsidP="00CD5E09">
            <w:pPr>
              <w:rPr>
                <w:rFonts w:eastAsia="SimSun"/>
              </w:rPr>
            </w:pPr>
            <w:r w:rsidRPr="00AC3044">
              <w:rPr>
                <w:rFonts w:eastAsia="SimSun"/>
              </w:rPr>
              <w:t>см. «Инфузия АТГ»</w:t>
            </w:r>
          </w:p>
        </w:tc>
      </w:tr>
    </w:tbl>
    <w:p w14:paraId="0FE5F237" w14:textId="77777777" w:rsidR="00304132" w:rsidRPr="00C07B2E" w:rsidRDefault="00304132" w:rsidP="00304132">
      <w:pPr>
        <w:rPr>
          <w:rFonts w:eastAsia="SimSun"/>
        </w:rPr>
      </w:pPr>
    </w:p>
    <w:p w14:paraId="082FBBB0" w14:textId="5D84219C" w:rsidR="00C40943" w:rsidRPr="00EE51B1" w:rsidRDefault="00C40943" w:rsidP="004905C2">
      <w:pPr>
        <w:pStyle w:val="2"/>
        <w:rPr>
          <w:rFonts w:eastAsia="SimSun"/>
        </w:rPr>
      </w:pPr>
      <w:bookmarkStart w:id="388" w:name="_Toc64565671"/>
      <w:r w:rsidRPr="00E64AF3">
        <w:t>Приложение А3.</w:t>
      </w:r>
      <w:r>
        <w:t>4</w:t>
      </w:r>
      <w:r w:rsidRPr="00E64AF3">
        <w:t xml:space="preserve">. </w:t>
      </w:r>
      <w:r w:rsidRPr="00E64AF3">
        <w:rPr>
          <w:rFonts w:eastAsia="SimSun"/>
        </w:rPr>
        <w:t>Проведение трансплантации а</w:t>
      </w:r>
      <w:r w:rsidR="00755356">
        <w:rPr>
          <w:rFonts w:eastAsia="SimSun"/>
        </w:rPr>
        <w:t xml:space="preserve">утологичных </w:t>
      </w:r>
      <w:r w:rsidRPr="00E64AF3">
        <w:rPr>
          <w:rFonts w:eastAsia="SimSun"/>
        </w:rPr>
        <w:t>гемопоэтических стволовых клеток</w:t>
      </w:r>
      <w:bookmarkEnd w:id="388"/>
    </w:p>
    <w:p w14:paraId="5C6ADB0C" w14:textId="77777777" w:rsidR="00755356" w:rsidRPr="00755356" w:rsidRDefault="00755356" w:rsidP="00755356">
      <w:pPr>
        <w:rPr>
          <w:i/>
          <w:szCs w:val="24"/>
          <w:u w:val="single"/>
        </w:rPr>
      </w:pPr>
      <w:bookmarkStart w:id="389" w:name="_Toc44926599"/>
      <w:r w:rsidRPr="00755356">
        <w:rPr>
          <w:i/>
          <w:szCs w:val="24"/>
          <w:u w:val="single"/>
        </w:rPr>
        <w:t>Мобилизация и сбор гемопоэтических стволовых клеток крови</w:t>
      </w:r>
      <w:bookmarkEnd w:id="389"/>
    </w:p>
    <w:p w14:paraId="0A62374D" w14:textId="77777777" w:rsidR="00755356" w:rsidRPr="0095427D" w:rsidRDefault="00755356" w:rsidP="00755356">
      <w:pPr>
        <w:ind w:firstLine="567"/>
        <w:rPr>
          <w:szCs w:val="24"/>
        </w:rPr>
      </w:pPr>
      <w:r w:rsidRPr="0095427D">
        <w:rPr>
          <w:szCs w:val="24"/>
        </w:rPr>
        <w:t xml:space="preserve">Мобилизация </w:t>
      </w:r>
      <w:r>
        <w:rPr>
          <w:szCs w:val="24"/>
        </w:rPr>
        <w:t xml:space="preserve">– резкое увеличение количества </w:t>
      </w:r>
      <w:r w:rsidRPr="0095427D">
        <w:rPr>
          <w:szCs w:val="24"/>
        </w:rPr>
        <w:t xml:space="preserve">гемопоэтических стволовых клеток (ГСК) в периферической крови под </w:t>
      </w:r>
      <w:r>
        <w:rPr>
          <w:szCs w:val="24"/>
        </w:rPr>
        <w:t>воздействием ростовых факторов.</w:t>
      </w:r>
    </w:p>
    <w:p w14:paraId="74F03393" w14:textId="7F9E096D" w:rsidR="00755356" w:rsidRDefault="00755356" w:rsidP="00755356">
      <w:pPr>
        <w:ind w:firstLine="567"/>
        <w:rPr>
          <w:szCs w:val="24"/>
        </w:rPr>
      </w:pPr>
      <w:r w:rsidRPr="0095427D">
        <w:rPr>
          <w:szCs w:val="24"/>
        </w:rPr>
        <w:t xml:space="preserve">Исторически схемы мобилизации были основаны на применении химиотерапевтических препаратов, так как во время восстановления гемопоэза было замечено временное увеличение циркуляции стволовых клеток в крови. Однако результаты </w:t>
      </w:r>
      <w:r w:rsidRPr="0095427D">
        <w:rPr>
          <w:szCs w:val="24"/>
        </w:rPr>
        <w:lastRenderedPageBreak/>
        <w:t xml:space="preserve">сбора ГСК были неудовлетворительными. Первые упоминания о присутствии в крови факторов, влияющих на кроветворение, относятся к началу прошлого столетия. В середине </w:t>
      </w:r>
      <w:r w:rsidRPr="0095427D">
        <w:rPr>
          <w:szCs w:val="24"/>
          <w:lang w:val="en-US"/>
        </w:rPr>
        <w:t>XX</w:t>
      </w:r>
      <w:r w:rsidRPr="0095427D">
        <w:rPr>
          <w:szCs w:val="24"/>
        </w:rPr>
        <w:t xml:space="preserve"> века две группы исследователей из США и Австралии разработали культуральную агаровую систему, в которой наблюдали рост колоний кроветворных клеток-предшественниц при добавлении определенных веществ. Эти вещества назвали колониестимулирующими факторами (КСФ). Дальнейшее их изучение позволило выделить несколько видов КСФ: гранулоцитарный (Г-КСФ), гранулоцитарно-макрофагальный (ГМ-КСФ), макрофагальный (М-КСФ), а также интерлейкин-3 (ИЛ-3) </w:t>
      </w:r>
      <w:r w:rsidRPr="0095427D">
        <w:rPr>
          <w:szCs w:val="24"/>
        </w:rPr>
        <w:fldChar w:fldCharType="begin" w:fldLock="1"/>
      </w:r>
      <w:r w:rsidR="00A67ED2">
        <w:rPr>
          <w:szCs w:val="24"/>
        </w:rPr>
        <w:instrText>ADDIN CSL_CITATION {"citationItems":[{"id":"ITEM-1","itemData":{"DOI":"10.1073/pnas.82.5.1526","ISSN":"00278424","PMID":"3871951","abstract":"Pluripotent hematopoietic colony-stimulating factor (pluripotent CSF), a protein that is constitutively produced by the human bladder carcinoma cell line 5637, has been purified from low serum (0.2% fetal calf serum)-containing conditioned medium. The purification involved sequential ammonium sulfate precipitation, ion-exchange chromatography, gel filtration, and reversed-phase high-performance liquid chromatography. The purified protein has a molecular weight of 18,000 in NaDodSO4/polyacrylamide gel electrophoresis, both by the silver staining technique and by elution of biological activity from a corresponding gel slice, and has an isoelectric point of 5.5. Pluripotent CSF supports the growth of human mixed colonies, granulocyte-macrophage colonies, and early erythroid colonies and induces differentiation of the human promyelocytic leukemic cell line HL-60 and the murine myelomonocytic leukemic cell line WEHI-3B (D+). The specific activity of the purified pluripotent CSF in the granulocyte-macrophage colony assay is 1.5 x 108 units/mg of protein.","author":[{"dropping-particle":"","family":"Welte","given":"K.","non-dropping-particle":"","parse-names":false,"suffix":""},{"dropping-particle":"","family":"Platzer","given":"E.","non-dropping-particle":"","parse-names":false,"suffix":""},{"dropping-particle":"","family":"Lu","given":"L.","non-dropping-particle":"","parse-names":false,"suffix":""},{"dropping-particle":"","family":"Gabrilove","given":"J. L.","non-dropping-particle":"","parse-names":false,"suffix":""},{"dropping-particle":"","family":"Levi","given":"E.","non-dropping-particle":"","parse-names":false,"suffix":""},{"dropping-particle":"","family":"Mertelsmann","given":"R.","non-dropping-particle":"","parse-names":false,"suffix":""},{"dropping-particle":"","family":"Moore","given":"M. A.","non-dropping-particle":"","parse-names":false,"suffix":""}],"container-title":"Proceedings of the National Academy of Sciences of the United States of America","id":"ITEM-1","issue":"5","issued":{"date-parts":[["1985"]]},"page":"1526-1530","publisher":"Proc Natl Acad Sci U S A","title":"Purification and biochemical characterization of human pluripotent hematopoietic colony-stimulating factor","type":"article-journal","volume":"82"},"uris":["http://www.mendeley.com/documents/?uuid=5a57c90b-10d4-3d1e-84dc-5ac72b3ec78e","http://www.mendeley.com/documents/?uuid=41736d03-81c6-4c9d-9a68-05b29415ebd4","http://www.mendeley.com/documents/?uuid=8b38e00f-df77-4da9-9ba0-e5a98fa4faf8","http://www.mendeley.com/documents/?uuid=9ac7dafe-885b-40a2-b482-765fe36e21ca","http://www.mendeley.com/documents/?uuid=bc0e2586-6f76-47d1-901a-4feb252dd38c","http://www.mendeley.com/documents/?uuid=ce804cbb-1eb2-4746-a514-982ca9436e54","http://www.mendeley.com/documents/?uuid=b7e547dc-3d9b-40b2-b055-6d376790a636"]}],"mendeley":{"formattedCitation":"[140]","plainTextFormattedCitation":"[140]","previouslyFormattedCitation":"[113]"},"properties":{"noteIndex":0},"schema":"https://github.com/citation-style-language/schema/raw/master/csl-citation.json"}</w:instrText>
      </w:r>
      <w:r w:rsidRPr="0095427D">
        <w:rPr>
          <w:szCs w:val="24"/>
        </w:rPr>
        <w:fldChar w:fldCharType="separate"/>
      </w:r>
      <w:r w:rsidR="00A67ED2" w:rsidRPr="00A67ED2">
        <w:rPr>
          <w:noProof/>
          <w:szCs w:val="24"/>
        </w:rPr>
        <w:t>[140]</w:t>
      </w:r>
      <w:r w:rsidRPr="0095427D">
        <w:rPr>
          <w:szCs w:val="24"/>
        </w:rPr>
        <w:fldChar w:fldCharType="end"/>
      </w:r>
      <w:r>
        <w:rPr>
          <w:szCs w:val="24"/>
        </w:rPr>
        <w:t>.</w:t>
      </w:r>
    </w:p>
    <w:p w14:paraId="3DF78DDB" w14:textId="77777777" w:rsidR="00755356" w:rsidRDefault="00755356" w:rsidP="00755356">
      <w:pPr>
        <w:ind w:firstLine="567"/>
        <w:rPr>
          <w:szCs w:val="24"/>
        </w:rPr>
      </w:pPr>
      <w:r w:rsidRPr="0095427D">
        <w:rPr>
          <w:szCs w:val="24"/>
        </w:rPr>
        <w:t>В клинической практике рекомбинантные препараты Г-КСФ получили наиболее широкое распространение в качестве стимуляторов лейкопоэза. В настоящее время применение Г-КСФ является стандартом при мобилизации ГСК</w:t>
      </w:r>
      <w:r>
        <w:rPr>
          <w:szCs w:val="24"/>
        </w:rPr>
        <w:t xml:space="preserve"> </w:t>
      </w:r>
      <w:r w:rsidRPr="0095427D">
        <w:rPr>
          <w:szCs w:val="24"/>
        </w:rPr>
        <w:t xml:space="preserve">. </w:t>
      </w:r>
    </w:p>
    <w:p w14:paraId="5D09E359" w14:textId="77777777" w:rsidR="00755356" w:rsidRPr="0095427D" w:rsidRDefault="00755356" w:rsidP="00755356">
      <w:pPr>
        <w:ind w:firstLine="567"/>
        <w:rPr>
          <w:szCs w:val="24"/>
        </w:rPr>
      </w:pPr>
      <w:r>
        <w:rPr>
          <w:szCs w:val="24"/>
        </w:rPr>
        <w:t>Разработано</w:t>
      </w:r>
      <w:r w:rsidRPr="0095427D">
        <w:rPr>
          <w:szCs w:val="24"/>
        </w:rPr>
        <w:t xml:space="preserve"> несколько схем мобилизации ГСК, используемых в онкогематологии, в каждой из </w:t>
      </w:r>
      <w:r>
        <w:rPr>
          <w:szCs w:val="24"/>
        </w:rPr>
        <w:t>которых</w:t>
      </w:r>
      <w:r w:rsidRPr="0095427D">
        <w:rPr>
          <w:szCs w:val="24"/>
        </w:rPr>
        <w:t xml:space="preserve"> применяется Г-КСФ. </w:t>
      </w:r>
    </w:p>
    <w:p w14:paraId="1D7B4E42" w14:textId="77777777" w:rsidR="006F27D1" w:rsidRDefault="006F27D1" w:rsidP="00755356">
      <w:pPr>
        <w:rPr>
          <w:b/>
          <w:bCs/>
        </w:rPr>
      </w:pPr>
      <w:bookmarkStart w:id="390" w:name="_Toc44926601"/>
    </w:p>
    <w:p w14:paraId="0E78647E" w14:textId="6DE8F7E7" w:rsidR="00755356" w:rsidRPr="00755356" w:rsidRDefault="00755356" w:rsidP="00755356">
      <w:pPr>
        <w:rPr>
          <w:b/>
          <w:bCs/>
        </w:rPr>
      </w:pPr>
      <w:r w:rsidRPr="00755356">
        <w:rPr>
          <w:b/>
          <w:bCs/>
        </w:rPr>
        <w:t>Алгоритм принятия решения перед мобилизацией ГСК</w:t>
      </w:r>
      <w:bookmarkEnd w:id="390"/>
    </w:p>
    <w:p w14:paraId="3BB3FEC1" w14:textId="77777777" w:rsidR="00755356" w:rsidRPr="0050367B" w:rsidRDefault="00755356" w:rsidP="008C1767">
      <w:pPr>
        <w:pStyle w:val="afff3"/>
        <w:widowControl/>
        <w:numPr>
          <w:ilvl w:val="0"/>
          <w:numId w:val="183"/>
        </w:numPr>
        <w:autoSpaceDE/>
        <w:autoSpaceDN/>
        <w:adjustRightInd/>
        <w:ind w:left="1145" w:hanging="357"/>
        <w:rPr>
          <w:szCs w:val="24"/>
        </w:rPr>
      </w:pPr>
      <w:r w:rsidRPr="0050367B">
        <w:rPr>
          <w:szCs w:val="24"/>
        </w:rPr>
        <w:t>оценка статуса больного (наличие показаний для трансплантации аутологичных гемопоэтических стволовых клеток (ауто-ТГСК), стандартное обследование для исключения факторов, препятствующих проведению высокодозного лечения, коморбидность, согласие больного, изучение предшествующей терапии - количество курсов и сроки окончания лечения, использование лучевой терапии)</w:t>
      </w:r>
    </w:p>
    <w:p w14:paraId="034108CF" w14:textId="77777777" w:rsidR="00755356" w:rsidRPr="0050367B" w:rsidRDefault="00755356" w:rsidP="008C1767">
      <w:pPr>
        <w:pStyle w:val="afff3"/>
        <w:widowControl/>
        <w:numPr>
          <w:ilvl w:val="0"/>
          <w:numId w:val="183"/>
        </w:numPr>
        <w:autoSpaceDE/>
        <w:autoSpaceDN/>
        <w:adjustRightInd/>
        <w:rPr>
          <w:szCs w:val="24"/>
        </w:rPr>
      </w:pPr>
      <w:r w:rsidRPr="0050367B">
        <w:rPr>
          <w:szCs w:val="24"/>
        </w:rPr>
        <w:t>оценка статуса болезни - глубина противоопухолевого ответа, наличие ремиссии, сроки ее достижения;</w:t>
      </w:r>
    </w:p>
    <w:p w14:paraId="70FBA6BE" w14:textId="77777777" w:rsidR="00755356" w:rsidRPr="0050367B" w:rsidRDefault="00755356" w:rsidP="008C1767">
      <w:pPr>
        <w:pStyle w:val="afff3"/>
        <w:widowControl/>
        <w:numPr>
          <w:ilvl w:val="0"/>
          <w:numId w:val="183"/>
        </w:numPr>
        <w:autoSpaceDE/>
        <w:autoSpaceDN/>
        <w:adjustRightInd/>
        <w:rPr>
          <w:szCs w:val="24"/>
        </w:rPr>
      </w:pPr>
      <w:r w:rsidRPr="0050367B">
        <w:rPr>
          <w:szCs w:val="24"/>
        </w:rPr>
        <w:t>оценка состояния кроветворения (гистологическое исследование костного мозга позволит выявить угнетение ростков кроветворения, а также инфильтрацию костного мозга опухолевыми клетками)</w:t>
      </w:r>
    </w:p>
    <w:p w14:paraId="0138B40D" w14:textId="77777777" w:rsidR="00755356" w:rsidRDefault="00755356" w:rsidP="00755356">
      <w:pPr>
        <w:ind w:firstLine="567"/>
        <w:rPr>
          <w:szCs w:val="24"/>
        </w:rPr>
      </w:pPr>
      <w:r w:rsidRPr="0095427D">
        <w:rPr>
          <w:szCs w:val="24"/>
        </w:rPr>
        <w:t>Наиболее доступным иммунологическим маркером кроветворных предшественников является экспрессия антигена СD34. Эта молекула присутствует как на наиболее примитивных стволовых клетках, так и на дифференцированных предшественниках, однако на зрелых гемопоэтическ</w:t>
      </w:r>
      <w:r>
        <w:rPr>
          <w:szCs w:val="24"/>
        </w:rPr>
        <w:t>их клетках экспрессии CD34 нет.</w:t>
      </w:r>
    </w:p>
    <w:p w14:paraId="776005D9" w14:textId="436596C3" w:rsidR="00755356" w:rsidRDefault="00755356" w:rsidP="00755356">
      <w:pPr>
        <w:ind w:firstLine="567"/>
        <w:rPr>
          <w:szCs w:val="24"/>
        </w:rPr>
      </w:pPr>
      <w:r w:rsidRPr="0095427D">
        <w:rPr>
          <w:szCs w:val="24"/>
        </w:rPr>
        <w:t xml:space="preserve">Именно суммарный пул CD34+ клеток определяет сроки восстановления кроветворения после трансплантации </w:t>
      </w:r>
      <w:r w:rsidRPr="0095427D">
        <w:rPr>
          <w:szCs w:val="24"/>
        </w:rPr>
        <w:fldChar w:fldCharType="begin" w:fldLock="1"/>
      </w:r>
      <w:r w:rsidR="00A67ED2">
        <w:rPr>
          <w:szCs w:val="24"/>
        </w:rPr>
        <w:instrText>ADDIN CSL_CITATION {"citationItems":[{"id":"ITEM-1","itemData":{"DOI":"10.1182/blood.v87.1.1.bloodjournal8711","ISSN":"00064971","PMID":"8547630","author":[{"dropping-particle":"","family":"Krause","given":"Diane S.","non-dropping-particle":"","parse-names":false,"suffix":""},{"dropping-particle":"","family":"Fackler","given":"Mary Jo","non-dropping-particle":"","parse-names":false,"suffix":""},{"dropping-particle":"","family":"Civin","given":"Curt I.","non-dropping-particle":"","parse-names":false,"suffix":""},{"dropping-particle":"","family":"May","given":"W. Stratford","non-dropping-particle":"","parse-names":false,"suffix":""}],"container-title":"Blood","id":"ITEM-1","issue":"1","issued":{"date-parts":[["1996","1"]]},"page":"1-13","publisher":"American Society of Hematology","title":"CD34: Structure, biology, and clinical utility","type":"article","volume":"87"},"uris":["http://www.mendeley.com/documents/?uuid=e4a53186-d5a2-35ce-9c02-67bfa05e0886","http://www.mendeley.com/documents/?uuid=1a71f447-44fb-4b59-ac8a-1da92d0990b3","http://www.mendeley.com/documents/?uuid=518c4307-6db7-4716-894c-8d6c14cf80db","http://www.mendeley.com/documents/?uuid=c05ac1ea-efeb-4341-9a99-2e75eb37db1e","http://www.mendeley.com/documents/?uuid=95496d3c-b097-411f-9ec4-45c1036c6a68","http://www.mendeley.com/documents/?uuid=f461ab1d-9e2e-41ce-99d7-7c0f5d907eb5","http://www.mendeley.com/documents/?uuid=6bac5d54-b1f3-4ac8-a201-bb7356545600"]},{"id":"ITEM-2","itemData":{"DOI":"10.1016/j.bbmt.2013.10.013","ISSN":"10838791","abstract":"Autologous hematopoietic stem cell transplantation (aHSCT) is a well-established treatment for malignancies such as multiple myeloma (MM) and lymphomas. Various changes in the field over the past decade, including the frequent use of tandem aHSCT in MM, the advent of novel therapies for the treatment of MM and lymphoma, and the addition of new stem cell mobilization techniques, have led to the need to reassess current stem cell mobilization strategies. Mobilization failures with traditional strategies are common and result in delays in treatment and increased cost and resource utilization. Recently, plerixafor-containing strategies have been shown to significantly reduce mobilization failure rates, but the ideal method to maximize stem cell yields and minimize costs associated with collection has not yet been determined. A panel of experts convened to discuss the currently available data on autologous hematopoietic stem cell mobilization and transplantation and to devise guidelines to optimize mobilization strategies. Herein is a summary of their discussion and consensus. © 2014 American Society for Blood and Marrow Transplantation.","author":[{"dropping-particle":"","family":"Giralt","given":"Sergio","non-dropping-particle":"","parse-names":false,"suffix":""},{"dropping-particle":"","family":"Costa","given":"Luciano","non-dropping-particle":"","parse-names":false,"suffix":""},{"dropping-particle":"","family":"Schriber","given":"Jeffrey","non-dropping-particle":"","parse-names":false,"suffix":""},{"dropping-particle":"","family":"DiPersio","given":"John","non-dropping-particle":"","parse-names":false,"suffix":""},{"dropping-particle":"","family":"Maziarz","given":"Richard","non-dropping-particle":"","parse-names":false,"suffix":""},{"dropping-particle":"","family":"McCarty","given":"John","non-dropping-particle":"","parse-names":false,"suffix":""},{"dropping-particle":"","family":"Shaughnessy","given":"Paul","non-dropping-particle":"","parse-names":false,"suffix":""},{"dropping-particle":"","family":"Snyder","given":"Edward","non-dropping-particle":"","parse-names":false,"suffix":""},{"dropping-particle":"","family":"Bensinger","given":"William","non-dropping-particle":"","parse-names":false,"suffix":""},{"dropping-particle":"","family":"Copelan","given":"Edward","non-dropping-particle":"","parse-names":false,"suffix":""},{"dropping-particle":"","family":"Hosing","given":"Chitra","non-dropping-particle":"","parse-names":false,"suffix":""},{"dropping-particle":"","family":"Negrin","given":"Robert","non-dropping-particle":"","parse-names":false,"suffix":""},{"dropping-particle":"","family":"Petersen","given":"Finn Bo","non-dropping-particle":"","parse-names":false,"suffix":""},{"dropping-particle":"","family":"Rondelli","given":"Damiano","non-dropping-particle":"","parse-names":false,"suffix":""},{"dropping-particle":"","family":"Soiffer","given":"Robert","non-dropping-particle":"","parse-names":false,"suffix":""},{"dropping-particle":"","family":"Leather","given":"Helen","non-dropping-particle":"","parse-names":false,"suffix":""},{"dropping-particle":"","family":"Pazzalia","given":"Amy","non-dropping-particle":"","parse-names":false,"suffix":""},{"dropping-particle":"","family":"Devine","given":"Steven","non-dropping-particle":"","parse-names":false,"suffix":""}],"container-title":"Biology of Blood and Marrow Transplantation","id":"ITEM-2","issue":"3","issued":{"date-parts":[["2014","3"]]},"page":"295-308","publisher":"Elsevier","title":"Optimizing autologous stem cell mobilization strategies to improve patient outcomes: Consensus guidelines and recommendations","type":"article","volume":"20"},"uris":["http://www.mendeley.com/documents/?uuid=f0ad3abd-ce55-3df5-b4f9-e8598b8d0fa8","http://www.mendeley.com/documents/?uuid=aa3272db-ed0f-40c1-949a-b78843f4ce67","http://www.mendeley.com/documents/?uuid=cf158ac3-8f92-4973-85ea-fed641e1f9aa","http://www.mendeley.com/documents/?uuid=312e78a3-0bac-4bd4-bc5d-4ab2db1ceb87","http://www.mendeley.com/documents/?uuid=e4bbc320-ed80-4839-8759-9919ec753098","http://www.mendeley.com/documents/?uuid=43c5883b-a94a-435d-a102-5bbe11f4e704","http://www.mendeley.com/documents/?uuid=43ce11fb-9802-4761-b036-0d546f3d6abf"]}],"mendeley":{"formattedCitation":"[141,142]","plainTextFormattedCitation":"[141,142]","previouslyFormattedCitation":"[114,115]"},"properties":{"noteIndex":0},"schema":"https://github.com/citation-style-language/schema/raw/master/csl-citation.json"}</w:instrText>
      </w:r>
      <w:r w:rsidRPr="0095427D">
        <w:rPr>
          <w:szCs w:val="24"/>
        </w:rPr>
        <w:fldChar w:fldCharType="separate"/>
      </w:r>
      <w:r w:rsidR="00A67ED2" w:rsidRPr="00A67ED2">
        <w:rPr>
          <w:noProof/>
          <w:szCs w:val="24"/>
        </w:rPr>
        <w:t>[141,142]</w:t>
      </w:r>
      <w:r w:rsidRPr="0095427D">
        <w:rPr>
          <w:szCs w:val="24"/>
        </w:rPr>
        <w:fldChar w:fldCharType="end"/>
      </w:r>
      <w:r w:rsidRPr="0095427D">
        <w:rPr>
          <w:szCs w:val="24"/>
        </w:rPr>
        <w:t>. Неоднократно предпринимались попытки установить количество CD34+ клеток, необходимое для быстрого и успешного восстановления гемопоэза после трансплантации</w:t>
      </w:r>
      <w:r w:rsidRPr="0095427D">
        <w:rPr>
          <w:szCs w:val="24"/>
        </w:rPr>
        <w:fldChar w:fldCharType="begin" w:fldLock="1"/>
      </w:r>
      <w:r w:rsidR="00A67ED2">
        <w:rPr>
          <w:szCs w:val="24"/>
        </w:rPr>
        <w:instrText>ADDIN CSL_CITATION {"citationItems":[{"id":"ITEM-1","itemData":{"DOI":"10.1016/j.bbmt.2010.11.021","ISSN":"10838791","abstract":"Autologous hematopoietic stem cell transplantation (ASCT) is an established treatment for patients with hematologic malignancies, yet the impact of transplanted CD34 + cell dose on clinical outcomes is unresolved. We conducted post hoc analyses of transplanted CD34 + cell dose and hematopoietic recovery following ASCT in 438 patients with non-Hodgkin lymphoma (NHL) or multiple myeloma (MM), using data from 2 multicenter phase 3 clinical studies that compared plerixafor plus granulocyte-colony stimulating factor (G-CSF) versus placebo plus G-CSF as stem cell mobilization regimens. Days to engraftment and the proportion of patients who reached predetermined blood count thresholds were compared across 3 CD34 + cell dose levels: 2-4 × 10 6 cells/kg, 4-6 × 10 6 cells/kg, and &gt;6 × 10 6 cells/kg, regardless of mobilization treatment. Short-term neutrophil and platelet engraftment times were similar regardless of cell dose. A significant linear trend was observed between transplanted CD34 + cell dose and the proportion of patients with platelet count &gt;150 × 10 9/L at 100 days (P &lt; .001), 6 months (P = 026), and 12 months (P = 020) in patients with NHL, and at 100 days in patients with MM (P = 004). A linear trend was also observed between transplanted cell dose and the proportion of patients with platelet count &gt;100 × 10 9/L at 100 days (P &lt; .001) and 6 months (P = 023) in patients with NHL. A higher cell dose was associated with a lower percentage of NHL patients requiring red blood cell transfusions (P = 006). Our analyses confirm previous findings that transplanted CD34 + cell dose may be associated with better long-term platelet recovery after ASCT. © 2011 American Society for Blood and Marrow Transplantation.","author":[{"dropping-particle":"","family":"Stiff","given":"Patrick J.","non-dropping-particle":"","parse-names":false,"suffix":""},{"dropping-particle":"","family":"Micallef","given":"Ivana","non-dropping-particle":"","parse-names":false,"suffix":""},{"dropping-particle":"","family":"Nademanee","given":"Auayporn P.","non-dropping-particle":"","parse-names":false,"suffix":""},{"dropping-particle":"","family":"Stadtmauer","given":"Edward A.","non-dropping-particle":"","parse-names":false,"suffix":""},{"dropping-particle":"","family":"Maziarz","given":"Richard T.","non-dropping-particle":"","parse-names":false,"suffix":""},{"dropping-particle":"","family":"Bolwell","given":"Brian J.","non-dropping-particle":"","parse-names":false,"suffix":""},{"dropping-particle":"","family":"Bridger","given":"Gary","non-dropping-particle":"","parse-names":false,"suffix":""},{"dropping-particle":"","family":"Marulkar","given":"Sachin","non-dropping-particle":"","parse-names":false,"suffix":""},{"dropping-particle":"","family":"Hsu","given":"Frank J.","non-dropping-particle":"","parse-names":false,"suffix":""},{"dropping-particle":"","family":"DiPersio","given":"John F.","non-dropping-particle":"","parse-names":false,"suffix":""}],"container-title":"Biology of Blood and Marrow Transplantation","id":"ITEM-1","issue":"8","issued":{"date-parts":[["2011","8"]]},"page":"1146-1153","publisher":"Biol Blood Marrow Transplant","title":"Transplanted CD34 + Cell Dose Is Associated with Long-Term Platelet Count Recovery following Autologous Peripheral Blood Stem Cell Transplant in Patients with Non-Hodgkin Lymphoma or Multiple Myeloma","type":"article-journal","volume":"17"},"uris":["http://www.mendeley.com/documents/?uuid=48a19164-f2f4-3c72-92ac-75035529f84f","http://www.mendeley.com/documents/?uuid=0a6d07c9-82c9-4733-a748-4fde4ac355bf","http://www.mendeley.com/documents/?uuid=bf0d8f8a-f914-4a58-91b3-f9ddad3e5687","http://www.mendeley.com/documents/?uuid=b1384089-6533-4d2c-bd79-0f7357070e64","http://www.mendeley.com/documents/?uuid=58d20dd0-b39a-406e-8082-76a20c05645c","http://www.mendeley.com/documents/?uuid=cfbf2990-7580-4b9a-af63-5c87bebbc637","http://www.mendeley.com/documents/?uuid=aeec743f-aab0-4ef2-b5a9-bcb8a120b592"]},{"id":"ITEM-2","itemData":{"DOI":"10.1200/JCO.1995.13.3.705","ISSN":"0732183X","abstract":"Purpose: (1) To study the ability of mobilized peripheral-blood progenitor cells (PBPC) collected in a single large-volume leukapheresis performed on a predetermined date to accelerate engraftment after high-dose cyclophosphamide and thiotepa; (2) to establish the minimum dose of PBPC associated with early engraftment; and (3) to identify parameters predictive of collection of large numbers of PBPC. Patients and Methods: Twenty-three patients with breast cancer received cyclophosphamide (4 g/m2) and granulocyte-macrophage colony- stimulating factor ([GM-CSF] 5 μg/kg/d x 15 days) for PBPC mobilization. A single leukapheresis was performed 15 days after cyclophosphamide administration. Then, patients received high-dose cyclophosphamide and thiotepa followed by reinfusion of PBPC and 4-hydroperoxycyclophosphamide (4HC)-purged bone marrow. PBPC concentration was measured in serial peripheral-blood samples and in the leukapheresis product. Correlation analysis between PBPC dose and engraftment and between leukapheresis yield and patient characteristics was attempted. Results: A single leukapheresis processed a median 36 L (range, 24 to 46) blood and collected 5 x 106 CD34+ cells/kg (&lt; 0.3 to 24) and 6.2 x 105 colony-forming units granulocyte- macrophage (CFU-GM)/kg (&lt; 0.001 to 29). All sixteen patients (70%) reinfused with ≥ 2.9 x 106 CD34+ cells/kg reached a level of greater than 1,000 leukocytes/μL by day 13 and greater than 50,000 platelets/μL by day 15. All of these patients had a percentage of peripheral-blood CD34+ cells ≥ 0.5%, and all but one, a level of greater than 100,000 platelets/μL, on the day of leukapheresis. The bone marrow CD34+ cell percentage at study entry predicted the number of CD34+ cells collected after PBPC mobilization (R2 = .42, P = .002). All patients with ≥ 2.5% bone marrow CD34+ cells experienced early engraftment. Conclusion: Reinfusion of PBPC collected in a single leukapheresis accelerates engraftment in the majority of patients. Pretreatment bone marrow CD34+ cell content determines PBPC mobilization capacity and may help select hematopoietic rescue strategies.","author":[{"dropping-particle":"","family":"Passos-Coelho","given":"J. L.","non-dropping-particle":"","parse-names":false,"suffix":""},{"dropping-particle":"","family":"Braine","given":"H. G.","non-dropping-particle":"","parse-names":false,"suffix":""},{"dropping-particle":"","family":"Davis","given":"J. M.","non-dropping-particle":"","parse-names":false,"suffix":""},{"dropping-particle":"","family":"Huelskamp","given":"A. M.","non-dropping-particle":"","parse-names":false,"suffix":""},{"dropping-particle":"","family":"Schepers","given":"K. G.","non-dropping-particle":"","parse-names":false,"suffix":""},{"dropping-particle":"","family":"Ohly","given":"K.","non-dropping-particle":"","parse-names":false,"suffix":""},{"dropping-particle":"","family":"Clarke","given":"B.","non-dropping-particle":"","parse-names":false,"suffix":""},{"dropping-particle":"","family":"Wright","given":"S. K.","non-dropping-particle":"","parse-names":false,"suffix":""},{"dropping-particle":"","family":"Noga","given":"S. J.","non-dropping-particle":"","parse-names":false,"suffix":""},{"dropping-particle":"","family":"Davidson","given":"N. E.","non-dropping-particle":"","parse-names":false,"suffix":""},{"dropping-particle":"","family":"Kennedy","given":"M. J.","non-dropping-particle":"","parse-names":false,"suffix":""}],"container-title":"Journal of Clinical Oncology","id":"ITEM-2","issue":"3","issued":{"date-parts":[["1995"]]},"page":"705-714","publisher":"American Society of Clinical Oncology","title":"Predictive factors for peripheral-blood progenitor-cell collections using a single large-volume leukapheresis after cyclophosphamide and granulocyte- macrophage colony-stimulating factor mobilization","type":"article-journal","volume":"13"},"uris":["http://www.mendeley.com/documents/?uuid=9f936e14-dfc0-3b69-9eaa-703ea91a9517","http://www.mendeley.com/documents/?uuid=9bed808d-d71c-46a0-b6d7-9d6ce13e9c7d","http://www.mendeley.com/documents/?uuid=3706d09b-9023-490d-be3b-1e194d3fc1e4","http://www.mendeley.com/documents/?uuid=b899bbef-369f-4f35-8bd0-80f8725dd530","http://www.mendeley.com/documents/?uuid=32153687-438a-4c6a-ac63-3b5dbfa89f35","http://www.mendeley.com/documents/?uuid=69a86837-0dbe-4f8c-a0e9-040b7ce7c64b","http://www.mendeley.com/documents/?uuid=0a886e27-4a35-4e92-a56e-e7808e952669"]},{"id":"ITEM-3","itemData":{"ISSN":"0301-472X","PMID":"7681782","abstract":"High-dose conditioning therapy followed by autografting with blood stem cells rather than bone marrow has become an increasingly used transplantation modality for patients with chemosensitive malignancies. We treated 10 patients with malignant lymphoma in sensitive relapse with recombinant human granulocyte colony-stimulating factor (rhG-CSF) following salvage therapy. rhG-CSF was given subcutaneously (5 micrograms/kg/day) starting 24 hours after chemotherapy and stem cell collection was performed by repeated leukaphereses during leukocyte recovery. The yield of myeloid progenitors varied between 0.79 and 38.36 x 10(4) CFU-GM/kg body weight (median 4.1 x 10(4). A strong correlation was found between the number of granulocyte-macrophage colony-forming cells (CFU-GM) plus blast-forming erythroid cells (BFU-E) and CD34-positive (CD34+) cells (R = 0.80; p &lt; 0.001). The majority of CD34+ cells (&gt; 95%) strongly coexpressed human lymphocyte antigen-DR (HLA-DR) and CD38, whereas CD33 varied between 20% and 94%. Costaining of CD34+ cells for CD19 above the control level could not be detected, suggesting that early B lymphoid progenitors are not expanded or released into the circulation by rhG-CSF. Following total body irradiation (TBI)/cyclophosphamide or the CBV regimen (cyclophosphamide, BCNU, VP-16), all patients achieved complete engraftment with a median of 14 days for 1.0 x 10(9)/L white blood cells (WBC), 15 days for 0.5 x 10(9)/L polymorphonuclear cells (PMN) and 22 days for 20 x 10(9)/L platelets. The quantity of CFU-GM/kg transplanted was predictive for neutrophil and platelet recovery. The strongest correlation, however, was found between the number of CD34+ cells/kg autografted and platelet recovery (R = -0.86; p &lt; 0.001). The patients transplanted with more than 5 x 10(6)/kg CD34+ cells reached an unsubstituted platelet count &gt; 20 x 10(9)/L within 8 to 12 days. Our data demonstrate that rapid and complete engraftment can be achieved following myeloablative conditioning therapy with rhG-CSF-exposed blood stem cells without the need for additional bone marrow support or growth factor administration posttransplantation.","author":[{"dropping-particle":"","family":"Hohaus","given":"S","non-dropping-particle":"","parse-names":false,"suffix":""},{"dropping-particle":"","family":"Goldschmidt","given":"H","non-dropping-particle":"","parse-names":false,"suffix":""},{"dropping-particle":"","family":"Ehrhardt","given":"R","non-dropping-particle":"","parse-names":false,"suffix":""},{"dropping-particle":"","family":"Haas","given":"R","non-dropping-particle":"","parse-names":false,"suffix":""}],"container-title":"Experimental hematology","id":"ITEM-3","issue":"4","issued":{"date-parts":[["1993","4"]]},"page":"508-14","title":"Successful autografting following myeloablative conditioning therapy with blood stem cells mobilized by chemotherapy plus rhG-CSF.","type":"article-journal","volume":"21"},"uris":["http://www.mendeley.com/documents/?uuid=93812be1-7e65-3951-a468-4e3845502bab","http://www.mendeley.com/documents/?uuid=5b122eed-6453-4084-bfc7-422828bb1ccd","http://www.mendeley.com/documents/?uuid=b7c9c36c-a1b4-443e-870d-da0340dfc5f8","http://www.mendeley.com/documents/?uuid=80050e51-5010-4c71-a36b-97f1521bf43a","http://www.mendeley.com/documents/?uuid=38148a1c-e077-4358-ba14-0dc030862937","http://www.mendeley.com/documents/?uuid=7bc7df1c-3342-4a37-b645-1fd9957bd694","http://www.mendeley.com/documents/?uuid=841a47c1-56d9-4183-95e4-12fced0a860d"]},{"id":"ITEM-4","itemData":{"DOI":"10.1016/j.bbmt.2013.10.013","ISSN":"10838791","abstract":"Autologous hematopoietic stem cell transplantation (aHSCT) is a well-established treatment for malignancies such as multiple myeloma (MM) and lymphomas. Various changes in the field over the past decade, including the frequent use of tandem aHSCT in MM, the advent of novel therapies for the treatment of MM and lymphoma, and the addition of new stem cell mobilization techniques, have led to the need to reassess current stem cell mobilization strategies. Mobilization failures with traditional strategies are common and result in delays in treatment and increased cost and resource utilization. Recently, plerixafor-containing strategies have been shown to significantly reduce mobilization failure rates, but the ideal method to maximize stem cell yields and minimize costs associated with collection has not yet been determined. A panel of experts convened to discuss the currently available data on autologous hematopoietic stem cell mobilization and transplantation and to devise guidelines to optimize mobilization strategies. Herein is a summary of their discussion and consensus. © 2014 American Society for Blood and Marrow Transplantation.","author":[{"dropping-particle":"","family":"Giralt","given":"Sergio","non-dropping-particle":"","parse-names":false,"suffix":""},{"dropping-particle":"","family":"Costa","given":"Luciano","non-dropping-particle":"","parse-names":false,"suffix":""},{"dropping-particle":"","family":"Schriber","given":"Jeffrey","non-dropping-particle":"","parse-names":false,"suffix":""},{"dropping-particle":"","family":"DiPersio","given":"John","non-dropping-particle":"","parse-names":false,"suffix":""},{"dropping-particle":"","family":"Maziarz","given":"Richard","non-dropping-particle":"","parse-names":false,"suffix":""},{"dropping-particle":"","family":"McCarty","given":"John","non-dropping-particle":"","parse-names":false,"suffix":""},{"dropping-particle":"","family":"Shaughnessy","given":"Paul","non-dropping-particle":"","parse-names":false,"suffix":""},{"dropping-particle":"","family":"Snyder","given":"Edward","non-dropping-particle":"","parse-names":false,"suffix":""},{"dropping-particle":"","family":"Bensinger","given":"William","non-dropping-particle":"","parse-names":false,"suffix":""},{"dropping-particle":"","family":"Copelan","given":"Edward","non-dropping-particle":"","parse-names":false,"suffix":""},{"dropping-particle":"","family":"Hosing","given":"Chitra","non-dropping-particle":"","parse-names":false,"suffix":""},{"dropping-particle":"","family":"Negrin","given":"Robert","non-dropping-particle":"","parse-names":false,"suffix":""},{"dropping-particle":"","family":"Petersen","given":"Finn Bo","non-dropping-particle":"","parse-names":false,"suffix":""},{"dropping-particle":"","family":"Rondelli","given":"Damiano","non-dropping-particle":"","parse-names":false,"suffix":""},{"dropping-particle":"","family":"Soiffer","given":"Robert","non-dropping-particle":"","parse-names":false,"suffix":""},{"dropping-particle":"","family":"Leather","given":"Helen","non-dropping-particle":"","parse-names":false,"suffix":""},{"dropping-particle":"","family":"Pazzalia","given":"Amy","non-dropping-particle":"","parse-names":false,"suffix":""},{"dropping-particle":"","family":"Devine","given":"Steven","non-dropping-particle":"","parse-names":false,"suffix":""}],"container-title":"Biology of Blood and Marrow Transplantation","id":"ITEM-4","issue":"3","issued":{"date-parts":[["2014","3"]]},"page":"295-308","publisher":"Elsevier","title":"Optimizing autologous stem cell mobilization strategies to improve patient outcomes: Consensus guidelines and recommendations","type":"article","volume":"20"},"uris":["http://www.mendeley.com/documents/?uuid=43ce11fb-9802-4761-b036-0d546f3d6abf","http://www.mendeley.com/documents/?uuid=43c5883b-a94a-435d-a102-5bbe11f4e704","http://www.mendeley.com/documents/?uuid=e4bbc320-ed80-4839-8759-9919ec753098","http://www.mendeley.com/documents/?uuid=312e78a3-0bac-4bd4-bc5d-4ab2db1ceb87","http://www.mendeley.com/documents/?uuid=cf158ac3-8f92-4973-85ea-fed641e1f9aa","http://www.mendeley.com/documents/?uuid=aa3272db-ed0f-40c1-949a-b78843f4ce67","http://www.mendeley.com/documents/?uuid=f0ad3abd-ce55-3df5-b4f9-e8598b8d0fa8"]}],"mendeley":{"formattedCitation":"[142–145]","plainTextFormattedCitation":"[142–145]","previouslyFormattedCitation":"[115–118]"},"properties":{"noteIndex":0},"schema":"https://github.com/citation-style-language/schema/raw/master/csl-citation.json"}</w:instrText>
      </w:r>
      <w:r w:rsidRPr="0095427D">
        <w:rPr>
          <w:szCs w:val="24"/>
        </w:rPr>
        <w:fldChar w:fldCharType="separate"/>
      </w:r>
      <w:r w:rsidR="00A67ED2" w:rsidRPr="00A67ED2">
        <w:rPr>
          <w:noProof/>
          <w:szCs w:val="24"/>
        </w:rPr>
        <w:t>[142–145]</w:t>
      </w:r>
      <w:r w:rsidRPr="0095427D">
        <w:rPr>
          <w:szCs w:val="24"/>
        </w:rPr>
        <w:fldChar w:fldCharType="end"/>
      </w:r>
      <w:r w:rsidRPr="0095427D">
        <w:rPr>
          <w:szCs w:val="24"/>
        </w:rPr>
        <w:t xml:space="preserve">. </w:t>
      </w:r>
    </w:p>
    <w:p w14:paraId="39CD5FB4" w14:textId="77777777" w:rsidR="00755356" w:rsidRDefault="00755356" w:rsidP="00755356">
      <w:pPr>
        <w:ind w:firstLine="567"/>
        <w:rPr>
          <w:szCs w:val="24"/>
        </w:rPr>
      </w:pPr>
      <w:r w:rsidRPr="0095427D">
        <w:rPr>
          <w:szCs w:val="24"/>
        </w:rPr>
        <w:t xml:space="preserve">В настоящее время принято считать, что минимальным количеством клеток, необходимым для проведения одной аутологичной трансплантации, </w:t>
      </w:r>
      <w:r w:rsidRPr="00B5291B">
        <w:rPr>
          <w:szCs w:val="24"/>
        </w:rPr>
        <w:t>является 2×10</w:t>
      </w:r>
      <w:r w:rsidRPr="00B5291B">
        <w:rPr>
          <w:szCs w:val="24"/>
          <w:vertAlign w:val="superscript"/>
        </w:rPr>
        <w:t xml:space="preserve">6 </w:t>
      </w:r>
      <w:r w:rsidRPr="00B5291B">
        <w:rPr>
          <w:szCs w:val="24"/>
        </w:rPr>
        <w:t xml:space="preserve">CD34+ </w:t>
      </w:r>
      <w:r w:rsidRPr="00B5291B">
        <w:rPr>
          <w:szCs w:val="24"/>
        </w:rPr>
        <w:lastRenderedPageBreak/>
        <w:t>клеток/кг веса больного, а оптимальным количеством – значение 3 – 5 × 10</w:t>
      </w:r>
      <w:r w:rsidRPr="00B5291B">
        <w:rPr>
          <w:szCs w:val="24"/>
          <w:vertAlign w:val="superscript"/>
        </w:rPr>
        <w:t xml:space="preserve">6 </w:t>
      </w:r>
      <w:r w:rsidRPr="00B5291B">
        <w:rPr>
          <w:szCs w:val="24"/>
        </w:rPr>
        <w:t>CD34+ клеток/кг. В некоторых работах представлено, что при использовании трансплантата, содержащего более 5х10</w:t>
      </w:r>
      <w:r w:rsidRPr="00B5291B">
        <w:rPr>
          <w:szCs w:val="24"/>
          <w:vertAlign w:val="superscript"/>
        </w:rPr>
        <w:t xml:space="preserve">6 </w:t>
      </w:r>
      <w:r w:rsidRPr="00B5291B">
        <w:rPr>
          <w:szCs w:val="24"/>
        </w:rPr>
        <w:t>CD34+клеток/кг, отмечается меньшая длительность</w:t>
      </w:r>
      <w:r w:rsidRPr="0095427D">
        <w:rPr>
          <w:szCs w:val="24"/>
        </w:rPr>
        <w:t xml:space="preserve"> нейтропении и тромбоцитопении. </w:t>
      </w:r>
    </w:p>
    <w:p w14:paraId="16DD43CD" w14:textId="4A1BEFE5" w:rsidR="00755356" w:rsidRPr="0095427D" w:rsidRDefault="00755356" w:rsidP="00755356">
      <w:pPr>
        <w:ind w:firstLine="567"/>
        <w:rPr>
          <w:szCs w:val="24"/>
        </w:rPr>
      </w:pPr>
      <w:r w:rsidRPr="0095427D">
        <w:rPr>
          <w:szCs w:val="24"/>
        </w:rPr>
        <w:t>Однако тщательно спланированных проспективных рандомизированных исследований не проводилось, поэтому определить влияние высоких доз CD34+</w:t>
      </w:r>
      <w:r>
        <w:rPr>
          <w:szCs w:val="24"/>
        </w:rPr>
        <w:t xml:space="preserve"> </w:t>
      </w:r>
      <w:r w:rsidRPr="0095427D">
        <w:rPr>
          <w:szCs w:val="24"/>
        </w:rPr>
        <w:t xml:space="preserve">клеток на кинетику приживления </w:t>
      </w:r>
      <w:r>
        <w:rPr>
          <w:szCs w:val="24"/>
        </w:rPr>
        <w:t>не представляется возможным</w:t>
      </w:r>
      <w:r w:rsidRPr="0095427D">
        <w:rPr>
          <w:szCs w:val="24"/>
        </w:rPr>
        <w:t xml:space="preserve"> </w:t>
      </w:r>
      <w:r w:rsidRPr="0095427D">
        <w:rPr>
          <w:szCs w:val="24"/>
        </w:rPr>
        <w:fldChar w:fldCharType="begin" w:fldLock="1"/>
      </w:r>
      <w:r w:rsidR="00A67ED2">
        <w:rPr>
          <w:szCs w:val="24"/>
        </w:rPr>
        <w:instrText>ADDIN CSL_CITATION {"citationItems":[{"id":"ITEM-1","itemData":{"DOI":"10.1016/j.bbmt.2013.10.013","ISSN":"10838791","abstract":"Autologous hematopoietic stem cell transplantation (aHSCT) is a well-established treatment for malignancies such as multiple myeloma (MM) and lymphomas. Various changes in the field over the past decade, including the frequent use of tandem aHSCT in MM, the advent of novel therapies for the treatment of MM and lymphoma, and the addition of new stem cell mobilization techniques, have led to the need to reassess current stem cell mobilization strategies. Mobilization failures with traditional strategies are common and result in delays in treatment and increased cost and resource utilization. Recently, plerixafor-containing strategies have been shown to significantly reduce mobilization failure rates, but the ideal method to maximize stem cell yields and minimize costs associated with collection has not yet been determined. A panel of experts convened to discuss the currently available data on autologous hematopoietic stem cell mobilization and transplantation and to devise guidelines to optimize mobilization strategies. Herein is a summary of their discussion and consensus. © 2014 American Society for Blood and Marrow Transplantation.","author":[{"dropping-particle":"","family":"Giralt","given":"Sergio","non-dropping-particle":"","parse-names":false,"suffix":""},{"dropping-particle":"","family":"Costa","given":"Luciano","non-dropping-particle":"","parse-names":false,"suffix":""},{"dropping-particle":"","family":"Schriber","given":"Jeffrey","non-dropping-particle":"","parse-names":false,"suffix":""},{"dropping-particle":"","family":"DiPersio","given":"John","non-dropping-particle":"","parse-names":false,"suffix":""},{"dropping-particle":"","family":"Maziarz","given":"Richard","non-dropping-particle":"","parse-names":false,"suffix":""},{"dropping-particle":"","family":"McCarty","given":"John","non-dropping-particle":"","parse-names":false,"suffix":""},{"dropping-particle":"","family":"Shaughnessy","given":"Paul","non-dropping-particle":"","parse-names":false,"suffix":""},{"dropping-particle":"","family":"Snyder","given":"Edward","non-dropping-particle":"","parse-names":false,"suffix":""},{"dropping-particle":"","family":"Bensinger","given":"William","non-dropping-particle":"","parse-names":false,"suffix":""},{"dropping-particle":"","family":"Copelan","given":"Edward","non-dropping-particle":"","parse-names":false,"suffix":""},{"dropping-particle":"","family":"Hosing","given":"Chitra","non-dropping-particle":"","parse-names":false,"suffix":""},{"dropping-particle":"","family":"Negrin","given":"Robert","non-dropping-particle":"","parse-names":false,"suffix":""},{"dropping-particle":"","family":"Petersen","given":"Finn Bo","non-dropping-particle":"","parse-names":false,"suffix":""},{"dropping-particle":"","family":"Rondelli","given":"Damiano","non-dropping-particle":"","parse-names":false,"suffix":""},{"dropping-particle":"","family":"Soiffer","given":"Robert","non-dropping-particle":"","parse-names":false,"suffix":""},{"dropping-particle":"","family":"Leather","given":"Helen","non-dropping-particle":"","parse-names":false,"suffix":""},{"dropping-particle":"","family":"Pazzalia","given":"Amy","non-dropping-particle":"","parse-names":false,"suffix":""},{"dropping-particle":"","family":"Devine","given":"Steven","non-dropping-particle":"","parse-names":false,"suffix":""}],"container-title":"Biology of Blood and Marrow Transplantation","id":"ITEM-1","issue":"3","issued":{"date-parts":[["2014","3"]]},"page":"295-308","publisher":"Elsevier","title":"Optimizing autologous stem cell mobilization strategies to improve patient outcomes: Consensus guidelines and recommendations","type":"article","volume":"20"},"uris":["http://www.mendeley.com/documents/?uuid=43ce11fb-9802-4761-b036-0d546f3d6abf","http://www.mendeley.com/documents/?uuid=43c5883b-a94a-435d-a102-5bbe11f4e704","http://www.mendeley.com/documents/?uuid=e4bbc320-ed80-4839-8759-9919ec753098","http://www.mendeley.com/documents/?uuid=312e78a3-0bac-4bd4-bc5d-4ab2db1ceb87","http://www.mendeley.com/documents/?uuid=cf158ac3-8f92-4973-85ea-fed641e1f9aa","http://www.mendeley.com/documents/?uuid=aa3272db-ed0f-40c1-949a-b78843f4ce67","http://www.mendeley.com/documents/?uuid=f0ad3abd-ce55-3df5-b4f9-e8598b8d0fa8"]}],"mendeley":{"formattedCitation":"[142]","plainTextFormattedCitation":"[142]","previouslyFormattedCitation":"[115]"},"properties":{"noteIndex":0},"schema":"https://github.com/citation-style-language/schema/raw/master/csl-citation.json"}</w:instrText>
      </w:r>
      <w:r w:rsidRPr="0095427D">
        <w:rPr>
          <w:szCs w:val="24"/>
        </w:rPr>
        <w:fldChar w:fldCharType="separate"/>
      </w:r>
      <w:r w:rsidR="00A67ED2" w:rsidRPr="00A67ED2">
        <w:rPr>
          <w:noProof/>
          <w:szCs w:val="24"/>
        </w:rPr>
        <w:t>[142]</w:t>
      </w:r>
      <w:r w:rsidRPr="0095427D">
        <w:rPr>
          <w:szCs w:val="24"/>
        </w:rPr>
        <w:fldChar w:fldCharType="end"/>
      </w:r>
      <w:r w:rsidRPr="0095427D">
        <w:rPr>
          <w:szCs w:val="24"/>
        </w:rPr>
        <w:t>.</w:t>
      </w:r>
    </w:p>
    <w:p w14:paraId="50A891AA" w14:textId="77777777" w:rsidR="006F27D1" w:rsidRDefault="006F27D1" w:rsidP="006F27D1">
      <w:pPr>
        <w:rPr>
          <w:b/>
          <w:bCs/>
        </w:rPr>
      </w:pPr>
      <w:bookmarkStart w:id="391" w:name="_Toc44926602"/>
    </w:p>
    <w:p w14:paraId="37A20F19" w14:textId="3F057D66" w:rsidR="00755356" w:rsidRPr="006F27D1" w:rsidRDefault="00755356" w:rsidP="006F27D1">
      <w:pPr>
        <w:rPr>
          <w:b/>
          <w:bCs/>
        </w:rPr>
      </w:pPr>
      <w:r w:rsidRPr="006F27D1">
        <w:rPr>
          <w:b/>
          <w:bCs/>
        </w:rPr>
        <w:t>Факторы риска неэффективной мобилизации ГСК</w:t>
      </w:r>
      <w:bookmarkEnd w:id="391"/>
    </w:p>
    <w:p w14:paraId="5F29F0DF" w14:textId="4F684D24" w:rsidR="00755356" w:rsidRDefault="00755356" w:rsidP="00755356">
      <w:pPr>
        <w:ind w:firstLine="567"/>
        <w:rPr>
          <w:szCs w:val="24"/>
        </w:rPr>
      </w:pPr>
      <w:r w:rsidRPr="0095427D">
        <w:rPr>
          <w:szCs w:val="24"/>
        </w:rPr>
        <w:t>Несмотря на совершенствование методик и появление новых препаратов, неудача мобилизации ГСК остается проблемой для пациентов с онкогематологическими заболеваниями</w:t>
      </w:r>
      <w:r>
        <w:rPr>
          <w:szCs w:val="24"/>
        </w:rPr>
        <w:t xml:space="preserve"> </w:t>
      </w:r>
      <w:r>
        <w:rPr>
          <w:szCs w:val="24"/>
        </w:rPr>
        <w:fldChar w:fldCharType="begin" w:fldLock="1"/>
      </w:r>
      <w:r w:rsidR="00A67ED2">
        <w:rPr>
          <w:szCs w:val="24"/>
        </w:rPr>
        <w:instrText>ADDIN CSL_CITATION {"citationItems":[{"id":"ITEM-1","itemData":{"author":[{"dropping-particle":"","family":"Покровская О.С., Менделеева Л.П., Гальцева И.В., Варламова Е.Ю., Капланская И.Б., Воробьев И.А., Грецов Е.М., Калинин Н.Н., Варламова С.В., Клясова Г.А., Тихонова Л.Ю.","given":"Савченко В.Г.","non-dropping-particle":"","parse-names":false,"suffix":""}],"container-title":"Проблемы гематологии и переливания","id":"ITEM-1","issued":{"date-parts":[["2003"]]},"page":"55-56","title":"Мобилизация гемопоэтических клеток крови у больных миеломной болезнью","type":"article-journal"},"uris":["http://www.mendeley.com/documents/?uuid=ffac3994-c2e2-36fa-a30d-0feb13f9a7fd","http://www.mendeley.com/documents/?uuid=8770f689-e379-4f05-bd8a-15cddd1006fb"]}],"mendeley":{"formattedCitation":"[146]","plainTextFormattedCitation":"[146]","previouslyFormattedCitation":"[119]"},"properties":{"noteIndex":0},"schema":"https://github.com/citation-style-language/schema/raw/master/csl-citation.json"}</w:instrText>
      </w:r>
      <w:r>
        <w:rPr>
          <w:szCs w:val="24"/>
        </w:rPr>
        <w:fldChar w:fldCharType="separate"/>
      </w:r>
      <w:r w:rsidR="00A67ED2" w:rsidRPr="00A67ED2">
        <w:rPr>
          <w:noProof/>
          <w:szCs w:val="24"/>
        </w:rPr>
        <w:t>[146]</w:t>
      </w:r>
      <w:r>
        <w:rPr>
          <w:szCs w:val="24"/>
        </w:rPr>
        <w:fldChar w:fldCharType="end"/>
      </w:r>
      <w:r w:rsidRPr="0095427D">
        <w:rPr>
          <w:szCs w:val="24"/>
        </w:rPr>
        <w:t>. Группа итальянских исследователей GITIMO определила критерии доказанного и вероятного риска неудачи мобилизации ГСК у больных ММ и НХЛ.</w:t>
      </w:r>
    </w:p>
    <w:p w14:paraId="670A7D17" w14:textId="77777777" w:rsidR="00755356" w:rsidRPr="00B5291B" w:rsidRDefault="00755356" w:rsidP="00755356">
      <w:pPr>
        <w:ind w:firstLine="567"/>
        <w:rPr>
          <w:szCs w:val="24"/>
        </w:rPr>
      </w:pPr>
      <w:r w:rsidRPr="0095427D">
        <w:rPr>
          <w:szCs w:val="24"/>
        </w:rPr>
        <w:t xml:space="preserve">К факторам доказанного риска неудачи относятся два параметра: если показатели циркулирующих в крови СD34+ не </w:t>
      </w:r>
      <w:r w:rsidRPr="00B5291B">
        <w:rPr>
          <w:szCs w:val="24"/>
        </w:rPr>
        <w:t>достигают 20 клеток в 1 мкл. на 4-6-й дни после старта Г–КСФ или же заготовлено менее 2х10</w:t>
      </w:r>
      <w:r w:rsidRPr="00B5291B">
        <w:rPr>
          <w:szCs w:val="24"/>
          <w:vertAlign w:val="superscript"/>
        </w:rPr>
        <w:t xml:space="preserve">6 </w:t>
      </w:r>
      <w:r w:rsidRPr="00B5291B">
        <w:rPr>
          <w:szCs w:val="24"/>
        </w:rPr>
        <w:t>CD34+ клеток/кг за 3 лейкафереза.</w:t>
      </w:r>
    </w:p>
    <w:p w14:paraId="186DD2A5" w14:textId="13045A9B" w:rsidR="00755356" w:rsidRPr="0095427D" w:rsidRDefault="00755356" w:rsidP="00755356">
      <w:pPr>
        <w:ind w:firstLine="567"/>
        <w:rPr>
          <w:szCs w:val="24"/>
        </w:rPr>
      </w:pPr>
      <w:r w:rsidRPr="00B5291B">
        <w:rPr>
          <w:szCs w:val="24"/>
        </w:rPr>
        <w:t>Критериями вероятного риска неудачи</w:t>
      </w:r>
      <w:r w:rsidRPr="0095427D">
        <w:rPr>
          <w:szCs w:val="24"/>
        </w:rPr>
        <w:t xml:space="preserve"> мобилизации ГСК является наличие предшествующей неэффективной мобилизации ГСК; длит</w:t>
      </w:r>
      <w:r>
        <w:rPr>
          <w:szCs w:val="24"/>
        </w:rPr>
        <w:t xml:space="preserve">ельной ХТ или лучевой терапии, </w:t>
      </w:r>
      <w:r w:rsidRPr="0095427D">
        <w:rPr>
          <w:szCs w:val="24"/>
        </w:rPr>
        <w:t xml:space="preserve">использование флюдарабина, мелфалана, леналидомида на предыдущих этапах лечения; продвинутая фаза болезни, потребовавшая проведения как минимум двух линий ХТ. Клеточность костного мозга менее 30% на момент мобилизации и возраст старше 65 лет также являются факторами риска неэффективной мобилизации </w:t>
      </w:r>
      <w:r w:rsidRPr="0095427D">
        <w:rPr>
          <w:szCs w:val="24"/>
        </w:rPr>
        <w:fldChar w:fldCharType="begin" w:fldLock="1"/>
      </w:r>
      <w:r w:rsidR="00A67ED2">
        <w:rPr>
          <w:szCs w:val="24"/>
        </w:rPr>
        <w:instrText>ADDIN CSL_CITATION {"citationItems":[{"id":"ITEM-1","itemData":{"DOI":"10.1038/bmt.2011.82","ISSN":"02683369","abstract":"Many lymphoma and myeloma patients fail to undergo ASCT owing to poor mobilization. Identification of poor mobilizers (PMs) would provide a tool for early intervention with new mobilization agents. The Gruppo italianoTrapianto di Midollo Osseo working group proposed a definition of PMs applicable to clinical trials and clinical practice. The analytic hierarchy process, a method for group decision making, was used in setting prioritized criteria. Lymphoma or myeloma patients were defined as 'proven PM' when: (1) after adequate mobilization (G-CSF 10 μg/kg if used alone or ≥5 μg/kg after chemotherapy) circulating CD34 + cell peak is &lt;20/μL up to 6 days after mobilization with G-CSF or up to 20 days after chemotherapy and G-CSF or (2) they yielded &lt;2.0 × 10 6 CD34 + cells per kg in ≤3 apheresis. Patients were defined as predicted PMs if: (1) they failed a previous collection attempt (not otherwise specified); (2) they previously received extensive radiotherapy or full courses of therapy affecting SC mobilization; and (3) they met two of the following criteria: advanced disease (≥2 lines of chemotherapy), refractory disease, extensive BM involvement or cellularity &lt;30% at the time of mobilization; age ≥65 years. This definition of proven and predicted PMs should be validated in clinical trials and common clinical practice. © 2012 Macmillan Publishers Limited All rights reserved.","author":[{"dropping-particle":"","family":"Olivieri","given":"A.","non-dropping-particle":"","parse-names":false,"suffix":""},{"dropping-particle":"","family":"Marchetti","given":"M.","non-dropping-particle":"","parse-names":false,"suffix":""},{"dropping-particle":"","family":"Lemoli","given":"R.","non-dropping-particle":"","parse-names":false,"suffix":""},{"dropping-particle":"","family":"Tarella","given":"C.","non-dropping-particle":"","parse-names":false,"suffix":""},{"dropping-particle":"","family":"Iacone","given":"A.","non-dropping-particle":"","parse-names":false,"suffix":""},{"dropping-particle":"","family":"Lanza","given":"F.","non-dropping-particle":"","parse-names":false,"suffix":""},{"dropping-particle":"","family":"Rambaldi","given":"A.","non-dropping-particle":"","parse-names":false,"suffix":""},{"dropping-particle":"","family":"Bosi","given":"A.","non-dropping-particle":"","parse-names":false,"suffix":""}],"container-title":"Bone Marrow Transplantation","id":"ITEM-1","issue":"3","issued":{"date-parts":[["2012","3"]]},"page":"342-351","publisher":"Bone Marrow Transplant","title":"Proposed definition of 'poor mobilizer' in lymphoma and multiple myeloma: An analytic hierarchy process by ad hoc working group Gruppo ItalianoTrapianto di Midollo Osseo","type":"article-journal","volume":"47"},"uris":["http://www.mendeley.com/documents/?uuid=ba171d2e-11ed-30e4-8419-628863ccc7d5","http://www.mendeley.com/documents/?uuid=889b327f-5a75-4546-9a08-eda1f05160e3","http://www.mendeley.com/documents/?uuid=8da75729-e2dd-4c45-a604-256ab831ad9d","http://www.mendeley.com/documents/?uuid=5f9c85d8-eabb-4b72-a615-ad332ceb6a28","http://www.mendeley.com/documents/?uuid=77a1aded-f417-40b5-92fe-c81e7ab18493","http://www.mendeley.com/documents/?uuid=8ccbbe36-8201-44c0-91bf-f8fc6344c830","http://www.mendeley.com/documents/?uuid=39d3b635-3780-462d-8abb-b71c080a2618"]}],"mendeley":{"formattedCitation":"[147]","plainTextFormattedCitation":"[147]","previouslyFormattedCitation":"[120]"},"properties":{"noteIndex":0},"schema":"https://github.com/citation-style-language/schema/raw/master/csl-citation.json"}</w:instrText>
      </w:r>
      <w:r w:rsidRPr="0095427D">
        <w:rPr>
          <w:szCs w:val="24"/>
        </w:rPr>
        <w:fldChar w:fldCharType="separate"/>
      </w:r>
      <w:r w:rsidR="00A67ED2" w:rsidRPr="00A67ED2">
        <w:rPr>
          <w:noProof/>
          <w:szCs w:val="24"/>
        </w:rPr>
        <w:t>[147]</w:t>
      </w:r>
      <w:r w:rsidRPr="0095427D">
        <w:rPr>
          <w:szCs w:val="24"/>
        </w:rPr>
        <w:fldChar w:fldCharType="end"/>
      </w:r>
      <w:r>
        <w:rPr>
          <w:szCs w:val="24"/>
        </w:rPr>
        <w:t>.</w:t>
      </w:r>
    </w:p>
    <w:p w14:paraId="4836BE03" w14:textId="77777777" w:rsidR="00755356" w:rsidRPr="0095427D" w:rsidRDefault="00755356" w:rsidP="00755356">
      <w:pPr>
        <w:ind w:firstLine="567"/>
        <w:rPr>
          <w:szCs w:val="24"/>
        </w:rPr>
      </w:pPr>
      <w:r w:rsidRPr="0095427D">
        <w:rPr>
          <w:szCs w:val="24"/>
        </w:rPr>
        <w:t>В случае недостаточного количества заготовленных ГСК обсуждается вопрос об эскалации дозы ростового фактора, проведении повторной мобилизации по другой схеме, эксфузии костного мозга. В настоящее время трансплант</w:t>
      </w:r>
      <w:r>
        <w:rPr>
          <w:szCs w:val="24"/>
        </w:rPr>
        <w:t>а</w:t>
      </w:r>
      <w:r w:rsidRPr="0095427D">
        <w:rPr>
          <w:szCs w:val="24"/>
        </w:rPr>
        <w:t>ция ГСК, полученных из периферической крови, вытесняет трансплантацию костного мозга. Это связанно с тем, что методы сбора клеток из периферической крови менее инвазивны, а восстановление гемопоэза после трансплантации ГСК происходит быстрее, чем после трансплантации костного мозга.</w:t>
      </w:r>
    </w:p>
    <w:p w14:paraId="77244A29" w14:textId="77777777" w:rsidR="00755356" w:rsidRPr="0095427D" w:rsidRDefault="00755356" w:rsidP="00755356">
      <w:pPr>
        <w:ind w:firstLine="567"/>
        <w:rPr>
          <w:szCs w:val="24"/>
        </w:rPr>
      </w:pPr>
      <w:r w:rsidRPr="0095427D">
        <w:rPr>
          <w:szCs w:val="24"/>
        </w:rPr>
        <w:t>Цель мобилизации – заготовка адекватного количества CD34+клеток, достаточного для выполнения одной или двух трансплантаций.</w:t>
      </w:r>
    </w:p>
    <w:p w14:paraId="463DF544" w14:textId="77777777" w:rsidR="00755356" w:rsidRPr="0095427D" w:rsidRDefault="00755356" w:rsidP="00755356">
      <w:pPr>
        <w:ind w:firstLine="567"/>
        <w:rPr>
          <w:szCs w:val="24"/>
        </w:rPr>
      </w:pPr>
      <w:r w:rsidRPr="0095427D">
        <w:rPr>
          <w:szCs w:val="24"/>
        </w:rPr>
        <w:t>Далее представлена подробная характеристика препаратов, стимулирующих выброс ГСК в периферическую кровь.</w:t>
      </w:r>
    </w:p>
    <w:p w14:paraId="6AF618CB" w14:textId="77777777" w:rsidR="001F6FE2" w:rsidRDefault="001F6FE2" w:rsidP="001F6FE2">
      <w:pPr>
        <w:rPr>
          <w:b/>
          <w:bCs/>
        </w:rPr>
      </w:pPr>
    </w:p>
    <w:p w14:paraId="19A7D28A" w14:textId="037CEF54" w:rsidR="006F27D1" w:rsidRPr="001F6FE2" w:rsidRDefault="006F27D1" w:rsidP="001F6FE2">
      <w:pPr>
        <w:rPr>
          <w:b/>
          <w:bCs/>
        </w:rPr>
      </w:pPr>
      <w:r w:rsidRPr="001F6FE2">
        <w:rPr>
          <w:b/>
          <w:bCs/>
        </w:rPr>
        <w:t>Препараты, используемые для мобилизации ГСК.</w:t>
      </w:r>
    </w:p>
    <w:p w14:paraId="5644C0AA" w14:textId="77777777" w:rsidR="006F27D1" w:rsidRPr="0050367B" w:rsidRDefault="006F27D1" w:rsidP="006F27D1">
      <w:pPr>
        <w:pStyle w:val="afff3"/>
        <w:ind w:left="0"/>
        <w:rPr>
          <w:szCs w:val="24"/>
          <w:u w:val="single"/>
        </w:rPr>
      </w:pPr>
      <w:r w:rsidRPr="0050367B">
        <w:rPr>
          <w:szCs w:val="24"/>
          <w:u w:val="single"/>
        </w:rPr>
        <w:lastRenderedPageBreak/>
        <w:t>Гранулоцитарный колониестимулирующий фактор</w:t>
      </w:r>
    </w:p>
    <w:p w14:paraId="26A00D01" w14:textId="77777777" w:rsidR="006F27D1" w:rsidRPr="0095427D" w:rsidRDefault="006F27D1" w:rsidP="006F27D1">
      <w:pPr>
        <w:ind w:firstLine="567"/>
        <w:rPr>
          <w:szCs w:val="24"/>
        </w:rPr>
      </w:pPr>
      <w:r w:rsidRPr="0095427D">
        <w:rPr>
          <w:szCs w:val="24"/>
        </w:rPr>
        <w:t xml:space="preserve">Г-КСФ – гликопротеин, ускоряющий пролиферацию гранулоцитарных клеток-предшественников нейтрофильного ростка костного мозга, дифференцировку в направлении зрелых нейтрофилов и их выход из костного мозга в периферическую кровь. Применение Г-КСФ как после курса химиотерапии (ХТ), так и независимо от нее, приводит к мобилизации в периферическую кровь клеток-предшественниц гемопоэза. </w:t>
      </w:r>
    </w:p>
    <w:p w14:paraId="651FB1A2" w14:textId="77777777" w:rsidR="006F27D1" w:rsidRPr="0095427D" w:rsidRDefault="006F27D1" w:rsidP="006F27D1">
      <w:pPr>
        <w:ind w:firstLine="567"/>
        <w:rPr>
          <w:szCs w:val="24"/>
        </w:rPr>
      </w:pPr>
      <w:r w:rsidRPr="0095427D">
        <w:rPr>
          <w:szCs w:val="24"/>
        </w:rPr>
        <w:t xml:space="preserve">Г-КСФ значительно увеличивает число нейтрофилов в периферической крови уже в первые 24 часа после введения. После окончания применения Г-КСФ число нейтрофилов в периферической крови снижается на 50% в течение 1-2 дней и возвращается к нормальным значениям в течение 1-7 дней. </w:t>
      </w:r>
    </w:p>
    <w:p w14:paraId="0BEE7EA1" w14:textId="17F9D6B6" w:rsidR="006F27D1" w:rsidRPr="0095427D" w:rsidRDefault="006F27D1" w:rsidP="006F27D1">
      <w:pPr>
        <w:ind w:firstLine="567"/>
        <w:rPr>
          <w:szCs w:val="24"/>
        </w:rPr>
      </w:pPr>
      <w:r>
        <w:rPr>
          <w:szCs w:val="24"/>
        </w:rPr>
        <w:t xml:space="preserve">Изучение фармакокинетики Г-КСФ </w:t>
      </w:r>
      <w:r w:rsidRPr="0095427D">
        <w:rPr>
          <w:szCs w:val="24"/>
        </w:rPr>
        <w:t xml:space="preserve">показало, что препарат быстро выводится из организма, что требует применения многократных инъекций. С целью пролонгации действия разработана иммобилизованная на полиэтиленгликоле (ПЭГ) форма Г-КСФ. В иммобилизованном препарате ПЭГ присоединяется ковалентной связью к N-концевому пептиду молекулы, увеличивая ее размер, что приводит к замедлению почечного клиренса. Время циркуляции в крови пэгилированной формы увеличивается с 3,5 ч. </w:t>
      </w:r>
      <w:r>
        <w:rPr>
          <w:szCs w:val="24"/>
        </w:rPr>
        <w:t>до 42</w:t>
      </w:r>
      <w:r w:rsidRPr="0095427D">
        <w:rPr>
          <w:szCs w:val="24"/>
        </w:rPr>
        <w:t xml:space="preserve">ч. После одной инъекции препарата высокий уровень нейтрофилов поддерживается в крови в течение 9 дней </w:t>
      </w:r>
      <w:r w:rsidRPr="0095427D">
        <w:rPr>
          <w:szCs w:val="24"/>
        </w:rPr>
        <w:fldChar w:fldCharType="begin" w:fldLock="1"/>
      </w:r>
      <w:r w:rsidR="00A67ED2">
        <w:rPr>
          <w:szCs w:val="24"/>
        </w:rPr>
        <w:instrText>ADDIN CSL_CITATION {"citationItems":[{"id":"ITEM-1","itemData":{"DOI":"10.2165/11586040-000000000-00000","ISSN":"03125963","abstract":"Pegfilgrastim is a sustained-duration form of filgrastim, a recombinant methionyl form of human granulocyte colony-stimulating factor (G-CSF), to which a 20kDa polyethylene glycol molecule is covalently bound to the N-terminal methionine residue. Similar to filgrastim, pegfilgrastim increases the proliferation and differentiation of neutrophils from committed progenitor cells, induces maturation, and enhances the survival and function of mature neutrophils, resulting in dose-dependent increases in neutrophils.After subcutaneous administration, pegfilgrastim exhibits nonlinear pharmacokinetics and exposure to pegfilgrastim increases in more than a dose-proportional manner, suggesting that the clearance of pegfilgrastim decreases with increased dosing. Filgrastim is primarily eliminated by the kidney and neutrophilsneutrophil precursors; the latter presumably involves binding of the growth factor to the G-CSF receptor on the cell surface, internalization of the growth factor-receptor complexes via endocytosis, and subsequent degradation inside the cells. Pegylation of filgrastim renders renal clearance insignificant, which was demonstrated in bilaterally nephrectomized rats and confirmed in subjects with renal impairment. As a result, the neutrophil-mediated clearance is the predominant elimination pathway for pegfilgrastim.During chemotherapy-induced neutropenia, the clearance of pegfilgrastim is significantly reduced and the concentration of pegfilgrastim is sustained until onset of neutrophil recovery. Pegfilgrastim concentrations are sustained longer in patients with profound neutropenia. Evidence supports the use of a postnadir absolute neutrophil count (ANC) of ≥1×109/L as a surrogate marker threshold for the clearance of pegfilgrastim to subtherapeutic levels. After repeated administration of pegfilgrastim, the peak concentrations of pegfilgrastim decrease, likely due to increased neutrophil and neutrophil precursor mass.A pharmacokinetic-pharmacodynamic model was developed to describe the pharmacokinetic and ANC profiles of pegfilgrastim; the analysis supported that 100μgkg was an adequate weight-based dose of pegfilgrastim and predicted that 6mg would be an optimal fixed dose of pegfilgrastim to simplify treatment. Data from a pivotal study confirmed that a once-per-chemotherapy-cycle injection of pegfilgrastim at 6mg was as safe and effective as 11 daily injections of filgrastim at 5μgkg in reducing neutropenia and its complications in patients …","author":[{"dropping-particle":"","family":"Yang","given":"Bing Bing","non-dropping-particle":"","parse-names":false,"suffix":""},{"dropping-particle":"","family":"Kido","given":"Anna","non-dropping-particle":"","parse-names":false,"suffix":""}],"container-title":"Clinical Pharmacokinetics","id":"ITEM-1","issue":"5","issued":{"date-parts":[["2011"]]},"page":"295-306","publisher":"Clin Pharmacokinet","title":"Pharmacokinetics and pharmacodynamics of pegfilgrastim","type":"article","volume":"50"},"uris":["http://www.mendeley.com/documents/?uuid=445b8605-4444-3286-9533-f890634da33f","http://www.mendeley.com/documents/?uuid=8c131309-d633-4467-9e52-e36f2f6739d8","http://www.mendeley.com/documents/?uuid=d0ae95d8-455a-466d-b2b7-1cf20c6911c3","http://www.mendeley.com/documents/?uuid=350f69c3-8670-4b28-9ce6-bbf7bbe95719","http://www.mendeley.com/documents/?uuid=aed192a7-bd44-4087-8c83-7bb80ed986b5","http://www.mendeley.com/documents/?uuid=4fb6ef40-750e-4e26-80f5-5d3e68016e6f","http://www.mendeley.com/documents/?uuid=ec9d7c0f-5da5-47cd-a932-c0af1a9d94a0"]}],"mendeley":{"formattedCitation":"[148]","plainTextFormattedCitation":"[148]","previouslyFormattedCitation":"[121]"},"properties":{"noteIndex":0},"schema":"https://github.com/citation-style-language/schema/raw/master/csl-citation.json"}</w:instrText>
      </w:r>
      <w:r w:rsidRPr="0095427D">
        <w:rPr>
          <w:szCs w:val="24"/>
        </w:rPr>
        <w:fldChar w:fldCharType="separate"/>
      </w:r>
      <w:r w:rsidR="00A67ED2" w:rsidRPr="00A67ED2">
        <w:rPr>
          <w:noProof/>
          <w:szCs w:val="24"/>
        </w:rPr>
        <w:t>[148]</w:t>
      </w:r>
      <w:r w:rsidRPr="0095427D">
        <w:rPr>
          <w:szCs w:val="24"/>
        </w:rPr>
        <w:fldChar w:fldCharType="end"/>
      </w:r>
      <w:r w:rsidRPr="0095427D">
        <w:rPr>
          <w:szCs w:val="24"/>
        </w:rPr>
        <w:t>.</w:t>
      </w:r>
    </w:p>
    <w:p w14:paraId="577C93BE" w14:textId="77777777" w:rsidR="006F27D1" w:rsidRPr="00B71144" w:rsidRDefault="006F27D1" w:rsidP="006F27D1">
      <w:pPr>
        <w:rPr>
          <w:i/>
          <w:szCs w:val="24"/>
        </w:rPr>
      </w:pPr>
    </w:p>
    <w:p w14:paraId="613CD522" w14:textId="77777777" w:rsidR="006F27D1" w:rsidRPr="0031526F" w:rsidRDefault="006F27D1" w:rsidP="006F27D1">
      <w:pPr>
        <w:rPr>
          <w:b/>
          <w:i/>
          <w:szCs w:val="24"/>
        </w:rPr>
      </w:pPr>
      <w:r w:rsidRPr="0031526F">
        <w:rPr>
          <w:b/>
          <w:i/>
          <w:szCs w:val="24"/>
          <w:lang w:val="en-US"/>
        </w:rPr>
        <w:t>P</w:t>
      </w:r>
      <w:r w:rsidRPr="0031526F">
        <w:rPr>
          <w:b/>
          <w:i/>
          <w:szCs w:val="24"/>
        </w:rPr>
        <w:t xml:space="preserve">ежим дозирования Г-КСФ для мобилизации СКК </w:t>
      </w:r>
    </w:p>
    <w:p w14:paraId="75C975E1" w14:textId="43667503" w:rsidR="006F27D1" w:rsidRPr="0095427D" w:rsidRDefault="006F27D1" w:rsidP="006F27D1">
      <w:pPr>
        <w:ind w:firstLine="567"/>
        <w:rPr>
          <w:szCs w:val="24"/>
        </w:rPr>
      </w:pPr>
      <w:r>
        <w:rPr>
          <w:szCs w:val="24"/>
        </w:rPr>
        <w:t xml:space="preserve">Г-КСФ </w:t>
      </w:r>
      <w:r w:rsidRPr="0095427D">
        <w:rPr>
          <w:szCs w:val="24"/>
        </w:rPr>
        <w:t xml:space="preserve">вводится в дозе 5 или 10 мкг/кг/сутки подкожно в зависимости от режима мобилизации ГСК. Пегилированный Г-КСФ вводится однократно в дозе 12 мг подкожно </w:t>
      </w:r>
      <w:r w:rsidRPr="0095427D">
        <w:rPr>
          <w:szCs w:val="24"/>
        </w:rPr>
        <w:fldChar w:fldCharType="begin" w:fldLock="1"/>
      </w:r>
      <w:r w:rsidR="00A67ED2">
        <w:rPr>
          <w:szCs w:val="24"/>
        </w:rPr>
        <w:instrText>ADDIN CSL_CITATION {"citationItems":[{"id":"ITEM-1","itemData":{"DOI":"10.1111/j.1537-2995.2012.03579.x","ISSN":"00411132","abstract":"Background: Plerixafor enhances the ability of filgrastim (FIL) to mobilize CD34+ cells but adds cost to the mobilization. We hypothesized that replacing weight-based FIL with flat-dose pegfilgrastim (PEG) in a validated cost-based mobilization algorithm for patient-adapted use of plerixafor would add convenience without increased cost. Study design and methods: A single-center retrospective analysis compared two consecutive cohorts undergoing FIL or PEG mobilization before autologous hematopoietic stem cell transplantation for multiple myeloma or lymphoma. FIL dose was 10 Âμg/kg/day continuing until completion of collection and a 12-mg flat dose of PEG. Peripheral blood CD34+ cells (PB-CD34+) enumeration was performed on the fourth day after initiation of growth factor. Subjects surpassing a certain target-specific threshold of PB-CD34+ started apheresis immediately while subjects with lower PB-CD34+ received plerixafor with apheresis starting on the fifth day. Results: Overall 68 of 74 in the FIL group and 52 of 57 patients in the PEG group met the mobilization target. Only one patient in each cohort required remobilization. Median PB-CD34+ on Day 4 was significantly higher in patients in the PEG group (18.1 × 106 vs. 28.7 × 106 cells/L, p = 0.01). Consequently, patients in the PEG group were less likely to require administration of plerixafor (67.5% vs. 45.6%, p = 0.01). Cohorts had near identical mean number of apheresis sessions and comparable CD34+ yield. The estimated cost associated with growth factor was higher in patients in the PEG group, but it was counterbalanced by lower cost associated with use of plerixafor. Conclusion: Single administration of 12 mg of PEG is associated with better CD34+ mobilization than FIL allowing for effective, convenient mobilization with less frequent use of plerixafor. © 2012 American Association of Blood Banks.","author":[{"dropping-particle":"","family":"Costa","given":"Luciano J.","non-dropping-particle":"","parse-names":false,"suffix":""},{"dropping-particle":"","family":"Kramer","given":"Cindy","non-dropping-particle":"","parse-names":false,"suffix":""},{"dropping-particle":"","family":"Hogan","given":"Kathy R.","non-dropping-particle":"","parse-names":false,"suffix":""},{"dropping-particle":"","family":"Butcher","given":"Coleen D.","non-dropping-particle":"","parse-names":false,"suffix":""},{"dropping-particle":"","family":"Littleton","given":"Amanda L.","non-dropping-particle":"","parse-names":false,"suffix":""},{"dropping-particle":"","family":"Shoptaw","given":"Katie B.","non-dropping-particle":"","parse-names":false,"suffix":""},{"dropping-particle":"","family":"Kang","given":"Yubin","non-dropping-particle":"","parse-names":false,"suffix":""},{"dropping-particle":"","family":"Stuart","given":"Robert K.","non-dropping-particle":"","parse-names":false,"suffix":""}],"container-title":"Transfusion","id":"ITEM-1","issue":"11","issued":{"date-parts":[["2012","11"]]},"page":"2375-2381","publisher":"Transfusion","title":"Pegfilgrastim-versus filgrastim-based autologous hematopoietic stem cell mobilization in the setting of preemptive use of plerixafor: Efficacy and cost analysis","type":"article-journal","volume":"52"},"uris":["http://www.mendeley.com/documents/?uuid=c9b6d466-e5cf-3a1f-9950-47a4a1f2595f","http://www.mendeley.com/documents/?uuid=5869ab33-84d0-4d40-9e0a-c68492375302","http://www.mendeley.com/documents/?uuid=da79130c-3245-4bb6-b0b1-d1a74f3c45ce","http://www.mendeley.com/documents/?uuid=23c5daaf-4836-423a-a293-5308de4b05a8","http://www.mendeley.com/documents/?uuid=5bc9223b-2a8e-4a1d-a5ea-925322f33fc0","http://www.mendeley.com/documents/?uuid=cfca06c2-6f99-4d09-bcd1-d6e958d0398f","http://www.mendeley.com/documents/?uuid=f71837f6-2c18-4b5c-aa96-74199fe38ec4"]}],"mendeley":{"formattedCitation":"[149]","plainTextFormattedCitation":"[149]","previouslyFormattedCitation":"[122]"},"properties":{"noteIndex":0},"schema":"https://github.com/citation-style-language/schema/raw/master/csl-citation.json"}</w:instrText>
      </w:r>
      <w:r w:rsidRPr="0095427D">
        <w:rPr>
          <w:szCs w:val="24"/>
        </w:rPr>
        <w:fldChar w:fldCharType="separate"/>
      </w:r>
      <w:r w:rsidR="00A67ED2" w:rsidRPr="00A67ED2">
        <w:rPr>
          <w:noProof/>
          <w:szCs w:val="24"/>
        </w:rPr>
        <w:t>[149]</w:t>
      </w:r>
      <w:r w:rsidRPr="0095427D">
        <w:rPr>
          <w:szCs w:val="24"/>
        </w:rPr>
        <w:fldChar w:fldCharType="end"/>
      </w:r>
      <w:r w:rsidRPr="0095427D">
        <w:rPr>
          <w:szCs w:val="24"/>
        </w:rPr>
        <w:t>.</w:t>
      </w:r>
    </w:p>
    <w:p w14:paraId="4CBC3498" w14:textId="77777777" w:rsidR="006F27D1" w:rsidRPr="00B71144" w:rsidRDefault="006F27D1" w:rsidP="006F27D1">
      <w:pPr>
        <w:rPr>
          <w:b/>
          <w:i/>
          <w:szCs w:val="24"/>
        </w:rPr>
      </w:pPr>
    </w:p>
    <w:p w14:paraId="6B3A8ECC" w14:textId="77777777" w:rsidR="006F27D1" w:rsidRPr="0031526F" w:rsidRDefault="006F27D1" w:rsidP="006F27D1">
      <w:pPr>
        <w:rPr>
          <w:b/>
          <w:i/>
          <w:szCs w:val="24"/>
        </w:rPr>
      </w:pPr>
      <w:r w:rsidRPr="0031526F">
        <w:rPr>
          <w:b/>
          <w:i/>
          <w:szCs w:val="24"/>
        </w:rPr>
        <w:t xml:space="preserve">Особые указания при применении Г-КСФ </w:t>
      </w:r>
    </w:p>
    <w:p w14:paraId="4085114F" w14:textId="77777777" w:rsidR="006F27D1" w:rsidRPr="0095427D" w:rsidRDefault="006F27D1" w:rsidP="006F27D1">
      <w:pPr>
        <w:ind w:firstLine="567"/>
        <w:rPr>
          <w:szCs w:val="24"/>
        </w:rPr>
      </w:pPr>
      <w:r w:rsidRPr="0095427D">
        <w:rPr>
          <w:szCs w:val="24"/>
        </w:rPr>
        <w:t xml:space="preserve">На фоне терапии Г-КСФ отмечается увеличение размеров селезенки. Во время клинических исследований у 31% больных с тяжелой хронической нейтропенией пальпаторно обнаруживалась спленомегалия. При рентгенографии увеличение селезенки выявлялось вскоре после назначения Г-КСФ и далее имело тенденцию к стабилизации. Установлено, что уменьшение дозы препарата останавливало спленомегалию; спленэктомия потребовалась 3% больных. Необходимо регулярно контролировать размеры селезенки при проведении мобилизации </w:t>
      </w:r>
      <w:r>
        <w:rPr>
          <w:szCs w:val="24"/>
        </w:rPr>
        <w:t>ГКС</w:t>
      </w:r>
      <w:r w:rsidRPr="0095427D">
        <w:rPr>
          <w:szCs w:val="24"/>
        </w:rPr>
        <w:t>.</w:t>
      </w:r>
    </w:p>
    <w:p w14:paraId="4BF5DE70" w14:textId="094FAFE6" w:rsidR="006F27D1" w:rsidRPr="0095427D" w:rsidRDefault="006F27D1" w:rsidP="006F27D1">
      <w:pPr>
        <w:ind w:firstLine="567"/>
        <w:rPr>
          <w:szCs w:val="24"/>
        </w:rPr>
      </w:pPr>
      <w:r w:rsidRPr="0095427D">
        <w:rPr>
          <w:szCs w:val="24"/>
        </w:rPr>
        <w:t xml:space="preserve">Эффективность и безопасность Г-КСФ у пациентов с тяжелыми нарушениями функции почек или печени не изучена, поэтому при использовании препарата у данной категории больных нужно соблюдать осторожность </w:t>
      </w:r>
      <w:r w:rsidRPr="0095427D">
        <w:rPr>
          <w:szCs w:val="24"/>
        </w:rPr>
        <w:fldChar w:fldCharType="begin" w:fldLock="1"/>
      </w:r>
      <w:r w:rsidR="00A67ED2">
        <w:rPr>
          <w:szCs w:val="24"/>
        </w:rPr>
        <w:instrText>ADDIN CSL_CITATION {"citationItems":[{"id":"ITEM-1","itemData":{"DOI":"10.1007/s00520-017-3854-x","ISSN":"14337339","abstract":"Purpose: Filgrastim (NEUPOGEN®) is the originator recombinant human granulocyte colony-stimulating factor widely used for preventing neutropenia-related infections and mobilizing hematopoietic stem cells. This report presents findings of a systematic literature review and meta-analysis of efficacy and safety of originator filgrastim to update previous reports. Methods: A literature search of electronic databases, congress abstracts, and bibliographies of recent reviews was conducted to identify English-language reports of clinical trials and observational studies evaluating filgrastim in its US-approved indications up to February 2015. Two independent reviewers assessed titles/abstracts and full texts of publications, and extracted data from studies that compared originator filgrastim vs placebo or no treatment. For outcomes with sufficient homogeneous data reported across studies, meta-analysis was performed and relative risk (RR) determined. Data were summarized descriptively for all other evaluated outcomes. Results: A total of 1194 unique articles evaluating originator filgrastim were identified, with 25 meeting eligibility criteria for data extraction: 18 randomized controlled trials, 2 nonrandomized clinical trials, and 5 observational studies. In chemotherapy-induced neutropenia (CIN), filgrastim vs placebo or no treatment significantly reduced febrile neutropenia incidence (RR 0.63, 95% CI 0.53–0.75) and grade 3 or 4 neutropenia incidence (RR 0.50, 95% CI 0.37–0.68). The most commonly reported adverse event (AE) with filgrastim was bone pain (RR 2.61, 95% CI 1.29–5.27 in CIN). Additional efficacy and safety outcomes are described within indications. Conclusions: This systematic literature review and meta-analysis confirms and updates previous reports on the efficacy and safety of originator filgrastim. Bone pain was the commonly reported AE associated with filgrastim use.","author":[{"dropping-particle":"","family":"Dale","given":"David C.","non-dropping-particle":"","parse-names":false,"suffix":""},{"dropping-particle":"","family":"Crawford","given":"Jeffrey","non-dropping-particle":"","parse-names":false,"suffix":""},{"dropping-particle":"","family":"Klippel","given":"Zandra","non-dropping-particle":"","parse-names":false,"suffix":""},{"dropping-particle":"","family":"Reiner","given":"Maureen","non-dropping-particle":"","parse-names":false,"suffix":""},{"dropping-particle":"","family":"Osslund","given":"Timothy","non-dropping-particle":"","parse-names":false,"suffix":""},{"dropping-particle":"","family":"Fan","given":"Ellen","non-dropping-particle":"","parse-names":false,"suffix":""},{"dropping-particle":"","family":"Morrow","given":"Phuong Khanh","non-dropping-particle":"","parse-names":false,"suffix":""},{"dropping-particle":"","family":"Allcott","given":"Kim","non-dropping-particle":"","parse-names":false,"suffix":""},{"dropping-particle":"","family":"Lyman","given":"Gary H.","non-dropping-particle":"","parse-names":false,"suffix":""}],"container-title":"Supportive Care in Cancer","id":"ITEM-1","issue":"1","issued":{"date-parts":[["2018","1"]]},"page":"7-20","publisher":"Springer Verlag","title":"A systematic literature review of the efficacy, effectiveness, and safety of filgrastim","type":"article","volume":"26"},"uris":["http://www.mendeley.com/documents/?uuid=550ab93e-65c6-3635-bdec-ce1335957f6b","http://www.mendeley.com/documents/?uuid=81154266-ebc4-4411-a600-130a38d299b0","http://www.mendeley.com/documents/?uuid=c2be01fc-c6e8-4713-b92d-b16c6c5c4162","http://www.mendeley.com/documents/?uuid=51012d54-9729-4c59-8188-bd27dd02ced0","http://www.mendeley.com/documents/?uuid=7b228875-1c78-4dc7-aa5d-6018d173c1d5","http://www.mendeley.com/documents/?uuid=330cd959-497b-4a4c-b7a0-3a2c812989a6","http://www.mendeley.com/documents/?uuid=5ddce061-fa65-466f-9706-626067ecf30d"]}],"mendeley":{"formattedCitation":"[150]","plainTextFormattedCitation":"[150]","previouslyFormattedCitation":"[123]"},"properties":{"noteIndex":0},"schema":"https://github.com/citation-style-language/schema/raw/master/csl-citation.json"}</w:instrText>
      </w:r>
      <w:r w:rsidRPr="0095427D">
        <w:rPr>
          <w:szCs w:val="24"/>
        </w:rPr>
        <w:fldChar w:fldCharType="separate"/>
      </w:r>
      <w:r w:rsidR="00A67ED2" w:rsidRPr="00A67ED2">
        <w:rPr>
          <w:noProof/>
          <w:szCs w:val="24"/>
        </w:rPr>
        <w:t>[150]</w:t>
      </w:r>
      <w:r w:rsidRPr="0095427D">
        <w:rPr>
          <w:szCs w:val="24"/>
        </w:rPr>
        <w:fldChar w:fldCharType="end"/>
      </w:r>
      <w:r w:rsidRPr="0095427D">
        <w:rPr>
          <w:szCs w:val="24"/>
        </w:rPr>
        <w:t xml:space="preserve">. </w:t>
      </w:r>
    </w:p>
    <w:p w14:paraId="32634741" w14:textId="77777777" w:rsidR="006F27D1" w:rsidRPr="00B71144" w:rsidRDefault="006F27D1" w:rsidP="006F27D1">
      <w:pPr>
        <w:rPr>
          <w:b/>
          <w:i/>
          <w:szCs w:val="24"/>
        </w:rPr>
      </w:pPr>
    </w:p>
    <w:p w14:paraId="25B156EA" w14:textId="77777777" w:rsidR="006F27D1" w:rsidRPr="00B71144" w:rsidRDefault="006F27D1" w:rsidP="006F27D1">
      <w:pPr>
        <w:rPr>
          <w:b/>
          <w:i/>
          <w:szCs w:val="24"/>
        </w:rPr>
      </w:pPr>
      <w:r w:rsidRPr="00B71144">
        <w:rPr>
          <w:b/>
          <w:i/>
          <w:szCs w:val="24"/>
        </w:rPr>
        <w:t>Побочные эффекты Г-КСФ</w:t>
      </w:r>
    </w:p>
    <w:p w14:paraId="1F6021BB" w14:textId="77777777" w:rsidR="006F27D1" w:rsidRPr="0095427D" w:rsidRDefault="006F27D1" w:rsidP="006F27D1">
      <w:pPr>
        <w:ind w:firstLine="567"/>
        <w:rPr>
          <w:szCs w:val="24"/>
        </w:rPr>
      </w:pPr>
      <w:r w:rsidRPr="0095427D">
        <w:rPr>
          <w:szCs w:val="24"/>
        </w:rPr>
        <w:t>Нежелательные явления после назначения встречаются в 30% случаев, как у пациентов, так и у здоровых доноров.</w:t>
      </w:r>
    </w:p>
    <w:p w14:paraId="45FACACA" w14:textId="04216C89" w:rsidR="006F27D1" w:rsidRPr="0095427D" w:rsidRDefault="006F27D1" w:rsidP="006F27D1">
      <w:pPr>
        <w:ind w:firstLine="567"/>
        <w:rPr>
          <w:szCs w:val="24"/>
        </w:rPr>
      </w:pPr>
      <w:r w:rsidRPr="0095427D">
        <w:rPr>
          <w:szCs w:val="24"/>
        </w:rPr>
        <w:t xml:space="preserve">Наиболее частые осложнения: боли в костях, головные боли, общая слабость. Реже встречаются миалгии, тревога, бессонница, гипергидроз, лихорадка, тошнота, кожные реакции в месте введения </w:t>
      </w:r>
      <w:r w:rsidRPr="0095427D">
        <w:rPr>
          <w:szCs w:val="24"/>
        </w:rPr>
        <w:fldChar w:fldCharType="begin" w:fldLock="1"/>
      </w:r>
      <w:r w:rsidR="00A67ED2">
        <w:rPr>
          <w:szCs w:val="24"/>
        </w:rPr>
        <w:instrText>ADDIN CSL_CITATION {"citationItems":[{"id":"ITEM-1","itemData":{"DOI":"10.1200/JCO.2015.62.3488","ISSN":"15277755","PMID":"26169616","abstract":"Purpose To update the 2006 American Society of Clinical Oncology guideline on the use of hematopoietic colony-stimulating factors (CSFs). Methods The American Society of Clinical Oncology convened an Update Committee and conducted a systematic review of randomized clinical trials, meta-analyses, and systematic reviews from October 2005 through September 2014. Guideline recommendations were based on the review of the evidence by the Update Committee. Results Changes to previous recommendations include the addition of tbo-filgrastim and filgrastim-sndz, moderation of the recommendation regarding routine use of CSFs in older patients with diffuse aggressive lymphoma, and addition of recommendations against routine dose-dense chemotherapy in lymphoma and in favor of high- dose-intensity chemotherapy in urothelial cancer. The Update Committee did not address recommendations regarding use of CSFs in acute myeloid leukemia or myelodysplastic syndromes in adults. Recommendations Prophylactic use of CSFs to reduce the risk of febrile neutropenia is warranted when the risk of febrile neutropenia is approximately 20% or higher and no other equally effective and safe regimen that does not require CSFs is available. Primary prophylaxis is recommended for the prevention of febrile neutropenia in patients who are at high risk on the basis of age, medical history, disease characteristics, and myelotoxicity of the chemotherapy regimen. Dose-dense regimens that require CSFs should only be used within an appropriately designed clinical trial or if supported by convincing efficacy data. Current recommendations for the management of patients exposed to lethal doses of total-body radiotherapy, but not doses high enough to lead to certain death as a result of injury to other organs, include the prompt administration of CSFs.","author":[{"dropping-particle":"","family":"Smith","given":"Thomas J.","non-dropping-particle":"","parse-names":false,"suffix":""},{"dropping-particle":"","family":"Bohlke","given":"Kari","non-dropping-particle":"","parse-names":false,"suffix":""},{"dropping-particle":"","family":"Lyman","given":"Gary H.","non-dropping-particle":"","parse-names":false,"suffix":""},{"dropping-particle":"","family":"Carson","given":"Kenneth R.","non-dropping-particle":"","parse-names":false,"suffix":""},{"dropping-particle":"","family":"Crawford","given":"Jeffrey","non-dropping-particle":"","parse-names":false,"suffix":""},{"dropping-particle":"","family":"Cross","given":"Scott J.","non-dropping-particle":"","parse-names":false,"suffix":""},{"dropping-particle":"","family":"Goldberg","given":"John M.","non-dropping-particle":"","parse-names":false,"suffix":""},{"dropping-particle":"","family":"Khatcheressian","given":"James L.","non-dropping-particle":"","parse-names":false,"suffix":""},{"dropping-particle":"","family":"Leighl","given":"Natasha B.","non-dropping-particle":"","parse-names":false,"suffix":""},{"dropping-particle":"","family":"Perkins","given":"Cheryl L.","non-dropping-particle":"","parse-names":false,"suffix":""},{"dropping-particle":"","family":"Somlo","given":"George","non-dropping-particle":"","parse-names":false,"suffix":""},{"dropping-particle":"","family":"Wade","given":"James L.","non-dropping-particle":"","parse-names":false,"suffix":""},{"dropping-particle":"","family":"Wozniak","given":"Antoinette J.","non-dropping-particle":"","parse-names":false,"suffix":""},{"dropping-particle":"","family":"Armitage","given":"James O.","non-dropping-particle":"","parse-names":false,"suffix":""}],"container-title":"Journal of Clinical Oncology","id":"ITEM-1","issue":"28","issued":{"date-parts":[["2015","10"]]},"page":"3199-3212","publisher":"American Society of Clinical Oncology","title":"Recommendations for the use of WBC growth factors: American society of clinical oncology clinical practice guideline update","type":"article-journal","volume":"33"},"uris":["http://www.mendeley.com/documents/?uuid=996f59f3-1fa6-3fdf-aac4-35481ffe75e2","http://www.mendeley.com/documents/?uuid=77b4204a-c7e8-425a-b269-9b71b8f10079","http://www.mendeley.com/documents/?uuid=baf8a5c7-f217-426b-bdd6-7823d15881a5","http://www.mendeley.com/documents/?uuid=029b05a4-3aab-45bc-848d-3c17ab334b1a","http://www.mendeley.com/documents/?uuid=c4b68753-8af0-43d3-9c09-5a220cdb4e31","http://www.mendeley.com/documents/?uuid=aea3c5b8-ada6-45f7-8bc1-f029c0318fdc","http://www.mendeley.com/documents/?uuid=0f204161-3323-434c-b1c0-eb5ffafca3ca"]}],"mendeley":{"formattedCitation":"[151]","plainTextFormattedCitation":"[151]","previouslyFormattedCitation":"[124]"},"properties":{"noteIndex":0},"schema":"https://github.com/citation-style-language/schema/raw/master/csl-citation.json"}</w:instrText>
      </w:r>
      <w:r w:rsidRPr="0095427D">
        <w:rPr>
          <w:szCs w:val="24"/>
        </w:rPr>
        <w:fldChar w:fldCharType="separate"/>
      </w:r>
      <w:r w:rsidR="00A67ED2" w:rsidRPr="00A67ED2">
        <w:rPr>
          <w:noProof/>
          <w:szCs w:val="24"/>
        </w:rPr>
        <w:t>[151]</w:t>
      </w:r>
      <w:r w:rsidRPr="0095427D">
        <w:rPr>
          <w:szCs w:val="24"/>
        </w:rPr>
        <w:fldChar w:fldCharType="end"/>
      </w:r>
      <w:r w:rsidRPr="0095427D">
        <w:rPr>
          <w:szCs w:val="24"/>
        </w:rPr>
        <w:t xml:space="preserve">. </w:t>
      </w:r>
    </w:p>
    <w:p w14:paraId="414288A4" w14:textId="77777777" w:rsidR="006F27D1" w:rsidRPr="0095427D" w:rsidRDefault="006F27D1" w:rsidP="006F27D1">
      <w:pPr>
        <w:ind w:firstLine="567"/>
        <w:rPr>
          <w:szCs w:val="24"/>
        </w:rPr>
      </w:pPr>
      <w:r w:rsidRPr="0095427D">
        <w:rPr>
          <w:szCs w:val="24"/>
        </w:rPr>
        <w:t>Оссалгии связаны с изменением метаболизма костной т</w:t>
      </w:r>
      <w:r>
        <w:rPr>
          <w:szCs w:val="24"/>
        </w:rPr>
        <w:t xml:space="preserve">кани под действием Г-КСФ. Боли </w:t>
      </w:r>
      <w:r w:rsidRPr="0095427D">
        <w:rPr>
          <w:szCs w:val="24"/>
        </w:rPr>
        <w:t>могут быть интенсивными, пульсирующего характера, чаще локализованы в позвоночнике, костях таза. Выраженный болевой синдром в костях во время мобилизации ГСК требует адекватной аналгезии.</w:t>
      </w:r>
    </w:p>
    <w:p w14:paraId="3080CC94" w14:textId="77777777" w:rsidR="006F27D1" w:rsidRDefault="006F27D1" w:rsidP="006F27D1">
      <w:pPr>
        <w:pStyle w:val="afff3"/>
        <w:ind w:left="0"/>
        <w:rPr>
          <w:b/>
          <w:szCs w:val="24"/>
        </w:rPr>
      </w:pPr>
    </w:p>
    <w:p w14:paraId="58350ACD" w14:textId="77777777" w:rsidR="006F27D1" w:rsidRPr="0050367B" w:rsidRDefault="006F27D1" w:rsidP="006F27D1">
      <w:pPr>
        <w:pStyle w:val="afff3"/>
        <w:ind w:left="0"/>
        <w:rPr>
          <w:szCs w:val="24"/>
          <w:u w:val="single"/>
        </w:rPr>
      </w:pPr>
      <w:r w:rsidRPr="0050367B">
        <w:rPr>
          <w:szCs w:val="24"/>
          <w:u w:val="single"/>
        </w:rPr>
        <w:t>Плериксафор</w:t>
      </w:r>
    </w:p>
    <w:p w14:paraId="05EC4DCB" w14:textId="77777777" w:rsidR="006F27D1" w:rsidRDefault="006F27D1" w:rsidP="006F27D1">
      <w:pPr>
        <w:ind w:firstLine="567"/>
        <w:rPr>
          <w:szCs w:val="24"/>
        </w:rPr>
      </w:pPr>
      <w:r w:rsidRPr="0095427D">
        <w:rPr>
          <w:szCs w:val="24"/>
        </w:rPr>
        <w:t>Клетки стромы костного мозга секретируют стромальный фактор роста-1α (SDF-1α, CXCL12). Рецептором SDF-1α является CXCR4, который присутствует на поверхности ГСК. Взаимодействие между SDF-1α и его рецептором CXCR4 является необходимым дл</w:t>
      </w:r>
      <w:r>
        <w:rPr>
          <w:szCs w:val="24"/>
        </w:rPr>
        <w:t xml:space="preserve">я «удержания» стволовой клетки </w:t>
      </w:r>
      <w:r w:rsidRPr="0095427D">
        <w:rPr>
          <w:szCs w:val="24"/>
        </w:rPr>
        <w:t xml:space="preserve">в костном мозге. </w:t>
      </w:r>
    </w:p>
    <w:p w14:paraId="557106C3" w14:textId="77777777" w:rsidR="006F27D1" w:rsidRDefault="006F27D1" w:rsidP="006F27D1">
      <w:pPr>
        <w:ind w:firstLine="567"/>
        <w:rPr>
          <w:szCs w:val="24"/>
        </w:rPr>
      </w:pPr>
      <w:r w:rsidRPr="0095427D">
        <w:rPr>
          <w:szCs w:val="24"/>
        </w:rPr>
        <w:t xml:space="preserve">Плериксафор –селективный обратимый антагонист хемокинового рецептора CXCR4. Он блокирует CXCR4 за счет связывания с фактором SDF-1α, в результате чего ГСК «отрывается» от стромы костного мозга и выходит в периферическую кровь. </w:t>
      </w:r>
    </w:p>
    <w:p w14:paraId="6C1D5282" w14:textId="78891EC0" w:rsidR="006F27D1" w:rsidRPr="0095427D" w:rsidRDefault="006F27D1" w:rsidP="006F27D1">
      <w:pPr>
        <w:ind w:firstLine="567"/>
        <w:rPr>
          <w:szCs w:val="24"/>
        </w:rPr>
      </w:pPr>
      <w:r w:rsidRPr="0095427D">
        <w:rPr>
          <w:szCs w:val="24"/>
        </w:rPr>
        <w:t xml:space="preserve">Считается, что индуцированный плериксафором лейкоцитоз и увеличение количества циркулирующих гемопоэтических прогениторных клеток является результатом нарушения связи между CXCR4 и его лигандом, которое приводит к появлению в системном кровотоке как зрелых, так и полипотентных клеток. CD34+ клетки, мобилизованные с помощью плериксафора, являются функциональными и способными к приживлению, с долгосрочным потенциалом восстановления популяции </w:t>
      </w:r>
      <w:r w:rsidRPr="0095427D">
        <w:rPr>
          <w:szCs w:val="24"/>
        </w:rPr>
        <w:fldChar w:fldCharType="begin" w:fldLock="1"/>
      </w:r>
      <w:r w:rsidR="00A67ED2">
        <w:rPr>
          <w:szCs w:val="24"/>
        </w:rPr>
        <w:instrText>ADDIN CSL_CITATION {"citationItems":[{"id":"ITEM-1","itemData":{"DOI":"10.1097/MOH.0000000000000200","ISSN":"15317048","abstract":"Purpose of review Nowadays, plerixafor is approved for patients who fail to mobilize sufficient CD34+ cells for an autologous stem cell transplantation. Plerixafor is effective in the majority of these patients, who otherwise could not be treated adequately. We discussed in this review the current status of the optimal use of plerixafor in different clinical diagnoses and settings. Recent findings Plerixafor seems to be more effective in patients with multiple myeloma than in lymphoma. Even patients who had very low circulating CD34+ cells before administration of plerixafor have an important benefit. Several strategies in different clinical settings showed an effective response after administration of plerixafor, without the superiority of one strategy. Plerixafor is well tolerated with acceptable toxicity; however, it is an expensive drug. Summary Plerixafor is an effective drug in patients who fail to mobilize with conventional strategy. No strategy seems superior for the optimal use of plerixafor. More studies focusing on the kinetics and cost-effectiveness are needed.","author":[{"dropping-particle":"","family":"Bilgin","given":"Yavuz M.","non-dropping-particle":"","parse-names":false,"suffix":""},{"dropping-particle":"","family":"Greef","given":"Georgine E.","non-dropping-particle":"De","parse-names":false,"suffix":""}],"container-title":"Current Opinion in Hematology","id":"ITEM-1","issue":"1","issued":{"date-parts":[["2016"]]},"page":"67-71","publisher":"Lippincott Williams and Wilkins","title":"Plerixafor for stem cell mobilization: The current status","type":"article","volume":"23"},"uris":["http://www.mendeley.com/documents/?uuid=772496d3-3f49-3543-8e45-953927e66576","http://www.mendeley.com/documents/?uuid=0e6ef96a-3564-45dd-86c9-2dcce383b7dc","http://www.mendeley.com/documents/?uuid=80ac083b-a6cc-43ec-ac5c-5dd1106427cb","http://www.mendeley.com/documents/?uuid=d683afc4-05d3-4238-aa1a-cbd32aa0e13a","http://www.mendeley.com/documents/?uuid=b4dd41b8-108e-46be-ac3b-33a16d49ba72","http://www.mendeley.com/documents/?uuid=4631457b-a0e4-4adb-98c7-81b6f793c719","http://www.mendeley.com/documents/?uuid=2945107f-96a2-4ce6-a467-54c0b3287fab"]}],"mendeley":{"formattedCitation":"[152]","plainTextFormattedCitation":"[152]","previouslyFormattedCitation":"[125]"},"properties":{"noteIndex":0},"schema":"https://github.com/citation-style-language/schema/raw/master/csl-citation.json"}</w:instrText>
      </w:r>
      <w:r w:rsidRPr="0095427D">
        <w:rPr>
          <w:szCs w:val="24"/>
        </w:rPr>
        <w:fldChar w:fldCharType="separate"/>
      </w:r>
      <w:r w:rsidR="00A67ED2" w:rsidRPr="00A67ED2">
        <w:rPr>
          <w:noProof/>
          <w:szCs w:val="24"/>
        </w:rPr>
        <w:t>[152]</w:t>
      </w:r>
      <w:r w:rsidRPr="0095427D">
        <w:rPr>
          <w:szCs w:val="24"/>
        </w:rPr>
        <w:fldChar w:fldCharType="end"/>
      </w:r>
      <w:r>
        <w:rPr>
          <w:szCs w:val="24"/>
        </w:rPr>
        <w:t>.</w:t>
      </w:r>
    </w:p>
    <w:p w14:paraId="3BF3461B" w14:textId="77777777" w:rsidR="006F27D1" w:rsidRPr="0095427D" w:rsidRDefault="006F27D1" w:rsidP="006F27D1">
      <w:pPr>
        <w:ind w:firstLine="567"/>
        <w:rPr>
          <w:szCs w:val="24"/>
        </w:rPr>
      </w:pPr>
      <w:r w:rsidRPr="0095427D">
        <w:rPr>
          <w:szCs w:val="24"/>
        </w:rPr>
        <w:t>Плериксафор применяется для усиления мобилизации гемопоэтических стволовых клеток в периферический кровоток с целью их сбора и последующей а</w:t>
      </w:r>
      <w:r>
        <w:rPr>
          <w:szCs w:val="24"/>
        </w:rPr>
        <w:t>уто-ТГСК</w:t>
      </w:r>
      <w:r w:rsidRPr="0095427D">
        <w:rPr>
          <w:szCs w:val="24"/>
        </w:rPr>
        <w:t xml:space="preserve"> пациентам с лимфомой и множественной миеломой в сочетании с Г-КСФ.</w:t>
      </w:r>
    </w:p>
    <w:p w14:paraId="7ED53D77" w14:textId="77777777" w:rsidR="006F27D1" w:rsidRDefault="006F27D1" w:rsidP="006F27D1">
      <w:pPr>
        <w:pStyle w:val="afff3"/>
        <w:rPr>
          <w:b/>
          <w:szCs w:val="24"/>
        </w:rPr>
      </w:pPr>
    </w:p>
    <w:p w14:paraId="55A3FF42" w14:textId="77777777" w:rsidR="006F27D1" w:rsidRPr="00B71144" w:rsidRDefault="006F27D1" w:rsidP="006F27D1">
      <w:pPr>
        <w:rPr>
          <w:b/>
          <w:i/>
          <w:szCs w:val="24"/>
        </w:rPr>
      </w:pPr>
      <w:r w:rsidRPr="0031526F">
        <w:rPr>
          <w:b/>
          <w:i/>
          <w:szCs w:val="24"/>
          <w:lang w:val="en-US"/>
        </w:rPr>
        <w:t>P</w:t>
      </w:r>
      <w:r w:rsidRPr="00B71144">
        <w:rPr>
          <w:b/>
          <w:i/>
          <w:szCs w:val="24"/>
        </w:rPr>
        <w:t>ежим дозирования плериксафора</w:t>
      </w:r>
    </w:p>
    <w:p w14:paraId="0F8458BA" w14:textId="77777777" w:rsidR="006F27D1" w:rsidRPr="0095427D" w:rsidRDefault="006F27D1" w:rsidP="006F27D1">
      <w:pPr>
        <w:ind w:firstLine="567"/>
        <w:rPr>
          <w:szCs w:val="24"/>
        </w:rPr>
      </w:pPr>
      <w:r w:rsidRPr="0095427D">
        <w:rPr>
          <w:szCs w:val="24"/>
        </w:rPr>
        <w:t>Рекомендованная</w:t>
      </w:r>
      <w:r>
        <w:rPr>
          <w:szCs w:val="24"/>
        </w:rPr>
        <w:t xml:space="preserve"> доза плериксафора составляет 0,</w:t>
      </w:r>
      <w:r w:rsidRPr="0095427D">
        <w:rPr>
          <w:szCs w:val="24"/>
        </w:rPr>
        <w:t>24 мг/кг/сут. Препарат вводят подкожно за 6-11 ч до начала афереза после предварительной 4-дневной терапии Г-КСФ. В клинических исследованиях препарат обычно использовался в течение 2-4 дней подряд (до 7 дней непрерывного применения).</w:t>
      </w:r>
    </w:p>
    <w:p w14:paraId="634C9190" w14:textId="77777777" w:rsidR="006F27D1" w:rsidRPr="0095427D" w:rsidRDefault="006F27D1" w:rsidP="006F27D1">
      <w:pPr>
        <w:ind w:firstLine="567"/>
        <w:rPr>
          <w:szCs w:val="24"/>
        </w:rPr>
      </w:pPr>
      <w:r w:rsidRPr="0095427D">
        <w:rPr>
          <w:szCs w:val="24"/>
        </w:rPr>
        <w:lastRenderedPageBreak/>
        <w:t>У пациентов с нарушением функции почек при скорости клубочковой фильтрации (СКФ) менее 50 мл/мин дозу плериксафор</w:t>
      </w:r>
      <w:r>
        <w:rPr>
          <w:szCs w:val="24"/>
        </w:rPr>
        <w:t>а следует уменьшить на 1/3 до 0,</w:t>
      </w:r>
      <w:r w:rsidRPr="0095427D">
        <w:rPr>
          <w:szCs w:val="24"/>
        </w:rPr>
        <w:t>16 мг/кг/сут. Клинические данные по применению скорректированной дозы препарата ограничены. Имеющийся опыт клинического применения плериксафора не позволяет дать рекомендаций по дозированию препарата при СКФ менее 20 мл/мин.</w:t>
      </w:r>
    </w:p>
    <w:p w14:paraId="0B7931C9" w14:textId="77777777" w:rsidR="006F27D1" w:rsidRDefault="006F27D1" w:rsidP="006F27D1">
      <w:pPr>
        <w:pStyle w:val="afff3"/>
        <w:rPr>
          <w:b/>
          <w:szCs w:val="24"/>
        </w:rPr>
      </w:pPr>
    </w:p>
    <w:p w14:paraId="437791C9" w14:textId="77777777" w:rsidR="006F27D1" w:rsidRPr="00B71144" w:rsidRDefault="006F27D1" w:rsidP="006F27D1">
      <w:pPr>
        <w:rPr>
          <w:b/>
          <w:i/>
          <w:szCs w:val="24"/>
        </w:rPr>
      </w:pPr>
      <w:r w:rsidRPr="00B71144">
        <w:rPr>
          <w:b/>
          <w:i/>
          <w:szCs w:val="24"/>
        </w:rPr>
        <w:t>Особые указания при применении плериксафора</w:t>
      </w:r>
    </w:p>
    <w:p w14:paraId="45ECD899" w14:textId="3C240873" w:rsidR="006F27D1" w:rsidRPr="0095427D" w:rsidRDefault="006F27D1" w:rsidP="006F27D1">
      <w:pPr>
        <w:ind w:firstLine="567"/>
        <w:rPr>
          <w:szCs w:val="24"/>
        </w:rPr>
      </w:pPr>
      <w:r w:rsidRPr="0095427D">
        <w:rPr>
          <w:szCs w:val="24"/>
        </w:rPr>
        <w:t>Плериксафор и Г-КСФ назначали при остр</w:t>
      </w:r>
      <w:r w:rsidR="00804190">
        <w:rPr>
          <w:szCs w:val="24"/>
        </w:rPr>
        <w:t>ых</w:t>
      </w:r>
      <w:r w:rsidRPr="0095427D">
        <w:rPr>
          <w:szCs w:val="24"/>
        </w:rPr>
        <w:t xml:space="preserve"> лейкозах в рамках программы по применению исследуемого препарата в индивидуальном порядке. При этом в отдельных случаях наблюдалось увеличение числа циркулирующих лейкемических клеток. Поэтому плериксафор не рекомендуется применять при лейкозах для мобилизации гемопоэтических стволовых клеток и их последующего забора.</w:t>
      </w:r>
    </w:p>
    <w:p w14:paraId="2A3E3BFA" w14:textId="77777777" w:rsidR="006F27D1" w:rsidRPr="0095427D" w:rsidRDefault="006F27D1" w:rsidP="006F27D1">
      <w:pPr>
        <w:ind w:firstLine="567"/>
        <w:rPr>
          <w:i/>
          <w:szCs w:val="24"/>
        </w:rPr>
      </w:pPr>
      <w:r w:rsidRPr="0095427D">
        <w:rPr>
          <w:i/>
          <w:szCs w:val="24"/>
        </w:rPr>
        <w:t xml:space="preserve">Тромбоцитопения. </w:t>
      </w:r>
    </w:p>
    <w:p w14:paraId="308FA9DB" w14:textId="77777777" w:rsidR="006F27D1" w:rsidRPr="0095427D" w:rsidRDefault="006F27D1" w:rsidP="006F27D1">
      <w:pPr>
        <w:ind w:firstLine="567"/>
        <w:rPr>
          <w:szCs w:val="24"/>
        </w:rPr>
      </w:pPr>
      <w:r w:rsidRPr="0095427D">
        <w:rPr>
          <w:szCs w:val="24"/>
        </w:rPr>
        <w:t xml:space="preserve">Тромбоцитопения является известным осложнением афереза и наблюдается у пациентов, получающих как Г-КСФ, так и плериксафор. </w:t>
      </w:r>
    </w:p>
    <w:p w14:paraId="3B43D6E6" w14:textId="77777777" w:rsidR="006F27D1" w:rsidRPr="0095427D" w:rsidRDefault="006F27D1" w:rsidP="006F27D1">
      <w:pPr>
        <w:ind w:firstLine="567"/>
        <w:rPr>
          <w:i/>
          <w:szCs w:val="24"/>
        </w:rPr>
      </w:pPr>
      <w:r w:rsidRPr="0095427D">
        <w:rPr>
          <w:i/>
          <w:szCs w:val="24"/>
        </w:rPr>
        <w:t>Вазовагальные реакции</w:t>
      </w:r>
    </w:p>
    <w:p w14:paraId="3497F64B" w14:textId="77777777" w:rsidR="006F27D1" w:rsidRPr="0095427D" w:rsidRDefault="006F27D1" w:rsidP="006F27D1">
      <w:pPr>
        <w:ind w:firstLine="567"/>
        <w:rPr>
          <w:szCs w:val="24"/>
        </w:rPr>
      </w:pPr>
      <w:r w:rsidRPr="0095427D">
        <w:rPr>
          <w:szCs w:val="24"/>
        </w:rPr>
        <w:t>После подкожной инъекций препарата могут отмечаться вазовагальные реакции, ортостатич</w:t>
      </w:r>
      <w:r>
        <w:rPr>
          <w:szCs w:val="24"/>
        </w:rPr>
        <w:t>еская гипотензия и/или синкопе.</w:t>
      </w:r>
    </w:p>
    <w:p w14:paraId="44D072B0" w14:textId="77777777" w:rsidR="006F27D1" w:rsidRPr="0095427D" w:rsidRDefault="006F27D1" w:rsidP="006F27D1">
      <w:pPr>
        <w:ind w:firstLine="567"/>
        <w:rPr>
          <w:i/>
          <w:szCs w:val="24"/>
        </w:rPr>
      </w:pPr>
      <w:r w:rsidRPr="0095427D">
        <w:rPr>
          <w:i/>
          <w:szCs w:val="24"/>
        </w:rPr>
        <w:t>Спленомегалия</w:t>
      </w:r>
    </w:p>
    <w:p w14:paraId="0BCCA2CE" w14:textId="77777777" w:rsidR="006F27D1" w:rsidRPr="0095427D" w:rsidRDefault="006F27D1" w:rsidP="006F27D1">
      <w:pPr>
        <w:ind w:firstLine="567"/>
        <w:rPr>
          <w:szCs w:val="24"/>
        </w:rPr>
      </w:pPr>
      <w:r w:rsidRPr="0095427D">
        <w:rPr>
          <w:szCs w:val="24"/>
        </w:rPr>
        <w:t>В клинических исследованиях влияние плериксафора на размер селезенки специально не оценивалось. Учитывая, что использование Г-КСФ может провоцировать спленомегалию, а также сочетанное применение плериксафора и Г-КСФ, необходимо регулярно контролировать размеры селезе</w:t>
      </w:r>
      <w:r>
        <w:rPr>
          <w:szCs w:val="24"/>
        </w:rPr>
        <w:t>нки.</w:t>
      </w:r>
    </w:p>
    <w:p w14:paraId="448E7CA5" w14:textId="77777777" w:rsidR="006F27D1" w:rsidRDefault="006F27D1" w:rsidP="006F27D1">
      <w:pPr>
        <w:pStyle w:val="afff3"/>
        <w:rPr>
          <w:b/>
          <w:szCs w:val="24"/>
        </w:rPr>
      </w:pPr>
    </w:p>
    <w:p w14:paraId="2950AE8B" w14:textId="77777777" w:rsidR="006F27D1" w:rsidRPr="00B71144" w:rsidRDefault="006F27D1" w:rsidP="006F27D1">
      <w:pPr>
        <w:rPr>
          <w:b/>
          <w:i/>
          <w:szCs w:val="24"/>
        </w:rPr>
      </w:pPr>
      <w:r w:rsidRPr="00B71144">
        <w:rPr>
          <w:b/>
          <w:i/>
          <w:szCs w:val="24"/>
        </w:rPr>
        <w:t>Побочные эффекты плериксафора</w:t>
      </w:r>
    </w:p>
    <w:p w14:paraId="1744D3DB" w14:textId="77777777" w:rsidR="006F27D1" w:rsidRDefault="006F27D1" w:rsidP="006F27D1">
      <w:pPr>
        <w:ind w:firstLine="567"/>
        <w:rPr>
          <w:szCs w:val="24"/>
        </w:rPr>
      </w:pPr>
      <w:r w:rsidRPr="0095427D">
        <w:rPr>
          <w:szCs w:val="24"/>
        </w:rPr>
        <w:t>Наиболее частые осложнения: скелетно-мышечная боль, головные боли, головокружение, бессонница, общая слабость, диарея, тошнота. Также встречаются метеоризм, запор, сухость во рту, гипергидроз, кожные реакции в месте введения</w:t>
      </w:r>
    </w:p>
    <w:p w14:paraId="3C8727FB" w14:textId="77777777" w:rsidR="000A7DE0" w:rsidRDefault="000A7DE0" w:rsidP="000A7DE0">
      <w:pPr>
        <w:rPr>
          <w:b/>
          <w:bCs/>
        </w:rPr>
      </w:pPr>
    </w:p>
    <w:p w14:paraId="3D265274" w14:textId="076EB0F4" w:rsidR="006F27D1" w:rsidRPr="000A7DE0" w:rsidRDefault="006F27D1" w:rsidP="000A7DE0">
      <w:pPr>
        <w:rPr>
          <w:b/>
          <w:bCs/>
        </w:rPr>
      </w:pPr>
      <w:r w:rsidRPr="000A7DE0">
        <w:rPr>
          <w:b/>
          <w:bCs/>
        </w:rPr>
        <w:t>Режимы мобилизации ГСК</w:t>
      </w:r>
    </w:p>
    <w:p w14:paraId="0235F4AD" w14:textId="77777777" w:rsidR="006F27D1" w:rsidRPr="0095427D" w:rsidRDefault="006F27D1" w:rsidP="006F27D1">
      <w:pPr>
        <w:ind w:firstLine="567"/>
        <w:rPr>
          <w:szCs w:val="24"/>
        </w:rPr>
      </w:pPr>
      <w:r w:rsidRPr="0095427D">
        <w:rPr>
          <w:szCs w:val="24"/>
        </w:rPr>
        <w:t>В настоящее время в онкогематологии широкое распространение получили следующие режимы мобилизации ГСК:</w:t>
      </w:r>
    </w:p>
    <w:p w14:paraId="6AF83DBA" w14:textId="77777777" w:rsidR="006F27D1" w:rsidRPr="0095427D" w:rsidRDefault="006F27D1" w:rsidP="008C1767">
      <w:pPr>
        <w:widowControl/>
        <w:numPr>
          <w:ilvl w:val="0"/>
          <w:numId w:val="82"/>
        </w:numPr>
        <w:autoSpaceDE/>
        <w:autoSpaceDN/>
        <w:adjustRightInd/>
        <w:contextualSpacing/>
        <w:rPr>
          <w:szCs w:val="24"/>
        </w:rPr>
      </w:pPr>
      <w:r w:rsidRPr="0095427D">
        <w:rPr>
          <w:szCs w:val="24"/>
        </w:rPr>
        <w:t>Г-КСФ в монорежиме</w:t>
      </w:r>
    </w:p>
    <w:p w14:paraId="50650135" w14:textId="77777777" w:rsidR="006F27D1" w:rsidRPr="0095427D" w:rsidRDefault="006F27D1" w:rsidP="008C1767">
      <w:pPr>
        <w:widowControl/>
        <w:numPr>
          <w:ilvl w:val="0"/>
          <w:numId w:val="82"/>
        </w:numPr>
        <w:autoSpaceDE/>
        <w:autoSpaceDN/>
        <w:adjustRightInd/>
        <w:contextualSpacing/>
        <w:rPr>
          <w:szCs w:val="24"/>
        </w:rPr>
      </w:pPr>
      <w:r w:rsidRPr="0095427D">
        <w:rPr>
          <w:szCs w:val="24"/>
        </w:rPr>
        <w:t>Г-КСФ после миелосупрессивной химиотерапии (ХТ + Г-КСФ)</w:t>
      </w:r>
    </w:p>
    <w:p w14:paraId="4DEC29BE" w14:textId="77777777" w:rsidR="006F27D1" w:rsidRPr="0095427D" w:rsidRDefault="006F27D1" w:rsidP="008C1767">
      <w:pPr>
        <w:widowControl/>
        <w:numPr>
          <w:ilvl w:val="0"/>
          <w:numId w:val="82"/>
        </w:numPr>
        <w:autoSpaceDE/>
        <w:autoSpaceDN/>
        <w:adjustRightInd/>
        <w:contextualSpacing/>
        <w:rPr>
          <w:szCs w:val="24"/>
        </w:rPr>
      </w:pPr>
      <w:r w:rsidRPr="0095427D">
        <w:rPr>
          <w:szCs w:val="24"/>
        </w:rPr>
        <w:t>Г-КСФ в сочетании с плериксафором</w:t>
      </w:r>
    </w:p>
    <w:p w14:paraId="780A2F8B" w14:textId="77777777" w:rsidR="006F27D1" w:rsidRDefault="006F27D1" w:rsidP="006F27D1">
      <w:pPr>
        <w:pStyle w:val="afff3"/>
        <w:ind w:left="0"/>
        <w:rPr>
          <w:szCs w:val="24"/>
          <w:u w:val="single"/>
        </w:rPr>
      </w:pPr>
    </w:p>
    <w:p w14:paraId="39CED950" w14:textId="77777777" w:rsidR="006F27D1" w:rsidRPr="003E7EBA" w:rsidRDefault="006F27D1" w:rsidP="006F27D1">
      <w:pPr>
        <w:pStyle w:val="afff3"/>
        <w:ind w:left="0"/>
        <w:rPr>
          <w:szCs w:val="24"/>
          <w:u w:val="single"/>
        </w:rPr>
      </w:pPr>
      <w:r w:rsidRPr="0031526F">
        <w:rPr>
          <w:szCs w:val="24"/>
          <w:u w:val="single"/>
        </w:rPr>
        <w:t>Г-КСФ в монорежиме</w:t>
      </w:r>
    </w:p>
    <w:p w14:paraId="4F73A89B" w14:textId="77777777" w:rsidR="006F27D1" w:rsidRPr="0095427D" w:rsidRDefault="006F27D1" w:rsidP="006F27D1">
      <w:pPr>
        <w:ind w:firstLine="567"/>
        <w:rPr>
          <w:szCs w:val="24"/>
        </w:rPr>
      </w:pPr>
      <w:r w:rsidRPr="0095427D">
        <w:rPr>
          <w:szCs w:val="24"/>
        </w:rPr>
        <w:t>Данный режим также называют «мобилизация на стабильном состоянии кроветворения», так как у пациента не развивается миелотоксический агранулоцитоз (МТА).</w:t>
      </w:r>
    </w:p>
    <w:p w14:paraId="23181448" w14:textId="77777777" w:rsidR="006F27D1" w:rsidRPr="0095427D" w:rsidRDefault="006F27D1" w:rsidP="006F27D1">
      <w:pPr>
        <w:contextualSpacing/>
        <w:rPr>
          <w:b/>
          <w:szCs w:val="24"/>
        </w:rPr>
      </w:pPr>
      <w:r w:rsidRPr="0095427D">
        <w:rPr>
          <w:b/>
          <w:szCs w:val="24"/>
        </w:rPr>
        <w:t xml:space="preserve">Показания </w:t>
      </w:r>
    </w:p>
    <w:p w14:paraId="6DCEDD0E" w14:textId="77777777" w:rsidR="006F27D1" w:rsidRPr="0095427D" w:rsidRDefault="006F27D1" w:rsidP="008C1767">
      <w:pPr>
        <w:widowControl/>
        <w:numPr>
          <w:ilvl w:val="0"/>
          <w:numId w:val="172"/>
        </w:numPr>
        <w:autoSpaceDE/>
        <w:autoSpaceDN/>
        <w:adjustRightInd/>
        <w:ind w:left="426"/>
        <w:contextualSpacing/>
        <w:rPr>
          <w:szCs w:val="24"/>
        </w:rPr>
      </w:pPr>
      <w:r w:rsidRPr="0095427D">
        <w:rPr>
          <w:szCs w:val="24"/>
        </w:rPr>
        <w:t>Мобилизация ГСК у здоровых доноров;</w:t>
      </w:r>
    </w:p>
    <w:p w14:paraId="34034631" w14:textId="77777777" w:rsidR="006F27D1" w:rsidRPr="0095427D" w:rsidRDefault="006F27D1" w:rsidP="008C1767">
      <w:pPr>
        <w:widowControl/>
        <w:numPr>
          <w:ilvl w:val="0"/>
          <w:numId w:val="172"/>
        </w:numPr>
        <w:autoSpaceDE/>
        <w:autoSpaceDN/>
        <w:adjustRightInd/>
        <w:ind w:left="426"/>
        <w:contextualSpacing/>
        <w:rPr>
          <w:szCs w:val="24"/>
        </w:rPr>
      </w:pPr>
      <w:r w:rsidRPr="0095427D">
        <w:rPr>
          <w:szCs w:val="24"/>
        </w:rPr>
        <w:t xml:space="preserve"> Мобилизация ГСК у пациентов с онкогематологическими заболеваниями;</w:t>
      </w:r>
    </w:p>
    <w:p w14:paraId="7CA8930C" w14:textId="77777777" w:rsidR="006F27D1" w:rsidRPr="0095427D" w:rsidRDefault="006F27D1" w:rsidP="008C1767">
      <w:pPr>
        <w:widowControl/>
        <w:numPr>
          <w:ilvl w:val="0"/>
          <w:numId w:val="172"/>
        </w:numPr>
        <w:autoSpaceDE/>
        <w:autoSpaceDN/>
        <w:adjustRightInd/>
        <w:ind w:left="426"/>
        <w:contextualSpacing/>
        <w:rPr>
          <w:szCs w:val="24"/>
        </w:rPr>
      </w:pPr>
      <w:r w:rsidRPr="0095427D">
        <w:rPr>
          <w:szCs w:val="24"/>
        </w:rPr>
        <w:t>Мобилизация ГСК у пациентов, проведение которым режима «ХТ+ Г-КСФ» не является безопасным (при наличии коморбидности, кардиальной патологии, диализ-зависимой почечной недостаточности);</w:t>
      </w:r>
    </w:p>
    <w:p w14:paraId="6A1E3DF9" w14:textId="77777777" w:rsidR="006F27D1" w:rsidRPr="0095427D" w:rsidRDefault="006F27D1" w:rsidP="008C1767">
      <w:pPr>
        <w:widowControl/>
        <w:numPr>
          <w:ilvl w:val="0"/>
          <w:numId w:val="172"/>
        </w:numPr>
        <w:autoSpaceDE/>
        <w:autoSpaceDN/>
        <w:adjustRightInd/>
        <w:ind w:left="426"/>
        <w:contextualSpacing/>
        <w:rPr>
          <w:szCs w:val="24"/>
        </w:rPr>
      </w:pPr>
      <w:r w:rsidRPr="0095427D">
        <w:rPr>
          <w:szCs w:val="24"/>
        </w:rPr>
        <w:t>Повторная мобилизация после неудачи первой мобилизации ГСК схемами, включающими миелосупрессивные препараты</w:t>
      </w:r>
      <w:r>
        <w:rPr>
          <w:szCs w:val="24"/>
        </w:rPr>
        <w:t>.</w:t>
      </w:r>
    </w:p>
    <w:p w14:paraId="253C7B29" w14:textId="77777777" w:rsidR="006F27D1" w:rsidRPr="0095427D" w:rsidRDefault="006F27D1" w:rsidP="006F27D1">
      <w:pPr>
        <w:contextualSpacing/>
        <w:rPr>
          <w:b/>
          <w:szCs w:val="24"/>
        </w:rPr>
      </w:pPr>
      <w:r w:rsidRPr="0095427D">
        <w:rPr>
          <w:b/>
          <w:szCs w:val="24"/>
        </w:rPr>
        <w:t>Схема мобилизации ГСК</w:t>
      </w:r>
    </w:p>
    <w:p w14:paraId="1C4D977B" w14:textId="77777777" w:rsidR="006F27D1" w:rsidRPr="0095427D" w:rsidRDefault="006F27D1" w:rsidP="006F27D1">
      <w:pPr>
        <w:ind w:firstLine="426"/>
        <w:rPr>
          <w:szCs w:val="24"/>
        </w:rPr>
      </w:pPr>
      <w:r w:rsidRPr="0095427D">
        <w:rPr>
          <w:szCs w:val="24"/>
        </w:rPr>
        <w:t>Г-КСФ назначают в дозе 10 мкг/кг/сутки, вводят подкожно утром</w:t>
      </w:r>
      <w:r>
        <w:rPr>
          <w:szCs w:val="24"/>
        </w:rPr>
        <w:t xml:space="preserve"> (или по 5 мкг 2 раза в сутки)</w:t>
      </w:r>
      <w:r w:rsidRPr="0095427D">
        <w:rPr>
          <w:szCs w:val="24"/>
        </w:rPr>
        <w:t xml:space="preserve">. Лейкаферез начинается на четвертый день введения Г-КСФ при наличии адекватного количества </w:t>
      </w:r>
      <w:r w:rsidRPr="0095427D">
        <w:rPr>
          <w:szCs w:val="24"/>
          <w:lang w:val="en-US"/>
        </w:rPr>
        <w:t>CD</w:t>
      </w:r>
      <w:r w:rsidRPr="0095427D">
        <w:rPr>
          <w:szCs w:val="24"/>
        </w:rPr>
        <w:t>34+ клеток в периферической крови. При их количестве более 10</w:t>
      </w:r>
      <w:r>
        <w:rPr>
          <w:szCs w:val="24"/>
        </w:rPr>
        <w:t>-20</w:t>
      </w:r>
      <w:r w:rsidRPr="0095427D">
        <w:rPr>
          <w:szCs w:val="24"/>
        </w:rPr>
        <w:t xml:space="preserve"> клеток/мкл начинают сепарацию клеток. Если </w:t>
      </w:r>
      <w:r w:rsidRPr="0095427D">
        <w:rPr>
          <w:szCs w:val="24"/>
          <w:lang w:val="en-US"/>
        </w:rPr>
        <w:t>CD</w:t>
      </w:r>
      <w:r w:rsidRPr="0095427D">
        <w:rPr>
          <w:szCs w:val="24"/>
        </w:rPr>
        <w:t>34+ в периферической крови менее 10 клеток/мкл, необходимо отказаться от лейкафереза и повторить подсчет клеток на следующий день. Число сеансов лейкафереза зав</w:t>
      </w:r>
      <w:r>
        <w:rPr>
          <w:szCs w:val="24"/>
        </w:rPr>
        <w:t xml:space="preserve">исит от результатов сбора ГСК, </w:t>
      </w:r>
      <w:r w:rsidRPr="0095427D">
        <w:rPr>
          <w:szCs w:val="24"/>
        </w:rPr>
        <w:t>для заготовки оптимального  количества CD34+ клеток необходимо 2 - 4 процедуры (от 1 до 5). В заключительный день проведения лейкафереза Г-КСФ не вводится (таблица 1).</w:t>
      </w:r>
    </w:p>
    <w:p w14:paraId="67B91D60" w14:textId="77777777" w:rsidR="006F27D1" w:rsidRDefault="006F27D1" w:rsidP="006F27D1">
      <w:pPr>
        <w:rPr>
          <w:szCs w:val="24"/>
        </w:rPr>
      </w:pPr>
    </w:p>
    <w:p w14:paraId="6D23B999" w14:textId="77777777" w:rsidR="00E332F3" w:rsidRDefault="00E332F3" w:rsidP="006F27D1">
      <w:pPr>
        <w:rPr>
          <w:szCs w:val="24"/>
        </w:rPr>
      </w:pPr>
    </w:p>
    <w:p w14:paraId="43A8E7F5" w14:textId="635232D6" w:rsidR="006F27D1" w:rsidRPr="0031526F" w:rsidRDefault="00E332F3" w:rsidP="006F27D1">
      <w:pPr>
        <w:rPr>
          <w:szCs w:val="24"/>
        </w:rPr>
      </w:pPr>
      <w:r>
        <w:rPr>
          <w:szCs w:val="24"/>
        </w:rPr>
        <w:t>Таблица 1</w:t>
      </w:r>
      <w:r w:rsidR="006F27D1" w:rsidRPr="0031526F">
        <w:rPr>
          <w:szCs w:val="24"/>
        </w:rPr>
        <w:t xml:space="preserve">. Схема мобилизации ГСК «Г-КСФ в монорежиме» </w:t>
      </w:r>
    </w:p>
    <w:tbl>
      <w:tblPr>
        <w:tblStyle w:val="1f"/>
        <w:tblW w:w="8930" w:type="dxa"/>
        <w:tblInd w:w="108" w:type="dxa"/>
        <w:tblLook w:val="04A0" w:firstRow="1" w:lastRow="0" w:firstColumn="1" w:lastColumn="0" w:noHBand="0" w:noVBand="1"/>
      </w:tblPr>
      <w:tblGrid>
        <w:gridCol w:w="1583"/>
        <w:gridCol w:w="1142"/>
        <w:gridCol w:w="1139"/>
        <w:gridCol w:w="1139"/>
        <w:gridCol w:w="1142"/>
        <w:gridCol w:w="1143"/>
        <w:gridCol w:w="1642"/>
      </w:tblGrid>
      <w:tr w:rsidR="006F27D1" w:rsidRPr="00303DEC" w14:paraId="415EFD59" w14:textId="77777777" w:rsidTr="00CD5E09">
        <w:tc>
          <w:tcPr>
            <w:tcW w:w="1583" w:type="dxa"/>
          </w:tcPr>
          <w:p w14:paraId="41D7740D" w14:textId="77777777" w:rsidR="006F27D1" w:rsidRPr="00303DEC" w:rsidRDefault="006F27D1" w:rsidP="00CD5E09">
            <w:r w:rsidRPr="00303DEC">
              <w:t>Дни</w:t>
            </w:r>
          </w:p>
        </w:tc>
        <w:tc>
          <w:tcPr>
            <w:tcW w:w="1142" w:type="dxa"/>
          </w:tcPr>
          <w:p w14:paraId="018BEC98" w14:textId="77777777" w:rsidR="006F27D1" w:rsidRPr="00303DEC" w:rsidRDefault="006F27D1" w:rsidP="00CD5E09">
            <w:r w:rsidRPr="00303DEC">
              <w:t>1</w:t>
            </w:r>
          </w:p>
        </w:tc>
        <w:tc>
          <w:tcPr>
            <w:tcW w:w="1139" w:type="dxa"/>
          </w:tcPr>
          <w:p w14:paraId="70003CD6" w14:textId="77777777" w:rsidR="006F27D1" w:rsidRPr="00303DEC" w:rsidRDefault="006F27D1" w:rsidP="00CD5E09">
            <w:r w:rsidRPr="00303DEC">
              <w:t>2</w:t>
            </w:r>
          </w:p>
        </w:tc>
        <w:tc>
          <w:tcPr>
            <w:tcW w:w="1139" w:type="dxa"/>
          </w:tcPr>
          <w:p w14:paraId="542AD1BB" w14:textId="77777777" w:rsidR="006F27D1" w:rsidRPr="00303DEC" w:rsidRDefault="006F27D1" w:rsidP="00CD5E09">
            <w:r w:rsidRPr="00303DEC">
              <w:t>3</w:t>
            </w:r>
          </w:p>
        </w:tc>
        <w:tc>
          <w:tcPr>
            <w:tcW w:w="1142" w:type="dxa"/>
          </w:tcPr>
          <w:p w14:paraId="09BCDF35" w14:textId="77777777" w:rsidR="006F27D1" w:rsidRPr="00303DEC" w:rsidRDefault="006F27D1" w:rsidP="00CD5E09">
            <w:r w:rsidRPr="00303DEC">
              <w:t>4</w:t>
            </w:r>
          </w:p>
        </w:tc>
        <w:tc>
          <w:tcPr>
            <w:tcW w:w="1143" w:type="dxa"/>
          </w:tcPr>
          <w:p w14:paraId="2DCBB9CA" w14:textId="77777777" w:rsidR="006F27D1" w:rsidRPr="00303DEC" w:rsidRDefault="006F27D1" w:rsidP="00CD5E09">
            <w:r w:rsidRPr="00303DEC">
              <w:t>5</w:t>
            </w:r>
          </w:p>
        </w:tc>
        <w:tc>
          <w:tcPr>
            <w:tcW w:w="1642" w:type="dxa"/>
          </w:tcPr>
          <w:p w14:paraId="7BA3436F" w14:textId="77777777" w:rsidR="006F27D1" w:rsidRPr="00303DEC" w:rsidRDefault="006F27D1" w:rsidP="00CD5E09">
            <w:r w:rsidRPr="00303DEC">
              <w:t>6</w:t>
            </w:r>
          </w:p>
        </w:tc>
      </w:tr>
      <w:tr w:rsidR="006F27D1" w:rsidRPr="00303DEC" w14:paraId="36605BBF" w14:textId="77777777" w:rsidTr="00CD5E09">
        <w:tc>
          <w:tcPr>
            <w:tcW w:w="1583" w:type="dxa"/>
          </w:tcPr>
          <w:p w14:paraId="742A1B44" w14:textId="77777777" w:rsidR="006F27D1" w:rsidRDefault="006F27D1" w:rsidP="00CD5E09">
            <w:r w:rsidRPr="00303DEC">
              <w:t xml:space="preserve">Г-КСФ, </w:t>
            </w:r>
          </w:p>
          <w:p w14:paraId="0E64FB0A" w14:textId="77777777" w:rsidR="006F27D1" w:rsidRPr="00303DEC" w:rsidRDefault="006F27D1" w:rsidP="00CD5E09">
            <w:r w:rsidRPr="00303DEC">
              <w:t>10 мкг/кг</w:t>
            </w:r>
          </w:p>
        </w:tc>
        <w:tc>
          <w:tcPr>
            <w:tcW w:w="1142" w:type="dxa"/>
          </w:tcPr>
          <w:p w14:paraId="52FF6182" w14:textId="77777777" w:rsidR="006F27D1" w:rsidRPr="00303DEC" w:rsidRDefault="006F27D1" w:rsidP="00CD5E09">
            <w:r w:rsidRPr="00303DEC">
              <w:t>Х</w:t>
            </w:r>
          </w:p>
        </w:tc>
        <w:tc>
          <w:tcPr>
            <w:tcW w:w="1139" w:type="dxa"/>
          </w:tcPr>
          <w:p w14:paraId="2A4C9EE1" w14:textId="77777777" w:rsidR="006F27D1" w:rsidRPr="00303DEC" w:rsidRDefault="006F27D1" w:rsidP="00CD5E09">
            <w:r w:rsidRPr="00303DEC">
              <w:t>Х</w:t>
            </w:r>
          </w:p>
        </w:tc>
        <w:tc>
          <w:tcPr>
            <w:tcW w:w="1139" w:type="dxa"/>
          </w:tcPr>
          <w:p w14:paraId="5877F1BB" w14:textId="77777777" w:rsidR="006F27D1" w:rsidRPr="00303DEC" w:rsidRDefault="006F27D1" w:rsidP="00CD5E09">
            <w:r w:rsidRPr="00303DEC">
              <w:t>Х</w:t>
            </w:r>
          </w:p>
        </w:tc>
        <w:tc>
          <w:tcPr>
            <w:tcW w:w="1142" w:type="dxa"/>
          </w:tcPr>
          <w:p w14:paraId="0C818487" w14:textId="77777777" w:rsidR="006F27D1" w:rsidRPr="00303DEC" w:rsidRDefault="006F27D1" w:rsidP="00CD5E09">
            <w:r w:rsidRPr="00303DEC">
              <w:t>Х</w:t>
            </w:r>
          </w:p>
        </w:tc>
        <w:tc>
          <w:tcPr>
            <w:tcW w:w="1143" w:type="dxa"/>
          </w:tcPr>
          <w:p w14:paraId="5FC5F09B" w14:textId="77777777" w:rsidR="006F27D1" w:rsidRPr="00303DEC" w:rsidRDefault="006F27D1" w:rsidP="00CD5E09">
            <w:r w:rsidRPr="00303DEC">
              <w:t>Х</w:t>
            </w:r>
          </w:p>
        </w:tc>
        <w:tc>
          <w:tcPr>
            <w:tcW w:w="1642" w:type="dxa"/>
          </w:tcPr>
          <w:p w14:paraId="47AC41AD" w14:textId="77777777" w:rsidR="006F27D1" w:rsidRPr="00303DEC" w:rsidRDefault="006F27D1" w:rsidP="00CD5E09">
            <w:r w:rsidRPr="00303DEC">
              <w:t>отмена</w:t>
            </w:r>
          </w:p>
        </w:tc>
      </w:tr>
      <w:tr w:rsidR="006F27D1" w:rsidRPr="00303DEC" w14:paraId="5681AF69" w14:textId="77777777" w:rsidTr="00CD5E09">
        <w:tc>
          <w:tcPr>
            <w:tcW w:w="1583" w:type="dxa"/>
          </w:tcPr>
          <w:p w14:paraId="29AC7652" w14:textId="77777777" w:rsidR="006F27D1" w:rsidRPr="00303DEC" w:rsidRDefault="006F27D1" w:rsidP="00CD5E09">
            <w:r>
              <w:t>Лейкаферез</w:t>
            </w:r>
          </w:p>
        </w:tc>
        <w:tc>
          <w:tcPr>
            <w:tcW w:w="1142" w:type="dxa"/>
          </w:tcPr>
          <w:p w14:paraId="5843E9A6" w14:textId="77777777" w:rsidR="006F27D1" w:rsidRPr="00303DEC" w:rsidRDefault="006F27D1" w:rsidP="00CD5E09"/>
        </w:tc>
        <w:tc>
          <w:tcPr>
            <w:tcW w:w="1139" w:type="dxa"/>
          </w:tcPr>
          <w:p w14:paraId="4067788B" w14:textId="77777777" w:rsidR="006F27D1" w:rsidRPr="00303DEC" w:rsidRDefault="006F27D1" w:rsidP="00CD5E09"/>
        </w:tc>
        <w:tc>
          <w:tcPr>
            <w:tcW w:w="1139" w:type="dxa"/>
          </w:tcPr>
          <w:p w14:paraId="5C885445" w14:textId="77777777" w:rsidR="006F27D1" w:rsidRPr="00303DEC" w:rsidRDefault="006F27D1" w:rsidP="00CD5E09"/>
        </w:tc>
        <w:tc>
          <w:tcPr>
            <w:tcW w:w="1142" w:type="dxa"/>
          </w:tcPr>
          <w:p w14:paraId="7515CADB" w14:textId="77777777" w:rsidR="006F27D1" w:rsidRPr="00303DEC" w:rsidRDefault="006F27D1" w:rsidP="00CD5E09">
            <w:pPr>
              <w:rPr>
                <w:lang w:val="en-US"/>
              </w:rPr>
            </w:pPr>
            <w:r w:rsidRPr="00303DEC">
              <w:rPr>
                <w:lang w:val="en-US"/>
              </w:rPr>
              <w:t>V</w:t>
            </w:r>
          </w:p>
        </w:tc>
        <w:tc>
          <w:tcPr>
            <w:tcW w:w="1143" w:type="dxa"/>
          </w:tcPr>
          <w:p w14:paraId="6014340F" w14:textId="77777777" w:rsidR="006F27D1" w:rsidRPr="00303DEC" w:rsidRDefault="006F27D1" w:rsidP="00CD5E09">
            <w:pPr>
              <w:rPr>
                <w:lang w:val="en-US"/>
              </w:rPr>
            </w:pPr>
            <w:r w:rsidRPr="00303DEC">
              <w:rPr>
                <w:lang w:val="en-US"/>
              </w:rPr>
              <w:t>V</w:t>
            </w:r>
          </w:p>
        </w:tc>
        <w:tc>
          <w:tcPr>
            <w:tcW w:w="1642" w:type="dxa"/>
          </w:tcPr>
          <w:p w14:paraId="021E1113" w14:textId="77777777" w:rsidR="006F27D1" w:rsidRPr="00303DEC" w:rsidRDefault="006F27D1" w:rsidP="00CD5E09">
            <w:pPr>
              <w:rPr>
                <w:lang w:val="en-US"/>
              </w:rPr>
            </w:pPr>
            <w:r w:rsidRPr="00303DEC">
              <w:rPr>
                <w:lang w:val="en-US"/>
              </w:rPr>
              <w:t>V</w:t>
            </w:r>
          </w:p>
        </w:tc>
      </w:tr>
    </w:tbl>
    <w:p w14:paraId="21A5A36A" w14:textId="77777777" w:rsidR="000A7DE0" w:rsidRDefault="000A7DE0" w:rsidP="006F27D1">
      <w:pPr>
        <w:pStyle w:val="afff3"/>
        <w:ind w:left="0"/>
        <w:rPr>
          <w:szCs w:val="24"/>
          <w:u w:val="single"/>
        </w:rPr>
      </w:pPr>
    </w:p>
    <w:p w14:paraId="7155CA93" w14:textId="6BF7EF56" w:rsidR="006F27D1" w:rsidRPr="003E7EBA" w:rsidRDefault="006F27D1" w:rsidP="006F27D1">
      <w:pPr>
        <w:pStyle w:val="afff3"/>
        <w:ind w:left="0"/>
        <w:rPr>
          <w:szCs w:val="24"/>
          <w:u w:val="single"/>
        </w:rPr>
      </w:pPr>
      <w:r w:rsidRPr="003E7EBA">
        <w:rPr>
          <w:szCs w:val="24"/>
          <w:u w:val="single"/>
        </w:rPr>
        <w:t>Г-КСФ после миелосупрессивной химиотерапии</w:t>
      </w:r>
    </w:p>
    <w:p w14:paraId="03496FD4" w14:textId="77777777" w:rsidR="006F27D1" w:rsidRPr="000A7DE0" w:rsidRDefault="006F27D1" w:rsidP="006F27D1">
      <w:pPr>
        <w:rPr>
          <w:b/>
          <w:i/>
          <w:szCs w:val="24"/>
        </w:rPr>
      </w:pPr>
      <w:r w:rsidRPr="000A7DE0">
        <w:rPr>
          <w:b/>
          <w:i/>
          <w:szCs w:val="24"/>
        </w:rPr>
        <w:t xml:space="preserve">Показания </w:t>
      </w:r>
    </w:p>
    <w:p w14:paraId="2FEEFB3E" w14:textId="370BA0AA" w:rsidR="006F27D1" w:rsidRPr="00E332F3" w:rsidRDefault="006F27D1" w:rsidP="006F27D1">
      <w:pPr>
        <w:widowControl/>
        <w:numPr>
          <w:ilvl w:val="0"/>
          <w:numId w:val="173"/>
        </w:numPr>
        <w:autoSpaceDE/>
        <w:autoSpaceDN/>
        <w:adjustRightInd/>
        <w:contextualSpacing/>
        <w:rPr>
          <w:b/>
          <w:szCs w:val="24"/>
        </w:rPr>
      </w:pPr>
      <w:r w:rsidRPr="0095427D">
        <w:rPr>
          <w:szCs w:val="24"/>
        </w:rPr>
        <w:t>Мобилизация ГСК у пациентов с онкогематологическими заболеваниями</w:t>
      </w:r>
    </w:p>
    <w:p w14:paraId="7E294F3D" w14:textId="77777777" w:rsidR="006F27D1" w:rsidRPr="0031526F" w:rsidRDefault="006F27D1" w:rsidP="006F27D1">
      <w:pPr>
        <w:rPr>
          <w:b/>
          <w:i/>
          <w:szCs w:val="24"/>
        </w:rPr>
      </w:pPr>
      <w:r w:rsidRPr="0031526F">
        <w:rPr>
          <w:b/>
          <w:i/>
          <w:szCs w:val="24"/>
        </w:rPr>
        <w:t>Схема мобилизации ГСК «ХТ + Г-КСФ»</w:t>
      </w:r>
    </w:p>
    <w:p w14:paraId="11D1CF93" w14:textId="77777777" w:rsidR="006F27D1" w:rsidRDefault="006F27D1" w:rsidP="006F27D1">
      <w:pPr>
        <w:ind w:firstLine="709"/>
        <w:rPr>
          <w:szCs w:val="24"/>
        </w:rPr>
      </w:pPr>
      <w:r w:rsidRPr="0095427D">
        <w:rPr>
          <w:szCs w:val="24"/>
        </w:rPr>
        <w:t>Миелосупрессивная ХТ стимулирует пролиферацию стволовых клеток и клеток-</w:t>
      </w:r>
      <w:r w:rsidRPr="0095427D">
        <w:rPr>
          <w:szCs w:val="24"/>
        </w:rPr>
        <w:lastRenderedPageBreak/>
        <w:t>предшественниц, что приводит к увеличению выброса ГСК из костного мозга в кровь. Принцип данного режима мобилизации ГСК: пациенту вводится химиопрепарат (или несколько препаратов) согласно соответствующему протоколу лечения, а затем, после развития МТА, начинается стимуляция лейко</w:t>
      </w:r>
      <w:r>
        <w:rPr>
          <w:szCs w:val="24"/>
        </w:rPr>
        <w:t>поэза Г-КСФ в дозе 5 мг/кг/сут.</w:t>
      </w:r>
    </w:p>
    <w:p w14:paraId="3914E9FC" w14:textId="77777777" w:rsidR="006F27D1" w:rsidRDefault="006F27D1" w:rsidP="006F27D1">
      <w:pPr>
        <w:ind w:firstLine="709"/>
        <w:rPr>
          <w:szCs w:val="24"/>
        </w:rPr>
      </w:pPr>
      <w:r w:rsidRPr="0095427D">
        <w:rPr>
          <w:szCs w:val="24"/>
        </w:rPr>
        <w:t xml:space="preserve">При условии восстановления лейкоцитов периферической крови и адекватного количества среди них </w:t>
      </w:r>
      <w:r w:rsidRPr="0095427D">
        <w:rPr>
          <w:szCs w:val="24"/>
          <w:lang w:val="en-US"/>
        </w:rPr>
        <w:t>CD</w:t>
      </w:r>
      <w:r w:rsidRPr="0095427D">
        <w:rPr>
          <w:szCs w:val="24"/>
        </w:rPr>
        <w:t xml:space="preserve">34+ клеток начинаются процедуры сбора ГСК (как правило, на 6-8 день введения Г-КСФ). </w:t>
      </w:r>
    </w:p>
    <w:p w14:paraId="72612922" w14:textId="77777777" w:rsidR="006F27D1" w:rsidRPr="0095427D" w:rsidRDefault="006F27D1" w:rsidP="006F27D1">
      <w:pPr>
        <w:ind w:firstLine="709"/>
        <w:rPr>
          <w:szCs w:val="24"/>
        </w:rPr>
      </w:pPr>
      <w:r w:rsidRPr="0095427D">
        <w:rPr>
          <w:szCs w:val="24"/>
        </w:rPr>
        <w:t xml:space="preserve">На рисунке 1 представлен алгоритм определения показаний к проведению первого лейкафереза. Количество лейкаферезов зависит от результата сбора ГСК (от 1 до 5). В заключительный день проведения лейкафереза Г-КСФ не вводится. </w:t>
      </w:r>
    </w:p>
    <w:p w14:paraId="1473ED39" w14:textId="77777777" w:rsidR="006F27D1" w:rsidRPr="0095427D" w:rsidRDefault="006F27D1" w:rsidP="006F27D1">
      <w:pPr>
        <w:jc w:val="center"/>
        <w:rPr>
          <w:szCs w:val="24"/>
        </w:rPr>
      </w:pPr>
      <w:r w:rsidRPr="0095427D">
        <w:rPr>
          <w:noProof/>
          <w:szCs w:val="24"/>
        </w:rPr>
        <w:drawing>
          <wp:inline distT="0" distB="0" distL="0" distR="0" wp14:anchorId="6417BA66" wp14:editId="7D56D94E">
            <wp:extent cx="4177990" cy="2665737"/>
            <wp:effectExtent l="0" t="0" r="0" b="1270"/>
            <wp:docPr id="3" name="Picture 3"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Изображение выглядит как текст&#10;&#10;Автоматически созданное описание"/>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176702" cy="2664915"/>
                    </a:xfrm>
                    <a:prstGeom prst="rect">
                      <a:avLst/>
                    </a:prstGeom>
                    <a:noFill/>
                    <a:ln>
                      <a:noFill/>
                    </a:ln>
                    <a:effectLst/>
                  </pic:spPr>
                </pic:pic>
              </a:graphicData>
            </a:graphic>
          </wp:inline>
        </w:drawing>
      </w:r>
    </w:p>
    <w:p w14:paraId="12172B13" w14:textId="541F679B" w:rsidR="006F27D1" w:rsidRPr="00E332F3" w:rsidRDefault="006F27D1" w:rsidP="00E332F3">
      <w:pPr>
        <w:rPr>
          <w:i/>
          <w:szCs w:val="24"/>
        </w:rPr>
      </w:pPr>
      <w:r w:rsidRPr="003E7EBA">
        <w:rPr>
          <w:szCs w:val="24"/>
        </w:rPr>
        <w:t xml:space="preserve">Рисунок 1. Алгоритм определения показаний к проведению первого лейкафереза при мобилизации ГСК в режиме «ХТ+ Г-КСФ». </w:t>
      </w:r>
      <w:r w:rsidRPr="003E7EBA">
        <w:rPr>
          <w:i/>
          <w:szCs w:val="24"/>
        </w:rPr>
        <w:t>ХТ – химиотерапия, МТА – миелотоксический</w:t>
      </w:r>
      <w:r w:rsidRPr="00303DEC">
        <w:rPr>
          <w:i/>
          <w:szCs w:val="24"/>
        </w:rPr>
        <w:t xml:space="preserve"> агранулоцитоз</w:t>
      </w:r>
    </w:p>
    <w:p w14:paraId="1DDC3D10" w14:textId="34ECB8E2" w:rsidR="006F27D1" w:rsidRDefault="006F27D1" w:rsidP="006F27D1">
      <w:pPr>
        <w:ind w:firstLine="709"/>
        <w:rPr>
          <w:szCs w:val="24"/>
        </w:rPr>
      </w:pPr>
      <w:r w:rsidRPr="0095427D">
        <w:rPr>
          <w:szCs w:val="24"/>
        </w:rPr>
        <w:t xml:space="preserve">Данная схема мобилизации ГСК применяется при острых лейкозах в период ремиссии. Выбор химиотерапевтических препаратов зависит от конкретной </w:t>
      </w:r>
      <w:r>
        <w:rPr>
          <w:szCs w:val="24"/>
        </w:rPr>
        <w:t xml:space="preserve">нозологии и протокола терапии. </w:t>
      </w:r>
    </w:p>
    <w:p w14:paraId="03C2E555" w14:textId="77777777" w:rsidR="00804190" w:rsidRDefault="006F27D1" w:rsidP="006F27D1">
      <w:pPr>
        <w:ind w:firstLine="709"/>
        <w:rPr>
          <w:szCs w:val="24"/>
        </w:rPr>
      </w:pPr>
      <w:r w:rsidRPr="0095427D">
        <w:rPr>
          <w:szCs w:val="24"/>
        </w:rPr>
        <w:t xml:space="preserve">При </w:t>
      </w:r>
      <w:r w:rsidRPr="0095427D">
        <w:rPr>
          <w:szCs w:val="24"/>
          <w:lang w:val="en-US"/>
        </w:rPr>
        <w:t>Ph</w:t>
      </w:r>
      <w:r w:rsidRPr="0095427D">
        <w:rPr>
          <w:szCs w:val="24"/>
        </w:rPr>
        <w:t>-позитивных острых лимфобластных лейкозах проведение мобилизации ГСК возможно после подтверждения полной молекулярной ремиссии</w:t>
      </w:r>
      <w:r w:rsidR="00804190">
        <w:rPr>
          <w:szCs w:val="24"/>
        </w:rPr>
        <w:t>.</w:t>
      </w:r>
    </w:p>
    <w:p w14:paraId="3F01D73B" w14:textId="77777777" w:rsidR="006F27D1" w:rsidRPr="0095427D" w:rsidRDefault="006F27D1" w:rsidP="006F27D1">
      <w:pPr>
        <w:ind w:firstLine="709"/>
        <w:rPr>
          <w:szCs w:val="24"/>
        </w:rPr>
      </w:pPr>
      <w:r w:rsidRPr="0095427D">
        <w:rPr>
          <w:szCs w:val="24"/>
        </w:rPr>
        <w:t>Если период МТА осложнился тяжелым инфекционным процессом и к моменту сбора ГСК сохраняются осложнения, угрожающие жизни, от лейкафереза следует воздержаться. Если состояние стабилизировано, мобилизация и сбор ГСК продолжаются.</w:t>
      </w:r>
    </w:p>
    <w:p w14:paraId="0D3F07BB" w14:textId="77777777" w:rsidR="006F27D1" w:rsidRDefault="006F27D1" w:rsidP="006F27D1">
      <w:pPr>
        <w:ind w:firstLine="709"/>
        <w:rPr>
          <w:szCs w:val="24"/>
        </w:rPr>
      </w:pPr>
      <w:r w:rsidRPr="0095427D">
        <w:rPr>
          <w:szCs w:val="24"/>
        </w:rPr>
        <w:t xml:space="preserve">Ориентировочно через 7 дней после введения химиопрепарата отмечается развитие МТА, что является показанием для назначения Г-КСФ в дозе 5 мкг/кг/сут. В случае если МТА не развивается, доза Г-КСФ увеличивается до 10 мкг/кг/сут. На 6-8 день введения Г-КСФ начинаются процедуры лейкафереза. Медиана даты первого сбора ГСК – 15 день </w:t>
      </w:r>
      <w:r w:rsidRPr="0095427D">
        <w:rPr>
          <w:szCs w:val="24"/>
        </w:rPr>
        <w:lastRenderedPageBreak/>
        <w:t>после введения циклофосфа</w:t>
      </w:r>
      <w:r>
        <w:rPr>
          <w:szCs w:val="24"/>
        </w:rPr>
        <w:t>мида</w:t>
      </w:r>
      <w:r w:rsidRPr="0095427D">
        <w:rPr>
          <w:szCs w:val="24"/>
        </w:rPr>
        <w:t>.</w:t>
      </w:r>
    </w:p>
    <w:p w14:paraId="4618392C" w14:textId="77777777" w:rsidR="006F27D1" w:rsidRDefault="006F27D1" w:rsidP="006F27D1">
      <w:pPr>
        <w:ind w:firstLine="709"/>
        <w:rPr>
          <w:szCs w:val="24"/>
        </w:rPr>
      </w:pPr>
    </w:p>
    <w:p w14:paraId="2A561538" w14:textId="77777777" w:rsidR="006F27D1" w:rsidRPr="0062299E" w:rsidRDefault="006F27D1" w:rsidP="006F27D1">
      <w:pPr>
        <w:rPr>
          <w:bCs/>
        </w:rPr>
      </w:pPr>
      <w:r w:rsidRPr="0062299E">
        <w:rPr>
          <w:bCs/>
        </w:rPr>
        <w:t>Таблица 2. Высокодозный циклофосфамид 4 г/м</w:t>
      </w:r>
      <w:r w:rsidRPr="0062299E">
        <w:rPr>
          <w:bCs/>
          <w:vertAlign w:val="superscript"/>
        </w:rPr>
        <w:t xml:space="preserve">2 </w:t>
      </w:r>
      <w:r w:rsidRPr="0062299E">
        <w:rPr>
          <w:bCs/>
        </w:rPr>
        <w:t>+ Г-КСФ 5 мкг/кг с сопроводительной терапией.</w:t>
      </w:r>
    </w:p>
    <w:tbl>
      <w:tblPr>
        <w:tblStyle w:val="ae"/>
        <w:tblW w:w="0" w:type="auto"/>
        <w:tblLook w:val="04A0" w:firstRow="1" w:lastRow="0" w:firstColumn="1" w:lastColumn="0" w:noHBand="0" w:noVBand="1"/>
      </w:tblPr>
      <w:tblGrid>
        <w:gridCol w:w="2911"/>
        <w:gridCol w:w="3569"/>
        <w:gridCol w:w="2868"/>
      </w:tblGrid>
      <w:tr w:rsidR="006F27D1" w14:paraId="5083323F" w14:textId="77777777" w:rsidTr="00CD5E09">
        <w:tc>
          <w:tcPr>
            <w:tcW w:w="2943" w:type="dxa"/>
          </w:tcPr>
          <w:p w14:paraId="4378BCB7" w14:textId="77777777" w:rsidR="006F27D1" w:rsidRDefault="006F27D1" w:rsidP="00CD5E09">
            <w:pPr>
              <w:rPr>
                <w:b/>
              </w:rPr>
            </w:pPr>
            <w:r>
              <w:rPr>
                <w:b/>
              </w:rPr>
              <w:t xml:space="preserve">Препарат </w:t>
            </w:r>
          </w:p>
        </w:tc>
        <w:tc>
          <w:tcPr>
            <w:tcW w:w="3686" w:type="dxa"/>
          </w:tcPr>
          <w:p w14:paraId="09EC9B3D" w14:textId="77777777" w:rsidR="006F27D1" w:rsidRDefault="006F27D1" w:rsidP="00CD5E09">
            <w:pPr>
              <w:rPr>
                <w:b/>
              </w:rPr>
            </w:pPr>
            <w:r>
              <w:rPr>
                <w:b/>
              </w:rPr>
              <w:t>Дозировка, путь введения</w:t>
            </w:r>
          </w:p>
        </w:tc>
        <w:tc>
          <w:tcPr>
            <w:tcW w:w="2942" w:type="dxa"/>
          </w:tcPr>
          <w:p w14:paraId="550C3612" w14:textId="77777777" w:rsidR="006F27D1" w:rsidRDefault="006F27D1" w:rsidP="00CD5E09">
            <w:pPr>
              <w:rPr>
                <w:b/>
              </w:rPr>
            </w:pPr>
            <w:r>
              <w:rPr>
                <w:b/>
              </w:rPr>
              <w:t>День введения</w:t>
            </w:r>
          </w:p>
        </w:tc>
      </w:tr>
      <w:tr w:rsidR="006F27D1" w14:paraId="3618BCC9" w14:textId="77777777" w:rsidTr="00CD5E09">
        <w:tc>
          <w:tcPr>
            <w:tcW w:w="2943" w:type="dxa"/>
          </w:tcPr>
          <w:p w14:paraId="542B6F54" w14:textId="77777777" w:rsidR="006F27D1" w:rsidRDefault="006F27D1" w:rsidP="00CD5E09">
            <w:r>
              <w:t>Внутривенные инфузии:</w:t>
            </w:r>
          </w:p>
        </w:tc>
        <w:tc>
          <w:tcPr>
            <w:tcW w:w="6628" w:type="dxa"/>
            <w:gridSpan w:val="2"/>
          </w:tcPr>
          <w:p w14:paraId="215ADE8E" w14:textId="77777777" w:rsidR="006F27D1" w:rsidRPr="00B42755" w:rsidRDefault="006F27D1" w:rsidP="00CD5E09"/>
        </w:tc>
      </w:tr>
      <w:tr w:rsidR="006F27D1" w14:paraId="71B76328" w14:textId="77777777" w:rsidTr="00CD5E09">
        <w:tc>
          <w:tcPr>
            <w:tcW w:w="2943" w:type="dxa"/>
          </w:tcPr>
          <w:p w14:paraId="6E0F44A2" w14:textId="77777777" w:rsidR="006F27D1" w:rsidRPr="00B42755" w:rsidRDefault="006F27D1" w:rsidP="00CD5E09">
            <w:r>
              <w:t>Циклофосфамид</w:t>
            </w:r>
          </w:p>
        </w:tc>
        <w:tc>
          <w:tcPr>
            <w:tcW w:w="3686" w:type="dxa"/>
          </w:tcPr>
          <w:p w14:paraId="5AC8DDFB" w14:textId="77777777" w:rsidR="006F27D1" w:rsidRPr="00B42755" w:rsidRDefault="006F27D1" w:rsidP="00CD5E09">
            <w:r>
              <w:t>4 г/м</w:t>
            </w:r>
            <w:r w:rsidRPr="0019299C">
              <w:rPr>
                <w:vertAlign w:val="superscript"/>
              </w:rPr>
              <w:t>2</w:t>
            </w:r>
            <w:r>
              <w:t xml:space="preserve"> в/в капельно 5 раз в сутки (по 0,8 г/м</w:t>
            </w:r>
            <w:r w:rsidRPr="00A26F69">
              <w:rPr>
                <w:vertAlign w:val="superscript"/>
              </w:rPr>
              <w:t>2</w:t>
            </w:r>
            <w:r>
              <w:t>)</w:t>
            </w:r>
          </w:p>
        </w:tc>
        <w:tc>
          <w:tcPr>
            <w:tcW w:w="2942" w:type="dxa"/>
          </w:tcPr>
          <w:p w14:paraId="66F8CC02" w14:textId="77777777" w:rsidR="006F27D1" w:rsidRPr="00B42755" w:rsidRDefault="006F27D1" w:rsidP="00CD5E09">
            <w:r>
              <w:t>+1</w:t>
            </w:r>
          </w:p>
        </w:tc>
      </w:tr>
      <w:tr w:rsidR="006F27D1" w14:paraId="16EE5D7C" w14:textId="77777777" w:rsidTr="00CD5E09">
        <w:tc>
          <w:tcPr>
            <w:tcW w:w="2943" w:type="dxa"/>
          </w:tcPr>
          <w:p w14:paraId="2363EE18" w14:textId="77777777" w:rsidR="006F27D1" w:rsidRPr="00B42755" w:rsidRDefault="006F27D1" w:rsidP="00CD5E09">
            <w:r>
              <w:t>Уромитексан</w:t>
            </w:r>
          </w:p>
        </w:tc>
        <w:tc>
          <w:tcPr>
            <w:tcW w:w="3686" w:type="dxa"/>
          </w:tcPr>
          <w:p w14:paraId="4BB1CC3C" w14:textId="77777777" w:rsidR="006F27D1" w:rsidRPr="00B42755" w:rsidRDefault="006F27D1" w:rsidP="00CD5E09">
            <w:r>
              <w:t>2,4 мг/м</w:t>
            </w:r>
            <w:r w:rsidRPr="0019299C">
              <w:rPr>
                <w:vertAlign w:val="superscript"/>
              </w:rPr>
              <w:t>2</w:t>
            </w:r>
            <w:r>
              <w:t xml:space="preserve"> в/в через инфузомат на 24 часа</w:t>
            </w:r>
          </w:p>
        </w:tc>
        <w:tc>
          <w:tcPr>
            <w:tcW w:w="2942" w:type="dxa"/>
          </w:tcPr>
          <w:p w14:paraId="7EF4F881" w14:textId="77777777" w:rsidR="006F27D1" w:rsidRPr="00B42755" w:rsidRDefault="006F27D1" w:rsidP="00CD5E09">
            <w:r>
              <w:t>+1</w:t>
            </w:r>
          </w:p>
        </w:tc>
      </w:tr>
      <w:tr w:rsidR="006F27D1" w14:paraId="2A1A841B" w14:textId="77777777" w:rsidTr="00CD5E09">
        <w:tc>
          <w:tcPr>
            <w:tcW w:w="2943" w:type="dxa"/>
          </w:tcPr>
          <w:p w14:paraId="518511D2" w14:textId="77777777" w:rsidR="006F27D1" w:rsidRPr="0019299C" w:rsidRDefault="006F27D1" w:rsidP="00CD5E09">
            <w:r>
              <w:t xml:space="preserve">Солевые растворы </w:t>
            </w:r>
          </w:p>
        </w:tc>
        <w:tc>
          <w:tcPr>
            <w:tcW w:w="3686" w:type="dxa"/>
          </w:tcPr>
          <w:p w14:paraId="790992D5" w14:textId="77777777" w:rsidR="006F27D1" w:rsidRPr="0019299C" w:rsidRDefault="006F27D1" w:rsidP="00CD5E09">
            <w:r>
              <w:t>3л/м</w:t>
            </w:r>
            <w:r w:rsidRPr="0019299C">
              <w:rPr>
                <w:vertAlign w:val="superscript"/>
              </w:rPr>
              <w:t>2</w:t>
            </w:r>
            <w:r>
              <w:rPr>
                <w:vertAlign w:val="superscript"/>
              </w:rPr>
              <w:t xml:space="preserve"> </w:t>
            </w:r>
            <w:r>
              <w:t>в/в капельно 4 раза в сутки</w:t>
            </w:r>
            <w:r w:rsidRPr="0019299C">
              <w:rPr>
                <w:vertAlign w:val="superscript"/>
              </w:rPr>
              <w:t>*</w:t>
            </w:r>
          </w:p>
        </w:tc>
        <w:tc>
          <w:tcPr>
            <w:tcW w:w="2942" w:type="dxa"/>
          </w:tcPr>
          <w:p w14:paraId="7F52E4A5" w14:textId="77777777" w:rsidR="006F27D1" w:rsidRPr="00B42755" w:rsidRDefault="006F27D1" w:rsidP="00CD5E09">
            <w:r>
              <w:t>+1 - +5 (далее по показаниям)</w:t>
            </w:r>
          </w:p>
        </w:tc>
      </w:tr>
      <w:tr w:rsidR="006F27D1" w14:paraId="7B948B2A" w14:textId="77777777" w:rsidTr="00CD5E09">
        <w:tc>
          <w:tcPr>
            <w:tcW w:w="2943" w:type="dxa"/>
          </w:tcPr>
          <w:p w14:paraId="564AC484" w14:textId="77777777" w:rsidR="006F27D1" w:rsidRDefault="006F27D1" w:rsidP="00CD5E09">
            <w:r>
              <w:t>Противорвотные средства:</w:t>
            </w:r>
          </w:p>
          <w:p w14:paraId="0D61EB73" w14:textId="77777777" w:rsidR="006F27D1" w:rsidRPr="00B42755" w:rsidRDefault="006F27D1" w:rsidP="00CD5E09">
            <w:r>
              <w:t xml:space="preserve">ондансетрон </w:t>
            </w:r>
          </w:p>
        </w:tc>
        <w:tc>
          <w:tcPr>
            <w:tcW w:w="3686" w:type="dxa"/>
          </w:tcPr>
          <w:p w14:paraId="0092590C" w14:textId="77777777" w:rsidR="006F27D1" w:rsidRPr="00B42755" w:rsidRDefault="006F27D1" w:rsidP="00CD5E09">
            <w:r>
              <w:t xml:space="preserve">8 мг в/в капельно 3 раза в сутки </w:t>
            </w:r>
          </w:p>
        </w:tc>
        <w:tc>
          <w:tcPr>
            <w:tcW w:w="2942" w:type="dxa"/>
          </w:tcPr>
          <w:p w14:paraId="096ED2AA" w14:textId="77777777" w:rsidR="006F27D1" w:rsidRPr="00B42755" w:rsidRDefault="006F27D1" w:rsidP="00CD5E09">
            <w:r>
              <w:t>-1 - +2 (далее по показаниям)</w:t>
            </w:r>
          </w:p>
        </w:tc>
      </w:tr>
      <w:tr w:rsidR="006F27D1" w14:paraId="3A87DEE8" w14:textId="77777777" w:rsidTr="00CD5E09">
        <w:tc>
          <w:tcPr>
            <w:tcW w:w="2943" w:type="dxa"/>
          </w:tcPr>
          <w:p w14:paraId="0CABB393" w14:textId="77777777" w:rsidR="006F27D1" w:rsidRPr="00B42755" w:rsidRDefault="006F27D1" w:rsidP="00CD5E09">
            <w:r>
              <w:t>Гепарин</w:t>
            </w:r>
          </w:p>
        </w:tc>
        <w:tc>
          <w:tcPr>
            <w:tcW w:w="3686" w:type="dxa"/>
          </w:tcPr>
          <w:p w14:paraId="3214BA16" w14:textId="77777777" w:rsidR="006F27D1" w:rsidRPr="00B42755" w:rsidRDefault="006F27D1" w:rsidP="00CD5E09">
            <w:r>
              <w:t>12000 ЕД в/в через инфузомат на 24 часа</w:t>
            </w:r>
          </w:p>
        </w:tc>
        <w:tc>
          <w:tcPr>
            <w:tcW w:w="2942" w:type="dxa"/>
          </w:tcPr>
          <w:p w14:paraId="6033B3DC" w14:textId="77777777" w:rsidR="006F27D1" w:rsidRPr="00B42755" w:rsidRDefault="006F27D1" w:rsidP="00CD5E09">
            <w:r>
              <w:t xml:space="preserve">-1 - +14 </w:t>
            </w:r>
          </w:p>
        </w:tc>
      </w:tr>
      <w:tr w:rsidR="006F27D1" w14:paraId="72D7B74D" w14:textId="77777777" w:rsidTr="00CD5E09">
        <w:tc>
          <w:tcPr>
            <w:tcW w:w="2943" w:type="dxa"/>
          </w:tcPr>
          <w:p w14:paraId="097F37E9" w14:textId="77777777" w:rsidR="006F27D1" w:rsidRPr="00B42755" w:rsidRDefault="006F27D1" w:rsidP="00CD5E09">
            <w:r>
              <w:t>Допамин 4%</w:t>
            </w:r>
          </w:p>
        </w:tc>
        <w:tc>
          <w:tcPr>
            <w:tcW w:w="3686" w:type="dxa"/>
          </w:tcPr>
          <w:p w14:paraId="7090A003" w14:textId="77777777" w:rsidR="006F27D1" w:rsidRPr="00B42755" w:rsidRDefault="006F27D1" w:rsidP="00CD5E09">
            <w:r>
              <w:t>0,5 мг в/в через инфузомат на 24 часа</w:t>
            </w:r>
          </w:p>
        </w:tc>
        <w:tc>
          <w:tcPr>
            <w:tcW w:w="2942" w:type="dxa"/>
          </w:tcPr>
          <w:p w14:paraId="77578008" w14:textId="77777777" w:rsidR="006F27D1" w:rsidRPr="00B42755" w:rsidRDefault="006F27D1" w:rsidP="00CD5E09">
            <w:r>
              <w:t>-1 - +1</w:t>
            </w:r>
          </w:p>
        </w:tc>
      </w:tr>
      <w:tr w:rsidR="006F27D1" w14:paraId="21BFA351" w14:textId="77777777" w:rsidTr="00CD5E09">
        <w:tc>
          <w:tcPr>
            <w:tcW w:w="2943" w:type="dxa"/>
          </w:tcPr>
          <w:p w14:paraId="58A003AD" w14:textId="77777777" w:rsidR="006F27D1" w:rsidRDefault="006F27D1" w:rsidP="00CD5E09">
            <w:r>
              <w:t>Фуросемид</w:t>
            </w:r>
          </w:p>
        </w:tc>
        <w:tc>
          <w:tcPr>
            <w:tcW w:w="3686" w:type="dxa"/>
          </w:tcPr>
          <w:p w14:paraId="0DB9E3AF" w14:textId="77777777" w:rsidR="006F27D1" w:rsidRPr="00B42755" w:rsidRDefault="006F27D1" w:rsidP="00CD5E09">
            <w:r>
              <w:t>20 мг в/в струйно 3 раза в сутки</w:t>
            </w:r>
          </w:p>
        </w:tc>
        <w:tc>
          <w:tcPr>
            <w:tcW w:w="2942" w:type="dxa"/>
          </w:tcPr>
          <w:p w14:paraId="2F607044" w14:textId="77777777" w:rsidR="006F27D1" w:rsidRPr="00B42755" w:rsidRDefault="006F27D1" w:rsidP="00CD5E09">
            <w:r>
              <w:t>+1 - +3</w:t>
            </w:r>
          </w:p>
        </w:tc>
      </w:tr>
      <w:tr w:rsidR="006F27D1" w14:paraId="0ED05976" w14:textId="77777777" w:rsidTr="00CD5E09">
        <w:tc>
          <w:tcPr>
            <w:tcW w:w="2943" w:type="dxa"/>
          </w:tcPr>
          <w:p w14:paraId="4FE92042" w14:textId="77777777" w:rsidR="006F27D1" w:rsidRPr="00B42755" w:rsidRDefault="006F27D1" w:rsidP="00CD5E09">
            <w:r>
              <w:t>Таблетированные препараты:</w:t>
            </w:r>
          </w:p>
        </w:tc>
        <w:tc>
          <w:tcPr>
            <w:tcW w:w="6628" w:type="dxa"/>
            <w:gridSpan w:val="2"/>
          </w:tcPr>
          <w:p w14:paraId="3D8768E8" w14:textId="77777777" w:rsidR="006F27D1" w:rsidRPr="00B42755" w:rsidRDefault="006F27D1" w:rsidP="00CD5E09"/>
        </w:tc>
      </w:tr>
      <w:tr w:rsidR="006F27D1" w14:paraId="6CBFF9A5" w14:textId="77777777" w:rsidTr="00CD5E09">
        <w:tc>
          <w:tcPr>
            <w:tcW w:w="2943" w:type="dxa"/>
          </w:tcPr>
          <w:p w14:paraId="6A04BACA" w14:textId="77777777" w:rsidR="006F27D1" w:rsidRPr="00B42755" w:rsidRDefault="006F27D1" w:rsidP="00CD5E09">
            <w:r>
              <w:t>Аллопуринол</w:t>
            </w:r>
          </w:p>
        </w:tc>
        <w:tc>
          <w:tcPr>
            <w:tcW w:w="3686" w:type="dxa"/>
          </w:tcPr>
          <w:p w14:paraId="527EB6B1" w14:textId="77777777" w:rsidR="006F27D1" w:rsidRPr="00B42755" w:rsidRDefault="006F27D1" w:rsidP="00CD5E09">
            <w:r>
              <w:t>200 мг/м</w:t>
            </w:r>
            <w:r w:rsidRPr="00434A30">
              <w:rPr>
                <w:vertAlign w:val="superscript"/>
              </w:rPr>
              <w:t>2</w:t>
            </w:r>
            <w:r>
              <w:t xml:space="preserve"> внутрь </w:t>
            </w:r>
          </w:p>
        </w:tc>
        <w:tc>
          <w:tcPr>
            <w:tcW w:w="2942" w:type="dxa"/>
          </w:tcPr>
          <w:p w14:paraId="62337FF0" w14:textId="77777777" w:rsidR="006F27D1" w:rsidRPr="00B42755" w:rsidRDefault="006F27D1" w:rsidP="00CD5E09">
            <w:r>
              <w:t xml:space="preserve">+1 - +3 </w:t>
            </w:r>
          </w:p>
        </w:tc>
      </w:tr>
      <w:tr w:rsidR="006F27D1" w14:paraId="1DBE38AD" w14:textId="77777777" w:rsidTr="00CD5E09">
        <w:tc>
          <w:tcPr>
            <w:tcW w:w="2943" w:type="dxa"/>
          </w:tcPr>
          <w:p w14:paraId="1BD91885" w14:textId="77777777" w:rsidR="006F27D1" w:rsidRDefault="006F27D1" w:rsidP="00CD5E09">
            <w:r>
              <w:t>Противосудорожные средства:</w:t>
            </w:r>
          </w:p>
          <w:p w14:paraId="728E573E" w14:textId="77777777" w:rsidR="006F27D1" w:rsidRPr="00B42755" w:rsidRDefault="006F27D1" w:rsidP="00CD5E09">
            <w:r>
              <w:t>карбамазепин</w:t>
            </w:r>
          </w:p>
        </w:tc>
        <w:tc>
          <w:tcPr>
            <w:tcW w:w="3686" w:type="dxa"/>
          </w:tcPr>
          <w:p w14:paraId="59B5D6D0" w14:textId="77777777" w:rsidR="006F27D1" w:rsidRDefault="006F27D1" w:rsidP="00CD5E09"/>
          <w:p w14:paraId="2FFEDBFB" w14:textId="77777777" w:rsidR="006F27D1" w:rsidRDefault="006F27D1" w:rsidP="00CD5E09"/>
          <w:p w14:paraId="5F49EDAB" w14:textId="77777777" w:rsidR="006F27D1" w:rsidRPr="00B42755" w:rsidRDefault="006F27D1" w:rsidP="00CD5E09">
            <w:r>
              <w:t xml:space="preserve">200 мг внутрь на ночь </w:t>
            </w:r>
          </w:p>
        </w:tc>
        <w:tc>
          <w:tcPr>
            <w:tcW w:w="2942" w:type="dxa"/>
          </w:tcPr>
          <w:p w14:paraId="322FAFE2" w14:textId="77777777" w:rsidR="006F27D1" w:rsidRDefault="006F27D1" w:rsidP="00CD5E09"/>
          <w:p w14:paraId="6A7B471E" w14:textId="77777777" w:rsidR="006F27D1" w:rsidRDefault="006F27D1" w:rsidP="00CD5E09"/>
          <w:p w14:paraId="166437D2" w14:textId="77777777" w:rsidR="006F27D1" w:rsidRPr="00B42755" w:rsidRDefault="006F27D1" w:rsidP="00CD5E09">
            <w:r>
              <w:t>-1 - +1</w:t>
            </w:r>
          </w:p>
        </w:tc>
      </w:tr>
      <w:tr w:rsidR="006F27D1" w14:paraId="34D3E1E8" w14:textId="77777777" w:rsidTr="00CD5E09">
        <w:tc>
          <w:tcPr>
            <w:tcW w:w="2943" w:type="dxa"/>
          </w:tcPr>
          <w:p w14:paraId="2590FFF8" w14:textId="77777777" w:rsidR="006F27D1" w:rsidRPr="00B42755" w:rsidRDefault="006F27D1" w:rsidP="00CD5E09">
            <w:r>
              <w:t xml:space="preserve">Обработка полости рта растворами антисептиков </w:t>
            </w:r>
          </w:p>
        </w:tc>
        <w:tc>
          <w:tcPr>
            <w:tcW w:w="3686" w:type="dxa"/>
          </w:tcPr>
          <w:p w14:paraId="46B88CA2" w14:textId="77777777" w:rsidR="006F27D1" w:rsidRPr="00B42755" w:rsidRDefault="006F27D1" w:rsidP="00CD5E09">
            <w:r>
              <w:t>многократно</w:t>
            </w:r>
          </w:p>
        </w:tc>
        <w:tc>
          <w:tcPr>
            <w:tcW w:w="2942" w:type="dxa"/>
          </w:tcPr>
          <w:p w14:paraId="30F7FDE4" w14:textId="77777777" w:rsidR="006F27D1" w:rsidRPr="00B42755" w:rsidRDefault="006F27D1" w:rsidP="00CD5E09">
            <w:r>
              <w:t>весь период мобилизации</w:t>
            </w:r>
          </w:p>
        </w:tc>
      </w:tr>
      <w:tr w:rsidR="006F27D1" w14:paraId="5222481B" w14:textId="77777777" w:rsidTr="00CD5E09">
        <w:tc>
          <w:tcPr>
            <w:tcW w:w="2943" w:type="dxa"/>
          </w:tcPr>
          <w:p w14:paraId="3F8E3F19" w14:textId="77777777" w:rsidR="006F27D1" w:rsidRPr="00B42755" w:rsidRDefault="006F27D1" w:rsidP="00CD5E09">
            <w:r>
              <w:t>Стимуляция:</w:t>
            </w:r>
          </w:p>
        </w:tc>
        <w:tc>
          <w:tcPr>
            <w:tcW w:w="6628" w:type="dxa"/>
            <w:gridSpan w:val="2"/>
          </w:tcPr>
          <w:p w14:paraId="4F17764D" w14:textId="77777777" w:rsidR="006F27D1" w:rsidRPr="00B42755" w:rsidRDefault="006F27D1" w:rsidP="00CD5E09"/>
        </w:tc>
      </w:tr>
      <w:tr w:rsidR="006F27D1" w14:paraId="458D6482" w14:textId="77777777" w:rsidTr="00CD5E09">
        <w:tc>
          <w:tcPr>
            <w:tcW w:w="2943" w:type="dxa"/>
          </w:tcPr>
          <w:p w14:paraId="08350F60" w14:textId="77777777" w:rsidR="006F27D1" w:rsidRPr="00B42755" w:rsidRDefault="006F27D1" w:rsidP="00CD5E09">
            <w:r>
              <w:t>Г-КСФ</w:t>
            </w:r>
          </w:p>
        </w:tc>
        <w:tc>
          <w:tcPr>
            <w:tcW w:w="3686" w:type="dxa"/>
          </w:tcPr>
          <w:p w14:paraId="769B8800" w14:textId="77777777" w:rsidR="006F27D1" w:rsidRPr="00B42755" w:rsidRDefault="006F27D1" w:rsidP="00CD5E09">
            <w:r>
              <w:t>5 мкг/кг в сутки подкожно</w:t>
            </w:r>
            <w:r w:rsidRPr="001F327B">
              <w:rPr>
                <w:vertAlign w:val="superscript"/>
              </w:rPr>
              <w:t>**</w:t>
            </w:r>
          </w:p>
        </w:tc>
        <w:tc>
          <w:tcPr>
            <w:tcW w:w="2942" w:type="dxa"/>
          </w:tcPr>
          <w:p w14:paraId="47BD55B2" w14:textId="77777777" w:rsidR="006F27D1" w:rsidRPr="00B42755" w:rsidRDefault="006F27D1" w:rsidP="00CD5E09">
            <w:r>
              <w:t>с момента снижения числа лейкоцитов менее 1х10</w:t>
            </w:r>
            <w:r w:rsidRPr="001F327B">
              <w:rPr>
                <w:vertAlign w:val="superscript"/>
              </w:rPr>
              <w:t>9</w:t>
            </w:r>
            <w:r>
              <w:t>/л.</w:t>
            </w:r>
          </w:p>
        </w:tc>
      </w:tr>
    </w:tbl>
    <w:p w14:paraId="5C5596B5" w14:textId="77777777" w:rsidR="006F27D1" w:rsidRDefault="006F27D1" w:rsidP="006F27D1">
      <w:r w:rsidRPr="0019299C">
        <w:rPr>
          <w:i/>
        </w:rPr>
        <w:t xml:space="preserve">Примечание: </w:t>
      </w:r>
      <w:r w:rsidRPr="0019299C">
        <w:rPr>
          <w:i/>
          <w:vertAlign w:val="superscript"/>
        </w:rPr>
        <w:t>*</w:t>
      </w:r>
      <w:r>
        <w:rPr>
          <w:i/>
        </w:rPr>
        <w:t xml:space="preserve"> </w:t>
      </w:r>
      <w:r w:rsidRPr="0019299C">
        <w:t>с</w:t>
      </w:r>
      <w:r>
        <w:t xml:space="preserve"> +</w:t>
      </w:r>
      <w:r w:rsidRPr="0019299C">
        <w:t>3 дня терапии объем вводимых растворов уменьшается в 2 раза</w:t>
      </w:r>
      <w:r>
        <w:t xml:space="preserve">. </w:t>
      </w:r>
    </w:p>
    <w:p w14:paraId="5A838288" w14:textId="77777777" w:rsidR="006F27D1" w:rsidRDefault="006F27D1" w:rsidP="006F27D1">
      <w:r>
        <w:t xml:space="preserve">                       </w:t>
      </w:r>
      <w:r w:rsidRPr="001F327B">
        <w:rPr>
          <w:vertAlign w:val="superscript"/>
        </w:rPr>
        <w:t>**</w:t>
      </w:r>
      <w:r>
        <w:t xml:space="preserve"> при отсутствии снижения числа лейкоцитов возможно увеличение дозы </w:t>
      </w:r>
    </w:p>
    <w:p w14:paraId="02338103" w14:textId="77777777" w:rsidR="006F27D1" w:rsidRDefault="006F27D1" w:rsidP="006F27D1">
      <w:r>
        <w:t>Г-КСФ до 10 мкг/кг/сут.</w:t>
      </w:r>
    </w:p>
    <w:p w14:paraId="0CE90F42" w14:textId="77777777" w:rsidR="006F27D1" w:rsidRDefault="006F27D1" w:rsidP="006F27D1">
      <w:pPr>
        <w:rPr>
          <w:b/>
        </w:rPr>
      </w:pPr>
    </w:p>
    <w:p w14:paraId="63FB0F2C" w14:textId="77777777" w:rsidR="006F27D1" w:rsidRPr="003E7EBA" w:rsidRDefault="006F27D1" w:rsidP="006F27D1">
      <w:pPr>
        <w:pStyle w:val="afff3"/>
        <w:ind w:left="0"/>
        <w:rPr>
          <w:szCs w:val="24"/>
          <w:u w:val="single"/>
        </w:rPr>
      </w:pPr>
      <w:r w:rsidRPr="003E7EBA">
        <w:rPr>
          <w:szCs w:val="24"/>
          <w:u w:val="single"/>
        </w:rPr>
        <w:t>Г-КСФ в сочетании с плериксафором</w:t>
      </w:r>
    </w:p>
    <w:p w14:paraId="318204A9" w14:textId="77777777" w:rsidR="006F27D1" w:rsidRPr="0031526F" w:rsidRDefault="006F27D1" w:rsidP="006F27D1">
      <w:pPr>
        <w:rPr>
          <w:b/>
          <w:i/>
          <w:szCs w:val="24"/>
          <w:lang w:val="en-US"/>
        </w:rPr>
      </w:pPr>
      <w:r w:rsidRPr="0031526F">
        <w:rPr>
          <w:b/>
          <w:i/>
          <w:szCs w:val="24"/>
          <w:lang w:val="en-US"/>
        </w:rPr>
        <w:t>Показания</w:t>
      </w:r>
    </w:p>
    <w:p w14:paraId="63F99159" w14:textId="4C8E91D0" w:rsidR="006F27D1" w:rsidRPr="0095427D" w:rsidRDefault="006F27D1" w:rsidP="008C1767">
      <w:pPr>
        <w:widowControl/>
        <w:numPr>
          <w:ilvl w:val="0"/>
          <w:numId w:val="173"/>
        </w:numPr>
        <w:autoSpaceDE/>
        <w:autoSpaceDN/>
        <w:adjustRightInd/>
        <w:ind w:left="0" w:firstLine="0"/>
        <w:contextualSpacing/>
        <w:rPr>
          <w:szCs w:val="24"/>
        </w:rPr>
      </w:pPr>
      <w:r w:rsidRPr="0095427D">
        <w:rPr>
          <w:szCs w:val="24"/>
        </w:rPr>
        <w:t>Повторная мобилизация после неудачи первой мобилизации ГСК схемами, включающими миелосупрессивные препараты в сочетании с Г-КСФ ил</w:t>
      </w:r>
      <w:r w:rsidR="00804190">
        <w:rPr>
          <w:szCs w:val="24"/>
        </w:rPr>
        <w:t>и применения Г-КСФ в монорежиме;</w:t>
      </w:r>
    </w:p>
    <w:p w14:paraId="7849E7E2" w14:textId="147CAAD6" w:rsidR="006F27D1" w:rsidRPr="0095427D" w:rsidRDefault="006F27D1" w:rsidP="008C1767">
      <w:pPr>
        <w:widowControl/>
        <w:numPr>
          <w:ilvl w:val="0"/>
          <w:numId w:val="173"/>
        </w:numPr>
        <w:autoSpaceDE/>
        <w:autoSpaceDN/>
        <w:adjustRightInd/>
        <w:ind w:left="0" w:firstLine="0"/>
        <w:contextualSpacing/>
        <w:rPr>
          <w:szCs w:val="24"/>
        </w:rPr>
      </w:pPr>
      <w:r w:rsidRPr="0095427D">
        <w:rPr>
          <w:szCs w:val="24"/>
        </w:rPr>
        <w:t>Неудовлетворительные результаты текущей мобилизации.</w:t>
      </w:r>
    </w:p>
    <w:p w14:paraId="4651C02A" w14:textId="77777777" w:rsidR="006F27D1" w:rsidRPr="0095427D" w:rsidRDefault="006F27D1" w:rsidP="006F27D1">
      <w:pPr>
        <w:rPr>
          <w:szCs w:val="24"/>
        </w:rPr>
      </w:pPr>
      <w:r w:rsidRPr="0095427D">
        <w:rPr>
          <w:szCs w:val="24"/>
        </w:rPr>
        <w:t>Неудовлетворительные результаты текущей мобилизации:</w:t>
      </w:r>
    </w:p>
    <w:p w14:paraId="4945D6DC" w14:textId="77777777" w:rsidR="006F27D1" w:rsidRPr="0095427D" w:rsidRDefault="006F27D1" w:rsidP="006F27D1">
      <w:pPr>
        <w:rPr>
          <w:szCs w:val="24"/>
        </w:rPr>
      </w:pPr>
      <w:r w:rsidRPr="0095427D">
        <w:rPr>
          <w:szCs w:val="24"/>
        </w:rPr>
        <w:t>а) количество CD34+ клеток в периферической крови в день предполагаемого первого лейкафереза менее 10 клеток/мкл (при планируемой одной аутотрансплантации) и 10-20 клеток/мкл (при планируемой тандемной аутотрансплантации);</w:t>
      </w:r>
    </w:p>
    <w:p w14:paraId="17509A54" w14:textId="77777777" w:rsidR="006F27D1" w:rsidRPr="0095427D" w:rsidRDefault="006F27D1" w:rsidP="006F27D1">
      <w:pPr>
        <w:rPr>
          <w:szCs w:val="24"/>
        </w:rPr>
      </w:pPr>
      <w:r w:rsidRPr="0095427D">
        <w:rPr>
          <w:szCs w:val="24"/>
        </w:rPr>
        <w:t>б) за первый лейкаферез заготовлено менее 30-50% от необходимого количества CD34+ клеток.</w:t>
      </w:r>
    </w:p>
    <w:p w14:paraId="0A3D4B48" w14:textId="77777777" w:rsidR="006F27D1" w:rsidRDefault="006F27D1" w:rsidP="006F27D1">
      <w:pPr>
        <w:contextualSpacing/>
        <w:rPr>
          <w:b/>
          <w:szCs w:val="24"/>
        </w:rPr>
      </w:pPr>
    </w:p>
    <w:p w14:paraId="6C7DB68F" w14:textId="77777777" w:rsidR="006F27D1" w:rsidRPr="00DD19F9" w:rsidRDefault="006F27D1" w:rsidP="006F27D1">
      <w:pPr>
        <w:rPr>
          <w:b/>
          <w:i/>
          <w:szCs w:val="24"/>
        </w:rPr>
      </w:pPr>
      <w:r w:rsidRPr="00DD19F9">
        <w:rPr>
          <w:b/>
          <w:i/>
          <w:szCs w:val="24"/>
        </w:rPr>
        <w:t>Схема мобилизации ГСК</w:t>
      </w:r>
    </w:p>
    <w:p w14:paraId="2DD18F00" w14:textId="77777777" w:rsidR="006F27D1" w:rsidRPr="0095427D" w:rsidRDefault="006F27D1" w:rsidP="006F27D1">
      <w:pPr>
        <w:ind w:firstLine="709"/>
        <w:rPr>
          <w:szCs w:val="24"/>
        </w:rPr>
      </w:pPr>
      <w:r w:rsidRPr="0095427D">
        <w:rPr>
          <w:szCs w:val="24"/>
        </w:rPr>
        <w:t xml:space="preserve">Г-КСФ назначают в дозе 10 мкг/кг/сутки, вводят подкожно утром. На четвертый день введения Г-КСФ плериксафор назначается за 12 часов до лейкафереза </w:t>
      </w:r>
      <w:r>
        <w:rPr>
          <w:szCs w:val="24"/>
        </w:rPr>
        <w:t>в дозе 240 мкг/кг подкожно</w:t>
      </w:r>
      <w:r w:rsidRPr="0095427D">
        <w:rPr>
          <w:szCs w:val="24"/>
        </w:rPr>
        <w:t xml:space="preserve">. По результатам лейкафереза решается вопрос о необходимости повторного введения плериксафора (таблица </w:t>
      </w:r>
      <w:r>
        <w:rPr>
          <w:szCs w:val="24"/>
        </w:rPr>
        <w:t>3</w:t>
      </w:r>
      <w:r w:rsidRPr="0095427D">
        <w:rPr>
          <w:szCs w:val="24"/>
        </w:rPr>
        <w:t>). Возможно применение нескольких введений плериксафора.</w:t>
      </w:r>
    </w:p>
    <w:p w14:paraId="5B67C100" w14:textId="77777777" w:rsidR="006F27D1" w:rsidRDefault="006F27D1" w:rsidP="006F27D1">
      <w:pPr>
        <w:ind w:firstLine="709"/>
        <w:rPr>
          <w:szCs w:val="24"/>
        </w:rPr>
      </w:pPr>
    </w:p>
    <w:p w14:paraId="3663FA36" w14:textId="77777777" w:rsidR="006F27D1" w:rsidRPr="0095427D" w:rsidRDefault="006F27D1" w:rsidP="006F27D1">
      <w:pPr>
        <w:ind w:firstLine="709"/>
        <w:rPr>
          <w:szCs w:val="24"/>
        </w:rPr>
      </w:pPr>
      <w:r w:rsidRPr="0095427D">
        <w:rPr>
          <w:szCs w:val="24"/>
        </w:rPr>
        <w:t xml:space="preserve">Таблица </w:t>
      </w:r>
      <w:r>
        <w:rPr>
          <w:szCs w:val="24"/>
        </w:rPr>
        <w:t>3</w:t>
      </w:r>
      <w:r w:rsidRPr="0095427D">
        <w:rPr>
          <w:szCs w:val="24"/>
        </w:rPr>
        <w:t xml:space="preserve">. Схема мобилизации ГСК «Г-КСФ + плериксафор» </w:t>
      </w:r>
    </w:p>
    <w:tbl>
      <w:tblPr>
        <w:tblStyle w:val="1f"/>
        <w:tblW w:w="0" w:type="auto"/>
        <w:jc w:val="center"/>
        <w:tblLook w:val="04A0" w:firstRow="1" w:lastRow="0" w:firstColumn="1" w:lastColumn="0" w:noHBand="0" w:noVBand="1"/>
      </w:tblPr>
      <w:tblGrid>
        <w:gridCol w:w="1651"/>
        <w:gridCol w:w="1133"/>
        <w:gridCol w:w="1129"/>
        <w:gridCol w:w="1129"/>
        <w:gridCol w:w="1132"/>
        <w:gridCol w:w="1133"/>
        <w:gridCol w:w="1133"/>
      </w:tblGrid>
      <w:tr w:rsidR="006F27D1" w:rsidRPr="00303DEC" w14:paraId="1D41CE8B" w14:textId="77777777" w:rsidTr="00CD5E09">
        <w:trPr>
          <w:jc w:val="center"/>
        </w:trPr>
        <w:tc>
          <w:tcPr>
            <w:tcW w:w="1651" w:type="dxa"/>
          </w:tcPr>
          <w:p w14:paraId="3482C1F5" w14:textId="77777777" w:rsidR="006F27D1" w:rsidRPr="00303DEC" w:rsidRDefault="006F27D1" w:rsidP="00CD5E09">
            <w:r w:rsidRPr="00303DEC">
              <w:t>Дни</w:t>
            </w:r>
          </w:p>
        </w:tc>
        <w:tc>
          <w:tcPr>
            <w:tcW w:w="1133" w:type="dxa"/>
          </w:tcPr>
          <w:p w14:paraId="1757B3C4" w14:textId="77777777" w:rsidR="006F27D1" w:rsidRPr="00303DEC" w:rsidRDefault="006F27D1" w:rsidP="00CD5E09">
            <w:r w:rsidRPr="00303DEC">
              <w:t>1</w:t>
            </w:r>
          </w:p>
        </w:tc>
        <w:tc>
          <w:tcPr>
            <w:tcW w:w="1129" w:type="dxa"/>
          </w:tcPr>
          <w:p w14:paraId="1A981EED" w14:textId="77777777" w:rsidR="006F27D1" w:rsidRPr="00303DEC" w:rsidRDefault="006F27D1" w:rsidP="00CD5E09">
            <w:r w:rsidRPr="00303DEC">
              <w:t>2</w:t>
            </w:r>
          </w:p>
        </w:tc>
        <w:tc>
          <w:tcPr>
            <w:tcW w:w="1129" w:type="dxa"/>
          </w:tcPr>
          <w:p w14:paraId="58E730D4" w14:textId="77777777" w:rsidR="006F27D1" w:rsidRPr="00303DEC" w:rsidRDefault="006F27D1" w:rsidP="00CD5E09">
            <w:r w:rsidRPr="00303DEC">
              <w:t>3</w:t>
            </w:r>
          </w:p>
        </w:tc>
        <w:tc>
          <w:tcPr>
            <w:tcW w:w="1132" w:type="dxa"/>
          </w:tcPr>
          <w:p w14:paraId="384920D7" w14:textId="77777777" w:rsidR="006F27D1" w:rsidRPr="00303DEC" w:rsidRDefault="006F27D1" w:rsidP="00CD5E09">
            <w:r w:rsidRPr="00303DEC">
              <w:t>4</w:t>
            </w:r>
          </w:p>
        </w:tc>
        <w:tc>
          <w:tcPr>
            <w:tcW w:w="1133" w:type="dxa"/>
          </w:tcPr>
          <w:p w14:paraId="687D9A31" w14:textId="77777777" w:rsidR="006F27D1" w:rsidRPr="00303DEC" w:rsidRDefault="006F27D1" w:rsidP="00CD5E09">
            <w:r w:rsidRPr="00303DEC">
              <w:t>5</w:t>
            </w:r>
          </w:p>
        </w:tc>
        <w:tc>
          <w:tcPr>
            <w:tcW w:w="1133" w:type="dxa"/>
          </w:tcPr>
          <w:p w14:paraId="35912B95" w14:textId="77777777" w:rsidR="006F27D1" w:rsidRPr="00303DEC" w:rsidRDefault="006F27D1" w:rsidP="00CD5E09">
            <w:r w:rsidRPr="00303DEC">
              <w:t>6</w:t>
            </w:r>
          </w:p>
        </w:tc>
      </w:tr>
      <w:tr w:rsidR="006F27D1" w:rsidRPr="00303DEC" w14:paraId="67518234" w14:textId="77777777" w:rsidTr="00CD5E09">
        <w:trPr>
          <w:jc w:val="center"/>
        </w:trPr>
        <w:tc>
          <w:tcPr>
            <w:tcW w:w="1651" w:type="dxa"/>
          </w:tcPr>
          <w:p w14:paraId="009D750E" w14:textId="77777777" w:rsidR="006F27D1" w:rsidRPr="00303DEC" w:rsidRDefault="006F27D1" w:rsidP="00CD5E09">
            <w:r w:rsidRPr="00303DEC">
              <w:t xml:space="preserve">Г-КСФ, </w:t>
            </w:r>
          </w:p>
          <w:p w14:paraId="33A0434C" w14:textId="77777777" w:rsidR="006F27D1" w:rsidRPr="00303DEC" w:rsidRDefault="006F27D1" w:rsidP="00CD5E09">
            <w:r w:rsidRPr="00303DEC">
              <w:t>10 мкг/кг</w:t>
            </w:r>
          </w:p>
        </w:tc>
        <w:tc>
          <w:tcPr>
            <w:tcW w:w="1133" w:type="dxa"/>
          </w:tcPr>
          <w:p w14:paraId="264290B4" w14:textId="77777777" w:rsidR="006F27D1" w:rsidRPr="00303DEC" w:rsidRDefault="006F27D1" w:rsidP="00CD5E09">
            <w:r w:rsidRPr="00303DEC">
              <w:t>Х</w:t>
            </w:r>
          </w:p>
        </w:tc>
        <w:tc>
          <w:tcPr>
            <w:tcW w:w="1129" w:type="dxa"/>
          </w:tcPr>
          <w:p w14:paraId="62B6236A" w14:textId="77777777" w:rsidR="006F27D1" w:rsidRPr="00303DEC" w:rsidRDefault="006F27D1" w:rsidP="00CD5E09">
            <w:r w:rsidRPr="00303DEC">
              <w:t>Х</w:t>
            </w:r>
          </w:p>
        </w:tc>
        <w:tc>
          <w:tcPr>
            <w:tcW w:w="1129" w:type="dxa"/>
          </w:tcPr>
          <w:p w14:paraId="00798FC9" w14:textId="77777777" w:rsidR="006F27D1" w:rsidRPr="00303DEC" w:rsidRDefault="006F27D1" w:rsidP="00CD5E09">
            <w:r w:rsidRPr="00303DEC">
              <w:t>Х</w:t>
            </w:r>
          </w:p>
        </w:tc>
        <w:tc>
          <w:tcPr>
            <w:tcW w:w="1132" w:type="dxa"/>
          </w:tcPr>
          <w:p w14:paraId="528DCDF6" w14:textId="77777777" w:rsidR="006F27D1" w:rsidRPr="00303DEC" w:rsidRDefault="006F27D1" w:rsidP="00CD5E09">
            <w:r w:rsidRPr="00303DEC">
              <w:t>Х</w:t>
            </w:r>
          </w:p>
        </w:tc>
        <w:tc>
          <w:tcPr>
            <w:tcW w:w="1133" w:type="dxa"/>
          </w:tcPr>
          <w:p w14:paraId="25233C33" w14:textId="77777777" w:rsidR="006F27D1" w:rsidRPr="00303DEC" w:rsidRDefault="006F27D1" w:rsidP="00CD5E09">
            <w:r w:rsidRPr="00303DEC">
              <w:t>Х</w:t>
            </w:r>
          </w:p>
        </w:tc>
        <w:tc>
          <w:tcPr>
            <w:tcW w:w="1133" w:type="dxa"/>
          </w:tcPr>
          <w:p w14:paraId="53C929B2" w14:textId="77777777" w:rsidR="006F27D1" w:rsidRPr="00303DEC" w:rsidRDefault="006F27D1" w:rsidP="00CD5E09"/>
        </w:tc>
      </w:tr>
      <w:tr w:rsidR="006F27D1" w:rsidRPr="00303DEC" w14:paraId="6FC1354B" w14:textId="77777777" w:rsidTr="00CD5E09">
        <w:trPr>
          <w:jc w:val="center"/>
        </w:trPr>
        <w:tc>
          <w:tcPr>
            <w:tcW w:w="1651" w:type="dxa"/>
          </w:tcPr>
          <w:p w14:paraId="3CFCFE5A" w14:textId="77777777" w:rsidR="006F27D1" w:rsidRPr="00303DEC" w:rsidRDefault="006F27D1" w:rsidP="00CD5E09">
            <w:r w:rsidRPr="00303DEC">
              <w:t>Плериксафор, 240 мкг/кг</w:t>
            </w:r>
          </w:p>
        </w:tc>
        <w:tc>
          <w:tcPr>
            <w:tcW w:w="1133" w:type="dxa"/>
          </w:tcPr>
          <w:p w14:paraId="50B68707" w14:textId="77777777" w:rsidR="006F27D1" w:rsidRPr="00303DEC" w:rsidRDefault="006F27D1" w:rsidP="00CD5E09"/>
        </w:tc>
        <w:tc>
          <w:tcPr>
            <w:tcW w:w="1129" w:type="dxa"/>
          </w:tcPr>
          <w:p w14:paraId="05670A90" w14:textId="77777777" w:rsidR="006F27D1" w:rsidRPr="00303DEC" w:rsidRDefault="006F27D1" w:rsidP="00CD5E09"/>
        </w:tc>
        <w:tc>
          <w:tcPr>
            <w:tcW w:w="1129" w:type="dxa"/>
          </w:tcPr>
          <w:p w14:paraId="5D0CE2D2" w14:textId="77777777" w:rsidR="006F27D1" w:rsidRPr="00303DEC" w:rsidRDefault="006F27D1" w:rsidP="00CD5E09"/>
        </w:tc>
        <w:tc>
          <w:tcPr>
            <w:tcW w:w="1132" w:type="dxa"/>
          </w:tcPr>
          <w:p w14:paraId="52666815" w14:textId="77777777" w:rsidR="006F27D1" w:rsidRPr="00303DEC" w:rsidRDefault="006F27D1" w:rsidP="00CD5E09">
            <w:r w:rsidRPr="00303DEC">
              <w:t>Х</w:t>
            </w:r>
          </w:p>
        </w:tc>
        <w:tc>
          <w:tcPr>
            <w:tcW w:w="1133" w:type="dxa"/>
          </w:tcPr>
          <w:p w14:paraId="3DB3C6A5" w14:textId="77777777" w:rsidR="006F27D1" w:rsidRPr="00303DEC" w:rsidRDefault="006F27D1" w:rsidP="00CD5E09">
            <w:r w:rsidRPr="00303DEC">
              <w:t>(Х)</w:t>
            </w:r>
          </w:p>
        </w:tc>
        <w:tc>
          <w:tcPr>
            <w:tcW w:w="1133" w:type="dxa"/>
          </w:tcPr>
          <w:p w14:paraId="34D879B0" w14:textId="77777777" w:rsidR="006F27D1" w:rsidRPr="00303DEC" w:rsidRDefault="006F27D1" w:rsidP="00CD5E09"/>
        </w:tc>
      </w:tr>
      <w:tr w:rsidR="006F27D1" w:rsidRPr="00303DEC" w14:paraId="58234058" w14:textId="77777777" w:rsidTr="00CD5E09">
        <w:trPr>
          <w:jc w:val="center"/>
        </w:trPr>
        <w:tc>
          <w:tcPr>
            <w:tcW w:w="1651" w:type="dxa"/>
          </w:tcPr>
          <w:p w14:paraId="62266EB6" w14:textId="77777777" w:rsidR="006F27D1" w:rsidRPr="00303DEC" w:rsidRDefault="006F27D1" w:rsidP="00CD5E09">
            <w:r>
              <w:t>Лейкаферез</w:t>
            </w:r>
          </w:p>
        </w:tc>
        <w:tc>
          <w:tcPr>
            <w:tcW w:w="1133" w:type="dxa"/>
          </w:tcPr>
          <w:p w14:paraId="77722EAE" w14:textId="77777777" w:rsidR="006F27D1" w:rsidRPr="00303DEC" w:rsidRDefault="006F27D1" w:rsidP="00CD5E09"/>
        </w:tc>
        <w:tc>
          <w:tcPr>
            <w:tcW w:w="1129" w:type="dxa"/>
          </w:tcPr>
          <w:p w14:paraId="7275BEFF" w14:textId="77777777" w:rsidR="006F27D1" w:rsidRPr="00303DEC" w:rsidRDefault="006F27D1" w:rsidP="00CD5E09"/>
        </w:tc>
        <w:tc>
          <w:tcPr>
            <w:tcW w:w="1129" w:type="dxa"/>
          </w:tcPr>
          <w:p w14:paraId="2A2D2B28" w14:textId="77777777" w:rsidR="006F27D1" w:rsidRPr="00303DEC" w:rsidRDefault="006F27D1" w:rsidP="00CD5E09"/>
        </w:tc>
        <w:tc>
          <w:tcPr>
            <w:tcW w:w="1132" w:type="dxa"/>
          </w:tcPr>
          <w:p w14:paraId="21DD7460" w14:textId="77777777" w:rsidR="006F27D1" w:rsidRPr="00303DEC" w:rsidRDefault="006F27D1" w:rsidP="00CD5E09"/>
        </w:tc>
        <w:tc>
          <w:tcPr>
            <w:tcW w:w="1133" w:type="dxa"/>
          </w:tcPr>
          <w:p w14:paraId="47C64E5B" w14:textId="77777777" w:rsidR="006F27D1" w:rsidRPr="00303DEC" w:rsidRDefault="006F27D1" w:rsidP="00CD5E09">
            <w:pPr>
              <w:rPr>
                <w:lang w:val="en-US"/>
              </w:rPr>
            </w:pPr>
            <w:r w:rsidRPr="00303DEC">
              <w:rPr>
                <w:lang w:val="en-US"/>
              </w:rPr>
              <w:t>V</w:t>
            </w:r>
          </w:p>
        </w:tc>
        <w:tc>
          <w:tcPr>
            <w:tcW w:w="1133" w:type="dxa"/>
          </w:tcPr>
          <w:p w14:paraId="1DB8DDD7" w14:textId="77777777" w:rsidR="006F27D1" w:rsidRPr="00303DEC" w:rsidRDefault="006F27D1" w:rsidP="00CD5E09">
            <w:pPr>
              <w:rPr>
                <w:lang w:val="en-US"/>
              </w:rPr>
            </w:pPr>
            <w:r w:rsidRPr="00303DEC">
              <w:rPr>
                <w:lang w:val="en-US"/>
              </w:rPr>
              <w:t>V</w:t>
            </w:r>
          </w:p>
        </w:tc>
      </w:tr>
    </w:tbl>
    <w:p w14:paraId="5B68557F" w14:textId="77777777" w:rsidR="006F27D1" w:rsidRDefault="006F27D1" w:rsidP="006F27D1">
      <w:pPr>
        <w:pStyle w:val="11"/>
        <w:ind w:left="840"/>
        <w:rPr>
          <w:sz w:val="24"/>
        </w:rPr>
      </w:pPr>
    </w:p>
    <w:p w14:paraId="4CA4C7B2" w14:textId="77777777" w:rsidR="006F27D1" w:rsidRPr="003E7EBA" w:rsidRDefault="006F27D1" w:rsidP="006F27D1">
      <w:pPr>
        <w:pStyle w:val="afff3"/>
        <w:ind w:left="0"/>
        <w:rPr>
          <w:szCs w:val="24"/>
          <w:u w:val="single"/>
        </w:rPr>
      </w:pPr>
      <w:r w:rsidRPr="003E7EBA">
        <w:rPr>
          <w:szCs w:val="24"/>
          <w:u w:val="single"/>
        </w:rPr>
        <w:t>Сравнительная характеристика режимов мобилизации ГСК</w:t>
      </w:r>
    </w:p>
    <w:p w14:paraId="688DDA58" w14:textId="77777777" w:rsidR="006F27D1" w:rsidRDefault="006F27D1" w:rsidP="006F27D1">
      <w:pPr>
        <w:ind w:firstLine="709"/>
        <w:rPr>
          <w:szCs w:val="24"/>
        </w:rPr>
      </w:pPr>
      <w:r w:rsidRPr="0095427D">
        <w:rPr>
          <w:szCs w:val="24"/>
        </w:rPr>
        <w:t xml:space="preserve">Проспективных рандомизированных исследований, сравнивающих методы мобилизации (только ростовой фактор или сочетание Г-КСФ с миелосупрессивной химиотерапией) на одном и том же контингенте больных не проводилось, а прямое сравнение различных исследований затруднено. В связи с этим оптимальный метод мобилизации ГСК определить невозможно. </w:t>
      </w:r>
    </w:p>
    <w:p w14:paraId="24FE4447" w14:textId="77777777" w:rsidR="006F27D1" w:rsidRDefault="006F27D1" w:rsidP="006F27D1">
      <w:pPr>
        <w:ind w:firstLine="709"/>
        <w:rPr>
          <w:szCs w:val="24"/>
        </w:rPr>
      </w:pPr>
      <w:r w:rsidRPr="0095427D">
        <w:rPr>
          <w:szCs w:val="24"/>
        </w:rPr>
        <w:t xml:space="preserve">У каждого режима мобилизации ГСК есть определенные преимущества и недостатки, поэтому существует индивидуальный подход в выборе лечебной схемы в каждой конкретной ситуации (таблица </w:t>
      </w:r>
      <w:r>
        <w:rPr>
          <w:szCs w:val="24"/>
        </w:rPr>
        <w:t>4</w:t>
      </w:r>
      <w:r w:rsidRPr="0095427D">
        <w:rPr>
          <w:szCs w:val="24"/>
        </w:rPr>
        <w:t xml:space="preserve">). Так, при использовании Г-КСФ в монорежиме уменьшаются сроки госпитализации, не наблюдаются осложнения, характерные для периода МТА, нет потребности в трансфузионной терапии. Применение этого режима является относительно безопасным у больных с диализ-зависимой почечной недостаточностью, пациентов </w:t>
      </w:r>
      <w:r>
        <w:rPr>
          <w:szCs w:val="24"/>
        </w:rPr>
        <w:t>с</w:t>
      </w:r>
      <w:r w:rsidRPr="0095427D">
        <w:rPr>
          <w:szCs w:val="24"/>
        </w:rPr>
        <w:t xml:space="preserve"> кардиальной патологией. </w:t>
      </w:r>
    </w:p>
    <w:p w14:paraId="498E1742" w14:textId="77777777" w:rsidR="006F27D1" w:rsidRPr="0095427D" w:rsidRDefault="006F27D1" w:rsidP="006F27D1">
      <w:pPr>
        <w:ind w:firstLine="709"/>
        <w:rPr>
          <w:szCs w:val="24"/>
        </w:rPr>
      </w:pPr>
      <w:r w:rsidRPr="0095427D">
        <w:rPr>
          <w:szCs w:val="24"/>
        </w:rPr>
        <w:t xml:space="preserve">Но у больных с длительным анамнезом лечения велика вероятность неудовлетворительного результата сбора ГСК. Использование режима «ХТ+ Г-КСФ» часто позволяет заготовить адекватное количество клеток, однако сопряжено с развитием инфекционных и токсических осложнений в период МТА, требует назначения массивной сопроводительной терапии, что удлиняет сроки госпитализации. </w:t>
      </w:r>
    </w:p>
    <w:p w14:paraId="6B1F130B" w14:textId="77777777" w:rsidR="006F27D1" w:rsidRDefault="006F27D1" w:rsidP="006F27D1">
      <w:pPr>
        <w:rPr>
          <w:szCs w:val="24"/>
        </w:rPr>
      </w:pPr>
    </w:p>
    <w:p w14:paraId="222A858F" w14:textId="77777777" w:rsidR="006F27D1" w:rsidRPr="003E7EBA" w:rsidRDefault="006F27D1" w:rsidP="006F27D1">
      <w:pPr>
        <w:rPr>
          <w:szCs w:val="24"/>
        </w:rPr>
      </w:pPr>
      <w:r w:rsidRPr="003E7EBA">
        <w:rPr>
          <w:szCs w:val="24"/>
        </w:rPr>
        <w:t xml:space="preserve">Таблица </w:t>
      </w:r>
      <w:r>
        <w:rPr>
          <w:szCs w:val="24"/>
        </w:rPr>
        <w:t>4</w:t>
      </w:r>
      <w:r w:rsidRPr="003E7EBA">
        <w:rPr>
          <w:szCs w:val="24"/>
        </w:rPr>
        <w:t>. Сравнительная характеристика режимов мобилизации ГСК</w:t>
      </w:r>
    </w:p>
    <w:tbl>
      <w:tblPr>
        <w:tblStyle w:val="1f"/>
        <w:tblW w:w="0" w:type="auto"/>
        <w:tblInd w:w="108" w:type="dxa"/>
        <w:tblLook w:val="04A0" w:firstRow="1" w:lastRow="0" w:firstColumn="1" w:lastColumn="0" w:noHBand="0" w:noVBand="1"/>
      </w:tblPr>
      <w:tblGrid>
        <w:gridCol w:w="1836"/>
        <w:gridCol w:w="3913"/>
        <w:gridCol w:w="3491"/>
      </w:tblGrid>
      <w:tr w:rsidR="006F27D1" w:rsidRPr="00303DEC" w14:paraId="0AF79AFA" w14:textId="77777777" w:rsidTr="00CD5E09">
        <w:trPr>
          <w:trHeight w:val="896"/>
        </w:trPr>
        <w:tc>
          <w:tcPr>
            <w:tcW w:w="1843" w:type="dxa"/>
          </w:tcPr>
          <w:p w14:paraId="54527C77" w14:textId="77777777" w:rsidR="006F27D1" w:rsidRPr="00303DEC" w:rsidRDefault="006F27D1" w:rsidP="00CD5E09">
            <w:r w:rsidRPr="00303DEC">
              <w:rPr>
                <w:b/>
                <w:bCs/>
              </w:rPr>
              <w:t>Режим мобилизации</w:t>
            </w:r>
          </w:p>
        </w:tc>
        <w:tc>
          <w:tcPr>
            <w:tcW w:w="3969" w:type="dxa"/>
          </w:tcPr>
          <w:p w14:paraId="7B7DBFF0" w14:textId="77777777" w:rsidR="006F27D1" w:rsidRPr="00303DEC" w:rsidRDefault="006F27D1" w:rsidP="00CD5E09">
            <w:pPr>
              <w:ind w:left="720"/>
              <w:contextualSpacing/>
            </w:pPr>
            <w:r w:rsidRPr="00303DEC">
              <w:rPr>
                <w:b/>
                <w:bCs/>
              </w:rPr>
              <w:t>Преимущества</w:t>
            </w:r>
          </w:p>
        </w:tc>
        <w:tc>
          <w:tcPr>
            <w:tcW w:w="3544" w:type="dxa"/>
          </w:tcPr>
          <w:p w14:paraId="22394ACF" w14:textId="77777777" w:rsidR="006F27D1" w:rsidRPr="00303DEC" w:rsidRDefault="006F27D1" w:rsidP="00CD5E09">
            <w:pPr>
              <w:ind w:left="720"/>
              <w:contextualSpacing/>
            </w:pPr>
            <w:r w:rsidRPr="00303DEC">
              <w:rPr>
                <w:b/>
                <w:bCs/>
              </w:rPr>
              <w:t>Недостатки</w:t>
            </w:r>
          </w:p>
        </w:tc>
      </w:tr>
      <w:tr w:rsidR="006F27D1" w:rsidRPr="00303DEC" w14:paraId="0A5C3ECB" w14:textId="77777777" w:rsidTr="00CD5E09">
        <w:tc>
          <w:tcPr>
            <w:tcW w:w="1843" w:type="dxa"/>
          </w:tcPr>
          <w:p w14:paraId="58013000" w14:textId="77777777" w:rsidR="006F27D1" w:rsidRPr="00303DEC" w:rsidRDefault="006F27D1" w:rsidP="00CD5E09">
            <w:pPr>
              <w:rPr>
                <w:b/>
              </w:rPr>
            </w:pPr>
            <w:r w:rsidRPr="00303DEC">
              <w:rPr>
                <w:b/>
              </w:rPr>
              <w:t>Г-КСФ в монорежиме</w:t>
            </w:r>
          </w:p>
        </w:tc>
        <w:tc>
          <w:tcPr>
            <w:tcW w:w="3969" w:type="dxa"/>
          </w:tcPr>
          <w:p w14:paraId="409B5F45" w14:textId="77777777" w:rsidR="006F27D1" w:rsidRPr="00303DEC" w:rsidRDefault="006F27D1" w:rsidP="00CD5E09">
            <w:r w:rsidRPr="00303DEC">
              <w:t>Уменьшение сроков госпитализации, четко планируемые сроки лейкаферезов, отсутствие антибиотикотерапии, заместительной трансфузионной терапии</w:t>
            </w:r>
          </w:p>
          <w:p w14:paraId="23A2A9CB" w14:textId="77777777" w:rsidR="006F27D1" w:rsidRPr="00303DEC" w:rsidRDefault="006F27D1" w:rsidP="00CD5E09"/>
        </w:tc>
        <w:tc>
          <w:tcPr>
            <w:tcW w:w="3544" w:type="dxa"/>
          </w:tcPr>
          <w:p w14:paraId="32588E6A" w14:textId="77777777" w:rsidR="006F27D1" w:rsidRPr="00303DEC" w:rsidRDefault="006F27D1" w:rsidP="00CD5E09">
            <w:r w:rsidRPr="00303DEC">
              <w:t>Неэффективна у предлеченных больных</w:t>
            </w:r>
          </w:p>
        </w:tc>
      </w:tr>
      <w:tr w:rsidR="006F27D1" w:rsidRPr="00303DEC" w14:paraId="68D0742A" w14:textId="77777777" w:rsidTr="00CD5E09">
        <w:tc>
          <w:tcPr>
            <w:tcW w:w="1843" w:type="dxa"/>
          </w:tcPr>
          <w:p w14:paraId="0FE1B3C3" w14:textId="77777777" w:rsidR="006F27D1" w:rsidRPr="00303DEC" w:rsidRDefault="006F27D1" w:rsidP="00CD5E09">
            <w:pPr>
              <w:rPr>
                <w:b/>
              </w:rPr>
            </w:pPr>
            <w:r w:rsidRPr="00303DEC">
              <w:rPr>
                <w:b/>
              </w:rPr>
              <w:t>ХТ+ Г-КСФ</w:t>
            </w:r>
          </w:p>
        </w:tc>
        <w:tc>
          <w:tcPr>
            <w:tcW w:w="3969" w:type="dxa"/>
          </w:tcPr>
          <w:p w14:paraId="60B9F44A" w14:textId="77777777" w:rsidR="006F27D1" w:rsidRPr="00303DEC" w:rsidRDefault="006F27D1" w:rsidP="00CD5E09">
            <w:r w:rsidRPr="00303DEC">
              <w:t>Высокая эффективность  мобилизации</w:t>
            </w:r>
          </w:p>
        </w:tc>
        <w:tc>
          <w:tcPr>
            <w:tcW w:w="3544" w:type="dxa"/>
          </w:tcPr>
          <w:p w14:paraId="58DD9A6A" w14:textId="77777777" w:rsidR="006F27D1" w:rsidRPr="00303DEC" w:rsidRDefault="006F27D1" w:rsidP="00CD5E09">
            <w:r w:rsidRPr="00303DEC">
              <w:t>Цитопения</w:t>
            </w:r>
          </w:p>
          <w:p w14:paraId="4879C50D" w14:textId="77777777" w:rsidR="006F27D1" w:rsidRPr="00303DEC" w:rsidRDefault="006F27D1" w:rsidP="00CD5E09">
            <w:r w:rsidRPr="00303DEC">
              <w:t xml:space="preserve">Инфекционные осложнения </w:t>
            </w:r>
          </w:p>
          <w:p w14:paraId="028956D2" w14:textId="77777777" w:rsidR="006F27D1" w:rsidRPr="00303DEC" w:rsidRDefault="006F27D1" w:rsidP="00CD5E09">
            <w:r w:rsidRPr="00303DEC">
              <w:t>Трансфузии компонентов крови</w:t>
            </w:r>
          </w:p>
          <w:p w14:paraId="69D47A9F" w14:textId="77777777" w:rsidR="006F27D1" w:rsidRPr="00303DEC" w:rsidRDefault="006F27D1" w:rsidP="00CD5E09">
            <w:r w:rsidRPr="00303DEC">
              <w:t xml:space="preserve">Нет четкого планирования </w:t>
            </w:r>
            <w:r w:rsidRPr="00303DEC">
              <w:lastRenderedPageBreak/>
              <w:t>сроков лейкаферезов</w:t>
            </w:r>
          </w:p>
          <w:p w14:paraId="177118C8" w14:textId="77777777" w:rsidR="006F27D1" w:rsidRPr="00303DEC" w:rsidRDefault="006F27D1" w:rsidP="00CD5E09">
            <w:r w:rsidRPr="00303DEC">
              <w:t>Небезопасна при коморбидности</w:t>
            </w:r>
          </w:p>
        </w:tc>
      </w:tr>
    </w:tbl>
    <w:p w14:paraId="2005625A" w14:textId="77777777" w:rsidR="006F27D1" w:rsidRPr="0095427D" w:rsidRDefault="006F27D1" w:rsidP="006F27D1">
      <w:pPr>
        <w:rPr>
          <w:i/>
          <w:szCs w:val="24"/>
        </w:rPr>
      </w:pPr>
      <w:r w:rsidRPr="0095427D">
        <w:rPr>
          <w:i/>
          <w:szCs w:val="24"/>
        </w:rPr>
        <w:lastRenderedPageBreak/>
        <w:t>ХТ – химиотерапия, ЛЛТ – локальная лучевая терапия</w:t>
      </w:r>
    </w:p>
    <w:p w14:paraId="099ACA2D" w14:textId="77777777" w:rsidR="006F27D1" w:rsidRDefault="006F27D1" w:rsidP="006F27D1">
      <w:pPr>
        <w:ind w:firstLine="709"/>
        <w:rPr>
          <w:szCs w:val="24"/>
        </w:rPr>
      </w:pPr>
      <w:r>
        <w:rPr>
          <w:szCs w:val="24"/>
        </w:rPr>
        <w:t>П</w:t>
      </w:r>
      <w:r w:rsidRPr="0095427D">
        <w:rPr>
          <w:szCs w:val="24"/>
        </w:rPr>
        <w:t xml:space="preserve">родолжаются многочисленные исследования, направленные на оптимизацию режимов мобилизации стволовых клеток, обсуждаются возможности применения новых ростовых факторов, апробируются различные дозы цитостатических препаратов. </w:t>
      </w:r>
    </w:p>
    <w:p w14:paraId="124ACBA9" w14:textId="77777777" w:rsidR="006F27D1" w:rsidRDefault="006F27D1" w:rsidP="006F27D1">
      <w:pPr>
        <w:rPr>
          <w:szCs w:val="24"/>
        </w:rPr>
      </w:pPr>
    </w:p>
    <w:p w14:paraId="5A73C56B" w14:textId="77777777" w:rsidR="006F27D1" w:rsidRPr="00B95A46" w:rsidRDefault="006F27D1" w:rsidP="006F27D1">
      <w:pPr>
        <w:rPr>
          <w:b/>
          <w:szCs w:val="24"/>
        </w:rPr>
      </w:pPr>
      <w:r w:rsidRPr="0031526F">
        <w:rPr>
          <w:b/>
          <w:szCs w:val="24"/>
        </w:rPr>
        <w:t>Особенности сопроводительной терапии при мобилизации ГСК</w:t>
      </w:r>
    </w:p>
    <w:p w14:paraId="26698E76" w14:textId="77777777" w:rsidR="006F27D1" w:rsidRPr="003E7EBA" w:rsidRDefault="006F27D1" w:rsidP="006F27D1">
      <w:pPr>
        <w:pStyle w:val="afff3"/>
        <w:ind w:left="0"/>
        <w:rPr>
          <w:szCs w:val="24"/>
          <w:u w:val="single"/>
        </w:rPr>
      </w:pPr>
      <w:r w:rsidRPr="003E7EBA">
        <w:rPr>
          <w:szCs w:val="24"/>
          <w:u w:val="single"/>
        </w:rPr>
        <w:t>Г-КСФ в монорежиме и Г-КСФ в сочетании с плериксафором</w:t>
      </w:r>
    </w:p>
    <w:p w14:paraId="3A8B109F" w14:textId="77777777" w:rsidR="006F27D1" w:rsidRPr="0095427D" w:rsidRDefault="006F27D1" w:rsidP="008C1767">
      <w:pPr>
        <w:widowControl/>
        <w:numPr>
          <w:ilvl w:val="0"/>
          <w:numId w:val="171"/>
        </w:numPr>
        <w:autoSpaceDE/>
        <w:autoSpaceDN/>
        <w:adjustRightInd/>
        <w:ind w:left="0" w:firstLine="0"/>
        <w:rPr>
          <w:szCs w:val="24"/>
        </w:rPr>
      </w:pPr>
      <w:r w:rsidRPr="0095427D">
        <w:rPr>
          <w:szCs w:val="24"/>
        </w:rPr>
        <w:t>Если есть сложности с доступом к периферическим венам, перед началом сбора ГСК устанавливается перфузионный катетер в центральную вену;</w:t>
      </w:r>
    </w:p>
    <w:p w14:paraId="04096FBE" w14:textId="77777777" w:rsidR="006F27D1" w:rsidRPr="0095427D" w:rsidRDefault="006F27D1" w:rsidP="008C1767">
      <w:pPr>
        <w:widowControl/>
        <w:numPr>
          <w:ilvl w:val="0"/>
          <w:numId w:val="171"/>
        </w:numPr>
        <w:autoSpaceDE/>
        <w:autoSpaceDN/>
        <w:adjustRightInd/>
        <w:ind w:left="0" w:firstLine="0"/>
        <w:rPr>
          <w:szCs w:val="24"/>
        </w:rPr>
      </w:pPr>
      <w:r>
        <w:rPr>
          <w:szCs w:val="24"/>
        </w:rPr>
        <w:t>С целью профилактики тромботических осложнений проводится введение низкомолекулярных гепаринов</w:t>
      </w:r>
      <w:r w:rsidRPr="0095427D">
        <w:rPr>
          <w:szCs w:val="24"/>
        </w:rPr>
        <w:t xml:space="preserve"> (эноксапарин 40 мг или эквивалент) в профилактической</w:t>
      </w:r>
      <w:r>
        <w:rPr>
          <w:szCs w:val="24"/>
        </w:rPr>
        <w:t xml:space="preserve"> дозе подкожно один раз в сутки на фоне введения Г-КСФ и </w:t>
      </w:r>
      <w:r w:rsidRPr="0095427D">
        <w:rPr>
          <w:szCs w:val="24"/>
        </w:rPr>
        <w:t xml:space="preserve">в течение 2-3 суток после </w:t>
      </w:r>
      <w:r>
        <w:rPr>
          <w:szCs w:val="24"/>
        </w:rPr>
        <w:t>его отмены</w:t>
      </w:r>
      <w:r w:rsidRPr="0095427D">
        <w:rPr>
          <w:szCs w:val="24"/>
        </w:rPr>
        <w:t>;</w:t>
      </w:r>
    </w:p>
    <w:p w14:paraId="7910868A" w14:textId="77777777" w:rsidR="006F27D1" w:rsidRPr="0095427D" w:rsidRDefault="006F27D1" w:rsidP="008C1767">
      <w:pPr>
        <w:widowControl/>
        <w:numPr>
          <w:ilvl w:val="0"/>
          <w:numId w:val="171"/>
        </w:numPr>
        <w:autoSpaceDE/>
        <w:autoSpaceDN/>
        <w:adjustRightInd/>
        <w:ind w:left="0" w:firstLine="0"/>
        <w:rPr>
          <w:szCs w:val="24"/>
        </w:rPr>
      </w:pPr>
      <w:r w:rsidRPr="0095427D">
        <w:rPr>
          <w:szCs w:val="24"/>
        </w:rPr>
        <w:t>Адекватное обезболивание при болевом синдроме в костях, вызванно</w:t>
      </w:r>
      <w:r>
        <w:rPr>
          <w:szCs w:val="24"/>
        </w:rPr>
        <w:t>м</w:t>
      </w:r>
      <w:r w:rsidRPr="0095427D">
        <w:rPr>
          <w:szCs w:val="24"/>
        </w:rPr>
        <w:t xml:space="preserve"> введением Г-КСФ. Предпочтение отдается наркотическим аналгетикам (промедол 10 мг в/в, трамадол 100 мг в/в, фентанил </w:t>
      </w:r>
      <w:r>
        <w:rPr>
          <w:szCs w:val="24"/>
        </w:rPr>
        <w:t xml:space="preserve">25 </w:t>
      </w:r>
      <w:r w:rsidRPr="0095427D">
        <w:rPr>
          <w:szCs w:val="24"/>
        </w:rPr>
        <w:t>мкг/час трансдермально)</w:t>
      </w:r>
      <w:r>
        <w:rPr>
          <w:szCs w:val="24"/>
        </w:rPr>
        <w:t xml:space="preserve">, при отсутствии миелотксического агранулоцитоза возможно использование нестероидных противовоспалительных препаратов. </w:t>
      </w:r>
    </w:p>
    <w:p w14:paraId="0A065705" w14:textId="77777777" w:rsidR="006F27D1" w:rsidRDefault="006F27D1" w:rsidP="006F27D1">
      <w:pPr>
        <w:rPr>
          <w:b/>
          <w:i/>
          <w:szCs w:val="24"/>
        </w:rPr>
      </w:pPr>
    </w:p>
    <w:p w14:paraId="30450A19" w14:textId="77777777" w:rsidR="006F27D1" w:rsidRPr="003E7EBA" w:rsidRDefault="006F27D1" w:rsidP="006F27D1">
      <w:pPr>
        <w:pStyle w:val="afff3"/>
        <w:ind w:left="0"/>
        <w:rPr>
          <w:szCs w:val="24"/>
          <w:u w:val="single"/>
        </w:rPr>
      </w:pPr>
      <w:r w:rsidRPr="003E7EBA">
        <w:rPr>
          <w:szCs w:val="24"/>
          <w:u w:val="single"/>
        </w:rPr>
        <w:t>Режим «ХТ + Г-КСФ»</w:t>
      </w:r>
    </w:p>
    <w:p w14:paraId="63A12C29" w14:textId="77777777" w:rsidR="006F27D1" w:rsidRPr="0095427D" w:rsidRDefault="006F27D1" w:rsidP="008C1767">
      <w:pPr>
        <w:widowControl/>
        <w:numPr>
          <w:ilvl w:val="0"/>
          <w:numId w:val="171"/>
        </w:numPr>
        <w:autoSpaceDE/>
        <w:autoSpaceDN/>
        <w:adjustRightInd/>
        <w:ind w:left="0" w:firstLine="0"/>
        <w:rPr>
          <w:szCs w:val="24"/>
        </w:rPr>
      </w:pPr>
      <w:r w:rsidRPr="0095427D">
        <w:rPr>
          <w:szCs w:val="24"/>
        </w:rPr>
        <w:t>Необходима установка центрального венозного катетера (ЦВК) для обеспечения сосудистого доступа. Если есть сложности с доступом к периферическим венам, перед началом сбора ГСК центральный катетер меняют на перфузионный;</w:t>
      </w:r>
    </w:p>
    <w:p w14:paraId="3927FAE2" w14:textId="77777777" w:rsidR="006F27D1" w:rsidRPr="0095427D" w:rsidRDefault="006F27D1" w:rsidP="008C1767">
      <w:pPr>
        <w:widowControl/>
        <w:numPr>
          <w:ilvl w:val="0"/>
          <w:numId w:val="171"/>
        </w:numPr>
        <w:autoSpaceDE/>
        <w:autoSpaceDN/>
        <w:adjustRightInd/>
        <w:ind w:left="0" w:firstLine="0"/>
        <w:rPr>
          <w:szCs w:val="24"/>
        </w:rPr>
      </w:pPr>
      <w:r w:rsidRPr="0095427D">
        <w:rPr>
          <w:szCs w:val="24"/>
        </w:rPr>
        <w:t>Круглосуточное введение гепарина с целью профилактики тромботических ослож</w:t>
      </w:r>
      <w:r>
        <w:rPr>
          <w:szCs w:val="24"/>
        </w:rPr>
        <w:t>нений. Начальная доза гепарина 12 000 ЕД/</w:t>
      </w:r>
      <w:r w:rsidRPr="0095427D">
        <w:rPr>
          <w:szCs w:val="24"/>
        </w:rPr>
        <w:t>сут., далее - под контролем АЧТВ (АЧТВ 1,5-2 нормы);</w:t>
      </w:r>
    </w:p>
    <w:p w14:paraId="4DD08FB6" w14:textId="77777777" w:rsidR="006F27D1" w:rsidRPr="0095427D" w:rsidRDefault="006F27D1" w:rsidP="008C1767">
      <w:pPr>
        <w:widowControl/>
        <w:numPr>
          <w:ilvl w:val="0"/>
          <w:numId w:val="171"/>
        </w:numPr>
        <w:autoSpaceDE/>
        <w:autoSpaceDN/>
        <w:adjustRightInd/>
        <w:ind w:left="0" w:firstLine="0"/>
        <w:rPr>
          <w:szCs w:val="24"/>
        </w:rPr>
      </w:pPr>
      <w:r w:rsidRPr="0095427D">
        <w:rPr>
          <w:szCs w:val="24"/>
        </w:rPr>
        <w:t>Введение химиопрепаратов сопровождается массивной гидратацией из расчета 1,5-3 л/м</w:t>
      </w:r>
      <w:r w:rsidRPr="0095427D">
        <w:rPr>
          <w:szCs w:val="24"/>
          <w:vertAlign w:val="superscript"/>
        </w:rPr>
        <w:t>2</w:t>
      </w:r>
      <w:r w:rsidRPr="0095427D">
        <w:rPr>
          <w:szCs w:val="24"/>
        </w:rPr>
        <w:t>, гипоурикемической терапией аллопуринолом 400 - 600 мг/сут. (за исключением схем, содержащих метотрексат), диуретической терапией (фуросемид 20 мг болюсно 3 р/сут)</w:t>
      </w:r>
    </w:p>
    <w:p w14:paraId="55260A43" w14:textId="77777777" w:rsidR="006F27D1" w:rsidRPr="0095427D" w:rsidRDefault="006F27D1" w:rsidP="008C1767">
      <w:pPr>
        <w:widowControl/>
        <w:numPr>
          <w:ilvl w:val="0"/>
          <w:numId w:val="171"/>
        </w:numPr>
        <w:autoSpaceDE/>
        <w:autoSpaceDN/>
        <w:adjustRightInd/>
        <w:ind w:left="0" w:firstLine="0"/>
        <w:rPr>
          <w:szCs w:val="24"/>
        </w:rPr>
      </w:pPr>
      <w:r w:rsidRPr="0095427D">
        <w:rPr>
          <w:szCs w:val="24"/>
        </w:rPr>
        <w:lastRenderedPageBreak/>
        <w:t>При наличии в схеме ХТ ифосфамида, циклофосфамида для защиты слизистой мочевого пузыря и мочевыводящих путей назначается уромитексан в дозе 2,4 г/м</w:t>
      </w:r>
      <w:r w:rsidRPr="0095427D">
        <w:rPr>
          <w:szCs w:val="24"/>
          <w:vertAlign w:val="superscript"/>
        </w:rPr>
        <w:t>2</w:t>
      </w:r>
      <w:r w:rsidRPr="0095427D">
        <w:rPr>
          <w:szCs w:val="24"/>
        </w:rPr>
        <w:t xml:space="preserve"> круглосуточно в день введения цитостатика;</w:t>
      </w:r>
    </w:p>
    <w:p w14:paraId="2F64A1AE" w14:textId="77777777" w:rsidR="006F27D1" w:rsidRPr="0095427D" w:rsidRDefault="006F27D1" w:rsidP="008C1767">
      <w:pPr>
        <w:widowControl/>
        <w:numPr>
          <w:ilvl w:val="0"/>
          <w:numId w:val="171"/>
        </w:numPr>
        <w:autoSpaceDE/>
        <w:autoSpaceDN/>
        <w:adjustRightInd/>
        <w:ind w:left="0" w:firstLine="0"/>
        <w:rPr>
          <w:szCs w:val="24"/>
        </w:rPr>
      </w:pPr>
      <w:r w:rsidRPr="0095427D">
        <w:rPr>
          <w:szCs w:val="24"/>
        </w:rPr>
        <w:t>При наличии в схеме ХТ метотрексата через 12 ч. после окончания его введения назначается лейковорин в дозе 25 мг внутрь и внутривенно 6 раз в сутки 4 дня или до достижения концентрации метотрексата в крови менее 0,1 мкмоль/л.</w:t>
      </w:r>
    </w:p>
    <w:p w14:paraId="429B54EC" w14:textId="77777777" w:rsidR="006F27D1" w:rsidRPr="0095427D" w:rsidRDefault="006F27D1" w:rsidP="008C1767">
      <w:pPr>
        <w:widowControl/>
        <w:numPr>
          <w:ilvl w:val="0"/>
          <w:numId w:val="171"/>
        </w:numPr>
        <w:autoSpaceDE/>
        <w:autoSpaceDN/>
        <w:adjustRightInd/>
        <w:ind w:left="0" w:firstLine="0"/>
        <w:rPr>
          <w:szCs w:val="24"/>
        </w:rPr>
      </w:pPr>
      <w:r w:rsidRPr="0095427D">
        <w:rPr>
          <w:szCs w:val="24"/>
        </w:rPr>
        <w:t xml:space="preserve">Противосудорожная профилактика, если применяется </w:t>
      </w:r>
      <w:r w:rsidRPr="007878D5">
        <w:rPr>
          <w:szCs w:val="24"/>
        </w:rPr>
        <w:t>бусульфан,</w:t>
      </w:r>
      <w:r w:rsidRPr="0095427D">
        <w:rPr>
          <w:szCs w:val="24"/>
        </w:rPr>
        <w:t xml:space="preserve"> циклофосфан (карбамазепин 200 мг+ диазепам 10 мг);</w:t>
      </w:r>
    </w:p>
    <w:p w14:paraId="5C15AADD" w14:textId="77777777" w:rsidR="006F27D1" w:rsidRPr="0095427D" w:rsidRDefault="006F27D1" w:rsidP="008C1767">
      <w:pPr>
        <w:widowControl/>
        <w:numPr>
          <w:ilvl w:val="0"/>
          <w:numId w:val="171"/>
        </w:numPr>
        <w:autoSpaceDE/>
        <w:autoSpaceDN/>
        <w:adjustRightInd/>
        <w:ind w:left="0" w:firstLine="0"/>
        <w:rPr>
          <w:szCs w:val="24"/>
        </w:rPr>
      </w:pPr>
      <w:r w:rsidRPr="0095427D">
        <w:rPr>
          <w:szCs w:val="24"/>
        </w:rPr>
        <w:t>Противорвотна</w:t>
      </w:r>
      <w:r>
        <w:rPr>
          <w:szCs w:val="24"/>
        </w:rPr>
        <w:t xml:space="preserve">я терапия </w:t>
      </w:r>
      <w:r w:rsidRPr="0095427D">
        <w:rPr>
          <w:szCs w:val="24"/>
        </w:rPr>
        <w:t>по стандартным схемам (ондансетрон 8 мг, метоклопрамид 10 мг</w:t>
      </w:r>
      <w:r>
        <w:rPr>
          <w:szCs w:val="24"/>
        </w:rPr>
        <w:t xml:space="preserve"> и тд.</w:t>
      </w:r>
      <w:r w:rsidRPr="0095427D">
        <w:rPr>
          <w:szCs w:val="24"/>
        </w:rPr>
        <w:t>);</w:t>
      </w:r>
    </w:p>
    <w:p w14:paraId="4648C4EA" w14:textId="77777777" w:rsidR="006F27D1" w:rsidRPr="0095427D" w:rsidRDefault="006F27D1" w:rsidP="008C1767">
      <w:pPr>
        <w:widowControl/>
        <w:numPr>
          <w:ilvl w:val="0"/>
          <w:numId w:val="171"/>
        </w:numPr>
        <w:autoSpaceDE/>
        <w:autoSpaceDN/>
        <w:adjustRightInd/>
        <w:ind w:left="0" w:firstLine="0"/>
        <w:rPr>
          <w:szCs w:val="24"/>
        </w:rPr>
      </w:pPr>
      <w:r w:rsidRPr="0095427D">
        <w:rPr>
          <w:szCs w:val="24"/>
        </w:rPr>
        <w:t>Противоязвенная терапия по стандартным схемам (омепразо</w:t>
      </w:r>
      <w:r>
        <w:rPr>
          <w:szCs w:val="24"/>
        </w:rPr>
        <w:t xml:space="preserve">л 20 мг или ранитидин 150 мг) </w:t>
      </w:r>
    </w:p>
    <w:p w14:paraId="70B71CAC" w14:textId="77777777" w:rsidR="006F27D1" w:rsidRDefault="006F27D1" w:rsidP="008C1767">
      <w:pPr>
        <w:widowControl/>
        <w:numPr>
          <w:ilvl w:val="0"/>
          <w:numId w:val="171"/>
        </w:numPr>
        <w:autoSpaceDE/>
        <w:autoSpaceDN/>
        <w:adjustRightInd/>
        <w:ind w:left="0" w:firstLine="0"/>
        <w:rPr>
          <w:szCs w:val="24"/>
        </w:rPr>
      </w:pPr>
      <w:r w:rsidRPr="0095427D">
        <w:rPr>
          <w:szCs w:val="24"/>
        </w:rPr>
        <w:t>Овариопротекция проводится женщинам фертильного возраста по показаниям</w:t>
      </w:r>
    </w:p>
    <w:p w14:paraId="3BD3E041" w14:textId="77777777" w:rsidR="006F27D1" w:rsidRDefault="006F27D1" w:rsidP="006F27D1">
      <w:pPr>
        <w:rPr>
          <w:b/>
          <w:szCs w:val="24"/>
        </w:rPr>
      </w:pPr>
    </w:p>
    <w:p w14:paraId="4A4EFB80" w14:textId="77777777" w:rsidR="006F27D1" w:rsidRPr="00B95A46" w:rsidRDefault="006F27D1" w:rsidP="006F27D1">
      <w:pPr>
        <w:rPr>
          <w:b/>
          <w:szCs w:val="24"/>
        </w:rPr>
      </w:pPr>
      <w:r w:rsidRPr="0031526F">
        <w:rPr>
          <w:b/>
          <w:szCs w:val="24"/>
        </w:rPr>
        <w:t>Лейкаферез и криоконсервирование</w:t>
      </w:r>
    </w:p>
    <w:p w14:paraId="531327D4" w14:textId="77777777" w:rsidR="006F27D1" w:rsidRPr="003E7EBA" w:rsidRDefault="006F27D1" w:rsidP="006F27D1">
      <w:pPr>
        <w:pStyle w:val="afff3"/>
        <w:ind w:left="0"/>
        <w:rPr>
          <w:szCs w:val="24"/>
          <w:u w:val="single"/>
        </w:rPr>
      </w:pPr>
      <w:r w:rsidRPr="003E7EBA">
        <w:rPr>
          <w:szCs w:val="24"/>
          <w:u w:val="single"/>
        </w:rPr>
        <w:t>Лейкоцитаферез</w:t>
      </w:r>
    </w:p>
    <w:p w14:paraId="20EBD10D" w14:textId="754F3680" w:rsidR="006F27D1" w:rsidRPr="0095427D" w:rsidRDefault="006F27D1" w:rsidP="006F27D1">
      <w:pPr>
        <w:ind w:firstLine="709"/>
        <w:rPr>
          <w:szCs w:val="24"/>
        </w:rPr>
      </w:pPr>
      <w:r>
        <w:rPr>
          <w:szCs w:val="24"/>
        </w:rPr>
        <w:t xml:space="preserve">Лейкаферез </w:t>
      </w:r>
      <w:r w:rsidRPr="0095427D">
        <w:rPr>
          <w:szCs w:val="24"/>
        </w:rPr>
        <w:t xml:space="preserve">– полуселективный метод экстракорпоральной гемокоррекции, основанный на разделении плазмы и клеток крови под воздействием центробежной силы и выделении из крови фракции лейкоцитов </w:t>
      </w:r>
      <w:r w:rsidRPr="0095427D">
        <w:rPr>
          <w:szCs w:val="24"/>
        </w:rPr>
        <w:fldChar w:fldCharType="begin" w:fldLock="1"/>
      </w:r>
      <w:r w:rsidR="00A67ED2">
        <w:rPr>
          <w:szCs w:val="24"/>
        </w:rPr>
        <w:instrText>ADDIN CSL_CITATION {"citationItems":[{"id":"ITEM-1","itemData":{"author":[{"dropping-particle":"","family":"Афанасьева О.И., Воинов В.А.","given":"Гольдфарб Ю.С.","non-dropping-particle":"","parse-names":false,"suffix":""}],"id":"ITEM-1","issued":{"date-parts":[["2016"]]},"page":"7-15","publisher-place":"СПб","title":"Экстракорпоральная гемокоррекция: терминология, языковые соответствия","type":"paper-conference"},"uris":["http://www.mendeley.com/documents/?uuid=dd794081-f883-4721-812b-15ca1118ea10","http://www.mendeley.com/documents/?uuid=e6fbe91e-84b6-4e21-8e03-046ee3f21147","http://www.mendeley.com/documents/?uuid=97018312-9d9b-48d4-8675-1e409d0ed713","http://www.mendeley.com/documents/?uuid=282ee115-b097-474e-a9bb-520be3f26e12","http://www.mendeley.com/documents/?uuid=27217d21-2275-40b2-ad81-407c9211ec51","http://www.mendeley.com/documents/?uuid=caa1a6ba-88e1-4c61-a222-974128ef3624","http://www.mendeley.com/documents/?uuid=3b79c5e9-e873-4ee1-a644-2cc9d177aaa6"]}],"mendeley":{"formattedCitation":"[155]","plainTextFormattedCitation":"[155]","previouslyFormattedCitation":"[128]"},"properties":{"noteIndex":0},"schema":"https://github.com/citation-style-language/schema/raw/master/csl-citation.json"}</w:instrText>
      </w:r>
      <w:r w:rsidRPr="0095427D">
        <w:rPr>
          <w:szCs w:val="24"/>
        </w:rPr>
        <w:fldChar w:fldCharType="separate"/>
      </w:r>
      <w:r w:rsidR="00A67ED2" w:rsidRPr="00A67ED2">
        <w:rPr>
          <w:noProof/>
          <w:szCs w:val="24"/>
        </w:rPr>
        <w:t>[155]</w:t>
      </w:r>
      <w:r w:rsidRPr="0095427D">
        <w:rPr>
          <w:szCs w:val="24"/>
        </w:rPr>
        <w:fldChar w:fldCharType="end"/>
      </w:r>
      <w:r w:rsidRPr="0095427D">
        <w:rPr>
          <w:szCs w:val="24"/>
        </w:rPr>
        <w:t xml:space="preserve">. </w:t>
      </w:r>
    </w:p>
    <w:p w14:paraId="11BF9BD1" w14:textId="63CF984E" w:rsidR="006F27D1" w:rsidRPr="0095427D" w:rsidRDefault="006F27D1" w:rsidP="006F27D1">
      <w:pPr>
        <w:ind w:firstLine="709"/>
        <w:rPr>
          <w:szCs w:val="24"/>
        </w:rPr>
      </w:pPr>
      <w:r w:rsidRPr="0095427D">
        <w:rPr>
          <w:szCs w:val="24"/>
        </w:rPr>
        <w:t>Как уже упоминалось выше, основным критерием, позволяющим прогнозировать успешный сбор ГСК, является содержание СD34+ клеток в периферической крови в день проведения предполагаемого первого лейкафереза. Если сбор ГСК начат рано, потребуются большее количество процедур, что приводит к увеличению финансовых и трудозатрат. Кроме того, увеличение числа лейкаферезов приводит к возрастанию общего объема заготовленного продукта. Соответственно, применяется большее количество криопротектора (диметилсульфоксида – ДМСО), который при дальнейшем внутривенном введении во время ауто-</w:t>
      </w:r>
      <w:r>
        <w:rPr>
          <w:szCs w:val="24"/>
        </w:rPr>
        <w:t>ТГСК</w:t>
      </w:r>
      <w:r w:rsidRPr="0095427D">
        <w:rPr>
          <w:szCs w:val="24"/>
        </w:rPr>
        <w:t xml:space="preserve"> может вызывать побочные явления </w:t>
      </w:r>
      <w:r w:rsidRPr="0095427D">
        <w:rPr>
          <w:szCs w:val="24"/>
        </w:rPr>
        <w:fldChar w:fldCharType="begin" w:fldLock="1"/>
      </w:r>
      <w:r w:rsidR="00A67ED2">
        <w:rPr>
          <w:szCs w:val="24"/>
        </w:rPr>
        <w:instrText>ADDIN CSL_CITATION {"citationItems":[{"id":"ITEM-1","itemData":{"DOI":"10.1016/j.tmrv.2018.05.005","ISSN":"15329496","abstract":"Adverse events (AEs) associated with blood transfusions, including component-specific red cell, platelet, and plasma products, have been extensively surveyed. In contrast, surveillance of AEs associated with hematopoietic stem cell (HSC) products in HSC transplantation (HSCT) has been less rigorous, even though HSC products include a diversity of immature and mature hematopoietic cells, substantial plasma, and dimethyl sulfoxide (DMSO) in the case of cryopreserved HSC products. HSC infusion-related AEs have been attributed to DMSO toxicity, but AEs associated with the infusion of noncryopreserved HSC products are not uncommon. To quantify the frequencies, types, and risk factors of HSC infusion-related AEs, we implemented national surveillance for AEs observed within 24 hours after infusion. Herein we report on 1125 HSCTs, including 570 peripheral blood stem cell transplantations (PBSCTs) (290 autologous [auto-] and 280 allogeneic [allo-]), 332 allo-bone marrow transplantations (allo-BMTs) and 223 allo-cord blood transplantations (allo-CBTs). Unexpectedly, incidences of grade ≥ 2 AEs were most frequent in allo-BMTs (37.7%) with no DMSO in any product compared with auto-/allo-PBSCTs (20.9%, P &lt;.001) and allo-CBTs (19.3%, P &lt;.001) typically cryopreserved with DMSO. Hypertension was most often noted in BMTs, whereas nausea/vomiting, fever, and allergic reactions were most frequent in allo-PBSCTs. In a multivariate analysis, a history of transfusion reactions was a risk factor for overall AEs in all HSCTs (odds ratio [OR] = 1.459, P =.045). For grade ≥ 2 AEs in allo-HSCTs, a history of transfusion reactions (OR = 1.551, P =.044) for overall AEs, and high infusion volume (OR = 7.544, P =.005) and allo-PBSCTs (versus BMTs, OR = 9.948, P =.002) for allergic reactions were identified as risk factors. These findings suggest that some factors unrelated to DMSO, such as allo-antigens, contribute to HSC infusion-related AEs. As severe AEs, a total of 117 grade ≥ 3 AEs were reported in 1125 HSCTs, including life-threatening complications in 3 (0.3%) HSCTs: 1 allo-CBT (anaphylaxis) and 2 allo-PBSCTs (hypoxia, kidney injury) with cryopreserved product. Our data show that HSC infusion risks vary by product, can be severe, and should be monitored with the same rigor as modern transfusion hemovigilance programs.","author":[{"dropping-particle":"","family":"Ikeda","given":"Kazuhiko","non-dropping-particle":"","parse-names":false,"suffix":""},{"dropping-particle":"","family":"Ohto","given":"Hitoshi","non-dropping-particle":"","parse-names":false,"suffix":""},{"dropping-particle":"","family":"Okuyama","given":"Yoshiki","non-dropping-particle":"","parse-names":false,"suffix":""},{"dropping-particle":"","family":"Yamada-Fujiwara","given":"Minami","non-dropping-particle":"","parse-names":false,"suffix":""},{"dropping-particle":"","family":"Kanamori","given":"Heiwa","non-dropping-particle":"","parse-names":false,"suffix":""},{"dropping-particle":"","family":"Fujiwara","given":"Shin ichiro","non-dropping-particle":"","parse-names":false,"suffix":""},{"dropping-particle":"","family":"Muroi","given":"Kazuo","non-dropping-particle":"","parse-names":false,"suffix":""},{"dropping-particle":"","family":"Mori","given":"Takehiko","non-dropping-particle":"","parse-names":false,"suffix":""},{"dropping-particle":"","family":"Kasama","given":"Kinuyo","non-dropping-particle":"","parse-names":false,"suffix":""},{"dropping-particle":"","family":"Iseki","given":"Tohru","non-dropping-particle":"","parse-names":false,"suffix":""},{"dropping-particle":"","family":"Nagamura-Inoue","given":"Tokiko","non-dropping-particle":"","parse-names":false,"suffix":""},{"dropping-particle":"","family":"Fujii","given":"Nobuharu","non-dropping-particle":"","parse-names":false,"suffix":""},{"dropping-particle":"","family":"Ashida","given":"Takashi","non-dropping-particle":"","parse-names":false,"suffix":""},{"dropping-particle":"","family":"Kameda","given":"Kazuaki","non-dropping-particle":"","parse-names":false,"suffix":""},{"dropping-particle":"","family":"Kanda","given":"Junya","non-dropping-particle":"","parse-names":false,"suffix":""},{"dropping-particle":"","family":"Hirose","given":"Asao","non-dropping-particle":"","parse-names":false,"suffix":""},{"dropping-particle":"","family":"Takahashi","given":"Tsutomu","non-dropping-particle":"","parse-names":false,"suffix":""},{"dropping-particle":"","family":"Nagai","given":"Kazuhiro","non-dropping-particle":"","parse-names":false,"suffix":""},{"dropping-particle":"","family":"Minakawa","given":"Keiji","non-dropping-particle":"","parse-names":false,"suffix":""},{"dropping-particle":"","family":"Tanosaki","given":"Ryuji","non-dropping-particle":"","parse-names":false,"suffix":""}],"container-title":"Transfusion Medicine Reviews","id":"ITEM-1","issue":"3","issued":{"date-parts":[["2018","7"]]},"page":"186-194","publisher":"W.B. Saunders","title":"Adverse Events Associated With Infusion of Hematopoietic Stem Cell Products: A Prospective and Multicenter Surveillance Study","type":"article","volume":"32"},"uris":["http://www.mendeley.com/documents/?uuid=2e13cd0a-f7bd-3f0b-9f56-84feb90b58e3","http://www.mendeley.com/documents/?uuid=a903b5b4-4cb1-456e-bc41-559a068a0277","http://www.mendeley.com/documents/?uuid=201cecad-134f-4334-bb07-0660edb2e18c","http://www.mendeley.com/documents/?uuid=cc644c52-3cf9-41a4-b48f-f140f5d4382f","http://www.mendeley.com/documents/?uuid=f5fc6f3f-947c-4a93-beef-6bc30e68b9fb","http://www.mendeley.com/documents/?uuid=6bcbd89e-0776-47b7-ab98-6c90c4abb14e","http://www.mendeley.com/documents/?uuid=bfeee95e-b93a-4f49-832f-3b7dd952e5b5"]}],"mendeley":{"formattedCitation":"[156]","plainTextFormattedCitation":"[156]","previouslyFormattedCitation":"[129]"},"properties":{"noteIndex":0},"schema":"https://github.com/citation-style-language/schema/raw/master/csl-citation.json"}</w:instrText>
      </w:r>
      <w:r w:rsidRPr="0095427D">
        <w:rPr>
          <w:szCs w:val="24"/>
        </w:rPr>
        <w:fldChar w:fldCharType="separate"/>
      </w:r>
      <w:r w:rsidR="00A67ED2" w:rsidRPr="00A67ED2">
        <w:rPr>
          <w:noProof/>
          <w:szCs w:val="24"/>
        </w:rPr>
        <w:t>[156]</w:t>
      </w:r>
      <w:r w:rsidRPr="0095427D">
        <w:rPr>
          <w:szCs w:val="24"/>
        </w:rPr>
        <w:fldChar w:fldCharType="end"/>
      </w:r>
      <w:r>
        <w:rPr>
          <w:szCs w:val="24"/>
        </w:rPr>
        <w:t>.</w:t>
      </w:r>
    </w:p>
    <w:p w14:paraId="7EC96E53" w14:textId="77777777" w:rsidR="006F27D1" w:rsidRPr="0095427D" w:rsidRDefault="006F27D1" w:rsidP="006F27D1">
      <w:pPr>
        <w:ind w:firstLine="709"/>
        <w:rPr>
          <w:szCs w:val="24"/>
        </w:rPr>
      </w:pPr>
      <w:r w:rsidRPr="0095427D">
        <w:rPr>
          <w:szCs w:val="24"/>
        </w:rPr>
        <w:t>Оценивая число клеток-предшественников, следует уделить особое внимание методу количественного определения. Результаты проточного цитометрического анализа числа CD34+клеток различаются в зависимости от конкретной методологии, и следует с осторожностью относиться к рекомендациям по их числу, основанным на исследованиях, проведенных в других лабораториях.</w:t>
      </w:r>
    </w:p>
    <w:p w14:paraId="109A5859" w14:textId="77777777" w:rsidR="006F27D1" w:rsidRPr="0095427D" w:rsidRDefault="006F27D1" w:rsidP="006F27D1">
      <w:pPr>
        <w:ind w:firstLine="709"/>
        <w:rPr>
          <w:szCs w:val="24"/>
        </w:rPr>
      </w:pPr>
      <w:r w:rsidRPr="0095427D">
        <w:rPr>
          <w:szCs w:val="24"/>
        </w:rPr>
        <w:t xml:space="preserve">В день первого предполагаемого сбора выполняется общий анализ крови и подсчет </w:t>
      </w:r>
      <w:r w:rsidRPr="0095427D">
        <w:rPr>
          <w:szCs w:val="24"/>
          <w:lang w:val="en-US"/>
        </w:rPr>
        <w:t>CD</w:t>
      </w:r>
      <w:r w:rsidRPr="0095427D">
        <w:rPr>
          <w:szCs w:val="24"/>
        </w:rPr>
        <w:t xml:space="preserve">34+ в крови методом проточной цитометрии. </w:t>
      </w:r>
    </w:p>
    <w:p w14:paraId="0C3BFAEB" w14:textId="77777777" w:rsidR="006F27D1" w:rsidRPr="0095427D" w:rsidRDefault="006F27D1" w:rsidP="006F27D1">
      <w:pPr>
        <w:ind w:firstLine="709"/>
        <w:rPr>
          <w:szCs w:val="24"/>
        </w:rPr>
      </w:pPr>
      <w:r w:rsidRPr="0095427D">
        <w:rPr>
          <w:szCs w:val="24"/>
        </w:rPr>
        <w:t xml:space="preserve">Подсчет абсолютного количества </w:t>
      </w:r>
      <w:r w:rsidRPr="0095427D">
        <w:rPr>
          <w:szCs w:val="24"/>
          <w:lang w:val="en-US"/>
        </w:rPr>
        <w:t>CD</w:t>
      </w:r>
      <w:r w:rsidRPr="0095427D">
        <w:rPr>
          <w:szCs w:val="24"/>
        </w:rPr>
        <w:t xml:space="preserve">34+ ГСК в крови проводится по формуле: </w:t>
      </w:r>
    </w:p>
    <w:p w14:paraId="7415BFC4" w14:textId="77777777" w:rsidR="006F27D1" w:rsidRPr="0095427D" w:rsidRDefault="006F27D1" w:rsidP="006F27D1">
      <w:pPr>
        <w:ind w:firstLine="709"/>
        <w:jc w:val="center"/>
        <w:rPr>
          <w:i/>
          <w:szCs w:val="24"/>
        </w:rPr>
      </w:pPr>
      <w:r w:rsidRPr="0095427D">
        <w:rPr>
          <w:i/>
          <w:szCs w:val="24"/>
        </w:rPr>
        <w:lastRenderedPageBreak/>
        <w:t xml:space="preserve">Абсолютное содержание </w:t>
      </w:r>
      <w:r w:rsidRPr="0095427D">
        <w:rPr>
          <w:i/>
          <w:szCs w:val="24"/>
          <w:lang w:val="en-US"/>
        </w:rPr>
        <w:t>CD</w:t>
      </w:r>
      <w:r w:rsidRPr="0095427D">
        <w:rPr>
          <w:i/>
          <w:szCs w:val="24"/>
        </w:rPr>
        <w:t>34+ клеток в крови (клеток/мкл) =</w:t>
      </w:r>
    </w:p>
    <w:p w14:paraId="016ABD77" w14:textId="77777777" w:rsidR="006F27D1" w:rsidRPr="0095427D" w:rsidRDefault="006F27D1" w:rsidP="006F27D1">
      <w:pPr>
        <w:ind w:firstLine="709"/>
        <w:jc w:val="center"/>
        <w:rPr>
          <w:i/>
          <w:szCs w:val="24"/>
        </w:rPr>
      </w:pPr>
      <w:r w:rsidRPr="0095427D">
        <w:rPr>
          <w:i/>
          <w:szCs w:val="24"/>
        </w:rPr>
        <w:t xml:space="preserve">доля </w:t>
      </w:r>
      <w:r w:rsidRPr="0095427D">
        <w:rPr>
          <w:i/>
          <w:szCs w:val="24"/>
          <w:lang w:val="en-US"/>
        </w:rPr>
        <w:t>CD</w:t>
      </w:r>
      <w:r w:rsidRPr="0095427D">
        <w:rPr>
          <w:i/>
          <w:szCs w:val="24"/>
        </w:rPr>
        <w:t>34+ клеток (%) × количество лейкоцитов (10</w:t>
      </w:r>
      <w:r w:rsidRPr="0095427D">
        <w:rPr>
          <w:i/>
          <w:szCs w:val="24"/>
          <w:vertAlign w:val="superscript"/>
        </w:rPr>
        <w:t>9</w:t>
      </w:r>
      <w:r w:rsidRPr="0095427D">
        <w:rPr>
          <w:i/>
          <w:szCs w:val="24"/>
        </w:rPr>
        <w:t>/л) × 10</w:t>
      </w:r>
    </w:p>
    <w:p w14:paraId="76F32A0F" w14:textId="77777777" w:rsidR="006F27D1" w:rsidRPr="0095427D" w:rsidRDefault="006F27D1" w:rsidP="006F27D1">
      <w:pPr>
        <w:ind w:firstLine="709"/>
        <w:rPr>
          <w:szCs w:val="24"/>
        </w:rPr>
      </w:pPr>
      <w:r w:rsidRPr="0095427D">
        <w:rPr>
          <w:szCs w:val="24"/>
        </w:rPr>
        <w:t xml:space="preserve">При содержании </w:t>
      </w:r>
      <w:r w:rsidRPr="0095427D">
        <w:rPr>
          <w:szCs w:val="24"/>
          <w:lang w:val="en-US"/>
        </w:rPr>
        <w:t>CD</w:t>
      </w:r>
      <w:r w:rsidRPr="0095427D">
        <w:rPr>
          <w:szCs w:val="24"/>
        </w:rPr>
        <w:t>34+ клеток в периферической крови более 10</w:t>
      </w:r>
      <w:r>
        <w:rPr>
          <w:szCs w:val="24"/>
        </w:rPr>
        <w:t>-20</w:t>
      </w:r>
      <w:r w:rsidRPr="0095427D">
        <w:rPr>
          <w:szCs w:val="24"/>
        </w:rPr>
        <w:t xml:space="preserve"> в 1 мкл. можно начинать первый лейкаферез.</w:t>
      </w:r>
    </w:p>
    <w:p w14:paraId="69A18B9E" w14:textId="77777777" w:rsidR="006F27D1" w:rsidRPr="0095427D" w:rsidRDefault="006F27D1" w:rsidP="006F27D1">
      <w:pPr>
        <w:ind w:firstLine="709"/>
        <w:rPr>
          <w:szCs w:val="24"/>
        </w:rPr>
      </w:pPr>
      <w:r w:rsidRPr="0095427D">
        <w:rPr>
          <w:szCs w:val="24"/>
        </w:rPr>
        <w:t xml:space="preserve">Если абсолютное количество </w:t>
      </w:r>
      <w:r w:rsidRPr="0095427D">
        <w:rPr>
          <w:szCs w:val="24"/>
          <w:lang w:val="en-US"/>
        </w:rPr>
        <w:t>CD</w:t>
      </w:r>
      <w:r w:rsidRPr="0095427D">
        <w:rPr>
          <w:szCs w:val="24"/>
        </w:rPr>
        <w:t xml:space="preserve">34+ клеток в крови более 20 в 1 мкл., высока вероятность заготовки трансплантата </w:t>
      </w:r>
      <w:r>
        <w:rPr>
          <w:szCs w:val="24"/>
        </w:rPr>
        <w:t>за 1-2 процедуры лейкафкереза.</w:t>
      </w:r>
    </w:p>
    <w:p w14:paraId="75760FAD" w14:textId="77777777" w:rsidR="006F27D1" w:rsidRPr="0095427D" w:rsidRDefault="006F27D1" w:rsidP="006F27D1">
      <w:pPr>
        <w:ind w:firstLine="709"/>
        <w:rPr>
          <w:szCs w:val="24"/>
        </w:rPr>
      </w:pPr>
      <w:r w:rsidRPr="0095427D">
        <w:rPr>
          <w:szCs w:val="24"/>
        </w:rPr>
        <w:t xml:space="preserve">При обнаружении </w:t>
      </w:r>
      <w:r w:rsidRPr="0095427D">
        <w:rPr>
          <w:szCs w:val="24"/>
          <w:lang w:val="en-US"/>
        </w:rPr>
        <w:t>CD</w:t>
      </w:r>
      <w:r w:rsidRPr="0095427D">
        <w:rPr>
          <w:szCs w:val="24"/>
        </w:rPr>
        <w:t>34+ клеток в крови в количе</w:t>
      </w:r>
      <w:r w:rsidRPr="0095427D">
        <w:rPr>
          <w:szCs w:val="24"/>
          <w:lang w:val="en-US"/>
        </w:rPr>
        <w:t>c</w:t>
      </w:r>
      <w:r w:rsidRPr="0095427D">
        <w:rPr>
          <w:szCs w:val="24"/>
        </w:rPr>
        <w:t xml:space="preserve">тве 10-20 в 1 мкл. обычно необходимо 2-4 процедуры лейкафереза. </w:t>
      </w:r>
    </w:p>
    <w:p w14:paraId="4D445389" w14:textId="77777777" w:rsidR="006F27D1" w:rsidRPr="0095427D" w:rsidRDefault="006F27D1" w:rsidP="006F27D1">
      <w:pPr>
        <w:ind w:firstLine="709"/>
        <w:rPr>
          <w:szCs w:val="24"/>
        </w:rPr>
      </w:pPr>
      <w:r w:rsidRPr="0095427D">
        <w:rPr>
          <w:szCs w:val="24"/>
        </w:rPr>
        <w:t xml:space="preserve">Если содержание </w:t>
      </w:r>
      <w:r w:rsidRPr="0095427D">
        <w:rPr>
          <w:szCs w:val="24"/>
          <w:lang w:val="en-US"/>
        </w:rPr>
        <w:t>CD</w:t>
      </w:r>
      <w:r w:rsidRPr="0095427D">
        <w:rPr>
          <w:szCs w:val="24"/>
        </w:rPr>
        <w:t>34+ клеток менее 10 в 1 мкл., желательно воздержаться от сбора клеток в этот день и повторить анализ на следующий день.</w:t>
      </w:r>
    </w:p>
    <w:p w14:paraId="514599FE" w14:textId="77777777" w:rsidR="006F27D1" w:rsidRPr="0095427D" w:rsidRDefault="006F27D1" w:rsidP="006F27D1">
      <w:pPr>
        <w:ind w:firstLine="709"/>
        <w:rPr>
          <w:szCs w:val="24"/>
        </w:rPr>
      </w:pPr>
      <w:r w:rsidRPr="0095427D">
        <w:rPr>
          <w:szCs w:val="24"/>
        </w:rPr>
        <w:t xml:space="preserve">При содержании </w:t>
      </w:r>
      <w:r w:rsidRPr="0095427D">
        <w:rPr>
          <w:szCs w:val="24"/>
          <w:lang w:val="en-US"/>
        </w:rPr>
        <w:t>CD</w:t>
      </w:r>
      <w:r w:rsidRPr="0095427D">
        <w:rPr>
          <w:szCs w:val="24"/>
        </w:rPr>
        <w:t>34+ клеток менее 5 в 1 мкл. необходимо обсудить вопрос об отказе от продолжения мобилизации или же возможности применения плериксафора.</w:t>
      </w:r>
    </w:p>
    <w:p w14:paraId="76317C56" w14:textId="77777777" w:rsidR="006F27D1" w:rsidRPr="0095427D" w:rsidRDefault="006F27D1" w:rsidP="006F27D1">
      <w:pPr>
        <w:ind w:firstLine="709"/>
        <w:rPr>
          <w:szCs w:val="24"/>
        </w:rPr>
      </w:pPr>
      <w:r w:rsidRPr="0095427D">
        <w:rPr>
          <w:szCs w:val="24"/>
        </w:rPr>
        <w:t>Процедура лейкафереза может осуществлятъся как в автоматическом, так и в полуавтоматическом режиме. При количестве лейкоцитов более 20 ×10</w:t>
      </w:r>
      <w:r w:rsidRPr="0095427D">
        <w:rPr>
          <w:szCs w:val="24"/>
          <w:vertAlign w:val="superscript"/>
        </w:rPr>
        <w:t>9</w:t>
      </w:r>
      <w:r w:rsidRPr="0095427D">
        <w:rPr>
          <w:szCs w:val="24"/>
        </w:rPr>
        <w:t xml:space="preserve">/л предпочтителен полуавтоматический режим для возможности ручной регулировки границы раздела сред. </w:t>
      </w:r>
    </w:p>
    <w:p w14:paraId="637BF1FD" w14:textId="77777777" w:rsidR="006F27D1" w:rsidRDefault="006F27D1" w:rsidP="006F27D1">
      <w:pPr>
        <w:ind w:firstLine="709"/>
        <w:rPr>
          <w:szCs w:val="24"/>
        </w:rPr>
      </w:pPr>
      <w:r w:rsidRPr="0095427D">
        <w:rPr>
          <w:szCs w:val="24"/>
        </w:rPr>
        <w:t>Абсолютными противопоказаниями для проведения процедуры лейкафереза являются тяжелые соматические заболевания в стадии декомпенсац</w:t>
      </w:r>
      <w:r>
        <w:rPr>
          <w:szCs w:val="24"/>
        </w:rPr>
        <w:t>ии, угрожающие жизни состояния.</w:t>
      </w:r>
    </w:p>
    <w:p w14:paraId="24FF75C4" w14:textId="77777777" w:rsidR="006F27D1" w:rsidRPr="0095427D" w:rsidRDefault="006F27D1" w:rsidP="006F27D1">
      <w:pPr>
        <w:ind w:firstLine="709"/>
        <w:rPr>
          <w:szCs w:val="24"/>
        </w:rPr>
      </w:pPr>
      <w:r w:rsidRPr="0095427D">
        <w:rPr>
          <w:szCs w:val="24"/>
        </w:rPr>
        <w:t>Примерами относительных противопоказаний может быть значимое снижение гемоглобина или тромбоцитов, что компенсируется трансфузионной поддержкой до процедуры. Непосредственно перед процедурой необходимо измерить артериальное давление, оценить общее состояние пациента, ознакомиться с результатами биохимического анализа крови и ко</w:t>
      </w:r>
      <w:r>
        <w:rPr>
          <w:szCs w:val="24"/>
        </w:rPr>
        <w:t>агулограммы.</w:t>
      </w:r>
    </w:p>
    <w:p w14:paraId="7755A788" w14:textId="77777777" w:rsidR="006F27D1" w:rsidRPr="0095427D" w:rsidRDefault="006F27D1" w:rsidP="006F27D1">
      <w:pPr>
        <w:ind w:firstLine="709"/>
        <w:rPr>
          <w:szCs w:val="24"/>
        </w:rPr>
      </w:pPr>
      <w:r w:rsidRPr="0095427D">
        <w:rPr>
          <w:szCs w:val="24"/>
        </w:rPr>
        <w:t>Процедура сбора ГСК длится около 3-4 часов. Во время проведения лейкафереза при развитии гипокальцемии (проявляется парестезией губ, языка, кончиков пальцев) необходимо замедлить скорость возврата крови. Для профилактики цитратной реакции рекомендуется введение 10 мл 10% раствора кальция глюконата или 5 мл 10% раствора кальция хлорида на каждые 200 мл цитратного раствора при массе тела пациента &lt; 60 кг или на каждые</w:t>
      </w:r>
      <w:r>
        <w:rPr>
          <w:szCs w:val="24"/>
        </w:rPr>
        <w:t xml:space="preserve"> 400 мл при массе тела &gt; 70 кг.</w:t>
      </w:r>
    </w:p>
    <w:p w14:paraId="2C09099D" w14:textId="64202BDA" w:rsidR="006F27D1" w:rsidRPr="0095427D" w:rsidRDefault="006F27D1" w:rsidP="006F27D1">
      <w:pPr>
        <w:ind w:firstLine="709"/>
        <w:rPr>
          <w:szCs w:val="24"/>
        </w:rPr>
      </w:pPr>
      <w:r w:rsidRPr="0095427D">
        <w:rPr>
          <w:szCs w:val="24"/>
        </w:rPr>
        <w:t>Из полученного продукта берут пробу ГСК для определения содержания С</w:t>
      </w:r>
      <w:r w:rsidRPr="0095427D">
        <w:rPr>
          <w:szCs w:val="24"/>
          <w:lang w:val="en-US"/>
        </w:rPr>
        <w:t>D</w:t>
      </w:r>
      <w:r w:rsidRPr="0095427D">
        <w:rPr>
          <w:szCs w:val="24"/>
        </w:rPr>
        <w:t xml:space="preserve">34+ клеток при помощи проточного цитофлуориметра. Существует множество рекомендуемых схем по подсчету </w:t>
      </w:r>
      <w:r w:rsidRPr="0095427D">
        <w:rPr>
          <w:szCs w:val="24"/>
          <w:lang w:val="en-US"/>
        </w:rPr>
        <w:t>CD</w:t>
      </w:r>
      <w:r w:rsidRPr="0095427D">
        <w:rPr>
          <w:szCs w:val="24"/>
        </w:rPr>
        <w:t xml:space="preserve">34+ ГСК, наиболее известен </w:t>
      </w:r>
      <w:r w:rsidRPr="0095427D">
        <w:rPr>
          <w:szCs w:val="24"/>
          <w:lang w:val="en-US"/>
        </w:rPr>
        <w:t>ISHAGE</w:t>
      </w:r>
      <w:r w:rsidRPr="0095427D">
        <w:rPr>
          <w:szCs w:val="24"/>
        </w:rPr>
        <w:t xml:space="preserve">-протокол (International Society of Hematotherapy and Graft Engineering) </w:t>
      </w:r>
      <w:r w:rsidRPr="0095427D">
        <w:rPr>
          <w:szCs w:val="24"/>
        </w:rPr>
        <w:fldChar w:fldCharType="begin" w:fldLock="1"/>
      </w:r>
      <w:r w:rsidR="00A67ED2">
        <w:rPr>
          <w:szCs w:val="24"/>
        </w:rPr>
        <w:instrText>ADDIN CSL_CITATION {"citationItems":[{"id":"ITEM-1","itemData":{"DOI":"10.1089/scd.1.1996.5.213","ISSN":"15258165","abstract":"The increased use of Peripheral Blood Stem Cells (PBSC) to reconstitute hematopoiesis in autotransplant and, more recently, allotransplant settings has not been associated with a consensus means to quality control the PBSC product. Since the small population of cells that bear the CD34 antigen are thought to be responsible for multilineage engraftment, graft assessment by flow cytometric quantitation of CD34+ cells should provide a rapid, reliable, and reproducible assay. Unfortunately, although a number of flow cytometric assays for CD34 enumeration have been described, the lack of a standardized method has led to the generation of widely divergent data. Furthermore, none of these assays has been validated as to interlaboratory reproducibility and suitability for widespread clinical application. In early 1995, the International Society of Hematotherapy and Graft Engineering (ISHAGE) established a Stem Cell Enumeration Committee, the mandate of which was to validate a simple, rapid, and sensitive flow cytometric method to quantitate CD34+ cells in peripheral blood and apheresis products. We also sought to establish its utility on a variety of flow cytometers in clinical laboratories and its reproducibility between transplant centers. Here, we describe the four-parameter flow methodology adopted by ISHAGE for validation in a multicenter study in North America.","author":[{"dropping-particle":"","family":"Sutherland","given":"D. Robert","non-dropping-particle":"","parse-names":false,"suffix":""},{"dropping-particle":"","family":"Anderson","given":"Lori","non-dropping-particle":"","parse-names":false,"suffix":""},{"dropping-particle":"","family":"Keeney","given":"Michael","non-dropping-particle":"","parse-names":false,"suffix":""},{"dropping-particle":"","family":"Nayar","given":"Rakash","non-dropping-particle":"","parse-names":false,"suffix":""},{"dropping-particle":"","family":"Chin-Yee","given":"Ian","non-dropping-particle":"","parse-names":false,"suffix":""}],"container-title":"Journal of Hematotherapy and Stem Cell Research","id":"ITEM-1","issue":"3","issued":{"date-parts":[["1996","6"]]},"page":"213-226","publisher":"J Hematother","title":"The ISHAGE guidelines for CD34+ cell determination by flow cytometry","type":"article","volume":"5"},"uris":["http://www.mendeley.com/documents/?uuid=af6aeaab-986b-3c29-a268-8b3298a087ff","http://www.mendeley.com/documents/?uuid=9e9b6059-b96a-40ee-8392-9fa21aa556d8","http://www.mendeley.com/documents/?uuid=396368c5-3715-4315-9d9f-b0f985c72f2e","http://www.mendeley.com/documents/?uuid=832a537d-2a1a-436d-b363-a2a1b60dd4aa","http://www.mendeley.com/documents/?uuid=d76426e4-3e5f-4355-ae7b-509de6e06dd4","http://www.mendeley.com/documents/?uuid=022d11d0-3e2a-46a4-9f7c-deed4443ec90","http://www.mendeley.com/documents/?uuid=3b63824f-4c14-4eba-b990-62e0bcaea90c"]}],"mendeley":{"formattedCitation":"[157]","plainTextFormattedCitation":"[157]","previouslyFormattedCitation":"[130]"},"properties":{"noteIndex":0},"schema":"https://github.com/citation-style-language/schema/raw/master/csl-citation.json"}</w:instrText>
      </w:r>
      <w:r w:rsidRPr="0095427D">
        <w:rPr>
          <w:szCs w:val="24"/>
        </w:rPr>
        <w:fldChar w:fldCharType="separate"/>
      </w:r>
      <w:r w:rsidR="00A67ED2" w:rsidRPr="00A67ED2">
        <w:rPr>
          <w:noProof/>
          <w:szCs w:val="24"/>
        </w:rPr>
        <w:t>[157]</w:t>
      </w:r>
      <w:r w:rsidRPr="0095427D">
        <w:rPr>
          <w:szCs w:val="24"/>
        </w:rPr>
        <w:fldChar w:fldCharType="end"/>
      </w:r>
      <w:r w:rsidRPr="0095427D">
        <w:rPr>
          <w:szCs w:val="24"/>
        </w:rPr>
        <w:t xml:space="preserve">. </w:t>
      </w:r>
    </w:p>
    <w:p w14:paraId="71C29397" w14:textId="77777777" w:rsidR="006F27D1" w:rsidRPr="0095427D" w:rsidRDefault="006F27D1" w:rsidP="006F27D1">
      <w:pPr>
        <w:ind w:firstLine="709"/>
        <w:rPr>
          <w:szCs w:val="24"/>
        </w:rPr>
      </w:pPr>
      <w:r w:rsidRPr="0095427D">
        <w:rPr>
          <w:szCs w:val="24"/>
        </w:rPr>
        <w:t>Таким образом</w:t>
      </w:r>
      <w:r>
        <w:rPr>
          <w:szCs w:val="24"/>
        </w:rPr>
        <w:t>,</w:t>
      </w:r>
      <w:r w:rsidRPr="0095427D">
        <w:rPr>
          <w:szCs w:val="24"/>
        </w:rPr>
        <w:t xml:space="preserve"> для успешного сбора ГСК важны своевременное начало первой процедуры лейкафереза</w:t>
      </w:r>
      <w:r>
        <w:rPr>
          <w:szCs w:val="24"/>
        </w:rPr>
        <w:t xml:space="preserve"> и </w:t>
      </w:r>
      <w:r w:rsidRPr="0095427D">
        <w:rPr>
          <w:szCs w:val="24"/>
        </w:rPr>
        <w:t xml:space="preserve">отлаженная лабораторная методика, включающая </w:t>
      </w:r>
      <w:r w:rsidRPr="0095427D">
        <w:rPr>
          <w:szCs w:val="24"/>
        </w:rPr>
        <w:lastRenderedPageBreak/>
        <w:t xml:space="preserve">цитофлуориметрический анализ. </w:t>
      </w:r>
    </w:p>
    <w:p w14:paraId="50A4F39A" w14:textId="77777777" w:rsidR="006F27D1" w:rsidRDefault="006F27D1" w:rsidP="006F27D1">
      <w:pPr>
        <w:pStyle w:val="afff3"/>
        <w:ind w:left="0"/>
        <w:rPr>
          <w:szCs w:val="24"/>
          <w:u w:val="single"/>
        </w:rPr>
      </w:pPr>
    </w:p>
    <w:p w14:paraId="63223C93" w14:textId="77777777" w:rsidR="006F27D1" w:rsidRPr="003E7EBA" w:rsidRDefault="006F27D1" w:rsidP="006F27D1">
      <w:pPr>
        <w:pStyle w:val="afff3"/>
        <w:ind w:left="0"/>
        <w:rPr>
          <w:szCs w:val="24"/>
          <w:u w:val="single"/>
        </w:rPr>
      </w:pPr>
      <w:r w:rsidRPr="003E7EBA">
        <w:rPr>
          <w:szCs w:val="24"/>
          <w:u w:val="single"/>
        </w:rPr>
        <w:t>Криоконсервирование трансплантата</w:t>
      </w:r>
    </w:p>
    <w:p w14:paraId="337AC73E" w14:textId="77777777" w:rsidR="006F27D1" w:rsidRDefault="006F27D1" w:rsidP="006F27D1">
      <w:pPr>
        <w:ind w:firstLine="709"/>
        <w:rPr>
          <w:szCs w:val="24"/>
        </w:rPr>
      </w:pPr>
      <w:r w:rsidRPr="0095427D">
        <w:rPr>
          <w:szCs w:val="24"/>
        </w:rPr>
        <w:t xml:space="preserve">Параллельно с подсчетом CD34+ клеток проводится фракционирование полученного продукта лейкафереза. Сначала маркируют полимерный двухкамерный контейнер (первая камера - «плазма», вторая - «гемопоэтические стволовые клетки»), переносят лейкоконцентрат в контейнер для ГСК в асептических условиях и проводят центрифугирование (2000 об/мин) в течение 15 мин. </w:t>
      </w:r>
    </w:p>
    <w:p w14:paraId="083A6853" w14:textId="77777777" w:rsidR="006F27D1" w:rsidRPr="0095427D" w:rsidRDefault="006F27D1" w:rsidP="006F27D1">
      <w:pPr>
        <w:ind w:firstLine="709"/>
        <w:rPr>
          <w:szCs w:val="24"/>
        </w:rPr>
      </w:pPr>
      <w:r w:rsidRPr="0095427D">
        <w:rPr>
          <w:szCs w:val="24"/>
        </w:rPr>
        <w:t xml:space="preserve">Фракционирование проводят в асептических условиях, например, в условиях ламинарного шкафа биологической безопасности </w:t>
      </w:r>
      <w:r w:rsidRPr="0095427D">
        <w:rPr>
          <w:szCs w:val="24"/>
          <w:lang w:val="en-US"/>
        </w:rPr>
        <w:t>II</w:t>
      </w:r>
      <w:r w:rsidRPr="0095427D">
        <w:rPr>
          <w:szCs w:val="24"/>
        </w:rPr>
        <w:t xml:space="preserve"> класса. Далее осуществляется подсчет </w:t>
      </w:r>
      <w:r w:rsidRPr="0095427D">
        <w:rPr>
          <w:szCs w:val="24"/>
          <w:lang w:val="en-US"/>
        </w:rPr>
        <w:t>CD</w:t>
      </w:r>
      <w:r w:rsidRPr="0095427D">
        <w:rPr>
          <w:szCs w:val="24"/>
        </w:rPr>
        <w:t>34+ клеток в полученном лейкоконцентрате. Получив долю CD34+ клеток от всех лейкоцитов в лейкоконцентрате, подсчитывают количество CD34+ клет</w:t>
      </w:r>
      <w:r>
        <w:rPr>
          <w:szCs w:val="24"/>
        </w:rPr>
        <w:t>ок на 1 кг массы тела пациента.</w:t>
      </w:r>
    </w:p>
    <w:p w14:paraId="43C0E09D" w14:textId="77777777" w:rsidR="006F27D1" w:rsidRDefault="006F27D1" w:rsidP="006F27D1">
      <w:pPr>
        <w:ind w:firstLine="709"/>
        <w:rPr>
          <w:szCs w:val="24"/>
        </w:rPr>
      </w:pPr>
      <w:r w:rsidRPr="0095427D">
        <w:rPr>
          <w:szCs w:val="24"/>
        </w:rPr>
        <w:t xml:space="preserve">Процесс криоконсервирования включает несколько этапов. Сначала проводят расчет необходимого количества раствора ДМСО, который нужно добавить к ГСК. Полученный биоматериал с криопротектором переносят в контейнер для криоконсервирования и тщательно удаляют пузыри воздуха. </w:t>
      </w:r>
    </w:p>
    <w:p w14:paraId="5975C42B" w14:textId="77777777" w:rsidR="006F27D1" w:rsidRPr="0095427D" w:rsidRDefault="006F27D1" w:rsidP="006F27D1">
      <w:pPr>
        <w:ind w:firstLine="709"/>
        <w:rPr>
          <w:szCs w:val="24"/>
        </w:rPr>
      </w:pPr>
      <w:r w:rsidRPr="0095427D">
        <w:rPr>
          <w:szCs w:val="24"/>
        </w:rPr>
        <w:t xml:space="preserve">Заморозку и хранение биоматериала производят в </w:t>
      </w:r>
      <w:r>
        <w:rPr>
          <w:szCs w:val="24"/>
        </w:rPr>
        <w:t>емкости</w:t>
      </w:r>
      <w:r w:rsidRPr="0095427D">
        <w:rPr>
          <w:szCs w:val="24"/>
        </w:rPr>
        <w:t xml:space="preserve"> с </w:t>
      </w:r>
      <w:r>
        <w:rPr>
          <w:szCs w:val="24"/>
        </w:rPr>
        <w:t xml:space="preserve">парами </w:t>
      </w:r>
      <w:r w:rsidRPr="0095427D">
        <w:rPr>
          <w:szCs w:val="24"/>
        </w:rPr>
        <w:t>жидк</w:t>
      </w:r>
      <w:r>
        <w:rPr>
          <w:szCs w:val="24"/>
        </w:rPr>
        <w:t>ого</w:t>
      </w:r>
      <w:r w:rsidRPr="0095427D">
        <w:rPr>
          <w:szCs w:val="24"/>
        </w:rPr>
        <w:t xml:space="preserve"> азот</w:t>
      </w:r>
      <w:r>
        <w:rPr>
          <w:szCs w:val="24"/>
        </w:rPr>
        <w:t>а</w:t>
      </w:r>
      <w:r w:rsidRPr="0095427D">
        <w:rPr>
          <w:szCs w:val="24"/>
        </w:rPr>
        <w:t xml:space="preserve">. </w:t>
      </w:r>
    </w:p>
    <w:p w14:paraId="15F39D5C" w14:textId="77777777" w:rsidR="006F27D1" w:rsidRDefault="006F27D1" w:rsidP="006F27D1">
      <w:pPr>
        <w:rPr>
          <w:b/>
          <w:szCs w:val="24"/>
        </w:rPr>
      </w:pPr>
    </w:p>
    <w:p w14:paraId="3DE88FF0" w14:textId="77777777" w:rsidR="006F27D1" w:rsidRPr="00B95A46" w:rsidRDefault="006F27D1" w:rsidP="006F27D1">
      <w:pPr>
        <w:rPr>
          <w:b/>
          <w:szCs w:val="24"/>
        </w:rPr>
      </w:pPr>
      <w:r w:rsidRPr="0031526F">
        <w:rPr>
          <w:b/>
          <w:szCs w:val="24"/>
        </w:rPr>
        <w:t>Обследование пациентов перед мобилизацией и сбором ГСК</w:t>
      </w:r>
    </w:p>
    <w:p w14:paraId="1DE6C8E6" w14:textId="77777777" w:rsidR="006F27D1" w:rsidRDefault="006F27D1" w:rsidP="006F27D1">
      <w:pPr>
        <w:ind w:firstLine="284"/>
        <w:rPr>
          <w:szCs w:val="24"/>
        </w:rPr>
      </w:pPr>
      <w:r>
        <w:rPr>
          <w:szCs w:val="24"/>
        </w:rPr>
        <w:t>Перед началом мобилизации гемопоэтических стволовых клеток необходимо определить фазу заболевания, оценить соматический статус пациента и состояние кроветворения. Для этого всем пациентам проводится рутинный комплекс обследования, включающий как лабораторные, так и инструментальные методы.</w:t>
      </w:r>
    </w:p>
    <w:p w14:paraId="39B5E9CF" w14:textId="77777777" w:rsidR="006F27D1" w:rsidRDefault="006F27D1" w:rsidP="006F27D1">
      <w:pPr>
        <w:pStyle w:val="afff3"/>
        <w:ind w:left="0"/>
        <w:rPr>
          <w:szCs w:val="24"/>
          <w:u w:val="single"/>
        </w:rPr>
      </w:pPr>
    </w:p>
    <w:p w14:paraId="12D78444" w14:textId="77777777" w:rsidR="006F27D1" w:rsidRPr="003E7EBA" w:rsidRDefault="006F27D1" w:rsidP="006F27D1">
      <w:pPr>
        <w:pStyle w:val="afff3"/>
        <w:ind w:left="0"/>
        <w:rPr>
          <w:szCs w:val="24"/>
          <w:u w:val="single"/>
        </w:rPr>
      </w:pPr>
      <w:r w:rsidRPr="003E7EBA">
        <w:rPr>
          <w:szCs w:val="24"/>
          <w:u w:val="single"/>
        </w:rPr>
        <w:t>Общие методы обследования</w:t>
      </w:r>
    </w:p>
    <w:p w14:paraId="70F9E4EA" w14:textId="77777777" w:rsidR="006F27D1" w:rsidRPr="006A495D" w:rsidRDefault="006F27D1" w:rsidP="008C1767">
      <w:pPr>
        <w:pStyle w:val="Numlist"/>
        <w:numPr>
          <w:ilvl w:val="0"/>
          <w:numId w:val="83"/>
        </w:numPr>
        <w:tabs>
          <w:tab w:val="left" w:pos="284"/>
        </w:tabs>
        <w:ind w:left="0" w:firstLine="284"/>
        <w:jc w:val="both"/>
      </w:pPr>
      <w:r>
        <w:t>Развернутый анализ крови.</w:t>
      </w:r>
    </w:p>
    <w:p w14:paraId="3DCFD866" w14:textId="77777777" w:rsidR="006F27D1" w:rsidRPr="006A495D" w:rsidRDefault="006F27D1" w:rsidP="008C1767">
      <w:pPr>
        <w:pStyle w:val="Numlist"/>
        <w:numPr>
          <w:ilvl w:val="0"/>
          <w:numId w:val="83"/>
        </w:numPr>
        <w:tabs>
          <w:tab w:val="left" w:pos="284"/>
        </w:tabs>
        <w:ind w:left="0" w:firstLine="284"/>
        <w:jc w:val="both"/>
      </w:pPr>
      <w:r w:rsidRPr="006A495D">
        <w:t xml:space="preserve">Биохимический анализ крови с обязательным определением: </w:t>
      </w:r>
      <w:r>
        <w:t xml:space="preserve">уровней </w:t>
      </w:r>
      <w:r w:rsidRPr="006A495D">
        <w:t xml:space="preserve">общего белка, альбумина, креатинина, мочевой кислоты, калия, кальция, </w:t>
      </w:r>
      <w:r>
        <w:t xml:space="preserve">активности </w:t>
      </w:r>
      <w:r w:rsidRPr="006A495D">
        <w:t>ЛДГ.</w:t>
      </w:r>
    </w:p>
    <w:p w14:paraId="69AD9067" w14:textId="77777777" w:rsidR="006F27D1" w:rsidRDefault="006F27D1" w:rsidP="008C1767">
      <w:pPr>
        <w:pStyle w:val="Numlist"/>
        <w:numPr>
          <w:ilvl w:val="0"/>
          <w:numId w:val="83"/>
        </w:numPr>
        <w:tabs>
          <w:tab w:val="left" w:pos="284"/>
        </w:tabs>
        <w:ind w:left="0" w:firstLine="284"/>
        <w:jc w:val="both"/>
      </w:pPr>
      <w:r>
        <w:t>Общий анализ мочи.</w:t>
      </w:r>
    </w:p>
    <w:p w14:paraId="4289A6F8" w14:textId="77777777" w:rsidR="006F27D1" w:rsidRDefault="006F27D1" w:rsidP="008C1767">
      <w:pPr>
        <w:pStyle w:val="Numlist"/>
        <w:numPr>
          <w:ilvl w:val="0"/>
          <w:numId w:val="83"/>
        </w:numPr>
        <w:tabs>
          <w:tab w:val="left" w:pos="284"/>
        </w:tabs>
        <w:ind w:left="0" w:firstLine="284"/>
        <w:jc w:val="both"/>
      </w:pPr>
      <w:r>
        <w:t>Глюкоза крови.</w:t>
      </w:r>
    </w:p>
    <w:p w14:paraId="35D752FC" w14:textId="77777777" w:rsidR="006F27D1" w:rsidRDefault="006F27D1" w:rsidP="008C1767">
      <w:pPr>
        <w:pStyle w:val="Numlist"/>
        <w:numPr>
          <w:ilvl w:val="0"/>
          <w:numId w:val="83"/>
        </w:numPr>
        <w:tabs>
          <w:tab w:val="left" w:pos="284"/>
        </w:tabs>
        <w:ind w:left="0" w:firstLine="284"/>
        <w:jc w:val="both"/>
      </w:pPr>
      <w:r>
        <w:t>Определение скорости клубочковой фильтрации.</w:t>
      </w:r>
    </w:p>
    <w:p w14:paraId="20974DB0" w14:textId="77777777" w:rsidR="006F27D1" w:rsidRDefault="006F27D1" w:rsidP="008C1767">
      <w:pPr>
        <w:pStyle w:val="Numlist"/>
        <w:numPr>
          <w:ilvl w:val="0"/>
          <w:numId w:val="83"/>
        </w:numPr>
        <w:tabs>
          <w:tab w:val="left" w:pos="284"/>
        </w:tabs>
        <w:ind w:left="0" w:firstLine="284"/>
        <w:jc w:val="both"/>
      </w:pPr>
      <w:r>
        <w:t>Коагулограмма (протромбин, международное нормализованное отношение, активированное частичное тромбопластиновое время, фибриноген, тромбиновое время, антитромбин III, плазминоген).</w:t>
      </w:r>
    </w:p>
    <w:p w14:paraId="678C1EFE" w14:textId="77777777" w:rsidR="006F27D1" w:rsidRPr="006A495D" w:rsidRDefault="006F27D1" w:rsidP="008C1767">
      <w:pPr>
        <w:pStyle w:val="Numlist"/>
        <w:numPr>
          <w:ilvl w:val="0"/>
          <w:numId w:val="83"/>
        </w:numPr>
        <w:tabs>
          <w:tab w:val="left" w:pos="284"/>
        </w:tabs>
        <w:ind w:left="0" w:firstLine="284"/>
        <w:jc w:val="both"/>
      </w:pPr>
      <w:r w:rsidRPr="006A495D">
        <w:lastRenderedPageBreak/>
        <w:t xml:space="preserve">Пункция костного мозга </w:t>
      </w:r>
      <w:r>
        <w:t xml:space="preserve">с </w:t>
      </w:r>
      <w:r w:rsidRPr="006A495D">
        <w:t>подсчет</w:t>
      </w:r>
      <w:r>
        <w:t>ом миелограммы</w:t>
      </w:r>
      <w:r w:rsidRPr="006A495D">
        <w:t>.</w:t>
      </w:r>
    </w:p>
    <w:p w14:paraId="058DF01C" w14:textId="77777777" w:rsidR="006F27D1" w:rsidRDefault="006F27D1" w:rsidP="008C1767">
      <w:pPr>
        <w:pStyle w:val="Numlist"/>
        <w:numPr>
          <w:ilvl w:val="0"/>
          <w:numId w:val="83"/>
        </w:numPr>
        <w:tabs>
          <w:tab w:val="left" w:pos="284"/>
        </w:tabs>
        <w:ind w:left="0" w:firstLine="284"/>
        <w:jc w:val="both"/>
      </w:pPr>
      <w:r>
        <w:t>Гистологическое</w:t>
      </w:r>
      <w:r w:rsidRPr="00100A57">
        <w:t xml:space="preserve"> исследование биопсийного материала костного мозга</w:t>
      </w:r>
      <w:r>
        <w:t xml:space="preserve"> для оценки состояния кроветворения.</w:t>
      </w:r>
    </w:p>
    <w:p w14:paraId="314122FC" w14:textId="77777777" w:rsidR="006F27D1" w:rsidRDefault="006F27D1" w:rsidP="008C1767">
      <w:pPr>
        <w:pStyle w:val="Numlist"/>
        <w:numPr>
          <w:ilvl w:val="0"/>
          <w:numId w:val="83"/>
        </w:numPr>
        <w:tabs>
          <w:tab w:val="left" w:pos="284"/>
        </w:tabs>
        <w:ind w:left="0" w:firstLine="284"/>
        <w:jc w:val="both"/>
      </w:pPr>
      <w:r>
        <w:t>Гистологическое</w:t>
      </w:r>
      <w:r w:rsidRPr="00100A57">
        <w:t xml:space="preserve"> исследование биопсийного материала костного мозга с применением иммуногистохимических методов</w:t>
      </w:r>
      <w:r>
        <w:t xml:space="preserve"> для оценки состояния кроветворения и инфильтрации костного мозга опухолевыми клетками.</w:t>
      </w:r>
    </w:p>
    <w:p w14:paraId="2AE7FBF5" w14:textId="77777777" w:rsidR="006F27D1" w:rsidRDefault="006F27D1" w:rsidP="008C1767">
      <w:pPr>
        <w:pStyle w:val="Numlist"/>
        <w:numPr>
          <w:ilvl w:val="0"/>
          <w:numId w:val="83"/>
        </w:numPr>
        <w:tabs>
          <w:tab w:val="left" w:pos="284"/>
        </w:tabs>
        <w:ind w:left="0" w:firstLine="284"/>
        <w:jc w:val="both"/>
      </w:pPr>
      <w:r w:rsidRPr="006A495D">
        <w:t>Иммунофенотипическое исследование костного мозга методом проточной цитометрии</w:t>
      </w:r>
      <w:r>
        <w:t xml:space="preserve"> для определения маркеров минимальной остаточной болезни.</w:t>
      </w:r>
    </w:p>
    <w:p w14:paraId="20B9BAC0" w14:textId="77777777" w:rsidR="006F27D1" w:rsidRDefault="006F27D1" w:rsidP="008C1767">
      <w:pPr>
        <w:pStyle w:val="Numlist"/>
        <w:numPr>
          <w:ilvl w:val="0"/>
          <w:numId w:val="83"/>
        </w:numPr>
        <w:tabs>
          <w:tab w:val="left" w:pos="284"/>
        </w:tabs>
        <w:ind w:left="0" w:firstLine="284"/>
        <w:jc w:val="both"/>
      </w:pPr>
      <w:r>
        <w:t>Определение группы крови (</w:t>
      </w:r>
      <w:r w:rsidRPr="00100A57">
        <w:rPr>
          <w:lang w:val="en-US"/>
        </w:rPr>
        <w:t>ABO</w:t>
      </w:r>
      <w:r w:rsidRPr="00100A57">
        <w:t xml:space="preserve">, </w:t>
      </w:r>
      <w:r>
        <w:t xml:space="preserve">Резус, </w:t>
      </w:r>
      <w:r w:rsidRPr="00100A57">
        <w:t>фенотип по</w:t>
      </w:r>
      <w:r>
        <w:t xml:space="preserve"> антигенам C, c, E, e, Cw, K, k, а также </w:t>
      </w:r>
      <w:r w:rsidRPr="00100A57">
        <w:t>определение антиэритроцитарных антител</w:t>
      </w:r>
      <w:r>
        <w:t>).</w:t>
      </w:r>
    </w:p>
    <w:p w14:paraId="103E1BF0" w14:textId="77777777" w:rsidR="006F27D1" w:rsidRPr="006A495D" w:rsidRDefault="006F27D1" w:rsidP="008C1767">
      <w:pPr>
        <w:pStyle w:val="Numlist"/>
        <w:numPr>
          <w:ilvl w:val="0"/>
          <w:numId w:val="83"/>
        </w:numPr>
        <w:tabs>
          <w:tab w:val="left" w:pos="284"/>
        </w:tabs>
        <w:ind w:left="0" w:firstLine="284"/>
        <w:jc w:val="both"/>
      </w:pPr>
      <w:r>
        <w:t>Исследование на м</w:t>
      </w:r>
      <w:r w:rsidRPr="006A495D">
        <w:t>аркеры вирусов гепатит</w:t>
      </w:r>
      <w:r>
        <w:t>ов</w:t>
      </w:r>
      <w:r>
        <w:rPr>
          <w:lang w:val="en-US"/>
        </w:rPr>
        <w:t> B</w:t>
      </w:r>
      <w:r w:rsidRPr="006A495D">
        <w:t xml:space="preserve"> и </w:t>
      </w:r>
      <w:r>
        <w:rPr>
          <w:lang w:val="en-US"/>
        </w:rPr>
        <w:t>C</w:t>
      </w:r>
      <w:r w:rsidRPr="006A495D">
        <w:t xml:space="preserve">, </w:t>
      </w:r>
      <w:r>
        <w:t xml:space="preserve">ВИЧ, </w:t>
      </w:r>
      <w:r>
        <w:rPr>
          <w:lang w:val="en-US"/>
        </w:rPr>
        <w:t>RW</w:t>
      </w:r>
      <w:r w:rsidRPr="00FF3180">
        <w:t>.</w:t>
      </w:r>
    </w:p>
    <w:p w14:paraId="39C284E7" w14:textId="77777777" w:rsidR="006F27D1" w:rsidRPr="006A495D" w:rsidRDefault="006F27D1" w:rsidP="008C1767">
      <w:pPr>
        <w:pStyle w:val="Numlist"/>
        <w:numPr>
          <w:ilvl w:val="0"/>
          <w:numId w:val="83"/>
        </w:numPr>
        <w:tabs>
          <w:tab w:val="left" w:pos="284"/>
        </w:tabs>
        <w:ind w:left="0" w:firstLine="284"/>
        <w:jc w:val="both"/>
      </w:pPr>
      <w:r>
        <w:t>Электрокардиограмма.</w:t>
      </w:r>
    </w:p>
    <w:p w14:paraId="76716D07" w14:textId="77777777" w:rsidR="006F27D1" w:rsidRDefault="006F27D1" w:rsidP="008C1767">
      <w:pPr>
        <w:pStyle w:val="Numlist"/>
        <w:numPr>
          <w:ilvl w:val="0"/>
          <w:numId w:val="83"/>
        </w:numPr>
        <w:tabs>
          <w:tab w:val="left" w:pos="284"/>
        </w:tabs>
        <w:ind w:left="0" w:firstLine="284"/>
        <w:jc w:val="both"/>
      </w:pPr>
      <w:r w:rsidRPr="005A330B">
        <w:t>Эхокардиография</w:t>
      </w:r>
      <w:r>
        <w:t>.</w:t>
      </w:r>
    </w:p>
    <w:p w14:paraId="7870A0F2" w14:textId="77777777" w:rsidR="006F27D1" w:rsidRDefault="006F27D1" w:rsidP="008C1767">
      <w:pPr>
        <w:pStyle w:val="Numlist"/>
        <w:numPr>
          <w:ilvl w:val="0"/>
          <w:numId w:val="83"/>
        </w:numPr>
        <w:tabs>
          <w:tab w:val="left" w:pos="284"/>
        </w:tabs>
        <w:ind w:left="0" w:firstLine="284"/>
        <w:jc w:val="both"/>
      </w:pPr>
      <w:r>
        <w:t>Холтеровское мониторирование сердечного ритма – при выявлении нарушений ритма и проводимости на ЭКГ.</w:t>
      </w:r>
    </w:p>
    <w:p w14:paraId="13DB6A6A" w14:textId="77777777" w:rsidR="006F27D1" w:rsidRDefault="006F27D1" w:rsidP="008C1767">
      <w:pPr>
        <w:pStyle w:val="Numlist"/>
        <w:numPr>
          <w:ilvl w:val="0"/>
          <w:numId w:val="83"/>
        </w:numPr>
        <w:tabs>
          <w:tab w:val="left" w:pos="284"/>
        </w:tabs>
        <w:ind w:left="0" w:firstLine="284"/>
        <w:jc w:val="both"/>
      </w:pPr>
      <w:r>
        <w:t>УЗИ брюшной полости (комплексное).</w:t>
      </w:r>
    </w:p>
    <w:p w14:paraId="638E19C8" w14:textId="77777777" w:rsidR="006F27D1" w:rsidRDefault="006F27D1" w:rsidP="008C1767">
      <w:pPr>
        <w:pStyle w:val="Numlist"/>
        <w:numPr>
          <w:ilvl w:val="0"/>
          <w:numId w:val="83"/>
        </w:numPr>
        <w:tabs>
          <w:tab w:val="left" w:pos="284"/>
        </w:tabs>
        <w:ind w:left="0" w:firstLine="284"/>
        <w:jc w:val="both"/>
      </w:pPr>
      <w:r w:rsidRPr="005A330B">
        <w:t>Ультразвуковая допплерография сосудов (артерий и вен) нижних конечностей</w:t>
      </w:r>
      <w:r w:rsidRPr="006A495D">
        <w:t xml:space="preserve"> </w:t>
      </w:r>
      <w:r>
        <w:t>- при необходимости.</w:t>
      </w:r>
    </w:p>
    <w:p w14:paraId="5D7FED1D" w14:textId="77777777" w:rsidR="006F27D1" w:rsidRPr="006A495D" w:rsidRDefault="006F27D1" w:rsidP="008C1767">
      <w:pPr>
        <w:pStyle w:val="Numlist"/>
        <w:numPr>
          <w:ilvl w:val="0"/>
          <w:numId w:val="83"/>
        </w:numPr>
        <w:tabs>
          <w:tab w:val="left" w:pos="284"/>
        </w:tabs>
        <w:ind w:left="0" w:firstLine="284"/>
        <w:jc w:val="both"/>
      </w:pPr>
      <w:r w:rsidRPr="00433BA2">
        <w:t>Эзофагогастродуоденоскопия</w:t>
      </w:r>
      <w:r>
        <w:t xml:space="preserve"> с биопсией – при наличии диспепсических расстройств или язвенной болезни желудка/ двенадцатиперстной кишки в анамнезе.</w:t>
      </w:r>
    </w:p>
    <w:p w14:paraId="0FB85B1D" w14:textId="77777777" w:rsidR="006F27D1" w:rsidRDefault="006F27D1" w:rsidP="008C1767">
      <w:pPr>
        <w:pStyle w:val="Numlist"/>
        <w:numPr>
          <w:ilvl w:val="0"/>
          <w:numId w:val="83"/>
        </w:numPr>
        <w:tabs>
          <w:tab w:val="left" w:pos="284"/>
        </w:tabs>
        <w:ind w:left="0" w:firstLine="284"/>
        <w:jc w:val="both"/>
      </w:pPr>
      <w:r w:rsidRPr="006A495D">
        <w:t>МРТ головного мозга.</w:t>
      </w:r>
    </w:p>
    <w:p w14:paraId="2E8C1864" w14:textId="77777777" w:rsidR="006F27D1" w:rsidRDefault="006F27D1" w:rsidP="008C1767">
      <w:pPr>
        <w:pStyle w:val="Numlist"/>
        <w:numPr>
          <w:ilvl w:val="0"/>
          <w:numId w:val="83"/>
        </w:numPr>
        <w:tabs>
          <w:tab w:val="left" w:pos="284"/>
        </w:tabs>
        <w:ind w:left="0" w:firstLine="284"/>
        <w:jc w:val="both"/>
      </w:pPr>
      <w:r>
        <w:t>КТ органов грудной полости.</w:t>
      </w:r>
    </w:p>
    <w:p w14:paraId="4F90784A" w14:textId="77777777" w:rsidR="006F27D1" w:rsidRDefault="006F27D1" w:rsidP="008C1767">
      <w:pPr>
        <w:pStyle w:val="Numlist"/>
        <w:numPr>
          <w:ilvl w:val="0"/>
          <w:numId w:val="83"/>
        </w:numPr>
        <w:tabs>
          <w:tab w:val="left" w:pos="284"/>
        </w:tabs>
        <w:ind w:left="0" w:firstLine="284"/>
        <w:jc w:val="both"/>
      </w:pPr>
      <w:r>
        <w:t>Люмбальная пункция с последующим цитологическим, комплексным иммунохимическим и иммунофенотипическим исследованием ликвора при подозрении на вовлечение в патологический процесс центральной нервной системы.</w:t>
      </w:r>
    </w:p>
    <w:p w14:paraId="74637F0E" w14:textId="77777777" w:rsidR="006F27D1" w:rsidRPr="0031585B" w:rsidRDefault="006F27D1" w:rsidP="008C1767">
      <w:pPr>
        <w:pStyle w:val="Numlist"/>
        <w:numPr>
          <w:ilvl w:val="0"/>
          <w:numId w:val="83"/>
        </w:numPr>
        <w:tabs>
          <w:tab w:val="left" w:pos="284"/>
        </w:tabs>
        <w:ind w:left="0" w:firstLine="284"/>
        <w:jc w:val="both"/>
      </w:pPr>
      <w:r>
        <w:t>Осмотр гинеколога и УЗИ органов малого таза - для женщин.</w:t>
      </w:r>
    </w:p>
    <w:p w14:paraId="280E2390" w14:textId="77777777" w:rsidR="006F27D1" w:rsidRDefault="006F27D1" w:rsidP="006F27D1">
      <w:pPr>
        <w:pStyle w:val="afff3"/>
        <w:ind w:left="0"/>
        <w:rPr>
          <w:szCs w:val="24"/>
          <w:u w:val="single"/>
        </w:rPr>
      </w:pPr>
    </w:p>
    <w:p w14:paraId="41771F4F" w14:textId="722CC8AA" w:rsidR="006F27D1" w:rsidRPr="003E7EBA" w:rsidRDefault="006F27D1" w:rsidP="006F27D1">
      <w:pPr>
        <w:pStyle w:val="afff3"/>
        <w:ind w:left="0"/>
        <w:rPr>
          <w:szCs w:val="24"/>
          <w:u w:val="single"/>
        </w:rPr>
      </w:pPr>
      <w:r w:rsidRPr="003E7EBA">
        <w:rPr>
          <w:szCs w:val="24"/>
          <w:u w:val="single"/>
        </w:rPr>
        <w:t>Специальные методы обследования при</w:t>
      </w:r>
      <w:r w:rsidR="00422B01">
        <w:rPr>
          <w:szCs w:val="24"/>
          <w:u w:val="single"/>
        </w:rPr>
        <w:t xml:space="preserve"> </w:t>
      </w:r>
      <w:r w:rsidR="00422B01">
        <w:rPr>
          <w:szCs w:val="24"/>
          <w:u w:val="single"/>
          <w:lang w:val="en-US"/>
        </w:rPr>
        <w:t>Ph</w:t>
      </w:r>
      <w:r w:rsidR="00422B01" w:rsidRPr="00422B01">
        <w:rPr>
          <w:szCs w:val="24"/>
          <w:u w:val="single"/>
        </w:rPr>
        <w:t>-</w:t>
      </w:r>
      <w:r w:rsidR="00422B01">
        <w:rPr>
          <w:szCs w:val="24"/>
          <w:u w:val="single"/>
        </w:rPr>
        <w:t>позитивном ОЛЛ</w:t>
      </w:r>
      <w:r w:rsidRPr="003E7EBA">
        <w:rPr>
          <w:szCs w:val="24"/>
          <w:u w:val="single"/>
        </w:rPr>
        <w:t xml:space="preserve"> различных вариантах гемобластозов</w:t>
      </w:r>
    </w:p>
    <w:p w14:paraId="5BD34D48" w14:textId="77777777" w:rsidR="006F27D1" w:rsidRDefault="006F27D1" w:rsidP="008C1767">
      <w:pPr>
        <w:pStyle w:val="Numlist"/>
        <w:numPr>
          <w:ilvl w:val="0"/>
          <w:numId w:val="182"/>
        </w:numPr>
        <w:tabs>
          <w:tab w:val="left" w:pos="284"/>
        </w:tabs>
        <w:ind w:left="709" w:hanging="425"/>
        <w:jc w:val="both"/>
      </w:pPr>
      <w:r>
        <w:t xml:space="preserve">Цитогенетическое исследование </w:t>
      </w:r>
      <w:r w:rsidRPr="005E14BE">
        <w:t>(</w:t>
      </w:r>
      <w:r>
        <w:rPr>
          <w:lang w:val="en-US"/>
        </w:rPr>
        <w:t>FISH</w:t>
      </w:r>
      <w:r>
        <w:t>) с целью идентификации</w:t>
      </w:r>
      <w:r w:rsidRPr="005E14BE">
        <w:t xml:space="preserve"> </w:t>
      </w:r>
      <w:r>
        <w:rPr>
          <w:lang w:val="en-US"/>
        </w:rPr>
        <w:t>BCR</w:t>
      </w:r>
      <w:r w:rsidRPr="005E14BE">
        <w:t>-</w:t>
      </w:r>
      <w:r>
        <w:rPr>
          <w:lang w:val="en-US"/>
        </w:rPr>
        <w:t>ABL</w:t>
      </w:r>
      <w:r w:rsidRPr="005E14BE">
        <w:t>.</w:t>
      </w:r>
    </w:p>
    <w:p w14:paraId="5448BC77" w14:textId="77777777" w:rsidR="006F27D1" w:rsidRDefault="006F27D1" w:rsidP="008C1767">
      <w:pPr>
        <w:pStyle w:val="Numlist"/>
        <w:numPr>
          <w:ilvl w:val="0"/>
          <w:numId w:val="181"/>
        </w:numPr>
        <w:tabs>
          <w:tab w:val="left" w:pos="284"/>
        </w:tabs>
        <w:ind w:left="709" w:hanging="425"/>
        <w:jc w:val="both"/>
      </w:pPr>
      <w:r>
        <w:t>Молекулярно-генетическое исследование для оценки МОБ-статуса (р190, р210).</w:t>
      </w:r>
    </w:p>
    <w:p w14:paraId="0572FDFF" w14:textId="77777777" w:rsidR="006F27D1" w:rsidRDefault="006F27D1" w:rsidP="006F27D1">
      <w:pPr>
        <w:rPr>
          <w:b/>
        </w:rPr>
      </w:pPr>
    </w:p>
    <w:p w14:paraId="258EBBD4" w14:textId="77777777" w:rsidR="006F27D1" w:rsidRPr="000A7DE0" w:rsidRDefault="006F27D1" w:rsidP="006F27D1">
      <w:pPr>
        <w:rPr>
          <w:i/>
          <w:szCs w:val="24"/>
          <w:u w:val="single"/>
        </w:rPr>
      </w:pPr>
      <w:r w:rsidRPr="000A7DE0">
        <w:rPr>
          <w:i/>
          <w:szCs w:val="24"/>
          <w:u w:val="single"/>
        </w:rPr>
        <w:t>Трансплантация аутологичных стволовых клеток крови</w:t>
      </w:r>
    </w:p>
    <w:p w14:paraId="6FC88802" w14:textId="0DB29828" w:rsidR="006F27D1" w:rsidRDefault="006F27D1" w:rsidP="006F27D1">
      <w:pPr>
        <w:ind w:firstLine="709"/>
        <w:rPr>
          <w:szCs w:val="24"/>
        </w:rPr>
      </w:pPr>
      <w:r w:rsidRPr="009D3373">
        <w:rPr>
          <w:szCs w:val="24"/>
        </w:rPr>
        <w:t xml:space="preserve">Важная роль современной программы лечения </w:t>
      </w:r>
      <w:r>
        <w:rPr>
          <w:szCs w:val="24"/>
        </w:rPr>
        <w:t xml:space="preserve">ряда гематологических заболеваний </w:t>
      </w:r>
      <w:r w:rsidRPr="009D3373">
        <w:rPr>
          <w:szCs w:val="24"/>
        </w:rPr>
        <w:t>отводится включению в протокол терапии молодых больных высокодозн</w:t>
      </w:r>
      <w:r>
        <w:rPr>
          <w:szCs w:val="24"/>
        </w:rPr>
        <w:t xml:space="preserve">ой химиотерапии </w:t>
      </w:r>
      <w:r>
        <w:rPr>
          <w:szCs w:val="24"/>
        </w:rPr>
        <w:lastRenderedPageBreak/>
        <w:t>с последующей трансплантацией аутологичных гемопоэтических стволовых клеток</w:t>
      </w:r>
      <w:r w:rsidRPr="009D3373">
        <w:rPr>
          <w:szCs w:val="24"/>
        </w:rPr>
        <w:t>.</w:t>
      </w:r>
      <w:r>
        <w:rPr>
          <w:szCs w:val="24"/>
        </w:rPr>
        <w:t xml:space="preserve"> </w:t>
      </w:r>
    </w:p>
    <w:p w14:paraId="7B16A651" w14:textId="77777777" w:rsidR="006F27D1" w:rsidRDefault="006F27D1" w:rsidP="006F27D1">
      <w:pPr>
        <w:rPr>
          <w:b/>
          <w:szCs w:val="24"/>
        </w:rPr>
      </w:pPr>
    </w:p>
    <w:p w14:paraId="07D2E073" w14:textId="77777777" w:rsidR="006F27D1" w:rsidRPr="00B95A46" w:rsidRDefault="006F27D1" w:rsidP="006F27D1">
      <w:pPr>
        <w:rPr>
          <w:b/>
          <w:szCs w:val="24"/>
        </w:rPr>
      </w:pPr>
      <w:r w:rsidRPr="0031526F">
        <w:rPr>
          <w:b/>
          <w:szCs w:val="24"/>
        </w:rPr>
        <w:t>Противопоказания к выполнению ауто-ТГСК</w:t>
      </w:r>
    </w:p>
    <w:p w14:paraId="3FF95253" w14:textId="77777777" w:rsidR="006F27D1" w:rsidRPr="003E7EBA" w:rsidRDefault="006F27D1" w:rsidP="006F27D1">
      <w:pPr>
        <w:pStyle w:val="afff3"/>
        <w:ind w:left="0"/>
        <w:rPr>
          <w:szCs w:val="24"/>
          <w:u w:val="single"/>
        </w:rPr>
      </w:pPr>
      <w:r w:rsidRPr="003E7EBA">
        <w:rPr>
          <w:szCs w:val="24"/>
          <w:u w:val="single"/>
        </w:rPr>
        <w:t>Абсолютные противопоказания к выполнению ауто-ТГСК</w:t>
      </w:r>
    </w:p>
    <w:p w14:paraId="5AD81CFB" w14:textId="77777777" w:rsidR="006F27D1" w:rsidRDefault="006F27D1" w:rsidP="006F27D1">
      <w:pPr>
        <w:ind w:firstLine="567"/>
      </w:pPr>
      <w:r>
        <w:t>- прогрессия/рецидив основного заболевания;</w:t>
      </w:r>
    </w:p>
    <w:p w14:paraId="2FDCB96D" w14:textId="77777777" w:rsidR="006F27D1" w:rsidRPr="00FF4087" w:rsidRDefault="006F27D1" w:rsidP="006F27D1">
      <w:pPr>
        <w:ind w:firstLine="567"/>
      </w:pPr>
      <w:r>
        <w:t xml:space="preserve">- </w:t>
      </w:r>
      <w:r w:rsidRPr="00FF4087">
        <w:t>инфекционные заболевания в стадии обострения;</w:t>
      </w:r>
    </w:p>
    <w:p w14:paraId="41C2682F" w14:textId="77777777" w:rsidR="006F27D1" w:rsidRPr="00FF4087" w:rsidRDefault="006F27D1" w:rsidP="006F27D1">
      <w:pPr>
        <w:ind w:firstLine="567"/>
      </w:pPr>
      <w:r>
        <w:t>- заболевания опорно-двигательного аппарата</w:t>
      </w:r>
      <w:r w:rsidRPr="00FF4087">
        <w:t>, системы кровообращения, органов пищеварения</w:t>
      </w:r>
      <w:r>
        <w:t xml:space="preserve"> и дыхания, мочеполовой, эндокринной и нервной систем</w:t>
      </w:r>
      <w:r w:rsidRPr="00FF4087">
        <w:t>,</w:t>
      </w:r>
      <w:r>
        <w:t xml:space="preserve"> а также заболевания других органов и систем в стадии обострения и </w:t>
      </w:r>
      <w:r w:rsidRPr="00FF4087">
        <w:t>сопровождающиеся стойким расстройством функций;</w:t>
      </w:r>
    </w:p>
    <w:p w14:paraId="5A23A7E4" w14:textId="77777777" w:rsidR="006F27D1" w:rsidRPr="00FF4087" w:rsidRDefault="006F27D1" w:rsidP="006F27D1">
      <w:pPr>
        <w:ind w:firstLine="567"/>
      </w:pPr>
      <w:r>
        <w:t xml:space="preserve">- наличие «вторых» </w:t>
      </w:r>
      <w:r w:rsidRPr="00FF4087">
        <w:t>злокачественны</w:t>
      </w:r>
      <w:r>
        <w:t>х</w:t>
      </w:r>
      <w:r w:rsidRPr="00FF4087">
        <w:t xml:space="preserve"> новообразовани</w:t>
      </w:r>
      <w:r>
        <w:t>й вне ремиссии</w:t>
      </w:r>
      <w:r w:rsidRPr="00FF4087">
        <w:t>;</w:t>
      </w:r>
    </w:p>
    <w:p w14:paraId="24ECC759" w14:textId="77777777" w:rsidR="006F27D1" w:rsidRPr="00FF4087" w:rsidRDefault="006F27D1" w:rsidP="006F27D1">
      <w:pPr>
        <w:ind w:firstLine="567"/>
      </w:pPr>
      <w:r>
        <w:t xml:space="preserve">- </w:t>
      </w:r>
      <w:r w:rsidRPr="00FF4087">
        <w:t>терапия иммуносупрессивными или иными лекарственными препаратами, которые могут повлиять на способность к самоподдержанию собственной популяции и полипотентность гемопоэтических стволовых клеток;</w:t>
      </w:r>
    </w:p>
    <w:p w14:paraId="2AA85BED" w14:textId="77777777" w:rsidR="006F27D1" w:rsidRPr="00FF4087" w:rsidRDefault="006F27D1" w:rsidP="006F27D1">
      <w:pPr>
        <w:ind w:firstLine="567"/>
      </w:pPr>
      <w:r>
        <w:t xml:space="preserve">- </w:t>
      </w:r>
      <w:r w:rsidRPr="00FF4087">
        <w:t>психические расстройства и расстройства поведения в состоянии обострения и (или) представляющие опасность для больного и окружающих;</w:t>
      </w:r>
    </w:p>
    <w:p w14:paraId="17DB6E96" w14:textId="77777777" w:rsidR="006F27D1" w:rsidRPr="00FF4087" w:rsidRDefault="006F27D1" w:rsidP="006F27D1">
      <w:pPr>
        <w:ind w:firstLine="567"/>
      </w:pPr>
      <w:r>
        <w:t xml:space="preserve">- </w:t>
      </w:r>
      <w:r w:rsidRPr="00FF4087">
        <w:t>психические расстройства и расстройства поведения, вызванные употреблением психоактивных веществ;</w:t>
      </w:r>
    </w:p>
    <w:p w14:paraId="582E4203" w14:textId="77777777" w:rsidR="006F27D1" w:rsidRPr="00FF4087" w:rsidRDefault="006F27D1" w:rsidP="006F27D1">
      <w:pPr>
        <w:ind w:firstLine="567"/>
      </w:pPr>
      <w:r>
        <w:t xml:space="preserve">- </w:t>
      </w:r>
      <w:r w:rsidRPr="00FF4087">
        <w:t>кахексия;</w:t>
      </w:r>
    </w:p>
    <w:p w14:paraId="01A75EE9" w14:textId="77777777" w:rsidR="006F27D1" w:rsidRDefault="006F27D1" w:rsidP="006F27D1">
      <w:pPr>
        <w:ind w:firstLine="567"/>
      </w:pPr>
      <w:r>
        <w:t xml:space="preserve">- </w:t>
      </w:r>
      <w:r w:rsidRPr="00FF4087">
        <w:t>беременность;</w:t>
      </w:r>
    </w:p>
    <w:p w14:paraId="0CF0C0C0" w14:textId="77777777" w:rsidR="006F27D1" w:rsidRDefault="006F27D1" w:rsidP="006F27D1">
      <w:pPr>
        <w:ind w:firstLine="567"/>
      </w:pPr>
      <w:r>
        <w:t>- ранний послеоперационный период с наличием потенциальных рисков инфицирования послеоперационных ран в период миелотоксического агранулоцитоза.</w:t>
      </w:r>
    </w:p>
    <w:p w14:paraId="0B1F50C2" w14:textId="77777777" w:rsidR="006F27D1" w:rsidRDefault="006F27D1" w:rsidP="006F27D1">
      <w:pPr>
        <w:ind w:firstLine="567"/>
      </w:pPr>
      <w:r>
        <w:t>- отсутствие подписанного информированного согласия на выполнение трансплантации.</w:t>
      </w:r>
    </w:p>
    <w:p w14:paraId="4B69DAA3" w14:textId="77777777" w:rsidR="006F27D1" w:rsidRDefault="006F27D1" w:rsidP="006F27D1">
      <w:pPr>
        <w:pStyle w:val="11"/>
        <w:jc w:val="both"/>
        <w:rPr>
          <w:sz w:val="24"/>
          <w:szCs w:val="24"/>
        </w:rPr>
      </w:pPr>
    </w:p>
    <w:p w14:paraId="36F56B3B" w14:textId="77777777" w:rsidR="006F27D1" w:rsidRPr="003E7EBA" w:rsidRDefault="006F27D1" w:rsidP="006F27D1">
      <w:pPr>
        <w:pStyle w:val="afff3"/>
        <w:ind w:left="0"/>
        <w:rPr>
          <w:szCs w:val="24"/>
          <w:u w:val="single"/>
        </w:rPr>
      </w:pPr>
      <w:r w:rsidRPr="003E7EBA">
        <w:rPr>
          <w:szCs w:val="24"/>
          <w:u w:val="single"/>
        </w:rPr>
        <w:t>Относительные противопоказания к выполнению ауто-ТГСК</w:t>
      </w:r>
    </w:p>
    <w:p w14:paraId="001F87A9" w14:textId="77777777" w:rsidR="006F27D1" w:rsidRPr="00FF4087" w:rsidRDefault="006F27D1" w:rsidP="006F27D1">
      <w:pPr>
        <w:ind w:firstLine="567"/>
      </w:pPr>
      <w:r>
        <w:t xml:space="preserve">- </w:t>
      </w:r>
      <w:r w:rsidRPr="00FF4087">
        <w:t>и</w:t>
      </w:r>
      <w:r>
        <w:t>нфекционные заболевания вне обострения (очаги инфекций, требующие санации)</w:t>
      </w:r>
      <w:r w:rsidRPr="00FF4087">
        <w:t>;</w:t>
      </w:r>
    </w:p>
    <w:p w14:paraId="54A40DF9" w14:textId="77777777" w:rsidR="006F27D1" w:rsidRDefault="006F27D1" w:rsidP="006F27D1">
      <w:pPr>
        <w:ind w:firstLine="567"/>
      </w:pPr>
      <w:r>
        <w:t>- заболевания опорно-двигательного аппарата</w:t>
      </w:r>
      <w:r w:rsidRPr="00FF4087">
        <w:t>, системы кровообращения, органов пищеварения</w:t>
      </w:r>
      <w:r>
        <w:t xml:space="preserve"> и дыхания, мочеполовой, эндокринной и нервной систем</w:t>
      </w:r>
      <w:r w:rsidRPr="00FF4087">
        <w:t>,</w:t>
      </w:r>
      <w:r>
        <w:t xml:space="preserve"> а также заболевания других органов и систем в стадии компенсации</w:t>
      </w:r>
      <w:r w:rsidRPr="00FF4087">
        <w:t>;</w:t>
      </w:r>
    </w:p>
    <w:p w14:paraId="34B8F069" w14:textId="77777777" w:rsidR="006F27D1" w:rsidRDefault="006F27D1" w:rsidP="006F27D1">
      <w:pPr>
        <w:ind w:firstLine="567"/>
      </w:pPr>
      <w:r>
        <w:t>- возраст старше 65 лет.</w:t>
      </w:r>
    </w:p>
    <w:p w14:paraId="35EBC409" w14:textId="77777777" w:rsidR="006F27D1" w:rsidRDefault="006F27D1" w:rsidP="006F27D1">
      <w:pPr>
        <w:ind w:firstLine="567"/>
      </w:pPr>
      <w:r>
        <w:t xml:space="preserve">- </w:t>
      </w:r>
      <w:r w:rsidRPr="00FF4087">
        <w:t>наличие в крови маркеров вируса иммунодефицита человека;</w:t>
      </w:r>
    </w:p>
    <w:p w14:paraId="30CC6995" w14:textId="77777777" w:rsidR="006F27D1" w:rsidRDefault="006F27D1" w:rsidP="006F27D1">
      <w:pPr>
        <w:rPr>
          <w:b/>
          <w:szCs w:val="24"/>
        </w:rPr>
      </w:pPr>
    </w:p>
    <w:p w14:paraId="2CFB4A94" w14:textId="77777777" w:rsidR="006F27D1" w:rsidRPr="00B95A46" w:rsidRDefault="006F27D1" w:rsidP="006F27D1">
      <w:pPr>
        <w:rPr>
          <w:b/>
          <w:szCs w:val="24"/>
        </w:rPr>
      </w:pPr>
      <w:r w:rsidRPr="0031526F">
        <w:rPr>
          <w:b/>
          <w:szCs w:val="24"/>
        </w:rPr>
        <w:t>Обследование пациентов перед ауто-ТГСК</w:t>
      </w:r>
    </w:p>
    <w:p w14:paraId="3F68D440" w14:textId="77777777" w:rsidR="006F27D1" w:rsidRDefault="006F27D1" w:rsidP="006F27D1">
      <w:pPr>
        <w:ind w:firstLine="284"/>
        <w:rPr>
          <w:szCs w:val="24"/>
        </w:rPr>
      </w:pPr>
      <w:r>
        <w:rPr>
          <w:szCs w:val="24"/>
        </w:rPr>
        <w:t>Перед выполнением трансплантации аутологичных гемопоэтических стволовых клеток необходимо определить фазу заболевания, оценить соматический статус пациента и состояние кроветворения. Для этого всем пациентам проводится рутинный комплекс обследования, включающий как лабораторные, так и инструментальные методы.</w:t>
      </w:r>
    </w:p>
    <w:p w14:paraId="33A375D7" w14:textId="77777777" w:rsidR="006F27D1" w:rsidRDefault="006F27D1" w:rsidP="006F27D1">
      <w:pPr>
        <w:pStyle w:val="afff3"/>
        <w:ind w:left="0"/>
        <w:rPr>
          <w:szCs w:val="24"/>
          <w:u w:val="single"/>
        </w:rPr>
      </w:pPr>
    </w:p>
    <w:p w14:paraId="20EC83BC" w14:textId="77777777" w:rsidR="006F27D1" w:rsidRPr="003E7EBA" w:rsidRDefault="006F27D1" w:rsidP="006F27D1">
      <w:pPr>
        <w:pStyle w:val="afff3"/>
        <w:ind w:left="0"/>
        <w:rPr>
          <w:szCs w:val="24"/>
          <w:u w:val="single"/>
        </w:rPr>
      </w:pPr>
      <w:r w:rsidRPr="003E7EBA">
        <w:rPr>
          <w:szCs w:val="24"/>
          <w:u w:val="single"/>
        </w:rPr>
        <w:t>Общие методы обследования</w:t>
      </w:r>
    </w:p>
    <w:p w14:paraId="2C8699D7" w14:textId="77777777" w:rsidR="006F27D1" w:rsidRPr="006A495D" w:rsidRDefault="006F27D1" w:rsidP="008C1767">
      <w:pPr>
        <w:pStyle w:val="Numlist"/>
        <w:numPr>
          <w:ilvl w:val="0"/>
          <w:numId w:val="84"/>
        </w:numPr>
        <w:tabs>
          <w:tab w:val="left" w:pos="284"/>
        </w:tabs>
        <w:ind w:left="0" w:firstLine="284"/>
        <w:jc w:val="both"/>
      </w:pPr>
      <w:r>
        <w:t>Развернутый анализ крови.</w:t>
      </w:r>
    </w:p>
    <w:p w14:paraId="42C89F14" w14:textId="77777777" w:rsidR="006F27D1" w:rsidRPr="006A495D" w:rsidRDefault="006F27D1" w:rsidP="008C1767">
      <w:pPr>
        <w:pStyle w:val="Numlist"/>
        <w:numPr>
          <w:ilvl w:val="0"/>
          <w:numId w:val="84"/>
        </w:numPr>
        <w:tabs>
          <w:tab w:val="left" w:pos="284"/>
        </w:tabs>
        <w:ind w:left="0" w:firstLine="284"/>
        <w:jc w:val="both"/>
      </w:pPr>
      <w:r w:rsidRPr="006A495D">
        <w:t xml:space="preserve">Биохимический анализ крови с обязательным определением: </w:t>
      </w:r>
      <w:r>
        <w:t xml:space="preserve">уровней </w:t>
      </w:r>
      <w:r w:rsidRPr="006A495D">
        <w:t xml:space="preserve">общего белка, альбумина, креатинина, мочевой кислоты, калия, кальция, </w:t>
      </w:r>
      <w:r>
        <w:t xml:space="preserve">активности </w:t>
      </w:r>
      <w:r w:rsidRPr="006A495D">
        <w:t>ЛДГ.</w:t>
      </w:r>
    </w:p>
    <w:p w14:paraId="258B912B" w14:textId="77777777" w:rsidR="006F27D1" w:rsidRDefault="006F27D1" w:rsidP="008C1767">
      <w:pPr>
        <w:pStyle w:val="Numlist"/>
        <w:numPr>
          <w:ilvl w:val="0"/>
          <w:numId w:val="84"/>
        </w:numPr>
        <w:tabs>
          <w:tab w:val="left" w:pos="284"/>
        </w:tabs>
        <w:ind w:left="0" w:firstLine="284"/>
        <w:jc w:val="both"/>
      </w:pPr>
      <w:r>
        <w:t>Общий анализ мочи.</w:t>
      </w:r>
    </w:p>
    <w:p w14:paraId="764CDC5C" w14:textId="77777777" w:rsidR="006F27D1" w:rsidRDefault="006F27D1" w:rsidP="008C1767">
      <w:pPr>
        <w:pStyle w:val="Numlist"/>
        <w:numPr>
          <w:ilvl w:val="0"/>
          <w:numId w:val="84"/>
        </w:numPr>
        <w:tabs>
          <w:tab w:val="left" w:pos="284"/>
        </w:tabs>
        <w:ind w:left="0" w:firstLine="284"/>
        <w:jc w:val="both"/>
      </w:pPr>
      <w:r>
        <w:t>Глюкоза крови.</w:t>
      </w:r>
    </w:p>
    <w:p w14:paraId="7DAEA908" w14:textId="77777777" w:rsidR="006F27D1" w:rsidRDefault="006F27D1" w:rsidP="008C1767">
      <w:pPr>
        <w:pStyle w:val="Numlist"/>
        <w:numPr>
          <w:ilvl w:val="0"/>
          <w:numId w:val="84"/>
        </w:numPr>
        <w:tabs>
          <w:tab w:val="left" w:pos="284"/>
        </w:tabs>
        <w:ind w:left="0" w:firstLine="284"/>
        <w:jc w:val="both"/>
      </w:pPr>
      <w:r>
        <w:t>Определение скорости клубочковой фильтрации.</w:t>
      </w:r>
    </w:p>
    <w:p w14:paraId="3097A29A" w14:textId="77777777" w:rsidR="006F27D1" w:rsidRDefault="006F27D1" w:rsidP="008C1767">
      <w:pPr>
        <w:pStyle w:val="Numlist"/>
        <w:numPr>
          <w:ilvl w:val="0"/>
          <w:numId w:val="84"/>
        </w:numPr>
        <w:tabs>
          <w:tab w:val="left" w:pos="284"/>
        </w:tabs>
        <w:ind w:left="0" w:firstLine="284"/>
        <w:jc w:val="both"/>
      </w:pPr>
      <w:r>
        <w:t>Коагулограмма (протромбин, международное нормализованное отношение, активированное частичное тромбопластиновое время, фибриноген, тромбиновое время, антитромбин III, плазминоген).</w:t>
      </w:r>
    </w:p>
    <w:p w14:paraId="4445A9D0" w14:textId="77777777" w:rsidR="006F27D1" w:rsidRPr="006A495D" w:rsidRDefault="006F27D1" w:rsidP="008C1767">
      <w:pPr>
        <w:pStyle w:val="Numlist"/>
        <w:numPr>
          <w:ilvl w:val="0"/>
          <w:numId w:val="84"/>
        </w:numPr>
        <w:tabs>
          <w:tab w:val="left" w:pos="284"/>
        </w:tabs>
        <w:ind w:left="0" w:firstLine="284"/>
        <w:jc w:val="both"/>
      </w:pPr>
      <w:r w:rsidRPr="006A495D">
        <w:t xml:space="preserve">Пункция костного мозга </w:t>
      </w:r>
      <w:r>
        <w:t xml:space="preserve">с </w:t>
      </w:r>
      <w:r w:rsidRPr="006A495D">
        <w:t>подсчет</w:t>
      </w:r>
      <w:r>
        <w:t>ом миелограммы</w:t>
      </w:r>
      <w:r w:rsidRPr="006A495D">
        <w:t>.</w:t>
      </w:r>
    </w:p>
    <w:p w14:paraId="3F906F6C" w14:textId="77777777" w:rsidR="006F27D1" w:rsidRDefault="006F27D1" w:rsidP="008C1767">
      <w:pPr>
        <w:pStyle w:val="Numlist"/>
        <w:numPr>
          <w:ilvl w:val="0"/>
          <w:numId w:val="84"/>
        </w:numPr>
        <w:tabs>
          <w:tab w:val="left" w:pos="284"/>
        </w:tabs>
        <w:ind w:left="0" w:firstLine="284"/>
        <w:jc w:val="both"/>
      </w:pPr>
      <w:r>
        <w:t>Гистологическое</w:t>
      </w:r>
      <w:r w:rsidRPr="00100A57">
        <w:t xml:space="preserve"> исследование биопсийного материала костного мозга</w:t>
      </w:r>
      <w:r>
        <w:t xml:space="preserve"> для оценки кроветворения.</w:t>
      </w:r>
    </w:p>
    <w:p w14:paraId="230F5A6D" w14:textId="77777777" w:rsidR="006F27D1" w:rsidRDefault="006F27D1" w:rsidP="008C1767">
      <w:pPr>
        <w:pStyle w:val="Numlist"/>
        <w:numPr>
          <w:ilvl w:val="0"/>
          <w:numId w:val="84"/>
        </w:numPr>
        <w:tabs>
          <w:tab w:val="left" w:pos="284"/>
        </w:tabs>
        <w:ind w:left="0" w:firstLine="284"/>
        <w:jc w:val="both"/>
      </w:pPr>
      <w:r>
        <w:t>Гистологическое</w:t>
      </w:r>
      <w:r w:rsidRPr="00100A57">
        <w:t xml:space="preserve"> исследование биопсийного материала костного мозга с применением иммуногистохимических методов</w:t>
      </w:r>
      <w:r>
        <w:t xml:space="preserve"> для оценки состояния кроветворения и инфильтрации костного мозга опухолевыми клетками.</w:t>
      </w:r>
    </w:p>
    <w:p w14:paraId="1F0CD96C" w14:textId="77777777" w:rsidR="006F27D1" w:rsidRDefault="006F27D1" w:rsidP="008C1767">
      <w:pPr>
        <w:pStyle w:val="Numlist"/>
        <w:numPr>
          <w:ilvl w:val="0"/>
          <w:numId w:val="84"/>
        </w:numPr>
        <w:tabs>
          <w:tab w:val="left" w:pos="284"/>
        </w:tabs>
        <w:ind w:left="0" w:firstLine="284"/>
        <w:jc w:val="both"/>
      </w:pPr>
      <w:r w:rsidRPr="006A495D">
        <w:t>Иммунофенотипическое исследование костного мозга методом проточной цитометрии</w:t>
      </w:r>
      <w:r>
        <w:t xml:space="preserve"> для определения маркеров минимальной остаточной болезни.</w:t>
      </w:r>
    </w:p>
    <w:p w14:paraId="4AFDC532" w14:textId="77777777" w:rsidR="006F27D1" w:rsidRDefault="006F27D1" w:rsidP="008C1767">
      <w:pPr>
        <w:pStyle w:val="Numlist"/>
        <w:numPr>
          <w:ilvl w:val="0"/>
          <w:numId w:val="84"/>
        </w:numPr>
        <w:tabs>
          <w:tab w:val="left" w:pos="284"/>
        </w:tabs>
        <w:ind w:left="0" w:firstLine="284"/>
        <w:jc w:val="both"/>
      </w:pPr>
      <w:r>
        <w:t>Определение группы крови (</w:t>
      </w:r>
      <w:r w:rsidRPr="00100A57">
        <w:rPr>
          <w:lang w:val="en-US"/>
        </w:rPr>
        <w:t>ABO</w:t>
      </w:r>
      <w:r w:rsidRPr="00100A57">
        <w:t xml:space="preserve">, </w:t>
      </w:r>
      <w:r>
        <w:t xml:space="preserve">Резус, </w:t>
      </w:r>
      <w:r w:rsidRPr="00100A57">
        <w:t>фенотип по</w:t>
      </w:r>
      <w:r>
        <w:t xml:space="preserve"> антигенам C, c, E, e, Cw, K, k, а также </w:t>
      </w:r>
      <w:r w:rsidRPr="00100A57">
        <w:t>определение антиэритроцитарных антител</w:t>
      </w:r>
      <w:r>
        <w:t>).</w:t>
      </w:r>
    </w:p>
    <w:p w14:paraId="0482FB84" w14:textId="77777777" w:rsidR="006F27D1" w:rsidRPr="006A495D" w:rsidRDefault="006F27D1" w:rsidP="008C1767">
      <w:pPr>
        <w:pStyle w:val="Numlist"/>
        <w:numPr>
          <w:ilvl w:val="0"/>
          <w:numId w:val="84"/>
        </w:numPr>
        <w:tabs>
          <w:tab w:val="left" w:pos="284"/>
        </w:tabs>
        <w:ind w:left="0" w:firstLine="284"/>
        <w:jc w:val="both"/>
      </w:pPr>
      <w:r>
        <w:lastRenderedPageBreak/>
        <w:t>Исследование на м</w:t>
      </w:r>
      <w:r w:rsidRPr="006A495D">
        <w:t>аркеры вирусов гепатит</w:t>
      </w:r>
      <w:r>
        <w:t>ов</w:t>
      </w:r>
      <w:r>
        <w:rPr>
          <w:lang w:val="en-US"/>
        </w:rPr>
        <w:t> B</w:t>
      </w:r>
      <w:r w:rsidRPr="006A495D">
        <w:t xml:space="preserve"> и </w:t>
      </w:r>
      <w:r>
        <w:rPr>
          <w:lang w:val="en-US"/>
        </w:rPr>
        <w:t>C</w:t>
      </w:r>
      <w:r w:rsidRPr="006A495D">
        <w:t xml:space="preserve">, </w:t>
      </w:r>
      <w:r>
        <w:t xml:space="preserve">ВИЧ, </w:t>
      </w:r>
      <w:r>
        <w:rPr>
          <w:lang w:val="en-US"/>
        </w:rPr>
        <w:t>RW</w:t>
      </w:r>
      <w:r>
        <w:t>, ЦМВ, ЭБВ, при возможности токсоплазмы.</w:t>
      </w:r>
    </w:p>
    <w:p w14:paraId="2FF79D18" w14:textId="77777777" w:rsidR="006F27D1" w:rsidRPr="006A495D" w:rsidRDefault="006F27D1" w:rsidP="008C1767">
      <w:pPr>
        <w:pStyle w:val="Numlist"/>
        <w:numPr>
          <w:ilvl w:val="0"/>
          <w:numId w:val="84"/>
        </w:numPr>
        <w:tabs>
          <w:tab w:val="left" w:pos="284"/>
        </w:tabs>
        <w:ind w:left="0" w:firstLine="284"/>
        <w:jc w:val="both"/>
      </w:pPr>
      <w:r>
        <w:t>Электрокардиограмма.</w:t>
      </w:r>
    </w:p>
    <w:p w14:paraId="495266A7" w14:textId="77777777" w:rsidR="006F27D1" w:rsidRDefault="006F27D1" w:rsidP="008C1767">
      <w:pPr>
        <w:pStyle w:val="Numlist"/>
        <w:numPr>
          <w:ilvl w:val="0"/>
          <w:numId w:val="84"/>
        </w:numPr>
        <w:tabs>
          <w:tab w:val="left" w:pos="284"/>
        </w:tabs>
        <w:ind w:left="0" w:firstLine="284"/>
        <w:jc w:val="both"/>
      </w:pPr>
      <w:r w:rsidRPr="005A330B">
        <w:t>Эхокардиография</w:t>
      </w:r>
      <w:r>
        <w:t>.</w:t>
      </w:r>
    </w:p>
    <w:p w14:paraId="7938F2B3" w14:textId="77777777" w:rsidR="006F27D1" w:rsidRDefault="006F27D1" w:rsidP="008C1767">
      <w:pPr>
        <w:pStyle w:val="Numlist"/>
        <w:numPr>
          <w:ilvl w:val="0"/>
          <w:numId w:val="84"/>
        </w:numPr>
        <w:tabs>
          <w:tab w:val="left" w:pos="284"/>
        </w:tabs>
        <w:ind w:left="0" w:firstLine="284"/>
        <w:jc w:val="both"/>
      </w:pPr>
      <w:r>
        <w:t>Функция внешнего дыхания.</w:t>
      </w:r>
    </w:p>
    <w:p w14:paraId="18C3BBA9" w14:textId="77777777" w:rsidR="006F27D1" w:rsidRDefault="006F27D1" w:rsidP="008C1767">
      <w:pPr>
        <w:pStyle w:val="Numlist"/>
        <w:numPr>
          <w:ilvl w:val="0"/>
          <w:numId w:val="84"/>
        </w:numPr>
        <w:tabs>
          <w:tab w:val="left" w:pos="284"/>
        </w:tabs>
        <w:ind w:left="0" w:firstLine="284"/>
        <w:jc w:val="both"/>
      </w:pPr>
      <w:r>
        <w:t>Холтеровское мониторирование сердечного ритма – при выявлении нарушений ритма и проводимости на ЭКГ.</w:t>
      </w:r>
    </w:p>
    <w:p w14:paraId="2802F4F9" w14:textId="77777777" w:rsidR="006F27D1" w:rsidRDefault="006F27D1" w:rsidP="008C1767">
      <w:pPr>
        <w:pStyle w:val="Numlist"/>
        <w:numPr>
          <w:ilvl w:val="0"/>
          <w:numId w:val="84"/>
        </w:numPr>
        <w:tabs>
          <w:tab w:val="left" w:pos="284"/>
        </w:tabs>
        <w:ind w:left="0" w:firstLine="284"/>
        <w:jc w:val="both"/>
      </w:pPr>
      <w:r>
        <w:t>УЗИ брюшной полости (комплексное).</w:t>
      </w:r>
    </w:p>
    <w:p w14:paraId="147CBF3D" w14:textId="77777777" w:rsidR="006F27D1" w:rsidRDefault="006F27D1" w:rsidP="008C1767">
      <w:pPr>
        <w:pStyle w:val="Numlist"/>
        <w:numPr>
          <w:ilvl w:val="0"/>
          <w:numId w:val="84"/>
        </w:numPr>
        <w:tabs>
          <w:tab w:val="left" w:pos="284"/>
        </w:tabs>
        <w:ind w:left="0" w:firstLine="284"/>
        <w:jc w:val="both"/>
      </w:pPr>
      <w:r w:rsidRPr="005A330B">
        <w:t>Ультразвуковая допплерография сосудов (артерий и вен) нижних конечностей</w:t>
      </w:r>
      <w:r w:rsidRPr="006A495D">
        <w:t xml:space="preserve"> </w:t>
      </w:r>
      <w:r>
        <w:t>- при необходимости.</w:t>
      </w:r>
    </w:p>
    <w:p w14:paraId="10C14547" w14:textId="77777777" w:rsidR="006F27D1" w:rsidRPr="006A495D" w:rsidRDefault="006F27D1" w:rsidP="008C1767">
      <w:pPr>
        <w:pStyle w:val="Numlist"/>
        <w:numPr>
          <w:ilvl w:val="0"/>
          <w:numId w:val="84"/>
        </w:numPr>
        <w:tabs>
          <w:tab w:val="left" w:pos="284"/>
        </w:tabs>
        <w:ind w:left="0" w:firstLine="284"/>
        <w:jc w:val="both"/>
      </w:pPr>
      <w:r w:rsidRPr="00433BA2">
        <w:t>Эзофагогастродуоденоскопия</w:t>
      </w:r>
      <w:r>
        <w:t xml:space="preserve"> с биопсией – при наличии диспепсических расстройств или язвенной болезни желудка/ двенадцатиперстной кишки в анамнезе.</w:t>
      </w:r>
    </w:p>
    <w:p w14:paraId="618B7E85" w14:textId="77777777" w:rsidR="006F27D1" w:rsidRDefault="006F27D1" w:rsidP="008C1767">
      <w:pPr>
        <w:pStyle w:val="Numlist"/>
        <w:numPr>
          <w:ilvl w:val="0"/>
          <w:numId w:val="84"/>
        </w:numPr>
        <w:tabs>
          <w:tab w:val="left" w:pos="284"/>
        </w:tabs>
        <w:ind w:left="0" w:firstLine="284"/>
        <w:jc w:val="both"/>
      </w:pPr>
      <w:r>
        <w:t>МРТ головного мозга, придаточных пазух носа с целью выявления скрытых очагов инфекций.</w:t>
      </w:r>
    </w:p>
    <w:p w14:paraId="3F81AA54" w14:textId="77777777" w:rsidR="006F27D1" w:rsidRDefault="006F27D1" w:rsidP="008C1767">
      <w:pPr>
        <w:pStyle w:val="Numlist"/>
        <w:numPr>
          <w:ilvl w:val="0"/>
          <w:numId w:val="84"/>
        </w:numPr>
        <w:tabs>
          <w:tab w:val="left" w:pos="284"/>
        </w:tabs>
        <w:ind w:left="0" w:firstLine="284"/>
        <w:jc w:val="both"/>
      </w:pPr>
      <w:r>
        <w:t>КТ органов грудной полости.</w:t>
      </w:r>
    </w:p>
    <w:p w14:paraId="6C703593" w14:textId="77777777" w:rsidR="006F27D1" w:rsidRDefault="006F27D1" w:rsidP="008C1767">
      <w:pPr>
        <w:pStyle w:val="Numlist"/>
        <w:numPr>
          <w:ilvl w:val="0"/>
          <w:numId w:val="84"/>
        </w:numPr>
        <w:tabs>
          <w:tab w:val="left" w:pos="284"/>
        </w:tabs>
        <w:ind w:left="0" w:firstLine="284"/>
        <w:jc w:val="both"/>
      </w:pPr>
      <w:r>
        <w:t>Люмбальная пункция с последующим цитологическим, комплексным иммунохимическим и иммунофенотипическим исследованием ликвора при подозрении на вовлечение в патологический процесс центральной нервной системы.</w:t>
      </w:r>
    </w:p>
    <w:p w14:paraId="27C4392C" w14:textId="77777777" w:rsidR="006F27D1" w:rsidRDefault="006F27D1" w:rsidP="008C1767">
      <w:pPr>
        <w:pStyle w:val="Numlist"/>
        <w:numPr>
          <w:ilvl w:val="0"/>
          <w:numId w:val="84"/>
        </w:numPr>
        <w:tabs>
          <w:tab w:val="left" w:pos="284"/>
        </w:tabs>
        <w:ind w:left="0" w:firstLine="284"/>
        <w:jc w:val="both"/>
      </w:pPr>
      <w:r>
        <w:t>Осмотр стоматолога.</w:t>
      </w:r>
    </w:p>
    <w:p w14:paraId="2DD20EB3" w14:textId="77777777" w:rsidR="006F27D1" w:rsidRPr="0031585B" w:rsidRDefault="006F27D1" w:rsidP="008C1767">
      <w:pPr>
        <w:pStyle w:val="Numlist"/>
        <w:numPr>
          <w:ilvl w:val="0"/>
          <w:numId w:val="84"/>
        </w:numPr>
        <w:tabs>
          <w:tab w:val="left" w:pos="284"/>
        </w:tabs>
        <w:ind w:left="0" w:firstLine="284"/>
        <w:jc w:val="both"/>
      </w:pPr>
      <w:r>
        <w:t>Осмотр гинеколога и УЗИ органов малого таза - для женщин.</w:t>
      </w:r>
    </w:p>
    <w:p w14:paraId="6E8AA7F7" w14:textId="77777777" w:rsidR="006F27D1" w:rsidRDefault="006F27D1" w:rsidP="006F27D1">
      <w:pPr>
        <w:pStyle w:val="afff3"/>
        <w:ind w:left="0"/>
        <w:rPr>
          <w:szCs w:val="24"/>
          <w:u w:val="single"/>
        </w:rPr>
      </w:pPr>
    </w:p>
    <w:p w14:paraId="585A9EBF" w14:textId="4CEDAFBF" w:rsidR="006F27D1" w:rsidRPr="003E7EBA" w:rsidRDefault="006F27D1" w:rsidP="006F27D1">
      <w:pPr>
        <w:pStyle w:val="afff3"/>
        <w:ind w:left="0"/>
        <w:rPr>
          <w:szCs w:val="24"/>
          <w:u w:val="single"/>
        </w:rPr>
      </w:pPr>
      <w:r w:rsidRPr="003E7EBA">
        <w:rPr>
          <w:szCs w:val="24"/>
          <w:u w:val="single"/>
        </w:rPr>
        <w:t>Специальные методы обследования при</w:t>
      </w:r>
      <w:r w:rsidR="00BE6D4A">
        <w:rPr>
          <w:szCs w:val="24"/>
          <w:u w:val="single"/>
        </w:rPr>
        <w:t xml:space="preserve"> </w:t>
      </w:r>
      <w:r w:rsidR="00BE6D4A">
        <w:rPr>
          <w:szCs w:val="24"/>
          <w:u w:val="single"/>
          <w:lang w:val="en-US"/>
        </w:rPr>
        <w:t>Ph</w:t>
      </w:r>
      <w:r w:rsidR="00BE6D4A" w:rsidRPr="00BE6D4A">
        <w:rPr>
          <w:szCs w:val="24"/>
          <w:u w:val="single"/>
        </w:rPr>
        <w:t>-</w:t>
      </w:r>
      <w:r w:rsidR="00BE6D4A">
        <w:rPr>
          <w:szCs w:val="24"/>
          <w:u w:val="single"/>
        </w:rPr>
        <w:t>позитивном ОЛЛ</w:t>
      </w:r>
    </w:p>
    <w:p w14:paraId="401D9421" w14:textId="77777777" w:rsidR="006F27D1" w:rsidRDefault="006F27D1" w:rsidP="008C1767">
      <w:pPr>
        <w:pStyle w:val="Numlist"/>
        <w:numPr>
          <w:ilvl w:val="0"/>
          <w:numId w:val="85"/>
        </w:numPr>
        <w:tabs>
          <w:tab w:val="left" w:pos="284"/>
        </w:tabs>
        <w:ind w:left="0" w:firstLine="284"/>
        <w:jc w:val="both"/>
      </w:pPr>
      <w:r>
        <w:t xml:space="preserve">Цитогенетическое исследование </w:t>
      </w:r>
      <w:r w:rsidRPr="005E14BE">
        <w:t>(</w:t>
      </w:r>
      <w:r>
        <w:rPr>
          <w:lang w:val="en-US"/>
        </w:rPr>
        <w:t>FISH</w:t>
      </w:r>
      <w:r>
        <w:t>) с целью идентификации</w:t>
      </w:r>
      <w:r w:rsidRPr="005E14BE">
        <w:t xml:space="preserve"> </w:t>
      </w:r>
      <w:r>
        <w:rPr>
          <w:lang w:val="en-US"/>
        </w:rPr>
        <w:t>BCR</w:t>
      </w:r>
      <w:r w:rsidRPr="005E14BE">
        <w:t>-</w:t>
      </w:r>
      <w:r>
        <w:rPr>
          <w:lang w:val="en-US"/>
        </w:rPr>
        <w:t>ABL</w:t>
      </w:r>
      <w:r w:rsidRPr="005E14BE">
        <w:t>.</w:t>
      </w:r>
    </w:p>
    <w:p w14:paraId="49C89E97" w14:textId="77777777" w:rsidR="006F27D1" w:rsidRDefault="006F27D1" w:rsidP="008C1767">
      <w:pPr>
        <w:pStyle w:val="Numlist"/>
        <w:numPr>
          <w:ilvl w:val="0"/>
          <w:numId w:val="85"/>
        </w:numPr>
        <w:tabs>
          <w:tab w:val="left" w:pos="284"/>
        </w:tabs>
        <w:ind w:left="0" w:firstLine="284"/>
        <w:jc w:val="both"/>
      </w:pPr>
      <w:r>
        <w:t>Молекулярно-генетическое исследование для оценки МОБ-статуса (р190, р210).</w:t>
      </w:r>
    </w:p>
    <w:p w14:paraId="6CD95784" w14:textId="77777777" w:rsidR="006F27D1" w:rsidRDefault="006F27D1" w:rsidP="006F27D1">
      <w:pPr>
        <w:rPr>
          <w:b/>
          <w:szCs w:val="24"/>
        </w:rPr>
      </w:pPr>
    </w:p>
    <w:p w14:paraId="68FF58D0" w14:textId="77777777" w:rsidR="006F27D1" w:rsidRPr="00B95A46" w:rsidRDefault="006F27D1" w:rsidP="006F27D1">
      <w:pPr>
        <w:rPr>
          <w:b/>
          <w:szCs w:val="24"/>
        </w:rPr>
      </w:pPr>
      <w:r w:rsidRPr="0031526F">
        <w:rPr>
          <w:b/>
          <w:szCs w:val="24"/>
        </w:rPr>
        <w:t>Режимы предтрансплантационной подготовки при ауто-ТГСК</w:t>
      </w:r>
      <w:r w:rsidRPr="00B95A46">
        <w:rPr>
          <w:b/>
          <w:szCs w:val="24"/>
        </w:rPr>
        <w:t xml:space="preserve"> </w:t>
      </w:r>
    </w:p>
    <w:p w14:paraId="26FF1920" w14:textId="77777777" w:rsidR="006F27D1" w:rsidRDefault="006F27D1" w:rsidP="006F27D1">
      <w:pPr>
        <w:pStyle w:val="afff3"/>
        <w:ind w:left="0" w:firstLine="426"/>
        <w:rPr>
          <w:szCs w:val="24"/>
        </w:rPr>
      </w:pPr>
      <w:r>
        <w:rPr>
          <w:szCs w:val="24"/>
        </w:rPr>
        <w:t>Трансплантация аутологичных гемопоэтических стволовых клеток крови включает в себя несколько этапов, среди которых различают мобилизацию и сбор ГСК, предтрансплантационную подготовку («кондиционирование» / введение химиопрепаратов в высоких дозах), инфузию ГСК в центральный венозный катетер, ранний посттрансплантационный период, характеризующийся высокой частотой развития инфекционных осложнений на фоне МТА.</w:t>
      </w:r>
    </w:p>
    <w:p w14:paraId="2373BA3E" w14:textId="77777777" w:rsidR="006F27D1" w:rsidRDefault="006F27D1" w:rsidP="006F27D1">
      <w:pPr>
        <w:pStyle w:val="afff3"/>
        <w:ind w:left="0" w:firstLine="426"/>
        <w:rPr>
          <w:szCs w:val="24"/>
        </w:rPr>
      </w:pPr>
      <w:r>
        <w:rPr>
          <w:szCs w:val="24"/>
        </w:rPr>
        <w:t>При различных вариантах гемобластозов используются различные режимы кондиционирования.</w:t>
      </w:r>
    </w:p>
    <w:p w14:paraId="29BC994B" w14:textId="77777777" w:rsidR="006F27D1" w:rsidRDefault="006F27D1" w:rsidP="006F27D1">
      <w:pPr>
        <w:pStyle w:val="afff3"/>
        <w:ind w:left="0"/>
        <w:rPr>
          <w:szCs w:val="24"/>
          <w:u w:val="single"/>
        </w:rPr>
      </w:pPr>
    </w:p>
    <w:p w14:paraId="3EDC927C" w14:textId="77777777" w:rsidR="006F27D1" w:rsidRPr="003E7EBA" w:rsidRDefault="006F27D1" w:rsidP="006F27D1">
      <w:pPr>
        <w:pStyle w:val="afff3"/>
        <w:ind w:left="0"/>
        <w:rPr>
          <w:szCs w:val="24"/>
          <w:u w:val="single"/>
        </w:rPr>
      </w:pPr>
      <w:r w:rsidRPr="007A56DF">
        <w:rPr>
          <w:szCs w:val="24"/>
          <w:u w:val="single"/>
        </w:rPr>
        <w:lastRenderedPageBreak/>
        <w:t>Режим кондиционирования при Ph-позитивном остром лимфобластном лейкозе</w:t>
      </w:r>
    </w:p>
    <w:p w14:paraId="2EEC7FEE" w14:textId="701483BC" w:rsidR="006F27D1" w:rsidRPr="00206B66" w:rsidRDefault="006F27D1" w:rsidP="006F27D1">
      <w:pPr>
        <w:pStyle w:val="afff3"/>
        <w:ind w:left="0" w:firstLine="709"/>
        <w:rPr>
          <w:szCs w:val="24"/>
        </w:rPr>
      </w:pPr>
      <w:r w:rsidRPr="00854709">
        <w:rPr>
          <w:szCs w:val="24"/>
        </w:rPr>
        <w:t>В случае достижения полной молекулярной ремиссии во время индукционной или консолидирующей терапии у больных моложе 40 лет может быть рассмотрен вариант ауто-ТГСК, заготовленных после подтверждения ПМР. Кондиционирование перед ауто-ТГСК проводится в миелоаблативном режиме</w:t>
      </w:r>
      <w:r w:rsidRPr="00206B66">
        <w:rPr>
          <w:szCs w:val="24"/>
        </w:rPr>
        <w:t xml:space="preserve"> </w:t>
      </w:r>
      <w:r>
        <w:rPr>
          <w:szCs w:val="24"/>
        </w:rPr>
        <w:t xml:space="preserve">- </w:t>
      </w:r>
      <w:r w:rsidRPr="00206B66">
        <w:rPr>
          <w:szCs w:val="24"/>
        </w:rPr>
        <w:t xml:space="preserve">бусульфан </w:t>
      </w:r>
      <w:r>
        <w:rPr>
          <w:szCs w:val="24"/>
        </w:rPr>
        <w:t>+</w:t>
      </w:r>
      <w:r w:rsidRPr="00206B66">
        <w:rPr>
          <w:szCs w:val="24"/>
        </w:rPr>
        <w:t xml:space="preserve"> циклофосфан</w:t>
      </w:r>
      <w:r>
        <w:rPr>
          <w:szCs w:val="24"/>
        </w:rPr>
        <w:t xml:space="preserve"> (бусульфан </w:t>
      </w:r>
      <w:r w:rsidRPr="00206B66">
        <w:rPr>
          <w:szCs w:val="24"/>
        </w:rPr>
        <w:t>1 мг/кг х 4 р/д -6,-5,-4 дни</w:t>
      </w:r>
      <w:r>
        <w:rPr>
          <w:szCs w:val="24"/>
        </w:rPr>
        <w:t xml:space="preserve"> </w:t>
      </w:r>
      <w:r w:rsidRPr="00206B66">
        <w:rPr>
          <w:szCs w:val="24"/>
        </w:rPr>
        <w:t xml:space="preserve">и </w:t>
      </w:r>
      <w:r>
        <w:rPr>
          <w:szCs w:val="24"/>
        </w:rPr>
        <w:t xml:space="preserve">циклофосфан </w:t>
      </w:r>
      <w:r w:rsidRPr="00206B66">
        <w:rPr>
          <w:szCs w:val="24"/>
        </w:rPr>
        <w:t>60 мг/кг х 1р/д</w:t>
      </w:r>
      <w:r>
        <w:rPr>
          <w:szCs w:val="24"/>
        </w:rPr>
        <w:t xml:space="preserve"> в</w:t>
      </w:r>
      <w:r w:rsidRPr="00206B66">
        <w:rPr>
          <w:szCs w:val="24"/>
        </w:rPr>
        <w:t xml:space="preserve"> -3</w:t>
      </w:r>
      <w:r>
        <w:rPr>
          <w:szCs w:val="24"/>
        </w:rPr>
        <w:t xml:space="preserve"> и -2 дни)</w:t>
      </w:r>
      <w:r w:rsidRPr="00206B66">
        <w:rPr>
          <w:szCs w:val="24"/>
        </w:rPr>
        <w:fldChar w:fldCharType="begin" w:fldLock="1"/>
      </w:r>
      <w:r w:rsidR="00A67ED2">
        <w:rPr>
          <w:szCs w:val="24"/>
        </w:rPr>
        <w:instrText>ADDIN CSL_CITATION {"citationItems":[{"id":"ITEM-1","itemData":{"author":[{"dropping-particle":"","family":"Савченко В.Г. и др","given":"","non-dropping-particle":"","parse-names":false,"suffix":""}],"id":"ITEM-1","issued":{"date-parts":[["2018"]]},"number-of-pages":"1008","publisher":"Практика","publisher-place":"Москва","title":"Алгоритмы диагностики и протоколы лечения заболеваний системы крови.","type":"book"},"uris":["http://www.mendeley.com/documents/?uuid=f91ae641-8062-4f5f-b416-94b015742043","http://www.mendeley.com/documents/?uuid=2cd270b2-efaf-4da9-a95d-66324661ea35"]}],"mendeley":{"formattedCitation":"[158]","plainTextFormattedCitation":"[158]","previouslyFormattedCitation":"[131]"},"properties":{"noteIndex":0},"schema":"https://github.com/citation-style-language/schema/raw/master/csl-citation.json"}</w:instrText>
      </w:r>
      <w:r w:rsidRPr="00206B66">
        <w:rPr>
          <w:szCs w:val="24"/>
        </w:rPr>
        <w:fldChar w:fldCharType="separate"/>
      </w:r>
      <w:r w:rsidR="00A67ED2" w:rsidRPr="00A67ED2">
        <w:rPr>
          <w:noProof/>
          <w:szCs w:val="24"/>
        </w:rPr>
        <w:t>[158]</w:t>
      </w:r>
      <w:r w:rsidRPr="00206B66">
        <w:rPr>
          <w:szCs w:val="24"/>
        </w:rPr>
        <w:fldChar w:fldCharType="end"/>
      </w:r>
      <w:r w:rsidRPr="00206B66">
        <w:rPr>
          <w:szCs w:val="24"/>
        </w:rPr>
        <w:t>.</w:t>
      </w:r>
    </w:p>
    <w:p w14:paraId="41F4A1FB" w14:textId="77777777" w:rsidR="006F27D1" w:rsidRDefault="006F27D1" w:rsidP="006F27D1">
      <w:pPr>
        <w:rPr>
          <w:b/>
          <w:szCs w:val="24"/>
          <w:highlight w:val="green"/>
        </w:rPr>
      </w:pPr>
    </w:p>
    <w:p w14:paraId="60F6EFD3" w14:textId="77777777" w:rsidR="006F27D1" w:rsidRPr="00B95A46" w:rsidRDefault="006F27D1" w:rsidP="006F27D1">
      <w:pPr>
        <w:rPr>
          <w:b/>
          <w:szCs w:val="24"/>
        </w:rPr>
      </w:pPr>
      <w:r w:rsidRPr="006E6081">
        <w:rPr>
          <w:b/>
          <w:szCs w:val="24"/>
        </w:rPr>
        <w:t>Инфузия аутологичных гемопоэтических стволовых клеток.</w:t>
      </w:r>
    </w:p>
    <w:p w14:paraId="7C5B6317" w14:textId="77777777" w:rsidR="006F27D1" w:rsidRDefault="006F27D1" w:rsidP="006F27D1">
      <w:pPr>
        <w:ind w:firstLine="709"/>
        <w:rPr>
          <w:szCs w:val="24"/>
        </w:rPr>
      </w:pPr>
      <w:r>
        <w:rPr>
          <w:szCs w:val="24"/>
        </w:rPr>
        <w:t>Инфузия гемопоэтических стволовых клеток осуществляется в центральный венозный катетер с соблюдением принципов асептики и антисептики.</w:t>
      </w:r>
    </w:p>
    <w:p w14:paraId="58F569B5" w14:textId="77777777" w:rsidR="006F27D1" w:rsidRDefault="006F27D1" w:rsidP="006F27D1">
      <w:pPr>
        <w:ind w:firstLine="709"/>
        <w:rPr>
          <w:szCs w:val="24"/>
        </w:rPr>
      </w:pPr>
      <w:r>
        <w:rPr>
          <w:szCs w:val="24"/>
        </w:rPr>
        <w:t>Временной интервал после оканчание химиотерапии до инфузии ГСК не менее 24ч.</w:t>
      </w:r>
    </w:p>
    <w:p w14:paraId="59E52470" w14:textId="77777777" w:rsidR="006F27D1" w:rsidRDefault="006F27D1" w:rsidP="006F27D1">
      <w:pPr>
        <w:ind w:firstLine="709"/>
        <w:rPr>
          <w:szCs w:val="24"/>
        </w:rPr>
      </w:pPr>
      <w:r>
        <w:rPr>
          <w:szCs w:val="24"/>
        </w:rPr>
        <w:t>Перед началом процедуры трансплантации врач обязан осмотреть криоконсервированные мешки, содержащие ГСК, убедиться в целостности упаковки и отсутствии повреждений, сравнить идентификационные данные, указанные на упаковке с данными пациента.</w:t>
      </w:r>
    </w:p>
    <w:p w14:paraId="46B3B4CE" w14:textId="77777777" w:rsidR="006F27D1" w:rsidRDefault="006F27D1" w:rsidP="006F27D1">
      <w:pPr>
        <w:ind w:firstLine="709"/>
        <w:rPr>
          <w:szCs w:val="24"/>
        </w:rPr>
      </w:pPr>
      <w:r>
        <w:rPr>
          <w:szCs w:val="24"/>
        </w:rPr>
        <w:t>Для первого введения выбирают мешок с максимальной клеточностью. При манипуляциях с мешком запрещается использовать металлические предметы (зажимы, пинцеты и т.д.). При наличии нескольких пакетов криоконсервированных ГСК между инфузиями целесообразно делать перерывы. В ряде случаев допустимо введение ГСК в течение 2 дней (пожилые, ослабленные пациенты).</w:t>
      </w:r>
    </w:p>
    <w:p w14:paraId="772C0DB0" w14:textId="77777777" w:rsidR="006F27D1" w:rsidRDefault="006F27D1" w:rsidP="006F27D1">
      <w:pPr>
        <w:ind w:firstLine="709"/>
        <w:rPr>
          <w:szCs w:val="24"/>
        </w:rPr>
      </w:pPr>
      <w:r>
        <w:rPr>
          <w:szCs w:val="24"/>
        </w:rPr>
        <w:t>Криоконсервированные ГСК размораживают на водяной бане или программном размораживателе при температуре 37</w:t>
      </w:r>
      <w:r>
        <w:rPr>
          <w:szCs w:val="24"/>
          <w:vertAlign w:val="superscript"/>
        </w:rPr>
        <w:t>о</w:t>
      </w:r>
      <w:r>
        <w:rPr>
          <w:szCs w:val="24"/>
        </w:rPr>
        <w:t>С. После разморозки врач должен убедиться в том, что в мешке отсутствуют фрагменты льда или сгустки. После этого врач присоединяет мешок к системе для инфузии.</w:t>
      </w:r>
    </w:p>
    <w:p w14:paraId="70160462" w14:textId="77777777" w:rsidR="006F27D1" w:rsidRDefault="006F27D1" w:rsidP="006F27D1">
      <w:pPr>
        <w:ind w:firstLine="709"/>
        <w:rPr>
          <w:szCs w:val="24"/>
        </w:rPr>
      </w:pPr>
      <w:r>
        <w:rPr>
          <w:szCs w:val="24"/>
        </w:rPr>
        <w:t>В ряде случаев перед введением лейкоконцентрата в центральный венозный катетер проводится премедикация, для которой используется промедол в стандартной дозировке.</w:t>
      </w:r>
    </w:p>
    <w:p w14:paraId="17B30FBA" w14:textId="77777777" w:rsidR="006F27D1" w:rsidRDefault="006F27D1" w:rsidP="006F27D1">
      <w:pPr>
        <w:ind w:firstLine="709"/>
        <w:rPr>
          <w:szCs w:val="24"/>
        </w:rPr>
      </w:pPr>
      <w:r>
        <w:rPr>
          <w:szCs w:val="24"/>
        </w:rPr>
        <w:t xml:space="preserve">Начальная скорость введения ГСК составляет 3-5 мл/мин (4-5 минут), после чего скорость можно увеличить до максимально возможной. Во время и после инфузий ГСК осуществляется мониторинг жизненно-важных показателей: АД, ЧСС, ЧД. </w:t>
      </w:r>
    </w:p>
    <w:p w14:paraId="4B6F0A3E" w14:textId="77777777" w:rsidR="006F27D1" w:rsidRDefault="006F27D1" w:rsidP="006F27D1">
      <w:pPr>
        <w:ind w:firstLine="709"/>
        <w:rPr>
          <w:szCs w:val="24"/>
        </w:rPr>
      </w:pPr>
      <w:r>
        <w:rPr>
          <w:szCs w:val="24"/>
        </w:rPr>
        <w:t xml:space="preserve">В случае развития гемолиза, инфузия следующего мешка приостанавливается до купирования осложнений. </w:t>
      </w:r>
    </w:p>
    <w:p w14:paraId="7DE8C4C9" w14:textId="77777777" w:rsidR="006F27D1" w:rsidRDefault="006F27D1" w:rsidP="006F27D1">
      <w:pPr>
        <w:ind w:firstLine="709"/>
        <w:rPr>
          <w:szCs w:val="24"/>
        </w:rPr>
      </w:pPr>
      <w:r>
        <w:rPr>
          <w:szCs w:val="24"/>
        </w:rPr>
        <w:t xml:space="preserve">После завершения инфузии ход ЦВК промывают физиологическим раствором. </w:t>
      </w:r>
    </w:p>
    <w:p w14:paraId="65D2522C" w14:textId="77777777" w:rsidR="006F27D1" w:rsidRDefault="006F27D1" w:rsidP="006F27D1">
      <w:pPr>
        <w:ind w:firstLine="709"/>
        <w:rPr>
          <w:szCs w:val="24"/>
        </w:rPr>
      </w:pPr>
      <w:r>
        <w:rPr>
          <w:szCs w:val="24"/>
        </w:rPr>
        <w:t>Через 2 часа после завершения инфузии выполняют биохимическое исследование крови (оценка электролитов), оценивают цвет мочи для исключения гемолиза.</w:t>
      </w:r>
    </w:p>
    <w:p w14:paraId="50A74543" w14:textId="77777777" w:rsidR="006F27D1" w:rsidRDefault="006F27D1" w:rsidP="006F27D1">
      <w:pPr>
        <w:ind w:firstLine="709"/>
        <w:rPr>
          <w:szCs w:val="24"/>
        </w:rPr>
      </w:pPr>
      <w:r>
        <w:rPr>
          <w:szCs w:val="24"/>
        </w:rPr>
        <w:t xml:space="preserve">В истории болезни оформляется протокол операции, с указанием этапов введения </w:t>
      </w:r>
      <w:r>
        <w:rPr>
          <w:szCs w:val="24"/>
        </w:rPr>
        <w:lastRenderedPageBreak/>
        <w:t xml:space="preserve">ГСК, временных интервалов и состояния пациента. </w:t>
      </w:r>
    </w:p>
    <w:p w14:paraId="3C190F08" w14:textId="77777777" w:rsidR="006F27D1" w:rsidRPr="00E133D6" w:rsidRDefault="006F27D1" w:rsidP="006F27D1">
      <w:pPr>
        <w:ind w:firstLine="709"/>
        <w:rPr>
          <w:szCs w:val="24"/>
        </w:rPr>
      </w:pPr>
      <w:r>
        <w:rPr>
          <w:szCs w:val="24"/>
        </w:rPr>
        <w:t xml:space="preserve">На следующий день выполняется общий анализ мочи. </w:t>
      </w:r>
    </w:p>
    <w:p w14:paraId="28626AC4" w14:textId="77777777" w:rsidR="006F27D1" w:rsidRDefault="006F27D1" w:rsidP="006F27D1">
      <w:pPr>
        <w:rPr>
          <w:rFonts w:eastAsiaTheme="majorEastAsia"/>
          <w:b/>
          <w:bCs/>
          <w:szCs w:val="24"/>
        </w:rPr>
      </w:pPr>
    </w:p>
    <w:p w14:paraId="62A6B845" w14:textId="77777777" w:rsidR="006F27D1" w:rsidRPr="007A56DF" w:rsidRDefault="006F27D1" w:rsidP="006F27D1">
      <w:pPr>
        <w:rPr>
          <w:i/>
          <w:szCs w:val="24"/>
          <w:u w:val="single"/>
        </w:rPr>
      </w:pPr>
      <w:r w:rsidRPr="007A56DF">
        <w:rPr>
          <w:i/>
          <w:szCs w:val="24"/>
          <w:u w:val="single"/>
        </w:rPr>
        <w:t>Сопроводительная терапия при ауто-ТГСК.</w:t>
      </w:r>
    </w:p>
    <w:p w14:paraId="30F80B74" w14:textId="77777777" w:rsidR="006F27D1" w:rsidRPr="00B95A46" w:rsidRDefault="006F27D1" w:rsidP="006F27D1">
      <w:pPr>
        <w:rPr>
          <w:b/>
          <w:szCs w:val="24"/>
        </w:rPr>
      </w:pPr>
      <w:r w:rsidRPr="006E6081">
        <w:rPr>
          <w:b/>
          <w:szCs w:val="24"/>
        </w:rPr>
        <w:t>Инфузионная терапия</w:t>
      </w:r>
    </w:p>
    <w:p w14:paraId="36DC398F" w14:textId="77777777" w:rsidR="006F27D1" w:rsidRPr="00515760" w:rsidRDefault="006F27D1" w:rsidP="006F27D1">
      <w:pPr>
        <w:pStyle w:val="afff3"/>
        <w:ind w:left="0" w:firstLine="567"/>
      </w:pPr>
      <w:r>
        <w:rPr>
          <w:szCs w:val="24"/>
        </w:rPr>
        <w:t>С целью уменьшения токсичности кондиционирования и профилактики синдрома лизиса опухоли всем пациентам проводится инфузионная терапия.</w:t>
      </w:r>
    </w:p>
    <w:p w14:paraId="3998E350" w14:textId="77777777" w:rsidR="006F27D1" w:rsidRPr="00515760" w:rsidRDefault="006F27D1" w:rsidP="006F27D1">
      <w:pPr>
        <w:pStyle w:val="afff3"/>
        <w:ind w:left="0" w:firstLine="567"/>
      </w:pPr>
      <w:r>
        <w:t>Основные принципы инфузионной терапии во время ауто-ТГСК:</w:t>
      </w:r>
    </w:p>
    <w:p w14:paraId="39554F07" w14:textId="77777777" w:rsidR="006F27D1" w:rsidRDefault="006F27D1" w:rsidP="008C1767">
      <w:pPr>
        <w:pStyle w:val="afff3"/>
        <w:widowControl/>
        <w:numPr>
          <w:ilvl w:val="0"/>
          <w:numId w:val="175"/>
        </w:numPr>
        <w:autoSpaceDE/>
        <w:autoSpaceDN/>
        <w:adjustRightInd/>
        <w:ind w:left="0" w:firstLine="0"/>
      </w:pPr>
      <w:r>
        <w:rPr>
          <w:szCs w:val="24"/>
        </w:rPr>
        <w:t>Все инфузии проводятся в центральный венозный катетер</w:t>
      </w:r>
    </w:p>
    <w:p w14:paraId="18C586A7" w14:textId="77777777" w:rsidR="006F27D1" w:rsidRDefault="006F27D1" w:rsidP="008C1767">
      <w:pPr>
        <w:pStyle w:val="afff3"/>
        <w:widowControl/>
        <w:numPr>
          <w:ilvl w:val="0"/>
          <w:numId w:val="175"/>
        </w:numPr>
        <w:autoSpaceDE/>
        <w:autoSpaceDN/>
        <w:adjustRightInd/>
        <w:ind w:left="0" w:firstLine="0"/>
      </w:pPr>
      <w:r>
        <w:t xml:space="preserve">На этапе предтрансплантационного кондиционирования объем инфузионной терапии составляет 2-3 литра в сутки, после трансплантации объем инфузий должен составлять не менее 1,5 литров в сутки, водная нагрузка распределяется равномерно в течение суток. Чаще всего применяются кристаллоидные растворы: изотонический раствор хлорида натрия (0,9% </w:t>
      </w:r>
      <w:r>
        <w:rPr>
          <w:lang w:val="en-US"/>
        </w:rPr>
        <w:t>NaCl</w:t>
      </w:r>
      <w:r>
        <w:t>), раствор 5% глюкозы, раствор Рингера, калия и магния аспарагинат. Для коррекции ацидоза используют 5% раствор натрия гидрокарбоната. В случае выраженной гипоальбумиемии, отечного синдрома безбелкового генеза применяются коллоидные растворы (5-20% растворы альбумина человеческого).</w:t>
      </w:r>
    </w:p>
    <w:p w14:paraId="6CCB769A" w14:textId="77777777" w:rsidR="006F27D1" w:rsidRDefault="006F27D1" w:rsidP="008C1767">
      <w:pPr>
        <w:pStyle w:val="afff3"/>
        <w:widowControl/>
        <w:numPr>
          <w:ilvl w:val="0"/>
          <w:numId w:val="175"/>
        </w:numPr>
        <w:autoSpaceDE/>
        <w:autoSpaceDN/>
        <w:adjustRightInd/>
        <w:ind w:left="0" w:firstLine="0"/>
      </w:pPr>
      <w:r>
        <w:t>В состав солевого раствора, как правило, входят раствор 5% глюкозы и 4% хлорида калия (</w:t>
      </w:r>
      <w:r>
        <w:rPr>
          <w:lang w:val="en-US"/>
        </w:rPr>
        <w:t>KCl</w:t>
      </w:r>
      <w:r>
        <w:t xml:space="preserve">). На этапе предтрансплантационного кондиционирования суточное количество 4% </w:t>
      </w:r>
      <w:r>
        <w:rPr>
          <w:lang w:val="en-US"/>
        </w:rPr>
        <w:t>KCl</w:t>
      </w:r>
      <w:r>
        <w:t xml:space="preserve"> составляет 120-150 мл, в дальнейшем доза титруется в зависимости от концентрации калия в крови. При значительной гипокалиемии, которая может быть обусловлена выраженной диарей, рвотой, применяется круглосуточное введение 4% раствора </w:t>
      </w:r>
      <w:r>
        <w:rPr>
          <w:lang w:val="en-US"/>
        </w:rPr>
        <w:t>KCl</w:t>
      </w:r>
      <w:r>
        <w:t>, скорость инфузии корректируется с учетом данных биохимического анализа крови.</w:t>
      </w:r>
    </w:p>
    <w:p w14:paraId="5491EC27" w14:textId="77777777" w:rsidR="006F27D1" w:rsidRDefault="006F27D1" w:rsidP="008C1767">
      <w:pPr>
        <w:pStyle w:val="afff3"/>
        <w:widowControl/>
        <w:numPr>
          <w:ilvl w:val="0"/>
          <w:numId w:val="175"/>
        </w:numPr>
        <w:autoSpaceDE/>
        <w:autoSpaceDN/>
        <w:adjustRightInd/>
        <w:ind w:left="0" w:firstLine="0"/>
      </w:pPr>
      <w:r>
        <w:t>У пациентов на гемодиализе объем солевых растворов не должен превышать 1 литр в сутки, при этом хлорид калия назначается только при развитии гипокалиемии.</w:t>
      </w:r>
    </w:p>
    <w:p w14:paraId="7D1D77E5" w14:textId="77777777" w:rsidR="006F27D1" w:rsidRDefault="006F27D1" w:rsidP="008C1767">
      <w:pPr>
        <w:pStyle w:val="afff3"/>
        <w:widowControl/>
        <w:numPr>
          <w:ilvl w:val="0"/>
          <w:numId w:val="175"/>
        </w:numPr>
        <w:autoSpaceDE/>
        <w:autoSpaceDN/>
        <w:adjustRightInd/>
        <w:ind w:left="0" w:firstLine="0"/>
      </w:pPr>
      <w:r>
        <w:t>Для оценки состояния водного баланса, предотвращения объемной перегрузки следует ежедневно взвешивать пациента, контролировать центральное венозное давление, артериальное давление, диурез и баланс жидкости.</w:t>
      </w:r>
    </w:p>
    <w:p w14:paraId="6E8D8353" w14:textId="77777777" w:rsidR="006F27D1" w:rsidRDefault="006F27D1" w:rsidP="008C1767">
      <w:pPr>
        <w:pStyle w:val="afff3"/>
        <w:widowControl/>
        <w:numPr>
          <w:ilvl w:val="0"/>
          <w:numId w:val="175"/>
        </w:numPr>
        <w:autoSpaceDE/>
        <w:autoSpaceDN/>
        <w:adjustRightInd/>
        <w:ind w:left="0" w:firstLine="0"/>
      </w:pPr>
      <w:r>
        <w:t>При развитии фебрильной лихорадки объем инфузионной терапии должен быть увеличен до 3-4 литров в сутки под контролем водного баланса.</w:t>
      </w:r>
    </w:p>
    <w:p w14:paraId="45F40029" w14:textId="77777777" w:rsidR="006F27D1" w:rsidRDefault="006F27D1" w:rsidP="008C1767">
      <w:pPr>
        <w:pStyle w:val="afff3"/>
        <w:widowControl/>
        <w:numPr>
          <w:ilvl w:val="0"/>
          <w:numId w:val="175"/>
        </w:numPr>
        <w:autoSpaceDE/>
        <w:autoSpaceDN/>
        <w:adjustRightInd/>
        <w:ind w:left="0" w:firstLine="0"/>
      </w:pPr>
      <w:r>
        <w:t>Регулярный контроль электролитов (калия, натрия, кальция, хлора, магния) необходим для коррекции инфузионной терапии, при выраженной гипокальциемии, гипомагниемии назначается внутривенное введение препаратов кальция, магния.</w:t>
      </w:r>
    </w:p>
    <w:p w14:paraId="3CB70C39" w14:textId="77777777" w:rsidR="006F27D1" w:rsidRDefault="006F27D1" w:rsidP="008C1767">
      <w:pPr>
        <w:pStyle w:val="afff3"/>
        <w:widowControl/>
        <w:numPr>
          <w:ilvl w:val="0"/>
          <w:numId w:val="175"/>
        </w:numPr>
        <w:autoSpaceDE/>
        <w:autoSpaceDN/>
        <w:adjustRightInd/>
        <w:ind w:left="0" w:firstLine="0"/>
      </w:pPr>
      <w:r>
        <w:lastRenderedPageBreak/>
        <w:t>Во время предтрансплантационного кондиционирования проводится гипоурикемическая терапия аллопуринолом в суточной дозе 200 мг/м</w:t>
      </w:r>
      <w:r>
        <w:rPr>
          <w:vertAlign w:val="superscript"/>
        </w:rPr>
        <w:t>2</w:t>
      </w:r>
      <w:r>
        <w:t xml:space="preserve"> .</w:t>
      </w:r>
    </w:p>
    <w:p w14:paraId="555CACB0" w14:textId="77777777" w:rsidR="006F27D1" w:rsidRDefault="006F27D1" w:rsidP="008C1767">
      <w:pPr>
        <w:pStyle w:val="afff3"/>
        <w:widowControl/>
        <w:numPr>
          <w:ilvl w:val="0"/>
          <w:numId w:val="175"/>
        </w:numPr>
        <w:autoSpaceDE/>
        <w:autoSpaceDN/>
        <w:adjustRightInd/>
        <w:ind w:left="0" w:firstLine="0"/>
      </w:pPr>
      <w:r>
        <w:t>Во время предтрансплантационного кондиционирования рекомендуется назначение мочегонных средств для форсированного диуреза (фуросемид 20-60 мг/сут).</w:t>
      </w:r>
    </w:p>
    <w:p w14:paraId="5F59CECD" w14:textId="77777777" w:rsidR="006F27D1" w:rsidRDefault="006F27D1" w:rsidP="006F27D1">
      <w:pPr>
        <w:rPr>
          <w:b/>
          <w:szCs w:val="24"/>
        </w:rPr>
      </w:pPr>
    </w:p>
    <w:p w14:paraId="135F79C6" w14:textId="77777777" w:rsidR="006F27D1" w:rsidRPr="00206939" w:rsidRDefault="006F27D1" w:rsidP="006F27D1">
      <w:pPr>
        <w:rPr>
          <w:b/>
          <w:szCs w:val="24"/>
        </w:rPr>
      </w:pPr>
      <w:r w:rsidRPr="006E6081">
        <w:rPr>
          <w:b/>
          <w:szCs w:val="24"/>
        </w:rPr>
        <w:t>Антисекреторная терапия</w:t>
      </w:r>
    </w:p>
    <w:p w14:paraId="50CF589A" w14:textId="240AF31F" w:rsidR="006F27D1" w:rsidRPr="00212D51" w:rsidRDefault="006F27D1" w:rsidP="006F27D1">
      <w:pPr>
        <w:shd w:val="clear" w:color="auto" w:fill="FFFFFF"/>
        <w:tabs>
          <w:tab w:val="left" w:pos="0"/>
          <w:tab w:val="left" w:pos="394"/>
        </w:tabs>
        <w:ind w:firstLine="709"/>
        <w:rPr>
          <w:rFonts w:eastAsia="Arial Unicode MS"/>
          <w:color w:val="000000"/>
          <w:spacing w:val="4"/>
          <w:szCs w:val="24"/>
          <w:u w:color="000000"/>
        </w:rPr>
      </w:pPr>
      <w:r w:rsidRPr="00212D51">
        <w:rPr>
          <w:rFonts w:eastAsia="Arial Unicode MS"/>
          <w:color w:val="000000"/>
          <w:spacing w:val="4"/>
          <w:szCs w:val="24"/>
          <w:u w:color="000000"/>
          <w:shd w:val="clear" w:color="auto" w:fill="FFFFFF"/>
        </w:rPr>
        <w:t>В настоящее время с антисекреторной целью применяются два класса п</w:t>
      </w:r>
      <w:r w:rsidRPr="00212D51">
        <w:rPr>
          <w:rFonts w:eastAsia="Arial Unicode MS"/>
          <w:color w:val="000000"/>
          <w:spacing w:val="4"/>
          <w:szCs w:val="24"/>
          <w:u w:color="000000"/>
        </w:rPr>
        <w:t>репаратов: ингибиторы протонной помпы и блокаторы Н2-гистаминовых рецепторов</w:t>
      </w:r>
      <w:r>
        <w:rPr>
          <w:rFonts w:eastAsia="Arial Unicode MS"/>
          <w:color w:val="000000"/>
          <w:spacing w:val="4"/>
          <w:szCs w:val="24"/>
          <w:u w:color="000000"/>
        </w:rPr>
        <w:t xml:space="preserve"> </w:t>
      </w:r>
      <w:r>
        <w:rPr>
          <w:rFonts w:eastAsia="Arial Unicode MS"/>
          <w:color w:val="000000"/>
          <w:spacing w:val="4"/>
          <w:szCs w:val="24"/>
          <w:u w:color="000000"/>
        </w:rPr>
        <w:fldChar w:fldCharType="begin" w:fldLock="1"/>
      </w:r>
      <w:r w:rsidR="00A67ED2">
        <w:rPr>
          <w:rFonts w:eastAsia="Arial Unicode MS"/>
          <w:color w:val="000000"/>
          <w:spacing w:val="4"/>
          <w:szCs w:val="24"/>
          <w:u w:color="000000"/>
        </w:rPr>
        <w:instrText>ADDIN CSL_CITATION {"citationItems":[{"id":"ITEM-1","itemData":{"DOI":"10.1136/bmjopen-2013-004587","ISSN":"20446055","PMID":"24833682","abstract":"Objective: To assess whether corticosteroids are associated with increased risk of gastrointestinal bleeding or perforation. Design: Systematic review and meta-analysis of randomised, double-blind, controlled trials comparing a corticosteroid to placebo for any medical condition or in healthy participants. Studies with steroids given either locally, as a single dose, or in crossover studies were excluded. Data sources: Literature search using MEDLINE, EMBASE and Cochrane Database of Systematic Reviews between 1983 and 22 May 2013. Outcome measure: Outcome measures were the occurrence of gastrointestinal bleeding or perforation. Predefined subgroup analyses were carried out for disease severity, use of non-steroidal anti-inflammatory drugs (NSAIDs) or gastroprotective drugs, and history of peptic ulcer. Results: 159 studies (N=33 253) were included. In total, 804 (2.4%) patients had a gastrointestinal bleeding or perforation (2.9% and 2.0% for corticosteroids and placebo). Corticosteroids increased the risk of gastrointestinal bleeding or perforation by 40% (OR 1.43, 95% CI 1.22 to 1.66). The risk was increased for hospitalised patients (OR 1.42, 95% CI 1.22 to 1.66). For patients in ambulatory care, the increased risk was not statistically significant (OR 1.63, 95% CI 0.42 to 6.34). Only 11 gastrointestinal bleeds or perforations occurred among 8651 patients in ambulatory care (0.13%). Increased risk was still present in subgroup analyses (studies with NSAID use excluded; OR 1.44, 95% CI 1.20 to 1.71, peptic ulcer as an exclusion criterion excluded; OR 1.47, 95% CI 1.21 to 1.78, and use of gastroprotective drugs excluded; OR 1.42, 95% CI 1.21 to 1.67). Conclusions: Corticosteroid use was associated with increased risk of gastrointestinal bleeding and perforation. The increased risk was statistically significant for hospitalised patients only. For patients in ambulatory care, the total occurrence of bleeding or perforation was very low, and the increased risk was not statistically significant.","author":[{"dropping-particle":"","family":"Narum","given":"Sigrid","non-dropping-particle":"","parse-names":false,"suffix":""},{"dropping-particle":"","family":"Westergren","given":"Tone","non-dropping-particle":"","parse-names":false,"suffix":""},{"dropping-particle":"","family":"Klemp","given":"Marianne","non-dropping-particle":"","parse-names":false,"suffix":""}],"container-title":"BMJ Open","id":"ITEM-1","issue":"5","issued":{"date-parts":[["2014"]]},"publisher":"BMJ Publishing Group","title":"Corticosteroids and risk of gastrointestinal bleeding: A systematic review and meta-analysis","type":"article-journal","volume":"4"},"uris":["http://www.mendeley.com/documents/?uuid=e701298a-dc65-3059-b1f1-21f394625ffe"]},{"id":"ITEM-2","itemData":{"DOI":"10.1111/j.1365-2796.1994.tb00855.x","ISSN":"0954-6820","PMID":"7989897","abstract":"OBJECTIVES This meta-analysis was performed to determine whether corticosteroid therapy induces the development of peptic ulcer and other putative complications of steroid therapy. DESIGN A retrospective investigation in which we analysed all the randomized, double-blind, controlled trials (RDBCT) in which steroids had been administered that we were able to identify. The number of episodes of peptic ulcer, dermatological effects, sepsis, diabetes, hypertension, osteoporosis, psychosis and tuberculosis reported in both the placebo and steroid groups were compared. SETTING The international medical literature was analysed for any RDBCT in which any steroid or ACTH had been administered in any dosage for any duration, and any putative complication of steroid therapy was reported. SUBJECTS Of 1857 articles, 93 satisfied our requirements and were analysed by the meta-analytic techniques of Peto, DerSimonian and Laird. A total of 6602 patients were included. MAIN OUTCOME MEASURES The relative frequencies of each of these eight 'complications' were compared in the placebo and steroid groups using conventional statistics and meta-analysis. The relative frequencies of 'annualized' subgroups of patients who received treatment for 1 to 7 days, 1 week to 1 month, 1 to 3 months and more than 3 months, were similarly analysed. RESULTS Nine of 3267 patients in the placebo group (0.3%) and 13 of 3335 patients in the steroid group (0.4%) were reported to develop peptic ulcer (P &gt; 0.05). The dermatological cosmetic effects of steroid therapy were observed more frequently in the steroid group (P &lt; 0.001), as was diabetes (P &lt; 0.001), hypertension (P &lt; 0.01) and psychosis (P &lt; 0.001). Sepsis, osteoporosis and tuberculosis all occurred more frequently in the steroid than in the placebo group, but the differences are not statistically significant. CONCLUSIONS Peptic ulcer is a rare complication of corticosteroid therapy that should not be considered a contraindication when steroid therapy is indicated.","author":[{"dropping-particle":"","family":"Conn","given":"H O","non-dropping-particle":"","parse-names":false,"suffix":""},{"dropping-particle":"","family":"Poynard","given":"T","non-dropping-particle":"","parse-names":false,"suffix":""}],"container-title":"Journal of internal medicine","id":"ITEM-2","issue":"6","issued":{"date-parts":[["1994","12"]]},"page":"619-32","publisher":"J Intern Med","title":"Corticosteroids and peptic ulcer: meta-analysis of adverse events during steroid therapy.","type":"article-journal","volume":"236"},"uris":["http://www.mendeley.com/documents/?uuid=84af1729-7cf0-45a4-828e-6c0ee9132476"]}],"mendeley":{"formattedCitation":"[115,116]","plainTextFormattedCitation":"[115,116]","previouslyFormattedCitation":"[132,133]"},"properties":{"noteIndex":0},"schema":"https://github.com/citation-style-language/schema/raw/master/csl-citation.json"}</w:instrText>
      </w:r>
      <w:r>
        <w:rPr>
          <w:rFonts w:eastAsia="Arial Unicode MS"/>
          <w:color w:val="000000"/>
          <w:spacing w:val="4"/>
          <w:szCs w:val="24"/>
          <w:u w:color="000000"/>
        </w:rPr>
        <w:fldChar w:fldCharType="separate"/>
      </w:r>
      <w:r w:rsidR="00A67ED2" w:rsidRPr="00A67ED2">
        <w:rPr>
          <w:rFonts w:eastAsia="Arial Unicode MS"/>
          <w:noProof/>
          <w:color w:val="000000"/>
          <w:spacing w:val="4"/>
          <w:szCs w:val="24"/>
          <w:u w:color="000000"/>
        </w:rPr>
        <w:t>[115,116]</w:t>
      </w:r>
      <w:r>
        <w:rPr>
          <w:rFonts w:eastAsia="Arial Unicode MS"/>
          <w:color w:val="000000"/>
          <w:spacing w:val="4"/>
          <w:szCs w:val="24"/>
          <w:u w:color="000000"/>
        </w:rPr>
        <w:fldChar w:fldCharType="end"/>
      </w:r>
      <w:r w:rsidRPr="00212D51">
        <w:rPr>
          <w:rFonts w:eastAsia="Arial Unicode MS"/>
          <w:color w:val="000000"/>
          <w:spacing w:val="4"/>
          <w:szCs w:val="24"/>
          <w:u w:color="000000"/>
        </w:rPr>
        <w:t>.</w:t>
      </w:r>
    </w:p>
    <w:p w14:paraId="3D86E436" w14:textId="77777777" w:rsidR="006F27D1" w:rsidRDefault="006F27D1" w:rsidP="006F27D1">
      <w:pPr>
        <w:pStyle w:val="afff3"/>
        <w:ind w:left="0"/>
        <w:rPr>
          <w:szCs w:val="24"/>
          <w:u w:val="single"/>
        </w:rPr>
      </w:pPr>
    </w:p>
    <w:p w14:paraId="7AEDC467" w14:textId="77777777" w:rsidR="006F27D1" w:rsidRPr="003E7EBA" w:rsidRDefault="006F27D1" w:rsidP="006F27D1">
      <w:pPr>
        <w:pStyle w:val="afff3"/>
        <w:ind w:left="0"/>
        <w:rPr>
          <w:szCs w:val="24"/>
          <w:u w:val="single"/>
        </w:rPr>
      </w:pPr>
      <w:r w:rsidRPr="003E7EBA">
        <w:rPr>
          <w:szCs w:val="24"/>
          <w:u w:val="single"/>
        </w:rPr>
        <w:t>Ингибиторы протонной помпы (ИПП)</w:t>
      </w:r>
    </w:p>
    <w:p w14:paraId="0E94ACFD" w14:textId="77777777" w:rsidR="006F27D1" w:rsidRPr="00212D51" w:rsidRDefault="006F27D1" w:rsidP="006F27D1">
      <w:pPr>
        <w:shd w:val="clear" w:color="auto" w:fill="FFFFFF"/>
        <w:tabs>
          <w:tab w:val="left" w:pos="0"/>
          <w:tab w:val="left" w:pos="394"/>
        </w:tabs>
        <w:ind w:firstLine="709"/>
        <w:rPr>
          <w:rFonts w:eastAsia="Arial Unicode MS"/>
          <w:b/>
          <w:color w:val="000000"/>
          <w:spacing w:val="4"/>
          <w:szCs w:val="24"/>
          <w:u w:color="000000"/>
        </w:rPr>
      </w:pPr>
      <w:r w:rsidRPr="00212D51">
        <w:rPr>
          <w:rFonts w:eastAsia="Arial Unicode MS"/>
          <w:b/>
          <w:color w:val="000000"/>
          <w:spacing w:val="4"/>
          <w:szCs w:val="24"/>
          <w:u w:color="000000"/>
        </w:rPr>
        <w:t xml:space="preserve">Фармакологическое действие </w:t>
      </w:r>
    </w:p>
    <w:p w14:paraId="78BD2C44" w14:textId="77777777" w:rsidR="006F27D1" w:rsidRPr="00212D51" w:rsidRDefault="006F27D1" w:rsidP="006F27D1">
      <w:pPr>
        <w:shd w:val="clear" w:color="auto" w:fill="FFFFFF"/>
        <w:tabs>
          <w:tab w:val="left" w:pos="0"/>
          <w:tab w:val="left" w:pos="394"/>
        </w:tabs>
        <w:ind w:firstLine="709"/>
        <w:rPr>
          <w:rFonts w:eastAsia="Arial Unicode MS"/>
          <w:color w:val="000000"/>
          <w:spacing w:val="4"/>
          <w:szCs w:val="24"/>
          <w:u w:color="000000"/>
        </w:rPr>
      </w:pPr>
      <w:r w:rsidRPr="00212D51">
        <w:rPr>
          <w:rFonts w:eastAsia="Arial Unicode MS"/>
          <w:color w:val="000000"/>
          <w:spacing w:val="4"/>
          <w:szCs w:val="24"/>
          <w:u w:color="000000"/>
        </w:rPr>
        <w:t>Ингибиторы протоновой помпы (ингибиторы протонового насоса, блокаторы протонного насоса, блокаторы Н+/К+-АТФазы, блокаторы водородной помпы) — антисекреторные лекарственные препараты, блокирующие Н+/К+-АТФазу обкладочных (париетальных) клеток слизистой оболочки желудка и уменьш</w:t>
      </w:r>
      <w:r>
        <w:rPr>
          <w:rFonts w:eastAsia="Arial Unicode MS"/>
          <w:color w:val="000000"/>
          <w:spacing w:val="4"/>
          <w:szCs w:val="24"/>
          <w:u w:color="000000"/>
        </w:rPr>
        <w:t>ающие секрецию соляной кислоты.</w:t>
      </w:r>
    </w:p>
    <w:p w14:paraId="0C581C0D" w14:textId="2DA9BE4A" w:rsidR="006F27D1" w:rsidRPr="00212D51" w:rsidRDefault="006F27D1" w:rsidP="006F27D1">
      <w:pPr>
        <w:shd w:val="clear" w:color="auto" w:fill="FFFFFF"/>
        <w:tabs>
          <w:tab w:val="left" w:pos="0"/>
          <w:tab w:val="left" w:pos="394"/>
        </w:tabs>
        <w:ind w:firstLine="709"/>
        <w:rPr>
          <w:rFonts w:eastAsia="Arial Unicode MS"/>
          <w:color w:val="000000"/>
          <w:spacing w:val="4"/>
          <w:szCs w:val="24"/>
          <w:u w:color="000000"/>
        </w:rPr>
      </w:pPr>
      <w:r w:rsidRPr="00212D51">
        <w:rPr>
          <w:rFonts w:eastAsia="Arial Unicode MS"/>
          <w:color w:val="000000"/>
          <w:spacing w:val="4"/>
          <w:szCs w:val="24"/>
          <w:u w:color="000000"/>
        </w:rPr>
        <w:t>ИПП, после прохождения желудка, попадают в тонкую кишку, где растворяются, после чего по кровотоку поступают в печень, а затем проникают через мембрану в париетальные клетки слизистой оболочки желудка, где концентрируются в секреторных канальцах. Здесь, при кислом значении рН, ингибиторы протонного насоса активируются. В этой форме ИПП образуют прочные ковалентные связи с меркаптогруппами цистеиновых остатков Н+/К+-АТФазы, что блокирует действие протонной помпы, она становится необратимо исключенной из процесса секреции соляной кислоты. Влияние ИПП на последнюю стадию процесса образования соляной кислоты в желудке является дозозависимым и обеспечивает высокоэффективное ингибирование базальной и стимулированной секреции соляной кислоты независимо от фактора его вызывающего</w:t>
      </w:r>
      <w:r>
        <w:rPr>
          <w:rFonts w:eastAsia="Arial Unicode MS"/>
          <w:color w:val="000000"/>
          <w:spacing w:val="4"/>
          <w:szCs w:val="24"/>
          <w:u w:color="000000"/>
        </w:rPr>
        <w:fldChar w:fldCharType="begin" w:fldLock="1"/>
      </w:r>
      <w:r w:rsidR="00A67ED2">
        <w:rPr>
          <w:rFonts w:eastAsia="Arial Unicode MS"/>
          <w:color w:val="000000"/>
          <w:spacing w:val="4"/>
          <w:szCs w:val="24"/>
          <w:u w:color="000000"/>
        </w:rPr>
        <w:instrText>ADDIN CSL_CITATION {"citationItems":[{"id":"ITEM-1","itemData":{"author":[{"dropping-particle":"","family":"Ивашкин","given":"В.Т.","non-dropping-particle":"","parse-names":false,"suffix":""},{"dropping-particle":"","family":"Маев","given":"И.В.","non-dropping-particle":"","parse-names":false,"suffix":""},{"dropping-particle":"","family":"Царьков","given":"П.В.","non-dropping-particle":"","parse-names":false,"suffix":""},{"dropping-particle":"","family":"Королев","given":"М.П.","non-dropping-particle":"","parse-names":false,"suffix":""},{"dropping-particle":"","family":"Андреев","given":"Д.Н.","non-dropping-particle":"","parse-names":false,"suffix":""},{"dropping-particle":"","family":"Баранская","given":"Е.К.","non-dropping-particle":"","parse-names":false,"suffix":""},{"dropping-particle":"","family":"Бурков","given":"С.Г.","non-dropping-particle":"","parse-names":false,"suffix":""},{"dropping-particle":"","family":"Деринов","given":"А.А.","non-dropping-particle":"","parse-names":false,"suffix":""},{"dropping-particle":"","family":"Ефетов","given":"С.К.","non-dropping-particle":"","parse-names":false,"suffix":""},{"dropping-particle":"","family":"Лапина","given":"Т.Л.","non-dropping-particle":"","parse-names":false,"suffix":""},{"dropping-particle":"","family":"Павлов","given":"П.В.","non-dropping-particle":"","parse-names":false,"suffix":""},{"dropping-particle":"","family":"Пирогов","given":"С.С.","non-dropping-particle":"","parse-names":false,"suffix":""},{"dropping-particle":"","family":"Ткачев","given":"А.В.","non-dropping-particle":"","parse-names":false,"suffix":""},{"dropping-particle":"","family":"Трухманов","given":"А.С.","non-dropping-particle":"","parse-names":false,"suffix":""},{"dropping-particle":"","family":"Федоров","given":"Е.Д.","non-dropping-particle":"","parse-names":false,"suffix":""},{"dropping-particle":"","family":"Шептулин","given":"А.А.","non-dropping-particle":"","parse-names":false,"suffix":""}],"container-title":"Российский журнал гастроэнтерологии, гепатологии, колопроктологии.","id":"ITEM-1","issue":"1","issued":{"date-parts":[["2020"]]},"page":"49-70","title":"Диагностика и лечение язвенной болезни у взрослых (Клинические рекомендации Российской гастроэнтерологической ассоциации, Российского общества колоректальных хирургов и Российского эндоскопического общества).","type":"article-journal","volume":"30"},"uris":["http://www.mendeley.com/documents/?uuid=858a1835-2f3b-419a-91b4-8a8e3ef10cc9"]}],"mendeley":{"formattedCitation":"[118]","plainTextFormattedCitation":"[118]","previouslyFormattedCitation":"[134]"},"properties":{"noteIndex":0},"schema":"https://github.com/citation-style-language/schema/raw/master/csl-citation.json"}</w:instrText>
      </w:r>
      <w:r>
        <w:rPr>
          <w:rFonts w:eastAsia="Arial Unicode MS"/>
          <w:color w:val="000000"/>
          <w:spacing w:val="4"/>
          <w:szCs w:val="24"/>
          <w:u w:color="000000"/>
        </w:rPr>
        <w:fldChar w:fldCharType="separate"/>
      </w:r>
      <w:r w:rsidR="00A67ED2" w:rsidRPr="00A67ED2">
        <w:rPr>
          <w:rFonts w:eastAsia="Arial Unicode MS"/>
          <w:noProof/>
          <w:color w:val="000000"/>
          <w:spacing w:val="4"/>
          <w:szCs w:val="24"/>
          <w:u w:color="000000"/>
        </w:rPr>
        <w:t>[118]</w:t>
      </w:r>
      <w:r>
        <w:rPr>
          <w:rFonts w:eastAsia="Arial Unicode MS"/>
          <w:color w:val="000000"/>
          <w:spacing w:val="4"/>
          <w:szCs w:val="24"/>
          <w:u w:color="000000"/>
        </w:rPr>
        <w:fldChar w:fldCharType="end"/>
      </w:r>
      <w:r w:rsidRPr="00212D51">
        <w:rPr>
          <w:rFonts w:eastAsia="Arial Unicode MS"/>
          <w:color w:val="000000"/>
          <w:spacing w:val="4"/>
          <w:szCs w:val="24"/>
          <w:u w:color="000000"/>
        </w:rPr>
        <w:t>.</w:t>
      </w:r>
    </w:p>
    <w:p w14:paraId="2B38CF34" w14:textId="77777777" w:rsidR="006F27D1" w:rsidRPr="00212D51" w:rsidRDefault="006F27D1" w:rsidP="006F27D1">
      <w:pPr>
        <w:shd w:val="clear" w:color="auto" w:fill="FFFFFF"/>
        <w:tabs>
          <w:tab w:val="left" w:pos="0"/>
          <w:tab w:val="left" w:pos="394"/>
        </w:tabs>
        <w:ind w:left="709"/>
        <w:rPr>
          <w:rFonts w:eastAsia="Arial Unicode MS"/>
          <w:b/>
          <w:color w:val="000000"/>
          <w:spacing w:val="4"/>
          <w:szCs w:val="24"/>
          <w:u w:color="000000"/>
        </w:rPr>
      </w:pPr>
      <w:r w:rsidRPr="00212D51">
        <w:rPr>
          <w:rFonts w:eastAsia="Arial Unicode MS"/>
          <w:color w:val="000000"/>
          <w:spacing w:val="4"/>
          <w:szCs w:val="24"/>
          <w:u w:color="000000"/>
        </w:rPr>
        <w:t>Показания</w:t>
      </w:r>
    </w:p>
    <w:p w14:paraId="3D71C55F" w14:textId="77777777" w:rsidR="006F27D1" w:rsidRPr="00212D51" w:rsidRDefault="006F27D1" w:rsidP="008C1767">
      <w:pPr>
        <w:widowControl/>
        <w:numPr>
          <w:ilvl w:val="0"/>
          <w:numId w:val="174"/>
        </w:numPr>
        <w:tabs>
          <w:tab w:val="left" w:pos="0"/>
        </w:tabs>
        <w:autoSpaceDE/>
        <w:autoSpaceDN/>
        <w:adjustRightInd/>
        <w:ind w:left="0" w:firstLine="709"/>
        <w:contextualSpacing/>
        <w:rPr>
          <w:szCs w:val="24"/>
        </w:rPr>
      </w:pPr>
      <w:r w:rsidRPr="00212D51">
        <w:rPr>
          <w:szCs w:val="24"/>
        </w:rPr>
        <w:t>Профилактика/лечение язвенной болезни желудка</w:t>
      </w:r>
      <w:r w:rsidRPr="00212D51">
        <w:t xml:space="preserve"> </w:t>
      </w:r>
      <w:r w:rsidRPr="00212D51">
        <w:rPr>
          <w:szCs w:val="24"/>
        </w:rPr>
        <w:t>и двенадцатиперстной кишки, в том числе на фоне терапии глюкокортикостероидами</w:t>
      </w:r>
    </w:p>
    <w:p w14:paraId="50ADB24A" w14:textId="77777777" w:rsidR="006F27D1" w:rsidRPr="00400966" w:rsidRDefault="006F27D1" w:rsidP="006F27D1">
      <w:pPr>
        <w:shd w:val="clear" w:color="auto" w:fill="FFFFFF"/>
        <w:tabs>
          <w:tab w:val="left" w:pos="0"/>
          <w:tab w:val="left" w:pos="394"/>
        </w:tabs>
        <w:ind w:left="709"/>
        <w:rPr>
          <w:rFonts w:eastAsia="Arial Unicode MS"/>
          <w:b/>
          <w:color w:val="000000"/>
          <w:spacing w:val="4"/>
          <w:szCs w:val="24"/>
          <w:u w:color="000000"/>
        </w:rPr>
      </w:pPr>
      <w:r w:rsidRPr="00400966">
        <w:rPr>
          <w:rFonts w:eastAsia="Arial Unicode MS"/>
          <w:b/>
          <w:color w:val="000000"/>
          <w:spacing w:val="4"/>
          <w:szCs w:val="24"/>
          <w:u w:color="000000"/>
          <w:shd w:val="clear" w:color="auto" w:fill="FFFFFF"/>
        </w:rPr>
        <w:t>Режим дозирования</w:t>
      </w:r>
    </w:p>
    <w:p w14:paraId="329DA67D" w14:textId="79976A8E" w:rsidR="006F27D1" w:rsidRDefault="006F27D1" w:rsidP="006F27D1">
      <w:pPr>
        <w:shd w:val="clear" w:color="auto" w:fill="FFFFFF"/>
        <w:tabs>
          <w:tab w:val="left" w:pos="0"/>
          <w:tab w:val="left" w:pos="394"/>
        </w:tabs>
        <w:ind w:firstLine="709"/>
        <w:rPr>
          <w:rFonts w:eastAsia="Arial Unicode MS"/>
          <w:color w:val="000000"/>
          <w:spacing w:val="4"/>
          <w:szCs w:val="24"/>
          <w:u w:color="000000"/>
        </w:rPr>
      </w:pPr>
      <w:r w:rsidRPr="00212D51">
        <w:rPr>
          <w:rFonts w:eastAsia="Arial Unicode MS"/>
          <w:color w:val="000000"/>
          <w:spacing w:val="4"/>
          <w:szCs w:val="24"/>
          <w:u w:color="000000"/>
        </w:rPr>
        <w:t xml:space="preserve">Пациентам во время проведения курсов специфической противоопухолевой терапии, рекомендован прием ИПП в указанных в таблице </w:t>
      </w:r>
      <w:r w:rsidR="007A56DF" w:rsidRPr="007A56DF">
        <w:rPr>
          <w:rFonts w:eastAsia="Arial Unicode MS"/>
          <w:color w:val="000000"/>
          <w:spacing w:val="4"/>
          <w:szCs w:val="24"/>
          <w:u w:color="000000"/>
        </w:rPr>
        <w:t>5</w:t>
      </w:r>
      <w:r w:rsidRPr="00212D51">
        <w:rPr>
          <w:rFonts w:eastAsia="Arial Unicode MS"/>
          <w:color w:val="000000"/>
          <w:spacing w:val="4"/>
          <w:szCs w:val="24"/>
          <w:u w:color="000000"/>
        </w:rPr>
        <w:t xml:space="preserve"> дозах. </w:t>
      </w:r>
    </w:p>
    <w:p w14:paraId="53D69AF2" w14:textId="77777777" w:rsidR="00E332F3" w:rsidRDefault="00E332F3" w:rsidP="006F27D1">
      <w:pPr>
        <w:shd w:val="clear" w:color="auto" w:fill="FFFFFF"/>
        <w:tabs>
          <w:tab w:val="left" w:pos="0"/>
          <w:tab w:val="left" w:pos="394"/>
        </w:tabs>
        <w:ind w:firstLine="709"/>
        <w:rPr>
          <w:rFonts w:eastAsia="Arial Unicode MS"/>
          <w:color w:val="000000"/>
          <w:spacing w:val="4"/>
          <w:szCs w:val="24"/>
          <w:u w:color="000000"/>
        </w:rPr>
      </w:pPr>
    </w:p>
    <w:p w14:paraId="6508C893" w14:textId="77777777" w:rsidR="006F27D1" w:rsidRPr="00212D51" w:rsidRDefault="006F27D1" w:rsidP="006F27D1">
      <w:pPr>
        <w:shd w:val="clear" w:color="auto" w:fill="FFFFFF"/>
        <w:tabs>
          <w:tab w:val="left" w:pos="0"/>
          <w:tab w:val="left" w:pos="394"/>
        </w:tabs>
        <w:ind w:firstLine="709"/>
        <w:rPr>
          <w:rFonts w:eastAsia="Arial Unicode MS"/>
          <w:color w:val="000000"/>
          <w:spacing w:val="4"/>
          <w:szCs w:val="24"/>
          <w:u w:color="000000"/>
        </w:rPr>
      </w:pPr>
    </w:p>
    <w:p w14:paraId="1D038DF7" w14:textId="382E9D7C" w:rsidR="006F27D1" w:rsidRPr="006E6081" w:rsidRDefault="006F27D1" w:rsidP="006F27D1">
      <w:pPr>
        <w:shd w:val="clear" w:color="auto" w:fill="FFFFFF"/>
        <w:tabs>
          <w:tab w:val="left" w:pos="0"/>
          <w:tab w:val="left" w:pos="394"/>
        </w:tabs>
        <w:ind w:firstLine="709"/>
        <w:rPr>
          <w:rFonts w:eastAsia="Arial Unicode MS"/>
          <w:color w:val="000000"/>
          <w:spacing w:val="4"/>
          <w:szCs w:val="24"/>
          <w:u w:color="000000"/>
        </w:rPr>
      </w:pPr>
      <w:r w:rsidRPr="007A56DF">
        <w:rPr>
          <w:rFonts w:eastAsia="Arial Unicode MS"/>
          <w:color w:val="000000"/>
          <w:spacing w:val="4"/>
          <w:szCs w:val="24"/>
          <w:u w:color="000000"/>
        </w:rPr>
        <w:lastRenderedPageBreak/>
        <w:t xml:space="preserve">Таблица </w:t>
      </w:r>
      <w:r w:rsidR="007A56DF" w:rsidRPr="00124904">
        <w:rPr>
          <w:rFonts w:eastAsia="Arial Unicode MS"/>
          <w:color w:val="000000"/>
          <w:spacing w:val="4"/>
          <w:szCs w:val="24"/>
          <w:u w:color="000000"/>
        </w:rPr>
        <w:t>5</w:t>
      </w:r>
      <w:r w:rsidRPr="007A56DF">
        <w:rPr>
          <w:rFonts w:eastAsia="Arial Unicode MS"/>
          <w:color w:val="000000"/>
          <w:spacing w:val="4"/>
          <w:szCs w:val="24"/>
          <w:u w:color="000000"/>
        </w:rPr>
        <w:t>. Режим дозирования ИПП с профилактической целью</w:t>
      </w:r>
    </w:p>
    <w:tbl>
      <w:tblPr>
        <w:tblStyle w:val="36"/>
        <w:tblW w:w="0" w:type="auto"/>
        <w:jc w:val="center"/>
        <w:tblLook w:val="04A0" w:firstRow="1" w:lastRow="0" w:firstColumn="1" w:lastColumn="0" w:noHBand="0" w:noVBand="1"/>
      </w:tblPr>
      <w:tblGrid>
        <w:gridCol w:w="2220"/>
        <w:gridCol w:w="1857"/>
        <w:gridCol w:w="4200"/>
      </w:tblGrid>
      <w:tr w:rsidR="006F27D1" w:rsidRPr="00212D51" w14:paraId="74C44CA2" w14:textId="77777777" w:rsidTr="00CD5E09">
        <w:trPr>
          <w:jc w:val="center"/>
        </w:trPr>
        <w:tc>
          <w:tcPr>
            <w:tcW w:w="2220" w:type="dxa"/>
          </w:tcPr>
          <w:p w14:paraId="2C69F90D" w14:textId="77777777" w:rsidR="006F27D1" w:rsidRPr="00212D51" w:rsidRDefault="006F27D1" w:rsidP="00CD5E09">
            <w:pPr>
              <w:tabs>
                <w:tab w:val="left" w:pos="0"/>
              </w:tabs>
              <w:jc w:val="center"/>
              <w:rPr>
                <w:b/>
                <w:szCs w:val="24"/>
                <w:lang w:eastAsia="ru-RU"/>
              </w:rPr>
            </w:pPr>
            <w:r w:rsidRPr="00212D51">
              <w:rPr>
                <w:b/>
                <w:szCs w:val="24"/>
                <w:lang w:eastAsia="ru-RU"/>
              </w:rPr>
              <w:t>Препарат</w:t>
            </w:r>
          </w:p>
        </w:tc>
        <w:tc>
          <w:tcPr>
            <w:tcW w:w="1857" w:type="dxa"/>
          </w:tcPr>
          <w:p w14:paraId="788423AA" w14:textId="77777777" w:rsidR="006F27D1" w:rsidRPr="00212D51" w:rsidRDefault="006F27D1" w:rsidP="00CD5E09">
            <w:pPr>
              <w:tabs>
                <w:tab w:val="left" w:pos="0"/>
              </w:tabs>
              <w:jc w:val="center"/>
              <w:rPr>
                <w:b/>
                <w:szCs w:val="24"/>
                <w:lang w:eastAsia="ru-RU"/>
              </w:rPr>
            </w:pPr>
            <w:r w:rsidRPr="00212D51">
              <w:rPr>
                <w:b/>
                <w:szCs w:val="24"/>
                <w:lang w:eastAsia="ru-RU"/>
              </w:rPr>
              <w:t>Суточная доза, мг</w:t>
            </w:r>
          </w:p>
        </w:tc>
        <w:tc>
          <w:tcPr>
            <w:tcW w:w="4200" w:type="dxa"/>
          </w:tcPr>
          <w:p w14:paraId="00591697" w14:textId="77777777" w:rsidR="006F27D1" w:rsidRPr="00212D51" w:rsidRDefault="006F27D1" w:rsidP="00CD5E09">
            <w:pPr>
              <w:tabs>
                <w:tab w:val="left" w:pos="0"/>
              </w:tabs>
              <w:jc w:val="center"/>
              <w:rPr>
                <w:b/>
                <w:szCs w:val="24"/>
                <w:lang w:eastAsia="ru-RU"/>
              </w:rPr>
            </w:pPr>
            <w:r w:rsidRPr="00212D51">
              <w:rPr>
                <w:b/>
                <w:szCs w:val="24"/>
                <w:lang w:eastAsia="ru-RU"/>
              </w:rPr>
              <w:t>Режим дозирования</w:t>
            </w:r>
          </w:p>
        </w:tc>
      </w:tr>
      <w:tr w:rsidR="006F27D1" w:rsidRPr="00212D51" w14:paraId="06859DA9" w14:textId="77777777" w:rsidTr="00CD5E09">
        <w:trPr>
          <w:jc w:val="center"/>
        </w:trPr>
        <w:tc>
          <w:tcPr>
            <w:tcW w:w="2220" w:type="dxa"/>
          </w:tcPr>
          <w:p w14:paraId="29BCE262" w14:textId="77777777" w:rsidR="006F27D1" w:rsidRPr="00212D51" w:rsidRDefault="006F27D1" w:rsidP="00CD5E09">
            <w:pPr>
              <w:tabs>
                <w:tab w:val="left" w:pos="0"/>
              </w:tabs>
              <w:rPr>
                <w:szCs w:val="24"/>
                <w:lang w:eastAsia="ru-RU"/>
              </w:rPr>
            </w:pPr>
            <w:r w:rsidRPr="00212D51">
              <w:rPr>
                <w:szCs w:val="24"/>
                <w:lang w:eastAsia="ru-RU"/>
              </w:rPr>
              <w:t>Омепразол</w:t>
            </w:r>
          </w:p>
        </w:tc>
        <w:tc>
          <w:tcPr>
            <w:tcW w:w="1857" w:type="dxa"/>
          </w:tcPr>
          <w:p w14:paraId="4E45914F" w14:textId="77777777" w:rsidR="006F27D1" w:rsidRPr="00212D51" w:rsidRDefault="006F27D1" w:rsidP="00CD5E09">
            <w:pPr>
              <w:tabs>
                <w:tab w:val="left" w:pos="0"/>
              </w:tabs>
              <w:rPr>
                <w:szCs w:val="24"/>
                <w:lang w:eastAsia="ru-RU"/>
              </w:rPr>
            </w:pPr>
            <w:r w:rsidRPr="00212D51">
              <w:rPr>
                <w:szCs w:val="24"/>
                <w:lang w:eastAsia="ru-RU"/>
              </w:rPr>
              <w:t xml:space="preserve">20 </w:t>
            </w:r>
          </w:p>
          <w:p w14:paraId="5DE45705" w14:textId="77777777" w:rsidR="006F27D1" w:rsidRPr="00212D51" w:rsidRDefault="006F27D1" w:rsidP="00CD5E09">
            <w:pPr>
              <w:tabs>
                <w:tab w:val="left" w:pos="0"/>
              </w:tabs>
              <w:rPr>
                <w:szCs w:val="24"/>
                <w:lang w:eastAsia="ru-RU"/>
              </w:rPr>
            </w:pPr>
            <w:r w:rsidRPr="00212D51">
              <w:rPr>
                <w:szCs w:val="24"/>
                <w:lang w:eastAsia="ru-RU"/>
              </w:rPr>
              <w:t>40</w:t>
            </w:r>
          </w:p>
        </w:tc>
        <w:tc>
          <w:tcPr>
            <w:tcW w:w="4200" w:type="dxa"/>
          </w:tcPr>
          <w:p w14:paraId="1BEB340F" w14:textId="77777777" w:rsidR="006F27D1" w:rsidRPr="00212D51" w:rsidRDefault="006F27D1" w:rsidP="00CD5E09">
            <w:pPr>
              <w:tabs>
                <w:tab w:val="left" w:pos="0"/>
              </w:tabs>
              <w:rPr>
                <w:szCs w:val="24"/>
                <w:lang w:eastAsia="ru-RU"/>
              </w:rPr>
            </w:pPr>
            <w:r w:rsidRPr="00212D51">
              <w:rPr>
                <w:szCs w:val="24"/>
                <w:lang w:eastAsia="ru-RU"/>
              </w:rPr>
              <w:t>Внутрь, 1 раз в сутки;</w:t>
            </w:r>
          </w:p>
          <w:p w14:paraId="2938E3BD" w14:textId="77777777" w:rsidR="006F27D1" w:rsidRPr="00212D51" w:rsidRDefault="006F27D1" w:rsidP="00CD5E09">
            <w:pPr>
              <w:tabs>
                <w:tab w:val="left" w:pos="0"/>
              </w:tabs>
              <w:rPr>
                <w:szCs w:val="24"/>
                <w:lang w:eastAsia="ru-RU"/>
              </w:rPr>
            </w:pPr>
            <w:r w:rsidRPr="00212D51">
              <w:rPr>
                <w:szCs w:val="24"/>
                <w:lang w:eastAsia="ru-RU"/>
              </w:rPr>
              <w:t xml:space="preserve"> в/в, 1 раз в сутки</w:t>
            </w:r>
          </w:p>
        </w:tc>
      </w:tr>
      <w:tr w:rsidR="006F27D1" w:rsidRPr="00212D51" w14:paraId="6335AB6A" w14:textId="77777777" w:rsidTr="00CD5E09">
        <w:trPr>
          <w:jc w:val="center"/>
        </w:trPr>
        <w:tc>
          <w:tcPr>
            <w:tcW w:w="2220" w:type="dxa"/>
          </w:tcPr>
          <w:p w14:paraId="4EFE0142" w14:textId="77777777" w:rsidR="006F27D1" w:rsidRPr="00212D51" w:rsidRDefault="006F27D1" w:rsidP="00CD5E09">
            <w:pPr>
              <w:tabs>
                <w:tab w:val="left" w:pos="0"/>
              </w:tabs>
              <w:rPr>
                <w:szCs w:val="24"/>
                <w:lang w:eastAsia="ru-RU"/>
              </w:rPr>
            </w:pPr>
            <w:r w:rsidRPr="00212D51">
              <w:rPr>
                <w:szCs w:val="24"/>
                <w:lang w:eastAsia="ru-RU"/>
              </w:rPr>
              <w:t>Лансопразол</w:t>
            </w:r>
          </w:p>
        </w:tc>
        <w:tc>
          <w:tcPr>
            <w:tcW w:w="1857" w:type="dxa"/>
          </w:tcPr>
          <w:p w14:paraId="018328E8" w14:textId="77777777" w:rsidR="006F27D1" w:rsidRPr="00212D51" w:rsidRDefault="006F27D1" w:rsidP="00CD5E09">
            <w:pPr>
              <w:tabs>
                <w:tab w:val="left" w:pos="0"/>
              </w:tabs>
              <w:rPr>
                <w:szCs w:val="24"/>
                <w:lang w:eastAsia="ru-RU"/>
              </w:rPr>
            </w:pPr>
            <w:r w:rsidRPr="00212D51">
              <w:rPr>
                <w:szCs w:val="24"/>
                <w:lang w:eastAsia="ru-RU"/>
              </w:rPr>
              <w:t xml:space="preserve">30 </w:t>
            </w:r>
          </w:p>
        </w:tc>
        <w:tc>
          <w:tcPr>
            <w:tcW w:w="4200" w:type="dxa"/>
          </w:tcPr>
          <w:p w14:paraId="1FC4FD49" w14:textId="77777777" w:rsidR="006F27D1" w:rsidRPr="00212D51" w:rsidRDefault="006F27D1" w:rsidP="00CD5E09">
            <w:r w:rsidRPr="00212D51">
              <w:rPr>
                <w:szCs w:val="24"/>
                <w:lang w:eastAsia="ru-RU"/>
              </w:rPr>
              <w:t>Внутрь, 1 раз в сутки</w:t>
            </w:r>
          </w:p>
        </w:tc>
      </w:tr>
      <w:tr w:rsidR="006F27D1" w:rsidRPr="00212D51" w14:paraId="385B75E0" w14:textId="77777777" w:rsidTr="00CD5E09">
        <w:trPr>
          <w:jc w:val="center"/>
        </w:trPr>
        <w:tc>
          <w:tcPr>
            <w:tcW w:w="2220" w:type="dxa"/>
          </w:tcPr>
          <w:p w14:paraId="1CFDFB4E" w14:textId="77777777" w:rsidR="006F27D1" w:rsidRPr="00212D51" w:rsidRDefault="006F27D1" w:rsidP="00CD5E09">
            <w:pPr>
              <w:tabs>
                <w:tab w:val="left" w:pos="0"/>
              </w:tabs>
              <w:rPr>
                <w:szCs w:val="24"/>
                <w:lang w:eastAsia="ru-RU"/>
              </w:rPr>
            </w:pPr>
            <w:r w:rsidRPr="00212D51">
              <w:rPr>
                <w:szCs w:val="24"/>
                <w:lang w:eastAsia="ru-RU"/>
              </w:rPr>
              <w:t>Пантопразол</w:t>
            </w:r>
          </w:p>
        </w:tc>
        <w:tc>
          <w:tcPr>
            <w:tcW w:w="1857" w:type="dxa"/>
          </w:tcPr>
          <w:p w14:paraId="569EAFCF" w14:textId="77777777" w:rsidR="006F27D1" w:rsidRPr="00212D51" w:rsidRDefault="006F27D1" w:rsidP="00CD5E09">
            <w:pPr>
              <w:tabs>
                <w:tab w:val="left" w:pos="0"/>
              </w:tabs>
              <w:rPr>
                <w:szCs w:val="24"/>
                <w:lang w:eastAsia="ru-RU"/>
              </w:rPr>
            </w:pPr>
            <w:r w:rsidRPr="00212D51">
              <w:rPr>
                <w:szCs w:val="24"/>
                <w:lang w:eastAsia="ru-RU"/>
              </w:rPr>
              <w:t xml:space="preserve">40 </w:t>
            </w:r>
          </w:p>
        </w:tc>
        <w:tc>
          <w:tcPr>
            <w:tcW w:w="4200" w:type="dxa"/>
          </w:tcPr>
          <w:p w14:paraId="20CB7530" w14:textId="77777777" w:rsidR="006F27D1" w:rsidRPr="00212D51" w:rsidRDefault="006F27D1" w:rsidP="00CD5E09">
            <w:r w:rsidRPr="00212D51">
              <w:rPr>
                <w:szCs w:val="24"/>
                <w:lang w:eastAsia="ru-RU"/>
              </w:rPr>
              <w:t>Внутрь, 1 раз в сутки</w:t>
            </w:r>
          </w:p>
        </w:tc>
      </w:tr>
      <w:tr w:rsidR="006F27D1" w:rsidRPr="00212D51" w14:paraId="0F06DA69" w14:textId="77777777" w:rsidTr="00CD5E09">
        <w:trPr>
          <w:jc w:val="center"/>
        </w:trPr>
        <w:tc>
          <w:tcPr>
            <w:tcW w:w="2220" w:type="dxa"/>
          </w:tcPr>
          <w:p w14:paraId="27C5D823" w14:textId="77777777" w:rsidR="006F27D1" w:rsidRPr="00212D51" w:rsidRDefault="006F27D1" w:rsidP="00CD5E09">
            <w:pPr>
              <w:tabs>
                <w:tab w:val="left" w:pos="0"/>
              </w:tabs>
              <w:rPr>
                <w:szCs w:val="24"/>
                <w:lang w:eastAsia="ru-RU"/>
              </w:rPr>
            </w:pPr>
            <w:r w:rsidRPr="00212D51">
              <w:rPr>
                <w:szCs w:val="24"/>
              </w:rPr>
              <w:t>Рабепразол</w:t>
            </w:r>
          </w:p>
        </w:tc>
        <w:tc>
          <w:tcPr>
            <w:tcW w:w="1857" w:type="dxa"/>
          </w:tcPr>
          <w:p w14:paraId="6C016E4F" w14:textId="77777777" w:rsidR="006F27D1" w:rsidRPr="00212D51" w:rsidRDefault="006F27D1" w:rsidP="00CD5E09">
            <w:pPr>
              <w:tabs>
                <w:tab w:val="left" w:pos="0"/>
              </w:tabs>
              <w:rPr>
                <w:szCs w:val="24"/>
                <w:lang w:eastAsia="ru-RU"/>
              </w:rPr>
            </w:pPr>
            <w:r w:rsidRPr="00212D51">
              <w:rPr>
                <w:szCs w:val="24"/>
                <w:lang w:eastAsia="ru-RU"/>
              </w:rPr>
              <w:t>20</w:t>
            </w:r>
          </w:p>
        </w:tc>
        <w:tc>
          <w:tcPr>
            <w:tcW w:w="4200" w:type="dxa"/>
          </w:tcPr>
          <w:p w14:paraId="0DF1C45D" w14:textId="77777777" w:rsidR="006F27D1" w:rsidRPr="00212D51" w:rsidRDefault="006F27D1" w:rsidP="00CD5E09">
            <w:r w:rsidRPr="00212D51">
              <w:rPr>
                <w:szCs w:val="24"/>
                <w:lang w:eastAsia="ru-RU"/>
              </w:rPr>
              <w:t>Внутрь, 1 раз в сутки</w:t>
            </w:r>
          </w:p>
        </w:tc>
      </w:tr>
      <w:tr w:rsidR="006F27D1" w:rsidRPr="00212D51" w14:paraId="0DC956E6" w14:textId="77777777" w:rsidTr="00CD5E09">
        <w:trPr>
          <w:jc w:val="center"/>
        </w:trPr>
        <w:tc>
          <w:tcPr>
            <w:tcW w:w="2220" w:type="dxa"/>
          </w:tcPr>
          <w:p w14:paraId="14F5B195" w14:textId="77777777" w:rsidR="006F27D1" w:rsidRPr="00212D51" w:rsidRDefault="006F27D1" w:rsidP="00CD5E09">
            <w:pPr>
              <w:tabs>
                <w:tab w:val="left" w:pos="0"/>
              </w:tabs>
              <w:rPr>
                <w:szCs w:val="24"/>
              </w:rPr>
            </w:pPr>
            <w:r w:rsidRPr="00212D51">
              <w:rPr>
                <w:szCs w:val="24"/>
              </w:rPr>
              <w:t>Эзомепразол</w:t>
            </w:r>
          </w:p>
        </w:tc>
        <w:tc>
          <w:tcPr>
            <w:tcW w:w="1857" w:type="dxa"/>
          </w:tcPr>
          <w:p w14:paraId="30AA66E3" w14:textId="77777777" w:rsidR="006F27D1" w:rsidRPr="00212D51" w:rsidRDefault="006F27D1" w:rsidP="00CD5E09">
            <w:pPr>
              <w:tabs>
                <w:tab w:val="left" w:pos="0"/>
              </w:tabs>
              <w:rPr>
                <w:szCs w:val="24"/>
                <w:lang w:eastAsia="ru-RU"/>
              </w:rPr>
            </w:pPr>
            <w:r w:rsidRPr="00212D51">
              <w:rPr>
                <w:szCs w:val="24"/>
                <w:lang w:eastAsia="ru-RU"/>
              </w:rPr>
              <w:t>20</w:t>
            </w:r>
          </w:p>
        </w:tc>
        <w:tc>
          <w:tcPr>
            <w:tcW w:w="4200" w:type="dxa"/>
          </w:tcPr>
          <w:p w14:paraId="1439F06E" w14:textId="77777777" w:rsidR="006F27D1" w:rsidRPr="00212D51" w:rsidRDefault="006F27D1" w:rsidP="00CD5E09">
            <w:r w:rsidRPr="00212D51">
              <w:rPr>
                <w:szCs w:val="24"/>
                <w:lang w:eastAsia="ru-RU"/>
              </w:rPr>
              <w:t>Внутрь или в/в, 1 раз в сутки</w:t>
            </w:r>
          </w:p>
        </w:tc>
      </w:tr>
    </w:tbl>
    <w:p w14:paraId="00176C1B" w14:textId="77777777" w:rsidR="006F27D1" w:rsidRPr="00212D51" w:rsidRDefault="006F27D1" w:rsidP="006F27D1">
      <w:pPr>
        <w:shd w:val="clear" w:color="auto" w:fill="FFFFFF"/>
        <w:tabs>
          <w:tab w:val="left" w:pos="0"/>
          <w:tab w:val="left" w:pos="394"/>
        </w:tabs>
        <w:ind w:firstLine="709"/>
        <w:rPr>
          <w:rFonts w:eastAsia="Arial Unicode MS"/>
          <w:color w:val="000000"/>
          <w:spacing w:val="4"/>
          <w:szCs w:val="24"/>
          <w:u w:color="000000"/>
        </w:rPr>
      </w:pPr>
    </w:p>
    <w:p w14:paraId="1D9B0447" w14:textId="77777777" w:rsidR="006F27D1" w:rsidRPr="00212D51" w:rsidRDefault="006F27D1" w:rsidP="006F27D1">
      <w:pPr>
        <w:shd w:val="clear" w:color="auto" w:fill="FFFFFF"/>
        <w:tabs>
          <w:tab w:val="left" w:pos="0"/>
          <w:tab w:val="left" w:pos="394"/>
        </w:tabs>
        <w:ind w:firstLine="709"/>
        <w:rPr>
          <w:rFonts w:eastAsia="Arial Unicode MS"/>
          <w:color w:val="000000"/>
          <w:spacing w:val="4"/>
          <w:szCs w:val="24"/>
          <w:u w:color="000000"/>
        </w:rPr>
      </w:pPr>
      <w:r w:rsidRPr="00212D51">
        <w:rPr>
          <w:rFonts w:eastAsia="Arial Unicode MS"/>
          <w:color w:val="000000"/>
          <w:spacing w:val="4"/>
          <w:szCs w:val="24"/>
          <w:u w:color="000000"/>
        </w:rPr>
        <w:t>Время суток и прием пищи не влияют на активность ИПП. Коррекции дозы при почечной недостаточности не требуется. При невозможности перорального приема ИПП вводятся внутривенно.</w:t>
      </w:r>
    </w:p>
    <w:p w14:paraId="5EFFE1AC" w14:textId="3E6C04E7" w:rsidR="006F27D1" w:rsidRPr="00212D51" w:rsidRDefault="006F27D1" w:rsidP="006F27D1">
      <w:pPr>
        <w:ind w:firstLine="709"/>
        <w:rPr>
          <w:szCs w:val="24"/>
        </w:rPr>
      </w:pPr>
      <w:r w:rsidRPr="00212D51">
        <w:rPr>
          <w:szCs w:val="24"/>
        </w:rPr>
        <w:t xml:space="preserve">В 1990 г. Burget и соавторы опубликовали результаты мета-анализа 300 работ, установившего, что язвы желудка и двенадцатиперстной кишки рубцуются практически во всех случаях, если рН внутрижелудочного содержимого поддерживается более 3 в течение суток на протяжении 18 часов </w:t>
      </w:r>
      <w:r>
        <w:rPr>
          <w:szCs w:val="24"/>
        </w:rPr>
        <w:fldChar w:fldCharType="begin" w:fldLock="1"/>
      </w:r>
      <w:r w:rsidR="00A67ED2">
        <w:rPr>
          <w:szCs w:val="24"/>
        </w:rPr>
        <w:instrText>ADDIN CSL_CITATION {"citationItems":[{"id":"ITEM-1","itemData":{"DOI":"10.1016/0016-5085(90)91015-X","ISSN":"00165085","PMID":"2142113","abstract":"The optimal degree and duration of suppression of gastric acidity required for the healing of peptic ulcers has never been established. Although very potent inhibitors of acid secretion are now available, the need for this degree of suppression has not been shown, and there is a possibility of adverse effects because of pronounced acid inhibition. Therefore, a model has been constructed that defines the relationship between duodenal ulcer healing and antisecretory therapy. Acid suppression data were obtained directly from investigators as raw data from 24-hour studies of acid secretion. Twenty-one experiments from seven investigators provided 490 24-hour studies using 19 different treatment regimens. Healing data were collected from a metaanalysis of published clinical trials of duodenal ulcer healing. A total of 144 published trials in 14,208 patients provided healing data at several endoscopic endpoints for the 19 drug regimens for which acidity data were provided. Weighted least-squares polynomial regression analysis was used to define those parameters of antisecretory therapy that contributed most to duodenal ulcer healing and to define the shape of the response surface. A highly significant correlation (r = 0.9814) was found between healing and the degree of acid suppression, the duration of acid suppression, and the length of therapy. The shape of the contour expressing this relationship shows that healing increases as the duration of suppression increases and as gastric pH increases. However, suppression that increased pH beyond 3.0 was not found to increase ulcer healing further. It is concluded that a longer duration of antisecretory effect and/or a longer duration of therapy are of greater importance than potency for duodenal ulcer healing. © 1990.","author":[{"dropping-particle":"","family":"Burget","given":"Douglas W.","non-dropping-particle":"","parse-names":false,"suffix":""},{"dropping-particle":"","family":"Chiverton","given":"Stephen G.","non-dropping-particle":"","parse-names":false,"suffix":""},{"dropping-particle":"","family":"Hunt","given":"Richard H.","non-dropping-particle":"","parse-names":false,"suffix":""}],"container-title":"Gastroenterology","id":"ITEM-1","issue":"2","issued":{"date-parts":[["1990","8"]]},"page":"345-351","publisher":"Gastroenterology","title":"Is there an optimal degree of acid suppression for healing of duodenal ulcers? A model of the relationship between ulcer healing and acid suppression","type":"article-journal","volume":"99"},"uris":["http://www.mendeley.com/documents/?uuid=55c5fe56-6faa-4e55-bfe2-e8e5c51854a2"]}],"mendeley":{"formattedCitation":"[117]","plainTextFormattedCitation":"[117]","previouslyFormattedCitation":"[135]"},"properties":{"noteIndex":0},"schema":"https://github.com/citation-style-language/schema/raw/master/csl-citation.json"}</w:instrText>
      </w:r>
      <w:r>
        <w:rPr>
          <w:szCs w:val="24"/>
        </w:rPr>
        <w:fldChar w:fldCharType="separate"/>
      </w:r>
      <w:r w:rsidR="00A67ED2" w:rsidRPr="00A67ED2">
        <w:rPr>
          <w:noProof/>
          <w:szCs w:val="24"/>
        </w:rPr>
        <w:t>[117]</w:t>
      </w:r>
      <w:r>
        <w:rPr>
          <w:szCs w:val="24"/>
        </w:rPr>
        <w:fldChar w:fldCharType="end"/>
      </w:r>
      <w:r w:rsidRPr="00212D51">
        <w:rPr>
          <w:szCs w:val="24"/>
        </w:rPr>
        <w:t>. С учетом указанного правила в качестве противоязвенной терапии в настоящее время могут рассматриваться антациды, Н2-блокаторы и ИПП. Согласно одному из последних мета-анализов, при использовании ИПП или Н2-блокаторов достоверно эффективнее достигается рубцевание язвенного дефекта, а также снижается риск повторного кровотечения, по сравнению с плацебо</w:t>
      </w:r>
      <w:r>
        <w:rPr>
          <w:szCs w:val="24"/>
        </w:rPr>
        <w:t xml:space="preserve"> </w:t>
      </w:r>
      <w:r>
        <w:rPr>
          <w:szCs w:val="24"/>
        </w:rPr>
        <w:fldChar w:fldCharType="begin" w:fldLock="1"/>
      </w:r>
      <w:r w:rsidR="00A67ED2">
        <w:rPr>
          <w:szCs w:val="24"/>
        </w:rPr>
        <w:instrText>ADDIN CSL_CITATION {"citationItems":[{"id":"ITEM-1","itemData":{"DOI":"10.1016/S2468-1253(18)30037-2","ISSN":"24681253","PMID":"29475806","abstract":"Background: Gastroprotectant drugs are used for the prevention and treatment of peptic ulcer disease and might reduce its associated complications, but reliable estimates of the effects of gastroprotectants in different clinical settings are scarce. We aimed to examine the effects of proton-pump inhibitors (PPIs), prostaglandin analogues, and histamine-2 receptor antagonists (H2RAs) in different clinical circumstances by doing meta-analyses of tabular data from all relevant unconfounded randomised trials of gastroprotectant drugs. Methods: We searched MEDLINE and Embase from Jan 1, 1950, to Dec 31, 2015, to identify unconfounded, randomised trials of a gastroprotectant drug (defined as a PPI, prostaglandin analogue, or H2RA) versus control, or versus another gastroprotectant. Two independent researchers reviewed the search results and extracted the prespecified outcomes and key characteristics for each trial. We did meta-analyses of the effects of gastroprotectant drugs on ulcer development, bleeding, and mortality overall, according to the class of gastroprotectant, and according to the individual drug within a gastroprotectant class. Findings: We identified comparisons of gastroprotectant versus control in 849 trials (142 485 participants): 580 prevention trials (110 626 participants), 233 healing trials (24 033 participants), and 36 trials for the treatment of acute upper gastrointestinal bleeding (7826 participants). Comparisons of one gastroprotectant drug versus another were available in 345 trials (64 905 participants), comprising 160 prevention trials (32 959 participants), 167 healing trials (28 306 participants), and 18 trials for treatment of acute upper gastrointestinal bleeding (3640 participants). The median number of patients in each trial was 78 (IQR 44·0–210·5) and the median duration was 1·4 months (0·9–2·8). In prevention trials, gastroprotectant drugs reduced development of endoscopic ulcers (odds ratio [OR] 0·27, 95% CI 0·25–0·29; p&lt;0·0001), symptomatic ulcers (0·25, 0·22–0·29; p&lt;0·0001), and upper gastrointestinal bleeding (0·40, 0·32–0·50; p&lt;0·0001), but did not significantly reduce mortality (0·85, 0·69–1·04; p=0·11). Larger proportional reductions in upper gastrointestinal bleeding were observed for PPIs than for other gastroprotectant drugs (PPIs 0·21, 99% CI 0·12–0·36; prostaglandin analogues 0·63, 0·35–1·12; H2RAs 0·49, 0·30–0·80; phet=0·0005). Gastroprotectant drugs were effective in preventing bleeding irrespective of the u…","author":[{"dropping-particle":"","family":"Scally","given":"Benjamin","non-dropping-particle":"","parse-names":false,"suffix":""},{"dropping-particle":"","family":"Emberson","given":"Jonathan R.","non-dropping-particle":"","parse-names":false,"suffix":""},{"dropping-particle":"","family":"Spata","given":"Enti","non-dropping-particle":"","parse-names":false,"suffix":""},{"dropping-particle":"","family":"Reith","given":"Christina","non-dropping-particle":"","parse-names":false,"suffix":""},{"dropping-particle":"","family":"Davies","given":"Kelly","non-dropping-particle":"","parse-names":false,"suffix":""},{"dropping-particle":"","family":"Halls","given":"Heather","non-dropping-particle":"","parse-names":false,"suffix":""},{"dropping-particle":"","family":"Holland","given":"Lisa","non-dropping-particle":"","parse-names":false,"suffix":""},{"dropping-particle":"","family":"Wilson","given":"Kate","non-dropping-particle":"","parse-names":false,"suffix":""},{"dropping-particle":"","family":"Bhala","given":"Neeraj","non-dropping-particle":"","parse-names":false,"suffix":""},{"dropping-particle":"","family":"Hawkey","given":"Christopher","non-dropping-particle":"","parse-names":false,"suffix":""},{"dropping-particle":"","family":"Hochberg","given":"Marc","non-dropping-particle":"","parse-names":false,"suffix":""},{"dropping-particle":"","family":"Hunt","given":"Richard","non-dropping-particle":"","parse-names":false,"suffix":""},{"dropping-particle":"","family":"Laine","given":"Loren","non-dropping-particle":"","parse-names":false,"suffix":""},{"dropping-particle":"","family":"Lanas","given":"Angel","non-dropping-particle":"","parse-names":false,"suffix":""},{"dropping-particle":"","family":"Patrono","given":"Carlo","non-dropping-particle":"","parse-names":false,"suffix":""},{"dropping-particle":"","family":"Baigent","given":"Colin","non-dropping-particle":"","parse-names":false,"suffix":""}],"container-title":"The Lancet Gastroenterology and Hepatology","id":"ITEM-1","issue":"4","issued":{"date-parts":[["2018","4","1"]]},"page":"231-241","publisher":"Elsevier Ltd","title":"Effects of gastroprotectant drugs for the prevention and treatment of peptic ulcer disease and its complications: a meta-analysis of randomised trials","type":"article-journal","volume":"3"},"uris":["http://www.mendeley.com/documents/?uuid=f1962b3a-e3e6-3474-95a8-4fc5245efa04"]}],"mendeley":{"formattedCitation":"[119]","plainTextFormattedCitation":"[119]","previouslyFormattedCitation":"[136]"},"properties":{"noteIndex":0},"schema":"https://github.com/citation-style-language/schema/raw/master/csl-citation.json"}</w:instrText>
      </w:r>
      <w:r>
        <w:rPr>
          <w:szCs w:val="24"/>
        </w:rPr>
        <w:fldChar w:fldCharType="separate"/>
      </w:r>
      <w:r w:rsidR="00A67ED2" w:rsidRPr="00A67ED2">
        <w:rPr>
          <w:noProof/>
          <w:szCs w:val="24"/>
        </w:rPr>
        <w:t>[119]</w:t>
      </w:r>
      <w:r>
        <w:rPr>
          <w:szCs w:val="24"/>
        </w:rPr>
        <w:fldChar w:fldCharType="end"/>
      </w:r>
      <w:r w:rsidRPr="00212D51">
        <w:rPr>
          <w:szCs w:val="24"/>
        </w:rPr>
        <w:t xml:space="preserve">. Лишь препараты этих двух групп позволяют достигать и поддерживать необходимую рН-среду желудка, при которой происходит заживление гастродуоденальных язв. </w:t>
      </w:r>
    </w:p>
    <w:p w14:paraId="19816EB6" w14:textId="4A56E63F" w:rsidR="006F27D1" w:rsidRPr="00212D51" w:rsidRDefault="006F27D1" w:rsidP="006F27D1">
      <w:pPr>
        <w:ind w:firstLine="709"/>
        <w:rPr>
          <w:szCs w:val="24"/>
        </w:rPr>
      </w:pPr>
      <w:r w:rsidRPr="00212D51">
        <w:rPr>
          <w:szCs w:val="24"/>
        </w:rPr>
        <w:t>В настоящее время ИПП являются средством базисной терапии. Результаты рандомизированных сравнительных исследований свидетельствуют о высокой эффективности ИП</w:t>
      </w:r>
      <w:r>
        <w:rPr>
          <w:szCs w:val="24"/>
        </w:rPr>
        <w:t xml:space="preserve">П по сравнению с Н2-блокаторами </w:t>
      </w:r>
      <w:r>
        <w:rPr>
          <w:szCs w:val="24"/>
        </w:rPr>
        <w:fldChar w:fldCharType="begin" w:fldLock="1"/>
      </w:r>
      <w:r w:rsidR="00A67ED2">
        <w:rPr>
          <w:szCs w:val="24"/>
        </w:rPr>
        <w:instrText>ADDIN CSL_CITATION {"citationItems":[{"id":"ITEM-1","itemData":{"DOI":"10.4103/1319-3767.199117","ISSN":"1319-3767","abstract":"Background/Aim: To compare the efficacy and tolerance of different proton pump inhibitors (PPIs) in different doses for patients with duodenal ulcers. Materials and Methods: An electronic database was searched to collect all randomized clinical trials (RCTs), and a pairwise and network meta-analysis were performed. Results: A total of 24 RCTs involving 6188 patients were included. The network meta-analysis showed that there were no significant differences for the 4-week healing rate of duodenal ulcer treated with different PPI regimens except pantoprazle 40 mg/d versus lansoprazole 15 mg/d [Relative risk (RR) = 3.57; 95% confidence interval (CI) = 1.36-10.31)] and lansoprazole 30 mg/d versus lansoprazole 15 mg/d (RR = 2.45; 95% CI = 1.01-6.14). In comparison with H2receptor antagonists (H2RA), pantoprazole 40 mg/d and lansoprazole 30 mg/d significantly increase the healing rate (RR = 2.96; 95% CI = 1.78-5.14 and RR = 2.04; 95% CI = 1.13-3.53, respectively). There was no significant difference for the rate of adverse events between different regimens, including H2RA for a duration of 4-week of follow up. Conclusion: There was no significant difference for the efficacy and tolerance between the ordinary doses of different PPIs with the exception of lansoprazle 15 mg/d.","author":[{"dropping-particle":"","family":"Hu","given":"Zhan-Hong","non-dropping-particle":"","parse-names":false,"suffix":""},{"dropping-particle":"","family":"Shi","given":"Ai-Ming","non-dropping-particle":"","parse-names":false,"suffix":""},{"dropping-particle":"","family":"Hu","given":"Duan-Min","non-dropping-particle":"","parse-names":false,"suffix":""},{"dropping-particle":"","family":"Bao","given":"Jun-Jie","non-dropping-particle":"","parse-names":false,"suffix":""}],"container-title":"Saudi Journal of Gastroenterology","id":"ITEM-1","issue":"1","issued":{"date-parts":[["2017","1","1"]]},"page":"11","publisher":"Medknow Publications","title":"Efficacy of proton pump inhibitors for patients with duodenal ulcers: A pairwise and network meta-analysis of randomized controlled trials","type":"article-journal","volume":"23"},"uris":["http://www.mendeley.com/documents/?uuid=d523d0fc-026a-365d-b2ac-773ed8aed036"]}],"mendeley":{"formattedCitation":"[120]","plainTextFormattedCitation":"[120]","previouslyFormattedCitation":"[137]"},"properties":{"noteIndex":0},"schema":"https://github.com/citation-style-language/schema/raw/master/csl-citation.json"}</w:instrText>
      </w:r>
      <w:r>
        <w:rPr>
          <w:szCs w:val="24"/>
        </w:rPr>
        <w:fldChar w:fldCharType="separate"/>
      </w:r>
      <w:r w:rsidR="00A67ED2" w:rsidRPr="00A67ED2">
        <w:rPr>
          <w:noProof/>
          <w:szCs w:val="24"/>
        </w:rPr>
        <w:t>[120]</w:t>
      </w:r>
      <w:r>
        <w:rPr>
          <w:szCs w:val="24"/>
        </w:rPr>
        <w:fldChar w:fldCharType="end"/>
      </w:r>
      <w:r w:rsidRPr="00212D51">
        <w:rPr>
          <w:szCs w:val="24"/>
        </w:rPr>
        <w:t>. ИПП практически в 1,5 раза эффективнее Н2-блокаторов в отношении</w:t>
      </w:r>
      <w:r>
        <w:rPr>
          <w:szCs w:val="24"/>
        </w:rPr>
        <w:t xml:space="preserve"> эпителизации язвенного дефекта</w:t>
      </w:r>
      <w:r>
        <w:rPr>
          <w:szCs w:val="24"/>
        </w:rPr>
        <w:fldChar w:fldCharType="begin" w:fldLock="1"/>
      </w:r>
      <w:r w:rsidR="00A67ED2">
        <w:rPr>
          <w:szCs w:val="24"/>
        </w:rPr>
        <w:instrText>ADDIN CSL_CITATION {"citationItems":[{"id":"ITEM-1","itemData":{"DOI":"10.1016/S2468-1253(18)30037-2","ISSN":"24681253","PMID":"29475806","abstract":"Background: Gastroprotectant drugs are used for the prevention and treatment of peptic ulcer disease and might reduce its associated complications, but reliable estimates of the effects of gastroprotectants in different clinical settings are scarce. We aimed to examine the effects of proton-pump inhibitors (PPIs), prostaglandin analogues, and histamine-2 receptor antagonists (H2RAs) in different clinical circumstances by doing meta-analyses of tabular data from all relevant unconfounded randomised trials of gastroprotectant drugs. Methods: We searched MEDLINE and Embase from Jan 1, 1950, to Dec 31, 2015, to identify unconfounded, randomised trials of a gastroprotectant drug (defined as a PPI, prostaglandin analogue, or H2RA) versus control, or versus another gastroprotectant. Two independent researchers reviewed the search results and extracted the prespecified outcomes and key characteristics for each trial. We did meta-analyses of the effects of gastroprotectant drugs on ulcer development, bleeding, and mortality overall, according to the class of gastroprotectant, and according to the individual drug within a gastroprotectant class. Findings: We identified comparisons of gastroprotectant versus control in 849 trials (142 485 participants): 580 prevention trials (110 626 participants), 233 healing trials (24 033 participants), and 36 trials for the treatment of acute upper gastrointestinal bleeding (7826 participants). Comparisons of one gastroprotectant drug versus another were available in 345 trials (64 905 participants), comprising 160 prevention trials (32 959 participants), 167 healing trials (28 306 participants), and 18 trials for treatment of acute upper gastrointestinal bleeding (3640 participants). The median number of patients in each trial was 78 (IQR 44·0–210·5) and the median duration was 1·4 months (0·9–2·8). In prevention trials, gastroprotectant drugs reduced development of endoscopic ulcers (odds ratio [OR] 0·27, 95% CI 0·25–0·29; p&lt;0·0001), symptomatic ulcers (0·25, 0·22–0·29; p&lt;0·0001), and upper gastrointestinal bleeding (0·40, 0·32–0·50; p&lt;0·0001), but did not significantly reduce mortality (0·85, 0·69–1·04; p=0·11). Larger proportional reductions in upper gastrointestinal bleeding were observed for PPIs than for other gastroprotectant drugs (PPIs 0·21, 99% CI 0·12–0·36; prostaglandin analogues 0·63, 0·35–1·12; H2RAs 0·49, 0·30–0·80; phet=0·0005). Gastroprotectant drugs were effective in preventing bleeding irrespective of the u…","author":[{"dropping-particle":"","family":"Scally","given":"Benjamin","non-dropping-particle":"","parse-names":false,"suffix":""},{"dropping-particle":"","family":"Emberson","given":"Jonathan R.","non-dropping-particle":"","parse-names":false,"suffix":""},{"dropping-particle":"","family":"Spata","given":"Enti","non-dropping-particle":"","parse-names":false,"suffix":""},{"dropping-particle":"","family":"Reith","given":"Christina","non-dropping-particle":"","parse-names":false,"suffix":""},{"dropping-particle":"","family":"Davies","given":"Kelly","non-dropping-particle":"","parse-names":false,"suffix":""},{"dropping-particle":"","family":"Halls","given":"Heather","non-dropping-particle":"","parse-names":false,"suffix":""},{"dropping-particle":"","family":"Holland","given":"Lisa","non-dropping-particle":"","parse-names":false,"suffix":""},{"dropping-particle":"","family":"Wilson","given":"Kate","non-dropping-particle":"","parse-names":false,"suffix":""},{"dropping-particle":"","family":"Bhala","given":"Neeraj","non-dropping-particle":"","parse-names":false,"suffix":""},{"dropping-particle":"","family":"Hawkey","given":"Christopher","non-dropping-particle":"","parse-names":false,"suffix":""},{"dropping-particle":"","family":"Hochberg","given":"Marc","non-dropping-particle":"","parse-names":false,"suffix":""},{"dropping-particle":"","family":"Hunt","given":"Richard","non-dropping-particle":"","parse-names":false,"suffix":""},{"dropping-particle":"","family":"Laine","given":"Loren","non-dropping-particle":"","parse-names":false,"suffix":""},{"dropping-particle":"","family":"Lanas","given":"Angel","non-dropping-particle":"","parse-names":false,"suffix":""},{"dropping-particle":"","family":"Patrono","given":"Carlo","non-dropping-particle":"","parse-names":false,"suffix":""},{"dropping-particle":"","family":"Baigent","given":"Colin","non-dropping-particle":"","parse-names":false,"suffix":""}],"container-title":"The Lancet Gastroenterology and Hepatology","id":"ITEM-1","issue":"4","issued":{"date-parts":[["2018","4","1"]]},"page":"231-241","publisher":"Elsevier Ltd","title":"Effects of gastroprotectant drugs for the prevention and treatment of peptic ulcer disease and its complications: a meta-analysis of randomised trials","type":"article-journal","volume":"3"},"uris":["http://www.mendeley.com/documents/?uuid=f1962b3a-e3e6-3474-95a8-4fc5245efa04"]}],"mendeley":{"formattedCitation":"[119]","plainTextFormattedCitation":"[119]","previouslyFormattedCitation":"[136]"},"properties":{"noteIndex":0},"schema":"https://github.com/citation-style-language/schema/raw/master/csl-citation.json"}</w:instrText>
      </w:r>
      <w:r>
        <w:rPr>
          <w:szCs w:val="24"/>
        </w:rPr>
        <w:fldChar w:fldCharType="separate"/>
      </w:r>
      <w:r w:rsidR="00A67ED2" w:rsidRPr="00A67ED2">
        <w:rPr>
          <w:noProof/>
          <w:szCs w:val="24"/>
        </w:rPr>
        <w:t>[119]</w:t>
      </w:r>
      <w:r>
        <w:rPr>
          <w:szCs w:val="24"/>
        </w:rPr>
        <w:fldChar w:fldCharType="end"/>
      </w:r>
      <w:r w:rsidRPr="00212D51">
        <w:rPr>
          <w:szCs w:val="24"/>
        </w:rPr>
        <w:t>.</w:t>
      </w:r>
    </w:p>
    <w:p w14:paraId="1580ECD3" w14:textId="77777777" w:rsidR="006F27D1" w:rsidRDefault="006F27D1" w:rsidP="006F27D1">
      <w:pPr>
        <w:tabs>
          <w:tab w:val="left" w:pos="0"/>
        </w:tabs>
        <w:ind w:firstLine="709"/>
        <w:rPr>
          <w:b/>
          <w:szCs w:val="24"/>
        </w:rPr>
      </w:pPr>
    </w:p>
    <w:p w14:paraId="0E0A10AE" w14:textId="77777777" w:rsidR="006F27D1" w:rsidRPr="003E7EBA" w:rsidRDefault="006F27D1" w:rsidP="006F27D1">
      <w:pPr>
        <w:pStyle w:val="afff3"/>
        <w:ind w:left="0"/>
        <w:rPr>
          <w:szCs w:val="24"/>
          <w:u w:val="single"/>
        </w:rPr>
      </w:pPr>
      <w:r w:rsidRPr="003E7EBA">
        <w:rPr>
          <w:szCs w:val="24"/>
          <w:u w:val="single"/>
        </w:rPr>
        <w:t xml:space="preserve">Блокаторы Н2-гистаминовых рецепторов </w:t>
      </w:r>
    </w:p>
    <w:p w14:paraId="332E9544" w14:textId="77777777" w:rsidR="006F27D1" w:rsidRPr="00212D51" w:rsidRDefault="006F27D1" w:rsidP="006F27D1">
      <w:pPr>
        <w:tabs>
          <w:tab w:val="left" w:pos="0"/>
        </w:tabs>
        <w:ind w:firstLine="709"/>
        <w:rPr>
          <w:b/>
          <w:szCs w:val="24"/>
        </w:rPr>
      </w:pPr>
      <w:r w:rsidRPr="00212D51">
        <w:rPr>
          <w:b/>
          <w:szCs w:val="24"/>
        </w:rPr>
        <w:t>Фармакологическое действие</w:t>
      </w:r>
    </w:p>
    <w:p w14:paraId="1D211212" w14:textId="77777777" w:rsidR="006F27D1" w:rsidRPr="00212D51" w:rsidRDefault="006F27D1" w:rsidP="006F27D1">
      <w:pPr>
        <w:tabs>
          <w:tab w:val="left" w:pos="0"/>
        </w:tabs>
        <w:ind w:firstLine="709"/>
        <w:rPr>
          <w:szCs w:val="24"/>
        </w:rPr>
      </w:pPr>
      <w:r w:rsidRPr="00212D51">
        <w:rPr>
          <w:szCs w:val="24"/>
        </w:rPr>
        <w:t xml:space="preserve">Препараты, блокирующие гистаминовые Н2-рецепторы – лекарственные средства, устраняющие физиологические эффекты гистамина, блокируя рецепторы чувствительных к нему клеток. </w:t>
      </w:r>
    </w:p>
    <w:p w14:paraId="18BEF124" w14:textId="77777777" w:rsidR="006F27D1" w:rsidRPr="00212D51" w:rsidRDefault="006F27D1" w:rsidP="006F27D1">
      <w:pPr>
        <w:tabs>
          <w:tab w:val="left" w:pos="0"/>
        </w:tabs>
        <w:ind w:firstLine="709"/>
        <w:rPr>
          <w:szCs w:val="24"/>
        </w:rPr>
      </w:pPr>
      <w:r w:rsidRPr="00212D51">
        <w:rPr>
          <w:szCs w:val="24"/>
        </w:rPr>
        <w:t xml:space="preserve">Популяция гистаминорецепторов состоит из 2-х подтипов, названных Н (Н1- и Н2-гистаминорецепторы). Секреторные реакции желудка при действии экзогенного или </w:t>
      </w:r>
      <w:r w:rsidRPr="00212D51">
        <w:rPr>
          <w:szCs w:val="24"/>
        </w:rPr>
        <w:lastRenderedPageBreak/>
        <w:t xml:space="preserve">эндогенного гистамина реализуются через Н2-гистаминорецепторы. Блокаторы гистаминовых Н2-рецепторов являются конкурентными антагонистами гистамина. Наиболее выраженный эффект ассоциирован с влиянием на секрецию желез слизистой оболочки желудка. Препараты воздействуют на гистаминовые Н2-рецепторы париетальных клеток и значительно уменьшают вызванную различными раздражителями секрецию соляной кислоты. </w:t>
      </w:r>
    </w:p>
    <w:p w14:paraId="7035B92F" w14:textId="77777777" w:rsidR="006F27D1" w:rsidRPr="00212D51" w:rsidRDefault="006F27D1" w:rsidP="006F27D1">
      <w:pPr>
        <w:tabs>
          <w:tab w:val="left" w:pos="0"/>
        </w:tabs>
        <w:ind w:firstLine="709"/>
        <w:rPr>
          <w:b/>
          <w:szCs w:val="24"/>
        </w:rPr>
      </w:pPr>
      <w:r w:rsidRPr="00212D51">
        <w:rPr>
          <w:b/>
          <w:szCs w:val="24"/>
        </w:rPr>
        <w:t>Показания</w:t>
      </w:r>
    </w:p>
    <w:p w14:paraId="580E2860" w14:textId="77777777" w:rsidR="006F27D1" w:rsidRPr="00212D51" w:rsidRDefault="006F27D1" w:rsidP="008C1767">
      <w:pPr>
        <w:widowControl/>
        <w:numPr>
          <w:ilvl w:val="0"/>
          <w:numId w:val="174"/>
        </w:numPr>
        <w:tabs>
          <w:tab w:val="left" w:pos="0"/>
        </w:tabs>
        <w:autoSpaceDE/>
        <w:autoSpaceDN/>
        <w:adjustRightInd/>
        <w:ind w:left="0" w:firstLine="709"/>
        <w:contextualSpacing/>
        <w:rPr>
          <w:szCs w:val="24"/>
        </w:rPr>
      </w:pPr>
      <w:r w:rsidRPr="00212D51">
        <w:rPr>
          <w:szCs w:val="24"/>
        </w:rPr>
        <w:t>Профилактика/лечение язвенной болезни желудка</w:t>
      </w:r>
      <w:r w:rsidRPr="00212D51">
        <w:t xml:space="preserve"> </w:t>
      </w:r>
      <w:r w:rsidRPr="00212D51">
        <w:rPr>
          <w:szCs w:val="24"/>
        </w:rPr>
        <w:t xml:space="preserve">и двенадцатиперстной кишки, в том числе на фоне </w:t>
      </w:r>
      <w:r>
        <w:rPr>
          <w:szCs w:val="24"/>
        </w:rPr>
        <w:t>высокодозной химиотерапии</w:t>
      </w:r>
    </w:p>
    <w:p w14:paraId="322FBEB9" w14:textId="77777777" w:rsidR="006F27D1" w:rsidRPr="00212D51" w:rsidRDefault="006F27D1" w:rsidP="006F27D1">
      <w:pPr>
        <w:tabs>
          <w:tab w:val="left" w:pos="0"/>
        </w:tabs>
        <w:ind w:firstLine="709"/>
        <w:rPr>
          <w:b/>
          <w:szCs w:val="24"/>
        </w:rPr>
      </w:pPr>
      <w:r w:rsidRPr="00212D51">
        <w:rPr>
          <w:b/>
          <w:szCs w:val="24"/>
        </w:rPr>
        <w:t>5.3. Режим дозирования</w:t>
      </w:r>
    </w:p>
    <w:p w14:paraId="6CB47C7F" w14:textId="38DBFB61" w:rsidR="006F27D1" w:rsidRDefault="006F27D1" w:rsidP="006F27D1">
      <w:pPr>
        <w:tabs>
          <w:tab w:val="left" w:pos="0"/>
        </w:tabs>
        <w:ind w:firstLine="709"/>
        <w:rPr>
          <w:szCs w:val="24"/>
        </w:rPr>
      </w:pPr>
      <w:r w:rsidRPr="00212D51">
        <w:rPr>
          <w:szCs w:val="24"/>
        </w:rPr>
        <w:t xml:space="preserve">Пациентам во время проведения курсов специфической противоопухолевой терапии, </w:t>
      </w:r>
      <w:r>
        <w:rPr>
          <w:szCs w:val="24"/>
        </w:rPr>
        <w:t xml:space="preserve">с профилактической целью </w:t>
      </w:r>
      <w:r w:rsidRPr="00212D51">
        <w:rPr>
          <w:szCs w:val="24"/>
        </w:rPr>
        <w:t xml:space="preserve">рекомендован прием блокаторов Н2-гистаминовых рецепторов в указанных в таблице </w:t>
      </w:r>
      <w:r w:rsidR="007A56DF" w:rsidRPr="007A56DF">
        <w:rPr>
          <w:szCs w:val="24"/>
        </w:rPr>
        <w:t>6</w:t>
      </w:r>
      <w:r w:rsidRPr="00212D51">
        <w:rPr>
          <w:szCs w:val="24"/>
        </w:rPr>
        <w:t xml:space="preserve"> дозах.</w:t>
      </w:r>
    </w:p>
    <w:p w14:paraId="6319044D" w14:textId="77777777" w:rsidR="006F27D1" w:rsidRPr="00212D51" w:rsidRDefault="006F27D1" w:rsidP="006F27D1">
      <w:pPr>
        <w:tabs>
          <w:tab w:val="left" w:pos="0"/>
        </w:tabs>
        <w:ind w:firstLine="709"/>
        <w:rPr>
          <w:szCs w:val="24"/>
        </w:rPr>
      </w:pPr>
    </w:p>
    <w:p w14:paraId="51C6FB07" w14:textId="296F4F6B" w:rsidR="006F27D1" w:rsidRPr="006E6081" w:rsidRDefault="006F27D1" w:rsidP="006F27D1">
      <w:pPr>
        <w:tabs>
          <w:tab w:val="left" w:pos="0"/>
        </w:tabs>
        <w:ind w:firstLine="709"/>
        <w:rPr>
          <w:szCs w:val="24"/>
        </w:rPr>
      </w:pPr>
      <w:r w:rsidRPr="007A56DF">
        <w:rPr>
          <w:szCs w:val="24"/>
        </w:rPr>
        <w:t xml:space="preserve">Таблица </w:t>
      </w:r>
      <w:r w:rsidR="007A56DF" w:rsidRPr="00124904">
        <w:rPr>
          <w:szCs w:val="24"/>
        </w:rPr>
        <w:t>6</w:t>
      </w:r>
      <w:r w:rsidRPr="007A56DF">
        <w:rPr>
          <w:szCs w:val="24"/>
        </w:rPr>
        <w:t>. Режим дозирования блокаторов Н2-гистаминовых рецепторов</w:t>
      </w:r>
      <w:r w:rsidRPr="006E6081">
        <w:rPr>
          <w:szCs w:val="24"/>
        </w:rPr>
        <w:t xml:space="preserve"> </w:t>
      </w:r>
    </w:p>
    <w:tbl>
      <w:tblPr>
        <w:tblStyle w:val="36"/>
        <w:tblW w:w="0" w:type="auto"/>
        <w:jc w:val="center"/>
        <w:tblLook w:val="04A0" w:firstRow="1" w:lastRow="0" w:firstColumn="1" w:lastColumn="0" w:noHBand="0" w:noVBand="1"/>
      </w:tblPr>
      <w:tblGrid>
        <w:gridCol w:w="2220"/>
        <w:gridCol w:w="1857"/>
        <w:gridCol w:w="3491"/>
      </w:tblGrid>
      <w:tr w:rsidR="006F27D1" w:rsidRPr="00212D51" w14:paraId="71CA96F0" w14:textId="77777777" w:rsidTr="00CD5E09">
        <w:trPr>
          <w:jc w:val="center"/>
        </w:trPr>
        <w:tc>
          <w:tcPr>
            <w:tcW w:w="2220" w:type="dxa"/>
          </w:tcPr>
          <w:p w14:paraId="59991B73" w14:textId="77777777" w:rsidR="006F27D1" w:rsidRPr="00212D51" w:rsidRDefault="006F27D1" w:rsidP="00CD5E09">
            <w:pPr>
              <w:tabs>
                <w:tab w:val="left" w:pos="0"/>
              </w:tabs>
              <w:jc w:val="center"/>
              <w:rPr>
                <w:b/>
                <w:szCs w:val="24"/>
                <w:lang w:eastAsia="ru-RU"/>
              </w:rPr>
            </w:pPr>
            <w:r w:rsidRPr="00212D51">
              <w:rPr>
                <w:b/>
                <w:szCs w:val="24"/>
                <w:lang w:eastAsia="ru-RU"/>
              </w:rPr>
              <w:t>Препараты</w:t>
            </w:r>
          </w:p>
        </w:tc>
        <w:tc>
          <w:tcPr>
            <w:tcW w:w="1857" w:type="dxa"/>
          </w:tcPr>
          <w:p w14:paraId="61BEF7CC" w14:textId="77777777" w:rsidR="006F27D1" w:rsidRPr="00212D51" w:rsidRDefault="006F27D1" w:rsidP="00CD5E09">
            <w:pPr>
              <w:tabs>
                <w:tab w:val="left" w:pos="0"/>
              </w:tabs>
              <w:jc w:val="center"/>
              <w:rPr>
                <w:b/>
                <w:szCs w:val="24"/>
                <w:lang w:eastAsia="ru-RU"/>
              </w:rPr>
            </w:pPr>
            <w:r w:rsidRPr="00212D51">
              <w:rPr>
                <w:b/>
                <w:szCs w:val="24"/>
                <w:lang w:eastAsia="ru-RU"/>
              </w:rPr>
              <w:t>Суточная доза, мг</w:t>
            </w:r>
          </w:p>
        </w:tc>
        <w:tc>
          <w:tcPr>
            <w:tcW w:w="3491" w:type="dxa"/>
          </w:tcPr>
          <w:p w14:paraId="763531F6" w14:textId="77777777" w:rsidR="006F27D1" w:rsidRPr="00212D51" w:rsidRDefault="006F27D1" w:rsidP="00CD5E09">
            <w:pPr>
              <w:tabs>
                <w:tab w:val="left" w:pos="0"/>
              </w:tabs>
              <w:jc w:val="center"/>
              <w:rPr>
                <w:b/>
                <w:szCs w:val="24"/>
                <w:lang w:eastAsia="ru-RU"/>
              </w:rPr>
            </w:pPr>
            <w:r w:rsidRPr="00212D51">
              <w:rPr>
                <w:b/>
                <w:szCs w:val="24"/>
                <w:lang w:eastAsia="ru-RU"/>
              </w:rPr>
              <w:t>Режим дозирования</w:t>
            </w:r>
          </w:p>
        </w:tc>
      </w:tr>
      <w:tr w:rsidR="006F27D1" w:rsidRPr="00212D51" w14:paraId="05A09D50" w14:textId="77777777" w:rsidTr="00CD5E09">
        <w:trPr>
          <w:jc w:val="center"/>
        </w:trPr>
        <w:tc>
          <w:tcPr>
            <w:tcW w:w="2220" w:type="dxa"/>
          </w:tcPr>
          <w:p w14:paraId="040D56AC" w14:textId="77777777" w:rsidR="006F27D1" w:rsidRPr="00212D51" w:rsidRDefault="006F27D1" w:rsidP="00CD5E09">
            <w:pPr>
              <w:tabs>
                <w:tab w:val="left" w:pos="0"/>
              </w:tabs>
              <w:rPr>
                <w:szCs w:val="24"/>
                <w:lang w:eastAsia="ru-RU"/>
              </w:rPr>
            </w:pPr>
            <w:r w:rsidRPr="00212D51">
              <w:rPr>
                <w:szCs w:val="24"/>
                <w:lang w:eastAsia="ru-RU"/>
              </w:rPr>
              <w:t>Ранитидин</w:t>
            </w:r>
          </w:p>
        </w:tc>
        <w:tc>
          <w:tcPr>
            <w:tcW w:w="1857" w:type="dxa"/>
          </w:tcPr>
          <w:p w14:paraId="0EC2C41A" w14:textId="77777777" w:rsidR="006F27D1" w:rsidRPr="00212D51" w:rsidRDefault="006F27D1" w:rsidP="00CD5E09">
            <w:pPr>
              <w:tabs>
                <w:tab w:val="left" w:pos="0"/>
              </w:tabs>
              <w:rPr>
                <w:szCs w:val="24"/>
                <w:lang w:eastAsia="ru-RU"/>
              </w:rPr>
            </w:pPr>
            <w:r w:rsidRPr="00212D51">
              <w:rPr>
                <w:szCs w:val="24"/>
                <w:lang w:eastAsia="ru-RU"/>
              </w:rPr>
              <w:t>150</w:t>
            </w:r>
          </w:p>
        </w:tc>
        <w:tc>
          <w:tcPr>
            <w:tcW w:w="3491" w:type="dxa"/>
          </w:tcPr>
          <w:p w14:paraId="60E9D516" w14:textId="77777777" w:rsidR="006F27D1" w:rsidRPr="00212D51" w:rsidRDefault="006F27D1" w:rsidP="00CD5E09">
            <w:pPr>
              <w:tabs>
                <w:tab w:val="left" w:pos="0"/>
              </w:tabs>
              <w:rPr>
                <w:szCs w:val="24"/>
                <w:lang w:eastAsia="ru-RU"/>
              </w:rPr>
            </w:pPr>
            <w:r w:rsidRPr="00212D51">
              <w:rPr>
                <w:szCs w:val="24"/>
                <w:lang w:eastAsia="ru-RU"/>
              </w:rPr>
              <w:t>Внутрь, 1 раз в сутки, на ночь</w:t>
            </w:r>
          </w:p>
        </w:tc>
      </w:tr>
      <w:tr w:rsidR="006F27D1" w:rsidRPr="00212D51" w14:paraId="50415829" w14:textId="77777777" w:rsidTr="00CD5E09">
        <w:trPr>
          <w:jc w:val="center"/>
        </w:trPr>
        <w:tc>
          <w:tcPr>
            <w:tcW w:w="2220" w:type="dxa"/>
          </w:tcPr>
          <w:p w14:paraId="7DBFC440" w14:textId="77777777" w:rsidR="006F27D1" w:rsidRPr="00212D51" w:rsidRDefault="006F27D1" w:rsidP="00CD5E09">
            <w:pPr>
              <w:tabs>
                <w:tab w:val="left" w:pos="0"/>
              </w:tabs>
              <w:rPr>
                <w:szCs w:val="24"/>
                <w:lang w:eastAsia="ru-RU"/>
              </w:rPr>
            </w:pPr>
            <w:r w:rsidRPr="00212D51">
              <w:rPr>
                <w:szCs w:val="24"/>
                <w:lang w:eastAsia="ru-RU"/>
              </w:rPr>
              <w:t>Фамотидин</w:t>
            </w:r>
          </w:p>
        </w:tc>
        <w:tc>
          <w:tcPr>
            <w:tcW w:w="1857" w:type="dxa"/>
          </w:tcPr>
          <w:p w14:paraId="40D8C250" w14:textId="77777777" w:rsidR="006F27D1" w:rsidRPr="00212D51" w:rsidRDefault="006F27D1" w:rsidP="00CD5E09">
            <w:pPr>
              <w:tabs>
                <w:tab w:val="left" w:pos="0"/>
              </w:tabs>
              <w:rPr>
                <w:szCs w:val="24"/>
                <w:lang w:eastAsia="ru-RU"/>
              </w:rPr>
            </w:pPr>
            <w:r w:rsidRPr="00212D51">
              <w:rPr>
                <w:szCs w:val="24"/>
                <w:lang w:eastAsia="ru-RU"/>
              </w:rPr>
              <w:t xml:space="preserve">20 </w:t>
            </w:r>
          </w:p>
        </w:tc>
        <w:tc>
          <w:tcPr>
            <w:tcW w:w="3491" w:type="dxa"/>
          </w:tcPr>
          <w:p w14:paraId="56A342AA" w14:textId="77777777" w:rsidR="006F27D1" w:rsidRPr="00212D51" w:rsidRDefault="006F27D1" w:rsidP="00CD5E09">
            <w:r w:rsidRPr="00212D51">
              <w:rPr>
                <w:szCs w:val="24"/>
                <w:lang w:eastAsia="ru-RU"/>
              </w:rPr>
              <w:t>Внутрь, 1 раз в сутки, на ночь</w:t>
            </w:r>
          </w:p>
        </w:tc>
      </w:tr>
    </w:tbl>
    <w:p w14:paraId="75E00604" w14:textId="77777777" w:rsidR="006F27D1" w:rsidRDefault="006F27D1" w:rsidP="006F27D1">
      <w:pPr>
        <w:ind w:firstLine="709"/>
        <w:rPr>
          <w:iCs/>
          <w:szCs w:val="24"/>
        </w:rPr>
      </w:pPr>
    </w:p>
    <w:p w14:paraId="2E53C196" w14:textId="73E160D3" w:rsidR="006F27D1" w:rsidRPr="00212D51" w:rsidRDefault="006F27D1" w:rsidP="006F27D1">
      <w:pPr>
        <w:ind w:firstLine="709"/>
        <w:rPr>
          <w:iCs/>
          <w:szCs w:val="24"/>
        </w:rPr>
      </w:pPr>
      <w:r w:rsidRPr="00212D51">
        <w:rPr>
          <w:iCs/>
          <w:szCs w:val="24"/>
        </w:rPr>
        <w:t>Н2-блокаторы гистамина подавляют секрецию соляной кислоты за счет вытеснения гистамина из связи с Н2-рецепторами париетальных клеток. Препараты этой группы поддерживают показатели внутрижелудочного рН &gt; 3 на протяжении суток. Проведенные исследования показали, что применение Н2-блокаторов в течение 1-1,5 месяца приводит к рубцеванию язвенного дефекта у 70–80 % пациентов с дуоденальными язвами и у 55–</w:t>
      </w:r>
      <w:r>
        <w:rPr>
          <w:iCs/>
          <w:szCs w:val="24"/>
        </w:rPr>
        <w:t xml:space="preserve">60 % пациентов с язвами желудка </w:t>
      </w:r>
      <w:r>
        <w:rPr>
          <w:iCs/>
          <w:szCs w:val="24"/>
        </w:rPr>
        <w:fldChar w:fldCharType="begin" w:fldLock="1"/>
      </w:r>
      <w:r w:rsidR="00A67ED2">
        <w:rPr>
          <w:iCs/>
          <w:szCs w:val="24"/>
        </w:rPr>
        <w:instrText>ADDIN CSL_CITATION {"citationItems":[{"id":"ITEM-1","itemData":{"DOI":"10.1016/S0140-6736(16)32404-7","ISSN":"1474-547X","PMID":"28242110","abstract":"The rapidly declining prevalence of Helicobacter pylori infection and widespread use of potent anti-secretory drugs means peptic ulcer disease has become substantially less prevalent than it was two decades ago. Management has, however, become more challenging than ever because of the threat of increasing antimicrobial resistance worldwide and widespread use of complex anti-thrombotic therapy in the ageing population. Peptic ulcers not associated with H pylori infection or the use of non-steroidal anti-inflammatory drugs are now also imposing substantial diagnostic and therapeutic challenges. This Seminar aims to provide a balanced overview of the latest advances in the pathogenetic mechanisms of peptic ulcers, guidelines on therapies targeting H pylori infection, approaches to treatment of peptic ulcer complications associated with anti-inflammatory analgesics and anti-thrombotic agents, and the unmet needs in terms of our knowledge and management of this increasingly challenging condition.","author":[{"dropping-particle":"","family":"Lanas","given":"Angel","non-dropping-particle":"","parse-names":false,"suffix":""},{"dropping-particle":"","family":"Chan","given":"Francis K L","non-dropping-particle":"","parse-names":false,"suffix":""}],"container-title":"Lancet (London, England)","id":"ITEM-1","issue":"10094","issued":{"date-parts":[["2017"]]},"page":"613-624","publisher":"Lancet","title":"Peptic ulcer disease.","type":"article-journal","volume":"390"},"uris":["http://www.mendeley.com/documents/?uuid=dcbc625a-2314-3bed-910d-92b1cdf9da49","http://www.mendeley.com/documents/?uuid=624fee9b-1b8b-4f2d-a0e5-4146c75dcad9"]}],"mendeley":{"formattedCitation":"[159]","plainTextFormattedCitation":"[159]","previouslyFormattedCitation":"[138]"},"properties":{"noteIndex":0},"schema":"https://github.com/citation-style-language/schema/raw/master/csl-citation.json"}</w:instrText>
      </w:r>
      <w:r>
        <w:rPr>
          <w:iCs/>
          <w:szCs w:val="24"/>
        </w:rPr>
        <w:fldChar w:fldCharType="separate"/>
      </w:r>
      <w:r w:rsidR="00A67ED2" w:rsidRPr="00A67ED2">
        <w:rPr>
          <w:iCs/>
          <w:noProof/>
          <w:szCs w:val="24"/>
        </w:rPr>
        <w:t>[159]</w:t>
      </w:r>
      <w:r>
        <w:rPr>
          <w:iCs/>
          <w:szCs w:val="24"/>
        </w:rPr>
        <w:fldChar w:fldCharType="end"/>
      </w:r>
      <w:r w:rsidRPr="00212D51">
        <w:rPr>
          <w:iCs/>
          <w:szCs w:val="24"/>
        </w:rPr>
        <w:t>. Н2-блокаторы значительно эффективнее плацебо в достижении рубцевания язвенного дефекта</w:t>
      </w:r>
      <w:r>
        <w:rPr>
          <w:iCs/>
          <w:szCs w:val="24"/>
        </w:rPr>
        <w:t xml:space="preserve"> </w:t>
      </w:r>
      <w:r>
        <w:rPr>
          <w:iCs/>
          <w:szCs w:val="24"/>
        </w:rPr>
        <w:fldChar w:fldCharType="begin" w:fldLock="1"/>
      </w:r>
      <w:r w:rsidR="00A67ED2">
        <w:rPr>
          <w:iCs/>
          <w:szCs w:val="24"/>
        </w:rPr>
        <w:instrText>ADDIN CSL_CITATION {"citationItems":[{"id":"ITEM-1","itemData":{"DOI":"10.1016/S2468-1253(18)30037-2","ISSN":"24681253","PMID":"29475806","abstract":"Background: Gastroprotectant drugs are used for the prevention and treatment of peptic ulcer disease and might reduce its associated complications, but reliable estimates of the effects of gastroprotectants in different clinical settings are scarce. We aimed to examine the effects of proton-pump inhibitors (PPIs), prostaglandin analogues, and histamine-2 receptor antagonists (H2RAs) in different clinical circumstances by doing meta-analyses of tabular data from all relevant unconfounded randomised trials of gastroprotectant drugs. Methods: We searched MEDLINE and Embase from Jan 1, 1950, to Dec 31, 2015, to identify unconfounded, randomised trials of a gastroprotectant drug (defined as a PPI, prostaglandin analogue, or H2RA) versus control, or versus another gastroprotectant. Two independent researchers reviewed the search results and extracted the prespecified outcomes and key characteristics for each trial. We did meta-analyses of the effects of gastroprotectant drugs on ulcer development, bleeding, and mortality overall, according to the class of gastroprotectant, and according to the individual drug within a gastroprotectant class. Findings: We identified comparisons of gastroprotectant versus control in 849 trials (142 485 participants): 580 prevention trials (110 626 participants), 233 healing trials (24 033 participants), and 36 trials for the treatment of acute upper gastrointestinal bleeding (7826 participants). Comparisons of one gastroprotectant drug versus another were available in 345 trials (64 905 participants), comprising 160 prevention trials (32 959 participants), 167 healing trials (28 306 participants), and 18 trials for treatment of acute upper gastrointestinal bleeding (3640 participants). The median number of patients in each trial was 78 (IQR 44·0–210·5) and the median duration was 1·4 months (0·9–2·8). In prevention trials, gastroprotectant drugs reduced development of endoscopic ulcers (odds ratio [OR] 0·27, 95% CI 0·25–0·29; p&lt;0·0001), symptomatic ulcers (0·25, 0·22–0·29; p&lt;0·0001), and upper gastrointestinal bleeding (0·40, 0·32–0·50; p&lt;0·0001), but did not significantly reduce mortality (0·85, 0·69–1·04; p=0·11). Larger proportional reductions in upper gastrointestinal bleeding were observed for PPIs than for other gastroprotectant drugs (PPIs 0·21, 99% CI 0·12–0·36; prostaglandin analogues 0·63, 0·35–1·12; H2RAs 0·49, 0·30–0·80; phet=0·0005). Gastroprotectant drugs were effective in preventing bleeding irrespective of the u…","author":[{"dropping-particle":"","family":"Scally","given":"Benjamin","non-dropping-particle":"","parse-names":false,"suffix":""},{"dropping-particle":"","family":"Emberson","given":"Jonathan R.","non-dropping-particle":"","parse-names":false,"suffix":""},{"dropping-particle":"","family":"Spata","given":"Enti","non-dropping-particle":"","parse-names":false,"suffix":""},{"dropping-particle":"","family":"Reith","given":"Christina","non-dropping-particle":"","parse-names":false,"suffix":""},{"dropping-particle":"","family":"Davies","given":"Kelly","non-dropping-particle":"","parse-names":false,"suffix":""},{"dropping-particle":"","family":"Halls","given":"Heather","non-dropping-particle":"","parse-names":false,"suffix":""},{"dropping-particle":"","family":"Holland","given":"Lisa","non-dropping-particle":"","parse-names":false,"suffix":""},{"dropping-particle":"","family":"Wilson","given":"Kate","non-dropping-particle":"","parse-names":false,"suffix":""},{"dropping-particle":"","family":"Bhala","given":"Neeraj","non-dropping-particle":"","parse-names":false,"suffix":""},{"dropping-particle":"","family":"Hawkey","given":"Christopher","non-dropping-particle":"","parse-names":false,"suffix":""},{"dropping-particle":"","family":"Hochberg","given":"Marc","non-dropping-particle":"","parse-names":false,"suffix":""},{"dropping-particle":"","family":"Hunt","given":"Richard","non-dropping-particle":"","parse-names":false,"suffix":""},{"dropping-particle":"","family":"Laine","given":"Loren","non-dropping-particle":"","parse-names":false,"suffix":""},{"dropping-particle":"","family":"Lanas","given":"Angel","non-dropping-particle":"","parse-names":false,"suffix":""},{"dropping-particle":"","family":"Patrono","given":"Carlo","non-dropping-particle":"","parse-names":false,"suffix":""},{"dropping-particle":"","family":"Baigent","given":"Colin","non-dropping-particle":"","parse-names":false,"suffix":""}],"container-title":"The Lancet Gastroenterology and Hepatology","id":"ITEM-1","issue":"4","issued":{"date-parts":[["2018","4","1"]]},"page":"231-241","publisher":"Elsevier Ltd","title":"Effects of gastroprotectant drugs for the prevention and treatment of peptic ulcer disease and its complications: a meta-analysis of randomised trials","type":"article-journal","volume":"3"},"uris":["http://www.mendeley.com/documents/?uuid=f1962b3a-e3e6-3474-95a8-4fc5245efa04"]}],"mendeley":{"formattedCitation":"[119]","plainTextFormattedCitation":"[119]","previouslyFormattedCitation":"[136]"},"properties":{"noteIndex":0},"schema":"https://github.com/citation-style-language/schema/raw/master/csl-citation.json"}</w:instrText>
      </w:r>
      <w:r>
        <w:rPr>
          <w:iCs/>
          <w:szCs w:val="24"/>
        </w:rPr>
        <w:fldChar w:fldCharType="separate"/>
      </w:r>
      <w:r w:rsidR="00A67ED2" w:rsidRPr="00A67ED2">
        <w:rPr>
          <w:iCs/>
          <w:noProof/>
          <w:szCs w:val="24"/>
        </w:rPr>
        <w:t>[119]</w:t>
      </w:r>
      <w:r>
        <w:rPr>
          <w:iCs/>
          <w:szCs w:val="24"/>
        </w:rPr>
        <w:fldChar w:fldCharType="end"/>
      </w:r>
      <w:r w:rsidRPr="00212D51">
        <w:rPr>
          <w:iCs/>
          <w:szCs w:val="24"/>
        </w:rPr>
        <w:t>. Тем не менее, после внедрения ИПП в клиническую практику в качестве базисной антисекреторной терапии, Н2-блокаторы применяются реже, главным образом при невозможности применения ИПП.</w:t>
      </w:r>
    </w:p>
    <w:p w14:paraId="5E367454" w14:textId="77777777" w:rsidR="006F27D1" w:rsidRDefault="006F27D1" w:rsidP="006F27D1">
      <w:pPr>
        <w:rPr>
          <w:b/>
          <w:szCs w:val="24"/>
          <w:highlight w:val="green"/>
        </w:rPr>
      </w:pPr>
    </w:p>
    <w:p w14:paraId="6A199660" w14:textId="77777777" w:rsidR="006F27D1" w:rsidRPr="006E6081" w:rsidRDefault="006F27D1" w:rsidP="006F27D1">
      <w:pPr>
        <w:rPr>
          <w:b/>
          <w:szCs w:val="24"/>
        </w:rPr>
      </w:pPr>
      <w:r w:rsidRPr="006E6081">
        <w:rPr>
          <w:b/>
          <w:szCs w:val="24"/>
        </w:rPr>
        <w:t>Антимикробная терапия</w:t>
      </w:r>
    </w:p>
    <w:p w14:paraId="72AAD53C" w14:textId="1370B5AF" w:rsidR="006F27D1" w:rsidRPr="00DB1FCB" w:rsidRDefault="006F27D1" w:rsidP="006F27D1">
      <w:pPr>
        <w:tabs>
          <w:tab w:val="left" w:pos="0"/>
          <w:tab w:val="left" w:pos="567"/>
        </w:tabs>
        <w:ind w:firstLine="709"/>
        <w:rPr>
          <w:szCs w:val="24"/>
        </w:rPr>
      </w:pPr>
      <w:r w:rsidRPr="00DB1FCB">
        <w:rPr>
          <w:szCs w:val="24"/>
        </w:rPr>
        <w:t xml:space="preserve">Применение высокодозной химиотерапии с </w:t>
      </w:r>
      <w:r>
        <w:rPr>
          <w:szCs w:val="24"/>
        </w:rPr>
        <w:t>последующей</w:t>
      </w:r>
      <w:r w:rsidRPr="00DB1FCB">
        <w:rPr>
          <w:szCs w:val="24"/>
        </w:rPr>
        <w:t xml:space="preserve"> трансплантацией аутологичных стволовых клеток крови </w:t>
      </w:r>
      <w:r>
        <w:rPr>
          <w:szCs w:val="24"/>
        </w:rPr>
        <w:t>по данным различных авторов приводит к развитию инфекционных осложнений более чем у 9</w:t>
      </w:r>
      <w:r w:rsidRPr="00DB1FCB">
        <w:rPr>
          <w:szCs w:val="24"/>
        </w:rPr>
        <w:t>0</w:t>
      </w:r>
      <w:r>
        <w:rPr>
          <w:szCs w:val="24"/>
        </w:rPr>
        <w:t xml:space="preserve"> </w:t>
      </w:r>
      <w:r w:rsidRPr="00DB1FCB">
        <w:rPr>
          <w:szCs w:val="24"/>
        </w:rPr>
        <w:t xml:space="preserve">% </w:t>
      </w:r>
      <w:r>
        <w:rPr>
          <w:szCs w:val="24"/>
        </w:rPr>
        <w:t xml:space="preserve">больных </w:t>
      </w:r>
      <w:r>
        <w:rPr>
          <w:szCs w:val="24"/>
        </w:rPr>
        <w:fldChar w:fldCharType="begin" w:fldLock="1"/>
      </w:r>
      <w:r w:rsidR="00A67ED2">
        <w:rPr>
          <w:szCs w:val="24"/>
        </w:rPr>
        <w:instrText>ADDIN CSL_CITATION {"citationItems":[{"id":"ITEM-1","itemData":{"DOI":"10.1007/s00277-002-0484-1","ISSN":"09395555","abstract":"It is yet undetermined whether patients with different hematological malignancies have different pro-pensities to infectious complications after high-dose chemotherapy (HDC) and autologous hematopoietic stem cell transplantation (HSCT). We retrospectively analyzed 136 cycles of HDC and autologous HSCT in 114 patients with acute myeloid leukemia (AML, 24 cycles), non-Hodgkin's lymphoma/Hodgkin's disease (NHL/HD, 55 cycles), and multiple myeloma (MM, 57 cycles) with respect to early infectious complications. Median duration of neutropenia was longer in patients with AML and NHL/HD than in patients with MM (11 days vs 8 days) and after conditioning including total body irradiation (TBI) compared with chemotherapy only preparative regimens (11 days vs 7 days). Fever requiring antimicrobial therapy was observed in 88% of cycles, with fever of unknown origin (FUO) accounting for 60% of febrile episodes. There was no proven fungal infection, but one case of probable invasive pulmonary aspergillosis. Microbiologically documented infections were seen in 29% and clinically documented infections in 11%. Response to first-line empirical antibiotic therapy was better for FUO than for documented infections (70% vs 40%). Patients with TBI as part of their conditioning regimen had more overall infections than patients without TBI (96% vs 82%). There were no differences with respect to the type or incidence of infections between patients with AML, NHL/HD, and MM. Patients with different hematological malignancies have similar rates of early infectious complications after HDC and autologous HSCT. TBI may be associated with an increased risk for infections in the early post-transplant period.","author":[{"dropping-particle":"","family":"Auner","given":"H. W.","non-dropping-particle":"","parse-names":false,"suffix":""},{"dropping-particle":"","family":"Sill","given":"H.","non-dropping-particle":"","parse-names":false,"suffix":""},{"dropping-particle":"","family":"Mulabecirovic","given":"A.","non-dropping-particle":"","parse-names":false,"suffix":""},{"dropping-particle":"","family":"Linkesch","given":"W.","non-dropping-particle":"","parse-names":false,"suffix":""},{"dropping-particle":"","family":"Krause","given":"R.","non-dropping-particle":"","parse-names":false,"suffix":""}],"container-title":"Annals of Hematology","id":"ITEM-1","issue":"7","issued":{"date-parts":[["2002"]]},"page":"374-377","publisher":"Ann Hematol","title":"Infectious complications after autologous hematopoietic stem cell transplantation: Comparison of patients with acute myeloid leukemia, malignant lymphoma, and multiple myeloma","type":"article-journal","volume":"81"},"uris":["http://www.mendeley.com/documents/?uuid=f1a86368-84b1-3c12-a8de-28ac6a6f005c","http://www.mendeley.com/documents/?uuid=4fdc9fd0-5eb8-4b96-b6b8-9b8085bef2b6","http://www.mendeley.com/documents/?uuid=81487a63-368f-45a3-96bd-a065db655523","http://www.mendeley.com/documents/?uuid=3f2b3f0f-80f0-426a-b243-a2231ace928a","http://www.mendeley.com/documents/?uuid=9ea48387-c84f-41f8-868e-392b32d4973d","http://www.mendeley.com/documents/?uuid=214eabb8-c545-489f-ad37-bd70dd8865a6","http://www.mendeley.com/documents/?uuid=f9b66049-e8d5-49d2-9034-b13f690ee446","http://www.mendeley.com/documents/?uuid=dc5e0773-1562-4dba-8594-e4550238c737"]},{"id":"ITEM-2","itemData":{"DOI":"10.1007/s15010-007-6350-2","ISSN":"03008126","abstract":"Background: Infectious complications occur in most of the patients receiving high-dose therapy (HDT) and autologous hematopoietic stem cell transplantation (HSCT). The objective of the study was to analyze of the type and incidence of infectious complications during neutropenia after HDT and autologous HSCT with respect to risk factors related to stem cell transplant setting in patients treated for hematological malignancies in a single center. Patients and Methods: A total number of 314 patients diagnosed for Hodgkin's disease (HD), non-Hodgkin's lymphoma (NHL), acute myeloid leukemia (AML), multiple myeloma (MM) or acute lymphoblastic leukemia (ALL) were included in the study. Analysis of risk factors and outcome of infections after HDT and autologous HSCT was performed. Results: Infectious complications during neutropenia after HDT occurred in 92.3% patients. Microbiologically documented infections (MDI) accounted for 38.9% of febrile episodes, clinically documented infections (CDI) for 9.3%, and fever of unknown origin (FUO) for 51.7% cases. Median time to defervescence with antibiotic therapy was seven days for FUO and nine days for documented infections (p &lt; 0.001). Duration of infection correlated with the length of very severe neutropenia (p &lt; 0.001). Response to first-line antibiotic therapy was seen in 34% patients. Infections were fatal in 12 (3.8%) patients. The highest probability of infection was observed for ALL and AML patients, especially these conditioned with total body irradiation (TBI). Conclusion: Patients at high risk of infection after autologous HSCT were identified as those with acute leukemia and those after conditioning with TBI, all with prolonged neutropenia. We suggest that newer prophylactic strategies should be administered to these groups of patients. © 2007 Urban &amp; Vogel.","author":[{"dropping-particle":"","family":"Gil","given":"L.","non-dropping-particle":"","parse-names":false,"suffix":""},{"dropping-particle":"","family":"Styczynski","given":"J.","non-dropping-particle":"","parse-names":false,"suffix":""},{"dropping-particle":"","family":"Komarnicki","given":"M.","non-dropping-particle":"","parse-names":false,"suffix":""}],"container-title":"Infection","id":"ITEM-2","issue":"6","issued":{"date-parts":[["2007","12"]]},"page":"421-427","publisher":"Infection","title":"Infectious complication in 314 patients after high-dose therapy and autologous hematopoietic stem cell transplantation: Risk factors analysis and outcome","type":"article-journal","volume":"35"},"uris":["http://www.mendeley.com/documents/?uuid=2484101e-8b0b-3a5f-a697-4baf2d1f00ec","http://www.mendeley.com/documents/?uuid=4b9974a2-0e3e-44ce-ac02-f3dad90354f7","http://www.mendeley.com/documents/?uuid=621597e4-9f72-47a3-98b8-f1cb6c6ec284","http://www.mendeley.com/documents/?uuid=2a53cc22-2809-49ef-869c-a3d053a9fe19","http://www.mendeley.com/documents/?uuid=9f0564c3-3b67-41ba-875e-02194c8b103f","http://www.mendeley.com/documents/?uuid=02c86a55-b501-43b0-aca1-e8355618aa56","http://www.mendeley.com/documents/?uuid=aa713873-711b-4840-84ae-7ab465fc9da8","http://www.mendeley.com/documents/?uuid=7e6ea6ab-47bd-4208-9803-60b645a808e3"]},{"id":"ITEM-3","itemData":{"DOI":"10.1002/ajh.21855","ISSN":"03618609","abstract":"One hundred and fifty-seven patients undergoing high-dose chemotherapy (HDT) and autologous stem-cell transplantation (ASCT) for hematopoietic malignancies and solid tumors were randomly assigned to receive (Group A) or not (Group B) prophylaxis with ciprofloxacin, orally, and vancomycin, intravenously. Prophylactic antibiotics were given from day 0 until resolution of neutropenia or the appearance of a febrile event. Furthermore, patients in both groups received once a day fluconazole, orally. The primary end-point of our study was the incidence of neutropenic febrile episodes attributed to infection. One hundred and twelve (71.3%) patients developed neutropenic fever, 50 (56.2%) in Group A and 62 (91.2%) in Group B (P &lt; 0.001) with the majority (82%) of patients developing fever of unknown origin. Patients on prophylactic antibiotics had a significantly lower rate of bacteremias (5.6%) than did those randomized to no prophylaxis (29.4%) (P = 0.005) and, when developing neutropenic fever, they had a lower probability of response to first-line empirical antibiotics (P = 0.025). Prophylactic administration of ciprofloxacin and vancomycin reduced the incidence of neutropenic fever in patients receiving HDT with ASCT, however, without affecting the total interval of hospitalization, time to engraftment, or all-cause mortality. Therefore, our results do not support the use of antibiotic prophylaxis for patients undergoing HDT and ASCT. © 2010 Wiley-Liss, Inc.","author":[{"dropping-particle":"","family":"Eleutherakis-Papaiakovou","given":"Evangelos","non-dropping-particle":"","parse-names":false,"suffix":""},{"dropping-particle":"","family":"Kostis","given":"Evangelos","non-dropping-particle":"","parse-names":false,"suffix":""},{"dropping-particle":"","family":"Migkou","given":"Magda","non-dropping-particle":"","parse-names":false,"suffix":""},{"dropping-particle":"","family":"Christoulas","given":"Dimitrios","non-dropping-particle":"","parse-names":false,"suffix":""},{"dropping-particle":"","family":"Terpos","given":"Evangelos","non-dropping-particle":"","parse-names":false,"suffix":""},{"dropping-particle":"","family":"Gavriatopoulou","given":"Maria","non-dropping-particle":"","parse-names":false,"suffix":""},{"dropping-particle":"","family":"Roussou","given":"Maria","non-dropping-particle":"","parse-names":false,"suffix":""},{"dropping-particle":"","family":"Bournakis","given":"Evangelos","non-dropping-particle":"","parse-names":false,"suffix":""},{"dropping-particle":"","family":"Kastritis","given":"Efstathios","non-dropping-particle":"","parse-names":false,"suffix":""},{"dropping-particle":"","family":"Efstathiou","given":"Eleni","non-dropping-particle":"","parse-names":false,"suffix":""},{"dropping-particle":"","family":"Dimopoulos","given":"Meletios A.","non-dropping-particle":"","parse-names":false,"suffix":""},{"dropping-particle":"","family":"Papadimitriou","given":"Christos A.","non-dropping-particle":"","parse-names":false,"suffix":""}],"container-title":"American Journal of Hematology","id":"ITEM-3","issue":"11","issued":{"date-parts":[["2010","11"]]},"page":"863-867","publisher":"Am J Hematol","title":"Prophylactic antibiotics for the prevention of neutropenic fever in patients undergoing autologous stem-cell transplantation: Results of a single institution, randomized phase 2 trial","type":"article-journal","volume":"85"},"uris":["http://www.mendeley.com/documents/?uuid=e9c8d6a3-bf24-3a10-be69-dbf56d33e220","http://www.mendeley.com/documents/?uuid=53d1d1c5-dcbb-4103-80be-837e10537355","http://www.mendeley.com/documents/?uuid=6e7642af-251b-4056-bc76-4c25fd6ab0e5","http://www.mendeley.com/documents/?uuid=16f62455-5dc2-4a1d-b988-18db9ac13408","http://www.mendeley.com/documents/?uuid=4c4353f2-c724-4054-bfb5-29023200ae81","http://www.mendeley.com/documents/?uuid=9a4fea57-5691-4c44-8c79-67124536a57e","http://www.mendeley.com/documents/?uuid=dc975761-e88a-4365-8582-efe82fb0848d","http://www.mendeley.com/documents/?uuid=d790a518-2556-405a-9e4a-e8c3041eb741"]},{"id":"ITEM-4","itemData":{"DOI":"10.1007/s00277-013-1698-0","ISSN":"09395555","abstract":"Bacterial infections are the most common cause for treatment-related mortality in patients with neutropenia after chemotherapy. Here, we discuss the use of antibacterial prophylaxis against bacteria and Pneumocystis pneumonia (PCP) in neutropenic cancer patients and offer guidance towards the choice of drug. A literature search was performed to screen all articles published between September 2000 and January 2012 on antibiotic prophylaxis in neutropenic cancer patients. The authors assembled original reports and meta-analysis from the literature and drew conclusions, which were discussed and approved in a consensus conference of the Infectious Disease Working Party of the German Society of Hematology and Oncology (AGIHO). Antibacterial prophylaxis has led to a reduction of febrile events and infections. A significant reduction of overall mortality could only be shown in a meta-analysis. Fluoroquinolones are preferred for antibacterial and trimethoprim-sulfamethoxazole for PCP prophylaxis. Due to serious concerns about an increase of resistant pathogens, only patients at high risk of severe infections should be considered for antibiotic prophylaxis. Risk factors of individual patients and local resistance patterns must be taken into account. Risk factors, choice of drug for antibacterial and PCP prophylaxis and concerns regarding the use of prophylactic antibiotics are discussed in the review. © 2013 The Author(s).","author":[{"dropping-particle":"","family":"Neumann","given":"S.","non-dropping-particle":"","parse-names":false,"suffix":""},{"dropping-particle":"","family":"Krause","given":"S. W.","non-dropping-particle":"","parse-names":false,"suffix":""},{"dropping-particle":"","family":"Maschmeyer","given":"G.","non-dropping-particle":"","parse-names":false,"suffix":""},{"dropping-particle":"","family":"Schiel","given":"X.","non-dropping-particle":"","parse-names":false,"suffix":""},{"dropping-particle":"","family":"Lilienfeld-Toal","given":"M.","non-dropping-particle":"Von","parse-names":false,"suffix":""}],"container-title":"Annals of Hematology","id":"ITEM-4","issue":"4","issued":{"date-parts":[["2013","4"]]},"page":"433-442","publisher":"Ann Hematol","title":"Primary prophylaxis of bacterial infections and Pneumocystis jirovecii pneumonia in patients with hematological malignancies and solid tumors: Guidelines of the Infectious Diseases Working Party (AGIHO) of the German Society of Hematology and Oncology (DG","type":"article","volume":"92"},"uris":["http://www.mendeley.com/documents/?uuid=5d017807-56d5-3c29-9e5b-06adbcf241d7","http://www.mendeley.com/documents/?uuid=0c431f2d-f131-4475-bc03-927c20fc8427","http://www.mendeley.com/documents/?uuid=cb8a28f6-34d3-47b6-aac5-75eae4c6597a","http://www.mendeley.com/documents/?uuid=1da004eb-c4a8-438d-8229-3b75c2c05578","http://www.mendeley.com/documents/?uuid=447ce80b-5ffd-4f72-a842-6d050b4c0058","http://www.mendeley.com/documents/?uuid=75718eaf-f3e7-47ed-a437-a0877b2432c4","http://www.mendeley.com/documents/?uuid=92ffaa87-61f2-4a29-ab3b-0229b7e2d3b0","http://www.mendeley.com/documents/?uuid=300b3a3c-d6fd-4873-aabf-5d8646d68ed5"]},{"id":"ITEM-5","itemData":{"DOI":"10.1007/s15010-018-1200-y","ISSN":"14390973","abstract":"Purpose: In this study, we assessed the incidence, contributing factors and outcome of prolonged neutropenia above 7 days and of bacteraemia in patients with lymphoma and multiple myeloma who underwent autologous haematopoietic stem cell transplantation (AHSCT) without antibacterial prophylaxis. Methods: This is a retrospective chart review of 190 adult patients who underwent AHSCT between 2005 and 2015 at a Lebanese hospital. Results: Neutropenia of 7 days duration and longer was documented in 66% of the patient population. Through univariate analysis, patients with lymphoma were significantly more likely to have prolonged neutropenia (≥ 7 days) compared to those with myeloma. Mucositis above grade 3, diarrhoea and fever were more likely to occur in patients with prolonged neutropenia. Bacteraemia was documented in 12.6% of the patients. Total mortality rate was 3.7%, and that attributed to bacteraemia was 12.5% in the bacteraemia subgroup. Among bacterial isolates recovered from clinical specimens (89 isolates), 70% were Gram-negative, of which 57% were fluoroquinolone susceptible. Ninety-five percent of the Gram-negative bacteria causing bacteraemia were susceptible to fluoroquinolones. Conclusion: Bacterial pathogens causing bacteraemia were still highly susceptible to fluoroquinolones, despite the high prevalence of fluoroquinolone-resistant strains in the general bacterial ecology. Accordingly, the pertinence of fluoroquinolone prophylaxis in the AHSCT setting warrants further investigation. Moreover, continuous surveillance of local antibiograms in this patient population has become a must in an era of preponderant antibiotic resistance.","author":[{"dropping-particle":"","family":"Moghnieh","given":"Rima","non-dropping-particle":"","parse-names":false,"suffix":""},{"dropping-particle":"","family":"Abdallah","given":"Dania","non-dropping-particle":"","parse-names":false,"suffix":""},{"dropping-particle":"","family":"Awad","given":"Lyn","non-dropping-particle":"","parse-names":false,"suffix":""},{"dropping-particle":"","family":"Jisr","given":"Tamima","non-dropping-particle":"","parse-names":false,"suffix":""},{"dropping-particle":"","family":"Mugharbil","given":"Anas","non-dropping-particle":"","parse-names":false,"suffix":""},{"dropping-particle":"","family":"Youssef","given":"Ali","non-dropping-particle":"","parse-names":false,"suffix":""},{"dropping-particle":"","family":"Tamim","given":"Hani","non-dropping-particle":"","parse-names":false,"suffix":""},{"dropping-particle":"","family":"Khaldieh","given":"Samer","non-dropping-particle":"","parse-names":false,"suffix":""},{"dropping-particle":"","family":"Massri","given":"Oula","non-dropping-particle":"","parse-names":false,"suffix":""},{"dropping-particle":"","family":"Rashini","given":"Najat","non-dropping-particle":"","parse-names":false,"suffix":""},{"dropping-particle":"","family":"Hamdan","given":"Youssef","non-dropping-particle":"","parse-names":false,"suffix":""},{"dropping-particle":"","family":"Ibrahim","given":"Ahmad","non-dropping-particle":"","parse-names":false,"suffix":""}],"container-title":"Infection","id":"ITEM-5","issue":"6","issued":{"date-parts":[["2018"]]},"publisher":"Urban und Vogel GmbH","title":"Bacteraemia post-autologous haematopoietic stem cell transplantation in the absence of antibacterial prophylaxis: a decade’s experience from Lebanon","type":"article-journal","volume":"46"},"uris":["http://www.mendeley.com/documents/?uuid=ae672191-2fc7-35b4-bb6f-de9083ec561f","http://www.mendeley.com/documents/?uuid=3eb7eca1-f810-48f1-8c56-0b2d965d8011","http://www.mendeley.com/documents/?uuid=5ebcf890-5e16-4450-9634-3c05a12d76c0","http://www.mendeley.com/documents/?uuid=853c0c3e-4b77-4603-bf23-18587d4490b6","http://www.mendeley.com/documents/?uuid=26920eda-53a6-4a84-9487-903994067277","http://www.mendeley.com/documents/?uuid=dd8b341d-4c23-4bd9-9d5d-3dceeb3afe7c","http://www.mendeley.com/documents/?uuid=994064a7-7ad5-46d6-af07-2b010e03da9d","http://www.mendeley.com/documents/?uuid=fcf50596-2552-44da-a965-28f05137efeb"]}],"mendeley":{"formattedCitation":"[160–164]","plainTextFormattedCitation":"[160–164]","previouslyFormattedCitation":"[139–143]"},"properties":{"noteIndex":0},"schema":"https://github.com/citation-style-language/schema/raw/master/csl-citation.json"}</w:instrText>
      </w:r>
      <w:r>
        <w:rPr>
          <w:szCs w:val="24"/>
        </w:rPr>
        <w:fldChar w:fldCharType="separate"/>
      </w:r>
      <w:r w:rsidR="00A67ED2" w:rsidRPr="00A67ED2">
        <w:rPr>
          <w:noProof/>
          <w:szCs w:val="24"/>
        </w:rPr>
        <w:t>[160–164]</w:t>
      </w:r>
      <w:r>
        <w:rPr>
          <w:szCs w:val="24"/>
        </w:rPr>
        <w:fldChar w:fldCharType="end"/>
      </w:r>
      <w:r w:rsidRPr="00A64221">
        <w:rPr>
          <w:szCs w:val="24"/>
        </w:rPr>
        <w:t>.</w:t>
      </w:r>
    </w:p>
    <w:p w14:paraId="1EC36260" w14:textId="77777777" w:rsidR="006F27D1" w:rsidRDefault="006F27D1" w:rsidP="006F27D1">
      <w:pPr>
        <w:tabs>
          <w:tab w:val="left" w:pos="0"/>
          <w:tab w:val="left" w:pos="567"/>
        </w:tabs>
        <w:ind w:firstLine="709"/>
        <w:rPr>
          <w:szCs w:val="24"/>
        </w:rPr>
      </w:pPr>
      <w:r w:rsidRPr="00DB1FCB">
        <w:rPr>
          <w:szCs w:val="24"/>
        </w:rPr>
        <w:t xml:space="preserve">Основными факторами, определяющими развитие инфекций у </w:t>
      </w:r>
      <w:r w:rsidRPr="00DB1FCB">
        <w:rPr>
          <w:szCs w:val="24"/>
        </w:rPr>
        <w:lastRenderedPageBreak/>
        <w:t>иммунокомпрометированных больных, являются нейтропения (глубина, длительность и быстрота развития), нарушения клеточного и гуморального иммунитета, повреждение слизистой желудочно-кишечного тракта, наличие централ</w:t>
      </w:r>
      <w:r>
        <w:rPr>
          <w:szCs w:val="24"/>
        </w:rPr>
        <w:t>ьного венозного катетера (ЦВК).</w:t>
      </w:r>
    </w:p>
    <w:p w14:paraId="48A1AEDA" w14:textId="78303BAE" w:rsidR="006F27D1" w:rsidRPr="00DB1FCB" w:rsidRDefault="006F27D1" w:rsidP="006F27D1">
      <w:pPr>
        <w:tabs>
          <w:tab w:val="left" w:pos="0"/>
          <w:tab w:val="left" w:pos="567"/>
        </w:tabs>
        <w:ind w:firstLine="709"/>
        <w:rPr>
          <w:szCs w:val="24"/>
        </w:rPr>
      </w:pPr>
      <w:r w:rsidRPr="00DB1FCB">
        <w:rPr>
          <w:szCs w:val="24"/>
        </w:rPr>
        <w:t xml:space="preserve">Наиболее высокая частота инфекционных осложнений наблюдается у больных с длительностью нейтропении от 10 дней и более </w:t>
      </w:r>
      <w:r w:rsidRPr="00DB1FCB">
        <w:rPr>
          <w:szCs w:val="24"/>
        </w:rPr>
        <w:fldChar w:fldCharType="begin" w:fldLock="1"/>
      </w:r>
      <w:r w:rsidR="00A67ED2">
        <w:rPr>
          <w:szCs w:val="24"/>
        </w:rPr>
        <w:instrText>ADDIN CSL_CITATION {"citationItems":[{"id":"ITEM-1","itemData":{"DOI":"10.1007/s15010-018-1200-y","ISSN":"14390973","abstract":"Purpose: In this study, we assessed the incidence, contributing factors and outcome of prolonged neutropenia above 7 days and of bacteraemia in patients with lymphoma and multiple myeloma who underwent autologous haematopoietic stem cell transplantation (AHSCT) without antibacterial prophylaxis. Methods: This is a retrospective chart review of 190 adult patients who underwent AHSCT between 2005 and 2015 at a Lebanese hospital. Results: Neutropenia of 7 days duration and longer was documented in 66% of the patient population. Through univariate analysis, patients with lymphoma were significantly more likely to have prolonged neutropenia (≥ 7 days) compared to those with myeloma. Mucositis above grade 3, diarrhoea and fever were more likely to occur in patients with prolonged neutropenia. Bacteraemia was documented in 12.6% of the patients. Total mortality rate was 3.7%, and that attributed to bacteraemia was 12.5% in the bacteraemia subgroup. Among bacterial isolates recovered from clinical specimens (89 isolates), 70% were Gram-negative, of which 57% were fluoroquinolone susceptible. Ninety-five percent of the Gram-negative bacteria causing bacteraemia were susceptible to fluoroquinolones. Conclusion: Bacterial pathogens causing bacteraemia were still highly susceptible to fluoroquinolones, despite the high prevalence of fluoroquinolone-resistant strains in the general bacterial ecology. Accordingly, the pertinence of fluoroquinolone prophylaxis in the AHSCT setting warrants further investigation. Moreover, continuous surveillance of local antibiograms in this patient population has become a must in an era of preponderant antibiotic resistance.","author":[{"dropping-particle":"","family":"Moghnieh","given":"Rima","non-dropping-particle":"","parse-names":false,"suffix":""},{"dropping-particle":"","family":"Abdallah","given":"Dania","non-dropping-particle":"","parse-names":false,"suffix":""},{"dropping-particle":"","family":"Awad","given":"Lyn","non-dropping-particle":"","parse-names":false,"suffix":""},{"dropping-particle":"","family":"Jisr","given":"Tamima","non-dropping-particle":"","parse-names":false,"suffix":""},{"dropping-particle":"","family":"Mugharbil","given":"Anas","non-dropping-particle":"","parse-names":false,"suffix":""},{"dropping-particle":"","family":"Youssef","given":"Ali","non-dropping-particle":"","parse-names":false,"suffix":""},{"dropping-particle":"","family":"Tamim","given":"Hani","non-dropping-particle":"","parse-names":false,"suffix":""},{"dropping-particle":"","family":"Khaldieh","given":"Samer","non-dropping-particle":"","parse-names":false,"suffix":""},{"dropping-particle":"","family":"Massri","given":"Oula","non-dropping-particle":"","parse-names":false,"suffix":""},{"dropping-particle":"","family":"Rashini","given":"Najat","non-dropping-particle":"","parse-names":false,"suffix":""},{"dropping-particle":"","family":"Hamdan","given":"Youssef","non-dropping-particle":"","parse-names":false,"suffix":""},{"dropping-particle":"","family":"Ibrahim","given":"Ahmad","non-dropping-particle":"","parse-names":false,"suffix":""}],"container-title":"Infection","id":"ITEM-1","issue":"6","issued":{"date-parts":[["2018"]]},"publisher":"Urban und Vogel GmbH","title":"Bacteraemia post-autologous haematopoietic stem cell transplantation in the absence of antibacterial prophylaxis: a decade’s experience from Lebanon","type":"article-journal","volume":"46"},"uris":["http://www.mendeley.com/documents/?uuid=fcf50596-2552-44da-a965-28f05137efeb","http://www.mendeley.com/documents/?uuid=994064a7-7ad5-46d6-af07-2b010e03da9d","http://www.mendeley.com/documents/?uuid=dd8b341d-4c23-4bd9-9d5d-3dceeb3afe7c","http://www.mendeley.com/documents/?uuid=26920eda-53a6-4a84-9487-903994067277","http://www.mendeley.com/documents/?uuid=853c0c3e-4b77-4603-bf23-18587d4490b6","http://www.mendeley.com/documents/?uuid=5ebcf890-5e16-4450-9634-3c05a12d76c0","http://www.mendeley.com/documents/?uuid=3eb7eca1-f810-48f1-8c56-0b2d965d8011","http://www.mendeley.com/documents/?uuid=ae672191-2fc7-35b4-bb6f-de9083ec561f"]}],"mendeley":{"formattedCitation":"[164]","plainTextFormattedCitation":"[164]","previouslyFormattedCitation":"[143]"},"properties":{"noteIndex":0},"schema":"https://github.com/citation-style-language/schema/raw/master/csl-citation.json"}</w:instrText>
      </w:r>
      <w:r w:rsidRPr="00DB1FCB">
        <w:rPr>
          <w:szCs w:val="24"/>
        </w:rPr>
        <w:fldChar w:fldCharType="separate"/>
      </w:r>
      <w:r w:rsidR="00A67ED2" w:rsidRPr="00A67ED2">
        <w:rPr>
          <w:noProof/>
          <w:szCs w:val="24"/>
        </w:rPr>
        <w:t>[164]</w:t>
      </w:r>
      <w:r w:rsidRPr="00DB1FCB">
        <w:rPr>
          <w:szCs w:val="24"/>
        </w:rPr>
        <w:fldChar w:fldCharType="end"/>
      </w:r>
      <w:r>
        <w:rPr>
          <w:szCs w:val="24"/>
        </w:rPr>
        <w:t>.</w:t>
      </w:r>
    </w:p>
    <w:p w14:paraId="7DBDC0F3" w14:textId="0277366F" w:rsidR="006F27D1" w:rsidRDefault="006F27D1" w:rsidP="006F27D1">
      <w:pPr>
        <w:tabs>
          <w:tab w:val="left" w:pos="0"/>
          <w:tab w:val="left" w:pos="567"/>
        </w:tabs>
        <w:ind w:firstLine="709"/>
        <w:rPr>
          <w:szCs w:val="24"/>
        </w:rPr>
      </w:pPr>
      <w:r w:rsidRPr="00DB1FCB">
        <w:rPr>
          <w:szCs w:val="24"/>
        </w:rPr>
        <w:t xml:space="preserve">Клинические проявления инфекционного процесса у этой категории пациентов, особенно в период нейтропении, крайне скудные. Ранее лихорадка неясной этиологии (повышение температуры тела без каких-либо других проявлений инфекции) являлась наиболее частым проявлением фебрильной нейтропении (≈ 50% случаев) </w:t>
      </w:r>
      <w:r w:rsidRPr="00DB1FCB">
        <w:rPr>
          <w:szCs w:val="24"/>
        </w:rPr>
        <w:fldChar w:fldCharType="begin" w:fldLock="1"/>
      </w:r>
      <w:r w:rsidR="00A67ED2">
        <w:rPr>
          <w:szCs w:val="24"/>
        </w:rPr>
        <w:instrText>ADDIN CSL_CITATION {"citationItems":[{"id":"ITEM-1","itemData":{"author":[{"dropping-particle":"","family":"Клясова","given":"Г.А.","non-dropping-particle":"","parse-names":false,"suffix":""},{"dropping-particle":"","family":"Савченко","given":"В.Г.","non-dropping-particle":"","parse-names":false,"suffix":""},{"dropping-particle":"","family":"Паровичникова","given":"Е.Н.","non-dropping-particle":"","parse-names":false,"suffix":""},{"dropping-particle":"","family":"Исаев","given":"В.Г.","non-dropping-particle":"","parse-names":false,"suffix":""},{"dropping-particle":"","family":"Толкачева","given":"Т.В.","non-dropping-particle":"","parse-names":false,"suffix":""},{"dropping-particle":"","family":"Маслова","given":"Е.Р.","non-dropping-particle":"","parse-names":false,"suffix":""}],"container-title":"Терапевтический архив","id":"ITEM-1","issue":"7","issued":{"date-parts":[["1998"]]},"page":"15-21","title":"Эмпирическая антимикробная терапия у больных острыми лейкозами: итоги многоцентрового исследования","type":"article-journal","volume":"70"},"uris":["http://www.mendeley.com/documents/?uuid=8c0ade5e-966e-4a67-abb0-83bf29a0c9b4"]}],"mendeley":{"formattedCitation":"[165]","plainTextFormattedCitation":"[165]","previouslyFormattedCitation":"[144]"},"properties":{"noteIndex":0},"schema":"https://github.com/citation-style-language/schema/raw/master/csl-citation.json"}</w:instrText>
      </w:r>
      <w:r w:rsidRPr="00DB1FCB">
        <w:rPr>
          <w:szCs w:val="24"/>
        </w:rPr>
        <w:fldChar w:fldCharType="separate"/>
      </w:r>
      <w:r w:rsidR="00A67ED2" w:rsidRPr="00A67ED2">
        <w:rPr>
          <w:noProof/>
          <w:szCs w:val="24"/>
        </w:rPr>
        <w:t>[165]</w:t>
      </w:r>
      <w:r w:rsidRPr="00DB1FCB">
        <w:rPr>
          <w:szCs w:val="24"/>
        </w:rPr>
        <w:fldChar w:fldCharType="end"/>
      </w:r>
      <w:r>
        <w:rPr>
          <w:szCs w:val="24"/>
        </w:rPr>
        <w:t>.</w:t>
      </w:r>
    </w:p>
    <w:p w14:paraId="73A02FB9" w14:textId="77777777" w:rsidR="006F27D1" w:rsidRPr="00DB1FCB" w:rsidRDefault="006F27D1" w:rsidP="006F27D1">
      <w:pPr>
        <w:tabs>
          <w:tab w:val="left" w:pos="0"/>
          <w:tab w:val="left" w:pos="567"/>
        </w:tabs>
        <w:ind w:firstLine="709"/>
        <w:rPr>
          <w:szCs w:val="24"/>
        </w:rPr>
      </w:pPr>
      <w:r w:rsidRPr="00DB1FCB">
        <w:rPr>
          <w:szCs w:val="24"/>
        </w:rPr>
        <w:t xml:space="preserve">Микробиологически и клинически доказанные инфекции встречались реже. К клинически доказанным инфекциям относят те, которые удается верифицировать с помощью физикальных или инструментальных методов диагностики при отсутствии микробиологического подтверждения. Микробиологическим подтверждением наличия инфекции в период гранулоцитопении в большинстве случаев является выделение микроорганизмов из гемокультуры. </w:t>
      </w:r>
    </w:p>
    <w:p w14:paraId="6353B960" w14:textId="77777777" w:rsidR="006F27D1" w:rsidRDefault="006F27D1" w:rsidP="006F27D1">
      <w:pPr>
        <w:tabs>
          <w:tab w:val="left" w:pos="0"/>
          <w:tab w:val="left" w:pos="567"/>
        </w:tabs>
        <w:ind w:firstLine="709"/>
        <w:rPr>
          <w:szCs w:val="24"/>
        </w:rPr>
      </w:pPr>
      <w:r w:rsidRPr="00DB1FCB">
        <w:rPr>
          <w:szCs w:val="24"/>
        </w:rPr>
        <w:t xml:space="preserve">В последнее время возможности по диагностике инфекционных осложнений существенно расширились как за счет внедрения новых и совершенствования ранее используемых методов, так и сокращения времени исследования в микробиологии благодаря введению в лабораторную практику автоматических анализаторов и новых технологий дли идентификации микроорганизмов. </w:t>
      </w:r>
    </w:p>
    <w:p w14:paraId="1DFB8ABE" w14:textId="77777777" w:rsidR="006F27D1" w:rsidRPr="00DB1FCB" w:rsidRDefault="006F27D1" w:rsidP="006F27D1">
      <w:pPr>
        <w:tabs>
          <w:tab w:val="left" w:pos="0"/>
          <w:tab w:val="left" w:pos="567"/>
        </w:tabs>
        <w:ind w:firstLine="709"/>
        <w:rPr>
          <w:szCs w:val="24"/>
        </w:rPr>
      </w:pPr>
      <w:r w:rsidRPr="00DB1FCB">
        <w:rPr>
          <w:szCs w:val="24"/>
        </w:rPr>
        <w:t xml:space="preserve">В первые сутки, как правило, единственным симптомом бывает лишь повышение температуры, а информацию о бактериемии или пневмонии у больных с нейтропенией удается получить не раньше, чем на второй день инфекционного эпизода. В связи с этим основным принципом терапии инфекционных осложнений у больных с фебрильной нейтропенией является эмпирический подход к назначению антибактериальных препаратов, когда их применяют при первых признаках инфекции, при лихорадке до идентификации возбудителей инфекции. В то же время эмпирический подход к назначению антибиотиков является относительным, поскольку выбор антимикробных препаратов определяется ретроспективным анализом верифицированных возбудителей и их антибиотикочувствительностью. </w:t>
      </w:r>
    </w:p>
    <w:p w14:paraId="56065FF5" w14:textId="77777777" w:rsidR="006F27D1" w:rsidRDefault="006F27D1" w:rsidP="006F27D1">
      <w:pPr>
        <w:pStyle w:val="afff3"/>
        <w:ind w:left="0"/>
        <w:rPr>
          <w:szCs w:val="24"/>
          <w:u w:val="single"/>
        </w:rPr>
      </w:pPr>
    </w:p>
    <w:p w14:paraId="4D9C180A" w14:textId="1A348DEE" w:rsidR="006F27D1" w:rsidRPr="00997857" w:rsidRDefault="006F27D1" w:rsidP="006F27D1">
      <w:pPr>
        <w:pStyle w:val="afff3"/>
        <w:ind w:left="0"/>
        <w:rPr>
          <w:szCs w:val="24"/>
          <w:u w:val="single"/>
        </w:rPr>
      </w:pPr>
      <w:r w:rsidRPr="00997857">
        <w:rPr>
          <w:szCs w:val="24"/>
          <w:u w:val="single"/>
        </w:rPr>
        <w:t xml:space="preserve">Диагностические исследования, проводимые при лихорадке у больных гемобластозами </w:t>
      </w:r>
      <w:r w:rsidRPr="00997857">
        <w:rPr>
          <w:szCs w:val="24"/>
          <w:u w:val="single"/>
        </w:rPr>
        <w:fldChar w:fldCharType="begin" w:fldLock="1"/>
      </w:r>
      <w:r w:rsidR="00A67ED2">
        <w:rPr>
          <w:szCs w:val="24"/>
          <w:u w:val="single"/>
        </w:rPr>
        <w:instrText>ADDIN CSL_CITATION {"citationItems":[{"id":"ITEM-1","itemData":{"author":[{"dropping-particle":"","family":"Савченко В.Г. и др","given":"","non-dropping-particle":"","parse-names":false,"suffix":""}],"id":"ITEM-1","issued":{"date-parts":[["2018"]]},"number-of-pages":"1008","publisher":"Практика","publisher-place":"Москва","title":"Алгоритмы диагностики и протоколы лечения заболеваний системы крови.","type":"book"},"uris":["http://www.mendeley.com/documents/?uuid=f91ae641-8062-4f5f-b416-94b015742043","http://www.mendeley.com/documents/?uuid=c0eae3a3-34ee-40e1-8813-566cb7fa2b4a","http://www.mendeley.com/documents/?uuid=9cac36ab-7685-4894-b1cb-f141a1797526","http://www.mendeley.com/documents/?uuid=478d6ce1-e425-4912-87db-adfee39f1ce9","http://www.mendeley.com/documents/?uuid=a1e2f5d6-ef05-4351-9481-13fad4fd103b","http://www.mendeley.com/documents/?uuid=26da25a5-bd21-4509-8e88-e4e6744fab98","http://www.mendeley.com/documents/?uuid=fe583573-532c-46dc-b4f4-f9d01345e27c","http://www.mendeley.com/documents/?uuid=2cd270b2-efaf-4da9-a95d-66324661ea35"]}],"mendeley":{"formattedCitation":"[158]","plainTextFormattedCitation":"[158]","previouslyFormattedCitation":"[131]"},"properties":{"noteIndex":0},"schema":"https://github.com/citation-style-language/schema/raw/master/csl-citation.json"}</w:instrText>
      </w:r>
      <w:r w:rsidRPr="00997857">
        <w:rPr>
          <w:szCs w:val="24"/>
          <w:u w:val="single"/>
        </w:rPr>
        <w:fldChar w:fldCharType="separate"/>
      </w:r>
      <w:r w:rsidR="00A67ED2" w:rsidRPr="00A67ED2">
        <w:rPr>
          <w:noProof/>
          <w:szCs w:val="24"/>
        </w:rPr>
        <w:t>[158]</w:t>
      </w:r>
      <w:r w:rsidRPr="00997857">
        <w:rPr>
          <w:szCs w:val="24"/>
          <w:u w:val="single"/>
        </w:rPr>
        <w:fldChar w:fldCharType="end"/>
      </w:r>
    </w:p>
    <w:p w14:paraId="78530FE5" w14:textId="77777777" w:rsidR="006F27D1" w:rsidRPr="00DB1FCB" w:rsidRDefault="006F27D1" w:rsidP="006F27D1">
      <w:pPr>
        <w:tabs>
          <w:tab w:val="left" w:pos="0"/>
          <w:tab w:val="left" w:pos="567"/>
        </w:tabs>
        <w:ind w:firstLine="709"/>
        <w:rPr>
          <w:szCs w:val="24"/>
        </w:rPr>
      </w:pPr>
      <w:r w:rsidRPr="00DB1FCB">
        <w:rPr>
          <w:szCs w:val="24"/>
        </w:rPr>
        <w:t>Во всех случаях инфекционного процесса следует активно проводить диагностику, направленную на выявление, как очагов инфекции</w:t>
      </w:r>
      <w:r>
        <w:rPr>
          <w:szCs w:val="24"/>
        </w:rPr>
        <w:t>, так и этиологических агентов.</w:t>
      </w:r>
    </w:p>
    <w:p w14:paraId="2595C359" w14:textId="77777777" w:rsidR="006F27D1" w:rsidRDefault="006F27D1" w:rsidP="006F27D1">
      <w:pPr>
        <w:tabs>
          <w:tab w:val="left" w:pos="0"/>
          <w:tab w:val="left" w:pos="567"/>
        </w:tabs>
        <w:ind w:firstLine="709"/>
        <w:rPr>
          <w:szCs w:val="24"/>
        </w:rPr>
      </w:pPr>
      <w:r w:rsidRPr="00DB1FCB">
        <w:rPr>
          <w:szCs w:val="24"/>
        </w:rPr>
        <w:lastRenderedPageBreak/>
        <w:t>При подозрении на инфекцию образцы клинического материала от больных должны быть взяты незамедлительно. Особо следует подчеркнуть необходимость пристального внимания и проведения тщательных микробиологических исследований у больных, принимающих глюкокортико</w:t>
      </w:r>
      <w:r>
        <w:rPr>
          <w:szCs w:val="24"/>
        </w:rPr>
        <w:t>иды, и у лиц пожилого возраста.</w:t>
      </w:r>
    </w:p>
    <w:p w14:paraId="7D73EA3F" w14:textId="77777777" w:rsidR="006F27D1" w:rsidRDefault="006F27D1" w:rsidP="006F27D1">
      <w:pPr>
        <w:tabs>
          <w:tab w:val="left" w:pos="0"/>
          <w:tab w:val="left" w:pos="567"/>
        </w:tabs>
        <w:ind w:firstLine="709"/>
        <w:rPr>
          <w:szCs w:val="24"/>
        </w:rPr>
      </w:pPr>
      <w:r w:rsidRPr="00DB1FCB">
        <w:rPr>
          <w:szCs w:val="24"/>
        </w:rPr>
        <w:t xml:space="preserve">У этой группы пациентов септицемия может протекать без температуры, что бывает у 70% тяжелобольных в возрасте от 66 лет и старше, или лихорадка может быть лишь субфебрильной. </w:t>
      </w:r>
    </w:p>
    <w:p w14:paraId="62EE6693" w14:textId="77777777" w:rsidR="006F27D1" w:rsidRDefault="006F27D1" w:rsidP="006F27D1">
      <w:pPr>
        <w:tabs>
          <w:tab w:val="left" w:pos="0"/>
          <w:tab w:val="left" w:pos="567"/>
        </w:tabs>
        <w:ind w:firstLine="709"/>
        <w:rPr>
          <w:szCs w:val="24"/>
        </w:rPr>
      </w:pPr>
    </w:p>
    <w:p w14:paraId="6EE2009F" w14:textId="20F8A1EE" w:rsidR="006F27D1" w:rsidRPr="006E6081" w:rsidRDefault="006F27D1" w:rsidP="006F27D1">
      <w:pPr>
        <w:tabs>
          <w:tab w:val="left" w:pos="284"/>
        </w:tabs>
        <w:rPr>
          <w:szCs w:val="24"/>
        </w:rPr>
      </w:pPr>
      <w:r w:rsidRPr="007A56DF">
        <w:rPr>
          <w:szCs w:val="24"/>
        </w:rPr>
        <w:t xml:space="preserve">Таблица </w:t>
      </w:r>
      <w:r w:rsidR="007A56DF" w:rsidRPr="00124904">
        <w:rPr>
          <w:szCs w:val="24"/>
        </w:rPr>
        <w:t>7</w:t>
      </w:r>
      <w:r w:rsidRPr="007A56DF">
        <w:rPr>
          <w:szCs w:val="24"/>
        </w:rPr>
        <w:t>. Алгоритм диагностики инфекционных осложнений у больных гемобластозами в период ауто-ТГСК.</w:t>
      </w:r>
    </w:p>
    <w:tbl>
      <w:tblPr>
        <w:tblStyle w:val="ae"/>
        <w:tblW w:w="0" w:type="auto"/>
        <w:tblInd w:w="108" w:type="dxa"/>
        <w:tblLook w:val="04A0" w:firstRow="1" w:lastRow="0" w:firstColumn="1" w:lastColumn="0" w:noHBand="0" w:noVBand="1"/>
      </w:tblPr>
      <w:tblGrid>
        <w:gridCol w:w="4558"/>
        <w:gridCol w:w="4682"/>
      </w:tblGrid>
      <w:tr w:rsidR="006F27D1" w:rsidRPr="00DB1FCB" w14:paraId="18C7C6AC" w14:textId="77777777" w:rsidTr="00CD5E09">
        <w:tc>
          <w:tcPr>
            <w:tcW w:w="4677" w:type="dxa"/>
          </w:tcPr>
          <w:p w14:paraId="6F3ED130" w14:textId="77777777" w:rsidR="006F27D1" w:rsidRPr="00DB1FCB" w:rsidRDefault="006F27D1" w:rsidP="00CD5E09">
            <w:pPr>
              <w:tabs>
                <w:tab w:val="left" w:pos="176"/>
              </w:tabs>
              <w:ind w:left="34"/>
              <w:rPr>
                <w:szCs w:val="24"/>
              </w:rPr>
            </w:pPr>
            <w:r w:rsidRPr="00DB1FCB">
              <w:rPr>
                <w:szCs w:val="24"/>
              </w:rPr>
              <w:t>Показания</w:t>
            </w:r>
          </w:p>
        </w:tc>
        <w:tc>
          <w:tcPr>
            <w:tcW w:w="4786" w:type="dxa"/>
          </w:tcPr>
          <w:p w14:paraId="57EC2156" w14:textId="77777777" w:rsidR="006F27D1" w:rsidRPr="00DB1FCB" w:rsidRDefault="006F27D1" w:rsidP="00CD5E09">
            <w:pPr>
              <w:tabs>
                <w:tab w:val="left" w:pos="34"/>
              </w:tabs>
              <w:ind w:left="35"/>
              <w:rPr>
                <w:szCs w:val="24"/>
              </w:rPr>
            </w:pPr>
            <w:r w:rsidRPr="00DB1FCB">
              <w:rPr>
                <w:szCs w:val="24"/>
              </w:rPr>
              <w:t>Исследование</w:t>
            </w:r>
          </w:p>
        </w:tc>
      </w:tr>
      <w:tr w:rsidR="006F27D1" w:rsidRPr="00DB1FCB" w14:paraId="60D7E813" w14:textId="77777777" w:rsidTr="00CD5E09">
        <w:tc>
          <w:tcPr>
            <w:tcW w:w="4677" w:type="dxa"/>
          </w:tcPr>
          <w:p w14:paraId="431D7393" w14:textId="77777777" w:rsidR="006F27D1" w:rsidRPr="00DB1FCB" w:rsidRDefault="006F27D1" w:rsidP="00CD5E09">
            <w:pPr>
              <w:tabs>
                <w:tab w:val="left" w:pos="176"/>
                <w:tab w:val="left" w:pos="284"/>
              </w:tabs>
              <w:ind w:left="34"/>
              <w:rPr>
                <w:szCs w:val="24"/>
              </w:rPr>
            </w:pPr>
            <w:r w:rsidRPr="00DB1FCB">
              <w:rPr>
                <w:szCs w:val="24"/>
              </w:rPr>
              <w:t>Температура ≥38</w:t>
            </w:r>
            <w:r w:rsidRPr="00DB1FCB">
              <w:rPr>
                <w:szCs w:val="24"/>
                <w:vertAlign w:val="superscript"/>
              </w:rPr>
              <w:t>о</w:t>
            </w:r>
            <w:r w:rsidRPr="00DB1FCB">
              <w:rPr>
                <w:szCs w:val="24"/>
              </w:rPr>
              <w:t>С, впервые возникшая</w:t>
            </w:r>
          </w:p>
        </w:tc>
        <w:tc>
          <w:tcPr>
            <w:tcW w:w="4786" w:type="dxa"/>
          </w:tcPr>
          <w:p w14:paraId="5BE7A5FE" w14:textId="77777777" w:rsidR="006F27D1" w:rsidRPr="00DB1FCB" w:rsidRDefault="006F27D1" w:rsidP="00CD5E09">
            <w:pPr>
              <w:tabs>
                <w:tab w:val="left" w:pos="34"/>
              </w:tabs>
              <w:ind w:left="35"/>
              <w:rPr>
                <w:szCs w:val="24"/>
              </w:rPr>
            </w:pPr>
            <w:r w:rsidRPr="00DB1FCB">
              <w:rPr>
                <w:szCs w:val="24"/>
              </w:rPr>
              <w:t>Взятие крови в 2 флакона для гемокультуры (вена-катетер или вена-вена).</w:t>
            </w:r>
          </w:p>
        </w:tc>
      </w:tr>
      <w:tr w:rsidR="006F27D1" w:rsidRPr="00DB1FCB" w14:paraId="2205D8CD" w14:textId="77777777" w:rsidTr="00CD5E09">
        <w:tc>
          <w:tcPr>
            <w:tcW w:w="4677" w:type="dxa"/>
          </w:tcPr>
          <w:p w14:paraId="55EF02D5" w14:textId="77777777" w:rsidR="006F27D1" w:rsidRPr="00DB1FCB" w:rsidRDefault="006F27D1" w:rsidP="00CD5E09">
            <w:pPr>
              <w:tabs>
                <w:tab w:val="left" w:pos="176"/>
                <w:tab w:val="left" w:pos="284"/>
              </w:tabs>
              <w:ind w:left="34"/>
              <w:rPr>
                <w:szCs w:val="24"/>
              </w:rPr>
            </w:pPr>
            <w:r w:rsidRPr="00DB1FCB">
              <w:rPr>
                <w:szCs w:val="24"/>
              </w:rPr>
              <w:t>Температура ≥38</w:t>
            </w:r>
            <w:r w:rsidRPr="00DB1FCB">
              <w:rPr>
                <w:szCs w:val="24"/>
                <w:vertAlign w:val="superscript"/>
              </w:rPr>
              <w:t>о</w:t>
            </w:r>
            <w:r w:rsidRPr="00DB1FCB">
              <w:rPr>
                <w:szCs w:val="24"/>
              </w:rPr>
              <w:t>С в течение ≥5 дней и нейтропения</w:t>
            </w:r>
          </w:p>
        </w:tc>
        <w:tc>
          <w:tcPr>
            <w:tcW w:w="4786" w:type="dxa"/>
          </w:tcPr>
          <w:p w14:paraId="4D4C8EBA" w14:textId="77777777" w:rsidR="006F27D1" w:rsidRPr="00DB1FCB" w:rsidRDefault="006F27D1" w:rsidP="00CD5E09">
            <w:pPr>
              <w:tabs>
                <w:tab w:val="left" w:pos="34"/>
              </w:tabs>
              <w:ind w:left="35"/>
              <w:rPr>
                <w:szCs w:val="24"/>
              </w:rPr>
            </w:pPr>
            <w:r w:rsidRPr="00DB1FCB">
              <w:rPr>
                <w:szCs w:val="24"/>
              </w:rPr>
              <w:t xml:space="preserve">Повторное взятие крови для гемокультуры 1 раз в неделю. </w:t>
            </w:r>
          </w:p>
          <w:p w14:paraId="0D0C5E40" w14:textId="77777777" w:rsidR="006F27D1" w:rsidRPr="00DB1FCB" w:rsidRDefault="006F27D1" w:rsidP="00CD5E09">
            <w:pPr>
              <w:tabs>
                <w:tab w:val="left" w:pos="34"/>
              </w:tabs>
              <w:ind w:left="35"/>
              <w:rPr>
                <w:szCs w:val="24"/>
              </w:rPr>
            </w:pPr>
            <w:r w:rsidRPr="00DB1FCB">
              <w:rPr>
                <w:szCs w:val="24"/>
              </w:rPr>
              <w:t xml:space="preserve">Микробиологическое исследование мочи. </w:t>
            </w:r>
          </w:p>
          <w:p w14:paraId="2E886736" w14:textId="77777777" w:rsidR="006F27D1" w:rsidRPr="00DB1FCB" w:rsidRDefault="006F27D1" w:rsidP="00CD5E09">
            <w:pPr>
              <w:tabs>
                <w:tab w:val="left" w:pos="34"/>
              </w:tabs>
              <w:ind w:left="35"/>
              <w:rPr>
                <w:szCs w:val="24"/>
              </w:rPr>
            </w:pPr>
            <w:r w:rsidRPr="00DB1FCB">
              <w:rPr>
                <w:szCs w:val="24"/>
              </w:rPr>
              <w:t xml:space="preserve">КТ легких. </w:t>
            </w:r>
          </w:p>
          <w:p w14:paraId="41EC51AB" w14:textId="77777777" w:rsidR="006F27D1" w:rsidRPr="00DB1FCB" w:rsidRDefault="006F27D1" w:rsidP="00CD5E09">
            <w:pPr>
              <w:tabs>
                <w:tab w:val="left" w:pos="34"/>
              </w:tabs>
              <w:ind w:left="35"/>
              <w:rPr>
                <w:szCs w:val="24"/>
              </w:rPr>
            </w:pPr>
            <w:r w:rsidRPr="00DB1FCB">
              <w:rPr>
                <w:szCs w:val="24"/>
              </w:rPr>
              <w:t>Мазок со слизистой оболочки кишечника.</w:t>
            </w:r>
          </w:p>
        </w:tc>
      </w:tr>
      <w:tr w:rsidR="006F27D1" w:rsidRPr="00DB1FCB" w14:paraId="4C13D6CB" w14:textId="77777777" w:rsidTr="00CD5E09">
        <w:tc>
          <w:tcPr>
            <w:tcW w:w="4677" w:type="dxa"/>
          </w:tcPr>
          <w:p w14:paraId="555AF57B" w14:textId="77777777" w:rsidR="006F27D1" w:rsidRPr="00DB1FCB" w:rsidRDefault="006F27D1" w:rsidP="00CD5E09">
            <w:pPr>
              <w:tabs>
                <w:tab w:val="left" w:pos="176"/>
                <w:tab w:val="left" w:pos="284"/>
              </w:tabs>
              <w:ind w:left="34"/>
              <w:rPr>
                <w:szCs w:val="24"/>
              </w:rPr>
            </w:pPr>
            <w:r w:rsidRPr="00DB1FCB">
              <w:rPr>
                <w:szCs w:val="24"/>
              </w:rPr>
              <w:t>Температура ≥38</w:t>
            </w:r>
            <w:r w:rsidRPr="00DB1FCB">
              <w:rPr>
                <w:szCs w:val="24"/>
                <w:vertAlign w:val="superscript"/>
              </w:rPr>
              <w:t>о</w:t>
            </w:r>
            <w:r w:rsidRPr="00DB1FCB">
              <w:rPr>
                <w:szCs w:val="24"/>
              </w:rPr>
              <w:t>С, длительная, сохраняется после выхода из нейтропении</w:t>
            </w:r>
          </w:p>
        </w:tc>
        <w:tc>
          <w:tcPr>
            <w:tcW w:w="4786" w:type="dxa"/>
          </w:tcPr>
          <w:p w14:paraId="1D8854B0" w14:textId="77777777" w:rsidR="006F27D1" w:rsidRPr="00DB1FCB" w:rsidRDefault="006F27D1" w:rsidP="00CD5E09">
            <w:pPr>
              <w:tabs>
                <w:tab w:val="left" w:pos="34"/>
              </w:tabs>
              <w:ind w:left="35"/>
              <w:rPr>
                <w:szCs w:val="24"/>
              </w:rPr>
            </w:pPr>
            <w:r w:rsidRPr="00DB1FCB">
              <w:rPr>
                <w:szCs w:val="24"/>
              </w:rPr>
              <w:t xml:space="preserve">УЗИ брюшной полости. </w:t>
            </w:r>
          </w:p>
          <w:p w14:paraId="1225B816" w14:textId="77777777" w:rsidR="006F27D1" w:rsidRPr="00DB1FCB" w:rsidRDefault="006F27D1" w:rsidP="00CD5E09">
            <w:pPr>
              <w:tabs>
                <w:tab w:val="left" w:pos="34"/>
              </w:tabs>
              <w:ind w:left="35"/>
              <w:rPr>
                <w:szCs w:val="24"/>
              </w:rPr>
            </w:pPr>
            <w:r w:rsidRPr="00DB1FCB">
              <w:rPr>
                <w:szCs w:val="24"/>
              </w:rPr>
              <w:t xml:space="preserve">Определение антигена </w:t>
            </w:r>
            <w:r w:rsidRPr="00DB1FCB">
              <w:rPr>
                <w:i/>
                <w:szCs w:val="24"/>
                <w:lang w:val="en-US"/>
              </w:rPr>
              <w:t>Candida</w:t>
            </w:r>
            <w:r w:rsidRPr="00DB1FCB">
              <w:rPr>
                <w:szCs w:val="24"/>
              </w:rPr>
              <w:t xml:space="preserve"> (маннан) и антител </w:t>
            </w:r>
            <w:r w:rsidRPr="00DB1FCB">
              <w:rPr>
                <w:i/>
                <w:szCs w:val="24"/>
                <w:lang w:val="en-US"/>
              </w:rPr>
              <w:t>Candida</w:t>
            </w:r>
            <w:r w:rsidRPr="00DB1FCB">
              <w:rPr>
                <w:szCs w:val="24"/>
              </w:rPr>
              <w:t xml:space="preserve"> (антиманнан) в крови.</w:t>
            </w:r>
          </w:p>
        </w:tc>
      </w:tr>
      <w:tr w:rsidR="006F27D1" w:rsidRPr="00DB1FCB" w14:paraId="6790ED6B" w14:textId="77777777" w:rsidTr="00CD5E09">
        <w:tc>
          <w:tcPr>
            <w:tcW w:w="4677" w:type="dxa"/>
          </w:tcPr>
          <w:p w14:paraId="3024096E" w14:textId="77777777" w:rsidR="006F27D1" w:rsidRPr="00DB1FCB" w:rsidRDefault="006F27D1" w:rsidP="00CD5E09">
            <w:pPr>
              <w:tabs>
                <w:tab w:val="left" w:pos="176"/>
                <w:tab w:val="left" w:pos="284"/>
              </w:tabs>
              <w:ind w:left="34"/>
              <w:rPr>
                <w:szCs w:val="24"/>
              </w:rPr>
            </w:pPr>
            <w:r w:rsidRPr="00DB1FCB">
              <w:rPr>
                <w:szCs w:val="24"/>
              </w:rPr>
              <w:t>Катетер-ассоциированная инфекция</w:t>
            </w:r>
          </w:p>
        </w:tc>
        <w:tc>
          <w:tcPr>
            <w:tcW w:w="4786" w:type="dxa"/>
          </w:tcPr>
          <w:p w14:paraId="718A9913" w14:textId="77777777" w:rsidR="006F27D1" w:rsidRPr="00DB1FCB" w:rsidRDefault="006F27D1" w:rsidP="00CD5E09">
            <w:pPr>
              <w:tabs>
                <w:tab w:val="left" w:pos="34"/>
              </w:tabs>
              <w:ind w:left="35"/>
              <w:rPr>
                <w:szCs w:val="24"/>
              </w:rPr>
            </w:pPr>
            <w:r w:rsidRPr="00DB1FCB">
              <w:rPr>
                <w:szCs w:val="24"/>
              </w:rPr>
              <w:t xml:space="preserve">Взятие одновременно гемокультуры из вены и ЦВК. </w:t>
            </w:r>
          </w:p>
          <w:p w14:paraId="6D1F5F1E" w14:textId="77777777" w:rsidR="006F27D1" w:rsidRPr="00DB1FCB" w:rsidRDefault="006F27D1" w:rsidP="00CD5E09">
            <w:pPr>
              <w:tabs>
                <w:tab w:val="left" w:pos="34"/>
              </w:tabs>
              <w:ind w:left="35"/>
              <w:rPr>
                <w:szCs w:val="24"/>
              </w:rPr>
            </w:pPr>
            <w:r w:rsidRPr="00DB1FCB">
              <w:rPr>
                <w:szCs w:val="24"/>
              </w:rPr>
              <w:t>При подтверждении необходимо удалить ЦВК .</w:t>
            </w:r>
          </w:p>
        </w:tc>
      </w:tr>
      <w:tr w:rsidR="006F27D1" w:rsidRPr="00DB1FCB" w14:paraId="79148808" w14:textId="77777777" w:rsidTr="00CD5E09">
        <w:tc>
          <w:tcPr>
            <w:tcW w:w="4677" w:type="dxa"/>
          </w:tcPr>
          <w:p w14:paraId="3DF114E3" w14:textId="77777777" w:rsidR="006F27D1" w:rsidRPr="00DB1FCB" w:rsidRDefault="006F27D1" w:rsidP="00CD5E09">
            <w:pPr>
              <w:tabs>
                <w:tab w:val="left" w:pos="176"/>
                <w:tab w:val="left" w:pos="284"/>
              </w:tabs>
              <w:ind w:left="34"/>
              <w:rPr>
                <w:szCs w:val="24"/>
              </w:rPr>
            </w:pPr>
            <w:r w:rsidRPr="00DB1FCB">
              <w:rPr>
                <w:szCs w:val="24"/>
              </w:rPr>
              <w:t>Нейтропения более 10 дней</w:t>
            </w:r>
          </w:p>
        </w:tc>
        <w:tc>
          <w:tcPr>
            <w:tcW w:w="4786" w:type="dxa"/>
          </w:tcPr>
          <w:p w14:paraId="64BB1B55" w14:textId="77777777" w:rsidR="006F27D1" w:rsidRPr="00DB1FCB" w:rsidRDefault="006F27D1" w:rsidP="00CD5E09">
            <w:pPr>
              <w:tabs>
                <w:tab w:val="left" w:pos="34"/>
              </w:tabs>
              <w:ind w:left="35"/>
              <w:rPr>
                <w:szCs w:val="24"/>
              </w:rPr>
            </w:pPr>
            <w:r w:rsidRPr="00DB1FCB">
              <w:rPr>
                <w:szCs w:val="24"/>
              </w:rPr>
              <w:t xml:space="preserve">Исследование крови на антиген </w:t>
            </w:r>
            <w:r w:rsidRPr="00DB1FCB">
              <w:rPr>
                <w:szCs w:val="24"/>
                <w:lang w:val="en-US"/>
              </w:rPr>
              <w:t>Aspergillus</w:t>
            </w:r>
            <w:r w:rsidRPr="00DB1FCB">
              <w:rPr>
                <w:szCs w:val="24"/>
              </w:rPr>
              <w:t xml:space="preserve"> 2 раза в неделю.</w:t>
            </w:r>
          </w:p>
        </w:tc>
      </w:tr>
      <w:tr w:rsidR="006F27D1" w:rsidRPr="00DB1FCB" w14:paraId="003A7511" w14:textId="77777777" w:rsidTr="00CD5E09">
        <w:tc>
          <w:tcPr>
            <w:tcW w:w="4677" w:type="dxa"/>
          </w:tcPr>
          <w:p w14:paraId="23B39A49" w14:textId="77777777" w:rsidR="006F27D1" w:rsidRPr="00DB1FCB" w:rsidRDefault="006F27D1" w:rsidP="00CD5E09">
            <w:pPr>
              <w:tabs>
                <w:tab w:val="left" w:pos="176"/>
                <w:tab w:val="left" w:pos="284"/>
              </w:tabs>
              <w:ind w:left="34"/>
              <w:rPr>
                <w:szCs w:val="24"/>
              </w:rPr>
            </w:pPr>
            <w:r w:rsidRPr="00DB1FCB">
              <w:rPr>
                <w:szCs w:val="24"/>
              </w:rPr>
              <w:t>Стоматит</w:t>
            </w:r>
          </w:p>
        </w:tc>
        <w:tc>
          <w:tcPr>
            <w:tcW w:w="4786" w:type="dxa"/>
          </w:tcPr>
          <w:p w14:paraId="3C32B444" w14:textId="77777777" w:rsidR="006F27D1" w:rsidRPr="00DB1FCB" w:rsidRDefault="006F27D1" w:rsidP="00CD5E09">
            <w:pPr>
              <w:tabs>
                <w:tab w:val="left" w:pos="34"/>
              </w:tabs>
              <w:ind w:left="35"/>
              <w:rPr>
                <w:szCs w:val="24"/>
              </w:rPr>
            </w:pPr>
            <w:r w:rsidRPr="00DB1FCB">
              <w:rPr>
                <w:szCs w:val="24"/>
              </w:rPr>
              <w:t>Мазок со слизистой ротоглотки.</w:t>
            </w:r>
          </w:p>
        </w:tc>
      </w:tr>
      <w:tr w:rsidR="006F27D1" w:rsidRPr="00DB1FCB" w14:paraId="34339374" w14:textId="77777777" w:rsidTr="00CD5E09">
        <w:tc>
          <w:tcPr>
            <w:tcW w:w="4677" w:type="dxa"/>
          </w:tcPr>
          <w:p w14:paraId="5DA9B0EA" w14:textId="77777777" w:rsidR="006F27D1" w:rsidRPr="00DB1FCB" w:rsidRDefault="006F27D1" w:rsidP="00CD5E09">
            <w:pPr>
              <w:tabs>
                <w:tab w:val="left" w:pos="176"/>
                <w:tab w:val="left" w:pos="284"/>
              </w:tabs>
              <w:ind w:left="34"/>
              <w:rPr>
                <w:szCs w:val="24"/>
              </w:rPr>
            </w:pPr>
            <w:r w:rsidRPr="00DB1FCB">
              <w:rPr>
                <w:szCs w:val="24"/>
              </w:rPr>
              <w:t>Эзофагит</w:t>
            </w:r>
          </w:p>
        </w:tc>
        <w:tc>
          <w:tcPr>
            <w:tcW w:w="4786" w:type="dxa"/>
          </w:tcPr>
          <w:p w14:paraId="51F4F380" w14:textId="77777777" w:rsidR="006F27D1" w:rsidRPr="00DB1FCB" w:rsidRDefault="006F27D1" w:rsidP="00CD5E09">
            <w:pPr>
              <w:tabs>
                <w:tab w:val="left" w:pos="34"/>
              </w:tabs>
              <w:ind w:left="35"/>
              <w:rPr>
                <w:szCs w:val="24"/>
              </w:rPr>
            </w:pPr>
            <w:r w:rsidRPr="00DB1FCB">
              <w:rPr>
                <w:szCs w:val="24"/>
              </w:rPr>
              <w:t xml:space="preserve">Эзофагоскопия (тромбоцитов не менее 50 х 109/л). </w:t>
            </w:r>
          </w:p>
          <w:p w14:paraId="3D2E4C58" w14:textId="77777777" w:rsidR="006F27D1" w:rsidRPr="00DB1FCB" w:rsidRDefault="006F27D1" w:rsidP="00CD5E09">
            <w:pPr>
              <w:tabs>
                <w:tab w:val="left" w:pos="34"/>
              </w:tabs>
              <w:ind w:left="35"/>
              <w:rPr>
                <w:szCs w:val="24"/>
              </w:rPr>
            </w:pPr>
            <w:r w:rsidRPr="00DB1FCB">
              <w:rPr>
                <w:szCs w:val="24"/>
              </w:rPr>
              <w:t>Исследование – соскоб (браш-метод) со слизистой оболочки или биопсия.</w:t>
            </w:r>
          </w:p>
        </w:tc>
      </w:tr>
      <w:tr w:rsidR="006F27D1" w:rsidRPr="00DB1FCB" w14:paraId="6A4D6EF7" w14:textId="77777777" w:rsidTr="00CD5E09">
        <w:tc>
          <w:tcPr>
            <w:tcW w:w="4677" w:type="dxa"/>
          </w:tcPr>
          <w:p w14:paraId="39AC878E" w14:textId="77777777" w:rsidR="006F27D1" w:rsidRPr="00DB1FCB" w:rsidRDefault="006F27D1" w:rsidP="00CD5E09">
            <w:pPr>
              <w:tabs>
                <w:tab w:val="left" w:pos="176"/>
                <w:tab w:val="left" w:pos="284"/>
              </w:tabs>
              <w:ind w:left="34"/>
              <w:rPr>
                <w:szCs w:val="24"/>
              </w:rPr>
            </w:pPr>
            <w:r w:rsidRPr="00DB1FCB">
              <w:rPr>
                <w:szCs w:val="24"/>
              </w:rPr>
              <w:t xml:space="preserve">Некроз слизистой оболочки носового </w:t>
            </w:r>
            <w:r w:rsidRPr="00DB1FCB">
              <w:rPr>
                <w:szCs w:val="24"/>
              </w:rPr>
              <w:lastRenderedPageBreak/>
              <w:t>хода</w:t>
            </w:r>
          </w:p>
        </w:tc>
        <w:tc>
          <w:tcPr>
            <w:tcW w:w="4786" w:type="dxa"/>
          </w:tcPr>
          <w:p w14:paraId="2AD93831" w14:textId="77777777" w:rsidR="006F27D1" w:rsidRPr="00DB1FCB" w:rsidRDefault="006F27D1" w:rsidP="00CD5E09">
            <w:pPr>
              <w:tabs>
                <w:tab w:val="left" w:pos="34"/>
              </w:tabs>
              <w:ind w:left="35"/>
              <w:rPr>
                <w:szCs w:val="24"/>
              </w:rPr>
            </w:pPr>
            <w:r w:rsidRPr="00DB1FCB">
              <w:rPr>
                <w:szCs w:val="24"/>
              </w:rPr>
              <w:lastRenderedPageBreak/>
              <w:t>Мазок со слизистой оболочки носа</w:t>
            </w:r>
          </w:p>
        </w:tc>
      </w:tr>
      <w:tr w:rsidR="006F27D1" w:rsidRPr="00DB1FCB" w14:paraId="0945839F" w14:textId="77777777" w:rsidTr="00CD5E09">
        <w:tc>
          <w:tcPr>
            <w:tcW w:w="4677" w:type="dxa"/>
          </w:tcPr>
          <w:p w14:paraId="37A6D84A" w14:textId="77777777" w:rsidR="006F27D1" w:rsidRPr="00DB1FCB" w:rsidRDefault="006F27D1" w:rsidP="00CD5E09">
            <w:pPr>
              <w:tabs>
                <w:tab w:val="left" w:pos="176"/>
                <w:tab w:val="left" w:pos="284"/>
              </w:tabs>
              <w:ind w:left="34"/>
              <w:rPr>
                <w:szCs w:val="24"/>
              </w:rPr>
            </w:pPr>
            <w:r w:rsidRPr="00DB1FCB">
              <w:rPr>
                <w:szCs w:val="24"/>
              </w:rPr>
              <w:t>Гайморит</w:t>
            </w:r>
          </w:p>
        </w:tc>
        <w:tc>
          <w:tcPr>
            <w:tcW w:w="4786" w:type="dxa"/>
          </w:tcPr>
          <w:p w14:paraId="16C47191" w14:textId="77777777" w:rsidR="006F27D1" w:rsidRPr="00DB1FCB" w:rsidRDefault="006F27D1" w:rsidP="00CD5E09">
            <w:pPr>
              <w:tabs>
                <w:tab w:val="left" w:pos="34"/>
              </w:tabs>
              <w:ind w:left="35"/>
              <w:rPr>
                <w:szCs w:val="24"/>
              </w:rPr>
            </w:pPr>
            <w:r w:rsidRPr="00DB1FCB">
              <w:rPr>
                <w:szCs w:val="24"/>
              </w:rPr>
              <w:t>Исследование содержимого околоносовой пазухи, полученной при пункции.</w:t>
            </w:r>
          </w:p>
        </w:tc>
      </w:tr>
      <w:tr w:rsidR="006F27D1" w:rsidRPr="00DB1FCB" w14:paraId="33F99B3C" w14:textId="77777777" w:rsidTr="00CD5E09">
        <w:tc>
          <w:tcPr>
            <w:tcW w:w="4677" w:type="dxa"/>
          </w:tcPr>
          <w:p w14:paraId="4AD72A3A" w14:textId="77777777" w:rsidR="006F27D1" w:rsidRPr="00DB1FCB" w:rsidRDefault="006F27D1" w:rsidP="00CD5E09">
            <w:pPr>
              <w:tabs>
                <w:tab w:val="left" w:pos="176"/>
                <w:tab w:val="left" w:pos="284"/>
              </w:tabs>
              <w:ind w:left="34"/>
              <w:rPr>
                <w:szCs w:val="24"/>
              </w:rPr>
            </w:pPr>
            <w:r w:rsidRPr="00DB1FCB">
              <w:rPr>
                <w:szCs w:val="24"/>
              </w:rPr>
              <w:t>Симптомы инфекции мочевыводящих путей</w:t>
            </w:r>
          </w:p>
          <w:p w14:paraId="3B7BC724" w14:textId="77777777" w:rsidR="006F27D1" w:rsidRPr="00DB1FCB" w:rsidRDefault="006F27D1" w:rsidP="00CD5E09">
            <w:pPr>
              <w:tabs>
                <w:tab w:val="left" w:pos="176"/>
                <w:tab w:val="left" w:pos="284"/>
              </w:tabs>
              <w:ind w:left="34"/>
              <w:rPr>
                <w:szCs w:val="24"/>
              </w:rPr>
            </w:pPr>
            <w:r w:rsidRPr="00DB1FCB">
              <w:rPr>
                <w:szCs w:val="24"/>
              </w:rPr>
              <w:t>Лейкоцитурия</w:t>
            </w:r>
          </w:p>
        </w:tc>
        <w:tc>
          <w:tcPr>
            <w:tcW w:w="4786" w:type="dxa"/>
          </w:tcPr>
          <w:p w14:paraId="16938247" w14:textId="77777777" w:rsidR="006F27D1" w:rsidRPr="00DB1FCB" w:rsidRDefault="006F27D1" w:rsidP="00CD5E09">
            <w:pPr>
              <w:tabs>
                <w:tab w:val="left" w:pos="34"/>
              </w:tabs>
              <w:ind w:left="35"/>
              <w:rPr>
                <w:szCs w:val="24"/>
              </w:rPr>
            </w:pPr>
            <w:r w:rsidRPr="00DB1FCB">
              <w:rPr>
                <w:szCs w:val="24"/>
              </w:rPr>
              <w:t>Микробиологическое исследование мочи.</w:t>
            </w:r>
          </w:p>
        </w:tc>
      </w:tr>
      <w:tr w:rsidR="006F27D1" w:rsidRPr="00DB1FCB" w14:paraId="79E38FBB" w14:textId="77777777" w:rsidTr="00CD5E09">
        <w:tc>
          <w:tcPr>
            <w:tcW w:w="4677" w:type="dxa"/>
          </w:tcPr>
          <w:p w14:paraId="09C5248B" w14:textId="77777777" w:rsidR="006F27D1" w:rsidRPr="00DB1FCB" w:rsidRDefault="006F27D1" w:rsidP="00CD5E09">
            <w:pPr>
              <w:tabs>
                <w:tab w:val="left" w:pos="176"/>
                <w:tab w:val="left" w:pos="284"/>
              </w:tabs>
              <w:ind w:left="34"/>
              <w:rPr>
                <w:szCs w:val="24"/>
              </w:rPr>
            </w:pPr>
            <w:r w:rsidRPr="00DB1FCB">
              <w:rPr>
                <w:szCs w:val="24"/>
              </w:rPr>
              <w:t>Пневмония</w:t>
            </w:r>
          </w:p>
        </w:tc>
        <w:tc>
          <w:tcPr>
            <w:tcW w:w="4786" w:type="dxa"/>
          </w:tcPr>
          <w:p w14:paraId="6B179081" w14:textId="77777777" w:rsidR="006F27D1" w:rsidRPr="00DB1FCB" w:rsidRDefault="006F27D1" w:rsidP="00CD5E09">
            <w:pPr>
              <w:tabs>
                <w:tab w:val="left" w:pos="34"/>
              </w:tabs>
              <w:ind w:left="35"/>
              <w:rPr>
                <w:szCs w:val="24"/>
              </w:rPr>
            </w:pPr>
            <w:r w:rsidRPr="00DB1FCB">
              <w:rPr>
                <w:szCs w:val="24"/>
              </w:rPr>
              <w:t>КТ легких.</w:t>
            </w:r>
          </w:p>
          <w:p w14:paraId="020FA4EB" w14:textId="77777777" w:rsidR="006F27D1" w:rsidRPr="00DB1FCB" w:rsidRDefault="006F27D1" w:rsidP="00CD5E09">
            <w:pPr>
              <w:tabs>
                <w:tab w:val="left" w:pos="34"/>
              </w:tabs>
              <w:ind w:left="35"/>
              <w:rPr>
                <w:szCs w:val="24"/>
              </w:rPr>
            </w:pPr>
            <w:r w:rsidRPr="00DB1FCB">
              <w:rPr>
                <w:szCs w:val="24"/>
              </w:rPr>
              <w:t>БАЛ после КТ легких.</w:t>
            </w:r>
          </w:p>
          <w:p w14:paraId="2D368F2F" w14:textId="77777777" w:rsidR="006F27D1" w:rsidRPr="00DB1FCB" w:rsidRDefault="006F27D1" w:rsidP="00CD5E09">
            <w:pPr>
              <w:tabs>
                <w:tab w:val="left" w:pos="34"/>
              </w:tabs>
              <w:ind w:left="35"/>
              <w:rPr>
                <w:szCs w:val="24"/>
              </w:rPr>
            </w:pPr>
            <w:r w:rsidRPr="00DB1FCB">
              <w:rPr>
                <w:szCs w:val="24"/>
              </w:rPr>
              <w:t>Полное исследование жидкости БАЛ.</w:t>
            </w:r>
          </w:p>
          <w:p w14:paraId="211FC051" w14:textId="77777777" w:rsidR="006F27D1" w:rsidRPr="00DB1FCB" w:rsidRDefault="006F27D1" w:rsidP="00CD5E09">
            <w:pPr>
              <w:tabs>
                <w:tab w:val="left" w:pos="34"/>
              </w:tabs>
              <w:ind w:left="35"/>
              <w:rPr>
                <w:szCs w:val="24"/>
              </w:rPr>
            </w:pPr>
            <w:r w:rsidRPr="00DB1FCB">
              <w:rPr>
                <w:szCs w:val="24"/>
              </w:rPr>
              <w:t xml:space="preserve">Исследование крови на антиген </w:t>
            </w:r>
            <w:r w:rsidRPr="00DB1FCB">
              <w:rPr>
                <w:szCs w:val="24"/>
                <w:lang w:val="en-US"/>
              </w:rPr>
              <w:t>Aspergillus</w:t>
            </w:r>
            <w:r w:rsidRPr="00DB1FCB">
              <w:rPr>
                <w:szCs w:val="24"/>
              </w:rPr>
              <w:t>.</w:t>
            </w:r>
          </w:p>
          <w:p w14:paraId="5A219D6B" w14:textId="77777777" w:rsidR="006F27D1" w:rsidRPr="00DB1FCB" w:rsidRDefault="006F27D1" w:rsidP="00CD5E09">
            <w:pPr>
              <w:tabs>
                <w:tab w:val="left" w:pos="34"/>
              </w:tabs>
              <w:ind w:left="35"/>
              <w:rPr>
                <w:szCs w:val="24"/>
              </w:rPr>
            </w:pPr>
            <w:r w:rsidRPr="00DB1FCB">
              <w:rPr>
                <w:szCs w:val="24"/>
              </w:rPr>
              <w:t xml:space="preserve">Исследование крови на антитела к </w:t>
            </w:r>
            <w:r w:rsidRPr="00DB1FCB">
              <w:rPr>
                <w:szCs w:val="24"/>
                <w:lang w:val="en-US"/>
              </w:rPr>
              <w:t>Mycoplasma</w:t>
            </w:r>
            <w:r w:rsidRPr="00DB1FCB">
              <w:rPr>
                <w:szCs w:val="24"/>
              </w:rPr>
              <w:t xml:space="preserve"> </w:t>
            </w:r>
            <w:r w:rsidRPr="00DB1FCB">
              <w:rPr>
                <w:szCs w:val="24"/>
                <w:lang w:val="en-US"/>
              </w:rPr>
              <w:t>pneumoniae</w:t>
            </w:r>
            <w:r w:rsidRPr="00DB1FCB">
              <w:rPr>
                <w:szCs w:val="24"/>
              </w:rPr>
              <w:t xml:space="preserve"> (</w:t>
            </w:r>
            <w:r w:rsidRPr="00DB1FCB">
              <w:rPr>
                <w:szCs w:val="24"/>
                <w:lang w:val="en-US"/>
              </w:rPr>
              <w:t>IgM</w:t>
            </w:r>
            <w:r w:rsidRPr="00DB1FCB">
              <w:rPr>
                <w:szCs w:val="24"/>
              </w:rPr>
              <w:t xml:space="preserve">, </w:t>
            </w:r>
            <w:r w:rsidRPr="00DB1FCB">
              <w:rPr>
                <w:szCs w:val="24"/>
                <w:lang w:val="en-US"/>
              </w:rPr>
              <w:t>IgG</w:t>
            </w:r>
            <w:r w:rsidRPr="00DB1FCB">
              <w:rPr>
                <w:szCs w:val="24"/>
              </w:rPr>
              <w:t xml:space="preserve">). </w:t>
            </w:r>
          </w:p>
          <w:p w14:paraId="56A10256" w14:textId="77777777" w:rsidR="006F27D1" w:rsidRPr="00DB1FCB" w:rsidRDefault="006F27D1" w:rsidP="00CD5E09">
            <w:pPr>
              <w:tabs>
                <w:tab w:val="left" w:pos="34"/>
              </w:tabs>
              <w:ind w:left="35"/>
              <w:rPr>
                <w:szCs w:val="24"/>
              </w:rPr>
            </w:pPr>
            <w:r w:rsidRPr="00DB1FCB">
              <w:rPr>
                <w:szCs w:val="24"/>
              </w:rPr>
              <w:t xml:space="preserve">Исследование крови на антитела к </w:t>
            </w:r>
            <w:r w:rsidRPr="00DB1FCB">
              <w:rPr>
                <w:szCs w:val="24"/>
                <w:lang w:val="en-US"/>
              </w:rPr>
              <w:t>Chlamydia</w:t>
            </w:r>
            <w:r w:rsidRPr="00DB1FCB">
              <w:rPr>
                <w:szCs w:val="24"/>
              </w:rPr>
              <w:t xml:space="preserve"> </w:t>
            </w:r>
            <w:r w:rsidRPr="00DB1FCB">
              <w:rPr>
                <w:szCs w:val="24"/>
                <w:lang w:val="en-US"/>
              </w:rPr>
              <w:t>pneumoniae</w:t>
            </w:r>
            <w:r w:rsidRPr="00DB1FCB">
              <w:rPr>
                <w:szCs w:val="24"/>
              </w:rPr>
              <w:t xml:space="preserve"> (</w:t>
            </w:r>
            <w:r w:rsidRPr="00DB1FCB">
              <w:rPr>
                <w:szCs w:val="24"/>
                <w:lang w:val="en-US"/>
              </w:rPr>
              <w:t>IgM</w:t>
            </w:r>
            <w:r w:rsidRPr="00DB1FCB">
              <w:rPr>
                <w:szCs w:val="24"/>
              </w:rPr>
              <w:t xml:space="preserve">, </w:t>
            </w:r>
            <w:r w:rsidRPr="00DB1FCB">
              <w:rPr>
                <w:szCs w:val="24"/>
                <w:lang w:val="en-US"/>
              </w:rPr>
              <w:t>IgG</w:t>
            </w:r>
            <w:r w:rsidRPr="00DB1FCB">
              <w:rPr>
                <w:szCs w:val="24"/>
              </w:rPr>
              <w:t xml:space="preserve">). </w:t>
            </w:r>
          </w:p>
        </w:tc>
      </w:tr>
      <w:tr w:rsidR="006F27D1" w:rsidRPr="00DB1FCB" w14:paraId="000D2C49" w14:textId="77777777" w:rsidTr="00CD5E09">
        <w:tc>
          <w:tcPr>
            <w:tcW w:w="4677" w:type="dxa"/>
          </w:tcPr>
          <w:p w14:paraId="2A0DE7C1" w14:textId="77777777" w:rsidR="006F27D1" w:rsidRPr="00DB1FCB" w:rsidRDefault="006F27D1" w:rsidP="00CD5E09">
            <w:pPr>
              <w:tabs>
                <w:tab w:val="left" w:pos="176"/>
                <w:tab w:val="left" w:pos="284"/>
              </w:tabs>
              <w:ind w:left="34"/>
              <w:rPr>
                <w:szCs w:val="24"/>
              </w:rPr>
            </w:pPr>
            <w:r w:rsidRPr="00DB1FCB">
              <w:rPr>
                <w:szCs w:val="24"/>
              </w:rPr>
              <w:t>Симптомы менингита. Мозговая симптоматика на фоне фебрильной нейтропении. Обнаружение очага (очагов) в головном мозге</w:t>
            </w:r>
          </w:p>
        </w:tc>
        <w:tc>
          <w:tcPr>
            <w:tcW w:w="4786" w:type="dxa"/>
          </w:tcPr>
          <w:p w14:paraId="7280A376" w14:textId="77777777" w:rsidR="006F27D1" w:rsidRPr="00DB1FCB" w:rsidRDefault="006F27D1" w:rsidP="00CD5E09">
            <w:pPr>
              <w:tabs>
                <w:tab w:val="left" w:pos="34"/>
              </w:tabs>
              <w:ind w:left="35"/>
              <w:rPr>
                <w:szCs w:val="24"/>
              </w:rPr>
            </w:pPr>
            <w:r w:rsidRPr="00DB1FCB">
              <w:rPr>
                <w:szCs w:val="24"/>
              </w:rPr>
              <w:t xml:space="preserve">Люмбальная пункция. </w:t>
            </w:r>
          </w:p>
          <w:p w14:paraId="4C0BE997" w14:textId="77777777" w:rsidR="006F27D1" w:rsidRPr="00DB1FCB" w:rsidRDefault="006F27D1" w:rsidP="00CD5E09">
            <w:pPr>
              <w:tabs>
                <w:tab w:val="left" w:pos="34"/>
              </w:tabs>
              <w:ind w:left="35"/>
              <w:rPr>
                <w:szCs w:val="24"/>
              </w:rPr>
            </w:pPr>
            <w:r w:rsidRPr="00DB1FCB">
              <w:rPr>
                <w:szCs w:val="24"/>
              </w:rPr>
              <w:t xml:space="preserve">Полное исследование СМЖ. </w:t>
            </w:r>
          </w:p>
        </w:tc>
      </w:tr>
      <w:tr w:rsidR="006F27D1" w:rsidRPr="00DB1FCB" w14:paraId="38FC99CC" w14:textId="77777777" w:rsidTr="00CD5E09">
        <w:tc>
          <w:tcPr>
            <w:tcW w:w="4677" w:type="dxa"/>
          </w:tcPr>
          <w:p w14:paraId="1468AB9D" w14:textId="77777777" w:rsidR="006F27D1" w:rsidRPr="00DB1FCB" w:rsidRDefault="006F27D1" w:rsidP="00CD5E09">
            <w:pPr>
              <w:tabs>
                <w:tab w:val="left" w:pos="176"/>
                <w:tab w:val="left" w:pos="284"/>
              </w:tabs>
              <w:ind w:left="34"/>
              <w:rPr>
                <w:szCs w:val="24"/>
              </w:rPr>
            </w:pPr>
            <w:r w:rsidRPr="00DB1FCB">
              <w:rPr>
                <w:szCs w:val="24"/>
              </w:rPr>
              <w:t>Диарея</w:t>
            </w:r>
          </w:p>
        </w:tc>
        <w:tc>
          <w:tcPr>
            <w:tcW w:w="4786" w:type="dxa"/>
          </w:tcPr>
          <w:p w14:paraId="0E8C5745" w14:textId="77777777" w:rsidR="006F27D1" w:rsidRPr="00DB1FCB" w:rsidRDefault="006F27D1" w:rsidP="00CD5E09">
            <w:pPr>
              <w:tabs>
                <w:tab w:val="left" w:pos="34"/>
              </w:tabs>
              <w:ind w:left="35"/>
              <w:rPr>
                <w:szCs w:val="24"/>
              </w:rPr>
            </w:pPr>
            <w:r w:rsidRPr="00DB1FCB">
              <w:rPr>
                <w:szCs w:val="24"/>
              </w:rPr>
              <w:t xml:space="preserve">Исследование кала на токсин </w:t>
            </w:r>
            <w:r w:rsidRPr="00DB1FCB">
              <w:rPr>
                <w:i/>
                <w:szCs w:val="24"/>
                <w:lang w:val="en-US"/>
              </w:rPr>
              <w:t>Clostridium</w:t>
            </w:r>
            <w:r w:rsidRPr="00DB1FCB">
              <w:rPr>
                <w:i/>
                <w:szCs w:val="24"/>
              </w:rPr>
              <w:t xml:space="preserve"> </w:t>
            </w:r>
            <w:r w:rsidRPr="00DB1FCB">
              <w:rPr>
                <w:i/>
                <w:szCs w:val="24"/>
                <w:lang w:val="en-US"/>
              </w:rPr>
              <w:t>difficil</w:t>
            </w:r>
            <w:r w:rsidRPr="00DB1FCB">
              <w:rPr>
                <w:i/>
                <w:szCs w:val="24"/>
              </w:rPr>
              <w:t xml:space="preserve">е. </w:t>
            </w:r>
          </w:p>
        </w:tc>
      </w:tr>
      <w:tr w:rsidR="006F27D1" w:rsidRPr="00DB1FCB" w14:paraId="6184E89D" w14:textId="77777777" w:rsidTr="00CD5E09">
        <w:tc>
          <w:tcPr>
            <w:tcW w:w="4677" w:type="dxa"/>
          </w:tcPr>
          <w:p w14:paraId="4DA50370" w14:textId="77777777" w:rsidR="006F27D1" w:rsidRPr="00DB1FCB" w:rsidRDefault="006F27D1" w:rsidP="00CD5E09">
            <w:pPr>
              <w:tabs>
                <w:tab w:val="left" w:pos="176"/>
                <w:tab w:val="left" w:pos="284"/>
              </w:tabs>
              <w:ind w:left="34"/>
              <w:rPr>
                <w:szCs w:val="24"/>
              </w:rPr>
            </w:pPr>
            <w:r w:rsidRPr="00DB1FCB">
              <w:rPr>
                <w:szCs w:val="24"/>
              </w:rPr>
              <w:t>Парапроктит</w:t>
            </w:r>
          </w:p>
          <w:p w14:paraId="4E81CFA1" w14:textId="77777777" w:rsidR="006F27D1" w:rsidRPr="00DB1FCB" w:rsidRDefault="006F27D1" w:rsidP="00CD5E09">
            <w:pPr>
              <w:tabs>
                <w:tab w:val="left" w:pos="176"/>
                <w:tab w:val="left" w:pos="284"/>
              </w:tabs>
              <w:ind w:left="34"/>
              <w:rPr>
                <w:szCs w:val="24"/>
              </w:rPr>
            </w:pPr>
            <w:r w:rsidRPr="00DB1FCB">
              <w:rPr>
                <w:szCs w:val="24"/>
              </w:rPr>
              <w:t>Трещина в области прямой кишки</w:t>
            </w:r>
          </w:p>
        </w:tc>
        <w:tc>
          <w:tcPr>
            <w:tcW w:w="4786" w:type="dxa"/>
          </w:tcPr>
          <w:p w14:paraId="65073B90" w14:textId="77777777" w:rsidR="006F27D1" w:rsidRPr="00DB1FCB" w:rsidRDefault="006F27D1" w:rsidP="00CD5E09">
            <w:pPr>
              <w:tabs>
                <w:tab w:val="left" w:pos="34"/>
              </w:tabs>
              <w:ind w:left="35"/>
              <w:rPr>
                <w:szCs w:val="24"/>
              </w:rPr>
            </w:pPr>
            <w:r w:rsidRPr="00DB1FCB">
              <w:rPr>
                <w:szCs w:val="24"/>
              </w:rPr>
              <w:t>Мазок со слизистой оболочки прямой кишки.</w:t>
            </w:r>
          </w:p>
        </w:tc>
      </w:tr>
      <w:tr w:rsidR="006F27D1" w:rsidRPr="00DB1FCB" w14:paraId="094843FF" w14:textId="77777777" w:rsidTr="00CD5E09">
        <w:tc>
          <w:tcPr>
            <w:tcW w:w="4677" w:type="dxa"/>
          </w:tcPr>
          <w:p w14:paraId="42DCBF0E" w14:textId="77777777" w:rsidR="006F27D1" w:rsidRPr="00DB1FCB" w:rsidRDefault="006F27D1" w:rsidP="00CD5E09">
            <w:pPr>
              <w:tabs>
                <w:tab w:val="left" w:pos="176"/>
                <w:tab w:val="left" w:pos="284"/>
              </w:tabs>
              <w:ind w:left="34"/>
              <w:rPr>
                <w:szCs w:val="24"/>
              </w:rPr>
            </w:pPr>
            <w:r w:rsidRPr="00DB1FCB">
              <w:rPr>
                <w:szCs w:val="24"/>
              </w:rPr>
              <w:t>Инфильтраты на коже</w:t>
            </w:r>
          </w:p>
        </w:tc>
        <w:tc>
          <w:tcPr>
            <w:tcW w:w="4786" w:type="dxa"/>
          </w:tcPr>
          <w:p w14:paraId="299A44C5" w14:textId="77777777" w:rsidR="006F27D1" w:rsidRPr="00DB1FCB" w:rsidRDefault="006F27D1" w:rsidP="00CD5E09">
            <w:pPr>
              <w:tabs>
                <w:tab w:val="left" w:pos="34"/>
              </w:tabs>
              <w:ind w:left="35"/>
              <w:rPr>
                <w:szCs w:val="24"/>
              </w:rPr>
            </w:pPr>
            <w:r w:rsidRPr="00DB1FCB">
              <w:rPr>
                <w:szCs w:val="24"/>
              </w:rPr>
              <w:t xml:space="preserve">Биопсия. </w:t>
            </w:r>
          </w:p>
          <w:p w14:paraId="1E4CF463" w14:textId="77777777" w:rsidR="006F27D1" w:rsidRPr="00DB1FCB" w:rsidRDefault="006F27D1" w:rsidP="00CD5E09">
            <w:pPr>
              <w:tabs>
                <w:tab w:val="left" w:pos="34"/>
              </w:tabs>
              <w:ind w:left="35"/>
              <w:rPr>
                <w:szCs w:val="24"/>
              </w:rPr>
            </w:pPr>
            <w:r w:rsidRPr="00DB1FCB">
              <w:rPr>
                <w:szCs w:val="24"/>
              </w:rPr>
              <w:t xml:space="preserve">Микробиологическое и гистологическое исследование биоптата. </w:t>
            </w:r>
          </w:p>
        </w:tc>
      </w:tr>
    </w:tbl>
    <w:p w14:paraId="346552CC" w14:textId="77777777" w:rsidR="006F27D1" w:rsidRPr="00515760" w:rsidRDefault="006F27D1" w:rsidP="006F27D1">
      <w:pPr>
        <w:tabs>
          <w:tab w:val="left" w:pos="0"/>
          <w:tab w:val="left" w:pos="567"/>
        </w:tabs>
        <w:rPr>
          <w:b/>
        </w:rPr>
      </w:pPr>
    </w:p>
    <w:p w14:paraId="2E2628B0" w14:textId="77777777" w:rsidR="006F27D1" w:rsidRPr="00997857" w:rsidRDefault="006F27D1" w:rsidP="006F27D1">
      <w:pPr>
        <w:pStyle w:val="afff3"/>
        <w:ind w:left="0"/>
        <w:rPr>
          <w:b/>
          <w:i/>
          <w:szCs w:val="24"/>
        </w:rPr>
      </w:pPr>
      <w:r w:rsidRPr="00997857">
        <w:rPr>
          <w:b/>
          <w:i/>
          <w:szCs w:val="24"/>
        </w:rPr>
        <w:t>Ежедневный осмотр пациента</w:t>
      </w:r>
    </w:p>
    <w:p w14:paraId="08F3B3D8" w14:textId="77777777" w:rsidR="006F27D1" w:rsidRPr="00DB1FCB" w:rsidRDefault="006F27D1" w:rsidP="006F27D1">
      <w:pPr>
        <w:tabs>
          <w:tab w:val="left" w:pos="0"/>
          <w:tab w:val="left" w:pos="567"/>
        </w:tabs>
        <w:ind w:firstLine="709"/>
        <w:rPr>
          <w:szCs w:val="24"/>
        </w:rPr>
      </w:pPr>
      <w:r w:rsidRPr="00DB1FCB">
        <w:rPr>
          <w:szCs w:val="24"/>
        </w:rPr>
        <w:t xml:space="preserve">При нейтропении ежедневно проводят тщательный осмотр пациента, который наряду с обычными терапевтическими стандартами обследования больных включает следующие подходы. </w:t>
      </w:r>
    </w:p>
    <w:p w14:paraId="08471906" w14:textId="77777777" w:rsidR="006F27D1" w:rsidRPr="00DB1FCB" w:rsidRDefault="006F27D1" w:rsidP="008C1767">
      <w:pPr>
        <w:widowControl/>
        <w:numPr>
          <w:ilvl w:val="0"/>
          <w:numId w:val="52"/>
        </w:numPr>
        <w:tabs>
          <w:tab w:val="left" w:pos="0"/>
          <w:tab w:val="left" w:pos="567"/>
        </w:tabs>
        <w:autoSpaceDE/>
        <w:autoSpaceDN/>
        <w:adjustRightInd/>
        <w:ind w:left="0" w:firstLine="0"/>
        <w:rPr>
          <w:szCs w:val="24"/>
        </w:rPr>
      </w:pPr>
      <w:r w:rsidRPr="00DB1FCB">
        <w:rPr>
          <w:szCs w:val="24"/>
        </w:rPr>
        <w:t>Активный опрос больного относительно возможных симптомов инфекции, включая наличие болей п</w:t>
      </w:r>
      <w:r>
        <w:rPr>
          <w:szCs w:val="24"/>
        </w:rPr>
        <w:t>о ходу пищевода, в промежности.</w:t>
      </w:r>
    </w:p>
    <w:p w14:paraId="2A97AD75" w14:textId="77777777" w:rsidR="006F27D1" w:rsidRPr="00DB1FCB" w:rsidRDefault="006F27D1" w:rsidP="008C1767">
      <w:pPr>
        <w:widowControl/>
        <w:numPr>
          <w:ilvl w:val="0"/>
          <w:numId w:val="52"/>
        </w:numPr>
        <w:tabs>
          <w:tab w:val="left" w:pos="0"/>
          <w:tab w:val="left" w:pos="567"/>
        </w:tabs>
        <w:autoSpaceDE/>
        <w:autoSpaceDN/>
        <w:adjustRightInd/>
        <w:ind w:left="0" w:firstLine="0"/>
        <w:rPr>
          <w:szCs w:val="24"/>
        </w:rPr>
      </w:pPr>
      <w:r w:rsidRPr="00DB1FCB">
        <w:rPr>
          <w:szCs w:val="24"/>
        </w:rPr>
        <w:t>Ежедневный осмотр слизистой оболочки полости рта при нейтропении, особенно периодонта. Обращают внимание на рыхлость, отек слизистой оболочки (мукозит), наличие налетов, язв.</w:t>
      </w:r>
    </w:p>
    <w:p w14:paraId="17E636C6" w14:textId="77777777" w:rsidR="006F27D1" w:rsidRPr="00DB1FCB" w:rsidRDefault="006F27D1" w:rsidP="008C1767">
      <w:pPr>
        <w:widowControl/>
        <w:numPr>
          <w:ilvl w:val="0"/>
          <w:numId w:val="52"/>
        </w:numPr>
        <w:tabs>
          <w:tab w:val="left" w:pos="0"/>
          <w:tab w:val="left" w:pos="567"/>
        </w:tabs>
        <w:autoSpaceDE/>
        <w:autoSpaceDN/>
        <w:adjustRightInd/>
        <w:ind w:left="0" w:firstLine="0"/>
        <w:rPr>
          <w:szCs w:val="24"/>
        </w:rPr>
      </w:pPr>
      <w:r w:rsidRPr="00DB1FCB">
        <w:rPr>
          <w:szCs w:val="24"/>
        </w:rPr>
        <w:lastRenderedPageBreak/>
        <w:t>Осмотр кожи в отношении возможного появления септикопиемических очагов при лихорадке, даже в отсутствие жалоб больного. При лечении глюкокортикоидами септикопиемические очаги могут быт</w:t>
      </w:r>
      <w:r>
        <w:rPr>
          <w:szCs w:val="24"/>
        </w:rPr>
        <w:t>ь и при нормальной температуре.</w:t>
      </w:r>
    </w:p>
    <w:p w14:paraId="75D01887" w14:textId="77777777" w:rsidR="006F27D1" w:rsidRPr="00DB1FCB" w:rsidRDefault="006F27D1" w:rsidP="008C1767">
      <w:pPr>
        <w:widowControl/>
        <w:numPr>
          <w:ilvl w:val="0"/>
          <w:numId w:val="52"/>
        </w:numPr>
        <w:tabs>
          <w:tab w:val="left" w:pos="0"/>
          <w:tab w:val="left" w:pos="567"/>
        </w:tabs>
        <w:autoSpaceDE/>
        <w:autoSpaceDN/>
        <w:adjustRightInd/>
        <w:ind w:left="0" w:firstLine="0"/>
        <w:rPr>
          <w:szCs w:val="24"/>
        </w:rPr>
      </w:pPr>
      <w:r w:rsidRPr="00DB1FCB">
        <w:rPr>
          <w:szCs w:val="24"/>
        </w:rPr>
        <w:t xml:space="preserve">Осмотр места установки венозного катетера. </w:t>
      </w:r>
    </w:p>
    <w:p w14:paraId="4B49E1A3" w14:textId="77777777" w:rsidR="006F27D1" w:rsidRPr="00DB1FCB" w:rsidRDefault="006F27D1" w:rsidP="008C1767">
      <w:pPr>
        <w:widowControl/>
        <w:numPr>
          <w:ilvl w:val="0"/>
          <w:numId w:val="52"/>
        </w:numPr>
        <w:tabs>
          <w:tab w:val="left" w:pos="0"/>
          <w:tab w:val="left" w:pos="567"/>
        </w:tabs>
        <w:autoSpaceDE/>
        <w:autoSpaceDN/>
        <w:adjustRightInd/>
        <w:ind w:left="0" w:firstLine="0"/>
        <w:rPr>
          <w:szCs w:val="24"/>
        </w:rPr>
      </w:pPr>
      <w:r w:rsidRPr="00DB1FCB">
        <w:rPr>
          <w:szCs w:val="24"/>
        </w:rPr>
        <w:t xml:space="preserve">Внимательная аускультация грудной клетки. Жесткое дыхание в отсутствие хрипов, минимальное количество влажных хрипов на ограниченном участке могут быть начальным проявлением пневмонии. </w:t>
      </w:r>
    </w:p>
    <w:p w14:paraId="6C6207F3" w14:textId="77777777" w:rsidR="006F27D1" w:rsidRDefault="006F27D1" w:rsidP="008C1767">
      <w:pPr>
        <w:widowControl/>
        <w:numPr>
          <w:ilvl w:val="0"/>
          <w:numId w:val="52"/>
        </w:numPr>
        <w:tabs>
          <w:tab w:val="left" w:pos="0"/>
          <w:tab w:val="left" w:pos="567"/>
        </w:tabs>
        <w:autoSpaceDE/>
        <w:autoSpaceDN/>
        <w:adjustRightInd/>
        <w:ind w:left="0" w:firstLine="0"/>
        <w:rPr>
          <w:szCs w:val="24"/>
        </w:rPr>
      </w:pPr>
      <w:r w:rsidRPr="00DB1FCB">
        <w:rPr>
          <w:szCs w:val="24"/>
        </w:rPr>
        <w:t xml:space="preserve">Тщательная пальпация живота. Первые симптомы псевдомембранозного колита — это появление боли или «урчание» при пальпации в правой подвздошной </w:t>
      </w:r>
      <w:r>
        <w:rPr>
          <w:szCs w:val="24"/>
        </w:rPr>
        <w:t>области (область слепой кишки).</w:t>
      </w:r>
    </w:p>
    <w:p w14:paraId="07D7D809" w14:textId="77777777" w:rsidR="006F27D1" w:rsidRPr="00DB1FCB" w:rsidRDefault="006F27D1" w:rsidP="006F27D1">
      <w:pPr>
        <w:tabs>
          <w:tab w:val="left" w:pos="0"/>
          <w:tab w:val="left" w:pos="567"/>
        </w:tabs>
        <w:rPr>
          <w:szCs w:val="24"/>
        </w:rPr>
      </w:pPr>
    </w:p>
    <w:p w14:paraId="7E879454" w14:textId="77777777" w:rsidR="006F27D1" w:rsidRPr="00997857" w:rsidRDefault="006F27D1" w:rsidP="006F27D1">
      <w:pPr>
        <w:pStyle w:val="afff3"/>
        <w:ind w:left="0"/>
        <w:rPr>
          <w:b/>
          <w:i/>
          <w:szCs w:val="24"/>
        </w:rPr>
      </w:pPr>
      <w:r w:rsidRPr="00997857">
        <w:rPr>
          <w:b/>
          <w:i/>
          <w:szCs w:val="24"/>
        </w:rPr>
        <w:t>Микробиологические исследования</w:t>
      </w:r>
    </w:p>
    <w:p w14:paraId="32524A29" w14:textId="77777777" w:rsidR="006F27D1" w:rsidRPr="00997857" w:rsidRDefault="006F27D1" w:rsidP="006F27D1">
      <w:pPr>
        <w:pStyle w:val="afff3"/>
        <w:ind w:left="0"/>
        <w:rPr>
          <w:i/>
          <w:szCs w:val="24"/>
        </w:rPr>
      </w:pPr>
      <w:r w:rsidRPr="00997857">
        <w:rPr>
          <w:i/>
          <w:szCs w:val="24"/>
        </w:rPr>
        <w:t>Микробиологическое исследование крови</w:t>
      </w:r>
    </w:p>
    <w:p w14:paraId="19F3D340" w14:textId="77777777" w:rsidR="006F27D1" w:rsidRPr="00DB1FCB" w:rsidRDefault="006F27D1" w:rsidP="008C1767">
      <w:pPr>
        <w:widowControl/>
        <w:numPr>
          <w:ilvl w:val="0"/>
          <w:numId w:val="91"/>
        </w:numPr>
        <w:tabs>
          <w:tab w:val="left" w:pos="0"/>
          <w:tab w:val="left" w:pos="567"/>
        </w:tabs>
        <w:autoSpaceDE/>
        <w:autoSpaceDN/>
        <w:adjustRightInd/>
        <w:ind w:left="0" w:firstLine="0"/>
        <w:rPr>
          <w:szCs w:val="24"/>
        </w:rPr>
      </w:pPr>
      <w:r w:rsidRPr="00DB1FCB">
        <w:rPr>
          <w:szCs w:val="24"/>
        </w:rPr>
        <w:t xml:space="preserve">Показания — температура ≥ 38°С или наличие септикопиемических очагов на коже. </w:t>
      </w:r>
    </w:p>
    <w:p w14:paraId="39FBF540" w14:textId="77777777" w:rsidR="006F27D1" w:rsidRPr="007A7B76" w:rsidRDefault="006F27D1" w:rsidP="008C1767">
      <w:pPr>
        <w:widowControl/>
        <w:numPr>
          <w:ilvl w:val="0"/>
          <w:numId w:val="87"/>
        </w:numPr>
        <w:tabs>
          <w:tab w:val="left" w:pos="0"/>
          <w:tab w:val="left" w:pos="567"/>
        </w:tabs>
        <w:autoSpaceDE/>
        <w:autoSpaceDN/>
        <w:adjustRightInd/>
        <w:ind w:left="0" w:firstLine="0"/>
        <w:rPr>
          <w:szCs w:val="24"/>
        </w:rPr>
      </w:pPr>
      <w:r w:rsidRPr="00DB1FCB">
        <w:rPr>
          <w:szCs w:val="24"/>
        </w:rPr>
        <w:t xml:space="preserve">Кровь из вены берут до введения антибиотиков в два флакона (аэробы/анаэробы или аэробы/аэробы) одновременно из вены и из ЦВК или из разных вен; при перитоните или абдоминальной операции в два разных флакона (для аэробов и для анаэробов); при бактериальном эндокардите — 3 раза с интервалом 1—2 часа; при подозрении на катетер-ассоциированную инфекцию — одновременно из вены и из ЦВК во флаконы для автоматического бактериологического анализатора гемокультур (Bactek или другие автоматические анализаторы). </w:t>
      </w:r>
      <w:r w:rsidRPr="007A7B76">
        <w:rPr>
          <w:szCs w:val="24"/>
        </w:rPr>
        <w:t xml:space="preserve">На основании разницы во времени (2 часа и более) появления роста микроорганизмов можно предположить инфицирование венозного катетера. При катетер-ассоциированной инфекции положительная гемокультура из ЦВК опережает на 2 часа и более положительную гемокультуру из вены. </w:t>
      </w:r>
    </w:p>
    <w:p w14:paraId="11FC582B" w14:textId="77777777" w:rsidR="006F27D1" w:rsidRPr="00DB1FCB" w:rsidRDefault="006F27D1" w:rsidP="008C1767">
      <w:pPr>
        <w:widowControl/>
        <w:numPr>
          <w:ilvl w:val="0"/>
          <w:numId w:val="87"/>
        </w:numPr>
        <w:tabs>
          <w:tab w:val="left" w:pos="0"/>
          <w:tab w:val="left" w:pos="567"/>
        </w:tabs>
        <w:autoSpaceDE/>
        <w:autoSpaceDN/>
        <w:adjustRightInd/>
        <w:ind w:left="0" w:firstLine="0"/>
        <w:rPr>
          <w:szCs w:val="24"/>
        </w:rPr>
      </w:pPr>
      <w:r w:rsidRPr="00DB1FCB">
        <w:rPr>
          <w:szCs w:val="24"/>
        </w:rPr>
        <w:t xml:space="preserve">Взятие крови для микробиологического исследования следует проводить в период повышения температуры (≥ 38°С) с максимальным соблюдением правил асептики, чтобы исключить вероятность контаминации культуральной среды микробами с кожи. Медсестра должна проводить взятие крови в перчатках и в маске; кожа больного в месте венепункции тщательно обрабатывается дезинфицирующим раствором (дезинфицирующий раствор должен высохнуть); после обработки кожи дезинфицирующим раствором не проводят повторную пальпацию вены для определения места венепункции. </w:t>
      </w:r>
    </w:p>
    <w:p w14:paraId="18CF1AC7" w14:textId="77777777" w:rsidR="006F27D1" w:rsidRPr="00DB1FCB" w:rsidRDefault="006F27D1" w:rsidP="008C1767">
      <w:pPr>
        <w:widowControl/>
        <w:numPr>
          <w:ilvl w:val="0"/>
          <w:numId w:val="87"/>
        </w:numPr>
        <w:tabs>
          <w:tab w:val="left" w:pos="0"/>
          <w:tab w:val="left" w:pos="567"/>
        </w:tabs>
        <w:autoSpaceDE/>
        <w:autoSpaceDN/>
        <w:adjustRightInd/>
        <w:ind w:left="0" w:firstLine="0"/>
        <w:rPr>
          <w:szCs w:val="24"/>
        </w:rPr>
      </w:pPr>
      <w:r w:rsidRPr="00DB1FCB">
        <w:rPr>
          <w:szCs w:val="24"/>
        </w:rPr>
        <w:t xml:space="preserve">Крайне важным является взятие достаточного количества крови для гемокультуры – за одно исследование у взрослых суммарно берут 20-30 мл крови в 2-3 флакона (по 10 мл каждый флакон). </w:t>
      </w:r>
    </w:p>
    <w:p w14:paraId="5C42FDC3" w14:textId="77777777" w:rsidR="006F27D1" w:rsidRPr="00DB1FCB" w:rsidRDefault="006F27D1" w:rsidP="008C1767">
      <w:pPr>
        <w:widowControl/>
        <w:numPr>
          <w:ilvl w:val="0"/>
          <w:numId w:val="87"/>
        </w:numPr>
        <w:tabs>
          <w:tab w:val="left" w:pos="0"/>
          <w:tab w:val="left" w:pos="567"/>
        </w:tabs>
        <w:autoSpaceDE/>
        <w:autoSpaceDN/>
        <w:adjustRightInd/>
        <w:ind w:left="0" w:firstLine="0"/>
        <w:rPr>
          <w:szCs w:val="24"/>
        </w:rPr>
      </w:pPr>
      <w:r w:rsidRPr="00DB1FCB">
        <w:rPr>
          <w:szCs w:val="24"/>
        </w:rPr>
        <w:lastRenderedPageBreak/>
        <w:t>Не направляют в лабораторию на исследование гемокультуру и</w:t>
      </w:r>
      <w:r>
        <w:rPr>
          <w:szCs w:val="24"/>
        </w:rPr>
        <w:t>з ЦВК без гемокультуры из вены.</w:t>
      </w:r>
    </w:p>
    <w:p w14:paraId="110E07E5" w14:textId="77777777" w:rsidR="006F27D1" w:rsidRPr="00DB1FCB" w:rsidRDefault="006F27D1" w:rsidP="008C1767">
      <w:pPr>
        <w:widowControl/>
        <w:numPr>
          <w:ilvl w:val="0"/>
          <w:numId w:val="87"/>
        </w:numPr>
        <w:tabs>
          <w:tab w:val="left" w:pos="0"/>
          <w:tab w:val="left" w:pos="567"/>
        </w:tabs>
        <w:autoSpaceDE/>
        <w:autoSpaceDN/>
        <w:adjustRightInd/>
        <w:ind w:left="0" w:firstLine="0"/>
        <w:rPr>
          <w:szCs w:val="24"/>
        </w:rPr>
      </w:pPr>
      <w:r w:rsidRPr="00DB1FCB">
        <w:rPr>
          <w:szCs w:val="24"/>
        </w:rPr>
        <w:t>Нельзя флаконы с гемок</w:t>
      </w:r>
      <w:r>
        <w:rPr>
          <w:szCs w:val="24"/>
        </w:rPr>
        <w:t>ультурой ставить в холодильник.</w:t>
      </w:r>
    </w:p>
    <w:p w14:paraId="62519ECD" w14:textId="77777777" w:rsidR="006F27D1" w:rsidRPr="00DB1FCB" w:rsidRDefault="006F27D1" w:rsidP="006F27D1">
      <w:pPr>
        <w:tabs>
          <w:tab w:val="left" w:pos="0"/>
          <w:tab w:val="left" w:pos="567"/>
        </w:tabs>
        <w:ind w:firstLine="567"/>
        <w:rPr>
          <w:szCs w:val="24"/>
        </w:rPr>
      </w:pPr>
      <w:r w:rsidRPr="00DB1FCB">
        <w:rPr>
          <w:i/>
          <w:szCs w:val="24"/>
        </w:rPr>
        <w:t>Примечание.</w:t>
      </w:r>
      <w:r w:rsidRPr="00DB1FCB">
        <w:rPr>
          <w:szCs w:val="24"/>
        </w:rPr>
        <w:t xml:space="preserve"> Выделение коагулазанегативных стафилококков (основную долю которых составляет </w:t>
      </w:r>
      <w:r w:rsidRPr="00DB1FCB">
        <w:rPr>
          <w:i/>
          <w:szCs w:val="24"/>
        </w:rPr>
        <w:t>Staphylococcus epidermidis</w:t>
      </w:r>
      <w:r w:rsidRPr="00DB1FCB">
        <w:rPr>
          <w:szCs w:val="24"/>
        </w:rPr>
        <w:t xml:space="preserve">) должно быть подтверждено двумя гемокультурами, поскольку высока вероятность контаминации этими микроорганизмами исследуемых образцов крови (облигатная микрофлора). Это относится и к </w:t>
      </w:r>
      <w:r w:rsidRPr="00DB1FCB">
        <w:rPr>
          <w:i/>
          <w:szCs w:val="24"/>
        </w:rPr>
        <w:t>Corynebacterium spp</w:t>
      </w:r>
      <w:r w:rsidRPr="00DB1FCB">
        <w:rPr>
          <w:szCs w:val="24"/>
        </w:rPr>
        <w:t xml:space="preserve">. Повторное исследование проводится максимально близко по времени к первому исследованию. </w:t>
      </w:r>
    </w:p>
    <w:p w14:paraId="70460AAB" w14:textId="77777777" w:rsidR="006F27D1" w:rsidRDefault="006F27D1" w:rsidP="006F27D1">
      <w:pPr>
        <w:pStyle w:val="afff3"/>
        <w:ind w:left="0"/>
        <w:rPr>
          <w:i/>
          <w:szCs w:val="24"/>
        </w:rPr>
      </w:pPr>
    </w:p>
    <w:p w14:paraId="4A14270D" w14:textId="77777777" w:rsidR="006F27D1" w:rsidRPr="00997857" w:rsidRDefault="006F27D1" w:rsidP="006F27D1">
      <w:pPr>
        <w:pStyle w:val="afff3"/>
        <w:ind w:left="0"/>
        <w:rPr>
          <w:i/>
          <w:szCs w:val="24"/>
        </w:rPr>
      </w:pPr>
      <w:r w:rsidRPr="00997857">
        <w:rPr>
          <w:i/>
          <w:szCs w:val="24"/>
        </w:rPr>
        <w:t>Микробиологическое исследование крови, взятой одновременно из вены и из центрального венозного катетера, при подозрении на катетер-ассоциированную инфекцию</w:t>
      </w:r>
    </w:p>
    <w:p w14:paraId="022AEAFA" w14:textId="77777777" w:rsidR="006F27D1" w:rsidRPr="00DB1FCB" w:rsidRDefault="006F27D1" w:rsidP="008C1767">
      <w:pPr>
        <w:widowControl/>
        <w:numPr>
          <w:ilvl w:val="0"/>
          <w:numId w:val="88"/>
        </w:numPr>
        <w:tabs>
          <w:tab w:val="left" w:pos="0"/>
          <w:tab w:val="left" w:pos="567"/>
        </w:tabs>
        <w:autoSpaceDE/>
        <w:autoSpaceDN/>
        <w:adjustRightInd/>
        <w:ind w:left="0" w:firstLine="0"/>
        <w:rPr>
          <w:szCs w:val="24"/>
        </w:rPr>
      </w:pPr>
      <w:r w:rsidRPr="00DB1FCB">
        <w:rPr>
          <w:szCs w:val="24"/>
        </w:rPr>
        <w:t>Показания:</w:t>
      </w:r>
    </w:p>
    <w:p w14:paraId="438536B6" w14:textId="77777777" w:rsidR="006F27D1" w:rsidRPr="00DB1FCB" w:rsidRDefault="006F27D1" w:rsidP="008C1767">
      <w:pPr>
        <w:widowControl/>
        <w:numPr>
          <w:ilvl w:val="0"/>
          <w:numId w:val="89"/>
        </w:numPr>
        <w:tabs>
          <w:tab w:val="left" w:pos="0"/>
          <w:tab w:val="left" w:pos="567"/>
        </w:tabs>
        <w:autoSpaceDE/>
        <w:autoSpaceDN/>
        <w:adjustRightInd/>
        <w:ind w:left="0" w:firstLine="0"/>
        <w:rPr>
          <w:szCs w:val="24"/>
        </w:rPr>
      </w:pPr>
      <w:r w:rsidRPr="00DB1FCB">
        <w:rPr>
          <w:szCs w:val="24"/>
        </w:rPr>
        <w:t xml:space="preserve">Гиперемия (инфильтрат) в месте установки катетера. </w:t>
      </w:r>
    </w:p>
    <w:p w14:paraId="6890BF4E" w14:textId="77777777" w:rsidR="006F27D1" w:rsidRPr="00DB1FCB" w:rsidRDefault="006F27D1" w:rsidP="008C1767">
      <w:pPr>
        <w:widowControl/>
        <w:numPr>
          <w:ilvl w:val="0"/>
          <w:numId w:val="89"/>
        </w:numPr>
        <w:tabs>
          <w:tab w:val="left" w:pos="0"/>
          <w:tab w:val="left" w:pos="567"/>
        </w:tabs>
        <w:autoSpaceDE/>
        <w:autoSpaceDN/>
        <w:adjustRightInd/>
        <w:ind w:left="0" w:firstLine="0"/>
        <w:rPr>
          <w:szCs w:val="24"/>
        </w:rPr>
      </w:pPr>
      <w:r w:rsidRPr="00DB1FCB">
        <w:rPr>
          <w:szCs w:val="24"/>
        </w:rPr>
        <w:t xml:space="preserve">Повышение температуры сопряжено с инфузиями в катетер. </w:t>
      </w:r>
    </w:p>
    <w:p w14:paraId="1408065B" w14:textId="77777777" w:rsidR="006F27D1" w:rsidRPr="00DB1FCB" w:rsidRDefault="006F27D1" w:rsidP="008C1767">
      <w:pPr>
        <w:widowControl/>
        <w:numPr>
          <w:ilvl w:val="0"/>
          <w:numId w:val="89"/>
        </w:numPr>
        <w:tabs>
          <w:tab w:val="left" w:pos="0"/>
          <w:tab w:val="left" w:pos="567"/>
        </w:tabs>
        <w:autoSpaceDE/>
        <w:autoSpaceDN/>
        <w:adjustRightInd/>
        <w:ind w:left="0" w:firstLine="0"/>
        <w:rPr>
          <w:szCs w:val="24"/>
        </w:rPr>
      </w:pPr>
      <w:r w:rsidRPr="00DB1FCB">
        <w:rPr>
          <w:szCs w:val="24"/>
        </w:rPr>
        <w:t xml:space="preserve">Плохая проходимость катетера (проблемы при промывании или заборе крови из катетера). </w:t>
      </w:r>
    </w:p>
    <w:p w14:paraId="12E87D92" w14:textId="4A2321FC" w:rsidR="006F27D1" w:rsidRPr="00DB1FCB" w:rsidRDefault="006F27D1" w:rsidP="008C1767">
      <w:pPr>
        <w:widowControl/>
        <w:numPr>
          <w:ilvl w:val="0"/>
          <w:numId w:val="89"/>
        </w:numPr>
        <w:tabs>
          <w:tab w:val="left" w:pos="0"/>
          <w:tab w:val="left" w:pos="567"/>
        </w:tabs>
        <w:autoSpaceDE/>
        <w:autoSpaceDN/>
        <w:adjustRightInd/>
        <w:ind w:left="0" w:firstLine="0"/>
        <w:rPr>
          <w:szCs w:val="24"/>
        </w:rPr>
      </w:pPr>
      <w:r w:rsidRPr="00DB1FCB">
        <w:rPr>
          <w:szCs w:val="24"/>
        </w:rPr>
        <w:t xml:space="preserve">Возникновение </w:t>
      </w:r>
      <w:r w:rsidR="00E332F3" w:rsidRPr="00DB1FCB">
        <w:rPr>
          <w:szCs w:val="24"/>
        </w:rPr>
        <w:t>температуры&gt;</w:t>
      </w:r>
      <w:r w:rsidRPr="00DB1FCB">
        <w:rPr>
          <w:szCs w:val="24"/>
        </w:rPr>
        <w:t xml:space="preserve"> 38°С при восстановлении числа нейтрофилов (число </w:t>
      </w:r>
      <w:r w:rsidR="00E332F3" w:rsidRPr="00DB1FCB">
        <w:rPr>
          <w:szCs w:val="24"/>
        </w:rPr>
        <w:t>гранулоцитов&gt;</w:t>
      </w:r>
      <w:r w:rsidRPr="00DB1FCB">
        <w:rPr>
          <w:szCs w:val="24"/>
        </w:rPr>
        <w:t xml:space="preserve"> 0,5 × 10</w:t>
      </w:r>
      <w:r w:rsidRPr="00DB1FCB">
        <w:rPr>
          <w:szCs w:val="24"/>
          <w:vertAlign w:val="superscript"/>
        </w:rPr>
        <w:t>9</w:t>
      </w:r>
      <w:r w:rsidRPr="00DB1FCB">
        <w:rPr>
          <w:szCs w:val="24"/>
        </w:rPr>
        <w:t xml:space="preserve"> /л). </w:t>
      </w:r>
    </w:p>
    <w:p w14:paraId="7C25F977" w14:textId="472B3627" w:rsidR="006F27D1" w:rsidRPr="00DB1FCB" w:rsidRDefault="006F27D1" w:rsidP="008C1767">
      <w:pPr>
        <w:widowControl/>
        <w:numPr>
          <w:ilvl w:val="0"/>
          <w:numId w:val="89"/>
        </w:numPr>
        <w:tabs>
          <w:tab w:val="left" w:pos="0"/>
          <w:tab w:val="left" w:pos="567"/>
        </w:tabs>
        <w:autoSpaceDE/>
        <w:autoSpaceDN/>
        <w:adjustRightInd/>
        <w:ind w:left="0" w:firstLine="0"/>
        <w:rPr>
          <w:szCs w:val="24"/>
        </w:rPr>
      </w:pPr>
      <w:r w:rsidRPr="00DB1FCB">
        <w:rPr>
          <w:szCs w:val="24"/>
        </w:rPr>
        <w:t xml:space="preserve">Возникновение </w:t>
      </w:r>
      <w:r w:rsidR="00E332F3" w:rsidRPr="00DB1FCB">
        <w:rPr>
          <w:szCs w:val="24"/>
        </w:rPr>
        <w:t>температуры&gt;</w:t>
      </w:r>
      <w:r w:rsidRPr="00DB1FCB">
        <w:rPr>
          <w:szCs w:val="24"/>
        </w:rPr>
        <w:t xml:space="preserve"> 38°С вне нейтропении (число </w:t>
      </w:r>
      <w:r w:rsidR="00E332F3" w:rsidRPr="00DB1FCB">
        <w:rPr>
          <w:szCs w:val="24"/>
        </w:rPr>
        <w:t>гранулоцитов&gt;</w:t>
      </w:r>
      <w:r w:rsidRPr="00DB1FCB">
        <w:rPr>
          <w:szCs w:val="24"/>
        </w:rPr>
        <w:t xml:space="preserve"> 0,5 × 10</w:t>
      </w:r>
      <w:r w:rsidRPr="00DB1FCB">
        <w:rPr>
          <w:szCs w:val="24"/>
          <w:vertAlign w:val="superscript"/>
        </w:rPr>
        <w:t>9</w:t>
      </w:r>
      <w:r w:rsidRPr="00DB1FCB">
        <w:rPr>
          <w:szCs w:val="24"/>
        </w:rPr>
        <w:t xml:space="preserve"> /л) и наличие центрального венозного катетера, давность установки которого ≥ 7 дней. </w:t>
      </w:r>
    </w:p>
    <w:p w14:paraId="57E0499C" w14:textId="77777777" w:rsidR="006F27D1" w:rsidRPr="00DB1FCB" w:rsidRDefault="006F27D1" w:rsidP="006F27D1">
      <w:pPr>
        <w:tabs>
          <w:tab w:val="left" w:pos="0"/>
          <w:tab w:val="left" w:pos="567"/>
        </w:tabs>
        <w:rPr>
          <w:szCs w:val="24"/>
        </w:rPr>
      </w:pPr>
      <w:r w:rsidRPr="00DB1FCB">
        <w:rPr>
          <w:i/>
          <w:szCs w:val="24"/>
        </w:rPr>
        <w:t>Примечание.</w:t>
      </w:r>
      <w:r w:rsidRPr="00DB1FCB">
        <w:rPr>
          <w:szCs w:val="24"/>
        </w:rPr>
        <w:t xml:space="preserve"> Чаще всего катетер-ассоциированная инфекция развивается вне периода нейтропении или в период восстановления числа нейтрофилов. </w:t>
      </w:r>
    </w:p>
    <w:p w14:paraId="5274B76B" w14:textId="77777777" w:rsidR="006F27D1" w:rsidRPr="00DB1FCB" w:rsidRDefault="006F27D1" w:rsidP="008C1767">
      <w:pPr>
        <w:widowControl/>
        <w:numPr>
          <w:ilvl w:val="0"/>
          <w:numId w:val="90"/>
        </w:numPr>
        <w:tabs>
          <w:tab w:val="left" w:pos="0"/>
          <w:tab w:val="left" w:pos="567"/>
        </w:tabs>
        <w:autoSpaceDE/>
        <w:autoSpaceDN/>
        <w:adjustRightInd/>
        <w:ind w:left="0" w:firstLine="0"/>
        <w:rPr>
          <w:szCs w:val="24"/>
        </w:rPr>
      </w:pPr>
      <w:r w:rsidRPr="00DB1FCB">
        <w:rPr>
          <w:szCs w:val="24"/>
        </w:rPr>
        <w:t xml:space="preserve">При сохраняющейся температуре (≥ 38°С) посевы крови проводят каждые 4—5 дней. </w:t>
      </w:r>
    </w:p>
    <w:p w14:paraId="62AD643A" w14:textId="77777777" w:rsidR="006F27D1" w:rsidRDefault="006F27D1" w:rsidP="006F27D1">
      <w:pPr>
        <w:tabs>
          <w:tab w:val="left" w:pos="0"/>
          <w:tab w:val="left" w:pos="567"/>
        </w:tabs>
        <w:jc w:val="center"/>
        <w:rPr>
          <w:b/>
          <w:szCs w:val="24"/>
        </w:rPr>
      </w:pPr>
    </w:p>
    <w:p w14:paraId="30EAF58A" w14:textId="77777777" w:rsidR="006F27D1" w:rsidRPr="00997857" w:rsidRDefault="006F27D1" w:rsidP="006F27D1">
      <w:pPr>
        <w:pStyle w:val="afff3"/>
        <w:ind w:left="0"/>
        <w:rPr>
          <w:i/>
          <w:szCs w:val="24"/>
        </w:rPr>
      </w:pPr>
      <w:r w:rsidRPr="00997857">
        <w:rPr>
          <w:i/>
          <w:szCs w:val="24"/>
        </w:rPr>
        <w:t>Микробиологическое исследование центрального внутривенного катетера</w:t>
      </w:r>
    </w:p>
    <w:p w14:paraId="40DA7B43" w14:textId="77777777" w:rsidR="006F27D1" w:rsidRPr="00DB1FCB" w:rsidRDefault="006F27D1" w:rsidP="006F27D1">
      <w:pPr>
        <w:tabs>
          <w:tab w:val="left" w:pos="0"/>
          <w:tab w:val="left" w:pos="567"/>
        </w:tabs>
        <w:rPr>
          <w:szCs w:val="24"/>
        </w:rPr>
      </w:pPr>
      <w:r w:rsidRPr="00DB1FCB">
        <w:rPr>
          <w:szCs w:val="24"/>
        </w:rPr>
        <w:t>Катетер удаляют и направляют на исследование в бактериологическую лабораторию.</w:t>
      </w:r>
    </w:p>
    <w:p w14:paraId="18B781CC" w14:textId="77777777" w:rsidR="006F27D1" w:rsidRPr="00DB1FCB" w:rsidRDefault="006F27D1" w:rsidP="008C1767">
      <w:pPr>
        <w:widowControl/>
        <w:numPr>
          <w:ilvl w:val="0"/>
          <w:numId w:val="90"/>
        </w:numPr>
        <w:tabs>
          <w:tab w:val="left" w:pos="0"/>
          <w:tab w:val="left" w:pos="567"/>
        </w:tabs>
        <w:autoSpaceDE/>
        <w:autoSpaceDN/>
        <w:adjustRightInd/>
        <w:ind w:left="0" w:firstLine="0"/>
        <w:rPr>
          <w:szCs w:val="24"/>
        </w:rPr>
      </w:pPr>
      <w:r w:rsidRPr="00DB1FCB">
        <w:rPr>
          <w:szCs w:val="24"/>
        </w:rPr>
        <w:t>Показания:</w:t>
      </w:r>
    </w:p>
    <w:p w14:paraId="52FB3B63" w14:textId="77777777" w:rsidR="006F27D1" w:rsidRPr="00DB1FCB" w:rsidRDefault="006F27D1" w:rsidP="008C1767">
      <w:pPr>
        <w:widowControl/>
        <w:numPr>
          <w:ilvl w:val="0"/>
          <w:numId w:val="92"/>
        </w:numPr>
        <w:tabs>
          <w:tab w:val="left" w:pos="0"/>
          <w:tab w:val="left" w:pos="567"/>
        </w:tabs>
        <w:autoSpaceDE/>
        <w:autoSpaceDN/>
        <w:adjustRightInd/>
        <w:ind w:left="0" w:firstLine="0"/>
        <w:rPr>
          <w:szCs w:val="24"/>
        </w:rPr>
      </w:pPr>
      <w:r w:rsidRPr="00DB1FCB">
        <w:rPr>
          <w:szCs w:val="24"/>
        </w:rPr>
        <w:t xml:space="preserve">Подозрение на катетер-ассоциированную инфекцию. </w:t>
      </w:r>
    </w:p>
    <w:p w14:paraId="0B221B5C" w14:textId="77777777" w:rsidR="006F27D1" w:rsidRPr="00DB1FCB" w:rsidRDefault="006F27D1" w:rsidP="008C1767">
      <w:pPr>
        <w:widowControl/>
        <w:numPr>
          <w:ilvl w:val="0"/>
          <w:numId w:val="92"/>
        </w:numPr>
        <w:tabs>
          <w:tab w:val="left" w:pos="0"/>
          <w:tab w:val="left" w:pos="567"/>
        </w:tabs>
        <w:autoSpaceDE/>
        <w:autoSpaceDN/>
        <w:adjustRightInd/>
        <w:ind w:left="0" w:firstLine="0"/>
        <w:rPr>
          <w:szCs w:val="24"/>
        </w:rPr>
      </w:pPr>
      <w:r w:rsidRPr="00DB1FCB">
        <w:rPr>
          <w:szCs w:val="24"/>
        </w:rPr>
        <w:t xml:space="preserve">Выделение дрожжевых или мицелиальных грибов из крови. </w:t>
      </w:r>
    </w:p>
    <w:p w14:paraId="36805C75" w14:textId="77777777" w:rsidR="006F27D1" w:rsidRPr="00DB1FCB" w:rsidRDefault="006F27D1" w:rsidP="008C1767">
      <w:pPr>
        <w:widowControl/>
        <w:numPr>
          <w:ilvl w:val="0"/>
          <w:numId w:val="92"/>
        </w:numPr>
        <w:tabs>
          <w:tab w:val="left" w:pos="0"/>
          <w:tab w:val="left" w:pos="567"/>
        </w:tabs>
        <w:autoSpaceDE/>
        <w:autoSpaceDN/>
        <w:adjustRightInd/>
        <w:ind w:left="0" w:firstLine="0"/>
        <w:rPr>
          <w:szCs w:val="24"/>
        </w:rPr>
      </w:pPr>
      <w:r w:rsidRPr="00DB1FCB">
        <w:rPr>
          <w:szCs w:val="24"/>
        </w:rPr>
        <w:t xml:space="preserve">Перевод больного из другого стационара с ЦВК. </w:t>
      </w:r>
    </w:p>
    <w:p w14:paraId="7567CBA4" w14:textId="77777777" w:rsidR="006F27D1" w:rsidRPr="00DB1FCB" w:rsidRDefault="006F27D1" w:rsidP="008C1767">
      <w:pPr>
        <w:widowControl/>
        <w:numPr>
          <w:ilvl w:val="0"/>
          <w:numId w:val="92"/>
        </w:numPr>
        <w:tabs>
          <w:tab w:val="left" w:pos="0"/>
          <w:tab w:val="left" w:pos="567"/>
        </w:tabs>
        <w:autoSpaceDE/>
        <w:autoSpaceDN/>
        <w:adjustRightInd/>
        <w:ind w:left="0" w:firstLine="0"/>
        <w:rPr>
          <w:szCs w:val="24"/>
        </w:rPr>
      </w:pPr>
      <w:r w:rsidRPr="00DB1FCB">
        <w:rPr>
          <w:szCs w:val="24"/>
        </w:rPr>
        <w:t xml:space="preserve">Восстановление числа гранулоцитов у больных сепсисом, обусловленным грамотрицательными бактериями. </w:t>
      </w:r>
    </w:p>
    <w:p w14:paraId="29FC5C4C" w14:textId="77777777" w:rsidR="006F27D1" w:rsidRPr="00DB1FCB" w:rsidRDefault="006F27D1" w:rsidP="006F27D1">
      <w:pPr>
        <w:tabs>
          <w:tab w:val="left" w:pos="0"/>
          <w:tab w:val="left" w:pos="567"/>
        </w:tabs>
        <w:rPr>
          <w:szCs w:val="24"/>
        </w:rPr>
      </w:pPr>
      <w:r w:rsidRPr="00DB1FCB">
        <w:rPr>
          <w:i/>
          <w:szCs w:val="24"/>
        </w:rPr>
        <w:t>Примечание.</w:t>
      </w:r>
      <w:r w:rsidRPr="00DB1FCB">
        <w:rPr>
          <w:szCs w:val="24"/>
        </w:rPr>
        <w:t xml:space="preserve"> Если больной переведен из другого стационара с ЦВК, то катетер удаляют в день поступления в др</w:t>
      </w:r>
      <w:r>
        <w:rPr>
          <w:szCs w:val="24"/>
        </w:rPr>
        <w:t>угую клинику.</w:t>
      </w:r>
    </w:p>
    <w:p w14:paraId="516DA40E" w14:textId="77777777" w:rsidR="006F27D1" w:rsidRPr="00DB1FCB" w:rsidRDefault="006F27D1" w:rsidP="008C1767">
      <w:pPr>
        <w:widowControl/>
        <w:numPr>
          <w:ilvl w:val="0"/>
          <w:numId w:val="93"/>
        </w:numPr>
        <w:tabs>
          <w:tab w:val="left" w:pos="0"/>
          <w:tab w:val="left" w:pos="567"/>
        </w:tabs>
        <w:autoSpaceDE/>
        <w:autoSpaceDN/>
        <w:adjustRightInd/>
        <w:ind w:left="0" w:firstLine="0"/>
        <w:rPr>
          <w:szCs w:val="24"/>
        </w:rPr>
      </w:pPr>
      <w:r w:rsidRPr="00DB1FCB">
        <w:rPr>
          <w:szCs w:val="24"/>
        </w:rPr>
        <w:lastRenderedPageBreak/>
        <w:t xml:space="preserve">Для бактериологического исследования используется асептически удаленный дистальный отрезок катетера длиной 5—6 см. Удаленный отрезок катетера кладут в чашку Петри или другую стерильную емкость и сразу же доставляют в лабораторию для исследования. Хранение и последующее исследование удаленного катетера недопустимо. </w:t>
      </w:r>
    </w:p>
    <w:p w14:paraId="763B7BC2" w14:textId="77777777" w:rsidR="006F27D1" w:rsidRPr="00DB1FCB" w:rsidRDefault="006F27D1" w:rsidP="008C1767">
      <w:pPr>
        <w:widowControl/>
        <w:numPr>
          <w:ilvl w:val="0"/>
          <w:numId w:val="93"/>
        </w:numPr>
        <w:tabs>
          <w:tab w:val="left" w:pos="0"/>
          <w:tab w:val="left" w:pos="567"/>
        </w:tabs>
        <w:autoSpaceDE/>
        <w:autoSpaceDN/>
        <w:adjustRightInd/>
        <w:ind w:left="0" w:firstLine="0"/>
        <w:rPr>
          <w:szCs w:val="24"/>
        </w:rPr>
      </w:pPr>
      <w:r w:rsidRPr="00DB1FCB">
        <w:rPr>
          <w:szCs w:val="24"/>
        </w:rPr>
        <w:t>Исследование проводят полуколичественным (метод Маки) или количественным методом. Диагностически значимым (подтверждает инфицирование катетера) при полуколичественном исследовании является выделение микроорганизмов в количестве ≥ 15 КОЕ, при количественном — ≥ 10</w:t>
      </w:r>
      <w:r w:rsidRPr="00DB1FCB">
        <w:rPr>
          <w:szCs w:val="24"/>
          <w:vertAlign w:val="superscript"/>
        </w:rPr>
        <w:t>3</w:t>
      </w:r>
      <w:r w:rsidRPr="00DB1FCB">
        <w:rPr>
          <w:szCs w:val="24"/>
        </w:rPr>
        <w:t xml:space="preserve"> КОЕ/мл. Для постановки диагноза катетер-ассоциированной инфекции, кроме выделения микроорганизмов в диагностически значимых количествах при исследовании удаленного катетера, необходимо выделение того же микроорганизма из крови. </w:t>
      </w:r>
    </w:p>
    <w:p w14:paraId="6307B70A" w14:textId="77777777" w:rsidR="006F27D1" w:rsidRPr="00DB1FCB" w:rsidRDefault="006F27D1" w:rsidP="008C1767">
      <w:pPr>
        <w:widowControl/>
        <w:numPr>
          <w:ilvl w:val="0"/>
          <w:numId w:val="93"/>
        </w:numPr>
        <w:tabs>
          <w:tab w:val="left" w:pos="0"/>
          <w:tab w:val="left" w:pos="567"/>
        </w:tabs>
        <w:autoSpaceDE/>
        <w:autoSpaceDN/>
        <w:adjustRightInd/>
        <w:ind w:left="0" w:firstLine="0"/>
        <w:rPr>
          <w:szCs w:val="24"/>
        </w:rPr>
      </w:pPr>
      <w:r w:rsidRPr="00DB1FCB">
        <w:rPr>
          <w:szCs w:val="24"/>
        </w:rPr>
        <w:t xml:space="preserve">При появлении признаков воспаления и отделяемого в месте установки венозного катетера необходимо провести микробиологическое исследование отделяемого, а если эти изменения сохраняются или приобретают хронический характер, выполнить исследование на наличие нетуберкулезных микобактерий. </w:t>
      </w:r>
    </w:p>
    <w:p w14:paraId="3A05D453" w14:textId="77777777" w:rsidR="006F27D1" w:rsidRPr="00DB1FCB" w:rsidRDefault="006F27D1" w:rsidP="008C1767">
      <w:pPr>
        <w:widowControl/>
        <w:numPr>
          <w:ilvl w:val="0"/>
          <w:numId w:val="93"/>
        </w:numPr>
        <w:tabs>
          <w:tab w:val="left" w:pos="0"/>
          <w:tab w:val="left" w:pos="567"/>
        </w:tabs>
        <w:autoSpaceDE/>
        <w:autoSpaceDN/>
        <w:adjustRightInd/>
        <w:ind w:left="0" w:firstLine="0"/>
        <w:rPr>
          <w:szCs w:val="24"/>
        </w:rPr>
      </w:pPr>
      <w:r w:rsidRPr="00DB1FCB">
        <w:rPr>
          <w:szCs w:val="24"/>
        </w:rPr>
        <w:t xml:space="preserve">Не проводят рутинное исследование всех удаленных катетеров. </w:t>
      </w:r>
    </w:p>
    <w:p w14:paraId="0CAF37E4" w14:textId="77777777" w:rsidR="006F27D1" w:rsidRDefault="006F27D1" w:rsidP="006F27D1">
      <w:pPr>
        <w:pStyle w:val="afff3"/>
        <w:ind w:left="0"/>
        <w:rPr>
          <w:i/>
          <w:szCs w:val="24"/>
        </w:rPr>
      </w:pPr>
    </w:p>
    <w:p w14:paraId="38FFE119" w14:textId="77777777" w:rsidR="006F27D1" w:rsidRPr="00997857" w:rsidRDefault="006F27D1" w:rsidP="006F27D1">
      <w:pPr>
        <w:pStyle w:val="afff3"/>
        <w:ind w:left="0"/>
        <w:rPr>
          <w:i/>
          <w:szCs w:val="24"/>
        </w:rPr>
      </w:pPr>
      <w:r w:rsidRPr="00997857">
        <w:rPr>
          <w:i/>
          <w:szCs w:val="24"/>
        </w:rPr>
        <w:t>Микробиологическое исследование мочи</w:t>
      </w:r>
    </w:p>
    <w:p w14:paraId="4B6B498F" w14:textId="77777777" w:rsidR="006F27D1" w:rsidRPr="00DB1FCB" w:rsidRDefault="006F27D1" w:rsidP="008C1767">
      <w:pPr>
        <w:widowControl/>
        <w:numPr>
          <w:ilvl w:val="0"/>
          <w:numId w:val="94"/>
        </w:numPr>
        <w:tabs>
          <w:tab w:val="left" w:pos="0"/>
          <w:tab w:val="left" w:pos="567"/>
        </w:tabs>
        <w:autoSpaceDE/>
        <w:autoSpaceDN/>
        <w:adjustRightInd/>
        <w:ind w:left="0" w:firstLine="0"/>
        <w:rPr>
          <w:szCs w:val="24"/>
        </w:rPr>
      </w:pPr>
      <w:r w:rsidRPr="00DB1FCB">
        <w:rPr>
          <w:szCs w:val="24"/>
        </w:rPr>
        <w:t>Показания:</w:t>
      </w:r>
    </w:p>
    <w:p w14:paraId="6DF1C5BE" w14:textId="77777777" w:rsidR="006F27D1" w:rsidRPr="00DB1FCB" w:rsidRDefault="006F27D1" w:rsidP="008C1767">
      <w:pPr>
        <w:widowControl/>
        <w:numPr>
          <w:ilvl w:val="0"/>
          <w:numId w:val="95"/>
        </w:numPr>
        <w:tabs>
          <w:tab w:val="left" w:pos="0"/>
          <w:tab w:val="left" w:pos="567"/>
        </w:tabs>
        <w:autoSpaceDE/>
        <w:autoSpaceDN/>
        <w:adjustRightInd/>
        <w:ind w:left="0" w:firstLine="0"/>
        <w:rPr>
          <w:szCs w:val="24"/>
        </w:rPr>
      </w:pPr>
      <w:r w:rsidRPr="00DB1FCB">
        <w:rPr>
          <w:szCs w:val="24"/>
        </w:rPr>
        <w:t xml:space="preserve">Симптомы инфекции мочевыводящих путей. </w:t>
      </w:r>
    </w:p>
    <w:p w14:paraId="6F3BFF35" w14:textId="77777777" w:rsidR="006F27D1" w:rsidRPr="00DB1FCB" w:rsidRDefault="006F27D1" w:rsidP="008C1767">
      <w:pPr>
        <w:widowControl/>
        <w:numPr>
          <w:ilvl w:val="0"/>
          <w:numId w:val="95"/>
        </w:numPr>
        <w:tabs>
          <w:tab w:val="left" w:pos="0"/>
          <w:tab w:val="left" w:pos="567"/>
        </w:tabs>
        <w:autoSpaceDE/>
        <w:autoSpaceDN/>
        <w:adjustRightInd/>
        <w:ind w:left="0" w:firstLine="0"/>
        <w:rPr>
          <w:szCs w:val="24"/>
        </w:rPr>
      </w:pPr>
      <w:r w:rsidRPr="00DB1FCB">
        <w:rPr>
          <w:szCs w:val="24"/>
        </w:rPr>
        <w:t xml:space="preserve">Лейкоцитурия. </w:t>
      </w:r>
    </w:p>
    <w:p w14:paraId="6BBA97C0" w14:textId="77777777" w:rsidR="006F27D1" w:rsidRPr="00DB1FCB" w:rsidRDefault="006F27D1" w:rsidP="008C1767">
      <w:pPr>
        <w:widowControl/>
        <w:numPr>
          <w:ilvl w:val="0"/>
          <w:numId w:val="95"/>
        </w:numPr>
        <w:tabs>
          <w:tab w:val="left" w:pos="0"/>
          <w:tab w:val="left" w:pos="567"/>
        </w:tabs>
        <w:autoSpaceDE/>
        <w:autoSpaceDN/>
        <w:adjustRightInd/>
        <w:ind w:left="0" w:firstLine="0"/>
        <w:rPr>
          <w:szCs w:val="24"/>
        </w:rPr>
      </w:pPr>
      <w:r w:rsidRPr="00DB1FCB">
        <w:rPr>
          <w:szCs w:val="24"/>
        </w:rPr>
        <w:t xml:space="preserve">Длительная лихорадка неясной этиологии. </w:t>
      </w:r>
    </w:p>
    <w:p w14:paraId="705C988F" w14:textId="77777777" w:rsidR="006F27D1" w:rsidRPr="00DB1FCB" w:rsidRDefault="006F27D1" w:rsidP="008C1767">
      <w:pPr>
        <w:widowControl/>
        <w:numPr>
          <w:ilvl w:val="0"/>
          <w:numId w:val="96"/>
        </w:numPr>
        <w:tabs>
          <w:tab w:val="left" w:pos="0"/>
          <w:tab w:val="left" w:pos="567"/>
        </w:tabs>
        <w:autoSpaceDE/>
        <w:autoSpaceDN/>
        <w:adjustRightInd/>
        <w:ind w:left="0" w:firstLine="0"/>
        <w:rPr>
          <w:szCs w:val="24"/>
        </w:rPr>
      </w:pPr>
      <w:r w:rsidRPr="00DB1FCB">
        <w:rPr>
          <w:szCs w:val="24"/>
        </w:rPr>
        <w:t xml:space="preserve">Для исследования направляют утреннюю среднюю порцию мочи; доставку мочи в лабораторию проводят немедленно, максимально допустимое время с момента забора до доставки в лабораторию — 2 часа. </w:t>
      </w:r>
    </w:p>
    <w:p w14:paraId="2B5590E0" w14:textId="77777777" w:rsidR="006F27D1" w:rsidRPr="00DB1FCB" w:rsidRDefault="006F27D1" w:rsidP="006F27D1">
      <w:pPr>
        <w:tabs>
          <w:tab w:val="left" w:pos="0"/>
          <w:tab w:val="left" w:pos="567"/>
        </w:tabs>
        <w:rPr>
          <w:szCs w:val="24"/>
        </w:rPr>
      </w:pPr>
      <w:r w:rsidRPr="00DB1FCB">
        <w:rPr>
          <w:i/>
          <w:szCs w:val="24"/>
        </w:rPr>
        <w:t>Примечание.</w:t>
      </w:r>
      <w:r w:rsidRPr="00DB1FCB">
        <w:rPr>
          <w:szCs w:val="24"/>
        </w:rPr>
        <w:t xml:space="preserve"> Микробиологическое исследование мочи, взятой из катетера Фоли, мочесборных мешков, не проводят из-за контаминации пластика. Исследование мочи в этих случаях проводят в день постановки мочевого катетера. Микробиологическое исследование удаленного катетера Фоли также не проводят. </w:t>
      </w:r>
    </w:p>
    <w:p w14:paraId="0CA39CA6" w14:textId="77777777" w:rsidR="006F27D1" w:rsidRPr="00A64221" w:rsidRDefault="006F27D1" w:rsidP="008C1767">
      <w:pPr>
        <w:widowControl/>
        <w:numPr>
          <w:ilvl w:val="0"/>
          <w:numId w:val="96"/>
        </w:numPr>
        <w:tabs>
          <w:tab w:val="left" w:pos="0"/>
          <w:tab w:val="left" w:pos="567"/>
        </w:tabs>
        <w:autoSpaceDE/>
        <w:autoSpaceDN/>
        <w:adjustRightInd/>
        <w:ind w:left="0" w:firstLine="0"/>
        <w:rPr>
          <w:szCs w:val="24"/>
        </w:rPr>
      </w:pPr>
      <w:r w:rsidRPr="00DB1FCB">
        <w:rPr>
          <w:szCs w:val="24"/>
        </w:rPr>
        <w:t xml:space="preserve">Бактериурия является диагностически значимой, если выделен </w:t>
      </w:r>
      <w:r w:rsidRPr="00A64221">
        <w:rPr>
          <w:szCs w:val="24"/>
        </w:rPr>
        <w:t>один микроорганизм в количестве ≥ 10</w:t>
      </w:r>
      <w:r w:rsidRPr="00A64221">
        <w:rPr>
          <w:szCs w:val="24"/>
          <w:vertAlign w:val="superscript"/>
        </w:rPr>
        <w:t>3</w:t>
      </w:r>
      <w:r w:rsidRPr="00A64221">
        <w:rPr>
          <w:szCs w:val="24"/>
        </w:rPr>
        <w:t xml:space="preserve"> КОЕ/мл. </w:t>
      </w:r>
    </w:p>
    <w:p w14:paraId="7BBD336A" w14:textId="77777777" w:rsidR="006F27D1" w:rsidRPr="00DB1FCB" w:rsidRDefault="006F27D1" w:rsidP="008C1767">
      <w:pPr>
        <w:widowControl/>
        <w:numPr>
          <w:ilvl w:val="0"/>
          <w:numId w:val="96"/>
        </w:numPr>
        <w:tabs>
          <w:tab w:val="left" w:pos="0"/>
          <w:tab w:val="left" w:pos="567"/>
        </w:tabs>
        <w:autoSpaceDE/>
        <w:autoSpaceDN/>
        <w:adjustRightInd/>
        <w:ind w:left="0" w:firstLine="0"/>
        <w:rPr>
          <w:szCs w:val="24"/>
        </w:rPr>
      </w:pPr>
      <w:r w:rsidRPr="00DB1FCB">
        <w:rPr>
          <w:szCs w:val="24"/>
        </w:rPr>
        <w:t>Если выделены два микроорганизма в количестве ≥ 10</w:t>
      </w:r>
      <w:r w:rsidRPr="00DB1FCB">
        <w:rPr>
          <w:szCs w:val="24"/>
          <w:vertAlign w:val="superscript"/>
        </w:rPr>
        <w:t>3</w:t>
      </w:r>
      <w:r w:rsidRPr="00DB1FCB">
        <w:rPr>
          <w:szCs w:val="24"/>
        </w:rPr>
        <w:t xml:space="preserve"> КОЕ/мл, то микробиологическое исследование мочи повторяют на следующий день. Повторное выделение тех же микроорганизмов (за исключением бактерий, указанных в примечании) подтверждает инфекцию мочевыводящих путей. </w:t>
      </w:r>
    </w:p>
    <w:p w14:paraId="246A62AB" w14:textId="77777777" w:rsidR="006F27D1" w:rsidRPr="00DB1FCB" w:rsidRDefault="006F27D1" w:rsidP="008C1767">
      <w:pPr>
        <w:widowControl/>
        <w:numPr>
          <w:ilvl w:val="0"/>
          <w:numId w:val="96"/>
        </w:numPr>
        <w:tabs>
          <w:tab w:val="left" w:pos="0"/>
          <w:tab w:val="left" w:pos="567"/>
        </w:tabs>
        <w:autoSpaceDE/>
        <w:autoSpaceDN/>
        <w:adjustRightInd/>
        <w:ind w:left="0" w:firstLine="0"/>
        <w:rPr>
          <w:szCs w:val="24"/>
        </w:rPr>
      </w:pPr>
      <w:r w:rsidRPr="00DB1FCB">
        <w:rPr>
          <w:szCs w:val="24"/>
        </w:rPr>
        <w:lastRenderedPageBreak/>
        <w:t xml:space="preserve">Любое количество бактерий в моче, полученной путем надлобковой пункции мочевого пузыря, является значимой бактериурией. </w:t>
      </w:r>
    </w:p>
    <w:p w14:paraId="20580906" w14:textId="77777777" w:rsidR="006F27D1" w:rsidRPr="00DB1FCB" w:rsidRDefault="006F27D1" w:rsidP="008C1767">
      <w:pPr>
        <w:widowControl/>
        <w:numPr>
          <w:ilvl w:val="0"/>
          <w:numId w:val="96"/>
        </w:numPr>
        <w:tabs>
          <w:tab w:val="left" w:pos="0"/>
          <w:tab w:val="left" w:pos="567"/>
        </w:tabs>
        <w:autoSpaceDE/>
        <w:autoSpaceDN/>
        <w:adjustRightInd/>
        <w:ind w:left="0" w:firstLine="0"/>
        <w:rPr>
          <w:szCs w:val="24"/>
        </w:rPr>
      </w:pPr>
      <w:r w:rsidRPr="00DB1FCB">
        <w:rPr>
          <w:szCs w:val="24"/>
        </w:rPr>
        <w:t>Бактериурию считают бессимптомной, если в двух последовательных образцах, взятых с интервалом более 24 часов, обнаруживается один и тот же патогенный микроорганизм в количестве ≥ 10</w:t>
      </w:r>
      <w:r w:rsidRPr="00DB1FCB">
        <w:rPr>
          <w:szCs w:val="24"/>
          <w:vertAlign w:val="superscript"/>
        </w:rPr>
        <w:t>5</w:t>
      </w:r>
      <w:r w:rsidRPr="00DB1FCB">
        <w:rPr>
          <w:szCs w:val="24"/>
        </w:rPr>
        <w:t xml:space="preserve"> КОЕ/мл. </w:t>
      </w:r>
    </w:p>
    <w:p w14:paraId="6C5EE8EB" w14:textId="77777777" w:rsidR="006F27D1" w:rsidRPr="00DB1FCB" w:rsidRDefault="006F27D1" w:rsidP="008C1767">
      <w:pPr>
        <w:widowControl/>
        <w:numPr>
          <w:ilvl w:val="0"/>
          <w:numId w:val="96"/>
        </w:numPr>
        <w:tabs>
          <w:tab w:val="left" w:pos="0"/>
          <w:tab w:val="left" w:pos="567"/>
        </w:tabs>
        <w:autoSpaceDE/>
        <w:autoSpaceDN/>
        <w:adjustRightInd/>
        <w:ind w:left="0" w:firstLine="0"/>
        <w:rPr>
          <w:i/>
          <w:szCs w:val="24"/>
        </w:rPr>
      </w:pPr>
      <w:r w:rsidRPr="00DB1FCB">
        <w:rPr>
          <w:szCs w:val="24"/>
        </w:rPr>
        <w:t xml:space="preserve">Наиболее частые возбудители инфекции мочевыводящих путей — это энтеробактерии, в составе которых преобладают </w:t>
      </w:r>
      <w:r w:rsidRPr="00DB1FCB">
        <w:rPr>
          <w:i/>
          <w:szCs w:val="24"/>
        </w:rPr>
        <w:t>Escherichia coli</w:t>
      </w:r>
      <w:r w:rsidRPr="00DB1FCB">
        <w:rPr>
          <w:szCs w:val="24"/>
        </w:rPr>
        <w:t xml:space="preserve">, далее </w:t>
      </w:r>
      <w:r w:rsidRPr="00DB1FCB">
        <w:rPr>
          <w:i/>
          <w:szCs w:val="24"/>
        </w:rPr>
        <w:t>Staphylococcus saprophyticus</w:t>
      </w:r>
      <w:r w:rsidRPr="00DB1FCB">
        <w:rPr>
          <w:szCs w:val="24"/>
        </w:rPr>
        <w:t xml:space="preserve"> (чаще у молодых женщин), </w:t>
      </w:r>
      <w:r w:rsidRPr="00DB1FCB">
        <w:rPr>
          <w:i/>
          <w:szCs w:val="24"/>
        </w:rPr>
        <w:t xml:space="preserve">Enterococcus spp., Pseudomonas aeruginosa. </w:t>
      </w:r>
    </w:p>
    <w:p w14:paraId="101A72FD" w14:textId="77777777" w:rsidR="006F27D1" w:rsidRPr="00DB1FCB" w:rsidRDefault="006F27D1" w:rsidP="008C1767">
      <w:pPr>
        <w:widowControl/>
        <w:numPr>
          <w:ilvl w:val="0"/>
          <w:numId w:val="96"/>
        </w:numPr>
        <w:tabs>
          <w:tab w:val="left" w:pos="0"/>
          <w:tab w:val="left" w:pos="567"/>
        </w:tabs>
        <w:autoSpaceDE/>
        <w:autoSpaceDN/>
        <w:adjustRightInd/>
        <w:ind w:left="0" w:firstLine="0"/>
        <w:rPr>
          <w:i/>
          <w:szCs w:val="24"/>
        </w:rPr>
      </w:pPr>
      <w:r w:rsidRPr="00DB1FCB">
        <w:rPr>
          <w:szCs w:val="24"/>
        </w:rPr>
        <w:t>При выделении из мочи коагулазанегативных стафилококков в монокультуре (≥ 10</w:t>
      </w:r>
      <w:r w:rsidRPr="00DB1FCB">
        <w:rPr>
          <w:szCs w:val="24"/>
          <w:vertAlign w:val="superscript"/>
        </w:rPr>
        <w:t>4</w:t>
      </w:r>
      <w:r w:rsidRPr="00DB1FCB">
        <w:rPr>
          <w:szCs w:val="24"/>
        </w:rPr>
        <w:t xml:space="preserve"> КОЕ/мл) проводят дополнительное исследование для идентификации </w:t>
      </w:r>
      <w:r w:rsidRPr="00DB1FCB">
        <w:rPr>
          <w:i/>
          <w:szCs w:val="24"/>
        </w:rPr>
        <w:t xml:space="preserve">Staphylococcus saprophyticus. </w:t>
      </w:r>
    </w:p>
    <w:p w14:paraId="61BA11E0" w14:textId="77777777" w:rsidR="006F27D1" w:rsidRPr="00DB1FCB" w:rsidRDefault="006F27D1" w:rsidP="008C1767">
      <w:pPr>
        <w:widowControl/>
        <w:numPr>
          <w:ilvl w:val="0"/>
          <w:numId w:val="96"/>
        </w:numPr>
        <w:tabs>
          <w:tab w:val="left" w:pos="0"/>
          <w:tab w:val="left" w:pos="567"/>
        </w:tabs>
        <w:autoSpaceDE/>
        <w:autoSpaceDN/>
        <w:adjustRightInd/>
        <w:ind w:left="0" w:firstLine="0"/>
        <w:rPr>
          <w:szCs w:val="24"/>
        </w:rPr>
      </w:pPr>
      <w:r w:rsidRPr="00DB1FCB">
        <w:rPr>
          <w:szCs w:val="24"/>
        </w:rPr>
        <w:t xml:space="preserve">Высокое содержание </w:t>
      </w:r>
      <w:r w:rsidRPr="00DB1FCB">
        <w:rPr>
          <w:i/>
          <w:szCs w:val="24"/>
        </w:rPr>
        <w:t>Staphylococcus epidermidis</w:t>
      </w:r>
      <w:r w:rsidRPr="00DB1FCB">
        <w:rPr>
          <w:szCs w:val="24"/>
        </w:rPr>
        <w:t xml:space="preserve"> (≥ 10</w:t>
      </w:r>
      <w:r w:rsidRPr="00DB1FCB">
        <w:rPr>
          <w:szCs w:val="24"/>
          <w:vertAlign w:val="superscript"/>
        </w:rPr>
        <w:t>5</w:t>
      </w:r>
      <w:r w:rsidRPr="00DB1FCB">
        <w:rPr>
          <w:szCs w:val="24"/>
        </w:rPr>
        <w:t xml:space="preserve"> КОЕ/мл) является диагностически значимым. </w:t>
      </w:r>
    </w:p>
    <w:p w14:paraId="3A4CA088" w14:textId="77777777" w:rsidR="006F27D1" w:rsidRPr="00DB1FCB" w:rsidRDefault="006F27D1" w:rsidP="008C1767">
      <w:pPr>
        <w:widowControl/>
        <w:numPr>
          <w:ilvl w:val="0"/>
          <w:numId w:val="96"/>
        </w:numPr>
        <w:tabs>
          <w:tab w:val="left" w:pos="0"/>
          <w:tab w:val="left" w:pos="567"/>
        </w:tabs>
        <w:autoSpaceDE/>
        <w:autoSpaceDN/>
        <w:adjustRightInd/>
        <w:ind w:left="0" w:firstLine="0"/>
        <w:rPr>
          <w:szCs w:val="24"/>
        </w:rPr>
      </w:pPr>
      <w:r w:rsidRPr="00DB1FCB">
        <w:rPr>
          <w:szCs w:val="24"/>
        </w:rPr>
        <w:t xml:space="preserve">Неоднократное выделение из мочи </w:t>
      </w:r>
      <w:r w:rsidRPr="00DB1FCB">
        <w:rPr>
          <w:i/>
          <w:szCs w:val="24"/>
        </w:rPr>
        <w:t>Сandida spp</w:t>
      </w:r>
      <w:r w:rsidRPr="00DB1FCB">
        <w:rPr>
          <w:szCs w:val="24"/>
        </w:rPr>
        <w:t xml:space="preserve">. у больных с фебрильной нейтропенией, не имеющих мочевого катетера, свидетельствует о высокой вероятности наличия диссеминированного инвазивного кандидоза. </w:t>
      </w:r>
    </w:p>
    <w:p w14:paraId="28B7594D" w14:textId="77777777" w:rsidR="006F27D1" w:rsidRPr="00DB1FCB" w:rsidRDefault="006F27D1" w:rsidP="006F27D1">
      <w:pPr>
        <w:tabs>
          <w:tab w:val="left" w:pos="0"/>
          <w:tab w:val="left" w:pos="567"/>
        </w:tabs>
        <w:rPr>
          <w:szCs w:val="24"/>
        </w:rPr>
      </w:pPr>
      <w:r w:rsidRPr="00DB1FCB">
        <w:rPr>
          <w:i/>
          <w:szCs w:val="24"/>
        </w:rPr>
        <w:t>Примечание.</w:t>
      </w:r>
      <w:r w:rsidRPr="00DB1FCB">
        <w:rPr>
          <w:szCs w:val="24"/>
        </w:rPr>
        <w:t xml:space="preserve"> Выделение из мочи таких микроорганизмов, как дифтероиды, стрептококки группы </w:t>
      </w:r>
      <w:r w:rsidRPr="00DB1FCB">
        <w:rPr>
          <w:i/>
          <w:szCs w:val="24"/>
        </w:rPr>
        <w:t>viridans</w:t>
      </w:r>
      <w:r w:rsidRPr="00DB1FCB">
        <w:rPr>
          <w:szCs w:val="24"/>
        </w:rPr>
        <w:t xml:space="preserve">, лактобактерии, коагулазанегативные стафилококки (исключение составляет </w:t>
      </w:r>
      <w:r w:rsidRPr="00DB1FCB">
        <w:rPr>
          <w:i/>
          <w:szCs w:val="24"/>
        </w:rPr>
        <w:t>Staphylococcus saprophyticus</w:t>
      </w:r>
      <w:r w:rsidRPr="00DB1FCB">
        <w:rPr>
          <w:szCs w:val="24"/>
        </w:rPr>
        <w:t>), свидетельствует о контаминации образцов мочи (кожа, влагалище).</w:t>
      </w:r>
    </w:p>
    <w:p w14:paraId="1CE994EC" w14:textId="77777777" w:rsidR="006F27D1" w:rsidRDefault="006F27D1" w:rsidP="006F27D1">
      <w:pPr>
        <w:pStyle w:val="afff3"/>
        <w:ind w:left="0"/>
        <w:rPr>
          <w:i/>
          <w:szCs w:val="24"/>
        </w:rPr>
      </w:pPr>
    </w:p>
    <w:p w14:paraId="4802F32E" w14:textId="77777777" w:rsidR="006F27D1" w:rsidRPr="00997857" w:rsidRDefault="006F27D1" w:rsidP="006F27D1">
      <w:pPr>
        <w:pStyle w:val="afff3"/>
        <w:ind w:left="0"/>
        <w:rPr>
          <w:i/>
          <w:szCs w:val="24"/>
        </w:rPr>
      </w:pPr>
      <w:r w:rsidRPr="00997857">
        <w:rPr>
          <w:i/>
          <w:szCs w:val="24"/>
        </w:rPr>
        <w:t>Микробиологическое исследование спинномозговой жидкости</w:t>
      </w:r>
    </w:p>
    <w:p w14:paraId="3438168F" w14:textId="77777777" w:rsidR="006F27D1" w:rsidRPr="00DB1FCB" w:rsidRDefault="006F27D1" w:rsidP="008C1767">
      <w:pPr>
        <w:widowControl/>
        <w:numPr>
          <w:ilvl w:val="0"/>
          <w:numId w:val="97"/>
        </w:numPr>
        <w:tabs>
          <w:tab w:val="left" w:pos="0"/>
          <w:tab w:val="left" w:pos="567"/>
        </w:tabs>
        <w:autoSpaceDE/>
        <w:autoSpaceDN/>
        <w:adjustRightInd/>
        <w:ind w:left="0" w:firstLine="0"/>
        <w:rPr>
          <w:szCs w:val="24"/>
        </w:rPr>
      </w:pPr>
      <w:r w:rsidRPr="00DB1FCB">
        <w:rPr>
          <w:szCs w:val="24"/>
        </w:rPr>
        <w:t xml:space="preserve">Показания: </w:t>
      </w:r>
    </w:p>
    <w:p w14:paraId="66C64689" w14:textId="77777777" w:rsidR="006F27D1" w:rsidRPr="00DB1FCB" w:rsidRDefault="006F27D1" w:rsidP="008C1767">
      <w:pPr>
        <w:widowControl/>
        <w:numPr>
          <w:ilvl w:val="0"/>
          <w:numId w:val="99"/>
        </w:numPr>
        <w:tabs>
          <w:tab w:val="left" w:pos="0"/>
          <w:tab w:val="left" w:pos="567"/>
        </w:tabs>
        <w:autoSpaceDE/>
        <w:autoSpaceDN/>
        <w:adjustRightInd/>
        <w:ind w:left="0" w:firstLine="0"/>
        <w:rPr>
          <w:szCs w:val="24"/>
        </w:rPr>
      </w:pPr>
      <w:r w:rsidRPr="00DB1FCB">
        <w:rPr>
          <w:szCs w:val="24"/>
        </w:rPr>
        <w:t xml:space="preserve">Симптомы менингита. </w:t>
      </w:r>
    </w:p>
    <w:p w14:paraId="5F8CE6C3" w14:textId="77777777" w:rsidR="006F27D1" w:rsidRPr="00DB1FCB" w:rsidRDefault="006F27D1" w:rsidP="008C1767">
      <w:pPr>
        <w:widowControl/>
        <w:numPr>
          <w:ilvl w:val="0"/>
          <w:numId w:val="99"/>
        </w:numPr>
        <w:tabs>
          <w:tab w:val="left" w:pos="0"/>
          <w:tab w:val="left" w:pos="567"/>
        </w:tabs>
        <w:autoSpaceDE/>
        <w:autoSpaceDN/>
        <w:adjustRightInd/>
        <w:ind w:left="0" w:firstLine="0"/>
        <w:rPr>
          <w:szCs w:val="24"/>
        </w:rPr>
      </w:pPr>
      <w:r w:rsidRPr="00DB1FCB">
        <w:rPr>
          <w:szCs w:val="24"/>
        </w:rPr>
        <w:t xml:space="preserve">«Мозговая» симптоматика на фоне лихорадки и нейтропении. </w:t>
      </w:r>
    </w:p>
    <w:p w14:paraId="3B7D9D62" w14:textId="77777777" w:rsidR="006F27D1" w:rsidRPr="00DB1FCB" w:rsidRDefault="006F27D1" w:rsidP="008C1767">
      <w:pPr>
        <w:widowControl/>
        <w:numPr>
          <w:ilvl w:val="0"/>
          <w:numId w:val="99"/>
        </w:numPr>
        <w:tabs>
          <w:tab w:val="left" w:pos="0"/>
          <w:tab w:val="left" w:pos="567"/>
        </w:tabs>
        <w:autoSpaceDE/>
        <w:autoSpaceDN/>
        <w:adjustRightInd/>
        <w:ind w:left="0" w:firstLine="0"/>
        <w:rPr>
          <w:szCs w:val="24"/>
        </w:rPr>
      </w:pPr>
      <w:r w:rsidRPr="00DB1FCB">
        <w:rPr>
          <w:szCs w:val="24"/>
        </w:rPr>
        <w:t xml:space="preserve">Обнаружение очага (очагов) в головном мозге при КТ или МРТ. </w:t>
      </w:r>
    </w:p>
    <w:p w14:paraId="5D0B8A92" w14:textId="77777777" w:rsidR="006F27D1" w:rsidRPr="00DB1FCB" w:rsidRDefault="006F27D1" w:rsidP="008C1767">
      <w:pPr>
        <w:widowControl/>
        <w:numPr>
          <w:ilvl w:val="0"/>
          <w:numId w:val="98"/>
        </w:numPr>
        <w:tabs>
          <w:tab w:val="left" w:pos="0"/>
          <w:tab w:val="left" w:pos="567"/>
        </w:tabs>
        <w:autoSpaceDE/>
        <w:autoSpaceDN/>
        <w:adjustRightInd/>
        <w:ind w:left="0" w:firstLine="0"/>
        <w:rPr>
          <w:szCs w:val="24"/>
        </w:rPr>
      </w:pPr>
      <w:r w:rsidRPr="00DB1FCB">
        <w:rPr>
          <w:szCs w:val="24"/>
        </w:rPr>
        <w:t xml:space="preserve">Доставка материала в лабораторию должна быть </w:t>
      </w:r>
      <w:r w:rsidRPr="00A64221">
        <w:rPr>
          <w:szCs w:val="24"/>
        </w:rPr>
        <w:t>немедленной</w:t>
      </w:r>
      <w:r w:rsidRPr="00DB1FCB">
        <w:rPr>
          <w:b/>
          <w:szCs w:val="24"/>
        </w:rPr>
        <w:t xml:space="preserve"> </w:t>
      </w:r>
      <w:r w:rsidRPr="00DB1FCB">
        <w:rPr>
          <w:szCs w:val="24"/>
        </w:rPr>
        <w:t xml:space="preserve">в стерильной пробирке или в шприце с закрытым наконечником. </w:t>
      </w:r>
    </w:p>
    <w:p w14:paraId="1ECFF84E" w14:textId="77777777" w:rsidR="006F27D1" w:rsidRPr="00DB1FCB" w:rsidRDefault="006F27D1" w:rsidP="008C1767">
      <w:pPr>
        <w:widowControl/>
        <w:numPr>
          <w:ilvl w:val="0"/>
          <w:numId w:val="98"/>
        </w:numPr>
        <w:tabs>
          <w:tab w:val="left" w:pos="0"/>
          <w:tab w:val="left" w:pos="567"/>
        </w:tabs>
        <w:autoSpaceDE/>
        <w:autoSpaceDN/>
        <w:adjustRightInd/>
        <w:ind w:left="0" w:firstLine="0"/>
        <w:rPr>
          <w:szCs w:val="24"/>
        </w:rPr>
      </w:pPr>
      <w:r w:rsidRPr="00DB1FCB">
        <w:rPr>
          <w:szCs w:val="24"/>
        </w:rPr>
        <w:t xml:space="preserve">Не помещают образцы СМЖ в холодильник. </w:t>
      </w:r>
    </w:p>
    <w:p w14:paraId="2B758614" w14:textId="77777777" w:rsidR="006F27D1" w:rsidRPr="00DB1FCB" w:rsidRDefault="006F27D1" w:rsidP="008C1767">
      <w:pPr>
        <w:widowControl/>
        <w:numPr>
          <w:ilvl w:val="0"/>
          <w:numId w:val="98"/>
        </w:numPr>
        <w:tabs>
          <w:tab w:val="left" w:pos="0"/>
          <w:tab w:val="left" w:pos="567"/>
        </w:tabs>
        <w:autoSpaceDE/>
        <w:autoSpaceDN/>
        <w:adjustRightInd/>
        <w:ind w:left="0" w:firstLine="0"/>
        <w:rPr>
          <w:szCs w:val="24"/>
        </w:rPr>
      </w:pPr>
      <w:r w:rsidRPr="00DB1FCB">
        <w:rPr>
          <w:szCs w:val="24"/>
        </w:rPr>
        <w:t>Для полного исследования (бактерии, грибы, антигены) необходимо 2 мл СМЖ. Минимальное количество жидкости, необходимое для микробиологического исследования, составляет 0,5-1 мл.</w:t>
      </w:r>
    </w:p>
    <w:p w14:paraId="56A57A84" w14:textId="77777777" w:rsidR="006F27D1" w:rsidRPr="00DB1FCB" w:rsidRDefault="006F27D1" w:rsidP="008C1767">
      <w:pPr>
        <w:widowControl/>
        <w:numPr>
          <w:ilvl w:val="0"/>
          <w:numId w:val="98"/>
        </w:numPr>
        <w:tabs>
          <w:tab w:val="left" w:pos="0"/>
          <w:tab w:val="left" w:pos="567"/>
        </w:tabs>
        <w:autoSpaceDE/>
        <w:autoSpaceDN/>
        <w:adjustRightInd/>
        <w:ind w:left="0" w:firstLine="0"/>
        <w:rPr>
          <w:szCs w:val="24"/>
        </w:rPr>
      </w:pPr>
      <w:r w:rsidRPr="00DB1FCB">
        <w:rPr>
          <w:szCs w:val="24"/>
        </w:rPr>
        <w:t xml:space="preserve">Не направляют в лабораторию образец СМЖ, полученный в первой пробирке пункции, поскольку имеется высокая вероятность контаминации образца микроорганизмами с кожи и, вполне определенно, будут возникать проблемы в </w:t>
      </w:r>
      <w:r w:rsidRPr="00DB1FCB">
        <w:rPr>
          <w:szCs w:val="24"/>
        </w:rPr>
        <w:lastRenderedPageBreak/>
        <w:t xml:space="preserve">интерпретации результатов исследования в случае выделения коагулозанегативных стафилококков. Первый образец СМЖ может быть использован для цитологического исследования.  </w:t>
      </w:r>
    </w:p>
    <w:p w14:paraId="2559FE36" w14:textId="77777777" w:rsidR="006F27D1" w:rsidRPr="00DB1FCB" w:rsidRDefault="006F27D1" w:rsidP="008C1767">
      <w:pPr>
        <w:widowControl/>
        <w:numPr>
          <w:ilvl w:val="0"/>
          <w:numId w:val="98"/>
        </w:numPr>
        <w:tabs>
          <w:tab w:val="left" w:pos="0"/>
          <w:tab w:val="left" w:pos="567"/>
        </w:tabs>
        <w:autoSpaceDE/>
        <w:autoSpaceDN/>
        <w:adjustRightInd/>
        <w:ind w:left="0" w:firstLine="0"/>
        <w:rPr>
          <w:szCs w:val="24"/>
        </w:rPr>
      </w:pPr>
      <w:r w:rsidRPr="00DB1FCB">
        <w:rPr>
          <w:szCs w:val="24"/>
        </w:rPr>
        <w:t>СМЖ исследуют на бактерии (микроскопия, посев, определение антигенов), микобактерии (микроскопия, определение ДНК микобактерий), вирусы (определение ДНК вирусов</w:t>
      </w:r>
      <w:r>
        <w:rPr>
          <w:szCs w:val="24"/>
        </w:rPr>
        <w:t xml:space="preserve"> герпетической группы, ЦМВ</w:t>
      </w:r>
      <w:r w:rsidRPr="00DB1FCB">
        <w:rPr>
          <w:szCs w:val="24"/>
        </w:rPr>
        <w:t xml:space="preserve">), грибы (микроскопия, посев, антигены), определяют антигены </w:t>
      </w:r>
      <w:r w:rsidRPr="00DB1FCB">
        <w:rPr>
          <w:i/>
          <w:szCs w:val="24"/>
        </w:rPr>
        <w:t>Cryptococcus spp., Aspergillus spp.</w:t>
      </w:r>
      <w:r w:rsidRPr="00DB1FCB">
        <w:rPr>
          <w:szCs w:val="24"/>
        </w:rPr>
        <w:t xml:space="preserve"> – при наличии инвазиного аспергиллеза легких или придаточных пазух носа, при необходимости — антигены бактерий (</w:t>
      </w:r>
      <w:r w:rsidRPr="00DB1FCB">
        <w:rPr>
          <w:i/>
          <w:szCs w:val="24"/>
        </w:rPr>
        <w:t>Streptococcus pneumoniae, Haemophilus influenzae, Neisseria meningitides</w:t>
      </w:r>
      <w:r w:rsidRPr="00DB1FCB">
        <w:rPr>
          <w:szCs w:val="24"/>
        </w:rPr>
        <w:t xml:space="preserve">, стрептококки группы В - </w:t>
      </w:r>
      <w:r w:rsidRPr="00DB1FCB">
        <w:rPr>
          <w:i/>
          <w:szCs w:val="24"/>
        </w:rPr>
        <w:t>Streptococcus agalactiae</w:t>
      </w:r>
      <w:r w:rsidRPr="00DB1FCB">
        <w:rPr>
          <w:szCs w:val="24"/>
        </w:rPr>
        <w:t xml:space="preserve">). У больных, имеющих очаги в головном мозге и выраженный иммунодефицит (при длительной нейтропении), следует в определять СМЖ ДНК </w:t>
      </w:r>
      <w:r w:rsidRPr="00DB1FCB">
        <w:rPr>
          <w:i/>
          <w:szCs w:val="24"/>
        </w:rPr>
        <w:t>Toxoplasma gondii</w:t>
      </w:r>
      <w:r w:rsidRPr="00DB1FCB">
        <w:rPr>
          <w:szCs w:val="24"/>
        </w:rPr>
        <w:t xml:space="preserve"> (ПЦР). </w:t>
      </w:r>
    </w:p>
    <w:p w14:paraId="087A1272" w14:textId="77777777" w:rsidR="006F27D1" w:rsidRDefault="006F27D1" w:rsidP="006F27D1">
      <w:pPr>
        <w:pStyle w:val="afff3"/>
        <w:ind w:left="0"/>
        <w:rPr>
          <w:i/>
          <w:szCs w:val="24"/>
        </w:rPr>
      </w:pPr>
    </w:p>
    <w:p w14:paraId="4E225510" w14:textId="77777777" w:rsidR="006F27D1" w:rsidRPr="00997857" w:rsidRDefault="006F27D1" w:rsidP="006F27D1">
      <w:pPr>
        <w:pStyle w:val="afff3"/>
        <w:ind w:left="0"/>
        <w:rPr>
          <w:i/>
          <w:szCs w:val="24"/>
        </w:rPr>
      </w:pPr>
      <w:r w:rsidRPr="00997857">
        <w:rPr>
          <w:i/>
          <w:szCs w:val="24"/>
        </w:rPr>
        <w:t>Микробиологическое исследование кала</w:t>
      </w:r>
    </w:p>
    <w:p w14:paraId="162622C1" w14:textId="77777777" w:rsidR="006F27D1" w:rsidRPr="00DB1FCB" w:rsidRDefault="006F27D1" w:rsidP="008C1767">
      <w:pPr>
        <w:widowControl/>
        <w:numPr>
          <w:ilvl w:val="0"/>
          <w:numId w:val="100"/>
        </w:numPr>
        <w:tabs>
          <w:tab w:val="left" w:pos="0"/>
          <w:tab w:val="left" w:pos="567"/>
        </w:tabs>
        <w:autoSpaceDE/>
        <w:autoSpaceDN/>
        <w:adjustRightInd/>
        <w:ind w:left="0" w:firstLine="0"/>
        <w:rPr>
          <w:szCs w:val="24"/>
        </w:rPr>
      </w:pPr>
      <w:r w:rsidRPr="00DB1FCB">
        <w:rPr>
          <w:szCs w:val="24"/>
        </w:rPr>
        <w:t xml:space="preserve">Показания — диарея. </w:t>
      </w:r>
    </w:p>
    <w:p w14:paraId="500FF4B8" w14:textId="77777777" w:rsidR="006F27D1" w:rsidRPr="00DB1FCB" w:rsidRDefault="006F27D1" w:rsidP="008C1767">
      <w:pPr>
        <w:widowControl/>
        <w:numPr>
          <w:ilvl w:val="0"/>
          <w:numId w:val="100"/>
        </w:numPr>
        <w:tabs>
          <w:tab w:val="left" w:pos="0"/>
          <w:tab w:val="left" w:pos="567"/>
        </w:tabs>
        <w:autoSpaceDE/>
        <w:autoSpaceDN/>
        <w:adjustRightInd/>
        <w:ind w:left="0" w:firstLine="0"/>
        <w:rPr>
          <w:i/>
          <w:szCs w:val="24"/>
        </w:rPr>
      </w:pPr>
      <w:r w:rsidRPr="00DB1FCB">
        <w:rPr>
          <w:szCs w:val="24"/>
        </w:rPr>
        <w:t xml:space="preserve">Во всех случаях следует провести тест на токсин </w:t>
      </w:r>
      <w:r w:rsidRPr="00DB1FCB">
        <w:rPr>
          <w:i/>
          <w:szCs w:val="24"/>
        </w:rPr>
        <w:t xml:space="preserve">Clostridium difficile. </w:t>
      </w:r>
    </w:p>
    <w:p w14:paraId="0F2C0FF0" w14:textId="77777777" w:rsidR="006F27D1" w:rsidRPr="00DB1FCB" w:rsidRDefault="006F27D1" w:rsidP="008C1767">
      <w:pPr>
        <w:widowControl/>
        <w:numPr>
          <w:ilvl w:val="0"/>
          <w:numId w:val="100"/>
        </w:numPr>
        <w:tabs>
          <w:tab w:val="left" w:pos="0"/>
          <w:tab w:val="left" w:pos="567"/>
        </w:tabs>
        <w:autoSpaceDE/>
        <w:autoSpaceDN/>
        <w:adjustRightInd/>
        <w:ind w:left="0" w:firstLine="0"/>
        <w:rPr>
          <w:szCs w:val="24"/>
        </w:rPr>
      </w:pPr>
      <w:r w:rsidRPr="00DB1FCB">
        <w:rPr>
          <w:szCs w:val="24"/>
        </w:rPr>
        <w:t xml:space="preserve">Если результат этого теста оказывается отрицательным, проводят количественное исследование на условно-патогенные микроорганизмы, а также на </w:t>
      </w:r>
      <w:r w:rsidRPr="00DB1FCB">
        <w:rPr>
          <w:i/>
          <w:szCs w:val="24"/>
        </w:rPr>
        <w:t>Сryptosporidium parvum, Salmonella spp., Shigella spp., Listeria spp., Yersenia spp.</w:t>
      </w:r>
      <w:r w:rsidRPr="00DB1FCB">
        <w:rPr>
          <w:szCs w:val="24"/>
        </w:rPr>
        <w:t xml:space="preserve">, вирусы (ротавирусы, аденовирусы). Энтероколиты могут быть обусловлены </w:t>
      </w:r>
      <w:r w:rsidRPr="00DB1FCB">
        <w:rPr>
          <w:i/>
          <w:szCs w:val="24"/>
        </w:rPr>
        <w:t>Candida spp</w:t>
      </w:r>
      <w:r w:rsidRPr="00DB1FCB">
        <w:rPr>
          <w:szCs w:val="24"/>
        </w:rPr>
        <w:t xml:space="preserve">. При количественном исследовании кала следует обращать внимание на выделение штаммов </w:t>
      </w:r>
      <w:r w:rsidRPr="00DB1FCB">
        <w:rPr>
          <w:i/>
          <w:szCs w:val="24"/>
        </w:rPr>
        <w:t>Pseudomonas aeruginosa</w:t>
      </w:r>
      <w:r w:rsidRPr="00DB1FCB">
        <w:rPr>
          <w:szCs w:val="24"/>
        </w:rPr>
        <w:t>, энтеробактерий (</w:t>
      </w:r>
      <w:r w:rsidRPr="00DB1FCB">
        <w:rPr>
          <w:i/>
          <w:szCs w:val="24"/>
        </w:rPr>
        <w:t>Escherichia coli, Klebsiella spp.),</w:t>
      </w:r>
      <w:r w:rsidRPr="00DB1FCB">
        <w:rPr>
          <w:szCs w:val="24"/>
        </w:rPr>
        <w:t xml:space="preserve"> продуцирующих БЛРС или карбапенемазы. У больных с персистирующей фебрильной нейтропенией и отсутствием положительной гемокультуры эти микроорганизмы могут быть причиной инфекции. </w:t>
      </w:r>
    </w:p>
    <w:p w14:paraId="286C1C8B" w14:textId="77777777" w:rsidR="006F27D1" w:rsidRPr="00DB1FCB" w:rsidRDefault="006F27D1" w:rsidP="006F27D1">
      <w:pPr>
        <w:tabs>
          <w:tab w:val="left" w:pos="0"/>
          <w:tab w:val="left" w:pos="567"/>
        </w:tabs>
        <w:rPr>
          <w:szCs w:val="24"/>
        </w:rPr>
      </w:pPr>
      <w:r w:rsidRPr="00DB1FCB">
        <w:rPr>
          <w:i/>
          <w:szCs w:val="24"/>
        </w:rPr>
        <w:t>Примечание.</w:t>
      </w:r>
      <w:r w:rsidRPr="00DB1FCB">
        <w:rPr>
          <w:szCs w:val="24"/>
        </w:rPr>
        <w:t xml:space="preserve"> Исследование на дисбактериоз кишечника у больных без диареи относится к исследованиям, которые приняты лишь в России, оно трудоемко и малоинформативно, особенно у больных вне нейтропении. </w:t>
      </w:r>
    </w:p>
    <w:p w14:paraId="568FB65E" w14:textId="77777777" w:rsidR="006F27D1" w:rsidRDefault="006F27D1" w:rsidP="006F27D1">
      <w:pPr>
        <w:pStyle w:val="afff3"/>
        <w:ind w:left="0"/>
        <w:rPr>
          <w:i/>
          <w:szCs w:val="24"/>
        </w:rPr>
      </w:pPr>
    </w:p>
    <w:p w14:paraId="625424FD" w14:textId="77777777" w:rsidR="006F27D1" w:rsidRPr="00997857" w:rsidRDefault="006F27D1" w:rsidP="006F27D1">
      <w:pPr>
        <w:pStyle w:val="afff3"/>
        <w:ind w:left="0"/>
        <w:rPr>
          <w:i/>
          <w:szCs w:val="24"/>
        </w:rPr>
      </w:pPr>
      <w:r w:rsidRPr="00997857">
        <w:rPr>
          <w:i/>
          <w:szCs w:val="24"/>
        </w:rPr>
        <w:t>Микробиологическое исследование мазка со слизистой оболочки ротоглотки</w:t>
      </w:r>
    </w:p>
    <w:p w14:paraId="511BECE1" w14:textId="77777777" w:rsidR="006F27D1" w:rsidRPr="00DB1FCB" w:rsidRDefault="006F27D1" w:rsidP="008C1767">
      <w:pPr>
        <w:widowControl/>
        <w:numPr>
          <w:ilvl w:val="0"/>
          <w:numId w:val="101"/>
        </w:numPr>
        <w:tabs>
          <w:tab w:val="left" w:pos="0"/>
          <w:tab w:val="left" w:pos="567"/>
        </w:tabs>
        <w:autoSpaceDE/>
        <w:autoSpaceDN/>
        <w:adjustRightInd/>
        <w:ind w:left="0" w:firstLine="0"/>
        <w:rPr>
          <w:szCs w:val="24"/>
        </w:rPr>
      </w:pPr>
      <w:r w:rsidRPr="00DB1FCB">
        <w:rPr>
          <w:szCs w:val="24"/>
        </w:rPr>
        <w:t xml:space="preserve">Показания — наличие признаков стоматита. </w:t>
      </w:r>
    </w:p>
    <w:p w14:paraId="375B4DF4" w14:textId="77777777" w:rsidR="006F27D1" w:rsidRPr="00DB1FCB" w:rsidRDefault="006F27D1" w:rsidP="008C1767">
      <w:pPr>
        <w:widowControl/>
        <w:numPr>
          <w:ilvl w:val="0"/>
          <w:numId w:val="101"/>
        </w:numPr>
        <w:tabs>
          <w:tab w:val="left" w:pos="0"/>
          <w:tab w:val="left" w:pos="567"/>
        </w:tabs>
        <w:autoSpaceDE/>
        <w:autoSpaceDN/>
        <w:adjustRightInd/>
        <w:ind w:left="0" w:firstLine="0"/>
        <w:rPr>
          <w:szCs w:val="24"/>
        </w:rPr>
      </w:pPr>
      <w:r w:rsidRPr="00DB1FCB">
        <w:rPr>
          <w:szCs w:val="24"/>
        </w:rPr>
        <w:t xml:space="preserve">При нейтропении обращают внимание на выделение </w:t>
      </w:r>
      <w:r w:rsidRPr="00DB1FCB">
        <w:rPr>
          <w:i/>
          <w:szCs w:val="24"/>
        </w:rPr>
        <w:t>Candida spp</w:t>
      </w:r>
      <w:r w:rsidRPr="00DB1FCB">
        <w:rPr>
          <w:szCs w:val="24"/>
        </w:rPr>
        <w:t xml:space="preserve">., грамотрицательных бактерий, особенно </w:t>
      </w:r>
      <w:r w:rsidRPr="00DB1FCB">
        <w:rPr>
          <w:i/>
          <w:szCs w:val="24"/>
        </w:rPr>
        <w:t>Pseudomonas aeruginosa</w:t>
      </w:r>
      <w:r w:rsidRPr="00DB1FCB">
        <w:rPr>
          <w:szCs w:val="24"/>
        </w:rPr>
        <w:t xml:space="preserve"> или </w:t>
      </w:r>
      <w:r w:rsidRPr="00DB1FCB">
        <w:rPr>
          <w:i/>
          <w:szCs w:val="24"/>
          <w:lang w:val="en-US"/>
        </w:rPr>
        <w:t>Stenotrophomonas</w:t>
      </w:r>
      <w:r w:rsidRPr="00DB1FCB">
        <w:rPr>
          <w:i/>
          <w:szCs w:val="24"/>
        </w:rPr>
        <w:t xml:space="preserve"> </w:t>
      </w:r>
      <w:r w:rsidRPr="00DB1FCB">
        <w:rPr>
          <w:i/>
          <w:szCs w:val="24"/>
          <w:lang w:val="en-US"/>
        </w:rPr>
        <w:t>maltophilia</w:t>
      </w:r>
      <w:r w:rsidRPr="00DB1FCB">
        <w:rPr>
          <w:szCs w:val="24"/>
        </w:rPr>
        <w:t>, энтеробактерий (</w:t>
      </w:r>
      <w:r w:rsidRPr="00DB1FCB">
        <w:rPr>
          <w:i/>
          <w:szCs w:val="24"/>
        </w:rPr>
        <w:t>Escherichia coli, Klebsiella spp</w:t>
      </w:r>
      <w:r w:rsidRPr="00DB1FCB">
        <w:rPr>
          <w:szCs w:val="24"/>
        </w:rPr>
        <w:t xml:space="preserve">.), продуцирующих БЛРС или карбапенемазы. </w:t>
      </w:r>
    </w:p>
    <w:p w14:paraId="44CA57CA" w14:textId="77777777" w:rsidR="006F27D1" w:rsidRPr="00DB1FCB" w:rsidRDefault="006F27D1" w:rsidP="008C1767">
      <w:pPr>
        <w:widowControl/>
        <w:numPr>
          <w:ilvl w:val="0"/>
          <w:numId w:val="101"/>
        </w:numPr>
        <w:tabs>
          <w:tab w:val="left" w:pos="0"/>
          <w:tab w:val="left" w:pos="567"/>
        </w:tabs>
        <w:autoSpaceDE/>
        <w:autoSpaceDN/>
        <w:adjustRightInd/>
        <w:ind w:left="0" w:firstLine="0"/>
        <w:rPr>
          <w:szCs w:val="24"/>
        </w:rPr>
      </w:pPr>
      <w:r w:rsidRPr="00DB1FCB">
        <w:rPr>
          <w:szCs w:val="24"/>
        </w:rPr>
        <w:lastRenderedPageBreak/>
        <w:t xml:space="preserve">Следует помнить, что такие бактерии, как </w:t>
      </w:r>
      <w:r w:rsidRPr="00DB1FCB">
        <w:rPr>
          <w:i/>
          <w:szCs w:val="24"/>
        </w:rPr>
        <w:t>Enterococcus spp.</w:t>
      </w:r>
      <w:r w:rsidRPr="00DB1FCB">
        <w:rPr>
          <w:szCs w:val="24"/>
        </w:rPr>
        <w:t xml:space="preserve"> и стрептококки группы </w:t>
      </w:r>
      <w:r w:rsidRPr="00DB1FCB">
        <w:rPr>
          <w:i/>
          <w:szCs w:val="24"/>
        </w:rPr>
        <w:t>viridans</w:t>
      </w:r>
      <w:r w:rsidRPr="00DB1FCB">
        <w:rPr>
          <w:szCs w:val="24"/>
        </w:rPr>
        <w:t xml:space="preserve">, являются нормальными представителями микрофлоры ротоглотки. На основании выделения этих бактерий не следует добавлять </w:t>
      </w:r>
      <w:r w:rsidRPr="00A64221">
        <w:rPr>
          <w:szCs w:val="24"/>
        </w:rPr>
        <w:t>ванкомицин</w:t>
      </w:r>
      <w:r w:rsidRPr="00DB1FCB">
        <w:rPr>
          <w:szCs w:val="24"/>
        </w:rPr>
        <w:t xml:space="preserve"> при фебрильной нейтропении в отсутствие признаков мукозита. </w:t>
      </w:r>
    </w:p>
    <w:p w14:paraId="2196CB88" w14:textId="77777777" w:rsidR="006F27D1" w:rsidRPr="00DB1FCB" w:rsidRDefault="006F27D1" w:rsidP="006F27D1">
      <w:pPr>
        <w:tabs>
          <w:tab w:val="left" w:pos="0"/>
          <w:tab w:val="left" w:pos="567"/>
        </w:tabs>
        <w:rPr>
          <w:szCs w:val="24"/>
        </w:rPr>
      </w:pPr>
      <w:r w:rsidRPr="00DB1FCB">
        <w:rPr>
          <w:i/>
          <w:szCs w:val="24"/>
        </w:rPr>
        <w:t>Примечание.</w:t>
      </w:r>
      <w:r w:rsidRPr="00DB1FCB">
        <w:rPr>
          <w:szCs w:val="24"/>
        </w:rPr>
        <w:t xml:space="preserve"> Дрожжевые грибы рода </w:t>
      </w:r>
      <w:r w:rsidRPr="00DB1FCB">
        <w:rPr>
          <w:i/>
          <w:szCs w:val="24"/>
        </w:rPr>
        <w:t>Candida</w:t>
      </w:r>
      <w:r w:rsidRPr="00DB1FCB">
        <w:rPr>
          <w:szCs w:val="24"/>
        </w:rPr>
        <w:t xml:space="preserve"> обнаруживают у 30% здоровых людей. </w:t>
      </w:r>
    </w:p>
    <w:p w14:paraId="310AF081" w14:textId="77777777" w:rsidR="006F27D1" w:rsidRDefault="006F27D1" w:rsidP="006F27D1">
      <w:pPr>
        <w:pStyle w:val="afff3"/>
        <w:ind w:left="0"/>
        <w:rPr>
          <w:i/>
          <w:szCs w:val="24"/>
        </w:rPr>
      </w:pPr>
    </w:p>
    <w:p w14:paraId="0BB96560" w14:textId="77777777" w:rsidR="006F27D1" w:rsidRPr="00997857" w:rsidRDefault="006F27D1" w:rsidP="006F27D1">
      <w:pPr>
        <w:pStyle w:val="afff3"/>
        <w:ind w:left="0"/>
        <w:rPr>
          <w:i/>
          <w:szCs w:val="24"/>
        </w:rPr>
      </w:pPr>
      <w:r w:rsidRPr="00997857">
        <w:rPr>
          <w:i/>
          <w:szCs w:val="24"/>
        </w:rPr>
        <w:t>Микробиологическое исследование материала со слизистой оболочки пищевода</w:t>
      </w:r>
    </w:p>
    <w:p w14:paraId="6272C58D" w14:textId="77777777" w:rsidR="006F27D1" w:rsidRPr="00DB1FCB" w:rsidRDefault="006F27D1" w:rsidP="008C1767">
      <w:pPr>
        <w:widowControl/>
        <w:numPr>
          <w:ilvl w:val="0"/>
          <w:numId w:val="125"/>
        </w:numPr>
        <w:tabs>
          <w:tab w:val="left" w:pos="0"/>
          <w:tab w:val="left" w:pos="567"/>
        </w:tabs>
        <w:autoSpaceDE/>
        <w:autoSpaceDN/>
        <w:adjustRightInd/>
        <w:ind w:left="0" w:firstLine="0"/>
        <w:rPr>
          <w:szCs w:val="24"/>
        </w:rPr>
      </w:pPr>
      <w:r w:rsidRPr="00DB1FCB">
        <w:rPr>
          <w:szCs w:val="24"/>
        </w:rPr>
        <w:t xml:space="preserve">Показания — боль по ходу пищевода. </w:t>
      </w:r>
    </w:p>
    <w:p w14:paraId="68119C78" w14:textId="77777777" w:rsidR="006F27D1" w:rsidRPr="00DB1FCB" w:rsidRDefault="006F27D1" w:rsidP="008C1767">
      <w:pPr>
        <w:widowControl/>
        <w:numPr>
          <w:ilvl w:val="0"/>
          <w:numId w:val="125"/>
        </w:numPr>
        <w:tabs>
          <w:tab w:val="left" w:pos="0"/>
          <w:tab w:val="left" w:pos="567"/>
        </w:tabs>
        <w:autoSpaceDE/>
        <w:autoSpaceDN/>
        <w:adjustRightInd/>
        <w:ind w:left="0" w:firstLine="0"/>
        <w:rPr>
          <w:szCs w:val="24"/>
        </w:rPr>
      </w:pPr>
      <w:r w:rsidRPr="00DB1FCB">
        <w:rPr>
          <w:szCs w:val="24"/>
        </w:rPr>
        <w:t>Выполняется эзофагоскопия (число тромбоцитов должно быть не менее 50 × 10</w:t>
      </w:r>
      <w:r w:rsidRPr="00DB1FCB">
        <w:rPr>
          <w:szCs w:val="24"/>
          <w:vertAlign w:val="superscript"/>
        </w:rPr>
        <w:t>9</w:t>
      </w:r>
      <w:r w:rsidRPr="00DB1FCB">
        <w:rPr>
          <w:szCs w:val="24"/>
        </w:rPr>
        <w:t xml:space="preserve"> /л). </w:t>
      </w:r>
    </w:p>
    <w:p w14:paraId="06AC972A" w14:textId="77777777" w:rsidR="006F27D1" w:rsidRPr="00DB1FCB" w:rsidRDefault="006F27D1" w:rsidP="008C1767">
      <w:pPr>
        <w:widowControl/>
        <w:numPr>
          <w:ilvl w:val="0"/>
          <w:numId w:val="125"/>
        </w:numPr>
        <w:tabs>
          <w:tab w:val="left" w:pos="0"/>
          <w:tab w:val="left" w:pos="567"/>
        </w:tabs>
        <w:autoSpaceDE/>
        <w:autoSpaceDN/>
        <w:adjustRightInd/>
        <w:ind w:left="0" w:firstLine="0"/>
        <w:rPr>
          <w:szCs w:val="24"/>
        </w:rPr>
      </w:pPr>
      <w:r w:rsidRPr="00DB1FCB">
        <w:rPr>
          <w:szCs w:val="24"/>
        </w:rPr>
        <w:t xml:space="preserve">Проводится соскоб со слизистой пищевода (браш-методом при нейтропении) или биопсия (вне нейтропении). </w:t>
      </w:r>
    </w:p>
    <w:p w14:paraId="262FEB7E" w14:textId="77777777" w:rsidR="006F27D1" w:rsidRPr="00DB1FCB" w:rsidRDefault="006F27D1" w:rsidP="008C1767">
      <w:pPr>
        <w:widowControl/>
        <w:numPr>
          <w:ilvl w:val="0"/>
          <w:numId w:val="125"/>
        </w:numPr>
        <w:tabs>
          <w:tab w:val="left" w:pos="0"/>
          <w:tab w:val="left" w:pos="567"/>
        </w:tabs>
        <w:autoSpaceDE/>
        <w:autoSpaceDN/>
        <w:adjustRightInd/>
        <w:ind w:left="0" w:firstLine="0"/>
        <w:rPr>
          <w:szCs w:val="24"/>
        </w:rPr>
      </w:pPr>
      <w:r w:rsidRPr="00DB1FCB">
        <w:rPr>
          <w:szCs w:val="24"/>
        </w:rPr>
        <w:t xml:space="preserve">Исследуют образцы в микробиологической (бактерии, грибы), вирусологической (ДНК вируса простого герпеса, ЦМВ) и гистологической лаборатории. </w:t>
      </w:r>
    </w:p>
    <w:p w14:paraId="176A1452" w14:textId="77777777" w:rsidR="006F27D1" w:rsidRDefault="006F27D1" w:rsidP="006F27D1">
      <w:pPr>
        <w:pStyle w:val="afff3"/>
        <w:ind w:left="0"/>
        <w:rPr>
          <w:i/>
          <w:szCs w:val="24"/>
        </w:rPr>
      </w:pPr>
    </w:p>
    <w:p w14:paraId="5B9A5592" w14:textId="77777777" w:rsidR="006F27D1" w:rsidRPr="00997857" w:rsidRDefault="006F27D1" w:rsidP="006F27D1">
      <w:pPr>
        <w:pStyle w:val="afff3"/>
        <w:ind w:left="0"/>
        <w:rPr>
          <w:i/>
          <w:szCs w:val="24"/>
        </w:rPr>
      </w:pPr>
      <w:r w:rsidRPr="00997857">
        <w:rPr>
          <w:i/>
          <w:szCs w:val="24"/>
        </w:rPr>
        <w:t>Микробиологическое исследование мазка со слизистой оболочки прямой кишки</w:t>
      </w:r>
    </w:p>
    <w:p w14:paraId="4AD19C54" w14:textId="77777777" w:rsidR="006F27D1" w:rsidRPr="00DB1FCB" w:rsidRDefault="006F27D1" w:rsidP="008C1767">
      <w:pPr>
        <w:widowControl/>
        <w:numPr>
          <w:ilvl w:val="0"/>
          <w:numId w:val="102"/>
        </w:numPr>
        <w:tabs>
          <w:tab w:val="left" w:pos="0"/>
          <w:tab w:val="left" w:pos="567"/>
        </w:tabs>
        <w:autoSpaceDE/>
        <w:autoSpaceDN/>
        <w:adjustRightInd/>
        <w:ind w:left="0" w:firstLine="0"/>
        <w:rPr>
          <w:szCs w:val="24"/>
        </w:rPr>
      </w:pPr>
      <w:r w:rsidRPr="00DB1FCB">
        <w:rPr>
          <w:szCs w:val="24"/>
        </w:rPr>
        <w:t>Показания:</w:t>
      </w:r>
    </w:p>
    <w:p w14:paraId="666717A2" w14:textId="77777777" w:rsidR="006F27D1" w:rsidRPr="00DB1FCB" w:rsidRDefault="006F27D1" w:rsidP="008C1767">
      <w:pPr>
        <w:widowControl/>
        <w:numPr>
          <w:ilvl w:val="0"/>
          <w:numId w:val="126"/>
        </w:numPr>
        <w:tabs>
          <w:tab w:val="left" w:pos="0"/>
          <w:tab w:val="left" w:pos="567"/>
        </w:tabs>
        <w:autoSpaceDE/>
        <w:autoSpaceDN/>
        <w:adjustRightInd/>
        <w:ind w:left="0" w:firstLine="0"/>
        <w:rPr>
          <w:szCs w:val="24"/>
        </w:rPr>
      </w:pPr>
      <w:r w:rsidRPr="00DB1FCB">
        <w:rPr>
          <w:szCs w:val="24"/>
        </w:rPr>
        <w:t xml:space="preserve">Воспаление или повреждение слизистой (трещина, парапроктит и др.) прямой кишки. </w:t>
      </w:r>
    </w:p>
    <w:p w14:paraId="1C0288E1" w14:textId="77777777" w:rsidR="006F27D1" w:rsidRPr="00DB1FCB" w:rsidRDefault="006F27D1" w:rsidP="008C1767">
      <w:pPr>
        <w:widowControl/>
        <w:numPr>
          <w:ilvl w:val="0"/>
          <w:numId w:val="126"/>
        </w:numPr>
        <w:tabs>
          <w:tab w:val="left" w:pos="0"/>
          <w:tab w:val="left" w:pos="567"/>
        </w:tabs>
        <w:autoSpaceDE/>
        <w:autoSpaceDN/>
        <w:adjustRightInd/>
        <w:ind w:left="0" w:firstLine="0"/>
        <w:rPr>
          <w:szCs w:val="24"/>
        </w:rPr>
      </w:pPr>
      <w:r w:rsidRPr="00DB1FCB">
        <w:rPr>
          <w:szCs w:val="24"/>
        </w:rPr>
        <w:t xml:space="preserve">У больных с фебрильной нейтропенией более 3-4 дней. </w:t>
      </w:r>
    </w:p>
    <w:p w14:paraId="2849F037" w14:textId="77777777" w:rsidR="006F27D1" w:rsidRPr="00DB1FCB" w:rsidRDefault="006F27D1" w:rsidP="008C1767">
      <w:pPr>
        <w:widowControl/>
        <w:numPr>
          <w:ilvl w:val="0"/>
          <w:numId w:val="103"/>
        </w:numPr>
        <w:tabs>
          <w:tab w:val="left" w:pos="0"/>
          <w:tab w:val="left" w:pos="567"/>
        </w:tabs>
        <w:autoSpaceDE/>
        <w:autoSpaceDN/>
        <w:adjustRightInd/>
        <w:ind w:left="0" w:firstLine="0"/>
        <w:rPr>
          <w:szCs w:val="24"/>
        </w:rPr>
      </w:pPr>
      <w:r w:rsidRPr="00DB1FCB">
        <w:rPr>
          <w:szCs w:val="24"/>
        </w:rPr>
        <w:t xml:space="preserve">На основании выделенных микроорганизмов может быть проведена коррекция антимикробной терапии при сохраняющейся фебрильной нейтропении в случаях отсутствия диагностически значимых результатов исследований из клинически значимых образцов. </w:t>
      </w:r>
    </w:p>
    <w:p w14:paraId="3791249B" w14:textId="77777777" w:rsidR="006F27D1" w:rsidRPr="00DB1FCB" w:rsidRDefault="006F27D1" w:rsidP="008C1767">
      <w:pPr>
        <w:widowControl/>
        <w:numPr>
          <w:ilvl w:val="0"/>
          <w:numId w:val="103"/>
        </w:numPr>
        <w:tabs>
          <w:tab w:val="left" w:pos="0"/>
          <w:tab w:val="left" w:pos="567"/>
        </w:tabs>
        <w:autoSpaceDE/>
        <w:autoSpaceDN/>
        <w:adjustRightInd/>
        <w:ind w:left="0" w:firstLine="0"/>
        <w:rPr>
          <w:szCs w:val="24"/>
        </w:rPr>
      </w:pPr>
      <w:r w:rsidRPr="00DB1FCB">
        <w:rPr>
          <w:szCs w:val="24"/>
        </w:rPr>
        <w:t xml:space="preserve">Обращают внимание, прежде всего на выделение полирезистентных грамотрицаетельных бактерий - </w:t>
      </w:r>
      <w:r w:rsidRPr="00DB1FCB">
        <w:rPr>
          <w:i/>
          <w:szCs w:val="24"/>
        </w:rPr>
        <w:t>Pseudomonas aeruginosa</w:t>
      </w:r>
      <w:r w:rsidRPr="00DB1FCB">
        <w:rPr>
          <w:szCs w:val="24"/>
        </w:rPr>
        <w:t>, энтеробактерий (</w:t>
      </w:r>
      <w:r w:rsidRPr="00DB1FCB">
        <w:rPr>
          <w:i/>
          <w:szCs w:val="24"/>
        </w:rPr>
        <w:t>Escherichia coli, Klebsiella spp.</w:t>
      </w:r>
      <w:r w:rsidRPr="00DB1FCB">
        <w:rPr>
          <w:szCs w:val="24"/>
        </w:rPr>
        <w:t xml:space="preserve">), продуцирующих БЛРС или карбапенемаз. </w:t>
      </w:r>
    </w:p>
    <w:p w14:paraId="563611BE" w14:textId="77777777" w:rsidR="006F27D1" w:rsidRDefault="006F27D1" w:rsidP="006F27D1">
      <w:pPr>
        <w:pStyle w:val="afff3"/>
        <w:ind w:left="0"/>
        <w:rPr>
          <w:i/>
          <w:szCs w:val="24"/>
        </w:rPr>
      </w:pPr>
    </w:p>
    <w:p w14:paraId="73539224" w14:textId="77777777" w:rsidR="006F27D1" w:rsidRPr="00997857" w:rsidRDefault="006F27D1" w:rsidP="006F27D1">
      <w:pPr>
        <w:pStyle w:val="afff3"/>
        <w:ind w:left="0"/>
        <w:rPr>
          <w:i/>
          <w:szCs w:val="24"/>
        </w:rPr>
      </w:pPr>
      <w:r w:rsidRPr="00997857">
        <w:rPr>
          <w:i/>
          <w:szCs w:val="24"/>
        </w:rPr>
        <w:t>Микробиологическое исследование со слизистой оболочки носовых ходов</w:t>
      </w:r>
    </w:p>
    <w:p w14:paraId="681A7366" w14:textId="77777777" w:rsidR="006F27D1" w:rsidRPr="00DB1FCB" w:rsidRDefault="006F27D1" w:rsidP="008C1767">
      <w:pPr>
        <w:widowControl/>
        <w:numPr>
          <w:ilvl w:val="0"/>
          <w:numId w:val="127"/>
        </w:numPr>
        <w:tabs>
          <w:tab w:val="left" w:pos="0"/>
          <w:tab w:val="left" w:pos="567"/>
        </w:tabs>
        <w:autoSpaceDE/>
        <w:autoSpaceDN/>
        <w:adjustRightInd/>
        <w:ind w:left="0" w:firstLine="0"/>
        <w:rPr>
          <w:szCs w:val="24"/>
        </w:rPr>
      </w:pPr>
      <w:r w:rsidRPr="00DB1FCB">
        <w:rPr>
          <w:szCs w:val="24"/>
        </w:rPr>
        <w:t xml:space="preserve">Показания — наличие некроза слизистой оболочки носового хода. </w:t>
      </w:r>
    </w:p>
    <w:p w14:paraId="59CA07DD" w14:textId="77777777" w:rsidR="006F27D1" w:rsidRPr="00DB1FCB" w:rsidRDefault="006F27D1" w:rsidP="008C1767">
      <w:pPr>
        <w:widowControl/>
        <w:numPr>
          <w:ilvl w:val="0"/>
          <w:numId w:val="127"/>
        </w:numPr>
        <w:tabs>
          <w:tab w:val="left" w:pos="0"/>
          <w:tab w:val="left" w:pos="567"/>
        </w:tabs>
        <w:autoSpaceDE/>
        <w:autoSpaceDN/>
        <w:adjustRightInd/>
        <w:ind w:left="0" w:firstLine="0"/>
        <w:rPr>
          <w:szCs w:val="24"/>
        </w:rPr>
      </w:pPr>
      <w:r w:rsidRPr="00DB1FCB">
        <w:rPr>
          <w:szCs w:val="24"/>
        </w:rPr>
        <w:t xml:space="preserve">Исследование проводят только на плесневые (мицелиальные) грибы. </w:t>
      </w:r>
    </w:p>
    <w:p w14:paraId="369C9422" w14:textId="77777777" w:rsidR="006F27D1" w:rsidRPr="00DB1FCB" w:rsidRDefault="006F27D1" w:rsidP="006F27D1">
      <w:pPr>
        <w:tabs>
          <w:tab w:val="left" w:pos="0"/>
          <w:tab w:val="left" w:pos="567"/>
        </w:tabs>
        <w:rPr>
          <w:szCs w:val="24"/>
        </w:rPr>
      </w:pPr>
      <w:r w:rsidRPr="00DB1FCB">
        <w:rPr>
          <w:i/>
          <w:szCs w:val="24"/>
        </w:rPr>
        <w:t>Примечание.</w:t>
      </w:r>
      <w:r w:rsidRPr="00DB1FCB">
        <w:rPr>
          <w:szCs w:val="24"/>
        </w:rPr>
        <w:t xml:space="preserve"> Рутинное исследование материала, взятого из носоглотки, ротоглотки, прямой кишки, а также посев мочи в отсутствие признаков поражения не представляет большой клинической ценности. </w:t>
      </w:r>
    </w:p>
    <w:p w14:paraId="2FEBB6F1" w14:textId="77777777" w:rsidR="006F27D1" w:rsidRDefault="006F27D1" w:rsidP="006F27D1">
      <w:pPr>
        <w:pStyle w:val="afff3"/>
        <w:ind w:left="0"/>
        <w:rPr>
          <w:i/>
          <w:szCs w:val="24"/>
        </w:rPr>
      </w:pPr>
    </w:p>
    <w:p w14:paraId="00D6062F" w14:textId="77777777" w:rsidR="006F27D1" w:rsidRPr="00997857" w:rsidRDefault="006F27D1" w:rsidP="006F27D1">
      <w:pPr>
        <w:pStyle w:val="afff3"/>
        <w:ind w:left="0"/>
        <w:rPr>
          <w:i/>
          <w:szCs w:val="24"/>
        </w:rPr>
      </w:pPr>
      <w:r w:rsidRPr="00997857">
        <w:rPr>
          <w:i/>
          <w:szCs w:val="24"/>
        </w:rPr>
        <w:t>Микробиологическое исследование биоптатов кожи</w:t>
      </w:r>
    </w:p>
    <w:p w14:paraId="2DB7E941" w14:textId="77777777" w:rsidR="006F27D1" w:rsidRPr="00DB1FCB" w:rsidRDefault="006F27D1" w:rsidP="008C1767">
      <w:pPr>
        <w:widowControl/>
        <w:numPr>
          <w:ilvl w:val="0"/>
          <w:numId w:val="104"/>
        </w:numPr>
        <w:tabs>
          <w:tab w:val="left" w:pos="0"/>
          <w:tab w:val="left" w:pos="567"/>
        </w:tabs>
        <w:autoSpaceDE/>
        <w:autoSpaceDN/>
        <w:adjustRightInd/>
        <w:ind w:left="0" w:firstLine="0"/>
        <w:rPr>
          <w:szCs w:val="24"/>
        </w:rPr>
      </w:pPr>
      <w:r w:rsidRPr="00DB1FCB">
        <w:rPr>
          <w:szCs w:val="24"/>
        </w:rPr>
        <w:lastRenderedPageBreak/>
        <w:t xml:space="preserve">Показания — наличие септикопиемических очагов (инфильтраты в толще кожи — в дерме — любых размеров, болезненные при пальпации, возникшие при лихорадке) или других образований на коже. </w:t>
      </w:r>
    </w:p>
    <w:p w14:paraId="037C3497" w14:textId="77777777" w:rsidR="006F27D1" w:rsidRPr="00DB1FCB" w:rsidRDefault="006F27D1" w:rsidP="008C1767">
      <w:pPr>
        <w:widowControl/>
        <w:numPr>
          <w:ilvl w:val="0"/>
          <w:numId w:val="104"/>
        </w:numPr>
        <w:tabs>
          <w:tab w:val="left" w:pos="0"/>
          <w:tab w:val="left" w:pos="567"/>
        </w:tabs>
        <w:autoSpaceDE/>
        <w:autoSpaceDN/>
        <w:adjustRightInd/>
        <w:ind w:left="0" w:firstLine="0"/>
        <w:rPr>
          <w:szCs w:val="24"/>
        </w:rPr>
      </w:pPr>
      <w:r w:rsidRPr="00DB1FCB">
        <w:rPr>
          <w:szCs w:val="24"/>
        </w:rPr>
        <w:t xml:space="preserve">Проводят биопсию тех образований, давность которых составляет 1—2 суток. Биопсию проводят с захватом дермы. </w:t>
      </w:r>
    </w:p>
    <w:p w14:paraId="4EFA38E5" w14:textId="77777777" w:rsidR="006F27D1" w:rsidRPr="00DB1FCB" w:rsidRDefault="006F27D1" w:rsidP="008C1767">
      <w:pPr>
        <w:widowControl/>
        <w:numPr>
          <w:ilvl w:val="0"/>
          <w:numId w:val="104"/>
        </w:numPr>
        <w:tabs>
          <w:tab w:val="left" w:pos="0"/>
          <w:tab w:val="left" w:pos="567"/>
        </w:tabs>
        <w:autoSpaceDE/>
        <w:autoSpaceDN/>
        <w:adjustRightInd/>
        <w:ind w:left="0" w:firstLine="0"/>
        <w:rPr>
          <w:szCs w:val="24"/>
        </w:rPr>
      </w:pPr>
      <w:r w:rsidRPr="00DB1FCB">
        <w:rPr>
          <w:szCs w:val="24"/>
        </w:rPr>
        <w:t xml:space="preserve">Проводят гистологическое и микробиологическое исследование на наличие бактерий, включая микобактерии, и грибов. Кроме культурального исследования проводят микроскопию всех образцов (окраска по Граму, Цилю— Нильсену, калькофлюором белым). </w:t>
      </w:r>
    </w:p>
    <w:p w14:paraId="70657594" w14:textId="77777777" w:rsidR="006F27D1" w:rsidRDefault="006F27D1" w:rsidP="006F27D1">
      <w:pPr>
        <w:pStyle w:val="afff3"/>
        <w:ind w:left="0"/>
        <w:rPr>
          <w:szCs w:val="24"/>
          <w:u w:val="single"/>
        </w:rPr>
      </w:pPr>
    </w:p>
    <w:p w14:paraId="7F5CA2C0" w14:textId="77777777" w:rsidR="006F27D1" w:rsidRPr="00997857" w:rsidRDefault="006F27D1" w:rsidP="006F27D1">
      <w:pPr>
        <w:pStyle w:val="afff3"/>
        <w:ind w:left="0"/>
        <w:rPr>
          <w:b/>
          <w:i/>
          <w:szCs w:val="24"/>
        </w:rPr>
      </w:pPr>
      <w:r w:rsidRPr="00997857">
        <w:rPr>
          <w:b/>
          <w:i/>
          <w:szCs w:val="24"/>
        </w:rPr>
        <w:t>Компьютерная томография легких</w:t>
      </w:r>
    </w:p>
    <w:p w14:paraId="1FDCA6D9" w14:textId="77777777" w:rsidR="006F27D1" w:rsidRPr="00DB1FCB" w:rsidRDefault="006F27D1" w:rsidP="008C1767">
      <w:pPr>
        <w:widowControl/>
        <w:numPr>
          <w:ilvl w:val="0"/>
          <w:numId w:val="105"/>
        </w:numPr>
        <w:tabs>
          <w:tab w:val="left" w:pos="0"/>
          <w:tab w:val="left" w:pos="567"/>
        </w:tabs>
        <w:autoSpaceDE/>
        <w:autoSpaceDN/>
        <w:adjustRightInd/>
        <w:ind w:left="0" w:firstLine="0"/>
        <w:rPr>
          <w:szCs w:val="24"/>
        </w:rPr>
      </w:pPr>
      <w:r w:rsidRPr="00DB1FCB">
        <w:rPr>
          <w:szCs w:val="24"/>
        </w:rPr>
        <w:t>Показания:</w:t>
      </w:r>
    </w:p>
    <w:p w14:paraId="6EF9997D" w14:textId="77777777" w:rsidR="006F27D1" w:rsidRPr="00DB1FCB" w:rsidRDefault="006F27D1" w:rsidP="008C1767">
      <w:pPr>
        <w:widowControl/>
        <w:numPr>
          <w:ilvl w:val="0"/>
          <w:numId w:val="106"/>
        </w:numPr>
        <w:tabs>
          <w:tab w:val="left" w:pos="0"/>
          <w:tab w:val="left" w:pos="567"/>
        </w:tabs>
        <w:autoSpaceDE/>
        <w:autoSpaceDN/>
        <w:adjustRightInd/>
        <w:ind w:left="0" w:firstLine="0"/>
        <w:rPr>
          <w:szCs w:val="24"/>
        </w:rPr>
      </w:pPr>
      <w:r w:rsidRPr="00DB1FCB">
        <w:rPr>
          <w:szCs w:val="24"/>
        </w:rPr>
        <w:t xml:space="preserve">Лихорадка неясной этиологии ≥ 5 дней в период нейтропении при нормальной физикальной картине в легких. </w:t>
      </w:r>
    </w:p>
    <w:p w14:paraId="78823543" w14:textId="77777777" w:rsidR="006F27D1" w:rsidRPr="00DB1FCB" w:rsidRDefault="006F27D1" w:rsidP="008C1767">
      <w:pPr>
        <w:widowControl/>
        <w:numPr>
          <w:ilvl w:val="0"/>
          <w:numId w:val="106"/>
        </w:numPr>
        <w:tabs>
          <w:tab w:val="left" w:pos="0"/>
          <w:tab w:val="left" w:pos="567"/>
        </w:tabs>
        <w:autoSpaceDE/>
        <w:autoSpaceDN/>
        <w:adjustRightInd/>
        <w:ind w:left="0" w:firstLine="0"/>
        <w:rPr>
          <w:szCs w:val="24"/>
        </w:rPr>
      </w:pPr>
      <w:r w:rsidRPr="00DB1FCB">
        <w:rPr>
          <w:szCs w:val="24"/>
        </w:rPr>
        <w:t xml:space="preserve">Контроль выявленных изменений в легких (первое контрольное исследование проводят через 7 дней от момента диагностики пневмонии и начала антибактериальной или противогрибковой терапии, далее — по мере необходимости). </w:t>
      </w:r>
    </w:p>
    <w:p w14:paraId="36423810" w14:textId="77777777" w:rsidR="006F27D1" w:rsidRPr="00DB1FCB" w:rsidRDefault="006F27D1" w:rsidP="008C1767">
      <w:pPr>
        <w:widowControl/>
        <w:numPr>
          <w:ilvl w:val="0"/>
          <w:numId w:val="107"/>
        </w:numPr>
        <w:tabs>
          <w:tab w:val="left" w:pos="0"/>
          <w:tab w:val="left" w:pos="567"/>
        </w:tabs>
        <w:autoSpaceDE/>
        <w:autoSpaceDN/>
        <w:adjustRightInd/>
        <w:ind w:left="0" w:firstLine="0"/>
        <w:rPr>
          <w:szCs w:val="24"/>
        </w:rPr>
      </w:pPr>
      <w:r w:rsidRPr="00DB1FCB">
        <w:rPr>
          <w:szCs w:val="24"/>
        </w:rPr>
        <w:t xml:space="preserve">КТ легких следует проводить без предварительной рентгенографии грудной клетки. </w:t>
      </w:r>
    </w:p>
    <w:p w14:paraId="256D86DF" w14:textId="77777777" w:rsidR="006F27D1" w:rsidRPr="00DB1FCB" w:rsidRDefault="006F27D1" w:rsidP="008C1767">
      <w:pPr>
        <w:widowControl/>
        <w:numPr>
          <w:ilvl w:val="0"/>
          <w:numId w:val="107"/>
        </w:numPr>
        <w:tabs>
          <w:tab w:val="left" w:pos="0"/>
          <w:tab w:val="left" w:pos="567"/>
        </w:tabs>
        <w:autoSpaceDE/>
        <w:autoSpaceDN/>
        <w:adjustRightInd/>
        <w:ind w:left="0" w:firstLine="0"/>
        <w:rPr>
          <w:szCs w:val="24"/>
        </w:rPr>
      </w:pPr>
      <w:r w:rsidRPr="00DB1FCB">
        <w:rPr>
          <w:szCs w:val="24"/>
        </w:rPr>
        <w:t xml:space="preserve">КТ легких при лихорадке в период нейтропении проводят независимо от аускультативной картины легких. </w:t>
      </w:r>
    </w:p>
    <w:p w14:paraId="75DBD04E" w14:textId="77777777" w:rsidR="006F27D1" w:rsidRPr="00DB1FCB" w:rsidRDefault="006F27D1" w:rsidP="006F27D1">
      <w:pPr>
        <w:tabs>
          <w:tab w:val="left" w:pos="0"/>
          <w:tab w:val="left" w:pos="567"/>
        </w:tabs>
        <w:rPr>
          <w:szCs w:val="24"/>
        </w:rPr>
      </w:pPr>
      <w:r w:rsidRPr="00DB1FCB">
        <w:rPr>
          <w:i/>
          <w:szCs w:val="24"/>
        </w:rPr>
        <w:t>Примечание.</w:t>
      </w:r>
      <w:r w:rsidRPr="00DB1FCB">
        <w:rPr>
          <w:szCs w:val="24"/>
        </w:rPr>
        <w:t xml:space="preserve"> Рентгенография органов грудной клетки при нейтропении малоинформативна. С ее помощью нельзя своевременно диагностировать инвазивный аспергиллез, интерстициальные поражения легких (вирусные, грибковые). У больных с нейтропенией этот вид исследования, направленный на поиск инфекционного процесса в легких, необходимо исключить. </w:t>
      </w:r>
    </w:p>
    <w:p w14:paraId="0CD3427D" w14:textId="77777777" w:rsidR="006F27D1" w:rsidRDefault="006F27D1" w:rsidP="006F27D1">
      <w:pPr>
        <w:pStyle w:val="afff3"/>
        <w:ind w:left="0"/>
        <w:rPr>
          <w:szCs w:val="24"/>
          <w:u w:val="single"/>
        </w:rPr>
      </w:pPr>
    </w:p>
    <w:p w14:paraId="1FAA7C85" w14:textId="77777777" w:rsidR="006F27D1" w:rsidRPr="00997857" w:rsidRDefault="006F27D1" w:rsidP="006F27D1">
      <w:pPr>
        <w:pStyle w:val="afff3"/>
        <w:ind w:left="0"/>
        <w:rPr>
          <w:b/>
          <w:i/>
          <w:szCs w:val="24"/>
        </w:rPr>
      </w:pPr>
      <w:r w:rsidRPr="00997857">
        <w:rPr>
          <w:b/>
          <w:i/>
          <w:szCs w:val="24"/>
        </w:rPr>
        <w:t>Бронхоальвеолярный лаваж</w:t>
      </w:r>
    </w:p>
    <w:p w14:paraId="6A77BC40" w14:textId="77777777" w:rsidR="006F27D1" w:rsidRDefault="006F27D1" w:rsidP="008C1767">
      <w:pPr>
        <w:widowControl/>
        <w:numPr>
          <w:ilvl w:val="0"/>
          <w:numId w:val="108"/>
        </w:numPr>
        <w:tabs>
          <w:tab w:val="left" w:pos="0"/>
          <w:tab w:val="left" w:pos="567"/>
        </w:tabs>
        <w:autoSpaceDE/>
        <w:autoSpaceDN/>
        <w:adjustRightInd/>
        <w:ind w:left="0" w:firstLine="0"/>
        <w:rPr>
          <w:szCs w:val="24"/>
        </w:rPr>
      </w:pPr>
      <w:r w:rsidRPr="00DB1FCB">
        <w:rPr>
          <w:szCs w:val="24"/>
        </w:rPr>
        <w:t>Показания:</w:t>
      </w:r>
      <w:r>
        <w:rPr>
          <w:szCs w:val="24"/>
        </w:rPr>
        <w:t xml:space="preserve"> изменения в легких по данным КТ.</w:t>
      </w:r>
    </w:p>
    <w:p w14:paraId="0E7DDD76" w14:textId="77777777" w:rsidR="006F27D1" w:rsidRPr="007A7B76" w:rsidRDefault="006F27D1" w:rsidP="006F27D1">
      <w:pPr>
        <w:tabs>
          <w:tab w:val="left" w:pos="0"/>
          <w:tab w:val="left" w:pos="567"/>
        </w:tabs>
        <w:rPr>
          <w:szCs w:val="24"/>
        </w:rPr>
      </w:pPr>
      <w:r>
        <w:rPr>
          <w:szCs w:val="24"/>
        </w:rPr>
        <w:t>Перечень диагностических тестов:</w:t>
      </w:r>
    </w:p>
    <w:p w14:paraId="0DA5B529" w14:textId="77777777" w:rsidR="006F27D1" w:rsidRPr="00DB1FCB" w:rsidRDefault="006F27D1" w:rsidP="008C1767">
      <w:pPr>
        <w:widowControl/>
        <w:numPr>
          <w:ilvl w:val="0"/>
          <w:numId w:val="109"/>
        </w:numPr>
        <w:tabs>
          <w:tab w:val="left" w:pos="0"/>
          <w:tab w:val="left" w:pos="567"/>
        </w:tabs>
        <w:autoSpaceDE/>
        <w:autoSpaceDN/>
        <w:adjustRightInd/>
        <w:ind w:left="0" w:firstLine="0"/>
        <w:rPr>
          <w:szCs w:val="24"/>
        </w:rPr>
      </w:pPr>
      <w:r w:rsidRPr="00DB1FCB">
        <w:rPr>
          <w:szCs w:val="24"/>
        </w:rPr>
        <w:t>Исследование жидкости бронхоальвеолярного лаважа (БАЛ):</w:t>
      </w:r>
    </w:p>
    <w:p w14:paraId="2923AFB3" w14:textId="77777777" w:rsidR="006F27D1" w:rsidRPr="00DB1FCB" w:rsidRDefault="006F27D1" w:rsidP="008C1767">
      <w:pPr>
        <w:widowControl/>
        <w:numPr>
          <w:ilvl w:val="0"/>
          <w:numId w:val="110"/>
        </w:numPr>
        <w:tabs>
          <w:tab w:val="left" w:pos="0"/>
          <w:tab w:val="left" w:pos="567"/>
        </w:tabs>
        <w:autoSpaceDE/>
        <w:autoSpaceDN/>
        <w:adjustRightInd/>
        <w:ind w:left="0" w:firstLine="0"/>
        <w:rPr>
          <w:szCs w:val="24"/>
        </w:rPr>
      </w:pPr>
      <w:r w:rsidRPr="00DB1FCB">
        <w:rPr>
          <w:szCs w:val="24"/>
        </w:rPr>
        <w:t xml:space="preserve">Цитология мазков. </w:t>
      </w:r>
    </w:p>
    <w:p w14:paraId="59183CA5" w14:textId="77777777" w:rsidR="006F27D1" w:rsidRPr="00DB1FCB" w:rsidRDefault="006F27D1" w:rsidP="008C1767">
      <w:pPr>
        <w:widowControl/>
        <w:numPr>
          <w:ilvl w:val="0"/>
          <w:numId w:val="110"/>
        </w:numPr>
        <w:tabs>
          <w:tab w:val="left" w:pos="0"/>
          <w:tab w:val="left" w:pos="567"/>
        </w:tabs>
        <w:autoSpaceDE/>
        <w:autoSpaceDN/>
        <w:adjustRightInd/>
        <w:ind w:left="0" w:firstLine="0"/>
        <w:rPr>
          <w:szCs w:val="24"/>
        </w:rPr>
      </w:pPr>
      <w:r w:rsidRPr="00DB1FCB">
        <w:rPr>
          <w:szCs w:val="24"/>
        </w:rPr>
        <w:t xml:space="preserve">Микроскопия мазков (окраска по Граму, Цилю—Нильсену). </w:t>
      </w:r>
    </w:p>
    <w:p w14:paraId="11DB5EE2" w14:textId="77777777" w:rsidR="006F27D1" w:rsidRPr="00DB1FCB" w:rsidRDefault="006F27D1" w:rsidP="008C1767">
      <w:pPr>
        <w:widowControl/>
        <w:numPr>
          <w:ilvl w:val="0"/>
          <w:numId w:val="110"/>
        </w:numPr>
        <w:tabs>
          <w:tab w:val="left" w:pos="0"/>
          <w:tab w:val="left" w:pos="567"/>
        </w:tabs>
        <w:autoSpaceDE/>
        <w:autoSpaceDN/>
        <w:adjustRightInd/>
        <w:ind w:left="0" w:firstLine="0"/>
        <w:rPr>
          <w:szCs w:val="24"/>
        </w:rPr>
      </w:pPr>
      <w:r w:rsidRPr="00DB1FCB">
        <w:rPr>
          <w:szCs w:val="24"/>
        </w:rPr>
        <w:t>Флюоресцентная микроскопия на грибы с калькофлуором белым.</w:t>
      </w:r>
    </w:p>
    <w:p w14:paraId="27D3CEE2" w14:textId="77777777" w:rsidR="006F27D1" w:rsidRPr="00DB1FCB" w:rsidRDefault="006F27D1" w:rsidP="008C1767">
      <w:pPr>
        <w:widowControl/>
        <w:numPr>
          <w:ilvl w:val="0"/>
          <w:numId w:val="110"/>
        </w:numPr>
        <w:tabs>
          <w:tab w:val="left" w:pos="0"/>
          <w:tab w:val="left" w:pos="567"/>
        </w:tabs>
        <w:autoSpaceDE/>
        <w:autoSpaceDN/>
        <w:adjustRightInd/>
        <w:ind w:left="0" w:firstLine="0"/>
        <w:rPr>
          <w:szCs w:val="24"/>
        </w:rPr>
      </w:pPr>
      <w:r w:rsidRPr="00DB1FCB">
        <w:rPr>
          <w:szCs w:val="24"/>
        </w:rPr>
        <w:t xml:space="preserve">Микробиологическое исследование (посев) на бактерии, включая нокардии, и грибы (обязательно на мицелиальные — посев на среду Чапека). </w:t>
      </w:r>
    </w:p>
    <w:p w14:paraId="03B47239" w14:textId="77777777" w:rsidR="006F27D1" w:rsidRPr="00DB1FCB" w:rsidRDefault="006F27D1" w:rsidP="008C1767">
      <w:pPr>
        <w:widowControl/>
        <w:numPr>
          <w:ilvl w:val="0"/>
          <w:numId w:val="110"/>
        </w:numPr>
        <w:tabs>
          <w:tab w:val="left" w:pos="0"/>
          <w:tab w:val="left" w:pos="567"/>
        </w:tabs>
        <w:autoSpaceDE/>
        <w:autoSpaceDN/>
        <w:adjustRightInd/>
        <w:ind w:left="0" w:firstLine="0"/>
        <w:rPr>
          <w:szCs w:val="24"/>
        </w:rPr>
      </w:pPr>
      <w:r w:rsidRPr="00DB1FCB">
        <w:rPr>
          <w:szCs w:val="24"/>
        </w:rPr>
        <w:lastRenderedPageBreak/>
        <w:t xml:space="preserve">Микробиологическое исследование (посев) на </w:t>
      </w:r>
      <w:r w:rsidRPr="00DB1FCB">
        <w:rPr>
          <w:i/>
          <w:szCs w:val="24"/>
          <w:lang w:val="en-US"/>
        </w:rPr>
        <w:t>Legionella</w:t>
      </w:r>
      <w:r w:rsidRPr="00DB1FCB">
        <w:rPr>
          <w:i/>
          <w:szCs w:val="24"/>
        </w:rPr>
        <w:t xml:space="preserve"> </w:t>
      </w:r>
      <w:r w:rsidRPr="00DB1FCB">
        <w:rPr>
          <w:i/>
          <w:szCs w:val="24"/>
          <w:lang w:val="en-US"/>
        </w:rPr>
        <w:t>spp</w:t>
      </w:r>
      <w:r w:rsidRPr="00DB1FCB">
        <w:rPr>
          <w:i/>
          <w:szCs w:val="24"/>
        </w:rPr>
        <w:t>.</w:t>
      </w:r>
      <w:r w:rsidRPr="00DB1FCB">
        <w:rPr>
          <w:szCs w:val="24"/>
        </w:rPr>
        <w:t xml:space="preserve"> </w:t>
      </w:r>
    </w:p>
    <w:p w14:paraId="3C8E9813" w14:textId="77777777" w:rsidR="006F27D1" w:rsidRPr="00DB1FCB" w:rsidRDefault="006F27D1" w:rsidP="008C1767">
      <w:pPr>
        <w:widowControl/>
        <w:numPr>
          <w:ilvl w:val="0"/>
          <w:numId w:val="110"/>
        </w:numPr>
        <w:tabs>
          <w:tab w:val="left" w:pos="0"/>
          <w:tab w:val="left" w:pos="567"/>
        </w:tabs>
        <w:autoSpaceDE/>
        <w:autoSpaceDN/>
        <w:adjustRightInd/>
        <w:ind w:left="0" w:firstLine="0"/>
        <w:rPr>
          <w:szCs w:val="24"/>
        </w:rPr>
      </w:pPr>
      <w:r w:rsidRPr="00DB1FCB">
        <w:rPr>
          <w:szCs w:val="24"/>
        </w:rPr>
        <w:t xml:space="preserve">Исследование на микобактерии (ПЦР). </w:t>
      </w:r>
    </w:p>
    <w:p w14:paraId="456CE08D" w14:textId="77777777" w:rsidR="006F27D1" w:rsidRPr="00DB1FCB" w:rsidRDefault="006F27D1" w:rsidP="008C1767">
      <w:pPr>
        <w:widowControl/>
        <w:numPr>
          <w:ilvl w:val="0"/>
          <w:numId w:val="110"/>
        </w:numPr>
        <w:tabs>
          <w:tab w:val="left" w:pos="0"/>
          <w:tab w:val="left" w:pos="567"/>
        </w:tabs>
        <w:autoSpaceDE/>
        <w:autoSpaceDN/>
        <w:adjustRightInd/>
        <w:ind w:left="0" w:firstLine="0"/>
        <w:rPr>
          <w:i/>
          <w:szCs w:val="24"/>
        </w:rPr>
      </w:pPr>
      <w:r w:rsidRPr="00DB1FCB">
        <w:rPr>
          <w:szCs w:val="24"/>
        </w:rPr>
        <w:t xml:space="preserve">Флюоресцентная микроскопия на </w:t>
      </w:r>
      <w:r w:rsidRPr="00DB1FCB">
        <w:rPr>
          <w:i/>
          <w:szCs w:val="24"/>
        </w:rPr>
        <w:t xml:space="preserve">Pneumocystis jiroveci. </w:t>
      </w:r>
    </w:p>
    <w:p w14:paraId="7CEF5E48" w14:textId="77777777" w:rsidR="006F27D1" w:rsidRPr="00DB1FCB" w:rsidRDefault="006F27D1" w:rsidP="008C1767">
      <w:pPr>
        <w:widowControl/>
        <w:numPr>
          <w:ilvl w:val="0"/>
          <w:numId w:val="110"/>
        </w:numPr>
        <w:tabs>
          <w:tab w:val="left" w:pos="0"/>
          <w:tab w:val="left" w:pos="567"/>
        </w:tabs>
        <w:autoSpaceDE/>
        <w:autoSpaceDN/>
        <w:adjustRightInd/>
        <w:ind w:left="0" w:firstLine="0"/>
        <w:rPr>
          <w:szCs w:val="24"/>
        </w:rPr>
      </w:pPr>
      <w:r w:rsidRPr="00DB1FCB">
        <w:rPr>
          <w:szCs w:val="24"/>
        </w:rPr>
        <w:t xml:space="preserve">Определение ДНК </w:t>
      </w:r>
      <w:r w:rsidRPr="00DB1FCB">
        <w:rPr>
          <w:i/>
          <w:szCs w:val="24"/>
          <w:lang w:val="en-US"/>
        </w:rPr>
        <w:t>Pneumocystis</w:t>
      </w:r>
      <w:r w:rsidRPr="00DB1FCB">
        <w:rPr>
          <w:i/>
          <w:szCs w:val="24"/>
        </w:rPr>
        <w:t xml:space="preserve"> </w:t>
      </w:r>
      <w:r w:rsidRPr="00DB1FCB">
        <w:rPr>
          <w:i/>
          <w:szCs w:val="24"/>
          <w:lang w:val="en-US"/>
        </w:rPr>
        <w:t>jirovecii</w:t>
      </w:r>
      <w:r w:rsidRPr="00DB1FCB">
        <w:rPr>
          <w:szCs w:val="24"/>
        </w:rPr>
        <w:t xml:space="preserve"> (ПЦР).</w:t>
      </w:r>
    </w:p>
    <w:p w14:paraId="0600E0ED" w14:textId="77777777" w:rsidR="006F27D1" w:rsidRPr="00DB1FCB" w:rsidRDefault="006F27D1" w:rsidP="008C1767">
      <w:pPr>
        <w:widowControl/>
        <w:numPr>
          <w:ilvl w:val="0"/>
          <w:numId w:val="110"/>
        </w:numPr>
        <w:tabs>
          <w:tab w:val="left" w:pos="0"/>
          <w:tab w:val="left" w:pos="567"/>
        </w:tabs>
        <w:autoSpaceDE/>
        <w:autoSpaceDN/>
        <w:adjustRightInd/>
        <w:ind w:left="0" w:firstLine="0"/>
        <w:rPr>
          <w:szCs w:val="24"/>
        </w:rPr>
      </w:pPr>
      <w:r w:rsidRPr="00DB1FCB">
        <w:rPr>
          <w:szCs w:val="24"/>
        </w:rPr>
        <w:t xml:space="preserve">Определение антигена </w:t>
      </w:r>
      <w:r w:rsidRPr="00DB1FCB">
        <w:rPr>
          <w:i/>
          <w:szCs w:val="24"/>
        </w:rPr>
        <w:t>Aspergillus</w:t>
      </w:r>
      <w:r w:rsidRPr="00DB1FCB">
        <w:rPr>
          <w:szCs w:val="24"/>
        </w:rPr>
        <w:t xml:space="preserve"> (галактоманнан) в жидкости БАЛ.</w:t>
      </w:r>
    </w:p>
    <w:p w14:paraId="6AC1A5CF" w14:textId="77777777" w:rsidR="006F27D1" w:rsidRPr="00DB1FCB" w:rsidRDefault="006F27D1" w:rsidP="008C1767">
      <w:pPr>
        <w:widowControl/>
        <w:numPr>
          <w:ilvl w:val="0"/>
          <w:numId w:val="110"/>
        </w:numPr>
        <w:tabs>
          <w:tab w:val="left" w:pos="0"/>
          <w:tab w:val="left" w:pos="567"/>
        </w:tabs>
        <w:autoSpaceDE/>
        <w:autoSpaceDN/>
        <w:adjustRightInd/>
        <w:ind w:left="0" w:firstLine="0"/>
        <w:rPr>
          <w:szCs w:val="24"/>
        </w:rPr>
      </w:pPr>
      <w:r w:rsidRPr="00DB1FCB">
        <w:rPr>
          <w:szCs w:val="24"/>
        </w:rPr>
        <w:t xml:space="preserve">Определение антигена </w:t>
      </w:r>
      <w:r w:rsidRPr="00DB1FCB">
        <w:rPr>
          <w:i/>
          <w:szCs w:val="24"/>
          <w:lang w:val="en-US"/>
        </w:rPr>
        <w:t>Legionella</w:t>
      </w:r>
      <w:r w:rsidRPr="00DB1FCB">
        <w:rPr>
          <w:i/>
          <w:szCs w:val="24"/>
        </w:rPr>
        <w:t xml:space="preserve"> </w:t>
      </w:r>
      <w:r w:rsidRPr="00DB1FCB">
        <w:rPr>
          <w:i/>
          <w:szCs w:val="24"/>
          <w:lang w:val="en-US"/>
        </w:rPr>
        <w:t>pneumophilia</w:t>
      </w:r>
      <w:r w:rsidRPr="00DB1FCB">
        <w:rPr>
          <w:szCs w:val="24"/>
        </w:rPr>
        <w:t xml:space="preserve"> в моче. </w:t>
      </w:r>
    </w:p>
    <w:p w14:paraId="2202DB81" w14:textId="77777777" w:rsidR="006F27D1" w:rsidRPr="00DB1FCB" w:rsidRDefault="006F27D1" w:rsidP="008C1767">
      <w:pPr>
        <w:widowControl/>
        <w:numPr>
          <w:ilvl w:val="0"/>
          <w:numId w:val="110"/>
        </w:numPr>
        <w:tabs>
          <w:tab w:val="left" w:pos="0"/>
          <w:tab w:val="left" w:pos="567"/>
        </w:tabs>
        <w:autoSpaceDE/>
        <w:autoSpaceDN/>
        <w:adjustRightInd/>
        <w:ind w:left="0" w:firstLine="0"/>
        <w:rPr>
          <w:szCs w:val="24"/>
        </w:rPr>
      </w:pPr>
      <w:r w:rsidRPr="00DB1FCB">
        <w:rPr>
          <w:szCs w:val="24"/>
        </w:rPr>
        <w:t xml:space="preserve">Определение ДНК </w:t>
      </w:r>
      <w:r w:rsidRPr="00DB1FCB">
        <w:rPr>
          <w:i/>
          <w:szCs w:val="24"/>
          <w:lang w:val="en-US"/>
        </w:rPr>
        <w:t>Mycoplasma</w:t>
      </w:r>
      <w:r w:rsidRPr="00DB1FCB">
        <w:rPr>
          <w:i/>
          <w:szCs w:val="24"/>
        </w:rPr>
        <w:t xml:space="preserve"> </w:t>
      </w:r>
      <w:r w:rsidRPr="00DB1FCB">
        <w:rPr>
          <w:i/>
          <w:szCs w:val="24"/>
          <w:lang w:val="en-US"/>
        </w:rPr>
        <w:t>pneumonia</w:t>
      </w:r>
      <w:r w:rsidRPr="00DB1FCB">
        <w:rPr>
          <w:i/>
          <w:szCs w:val="24"/>
        </w:rPr>
        <w:t xml:space="preserve">, </w:t>
      </w:r>
      <w:r w:rsidRPr="00DB1FCB">
        <w:rPr>
          <w:i/>
          <w:szCs w:val="24"/>
          <w:lang w:val="en-US"/>
        </w:rPr>
        <w:t>Chlamydophila</w:t>
      </w:r>
      <w:r w:rsidRPr="00DB1FCB">
        <w:rPr>
          <w:i/>
          <w:szCs w:val="24"/>
        </w:rPr>
        <w:t xml:space="preserve"> </w:t>
      </w:r>
      <w:r w:rsidRPr="00DB1FCB">
        <w:rPr>
          <w:i/>
          <w:szCs w:val="24"/>
          <w:lang w:val="en-US"/>
        </w:rPr>
        <w:t>pneumoniae</w:t>
      </w:r>
      <w:r>
        <w:rPr>
          <w:szCs w:val="24"/>
        </w:rPr>
        <w:t xml:space="preserve"> в жидкости БАЛ. </w:t>
      </w:r>
    </w:p>
    <w:p w14:paraId="62ABAD84" w14:textId="77777777" w:rsidR="006F27D1" w:rsidRPr="00DB1FCB" w:rsidRDefault="006F27D1" w:rsidP="008C1767">
      <w:pPr>
        <w:widowControl/>
        <w:numPr>
          <w:ilvl w:val="0"/>
          <w:numId w:val="110"/>
        </w:numPr>
        <w:tabs>
          <w:tab w:val="left" w:pos="0"/>
          <w:tab w:val="left" w:pos="567"/>
        </w:tabs>
        <w:autoSpaceDE/>
        <w:autoSpaceDN/>
        <w:adjustRightInd/>
        <w:ind w:left="0" w:firstLine="0"/>
        <w:rPr>
          <w:szCs w:val="24"/>
        </w:rPr>
      </w:pPr>
      <w:r w:rsidRPr="00DB1FCB">
        <w:rPr>
          <w:szCs w:val="24"/>
        </w:rPr>
        <w:t xml:space="preserve">Определение ДНК вирусов (ЦМВ, вирусов гриппа, парагриппа, респираторного синтициального вируса, короновирусов, метапнемовируса человека, герпесвируса человека 6 типа) в жидкости БАЛ (ПЦР). </w:t>
      </w:r>
    </w:p>
    <w:p w14:paraId="6F2C8FFF" w14:textId="77777777" w:rsidR="006F27D1" w:rsidRDefault="006F27D1" w:rsidP="006F27D1">
      <w:pPr>
        <w:pStyle w:val="afff3"/>
        <w:ind w:left="0"/>
        <w:rPr>
          <w:szCs w:val="24"/>
          <w:u w:val="single"/>
        </w:rPr>
      </w:pPr>
    </w:p>
    <w:p w14:paraId="1B9D0AD2" w14:textId="77777777" w:rsidR="006F27D1" w:rsidRPr="00997857" w:rsidRDefault="006F27D1" w:rsidP="006F27D1">
      <w:pPr>
        <w:pStyle w:val="afff3"/>
        <w:ind w:left="0"/>
        <w:rPr>
          <w:b/>
          <w:i/>
          <w:szCs w:val="24"/>
        </w:rPr>
      </w:pPr>
      <w:r w:rsidRPr="00997857">
        <w:rPr>
          <w:b/>
          <w:i/>
          <w:szCs w:val="24"/>
        </w:rPr>
        <w:t>Определение антигенов грибов</w:t>
      </w:r>
    </w:p>
    <w:p w14:paraId="72B4E464" w14:textId="77777777" w:rsidR="006F27D1" w:rsidRPr="00997857" w:rsidRDefault="006F27D1" w:rsidP="006F27D1">
      <w:pPr>
        <w:pStyle w:val="afff3"/>
        <w:ind w:left="0"/>
        <w:rPr>
          <w:i/>
          <w:szCs w:val="24"/>
        </w:rPr>
      </w:pPr>
      <w:r w:rsidRPr="00997857">
        <w:rPr>
          <w:i/>
          <w:szCs w:val="24"/>
        </w:rPr>
        <w:t xml:space="preserve">Антиген Aspergillus (галактоманнан) </w:t>
      </w:r>
    </w:p>
    <w:p w14:paraId="20AAC2D2" w14:textId="77777777" w:rsidR="006F27D1" w:rsidRPr="00DB1FCB" w:rsidRDefault="006F27D1" w:rsidP="008C1767">
      <w:pPr>
        <w:widowControl/>
        <w:numPr>
          <w:ilvl w:val="0"/>
          <w:numId w:val="111"/>
        </w:numPr>
        <w:tabs>
          <w:tab w:val="left" w:pos="0"/>
          <w:tab w:val="left" w:pos="567"/>
        </w:tabs>
        <w:autoSpaceDE/>
        <w:autoSpaceDN/>
        <w:adjustRightInd/>
        <w:ind w:left="0" w:firstLine="0"/>
        <w:rPr>
          <w:szCs w:val="24"/>
        </w:rPr>
      </w:pPr>
      <w:r w:rsidRPr="00DB1FCB">
        <w:rPr>
          <w:szCs w:val="24"/>
        </w:rPr>
        <w:t xml:space="preserve">Обнаружение антигена </w:t>
      </w:r>
      <w:r w:rsidRPr="00DB1FCB">
        <w:rPr>
          <w:i/>
          <w:szCs w:val="24"/>
        </w:rPr>
        <w:t>Aspergillus</w:t>
      </w:r>
      <w:r w:rsidRPr="00DB1FCB">
        <w:rPr>
          <w:szCs w:val="24"/>
        </w:rPr>
        <w:t xml:space="preserve"> включено в критерии диагностики инвазивного аспергиллеза.</w:t>
      </w:r>
    </w:p>
    <w:p w14:paraId="5200BABE" w14:textId="77777777" w:rsidR="006F27D1" w:rsidRPr="00DB1FCB" w:rsidRDefault="006F27D1" w:rsidP="008C1767">
      <w:pPr>
        <w:widowControl/>
        <w:numPr>
          <w:ilvl w:val="0"/>
          <w:numId w:val="111"/>
        </w:numPr>
        <w:tabs>
          <w:tab w:val="left" w:pos="0"/>
          <w:tab w:val="left" w:pos="567"/>
        </w:tabs>
        <w:autoSpaceDE/>
        <w:autoSpaceDN/>
        <w:adjustRightInd/>
        <w:ind w:left="0" w:firstLine="0"/>
        <w:rPr>
          <w:szCs w:val="24"/>
        </w:rPr>
      </w:pPr>
      <w:r w:rsidRPr="00DB1FCB">
        <w:rPr>
          <w:szCs w:val="24"/>
        </w:rPr>
        <w:t xml:space="preserve">Образцы для исследования: </w:t>
      </w:r>
    </w:p>
    <w:p w14:paraId="0108FDAB" w14:textId="77777777" w:rsidR="006F27D1" w:rsidRPr="00DB1FCB" w:rsidRDefault="006F27D1" w:rsidP="008C1767">
      <w:pPr>
        <w:widowControl/>
        <w:numPr>
          <w:ilvl w:val="0"/>
          <w:numId w:val="112"/>
        </w:numPr>
        <w:tabs>
          <w:tab w:val="left" w:pos="0"/>
          <w:tab w:val="left" w:pos="567"/>
        </w:tabs>
        <w:autoSpaceDE/>
        <w:autoSpaceDN/>
        <w:adjustRightInd/>
        <w:ind w:left="0" w:firstLine="0"/>
        <w:rPr>
          <w:szCs w:val="24"/>
        </w:rPr>
      </w:pPr>
      <w:r w:rsidRPr="00DB1FCB">
        <w:rPr>
          <w:szCs w:val="24"/>
        </w:rPr>
        <w:t xml:space="preserve">кровь; </w:t>
      </w:r>
    </w:p>
    <w:p w14:paraId="50F83926" w14:textId="77777777" w:rsidR="006F27D1" w:rsidRPr="00DB1FCB" w:rsidRDefault="006F27D1" w:rsidP="008C1767">
      <w:pPr>
        <w:widowControl/>
        <w:numPr>
          <w:ilvl w:val="0"/>
          <w:numId w:val="112"/>
        </w:numPr>
        <w:tabs>
          <w:tab w:val="left" w:pos="0"/>
          <w:tab w:val="left" w:pos="567"/>
        </w:tabs>
        <w:autoSpaceDE/>
        <w:autoSpaceDN/>
        <w:adjustRightInd/>
        <w:ind w:left="0" w:firstLine="0"/>
        <w:rPr>
          <w:szCs w:val="24"/>
        </w:rPr>
      </w:pPr>
      <w:r w:rsidRPr="00DB1FCB">
        <w:rPr>
          <w:szCs w:val="24"/>
        </w:rPr>
        <w:t xml:space="preserve">жидкость БАЛ; </w:t>
      </w:r>
    </w:p>
    <w:p w14:paraId="5DB55134" w14:textId="77777777" w:rsidR="006F27D1" w:rsidRPr="00DB1FCB" w:rsidRDefault="006F27D1" w:rsidP="008C1767">
      <w:pPr>
        <w:widowControl/>
        <w:numPr>
          <w:ilvl w:val="0"/>
          <w:numId w:val="112"/>
        </w:numPr>
        <w:tabs>
          <w:tab w:val="left" w:pos="0"/>
          <w:tab w:val="left" w:pos="567"/>
        </w:tabs>
        <w:autoSpaceDE/>
        <w:autoSpaceDN/>
        <w:adjustRightInd/>
        <w:ind w:left="0" w:firstLine="0"/>
        <w:rPr>
          <w:szCs w:val="24"/>
        </w:rPr>
      </w:pPr>
      <w:r w:rsidRPr="00DB1FCB">
        <w:rPr>
          <w:szCs w:val="24"/>
        </w:rPr>
        <w:t xml:space="preserve">СМЖ. </w:t>
      </w:r>
    </w:p>
    <w:p w14:paraId="0FF91A80" w14:textId="77777777" w:rsidR="006F27D1" w:rsidRPr="00DB1FCB" w:rsidRDefault="006F27D1" w:rsidP="008C1767">
      <w:pPr>
        <w:widowControl/>
        <w:numPr>
          <w:ilvl w:val="0"/>
          <w:numId w:val="113"/>
        </w:numPr>
        <w:tabs>
          <w:tab w:val="left" w:pos="0"/>
          <w:tab w:val="left" w:pos="567"/>
        </w:tabs>
        <w:autoSpaceDE/>
        <w:autoSpaceDN/>
        <w:adjustRightInd/>
        <w:ind w:left="0" w:firstLine="0"/>
        <w:rPr>
          <w:szCs w:val="24"/>
        </w:rPr>
      </w:pPr>
      <w:r w:rsidRPr="00DB1FCB">
        <w:rPr>
          <w:szCs w:val="24"/>
        </w:rPr>
        <w:t xml:space="preserve">Результат определения антигена </w:t>
      </w:r>
      <w:r w:rsidRPr="00DB1FCB">
        <w:rPr>
          <w:i/>
          <w:szCs w:val="24"/>
        </w:rPr>
        <w:t xml:space="preserve">Aspergillus </w:t>
      </w:r>
      <w:r w:rsidRPr="00DB1FCB">
        <w:rPr>
          <w:szCs w:val="24"/>
        </w:rPr>
        <w:t>считают положительным в крови при индексе оптической плотности ≥ 0,5, в жидкости БАЛ ≥ 1,0, в СМЖ ≥ 0,5.</w:t>
      </w:r>
    </w:p>
    <w:p w14:paraId="627A5579" w14:textId="77777777" w:rsidR="006F27D1" w:rsidRPr="00DB1FCB" w:rsidRDefault="006F27D1" w:rsidP="008C1767">
      <w:pPr>
        <w:widowControl/>
        <w:numPr>
          <w:ilvl w:val="0"/>
          <w:numId w:val="113"/>
        </w:numPr>
        <w:tabs>
          <w:tab w:val="left" w:pos="0"/>
          <w:tab w:val="left" w:pos="567"/>
        </w:tabs>
        <w:autoSpaceDE/>
        <w:autoSpaceDN/>
        <w:adjustRightInd/>
        <w:ind w:left="0" w:firstLine="0"/>
        <w:rPr>
          <w:szCs w:val="24"/>
        </w:rPr>
      </w:pPr>
      <w:r w:rsidRPr="00DB1FCB">
        <w:rPr>
          <w:szCs w:val="24"/>
        </w:rPr>
        <w:t xml:space="preserve">Проводят </w:t>
      </w:r>
      <w:r w:rsidRPr="00674B7A">
        <w:rPr>
          <w:szCs w:val="24"/>
        </w:rPr>
        <w:t xml:space="preserve">определение антигена </w:t>
      </w:r>
      <w:r w:rsidRPr="00674B7A">
        <w:rPr>
          <w:i/>
          <w:szCs w:val="24"/>
        </w:rPr>
        <w:t>Aspergillus</w:t>
      </w:r>
      <w:r w:rsidRPr="00674B7A">
        <w:rPr>
          <w:szCs w:val="24"/>
        </w:rPr>
        <w:t xml:space="preserve"> у больных с клиническими признаками (или факторами риска) возможного инвазивного</w:t>
      </w:r>
      <w:r w:rsidRPr="00DB1FCB">
        <w:rPr>
          <w:szCs w:val="24"/>
        </w:rPr>
        <w:t xml:space="preserve"> микоза.</w:t>
      </w:r>
    </w:p>
    <w:p w14:paraId="0A2DECE9" w14:textId="77777777" w:rsidR="006F27D1" w:rsidRDefault="006F27D1" w:rsidP="006F27D1">
      <w:pPr>
        <w:tabs>
          <w:tab w:val="left" w:pos="0"/>
          <w:tab w:val="left" w:pos="567"/>
        </w:tabs>
        <w:jc w:val="center"/>
        <w:rPr>
          <w:b/>
          <w:szCs w:val="24"/>
        </w:rPr>
      </w:pPr>
    </w:p>
    <w:p w14:paraId="1EE653FA" w14:textId="77777777" w:rsidR="006F27D1" w:rsidRPr="00997857" w:rsidRDefault="006F27D1" w:rsidP="006F27D1">
      <w:pPr>
        <w:pStyle w:val="afff3"/>
        <w:ind w:left="0"/>
        <w:rPr>
          <w:i/>
          <w:szCs w:val="24"/>
        </w:rPr>
      </w:pPr>
      <w:r w:rsidRPr="00997857">
        <w:rPr>
          <w:i/>
          <w:szCs w:val="24"/>
        </w:rPr>
        <w:t>Определение антигена Aspergillus</w:t>
      </w:r>
    </w:p>
    <w:p w14:paraId="0530738B" w14:textId="77777777" w:rsidR="006F27D1" w:rsidRPr="00DB1FCB" w:rsidRDefault="006F27D1" w:rsidP="008C1767">
      <w:pPr>
        <w:widowControl/>
        <w:numPr>
          <w:ilvl w:val="0"/>
          <w:numId w:val="114"/>
        </w:numPr>
        <w:tabs>
          <w:tab w:val="left" w:pos="0"/>
          <w:tab w:val="left" w:pos="567"/>
        </w:tabs>
        <w:autoSpaceDE/>
        <w:autoSpaceDN/>
        <w:adjustRightInd/>
        <w:ind w:left="0" w:firstLine="0"/>
        <w:rPr>
          <w:szCs w:val="24"/>
        </w:rPr>
      </w:pPr>
      <w:r w:rsidRPr="00DB1FCB">
        <w:rPr>
          <w:szCs w:val="24"/>
        </w:rPr>
        <w:t xml:space="preserve">Определение антигена Aspergillus (галактоманнана) показано больным лимфомой, множественной миеломой, реципиентам аутологичных стволовых клеток крови при подозрении у них инвазивного аспергиллеза на основании изменений в легких на КТ и наличия факторов риска, индуцирующих развитие инвазивного аспергиллеза (нейтропения от 10 дней и более, прием глюкокортикоидов, терапия флударабином или алемтузумабом). </w:t>
      </w:r>
    </w:p>
    <w:p w14:paraId="2ECD472E" w14:textId="77777777" w:rsidR="006F27D1" w:rsidRPr="00DB1FCB" w:rsidRDefault="006F27D1" w:rsidP="008C1767">
      <w:pPr>
        <w:widowControl/>
        <w:numPr>
          <w:ilvl w:val="0"/>
          <w:numId w:val="114"/>
        </w:numPr>
        <w:tabs>
          <w:tab w:val="left" w:pos="0"/>
          <w:tab w:val="left" w:pos="567"/>
        </w:tabs>
        <w:autoSpaceDE/>
        <w:autoSpaceDN/>
        <w:adjustRightInd/>
        <w:ind w:left="0" w:firstLine="0"/>
        <w:rPr>
          <w:szCs w:val="24"/>
        </w:rPr>
      </w:pPr>
      <w:r w:rsidRPr="00DB1FCB">
        <w:rPr>
          <w:szCs w:val="24"/>
        </w:rPr>
        <w:t xml:space="preserve">В этих случаях проводят однократное определение антигена </w:t>
      </w:r>
      <w:r w:rsidRPr="00DB1FCB">
        <w:rPr>
          <w:i/>
          <w:szCs w:val="24"/>
        </w:rPr>
        <w:t>Aspergillus</w:t>
      </w:r>
      <w:r w:rsidRPr="00DB1FCB">
        <w:rPr>
          <w:szCs w:val="24"/>
        </w:rPr>
        <w:t xml:space="preserve"> в жидкости БАЛ или, если у больного нейтропения (гранулоцитов &lt; 0,5 × 10</w:t>
      </w:r>
      <w:r w:rsidRPr="00DB1FCB">
        <w:rPr>
          <w:szCs w:val="24"/>
          <w:vertAlign w:val="superscript"/>
        </w:rPr>
        <w:t>9</w:t>
      </w:r>
      <w:r w:rsidRPr="00DB1FCB">
        <w:rPr>
          <w:szCs w:val="24"/>
        </w:rPr>
        <w:t xml:space="preserve"> /л), определяют антиген </w:t>
      </w:r>
      <w:r w:rsidRPr="00DB1FCB">
        <w:rPr>
          <w:i/>
          <w:szCs w:val="24"/>
        </w:rPr>
        <w:t>Aspergillus</w:t>
      </w:r>
      <w:r w:rsidRPr="00DB1FCB">
        <w:rPr>
          <w:szCs w:val="24"/>
        </w:rPr>
        <w:t xml:space="preserve"> в 2-3 образцах </w:t>
      </w:r>
      <w:r w:rsidRPr="00674B7A">
        <w:rPr>
          <w:szCs w:val="24"/>
        </w:rPr>
        <w:t>крови (не в одном!), взятых в течение</w:t>
      </w:r>
      <w:r w:rsidRPr="00DB1FCB">
        <w:rPr>
          <w:szCs w:val="24"/>
        </w:rPr>
        <w:t xml:space="preserve"> суток или течение 2 дней.</w:t>
      </w:r>
    </w:p>
    <w:p w14:paraId="14308595" w14:textId="77777777" w:rsidR="006F27D1" w:rsidRPr="00DB1FCB" w:rsidRDefault="006F27D1" w:rsidP="008C1767">
      <w:pPr>
        <w:widowControl/>
        <w:numPr>
          <w:ilvl w:val="0"/>
          <w:numId w:val="114"/>
        </w:numPr>
        <w:tabs>
          <w:tab w:val="left" w:pos="0"/>
          <w:tab w:val="left" w:pos="567"/>
        </w:tabs>
        <w:autoSpaceDE/>
        <w:autoSpaceDN/>
        <w:adjustRightInd/>
        <w:ind w:left="0" w:firstLine="0"/>
        <w:rPr>
          <w:b/>
          <w:szCs w:val="24"/>
        </w:rPr>
      </w:pPr>
      <w:r w:rsidRPr="00DB1FCB">
        <w:rPr>
          <w:szCs w:val="24"/>
        </w:rPr>
        <w:lastRenderedPageBreak/>
        <w:t xml:space="preserve">Исследование антигена </w:t>
      </w:r>
      <w:r w:rsidRPr="00DB1FCB">
        <w:rPr>
          <w:i/>
          <w:szCs w:val="24"/>
        </w:rPr>
        <w:t>Aspergillus</w:t>
      </w:r>
      <w:r w:rsidRPr="00DB1FCB">
        <w:rPr>
          <w:szCs w:val="24"/>
        </w:rPr>
        <w:t xml:space="preserve"> проводят до назначения противогрибковых препаратов, активных в отношении мицелиальных грибов. </w:t>
      </w:r>
    </w:p>
    <w:p w14:paraId="24815EC0" w14:textId="77777777" w:rsidR="006F27D1" w:rsidRPr="00DB1FCB" w:rsidRDefault="006F27D1" w:rsidP="006F27D1">
      <w:pPr>
        <w:tabs>
          <w:tab w:val="left" w:pos="0"/>
          <w:tab w:val="left" w:pos="567"/>
        </w:tabs>
        <w:rPr>
          <w:szCs w:val="24"/>
        </w:rPr>
      </w:pPr>
      <w:r w:rsidRPr="00DB1FCB">
        <w:rPr>
          <w:i/>
          <w:szCs w:val="24"/>
        </w:rPr>
        <w:t>Примечание.</w:t>
      </w:r>
      <w:r w:rsidRPr="00DB1FCB">
        <w:rPr>
          <w:szCs w:val="24"/>
        </w:rPr>
        <w:t xml:space="preserve"> У категории больных (при лимфомах, множественной миеломе, у реципиентов аутологичных стволовых клеток крови) вероятность развития инвазивного аспергиллеза составляет 1—5%. </w:t>
      </w:r>
    </w:p>
    <w:p w14:paraId="121CB961" w14:textId="77777777" w:rsidR="006F27D1" w:rsidRDefault="006F27D1" w:rsidP="006F27D1">
      <w:pPr>
        <w:tabs>
          <w:tab w:val="left" w:pos="0"/>
          <w:tab w:val="left" w:pos="567"/>
        </w:tabs>
        <w:jc w:val="center"/>
        <w:rPr>
          <w:b/>
          <w:szCs w:val="24"/>
        </w:rPr>
      </w:pPr>
    </w:p>
    <w:p w14:paraId="7300789B" w14:textId="77777777" w:rsidR="006F27D1" w:rsidRPr="00997857" w:rsidRDefault="006F27D1" w:rsidP="006F27D1">
      <w:pPr>
        <w:pStyle w:val="afff3"/>
        <w:ind w:left="0"/>
        <w:rPr>
          <w:i/>
          <w:szCs w:val="24"/>
        </w:rPr>
      </w:pPr>
      <w:r w:rsidRPr="00997857">
        <w:rPr>
          <w:i/>
          <w:szCs w:val="24"/>
        </w:rPr>
        <w:t>Антиген Candida (маннан) и антитела к Candida (антиманнан)</w:t>
      </w:r>
    </w:p>
    <w:p w14:paraId="741FBF40" w14:textId="77777777" w:rsidR="006F27D1" w:rsidRPr="00DB1FCB" w:rsidRDefault="006F27D1" w:rsidP="008C1767">
      <w:pPr>
        <w:widowControl/>
        <w:numPr>
          <w:ilvl w:val="0"/>
          <w:numId w:val="115"/>
        </w:numPr>
        <w:tabs>
          <w:tab w:val="left" w:pos="0"/>
          <w:tab w:val="left" w:pos="567"/>
        </w:tabs>
        <w:autoSpaceDE/>
        <w:autoSpaceDN/>
        <w:adjustRightInd/>
        <w:ind w:left="0" w:firstLine="0"/>
        <w:rPr>
          <w:szCs w:val="24"/>
        </w:rPr>
      </w:pPr>
      <w:r w:rsidRPr="00DB1FCB">
        <w:rPr>
          <w:szCs w:val="24"/>
        </w:rPr>
        <w:t xml:space="preserve">Обнаружение антигена </w:t>
      </w:r>
      <w:r w:rsidRPr="00DB1FCB">
        <w:rPr>
          <w:i/>
          <w:szCs w:val="24"/>
        </w:rPr>
        <w:t>Candida</w:t>
      </w:r>
      <w:r w:rsidRPr="00DB1FCB">
        <w:rPr>
          <w:szCs w:val="24"/>
        </w:rPr>
        <w:t xml:space="preserve"> и антител к </w:t>
      </w:r>
      <w:r w:rsidRPr="00DB1FCB">
        <w:rPr>
          <w:i/>
          <w:szCs w:val="24"/>
        </w:rPr>
        <w:t>Candida</w:t>
      </w:r>
      <w:r w:rsidRPr="00DB1FCB">
        <w:rPr>
          <w:szCs w:val="24"/>
        </w:rPr>
        <w:t xml:space="preserve"> не включено в критерии диагностики инвазивного кандидоза. </w:t>
      </w:r>
    </w:p>
    <w:p w14:paraId="00F8FEA7" w14:textId="77777777" w:rsidR="006F27D1" w:rsidRPr="00DB1FCB" w:rsidRDefault="006F27D1" w:rsidP="008C1767">
      <w:pPr>
        <w:widowControl/>
        <w:numPr>
          <w:ilvl w:val="0"/>
          <w:numId w:val="115"/>
        </w:numPr>
        <w:tabs>
          <w:tab w:val="left" w:pos="0"/>
          <w:tab w:val="left" w:pos="567"/>
        </w:tabs>
        <w:autoSpaceDE/>
        <w:autoSpaceDN/>
        <w:adjustRightInd/>
        <w:ind w:left="0" w:firstLine="0"/>
        <w:rPr>
          <w:szCs w:val="24"/>
        </w:rPr>
      </w:pPr>
      <w:r w:rsidRPr="00DB1FCB">
        <w:rPr>
          <w:szCs w:val="24"/>
        </w:rPr>
        <w:t xml:space="preserve">Образец для исследования — кровь. </w:t>
      </w:r>
    </w:p>
    <w:p w14:paraId="6B4DFEA5" w14:textId="77777777" w:rsidR="006F27D1" w:rsidRPr="00DB1FCB" w:rsidRDefault="006F27D1" w:rsidP="008C1767">
      <w:pPr>
        <w:widowControl/>
        <w:numPr>
          <w:ilvl w:val="0"/>
          <w:numId w:val="115"/>
        </w:numPr>
        <w:tabs>
          <w:tab w:val="left" w:pos="0"/>
          <w:tab w:val="left" w:pos="567"/>
        </w:tabs>
        <w:autoSpaceDE/>
        <w:autoSpaceDN/>
        <w:adjustRightInd/>
        <w:ind w:left="0" w:firstLine="0"/>
        <w:rPr>
          <w:szCs w:val="24"/>
        </w:rPr>
      </w:pPr>
      <w:r w:rsidRPr="00DB1FCB">
        <w:rPr>
          <w:szCs w:val="24"/>
        </w:rPr>
        <w:t xml:space="preserve">Результат определения считается положительным при следующих значениях: </w:t>
      </w:r>
    </w:p>
    <w:p w14:paraId="2A2EDFB4" w14:textId="77777777" w:rsidR="006F27D1" w:rsidRPr="00DB1FCB" w:rsidRDefault="006F27D1" w:rsidP="008C1767">
      <w:pPr>
        <w:widowControl/>
        <w:numPr>
          <w:ilvl w:val="0"/>
          <w:numId w:val="116"/>
        </w:numPr>
        <w:tabs>
          <w:tab w:val="left" w:pos="0"/>
          <w:tab w:val="left" w:pos="567"/>
        </w:tabs>
        <w:autoSpaceDE/>
        <w:autoSpaceDN/>
        <w:adjustRightInd/>
        <w:ind w:left="0" w:firstLine="0"/>
        <w:rPr>
          <w:szCs w:val="24"/>
        </w:rPr>
      </w:pPr>
      <w:r w:rsidRPr="00DB1FCB">
        <w:rPr>
          <w:szCs w:val="24"/>
        </w:rPr>
        <w:t xml:space="preserve">антиген </w:t>
      </w:r>
      <w:r w:rsidRPr="00DB1FCB">
        <w:rPr>
          <w:i/>
          <w:szCs w:val="24"/>
        </w:rPr>
        <w:t>Candida</w:t>
      </w:r>
      <w:r w:rsidRPr="00DB1FCB">
        <w:rPr>
          <w:szCs w:val="24"/>
        </w:rPr>
        <w:t xml:space="preserve"> (маннан): ≥ 125 пг/мл; </w:t>
      </w:r>
    </w:p>
    <w:p w14:paraId="6348C0A6" w14:textId="77777777" w:rsidR="006F27D1" w:rsidRPr="00DB1FCB" w:rsidRDefault="006F27D1" w:rsidP="008C1767">
      <w:pPr>
        <w:widowControl/>
        <w:numPr>
          <w:ilvl w:val="0"/>
          <w:numId w:val="116"/>
        </w:numPr>
        <w:tabs>
          <w:tab w:val="left" w:pos="0"/>
          <w:tab w:val="left" w:pos="567"/>
        </w:tabs>
        <w:autoSpaceDE/>
        <w:autoSpaceDN/>
        <w:adjustRightInd/>
        <w:ind w:left="0" w:firstLine="0"/>
        <w:rPr>
          <w:szCs w:val="24"/>
        </w:rPr>
      </w:pPr>
      <w:r w:rsidRPr="00DB1FCB">
        <w:rPr>
          <w:szCs w:val="24"/>
        </w:rPr>
        <w:t xml:space="preserve">антитела к </w:t>
      </w:r>
      <w:r w:rsidRPr="00DB1FCB">
        <w:rPr>
          <w:i/>
          <w:szCs w:val="24"/>
        </w:rPr>
        <w:t>Candida</w:t>
      </w:r>
      <w:r w:rsidRPr="00DB1FCB">
        <w:rPr>
          <w:szCs w:val="24"/>
        </w:rPr>
        <w:t xml:space="preserve"> (антиманнан): ≥ 10 ME. </w:t>
      </w:r>
    </w:p>
    <w:p w14:paraId="79138C59" w14:textId="77777777" w:rsidR="006F27D1" w:rsidRPr="00DB1FCB" w:rsidRDefault="006F27D1" w:rsidP="008C1767">
      <w:pPr>
        <w:widowControl/>
        <w:numPr>
          <w:ilvl w:val="0"/>
          <w:numId w:val="115"/>
        </w:numPr>
        <w:tabs>
          <w:tab w:val="left" w:pos="0"/>
          <w:tab w:val="left" w:pos="567"/>
        </w:tabs>
        <w:autoSpaceDE/>
        <w:autoSpaceDN/>
        <w:adjustRightInd/>
        <w:ind w:left="0" w:firstLine="0"/>
        <w:rPr>
          <w:szCs w:val="24"/>
        </w:rPr>
      </w:pPr>
      <w:r w:rsidRPr="00DB1FCB">
        <w:rPr>
          <w:szCs w:val="24"/>
        </w:rPr>
        <w:t xml:space="preserve">Показания к проведению исследования: </w:t>
      </w:r>
    </w:p>
    <w:p w14:paraId="7DFC2FAF" w14:textId="77777777" w:rsidR="006F27D1" w:rsidRPr="00DB1FCB" w:rsidRDefault="006F27D1" w:rsidP="008C1767">
      <w:pPr>
        <w:widowControl/>
        <w:numPr>
          <w:ilvl w:val="0"/>
          <w:numId w:val="117"/>
        </w:numPr>
        <w:tabs>
          <w:tab w:val="left" w:pos="0"/>
          <w:tab w:val="left" w:pos="567"/>
        </w:tabs>
        <w:autoSpaceDE/>
        <w:autoSpaceDN/>
        <w:adjustRightInd/>
        <w:ind w:left="0" w:firstLine="0"/>
        <w:rPr>
          <w:szCs w:val="24"/>
        </w:rPr>
      </w:pPr>
      <w:r w:rsidRPr="00DB1FCB">
        <w:rPr>
          <w:szCs w:val="24"/>
        </w:rPr>
        <w:t xml:space="preserve">множественные очаги в печени и/или селезенке (подозрение на гепатолиенальный кандидоз); </w:t>
      </w:r>
    </w:p>
    <w:p w14:paraId="4EBE486E" w14:textId="77777777" w:rsidR="006F27D1" w:rsidRPr="00DB1FCB" w:rsidRDefault="006F27D1" w:rsidP="008C1767">
      <w:pPr>
        <w:widowControl/>
        <w:numPr>
          <w:ilvl w:val="0"/>
          <w:numId w:val="117"/>
        </w:numPr>
        <w:tabs>
          <w:tab w:val="left" w:pos="0"/>
          <w:tab w:val="left" w:pos="567"/>
        </w:tabs>
        <w:autoSpaceDE/>
        <w:autoSpaceDN/>
        <w:adjustRightInd/>
        <w:ind w:left="0" w:firstLine="0"/>
        <w:rPr>
          <w:szCs w:val="24"/>
        </w:rPr>
      </w:pPr>
      <w:r w:rsidRPr="00DB1FCB">
        <w:rPr>
          <w:szCs w:val="24"/>
        </w:rPr>
        <w:t xml:space="preserve">предполагаемый инвазивный кандидоз. </w:t>
      </w:r>
    </w:p>
    <w:p w14:paraId="74ED878A" w14:textId="77777777" w:rsidR="006F27D1" w:rsidRPr="00DB1FCB" w:rsidRDefault="006F27D1" w:rsidP="006F27D1">
      <w:pPr>
        <w:tabs>
          <w:tab w:val="left" w:pos="0"/>
          <w:tab w:val="left" w:pos="567"/>
        </w:tabs>
        <w:rPr>
          <w:szCs w:val="24"/>
        </w:rPr>
      </w:pPr>
      <w:r w:rsidRPr="00DB1FCB">
        <w:rPr>
          <w:i/>
          <w:szCs w:val="24"/>
        </w:rPr>
        <w:t>Примечание.</w:t>
      </w:r>
      <w:r w:rsidRPr="00DB1FCB">
        <w:rPr>
          <w:szCs w:val="24"/>
        </w:rPr>
        <w:t xml:space="preserve"> Чувствительность и специфичность исследования составляют около 50—60%. Интерпретация результатов должна быть осторожной, поскольку высока частота ложноположительных результатов. У больных с колонизацией слизистых оболочек кандидами выявляются положительные результаты определения антиманнана. </w:t>
      </w:r>
    </w:p>
    <w:p w14:paraId="5775A255" w14:textId="77777777" w:rsidR="006F27D1" w:rsidRDefault="006F27D1" w:rsidP="006F27D1">
      <w:pPr>
        <w:tabs>
          <w:tab w:val="left" w:pos="0"/>
          <w:tab w:val="left" w:pos="567"/>
        </w:tabs>
        <w:jc w:val="center"/>
        <w:rPr>
          <w:b/>
          <w:szCs w:val="24"/>
        </w:rPr>
      </w:pPr>
    </w:p>
    <w:p w14:paraId="56E1719E" w14:textId="77777777" w:rsidR="006F27D1" w:rsidRPr="00997857" w:rsidRDefault="006F27D1" w:rsidP="006F27D1">
      <w:pPr>
        <w:pStyle w:val="afff3"/>
        <w:ind w:left="0"/>
        <w:rPr>
          <w:i/>
          <w:szCs w:val="24"/>
        </w:rPr>
      </w:pPr>
      <w:r w:rsidRPr="00997857">
        <w:rPr>
          <w:i/>
          <w:szCs w:val="24"/>
        </w:rPr>
        <w:t>Антиген Cryptococcus (глюкуроноксиломаннан)</w:t>
      </w:r>
    </w:p>
    <w:p w14:paraId="21D092F7" w14:textId="77777777" w:rsidR="006F27D1" w:rsidRPr="00DB1FCB" w:rsidRDefault="006F27D1" w:rsidP="008C1767">
      <w:pPr>
        <w:widowControl/>
        <w:numPr>
          <w:ilvl w:val="0"/>
          <w:numId w:val="118"/>
        </w:numPr>
        <w:tabs>
          <w:tab w:val="left" w:pos="0"/>
          <w:tab w:val="left" w:pos="567"/>
        </w:tabs>
        <w:autoSpaceDE/>
        <w:autoSpaceDN/>
        <w:adjustRightInd/>
        <w:ind w:left="0" w:firstLine="0"/>
        <w:rPr>
          <w:szCs w:val="24"/>
        </w:rPr>
      </w:pPr>
      <w:r w:rsidRPr="00DB1FCB">
        <w:rPr>
          <w:szCs w:val="24"/>
        </w:rPr>
        <w:t xml:space="preserve">Обнаружение антигена </w:t>
      </w:r>
      <w:r w:rsidRPr="00DB1FCB">
        <w:rPr>
          <w:i/>
          <w:szCs w:val="24"/>
        </w:rPr>
        <w:t>Cryptococcus</w:t>
      </w:r>
      <w:r w:rsidRPr="00DB1FCB">
        <w:rPr>
          <w:szCs w:val="24"/>
        </w:rPr>
        <w:t xml:space="preserve"> (глюкуроноксиломаннана) включено в критерии диагностики инвазивного криптоккоза. </w:t>
      </w:r>
    </w:p>
    <w:p w14:paraId="59A2DC07" w14:textId="77777777" w:rsidR="006F27D1" w:rsidRPr="00DB1FCB" w:rsidRDefault="006F27D1" w:rsidP="008C1767">
      <w:pPr>
        <w:widowControl/>
        <w:numPr>
          <w:ilvl w:val="0"/>
          <w:numId w:val="118"/>
        </w:numPr>
        <w:tabs>
          <w:tab w:val="left" w:pos="0"/>
          <w:tab w:val="left" w:pos="567"/>
        </w:tabs>
        <w:autoSpaceDE/>
        <w:autoSpaceDN/>
        <w:adjustRightInd/>
        <w:ind w:left="0" w:firstLine="0"/>
        <w:rPr>
          <w:szCs w:val="24"/>
        </w:rPr>
      </w:pPr>
      <w:r w:rsidRPr="00DB1FCB">
        <w:rPr>
          <w:szCs w:val="24"/>
        </w:rPr>
        <w:t xml:space="preserve">Образцы для исследования: </w:t>
      </w:r>
    </w:p>
    <w:p w14:paraId="57DFF1A0" w14:textId="77777777" w:rsidR="006F27D1" w:rsidRPr="00DB1FCB" w:rsidRDefault="006F27D1" w:rsidP="008C1767">
      <w:pPr>
        <w:widowControl/>
        <w:numPr>
          <w:ilvl w:val="0"/>
          <w:numId w:val="119"/>
        </w:numPr>
        <w:tabs>
          <w:tab w:val="left" w:pos="0"/>
          <w:tab w:val="left" w:pos="567"/>
        </w:tabs>
        <w:autoSpaceDE/>
        <w:autoSpaceDN/>
        <w:adjustRightInd/>
        <w:ind w:left="0" w:firstLine="0"/>
        <w:rPr>
          <w:szCs w:val="24"/>
        </w:rPr>
      </w:pPr>
      <w:r w:rsidRPr="00DB1FCB">
        <w:rPr>
          <w:szCs w:val="24"/>
        </w:rPr>
        <w:t xml:space="preserve">кровь; </w:t>
      </w:r>
    </w:p>
    <w:p w14:paraId="45457558" w14:textId="77777777" w:rsidR="006F27D1" w:rsidRPr="00DB1FCB" w:rsidRDefault="006F27D1" w:rsidP="008C1767">
      <w:pPr>
        <w:widowControl/>
        <w:numPr>
          <w:ilvl w:val="0"/>
          <w:numId w:val="119"/>
        </w:numPr>
        <w:tabs>
          <w:tab w:val="left" w:pos="0"/>
          <w:tab w:val="left" w:pos="567"/>
        </w:tabs>
        <w:autoSpaceDE/>
        <w:autoSpaceDN/>
        <w:adjustRightInd/>
        <w:ind w:left="0" w:firstLine="0"/>
        <w:rPr>
          <w:szCs w:val="24"/>
        </w:rPr>
      </w:pPr>
      <w:r w:rsidRPr="00DB1FCB">
        <w:rPr>
          <w:szCs w:val="24"/>
        </w:rPr>
        <w:t xml:space="preserve">жидкость БАЛ; </w:t>
      </w:r>
    </w:p>
    <w:p w14:paraId="14B3923B" w14:textId="77777777" w:rsidR="006F27D1" w:rsidRPr="00DB1FCB" w:rsidRDefault="006F27D1" w:rsidP="008C1767">
      <w:pPr>
        <w:widowControl/>
        <w:numPr>
          <w:ilvl w:val="0"/>
          <w:numId w:val="119"/>
        </w:numPr>
        <w:tabs>
          <w:tab w:val="left" w:pos="0"/>
          <w:tab w:val="left" w:pos="567"/>
        </w:tabs>
        <w:autoSpaceDE/>
        <w:autoSpaceDN/>
        <w:adjustRightInd/>
        <w:ind w:left="0" w:firstLine="0"/>
        <w:rPr>
          <w:szCs w:val="24"/>
        </w:rPr>
      </w:pPr>
      <w:r w:rsidRPr="00DB1FCB">
        <w:rPr>
          <w:szCs w:val="24"/>
        </w:rPr>
        <w:t xml:space="preserve">СМЖ; </w:t>
      </w:r>
    </w:p>
    <w:p w14:paraId="47FD8C11" w14:textId="77777777" w:rsidR="006F27D1" w:rsidRPr="00DB1FCB" w:rsidRDefault="006F27D1" w:rsidP="008C1767">
      <w:pPr>
        <w:widowControl/>
        <w:numPr>
          <w:ilvl w:val="0"/>
          <w:numId w:val="119"/>
        </w:numPr>
        <w:tabs>
          <w:tab w:val="left" w:pos="0"/>
          <w:tab w:val="left" w:pos="567"/>
        </w:tabs>
        <w:autoSpaceDE/>
        <w:autoSpaceDN/>
        <w:adjustRightInd/>
        <w:ind w:left="0" w:firstLine="0"/>
        <w:rPr>
          <w:szCs w:val="24"/>
        </w:rPr>
      </w:pPr>
      <w:r w:rsidRPr="00DB1FCB">
        <w:rPr>
          <w:szCs w:val="24"/>
        </w:rPr>
        <w:t xml:space="preserve">моча. </w:t>
      </w:r>
    </w:p>
    <w:p w14:paraId="64F34F93" w14:textId="77777777" w:rsidR="006F27D1" w:rsidRPr="00DB1FCB" w:rsidRDefault="006F27D1" w:rsidP="008C1767">
      <w:pPr>
        <w:widowControl/>
        <w:numPr>
          <w:ilvl w:val="0"/>
          <w:numId w:val="120"/>
        </w:numPr>
        <w:tabs>
          <w:tab w:val="left" w:pos="0"/>
          <w:tab w:val="left" w:pos="567"/>
        </w:tabs>
        <w:autoSpaceDE/>
        <w:autoSpaceDN/>
        <w:adjustRightInd/>
        <w:ind w:left="0" w:firstLine="0"/>
        <w:rPr>
          <w:szCs w:val="24"/>
        </w:rPr>
      </w:pPr>
      <w:r w:rsidRPr="00DB1FCB">
        <w:rPr>
          <w:szCs w:val="24"/>
        </w:rPr>
        <w:t xml:space="preserve">Высокой чувствительностью и специфичностью обладает латекс-тест (анализ качественный - положительный или отрицательный). </w:t>
      </w:r>
    </w:p>
    <w:p w14:paraId="6540ADB7" w14:textId="77777777" w:rsidR="006F27D1" w:rsidRPr="00DB1FCB" w:rsidRDefault="006F27D1" w:rsidP="008C1767">
      <w:pPr>
        <w:widowControl/>
        <w:numPr>
          <w:ilvl w:val="0"/>
          <w:numId w:val="120"/>
        </w:numPr>
        <w:tabs>
          <w:tab w:val="left" w:pos="0"/>
          <w:tab w:val="left" w:pos="567"/>
        </w:tabs>
        <w:autoSpaceDE/>
        <w:autoSpaceDN/>
        <w:adjustRightInd/>
        <w:ind w:left="0" w:firstLine="0"/>
        <w:rPr>
          <w:szCs w:val="24"/>
        </w:rPr>
      </w:pPr>
      <w:r w:rsidRPr="00DB1FCB">
        <w:rPr>
          <w:szCs w:val="24"/>
        </w:rPr>
        <w:t xml:space="preserve">Показания к определению антигена </w:t>
      </w:r>
      <w:r w:rsidRPr="00DB1FCB">
        <w:rPr>
          <w:i/>
          <w:szCs w:val="24"/>
        </w:rPr>
        <w:t>Cryptococcus</w:t>
      </w:r>
      <w:r w:rsidRPr="00DB1FCB">
        <w:rPr>
          <w:szCs w:val="24"/>
        </w:rPr>
        <w:t xml:space="preserve"> (глюкуроноксиломаннан): </w:t>
      </w:r>
    </w:p>
    <w:p w14:paraId="7D553439" w14:textId="77777777" w:rsidR="006F27D1" w:rsidRPr="00DB1FCB" w:rsidRDefault="006F27D1" w:rsidP="008C1767">
      <w:pPr>
        <w:widowControl/>
        <w:numPr>
          <w:ilvl w:val="0"/>
          <w:numId w:val="121"/>
        </w:numPr>
        <w:tabs>
          <w:tab w:val="left" w:pos="0"/>
          <w:tab w:val="left" w:pos="567"/>
        </w:tabs>
        <w:autoSpaceDE/>
        <w:autoSpaceDN/>
        <w:adjustRightInd/>
        <w:ind w:left="0" w:firstLine="0"/>
        <w:rPr>
          <w:szCs w:val="24"/>
        </w:rPr>
      </w:pPr>
      <w:r w:rsidRPr="00DB1FCB">
        <w:rPr>
          <w:szCs w:val="24"/>
        </w:rPr>
        <w:t xml:space="preserve">исследование всех первых образцов СМЖ при симптомах инфекции ЦНС у больных опухолями системы крови; </w:t>
      </w:r>
    </w:p>
    <w:p w14:paraId="48C15A61" w14:textId="77777777" w:rsidR="006F27D1" w:rsidRPr="00DB1FCB" w:rsidRDefault="006F27D1" w:rsidP="008C1767">
      <w:pPr>
        <w:widowControl/>
        <w:numPr>
          <w:ilvl w:val="0"/>
          <w:numId w:val="121"/>
        </w:numPr>
        <w:tabs>
          <w:tab w:val="left" w:pos="0"/>
          <w:tab w:val="left" w:pos="567"/>
        </w:tabs>
        <w:autoSpaceDE/>
        <w:autoSpaceDN/>
        <w:adjustRightInd/>
        <w:ind w:left="0" w:firstLine="0"/>
        <w:rPr>
          <w:szCs w:val="24"/>
        </w:rPr>
      </w:pPr>
      <w:r w:rsidRPr="00DB1FCB">
        <w:rPr>
          <w:szCs w:val="24"/>
        </w:rPr>
        <w:lastRenderedPageBreak/>
        <w:t xml:space="preserve">исследование второго образца спинномозговой жидкости при некупируемой инфекции ЦНС; </w:t>
      </w:r>
    </w:p>
    <w:p w14:paraId="3CB515D4" w14:textId="77777777" w:rsidR="006F27D1" w:rsidRPr="00DB1FCB" w:rsidRDefault="006F27D1" w:rsidP="008C1767">
      <w:pPr>
        <w:widowControl/>
        <w:numPr>
          <w:ilvl w:val="0"/>
          <w:numId w:val="121"/>
        </w:numPr>
        <w:tabs>
          <w:tab w:val="left" w:pos="0"/>
          <w:tab w:val="left" w:pos="567"/>
        </w:tabs>
        <w:autoSpaceDE/>
        <w:autoSpaceDN/>
        <w:adjustRightInd/>
        <w:ind w:left="0" w:firstLine="0"/>
        <w:rPr>
          <w:szCs w:val="24"/>
        </w:rPr>
      </w:pPr>
      <w:r w:rsidRPr="00DB1FCB">
        <w:rPr>
          <w:szCs w:val="24"/>
        </w:rPr>
        <w:t xml:space="preserve">исследование антигена </w:t>
      </w:r>
      <w:r w:rsidRPr="00DB1FCB">
        <w:rPr>
          <w:i/>
          <w:szCs w:val="24"/>
        </w:rPr>
        <w:t>Cryptococcus</w:t>
      </w:r>
      <w:r w:rsidRPr="00DB1FCB">
        <w:rPr>
          <w:szCs w:val="24"/>
        </w:rPr>
        <w:t xml:space="preserve"> (глюкуроноксиломаннан) в крови в случае предполагаемой криптококковой инфекции. </w:t>
      </w:r>
    </w:p>
    <w:p w14:paraId="0A1330A6" w14:textId="77777777" w:rsidR="006F27D1" w:rsidRPr="00DB1FCB" w:rsidRDefault="006F27D1" w:rsidP="006F27D1">
      <w:pPr>
        <w:tabs>
          <w:tab w:val="left" w:pos="0"/>
          <w:tab w:val="left" w:pos="567"/>
        </w:tabs>
        <w:rPr>
          <w:szCs w:val="24"/>
        </w:rPr>
      </w:pPr>
      <w:r w:rsidRPr="00DB1FCB">
        <w:rPr>
          <w:i/>
          <w:szCs w:val="24"/>
        </w:rPr>
        <w:t>Примечание.</w:t>
      </w:r>
      <w:r w:rsidRPr="00DB1FCB">
        <w:rPr>
          <w:szCs w:val="24"/>
        </w:rPr>
        <w:t xml:space="preserve"> Криптококкоз развивается, прежде всего, у больных с Т-клеточным иммунодефицитом (лимфома, хронический лимфолейкоз). Группу риска составляют больные, которые получают лечение глюкокортикоидами, флударабином, алемтузумабом, циклоспорином. </w:t>
      </w:r>
    </w:p>
    <w:p w14:paraId="1D3E007C" w14:textId="77777777" w:rsidR="006F27D1" w:rsidRDefault="006F27D1" w:rsidP="006F27D1">
      <w:pPr>
        <w:pStyle w:val="afff3"/>
        <w:ind w:left="0"/>
        <w:rPr>
          <w:szCs w:val="24"/>
          <w:u w:val="single"/>
        </w:rPr>
      </w:pPr>
    </w:p>
    <w:p w14:paraId="6EA56704" w14:textId="77777777" w:rsidR="006F27D1" w:rsidRPr="00997857" w:rsidRDefault="006F27D1" w:rsidP="006F27D1">
      <w:pPr>
        <w:pStyle w:val="afff3"/>
        <w:ind w:left="0"/>
        <w:rPr>
          <w:b/>
          <w:i/>
          <w:szCs w:val="24"/>
        </w:rPr>
      </w:pPr>
      <w:r w:rsidRPr="00997857">
        <w:rPr>
          <w:b/>
          <w:i/>
          <w:szCs w:val="24"/>
        </w:rPr>
        <w:t>Исследование крови на антитела к Мycoplasma pneumoniae (IgM, IgG), Chlamydia pneumoniae (IgM, IgG) в крови</w:t>
      </w:r>
    </w:p>
    <w:p w14:paraId="5A6DF9B7" w14:textId="77777777" w:rsidR="006F27D1" w:rsidRPr="00DB1FCB" w:rsidRDefault="006F27D1" w:rsidP="008C1767">
      <w:pPr>
        <w:widowControl/>
        <w:numPr>
          <w:ilvl w:val="0"/>
          <w:numId w:val="122"/>
        </w:numPr>
        <w:tabs>
          <w:tab w:val="left" w:pos="0"/>
          <w:tab w:val="left" w:pos="567"/>
        </w:tabs>
        <w:autoSpaceDE/>
        <w:autoSpaceDN/>
        <w:adjustRightInd/>
        <w:ind w:left="0" w:firstLine="0"/>
        <w:rPr>
          <w:szCs w:val="24"/>
        </w:rPr>
      </w:pPr>
      <w:r w:rsidRPr="00DB1FCB">
        <w:rPr>
          <w:szCs w:val="24"/>
        </w:rPr>
        <w:t xml:space="preserve">Показания — пневмония. </w:t>
      </w:r>
    </w:p>
    <w:p w14:paraId="4811C5A9" w14:textId="77777777" w:rsidR="006F27D1" w:rsidRDefault="006F27D1" w:rsidP="006F27D1">
      <w:pPr>
        <w:tabs>
          <w:tab w:val="left" w:pos="0"/>
          <w:tab w:val="left" w:pos="567"/>
        </w:tabs>
        <w:rPr>
          <w:szCs w:val="24"/>
        </w:rPr>
      </w:pPr>
      <w:r w:rsidRPr="00DB1FCB">
        <w:rPr>
          <w:i/>
          <w:szCs w:val="24"/>
        </w:rPr>
        <w:t>Примечание.</w:t>
      </w:r>
      <w:r w:rsidRPr="00DB1FCB">
        <w:rPr>
          <w:szCs w:val="24"/>
        </w:rPr>
        <w:t xml:space="preserve"> При положительных результатах определения IgG и наличии лихорадки исследование повторяют через 10—14 дней. </w:t>
      </w:r>
    </w:p>
    <w:p w14:paraId="6CD8B89D" w14:textId="77777777" w:rsidR="006F27D1" w:rsidRPr="00DB1FCB" w:rsidRDefault="006F27D1" w:rsidP="006F27D1">
      <w:pPr>
        <w:tabs>
          <w:tab w:val="left" w:pos="0"/>
          <w:tab w:val="left" w:pos="567"/>
        </w:tabs>
        <w:rPr>
          <w:szCs w:val="24"/>
        </w:rPr>
      </w:pPr>
    </w:p>
    <w:p w14:paraId="512F3F2B" w14:textId="77777777" w:rsidR="006F27D1" w:rsidRPr="00997857" w:rsidRDefault="006F27D1" w:rsidP="006F27D1">
      <w:pPr>
        <w:pStyle w:val="afff3"/>
        <w:ind w:left="0"/>
        <w:rPr>
          <w:b/>
          <w:i/>
          <w:szCs w:val="24"/>
        </w:rPr>
      </w:pPr>
      <w:r w:rsidRPr="00997857">
        <w:rPr>
          <w:b/>
          <w:i/>
          <w:szCs w:val="24"/>
        </w:rPr>
        <w:t>МРТ головного мозга</w:t>
      </w:r>
    </w:p>
    <w:p w14:paraId="1C973043" w14:textId="77777777" w:rsidR="006F27D1" w:rsidRPr="00DB1FCB" w:rsidRDefault="006F27D1" w:rsidP="008C1767">
      <w:pPr>
        <w:widowControl/>
        <w:numPr>
          <w:ilvl w:val="0"/>
          <w:numId w:val="170"/>
        </w:numPr>
        <w:tabs>
          <w:tab w:val="left" w:pos="0"/>
          <w:tab w:val="left" w:pos="567"/>
        </w:tabs>
        <w:autoSpaceDE/>
        <w:autoSpaceDN/>
        <w:adjustRightInd/>
        <w:ind w:left="0" w:firstLine="0"/>
        <w:rPr>
          <w:b/>
          <w:szCs w:val="24"/>
        </w:rPr>
      </w:pPr>
      <w:r w:rsidRPr="00DB1FCB">
        <w:rPr>
          <w:szCs w:val="24"/>
        </w:rPr>
        <w:t xml:space="preserve">Показания – появление неврологической симптоматики, симптомов менингита. Развитие на фоне фебрильной нейтропении мозговой симптоматики. </w:t>
      </w:r>
    </w:p>
    <w:p w14:paraId="6F23336F" w14:textId="77777777" w:rsidR="006F27D1" w:rsidRPr="00DB1FCB" w:rsidRDefault="006F27D1" w:rsidP="008C1767">
      <w:pPr>
        <w:widowControl/>
        <w:numPr>
          <w:ilvl w:val="0"/>
          <w:numId w:val="170"/>
        </w:numPr>
        <w:tabs>
          <w:tab w:val="left" w:pos="0"/>
          <w:tab w:val="left" w:pos="567"/>
        </w:tabs>
        <w:autoSpaceDE/>
        <w:autoSpaceDN/>
        <w:adjustRightInd/>
        <w:ind w:left="0" w:firstLine="0"/>
        <w:rPr>
          <w:b/>
          <w:szCs w:val="24"/>
        </w:rPr>
      </w:pPr>
      <w:r w:rsidRPr="00DB1FCB">
        <w:rPr>
          <w:szCs w:val="24"/>
        </w:rPr>
        <w:t xml:space="preserve">При выявлении очага (очагов) в веществе головного мозга необходимо выполнение люмбальной пункции с последующими цитологическим и микробиологическими исследованиями. </w:t>
      </w:r>
    </w:p>
    <w:p w14:paraId="347912E6" w14:textId="77777777" w:rsidR="006F27D1" w:rsidRDefault="006F27D1" w:rsidP="006F27D1">
      <w:pPr>
        <w:pStyle w:val="afff3"/>
        <w:ind w:left="0"/>
        <w:rPr>
          <w:szCs w:val="24"/>
          <w:u w:val="single"/>
        </w:rPr>
      </w:pPr>
    </w:p>
    <w:p w14:paraId="23D6D8D9" w14:textId="77777777" w:rsidR="006F27D1" w:rsidRPr="00997857" w:rsidRDefault="006F27D1" w:rsidP="006F27D1">
      <w:pPr>
        <w:pStyle w:val="afff3"/>
        <w:ind w:left="0"/>
        <w:rPr>
          <w:b/>
          <w:i/>
          <w:szCs w:val="24"/>
        </w:rPr>
      </w:pPr>
      <w:r w:rsidRPr="00997857">
        <w:rPr>
          <w:b/>
          <w:i/>
          <w:szCs w:val="24"/>
        </w:rPr>
        <w:t>Ультразвуковое исследование или компьютерная томография органов брюшной полости</w:t>
      </w:r>
    </w:p>
    <w:p w14:paraId="0449C7C4" w14:textId="41E16F1B" w:rsidR="006F27D1" w:rsidRPr="00DB1FCB" w:rsidRDefault="006F27D1" w:rsidP="008C1767">
      <w:pPr>
        <w:widowControl/>
        <w:numPr>
          <w:ilvl w:val="0"/>
          <w:numId w:val="122"/>
        </w:numPr>
        <w:tabs>
          <w:tab w:val="left" w:pos="0"/>
          <w:tab w:val="left" w:pos="567"/>
        </w:tabs>
        <w:autoSpaceDE/>
        <w:autoSpaceDN/>
        <w:adjustRightInd/>
        <w:ind w:left="0" w:firstLine="0"/>
        <w:rPr>
          <w:szCs w:val="24"/>
        </w:rPr>
      </w:pPr>
      <w:r w:rsidRPr="00DB1FCB">
        <w:rPr>
          <w:szCs w:val="24"/>
        </w:rPr>
        <w:t xml:space="preserve">Показания — сохраняющаяся лихорадка (колебания температуры в течение суток от 37 до 39°С) при восстановлении числа нейтрофилов (число </w:t>
      </w:r>
      <w:r w:rsidR="00E332F3" w:rsidRPr="00DB1FCB">
        <w:rPr>
          <w:szCs w:val="24"/>
        </w:rPr>
        <w:t>гранулоцитов&gt;</w:t>
      </w:r>
      <w:r w:rsidRPr="00DB1FCB">
        <w:rPr>
          <w:szCs w:val="24"/>
        </w:rPr>
        <w:t xml:space="preserve"> 0,5 × 10</w:t>
      </w:r>
      <w:r w:rsidRPr="00DB1FCB">
        <w:rPr>
          <w:szCs w:val="24"/>
          <w:vertAlign w:val="superscript"/>
        </w:rPr>
        <w:t>9</w:t>
      </w:r>
      <w:r w:rsidRPr="00DB1FCB">
        <w:rPr>
          <w:szCs w:val="24"/>
        </w:rPr>
        <w:t xml:space="preserve"> /л). </w:t>
      </w:r>
    </w:p>
    <w:p w14:paraId="1D814FE5" w14:textId="77777777" w:rsidR="006F27D1" w:rsidRPr="00DB1FCB" w:rsidRDefault="006F27D1" w:rsidP="006F27D1">
      <w:pPr>
        <w:tabs>
          <w:tab w:val="left" w:pos="0"/>
          <w:tab w:val="left" w:pos="567"/>
        </w:tabs>
        <w:rPr>
          <w:szCs w:val="24"/>
        </w:rPr>
      </w:pPr>
      <w:r w:rsidRPr="00DB1FCB">
        <w:rPr>
          <w:i/>
          <w:szCs w:val="24"/>
        </w:rPr>
        <w:t>Примечание.</w:t>
      </w:r>
      <w:r w:rsidRPr="00DB1FCB">
        <w:rPr>
          <w:szCs w:val="24"/>
        </w:rPr>
        <w:t xml:space="preserve"> УЗИ и КТ при гепатолиенальном кандидозе не являются взаимоисключающими диагностическими процедурами. У части больных очаги в печени и/или селезенке могут быть обнаружены только при УЗИ, у других — только при КТ. Наибольшее диагностическое значение имеет МРТ печени и селезенки. </w:t>
      </w:r>
    </w:p>
    <w:p w14:paraId="04E2C5AF" w14:textId="77777777" w:rsidR="006F27D1" w:rsidRPr="00DB1FCB" w:rsidRDefault="006F27D1" w:rsidP="008C1767">
      <w:pPr>
        <w:widowControl/>
        <w:numPr>
          <w:ilvl w:val="0"/>
          <w:numId w:val="122"/>
        </w:numPr>
        <w:tabs>
          <w:tab w:val="left" w:pos="0"/>
          <w:tab w:val="left" w:pos="567"/>
        </w:tabs>
        <w:autoSpaceDE/>
        <w:autoSpaceDN/>
        <w:adjustRightInd/>
        <w:ind w:left="0" w:firstLine="0"/>
        <w:rPr>
          <w:szCs w:val="24"/>
        </w:rPr>
      </w:pPr>
      <w:r w:rsidRPr="00DB1FCB">
        <w:rPr>
          <w:szCs w:val="24"/>
        </w:rPr>
        <w:t>При диагностике гепатолиенального кандидоза контрольное исследование проводят не ранее чем через 3—4 недели терапии системными противогрибковыми препаратами ввиду крайне медленной регрессии очагов.</w:t>
      </w:r>
    </w:p>
    <w:p w14:paraId="0AC6749D" w14:textId="6B3195DF" w:rsidR="006F27D1" w:rsidRPr="00DB1FCB" w:rsidRDefault="006F27D1" w:rsidP="008C1767">
      <w:pPr>
        <w:widowControl/>
        <w:numPr>
          <w:ilvl w:val="0"/>
          <w:numId w:val="122"/>
        </w:numPr>
        <w:tabs>
          <w:tab w:val="left" w:pos="0"/>
          <w:tab w:val="left" w:pos="567"/>
        </w:tabs>
        <w:autoSpaceDE/>
        <w:autoSpaceDN/>
        <w:adjustRightInd/>
        <w:ind w:left="0" w:firstLine="0"/>
        <w:rPr>
          <w:szCs w:val="24"/>
        </w:rPr>
      </w:pPr>
      <w:r w:rsidRPr="00DB1FCB">
        <w:rPr>
          <w:szCs w:val="24"/>
        </w:rPr>
        <w:lastRenderedPageBreak/>
        <w:t xml:space="preserve">Оценивать состояние очагов (размеры, плотность) в печени и селезенке необходимо всегда при числе </w:t>
      </w:r>
      <w:r w:rsidR="00E332F3" w:rsidRPr="00DB1FCB">
        <w:rPr>
          <w:szCs w:val="24"/>
        </w:rPr>
        <w:t>гранулоцитов&gt;</w:t>
      </w:r>
      <w:r w:rsidRPr="00DB1FCB">
        <w:rPr>
          <w:szCs w:val="24"/>
        </w:rPr>
        <w:t xml:space="preserve"> 0,5 × 10</w:t>
      </w:r>
      <w:r w:rsidRPr="00A64221">
        <w:rPr>
          <w:i/>
          <w:szCs w:val="24"/>
          <w:vertAlign w:val="superscript"/>
        </w:rPr>
        <w:t>9</w:t>
      </w:r>
      <w:r w:rsidRPr="00DB1FCB">
        <w:rPr>
          <w:szCs w:val="24"/>
        </w:rPr>
        <w:t xml:space="preserve"> /л. Проведение исследования в период нейтропении дает ложную информацию о меньшем размере очагов. </w:t>
      </w:r>
    </w:p>
    <w:p w14:paraId="7A745AB0" w14:textId="77777777" w:rsidR="006F27D1" w:rsidRDefault="006F27D1" w:rsidP="006F27D1">
      <w:pPr>
        <w:pStyle w:val="afff3"/>
        <w:ind w:left="0"/>
        <w:rPr>
          <w:szCs w:val="24"/>
          <w:u w:val="single"/>
        </w:rPr>
      </w:pPr>
    </w:p>
    <w:p w14:paraId="5CC7FFDB" w14:textId="77777777" w:rsidR="006F27D1" w:rsidRPr="00997857" w:rsidRDefault="006F27D1" w:rsidP="006F27D1">
      <w:pPr>
        <w:pStyle w:val="afff3"/>
        <w:ind w:left="0"/>
        <w:rPr>
          <w:b/>
          <w:i/>
          <w:szCs w:val="24"/>
        </w:rPr>
      </w:pPr>
      <w:r w:rsidRPr="00997857">
        <w:rPr>
          <w:b/>
          <w:i/>
          <w:szCs w:val="24"/>
        </w:rPr>
        <w:t>Дополнительные исследования</w:t>
      </w:r>
    </w:p>
    <w:p w14:paraId="7FAF6060" w14:textId="77777777" w:rsidR="006F27D1" w:rsidRPr="007A7B76" w:rsidRDefault="006F27D1" w:rsidP="006F27D1">
      <w:pPr>
        <w:tabs>
          <w:tab w:val="left" w:pos="0"/>
          <w:tab w:val="left" w:pos="567"/>
        </w:tabs>
        <w:ind w:firstLine="567"/>
        <w:rPr>
          <w:szCs w:val="24"/>
        </w:rPr>
      </w:pPr>
      <w:r w:rsidRPr="007A7B76">
        <w:rPr>
          <w:szCs w:val="24"/>
        </w:rPr>
        <w:t>В случае внезапно развившейся нейтропении или тромбоцитопении либо длительно существующей необъяснимой нейтропении или тромбоцитопении необходимо провести исследования на ЦМВ (определение ДНК ЦМВ в крови), особенно у больных лифопролиферативными заболеваниями, а также у пациентов, длительно принимавших глюкокортикоиды.</w:t>
      </w:r>
    </w:p>
    <w:p w14:paraId="061151B1" w14:textId="77777777" w:rsidR="006F27D1" w:rsidRPr="007A7B76" w:rsidRDefault="006F27D1" w:rsidP="006F27D1">
      <w:pPr>
        <w:tabs>
          <w:tab w:val="left" w:pos="0"/>
          <w:tab w:val="left" w:pos="567"/>
        </w:tabs>
        <w:ind w:firstLine="567"/>
        <w:rPr>
          <w:szCs w:val="24"/>
        </w:rPr>
      </w:pPr>
      <w:r w:rsidRPr="007A7B76">
        <w:rPr>
          <w:szCs w:val="24"/>
        </w:rPr>
        <w:t xml:space="preserve">При тяжелой инфекции, особенно при бактериемии, может изменяться содержание С-реактивного белка, интерлейкинов (ИЛ-6, ИЛ-8) и прокальцитонина. Однако повышение этих маркеров происходит не всегда, особенно при вирусной или грибковой инфекции. Обнаружение биологически активных соединений в крови или повышение их уровня не является основанием для назначения антимикробных препаратов или изменения терапии инфекционных осложнений при стабильной клинической ситуации в период нейтропении. Не следует определять прокальцитонин и другие маркеры в первые часы повышения температуры, так как в любом случае при фебрильной нейтропении будет назначен антибиотик, и значения прокальцитонина не влияют на выбор антимикробного препарата. </w:t>
      </w:r>
    </w:p>
    <w:p w14:paraId="6177AEDE" w14:textId="77777777" w:rsidR="006F27D1" w:rsidRDefault="006F27D1" w:rsidP="006F27D1">
      <w:pPr>
        <w:pStyle w:val="afff3"/>
        <w:tabs>
          <w:tab w:val="left" w:pos="0"/>
          <w:tab w:val="left" w:pos="567"/>
        </w:tabs>
        <w:rPr>
          <w:szCs w:val="24"/>
          <w:u w:val="single"/>
        </w:rPr>
      </w:pPr>
    </w:p>
    <w:p w14:paraId="477C63FF" w14:textId="77777777" w:rsidR="006F27D1" w:rsidRPr="00997857" w:rsidRDefault="006F27D1" w:rsidP="006F27D1">
      <w:pPr>
        <w:tabs>
          <w:tab w:val="left" w:pos="0"/>
          <w:tab w:val="left" w:pos="567"/>
        </w:tabs>
        <w:rPr>
          <w:szCs w:val="24"/>
          <w:u w:val="single"/>
        </w:rPr>
      </w:pPr>
      <w:r w:rsidRPr="00997857">
        <w:rPr>
          <w:szCs w:val="24"/>
          <w:u w:val="single"/>
        </w:rPr>
        <w:t>Порядок назначения антимикробной терапии</w:t>
      </w:r>
    </w:p>
    <w:p w14:paraId="0A151651" w14:textId="77777777" w:rsidR="006F27D1" w:rsidRPr="00997857" w:rsidRDefault="006F27D1" w:rsidP="006F27D1">
      <w:pPr>
        <w:pStyle w:val="afff3"/>
        <w:ind w:left="0"/>
        <w:rPr>
          <w:b/>
          <w:i/>
          <w:szCs w:val="24"/>
        </w:rPr>
      </w:pPr>
      <w:r w:rsidRPr="00997857">
        <w:rPr>
          <w:b/>
          <w:i/>
          <w:szCs w:val="24"/>
        </w:rPr>
        <w:t>Показания к назначению антибиотиков первого этапа</w:t>
      </w:r>
    </w:p>
    <w:p w14:paraId="6605CB62" w14:textId="77777777" w:rsidR="006F27D1" w:rsidRPr="00DB1FCB" w:rsidRDefault="006F27D1" w:rsidP="008C1767">
      <w:pPr>
        <w:widowControl/>
        <w:numPr>
          <w:ilvl w:val="0"/>
          <w:numId w:val="128"/>
        </w:numPr>
        <w:tabs>
          <w:tab w:val="left" w:pos="0"/>
          <w:tab w:val="left" w:pos="567"/>
        </w:tabs>
        <w:autoSpaceDE/>
        <w:autoSpaceDN/>
        <w:adjustRightInd/>
        <w:ind w:left="0" w:firstLine="0"/>
        <w:rPr>
          <w:szCs w:val="24"/>
        </w:rPr>
      </w:pPr>
      <w:r w:rsidRPr="00DB1FCB">
        <w:rPr>
          <w:szCs w:val="24"/>
        </w:rPr>
        <w:t xml:space="preserve">Повышение температуры ≥ 38,0°С (измерение в подмышечных впадинах), сохраняющееся в течение 2 часов и не связанное с введением пирогенных препаратов (например, компонентов крови, факторов роста и др.) </w:t>
      </w:r>
      <w:r w:rsidRPr="00DB1FCB">
        <w:rPr>
          <w:i/>
          <w:szCs w:val="24"/>
        </w:rPr>
        <w:t>и/или</w:t>
      </w:r>
    </w:p>
    <w:p w14:paraId="07586405" w14:textId="77777777" w:rsidR="006F27D1" w:rsidRPr="00674B7A" w:rsidRDefault="006F27D1" w:rsidP="008C1767">
      <w:pPr>
        <w:widowControl/>
        <w:numPr>
          <w:ilvl w:val="0"/>
          <w:numId w:val="128"/>
        </w:numPr>
        <w:tabs>
          <w:tab w:val="left" w:pos="0"/>
          <w:tab w:val="left" w:pos="567"/>
        </w:tabs>
        <w:autoSpaceDE/>
        <w:autoSpaceDN/>
        <w:adjustRightInd/>
        <w:ind w:left="0" w:firstLine="0"/>
        <w:rPr>
          <w:szCs w:val="24"/>
        </w:rPr>
      </w:pPr>
      <w:r w:rsidRPr="00DB1FCB">
        <w:rPr>
          <w:szCs w:val="24"/>
        </w:rPr>
        <w:t xml:space="preserve">Наличие очага инфекции (например, пневмония, парапроктит и др.). </w:t>
      </w:r>
      <w:r w:rsidRPr="00674B7A">
        <w:rPr>
          <w:szCs w:val="24"/>
        </w:rPr>
        <w:t>При наличии очага инфекции уровень лихорадки не является определяющим для назначения антибиотиков.</w:t>
      </w:r>
    </w:p>
    <w:p w14:paraId="6501B921" w14:textId="77777777" w:rsidR="006F27D1" w:rsidRPr="00674B7A" w:rsidRDefault="006F27D1" w:rsidP="006F27D1">
      <w:pPr>
        <w:tabs>
          <w:tab w:val="left" w:pos="0"/>
          <w:tab w:val="left" w:pos="567"/>
        </w:tabs>
        <w:rPr>
          <w:szCs w:val="24"/>
        </w:rPr>
      </w:pPr>
      <w:r w:rsidRPr="00674B7A">
        <w:rPr>
          <w:i/>
          <w:szCs w:val="24"/>
        </w:rPr>
        <w:t>Примечание.</w:t>
      </w:r>
      <w:r w:rsidRPr="00674B7A">
        <w:rPr>
          <w:szCs w:val="24"/>
        </w:rPr>
        <w:t xml:space="preserve"> Сама по себе нейтропения (даже при числе нейтрофилов ≤ 0,1 × 10</w:t>
      </w:r>
      <w:r w:rsidRPr="00674B7A">
        <w:rPr>
          <w:szCs w:val="24"/>
          <w:vertAlign w:val="superscript"/>
        </w:rPr>
        <w:t>9</w:t>
      </w:r>
      <w:r w:rsidRPr="00674B7A">
        <w:rPr>
          <w:szCs w:val="24"/>
        </w:rPr>
        <w:t>/л) без лихорадки и очага инфекции не является показанием к назначению антибактериальных препаратов.</w:t>
      </w:r>
    </w:p>
    <w:p w14:paraId="0E28125D" w14:textId="77777777" w:rsidR="006F27D1" w:rsidRDefault="006F27D1" w:rsidP="006F27D1">
      <w:pPr>
        <w:tabs>
          <w:tab w:val="left" w:pos="0"/>
          <w:tab w:val="left" w:pos="567"/>
        </w:tabs>
        <w:rPr>
          <w:b/>
          <w:szCs w:val="24"/>
        </w:rPr>
      </w:pPr>
    </w:p>
    <w:p w14:paraId="3255386D" w14:textId="77777777" w:rsidR="006F27D1" w:rsidRPr="00997857" w:rsidRDefault="006F27D1" w:rsidP="006F27D1">
      <w:pPr>
        <w:pStyle w:val="afff3"/>
        <w:ind w:left="0"/>
        <w:rPr>
          <w:b/>
          <w:i/>
          <w:szCs w:val="24"/>
        </w:rPr>
      </w:pPr>
      <w:r w:rsidRPr="00997857">
        <w:rPr>
          <w:b/>
          <w:i/>
          <w:szCs w:val="24"/>
        </w:rPr>
        <w:t>Основные принципы эмпирической терапии при лихорадке периода нейтропении</w:t>
      </w:r>
    </w:p>
    <w:p w14:paraId="0A6281BF" w14:textId="77777777" w:rsidR="006F27D1" w:rsidRPr="00DB1FCB" w:rsidRDefault="006F27D1" w:rsidP="008C1767">
      <w:pPr>
        <w:widowControl/>
        <w:numPr>
          <w:ilvl w:val="0"/>
          <w:numId w:val="129"/>
        </w:numPr>
        <w:tabs>
          <w:tab w:val="left" w:pos="0"/>
          <w:tab w:val="left" w:pos="567"/>
        </w:tabs>
        <w:autoSpaceDE/>
        <w:autoSpaceDN/>
        <w:adjustRightInd/>
        <w:ind w:left="0" w:firstLine="0"/>
        <w:rPr>
          <w:szCs w:val="24"/>
        </w:rPr>
      </w:pPr>
      <w:r w:rsidRPr="00DB1FCB">
        <w:rPr>
          <w:szCs w:val="24"/>
        </w:rPr>
        <w:t>Немедленное назначение антибиотиков при лихорадке или очагах инфекции, не дожидаясь результатов бактериологического исследования.</w:t>
      </w:r>
    </w:p>
    <w:p w14:paraId="00182F31" w14:textId="77777777" w:rsidR="006F27D1" w:rsidRPr="00DB1FCB" w:rsidRDefault="006F27D1" w:rsidP="008C1767">
      <w:pPr>
        <w:widowControl/>
        <w:numPr>
          <w:ilvl w:val="0"/>
          <w:numId w:val="129"/>
        </w:numPr>
        <w:tabs>
          <w:tab w:val="left" w:pos="0"/>
          <w:tab w:val="left" w:pos="567"/>
        </w:tabs>
        <w:autoSpaceDE/>
        <w:autoSpaceDN/>
        <w:adjustRightInd/>
        <w:ind w:left="0" w:firstLine="0"/>
        <w:rPr>
          <w:szCs w:val="24"/>
        </w:rPr>
      </w:pPr>
      <w:r w:rsidRPr="00DB1FCB">
        <w:rPr>
          <w:szCs w:val="24"/>
        </w:rPr>
        <w:lastRenderedPageBreak/>
        <w:t>Применение на первом этапе антимикробных препаратов, проявляющих активность в отношении грамотрицательных бактерий, включая синегнойную палочку.</w:t>
      </w:r>
    </w:p>
    <w:p w14:paraId="3AD7241F" w14:textId="77777777" w:rsidR="006F27D1" w:rsidRPr="00DB1FCB" w:rsidRDefault="006F27D1" w:rsidP="008C1767">
      <w:pPr>
        <w:widowControl/>
        <w:numPr>
          <w:ilvl w:val="0"/>
          <w:numId w:val="129"/>
        </w:numPr>
        <w:tabs>
          <w:tab w:val="left" w:pos="0"/>
          <w:tab w:val="left" w:pos="567"/>
        </w:tabs>
        <w:autoSpaceDE/>
        <w:autoSpaceDN/>
        <w:adjustRightInd/>
        <w:ind w:left="0" w:firstLine="0"/>
        <w:rPr>
          <w:szCs w:val="24"/>
        </w:rPr>
      </w:pPr>
      <w:r w:rsidRPr="00DB1FCB">
        <w:rPr>
          <w:szCs w:val="24"/>
        </w:rPr>
        <w:t>Назначение на первом этапе наиболее активных антибиотиков (при выборе антибиотиков опираются на результаты последнего ретроспективного анализа).</w:t>
      </w:r>
    </w:p>
    <w:p w14:paraId="6A919160" w14:textId="77777777" w:rsidR="006F27D1" w:rsidRPr="00DB1FCB" w:rsidRDefault="006F27D1" w:rsidP="008C1767">
      <w:pPr>
        <w:widowControl/>
        <w:numPr>
          <w:ilvl w:val="0"/>
          <w:numId w:val="129"/>
        </w:numPr>
        <w:tabs>
          <w:tab w:val="left" w:pos="0"/>
          <w:tab w:val="left" w:pos="567"/>
        </w:tabs>
        <w:autoSpaceDE/>
        <w:autoSpaceDN/>
        <w:adjustRightInd/>
        <w:ind w:left="0" w:firstLine="0"/>
        <w:rPr>
          <w:szCs w:val="24"/>
        </w:rPr>
      </w:pPr>
      <w:r w:rsidRPr="00DB1FCB">
        <w:rPr>
          <w:szCs w:val="24"/>
        </w:rPr>
        <w:t>Введение антимикробных препаратов только внутривенно.</w:t>
      </w:r>
    </w:p>
    <w:p w14:paraId="6D830EBA" w14:textId="77777777" w:rsidR="006F27D1" w:rsidRPr="00DB1FCB" w:rsidRDefault="006F27D1" w:rsidP="008C1767">
      <w:pPr>
        <w:widowControl/>
        <w:numPr>
          <w:ilvl w:val="0"/>
          <w:numId w:val="129"/>
        </w:numPr>
        <w:tabs>
          <w:tab w:val="left" w:pos="0"/>
          <w:tab w:val="left" w:pos="567"/>
        </w:tabs>
        <w:autoSpaceDE/>
        <w:autoSpaceDN/>
        <w:adjustRightInd/>
        <w:ind w:left="0" w:firstLine="0"/>
        <w:rPr>
          <w:szCs w:val="24"/>
        </w:rPr>
      </w:pPr>
      <w:r w:rsidRPr="00DB1FCB">
        <w:rPr>
          <w:szCs w:val="24"/>
        </w:rPr>
        <w:t>Модификация, при необходимости, антимикробной терапии согласно результатам микробиологического исследования.</w:t>
      </w:r>
    </w:p>
    <w:p w14:paraId="57D8E344" w14:textId="77777777" w:rsidR="006F27D1" w:rsidRPr="00DB1FCB" w:rsidRDefault="006F27D1" w:rsidP="006F27D1">
      <w:pPr>
        <w:tabs>
          <w:tab w:val="left" w:pos="0"/>
          <w:tab w:val="left" w:pos="567"/>
        </w:tabs>
        <w:rPr>
          <w:szCs w:val="24"/>
        </w:rPr>
      </w:pPr>
      <w:r w:rsidRPr="00DB1FCB">
        <w:rPr>
          <w:szCs w:val="24"/>
        </w:rPr>
        <w:t xml:space="preserve">Для стартовой терапии фебрильной нейтропении назначают один антибиотик (монотерапия): </w:t>
      </w:r>
    </w:p>
    <w:p w14:paraId="36937E8C" w14:textId="77777777" w:rsidR="006F27D1" w:rsidRPr="00DB1FCB" w:rsidRDefault="006F27D1" w:rsidP="008C1767">
      <w:pPr>
        <w:widowControl/>
        <w:numPr>
          <w:ilvl w:val="0"/>
          <w:numId w:val="130"/>
        </w:numPr>
        <w:tabs>
          <w:tab w:val="left" w:pos="0"/>
          <w:tab w:val="left" w:pos="567"/>
        </w:tabs>
        <w:autoSpaceDE/>
        <w:autoSpaceDN/>
        <w:adjustRightInd/>
        <w:ind w:left="0" w:firstLine="0"/>
        <w:rPr>
          <w:szCs w:val="24"/>
        </w:rPr>
      </w:pPr>
      <w:r w:rsidRPr="00DB1FCB">
        <w:rPr>
          <w:szCs w:val="24"/>
        </w:rPr>
        <w:t xml:space="preserve">Цефоперазон/сульбактам </w:t>
      </w:r>
    </w:p>
    <w:p w14:paraId="536A8857" w14:textId="77777777" w:rsidR="006F27D1" w:rsidRPr="00DB1FCB" w:rsidRDefault="006F27D1" w:rsidP="008C1767">
      <w:pPr>
        <w:widowControl/>
        <w:numPr>
          <w:ilvl w:val="0"/>
          <w:numId w:val="131"/>
        </w:numPr>
        <w:tabs>
          <w:tab w:val="left" w:pos="0"/>
          <w:tab w:val="left" w:pos="567"/>
        </w:tabs>
        <w:autoSpaceDE/>
        <w:autoSpaceDN/>
        <w:adjustRightInd/>
        <w:ind w:left="0" w:firstLine="0"/>
        <w:rPr>
          <w:szCs w:val="24"/>
        </w:rPr>
      </w:pPr>
      <w:r w:rsidRPr="00DB1FCB">
        <w:rPr>
          <w:szCs w:val="24"/>
        </w:rPr>
        <w:t xml:space="preserve">Дозирование: по 4 г 2 раза в сутки. </w:t>
      </w:r>
    </w:p>
    <w:p w14:paraId="38FD5663" w14:textId="77777777" w:rsidR="006F27D1" w:rsidRPr="00DB1FCB" w:rsidRDefault="006F27D1" w:rsidP="008C1767">
      <w:pPr>
        <w:widowControl/>
        <w:numPr>
          <w:ilvl w:val="0"/>
          <w:numId w:val="130"/>
        </w:numPr>
        <w:tabs>
          <w:tab w:val="left" w:pos="0"/>
          <w:tab w:val="left" w:pos="567"/>
        </w:tabs>
        <w:autoSpaceDE/>
        <w:autoSpaceDN/>
        <w:adjustRightInd/>
        <w:ind w:left="0" w:firstLine="0"/>
        <w:rPr>
          <w:szCs w:val="24"/>
        </w:rPr>
      </w:pPr>
      <w:r w:rsidRPr="00DB1FCB">
        <w:rPr>
          <w:szCs w:val="24"/>
        </w:rPr>
        <w:t xml:space="preserve">Пиперациллин/тазобактам </w:t>
      </w:r>
    </w:p>
    <w:p w14:paraId="69E7D334" w14:textId="77777777" w:rsidR="006F27D1" w:rsidRPr="00DB1FCB" w:rsidRDefault="006F27D1" w:rsidP="008C1767">
      <w:pPr>
        <w:widowControl/>
        <w:numPr>
          <w:ilvl w:val="0"/>
          <w:numId w:val="132"/>
        </w:numPr>
        <w:tabs>
          <w:tab w:val="left" w:pos="0"/>
          <w:tab w:val="left" w:pos="567"/>
        </w:tabs>
        <w:autoSpaceDE/>
        <w:autoSpaceDN/>
        <w:adjustRightInd/>
        <w:ind w:left="0" w:firstLine="0"/>
        <w:rPr>
          <w:szCs w:val="24"/>
        </w:rPr>
      </w:pPr>
      <w:r w:rsidRPr="00DB1FCB">
        <w:rPr>
          <w:szCs w:val="24"/>
        </w:rPr>
        <w:t xml:space="preserve">Дозирование: по 4,5 г 3 раза в сутки. </w:t>
      </w:r>
    </w:p>
    <w:p w14:paraId="7D9E576A" w14:textId="77777777" w:rsidR="006F27D1" w:rsidRPr="00DB1FCB" w:rsidRDefault="006F27D1" w:rsidP="008C1767">
      <w:pPr>
        <w:widowControl/>
        <w:numPr>
          <w:ilvl w:val="0"/>
          <w:numId w:val="130"/>
        </w:numPr>
        <w:tabs>
          <w:tab w:val="left" w:pos="0"/>
          <w:tab w:val="left" w:pos="567"/>
        </w:tabs>
        <w:autoSpaceDE/>
        <w:autoSpaceDN/>
        <w:adjustRightInd/>
        <w:ind w:left="0" w:firstLine="0"/>
        <w:rPr>
          <w:szCs w:val="24"/>
        </w:rPr>
      </w:pPr>
      <w:r w:rsidRPr="00DB1FCB">
        <w:rPr>
          <w:szCs w:val="24"/>
        </w:rPr>
        <w:t xml:space="preserve">Цефепим </w:t>
      </w:r>
    </w:p>
    <w:p w14:paraId="3E8C826E" w14:textId="77777777" w:rsidR="006F27D1" w:rsidRPr="00DB1FCB" w:rsidRDefault="006F27D1" w:rsidP="008C1767">
      <w:pPr>
        <w:widowControl/>
        <w:numPr>
          <w:ilvl w:val="0"/>
          <w:numId w:val="133"/>
        </w:numPr>
        <w:tabs>
          <w:tab w:val="left" w:pos="0"/>
          <w:tab w:val="left" w:pos="567"/>
        </w:tabs>
        <w:autoSpaceDE/>
        <w:autoSpaceDN/>
        <w:adjustRightInd/>
        <w:ind w:left="0" w:firstLine="0"/>
        <w:rPr>
          <w:szCs w:val="24"/>
        </w:rPr>
      </w:pPr>
      <w:r w:rsidRPr="00DB1FCB">
        <w:rPr>
          <w:szCs w:val="24"/>
        </w:rPr>
        <w:t xml:space="preserve">Дозирование: по 2 г 2 раза в сутки. </w:t>
      </w:r>
    </w:p>
    <w:p w14:paraId="2F7498CB" w14:textId="77777777" w:rsidR="006F27D1" w:rsidRPr="00DB1FCB" w:rsidRDefault="006F27D1" w:rsidP="008C1767">
      <w:pPr>
        <w:widowControl/>
        <w:numPr>
          <w:ilvl w:val="0"/>
          <w:numId w:val="130"/>
        </w:numPr>
        <w:tabs>
          <w:tab w:val="left" w:pos="0"/>
          <w:tab w:val="left" w:pos="567"/>
        </w:tabs>
        <w:autoSpaceDE/>
        <w:autoSpaceDN/>
        <w:adjustRightInd/>
        <w:ind w:left="0" w:firstLine="0"/>
        <w:rPr>
          <w:szCs w:val="24"/>
        </w:rPr>
      </w:pPr>
      <w:r w:rsidRPr="00DB1FCB">
        <w:rPr>
          <w:szCs w:val="24"/>
        </w:rPr>
        <w:t xml:space="preserve">Цефтазидим </w:t>
      </w:r>
    </w:p>
    <w:p w14:paraId="27166DA1" w14:textId="77777777" w:rsidR="006F27D1" w:rsidRPr="00DB1FCB" w:rsidRDefault="006F27D1" w:rsidP="008C1767">
      <w:pPr>
        <w:widowControl/>
        <w:numPr>
          <w:ilvl w:val="0"/>
          <w:numId w:val="134"/>
        </w:numPr>
        <w:tabs>
          <w:tab w:val="left" w:pos="0"/>
          <w:tab w:val="left" w:pos="567"/>
        </w:tabs>
        <w:autoSpaceDE/>
        <w:autoSpaceDN/>
        <w:adjustRightInd/>
        <w:ind w:left="0" w:firstLine="0"/>
        <w:rPr>
          <w:szCs w:val="24"/>
        </w:rPr>
      </w:pPr>
      <w:r w:rsidRPr="00DB1FCB">
        <w:rPr>
          <w:szCs w:val="24"/>
        </w:rPr>
        <w:t xml:space="preserve">Дозирование: по 2 г 3 раза в сутки </w:t>
      </w:r>
    </w:p>
    <w:p w14:paraId="227870B6" w14:textId="77777777" w:rsidR="006F27D1" w:rsidRPr="00DB1FCB" w:rsidRDefault="006F27D1" w:rsidP="006F27D1">
      <w:pPr>
        <w:tabs>
          <w:tab w:val="left" w:pos="0"/>
          <w:tab w:val="left" w:pos="567"/>
        </w:tabs>
        <w:rPr>
          <w:szCs w:val="24"/>
        </w:rPr>
      </w:pPr>
      <w:r w:rsidRPr="00DB1FCB">
        <w:rPr>
          <w:szCs w:val="24"/>
        </w:rPr>
        <w:t>При развитии септического шока на первом этапе эмпирической терапии рекомендовано карбапенемов:</w:t>
      </w:r>
    </w:p>
    <w:p w14:paraId="0188CAF1" w14:textId="77777777" w:rsidR="006F27D1" w:rsidRPr="00DB1FCB" w:rsidRDefault="006F27D1" w:rsidP="008C1767">
      <w:pPr>
        <w:widowControl/>
        <w:numPr>
          <w:ilvl w:val="0"/>
          <w:numId w:val="135"/>
        </w:numPr>
        <w:tabs>
          <w:tab w:val="left" w:pos="0"/>
          <w:tab w:val="left" w:pos="567"/>
        </w:tabs>
        <w:autoSpaceDE/>
        <w:autoSpaceDN/>
        <w:adjustRightInd/>
        <w:ind w:left="0" w:firstLine="0"/>
        <w:rPr>
          <w:szCs w:val="24"/>
        </w:rPr>
      </w:pPr>
      <w:r w:rsidRPr="00DB1FCB">
        <w:rPr>
          <w:szCs w:val="24"/>
        </w:rPr>
        <w:t>Имипенем/циластатин</w:t>
      </w:r>
    </w:p>
    <w:p w14:paraId="77DE2456" w14:textId="77777777" w:rsidR="006F27D1" w:rsidRPr="00DB1FCB" w:rsidRDefault="006F27D1" w:rsidP="008C1767">
      <w:pPr>
        <w:widowControl/>
        <w:numPr>
          <w:ilvl w:val="0"/>
          <w:numId w:val="134"/>
        </w:numPr>
        <w:tabs>
          <w:tab w:val="left" w:pos="0"/>
          <w:tab w:val="left" w:pos="567"/>
        </w:tabs>
        <w:autoSpaceDE/>
        <w:autoSpaceDN/>
        <w:adjustRightInd/>
        <w:ind w:left="0" w:firstLine="0"/>
        <w:rPr>
          <w:szCs w:val="24"/>
        </w:rPr>
      </w:pPr>
      <w:r w:rsidRPr="00DB1FCB">
        <w:rPr>
          <w:szCs w:val="24"/>
        </w:rPr>
        <w:t>Дозировка: по 0,5 г 4 раза в сутки.</w:t>
      </w:r>
    </w:p>
    <w:p w14:paraId="2024FE91" w14:textId="77777777" w:rsidR="006F27D1" w:rsidRPr="00DB1FCB" w:rsidRDefault="006F27D1" w:rsidP="008C1767">
      <w:pPr>
        <w:widowControl/>
        <w:numPr>
          <w:ilvl w:val="0"/>
          <w:numId w:val="136"/>
        </w:numPr>
        <w:tabs>
          <w:tab w:val="left" w:pos="0"/>
          <w:tab w:val="left" w:pos="567"/>
        </w:tabs>
        <w:autoSpaceDE/>
        <w:autoSpaceDN/>
        <w:adjustRightInd/>
        <w:ind w:left="0" w:firstLine="0"/>
        <w:rPr>
          <w:szCs w:val="24"/>
        </w:rPr>
      </w:pPr>
      <w:r w:rsidRPr="00DB1FCB">
        <w:rPr>
          <w:szCs w:val="24"/>
        </w:rPr>
        <w:t>Меропенем</w:t>
      </w:r>
    </w:p>
    <w:p w14:paraId="4646C157" w14:textId="77777777" w:rsidR="006F27D1" w:rsidRPr="00DB1FCB" w:rsidRDefault="006F27D1" w:rsidP="008C1767">
      <w:pPr>
        <w:widowControl/>
        <w:numPr>
          <w:ilvl w:val="0"/>
          <w:numId w:val="134"/>
        </w:numPr>
        <w:tabs>
          <w:tab w:val="left" w:pos="0"/>
          <w:tab w:val="left" w:pos="567"/>
        </w:tabs>
        <w:autoSpaceDE/>
        <w:autoSpaceDN/>
        <w:adjustRightInd/>
        <w:ind w:left="0" w:firstLine="0"/>
        <w:rPr>
          <w:szCs w:val="24"/>
        </w:rPr>
      </w:pPr>
      <w:r w:rsidRPr="00DB1FCB">
        <w:rPr>
          <w:szCs w:val="24"/>
        </w:rPr>
        <w:t>Дозировка: по 1 г 3 раза в сутки.</w:t>
      </w:r>
    </w:p>
    <w:p w14:paraId="2373F715" w14:textId="77777777" w:rsidR="006F27D1" w:rsidRPr="00DB1FCB" w:rsidRDefault="006F27D1" w:rsidP="008C1767">
      <w:pPr>
        <w:widowControl/>
        <w:numPr>
          <w:ilvl w:val="0"/>
          <w:numId w:val="137"/>
        </w:numPr>
        <w:tabs>
          <w:tab w:val="left" w:pos="0"/>
          <w:tab w:val="left" w:pos="567"/>
        </w:tabs>
        <w:autoSpaceDE/>
        <w:autoSpaceDN/>
        <w:adjustRightInd/>
        <w:ind w:left="0" w:firstLine="0"/>
        <w:rPr>
          <w:szCs w:val="24"/>
        </w:rPr>
      </w:pPr>
      <w:r w:rsidRPr="00DB1FCB">
        <w:rPr>
          <w:szCs w:val="24"/>
        </w:rPr>
        <w:t>Дорипенем</w:t>
      </w:r>
    </w:p>
    <w:p w14:paraId="32DA9741" w14:textId="77777777" w:rsidR="006F27D1" w:rsidRPr="00DB1FCB" w:rsidRDefault="006F27D1" w:rsidP="008C1767">
      <w:pPr>
        <w:widowControl/>
        <w:numPr>
          <w:ilvl w:val="0"/>
          <w:numId w:val="134"/>
        </w:numPr>
        <w:tabs>
          <w:tab w:val="left" w:pos="0"/>
          <w:tab w:val="left" w:pos="567"/>
        </w:tabs>
        <w:autoSpaceDE/>
        <w:autoSpaceDN/>
        <w:adjustRightInd/>
        <w:ind w:left="0" w:firstLine="0"/>
        <w:rPr>
          <w:szCs w:val="24"/>
        </w:rPr>
      </w:pPr>
      <w:r w:rsidRPr="00DB1FCB">
        <w:rPr>
          <w:szCs w:val="24"/>
        </w:rPr>
        <w:t>Дозировка: по 0,5 г 3 раза в сутки.</w:t>
      </w:r>
    </w:p>
    <w:p w14:paraId="06E95C0D" w14:textId="77777777" w:rsidR="006F27D1" w:rsidRDefault="006F27D1" w:rsidP="006F27D1">
      <w:pPr>
        <w:tabs>
          <w:tab w:val="left" w:pos="0"/>
          <w:tab w:val="left" w:pos="567"/>
        </w:tabs>
        <w:jc w:val="center"/>
        <w:rPr>
          <w:b/>
          <w:szCs w:val="24"/>
        </w:rPr>
      </w:pPr>
    </w:p>
    <w:p w14:paraId="417D247B" w14:textId="77777777" w:rsidR="006F27D1" w:rsidRPr="00997857" w:rsidRDefault="006F27D1" w:rsidP="006F27D1">
      <w:pPr>
        <w:pStyle w:val="afff3"/>
        <w:ind w:left="0"/>
        <w:rPr>
          <w:b/>
          <w:i/>
          <w:szCs w:val="24"/>
        </w:rPr>
      </w:pPr>
      <w:r w:rsidRPr="00997857">
        <w:rPr>
          <w:b/>
          <w:i/>
          <w:szCs w:val="24"/>
        </w:rPr>
        <w:t>Оценка эффективности и модификация антимикробной терапии</w:t>
      </w:r>
    </w:p>
    <w:p w14:paraId="78ED60A4" w14:textId="77777777" w:rsidR="006F27D1" w:rsidRPr="00DB1FCB" w:rsidRDefault="006F27D1" w:rsidP="006F27D1">
      <w:pPr>
        <w:tabs>
          <w:tab w:val="left" w:pos="0"/>
          <w:tab w:val="left" w:pos="567"/>
        </w:tabs>
        <w:ind w:firstLine="567"/>
        <w:rPr>
          <w:szCs w:val="24"/>
        </w:rPr>
      </w:pPr>
      <w:r w:rsidRPr="00DB1FCB">
        <w:rPr>
          <w:szCs w:val="24"/>
        </w:rPr>
        <w:t xml:space="preserve">Следует помнить, что антибиотики не являются антипиретиками, и нормализация температуры на другой день после их назначения происходит крайне редко. Более того, при тяжелой инфекции температура становится нормальной лишь на 4—5-й день антибактериальной терапии. В то же время ожидание нормализации температуры в течение первых 4—5 дней антимикробной терапии не должно быть пассивным. У всех больных с лихорадкой во время нейтропении необходимо провести диагностические исследования в соответствии с алгоритмом обследования представленным ранее. </w:t>
      </w:r>
    </w:p>
    <w:p w14:paraId="45A16B3D" w14:textId="77777777" w:rsidR="006F27D1" w:rsidRDefault="006F27D1" w:rsidP="006F27D1">
      <w:pPr>
        <w:tabs>
          <w:tab w:val="left" w:pos="0"/>
          <w:tab w:val="left" w:pos="567"/>
        </w:tabs>
        <w:jc w:val="center"/>
        <w:rPr>
          <w:b/>
          <w:szCs w:val="24"/>
        </w:rPr>
      </w:pPr>
    </w:p>
    <w:p w14:paraId="5C9BE025" w14:textId="77777777" w:rsidR="006F27D1" w:rsidRPr="00997857" w:rsidRDefault="006F27D1" w:rsidP="006F27D1">
      <w:pPr>
        <w:pStyle w:val="afff3"/>
        <w:ind w:left="0"/>
        <w:rPr>
          <w:b/>
          <w:i/>
          <w:szCs w:val="24"/>
        </w:rPr>
      </w:pPr>
      <w:r w:rsidRPr="00997857">
        <w:rPr>
          <w:b/>
          <w:i/>
          <w:szCs w:val="24"/>
        </w:rPr>
        <w:lastRenderedPageBreak/>
        <w:t>Модификация антимикробной терапии на 4</w:t>
      </w:r>
      <w:r>
        <w:rPr>
          <w:b/>
          <w:i/>
          <w:szCs w:val="24"/>
        </w:rPr>
        <w:t>-</w:t>
      </w:r>
      <w:r w:rsidRPr="00997857">
        <w:rPr>
          <w:b/>
          <w:i/>
          <w:szCs w:val="24"/>
        </w:rPr>
        <w:t>5-й день</w:t>
      </w:r>
    </w:p>
    <w:p w14:paraId="62F2D53D" w14:textId="77777777" w:rsidR="006F27D1" w:rsidRPr="00DB1FCB" w:rsidRDefault="006F27D1" w:rsidP="008C1767">
      <w:pPr>
        <w:widowControl/>
        <w:numPr>
          <w:ilvl w:val="0"/>
          <w:numId w:val="137"/>
        </w:numPr>
        <w:tabs>
          <w:tab w:val="left" w:pos="0"/>
          <w:tab w:val="left" w:pos="567"/>
        </w:tabs>
        <w:autoSpaceDE/>
        <w:autoSpaceDN/>
        <w:adjustRightInd/>
        <w:ind w:left="0" w:firstLine="0"/>
        <w:rPr>
          <w:szCs w:val="24"/>
        </w:rPr>
      </w:pPr>
      <w:r w:rsidRPr="00DB1FCB">
        <w:rPr>
          <w:szCs w:val="24"/>
        </w:rPr>
        <w:t>Показания:</w:t>
      </w:r>
    </w:p>
    <w:p w14:paraId="18EB7149" w14:textId="77777777" w:rsidR="006F27D1" w:rsidRPr="00DB1FCB" w:rsidRDefault="006F27D1" w:rsidP="008C1767">
      <w:pPr>
        <w:widowControl/>
        <w:numPr>
          <w:ilvl w:val="0"/>
          <w:numId w:val="138"/>
        </w:numPr>
        <w:tabs>
          <w:tab w:val="left" w:pos="0"/>
          <w:tab w:val="left" w:pos="567"/>
        </w:tabs>
        <w:autoSpaceDE/>
        <w:autoSpaceDN/>
        <w:adjustRightInd/>
        <w:ind w:left="0" w:firstLine="0"/>
        <w:rPr>
          <w:szCs w:val="24"/>
        </w:rPr>
      </w:pPr>
      <w:r w:rsidRPr="00DB1FCB">
        <w:rPr>
          <w:szCs w:val="24"/>
        </w:rPr>
        <w:t>Стабильное соматическое состояние больного.</w:t>
      </w:r>
    </w:p>
    <w:p w14:paraId="1B65B51E" w14:textId="77777777" w:rsidR="006F27D1" w:rsidRPr="00DB1FCB" w:rsidRDefault="006F27D1" w:rsidP="008C1767">
      <w:pPr>
        <w:widowControl/>
        <w:numPr>
          <w:ilvl w:val="0"/>
          <w:numId w:val="138"/>
        </w:numPr>
        <w:tabs>
          <w:tab w:val="left" w:pos="0"/>
          <w:tab w:val="left" w:pos="567"/>
        </w:tabs>
        <w:autoSpaceDE/>
        <w:autoSpaceDN/>
        <w:adjustRightInd/>
        <w:ind w:left="0" w:firstLine="0"/>
        <w:rPr>
          <w:szCs w:val="24"/>
        </w:rPr>
      </w:pPr>
      <w:r w:rsidRPr="00DB1FCB">
        <w:rPr>
          <w:szCs w:val="24"/>
        </w:rPr>
        <w:t>Отрицательные результаты диагностических исследований.</w:t>
      </w:r>
    </w:p>
    <w:p w14:paraId="27E21133" w14:textId="77777777" w:rsidR="006F27D1" w:rsidRPr="00DB1FCB" w:rsidRDefault="006F27D1" w:rsidP="008C1767">
      <w:pPr>
        <w:widowControl/>
        <w:numPr>
          <w:ilvl w:val="0"/>
          <w:numId w:val="138"/>
        </w:numPr>
        <w:tabs>
          <w:tab w:val="left" w:pos="0"/>
          <w:tab w:val="left" w:pos="567"/>
        </w:tabs>
        <w:autoSpaceDE/>
        <w:autoSpaceDN/>
        <w:adjustRightInd/>
        <w:ind w:left="0" w:firstLine="0"/>
        <w:rPr>
          <w:szCs w:val="24"/>
        </w:rPr>
      </w:pPr>
      <w:r w:rsidRPr="00DB1FCB">
        <w:rPr>
          <w:szCs w:val="24"/>
        </w:rPr>
        <w:t>Отсутствие новых симптомов инфекции после назначения антибиотиков.</w:t>
      </w:r>
    </w:p>
    <w:p w14:paraId="26BA8814" w14:textId="77777777" w:rsidR="006F27D1" w:rsidRPr="00DB1FCB" w:rsidRDefault="006F27D1" w:rsidP="008C1767">
      <w:pPr>
        <w:widowControl/>
        <w:numPr>
          <w:ilvl w:val="0"/>
          <w:numId w:val="139"/>
        </w:numPr>
        <w:tabs>
          <w:tab w:val="left" w:pos="0"/>
          <w:tab w:val="left" w:pos="567"/>
        </w:tabs>
        <w:autoSpaceDE/>
        <w:autoSpaceDN/>
        <w:adjustRightInd/>
        <w:ind w:left="0" w:firstLine="0"/>
        <w:rPr>
          <w:szCs w:val="24"/>
        </w:rPr>
      </w:pPr>
      <w:r w:rsidRPr="00DB1FCB">
        <w:rPr>
          <w:szCs w:val="24"/>
        </w:rPr>
        <w:t>Возможные причины длительной лихорадки (более 4 суток):</w:t>
      </w:r>
    </w:p>
    <w:p w14:paraId="5D0323BB" w14:textId="77777777" w:rsidR="006F27D1" w:rsidRPr="00DB1FCB" w:rsidRDefault="006F27D1" w:rsidP="008C1767">
      <w:pPr>
        <w:widowControl/>
        <w:numPr>
          <w:ilvl w:val="0"/>
          <w:numId w:val="140"/>
        </w:numPr>
        <w:tabs>
          <w:tab w:val="left" w:pos="0"/>
          <w:tab w:val="left" w:pos="567"/>
        </w:tabs>
        <w:autoSpaceDE/>
        <w:autoSpaceDN/>
        <w:adjustRightInd/>
        <w:ind w:left="0" w:firstLine="0"/>
        <w:rPr>
          <w:szCs w:val="24"/>
        </w:rPr>
      </w:pPr>
      <w:r w:rsidRPr="00DB1FCB">
        <w:rPr>
          <w:szCs w:val="24"/>
        </w:rPr>
        <w:t>Не обнаружен очаг инфекции.</w:t>
      </w:r>
    </w:p>
    <w:p w14:paraId="5C7EAD2D" w14:textId="77777777" w:rsidR="006F27D1" w:rsidRPr="00DB1FCB" w:rsidRDefault="006F27D1" w:rsidP="008C1767">
      <w:pPr>
        <w:widowControl/>
        <w:numPr>
          <w:ilvl w:val="0"/>
          <w:numId w:val="140"/>
        </w:numPr>
        <w:tabs>
          <w:tab w:val="left" w:pos="0"/>
          <w:tab w:val="left" w:pos="567"/>
        </w:tabs>
        <w:autoSpaceDE/>
        <w:autoSpaceDN/>
        <w:adjustRightInd/>
        <w:ind w:left="0" w:firstLine="0"/>
        <w:rPr>
          <w:szCs w:val="24"/>
        </w:rPr>
      </w:pPr>
      <w:r w:rsidRPr="00DB1FCB">
        <w:rPr>
          <w:szCs w:val="24"/>
        </w:rPr>
        <w:t>Наличие инфекции, вызванной другими возбудителями (не бактериями).</w:t>
      </w:r>
    </w:p>
    <w:p w14:paraId="02C674F0" w14:textId="77777777" w:rsidR="006F27D1" w:rsidRPr="00DB1FCB" w:rsidRDefault="006F27D1" w:rsidP="008C1767">
      <w:pPr>
        <w:widowControl/>
        <w:numPr>
          <w:ilvl w:val="0"/>
          <w:numId w:val="140"/>
        </w:numPr>
        <w:tabs>
          <w:tab w:val="left" w:pos="0"/>
          <w:tab w:val="left" w:pos="567"/>
        </w:tabs>
        <w:autoSpaceDE/>
        <w:autoSpaceDN/>
        <w:adjustRightInd/>
        <w:ind w:left="0" w:firstLine="0"/>
        <w:rPr>
          <w:szCs w:val="24"/>
        </w:rPr>
      </w:pPr>
      <w:r w:rsidRPr="00DB1FCB">
        <w:rPr>
          <w:szCs w:val="24"/>
        </w:rPr>
        <w:t>Бактериальная инфекция, вызванная резистентными микроорганизмами.</w:t>
      </w:r>
    </w:p>
    <w:p w14:paraId="1280C9A5" w14:textId="77777777" w:rsidR="006F27D1" w:rsidRPr="00DB1FCB" w:rsidRDefault="006F27D1" w:rsidP="008C1767">
      <w:pPr>
        <w:widowControl/>
        <w:numPr>
          <w:ilvl w:val="0"/>
          <w:numId w:val="140"/>
        </w:numPr>
        <w:tabs>
          <w:tab w:val="left" w:pos="0"/>
          <w:tab w:val="left" w:pos="567"/>
        </w:tabs>
        <w:autoSpaceDE/>
        <w:autoSpaceDN/>
        <w:adjustRightInd/>
        <w:ind w:left="0" w:firstLine="0"/>
        <w:rPr>
          <w:szCs w:val="24"/>
        </w:rPr>
      </w:pPr>
      <w:r w:rsidRPr="00DB1FCB">
        <w:rPr>
          <w:szCs w:val="24"/>
        </w:rPr>
        <w:t>Присоединение вторичной инфекции.</w:t>
      </w:r>
    </w:p>
    <w:p w14:paraId="71C48A18" w14:textId="77777777" w:rsidR="006F27D1" w:rsidRPr="00DB1FCB" w:rsidRDefault="006F27D1" w:rsidP="008C1767">
      <w:pPr>
        <w:widowControl/>
        <w:numPr>
          <w:ilvl w:val="0"/>
          <w:numId w:val="140"/>
        </w:numPr>
        <w:tabs>
          <w:tab w:val="left" w:pos="0"/>
          <w:tab w:val="left" w:pos="567"/>
        </w:tabs>
        <w:autoSpaceDE/>
        <w:autoSpaceDN/>
        <w:adjustRightInd/>
        <w:ind w:left="0" w:firstLine="0"/>
        <w:rPr>
          <w:szCs w:val="24"/>
        </w:rPr>
      </w:pPr>
      <w:r w:rsidRPr="00DB1FCB">
        <w:rPr>
          <w:szCs w:val="24"/>
        </w:rPr>
        <w:t>Лекарственная лихорадка.</w:t>
      </w:r>
    </w:p>
    <w:p w14:paraId="1BF2B2AE" w14:textId="77777777" w:rsidR="006F27D1" w:rsidRPr="00DB1FCB" w:rsidRDefault="006F27D1" w:rsidP="008C1767">
      <w:pPr>
        <w:widowControl/>
        <w:numPr>
          <w:ilvl w:val="0"/>
          <w:numId w:val="140"/>
        </w:numPr>
        <w:tabs>
          <w:tab w:val="left" w:pos="0"/>
          <w:tab w:val="left" w:pos="567"/>
        </w:tabs>
        <w:autoSpaceDE/>
        <w:autoSpaceDN/>
        <w:adjustRightInd/>
        <w:ind w:left="0" w:firstLine="0"/>
        <w:rPr>
          <w:szCs w:val="24"/>
        </w:rPr>
      </w:pPr>
      <w:r w:rsidRPr="00DB1FCB">
        <w:rPr>
          <w:szCs w:val="24"/>
        </w:rPr>
        <w:t>Недостаточная пенетрация антибиотиков в очаг поражения (например, при абсцессе).</w:t>
      </w:r>
    </w:p>
    <w:p w14:paraId="48BD8FB5" w14:textId="77777777" w:rsidR="006F27D1" w:rsidRPr="00DB1FCB" w:rsidRDefault="006F27D1" w:rsidP="008C1767">
      <w:pPr>
        <w:widowControl/>
        <w:numPr>
          <w:ilvl w:val="0"/>
          <w:numId w:val="141"/>
        </w:numPr>
        <w:tabs>
          <w:tab w:val="left" w:pos="0"/>
          <w:tab w:val="left" w:pos="567"/>
        </w:tabs>
        <w:autoSpaceDE/>
        <w:autoSpaceDN/>
        <w:adjustRightInd/>
        <w:ind w:left="0" w:firstLine="0"/>
        <w:rPr>
          <w:szCs w:val="24"/>
        </w:rPr>
      </w:pPr>
      <w:r w:rsidRPr="00DB1FCB">
        <w:rPr>
          <w:szCs w:val="24"/>
        </w:rPr>
        <w:t>При лихорадке неясного генеза длительностью более 4 суток повторяют диагностические исследования. Обязательным в этот период является проведение КТ легких.</w:t>
      </w:r>
    </w:p>
    <w:p w14:paraId="2B3EEC12" w14:textId="77777777" w:rsidR="006F27D1" w:rsidRPr="00DB1FCB" w:rsidRDefault="006F27D1" w:rsidP="008C1767">
      <w:pPr>
        <w:widowControl/>
        <w:numPr>
          <w:ilvl w:val="0"/>
          <w:numId w:val="141"/>
        </w:numPr>
        <w:tabs>
          <w:tab w:val="left" w:pos="0"/>
          <w:tab w:val="left" w:pos="567"/>
        </w:tabs>
        <w:autoSpaceDE/>
        <w:autoSpaceDN/>
        <w:adjustRightInd/>
        <w:ind w:left="0" w:firstLine="0"/>
        <w:rPr>
          <w:szCs w:val="24"/>
        </w:rPr>
      </w:pPr>
      <w:r w:rsidRPr="00DB1FCB">
        <w:rPr>
          <w:szCs w:val="24"/>
        </w:rPr>
        <w:t>Варианты модификации антимикробной терапии на 4-5 день фебрильной нейтропении (микробиологические исследование отрицательные, пневмонии по данным КТ нет, состояние стабильное):</w:t>
      </w:r>
    </w:p>
    <w:p w14:paraId="27F335CC" w14:textId="77777777" w:rsidR="006F27D1" w:rsidRPr="00DB1FCB" w:rsidRDefault="006F27D1" w:rsidP="008C1767">
      <w:pPr>
        <w:widowControl/>
        <w:numPr>
          <w:ilvl w:val="0"/>
          <w:numId w:val="142"/>
        </w:numPr>
        <w:tabs>
          <w:tab w:val="left" w:pos="0"/>
          <w:tab w:val="left" w:pos="567"/>
        </w:tabs>
        <w:autoSpaceDE/>
        <w:autoSpaceDN/>
        <w:adjustRightInd/>
        <w:ind w:left="0" w:firstLine="0"/>
        <w:rPr>
          <w:szCs w:val="24"/>
        </w:rPr>
      </w:pPr>
      <w:r w:rsidRPr="00DB1FCB">
        <w:rPr>
          <w:szCs w:val="24"/>
        </w:rPr>
        <w:t xml:space="preserve">Отменяют антибиотики первого этапа и назначают карбапенем (меропенем или имипенем/циластатин), если в течение всех 4—5 дней не было снижения температуры и имеется колонизация слизистой оболочки кишечника энтеробактериями с продукцией БЛРС. </w:t>
      </w:r>
    </w:p>
    <w:p w14:paraId="3863A2FC" w14:textId="77777777" w:rsidR="006F27D1" w:rsidRPr="00DB1FCB" w:rsidRDefault="006F27D1" w:rsidP="008C1767">
      <w:pPr>
        <w:widowControl/>
        <w:numPr>
          <w:ilvl w:val="0"/>
          <w:numId w:val="142"/>
        </w:numPr>
        <w:tabs>
          <w:tab w:val="left" w:pos="0"/>
          <w:tab w:val="left" w:pos="567"/>
        </w:tabs>
        <w:autoSpaceDE/>
        <w:autoSpaceDN/>
        <w:adjustRightInd/>
        <w:ind w:left="0" w:firstLine="0"/>
        <w:rPr>
          <w:szCs w:val="24"/>
        </w:rPr>
      </w:pPr>
      <w:r w:rsidRPr="00DB1FCB">
        <w:rPr>
          <w:szCs w:val="24"/>
        </w:rPr>
        <w:t xml:space="preserve">Добавляют ванкомицин, линезолид, тедизолид или даптомицин к антибиотикам первого этапа при симптомах мукозита </w:t>
      </w:r>
      <w:r w:rsidRPr="00DB1FCB">
        <w:rPr>
          <w:szCs w:val="24"/>
          <w:lang w:val="en-US"/>
        </w:rPr>
        <w:t>III</w:t>
      </w:r>
      <w:r w:rsidRPr="00DB1FCB">
        <w:rPr>
          <w:szCs w:val="24"/>
        </w:rPr>
        <w:t>-</w:t>
      </w:r>
      <w:r w:rsidRPr="00DB1FCB">
        <w:rPr>
          <w:szCs w:val="24"/>
          <w:lang w:val="en-US"/>
        </w:rPr>
        <w:t>IV</w:t>
      </w:r>
      <w:r w:rsidRPr="00DB1FCB">
        <w:rPr>
          <w:szCs w:val="24"/>
        </w:rPr>
        <w:t xml:space="preserve"> степени. </w:t>
      </w:r>
    </w:p>
    <w:p w14:paraId="61706926" w14:textId="77777777" w:rsidR="006F27D1" w:rsidRPr="00DB1FCB" w:rsidRDefault="006F27D1" w:rsidP="008C1767">
      <w:pPr>
        <w:widowControl/>
        <w:numPr>
          <w:ilvl w:val="0"/>
          <w:numId w:val="143"/>
        </w:numPr>
        <w:tabs>
          <w:tab w:val="left" w:pos="0"/>
          <w:tab w:val="left" w:pos="567"/>
        </w:tabs>
        <w:autoSpaceDE/>
        <w:autoSpaceDN/>
        <w:adjustRightInd/>
        <w:ind w:left="0" w:firstLine="0"/>
        <w:rPr>
          <w:szCs w:val="24"/>
        </w:rPr>
      </w:pPr>
      <w:r w:rsidRPr="00DB1FCB">
        <w:rPr>
          <w:szCs w:val="24"/>
        </w:rPr>
        <w:t>Ванкомицин: по 1 г 2 раза в сутки.</w:t>
      </w:r>
    </w:p>
    <w:p w14:paraId="307EBB36" w14:textId="77777777" w:rsidR="006F27D1" w:rsidRPr="00DB1FCB" w:rsidRDefault="006F27D1" w:rsidP="008C1767">
      <w:pPr>
        <w:widowControl/>
        <w:numPr>
          <w:ilvl w:val="0"/>
          <w:numId w:val="143"/>
        </w:numPr>
        <w:tabs>
          <w:tab w:val="left" w:pos="0"/>
          <w:tab w:val="left" w:pos="567"/>
        </w:tabs>
        <w:autoSpaceDE/>
        <w:autoSpaceDN/>
        <w:adjustRightInd/>
        <w:ind w:left="0" w:firstLine="0"/>
        <w:rPr>
          <w:szCs w:val="24"/>
        </w:rPr>
      </w:pPr>
      <w:r w:rsidRPr="00DB1FCB">
        <w:rPr>
          <w:szCs w:val="24"/>
        </w:rPr>
        <w:t>Тедизолид: по 0,2 г 1 раз в сутки.</w:t>
      </w:r>
    </w:p>
    <w:p w14:paraId="08E0C962" w14:textId="77777777" w:rsidR="006F27D1" w:rsidRPr="00DB1FCB" w:rsidRDefault="006F27D1" w:rsidP="008C1767">
      <w:pPr>
        <w:widowControl/>
        <w:numPr>
          <w:ilvl w:val="0"/>
          <w:numId w:val="143"/>
        </w:numPr>
        <w:tabs>
          <w:tab w:val="left" w:pos="0"/>
          <w:tab w:val="left" w:pos="567"/>
        </w:tabs>
        <w:autoSpaceDE/>
        <w:autoSpaceDN/>
        <w:adjustRightInd/>
        <w:ind w:left="0" w:firstLine="0"/>
        <w:rPr>
          <w:szCs w:val="24"/>
        </w:rPr>
      </w:pPr>
      <w:r w:rsidRPr="00DB1FCB">
        <w:rPr>
          <w:szCs w:val="24"/>
        </w:rPr>
        <w:t>Даптомицин: по 8-10 мг/кг 1 раз в сутки.</w:t>
      </w:r>
    </w:p>
    <w:p w14:paraId="329A6202" w14:textId="77777777" w:rsidR="006F27D1" w:rsidRPr="00DB1FCB" w:rsidRDefault="006F27D1" w:rsidP="008C1767">
      <w:pPr>
        <w:widowControl/>
        <w:numPr>
          <w:ilvl w:val="0"/>
          <w:numId w:val="142"/>
        </w:numPr>
        <w:tabs>
          <w:tab w:val="left" w:pos="0"/>
          <w:tab w:val="left" w:pos="567"/>
        </w:tabs>
        <w:autoSpaceDE/>
        <w:autoSpaceDN/>
        <w:adjustRightInd/>
        <w:ind w:left="0" w:firstLine="0"/>
        <w:rPr>
          <w:szCs w:val="24"/>
        </w:rPr>
      </w:pPr>
      <w:r w:rsidRPr="00DB1FCB">
        <w:rPr>
          <w:szCs w:val="24"/>
        </w:rPr>
        <w:t>Добавляют каспофунгин (или микафунгин) к антибиотикам первого этапа, если наблюдалось снижение температуры до нормальных значений (исключить назначение анальгина и других жаропонижающих средств), а затем (на следующий день или через день) — вновь повышение до прежних высоких значений.</w:t>
      </w:r>
    </w:p>
    <w:p w14:paraId="67AEC369" w14:textId="77777777" w:rsidR="006F27D1" w:rsidRPr="00DB1FCB" w:rsidRDefault="006F27D1" w:rsidP="008C1767">
      <w:pPr>
        <w:widowControl/>
        <w:numPr>
          <w:ilvl w:val="0"/>
          <w:numId w:val="144"/>
        </w:numPr>
        <w:tabs>
          <w:tab w:val="left" w:pos="0"/>
          <w:tab w:val="left" w:pos="567"/>
        </w:tabs>
        <w:autoSpaceDE/>
        <w:autoSpaceDN/>
        <w:adjustRightInd/>
        <w:ind w:left="0" w:firstLine="0"/>
        <w:rPr>
          <w:szCs w:val="24"/>
        </w:rPr>
      </w:pPr>
      <w:r w:rsidRPr="00DB1FCB">
        <w:rPr>
          <w:szCs w:val="24"/>
        </w:rPr>
        <w:t>Каспофунгин: в первый день 70 мг, далее по 50 мг 1 раз в сутки.</w:t>
      </w:r>
    </w:p>
    <w:p w14:paraId="368B876F" w14:textId="77777777" w:rsidR="006F27D1" w:rsidRPr="00DB1FCB" w:rsidRDefault="006F27D1" w:rsidP="008C1767">
      <w:pPr>
        <w:widowControl/>
        <w:numPr>
          <w:ilvl w:val="0"/>
          <w:numId w:val="142"/>
        </w:numPr>
        <w:tabs>
          <w:tab w:val="left" w:pos="0"/>
          <w:tab w:val="left" w:pos="567"/>
        </w:tabs>
        <w:autoSpaceDE/>
        <w:autoSpaceDN/>
        <w:adjustRightInd/>
        <w:ind w:left="0" w:firstLine="0"/>
        <w:rPr>
          <w:szCs w:val="24"/>
        </w:rPr>
      </w:pPr>
      <w:r w:rsidRPr="00DB1FCB">
        <w:rPr>
          <w:szCs w:val="24"/>
        </w:rPr>
        <w:t>Добавляют флуконазол при наличии орофарингиального кандидоза.</w:t>
      </w:r>
    </w:p>
    <w:p w14:paraId="21D78392" w14:textId="77777777" w:rsidR="006F27D1" w:rsidRPr="00DB1FCB" w:rsidRDefault="006F27D1" w:rsidP="008C1767">
      <w:pPr>
        <w:widowControl/>
        <w:numPr>
          <w:ilvl w:val="0"/>
          <w:numId w:val="145"/>
        </w:numPr>
        <w:tabs>
          <w:tab w:val="left" w:pos="0"/>
          <w:tab w:val="left" w:pos="567"/>
        </w:tabs>
        <w:autoSpaceDE/>
        <w:autoSpaceDN/>
        <w:adjustRightInd/>
        <w:ind w:left="0" w:firstLine="0"/>
        <w:rPr>
          <w:szCs w:val="24"/>
        </w:rPr>
      </w:pPr>
      <w:r w:rsidRPr="00DB1FCB">
        <w:rPr>
          <w:szCs w:val="24"/>
        </w:rPr>
        <w:t>Флуконазол: по 400 мг 1 раз в сутки.</w:t>
      </w:r>
    </w:p>
    <w:p w14:paraId="63DF2E23" w14:textId="77777777" w:rsidR="006F27D1" w:rsidRPr="00DB1FCB" w:rsidRDefault="006F27D1" w:rsidP="008C1767">
      <w:pPr>
        <w:widowControl/>
        <w:numPr>
          <w:ilvl w:val="0"/>
          <w:numId w:val="142"/>
        </w:numPr>
        <w:tabs>
          <w:tab w:val="left" w:pos="0"/>
          <w:tab w:val="left" w:pos="567"/>
        </w:tabs>
        <w:autoSpaceDE/>
        <w:autoSpaceDN/>
        <w:adjustRightInd/>
        <w:ind w:left="0" w:firstLine="0"/>
        <w:rPr>
          <w:szCs w:val="24"/>
        </w:rPr>
      </w:pPr>
      <w:r w:rsidRPr="00DB1FCB">
        <w:rPr>
          <w:szCs w:val="24"/>
        </w:rPr>
        <w:lastRenderedPageBreak/>
        <w:t xml:space="preserve">Добавляют каспофунгин (или микафунгин) больным с персистирующей фебрильной нейтропенией и выделением </w:t>
      </w:r>
      <w:r w:rsidRPr="00DB1FCB">
        <w:rPr>
          <w:i/>
          <w:szCs w:val="24"/>
        </w:rPr>
        <w:t>Candida spp.</w:t>
      </w:r>
      <w:r w:rsidRPr="00DB1FCB">
        <w:rPr>
          <w:szCs w:val="24"/>
        </w:rPr>
        <w:t xml:space="preserve"> со слизистой оболочки ротоглотки и кишечника или из мочи. </w:t>
      </w:r>
    </w:p>
    <w:p w14:paraId="03F9D41A" w14:textId="77777777" w:rsidR="006F27D1" w:rsidRPr="00DB1FCB" w:rsidRDefault="006F27D1" w:rsidP="008C1767">
      <w:pPr>
        <w:widowControl/>
        <w:numPr>
          <w:ilvl w:val="0"/>
          <w:numId w:val="142"/>
        </w:numPr>
        <w:tabs>
          <w:tab w:val="left" w:pos="0"/>
          <w:tab w:val="left" w:pos="567"/>
        </w:tabs>
        <w:autoSpaceDE/>
        <w:autoSpaceDN/>
        <w:adjustRightInd/>
        <w:ind w:left="0" w:firstLine="0"/>
        <w:rPr>
          <w:szCs w:val="24"/>
        </w:rPr>
      </w:pPr>
      <w:r w:rsidRPr="00DB1FCB">
        <w:rPr>
          <w:szCs w:val="24"/>
        </w:rPr>
        <w:t>Добавляют вориконазол при пневмонии, резистентной к лечению антибиотиками, больным с гранулоцитопенией длительностью более 10 дней или получающим глюкокортикоиды, если не выявлены другие потенциальные возбудители пневмонии.</w:t>
      </w:r>
    </w:p>
    <w:p w14:paraId="224AA5B1" w14:textId="77777777" w:rsidR="006F27D1" w:rsidRPr="00DB1FCB" w:rsidRDefault="006F27D1" w:rsidP="008C1767">
      <w:pPr>
        <w:widowControl/>
        <w:numPr>
          <w:ilvl w:val="0"/>
          <w:numId w:val="146"/>
        </w:numPr>
        <w:tabs>
          <w:tab w:val="left" w:pos="0"/>
          <w:tab w:val="left" w:pos="567"/>
        </w:tabs>
        <w:autoSpaceDE/>
        <w:autoSpaceDN/>
        <w:adjustRightInd/>
        <w:ind w:left="0" w:firstLine="0"/>
        <w:rPr>
          <w:szCs w:val="24"/>
        </w:rPr>
      </w:pPr>
      <w:r w:rsidRPr="00DB1FCB">
        <w:rPr>
          <w:szCs w:val="24"/>
        </w:rPr>
        <w:t>Вориконазол: в первый день 6 мг/кг 2 раза в сутки, далее по 3 мг/кг 2 раза в сутки</w:t>
      </w:r>
    </w:p>
    <w:p w14:paraId="24C32C47" w14:textId="77777777" w:rsidR="006F27D1" w:rsidRDefault="006F27D1" w:rsidP="006F27D1">
      <w:pPr>
        <w:pStyle w:val="afff3"/>
        <w:ind w:left="0"/>
        <w:rPr>
          <w:b/>
          <w:i/>
          <w:szCs w:val="24"/>
        </w:rPr>
      </w:pPr>
    </w:p>
    <w:p w14:paraId="6E866360" w14:textId="77777777" w:rsidR="006F27D1" w:rsidRPr="00997857" w:rsidRDefault="006F27D1" w:rsidP="006F27D1">
      <w:pPr>
        <w:pStyle w:val="afff3"/>
        <w:ind w:left="0"/>
        <w:rPr>
          <w:b/>
          <w:i/>
          <w:szCs w:val="24"/>
        </w:rPr>
      </w:pPr>
      <w:r w:rsidRPr="00997857">
        <w:rPr>
          <w:b/>
          <w:i/>
          <w:szCs w:val="24"/>
        </w:rPr>
        <w:t>Модификация антимикробной терапии в более ранние сроки</w:t>
      </w:r>
    </w:p>
    <w:p w14:paraId="349F53EF" w14:textId="77777777" w:rsidR="006F27D1" w:rsidRPr="00DB1FCB" w:rsidRDefault="006F27D1" w:rsidP="006F27D1">
      <w:pPr>
        <w:tabs>
          <w:tab w:val="left" w:pos="0"/>
          <w:tab w:val="left" w:pos="567"/>
        </w:tabs>
        <w:rPr>
          <w:szCs w:val="24"/>
        </w:rPr>
      </w:pPr>
      <w:r w:rsidRPr="00DB1FCB">
        <w:rPr>
          <w:szCs w:val="24"/>
        </w:rPr>
        <w:t>Модификацию антимикробной терапии в более ранние сроки (2—3-й день эмпирической антимикробной терапии) проводят на основании клинических и/или микробиологических данных.</w:t>
      </w:r>
    </w:p>
    <w:p w14:paraId="5F63CD9E" w14:textId="77777777" w:rsidR="006F27D1" w:rsidRDefault="006F27D1" w:rsidP="006F27D1">
      <w:pPr>
        <w:pStyle w:val="afff3"/>
        <w:ind w:left="0"/>
        <w:rPr>
          <w:b/>
          <w:i/>
          <w:szCs w:val="24"/>
        </w:rPr>
      </w:pPr>
    </w:p>
    <w:p w14:paraId="12D3FF6B" w14:textId="77777777" w:rsidR="006F27D1" w:rsidRPr="00997857" w:rsidRDefault="006F27D1" w:rsidP="006F27D1">
      <w:pPr>
        <w:pStyle w:val="afff3"/>
        <w:ind w:left="0"/>
        <w:rPr>
          <w:b/>
          <w:i/>
          <w:szCs w:val="24"/>
        </w:rPr>
      </w:pPr>
      <w:r w:rsidRPr="00997857">
        <w:rPr>
          <w:b/>
          <w:i/>
          <w:szCs w:val="24"/>
        </w:rPr>
        <w:t>Артериальная гипотония, клиника септического шока</w:t>
      </w:r>
    </w:p>
    <w:p w14:paraId="69FA5741" w14:textId="77777777" w:rsidR="006F27D1" w:rsidRDefault="006F27D1" w:rsidP="008C1767">
      <w:pPr>
        <w:widowControl/>
        <w:numPr>
          <w:ilvl w:val="0"/>
          <w:numId w:val="147"/>
        </w:numPr>
        <w:tabs>
          <w:tab w:val="left" w:pos="0"/>
          <w:tab w:val="left" w:pos="567"/>
        </w:tabs>
        <w:autoSpaceDE/>
        <w:autoSpaceDN/>
        <w:adjustRightInd/>
        <w:ind w:left="0" w:firstLine="0"/>
        <w:rPr>
          <w:szCs w:val="24"/>
        </w:rPr>
      </w:pPr>
      <w:r w:rsidRPr="00DB1FCB">
        <w:rPr>
          <w:szCs w:val="24"/>
        </w:rPr>
        <w:t>Вместо цефалоспорина назначают карбапенем — меропенем, имипенем/циластатин или дорипенем.</w:t>
      </w:r>
    </w:p>
    <w:p w14:paraId="43F238F9" w14:textId="77777777" w:rsidR="006F27D1" w:rsidRPr="00DB1FCB" w:rsidRDefault="006F27D1" w:rsidP="006F27D1">
      <w:pPr>
        <w:tabs>
          <w:tab w:val="left" w:pos="0"/>
          <w:tab w:val="left" w:pos="567"/>
        </w:tabs>
        <w:rPr>
          <w:szCs w:val="24"/>
        </w:rPr>
      </w:pPr>
    </w:p>
    <w:p w14:paraId="3E807290" w14:textId="77777777" w:rsidR="006F27D1" w:rsidRPr="00997857" w:rsidRDefault="006F27D1" w:rsidP="006F27D1">
      <w:pPr>
        <w:pStyle w:val="afff3"/>
        <w:ind w:left="0"/>
        <w:rPr>
          <w:b/>
          <w:i/>
          <w:szCs w:val="24"/>
        </w:rPr>
      </w:pPr>
      <w:r w:rsidRPr="00997857">
        <w:rPr>
          <w:b/>
          <w:i/>
          <w:szCs w:val="24"/>
        </w:rPr>
        <w:t>Развитие пневмонии в течение первых 2—3 дней фебрильной нейтропении</w:t>
      </w:r>
    </w:p>
    <w:p w14:paraId="60B7CA70" w14:textId="77777777" w:rsidR="006F27D1" w:rsidRPr="00DB1FCB" w:rsidRDefault="006F27D1" w:rsidP="008C1767">
      <w:pPr>
        <w:widowControl/>
        <w:numPr>
          <w:ilvl w:val="0"/>
          <w:numId w:val="147"/>
        </w:numPr>
        <w:tabs>
          <w:tab w:val="left" w:pos="0"/>
          <w:tab w:val="left" w:pos="567"/>
        </w:tabs>
        <w:autoSpaceDE/>
        <w:autoSpaceDN/>
        <w:adjustRightInd/>
        <w:ind w:left="0" w:firstLine="0"/>
        <w:rPr>
          <w:szCs w:val="24"/>
        </w:rPr>
      </w:pPr>
      <w:r w:rsidRPr="00DB1FCB">
        <w:rPr>
          <w:szCs w:val="24"/>
        </w:rPr>
        <w:t>При стабильной ситуации проводят БАЛ и дальнейшую модификацию антимикробной терапии осуществляют в соответствии с результатами микробиологического исследования.</w:t>
      </w:r>
    </w:p>
    <w:p w14:paraId="05DE1983" w14:textId="77777777" w:rsidR="006F27D1" w:rsidRPr="00DB1FCB" w:rsidRDefault="006F27D1" w:rsidP="008C1767">
      <w:pPr>
        <w:widowControl/>
        <w:numPr>
          <w:ilvl w:val="0"/>
          <w:numId w:val="147"/>
        </w:numPr>
        <w:tabs>
          <w:tab w:val="left" w:pos="0"/>
          <w:tab w:val="left" w:pos="567"/>
        </w:tabs>
        <w:autoSpaceDE/>
        <w:autoSpaceDN/>
        <w:adjustRightInd/>
        <w:ind w:left="0" w:firstLine="0"/>
        <w:rPr>
          <w:szCs w:val="24"/>
        </w:rPr>
      </w:pPr>
      <w:r w:rsidRPr="00DB1FCB">
        <w:rPr>
          <w:szCs w:val="24"/>
        </w:rPr>
        <w:t>При нестабильном соматическом состоянии или невозможности выполнения БАЛ назначают карбапенем (меропенем, имипенем/циластатин илиьдорипенем) и отменяют антибиотики первого этапа.</w:t>
      </w:r>
    </w:p>
    <w:p w14:paraId="34855C81" w14:textId="77777777" w:rsidR="006F27D1" w:rsidRDefault="006F27D1" w:rsidP="006F27D1">
      <w:pPr>
        <w:tabs>
          <w:tab w:val="left" w:pos="0"/>
          <w:tab w:val="left" w:pos="567"/>
        </w:tabs>
        <w:rPr>
          <w:b/>
          <w:szCs w:val="24"/>
        </w:rPr>
      </w:pPr>
    </w:p>
    <w:p w14:paraId="7B3A9741" w14:textId="77777777" w:rsidR="006F27D1" w:rsidRPr="00997857" w:rsidRDefault="006F27D1" w:rsidP="006F27D1">
      <w:pPr>
        <w:pStyle w:val="afff3"/>
        <w:ind w:left="0"/>
        <w:rPr>
          <w:b/>
          <w:i/>
          <w:szCs w:val="24"/>
        </w:rPr>
      </w:pPr>
      <w:r w:rsidRPr="00997857">
        <w:rPr>
          <w:b/>
          <w:i/>
          <w:szCs w:val="24"/>
        </w:rPr>
        <w:t>Появление септикопиемических очагов на коже</w:t>
      </w:r>
    </w:p>
    <w:p w14:paraId="11C98304" w14:textId="77777777" w:rsidR="006F27D1" w:rsidRPr="00DB1FCB" w:rsidRDefault="006F27D1" w:rsidP="006F27D1">
      <w:pPr>
        <w:tabs>
          <w:tab w:val="left" w:pos="0"/>
          <w:tab w:val="left" w:pos="567"/>
        </w:tabs>
        <w:rPr>
          <w:szCs w:val="24"/>
        </w:rPr>
      </w:pPr>
      <w:r w:rsidRPr="00DB1FCB">
        <w:rPr>
          <w:szCs w:val="24"/>
        </w:rPr>
        <w:t>Вместо цефалоспорина назначают карбапенем — меропенем, имипенем/циластатин или дорипенем.</w:t>
      </w:r>
    </w:p>
    <w:p w14:paraId="7AB3E13A" w14:textId="77777777" w:rsidR="006F27D1" w:rsidRDefault="006F27D1" w:rsidP="006F27D1">
      <w:pPr>
        <w:tabs>
          <w:tab w:val="left" w:pos="0"/>
          <w:tab w:val="left" w:pos="567"/>
        </w:tabs>
        <w:rPr>
          <w:b/>
          <w:szCs w:val="24"/>
        </w:rPr>
      </w:pPr>
    </w:p>
    <w:p w14:paraId="61D477C9" w14:textId="77777777" w:rsidR="006F27D1" w:rsidRPr="00997857" w:rsidRDefault="006F27D1" w:rsidP="006F27D1">
      <w:pPr>
        <w:pStyle w:val="afff3"/>
        <w:ind w:left="0"/>
        <w:rPr>
          <w:b/>
          <w:i/>
          <w:szCs w:val="24"/>
        </w:rPr>
      </w:pPr>
      <w:r w:rsidRPr="00997857">
        <w:rPr>
          <w:b/>
          <w:i/>
          <w:szCs w:val="24"/>
        </w:rPr>
        <w:t>При выделении из крови грамотрицательных микробов (микроскопия)</w:t>
      </w:r>
    </w:p>
    <w:p w14:paraId="2F0454D4" w14:textId="77777777" w:rsidR="006F27D1" w:rsidRPr="00DB1FCB" w:rsidRDefault="006F27D1" w:rsidP="008C1767">
      <w:pPr>
        <w:widowControl/>
        <w:numPr>
          <w:ilvl w:val="0"/>
          <w:numId w:val="148"/>
        </w:numPr>
        <w:tabs>
          <w:tab w:val="left" w:pos="0"/>
          <w:tab w:val="left" w:pos="567"/>
        </w:tabs>
        <w:autoSpaceDE/>
        <w:autoSpaceDN/>
        <w:adjustRightInd/>
        <w:ind w:left="0" w:firstLine="0"/>
        <w:rPr>
          <w:szCs w:val="24"/>
        </w:rPr>
      </w:pPr>
      <w:r w:rsidRPr="00DB1FCB">
        <w:rPr>
          <w:szCs w:val="24"/>
        </w:rPr>
        <w:t>Оставляют прежние антибиотики при стабильном соматическом состоянии (нет ухудшения) до идентификации бактерий и определения их антибиотикочувствительности.</w:t>
      </w:r>
    </w:p>
    <w:p w14:paraId="543717B0" w14:textId="77777777" w:rsidR="006F27D1" w:rsidRPr="00DB1FCB" w:rsidRDefault="006F27D1" w:rsidP="008C1767">
      <w:pPr>
        <w:widowControl/>
        <w:numPr>
          <w:ilvl w:val="0"/>
          <w:numId w:val="148"/>
        </w:numPr>
        <w:tabs>
          <w:tab w:val="left" w:pos="0"/>
          <w:tab w:val="left" w:pos="567"/>
        </w:tabs>
        <w:autoSpaceDE/>
        <w:autoSpaceDN/>
        <w:adjustRightInd/>
        <w:ind w:left="0" w:firstLine="0"/>
        <w:rPr>
          <w:szCs w:val="24"/>
        </w:rPr>
      </w:pPr>
      <w:r w:rsidRPr="00DB1FCB">
        <w:rPr>
          <w:szCs w:val="24"/>
        </w:rPr>
        <w:t>Проводят замену на карбапенем (меропенем или имипенем/циластатин) при ухудшении клинического состояния (например, повышение температуры, появление ознобов, развитие пневмонии и др.).</w:t>
      </w:r>
    </w:p>
    <w:p w14:paraId="6094B080" w14:textId="77777777" w:rsidR="006F27D1" w:rsidRDefault="006F27D1" w:rsidP="006F27D1">
      <w:pPr>
        <w:tabs>
          <w:tab w:val="left" w:pos="0"/>
          <w:tab w:val="left" w:pos="567"/>
        </w:tabs>
        <w:rPr>
          <w:b/>
          <w:szCs w:val="24"/>
        </w:rPr>
      </w:pPr>
    </w:p>
    <w:p w14:paraId="4343F81D" w14:textId="77777777" w:rsidR="006F27D1" w:rsidRPr="00997857" w:rsidRDefault="006F27D1" w:rsidP="006F27D1">
      <w:pPr>
        <w:pStyle w:val="afff3"/>
        <w:ind w:left="0"/>
        <w:rPr>
          <w:b/>
          <w:i/>
          <w:szCs w:val="24"/>
        </w:rPr>
      </w:pPr>
      <w:r w:rsidRPr="00997857">
        <w:rPr>
          <w:b/>
          <w:i/>
          <w:szCs w:val="24"/>
        </w:rPr>
        <w:t>При выделении из крови грамположительных бактерий (микроскопия)</w:t>
      </w:r>
    </w:p>
    <w:p w14:paraId="219253AB" w14:textId="77777777" w:rsidR="006F27D1" w:rsidRPr="00DB1FCB" w:rsidRDefault="006F27D1" w:rsidP="008C1767">
      <w:pPr>
        <w:widowControl/>
        <w:numPr>
          <w:ilvl w:val="0"/>
          <w:numId w:val="149"/>
        </w:numPr>
        <w:tabs>
          <w:tab w:val="left" w:pos="0"/>
          <w:tab w:val="left" w:pos="567"/>
        </w:tabs>
        <w:autoSpaceDE/>
        <w:autoSpaceDN/>
        <w:adjustRightInd/>
        <w:ind w:left="0" w:firstLine="0"/>
        <w:rPr>
          <w:szCs w:val="24"/>
        </w:rPr>
      </w:pPr>
      <w:r w:rsidRPr="00DB1FCB">
        <w:rPr>
          <w:szCs w:val="24"/>
        </w:rPr>
        <w:t>Добавляют даптомицин (в дозе 10 мг/кг 1 раз в сутки) или ванкомицин при сепсисе, появлении септикопиемических отсевов на коже, ухудшении соматического состояния пациента, повторном выделении грамположительных бактерий из крови. Препаратом выбора в лечении инфекций кровотока, вызванных грамположительными бактериями, является даптомицин.</w:t>
      </w:r>
    </w:p>
    <w:p w14:paraId="05A08684" w14:textId="77777777" w:rsidR="006F27D1" w:rsidRPr="00DB1FCB" w:rsidRDefault="006F27D1" w:rsidP="008C1767">
      <w:pPr>
        <w:widowControl/>
        <w:numPr>
          <w:ilvl w:val="0"/>
          <w:numId w:val="149"/>
        </w:numPr>
        <w:tabs>
          <w:tab w:val="left" w:pos="0"/>
          <w:tab w:val="left" w:pos="567"/>
        </w:tabs>
        <w:autoSpaceDE/>
        <w:autoSpaceDN/>
        <w:adjustRightInd/>
        <w:ind w:left="0" w:firstLine="0"/>
        <w:rPr>
          <w:szCs w:val="24"/>
        </w:rPr>
      </w:pPr>
      <w:r w:rsidRPr="00DB1FCB">
        <w:rPr>
          <w:szCs w:val="24"/>
        </w:rPr>
        <w:t xml:space="preserve">Добавляют линезолид (по 600 мг 2 раза в сутки), если у больного выделены из гемокультуры стрептококки группы </w:t>
      </w:r>
      <w:r w:rsidRPr="00DB1FCB">
        <w:rPr>
          <w:i/>
          <w:szCs w:val="24"/>
        </w:rPr>
        <w:t xml:space="preserve">viridans </w:t>
      </w:r>
      <w:r w:rsidRPr="00DB1FCB">
        <w:rPr>
          <w:szCs w:val="24"/>
        </w:rPr>
        <w:t xml:space="preserve">и присоединилась пневмония. </w:t>
      </w:r>
    </w:p>
    <w:p w14:paraId="7A551CB0" w14:textId="77777777" w:rsidR="006F27D1" w:rsidRPr="00DB1FCB" w:rsidRDefault="006F27D1" w:rsidP="008C1767">
      <w:pPr>
        <w:widowControl/>
        <w:numPr>
          <w:ilvl w:val="0"/>
          <w:numId w:val="149"/>
        </w:numPr>
        <w:tabs>
          <w:tab w:val="left" w:pos="0"/>
          <w:tab w:val="left" w:pos="567"/>
        </w:tabs>
        <w:autoSpaceDE/>
        <w:autoSpaceDN/>
        <w:adjustRightInd/>
        <w:ind w:left="0" w:firstLine="0"/>
        <w:rPr>
          <w:szCs w:val="24"/>
        </w:rPr>
      </w:pPr>
      <w:r w:rsidRPr="00DB1FCB">
        <w:rPr>
          <w:szCs w:val="24"/>
        </w:rPr>
        <w:t>Оставляют антимикробную терапию прежней до получения результатов микробиологического исследования (идентификация вида возбудителя, определение его чувствительности к антибиотикам) при стабильном соматическом состоянии больного (температура прежняя).</w:t>
      </w:r>
    </w:p>
    <w:p w14:paraId="2E3A889F" w14:textId="77777777" w:rsidR="006F27D1" w:rsidRDefault="006F27D1" w:rsidP="006F27D1">
      <w:pPr>
        <w:tabs>
          <w:tab w:val="left" w:pos="0"/>
          <w:tab w:val="left" w:pos="567"/>
        </w:tabs>
        <w:rPr>
          <w:b/>
          <w:szCs w:val="24"/>
        </w:rPr>
      </w:pPr>
    </w:p>
    <w:p w14:paraId="1697F8D5" w14:textId="77777777" w:rsidR="006F27D1" w:rsidRPr="00997857" w:rsidRDefault="006F27D1" w:rsidP="006F27D1">
      <w:pPr>
        <w:pStyle w:val="afff3"/>
        <w:ind w:left="0"/>
        <w:rPr>
          <w:b/>
          <w:i/>
          <w:szCs w:val="24"/>
        </w:rPr>
      </w:pPr>
      <w:r w:rsidRPr="00997857">
        <w:rPr>
          <w:b/>
          <w:i/>
          <w:szCs w:val="24"/>
        </w:rPr>
        <w:t xml:space="preserve">Инфекция, вызванная энтеробактериями с продукцией БЛРС </w:t>
      </w:r>
    </w:p>
    <w:p w14:paraId="5F31B847" w14:textId="77777777" w:rsidR="006F27D1" w:rsidRPr="00DB1FCB" w:rsidRDefault="006F27D1" w:rsidP="008C1767">
      <w:pPr>
        <w:widowControl/>
        <w:numPr>
          <w:ilvl w:val="0"/>
          <w:numId w:val="150"/>
        </w:numPr>
        <w:tabs>
          <w:tab w:val="left" w:pos="0"/>
          <w:tab w:val="left" w:pos="567"/>
        </w:tabs>
        <w:autoSpaceDE/>
        <w:autoSpaceDN/>
        <w:adjustRightInd/>
        <w:ind w:left="0" w:firstLine="0"/>
        <w:rPr>
          <w:szCs w:val="24"/>
        </w:rPr>
      </w:pPr>
      <w:r w:rsidRPr="00DB1FCB">
        <w:rPr>
          <w:szCs w:val="24"/>
        </w:rPr>
        <w:t>Препарата выбора – карбапенем (меропенем, имипенем/циластатин или дорипенем).</w:t>
      </w:r>
    </w:p>
    <w:p w14:paraId="11775EC7" w14:textId="3A6D7E3B" w:rsidR="006F27D1" w:rsidRPr="00DB1FCB" w:rsidRDefault="006F27D1" w:rsidP="008C1767">
      <w:pPr>
        <w:widowControl/>
        <w:numPr>
          <w:ilvl w:val="0"/>
          <w:numId w:val="150"/>
        </w:numPr>
        <w:tabs>
          <w:tab w:val="left" w:pos="0"/>
          <w:tab w:val="left" w:pos="567"/>
        </w:tabs>
        <w:autoSpaceDE/>
        <w:autoSpaceDN/>
        <w:adjustRightInd/>
        <w:ind w:left="0" w:firstLine="0"/>
        <w:rPr>
          <w:szCs w:val="24"/>
        </w:rPr>
      </w:pPr>
      <w:r w:rsidRPr="00DB1FCB">
        <w:rPr>
          <w:szCs w:val="24"/>
        </w:rPr>
        <w:t xml:space="preserve">При неэффективности (появление септикопиемических очагов на коже или </w:t>
      </w:r>
      <w:r w:rsidR="00E332F3" w:rsidRPr="00DB1FCB">
        <w:rPr>
          <w:szCs w:val="24"/>
        </w:rPr>
        <w:t>пневмонии,</w:t>
      </w:r>
      <w:r w:rsidRPr="00DB1FCB">
        <w:rPr>
          <w:szCs w:val="24"/>
        </w:rPr>
        <w:t xml:space="preserve"> или повышение температуры с ознобом) используют продленную инфузию или добавляют амикацин.</w:t>
      </w:r>
    </w:p>
    <w:p w14:paraId="2B7BA9BF" w14:textId="77777777" w:rsidR="006F27D1" w:rsidRPr="00DB1FCB" w:rsidRDefault="006F27D1" w:rsidP="008C1767">
      <w:pPr>
        <w:widowControl/>
        <w:numPr>
          <w:ilvl w:val="0"/>
          <w:numId w:val="152"/>
        </w:numPr>
        <w:tabs>
          <w:tab w:val="left" w:pos="0"/>
          <w:tab w:val="left" w:pos="567"/>
        </w:tabs>
        <w:autoSpaceDE/>
        <w:autoSpaceDN/>
        <w:adjustRightInd/>
        <w:ind w:left="0" w:firstLine="0"/>
        <w:rPr>
          <w:szCs w:val="24"/>
        </w:rPr>
      </w:pPr>
      <w:r w:rsidRPr="00DB1FCB">
        <w:rPr>
          <w:szCs w:val="24"/>
        </w:rPr>
        <w:t xml:space="preserve">Меропенем по 2 г 3 раза в сутки, введение каждой дозы в течение 3 часов. </w:t>
      </w:r>
    </w:p>
    <w:p w14:paraId="422BD9BB" w14:textId="77777777" w:rsidR="006F27D1" w:rsidRPr="00DB1FCB" w:rsidRDefault="006F27D1" w:rsidP="008C1767">
      <w:pPr>
        <w:widowControl/>
        <w:numPr>
          <w:ilvl w:val="0"/>
          <w:numId w:val="152"/>
        </w:numPr>
        <w:tabs>
          <w:tab w:val="left" w:pos="0"/>
          <w:tab w:val="left" w:pos="567"/>
        </w:tabs>
        <w:autoSpaceDE/>
        <w:autoSpaceDN/>
        <w:adjustRightInd/>
        <w:ind w:left="0" w:firstLine="0"/>
        <w:rPr>
          <w:szCs w:val="24"/>
        </w:rPr>
      </w:pPr>
      <w:r w:rsidRPr="00DB1FCB">
        <w:rPr>
          <w:szCs w:val="24"/>
        </w:rPr>
        <w:t>Амикацин: по 15 мг/кг 1 раз в сутки.</w:t>
      </w:r>
    </w:p>
    <w:p w14:paraId="274CB081" w14:textId="77777777" w:rsidR="006F27D1" w:rsidRPr="00DB1FCB" w:rsidRDefault="006F27D1" w:rsidP="008C1767">
      <w:pPr>
        <w:widowControl/>
        <w:numPr>
          <w:ilvl w:val="0"/>
          <w:numId w:val="151"/>
        </w:numPr>
        <w:tabs>
          <w:tab w:val="left" w:pos="0"/>
          <w:tab w:val="left" w:pos="567"/>
        </w:tabs>
        <w:autoSpaceDE/>
        <w:autoSpaceDN/>
        <w:adjustRightInd/>
        <w:ind w:left="0" w:firstLine="0"/>
        <w:rPr>
          <w:szCs w:val="24"/>
        </w:rPr>
      </w:pPr>
      <w:r w:rsidRPr="00DB1FCB">
        <w:rPr>
          <w:szCs w:val="24"/>
        </w:rPr>
        <w:t xml:space="preserve">Больным вне нейтропении, особенно при инфекции мочевыводящих путей, допустимо назначить эртапенем (в дозе 1 г 1 раз в сутки). </w:t>
      </w:r>
    </w:p>
    <w:p w14:paraId="441C08F9" w14:textId="77777777" w:rsidR="006F27D1" w:rsidRDefault="006F27D1" w:rsidP="006F27D1">
      <w:pPr>
        <w:tabs>
          <w:tab w:val="left" w:pos="0"/>
          <w:tab w:val="left" w:pos="567"/>
        </w:tabs>
        <w:rPr>
          <w:b/>
          <w:szCs w:val="24"/>
        </w:rPr>
      </w:pPr>
    </w:p>
    <w:p w14:paraId="02911692" w14:textId="77777777" w:rsidR="006F27D1" w:rsidRPr="00997857" w:rsidRDefault="006F27D1" w:rsidP="006F27D1">
      <w:pPr>
        <w:pStyle w:val="afff3"/>
        <w:ind w:left="0"/>
        <w:rPr>
          <w:b/>
          <w:i/>
          <w:szCs w:val="24"/>
        </w:rPr>
      </w:pPr>
      <w:r w:rsidRPr="00997857">
        <w:rPr>
          <w:b/>
          <w:i/>
          <w:szCs w:val="24"/>
        </w:rPr>
        <w:t>Инфекция, вызванная энтеробактериями с продукцией карбапенемаз</w:t>
      </w:r>
    </w:p>
    <w:p w14:paraId="131B97EA" w14:textId="77777777" w:rsidR="006F27D1" w:rsidRPr="00DB1FCB" w:rsidRDefault="006F27D1" w:rsidP="008C1767">
      <w:pPr>
        <w:widowControl/>
        <w:numPr>
          <w:ilvl w:val="0"/>
          <w:numId w:val="153"/>
        </w:numPr>
        <w:tabs>
          <w:tab w:val="left" w:pos="0"/>
          <w:tab w:val="left" w:pos="567"/>
        </w:tabs>
        <w:autoSpaceDE/>
        <w:autoSpaceDN/>
        <w:adjustRightInd/>
        <w:ind w:left="0" w:firstLine="0"/>
        <w:rPr>
          <w:szCs w:val="24"/>
        </w:rPr>
      </w:pPr>
      <w:r w:rsidRPr="00DB1FCB">
        <w:rPr>
          <w:szCs w:val="24"/>
        </w:rPr>
        <w:t xml:space="preserve">Характеризируются тяжелым течением, отсутствием эффективных препаратов, использованием комбинаций антибактериальных препаратов, высокой летальностью. </w:t>
      </w:r>
    </w:p>
    <w:p w14:paraId="249F9A51" w14:textId="77777777" w:rsidR="006F27D1" w:rsidRPr="00DB1FCB" w:rsidRDefault="006F27D1" w:rsidP="008C1767">
      <w:pPr>
        <w:widowControl/>
        <w:numPr>
          <w:ilvl w:val="0"/>
          <w:numId w:val="153"/>
        </w:numPr>
        <w:tabs>
          <w:tab w:val="left" w:pos="0"/>
          <w:tab w:val="left" w:pos="567"/>
        </w:tabs>
        <w:autoSpaceDE/>
        <w:autoSpaceDN/>
        <w:adjustRightInd/>
        <w:ind w:left="0" w:firstLine="0"/>
        <w:rPr>
          <w:szCs w:val="24"/>
        </w:rPr>
      </w:pPr>
      <w:r w:rsidRPr="00DB1FCB">
        <w:rPr>
          <w:szCs w:val="24"/>
        </w:rPr>
        <w:t>Используемые антимикробные препараты:</w:t>
      </w:r>
    </w:p>
    <w:p w14:paraId="19EFE9A6" w14:textId="77777777" w:rsidR="006F27D1" w:rsidRPr="00DB1FCB" w:rsidRDefault="006F27D1" w:rsidP="008C1767">
      <w:pPr>
        <w:widowControl/>
        <w:numPr>
          <w:ilvl w:val="0"/>
          <w:numId w:val="154"/>
        </w:numPr>
        <w:tabs>
          <w:tab w:val="left" w:pos="0"/>
          <w:tab w:val="left" w:pos="567"/>
        </w:tabs>
        <w:autoSpaceDE/>
        <w:autoSpaceDN/>
        <w:adjustRightInd/>
        <w:ind w:left="0" w:firstLine="0"/>
        <w:rPr>
          <w:szCs w:val="24"/>
        </w:rPr>
      </w:pPr>
      <w:r w:rsidRPr="00DB1FCB">
        <w:rPr>
          <w:szCs w:val="24"/>
        </w:rPr>
        <w:t xml:space="preserve">Меропенем (продленная инфузия). </w:t>
      </w:r>
    </w:p>
    <w:p w14:paraId="23E33F14" w14:textId="77777777" w:rsidR="006F27D1" w:rsidRPr="00DB1FCB" w:rsidRDefault="006F27D1" w:rsidP="008C1767">
      <w:pPr>
        <w:widowControl/>
        <w:numPr>
          <w:ilvl w:val="0"/>
          <w:numId w:val="154"/>
        </w:numPr>
        <w:tabs>
          <w:tab w:val="left" w:pos="0"/>
          <w:tab w:val="left" w:pos="567"/>
        </w:tabs>
        <w:autoSpaceDE/>
        <w:autoSpaceDN/>
        <w:adjustRightInd/>
        <w:ind w:left="0" w:firstLine="0"/>
        <w:rPr>
          <w:szCs w:val="24"/>
        </w:rPr>
      </w:pPr>
      <w:r w:rsidRPr="00DB1FCB">
        <w:rPr>
          <w:szCs w:val="24"/>
        </w:rPr>
        <w:t>Гентамицин по 5-7 мг/кг 1 раз в сутки или 1,5-2 мг/кг каждые 8 часов, при этом 1-ая доза составляет 2-3 мг/кг. Не применяют в монотерапии.</w:t>
      </w:r>
    </w:p>
    <w:p w14:paraId="5FF79777" w14:textId="77777777" w:rsidR="006F27D1" w:rsidRPr="00DB1FCB" w:rsidRDefault="006F27D1" w:rsidP="008C1767">
      <w:pPr>
        <w:widowControl/>
        <w:numPr>
          <w:ilvl w:val="0"/>
          <w:numId w:val="154"/>
        </w:numPr>
        <w:tabs>
          <w:tab w:val="left" w:pos="0"/>
          <w:tab w:val="left" w:pos="567"/>
        </w:tabs>
        <w:autoSpaceDE/>
        <w:autoSpaceDN/>
        <w:adjustRightInd/>
        <w:ind w:left="0" w:firstLine="0"/>
        <w:rPr>
          <w:szCs w:val="24"/>
        </w:rPr>
      </w:pPr>
      <w:r w:rsidRPr="00DB1FCB">
        <w:rPr>
          <w:szCs w:val="24"/>
        </w:rPr>
        <w:t xml:space="preserve">Амикацин. Не применяют в монотерапии. </w:t>
      </w:r>
    </w:p>
    <w:p w14:paraId="387A88B9" w14:textId="5ECCF1AC" w:rsidR="006F27D1" w:rsidRPr="00DB1FCB" w:rsidRDefault="00E332F3" w:rsidP="008C1767">
      <w:pPr>
        <w:widowControl/>
        <w:numPr>
          <w:ilvl w:val="0"/>
          <w:numId w:val="154"/>
        </w:numPr>
        <w:tabs>
          <w:tab w:val="left" w:pos="0"/>
          <w:tab w:val="left" w:pos="567"/>
        </w:tabs>
        <w:autoSpaceDE/>
        <w:autoSpaceDN/>
        <w:adjustRightInd/>
        <w:ind w:left="0" w:firstLine="0"/>
        <w:rPr>
          <w:szCs w:val="24"/>
        </w:rPr>
      </w:pPr>
      <w:r w:rsidRPr="00DB1FCB">
        <w:rPr>
          <w:szCs w:val="24"/>
        </w:rPr>
        <w:t>Колистин 1</w:t>
      </w:r>
      <w:r w:rsidR="006F27D1" w:rsidRPr="00DB1FCB">
        <w:rPr>
          <w:szCs w:val="24"/>
        </w:rPr>
        <w:t xml:space="preserve">-ый день 9 млн ЕД 1 раз в сутки, далее по 4,5 млн ЕД каждые 12 часов. </w:t>
      </w:r>
    </w:p>
    <w:p w14:paraId="4FDBE88A" w14:textId="77777777" w:rsidR="006F27D1" w:rsidRPr="00DB1FCB" w:rsidRDefault="006F27D1" w:rsidP="008C1767">
      <w:pPr>
        <w:widowControl/>
        <w:numPr>
          <w:ilvl w:val="0"/>
          <w:numId w:val="154"/>
        </w:numPr>
        <w:tabs>
          <w:tab w:val="left" w:pos="0"/>
          <w:tab w:val="left" w:pos="567"/>
        </w:tabs>
        <w:autoSpaceDE/>
        <w:autoSpaceDN/>
        <w:adjustRightInd/>
        <w:ind w:left="0" w:firstLine="0"/>
        <w:rPr>
          <w:szCs w:val="24"/>
        </w:rPr>
      </w:pPr>
      <w:r w:rsidRPr="00DB1FCB">
        <w:rPr>
          <w:szCs w:val="24"/>
        </w:rPr>
        <w:t xml:space="preserve">Фосфомицин по 3 г 3 раза в сутки. </w:t>
      </w:r>
    </w:p>
    <w:p w14:paraId="4274CCFA" w14:textId="77777777" w:rsidR="006F27D1" w:rsidRPr="00DB1FCB" w:rsidRDefault="006F27D1" w:rsidP="008C1767">
      <w:pPr>
        <w:widowControl/>
        <w:numPr>
          <w:ilvl w:val="0"/>
          <w:numId w:val="154"/>
        </w:numPr>
        <w:tabs>
          <w:tab w:val="left" w:pos="0"/>
          <w:tab w:val="left" w:pos="567"/>
        </w:tabs>
        <w:autoSpaceDE/>
        <w:autoSpaceDN/>
        <w:adjustRightInd/>
        <w:ind w:left="0" w:firstLine="0"/>
        <w:rPr>
          <w:szCs w:val="24"/>
        </w:rPr>
      </w:pPr>
      <w:r w:rsidRPr="00DB1FCB">
        <w:rPr>
          <w:szCs w:val="24"/>
        </w:rPr>
        <w:t xml:space="preserve">Тигециклин: 1-ая доза 200 мг, далее по 100 мг, каждые 12 часов. </w:t>
      </w:r>
    </w:p>
    <w:p w14:paraId="15E85A4E" w14:textId="77777777" w:rsidR="006F27D1" w:rsidRDefault="006F27D1" w:rsidP="006F27D1">
      <w:pPr>
        <w:tabs>
          <w:tab w:val="left" w:pos="0"/>
          <w:tab w:val="left" w:pos="567"/>
        </w:tabs>
        <w:rPr>
          <w:b/>
          <w:szCs w:val="24"/>
        </w:rPr>
      </w:pPr>
    </w:p>
    <w:p w14:paraId="0DDD20C1" w14:textId="77777777" w:rsidR="006F27D1" w:rsidRDefault="006F27D1" w:rsidP="006F27D1">
      <w:pPr>
        <w:tabs>
          <w:tab w:val="left" w:pos="0"/>
          <w:tab w:val="left" w:pos="567"/>
        </w:tabs>
        <w:rPr>
          <w:b/>
          <w:szCs w:val="24"/>
        </w:rPr>
      </w:pPr>
    </w:p>
    <w:p w14:paraId="773E4B5A" w14:textId="77777777" w:rsidR="006F27D1" w:rsidRPr="00997857" w:rsidRDefault="006F27D1" w:rsidP="006F27D1">
      <w:pPr>
        <w:pStyle w:val="afff3"/>
        <w:ind w:left="0"/>
        <w:rPr>
          <w:b/>
          <w:i/>
          <w:szCs w:val="24"/>
        </w:rPr>
      </w:pPr>
      <w:r w:rsidRPr="00997857">
        <w:rPr>
          <w:b/>
          <w:i/>
          <w:szCs w:val="24"/>
        </w:rPr>
        <w:t>Мукозит (слизистая оболочка рта отечная, рыхлая)</w:t>
      </w:r>
    </w:p>
    <w:p w14:paraId="2BDDA13A" w14:textId="77777777" w:rsidR="006F27D1" w:rsidRPr="00DB1FCB" w:rsidRDefault="006F27D1" w:rsidP="008C1767">
      <w:pPr>
        <w:widowControl/>
        <w:numPr>
          <w:ilvl w:val="0"/>
          <w:numId w:val="155"/>
        </w:numPr>
        <w:tabs>
          <w:tab w:val="left" w:pos="0"/>
          <w:tab w:val="left" w:pos="567"/>
        </w:tabs>
        <w:autoSpaceDE/>
        <w:autoSpaceDN/>
        <w:adjustRightInd/>
        <w:ind w:left="0" w:firstLine="0"/>
        <w:rPr>
          <w:szCs w:val="24"/>
        </w:rPr>
      </w:pPr>
      <w:r w:rsidRPr="00DB1FCB">
        <w:rPr>
          <w:szCs w:val="24"/>
        </w:rPr>
        <w:t xml:space="preserve">Добавляют ванкомицин, даптомицин, линезолид или тедизолид при мукозите </w:t>
      </w:r>
      <w:r w:rsidRPr="00DB1FCB">
        <w:rPr>
          <w:szCs w:val="24"/>
          <w:lang w:val="en-US"/>
        </w:rPr>
        <w:t>III</w:t>
      </w:r>
      <w:r w:rsidRPr="00DB1FCB">
        <w:rPr>
          <w:szCs w:val="24"/>
        </w:rPr>
        <w:t>-</w:t>
      </w:r>
      <w:r w:rsidRPr="00DB1FCB">
        <w:rPr>
          <w:szCs w:val="24"/>
          <w:lang w:val="en-US"/>
        </w:rPr>
        <w:t>IV</w:t>
      </w:r>
      <w:r w:rsidRPr="00DB1FCB">
        <w:rPr>
          <w:szCs w:val="24"/>
        </w:rPr>
        <w:t xml:space="preserve"> степени, если выделены только грамположительные бактерии (высокая вероятность развития сепсиса, обусловленного стрептококками группы </w:t>
      </w:r>
      <w:r w:rsidRPr="00DB1FCB">
        <w:rPr>
          <w:i/>
          <w:szCs w:val="24"/>
        </w:rPr>
        <w:t>viridans</w:t>
      </w:r>
      <w:r w:rsidRPr="00DB1FCB">
        <w:rPr>
          <w:szCs w:val="24"/>
        </w:rPr>
        <w:t>). Проводят исследования на вирусы (определение ДНК герпесвирусов).</w:t>
      </w:r>
    </w:p>
    <w:p w14:paraId="707EE657" w14:textId="77777777" w:rsidR="006F27D1" w:rsidRPr="00DB1FCB" w:rsidRDefault="006F27D1" w:rsidP="008C1767">
      <w:pPr>
        <w:widowControl/>
        <w:numPr>
          <w:ilvl w:val="0"/>
          <w:numId w:val="155"/>
        </w:numPr>
        <w:tabs>
          <w:tab w:val="left" w:pos="0"/>
          <w:tab w:val="left" w:pos="567"/>
        </w:tabs>
        <w:autoSpaceDE/>
        <w:autoSpaceDN/>
        <w:adjustRightInd/>
        <w:ind w:left="0" w:firstLine="0"/>
        <w:rPr>
          <w:szCs w:val="24"/>
        </w:rPr>
      </w:pPr>
      <w:r w:rsidRPr="00DB1FCB">
        <w:rPr>
          <w:szCs w:val="24"/>
        </w:rPr>
        <w:t xml:space="preserve">Добавляют флуконазол, если со слизистой оболочки выделены </w:t>
      </w:r>
      <w:r w:rsidRPr="00DB1FCB">
        <w:rPr>
          <w:i/>
          <w:szCs w:val="24"/>
        </w:rPr>
        <w:t>Candida spp</w:t>
      </w:r>
      <w:r w:rsidRPr="00DB1FCB">
        <w:rPr>
          <w:szCs w:val="24"/>
        </w:rPr>
        <w:t xml:space="preserve">.; в отсутствие эффекта дополнительно назначают в/в ванкомицин, или даптомицин, или линезолид, или тедизолид при мукозите </w:t>
      </w:r>
      <w:r w:rsidRPr="00DB1FCB">
        <w:rPr>
          <w:szCs w:val="24"/>
          <w:lang w:val="en-US"/>
        </w:rPr>
        <w:t>III</w:t>
      </w:r>
      <w:r w:rsidRPr="00DB1FCB">
        <w:rPr>
          <w:szCs w:val="24"/>
        </w:rPr>
        <w:t>-</w:t>
      </w:r>
      <w:r w:rsidRPr="00DB1FCB">
        <w:rPr>
          <w:szCs w:val="24"/>
          <w:lang w:val="en-US"/>
        </w:rPr>
        <w:t>IV</w:t>
      </w:r>
      <w:r w:rsidRPr="00DB1FCB">
        <w:rPr>
          <w:szCs w:val="24"/>
        </w:rPr>
        <w:t xml:space="preserve"> степени и проводят вирусологическое исследование (определение ДНК герпесвирусов). </w:t>
      </w:r>
    </w:p>
    <w:p w14:paraId="4F578141" w14:textId="77777777" w:rsidR="006F27D1" w:rsidRPr="00DB1FCB" w:rsidRDefault="006F27D1" w:rsidP="008C1767">
      <w:pPr>
        <w:widowControl/>
        <w:numPr>
          <w:ilvl w:val="0"/>
          <w:numId w:val="155"/>
        </w:numPr>
        <w:tabs>
          <w:tab w:val="left" w:pos="0"/>
          <w:tab w:val="left" w:pos="567"/>
        </w:tabs>
        <w:autoSpaceDE/>
        <w:autoSpaceDN/>
        <w:adjustRightInd/>
        <w:ind w:left="0" w:firstLine="0"/>
        <w:rPr>
          <w:szCs w:val="24"/>
        </w:rPr>
      </w:pPr>
      <w:r w:rsidRPr="00DB1FCB">
        <w:rPr>
          <w:szCs w:val="24"/>
        </w:rPr>
        <w:t xml:space="preserve">Добавляют ципрофлоксацин (по 0,5 г 2 раза в сутки) при выделении со слизистой оболочки рта </w:t>
      </w:r>
      <w:r w:rsidRPr="00DB1FCB">
        <w:rPr>
          <w:i/>
          <w:szCs w:val="24"/>
        </w:rPr>
        <w:t>Pseudomonas aeruginosa</w:t>
      </w:r>
      <w:r w:rsidRPr="00DB1FCB">
        <w:rPr>
          <w:szCs w:val="24"/>
        </w:rPr>
        <w:t>, если состояние пациента стабильное. При тяжелом состоянии проводят замену антибиотиков согласно результатам определения чувствительности возбудителя (препараты вводят внутривенно).</w:t>
      </w:r>
    </w:p>
    <w:p w14:paraId="6B0678F2" w14:textId="77777777" w:rsidR="006F27D1" w:rsidRPr="00DB1FCB" w:rsidRDefault="006F27D1" w:rsidP="008C1767">
      <w:pPr>
        <w:widowControl/>
        <w:numPr>
          <w:ilvl w:val="0"/>
          <w:numId w:val="155"/>
        </w:numPr>
        <w:tabs>
          <w:tab w:val="left" w:pos="0"/>
          <w:tab w:val="left" w:pos="567"/>
        </w:tabs>
        <w:autoSpaceDE/>
        <w:autoSpaceDN/>
        <w:adjustRightInd/>
        <w:ind w:left="0" w:firstLine="0"/>
        <w:rPr>
          <w:szCs w:val="24"/>
        </w:rPr>
      </w:pPr>
      <w:r w:rsidRPr="00DB1FCB">
        <w:rPr>
          <w:szCs w:val="24"/>
        </w:rPr>
        <w:t xml:space="preserve">Модификация антимикробной терапии при выделении других грамотрицательных бактерий (энтеробактерий, продуцирующих БЛРС, </w:t>
      </w:r>
      <w:r w:rsidRPr="00DB1FCB">
        <w:rPr>
          <w:i/>
          <w:szCs w:val="24"/>
          <w:lang w:val="en-US"/>
        </w:rPr>
        <w:t>Acinetobacter</w:t>
      </w:r>
      <w:r w:rsidRPr="00DB1FCB">
        <w:rPr>
          <w:i/>
          <w:szCs w:val="24"/>
        </w:rPr>
        <w:t xml:space="preserve"> </w:t>
      </w:r>
      <w:r w:rsidRPr="00DB1FCB">
        <w:rPr>
          <w:i/>
          <w:szCs w:val="24"/>
          <w:lang w:val="en-US"/>
        </w:rPr>
        <w:t>baumannii</w:t>
      </w:r>
      <w:r w:rsidRPr="00DB1FCB">
        <w:rPr>
          <w:szCs w:val="24"/>
        </w:rPr>
        <w:t xml:space="preserve">, </w:t>
      </w:r>
      <w:r w:rsidRPr="00DB1FCB">
        <w:rPr>
          <w:i/>
          <w:szCs w:val="24"/>
          <w:lang w:val="en-US"/>
        </w:rPr>
        <w:t>Stenotrophomonas</w:t>
      </w:r>
      <w:r w:rsidRPr="00DB1FCB">
        <w:rPr>
          <w:i/>
          <w:szCs w:val="24"/>
        </w:rPr>
        <w:t xml:space="preserve"> </w:t>
      </w:r>
      <w:r w:rsidRPr="00DB1FCB">
        <w:rPr>
          <w:i/>
          <w:szCs w:val="24"/>
          <w:lang w:val="en-US"/>
        </w:rPr>
        <w:t>maltophilia</w:t>
      </w:r>
      <w:r w:rsidRPr="00DB1FCB">
        <w:rPr>
          <w:szCs w:val="24"/>
        </w:rPr>
        <w:t>) в соответствии с результатами определения чувствительности к антибиотикам.</w:t>
      </w:r>
    </w:p>
    <w:p w14:paraId="725AD00D" w14:textId="77777777" w:rsidR="006F27D1" w:rsidRPr="00DB1FCB" w:rsidRDefault="006F27D1" w:rsidP="006F27D1">
      <w:pPr>
        <w:tabs>
          <w:tab w:val="left" w:pos="0"/>
          <w:tab w:val="left" w:pos="567"/>
        </w:tabs>
        <w:rPr>
          <w:b/>
          <w:szCs w:val="24"/>
        </w:rPr>
      </w:pPr>
      <w:r w:rsidRPr="00DB1FCB">
        <w:rPr>
          <w:b/>
          <w:szCs w:val="24"/>
        </w:rPr>
        <w:t>Парапроктит</w:t>
      </w:r>
    </w:p>
    <w:p w14:paraId="20EC718B" w14:textId="77777777" w:rsidR="006F27D1" w:rsidRPr="00DB1FCB" w:rsidRDefault="006F27D1" w:rsidP="006F27D1">
      <w:pPr>
        <w:tabs>
          <w:tab w:val="left" w:pos="0"/>
          <w:tab w:val="left" w:pos="567"/>
        </w:tabs>
        <w:rPr>
          <w:szCs w:val="24"/>
        </w:rPr>
      </w:pPr>
      <w:r w:rsidRPr="00DB1FCB">
        <w:rPr>
          <w:szCs w:val="24"/>
        </w:rPr>
        <w:t>Схемы антимикробной терапии должны включать препараты с активностью против грамотрицательных и анаэробных бактерий.</w:t>
      </w:r>
    </w:p>
    <w:p w14:paraId="29CCADDA" w14:textId="77777777" w:rsidR="006F27D1" w:rsidRPr="00DB1FCB" w:rsidRDefault="006F27D1" w:rsidP="008C1767">
      <w:pPr>
        <w:widowControl/>
        <w:numPr>
          <w:ilvl w:val="0"/>
          <w:numId w:val="156"/>
        </w:numPr>
        <w:tabs>
          <w:tab w:val="left" w:pos="0"/>
          <w:tab w:val="left" w:pos="567"/>
        </w:tabs>
        <w:autoSpaceDE/>
        <w:autoSpaceDN/>
        <w:adjustRightInd/>
        <w:ind w:left="0" w:firstLine="0"/>
        <w:rPr>
          <w:szCs w:val="24"/>
        </w:rPr>
      </w:pPr>
      <w:r w:rsidRPr="00DB1FCB">
        <w:rPr>
          <w:szCs w:val="24"/>
        </w:rPr>
        <w:t>Если назначен цефоперазон/сульбактам, то к нему добавляют амикацин.</w:t>
      </w:r>
    </w:p>
    <w:p w14:paraId="2C363B32" w14:textId="77777777" w:rsidR="006F27D1" w:rsidRPr="00DB1FCB" w:rsidRDefault="006F27D1" w:rsidP="008C1767">
      <w:pPr>
        <w:widowControl/>
        <w:numPr>
          <w:ilvl w:val="0"/>
          <w:numId w:val="156"/>
        </w:numPr>
        <w:tabs>
          <w:tab w:val="left" w:pos="0"/>
          <w:tab w:val="left" w:pos="567"/>
        </w:tabs>
        <w:autoSpaceDE/>
        <w:autoSpaceDN/>
        <w:adjustRightInd/>
        <w:ind w:left="0" w:firstLine="0"/>
        <w:rPr>
          <w:szCs w:val="24"/>
        </w:rPr>
      </w:pPr>
      <w:r w:rsidRPr="00DB1FCB">
        <w:rPr>
          <w:szCs w:val="24"/>
        </w:rPr>
        <w:t>Если назначен цефепим, то к нему добавляют амикацин и метронидазол.</w:t>
      </w:r>
    </w:p>
    <w:p w14:paraId="3789AD14" w14:textId="77777777" w:rsidR="006F27D1" w:rsidRPr="00DB1FCB" w:rsidRDefault="006F27D1" w:rsidP="008C1767">
      <w:pPr>
        <w:widowControl/>
        <w:numPr>
          <w:ilvl w:val="0"/>
          <w:numId w:val="157"/>
        </w:numPr>
        <w:tabs>
          <w:tab w:val="left" w:pos="0"/>
          <w:tab w:val="left" w:pos="567"/>
        </w:tabs>
        <w:autoSpaceDE/>
        <w:autoSpaceDN/>
        <w:adjustRightInd/>
        <w:ind w:left="0" w:firstLine="0"/>
        <w:rPr>
          <w:szCs w:val="24"/>
        </w:rPr>
      </w:pPr>
      <w:r w:rsidRPr="00DB1FCB">
        <w:rPr>
          <w:szCs w:val="24"/>
        </w:rPr>
        <w:t>Метронидазол: по 500 мг 3 раза в сутки.</w:t>
      </w:r>
    </w:p>
    <w:p w14:paraId="37C1AFC8" w14:textId="77777777" w:rsidR="006F27D1" w:rsidRPr="00DB1FCB" w:rsidRDefault="006F27D1" w:rsidP="008C1767">
      <w:pPr>
        <w:widowControl/>
        <w:numPr>
          <w:ilvl w:val="0"/>
          <w:numId w:val="156"/>
        </w:numPr>
        <w:tabs>
          <w:tab w:val="left" w:pos="0"/>
          <w:tab w:val="left" w:pos="567"/>
        </w:tabs>
        <w:autoSpaceDE/>
        <w:autoSpaceDN/>
        <w:adjustRightInd/>
        <w:ind w:left="0" w:firstLine="0"/>
        <w:rPr>
          <w:szCs w:val="24"/>
        </w:rPr>
      </w:pPr>
      <w:r w:rsidRPr="00DB1FCB">
        <w:rPr>
          <w:szCs w:val="24"/>
        </w:rPr>
        <w:t xml:space="preserve">В отсутствие эффекта проводят коррекцию терапии согласно результатам микробиологического исследования (посев мазка со слизистой прямой кишки). Если это невозможно сделать, то добавляют ванкомицин или телаванцин (по 10 мг/кг 1 раз в сутки), затем флуконазол. Если инфекционный процесс усугубляется, то проводят замену ванкомицина на линезолид или тедизолид. </w:t>
      </w:r>
    </w:p>
    <w:p w14:paraId="1C816B7E" w14:textId="77777777" w:rsidR="006F27D1" w:rsidRDefault="006F27D1" w:rsidP="006F27D1">
      <w:pPr>
        <w:tabs>
          <w:tab w:val="left" w:pos="0"/>
          <w:tab w:val="left" w:pos="567"/>
        </w:tabs>
        <w:rPr>
          <w:b/>
          <w:szCs w:val="24"/>
        </w:rPr>
      </w:pPr>
    </w:p>
    <w:p w14:paraId="2C058077" w14:textId="77777777" w:rsidR="006F27D1" w:rsidRPr="00997857" w:rsidRDefault="006F27D1" w:rsidP="006F27D1">
      <w:pPr>
        <w:pStyle w:val="afff3"/>
        <w:ind w:left="0"/>
        <w:rPr>
          <w:b/>
          <w:i/>
          <w:szCs w:val="24"/>
        </w:rPr>
      </w:pPr>
      <w:r w:rsidRPr="00997857">
        <w:rPr>
          <w:b/>
          <w:i/>
          <w:szCs w:val="24"/>
        </w:rPr>
        <w:t>Пневмония, которая появилась или прогрессирует (новые очаги) на фоне лечения антибиотиками широкого спектра при нейтропении длительностью более 10 дней или приема глюкокортикоидов</w:t>
      </w:r>
    </w:p>
    <w:p w14:paraId="6A1E17D7" w14:textId="77777777" w:rsidR="006F27D1" w:rsidRPr="00DB1FCB" w:rsidRDefault="006F27D1" w:rsidP="008C1767">
      <w:pPr>
        <w:widowControl/>
        <w:numPr>
          <w:ilvl w:val="0"/>
          <w:numId w:val="158"/>
        </w:numPr>
        <w:tabs>
          <w:tab w:val="left" w:pos="0"/>
          <w:tab w:val="left" w:pos="567"/>
        </w:tabs>
        <w:autoSpaceDE/>
        <w:autoSpaceDN/>
        <w:adjustRightInd/>
        <w:ind w:left="0" w:firstLine="0"/>
        <w:rPr>
          <w:szCs w:val="24"/>
        </w:rPr>
      </w:pPr>
      <w:r w:rsidRPr="00DB1FCB">
        <w:rPr>
          <w:szCs w:val="24"/>
        </w:rPr>
        <w:lastRenderedPageBreak/>
        <w:t>Вориконазол (высокая вероятность инвазивного аспергиллеза) внутривенно, в первый день по 6 мг/кг 2 раза в сутки, в последующие дни по 4 мг/кг 2 раза в сутки, с переходом в дальнейшем на пероральную форму по 200 мг 2 раза в сутки, прием таблеток натощак или через 1 час после еды.</w:t>
      </w:r>
    </w:p>
    <w:p w14:paraId="1F857F4E" w14:textId="77777777" w:rsidR="006F27D1" w:rsidRPr="00DB1FCB" w:rsidRDefault="006F27D1" w:rsidP="008C1767">
      <w:pPr>
        <w:widowControl/>
        <w:numPr>
          <w:ilvl w:val="0"/>
          <w:numId w:val="158"/>
        </w:numPr>
        <w:tabs>
          <w:tab w:val="left" w:pos="0"/>
          <w:tab w:val="left" w:pos="567"/>
        </w:tabs>
        <w:autoSpaceDE/>
        <w:autoSpaceDN/>
        <w:adjustRightInd/>
        <w:ind w:left="0" w:firstLine="0"/>
        <w:rPr>
          <w:szCs w:val="24"/>
        </w:rPr>
      </w:pPr>
      <w:r w:rsidRPr="00DB1FCB">
        <w:rPr>
          <w:szCs w:val="24"/>
        </w:rPr>
        <w:t xml:space="preserve">Не следует назначать флуконазол пациентам с клиническими симптомами синусита или инфекцией нижних дыхательных путей. </w:t>
      </w:r>
    </w:p>
    <w:p w14:paraId="5F7191E6" w14:textId="77777777" w:rsidR="006F27D1" w:rsidRDefault="006F27D1" w:rsidP="006F27D1">
      <w:pPr>
        <w:tabs>
          <w:tab w:val="left" w:pos="0"/>
          <w:tab w:val="left" w:pos="567"/>
        </w:tabs>
        <w:rPr>
          <w:b/>
          <w:szCs w:val="24"/>
        </w:rPr>
      </w:pPr>
    </w:p>
    <w:p w14:paraId="22F71819" w14:textId="77777777" w:rsidR="006F27D1" w:rsidRPr="00DB1FCB" w:rsidRDefault="006F27D1" w:rsidP="006F27D1">
      <w:pPr>
        <w:pStyle w:val="afff3"/>
        <w:ind w:left="0"/>
        <w:rPr>
          <w:b/>
          <w:i/>
          <w:szCs w:val="24"/>
        </w:rPr>
      </w:pPr>
      <w:r w:rsidRPr="00997857">
        <w:rPr>
          <w:b/>
          <w:i/>
          <w:szCs w:val="24"/>
        </w:rPr>
        <w:t>Инфекция, вызванная Clostridium</w:t>
      </w:r>
      <w:r w:rsidRPr="00DB1FCB">
        <w:rPr>
          <w:b/>
          <w:i/>
          <w:szCs w:val="24"/>
        </w:rPr>
        <w:t xml:space="preserve"> </w:t>
      </w:r>
      <w:r w:rsidRPr="00997857">
        <w:rPr>
          <w:b/>
          <w:i/>
          <w:szCs w:val="24"/>
        </w:rPr>
        <w:t>difficile</w:t>
      </w:r>
    </w:p>
    <w:p w14:paraId="7C642E00" w14:textId="77777777" w:rsidR="006F27D1" w:rsidRPr="00DB1FCB" w:rsidRDefault="006F27D1" w:rsidP="008C1767">
      <w:pPr>
        <w:widowControl/>
        <w:numPr>
          <w:ilvl w:val="0"/>
          <w:numId w:val="161"/>
        </w:numPr>
        <w:tabs>
          <w:tab w:val="left" w:pos="0"/>
          <w:tab w:val="left" w:pos="567"/>
        </w:tabs>
        <w:autoSpaceDE/>
        <w:autoSpaceDN/>
        <w:adjustRightInd/>
        <w:ind w:left="0" w:firstLine="0"/>
        <w:rPr>
          <w:szCs w:val="24"/>
        </w:rPr>
      </w:pPr>
      <w:r w:rsidRPr="00DB1FCB">
        <w:rPr>
          <w:szCs w:val="24"/>
        </w:rPr>
        <w:t xml:space="preserve">Вначале инфекционный процесс, вызванный </w:t>
      </w:r>
      <w:r w:rsidRPr="00DB1FCB">
        <w:rPr>
          <w:i/>
          <w:szCs w:val="24"/>
          <w:lang w:val="en-US"/>
        </w:rPr>
        <w:t>C</w:t>
      </w:r>
      <w:r w:rsidRPr="00DB1FCB">
        <w:rPr>
          <w:i/>
          <w:szCs w:val="24"/>
        </w:rPr>
        <w:t xml:space="preserve">. </w:t>
      </w:r>
      <w:r w:rsidRPr="00DB1FCB">
        <w:rPr>
          <w:i/>
          <w:szCs w:val="24"/>
          <w:lang w:val="en-US"/>
        </w:rPr>
        <w:t>difficile</w:t>
      </w:r>
      <w:r w:rsidRPr="00DB1FCB">
        <w:rPr>
          <w:szCs w:val="24"/>
        </w:rPr>
        <w:t>, ограничен толстой кишкой. Клинические проявления:</w:t>
      </w:r>
    </w:p>
    <w:p w14:paraId="2A45BBAC" w14:textId="77777777" w:rsidR="006F27D1" w:rsidRPr="00DB1FCB" w:rsidRDefault="006F27D1" w:rsidP="008C1767">
      <w:pPr>
        <w:widowControl/>
        <w:numPr>
          <w:ilvl w:val="0"/>
          <w:numId w:val="163"/>
        </w:numPr>
        <w:tabs>
          <w:tab w:val="left" w:pos="0"/>
          <w:tab w:val="left" w:pos="567"/>
        </w:tabs>
        <w:autoSpaceDE/>
        <w:autoSpaceDN/>
        <w:adjustRightInd/>
        <w:ind w:left="0" w:firstLine="0"/>
        <w:rPr>
          <w:szCs w:val="24"/>
        </w:rPr>
      </w:pPr>
      <w:r w:rsidRPr="00DB1FCB">
        <w:rPr>
          <w:szCs w:val="24"/>
        </w:rPr>
        <w:t xml:space="preserve">Диарея, ассоциированная с </w:t>
      </w:r>
      <w:r w:rsidRPr="00DB1FCB">
        <w:rPr>
          <w:i/>
          <w:szCs w:val="24"/>
          <w:lang w:val="en-US"/>
        </w:rPr>
        <w:t>C</w:t>
      </w:r>
      <w:r w:rsidRPr="00DB1FCB">
        <w:rPr>
          <w:i/>
          <w:szCs w:val="24"/>
        </w:rPr>
        <w:t xml:space="preserve">. </w:t>
      </w:r>
      <w:r w:rsidRPr="00DB1FCB">
        <w:rPr>
          <w:i/>
          <w:szCs w:val="24"/>
          <w:lang w:val="en-US"/>
        </w:rPr>
        <w:t>difficile</w:t>
      </w:r>
      <w:r w:rsidRPr="00DB1FCB">
        <w:rPr>
          <w:i/>
          <w:szCs w:val="24"/>
        </w:rPr>
        <w:t xml:space="preserve"> </w:t>
      </w:r>
      <w:r w:rsidRPr="00DB1FCB">
        <w:rPr>
          <w:szCs w:val="24"/>
        </w:rPr>
        <w:t xml:space="preserve">(наличие диареи+ положительный токсин </w:t>
      </w:r>
      <w:r w:rsidRPr="00DB1FCB">
        <w:rPr>
          <w:i/>
          <w:szCs w:val="24"/>
          <w:lang w:val="en-US"/>
        </w:rPr>
        <w:t>C</w:t>
      </w:r>
      <w:r w:rsidRPr="00DB1FCB">
        <w:rPr>
          <w:i/>
          <w:szCs w:val="24"/>
        </w:rPr>
        <w:t xml:space="preserve">. </w:t>
      </w:r>
      <w:r w:rsidRPr="00DB1FCB">
        <w:rPr>
          <w:i/>
          <w:szCs w:val="24"/>
          <w:lang w:val="en-US"/>
        </w:rPr>
        <w:t>difficile</w:t>
      </w:r>
      <w:r w:rsidRPr="00DB1FCB">
        <w:rPr>
          <w:szCs w:val="24"/>
        </w:rPr>
        <w:t xml:space="preserve"> в кале).</w:t>
      </w:r>
    </w:p>
    <w:p w14:paraId="503D911F" w14:textId="77777777" w:rsidR="006F27D1" w:rsidRPr="00DB1FCB" w:rsidRDefault="006F27D1" w:rsidP="008C1767">
      <w:pPr>
        <w:widowControl/>
        <w:numPr>
          <w:ilvl w:val="0"/>
          <w:numId w:val="163"/>
        </w:numPr>
        <w:tabs>
          <w:tab w:val="left" w:pos="0"/>
          <w:tab w:val="left" w:pos="567"/>
        </w:tabs>
        <w:autoSpaceDE/>
        <w:autoSpaceDN/>
        <w:adjustRightInd/>
        <w:ind w:left="0" w:firstLine="0"/>
        <w:rPr>
          <w:szCs w:val="24"/>
        </w:rPr>
      </w:pPr>
      <w:r w:rsidRPr="00DB1FCB">
        <w:rPr>
          <w:szCs w:val="24"/>
        </w:rPr>
        <w:t xml:space="preserve">Псевдомембранозный колит (диагностика во время эндоскопии). </w:t>
      </w:r>
    </w:p>
    <w:p w14:paraId="64F531B8" w14:textId="77777777" w:rsidR="006F27D1" w:rsidRPr="00DB1FCB" w:rsidRDefault="006F27D1" w:rsidP="008C1767">
      <w:pPr>
        <w:widowControl/>
        <w:numPr>
          <w:ilvl w:val="0"/>
          <w:numId w:val="162"/>
        </w:numPr>
        <w:tabs>
          <w:tab w:val="left" w:pos="0"/>
          <w:tab w:val="left" w:pos="567"/>
        </w:tabs>
        <w:autoSpaceDE/>
        <w:autoSpaceDN/>
        <w:adjustRightInd/>
        <w:ind w:left="0" w:firstLine="0"/>
        <w:rPr>
          <w:szCs w:val="24"/>
        </w:rPr>
      </w:pPr>
      <w:r w:rsidRPr="00DB1FCB">
        <w:rPr>
          <w:szCs w:val="24"/>
        </w:rPr>
        <w:t xml:space="preserve">Исследуют только жидкий кал на наличие А и В токсинов </w:t>
      </w:r>
      <w:r w:rsidRPr="00DB1FCB">
        <w:rPr>
          <w:i/>
          <w:szCs w:val="24"/>
          <w:lang w:val="en-US"/>
        </w:rPr>
        <w:t>C</w:t>
      </w:r>
      <w:r w:rsidRPr="00DB1FCB">
        <w:rPr>
          <w:i/>
          <w:szCs w:val="24"/>
        </w:rPr>
        <w:t xml:space="preserve">. </w:t>
      </w:r>
      <w:r w:rsidRPr="00DB1FCB">
        <w:rPr>
          <w:i/>
          <w:szCs w:val="24"/>
          <w:lang w:val="en-US"/>
        </w:rPr>
        <w:t>difficile</w:t>
      </w:r>
      <w:r w:rsidRPr="00DB1FCB">
        <w:rPr>
          <w:szCs w:val="24"/>
        </w:rPr>
        <w:t xml:space="preserve"> и, желательно, бинарного токсина. Образцы кала для исследования на токсин направляют в течение 18 часов от появления диареи. </w:t>
      </w:r>
    </w:p>
    <w:p w14:paraId="2D81496B" w14:textId="77777777" w:rsidR="006F27D1" w:rsidRPr="00DB1FCB" w:rsidRDefault="006F27D1" w:rsidP="008C1767">
      <w:pPr>
        <w:widowControl/>
        <w:numPr>
          <w:ilvl w:val="0"/>
          <w:numId w:val="162"/>
        </w:numPr>
        <w:tabs>
          <w:tab w:val="left" w:pos="0"/>
          <w:tab w:val="left" w:pos="567"/>
        </w:tabs>
        <w:autoSpaceDE/>
        <w:autoSpaceDN/>
        <w:adjustRightInd/>
        <w:ind w:left="0" w:firstLine="0"/>
        <w:rPr>
          <w:szCs w:val="24"/>
        </w:rPr>
      </w:pPr>
      <w:r w:rsidRPr="00DB1FCB">
        <w:rPr>
          <w:szCs w:val="24"/>
        </w:rPr>
        <w:t xml:space="preserve">Не проводят повторное определение А и В токсинов с целью контроля над лечением. Критерий излечения – ликвидация симптомов. Допустимо только в случаях персистенции инфекции после 7 дней лечения.  </w:t>
      </w:r>
    </w:p>
    <w:p w14:paraId="53EA6516" w14:textId="77777777" w:rsidR="006F27D1" w:rsidRPr="00DB1FCB" w:rsidRDefault="006F27D1" w:rsidP="008C1767">
      <w:pPr>
        <w:widowControl/>
        <w:numPr>
          <w:ilvl w:val="0"/>
          <w:numId w:val="162"/>
        </w:numPr>
        <w:tabs>
          <w:tab w:val="left" w:pos="0"/>
          <w:tab w:val="left" w:pos="567"/>
        </w:tabs>
        <w:autoSpaceDE/>
        <w:autoSpaceDN/>
        <w:adjustRightInd/>
        <w:ind w:left="0" w:firstLine="0"/>
        <w:rPr>
          <w:szCs w:val="24"/>
        </w:rPr>
      </w:pPr>
      <w:r w:rsidRPr="00DB1FCB">
        <w:rPr>
          <w:szCs w:val="24"/>
        </w:rPr>
        <w:t xml:space="preserve">Препарат выбора при нетяжелом течении инфекции (диарея, температура, боли в животе) – метронидазол. </w:t>
      </w:r>
    </w:p>
    <w:p w14:paraId="6234E750" w14:textId="77777777" w:rsidR="006F27D1" w:rsidRPr="00DB1FCB" w:rsidRDefault="006F27D1" w:rsidP="008C1767">
      <w:pPr>
        <w:widowControl/>
        <w:numPr>
          <w:ilvl w:val="0"/>
          <w:numId w:val="162"/>
        </w:numPr>
        <w:tabs>
          <w:tab w:val="left" w:pos="0"/>
          <w:tab w:val="left" w:pos="567"/>
        </w:tabs>
        <w:autoSpaceDE/>
        <w:autoSpaceDN/>
        <w:adjustRightInd/>
        <w:ind w:left="0" w:firstLine="0"/>
        <w:rPr>
          <w:szCs w:val="24"/>
        </w:rPr>
      </w:pPr>
      <w:r w:rsidRPr="00DB1FCB">
        <w:rPr>
          <w:szCs w:val="24"/>
        </w:rPr>
        <w:t xml:space="preserve">Препарат выбора при тяжелом течении инфекции (повышение уровня креатинина на 50% и более от исходного значения, снижение уровня альбумина) – ванкомицин по 125 мг 4 раза в сутки перорально. </w:t>
      </w:r>
    </w:p>
    <w:p w14:paraId="229ADE9A" w14:textId="77777777" w:rsidR="006F27D1" w:rsidRPr="00DB1FCB" w:rsidRDefault="006F27D1" w:rsidP="008C1767">
      <w:pPr>
        <w:widowControl/>
        <w:numPr>
          <w:ilvl w:val="0"/>
          <w:numId w:val="162"/>
        </w:numPr>
        <w:tabs>
          <w:tab w:val="left" w:pos="0"/>
          <w:tab w:val="left" w:pos="567"/>
        </w:tabs>
        <w:autoSpaceDE/>
        <w:autoSpaceDN/>
        <w:adjustRightInd/>
        <w:ind w:left="0" w:firstLine="0"/>
        <w:rPr>
          <w:szCs w:val="24"/>
        </w:rPr>
      </w:pPr>
      <w:r w:rsidRPr="00DB1FCB">
        <w:rPr>
          <w:szCs w:val="24"/>
        </w:rPr>
        <w:t xml:space="preserve">При рефрактерном течении инфекции используют комбинацию метронидазола с ванкомицином. </w:t>
      </w:r>
    </w:p>
    <w:p w14:paraId="2A5A7B0F" w14:textId="77777777" w:rsidR="006F27D1" w:rsidRPr="00DB1FCB" w:rsidRDefault="006F27D1" w:rsidP="008C1767">
      <w:pPr>
        <w:widowControl/>
        <w:numPr>
          <w:ilvl w:val="0"/>
          <w:numId w:val="162"/>
        </w:numPr>
        <w:tabs>
          <w:tab w:val="left" w:pos="0"/>
          <w:tab w:val="left" w:pos="567"/>
        </w:tabs>
        <w:autoSpaceDE/>
        <w:autoSpaceDN/>
        <w:adjustRightInd/>
        <w:ind w:left="0" w:firstLine="0"/>
        <w:rPr>
          <w:szCs w:val="24"/>
        </w:rPr>
      </w:pPr>
      <w:r w:rsidRPr="00DB1FCB">
        <w:rPr>
          <w:szCs w:val="24"/>
        </w:rPr>
        <w:t xml:space="preserve">Метронидазол по 500 мг 3 раза в сутки + ванкомицин по 500 мг 4 раза в сутки через оро- или назогастральный зонд. </w:t>
      </w:r>
    </w:p>
    <w:p w14:paraId="6C2FC25E" w14:textId="77777777" w:rsidR="006F27D1" w:rsidRPr="00DB1FCB" w:rsidRDefault="006F27D1" w:rsidP="008C1767">
      <w:pPr>
        <w:widowControl/>
        <w:numPr>
          <w:ilvl w:val="0"/>
          <w:numId w:val="162"/>
        </w:numPr>
        <w:tabs>
          <w:tab w:val="left" w:pos="0"/>
          <w:tab w:val="left" w:pos="567"/>
        </w:tabs>
        <w:autoSpaceDE/>
        <w:autoSpaceDN/>
        <w:adjustRightInd/>
        <w:ind w:left="0" w:firstLine="0"/>
        <w:rPr>
          <w:szCs w:val="24"/>
        </w:rPr>
      </w:pPr>
      <w:r w:rsidRPr="00DB1FCB">
        <w:rPr>
          <w:szCs w:val="24"/>
        </w:rPr>
        <w:t xml:space="preserve">Длительность лечения составляет 10-14 дней и, помимо назначения антибиотиков, включает отмену или сокращение числа используемых антибиотиков широкого спектра действия, ингибиторов протонной помпы.  </w:t>
      </w:r>
    </w:p>
    <w:p w14:paraId="7F407AC5" w14:textId="77777777" w:rsidR="006F27D1" w:rsidRDefault="006F27D1" w:rsidP="006F27D1">
      <w:pPr>
        <w:tabs>
          <w:tab w:val="left" w:pos="0"/>
          <w:tab w:val="left" w:pos="567"/>
        </w:tabs>
        <w:rPr>
          <w:szCs w:val="24"/>
          <w:u w:val="single"/>
        </w:rPr>
      </w:pPr>
    </w:p>
    <w:p w14:paraId="67B2C3B0" w14:textId="77777777" w:rsidR="006F27D1" w:rsidRPr="00997857" w:rsidRDefault="006F27D1" w:rsidP="006F27D1">
      <w:pPr>
        <w:tabs>
          <w:tab w:val="left" w:pos="0"/>
          <w:tab w:val="left" w:pos="567"/>
        </w:tabs>
        <w:rPr>
          <w:szCs w:val="24"/>
          <w:u w:val="single"/>
        </w:rPr>
      </w:pPr>
      <w:r w:rsidRPr="00997857">
        <w:rPr>
          <w:szCs w:val="24"/>
          <w:u w:val="single"/>
        </w:rPr>
        <w:t>Критерии прекращения антимикробной терапии</w:t>
      </w:r>
    </w:p>
    <w:p w14:paraId="500A14F9" w14:textId="77777777" w:rsidR="006F27D1" w:rsidRDefault="006F27D1" w:rsidP="006F27D1">
      <w:pPr>
        <w:tabs>
          <w:tab w:val="left" w:pos="0"/>
          <w:tab w:val="left" w:pos="567"/>
        </w:tabs>
        <w:ind w:firstLine="567"/>
        <w:rPr>
          <w:szCs w:val="24"/>
        </w:rPr>
      </w:pPr>
      <w:r w:rsidRPr="00DB1FCB">
        <w:rPr>
          <w:szCs w:val="24"/>
        </w:rPr>
        <w:t xml:space="preserve">Длительность применения антимикробных препаратов зависит от характера инфекционного процесса. Факт наличия гранулоцитопении, независимо от степени ее </w:t>
      </w:r>
      <w:r w:rsidRPr="00DB1FCB">
        <w:rPr>
          <w:szCs w:val="24"/>
        </w:rPr>
        <w:lastRenderedPageBreak/>
        <w:t xml:space="preserve">проявления, не влияет на период применения антибиотиков. </w:t>
      </w:r>
    </w:p>
    <w:p w14:paraId="2DD36CB9" w14:textId="77777777" w:rsidR="006F27D1" w:rsidRPr="00DB1FCB" w:rsidRDefault="006F27D1" w:rsidP="006F27D1">
      <w:pPr>
        <w:tabs>
          <w:tab w:val="left" w:pos="0"/>
          <w:tab w:val="left" w:pos="567"/>
        </w:tabs>
        <w:ind w:firstLine="567"/>
        <w:rPr>
          <w:szCs w:val="24"/>
        </w:rPr>
      </w:pPr>
      <w:r w:rsidRPr="007A7B76">
        <w:rPr>
          <w:szCs w:val="24"/>
        </w:rPr>
        <w:t>При лихорадке неясной этиологии</w:t>
      </w:r>
      <w:r w:rsidRPr="00DB1FCB">
        <w:rPr>
          <w:szCs w:val="24"/>
        </w:rPr>
        <w:t xml:space="preserve"> в период гранулоцитопении антибиотики можно отменить через 72 часа, если у больного </w:t>
      </w:r>
    </w:p>
    <w:p w14:paraId="22FECE00" w14:textId="77777777" w:rsidR="006F27D1" w:rsidRPr="00DB1FCB" w:rsidRDefault="006F27D1" w:rsidP="008C1767">
      <w:pPr>
        <w:widowControl/>
        <w:numPr>
          <w:ilvl w:val="0"/>
          <w:numId w:val="159"/>
        </w:numPr>
        <w:tabs>
          <w:tab w:val="left" w:pos="0"/>
          <w:tab w:val="left" w:pos="567"/>
        </w:tabs>
        <w:autoSpaceDE/>
        <w:autoSpaceDN/>
        <w:adjustRightInd/>
        <w:ind w:left="0" w:firstLine="0"/>
        <w:rPr>
          <w:szCs w:val="24"/>
        </w:rPr>
      </w:pPr>
      <w:r w:rsidRPr="00DB1FCB">
        <w:rPr>
          <w:szCs w:val="24"/>
        </w:rPr>
        <w:t>не было эпизода нестабильной гемодинамики в данный эпизод инфекции и</w:t>
      </w:r>
    </w:p>
    <w:p w14:paraId="243192D8" w14:textId="77777777" w:rsidR="006F27D1" w:rsidRPr="00DB1FCB" w:rsidRDefault="006F27D1" w:rsidP="008C1767">
      <w:pPr>
        <w:widowControl/>
        <w:numPr>
          <w:ilvl w:val="0"/>
          <w:numId w:val="159"/>
        </w:numPr>
        <w:tabs>
          <w:tab w:val="left" w:pos="0"/>
          <w:tab w:val="left" w:pos="567"/>
        </w:tabs>
        <w:autoSpaceDE/>
        <w:autoSpaceDN/>
        <w:adjustRightInd/>
        <w:ind w:left="0" w:firstLine="0"/>
        <w:rPr>
          <w:szCs w:val="24"/>
        </w:rPr>
      </w:pPr>
      <w:r w:rsidRPr="00DB1FCB">
        <w:rPr>
          <w:szCs w:val="24"/>
        </w:rPr>
        <w:t xml:space="preserve">нормальная температура отмечается в течение 48 ч. </w:t>
      </w:r>
    </w:p>
    <w:p w14:paraId="1CDB2ED4" w14:textId="77777777" w:rsidR="006F27D1" w:rsidRPr="00DB1FCB" w:rsidRDefault="006F27D1" w:rsidP="006F27D1">
      <w:pPr>
        <w:tabs>
          <w:tab w:val="left" w:pos="0"/>
          <w:tab w:val="left" w:pos="567"/>
        </w:tabs>
        <w:rPr>
          <w:szCs w:val="24"/>
        </w:rPr>
      </w:pPr>
      <w:r w:rsidRPr="00DB1FCB">
        <w:rPr>
          <w:szCs w:val="24"/>
        </w:rPr>
        <w:t>При клинически и микробиологически доказанной инфекции длительность применения антибиотиков должна составлять не менее 7 дней при условии, что:</w:t>
      </w:r>
    </w:p>
    <w:p w14:paraId="1FA04400" w14:textId="77777777" w:rsidR="006F27D1" w:rsidRPr="00DB1FCB" w:rsidRDefault="006F27D1" w:rsidP="008C1767">
      <w:pPr>
        <w:widowControl/>
        <w:numPr>
          <w:ilvl w:val="0"/>
          <w:numId w:val="160"/>
        </w:numPr>
        <w:tabs>
          <w:tab w:val="left" w:pos="0"/>
          <w:tab w:val="left" w:pos="567"/>
        </w:tabs>
        <w:autoSpaceDE/>
        <w:autoSpaceDN/>
        <w:adjustRightInd/>
        <w:ind w:left="0" w:firstLine="0"/>
        <w:rPr>
          <w:szCs w:val="24"/>
        </w:rPr>
      </w:pPr>
      <w:r w:rsidRPr="00DB1FCB">
        <w:rPr>
          <w:szCs w:val="24"/>
        </w:rPr>
        <w:t>нормальная температура наблюдается не менее 4 дней;</w:t>
      </w:r>
    </w:p>
    <w:p w14:paraId="625D6454" w14:textId="77777777" w:rsidR="006F27D1" w:rsidRPr="00DB1FCB" w:rsidRDefault="006F27D1" w:rsidP="008C1767">
      <w:pPr>
        <w:widowControl/>
        <w:numPr>
          <w:ilvl w:val="0"/>
          <w:numId w:val="160"/>
        </w:numPr>
        <w:tabs>
          <w:tab w:val="left" w:pos="0"/>
          <w:tab w:val="left" w:pos="567"/>
        </w:tabs>
        <w:autoSpaceDE/>
        <w:autoSpaceDN/>
        <w:adjustRightInd/>
        <w:ind w:left="0" w:firstLine="0"/>
        <w:rPr>
          <w:szCs w:val="24"/>
        </w:rPr>
      </w:pPr>
      <w:r w:rsidRPr="00DB1FCB">
        <w:rPr>
          <w:szCs w:val="24"/>
        </w:rPr>
        <w:t>очаги инфекции полностью регрессировали;</w:t>
      </w:r>
    </w:p>
    <w:p w14:paraId="33DECA6D" w14:textId="77777777" w:rsidR="006F27D1" w:rsidRPr="00DB1FCB" w:rsidRDefault="006F27D1" w:rsidP="008C1767">
      <w:pPr>
        <w:widowControl/>
        <w:numPr>
          <w:ilvl w:val="0"/>
          <w:numId w:val="160"/>
        </w:numPr>
        <w:tabs>
          <w:tab w:val="left" w:pos="0"/>
          <w:tab w:val="left" w:pos="567"/>
        </w:tabs>
        <w:autoSpaceDE/>
        <w:autoSpaceDN/>
        <w:adjustRightInd/>
        <w:ind w:left="0" w:firstLine="0"/>
        <w:rPr>
          <w:szCs w:val="24"/>
        </w:rPr>
      </w:pPr>
      <w:r w:rsidRPr="00DB1FCB">
        <w:rPr>
          <w:szCs w:val="24"/>
        </w:rPr>
        <w:t xml:space="preserve">достигнута (или предполагается) микробиологическая эрадикация возбудителя подтвержденной инфекции. </w:t>
      </w:r>
    </w:p>
    <w:p w14:paraId="05087E42" w14:textId="77777777" w:rsidR="006F27D1" w:rsidRDefault="006F27D1" w:rsidP="006F27D1">
      <w:pPr>
        <w:tabs>
          <w:tab w:val="left" w:pos="0"/>
          <w:tab w:val="left" w:pos="567"/>
        </w:tabs>
        <w:rPr>
          <w:szCs w:val="24"/>
        </w:rPr>
      </w:pPr>
      <w:r w:rsidRPr="00DB1FCB">
        <w:rPr>
          <w:szCs w:val="24"/>
        </w:rPr>
        <w:t>После отмены антибиотиков у больного с гранулоцитопенией необходимо наблюдение за ним в течение последующих 24-48 ч, и в случае появления температуры следуе</w:t>
      </w:r>
      <w:r>
        <w:rPr>
          <w:szCs w:val="24"/>
        </w:rPr>
        <w:t xml:space="preserve">т вновь назначить антибиотики. </w:t>
      </w:r>
    </w:p>
    <w:p w14:paraId="31E06878" w14:textId="77777777" w:rsidR="006F27D1" w:rsidRDefault="006F27D1" w:rsidP="006F27D1">
      <w:pPr>
        <w:tabs>
          <w:tab w:val="left" w:pos="0"/>
          <w:tab w:val="left" w:pos="567"/>
        </w:tabs>
        <w:rPr>
          <w:szCs w:val="24"/>
          <w:u w:val="single"/>
        </w:rPr>
      </w:pPr>
    </w:p>
    <w:p w14:paraId="091489CE" w14:textId="77777777" w:rsidR="006F27D1" w:rsidRPr="00997857" w:rsidRDefault="006F27D1" w:rsidP="006F27D1">
      <w:pPr>
        <w:tabs>
          <w:tab w:val="left" w:pos="0"/>
          <w:tab w:val="left" w:pos="567"/>
        </w:tabs>
        <w:rPr>
          <w:szCs w:val="24"/>
          <w:u w:val="single"/>
        </w:rPr>
      </w:pPr>
      <w:r w:rsidRPr="00997857">
        <w:rPr>
          <w:szCs w:val="24"/>
          <w:u w:val="single"/>
        </w:rPr>
        <w:t>Профилактика инфекционных осложнений</w:t>
      </w:r>
    </w:p>
    <w:p w14:paraId="73F75EE0" w14:textId="30DBB39B" w:rsidR="006F27D1" w:rsidRPr="00997857" w:rsidRDefault="006F27D1" w:rsidP="006F27D1">
      <w:pPr>
        <w:pStyle w:val="afff3"/>
        <w:ind w:left="0"/>
        <w:rPr>
          <w:b/>
          <w:i/>
          <w:szCs w:val="24"/>
        </w:rPr>
      </w:pPr>
      <w:r w:rsidRPr="00997857">
        <w:rPr>
          <w:b/>
          <w:i/>
          <w:szCs w:val="24"/>
        </w:rPr>
        <w:t xml:space="preserve">Противогрибковая профилактика </w:t>
      </w:r>
      <w:r w:rsidRPr="00997857">
        <w:rPr>
          <w:b/>
          <w:i/>
          <w:szCs w:val="24"/>
        </w:rPr>
        <w:fldChar w:fldCharType="begin" w:fldLock="1"/>
      </w:r>
      <w:r w:rsidR="00A67ED2">
        <w:rPr>
          <w:b/>
          <w:i/>
          <w:szCs w:val="24"/>
        </w:rPr>
        <w:instrText>ADDIN CSL_CITATION {"citationItems":[{"id":"ITEM-1","itemData":{"author":[{"dropping-particle":"","family":"Савченко В.Г. и др","given":"","non-dropping-particle":"","parse-names":false,"suffix":""}],"id":"ITEM-1","issued":{"date-parts":[["2018"]]},"number-of-pages":"1008","publisher":"Практика","publisher-place":"Москва","title":"Алгоритмы диагностики и протоколы лечения заболеваний системы крови.","type":"book"},"uris":["http://www.mendeley.com/documents/?uuid=f91ae641-8062-4f5f-b416-94b015742043","http://www.mendeley.com/documents/?uuid=2cd270b2-efaf-4da9-a95d-66324661ea35","http://www.mendeley.com/documents/?uuid=fe583573-532c-46dc-b4f4-f9d01345e27c","http://www.mendeley.com/documents/?uuid=26da25a5-bd21-4509-8e88-e4e6744fab98","http://www.mendeley.com/documents/?uuid=a1e2f5d6-ef05-4351-9481-13fad4fd103b","http://www.mendeley.com/documents/?uuid=478d6ce1-e425-4912-87db-adfee39f1ce9","http://www.mendeley.com/documents/?uuid=9cac36ab-7685-4894-b1cb-f141a1797526","http://www.mendeley.com/documents/?uuid=c0eae3a3-34ee-40e1-8813-566cb7fa2b4a"]}],"mendeley":{"formattedCitation":"[158]","plainTextFormattedCitation":"[158]","previouslyFormattedCitation":"[131]"},"properties":{"noteIndex":0},"schema":"https://github.com/citation-style-language/schema/raw/master/csl-citation.json"}</w:instrText>
      </w:r>
      <w:r w:rsidRPr="00997857">
        <w:rPr>
          <w:b/>
          <w:i/>
          <w:szCs w:val="24"/>
        </w:rPr>
        <w:fldChar w:fldCharType="separate"/>
      </w:r>
      <w:r w:rsidR="00A67ED2" w:rsidRPr="00A67ED2">
        <w:rPr>
          <w:noProof/>
          <w:szCs w:val="24"/>
        </w:rPr>
        <w:t>[158]</w:t>
      </w:r>
      <w:r w:rsidRPr="00997857">
        <w:rPr>
          <w:b/>
          <w:i/>
          <w:szCs w:val="24"/>
        </w:rPr>
        <w:fldChar w:fldCharType="end"/>
      </w:r>
    </w:p>
    <w:p w14:paraId="73FFBCAB" w14:textId="77777777" w:rsidR="006F27D1" w:rsidRPr="00DB1FCB" w:rsidRDefault="006F27D1" w:rsidP="008C1767">
      <w:pPr>
        <w:widowControl/>
        <w:numPr>
          <w:ilvl w:val="0"/>
          <w:numId w:val="165"/>
        </w:numPr>
        <w:tabs>
          <w:tab w:val="left" w:pos="0"/>
          <w:tab w:val="left" w:pos="567"/>
        </w:tabs>
        <w:autoSpaceDE/>
        <w:autoSpaceDN/>
        <w:adjustRightInd/>
        <w:ind w:left="0" w:firstLine="0"/>
        <w:rPr>
          <w:szCs w:val="24"/>
        </w:rPr>
      </w:pPr>
      <w:r w:rsidRPr="00DB1FCB">
        <w:rPr>
          <w:szCs w:val="24"/>
        </w:rPr>
        <w:t>Проводится пациентам с отягощенным анамнезом (острый диссеминированный кандидоз, хронический диссеминированный кандидоз, мукормикоз или инвазивный аспергиллез).</w:t>
      </w:r>
    </w:p>
    <w:p w14:paraId="34F5F1B8" w14:textId="77777777" w:rsidR="006F27D1" w:rsidRPr="00DB1FCB" w:rsidRDefault="006F27D1" w:rsidP="008C1767">
      <w:pPr>
        <w:widowControl/>
        <w:numPr>
          <w:ilvl w:val="0"/>
          <w:numId w:val="165"/>
        </w:numPr>
        <w:tabs>
          <w:tab w:val="left" w:pos="0"/>
          <w:tab w:val="left" w:pos="567"/>
        </w:tabs>
        <w:autoSpaceDE/>
        <w:autoSpaceDN/>
        <w:adjustRightInd/>
        <w:ind w:left="0" w:firstLine="0"/>
        <w:rPr>
          <w:szCs w:val="24"/>
        </w:rPr>
      </w:pPr>
      <w:r w:rsidRPr="00DB1FCB">
        <w:rPr>
          <w:szCs w:val="24"/>
        </w:rPr>
        <w:t xml:space="preserve">Назначают препарат, при использовании которого было достигнуто излечение от инвазивного микоза. </w:t>
      </w:r>
    </w:p>
    <w:p w14:paraId="5A46F496" w14:textId="77777777" w:rsidR="006F27D1" w:rsidRPr="00DB1FCB" w:rsidRDefault="006F27D1" w:rsidP="008C1767">
      <w:pPr>
        <w:widowControl/>
        <w:numPr>
          <w:ilvl w:val="0"/>
          <w:numId w:val="165"/>
        </w:numPr>
        <w:tabs>
          <w:tab w:val="left" w:pos="0"/>
          <w:tab w:val="left" w:pos="567"/>
        </w:tabs>
        <w:autoSpaceDE/>
        <w:autoSpaceDN/>
        <w:adjustRightInd/>
        <w:ind w:left="0" w:firstLine="0"/>
        <w:rPr>
          <w:szCs w:val="24"/>
        </w:rPr>
      </w:pPr>
      <w:r w:rsidRPr="00DB1FCB">
        <w:rPr>
          <w:szCs w:val="24"/>
        </w:rPr>
        <w:t>Пациенты с наличием в анамнезе острого или хронического диссеминированного кандидоза</w:t>
      </w:r>
      <w:r>
        <w:rPr>
          <w:szCs w:val="24"/>
        </w:rPr>
        <w:t xml:space="preserve"> (обычно один препарат из перечня)</w:t>
      </w:r>
      <w:r w:rsidRPr="00DB1FCB">
        <w:rPr>
          <w:szCs w:val="24"/>
        </w:rPr>
        <w:t>:</w:t>
      </w:r>
    </w:p>
    <w:p w14:paraId="6F22090A" w14:textId="77777777" w:rsidR="006F27D1" w:rsidRPr="00DB1FCB" w:rsidRDefault="006F27D1" w:rsidP="008C1767">
      <w:pPr>
        <w:widowControl/>
        <w:numPr>
          <w:ilvl w:val="0"/>
          <w:numId w:val="166"/>
        </w:numPr>
        <w:tabs>
          <w:tab w:val="left" w:pos="0"/>
          <w:tab w:val="left" w:pos="567"/>
        </w:tabs>
        <w:autoSpaceDE/>
        <w:autoSpaceDN/>
        <w:adjustRightInd/>
        <w:ind w:left="0" w:firstLine="0"/>
        <w:rPr>
          <w:szCs w:val="24"/>
        </w:rPr>
      </w:pPr>
      <w:r w:rsidRPr="00DB1FCB">
        <w:rPr>
          <w:szCs w:val="24"/>
        </w:rPr>
        <w:t>Флуконазол, по 400 мг в сутки, внутривенно или внутрь.</w:t>
      </w:r>
    </w:p>
    <w:p w14:paraId="07C1A9B7" w14:textId="77777777" w:rsidR="006F27D1" w:rsidRPr="00DB1FCB" w:rsidRDefault="006F27D1" w:rsidP="008C1767">
      <w:pPr>
        <w:widowControl/>
        <w:numPr>
          <w:ilvl w:val="0"/>
          <w:numId w:val="166"/>
        </w:numPr>
        <w:tabs>
          <w:tab w:val="left" w:pos="0"/>
          <w:tab w:val="left" w:pos="567"/>
        </w:tabs>
        <w:autoSpaceDE/>
        <w:autoSpaceDN/>
        <w:adjustRightInd/>
        <w:ind w:left="0" w:firstLine="0"/>
        <w:rPr>
          <w:szCs w:val="24"/>
        </w:rPr>
      </w:pPr>
      <w:r w:rsidRPr="00DB1FCB">
        <w:rPr>
          <w:szCs w:val="24"/>
        </w:rPr>
        <w:t>Каспофунгин, по 50 мг в сутки внутривенно.</w:t>
      </w:r>
    </w:p>
    <w:p w14:paraId="2B98864E" w14:textId="77777777" w:rsidR="006F27D1" w:rsidRPr="00DB1FCB" w:rsidRDefault="006F27D1" w:rsidP="008C1767">
      <w:pPr>
        <w:widowControl/>
        <w:numPr>
          <w:ilvl w:val="0"/>
          <w:numId w:val="166"/>
        </w:numPr>
        <w:tabs>
          <w:tab w:val="left" w:pos="0"/>
          <w:tab w:val="left" w:pos="567"/>
        </w:tabs>
        <w:autoSpaceDE/>
        <w:autoSpaceDN/>
        <w:adjustRightInd/>
        <w:ind w:left="0" w:firstLine="0"/>
        <w:rPr>
          <w:szCs w:val="24"/>
        </w:rPr>
      </w:pPr>
      <w:r w:rsidRPr="00DB1FCB">
        <w:rPr>
          <w:szCs w:val="24"/>
        </w:rPr>
        <w:t>Микафунгин, по 100 мг в сутки внутривенно.</w:t>
      </w:r>
    </w:p>
    <w:p w14:paraId="15653A5A" w14:textId="77777777" w:rsidR="006F27D1" w:rsidRPr="00DB1FCB" w:rsidRDefault="006F27D1" w:rsidP="008C1767">
      <w:pPr>
        <w:widowControl/>
        <w:numPr>
          <w:ilvl w:val="0"/>
          <w:numId w:val="166"/>
        </w:numPr>
        <w:tabs>
          <w:tab w:val="left" w:pos="0"/>
          <w:tab w:val="left" w:pos="567"/>
        </w:tabs>
        <w:autoSpaceDE/>
        <w:autoSpaceDN/>
        <w:adjustRightInd/>
        <w:ind w:left="0" w:firstLine="0"/>
        <w:rPr>
          <w:szCs w:val="24"/>
        </w:rPr>
      </w:pPr>
      <w:r w:rsidRPr="00DB1FCB">
        <w:rPr>
          <w:szCs w:val="24"/>
        </w:rPr>
        <w:t>Анидулафунгин, по 100 мг в сутки внутривенно.</w:t>
      </w:r>
    </w:p>
    <w:p w14:paraId="677C4444" w14:textId="77777777" w:rsidR="006F27D1" w:rsidRPr="00DB1FCB" w:rsidRDefault="006F27D1" w:rsidP="008C1767">
      <w:pPr>
        <w:widowControl/>
        <w:numPr>
          <w:ilvl w:val="0"/>
          <w:numId w:val="165"/>
        </w:numPr>
        <w:tabs>
          <w:tab w:val="left" w:pos="0"/>
          <w:tab w:val="left" w:pos="567"/>
        </w:tabs>
        <w:autoSpaceDE/>
        <w:autoSpaceDN/>
        <w:adjustRightInd/>
        <w:ind w:left="0" w:firstLine="0"/>
        <w:rPr>
          <w:szCs w:val="24"/>
        </w:rPr>
      </w:pPr>
      <w:r w:rsidRPr="00DB1FCB">
        <w:rPr>
          <w:szCs w:val="24"/>
        </w:rPr>
        <w:t>Пациенты с наличием в анамнезе инвазивного аспергиллеза</w:t>
      </w:r>
      <w:r>
        <w:rPr>
          <w:szCs w:val="24"/>
        </w:rPr>
        <w:t xml:space="preserve"> (обычно один препарат из перечня)</w:t>
      </w:r>
      <w:r w:rsidRPr="00DB1FCB">
        <w:rPr>
          <w:szCs w:val="24"/>
        </w:rPr>
        <w:t>:</w:t>
      </w:r>
    </w:p>
    <w:p w14:paraId="2553E009" w14:textId="77777777" w:rsidR="006F27D1" w:rsidRPr="00DB1FCB" w:rsidRDefault="006F27D1" w:rsidP="008C1767">
      <w:pPr>
        <w:widowControl/>
        <w:numPr>
          <w:ilvl w:val="0"/>
          <w:numId w:val="167"/>
        </w:numPr>
        <w:tabs>
          <w:tab w:val="left" w:pos="0"/>
          <w:tab w:val="left" w:pos="567"/>
        </w:tabs>
        <w:autoSpaceDE/>
        <w:autoSpaceDN/>
        <w:adjustRightInd/>
        <w:ind w:left="0" w:firstLine="0"/>
        <w:rPr>
          <w:szCs w:val="24"/>
        </w:rPr>
      </w:pPr>
      <w:r w:rsidRPr="00DB1FCB">
        <w:rPr>
          <w:szCs w:val="24"/>
        </w:rPr>
        <w:t>Вориконазол, по 200 мг 2 раза в сутки внутрь (в таблетках, натощак) или внутривенно.</w:t>
      </w:r>
    </w:p>
    <w:p w14:paraId="1DC6925D" w14:textId="77777777" w:rsidR="006F27D1" w:rsidRPr="00DB1FCB" w:rsidRDefault="006F27D1" w:rsidP="008C1767">
      <w:pPr>
        <w:widowControl/>
        <w:numPr>
          <w:ilvl w:val="0"/>
          <w:numId w:val="167"/>
        </w:numPr>
        <w:tabs>
          <w:tab w:val="left" w:pos="0"/>
          <w:tab w:val="left" w:pos="567"/>
        </w:tabs>
        <w:autoSpaceDE/>
        <w:autoSpaceDN/>
        <w:adjustRightInd/>
        <w:ind w:left="0" w:firstLine="0"/>
        <w:rPr>
          <w:szCs w:val="24"/>
        </w:rPr>
      </w:pPr>
      <w:r w:rsidRPr="00DB1FCB">
        <w:rPr>
          <w:szCs w:val="24"/>
        </w:rPr>
        <w:t>Позаконазол (суспензия), по 200 мг 3 раза в сутки внутрь (после еды).</w:t>
      </w:r>
    </w:p>
    <w:p w14:paraId="65E9AC23" w14:textId="77777777" w:rsidR="006F27D1" w:rsidRPr="00DB1FCB" w:rsidRDefault="006F27D1" w:rsidP="008C1767">
      <w:pPr>
        <w:widowControl/>
        <w:numPr>
          <w:ilvl w:val="0"/>
          <w:numId w:val="167"/>
        </w:numPr>
        <w:tabs>
          <w:tab w:val="left" w:pos="0"/>
          <w:tab w:val="left" w:pos="567"/>
        </w:tabs>
        <w:autoSpaceDE/>
        <w:autoSpaceDN/>
        <w:adjustRightInd/>
        <w:ind w:left="0" w:firstLine="0"/>
        <w:rPr>
          <w:szCs w:val="24"/>
        </w:rPr>
      </w:pPr>
      <w:r w:rsidRPr="00DB1FCB">
        <w:rPr>
          <w:szCs w:val="24"/>
        </w:rPr>
        <w:t>Итраконазол (суспензия), по 200 мг 2 раза в сутки внутрь (натощак).</w:t>
      </w:r>
    </w:p>
    <w:p w14:paraId="507D96F3" w14:textId="77777777" w:rsidR="006F27D1" w:rsidRPr="00DB1FCB" w:rsidRDefault="006F27D1" w:rsidP="008C1767">
      <w:pPr>
        <w:widowControl/>
        <w:numPr>
          <w:ilvl w:val="0"/>
          <w:numId w:val="169"/>
        </w:numPr>
        <w:tabs>
          <w:tab w:val="left" w:pos="0"/>
          <w:tab w:val="left" w:pos="567"/>
        </w:tabs>
        <w:autoSpaceDE/>
        <w:autoSpaceDN/>
        <w:adjustRightInd/>
        <w:ind w:left="0" w:firstLine="0"/>
        <w:rPr>
          <w:szCs w:val="24"/>
        </w:rPr>
      </w:pPr>
      <w:r w:rsidRPr="00DB1FCB">
        <w:rPr>
          <w:szCs w:val="24"/>
        </w:rPr>
        <w:t>Пациенты с наличием в анамнезе мукормикоза:</w:t>
      </w:r>
    </w:p>
    <w:p w14:paraId="7D14D91E" w14:textId="77777777" w:rsidR="006F27D1" w:rsidRPr="00DB1FCB" w:rsidRDefault="006F27D1" w:rsidP="006F27D1">
      <w:pPr>
        <w:tabs>
          <w:tab w:val="left" w:pos="0"/>
          <w:tab w:val="left" w:pos="567"/>
        </w:tabs>
        <w:rPr>
          <w:b/>
          <w:szCs w:val="24"/>
        </w:rPr>
      </w:pPr>
      <w:r w:rsidRPr="00DB1FCB">
        <w:rPr>
          <w:szCs w:val="24"/>
        </w:rPr>
        <w:t>Позаконазол (суспензия), по 200 мг 3 раза в сутки внутрь (после еды).</w:t>
      </w:r>
      <w:r w:rsidRPr="00DB1FCB">
        <w:rPr>
          <w:b/>
          <w:szCs w:val="24"/>
        </w:rPr>
        <w:t xml:space="preserve"> </w:t>
      </w:r>
    </w:p>
    <w:p w14:paraId="23DA42DF" w14:textId="77777777" w:rsidR="006F27D1" w:rsidRDefault="006F27D1" w:rsidP="006F27D1">
      <w:pPr>
        <w:pStyle w:val="afff3"/>
        <w:ind w:left="0"/>
        <w:rPr>
          <w:b/>
          <w:i/>
          <w:szCs w:val="24"/>
        </w:rPr>
      </w:pPr>
    </w:p>
    <w:p w14:paraId="074418F1" w14:textId="367AD57D" w:rsidR="006F27D1" w:rsidRPr="00997857" w:rsidRDefault="006F27D1" w:rsidP="006F27D1">
      <w:pPr>
        <w:pStyle w:val="afff3"/>
        <w:ind w:left="0"/>
        <w:rPr>
          <w:b/>
          <w:i/>
          <w:szCs w:val="24"/>
        </w:rPr>
      </w:pPr>
      <w:r w:rsidRPr="00997857">
        <w:rPr>
          <w:b/>
          <w:i/>
          <w:szCs w:val="24"/>
        </w:rPr>
        <w:t xml:space="preserve">Противовирусная профилактика </w:t>
      </w:r>
      <w:r w:rsidRPr="00997857">
        <w:rPr>
          <w:b/>
          <w:i/>
          <w:szCs w:val="24"/>
        </w:rPr>
        <w:fldChar w:fldCharType="begin" w:fldLock="1"/>
      </w:r>
      <w:r w:rsidR="00A67ED2">
        <w:rPr>
          <w:b/>
          <w:i/>
          <w:szCs w:val="24"/>
        </w:rPr>
        <w:instrText>ADDIN CSL_CITATION {"citationItems":[{"id":"ITEM-1","itemData":{"DOI":"10.3324/haematol.2014.117176","ISSN":"15928721","PMID":"26432383","abstract":"The European Myeloma Network provides recommendations for the management of the most common complications of multiple myeloma. Whole body low-dose computed tomography is more sensitive than conventional radiography in depicting osteolytic disease and thus we recommend it as the novel standard for the detection of lytic lesions in myeloma (grade 1A). Myeloma patients with adequate renal function and bone disease at diagnosis should be treated with zoledronic acid or pamidronate (grade 1A). Symptomatic patients without lytic lesions on conventional radiography can be treated with zoledronic acid (grade 1B), but its advantage is not clear for patients with no bone involvement on computed tomography or magnetic resonance imaging. In asymptomatic myeloma, bisphosphonates are not recommended (grade 1A). Zoledronic acid should be given continuously, but it is not clear if patients who achieve at least a very good partial response benefit from its continuous use (grade 1B). Treatment with erythropoietic-stimulating agents may be initiated in patients with persistent symptomatic anemia (hemoglobin &lt;10g/dL) in whom other causes of anemia have been excluded (grade 1B). Erythropoietic agents should be stopped after 6-8 weeks if no adequate hemoglobin response is achieved. For renal impairment, bortezomib-based regimens are the current standard of care (grade 1A). For the management of treatment-induced peripheral neuropathy, drug modification is needed (grade 1C). Vaccination against influenza is recommended; vaccination against streptococcus pneumonia and hemophilus influenza is appropriate, but efficacy is not guaranteed due to suboptimal immune response (grade 1C). Prophylactic aciclovir (or valacyclovir) is recommended for patients receiving proteasome inhibitors, autologous or allogeneic transplantation (grade 1A).","author":[{"dropping-particle":"","family":"Terpos","given":"Evangelos","non-dropping-particle":"","parse-names":false,"suffix":""},{"dropping-particle":"","family":"Kleber","given":"Martina","non-dropping-particle":"","parse-names":false,"suffix":""},{"dropping-particle":"","family":"Engelhardt","given":"Monika","non-dropping-particle":"","parse-names":false,"suffix":""},{"dropping-particle":"","family":"Zweegman","given":"Sonja","non-dropping-particle":"","parse-names":false,"suffix":""},{"dropping-particle":"","family":"Gay","given":"Francesca","non-dropping-particle":"","parse-names":false,"suffix":""},{"dropping-particle":"","family":"Kastritis","given":"Efstathios","non-dropping-particle":"","parse-names":false,"suffix":""},{"dropping-particle":"","family":"Donk","given":"Niels W.C.J.","non-dropping-particle":"van de","parse-names":false,"suffix":""},{"dropping-particle":"","family":"Bruno","given":"Benedetto","non-dropping-particle":"","parse-names":false,"suffix":""},{"dropping-particle":"","family":"Sezer","given":"Orhan","non-dropping-particle":"","parse-names":false,"suffix":""},{"dropping-particle":"","family":"Broij","given":"Annemiek","non-dropping-particle":"","parse-names":false,"suffix":""},{"dropping-particle":"","family":"Bringhen","given":"Sara","non-dropping-particle":"","parse-names":false,"suffix":""},{"dropping-particle":"","family":"Beksac","given":"Meral","non-dropping-particle":"","parse-names":false,"suffix":""},{"dropping-particle":"","family":"Larocca","given":"Alessandra","non-dropping-particle":"","parse-names":false,"suffix":""},{"dropping-particle":"","family":"Hajek","given":"Roman","non-dropping-particle":"","parse-names":false,"suffix":""},{"dropping-particle":"","family":"Musto","given":"Pellegrino","non-dropping-particle":"","parse-names":false,"suffix":""},{"dropping-particle":"","family":"Johnsen","given":"Hans Erik","non-dropping-particle":"","parse-names":false,"suffix":""},{"dropping-particle":"","family":"Morabito","given":"Fortunato","non-dropping-particle":"","parse-names":false,"suffix":""},{"dropping-particle":"","family":"Ludwig","given":"Heinz","non-dropping-particle":"","parse-names":false,"suffix":""},{"dropping-particle":"","family":"Cavo","given":"Michele","non-dropping-particle":"","parse-names":false,"suffix":""},{"dropping-particle":"","family":"Einsele","given":"Hermann","non-dropping-particle":"","parse-names":false,"suffix":""},{"dropping-particle":"","family":"Sonneveld","given":"Pieter","non-dropping-particle":"","parse-names":false,"suffix":""},{"dropping-particle":"","family":"Dimopoulos","given":"Meletios A.","non-dropping-particle":"","parse-names":false,"suffix":""},{"dropping-particle":"","family":"Palumbo","given":"Antonio","non-dropping-particle":"","parse-names":false,"suffix":""}],"container-title":"Haematologica","id":"ITEM-1","issue":"10","issued":{"date-parts":[["2015","10"]]},"page":"1254-1266","publisher":"Ferrata Storti Foundation","title":"European myeloma network guidelines for the management of multiple myeloma-related complications","type":"article-journal","volume":"100"},"uris":["http://www.mendeley.com/documents/?uuid=aac7b897-8190-3c23-bc91-e35f2f0c34c2","http://www.mendeley.com/documents/?uuid=d764576b-b83c-433d-b5a2-7dad0d44d988","http://www.mendeley.com/documents/?uuid=ee597520-c0cc-44d1-88eb-388774bd8550","http://www.mendeley.com/documents/?uuid=c0612fc3-d7f0-4ab2-9abe-e086965714f4","http://www.mendeley.com/documents/?uuid=6d6938c8-1c2d-40c8-b1d1-d79df765c05d","http://www.mendeley.com/documents/?uuid=37f5270f-10ba-4092-bf91-5d27dd1c06ee","http://www.mendeley.com/documents/?uuid=b5a58553-9f9f-4514-b08b-dacb77967682","http://www.mendeley.com/documents/?uuid=a2dc2d73-6f14-4a34-af5c-17ae34364204"]}],"mendeley":{"formattedCitation":"[166]","plainTextFormattedCitation":"[166]","previouslyFormattedCitation":"[145]"},"properties":{"noteIndex":0},"schema":"https://github.com/citation-style-language/schema/raw/master/csl-citation.json"}</w:instrText>
      </w:r>
      <w:r w:rsidRPr="00997857">
        <w:rPr>
          <w:b/>
          <w:i/>
          <w:szCs w:val="24"/>
        </w:rPr>
        <w:fldChar w:fldCharType="separate"/>
      </w:r>
      <w:r w:rsidR="00A67ED2" w:rsidRPr="00A67ED2">
        <w:rPr>
          <w:noProof/>
          <w:szCs w:val="24"/>
        </w:rPr>
        <w:t>[166]</w:t>
      </w:r>
      <w:r w:rsidRPr="00997857">
        <w:rPr>
          <w:b/>
          <w:i/>
          <w:szCs w:val="24"/>
        </w:rPr>
        <w:fldChar w:fldCharType="end"/>
      </w:r>
    </w:p>
    <w:p w14:paraId="5A7D844E" w14:textId="77777777" w:rsidR="006F27D1" w:rsidRPr="00DB1FCB" w:rsidRDefault="006F27D1" w:rsidP="008C1767">
      <w:pPr>
        <w:widowControl/>
        <w:numPr>
          <w:ilvl w:val="0"/>
          <w:numId w:val="164"/>
        </w:numPr>
        <w:tabs>
          <w:tab w:val="left" w:pos="0"/>
          <w:tab w:val="left" w:pos="567"/>
        </w:tabs>
        <w:autoSpaceDE/>
        <w:autoSpaceDN/>
        <w:adjustRightInd/>
        <w:ind w:left="0" w:firstLine="0"/>
        <w:rPr>
          <w:szCs w:val="24"/>
        </w:rPr>
      </w:pPr>
      <w:r w:rsidRPr="00DB1FCB">
        <w:rPr>
          <w:szCs w:val="24"/>
        </w:rPr>
        <w:t xml:space="preserve">Показана пациентам, имеющим отягощенный анамнез (частые, рецидивирующие эпизоды герпетических инфекций). </w:t>
      </w:r>
    </w:p>
    <w:p w14:paraId="1C498B5D" w14:textId="77777777" w:rsidR="006F27D1" w:rsidRPr="00946E20" w:rsidRDefault="006F27D1" w:rsidP="008C1767">
      <w:pPr>
        <w:widowControl/>
        <w:numPr>
          <w:ilvl w:val="0"/>
          <w:numId w:val="164"/>
        </w:numPr>
        <w:tabs>
          <w:tab w:val="left" w:pos="0"/>
          <w:tab w:val="left" w:pos="567"/>
        </w:tabs>
        <w:autoSpaceDE/>
        <w:autoSpaceDN/>
        <w:adjustRightInd/>
        <w:ind w:left="0" w:firstLine="0"/>
        <w:rPr>
          <w:szCs w:val="24"/>
        </w:rPr>
      </w:pPr>
      <w:r w:rsidRPr="00946E20">
        <w:rPr>
          <w:szCs w:val="24"/>
        </w:rPr>
        <w:t>Проводится пероральная профилактика валацикловиром в дозе 500 мг 2 раза в сутки или ацикловиром 250 мг/м</w:t>
      </w:r>
      <w:r w:rsidRPr="00946E20">
        <w:rPr>
          <w:szCs w:val="24"/>
          <w:vertAlign w:val="superscript"/>
        </w:rPr>
        <w:t>2</w:t>
      </w:r>
      <w:r w:rsidRPr="00946E20">
        <w:rPr>
          <w:szCs w:val="24"/>
        </w:rPr>
        <w:t xml:space="preserve"> х 2 раза в сутки с момента начала предтрансплантационного кондиционирования. </w:t>
      </w:r>
    </w:p>
    <w:p w14:paraId="4C743F42" w14:textId="77777777" w:rsidR="006F27D1" w:rsidRDefault="006F27D1" w:rsidP="006F27D1">
      <w:pPr>
        <w:pStyle w:val="afff3"/>
        <w:ind w:left="0"/>
        <w:rPr>
          <w:b/>
          <w:i/>
          <w:szCs w:val="24"/>
        </w:rPr>
      </w:pPr>
    </w:p>
    <w:p w14:paraId="22ABA3F7" w14:textId="46EBCB8B" w:rsidR="006F27D1" w:rsidRPr="00B71144" w:rsidRDefault="006F27D1" w:rsidP="006F27D1">
      <w:pPr>
        <w:pStyle w:val="afff3"/>
        <w:ind w:left="0"/>
        <w:rPr>
          <w:b/>
          <w:i/>
          <w:szCs w:val="24"/>
        </w:rPr>
      </w:pPr>
      <w:r w:rsidRPr="00997857">
        <w:rPr>
          <w:b/>
          <w:i/>
          <w:szCs w:val="24"/>
        </w:rPr>
        <w:t xml:space="preserve">Профилактика пневмоцистной пневмонии </w:t>
      </w:r>
      <w:r>
        <w:rPr>
          <w:b/>
          <w:i/>
          <w:szCs w:val="24"/>
        </w:rPr>
        <w:fldChar w:fldCharType="begin" w:fldLock="1"/>
      </w:r>
      <w:r w:rsidR="00A67ED2">
        <w:rPr>
          <w:b/>
          <w:i/>
          <w:szCs w:val="24"/>
        </w:rPr>
        <w:instrText>ADDIN CSL_CITATION {"citationItems":[{"id":"ITEM-1","itemData":{"author":[{"dropping-particle":"","family":"Савченко В.Г. и др","given":"","non-dropping-particle":"","parse-names":false,"suffix":""}],"id":"ITEM-1","issued":{"date-parts":[["2018"]]},"number-of-pages":"1008","publisher":"Практика","publisher-place":"Москва","title":"Алгоритмы диагностики и протоколы лечения заболеваний системы крови.","type":"book"},"uris":["http://www.mendeley.com/documents/?uuid=f91ae641-8062-4f5f-b416-94b015742043","http://www.mendeley.com/documents/?uuid=2cd270b2-efaf-4da9-a95d-66324661ea35","http://www.mendeley.com/documents/?uuid=fe583573-532c-46dc-b4f4-f9d01345e27c","http://www.mendeley.com/documents/?uuid=26da25a5-bd21-4509-8e88-e4e6744fab98","http://www.mendeley.com/documents/?uuid=a1e2f5d6-ef05-4351-9481-13fad4fd103b","http://www.mendeley.com/documents/?uuid=478d6ce1-e425-4912-87db-adfee39f1ce9","http://www.mendeley.com/documents/?uuid=9cac36ab-7685-4894-b1cb-f141a1797526","http://www.mendeley.com/documents/?uuid=c0eae3a3-34ee-40e1-8813-566cb7fa2b4a"]},{"id":"ITEM-2","itemData":{"DOI":"10.1093/jac/dkw157","ISSN":"14602091","PMID":"27550992","abstract":"The 5th European Conference on Infections in Leukaemia (ECIL-5) meeting aimed to establish evidence-based recommendations for the prophylaxis of Pneumocystis jirovecii pneumonia (PCP) in non-HIV-infected patients with an underlying haematological condition, including allogeneic HSCT recipients. Recommendations were based on the grading system of the IDSA. Trimethoprim/sulfamethoxazole given 2-3 times weekly is the drug of choice for the primary prophylaxis of PCP in adults (A-II) and children (A-I) and should be given during the entire period at risk. Recent data indicate that children may benefit equally from a once-weekly regimen (B-II). All other drugs, including pentamidine, atovaquone and dapsone, are considered second-line alternatives when trimethoprim/ sulfamethoxazole is poorly tolerated or contraindicated. The main indications of PCP prophylaxis are ALL, allogeneic HSCT, treatment with alemtuzumab, fludarabine/cyclophosphamide/rituximab combinations, &gt;4 weeks of treatmentwith corticosteroids andwell-defined primary immune deficiencies in children. Additional indications are proposed depending on the treatment regimen.","author":[{"dropping-particle":"","family":"Maertens","given":"Johan","non-dropping-particle":"","parse-names":false,"suffix":""},{"dropping-particle":"","family":"Cesaro","given":"Simone","non-dropping-particle":"","parse-names":false,"suffix":""},{"dropping-particle":"","family":"Maschmeyer","given":"Georg","non-dropping-particle":"","parse-names":false,"suffix":""},{"dropping-particle":"","family":"Einsele","given":"Hermann","non-dropping-particle":"","parse-names":false,"suffix":""},{"dropping-particle":"","family":"Donnelly","given":"J. Peter","non-dropping-particle":"","parse-names":false,"suffix":""},{"dropping-particle":"","family":"Alanio","given":"Alexandre","non-dropping-particle":"","parse-names":false,"suffix":""},{"dropping-particle":"","family":"Hauser","given":"Philippe","non-dropping-particle":"","parse-names":false,"suffix":""},{"dropping-particle":"","family":"Lagrou","given":"Katrien","non-dropping-particle":"","parse-names":false,"suffix":""},{"dropping-particle":"","family":"Melchers","given":"Willem J.G.","non-dropping-particle":"","parse-names":false,"suffix":""},{"dropping-particle":"","family":"Helweg-Larsen","given":"Jannik","non-dropping-particle":"","parse-names":false,"suffix":""},{"dropping-particle":"","family":"Matos","given":"Olga","non-dropping-particle":"","parse-names":false,"suffix":""},{"dropping-particle":"","family":"Bretagne","given":"Stéphane","non-dropping-particle":"","parse-names":false,"suffix":""},{"dropping-particle":"","family":"Cordonnier","given":"Catherine","non-dropping-particle":"","parse-names":false,"suffix":""},{"dropping-particle":"","family":"Agrawal","given":"Samir","non-dropping-particle":"","parse-names":false,"suffix":""},{"dropping-particle":"","family":"Kibbler","given":"Christopher","non-dropping-particle":"","parse-names":false,"suffix":""},{"dropping-particle":"","family":"Pagliuca","given":"Antonio","non-dropping-particle":"","parse-names":false,"suffix":""},{"dropping-particle":"","family":"Ward","given":"Katherine","non-dropping-particle":"","parse-names":false,"suffix":""},{"dropping-particle":"","family":"Akova","given":"Murat","non-dropping-particle":"","parse-names":false,"suffix":""},{"dropping-particle":"","family":"Herbrecht","given":"Raoul","non-dropping-particle":"","parse-names":false,"suffix":""},{"dropping-particle":"","family":"Mallet","given":"Vincent","non-dropping-particle":"","parse-names":false,"suffix":""},{"dropping-particle":"","family":"Ribaud","given":"Patricia","non-dropping-particle":"","parse-names":false,"suffix":""},{"dropping-particle":"","family":"Aljurf","given":"Mahmoud","non-dropping-particle":"","parse-names":false,"suffix":""},{"dropping-particle":"","family":"Averbuch","given":"Dina","non-dropping-particle":"","parse-names":false,"suffix":""},{"dropping-particle":"","family":"Engelhard","given":"Dan","non-dropping-particle":"","parse-names":false,"suffix":""},{"dropping-particle":"","family":"Berg","given":"Thomas","non-dropping-particle":"","parse-names":false,"suffix":""},{"dropping-particle":"","family":"Cornely","given":"Oliver","non-dropping-particle":"","parse-names":false,"suffix":""},{"dropping-particle":"","family":"Penack","given":"Olaf","non-dropping-particle":"","parse-names":false,"suffix":""},{"dropping-particle":"","family":"Boemmel","given":"Florian","non-dropping-particle":"van","parse-names":false,"suffix":""},{"dropping-particle":"","family":"Lilienfeld-Toal","given":"Marie","non-dropping-particle":"von","parse-names":false,"suffix":""},{"dropping-particle":"","family":"Blennow","given":"Ola","non-dropping-particle":"","parse-names":false,"suffix":""},{"dropping-particle":"","family":"Ljungman","given":"Per","non-dropping-particle":"","parse-names":false,"suffix":""},{"dropping-particle":"","family":"Bruggemann","given":"Roger","non-dropping-particle":"","parse-names":false,"suffix":""},{"dropping-particle":"","family":"Donnelly","given":"Peter","non-dropping-particle":"","parse-names":false,"suffix":""},{"dropping-particle":"","family":"Kullberg","given":"Bart Jan","non-dropping-particle":"","parse-names":false,"suffix":""},{"dropping-particle":"","family":"Melchers","given":"Willem","non-dropping-particle":"","parse-names":false,"suffix":""},{"dropping-particle":"","family":"Calandra","given":"Thierry","non-dropping-particle":"","parse-names":false,"suffix":""},{"dropping-particle":"","family":"Hirsch","given":"Hans","non-dropping-particle":"","parse-names":false,"suffix":""},{"dropping-particle":"","family":"Marchetti","given":"Oscar","non-dropping-particle":"","parse-names":false,"suffix":""},{"dropping-particle":"","family":"Orasch","given":"Christina","non-dropping-particle":"","parse-names":false,"suffix":""},{"dropping-particle":"","family":"Tissot","given":"Frederic","non-dropping-particle":"","parse-names":false,"suffix":""},{"dropping-particle":"","family":"Castagnola","given":"Elio","non-dropping-particle":"","parse-names":false,"suffix":""},{"dropping-particle":"","family":"Girmenia","given":"Corrado","non-dropping-particle":"","parse-names":false,"suffix":""},{"dropping-particle":"","family":"Mikulska","given":"Malgorzata","non-dropping-particle":"","parse-names":false,"suffix":""},{"dropping-particle":"","family":"Pagano","given":"Livio","non-dropping-particle":"","parse-names":false,"suffix":""},{"dropping-particle":"","family":"Viscoli","given":"Claudio","non-dropping-particle":"","parse-names":false,"suffix":""},{"dropping-particle":"","family":"La Camara","given":"Rafael","non-dropping-particle":"De","parse-names":false,"suffix":""},{"dropping-particle":"","family":"Duarte","given":"Rafael","non-dropping-particle":"","parse-names":false,"suffix":""},{"dropping-particle":"","family":"Munoz","given":"Patricia","non-dropping-particle":"","parse-names":false,"suffix":""},{"dropping-particle":"","family":"Drgona","given":"Lubos","non-dropping-particle":"","parse-names":false,"suffix":""},{"dropping-particle":"","family":"Hargreaves","given":"Ruth","non-dropping-particle":"","parse-names":false,"suffix":""},{"dropping-particle":"","family":"Hubacek","given":"Petr","non-dropping-particle":"","parse-names":false,"suffix":""},{"dropping-particle":"","family":"Kouba","given":"Michal","non-dropping-particle":"","parse-names":false,"suffix":""},{"dropping-particle":"","family":"Racil","given":"Zdenek","non-dropping-particle":"","parse-names":false,"suffix":""},{"dropping-particle":"","family":"Klyasova","given":"Galina","non-dropping-particle":"","parse-names":false,"suffix":""},{"dropping-particle":"","family":"Pettrikos","given":"George","non-dropping-particle":"","parse-names":false,"suffix":""},{"dropping-particle":"","family":"Roilides","given":"Emmanuel","non-dropping-particle":"","parse-names":false,"suffix":""},{"dropping-particle":"","family":"Skiada","given":"Anna","non-dropping-particle":"","parse-names":false,"suffix":""},{"dropping-particle":"","family":"Rizzi-Puechal","given":"Valérie","non-dropping-particle":"","parse-names":false,"suffix":""},{"dropping-particle":"","family":"Sinko","given":"Janos","non-dropping-particle":"","parse-names":false,"suffix":""},{"dropping-particle":"","family":"Slavin","given":"Monica","non-dropping-particle":"","parse-names":false,"suffix":""},{"dropping-particle":"","family":"Styczynski","given":"Jan","non-dropping-particle":"","parse-names":false,"suffix":""},{"dropping-particle":"","family":"Tweddle","given":"Lorraine","non-dropping-particle":"","parse-names":false,"suffix":""},{"dropping-particle":"","family":"Wood","given":"Craig","non-dropping-particle":"","parse-names":false,"suffix":""}],"container-title":"Journal of Antimicrobial Chemotherapy","id":"ITEM-2","issue":"9","issued":{"date-parts":[["2016","9","1"]]},"page":"1-8","publisher":"Oxford University Press","title":"ECIL guidelines for preventing Pneumocystis jirovecii pneumonia in patients with haematological malignancies and stem cell transplant recipients","type":"bill","volume":"71"},"uris":["http://www.mendeley.com/documents/?uuid=a0eb48bc-4417-4d24-8796-9587f2cfd3b7"]}],"mendeley":{"formattedCitation":"[138,158]","plainTextFormattedCitation":"[138,158]","previouslyFormattedCitation":"[131,146]"},"properties":{"noteIndex":0},"schema":"https://github.com/citation-style-language/schema/raw/master/csl-citation.json"}</w:instrText>
      </w:r>
      <w:r>
        <w:rPr>
          <w:b/>
          <w:i/>
          <w:szCs w:val="24"/>
        </w:rPr>
        <w:fldChar w:fldCharType="separate"/>
      </w:r>
      <w:r w:rsidR="00A67ED2" w:rsidRPr="00A67ED2">
        <w:rPr>
          <w:noProof/>
          <w:szCs w:val="24"/>
        </w:rPr>
        <w:t>[138,158]</w:t>
      </w:r>
      <w:r>
        <w:rPr>
          <w:b/>
          <w:i/>
          <w:szCs w:val="24"/>
        </w:rPr>
        <w:fldChar w:fldCharType="end"/>
      </w:r>
    </w:p>
    <w:p w14:paraId="2DBDFE2B" w14:textId="77777777" w:rsidR="006F27D1" w:rsidRPr="00DB1FCB" w:rsidRDefault="006F27D1" w:rsidP="008C1767">
      <w:pPr>
        <w:widowControl/>
        <w:numPr>
          <w:ilvl w:val="0"/>
          <w:numId w:val="86"/>
        </w:numPr>
        <w:tabs>
          <w:tab w:val="left" w:pos="0"/>
          <w:tab w:val="left" w:pos="567"/>
        </w:tabs>
        <w:autoSpaceDE/>
        <w:autoSpaceDN/>
        <w:adjustRightInd/>
        <w:ind w:left="0" w:firstLine="0"/>
        <w:rPr>
          <w:szCs w:val="24"/>
        </w:rPr>
      </w:pPr>
      <w:r w:rsidRPr="00DB1FCB">
        <w:rPr>
          <w:szCs w:val="24"/>
        </w:rPr>
        <w:t>Показания:</w:t>
      </w:r>
    </w:p>
    <w:p w14:paraId="6CCC7D60" w14:textId="77777777" w:rsidR="006F27D1" w:rsidRPr="00DB1FCB" w:rsidRDefault="006F27D1" w:rsidP="008C1767">
      <w:pPr>
        <w:widowControl/>
        <w:numPr>
          <w:ilvl w:val="0"/>
          <w:numId w:val="123"/>
        </w:numPr>
        <w:tabs>
          <w:tab w:val="left" w:pos="0"/>
          <w:tab w:val="left" w:pos="567"/>
        </w:tabs>
        <w:autoSpaceDE/>
        <w:autoSpaceDN/>
        <w:adjustRightInd/>
        <w:ind w:left="0" w:firstLine="0"/>
        <w:rPr>
          <w:szCs w:val="24"/>
        </w:rPr>
      </w:pPr>
      <w:r w:rsidRPr="00DB1FCB">
        <w:rPr>
          <w:szCs w:val="24"/>
        </w:rPr>
        <w:t xml:space="preserve">Терапия глюкокортикоидами. </w:t>
      </w:r>
    </w:p>
    <w:p w14:paraId="7BF2D032" w14:textId="77777777" w:rsidR="006F27D1" w:rsidRPr="00DB1FCB" w:rsidRDefault="006F27D1" w:rsidP="008C1767">
      <w:pPr>
        <w:widowControl/>
        <w:numPr>
          <w:ilvl w:val="0"/>
          <w:numId w:val="123"/>
        </w:numPr>
        <w:tabs>
          <w:tab w:val="left" w:pos="0"/>
          <w:tab w:val="left" w:pos="567"/>
        </w:tabs>
        <w:autoSpaceDE/>
        <w:autoSpaceDN/>
        <w:adjustRightInd/>
        <w:ind w:left="0" w:firstLine="0"/>
        <w:rPr>
          <w:szCs w:val="24"/>
        </w:rPr>
      </w:pPr>
      <w:r w:rsidRPr="00DB1FCB">
        <w:rPr>
          <w:szCs w:val="24"/>
        </w:rPr>
        <w:t>Лечение препаратами, приводящими к снижению числа лимфоцитов CD4.</w:t>
      </w:r>
    </w:p>
    <w:p w14:paraId="2D2A05FA" w14:textId="77777777" w:rsidR="006F27D1" w:rsidRPr="00DB1FCB" w:rsidRDefault="006F27D1" w:rsidP="008C1767">
      <w:pPr>
        <w:widowControl/>
        <w:numPr>
          <w:ilvl w:val="0"/>
          <w:numId w:val="123"/>
        </w:numPr>
        <w:tabs>
          <w:tab w:val="left" w:pos="0"/>
          <w:tab w:val="left" w:pos="567"/>
        </w:tabs>
        <w:autoSpaceDE/>
        <w:autoSpaceDN/>
        <w:adjustRightInd/>
        <w:ind w:left="0" w:firstLine="0"/>
        <w:rPr>
          <w:szCs w:val="24"/>
        </w:rPr>
      </w:pPr>
      <w:r w:rsidRPr="00DB1FCB">
        <w:rPr>
          <w:szCs w:val="24"/>
        </w:rPr>
        <w:t>Пациенты, имеющие в анамнезе пневмоцистную пневмонию.</w:t>
      </w:r>
    </w:p>
    <w:p w14:paraId="40340C61" w14:textId="77777777" w:rsidR="006F27D1" w:rsidRPr="00DB1FCB" w:rsidRDefault="006F27D1" w:rsidP="008C1767">
      <w:pPr>
        <w:widowControl/>
        <w:numPr>
          <w:ilvl w:val="0"/>
          <w:numId w:val="124"/>
        </w:numPr>
        <w:tabs>
          <w:tab w:val="left" w:pos="0"/>
          <w:tab w:val="left" w:pos="567"/>
        </w:tabs>
        <w:autoSpaceDE/>
        <w:autoSpaceDN/>
        <w:adjustRightInd/>
        <w:ind w:left="0" w:firstLine="0"/>
        <w:rPr>
          <w:szCs w:val="24"/>
        </w:rPr>
      </w:pPr>
      <w:r w:rsidRPr="00DB1FCB">
        <w:rPr>
          <w:szCs w:val="24"/>
        </w:rPr>
        <w:t>Назначают один из следующих препаратов:</w:t>
      </w:r>
    </w:p>
    <w:p w14:paraId="27CBC6CC" w14:textId="77777777" w:rsidR="006F27D1" w:rsidRPr="00DB1FCB" w:rsidRDefault="006F27D1" w:rsidP="008C1767">
      <w:pPr>
        <w:widowControl/>
        <w:numPr>
          <w:ilvl w:val="0"/>
          <w:numId w:val="123"/>
        </w:numPr>
        <w:tabs>
          <w:tab w:val="left" w:pos="0"/>
          <w:tab w:val="left" w:pos="567"/>
        </w:tabs>
        <w:autoSpaceDE/>
        <w:autoSpaceDN/>
        <w:adjustRightInd/>
        <w:ind w:left="0" w:firstLine="0"/>
        <w:rPr>
          <w:szCs w:val="24"/>
        </w:rPr>
      </w:pPr>
      <w:r w:rsidRPr="00DB1FCB">
        <w:rPr>
          <w:szCs w:val="24"/>
        </w:rPr>
        <w:t xml:space="preserve">Триметоприм/сульфаметоксазол назначают по 480 мг ежедневно. </w:t>
      </w:r>
    </w:p>
    <w:p w14:paraId="4F96469E" w14:textId="77777777" w:rsidR="006F27D1" w:rsidRPr="00DB1FCB" w:rsidRDefault="006F27D1" w:rsidP="008C1767">
      <w:pPr>
        <w:widowControl/>
        <w:numPr>
          <w:ilvl w:val="0"/>
          <w:numId w:val="123"/>
        </w:numPr>
        <w:tabs>
          <w:tab w:val="left" w:pos="0"/>
          <w:tab w:val="left" w:pos="567"/>
        </w:tabs>
        <w:autoSpaceDE/>
        <w:autoSpaceDN/>
        <w:adjustRightInd/>
        <w:ind w:left="0" w:firstLine="0"/>
        <w:rPr>
          <w:szCs w:val="24"/>
        </w:rPr>
      </w:pPr>
      <w:r w:rsidRPr="00DB1FCB">
        <w:rPr>
          <w:szCs w:val="24"/>
        </w:rPr>
        <w:t>Дапсон, 100 мг внутрь ежедневно.</w:t>
      </w:r>
    </w:p>
    <w:p w14:paraId="531FF250" w14:textId="77777777" w:rsidR="006F27D1" w:rsidRPr="00DB1FCB" w:rsidRDefault="006F27D1" w:rsidP="008C1767">
      <w:pPr>
        <w:widowControl/>
        <w:numPr>
          <w:ilvl w:val="0"/>
          <w:numId w:val="123"/>
        </w:numPr>
        <w:tabs>
          <w:tab w:val="left" w:pos="0"/>
          <w:tab w:val="left" w:pos="567"/>
        </w:tabs>
        <w:autoSpaceDE/>
        <w:autoSpaceDN/>
        <w:adjustRightInd/>
        <w:ind w:left="0" w:firstLine="0"/>
        <w:rPr>
          <w:szCs w:val="24"/>
        </w:rPr>
      </w:pPr>
      <w:r w:rsidRPr="00DB1FCB">
        <w:rPr>
          <w:szCs w:val="24"/>
        </w:rPr>
        <w:t>Пентамидин, 300 мг в виде аэрозоля через респираторный ингалятор или внутривенно каждые 3—4 недели.</w:t>
      </w:r>
    </w:p>
    <w:p w14:paraId="0B9FDBE1" w14:textId="77777777" w:rsidR="006F27D1" w:rsidRPr="00DB1FCB" w:rsidRDefault="006F27D1" w:rsidP="008C1767">
      <w:pPr>
        <w:widowControl/>
        <w:numPr>
          <w:ilvl w:val="0"/>
          <w:numId w:val="168"/>
        </w:numPr>
        <w:tabs>
          <w:tab w:val="left" w:pos="0"/>
          <w:tab w:val="left" w:pos="567"/>
        </w:tabs>
        <w:autoSpaceDE/>
        <w:autoSpaceDN/>
        <w:adjustRightInd/>
        <w:ind w:left="0" w:firstLine="0"/>
        <w:rPr>
          <w:szCs w:val="24"/>
        </w:rPr>
      </w:pPr>
      <w:r w:rsidRPr="00DB1FCB">
        <w:rPr>
          <w:szCs w:val="24"/>
        </w:rPr>
        <w:t>Препараты применяют в период цитостатической терапии и в течение всего периода нейтропении.</w:t>
      </w:r>
    </w:p>
    <w:p w14:paraId="0EC30109" w14:textId="77777777" w:rsidR="006F27D1" w:rsidRPr="00DB1FCB" w:rsidRDefault="006F27D1" w:rsidP="008C1767">
      <w:pPr>
        <w:widowControl/>
        <w:numPr>
          <w:ilvl w:val="0"/>
          <w:numId w:val="168"/>
        </w:numPr>
        <w:tabs>
          <w:tab w:val="left" w:pos="0"/>
          <w:tab w:val="left" w:pos="567"/>
        </w:tabs>
        <w:autoSpaceDE/>
        <w:autoSpaceDN/>
        <w:adjustRightInd/>
        <w:ind w:left="0" w:firstLine="0"/>
        <w:rPr>
          <w:szCs w:val="24"/>
        </w:rPr>
      </w:pPr>
      <w:r w:rsidRPr="00DB1FCB">
        <w:rPr>
          <w:szCs w:val="24"/>
        </w:rPr>
        <w:t xml:space="preserve">Использование триметоприма/сульфаметоксазола одновременно предупреждает инфекции, вызываемые </w:t>
      </w:r>
      <w:r w:rsidRPr="00DB1FCB">
        <w:rPr>
          <w:i/>
          <w:szCs w:val="24"/>
        </w:rPr>
        <w:t>Toxoplasma gondii, Listeria monocytogenes, Nocardia asteroides</w:t>
      </w:r>
      <w:r w:rsidRPr="00DB1FCB">
        <w:rPr>
          <w:szCs w:val="24"/>
        </w:rPr>
        <w:t xml:space="preserve">. </w:t>
      </w:r>
    </w:p>
    <w:p w14:paraId="6A0B75E2" w14:textId="77777777" w:rsidR="006F27D1" w:rsidRDefault="006F27D1" w:rsidP="006F27D1">
      <w:pPr>
        <w:tabs>
          <w:tab w:val="left" w:pos="0"/>
          <w:tab w:val="left" w:pos="284"/>
        </w:tabs>
        <w:rPr>
          <w:b/>
          <w:szCs w:val="24"/>
        </w:rPr>
      </w:pPr>
      <w:r w:rsidRPr="00515760">
        <w:rPr>
          <w:szCs w:val="24"/>
        </w:rPr>
        <w:t xml:space="preserve">Пациенты, инфицированные </w:t>
      </w:r>
      <w:r w:rsidRPr="00515760">
        <w:rPr>
          <w:i/>
          <w:szCs w:val="24"/>
        </w:rPr>
        <w:t>Pneumocystis jiroveci</w:t>
      </w:r>
      <w:r w:rsidRPr="00515760">
        <w:rPr>
          <w:szCs w:val="24"/>
        </w:rPr>
        <w:t>, не должны находиться в одной палате с другими иммунокомпрометированными больными.</w:t>
      </w:r>
      <w:r w:rsidRPr="00515760">
        <w:rPr>
          <w:szCs w:val="24"/>
        </w:rPr>
        <w:cr/>
      </w:r>
    </w:p>
    <w:p w14:paraId="54B6411B" w14:textId="77777777" w:rsidR="006F27D1" w:rsidRPr="0031526F" w:rsidRDefault="006F27D1" w:rsidP="006F27D1">
      <w:pPr>
        <w:pStyle w:val="afff3"/>
        <w:ind w:left="0"/>
        <w:rPr>
          <w:b/>
          <w:i/>
          <w:szCs w:val="24"/>
        </w:rPr>
      </w:pPr>
      <w:r w:rsidRPr="0031526F">
        <w:rPr>
          <w:b/>
          <w:i/>
          <w:szCs w:val="24"/>
        </w:rPr>
        <w:t>Иммуноглобулин человеческий</w:t>
      </w:r>
    </w:p>
    <w:p w14:paraId="6EEC9920" w14:textId="77777777" w:rsidR="006F27D1" w:rsidRDefault="006F27D1" w:rsidP="006F27D1">
      <w:pPr>
        <w:pStyle w:val="afff3"/>
        <w:ind w:left="0" w:firstLine="709"/>
      </w:pPr>
      <w:r w:rsidRPr="00163277">
        <w:t xml:space="preserve">У пациентов после ауто-ТГСК развивается вторичный иммунодефицит. Для коррекции гипогаммаглобулинемии применяют препараты человеческого иммуноглобулина. Человеческий иммуноглобулин, восполняя дефицит антител, снижает риск развития инфекций у больных со вторичным иммунодефицитом. </w:t>
      </w:r>
    </w:p>
    <w:p w14:paraId="05BB452F" w14:textId="77777777" w:rsidR="006F27D1" w:rsidRPr="00674B7A" w:rsidRDefault="006F27D1" w:rsidP="006F27D1">
      <w:pPr>
        <w:pStyle w:val="afff3"/>
        <w:ind w:left="0" w:firstLine="709"/>
      </w:pPr>
      <w:r w:rsidRPr="000C7299">
        <w:t>До выхода больного из МТА рекомендовано введение препарата внутривенно капельно в дозе 0,4 г/кг еженедельно. При тяжелых бактериальных и вирусных инфекциях рекомендовано 0.4-1 г/кг ежедневно</w:t>
      </w:r>
      <w:r w:rsidRPr="00163277">
        <w:t xml:space="preserve"> в течение 1-4 дней. Перед введением препарат следует согреть до комнатной температуры или температуры тела. Начальная скорость инфузии - 30 кап/мин (1.65 мл/мин), через 10 мин скорость увеличивают до 40 кап/мин (2.2 мл/мин).</w:t>
      </w:r>
    </w:p>
    <w:p w14:paraId="7C59C68E" w14:textId="77777777" w:rsidR="006F27D1" w:rsidRDefault="006F27D1" w:rsidP="006F27D1">
      <w:pPr>
        <w:rPr>
          <w:b/>
          <w:szCs w:val="24"/>
          <w:highlight w:val="green"/>
        </w:rPr>
      </w:pPr>
    </w:p>
    <w:p w14:paraId="1B23356B" w14:textId="77777777" w:rsidR="006F27D1" w:rsidRPr="006E6081" w:rsidRDefault="006F27D1" w:rsidP="006F27D1">
      <w:pPr>
        <w:rPr>
          <w:b/>
          <w:szCs w:val="24"/>
        </w:rPr>
      </w:pPr>
      <w:r w:rsidRPr="006E6081">
        <w:rPr>
          <w:b/>
          <w:szCs w:val="24"/>
        </w:rPr>
        <w:t xml:space="preserve"> Трансфузионная терапия</w:t>
      </w:r>
    </w:p>
    <w:p w14:paraId="30C4F8DA" w14:textId="77777777" w:rsidR="006F27D1" w:rsidRPr="00163277" w:rsidRDefault="006F27D1" w:rsidP="006F27D1">
      <w:pPr>
        <w:ind w:firstLine="709"/>
        <w:rPr>
          <w:rFonts w:eastAsia="Calibri"/>
          <w:szCs w:val="24"/>
        </w:rPr>
      </w:pPr>
      <w:r w:rsidRPr="00163277">
        <w:rPr>
          <w:rFonts w:eastAsia="Calibri"/>
          <w:szCs w:val="24"/>
        </w:rPr>
        <w:t>В ранний пострансплантационный период в связи с развитием анемии, тромбоцитопении, геморрагического синдрома пациентам требуется заместительная терапия компонентами крови. Чаще всего используются эритроцитная масса, тромбоконцентрат, СЗП</w:t>
      </w:r>
    </w:p>
    <w:p w14:paraId="0F8B98C4" w14:textId="77777777" w:rsidR="006F27D1" w:rsidRPr="00163277" w:rsidRDefault="006F27D1" w:rsidP="006F27D1">
      <w:pPr>
        <w:ind w:firstLine="709"/>
        <w:rPr>
          <w:rFonts w:eastAsia="Calibri"/>
          <w:szCs w:val="24"/>
        </w:rPr>
      </w:pPr>
      <w:r w:rsidRPr="00163277">
        <w:rPr>
          <w:rFonts w:eastAsia="Calibri"/>
          <w:szCs w:val="24"/>
        </w:rPr>
        <w:t>Показания к переливанию эритроцитсодержащих сред при ауто-ТГСК:</w:t>
      </w:r>
    </w:p>
    <w:p w14:paraId="79705B4F" w14:textId="77777777" w:rsidR="006F27D1" w:rsidRPr="00163277" w:rsidRDefault="006F27D1" w:rsidP="008C1767">
      <w:pPr>
        <w:widowControl/>
        <w:numPr>
          <w:ilvl w:val="0"/>
          <w:numId w:val="176"/>
        </w:numPr>
        <w:autoSpaceDE/>
        <w:autoSpaceDN/>
        <w:adjustRightInd/>
        <w:ind w:left="0" w:firstLine="709"/>
        <w:contextualSpacing/>
        <w:rPr>
          <w:rFonts w:eastAsia="Calibri"/>
          <w:szCs w:val="24"/>
        </w:rPr>
      </w:pPr>
      <w:r>
        <w:rPr>
          <w:rFonts w:eastAsia="Calibri"/>
          <w:szCs w:val="24"/>
        </w:rPr>
        <w:t xml:space="preserve">Пациентам при значимом снижении гемоглобина </w:t>
      </w:r>
      <w:r w:rsidRPr="00163277">
        <w:rPr>
          <w:rFonts w:eastAsia="Calibri"/>
          <w:szCs w:val="24"/>
        </w:rPr>
        <w:t>и наличии анемических жалоб рекомендованы заместительные трансфузии эритроцитов;</w:t>
      </w:r>
    </w:p>
    <w:p w14:paraId="666BEA2C" w14:textId="77777777" w:rsidR="006F27D1" w:rsidRPr="00163277" w:rsidRDefault="006F27D1" w:rsidP="008C1767">
      <w:pPr>
        <w:widowControl/>
        <w:numPr>
          <w:ilvl w:val="0"/>
          <w:numId w:val="176"/>
        </w:numPr>
        <w:autoSpaceDE/>
        <w:autoSpaceDN/>
        <w:adjustRightInd/>
        <w:ind w:left="0" w:firstLine="709"/>
        <w:contextualSpacing/>
        <w:rPr>
          <w:rFonts w:eastAsia="Calibri"/>
          <w:szCs w:val="24"/>
        </w:rPr>
      </w:pPr>
      <w:r w:rsidRPr="00163277">
        <w:rPr>
          <w:rFonts w:eastAsia="Calibri"/>
          <w:szCs w:val="24"/>
        </w:rPr>
        <w:t>При активном кровотечении трансфузии эритроцитов показаны при уровне гемоглобина менее 70-90 г/л;</w:t>
      </w:r>
    </w:p>
    <w:p w14:paraId="55037938" w14:textId="44A861EC" w:rsidR="006F27D1" w:rsidRPr="00163277" w:rsidRDefault="006F27D1" w:rsidP="008C1767">
      <w:pPr>
        <w:widowControl/>
        <w:numPr>
          <w:ilvl w:val="0"/>
          <w:numId w:val="176"/>
        </w:numPr>
        <w:autoSpaceDE/>
        <w:autoSpaceDN/>
        <w:adjustRightInd/>
        <w:ind w:left="0" w:firstLine="709"/>
        <w:contextualSpacing/>
        <w:rPr>
          <w:rFonts w:eastAsia="Calibri"/>
          <w:szCs w:val="24"/>
        </w:rPr>
      </w:pPr>
      <w:r w:rsidRPr="00163277">
        <w:rPr>
          <w:rFonts w:eastAsia="Calibri"/>
          <w:szCs w:val="24"/>
        </w:rPr>
        <w:t xml:space="preserve">Пациентам с тяжелыми инфекционными осложнениями (сепсис, пневмония), кардиопатиями (ИБС, миокардит), субарахноидальным </w:t>
      </w:r>
      <w:r w:rsidR="00E332F3" w:rsidRPr="00163277">
        <w:rPr>
          <w:rFonts w:eastAsia="Calibri"/>
          <w:szCs w:val="24"/>
        </w:rPr>
        <w:t>кровоизлиянием, больным</w:t>
      </w:r>
      <w:r w:rsidRPr="00163277">
        <w:rPr>
          <w:rFonts w:eastAsia="Calibri"/>
          <w:szCs w:val="24"/>
        </w:rPr>
        <w:t xml:space="preserve"> старше 60 лет трансфузии эритроцитов рекомендованы при уровне гемоглобина менее 100 г/л;</w:t>
      </w:r>
    </w:p>
    <w:p w14:paraId="014E2E04" w14:textId="77777777" w:rsidR="006F27D1" w:rsidRPr="00163277" w:rsidRDefault="006F27D1" w:rsidP="008C1767">
      <w:pPr>
        <w:widowControl/>
        <w:numPr>
          <w:ilvl w:val="0"/>
          <w:numId w:val="176"/>
        </w:numPr>
        <w:autoSpaceDE/>
        <w:autoSpaceDN/>
        <w:adjustRightInd/>
        <w:ind w:left="0" w:firstLine="709"/>
        <w:contextualSpacing/>
        <w:rPr>
          <w:rFonts w:eastAsia="Calibri"/>
          <w:szCs w:val="24"/>
        </w:rPr>
      </w:pPr>
      <w:r w:rsidRPr="00163277">
        <w:rPr>
          <w:rFonts w:eastAsia="Calibri"/>
          <w:szCs w:val="24"/>
        </w:rPr>
        <w:t>Пациентам с хронической анемией трансфузии эритроцитов рекомендованы при уровне гемоглобина менее 60 г/л</w:t>
      </w:r>
    </w:p>
    <w:p w14:paraId="2F480CAC" w14:textId="77777777" w:rsidR="006F27D1" w:rsidRPr="00163277" w:rsidRDefault="006F27D1" w:rsidP="006F27D1">
      <w:pPr>
        <w:ind w:firstLine="709"/>
        <w:rPr>
          <w:rFonts w:eastAsia="Calibri"/>
          <w:szCs w:val="24"/>
        </w:rPr>
      </w:pPr>
      <w:r w:rsidRPr="00163277">
        <w:rPr>
          <w:rFonts w:eastAsia="Calibri"/>
          <w:szCs w:val="24"/>
        </w:rPr>
        <w:t>Показания к переливанию концентратата тромбоцитов при ауто-ТГСК:</w:t>
      </w:r>
    </w:p>
    <w:p w14:paraId="7A1AE552" w14:textId="77777777" w:rsidR="006F27D1" w:rsidRPr="00A64221" w:rsidRDefault="006F27D1" w:rsidP="008C1767">
      <w:pPr>
        <w:widowControl/>
        <w:numPr>
          <w:ilvl w:val="0"/>
          <w:numId w:val="177"/>
        </w:numPr>
        <w:autoSpaceDE/>
        <w:autoSpaceDN/>
        <w:adjustRightInd/>
        <w:ind w:left="0" w:firstLine="709"/>
        <w:contextualSpacing/>
        <w:rPr>
          <w:rFonts w:eastAsia="Calibri"/>
          <w:szCs w:val="24"/>
        </w:rPr>
      </w:pPr>
      <w:r w:rsidRPr="00A64221">
        <w:rPr>
          <w:rFonts w:eastAsia="Calibri"/>
          <w:szCs w:val="24"/>
        </w:rPr>
        <w:t>Снижение тромбоцитов крови менее 20 ×10</w:t>
      </w:r>
      <w:r w:rsidRPr="00A64221">
        <w:rPr>
          <w:rFonts w:eastAsia="Calibri"/>
          <w:szCs w:val="24"/>
          <w:vertAlign w:val="superscript"/>
        </w:rPr>
        <w:t>9</w:t>
      </w:r>
      <w:r w:rsidRPr="00A64221">
        <w:rPr>
          <w:rFonts w:eastAsia="Calibri"/>
          <w:szCs w:val="24"/>
        </w:rPr>
        <w:t>/л</w:t>
      </w:r>
    </w:p>
    <w:p w14:paraId="74DC6107" w14:textId="77777777" w:rsidR="006F27D1" w:rsidRPr="00163277" w:rsidRDefault="006F27D1" w:rsidP="008C1767">
      <w:pPr>
        <w:widowControl/>
        <w:numPr>
          <w:ilvl w:val="0"/>
          <w:numId w:val="177"/>
        </w:numPr>
        <w:autoSpaceDE/>
        <w:autoSpaceDN/>
        <w:adjustRightInd/>
        <w:ind w:left="0" w:firstLine="709"/>
        <w:contextualSpacing/>
        <w:rPr>
          <w:rFonts w:eastAsia="Calibri"/>
          <w:szCs w:val="24"/>
        </w:rPr>
      </w:pPr>
      <w:r w:rsidRPr="00163277">
        <w:rPr>
          <w:rFonts w:eastAsia="Calibri"/>
          <w:szCs w:val="24"/>
        </w:rPr>
        <w:t>При необходимости выполнения диагностической люмбальной пункции, малоинвазивного вмешательства (эзофагогастродуоденоскопия, бронхоскопия) трансфузия тромбоконцентрата показана при снижении тромбоцитов крови менее 50 ×10</w:t>
      </w:r>
      <w:r w:rsidRPr="00163277">
        <w:rPr>
          <w:rFonts w:eastAsia="Calibri"/>
          <w:szCs w:val="24"/>
          <w:vertAlign w:val="superscript"/>
        </w:rPr>
        <w:t>9</w:t>
      </w:r>
      <w:r w:rsidRPr="00163277">
        <w:rPr>
          <w:rFonts w:eastAsia="Calibri"/>
          <w:szCs w:val="24"/>
        </w:rPr>
        <w:t>/л</w:t>
      </w:r>
    </w:p>
    <w:p w14:paraId="458330DE" w14:textId="77777777" w:rsidR="006F27D1" w:rsidRPr="00163277" w:rsidRDefault="006F27D1" w:rsidP="008C1767">
      <w:pPr>
        <w:widowControl/>
        <w:numPr>
          <w:ilvl w:val="0"/>
          <w:numId w:val="177"/>
        </w:numPr>
        <w:autoSpaceDE/>
        <w:autoSpaceDN/>
        <w:adjustRightInd/>
        <w:ind w:left="0" w:firstLine="709"/>
        <w:contextualSpacing/>
        <w:rPr>
          <w:rFonts w:eastAsia="Calibri"/>
          <w:szCs w:val="24"/>
        </w:rPr>
      </w:pPr>
      <w:r w:rsidRPr="00163277">
        <w:rPr>
          <w:rFonts w:eastAsia="Calibri"/>
          <w:szCs w:val="24"/>
        </w:rPr>
        <w:t>Наличие геморрагического синдрома – прямое показание к переливанию тромбоконцентрата независимо от лабораторных показателей;</w:t>
      </w:r>
    </w:p>
    <w:p w14:paraId="54F6A112" w14:textId="77777777" w:rsidR="006F27D1" w:rsidRPr="00163277" w:rsidRDefault="006F27D1" w:rsidP="006F27D1">
      <w:pPr>
        <w:ind w:firstLine="709"/>
        <w:rPr>
          <w:rFonts w:eastAsia="Calibri"/>
          <w:szCs w:val="24"/>
        </w:rPr>
      </w:pPr>
      <w:r w:rsidRPr="00163277">
        <w:rPr>
          <w:rFonts w:eastAsia="Calibri"/>
          <w:szCs w:val="24"/>
        </w:rPr>
        <w:t xml:space="preserve">СЗП является универсальным препаратом для восполнения дефицита факторов свертывания. Показания к применению СЗП при ауто-ТГСК: </w:t>
      </w:r>
    </w:p>
    <w:p w14:paraId="148E0303" w14:textId="77777777" w:rsidR="006F27D1" w:rsidRPr="00163277" w:rsidRDefault="006F27D1" w:rsidP="008C1767">
      <w:pPr>
        <w:widowControl/>
        <w:numPr>
          <w:ilvl w:val="0"/>
          <w:numId w:val="178"/>
        </w:numPr>
        <w:autoSpaceDE/>
        <w:autoSpaceDN/>
        <w:adjustRightInd/>
        <w:ind w:left="0" w:firstLine="709"/>
        <w:contextualSpacing/>
        <w:rPr>
          <w:rFonts w:eastAsia="Calibri"/>
        </w:rPr>
      </w:pPr>
      <w:r w:rsidRPr="00163277">
        <w:rPr>
          <w:rFonts w:eastAsia="Calibri"/>
        </w:rPr>
        <w:t>Коррекция дефицита известного фактора свертывания, при отсутствии специфического концентрата фактора. Требуется переливание СЗП из расчета 10-15 мл/кг.</w:t>
      </w:r>
    </w:p>
    <w:p w14:paraId="27164AE8" w14:textId="77777777" w:rsidR="006F27D1" w:rsidRPr="00163277" w:rsidRDefault="006F27D1" w:rsidP="008C1767">
      <w:pPr>
        <w:widowControl/>
        <w:numPr>
          <w:ilvl w:val="0"/>
          <w:numId w:val="178"/>
        </w:numPr>
        <w:autoSpaceDE/>
        <w:autoSpaceDN/>
        <w:adjustRightInd/>
        <w:ind w:left="0" w:firstLine="709"/>
        <w:contextualSpacing/>
        <w:rPr>
          <w:rFonts w:eastAsia="Calibri"/>
        </w:rPr>
      </w:pPr>
      <w:r w:rsidRPr="00163277">
        <w:rPr>
          <w:rFonts w:eastAsia="Calibri"/>
        </w:rPr>
        <w:t>Коррекция геморрагического синдрома</w:t>
      </w:r>
    </w:p>
    <w:p w14:paraId="1D445E54" w14:textId="77777777" w:rsidR="006F27D1" w:rsidRDefault="006F27D1" w:rsidP="006F27D1">
      <w:pPr>
        <w:ind w:firstLine="709"/>
        <w:rPr>
          <w:rFonts w:eastAsia="Calibri"/>
        </w:rPr>
      </w:pPr>
      <w:r w:rsidRPr="00163277">
        <w:rPr>
          <w:rFonts w:eastAsia="Calibri"/>
          <w:szCs w:val="24"/>
        </w:rPr>
        <w:t>Основным показанием к применению криопреципитата при ауто-ТГСК является г</w:t>
      </w:r>
      <w:r w:rsidRPr="00163277">
        <w:rPr>
          <w:rFonts w:eastAsia="Calibri"/>
        </w:rPr>
        <w:t>ипофибриногенемия (фибриноген менее 1 г/л).</w:t>
      </w:r>
      <w:r>
        <w:rPr>
          <w:rFonts w:eastAsia="Calibri"/>
        </w:rPr>
        <w:t xml:space="preserve"> </w:t>
      </w:r>
    </w:p>
    <w:p w14:paraId="62E39142" w14:textId="77777777" w:rsidR="006F27D1" w:rsidRPr="00163277" w:rsidRDefault="006F27D1" w:rsidP="006F27D1">
      <w:pPr>
        <w:ind w:firstLine="709"/>
        <w:rPr>
          <w:rFonts w:eastAsia="Calibri"/>
        </w:rPr>
      </w:pPr>
      <w:r w:rsidRPr="00163277">
        <w:rPr>
          <w:rFonts w:eastAsia="Calibri"/>
        </w:rPr>
        <w:t>Принимая во внимание, что пациенты с онкогематологическими заболеваниями нуждаются в многократных трансфузиях компонентов крови, с целью профилактики нежелательных реакций и посттрансфузионных осложнений рекомендовано использование компонентов крови со следующими характеристиками:</w:t>
      </w:r>
    </w:p>
    <w:p w14:paraId="4F487B86" w14:textId="77777777" w:rsidR="006F27D1" w:rsidRPr="00163277" w:rsidRDefault="006F27D1" w:rsidP="008C1767">
      <w:pPr>
        <w:widowControl/>
        <w:numPr>
          <w:ilvl w:val="0"/>
          <w:numId w:val="179"/>
        </w:numPr>
        <w:autoSpaceDE/>
        <w:autoSpaceDN/>
        <w:adjustRightInd/>
        <w:ind w:left="0" w:firstLine="709"/>
        <w:contextualSpacing/>
        <w:rPr>
          <w:rFonts w:eastAsia="Calibri"/>
        </w:rPr>
      </w:pPr>
      <w:r w:rsidRPr="00163277">
        <w:rPr>
          <w:rFonts w:eastAsia="Calibri"/>
        </w:rPr>
        <w:t>Лейкоредуциорванные среды;</w:t>
      </w:r>
    </w:p>
    <w:p w14:paraId="2AB7A8C2" w14:textId="77777777" w:rsidR="006F27D1" w:rsidRPr="00163277" w:rsidRDefault="006F27D1" w:rsidP="008C1767">
      <w:pPr>
        <w:widowControl/>
        <w:numPr>
          <w:ilvl w:val="0"/>
          <w:numId w:val="179"/>
        </w:numPr>
        <w:autoSpaceDE/>
        <w:autoSpaceDN/>
        <w:adjustRightInd/>
        <w:ind w:left="0" w:firstLine="709"/>
        <w:contextualSpacing/>
        <w:rPr>
          <w:rFonts w:eastAsia="Calibri"/>
        </w:rPr>
      </w:pPr>
      <w:r w:rsidRPr="00163277">
        <w:rPr>
          <w:rFonts w:eastAsia="Calibri"/>
        </w:rPr>
        <w:lastRenderedPageBreak/>
        <w:t>Облученные эритроциты и тромбоциты (гамма-излучение или рентгеновское излучение в дозе 25-50 Гр)</w:t>
      </w:r>
    </w:p>
    <w:p w14:paraId="62D1F596" w14:textId="77777777" w:rsidR="006F27D1" w:rsidRDefault="006F27D1" w:rsidP="008C1767">
      <w:pPr>
        <w:widowControl/>
        <w:numPr>
          <w:ilvl w:val="0"/>
          <w:numId w:val="179"/>
        </w:numPr>
        <w:autoSpaceDE/>
        <w:autoSpaceDN/>
        <w:adjustRightInd/>
        <w:ind w:left="0" w:firstLine="709"/>
        <w:contextualSpacing/>
        <w:rPr>
          <w:rFonts w:eastAsia="Calibri"/>
        </w:rPr>
      </w:pPr>
      <w:r w:rsidRPr="00163277">
        <w:rPr>
          <w:rFonts w:eastAsia="Calibri"/>
        </w:rPr>
        <w:t>Проведение инактивации патогенов в концентрате тромбоцитов.</w:t>
      </w:r>
    </w:p>
    <w:p w14:paraId="2BC776E7" w14:textId="77777777" w:rsidR="006F27D1" w:rsidRDefault="006F27D1" w:rsidP="006F27D1">
      <w:pPr>
        <w:rPr>
          <w:b/>
          <w:szCs w:val="24"/>
          <w:highlight w:val="green"/>
        </w:rPr>
      </w:pPr>
    </w:p>
    <w:p w14:paraId="1E29359D" w14:textId="77777777" w:rsidR="006F27D1" w:rsidRPr="006E6081" w:rsidRDefault="006F27D1" w:rsidP="006F27D1">
      <w:pPr>
        <w:rPr>
          <w:b/>
          <w:szCs w:val="24"/>
        </w:rPr>
      </w:pPr>
      <w:r w:rsidRPr="006E6081">
        <w:rPr>
          <w:b/>
          <w:szCs w:val="24"/>
        </w:rPr>
        <w:t xml:space="preserve"> Лабораторный и инструментальный мониторинг в раннем посттрансплантационном периоде</w:t>
      </w:r>
    </w:p>
    <w:p w14:paraId="2DFA9CA1" w14:textId="77777777" w:rsidR="006F27D1" w:rsidRDefault="006F27D1" w:rsidP="006F27D1">
      <w:pPr>
        <w:ind w:firstLine="709"/>
        <w:contextualSpacing/>
        <w:rPr>
          <w:rFonts w:eastAsia="Calibri"/>
        </w:rPr>
      </w:pPr>
      <w:r>
        <w:rPr>
          <w:rFonts w:eastAsia="Calibri"/>
        </w:rPr>
        <w:t xml:space="preserve">Всем пациентам в раннем посттрансплантационном периоде проводится регулярное исследование общего анализа крови (с целью коррекции анемии и тромбоцитопении), биохимических параметров (с целью коррекции электролитов, гипоальбуминемии), показателей коагулограммы с целью контроля гемостаза, общий анализ мочи, электрокардиограмма и др. методы исследования при необходимости, включая КТ легких, МРТ головного мозга, ХОЛТЕР-ЭКГ. </w:t>
      </w:r>
    </w:p>
    <w:p w14:paraId="0257A91B" w14:textId="77777777" w:rsidR="006F27D1" w:rsidRPr="009D3DD0" w:rsidRDefault="006F27D1" w:rsidP="006F27D1">
      <w:pPr>
        <w:ind w:firstLine="709"/>
        <w:contextualSpacing/>
        <w:rPr>
          <w:rFonts w:eastAsia="Calibri"/>
        </w:rPr>
      </w:pPr>
      <w:r>
        <w:rPr>
          <w:rFonts w:eastAsia="Calibri"/>
        </w:rPr>
        <w:t xml:space="preserve">Частота </w:t>
      </w:r>
      <w:r w:rsidRPr="009D3DD0">
        <w:rPr>
          <w:rFonts w:eastAsia="Calibri"/>
        </w:rPr>
        <w:t>исследования данных показателей может изменяться в зависимости от конкретной клинической ситуации.</w:t>
      </w:r>
    </w:p>
    <w:p w14:paraId="77FF1166" w14:textId="77777777" w:rsidR="006F27D1" w:rsidRPr="009D3DD0" w:rsidRDefault="006F27D1" w:rsidP="006F27D1">
      <w:pPr>
        <w:ind w:left="709" w:hanging="709"/>
        <w:contextualSpacing/>
        <w:rPr>
          <w:rFonts w:eastAsia="Calibri"/>
        </w:rPr>
      </w:pPr>
      <w:r w:rsidRPr="009D3DD0">
        <w:rPr>
          <w:rFonts w:eastAsia="Calibri"/>
        </w:rPr>
        <w:t xml:space="preserve">• </w:t>
      </w:r>
      <w:r>
        <w:rPr>
          <w:rFonts w:eastAsia="Calibri"/>
        </w:rPr>
        <w:t>Общий анализ крови</w:t>
      </w:r>
      <w:r w:rsidRPr="009D3DD0">
        <w:rPr>
          <w:rFonts w:eastAsia="Calibri"/>
        </w:rPr>
        <w:t xml:space="preserve"> 1 раз в </w:t>
      </w:r>
      <w:r>
        <w:rPr>
          <w:rFonts w:eastAsia="Calibri"/>
        </w:rPr>
        <w:t>2</w:t>
      </w:r>
      <w:r w:rsidRPr="009D3DD0">
        <w:rPr>
          <w:rFonts w:eastAsia="Calibri"/>
        </w:rPr>
        <w:t>–</w:t>
      </w:r>
      <w:r>
        <w:rPr>
          <w:rFonts w:eastAsia="Calibri"/>
        </w:rPr>
        <w:t>3</w:t>
      </w:r>
      <w:r w:rsidRPr="009D3DD0">
        <w:rPr>
          <w:rFonts w:eastAsia="Calibri"/>
        </w:rPr>
        <w:t xml:space="preserve"> дн</w:t>
      </w:r>
      <w:r>
        <w:rPr>
          <w:rFonts w:eastAsia="Calibri"/>
        </w:rPr>
        <w:t>я</w:t>
      </w:r>
      <w:r w:rsidRPr="009D3DD0">
        <w:rPr>
          <w:rFonts w:eastAsia="Calibri"/>
        </w:rPr>
        <w:t>.</w:t>
      </w:r>
    </w:p>
    <w:p w14:paraId="0F4B76CA" w14:textId="77777777" w:rsidR="006F27D1" w:rsidRPr="009D3DD0" w:rsidRDefault="006F27D1" w:rsidP="006F27D1">
      <w:pPr>
        <w:ind w:left="709" w:hanging="709"/>
        <w:contextualSpacing/>
        <w:rPr>
          <w:rFonts w:eastAsia="Calibri"/>
        </w:rPr>
      </w:pPr>
      <w:r w:rsidRPr="009D3DD0">
        <w:rPr>
          <w:rFonts w:eastAsia="Calibri"/>
        </w:rPr>
        <w:t xml:space="preserve">• </w:t>
      </w:r>
      <w:r>
        <w:rPr>
          <w:rFonts w:eastAsia="Calibri"/>
        </w:rPr>
        <w:t xml:space="preserve">Биохимический анализ крови </w:t>
      </w:r>
      <w:r w:rsidRPr="009D3DD0">
        <w:rPr>
          <w:rFonts w:eastAsia="Calibri"/>
        </w:rPr>
        <w:t xml:space="preserve">1 раз в </w:t>
      </w:r>
      <w:r>
        <w:rPr>
          <w:rFonts w:eastAsia="Calibri"/>
        </w:rPr>
        <w:t>2</w:t>
      </w:r>
      <w:r w:rsidRPr="009D3DD0">
        <w:rPr>
          <w:rFonts w:eastAsia="Calibri"/>
        </w:rPr>
        <w:t>–</w:t>
      </w:r>
      <w:r>
        <w:rPr>
          <w:rFonts w:eastAsia="Calibri"/>
        </w:rPr>
        <w:t>3</w:t>
      </w:r>
      <w:r w:rsidRPr="009D3DD0">
        <w:rPr>
          <w:rFonts w:eastAsia="Calibri"/>
        </w:rPr>
        <w:t xml:space="preserve"> дн</w:t>
      </w:r>
      <w:r>
        <w:rPr>
          <w:rFonts w:eastAsia="Calibri"/>
        </w:rPr>
        <w:t>я</w:t>
      </w:r>
      <w:r w:rsidRPr="009D3DD0">
        <w:rPr>
          <w:rFonts w:eastAsia="Calibri"/>
        </w:rPr>
        <w:t>.</w:t>
      </w:r>
    </w:p>
    <w:p w14:paraId="5D18C9D2" w14:textId="77777777" w:rsidR="006F27D1" w:rsidRPr="009D3DD0" w:rsidRDefault="006F27D1" w:rsidP="006F27D1">
      <w:pPr>
        <w:ind w:left="709" w:hanging="709"/>
        <w:contextualSpacing/>
        <w:rPr>
          <w:rFonts w:eastAsia="Calibri"/>
        </w:rPr>
      </w:pPr>
      <w:r w:rsidRPr="009D3DD0">
        <w:rPr>
          <w:rFonts w:eastAsia="Calibri"/>
        </w:rPr>
        <w:t xml:space="preserve">• </w:t>
      </w:r>
      <w:r>
        <w:rPr>
          <w:rFonts w:eastAsia="Calibri"/>
        </w:rPr>
        <w:t xml:space="preserve">Коагулограмма </w:t>
      </w:r>
      <w:r w:rsidRPr="009D3DD0">
        <w:rPr>
          <w:rFonts w:eastAsia="Calibri"/>
        </w:rPr>
        <w:t xml:space="preserve">1 раз в </w:t>
      </w:r>
      <w:r>
        <w:rPr>
          <w:rFonts w:eastAsia="Calibri"/>
        </w:rPr>
        <w:t>3</w:t>
      </w:r>
      <w:r w:rsidRPr="009D3DD0">
        <w:rPr>
          <w:rFonts w:eastAsia="Calibri"/>
        </w:rPr>
        <w:t>–</w:t>
      </w:r>
      <w:r>
        <w:rPr>
          <w:rFonts w:eastAsia="Calibri"/>
        </w:rPr>
        <w:t>4</w:t>
      </w:r>
      <w:r w:rsidRPr="009D3DD0">
        <w:rPr>
          <w:rFonts w:eastAsia="Calibri"/>
        </w:rPr>
        <w:t xml:space="preserve"> дн</w:t>
      </w:r>
      <w:r>
        <w:rPr>
          <w:rFonts w:eastAsia="Calibri"/>
        </w:rPr>
        <w:t>я</w:t>
      </w:r>
      <w:r w:rsidRPr="009D3DD0">
        <w:rPr>
          <w:rFonts w:eastAsia="Calibri"/>
        </w:rPr>
        <w:t>.</w:t>
      </w:r>
    </w:p>
    <w:p w14:paraId="1B035E19" w14:textId="77777777" w:rsidR="006F27D1" w:rsidRDefault="006F27D1" w:rsidP="006F27D1">
      <w:pPr>
        <w:ind w:left="709" w:hanging="709"/>
        <w:contextualSpacing/>
        <w:rPr>
          <w:rFonts w:eastAsia="Calibri"/>
        </w:rPr>
      </w:pPr>
      <w:r w:rsidRPr="009D3DD0">
        <w:rPr>
          <w:rFonts w:eastAsia="Calibri"/>
        </w:rPr>
        <w:t xml:space="preserve">• </w:t>
      </w:r>
      <w:r>
        <w:rPr>
          <w:rFonts w:eastAsia="Calibri"/>
        </w:rPr>
        <w:t>Глюкоза крови</w:t>
      </w:r>
      <w:r w:rsidRPr="009D3DD0">
        <w:rPr>
          <w:rFonts w:eastAsia="Calibri"/>
        </w:rPr>
        <w:t xml:space="preserve"> 1 раз в </w:t>
      </w:r>
      <w:r>
        <w:rPr>
          <w:rFonts w:eastAsia="Calibri"/>
        </w:rPr>
        <w:t>3</w:t>
      </w:r>
      <w:r w:rsidRPr="009D3DD0">
        <w:rPr>
          <w:rFonts w:eastAsia="Calibri"/>
        </w:rPr>
        <w:t>–</w:t>
      </w:r>
      <w:r>
        <w:rPr>
          <w:rFonts w:eastAsia="Calibri"/>
        </w:rPr>
        <w:t>4</w:t>
      </w:r>
      <w:r w:rsidRPr="009D3DD0">
        <w:rPr>
          <w:rFonts w:eastAsia="Calibri"/>
        </w:rPr>
        <w:t xml:space="preserve"> дн</w:t>
      </w:r>
      <w:r>
        <w:rPr>
          <w:rFonts w:eastAsia="Calibri"/>
        </w:rPr>
        <w:t>я</w:t>
      </w:r>
      <w:r w:rsidRPr="009D3DD0">
        <w:rPr>
          <w:rFonts w:eastAsia="Calibri"/>
        </w:rPr>
        <w:t>.</w:t>
      </w:r>
    </w:p>
    <w:p w14:paraId="6B3DB2A1" w14:textId="77777777" w:rsidR="006F27D1" w:rsidRDefault="006F27D1" w:rsidP="006F27D1">
      <w:pPr>
        <w:ind w:left="709" w:hanging="709"/>
        <w:contextualSpacing/>
        <w:rPr>
          <w:rFonts w:eastAsia="Calibri"/>
        </w:rPr>
      </w:pPr>
      <w:r w:rsidRPr="009D3DD0">
        <w:rPr>
          <w:rFonts w:eastAsia="Calibri"/>
        </w:rPr>
        <w:t xml:space="preserve">• </w:t>
      </w:r>
      <w:r>
        <w:rPr>
          <w:rFonts w:eastAsia="Calibri"/>
        </w:rPr>
        <w:t>Общий анализ мочи - еженедельно.</w:t>
      </w:r>
    </w:p>
    <w:p w14:paraId="38FACA9E" w14:textId="77777777" w:rsidR="006F27D1" w:rsidRDefault="006F27D1" w:rsidP="006F27D1">
      <w:pPr>
        <w:ind w:left="709" w:hanging="709"/>
        <w:contextualSpacing/>
        <w:rPr>
          <w:rFonts w:eastAsia="Calibri"/>
        </w:rPr>
      </w:pPr>
      <w:r w:rsidRPr="009D3DD0">
        <w:rPr>
          <w:rFonts w:eastAsia="Calibri"/>
        </w:rPr>
        <w:t xml:space="preserve">• </w:t>
      </w:r>
      <w:r>
        <w:rPr>
          <w:rFonts w:eastAsia="Calibri"/>
        </w:rPr>
        <w:t>Электрокардиограмма</w:t>
      </w:r>
      <w:r w:rsidRPr="009D3DD0">
        <w:rPr>
          <w:rFonts w:eastAsia="Calibri"/>
        </w:rPr>
        <w:t xml:space="preserve"> </w:t>
      </w:r>
      <w:r>
        <w:rPr>
          <w:rFonts w:eastAsia="Calibri"/>
        </w:rPr>
        <w:t>- еженедельно</w:t>
      </w:r>
      <w:r w:rsidRPr="009D3DD0">
        <w:rPr>
          <w:rFonts w:eastAsia="Calibri"/>
        </w:rPr>
        <w:t>.</w:t>
      </w:r>
    </w:p>
    <w:p w14:paraId="083BDA41" w14:textId="77777777" w:rsidR="006F27D1" w:rsidRDefault="006F27D1" w:rsidP="006F27D1">
      <w:pPr>
        <w:rPr>
          <w:b/>
          <w:szCs w:val="24"/>
          <w:highlight w:val="green"/>
        </w:rPr>
      </w:pPr>
    </w:p>
    <w:p w14:paraId="7B30B4B2" w14:textId="77777777" w:rsidR="006F27D1" w:rsidRPr="006E6081" w:rsidRDefault="006F27D1" w:rsidP="006F27D1">
      <w:pPr>
        <w:rPr>
          <w:b/>
          <w:szCs w:val="24"/>
        </w:rPr>
      </w:pPr>
      <w:r w:rsidRPr="006E6081">
        <w:rPr>
          <w:b/>
          <w:szCs w:val="24"/>
        </w:rPr>
        <w:t>Нутритивная терапия</w:t>
      </w:r>
    </w:p>
    <w:p w14:paraId="1690FCA3" w14:textId="77777777" w:rsidR="006F27D1" w:rsidRDefault="006F27D1" w:rsidP="006F27D1">
      <w:pPr>
        <w:ind w:firstLine="851"/>
        <w:rPr>
          <w:szCs w:val="24"/>
        </w:rPr>
      </w:pPr>
      <w:r>
        <w:rPr>
          <w:szCs w:val="24"/>
        </w:rPr>
        <w:t>Высокодозная химиотерапия с последующей ауто-ТГСК</w:t>
      </w:r>
      <w:r w:rsidRPr="00896142">
        <w:rPr>
          <w:szCs w:val="24"/>
        </w:rPr>
        <w:t xml:space="preserve">, длительный период гранулоцитопении, инфекционные осложнения, продолжительный период нахождения в стационаре – </w:t>
      </w:r>
      <w:r>
        <w:rPr>
          <w:szCs w:val="24"/>
        </w:rPr>
        <w:t>основные причины</w:t>
      </w:r>
      <w:r w:rsidRPr="00896142">
        <w:rPr>
          <w:szCs w:val="24"/>
        </w:rPr>
        <w:t>, приводящи</w:t>
      </w:r>
      <w:r>
        <w:rPr>
          <w:szCs w:val="24"/>
        </w:rPr>
        <w:t>е</w:t>
      </w:r>
      <w:r w:rsidRPr="00896142">
        <w:rPr>
          <w:szCs w:val="24"/>
        </w:rPr>
        <w:t xml:space="preserve"> к </w:t>
      </w:r>
      <w:r>
        <w:rPr>
          <w:szCs w:val="24"/>
        </w:rPr>
        <w:t xml:space="preserve">снижению поступления питательных веществ в организм и как следствие </w:t>
      </w:r>
      <w:r w:rsidRPr="00896142">
        <w:rPr>
          <w:szCs w:val="24"/>
        </w:rPr>
        <w:t xml:space="preserve">общей слабости, </w:t>
      </w:r>
      <w:r>
        <w:rPr>
          <w:szCs w:val="24"/>
        </w:rPr>
        <w:t>снижению</w:t>
      </w:r>
      <w:r w:rsidRPr="00896142">
        <w:rPr>
          <w:szCs w:val="24"/>
        </w:rPr>
        <w:t xml:space="preserve"> физической активности, значимому </w:t>
      </w:r>
      <w:r>
        <w:rPr>
          <w:szCs w:val="24"/>
        </w:rPr>
        <w:t>уменьшению массы тела.</w:t>
      </w:r>
    </w:p>
    <w:p w14:paraId="5338C950" w14:textId="56D70740" w:rsidR="006F27D1" w:rsidRPr="00896142" w:rsidRDefault="006F27D1" w:rsidP="006F27D1">
      <w:pPr>
        <w:ind w:firstLine="851"/>
        <w:rPr>
          <w:szCs w:val="24"/>
        </w:rPr>
      </w:pPr>
      <w:r w:rsidRPr="00896142">
        <w:rPr>
          <w:szCs w:val="24"/>
        </w:rPr>
        <w:t>Не</w:t>
      </w:r>
      <w:r>
        <w:rPr>
          <w:szCs w:val="24"/>
        </w:rPr>
        <w:t>достаточным</w:t>
      </w:r>
      <w:r w:rsidRPr="00896142">
        <w:rPr>
          <w:szCs w:val="24"/>
        </w:rPr>
        <w:t xml:space="preserve"> следует считать питание, при котором пациент не может сам обеспечить поступление более </w:t>
      </w:r>
      <w:r>
        <w:rPr>
          <w:szCs w:val="24"/>
        </w:rPr>
        <w:t xml:space="preserve">чем </w:t>
      </w:r>
      <w:r w:rsidRPr="00896142">
        <w:rPr>
          <w:szCs w:val="24"/>
        </w:rPr>
        <w:t xml:space="preserve">60% от своих энергетических потребностей в течение 1–2 недель </w:t>
      </w:r>
      <w:r>
        <w:rPr>
          <w:szCs w:val="24"/>
        </w:rPr>
        <w:fldChar w:fldCharType="begin" w:fldLock="1"/>
      </w:r>
      <w:r w:rsidR="00A67ED2">
        <w:rPr>
          <w:szCs w:val="24"/>
        </w:rPr>
        <w:instrText>ADDIN CSL_CITATION {"citationItems":[{"id":"ITEM-1","itemData":{"DOI":"10.18027/2224-5057-2017-7-3s2-524-532","author":[{"dropping-particle":"","family":"Сытов А.В., Лейдерман И.Н., Ломидзе С.В., Нехаев И.В.","given":"Хотеев А.Ж.;","non-dropping-particle":"","parse-names":false,"suffix":""}],"container-title":"RUSSCO","id":"ITEM-1","issued":{"date-parts":[["2017"]]},"page":"524-532","title":"Практические рекомендации по нутритивной поддержке онкологических больных","type":"article-journal"},"uris":["http://www.mendeley.com/documents/?uuid=d1a841f7-cf41-3658-b869-ec5c58850b6d","http://www.mendeley.com/documents/?uuid=b7d0213d-9037-458b-9137-8ba92417f389","http://www.mendeley.com/documents/?uuid=09a52a75-b0e4-4371-af21-5958257d9c6b","http://www.mendeley.com/documents/?uuid=a93dd076-f883-470f-9078-09d5bea12d18","http://www.mendeley.com/documents/?uuid=260337e2-8643-4a98-b22a-51f427e64df0","http://www.mendeley.com/documents/?uuid=d8f4044a-9d39-4071-8266-cbd0ae05b0d9","http://www.mendeley.com/documents/?uuid=a6673349-099e-4c86-922d-b6b69b73ee38"]},{"id":"ITEM-2","itemData":{"DOI":"10.1007/s12094-017-1757-4","ISSN":"16993055","PMID":"29043569","abstract":"Background: Malnutrition is a frequent medical problem of cancer patients that negatively impacts their quality of life. Methods: A multidisciplinary group of experts in Medical Oncology, Pharmacy, and Nutrition convened to discuss the management of the nutritional support in cancer patients. Results: Of the 18 questions addressed, 9 focused on nutritional support, 5 were related to parenteral nutrition (PN) and 4 about home PN (HPN). The panel of experts recommends using nutritional screening routinely, at diagnosis and throughout the disease course, for detecting the risk of malnutrition and, if it is positive, to perform a complete nutritional assessment, to diagnose malnutrition. Currently, there are different screening tools and methods that allow us to detect nutritional risk. Based on the evidence and experience, the panel stated that PN is indicated mainly when it is not possible to use the digestive tract and/or oral feeding and/or enteral nutrition is not sufficient or possible. The nutritional needs of the cancer patients, except in those cases where individualized measures are required, should be considered similar to healthy individuals (25–30 kcal/kg/day). The panel considers that the nutritional monitoring of the cancer patient should be multidisciplinary and adapted to the characteristics of each center. Additionally, the objective of the HPN is to improve or maintain the nutritional status of a patient at home. Conclusions: This document seeks to lay down a set of recommendations and to identify key issues that may be useful for the nutritional management of cancer patients.","author":[{"dropping-particle":"","family":"Virizuela","given":"J. A.","non-dropping-particle":"","parse-names":false,"suffix":""},{"dropping-particle":"","family":"Camblor-Álvarez","given":"M.","non-dropping-particle":"","parse-names":false,"suffix":""},{"dropping-particle":"","family":"Luengo-Pérez","given":"L. M.","non-dropping-particle":"","parse-names":false,"suffix":""},{"dropping-particle":"","family":"Grande","given":"E.","non-dropping-particle":"","parse-names":false,"suffix":""},{"dropping-particle":"","family":"Álvarez-Hernández","given":"J.","non-dropping-particle":"","parse-names":false,"suffix":""},{"dropping-particle":"","family":"Sendrós-Madroño","given":"M. J.","non-dropping-particle":"","parse-names":false,"suffix":""},{"dropping-particle":"","family":"Jiménez-Fonseca","given":"P.","non-dropping-particle":"","parse-names":false,"suffix":""},{"dropping-particle":"","family":"Cervera-Peris","given":"M.","non-dropping-particle":"","parse-names":false,"suffix":""},{"dropping-particle":"","family":"Ocón-Bretón","given":"M. J.","non-dropping-particle":"","parse-names":false,"suffix":""}],"container-title":"Clinical and Translational Oncology","id":"ITEM-2","issue":"5","issued":{"date-parts":[["2018","5"]]},"page":"619-629","publisher":"Springer-Verlag Italia s.r.l.","title":"Nutritional support and parenteral nutrition in cancer patients: an expert consensus report","type":"article-journal","volume":"20"},"uris":["http://www.mendeley.com/documents/?uuid=555471fe-b9e3-303f-adcc-eecf69d63698","http://www.mendeley.com/documents/?uuid=ed2f4812-c506-484a-afb7-1bb5dae57ffb","http://www.mendeley.com/documents/?uuid=ddeb6586-712b-4c69-81e8-8e7e497e2d57","http://www.mendeley.com/documents/?uuid=99911acc-feb8-4597-a8e1-899d1f00b719","http://www.mendeley.com/documents/?uuid=dc45015e-2bbd-4e0a-8302-25dcb06c3c4c","http://www.mendeley.com/documents/?uuid=4a1cad31-99e3-4cf2-93ad-17d966d60db9","http://www.mendeley.com/documents/?uuid=c83d4cd9-a0be-448a-84b5-000651ccfa6e"]}],"mendeley":{"formattedCitation":"[167,168]","plainTextFormattedCitation":"[167,168]","previouslyFormattedCitation":"[147,148]"},"properties":{"noteIndex":0},"schema":"https://github.com/citation-style-language/schema/raw/master/csl-citation.json"}</w:instrText>
      </w:r>
      <w:r>
        <w:rPr>
          <w:szCs w:val="24"/>
        </w:rPr>
        <w:fldChar w:fldCharType="separate"/>
      </w:r>
      <w:r w:rsidR="00A67ED2" w:rsidRPr="00A67ED2">
        <w:rPr>
          <w:noProof/>
          <w:szCs w:val="24"/>
        </w:rPr>
        <w:t>[167,168]</w:t>
      </w:r>
      <w:r>
        <w:rPr>
          <w:szCs w:val="24"/>
        </w:rPr>
        <w:fldChar w:fldCharType="end"/>
      </w:r>
      <w:r w:rsidRPr="00896142">
        <w:rPr>
          <w:szCs w:val="24"/>
        </w:rPr>
        <w:t>.</w:t>
      </w:r>
    </w:p>
    <w:p w14:paraId="448FE292" w14:textId="73C95F30" w:rsidR="006F27D1" w:rsidRPr="00896142" w:rsidRDefault="006F27D1" w:rsidP="006F27D1">
      <w:pPr>
        <w:ind w:firstLine="851"/>
        <w:rPr>
          <w:szCs w:val="24"/>
        </w:rPr>
      </w:pPr>
      <w:r w:rsidRPr="00896142">
        <w:rPr>
          <w:szCs w:val="24"/>
        </w:rPr>
        <w:t xml:space="preserve">По данным ESPEN </w:t>
      </w:r>
      <w:r>
        <w:rPr>
          <w:szCs w:val="24"/>
        </w:rPr>
        <w:t>от 46 до 88%</w:t>
      </w:r>
      <w:r w:rsidRPr="00896142">
        <w:rPr>
          <w:szCs w:val="24"/>
        </w:rPr>
        <w:t xml:space="preserve"> </w:t>
      </w:r>
      <w:r>
        <w:rPr>
          <w:szCs w:val="24"/>
        </w:rPr>
        <w:t xml:space="preserve">больных онкологического профиля в процессе противоопухолевого лечения требуют дополнительной нутритивной поддержке </w:t>
      </w:r>
      <w:r>
        <w:rPr>
          <w:szCs w:val="24"/>
        </w:rPr>
        <w:fldChar w:fldCharType="begin" w:fldLock="1"/>
      </w:r>
      <w:r w:rsidR="00A67ED2">
        <w:rPr>
          <w:szCs w:val="24"/>
        </w:rPr>
        <w:instrText>ADDIN CSL_CITATION {"citationItems":[{"id":"ITEM-1","itemData":{"DOI":"10.1007/s12094-017-1757-4","ISSN":"16993055","PMID":"29043569","abstract":"Background: Malnutrition is a frequent medical problem of cancer patients that negatively impacts their quality of life. Methods: A multidisciplinary group of experts in Medical Oncology, Pharmacy, and Nutrition convened to discuss the management of the nutritional support in cancer patients. Results: Of the 18 questions addressed, 9 focused on nutritional support, 5 were related to parenteral nutrition (PN) and 4 about home PN (HPN). The panel of experts recommends using nutritional screening routinely, at diagnosis and throughout the disease course, for detecting the risk of malnutrition and, if it is positive, to perform a complete nutritional assessment, to diagnose malnutrition. Currently, there are different screening tools and methods that allow us to detect nutritional risk. Based on the evidence and experience, the panel stated that PN is indicated mainly when it is not possible to use the digestive tract and/or oral feeding and/or enteral nutrition is not sufficient or possible. The nutritional needs of the cancer patients, except in those cases where individualized measures are required, should be considered similar to healthy individuals (25–30 kcal/kg/day). The panel considers that the nutritional monitoring of the cancer patient should be multidisciplinary and adapted to the characteristics of each center. Additionally, the objective of the HPN is to improve or maintain the nutritional status of a patient at home. Conclusions: This document seeks to lay down a set of recommendations and to identify key issues that may be useful for the nutritional management of cancer patients.","author":[{"dropping-particle":"","family":"Virizuela","given":"J. A.","non-dropping-particle":"","parse-names":false,"suffix":""},{"dropping-particle":"","family":"Camblor-Álvarez","given":"M.","non-dropping-particle":"","parse-names":false,"suffix":""},{"dropping-particle":"","family":"Luengo-Pérez","given":"L. M.","non-dropping-particle":"","parse-names":false,"suffix":""},{"dropping-particle":"","family":"Grande","given":"E.","non-dropping-particle":"","parse-names":false,"suffix":""},{"dropping-particle":"","family":"Álvarez-Hernández","given":"J.","non-dropping-particle":"","parse-names":false,"suffix":""},{"dropping-particle":"","family":"Sendrós-Madroño","given":"M. J.","non-dropping-particle":"","parse-names":false,"suffix":""},{"dropping-particle":"","family":"Jiménez-Fonseca","given":"P.","non-dropping-particle":"","parse-names":false,"suffix":""},{"dropping-particle":"","family":"Cervera-Peris","given":"M.","non-dropping-particle":"","parse-names":false,"suffix":""},{"dropping-particle":"","family":"Ocón-Bretón","given":"M. J.","non-dropping-particle":"","parse-names":false,"suffix":""}],"container-title":"Clinical and Translational Oncology","id":"ITEM-1","issue":"5","issued":{"date-parts":[["2018","5"]]},"page":"619-629","publisher":"Springer-Verlag Italia s.r.l.","title":"Nutritional support and parenteral nutrition in cancer patients: an expert consensus report","type":"article-journal","volume":"20"},"uris":["http://www.mendeley.com/documents/?uuid=c83d4cd9-a0be-448a-84b5-000651ccfa6e","http://www.mendeley.com/documents/?uuid=4a1cad31-99e3-4cf2-93ad-17d966d60db9","http://www.mendeley.com/documents/?uuid=dc45015e-2bbd-4e0a-8302-25dcb06c3c4c","http://www.mendeley.com/documents/?uuid=99911acc-feb8-4597-a8e1-899d1f00b719","http://www.mendeley.com/documents/?uuid=ddeb6586-712b-4c69-81e8-8e7e497e2d57","http://www.mendeley.com/documents/?uuid=ed2f4812-c506-484a-afb7-1bb5dae57ffb","http://www.mendeley.com/documents/?uuid=555471fe-b9e3-303f-adcc-eecf69d63698"]},{"id":"ITEM-2","itemData":{"author":[{"dropping-particle":"","family":"Бесова Н.С., Борисова Т.Н., Ларионова В.Б., Лейдерман И.Н., Обухова О.А., Попова Т.С., Салтанов А.И., Сельчук В.Ю., Снеговой А.В., Ткачев С.И., Тюляндин С.А.","given":"Шестопалов А.И.","non-dropping-particle":"","parse-names":false,"suffix":""}],"id":"ITEM-2","issued":{"date-parts":[["2014"]]},"title":"Клинические рекомендации по нутритивной поддержке при химиотерапии и/или лучевой терапии","type":"report"},"uris":["http://www.mendeley.com/documents/?uuid=fa470355-bcfd-3bef-a7a1-086215509c2d","http://www.mendeley.com/documents/?uuid=2da28a52-fa64-480f-9c45-312b59a7027b","http://www.mendeley.com/documents/?uuid=17acaf09-3d29-4b25-b43e-598e8835165d","http://www.mendeley.com/documents/?uuid=113bc17a-cb71-4ba2-afb9-083757d46c9b","http://www.mendeley.com/documents/?uuid=2db47854-c914-42bd-bd4d-a19b47e78e0d","http://www.mendeley.com/documents/?uuid=2475f28c-b7e0-408d-8d85-bd890e4862de","http://www.mendeley.com/documents/?uuid=59e000a3-48e0-4529-8954-5598c41cc72e"]}],"mendeley":{"formattedCitation":"[168,169]","plainTextFormattedCitation":"[168,169]","previouslyFormattedCitation":"[148,149]"},"properties":{"noteIndex":0},"schema":"https://github.com/citation-style-language/schema/raw/master/csl-citation.json"}</w:instrText>
      </w:r>
      <w:r>
        <w:rPr>
          <w:szCs w:val="24"/>
        </w:rPr>
        <w:fldChar w:fldCharType="separate"/>
      </w:r>
      <w:r w:rsidR="00A67ED2" w:rsidRPr="00A67ED2">
        <w:rPr>
          <w:noProof/>
          <w:szCs w:val="24"/>
        </w:rPr>
        <w:t>[168,169]</w:t>
      </w:r>
      <w:r>
        <w:rPr>
          <w:szCs w:val="24"/>
        </w:rPr>
        <w:fldChar w:fldCharType="end"/>
      </w:r>
      <w:r w:rsidRPr="00896142">
        <w:rPr>
          <w:szCs w:val="24"/>
        </w:rPr>
        <w:t>.</w:t>
      </w:r>
    </w:p>
    <w:p w14:paraId="5EF3D314" w14:textId="3D22DF9F" w:rsidR="006F27D1" w:rsidRPr="00896142" w:rsidRDefault="006F27D1" w:rsidP="006F27D1">
      <w:pPr>
        <w:ind w:firstLine="851"/>
        <w:rPr>
          <w:szCs w:val="24"/>
        </w:rPr>
      </w:pPr>
      <w:r w:rsidRPr="00896142">
        <w:rPr>
          <w:szCs w:val="24"/>
        </w:rPr>
        <w:t xml:space="preserve">Нутритивная поддержка – это способ обеспечения полноценного питания больных с использованием специальных средств, максимально сбалансированных в количественном и качественном соотношении. Нутритивная поддержка необходима не только для </w:t>
      </w:r>
      <w:r w:rsidRPr="00896142">
        <w:rPr>
          <w:szCs w:val="24"/>
        </w:rPr>
        <w:lastRenderedPageBreak/>
        <w:t>поддержания метаболических резервов организма, но и для повышения его устойчивости к проводимой терапии</w:t>
      </w:r>
      <w:r>
        <w:rPr>
          <w:szCs w:val="24"/>
        </w:rPr>
        <w:t xml:space="preserve"> </w:t>
      </w:r>
      <w:r>
        <w:rPr>
          <w:szCs w:val="24"/>
        </w:rPr>
        <w:fldChar w:fldCharType="begin" w:fldLock="1"/>
      </w:r>
      <w:r w:rsidR="00A67ED2">
        <w:rPr>
          <w:szCs w:val="24"/>
        </w:rPr>
        <w:instrText>ADDIN CSL_CITATION {"citationItems":[{"id":"ITEM-1","itemData":{"DOI":"10.18027/2224-5057-2017-7-3s2-524-532","author":[{"dropping-particle":"","family":"Сытов А.В., Лейдерман И.Н., Ломидзе С.В., Нехаев И.В.","given":"Хотеев А.Ж.;","non-dropping-particle":"","parse-names":false,"suffix":""}],"container-title":"RUSSCO","id":"ITEM-1","issued":{"date-parts":[["2017"]]},"page":"524-532","title":"Практические рекомендации по нутритивной поддержке онкологических больных","type":"article-journal"},"uris":["http://www.mendeley.com/documents/?uuid=a6673349-099e-4c86-922d-b6b69b73ee38","http://www.mendeley.com/documents/?uuid=d8f4044a-9d39-4071-8266-cbd0ae05b0d9","http://www.mendeley.com/documents/?uuid=260337e2-8643-4a98-b22a-51f427e64df0","http://www.mendeley.com/documents/?uuid=a93dd076-f883-470f-9078-09d5bea12d18","http://www.mendeley.com/documents/?uuid=09a52a75-b0e4-4371-af21-5958257d9c6b","http://www.mendeley.com/documents/?uuid=b7d0213d-9037-458b-9137-8ba92417f389","http://www.mendeley.com/documents/?uuid=d1a841f7-cf41-3658-b869-ec5c58850b6d"]},{"id":"ITEM-2","itemData":{"DOI":"10.1016/j.clnu.2016.07.015","ISSN":"15321983","PMID":"27637832","abstract":"Cancers are among the leading causes of morbidity and mortality worldwide, and the number of new cases is expected to rise significantly over the next decades. At the same time, all types of cancer treatment, such as surgery, radiation therapy, and pharmacological therapies are improving in sophistication, precision and in the power to target specific characteristics of individual cancers. Thus, while many cancers may still not be cured they may be converted to chronic diseases. All of these treatments, however, are impeded or precluded by the frequent development of malnutrition and metabolic derangements in cancer patients, induced by the tumor or by its treatment. These evidence-based guidelines were developed to translate current best evidence and expert opinion into recommendations for multi-disciplinary teams responsible for identification, prevention, and treatment of reversible elements of malnutrition in adult cancer patients. The guidelines were commissioned and financially supported by ESPEN and by the European Partnership for Action Against Cancer (EPAAC), an EU level initiative. Members of the guideline group were selected by ESPEN to include a range of professions and fields of expertise. We searched for meta-analyses, systematic reviews and comparative studies based on clinical questions according to the PICO format. The evidence was evaluated and merged to develop clinical recommendations using the GRADE method. Due to the deficits in the available evidence, relevant still open questions were listed and should be addressed by future studies. Malnutrition and a loss of muscle mass are frequent in cancer patients and have a negative effect on clinical outcome. They may be driven by inadequate food intake, decreased physical activity and catabolic metabolic derangements. To screen for, prevent, assess in detail, monitor and treat malnutrition standard operating procedures, responsibilities and a quality control process should be established at each institution involved in treating cancer patients. All cancer patients should be screened regularly for the risk or the presence of malnutrition. In all patients – with the exception of end of life care – energy and substrate requirements should be met by offering in a step-wise manner nutritional interventions from counseling to parenteral nutrition. However, benefits and risks of nutritional interventions have to be balanced with special consideration in patients with advanced disease. Nutrition…","author":[{"dropping-particle":"","family":"Arends","given":"Jann","non-dropping-particle":"","parse-names":false,"suffix":""},{"dropping-particle":"","family":"Bachmann","given":"Patrick","non-dropping-particle":"","parse-names":false,"suffix":""},{"dropping-particle":"","family":"Baracos","given":"Vickie","non-dropping-particle":"","parse-names":false,"suffix":""},{"dropping-particle":"","family":"Barthelemy","given":"Nicole","non-dropping-particle":"","parse-names":false,"suffix":""},{"dropping-particle":"","family":"Bertz","given":"Hartmut","non-dropping-particle":"","parse-names":false,"suffix":""},{"dropping-particle":"","family":"Bozzetti","given":"Federico","non-dropping-particle":"","parse-names":false,"suffix":""},{"dropping-particle":"","family":"Fearon","given":"Ken","non-dropping-particle":"","parse-names":false,"suffix":""},{"dropping-particle":"","family":"Hütterer","given":"Elisabeth","non-dropping-particle":"","parse-names":false,"suffix":""},{"dropping-particle":"","family":"Isenring","given":"Elizabeth","non-dropping-particle":"","parse-names":false,"suffix":""},{"dropping-particle":"","family":"Kaasa","given":"Stein","non-dropping-particle":"","parse-names":false,"suffix":""},{"dropping-particle":"","family":"Krznaric","given":"Zeljko","non-dropping-particle":"","parse-names":false,"suffix":""},{"dropping-particle":"","family":"Laird","given":"Barry","non-dropping-particle":"","parse-names":false,"suffix":""},{"dropping-particle":"","family":"Larsson","given":"Maria","non-dropping-particle":"","parse-names":false,"suffix":""},{"dropping-particle":"","family":"Laviano","given":"Alessandro","non-dropping-particle":"","parse-names":false,"suffix":""},{"dropping-particle":"","family":"Mühlebach","given":"Stefan","non-dropping-particle":"","parse-names":false,"suffix":""},{"dropping-particle":"","family":"Muscaritoli","given":"Maurizio","non-dropping-particle":"","parse-names":false,"suffix":""},{"dropping-particle":"","family":"Oldervoll","given":"Line","non-dropping-particle":"","parse-names":false,"suffix":""},{"dropping-particle":"","family":"Ravasco","given":"Paula","non-dropping-particle":"","parse-names":false,"suffix":""},{"dropping-particle":"","family":"Solheim","given":"Tora","non-dropping-particle":"","parse-names":false,"suffix":""},{"dropping-particle":"","family":"Strasser","given":"Florian","non-dropping-particle":"","parse-names":false,"suffix":""},{"dropping-particle":"","family":"van der Schueren","given":"Marian","non-dropping-particle":"de","parse-names":false,"suffix":""},{"dropping-particle":"","family":"Preiser","given":"Jean Charles","non-dropping-particle":"","parse-names":false,"suffix":""}],"container-title":"Clinical Nutrition","id":"ITEM-2","issue":"1","issued":{"date-parts":[["2017"]]},"page":"11-48","publisher":"Churchill Livingstone","title":"ESPEN guidelines on nutrition in cancer patients","type":"article-journal","volume":"36"},"uris":["http://www.mendeley.com/documents/?uuid=2586b0c4-9eb6-4463-a0ba-87fe84fbad8f"]}],"mendeley":{"formattedCitation":"[167,170]","plainTextFormattedCitation":"[167,170]","previouslyFormattedCitation":"[147,150]"},"properties":{"noteIndex":0},"schema":"https://github.com/citation-style-language/schema/raw/master/csl-citation.json"}</w:instrText>
      </w:r>
      <w:r>
        <w:rPr>
          <w:szCs w:val="24"/>
        </w:rPr>
        <w:fldChar w:fldCharType="separate"/>
      </w:r>
      <w:r w:rsidR="00A67ED2" w:rsidRPr="00A67ED2">
        <w:rPr>
          <w:noProof/>
          <w:szCs w:val="24"/>
        </w:rPr>
        <w:t>[167,170]</w:t>
      </w:r>
      <w:r>
        <w:rPr>
          <w:szCs w:val="24"/>
        </w:rPr>
        <w:fldChar w:fldCharType="end"/>
      </w:r>
      <w:r>
        <w:rPr>
          <w:szCs w:val="24"/>
        </w:rPr>
        <w:t>.</w:t>
      </w:r>
    </w:p>
    <w:p w14:paraId="4AF59083" w14:textId="77777777" w:rsidR="006F27D1" w:rsidRDefault="006F27D1" w:rsidP="006F27D1">
      <w:pPr>
        <w:rPr>
          <w:szCs w:val="24"/>
          <w:u w:val="single"/>
        </w:rPr>
      </w:pPr>
    </w:p>
    <w:p w14:paraId="49B5E128" w14:textId="26629684" w:rsidR="006F27D1" w:rsidRPr="0031526F" w:rsidRDefault="006F27D1" w:rsidP="006F27D1">
      <w:pPr>
        <w:rPr>
          <w:szCs w:val="24"/>
          <w:u w:val="single"/>
        </w:rPr>
      </w:pPr>
      <w:r w:rsidRPr="0031526F">
        <w:rPr>
          <w:szCs w:val="24"/>
          <w:u w:val="single"/>
        </w:rPr>
        <w:t>Цели нутритивной поддержки</w:t>
      </w:r>
      <w:r>
        <w:rPr>
          <w:szCs w:val="24"/>
          <w:u w:val="single"/>
          <w:lang w:val="en-US"/>
        </w:rPr>
        <w:t xml:space="preserve"> </w:t>
      </w:r>
      <w:r>
        <w:rPr>
          <w:szCs w:val="24"/>
        </w:rPr>
        <w:fldChar w:fldCharType="begin" w:fldLock="1"/>
      </w:r>
      <w:r w:rsidR="00A67ED2">
        <w:rPr>
          <w:szCs w:val="24"/>
        </w:rPr>
        <w:instrText>ADDIN CSL_CITATION {"citationItems":[{"id":"ITEM-1","itemData":{"DOI":"10.18027/2224-5057-2017-7-3s2-524-532","author":[{"dropping-particle":"","family":"Сытов А.В., Лейдерман И.Н., Ломидзе С.В., Нехаев И.В.","given":"Хотеев А.Ж.;","non-dropping-particle":"","parse-names":false,"suffix":""}],"container-title":"RUSSCO","id":"ITEM-1","issued":{"date-parts":[["2017"]]},"page":"524-532","title":"Практические рекомендации по нутритивной поддержке онкологических больных","type":"article-journal"},"uris":["http://www.mendeley.com/documents/?uuid=d1a841f7-cf41-3658-b869-ec5c58850b6d","http://www.mendeley.com/documents/?uuid=b7d0213d-9037-458b-9137-8ba92417f389","http://www.mendeley.com/documents/?uuid=09a52a75-b0e4-4371-af21-5958257d9c6b","http://www.mendeley.com/documents/?uuid=a93dd076-f883-470f-9078-09d5bea12d18","http://www.mendeley.com/documents/?uuid=260337e2-8643-4a98-b22a-51f427e64df0","http://www.mendeley.com/documents/?uuid=d8f4044a-9d39-4071-8266-cbd0ae05b0d9","http://www.mendeley.com/documents/?uuid=a6673349-099e-4c86-922d-b6b69b73ee38"]},{"id":"ITEM-2","itemData":{"DOI":"10.1007/s12094-017-1757-4","ISSN":"16993055","PMID":"29043569","abstract":"Background: Malnutrition is a frequent medical problem of cancer patients that negatively impacts their quality of life. Methods: A multidisciplinary group of experts in Medical Oncology, Pharmacy, and Nutrition convened to discuss the management of the nutritional support in cancer patients. Results: Of the 18 questions addressed, 9 focused on nutritional support, 5 were related to parenteral nutrition (PN) and 4 about home PN (HPN). The panel of experts recommends using nutritional screening routinely, at diagnosis and throughout the disease course, for detecting the risk of malnutrition and, if it is positive, to perform a complete nutritional assessment, to diagnose malnutrition. Currently, there are different screening tools and methods that allow us to detect nutritional risk. Based on the evidence and experience, the panel stated that PN is indicated mainly when it is not possible to use the digestive tract and/or oral feeding and/or enteral nutrition is not sufficient or possible. The nutritional needs of the cancer patients, except in those cases where individualized measures are required, should be considered similar to healthy individuals (25–30 kcal/kg/day). The panel considers that the nutritional monitoring of the cancer patient should be multidisciplinary and adapted to the characteristics of each center. Additionally, the objective of the HPN is to improve or maintain the nutritional status of a patient at home. Conclusions: This document seeks to lay down a set of recommendations and to identify key issues that may be useful for the nutritional management of cancer patients.","author":[{"dropping-particle":"","family":"Virizuela","given":"J. A.","non-dropping-particle":"","parse-names":false,"suffix":""},{"dropping-particle":"","family":"Camblor-Álvarez","given":"M.","non-dropping-particle":"","parse-names":false,"suffix":""},{"dropping-particle":"","family":"Luengo-Pérez","given":"L. M.","non-dropping-particle":"","parse-names":false,"suffix":""},{"dropping-particle":"","family":"Grande","given":"E.","non-dropping-particle":"","parse-names":false,"suffix":""},{"dropping-particle":"","family":"Álvarez-Hernández","given":"J.","non-dropping-particle":"","parse-names":false,"suffix":""},{"dropping-particle":"","family":"Sendrós-Madroño","given":"M. J.","non-dropping-particle":"","parse-names":false,"suffix":""},{"dropping-particle":"","family":"Jiménez-Fonseca","given":"P.","non-dropping-particle":"","parse-names":false,"suffix":""},{"dropping-particle":"","family":"Cervera-Peris","given":"M.","non-dropping-particle":"","parse-names":false,"suffix":""},{"dropping-particle":"","family":"Ocón-Bretón","given":"M. J.","non-dropping-particle":"","parse-names":false,"suffix":""}],"container-title":"Clinical and Translational Oncology","id":"ITEM-2","issue":"5","issued":{"date-parts":[["2018","5"]]},"page":"619-629","publisher":"Springer-Verlag Italia s.r.l.","title":"Nutritional support and parenteral nutrition in cancer patients: an expert consensus report","type":"article-journal","volume":"20"},"uris":["http://www.mendeley.com/documents/?uuid=555471fe-b9e3-303f-adcc-eecf69d63698","http://www.mendeley.com/documents/?uuid=ed2f4812-c506-484a-afb7-1bb5dae57ffb","http://www.mendeley.com/documents/?uuid=ddeb6586-712b-4c69-81e8-8e7e497e2d57","http://www.mendeley.com/documents/?uuid=99911acc-feb8-4597-a8e1-899d1f00b719","http://www.mendeley.com/documents/?uuid=dc45015e-2bbd-4e0a-8302-25dcb06c3c4c","http://www.mendeley.com/documents/?uuid=4a1cad31-99e3-4cf2-93ad-17d966d60db9","http://www.mendeley.com/documents/?uuid=c83d4cd9-a0be-448a-84b5-000651ccfa6e"]}],"mendeley":{"formattedCitation":"[167,168]","plainTextFormattedCitation":"[167,168]","previouslyFormattedCitation":"[147,148]"},"properties":{"noteIndex":0},"schema":"https://github.com/citation-style-language/schema/raw/master/csl-citation.json"}</w:instrText>
      </w:r>
      <w:r>
        <w:rPr>
          <w:szCs w:val="24"/>
        </w:rPr>
        <w:fldChar w:fldCharType="separate"/>
      </w:r>
      <w:r w:rsidR="00A67ED2" w:rsidRPr="00A67ED2">
        <w:rPr>
          <w:noProof/>
          <w:szCs w:val="24"/>
        </w:rPr>
        <w:t>[167,168]</w:t>
      </w:r>
      <w:r>
        <w:rPr>
          <w:szCs w:val="24"/>
        </w:rPr>
        <w:fldChar w:fldCharType="end"/>
      </w:r>
      <w:r w:rsidRPr="0031526F">
        <w:rPr>
          <w:szCs w:val="24"/>
          <w:u w:val="single"/>
        </w:rPr>
        <w:t xml:space="preserve">. </w:t>
      </w:r>
    </w:p>
    <w:p w14:paraId="618BA720" w14:textId="77777777" w:rsidR="006F27D1" w:rsidRPr="00896142" w:rsidRDefault="006F27D1" w:rsidP="006F27D1">
      <w:pPr>
        <w:ind w:firstLine="142"/>
        <w:rPr>
          <w:szCs w:val="24"/>
        </w:rPr>
      </w:pPr>
      <w:r w:rsidRPr="00896142">
        <w:rPr>
          <w:szCs w:val="24"/>
        </w:rPr>
        <w:t>• Поддержание оптимальной массы тела.</w:t>
      </w:r>
    </w:p>
    <w:p w14:paraId="45977089" w14:textId="77777777" w:rsidR="006F27D1" w:rsidRPr="00896142" w:rsidRDefault="006F27D1" w:rsidP="006F27D1">
      <w:pPr>
        <w:ind w:firstLine="142"/>
        <w:rPr>
          <w:szCs w:val="24"/>
        </w:rPr>
      </w:pPr>
      <w:r w:rsidRPr="00896142">
        <w:rPr>
          <w:szCs w:val="24"/>
        </w:rPr>
        <w:t>• Предотвращение или коррекция дефицита макро- и микронутриентов.</w:t>
      </w:r>
    </w:p>
    <w:p w14:paraId="5DC4FF8D" w14:textId="77777777" w:rsidR="006F27D1" w:rsidRPr="00896142" w:rsidRDefault="006F27D1" w:rsidP="006F27D1">
      <w:pPr>
        <w:ind w:firstLine="142"/>
        <w:rPr>
          <w:szCs w:val="24"/>
        </w:rPr>
      </w:pPr>
      <w:r w:rsidRPr="00896142">
        <w:rPr>
          <w:szCs w:val="24"/>
        </w:rPr>
        <w:t>• Повышение переносимости высокодозной ХТ.</w:t>
      </w:r>
    </w:p>
    <w:p w14:paraId="698C9E82" w14:textId="77777777" w:rsidR="006F27D1" w:rsidRPr="00896142" w:rsidRDefault="006F27D1" w:rsidP="006F27D1">
      <w:pPr>
        <w:ind w:firstLine="142"/>
        <w:rPr>
          <w:szCs w:val="24"/>
        </w:rPr>
      </w:pPr>
      <w:r w:rsidRPr="00896142">
        <w:rPr>
          <w:szCs w:val="24"/>
        </w:rPr>
        <w:t>• Снижение выраженности побочных эффектов ХТ.</w:t>
      </w:r>
    </w:p>
    <w:p w14:paraId="52A9DCB5" w14:textId="77777777" w:rsidR="006F27D1" w:rsidRPr="00896142" w:rsidRDefault="006F27D1" w:rsidP="006F27D1">
      <w:pPr>
        <w:ind w:firstLine="142"/>
        <w:rPr>
          <w:szCs w:val="24"/>
        </w:rPr>
      </w:pPr>
      <w:r w:rsidRPr="00896142">
        <w:rPr>
          <w:szCs w:val="24"/>
        </w:rPr>
        <w:t>• Повышение качества жизни.</w:t>
      </w:r>
    </w:p>
    <w:p w14:paraId="5984F2C7" w14:textId="77777777" w:rsidR="006F27D1" w:rsidRDefault="006F27D1" w:rsidP="006F27D1">
      <w:pPr>
        <w:rPr>
          <w:szCs w:val="24"/>
          <w:u w:val="single"/>
        </w:rPr>
      </w:pPr>
    </w:p>
    <w:p w14:paraId="5C62B321" w14:textId="77777777" w:rsidR="006F27D1" w:rsidRPr="0031526F" w:rsidRDefault="006F27D1" w:rsidP="006F27D1">
      <w:pPr>
        <w:rPr>
          <w:szCs w:val="24"/>
          <w:u w:val="single"/>
        </w:rPr>
      </w:pPr>
      <w:r w:rsidRPr="0031526F">
        <w:rPr>
          <w:szCs w:val="24"/>
          <w:u w:val="single"/>
        </w:rPr>
        <w:t xml:space="preserve">Показания к нутритивной поддержке </w:t>
      </w:r>
    </w:p>
    <w:p w14:paraId="517ED5F9" w14:textId="77777777" w:rsidR="006F27D1" w:rsidRPr="00896142" w:rsidRDefault="006F27D1" w:rsidP="006F27D1">
      <w:pPr>
        <w:ind w:firstLine="851"/>
        <w:rPr>
          <w:szCs w:val="24"/>
        </w:rPr>
      </w:pPr>
      <w:r w:rsidRPr="00896142">
        <w:rPr>
          <w:szCs w:val="24"/>
        </w:rPr>
        <w:t>Скрининг недостаточности питания должен проводиться на протяжении всего периода лечения. Для диагностики степени недостаточности питания предложено много критериев, основными из которых являются:</w:t>
      </w:r>
    </w:p>
    <w:p w14:paraId="09E39B42" w14:textId="77777777" w:rsidR="006F27D1" w:rsidRPr="00896142" w:rsidRDefault="006F27D1" w:rsidP="008C1767">
      <w:pPr>
        <w:pStyle w:val="afff3"/>
        <w:widowControl/>
        <w:numPr>
          <w:ilvl w:val="0"/>
          <w:numId w:val="180"/>
        </w:numPr>
        <w:autoSpaceDE/>
        <w:autoSpaceDN/>
        <w:adjustRightInd/>
        <w:ind w:left="567" w:hanging="425"/>
        <w:rPr>
          <w:szCs w:val="24"/>
        </w:rPr>
      </w:pPr>
      <w:r w:rsidRPr="00896142">
        <w:rPr>
          <w:szCs w:val="24"/>
        </w:rPr>
        <w:t>индекс массы тела &lt; 20 кг/м</w:t>
      </w:r>
      <w:r w:rsidRPr="00A751AF">
        <w:rPr>
          <w:szCs w:val="24"/>
          <w:vertAlign w:val="superscript"/>
        </w:rPr>
        <w:t>2</w:t>
      </w:r>
      <w:r w:rsidRPr="00896142">
        <w:rPr>
          <w:szCs w:val="24"/>
        </w:rPr>
        <w:t>;</w:t>
      </w:r>
    </w:p>
    <w:p w14:paraId="7BC7F8BB" w14:textId="77777777" w:rsidR="006F27D1" w:rsidRPr="00896142" w:rsidRDefault="006F27D1" w:rsidP="008C1767">
      <w:pPr>
        <w:pStyle w:val="afff3"/>
        <w:widowControl/>
        <w:numPr>
          <w:ilvl w:val="0"/>
          <w:numId w:val="180"/>
        </w:numPr>
        <w:autoSpaceDE/>
        <w:autoSpaceDN/>
        <w:adjustRightInd/>
        <w:ind w:left="567" w:hanging="425"/>
        <w:rPr>
          <w:szCs w:val="24"/>
        </w:rPr>
      </w:pPr>
      <w:r w:rsidRPr="00896142">
        <w:rPr>
          <w:szCs w:val="24"/>
        </w:rPr>
        <w:t>темп потери массы тела;</w:t>
      </w:r>
    </w:p>
    <w:p w14:paraId="419E2242" w14:textId="77777777" w:rsidR="006F27D1" w:rsidRPr="00896142" w:rsidRDefault="006F27D1" w:rsidP="008C1767">
      <w:pPr>
        <w:pStyle w:val="afff3"/>
        <w:widowControl/>
        <w:numPr>
          <w:ilvl w:val="0"/>
          <w:numId w:val="180"/>
        </w:numPr>
        <w:autoSpaceDE/>
        <w:autoSpaceDN/>
        <w:adjustRightInd/>
        <w:ind w:left="567" w:hanging="425"/>
        <w:rPr>
          <w:szCs w:val="24"/>
        </w:rPr>
      </w:pPr>
      <w:r w:rsidRPr="00896142">
        <w:rPr>
          <w:szCs w:val="24"/>
        </w:rPr>
        <w:t>гипопротеинемия &lt; 60 г/л или гипоальбуминемия &lt; 30 г/л.;</w:t>
      </w:r>
    </w:p>
    <w:p w14:paraId="6A950F6C" w14:textId="77777777" w:rsidR="006F27D1" w:rsidRPr="00896142" w:rsidRDefault="006F27D1" w:rsidP="008C1767">
      <w:pPr>
        <w:pStyle w:val="afff3"/>
        <w:widowControl/>
        <w:numPr>
          <w:ilvl w:val="0"/>
          <w:numId w:val="180"/>
        </w:numPr>
        <w:autoSpaceDE/>
        <w:autoSpaceDN/>
        <w:adjustRightInd/>
        <w:ind w:left="567" w:hanging="425"/>
        <w:rPr>
          <w:szCs w:val="24"/>
        </w:rPr>
      </w:pPr>
      <w:r w:rsidRPr="00896142">
        <w:rPr>
          <w:szCs w:val="24"/>
        </w:rPr>
        <w:t xml:space="preserve">невозможность адекватного </w:t>
      </w:r>
      <w:r>
        <w:rPr>
          <w:szCs w:val="24"/>
        </w:rPr>
        <w:t>энтерального питания</w:t>
      </w:r>
      <w:r w:rsidRPr="00896142">
        <w:rPr>
          <w:szCs w:val="24"/>
        </w:rPr>
        <w:t>;</w:t>
      </w:r>
    </w:p>
    <w:p w14:paraId="737D8D14" w14:textId="77777777" w:rsidR="006F27D1" w:rsidRPr="00896142" w:rsidRDefault="006F27D1" w:rsidP="008C1767">
      <w:pPr>
        <w:pStyle w:val="afff3"/>
        <w:widowControl/>
        <w:numPr>
          <w:ilvl w:val="0"/>
          <w:numId w:val="180"/>
        </w:numPr>
        <w:autoSpaceDE/>
        <w:autoSpaceDN/>
        <w:adjustRightInd/>
        <w:ind w:left="567" w:hanging="425"/>
        <w:rPr>
          <w:szCs w:val="24"/>
        </w:rPr>
      </w:pPr>
      <w:r w:rsidRPr="00896142">
        <w:rPr>
          <w:szCs w:val="24"/>
        </w:rPr>
        <w:t xml:space="preserve">побочные проявления высокодозной химиотерапии: </w:t>
      </w:r>
    </w:p>
    <w:p w14:paraId="329A3938" w14:textId="77777777" w:rsidR="006F27D1" w:rsidRPr="00896142" w:rsidRDefault="006F27D1" w:rsidP="008C1767">
      <w:pPr>
        <w:pStyle w:val="afff3"/>
        <w:widowControl/>
        <w:numPr>
          <w:ilvl w:val="0"/>
          <w:numId w:val="180"/>
        </w:numPr>
        <w:autoSpaceDE/>
        <w:autoSpaceDN/>
        <w:adjustRightInd/>
        <w:ind w:left="567" w:hanging="425"/>
        <w:rPr>
          <w:szCs w:val="24"/>
        </w:rPr>
      </w:pPr>
      <w:r w:rsidRPr="00896142">
        <w:rPr>
          <w:szCs w:val="24"/>
        </w:rPr>
        <w:t>тошнота,</w:t>
      </w:r>
    </w:p>
    <w:p w14:paraId="6191E40C" w14:textId="77777777" w:rsidR="006F27D1" w:rsidRPr="00896142" w:rsidRDefault="006F27D1" w:rsidP="008C1767">
      <w:pPr>
        <w:pStyle w:val="afff3"/>
        <w:widowControl/>
        <w:numPr>
          <w:ilvl w:val="0"/>
          <w:numId w:val="180"/>
        </w:numPr>
        <w:autoSpaceDE/>
        <w:autoSpaceDN/>
        <w:adjustRightInd/>
        <w:ind w:left="567" w:hanging="425"/>
        <w:rPr>
          <w:szCs w:val="24"/>
        </w:rPr>
      </w:pPr>
      <w:r w:rsidRPr="00896142">
        <w:rPr>
          <w:szCs w:val="24"/>
        </w:rPr>
        <w:t xml:space="preserve">рвота, </w:t>
      </w:r>
    </w:p>
    <w:p w14:paraId="34E67DDF" w14:textId="77777777" w:rsidR="006F27D1" w:rsidRPr="00896142" w:rsidRDefault="006F27D1" w:rsidP="008C1767">
      <w:pPr>
        <w:pStyle w:val="afff3"/>
        <w:widowControl/>
        <w:numPr>
          <w:ilvl w:val="0"/>
          <w:numId w:val="180"/>
        </w:numPr>
        <w:autoSpaceDE/>
        <w:autoSpaceDN/>
        <w:adjustRightInd/>
        <w:ind w:left="567" w:hanging="425"/>
        <w:rPr>
          <w:szCs w:val="24"/>
        </w:rPr>
      </w:pPr>
      <w:r w:rsidRPr="00896142">
        <w:rPr>
          <w:szCs w:val="24"/>
        </w:rPr>
        <w:t xml:space="preserve">потеря аппетита, </w:t>
      </w:r>
    </w:p>
    <w:p w14:paraId="0977A1DE" w14:textId="77777777" w:rsidR="006F27D1" w:rsidRPr="00896142" w:rsidRDefault="006F27D1" w:rsidP="008C1767">
      <w:pPr>
        <w:pStyle w:val="afff3"/>
        <w:widowControl/>
        <w:numPr>
          <w:ilvl w:val="0"/>
          <w:numId w:val="180"/>
        </w:numPr>
        <w:autoSpaceDE/>
        <w:autoSpaceDN/>
        <w:adjustRightInd/>
        <w:ind w:left="567" w:hanging="425"/>
        <w:rPr>
          <w:szCs w:val="24"/>
        </w:rPr>
      </w:pPr>
      <w:r w:rsidRPr="00896142">
        <w:rPr>
          <w:szCs w:val="24"/>
        </w:rPr>
        <w:t xml:space="preserve">дисфагия, </w:t>
      </w:r>
    </w:p>
    <w:p w14:paraId="4D896A8F" w14:textId="77777777" w:rsidR="006F27D1" w:rsidRPr="00896142" w:rsidRDefault="006F27D1" w:rsidP="008C1767">
      <w:pPr>
        <w:pStyle w:val="afff3"/>
        <w:widowControl/>
        <w:numPr>
          <w:ilvl w:val="0"/>
          <w:numId w:val="180"/>
        </w:numPr>
        <w:autoSpaceDE/>
        <w:autoSpaceDN/>
        <w:adjustRightInd/>
        <w:ind w:left="567" w:hanging="425"/>
        <w:rPr>
          <w:szCs w:val="24"/>
        </w:rPr>
      </w:pPr>
      <w:r w:rsidRPr="00896142">
        <w:rPr>
          <w:szCs w:val="24"/>
        </w:rPr>
        <w:t>мукозиты различной степени тяжести,</w:t>
      </w:r>
    </w:p>
    <w:p w14:paraId="2BC9D089" w14:textId="77777777" w:rsidR="006F27D1" w:rsidRPr="00896142" w:rsidRDefault="006F27D1" w:rsidP="008C1767">
      <w:pPr>
        <w:pStyle w:val="afff3"/>
        <w:widowControl/>
        <w:numPr>
          <w:ilvl w:val="0"/>
          <w:numId w:val="180"/>
        </w:numPr>
        <w:autoSpaceDE/>
        <w:autoSpaceDN/>
        <w:adjustRightInd/>
        <w:ind w:left="567" w:hanging="425"/>
        <w:rPr>
          <w:szCs w:val="24"/>
        </w:rPr>
      </w:pPr>
      <w:r w:rsidRPr="00896142">
        <w:rPr>
          <w:szCs w:val="24"/>
        </w:rPr>
        <w:t xml:space="preserve">нарушения вкуса и обоняния, </w:t>
      </w:r>
    </w:p>
    <w:p w14:paraId="7851D06A" w14:textId="77777777" w:rsidR="006F27D1" w:rsidRDefault="006F27D1" w:rsidP="008C1767">
      <w:pPr>
        <w:pStyle w:val="afff3"/>
        <w:widowControl/>
        <w:numPr>
          <w:ilvl w:val="0"/>
          <w:numId w:val="180"/>
        </w:numPr>
        <w:autoSpaceDE/>
        <w:autoSpaceDN/>
        <w:adjustRightInd/>
        <w:ind w:left="567" w:hanging="425"/>
        <w:rPr>
          <w:szCs w:val="24"/>
        </w:rPr>
      </w:pPr>
      <w:r w:rsidRPr="00896142">
        <w:rPr>
          <w:szCs w:val="24"/>
        </w:rPr>
        <w:t>некротическая энтеропатия средней и тяжелой степени.</w:t>
      </w:r>
    </w:p>
    <w:p w14:paraId="75B558A2" w14:textId="79CEFD05" w:rsidR="006F27D1" w:rsidRPr="00896142" w:rsidRDefault="006F27D1" w:rsidP="006F27D1">
      <w:pPr>
        <w:ind w:firstLine="851"/>
        <w:rPr>
          <w:szCs w:val="24"/>
        </w:rPr>
      </w:pPr>
      <w:r w:rsidRPr="00896142">
        <w:rPr>
          <w:szCs w:val="24"/>
        </w:rPr>
        <w:t xml:space="preserve">Своевременное выявление пациентов из группы нутритивного риска позволяет защитить пациента от прогрессирующей потери массы тела и развития рефрактерной кахексии. Для первичного скрининга можно использовать хорошо зарекомендовавшие себя шкалы, такие как NRS-2002, ИНР (индекс нарушения питания по Buzby G.P.), бальную шкалу А.Б.В.Г. (ESMO, 2008), индекс массы тела по Кетле и другие </w:t>
      </w:r>
      <w:r w:rsidR="00A751AF">
        <w:rPr>
          <w:szCs w:val="24"/>
        </w:rPr>
        <w:fldChar w:fldCharType="begin" w:fldLock="1"/>
      </w:r>
      <w:r w:rsidR="00A67ED2">
        <w:rPr>
          <w:szCs w:val="24"/>
        </w:rPr>
        <w:instrText>ADDIN CSL_CITATION {"citationItems":[{"id":"ITEM-1","itemData":{"DOI":"10.18027/2224-5057-2017-7-3s2-524-532","author":[{"dropping-particle":"","family":"Сытов А.В., Лейдерман И.Н., Ломидзе С.В., Нехаев И.В.","given":"Хотеев А.Ж.;","non-dropping-particle":"","parse-names":false,"suffix":""}],"container-title":"RUSSCO","id":"ITEM-1","issued":{"date-parts":[["2017"]]},"page":"524-532","title":"Практические рекомендации по нутритивной поддержке онкологических больных","type":"article-journal"},"uris":["http://www.mendeley.com/documents/?uuid=a6673349-099e-4c86-922d-b6b69b73ee38","http://www.mendeley.com/documents/?uuid=d8f4044a-9d39-4071-8266-cbd0ae05b0d9","http://www.mendeley.com/documents/?uuid=260337e2-8643-4a98-b22a-51f427e64df0","http://www.mendeley.com/documents/?uuid=a93dd076-f883-470f-9078-09d5bea12d18","http://www.mendeley.com/documents/?uuid=09a52a75-b0e4-4371-af21-5958257d9c6b","http://www.mendeley.com/documents/?uuid=b7d0213d-9037-458b-9137-8ba92417f389","http://www.mendeley.com/documents/?uuid=d1a841f7-cf41-3658-b869-ec5c58850b6d"]},{"id":"ITEM-2","itemData":{"DOI":"10.1007/s12094-017-1757-4","ISSN":"16993055","PMID":"29043569","abstract":"Background: Malnutrition is a frequent medical problem of cancer patients that negatively impacts their quality of life. Methods: A multidisciplinary group of experts in Medical Oncology, Pharmacy, and Nutrition convened to discuss the management of the nutritional support in cancer patients. Results: Of the 18 questions addressed, 9 focused on nutritional support, 5 were related to parenteral nutrition (PN) and 4 about home PN (HPN). The panel of experts recommends using nutritional screening routinely, at diagnosis and throughout the disease course, for detecting the risk of malnutrition and, if it is positive, to perform a complete nutritional assessment, to diagnose malnutrition. Currently, there are different screening tools and methods that allow us to detect nutritional risk. Based on the evidence and experience, the panel stated that PN is indicated mainly when it is not possible to use the digestive tract and/or oral feeding and/or enteral nutrition is not sufficient or possible. The nutritional needs of the cancer patients, except in those cases where individualized measures are required, should be considered similar to healthy individuals (25–30 kcal/kg/day). The panel considers that the nutritional monitoring of the cancer patient should be multidisciplinary and adapted to the characteristics of each center. Additionally, the objective of the HPN is to improve or maintain the nutritional status of a patient at home. Conclusions: This document seeks to lay down a set of recommendations and to identify key issues that may be useful for the nutritional management of cancer patients.","author":[{"dropping-particle":"","family":"Virizuela","given":"J. A.","non-dropping-particle":"","parse-names":false,"suffix":""},{"dropping-particle":"","family":"Camblor-Álvarez","given":"M.","non-dropping-particle":"","parse-names":false,"suffix":""},{"dropping-particle":"","family":"Luengo-Pérez","given":"L. M.","non-dropping-particle":"","parse-names":false,"suffix":""},{"dropping-particle":"","family":"Grande","given":"E.","non-dropping-particle":"","parse-names":false,"suffix":""},{"dropping-particle":"","family":"Álvarez-Hernández","given":"J.","non-dropping-particle":"","parse-names":false,"suffix":""},{"dropping-particle":"","family":"Sendrós-Madroño","given":"M. J.","non-dropping-particle":"","parse-names":false,"suffix":""},{"dropping-particle":"","family":"Jiménez-Fonseca","given":"P.","non-dropping-particle":"","parse-names":false,"suffix":""},{"dropping-particle":"","family":"Cervera-Peris","given":"M.","non-dropping-particle":"","parse-names":false,"suffix":""},{"dropping-particle":"","family":"Ocón-Bretón","given":"M. J.","non-dropping-particle":"","parse-names":false,"suffix":""}],"container-title":"Clinical and Translational Oncology","id":"ITEM-2","issue":"5","issued":{"date-parts":[["2018","5"]]},"page":"619-629","publisher":"Springer-Verlag Italia s.r.l.","title":"Nutritional support and parenteral nutrition in cancer patients: an expert consensus report","type":"article-journal","volume":"20"},"uris":["http://www.mendeley.com/documents/?uuid=c83d4cd9-a0be-448a-84b5-000651ccfa6e","http://www.mendeley.com/documents/?uuid=4a1cad31-99e3-4cf2-93ad-17d966d60db9","http://www.mendeley.com/documents/?uuid=dc45015e-2bbd-4e0a-8302-25dcb06c3c4c","http://www.mendeley.com/documents/?uuid=99911acc-feb8-4597-a8e1-899d1f00b719","http://www.mendeley.com/documents/?uuid=ddeb6586-712b-4c69-81e8-8e7e497e2d57","http://www.mendeley.com/documents/?uuid=ed2f4812-c506-484a-afb7-1bb5dae57ffb","http://www.mendeley.com/documents/?uuid=555471fe-b9e3-303f-adcc-eecf69d63698"]},{"id":"ITEM-3","itemData":{"author":[{"dropping-particle":"","family":"Бесова Н.С., Борисова Т.Н., Ларионова В.Б., Лейдерман И.Н., Обухова О.А., Попова Т.С., Салтанов А.И., Сельчук В.Ю., Снеговой А.В., Ткачев С.И., Тюляндин С.А.","given":"Шестопалов А.И.","non-dropping-particle":"","parse-names":false,"suffix":""}],"id":"ITEM-3","issued":{"date-parts":[["2014"]]},"title":"Клинические рекомендации по нутритивной поддержке при химиотерапии и/или лучевой терапии","type":"report"},"uris":["http://www.mendeley.com/documents/?uuid=59e000a3-48e0-4529-8954-5598c41cc72e","http://www.mendeley.com/documents/?uuid=2475f28c-b7e0-408d-8d85-bd890e4862de","http://www.mendeley.com/documents/?uuid=2db47854-c914-42bd-bd4d-a19b47e78e0d","http://www.mendeley.com/documents/?uuid=113bc17a-cb71-4ba2-afb9-083757d46c9b","http://www.mendeley.com/documents/?uuid=17acaf09-3d29-4b25-b43e-598e8835165d","http://www.mendeley.com/documents/?uuid=2da28a52-fa64-480f-9c45-312b59a7027b","http://www.mendeley.com/documents/?uuid=fa470355-bcfd-3bef-a7a1-086215509c2d"]}],"mendeley":{"formattedCitation":"[167–169]","plainTextFormattedCitation":"[167–169]","previouslyFormattedCitation":"[147–149]"},"properties":{"noteIndex":0},"schema":"https://github.com/citation-style-language/schema/raw/master/csl-citation.json"}</w:instrText>
      </w:r>
      <w:r w:rsidR="00A751AF">
        <w:rPr>
          <w:szCs w:val="24"/>
        </w:rPr>
        <w:fldChar w:fldCharType="separate"/>
      </w:r>
      <w:r w:rsidR="00A67ED2" w:rsidRPr="00A67ED2">
        <w:rPr>
          <w:noProof/>
          <w:szCs w:val="24"/>
        </w:rPr>
        <w:t>[167–169]</w:t>
      </w:r>
      <w:r w:rsidR="00A751AF">
        <w:rPr>
          <w:szCs w:val="24"/>
        </w:rPr>
        <w:fldChar w:fldCharType="end"/>
      </w:r>
      <w:r w:rsidRPr="00896142">
        <w:rPr>
          <w:szCs w:val="24"/>
        </w:rPr>
        <w:t xml:space="preserve">. </w:t>
      </w:r>
    </w:p>
    <w:p w14:paraId="49162EDE" w14:textId="7524F17B" w:rsidR="006F27D1" w:rsidRDefault="006F27D1" w:rsidP="006F27D1">
      <w:pPr>
        <w:ind w:firstLine="851"/>
        <w:rPr>
          <w:szCs w:val="24"/>
        </w:rPr>
      </w:pPr>
      <w:r w:rsidRPr="00896142">
        <w:rPr>
          <w:szCs w:val="24"/>
        </w:rPr>
        <w:t xml:space="preserve">В том случае, если проведение энтерального питания невозможно или неэффективно, необходимо назначать парентеральное питание </w:t>
      </w:r>
      <w:r w:rsidRPr="00896142">
        <w:rPr>
          <w:szCs w:val="24"/>
        </w:rPr>
        <w:fldChar w:fldCharType="begin" w:fldLock="1"/>
      </w:r>
      <w:r w:rsidR="00A67ED2">
        <w:rPr>
          <w:szCs w:val="24"/>
        </w:rPr>
        <w:instrText>ADDIN CSL_CITATION {"citationItems":[{"id":"ITEM-1","itemData":{"DOI":"10.20960/nh.1361","ISSN":"0212-1611","abstract":"Introducción: La malnutrición es un problema médico frecuente de los pacientes oncológicos que impacta de forma negativa en la calidad de vida. Objetivo: analizar y dar respuesta a diferentes cuestiones a la hora de afrontar el manejo nutricional de un paciente oncológico en la práctica clínica. Métodos: Un grupo multidisciplinar de expertos en Oncología Médica, Farmacia y Nutrición elaboró una lista de temas relacionados con el estado nutricional del paciente oncológico, que fueron agrupados en tres bloques: soporte nutricional; nutrición parenteral (NP) y NP domiciliaria (NPD) en el paciente oncológico. Se realizó una revisión de la literatura que incluyó artículos publicados en español, inglés y francés hasta abril de 2017. El documento se estructuró como un cuestionario con aquellas preguntas que, según el criterio del panel, podrían generar mayor controversia o duda. Resultados: De las 17 cuestiones abordadas, 9 versaron sobre el soporte nutricional; 5 relacionadas con la NP y 3 trataron sobre la NPD. Dentro de las recomendaciones del panel destacar que, en el paciente oncológico, la NP está indicada principalmente cuando no es posible el uso del tubo digestivo y/o la alimentación oral y/o la nutrición enteral no es suficiente o posible. Además, el objetivo de la NPD es mejorar o mantener, el estado de nutrición de un paciente en el ámbito domiciliario. Conclusiones: Esta revisión constituye una herramienta para oncólogos y especialistas responsables del manejo nutricional del paciente con cáncer.","author":[{"dropping-particle":"","family":"Camblor-Álvarez","given":"Miguel","non-dropping-particle":"","parse-names":false,"suffix":""},{"dropping-particle":"","family":"Ocón-Bretón","given":"María Julia","non-dropping-particle":"","parse-names":false,"suffix":""},{"dropping-particle":"","family":"Luengo-Pérez","given":"Luis Miguel","non-dropping-particle":"","parse-names":false,"suffix":""},{"dropping-particle":"","family":"Viruzuela","given":"Juan Antonio","non-dropping-particle":"","parse-names":false,"suffix":""},{"dropping-particle":"","family":"Sendrós-Maroño","given":"María José","non-dropping-particle":"","parse-names":false,"suffix":""},{"dropping-particle":"","family":"Cervera-Peris","given":"Mercedes","non-dropping-particle":"","parse-names":false,"suffix":""},{"dropping-particle":"","family":"Grande","given":"Enrique","non-dropping-particle":"","parse-names":false,"suffix":""},{"dropping-particle":"","family":"Álvarez-Hernández","given":"Julia","non-dropping-particle":"","parse-names":false,"suffix":""},{"dropping-particle":"","family":"Jiménez-Fonseca","given":"Paula","non-dropping-particle":"","parse-names":false,"suffix":""}],"container-title":"Nutrición Hospitalaria","id":"ITEM-1","issue":"1","issued":{"date-parts":[["2018","1"]]},"publisher":"ARAN Ediciones","title":"Soporte nutricional y nutrición parenteral en el paciente oncológico: informe de consenso de un grupo de expertos","type":"article-journal","volume":"35"},"uris":["http://www.mendeley.com/documents/?uuid=2ba4ee95-2957-35dd-a5da-6ddc4066a510","http://www.mendeley.com/documents/?uuid=5fd60395-903b-4161-9de5-593401276b22","http://www.mendeley.com/documents/?uuid=77af6aa2-54a9-4922-85a6-2ba2782c1d0d","http://www.mendeley.com/documents/?uuid=15f2deaa-96e5-4d61-b18b-9ea61e38867f","http://www.mendeley.com/documents/?uuid=bb38c52a-b9be-49b0-b569-e7226cad9509","http://www.mendeley.com/documents/?uuid=cfbf8252-0ba3-48e8-9511-8226f1fa6b44","http://www.mendeley.com/documents/?uuid=28ec27e8-82e5-449f-987c-7f22bad4f962"]}],"mendeley":{"formattedCitation":"[171]","plainTextFormattedCitation":"[171]","previouslyFormattedCitation":"[151]"},"properties":{"noteIndex":0},"schema":"https://github.com/citation-style-language/schema/raw/master/csl-citation.json"}</w:instrText>
      </w:r>
      <w:r w:rsidRPr="00896142">
        <w:rPr>
          <w:szCs w:val="24"/>
        </w:rPr>
        <w:fldChar w:fldCharType="separate"/>
      </w:r>
      <w:r w:rsidR="00A67ED2" w:rsidRPr="00A67ED2">
        <w:rPr>
          <w:noProof/>
          <w:szCs w:val="24"/>
        </w:rPr>
        <w:t>[171]</w:t>
      </w:r>
      <w:r w:rsidRPr="00896142">
        <w:rPr>
          <w:szCs w:val="24"/>
        </w:rPr>
        <w:fldChar w:fldCharType="end"/>
      </w:r>
      <w:r w:rsidRPr="00896142">
        <w:rPr>
          <w:szCs w:val="24"/>
        </w:rPr>
        <w:t xml:space="preserve">. Доставка белка должна быть не менее 1 г/кг/сут, однако при возможности нужно стремиться к 1,5 г/кг/сут. </w:t>
      </w:r>
    </w:p>
    <w:p w14:paraId="7310E9C4" w14:textId="020ACD29" w:rsidR="006F27D1" w:rsidRPr="00896142" w:rsidRDefault="006F27D1" w:rsidP="006F27D1">
      <w:pPr>
        <w:ind w:firstLine="851"/>
        <w:rPr>
          <w:szCs w:val="24"/>
        </w:rPr>
      </w:pPr>
      <w:r w:rsidRPr="00896142">
        <w:rPr>
          <w:szCs w:val="24"/>
        </w:rPr>
        <w:t xml:space="preserve">У больных с сопутствующей хронической почечной недостаточностью белковое </w:t>
      </w:r>
      <w:r w:rsidRPr="00896142">
        <w:rPr>
          <w:szCs w:val="24"/>
        </w:rPr>
        <w:lastRenderedPageBreak/>
        <w:t xml:space="preserve">обеспечение не должно превышать 1–1,2 г/кг/сут. Энергетическое обеспечение больного с онкологическим заболеванием следует поддерживать на уровне 25–30 ккал/кг/сут </w:t>
      </w:r>
      <w:r w:rsidRPr="00896142">
        <w:rPr>
          <w:szCs w:val="24"/>
        </w:rPr>
        <w:fldChar w:fldCharType="begin" w:fldLock="1"/>
      </w:r>
      <w:r w:rsidR="00A67ED2">
        <w:rPr>
          <w:szCs w:val="24"/>
        </w:rPr>
        <w:instrText>ADDIN CSL_CITATION {"citationItems":[{"id":"ITEM-1","itemData":{"DOI":"10.18027/2224-5057-2017-7-3s2-524-532","author":[{"dropping-particle":"","family":"Сытов А.В., Лейдерман И.Н., Ломидзе С.В., Нехаев И.В.","given":"Хотеев А.Ж.;","non-dropping-particle":"","parse-names":false,"suffix":""}],"container-title":"RUSSCO","id":"ITEM-1","issued":{"date-parts":[["2017"]]},"page":"524-532","title":"Практические рекомендации по нутритивной поддержке онкологических больных","type":"article-journal"},"uris":["http://www.mendeley.com/documents/?uuid=a6673349-099e-4c86-922d-b6b69b73ee38","http://www.mendeley.com/documents/?uuid=d8f4044a-9d39-4071-8266-cbd0ae05b0d9","http://www.mendeley.com/documents/?uuid=260337e2-8643-4a98-b22a-51f427e64df0","http://www.mendeley.com/documents/?uuid=a93dd076-f883-470f-9078-09d5bea12d18","http://www.mendeley.com/documents/?uuid=09a52a75-b0e4-4371-af21-5958257d9c6b","http://www.mendeley.com/documents/?uuid=b7d0213d-9037-458b-9137-8ba92417f389","http://www.mendeley.com/documents/?uuid=d1a841f7-cf41-3658-b869-ec5c58850b6d"]}],"mendeley":{"formattedCitation":"[167]","plainTextFormattedCitation":"[167]","previouslyFormattedCitation":"[147]"},"properties":{"noteIndex":0},"schema":"https://github.com/citation-style-language/schema/raw/master/csl-citation.json"}</w:instrText>
      </w:r>
      <w:r w:rsidRPr="00896142">
        <w:rPr>
          <w:szCs w:val="24"/>
        </w:rPr>
        <w:fldChar w:fldCharType="separate"/>
      </w:r>
      <w:r w:rsidR="00A67ED2" w:rsidRPr="00A67ED2">
        <w:rPr>
          <w:noProof/>
          <w:szCs w:val="24"/>
        </w:rPr>
        <w:t>[167]</w:t>
      </w:r>
      <w:r w:rsidRPr="00896142">
        <w:rPr>
          <w:szCs w:val="24"/>
        </w:rPr>
        <w:fldChar w:fldCharType="end"/>
      </w:r>
      <w:r w:rsidRPr="00896142">
        <w:rPr>
          <w:szCs w:val="24"/>
        </w:rPr>
        <w:t xml:space="preserve"> </w:t>
      </w:r>
      <w:r w:rsidRPr="00896142">
        <w:rPr>
          <w:szCs w:val="24"/>
        </w:rPr>
        <w:fldChar w:fldCharType="begin" w:fldLock="1"/>
      </w:r>
      <w:r w:rsidR="00A67ED2">
        <w:rPr>
          <w:szCs w:val="24"/>
        </w:rPr>
        <w:instrText>ADDIN CSL_CITATION {"citationItems":[{"id":"ITEM-1","itemData":{"DOI":"10.1007/s12094-017-1757-4","ISSN":"16993055","PMID":"29043569","abstract":"Background: Malnutrition is a frequent medical problem of cancer patients that negatively impacts their quality of life. Methods: A multidisciplinary group of experts in Medical Oncology, Pharmacy, and Nutrition convened to discuss the management of the nutritional support in cancer patients. Results: Of the 18 questions addressed, 9 focused on nutritional support, 5 were related to parenteral nutrition (PN) and 4 about home PN (HPN). The panel of experts recommends using nutritional screening routinely, at diagnosis and throughout the disease course, for detecting the risk of malnutrition and, if it is positive, to perform a complete nutritional assessment, to diagnose malnutrition. Currently, there are different screening tools and methods that allow us to detect nutritional risk. Based on the evidence and experience, the panel stated that PN is indicated mainly when it is not possible to use the digestive tract and/or oral feeding and/or enteral nutrition is not sufficient or possible. The nutritional needs of the cancer patients, except in those cases where individualized measures are required, should be considered similar to healthy individuals (25–30 kcal/kg/day). The panel considers that the nutritional monitoring of the cancer patient should be multidisciplinary and adapted to the characteristics of each center. Additionally, the objective of the HPN is to improve or maintain the nutritional status of a patient at home. Conclusions: This document seeks to lay down a set of recommendations and to identify key issues that may be useful for the nutritional management of cancer patients.","author":[{"dropping-particle":"","family":"Virizuela","given":"J. A.","non-dropping-particle":"","parse-names":false,"suffix":""},{"dropping-particle":"","family":"Camblor-Álvarez","given":"M.","non-dropping-particle":"","parse-names":false,"suffix":""},{"dropping-particle":"","family":"Luengo-Pérez","given":"L. M.","non-dropping-particle":"","parse-names":false,"suffix":""},{"dropping-particle":"","family":"Grande","given":"E.","non-dropping-particle":"","parse-names":false,"suffix":""},{"dropping-particle":"","family":"Álvarez-Hernández","given":"J.","non-dropping-particle":"","parse-names":false,"suffix":""},{"dropping-particle":"","family":"Sendrós-Madroño","given":"M. J.","non-dropping-particle":"","parse-names":false,"suffix":""},{"dropping-particle":"","family":"Jiménez-Fonseca","given":"P.","non-dropping-particle":"","parse-names":false,"suffix":""},{"dropping-particle":"","family":"Cervera-Peris","given":"M.","non-dropping-particle":"","parse-names":false,"suffix":""},{"dropping-particle":"","family":"Ocón-Bretón","given":"M. J.","non-dropping-particle":"","parse-names":false,"suffix":""}],"container-title":"Clinical and Translational Oncology","id":"ITEM-1","issue":"5","issued":{"date-parts":[["2018","5"]]},"page":"619-629","publisher":"Springer-Verlag Italia s.r.l.","title":"Nutritional support and parenteral nutrition in cancer patients: an expert consensus report","type":"article-journal","volume":"20"},"uris":["http://www.mendeley.com/documents/?uuid=c83d4cd9-a0be-448a-84b5-000651ccfa6e","http://www.mendeley.com/documents/?uuid=4a1cad31-99e3-4cf2-93ad-17d966d60db9","http://www.mendeley.com/documents/?uuid=dc45015e-2bbd-4e0a-8302-25dcb06c3c4c","http://www.mendeley.com/documents/?uuid=99911acc-feb8-4597-a8e1-899d1f00b719","http://www.mendeley.com/documents/?uuid=ddeb6586-712b-4c69-81e8-8e7e497e2d57","http://www.mendeley.com/documents/?uuid=ed2f4812-c506-484a-afb7-1bb5dae57ffb","http://www.mendeley.com/documents/?uuid=555471fe-b9e3-303f-adcc-eecf69d63698"]}],"mendeley":{"formattedCitation":"[168]","plainTextFormattedCitation":"[168]","previouslyFormattedCitation":"[148]"},"properties":{"noteIndex":0},"schema":"https://github.com/citation-style-language/schema/raw/master/csl-citation.json"}</w:instrText>
      </w:r>
      <w:r w:rsidRPr="00896142">
        <w:rPr>
          <w:szCs w:val="24"/>
        </w:rPr>
        <w:fldChar w:fldCharType="separate"/>
      </w:r>
      <w:r w:rsidR="00A67ED2" w:rsidRPr="00A67ED2">
        <w:rPr>
          <w:noProof/>
          <w:szCs w:val="24"/>
        </w:rPr>
        <w:t>[168]</w:t>
      </w:r>
      <w:r w:rsidRPr="00896142">
        <w:rPr>
          <w:szCs w:val="24"/>
        </w:rPr>
        <w:fldChar w:fldCharType="end"/>
      </w:r>
      <w:r w:rsidRPr="00896142">
        <w:rPr>
          <w:szCs w:val="24"/>
        </w:rPr>
        <w:t>.</w:t>
      </w:r>
    </w:p>
    <w:p w14:paraId="6AE4EC5A" w14:textId="77777777" w:rsidR="006F27D1" w:rsidRDefault="006F27D1" w:rsidP="006F27D1">
      <w:pPr>
        <w:rPr>
          <w:szCs w:val="24"/>
          <w:u w:val="single"/>
        </w:rPr>
      </w:pPr>
    </w:p>
    <w:p w14:paraId="6B4C251D" w14:textId="1D9F9A1C" w:rsidR="006F27D1" w:rsidRPr="0031526F" w:rsidRDefault="006F27D1" w:rsidP="006F27D1">
      <w:pPr>
        <w:rPr>
          <w:szCs w:val="24"/>
          <w:u w:val="single"/>
        </w:rPr>
      </w:pPr>
      <w:r w:rsidRPr="0031526F">
        <w:rPr>
          <w:szCs w:val="24"/>
          <w:u w:val="single"/>
        </w:rPr>
        <w:t xml:space="preserve">Виды нутритивной поддержки </w:t>
      </w:r>
      <w:r>
        <w:rPr>
          <w:szCs w:val="24"/>
          <w:u w:val="single"/>
        </w:rPr>
        <w:fldChar w:fldCharType="begin" w:fldLock="1"/>
      </w:r>
      <w:r w:rsidR="00A67ED2">
        <w:rPr>
          <w:szCs w:val="24"/>
          <w:u w:val="single"/>
        </w:rPr>
        <w:instrText>ADDIN CSL_CITATION {"citationItems":[{"id":"ITEM-1","itemData":{"DOI":"10.18027/2224-5057-2017-7-3s2-524-532","author":[{"dropping-particle":"","family":"Сытов А.В., Лейдерман И.Н., Ломидзе С.В., Нехаев И.В.","given":"Хотеев А.Ж.;","non-dropping-particle":"","parse-names":false,"suffix":""}],"container-title":"RUSSCO","id":"ITEM-1","issued":{"date-parts":[["2017"]]},"page":"524-532","title":"Практические рекомендации по нутритивной поддержке онкологических больных","type":"article-journal"},"uris":["http://www.mendeley.com/documents/?uuid=a6673349-099e-4c86-922d-b6b69b73ee38","http://www.mendeley.com/documents/?uuid=d8f4044a-9d39-4071-8266-cbd0ae05b0d9","http://www.mendeley.com/documents/?uuid=260337e2-8643-4a98-b22a-51f427e64df0","http://www.mendeley.com/documents/?uuid=a93dd076-f883-470f-9078-09d5bea12d18","http://www.mendeley.com/documents/?uuid=09a52a75-b0e4-4371-af21-5958257d9c6b","http://www.mendeley.com/documents/?uuid=b7d0213d-9037-458b-9137-8ba92417f389","http://www.mendeley.com/documents/?uuid=d1a841f7-cf41-3658-b869-ec5c58850b6d"]},{"id":"ITEM-2","itemData":{"DOI":"10.1007/s12094-017-1757-4","ISSN":"16993055","PMID":"29043569","abstract":"Background: Malnutrition is a frequent medical problem of cancer patients that negatively impacts their quality of life. Methods: A multidisciplinary group of experts in Medical Oncology, Pharmacy, and Nutrition convened to discuss the management of the nutritional support in cancer patients. Results: Of the 18 questions addressed, 9 focused on nutritional support, 5 were related to parenteral nutrition (PN) and 4 about home PN (HPN). The panel of experts recommends using nutritional screening routinely, at diagnosis and throughout the disease course, for detecting the risk of malnutrition and, if it is positive, to perform a complete nutritional assessment, to diagnose malnutrition. Currently, there are different screening tools and methods that allow us to detect nutritional risk. Based on the evidence and experience, the panel stated that PN is indicated mainly when it is not possible to use the digestive tract and/or oral feeding and/or enteral nutrition is not sufficient or possible. The nutritional needs of the cancer patients, except in those cases where individualized measures are required, should be considered similar to healthy individuals (25–30 kcal/kg/day). The panel considers that the nutritional monitoring of the cancer patient should be multidisciplinary and adapted to the characteristics of each center. Additionally, the objective of the HPN is to improve or maintain the nutritional status of a patient at home. Conclusions: This document seeks to lay down a set of recommendations and to identify key issues that may be useful for the nutritional management of cancer patients.","author":[{"dropping-particle":"","family":"Virizuela","given":"J. A.","non-dropping-particle":"","parse-names":false,"suffix":""},{"dropping-particle":"","family":"Camblor-Álvarez","given":"M.","non-dropping-particle":"","parse-names":false,"suffix":""},{"dropping-particle":"","family":"Luengo-Pérez","given":"L. M.","non-dropping-particle":"","parse-names":false,"suffix":""},{"dropping-particle":"","family":"Grande","given":"E.","non-dropping-particle":"","parse-names":false,"suffix":""},{"dropping-particle":"","family":"Álvarez-Hernández","given":"J.","non-dropping-particle":"","parse-names":false,"suffix":""},{"dropping-particle":"","family":"Sendrós-Madroño","given":"M. J.","non-dropping-particle":"","parse-names":false,"suffix":""},{"dropping-particle":"","family":"Jiménez-Fonseca","given":"P.","non-dropping-particle":"","parse-names":false,"suffix":""},{"dropping-particle":"","family":"Cervera-Peris","given":"M.","non-dropping-particle":"","parse-names":false,"suffix":""},{"dropping-particle":"","family":"Ocón-Bretón","given":"M. J.","non-dropping-particle":"","parse-names":false,"suffix":""}],"container-title":"Clinical and Translational Oncology","id":"ITEM-2","issue":"5","issued":{"date-parts":[["2018","5"]]},"page":"619-629","publisher":"Springer-Verlag Italia s.r.l.","title":"Nutritional support and parenteral nutrition in cancer patients: an expert consensus report","type":"article-journal","volume":"20"},"uris":["http://www.mendeley.com/documents/?uuid=c83d4cd9-a0be-448a-84b5-000651ccfa6e","http://www.mendeley.com/documents/?uuid=4a1cad31-99e3-4cf2-93ad-17d966d60db9","http://www.mendeley.com/documents/?uuid=dc45015e-2bbd-4e0a-8302-25dcb06c3c4c","http://www.mendeley.com/documents/?uuid=99911acc-feb8-4597-a8e1-899d1f00b719","http://www.mendeley.com/documents/?uuid=ddeb6586-712b-4c69-81e8-8e7e497e2d57","http://www.mendeley.com/documents/?uuid=ed2f4812-c506-484a-afb7-1bb5dae57ffb","http://www.mendeley.com/documents/?uuid=555471fe-b9e3-303f-adcc-eecf69d63698"]},{"id":"ITEM-3","itemData":{"DOI":"10.1016/j.clnu.2016.07.015","ISSN":"15321983","PMID":"27637832","abstract":"Cancers are among the leading causes of morbidity and mortality worldwide, and the number of new cases is expected to rise significantly over the next decades. At the same time, all types of cancer treatment, such as surgery, radiation therapy, and pharmacological therapies are improving in sophistication, precision and in the power to target specific characteristics of individual cancers. Thus, while many cancers may still not be cured they may be converted to chronic diseases. All of these treatments, however, are impeded or precluded by the frequent development of malnutrition and metabolic derangements in cancer patients, induced by the tumor or by its treatment. These evidence-based guidelines were developed to translate current best evidence and expert opinion into recommendations for multi-disciplinary teams responsible for identification, prevention, and treatment of reversible elements of malnutrition in adult cancer patients. The guidelines were commissioned and financially supported by ESPEN and by the European Partnership for Action Against Cancer (EPAAC), an EU level initiative. Members of the guideline group were selected by ESPEN to include a range of professions and fields of expertise. We searched for meta-analyses, systematic reviews and comparative studies based on clinical questions according to the PICO format. The evidence was evaluated and merged to develop clinical recommendations using the GRADE method. Due to the deficits in the available evidence, relevant still open questions were listed and should be addressed by future studies. Malnutrition and a loss of muscle mass are frequent in cancer patients and have a negative effect on clinical outcome. They may be driven by inadequate food intake, decreased physical activity and catabolic metabolic derangements. To screen for, prevent, assess in detail, monitor and treat malnutrition standard operating procedures, responsibilities and a quality control process should be established at each institution involved in treating cancer patients. All cancer patients should be screened regularly for the risk or the presence of malnutrition. In all patients – with the exception of end of life care – energy and substrate requirements should be met by offering in a step-wise manner nutritional interventions from counseling to parenteral nutrition. However, benefits and risks of nutritional interventions have to be balanced with special consideration in patients with advanced disease. Nutrition…","author":[{"dropping-particle":"","family":"Arends","given":"Jann","non-dropping-particle":"","parse-names":false,"suffix":""},{"dropping-particle":"","family":"Bachmann","given":"Patrick","non-dropping-particle":"","parse-names":false,"suffix":""},{"dropping-particle":"","family":"Baracos","given":"Vickie","non-dropping-particle":"","parse-names":false,"suffix":""},{"dropping-particle":"","family":"Barthelemy","given":"Nicole","non-dropping-particle":"","parse-names":false,"suffix":""},{"dropping-particle":"","family":"Bertz","given":"Hartmut","non-dropping-particle":"","parse-names":false,"suffix":""},{"dropping-particle":"","family":"Bozzetti","given":"Federico","non-dropping-particle":"","parse-names":false,"suffix":""},{"dropping-particle":"","family":"Fearon","given":"Ken","non-dropping-particle":"","parse-names":false,"suffix":""},{"dropping-particle":"","family":"Hütterer","given":"Elisabeth","non-dropping-particle":"","parse-names":false,"suffix":""},{"dropping-particle":"","family":"Isenring","given":"Elizabeth","non-dropping-particle":"","parse-names":false,"suffix":""},{"dropping-particle":"","family":"Kaasa","given":"Stein","non-dropping-particle":"","parse-names":false,"suffix":""},{"dropping-particle":"","family":"Krznaric","given":"Zeljko","non-dropping-particle":"","parse-names":false,"suffix":""},{"dropping-particle":"","family":"Laird","given":"Barry","non-dropping-particle":"","parse-names":false,"suffix":""},{"dropping-particle":"","family":"Larsson","given":"Maria","non-dropping-particle":"","parse-names":false,"suffix":""},{"dropping-particle":"","family":"Laviano","given":"Alessandro","non-dropping-particle":"","parse-names":false,"suffix":""},{"dropping-particle":"","family":"Mühlebach","given":"Stefan","non-dropping-particle":"","parse-names":false,"suffix":""},{"dropping-particle":"","family":"Muscaritoli","given":"Maurizio","non-dropping-particle":"","parse-names":false,"suffix":""},{"dropping-particle":"","family":"Oldervoll","given":"Line","non-dropping-particle":"","parse-names":false,"suffix":""},{"dropping-particle":"","family":"Ravasco","given":"Paula","non-dropping-particle":"","parse-names":false,"suffix":""},{"dropping-particle":"","family":"Solheim","given":"Tora","non-dropping-particle":"","parse-names":false,"suffix":""},{"dropping-particle":"","family":"Strasser","given":"Florian","non-dropping-particle":"","parse-names":false,"suffix":""},{"dropping-particle":"","family":"van der Schueren","given":"Marian","non-dropping-particle":"de","parse-names":false,"suffix":""},{"dropping-particle":"","family":"Preiser","given":"Jean Charles","non-dropping-particle":"","parse-names":false,"suffix":""}],"container-title":"Clinical Nutrition","id":"ITEM-3","issue":"1","issued":{"date-parts":[["2017"]]},"page":"11-48","publisher":"Churchill Livingstone","title":"ESPEN guidelines on nutrition in cancer patients","type":"article-journal","volume":"36"},"uris":["http://www.mendeley.com/documents/?uuid=2586b0c4-9eb6-4463-a0ba-87fe84fbad8f"]}],"mendeley":{"formattedCitation":"[167,168,170]","plainTextFormattedCitation":"[167,168,170]","previouslyFormattedCitation":"[147,148,150]"},"properties":{"noteIndex":0},"schema":"https://github.com/citation-style-language/schema/raw/master/csl-citation.json"}</w:instrText>
      </w:r>
      <w:r>
        <w:rPr>
          <w:szCs w:val="24"/>
          <w:u w:val="single"/>
        </w:rPr>
        <w:fldChar w:fldCharType="separate"/>
      </w:r>
      <w:r w:rsidR="00A67ED2" w:rsidRPr="00A67ED2">
        <w:rPr>
          <w:noProof/>
          <w:szCs w:val="24"/>
        </w:rPr>
        <w:t>[167,168,170]</w:t>
      </w:r>
      <w:r>
        <w:rPr>
          <w:szCs w:val="24"/>
          <w:u w:val="single"/>
        </w:rPr>
        <w:fldChar w:fldCharType="end"/>
      </w:r>
    </w:p>
    <w:p w14:paraId="6338C371" w14:textId="77777777" w:rsidR="006F27D1" w:rsidRPr="00896142" w:rsidRDefault="006F27D1" w:rsidP="006F27D1">
      <w:pPr>
        <w:ind w:firstLine="851"/>
        <w:rPr>
          <w:szCs w:val="24"/>
        </w:rPr>
      </w:pPr>
      <w:r w:rsidRPr="00896142">
        <w:rPr>
          <w:szCs w:val="24"/>
        </w:rPr>
        <w:t xml:space="preserve">Выделяют три вида нутритивной поддержки: </w:t>
      </w:r>
    </w:p>
    <w:p w14:paraId="13AEB446" w14:textId="77777777" w:rsidR="006F27D1" w:rsidRPr="00896142" w:rsidRDefault="006F27D1" w:rsidP="006F27D1">
      <w:pPr>
        <w:ind w:firstLine="567"/>
        <w:rPr>
          <w:szCs w:val="24"/>
        </w:rPr>
      </w:pPr>
      <w:r w:rsidRPr="00896142">
        <w:rPr>
          <w:szCs w:val="24"/>
        </w:rPr>
        <w:t xml:space="preserve">• дополнение к пероральному питанию (сипинг) – пероральный прием лечебного (специализированного) питания маленькими глотками; </w:t>
      </w:r>
    </w:p>
    <w:p w14:paraId="30469C53" w14:textId="77777777" w:rsidR="006F27D1" w:rsidRPr="00896142" w:rsidRDefault="006F27D1" w:rsidP="006F27D1">
      <w:pPr>
        <w:ind w:firstLine="567"/>
        <w:rPr>
          <w:szCs w:val="24"/>
        </w:rPr>
      </w:pPr>
      <w:r w:rsidRPr="00896142">
        <w:rPr>
          <w:szCs w:val="24"/>
        </w:rPr>
        <w:t xml:space="preserve">• энтеральное питание – возможно через назогастральный/назоинтестинальный зонд или через стому (чрескожную, эндоскопическую, лапароскопическую, лапаротомную); </w:t>
      </w:r>
    </w:p>
    <w:p w14:paraId="1FE7ED27" w14:textId="77777777" w:rsidR="006F27D1" w:rsidRDefault="006F27D1" w:rsidP="006F27D1">
      <w:pPr>
        <w:ind w:firstLine="567"/>
        <w:rPr>
          <w:szCs w:val="24"/>
        </w:rPr>
      </w:pPr>
      <w:r w:rsidRPr="00896142">
        <w:rPr>
          <w:szCs w:val="24"/>
        </w:rPr>
        <w:t xml:space="preserve">• парентеральное питание. </w:t>
      </w:r>
    </w:p>
    <w:p w14:paraId="1F81B235" w14:textId="77777777" w:rsidR="006F27D1" w:rsidRPr="00896142" w:rsidRDefault="006F27D1" w:rsidP="006F27D1">
      <w:pPr>
        <w:ind w:firstLine="851"/>
        <w:rPr>
          <w:szCs w:val="24"/>
        </w:rPr>
      </w:pPr>
      <w:r w:rsidRPr="00896142">
        <w:rPr>
          <w:szCs w:val="24"/>
        </w:rPr>
        <w:t xml:space="preserve">Энтеральное питание </w:t>
      </w:r>
      <w:r>
        <w:rPr>
          <w:szCs w:val="24"/>
        </w:rPr>
        <w:t>я</w:t>
      </w:r>
      <w:r w:rsidRPr="00896142">
        <w:rPr>
          <w:szCs w:val="24"/>
        </w:rPr>
        <w:t>вляется предпочтительным способом нутритивной поддержки за счет его физиологичности, способности поддерживать функцию кишечника, уменьшать гиперметаболический ответ на повреждение, уменьшать транслокацию бактерий и токсинов из кишечника.</w:t>
      </w:r>
    </w:p>
    <w:p w14:paraId="4D9E6834" w14:textId="77777777" w:rsidR="006F27D1" w:rsidRPr="00896142" w:rsidRDefault="006F27D1" w:rsidP="006F27D1">
      <w:pPr>
        <w:ind w:firstLine="851"/>
        <w:rPr>
          <w:szCs w:val="24"/>
        </w:rPr>
      </w:pPr>
      <w:r w:rsidRPr="00896142">
        <w:rPr>
          <w:szCs w:val="24"/>
        </w:rPr>
        <w:t>Энтеральное питание может проводиться при наличии хотя бы частичной функции ЖКТ. Отсутствие выслушиваемой перистальтики не является противопоказанием для энтерального питания.</w:t>
      </w:r>
    </w:p>
    <w:p w14:paraId="511081A2" w14:textId="0F5B3AB7" w:rsidR="006F27D1" w:rsidRPr="00896142" w:rsidRDefault="006F27D1" w:rsidP="006F27D1">
      <w:pPr>
        <w:ind w:firstLine="851"/>
        <w:rPr>
          <w:szCs w:val="24"/>
        </w:rPr>
      </w:pPr>
      <w:r w:rsidRPr="00896142">
        <w:rPr>
          <w:szCs w:val="24"/>
        </w:rPr>
        <w:t xml:space="preserve">Классификация смесей для энтерального питания </w:t>
      </w:r>
      <w:r w:rsidRPr="00896142">
        <w:rPr>
          <w:szCs w:val="24"/>
        </w:rPr>
        <w:fldChar w:fldCharType="begin" w:fldLock="1"/>
      </w:r>
      <w:r w:rsidR="00A67ED2">
        <w:rPr>
          <w:szCs w:val="24"/>
        </w:rPr>
        <w:instrText>ADDIN CSL_CITATION {"citationItems":[{"id":"ITEM-1","itemData":{"DOI":"10.18027/2224-5057-2017-7-3s2-524-532","author":[{"dropping-particle":"","family":"Сытов А.В., Лейдерман И.Н., Ломидзе С.В., Нехаев И.В.","given":"Хотеев А.Ж.;","non-dropping-particle":"","parse-names":false,"suffix":""}],"container-title":"RUSSCO","id":"ITEM-1","issued":{"date-parts":[["2017"]]},"page":"524-532","title":"Практические рекомендации по нутритивной поддержке онкологических больных","type":"article-journal"},"uris":["http://www.mendeley.com/documents/?uuid=a6673349-099e-4c86-922d-b6b69b73ee38","http://www.mendeley.com/documents/?uuid=d8f4044a-9d39-4071-8266-cbd0ae05b0d9","http://www.mendeley.com/documents/?uuid=260337e2-8643-4a98-b22a-51f427e64df0","http://www.mendeley.com/documents/?uuid=a93dd076-f883-470f-9078-09d5bea12d18","http://www.mendeley.com/documents/?uuid=09a52a75-b0e4-4371-af21-5958257d9c6b","http://www.mendeley.com/documents/?uuid=b7d0213d-9037-458b-9137-8ba92417f389","http://www.mendeley.com/documents/?uuid=d1a841f7-cf41-3658-b869-ec5c58850b6d"]}],"mendeley":{"formattedCitation":"[167]","plainTextFormattedCitation":"[167]","previouslyFormattedCitation":"[147]"},"properties":{"noteIndex":0},"schema":"https://github.com/citation-style-language/schema/raw/master/csl-citation.json"}</w:instrText>
      </w:r>
      <w:r w:rsidRPr="00896142">
        <w:rPr>
          <w:szCs w:val="24"/>
        </w:rPr>
        <w:fldChar w:fldCharType="separate"/>
      </w:r>
      <w:r w:rsidR="00A67ED2" w:rsidRPr="00A67ED2">
        <w:rPr>
          <w:noProof/>
          <w:szCs w:val="24"/>
        </w:rPr>
        <w:t>[167]</w:t>
      </w:r>
      <w:r w:rsidRPr="00896142">
        <w:rPr>
          <w:szCs w:val="24"/>
        </w:rPr>
        <w:fldChar w:fldCharType="end"/>
      </w:r>
    </w:p>
    <w:p w14:paraId="014A0F87" w14:textId="77777777" w:rsidR="006F27D1" w:rsidRPr="00896142" w:rsidRDefault="006F27D1" w:rsidP="006F27D1">
      <w:pPr>
        <w:ind w:firstLine="567"/>
        <w:rPr>
          <w:szCs w:val="24"/>
        </w:rPr>
      </w:pPr>
      <w:r w:rsidRPr="00896142">
        <w:rPr>
          <w:szCs w:val="24"/>
        </w:rPr>
        <w:t xml:space="preserve">• полимерные: состоят из неизмененных белков, жиров и углеводов; </w:t>
      </w:r>
    </w:p>
    <w:p w14:paraId="11426232" w14:textId="77777777" w:rsidR="006F27D1" w:rsidRPr="00896142" w:rsidRDefault="006F27D1" w:rsidP="006F27D1">
      <w:pPr>
        <w:ind w:firstLine="567"/>
        <w:rPr>
          <w:szCs w:val="24"/>
        </w:rPr>
      </w:pPr>
      <w:r w:rsidRPr="00896142">
        <w:rPr>
          <w:szCs w:val="24"/>
        </w:rPr>
        <w:t xml:space="preserve">• олигомерные (полуэлементные): состоят из расщепленных белков и простых углеводов и содержат масла среднецепочечных триглицеридов; </w:t>
      </w:r>
    </w:p>
    <w:p w14:paraId="3ABDDBD3" w14:textId="77777777" w:rsidR="006F27D1" w:rsidRPr="00896142" w:rsidRDefault="006F27D1" w:rsidP="006F27D1">
      <w:pPr>
        <w:ind w:firstLine="567"/>
        <w:rPr>
          <w:szCs w:val="24"/>
        </w:rPr>
      </w:pPr>
      <w:r w:rsidRPr="00896142">
        <w:rPr>
          <w:szCs w:val="24"/>
        </w:rPr>
        <w:t xml:space="preserve">• смеси для определенных состояний, изготовленные с учетом потребностей конкретного пациента, страдающего тем или иным заболеванием (сахарный диабет, заболевания почек, печени, легких). </w:t>
      </w:r>
    </w:p>
    <w:p w14:paraId="20A713D2" w14:textId="20C07677" w:rsidR="006F27D1" w:rsidRPr="00896142" w:rsidRDefault="006F27D1" w:rsidP="006F27D1">
      <w:pPr>
        <w:ind w:firstLine="851"/>
        <w:rPr>
          <w:szCs w:val="24"/>
        </w:rPr>
      </w:pPr>
      <w:r w:rsidRPr="00896142">
        <w:rPr>
          <w:szCs w:val="24"/>
        </w:rPr>
        <w:t xml:space="preserve">Противопоказания к энтеральному питанию </w:t>
      </w:r>
      <w:r w:rsidRPr="00896142">
        <w:rPr>
          <w:szCs w:val="24"/>
        </w:rPr>
        <w:fldChar w:fldCharType="begin" w:fldLock="1"/>
      </w:r>
      <w:r w:rsidR="00A67ED2">
        <w:rPr>
          <w:szCs w:val="24"/>
        </w:rPr>
        <w:instrText>ADDIN CSL_CITATION {"citationItems":[{"id":"ITEM-1","itemData":{"DOI":"10.18027/2224-5057-2017-7-3s2-524-532","author":[{"dropping-particle":"","family":"Сытов А.В., Лейдерман И.Н., Ломидзе С.В., Нехаев И.В.","given":"Хотеев А.Ж.;","non-dropping-particle":"","parse-names":false,"suffix":""}],"container-title":"RUSSCO","id":"ITEM-1","issued":{"date-parts":[["2017"]]},"page":"524-532","title":"Практические рекомендации по нутритивной поддержке онкологических больных","type":"article-journal"},"uris":["http://www.mendeley.com/documents/?uuid=a6673349-099e-4c86-922d-b6b69b73ee38","http://www.mendeley.com/documents/?uuid=d8f4044a-9d39-4071-8266-cbd0ae05b0d9","http://www.mendeley.com/documents/?uuid=260337e2-8643-4a98-b22a-51f427e64df0","http://www.mendeley.com/documents/?uuid=a93dd076-f883-470f-9078-09d5bea12d18","http://www.mendeley.com/documents/?uuid=09a52a75-b0e4-4371-af21-5958257d9c6b","http://www.mendeley.com/documents/?uuid=b7d0213d-9037-458b-9137-8ba92417f389","http://www.mendeley.com/documents/?uuid=d1a841f7-cf41-3658-b869-ec5c58850b6d"]}],"mendeley":{"formattedCitation":"[167]","plainTextFormattedCitation":"[167]","previouslyFormattedCitation":"[147]"},"properties":{"noteIndex":0},"schema":"https://github.com/citation-style-language/schema/raw/master/csl-citation.json"}</w:instrText>
      </w:r>
      <w:r w:rsidRPr="00896142">
        <w:rPr>
          <w:szCs w:val="24"/>
        </w:rPr>
        <w:fldChar w:fldCharType="separate"/>
      </w:r>
      <w:r w:rsidR="00A67ED2" w:rsidRPr="00A67ED2">
        <w:rPr>
          <w:noProof/>
          <w:szCs w:val="24"/>
        </w:rPr>
        <w:t>[167]</w:t>
      </w:r>
      <w:r w:rsidRPr="00896142">
        <w:rPr>
          <w:szCs w:val="24"/>
        </w:rPr>
        <w:fldChar w:fldCharType="end"/>
      </w:r>
      <w:r w:rsidRPr="00896142">
        <w:rPr>
          <w:szCs w:val="24"/>
        </w:rPr>
        <w:t xml:space="preserve"> </w:t>
      </w:r>
      <w:r w:rsidRPr="00896142">
        <w:rPr>
          <w:szCs w:val="24"/>
        </w:rPr>
        <w:fldChar w:fldCharType="begin" w:fldLock="1"/>
      </w:r>
      <w:r w:rsidR="00A67ED2">
        <w:rPr>
          <w:szCs w:val="24"/>
        </w:rPr>
        <w:instrText>ADDIN CSL_CITATION {"citationItems":[{"id":"ITEM-1","itemData":{"author":[{"dropping-particle":"","family":"Бесова Н.С., Борисова Т.Н., Ларионова В.Б., Лейдерман И.Н., Обухова О.А., Попова Т.С., Салтанов А.И., Сельчук В.Ю., Снеговой А.В., Ткачев С.И., Тюляндин С.А.","given":"Шестопалов А.И.","non-dropping-particle":"","parse-names":false,"suffix":""}],"id":"ITEM-1","issued":{"date-parts":[["2014"]]},"title":"Клинические рекомендации по нутритивной поддержке при химиотерапии и/или лучевой терапии","type":"report"},"uris":["http://www.mendeley.com/documents/?uuid=59e000a3-48e0-4529-8954-5598c41cc72e","http://www.mendeley.com/documents/?uuid=2475f28c-b7e0-408d-8d85-bd890e4862de","http://www.mendeley.com/documents/?uuid=2db47854-c914-42bd-bd4d-a19b47e78e0d","http://www.mendeley.com/documents/?uuid=113bc17a-cb71-4ba2-afb9-083757d46c9b","http://www.mendeley.com/documents/?uuid=17acaf09-3d29-4b25-b43e-598e8835165d","http://www.mendeley.com/documents/?uuid=2da28a52-fa64-480f-9c45-312b59a7027b","http://www.mendeley.com/documents/?uuid=fa470355-bcfd-3bef-a7a1-086215509c2d"]}],"mendeley":{"formattedCitation":"[169]","plainTextFormattedCitation":"[169]","previouslyFormattedCitation":"[149]"},"properties":{"noteIndex":0},"schema":"https://github.com/citation-style-language/schema/raw/master/csl-citation.json"}</w:instrText>
      </w:r>
      <w:r w:rsidRPr="00896142">
        <w:rPr>
          <w:szCs w:val="24"/>
        </w:rPr>
        <w:fldChar w:fldCharType="separate"/>
      </w:r>
      <w:r w:rsidR="00A67ED2" w:rsidRPr="00A67ED2">
        <w:rPr>
          <w:noProof/>
          <w:szCs w:val="24"/>
        </w:rPr>
        <w:t>[169]</w:t>
      </w:r>
      <w:r w:rsidRPr="00896142">
        <w:rPr>
          <w:szCs w:val="24"/>
        </w:rPr>
        <w:fldChar w:fldCharType="end"/>
      </w:r>
    </w:p>
    <w:p w14:paraId="44B01922" w14:textId="77777777" w:rsidR="006F27D1" w:rsidRPr="00896142" w:rsidRDefault="006F27D1" w:rsidP="006F27D1">
      <w:pPr>
        <w:ind w:firstLine="567"/>
        <w:rPr>
          <w:szCs w:val="24"/>
        </w:rPr>
      </w:pPr>
      <w:r w:rsidRPr="00896142">
        <w:rPr>
          <w:szCs w:val="24"/>
        </w:rPr>
        <w:t xml:space="preserve">• механическая кишечная непроходимость; </w:t>
      </w:r>
    </w:p>
    <w:p w14:paraId="32C10FE2" w14:textId="77777777" w:rsidR="006F27D1" w:rsidRPr="00896142" w:rsidRDefault="006F27D1" w:rsidP="006F27D1">
      <w:pPr>
        <w:ind w:firstLine="567"/>
        <w:rPr>
          <w:szCs w:val="24"/>
        </w:rPr>
      </w:pPr>
      <w:r w:rsidRPr="00896142">
        <w:rPr>
          <w:szCs w:val="24"/>
        </w:rPr>
        <w:t xml:space="preserve">• выраженная тошнота и рвота, не купирующаяся антиэметической терапией; </w:t>
      </w:r>
    </w:p>
    <w:p w14:paraId="338B2579" w14:textId="77777777" w:rsidR="006F27D1" w:rsidRPr="00896142" w:rsidRDefault="006F27D1" w:rsidP="006F27D1">
      <w:pPr>
        <w:ind w:firstLine="567"/>
        <w:rPr>
          <w:szCs w:val="24"/>
        </w:rPr>
      </w:pPr>
      <w:r w:rsidRPr="00896142">
        <w:rPr>
          <w:szCs w:val="24"/>
        </w:rPr>
        <w:t xml:space="preserve">• гипоксия (раО2 70 мм рт. ст.). </w:t>
      </w:r>
    </w:p>
    <w:p w14:paraId="7C295AA9" w14:textId="77777777" w:rsidR="006F27D1" w:rsidRDefault="006F27D1" w:rsidP="006F27D1">
      <w:pPr>
        <w:rPr>
          <w:szCs w:val="24"/>
          <w:u w:val="single"/>
        </w:rPr>
      </w:pPr>
    </w:p>
    <w:p w14:paraId="5987FF14" w14:textId="77777777" w:rsidR="006F27D1" w:rsidRPr="0031526F" w:rsidRDefault="006F27D1" w:rsidP="006F27D1">
      <w:pPr>
        <w:rPr>
          <w:szCs w:val="24"/>
          <w:u w:val="single"/>
        </w:rPr>
      </w:pPr>
      <w:r w:rsidRPr="0031526F">
        <w:rPr>
          <w:szCs w:val="24"/>
          <w:u w:val="single"/>
        </w:rPr>
        <w:t>Парентеральное питание</w:t>
      </w:r>
    </w:p>
    <w:p w14:paraId="51517B81" w14:textId="5164EF9F" w:rsidR="006F27D1" w:rsidRPr="00896142" w:rsidRDefault="006F27D1" w:rsidP="006F27D1">
      <w:pPr>
        <w:ind w:firstLine="851"/>
        <w:rPr>
          <w:szCs w:val="24"/>
        </w:rPr>
      </w:pPr>
      <w:r w:rsidRPr="00896142">
        <w:rPr>
          <w:szCs w:val="24"/>
        </w:rPr>
        <w:t xml:space="preserve">Показанием к парентеральному питанию является невозможность адекватного энтерального питания более 3 суток </w:t>
      </w:r>
      <w:r w:rsidRPr="00896142">
        <w:rPr>
          <w:szCs w:val="24"/>
        </w:rPr>
        <w:fldChar w:fldCharType="begin" w:fldLock="1"/>
      </w:r>
      <w:r w:rsidR="00A67ED2">
        <w:rPr>
          <w:szCs w:val="24"/>
        </w:rPr>
        <w:instrText>ADDIN CSL_CITATION {"citationItems":[{"id":"ITEM-1","itemData":{"DOI":"10.1007/s12094-017-1757-4","ISSN":"16993055","PMID":"29043569","abstract":"Background: Malnutrition is a frequent medical problem of cancer patients that negatively impacts their quality of life. Methods: A multidisciplinary group of experts in Medical Oncology, Pharmacy, and Nutrition convened to discuss the management of the nutritional support in cancer patients. Results: Of the 18 questions addressed, 9 focused on nutritional support, 5 were related to parenteral nutrition (PN) and 4 about home PN (HPN). The panel of experts recommends using nutritional screening routinely, at diagnosis and throughout the disease course, for detecting the risk of malnutrition and, if it is positive, to perform a complete nutritional assessment, to diagnose malnutrition. Currently, there are different screening tools and methods that allow us to detect nutritional risk. Based on the evidence and experience, the panel stated that PN is indicated mainly when it is not possible to use the digestive tract and/or oral feeding and/or enteral nutrition is not sufficient or possible. The nutritional needs of the cancer patients, except in those cases where individualized measures are required, should be considered similar to healthy individuals (25–30 kcal/kg/day). The panel considers that the nutritional monitoring of the cancer patient should be multidisciplinary and adapted to the characteristics of each center. Additionally, the objective of the HPN is to improve or maintain the nutritional status of a patient at home. Conclusions: This document seeks to lay down a set of recommendations and to identify key issues that may be useful for the nutritional management of cancer patients.","author":[{"dropping-particle":"","family":"Virizuela","given":"J. A.","non-dropping-particle":"","parse-names":false,"suffix":""},{"dropping-particle":"","family":"Camblor-Álvarez","given":"M.","non-dropping-particle":"","parse-names":false,"suffix":""},{"dropping-particle":"","family":"Luengo-Pérez","given":"L. M.","non-dropping-particle":"","parse-names":false,"suffix":""},{"dropping-particle":"","family":"Grande","given":"E.","non-dropping-particle":"","parse-names":false,"suffix":""},{"dropping-particle":"","family":"Álvarez-Hernández","given":"J.","non-dropping-particle":"","parse-names":false,"suffix":""},{"dropping-particle":"","family":"Sendrós-Madroño","given":"M. J.","non-dropping-particle":"","parse-names":false,"suffix":""},{"dropping-particle":"","family":"Jiménez-Fonseca","given":"P.","non-dropping-particle":"","parse-names":false,"suffix":""},{"dropping-particle":"","family":"Cervera-Peris","given":"M.","non-dropping-particle":"","parse-names":false,"suffix":""},{"dropping-particle":"","family":"Ocón-Bretón","given":"M. J.","non-dropping-particle":"","parse-names":false,"suffix":""}],"container-title":"Clinical and Translational Oncology","id":"ITEM-1","issue":"5","issued":{"date-parts":[["2018","5"]]},"page":"619-629","publisher":"Springer-Verlag Italia s.r.l.","title":"Nutritional support and parenteral nutrition in cancer patients: an expert consensus report","type":"article-journal","volume":"20"},"uris":["http://www.mendeley.com/documents/?uuid=c83d4cd9-a0be-448a-84b5-000651ccfa6e","http://www.mendeley.com/documents/?uuid=4a1cad31-99e3-4cf2-93ad-17d966d60db9","http://www.mendeley.com/documents/?uuid=dc45015e-2bbd-4e0a-8302-25dcb06c3c4c","http://www.mendeley.com/documents/?uuid=99911acc-feb8-4597-a8e1-899d1f00b719","http://www.mendeley.com/documents/?uuid=ddeb6586-712b-4c69-81e8-8e7e497e2d57","http://www.mendeley.com/documents/?uuid=ed2f4812-c506-484a-afb7-1bb5dae57ffb","http://www.mendeley.com/documents/?uuid=555471fe-b9e3-303f-adcc-eecf69d63698"]}],"mendeley":{"formattedCitation":"[168]","plainTextFormattedCitation":"[168]","previouslyFormattedCitation":"[148]"},"properties":{"noteIndex":0},"schema":"https://github.com/citation-style-language/schema/raw/master/csl-citation.json"}</w:instrText>
      </w:r>
      <w:r w:rsidRPr="00896142">
        <w:rPr>
          <w:szCs w:val="24"/>
        </w:rPr>
        <w:fldChar w:fldCharType="separate"/>
      </w:r>
      <w:r w:rsidR="00A67ED2" w:rsidRPr="00A67ED2">
        <w:rPr>
          <w:noProof/>
          <w:szCs w:val="24"/>
        </w:rPr>
        <w:t>[168]</w:t>
      </w:r>
      <w:r w:rsidRPr="00896142">
        <w:rPr>
          <w:szCs w:val="24"/>
        </w:rPr>
        <w:fldChar w:fldCharType="end"/>
      </w:r>
      <w:r w:rsidRPr="00896142">
        <w:rPr>
          <w:szCs w:val="24"/>
        </w:rPr>
        <w:t>. В зависимости от продолжительности парентеральное питание подразделяется на:</w:t>
      </w:r>
    </w:p>
    <w:p w14:paraId="3DFBEA84" w14:textId="77777777" w:rsidR="006F27D1" w:rsidRPr="00896142" w:rsidRDefault="006F27D1" w:rsidP="006F27D1">
      <w:pPr>
        <w:ind w:firstLine="567"/>
        <w:rPr>
          <w:szCs w:val="24"/>
        </w:rPr>
      </w:pPr>
      <w:r w:rsidRPr="00896142">
        <w:rPr>
          <w:szCs w:val="24"/>
        </w:rPr>
        <w:t>• краткосрочное ПП (10–15 суток):</w:t>
      </w:r>
    </w:p>
    <w:p w14:paraId="04609DF4" w14:textId="77777777" w:rsidR="006F27D1" w:rsidRPr="00896142" w:rsidRDefault="006F27D1" w:rsidP="006F27D1">
      <w:pPr>
        <w:ind w:firstLine="567"/>
        <w:rPr>
          <w:szCs w:val="24"/>
        </w:rPr>
      </w:pPr>
      <w:r w:rsidRPr="00896142">
        <w:rPr>
          <w:szCs w:val="24"/>
        </w:rPr>
        <w:lastRenderedPageBreak/>
        <w:t>– острый и тяжелый мукозит, илеус, некупируемая рвота;</w:t>
      </w:r>
    </w:p>
    <w:p w14:paraId="09983E82" w14:textId="77777777" w:rsidR="006F27D1" w:rsidRPr="00896142" w:rsidRDefault="006F27D1" w:rsidP="006F27D1">
      <w:pPr>
        <w:ind w:firstLine="567"/>
        <w:rPr>
          <w:szCs w:val="24"/>
        </w:rPr>
      </w:pPr>
      <w:r w:rsidRPr="00896142">
        <w:rPr>
          <w:szCs w:val="24"/>
        </w:rPr>
        <w:t>• длительное (более 30 суток):</w:t>
      </w:r>
    </w:p>
    <w:p w14:paraId="30A2C2CA" w14:textId="77777777" w:rsidR="006F27D1" w:rsidRPr="00896142" w:rsidRDefault="006F27D1" w:rsidP="006F27D1">
      <w:pPr>
        <w:ind w:firstLine="567"/>
        <w:rPr>
          <w:szCs w:val="24"/>
        </w:rPr>
      </w:pPr>
      <w:r w:rsidRPr="00896142">
        <w:rPr>
          <w:szCs w:val="24"/>
        </w:rPr>
        <w:t>– тяжелая мальабсорбция;</w:t>
      </w:r>
    </w:p>
    <w:p w14:paraId="6F1796BF" w14:textId="77777777" w:rsidR="006F27D1" w:rsidRPr="00896142" w:rsidRDefault="006F27D1" w:rsidP="006F27D1">
      <w:pPr>
        <w:ind w:firstLine="567"/>
        <w:rPr>
          <w:szCs w:val="24"/>
        </w:rPr>
      </w:pPr>
      <w:r w:rsidRPr="00896142">
        <w:rPr>
          <w:szCs w:val="24"/>
        </w:rPr>
        <w:t>– подострый или хронический энтерит;</w:t>
      </w:r>
    </w:p>
    <w:p w14:paraId="76FF15A5" w14:textId="07744C01" w:rsidR="006F27D1" w:rsidRPr="00896142" w:rsidRDefault="006F27D1" w:rsidP="006F27D1">
      <w:pPr>
        <w:ind w:firstLine="567"/>
        <w:rPr>
          <w:szCs w:val="24"/>
        </w:rPr>
      </w:pPr>
      <w:r w:rsidRPr="00896142">
        <w:rPr>
          <w:szCs w:val="24"/>
        </w:rPr>
        <w:t xml:space="preserve">– тяжелая энтеропатия </w:t>
      </w:r>
      <w:r w:rsidRPr="00896142">
        <w:rPr>
          <w:szCs w:val="24"/>
        </w:rPr>
        <w:fldChar w:fldCharType="begin" w:fldLock="1"/>
      </w:r>
      <w:r w:rsidR="00A67ED2">
        <w:rPr>
          <w:szCs w:val="24"/>
        </w:rPr>
        <w:instrText>ADDIN CSL_CITATION {"citationItems":[{"id":"ITEM-1","itemData":{"DOI":"10.18027/2224-5057-2017-7-3s2-524-532","author":[{"dropping-particle":"","family":"Сытов А.В., Лейдерман И.Н., Ломидзе С.В., Нехаев И.В.","given":"Хотеев А.Ж.;","non-dropping-particle":"","parse-names":false,"suffix":""}],"container-title":"RUSSCO","id":"ITEM-1","issued":{"date-parts":[["2017"]]},"page":"524-532","title":"Практические рекомендации по нутритивной поддержке онкологических больных","type":"article-journal"},"uris":["http://www.mendeley.com/documents/?uuid=a6673349-099e-4c86-922d-b6b69b73ee38","http://www.mendeley.com/documents/?uuid=d8f4044a-9d39-4071-8266-cbd0ae05b0d9","http://www.mendeley.com/documents/?uuid=260337e2-8643-4a98-b22a-51f427e64df0","http://www.mendeley.com/documents/?uuid=a93dd076-f883-470f-9078-09d5bea12d18","http://www.mendeley.com/documents/?uuid=09a52a75-b0e4-4371-af21-5958257d9c6b","http://www.mendeley.com/documents/?uuid=b7d0213d-9037-458b-9137-8ba92417f389","http://www.mendeley.com/documents/?uuid=d1a841f7-cf41-3658-b869-ec5c58850b6d"]}],"mendeley":{"formattedCitation":"[167]","plainTextFormattedCitation":"[167]","previouslyFormattedCitation":"[147]"},"properties":{"noteIndex":0},"schema":"https://github.com/citation-style-language/schema/raw/master/csl-citation.json"}</w:instrText>
      </w:r>
      <w:r w:rsidRPr="00896142">
        <w:rPr>
          <w:szCs w:val="24"/>
        </w:rPr>
        <w:fldChar w:fldCharType="separate"/>
      </w:r>
      <w:r w:rsidR="00A67ED2" w:rsidRPr="00A67ED2">
        <w:rPr>
          <w:noProof/>
          <w:szCs w:val="24"/>
        </w:rPr>
        <w:t>[167]</w:t>
      </w:r>
      <w:r w:rsidRPr="00896142">
        <w:rPr>
          <w:szCs w:val="24"/>
        </w:rPr>
        <w:fldChar w:fldCharType="end"/>
      </w:r>
      <w:r w:rsidRPr="00896142">
        <w:rPr>
          <w:szCs w:val="24"/>
        </w:rPr>
        <w:t xml:space="preserve"> </w:t>
      </w:r>
      <w:r w:rsidRPr="00896142">
        <w:rPr>
          <w:szCs w:val="24"/>
        </w:rPr>
        <w:fldChar w:fldCharType="begin" w:fldLock="1"/>
      </w:r>
      <w:r w:rsidR="00A67ED2">
        <w:rPr>
          <w:szCs w:val="24"/>
        </w:rPr>
        <w:instrText>ADDIN CSL_CITATION {"citationItems":[{"id":"ITEM-1","itemData":{"DOI":"10.1001/jama.2019.4410","ISSN":"15383598","PMID":"31162570","author":[{"dropping-particle":"","family":"Baiu","given":"Ioana","non-dropping-particle":"","parse-names":false,"suffix":""},{"dropping-particle":"","family":"Spain","given":"David A.","non-dropping-particle":"","parse-names":false,"suffix":""}],"container-title":"JAMA - Journal of the American Medical Association","id":"ITEM-1","issue":"21","issued":{"date-parts":[["2019","6"]]},"page":"2142","publisher":"American Medical Association","title":"Parenteral Nutrition","type":"article","volume":"321"},"uris":["http://www.mendeley.com/documents/?uuid=319ff49c-9a97-32da-a348-b9d79eca400b","http://www.mendeley.com/documents/?uuid=03649143-9c16-417d-8fce-a095e89ff015","http://www.mendeley.com/documents/?uuid=8d92b52e-0af0-435c-9547-6d9170d6c9cc","http://www.mendeley.com/documents/?uuid=49bd1d62-adbc-4b20-8d75-34e8045f6cca","http://www.mendeley.com/documents/?uuid=f45d6235-29b7-40a1-9ebd-0275ed3b5ca7","http://www.mendeley.com/documents/?uuid=34664a84-1020-4ffd-981d-6f9624985d2e","http://www.mendeley.com/documents/?uuid=1967195b-eca8-4ade-9d2d-ff8332f19f7b"]}],"mendeley":{"formattedCitation":"[172]","plainTextFormattedCitation":"[172]","previouslyFormattedCitation":"[152]"},"properties":{"noteIndex":0},"schema":"https://github.com/citation-style-language/schema/raw/master/csl-citation.json"}</w:instrText>
      </w:r>
      <w:r w:rsidRPr="00896142">
        <w:rPr>
          <w:szCs w:val="24"/>
        </w:rPr>
        <w:fldChar w:fldCharType="separate"/>
      </w:r>
      <w:r w:rsidR="00A67ED2" w:rsidRPr="00A67ED2">
        <w:rPr>
          <w:noProof/>
          <w:szCs w:val="24"/>
        </w:rPr>
        <w:t>[172]</w:t>
      </w:r>
      <w:r w:rsidRPr="00896142">
        <w:rPr>
          <w:szCs w:val="24"/>
        </w:rPr>
        <w:fldChar w:fldCharType="end"/>
      </w:r>
      <w:r w:rsidRPr="00896142">
        <w:rPr>
          <w:szCs w:val="24"/>
        </w:rPr>
        <w:t>.</w:t>
      </w:r>
    </w:p>
    <w:p w14:paraId="32EE4950" w14:textId="77777777" w:rsidR="006F27D1" w:rsidRPr="00896142" w:rsidRDefault="006F27D1" w:rsidP="006F27D1">
      <w:pPr>
        <w:ind w:firstLine="851"/>
        <w:rPr>
          <w:szCs w:val="24"/>
        </w:rPr>
      </w:pPr>
      <w:r w:rsidRPr="00896142">
        <w:rPr>
          <w:szCs w:val="24"/>
        </w:rPr>
        <w:t xml:space="preserve">Необходимые организму нутриенты вводятся непосредственно в кровь. Основными составляющими парентерального питания являются: </w:t>
      </w:r>
    </w:p>
    <w:p w14:paraId="7A7F4AF7" w14:textId="77777777" w:rsidR="006F27D1" w:rsidRPr="00896142" w:rsidRDefault="006F27D1" w:rsidP="006F27D1">
      <w:pPr>
        <w:ind w:firstLine="567"/>
        <w:rPr>
          <w:szCs w:val="24"/>
        </w:rPr>
      </w:pPr>
      <w:r w:rsidRPr="00896142">
        <w:rPr>
          <w:szCs w:val="24"/>
        </w:rPr>
        <w:t xml:space="preserve">• источники энергии: 10–20% растворы углеводов, жировые эмульсии; </w:t>
      </w:r>
    </w:p>
    <w:p w14:paraId="006BDBD2" w14:textId="77777777" w:rsidR="006F27D1" w:rsidRPr="00896142" w:rsidRDefault="006F27D1" w:rsidP="006F27D1">
      <w:pPr>
        <w:ind w:firstLine="567"/>
        <w:rPr>
          <w:szCs w:val="24"/>
        </w:rPr>
      </w:pPr>
      <w:r w:rsidRPr="00896142">
        <w:rPr>
          <w:szCs w:val="24"/>
        </w:rPr>
        <w:t xml:space="preserve">• источники пластического материала: растворы кристаллических аминокислот; </w:t>
      </w:r>
    </w:p>
    <w:p w14:paraId="44DCC4F5" w14:textId="07B8D49C" w:rsidR="006F27D1" w:rsidRPr="00896142" w:rsidRDefault="006F27D1" w:rsidP="006F27D1">
      <w:pPr>
        <w:ind w:firstLine="567"/>
        <w:rPr>
          <w:szCs w:val="24"/>
        </w:rPr>
      </w:pPr>
      <w:r w:rsidRPr="00896142">
        <w:rPr>
          <w:szCs w:val="24"/>
        </w:rPr>
        <w:t xml:space="preserve">• поливитаминные комплексы для парентерального введения: – препараты водорастворимых витаминов; – препараты жирорастворимых витаминов; – препараты водо- и жирорастворимых витаминов; – комплексы микроэлементов для парентерального введения </w:t>
      </w:r>
      <w:r w:rsidRPr="00896142">
        <w:rPr>
          <w:szCs w:val="24"/>
        </w:rPr>
        <w:fldChar w:fldCharType="begin" w:fldLock="1"/>
      </w:r>
      <w:r w:rsidR="00A67ED2">
        <w:rPr>
          <w:szCs w:val="24"/>
        </w:rPr>
        <w:instrText>ADDIN CSL_CITATION {"citationItems":[{"id":"ITEM-1","itemData":{"DOI":"10.1007/s12094-017-1757-4","ISSN":"16993055","PMID":"29043569","abstract":"Background: Malnutrition is a frequent medical problem of cancer patients that negatively impacts their quality of life. Methods: A multidisciplinary group of experts in Medical Oncology, Pharmacy, and Nutrition convened to discuss the management of the nutritional support in cancer patients. Results: Of the 18 questions addressed, 9 focused on nutritional support, 5 were related to parenteral nutrition (PN) and 4 about home PN (HPN). The panel of experts recommends using nutritional screening routinely, at diagnosis and throughout the disease course, for detecting the risk of malnutrition and, if it is positive, to perform a complete nutritional assessment, to diagnose malnutrition. Currently, there are different screening tools and methods that allow us to detect nutritional risk. Based on the evidence and experience, the panel stated that PN is indicated mainly when it is not possible to use the digestive tract and/or oral feeding and/or enteral nutrition is not sufficient or possible. The nutritional needs of the cancer patients, except in those cases where individualized measures are required, should be considered similar to healthy individuals (25–30 kcal/kg/day). The panel considers that the nutritional monitoring of the cancer patient should be multidisciplinary and adapted to the characteristics of each center. Additionally, the objective of the HPN is to improve or maintain the nutritional status of a patient at home. Conclusions: This document seeks to lay down a set of recommendations and to identify key issues that may be useful for the nutritional management of cancer patients.","author":[{"dropping-particle":"","family":"Virizuela","given":"J. A.","non-dropping-particle":"","parse-names":false,"suffix":""},{"dropping-particle":"","family":"Camblor-Álvarez","given":"M.","non-dropping-particle":"","parse-names":false,"suffix":""},{"dropping-particle":"","family":"Luengo-Pérez","given":"L. M.","non-dropping-particle":"","parse-names":false,"suffix":""},{"dropping-particle":"","family":"Grande","given":"E.","non-dropping-particle":"","parse-names":false,"suffix":""},{"dropping-particle":"","family":"Álvarez-Hernández","given":"J.","non-dropping-particle":"","parse-names":false,"suffix":""},{"dropping-particle":"","family":"Sendrós-Madroño","given":"M. J.","non-dropping-particle":"","parse-names":false,"suffix":""},{"dropping-particle":"","family":"Jiménez-Fonseca","given":"P.","non-dropping-particle":"","parse-names":false,"suffix":""},{"dropping-particle":"","family":"Cervera-Peris","given":"M.","non-dropping-particle":"","parse-names":false,"suffix":""},{"dropping-particle":"","family":"Ocón-Bretón","given":"M. J.","non-dropping-particle":"","parse-names":false,"suffix":""}],"container-title":"Clinical and Translational Oncology","id":"ITEM-1","issue":"5","issued":{"date-parts":[["2018","5"]]},"page":"619-629","publisher":"Springer-Verlag Italia s.r.l.","title":"Nutritional support and parenteral nutrition in cancer patients: an expert consensus report","type":"article-journal","volume":"20"},"uris":["http://www.mendeley.com/documents/?uuid=c83d4cd9-a0be-448a-84b5-000651ccfa6e","http://www.mendeley.com/documents/?uuid=4a1cad31-99e3-4cf2-93ad-17d966d60db9","http://www.mendeley.com/documents/?uuid=dc45015e-2bbd-4e0a-8302-25dcb06c3c4c","http://www.mendeley.com/documents/?uuid=99911acc-feb8-4597-a8e1-899d1f00b719","http://www.mendeley.com/documents/?uuid=ddeb6586-712b-4c69-81e8-8e7e497e2d57","http://www.mendeley.com/documents/?uuid=ed2f4812-c506-484a-afb7-1bb5dae57ffb","http://www.mendeley.com/documents/?uuid=555471fe-b9e3-303f-adcc-eecf69d63698"]}],"mendeley":{"formattedCitation":"[168]","plainTextFormattedCitation":"[168]","previouslyFormattedCitation":"[148]"},"properties":{"noteIndex":0},"schema":"https://github.com/citation-style-language/schema/raw/master/csl-citation.json"}</w:instrText>
      </w:r>
      <w:r w:rsidRPr="00896142">
        <w:rPr>
          <w:szCs w:val="24"/>
        </w:rPr>
        <w:fldChar w:fldCharType="separate"/>
      </w:r>
      <w:r w:rsidR="00A67ED2" w:rsidRPr="00A67ED2">
        <w:rPr>
          <w:noProof/>
          <w:szCs w:val="24"/>
        </w:rPr>
        <w:t>[168]</w:t>
      </w:r>
      <w:r w:rsidRPr="00896142">
        <w:rPr>
          <w:szCs w:val="24"/>
        </w:rPr>
        <w:fldChar w:fldCharType="end"/>
      </w:r>
      <w:r w:rsidRPr="00896142">
        <w:rPr>
          <w:szCs w:val="24"/>
        </w:rPr>
        <w:t xml:space="preserve">. </w:t>
      </w:r>
    </w:p>
    <w:p w14:paraId="647CB149" w14:textId="2CCE27E7" w:rsidR="006F27D1" w:rsidRPr="00896142" w:rsidRDefault="006F27D1" w:rsidP="006F27D1">
      <w:pPr>
        <w:ind w:firstLine="851"/>
        <w:rPr>
          <w:szCs w:val="24"/>
        </w:rPr>
      </w:pPr>
      <w:r w:rsidRPr="00896142">
        <w:rPr>
          <w:szCs w:val="24"/>
        </w:rPr>
        <w:t xml:space="preserve">Системы парентерального питания </w:t>
      </w:r>
      <w:r w:rsidRPr="00896142">
        <w:rPr>
          <w:szCs w:val="24"/>
        </w:rPr>
        <w:fldChar w:fldCharType="begin" w:fldLock="1"/>
      </w:r>
      <w:r w:rsidR="00A67ED2">
        <w:rPr>
          <w:szCs w:val="24"/>
        </w:rPr>
        <w:instrText>ADDIN CSL_CITATION {"citationItems":[{"id":"ITEM-1","itemData":{"DOI":"10.18027/2224-5057-2017-7-3s2-524-532","author":[{"dropping-particle":"","family":"Сытов А.В., Лейдерман И.Н., Ломидзе С.В., Нехаев И.В.","given":"Хотеев А.Ж.;","non-dropping-particle":"","parse-names":false,"suffix":""}],"container-title":"RUSSCO","id":"ITEM-1","issued":{"date-parts":[["2017"]]},"page":"524-532","title":"Практические рекомендации по нутритивной поддержке онкологических больных","type":"article-journal"},"uris":["http://www.mendeley.com/documents/?uuid=a6673349-099e-4c86-922d-b6b69b73ee38","http://www.mendeley.com/documents/?uuid=d8f4044a-9d39-4071-8266-cbd0ae05b0d9","http://www.mendeley.com/documents/?uuid=260337e2-8643-4a98-b22a-51f427e64df0","http://www.mendeley.com/documents/?uuid=a93dd076-f883-470f-9078-09d5bea12d18","http://www.mendeley.com/documents/?uuid=09a52a75-b0e4-4371-af21-5958257d9c6b","http://www.mendeley.com/documents/?uuid=b7d0213d-9037-458b-9137-8ba92417f389","http://www.mendeley.com/documents/?uuid=d1a841f7-cf41-3658-b869-ec5c58850b6d"]}],"mendeley":{"formattedCitation":"[167]","plainTextFormattedCitation":"[167]","previouslyFormattedCitation":"[147]"},"properties":{"noteIndex":0},"schema":"https://github.com/citation-style-language/schema/raw/master/csl-citation.json"}</w:instrText>
      </w:r>
      <w:r w:rsidRPr="00896142">
        <w:rPr>
          <w:szCs w:val="24"/>
        </w:rPr>
        <w:fldChar w:fldCharType="separate"/>
      </w:r>
      <w:r w:rsidR="00A67ED2" w:rsidRPr="00A67ED2">
        <w:rPr>
          <w:noProof/>
          <w:szCs w:val="24"/>
        </w:rPr>
        <w:t>[167]</w:t>
      </w:r>
      <w:r w:rsidRPr="00896142">
        <w:rPr>
          <w:szCs w:val="24"/>
        </w:rPr>
        <w:fldChar w:fldCharType="end"/>
      </w:r>
      <w:r w:rsidRPr="00896142">
        <w:rPr>
          <w:szCs w:val="24"/>
        </w:rPr>
        <w:t xml:space="preserve"> </w:t>
      </w:r>
      <w:r w:rsidRPr="00896142">
        <w:rPr>
          <w:szCs w:val="24"/>
        </w:rPr>
        <w:fldChar w:fldCharType="begin" w:fldLock="1"/>
      </w:r>
      <w:r w:rsidR="00A67ED2">
        <w:rPr>
          <w:szCs w:val="24"/>
        </w:rPr>
        <w:instrText>ADDIN CSL_CITATION {"citationItems":[{"id":"ITEM-1","itemData":{"DOI":"10.1016/j.clnu.2016.07.015","ISSN":"15321983","PMID":"27637832","abstract":"Cancers are among the leading causes of morbidity and mortality worldwide, and the number of new cases is expected to rise significantly over the next decades. At the same time, all types of cancer treatment, such as surgery, radiation therapy, and pharmacological therapies are improving in sophistication, precision and in the power to target specific characteristics of individual cancers. Thus, while many cancers may still not be cured they may be converted to chronic diseases. All of these treatments, however, are impeded or precluded by the frequent development of malnutrition and metabolic derangements in cancer patients, induced by the tumor or by its treatment. These evidence-based guidelines were developed to translate current best evidence and expert opinion into recommendations for multi-disciplinary teams responsible for identification, prevention, and treatment of reversible elements of malnutrition in adult cancer patients. The guidelines were commissioned and financially supported by ESPEN and by the European Partnership for Action Against Cancer (EPAAC), an EU level initiative. Members of the guideline group were selected by ESPEN to include a range of professions and fields of expertise. We searched for meta-analyses, systematic reviews and comparative studies based on clinical questions according to the PICO format. The evidence was evaluated and merged to develop clinical recommendations using the GRADE method. Due to the deficits in the available evidence, relevant still open questions were listed and should be addressed by future studies. Malnutrition and a loss of muscle mass are frequent in cancer patients and have a negative effect on clinical outcome. They may be driven by inadequate food intake, decreased physical activity and catabolic metabolic derangements. To screen for, prevent, assess in detail, monitor and treat malnutrition standard operating procedures, responsibilities and a quality control process should be established at each institution involved in treating cancer patients. All cancer patients should be screened regularly for the risk or the presence of malnutrition. In all patients – with the exception of end of life care – energy and substrate requirements should be met by offering in a step-wise manner nutritional interventions from counseling to parenteral nutrition. However, benefits and risks of nutritional interventions have to be balanced with special consideration in patients with advanced disease. Nutrition…","author":[{"dropping-particle":"","family":"Arends","given":"Jann","non-dropping-particle":"","parse-names":false,"suffix":""},{"dropping-particle":"","family":"Bachmann","given":"Patrick","non-dropping-particle":"","parse-names":false,"suffix":""},{"dropping-particle":"","family":"Baracos","given":"Vickie","non-dropping-particle":"","parse-names":false,"suffix":""},{"dropping-particle":"","family":"Barthelemy","given":"Nicole","non-dropping-particle":"","parse-names":false,"suffix":""},{"dropping-particle":"","family":"Bertz","given":"Hartmut","non-dropping-particle":"","parse-names":false,"suffix":""},{"dropping-particle":"","family":"Bozzetti","given":"Federico","non-dropping-particle":"","parse-names":false,"suffix":""},{"dropping-particle":"","family":"Fearon","given":"Ken","non-dropping-particle":"","parse-names":false,"suffix":""},{"dropping-particle":"","family":"Hütterer","given":"Elisabeth","non-dropping-particle":"","parse-names":false,"suffix":""},{"dropping-particle":"","family":"Isenring","given":"Elizabeth","non-dropping-particle":"","parse-names":false,"suffix":""},{"dropping-particle":"","family":"Kaasa","given":"Stein","non-dropping-particle":"","parse-names":false,"suffix":""},{"dropping-particle":"","family":"Krznaric","given":"Zeljko","non-dropping-particle":"","parse-names":false,"suffix":""},{"dropping-particle":"","family":"Laird","given":"Barry","non-dropping-particle":"","parse-names":false,"suffix":""},{"dropping-particle":"","family":"Larsson","given":"Maria","non-dropping-particle":"","parse-names":false,"suffix":""},{"dropping-particle":"","family":"Laviano","given":"Alessandro","non-dropping-particle":"","parse-names":false,"suffix":""},{"dropping-particle":"","family":"Mühlebach","given":"Stefan","non-dropping-particle":"","parse-names":false,"suffix":""},{"dropping-particle":"","family":"Muscaritoli","given":"Maurizio","non-dropping-particle":"","parse-names":false,"suffix":""},{"dropping-particle":"","family":"Oldervoll","given":"Line","non-dropping-particle":"","parse-names":false,"suffix":""},{"dropping-particle":"","family":"Ravasco","given":"Paula","non-dropping-particle":"","parse-names":false,"suffix":""},{"dropping-particle":"","family":"Solheim","given":"Tora","non-dropping-particle":"","parse-names":false,"suffix":""},{"dropping-particle":"","family":"Strasser","given":"Florian","non-dropping-particle":"","parse-names":false,"suffix":""},{"dropping-particle":"","family":"van der Schueren","given":"Marian","non-dropping-particle":"de","parse-names":false,"suffix":""},{"dropping-particle":"","family":"Preiser","given":"Jean Charles","non-dropping-particle":"","parse-names":false,"suffix":""}],"container-title":"Clinical Nutrition","id":"ITEM-1","issue":"1","issued":{"date-parts":[["2017"]]},"page":"11-48","publisher":"Churchill Livingstone","title":"ESPEN guidelines on nutrition in cancer patients","type":"article-journal","volume":"36"},"uris":["http://www.mendeley.com/documents/?uuid=2586b0c4-9eb6-4463-a0ba-87fe84fbad8f"]}],"mendeley":{"formattedCitation":"[170]","plainTextFormattedCitation":"[170]","previouslyFormattedCitation":"[150]"},"properties":{"noteIndex":0},"schema":"https://github.com/citation-style-language/schema/raw/master/csl-citation.json"}</w:instrText>
      </w:r>
      <w:r w:rsidRPr="00896142">
        <w:rPr>
          <w:szCs w:val="24"/>
        </w:rPr>
        <w:fldChar w:fldCharType="separate"/>
      </w:r>
      <w:r w:rsidR="00A67ED2" w:rsidRPr="00A67ED2">
        <w:rPr>
          <w:noProof/>
          <w:szCs w:val="24"/>
        </w:rPr>
        <w:t>[170]</w:t>
      </w:r>
      <w:r w:rsidRPr="00896142">
        <w:rPr>
          <w:szCs w:val="24"/>
        </w:rPr>
        <w:fldChar w:fldCharType="end"/>
      </w:r>
    </w:p>
    <w:p w14:paraId="1EAA315C" w14:textId="77777777" w:rsidR="006F27D1" w:rsidRPr="00896142" w:rsidRDefault="006F27D1" w:rsidP="006F27D1">
      <w:pPr>
        <w:ind w:firstLine="851"/>
        <w:rPr>
          <w:szCs w:val="24"/>
        </w:rPr>
      </w:pPr>
      <w:r w:rsidRPr="00896142">
        <w:rPr>
          <w:szCs w:val="24"/>
        </w:rPr>
        <w:t xml:space="preserve">• «модульная» – использование флаконов с аминокислотами, глюкозой, жировыми эмульсиями; (главным недостатком данного метода является различная скорость введения препаратов); </w:t>
      </w:r>
    </w:p>
    <w:p w14:paraId="02346939" w14:textId="77777777" w:rsidR="006F27D1" w:rsidRPr="00896142" w:rsidRDefault="006F27D1" w:rsidP="006F27D1">
      <w:pPr>
        <w:ind w:firstLine="851"/>
        <w:rPr>
          <w:szCs w:val="24"/>
        </w:rPr>
      </w:pPr>
      <w:r w:rsidRPr="00896142">
        <w:rPr>
          <w:szCs w:val="24"/>
        </w:rPr>
        <w:t xml:space="preserve">• система «все в одном» предполагает использование двух- и трехкомпонентных контейнеров с подобранным необходимым количеством и метаболически верным соотношением аминокислот, глюкозы, липидов и электролитов. </w:t>
      </w:r>
    </w:p>
    <w:p w14:paraId="2FB5582B" w14:textId="5360A18E" w:rsidR="006F27D1" w:rsidRPr="00896142" w:rsidRDefault="006F27D1" w:rsidP="006F27D1">
      <w:pPr>
        <w:ind w:firstLine="851"/>
        <w:rPr>
          <w:szCs w:val="24"/>
        </w:rPr>
      </w:pPr>
      <w:r w:rsidRPr="00896142">
        <w:rPr>
          <w:szCs w:val="24"/>
        </w:rPr>
        <w:t xml:space="preserve">Противопоказания к парентеральному питанию </w:t>
      </w:r>
      <w:r w:rsidRPr="00896142">
        <w:rPr>
          <w:szCs w:val="24"/>
        </w:rPr>
        <w:fldChar w:fldCharType="begin" w:fldLock="1"/>
      </w:r>
      <w:r w:rsidR="00A67ED2">
        <w:rPr>
          <w:szCs w:val="24"/>
        </w:rPr>
        <w:instrText>ADDIN CSL_CITATION {"citationItems":[{"id":"ITEM-1","itemData":{"DOI":"10.18027/2224-5057-2017-7-3s2-524-532","author":[{"dropping-particle":"","family":"Сытов А.В., Лейдерман И.Н., Ломидзе С.В., Нехаев И.В.","given":"Хотеев А.Ж.;","non-dropping-particle":"","parse-names":false,"suffix":""}],"container-title":"RUSSCO","id":"ITEM-1","issued":{"date-parts":[["2017"]]},"page":"524-532","title":"Практические рекомендации по нутритивной поддержке онкологических больных","type":"article-journal"},"uris":["http://www.mendeley.com/documents/?uuid=a6673349-099e-4c86-922d-b6b69b73ee38","http://www.mendeley.com/documents/?uuid=d8f4044a-9d39-4071-8266-cbd0ae05b0d9","http://www.mendeley.com/documents/?uuid=260337e2-8643-4a98-b22a-51f427e64df0","http://www.mendeley.com/documents/?uuid=a93dd076-f883-470f-9078-09d5bea12d18","http://www.mendeley.com/documents/?uuid=09a52a75-b0e4-4371-af21-5958257d9c6b","http://www.mendeley.com/documents/?uuid=b7d0213d-9037-458b-9137-8ba92417f389","http://www.mendeley.com/documents/?uuid=d1a841f7-cf41-3658-b869-ec5c58850b6d"]}],"mendeley":{"formattedCitation":"[167]","plainTextFormattedCitation":"[167]","previouslyFormattedCitation":"[147]"},"properties":{"noteIndex":0},"schema":"https://github.com/citation-style-language/schema/raw/master/csl-citation.json"}</w:instrText>
      </w:r>
      <w:r w:rsidRPr="00896142">
        <w:rPr>
          <w:szCs w:val="24"/>
        </w:rPr>
        <w:fldChar w:fldCharType="separate"/>
      </w:r>
      <w:r w:rsidR="00A67ED2" w:rsidRPr="00A67ED2">
        <w:rPr>
          <w:noProof/>
          <w:szCs w:val="24"/>
        </w:rPr>
        <w:t>[167]</w:t>
      </w:r>
      <w:r w:rsidRPr="00896142">
        <w:rPr>
          <w:szCs w:val="24"/>
        </w:rPr>
        <w:fldChar w:fldCharType="end"/>
      </w:r>
      <w:r w:rsidRPr="00896142">
        <w:rPr>
          <w:szCs w:val="24"/>
        </w:rPr>
        <w:t xml:space="preserve"> </w:t>
      </w:r>
      <w:r w:rsidRPr="00896142">
        <w:rPr>
          <w:szCs w:val="24"/>
        </w:rPr>
        <w:fldChar w:fldCharType="begin" w:fldLock="1"/>
      </w:r>
      <w:r w:rsidR="00A67ED2">
        <w:rPr>
          <w:szCs w:val="24"/>
        </w:rPr>
        <w:instrText>ADDIN CSL_CITATION {"citationItems":[{"id":"ITEM-1","itemData":{"DOI":"10.1016/j.clnu.2016.07.015","ISSN":"15321983","PMID":"27637832","abstract":"Cancers are among the leading causes of morbidity and mortality worldwide, and the number of new cases is expected to rise significantly over the next decades. At the same time, all types of cancer treatment, such as surgery, radiation therapy, and pharmacological therapies are improving in sophistication, precision and in the power to target specific characteristics of individual cancers. Thus, while many cancers may still not be cured they may be converted to chronic diseases. All of these treatments, however, are impeded or precluded by the frequent development of malnutrition and metabolic derangements in cancer patients, induced by the tumor or by its treatment. These evidence-based guidelines were developed to translate current best evidence and expert opinion into recommendations for multi-disciplinary teams responsible for identification, prevention, and treatment of reversible elements of malnutrition in adult cancer patients. The guidelines were commissioned and financially supported by ESPEN and by the European Partnership for Action Against Cancer (EPAAC), an EU level initiative. Members of the guideline group were selected by ESPEN to include a range of professions and fields of expertise. We searched for meta-analyses, systematic reviews and comparative studies based on clinical questions according to the PICO format. The evidence was evaluated and merged to develop clinical recommendations using the GRADE method. Due to the deficits in the available evidence, relevant still open questions were listed and should be addressed by future studies. Malnutrition and a loss of muscle mass are frequent in cancer patients and have a negative effect on clinical outcome. They may be driven by inadequate food intake, decreased physical activity and catabolic metabolic derangements. To screen for, prevent, assess in detail, monitor and treat malnutrition standard operating procedures, responsibilities and a quality control process should be established at each institution involved in treating cancer patients. All cancer patients should be screened regularly for the risk or the presence of malnutrition. In all patients – with the exception of end of life care – energy and substrate requirements should be met by offering in a step-wise manner nutritional interventions from counseling to parenteral nutrition. However, benefits and risks of nutritional interventions have to be balanced with special consideration in patients with advanced disease. Nutrition…","author":[{"dropping-particle":"","family":"Arends","given":"Jann","non-dropping-particle":"","parse-names":false,"suffix":""},{"dropping-particle":"","family":"Bachmann","given":"Patrick","non-dropping-particle":"","parse-names":false,"suffix":""},{"dropping-particle":"","family":"Baracos","given":"Vickie","non-dropping-particle":"","parse-names":false,"suffix":""},{"dropping-particle":"","family":"Barthelemy","given":"Nicole","non-dropping-particle":"","parse-names":false,"suffix":""},{"dropping-particle":"","family":"Bertz","given":"Hartmut","non-dropping-particle":"","parse-names":false,"suffix":""},{"dropping-particle":"","family":"Bozzetti","given":"Federico","non-dropping-particle":"","parse-names":false,"suffix":""},{"dropping-particle":"","family":"Fearon","given":"Ken","non-dropping-particle":"","parse-names":false,"suffix":""},{"dropping-particle":"","family":"Hütterer","given":"Elisabeth","non-dropping-particle":"","parse-names":false,"suffix":""},{"dropping-particle":"","family":"Isenring","given":"Elizabeth","non-dropping-particle":"","parse-names":false,"suffix":""},{"dropping-particle":"","family":"Kaasa","given":"Stein","non-dropping-particle":"","parse-names":false,"suffix":""},{"dropping-particle":"","family":"Krznaric","given":"Zeljko","non-dropping-particle":"","parse-names":false,"suffix":""},{"dropping-particle":"","family":"Laird","given":"Barry","non-dropping-particle":"","parse-names":false,"suffix":""},{"dropping-particle":"","family":"Larsson","given":"Maria","non-dropping-particle":"","parse-names":false,"suffix":""},{"dropping-particle":"","family":"Laviano","given":"Alessandro","non-dropping-particle":"","parse-names":false,"suffix":""},{"dropping-particle":"","family":"Mühlebach","given":"Stefan","non-dropping-particle":"","parse-names":false,"suffix":""},{"dropping-particle":"","family":"Muscaritoli","given":"Maurizio","non-dropping-particle":"","parse-names":false,"suffix":""},{"dropping-particle":"","family":"Oldervoll","given":"Line","non-dropping-particle":"","parse-names":false,"suffix":""},{"dropping-particle":"","family":"Ravasco","given":"Paula","non-dropping-particle":"","parse-names":false,"suffix":""},{"dropping-particle":"","family":"Solheim","given":"Tora","non-dropping-particle":"","parse-names":false,"suffix":""},{"dropping-particle":"","family":"Strasser","given":"Florian","non-dropping-particle":"","parse-names":false,"suffix":""},{"dropping-particle":"","family":"van der Schueren","given":"Marian","non-dropping-particle":"de","parse-names":false,"suffix":""},{"dropping-particle":"","family":"Preiser","given":"Jean Charles","non-dropping-particle":"","parse-names":false,"suffix":""}],"container-title":"Clinical Nutrition","id":"ITEM-1","issue":"1","issued":{"date-parts":[["2017"]]},"page":"11-48","publisher":"Churchill Livingstone","title":"ESPEN guidelines on nutrition in cancer patients","type":"article-journal","volume":"36"},"uris":["http://www.mendeley.com/documents/?uuid=2586b0c4-9eb6-4463-a0ba-87fe84fbad8f"]}],"mendeley":{"formattedCitation":"[170]","plainTextFormattedCitation":"[170]","previouslyFormattedCitation":"[150]"},"properties":{"noteIndex":0},"schema":"https://github.com/citation-style-language/schema/raw/master/csl-citation.json"}</w:instrText>
      </w:r>
      <w:r w:rsidRPr="00896142">
        <w:rPr>
          <w:szCs w:val="24"/>
        </w:rPr>
        <w:fldChar w:fldCharType="separate"/>
      </w:r>
      <w:r w:rsidR="00A67ED2" w:rsidRPr="00A67ED2">
        <w:rPr>
          <w:noProof/>
          <w:szCs w:val="24"/>
        </w:rPr>
        <w:t>[170]</w:t>
      </w:r>
      <w:r w:rsidRPr="00896142">
        <w:rPr>
          <w:szCs w:val="24"/>
        </w:rPr>
        <w:fldChar w:fldCharType="end"/>
      </w:r>
    </w:p>
    <w:p w14:paraId="5B0446C2" w14:textId="77777777" w:rsidR="006F27D1" w:rsidRPr="00896142" w:rsidRDefault="006F27D1" w:rsidP="006F27D1">
      <w:pPr>
        <w:ind w:firstLine="851"/>
        <w:rPr>
          <w:szCs w:val="24"/>
        </w:rPr>
      </w:pPr>
      <w:r w:rsidRPr="00896142">
        <w:rPr>
          <w:szCs w:val="24"/>
        </w:rPr>
        <w:t>• возможность энтерального питания;</w:t>
      </w:r>
    </w:p>
    <w:p w14:paraId="4E1B68DA" w14:textId="77777777" w:rsidR="006F27D1" w:rsidRPr="00896142" w:rsidRDefault="006F27D1" w:rsidP="006F27D1">
      <w:pPr>
        <w:ind w:firstLine="851"/>
        <w:rPr>
          <w:szCs w:val="24"/>
        </w:rPr>
      </w:pPr>
      <w:r w:rsidRPr="00896142">
        <w:rPr>
          <w:szCs w:val="24"/>
        </w:rPr>
        <w:t xml:space="preserve">• невозможность обеспечения адекватного сосудистого доступа; </w:t>
      </w:r>
    </w:p>
    <w:p w14:paraId="0C924E03" w14:textId="77777777" w:rsidR="006F27D1" w:rsidRPr="00896142" w:rsidRDefault="006F27D1" w:rsidP="006F27D1">
      <w:pPr>
        <w:ind w:firstLine="851"/>
        <w:rPr>
          <w:szCs w:val="24"/>
        </w:rPr>
      </w:pPr>
      <w:r w:rsidRPr="00896142">
        <w:rPr>
          <w:szCs w:val="24"/>
        </w:rPr>
        <w:t xml:space="preserve">• отсутствие признаков белково-энергетической недостаточности; </w:t>
      </w:r>
    </w:p>
    <w:p w14:paraId="63C78242" w14:textId="77777777" w:rsidR="006F27D1" w:rsidRPr="00896142" w:rsidRDefault="006F27D1" w:rsidP="006F27D1">
      <w:pPr>
        <w:ind w:firstLine="851"/>
        <w:rPr>
          <w:szCs w:val="24"/>
        </w:rPr>
      </w:pPr>
      <w:r w:rsidRPr="00896142">
        <w:rPr>
          <w:szCs w:val="24"/>
        </w:rPr>
        <w:t xml:space="preserve">• гипоксия (раО2 70 мм рт. ст., сывороточный лактат &gt; 3 ммоль/л); </w:t>
      </w:r>
    </w:p>
    <w:p w14:paraId="77DD0E84" w14:textId="77777777" w:rsidR="006F27D1" w:rsidRPr="00896142" w:rsidRDefault="006F27D1" w:rsidP="006F27D1">
      <w:pPr>
        <w:ind w:firstLine="851"/>
        <w:rPr>
          <w:szCs w:val="24"/>
        </w:rPr>
      </w:pPr>
      <w:r w:rsidRPr="00896142">
        <w:rPr>
          <w:szCs w:val="24"/>
        </w:rPr>
        <w:t xml:space="preserve">• анурия или гипергидратация без диализа. </w:t>
      </w:r>
    </w:p>
    <w:p w14:paraId="7682D769" w14:textId="22B7A236" w:rsidR="006F27D1" w:rsidRPr="00896142" w:rsidRDefault="006F27D1" w:rsidP="006F27D1">
      <w:pPr>
        <w:ind w:firstLine="851"/>
        <w:rPr>
          <w:szCs w:val="24"/>
        </w:rPr>
      </w:pPr>
      <w:r w:rsidRPr="00896142">
        <w:rPr>
          <w:szCs w:val="24"/>
        </w:rPr>
        <w:t xml:space="preserve">Смешанное питание </w:t>
      </w:r>
      <w:r w:rsidRPr="00896142">
        <w:rPr>
          <w:szCs w:val="24"/>
        </w:rPr>
        <w:fldChar w:fldCharType="begin" w:fldLock="1"/>
      </w:r>
      <w:r w:rsidR="00A67ED2">
        <w:rPr>
          <w:szCs w:val="24"/>
        </w:rPr>
        <w:instrText>ADDIN CSL_CITATION {"citationItems":[{"id":"ITEM-1","itemData":{"DOI":"10.18027/2224-5057-2017-7-3s2-524-532","author":[{"dropping-particle":"","family":"Сытов А.В., Лейдерман И.Н., Ломидзе С.В., Нехаев И.В.","given":"Хотеев А.Ж.;","non-dropping-particle":"","parse-names":false,"suffix":""}],"container-title":"RUSSCO","id":"ITEM-1","issued":{"date-parts":[["2017"]]},"page":"524-532","title":"Практические рекомендации по нутритивной поддержке онкологических больных","type":"article-journal"},"uris":["http://www.mendeley.com/documents/?uuid=a6673349-099e-4c86-922d-b6b69b73ee38","http://www.mendeley.com/documents/?uuid=d8f4044a-9d39-4071-8266-cbd0ae05b0d9","http://www.mendeley.com/documents/?uuid=260337e2-8643-4a98-b22a-51f427e64df0","http://www.mendeley.com/documents/?uuid=a93dd076-f883-470f-9078-09d5bea12d18","http://www.mendeley.com/documents/?uuid=09a52a75-b0e4-4371-af21-5958257d9c6b","http://www.mendeley.com/documents/?uuid=b7d0213d-9037-458b-9137-8ba92417f389","http://www.mendeley.com/documents/?uuid=d1a841f7-cf41-3658-b869-ec5c58850b6d"]}],"mendeley":{"formattedCitation":"[167]","plainTextFormattedCitation":"[167]","previouslyFormattedCitation":"[147]"},"properties":{"noteIndex":0},"schema":"https://github.com/citation-style-language/schema/raw/master/csl-citation.json"}</w:instrText>
      </w:r>
      <w:r w:rsidRPr="00896142">
        <w:rPr>
          <w:szCs w:val="24"/>
        </w:rPr>
        <w:fldChar w:fldCharType="separate"/>
      </w:r>
      <w:r w:rsidR="00A67ED2" w:rsidRPr="00A67ED2">
        <w:rPr>
          <w:noProof/>
          <w:szCs w:val="24"/>
        </w:rPr>
        <w:t>[167]</w:t>
      </w:r>
      <w:r w:rsidRPr="00896142">
        <w:rPr>
          <w:szCs w:val="24"/>
        </w:rPr>
        <w:fldChar w:fldCharType="end"/>
      </w:r>
      <w:r w:rsidRPr="00896142">
        <w:rPr>
          <w:szCs w:val="24"/>
        </w:rPr>
        <w:t xml:space="preserve"> </w:t>
      </w:r>
      <w:r w:rsidRPr="00896142">
        <w:rPr>
          <w:szCs w:val="24"/>
        </w:rPr>
        <w:fldChar w:fldCharType="begin" w:fldLock="1"/>
      </w:r>
      <w:r w:rsidR="00A67ED2">
        <w:rPr>
          <w:szCs w:val="24"/>
        </w:rPr>
        <w:instrText>ADDIN CSL_CITATION {"citationItems":[{"id":"ITEM-1","itemData":{"author":[{"dropping-particle":"","family":"Бесова Н.С., Борисова Т.Н., Ларионова В.Б., Лейдерман И.Н., Обухова О.А., Попова Т.С., Салтанов А.И., Сельчук В.Ю., Снеговой А.В., Ткачев С.И., Тюляндин С.А.","given":"Шестопалов А.И.","non-dropping-particle":"","parse-names":false,"suffix":""}],"id":"ITEM-1","issued":{"date-parts":[["2014"]]},"title":"Клинические рекомендации по нутритивной поддержке при химиотерапии и/или лучевой терапии","type":"report"},"uris":["http://www.mendeley.com/documents/?uuid=59e000a3-48e0-4529-8954-5598c41cc72e","http://www.mendeley.com/documents/?uuid=2475f28c-b7e0-408d-8d85-bd890e4862de","http://www.mendeley.com/documents/?uuid=2db47854-c914-42bd-bd4d-a19b47e78e0d","http://www.mendeley.com/documents/?uuid=113bc17a-cb71-4ba2-afb9-083757d46c9b","http://www.mendeley.com/documents/?uuid=17acaf09-3d29-4b25-b43e-598e8835165d","http://www.mendeley.com/documents/?uuid=2da28a52-fa64-480f-9c45-312b59a7027b","http://www.mendeley.com/documents/?uuid=fa470355-bcfd-3bef-a7a1-086215509c2d"]}],"mendeley":{"formattedCitation":"[169]","plainTextFormattedCitation":"[169]","previouslyFormattedCitation":"[149]"},"properties":{"noteIndex":0},"schema":"https://github.com/citation-style-language/schema/raw/master/csl-citation.json"}</w:instrText>
      </w:r>
      <w:r w:rsidRPr="00896142">
        <w:rPr>
          <w:szCs w:val="24"/>
        </w:rPr>
        <w:fldChar w:fldCharType="separate"/>
      </w:r>
      <w:r w:rsidR="00A67ED2" w:rsidRPr="00A67ED2">
        <w:rPr>
          <w:noProof/>
          <w:szCs w:val="24"/>
        </w:rPr>
        <w:t>[169]</w:t>
      </w:r>
      <w:r w:rsidRPr="00896142">
        <w:rPr>
          <w:szCs w:val="24"/>
        </w:rPr>
        <w:fldChar w:fldCharType="end"/>
      </w:r>
    </w:p>
    <w:p w14:paraId="148EC1EC" w14:textId="77777777" w:rsidR="006F27D1" w:rsidRPr="00896142" w:rsidRDefault="006F27D1" w:rsidP="006F27D1">
      <w:pPr>
        <w:ind w:firstLine="851"/>
        <w:rPr>
          <w:szCs w:val="24"/>
        </w:rPr>
      </w:pPr>
      <w:r w:rsidRPr="00896142">
        <w:rPr>
          <w:szCs w:val="24"/>
        </w:rPr>
        <w:t xml:space="preserve">Энтеральное и парентеральное питание может назначаться пациентам одновременно при недостаточной эффективности одного из этих методов (не позволяющем обеспечить более 60% от потребности в энергии). </w:t>
      </w:r>
    </w:p>
    <w:p w14:paraId="43B22811" w14:textId="77777777" w:rsidR="006F27D1" w:rsidRPr="00896142" w:rsidRDefault="006F27D1" w:rsidP="006F27D1">
      <w:pPr>
        <w:ind w:firstLine="851"/>
        <w:rPr>
          <w:szCs w:val="24"/>
        </w:rPr>
      </w:pPr>
      <w:r w:rsidRPr="00896142">
        <w:rPr>
          <w:szCs w:val="24"/>
        </w:rPr>
        <w:t xml:space="preserve">Мониторинг эффективности нутритивной поддержки </w:t>
      </w:r>
    </w:p>
    <w:p w14:paraId="24B7E9E5" w14:textId="77777777" w:rsidR="006F27D1" w:rsidRPr="00896142" w:rsidRDefault="006F27D1" w:rsidP="006F27D1">
      <w:pPr>
        <w:ind w:firstLine="851"/>
        <w:rPr>
          <w:szCs w:val="24"/>
        </w:rPr>
      </w:pPr>
      <w:r w:rsidRPr="00896142">
        <w:rPr>
          <w:szCs w:val="24"/>
        </w:rPr>
        <w:t>Частота исследования данных показателей может изменяться в зависимости от конкретной клинической ситуации.</w:t>
      </w:r>
    </w:p>
    <w:p w14:paraId="3E94C83D" w14:textId="77777777" w:rsidR="006F27D1" w:rsidRPr="00896142" w:rsidRDefault="006F27D1" w:rsidP="006F27D1">
      <w:pPr>
        <w:ind w:firstLine="851"/>
        <w:rPr>
          <w:szCs w:val="24"/>
        </w:rPr>
      </w:pPr>
      <w:r w:rsidRPr="00896142">
        <w:rPr>
          <w:szCs w:val="24"/>
        </w:rPr>
        <w:t>• Общий белок сыворотки крови 1 раз в 5–7 дней.</w:t>
      </w:r>
    </w:p>
    <w:p w14:paraId="6CD2A207" w14:textId="77777777" w:rsidR="006F27D1" w:rsidRPr="00896142" w:rsidRDefault="006F27D1" w:rsidP="006F27D1">
      <w:pPr>
        <w:ind w:firstLine="851"/>
        <w:rPr>
          <w:szCs w:val="24"/>
        </w:rPr>
      </w:pPr>
      <w:r w:rsidRPr="00896142">
        <w:rPr>
          <w:szCs w:val="24"/>
        </w:rPr>
        <w:t>• Альбумин сыворотки крови 1 раз в 5–7 дней.</w:t>
      </w:r>
    </w:p>
    <w:p w14:paraId="679EC686" w14:textId="77777777" w:rsidR="006F27D1" w:rsidRPr="00896142" w:rsidRDefault="006F27D1" w:rsidP="006F27D1">
      <w:pPr>
        <w:ind w:firstLine="851"/>
        <w:rPr>
          <w:szCs w:val="24"/>
        </w:rPr>
      </w:pPr>
      <w:r w:rsidRPr="00896142">
        <w:rPr>
          <w:szCs w:val="24"/>
        </w:rPr>
        <w:lastRenderedPageBreak/>
        <w:t>• Гемоглобин 1 раз в 5–7 дней.</w:t>
      </w:r>
    </w:p>
    <w:p w14:paraId="5132F6BE" w14:textId="77777777" w:rsidR="006F27D1" w:rsidRPr="00896142" w:rsidRDefault="006F27D1" w:rsidP="006F27D1">
      <w:pPr>
        <w:ind w:firstLine="851"/>
        <w:rPr>
          <w:szCs w:val="24"/>
        </w:rPr>
      </w:pPr>
      <w:r w:rsidRPr="00896142">
        <w:rPr>
          <w:szCs w:val="24"/>
        </w:rPr>
        <w:t>• Лимфоциты периферической крови 1 раз в 5–7 дней.</w:t>
      </w:r>
    </w:p>
    <w:p w14:paraId="2B30BEBA" w14:textId="77777777" w:rsidR="006F27D1" w:rsidRPr="00896142" w:rsidRDefault="006F27D1" w:rsidP="006F27D1">
      <w:pPr>
        <w:ind w:firstLine="851"/>
        <w:rPr>
          <w:szCs w:val="24"/>
        </w:rPr>
      </w:pPr>
      <w:r w:rsidRPr="00896142">
        <w:rPr>
          <w:szCs w:val="24"/>
        </w:rPr>
        <w:t>• Масса тела и ИМТ тела 1 раз в 7–10 дней.</w:t>
      </w:r>
    </w:p>
    <w:p w14:paraId="0811A809" w14:textId="77777777" w:rsidR="006F27D1" w:rsidRDefault="006F27D1" w:rsidP="006F27D1">
      <w:pPr>
        <w:rPr>
          <w:b/>
          <w:szCs w:val="24"/>
          <w:highlight w:val="green"/>
        </w:rPr>
      </w:pPr>
    </w:p>
    <w:p w14:paraId="2868192B" w14:textId="77777777" w:rsidR="006F27D1" w:rsidRPr="006E6081" w:rsidRDefault="006F27D1" w:rsidP="006F27D1">
      <w:pPr>
        <w:rPr>
          <w:b/>
          <w:szCs w:val="24"/>
        </w:rPr>
      </w:pPr>
      <w:r w:rsidRPr="006E6081">
        <w:rPr>
          <w:b/>
          <w:szCs w:val="24"/>
        </w:rPr>
        <w:t xml:space="preserve"> Обезболивание в период нейтропении</w:t>
      </w:r>
    </w:p>
    <w:p w14:paraId="3C9A4D6E" w14:textId="77777777" w:rsidR="006F27D1" w:rsidRDefault="006F27D1" w:rsidP="006F27D1">
      <w:pPr>
        <w:ind w:firstLine="851"/>
        <w:rPr>
          <w:szCs w:val="24"/>
        </w:rPr>
      </w:pPr>
      <w:r>
        <w:rPr>
          <w:szCs w:val="24"/>
        </w:rPr>
        <w:t xml:space="preserve">Интенсивный болевой синдром в полости рта и при глотании при мукозите </w:t>
      </w:r>
      <w:r>
        <w:rPr>
          <w:szCs w:val="24"/>
          <w:lang w:val="en-US"/>
        </w:rPr>
        <w:t>III</w:t>
      </w:r>
      <w:r>
        <w:rPr>
          <w:szCs w:val="24"/>
        </w:rPr>
        <w:t>-</w:t>
      </w:r>
      <w:r>
        <w:rPr>
          <w:szCs w:val="24"/>
          <w:lang w:val="en-US"/>
        </w:rPr>
        <w:t>IV</w:t>
      </w:r>
      <w:r>
        <w:rPr>
          <w:szCs w:val="24"/>
        </w:rPr>
        <w:t xml:space="preserve"> степени в период миелотоксического агранулоцитоза является показанием к назначению аналгетической терапии. Применение нестероидных противовоспалительных средств (НПВС) не рекомендовано в период МТА. Механизм действия НПВС связан с угнетением активности циклооксигеназы (ЦОГ), катализирующей образование простагландинов из арахидоновой кислоты. Простагландины играют важную роль в патогенезе боли, воспаления и лихорадки. </w:t>
      </w:r>
    </w:p>
    <w:p w14:paraId="06994164" w14:textId="77777777" w:rsidR="006F27D1" w:rsidRDefault="006F27D1" w:rsidP="006F27D1">
      <w:pPr>
        <w:ind w:firstLine="851"/>
        <w:rPr>
          <w:szCs w:val="24"/>
        </w:rPr>
      </w:pPr>
      <w:r>
        <w:rPr>
          <w:szCs w:val="24"/>
        </w:rPr>
        <w:t xml:space="preserve">В условиях нейтропении блокирование воспалительной реакции может привести к фатальным осложнениям, молниеносному развитию сепсиса и септического шока. Кроме того, в результате ингибирования ЦОГ-1 в тромбоцитах подавляется синтез эндогенного проагреганта тромбоксана. Антиагрегантное действие НПВС в условиях тромбоцитопении может провоцировать кровотечения. </w:t>
      </w:r>
    </w:p>
    <w:p w14:paraId="406E574B" w14:textId="77777777" w:rsidR="006F27D1" w:rsidRPr="0031526F" w:rsidRDefault="006F27D1" w:rsidP="006F27D1">
      <w:pPr>
        <w:ind w:firstLine="851"/>
        <w:rPr>
          <w:rFonts w:eastAsiaTheme="majorEastAsia"/>
          <w:b/>
          <w:bCs/>
          <w:szCs w:val="24"/>
        </w:rPr>
      </w:pPr>
      <w:r>
        <w:rPr>
          <w:szCs w:val="24"/>
        </w:rPr>
        <w:t xml:space="preserve">В связи с этим в период МТА для обезболивания рекомендованы к применению наркотические аналгетики (промедол 10 мг в/в, трамадол 100 мг в/в, фентанил 25 мкг/час трансдермально). В связи с тем, что у части больных тяжелый мукозит сохраняется длительное время, может потребоваться многократное назначение указанных наркотических аналгетиков. </w:t>
      </w:r>
    </w:p>
    <w:p w14:paraId="051A579A" w14:textId="77777777" w:rsidR="00F20404" w:rsidRDefault="00F20404" w:rsidP="00755356">
      <w:pPr>
        <w:pStyle w:val="afff3"/>
        <w:ind w:left="0"/>
        <w:rPr>
          <w:szCs w:val="24"/>
          <w:u w:val="single"/>
        </w:rPr>
      </w:pPr>
    </w:p>
    <w:p w14:paraId="512FC71A" w14:textId="6E4817AD" w:rsidR="00755356" w:rsidRPr="006E6081" w:rsidRDefault="00755356" w:rsidP="00755356">
      <w:pPr>
        <w:rPr>
          <w:b/>
          <w:szCs w:val="24"/>
        </w:rPr>
      </w:pPr>
      <w:bookmarkStart w:id="392" w:name="_Toc44926642"/>
      <w:r w:rsidRPr="006E6081">
        <w:rPr>
          <w:b/>
          <w:szCs w:val="24"/>
        </w:rPr>
        <w:t>Обезболивание в период нейтропении</w:t>
      </w:r>
      <w:bookmarkEnd w:id="392"/>
    </w:p>
    <w:p w14:paraId="30F61380" w14:textId="77777777" w:rsidR="00755356" w:rsidRDefault="00755356" w:rsidP="00755356">
      <w:pPr>
        <w:ind w:firstLine="851"/>
        <w:rPr>
          <w:szCs w:val="24"/>
        </w:rPr>
      </w:pPr>
      <w:r>
        <w:rPr>
          <w:szCs w:val="24"/>
        </w:rPr>
        <w:t xml:space="preserve">Интенсивный болевой синдром в полости рта и при глотании при мукозите </w:t>
      </w:r>
      <w:r>
        <w:rPr>
          <w:szCs w:val="24"/>
          <w:lang w:val="en-US"/>
        </w:rPr>
        <w:t>III</w:t>
      </w:r>
      <w:r>
        <w:rPr>
          <w:szCs w:val="24"/>
        </w:rPr>
        <w:t>-</w:t>
      </w:r>
      <w:r>
        <w:rPr>
          <w:szCs w:val="24"/>
          <w:lang w:val="en-US"/>
        </w:rPr>
        <w:t>IV</w:t>
      </w:r>
      <w:r>
        <w:rPr>
          <w:szCs w:val="24"/>
        </w:rPr>
        <w:t xml:space="preserve"> степени в период миелотоксического агранулоцитоза является показанием к назначению аналгетической терапии. Применение нестероидных противовоспалительных средств (НПВС) не рекомендовано в период МТА. Механизм действия НПВС связан с угнетением активности циклооксигеназы (ЦОГ), катализирующей образование простагландинов из арахидоновой кислоты. Простагландины играют важную роль в патогенезе боли, воспаления и лихорадки. </w:t>
      </w:r>
    </w:p>
    <w:p w14:paraId="6B56F448" w14:textId="77777777" w:rsidR="00755356" w:rsidRDefault="00755356" w:rsidP="00755356">
      <w:pPr>
        <w:ind w:firstLine="851"/>
        <w:rPr>
          <w:szCs w:val="24"/>
        </w:rPr>
      </w:pPr>
      <w:r>
        <w:rPr>
          <w:szCs w:val="24"/>
        </w:rPr>
        <w:t xml:space="preserve">В условиях нейтропении блокирование воспалительной реакции может привести к фатальным осложнениям, молниеносному развитию сепсиса и септического шока. Кроме того, в результате ингибирования ЦОГ-1 в тромбоцитах подавляется синтез эндогенного проагреганта тромбоксана. Антиагрегантное действие НПВС в условиях тромбоцитопении </w:t>
      </w:r>
      <w:r>
        <w:rPr>
          <w:szCs w:val="24"/>
        </w:rPr>
        <w:lastRenderedPageBreak/>
        <w:t xml:space="preserve">может провоцировать кровотечения. </w:t>
      </w:r>
    </w:p>
    <w:p w14:paraId="01E665BF" w14:textId="77777777" w:rsidR="00755356" w:rsidRPr="0031526F" w:rsidRDefault="00755356" w:rsidP="00755356">
      <w:pPr>
        <w:ind w:firstLine="851"/>
        <w:rPr>
          <w:rFonts w:eastAsiaTheme="majorEastAsia"/>
          <w:b/>
          <w:bCs/>
          <w:szCs w:val="24"/>
        </w:rPr>
      </w:pPr>
      <w:r>
        <w:rPr>
          <w:szCs w:val="24"/>
        </w:rPr>
        <w:t xml:space="preserve">В связи с этим в период МТА для обезболивания рекомендованы к применению наркотические аналгетики (промедол 10 мг в/в, трамадол 100 мг в/в, фентанил 25 мкг/час трансдермально). В связи с тем, что у части больных тяжелый мукозит сохраняется длительное время, может потребоваться многократное назначение указанных наркотических аналгетиков. </w:t>
      </w:r>
    </w:p>
    <w:p w14:paraId="0389D0AC" w14:textId="7ED9FFF6" w:rsidR="00304132" w:rsidRPr="00AC3044" w:rsidRDefault="00304132" w:rsidP="00304132">
      <w:pPr>
        <w:rPr>
          <w:rFonts w:eastAsia="SimSun"/>
        </w:rPr>
      </w:pPr>
    </w:p>
    <w:p w14:paraId="4BF56092" w14:textId="45C3F68B" w:rsidR="00990338" w:rsidRDefault="00990338" w:rsidP="004905C2">
      <w:pPr>
        <w:pStyle w:val="2"/>
      </w:pPr>
      <w:bookmarkStart w:id="393" w:name="_Toc13484846"/>
      <w:bookmarkStart w:id="394" w:name="_Toc26796732"/>
      <w:bookmarkStart w:id="395" w:name="_Toc64467947"/>
      <w:bookmarkStart w:id="396" w:name="_Toc64565672"/>
      <w:r w:rsidRPr="00B7347C">
        <w:t xml:space="preserve">Приложение </w:t>
      </w:r>
      <w:bookmarkEnd w:id="393"/>
      <w:r>
        <w:t>А3.</w:t>
      </w:r>
      <w:r w:rsidR="00742E61">
        <w:t>5</w:t>
      </w:r>
      <w:r>
        <w:t xml:space="preserve">. </w:t>
      </w:r>
      <w:r w:rsidRPr="00CA7FDC">
        <w:t>Рекомендации по профилактической противорвотной терапии</w:t>
      </w:r>
      <w:bookmarkEnd w:id="394"/>
      <w:bookmarkEnd w:id="395"/>
      <w:bookmarkEnd w:id="396"/>
    </w:p>
    <w:p w14:paraId="1F86902A" w14:textId="73118E83" w:rsidR="00990338" w:rsidRPr="001161FD" w:rsidRDefault="00EE6B75" w:rsidP="001161FD">
      <w:r w:rsidRPr="001161FD">
        <w:rPr>
          <w:b/>
        </w:rPr>
        <w:t xml:space="preserve">Таблица </w:t>
      </w:r>
      <w:r w:rsidR="00742E61">
        <w:rPr>
          <w:b/>
        </w:rPr>
        <w:t>1</w:t>
      </w:r>
      <w:r w:rsidR="00522C20" w:rsidRPr="001161FD">
        <w:rPr>
          <w:b/>
        </w:rPr>
        <w:t>.</w:t>
      </w:r>
      <w:r w:rsidR="00522C20" w:rsidRPr="001161FD">
        <w:t xml:space="preserve"> Рекомендации по профилактической противорвотной терапии</w:t>
      </w:r>
    </w:p>
    <w:tbl>
      <w:tblPr>
        <w:tblStyle w:val="1f"/>
        <w:tblW w:w="0" w:type="auto"/>
        <w:tblLayout w:type="fixed"/>
        <w:tblLook w:val="0000" w:firstRow="0" w:lastRow="0" w:firstColumn="0" w:lastColumn="0" w:noHBand="0" w:noVBand="0"/>
      </w:tblPr>
      <w:tblGrid>
        <w:gridCol w:w="1418"/>
        <w:gridCol w:w="3827"/>
        <w:gridCol w:w="4111"/>
      </w:tblGrid>
      <w:tr w:rsidR="00990338" w:rsidRPr="00CA7FDC" w14:paraId="78A03CFF" w14:textId="77777777" w:rsidTr="00EE6B75">
        <w:trPr>
          <w:trHeight w:val="227"/>
        </w:trPr>
        <w:tc>
          <w:tcPr>
            <w:tcW w:w="1418" w:type="dxa"/>
          </w:tcPr>
          <w:p w14:paraId="08556DE8" w14:textId="77777777" w:rsidR="00990338" w:rsidRPr="00CA7FDC" w:rsidRDefault="00990338" w:rsidP="0008006C">
            <w:pPr>
              <w:shd w:val="clear" w:color="auto" w:fill="FFFFFF"/>
              <w:jc w:val="center"/>
            </w:pPr>
            <w:r w:rsidRPr="00CA7FDC">
              <w:rPr>
                <w:b/>
              </w:rPr>
              <w:t>Риск эметогенности</w:t>
            </w:r>
          </w:p>
        </w:tc>
        <w:tc>
          <w:tcPr>
            <w:tcW w:w="7938" w:type="dxa"/>
            <w:gridSpan w:val="2"/>
          </w:tcPr>
          <w:p w14:paraId="50661E2B" w14:textId="77777777" w:rsidR="00990338" w:rsidRPr="00CA7FDC" w:rsidRDefault="00990338" w:rsidP="001943FA">
            <w:pPr>
              <w:shd w:val="clear" w:color="auto" w:fill="FFFFFF"/>
            </w:pPr>
          </w:p>
        </w:tc>
      </w:tr>
      <w:tr w:rsidR="00990338" w:rsidRPr="00CA7FDC" w14:paraId="4FB4A6D7" w14:textId="77777777" w:rsidTr="00EE6B75">
        <w:trPr>
          <w:trHeight w:val="227"/>
        </w:trPr>
        <w:tc>
          <w:tcPr>
            <w:tcW w:w="1418" w:type="dxa"/>
            <w:vMerge w:val="restart"/>
          </w:tcPr>
          <w:p w14:paraId="3650F9A0" w14:textId="77777777" w:rsidR="00990338" w:rsidRPr="00CA7FDC" w:rsidRDefault="00990338" w:rsidP="001943FA">
            <w:pPr>
              <w:shd w:val="clear" w:color="auto" w:fill="FFFFFF"/>
            </w:pPr>
            <w:r w:rsidRPr="00CA7FDC">
              <w:t>Высокий</w:t>
            </w:r>
          </w:p>
        </w:tc>
        <w:tc>
          <w:tcPr>
            <w:tcW w:w="7938" w:type="dxa"/>
            <w:gridSpan w:val="2"/>
          </w:tcPr>
          <w:p w14:paraId="5B8533AF" w14:textId="77777777" w:rsidR="00990338" w:rsidRPr="00CA7FDC" w:rsidRDefault="00EE6B75" w:rsidP="001943FA">
            <w:pPr>
              <w:shd w:val="clear" w:color="auto" w:fill="FFFFFF"/>
            </w:pPr>
            <w:r>
              <w:t>Комбинация антагониста 5-HT3-</w:t>
            </w:r>
            <w:r w:rsidR="00990338" w:rsidRPr="00CA7FDC">
              <w:t xml:space="preserve">рецепторов, </w:t>
            </w:r>
            <w:r w:rsidR="00417EEC">
              <w:t>дексаметазон</w:t>
            </w:r>
            <w:r w:rsidR="00417EEC" w:rsidRPr="00CA7FDC">
              <w:t>а</w:t>
            </w:r>
            <w:r w:rsidR="00417EEC">
              <w:t>**</w:t>
            </w:r>
            <w:r w:rsidR="00990338" w:rsidRPr="00CA7FDC">
              <w:t xml:space="preserve"> и апрепитанта</w:t>
            </w:r>
          </w:p>
          <w:p w14:paraId="201CA222" w14:textId="77777777" w:rsidR="00990338" w:rsidRPr="00CA7FDC" w:rsidRDefault="00EE6B75" w:rsidP="001943FA">
            <w:pPr>
              <w:shd w:val="clear" w:color="auto" w:fill="FFFFFF"/>
            </w:pPr>
            <w:r>
              <w:t>Антагонист 5-HT3-рецепторов (выбирается 1</w:t>
            </w:r>
            <w:r w:rsidR="00990338" w:rsidRPr="00CA7FDC">
              <w:t xml:space="preserve"> из приведенного перечня): </w:t>
            </w:r>
          </w:p>
          <w:p w14:paraId="0584B8DD" w14:textId="77777777" w:rsidR="00990338" w:rsidRPr="00CA7FDC" w:rsidRDefault="00990338" w:rsidP="001943FA">
            <w:pPr>
              <w:shd w:val="clear" w:color="auto" w:fill="FFFFFF"/>
              <w:tabs>
                <w:tab w:val="left" w:pos="244"/>
              </w:tabs>
            </w:pPr>
            <w:r w:rsidRPr="00CA7FDC">
              <w:t>•</w:t>
            </w:r>
            <w:r w:rsidRPr="00CA7FDC">
              <w:tab/>
              <w:t>ондансетрон</w:t>
            </w:r>
            <w:r w:rsidR="002810CB">
              <w:t>**</w:t>
            </w:r>
            <w:r w:rsidR="00EE6B75">
              <w:t xml:space="preserve"> (перорально, 16–</w:t>
            </w:r>
            <w:r w:rsidRPr="00CA7FDC">
              <w:t xml:space="preserve">24 мг или </w:t>
            </w:r>
            <w:r w:rsidR="005A586D">
              <w:t>в/в</w:t>
            </w:r>
            <w:r w:rsidR="00EE6B75">
              <w:t>, 8–12 мг)</w:t>
            </w:r>
          </w:p>
        </w:tc>
      </w:tr>
      <w:tr w:rsidR="00990338" w:rsidRPr="00CA7FDC" w14:paraId="186DAC81" w14:textId="77777777" w:rsidTr="00EE6B75">
        <w:trPr>
          <w:trHeight w:val="227"/>
        </w:trPr>
        <w:tc>
          <w:tcPr>
            <w:tcW w:w="1418" w:type="dxa"/>
            <w:vMerge/>
          </w:tcPr>
          <w:p w14:paraId="6071548E" w14:textId="77777777" w:rsidR="00990338" w:rsidRPr="00CA7FDC" w:rsidRDefault="00990338" w:rsidP="001943FA">
            <w:pPr>
              <w:shd w:val="clear" w:color="auto" w:fill="FFFFFF"/>
            </w:pPr>
          </w:p>
        </w:tc>
        <w:tc>
          <w:tcPr>
            <w:tcW w:w="7938" w:type="dxa"/>
            <w:gridSpan w:val="2"/>
          </w:tcPr>
          <w:p w14:paraId="76C5AC3E" w14:textId="77777777" w:rsidR="00990338" w:rsidRPr="00CA7FDC" w:rsidRDefault="00990338" w:rsidP="001943FA">
            <w:pPr>
              <w:shd w:val="clear" w:color="auto" w:fill="FFFFFF"/>
              <w:tabs>
                <w:tab w:val="left" w:pos="221"/>
              </w:tabs>
            </w:pPr>
            <w:r w:rsidRPr="00CA7FDC">
              <w:t>•</w:t>
            </w:r>
            <w:r w:rsidRPr="00CA7FDC">
              <w:tab/>
              <w:t>гранисетрон (перорально, 2 мг</w:t>
            </w:r>
            <w:r w:rsidR="00EE6B75">
              <w:t>,</w:t>
            </w:r>
            <w:r w:rsidRPr="00CA7FDC">
              <w:t xml:space="preserve"> или перорально, 1 мг, 2 раза в су</w:t>
            </w:r>
            <w:r>
              <w:t>тки</w:t>
            </w:r>
            <w:r w:rsidRPr="00CA7FDC">
              <w:t xml:space="preserve">, или </w:t>
            </w:r>
            <w:r w:rsidR="005A586D">
              <w:t>в/в</w:t>
            </w:r>
            <w:r w:rsidR="00EE6B75">
              <w:t>, 0,01 мг/кг, максимум – 1 мг)</w:t>
            </w:r>
          </w:p>
        </w:tc>
      </w:tr>
      <w:tr w:rsidR="00990338" w:rsidRPr="00CA7FDC" w14:paraId="548E3F9A" w14:textId="77777777" w:rsidTr="00EE6B75">
        <w:trPr>
          <w:trHeight w:val="227"/>
        </w:trPr>
        <w:tc>
          <w:tcPr>
            <w:tcW w:w="1418" w:type="dxa"/>
            <w:vMerge/>
          </w:tcPr>
          <w:p w14:paraId="427F8C95" w14:textId="77777777" w:rsidR="00990338" w:rsidRPr="00CA7FDC" w:rsidRDefault="00990338" w:rsidP="001943FA">
            <w:pPr>
              <w:shd w:val="clear" w:color="auto" w:fill="FFFFFF"/>
            </w:pPr>
          </w:p>
        </w:tc>
        <w:tc>
          <w:tcPr>
            <w:tcW w:w="7938" w:type="dxa"/>
            <w:gridSpan w:val="2"/>
          </w:tcPr>
          <w:p w14:paraId="3241010D" w14:textId="77777777" w:rsidR="00990338" w:rsidRPr="00CA7FDC" w:rsidRDefault="00990338" w:rsidP="001943FA">
            <w:pPr>
              <w:shd w:val="clear" w:color="auto" w:fill="FFFFFF"/>
              <w:tabs>
                <w:tab w:val="left" w:pos="216"/>
              </w:tabs>
            </w:pPr>
            <w:r w:rsidRPr="00CA7FDC">
              <w:t>•</w:t>
            </w:r>
            <w:r w:rsidRPr="00CA7FDC">
              <w:tab/>
              <w:t>трописетрон (</w:t>
            </w:r>
            <w:r w:rsidR="005A586D">
              <w:t>в/в</w:t>
            </w:r>
            <w:r w:rsidRPr="00CA7FDC">
              <w:t>, 2 мг);</w:t>
            </w:r>
          </w:p>
          <w:p w14:paraId="02D23029" w14:textId="77777777" w:rsidR="00990338" w:rsidRPr="00CA7FDC" w:rsidRDefault="00990338" w:rsidP="001943FA">
            <w:pPr>
              <w:shd w:val="clear" w:color="auto" w:fill="FFFFFF"/>
              <w:tabs>
                <w:tab w:val="left" w:pos="216"/>
              </w:tabs>
            </w:pPr>
            <w:r w:rsidRPr="00CA7FDC">
              <w:t>•</w:t>
            </w:r>
            <w:r w:rsidRPr="00CA7FDC">
              <w:tab/>
              <w:t>палоносетрон (перорально, 0,5 мг</w:t>
            </w:r>
            <w:r w:rsidR="00EE6B75">
              <w:t>,</w:t>
            </w:r>
            <w:r w:rsidRPr="00CA7FDC">
              <w:t xml:space="preserve"> или </w:t>
            </w:r>
            <w:r w:rsidR="005A586D">
              <w:t>в/в</w:t>
            </w:r>
            <w:r w:rsidR="00EE6B75">
              <w:t>, 0,25 мг)</w:t>
            </w:r>
          </w:p>
        </w:tc>
      </w:tr>
      <w:tr w:rsidR="00990338" w:rsidRPr="00CA7FDC" w14:paraId="41ED0B63" w14:textId="77777777" w:rsidTr="00EE6B75">
        <w:trPr>
          <w:trHeight w:val="227"/>
        </w:trPr>
        <w:tc>
          <w:tcPr>
            <w:tcW w:w="1418" w:type="dxa"/>
            <w:vMerge/>
          </w:tcPr>
          <w:p w14:paraId="702AE550" w14:textId="77777777" w:rsidR="00990338" w:rsidRPr="00CA7FDC" w:rsidRDefault="00990338" w:rsidP="001943FA">
            <w:pPr>
              <w:shd w:val="clear" w:color="auto" w:fill="FFFFFF"/>
            </w:pPr>
          </w:p>
        </w:tc>
        <w:tc>
          <w:tcPr>
            <w:tcW w:w="7938" w:type="dxa"/>
            <w:gridSpan w:val="2"/>
          </w:tcPr>
          <w:p w14:paraId="38AC3443" w14:textId="77777777" w:rsidR="00990338" w:rsidRPr="00CA7FDC" w:rsidRDefault="00990338" w:rsidP="001943FA">
            <w:pPr>
              <w:shd w:val="clear" w:color="auto" w:fill="FFFFFF"/>
              <w:tabs>
                <w:tab w:val="left" w:pos="244"/>
              </w:tabs>
            </w:pPr>
            <w:r w:rsidRPr="00CA7FDC">
              <w:t>•</w:t>
            </w:r>
            <w:r w:rsidRPr="00CA7FDC">
              <w:tab/>
            </w:r>
            <w:r>
              <w:t>дексаметазон</w:t>
            </w:r>
            <w:r w:rsidR="00417EEC">
              <w:t>**</w:t>
            </w:r>
            <w:r w:rsidRPr="00CA7FDC">
              <w:t xml:space="preserve"> (перорально, 12 мг</w:t>
            </w:r>
            <w:r w:rsidR="00EE6B75">
              <w:t>,</w:t>
            </w:r>
            <w:r w:rsidRPr="00CA7FDC">
              <w:t xml:space="preserve"> или </w:t>
            </w:r>
            <w:r w:rsidR="005A586D">
              <w:t>в/в</w:t>
            </w:r>
            <w:r w:rsidRPr="00CA7FDC">
              <w:t>, в 1</w:t>
            </w:r>
            <w:r w:rsidR="00EE6B75">
              <w:t>-й</w:t>
            </w:r>
            <w:r w:rsidRPr="00CA7FDC">
              <w:t xml:space="preserve"> день + перорально или </w:t>
            </w:r>
            <w:r w:rsidR="005A586D">
              <w:t>в/в</w:t>
            </w:r>
            <w:r w:rsidRPr="00CA7FDC">
              <w:t>, 8 мг</w:t>
            </w:r>
            <w:r w:rsidR="00EE6B75">
              <w:t>, во 2–</w:t>
            </w:r>
            <w:r w:rsidRPr="00CA7FDC">
              <w:t>3</w:t>
            </w:r>
            <w:r w:rsidR="00EE6B75">
              <w:t>-й</w:t>
            </w:r>
            <w:r w:rsidRPr="00CA7FDC">
              <w:t xml:space="preserve"> дни);</w:t>
            </w:r>
          </w:p>
          <w:p w14:paraId="415DAE1B" w14:textId="77777777" w:rsidR="00990338" w:rsidRPr="00CA7FDC" w:rsidRDefault="00990338" w:rsidP="001943FA">
            <w:pPr>
              <w:shd w:val="clear" w:color="auto" w:fill="FFFFFF"/>
              <w:tabs>
                <w:tab w:val="left" w:pos="244"/>
              </w:tabs>
            </w:pPr>
            <w:r w:rsidRPr="00CA7FDC">
              <w:t>•</w:t>
            </w:r>
            <w:r w:rsidRPr="00CA7FDC">
              <w:tab/>
              <w:t>апрепитант (перорально, 125 мг</w:t>
            </w:r>
            <w:r w:rsidR="00EE6B75">
              <w:t>,</w:t>
            </w:r>
            <w:r w:rsidRPr="00CA7FDC">
              <w:t xml:space="preserve"> в 1</w:t>
            </w:r>
            <w:r w:rsidR="00EE6B75">
              <w:t>-й</w:t>
            </w:r>
            <w:r w:rsidRPr="00CA7FDC">
              <w:t xml:space="preserve"> день, </w:t>
            </w:r>
            <w:r w:rsidR="00EE6B75">
              <w:t xml:space="preserve">или </w:t>
            </w:r>
            <w:r w:rsidRPr="00CA7FDC">
              <w:t>перорально, 80 мг</w:t>
            </w:r>
            <w:r w:rsidR="00EE6B75">
              <w:t>, во 2–</w:t>
            </w:r>
            <w:r w:rsidRPr="00CA7FDC">
              <w:t>3</w:t>
            </w:r>
            <w:r w:rsidR="00EE6B75">
              <w:t>-й дни)</w:t>
            </w:r>
          </w:p>
        </w:tc>
      </w:tr>
      <w:tr w:rsidR="00990338" w:rsidRPr="00CA7FDC" w14:paraId="238A79D8" w14:textId="77777777" w:rsidTr="00EE6B75">
        <w:trPr>
          <w:trHeight w:val="227"/>
        </w:trPr>
        <w:tc>
          <w:tcPr>
            <w:tcW w:w="1418" w:type="dxa"/>
            <w:vMerge w:val="restart"/>
          </w:tcPr>
          <w:p w14:paraId="3DDABD0A" w14:textId="77777777" w:rsidR="00990338" w:rsidRPr="00CA7FDC" w:rsidRDefault="00990338" w:rsidP="001943FA">
            <w:pPr>
              <w:shd w:val="clear" w:color="auto" w:fill="FFFFFF"/>
            </w:pPr>
            <w:r w:rsidRPr="00CA7FDC">
              <w:t>Умеренный</w:t>
            </w:r>
          </w:p>
        </w:tc>
        <w:tc>
          <w:tcPr>
            <w:tcW w:w="7938" w:type="dxa"/>
            <w:gridSpan w:val="2"/>
          </w:tcPr>
          <w:p w14:paraId="0B930DF0" w14:textId="77777777" w:rsidR="00990338" w:rsidRPr="00CA7FDC" w:rsidRDefault="00EE6B75" w:rsidP="001943FA">
            <w:pPr>
              <w:shd w:val="clear" w:color="auto" w:fill="FFFFFF"/>
            </w:pPr>
            <w:r>
              <w:t>Комбинация антагониста 5-HT3-</w:t>
            </w:r>
            <w:r w:rsidR="00990338" w:rsidRPr="00CA7FDC">
              <w:t xml:space="preserve">рецепторов и </w:t>
            </w:r>
            <w:r w:rsidR="00990338">
              <w:t>дексаметазон</w:t>
            </w:r>
            <w:r w:rsidR="00990338" w:rsidRPr="00CA7FDC">
              <w:t>а</w:t>
            </w:r>
            <w:r w:rsidR="00417EEC">
              <w:t>**</w:t>
            </w:r>
            <w:r w:rsidR="00990338" w:rsidRPr="00CA7FDC">
              <w:t xml:space="preserve"> (апрепитант может использоваться у отдельных пациентов, в зависимости от получаемого ими режима химиотерапии).</w:t>
            </w:r>
          </w:p>
        </w:tc>
      </w:tr>
      <w:tr w:rsidR="00990338" w:rsidRPr="00CA7FDC" w14:paraId="36A217B6" w14:textId="77777777" w:rsidTr="00EE6B75">
        <w:trPr>
          <w:trHeight w:val="227"/>
        </w:trPr>
        <w:tc>
          <w:tcPr>
            <w:tcW w:w="1418" w:type="dxa"/>
            <w:vMerge/>
          </w:tcPr>
          <w:p w14:paraId="12711C27" w14:textId="77777777" w:rsidR="00990338" w:rsidRPr="00CA7FDC" w:rsidRDefault="00990338" w:rsidP="001943FA">
            <w:pPr>
              <w:shd w:val="clear" w:color="auto" w:fill="FFFFFF"/>
            </w:pPr>
          </w:p>
        </w:tc>
        <w:tc>
          <w:tcPr>
            <w:tcW w:w="3827" w:type="dxa"/>
          </w:tcPr>
          <w:p w14:paraId="1851BEFD" w14:textId="77777777" w:rsidR="00990338" w:rsidRPr="00CA7FDC" w:rsidRDefault="00990338" w:rsidP="00EE6B75">
            <w:pPr>
              <w:shd w:val="clear" w:color="auto" w:fill="FFFFFF"/>
              <w:jc w:val="center"/>
            </w:pPr>
            <w:r w:rsidRPr="00CA7FDC">
              <w:t>1</w:t>
            </w:r>
            <w:r w:rsidR="00EE6B75">
              <w:t>-й</w:t>
            </w:r>
            <w:r w:rsidRPr="00CA7FDC">
              <w:t xml:space="preserve"> день</w:t>
            </w:r>
          </w:p>
        </w:tc>
        <w:tc>
          <w:tcPr>
            <w:tcW w:w="4111" w:type="dxa"/>
          </w:tcPr>
          <w:p w14:paraId="1318B9F1" w14:textId="77777777" w:rsidR="00990338" w:rsidRPr="00CA7FDC" w:rsidRDefault="00EE6B75" w:rsidP="00EE6B75">
            <w:pPr>
              <w:shd w:val="clear" w:color="auto" w:fill="FFFFFF"/>
              <w:jc w:val="center"/>
            </w:pPr>
            <w:r>
              <w:t>2–</w:t>
            </w:r>
            <w:r w:rsidR="00990338" w:rsidRPr="00CA7FDC">
              <w:t>3</w:t>
            </w:r>
            <w:r>
              <w:t>-й</w:t>
            </w:r>
            <w:r w:rsidR="00990338" w:rsidRPr="00CA7FDC">
              <w:t xml:space="preserve"> дни</w:t>
            </w:r>
          </w:p>
        </w:tc>
      </w:tr>
      <w:tr w:rsidR="00990338" w:rsidRPr="00CA7FDC" w14:paraId="534F7388" w14:textId="77777777" w:rsidTr="00EE6B75">
        <w:trPr>
          <w:trHeight w:val="227"/>
        </w:trPr>
        <w:tc>
          <w:tcPr>
            <w:tcW w:w="1418" w:type="dxa"/>
            <w:vMerge/>
          </w:tcPr>
          <w:p w14:paraId="03746DB3" w14:textId="77777777" w:rsidR="00990338" w:rsidRPr="00CA7FDC" w:rsidRDefault="00990338" w:rsidP="001943FA">
            <w:pPr>
              <w:shd w:val="clear" w:color="auto" w:fill="FFFFFF"/>
            </w:pPr>
          </w:p>
        </w:tc>
        <w:tc>
          <w:tcPr>
            <w:tcW w:w="3827" w:type="dxa"/>
          </w:tcPr>
          <w:p w14:paraId="24A11192" w14:textId="77777777" w:rsidR="00990338" w:rsidRPr="00CA7FDC" w:rsidRDefault="00EE6B75" w:rsidP="001943FA">
            <w:pPr>
              <w:shd w:val="clear" w:color="auto" w:fill="FFFFFF"/>
            </w:pPr>
            <w:r>
              <w:t>Антагонист 5-HT3-рецепторов (выбирается 1</w:t>
            </w:r>
            <w:r w:rsidR="00990338" w:rsidRPr="00CA7FDC">
              <w:t xml:space="preserve"> из приведенного перечня):</w:t>
            </w:r>
          </w:p>
          <w:p w14:paraId="522BC197" w14:textId="77777777" w:rsidR="00990338" w:rsidRPr="00CA7FDC" w:rsidRDefault="00990338" w:rsidP="001943FA">
            <w:pPr>
              <w:shd w:val="clear" w:color="auto" w:fill="FFFFFF"/>
            </w:pPr>
            <w:r>
              <w:t>• ондансетрон</w:t>
            </w:r>
            <w:r w:rsidR="002810CB">
              <w:t>**</w:t>
            </w:r>
            <w:r w:rsidRPr="00986722">
              <w:t xml:space="preserve"> </w:t>
            </w:r>
            <w:r w:rsidR="00EE6B75">
              <w:t>(перорально, 16–</w:t>
            </w:r>
            <w:r w:rsidRPr="00CA7FDC">
              <w:t>24 мг</w:t>
            </w:r>
            <w:r w:rsidR="00EE6B75">
              <w:t>,</w:t>
            </w:r>
            <w:r w:rsidRPr="00CA7FDC">
              <w:t xml:space="preserve"> или </w:t>
            </w:r>
            <w:r w:rsidR="005A586D">
              <w:t>в/в</w:t>
            </w:r>
            <w:r w:rsidR="00EE6B75">
              <w:t>, 8–12 мг)</w:t>
            </w:r>
          </w:p>
        </w:tc>
        <w:tc>
          <w:tcPr>
            <w:tcW w:w="4111" w:type="dxa"/>
          </w:tcPr>
          <w:p w14:paraId="73AE967E" w14:textId="77777777" w:rsidR="00990338" w:rsidRPr="00CA7FDC" w:rsidRDefault="00EE6B75" w:rsidP="001943FA">
            <w:pPr>
              <w:shd w:val="clear" w:color="auto" w:fill="FFFFFF"/>
            </w:pPr>
            <w:r>
              <w:t>Антагонист 5-HT3-рецепторов (выбирается 1</w:t>
            </w:r>
            <w:r w:rsidR="00990338" w:rsidRPr="00CA7FDC">
              <w:t xml:space="preserve"> из приведенного перечня):</w:t>
            </w:r>
          </w:p>
          <w:p w14:paraId="0BD05B69" w14:textId="77777777" w:rsidR="00990338" w:rsidRPr="00CA7FDC" w:rsidRDefault="00990338" w:rsidP="001943FA">
            <w:pPr>
              <w:shd w:val="clear" w:color="auto" w:fill="FFFFFF"/>
            </w:pPr>
            <w:r w:rsidRPr="00CA7FDC">
              <w:t>•</w:t>
            </w:r>
            <w:r w:rsidRPr="00CA7FDC">
              <w:tab/>
              <w:t>ондансетрон</w:t>
            </w:r>
            <w:r w:rsidR="002810CB">
              <w:t>**</w:t>
            </w:r>
            <w:r w:rsidR="00EE6B75">
              <w:t xml:space="preserve"> (перорально, 16–</w:t>
            </w:r>
            <w:r w:rsidRPr="00CA7FDC">
              <w:t>24 мг</w:t>
            </w:r>
            <w:r w:rsidR="00EE6B75">
              <w:t>,</w:t>
            </w:r>
            <w:r w:rsidRPr="00CA7FDC">
              <w:t xml:space="preserve"> или </w:t>
            </w:r>
            <w:r w:rsidR="005A586D">
              <w:t>в/в</w:t>
            </w:r>
            <w:r w:rsidR="00EE6B75">
              <w:t>, 8–12 мг)</w:t>
            </w:r>
          </w:p>
        </w:tc>
      </w:tr>
      <w:tr w:rsidR="00990338" w:rsidRPr="00CA7FDC" w14:paraId="569024E5" w14:textId="77777777" w:rsidTr="00EE6B75">
        <w:trPr>
          <w:trHeight w:val="227"/>
        </w:trPr>
        <w:tc>
          <w:tcPr>
            <w:tcW w:w="1418" w:type="dxa"/>
            <w:vMerge/>
          </w:tcPr>
          <w:p w14:paraId="2A0FFE93" w14:textId="77777777" w:rsidR="00990338" w:rsidRPr="00CA7FDC" w:rsidRDefault="00990338" w:rsidP="001943FA">
            <w:pPr>
              <w:shd w:val="clear" w:color="auto" w:fill="FFFFFF"/>
            </w:pPr>
          </w:p>
        </w:tc>
        <w:tc>
          <w:tcPr>
            <w:tcW w:w="3827" w:type="dxa"/>
          </w:tcPr>
          <w:p w14:paraId="42A622E5" w14:textId="77777777" w:rsidR="00990338" w:rsidRPr="00CA7FDC" w:rsidRDefault="00990338" w:rsidP="001943FA">
            <w:pPr>
              <w:shd w:val="clear" w:color="auto" w:fill="FFFFFF"/>
              <w:tabs>
                <w:tab w:val="left" w:pos="216"/>
              </w:tabs>
            </w:pPr>
            <w:r w:rsidRPr="00CA7FDC">
              <w:t>•</w:t>
            </w:r>
            <w:r w:rsidRPr="00CA7FDC">
              <w:tab/>
            </w:r>
            <w:r w:rsidRPr="00116EB2">
              <w:t>гранисетрон</w:t>
            </w:r>
            <w:r w:rsidRPr="00CA7FDC">
              <w:t xml:space="preserve"> (перорально, 2 мг</w:t>
            </w:r>
            <w:r w:rsidR="00EE6B75">
              <w:t>,</w:t>
            </w:r>
            <w:r w:rsidRPr="00CA7FDC">
              <w:t xml:space="preserve"> </w:t>
            </w:r>
            <w:r w:rsidRPr="00CA7FDC">
              <w:lastRenderedPageBreak/>
              <w:t>или перорально, 1 мг, 2 раза в су</w:t>
            </w:r>
            <w:r>
              <w:t>тки</w:t>
            </w:r>
            <w:r w:rsidRPr="00CA7FDC">
              <w:t xml:space="preserve">, или </w:t>
            </w:r>
            <w:r w:rsidR="005A586D">
              <w:t>в/в</w:t>
            </w:r>
            <w:r w:rsidR="00EE6B75">
              <w:t>, 0,01 мг/кг, максимум –</w:t>
            </w:r>
            <w:r w:rsidRPr="00CA7FDC">
              <w:t xml:space="preserve"> 1 мг)</w:t>
            </w:r>
          </w:p>
        </w:tc>
        <w:tc>
          <w:tcPr>
            <w:tcW w:w="4111" w:type="dxa"/>
          </w:tcPr>
          <w:p w14:paraId="7A958EB1" w14:textId="77777777" w:rsidR="00990338" w:rsidRPr="00CA7FDC" w:rsidRDefault="00990338" w:rsidP="001943FA">
            <w:pPr>
              <w:shd w:val="clear" w:color="auto" w:fill="FFFFFF"/>
              <w:tabs>
                <w:tab w:val="left" w:pos="211"/>
              </w:tabs>
            </w:pPr>
            <w:r w:rsidRPr="00CA7FDC">
              <w:lastRenderedPageBreak/>
              <w:t>•</w:t>
            </w:r>
            <w:r w:rsidRPr="00CA7FDC">
              <w:tab/>
            </w:r>
            <w:r w:rsidRPr="00116EB2">
              <w:t>гранисетрон</w:t>
            </w:r>
            <w:r w:rsidRPr="00CA7FDC">
              <w:t xml:space="preserve"> (перорально, 2 мг</w:t>
            </w:r>
            <w:r w:rsidR="00EE6B75">
              <w:t>,</w:t>
            </w:r>
            <w:r w:rsidRPr="00CA7FDC">
              <w:t xml:space="preserve"> или </w:t>
            </w:r>
            <w:r w:rsidRPr="00CA7FDC">
              <w:lastRenderedPageBreak/>
              <w:t>перорально, 1 мг, 2 раза в су</w:t>
            </w:r>
            <w:r>
              <w:t>тки</w:t>
            </w:r>
            <w:r w:rsidRPr="00CA7FDC">
              <w:t xml:space="preserve">, или </w:t>
            </w:r>
            <w:r w:rsidR="005A586D">
              <w:t>в/в</w:t>
            </w:r>
            <w:r w:rsidRPr="00CA7FDC">
              <w:t>, 0,01 мг/кг, максим</w:t>
            </w:r>
            <w:r w:rsidR="00EE6B75">
              <w:t>ум – 1 мг)</w:t>
            </w:r>
          </w:p>
        </w:tc>
      </w:tr>
      <w:tr w:rsidR="00990338" w:rsidRPr="00CA7FDC" w14:paraId="1B1DEFA7" w14:textId="77777777" w:rsidTr="00EE6B75">
        <w:trPr>
          <w:trHeight w:val="227"/>
        </w:trPr>
        <w:tc>
          <w:tcPr>
            <w:tcW w:w="1418" w:type="dxa"/>
            <w:vMerge/>
          </w:tcPr>
          <w:p w14:paraId="72E4441F" w14:textId="77777777" w:rsidR="00990338" w:rsidRPr="00CA7FDC" w:rsidRDefault="00990338" w:rsidP="001943FA">
            <w:pPr>
              <w:shd w:val="clear" w:color="auto" w:fill="FFFFFF"/>
            </w:pPr>
          </w:p>
        </w:tc>
        <w:tc>
          <w:tcPr>
            <w:tcW w:w="3827" w:type="dxa"/>
          </w:tcPr>
          <w:p w14:paraId="3A165EC9" w14:textId="77777777" w:rsidR="00990338" w:rsidRPr="00CA7FDC" w:rsidRDefault="00990338" w:rsidP="001943FA">
            <w:pPr>
              <w:shd w:val="clear" w:color="auto" w:fill="FFFFFF"/>
              <w:tabs>
                <w:tab w:val="left" w:pos="216"/>
              </w:tabs>
            </w:pPr>
            <w:r w:rsidRPr="00CA7FDC">
              <w:t>•</w:t>
            </w:r>
            <w:r w:rsidRPr="00CA7FDC">
              <w:tab/>
            </w:r>
            <w:r w:rsidRPr="00116EB2">
              <w:t>трописетрон</w:t>
            </w:r>
            <w:r w:rsidRPr="00CA7FDC">
              <w:t xml:space="preserve"> (</w:t>
            </w:r>
            <w:r w:rsidR="005A586D">
              <w:t>в/в</w:t>
            </w:r>
            <w:r w:rsidRPr="00CA7FDC">
              <w:t>, 2 мг);</w:t>
            </w:r>
          </w:p>
          <w:p w14:paraId="073F12E0" w14:textId="77777777" w:rsidR="00990338" w:rsidRPr="00CA7FDC" w:rsidRDefault="00990338" w:rsidP="001943FA">
            <w:pPr>
              <w:shd w:val="clear" w:color="auto" w:fill="FFFFFF"/>
              <w:tabs>
                <w:tab w:val="left" w:pos="211"/>
              </w:tabs>
            </w:pPr>
            <w:r w:rsidRPr="00CA7FDC">
              <w:t>•</w:t>
            </w:r>
            <w:r w:rsidRPr="00CA7FDC">
              <w:tab/>
            </w:r>
            <w:r w:rsidRPr="00116EB2">
              <w:t>палоносетрон</w:t>
            </w:r>
            <w:r w:rsidRPr="00CA7FDC">
              <w:t xml:space="preserve"> (перорально, 0,5 мг</w:t>
            </w:r>
            <w:r w:rsidR="00EE6B75">
              <w:t>,</w:t>
            </w:r>
            <w:r w:rsidRPr="00CA7FDC">
              <w:t xml:space="preserve"> или </w:t>
            </w:r>
            <w:r w:rsidR="005A586D">
              <w:t>в/в</w:t>
            </w:r>
            <w:r w:rsidRPr="00CA7FDC">
              <w:t>, 0,25 мг);</w:t>
            </w:r>
          </w:p>
          <w:p w14:paraId="19C3C44A" w14:textId="77777777" w:rsidR="00990338" w:rsidRPr="00CA7FDC" w:rsidRDefault="00990338" w:rsidP="001943FA">
            <w:pPr>
              <w:shd w:val="clear" w:color="auto" w:fill="FFFFFF"/>
              <w:tabs>
                <w:tab w:val="left" w:pos="244"/>
              </w:tabs>
            </w:pPr>
            <w:r w:rsidRPr="00CA7FDC">
              <w:t>•</w:t>
            </w:r>
            <w:r w:rsidRPr="00CA7FDC">
              <w:tab/>
            </w:r>
            <w:r>
              <w:t>дексаметазон</w:t>
            </w:r>
            <w:r w:rsidR="00417EEC">
              <w:t>**</w:t>
            </w:r>
            <w:r w:rsidRPr="00CA7FDC">
              <w:t xml:space="preserve"> (перорально или внутривенно, 12 мг);</w:t>
            </w:r>
          </w:p>
          <w:p w14:paraId="064E051B" w14:textId="77777777" w:rsidR="00990338" w:rsidRPr="00CA7FDC" w:rsidRDefault="00990338" w:rsidP="001943FA">
            <w:pPr>
              <w:shd w:val="clear" w:color="auto" w:fill="FFFFFF"/>
              <w:tabs>
                <w:tab w:val="left" w:pos="211"/>
              </w:tabs>
            </w:pPr>
            <w:r w:rsidRPr="00CA7FDC">
              <w:t>•</w:t>
            </w:r>
            <w:r w:rsidRPr="00CA7FDC">
              <w:tab/>
            </w:r>
            <w:r w:rsidRPr="00116EB2">
              <w:t>апрепитант</w:t>
            </w:r>
            <w:r w:rsidR="00EE6B75">
              <w:t xml:space="preserve"> (перорально, 125 мг)</w:t>
            </w:r>
          </w:p>
        </w:tc>
        <w:tc>
          <w:tcPr>
            <w:tcW w:w="4111" w:type="dxa"/>
          </w:tcPr>
          <w:p w14:paraId="7A269573" w14:textId="77777777" w:rsidR="00990338" w:rsidRPr="00CA7FDC" w:rsidRDefault="00990338" w:rsidP="001943FA">
            <w:pPr>
              <w:shd w:val="clear" w:color="auto" w:fill="FFFFFF"/>
              <w:tabs>
                <w:tab w:val="left" w:pos="216"/>
              </w:tabs>
            </w:pPr>
            <w:r w:rsidRPr="00CA7FDC">
              <w:t>•</w:t>
            </w:r>
            <w:r w:rsidRPr="00CA7FDC">
              <w:tab/>
              <w:t>трописетрон (</w:t>
            </w:r>
            <w:r w:rsidR="005A586D">
              <w:t>в/в</w:t>
            </w:r>
            <w:r w:rsidR="00EE6B75">
              <w:t>, 2 мг);</w:t>
            </w:r>
          </w:p>
          <w:p w14:paraId="35406945" w14:textId="77777777" w:rsidR="00990338" w:rsidRPr="00CA7FDC" w:rsidRDefault="00990338" w:rsidP="001943FA">
            <w:pPr>
              <w:shd w:val="clear" w:color="auto" w:fill="FFFFFF"/>
              <w:tabs>
                <w:tab w:val="left" w:pos="211"/>
              </w:tabs>
            </w:pPr>
            <w:r w:rsidRPr="00CA7FDC">
              <w:t>•</w:t>
            </w:r>
            <w:r w:rsidRPr="00CA7FDC">
              <w:tab/>
              <w:t>палоносетрон (перорально, 0,5 мг</w:t>
            </w:r>
            <w:r w:rsidR="00EE6B75">
              <w:t>,</w:t>
            </w:r>
            <w:r w:rsidRPr="00CA7FDC">
              <w:t xml:space="preserve"> или </w:t>
            </w:r>
            <w:r w:rsidR="005A586D">
              <w:t>в/в</w:t>
            </w:r>
            <w:r w:rsidRPr="00CA7FDC">
              <w:t>, 0,25 мг);</w:t>
            </w:r>
          </w:p>
          <w:p w14:paraId="031345BA" w14:textId="77777777" w:rsidR="00990338" w:rsidRPr="00CA7FDC" w:rsidRDefault="00990338" w:rsidP="001943FA">
            <w:pPr>
              <w:shd w:val="clear" w:color="auto" w:fill="FFFFFF"/>
              <w:tabs>
                <w:tab w:val="left" w:pos="244"/>
              </w:tabs>
            </w:pPr>
            <w:r w:rsidRPr="00CA7FDC">
              <w:t>•</w:t>
            </w:r>
            <w:r w:rsidRPr="00CA7FDC">
              <w:tab/>
            </w:r>
            <w:r>
              <w:t>дексаметазон</w:t>
            </w:r>
            <w:r w:rsidR="00417EEC">
              <w:t>**</w:t>
            </w:r>
            <w:r w:rsidRPr="00CA7FDC">
              <w:t xml:space="preserve"> (перорально или </w:t>
            </w:r>
            <w:r w:rsidR="005A586D">
              <w:t>в/в</w:t>
            </w:r>
            <w:r w:rsidRPr="00CA7FDC">
              <w:t>, 8 или 4 мг, 2 раза в су</w:t>
            </w:r>
            <w:r>
              <w:t>тки</w:t>
            </w:r>
            <w:r w:rsidRPr="00CA7FDC">
              <w:t>);</w:t>
            </w:r>
          </w:p>
          <w:p w14:paraId="156692E4" w14:textId="77777777" w:rsidR="00990338" w:rsidRPr="00CA7FDC" w:rsidRDefault="00990338" w:rsidP="001943FA">
            <w:pPr>
              <w:shd w:val="clear" w:color="auto" w:fill="FFFFFF"/>
              <w:tabs>
                <w:tab w:val="left" w:pos="244"/>
              </w:tabs>
            </w:pPr>
            <w:r w:rsidRPr="00CA7FDC">
              <w:t>•</w:t>
            </w:r>
            <w:r w:rsidRPr="00CA7FDC">
              <w:tab/>
            </w:r>
            <w:r w:rsidRPr="00116EB2">
              <w:t>апрепитант</w:t>
            </w:r>
            <w:r w:rsidRPr="00CA7FDC">
              <w:t xml:space="preserve"> (перорально, 80 мг, если использовался в 1</w:t>
            </w:r>
            <w:r w:rsidR="00EE6B75">
              <w:t>-й день)</w:t>
            </w:r>
          </w:p>
        </w:tc>
      </w:tr>
      <w:tr w:rsidR="001B0FED" w:rsidRPr="00CA7FDC" w14:paraId="5D31656D" w14:textId="77777777" w:rsidTr="00EE6B75">
        <w:trPr>
          <w:trHeight w:val="227"/>
        </w:trPr>
        <w:tc>
          <w:tcPr>
            <w:tcW w:w="1418" w:type="dxa"/>
            <w:vMerge w:val="restart"/>
          </w:tcPr>
          <w:p w14:paraId="667F9456" w14:textId="77777777" w:rsidR="001B0FED" w:rsidRPr="00CA7FDC" w:rsidRDefault="001B0FED" w:rsidP="001943FA">
            <w:pPr>
              <w:shd w:val="clear" w:color="auto" w:fill="FFFFFF"/>
            </w:pPr>
            <w:r w:rsidRPr="00CA7FDC">
              <w:t xml:space="preserve">Низкий </w:t>
            </w:r>
          </w:p>
        </w:tc>
        <w:tc>
          <w:tcPr>
            <w:tcW w:w="7938" w:type="dxa"/>
            <w:gridSpan w:val="2"/>
          </w:tcPr>
          <w:p w14:paraId="476A89B3" w14:textId="77777777" w:rsidR="001B0FED" w:rsidRPr="00CA7FDC" w:rsidRDefault="001B0FED" w:rsidP="001943FA">
            <w:pPr>
              <w:shd w:val="clear" w:color="auto" w:fill="FFFFFF"/>
              <w:tabs>
                <w:tab w:val="left" w:pos="244"/>
              </w:tabs>
            </w:pPr>
            <w:r w:rsidRPr="00CA7FDC">
              <w:t>•</w:t>
            </w:r>
            <w:r w:rsidRPr="00CA7FDC">
              <w:tab/>
            </w:r>
            <w:r>
              <w:t>дексаметазон**</w:t>
            </w:r>
            <w:r w:rsidRPr="00CA7FDC">
              <w:t xml:space="preserve"> (перорально или </w:t>
            </w:r>
            <w:r>
              <w:t>в/в, 12 мг)</w:t>
            </w:r>
          </w:p>
        </w:tc>
      </w:tr>
      <w:tr w:rsidR="001B0FED" w:rsidRPr="00CA7FDC" w14:paraId="48F6EFB0" w14:textId="77777777" w:rsidTr="00EE6B75">
        <w:trPr>
          <w:trHeight w:val="227"/>
        </w:trPr>
        <w:tc>
          <w:tcPr>
            <w:tcW w:w="1418" w:type="dxa"/>
            <w:vMerge/>
          </w:tcPr>
          <w:p w14:paraId="4B0CF8CA" w14:textId="77777777" w:rsidR="001B0FED" w:rsidRPr="00CA7FDC" w:rsidRDefault="001B0FED" w:rsidP="001943FA"/>
        </w:tc>
        <w:tc>
          <w:tcPr>
            <w:tcW w:w="7938" w:type="dxa"/>
            <w:gridSpan w:val="2"/>
          </w:tcPr>
          <w:p w14:paraId="4BB13054" w14:textId="77777777" w:rsidR="001B0FED" w:rsidRPr="00CA7FDC" w:rsidRDefault="001B0FED" w:rsidP="001943FA">
            <w:pPr>
              <w:shd w:val="clear" w:color="auto" w:fill="FFFFFF"/>
              <w:tabs>
                <w:tab w:val="left" w:pos="244"/>
              </w:tabs>
            </w:pPr>
            <w:r>
              <w:t>•</w:t>
            </w:r>
            <w:r>
              <w:tab/>
            </w:r>
            <w:r w:rsidRPr="00116EB2">
              <w:t>прохлорперазин</w:t>
            </w:r>
            <w:r w:rsidRPr="00CA7FDC">
              <w:t xml:space="preserve"> (перорально или </w:t>
            </w:r>
            <w:r>
              <w:t>в/в, 10 мг, каждые 4–6 ч);</w:t>
            </w:r>
            <w:r w:rsidRPr="00CA7FDC">
              <w:t xml:space="preserve"> </w:t>
            </w:r>
          </w:p>
          <w:p w14:paraId="6797E346" w14:textId="77777777" w:rsidR="001B0FED" w:rsidRPr="00CA7FDC" w:rsidRDefault="001B0FED" w:rsidP="001943FA">
            <w:pPr>
              <w:shd w:val="clear" w:color="auto" w:fill="FFFFFF"/>
              <w:tabs>
                <w:tab w:val="left" w:pos="244"/>
              </w:tabs>
            </w:pPr>
            <w:r>
              <w:t>•</w:t>
            </w:r>
            <w:r>
              <w:tab/>
            </w:r>
            <w:r w:rsidRPr="00116EB2">
              <w:t>метоклопрамид</w:t>
            </w:r>
            <w:r>
              <w:t>**</w:t>
            </w:r>
            <w:r w:rsidRPr="00CA7FDC">
              <w:t xml:space="preserve"> (перорально или </w:t>
            </w:r>
            <w:r>
              <w:t>в/в, 10–40 мг, каждые 4–6 ч)</w:t>
            </w:r>
          </w:p>
        </w:tc>
      </w:tr>
      <w:tr w:rsidR="00990338" w:rsidRPr="00CA7FDC" w14:paraId="11F7E562" w14:textId="77777777" w:rsidTr="00EE6B75">
        <w:trPr>
          <w:trHeight w:val="227"/>
        </w:trPr>
        <w:tc>
          <w:tcPr>
            <w:tcW w:w="1418" w:type="dxa"/>
          </w:tcPr>
          <w:p w14:paraId="4456050F" w14:textId="77777777" w:rsidR="00990338" w:rsidRPr="00CA7FDC" w:rsidRDefault="00990338" w:rsidP="001943FA">
            <w:r w:rsidRPr="00CA7FDC">
              <w:t xml:space="preserve">Минимальный </w:t>
            </w:r>
          </w:p>
        </w:tc>
        <w:tc>
          <w:tcPr>
            <w:tcW w:w="7938" w:type="dxa"/>
            <w:gridSpan w:val="2"/>
          </w:tcPr>
          <w:p w14:paraId="330CED49" w14:textId="77777777" w:rsidR="00990338" w:rsidRPr="00CA7FDC" w:rsidRDefault="00990338" w:rsidP="001943FA">
            <w:pPr>
              <w:shd w:val="clear" w:color="auto" w:fill="FFFFFF"/>
            </w:pPr>
            <w:r w:rsidRPr="00CA7FDC">
              <w:t>Рутинная профилактическая терапия не требуется (следует рассмотреть вопрос об использовании антиэметиков, перечисленных для первичной профилактики тошноты/рвоты у пациен</w:t>
            </w:r>
            <w:r w:rsidR="001B0FED">
              <w:t>тов низкого риска)</w:t>
            </w:r>
          </w:p>
        </w:tc>
      </w:tr>
    </w:tbl>
    <w:p w14:paraId="6E27AE99" w14:textId="09EBCC5E" w:rsidR="00990338" w:rsidRDefault="00990338" w:rsidP="00990338">
      <w:pPr>
        <w:widowControl/>
        <w:jc w:val="left"/>
        <w:rPr>
          <w:rFonts w:eastAsia="MS Mincho"/>
          <w:szCs w:val="24"/>
          <w:lang w:eastAsia="ja-JP"/>
        </w:rPr>
      </w:pPr>
    </w:p>
    <w:p w14:paraId="3AC261A5" w14:textId="42BB9A2A" w:rsidR="005B5D49" w:rsidRPr="005B5D49" w:rsidRDefault="00051D1D" w:rsidP="004905C2">
      <w:pPr>
        <w:pStyle w:val="2"/>
      </w:pPr>
      <w:bookmarkStart w:id="397" w:name="_Toc64565673"/>
      <w:r w:rsidRPr="00B7347C">
        <w:t xml:space="preserve">Приложение </w:t>
      </w:r>
      <w:r>
        <w:t xml:space="preserve">А3.6. </w:t>
      </w:r>
      <w:bookmarkStart w:id="398" w:name="_Toc64477555"/>
      <w:r w:rsidR="005B5D49" w:rsidRPr="002C6FFD">
        <w:rPr>
          <w:rFonts w:eastAsia="Arial Unicode MS"/>
        </w:rPr>
        <w:t>Протоколы выполнения аспирационного и биопсийного исследования костного мозга</w:t>
      </w:r>
      <w:bookmarkEnd w:id="397"/>
      <w:bookmarkEnd w:id="398"/>
    </w:p>
    <w:p w14:paraId="4E28BC40" w14:textId="77777777" w:rsidR="005B5D49" w:rsidRPr="002C6FFD" w:rsidRDefault="005B5D49" w:rsidP="005B5D49">
      <w:pPr>
        <w:pStyle w:val="afff3"/>
        <w:rPr>
          <w:szCs w:val="24"/>
        </w:rPr>
      </w:pPr>
    </w:p>
    <w:p w14:paraId="0BCABDC4" w14:textId="77777777" w:rsidR="005B5D49" w:rsidRPr="002C6FFD" w:rsidRDefault="005B5D49" w:rsidP="005B5D49">
      <w:pPr>
        <w:pStyle w:val="Normal1"/>
        <w:spacing w:before="0" w:line="360" w:lineRule="auto"/>
        <w:ind w:left="0" w:firstLine="699"/>
        <w:jc w:val="both"/>
        <w:rPr>
          <w:rFonts w:cs="Times New Roman"/>
          <w:spacing w:val="0"/>
        </w:rPr>
      </w:pPr>
      <w:r w:rsidRPr="002C6FFD">
        <w:rPr>
          <w:rFonts w:cs="Times New Roman"/>
          <w:spacing w:val="0"/>
          <w:shd w:val="clear" w:color="auto" w:fill="FFFFFF"/>
        </w:rPr>
        <w:t>Пункционное (стернальная пункция, аспирация костного мозга) и биопсийное (трепанобиопсия, биопсия костного мозга) исследования костного мозга — это диагностические методы, позволяющие получить образец тканей костного мозга из грудины или костей таза, путем аспирации и чрескожной трепанобиопсии.</w:t>
      </w:r>
    </w:p>
    <w:p w14:paraId="7BDECBDC" w14:textId="77777777" w:rsidR="005B5D49" w:rsidRPr="002C6FFD" w:rsidRDefault="005B5D49" w:rsidP="005B5D49">
      <w:pPr>
        <w:ind w:firstLine="699"/>
        <w:rPr>
          <w:szCs w:val="24"/>
        </w:rPr>
      </w:pPr>
      <w:r w:rsidRPr="002C6FFD">
        <w:rPr>
          <w:szCs w:val="24"/>
        </w:rPr>
        <w:t xml:space="preserve">С помощью аспирационной биопсии (пункции) получают образцы костного мозга для морфологической оценки клеточного состава и, при необходимости, дополнительных исследований – иммунофенотипический анализ методом проточной цитометрии, цитогенетические, молекулярные и другие исследования. Биопсия костного мозга (трепанобиопсия) дополнительно позволяет получить при гистологическом исследовании более подробную информацию о клеточности костного мозга, его морфологическом составе, особенностях стромы, детально охарактеризовать клеточные популяции, в том числе, с помощью иммуногистохимического исследования. </w:t>
      </w:r>
    </w:p>
    <w:p w14:paraId="2D3FB7F3" w14:textId="77777777" w:rsidR="005B5D49" w:rsidRPr="002C6FFD" w:rsidRDefault="005B5D49" w:rsidP="005B5D49">
      <w:pPr>
        <w:ind w:firstLine="699"/>
        <w:rPr>
          <w:szCs w:val="24"/>
        </w:rPr>
      </w:pPr>
      <w:r w:rsidRPr="002C6FFD">
        <w:rPr>
          <w:szCs w:val="24"/>
        </w:rPr>
        <w:t xml:space="preserve">Процедуры аспирационного и биопсийного исследования костного мозга являются рутинными и проводятся в амбулаторных и стационарных условиях. Для выполнения пункции костного мозга применяются одноразовые или многоразовые стерилизуемые иглы. </w:t>
      </w:r>
      <w:r w:rsidRPr="002C6FFD">
        <w:rPr>
          <w:color w:val="212121"/>
          <w:szCs w:val="24"/>
        </w:rPr>
        <w:lastRenderedPageBreak/>
        <w:t xml:space="preserve">Трепанобиопсия костного мозга </w:t>
      </w:r>
      <w:r w:rsidRPr="002C6FFD">
        <w:rPr>
          <w:szCs w:val="24"/>
        </w:rPr>
        <w:t xml:space="preserve">выполняется одноразовой или многоразовой стерелизуемой иглой Jamshidi или иглой сходной с ней конструкции. </w:t>
      </w:r>
    </w:p>
    <w:p w14:paraId="0080B707" w14:textId="77777777" w:rsidR="005B5D49" w:rsidRDefault="005B5D49" w:rsidP="005B5D49">
      <w:pPr>
        <w:ind w:firstLine="699"/>
        <w:rPr>
          <w:szCs w:val="24"/>
        </w:rPr>
      </w:pPr>
      <w:r w:rsidRPr="002C6FFD">
        <w:rPr>
          <w:szCs w:val="24"/>
        </w:rPr>
        <w:t xml:space="preserve">При выполнении процедур взятия костного мозга для исследований редко возможны осложнения. Так, частота возникновения осложнений биопсии костного мозга по данным Британского общества гематологов за период 7 лет (1995—2001 гг.) составила 0,05% (26 / 54890, в том числе, 2 фатальных – сепсис, массивное кровотечение). В спектре осложнений наиболее частыми были: кровотечения (в том числе развитие массивных ретроперитонеальных гематом), поломка инструмента, инфекционные осложнения. Факторами риска развития кровотечения являлись проводимая больному терапия антикоагулянтами и антиагрегантами, миелопролиферативный или миелодиспластический синдромы, сопровождающиеся дисфункцией тромбоцитов, коагулологические нарушения, тромбоцитопения.  </w:t>
      </w:r>
    </w:p>
    <w:p w14:paraId="64FA4189" w14:textId="77777777" w:rsidR="005B5D49" w:rsidRPr="002C6FFD" w:rsidRDefault="005B5D49" w:rsidP="005B5D49">
      <w:pPr>
        <w:ind w:firstLine="699"/>
        <w:rPr>
          <w:szCs w:val="24"/>
        </w:rPr>
      </w:pPr>
    </w:p>
    <w:p w14:paraId="6FB1153C" w14:textId="6ED4DE58" w:rsidR="005B5D49" w:rsidRPr="00F30696" w:rsidRDefault="005B5D49" w:rsidP="005B5D49">
      <w:pPr>
        <w:rPr>
          <w:b/>
          <w:i/>
          <w:iCs/>
          <w:u w:val="single"/>
          <w:shd w:val="clear" w:color="auto" w:fill="FFFFFF"/>
        </w:rPr>
      </w:pPr>
      <w:r w:rsidRPr="00F30696">
        <w:rPr>
          <w:i/>
          <w:iCs/>
          <w:u w:val="single"/>
          <w:shd w:val="clear" w:color="auto" w:fill="FFFFFF"/>
        </w:rPr>
        <w:t>Показания к выполнению пункционного (аспирационного) исследования костного мозга</w:t>
      </w:r>
      <w:r w:rsidR="00604E24">
        <w:rPr>
          <w:i/>
          <w:iCs/>
          <w:u w:val="single"/>
          <w:shd w:val="clear" w:color="auto" w:fill="FFFFFF"/>
        </w:rPr>
        <w:t xml:space="preserve"> при ОЛЛ</w:t>
      </w:r>
      <w:r w:rsidRPr="00F30696">
        <w:rPr>
          <w:i/>
          <w:iCs/>
          <w:u w:val="single"/>
          <w:shd w:val="clear" w:color="auto" w:fill="FFFFFF"/>
        </w:rPr>
        <w:t xml:space="preserve"> </w:t>
      </w:r>
      <w:r w:rsidRPr="00F30696">
        <w:rPr>
          <w:b/>
          <w:i/>
          <w:iCs/>
          <w:u w:val="single"/>
          <w:shd w:val="clear" w:color="auto" w:fill="FFFFFF"/>
        </w:rPr>
        <w:fldChar w:fldCharType="begin" w:fldLock="1"/>
      </w:r>
      <w:r w:rsidR="00A67ED2">
        <w:rPr>
          <w:i/>
          <w:iCs/>
          <w:u w:val="single"/>
          <w:shd w:val="clear" w:color="auto" w:fill="FFFFFF"/>
        </w:rPr>
        <w:instrText>ADDIN CSL_CITATION {"citationItems":[{"id":"ITEM-1","itemData":{"author":[{"dropping-particle":"","family":"Криволапов","given":"Ю.А.","non-dropping-particle":"","parse-names":false,"suffix":""}],"container-title":"Клиническая онкогематология","id":"ITEM-1","issued":{"date-parts":[["2014"]]},"page":"290-295","title":"Технические аспекты выполнения трепанобиопсий костного мозга. Клиническая онкогематология 2014; 7:290—295","type":"article-journal","volume":"7"},"uris":["http://www.mendeley.com/documents/?uuid=bda8e112-db56-4369-9b45-4ae420482b92"]}],"mendeley":{"formattedCitation":"[173]","plainTextFormattedCitation":"[173]","previouslyFormattedCitation":"[153]"},"properties":{"noteIndex":0},"schema":"https://github.com/citation-style-language/schema/raw/master/csl-citation.json"}</w:instrText>
      </w:r>
      <w:r w:rsidRPr="00F30696">
        <w:rPr>
          <w:b/>
          <w:i/>
          <w:iCs/>
          <w:u w:val="single"/>
          <w:shd w:val="clear" w:color="auto" w:fill="FFFFFF"/>
        </w:rPr>
        <w:fldChar w:fldCharType="separate"/>
      </w:r>
      <w:r w:rsidR="00A67ED2" w:rsidRPr="00A67ED2">
        <w:rPr>
          <w:iCs/>
          <w:noProof/>
          <w:shd w:val="clear" w:color="auto" w:fill="FFFFFF"/>
        </w:rPr>
        <w:t>[173]</w:t>
      </w:r>
      <w:r w:rsidRPr="00F30696">
        <w:rPr>
          <w:b/>
          <w:i/>
          <w:iCs/>
          <w:u w:val="single"/>
          <w:shd w:val="clear" w:color="auto" w:fill="FFFFFF"/>
        </w:rPr>
        <w:fldChar w:fldCharType="end"/>
      </w:r>
      <w:r w:rsidRPr="00F30696">
        <w:rPr>
          <w:i/>
          <w:iCs/>
          <w:u w:val="single"/>
          <w:shd w:val="clear" w:color="auto" w:fill="FFFFFF"/>
        </w:rPr>
        <w:t xml:space="preserve"> </w:t>
      </w:r>
    </w:p>
    <w:p w14:paraId="77889CC0" w14:textId="220A9269" w:rsidR="005B5D49" w:rsidRPr="002C6FFD" w:rsidRDefault="005B5D49" w:rsidP="008C1767">
      <w:pPr>
        <w:pStyle w:val="bullet"/>
        <w:numPr>
          <w:ilvl w:val="0"/>
          <w:numId w:val="58"/>
        </w:numPr>
        <w:spacing w:line="360" w:lineRule="auto"/>
        <w:jc w:val="both"/>
        <w:rPr>
          <w:rFonts w:cs="Times New Roman"/>
          <w:spacing w:val="0"/>
          <w:shd w:val="clear" w:color="auto" w:fill="FFFFFF"/>
        </w:rPr>
      </w:pPr>
      <w:r w:rsidRPr="002C6FFD">
        <w:rPr>
          <w:rFonts w:cs="Times New Roman"/>
          <w:spacing w:val="0"/>
          <w:shd w:val="clear" w:color="auto" w:fill="FFFFFF"/>
        </w:rPr>
        <w:t xml:space="preserve">Дифференциальная диагностика </w:t>
      </w:r>
      <w:r w:rsidR="00604E24">
        <w:rPr>
          <w:rFonts w:cs="Times New Roman"/>
          <w:spacing w:val="0"/>
          <w:shd w:val="clear" w:color="auto" w:fill="FFFFFF"/>
        </w:rPr>
        <w:t xml:space="preserve">ОЛЛ и других </w:t>
      </w:r>
      <w:r w:rsidRPr="002C6FFD">
        <w:rPr>
          <w:rFonts w:cs="Times New Roman"/>
          <w:spacing w:val="0"/>
          <w:shd w:val="clear" w:color="auto" w:fill="FFFFFF"/>
        </w:rPr>
        <w:t>гематологических заболеваний: острых и хронических лейкозов</w:t>
      </w:r>
      <w:r w:rsidRPr="002C6FFD">
        <w:rPr>
          <w:rFonts w:cs="Times New Roman"/>
          <w:spacing w:val="0"/>
        </w:rPr>
        <w:t xml:space="preserve">, </w:t>
      </w:r>
      <w:r w:rsidRPr="002C6FFD">
        <w:rPr>
          <w:rFonts w:cs="Times New Roman"/>
          <w:spacing w:val="0"/>
          <w:shd w:val="clear" w:color="auto" w:fill="FFFFFF"/>
        </w:rPr>
        <w:t>миелодиспластических синдромов, миелопролиферативных и лимфопролиферативных заболеваний, множественной миеломы и других плазмоклеточных заболеваний, апластической анемии, идиопатической тромбоцитопенической пурпуры.</w:t>
      </w:r>
    </w:p>
    <w:p w14:paraId="4EF258A0" w14:textId="77777777" w:rsidR="005B5D49" w:rsidRPr="002C6FFD" w:rsidRDefault="005B5D49" w:rsidP="008C1767">
      <w:pPr>
        <w:pStyle w:val="bullet"/>
        <w:numPr>
          <w:ilvl w:val="0"/>
          <w:numId w:val="58"/>
        </w:numPr>
        <w:spacing w:line="360" w:lineRule="auto"/>
        <w:jc w:val="both"/>
        <w:rPr>
          <w:rFonts w:cs="Times New Roman"/>
          <w:spacing w:val="0"/>
          <w:shd w:val="clear" w:color="auto" w:fill="FFFFFF"/>
        </w:rPr>
      </w:pPr>
      <w:r w:rsidRPr="002C6FFD">
        <w:rPr>
          <w:rFonts w:cs="Times New Roman"/>
          <w:spacing w:val="0"/>
          <w:shd w:val="clear" w:color="auto" w:fill="FFFFFF"/>
        </w:rPr>
        <w:t>Оценка состояния миелопоэза при цитопении (одно-, двухростковой или панцитопении) невыясненной этиологии.</w:t>
      </w:r>
    </w:p>
    <w:p w14:paraId="423EDB1A" w14:textId="77777777" w:rsidR="005B5D49" w:rsidRPr="002C6FFD" w:rsidRDefault="005B5D49" w:rsidP="008C1767">
      <w:pPr>
        <w:pStyle w:val="bullet"/>
        <w:numPr>
          <w:ilvl w:val="0"/>
          <w:numId w:val="58"/>
        </w:numPr>
        <w:spacing w:line="360" w:lineRule="auto"/>
        <w:jc w:val="both"/>
        <w:rPr>
          <w:rFonts w:cs="Times New Roman"/>
          <w:spacing w:val="0"/>
          <w:shd w:val="clear" w:color="auto" w:fill="FFFFFF"/>
        </w:rPr>
      </w:pPr>
      <w:r w:rsidRPr="002C6FFD">
        <w:rPr>
          <w:rFonts w:cs="Times New Roman"/>
          <w:spacing w:val="0"/>
          <w:shd w:val="clear" w:color="auto" w:fill="FFFFFF"/>
        </w:rPr>
        <w:t>Оценка состояния миелопоэза при наличии незрелых клеток в периферической крови, особенно бластов; при лейкоцитозе невыясненной этиологии; при моноклональной гаммапатии.</w:t>
      </w:r>
    </w:p>
    <w:p w14:paraId="00683A48" w14:textId="77777777" w:rsidR="005B5D49" w:rsidRPr="002C6FFD" w:rsidRDefault="005B5D49" w:rsidP="008C1767">
      <w:pPr>
        <w:pStyle w:val="bullet"/>
        <w:numPr>
          <w:ilvl w:val="0"/>
          <w:numId w:val="58"/>
        </w:numPr>
        <w:spacing w:line="360" w:lineRule="auto"/>
        <w:jc w:val="both"/>
        <w:rPr>
          <w:rFonts w:cs="Times New Roman"/>
          <w:spacing w:val="0"/>
          <w:shd w:val="clear" w:color="auto" w:fill="FFFFFF"/>
        </w:rPr>
      </w:pPr>
      <w:r w:rsidRPr="002C6FFD">
        <w:rPr>
          <w:rFonts w:cs="Times New Roman"/>
          <w:spacing w:val="0"/>
          <w:shd w:val="clear" w:color="auto" w:fill="FFFFFF"/>
        </w:rPr>
        <w:t>Оценка миелопоэза при макроцитарной анемии (вследствие недостаточного поступления или нарушения всасывания таких веществ как медь, цинк, витамин B</w:t>
      </w:r>
      <w:r w:rsidRPr="002C6FFD">
        <w:rPr>
          <w:rFonts w:cs="Times New Roman"/>
          <w:spacing w:val="0"/>
          <w:shd w:val="clear" w:color="auto" w:fill="FFFFFF"/>
          <w:vertAlign w:val="subscript"/>
        </w:rPr>
        <w:t>12</w:t>
      </w:r>
      <w:r w:rsidRPr="002C6FFD">
        <w:rPr>
          <w:rFonts w:cs="Times New Roman"/>
          <w:spacing w:val="0"/>
          <w:shd w:val="clear" w:color="auto" w:fill="FFFFFF"/>
        </w:rPr>
        <w:t xml:space="preserve"> или фолиевая кислота).</w:t>
      </w:r>
    </w:p>
    <w:p w14:paraId="39909AB9" w14:textId="77777777" w:rsidR="005B5D49" w:rsidRPr="002C6FFD" w:rsidRDefault="005B5D49" w:rsidP="008C1767">
      <w:pPr>
        <w:pStyle w:val="bullet"/>
        <w:numPr>
          <w:ilvl w:val="0"/>
          <w:numId w:val="58"/>
        </w:numPr>
        <w:spacing w:line="360" w:lineRule="auto"/>
        <w:jc w:val="both"/>
        <w:rPr>
          <w:rFonts w:cs="Times New Roman"/>
          <w:spacing w:val="0"/>
          <w:shd w:val="clear" w:color="auto" w:fill="FFFFFF"/>
        </w:rPr>
      </w:pPr>
      <w:r w:rsidRPr="002C6FFD">
        <w:rPr>
          <w:rFonts w:cs="Times New Roman"/>
          <w:spacing w:val="0"/>
          <w:shd w:val="clear" w:color="auto" w:fill="FFFFFF"/>
        </w:rPr>
        <w:t xml:space="preserve">Дифференциальная диагностика при лихорадке неясного генеза в сочетании с увеличением </w:t>
      </w:r>
      <w:r w:rsidRPr="002C6FFD">
        <w:rPr>
          <w:rFonts w:cs="Times New Roman"/>
          <w:color w:val="auto"/>
          <w:spacing w:val="0"/>
          <w:shd w:val="clear" w:color="auto" w:fill="FFFFFF"/>
        </w:rPr>
        <w:t>размеров</w:t>
      </w:r>
      <w:r w:rsidRPr="002C6FFD">
        <w:rPr>
          <w:rFonts w:cs="Times New Roman"/>
          <w:spacing w:val="0"/>
          <w:shd w:val="clear" w:color="auto" w:fill="FFFFFF"/>
        </w:rPr>
        <w:t xml:space="preserve"> селезенки и/или лимфоузлов или без их увеличения.</w:t>
      </w:r>
    </w:p>
    <w:p w14:paraId="7B8C7862" w14:textId="0A9F9173" w:rsidR="005B5D49" w:rsidRPr="002C6FFD" w:rsidRDefault="005B5D49" w:rsidP="008C1767">
      <w:pPr>
        <w:pStyle w:val="bullet"/>
        <w:numPr>
          <w:ilvl w:val="0"/>
          <w:numId w:val="58"/>
        </w:numPr>
        <w:spacing w:line="360" w:lineRule="auto"/>
        <w:jc w:val="both"/>
        <w:rPr>
          <w:rFonts w:cs="Times New Roman"/>
          <w:spacing w:val="0"/>
          <w:shd w:val="clear" w:color="auto" w:fill="FFFFFF"/>
        </w:rPr>
      </w:pPr>
      <w:r w:rsidRPr="002C6FFD">
        <w:rPr>
          <w:rFonts w:cs="Times New Roman"/>
          <w:spacing w:val="0"/>
          <w:shd w:val="clear" w:color="auto" w:fill="FFFFFF"/>
        </w:rPr>
        <w:t>Мониторинг эффективности лечения.</w:t>
      </w:r>
    </w:p>
    <w:p w14:paraId="56F33346" w14:textId="77777777" w:rsidR="005B5D49" w:rsidRPr="002C6FFD" w:rsidRDefault="005B5D49" w:rsidP="008C1767">
      <w:pPr>
        <w:pStyle w:val="bullet"/>
        <w:numPr>
          <w:ilvl w:val="0"/>
          <w:numId w:val="58"/>
        </w:numPr>
        <w:spacing w:line="360" w:lineRule="auto"/>
        <w:jc w:val="both"/>
        <w:rPr>
          <w:rFonts w:cs="Times New Roman"/>
          <w:spacing w:val="0"/>
          <w:shd w:val="clear" w:color="auto" w:fill="FFFFFF"/>
        </w:rPr>
      </w:pPr>
      <w:r w:rsidRPr="002C6FFD">
        <w:rPr>
          <w:rFonts w:cs="Times New Roman"/>
          <w:spacing w:val="0"/>
          <w:shd w:val="clear" w:color="auto" w:fill="FFFFFF"/>
        </w:rPr>
        <w:t>Оценка восстановления гемопоэза после трансплантации гемопоэтический стволовых клеток (ТГСК).</w:t>
      </w:r>
    </w:p>
    <w:p w14:paraId="566924F5" w14:textId="77777777" w:rsidR="005B5D49" w:rsidRPr="002C6FFD" w:rsidRDefault="005B5D49" w:rsidP="008C1767">
      <w:pPr>
        <w:pStyle w:val="bullet"/>
        <w:numPr>
          <w:ilvl w:val="0"/>
          <w:numId w:val="58"/>
        </w:numPr>
        <w:spacing w:line="360" w:lineRule="auto"/>
        <w:jc w:val="both"/>
        <w:rPr>
          <w:rFonts w:cs="Times New Roman"/>
          <w:spacing w:val="0"/>
          <w:shd w:val="clear" w:color="auto" w:fill="FFFFFF"/>
        </w:rPr>
      </w:pPr>
      <w:r w:rsidRPr="002C6FFD">
        <w:rPr>
          <w:rFonts w:cs="Times New Roman"/>
          <w:spacing w:val="0"/>
        </w:rPr>
        <w:lastRenderedPageBreak/>
        <w:t>Определение степени повреждения костного мозга у пациентов, подвергшихся воздействию радиации, наркотиков, химических веществ и других миелотоксических веществ (в том числе лекарственных средств).</w:t>
      </w:r>
    </w:p>
    <w:p w14:paraId="1ABB9CFA" w14:textId="77777777" w:rsidR="005B5D49" w:rsidRPr="00D0602C" w:rsidRDefault="005B5D49" w:rsidP="008C1767">
      <w:pPr>
        <w:pStyle w:val="bullet"/>
        <w:numPr>
          <w:ilvl w:val="0"/>
          <w:numId w:val="58"/>
        </w:numPr>
        <w:spacing w:line="360" w:lineRule="auto"/>
        <w:jc w:val="both"/>
        <w:rPr>
          <w:rFonts w:cs="Times New Roman"/>
          <w:spacing w:val="0"/>
          <w:shd w:val="clear" w:color="auto" w:fill="FFFFFF"/>
        </w:rPr>
      </w:pPr>
      <w:r w:rsidRPr="00D0602C">
        <w:rPr>
          <w:rFonts w:cs="Times New Roman"/>
          <w:spacing w:val="0"/>
          <w:shd w:val="clear" w:color="auto" w:fill="FFFFFF"/>
        </w:rPr>
        <w:t>Диагностика (иногда, в составе комплексной диагностики) железодефицитной анемии, полицитемии, тромбоцитозов и инфекционного мононуклеоза.</w:t>
      </w:r>
    </w:p>
    <w:p w14:paraId="2A81F1B9" w14:textId="77777777" w:rsidR="005B5D49" w:rsidRPr="002C6FFD" w:rsidRDefault="005B5D49" w:rsidP="005B5D49">
      <w:pPr>
        <w:ind w:firstLine="709"/>
        <w:rPr>
          <w:szCs w:val="24"/>
        </w:rPr>
      </w:pPr>
      <w:r w:rsidRPr="002C6FFD">
        <w:rPr>
          <w:szCs w:val="24"/>
        </w:rPr>
        <w:t>При невозможности получить при пункции костного мозга адекватный диагностический материал («сухой» аспират), после повторной попытки показано выполнение трепанобиопсии костного мозга с приготовление отпечатков трепанобиоптата.</w:t>
      </w:r>
    </w:p>
    <w:p w14:paraId="562303F2" w14:textId="77777777" w:rsidR="005B5D49" w:rsidRDefault="005B5D49" w:rsidP="004905C2">
      <w:pPr>
        <w:pStyle w:val="2"/>
        <w:rPr>
          <w:rFonts w:eastAsia="Arial Unicode MS"/>
          <w:shd w:val="clear" w:color="auto" w:fill="FFFFFF"/>
        </w:rPr>
      </w:pPr>
    </w:p>
    <w:p w14:paraId="185B4E88" w14:textId="3DEDF6F2" w:rsidR="005B5D49" w:rsidRPr="00F30696" w:rsidRDefault="005B5D49" w:rsidP="005B5D49">
      <w:pPr>
        <w:rPr>
          <w:b/>
          <w:i/>
          <w:iCs/>
          <w:u w:val="single"/>
          <w:shd w:val="clear" w:color="auto" w:fill="FFFFFF"/>
        </w:rPr>
      </w:pPr>
      <w:r w:rsidRPr="00F30696">
        <w:rPr>
          <w:i/>
          <w:iCs/>
          <w:u w:val="single"/>
          <w:shd w:val="clear" w:color="auto" w:fill="FFFFFF"/>
        </w:rPr>
        <w:t>Показания к выполнению биопсийного исследования костного мозга (трепанобиопсии)</w:t>
      </w:r>
      <w:r w:rsidR="00604E24">
        <w:rPr>
          <w:i/>
          <w:iCs/>
          <w:u w:val="single"/>
          <w:shd w:val="clear" w:color="auto" w:fill="FFFFFF"/>
        </w:rPr>
        <w:t>при ОЛЛ</w:t>
      </w:r>
      <w:r w:rsidRPr="00F30696">
        <w:rPr>
          <w:i/>
          <w:iCs/>
          <w:u w:val="single"/>
          <w:shd w:val="clear" w:color="auto" w:fill="FFFFFF"/>
        </w:rPr>
        <w:t xml:space="preserve"> </w:t>
      </w:r>
      <w:r w:rsidRPr="00F30696">
        <w:rPr>
          <w:b/>
          <w:i/>
          <w:iCs/>
          <w:u w:val="single"/>
          <w:shd w:val="clear" w:color="auto" w:fill="FFFFFF"/>
        </w:rPr>
        <w:fldChar w:fldCharType="begin" w:fldLock="1"/>
      </w:r>
      <w:r w:rsidR="00A67ED2">
        <w:rPr>
          <w:i/>
          <w:iCs/>
          <w:u w:val="single"/>
          <w:shd w:val="clear" w:color="auto" w:fill="FFFFFF"/>
        </w:rPr>
        <w:instrText>ADDIN CSL_CITATION {"citationItems":[{"id":"ITEM-1","itemData":{"author":[{"dropping-particle":"","family":"Криволапов","given":"Ю.А.","non-dropping-particle":"","parse-names":false,"suffix":""}],"container-title":"Клиническая онкогематология","id":"ITEM-1","issued":{"date-parts":[["2014"]]},"page":"290-295","title":"Технические аспекты выполнения трепанобиопсий костного мозга. Клиническая онкогематология 2014; 7:290—295","type":"article-journal","volume":"7"},"uris":["http://www.mendeley.com/documents/?uuid=bda8e112-db56-4369-9b45-4ae420482b92"]}],"mendeley":{"formattedCitation":"[173]","plainTextFormattedCitation":"[173]","previouslyFormattedCitation":"[153]"},"properties":{"noteIndex":0},"schema":"https://github.com/citation-style-language/schema/raw/master/csl-citation.json"}</w:instrText>
      </w:r>
      <w:r w:rsidRPr="00F30696">
        <w:rPr>
          <w:b/>
          <w:i/>
          <w:iCs/>
          <w:u w:val="single"/>
          <w:shd w:val="clear" w:color="auto" w:fill="FFFFFF"/>
        </w:rPr>
        <w:fldChar w:fldCharType="separate"/>
      </w:r>
      <w:r w:rsidR="00A67ED2" w:rsidRPr="00A67ED2">
        <w:rPr>
          <w:iCs/>
          <w:noProof/>
          <w:shd w:val="clear" w:color="auto" w:fill="FFFFFF"/>
        </w:rPr>
        <w:t>[173]</w:t>
      </w:r>
      <w:r w:rsidRPr="00F30696">
        <w:rPr>
          <w:b/>
          <w:i/>
          <w:iCs/>
          <w:u w:val="single"/>
          <w:shd w:val="clear" w:color="auto" w:fill="FFFFFF"/>
        </w:rPr>
        <w:fldChar w:fldCharType="end"/>
      </w:r>
    </w:p>
    <w:p w14:paraId="06CAD121" w14:textId="21094783" w:rsidR="005B5D49" w:rsidRPr="00D0602C" w:rsidRDefault="005B5D49" w:rsidP="00D0602C">
      <w:pPr>
        <w:pStyle w:val="bullet"/>
        <w:numPr>
          <w:ilvl w:val="0"/>
          <w:numId w:val="58"/>
        </w:numPr>
        <w:spacing w:line="360" w:lineRule="auto"/>
        <w:jc w:val="both"/>
        <w:rPr>
          <w:rFonts w:cs="Times New Roman"/>
          <w:strike/>
          <w:spacing w:val="0"/>
        </w:rPr>
      </w:pPr>
      <w:r w:rsidRPr="00D0602C">
        <w:rPr>
          <w:rFonts w:cs="Times New Roman"/>
          <w:spacing w:val="0"/>
          <w:shd w:val="clear" w:color="auto" w:fill="FFFFFF"/>
        </w:rPr>
        <w:t>Диагностика и</w:t>
      </w:r>
      <w:r w:rsidR="00604E24" w:rsidRPr="00D0602C">
        <w:rPr>
          <w:rFonts w:cs="Times New Roman"/>
          <w:spacing w:val="0"/>
          <w:shd w:val="clear" w:color="auto" w:fill="FFFFFF"/>
        </w:rPr>
        <w:t xml:space="preserve"> оценка клеточности костного мозга</w:t>
      </w:r>
      <w:r w:rsidR="00D0602C" w:rsidRPr="00D0602C">
        <w:rPr>
          <w:rFonts w:cs="Times New Roman"/>
          <w:spacing w:val="0"/>
          <w:shd w:val="clear" w:color="auto" w:fill="FFFFFF"/>
        </w:rPr>
        <w:t>.</w:t>
      </w:r>
    </w:p>
    <w:p w14:paraId="2DC58534" w14:textId="0F9BA9C4" w:rsidR="005B5D49" w:rsidRPr="002C6FFD" w:rsidRDefault="005B5D49" w:rsidP="008C1767">
      <w:pPr>
        <w:pStyle w:val="bullet"/>
        <w:numPr>
          <w:ilvl w:val="0"/>
          <w:numId w:val="58"/>
        </w:numPr>
        <w:spacing w:line="360" w:lineRule="auto"/>
        <w:jc w:val="both"/>
        <w:rPr>
          <w:rFonts w:cs="Times New Roman"/>
          <w:spacing w:val="0"/>
          <w:shd w:val="clear" w:color="auto" w:fill="FFFFFF"/>
        </w:rPr>
      </w:pPr>
      <w:r w:rsidRPr="002C6FFD">
        <w:rPr>
          <w:rFonts w:cs="Times New Roman"/>
          <w:spacing w:val="0"/>
          <w:shd w:val="clear" w:color="auto" w:fill="FFFFFF"/>
        </w:rPr>
        <w:t xml:space="preserve">Мониторинг </w:t>
      </w:r>
      <w:r w:rsidR="00604E24">
        <w:rPr>
          <w:rFonts w:cs="Times New Roman"/>
          <w:spacing w:val="0"/>
          <w:shd w:val="clear" w:color="auto" w:fill="FFFFFF"/>
        </w:rPr>
        <w:t>эффективности лечения или оценка</w:t>
      </w:r>
      <w:r w:rsidRPr="002C6FFD">
        <w:rPr>
          <w:rFonts w:cs="Times New Roman"/>
          <w:spacing w:val="0"/>
          <w:shd w:val="clear" w:color="auto" w:fill="FFFFFF"/>
        </w:rPr>
        <w:t xml:space="preserve"> прогрессирования.</w:t>
      </w:r>
    </w:p>
    <w:p w14:paraId="0D93E7CC" w14:textId="77777777" w:rsidR="005B5D49" w:rsidRPr="002C6FFD" w:rsidRDefault="005B5D49" w:rsidP="008C1767">
      <w:pPr>
        <w:pStyle w:val="bullet"/>
        <w:numPr>
          <w:ilvl w:val="0"/>
          <w:numId w:val="58"/>
        </w:numPr>
        <w:spacing w:line="360" w:lineRule="auto"/>
        <w:jc w:val="both"/>
        <w:rPr>
          <w:rFonts w:cs="Times New Roman"/>
          <w:spacing w:val="0"/>
          <w:shd w:val="clear" w:color="auto" w:fill="FFFFFF"/>
        </w:rPr>
      </w:pPr>
      <w:r w:rsidRPr="002C6FFD">
        <w:rPr>
          <w:rFonts w:cs="Times New Roman"/>
          <w:spacing w:val="0"/>
          <w:shd w:val="clear" w:color="auto" w:fill="FFFFFF"/>
        </w:rPr>
        <w:t xml:space="preserve">Оценка миелопоэза до и после выполнения трансплантации костного мозга / гемопоэтических стволовых клеток (ТКМ / ТГСК). </w:t>
      </w:r>
    </w:p>
    <w:p w14:paraId="19C79C0A" w14:textId="77777777" w:rsidR="005B5D49" w:rsidRPr="002C6FFD" w:rsidRDefault="005B5D49" w:rsidP="008C1767">
      <w:pPr>
        <w:pStyle w:val="bullet"/>
        <w:numPr>
          <w:ilvl w:val="0"/>
          <w:numId w:val="58"/>
        </w:numPr>
        <w:spacing w:line="360" w:lineRule="auto"/>
        <w:jc w:val="both"/>
        <w:rPr>
          <w:rFonts w:cs="Times New Roman"/>
          <w:spacing w:val="0"/>
          <w:shd w:val="clear" w:color="auto" w:fill="FFFFFF"/>
        </w:rPr>
      </w:pPr>
      <w:r w:rsidRPr="002C6FFD">
        <w:rPr>
          <w:rFonts w:cs="Times New Roman"/>
          <w:spacing w:val="0"/>
          <w:shd w:val="clear" w:color="auto" w:fill="FFFFFF"/>
        </w:rPr>
        <w:t>Оценка состояния миелопоэза при цитопении, тромбоцитозе, лейкоцитозе, анемии, изменениях состава лейкоцитов (лейкоцитарная формула), и для диагностики перегрузки железом.</w:t>
      </w:r>
    </w:p>
    <w:p w14:paraId="19B9DA9E" w14:textId="77777777" w:rsidR="005B5D49" w:rsidRPr="002C6FFD" w:rsidRDefault="005B5D49" w:rsidP="008C1767">
      <w:pPr>
        <w:pStyle w:val="bullet"/>
        <w:numPr>
          <w:ilvl w:val="0"/>
          <w:numId w:val="58"/>
        </w:numPr>
        <w:spacing w:line="360" w:lineRule="auto"/>
        <w:jc w:val="both"/>
        <w:rPr>
          <w:rFonts w:cs="Times New Roman"/>
          <w:spacing w:val="0"/>
          <w:shd w:val="clear" w:color="auto" w:fill="FFFFFF"/>
        </w:rPr>
      </w:pPr>
      <w:r w:rsidRPr="002C6FFD">
        <w:rPr>
          <w:rFonts w:cs="Times New Roman"/>
          <w:spacing w:val="0"/>
          <w:shd w:val="clear" w:color="auto" w:fill="FFFFFF"/>
        </w:rPr>
        <w:t>Оценка состояния миелопоэза и вовлечения костного мозга при инфекционных заболеваниях (например, при грибковых, микобактериальных инфекциях, в том числе при туберкулезе и других гранулематозных процессах, в также при гистоплазмозе и лейшманиозе).</w:t>
      </w:r>
    </w:p>
    <w:p w14:paraId="7C0921DC" w14:textId="77777777" w:rsidR="00D0602C" w:rsidRDefault="00D0602C" w:rsidP="005B5D49">
      <w:pPr>
        <w:rPr>
          <w:i/>
          <w:iCs/>
          <w:u w:val="single"/>
          <w:shd w:val="clear" w:color="auto" w:fill="FFFFFF"/>
        </w:rPr>
      </w:pPr>
    </w:p>
    <w:p w14:paraId="7B4DAAFA" w14:textId="2DD3E1BD" w:rsidR="005B5D49" w:rsidRPr="00F30696" w:rsidRDefault="005B5D49" w:rsidP="005B5D49">
      <w:pPr>
        <w:rPr>
          <w:b/>
          <w:i/>
          <w:iCs/>
          <w:u w:val="single"/>
          <w:shd w:val="clear" w:color="auto" w:fill="FFFFFF"/>
        </w:rPr>
      </w:pPr>
      <w:r w:rsidRPr="00F30696">
        <w:rPr>
          <w:i/>
          <w:iCs/>
          <w:u w:val="single"/>
          <w:shd w:val="clear" w:color="auto" w:fill="FFFFFF"/>
        </w:rPr>
        <w:t xml:space="preserve">Противопоказания для выполнения биопсийного исследования костного мозга </w:t>
      </w:r>
      <w:r w:rsidRPr="00F30696">
        <w:rPr>
          <w:b/>
          <w:i/>
          <w:iCs/>
          <w:u w:val="single"/>
          <w:shd w:val="clear" w:color="auto" w:fill="FFFFFF"/>
        </w:rPr>
        <w:fldChar w:fldCharType="begin" w:fldLock="1"/>
      </w:r>
      <w:r w:rsidR="00A67ED2">
        <w:rPr>
          <w:i/>
          <w:iCs/>
          <w:u w:val="single"/>
          <w:shd w:val="clear" w:color="auto" w:fill="FFFFFF"/>
        </w:rPr>
        <w:instrText>ADDIN CSL_CITATION {"citationItems":[{"id":"ITEM-1","itemData":{"author":[{"dropping-particle":"","family":"Криволапов","given":"Ю.А.","non-dropping-particle":"","parse-names":false,"suffix":""}],"container-title":"Клиническая онкогематология","id":"ITEM-1","issued":{"date-parts":[["2014"]]},"page":"290-295","title":"Технические аспекты выполнения трепанобиопсий костного мозга. Клиническая онкогематология 2014; 7:290—295","type":"article-journal","volume":"7"},"uris":["http://www.mendeley.com/documents/?uuid=bda8e112-db56-4369-9b45-4ae420482b92"]}],"mendeley":{"formattedCitation":"[173]","plainTextFormattedCitation":"[173]","previouslyFormattedCitation":"[153]"},"properties":{"noteIndex":0},"schema":"https://github.com/citation-style-language/schema/raw/master/csl-citation.json"}</w:instrText>
      </w:r>
      <w:r w:rsidRPr="00F30696">
        <w:rPr>
          <w:b/>
          <w:i/>
          <w:iCs/>
          <w:u w:val="single"/>
          <w:shd w:val="clear" w:color="auto" w:fill="FFFFFF"/>
        </w:rPr>
        <w:fldChar w:fldCharType="separate"/>
      </w:r>
      <w:r w:rsidR="00A67ED2" w:rsidRPr="00A67ED2">
        <w:rPr>
          <w:iCs/>
          <w:noProof/>
          <w:shd w:val="clear" w:color="auto" w:fill="FFFFFF"/>
        </w:rPr>
        <w:t>[173]</w:t>
      </w:r>
      <w:r w:rsidRPr="00F30696">
        <w:rPr>
          <w:b/>
          <w:i/>
          <w:iCs/>
          <w:u w:val="single"/>
          <w:shd w:val="clear" w:color="auto" w:fill="FFFFFF"/>
        </w:rPr>
        <w:fldChar w:fldCharType="end"/>
      </w:r>
    </w:p>
    <w:p w14:paraId="6DA53E6A" w14:textId="77777777" w:rsidR="005B5D49" w:rsidRPr="002C6FFD" w:rsidRDefault="005B5D49" w:rsidP="005B5D49">
      <w:pPr>
        <w:pStyle w:val="Normal1"/>
        <w:spacing w:before="0" w:line="360" w:lineRule="auto"/>
        <w:ind w:firstLine="699"/>
        <w:jc w:val="both"/>
        <w:rPr>
          <w:rFonts w:cs="Times New Roman"/>
          <w:spacing w:val="0"/>
        </w:rPr>
      </w:pPr>
      <w:r w:rsidRPr="002C6FFD">
        <w:rPr>
          <w:rFonts w:cs="Times New Roman"/>
          <w:spacing w:val="0"/>
        </w:rPr>
        <w:t>Аспирация костного мозга и биопсия не имеют абсолютных противопоказаний, но могут быть относительные противопоказания, связанные с общим состоянием пациента:</w:t>
      </w:r>
    </w:p>
    <w:p w14:paraId="7758639D" w14:textId="77777777" w:rsidR="005B5D49" w:rsidRPr="002C6FFD" w:rsidRDefault="005B5D49" w:rsidP="008C1767">
      <w:pPr>
        <w:pStyle w:val="bullet"/>
        <w:numPr>
          <w:ilvl w:val="0"/>
          <w:numId w:val="58"/>
        </w:numPr>
        <w:spacing w:line="360" w:lineRule="auto"/>
        <w:jc w:val="both"/>
        <w:rPr>
          <w:rFonts w:cs="Times New Roman"/>
          <w:spacing w:val="0"/>
        </w:rPr>
      </w:pPr>
      <w:r w:rsidRPr="002C6FFD">
        <w:rPr>
          <w:rFonts w:cs="Times New Roman"/>
          <w:spacing w:val="0"/>
        </w:rPr>
        <w:t>Раневая поверхность кожи и подлежащих тканей с признаками воспаления в месте проведения процедуры.</w:t>
      </w:r>
    </w:p>
    <w:p w14:paraId="14F268A9" w14:textId="77777777" w:rsidR="005B5D49" w:rsidRPr="002C6FFD" w:rsidRDefault="005B5D49" w:rsidP="008C1767">
      <w:pPr>
        <w:pStyle w:val="bullet"/>
        <w:numPr>
          <w:ilvl w:val="0"/>
          <w:numId w:val="58"/>
        </w:numPr>
        <w:spacing w:line="360" w:lineRule="auto"/>
        <w:jc w:val="both"/>
        <w:rPr>
          <w:rFonts w:cs="Times New Roman"/>
          <w:spacing w:val="0"/>
        </w:rPr>
      </w:pPr>
      <w:r w:rsidRPr="002C6FFD">
        <w:rPr>
          <w:rFonts w:cs="Times New Roman"/>
          <w:spacing w:val="0"/>
        </w:rPr>
        <w:t>Тромбоцитопения и другие коагулопатии, геморрагический синдром (выполнение процедуры возможно после купирования нарушений гемостаза и коррекции тромбоцитопении).</w:t>
      </w:r>
    </w:p>
    <w:p w14:paraId="32A5E127" w14:textId="77777777" w:rsidR="005B5D49" w:rsidRPr="002C6FFD" w:rsidRDefault="005B5D49" w:rsidP="008C1767">
      <w:pPr>
        <w:pStyle w:val="bullet"/>
        <w:numPr>
          <w:ilvl w:val="0"/>
          <w:numId w:val="58"/>
        </w:numPr>
        <w:spacing w:line="360" w:lineRule="auto"/>
        <w:jc w:val="both"/>
        <w:rPr>
          <w:rFonts w:cs="Times New Roman"/>
          <w:spacing w:val="0"/>
          <w:shd w:val="clear" w:color="auto" w:fill="FFFFFF"/>
        </w:rPr>
      </w:pPr>
      <w:r w:rsidRPr="002C6FFD">
        <w:rPr>
          <w:rFonts w:cs="Times New Roman"/>
          <w:spacing w:val="0"/>
          <w:shd w:val="clear" w:color="auto" w:fill="FFFFFF"/>
        </w:rPr>
        <w:t xml:space="preserve">При терапии антикоагулянтами и антиагрегантами, перед выполнением процедуры должны учитываться показатели коагулологических тестов. </w:t>
      </w:r>
    </w:p>
    <w:p w14:paraId="20BB7321" w14:textId="77777777" w:rsidR="005B5D49" w:rsidRPr="002C6FFD" w:rsidRDefault="005B5D49" w:rsidP="008C1767">
      <w:pPr>
        <w:pStyle w:val="bullet"/>
        <w:numPr>
          <w:ilvl w:val="0"/>
          <w:numId w:val="58"/>
        </w:numPr>
        <w:spacing w:line="360" w:lineRule="auto"/>
        <w:jc w:val="both"/>
        <w:rPr>
          <w:rFonts w:cs="Times New Roman"/>
          <w:spacing w:val="0"/>
          <w:shd w:val="clear" w:color="auto" w:fill="FFFFFF"/>
        </w:rPr>
      </w:pPr>
      <w:r w:rsidRPr="002C6FFD">
        <w:rPr>
          <w:rFonts w:cs="Times New Roman"/>
          <w:spacing w:val="0"/>
          <w:shd w:val="clear" w:color="auto" w:fill="FFFFFF"/>
        </w:rPr>
        <w:t xml:space="preserve">Наличие признаков резорбции кости </w:t>
      </w:r>
      <w:r w:rsidRPr="002C6FFD">
        <w:rPr>
          <w:rFonts w:cs="Times New Roman"/>
          <w:spacing w:val="0"/>
        </w:rPr>
        <w:t>в месте проведения процедуры</w:t>
      </w:r>
      <w:r w:rsidRPr="002C6FFD">
        <w:rPr>
          <w:rFonts w:cs="Times New Roman"/>
          <w:spacing w:val="0"/>
          <w:shd w:val="clear" w:color="auto" w:fill="FFFFFF"/>
        </w:rPr>
        <w:t>.</w:t>
      </w:r>
    </w:p>
    <w:p w14:paraId="523C8A49" w14:textId="77777777" w:rsidR="005B5D49" w:rsidRPr="002C6FFD" w:rsidRDefault="005B5D49" w:rsidP="005B5D49">
      <w:pPr>
        <w:pStyle w:val="bullet"/>
        <w:spacing w:line="360" w:lineRule="auto"/>
        <w:ind w:firstLine="709"/>
        <w:jc w:val="both"/>
        <w:rPr>
          <w:rFonts w:cs="Times New Roman"/>
          <w:spacing w:val="0"/>
          <w:shd w:val="clear" w:color="auto" w:fill="FFFFFF"/>
        </w:rPr>
      </w:pPr>
      <w:r w:rsidRPr="002C6FFD">
        <w:rPr>
          <w:rFonts w:cs="Times New Roman"/>
          <w:spacing w:val="0"/>
          <w:shd w:val="clear" w:color="auto" w:fill="FFFFFF"/>
        </w:rPr>
        <w:lastRenderedPageBreak/>
        <w:t>При соматически тяжелом состоянии пациента и повышенном риске развития осложнений при амбулаторном проведении процедуры, трепанобиопсию возможно выполнить в условиях стационара.</w:t>
      </w:r>
    </w:p>
    <w:p w14:paraId="7791EF6D" w14:textId="77777777" w:rsidR="005B5D49" w:rsidRDefault="005B5D49" w:rsidP="004905C2">
      <w:pPr>
        <w:pStyle w:val="2"/>
        <w:rPr>
          <w:rFonts w:eastAsia="Arial Unicode MS"/>
        </w:rPr>
      </w:pPr>
    </w:p>
    <w:p w14:paraId="349B31CB" w14:textId="7F82C8E9" w:rsidR="005B5D49" w:rsidRPr="00F30696" w:rsidRDefault="005B5D49" w:rsidP="005B5D49">
      <w:pPr>
        <w:rPr>
          <w:b/>
          <w:i/>
          <w:iCs/>
          <w:u w:val="single"/>
          <w:shd w:val="clear" w:color="auto" w:fill="FFFFFF"/>
        </w:rPr>
      </w:pPr>
      <w:r w:rsidRPr="00F30696">
        <w:rPr>
          <w:i/>
          <w:iCs/>
          <w:u w:val="single"/>
          <w:shd w:val="clear" w:color="auto" w:fill="FFFFFF"/>
        </w:rPr>
        <w:t xml:space="preserve">Возможные технические трудности выполнения пункционного и биопсийного исследований костного мозга </w:t>
      </w:r>
      <w:r w:rsidRPr="00F30696">
        <w:rPr>
          <w:b/>
          <w:i/>
          <w:iCs/>
          <w:u w:val="single"/>
          <w:shd w:val="clear" w:color="auto" w:fill="FFFFFF"/>
        </w:rPr>
        <w:fldChar w:fldCharType="begin" w:fldLock="1"/>
      </w:r>
      <w:r w:rsidR="00A67ED2">
        <w:rPr>
          <w:i/>
          <w:iCs/>
          <w:u w:val="single"/>
          <w:shd w:val="clear" w:color="auto" w:fill="FFFFFF"/>
        </w:rPr>
        <w:instrText>ADDIN CSL_CITATION {"citationItems":[{"id":"ITEM-1","itemData":{"author":[{"dropping-particle":"","family":"Криволапов","given":"Ю.А.","non-dropping-particle":"","parse-names":false,"suffix":""}],"container-title":"Клиническая онкогематология","id":"ITEM-1","issued":{"date-parts":[["2014"]]},"page":"290-295","title":"Технические аспекты выполнения трепанобиопсий костного мозга. Клиническая онкогематология 2014; 7:290—295","type":"article-journal","volume":"7"},"uris":["http://www.mendeley.com/documents/?uuid=bda8e112-db56-4369-9b45-4ae420482b92"]}],"mendeley":{"formattedCitation":"[173]","plainTextFormattedCitation":"[173]","previouslyFormattedCitation":"[153]"},"properties":{"noteIndex":0},"schema":"https://github.com/citation-style-language/schema/raw/master/csl-citation.json"}</w:instrText>
      </w:r>
      <w:r w:rsidRPr="00F30696">
        <w:rPr>
          <w:b/>
          <w:i/>
          <w:iCs/>
          <w:u w:val="single"/>
          <w:shd w:val="clear" w:color="auto" w:fill="FFFFFF"/>
        </w:rPr>
        <w:fldChar w:fldCharType="separate"/>
      </w:r>
      <w:r w:rsidR="00A67ED2" w:rsidRPr="00A67ED2">
        <w:rPr>
          <w:iCs/>
          <w:noProof/>
          <w:shd w:val="clear" w:color="auto" w:fill="FFFFFF"/>
        </w:rPr>
        <w:t>[173]</w:t>
      </w:r>
      <w:r w:rsidRPr="00F30696">
        <w:rPr>
          <w:b/>
          <w:i/>
          <w:iCs/>
          <w:u w:val="single"/>
          <w:shd w:val="clear" w:color="auto" w:fill="FFFFFF"/>
        </w:rPr>
        <w:fldChar w:fldCharType="end"/>
      </w:r>
    </w:p>
    <w:p w14:paraId="40D202B3" w14:textId="77777777" w:rsidR="005B5D49" w:rsidRPr="002C6FFD" w:rsidRDefault="005B5D49" w:rsidP="008C1767">
      <w:pPr>
        <w:pStyle w:val="bullet"/>
        <w:numPr>
          <w:ilvl w:val="0"/>
          <w:numId w:val="58"/>
        </w:numPr>
        <w:spacing w:line="360" w:lineRule="auto"/>
        <w:jc w:val="both"/>
        <w:rPr>
          <w:rFonts w:cs="Times New Roman"/>
          <w:spacing w:val="0"/>
          <w:shd w:val="clear" w:color="auto" w:fill="FFFFFF"/>
        </w:rPr>
      </w:pPr>
      <w:r w:rsidRPr="002C6FFD">
        <w:rPr>
          <w:rFonts w:cs="Times New Roman"/>
          <w:spacing w:val="0"/>
          <w:shd w:val="clear" w:color="auto" w:fill="FFFFFF"/>
        </w:rPr>
        <w:t>Плохое качество инструментария.</w:t>
      </w:r>
    </w:p>
    <w:p w14:paraId="53BE7195" w14:textId="77777777" w:rsidR="005B5D49" w:rsidRPr="002C6FFD" w:rsidRDefault="005B5D49" w:rsidP="008C1767">
      <w:pPr>
        <w:pStyle w:val="bullet"/>
        <w:numPr>
          <w:ilvl w:val="0"/>
          <w:numId w:val="58"/>
        </w:numPr>
        <w:spacing w:line="360" w:lineRule="auto"/>
        <w:jc w:val="both"/>
        <w:rPr>
          <w:rFonts w:cs="Times New Roman"/>
          <w:spacing w:val="0"/>
          <w:shd w:val="clear" w:color="auto" w:fill="FFFFFF"/>
        </w:rPr>
      </w:pPr>
      <w:r w:rsidRPr="002C6FFD">
        <w:rPr>
          <w:rFonts w:cs="Times New Roman"/>
          <w:spacing w:val="0"/>
          <w:shd w:val="clear" w:color="auto" w:fill="FFFFFF"/>
        </w:rPr>
        <w:t>Избыточный вес больного или большая толщина подкожно-жировой клетчатки и анатомические особенности строения грудной клетки и костей таза.</w:t>
      </w:r>
    </w:p>
    <w:p w14:paraId="4C1831D4" w14:textId="77777777" w:rsidR="005B5D49" w:rsidRPr="002C6FFD" w:rsidRDefault="005B5D49" w:rsidP="008C1767">
      <w:pPr>
        <w:pStyle w:val="bullet"/>
        <w:numPr>
          <w:ilvl w:val="0"/>
          <w:numId w:val="58"/>
        </w:numPr>
        <w:spacing w:line="360" w:lineRule="auto"/>
        <w:jc w:val="both"/>
        <w:rPr>
          <w:rFonts w:cs="Times New Roman"/>
          <w:spacing w:val="0"/>
          <w:shd w:val="clear" w:color="auto" w:fill="FFFFFF"/>
        </w:rPr>
      </w:pPr>
      <w:r w:rsidRPr="002C6FFD">
        <w:rPr>
          <w:rFonts w:cs="Times New Roman"/>
          <w:spacing w:val="0"/>
          <w:shd w:val="clear" w:color="auto" w:fill="FFFFFF"/>
        </w:rPr>
        <w:t>Остеопороз.</w:t>
      </w:r>
    </w:p>
    <w:p w14:paraId="573C5D8B" w14:textId="77777777" w:rsidR="005B5D49" w:rsidRPr="002C6FFD" w:rsidRDefault="005B5D49" w:rsidP="008C1767">
      <w:pPr>
        <w:pStyle w:val="bullet"/>
        <w:numPr>
          <w:ilvl w:val="0"/>
          <w:numId w:val="58"/>
        </w:numPr>
        <w:spacing w:line="360" w:lineRule="auto"/>
        <w:jc w:val="both"/>
        <w:rPr>
          <w:rFonts w:cs="Times New Roman"/>
          <w:spacing w:val="0"/>
          <w:shd w:val="clear" w:color="auto" w:fill="FFFFFF"/>
        </w:rPr>
      </w:pPr>
      <w:r w:rsidRPr="002C6FFD">
        <w:rPr>
          <w:rFonts w:cs="Times New Roman"/>
          <w:spacing w:val="0"/>
          <w:shd w:val="clear" w:color="auto" w:fill="FFFFFF"/>
        </w:rPr>
        <w:t>Фиброз стромы.</w:t>
      </w:r>
    </w:p>
    <w:p w14:paraId="41DD7AEF" w14:textId="77777777" w:rsidR="005B5D49" w:rsidRDefault="005B5D49" w:rsidP="004905C2">
      <w:pPr>
        <w:pStyle w:val="2"/>
        <w:rPr>
          <w:rFonts w:eastAsia="Arial Unicode MS"/>
        </w:rPr>
      </w:pPr>
    </w:p>
    <w:p w14:paraId="68C1E9B4" w14:textId="3E099B66" w:rsidR="005B5D49" w:rsidRPr="00F30696" w:rsidRDefault="005B5D49" w:rsidP="005B5D49">
      <w:pPr>
        <w:rPr>
          <w:b/>
          <w:i/>
          <w:iCs/>
          <w:u w:val="single"/>
          <w:shd w:val="clear" w:color="auto" w:fill="FFFFFF"/>
        </w:rPr>
      </w:pPr>
      <w:r w:rsidRPr="00F30696">
        <w:rPr>
          <w:i/>
          <w:iCs/>
          <w:u w:val="single"/>
          <w:shd w:val="clear" w:color="auto" w:fill="FFFFFF"/>
        </w:rPr>
        <w:t xml:space="preserve">Возможные осложнения пункционного и биопсийного исследований костного мозга и способы их профилактики </w:t>
      </w:r>
      <w:r w:rsidRPr="00F30696">
        <w:rPr>
          <w:b/>
          <w:i/>
          <w:iCs/>
          <w:u w:val="single"/>
          <w:shd w:val="clear" w:color="auto" w:fill="FFFFFF"/>
        </w:rPr>
        <w:fldChar w:fldCharType="begin" w:fldLock="1"/>
      </w:r>
      <w:r w:rsidR="00A67ED2">
        <w:rPr>
          <w:i/>
          <w:iCs/>
          <w:u w:val="single"/>
          <w:shd w:val="clear" w:color="auto" w:fill="FFFFFF"/>
        </w:rPr>
        <w:instrText>ADDIN CSL_CITATION {"citationItems":[{"id":"ITEM-1","itemData":{"author":[{"dropping-particle":"","family":"Криволапов","given":"Ю.А.","non-dropping-particle":"","parse-names":false,"suffix":""}],"container-title":"Клиническая онкогематология","id":"ITEM-1","issued":{"date-parts":[["2014"]]},"page":"290-295","title":"Технические аспекты выполнения трепанобиопсий костного мозга. Клиническая онкогематология 2014; 7:290—295","type":"article-journal","volume":"7"},"uris":["http://www.mendeley.com/documents/?uuid=bda8e112-db56-4369-9b45-4ae420482b92"]}],"mendeley":{"formattedCitation":"[173]","plainTextFormattedCitation":"[173]","previouslyFormattedCitation":"[153]"},"properties":{"noteIndex":0},"schema":"https://github.com/citation-style-language/schema/raw/master/csl-citation.json"}</w:instrText>
      </w:r>
      <w:r w:rsidRPr="00F30696">
        <w:rPr>
          <w:b/>
          <w:i/>
          <w:iCs/>
          <w:u w:val="single"/>
          <w:shd w:val="clear" w:color="auto" w:fill="FFFFFF"/>
        </w:rPr>
        <w:fldChar w:fldCharType="separate"/>
      </w:r>
      <w:r w:rsidR="00A67ED2" w:rsidRPr="00A67ED2">
        <w:rPr>
          <w:iCs/>
          <w:noProof/>
          <w:shd w:val="clear" w:color="auto" w:fill="FFFFFF"/>
        </w:rPr>
        <w:t>[173]</w:t>
      </w:r>
      <w:r w:rsidRPr="00F30696">
        <w:rPr>
          <w:b/>
          <w:i/>
          <w:iCs/>
          <w:u w:val="single"/>
          <w:shd w:val="clear" w:color="auto" w:fill="FFFFFF"/>
        </w:rPr>
        <w:fldChar w:fldCharType="end"/>
      </w:r>
    </w:p>
    <w:p w14:paraId="722F9825" w14:textId="77777777" w:rsidR="005B5D49" w:rsidRPr="002C6FFD" w:rsidRDefault="005B5D49" w:rsidP="008C1767">
      <w:pPr>
        <w:pStyle w:val="bullet"/>
        <w:numPr>
          <w:ilvl w:val="0"/>
          <w:numId w:val="58"/>
        </w:numPr>
        <w:spacing w:line="360" w:lineRule="auto"/>
        <w:jc w:val="both"/>
        <w:rPr>
          <w:rFonts w:cs="Times New Roman"/>
          <w:spacing w:val="0"/>
          <w:shd w:val="clear" w:color="auto" w:fill="FFFFFF"/>
        </w:rPr>
      </w:pPr>
      <w:r w:rsidRPr="002C6FFD">
        <w:rPr>
          <w:rFonts w:cs="Times New Roman"/>
          <w:spacing w:val="0"/>
          <w:shd w:val="clear" w:color="auto" w:fill="FFFFFF"/>
        </w:rPr>
        <w:t>Кровотечение (раннее и/или отсроченное), особенно при тромбоцитопении и/или наличии нарушений свертывания крови.</w:t>
      </w:r>
    </w:p>
    <w:p w14:paraId="26ECCA04" w14:textId="77777777" w:rsidR="005B5D49" w:rsidRPr="002C6FFD" w:rsidRDefault="005B5D49" w:rsidP="008C1767">
      <w:pPr>
        <w:pStyle w:val="bullet"/>
        <w:numPr>
          <w:ilvl w:val="0"/>
          <w:numId w:val="58"/>
        </w:numPr>
        <w:spacing w:line="360" w:lineRule="auto"/>
        <w:jc w:val="both"/>
        <w:rPr>
          <w:rFonts w:cs="Times New Roman"/>
          <w:spacing w:val="0"/>
          <w:shd w:val="clear" w:color="auto" w:fill="FFFFFF"/>
        </w:rPr>
      </w:pPr>
      <w:r w:rsidRPr="002C6FFD">
        <w:rPr>
          <w:rFonts w:cs="Times New Roman"/>
          <w:spacing w:val="0"/>
          <w:shd w:val="clear" w:color="auto" w:fill="FFFFFF"/>
        </w:rPr>
        <w:t>Инфекция, особенно в условиях иммунодефицита и нейтропении.</w:t>
      </w:r>
    </w:p>
    <w:p w14:paraId="650EB79E" w14:textId="77777777" w:rsidR="005B5D49" w:rsidRPr="002C6FFD" w:rsidRDefault="005B5D49" w:rsidP="008C1767">
      <w:pPr>
        <w:pStyle w:val="bullet"/>
        <w:numPr>
          <w:ilvl w:val="0"/>
          <w:numId w:val="58"/>
        </w:numPr>
        <w:spacing w:line="360" w:lineRule="auto"/>
        <w:jc w:val="both"/>
        <w:rPr>
          <w:rFonts w:cs="Times New Roman"/>
          <w:spacing w:val="0"/>
          <w:shd w:val="clear" w:color="auto" w:fill="FFFFFF"/>
        </w:rPr>
      </w:pPr>
      <w:r w:rsidRPr="002C6FFD">
        <w:rPr>
          <w:rFonts w:cs="Times New Roman"/>
          <w:spacing w:val="0"/>
          <w:shd w:val="clear" w:color="auto" w:fill="FFFFFF"/>
        </w:rPr>
        <w:t>Длительный болевой синдром и дискомфорт в месте биопсии.</w:t>
      </w:r>
    </w:p>
    <w:p w14:paraId="00A72323" w14:textId="77777777" w:rsidR="005B5D49" w:rsidRPr="002C6FFD" w:rsidRDefault="005B5D49" w:rsidP="008C1767">
      <w:pPr>
        <w:pStyle w:val="bullet"/>
        <w:numPr>
          <w:ilvl w:val="0"/>
          <w:numId w:val="58"/>
        </w:numPr>
        <w:spacing w:line="360" w:lineRule="auto"/>
        <w:jc w:val="both"/>
        <w:rPr>
          <w:rFonts w:cs="Times New Roman"/>
          <w:spacing w:val="0"/>
          <w:shd w:val="clear" w:color="auto" w:fill="FFFFFF"/>
        </w:rPr>
      </w:pPr>
      <w:r w:rsidRPr="002C6FFD">
        <w:rPr>
          <w:rFonts w:cs="Times New Roman"/>
          <w:spacing w:val="0"/>
          <w:shd w:val="clear" w:color="auto" w:fill="FFFFFF"/>
        </w:rPr>
        <w:t>Переломы кости.</w:t>
      </w:r>
    </w:p>
    <w:p w14:paraId="26FB970F" w14:textId="77777777" w:rsidR="005B5D49" w:rsidRPr="002C6FFD" w:rsidRDefault="005B5D49" w:rsidP="008C1767">
      <w:pPr>
        <w:pStyle w:val="bullet"/>
        <w:numPr>
          <w:ilvl w:val="0"/>
          <w:numId w:val="58"/>
        </w:numPr>
        <w:spacing w:line="360" w:lineRule="auto"/>
        <w:jc w:val="both"/>
        <w:rPr>
          <w:rFonts w:cs="Times New Roman"/>
          <w:spacing w:val="0"/>
          <w:shd w:val="clear" w:color="auto" w:fill="FFFFFF"/>
        </w:rPr>
      </w:pPr>
      <w:r w:rsidRPr="002C6FFD">
        <w:rPr>
          <w:rFonts w:cs="Times New Roman"/>
          <w:spacing w:val="0"/>
          <w:shd w:val="clear" w:color="auto" w:fill="FFFFFF"/>
        </w:rPr>
        <w:t>Поломка инструмента.</w:t>
      </w:r>
    </w:p>
    <w:p w14:paraId="1CDEEDC6" w14:textId="77777777" w:rsidR="005B5D49" w:rsidRPr="002C6FFD" w:rsidRDefault="005B5D49" w:rsidP="008C1767">
      <w:pPr>
        <w:pStyle w:val="bullet"/>
        <w:numPr>
          <w:ilvl w:val="0"/>
          <w:numId w:val="58"/>
        </w:numPr>
        <w:spacing w:line="360" w:lineRule="auto"/>
        <w:jc w:val="both"/>
        <w:rPr>
          <w:rFonts w:cs="Times New Roman"/>
          <w:spacing w:val="0"/>
          <w:shd w:val="clear" w:color="auto" w:fill="FFFFFF"/>
        </w:rPr>
      </w:pPr>
      <w:r w:rsidRPr="002C6FFD">
        <w:rPr>
          <w:rFonts w:cs="Times New Roman"/>
          <w:spacing w:val="0"/>
          <w:shd w:val="clear" w:color="auto" w:fill="FFFFFF"/>
        </w:rPr>
        <w:t>Сквозное ранение органов средостения при выполнение стернальной пункции.</w:t>
      </w:r>
    </w:p>
    <w:p w14:paraId="2F54834F" w14:textId="77777777" w:rsidR="005B5D49" w:rsidRPr="002C6FFD" w:rsidRDefault="005B5D49" w:rsidP="008C1767">
      <w:pPr>
        <w:pStyle w:val="bullet"/>
        <w:numPr>
          <w:ilvl w:val="0"/>
          <w:numId w:val="58"/>
        </w:numPr>
        <w:spacing w:line="360" w:lineRule="auto"/>
        <w:jc w:val="both"/>
        <w:rPr>
          <w:rFonts w:cs="Times New Roman"/>
          <w:spacing w:val="0"/>
          <w:shd w:val="clear" w:color="auto" w:fill="FFFFFF"/>
        </w:rPr>
      </w:pPr>
      <w:r w:rsidRPr="002C6FFD">
        <w:rPr>
          <w:rFonts w:cs="Times New Roman"/>
          <w:spacing w:val="0"/>
          <w:shd w:val="clear" w:color="auto" w:fill="FFFFFF"/>
        </w:rPr>
        <w:t>Анафилактические реакции (на анестетики).</w:t>
      </w:r>
    </w:p>
    <w:p w14:paraId="583E3CA3" w14:textId="77777777" w:rsidR="005B5D49" w:rsidRPr="002C6FFD" w:rsidRDefault="005B5D49" w:rsidP="005B5D49">
      <w:pPr>
        <w:ind w:firstLine="708"/>
        <w:rPr>
          <w:szCs w:val="24"/>
        </w:rPr>
      </w:pPr>
    </w:p>
    <w:p w14:paraId="66A90D9F" w14:textId="77777777" w:rsidR="005B5D49" w:rsidRPr="002C6FFD" w:rsidRDefault="005B5D49" w:rsidP="005B5D49">
      <w:pPr>
        <w:ind w:firstLine="708"/>
        <w:rPr>
          <w:szCs w:val="24"/>
        </w:rPr>
      </w:pPr>
      <w:r w:rsidRPr="002C6FFD">
        <w:rPr>
          <w:szCs w:val="24"/>
        </w:rPr>
        <w:t>При выполнении стернальной пункции, из-за тонкой структуры кости грудины в области пункции (толщина ~ 1 см у взрослых), возможно сквозное проникновение в средостение с возможным повреждением органов средостения и развитием медиастинита, пневмоторакса, травмы и тампонады сердца. Для профилактики данного осложнения необходимо использовать стернальные иглы с ограничителем.</w:t>
      </w:r>
    </w:p>
    <w:p w14:paraId="7E7C6B2B" w14:textId="77777777" w:rsidR="005B5D49" w:rsidRPr="002C6FFD" w:rsidRDefault="005B5D49" w:rsidP="005B5D49">
      <w:pPr>
        <w:ind w:firstLine="708"/>
        <w:rPr>
          <w:color w:val="1A1718"/>
          <w:szCs w:val="24"/>
        </w:rPr>
      </w:pPr>
      <w:r w:rsidRPr="002C6FFD">
        <w:rPr>
          <w:color w:val="212121"/>
          <w:szCs w:val="24"/>
        </w:rPr>
        <w:t xml:space="preserve">Ряд осложнений может быть обусловлен некоторыми анатомическими особенностями больного. </w:t>
      </w:r>
      <w:r w:rsidRPr="002C6FFD">
        <w:rPr>
          <w:szCs w:val="24"/>
        </w:rPr>
        <w:t>Так у больных с ожирением выше вероятность развития осложнений, т</w:t>
      </w:r>
      <w:r w:rsidRPr="002C6FFD">
        <w:rPr>
          <w:color w:val="212121"/>
          <w:szCs w:val="24"/>
        </w:rPr>
        <w:t xml:space="preserve">акже осложнять проведение процедуры могут сопутствующие заболевания, влияющие на плотность костной ткани (например, остеопороз и резорбция </w:t>
      </w:r>
      <w:r w:rsidRPr="002C6FFD">
        <w:rPr>
          <w:szCs w:val="24"/>
        </w:rPr>
        <w:t xml:space="preserve">кости). Для минимизации риска развития локальных и генерализованных инфекций, необходимо использовать только стерильный инструмент и строго соблюдать все правила асептики и </w:t>
      </w:r>
      <w:r w:rsidRPr="002C6FFD">
        <w:rPr>
          <w:szCs w:val="24"/>
        </w:rPr>
        <w:lastRenderedPageBreak/>
        <w:t xml:space="preserve">антисептики. </w:t>
      </w:r>
      <w:r w:rsidRPr="002C6FFD">
        <w:rPr>
          <w:color w:val="1A1718"/>
          <w:szCs w:val="24"/>
        </w:rPr>
        <w:t>Основными способами профилактики геморрагических осложнений является коррекция тромбоцитопении и коагулологических нарушений перед выполнением процедуры и контроль параметров гемостаза и состояния больного в раннем периоде после биопсии. При своевременном грамотном вмешательстве осложнения процедур исследования костного мозга (пункция, биопсия) курабельны.</w:t>
      </w:r>
    </w:p>
    <w:p w14:paraId="06284BBB" w14:textId="77777777" w:rsidR="005B5D49" w:rsidRPr="002C6FFD" w:rsidRDefault="005B5D49" w:rsidP="005B5D49">
      <w:pPr>
        <w:ind w:firstLine="708"/>
        <w:rPr>
          <w:color w:val="000000"/>
          <w:szCs w:val="24"/>
        </w:rPr>
      </w:pPr>
      <w:r w:rsidRPr="002C6FFD">
        <w:rPr>
          <w:szCs w:val="24"/>
        </w:rPr>
        <w:t xml:space="preserve">При развитии осложнений биопсийного исследования необходимо связаться с врачом, выполнившим процедуру, тактика терапии осложнения должна быть согласована с гематологом. </w:t>
      </w:r>
    </w:p>
    <w:p w14:paraId="52EE0931" w14:textId="77777777" w:rsidR="005B5D49" w:rsidRDefault="005B5D49" w:rsidP="004905C2">
      <w:pPr>
        <w:pStyle w:val="2"/>
        <w:rPr>
          <w:rFonts w:eastAsia="Arial Unicode MS"/>
        </w:rPr>
      </w:pPr>
    </w:p>
    <w:p w14:paraId="10E388DA" w14:textId="77777777" w:rsidR="005B5D49" w:rsidRPr="00F30696" w:rsidRDefault="005B5D49" w:rsidP="005B5D49">
      <w:pPr>
        <w:rPr>
          <w:b/>
          <w:i/>
          <w:iCs/>
          <w:u w:val="single"/>
          <w:shd w:val="clear" w:color="auto" w:fill="FFFFFF"/>
        </w:rPr>
      </w:pPr>
      <w:r w:rsidRPr="00F30696">
        <w:rPr>
          <w:i/>
          <w:iCs/>
          <w:u w:val="single"/>
          <w:shd w:val="clear" w:color="auto" w:fill="FFFFFF"/>
        </w:rPr>
        <w:t>Односторонняя и двусторонняя биопсия подвздошной кости</w:t>
      </w:r>
    </w:p>
    <w:p w14:paraId="0405C3D4" w14:textId="3B544A3B" w:rsidR="005B5D49" w:rsidRPr="002C6FFD" w:rsidRDefault="005B5D49" w:rsidP="005B5D49">
      <w:pPr>
        <w:pStyle w:val="Normal1"/>
        <w:spacing w:before="0" w:line="360" w:lineRule="auto"/>
        <w:ind w:left="0" w:firstLine="699"/>
        <w:jc w:val="both"/>
        <w:rPr>
          <w:rFonts w:cs="Times New Roman"/>
          <w:spacing w:val="0"/>
        </w:rPr>
      </w:pPr>
      <w:r w:rsidRPr="002C6FFD">
        <w:rPr>
          <w:rFonts w:cs="Times New Roman"/>
          <w:spacing w:val="0"/>
        </w:rPr>
        <w:t>Выполнение двусторонней биопсии подвздошной кости увеличивает вероятность выявления очаговых поражений костного мозга при подозрении на метастатическое поражение при солидных опухолях, лимфопролиферативных заболеваниях, которые при односторонней биопсии могут быть не выявлены. Выполнение билатерального биопсийного исследования костного мозга также показано для более детальной оценки клеточности и наличия фиброза стромы при диагностике апластической анемии и миелодиспластических синдромов</w:t>
      </w:r>
      <w:r>
        <w:rPr>
          <w:rFonts w:cs="Times New Roman"/>
          <w:spacing w:val="0"/>
        </w:rPr>
        <w:t xml:space="preserve"> </w:t>
      </w:r>
      <w:r>
        <w:rPr>
          <w:rFonts w:cs="Times New Roman"/>
          <w:spacing w:val="0"/>
        </w:rPr>
        <w:fldChar w:fldCharType="begin" w:fldLock="1"/>
      </w:r>
      <w:r w:rsidR="00A67ED2">
        <w:rPr>
          <w:rFonts w:cs="Times New Roman"/>
          <w:spacing w:val="0"/>
        </w:rPr>
        <w:instrText>ADDIN CSL_CITATION {"citationItems":[{"id":"ITEM-1","itemData":{"DOI":"10.1002/cncr.10364","ISSN":"0008543X","PMID":"11920510","abstract":"BACKGROUND. To retrospectively evaluate the significance of morphologic examination and ancillary studies performed on bilateral bone marrow biopsy specimens, 1864 bone marrow samples were studied. METHODS. Bilateral bone marrow biopsy specimens included 883 specimens that were evaluated for involvement by non-Hodgkin lymphoma (NHL); 381 specimens that were evaluated for involvement by carcinoma (CA); 362 specimens that were evaluated for involvement by Hodgkin disease (HD); 94 specimens that were evaluated for involvement by sarcoma (SA); 56 specimens that were evaluated for involvement by multiple myeloma (MM); 53 specimens that were evaluated for involvement by acute and chronic leukemia, myelodysplasia, and/or myeloproliferative disorders (LEUK); and 35 specimens that were evaluated for other reasons. RESULTS. Of all 1864 specimens, 410 samples (22.0%) were positive for disease, including 77% of MM samples, 58% of LEUK samples, 29.6% of NHL samples, 14% of SA samples, 9.9% of HD samples, and 6.8% of CA samples. A discrepancy between the left and right sides was identified in 48 specimens (11.7% of positive samples). The discrepancy rate was 39% for HD samples, 29% for SA samples, 23% for CA samples, and 9.2% for NHL samples. No morphologic discrepancies between bilateral samples were found in MM samples or LEUK samples. Bilateral flow cytometric studies (n = 113 samples) were positive in 11 samples (9.7%; all morphologically positive), with two discrepancies detected between bilateral samples. Bilateral cytogenetic studies (n = 74 samples) were positive in 5 samples (7%), and there were no discrepancies. Bilateral molecular studies (n = 16 samples)were positive in 7 samples (44%), and there were 3 discrepancies. CONCLUSIONS. Bilateral morphologic evaluation is useful in the evaluation of patients with NHL, HD, CA, and SA and is not indicated for patients with acute or chronic leukemia, myelodysplasia, MM, and other diseases. Bilateral flow cytomettic or cytogenetic studies of bone marrow did not provide additional information in this population to justify bilateral samples. The role of bilateral molecular analysis needs to be defined further, but pooled samples for molecular studies may be adequate. © 2002 American Cancer Society.","author":[{"dropping-particle":"","family":"Wang","given":"Jun","non-dropping-particle":"","parse-names":false,"suffix":""},{"dropping-particle":"","family":"Weiss","given":"Lawrence M.","non-dropping-particle":"","parse-names":false,"suffix":""},{"dropping-particle":"","family":"Chang","given":"Karen L.","non-dropping-particle":"","parse-names":false,"suffix":""},{"dropping-particle":"","family":"Slovak","given":"Marilyn L.","non-dropping-particle":"","parse-names":false,"suffix":""},{"dropping-particle":"","family":"Gaal","given":"Karl","non-dropping-particle":"","parse-names":false,"suffix":""},{"dropping-particle":"","family":"Forman","given":"Stephen J.","non-dropping-particle":"","parse-names":false,"suffix":""},{"dropping-particle":"","family":"Arber","given":"Daniel A.","non-dropping-particle":"","parse-names":false,"suffix":""}],"container-title":"Cancer","id":"ITEM-1","issue":"5","issued":{"date-parts":[["2002","3","1"]]},"page":"1522-1531","publisher":"Cancer","title":"Diagnostic utility of bilateral bone marrow examination: Significance of morphologic and ancillary technique study in malignancy","type":"article-journal","volume":"94"},"uris":["http://www.mendeley.com/documents/?uuid=a4dddfa3-ad50-3935-9640-ea89d6a1fc11"]}],"mendeley":{"formattedCitation":"[174]","plainTextFormattedCitation":"[174]","previouslyFormattedCitation":"[154]"},"properties":{"noteIndex":0},"schema":"https://github.com/citation-style-language/schema/raw/master/csl-citation.json"}</w:instrText>
      </w:r>
      <w:r>
        <w:rPr>
          <w:rFonts w:cs="Times New Roman"/>
          <w:spacing w:val="0"/>
        </w:rPr>
        <w:fldChar w:fldCharType="separate"/>
      </w:r>
      <w:r w:rsidR="00A67ED2" w:rsidRPr="00A67ED2">
        <w:rPr>
          <w:rFonts w:cs="Times New Roman"/>
          <w:noProof/>
          <w:spacing w:val="0"/>
        </w:rPr>
        <w:t>[174]</w:t>
      </w:r>
      <w:r>
        <w:rPr>
          <w:rFonts w:cs="Times New Roman"/>
          <w:spacing w:val="0"/>
        </w:rPr>
        <w:fldChar w:fldCharType="end"/>
      </w:r>
      <w:r w:rsidRPr="002C6FFD">
        <w:rPr>
          <w:rFonts w:cs="Times New Roman"/>
          <w:spacing w:val="0"/>
        </w:rPr>
        <w:t xml:space="preserve">. </w:t>
      </w:r>
    </w:p>
    <w:p w14:paraId="6C364B11" w14:textId="77777777" w:rsidR="005B5D49" w:rsidRPr="002C6FFD" w:rsidRDefault="005B5D49" w:rsidP="005B5D49">
      <w:pPr>
        <w:pStyle w:val="Normal1"/>
        <w:spacing w:before="0" w:line="360" w:lineRule="auto"/>
        <w:ind w:left="0" w:firstLine="699"/>
        <w:jc w:val="both"/>
        <w:rPr>
          <w:rFonts w:cs="Times New Roman"/>
          <w:spacing w:val="0"/>
        </w:rPr>
      </w:pPr>
      <w:r w:rsidRPr="002C6FFD">
        <w:rPr>
          <w:rFonts w:cs="Times New Roman"/>
          <w:spacing w:val="0"/>
        </w:rPr>
        <w:t>Выполнение одностороннего биопсийного исследования подвздошной кости считался достаточным в большинстве случаев при множественной миеломе и хронических миелопролиферативных заболеваниях.</w:t>
      </w:r>
    </w:p>
    <w:p w14:paraId="79EACE13" w14:textId="77777777" w:rsidR="005B5D49" w:rsidRPr="002C6FFD" w:rsidRDefault="005B5D49" w:rsidP="005B5D49">
      <w:pPr>
        <w:ind w:firstLine="699"/>
        <w:rPr>
          <w:szCs w:val="24"/>
        </w:rPr>
      </w:pPr>
      <w:r w:rsidRPr="002C6FFD">
        <w:rPr>
          <w:szCs w:val="24"/>
        </w:rPr>
        <w:t xml:space="preserve">В настоящее время, с учетом применения в диагностике и стадировании лимфом позитронно-эмиссионной томографии (ПЭТ), с возможностью оценки ПЭТ-позитивного вовлечения костной ткани, указывающего на наличие поражения костного мозга, билатеральная биопсия при лимфомах, возможно, будет выполняться реже. </w:t>
      </w:r>
    </w:p>
    <w:p w14:paraId="3FF09554" w14:textId="77777777" w:rsidR="005B5D49" w:rsidRDefault="005B5D49" w:rsidP="004905C2">
      <w:pPr>
        <w:pStyle w:val="2"/>
        <w:rPr>
          <w:rFonts w:eastAsia="Arial Unicode MS"/>
        </w:rPr>
      </w:pPr>
    </w:p>
    <w:p w14:paraId="0B9D9D0C" w14:textId="77777777" w:rsidR="005B5D49" w:rsidRPr="008E213C" w:rsidRDefault="005B5D49" w:rsidP="005B5D49">
      <w:pPr>
        <w:rPr>
          <w:b/>
          <w:i/>
          <w:iCs/>
          <w:u w:val="single"/>
          <w:shd w:val="clear" w:color="auto" w:fill="FFFFFF"/>
        </w:rPr>
      </w:pPr>
      <w:r w:rsidRPr="008E213C">
        <w:rPr>
          <w:i/>
          <w:iCs/>
          <w:u w:val="single"/>
          <w:shd w:val="clear" w:color="auto" w:fill="FFFFFF"/>
        </w:rPr>
        <w:t>Необходимая документация</w:t>
      </w:r>
    </w:p>
    <w:p w14:paraId="389E8D8E" w14:textId="77777777" w:rsidR="005B5D49" w:rsidRPr="002C6FFD" w:rsidRDefault="005B5D49" w:rsidP="005B5D49">
      <w:pPr>
        <w:pStyle w:val="Normal1"/>
        <w:spacing w:before="0" w:line="360" w:lineRule="auto"/>
        <w:ind w:firstLine="699"/>
        <w:jc w:val="both"/>
        <w:rPr>
          <w:rFonts w:cs="Times New Roman"/>
          <w:color w:val="212121"/>
          <w:spacing w:val="0"/>
        </w:rPr>
      </w:pPr>
      <w:r w:rsidRPr="002C6FFD">
        <w:rPr>
          <w:rFonts w:cs="Times New Roman"/>
          <w:spacing w:val="0"/>
        </w:rPr>
        <w:t>Перед началом выполнения процедуры пациенту (доверенному лицу или опекуну) врач объясняет показания для ее выполнения, ожидаемые результаты и возможные осложнения</w:t>
      </w:r>
      <w:r w:rsidRPr="002C6FFD">
        <w:rPr>
          <w:rFonts w:cs="Times New Roman"/>
          <w:color w:val="212121"/>
          <w:spacing w:val="0"/>
        </w:rPr>
        <w:t xml:space="preserve"> и риски (включая риск инфицирования, кровотечения, болевого синдрома, образования рубцов и вероятность получения неинформативного материала)</w:t>
      </w:r>
      <w:r w:rsidRPr="002C6FFD">
        <w:rPr>
          <w:rFonts w:cs="Times New Roman"/>
          <w:spacing w:val="0"/>
        </w:rPr>
        <w:t xml:space="preserve">, отвечает на возникающие у больного вопросы. После этого пациент (доверенное лицо или опекун) подписывает информированное согласие, которое прилагается к медицинской документации и протоколу выполнения процедуры. </w:t>
      </w:r>
      <w:r w:rsidRPr="002C6FFD">
        <w:rPr>
          <w:rFonts w:cs="Times New Roman"/>
          <w:color w:val="212121"/>
          <w:spacing w:val="0"/>
        </w:rPr>
        <w:t xml:space="preserve">Факт выполнения процедуры фиксируется в процедурном журнале за подписью врача, выполнявшего процедуру с </w:t>
      </w:r>
      <w:r w:rsidRPr="002C6FFD">
        <w:rPr>
          <w:rFonts w:cs="Times New Roman"/>
          <w:color w:val="212121"/>
          <w:spacing w:val="0"/>
        </w:rPr>
        <w:lastRenderedPageBreak/>
        <w:t xml:space="preserve">указанием даты, времени, вида и </w:t>
      </w:r>
      <w:r w:rsidRPr="002C6FFD">
        <w:rPr>
          <w:rFonts w:cs="Times New Roman"/>
          <w:spacing w:val="0"/>
        </w:rPr>
        <w:t xml:space="preserve">локуса </w:t>
      </w:r>
      <w:r w:rsidRPr="002C6FFD">
        <w:rPr>
          <w:rFonts w:cs="Times New Roman"/>
          <w:color w:val="212121"/>
          <w:spacing w:val="0"/>
        </w:rPr>
        <w:t>биопсийного исследования и возникших осложнений процедуры.</w:t>
      </w:r>
    </w:p>
    <w:p w14:paraId="35A96344" w14:textId="77777777" w:rsidR="005B5D49" w:rsidRDefault="005B5D49" w:rsidP="004905C2">
      <w:pPr>
        <w:pStyle w:val="2"/>
        <w:rPr>
          <w:rFonts w:eastAsia="Arial Unicode MS"/>
        </w:rPr>
      </w:pPr>
    </w:p>
    <w:p w14:paraId="3E520A02" w14:textId="2F102B39" w:rsidR="005B5D49" w:rsidRPr="008E213C" w:rsidRDefault="005B5D49" w:rsidP="005B5D49">
      <w:pPr>
        <w:rPr>
          <w:b/>
          <w:i/>
          <w:iCs/>
          <w:u w:val="single"/>
          <w:shd w:val="clear" w:color="auto" w:fill="FFFFFF"/>
        </w:rPr>
      </w:pPr>
      <w:r w:rsidRPr="008E213C">
        <w:rPr>
          <w:i/>
          <w:iCs/>
          <w:u w:val="single"/>
          <w:shd w:val="clear" w:color="auto" w:fill="FFFFFF"/>
        </w:rPr>
        <w:t xml:space="preserve">Техника выполнения пункции (аспирации) костного мозга из грудины (стернальной пункции) </w:t>
      </w:r>
      <w:r w:rsidRPr="008E213C">
        <w:rPr>
          <w:b/>
          <w:i/>
          <w:iCs/>
          <w:u w:val="single"/>
          <w:shd w:val="clear" w:color="auto" w:fill="FFFFFF"/>
        </w:rPr>
        <w:fldChar w:fldCharType="begin" w:fldLock="1"/>
      </w:r>
      <w:r w:rsidR="00A67ED2">
        <w:rPr>
          <w:i/>
          <w:iCs/>
          <w:u w:val="single"/>
          <w:shd w:val="clear" w:color="auto" w:fill="FFFFFF"/>
        </w:rPr>
        <w:instrText>ADDIN CSL_CITATION {"citationItems":[{"id":"ITEM-1","itemData":{"author":[{"dropping-particle":"","family":"Криволапов","given":"Ю.А.","non-dropping-particle":"","parse-names":false,"suffix":""}],"container-title":"Клиническая онкогематология","id":"ITEM-1","issued":{"date-parts":[["2014"]]},"page":"290-295","title":"Технические аспекты выполнения трепанобиопсий костного мозга. Клиническая онкогематология 2014; 7:290—295","type":"article-journal","volume":"7"},"uris":["http://www.mendeley.com/documents/?uuid=bda8e112-db56-4369-9b45-4ae420482b92"]}],"mendeley":{"formattedCitation":"[173]","plainTextFormattedCitation":"[173]","previouslyFormattedCitation":"[153]"},"properties":{"noteIndex":0},"schema":"https://github.com/citation-style-language/schema/raw/master/csl-citation.json"}</w:instrText>
      </w:r>
      <w:r w:rsidRPr="008E213C">
        <w:rPr>
          <w:b/>
          <w:i/>
          <w:iCs/>
          <w:u w:val="single"/>
          <w:shd w:val="clear" w:color="auto" w:fill="FFFFFF"/>
        </w:rPr>
        <w:fldChar w:fldCharType="separate"/>
      </w:r>
      <w:r w:rsidR="00A67ED2" w:rsidRPr="00A67ED2">
        <w:rPr>
          <w:iCs/>
          <w:noProof/>
          <w:shd w:val="clear" w:color="auto" w:fill="FFFFFF"/>
        </w:rPr>
        <w:t>[173]</w:t>
      </w:r>
      <w:r w:rsidRPr="008E213C">
        <w:rPr>
          <w:b/>
          <w:i/>
          <w:iCs/>
          <w:u w:val="single"/>
          <w:shd w:val="clear" w:color="auto" w:fill="FFFFFF"/>
        </w:rPr>
        <w:fldChar w:fldCharType="end"/>
      </w:r>
    </w:p>
    <w:p w14:paraId="6C56D48D" w14:textId="77777777" w:rsidR="005B5D49" w:rsidRPr="002C6FFD" w:rsidRDefault="005B5D49" w:rsidP="008C1767">
      <w:pPr>
        <w:pStyle w:val="Number1"/>
        <w:numPr>
          <w:ilvl w:val="0"/>
          <w:numId w:val="190"/>
        </w:numPr>
        <w:overflowPunct/>
        <w:autoSpaceDE/>
        <w:autoSpaceDN/>
        <w:adjustRightInd/>
        <w:spacing w:before="0"/>
        <w:jc w:val="both"/>
        <w:textAlignment w:val="auto"/>
        <w:rPr>
          <w:spacing w:val="0"/>
        </w:rPr>
      </w:pPr>
      <w:r w:rsidRPr="002C6FFD">
        <w:rPr>
          <w:spacing w:val="0"/>
          <w:shd w:val="clear" w:color="auto" w:fill="FFFFFF"/>
        </w:rPr>
        <w:t xml:space="preserve">Врач перед началом выполнения процедуры обязательно выясняет наличие и вид аллергических реакций на лекарственные средства, включая анестетики, перечень принимаемых больным препаратов (антикоагулянты и антиагреганты), наличие сопутствующих заболеваний, остеопороза. При невозможности выполнения местной анестезии, пункция может быть выполнена как без анестезии, так и под общей анестезией. </w:t>
      </w:r>
    </w:p>
    <w:p w14:paraId="5A251FA7" w14:textId="77777777" w:rsidR="005B5D49" w:rsidRPr="002C6FFD" w:rsidRDefault="005B5D49" w:rsidP="008C1767">
      <w:pPr>
        <w:pStyle w:val="Number1"/>
        <w:numPr>
          <w:ilvl w:val="0"/>
          <w:numId w:val="190"/>
        </w:numPr>
        <w:overflowPunct/>
        <w:autoSpaceDE/>
        <w:autoSpaceDN/>
        <w:adjustRightInd/>
        <w:spacing w:before="0"/>
        <w:jc w:val="both"/>
        <w:textAlignment w:val="auto"/>
        <w:rPr>
          <w:spacing w:val="0"/>
        </w:rPr>
      </w:pPr>
      <w:r w:rsidRPr="002C6FFD">
        <w:rPr>
          <w:spacing w:val="0"/>
          <w:shd w:val="clear" w:color="auto" w:fill="FFFFFF"/>
        </w:rPr>
        <w:t xml:space="preserve">Тромбоцитопения не является противопоказанием для проведения пункции костного мозга, однако при наличии развернутого геморрагического синдрома желательно предварительно выполнить заместительные трансфузии тромбоконцентратов и, при необходимости, свежезамороженной плазмы и/или криопреципитата. </w:t>
      </w:r>
    </w:p>
    <w:p w14:paraId="5D3C4260" w14:textId="77777777" w:rsidR="005B5D49" w:rsidRPr="002C6FFD" w:rsidRDefault="005B5D49" w:rsidP="008C1767">
      <w:pPr>
        <w:pStyle w:val="Number1"/>
        <w:numPr>
          <w:ilvl w:val="0"/>
          <w:numId w:val="190"/>
        </w:numPr>
        <w:overflowPunct/>
        <w:autoSpaceDE/>
        <w:autoSpaceDN/>
        <w:adjustRightInd/>
        <w:spacing w:before="0"/>
        <w:jc w:val="both"/>
        <w:textAlignment w:val="auto"/>
        <w:rPr>
          <w:spacing w:val="0"/>
        </w:rPr>
      </w:pPr>
      <w:r w:rsidRPr="002C6FFD">
        <w:rPr>
          <w:spacing w:val="0"/>
        </w:rPr>
        <w:t xml:space="preserve">Аспирация костного мозга может выполняться из </w:t>
      </w:r>
      <w:r w:rsidRPr="002C6FFD">
        <w:rPr>
          <w:spacing w:val="0"/>
          <w:shd w:val="clear" w:color="auto" w:fill="FFFFFF"/>
        </w:rPr>
        <w:t>области рукоятки грудины или тела грудины на уровне III—IV ребра, избегая область сочленения рукоятки и тела грудины (</w:t>
      </w:r>
      <w:r w:rsidRPr="002C6FFD">
        <w:rPr>
          <w:spacing w:val="0"/>
        </w:rPr>
        <w:t>по методу Аринкина</w:t>
      </w:r>
      <w:r w:rsidRPr="002C6FFD">
        <w:rPr>
          <w:spacing w:val="0"/>
          <w:shd w:val="clear" w:color="auto" w:fill="FFFFFF"/>
        </w:rPr>
        <w:t>), или из гребня подвздошной кости</w:t>
      </w:r>
      <w:r w:rsidRPr="002C6FFD">
        <w:rPr>
          <w:spacing w:val="0"/>
        </w:rPr>
        <w:t xml:space="preserve">. </w:t>
      </w:r>
    </w:p>
    <w:p w14:paraId="6BCB4E9D" w14:textId="77777777" w:rsidR="005B5D49" w:rsidRPr="002C6FFD" w:rsidRDefault="005B5D49" w:rsidP="008C1767">
      <w:pPr>
        <w:pStyle w:val="Number1"/>
        <w:numPr>
          <w:ilvl w:val="0"/>
          <w:numId w:val="190"/>
        </w:numPr>
        <w:overflowPunct/>
        <w:autoSpaceDE/>
        <w:autoSpaceDN/>
        <w:adjustRightInd/>
        <w:spacing w:before="0"/>
        <w:jc w:val="both"/>
        <w:textAlignment w:val="auto"/>
        <w:rPr>
          <w:color w:val="212121"/>
          <w:spacing w:val="0"/>
        </w:rPr>
      </w:pPr>
      <w:r w:rsidRPr="002C6FFD">
        <w:rPr>
          <w:spacing w:val="0"/>
        </w:rPr>
        <w:t>При выполнении стернальной пункции (по методу Аринкина) больного укладывают на манипуляционный стол на спину.</w:t>
      </w:r>
      <w:r w:rsidRPr="002C6FFD">
        <w:rPr>
          <w:spacing w:val="0"/>
          <w:shd w:val="clear" w:color="auto" w:fill="FFFFFF"/>
        </w:rPr>
        <w:t xml:space="preserve"> Для облегчения выполнения процедуры можно приподнять грудную клетку, поместив под лопатки больного валик.</w:t>
      </w:r>
    </w:p>
    <w:p w14:paraId="7193D2E5" w14:textId="77777777" w:rsidR="005B5D49" w:rsidRPr="002C6FFD" w:rsidRDefault="005B5D49" w:rsidP="008C1767">
      <w:pPr>
        <w:pStyle w:val="Number1"/>
        <w:numPr>
          <w:ilvl w:val="0"/>
          <w:numId w:val="190"/>
        </w:numPr>
        <w:overflowPunct/>
        <w:autoSpaceDE/>
        <w:autoSpaceDN/>
        <w:adjustRightInd/>
        <w:spacing w:before="0"/>
        <w:jc w:val="both"/>
        <w:textAlignment w:val="auto"/>
        <w:rPr>
          <w:spacing w:val="0"/>
        </w:rPr>
      </w:pPr>
      <w:r w:rsidRPr="002C6FFD">
        <w:rPr>
          <w:spacing w:val="0"/>
        </w:rPr>
        <w:t xml:space="preserve">При применении инфильтрационной анестезии выполняется обезболивание кожи («лимонная корочка») с дальнейшей послойной инфильтративной анестезией вплоть до надкостницы и под надкостницу — </w:t>
      </w:r>
      <w:r w:rsidRPr="002C6FFD">
        <w:rPr>
          <w:color w:val="212121"/>
          <w:spacing w:val="0"/>
          <w:shd w:val="clear" w:color="auto" w:fill="FFFFFF"/>
        </w:rPr>
        <w:t>2,0% раствором лидокаина или 0,25—0,5% раствором новокаина</w:t>
      </w:r>
      <w:r w:rsidRPr="002C6FFD">
        <w:rPr>
          <w:spacing w:val="0"/>
        </w:rPr>
        <w:t xml:space="preserve"> (анестетик выбирается с учетом аллергологического анамнеза) 1,0—2,0 мл. Использование 10% лидокаина недопустимо для местной анестезии в виду возможности некротизирования тканей. </w:t>
      </w:r>
    </w:p>
    <w:p w14:paraId="4F0E90C1" w14:textId="77777777" w:rsidR="005B5D49" w:rsidRPr="002C6FFD" w:rsidRDefault="005B5D49" w:rsidP="008C1767">
      <w:pPr>
        <w:pStyle w:val="Number1"/>
        <w:numPr>
          <w:ilvl w:val="0"/>
          <w:numId w:val="190"/>
        </w:numPr>
        <w:overflowPunct/>
        <w:autoSpaceDE/>
        <w:autoSpaceDN/>
        <w:adjustRightInd/>
        <w:spacing w:before="0"/>
        <w:jc w:val="both"/>
        <w:textAlignment w:val="auto"/>
        <w:rPr>
          <w:color w:val="222222"/>
          <w:spacing w:val="0"/>
        </w:rPr>
      </w:pPr>
      <w:r w:rsidRPr="002C6FFD">
        <w:rPr>
          <w:spacing w:val="0"/>
        </w:rPr>
        <w:t xml:space="preserve">Пункция костного мозга выполняется иглой Кассирского или иглой сходной с ней конструкции. </w:t>
      </w:r>
    </w:p>
    <w:p w14:paraId="7CD415CD" w14:textId="77777777" w:rsidR="005B5D49" w:rsidRPr="002C6FFD" w:rsidRDefault="005B5D49" w:rsidP="008C1767">
      <w:pPr>
        <w:pStyle w:val="Number1"/>
        <w:numPr>
          <w:ilvl w:val="0"/>
          <w:numId w:val="190"/>
        </w:numPr>
        <w:overflowPunct/>
        <w:autoSpaceDE/>
        <w:autoSpaceDN/>
        <w:adjustRightInd/>
        <w:spacing w:before="0"/>
        <w:jc w:val="both"/>
        <w:textAlignment w:val="auto"/>
        <w:rPr>
          <w:color w:val="222222"/>
          <w:spacing w:val="0"/>
        </w:rPr>
      </w:pPr>
      <w:r w:rsidRPr="002C6FFD">
        <w:rPr>
          <w:spacing w:val="0"/>
        </w:rPr>
        <w:t xml:space="preserve">Ограничитель </w:t>
      </w:r>
      <w:r w:rsidRPr="002C6FFD">
        <w:rPr>
          <w:color w:val="222222"/>
          <w:spacing w:val="0"/>
        </w:rPr>
        <w:t xml:space="preserve">устанавливается с учетом </w:t>
      </w:r>
      <w:r w:rsidRPr="002C6FFD">
        <w:rPr>
          <w:spacing w:val="0"/>
        </w:rPr>
        <w:t xml:space="preserve">возраста, выраженности подкожно-жировой клетчатки пациента из расчета, </w:t>
      </w:r>
      <w:r w:rsidRPr="002C6FFD">
        <w:rPr>
          <w:color w:val="222222"/>
          <w:spacing w:val="0"/>
        </w:rPr>
        <w:t>чтобы игла, пройдя мягкие ткани, продвинулась на 5 мм</w:t>
      </w:r>
      <w:r w:rsidRPr="002C6FFD">
        <w:rPr>
          <w:spacing w:val="0"/>
        </w:rPr>
        <w:t xml:space="preserve">. </w:t>
      </w:r>
      <w:r w:rsidRPr="002C6FFD">
        <w:rPr>
          <w:color w:val="222222"/>
          <w:spacing w:val="0"/>
        </w:rPr>
        <w:t xml:space="preserve">При этом конец иглы, проколов наружную пластинку грудины, окажется в полости грудины. </w:t>
      </w:r>
    </w:p>
    <w:p w14:paraId="6F554392" w14:textId="77777777" w:rsidR="005B5D49" w:rsidRPr="002C6FFD" w:rsidRDefault="005B5D49" w:rsidP="008C1767">
      <w:pPr>
        <w:pStyle w:val="Number1"/>
        <w:numPr>
          <w:ilvl w:val="0"/>
          <w:numId w:val="190"/>
        </w:numPr>
        <w:overflowPunct/>
        <w:autoSpaceDE/>
        <w:autoSpaceDN/>
        <w:adjustRightInd/>
        <w:spacing w:before="0"/>
        <w:jc w:val="both"/>
        <w:textAlignment w:val="auto"/>
        <w:rPr>
          <w:color w:val="222222"/>
          <w:spacing w:val="0"/>
        </w:rPr>
      </w:pPr>
      <w:r w:rsidRPr="002C6FFD">
        <w:rPr>
          <w:spacing w:val="0"/>
          <w:shd w:val="clear" w:color="auto" w:fill="FFFFFF"/>
        </w:rPr>
        <w:lastRenderedPageBreak/>
        <w:t xml:space="preserve">Игла направляется перпендикулярно поверхности кости и вкалывается быстрым и четким движением на уровне одного из межреберий (I—III). </w:t>
      </w:r>
      <w:r w:rsidRPr="002C6FFD">
        <w:rPr>
          <w:color w:val="222222"/>
          <w:spacing w:val="0"/>
        </w:rPr>
        <w:t>Это момент ощущается врачом как «провал».</w:t>
      </w:r>
    </w:p>
    <w:p w14:paraId="350E19AC" w14:textId="77777777" w:rsidR="005B5D49" w:rsidRPr="002C6FFD" w:rsidRDefault="005B5D49" w:rsidP="008C1767">
      <w:pPr>
        <w:pStyle w:val="Number1"/>
        <w:numPr>
          <w:ilvl w:val="0"/>
          <w:numId w:val="190"/>
        </w:numPr>
        <w:overflowPunct/>
        <w:autoSpaceDE/>
        <w:autoSpaceDN/>
        <w:adjustRightInd/>
        <w:spacing w:before="0"/>
        <w:jc w:val="both"/>
        <w:textAlignment w:val="auto"/>
        <w:rPr>
          <w:color w:val="222222"/>
          <w:spacing w:val="0"/>
        </w:rPr>
      </w:pPr>
      <w:r w:rsidRPr="002C6FFD">
        <w:rPr>
          <w:spacing w:val="0"/>
          <w:shd w:val="clear" w:color="auto" w:fill="FFFFFF"/>
        </w:rPr>
        <w:t xml:space="preserve">Игла должна быть неподвижно фиксирована в грудине. </w:t>
      </w:r>
    </w:p>
    <w:p w14:paraId="78FBA908" w14:textId="77777777" w:rsidR="005B5D49" w:rsidRPr="002C6FFD" w:rsidRDefault="005B5D49" w:rsidP="008C1767">
      <w:pPr>
        <w:pStyle w:val="Number1"/>
        <w:numPr>
          <w:ilvl w:val="0"/>
          <w:numId w:val="190"/>
        </w:numPr>
        <w:overflowPunct/>
        <w:autoSpaceDE/>
        <w:autoSpaceDN/>
        <w:adjustRightInd/>
        <w:spacing w:before="0"/>
        <w:jc w:val="both"/>
        <w:textAlignment w:val="auto"/>
        <w:rPr>
          <w:color w:val="222222"/>
          <w:spacing w:val="0"/>
        </w:rPr>
      </w:pPr>
      <w:r w:rsidRPr="002C6FFD">
        <w:rPr>
          <w:color w:val="222222"/>
          <w:spacing w:val="0"/>
        </w:rPr>
        <w:t xml:space="preserve">После извлечения мандрена к игле присоединяют шприц и производят аспирацию костного мозга. </w:t>
      </w:r>
    </w:p>
    <w:p w14:paraId="69909808" w14:textId="77777777" w:rsidR="005B5D49" w:rsidRPr="002C6FFD" w:rsidRDefault="005B5D49" w:rsidP="008C1767">
      <w:pPr>
        <w:pStyle w:val="Number1"/>
        <w:numPr>
          <w:ilvl w:val="0"/>
          <w:numId w:val="190"/>
        </w:numPr>
        <w:overflowPunct/>
        <w:autoSpaceDE/>
        <w:autoSpaceDN/>
        <w:adjustRightInd/>
        <w:spacing w:before="0"/>
        <w:jc w:val="both"/>
        <w:textAlignment w:val="auto"/>
        <w:rPr>
          <w:color w:val="222222"/>
          <w:spacing w:val="0"/>
        </w:rPr>
      </w:pPr>
      <w:r w:rsidRPr="002C6FFD">
        <w:rPr>
          <w:color w:val="222222"/>
          <w:spacing w:val="0"/>
        </w:rPr>
        <w:t>Из полученного пунктата готовят мазки и направляют материал на различные исследования.</w:t>
      </w:r>
    </w:p>
    <w:p w14:paraId="6B255C1F" w14:textId="77777777" w:rsidR="005B5D49" w:rsidRDefault="005B5D49" w:rsidP="008C1767">
      <w:pPr>
        <w:pStyle w:val="Number1"/>
        <w:numPr>
          <w:ilvl w:val="0"/>
          <w:numId w:val="190"/>
        </w:numPr>
        <w:overflowPunct/>
        <w:autoSpaceDE/>
        <w:autoSpaceDN/>
        <w:adjustRightInd/>
        <w:spacing w:before="0"/>
        <w:jc w:val="both"/>
        <w:textAlignment w:val="auto"/>
        <w:rPr>
          <w:color w:val="222222"/>
          <w:spacing w:val="0"/>
        </w:rPr>
      </w:pPr>
      <w:r w:rsidRPr="002C6FFD">
        <w:rPr>
          <w:color w:val="222222"/>
          <w:spacing w:val="0"/>
        </w:rPr>
        <w:t>Первые 0,5 мл костномозговой взвеси используют для приготовления мазков, которые направляются на:</w:t>
      </w:r>
    </w:p>
    <w:p w14:paraId="134BFCB6" w14:textId="77777777" w:rsidR="005B5D49" w:rsidRPr="002C6FFD" w:rsidRDefault="005B5D49" w:rsidP="008C1767">
      <w:pPr>
        <w:pStyle w:val="Number1"/>
        <w:numPr>
          <w:ilvl w:val="1"/>
          <w:numId w:val="190"/>
        </w:numPr>
        <w:overflowPunct/>
        <w:autoSpaceDE/>
        <w:autoSpaceDN/>
        <w:adjustRightInd/>
        <w:spacing w:before="0"/>
        <w:jc w:val="both"/>
        <w:textAlignment w:val="auto"/>
        <w:rPr>
          <w:color w:val="222222"/>
          <w:spacing w:val="0"/>
        </w:rPr>
      </w:pPr>
      <w:r w:rsidRPr="002C6FFD">
        <w:rPr>
          <w:spacing w:val="0"/>
        </w:rPr>
        <w:t>цитологическое исследование;</w:t>
      </w:r>
    </w:p>
    <w:p w14:paraId="652A97E0" w14:textId="77777777" w:rsidR="005B5D49" w:rsidRDefault="005B5D49" w:rsidP="008C1767">
      <w:pPr>
        <w:pStyle w:val="Number1"/>
        <w:numPr>
          <w:ilvl w:val="1"/>
          <w:numId w:val="190"/>
        </w:numPr>
        <w:overflowPunct/>
        <w:autoSpaceDE/>
        <w:autoSpaceDN/>
        <w:adjustRightInd/>
        <w:spacing w:before="0"/>
        <w:jc w:val="both"/>
        <w:textAlignment w:val="auto"/>
        <w:rPr>
          <w:color w:val="222222"/>
          <w:spacing w:val="0"/>
        </w:rPr>
      </w:pPr>
      <w:r w:rsidRPr="002C6FFD">
        <w:rPr>
          <w:spacing w:val="0"/>
        </w:rPr>
        <w:t>цитохимическое исследование.</w:t>
      </w:r>
    </w:p>
    <w:p w14:paraId="2E114A56" w14:textId="77777777" w:rsidR="005B5D49" w:rsidRPr="002C6FFD" w:rsidRDefault="005B5D49" w:rsidP="008C1767">
      <w:pPr>
        <w:pStyle w:val="Number1"/>
        <w:numPr>
          <w:ilvl w:val="0"/>
          <w:numId w:val="190"/>
        </w:numPr>
        <w:overflowPunct/>
        <w:autoSpaceDE/>
        <w:autoSpaceDN/>
        <w:adjustRightInd/>
        <w:spacing w:before="0"/>
        <w:jc w:val="both"/>
        <w:textAlignment w:val="auto"/>
        <w:rPr>
          <w:color w:val="222222"/>
          <w:spacing w:val="0"/>
        </w:rPr>
      </w:pPr>
      <w:r w:rsidRPr="002C6FFD">
        <w:rPr>
          <w:spacing w:val="0"/>
        </w:rPr>
        <w:t>При необходимости остальную костномозговую взвесь помещают</w:t>
      </w:r>
      <w:r>
        <w:rPr>
          <w:spacing w:val="0"/>
        </w:rPr>
        <w:t>:</w:t>
      </w:r>
      <w:r w:rsidRPr="002C6FFD">
        <w:rPr>
          <w:spacing w:val="0"/>
        </w:rPr>
        <w:t xml:space="preserve"> </w:t>
      </w:r>
    </w:p>
    <w:p w14:paraId="685D968A" w14:textId="77777777" w:rsidR="005B5D49" w:rsidRPr="002C6FFD" w:rsidRDefault="005B5D49" w:rsidP="008C1767">
      <w:pPr>
        <w:pStyle w:val="Number1"/>
        <w:numPr>
          <w:ilvl w:val="1"/>
          <w:numId w:val="190"/>
        </w:numPr>
        <w:overflowPunct/>
        <w:autoSpaceDE/>
        <w:autoSpaceDN/>
        <w:adjustRightInd/>
        <w:spacing w:before="0"/>
        <w:jc w:val="both"/>
        <w:textAlignment w:val="auto"/>
        <w:rPr>
          <w:color w:val="222222"/>
          <w:spacing w:val="0"/>
        </w:rPr>
      </w:pPr>
      <w:r w:rsidRPr="002C6FFD">
        <w:rPr>
          <w:spacing w:val="0"/>
        </w:rPr>
        <w:t>в пробирки с консервантом ЭДТА для проведения исследований:</w:t>
      </w:r>
    </w:p>
    <w:p w14:paraId="6965090B" w14:textId="77777777" w:rsidR="005B5D49" w:rsidRPr="002C6FFD" w:rsidRDefault="005B5D49" w:rsidP="008C1767">
      <w:pPr>
        <w:pStyle w:val="Number1"/>
        <w:numPr>
          <w:ilvl w:val="2"/>
          <w:numId w:val="190"/>
        </w:numPr>
        <w:overflowPunct/>
        <w:autoSpaceDE/>
        <w:autoSpaceDN/>
        <w:adjustRightInd/>
        <w:spacing w:before="0"/>
        <w:jc w:val="both"/>
        <w:textAlignment w:val="auto"/>
        <w:rPr>
          <w:color w:val="222222"/>
          <w:spacing w:val="0"/>
        </w:rPr>
      </w:pPr>
      <w:r w:rsidRPr="002C6FFD">
        <w:rPr>
          <w:spacing w:val="0"/>
        </w:rPr>
        <w:t>иммунофенотипическое исследование;</w:t>
      </w:r>
    </w:p>
    <w:p w14:paraId="6418CDD3" w14:textId="77777777" w:rsidR="005B5D49" w:rsidRDefault="005B5D49" w:rsidP="008C1767">
      <w:pPr>
        <w:pStyle w:val="Number1"/>
        <w:numPr>
          <w:ilvl w:val="2"/>
          <w:numId w:val="190"/>
        </w:numPr>
        <w:overflowPunct/>
        <w:autoSpaceDE/>
        <w:autoSpaceDN/>
        <w:adjustRightInd/>
        <w:spacing w:before="0"/>
        <w:jc w:val="both"/>
        <w:textAlignment w:val="auto"/>
        <w:rPr>
          <w:color w:val="222222"/>
          <w:spacing w:val="0"/>
        </w:rPr>
      </w:pPr>
      <w:r w:rsidRPr="002C6FFD">
        <w:rPr>
          <w:spacing w:val="0"/>
        </w:rPr>
        <w:t>молекулярное исследование (методом ПЦР).</w:t>
      </w:r>
    </w:p>
    <w:p w14:paraId="269D07E6" w14:textId="77777777" w:rsidR="005B5D49" w:rsidRPr="002C6FFD" w:rsidRDefault="005B5D49" w:rsidP="008C1767">
      <w:pPr>
        <w:pStyle w:val="Number1"/>
        <w:numPr>
          <w:ilvl w:val="1"/>
          <w:numId w:val="190"/>
        </w:numPr>
        <w:overflowPunct/>
        <w:autoSpaceDE/>
        <w:autoSpaceDN/>
        <w:adjustRightInd/>
        <w:spacing w:before="0"/>
        <w:jc w:val="both"/>
        <w:textAlignment w:val="auto"/>
        <w:rPr>
          <w:color w:val="222222"/>
          <w:spacing w:val="0"/>
        </w:rPr>
      </w:pPr>
      <w:r w:rsidRPr="002C6FFD">
        <w:rPr>
          <w:spacing w:val="0"/>
        </w:rPr>
        <w:t>в пробирки с литиевой солью гепарина для цитогенетического (кариологического) исследования.</w:t>
      </w:r>
    </w:p>
    <w:p w14:paraId="7144B9C6" w14:textId="77777777" w:rsidR="005B5D49" w:rsidRPr="002C6FFD" w:rsidRDefault="005B5D49" w:rsidP="008C1767">
      <w:pPr>
        <w:pStyle w:val="Number1"/>
        <w:numPr>
          <w:ilvl w:val="0"/>
          <w:numId w:val="190"/>
        </w:numPr>
        <w:overflowPunct/>
        <w:autoSpaceDE/>
        <w:autoSpaceDN/>
        <w:adjustRightInd/>
        <w:spacing w:before="0"/>
        <w:jc w:val="both"/>
        <w:textAlignment w:val="auto"/>
        <w:rPr>
          <w:spacing w:val="0"/>
        </w:rPr>
      </w:pPr>
      <w:r w:rsidRPr="002C6FFD">
        <w:rPr>
          <w:spacing w:val="0"/>
        </w:rPr>
        <w:t>После окончания процедуры аспирации иглу извлекают из грудины и на место пункции накладывают асептическую повязку.</w:t>
      </w:r>
    </w:p>
    <w:p w14:paraId="7497DC1C" w14:textId="77777777" w:rsidR="005B5D49" w:rsidRPr="002C6FFD" w:rsidRDefault="005B5D49" w:rsidP="008C1767">
      <w:pPr>
        <w:pStyle w:val="Number1"/>
        <w:numPr>
          <w:ilvl w:val="0"/>
          <w:numId w:val="190"/>
        </w:numPr>
        <w:overflowPunct/>
        <w:autoSpaceDE/>
        <w:autoSpaceDN/>
        <w:adjustRightInd/>
        <w:spacing w:before="0"/>
        <w:jc w:val="both"/>
        <w:textAlignment w:val="auto"/>
        <w:rPr>
          <w:spacing w:val="0"/>
        </w:rPr>
      </w:pPr>
      <w:r w:rsidRPr="002C6FFD">
        <w:rPr>
          <w:spacing w:val="0"/>
        </w:rPr>
        <w:t xml:space="preserve">Возможно приготовление гистологического препарата из аспирата костного мозга («крошка») – это так называемый clot (сверток, сгусток) аспирата, содержащий частицы костного мозга. Сформировавшийся сгусток помещают в 10% раствор формалина и направляют на гистологическое исследование, которое может быть выполнено в более короткие сроки, чем исследование трепанобиоптата, поскольку не требует выполнения декальцинации кости. </w:t>
      </w:r>
    </w:p>
    <w:p w14:paraId="00E40FB1" w14:textId="77777777" w:rsidR="005B5D49" w:rsidRDefault="005B5D49" w:rsidP="004905C2">
      <w:pPr>
        <w:pStyle w:val="2"/>
        <w:rPr>
          <w:rFonts w:eastAsia="Arial Unicode MS"/>
        </w:rPr>
      </w:pPr>
    </w:p>
    <w:p w14:paraId="483AB3F8" w14:textId="7F36F785" w:rsidR="005B5D49" w:rsidRPr="008E213C" w:rsidRDefault="005B5D49" w:rsidP="005B5D49">
      <w:pPr>
        <w:rPr>
          <w:b/>
          <w:i/>
          <w:iCs/>
          <w:u w:val="single"/>
          <w:shd w:val="clear" w:color="auto" w:fill="FFFFFF"/>
        </w:rPr>
      </w:pPr>
      <w:r w:rsidRPr="008E213C">
        <w:rPr>
          <w:i/>
          <w:iCs/>
          <w:u w:val="single"/>
          <w:shd w:val="clear" w:color="auto" w:fill="FFFFFF"/>
        </w:rPr>
        <w:t xml:space="preserve">Техника выполнения процедуры трепанобиопсии костного мозга </w:t>
      </w:r>
      <w:r w:rsidRPr="008E213C">
        <w:rPr>
          <w:b/>
          <w:i/>
          <w:iCs/>
          <w:u w:val="single"/>
          <w:shd w:val="clear" w:color="auto" w:fill="FFFFFF"/>
        </w:rPr>
        <w:fldChar w:fldCharType="begin" w:fldLock="1"/>
      </w:r>
      <w:r w:rsidR="00A67ED2">
        <w:rPr>
          <w:i/>
          <w:iCs/>
          <w:u w:val="single"/>
          <w:shd w:val="clear" w:color="auto" w:fill="FFFFFF"/>
        </w:rPr>
        <w:instrText>ADDIN CSL_CITATION {"citationItems":[{"id":"ITEM-1","itemData":{"author":[{"dropping-particle":"","family":"Криволапов","given":"Ю.А.","non-dropping-particle":"","parse-names":false,"suffix":""}],"container-title":"Клиническая онкогематология","id":"ITEM-1","issued":{"date-parts":[["2014"]]},"page":"290-295","title":"Технические аспекты выполнения трепанобиопсий костного мозга. Клиническая онкогематология 2014; 7:290—295","type":"article-journal","volume":"7"},"uris":["http://www.mendeley.com/documents/?uuid=bda8e112-db56-4369-9b45-4ae420482b92"]}],"mendeley":{"formattedCitation":"[173]","plainTextFormattedCitation":"[173]","previouslyFormattedCitation":"[153]"},"properties":{"noteIndex":0},"schema":"https://github.com/citation-style-language/schema/raw/master/csl-citation.json"}</w:instrText>
      </w:r>
      <w:r w:rsidRPr="008E213C">
        <w:rPr>
          <w:b/>
          <w:i/>
          <w:iCs/>
          <w:u w:val="single"/>
          <w:shd w:val="clear" w:color="auto" w:fill="FFFFFF"/>
        </w:rPr>
        <w:fldChar w:fldCharType="separate"/>
      </w:r>
      <w:r w:rsidR="00A67ED2" w:rsidRPr="00A67ED2">
        <w:rPr>
          <w:iCs/>
          <w:noProof/>
          <w:shd w:val="clear" w:color="auto" w:fill="FFFFFF"/>
        </w:rPr>
        <w:t>[173]</w:t>
      </w:r>
      <w:r w:rsidRPr="008E213C">
        <w:rPr>
          <w:b/>
          <w:i/>
          <w:iCs/>
          <w:u w:val="single"/>
          <w:shd w:val="clear" w:color="auto" w:fill="FFFFFF"/>
        </w:rPr>
        <w:fldChar w:fldCharType="end"/>
      </w:r>
    </w:p>
    <w:p w14:paraId="0F17138E" w14:textId="77777777" w:rsidR="005B5D49" w:rsidRPr="002C6FFD" w:rsidRDefault="005B5D49" w:rsidP="008C1767">
      <w:pPr>
        <w:pStyle w:val="Number1"/>
        <w:numPr>
          <w:ilvl w:val="0"/>
          <w:numId w:val="191"/>
        </w:numPr>
        <w:overflowPunct/>
        <w:autoSpaceDE/>
        <w:autoSpaceDN/>
        <w:adjustRightInd/>
        <w:spacing w:before="0"/>
        <w:jc w:val="both"/>
        <w:textAlignment w:val="auto"/>
        <w:rPr>
          <w:spacing w:val="0"/>
        </w:rPr>
      </w:pPr>
      <w:r w:rsidRPr="002C6FFD">
        <w:rPr>
          <w:spacing w:val="0"/>
        </w:rPr>
        <w:t xml:space="preserve">Во время проведения процедуры врач должен комментировать все свои действия и предупреждать пациента обо всех ощущениях, которые могут ее сопровождать. </w:t>
      </w:r>
    </w:p>
    <w:p w14:paraId="0355E117" w14:textId="77777777" w:rsidR="005B5D49" w:rsidRPr="002C6FFD" w:rsidRDefault="005B5D49" w:rsidP="008C1767">
      <w:pPr>
        <w:pStyle w:val="Number1"/>
        <w:numPr>
          <w:ilvl w:val="0"/>
          <w:numId w:val="191"/>
        </w:numPr>
        <w:overflowPunct/>
        <w:autoSpaceDE/>
        <w:autoSpaceDN/>
        <w:adjustRightInd/>
        <w:spacing w:before="0"/>
        <w:jc w:val="both"/>
        <w:textAlignment w:val="auto"/>
        <w:rPr>
          <w:spacing w:val="0"/>
        </w:rPr>
      </w:pPr>
      <w:r w:rsidRPr="002C6FFD">
        <w:rPr>
          <w:color w:val="252525"/>
          <w:spacing w:val="0"/>
          <w:shd w:val="clear" w:color="auto" w:fill="FFFFFF"/>
        </w:rPr>
        <w:t>Врач перед началом выполнения процедуры обязательно выясняет наличие и вид аллергических реакций на лекарственные средства, включая анестетики, перечень принимаемых препаратов (антикоагулянты и антиагреганты), наличие сопутствующих заболеваний, остеопороза. При невозможности выполнения местной анестезии, трепанобиопсия может быть выполнена под общей анестезией.</w:t>
      </w:r>
    </w:p>
    <w:p w14:paraId="10A8F32B" w14:textId="77777777" w:rsidR="005B5D49" w:rsidRPr="002C6FFD" w:rsidRDefault="005B5D49" w:rsidP="008C1767">
      <w:pPr>
        <w:pStyle w:val="Number1"/>
        <w:numPr>
          <w:ilvl w:val="0"/>
          <w:numId w:val="191"/>
        </w:numPr>
        <w:overflowPunct/>
        <w:autoSpaceDE/>
        <w:autoSpaceDN/>
        <w:adjustRightInd/>
        <w:spacing w:before="0"/>
        <w:jc w:val="both"/>
        <w:textAlignment w:val="auto"/>
        <w:rPr>
          <w:spacing w:val="0"/>
        </w:rPr>
      </w:pPr>
      <w:r w:rsidRPr="002C6FFD">
        <w:rPr>
          <w:color w:val="252525"/>
          <w:spacing w:val="0"/>
          <w:shd w:val="clear" w:color="auto" w:fill="FFFFFF"/>
        </w:rPr>
        <w:lastRenderedPageBreak/>
        <w:t xml:space="preserve">При наличии тромбоцитопении, коагулологических нарушений и геморрагического синдрома перед началом процедуры необходимо выполнить трансфузии тромбоконцентратов и скорректировать коагулологические нарушения трансфузиями СЗП и/или криопреципитата. </w:t>
      </w:r>
    </w:p>
    <w:p w14:paraId="3C857ADC" w14:textId="77777777" w:rsidR="005B5D49" w:rsidRPr="002C6FFD" w:rsidRDefault="005B5D49" w:rsidP="008C1767">
      <w:pPr>
        <w:pStyle w:val="Number1"/>
        <w:numPr>
          <w:ilvl w:val="0"/>
          <w:numId w:val="191"/>
        </w:numPr>
        <w:overflowPunct/>
        <w:autoSpaceDE/>
        <w:autoSpaceDN/>
        <w:adjustRightInd/>
        <w:spacing w:before="0"/>
        <w:jc w:val="both"/>
        <w:textAlignment w:val="auto"/>
        <w:rPr>
          <w:spacing w:val="0"/>
        </w:rPr>
      </w:pPr>
      <w:r w:rsidRPr="002C6FFD">
        <w:rPr>
          <w:color w:val="212121"/>
          <w:spacing w:val="0"/>
        </w:rPr>
        <w:t xml:space="preserve">Трепанобиопсия костного мозга </w:t>
      </w:r>
      <w:r w:rsidRPr="002C6FFD">
        <w:rPr>
          <w:spacing w:val="0"/>
        </w:rPr>
        <w:t xml:space="preserve">выполняется иглой Jamshidi — цилиндрической иглой длиной не более 15 см, дистальная часть которой имеет коническое сужение наружного контура и внутренней полости. Игла заканчивается остро заточенным срезом. Внутрь иглы помещается стилет-обтуратор, имеющий срез, плоскость которого совпадает со срезом иглы Jamshidi. </w:t>
      </w:r>
    </w:p>
    <w:p w14:paraId="67C71346" w14:textId="77777777" w:rsidR="005B5D49" w:rsidRPr="002C6FFD" w:rsidRDefault="005B5D49" w:rsidP="008C1767">
      <w:pPr>
        <w:pStyle w:val="Number1"/>
        <w:numPr>
          <w:ilvl w:val="0"/>
          <w:numId w:val="191"/>
        </w:numPr>
        <w:overflowPunct/>
        <w:autoSpaceDE/>
        <w:autoSpaceDN/>
        <w:adjustRightInd/>
        <w:spacing w:before="0"/>
        <w:jc w:val="both"/>
        <w:textAlignment w:val="auto"/>
        <w:rPr>
          <w:spacing w:val="0"/>
        </w:rPr>
      </w:pPr>
      <w:r w:rsidRPr="002C6FFD">
        <w:rPr>
          <w:spacing w:val="0"/>
        </w:rPr>
        <w:t>Трепанобиопсию проводят в области задней верхней ости правой и/или левой подвздошных костей (spina iliaca posterior superior). В особых случаях (см. ниже) — в области передней верхней ости правой и/или левой подвздошных костей.</w:t>
      </w:r>
    </w:p>
    <w:p w14:paraId="5B3B5DF6" w14:textId="77777777" w:rsidR="005B5D49" w:rsidRDefault="005B5D49" w:rsidP="008C1767">
      <w:pPr>
        <w:pStyle w:val="Number1"/>
        <w:numPr>
          <w:ilvl w:val="0"/>
          <w:numId w:val="191"/>
        </w:numPr>
        <w:overflowPunct/>
        <w:autoSpaceDE/>
        <w:autoSpaceDN/>
        <w:adjustRightInd/>
        <w:spacing w:before="0"/>
        <w:jc w:val="both"/>
        <w:textAlignment w:val="auto"/>
        <w:rPr>
          <w:spacing w:val="0"/>
        </w:rPr>
      </w:pPr>
      <w:r w:rsidRPr="002C6FFD">
        <w:rPr>
          <w:spacing w:val="0"/>
        </w:rPr>
        <w:t xml:space="preserve">Пациента располагают в одном из положений: </w:t>
      </w:r>
    </w:p>
    <w:p w14:paraId="0F909809" w14:textId="77777777" w:rsidR="005B5D49" w:rsidRDefault="005B5D49" w:rsidP="008C1767">
      <w:pPr>
        <w:pStyle w:val="Number1"/>
        <w:numPr>
          <w:ilvl w:val="1"/>
          <w:numId w:val="191"/>
        </w:numPr>
        <w:overflowPunct/>
        <w:autoSpaceDE/>
        <w:autoSpaceDN/>
        <w:adjustRightInd/>
        <w:spacing w:before="0"/>
        <w:jc w:val="both"/>
        <w:textAlignment w:val="auto"/>
        <w:rPr>
          <w:spacing w:val="0"/>
        </w:rPr>
      </w:pPr>
      <w:r w:rsidRPr="002C6FFD">
        <w:rPr>
          <w:spacing w:val="0"/>
        </w:rPr>
        <w:t xml:space="preserve">лежа на животе; </w:t>
      </w:r>
    </w:p>
    <w:p w14:paraId="392559CD" w14:textId="77777777" w:rsidR="005B5D49" w:rsidRDefault="005B5D49" w:rsidP="008C1767">
      <w:pPr>
        <w:pStyle w:val="Number1"/>
        <w:numPr>
          <w:ilvl w:val="1"/>
          <w:numId w:val="191"/>
        </w:numPr>
        <w:overflowPunct/>
        <w:autoSpaceDE/>
        <w:autoSpaceDN/>
        <w:adjustRightInd/>
        <w:spacing w:before="0"/>
        <w:jc w:val="both"/>
        <w:textAlignment w:val="auto"/>
        <w:rPr>
          <w:spacing w:val="0"/>
        </w:rPr>
      </w:pPr>
      <w:r w:rsidRPr="002C6FFD">
        <w:rPr>
          <w:spacing w:val="0"/>
        </w:rPr>
        <w:t xml:space="preserve">сидя спиной к врачу, туловище несколько приведено к бедрам, для упора на колени можно положить подушку, ноги пациента стоят на скамейке; </w:t>
      </w:r>
    </w:p>
    <w:p w14:paraId="68F2E0B7" w14:textId="77777777" w:rsidR="005B5D49" w:rsidRDefault="005B5D49" w:rsidP="008C1767">
      <w:pPr>
        <w:pStyle w:val="Number1"/>
        <w:numPr>
          <w:ilvl w:val="1"/>
          <w:numId w:val="191"/>
        </w:numPr>
        <w:overflowPunct/>
        <w:autoSpaceDE/>
        <w:autoSpaceDN/>
        <w:adjustRightInd/>
        <w:spacing w:before="0"/>
        <w:jc w:val="both"/>
        <w:textAlignment w:val="auto"/>
        <w:rPr>
          <w:spacing w:val="0"/>
        </w:rPr>
      </w:pPr>
      <w:r w:rsidRPr="002C6FFD">
        <w:rPr>
          <w:spacing w:val="0"/>
        </w:rPr>
        <w:t>лежа на боку, ноги согнуты в коленях и приведены к груди, спина несколько согнута</w:t>
      </w:r>
      <w:r>
        <w:rPr>
          <w:spacing w:val="0"/>
        </w:rPr>
        <w:t>;</w:t>
      </w:r>
    </w:p>
    <w:p w14:paraId="48A3C51D" w14:textId="77777777" w:rsidR="005B5D49" w:rsidRPr="002C6FFD" w:rsidRDefault="005B5D49" w:rsidP="008C1767">
      <w:pPr>
        <w:pStyle w:val="Number1"/>
        <w:numPr>
          <w:ilvl w:val="1"/>
          <w:numId w:val="191"/>
        </w:numPr>
        <w:overflowPunct/>
        <w:autoSpaceDE/>
        <w:autoSpaceDN/>
        <w:adjustRightInd/>
        <w:spacing w:before="0"/>
        <w:jc w:val="both"/>
        <w:textAlignment w:val="auto"/>
        <w:rPr>
          <w:spacing w:val="0"/>
        </w:rPr>
      </w:pPr>
      <w:r w:rsidRPr="002C6FFD">
        <w:rPr>
          <w:spacing w:val="0"/>
        </w:rPr>
        <w:t xml:space="preserve">в исключительных случаях (крайне тяжелое состояние пациента, искусственная вентиляция легких, поздние сроки беременности, ожирение и др.), когда ни одно из этих положений невозможно, манипуляцию выполняют в положении лежа на спине и трепанобиопсию проводят в переднюю верхнюю ость подвздошной кости. </w:t>
      </w:r>
    </w:p>
    <w:p w14:paraId="4DCDD44F" w14:textId="77777777" w:rsidR="005B5D49" w:rsidRPr="002C6FFD" w:rsidRDefault="005B5D49" w:rsidP="008C1767">
      <w:pPr>
        <w:pStyle w:val="Number1"/>
        <w:numPr>
          <w:ilvl w:val="0"/>
          <w:numId w:val="191"/>
        </w:numPr>
        <w:overflowPunct/>
        <w:autoSpaceDE/>
        <w:autoSpaceDN/>
        <w:adjustRightInd/>
        <w:spacing w:before="0"/>
        <w:jc w:val="both"/>
        <w:textAlignment w:val="auto"/>
        <w:rPr>
          <w:spacing w:val="0"/>
        </w:rPr>
      </w:pPr>
      <w:r w:rsidRPr="002C6FFD">
        <w:rPr>
          <w:spacing w:val="0"/>
        </w:rPr>
        <w:t xml:space="preserve">Чаще всего при выполнении трепанобиопсии пациент находится в сознании. </w:t>
      </w:r>
      <w:r w:rsidRPr="002C6FFD">
        <w:rPr>
          <w:spacing w:val="0"/>
          <w:shd w:val="clear" w:color="auto" w:fill="FFFFFF"/>
        </w:rPr>
        <w:t xml:space="preserve">При невозможности выполнения местной анестезии пункция может быть выполнена под общей анестезией. </w:t>
      </w:r>
      <w:r w:rsidRPr="002C6FFD">
        <w:rPr>
          <w:spacing w:val="0"/>
        </w:rPr>
        <w:t xml:space="preserve">В педиатрической практике манипуляцию проводят под наркозом. </w:t>
      </w:r>
    </w:p>
    <w:p w14:paraId="6C56AE51" w14:textId="77777777" w:rsidR="005B5D49" w:rsidRPr="002C6FFD" w:rsidRDefault="005B5D49" w:rsidP="008C1767">
      <w:pPr>
        <w:pStyle w:val="Number1"/>
        <w:numPr>
          <w:ilvl w:val="0"/>
          <w:numId w:val="191"/>
        </w:numPr>
        <w:overflowPunct/>
        <w:autoSpaceDE/>
        <w:autoSpaceDN/>
        <w:adjustRightInd/>
        <w:spacing w:before="0"/>
        <w:jc w:val="both"/>
        <w:textAlignment w:val="auto"/>
        <w:rPr>
          <w:spacing w:val="0"/>
        </w:rPr>
      </w:pPr>
      <w:r w:rsidRPr="002C6FFD">
        <w:rPr>
          <w:spacing w:val="0"/>
        </w:rPr>
        <w:t xml:space="preserve">Пальпацией гребня задней верхней ости подвздошной кости и крестцово-подвздошного сочленения выполняется выбор места трепанобиопсии. </w:t>
      </w:r>
    </w:p>
    <w:p w14:paraId="546A4E8A" w14:textId="77777777" w:rsidR="005B5D49" w:rsidRPr="002C6FFD" w:rsidRDefault="005B5D49" w:rsidP="008C1767">
      <w:pPr>
        <w:pStyle w:val="Number1"/>
        <w:numPr>
          <w:ilvl w:val="0"/>
          <w:numId w:val="191"/>
        </w:numPr>
        <w:overflowPunct/>
        <w:autoSpaceDE/>
        <w:autoSpaceDN/>
        <w:adjustRightInd/>
        <w:spacing w:before="0"/>
        <w:jc w:val="both"/>
        <w:textAlignment w:val="auto"/>
        <w:rPr>
          <w:spacing w:val="0"/>
        </w:rPr>
      </w:pPr>
      <w:r w:rsidRPr="002C6FFD">
        <w:rPr>
          <w:spacing w:val="0"/>
        </w:rPr>
        <w:t xml:space="preserve">Обработка кожи растворами антисептиков, как для оперативного вмешательства. </w:t>
      </w:r>
    </w:p>
    <w:p w14:paraId="0D53DA61" w14:textId="77777777" w:rsidR="005B5D49" w:rsidRPr="002C6FFD" w:rsidRDefault="005B5D49" w:rsidP="008C1767">
      <w:pPr>
        <w:pStyle w:val="Number1"/>
        <w:numPr>
          <w:ilvl w:val="0"/>
          <w:numId w:val="191"/>
        </w:numPr>
        <w:overflowPunct/>
        <w:autoSpaceDE/>
        <w:autoSpaceDN/>
        <w:adjustRightInd/>
        <w:spacing w:before="0"/>
        <w:jc w:val="both"/>
        <w:textAlignment w:val="auto"/>
        <w:rPr>
          <w:spacing w:val="0"/>
        </w:rPr>
      </w:pPr>
      <w:r w:rsidRPr="002C6FFD">
        <w:rPr>
          <w:spacing w:val="0"/>
        </w:rPr>
        <w:t xml:space="preserve">Обезболивание кожи («лимонная корочка») и далее послойная анестезия тканей вплоть до надкостницы и поднадкостнично — </w:t>
      </w:r>
      <w:r w:rsidRPr="002C6FFD">
        <w:rPr>
          <w:spacing w:val="0"/>
          <w:shd w:val="clear" w:color="auto" w:fill="FFFFFF"/>
        </w:rPr>
        <w:t>2% раствор лидокаина или 0,25—0,5% раствор новокаина</w:t>
      </w:r>
      <w:r w:rsidRPr="002C6FFD">
        <w:rPr>
          <w:spacing w:val="0"/>
        </w:rPr>
        <w:t xml:space="preserve"> (выбранным с учетом аллергологического анамнеза) 4,0—6,0 мл. Использование 10% лидокаина недопустимо для местной анестезии в виду возможности некротизирования тканей. </w:t>
      </w:r>
    </w:p>
    <w:p w14:paraId="64ED7156" w14:textId="77777777" w:rsidR="005B5D49" w:rsidRPr="002C6FFD" w:rsidRDefault="005B5D49" w:rsidP="008C1767">
      <w:pPr>
        <w:pStyle w:val="Number1"/>
        <w:numPr>
          <w:ilvl w:val="0"/>
          <w:numId w:val="191"/>
        </w:numPr>
        <w:overflowPunct/>
        <w:autoSpaceDE/>
        <w:autoSpaceDN/>
        <w:adjustRightInd/>
        <w:spacing w:before="0"/>
        <w:jc w:val="both"/>
        <w:textAlignment w:val="auto"/>
        <w:rPr>
          <w:spacing w:val="0"/>
        </w:rPr>
      </w:pPr>
      <w:r w:rsidRPr="002C6FFD">
        <w:rPr>
          <w:spacing w:val="0"/>
        </w:rPr>
        <w:lastRenderedPageBreak/>
        <w:t xml:space="preserve">Анестезия наступает не ранее через 1 мин после инфильтрации надкостницы раствором анестетика. </w:t>
      </w:r>
    </w:p>
    <w:p w14:paraId="0421CFA1" w14:textId="77777777" w:rsidR="005B5D49" w:rsidRPr="002C6FFD" w:rsidRDefault="005B5D49" w:rsidP="008C1767">
      <w:pPr>
        <w:pStyle w:val="Number1"/>
        <w:numPr>
          <w:ilvl w:val="0"/>
          <w:numId w:val="191"/>
        </w:numPr>
        <w:overflowPunct/>
        <w:autoSpaceDE/>
        <w:autoSpaceDN/>
        <w:adjustRightInd/>
        <w:spacing w:before="0"/>
        <w:jc w:val="both"/>
        <w:textAlignment w:val="auto"/>
        <w:rPr>
          <w:spacing w:val="0"/>
        </w:rPr>
      </w:pPr>
      <w:r w:rsidRPr="002C6FFD">
        <w:rPr>
          <w:spacing w:val="0"/>
        </w:rPr>
        <w:t xml:space="preserve">Выполняют разрез кожи длиной около 3 мм скальпелем с узким лезвием, однако возможно прохождение кожи и тканей до надкостницы иглой для трепанобиопсии с вставленным стилетом-обтуратором без выполнения кожного разреза. </w:t>
      </w:r>
    </w:p>
    <w:p w14:paraId="20270FBC" w14:textId="77777777" w:rsidR="005B5D49" w:rsidRPr="002C6FFD" w:rsidRDefault="005B5D49" w:rsidP="008C1767">
      <w:pPr>
        <w:pStyle w:val="Number1"/>
        <w:numPr>
          <w:ilvl w:val="0"/>
          <w:numId w:val="191"/>
        </w:numPr>
        <w:overflowPunct/>
        <w:autoSpaceDE/>
        <w:autoSpaceDN/>
        <w:adjustRightInd/>
        <w:spacing w:before="0"/>
        <w:jc w:val="both"/>
        <w:textAlignment w:val="auto"/>
        <w:rPr>
          <w:spacing w:val="0"/>
        </w:rPr>
      </w:pPr>
      <w:r w:rsidRPr="002C6FFD">
        <w:rPr>
          <w:spacing w:val="0"/>
        </w:rPr>
        <w:t>Через кожный разрез / прокол вводят иглу Jamshidi со стилетом-обтуратором, зафиксированным внутри иглы, и продвигают сквозь мягкие ткани до надкостницы. Игла вращательно-поступательными движениями с некоторым усилием должна быть направлена с небольшим отклонением латерально и кзади. Одноразовые иглы исключительно острые и не требуют прикладывания усилий. Вращательные движения вокруг оси иглы должны совершаться попеременно по и против часовой стрелки не более чем на 120</w:t>
      </w:r>
      <w:r w:rsidRPr="002C6FFD">
        <w:rPr>
          <w:color w:val="auto"/>
          <w:spacing w:val="0"/>
        </w:rPr>
        <w:sym w:font="Symbol" w:char="F0B0"/>
      </w:r>
      <w:r w:rsidRPr="002C6FFD">
        <w:rPr>
          <w:spacing w:val="0"/>
        </w:rPr>
        <w:t xml:space="preserve"> в ту и другую сторону. Проникновение через кортикальную пластинку воспринимается врачом как ощущение «провала» в ткань меньшей плотности. </w:t>
      </w:r>
    </w:p>
    <w:p w14:paraId="15935446" w14:textId="77777777" w:rsidR="005B5D49" w:rsidRPr="002C6FFD" w:rsidRDefault="005B5D49" w:rsidP="008C1767">
      <w:pPr>
        <w:pStyle w:val="Number1"/>
        <w:numPr>
          <w:ilvl w:val="0"/>
          <w:numId w:val="191"/>
        </w:numPr>
        <w:overflowPunct/>
        <w:autoSpaceDE/>
        <w:autoSpaceDN/>
        <w:adjustRightInd/>
        <w:spacing w:before="0"/>
        <w:jc w:val="both"/>
        <w:textAlignment w:val="auto"/>
        <w:rPr>
          <w:spacing w:val="0"/>
        </w:rPr>
      </w:pPr>
      <w:r w:rsidRPr="002C6FFD">
        <w:rPr>
          <w:spacing w:val="0"/>
        </w:rPr>
        <w:t xml:space="preserve">После того как кортикальная пластинка пройдена, вынимается из иглы Jamshidi стилет-обтуратор и вращательно-поступательным движением углубляется в кость на 3—4 см. Продвижение иглы Jamshidi в толще губчатой кости может сопровождаться для больного неприятными ощущениями с иррадиацией в бедро, о чем необходимо предупредить пациента. </w:t>
      </w:r>
    </w:p>
    <w:p w14:paraId="5014C504" w14:textId="77777777" w:rsidR="005B5D49" w:rsidRPr="002C6FFD" w:rsidRDefault="005B5D49" w:rsidP="008C1767">
      <w:pPr>
        <w:pStyle w:val="Number1"/>
        <w:numPr>
          <w:ilvl w:val="0"/>
          <w:numId w:val="191"/>
        </w:numPr>
        <w:overflowPunct/>
        <w:autoSpaceDE/>
        <w:autoSpaceDN/>
        <w:adjustRightInd/>
        <w:spacing w:before="0"/>
        <w:jc w:val="both"/>
        <w:textAlignment w:val="auto"/>
        <w:rPr>
          <w:spacing w:val="0"/>
        </w:rPr>
      </w:pPr>
      <w:r w:rsidRPr="002C6FFD">
        <w:rPr>
          <w:spacing w:val="0"/>
        </w:rPr>
        <w:t xml:space="preserve">Для отделения от костного массива столбика, вырезанного иглой и находящегося в ее просвете, его основание необходимо «подрезать». Чтобы это сделать, нужно несколько раз повернуть иглу в одном и другом направлении вокруг оси. Далее иглу медленно извлекают вращательно-поступательными движениями. </w:t>
      </w:r>
    </w:p>
    <w:p w14:paraId="47D6FE26" w14:textId="5B28B5E5" w:rsidR="005B5D49" w:rsidRPr="002C6FFD" w:rsidRDefault="005B5D49" w:rsidP="008C1767">
      <w:pPr>
        <w:pStyle w:val="Number1"/>
        <w:numPr>
          <w:ilvl w:val="0"/>
          <w:numId w:val="191"/>
        </w:numPr>
        <w:overflowPunct/>
        <w:autoSpaceDE/>
        <w:autoSpaceDN/>
        <w:adjustRightInd/>
        <w:spacing w:before="0"/>
        <w:jc w:val="both"/>
        <w:textAlignment w:val="auto"/>
        <w:rPr>
          <w:spacing w:val="0"/>
        </w:rPr>
      </w:pPr>
      <w:r w:rsidRPr="002C6FFD">
        <w:rPr>
          <w:spacing w:val="0"/>
        </w:rPr>
        <w:t xml:space="preserve">После извлечения иглы стержнем-толкателем трепанобиоптат длиной 3—4 см (из передней верхней ости подвздошной кости) и более, иногда до 5–6 см (из задней верхней ости подвздошной </w:t>
      </w:r>
      <w:r w:rsidR="00E332F3" w:rsidRPr="002C6FFD">
        <w:rPr>
          <w:spacing w:val="0"/>
        </w:rPr>
        <w:t>кости) выталкивается</w:t>
      </w:r>
      <w:r w:rsidRPr="002C6FFD">
        <w:rPr>
          <w:spacing w:val="0"/>
        </w:rPr>
        <w:t xml:space="preserve"> в обратном направлении от острия к рукоятке, то есть через отверстие рукоятки инструмента. </w:t>
      </w:r>
    </w:p>
    <w:p w14:paraId="1DE0CD86" w14:textId="77777777" w:rsidR="005B5D49" w:rsidRPr="002C6FFD" w:rsidRDefault="005B5D49" w:rsidP="008C1767">
      <w:pPr>
        <w:pStyle w:val="Number1"/>
        <w:numPr>
          <w:ilvl w:val="0"/>
          <w:numId w:val="191"/>
        </w:numPr>
        <w:overflowPunct/>
        <w:autoSpaceDE/>
        <w:autoSpaceDN/>
        <w:adjustRightInd/>
        <w:spacing w:before="0"/>
        <w:jc w:val="both"/>
        <w:textAlignment w:val="auto"/>
        <w:rPr>
          <w:spacing w:val="0"/>
        </w:rPr>
      </w:pPr>
      <w:r w:rsidRPr="002C6FFD">
        <w:rPr>
          <w:spacing w:val="0"/>
        </w:rPr>
        <w:t xml:space="preserve">После выполнения трепанобиопсии через этот же кожный разрез можно получить аспират костного мозга, пропунктировав заднюю верхнюю ость подвздошной кости в стороне от трепанационного отверстия. Практически все иглы для трепанобиопсии костного мозга имеют со стороны рукоятки коническую втулку, которая позволяет присоединить шприц для создания разрежения в просвете иглы и аспирации костного мозга. Пользоваться иглой Jamshidi для аспирации не очень удобно, лучше применять специальные, более тонкие и короткие иглы. Для этого необходимо через уже существующий разрез кожи пройти аспирационной иглой до кости и, сместив </w:t>
      </w:r>
      <w:r w:rsidRPr="002C6FFD">
        <w:rPr>
          <w:spacing w:val="0"/>
        </w:rPr>
        <w:lastRenderedPageBreak/>
        <w:t xml:space="preserve">иглу вместе с мягкими тканями, снова выполнить пункцию кортикальной пластинки на некотором удалении (1,5 см) от первого сделанного отверстия, после чего аспирировать костный мозг для исследований, как указано выше. </w:t>
      </w:r>
    </w:p>
    <w:p w14:paraId="54395FBA" w14:textId="77777777" w:rsidR="005B5D49" w:rsidRPr="002C6FFD" w:rsidRDefault="005B5D49" w:rsidP="008C1767">
      <w:pPr>
        <w:pStyle w:val="Number1"/>
        <w:numPr>
          <w:ilvl w:val="0"/>
          <w:numId w:val="191"/>
        </w:numPr>
        <w:overflowPunct/>
        <w:autoSpaceDE/>
        <w:autoSpaceDN/>
        <w:adjustRightInd/>
        <w:spacing w:before="0"/>
        <w:jc w:val="both"/>
        <w:textAlignment w:val="auto"/>
        <w:rPr>
          <w:spacing w:val="0"/>
        </w:rPr>
      </w:pPr>
      <w:r w:rsidRPr="002C6FFD">
        <w:rPr>
          <w:spacing w:val="0"/>
        </w:rPr>
        <w:t xml:space="preserve">В случае невозможности получения аспирата костного мозга выполняют отпечатки трепанобиоптата методом «прокатывания» столбика между двумя предметными стеклами. </w:t>
      </w:r>
    </w:p>
    <w:p w14:paraId="381A3870" w14:textId="77777777" w:rsidR="005B5D49" w:rsidRPr="002C6FFD" w:rsidRDefault="005B5D49" w:rsidP="008C1767">
      <w:pPr>
        <w:pStyle w:val="Number1"/>
        <w:numPr>
          <w:ilvl w:val="0"/>
          <w:numId w:val="191"/>
        </w:numPr>
        <w:overflowPunct/>
        <w:autoSpaceDE/>
        <w:autoSpaceDN/>
        <w:adjustRightInd/>
        <w:spacing w:before="0"/>
        <w:jc w:val="both"/>
        <w:textAlignment w:val="auto"/>
        <w:rPr>
          <w:spacing w:val="0"/>
        </w:rPr>
      </w:pPr>
      <w:r w:rsidRPr="002C6FFD">
        <w:rPr>
          <w:spacing w:val="0"/>
        </w:rPr>
        <w:t>Столбик трепанобиоптата помещают в емкость с физиологическим раствором или 10% раствором формалина и направляют в лабораторию на гистологическое и, при необходимости, иммуногистохимическое исследования.</w:t>
      </w:r>
    </w:p>
    <w:p w14:paraId="60F400AB" w14:textId="77777777" w:rsidR="005B5D49" w:rsidRPr="002C6FFD" w:rsidRDefault="005B5D49" w:rsidP="008C1767">
      <w:pPr>
        <w:pStyle w:val="Number1"/>
        <w:numPr>
          <w:ilvl w:val="0"/>
          <w:numId w:val="191"/>
        </w:numPr>
        <w:overflowPunct/>
        <w:autoSpaceDE/>
        <w:autoSpaceDN/>
        <w:adjustRightInd/>
        <w:spacing w:before="0"/>
        <w:jc w:val="both"/>
        <w:textAlignment w:val="auto"/>
        <w:rPr>
          <w:spacing w:val="0"/>
        </w:rPr>
      </w:pPr>
      <w:r w:rsidRPr="002C6FFD">
        <w:rPr>
          <w:spacing w:val="0"/>
        </w:rPr>
        <w:t xml:space="preserve">По окончании манипуляции на кожу накладывают асептическую повязку (наклейку), рекомендуется приложить хладоэлемент на 10-15мин во избежание образования гематомы. </w:t>
      </w:r>
    </w:p>
    <w:p w14:paraId="0BCA941D" w14:textId="77777777" w:rsidR="005B5D49" w:rsidRPr="002C6FFD" w:rsidRDefault="005B5D49" w:rsidP="008C1767">
      <w:pPr>
        <w:pStyle w:val="Number1"/>
        <w:numPr>
          <w:ilvl w:val="0"/>
          <w:numId w:val="191"/>
        </w:numPr>
        <w:overflowPunct/>
        <w:autoSpaceDE/>
        <w:autoSpaceDN/>
        <w:adjustRightInd/>
        <w:spacing w:before="0"/>
        <w:jc w:val="both"/>
        <w:textAlignment w:val="auto"/>
        <w:rPr>
          <w:spacing w:val="0"/>
        </w:rPr>
      </w:pPr>
      <w:r w:rsidRPr="002C6FFD">
        <w:rPr>
          <w:spacing w:val="0"/>
        </w:rPr>
        <w:t xml:space="preserve">Пациент должен провести под наблюдением медицинского персонала 2—3 часа после процедуры. </w:t>
      </w:r>
    </w:p>
    <w:p w14:paraId="75A0D6E7" w14:textId="77777777" w:rsidR="005B5D49" w:rsidRPr="002C6FFD" w:rsidRDefault="005B5D49" w:rsidP="008C1767">
      <w:pPr>
        <w:pStyle w:val="Number1"/>
        <w:numPr>
          <w:ilvl w:val="0"/>
          <w:numId w:val="191"/>
        </w:numPr>
        <w:overflowPunct/>
        <w:autoSpaceDE/>
        <w:autoSpaceDN/>
        <w:adjustRightInd/>
        <w:spacing w:before="0"/>
        <w:jc w:val="both"/>
        <w:textAlignment w:val="auto"/>
        <w:rPr>
          <w:spacing w:val="0"/>
        </w:rPr>
      </w:pPr>
      <w:r w:rsidRPr="002C6FFD">
        <w:rPr>
          <w:spacing w:val="0"/>
        </w:rPr>
        <w:t>В первые сутки после выполнения трепанобиопсии больному необходимо избегать физических нагрузок и выполнения работ, связанных с повышенным вниманием (в том числе управление автотранспортным средством). Повязку необходимо сохранять в течение 1-2 суток, при необходимости осуществляется замена повязки с обработкой кожи вокруг места биопсии антисептиками. При гигиенических процедурах пациент должен избегать намокания повязки.</w:t>
      </w:r>
    </w:p>
    <w:p w14:paraId="366148DD" w14:textId="77777777" w:rsidR="005B5D49" w:rsidRPr="002C6FFD" w:rsidRDefault="005B5D49" w:rsidP="008C1767">
      <w:pPr>
        <w:pStyle w:val="Number1"/>
        <w:numPr>
          <w:ilvl w:val="0"/>
          <w:numId w:val="191"/>
        </w:numPr>
        <w:overflowPunct/>
        <w:autoSpaceDE/>
        <w:autoSpaceDN/>
        <w:adjustRightInd/>
        <w:spacing w:before="0"/>
        <w:jc w:val="both"/>
        <w:textAlignment w:val="auto"/>
        <w:rPr>
          <w:color w:val="auto"/>
          <w:spacing w:val="0"/>
        </w:rPr>
      </w:pPr>
      <w:r w:rsidRPr="002C6FFD">
        <w:rPr>
          <w:spacing w:val="0"/>
        </w:rPr>
        <w:t>На следующий день после выполнения манипуляции медицинскому персоналу необходимо проконтролировать состояние пациента (</w:t>
      </w:r>
      <w:r w:rsidRPr="002C6FFD">
        <w:rPr>
          <w:color w:val="auto"/>
          <w:spacing w:val="0"/>
        </w:rPr>
        <w:t xml:space="preserve">при выполнении манипуляции в амбулаторных условиях - возможно по телефону). </w:t>
      </w:r>
    </w:p>
    <w:p w14:paraId="4D352452" w14:textId="7C617409" w:rsidR="005B5D49" w:rsidRDefault="005B5D49" w:rsidP="005B5D49">
      <w:pPr>
        <w:rPr>
          <w:szCs w:val="24"/>
        </w:rPr>
      </w:pPr>
    </w:p>
    <w:p w14:paraId="42A42267" w14:textId="61CC6FE2" w:rsidR="007001FA" w:rsidRPr="007001FA" w:rsidRDefault="00C83858" w:rsidP="004905C2">
      <w:pPr>
        <w:pStyle w:val="2"/>
      </w:pPr>
      <w:bookmarkStart w:id="399" w:name="_Toc64565674"/>
      <w:r w:rsidRPr="00B7347C">
        <w:t xml:space="preserve">Приложение </w:t>
      </w:r>
      <w:r>
        <w:t xml:space="preserve">А3.7. </w:t>
      </w:r>
      <w:r w:rsidR="007001FA" w:rsidRPr="00B611F7">
        <w:t xml:space="preserve">Протокол выполнения спиномозговой (люмбальной) пункции </w:t>
      </w:r>
      <w:bookmarkEnd w:id="399"/>
    </w:p>
    <w:p w14:paraId="2DC8B40B" w14:textId="77777777" w:rsidR="007001FA" w:rsidRDefault="007001FA" w:rsidP="007001FA"/>
    <w:p w14:paraId="07AFCFAF" w14:textId="1A8CA4A9" w:rsidR="007001FA" w:rsidRDefault="007001FA" w:rsidP="007001FA">
      <w:pPr>
        <w:ind w:firstLine="709"/>
        <w:rPr>
          <w:iCs/>
        </w:rPr>
      </w:pPr>
      <w:r w:rsidRPr="00F61D8E">
        <w:t xml:space="preserve">Спинномозговая пункция (люмбальная пункция, ЛП) у пациентов </w:t>
      </w:r>
      <w:r w:rsidR="00604E24">
        <w:t xml:space="preserve">с ОЛЛ </w:t>
      </w:r>
      <w:r w:rsidRPr="00F61D8E">
        <w:t xml:space="preserve">проводится как планово, в рамках протоколов лечения острых лейкозов, так и экстренно – при возникновении клинических ситуаций, требующих исключения поражения центральной нервной системы. ЛП рекомендуется выполнять после применения методов нейровизуализации (КТ и/или МРТ головного мозга), особенно в диагностических случаях. КТ и/или МРТ головного мозга выполняется с целью выявления изменений головного мозга, признаков внутричерепной гипертензии (например, расширенный третий желудочек) и избежать дислокации/вклинения мозга при выполнении манипуляции. </w:t>
      </w:r>
      <w:r w:rsidRPr="00F61D8E">
        <w:rPr>
          <w:iCs/>
        </w:rPr>
        <w:t xml:space="preserve">ЛП не рекомендуется выполнять по дежурству, в ночное время, если отсутствует необходимая </w:t>
      </w:r>
      <w:r w:rsidRPr="00F61D8E">
        <w:rPr>
          <w:iCs/>
        </w:rPr>
        <w:lastRenderedPageBreak/>
        <w:t>лабораторная служба – диагностическая ценность ЛП в условиях, когда нельзя полноценно исследовать ликвор, мала.</w:t>
      </w:r>
    </w:p>
    <w:p w14:paraId="04D02950" w14:textId="30DD3341" w:rsidR="007001FA" w:rsidRPr="00B611F7" w:rsidRDefault="007001FA" w:rsidP="00604E24">
      <w:pPr>
        <w:ind w:firstLine="708"/>
        <w:rPr>
          <w:b/>
          <w:bCs/>
          <w:i/>
          <w:iCs/>
          <w:u w:val="single"/>
        </w:rPr>
      </w:pPr>
      <w:r w:rsidRPr="00B611F7">
        <w:rPr>
          <w:i/>
          <w:iCs/>
          <w:u w:val="single"/>
        </w:rPr>
        <w:t xml:space="preserve">Проведение спинномозговой (люмбальной) пункции (ЛП) </w:t>
      </w:r>
      <w:r w:rsidRPr="00B611F7">
        <w:rPr>
          <w:b/>
          <w:bCs/>
          <w:i/>
          <w:iCs/>
          <w:u w:val="single"/>
        </w:rPr>
        <w:fldChar w:fldCharType="begin" w:fldLock="1"/>
      </w:r>
      <w:r w:rsidR="00A67ED2">
        <w:rPr>
          <w:i/>
          <w:iCs/>
          <w:u w:val="single"/>
        </w:rPr>
        <w:instrText>ADDIN CSL_CITATION {"citationItems":[{"id":"ITEM-1","itemData":{"author":[{"dropping-particle":"","family":"Fong","given":"B.","non-dropping-particle":"","parse-names":false,"suffix":""},{"dropping-particle":"","family":"Bendegon","given":"J. M.","non-dropping-particle":"Van","parse-names":false,"suffix":""}],"container-title":"Rechman, E.F., Simon, R.R., eds. Emergency Medicine Procedures","id":"ITEM-1","issued":{"date-parts":[["2004"]]},"page":"859-880","publisher":"New York: McGraw-Hill","title":"Lumbar puncture. Neurologic and neurosurgical procedures","type":"chapter"},"uris":["http://www.mendeley.com/documents/?uuid=a67dc750-5040-4374-a1b2-800ecfc67c59"]}],"mendeley":{"formattedCitation":"[175]","plainTextFormattedCitation":"[175]","previouslyFormattedCitation":"[155]"},"properties":{"noteIndex":0},"schema":"https://github.com/citation-style-language/schema/raw/master/csl-citation.json"}</w:instrText>
      </w:r>
      <w:r w:rsidRPr="00B611F7">
        <w:rPr>
          <w:b/>
          <w:bCs/>
          <w:i/>
          <w:iCs/>
          <w:u w:val="single"/>
        </w:rPr>
        <w:fldChar w:fldCharType="separate"/>
      </w:r>
      <w:r w:rsidR="00A67ED2" w:rsidRPr="00A67ED2">
        <w:rPr>
          <w:iCs/>
          <w:noProof/>
        </w:rPr>
        <w:t>[175]</w:t>
      </w:r>
      <w:r w:rsidRPr="00B611F7">
        <w:rPr>
          <w:b/>
          <w:bCs/>
          <w:i/>
          <w:iCs/>
          <w:u w:val="single"/>
        </w:rPr>
        <w:fldChar w:fldCharType="end"/>
      </w:r>
    </w:p>
    <w:p w14:paraId="40CD983C" w14:textId="77777777" w:rsidR="007001FA" w:rsidRPr="00B611F7" w:rsidRDefault="007001FA" w:rsidP="007001FA">
      <w:pPr>
        <w:ind w:firstLine="708"/>
        <w:rPr>
          <w:b/>
          <w:bCs/>
          <w:u w:val="single"/>
        </w:rPr>
      </w:pPr>
      <w:r w:rsidRPr="00B611F7">
        <w:rPr>
          <w:u w:val="single"/>
        </w:rPr>
        <w:t>Показания:</w:t>
      </w:r>
    </w:p>
    <w:p w14:paraId="2A561C27" w14:textId="77777777" w:rsidR="007001FA" w:rsidRPr="00F61D8E" w:rsidRDefault="007001FA" w:rsidP="008C1767">
      <w:pPr>
        <w:pStyle w:val="FitzBullet"/>
        <w:widowControl w:val="0"/>
        <w:numPr>
          <w:ilvl w:val="0"/>
          <w:numId w:val="184"/>
        </w:numPr>
        <w:spacing w:before="0" w:after="0"/>
        <w:jc w:val="both"/>
      </w:pPr>
      <w:r w:rsidRPr="00F61D8E">
        <w:t>Диагностическая ЛП по протоколу</w:t>
      </w:r>
    </w:p>
    <w:p w14:paraId="4482BC4A" w14:textId="77777777" w:rsidR="007001FA" w:rsidRPr="00F61D8E" w:rsidRDefault="007001FA" w:rsidP="008C1767">
      <w:pPr>
        <w:pStyle w:val="FitzBullet"/>
        <w:widowControl w:val="0"/>
        <w:numPr>
          <w:ilvl w:val="0"/>
          <w:numId w:val="184"/>
        </w:numPr>
        <w:spacing w:before="0" w:after="0"/>
        <w:jc w:val="both"/>
      </w:pPr>
      <w:r w:rsidRPr="00F61D8E">
        <w:t>Подозрение на нейролейкемию.</w:t>
      </w:r>
    </w:p>
    <w:p w14:paraId="667E3E98" w14:textId="77777777" w:rsidR="007001FA" w:rsidRPr="00F61D8E" w:rsidRDefault="007001FA" w:rsidP="008C1767">
      <w:pPr>
        <w:pStyle w:val="FitzBullet"/>
        <w:widowControl w:val="0"/>
        <w:numPr>
          <w:ilvl w:val="0"/>
          <w:numId w:val="184"/>
        </w:numPr>
        <w:spacing w:before="0" w:after="0"/>
        <w:jc w:val="both"/>
      </w:pPr>
      <w:r w:rsidRPr="00F61D8E">
        <w:t>Лечение нейролейкемии по протоколу.</w:t>
      </w:r>
    </w:p>
    <w:p w14:paraId="143433A6" w14:textId="77777777" w:rsidR="007001FA" w:rsidRPr="00F61D8E" w:rsidRDefault="007001FA" w:rsidP="008C1767">
      <w:pPr>
        <w:pStyle w:val="FitzBullet"/>
        <w:widowControl w:val="0"/>
        <w:numPr>
          <w:ilvl w:val="0"/>
          <w:numId w:val="184"/>
        </w:numPr>
        <w:spacing w:before="0" w:after="0"/>
        <w:jc w:val="both"/>
      </w:pPr>
      <w:r w:rsidRPr="00F61D8E">
        <w:t>Подозрение на нейроинфекцию (вирусную, бактериальную, грибковую).</w:t>
      </w:r>
    </w:p>
    <w:p w14:paraId="31AE2665" w14:textId="77777777" w:rsidR="007001FA" w:rsidRPr="00F61D8E" w:rsidRDefault="007001FA" w:rsidP="008C1767">
      <w:pPr>
        <w:pStyle w:val="FitzBullet"/>
        <w:widowControl w:val="0"/>
        <w:numPr>
          <w:ilvl w:val="0"/>
          <w:numId w:val="184"/>
        </w:numPr>
        <w:spacing w:before="0" w:after="0"/>
        <w:jc w:val="both"/>
      </w:pPr>
      <w:r w:rsidRPr="00F61D8E">
        <w:t>Подозрение на субарахноидальное кровоизлияние (ЛП должна быть выполнена, если имеется подозрение, но данные магнитно-резонансной томографии (МРТ) или спиральная компъютерная томография (СКТ) головного мозга отрицательные)</w:t>
      </w:r>
    </w:p>
    <w:p w14:paraId="0103C849" w14:textId="77777777" w:rsidR="007001FA" w:rsidRPr="00F61D8E" w:rsidRDefault="007001FA" w:rsidP="008C1767">
      <w:pPr>
        <w:pStyle w:val="FitzBullet"/>
        <w:widowControl w:val="0"/>
        <w:numPr>
          <w:ilvl w:val="0"/>
          <w:numId w:val="184"/>
        </w:numPr>
        <w:spacing w:before="0" w:after="0"/>
        <w:jc w:val="both"/>
      </w:pPr>
      <w:r w:rsidRPr="00F61D8E">
        <w:t>Внезапные нарушения сознания.</w:t>
      </w:r>
    </w:p>
    <w:p w14:paraId="092758F6" w14:textId="77777777" w:rsidR="007001FA" w:rsidRDefault="007001FA" w:rsidP="004905C2">
      <w:pPr>
        <w:pStyle w:val="2"/>
      </w:pPr>
    </w:p>
    <w:p w14:paraId="458C90F0" w14:textId="77777777" w:rsidR="007001FA" w:rsidRPr="00B611F7" w:rsidRDefault="007001FA" w:rsidP="007001FA">
      <w:pPr>
        <w:ind w:firstLine="708"/>
        <w:rPr>
          <w:b/>
          <w:bCs/>
          <w:u w:val="single"/>
        </w:rPr>
      </w:pPr>
      <w:r w:rsidRPr="00B611F7">
        <w:rPr>
          <w:u w:val="single"/>
        </w:rPr>
        <w:t>Противопоказания:</w:t>
      </w:r>
    </w:p>
    <w:p w14:paraId="3CA115AD" w14:textId="77777777" w:rsidR="007001FA" w:rsidRPr="00F61D8E" w:rsidRDefault="007001FA" w:rsidP="008C1767">
      <w:pPr>
        <w:pStyle w:val="FitzBullet"/>
        <w:widowControl w:val="0"/>
        <w:numPr>
          <w:ilvl w:val="0"/>
          <w:numId w:val="185"/>
        </w:numPr>
        <w:spacing w:before="0" w:after="0"/>
        <w:jc w:val="both"/>
      </w:pPr>
      <w:r w:rsidRPr="00F61D8E">
        <w:t>Внутричерепная гипертензия — из-за опасности дислокации (вклинения) мозга. Исключение составляют случаи, когда ЛП выполняется с целью уменьшения внутричерепной гипертензии. Для исключения внутричерепной гипертензии необходима СКТ или МРТ головного мозга. Отсутствие отека диска зрительного нерва не исключает внутричерепной гипертензии, так как для развития отека диска зрительного нерва необходимо, чтобы внутричерепная гипертензия продолжалась не менее 48 ч.</w:t>
      </w:r>
    </w:p>
    <w:p w14:paraId="0AC95EC6" w14:textId="77777777" w:rsidR="007001FA" w:rsidRPr="00F61D8E" w:rsidRDefault="007001FA" w:rsidP="008C1767">
      <w:pPr>
        <w:pStyle w:val="FitzBullet"/>
        <w:widowControl w:val="0"/>
        <w:numPr>
          <w:ilvl w:val="0"/>
          <w:numId w:val="185"/>
        </w:numPr>
        <w:spacing w:before="0" w:after="0"/>
        <w:jc w:val="both"/>
      </w:pPr>
      <w:r w:rsidRPr="00F61D8E">
        <w:t>Кожная инфекция в месте предполагаемого выполнения ЛП.</w:t>
      </w:r>
    </w:p>
    <w:p w14:paraId="6A458BFF" w14:textId="77777777" w:rsidR="007001FA" w:rsidRPr="00661A04" w:rsidRDefault="007001FA" w:rsidP="008C1767">
      <w:pPr>
        <w:pStyle w:val="FitzBullet"/>
        <w:widowControl w:val="0"/>
        <w:numPr>
          <w:ilvl w:val="0"/>
          <w:numId w:val="185"/>
        </w:numPr>
        <w:spacing w:before="0" w:after="0"/>
        <w:jc w:val="both"/>
      </w:pPr>
      <w:r w:rsidRPr="00F61D8E">
        <w:t xml:space="preserve">Антикоагулянтная терапия и терапия дезагрегантами, фибринолитиками, </w:t>
      </w:r>
      <w:r w:rsidRPr="00661A04">
        <w:t>тромболитиками (таб.</w:t>
      </w:r>
      <w:r>
        <w:t xml:space="preserve"> </w:t>
      </w:r>
      <w:r w:rsidRPr="00661A04">
        <w:t xml:space="preserve">1). </w:t>
      </w:r>
    </w:p>
    <w:p w14:paraId="0918AD13" w14:textId="77777777" w:rsidR="007001FA" w:rsidRPr="00661A04" w:rsidRDefault="007001FA" w:rsidP="007001FA">
      <w:pPr>
        <w:pStyle w:val="FitzBullet"/>
        <w:spacing w:before="0" w:after="0"/>
        <w:ind w:firstLine="0"/>
      </w:pPr>
    </w:p>
    <w:p w14:paraId="12B479E9" w14:textId="50658799" w:rsidR="007001FA" w:rsidRPr="00086597" w:rsidRDefault="007001FA" w:rsidP="007001FA">
      <w:pPr>
        <w:pStyle w:val="table-name"/>
        <w:spacing w:before="0"/>
        <w:ind w:hanging="10"/>
        <w:rPr>
          <w:szCs w:val="24"/>
          <w:lang w:val="ru-RU"/>
        </w:rPr>
      </w:pPr>
      <w:r w:rsidRPr="00661A04">
        <w:rPr>
          <w:szCs w:val="24"/>
          <w:lang w:val="ru-RU"/>
        </w:rPr>
        <w:t>Таблица 1. Подготовка больного к ЛП при проведении терапии антикоагулянтами,</w:t>
      </w:r>
      <w:r>
        <w:rPr>
          <w:szCs w:val="24"/>
          <w:lang w:val="ru-RU"/>
        </w:rPr>
        <w:t xml:space="preserve"> </w:t>
      </w:r>
      <w:r w:rsidRPr="00661A04">
        <w:rPr>
          <w:szCs w:val="24"/>
          <w:lang w:val="ru-RU"/>
        </w:rPr>
        <w:t>дезагрегантами и тромболитиками</w:t>
      </w:r>
      <w:r w:rsidRPr="00086597">
        <w:rPr>
          <w:szCs w:val="24"/>
          <w:lang w:val="ru-RU"/>
        </w:rPr>
        <w:t xml:space="preserve"> </w:t>
      </w:r>
      <w:r w:rsidRPr="00086597">
        <w:rPr>
          <w:i/>
          <w:iCs/>
          <w:szCs w:val="24"/>
          <w:u w:val="single"/>
          <w:lang w:val="ru-RU"/>
        </w:rPr>
        <w:fldChar w:fldCharType="begin" w:fldLock="1"/>
      </w:r>
      <w:r w:rsidR="00A67ED2">
        <w:rPr>
          <w:i/>
          <w:iCs/>
          <w:szCs w:val="24"/>
          <w:u w:val="single"/>
          <w:lang w:val="ru-RU"/>
        </w:rPr>
        <w:instrText>ADDIN CSL_CITATION {"citationItems":[{"id":"ITEM-1","itemData":{"author":[{"dropping-particle":"","family":"Fong","given":"B.","non-dropping-particle":"","parse-names":false,"suffix":""},{"dropping-particle":"","family":"Bendegon","given":"J. M.","non-dropping-particle":"Van","parse-names":false,"suffix":""}],"container-title":"Rechman, E.F., Simon, R.R., eds. Emergency Medicine Procedures","id":"ITEM-1","issued":{"date-parts":[["2004"]]},"page":"859-880","publisher":"New York: McGraw-Hill","title":"Lumbar puncture. Neurologic and neurosurgical procedures","type":"chapter"},"uris":["http://www.mendeley.com/documents/?uuid=a67dc750-5040-4374-a1b2-800ecfc67c59"]}],"mendeley":{"formattedCitation":"[175]","plainTextFormattedCitation":"[175]","previouslyFormattedCitation":"[155]"},"properties":{"noteIndex":0},"schema":"https://github.com/citation-style-language/schema/raw/master/csl-citation.json"}</w:instrText>
      </w:r>
      <w:r w:rsidRPr="00086597">
        <w:rPr>
          <w:i/>
          <w:iCs/>
          <w:szCs w:val="24"/>
          <w:u w:val="single"/>
          <w:lang w:val="ru-RU"/>
        </w:rPr>
        <w:fldChar w:fldCharType="separate"/>
      </w:r>
      <w:r w:rsidR="00A67ED2" w:rsidRPr="00A67ED2">
        <w:rPr>
          <w:iCs/>
          <w:noProof/>
          <w:szCs w:val="24"/>
          <w:lang w:val="ru-RU"/>
        </w:rPr>
        <w:t>[175]</w:t>
      </w:r>
      <w:r w:rsidRPr="00086597">
        <w:rPr>
          <w:i/>
          <w:iCs/>
          <w:szCs w:val="24"/>
          <w:u w:val="single"/>
          <w:lang w:val="ru-RU"/>
        </w:rPr>
        <w:fldChar w:fldCharType="end"/>
      </w:r>
    </w:p>
    <w:tbl>
      <w:tblPr>
        <w:tblW w:w="9571"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0A0" w:firstRow="1" w:lastRow="0" w:firstColumn="1" w:lastColumn="0" w:noHBand="0" w:noVBand="0"/>
      </w:tblPr>
      <w:tblGrid>
        <w:gridCol w:w="3420"/>
        <w:gridCol w:w="6151"/>
      </w:tblGrid>
      <w:tr w:rsidR="007001FA" w:rsidRPr="00F61D8E" w14:paraId="4587D60D" w14:textId="77777777" w:rsidTr="00CD5E09">
        <w:trPr>
          <w:trHeight w:val="300"/>
        </w:trPr>
        <w:tc>
          <w:tcPr>
            <w:tcW w:w="34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0B5A87A" w14:textId="77777777" w:rsidR="007001FA" w:rsidRPr="00F61D8E" w:rsidRDefault="007001FA" w:rsidP="00CD5E09">
            <w:pPr>
              <w:pStyle w:val="table-head-left"/>
              <w:spacing w:before="0" w:after="0"/>
              <w:jc w:val="center"/>
              <w:rPr>
                <w:sz w:val="24"/>
                <w:szCs w:val="24"/>
              </w:rPr>
            </w:pPr>
            <w:r w:rsidRPr="00F61D8E">
              <w:rPr>
                <w:sz w:val="24"/>
                <w:szCs w:val="24"/>
              </w:rPr>
              <w:t>Препарат</w:t>
            </w:r>
          </w:p>
        </w:tc>
        <w:tc>
          <w:tcPr>
            <w:tcW w:w="615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40D1913" w14:textId="77777777" w:rsidR="007001FA" w:rsidRPr="00F61D8E" w:rsidRDefault="007001FA" w:rsidP="00CD5E09">
            <w:pPr>
              <w:pStyle w:val="table-head-left"/>
              <w:spacing w:before="0" w:after="0"/>
              <w:jc w:val="center"/>
              <w:rPr>
                <w:sz w:val="24"/>
                <w:szCs w:val="24"/>
              </w:rPr>
            </w:pPr>
            <w:r w:rsidRPr="00F61D8E">
              <w:rPr>
                <w:sz w:val="24"/>
                <w:szCs w:val="24"/>
              </w:rPr>
              <w:t>Рекомендации</w:t>
            </w:r>
          </w:p>
        </w:tc>
      </w:tr>
      <w:tr w:rsidR="007001FA" w:rsidRPr="003C7544" w14:paraId="456A690A" w14:textId="77777777" w:rsidTr="00CD5E09">
        <w:trPr>
          <w:trHeight w:val="1735"/>
        </w:trPr>
        <w:tc>
          <w:tcPr>
            <w:tcW w:w="34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72B9CFF" w14:textId="77777777" w:rsidR="007001FA" w:rsidRPr="00F61D8E" w:rsidRDefault="007001FA" w:rsidP="00CD5E09">
            <w:pPr>
              <w:pStyle w:val="table-text-0"/>
              <w:spacing w:before="0" w:after="0"/>
              <w:rPr>
                <w:sz w:val="24"/>
                <w:szCs w:val="24"/>
              </w:rPr>
            </w:pPr>
            <w:r w:rsidRPr="00F61D8E">
              <w:rPr>
                <w:sz w:val="24"/>
                <w:szCs w:val="24"/>
              </w:rPr>
              <w:t>Варфарин</w:t>
            </w:r>
          </w:p>
        </w:tc>
        <w:tc>
          <w:tcPr>
            <w:tcW w:w="615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F32A82C" w14:textId="77777777" w:rsidR="007001FA" w:rsidRPr="00F61D8E" w:rsidRDefault="007001FA" w:rsidP="00CD5E09">
            <w:pPr>
              <w:pStyle w:val="table-text-0"/>
              <w:spacing w:before="0" w:after="0"/>
              <w:rPr>
                <w:sz w:val="24"/>
                <w:szCs w:val="24"/>
              </w:rPr>
            </w:pPr>
            <w:r w:rsidRPr="00F61D8E">
              <w:rPr>
                <w:sz w:val="24"/>
                <w:szCs w:val="24"/>
              </w:rPr>
              <w:t xml:space="preserve">Прекращение приема препарата за 4—5 сут и контроль МНО, которое должно быть в пределах нормы (1—1,2). Для ускорения нормализации МНО могут добавляться переливания СЗП 10—15 мл/кг, фитоменадион 10—20 </w:t>
            </w:r>
            <w:r w:rsidRPr="00F61D8E">
              <w:rPr>
                <w:sz w:val="24"/>
                <w:szCs w:val="24"/>
              </w:rPr>
              <w:lastRenderedPageBreak/>
              <w:t>мг/сут, Протромплекс 600 (согласно расчету по формуле 1500—3000 МЕ)</w:t>
            </w:r>
          </w:p>
        </w:tc>
      </w:tr>
      <w:tr w:rsidR="007001FA" w:rsidRPr="003C7544" w14:paraId="4A91474D" w14:textId="77777777" w:rsidTr="00CD5E09">
        <w:trPr>
          <w:trHeight w:val="1110"/>
        </w:trPr>
        <w:tc>
          <w:tcPr>
            <w:tcW w:w="34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E4C824C" w14:textId="77777777" w:rsidR="007001FA" w:rsidRPr="00F61D8E" w:rsidRDefault="007001FA" w:rsidP="00CD5E09">
            <w:pPr>
              <w:pStyle w:val="table-text-0"/>
              <w:spacing w:before="0" w:after="0"/>
              <w:rPr>
                <w:sz w:val="24"/>
                <w:szCs w:val="24"/>
              </w:rPr>
            </w:pPr>
            <w:r w:rsidRPr="00F61D8E">
              <w:rPr>
                <w:sz w:val="24"/>
                <w:szCs w:val="24"/>
              </w:rPr>
              <w:lastRenderedPageBreak/>
              <w:t>Низкомолекулярные гепарины</w:t>
            </w:r>
          </w:p>
        </w:tc>
        <w:tc>
          <w:tcPr>
            <w:tcW w:w="615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82F5308" w14:textId="77777777" w:rsidR="007001FA" w:rsidRPr="00F61D8E" w:rsidRDefault="007001FA" w:rsidP="00CD5E09">
            <w:pPr>
              <w:pStyle w:val="table-text-0"/>
              <w:spacing w:before="0" w:after="0"/>
              <w:rPr>
                <w:sz w:val="24"/>
                <w:szCs w:val="24"/>
              </w:rPr>
            </w:pPr>
            <w:r w:rsidRPr="00F61D8E">
              <w:rPr>
                <w:sz w:val="24"/>
                <w:szCs w:val="24"/>
              </w:rPr>
              <w:t>При профилактических дозах последнее введение НМГ должно быть за 12 ч до ЛП, при лечебных дозах НМГ — за 24 ч. После выполнения пункции НМГ не должны вводиться в течение 24 ч</w:t>
            </w:r>
          </w:p>
        </w:tc>
      </w:tr>
      <w:tr w:rsidR="007001FA" w:rsidRPr="003C7544" w14:paraId="32AB3B41" w14:textId="77777777" w:rsidTr="00CD5E09">
        <w:trPr>
          <w:trHeight w:val="643"/>
        </w:trPr>
        <w:tc>
          <w:tcPr>
            <w:tcW w:w="34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269364E" w14:textId="77777777" w:rsidR="007001FA" w:rsidRPr="00F61D8E" w:rsidRDefault="007001FA" w:rsidP="00CD5E09">
            <w:pPr>
              <w:pStyle w:val="table-text-0"/>
              <w:spacing w:before="0" w:after="0"/>
              <w:rPr>
                <w:sz w:val="24"/>
                <w:szCs w:val="24"/>
              </w:rPr>
            </w:pPr>
            <w:r w:rsidRPr="00F61D8E">
              <w:rPr>
                <w:sz w:val="24"/>
                <w:szCs w:val="24"/>
              </w:rPr>
              <w:t xml:space="preserve">Нефракционированный гепарин </w:t>
            </w:r>
            <w:r w:rsidRPr="00F61D8E">
              <w:rPr>
                <w:bCs/>
                <w:sz w:val="24"/>
                <w:szCs w:val="24"/>
              </w:rPr>
              <w:t>подкожно</w:t>
            </w:r>
          </w:p>
        </w:tc>
        <w:tc>
          <w:tcPr>
            <w:tcW w:w="615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955264D" w14:textId="77777777" w:rsidR="007001FA" w:rsidRPr="00F61D8E" w:rsidRDefault="007001FA" w:rsidP="00CD5E09">
            <w:pPr>
              <w:pStyle w:val="table-text-0"/>
              <w:spacing w:before="0" w:after="0"/>
              <w:rPr>
                <w:sz w:val="24"/>
                <w:szCs w:val="24"/>
              </w:rPr>
            </w:pPr>
            <w:r w:rsidRPr="00F61D8E">
              <w:rPr>
                <w:sz w:val="24"/>
                <w:szCs w:val="24"/>
              </w:rPr>
              <w:t>Нет противопоказаний при суточной дозе &lt; 10 000 МЕ, в остальных случаях см. рекомендации для в/в гепарина</w:t>
            </w:r>
          </w:p>
        </w:tc>
      </w:tr>
      <w:tr w:rsidR="007001FA" w:rsidRPr="003C7544" w14:paraId="006F2E4A" w14:textId="77777777" w:rsidTr="00CD5E09">
        <w:trPr>
          <w:trHeight w:val="928"/>
        </w:trPr>
        <w:tc>
          <w:tcPr>
            <w:tcW w:w="34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E0CF9F0" w14:textId="77777777" w:rsidR="007001FA" w:rsidRPr="00F61D8E" w:rsidRDefault="007001FA" w:rsidP="00CD5E09">
            <w:pPr>
              <w:pStyle w:val="table-text-0"/>
              <w:spacing w:before="0" w:after="0"/>
              <w:rPr>
                <w:sz w:val="24"/>
                <w:szCs w:val="24"/>
              </w:rPr>
            </w:pPr>
            <w:r w:rsidRPr="00F61D8E">
              <w:rPr>
                <w:sz w:val="24"/>
                <w:szCs w:val="24"/>
              </w:rPr>
              <w:t xml:space="preserve">Нефракционированный гепарин </w:t>
            </w:r>
            <w:r w:rsidRPr="00F61D8E">
              <w:rPr>
                <w:bCs/>
                <w:sz w:val="24"/>
                <w:szCs w:val="24"/>
              </w:rPr>
              <w:t>внутривенно</w:t>
            </w:r>
          </w:p>
        </w:tc>
        <w:tc>
          <w:tcPr>
            <w:tcW w:w="615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2DD576A" w14:textId="77777777" w:rsidR="007001FA" w:rsidRPr="00F61D8E" w:rsidRDefault="007001FA" w:rsidP="00CD5E09">
            <w:pPr>
              <w:pStyle w:val="table-text-0"/>
              <w:spacing w:before="0" w:after="0"/>
              <w:rPr>
                <w:sz w:val="24"/>
                <w:szCs w:val="24"/>
              </w:rPr>
            </w:pPr>
            <w:r w:rsidRPr="00F61D8E">
              <w:rPr>
                <w:sz w:val="24"/>
                <w:szCs w:val="24"/>
              </w:rPr>
              <w:t>Прекратить введение за 4 ч до ЛП, подтвердить нормальным АЧТВ. Повторное начало гепаринотерапии — через 1 ч после ЛП</w:t>
            </w:r>
          </w:p>
        </w:tc>
      </w:tr>
      <w:tr w:rsidR="007001FA" w:rsidRPr="003C7544" w14:paraId="7309080C" w14:textId="77777777" w:rsidTr="00CD5E09">
        <w:trPr>
          <w:trHeight w:val="882"/>
        </w:trPr>
        <w:tc>
          <w:tcPr>
            <w:tcW w:w="34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44F89E0" w14:textId="77777777" w:rsidR="007001FA" w:rsidRPr="00F61D8E" w:rsidRDefault="007001FA" w:rsidP="00CD5E09">
            <w:pPr>
              <w:pStyle w:val="table-text-0"/>
              <w:spacing w:before="0" w:after="0"/>
              <w:rPr>
                <w:sz w:val="24"/>
                <w:szCs w:val="24"/>
              </w:rPr>
            </w:pPr>
            <w:r w:rsidRPr="00F61D8E">
              <w:rPr>
                <w:sz w:val="24"/>
                <w:szCs w:val="24"/>
              </w:rPr>
              <w:t xml:space="preserve">Дезагреганты </w:t>
            </w:r>
          </w:p>
        </w:tc>
        <w:tc>
          <w:tcPr>
            <w:tcW w:w="615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A6941AB" w14:textId="77777777" w:rsidR="007001FA" w:rsidRPr="00F61D8E" w:rsidRDefault="007001FA" w:rsidP="00CD5E09">
            <w:pPr>
              <w:pStyle w:val="table-text-0"/>
              <w:spacing w:before="0" w:after="0"/>
              <w:rPr>
                <w:sz w:val="24"/>
                <w:szCs w:val="24"/>
              </w:rPr>
            </w:pPr>
            <w:r w:rsidRPr="00F61D8E">
              <w:rPr>
                <w:sz w:val="24"/>
                <w:szCs w:val="24"/>
              </w:rPr>
              <w:t>Нет противопоказаний при приеме аспирина или НПВП. Клопидогрель (Плавикс) и тиклопидин (Тиклид) должны быть отменены за 7 и 14 сут до ЛП, соответственно</w:t>
            </w:r>
          </w:p>
        </w:tc>
      </w:tr>
      <w:tr w:rsidR="007001FA" w:rsidRPr="00F61D8E" w14:paraId="13BD65EE" w14:textId="77777777" w:rsidTr="00CD5E09">
        <w:trPr>
          <w:trHeight w:val="643"/>
        </w:trPr>
        <w:tc>
          <w:tcPr>
            <w:tcW w:w="34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C86A6C7" w14:textId="77777777" w:rsidR="007001FA" w:rsidRPr="00F61D8E" w:rsidRDefault="007001FA" w:rsidP="00CD5E09">
            <w:pPr>
              <w:pStyle w:val="table-text-0"/>
              <w:spacing w:before="0" w:after="0"/>
              <w:rPr>
                <w:sz w:val="24"/>
                <w:szCs w:val="24"/>
              </w:rPr>
            </w:pPr>
            <w:r w:rsidRPr="00F61D8E">
              <w:rPr>
                <w:sz w:val="24"/>
                <w:szCs w:val="24"/>
              </w:rPr>
              <w:t>Тромболитики/фибринолитики</w:t>
            </w:r>
          </w:p>
        </w:tc>
        <w:tc>
          <w:tcPr>
            <w:tcW w:w="615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4B8E1DC" w14:textId="77777777" w:rsidR="007001FA" w:rsidRPr="00F61D8E" w:rsidRDefault="007001FA" w:rsidP="00CD5E09">
            <w:pPr>
              <w:pStyle w:val="table-text-0"/>
              <w:spacing w:before="0" w:after="0"/>
              <w:rPr>
                <w:sz w:val="24"/>
                <w:szCs w:val="24"/>
              </w:rPr>
            </w:pPr>
            <w:r w:rsidRPr="00F61D8E">
              <w:rPr>
                <w:sz w:val="24"/>
                <w:szCs w:val="24"/>
              </w:rPr>
              <w:t>Нет данных о безопасном интервале. Следить за уровнем фибриногена</w:t>
            </w:r>
          </w:p>
        </w:tc>
      </w:tr>
    </w:tbl>
    <w:p w14:paraId="63FC06FE" w14:textId="77777777" w:rsidR="007001FA" w:rsidRPr="00F61D8E" w:rsidRDefault="007001FA" w:rsidP="007001FA"/>
    <w:p w14:paraId="56A52C91" w14:textId="77777777" w:rsidR="007001FA" w:rsidRPr="00F61D8E" w:rsidRDefault="007001FA" w:rsidP="007001FA">
      <w:pPr>
        <w:ind w:firstLine="709"/>
      </w:pPr>
      <w:r w:rsidRPr="00F61D8E">
        <w:t>У пациентов с коагулологическими нарушениями необходимо предусмотреть условия, минимизирующие опасность геморрагических осложнений:</w:t>
      </w:r>
    </w:p>
    <w:p w14:paraId="19AB9EE7" w14:textId="11EF71A1" w:rsidR="007001FA" w:rsidRPr="00F61D8E" w:rsidRDefault="00604E24" w:rsidP="008C1767">
      <w:pPr>
        <w:pStyle w:val="FitzBullet"/>
        <w:widowControl w:val="0"/>
        <w:numPr>
          <w:ilvl w:val="0"/>
          <w:numId w:val="186"/>
        </w:numPr>
        <w:spacing w:before="0" w:after="0"/>
        <w:jc w:val="both"/>
      </w:pPr>
      <w:r w:rsidRPr="008E07CB">
        <w:t xml:space="preserve">При дефиците факторов </w:t>
      </w:r>
      <w:r w:rsidRPr="008E07CB">
        <w:rPr>
          <w:lang w:val="en-US"/>
        </w:rPr>
        <w:t>VIII</w:t>
      </w:r>
      <w:r w:rsidRPr="008E07CB">
        <w:t xml:space="preserve">, </w:t>
      </w:r>
      <w:r w:rsidRPr="008E07CB">
        <w:rPr>
          <w:lang w:val="en-US"/>
        </w:rPr>
        <w:t>IX</w:t>
      </w:r>
      <w:r w:rsidRPr="008E07CB">
        <w:t> </w:t>
      </w:r>
      <w:r w:rsidR="007001FA" w:rsidRPr="00F61D8E">
        <w:t xml:space="preserve"> — для проведения ЛП достаточно повышение уровня дефицитного фактора </w:t>
      </w:r>
      <w:r w:rsidR="007001FA" w:rsidRPr="00D841F2">
        <w:t>&gt;</w:t>
      </w:r>
      <w:r w:rsidR="007001FA" w:rsidRPr="00F61D8E">
        <w:t> 40%.</w:t>
      </w:r>
    </w:p>
    <w:p w14:paraId="67FBD0CB" w14:textId="4871383D" w:rsidR="007001FA" w:rsidRPr="00F61D8E" w:rsidRDefault="00604E24" w:rsidP="008C1767">
      <w:pPr>
        <w:pStyle w:val="FitzBullet"/>
        <w:widowControl w:val="0"/>
        <w:numPr>
          <w:ilvl w:val="0"/>
          <w:numId w:val="186"/>
        </w:numPr>
        <w:spacing w:before="0" w:after="0"/>
        <w:jc w:val="both"/>
      </w:pPr>
      <w:r>
        <w:t>При т</w:t>
      </w:r>
      <w:r w:rsidR="007001FA" w:rsidRPr="00F61D8E">
        <w:t>ромбоцитопени</w:t>
      </w:r>
      <w:r>
        <w:t>и</w:t>
      </w:r>
      <w:r w:rsidR="007001FA" w:rsidRPr="00F61D8E">
        <w:t xml:space="preserve"> — противопоказанием служит уровень тромбоцитов ниже 20</w:t>
      </w:r>
      <w:r w:rsidR="007001FA" w:rsidRPr="00D841F2">
        <w:t xml:space="preserve"> </w:t>
      </w:r>
      <w:r w:rsidR="007001FA" w:rsidRPr="00F61D8E">
        <w:t>х</w:t>
      </w:r>
      <w:r w:rsidR="007001FA" w:rsidRPr="00D841F2">
        <w:t xml:space="preserve"> </w:t>
      </w:r>
      <w:r w:rsidR="007001FA" w:rsidRPr="00F61D8E">
        <w:t>10</w:t>
      </w:r>
      <w:r w:rsidR="007001FA" w:rsidRPr="00F61D8E">
        <w:rPr>
          <w:vertAlign w:val="superscript"/>
        </w:rPr>
        <w:t>9</w:t>
      </w:r>
      <w:r w:rsidR="007001FA" w:rsidRPr="00F61D8E">
        <w:t>/л.</w:t>
      </w:r>
    </w:p>
    <w:p w14:paraId="4285E386" w14:textId="29E6DEDE" w:rsidR="007001FA" w:rsidRPr="00F61D8E" w:rsidRDefault="00604E24" w:rsidP="008C1767">
      <w:pPr>
        <w:pStyle w:val="FitzBullet"/>
        <w:widowControl w:val="0"/>
        <w:numPr>
          <w:ilvl w:val="0"/>
          <w:numId w:val="186"/>
        </w:numPr>
        <w:spacing w:before="0" w:after="0"/>
        <w:jc w:val="both"/>
      </w:pPr>
      <w:r w:rsidRPr="008E07CB">
        <w:t>При дефиците фактора Виллебранда </w:t>
      </w:r>
      <w:r w:rsidR="007001FA" w:rsidRPr="00F61D8E">
        <w:t> — ЛП можно выполнять при плазменной активности фактора Виллебранда &gt; 50%.</w:t>
      </w:r>
    </w:p>
    <w:p w14:paraId="2576551D" w14:textId="77777777" w:rsidR="007001FA" w:rsidRDefault="007001FA" w:rsidP="004905C2">
      <w:pPr>
        <w:pStyle w:val="2"/>
      </w:pPr>
    </w:p>
    <w:p w14:paraId="47ABED4F" w14:textId="5ED351B4" w:rsidR="007001FA" w:rsidRPr="00B611F7" w:rsidRDefault="007001FA" w:rsidP="007001FA">
      <w:pPr>
        <w:ind w:firstLine="708"/>
        <w:rPr>
          <w:b/>
          <w:bCs/>
          <w:u w:val="single"/>
        </w:rPr>
      </w:pPr>
      <w:r w:rsidRPr="00B611F7">
        <w:rPr>
          <w:u w:val="single"/>
        </w:rPr>
        <w:t xml:space="preserve">Обработка кожи перед ЛП </w:t>
      </w:r>
      <w:r w:rsidRPr="00B611F7">
        <w:rPr>
          <w:b/>
          <w:bCs/>
          <w:u w:val="single"/>
        </w:rPr>
        <w:fldChar w:fldCharType="begin" w:fldLock="1"/>
      </w:r>
      <w:r w:rsidR="00A67ED2">
        <w:rPr>
          <w:u w:val="single"/>
        </w:rPr>
        <w:instrText>ADDIN CSL_CITATION {"citationItems":[{"id":"ITEM-1","itemData":{"author":[{"dropping-particle":"","family":"Fong","given":"B.","non-dropping-particle":"","parse-names":false,"suffix":""},{"dropping-particle":"","family":"Bendegon","given":"J. M.","non-dropping-particle":"Van","parse-names":false,"suffix":""}],"container-title":"Rechman, E.F., Simon, R.R., eds. Emergency Medicine Procedures","id":"ITEM-1","issued":{"date-parts":[["2004"]]},"page":"859-880","publisher":"New York: McGraw-Hill","title":"Lumbar puncture. Neurologic and neurosurgical procedures","type":"chapter"},"uris":["http://www.mendeley.com/documents/?uuid=a67dc750-5040-4374-a1b2-800ecfc67c59"]}],"mendeley":{"formattedCitation":"[175]","plainTextFormattedCitation":"[175]","previouslyFormattedCitation":"[155]"},"properties":{"noteIndex":0},"schema":"https://github.com/citation-style-language/schema/raw/master/csl-citation.json"}</w:instrText>
      </w:r>
      <w:r w:rsidRPr="00B611F7">
        <w:rPr>
          <w:b/>
          <w:bCs/>
          <w:u w:val="single"/>
        </w:rPr>
        <w:fldChar w:fldCharType="separate"/>
      </w:r>
      <w:r w:rsidR="00A67ED2" w:rsidRPr="00A67ED2">
        <w:rPr>
          <w:noProof/>
        </w:rPr>
        <w:t>[175]</w:t>
      </w:r>
      <w:r w:rsidRPr="00B611F7">
        <w:rPr>
          <w:b/>
          <w:bCs/>
          <w:u w:val="single"/>
        </w:rPr>
        <w:fldChar w:fldCharType="end"/>
      </w:r>
    </w:p>
    <w:p w14:paraId="29BBDD3F" w14:textId="77777777" w:rsidR="007001FA" w:rsidRPr="00F61D8E" w:rsidRDefault="007001FA" w:rsidP="007001FA">
      <w:pPr>
        <w:ind w:firstLine="709"/>
      </w:pPr>
      <w:r w:rsidRPr="00F61D8E">
        <w:t xml:space="preserve">Для обработки кожи могут использоваться раствор хлоргексидина или водные растворы йода. При обработке необходимо выполнять круговые движения от центра (места пункции) к периферии. </w:t>
      </w:r>
    </w:p>
    <w:p w14:paraId="272382CB" w14:textId="77777777" w:rsidR="007001FA" w:rsidRPr="00F61D8E" w:rsidRDefault="007001FA" w:rsidP="007001FA">
      <w:pPr>
        <w:ind w:firstLine="709"/>
      </w:pPr>
      <w:r w:rsidRPr="00F61D8E">
        <w:lastRenderedPageBreak/>
        <w:t>Если используются растворы, содержащие йод, стерильной салфеткой дополнительно необходимо протереть поле перед введением анестетиков, так как йод обладает нейротоксичностью.</w:t>
      </w:r>
    </w:p>
    <w:p w14:paraId="185D7579" w14:textId="77777777" w:rsidR="007001FA" w:rsidRDefault="007001FA" w:rsidP="004905C2">
      <w:pPr>
        <w:pStyle w:val="2"/>
      </w:pPr>
    </w:p>
    <w:p w14:paraId="5470609F" w14:textId="0CA6D8A0" w:rsidR="007001FA" w:rsidRPr="00B611F7" w:rsidRDefault="007001FA" w:rsidP="007001FA">
      <w:pPr>
        <w:ind w:left="1" w:firstLine="708"/>
        <w:rPr>
          <w:b/>
          <w:bCs/>
          <w:u w:val="single"/>
        </w:rPr>
      </w:pPr>
      <w:r w:rsidRPr="00B611F7">
        <w:rPr>
          <w:u w:val="single"/>
        </w:rPr>
        <w:t xml:space="preserve">Позиционирование поля для выполнения ЛП </w:t>
      </w:r>
      <w:r w:rsidRPr="00B611F7">
        <w:rPr>
          <w:b/>
          <w:bCs/>
          <w:u w:val="single"/>
        </w:rPr>
        <w:fldChar w:fldCharType="begin" w:fldLock="1"/>
      </w:r>
      <w:r w:rsidR="00A67ED2">
        <w:rPr>
          <w:u w:val="single"/>
        </w:rPr>
        <w:instrText>ADDIN CSL_CITATION {"citationItems":[{"id":"ITEM-1","itemData":{"author":[{"dropping-particle":"","family":"Fong","given":"B.","non-dropping-particle":"","parse-names":false,"suffix":""},{"dropping-particle":"","family":"Bendegon","given":"J. M.","non-dropping-particle":"Van","parse-names":false,"suffix":""}],"container-title":"Rechman, E.F., Simon, R.R., eds. Emergency Medicine Procedures","id":"ITEM-1","issued":{"date-parts":[["2004"]]},"page":"859-880","publisher":"New York: McGraw-Hill","title":"Lumbar puncture. Neurologic and neurosurgical procedures","type":"chapter"},"uris":["http://www.mendeley.com/documents/?uuid=a67dc750-5040-4374-a1b2-800ecfc67c59"]}],"mendeley":{"formattedCitation":"[175]","plainTextFormattedCitation":"[175]","previouslyFormattedCitation":"[155]"},"properties":{"noteIndex":0},"schema":"https://github.com/citation-style-language/schema/raw/master/csl-citation.json"}</w:instrText>
      </w:r>
      <w:r w:rsidRPr="00B611F7">
        <w:rPr>
          <w:b/>
          <w:bCs/>
          <w:u w:val="single"/>
        </w:rPr>
        <w:fldChar w:fldCharType="separate"/>
      </w:r>
      <w:r w:rsidR="00A67ED2" w:rsidRPr="00A67ED2">
        <w:rPr>
          <w:noProof/>
        </w:rPr>
        <w:t>[175]</w:t>
      </w:r>
      <w:r w:rsidRPr="00B611F7">
        <w:rPr>
          <w:b/>
          <w:bCs/>
          <w:u w:val="single"/>
        </w:rPr>
        <w:fldChar w:fldCharType="end"/>
      </w:r>
    </w:p>
    <w:p w14:paraId="7637A068" w14:textId="77777777" w:rsidR="007001FA" w:rsidRPr="00F61D8E" w:rsidRDefault="007001FA" w:rsidP="007001FA">
      <w:pPr>
        <w:ind w:firstLine="709"/>
      </w:pPr>
      <w:r w:rsidRPr="00F61D8E">
        <w:t xml:space="preserve">Пункция выполняется между L3—L4, что соответствует пересечению позвоночного столба с линией, проведенной между гребнями двух подвздошных костей </w:t>
      </w:r>
    </w:p>
    <w:p w14:paraId="4F119E28" w14:textId="77777777" w:rsidR="007001FA" w:rsidRPr="00F61D8E" w:rsidRDefault="007001FA" w:rsidP="007001FA">
      <w:pPr>
        <w:ind w:firstLine="709"/>
      </w:pPr>
      <w:r w:rsidRPr="00F61D8E">
        <w:t>У взрослых спинной мозг оканчивается на нижнем крае L1, поэтому игла, введенная в субарахноидальное пространство ниже этого уровня, окажется в мешке, содержащем «конский хвост», «плавающий» в спиномозговой жидкости (СМЖ).</w:t>
      </w:r>
    </w:p>
    <w:p w14:paraId="71ED3F6B" w14:textId="77777777" w:rsidR="007001FA" w:rsidRPr="00F61D8E" w:rsidRDefault="007001FA" w:rsidP="007001FA">
      <w:pPr>
        <w:ind w:firstLine="709"/>
      </w:pPr>
      <w:r w:rsidRPr="00F61D8E">
        <w:t>У больных с ожирением выбрать место пункции в 100% помогает ультразвуковой контроль.</w:t>
      </w:r>
    </w:p>
    <w:p w14:paraId="35A6D260" w14:textId="77777777" w:rsidR="007001FA" w:rsidRDefault="007001FA" w:rsidP="004905C2">
      <w:pPr>
        <w:pStyle w:val="2"/>
      </w:pPr>
    </w:p>
    <w:p w14:paraId="5BE172EE" w14:textId="2D62D2CA" w:rsidR="007001FA" w:rsidRPr="00B611F7" w:rsidRDefault="007001FA" w:rsidP="007001FA">
      <w:pPr>
        <w:ind w:left="1" w:firstLine="708"/>
        <w:rPr>
          <w:b/>
          <w:bCs/>
          <w:u w:val="single"/>
        </w:rPr>
      </w:pPr>
      <w:r w:rsidRPr="00B611F7">
        <w:rPr>
          <w:u w:val="single"/>
        </w:rPr>
        <w:t xml:space="preserve">Локальная анестезия </w:t>
      </w:r>
      <w:r w:rsidRPr="00B611F7">
        <w:rPr>
          <w:b/>
          <w:bCs/>
          <w:u w:val="single"/>
        </w:rPr>
        <w:fldChar w:fldCharType="begin" w:fldLock="1"/>
      </w:r>
      <w:r w:rsidR="00A67ED2">
        <w:rPr>
          <w:u w:val="single"/>
        </w:rPr>
        <w:instrText>ADDIN CSL_CITATION {"citationItems":[{"id":"ITEM-1","itemData":{"author":[{"dropping-particle":"","family":"Fong","given":"B.","non-dropping-particle":"","parse-names":false,"suffix":""},{"dropping-particle":"","family":"Bendegon","given":"J. M.","non-dropping-particle":"Van","parse-names":false,"suffix":""}],"container-title":"Rechman, E.F., Simon, R.R., eds. Emergency Medicine Procedures","id":"ITEM-1","issued":{"date-parts":[["2004"]]},"page":"859-880","publisher":"New York: McGraw-Hill","title":"Lumbar puncture. Neurologic and neurosurgical procedures","type":"chapter"},"uris":["http://www.mendeley.com/documents/?uuid=a67dc750-5040-4374-a1b2-800ecfc67c59"]}],"mendeley":{"formattedCitation":"[175]","plainTextFormattedCitation":"[175]","previouslyFormattedCitation":"[155]"},"properties":{"noteIndex":0},"schema":"https://github.com/citation-style-language/schema/raw/master/csl-citation.json"}</w:instrText>
      </w:r>
      <w:r w:rsidRPr="00B611F7">
        <w:rPr>
          <w:b/>
          <w:bCs/>
          <w:u w:val="single"/>
        </w:rPr>
        <w:fldChar w:fldCharType="separate"/>
      </w:r>
      <w:r w:rsidR="00A67ED2" w:rsidRPr="00A67ED2">
        <w:rPr>
          <w:noProof/>
        </w:rPr>
        <w:t>[175]</w:t>
      </w:r>
      <w:r w:rsidRPr="00B611F7">
        <w:rPr>
          <w:b/>
          <w:bCs/>
          <w:u w:val="single"/>
        </w:rPr>
        <w:fldChar w:fldCharType="end"/>
      </w:r>
    </w:p>
    <w:p w14:paraId="73030E4B" w14:textId="77777777" w:rsidR="007001FA" w:rsidRPr="00F61D8E" w:rsidRDefault="007001FA" w:rsidP="007001FA">
      <w:pPr>
        <w:ind w:firstLine="709"/>
      </w:pPr>
      <w:r w:rsidRPr="00F61D8E">
        <w:t>Для анестезии кожи и нижележащих тканей применяется локальная (местная) анестезия. Может быть использовано до 5 мл 2% лидокаина для инфильтрации (внутрикожно, подкожно, затем глубже). Необходимо постоянно подтягивать поршень шприца, чтобы убедиться, что в шприц не поступает кровь или СМЖ (особенно у худых пациентов).</w:t>
      </w:r>
    </w:p>
    <w:p w14:paraId="57483A6C" w14:textId="6396212F" w:rsidR="007001FA" w:rsidRPr="00B611F7" w:rsidRDefault="007001FA" w:rsidP="007001FA">
      <w:pPr>
        <w:ind w:left="1" w:firstLine="708"/>
        <w:rPr>
          <w:b/>
          <w:bCs/>
          <w:u w:val="single"/>
        </w:rPr>
      </w:pPr>
      <w:r w:rsidRPr="00B611F7">
        <w:rPr>
          <w:u w:val="single"/>
        </w:rPr>
        <w:t xml:space="preserve">Выполнение ЛП </w:t>
      </w:r>
      <w:r w:rsidRPr="00B611F7">
        <w:rPr>
          <w:b/>
          <w:bCs/>
          <w:u w:val="single"/>
        </w:rPr>
        <w:fldChar w:fldCharType="begin" w:fldLock="1"/>
      </w:r>
      <w:r w:rsidR="00A67ED2">
        <w:rPr>
          <w:u w:val="single"/>
        </w:rPr>
        <w:instrText>ADDIN CSL_CITATION {"citationItems":[{"id":"ITEM-1","itemData":{"author":[{"dropping-particle":"","family":"Fong","given":"B.","non-dropping-particle":"","parse-names":false,"suffix":""},{"dropping-particle":"","family":"Bendegon","given":"J. M.","non-dropping-particle":"Van","parse-names":false,"suffix":""}],"container-title":"Rechman, E.F., Simon, R.R., eds. Emergency Medicine Procedures","id":"ITEM-1","issued":{"date-parts":[["2004"]]},"page":"859-880","publisher":"New York: McGraw-Hill","title":"Lumbar puncture. Neurologic and neurosurgical procedures","type":"chapter"},"uris":["http://www.mendeley.com/documents/?uuid=a67dc750-5040-4374-a1b2-800ecfc67c59"]}],"mendeley":{"formattedCitation":"[175]","plainTextFormattedCitation":"[175]","previouslyFormattedCitation":"[155]"},"properties":{"noteIndex":0},"schema":"https://github.com/citation-style-language/schema/raw/master/csl-citation.json"}</w:instrText>
      </w:r>
      <w:r w:rsidRPr="00B611F7">
        <w:rPr>
          <w:b/>
          <w:bCs/>
          <w:u w:val="single"/>
        </w:rPr>
        <w:fldChar w:fldCharType="separate"/>
      </w:r>
      <w:r w:rsidR="00A67ED2" w:rsidRPr="00A67ED2">
        <w:rPr>
          <w:noProof/>
        </w:rPr>
        <w:t>[175]</w:t>
      </w:r>
      <w:r w:rsidRPr="00B611F7">
        <w:rPr>
          <w:b/>
          <w:bCs/>
          <w:u w:val="single"/>
        </w:rPr>
        <w:fldChar w:fldCharType="end"/>
      </w:r>
    </w:p>
    <w:p w14:paraId="08F61FB9" w14:textId="77777777" w:rsidR="007001FA" w:rsidRPr="00F61D8E" w:rsidRDefault="007001FA" w:rsidP="007001FA">
      <w:pPr>
        <w:ind w:firstLine="709"/>
      </w:pPr>
      <w:r w:rsidRPr="00F61D8E">
        <w:t xml:space="preserve">Пункцию спинномозгового пространства проводят в положении больного сидя или лежа на боку с хорошо согнутым позвоночником, прижатыми к животу бедрами и пригнутой к груди головой. </w:t>
      </w:r>
    </w:p>
    <w:p w14:paraId="652BB18E" w14:textId="77777777" w:rsidR="007001FA" w:rsidRPr="00F61D8E" w:rsidRDefault="007001FA" w:rsidP="007001FA">
      <w:pPr>
        <w:ind w:firstLine="709"/>
      </w:pPr>
      <w:r w:rsidRPr="00F61D8E">
        <w:t xml:space="preserve">Поскольку сама игла для ЛП (Spinocan 22G) тонкая и может изгибаться при прохождении через кожу, межостистую связку и желтую связку, в качестве интродьюсера при ЛП используется короткая игла размером 18G с розовым павильоном. После обезболивания области пункции иглой 18G прокалывают кожу. Игла проводится строго по средней линии между остистыми отростками позвонков под небольшим углом (не более 150 градусов) в соответствии с наклоном остистых отростков позвонков. Игла проводится на глубину не более 2—3 см (кожа, межостистая связка). Затем в нее вставляется игла для спинномозговой пункции (Spinocan 22G) со вставленным мандреном. Иглу продвигают в том же направлении. Сопротивление плотных тканей внезапно исчезает после прокола желтой связки. После этого извлекают мандрен и продвигают иглу на 2—3 мм, прокалывая твердую мозговую оболочку. Мандрен сохраняют в стерильном виде. </w:t>
      </w:r>
    </w:p>
    <w:p w14:paraId="58477B03" w14:textId="77777777" w:rsidR="007001FA" w:rsidRPr="00F61D8E" w:rsidRDefault="007001FA" w:rsidP="007001FA">
      <w:pPr>
        <w:ind w:firstLine="709"/>
      </w:pPr>
      <w:r w:rsidRPr="00F61D8E">
        <w:t xml:space="preserve">Истечение ликвора из павильона иглы — признак ее локализации в </w:t>
      </w:r>
      <w:r w:rsidRPr="00F61D8E">
        <w:lastRenderedPageBreak/>
        <w:t xml:space="preserve">субарахноидальном пространстве. При низком давлении ликвора по тонкой игле 22G ликвор может самостоятельно не поступать, в этих случаях получить верифицировать положение иглы и получить ликвор можно с помощью активной осторожной аспирации небольшим шприцем (2 мл). С помощью осторожной аспирации набирается 4 шприца по 2 мл. Суммарно получают 8 мл СМЖ, направляемую на необходимые исследования. </w:t>
      </w:r>
    </w:p>
    <w:p w14:paraId="4947078B" w14:textId="77777777" w:rsidR="007001FA" w:rsidRPr="00F61D8E" w:rsidRDefault="007001FA" w:rsidP="007001FA">
      <w:pPr>
        <w:ind w:firstLine="709"/>
      </w:pPr>
      <w:r w:rsidRPr="00F61D8E">
        <w:t xml:space="preserve">После завершения ЛП и получения материала на исследование </w:t>
      </w:r>
      <w:r w:rsidRPr="00F61D8E">
        <w:rPr>
          <w:bCs/>
        </w:rPr>
        <w:t>вставляют мандрен обратно в иглу и удаляют иглу вместе с мандреном.</w:t>
      </w:r>
      <w:r w:rsidRPr="00F61D8E">
        <w:t xml:space="preserve"> Это позволяет уменьшить частоту возникновения головных болей после ЛП. </w:t>
      </w:r>
    </w:p>
    <w:p w14:paraId="44F93716" w14:textId="77777777" w:rsidR="007001FA" w:rsidRDefault="007001FA" w:rsidP="007001FA">
      <w:pPr>
        <w:ind w:firstLine="709"/>
        <w:rPr>
          <w:u w:val="single"/>
        </w:rPr>
      </w:pPr>
    </w:p>
    <w:p w14:paraId="27C32DCC" w14:textId="71D39118" w:rsidR="007001FA" w:rsidRPr="00757D98" w:rsidRDefault="007001FA" w:rsidP="007001FA">
      <w:pPr>
        <w:ind w:firstLine="709"/>
        <w:rPr>
          <w:i/>
          <w:iCs/>
          <w:u w:val="single"/>
        </w:rPr>
      </w:pPr>
      <w:r w:rsidRPr="00757D98">
        <w:rPr>
          <w:i/>
          <w:iCs/>
          <w:u w:val="single"/>
        </w:rPr>
        <w:t>Исследования СМЖ</w:t>
      </w:r>
      <w:r w:rsidRPr="00142831">
        <w:rPr>
          <w:i/>
          <w:iCs/>
          <w:u w:val="single"/>
        </w:rPr>
        <w:t xml:space="preserve"> </w:t>
      </w:r>
      <w:r w:rsidRPr="00142831">
        <w:rPr>
          <w:i/>
          <w:iCs/>
          <w:u w:val="single"/>
        </w:rPr>
        <w:fldChar w:fldCharType="begin" w:fldLock="1"/>
      </w:r>
      <w:r w:rsidR="00A67ED2">
        <w:rPr>
          <w:i/>
          <w:iCs/>
          <w:u w:val="single"/>
        </w:rPr>
        <w:instrText>ADDIN CSL_CITATION {"citationItems":[{"id":"ITEM-1","itemData":{"author":[{"dropping-particle":"","family":"Fong","given":"B.","non-dropping-particle":"","parse-names":false,"suffix":""},{"dropping-particle":"","family":"Bendegon","given":"J. M.","non-dropping-particle":"Van","parse-names":false,"suffix":""}],"container-title":"Rechman, E.F., Simon, R.R., eds. Emergency Medicine Procedures","id":"ITEM-1","issued":{"date-parts":[["2004"]]},"page":"859-880","publisher":"New York: McGraw-Hill","title":"Lumbar puncture. Neurologic and neurosurgical procedures","type":"chapter"},"uris":["http://www.mendeley.com/documents/?uuid=a67dc750-5040-4374-a1b2-800ecfc67c59"]}],"mendeley":{"formattedCitation":"[175]","plainTextFormattedCitation":"[175]","previouslyFormattedCitation":"[155]"},"properties":{"noteIndex":0},"schema":"https://github.com/citation-style-language/schema/raw/master/csl-citation.json"}</w:instrText>
      </w:r>
      <w:r w:rsidRPr="00142831">
        <w:rPr>
          <w:i/>
          <w:iCs/>
          <w:u w:val="single"/>
        </w:rPr>
        <w:fldChar w:fldCharType="separate"/>
      </w:r>
      <w:r w:rsidR="00A67ED2" w:rsidRPr="00A67ED2">
        <w:rPr>
          <w:iCs/>
          <w:noProof/>
        </w:rPr>
        <w:t>[175]</w:t>
      </w:r>
      <w:r w:rsidRPr="00142831">
        <w:rPr>
          <w:i/>
          <w:iCs/>
          <w:u w:val="single"/>
        </w:rPr>
        <w:fldChar w:fldCharType="end"/>
      </w:r>
      <w:r w:rsidRPr="00757D98">
        <w:rPr>
          <w:i/>
          <w:iCs/>
          <w:u w:val="single"/>
        </w:rPr>
        <w:t>:</w:t>
      </w:r>
    </w:p>
    <w:p w14:paraId="05C0A6AE" w14:textId="77777777" w:rsidR="007001FA" w:rsidRPr="00F61D8E" w:rsidRDefault="007001FA" w:rsidP="008C1767">
      <w:pPr>
        <w:pStyle w:val="afff3"/>
        <w:numPr>
          <w:ilvl w:val="0"/>
          <w:numId w:val="53"/>
        </w:numPr>
        <w:autoSpaceDE/>
        <w:autoSpaceDN/>
        <w:adjustRightInd/>
      </w:pPr>
      <w:r w:rsidRPr="00F61D8E">
        <w:t xml:space="preserve">Общий (клинический) анализ спинномозговой жидкости </w:t>
      </w:r>
    </w:p>
    <w:p w14:paraId="4AC72432" w14:textId="77777777" w:rsidR="007001FA" w:rsidRPr="00F61D8E" w:rsidRDefault="007001FA" w:rsidP="008C1767">
      <w:pPr>
        <w:pStyle w:val="afff3"/>
        <w:numPr>
          <w:ilvl w:val="0"/>
          <w:numId w:val="53"/>
        </w:numPr>
        <w:autoSpaceDE/>
        <w:autoSpaceDN/>
        <w:adjustRightInd/>
      </w:pPr>
      <w:r w:rsidRPr="00F61D8E">
        <w:t>Цитологическое исследование клеток спинномозговой жидкости</w:t>
      </w:r>
    </w:p>
    <w:p w14:paraId="54C47AD7" w14:textId="77777777" w:rsidR="007001FA" w:rsidRPr="00F61D8E" w:rsidRDefault="007001FA" w:rsidP="008C1767">
      <w:pPr>
        <w:pStyle w:val="afff3"/>
        <w:numPr>
          <w:ilvl w:val="0"/>
          <w:numId w:val="53"/>
        </w:numPr>
        <w:autoSpaceDE/>
        <w:autoSpaceDN/>
        <w:adjustRightInd/>
      </w:pPr>
      <w:r w:rsidRPr="00F61D8E">
        <w:t>Определение крови в спинномозговой жидкости</w:t>
      </w:r>
    </w:p>
    <w:p w14:paraId="10A95A6F" w14:textId="77777777" w:rsidR="007001FA" w:rsidRPr="00F61D8E" w:rsidRDefault="007001FA" w:rsidP="008C1767">
      <w:pPr>
        <w:pStyle w:val="afff3"/>
        <w:numPr>
          <w:ilvl w:val="0"/>
          <w:numId w:val="53"/>
        </w:numPr>
        <w:autoSpaceDE/>
        <w:autoSpaceDN/>
        <w:adjustRightInd/>
      </w:pPr>
      <w:r w:rsidRPr="00F61D8E">
        <w:t>Исследование уровня белка в спинномозговой жидкости</w:t>
      </w:r>
    </w:p>
    <w:p w14:paraId="4BFEFD03" w14:textId="77777777" w:rsidR="007001FA" w:rsidRPr="00F61D8E" w:rsidRDefault="007001FA" w:rsidP="008C1767">
      <w:pPr>
        <w:pStyle w:val="afff3"/>
        <w:numPr>
          <w:ilvl w:val="0"/>
          <w:numId w:val="53"/>
        </w:numPr>
        <w:autoSpaceDE/>
        <w:autoSpaceDN/>
        <w:adjustRightInd/>
      </w:pPr>
      <w:r w:rsidRPr="00F61D8E">
        <w:t>Тесты на аномальный белок в спинномозговой жидкости</w:t>
      </w:r>
    </w:p>
    <w:p w14:paraId="103D27C5" w14:textId="77777777" w:rsidR="007001FA" w:rsidRPr="00F61D8E" w:rsidRDefault="007001FA" w:rsidP="008C1767">
      <w:pPr>
        <w:pStyle w:val="afff3"/>
        <w:numPr>
          <w:ilvl w:val="0"/>
          <w:numId w:val="53"/>
        </w:numPr>
        <w:autoSpaceDE/>
        <w:autoSpaceDN/>
        <w:adjustRightInd/>
      </w:pPr>
      <w:r w:rsidRPr="00F61D8E">
        <w:t>Исследование физических свойств спинномозговой жидкости</w:t>
      </w:r>
    </w:p>
    <w:p w14:paraId="152B7594" w14:textId="77777777" w:rsidR="007001FA" w:rsidRPr="00F61D8E" w:rsidRDefault="007001FA" w:rsidP="008C1767">
      <w:pPr>
        <w:pStyle w:val="afff3"/>
        <w:numPr>
          <w:ilvl w:val="0"/>
          <w:numId w:val="53"/>
        </w:numPr>
        <w:autoSpaceDE/>
        <w:autoSpaceDN/>
        <w:adjustRightInd/>
      </w:pPr>
      <w:r w:rsidRPr="00F61D8E">
        <w:t>Исследование уровня лактата в спинномозговой жидкости</w:t>
      </w:r>
    </w:p>
    <w:p w14:paraId="3F4A6D68" w14:textId="77777777" w:rsidR="007001FA" w:rsidRPr="00F61D8E" w:rsidRDefault="007001FA" w:rsidP="008C1767">
      <w:pPr>
        <w:pStyle w:val="afff3"/>
        <w:numPr>
          <w:ilvl w:val="0"/>
          <w:numId w:val="53"/>
        </w:numPr>
        <w:autoSpaceDE/>
        <w:autoSpaceDN/>
        <w:adjustRightInd/>
      </w:pPr>
      <w:r w:rsidRPr="00F61D8E">
        <w:t>Исследование уровня глюкозы в спинномозговой жидкости</w:t>
      </w:r>
    </w:p>
    <w:p w14:paraId="255402ED" w14:textId="77777777" w:rsidR="007001FA" w:rsidRDefault="007001FA" w:rsidP="008C1767">
      <w:pPr>
        <w:pStyle w:val="afff3"/>
        <w:numPr>
          <w:ilvl w:val="0"/>
          <w:numId w:val="53"/>
        </w:numPr>
        <w:autoSpaceDE/>
        <w:autoSpaceDN/>
        <w:adjustRightInd/>
      </w:pPr>
      <w:r w:rsidRPr="00F61D8E">
        <w:t>Микроскопическое исследование спинномозговой жидкости, подсчет клеток в счетной камере (определение цитоза)</w:t>
      </w:r>
    </w:p>
    <w:p w14:paraId="23011744" w14:textId="77777777" w:rsidR="007001FA" w:rsidRPr="00DA5B95" w:rsidRDefault="007001FA" w:rsidP="008C1767">
      <w:pPr>
        <w:pStyle w:val="afff3"/>
        <w:numPr>
          <w:ilvl w:val="0"/>
          <w:numId w:val="53"/>
        </w:numPr>
        <w:autoSpaceDE/>
        <w:autoSpaceDN/>
        <w:adjustRightInd/>
      </w:pPr>
      <w:r w:rsidRPr="00DA5B95">
        <w:t xml:space="preserve">При показаниях проводятся исследования для идентификации возбудителя нейроинфекций: </w:t>
      </w:r>
    </w:p>
    <w:p w14:paraId="7BE64505" w14:textId="77777777" w:rsidR="007001FA" w:rsidRPr="00F61D8E" w:rsidRDefault="007001FA" w:rsidP="008C1767">
      <w:pPr>
        <w:pStyle w:val="afff3"/>
        <w:numPr>
          <w:ilvl w:val="1"/>
          <w:numId w:val="53"/>
        </w:numPr>
        <w:autoSpaceDE/>
        <w:autoSpaceDN/>
        <w:adjustRightInd/>
      </w:pPr>
      <w:r w:rsidRPr="00F61D8E">
        <w:t xml:space="preserve">Микроскопическое и микробиологическое (культуральное) исследование (посев) спинномозговой жидкости на менингококк, микобактерии туберкулеза, листерии, аэробные и факультативно-анаэробные условно-патогенные микроорганизмы, неспорообразующие анаэробные микроорганизмы, криптококк, дрожжевые и мицелярные грибы,   другие возбудители, с окраской  по Граму, по Цилю-Нильсону, определением галактоманнана, глюкуроноксиломанна. </w:t>
      </w:r>
    </w:p>
    <w:p w14:paraId="4BF2CF4C" w14:textId="77777777" w:rsidR="007001FA" w:rsidRPr="00F61D8E" w:rsidRDefault="007001FA" w:rsidP="008C1767">
      <w:pPr>
        <w:pStyle w:val="table-text-0"/>
        <w:widowControl w:val="0"/>
        <w:numPr>
          <w:ilvl w:val="1"/>
          <w:numId w:val="53"/>
        </w:numPr>
        <w:spacing w:before="0" w:after="0"/>
        <w:jc w:val="both"/>
        <w:rPr>
          <w:sz w:val="24"/>
          <w:szCs w:val="24"/>
        </w:rPr>
      </w:pPr>
      <w:r>
        <w:rPr>
          <w:vanish/>
          <w:sz w:val="24"/>
          <w:szCs w:val="24"/>
        </w:rPr>
        <w:t>М</w:t>
      </w:r>
      <w:r w:rsidRPr="00F61D8E">
        <w:rPr>
          <w:sz w:val="24"/>
          <w:szCs w:val="24"/>
        </w:rPr>
        <w:t xml:space="preserve">олекулярно-биологическое исследование спинномозговой жидкости на вирусы герпетической группы – простого герпеса 1 и 2 типов (Herpes simplex virus types 1, 2), вирус герпеса 6 типа (HHV6), цитомегаловирус (Cytomegalovirus); вирус Эпштейна-Барр, вирус ветряной оспы и опоясывающего лишая (Varicella-Zoster virus); на парвовирус B19 (Parvovirus B19); вирус краснухи, на листерии, на синегнойную палочку Pseudomonas </w:t>
      </w:r>
      <w:r w:rsidRPr="00F61D8E">
        <w:rPr>
          <w:sz w:val="24"/>
          <w:szCs w:val="24"/>
        </w:rPr>
        <w:lastRenderedPageBreak/>
        <w:t>aeruginosa; на пиогенный стрептококк Streptococcus pyogenes, на метициллин-чувствительные и метициллин-резистентные Staphylococcus aureus, метициллин-резистентные коагулазонегативные Staphylococcus spp.; на токсоплазмы (Toxoplasma gondii); пневмококк; на бореллиоз; на лептоспироз, и другие возбудители, в том числе, методом ПЦР.</w:t>
      </w:r>
    </w:p>
    <w:p w14:paraId="3D076177" w14:textId="77777777" w:rsidR="007001FA" w:rsidRPr="00F61D8E" w:rsidRDefault="007001FA" w:rsidP="008C1767">
      <w:pPr>
        <w:pStyle w:val="afff3"/>
        <w:numPr>
          <w:ilvl w:val="0"/>
          <w:numId w:val="53"/>
        </w:numPr>
        <w:autoSpaceDE/>
        <w:autoSpaceDN/>
        <w:adjustRightInd/>
      </w:pPr>
      <w:r w:rsidRPr="00F61D8E">
        <w:t xml:space="preserve">По показаниям </w:t>
      </w:r>
      <w:r>
        <w:t>–</w:t>
      </w:r>
      <w:r w:rsidRPr="00F61D8E">
        <w:t xml:space="preserve"> исследование уровня электролитов (натрия, калия, кальция, хлоридов) в спинномозговой жидкости</w:t>
      </w:r>
    </w:p>
    <w:p w14:paraId="5F32D750" w14:textId="77777777" w:rsidR="007001FA" w:rsidRPr="00F61D8E" w:rsidRDefault="007001FA" w:rsidP="007001FA">
      <w:pPr>
        <w:pStyle w:val="afff3"/>
        <w:ind w:left="1145"/>
      </w:pPr>
    </w:p>
    <w:p w14:paraId="3C7B0409" w14:textId="2C4258AF" w:rsidR="007001FA" w:rsidRPr="00002ED5" w:rsidRDefault="007001FA" w:rsidP="007001FA">
      <w:pPr>
        <w:ind w:firstLine="709"/>
        <w:rPr>
          <w:i/>
          <w:iCs/>
          <w:u w:val="single"/>
        </w:rPr>
      </w:pPr>
      <w:r w:rsidRPr="00002ED5">
        <w:rPr>
          <w:i/>
          <w:iCs/>
          <w:u w:val="single"/>
        </w:rPr>
        <w:t>Интерпретация данных исследований спинномозговой жидкости</w:t>
      </w:r>
      <w:r>
        <w:rPr>
          <w:i/>
          <w:iCs/>
          <w:u w:val="single"/>
        </w:rPr>
        <w:t xml:space="preserve"> </w:t>
      </w:r>
      <w:r w:rsidRPr="00142831">
        <w:rPr>
          <w:i/>
          <w:iCs/>
          <w:u w:val="single"/>
        </w:rPr>
        <w:fldChar w:fldCharType="begin" w:fldLock="1"/>
      </w:r>
      <w:r w:rsidR="00A67ED2">
        <w:rPr>
          <w:i/>
          <w:iCs/>
          <w:u w:val="single"/>
        </w:rPr>
        <w:instrText>ADDIN CSL_CITATION {"citationItems":[{"id":"ITEM-1","itemData":{"author":[{"dropping-particle":"","family":"Fong","given":"B.","non-dropping-particle":"","parse-names":false,"suffix":""},{"dropping-particle":"","family":"Bendegon","given":"J. M.","non-dropping-particle":"Van","parse-names":false,"suffix":""}],"container-title":"Rechman, E.F., Simon, R.R., eds. Emergency Medicine Procedures","id":"ITEM-1","issued":{"date-parts":[["2004"]]},"page":"859-880","publisher":"New York: McGraw-Hill","title":"Lumbar puncture. Neurologic and neurosurgical procedures","type":"chapter"},"uris":["http://www.mendeley.com/documents/?uuid=a67dc750-5040-4374-a1b2-800ecfc67c59"]}],"mendeley":{"formattedCitation":"[175]","plainTextFormattedCitation":"[175]","previouslyFormattedCitation":"[155]"},"properties":{"noteIndex":0},"schema":"https://github.com/citation-style-language/schema/raw/master/csl-citation.json"}</w:instrText>
      </w:r>
      <w:r w:rsidRPr="00142831">
        <w:rPr>
          <w:i/>
          <w:iCs/>
          <w:u w:val="single"/>
        </w:rPr>
        <w:fldChar w:fldCharType="separate"/>
      </w:r>
      <w:r w:rsidR="00A67ED2" w:rsidRPr="00A67ED2">
        <w:rPr>
          <w:iCs/>
          <w:noProof/>
        </w:rPr>
        <w:t>[175]</w:t>
      </w:r>
      <w:r w:rsidRPr="00142831">
        <w:rPr>
          <w:i/>
          <w:iCs/>
          <w:u w:val="single"/>
        </w:rPr>
        <w:fldChar w:fldCharType="end"/>
      </w:r>
    </w:p>
    <w:p w14:paraId="56569D4B" w14:textId="77777777" w:rsidR="007001FA" w:rsidRPr="00002ED5" w:rsidRDefault="007001FA" w:rsidP="007001FA">
      <w:pPr>
        <w:pBdr>
          <w:top w:val="none" w:sz="96" w:space="0" w:color="FFFFFF" w:frame="1"/>
        </w:pBdr>
        <w:ind w:firstLine="709"/>
        <w:rPr>
          <w:u w:val="single"/>
        </w:rPr>
      </w:pPr>
      <w:r w:rsidRPr="00002ED5">
        <w:rPr>
          <w:u w:val="single"/>
        </w:rPr>
        <w:t>Результаты исследований для идентификации возбудителя нейроинфекции в СМЖ</w:t>
      </w:r>
    </w:p>
    <w:p w14:paraId="53DD1FC9" w14:textId="77777777" w:rsidR="007001FA" w:rsidRPr="00F61D8E" w:rsidRDefault="007001FA" w:rsidP="007001FA">
      <w:pPr>
        <w:pBdr>
          <w:top w:val="none" w:sz="96" w:space="0" w:color="FFFFFF" w:frame="1"/>
        </w:pBdr>
        <w:ind w:firstLine="709"/>
      </w:pPr>
      <w:r w:rsidRPr="00F61D8E">
        <w:t xml:space="preserve">Бактериоскопия с окраской по Граму является обязательным условием исследования СМЖ, поскольку рост культуры микроорганизмов получить удается не всегда. Предварительная терапия антибиотиками снижает чувствительность культурального исследования. Для получения роста микобактерий туберкулеза рекомендуется брать большие объемы СМЖ — не менее 15 мл, а предпочтительно 40—50 мл. Диагностический порог галактоманнана в СМЖ, подтверждающий диагноз церебрального аспергиллеза, составляет 0,5. Диагноз вирусного менингита устанавливается по обнаружению ДНК вируса в СМЖ. При выявлении методом ПЦР ДНК вирусов герпес-группы (ВПГ 1, 2, 6 типов, ЦМВ, ЭБВ) необходимо количественным методом определять число копий для контроля за терапией в динамике. В сомнительных случаях установке диагноза вирусной инфекции может помочь исследование методом ПЦР вирусов в крови, антител к вирусам.  Выявление глюкуроноксиломаннана подтверждает диагноз криптококкоза. </w:t>
      </w:r>
    </w:p>
    <w:p w14:paraId="65193E2E" w14:textId="77777777" w:rsidR="007001FA" w:rsidRPr="003C7544" w:rsidRDefault="007001FA" w:rsidP="007001FA">
      <w:pPr>
        <w:pBdr>
          <w:top w:val="none" w:sz="96" w:space="0" w:color="FFFFFF" w:frame="1"/>
        </w:pBdr>
        <w:ind w:firstLine="709"/>
        <w:rPr>
          <w:u w:val="single"/>
        </w:rPr>
      </w:pPr>
    </w:p>
    <w:p w14:paraId="14735496" w14:textId="77777777" w:rsidR="007001FA" w:rsidRPr="00F61D8E" w:rsidRDefault="007001FA" w:rsidP="007001FA">
      <w:pPr>
        <w:pBdr>
          <w:top w:val="none" w:sz="96" w:space="0" w:color="FFFFFF" w:frame="1"/>
        </w:pBdr>
        <w:ind w:firstLine="709"/>
        <w:rPr>
          <w:u w:val="single"/>
        </w:rPr>
      </w:pPr>
      <w:r w:rsidRPr="003C7544">
        <w:rPr>
          <w:u w:val="single"/>
        </w:rPr>
        <w:t>Давление ликвора</w:t>
      </w:r>
    </w:p>
    <w:p w14:paraId="2780CB38" w14:textId="77777777" w:rsidR="007001FA" w:rsidRPr="00F61D8E" w:rsidRDefault="007001FA" w:rsidP="007001FA">
      <w:pPr>
        <w:pBdr>
          <w:top w:val="none" w:sz="96" w:space="0" w:color="FFFFFF" w:frame="1"/>
        </w:pBdr>
        <w:ind w:firstLine="709"/>
      </w:pPr>
      <w:r w:rsidRPr="00F61D8E">
        <w:t xml:space="preserve">При необходимости в конце процедуры (только в положении лежа!) измеряется давление ликвора присоединением в мандрен иглы вертикального столбика (капельницы). Измерение давления ликвора следует проводить тотчас же после изъятия мандрена из иглы, так как выпускание даже 1 мл жидкости приводит к падению ее давления на 10—15 мм вод. ст. В норме давление ликвора составляет 4—18 см вод. ст., а у людей с ожирением может достигать 25 см вод. ст. Давление выше 25 см вод. ст. является диагностическим для внутричерепной гипертензии и характерно для многих состояний: менингита, внутричерепного кровоизлияния, опухоли. При выявлении повышенного давления ликвора СМЖ должна удаляться медленно и мониторироваться давление. Нельзя дополнительно удалять ликвор, если его давление достигнет 50% от исходного. </w:t>
      </w:r>
    </w:p>
    <w:p w14:paraId="1300FD30" w14:textId="77777777" w:rsidR="007001FA" w:rsidRPr="00F61D8E" w:rsidRDefault="007001FA" w:rsidP="007001FA">
      <w:pPr>
        <w:pBdr>
          <w:top w:val="none" w:sz="96" w:space="0" w:color="FFFFFF" w:frame="1"/>
        </w:pBdr>
        <w:ind w:firstLine="709"/>
        <w:rPr>
          <w:u w:val="single"/>
        </w:rPr>
      </w:pPr>
    </w:p>
    <w:p w14:paraId="27FDC5BF" w14:textId="274CC233" w:rsidR="007001FA" w:rsidRPr="00F61D8E" w:rsidRDefault="007001FA" w:rsidP="007001FA">
      <w:pPr>
        <w:pBdr>
          <w:top w:val="none" w:sz="96" w:space="0" w:color="FFFFFF" w:frame="1"/>
        </w:pBdr>
        <w:ind w:firstLine="709"/>
        <w:rPr>
          <w:u w:val="single"/>
        </w:rPr>
      </w:pPr>
      <w:r w:rsidRPr="00F61D8E">
        <w:rPr>
          <w:u w:val="single"/>
        </w:rPr>
        <w:lastRenderedPageBreak/>
        <w:t>Цитоз и содержание белка в СМЖ</w:t>
      </w:r>
      <w:r w:rsidRPr="00142831">
        <w:rPr>
          <w:u w:val="single"/>
        </w:rPr>
        <w:t xml:space="preserve"> </w:t>
      </w:r>
      <w:r w:rsidRPr="00142831">
        <w:rPr>
          <w:i/>
          <w:iCs/>
          <w:u w:val="single"/>
        </w:rPr>
        <w:fldChar w:fldCharType="begin" w:fldLock="1"/>
      </w:r>
      <w:r w:rsidR="00A67ED2">
        <w:rPr>
          <w:i/>
          <w:iCs/>
          <w:u w:val="single"/>
        </w:rPr>
        <w:instrText>ADDIN CSL_CITATION {"citationItems":[{"id":"ITEM-1","itemData":{"author":[{"dropping-particle":"","family":"Fong","given":"B.","non-dropping-particle":"","parse-names":false,"suffix":""},{"dropping-particle":"","family":"Bendegon","given":"J. M.","non-dropping-particle":"Van","parse-names":false,"suffix":""}],"container-title":"Rechman, E.F., Simon, R.R., eds. Emergency Medicine Procedures","id":"ITEM-1","issued":{"date-parts":[["2004"]]},"page":"859-880","publisher":"New York: McGraw-Hill","title":"Lumbar puncture. Neurologic and neurosurgical procedures","type":"chapter"},"uris":["http://www.mendeley.com/documents/?uuid=a67dc750-5040-4374-a1b2-800ecfc67c59"]}],"mendeley":{"formattedCitation":"[175]","plainTextFormattedCitation":"[175]","previouslyFormattedCitation":"[155]"},"properties":{"noteIndex":0},"schema":"https://github.com/citation-style-language/schema/raw/master/csl-citation.json"}</w:instrText>
      </w:r>
      <w:r w:rsidRPr="00142831">
        <w:rPr>
          <w:i/>
          <w:iCs/>
          <w:u w:val="single"/>
        </w:rPr>
        <w:fldChar w:fldCharType="separate"/>
      </w:r>
      <w:r w:rsidR="00A67ED2" w:rsidRPr="00A67ED2">
        <w:rPr>
          <w:iCs/>
          <w:noProof/>
        </w:rPr>
        <w:t>[175]</w:t>
      </w:r>
      <w:r w:rsidRPr="00142831">
        <w:rPr>
          <w:i/>
          <w:iCs/>
          <w:u w:val="single"/>
        </w:rPr>
        <w:fldChar w:fldCharType="end"/>
      </w:r>
    </w:p>
    <w:p w14:paraId="4D9809C7" w14:textId="77777777" w:rsidR="007001FA" w:rsidRPr="00F61D8E" w:rsidRDefault="007001FA" w:rsidP="007001FA">
      <w:pPr>
        <w:pBdr>
          <w:top w:val="none" w:sz="96" w:space="0" w:color="FFFFFF" w:frame="1"/>
        </w:pBdr>
        <w:ind w:firstLine="709"/>
      </w:pPr>
      <w:r w:rsidRPr="00F61D8E">
        <w:t>При подсчете в камере Фукса—Розенталя, объем которой 3 мм</w:t>
      </w:r>
      <w:r w:rsidRPr="00F61D8E">
        <w:rPr>
          <w:vertAlign w:val="superscript"/>
        </w:rPr>
        <w:t>3</w:t>
      </w:r>
      <w:r w:rsidRPr="00F61D8E">
        <w:t>, подсчитывают общее количество клеток и результат указывают в виде дроби со знаменателем 3. Цитоз, например, 6/3 = 2 в 1 мкл или 2х10</w:t>
      </w:r>
      <w:r w:rsidRPr="00F61D8E">
        <w:rPr>
          <w:vertAlign w:val="superscript"/>
        </w:rPr>
        <w:t>6</w:t>
      </w:r>
      <w:r w:rsidRPr="00F61D8E">
        <w:t xml:space="preserve">/л. </w:t>
      </w:r>
    </w:p>
    <w:p w14:paraId="5CBBE584" w14:textId="77777777" w:rsidR="007001FA" w:rsidRDefault="007001FA" w:rsidP="007001FA">
      <w:pPr>
        <w:pBdr>
          <w:top w:val="none" w:sz="96" w:space="0" w:color="FFFFFF" w:frame="1"/>
        </w:pBdr>
        <w:ind w:firstLine="709"/>
      </w:pPr>
      <w:r w:rsidRPr="00F61D8E">
        <w:t>Содержание в СМЖ 1 г белка соответствует 1000 клеток в 1мкл (1х10</w:t>
      </w:r>
      <w:r w:rsidRPr="00BB0502">
        <w:t>9</w:t>
      </w:r>
      <w:r w:rsidRPr="00F61D8E">
        <w:t>/л). При преобладании белка говорят о белково-клеточной диссоциации, при обратном соотношении — клеточно-белковой диссоциации. Белково-клеточная диссоциация свидетельствует о преобладании деструктивных над воспалительными процессами (опухолевые заболевания ЦНС, абсцесс головного мозга).</w:t>
      </w:r>
    </w:p>
    <w:p w14:paraId="2F60EB12" w14:textId="77777777" w:rsidR="007001FA" w:rsidRDefault="007001FA" w:rsidP="007001FA">
      <w:pPr>
        <w:pBdr>
          <w:top w:val="none" w:sz="96" w:space="0" w:color="FFFFFF" w:frame="1"/>
        </w:pBdr>
        <w:ind w:firstLine="709"/>
      </w:pPr>
      <w:r w:rsidRPr="000C5BF8">
        <w:t xml:space="preserve">Нормальные параметры СМЖ приведены в таб.2. </w:t>
      </w:r>
    </w:p>
    <w:p w14:paraId="3426DD84" w14:textId="77777777" w:rsidR="007001FA" w:rsidRDefault="007001FA" w:rsidP="007001FA">
      <w:pPr>
        <w:pBdr>
          <w:top w:val="none" w:sz="96" w:space="0" w:color="FFFFFF" w:frame="1"/>
        </w:pBdr>
      </w:pPr>
    </w:p>
    <w:p w14:paraId="520CF1D6" w14:textId="45125013" w:rsidR="007001FA" w:rsidRPr="00BB0502" w:rsidRDefault="007001FA" w:rsidP="007001FA">
      <w:pPr>
        <w:pBdr>
          <w:top w:val="none" w:sz="96" w:space="0" w:color="FFFFFF" w:frame="1"/>
        </w:pBdr>
      </w:pPr>
      <w:r w:rsidRPr="00BB0502">
        <w:t>Таблица 2. Характеристика СМЖ в норме</w:t>
      </w:r>
      <w:r w:rsidRPr="00142831">
        <w:t xml:space="preserve"> </w:t>
      </w:r>
      <w:r w:rsidRPr="00142831">
        <w:rPr>
          <w:i/>
          <w:iCs/>
          <w:u w:val="single"/>
        </w:rPr>
        <w:fldChar w:fldCharType="begin" w:fldLock="1"/>
      </w:r>
      <w:r w:rsidR="00A67ED2">
        <w:rPr>
          <w:i/>
          <w:iCs/>
          <w:u w:val="single"/>
        </w:rPr>
        <w:instrText>ADDIN CSL_CITATION {"citationItems":[{"id":"ITEM-1","itemData":{"author":[{"dropping-particle":"","family":"Fong","given":"B.","non-dropping-particle":"","parse-names":false,"suffix":""},{"dropping-particle":"","family":"Bendegon","given":"J. M.","non-dropping-particle":"Van","parse-names":false,"suffix":""}],"container-title":"Rechman, E.F., Simon, R.R., eds. Emergency Medicine Procedures","id":"ITEM-1","issued":{"date-parts":[["2004"]]},"page":"859-880","publisher":"New York: McGraw-Hill","title":"Lumbar puncture. Neurologic and neurosurgical procedures","type":"chapter"},"uris":["http://www.mendeley.com/documents/?uuid=a67dc750-5040-4374-a1b2-800ecfc67c59"]}],"mendeley":{"formattedCitation":"[175]","plainTextFormattedCitation":"[175]","previouslyFormattedCitation":"[155]"},"properties":{"noteIndex":0},"schema":"https://github.com/citation-style-language/schema/raw/master/csl-citation.json"}</w:instrText>
      </w:r>
      <w:r w:rsidRPr="00142831">
        <w:rPr>
          <w:i/>
          <w:iCs/>
          <w:u w:val="single"/>
        </w:rPr>
        <w:fldChar w:fldCharType="separate"/>
      </w:r>
      <w:r w:rsidR="00A67ED2" w:rsidRPr="00A67ED2">
        <w:rPr>
          <w:iCs/>
          <w:noProof/>
        </w:rPr>
        <w:t>[175]</w:t>
      </w:r>
      <w:r w:rsidRPr="00142831">
        <w:rPr>
          <w:i/>
          <w:iCs/>
          <w:u w:val="single"/>
        </w:rPr>
        <w:fldChar w:fldCharType="end"/>
      </w:r>
    </w:p>
    <w:tbl>
      <w:tblPr>
        <w:tblW w:w="6770" w:type="dxa"/>
        <w:tblInd w:w="70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2093"/>
        <w:gridCol w:w="4677"/>
      </w:tblGrid>
      <w:tr w:rsidR="007001FA" w:rsidRPr="00F61D8E" w14:paraId="4732DCA0" w14:textId="77777777" w:rsidTr="00CD5E09">
        <w:tc>
          <w:tcPr>
            <w:tcW w:w="2093" w:type="dxa"/>
          </w:tcPr>
          <w:p w14:paraId="55A67343" w14:textId="77777777" w:rsidR="007001FA" w:rsidRPr="00F61D8E" w:rsidRDefault="007001FA" w:rsidP="00CD5E09">
            <w:pPr>
              <w:pStyle w:val="table-head-bold"/>
              <w:numPr>
                <w:ilvl w:val="12"/>
                <w:numId w:val="0"/>
              </w:numPr>
              <w:spacing w:before="0"/>
              <w:rPr>
                <w:b w:val="0"/>
                <w:sz w:val="24"/>
                <w:szCs w:val="24"/>
              </w:rPr>
            </w:pPr>
            <w:r w:rsidRPr="00F61D8E">
              <w:rPr>
                <w:b w:val="0"/>
                <w:sz w:val="24"/>
                <w:szCs w:val="24"/>
              </w:rPr>
              <w:t>Параметр</w:t>
            </w:r>
          </w:p>
        </w:tc>
        <w:tc>
          <w:tcPr>
            <w:tcW w:w="4677" w:type="dxa"/>
          </w:tcPr>
          <w:p w14:paraId="6DA0A6FB" w14:textId="77777777" w:rsidR="007001FA" w:rsidRPr="00F61D8E" w:rsidRDefault="007001FA" w:rsidP="00CD5E09">
            <w:pPr>
              <w:pStyle w:val="table-head-bold"/>
              <w:numPr>
                <w:ilvl w:val="12"/>
                <w:numId w:val="0"/>
              </w:numPr>
              <w:spacing w:before="0"/>
              <w:rPr>
                <w:b w:val="0"/>
                <w:sz w:val="24"/>
                <w:szCs w:val="24"/>
              </w:rPr>
            </w:pPr>
            <w:r w:rsidRPr="00F61D8E">
              <w:rPr>
                <w:b w:val="0"/>
                <w:sz w:val="24"/>
                <w:szCs w:val="24"/>
              </w:rPr>
              <w:t>Нормальные величины</w:t>
            </w:r>
          </w:p>
        </w:tc>
      </w:tr>
      <w:tr w:rsidR="007001FA" w:rsidRPr="00F61D8E" w14:paraId="7B7D485E" w14:textId="77777777" w:rsidTr="00CD5E09">
        <w:tc>
          <w:tcPr>
            <w:tcW w:w="2093" w:type="dxa"/>
          </w:tcPr>
          <w:p w14:paraId="0546C045" w14:textId="77777777" w:rsidR="007001FA" w:rsidRPr="00F61D8E" w:rsidRDefault="007001FA" w:rsidP="00CD5E09">
            <w:pPr>
              <w:pStyle w:val="table-head-bold"/>
              <w:numPr>
                <w:ilvl w:val="12"/>
                <w:numId w:val="0"/>
              </w:numPr>
              <w:spacing w:before="0"/>
              <w:rPr>
                <w:b w:val="0"/>
                <w:sz w:val="24"/>
                <w:szCs w:val="24"/>
              </w:rPr>
            </w:pPr>
            <w:r w:rsidRPr="00F61D8E">
              <w:rPr>
                <w:b w:val="0"/>
                <w:sz w:val="24"/>
                <w:szCs w:val="24"/>
              </w:rPr>
              <w:t>Цвет</w:t>
            </w:r>
          </w:p>
        </w:tc>
        <w:tc>
          <w:tcPr>
            <w:tcW w:w="4677" w:type="dxa"/>
          </w:tcPr>
          <w:p w14:paraId="064AB7E4" w14:textId="77777777" w:rsidR="007001FA" w:rsidRPr="00F61D8E" w:rsidRDefault="007001FA" w:rsidP="00CD5E09">
            <w:pPr>
              <w:pStyle w:val="table-text-0"/>
              <w:numPr>
                <w:ilvl w:val="12"/>
                <w:numId w:val="0"/>
              </w:numPr>
              <w:spacing w:before="0" w:after="0"/>
              <w:rPr>
                <w:sz w:val="24"/>
                <w:szCs w:val="24"/>
              </w:rPr>
            </w:pPr>
            <w:r w:rsidRPr="00F61D8E">
              <w:rPr>
                <w:sz w:val="24"/>
                <w:szCs w:val="24"/>
              </w:rPr>
              <w:t>Бесцветный</w:t>
            </w:r>
          </w:p>
        </w:tc>
      </w:tr>
      <w:tr w:rsidR="007001FA" w:rsidRPr="00F61D8E" w14:paraId="07501C4D" w14:textId="77777777" w:rsidTr="00CD5E09">
        <w:tc>
          <w:tcPr>
            <w:tcW w:w="2093" w:type="dxa"/>
          </w:tcPr>
          <w:p w14:paraId="104E343D" w14:textId="77777777" w:rsidR="007001FA" w:rsidRPr="00F61D8E" w:rsidRDefault="007001FA" w:rsidP="00CD5E09">
            <w:pPr>
              <w:pStyle w:val="table-head-bold"/>
              <w:numPr>
                <w:ilvl w:val="12"/>
                <w:numId w:val="0"/>
              </w:numPr>
              <w:spacing w:before="0"/>
              <w:rPr>
                <w:b w:val="0"/>
                <w:sz w:val="24"/>
                <w:szCs w:val="24"/>
              </w:rPr>
            </w:pPr>
            <w:r w:rsidRPr="00F61D8E">
              <w:rPr>
                <w:b w:val="0"/>
                <w:sz w:val="24"/>
                <w:szCs w:val="24"/>
              </w:rPr>
              <w:t>Давление</w:t>
            </w:r>
          </w:p>
        </w:tc>
        <w:tc>
          <w:tcPr>
            <w:tcW w:w="4677" w:type="dxa"/>
          </w:tcPr>
          <w:p w14:paraId="2336C5D4" w14:textId="77777777" w:rsidR="007001FA" w:rsidRPr="00F61D8E" w:rsidRDefault="007001FA" w:rsidP="00CD5E09">
            <w:pPr>
              <w:pStyle w:val="table-text-0"/>
              <w:numPr>
                <w:ilvl w:val="12"/>
                <w:numId w:val="0"/>
              </w:numPr>
              <w:spacing w:before="0" w:after="0"/>
              <w:rPr>
                <w:sz w:val="24"/>
                <w:szCs w:val="24"/>
              </w:rPr>
            </w:pPr>
            <w:r w:rsidRPr="00F61D8E">
              <w:rPr>
                <w:sz w:val="24"/>
                <w:szCs w:val="24"/>
              </w:rPr>
              <w:t>4—18 см вод. ст.</w:t>
            </w:r>
          </w:p>
        </w:tc>
      </w:tr>
      <w:tr w:rsidR="007001FA" w:rsidRPr="003C7544" w14:paraId="78D47DF4" w14:textId="77777777" w:rsidTr="00CD5E09">
        <w:tc>
          <w:tcPr>
            <w:tcW w:w="2093" w:type="dxa"/>
          </w:tcPr>
          <w:p w14:paraId="275A77FC" w14:textId="77777777" w:rsidR="007001FA" w:rsidRPr="00F61D8E" w:rsidRDefault="007001FA" w:rsidP="00CD5E09">
            <w:pPr>
              <w:pStyle w:val="table-head-bold"/>
              <w:numPr>
                <w:ilvl w:val="12"/>
                <w:numId w:val="0"/>
              </w:numPr>
              <w:spacing w:before="0"/>
              <w:rPr>
                <w:b w:val="0"/>
                <w:sz w:val="24"/>
                <w:szCs w:val="24"/>
              </w:rPr>
            </w:pPr>
            <w:r w:rsidRPr="00F61D8E">
              <w:rPr>
                <w:b w:val="0"/>
                <w:sz w:val="24"/>
                <w:szCs w:val="24"/>
              </w:rPr>
              <w:t>Цитоз</w:t>
            </w:r>
          </w:p>
        </w:tc>
        <w:tc>
          <w:tcPr>
            <w:tcW w:w="4677" w:type="dxa"/>
          </w:tcPr>
          <w:p w14:paraId="54B9D95C" w14:textId="77777777" w:rsidR="007001FA" w:rsidRPr="00F61D8E" w:rsidRDefault="007001FA" w:rsidP="00CD5E09">
            <w:pPr>
              <w:pStyle w:val="table-text-0"/>
              <w:numPr>
                <w:ilvl w:val="12"/>
                <w:numId w:val="0"/>
              </w:numPr>
              <w:spacing w:before="0" w:after="0"/>
              <w:rPr>
                <w:sz w:val="24"/>
                <w:szCs w:val="24"/>
              </w:rPr>
            </w:pPr>
            <w:r w:rsidRPr="00F61D8E">
              <w:rPr>
                <w:sz w:val="24"/>
                <w:szCs w:val="24"/>
              </w:rPr>
              <w:t>0—6 </w:t>
            </w:r>
            <w:r>
              <w:rPr>
                <w:sz w:val="24"/>
                <w:szCs w:val="24"/>
              </w:rPr>
              <w:t>х</w:t>
            </w:r>
            <w:r w:rsidRPr="00F61D8E">
              <w:rPr>
                <w:sz w:val="24"/>
                <w:szCs w:val="24"/>
              </w:rPr>
              <w:t> 10</w:t>
            </w:r>
            <w:r w:rsidRPr="00F61D8E">
              <w:rPr>
                <w:sz w:val="24"/>
                <w:szCs w:val="24"/>
                <w:vertAlign w:val="superscript"/>
              </w:rPr>
              <w:t>6</w:t>
            </w:r>
            <w:r w:rsidRPr="00F61D8E">
              <w:rPr>
                <w:sz w:val="24"/>
                <w:szCs w:val="24"/>
              </w:rPr>
              <w:t>/л (клеточный состав — лимфоциты)</w:t>
            </w:r>
          </w:p>
        </w:tc>
      </w:tr>
      <w:tr w:rsidR="007001FA" w:rsidRPr="00F61D8E" w14:paraId="6E2E7C0F" w14:textId="77777777" w:rsidTr="00CD5E09">
        <w:tc>
          <w:tcPr>
            <w:tcW w:w="2093" w:type="dxa"/>
          </w:tcPr>
          <w:p w14:paraId="0AF0EA30" w14:textId="77777777" w:rsidR="007001FA" w:rsidRPr="00F61D8E" w:rsidRDefault="007001FA" w:rsidP="00CD5E09">
            <w:pPr>
              <w:pStyle w:val="table-head-bold"/>
              <w:numPr>
                <w:ilvl w:val="12"/>
                <w:numId w:val="0"/>
              </w:numPr>
              <w:spacing w:before="0"/>
              <w:rPr>
                <w:b w:val="0"/>
                <w:sz w:val="24"/>
                <w:szCs w:val="24"/>
              </w:rPr>
            </w:pPr>
            <w:r w:rsidRPr="00F61D8E">
              <w:rPr>
                <w:b w:val="0"/>
                <w:sz w:val="24"/>
                <w:szCs w:val="24"/>
              </w:rPr>
              <w:t>Белок</w:t>
            </w:r>
          </w:p>
        </w:tc>
        <w:tc>
          <w:tcPr>
            <w:tcW w:w="4677" w:type="dxa"/>
          </w:tcPr>
          <w:p w14:paraId="5754E052" w14:textId="77777777" w:rsidR="007001FA" w:rsidRPr="00F61D8E" w:rsidRDefault="007001FA" w:rsidP="00CD5E09">
            <w:pPr>
              <w:pStyle w:val="table-text-0"/>
              <w:numPr>
                <w:ilvl w:val="12"/>
                <w:numId w:val="0"/>
              </w:numPr>
              <w:spacing w:before="0" w:after="0"/>
              <w:rPr>
                <w:sz w:val="24"/>
                <w:szCs w:val="24"/>
              </w:rPr>
            </w:pPr>
            <w:r w:rsidRPr="00F61D8E">
              <w:rPr>
                <w:sz w:val="24"/>
                <w:szCs w:val="24"/>
              </w:rPr>
              <w:t>0,1—0,33 г/л</w:t>
            </w:r>
          </w:p>
        </w:tc>
      </w:tr>
      <w:tr w:rsidR="007001FA" w:rsidRPr="00F61D8E" w14:paraId="1085D124" w14:textId="77777777" w:rsidTr="00CD5E09">
        <w:tc>
          <w:tcPr>
            <w:tcW w:w="2093" w:type="dxa"/>
          </w:tcPr>
          <w:p w14:paraId="085A363A" w14:textId="77777777" w:rsidR="007001FA" w:rsidRPr="00F61D8E" w:rsidRDefault="007001FA" w:rsidP="00CD5E09">
            <w:pPr>
              <w:pStyle w:val="table-head-bold"/>
              <w:numPr>
                <w:ilvl w:val="12"/>
                <w:numId w:val="0"/>
              </w:numPr>
              <w:spacing w:before="0"/>
              <w:rPr>
                <w:b w:val="0"/>
                <w:sz w:val="24"/>
                <w:szCs w:val="24"/>
              </w:rPr>
            </w:pPr>
            <w:r w:rsidRPr="00F61D8E">
              <w:rPr>
                <w:b w:val="0"/>
                <w:sz w:val="24"/>
                <w:szCs w:val="24"/>
              </w:rPr>
              <w:t>Глюкоза</w:t>
            </w:r>
          </w:p>
        </w:tc>
        <w:tc>
          <w:tcPr>
            <w:tcW w:w="4677" w:type="dxa"/>
          </w:tcPr>
          <w:p w14:paraId="07DEFC68" w14:textId="77777777" w:rsidR="007001FA" w:rsidRPr="00F61D8E" w:rsidRDefault="007001FA" w:rsidP="00CD5E09">
            <w:pPr>
              <w:pStyle w:val="table-text-0"/>
              <w:numPr>
                <w:ilvl w:val="12"/>
                <w:numId w:val="0"/>
              </w:numPr>
              <w:spacing w:before="0" w:after="0"/>
              <w:rPr>
                <w:sz w:val="24"/>
                <w:szCs w:val="24"/>
              </w:rPr>
            </w:pPr>
            <w:r w:rsidRPr="00F61D8E">
              <w:rPr>
                <w:sz w:val="24"/>
                <w:szCs w:val="24"/>
              </w:rPr>
              <w:t>2,5—4,4 ммоль/л (&gt; 60% глюкозы крови)</w:t>
            </w:r>
          </w:p>
        </w:tc>
      </w:tr>
      <w:tr w:rsidR="007001FA" w:rsidRPr="00F61D8E" w14:paraId="5F66BAE3" w14:textId="77777777" w:rsidTr="00CD5E09">
        <w:tc>
          <w:tcPr>
            <w:tcW w:w="2093" w:type="dxa"/>
          </w:tcPr>
          <w:p w14:paraId="78B4FDC2" w14:textId="77777777" w:rsidR="007001FA" w:rsidRPr="00F61D8E" w:rsidRDefault="007001FA" w:rsidP="00CD5E09">
            <w:pPr>
              <w:pStyle w:val="table-head-bold"/>
              <w:numPr>
                <w:ilvl w:val="12"/>
                <w:numId w:val="0"/>
              </w:numPr>
              <w:spacing w:before="0"/>
              <w:rPr>
                <w:b w:val="0"/>
                <w:sz w:val="24"/>
                <w:szCs w:val="24"/>
              </w:rPr>
            </w:pPr>
            <w:r w:rsidRPr="00F61D8E">
              <w:rPr>
                <w:b w:val="0"/>
                <w:sz w:val="24"/>
                <w:szCs w:val="24"/>
              </w:rPr>
              <w:t>Лактат</w:t>
            </w:r>
          </w:p>
        </w:tc>
        <w:tc>
          <w:tcPr>
            <w:tcW w:w="4677" w:type="dxa"/>
          </w:tcPr>
          <w:p w14:paraId="5277F7B5" w14:textId="77777777" w:rsidR="007001FA" w:rsidRPr="00F61D8E" w:rsidRDefault="007001FA" w:rsidP="00CD5E09">
            <w:pPr>
              <w:pStyle w:val="table-text-0"/>
              <w:numPr>
                <w:ilvl w:val="12"/>
                <w:numId w:val="0"/>
              </w:numPr>
              <w:spacing w:before="0" w:after="0"/>
              <w:rPr>
                <w:sz w:val="24"/>
                <w:szCs w:val="24"/>
              </w:rPr>
            </w:pPr>
            <w:r w:rsidRPr="00F61D8E">
              <w:rPr>
                <w:sz w:val="24"/>
                <w:szCs w:val="24"/>
              </w:rPr>
              <w:t>&lt; 2,8 ммоль/л</w:t>
            </w:r>
          </w:p>
        </w:tc>
      </w:tr>
    </w:tbl>
    <w:p w14:paraId="031C7208" w14:textId="77777777" w:rsidR="007001FA" w:rsidRDefault="007001FA" w:rsidP="007001FA">
      <w:pPr>
        <w:pStyle w:val="3"/>
        <w:rPr>
          <w:b w:val="0"/>
          <w:u w:val="single"/>
        </w:rPr>
      </w:pPr>
    </w:p>
    <w:p w14:paraId="754F4F08" w14:textId="7A240607" w:rsidR="007001FA" w:rsidRPr="00B611F7" w:rsidRDefault="007001FA" w:rsidP="007001FA">
      <w:pPr>
        <w:ind w:left="1" w:firstLine="708"/>
        <w:rPr>
          <w:b/>
          <w:u w:val="single"/>
        </w:rPr>
      </w:pPr>
      <w:r w:rsidRPr="00B611F7">
        <w:rPr>
          <w:u w:val="single"/>
        </w:rPr>
        <w:t xml:space="preserve">Концентрация лактата в СМЖ </w:t>
      </w:r>
      <w:r w:rsidRPr="00B611F7">
        <w:rPr>
          <w:b/>
          <w:bCs/>
          <w:u w:val="single"/>
        </w:rPr>
        <w:fldChar w:fldCharType="begin" w:fldLock="1"/>
      </w:r>
      <w:r w:rsidR="00A67ED2">
        <w:rPr>
          <w:u w:val="single"/>
        </w:rPr>
        <w:instrText>ADDIN CSL_CITATION {"citationItems":[{"id":"ITEM-1","itemData":{"author":[{"dropping-particle":"","family":"Fong","given":"B.","non-dropping-particle":"","parse-names":false,"suffix":""},{"dropping-particle":"","family":"Bendegon","given":"J. M.","non-dropping-particle":"Van","parse-names":false,"suffix":""}],"container-title":"Rechman, E.F., Simon, R.R., eds. Emergency Medicine Procedures","id":"ITEM-1","issued":{"date-parts":[["2004"]]},"page":"859-880","publisher":"New York: McGraw-Hill","title":"Lumbar puncture. Neurologic and neurosurgical procedures","type":"chapter"},"uris":["http://www.mendeley.com/documents/?uuid=a67dc750-5040-4374-a1b2-800ecfc67c59"]}],"mendeley":{"formattedCitation":"[175]","plainTextFormattedCitation":"[175]","previouslyFormattedCitation":"[155]"},"properties":{"noteIndex":0},"schema":"https://github.com/citation-style-language/schema/raw/master/csl-citation.json"}</w:instrText>
      </w:r>
      <w:r w:rsidRPr="00B611F7">
        <w:rPr>
          <w:b/>
          <w:bCs/>
          <w:u w:val="single"/>
        </w:rPr>
        <w:fldChar w:fldCharType="separate"/>
      </w:r>
      <w:r w:rsidR="00A67ED2" w:rsidRPr="00A67ED2">
        <w:rPr>
          <w:noProof/>
        </w:rPr>
        <w:t>[175]</w:t>
      </w:r>
      <w:r w:rsidRPr="00B611F7">
        <w:rPr>
          <w:b/>
          <w:bCs/>
          <w:u w:val="single"/>
        </w:rPr>
        <w:fldChar w:fldCharType="end"/>
      </w:r>
    </w:p>
    <w:p w14:paraId="7E97D39A" w14:textId="77777777" w:rsidR="007001FA" w:rsidRPr="00F61D8E" w:rsidRDefault="007001FA" w:rsidP="007001FA">
      <w:pPr>
        <w:ind w:firstLine="709"/>
      </w:pPr>
      <w:r w:rsidRPr="00F61D8E">
        <w:t>Пороговая величина (Cut-off) лактата в СМЖ составляет 2—4 ммоль/л. Диагностическая точность измерения лактата в СМЖ выше, чем других принятых маркеров (глюкозы, отношения глюкозы СМЖ к глюкозе крови, белка СМЖ, цитоза). При бактериальном менингите лактат &gt; 6 ммоль/л; при бактериальном менингите в процессе лечения лактат составляет 4—6 ммоль/л; при асептическом (вирусном) менингите лактат &lt; 2 ммоль/л. Механизм повышения концентрации лактата при бактериальном менингите окончательно не известен; вероятные механизмы – анаэробный гликолиз в мозговой ткани вследствие снижения кровотока и повышенного потребления кислорода; поступление лактата через гематоэнцефалический барьер из сыворотки крови. Другие возможные причины повышения лактата в СМЖ: инсульт (2—8 ммоль/л); судорожный синдром (2—4 ммоль/л); черепно-мозговая травма (2—9 ммоль/л); гипогликемическая кома (2—6 ммоль/л).</w:t>
      </w:r>
    </w:p>
    <w:p w14:paraId="219DA8DE" w14:textId="77777777" w:rsidR="007001FA" w:rsidRPr="00F61D8E" w:rsidRDefault="007001FA" w:rsidP="007001FA">
      <w:pPr>
        <w:ind w:firstLine="709"/>
      </w:pPr>
      <w:r w:rsidRPr="00F61D8E">
        <w:t xml:space="preserve">Основные изменения состава СМЖ при поражении центральной нервной системы </w:t>
      </w:r>
      <w:r w:rsidRPr="006A3E7C">
        <w:lastRenderedPageBreak/>
        <w:t>различной природы приведены в таб.3</w:t>
      </w:r>
    </w:p>
    <w:p w14:paraId="3864121C" w14:textId="77777777" w:rsidR="007001FA" w:rsidRDefault="007001FA" w:rsidP="007001FA">
      <w:pPr>
        <w:pStyle w:val="table-name"/>
        <w:numPr>
          <w:ilvl w:val="12"/>
          <w:numId w:val="0"/>
        </w:numPr>
        <w:spacing w:before="0"/>
        <w:ind w:left="57" w:hanging="57"/>
        <w:rPr>
          <w:szCs w:val="24"/>
          <w:lang w:val="ru-RU"/>
        </w:rPr>
      </w:pPr>
    </w:p>
    <w:p w14:paraId="72177E42" w14:textId="51BEBD0E" w:rsidR="007001FA" w:rsidRPr="001A7674" w:rsidRDefault="007001FA" w:rsidP="007001FA">
      <w:pPr>
        <w:pStyle w:val="table-name"/>
        <w:numPr>
          <w:ilvl w:val="12"/>
          <w:numId w:val="0"/>
        </w:numPr>
        <w:spacing w:before="0"/>
        <w:ind w:left="57" w:hanging="57"/>
        <w:rPr>
          <w:szCs w:val="24"/>
          <w:lang w:val="ru-RU"/>
        </w:rPr>
      </w:pPr>
      <w:r w:rsidRPr="001A7674">
        <w:rPr>
          <w:szCs w:val="24"/>
          <w:lang w:val="ru-RU"/>
        </w:rPr>
        <w:t>Таблица 3. Изменения СМЖ при различных поражениях центральной нервной системы</w:t>
      </w:r>
      <w:r w:rsidRPr="00142831">
        <w:rPr>
          <w:szCs w:val="24"/>
          <w:lang w:val="ru-RU"/>
        </w:rPr>
        <w:t xml:space="preserve"> </w:t>
      </w:r>
      <w:r w:rsidRPr="00142831">
        <w:rPr>
          <w:i/>
          <w:iCs/>
          <w:szCs w:val="24"/>
          <w:u w:val="single"/>
          <w:lang w:val="ru-RU"/>
        </w:rPr>
        <w:fldChar w:fldCharType="begin" w:fldLock="1"/>
      </w:r>
      <w:r w:rsidR="00A67ED2">
        <w:rPr>
          <w:i/>
          <w:iCs/>
          <w:szCs w:val="24"/>
          <w:u w:val="single"/>
          <w:lang w:val="ru-RU"/>
        </w:rPr>
        <w:instrText>ADDIN CSL_CITATION {"citationItems":[{"id":"ITEM-1","itemData":{"author":[{"dropping-particle":"","family":"Fong","given":"B.","non-dropping-particle":"","parse-names":false,"suffix":""},{"dropping-particle":"","family":"Bendegon","given":"J. M.","non-dropping-particle":"Van","parse-names":false,"suffix":""}],"container-title":"Rechman, E.F., Simon, R.R., eds. Emergency Medicine Procedures","id":"ITEM-1","issued":{"date-parts":[["2004"]]},"page":"859-880","publisher":"New York: McGraw-Hill","title":"Lumbar puncture. Neurologic and neurosurgical procedures","type":"chapter"},"uris":["http://www.mendeley.com/documents/?uuid=a67dc750-5040-4374-a1b2-800ecfc67c59"]}],"mendeley":{"formattedCitation":"[175]","plainTextFormattedCitation":"[175]","previouslyFormattedCitation":"[155]"},"properties":{"noteIndex":0},"schema":"https://github.com/citation-style-language/schema/raw/master/csl-citation.json"}</w:instrText>
      </w:r>
      <w:r w:rsidRPr="00142831">
        <w:rPr>
          <w:i/>
          <w:iCs/>
          <w:szCs w:val="24"/>
          <w:u w:val="single"/>
          <w:lang w:val="ru-RU"/>
        </w:rPr>
        <w:fldChar w:fldCharType="separate"/>
      </w:r>
      <w:r w:rsidR="00A67ED2" w:rsidRPr="00A67ED2">
        <w:rPr>
          <w:iCs/>
          <w:noProof/>
          <w:szCs w:val="24"/>
          <w:lang w:val="ru-RU"/>
        </w:rPr>
        <w:t>[175]</w:t>
      </w:r>
      <w:r w:rsidRPr="00142831">
        <w:rPr>
          <w:i/>
          <w:iCs/>
          <w:szCs w:val="24"/>
          <w:u w:val="single"/>
          <w:lang w:val="ru-RU"/>
        </w:rPr>
        <w:fldChar w:fldCharType="end"/>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1951"/>
        <w:gridCol w:w="1949"/>
        <w:gridCol w:w="1530"/>
        <w:gridCol w:w="1253"/>
        <w:gridCol w:w="1530"/>
        <w:gridCol w:w="1358"/>
      </w:tblGrid>
      <w:tr w:rsidR="007001FA" w:rsidRPr="00F61D8E" w14:paraId="4FA78AEF" w14:textId="77777777" w:rsidTr="00CD5E09">
        <w:tc>
          <w:tcPr>
            <w:tcW w:w="1951" w:type="dxa"/>
          </w:tcPr>
          <w:p w14:paraId="0A538BC3" w14:textId="77777777" w:rsidR="007001FA" w:rsidRPr="00F61D8E" w:rsidRDefault="007001FA" w:rsidP="00CD5E09">
            <w:pPr>
              <w:pStyle w:val="table-head-bold"/>
              <w:numPr>
                <w:ilvl w:val="12"/>
                <w:numId w:val="0"/>
              </w:numPr>
              <w:spacing w:before="0"/>
              <w:jc w:val="center"/>
              <w:rPr>
                <w:b w:val="0"/>
                <w:sz w:val="24"/>
                <w:szCs w:val="24"/>
              </w:rPr>
            </w:pPr>
            <w:r w:rsidRPr="00F61D8E">
              <w:rPr>
                <w:b w:val="0"/>
                <w:sz w:val="24"/>
                <w:szCs w:val="24"/>
              </w:rPr>
              <w:t>Поражение</w:t>
            </w:r>
          </w:p>
        </w:tc>
        <w:tc>
          <w:tcPr>
            <w:tcW w:w="1949" w:type="dxa"/>
          </w:tcPr>
          <w:p w14:paraId="42256CF7" w14:textId="77777777" w:rsidR="007001FA" w:rsidRPr="00F61D8E" w:rsidRDefault="007001FA" w:rsidP="00CD5E09">
            <w:pPr>
              <w:pStyle w:val="table-head-bold"/>
              <w:numPr>
                <w:ilvl w:val="12"/>
                <w:numId w:val="0"/>
              </w:numPr>
              <w:spacing w:before="0"/>
              <w:jc w:val="center"/>
              <w:rPr>
                <w:b w:val="0"/>
                <w:sz w:val="24"/>
                <w:szCs w:val="24"/>
              </w:rPr>
            </w:pPr>
            <w:r w:rsidRPr="00F61D8E">
              <w:rPr>
                <w:b w:val="0"/>
                <w:sz w:val="24"/>
                <w:szCs w:val="24"/>
              </w:rPr>
              <w:t>Цитоз, х10</w:t>
            </w:r>
            <w:r w:rsidRPr="00F61D8E">
              <w:rPr>
                <w:b w:val="0"/>
                <w:sz w:val="24"/>
                <w:szCs w:val="24"/>
                <w:vertAlign w:val="superscript"/>
              </w:rPr>
              <w:t>6</w:t>
            </w:r>
            <w:r w:rsidRPr="00F61D8E">
              <w:rPr>
                <w:b w:val="0"/>
                <w:sz w:val="24"/>
                <w:szCs w:val="24"/>
              </w:rPr>
              <w:t>/л (трети)</w:t>
            </w:r>
          </w:p>
        </w:tc>
        <w:tc>
          <w:tcPr>
            <w:tcW w:w="1530" w:type="dxa"/>
          </w:tcPr>
          <w:p w14:paraId="30D21141" w14:textId="77777777" w:rsidR="007001FA" w:rsidRPr="00F61D8E" w:rsidRDefault="007001FA" w:rsidP="00CD5E09">
            <w:pPr>
              <w:pStyle w:val="table-head-bold"/>
              <w:numPr>
                <w:ilvl w:val="12"/>
                <w:numId w:val="0"/>
              </w:numPr>
              <w:spacing w:before="0"/>
              <w:jc w:val="center"/>
              <w:rPr>
                <w:b w:val="0"/>
                <w:sz w:val="24"/>
                <w:szCs w:val="24"/>
              </w:rPr>
            </w:pPr>
            <w:r w:rsidRPr="00F61D8E">
              <w:rPr>
                <w:b w:val="0"/>
                <w:sz w:val="24"/>
                <w:szCs w:val="24"/>
              </w:rPr>
              <w:t>Тип клеток</w:t>
            </w:r>
          </w:p>
        </w:tc>
        <w:tc>
          <w:tcPr>
            <w:tcW w:w="1253" w:type="dxa"/>
          </w:tcPr>
          <w:p w14:paraId="05ECB612" w14:textId="77777777" w:rsidR="007001FA" w:rsidRPr="00F61D8E" w:rsidRDefault="007001FA" w:rsidP="00CD5E09">
            <w:pPr>
              <w:pStyle w:val="table-head-bold"/>
              <w:numPr>
                <w:ilvl w:val="12"/>
                <w:numId w:val="0"/>
              </w:numPr>
              <w:spacing w:before="0"/>
              <w:jc w:val="center"/>
              <w:rPr>
                <w:b w:val="0"/>
                <w:sz w:val="24"/>
                <w:szCs w:val="24"/>
              </w:rPr>
            </w:pPr>
            <w:r w:rsidRPr="00F61D8E">
              <w:rPr>
                <w:b w:val="0"/>
                <w:sz w:val="24"/>
                <w:szCs w:val="24"/>
              </w:rPr>
              <w:t>Белок, г/л</w:t>
            </w:r>
          </w:p>
        </w:tc>
        <w:tc>
          <w:tcPr>
            <w:tcW w:w="1530" w:type="dxa"/>
          </w:tcPr>
          <w:p w14:paraId="651180A4" w14:textId="77777777" w:rsidR="007001FA" w:rsidRPr="00F61D8E" w:rsidRDefault="007001FA" w:rsidP="00CD5E09">
            <w:pPr>
              <w:pStyle w:val="table-head-bold"/>
              <w:numPr>
                <w:ilvl w:val="12"/>
                <w:numId w:val="0"/>
              </w:numPr>
              <w:spacing w:before="0"/>
              <w:jc w:val="center"/>
              <w:rPr>
                <w:b w:val="0"/>
                <w:sz w:val="24"/>
                <w:szCs w:val="24"/>
              </w:rPr>
            </w:pPr>
            <w:r w:rsidRPr="00F61D8E">
              <w:rPr>
                <w:b w:val="0"/>
                <w:sz w:val="24"/>
                <w:szCs w:val="24"/>
              </w:rPr>
              <w:t>Глюкоза, ммоль/л</w:t>
            </w:r>
          </w:p>
        </w:tc>
        <w:tc>
          <w:tcPr>
            <w:tcW w:w="1358" w:type="dxa"/>
          </w:tcPr>
          <w:p w14:paraId="6B8104F1" w14:textId="77777777" w:rsidR="007001FA" w:rsidRPr="00F61D8E" w:rsidRDefault="007001FA" w:rsidP="00CD5E09">
            <w:pPr>
              <w:pStyle w:val="table-head-bold"/>
              <w:numPr>
                <w:ilvl w:val="12"/>
                <w:numId w:val="0"/>
              </w:numPr>
              <w:spacing w:before="0"/>
              <w:jc w:val="center"/>
              <w:rPr>
                <w:b w:val="0"/>
                <w:sz w:val="24"/>
                <w:szCs w:val="24"/>
              </w:rPr>
            </w:pPr>
            <w:r w:rsidRPr="00F61D8E">
              <w:rPr>
                <w:b w:val="0"/>
                <w:sz w:val="24"/>
                <w:szCs w:val="24"/>
              </w:rPr>
              <w:t>Лактат, ммоль/л</w:t>
            </w:r>
          </w:p>
        </w:tc>
      </w:tr>
      <w:tr w:rsidR="007001FA" w:rsidRPr="00F61D8E" w14:paraId="618C4FD2" w14:textId="77777777" w:rsidTr="00CD5E09">
        <w:tc>
          <w:tcPr>
            <w:tcW w:w="1951" w:type="dxa"/>
          </w:tcPr>
          <w:p w14:paraId="6989D68D" w14:textId="77777777" w:rsidR="007001FA" w:rsidRPr="00F61D8E" w:rsidRDefault="007001FA" w:rsidP="00CD5E09">
            <w:pPr>
              <w:pStyle w:val="table-text-0"/>
              <w:numPr>
                <w:ilvl w:val="12"/>
                <w:numId w:val="0"/>
              </w:numPr>
              <w:spacing w:before="0" w:after="0"/>
              <w:rPr>
                <w:sz w:val="24"/>
                <w:szCs w:val="24"/>
              </w:rPr>
            </w:pPr>
            <w:r w:rsidRPr="00F61D8E">
              <w:rPr>
                <w:sz w:val="24"/>
                <w:szCs w:val="24"/>
              </w:rPr>
              <w:t>Бактериальный менингит</w:t>
            </w:r>
          </w:p>
        </w:tc>
        <w:tc>
          <w:tcPr>
            <w:tcW w:w="1949" w:type="dxa"/>
          </w:tcPr>
          <w:p w14:paraId="67F8D65B" w14:textId="77777777" w:rsidR="007001FA" w:rsidRPr="00F61D8E" w:rsidRDefault="007001FA" w:rsidP="00CD5E09">
            <w:pPr>
              <w:pStyle w:val="table-text-0"/>
              <w:numPr>
                <w:ilvl w:val="12"/>
                <w:numId w:val="0"/>
              </w:numPr>
              <w:spacing w:before="0" w:after="0"/>
              <w:rPr>
                <w:sz w:val="24"/>
                <w:szCs w:val="24"/>
              </w:rPr>
            </w:pPr>
            <w:r w:rsidRPr="00F61D8E">
              <w:rPr>
                <w:sz w:val="24"/>
                <w:szCs w:val="24"/>
              </w:rPr>
              <w:t>1000—5000 (3000/3—15000/3)</w:t>
            </w:r>
          </w:p>
          <w:p w14:paraId="504459EB" w14:textId="77777777" w:rsidR="007001FA" w:rsidRPr="00F61D8E" w:rsidRDefault="007001FA" w:rsidP="00CD5E09">
            <w:pPr>
              <w:pStyle w:val="table-text-0"/>
              <w:numPr>
                <w:ilvl w:val="12"/>
                <w:numId w:val="0"/>
              </w:numPr>
              <w:spacing w:before="0" w:after="0"/>
              <w:rPr>
                <w:sz w:val="24"/>
                <w:szCs w:val="24"/>
              </w:rPr>
            </w:pPr>
            <w:r w:rsidRPr="00F61D8E">
              <w:rPr>
                <w:sz w:val="24"/>
                <w:szCs w:val="24"/>
              </w:rPr>
              <w:t>При агранулоцитозе цитоз может отсутствовать либо быть минимальным</w:t>
            </w:r>
          </w:p>
        </w:tc>
        <w:tc>
          <w:tcPr>
            <w:tcW w:w="1530" w:type="dxa"/>
          </w:tcPr>
          <w:p w14:paraId="693A65AF" w14:textId="77777777" w:rsidR="007001FA" w:rsidRPr="00F61D8E" w:rsidRDefault="007001FA" w:rsidP="00CD5E09">
            <w:pPr>
              <w:pStyle w:val="table-text-0"/>
              <w:numPr>
                <w:ilvl w:val="12"/>
                <w:numId w:val="0"/>
              </w:numPr>
              <w:spacing w:before="0" w:after="0"/>
              <w:rPr>
                <w:sz w:val="24"/>
                <w:szCs w:val="24"/>
              </w:rPr>
            </w:pPr>
            <w:r w:rsidRPr="00F61D8E">
              <w:rPr>
                <w:sz w:val="24"/>
                <w:szCs w:val="24"/>
              </w:rPr>
              <w:t>Нейтрофилы</w:t>
            </w:r>
          </w:p>
        </w:tc>
        <w:tc>
          <w:tcPr>
            <w:tcW w:w="1253" w:type="dxa"/>
          </w:tcPr>
          <w:p w14:paraId="005BD833" w14:textId="77777777" w:rsidR="007001FA" w:rsidRPr="00F61D8E" w:rsidRDefault="007001FA" w:rsidP="00CD5E09">
            <w:pPr>
              <w:pStyle w:val="table-text-0"/>
              <w:numPr>
                <w:ilvl w:val="12"/>
                <w:numId w:val="0"/>
              </w:numPr>
              <w:spacing w:before="0" w:after="0"/>
              <w:rPr>
                <w:sz w:val="24"/>
                <w:szCs w:val="24"/>
              </w:rPr>
            </w:pPr>
            <w:r w:rsidRPr="00F61D8E">
              <w:rPr>
                <w:sz w:val="24"/>
                <w:szCs w:val="24"/>
              </w:rPr>
              <w:t>1—2,5</w:t>
            </w:r>
          </w:p>
        </w:tc>
        <w:tc>
          <w:tcPr>
            <w:tcW w:w="1530" w:type="dxa"/>
          </w:tcPr>
          <w:p w14:paraId="5E81C609" w14:textId="77777777" w:rsidR="007001FA" w:rsidRPr="00F61D8E" w:rsidRDefault="007001FA" w:rsidP="00CD5E09">
            <w:pPr>
              <w:pStyle w:val="table-text-0"/>
              <w:numPr>
                <w:ilvl w:val="12"/>
                <w:numId w:val="0"/>
              </w:numPr>
              <w:spacing w:before="0" w:after="0"/>
              <w:rPr>
                <w:sz w:val="24"/>
                <w:szCs w:val="24"/>
              </w:rPr>
            </w:pPr>
            <w:r w:rsidRPr="00F61D8E">
              <w:rPr>
                <w:sz w:val="24"/>
                <w:szCs w:val="24"/>
              </w:rPr>
              <w:t>&lt; 1,9 (или соотношение концентраций глюкозы в СМЖ и крови &lt; 0,5)</w:t>
            </w:r>
          </w:p>
        </w:tc>
        <w:tc>
          <w:tcPr>
            <w:tcW w:w="1358" w:type="dxa"/>
          </w:tcPr>
          <w:p w14:paraId="3397393D" w14:textId="77777777" w:rsidR="007001FA" w:rsidRPr="00F61D8E" w:rsidRDefault="007001FA" w:rsidP="00CD5E09">
            <w:pPr>
              <w:pStyle w:val="table-text-0"/>
              <w:numPr>
                <w:ilvl w:val="12"/>
                <w:numId w:val="0"/>
              </w:numPr>
              <w:spacing w:before="0" w:after="0"/>
              <w:rPr>
                <w:sz w:val="24"/>
                <w:szCs w:val="24"/>
              </w:rPr>
            </w:pPr>
            <w:r w:rsidRPr="00F61D8E">
              <w:rPr>
                <w:sz w:val="24"/>
                <w:szCs w:val="24"/>
              </w:rPr>
              <w:t>&gt; 6</w:t>
            </w:r>
          </w:p>
          <w:p w14:paraId="4B7BA596" w14:textId="77777777" w:rsidR="007001FA" w:rsidRPr="00F61D8E" w:rsidRDefault="007001FA" w:rsidP="00CD5E09">
            <w:pPr>
              <w:pStyle w:val="table-text-0"/>
              <w:numPr>
                <w:ilvl w:val="12"/>
                <w:numId w:val="0"/>
              </w:numPr>
              <w:spacing w:before="0" w:after="0"/>
              <w:rPr>
                <w:sz w:val="24"/>
                <w:szCs w:val="24"/>
              </w:rPr>
            </w:pPr>
            <w:r w:rsidRPr="00F61D8E">
              <w:rPr>
                <w:sz w:val="24"/>
                <w:szCs w:val="24"/>
              </w:rPr>
              <w:t>Частично леченный: 2—4</w:t>
            </w:r>
          </w:p>
        </w:tc>
      </w:tr>
      <w:tr w:rsidR="007001FA" w:rsidRPr="00F61D8E" w14:paraId="5A1FA272" w14:textId="77777777" w:rsidTr="00CD5E09">
        <w:tc>
          <w:tcPr>
            <w:tcW w:w="1951" w:type="dxa"/>
          </w:tcPr>
          <w:p w14:paraId="5EDF0D72" w14:textId="77777777" w:rsidR="007001FA" w:rsidRPr="00F61D8E" w:rsidRDefault="007001FA" w:rsidP="00CD5E09">
            <w:pPr>
              <w:pStyle w:val="table-text-0"/>
              <w:numPr>
                <w:ilvl w:val="12"/>
                <w:numId w:val="0"/>
              </w:numPr>
              <w:spacing w:before="0" w:after="0"/>
              <w:rPr>
                <w:sz w:val="24"/>
                <w:szCs w:val="24"/>
              </w:rPr>
            </w:pPr>
            <w:r w:rsidRPr="00F61D8E">
              <w:rPr>
                <w:sz w:val="24"/>
                <w:szCs w:val="24"/>
              </w:rPr>
              <w:t>Вирусный менингит</w:t>
            </w:r>
          </w:p>
        </w:tc>
        <w:tc>
          <w:tcPr>
            <w:tcW w:w="1949" w:type="dxa"/>
          </w:tcPr>
          <w:p w14:paraId="2E13A64E" w14:textId="77777777" w:rsidR="007001FA" w:rsidRPr="00F61D8E" w:rsidRDefault="007001FA" w:rsidP="00CD5E09">
            <w:pPr>
              <w:pStyle w:val="table-text-0"/>
              <w:numPr>
                <w:ilvl w:val="12"/>
                <w:numId w:val="0"/>
              </w:numPr>
              <w:spacing w:before="0" w:after="0"/>
              <w:rPr>
                <w:sz w:val="24"/>
                <w:szCs w:val="24"/>
              </w:rPr>
            </w:pPr>
            <w:r w:rsidRPr="00F61D8E">
              <w:rPr>
                <w:sz w:val="24"/>
                <w:szCs w:val="24"/>
              </w:rPr>
              <w:t>50—1000</w:t>
            </w:r>
          </w:p>
          <w:p w14:paraId="42DFDAA6" w14:textId="77777777" w:rsidR="007001FA" w:rsidRPr="00F61D8E" w:rsidRDefault="007001FA" w:rsidP="00CD5E09">
            <w:pPr>
              <w:pStyle w:val="table-text-0"/>
              <w:numPr>
                <w:ilvl w:val="12"/>
                <w:numId w:val="0"/>
              </w:numPr>
              <w:spacing w:before="0" w:after="0"/>
              <w:rPr>
                <w:sz w:val="24"/>
                <w:szCs w:val="24"/>
              </w:rPr>
            </w:pPr>
            <w:r w:rsidRPr="00F61D8E">
              <w:rPr>
                <w:sz w:val="24"/>
                <w:szCs w:val="24"/>
              </w:rPr>
              <w:t>(150/3—3000/3)</w:t>
            </w:r>
          </w:p>
        </w:tc>
        <w:tc>
          <w:tcPr>
            <w:tcW w:w="1530" w:type="dxa"/>
          </w:tcPr>
          <w:p w14:paraId="20D3E3C1" w14:textId="77777777" w:rsidR="007001FA" w:rsidRPr="00F61D8E" w:rsidRDefault="007001FA" w:rsidP="00CD5E09">
            <w:pPr>
              <w:pStyle w:val="table-text-0"/>
              <w:numPr>
                <w:ilvl w:val="12"/>
                <w:numId w:val="0"/>
              </w:numPr>
              <w:spacing w:before="0" w:after="0"/>
              <w:rPr>
                <w:sz w:val="24"/>
                <w:szCs w:val="24"/>
              </w:rPr>
            </w:pPr>
            <w:r w:rsidRPr="00F61D8E">
              <w:rPr>
                <w:sz w:val="24"/>
                <w:szCs w:val="24"/>
              </w:rPr>
              <w:t>Лимфоциты</w:t>
            </w:r>
          </w:p>
        </w:tc>
        <w:tc>
          <w:tcPr>
            <w:tcW w:w="1253" w:type="dxa"/>
          </w:tcPr>
          <w:p w14:paraId="7BD52798" w14:textId="77777777" w:rsidR="007001FA" w:rsidRPr="00F61D8E" w:rsidRDefault="007001FA" w:rsidP="00CD5E09">
            <w:pPr>
              <w:pStyle w:val="table-text-0"/>
              <w:numPr>
                <w:ilvl w:val="12"/>
                <w:numId w:val="0"/>
              </w:numPr>
              <w:spacing w:before="0" w:after="0"/>
              <w:rPr>
                <w:sz w:val="24"/>
                <w:szCs w:val="24"/>
              </w:rPr>
            </w:pPr>
            <w:r w:rsidRPr="00F61D8E">
              <w:rPr>
                <w:sz w:val="24"/>
                <w:szCs w:val="24"/>
              </w:rPr>
              <w:t>0,5—2</w:t>
            </w:r>
          </w:p>
        </w:tc>
        <w:tc>
          <w:tcPr>
            <w:tcW w:w="1530" w:type="dxa"/>
          </w:tcPr>
          <w:p w14:paraId="3B5CF32C" w14:textId="77777777" w:rsidR="007001FA" w:rsidRPr="00F61D8E" w:rsidRDefault="007001FA" w:rsidP="00CD5E09">
            <w:pPr>
              <w:pStyle w:val="table-text-0"/>
              <w:numPr>
                <w:ilvl w:val="12"/>
                <w:numId w:val="0"/>
              </w:numPr>
              <w:spacing w:before="0" w:after="0"/>
              <w:rPr>
                <w:sz w:val="24"/>
                <w:szCs w:val="24"/>
              </w:rPr>
            </w:pPr>
            <w:r w:rsidRPr="00F61D8E">
              <w:rPr>
                <w:sz w:val="24"/>
                <w:szCs w:val="24"/>
              </w:rPr>
              <w:t>Норма или снижение</w:t>
            </w:r>
          </w:p>
        </w:tc>
        <w:tc>
          <w:tcPr>
            <w:tcW w:w="1358" w:type="dxa"/>
          </w:tcPr>
          <w:p w14:paraId="77E9A9AF" w14:textId="77777777" w:rsidR="007001FA" w:rsidRPr="00F61D8E" w:rsidRDefault="007001FA" w:rsidP="00CD5E09">
            <w:pPr>
              <w:pStyle w:val="table-text-0"/>
              <w:numPr>
                <w:ilvl w:val="12"/>
                <w:numId w:val="0"/>
              </w:numPr>
              <w:spacing w:before="0" w:after="0"/>
              <w:rPr>
                <w:sz w:val="24"/>
                <w:szCs w:val="24"/>
              </w:rPr>
            </w:pPr>
            <w:r w:rsidRPr="00F61D8E">
              <w:rPr>
                <w:sz w:val="24"/>
                <w:szCs w:val="24"/>
              </w:rPr>
              <w:t>&lt; 2,8</w:t>
            </w:r>
          </w:p>
        </w:tc>
      </w:tr>
      <w:tr w:rsidR="007001FA" w:rsidRPr="00F61D8E" w14:paraId="3FDC83AC" w14:textId="77777777" w:rsidTr="00CD5E09">
        <w:tc>
          <w:tcPr>
            <w:tcW w:w="1951" w:type="dxa"/>
          </w:tcPr>
          <w:p w14:paraId="0AA7E3A2" w14:textId="77777777" w:rsidR="007001FA" w:rsidRPr="00F61D8E" w:rsidRDefault="007001FA" w:rsidP="00CD5E09">
            <w:pPr>
              <w:pStyle w:val="table-text-0"/>
              <w:numPr>
                <w:ilvl w:val="12"/>
                <w:numId w:val="0"/>
              </w:numPr>
              <w:spacing w:before="0" w:after="0"/>
              <w:rPr>
                <w:sz w:val="24"/>
                <w:szCs w:val="24"/>
              </w:rPr>
            </w:pPr>
            <w:r w:rsidRPr="00F61D8E">
              <w:rPr>
                <w:sz w:val="24"/>
                <w:szCs w:val="24"/>
              </w:rPr>
              <w:t>Криптококковый менингит</w:t>
            </w:r>
          </w:p>
        </w:tc>
        <w:tc>
          <w:tcPr>
            <w:tcW w:w="1949" w:type="dxa"/>
          </w:tcPr>
          <w:p w14:paraId="65D466C3" w14:textId="77777777" w:rsidR="007001FA" w:rsidRPr="00F61D8E" w:rsidRDefault="007001FA" w:rsidP="00CD5E09">
            <w:pPr>
              <w:pStyle w:val="table-text-0"/>
              <w:numPr>
                <w:ilvl w:val="12"/>
                <w:numId w:val="0"/>
              </w:numPr>
              <w:spacing w:before="0" w:after="0"/>
              <w:rPr>
                <w:sz w:val="24"/>
                <w:szCs w:val="24"/>
              </w:rPr>
            </w:pPr>
            <w:r w:rsidRPr="00F61D8E">
              <w:rPr>
                <w:sz w:val="24"/>
                <w:szCs w:val="24"/>
              </w:rPr>
              <w:t>0—100</w:t>
            </w:r>
          </w:p>
          <w:p w14:paraId="2077276D" w14:textId="77777777" w:rsidR="007001FA" w:rsidRPr="00F61D8E" w:rsidRDefault="007001FA" w:rsidP="00CD5E09">
            <w:pPr>
              <w:pStyle w:val="table-text-0"/>
              <w:numPr>
                <w:ilvl w:val="12"/>
                <w:numId w:val="0"/>
              </w:numPr>
              <w:spacing w:before="0" w:after="0"/>
              <w:rPr>
                <w:sz w:val="24"/>
                <w:szCs w:val="24"/>
              </w:rPr>
            </w:pPr>
            <w:r w:rsidRPr="00F61D8E">
              <w:rPr>
                <w:sz w:val="24"/>
                <w:szCs w:val="24"/>
              </w:rPr>
              <w:t>(0/3—300/3)</w:t>
            </w:r>
          </w:p>
        </w:tc>
        <w:tc>
          <w:tcPr>
            <w:tcW w:w="1530" w:type="dxa"/>
          </w:tcPr>
          <w:p w14:paraId="1630393F" w14:textId="77777777" w:rsidR="007001FA" w:rsidRPr="00F61D8E" w:rsidRDefault="007001FA" w:rsidP="00CD5E09">
            <w:pPr>
              <w:pStyle w:val="table-text-0"/>
              <w:numPr>
                <w:ilvl w:val="12"/>
                <w:numId w:val="0"/>
              </w:numPr>
              <w:spacing w:before="0" w:after="0"/>
              <w:rPr>
                <w:sz w:val="24"/>
                <w:szCs w:val="24"/>
              </w:rPr>
            </w:pPr>
            <w:r w:rsidRPr="00F61D8E">
              <w:rPr>
                <w:sz w:val="24"/>
                <w:szCs w:val="24"/>
              </w:rPr>
              <w:t>Лимфоциты</w:t>
            </w:r>
          </w:p>
        </w:tc>
        <w:tc>
          <w:tcPr>
            <w:tcW w:w="1253" w:type="dxa"/>
          </w:tcPr>
          <w:p w14:paraId="5310E5A6" w14:textId="77777777" w:rsidR="007001FA" w:rsidRPr="00F61D8E" w:rsidRDefault="007001FA" w:rsidP="00CD5E09">
            <w:pPr>
              <w:pStyle w:val="table-text-0"/>
              <w:numPr>
                <w:ilvl w:val="12"/>
                <w:numId w:val="0"/>
              </w:numPr>
              <w:spacing w:before="0" w:after="0"/>
              <w:rPr>
                <w:sz w:val="24"/>
                <w:szCs w:val="24"/>
              </w:rPr>
            </w:pPr>
            <w:r w:rsidRPr="00F61D8E">
              <w:rPr>
                <w:sz w:val="24"/>
                <w:szCs w:val="24"/>
              </w:rPr>
              <w:t>Норма или повышение</w:t>
            </w:r>
          </w:p>
        </w:tc>
        <w:tc>
          <w:tcPr>
            <w:tcW w:w="1530" w:type="dxa"/>
          </w:tcPr>
          <w:p w14:paraId="4A47013F" w14:textId="77777777" w:rsidR="007001FA" w:rsidRPr="00F61D8E" w:rsidRDefault="007001FA" w:rsidP="00CD5E09">
            <w:pPr>
              <w:pStyle w:val="table-text-0"/>
              <w:numPr>
                <w:ilvl w:val="12"/>
                <w:numId w:val="0"/>
              </w:numPr>
              <w:spacing w:before="0" w:after="0"/>
              <w:rPr>
                <w:sz w:val="24"/>
                <w:szCs w:val="24"/>
              </w:rPr>
            </w:pPr>
            <w:r w:rsidRPr="00F61D8E">
              <w:rPr>
                <w:sz w:val="24"/>
                <w:szCs w:val="24"/>
              </w:rPr>
              <w:t>Норма или снижение</w:t>
            </w:r>
          </w:p>
        </w:tc>
        <w:tc>
          <w:tcPr>
            <w:tcW w:w="1358" w:type="dxa"/>
          </w:tcPr>
          <w:p w14:paraId="2107B5F7" w14:textId="77777777" w:rsidR="007001FA" w:rsidRPr="00F61D8E" w:rsidRDefault="007001FA" w:rsidP="00CD5E09">
            <w:pPr>
              <w:pStyle w:val="table-text-0"/>
              <w:numPr>
                <w:ilvl w:val="12"/>
                <w:numId w:val="0"/>
              </w:numPr>
              <w:spacing w:before="0" w:after="0"/>
              <w:rPr>
                <w:sz w:val="24"/>
                <w:szCs w:val="24"/>
              </w:rPr>
            </w:pPr>
            <w:r w:rsidRPr="00F61D8E">
              <w:rPr>
                <w:sz w:val="24"/>
                <w:szCs w:val="24"/>
              </w:rPr>
              <w:t>&lt; 4</w:t>
            </w:r>
          </w:p>
        </w:tc>
      </w:tr>
      <w:tr w:rsidR="007001FA" w:rsidRPr="00F61D8E" w14:paraId="62116CD3" w14:textId="77777777" w:rsidTr="00CD5E09">
        <w:tc>
          <w:tcPr>
            <w:tcW w:w="1951" w:type="dxa"/>
          </w:tcPr>
          <w:p w14:paraId="09B42724" w14:textId="77777777" w:rsidR="007001FA" w:rsidRPr="00F61D8E" w:rsidRDefault="007001FA" w:rsidP="00CD5E09">
            <w:pPr>
              <w:pStyle w:val="table-text-0"/>
              <w:numPr>
                <w:ilvl w:val="12"/>
                <w:numId w:val="0"/>
              </w:numPr>
              <w:spacing w:before="0" w:after="0"/>
              <w:rPr>
                <w:sz w:val="24"/>
                <w:szCs w:val="24"/>
              </w:rPr>
            </w:pPr>
            <w:r w:rsidRPr="00F61D8E">
              <w:rPr>
                <w:sz w:val="24"/>
                <w:szCs w:val="24"/>
              </w:rPr>
              <w:t>Туберкулезный менингит</w:t>
            </w:r>
          </w:p>
        </w:tc>
        <w:tc>
          <w:tcPr>
            <w:tcW w:w="1949" w:type="dxa"/>
          </w:tcPr>
          <w:p w14:paraId="5F4E58C2" w14:textId="77777777" w:rsidR="007001FA" w:rsidRPr="00F61D8E" w:rsidRDefault="007001FA" w:rsidP="00CD5E09">
            <w:pPr>
              <w:pStyle w:val="table-text-0"/>
              <w:numPr>
                <w:ilvl w:val="12"/>
                <w:numId w:val="0"/>
              </w:numPr>
              <w:spacing w:before="0" w:after="0"/>
              <w:rPr>
                <w:sz w:val="24"/>
                <w:szCs w:val="24"/>
              </w:rPr>
            </w:pPr>
            <w:r w:rsidRPr="00F61D8E">
              <w:rPr>
                <w:sz w:val="24"/>
                <w:szCs w:val="24"/>
              </w:rPr>
              <w:t>&gt; 25</w:t>
            </w:r>
          </w:p>
          <w:p w14:paraId="5BAFEBA8" w14:textId="77777777" w:rsidR="007001FA" w:rsidRPr="00F61D8E" w:rsidRDefault="007001FA" w:rsidP="00CD5E09">
            <w:pPr>
              <w:pStyle w:val="table-text-0"/>
              <w:numPr>
                <w:ilvl w:val="12"/>
                <w:numId w:val="0"/>
              </w:numPr>
              <w:spacing w:before="0" w:after="0"/>
              <w:rPr>
                <w:sz w:val="24"/>
                <w:szCs w:val="24"/>
              </w:rPr>
            </w:pPr>
            <w:r w:rsidRPr="00F61D8E">
              <w:rPr>
                <w:sz w:val="24"/>
                <w:szCs w:val="24"/>
              </w:rPr>
              <w:t>(&gt; 75/3)</w:t>
            </w:r>
          </w:p>
        </w:tc>
        <w:tc>
          <w:tcPr>
            <w:tcW w:w="1530" w:type="dxa"/>
          </w:tcPr>
          <w:p w14:paraId="06F07C6D" w14:textId="77777777" w:rsidR="007001FA" w:rsidRPr="00F61D8E" w:rsidRDefault="007001FA" w:rsidP="00CD5E09">
            <w:pPr>
              <w:pStyle w:val="table-text-0"/>
              <w:numPr>
                <w:ilvl w:val="12"/>
                <w:numId w:val="0"/>
              </w:numPr>
              <w:spacing w:before="0" w:after="0"/>
              <w:rPr>
                <w:sz w:val="24"/>
                <w:szCs w:val="24"/>
              </w:rPr>
            </w:pPr>
            <w:r w:rsidRPr="00F61D8E">
              <w:rPr>
                <w:sz w:val="24"/>
                <w:szCs w:val="24"/>
              </w:rPr>
              <w:t>Лимфоциты</w:t>
            </w:r>
          </w:p>
        </w:tc>
        <w:tc>
          <w:tcPr>
            <w:tcW w:w="1253" w:type="dxa"/>
          </w:tcPr>
          <w:p w14:paraId="52E226C1" w14:textId="77777777" w:rsidR="007001FA" w:rsidRPr="00F61D8E" w:rsidRDefault="007001FA" w:rsidP="00CD5E09">
            <w:pPr>
              <w:pStyle w:val="table-text-0"/>
              <w:numPr>
                <w:ilvl w:val="12"/>
                <w:numId w:val="0"/>
              </w:numPr>
              <w:spacing w:before="0" w:after="0"/>
              <w:rPr>
                <w:sz w:val="24"/>
                <w:szCs w:val="24"/>
              </w:rPr>
            </w:pPr>
            <w:r w:rsidRPr="00F61D8E">
              <w:rPr>
                <w:sz w:val="24"/>
                <w:szCs w:val="24"/>
              </w:rPr>
              <w:t>1—10</w:t>
            </w:r>
          </w:p>
        </w:tc>
        <w:tc>
          <w:tcPr>
            <w:tcW w:w="1530" w:type="dxa"/>
          </w:tcPr>
          <w:p w14:paraId="48F5AD0E" w14:textId="77777777" w:rsidR="007001FA" w:rsidRPr="00F61D8E" w:rsidRDefault="007001FA" w:rsidP="00CD5E09">
            <w:pPr>
              <w:pStyle w:val="table-text-0"/>
              <w:numPr>
                <w:ilvl w:val="12"/>
                <w:numId w:val="0"/>
              </w:numPr>
              <w:spacing w:before="0" w:after="0"/>
              <w:rPr>
                <w:sz w:val="24"/>
                <w:szCs w:val="24"/>
              </w:rPr>
            </w:pPr>
            <w:r w:rsidRPr="00F61D8E">
              <w:rPr>
                <w:sz w:val="24"/>
                <w:szCs w:val="24"/>
              </w:rPr>
              <w:t>&lt; 1,9 (или соотношение концентраций глюкозы в СМЖ и крови &lt; 0,5)</w:t>
            </w:r>
          </w:p>
        </w:tc>
        <w:tc>
          <w:tcPr>
            <w:tcW w:w="1358" w:type="dxa"/>
          </w:tcPr>
          <w:p w14:paraId="13FCBDFE" w14:textId="77777777" w:rsidR="007001FA" w:rsidRPr="00F61D8E" w:rsidRDefault="007001FA" w:rsidP="00CD5E09">
            <w:pPr>
              <w:pStyle w:val="table-text-0"/>
              <w:numPr>
                <w:ilvl w:val="12"/>
                <w:numId w:val="0"/>
              </w:numPr>
              <w:spacing w:before="0" w:after="0"/>
              <w:rPr>
                <w:sz w:val="24"/>
                <w:szCs w:val="24"/>
              </w:rPr>
            </w:pPr>
            <w:r w:rsidRPr="00F61D8E">
              <w:rPr>
                <w:sz w:val="24"/>
                <w:szCs w:val="24"/>
              </w:rPr>
              <w:t>&gt; 3</w:t>
            </w:r>
          </w:p>
        </w:tc>
      </w:tr>
      <w:tr w:rsidR="007001FA" w:rsidRPr="00F61D8E" w14:paraId="346F7E60" w14:textId="77777777" w:rsidTr="00CD5E09">
        <w:tc>
          <w:tcPr>
            <w:tcW w:w="1951" w:type="dxa"/>
          </w:tcPr>
          <w:p w14:paraId="5188B34B" w14:textId="77777777" w:rsidR="007001FA" w:rsidRPr="00F61D8E" w:rsidRDefault="007001FA" w:rsidP="00CD5E09">
            <w:pPr>
              <w:pStyle w:val="table-text-0"/>
              <w:numPr>
                <w:ilvl w:val="12"/>
                <w:numId w:val="0"/>
              </w:numPr>
              <w:spacing w:before="0" w:after="0"/>
              <w:rPr>
                <w:sz w:val="24"/>
                <w:szCs w:val="24"/>
              </w:rPr>
            </w:pPr>
            <w:r w:rsidRPr="00F61D8E">
              <w:rPr>
                <w:sz w:val="24"/>
                <w:szCs w:val="24"/>
              </w:rPr>
              <w:t>Субарахноидальное кровоизлияние</w:t>
            </w:r>
          </w:p>
        </w:tc>
        <w:tc>
          <w:tcPr>
            <w:tcW w:w="1949" w:type="dxa"/>
          </w:tcPr>
          <w:p w14:paraId="04531985" w14:textId="77777777" w:rsidR="007001FA" w:rsidRPr="00F61D8E" w:rsidRDefault="007001FA" w:rsidP="00CD5E09">
            <w:pPr>
              <w:pStyle w:val="table-text-0"/>
              <w:numPr>
                <w:ilvl w:val="12"/>
                <w:numId w:val="0"/>
              </w:numPr>
              <w:spacing w:before="0" w:after="0"/>
              <w:rPr>
                <w:sz w:val="24"/>
                <w:szCs w:val="24"/>
              </w:rPr>
            </w:pPr>
            <w:r w:rsidRPr="00F61D8E">
              <w:rPr>
                <w:sz w:val="24"/>
                <w:szCs w:val="24"/>
              </w:rPr>
              <w:t>Эритроциты</w:t>
            </w:r>
          </w:p>
        </w:tc>
        <w:tc>
          <w:tcPr>
            <w:tcW w:w="1530" w:type="dxa"/>
          </w:tcPr>
          <w:p w14:paraId="0306AB8F" w14:textId="77777777" w:rsidR="007001FA" w:rsidRPr="00F61D8E" w:rsidRDefault="007001FA" w:rsidP="00CD5E09">
            <w:pPr>
              <w:pStyle w:val="table-text-0"/>
              <w:numPr>
                <w:ilvl w:val="12"/>
                <w:numId w:val="0"/>
              </w:numPr>
              <w:spacing w:before="0" w:after="0"/>
              <w:rPr>
                <w:sz w:val="24"/>
                <w:szCs w:val="24"/>
              </w:rPr>
            </w:pPr>
            <w:r w:rsidRPr="00F61D8E">
              <w:rPr>
                <w:sz w:val="24"/>
                <w:szCs w:val="24"/>
              </w:rPr>
              <w:t>Эритроциты</w:t>
            </w:r>
          </w:p>
        </w:tc>
        <w:tc>
          <w:tcPr>
            <w:tcW w:w="1253" w:type="dxa"/>
          </w:tcPr>
          <w:p w14:paraId="31F02ED1" w14:textId="77777777" w:rsidR="007001FA" w:rsidRPr="00F61D8E" w:rsidRDefault="007001FA" w:rsidP="00CD5E09">
            <w:pPr>
              <w:pStyle w:val="table-text-0"/>
              <w:numPr>
                <w:ilvl w:val="12"/>
                <w:numId w:val="0"/>
              </w:numPr>
              <w:spacing w:before="0" w:after="0"/>
              <w:rPr>
                <w:sz w:val="24"/>
                <w:szCs w:val="24"/>
              </w:rPr>
            </w:pPr>
            <w:r w:rsidRPr="00F61D8E">
              <w:rPr>
                <w:sz w:val="24"/>
                <w:szCs w:val="24"/>
              </w:rPr>
              <w:t>0,6—1,5</w:t>
            </w:r>
          </w:p>
        </w:tc>
        <w:tc>
          <w:tcPr>
            <w:tcW w:w="1530" w:type="dxa"/>
          </w:tcPr>
          <w:p w14:paraId="6640E5A9" w14:textId="77777777" w:rsidR="007001FA" w:rsidRPr="00F61D8E" w:rsidRDefault="007001FA" w:rsidP="00CD5E09">
            <w:pPr>
              <w:pStyle w:val="table-text-0"/>
              <w:numPr>
                <w:ilvl w:val="12"/>
                <w:numId w:val="0"/>
              </w:numPr>
              <w:spacing w:before="0" w:after="0"/>
              <w:rPr>
                <w:sz w:val="24"/>
                <w:szCs w:val="24"/>
              </w:rPr>
            </w:pPr>
            <w:r w:rsidRPr="00F61D8E">
              <w:rPr>
                <w:sz w:val="24"/>
                <w:szCs w:val="24"/>
              </w:rPr>
              <w:t>Норма</w:t>
            </w:r>
          </w:p>
        </w:tc>
        <w:tc>
          <w:tcPr>
            <w:tcW w:w="1358" w:type="dxa"/>
          </w:tcPr>
          <w:p w14:paraId="62B77E27" w14:textId="77777777" w:rsidR="007001FA" w:rsidRPr="00F61D8E" w:rsidRDefault="007001FA" w:rsidP="00CD5E09">
            <w:pPr>
              <w:pStyle w:val="table-text-0"/>
              <w:numPr>
                <w:ilvl w:val="12"/>
                <w:numId w:val="0"/>
              </w:numPr>
              <w:spacing w:before="0" w:after="0"/>
              <w:rPr>
                <w:sz w:val="24"/>
                <w:szCs w:val="24"/>
              </w:rPr>
            </w:pPr>
            <w:r w:rsidRPr="00F61D8E">
              <w:rPr>
                <w:sz w:val="24"/>
                <w:szCs w:val="24"/>
              </w:rPr>
              <w:t>&lt; 2,8</w:t>
            </w:r>
          </w:p>
        </w:tc>
      </w:tr>
      <w:tr w:rsidR="007001FA" w:rsidRPr="00F61D8E" w14:paraId="4F9E5E3C" w14:textId="77777777" w:rsidTr="00CD5E09">
        <w:tc>
          <w:tcPr>
            <w:tcW w:w="1951" w:type="dxa"/>
          </w:tcPr>
          <w:p w14:paraId="34500B68" w14:textId="77777777" w:rsidR="007001FA" w:rsidRPr="00F61D8E" w:rsidRDefault="007001FA" w:rsidP="00CD5E09">
            <w:pPr>
              <w:pStyle w:val="table-text-0"/>
              <w:numPr>
                <w:ilvl w:val="12"/>
                <w:numId w:val="0"/>
              </w:numPr>
              <w:spacing w:before="0" w:after="0"/>
              <w:rPr>
                <w:sz w:val="24"/>
                <w:szCs w:val="24"/>
              </w:rPr>
            </w:pPr>
            <w:r w:rsidRPr="00F61D8E">
              <w:rPr>
                <w:sz w:val="24"/>
                <w:szCs w:val="24"/>
              </w:rPr>
              <w:t>Норма</w:t>
            </w:r>
          </w:p>
        </w:tc>
        <w:tc>
          <w:tcPr>
            <w:tcW w:w="1949" w:type="dxa"/>
          </w:tcPr>
          <w:p w14:paraId="7DD26926" w14:textId="77777777" w:rsidR="007001FA" w:rsidRPr="00F61D8E" w:rsidRDefault="007001FA" w:rsidP="00CD5E09">
            <w:pPr>
              <w:pStyle w:val="table-text-0"/>
              <w:numPr>
                <w:ilvl w:val="12"/>
                <w:numId w:val="0"/>
              </w:numPr>
              <w:spacing w:before="0" w:after="0"/>
              <w:rPr>
                <w:sz w:val="24"/>
                <w:szCs w:val="24"/>
              </w:rPr>
            </w:pPr>
            <w:r w:rsidRPr="00F61D8E">
              <w:rPr>
                <w:sz w:val="24"/>
                <w:szCs w:val="24"/>
              </w:rPr>
              <w:t>&lt; 6 (&lt; 18/3)</w:t>
            </w:r>
          </w:p>
        </w:tc>
        <w:tc>
          <w:tcPr>
            <w:tcW w:w="1530" w:type="dxa"/>
          </w:tcPr>
          <w:p w14:paraId="0C18C4E1" w14:textId="77777777" w:rsidR="007001FA" w:rsidRPr="00F61D8E" w:rsidRDefault="007001FA" w:rsidP="00CD5E09">
            <w:pPr>
              <w:pStyle w:val="table-text-0"/>
              <w:numPr>
                <w:ilvl w:val="12"/>
                <w:numId w:val="0"/>
              </w:numPr>
              <w:spacing w:before="0" w:after="0"/>
              <w:rPr>
                <w:sz w:val="24"/>
                <w:szCs w:val="24"/>
              </w:rPr>
            </w:pPr>
            <w:r w:rsidRPr="00F61D8E">
              <w:rPr>
                <w:sz w:val="24"/>
                <w:szCs w:val="24"/>
              </w:rPr>
              <w:t>Только лимфоциты</w:t>
            </w:r>
          </w:p>
        </w:tc>
        <w:tc>
          <w:tcPr>
            <w:tcW w:w="1253" w:type="dxa"/>
          </w:tcPr>
          <w:p w14:paraId="2D4598C6" w14:textId="77777777" w:rsidR="007001FA" w:rsidRPr="00F61D8E" w:rsidRDefault="007001FA" w:rsidP="00CD5E09">
            <w:pPr>
              <w:pStyle w:val="table-text-0"/>
              <w:numPr>
                <w:ilvl w:val="12"/>
                <w:numId w:val="0"/>
              </w:numPr>
              <w:spacing w:before="0" w:after="0"/>
              <w:rPr>
                <w:sz w:val="24"/>
                <w:szCs w:val="24"/>
              </w:rPr>
            </w:pPr>
            <w:r w:rsidRPr="00F61D8E">
              <w:rPr>
                <w:sz w:val="24"/>
                <w:szCs w:val="24"/>
              </w:rPr>
              <w:t>&lt; 0,33</w:t>
            </w:r>
          </w:p>
        </w:tc>
        <w:tc>
          <w:tcPr>
            <w:tcW w:w="1530" w:type="dxa"/>
          </w:tcPr>
          <w:p w14:paraId="62029DC6" w14:textId="77777777" w:rsidR="007001FA" w:rsidRPr="00F61D8E" w:rsidRDefault="007001FA" w:rsidP="00CD5E09">
            <w:pPr>
              <w:pStyle w:val="table-text-0"/>
              <w:numPr>
                <w:ilvl w:val="12"/>
                <w:numId w:val="0"/>
              </w:numPr>
              <w:spacing w:before="0" w:after="0"/>
              <w:rPr>
                <w:sz w:val="24"/>
                <w:szCs w:val="24"/>
              </w:rPr>
            </w:pPr>
            <w:r w:rsidRPr="00F61D8E">
              <w:rPr>
                <w:sz w:val="24"/>
                <w:szCs w:val="24"/>
              </w:rPr>
              <w:t xml:space="preserve">Соотношение концентраций глюкозы в </w:t>
            </w:r>
            <w:r w:rsidRPr="00F61D8E">
              <w:rPr>
                <w:sz w:val="24"/>
                <w:szCs w:val="24"/>
              </w:rPr>
              <w:lastRenderedPageBreak/>
              <w:t xml:space="preserve">СМЖ и крови </w:t>
            </w:r>
            <w:r w:rsidRPr="00F61D8E">
              <w:rPr>
                <w:sz w:val="24"/>
                <w:szCs w:val="24"/>
              </w:rPr>
              <w:t> 0,5</w:t>
            </w:r>
          </w:p>
        </w:tc>
        <w:tc>
          <w:tcPr>
            <w:tcW w:w="1358" w:type="dxa"/>
          </w:tcPr>
          <w:p w14:paraId="196B9777" w14:textId="77777777" w:rsidR="007001FA" w:rsidRPr="00F61D8E" w:rsidRDefault="007001FA" w:rsidP="00CD5E09">
            <w:pPr>
              <w:pStyle w:val="table-text-0"/>
              <w:numPr>
                <w:ilvl w:val="12"/>
                <w:numId w:val="0"/>
              </w:numPr>
              <w:spacing w:before="0" w:after="0"/>
              <w:rPr>
                <w:sz w:val="24"/>
                <w:szCs w:val="24"/>
              </w:rPr>
            </w:pPr>
            <w:r w:rsidRPr="00F61D8E">
              <w:rPr>
                <w:sz w:val="24"/>
                <w:szCs w:val="24"/>
              </w:rPr>
              <w:lastRenderedPageBreak/>
              <w:t>&lt; 2,8</w:t>
            </w:r>
          </w:p>
        </w:tc>
      </w:tr>
    </w:tbl>
    <w:p w14:paraId="099211DF" w14:textId="77777777" w:rsidR="007001FA" w:rsidRPr="00F61D8E" w:rsidRDefault="007001FA" w:rsidP="007001FA">
      <w:pPr>
        <w:ind w:firstLine="283"/>
      </w:pPr>
    </w:p>
    <w:p w14:paraId="30421952" w14:textId="77777777" w:rsidR="00E332F3" w:rsidRDefault="00E332F3" w:rsidP="007001FA">
      <w:pPr>
        <w:ind w:firstLine="708"/>
        <w:rPr>
          <w:i/>
          <w:iCs/>
          <w:u w:val="single"/>
        </w:rPr>
      </w:pPr>
    </w:p>
    <w:p w14:paraId="5F58CB6D" w14:textId="77777777" w:rsidR="00E332F3" w:rsidRDefault="00E332F3" w:rsidP="00E332F3">
      <w:pPr>
        <w:rPr>
          <w:i/>
          <w:iCs/>
          <w:u w:val="single"/>
        </w:rPr>
      </w:pPr>
    </w:p>
    <w:p w14:paraId="43C444F8" w14:textId="186ACA5C" w:rsidR="007001FA" w:rsidRPr="00B611F7" w:rsidRDefault="007001FA" w:rsidP="00E332F3">
      <w:pPr>
        <w:rPr>
          <w:b/>
          <w:bCs/>
          <w:i/>
          <w:iCs/>
          <w:u w:val="single"/>
        </w:rPr>
      </w:pPr>
      <w:r w:rsidRPr="00B611F7">
        <w:rPr>
          <w:i/>
          <w:iCs/>
          <w:u w:val="single"/>
        </w:rPr>
        <w:t xml:space="preserve">Осложнения ЛП </w:t>
      </w:r>
      <w:r w:rsidRPr="00B611F7">
        <w:rPr>
          <w:b/>
          <w:bCs/>
          <w:i/>
          <w:iCs/>
          <w:u w:val="single"/>
        </w:rPr>
        <w:fldChar w:fldCharType="begin" w:fldLock="1"/>
      </w:r>
      <w:r w:rsidR="00A67ED2">
        <w:rPr>
          <w:i/>
          <w:iCs/>
          <w:u w:val="single"/>
        </w:rPr>
        <w:instrText>ADDIN CSL_CITATION {"citationItems":[{"id":"ITEM-1","itemData":{"author":[{"dropping-particle":"","family":"Fong","given":"B.","non-dropping-particle":"","parse-names":false,"suffix":""},{"dropping-particle":"","family":"Bendegon","given":"J. M.","non-dropping-particle":"Van","parse-names":false,"suffix":""}],"container-title":"Rechman, E.F., Simon, R.R., eds. Emergency Medicine Procedures","id":"ITEM-1","issued":{"date-parts":[["2004"]]},"page":"859-880","publisher":"New York: McGraw-Hill","title":"Lumbar puncture. Neurologic and neurosurgical procedures","type":"chapter"},"uris":["http://www.mendeley.com/documents/?uuid=a67dc750-5040-4374-a1b2-800ecfc67c59"]}],"mendeley":{"formattedCitation":"[175]","plainTextFormattedCitation":"[175]","previouslyFormattedCitation":"[155]"},"properties":{"noteIndex":0},"schema":"https://github.com/citation-style-language/schema/raw/master/csl-citation.json"}</w:instrText>
      </w:r>
      <w:r w:rsidRPr="00B611F7">
        <w:rPr>
          <w:b/>
          <w:bCs/>
          <w:i/>
          <w:iCs/>
          <w:u w:val="single"/>
        </w:rPr>
        <w:fldChar w:fldCharType="separate"/>
      </w:r>
      <w:r w:rsidR="00A67ED2" w:rsidRPr="00A67ED2">
        <w:rPr>
          <w:iCs/>
          <w:noProof/>
        </w:rPr>
        <w:t>[175]</w:t>
      </w:r>
      <w:r w:rsidRPr="00B611F7">
        <w:rPr>
          <w:b/>
          <w:bCs/>
          <w:i/>
          <w:iCs/>
          <w:u w:val="single"/>
        </w:rPr>
        <w:fldChar w:fldCharType="end"/>
      </w:r>
    </w:p>
    <w:p w14:paraId="5B96B755" w14:textId="77777777" w:rsidR="007001FA" w:rsidRPr="00B611F7" w:rsidRDefault="007001FA" w:rsidP="007001FA">
      <w:pPr>
        <w:ind w:firstLine="708"/>
        <w:rPr>
          <w:b/>
          <w:u w:val="single"/>
        </w:rPr>
      </w:pPr>
      <w:r w:rsidRPr="00B611F7">
        <w:rPr>
          <w:u w:val="single"/>
        </w:rPr>
        <w:t>Травматическая пункция</w:t>
      </w:r>
    </w:p>
    <w:p w14:paraId="40041E88" w14:textId="77777777" w:rsidR="007001FA" w:rsidRPr="00F61D8E" w:rsidRDefault="007001FA" w:rsidP="007001FA">
      <w:pPr>
        <w:ind w:firstLine="709"/>
      </w:pPr>
      <w:r w:rsidRPr="00F61D8E">
        <w:t>При травматической пункции возможна примесь крови в ликворе. Частота травматической пункции с примесью крови в среднем 20%. Для ее выявления измеряется клеточный состав в 3 порциях СМЖ. Если число эритроцитов постоянно во всех порциях, то вероятно внутричерепное кровоизлияние. Уменьшение числа эритроцитов в последующих порциях свидетельствует о травматической пункции. При травматической пункции рекомендуется повторить пункцию на более высоком уровне. При травматической пункции (примеси эритроцитов в СМЖ) наличие бластных клеток может быть обусловлено не нейролейкемией, а контаминацией ликвора кровью.</w:t>
      </w:r>
    </w:p>
    <w:p w14:paraId="79141B66" w14:textId="77777777" w:rsidR="007001FA" w:rsidRPr="00F61D8E" w:rsidRDefault="007001FA" w:rsidP="007001FA"/>
    <w:p w14:paraId="136C09A6" w14:textId="77777777" w:rsidR="007001FA" w:rsidRPr="00F61D8E" w:rsidRDefault="007001FA" w:rsidP="007001FA">
      <w:pPr>
        <w:ind w:firstLine="709"/>
        <w:rPr>
          <w:u w:val="single"/>
        </w:rPr>
      </w:pPr>
      <w:r w:rsidRPr="00F61D8E">
        <w:rPr>
          <w:u w:val="single"/>
        </w:rPr>
        <w:t>Основные осложнения, встречающимися при проведении ЛП</w:t>
      </w:r>
    </w:p>
    <w:p w14:paraId="32BAE6DE" w14:textId="77777777" w:rsidR="007001FA" w:rsidRPr="00F61D8E" w:rsidRDefault="007001FA" w:rsidP="008C1767">
      <w:pPr>
        <w:pStyle w:val="FitzBullet"/>
        <w:widowControl w:val="0"/>
        <w:numPr>
          <w:ilvl w:val="0"/>
          <w:numId w:val="187"/>
        </w:numPr>
        <w:spacing w:before="0" w:after="0"/>
        <w:jc w:val="both"/>
      </w:pPr>
      <w:r w:rsidRPr="00F61D8E">
        <w:t>Головные боли.</w:t>
      </w:r>
    </w:p>
    <w:p w14:paraId="4737AA04" w14:textId="77777777" w:rsidR="007001FA" w:rsidRPr="00F61D8E" w:rsidRDefault="007001FA" w:rsidP="008C1767">
      <w:pPr>
        <w:pStyle w:val="FitzBullet"/>
        <w:widowControl w:val="0"/>
        <w:numPr>
          <w:ilvl w:val="0"/>
          <w:numId w:val="187"/>
        </w:numPr>
        <w:spacing w:before="0" w:after="0"/>
        <w:jc w:val="both"/>
      </w:pPr>
      <w:r w:rsidRPr="00F61D8E">
        <w:t>Боли в спине.</w:t>
      </w:r>
    </w:p>
    <w:p w14:paraId="3D822D5A" w14:textId="77777777" w:rsidR="007001FA" w:rsidRPr="00F61D8E" w:rsidRDefault="007001FA" w:rsidP="008C1767">
      <w:pPr>
        <w:pStyle w:val="FitzBullet"/>
        <w:widowControl w:val="0"/>
        <w:numPr>
          <w:ilvl w:val="0"/>
          <w:numId w:val="187"/>
        </w:numPr>
        <w:spacing w:before="0" w:after="0"/>
        <w:jc w:val="both"/>
      </w:pPr>
      <w:r w:rsidRPr="00F61D8E">
        <w:t>Инфекция.</w:t>
      </w:r>
    </w:p>
    <w:p w14:paraId="46129DA0" w14:textId="77777777" w:rsidR="007001FA" w:rsidRPr="00F61D8E" w:rsidRDefault="007001FA" w:rsidP="008C1767">
      <w:pPr>
        <w:pStyle w:val="FitzBullet"/>
        <w:widowControl w:val="0"/>
        <w:numPr>
          <w:ilvl w:val="0"/>
          <w:numId w:val="187"/>
        </w:numPr>
        <w:spacing w:before="0" w:after="0"/>
        <w:jc w:val="both"/>
      </w:pPr>
      <w:r w:rsidRPr="00F61D8E">
        <w:t>Субарахноидальная или эпидуральная гематома.</w:t>
      </w:r>
    </w:p>
    <w:p w14:paraId="5335EB59" w14:textId="77777777" w:rsidR="007001FA" w:rsidRPr="00F61D8E" w:rsidRDefault="007001FA" w:rsidP="008C1767">
      <w:pPr>
        <w:pStyle w:val="FitzBullet"/>
        <w:widowControl w:val="0"/>
        <w:numPr>
          <w:ilvl w:val="0"/>
          <w:numId w:val="187"/>
        </w:numPr>
        <w:spacing w:before="0" w:after="0"/>
        <w:jc w:val="both"/>
      </w:pPr>
      <w:r w:rsidRPr="00F61D8E">
        <w:t>Парез/паралич краниальных нервов.</w:t>
      </w:r>
    </w:p>
    <w:p w14:paraId="5692A892" w14:textId="77777777" w:rsidR="007001FA" w:rsidRPr="00F61D8E" w:rsidRDefault="007001FA" w:rsidP="008C1767">
      <w:pPr>
        <w:pStyle w:val="FitzBullet"/>
        <w:widowControl w:val="0"/>
        <w:numPr>
          <w:ilvl w:val="0"/>
          <w:numId w:val="187"/>
        </w:numPr>
        <w:spacing w:before="0" w:after="0"/>
        <w:jc w:val="both"/>
      </w:pPr>
      <w:r w:rsidRPr="00F61D8E">
        <w:t>Вклинение/дислокация мозга при внутричерепной гипертензии.</w:t>
      </w:r>
    </w:p>
    <w:p w14:paraId="5359D0D0" w14:textId="77777777" w:rsidR="007001FA" w:rsidRDefault="007001FA" w:rsidP="007001FA">
      <w:pPr>
        <w:pStyle w:val="3"/>
        <w:rPr>
          <w:b w:val="0"/>
          <w:u w:val="single"/>
        </w:rPr>
      </w:pPr>
    </w:p>
    <w:p w14:paraId="37ACAB5B" w14:textId="77777777" w:rsidR="007001FA" w:rsidRPr="00B611F7" w:rsidRDefault="007001FA" w:rsidP="007001FA">
      <w:pPr>
        <w:ind w:firstLine="708"/>
        <w:rPr>
          <w:b/>
          <w:u w:val="single"/>
        </w:rPr>
      </w:pPr>
      <w:r w:rsidRPr="00B611F7">
        <w:rPr>
          <w:u w:val="single"/>
        </w:rPr>
        <w:t>Постпункционная головная боль</w:t>
      </w:r>
    </w:p>
    <w:p w14:paraId="76369C32" w14:textId="77777777" w:rsidR="007001FA" w:rsidRPr="00F61D8E" w:rsidRDefault="007001FA" w:rsidP="007001FA">
      <w:pPr>
        <w:ind w:firstLine="709"/>
      </w:pPr>
      <w:r w:rsidRPr="00F61D8E">
        <w:t>Главную роль в развитии постпункционной головной боли играет постоянное истечение СМЖ из места пункции. Частота встречаемости — до 32%. Постпункционная головная боль в 4 раза чаще встречается у молодых людей, чем у пожилых в возрасте от 60 до 69 лет; этот факт объясняется тем, что у пожилых из-за атеросклероза ниже эластичность чувствительных к боли структур и из-за возрастных изменений эпидурального пространства. У молодых женщин постпункционная головная боль возникает вдвое чаще, чем у молодых мужчин.</w:t>
      </w:r>
    </w:p>
    <w:p w14:paraId="281317B6" w14:textId="77777777" w:rsidR="007001FA" w:rsidRPr="00F61D8E" w:rsidRDefault="007001FA" w:rsidP="007001FA">
      <w:pPr>
        <w:ind w:firstLine="709"/>
      </w:pPr>
      <w:r w:rsidRPr="00F61D8E">
        <w:t xml:space="preserve">Постпункционная головная боль возникает через 24—48 после пункции, но известны случаи, когда она возникала и через 12 дней после процедуры. Симптоматика обычно регрессирует спонтанно. Консервативное лечение приводит к исчезновению боли у 50% </w:t>
      </w:r>
      <w:r w:rsidRPr="00F61D8E">
        <w:lastRenderedPageBreak/>
        <w:t>больных через 4 дня, у 75% — через 7 дней и у 95% — через 6 недель. Самая большая описанная продолжительность постпункционной головной боли составила 19 месяцев. Более раннее начала постпункционной головной боли коррелирует с плохим прогнозом.</w:t>
      </w:r>
    </w:p>
    <w:p w14:paraId="7F816A2B" w14:textId="77777777" w:rsidR="007001FA" w:rsidRPr="00F61D8E" w:rsidRDefault="007001FA" w:rsidP="007001FA">
      <w:pPr>
        <w:ind w:firstLine="709"/>
      </w:pPr>
      <w:r w:rsidRPr="00F61D8E">
        <w:t>Постпункционную головную боль описывают как тупую или пульсирующую по характеру, локализуется она в лобной или затылочной области, может иррадиировать в другие участки головы. Патогномоничный признак — ее зависимость от положения тела: в вертикальном положении боль максимальна, в горизонтальном — значительно уменьшается или проходит совсем. Движения головы, кашель, сдавление яремных вен усиливают боль. Постпункционная головная боль может сопровождаться болью и ригидностью в шее, болью в пояснице, диплопией, звоном в ушах, тошнотой и рвотой.</w:t>
      </w:r>
    </w:p>
    <w:p w14:paraId="22D2F7A6" w14:textId="77777777" w:rsidR="007001FA" w:rsidRDefault="007001FA" w:rsidP="007001FA">
      <w:pPr>
        <w:pStyle w:val="4"/>
        <w:rPr>
          <w:b w:val="0"/>
          <w:szCs w:val="24"/>
          <w:u w:val="single"/>
        </w:rPr>
      </w:pPr>
    </w:p>
    <w:p w14:paraId="127350E2" w14:textId="77777777" w:rsidR="007001FA" w:rsidRPr="00B611F7" w:rsidRDefault="007001FA" w:rsidP="007001FA">
      <w:pPr>
        <w:ind w:firstLine="708"/>
        <w:rPr>
          <w:b/>
          <w:u w:val="single"/>
        </w:rPr>
      </w:pPr>
      <w:r w:rsidRPr="00B611F7">
        <w:rPr>
          <w:u w:val="single"/>
        </w:rPr>
        <w:t>Профилактика постпункционной головной боли</w:t>
      </w:r>
    </w:p>
    <w:p w14:paraId="6CF29CB4" w14:textId="77777777" w:rsidR="007001FA" w:rsidRPr="00F61D8E" w:rsidRDefault="007001FA" w:rsidP="008C1767">
      <w:pPr>
        <w:pStyle w:val="Number"/>
        <w:widowControl w:val="0"/>
        <w:numPr>
          <w:ilvl w:val="0"/>
          <w:numId w:val="188"/>
        </w:numPr>
        <w:spacing w:before="0"/>
        <w:jc w:val="both"/>
        <w:rPr>
          <w:lang w:val="ru-RU"/>
        </w:rPr>
      </w:pPr>
      <w:r w:rsidRPr="00F61D8E">
        <w:rPr>
          <w:lang w:val="ru-RU"/>
        </w:rPr>
        <w:t>Использование игл меньшего диаметра. Чем меньше диаметр иглы, тем меньше частота возникновения головной боли. Тонкая игла оставляет маленькое отверстие, которое быстро закрывается.</w:t>
      </w:r>
    </w:p>
    <w:p w14:paraId="3272A4D8" w14:textId="77777777" w:rsidR="007001FA" w:rsidRPr="00F61D8E" w:rsidRDefault="007001FA" w:rsidP="008C1767">
      <w:pPr>
        <w:pStyle w:val="Number"/>
        <w:widowControl w:val="0"/>
        <w:numPr>
          <w:ilvl w:val="0"/>
          <w:numId w:val="188"/>
        </w:numPr>
        <w:spacing w:before="0"/>
        <w:jc w:val="both"/>
        <w:rPr>
          <w:lang w:val="ru-RU"/>
        </w:rPr>
      </w:pPr>
      <w:r w:rsidRPr="00F61D8E">
        <w:rPr>
          <w:lang w:val="ru-RU"/>
        </w:rPr>
        <w:t>Применение иглы со срезом, параллельным волокнам твердой мозговой оболочки.</w:t>
      </w:r>
    </w:p>
    <w:p w14:paraId="732ACB42" w14:textId="77777777" w:rsidR="007001FA" w:rsidRPr="00F61D8E" w:rsidRDefault="007001FA" w:rsidP="008C1767">
      <w:pPr>
        <w:pStyle w:val="Number"/>
        <w:widowControl w:val="0"/>
        <w:numPr>
          <w:ilvl w:val="0"/>
          <w:numId w:val="188"/>
        </w:numPr>
        <w:spacing w:before="0"/>
        <w:jc w:val="both"/>
        <w:rPr>
          <w:lang w:val="ru-RU"/>
        </w:rPr>
      </w:pPr>
      <w:r w:rsidRPr="00F61D8E">
        <w:rPr>
          <w:lang w:val="ru-RU"/>
        </w:rPr>
        <w:t>Использование игл с тупым концом снижает частоту возникновения боли. Острая игла разрезает волокна твердой мозговой оболочки, а тупая раздвигает их, что способствует более быстрому закрытию пункционного отверстия.</w:t>
      </w:r>
    </w:p>
    <w:p w14:paraId="4BC4862E" w14:textId="77777777" w:rsidR="007001FA" w:rsidRPr="00F61D8E" w:rsidRDefault="007001FA" w:rsidP="008C1767">
      <w:pPr>
        <w:pStyle w:val="Number"/>
        <w:widowControl w:val="0"/>
        <w:numPr>
          <w:ilvl w:val="0"/>
          <w:numId w:val="188"/>
        </w:numPr>
        <w:spacing w:before="0"/>
        <w:jc w:val="both"/>
        <w:rPr>
          <w:lang w:val="ru-RU"/>
        </w:rPr>
      </w:pPr>
      <w:r w:rsidRPr="00F61D8E">
        <w:rPr>
          <w:lang w:val="ru-RU"/>
        </w:rPr>
        <w:t>Угол направления иглы по отношению к дуральному мешку: при направлении под более острым углом твердая мозговая оболочка и паутинная мозговая оболочка прокалываются в разных местах, что способствует их рассоединению при извлечении иглы и предотвращает утечку СМЖ.</w:t>
      </w:r>
    </w:p>
    <w:p w14:paraId="4D5C7F6E" w14:textId="77777777" w:rsidR="007001FA" w:rsidRDefault="007001FA" w:rsidP="007001FA">
      <w:pPr>
        <w:pStyle w:val="4"/>
        <w:rPr>
          <w:b w:val="0"/>
          <w:szCs w:val="24"/>
          <w:u w:val="single"/>
        </w:rPr>
      </w:pPr>
    </w:p>
    <w:p w14:paraId="70918E4D" w14:textId="77777777" w:rsidR="007001FA" w:rsidRPr="00F61D8E" w:rsidRDefault="007001FA" w:rsidP="007001FA">
      <w:pPr>
        <w:pStyle w:val="4"/>
        <w:ind w:firstLine="709"/>
        <w:rPr>
          <w:b w:val="0"/>
          <w:szCs w:val="24"/>
          <w:u w:val="single"/>
        </w:rPr>
      </w:pPr>
      <w:r w:rsidRPr="00F61D8E">
        <w:rPr>
          <w:b w:val="0"/>
          <w:szCs w:val="24"/>
          <w:u w:val="single"/>
        </w:rPr>
        <w:t>Лечение постпункционной боли</w:t>
      </w:r>
    </w:p>
    <w:p w14:paraId="1B0D1D08" w14:textId="77777777" w:rsidR="007001FA" w:rsidRPr="00F61D8E" w:rsidRDefault="007001FA" w:rsidP="008C1767">
      <w:pPr>
        <w:pStyle w:val="Number"/>
        <w:widowControl w:val="0"/>
        <w:numPr>
          <w:ilvl w:val="0"/>
          <w:numId w:val="189"/>
        </w:numPr>
        <w:spacing w:before="0"/>
        <w:jc w:val="both"/>
        <w:rPr>
          <w:lang w:val="ru-RU"/>
        </w:rPr>
      </w:pPr>
      <w:r w:rsidRPr="00F61D8E">
        <w:rPr>
          <w:lang w:val="ru-RU"/>
        </w:rPr>
        <w:t>Постельный режим устраняет воздействие гравитации на утечку СМЖ, а водная нагрузка способствует ее секреции.</w:t>
      </w:r>
    </w:p>
    <w:p w14:paraId="611F7586" w14:textId="77777777" w:rsidR="007001FA" w:rsidRPr="00F61D8E" w:rsidRDefault="007001FA" w:rsidP="008C1767">
      <w:pPr>
        <w:pStyle w:val="Number"/>
        <w:widowControl w:val="0"/>
        <w:numPr>
          <w:ilvl w:val="0"/>
          <w:numId w:val="189"/>
        </w:numPr>
        <w:spacing w:before="0"/>
        <w:jc w:val="both"/>
        <w:rPr>
          <w:lang w:val="ru-RU"/>
        </w:rPr>
      </w:pPr>
      <w:r w:rsidRPr="00F61D8E">
        <w:rPr>
          <w:lang w:val="ru-RU"/>
        </w:rPr>
        <w:t>Анальгетики и кофеин (кофеин — 500 мг в 500 мл физиологического раствора в течение 2 ч).</w:t>
      </w:r>
    </w:p>
    <w:p w14:paraId="0EEC89AC" w14:textId="77777777" w:rsidR="007001FA" w:rsidRPr="00F61D8E" w:rsidRDefault="007001FA" w:rsidP="008C1767">
      <w:pPr>
        <w:pStyle w:val="Number"/>
        <w:widowControl w:val="0"/>
        <w:numPr>
          <w:ilvl w:val="0"/>
          <w:numId w:val="189"/>
        </w:numPr>
        <w:spacing w:before="0"/>
        <w:jc w:val="both"/>
        <w:rPr>
          <w:lang w:val="ru-RU"/>
        </w:rPr>
      </w:pPr>
      <w:r w:rsidRPr="00F61D8E">
        <w:rPr>
          <w:lang w:val="ru-RU"/>
        </w:rPr>
        <w:t>Пломбировка эпидурального</w:t>
      </w:r>
      <w:r w:rsidRPr="00F61D8E">
        <w:rPr>
          <w:b/>
          <w:bCs/>
          <w:lang w:val="ru-RU"/>
        </w:rPr>
        <w:t xml:space="preserve"> </w:t>
      </w:r>
      <w:r w:rsidRPr="00F61D8E">
        <w:rPr>
          <w:lang w:val="ru-RU"/>
        </w:rPr>
        <w:t>пространства аутокровью. Для пломбировки из периферической вены пациента набирают 10—20 мл крови, которую затем медленно вводят в эпидуральное пространство. Нет необходимости вводить кровь в то же самое место, где была выполнена пункция, потому что введенная кровь мигрирует на протяжении нескольких сегментов вверх и вниз. После пломбировки пациент должен лежать в течение 6 часов.</w:t>
      </w:r>
    </w:p>
    <w:p w14:paraId="236A45DB" w14:textId="77777777" w:rsidR="007001FA" w:rsidRPr="00F61D8E" w:rsidRDefault="007001FA" w:rsidP="008C1767">
      <w:pPr>
        <w:pStyle w:val="Number"/>
        <w:widowControl w:val="0"/>
        <w:numPr>
          <w:ilvl w:val="0"/>
          <w:numId w:val="189"/>
        </w:numPr>
        <w:spacing w:before="0"/>
        <w:jc w:val="both"/>
        <w:rPr>
          <w:lang w:val="ru-RU"/>
        </w:rPr>
      </w:pPr>
      <w:r w:rsidRPr="00F61D8E">
        <w:rPr>
          <w:lang w:val="ru-RU"/>
        </w:rPr>
        <w:lastRenderedPageBreak/>
        <w:t>Альтернатива пломбировки кровью — эпидуральное введение декстрана 40. Этот метод может иметь большое значение, если нужно лечить свидетеля Иеговы, который отказывается от введения крови.</w:t>
      </w:r>
    </w:p>
    <w:p w14:paraId="3F06A924" w14:textId="77777777" w:rsidR="007001FA" w:rsidRPr="00F61D8E" w:rsidRDefault="007001FA" w:rsidP="008C1767">
      <w:pPr>
        <w:pStyle w:val="Number"/>
        <w:widowControl w:val="0"/>
        <w:numPr>
          <w:ilvl w:val="0"/>
          <w:numId w:val="189"/>
        </w:numPr>
        <w:spacing w:before="0"/>
        <w:jc w:val="both"/>
        <w:rPr>
          <w:lang w:val="ru-RU"/>
        </w:rPr>
      </w:pPr>
      <w:r w:rsidRPr="00F61D8E">
        <w:rPr>
          <w:lang w:val="ru-RU"/>
        </w:rPr>
        <w:t>Хирургическое ушивание дефекта твердой мозговой оболочки.</w:t>
      </w:r>
    </w:p>
    <w:p w14:paraId="7D93A7F6" w14:textId="77777777" w:rsidR="007001FA" w:rsidRDefault="007001FA" w:rsidP="004905C2">
      <w:pPr>
        <w:pStyle w:val="2"/>
      </w:pPr>
    </w:p>
    <w:p w14:paraId="249F7910" w14:textId="6DF99902" w:rsidR="007001FA" w:rsidRPr="00B611F7" w:rsidRDefault="007001FA" w:rsidP="007001FA">
      <w:pPr>
        <w:ind w:firstLine="708"/>
        <w:rPr>
          <w:b/>
          <w:bCs/>
          <w:i/>
          <w:iCs/>
          <w:u w:val="single"/>
        </w:rPr>
      </w:pPr>
      <w:r w:rsidRPr="00B611F7">
        <w:rPr>
          <w:i/>
          <w:iCs/>
          <w:u w:val="single"/>
        </w:rPr>
        <w:t xml:space="preserve">Лечение и профилактика нейролейкемии </w:t>
      </w:r>
      <w:r w:rsidRPr="00B611F7">
        <w:rPr>
          <w:b/>
          <w:bCs/>
          <w:i/>
          <w:iCs/>
          <w:u w:val="single"/>
        </w:rPr>
        <w:fldChar w:fldCharType="begin" w:fldLock="1"/>
      </w:r>
      <w:r w:rsidR="00A67ED2">
        <w:rPr>
          <w:i/>
          <w:iCs/>
          <w:u w:val="single"/>
        </w:rPr>
        <w:instrText>ADDIN CSL_CITATION {"citationItems":[{"id":"ITEM-1","itemData":{"author":[{"dropping-particle":"","family":"Fong","given":"B.","non-dropping-particle":"","parse-names":false,"suffix":""},{"dropping-particle":"","family":"Bendegon","given":"J. M.","non-dropping-particle":"Van","parse-names":false,"suffix":""}],"container-title":"Rechman, E.F., Simon, R.R., eds. Emergency Medicine Procedures","id":"ITEM-1","issued":{"date-parts":[["2004"]]},"page":"859-880","publisher":"New York: McGraw-Hill","title":"Lumbar puncture. Neurologic and neurosurgical procedures","type":"chapter"},"uris":["http://www.mendeley.com/documents/?uuid=a67dc750-5040-4374-a1b2-800ecfc67c59"]}],"mendeley":{"formattedCitation":"[175]","plainTextFormattedCitation":"[175]","previouslyFormattedCitation":"[155]"},"properties":{"noteIndex":0},"schema":"https://github.com/citation-style-language/schema/raw/master/csl-citation.json"}</w:instrText>
      </w:r>
      <w:r w:rsidRPr="00B611F7">
        <w:rPr>
          <w:b/>
          <w:bCs/>
          <w:i/>
          <w:iCs/>
          <w:u w:val="single"/>
        </w:rPr>
        <w:fldChar w:fldCharType="separate"/>
      </w:r>
      <w:r w:rsidR="00A67ED2" w:rsidRPr="00A67ED2">
        <w:rPr>
          <w:iCs/>
          <w:noProof/>
        </w:rPr>
        <w:t>[175]</w:t>
      </w:r>
      <w:r w:rsidRPr="00B611F7">
        <w:rPr>
          <w:b/>
          <w:bCs/>
          <w:i/>
          <w:iCs/>
          <w:u w:val="single"/>
        </w:rPr>
        <w:fldChar w:fldCharType="end"/>
      </w:r>
    </w:p>
    <w:p w14:paraId="14F4157C" w14:textId="77777777" w:rsidR="007001FA" w:rsidRPr="00F61D8E" w:rsidRDefault="007001FA" w:rsidP="007001FA">
      <w:pPr>
        <w:ind w:firstLine="709"/>
      </w:pPr>
      <w:r w:rsidRPr="00F61D8E">
        <w:t>Лечение и профилактика нейролейкемии заключается во введении интратекально лекарственных препаратов метотрексат, цитарабина глюкокортикоидных гормонов. Препараты вводятся в различных шприцах. Для разведения используется дистиллированная вода. Для интратекального введения используют лишь те препараты, в состав которых не входят консерванты, в частности бензиловый спирт.</w:t>
      </w:r>
    </w:p>
    <w:p w14:paraId="72E8F223" w14:textId="77777777" w:rsidR="007001FA" w:rsidRPr="00F61D8E" w:rsidRDefault="007001FA" w:rsidP="007001FA">
      <w:pPr>
        <w:ind w:firstLine="709"/>
      </w:pPr>
      <w:r w:rsidRPr="00F61D8E">
        <w:t>Метотрексат вводится в дозе 12,5 мг/м</w:t>
      </w:r>
      <w:r w:rsidRPr="00F61D8E">
        <w:rPr>
          <w:vertAlign w:val="superscript"/>
        </w:rPr>
        <w:t>2</w:t>
      </w:r>
      <w:r w:rsidRPr="00F61D8E">
        <w:t>, максимальная доза — 15 мг. Концентрация его в растворе должна быть 1,5 мг/мл, то есть объем раствора должен составлять 10 мл.</w:t>
      </w:r>
    </w:p>
    <w:p w14:paraId="6D9E1C7A" w14:textId="77777777" w:rsidR="007001FA" w:rsidRPr="00F61D8E" w:rsidRDefault="007001FA" w:rsidP="007001FA">
      <w:pPr>
        <w:ind w:firstLine="709"/>
      </w:pPr>
      <w:r w:rsidRPr="00F61D8E">
        <w:t>Доза цитарабина — 20 мг/м</w:t>
      </w:r>
      <w:r w:rsidRPr="00F61D8E">
        <w:rPr>
          <w:vertAlign w:val="superscript"/>
        </w:rPr>
        <w:t>2</w:t>
      </w:r>
      <w:r w:rsidRPr="00F61D8E">
        <w:t>, объем раствора должен составлять 3 мл.</w:t>
      </w:r>
    </w:p>
    <w:p w14:paraId="65B76696" w14:textId="77777777" w:rsidR="007001FA" w:rsidRPr="00F61D8E" w:rsidRDefault="007001FA" w:rsidP="007001FA">
      <w:pPr>
        <w:ind w:firstLine="709"/>
      </w:pPr>
      <w:r w:rsidRPr="00F61D8E">
        <w:t>Доза дексаметазона — 4 мг объем раствора должен составлять 3 мл.</w:t>
      </w:r>
    </w:p>
    <w:p w14:paraId="47E7627B" w14:textId="77777777" w:rsidR="007001FA" w:rsidRPr="00F61D8E" w:rsidRDefault="007001FA" w:rsidP="007001FA">
      <w:pPr>
        <w:ind w:firstLine="709"/>
      </w:pPr>
    </w:p>
    <w:p w14:paraId="12B9E84C" w14:textId="77777777" w:rsidR="007001FA" w:rsidRPr="00F61D8E" w:rsidRDefault="007001FA" w:rsidP="007001FA">
      <w:pPr>
        <w:ind w:firstLine="709"/>
      </w:pPr>
      <w:r w:rsidRPr="00F61D8E">
        <w:t>Лечение нейролейкемии может сопровождаться нейротоксичностью.</w:t>
      </w:r>
    </w:p>
    <w:p w14:paraId="01115666" w14:textId="77777777" w:rsidR="007001FA" w:rsidRPr="00F61D8E" w:rsidRDefault="007001FA" w:rsidP="007001FA">
      <w:pPr>
        <w:ind w:firstLine="709"/>
      </w:pPr>
      <w:r w:rsidRPr="00F61D8E">
        <w:rPr>
          <w:u w:val="single"/>
        </w:rPr>
        <w:t>Нейротоксичность метотрексата</w:t>
      </w:r>
      <w:r w:rsidRPr="00F61D8E">
        <w:t xml:space="preserve"> может проявляется одним из трех синдромов:</w:t>
      </w:r>
    </w:p>
    <w:p w14:paraId="112C2FAB" w14:textId="77777777" w:rsidR="007001FA" w:rsidRPr="00F61D8E" w:rsidRDefault="007001FA" w:rsidP="008C1767">
      <w:pPr>
        <w:pStyle w:val="Number"/>
        <w:widowControl w:val="0"/>
        <w:numPr>
          <w:ilvl w:val="1"/>
          <w:numId w:val="188"/>
        </w:numPr>
        <w:spacing w:before="0"/>
        <w:jc w:val="both"/>
        <w:rPr>
          <w:lang w:val="ru-RU"/>
        </w:rPr>
      </w:pPr>
      <w:r w:rsidRPr="00F61D8E">
        <w:rPr>
          <w:bCs/>
          <w:iCs/>
          <w:lang w:val="ru-RU"/>
        </w:rPr>
        <w:t>Острый химический арахноидит</w:t>
      </w:r>
      <w:r w:rsidRPr="00F61D8E">
        <w:rPr>
          <w:lang w:val="ru-RU"/>
        </w:rPr>
        <w:t xml:space="preserve"> — сильная головная боль, ригидность затылочных мышц, тошнота, лихорадка, сонливость, заторможенность, наличие воспалительных клеток в ЦСЖ. Этот синдром редок, начинается через 2—4 ч после инъекции и продолжается 12—72 ч. Тяжесть проявлений уменьшается после назначения дексаметазона. Выраженность этих симптомов может быть уменьшена в будущем снижением дозы метотрексата или его заменой на альтернативный препарат. </w:t>
      </w:r>
    </w:p>
    <w:p w14:paraId="672D77D4" w14:textId="77777777" w:rsidR="007001FA" w:rsidRPr="00F61D8E" w:rsidRDefault="007001FA" w:rsidP="008C1767">
      <w:pPr>
        <w:pStyle w:val="Number"/>
        <w:widowControl w:val="0"/>
        <w:numPr>
          <w:ilvl w:val="1"/>
          <w:numId w:val="188"/>
        </w:numPr>
        <w:spacing w:before="0"/>
        <w:jc w:val="both"/>
        <w:rPr>
          <w:lang w:val="ru-RU"/>
        </w:rPr>
      </w:pPr>
      <w:r w:rsidRPr="00F61D8E">
        <w:rPr>
          <w:bCs/>
          <w:iCs/>
          <w:lang w:val="ru-RU"/>
        </w:rPr>
        <w:t>Подострый химический арахноидит</w:t>
      </w:r>
      <w:r w:rsidRPr="00F61D8E">
        <w:rPr>
          <w:lang w:val="ru-RU"/>
        </w:rPr>
        <w:t xml:space="preserve"> — наблюдается у 10% пациентовх после 3—4-й интратекальной инъекции метотрексата. Проявляется моторным параличом, парезом черепно-мозговых нервов судорогами, комой. Абсолютно показано изменение терапии, поскольку продолжение лечения метотрексатом может привести к летальному исходу. </w:t>
      </w:r>
    </w:p>
    <w:p w14:paraId="565AFB02" w14:textId="77777777" w:rsidR="007001FA" w:rsidRPr="00F61D8E" w:rsidRDefault="007001FA" w:rsidP="008C1767">
      <w:pPr>
        <w:pStyle w:val="Number"/>
        <w:widowControl w:val="0"/>
        <w:numPr>
          <w:ilvl w:val="1"/>
          <w:numId w:val="188"/>
        </w:numPr>
        <w:spacing w:before="0"/>
        <w:jc w:val="both"/>
        <w:rPr>
          <w:lang w:val="ru-RU"/>
        </w:rPr>
      </w:pPr>
      <w:r w:rsidRPr="00F61D8E">
        <w:rPr>
          <w:lang w:val="ru-RU"/>
        </w:rPr>
        <w:t>Х</w:t>
      </w:r>
      <w:r w:rsidRPr="00F61D8E">
        <w:rPr>
          <w:bCs/>
          <w:iCs/>
          <w:lang w:val="ru-RU"/>
        </w:rPr>
        <w:t>роническая демиелинизирующая энцефалопатия</w:t>
      </w:r>
      <w:r w:rsidRPr="00F61D8E">
        <w:rPr>
          <w:lang w:val="ru-RU"/>
        </w:rPr>
        <w:t xml:space="preserve"> — наблюдается через месяцы (до года) после интратекального введения метотрексата. </w:t>
      </w:r>
    </w:p>
    <w:p w14:paraId="7B5C6EF7" w14:textId="77777777" w:rsidR="007001FA" w:rsidRPr="00F61D8E" w:rsidRDefault="007001FA" w:rsidP="007001FA">
      <w:pPr>
        <w:ind w:firstLine="709"/>
      </w:pPr>
      <w:r w:rsidRPr="00F61D8E">
        <w:rPr>
          <w:u w:val="single"/>
        </w:rPr>
        <w:t>Нейротоксичность цитарабина</w:t>
      </w:r>
      <w:r w:rsidRPr="00F61D8E">
        <w:t xml:space="preserve"> – может развиться острый </w:t>
      </w:r>
      <w:r w:rsidRPr="00F61D8E">
        <w:rPr>
          <w:bCs/>
          <w:iCs/>
        </w:rPr>
        <w:t>химический</w:t>
      </w:r>
      <w:r w:rsidRPr="00F61D8E">
        <w:t xml:space="preserve"> арахноидит.</w:t>
      </w:r>
    </w:p>
    <w:p w14:paraId="2419E182" w14:textId="5247E0C8" w:rsidR="007001FA" w:rsidRDefault="007001FA" w:rsidP="007001FA">
      <w:pPr>
        <w:ind w:firstLine="709"/>
      </w:pPr>
      <w:r w:rsidRPr="00F61D8E">
        <w:rPr>
          <w:u w:val="single"/>
        </w:rPr>
        <w:t>Системная токсичность метотрексата</w:t>
      </w:r>
      <w:r w:rsidRPr="00F61D8E">
        <w:t xml:space="preserve"> – адсорбция метотрексата из спинномозгового канала может привести к нейтропении. </w:t>
      </w:r>
    </w:p>
    <w:p w14:paraId="23EA76B7" w14:textId="3938B75D" w:rsidR="00B458F3" w:rsidRPr="00B458F3" w:rsidRDefault="00A46754" w:rsidP="004905C2">
      <w:pPr>
        <w:pStyle w:val="2"/>
      </w:pPr>
      <w:bookmarkStart w:id="400" w:name="_Toc64565675"/>
      <w:r w:rsidRPr="00B7347C">
        <w:lastRenderedPageBreak/>
        <w:t xml:space="preserve">Приложение </w:t>
      </w:r>
      <w:r>
        <w:t xml:space="preserve">А3.8. </w:t>
      </w:r>
      <w:r w:rsidR="00B458F3" w:rsidRPr="0012742C">
        <w:t xml:space="preserve">Лечебный цитаферез и плазмаферез </w:t>
      </w:r>
      <w:bookmarkEnd w:id="400"/>
      <w:r w:rsidR="000E1D1D">
        <w:t>при лейкозе</w:t>
      </w:r>
    </w:p>
    <w:p w14:paraId="74D9218B" w14:textId="77777777" w:rsidR="00B458F3" w:rsidRPr="0012742C" w:rsidRDefault="00B458F3" w:rsidP="00B458F3">
      <w:pPr>
        <w:jc w:val="center"/>
        <w:rPr>
          <w:b/>
          <w:szCs w:val="24"/>
        </w:rPr>
      </w:pPr>
    </w:p>
    <w:p w14:paraId="48E8D43F" w14:textId="77777777" w:rsidR="00B458F3" w:rsidRPr="0012742C" w:rsidRDefault="00B458F3" w:rsidP="00B458F3">
      <w:pPr>
        <w:pStyle w:val="Numlist"/>
        <w:jc w:val="both"/>
      </w:pPr>
      <w:r w:rsidRPr="0012742C">
        <w:t xml:space="preserve">Плазмаферез (ПА) — это метод экстракорпоральной гемокоррекции, основанный на замене плазмы крови пациента донорской свежезамороженной плазмой (СЗП), препаратами крови и/или альбумином и кристаллоидами. В зависимости от объема плазмаэксфузии, метод может называться: плазмаферезом — при удалении до 70% объема циркулирующей плазмы (ОЦП). ПА может быть низкообъемный — удаление до 20% ОЦП, среднеобъемный  — удаление 20-50% ОЦП, высокообъемный — удаление 50-70% ОЦП. ПА при эксфузиии 70-150% ОЦП называется плазмаобменом; при обмене более 150% ОЦП – массивным плазмаобменом. </w:t>
      </w:r>
    </w:p>
    <w:p w14:paraId="27234D61" w14:textId="77777777" w:rsidR="00B458F3" w:rsidRDefault="00B458F3" w:rsidP="00B458F3">
      <w:pPr>
        <w:pStyle w:val="Numlist"/>
        <w:jc w:val="both"/>
      </w:pPr>
      <w:r w:rsidRPr="0012742C">
        <w:t>Цитаферез – это метод экстракорпоральной гемокоррекции, основанный на удалении из крови определенного вида клеток (например, лейкоцитов – лейкоцитаферез, эритроцитов – эритроцитаферез). Лейкоцитаферез – это способ быстрого уменьшения опухолевой массы, обеспечивающий оптимальные условия для проведения индукционной химиотерапии лейкозов.</w:t>
      </w:r>
    </w:p>
    <w:p w14:paraId="105C4993" w14:textId="77777777" w:rsidR="00B458F3" w:rsidRPr="0012742C" w:rsidRDefault="00B458F3" w:rsidP="00B458F3">
      <w:pPr>
        <w:pStyle w:val="Numlist"/>
        <w:jc w:val="both"/>
      </w:pPr>
    </w:p>
    <w:p w14:paraId="3F7F3CE2" w14:textId="230D6EEA" w:rsidR="00B458F3" w:rsidRPr="00B458F3" w:rsidRDefault="00B458F3" w:rsidP="00B458F3">
      <w:pPr>
        <w:pStyle w:val="afff3"/>
        <w:ind w:left="142" w:firstLine="567"/>
        <w:rPr>
          <w:i/>
          <w:szCs w:val="24"/>
        </w:rPr>
      </w:pPr>
      <w:r w:rsidRPr="00B458F3">
        <w:rPr>
          <w:i/>
          <w:szCs w:val="24"/>
          <w:u w:val="single"/>
        </w:rPr>
        <w:t xml:space="preserve">Методические аспекты проведения лечебного лейкоцитафереза и плазмафереза при острых лейкозах </w:t>
      </w:r>
      <w:r w:rsidRPr="00B458F3">
        <w:rPr>
          <w:i/>
          <w:szCs w:val="24"/>
          <w:u w:val="single"/>
        </w:rPr>
        <w:fldChar w:fldCharType="begin" w:fldLock="1"/>
      </w:r>
      <w:r w:rsidR="00A67ED2">
        <w:rPr>
          <w:i/>
          <w:szCs w:val="24"/>
          <w:u w:val="single"/>
        </w:rPr>
        <w:instrText>ADDIN CSL_CITATION {"citationItems":[{"id":"ITEM-1","itemData":{"author":[{"dropping-particle":"","family":"Троицкая","given":"В.В.","non-dropping-particle":"","parse-names":false,"suffix":""},{"dropping-particle":"","family":"Паровичникова","given":"Е.Н.","non-dropping-particle":"","parse-names":false,"suffix":""},{"dropping-particle":"","family":"Галстян","given":"Г.М.","non-dropping-particle":"","parse-names":false,"suffix":""},{"dropping-particle":"","family":"Савченко","given":"В.Г.","non-dropping-particle":"","parse-names":false,"suffix":""}],"container-title":"Алгоритмы диагностики и протоколы лечения заболеваний системы крови. НМИЦ Гематологии. Под ред. В.Г. Савченко.","id":"ITEM-1","issued":{"date-parts":[["2018"]]},"page":"731-752","publisher":"Практика","title":"Протокол индукционной фазы лечения острых лейкозов, протекающих с гиперлейкоцитозом","type":"chapter"},"uris":["http://www.mendeley.com/documents/?uuid=3c683043-c7ec-4b91-b5c2-9c89610fdae5","http://www.mendeley.com/documents/?uuid=c39fe5b9-ff34-4433-be6e-0cb37c19c12b"]},{"id":"ITEM-2","itemData":{"DOI":"10.1046/j.1526-0968.2002.00402.x","ISSN":"10916660","PMID":"11886572","abstract":"Both in children and adults, acute leukemia may present with extremely high blast counts; a phenomenon known as hyperleukocytosis. Respiratory failure, intracranial bleeding, and severe metabolic abnormalities frequently occur in acute hyperleukocytic leukemias (AHLs) and are the primary determinants of the high early mortality (20% to 40%) observed. The process leading to these complications has long been known as leukostasis, but the biological mechanisms underlying its development and progression have remained unclear. Traditionally, leukostasis has been attributed to overcrowding of leukemic blasts in the microcirculation, and its treatment has focused on prompt leukocytoreduction. However, it is becoming increasingly evident that leukostasis results from the adhesive interactions between leukemic blasts and the endothelium; a mechanism that none of the current therapies directly addresses. The endothelial damage associated with leukostasis is likely to be mediated by cytokines released in situ and by subsequent migration of leukemic blasts in the perivascular space. The adhesion molecules displayed by the leukemic blasts and their chemotactic response to the cytokines in the vascular microenvironment are probably more important in causing leukostasis than the cell number. This may explain why leukostasis may develop in some patients with AHL and not in others, and why some patients with acute leukemia without hyperleukocytosis (&lt;50,000 blasts/mm3) develop leukostasis and respond to leukocytoreduction. Leukapheresis effectively reduces the blast count in many patients with AHL and is routinely used for immediate leukocytoreduction. However, the most appropriate use of leukapheresis in acute leukemia remains unclear, and the procedure may not prevent early death more efficiently than fluid therapy, hydroxyurea, and prompt induction chemotherapy. The use of cranial irradiation remains very controversial and is not generally recommended. The identification of the adhesion molecules, soluble cytokines, and chemotactic ligand-receptor pairs mediating endothelial cell damage in AHL should become a priority if better outcomes are desired.","author":[{"dropping-particle":"","family":"Porcu","given":"Pierluigi","non-dropping-particle":"","parse-names":false,"suffix":""},{"dropping-particle":"","family":"Farag","given":"Sherif","non-dropping-particle":"","parse-names":false,"suffix":""},{"dropping-particle":"","family":"Marcucci","given":"Guido","non-dropping-particle":"","parse-names":false,"suffix":""},{"dropping-particle":"","family":"Cataland","given":"Spero R.","non-dropping-particle":"","parse-names":false,"suffix":""},{"dropping-particle":"","family":"Kennedy","given":"Melanie S.","non-dropping-particle":"","parse-names":false,"suffix":""},{"dropping-particle":"","family":"Bissell","given":"Michael","non-dropping-particle":"","parse-names":false,"suffix":""}],"container-title":"Therapeutic Apheresis","id":"ITEM-2","issue":"1","issued":{"date-parts":[["2002"]]},"page":"15-23","publisher":"Ther Apher","title":"Leukocytoreduction for acute leukemia","type":"article-journal","volume":"6"},"uris":["http://www.mendeley.com/documents/?uuid=5080f5de-471d-344d-b173-7c2dde0cc376"]},{"id":"ITEM-3","itemData":{"DOI":"10.1002/jca.20240","ISSN":"10981101","PMID":"20568098","abstract":"The American Society for Apheresis (ASFA) Apheresis Applications Committee is charged with a review and categorization of indications for therapeutic apheresis. Beginning with the 2007 ASFA Special Issue (fourth edition), the subcommittee has incorporated systematic review and evidence-based approach in the grading and categorization of indications. This Fifth ASFA Special Issue has further improved the process of using evidence-based medicine in the recommendations by refining the category definitions and by adding a grade of recommendation based on widely accepted GRADE system. The concept of a fact sheet was introduced in the Fourth edition and is only slightly modified in this current edition. The fact sheet succinctly summarizes the evidence for the use of therapeutic apheresis. The article consists of 59 fact sheets devoted to each disease entity currently categorized by the ASFA as category I through III. Category IV indications are also listed. © 2010 American Society for Apheresis.","author":[{"dropping-particle":"","family":"Szczepiorkowski","given":"Zbigniew M.","non-dropping-particle":"","parse-names":false,"suffix":""},{"dropping-particle":"","family":"Winters","given":"Jeffrey L.","non-dropping-particle":"","parse-names":false,"suffix":""},{"dropping-particle":"","family":"Bandarenko","given":"Nicholas","non-dropping-particle":"","parse-names":false,"suffix":""},{"dropping-particle":"","family":"Kim","given":"Haewon C.","non-dropping-particle":"","parse-names":false,"suffix":""},{"dropping-particle":"","family":"Linenberger","given":"Michael L.","non-dropping-particle":"","parse-names":false,"suffix":""},{"dropping-particle":"","family":"Marques","given":"Marisa B.","non-dropping-particle":"","parse-names":false,"suffix":""},{"dropping-particle":"","family":"Sarode","given":"Ravindra","non-dropping-particle":"","parse-names":false,"suffix":""},{"dropping-particle":"","family":"Schwartz","given":"Joseph","non-dropping-particle":"","parse-names":false,"suffix":""},{"dropping-particle":"","family":"Weinstein","given":"Robert","non-dropping-particle":"","parse-names":false,"suffix":""},{"dropping-particle":"","family":"Shaz","given":"Beth H.","non-dropping-particle":"","parse-names":false,"suffix":""}],"container-title":"Journal of Clinical Apheresis","id":"ITEM-3","issue":"3","issued":{"date-parts":[["2010"]]},"page":"83-177","publisher":"Wiley-Liss Inc.","title":"Guidelines on the use of therapeutic apheresis in clinical practice - Evidence-based approach from the apheresis applications committee of the American Society for Apheresis","type":"article","volume":"25"},"uris":["http://www.mendeley.com/documents/?uuid=74403966-65f1-3e80-af8f-e5fe80364f38","http://www.mendeley.com/documents/?uuid=09402180-6869-40e4-8cf4-e5e51962455c"]},{"id":"ITEM-4","itemData":{"DOI":"10.1016/j.blre.2012.01.003","ISSN":"0268960X","PMID":"22364832","abstract":"Hyperleukocytosis, arbitrarily defined in acute leukemia as a white blood cell count greater than 100,000/mL, often is associated with increased morbidity and mortality in patients with leukemic processes. It can induce leukostasis, tumor lysis syndrome and disseminated intravascular coagulopathy and has significant prognostic implications with or without one of these clinical complications. The main sites that tend to be injured from the obstructions are the central nerve system and lungs. Despite characteristic clinical presentations, the diagnosis of leukostasis is rarely made with high confidence. The main goal of the management of hyperleukocytosis and/or leukostasis is to reduce the white blood cell count before starting induction chemotherapy. The cytoreduction can be achieved by either leukapheresis and/or hyroxyurea. The technical aspects, complications and efficacy of leukapheresis are discussed in the current article. © 2012.","author":[{"dropping-particle":"","family":"Ganzel","given":"Chezi","non-dropping-particle":"","parse-names":false,"suffix":""},{"dropping-particle":"","family":"Becker","given":"Joanne","non-dropping-particle":"","parse-names":false,"suffix":""},{"dropping-particle":"","family":"Mintz","given":"Paul D.","non-dropping-particle":"","parse-names":false,"suffix":""},{"dropping-particle":"","family":"Lazarus","given":"Hillard M.","non-dropping-particle":"","parse-names":false,"suffix":""},{"dropping-particle":"","family":"Rowe","given":"Jacob M.","non-dropping-particle":"","parse-names":false,"suffix":""}],"container-title":"Blood Reviews","id":"ITEM-4","issue":"3","issued":{"date-parts":[["2012","5"]]},"page":"117-122","publisher":"Blood Rev","title":"Hyperleukocytosis, leukostasis and leukapheresis: Practice management","type":"article-journal","volume":"26"},"uris":["http://www.mendeley.com/documents/?uuid=6f1aa6c8-9613-35b2-98e9-7e9d29c087bd"]}],"mendeley":{"formattedCitation":"[176–179]","plainTextFormattedCitation":"[176–179]","previouslyFormattedCitation":"[156–159]"},"properties":{"noteIndex":0},"schema":"https://github.com/citation-style-language/schema/raw/master/csl-citation.json"}</w:instrText>
      </w:r>
      <w:r w:rsidRPr="00B458F3">
        <w:rPr>
          <w:i/>
          <w:szCs w:val="24"/>
          <w:u w:val="single"/>
        </w:rPr>
        <w:fldChar w:fldCharType="separate"/>
      </w:r>
      <w:r w:rsidR="00A67ED2" w:rsidRPr="00A67ED2">
        <w:rPr>
          <w:noProof/>
          <w:szCs w:val="24"/>
        </w:rPr>
        <w:t>[176–179]</w:t>
      </w:r>
      <w:r w:rsidRPr="00B458F3">
        <w:rPr>
          <w:i/>
          <w:szCs w:val="24"/>
          <w:u w:val="single"/>
        </w:rPr>
        <w:fldChar w:fldCharType="end"/>
      </w:r>
    </w:p>
    <w:p w14:paraId="0F4F7196" w14:textId="77777777" w:rsidR="00B458F3" w:rsidRPr="0012742C" w:rsidRDefault="00B458F3" w:rsidP="00B458F3">
      <w:pPr>
        <w:pStyle w:val="Numlist"/>
        <w:jc w:val="both"/>
      </w:pPr>
      <w:r w:rsidRPr="00B458F3">
        <w:t>1. Плазмаферезы всегда должны включаться в план терапевтических мероприятий</w:t>
      </w:r>
      <w:r w:rsidRPr="0012742C">
        <w:t xml:space="preserve"> у пациентов, которым курс химиотерапии начинают после лейкоцитаферезов, и у тех, кому лечение начинают без лейкоцитаферезов на фоне гиперлейкоцитоза. </w:t>
      </w:r>
    </w:p>
    <w:p w14:paraId="75C545E8" w14:textId="77777777" w:rsidR="00B458F3" w:rsidRPr="0012742C" w:rsidRDefault="00B458F3" w:rsidP="00B458F3">
      <w:pPr>
        <w:pStyle w:val="Numlist"/>
        <w:jc w:val="both"/>
      </w:pPr>
      <w:r w:rsidRPr="0012742C">
        <w:t>2. Если химиотерапию начинают при уровне лейкоцитов более 100х10</w:t>
      </w:r>
      <w:r w:rsidRPr="0012742C">
        <w:rPr>
          <w:vertAlign w:val="superscript"/>
        </w:rPr>
        <w:t>9</w:t>
      </w:r>
      <w:r w:rsidRPr="0012742C">
        <w:t>/л, то плазмаферез проводят через 3—4 ч после введения цитостатических препаратов.</w:t>
      </w:r>
    </w:p>
    <w:p w14:paraId="2C17BAE3" w14:textId="77777777" w:rsidR="00B458F3" w:rsidRPr="0012742C" w:rsidRDefault="00B458F3" w:rsidP="00B458F3">
      <w:pPr>
        <w:pStyle w:val="Numlist"/>
        <w:jc w:val="both"/>
      </w:pPr>
      <w:r w:rsidRPr="0012742C">
        <w:t>3. За одну процедуру плазмафереза удаляется не менее 50% ОЦП (1,5—2,0 л); плазмозамещение осуществляется введением СЗП (10—20 мл/кг) и/или 5—10% раствора альбумина (200—400 мл) и растворов кристаллоидов. После этого рекомендуется осуществлять трансфузии тромбоцитов и эритроцитной массы.</w:t>
      </w:r>
    </w:p>
    <w:p w14:paraId="256955A2" w14:textId="77777777" w:rsidR="00B458F3" w:rsidRPr="0012742C" w:rsidRDefault="00B458F3" w:rsidP="00B458F3">
      <w:pPr>
        <w:pStyle w:val="Numlist"/>
        <w:jc w:val="both"/>
      </w:pPr>
      <w:r w:rsidRPr="0012742C">
        <w:t>4. Первая процедура лейкоцитафереза, после выполнения первичной диагностики острого лейкоза, проводится в первый день госпитализации пациента; при недостаточной ее эффективности (количество лейкоцитов остается прежним или уменьшается менее чем на 10%) в течение этих же суток проводится второй лейкоцитаферез, и в этот же день начинается химиотерапия, независимо от уровня лейкоцитов.</w:t>
      </w:r>
    </w:p>
    <w:p w14:paraId="5506E00C" w14:textId="77777777" w:rsidR="00B458F3" w:rsidRDefault="00B458F3" w:rsidP="00B458F3">
      <w:pPr>
        <w:pStyle w:val="Numlist"/>
        <w:jc w:val="both"/>
      </w:pPr>
      <w:r w:rsidRPr="0012742C">
        <w:t>5. На фоне лейкоцитаферезов продолжается прием гидроксимочевины до начала цитостатической терапии.</w:t>
      </w:r>
    </w:p>
    <w:p w14:paraId="03CE0F0B" w14:textId="77777777" w:rsidR="00B458F3" w:rsidRPr="0012742C" w:rsidRDefault="00B458F3" w:rsidP="00B458F3">
      <w:pPr>
        <w:pStyle w:val="Numlist"/>
        <w:jc w:val="both"/>
      </w:pPr>
    </w:p>
    <w:p w14:paraId="1323D4F1" w14:textId="30A533FD" w:rsidR="00B458F3" w:rsidRPr="0012742C" w:rsidRDefault="00B458F3" w:rsidP="00B458F3">
      <w:pPr>
        <w:rPr>
          <w:i/>
          <w:szCs w:val="24"/>
          <w:u w:val="single"/>
        </w:rPr>
      </w:pPr>
      <w:r w:rsidRPr="00B458F3">
        <w:rPr>
          <w:i/>
          <w:szCs w:val="24"/>
          <w:u w:val="single"/>
        </w:rPr>
        <w:lastRenderedPageBreak/>
        <w:t xml:space="preserve">Лечебный лейкоцитаферез и плазмаферез в лечении острых лейкозов </w:t>
      </w:r>
      <w:r w:rsidRPr="00B458F3">
        <w:rPr>
          <w:i/>
          <w:szCs w:val="24"/>
          <w:u w:val="single"/>
        </w:rPr>
        <w:fldChar w:fldCharType="begin" w:fldLock="1"/>
      </w:r>
      <w:r w:rsidR="00A67ED2">
        <w:rPr>
          <w:i/>
          <w:szCs w:val="24"/>
          <w:u w:val="single"/>
        </w:rPr>
        <w:instrText>ADDIN CSL_CITATION {"citationItems":[{"id":"ITEM-1","itemData":{"DOI":"10.1016/j.blre.2012.01.003","ISSN":"0268960X","PMID":"22364832","abstract":"Hyperleukocytosis, arbitrarily defined in acute leukemia as a white blood cell count greater than 100,000/mL, often is associated with increased morbidity and mortality in patients with leukemic processes. It can induce leukostasis, tumor lysis syndrome and disseminated intravascular coagulopathy and has significant prognostic implications with or without one of these clinical complications. The main sites that tend to be injured from the obstructions are the central nerve system and lungs. Despite characteristic clinical presentations, the diagnosis of leukostasis is rarely made with high confidence. The main goal of the management of hyperleukocytosis and/or leukostasis is to reduce the white blood cell count before starting induction chemotherapy. The cytoreduction can be achieved by either leukapheresis and/or hyroxyurea. The technical aspects, complications and efficacy of leukapheresis are discussed in the current article. © 2012.","author":[{"dropping-particle":"","family":"Ganzel","given":"Chezi","non-dropping-particle":"","parse-names":false,"suffix":""},{"dropping-particle":"","family":"Becker","given":"Joanne","non-dropping-particle":"","parse-names":false,"suffix":""},{"dropping-particle":"","family":"Mintz","given":"Paul D.","non-dropping-particle":"","parse-names":false,"suffix":""},{"dropping-particle":"","family":"Lazarus","given":"Hillard M.","non-dropping-particle":"","parse-names":false,"suffix":""},{"dropping-particle":"","family":"Rowe","given":"Jacob M.","non-dropping-particle":"","parse-names":false,"suffix":""}],"container-title":"Blood Reviews","id":"ITEM-1","issue":"3","issued":{"date-parts":[["2012","5"]]},"page":"117-122","publisher":"Blood Rev","title":"Hyperleukocytosis, leukostasis and leukapheresis: Practice management","type":"article-journal","volume":"26"},"uris":["http://www.mendeley.com/documents/?uuid=6f1aa6c8-9613-35b2-98e9-7e9d29c087bd"]},{"id":"ITEM-2","itemData":{"author":[{"dropping-particle":"","family":"Троицкая","given":"В.В.","non-dropping-particle":"","parse-names":false,"suffix":""},{"dropping-particle":"","family":"Паровичникова","given":"Е.Н.","non-dropping-particle":"","parse-names":false,"suffix":""},{"dropping-particle":"","family":"Галстян","given":"Г.М.","non-dropping-particle":"","parse-names":false,"suffix":""},{"dropping-particle":"","family":"Савченко","given":"В.Г.","non-dropping-particle":"","parse-names":false,"suffix":""}],"container-title":"Алгоритмы диагностики и протоколы лечения заболеваний системы крови. НМИЦ Гематологии. Под ред. В.Г. Савченко.","id":"ITEM-2","issued":{"date-parts":[["2018"]]},"page":"731-752","publisher":"Практика","title":"Протокол индукционной фазы лечения острых лейкозов, протекающих с гиперлейкоцитозом","type":"chapter"},"uris":["http://www.mendeley.com/documents/?uuid=c39fe5b9-ff34-4433-be6e-0cb37c19c12b","http://www.mendeley.com/documents/?uuid=3c683043-c7ec-4b91-b5c2-9c89610fdae5"]},{"id":"ITEM-3","itemData":{"DOI":"10.1046/j.1526-0968.2002.00402.x","ISSN":"10916660","PMID":"11886572","abstract":"Both in children and adults, acute leukemia may present with extremely high blast counts; a phenomenon known as hyperleukocytosis. Respiratory failure, intracranial bleeding, and severe metabolic abnormalities frequently occur in acute hyperleukocytic leukemias (AHLs) and are the primary determinants of the high early mortality (20% to 40%) observed. The process leading to these complications has long been known as leukostasis, but the biological mechanisms underlying its development and progression have remained unclear. Traditionally, leukostasis has been attributed to overcrowding of leukemic blasts in the microcirculation, and its treatment has focused on prompt leukocytoreduction. However, it is becoming increasingly evident that leukostasis results from the adhesive interactions between leukemic blasts and the endothelium; a mechanism that none of the current therapies directly addresses. The endothelial damage associated with leukostasis is likely to be mediated by cytokines released in situ and by subsequent migration of leukemic blasts in the perivascular space. The adhesion molecules displayed by the leukemic blasts and their chemotactic response to the cytokines in the vascular microenvironment are probably more important in causing leukostasis than the cell number. This may explain why leukostasis may develop in some patients with AHL and not in others, and why some patients with acute leukemia without hyperleukocytosis (&lt;50,000 blasts/mm3) develop leukostasis and respond to leukocytoreduction. Leukapheresis effectively reduces the blast count in many patients with AHL and is routinely used for immediate leukocytoreduction. However, the most appropriate use of leukapheresis in acute leukemia remains unclear, and the procedure may not prevent early death more efficiently than fluid therapy, hydroxyurea, and prompt induction chemotherapy. The use of cranial irradiation remains very controversial and is not generally recommended. The identification of the adhesion molecules, soluble cytokines, and chemotactic ligand-receptor pairs mediating endothelial cell damage in AHL should become a priority if better outcomes are desired.","author":[{"dropping-particle":"","family":"Porcu","given":"Pierluigi","non-dropping-particle":"","parse-names":false,"suffix":""},{"dropping-particle":"","family":"Farag","given":"Sherif","non-dropping-particle":"","parse-names":false,"suffix":""},{"dropping-particle":"","family":"Marcucci","given":"Guido","non-dropping-particle":"","parse-names":false,"suffix":""},{"dropping-particle":"","family":"Cataland","given":"Spero R.","non-dropping-particle":"","parse-names":false,"suffix":""},{"dropping-particle":"","family":"Kennedy","given":"Melanie S.","non-dropping-particle":"","parse-names":false,"suffix":""},{"dropping-particle":"","family":"Bissell","given":"Michael","non-dropping-particle":"","parse-names":false,"suffix":""}],"container-title":"Therapeutic Apheresis","id":"ITEM-3","issue":"1","issued":{"date-parts":[["2002"]]},"page":"15-23","publisher":"Ther Apher","title":"Leukocytoreduction for acute leukemia","type":"article-journal","volume":"6"},"uris":["http://www.mendeley.com/documents/?uuid=5080f5de-471d-344d-b173-7c2dde0cc376"]},{"id":"ITEM-4","itemData":{"DOI":"10.1002/jca.20240","ISSN":"10981101","PMID":"20568098","abstract":"The American Society for Apheresis (ASFA) Apheresis Applications Committee is charged with a review and categorization of indications for therapeutic apheresis. Beginning with the 2007 ASFA Special Issue (fourth edition), the subcommittee has incorporated systematic review and evidence-based approach in the grading and categorization of indications. This Fifth ASFA Special Issue has further improved the process of using evidence-based medicine in the recommendations by refining the category definitions and by adding a grade of recommendation based on widely accepted GRADE system. The concept of a fact sheet was introduced in the Fourth edition and is only slightly modified in this current edition. The fact sheet succinctly summarizes the evidence for the use of therapeutic apheresis. The article consists of 59 fact sheets devoted to each disease entity currently categorized by the ASFA as category I through III. Category IV indications are also listed. © 2010 American Society for Apheresis.","author":[{"dropping-particle":"","family":"Szczepiorkowski","given":"Zbigniew M.","non-dropping-particle":"","parse-names":false,"suffix":""},{"dropping-particle":"","family":"Winters","given":"Jeffrey L.","non-dropping-particle":"","parse-names":false,"suffix":""},{"dropping-particle":"","family":"Bandarenko","given":"Nicholas","non-dropping-particle":"","parse-names":false,"suffix":""},{"dropping-particle":"","family":"Kim","given":"Haewon C.","non-dropping-particle":"","parse-names":false,"suffix":""},{"dropping-particle":"","family":"Linenberger","given":"Michael L.","non-dropping-particle":"","parse-names":false,"suffix":""},{"dropping-particle":"","family":"Marques","given":"Marisa B.","non-dropping-particle":"","parse-names":false,"suffix":""},{"dropping-particle":"","family":"Sarode","given":"Ravindra","non-dropping-particle":"","parse-names":false,"suffix":""},{"dropping-particle":"","family":"Schwartz","given":"Joseph","non-dropping-particle":"","parse-names":false,"suffix":""},{"dropping-particle":"","family":"Weinstein","given":"Robert","non-dropping-particle":"","parse-names":false,"suffix":""},{"dropping-particle":"","family":"Shaz","given":"Beth H.","non-dropping-particle":"","parse-names":false,"suffix":""}],"container-title":"Journal of Clinical Apheresis","id":"ITEM-4","issue":"3","issued":{"date-parts":[["2010"]]},"page":"83-177","publisher":"Wiley-Liss Inc.","title":"Guidelines on the use of therapeutic apheresis in clinical practice - Evidence-based approach from the apheresis applications committee of the American Society for Apheresis","type":"article","volume":"25"},"uris":["http://www.mendeley.com/documents/?uuid=09402180-6869-40e4-8cf4-e5e51962455c","http://www.mendeley.com/documents/?uuid=74403966-65f1-3e80-af8f-e5fe80364f38","http://www.mendeley.com/documents/?uuid=605b6db2-a134-4894-88a8-293809637b45"]}],"mendeley":{"formattedCitation":"[176–179]","plainTextFormattedCitation":"[176–179]","previouslyFormattedCitation":"[156–159]"},"properties":{"noteIndex":0},"schema":"https://github.com/citation-style-language/schema/raw/master/csl-citation.json"}</w:instrText>
      </w:r>
      <w:r w:rsidRPr="00B458F3">
        <w:rPr>
          <w:i/>
          <w:szCs w:val="24"/>
          <w:u w:val="single"/>
        </w:rPr>
        <w:fldChar w:fldCharType="separate"/>
      </w:r>
      <w:r w:rsidR="00A67ED2" w:rsidRPr="00A67ED2">
        <w:rPr>
          <w:noProof/>
          <w:szCs w:val="24"/>
        </w:rPr>
        <w:t>[176–179]</w:t>
      </w:r>
      <w:r w:rsidRPr="00B458F3">
        <w:rPr>
          <w:i/>
          <w:szCs w:val="24"/>
          <w:u w:val="single"/>
        </w:rPr>
        <w:fldChar w:fldCharType="end"/>
      </w:r>
    </w:p>
    <w:p w14:paraId="60ACE103" w14:textId="77777777" w:rsidR="00B458F3" w:rsidRPr="00953339" w:rsidRDefault="00B458F3" w:rsidP="00B458F3">
      <w:pPr>
        <w:ind w:firstLine="709"/>
        <w:rPr>
          <w:szCs w:val="24"/>
          <w:u w:val="single"/>
        </w:rPr>
      </w:pPr>
      <w:r w:rsidRPr="00953339">
        <w:rPr>
          <w:szCs w:val="24"/>
          <w:u w:val="single"/>
        </w:rPr>
        <w:t>Показания:</w:t>
      </w:r>
    </w:p>
    <w:p w14:paraId="63412A85" w14:textId="77777777" w:rsidR="00B458F3" w:rsidRPr="0012742C" w:rsidRDefault="00B458F3" w:rsidP="008C1767">
      <w:pPr>
        <w:pStyle w:val="afff3"/>
        <w:widowControl/>
        <w:numPr>
          <w:ilvl w:val="0"/>
          <w:numId w:val="192"/>
        </w:numPr>
        <w:autoSpaceDE/>
        <w:autoSpaceDN/>
        <w:adjustRightInd/>
        <w:rPr>
          <w:szCs w:val="24"/>
        </w:rPr>
      </w:pPr>
      <w:r w:rsidRPr="0012742C">
        <w:rPr>
          <w:szCs w:val="24"/>
        </w:rPr>
        <w:t>Гиперлейкоцитоз ≥ 100×10</w:t>
      </w:r>
      <w:r w:rsidRPr="0012742C">
        <w:rPr>
          <w:szCs w:val="24"/>
          <w:vertAlign w:val="superscript"/>
        </w:rPr>
        <w:t>9</w:t>
      </w:r>
      <w:r w:rsidRPr="0012742C">
        <w:rPr>
          <w:szCs w:val="24"/>
        </w:rPr>
        <w:t>/л;</w:t>
      </w:r>
    </w:p>
    <w:p w14:paraId="560928E0" w14:textId="77777777" w:rsidR="00B458F3" w:rsidRPr="0012742C" w:rsidRDefault="00B458F3" w:rsidP="008C1767">
      <w:pPr>
        <w:pStyle w:val="afff3"/>
        <w:widowControl/>
        <w:numPr>
          <w:ilvl w:val="0"/>
          <w:numId w:val="192"/>
        </w:numPr>
        <w:autoSpaceDE/>
        <w:autoSpaceDN/>
        <w:adjustRightInd/>
        <w:rPr>
          <w:szCs w:val="24"/>
        </w:rPr>
      </w:pPr>
      <w:r w:rsidRPr="0012742C">
        <w:rPr>
          <w:szCs w:val="24"/>
        </w:rPr>
        <w:t>Гиперлейкоцитоз ≤ 100×10</w:t>
      </w:r>
      <w:r w:rsidRPr="0012742C">
        <w:rPr>
          <w:szCs w:val="24"/>
          <w:vertAlign w:val="superscript"/>
        </w:rPr>
        <w:t>9</w:t>
      </w:r>
      <w:r w:rsidRPr="0012742C">
        <w:rPr>
          <w:szCs w:val="24"/>
        </w:rPr>
        <w:t>/л при наличии симптомов лейкоцитарного стаза;</w:t>
      </w:r>
    </w:p>
    <w:p w14:paraId="3871FD2E" w14:textId="77777777" w:rsidR="00B458F3" w:rsidRPr="0012742C" w:rsidRDefault="00B458F3" w:rsidP="008C1767">
      <w:pPr>
        <w:pStyle w:val="afff3"/>
        <w:widowControl/>
        <w:numPr>
          <w:ilvl w:val="0"/>
          <w:numId w:val="192"/>
        </w:numPr>
        <w:autoSpaceDE/>
        <w:autoSpaceDN/>
        <w:adjustRightInd/>
        <w:rPr>
          <w:szCs w:val="24"/>
        </w:rPr>
      </w:pPr>
      <w:r w:rsidRPr="0012742C">
        <w:rPr>
          <w:szCs w:val="24"/>
        </w:rPr>
        <w:t>Сохранение гиперлейкоцитза ≥ 100×10</w:t>
      </w:r>
      <w:r w:rsidRPr="0012742C">
        <w:rPr>
          <w:szCs w:val="24"/>
          <w:vertAlign w:val="superscript"/>
        </w:rPr>
        <w:t>9</w:t>
      </w:r>
      <w:r w:rsidRPr="0012742C">
        <w:rPr>
          <w:szCs w:val="24"/>
        </w:rPr>
        <w:t>/л на фоне лечения гидроксимочевиной;</w:t>
      </w:r>
    </w:p>
    <w:p w14:paraId="080AA575" w14:textId="77777777" w:rsidR="00B458F3" w:rsidRPr="0012742C" w:rsidRDefault="00B458F3" w:rsidP="008C1767">
      <w:pPr>
        <w:pStyle w:val="afff3"/>
        <w:widowControl/>
        <w:numPr>
          <w:ilvl w:val="0"/>
          <w:numId w:val="192"/>
        </w:numPr>
        <w:autoSpaceDE/>
        <w:autoSpaceDN/>
        <w:adjustRightInd/>
        <w:rPr>
          <w:szCs w:val="24"/>
        </w:rPr>
      </w:pPr>
      <w:r w:rsidRPr="0012742C">
        <w:rPr>
          <w:szCs w:val="24"/>
        </w:rPr>
        <w:t>Быстрое нарастание лейкоцитоза – удвоение количества лейкоцитов за сутки от 50×10</w:t>
      </w:r>
      <w:r w:rsidRPr="0012742C">
        <w:rPr>
          <w:szCs w:val="24"/>
          <w:vertAlign w:val="superscript"/>
        </w:rPr>
        <w:t>9</w:t>
      </w:r>
      <w:r w:rsidRPr="0012742C">
        <w:rPr>
          <w:szCs w:val="24"/>
        </w:rPr>
        <w:t>/л;</w:t>
      </w:r>
    </w:p>
    <w:p w14:paraId="1B7A2185" w14:textId="77777777" w:rsidR="00B458F3" w:rsidRPr="0012742C" w:rsidRDefault="00B458F3" w:rsidP="008C1767">
      <w:pPr>
        <w:pStyle w:val="afff3"/>
        <w:widowControl/>
        <w:numPr>
          <w:ilvl w:val="0"/>
          <w:numId w:val="192"/>
        </w:numPr>
        <w:autoSpaceDE/>
        <w:autoSpaceDN/>
        <w:adjustRightInd/>
        <w:rPr>
          <w:szCs w:val="24"/>
        </w:rPr>
      </w:pPr>
      <w:r w:rsidRPr="0012742C">
        <w:rPr>
          <w:szCs w:val="24"/>
        </w:rPr>
        <w:t>Неэффективность терапии гидроксимочевиной – уменьшение количества лейкоцитов за сутки менее чем на 30%;</w:t>
      </w:r>
    </w:p>
    <w:p w14:paraId="37649EA5" w14:textId="77777777" w:rsidR="00B458F3" w:rsidRPr="0012742C" w:rsidRDefault="00B458F3" w:rsidP="008C1767">
      <w:pPr>
        <w:pStyle w:val="afff3"/>
        <w:widowControl/>
        <w:numPr>
          <w:ilvl w:val="0"/>
          <w:numId w:val="192"/>
        </w:numPr>
        <w:autoSpaceDE/>
        <w:autoSpaceDN/>
        <w:adjustRightInd/>
        <w:rPr>
          <w:szCs w:val="24"/>
        </w:rPr>
      </w:pPr>
      <w:r w:rsidRPr="0012742C">
        <w:rPr>
          <w:szCs w:val="24"/>
        </w:rPr>
        <w:t>непереносимость гидроксимочевины;</w:t>
      </w:r>
    </w:p>
    <w:p w14:paraId="2A26E3AE" w14:textId="77777777" w:rsidR="00B458F3" w:rsidRPr="0012742C" w:rsidRDefault="00B458F3" w:rsidP="00B458F3">
      <w:pPr>
        <w:ind w:firstLine="567"/>
        <w:rPr>
          <w:szCs w:val="24"/>
        </w:rPr>
      </w:pPr>
      <w:r w:rsidRPr="00953339">
        <w:rPr>
          <w:szCs w:val="24"/>
          <w:u w:val="single"/>
        </w:rPr>
        <w:t>Цель проведения процедуры лечебного лейкоцитафереза (ЛЦФ)</w:t>
      </w:r>
      <w:r w:rsidRPr="0012742C">
        <w:rPr>
          <w:szCs w:val="24"/>
        </w:rPr>
        <w:t xml:space="preserve"> – снижение количества лейкоцитов до уровня ≤ 50×10</w:t>
      </w:r>
      <w:r w:rsidRPr="0012742C">
        <w:rPr>
          <w:szCs w:val="24"/>
          <w:vertAlign w:val="superscript"/>
        </w:rPr>
        <w:t>9</w:t>
      </w:r>
      <w:r w:rsidRPr="0012742C">
        <w:rPr>
          <w:szCs w:val="24"/>
        </w:rPr>
        <w:t>/л, необходимого для начала курсового химиотерапевтического лечения (ХТ). Если за 2 процедуры ЛЦФ не удаётся снизить количество лейкоцитов до этого уровня, то после второй процедуры ЛЦФ начинают ХТ и через 6-8 часов проводят лечебные плазмаферезы (ПА).</w:t>
      </w:r>
    </w:p>
    <w:p w14:paraId="30F9457B" w14:textId="670EE7F1" w:rsidR="00B458F3" w:rsidRPr="0012742C" w:rsidRDefault="00B458F3" w:rsidP="00B458F3">
      <w:pPr>
        <w:ind w:firstLine="709"/>
        <w:rPr>
          <w:szCs w:val="24"/>
        </w:rPr>
      </w:pPr>
      <w:r w:rsidRPr="0012742C">
        <w:rPr>
          <w:bCs/>
          <w:szCs w:val="24"/>
          <w:u w:val="single"/>
        </w:rPr>
        <w:t>ЛЦФ:</w:t>
      </w:r>
      <w:r w:rsidRPr="0012742C">
        <w:rPr>
          <w:szCs w:val="24"/>
        </w:rPr>
        <w:t xml:space="preserve"> проводятся 1-2 процедуры, ежедневно с обработкой 2-х и более объёмов циркулирующей крови (ОЦК). Проведение курсов ЛЦФ дополняется 1-2 процедурами ПА.</w:t>
      </w:r>
    </w:p>
    <w:p w14:paraId="65EB4D28" w14:textId="094BB446" w:rsidR="00B458F3" w:rsidRPr="0012742C" w:rsidRDefault="00B458F3" w:rsidP="00B458F3">
      <w:pPr>
        <w:ind w:firstLine="709"/>
        <w:rPr>
          <w:szCs w:val="24"/>
        </w:rPr>
      </w:pPr>
      <w:r w:rsidRPr="0012742C">
        <w:rPr>
          <w:bCs/>
          <w:szCs w:val="24"/>
          <w:u w:val="single"/>
        </w:rPr>
        <w:t>ПА:</w:t>
      </w:r>
      <w:r w:rsidRPr="0012742C">
        <w:rPr>
          <w:szCs w:val="24"/>
        </w:rPr>
        <w:t xml:space="preserve"> за одну процедуру удаляется 0,5 ОЦП – в среднем 1500 мл (1000 – 2000 мл).</w:t>
      </w:r>
    </w:p>
    <w:p w14:paraId="0EFBF0B2" w14:textId="77777777" w:rsidR="00B458F3" w:rsidRPr="0012742C" w:rsidRDefault="00B458F3" w:rsidP="00B458F3">
      <w:pPr>
        <w:ind w:firstLine="709"/>
        <w:rPr>
          <w:szCs w:val="24"/>
          <w:u w:val="single"/>
        </w:rPr>
      </w:pPr>
      <w:r w:rsidRPr="0012742C">
        <w:rPr>
          <w:szCs w:val="24"/>
          <w:u w:val="single"/>
        </w:rPr>
        <w:t xml:space="preserve">Замещение: </w:t>
      </w:r>
    </w:p>
    <w:p w14:paraId="724D851F" w14:textId="77777777" w:rsidR="00B458F3" w:rsidRPr="0012742C" w:rsidRDefault="00B458F3" w:rsidP="00B458F3">
      <w:pPr>
        <w:ind w:firstLine="708"/>
        <w:rPr>
          <w:szCs w:val="24"/>
          <w:u w:val="single"/>
        </w:rPr>
      </w:pPr>
      <w:r w:rsidRPr="0012742C">
        <w:rPr>
          <w:szCs w:val="24"/>
          <w:u w:val="single"/>
        </w:rPr>
        <w:t xml:space="preserve">а) при уровне общего белка ≥ 65г/л </w:t>
      </w:r>
    </w:p>
    <w:p w14:paraId="22F8F9C3" w14:textId="77777777" w:rsidR="00B458F3" w:rsidRPr="0012742C" w:rsidRDefault="00B458F3" w:rsidP="008C1767">
      <w:pPr>
        <w:pStyle w:val="afff3"/>
        <w:widowControl/>
        <w:numPr>
          <w:ilvl w:val="0"/>
          <w:numId w:val="193"/>
        </w:numPr>
        <w:autoSpaceDE/>
        <w:autoSpaceDN/>
        <w:adjustRightInd/>
        <w:rPr>
          <w:szCs w:val="24"/>
        </w:rPr>
      </w:pPr>
      <w:r w:rsidRPr="0012742C">
        <w:rPr>
          <w:szCs w:val="24"/>
        </w:rPr>
        <w:t xml:space="preserve">СЗП - в объёме 0,7 объёма удалённой плазмы (20 – 25 мл/кг) – в среднем 1200 мл (700мл – 1500мл); </w:t>
      </w:r>
    </w:p>
    <w:p w14:paraId="44927F49" w14:textId="77777777" w:rsidR="00B458F3" w:rsidRPr="0012742C" w:rsidRDefault="00B458F3" w:rsidP="008C1767">
      <w:pPr>
        <w:pStyle w:val="afff3"/>
        <w:widowControl/>
        <w:numPr>
          <w:ilvl w:val="0"/>
          <w:numId w:val="193"/>
        </w:numPr>
        <w:autoSpaceDE/>
        <w:autoSpaceDN/>
        <w:adjustRightInd/>
        <w:rPr>
          <w:szCs w:val="24"/>
        </w:rPr>
      </w:pPr>
      <w:r w:rsidRPr="0012742C">
        <w:rPr>
          <w:szCs w:val="24"/>
        </w:rPr>
        <w:t>Альбумин 5% - 200мл (10г);</w:t>
      </w:r>
    </w:p>
    <w:p w14:paraId="4329FE5E" w14:textId="77777777" w:rsidR="00B458F3" w:rsidRPr="0012742C" w:rsidRDefault="00B458F3" w:rsidP="008C1767">
      <w:pPr>
        <w:pStyle w:val="afff3"/>
        <w:widowControl/>
        <w:numPr>
          <w:ilvl w:val="0"/>
          <w:numId w:val="193"/>
        </w:numPr>
        <w:autoSpaceDE/>
        <w:autoSpaceDN/>
        <w:adjustRightInd/>
        <w:rPr>
          <w:szCs w:val="24"/>
        </w:rPr>
      </w:pPr>
      <w:r w:rsidRPr="0012742C">
        <w:rPr>
          <w:szCs w:val="24"/>
        </w:rPr>
        <w:t xml:space="preserve">Раствор натрия хлорида 0,9% – 250мл;  </w:t>
      </w:r>
    </w:p>
    <w:p w14:paraId="3D1036BD" w14:textId="77777777" w:rsidR="00B458F3" w:rsidRPr="0012742C" w:rsidRDefault="00B458F3" w:rsidP="00B458F3">
      <w:pPr>
        <w:ind w:firstLine="708"/>
        <w:rPr>
          <w:szCs w:val="24"/>
          <w:u w:val="single"/>
        </w:rPr>
      </w:pPr>
      <w:r w:rsidRPr="0012742C">
        <w:rPr>
          <w:szCs w:val="24"/>
          <w:u w:val="single"/>
        </w:rPr>
        <w:t xml:space="preserve">б) при уровне общего белка ≤ 55г/л </w:t>
      </w:r>
    </w:p>
    <w:p w14:paraId="3210BB4A" w14:textId="77777777" w:rsidR="00B458F3" w:rsidRPr="0012742C" w:rsidRDefault="00B458F3" w:rsidP="008C1767">
      <w:pPr>
        <w:pStyle w:val="afff3"/>
        <w:widowControl/>
        <w:numPr>
          <w:ilvl w:val="0"/>
          <w:numId w:val="194"/>
        </w:numPr>
        <w:autoSpaceDE/>
        <w:autoSpaceDN/>
        <w:adjustRightInd/>
        <w:rPr>
          <w:szCs w:val="24"/>
        </w:rPr>
      </w:pPr>
      <w:r w:rsidRPr="0012742C">
        <w:rPr>
          <w:szCs w:val="24"/>
        </w:rPr>
        <w:t>СЗП – в объёме равном объёму удалённой плазмы – в среднем 1500 мл                   (1000 – 2000 мл);</w:t>
      </w:r>
    </w:p>
    <w:p w14:paraId="46EDDC6D" w14:textId="77777777" w:rsidR="00B458F3" w:rsidRPr="0012742C" w:rsidRDefault="00B458F3" w:rsidP="008C1767">
      <w:pPr>
        <w:pStyle w:val="afff3"/>
        <w:widowControl/>
        <w:numPr>
          <w:ilvl w:val="0"/>
          <w:numId w:val="194"/>
        </w:numPr>
        <w:autoSpaceDE/>
        <w:autoSpaceDN/>
        <w:adjustRightInd/>
        <w:rPr>
          <w:szCs w:val="24"/>
        </w:rPr>
      </w:pPr>
      <w:r w:rsidRPr="0012742C">
        <w:rPr>
          <w:szCs w:val="24"/>
        </w:rPr>
        <w:t>Альбумин 5% - 200мл – 400мл (10</w:t>
      </w:r>
      <w:r>
        <w:rPr>
          <w:szCs w:val="24"/>
        </w:rPr>
        <w:t xml:space="preserve"> </w:t>
      </w:r>
      <w:r w:rsidRPr="0012742C">
        <w:rPr>
          <w:szCs w:val="24"/>
        </w:rPr>
        <w:t>г</w:t>
      </w:r>
      <w:r>
        <w:rPr>
          <w:szCs w:val="24"/>
        </w:rPr>
        <w:t xml:space="preserve"> –</w:t>
      </w:r>
      <w:r w:rsidRPr="0012742C">
        <w:rPr>
          <w:szCs w:val="24"/>
        </w:rPr>
        <w:t xml:space="preserve"> 20</w:t>
      </w:r>
      <w:r>
        <w:rPr>
          <w:szCs w:val="24"/>
        </w:rPr>
        <w:t xml:space="preserve"> </w:t>
      </w:r>
      <w:r w:rsidRPr="0012742C">
        <w:rPr>
          <w:szCs w:val="24"/>
        </w:rPr>
        <w:t>г).</w:t>
      </w:r>
    </w:p>
    <w:p w14:paraId="2E2E1392" w14:textId="77777777" w:rsidR="00B458F3" w:rsidRDefault="00B458F3" w:rsidP="00B458F3">
      <w:pPr>
        <w:ind w:firstLine="284"/>
        <w:rPr>
          <w:szCs w:val="24"/>
        </w:rPr>
      </w:pPr>
      <w:r w:rsidRPr="0012742C">
        <w:rPr>
          <w:szCs w:val="24"/>
        </w:rPr>
        <w:t>С целью профилактики цитратной реакции на каждый 1</w:t>
      </w:r>
      <w:r>
        <w:rPr>
          <w:szCs w:val="24"/>
        </w:rPr>
        <w:t xml:space="preserve"> </w:t>
      </w:r>
      <w:r w:rsidRPr="0012742C">
        <w:rPr>
          <w:szCs w:val="24"/>
        </w:rPr>
        <w:t>л СЗП вводится внутривенно 10 мл раствора кальция глюконата 10% или 5мл раствора кальция хлорида 10%</w:t>
      </w:r>
      <w:r>
        <w:rPr>
          <w:szCs w:val="24"/>
        </w:rPr>
        <w:t>.</w:t>
      </w:r>
    </w:p>
    <w:p w14:paraId="38B196F0" w14:textId="77777777" w:rsidR="00B458F3" w:rsidRPr="0012742C" w:rsidRDefault="00B458F3" w:rsidP="00B458F3">
      <w:pPr>
        <w:ind w:firstLine="284"/>
        <w:rPr>
          <w:szCs w:val="24"/>
        </w:rPr>
      </w:pPr>
    </w:p>
    <w:p w14:paraId="10B3D293" w14:textId="0544ACAD" w:rsidR="00B458F3" w:rsidRPr="00953339" w:rsidRDefault="00B458F3" w:rsidP="00B458F3">
      <w:pPr>
        <w:rPr>
          <w:i/>
          <w:szCs w:val="24"/>
          <w:u w:val="single"/>
        </w:rPr>
      </w:pPr>
      <w:r w:rsidRPr="00425573">
        <w:rPr>
          <w:i/>
          <w:szCs w:val="24"/>
          <w:u w:val="single"/>
        </w:rPr>
        <w:t xml:space="preserve">Лечебный плазмаферез в терапии рефрактерности к трансфузиям тромбоцитов у пациентов с лейкозами </w:t>
      </w:r>
      <w:r w:rsidRPr="00425573">
        <w:rPr>
          <w:i/>
          <w:szCs w:val="24"/>
          <w:u w:val="single"/>
        </w:rPr>
        <w:fldChar w:fldCharType="begin" w:fldLock="1"/>
      </w:r>
      <w:r w:rsidR="00A67ED2">
        <w:rPr>
          <w:i/>
          <w:szCs w:val="24"/>
          <w:u w:val="single"/>
        </w:rPr>
        <w:instrText>ADDIN CSL_CITATION {"citationItems":[{"id":"ITEM-1","itemData":{"DOI":"10.1016/j.blre.2012.01.003","ISSN":"0268960X","PMID":"22364832","abstract":"Hyperleukocytosis, arbitrarily defined in acute leukemia as a white blood cell count greater than 100,000/mL, often is associated with increased morbidity and mortality in patients with leukemic processes. It can induce leukostasis, tumor lysis syndrome and disseminated intravascular coagulopathy and has significant prognostic implications with or without one of these clinical complications. The main sites that tend to be injured from the obstructions are the central nerve system and lungs. Despite characteristic clinical presentations, the diagnosis of leukostasis is rarely made with high confidence. The main goal of the management of hyperleukocytosis and/or leukostasis is to reduce the white blood cell count before starting induction chemotherapy. The cytoreduction can be achieved by either leukapheresis and/or hyroxyurea. The technical aspects, complications and efficacy of leukapheresis are discussed in the current article. © 2012.","author":[{"dropping-particle":"","family":"Ganzel","given":"Chezi","non-dropping-particle":"","parse-names":false,"suffix":""},{"dropping-particle":"","family":"Becker","given":"Joanne","non-dropping-particle":"","parse-names":false,"suffix":""},{"dropping-particle":"","family":"Mintz","given":"Paul D.","non-dropping-particle":"","parse-names":false,"suffix":""},{"dropping-particle":"","family":"Lazarus","given":"Hillard M.","non-dropping-particle":"","parse-names":false,"suffix":""},{"dropping-particle":"","family":"Rowe","given":"Jacob M.","non-dropping-particle":"","parse-names":false,"suffix":""}],"container-title":"Blood Reviews","id":"ITEM-1","issue":"3","issued":{"date-parts":[["2012","5"]]},"page":"117-122","publisher":"Blood Rev","title":"Hyperleukocytosis, leukostasis and leukapheresis: Practice management","type":"article-journal","volume":"26"},"uris":["http://www.mendeley.com/documents/?uuid=6f1aa6c8-9613-35b2-98e9-7e9d29c087bd"]},{"id":"ITEM-2","itemData":{"author":[{"dropping-particle":"","family":"Троицкая","given":"В.В.","non-dropping-particle":"","parse-names":false,"suffix":""},{"dropping-particle":"","family":"Паровичникова","given":"Е.Н.","non-dropping-particle":"","parse-names":false,"suffix":""},{"dropping-particle":"","family":"Галстян","given":"Г.М.","non-dropping-particle":"","parse-names":false,"suffix":""},{"dropping-particle":"","family":"Савченко","given":"В.Г.","non-dropping-particle":"","parse-names":false,"suffix":""}],"container-title":"Алгоритмы диагностики и протоколы лечения заболеваний системы крови. НМИЦ Гематологии. Под ред. В.Г. Савченко.","id":"ITEM-2","issued":{"date-parts":[["2018"]]},"page":"731-752","publisher":"Практика","title":"Протокол индукционной фазы лечения острых лейкозов, протекающих с гиперлейкоцитозом","type":"chapter"},"uris":["http://www.mendeley.com/documents/?uuid=c39fe5b9-ff34-4433-be6e-0cb37c19c12b","http://www.mendeley.com/documents/?uuid=3c683043-c7ec-4b91-b5c2-9c89610fdae5"]},{"id":"ITEM-3","itemData":{"DOI":"10.1046/j.1526-0968.2002.00402.x","ISSN":"10916660","PMID":"11886572","abstract":"Both in children and adults, acute leukemia may present with extremely high blast counts; a phenomenon known as hyperleukocytosis. Respiratory failure, intracranial bleeding, and severe metabolic abnormalities frequently occur in acute hyperleukocytic leukemias (AHLs) and are the primary determinants of the high early mortality (20% to 40%) observed. The process leading to these complications has long been known as leukostasis, but the biological mechanisms underlying its development and progression have remained unclear. Traditionally, leukostasis has been attributed to overcrowding of leukemic blasts in the microcirculation, and its treatment has focused on prompt leukocytoreduction. However, it is becoming increasingly evident that leukostasis results from the adhesive interactions between leukemic blasts and the endothelium; a mechanism that none of the current therapies directly addresses. The endothelial damage associated with leukostasis is likely to be mediated by cytokines released in situ and by subsequent migration of leukemic blasts in the perivascular space. The adhesion molecules displayed by the leukemic blasts and their chemotactic response to the cytokines in the vascular microenvironment are probably more important in causing leukostasis than the cell number. This may explain why leukostasis may develop in some patients with AHL and not in others, and why some patients with acute leukemia without hyperleukocytosis (&lt;50,000 blasts/mm3) develop leukostasis and respond to leukocytoreduction. Leukapheresis effectively reduces the blast count in many patients with AHL and is routinely used for immediate leukocytoreduction. However, the most appropriate use of leukapheresis in acute leukemia remains unclear, and the procedure may not prevent early death more efficiently than fluid therapy, hydroxyurea, and prompt induction chemotherapy. The use of cranial irradiation remains very controversial and is not generally recommended. The identification of the adhesion molecules, soluble cytokines, and chemotactic ligand-receptor pairs mediating endothelial cell damage in AHL should become a priority if better outcomes are desired.","author":[{"dropping-particle":"","family":"Porcu","given":"Pierluigi","non-dropping-particle":"","parse-names":false,"suffix":""},{"dropping-particle":"","family":"Farag","given":"Sherif","non-dropping-particle":"","parse-names":false,"suffix":""},{"dropping-particle":"","family":"Marcucci","given":"Guido","non-dropping-particle":"","parse-names":false,"suffix":""},{"dropping-particle":"","family":"Cataland","given":"Spero R.","non-dropping-particle":"","parse-names":false,"suffix":""},{"dropping-particle":"","family":"Kennedy","given":"Melanie S.","non-dropping-particle":"","parse-names":false,"suffix":""},{"dropping-particle":"","family":"Bissell","given":"Michael","non-dropping-particle":"","parse-names":false,"suffix":""}],"container-title":"Therapeutic Apheresis","id":"ITEM-3","issue":"1","issued":{"date-parts":[["2002"]]},"page":"15-23","publisher":"Ther Apher","title":"Leukocytoreduction for acute leukemia","type":"article-journal","volume":"6"},"uris":["http://www.mendeley.com/documents/?uuid=5080f5de-471d-344d-b173-7c2dde0cc376"]},{"id":"ITEM-4","itemData":{"DOI":"10.1002/jca.20240","ISSN":"10981101","PMID":"20568098","abstract":"The American Society for Apheresis (ASFA) Apheresis Applications Committee is charged with a review and categorization of indications for therapeutic apheresis. Beginning with the 2007 ASFA Special Issue (fourth edition), the subcommittee has incorporated systematic review and evidence-based approach in the grading and categorization of indications. This Fifth ASFA Special Issue has further improved the process of using evidence-based medicine in the recommendations by refining the category definitions and by adding a grade of recommendation based on widely accepted GRADE system. The concept of a fact sheet was introduced in the Fourth edition and is only slightly modified in this current edition. The fact sheet succinctly summarizes the evidence for the use of therapeutic apheresis. The article consists of 59 fact sheets devoted to each disease entity currently categorized by the ASFA as category I through III. Category IV indications are also listed. © 2010 American Society for Apheresis.","author":[{"dropping-particle":"","family":"Szczepiorkowski","given":"Zbigniew M.","non-dropping-particle":"","parse-names":false,"suffix":""},{"dropping-particle":"","family":"Winters","given":"Jeffrey L.","non-dropping-particle":"","parse-names":false,"suffix":""},{"dropping-particle":"","family":"Bandarenko","given":"Nicholas","non-dropping-particle":"","parse-names":false,"suffix":""},{"dropping-particle":"","family":"Kim","given":"Haewon C.","non-dropping-particle":"","parse-names":false,"suffix":""},{"dropping-particle":"","family":"Linenberger","given":"Michael L.","non-dropping-particle":"","parse-names":false,"suffix":""},{"dropping-particle":"","family":"Marques","given":"Marisa B.","non-dropping-particle":"","parse-names":false,"suffix":""},{"dropping-particle":"","family":"Sarode","given":"Ravindra","non-dropping-particle":"","parse-names":false,"suffix":""},{"dropping-particle":"","family":"Schwartz","given":"Joseph","non-dropping-particle":"","parse-names":false,"suffix":""},{"dropping-particle":"","family":"Weinstein","given":"Robert","non-dropping-particle":"","parse-names":false,"suffix":""},{"dropping-particle":"","family":"Shaz","given":"Beth H.","non-dropping-particle":"","parse-names":false,"suffix":""}],"container-title":"Journal of Clinical Apheresis","id":"ITEM-4","issue":"3","issued":{"date-parts":[["2010"]]},"page":"83-177","publisher":"Wiley-Liss Inc.","title":"Guidelines on the use of therapeutic apheresis in clinical practice - Evidence-based approach from the apheresis applications committee of the American Society for Apheresis","type":"article","volume":"25"},"uris":["http://www.mendeley.com/documents/?uuid=09402180-6869-40e4-8cf4-e5e51962455c","http://www.mendeley.com/documents/?uuid=74403966-65f1-3e80-af8f-e5fe80364f38","http://www.mendeley.com/documents/?uuid=9fa9451f-3edd-4678-8fee-14f8e6fea8ff"]}],"mendeley":{"formattedCitation":"[176–179]","plainTextFormattedCitation":"[176–179]","previouslyFormattedCitation":"[156–159]"},"properties":{"noteIndex":0},"schema":"https://github.com/citation-style-language/schema/raw/master/csl-citation.json"}</w:instrText>
      </w:r>
      <w:r w:rsidRPr="00425573">
        <w:rPr>
          <w:i/>
          <w:szCs w:val="24"/>
          <w:u w:val="single"/>
        </w:rPr>
        <w:fldChar w:fldCharType="separate"/>
      </w:r>
      <w:r w:rsidR="00A67ED2" w:rsidRPr="00A67ED2">
        <w:rPr>
          <w:noProof/>
          <w:szCs w:val="24"/>
        </w:rPr>
        <w:t>[176–179]</w:t>
      </w:r>
      <w:r w:rsidRPr="00425573">
        <w:rPr>
          <w:i/>
          <w:szCs w:val="24"/>
          <w:u w:val="single"/>
        </w:rPr>
        <w:fldChar w:fldCharType="end"/>
      </w:r>
    </w:p>
    <w:p w14:paraId="5DA20DB8" w14:textId="602D18A8" w:rsidR="00B458F3" w:rsidRPr="0012742C" w:rsidRDefault="00B458F3" w:rsidP="00B458F3">
      <w:pPr>
        <w:pStyle w:val="afff3"/>
        <w:ind w:left="284" w:firstLine="567"/>
        <w:rPr>
          <w:szCs w:val="24"/>
        </w:rPr>
      </w:pPr>
      <w:r w:rsidRPr="0012742C">
        <w:rPr>
          <w:szCs w:val="24"/>
        </w:rPr>
        <w:t xml:space="preserve">Если с помощью индивидуального подбора донорских тромбоцитов не удаётся получить достаточный прирост тромбоцитов и клинический эффект от трансфузий </w:t>
      </w:r>
      <w:r w:rsidRPr="0012742C">
        <w:rPr>
          <w:szCs w:val="24"/>
        </w:rPr>
        <w:lastRenderedPageBreak/>
        <w:t>концентрата тромбоцитов, то для улучшения эффективности индивидуального подбора пары «донор-реципиент» к терапии доба</w:t>
      </w:r>
      <w:r w:rsidR="00087A6B">
        <w:rPr>
          <w:szCs w:val="24"/>
        </w:rPr>
        <w:t xml:space="preserve">вляют процедуры плазмафереза. В </w:t>
      </w:r>
      <w:r w:rsidRPr="0012742C">
        <w:rPr>
          <w:szCs w:val="24"/>
        </w:rPr>
        <w:t>основе развивающейся рефрактерности к трансфузиям концентрата тромбоцитов лежит аллосенсибилизация реципиента лейкоцитарными и тромбоцитарными антигенами донорских клеток крови. В этом случае целью проведения ПА является уменьшение концентрации циркулирующих аллоантител и иммунных комплексов.</w:t>
      </w:r>
    </w:p>
    <w:p w14:paraId="2CF52E27" w14:textId="77777777" w:rsidR="00B458F3" w:rsidRPr="0012742C" w:rsidRDefault="00B458F3" w:rsidP="00B458F3">
      <w:pPr>
        <w:pStyle w:val="afff3"/>
        <w:ind w:left="284" w:firstLine="567"/>
        <w:rPr>
          <w:szCs w:val="24"/>
        </w:rPr>
      </w:pPr>
      <w:r w:rsidRPr="0012742C">
        <w:rPr>
          <w:szCs w:val="24"/>
        </w:rPr>
        <w:t xml:space="preserve">Для преодоления рефрактерности к трансфузиям концентрата тромбоцитов в большинстве случаев достаточно провести 5-6 процедур (от 2 до 15 процедур) ПА в сочетании с индивидуальным подбором тромбоцитов. </w:t>
      </w:r>
    </w:p>
    <w:p w14:paraId="54F84DA2" w14:textId="77777777" w:rsidR="00B458F3" w:rsidRPr="0012742C" w:rsidRDefault="00B458F3" w:rsidP="008C1767">
      <w:pPr>
        <w:pStyle w:val="afff3"/>
        <w:widowControl/>
        <w:numPr>
          <w:ilvl w:val="0"/>
          <w:numId w:val="195"/>
        </w:numPr>
        <w:autoSpaceDE/>
        <w:autoSpaceDN/>
        <w:adjustRightInd/>
        <w:rPr>
          <w:szCs w:val="24"/>
        </w:rPr>
      </w:pPr>
      <w:r w:rsidRPr="0012742C">
        <w:rPr>
          <w:szCs w:val="24"/>
        </w:rPr>
        <w:t xml:space="preserve">ПА проводятся 2-3 раза в неделю с интервалом 2-3 дня. </w:t>
      </w:r>
    </w:p>
    <w:p w14:paraId="54C713EC" w14:textId="77777777" w:rsidR="00B458F3" w:rsidRPr="0012742C" w:rsidRDefault="00B458F3" w:rsidP="008C1767">
      <w:pPr>
        <w:pStyle w:val="afff3"/>
        <w:widowControl/>
        <w:numPr>
          <w:ilvl w:val="0"/>
          <w:numId w:val="195"/>
        </w:numPr>
        <w:autoSpaceDE/>
        <w:autoSpaceDN/>
        <w:adjustRightInd/>
        <w:rPr>
          <w:szCs w:val="24"/>
        </w:rPr>
      </w:pPr>
      <w:r w:rsidRPr="0012742C">
        <w:rPr>
          <w:szCs w:val="24"/>
        </w:rPr>
        <w:t>Объём удаляемой плазмы: за одну процедуру удаляется 0,5 ОЦП, в среднем 1500 мл (1000 – 2000 мл).</w:t>
      </w:r>
    </w:p>
    <w:p w14:paraId="745416EE" w14:textId="77777777" w:rsidR="00B458F3" w:rsidRPr="0012742C" w:rsidRDefault="00B458F3" w:rsidP="00B458F3">
      <w:pPr>
        <w:ind w:left="284" w:firstLine="567"/>
        <w:rPr>
          <w:szCs w:val="24"/>
        </w:rPr>
      </w:pPr>
      <w:r w:rsidRPr="0012742C">
        <w:rPr>
          <w:szCs w:val="24"/>
        </w:rPr>
        <w:t>С целью предупреждения дополнительной аллоиммунизации антигенами донорских клеток крови и белками донорской плазмы замещение объёма удалённой плазмы проводится 5%, 10%, 20% раствором альбумина и раствором натрия хлорида 0,9%.</w:t>
      </w:r>
    </w:p>
    <w:p w14:paraId="59008C44" w14:textId="77777777" w:rsidR="00B458F3" w:rsidRPr="0012742C" w:rsidRDefault="00B458F3" w:rsidP="00B458F3">
      <w:pPr>
        <w:ind w:firstLine="709"/>
        <w:rPr>
          <w:szCs w:val="24"/>
        </w:rPr>
      </w:pPr>
      <w:r w:rsidRPr="0012742C">
        <w:rPr>
          <w:szCs w:val="24"/>
        </w:rPr>
        <w:t xml:space="preserve">Соотношение раствора 5% альбумина и раствора натрия хлорида 0,9% 1:1 при уровне общего белка ≥ 65г/л: </w:t>
      </w:r>
    </w:p>
    <w:p w14:paraId="0511E473" w14:textId="77777777" w:rsidR="00B458F3" w:rsidRPr="0012742C" w:rsidRDefault="00B458F3" w:rsidP="008C1767">
      <w:pPr>
        <w:pStyle w:val="afff3"/>
        <w:widowControl/>
        <w:numPr>
          <w:ilvl w:val="0"/>
          <w:numId w:val="196"/>
        </w:numPr>
        <w:autoSpaceDE/>
        <w:autoSpaceDN/>
        <w:adjustRightInd/>
        <w:rPr>
          <w:szCs w:val="24"/>
        </w:rPr>
      </w:pPr>
      <w:r w:rsidRPr="0012742C">
        <w:rPr>
          <w:szCs w:val="24"/>
        </w:rPr>
        <w:t xml:space="preserve">Альбумин 5% - (500мл – 1000мл) в среднем 800 мл; </w:t>
      </w:r>
    </w:p>
    <w:p w14:paraId="1A75B7CB" w14:textId="77777777" w:rsidR="00B458F3" w:rsidRPr="0012742C" w:rsidRDefault="00B458F3" w:rsidP="008C1767">
      <w:pPr>
        <w:pStyle w:val="afff3"/>
        <w:widowControl/>
        <w:numPr>
          <w:ilvl w:val="0"/>
          <w:numId w:val="196"/>
        </w:numPr>
        <w:autoSpaceDE/>
        <w:autoSpaceDN/>
        <w:adjustRightInd/>
        <w:rPr>
          <w:szCs w:val="24"/>
        </w:rPr>
      </w:pPr>
      <w:r w:rsidRPr="0012742C">
        <w:rPr>
          <w:szCs w:val="24"/>
        </w:rPr>
        <w:t>Раствор натрия хлорида 0,9% в среднем 800 мл (500 – 1000 мл).</w:t>
      </w:r>
      <w:r w:rsidRPr="00C350DF">
        <w:rPr>
          <w:szCs w:val="24"/>
        </w:rPr>
        <w:t xml:space="preserve"> </w:t>
      </w:r>
    </w:p>
    <w:p w14:paraId="31189A13" w14:textId="77777777" w:rsidR="00B458F3" w:rsidRPr="0012742C" w:rsidRDefault="00B458F3" w:rsidP="00B458F3">
      <w:pPr>
        <w:rPr>
          <w:szCs w:val="24"/>
          <w:u w:val="single"/>
        </w:rPr>
      </w:pPr>
      <w:r w:rsidRPr="0012742C">
        <w:rPr>
          <w:szCs w:val="24"/>
          <w:u w:val="single"/>
        </w:rPr>
        <w:t xml:space="preserve">Методические аспекты проведения ПА при тромбоцитопении, рефрактерной к трансфузиям концентрата тромбоцитов: </w:t>
      </w:r>
    </w:p>
    <w:p w14:paraId="17DB8EA4" w14:textId="58438628" w:rsidR="00B458F3" w:rsidRPr="0012742C" w:rsidRDefault="00B458F3" w:rsidP="008C1767">
      <w:pPr>
        <w:pStyle w:val="afff3"/>
        <w:widowControl/>
        <w:numPr>
          <w:ilvl w:val="0"/>
          <w:numId w:val="197"/>
        </w:numPr>
        <w:autoSpaceDE/>
        <w:autoSpaceDN/>
        <w:adjustRightInd/>
        <w:rPr>
          <w:szCs w:val="24"/>
          <w:u w:val="single"/>
        </w:rPr>
      </w:pPr>
      <w:r w:rsidRPr="0012742C">
        <w:rPr>
          <w:szCs w:val="24"/>
        </w:rPr>
        <w:t>При наличии глубокой тромбоцитопении (≤ 20х10</w:t>
      </w:r>
      <w:r w:rsidRPr="0012742C">
        <w:rPr>
          <w:szCs w:val="24"/>
          <w:vertAlign w:val="superscript"/>
        </w:rPr>
        <w:t>9</w:t>
      </w:r>
      <w:r w:rsidRPr="0012742C">
        <w:rPr>
          <w:szCs w:val="24"/>
        </w:rPr>
        <w:t>/л) перед началом проведения процедуры ПА необходимо провести трансфузию 4 – 6 доз тромбоцитов, заказать концентрат тромбоцитов для трансфузии после окончания процедуры ПА.</w:t>
      </w:r>
    </w:p>
    <w:p w14:paraId="5CFBE4D8" w14:textId="77777777" w:rsidR="00B458F3" w:rsidRPr="0012742C" w:rsidRDefault="00B458F3" w:rsidP="008C1767">
      <w:pPr>
        <w:pStyle w:val="afff3"/>
        <w:widowControl/>
        <w:numPr>
          <w:ilvl w:val="0"/>
          <w:numId w:val="197"/>
        </w:numPr>
        <w:autoSpaceDE/>
        <w:autoSpaceDN/>
        <w:adjustRightInd/>
        <w:rPr>
          <w:szCs w:val="24"/>
        </w:rPr>
      </w:pPr>
      <w:r w:rsidRPr="0012742C">
        <w:rPr>
          <w:szCs w:val="24"/>
        </w:rPr>
        <w:t>После проведённой процедуры ПА уровень общего белка плазмы должен быть ≥ 50г/л; если уровень общего белка плазмы будет меньше, то требуется дополнительное введение альбумина.</w:t>
      </w:r>
    </w:p>
    <w:p w14:paraId="4687264F" w14:textId="3AC0DD64" w:rsidR="00B458F3" w:rsidRPr="0012742C" w:rsidRDefault="00B458F3" w:rsidP="008C1767">
      <w:pPr>
        <w:pStyle w:val="afff3"/>
        <w:widowControl/>
        <w:numPr>
          <w:ilvl w:val="0"/>
          <w:numId w:val="197"/>
        </w:numPr>
        <w:autoSpaceDE/>
        <w:autoSpaceDN/>
        <w:adjustRightInd/>
        <w:rPr>
          <w:szCs w:val="24"/>
        </w:rPr>
      </w:pPr>
      <w:r w:rsidRPr="0012742C">
        <w:rPr>
          <w:szCs w:val="24"/>
        </w:rPr>
        <w:t xml:space="preserve">После каждых 2 – 3 процедур ПА необходим контроль уровня сывороточного белка и коагулограммы для исключения дефицита факторов свёртывания крови и развития геморрагического синдрома. При сохранении дефицита факторов свёртывания крови замещение объёма удалённой плазмы надо проводить СЗП + р-ром 5% </w:t>
      </w:r>
      <w:r w:rsidR="00E332F3" w:rsidRPr="0012742C">
        <w:rPr>
          <w:szCs w:val="24"/>
        </w:rPr>
        <w:t>альбумина и</w:t>
      </w:r>
      <w:r w:rsidRPr="0012742C">
        <w:rPr>
          <w:szCs w:val="24"/>
        </w:rPr>
        <w:t xml:space="preserve"> раствором натрия хлорида 0,9%. </w:t>
      </w:r>
    </w:p>
    <w:p w14:paraId="49D5777F" w14:textId="77777777" w:rsidR="00B458F3" w:rsidRPr="0012742C" w:rsidRDefault="00B458F3" w:rsidP="008C1767">
      <w:pPr>
        <w:pStyle w:val="afff3"/>
        <w:widowControl/>
        <w:numPr>
          <w:ilvl w:val="0"/>
          <w:numId w:val="197"/>
        </w:numPr>
        <w:autoSpaceDE/>
        <w:autoSpaceDN/>
        <w:adjustRightInd/>
        <w:rPr>
          <w:szCs w:val="24"/>
        </w:rPr>
      </w:pPr>
      <w:r w:rsidRPr="0012742C">
        <w:rPr>
          <w:szCs w:val="24"/>
        </w:rPr>
        <w:t>Соотношение СЗП + раствора 5% альбумина и раствора натрия хлорида 0,9% 1:1 при уровне общего белка ≥ 65</w:t>
      </w:r>
      <w:r w:rsidRPr="00C350DF">
        <w:rPr>
          <w:szCs w:val="24"/>
        </w:rPr>
        <w:t xml:space="preserve"> </w:t>
      </w:r>
      <w:r w:rsidRPr="0012742C">
        <w:rPr>
          <w:szCs w:val="24"/>
        </w:rPr>
        <w:t xml:space="preserve">г/л </w:t>
      </w:r>
    </w:p>
    <w:p w14:paraId="1D5611F7" w14:textId="3A6C0D95" w:rsidR="00B458F3" w:rsidRPr="0012742C" w:rsidRDefault="00B458F3" w:rsidP="008C1767">
      <w:pPr>
        <w:pStyle w:val="afff3"/>
        <w:widowControl/>
        <w:numPr>
          <w:ilvl w:val="0"/>
          <w:numId w:val="198"/>
        </w:numPr>
        <w:autoSpaceDE/>
        <w:autoSpaceDN/>
        <w:adjustRightInd/>
        <w:rPr>
          <w:szCs w:val="24"/>
        </w:rPr>
      </w:pPr>
      <w:r w:rsidRPr="0012742C">
        <w:rPr>
          <w:szCs w:val="24"/>
        </w:rPr>
        <w:lastRenderedPageBreak/>
        <w:t xml:space="preserve">СЗП </w:t>
      </w:r>
      <w:r w:rsidR="00E332F3" w:rsidRPr="0012742C">
        <w:rPr>
          <w:szCs w:val="24"/>
        </w:rPr>
        <w:t>– в</w:t>
      </w:r>
      <w:r w:rsidRPr="0012742C">
        <w:rPr>
          <w:szCs w:val="24"/>
        </w:rPr>
        <w:t xml:space="preserve"> среднем 500 мл (500 – 1000 мл);</w:t>
      </w:r>
    </w:p>
    <w:p w14:paraId="09FBE782" w14:textId="6F60D865" w:rsidR="00B458F3" w:rsidRPr="0012742C" w:rsidRDefault="00B458F3" w:rsidP="008C1767">
      <w:pPr>
        <w:pStyle w:val="afff3"/>
        <w:widowControl/>
        <w:numPr>
          <w:ilvl w:val="0"/>
          <w:numId w:val="198"/>
        </w:numPr>
        <w:autoSpaceDE/>
        <w:autoSpaceDN/>
        <w:adjustRightInd/>
        <w:rPr>
          <w:szCs w:val="24"/>
        </w:rPr>
      </w:pPr>
      <w:r w:rsidRPr="0012742C">
        <w:rPr>
          <w:szCs w:val="24"/>
        </w:rPr>
        <w:t>Альбумин 5</w:t>
      </w:r>
      <w:r w:rsidR="00E332F3" w:rsidRPr="0012742C">
        <w:rPr>
          <w:szCs w:val="24"/>
        </w:rPr>
        <w:t>% 200</w:t>
      </w:r>
      <w:r w:rsidRPr="0012742C">
        <w:rPr>
          <w:szCs w:val="24"/>
        </w:rPr>
        <w:t xml:space="preserve"> – 300</w:t>
      </w:r>
      <w:r w:rsidR="00E332F3">
        <w:rPr>
          <w:szCs w:val="24"/>
        </w:rPr>
        <w:t xml:space="preserve"> </w:t>
      </w:r>
      <w:r w:rsidRPr="0012742C">
        <w:rPr>
          <w:szCs w:val="24"/>
        </w:rPr>
        <w:t xml:space="preserve">мл (10 </w:t>
      </w:r>
      <w:r>
        <w:rPr>
          <w:szCs w:val="24"/>
        </w:rPr>
        <w:t>–</w:t>
      </w:r>
      <w:r w:rsidRPr="0012742C">
        <w:rPr>
          <w:szCs w:val="24"/>
        </w:rPr>
        <w:t xml:space="preserve"> 15</w:t>
      </w:r>
      <w:r>
        <w:rPr>
          <w:szCs w:val="24"/>
          <w:lang w:val="en-US"/>
        </w:rPr>
        <w:t xml:space="preserve"> </w:t>
      </w:r>
      <w:r w:rsidRPr="0012742C">
        <w:rPr>
          <w:szCs w:val="24"/>
        </w:rPr>
        <w:t>г);</w:t>
      </w:r>
    </w:p>
    <w:p w14:paraId="1FED113D" w14:textId="77777777" w:rsidR="00B458F3" w:rsidRPr="0012742C" w:rsidRDefault="00B458F3" w:rsidP="008C1767">
      <w:pPr>
        <w:pStyle w:val="afff3"/>
        <w:widowControl/>
        <w:numPr>
          <w:ilvl w:val="0"/>
          <w:numId w:val="198"/>
        </w:numPr>
        <w:autoSpaceDE/>
        <w:autoSpaceDN/>
        <w:adjustRightInd/>
        <w:rPr>
          <w:szCs w:val="24"/>
        </w:rPr>
      </w:pPr>
      <w:r w:rsidRPr="0012742C">
        <w:rPr>
          <w:szCs w:val="24"/>
        </w:rPr>
        <w:t xml:space="preserve">Раствор натрия хлорида 0,9% в среднем 800 мл (500 – 1000 мл). </w:t>
      </w:r>
    </w:p>
    <w:p w14:paraId="64BB0EAD" w14:textId="3C0EF3B3" w:rsidR="00B458F3" w:rsidRPr="0012742C" w:rsidRDefault="00B458F3" w:rsidP="00B458F3">
      <w:pPr>
        <w:ind w:left="284"/>
        <w:rPr>
          <w:szCs w:val="24"/>
        </w:rPr>
      </w:pPr>
      <w:r w:rsidRPr="0012742C">
        <w:rPr>
          <w:szCs w:val="24"/>
        </w:rPr>
        <w:t>Соотношение СЗП + раствора 5% альбумина и раствора натрия хлорида 0,9</w:t>
      </w:r>
      <w:r w:rsidR="00E332F3" w:rsidRPr="0012742C">
        <w:rPr>
          <w:szCs w:val="24"/>
        </w:rPr>
        <w:t>% составляет</w:t>
      </w:r>
      <w:r w:rsidRPr="0012742C">
        <w:rPr>
          <w:szCs w:val="24"/>
        </w:rPr>
        <w:t xml:space="preserve"> 2:1 при уровне общего </w:t>
      </w:r>
      <w:r w:rsidR="00E332F3" w:rsidRPr="0012742C">
        <w:rPr>
          <w:szCs w:val="24"/>
        </w:rPr>
        <w:t>белка ≤</w:t>
      </w:r>
      <w:r w:rsidRPr="0012742C">
        <w:rPr>
          <w:szCs w:val="24"/>
        </w:rPr>
        <w:t xml:space="preserve"> 55г/л:</w:t>
      </w:r>
    </w:p>
    <w:p w14:paraId="772EE18E" w14:textId="77777777" w:rsidR="00B458F3" w:rsidRPr="0012742C" w:rsidRDefault="00B458F3" w:rsidP="008C1767">
      <w:pPr>
        <w:pStyle w:val="afff3"/>
        <w:widowControl/>
        <w:numPr>
          <w:ilvl w:val="0"/>
          <w:numId w:val="199"/>
        </w:numPr>
        <w:autoSpaceDE/>
        <w:autoSpaceDN/>
        <w:adjustRightInd/>
        <w:rPr>
          <w:szCs w:val="24"/>
        </w:rPr>
      </w:pPr>
      <w:r w:rsidRPr="0012742C">
        <w:rPr>
          <w:szCs w:val="24"/>
        </w:rPr>
        <w:t>СЗП – в среднем 800 мл (500 – 1000</w:t>
      </w:r>
      <w:r w:rsidRPr="00C350DF">
        <w:rPr>
          <w:szCs w:val="24"/>
        </w:rPr>
        <w:t xml:space="preserve"> </w:t>
      </w:r>
      <w:r w:rsidRPr="0012742C">
        <w:rPr>
          <w:szCs w:val="24"/>
        </w:rPr>
        <w:t xml:space="preserve">мл); </w:t>
      </w:r>
    </w:p>
    <w:p w14:paraId="5C8FF534" w14:textId="2ADAD15F" w:rsidR="00B458F3" w:rsidRPr="0012742C" w:rsidRDefault="00B458F3" w:rsidP="008C1767">
      <w:pPr>
        <w:pStyle w:val="afff3"/>
        <w:widowControl/>
        <w:numPr>
          <w:ilvl w:val="0"/>
          <w:numId w:val="199"/>
        </w:numPr>
        <w:autoSpaceDE/>
        <w:autoSpaceDN/>
        <w:adjustRightInd/>
        <w:rPr>
          <w:szCs w:val="24"/>
        </w:rPr>
      </w:pPr>
      <w:r w:rsidRPr="0012742C">
        <w:rPr>
          <w:szCs w:val="24"/>
        </w:rPr>
        <w:t>Альбумин 5% 200 – 300</w:t>
      </w:r>
      <w:r w:rsidR="00AC5387">
        <w:rPr>
          <w:szCs w:val="24"/>
        </w:rPr>
        <w:t xml:space="preserve"> </w:t>
      </w:r>
      <w:r w:rsidR="00E332F3" w:rsidRPr="0012742C">
        <w:rPr>
          <w:szCs w:val="24"/>
        </w:rPr>
        <w:t>мл (</w:t>
      </w:r>
      <w:r w:rsidRPr="0012742C">
        <w:rPr>
          <w:szCs w:val="24"/>
        </w:rPr>
        <w:t>10-15</w:t>
      </w:r>
      <w:r>
        <w:rPr>
          <w:szCs w:val="24"/>
          <w:lang w:val="en-US"/>
        </w:rPr>
        <w:t xml:space="preserve"> </w:t>
      </w:r>
      <w:r w:rsidRPr="0012742C">
        <w:rPr>
          <w:szCs w:val="24"/>
        </w:rPr>
        <w:t>г);</w:t>
      </w:r>
    </w:p>
    <w:p w14:paraId="19BEA608" w14:textId="77777777" w:rsidR="00B458F3" w:rsidRPr="0012742C" w:rsidRDefault="00B458F3" w:rsidP="008C1767">
      <w:pPr>
        <w:pStyle w:val="afff3"/>
        <w:widowControl/>
        <w:numPr>
          <w:ilvl w:val="0"/>
          <w:numId w:val="199"/>
        </w:numPr>
        <w:autoSpaceDE/>
        <w:autoSpaceDN/>
        <w:adjustRightInd/>
        <w:rPr>
          <w:szCs w:val="24"/>
        </w:rPr>
      </w:pPr>
      <w:r w:rsidRPr="0012742C">
        <w:rPr>
          <w:szCs w:val="24"/>
        </w:rPr>
        <w:t>Раствор натрия хлорида 0,9% – в среднем 500мл (500 – 1000</w:t>
      </w:r>
      <w:r w:rsidRPr="00C350DF">
        <w:rPr>
          <w:szCs w:val="24"/>
        </w:rPr>
        <w:t xml:space="preserve"> </w:t>
      </w:r>
      <w:r w:rsidRPr="0012742C">
        <w:rPr>
          <w:szCs w:val="24"/>
        </w:rPr>
        <w:t xml:space="preserve">мл).   </w:t>
      </w:r>
    </w:p>
    <w:p w14:paraId="41F44817" w14:textId="77777777" w:rsidR="00B458F3" w:rsidRPr="0012742C" w:rsidRDefault="00B458F3" w:rsidP="00B458F3">
      <w:pPr>
        <w:pStyle w:val="afff3"/>
        <w:ind w:left="142" w:firstLine="566"/>
        <w:rPr>
          <w:szCs w:val="24"/>
        </w:rPr>
      </w:pPr>
    </w:p>
    <w:p w14:paraId="537E6343" w14:textId="77777777" w:rsidR="00B458F3" w:rsidRPr="0012742C" w:rsidRDefault="00B458F3" w:rsidP="00B458F3">
      <w:pPr>
        <w:pStyle w:val="afff3"/>
        <w:ind w:left="142" w:firstLine="566"/>
        <w:rPr>
          <w:szCs w:val="24"/>
        </w:rPr>
      </w:pPr>
      <w:r w:rsidRPr="0012742C">
        <w:rPr>
          <w:szCs w:val="24"/>
        </w:rPr>
        <w:t>С целью профилактики цитратной реакции на каждый 1л СЗП вводится внутривенно 5мл раствора кальция глюконата 10% или 5мл раствора кальция хлорида 10%.</w:t>
      </w:r>
    </w:p>
    <w:p w14:paraId="32B2D111" w14:textId="77777777" w:rsidR="00B458F3" w:rsidRPr="0012742C" w:rsidRDefault="00B458F3" w:rsidP="00B458F3">
      <w:pPr>
        <w:pStyle w:val="afff3"/>
        <w:ind w:left="142" w:firstLine="567"/>
        <w:rPr>
          <w:szCs w:val="24"/>
        </w:rPr>
      </w:pPr>
      <w:r w:rsidRPr="0012742C">
        <w:rPr>
          <w:szCs w:val="24"/>
        </w:rPr>
        <w:t>При наличии негемолитической посттрансфузионной реакции на трансфузии СЗП перед процедурой необходима премедикация (антигистаминные препараты, 10% раствор кальция глюконата 10</w:t>
      </w:r>
      <w:r>
        <w:rPr>
          <w:szCs w:val="24"/>
        </w:rPr>
        <w:t xml:space="preserve"> </w:t>
      </w:r>
      <w:r w:rsidRPr="0012742C">
        <w:rPr>
          <w:szCs w:val="24"/>
        </w:rPr>
        <w:t>мл).</w:t>
      </w:r>
    </w:p>
    <w:p w14:paraId="2451BD78" w14:textId="3870CE53" w:rsidR="002927D9" w:rsidRPr="002927D9" w:rsidRDefault="00455803" w:rsidP="004905C2">
      <w:pPr>
        <w:pStyle w:val="2"/>
        <w:rPr>
          <w:i/>
        </w:rPr>
      </w:pPr>
      <w:bookmarkStart w:id="401" w:name="_Toc64565676"/>
      <w:r w:rsidRPr="00B7347C">
        <w:t xml:space="preserve">Приложение </w:t>
      </w:r>
      <w:r>
        <w:t>А3.</w:t>
      </w:r>
      <w:r w:rsidR="00AD1136">
        <w:t>9</w:t>
      </w:r>
      <w:r>
        <w:t xml:space="preserve">. </w:t>
      </w:r>
      <w:bookmarkStart w:id="402" w:name="_Toc64477951"/>
      <w:r w:rsidR="002927D9">
        <w:t>Применение</w:t>
      </w:r>
      <w:r w:rsidR="002927D9" w:rsidRPr="009848E0">
        <w:t xml:space="preserve"> компонентов донорской крови у </w:t>
      </w:r>
      <w:r w:rsidR="002927D9">
        <w:t xml:space="preserve">гематологических </w:t>
      </w:r>
      <w:r w:rsidR="002927D9" w:rsidRPr="009848E0">
        <w:t>пациентов</w:t>
      </w:r>
      <w:bookmarkEnd w:id="401"/>
      <w:bookmarkEnd w:id="402"/>
    </w:p>
    <w:p w14:paraId="6EDE6A80" w14:textId="77777777" w:rsidR="002927D9" w:rsidRDefault="002927D9" w:rsidP="002927D9"/>
    <w:p w14:paraId="65A89C65" w14:textId="449A7150" w:rsidR="002927D9" w:rsidRPr="00106C1D" w:rsidRDefault="002927D9" w:rsidP="002927D9">
      <w:pPr>
        <w:ind w:firstLine="708"/>
        <w:contextualSpacing/>
        <w:rPr>
          <w:szCs w:val="24"/>
        </w:rPr>
      </w:pPr>
      <w:r w:rsidRPr="004C7AAC">
        <w:rPr>
          <w:szCs w:val="24"/>
        </w:rPr>
        <w:t xml:space="preserve">Основным медицинским </w:t>
      </w:r>
      <w:r w:rsidRPr="00E74023">
        <w:rPr>
          <w:szCs w:val="24"/>
        </w:rPr>
        <w:t xml:space="preserve">показанием к трансфузии эритроцитов у пациентов </w:t>
      </w:r>
      <w:r w:rsidR="000E1D1D">
        <w:rPr>
          <w:szCs w:val="24"/>
        </w:rPr>
        <w:t xml:space="preserve">с лейкозом </w:t>
      </w:r>
      <w:r w:rsidRPr="00E74023">
        <w:rPr>
          <w:szCs w:val="24"/>
        </w:rPr>
        <w:t xml:space="preserve">является неадекватная оксигенация </w:t>
      </w:r>
      <w:r>
        <w:rPr>
          <w:szCs w:val="24"/>
        </w:rPr>
        <w:t xml:space="preserve">органов и тканей </w:t>
      </w:r>
      <w:r w:rsidRPr="00E74023">
        <w:rPr>
          <w:szCs w:val="24"/>
        </w:rPr>
        <w:t>и связанный с этим риск осложнений.</w:t>
      </w:r>
      <w:r>
        <w:rPr>
          <w:szCs w:val="24"/>
        </w:rPr>
        <w:t xml:space="preserve"> </w:t>
      </w:r>
      <w:r w:rsidRPr="00E74023">
        <w:rPr>
          <w:szCs w:val="24"/>
        </w:rPr>
        <w:t xml:space="preserve">Переливание донорских тромбоцитов гематологическим </w:t>
      </w:r>
      <w:r>
        <w:rPr>
          <w:szCs w:val="24"/>
        </w:rPr>
        <w:t>пациента</w:t>
      </w:r>
      <w:r w:rsidRPr="00E74023">
        <w:rPr>
          <w:szCs w:val="24"/>
        </w:rPr>
        <w:t xml:space="preserve">м проводят </w:t>
      </w:r>
      <w:r w:rsidRPr="00E74023">
        <w:rPr>
          <w:szCs w:val="24"/>
          <w:lang w:val="en-US"/>
        </w:rPr>
        <w:t>c</w:t>
      </w:r>
      <w:r w:rsidRPr="00E74023">
        <w:rPr>
          <w:szCs w:val="24"/>
        </w:rPr>
        <w:t xml:space="preserve"> целью профилактики спонтанных геморрагических осложнений на фоне глубокой тромбоцитопении, индуцированной проведением интенсивной химиотерапии, или с лечебной целью пациентам с уже имеющимися геморрагическими осложнениями.</w:t>
      </w:r>
      <w:r>
        <w:rPr>
          <w:szCs w:val="24"/>
        </w:rPr>
        <w:t xml:space="preserve"> При необходимости </w:t>
      </w:r>
      <w:r w:rsidRPr="00E74023">
        <w:rPr>
          <w:szCs w:val="24"/>
        </w:rPr>
        <w:t>восполнения дефицита факторов свертывания</w:t>
      </w:r>
      <w:r>
        <w:rPr>
          <w:szCs w:val="24"/>
        </w:rPr>
        <w:t xml:space="preserve"> </w:t>
      </w:r>
      <w:r w:rsidRPr="00E74023">
        <w:rPr>
          <w:szCs w:val="24"/>
        </w:rPr>
        <w:t>универсальным препаратом</w:t>
      </w:r>
      <w:r w:rsidRPr="009848E0">
        <w:rPr>
          <w:szCs w:val="24"/>
        </w:rPr>
        <w:t xml:space="preserve"> </w:t>
      </w:r>
      <w:r w:rsidRPr="00E74023">
        <w:rPr>
          <w:szCs w:val="24"/>
        </w:rPr>
        <w:t xml:space="preserve">на сегодняшний день является </w:t>
      </w:r>
      <w:r>
        <w:rPr>
          <w:szCs w:val="24"/>
        </w:rPr>
        <w:t>с</w:t>
      </w:r>
      <w:r w:rsidRPr="00E74023">
        <w:rPr>
          <w:szCs w:val="24"/>
        </w:rPr>
        <w:t>вежезамороженная плазма (СЗП</w:t>
      </w:r>
      <w:r>
        <w:rPr>
          <w:szCs w:val="24"/>
        </w:rPr>
        <w:t>)</w:t>
      </w:r>
      <w:r w:rsidRPr="00E74023">
        <w:rPr>
          <w:szCs w:val="24"/>
        </w:rPr>
        <w:t xml:space="preserve">. Показаниями для ее применения при острой кровопотере являются удлинение хронометрических показателей коагулограммы более чем в 1,8 раз; изолированное снижение уровня одного из факторов свертывания на 20% и более или комплекса факторов на 40% и более. Кроме СЗП для коррекции нарушений гемостаза при острой кровопотере применяются криопреципитат, очищенные или генноинженерные препараты факторов свертывания или их комплексов, ингибиторы протеаз, ингибиторы фибринолиза, десмопрессин. Трансфузии СЗП показаны </w:t>
      </w:r>
      <w:r>
        <w:rPr>
          <w:szCs w:val="24"/>
        </w:rPr>
        <w:t xml:space="preserve">также </w:t>
      </w:r>
      <w:r w:rsidRPr="00E74023">
        <w:rPr>
          <w:szCs w:val="24"/>
        </w:rPr>
        <w:t xml:space="preserve">для </w:t>
      </w:r>
      <w:r w:rsidRPr="00E74023">
        <w:rPr>
          <w:color w:val="000000"/>
          <w:szCs w:val="24"/>
        </w:rPr>
        <w:t>возмещения объема при проведении</w:t>
      </w:r>
      <w:r w:rsidRPr="004C7AAC">
        <w:rPr>
          <w:color w:val="000000"/>
          <w:szCs w:val="24"/>
        </w:rPr>
        <w:t xml:space="preserve"> </w:t>
      </w:r>
      <w:r w:rsidRPr="004C7AAC">
        <w:rPr>
          <w:szCs w:val="24"/>
        </w:rPr>
        <w:t xml:space="preserve">процедур плазмафереза при гиперлейкоцитозе, </w:t>
      </w:r>
      <w:r>
        <w:rPr>
          <w:szCs w:val="24"/>
        </w:rPr>
        <w:t>Выбор конкретного вида компонента крови для гемотрансфузии (тип эритроцитосодержащего компонента</w:t>
      </w:r>
      <w:r w:rsidRPr="003B52EE">
        <w:rPr>
          <w:szCs w:val="24"/>
        </w:rPr>
        <w:t xml:space="preserve"> крови</w:t>
      </w:r>
      <w:r>
        <w:rPr>
          <w:szCs w:val="24"/>
        </w:rPr>
        <w:t xml:space="preserve">, тип </w:t>
      </w:r>
      <w:r w:rsidRPr="003B52EE">
        <w:rPr>
          <w:bCs/>
          <w:iCs/>
          <w:szCs w:val="24"/>
        </w:rPr>
        <w:t>концентрата тромбоцитов</w:t>
      </w:r>
      <w:r>
        <w:rPr>
          <w:bCs/>
          <w:iCs/>
          <w:szCs w:val="24"/>
        </w:rPr>
        <w:t xml:space="preserve">, тип препарата </w:t>
      </w:r>
      <w:r w:rsidRPr="003B52EE">
        <w:rPr>
          <w:iCs/>
          <w:szCs w:val="24"/>
        </w:rPr>
        <w:t>плазмы</w:t>
      </w:r>
      <w:r>
        <w:rPr>
          <w:iCs/>
          <w:szCs w:val="24"/>
        </w:rPr>
        <w:t xml:space="preserve">) осуществляется лечащим врачом или врачом-трансфузиологом в соответствии с </w:t>
      </w:r>
      <w:r>
        <w:rPr>
          <w:iCs/>
          <w:szCs w:val="24"/>
        </w:rPr>
        <w:lastRenderedPageBreak/>
        <w:t xml:space="preserve">клинической ситуаций и на основании </w:t>
      </w:r>
      <w:r w:rsidRPr="00EE003B">
        <w:rPr>
          <w:szCs w:val="24"/>
        </w:rPr>
        <w:t>Приказа Минздрава России от 28.10.2020 N 1170н</w:t>
      </w:r>
      <w:r w:rsidRPr="00EE003B">
        <w:rPr>
          <w:szCs w:val="24"/>
        </w:rPr>
        <w:br/>
        <w:t xml:space="preserve">"Об утверждении порядка оказания медицинской помощи населению по профилю "трансфузиология", Приказа Минздрава России от 20.10.2020 </w:t>
      </w:r>
      <w:r w:rsidRPr="00EE003B">
        <w:rPr>
          <w:szCs w:val="24"/>
          <w:lang w:val="en-US"/>
        </w:rPr>
        <w:t>N</w:t>
      </w:r>
      <w:r w:rsidRPr="00EE003B">
        <w:rPr>
          <w:szCs w:val="24"/>
        </w:rPr>
        <w:t xml:space="preserve"> 1134н «О порядке медицинского обследования реципиента, проведения проб на индивидуальную совместимость, включая биологическую пробу, при трансфузии донорской крови и (или) ее компонентов»</w:t>
      </w:r>
      <w:r>
        <w:rPr>
          <w:szCs w:val="24"/>
        </w:rPr>
        <w:t>, рекомендациями «Клиническое использование эритроцитсодержащих компонентов крови»  (2018</w:t>
      </w:r>
      <w:r w:rsidRPr="00360841">
        <w:rPr>
          <w:szCs w:val="24"/>
        </w:rPr>
        <w:t xml:space="preserve"> </w:t>
      </w:r>
      <w:r>
        <w:rPr>
          <w:szCs w:val="24"/>
        </w:rPr>
        <w:t>г</w:t>
      </w:r>
      <w:r w:rsidRPr="00360841">
        <w:rPr>
          <w:szCs w:val="24"/>
        </w:rPr>
        <w:t>.</w:t>
      </w:r>
      <w:r>
        <w:rPr>
          <w:szCs w:val="24"/>
        </w:rPr>
        <w:t xml:space="preserve">), </w:t>
      </w:r>
      <w:r w:rsidRPr="00106C1D">
        <w:rPr>
          <w:szCs w:val="24"/>
        </w:rPr>
        <w:t xml:space="preserve">Постановления от 22.06.2019 г. </w:t>
      </w:r>
      <w:r w:rsidRPr="00106C1D">
        <w:rPr>
          <w:szCs w:val="24"/>
          <w:lang w:val="en-US"/>
        </w:rPr>
        <w:t>N</w:t>
      </w:r>
      <w:r w:rsidRPr="00106C1D">
        <w:rPr>
          <w:szCs w:val="24"/>
        </w:rPr>
        <w:t xml:space="preserve"> 797 «Об утверждении правил заготовки, хранения, транспортировки и клинического использования донорской крови и ее компонентов и о признании утратившими силу некоторых актов Правительства Российской Федерации»,  другими нормативными актами.</w:t>
      </w:r>
    </w:p>
    <w:p w14:paraId="1084BE1D" w14:textId="77777777" w:rsidR="002927D9" w:rsidRDefault="002927D9" w:rsidP="002927D9">
      <w:pPr>
        <w:contextualSpacing/>
        <w:rPr>
          <w:b/>
          <w:szCs w:val="24"/>
        </w:rPr>
      </w:pPr>
    </w:p>
    <w:p w14:paraId="4F7E15D5" w14:textId="77777777" w:rsidR="002927D9" w:rsidRPr="00360841" w:rsidRDefault="002927D9" w:rsidP="002927D9">
      <w:pPr>
        <w:contextualSpacing/>
        <w:rPr>
          <w:i/>
          <w:szCs w:val="24"/>
          <w:u w:val="single"/>
        </w:rPr>
      </w:pPr>
      <w:r w:rsidRPr="00360841">
        <w:rPr>
          <w:i/>
          <w:szCs w:val="24"/>
          <w:u w:val="single"/>
        </w:rPr>
        <w:t>Трансфузии эритроцитосодержащих компонентов крови (ЭСК)</w:t>
      </w:r>
    </w:p>
    <w:p w14:paraId="3318682B" w14:textId="77777777" w:rsidR="002927D9" w:rsidRPr="00FA3E28" w:rsidRDefault="002927D9" w:rsidP="002927D9">
      <w:pPr>
        <w:ind w:firstLine="708"/>
        <w:rPr>
          <w:szCs w:val="24"/>
          <w:u w:val="single"/>
        </w:rPr>
      </w:pPr>
      <w:r w:rsidRPr="00FA3E28">
        <w:rPr>
          <w:bCs/>
          <w:szCs w:val="24"/>
          <w:u w:val="single"/>
        </w:rPr>
        <w:t>Необходимые исследования до трансфузии</w:t>
      </w:r>
    </w:p>
    <w:p w14:paraId="4A6100A7" w14:textId="5469A96F" w:rsidR="002927D9" w:rsidRDefault="002927D9" w:rsidP="002927D9">
      <w:pPr>
        <w:ind w:firstLine="708"/>
        <w:rPr>
          <w:szCs w:val="24"/>
        </w:rPr>
      </w:pPr>
      <w:r>
        <w:rPr>
          <w:szCs w:val="24"/>
        </w:rPr>
        <w:t xml:space="preserve">Всем пациентам </w:t>
      </w:r>
      <w:r w:rsidR="000E1D1D">
        <w:rPr>
          <w:szCs w:val="24"/>
        </w:rPr>
        <w:t xml:space="preserve">с лейкозами </w:t>
      </w:r>
      <w:r>
        <w:rPr>
          <w:szCs w:val="24"/>
        </w:rPr>
        <w:t xml:space="preserve">при поступлении в медицинскую организацию необходимо осуществить первичное определение группы крови в клиническом отделении по системе AB0 и резус-принадлежности с внесением результатов определения в медицинскую документацию. После первичного определения группы крови образец крови больного направляется в клинико-диагностическую лабораторию организации, осуществляющей клиническое использование донорской крови и ее компонентов, где проводят следующие подтверждающие исследования, c внесением в медицинскую документацию: </w:t>
      </w:r>
    </w:p>
    <w:p w14:paraId="0662E801" w14:textId="77777777" w:rsidR="002927D9" w:rsidRPr="00360841" w:rsidRDefault="002927D9" w:rsidP="008C1767">
      <w:pPr>
        <w:pStyle w:val="afff3"/>
        <w:widowControl/>
        <w:numPr>
          <w:ilvl w:val="0"/>
          <w:numId w:val="200"/>
        </w:numPr>
        <w:autoSpaceDE/>
        <w:autoSpaceDN/>
        <w:adjustRightInd/>
        <w:rPr>
          <w:szCs w:val="24"/>
        </w:rPr>
      </w:pPr>
      <w:r w:rsidRPr="00360841">
        <w:rPr>
          <w:szCs w:val="24"/>
        </w:rPr>
        <w:t>определение группы крови по системе AB0 и резус-принадлежности;</w:t>
      </w:r>
    </w:p>
    <w:p w14:paraId="1B6B1FF8" w14:textId="77777777" w:rsidR="002927D9" w:rsidRPr="00360841" w:rsidRDefault="002927D9" w:rsidP="008C1767">
      <w:pPr>
        <w:pStyle w:val="afff3"/>
        <w:widowControl/>
        <w:numPr>
          <w:ilvl w:val="0"/>
          <w:numId w:val="200"/>
        </w:numPr>
        <w:autoSpaceDE/>
        <w:autoSpaceDN/>
        <w:adjustRightInd/>
        <w:rPr>
          <w:szCs w:val="24"/>
        </w:rPr>
      </w:pPr>
      <w:r w:rsidRPr="00360841">
        <w:rPr>
          <w:szCs w:val="24"/>
        </w:rPr>
        <w:t>определение антигена K;</w:t>
      </w:r>
    </w:p>
    <w:p w14:paraId="77B62A02" w14:textId="77777777" w:rsidR="002927D9" w:rsidRPr="00360841" w:rsidRDefault="002927D9" w:rsidP="008C1767">
      <w:pPr>
        <w:pStyle w:val="afff3"/>
        <w:widowControl/>
        <w:numPr>
          <w:ilvl w:val="0"/>
          <w:numId w:val="200"/>
        </w:numPr>
        <w:autoSpaceDE/>
        <w:autoSpaceDN/>
        <w:adjustRightInd/>
        <w:rPr>
          <w:szCs w:val="24"/>
        </w:rPr>
      </w:pPr>
      <w:r w:rsidRPr="00360841">
        <w:rPr>
          <w:szCs w:val="24"/>
        </w:rPr>
        <w:t>скрининг аллоиммунных антител с использованием не менее 3 образцов тест-эритроцитов;</w:t>
      </w:r>
    </w:p>
    <w:p w14:paraId="2276826B" w14:textId="7FF7389D" w:rsidR="002927D9" w:rsidRPr="00360841" w:rsidRDefault="002927D9" w:rsidP="008C1767">
      <w:pPr>
        <w:pStyle w:val="afff3"/>
        <w:widowControl/>
        <w:numPr>
          <w:ilvl w:val="0"/>
          <w:numId w:val="200"/>
        </w:numPr>
        <w:autoSpaceDE/>
        <w:autoSpaceDN/>
        <w:adjustRightInd/>
        <w:rPr>
          <w:szCs w:val="24"/>
        </w:rPr>
      </w:pPr>
      <w:r w:rsidRPr="00360841">
        <w:rPr>
          <w:szCs w:val="24"/>
        </w:rPr>
        <w:t xml:space="preserve">определение антигенов эритроцитов C, c, E, e. При совпадении результатов определения антигенов эритроцитов C, c, E, e, K, проведенных дважды в организации, осуществляющей клиническое использование донорской крови и ее компонентов, антигены эритроцитов C, c, E, e, </w:t>
      </w:r>
      <w:r w:rsidR="00AC5387" w:rsidRPr="00360841">
        <w:rPr>
          <w:szCs w:val="24"/>
        </w:rPr>
        <w:t>K считаются</w:t>
      </w:r>
      <w:r w:rsidRPr="00360841">
        <w:rPr>
          <w:szCs w:val="24"/>
        </w:rPr>
        <w:t xml:space="preserve"> установленными и в дальнейшем не определяются.</w:t>
      </w:r>
    </w:p>
    <w:p w14:paraId="377607BB" w14:textId="77777777" w:rsidR="002927D9" w:rsidRDefault="002927D9" w:rsidP="002927D9">
      <w:pPr>
        <w:ind w:firstLine="708"/>
        <w:rPr>
          <w:szCs w:val="24"/>
        </w:rPr>
      </w:pPr>
      <w:r>
        <w:rPr>
          <w:szCs w:val="24"/>
        </w:rPr>
        <w:t>Не допускается внесение в медицинскую документацию результатов указанных выше исследований на основании данных медицинской документации, оформленной иными медицинскими организациями, в которых больному ранее была оказана медицинская помощь или проводилось медицинское обследование.</w:t>
      </w:r>
    </w:p>
    <w:p w14:paraId="46136800" w14:textId="77777777" w:rsidR="002927D9" w:rsidRDefault="002927D9" w:rsidP="002927D9">
      <w:pPr>
        <w:ind w:firstLine="708"/>
        <w:rPr>
          <w:szCs w:val="24"/>
        </w:rPr>
      </w:pPr>
      <w:r>
        <w:rPr>
          <w:szCs w:val="24"/>
        </w:rPr>
        <w:t xml:space="preserve">В целях профилактики реакций и осложнений в связи с трансфузией используются </w:t>
      </w:r>
      <w:r>
        <w:rPr>
          <w:szCs w:val="24"/>
        </w:rPr>
        <w:lastRenderedPageBreak/>
        <w:t>ЭСК, идентичные или совместимые по системе AB0, резус-принадлежности и K. При плановых трансфузиях ЭСК дополнительно учитывают совместимость донора и реципиента по антигенам эритроцитов C, c, E, e, С</w:t>
      </w:r>
      <w:r>
        <w:rPr>
          <w:szCs w:val="24"/>
          <w:vertAlign w:val="superscript"/>
          <w:lang w:val="en-US"/>
        </w:rPr>
        <w:t>W</w:t>
      </w:r>
      <w:r>
        <w:rPr>
          <w:szCs w:val="24"/>
        </w:rPr>
        <w:t>.</w:t>
      </w:r>
    </w:p>
    <w:p w14:paraId="7189A462" w14:textId="77777777" w:rsidR="002927D9" w:rsidRDefault="002927D9" w:rsidP="002927D9">
      <w:pPr>
        <w:ind w:firstLine="708"/>
        <w:rPr>
          <w:szCs w:val="24"/>
        </w:rPr>
      </w:pPr>
      <w:r>
        <w:rPr>
          <w:szCs w:val="24"/>
        </w:rPr>
        <w:t xml:space="preserve">Индивидуальный подбор компонентов крови осуществляется реципиентам, имеющим: </w:t>
      </w:r>
    </w:p>
    <w:p w14:paraId="48744261" w14:textId="77777777" w:rsidR="002927D9" w:rsidRPr="00360841" w:rsidRDefault="002927D9" w:rsidP="008C1767">
      <w:pPr>
        <w:pStyle w:val="afff3"/>
        <w:widowControl/>
        <w:numPr>
          <w:ilvl w:val="0"/>
          <w:numId w:val="201"/>
        </w:numPr>
        <w:autoSpaceDE/>
        <w:autoSpaceDN/>
        <w:adjustRightInd/>
        <w:rPr>
          <w:szCs w:val="24"/>
        </w:rPr>
      </w:pPr>
      <w:r w:rsidRPr="00360841">
        <w:rPr>
          <w:szCs w:val="24"/>
        </w:rPr>
        <w:t>посттрансфузионные осложнения в анамнезе</w:t>
      </w:r>
    </w:p>
    <w:p w14:paraId="2F2369F7" w14:textId="77777777" w:rsidR="002927D9" w:rsidRPr="00360841" w:rsidRDefault="002927D9" w:rsidP="008C1767">
      <w:pPr>
        <w:pStyle w:val="afff3"/>
        <w:widowControl/>
        <w:numPr>
          <w:ilvl w:val="0"/>
          <w:numId w:val="201"/>
        </w:numPr>
        <w:autoSpaceDE/>
        <w:autoSpaceDN/>
        <w:adjustRightInd/>
        <w:rPr>
          <w:szCs w:val="24"/>
        </w:rPr>
      </w:pPr>
      <w:r w:rsidRPr="00360841">
        <w:rPr>
          <w:szCs w:val="24"/>
        </w:rPr>
        <w:t>беременность</w:t>
      </w:r>
    </w:p>
    <w:p w14:paraId="7CA503B1" w14:textId="77777777" w:rsidR="002927D9" w:rsidRPr="00360841" w:rsidRDefault="002927D9" w:rsidP="008C1767">
      <w:pPr>
        <w:pStyle w:val="afff3"/>
        <w:widowControl/>
        <w:numPr>
          <w:ilvl w:val="0"/>
          <w:numId w:val="201"/>
        </w:numPr>
        <w:autoSpaceDE/>
        <w:autoSpaceDN/>
        <w:adjustRightInd/>
        <w:rPr>
          <w:szCs w:val="24"/>
        </w:rPr>
      </w:pPr>
      <w:r w:rsidRPr="00360841">
        <w:rPr>
          <w:szCs w:val="24"/>
        </w:rPr>
        <w:t>рождение детей с гемолитической болезнью новорожденного в анамнезе</w:t>
      </w:r>
    </w:p>
    <w:p w14:paraId="618B8AC5" w14:textId="77777777" w:rsidR="002927D9" w:rsidRPr="00360841" w:rsidRDefault="002927D9" w:rsidP="008C1767">
      <w:pPr>
        <w:pStyle w:val="afff3"/>
        <w:widowControl/>
        <w:numPr>
          <w:ilvl w:val="0"/>
          <w:numId w:val="201"/>
        </w:numPr>
        <w:autoSpaceDE/>
        <w:autoSpaceDN/>
        <w:adjustRightInd/>
        <w:rPr>
          <w:szCs w:val="24"/>
        </w:rPr>
      </w:pPr>
      <w:r w:rsidRPr="00360841">
        <w:rPr>
          <w:szCs w:val="24"/>
        </w:rPr>
        <w:t xml:space="preserve">аллоиммунные антитела. </w:t>
      </w:r>
    </w:p>
    <w:p w14:paraId="41578FF1" w14:textId="77777777" w:rsidR="002927D9" w:rsidRDefault="002927D9" w:rsidP="002927D9">
      <w:pPr>
        <w:ind w:firstLine="708"/>
        <w:rPr>
          <w:szCs w:val="24"/>
        </w:rPr>
      </w:pPr>
      <w:r w:rsidRPr="001A5953">
        <w:rPr>
          <w:szCs w:val="24"/>
        </w:rPr>
        <w:t>Индивидуальный подбор не отменяет постановку пробы на совместимость на плоскости</w:t>
      </w:r>
      <w:r>
        <w:rPr>
          <w:szCs w:val="24"/>
        </w:rPr>
        <w:t xml:space="preserve"> при комнатной температуре</w:t>
      </w:r>
      <w:r w:rsidRPr="001A5953">
        <w:rPr>
          <w:szCs w:val="24"/>
        </w:rPr>
        <w:t xml:space="preserve"> и биологическую пробу врачом, проводящим трансфузию.</w:t>
      </w:r>
    </w:p>
    <w:p w14:paraId="5739EB5D" w14:textId="77777777" w:rsidR="002927D9" w:rsidRDefault="002927D9" w:rsidP="002927D9">
      <w:pPr>
        <w:ind w:firstLine="708"/>
        <w:rPr>
          <w:szCs w:val="24"/>
        </w:rPr>
      </w:pPr>
      <w:r>
        <w:rPr>
          <w:szCs w:val="24"/>
        </w:rPr>
        <w:t>При определении показаний к трансфузиям компонентов донорской крови обязательно проводятся следующие лабораторные исследования:</w:t>
      </w:r>
    </w:p>
    <w:p w14:paraId="64072E51" w14:textId="77777777" w:rsidR="002927D9" w:rsidRPr="00360841" w:rsidRDefault="002927D9" w:rsidP="008C1767">
      <w:pPr>
        <w:pStyle w:val="afff3"/>
        <w:widowControl/>
        <w:numPr>
          <w:ilvl w:val="0"/>
          <w:numId w:val="202"/>
        </w:numPr>
        <w:autoSpaceDE/>
        <w:autoSpaceDN/>
        <w:adjustRightInd/>
        <w:rPr>
          <w:szCs w:val="24"/>
        </w:rPr>
      </w:pPr>
      <w:r w:rsidRPr="00360841">
        <w:rPr>
          <w:szCs w:val="24"/>
        </w:rPr>
        <w:t>Перед трансфузией клеточных компонентов донорской крови (эритроцитная взвесь, концентрат тромбоцитов) - общий (клинический) анализ крови</w:t>
      </w:r>
    </w:p>
    <w:p w14:paraId="0288C9F9" w14:textId="77777777" w:rsidR="002927D9" w:rsidRPr="00360841" w:rsidRDefault="002927D9" w:rsidP="008C1767">
      <w:pPr>
        <w:pStyle w:val="afff3"/>
        <w:widowControl/>
        <w:numPr>
          <w:ilvl w:val="0"/>
          <w:numId w:val="202"/>
        </w:numPr>
        <w:autoSpaceDE/>
        <w:autoSpaceDN/>
        <w:adjustRightInd/>
        <w:rPr>
          <w:szCs w:val="24"/>
        </w:rPr>
      </w:pPr>
      <w:r w:rsidRPr="00360841">
        <w:rPr>
          <w:szCs w:val="24"/>
        </w:rPr>
        <w:t>Перед трансфузией СЗП, криопреципитата и криосупернатантной плазмы - коагулограмма.</w:t>
      </w:r>
    </w:p>
    <w:p w14:paraId="54B90230" w14:textId="77777777" w:rsidR="002927D9" w:rsidRPr="00360841" w:rsidRDefault="002927D9" w:rsidP="008C1767">
      <w:pPr>
        <w:pStyle w:val="afff3"/>
        <w:widowControl/>
        <w:numPr>
          <w:ilvl w:val="0"/>
          <w:numId w:val="202"/>
        </w:numPr>
        <w:autoSpaceDE/>
        <w:autoSpaceDN/>
        <w:adjustRightInd/>
        <w:rPr>
          <w:szCs w:val="24"/>
        </w:rPr>
      </w:pPr>
      <w:r w:rsidRPr="00360841">
        <w:rPr>
          <w:szCs w:val="24"/>
        </w:rPr>
        <w:t>После трансфузии компонентов крови</w:t>
      </w:r>
    </w:p>
    <w:p w14:paraId="5895D623" w14:textId="77777777" w:rsidR="002927D9" w:rsidRPr="004E4312" w:rsidRDefault="002927D9" w:rsidP="002927D9">
      <w:pPr>
        <w:rPr>
          <w:b/>
          <w:u w:val="single"/>
        </w:rPr>
      </w:pPr>
      <w:r w:rsidRPr="004E4312">
        <w:rPr>
          <w:u w:val="single"/>
        </w:rPr>
        <w:t>Показания к переливанию ЭСК</w:t>
      </w:r>
    </w:p>
    <w:p w14:paraId="0744E060" w14:textId="36F142A7" w:rsidR="002927D9" w:rsidRPr="003E19FB" w:rsidRDefault="002927D9" w:rsidP="008C1767">
      <w:pPr>
        <w:pStyle w:val="FitzBullet"/>
        <w:numPr>
          <w:ilvl w:val="0"/>
          <w:numId w:val="203"/>
        </w:numPr>
        <w:tabs>
          <w:tab w:val="clear" w:pos="317"/>
          <w:tab w:val="left" w:pos="144"/>
        </w:tabs>
        <w:spacing w:before="0" w:after="0"/>
        <w:jc w:val="both"/>
      </w:pPr>
      <w:r w:rsidRPr="003E19FB">
        <w:t xml:space="preserve">Пациентам </w:t>
      </w:r>
      <w:r w:rsidR="000E1D1D">
        <w:t xml:space="preserve">ОЛЛ </w:t>
      </w:r>
      <w:r w:rsidRPr="003E19FB">
        <w:t xml:space="preserve">с хронической анемией переливание показано при уровне гемоглобина </w:t>
      </w:r>
      <w:r w:rsidR="00AC5387" w:rsidRPr="003E19FB">
        <w:t>&lt;60</w:t>
      </w:r>
      <w:r w:rsidRPr="003E19FB">
        <w:t> г/л. В данном случае переливание донорских эритроцитов проводится только для коррекции важнейших симптомов, обусловленных анемией и не поддающихся основной патогенетической терапии.</w:t>
      </w:r>
    </w:p>
    <w:p w14:paraId="78606650" w14:textId="144F95AA" w:rsidR="002927D9" w:rsidRPr="003E19FB" w:rsidRDefault="002927D9" w:rsidP="008C1767">
      <w:pPr>
        <w:pStyle w:val="FitzBullet"/>
        <w:numPr>
          <w:ilvl w:val="0"/>
          <w:numId w:val="203"/>
        </w:numPr>
        <w:tabs>
          <w:tab w:val="clear" w:pos="317"/>
          <w:tab w:val="left" w:pos="144"/>
        </w:tabs>
        <w:spacing w:before="0" w:after="0"/>
        <w:jc w:val="both"/>
      </w:pPr>
      <w:r w:rsidRPr="003E19FB">
        <w:t xml:space="preserve">Пациентам </w:t>
      </w:r>
      <w:r w:rsidR="000E1D1D">
        <w:t xml:space="preserve">ОЛЛ </w:t>
      </w:r>
      <w:r w:rsidRPr="003E19FB">
        <w:t xml:space="preserve">с сепсисом, ишемической болезнью сердца (в том числе, инфарктом миокарда, стенокардией напряжения), миокардитом и другими кардиопатиями трансфузии эритроцитов рекомендованы при уровне гемоглобина </w:t>
      </w:r>
      <w:r w:rsidR="00AC5387" w:rsidRPr="003E19FB">
        <w:t>&lt;100</w:t>
      </w:r>
      <w:r w:rsidRPr="003E19FB">
        <w:t> г/л.</w:t>
      </w:r>
    </w:p>
    <w:p w14:paraId="2542080B" w14:textId="0083EC75" w:rsidR="002927D9" w:rsidRPr="003E19FB" w:rsidRDefault="002927D9" w:rsidP="008C1767">
      <w:pPr>
        <w:pStyle w:val="FitzBullet"/>
        <w:numPr>
          <w:ilvl w:val="0"/>
          <w:numId w:val="203"/>
        </w:numPr>
        <w:tabs>
          <w:tab w:val="clear" w:pos="317"/>
          <w:tab w:val="left" w:pos="144"/>
        </w:tabs>
        <w:spacing w:before="0" w:after="0"/>
        <w:jc w:val="both"/>
      </w:pPr>
      <w:r w:rsidRPr="003E19FB">
        <w:t xml:space="preserve">Пациентам </w:t>
      </w:r>
      <w:r w:rsidR="000E1D1D">
        <w:t xml:space="preserve">ОЛЛ </w:t>
      </w:r>
      <w:r w:rsidRPr="003E19FB">
        <w:t xml:space="preserve">старше 60 лет трансфузии эритроцитов показаны при уровне гемоглобина </w:t>
      </w:r>
      <w:r w:rsidR="00AC5387" w:rsidRPr="003E19FB">
        <w:t>&lt;100</w:t>
      </w:r>
      <w:r w:rsidRPr="003E19FB">
        <w:t> г/л.</w:t>
      </w:r>
    </w:p>
    <w:p w14:paraId="713B66EF" w14:textId="4DAF21D1" w:rsidR="002927D9" w:rsidRPr="003E19FB" w:rsidRDefault="002927D9" w:rsidP="008C1767">
      <w:pPr>
        <w:pStyle w:val="FitzBullet"/>
        <w:numPr>
          <w:ilvl w:val="0"/>
          <w:numId w:val="203"/>
        </w:numPr>
        <w:tabs>
          <w:tab w:val="clear" w:pos="317"/>
          <w:tab w:val="left" w:pos="144"/>
        </w:tabs>
        <w:spacing w:before="0" w:after="0"/>
        <w:jc w:val="both"/>
      </w:pPr>
      <w:r w:rsidRPr="003E19FB">
        <w:t xml:space="preserve">Беременным пациенткам с </w:t>
      </w:r>
      <w:r w:rsidR="000E1D1D">
        <w:t xml:space="preserve">ОЛЛ </w:t>
      </w:r>
      <w:r w:rsidRPr="003E19FB">
        <w:t>рекомендовано обеспечивать уровень гемоглобина в крови не менее 80 г/л.</w:t>
      </w:r>
    </w:p>
    <w:p w14:paraId="0EE8CFF8" w14:textId="77777777" w:rsidR="002927D9" w:rsidRPr="004E4312" w:rsidRDefault="002927D9" w:rsidP="002927D9">
      <w:pPr>
        <w:rPr>
          <w:b/>
          <w:u w:val="single"/>
        </w:rPr>
      </w:pPr>
      <w:r w:rsidRPr="004E4312">
        <w:rPr>
          <w:u w:val="single"/>
        </w:rPr>
        <w:t>Показания к ЭСК при острой анемии вследствие массивной кровопотери</w:t>
      </w:r>
    </w:p>
    <w:p w14:paraId="147F1B5D" w14:textId="77777777" w:rsidR="002927D9" w:rsidRPr="003E19FB" w:rsidRDefault="002927D9" w:rsidP="008C1767">
      <w:pPr>
        <w:pStyle w:val="FitzBullet"/>
        <w:numPr>
          <w:ilvl w:val="0"/>
          <w:numId w:val="203"/>
        </w:numPr>
        <w:tabs>
          <w:tab w:val="clear" w:pos="317"/>
          <w:tab w:val="left" w:pos="144"/>
        </w:tabs>
        <w:spacing w:before="0" w:after="0"/>
        <w:jc w:val="both"/>
      </w:pPr>
      <w:r w:rsidRPr="003E19FB">
        <w:t>Кровопотеря, составляющая 15—30% от объема циркулирующей крови при наличии предшествующей анемии или сопутствующих кардиологических или пульмонологических заболеваниях.</w:t>
      </w:r>
    </w:p>
    <w:p w14:paraId="6B497016" w14:textId="77777777" w:rsidR="002927D9" w:rsidRPr="003E19FB" w:rsidRDefault="002927D9" w:rsidP="008C1767">
      <w:pPr>
        <w:pStyle w:val="FitzBullet"/>
        <w:numPr>
          <w:ilvl w:val="0"/>
          <w:numId w:val="203"/>
        </w:numPr>
        <w:tabs>
          <w:tab w:val="clear" w:pos="317"/>
          <w:tab w:val="left" w:pos="144"/>
        </w:tabs>
        <w:spacing w:before="0" w:after="0"/>
        <w:jc w:val="both"/>
      </w:pPr>
      <w:r w:rsidRPr="003E19FB">
        <w:lastRenderedPageBreak/>
        <w:t>Уровень гемоглобина ниже 70—90 г/л при активном кровотечении.</w:t>
      </w:r>
    </w:p>
    <w:p w14:paraId="7B5DE9C2" w14:textId="6BCA6DA2" w:rsidR="002927D9" w:rsidRPr="003E19FB" w:rsidRDefault="002927D9" w:rsidP="008C1767">
      <w:pPr>
        <w:pStyle w:val="FitzBullet"/>
        <w:numPr>
          <w:ilvl w:val="0"/>
          <w:numId w:val="203"/>
        </w:numPr>
        <w:tabs>
          <w:tab w:val="clear" w:pos="317"/>
          <w:tab w:val="left" w:pos="144"/>
        </w:tabs>
        <w:spacing w:before="0" w:after="0"/>
        <w:jc w:val="both"/>
      </w:pPr>
      <w:r w:rsidRPr="003E19FB">
        <w:t xml:space="preserve">Уровень гемоглобина </w:t>
      </w:r>
      <w:r w:rsidR="00AC5387" w:rsidRPr="003E19FB">
        <w:t>&lt;100</w:t>
      </w:r>
      <w:r w:rsidRPr="003E19FB">
        <w:t> г/л у пациентов с черепно-мозговой травмой, субарахноидальным кровоизлиянием, хронической дыхательной недостаточностью, ишемической болезнью сердца, кардиохирургических пациентов, пожилых пациентов </w:t>
      </w:r>
    </w:p>
    <w:p w14:paraId="5CDDBBB9" w14:textId="77777777" w:rsidR="002927D9" w:rsidRDefault="002927D9" w:rsidP="008C1767">
      <w:pPr>
        <w:pStyle w:val="FitzBullet"/>
        <w:numPr>
          <w:ilvl w:val="0"/>
          <w:numId w:val="203"/>
        </w:numPr>
        <w:tabs>
          <w:tab w:val="clear" w:pos="317"/>
          <w:tab w:val="left" w:pos="144"/>
        </w:tabs>
        <w:spacing w:before="0" w:after="0"/>
        <w:jc w:val="both"/>
      </w:pPr>
      <w:r w:rsidRPr="003E19FB">
        <w:t>Рекомендуется соблюдение формулы 1:1:1, обозначающей должное соотношение эритроцитов, СЗП и тромбоцитов.</w:t>
      </w:r>
    </w:p>
    <w:p w14:paraId="417798F9" w14:textId="77777777" w:rsidR="002927D9" w:rsidRPr="003E19FB" w:rsidRDefault="002927D9" w:rsidP="002927D9">
      <w:pPr>
        <w:pStyle w:val="FitzBullet"/>
        <w:spacing w:before="0" w:after="0"/>
        <w:ind w:left="720" w:firstLine="0"/>
      </w:pPr>
    </w:p>
    <w:p w14:paraId="24347076" w14:textId="77777777" w:rsidR="002927D9" w:rsidRPr="00360841" w:rsidRDefault="002927D9" w:rsidP="002927D9">
      <w:pPr>
        <w:rPr>
          <w:bCs/>
          <w:i/>
          <w:iCs/>
          <w:szCs w:val="24"/>
          <w:u w:val="single"/>
        </w:rPr>
      </w:pPr>
      <w:r w:rsidRPr="00360841">
        <w:rPr>
          <w:bCs/>
          <w:i/>
          <w:iCs/>
          <w:szCs w:val="24"/>
          <w:u w:val="single"/>
        </w:rPr>
        <w:t>Трансфузии концентрата тромбоцитов</w:t>
      </w:r>
    </w:p>
    <w:p w14:paraId="0ACB16D8" w14:textId="77777777" w:rsidR="002927D9" w:rsidRPr="003E19FB" w:rsidRDefault="002927D9" w:rsidP="002927D9">
      <w:pPr>
        <w:ind w:firstLine="709"/>
        <w:contextualSpacing/>
        <w:rPr>
          <w:color w:val="333333"/>
          <w:szCs w:val="24"/>
        </w:rPr>
      </w:pPr>
      <w:r>
        <w:rPr>
          <w:color w:val="373838"/>
          <w:szCs w:val="24"/>
        </w:rPr>
        <w:t xml:space="preserve">Считается, что </w:t>
      </w:r>
      <w:r w:rsidRPr="003E19FB">
        <w:rPr>
          <w:color w:val="333333"/>
          <w:szCs w:val="24"/>
        </w:rPr>
        <w:t>пороговый уровень тромбоцитов у пациентов в стационаре, при котором проводятся профилактические трансфузии концентрата тромбоцитов, составляет 10</w:t>
      </w:r>
      <w:r>
        <w:rPr>
          <w:color w:val="333333"/>
          <w:szCs w:val="24"/>
        </w:rPr>
        <w:t>х</w:t>
      </w:r>
      <w:r w:rsidRPr="003E19FB">
        <w:rPr>
          <w:color w:val="333333"/>
          <w:szCs w:val="24"/>
        </w:rPr>
        <w:t>10</w:t>
      </w:r>
      <w:r w:rsidRPr="003E19FB">
        <w:rPr>
          <w:color w:val="333333"/>
          <w:szCs w:val="24"/>
          <w:vertAlign w:val="superscript"/>
        </w:rPr>
        <w:t>9</w:t>
      </w:r>
      <w:r w:rsidRPr="003E19FB">
        <w:rPr>
          <w:color w:val="333333"/>
          <w:szCs w:val="24"/>
        </w:rPr>
        <w:t>/л при условии отсутствия факторов риска кровотечения. Для амбулаторных пациентов это значение может быть увеличено. Медицинские манипуляции, например, установка центрального венозного катетера (ЦВК), являются условием к проведению профилактических трансфузий концентрата тромбоцитов при количестве тромбоцитов в периферической крови 20</w:t>
      </w:r>
      <w:r>
        <w:rPr>
          <w:color w:val="333333"/>
          <w:szCs w:val="24"/>
        </w:rPr>
        <w:t>-30</w:t>
      </w:r>
      <w:r>
        <w:rPr>
          <w:szCs w:val="24"/>
        </w:rPr>
        <w:t>х</w:t>
      </w:r>
      <w:r w:rsidRPr="003E19FB">
        <w:rPr>
          <w:color w:val="333333"/>
          <w:szCs w:val="24"/>
        </w:rPr>
        <w:t>10</w:t>
      </w:r>
      <w:r w:rsidRPr="003E19FB">
        <w:rPr>
          <w:color w:val="333333"/>
          <w:szCs w:val="24"/>
          <w:vertAlign w:val="superscript"/>
        </w:rPr>
        <w:t>9</w:t>
      </w:r>
      <w:r w:rsidRPr="003E19FB">
        <w:rPr>
          <w:color w:val="333333"/>
          <w:szCs w:val="24"/>
        </w:rPr>
        <w:t>/л и ниже, а перед люмбальной пункцией или объемной операцией пороговый уровень тромбоцитов повышается до 50</w:t>
      </w:r>
      <w:r>
        <w:rPr>
          <w:color w:val="333333"/>
          <w:szCs w:val="24"/>
        </w:rPr>
        <w:t>х</w:t>
      </w:r>
      <w:r w:rsidRPr="003E19FB">
        <w:rPr>
          <w:color w:val="333333"/>
          <w:szCs w:val="24"/>
        </w:rPr>
        <w:t>10</w:t>
      </w:r>
      <w:r w:rsidRPr="003E19FB">
        <w:rPr>
          <w:color w:val="333333"/>
          <w:szCs w:val="24"/>
          <w:vertAlign w:val="superscript"/>
        </w:rPr>
        <w:t>9</w:t>
      </w:r>
      <w:r w:rsidRPr="003E19FB">
        <w:rPr>
          <w:color w:val="333333"/>
          <w:szCs w:val="24"/>
        </w:rPr>
        <w:t>/л</w:t>
      </w:r>
      <w:r>
        <w:rPr>
          <w:color w:val="333333"/>
          <w:szCs w:val="24"/>
        </w:rPr>
        <w:t>.</w:t>
      </w:r>
      <w:r>
        <w:rPr>
          <w:szCs w:val="24"/>
        </w:rPr>
        <w:t xml:space="preserve"> </w:t>
      </w:r>
    </w:p>
    <w:p w14:paraId="2C3803E2" w14:textId="65DA3E49" w:rsidR="002927D9" w:rsidRDefault="002927D9" w:rsidP="002927D9">
      <w:pPr>
        <w:ind w:firstLine="709"/>
        <w:contextualSpacing/>
        <w:rPr>
          <w:bCs/>
          <w:szCs w:val="24"/>
        </w:rPr>
      </w:pPr>
      <w:r>
        <w:rPr>
          <w:szCs w:val="24"/>
        </w:rPr>
        <w:t xml:space="preserve">При некоторых гематологических заболеваниях, ассоциированных с повышенным риском геморрагических осложнений, пороговый уровень тромбоцитов должен быть увеличен. </w:t>
      </w:r>
      <w:r w:rsidR="00AC5387">
        <w:rPr>
          <w:szCs w:val="24"/>
        </w:rPr>
        <w:t>Так, у</w:t>
      </w:r>
      <w:r>
        <w:rPr>
          <w:szCs w:val="24"/>
        </w:rPr>
        <w:t xml:space="preserve">  всех пациентов</w:t>
      </w:r>
      <w:r w:rsidRPr="003E19FB">
        <w:rPr>
          <w:szCs w:val="24"/>
        </w:rPr>
        <w:t xml:space="preserve"> с острым промиелоцитарным лейкозом (ОПЛ)</w:t>
      </w:r>
      <w:r>
        <w:rPr>
          <w:szCs w:val="24"/>
        </w:rPr>
        <w:t xml:space="preserve"> пороговый уровень тромбоцитов увеличен до </w:t>
      </w:r>
      <w:r w:rsidRPr="003E19FB">
        <w:rPr>
          <w:color w:val="333333"/>
          <w:szCs w:val="24"/>
        </w:rPr>
        <w:t>50</w:t>
      </w:r>
      <w:r>
        <w:rPr>
          <w:color w:val="333333"/>
          <w:szCs w:val="24"/>
        </w:rPr>
        <w:t>х</w:t>
      </w:r>
      <w:r w:rsidRPr="003E19FB">
        <w:rPr>
          <w:color w:val="333333"/>
          <w:szCs w:val="24"/>
        </w:rPr>
        <w:t>10</w:t>
      </w:r>
      <w:r w:rsidRPr="003E19FB">
        <w:rPr>
          <w:color w:val="333333"/>
          <w:szCs w:val="24"/>
          <w:vertAlign w:val="superscript"/>
        </w:rPr>
        <w:t>9</w:t>
      </w:r>
      <w:r w:rsidRPr="003E19FB">
        <w:rPr>
          <w:color w:val="333333"/>
          <w:szCs w:val="24"/>
        </w:rPr>
        <w:t>/л</w:t>
      </w:r>
      <w:r>
        <w:rPr>
          <w:szCs w:val="24"/>
        </w:rPr>
        <w:t>,</w:t>
      </w:r>
      <w:r w:rsidRPr="003E19FB">
        <w:rPr>
          <w:szCs w:val="24"/>
        </w:rPr>
        <w:t xml:space="preserve"> </w:t>
      </w:r>
      <w:r w:rsidRPr="003E19FB">
        <w:rPr>
          <w:bCs/>
          <w:szCs w:val="24"/>
        </w:rPr>
        <w:t>поскольку ОПЛ характеризуется тяжелым геморрагическим синдромом и избыточным активированным фибринолизом</w:t>
      </w:r>
      <w:r>
        <w:rPr>
          <w:bCs/>
          <w:szCs w:val="24"/>
        </w:rPr>
        <w:t xml:space="preserve">; у  </w:t>
      </w:r>
      <w:r w:rsidRPr="003E19FB">
        <w:rPr>
          <w:szCs w:val="24"/>
        </w:rPr>
        <w:t>беременны</w:t>
      </w:r>
      <w:r>
        <w:rPr>
          <w:szCs w:val="24"/>
        </w:rPr>
        <w:t>х</w:t>
      </w:r>
      <w:r w:rsidRPr="003E19FB">
        <w:rPr>
          <w:szCs w:val="24"/>
        </w:rPr>
        <w:t xml:space="preserve"> пациент</w:t>
      </w:r>
      <w:r>
        <w:rPr>
          <w:szCs w:val="24"/>
        </w:rPr>
        <w:t>ок</w:t>
      </w:r>
      <w:r w:rsidRPr="003E19FB">
        <w:rPr>
          <w:szCs w:val="24"/>
        </w:rPr>
        <w:t xml:space="preserve"> с </w:t>
      </w:r>
      <w:r>
        <w:rPr>
          <w:szCs w:val="24"/>
        </w:rPr>
        <w:t xml:space="preserve">другими </w:t>
      </w:r>
      <w:r w:rsidRPr="003E19FB">
        <w:rPr>
          <w:szCs w:val="24"/>
        </w:rPr>
        <w:t xml:space="preserve">опухолевыми </w:t>
      </w:r>
      <w:r>
        <w:rPr>
          <w:szCs w:val="24"/>
        </w:rPr>
        <w:t>гематологическими заболеваниями</w:t>
      </w:r>
      <w:r w:rsidRPr="003E19FB">
        <w:rPr>
          <w:bCs/>
          <w:szCs w:val="24"/>
        </w:rPr>
        <w:t xml:space="preserve"> пороговый уровень тромбоцитов составляет 30</w:t>
      </w:r>
      <w:r>
        <w:rPr>
          <w:bCs/>
          <w:szCs w:val="24"/>
        </w:rPr>
        <w:t>х</w:t>
      </w:r>
      <w:r w:rsidRPr="003E19FB">
        <w:rPr>
          <w:bCs/>
          <w:szCs w:val="24"/>
        </w:rPr>
        <w:t>10</w:t>
      </w:r>
      <w:r w:rsidRPr="003E19FB">
        <w:rPr>
          <w:bCs/>
          <w:szCs w:val="24"/>
          <w:vertAlign w:val="superscript"/>
        </w:rPr>
        <w:t>9</w:t>
      </w:r>
      <w:r w:rsidRPr="003E19FB">
        <w:rPr>
          <w:bCs/>
          <w:szCs w:val="24"/>
        </w:rPr>
        <w:t>/л.</w:t>
      </w:r>
    </w:p>
    <w:p w14:paraId="7BF9BD67" w14:textId="77777777" w:rsidR="002927D9" w:rsidRPr="003E19FB" w:rsidRDefault="002927D9" w:rsidP="002927D9">
      <w:pPr>
        <w:ind w:firstLine="709"/>
        <w:contextualSpacing/>
        <w:rPr>
          <w:szCs w:val="24"/>
        </w:rPr>
      </w:pPr>
      <w:r w:rsidRPr="003E19FB">
        <w:rPr>
          <w:szCs w:val="24"/>
        </w:rPr>
        <w:t>Переливание тромбоцитов не показано при тромбоцитопении иммунного генеза, за исключением случаев, когда оно необходимо по жизненным показаниям при развивш</w:t>
      </w:r>
      <w:r>
        <w:rPr>
          <w:szCs w:val="24"/>
        </w:rPr>
        <w:t>е</w:t>
      </w:r>
      <w:r w:rsidRPr="003E19FB">
        <w:rPr>
          <w:szCs w:val="24"/>
        </w:rPr>
        <w:t>мся кровотечении.</w:t>
      </w:r>
      <w:r>
        <w:rPr>
          <w:szCs w:val="24"/>
        </w:rPr>
        <w:t xml:space="preserve"> </w:t>
      </w:r>
      <w:r w:rsidRPr="003E19FB">
        <w:rPr>
          <w:szCs w:val="24"/>
        </w:rPr>
        <w:t xml:space="preserve">При тромбоцитопатиях трансфузия тромбоцитов также </w:t>
      </w:r>
      <w:r>
        <w:rPr>
          <w:szCs w:val="24"/>
        </w:rPr>
        <w:t xml:space="preserve">рутинно не показана, и </w:t>
      </w:r>
      <w:r w:rsidRPr="003E19FB">
        <w:rPr>
          <w:szCs w:val="24"/>
        </w:rPr>
        <w:t>осуществляется только в неотложных ситуациях: при массивных кровотечениях, операциях, родах.</w:t>
      </w:r>
    </w:p>
    <w:p w14:paraId="36E4237C" w14:textId="77777777" w:rsidR="002927D9" w:rsidRDefault="002927D9" w:rsidP="002927D9">
      <w:pPr>
        <w:ind w:firstLine="709"/>
        <w:contextualSpacing/>
        <w:rPr>
          <w:szCs w:val="24"/>
        </w:rPr>
      </w:pPr>
      <w:r w:rsidRPr="002A1C4D">
        <w:rPr>
          <w:szCs w:val="24"/>
          <w:u w:val="single"/>
        </w:rPr>
        <w:t>Показания к переливанию концентрата тромбоцитов с профилактической целью</w:t>
      </w:r>
      <w:r w:rsidRPr="00BA458B">
        <w:rPr>
          <w:szCs w:val="24"/>
        </w:rPr>
        <w:t xml:space="preserve"> приведены в табл. 1.</w:t>
      </w:r>
    </w:p>
    <w:p w14:paraId="69322AAE" w14:textId="77777777" w:rsidR="002927D9" w:rsidRDefault="002927D9" w:rsidP="002927D9">
      <w:pPr>
        <w:contextualSpacing/>
        <w:rPr>
          <w:bCs/>
          <w:szCs w:val="24"/>
        </w:rPr>
      </w:pPr>
    </w:p>
    <w:p w14:paraId="449C3EDC" w14:textId="77777777" w:rsidR="002927D9" w:rsidRPr="0008195A" w:rsidRDefault="002927D9" w:rsidP="002927D9">
      <w:pPr>
        <w:contextualSpacing/>
        <w:rPr>
          <w:szCs w:val="24"/>
        </w:rPr>
      </w:pPr>
      <w:r w:rsidRPr="0008195A">
        <w:rPr>
          <w:bCs/>
          <w:szCs w:val="24"/>
        </w:rPr>
        <w:t>Таблица 1. Показания к переливанию концентрата тромбоцитов</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07"/>
        <w:gridCol w:w="2663"/>
        <w:gridCol w:w="3690"/>
      </w:tblGrid>
      <w:tr w:rsidR="002927D9" w:rsidRPr="004C7AAC" w14:paraId="1176762C" w14:textId="77777777" w:rsidTr="00CD5E09">
        <w:tc>
          <w:tcPr>
            <w:tcW w:w="3007" w:type="dxa"/>
            <w:vAlign w:val="center"/>
          </w:tcPr>
          <w:p w14:paraId="39245C1C" w14:textId="77777777" w:rsidR="002927D9" w:rsidRPr="00BA458B" w:rsidRDefault="002927D9" w:rsidP="00CD5E09">
            <w:pPr>
              <w:pStyle w:val="Table-head-italic"/>
              <w:jc w:val="center"/>
              <w:rPr>
                <w:i w:val="0"/>
                <w:sz w:val="22"/>
                <w:szCs w:val="22"/>
                <w:lang w:val="ru-RU"/>
              </w:rPr>
            </w:pPr>
            <w:r w:rsidRPr="00BA458B">
              <w:rPr>
                <w:i w:val="0"/>
                <w:sz w:val="22"/>
                <w:szCs w:val="22"/>
                <w:lang w:val="ru-RU"/>
              </w:rPr>
              <w:t>Показание</w:t>
            </w:r>
          </w:p>
        </w:tc>
        <w:tc>
          <w:tcPr>
            <w:tcW w:w="2663" w:type="dxa"/>
            <w:vAlign w:val="center"/>
          </w:tcPr>
          <w:p w14:paraId="42EE5E03" w14:textId="77777777" w:rsidR="002927D9" w:rsidRPr="00BA458B" w:rsidRDefault="002927D9" w:rsidP="00CD5E09">
            <w:pPr>
              <w:pStyle w:val="Table-head-italic"/>
              <w:jc w:val="center"/>
              <w:rPr>
                <w:i w:val="0"/>
                <w:sz w:val="22"/>
                <w:szCs w:val="22"/>
                <w:lang w:val="ru-RU"/>
              </w:rPr>
            </w:pPr>
            <w:r w:rsidRPr="00BA458B">
              <w:rPr>
                <w:i w:val="0"/>
                <w:sz w:val="22"/>
                <w:szCs w:val="22"/>
                <w:lang w:val="ru-RU"/>
              </w:rPr>
              <w:t>Количество тромбоцитов в периферической крови</w:t>
            </w:r>
          </w:p>
        </w:tc>
        <w:tc>
          <w:tcPr>
            <w:tcW w:w="3690" w:type="dxa"/>
            <w:vAlign w:val="center"/>
          </w:tcPr>
          <w:p w14:paraId="4D9969A3" w14:textId="77777777" w:rsidR="002927D9" w:rsidRPr="00BA458B" w:rsidRDefault="002927D9" w:rsidP="00CD5E09">
            <w:pPr>
              <w:pStyle w:val="Table-head-italic"/>
              <w:jc w:val="center"/>
              <w:rPr>
                <w:i w:val="0"/>
                <w:sz w:val="22"/>
                <w:szCs w:val="22"/>
                <w:lang w:val="ru-RU"/>
              </w:rPr>
            </w:pPr>
            <w:r w:rsidRPr="00BA458B">
              <w:rPr>
                <w:i w:val="0"/>
                <w:sz w:val="22"/>
                <w:szCs w:val="22"/>
                <w:lang w:val="ru-RU"/>
              </w:rPr>
              <w:t>Примечания</w:t>
            </w:r>
          </w:p>
        </w:tc>
      </w:tr>
      <w:tr w:rsidR="002927D9" w:rsidRPr="004C7AAC" w14:paraId="5F0DBAF1" w14:textId="77777777" w:rsidTr="00CD5E09">
        <w:tc>
          <w:tcPr>
            <w:tcW w:w="3007" w:type="dxa"/>
          </w:tcPr>
          <w:p w14:paraId="08A0354D" w14:textId="77777777" w:rsidR="002927D9" w:rsidRPr="00BA458B" w:rsidRDefault="002927D9" w:rsidP="00CD5E09">
            <w:pPr>
              <w:pStyle w:val="table-text-0"/>
              <w:spacing w:before="0"/>
              <w:ind w:firstLine="0"/>
              <w:rPr>
                <w:sz w:val="22"/>
                <w:szCs w:val="22"/>
              </w:rPr>
            </w:pPr>
            <w:r w:rsidRPr="00BA458B">
              <w:rPr>
                <w:sz w:val="22"/>
                <w:szCs w:val="22"/>
              </w:rPr>
              <w:lastRenderedPageBreak/>
              <w:t>Во время или после химиотерапии, в период миелотоксического агранулоцитоза</w:t>
            </w:r>
          </w:p>
        </w:tc>
        <w:tc>
          <w:tcPr>
            <w:tcW w:w="2663" w:type="dxa"/>
            <w:vAlign w:val="center"/>
          </w:tcPr>
          <w:p w14:paraId="0529911C" w14:textId="77777777" w:rsidR="002927D9" w:rsidRPr="00BA458B" w:rsidRDefault="002927D9" w:rsidP="00CD5E09">
            <w:pPr>
              <w:pStyle w:val="table-text-0"/>
              <w:spacing w:before="0"/>
              <w:ind w:firstLine="0"/>
              <w:rPr>
                <w:sz w:val="22"/>
                <w:szCs w:val="22"/>
              </w:rPr>
            </w:pPr>
            <w:r>
              <w:rPr>
                <w:sz w:val="22"/>
                <w:szCs w:val="22"/>
              </w:rPr>
              <w:t>М</w:t>
            </w:r>
            <w:r w:rsidRPr="00BA458B">
              <w:rPr>
                <w:sz w:val="22"/>
                <w:szCs w:val="22"/>
              </w:rPr>
              <w:t>енее 10</w:t>
            </w:r>
            <w:r>
              <w:rPr>
                <w:sz w:val="22"/>
                <w:szCs w:val="22"/>
              </w:rPr>
              <w:t> </w:t>
            </w:r>
            <w:r w:rsidRPr="003511FE">
              <w:rPr>
                <w:rFonts w:ascii="Symbol" w:hAnsi="Symbol" w:cs="Symbol"/>
              </w:rPr>
              <w:t></w:t>
            </w:r>
            <w:r w:rsidRPr="00BA458B">
              <w:rPr>
                <w:sz w:val="22"/>
                <w:szCs w:val="22"/>
              </w:rPr>
              <w:t xml:space="preserve"> 10</w:t>
            </w:r>
            <w:r>
              <w:rPr>
                <w:sz w:val="22"/>
                <w:szCs w:val="22"/>
                <w:vertAlign w:val="superscript"/>
              </w:rPr>
              <w:t>9</w:t>
            </w:r>
            <w:r w:rsidRPr="00BA458B">
              <w:rPr>
                <w:sz w:val="22"/>
                <w:szCs w:val="22"/>
              </w:rPr>
              <w:t>/л</w:t>
            </w:r>
          </w:p>
        </w:tc>
        <w:tc>
          <w:tcPr>
            <w:tcW w:w="3690" w:type="dxa"/>
          </w:tcPr>
          <w:p w14:paraId="26B09340" w14:textId="77777777" w:rsidR="002927D9" w:rsidRPr="00A83EB7" w:rsidRDefault="002927D9" w:rsidP="00CD5E09">
            <w:pPr>
              <w:pStyle w:val="table-text-0"/>
              <w:spacing w:before="0"/>
              <w:ind w:firstLine="0"/>
              <w:rPr>
                <w:sz w:val="22"/>
                <w:szCs w:val="22"/>
              </w:rPr>
            </w:pPr>
            <w:r w:rsidRPr="00A83EB7">
              <w:rPr>
                <w:sz w:val="22"/>
                <w:szCs w:val="22"/>
              </w:rPr>
              <w:t>При синдроме повышенного потребления тромбоцитов* данный порог необходимо повысить</w:t>
            </w:r>
          </w:p>
        </w:tc>
      </w:tr>
      <w:tr w:rsidR="002927D9" w:rsidRPr="004C7AAC" w14:paraId="708BB7EF" w14:textId="77777777" w:rsidTr="00CD5E09">
        <w:tc>
          <w:tcPr>
            <w:tcW w:w="3007" w:type="dxa"/>
          </w:tcPr>
          <w:p w14:paraId="2CC98E56" w14:textId="77777777" w:rsidR="002927D9" w:rsidRPr="00BA458B" w:rsidRDefault="002927D9" w:rsidP="00CD5E09">
            <w:pPr>
              <w:pStyle w:val="table-text-0"/>
              <w:spacing w:before="0"/>
              <w:ind w:firstLine="0"/>
              <w:rPr>
                <w:sz w:val="22"/>
                <w:szCs w:val="22"/>
              </w:rPr>
            </w:pPr>
            <w:r w:rsidRPr="00BA458B">
              <w:rPr>
                <w:sz w:val="22"/>
                <w:szCs w:val="22"/>
              </w:rPr>
              <w:t>Установка ЦВК</w:t>
            </w:r>
          </w:p>
        </w:tc>
        <w:tc>
          <w:tcPr>
            <w:tcW w:w="2663" w:type="dxa"/>
            <w:vAlign w:val="center"/>
          </w:tcPr>
          <w:p w14:paraId="4B664A77" w14:textId="77777777" w:rsidR="002927D9" w:rsidRPr="00BA458B" w:rsidRDefault="002927D9" w:rsidP="00CD5E09">
            <w:pPr>
              <w:pStyle w:val="table-text-0"/>
              <w:spacing w:before="0"/>
              <w:ind w:firstLine="0"/>
              <w:rPr>
                <w:sz w:val="22"/>
                <w:szCs w:val="22"/>
              </w:rPr>
            </w:pPr>
            <w:r>
              <w:rPr>
                <w:sz w:val="22"/>
                <w:szCs w:val="22"/>
              </w:rPr>
              <w:t>М</w:t>
            </w:r>
            <w:r w:rsidRPr="00BA458B">
              <w:rPr>
                <w:sz w:val="22"/>
                <w:szCs w:val="22"/>
              </w:rPr>
              <w:t>енее 30</w:t>
            </w:r>
            <w:r>
              <w:rPr>
                <w:sz w:val="22"/>
                <w:szCs w:val="22"/>
              </w:rPr>
              <w:t> </w:t>
            </w:r>
            <w:r w:rsidRPr="003511FE">
              <w:rPr>
                <w:rFonts w:ascii="Symbol" w:hAnsi="Symbol" w:cs="Symbol"/>
              </w:rPr>
              <w:t></w:t>
            </w:r>
            <w:r w:rsidRPr="00BA458B">
              <w:rPr>
                <w:sz w:val="22"/>
                <w:szCs w:val="22"/>
              </w:rPr>
              <w:t xml:space="preserve"> 10</w:t>
            </w:r>
            <w:r>
              <w:rPr>
                <w:sz w:val="22"/>
                <w:szCs w:val="22"/>
                <w:vertAlign w:val="superscript"/>
              </w:rPr>
              <w:t>9</w:t>
            </w:r>
            <w:r w:rsidRPr="00BA458B">
              <w:rPr>
                <w:sz w:val="22"/>
                <w:szCs w:val="22"/>
              </w:rPr>
              <w:t>/л</w:t>
            </w:r>
          </w:p>
        </w:tc>
        <w:tc>
          <w:tcPr>
            <w:tcW w:w="3690" w:type="dxa"/>
          </w:tcPr>
          <w:p w14:paraId="2E438D2D" w14:textId="77777777" w:rsidR="002927D9" w:rsidRPr="00A83EB7" w:rsidRDefault="002927D9" w:rsidP="00CD5E09">
            <w:pPr>
              <w:pStyle w:val="table-text-0"/>
              <w:spacing w:before="0"/>
              <w:ind w:firstLine="0"/>
              <w:jc w:val="center"/>
              <w:rPr>
                <w:sz w:val="22"/>
                <w:szCs w:val="22"/>
              </w:rPr>
            </w:pPr>
            <w:r>
              <w:rPr>
                <w:sz w:val="22"/>
                <w:szCs w:val="22"/>
              </w:rPr>
              <w:t>-</w:t>
            </w:r>
          </w:p>
        </w:tc>
      </w:tr>
      <w:tr w:rsidR="002927D9" w:rsidRPr="004C7AAC" w14:paraId="362F4D6D" w14:textId="77777777" w:rsidTr="00CD5E09">
        <w:tc>
          <w:tcPr>
            <w:tcW w:w="3007" w:type="dxa"/>
          </w:tcPr>
          <w:p w14:paraId="3B1C3BB1" w14:textId="77777777" w:rsidR="002927D9" w:rsidRPr="00BA458B" w:rsidRDefault="002927D9" w:rsidP="00CD5E09">
            <w:pPr>
              <w:pStyle w:val="table-text-0"/>
              <w:spacing w:before="0"/>
              <w:ind w:firstLine="0"/>
              <w:rPr>
                <w:sz w:val="22"/>
                <w:szCs w:val="22"/>
              </w:rPr>
            </w:pPr>
            <w:r w:rsidRPr="00BA458B">
              <w:rPr>
                <w:sz w:val="22"/>
                <w:szCs w:val="22"/>
              </w:rPr>
              <w:t>Люмбальная пункция</w:t>
            </w:r>
          </w:p>
        </w:tc>
        <w:tc>
          <w:tcPr>
            <w:tcW w:w="2663" w:type="dxa"/>
            <w:vAlign w:val="center"/>
          </w:tcPr>
          <w:p w14:paraId="452AD67C" w14:textId="77777777" w:rsidR="002927D9" w:rsidRPr="00BA458B" w:rsidRDefault="002927D9" w:rsidP="00CD5E09">
            <w:pPr>
              <w:pStyle w:val="table-text-0"/>
              <w:spacing w:before="0"/>
              <w:ind w:firstLine="0"/>
              <w:rPr>
                <w:sz w:val="22"/>
                <w:szCs w:val="22"/>
              </w:rPr>
            </w:pPr>
            <w:r>
              <w:rPr>
                <w:sz w:val="22"/>
                <w:szCs w:val="22"/>
              </w:rPr>
              <w:t>М</w:t>
            </w:r>
            <w:r w:rsidRPr="00BA458B">
              <w:rPr>
                <w:sz w:val="22"/>
                <w:szCs w:val="22"/>
              </w:rPr>
              <w:t>енее 50</w:t>
            </w:r>
            <w:r>
              <w:rPr>
                <w:sz w:val="22"/>
                <w:szCs w:val="22"/>
              </w:rPr>
              <w:t> </w:t>
            </w:r>
            <w:r w:rsidRPr="003511FE">
              <w:rPr>
                <w:rFonts w:ascii="Symbol" w:hAnsi="Symbol" w:cs="Symbol"/>
              </w:rPr>
              <w:t></w:t>
            </w:r>
            <w:r w:rsidRPr="00BA458B">
              <w:rPr>
                <w:sz w:val="22"/>
                <w:szCs w:val="22"/>
              </w:rPr>
              <w:t xml:space="preserve"> 10</w:t>
            </w:r>
            <w:r>
              <w:rPr>
                <w:sz w:val="22"/>
                <w:szCs w:val="22"/>
                <w:vertAlign w:val="superscript"/>
              </w:rPr>
              <w:t>9</w:t>
            </w:r>
            <w:r w:rsidRPr="00BA458B">
              <w:rPr>
                <w:sz w:val="22"/>
                <w:szCs w:val="22"/>
              </w:rPr>
              <w:t>/л</w:t>
            </w:r>
          </w:p>
        </w:tc>
        <w:tc>
          <w:tcPr>
            <w:tcW w:w="3690" w:type="dxa"/>
          </w:tcPr>
          <w:p w14:paraId="17731D14" w14:textId="77777777" w:rsidR="002927D9" w:rsidRPr="00A83EB7" w:rsidRDefault="002927D9" w:rsidP="00CD5E09">
            <w:pPr>
              <w:pStyle w:val="table-text-0"/>
              <w:spacing w:before="0"/>
              <w:ind w:firstLine="0"/>
              <w:jc w:val="center"/>
              <w:rPr>
                <w:sz w:val="22"/>
                <w:szCs w:val="22"/>
              </w:rPr>
            </w:pPr>
            <w:r>
              <w:rPr>
                <w:sz w:val="22"/>
                <w:szCs w:val="22"/>
              </w:rPr>
              <w:t>-</w:t>
            </w:r>
          </w:p>
        </w:tc>
      </w:tr>
      <w:tr w:rsidR="002927D9" w:rsidRPr="004C7AAC" w14:paraId="20F411E6" w14:textId="77777777" w:rsidTr="00CD5E09">
        <w:tc>
          <w:tcPr>
            <w:tcW w:w="3007" w:type="dxa"/>
          </w:tcPr>
          <w:p w14:paraId="4FBA1B2C" w14:textId="77777777" w:rsidR="002927D9" w:rsidRPr="00BA458B" w:rsidRDefault="002927D9" w:rsidP="00CD5E09">
            <w:pPr>
              <w:pStyle w:val="table-text-0"/>
              <w:spacing w:before="0"/>
              <w:ind w:firstLine="0"/>
              <w:rPr>
                <w:sz w:val="22"/>
                <w:szCs w:val="22"/>
              </w:rPr>
            </w:pPr>
            <w:r w:rsidRPr="00BA458B">
              <w:rPr>
                <w:sz w:val="22"/>
                <w:szCs w:val="22"/>
              </w:rPr>
              <w:t>Объемные операции и малообъемные инвазивные вмешательства</w:t>
            </w:r>
          </w:p>
        </w:tc>
        <w:tc>
          <w:tcPr>
            <w:tcW w:w="2663" w:type="dxa"/>
            <w:vAlign w:val="center"/>
          </w:tcPr>
          <w:p w14:paraId="31B15940" w14:textId="77777777" w:rsidR="002927D9" w:rsidRPr="00BA458B" w:rsidRDefault="002927D9" w:rsidP="00CD5E09">
            <w:pPr>
              <w:pStyle w:val="table-text-0"/>
              <w:spacing w:before="0"/>
              <w:ind w:firstLine="0"/>
              <w:rPr>
                <w:sz w:val="22"/>
                <w:szCs w:val="22"/>
              </w:rPr>
            </w:pPr>
            <w:r>
              <w:rPr>
                <w:sz w:val="22"/>
                <w:szCs w:val="22"/>
              </w:rPr>
              <w:t>М</w:t>
            </w:r>
            <w:r w:rsidRPr="00BA458B">
              <w:rPr>
                <w:sz w:val="22"/>
                <w:szCs w:val="22"/>
              </w:rPr>
              <w:t>енее 50</w:t>
            </w:r>
            <w:r>
              <w:rPr>
                <w:sz w:val="22"/>
                <w:szCs w:val="22"/>
              </w:rPr>
              <w:t> </w:t>
            </w:r>
            <w:r w:rsidRPr="003511FE">
              <w:rPr>
                <w:rFonts w:ascii="Symbol" w:hAnsi="Symbol" w:cs="Symbol"/>
              </w:rPr>
              <w:t></w:t>
            </w:r>
            <w:r w:rsidRPr="00BA458B">
              <w:rPr>
                <w:sz w:val="22"/>
                <w:szCs w:val="22"/>
              </w:rPr>
              <w:t xml:space="preserve"> 10</w:t>
            </w:r>
            <w:r>
              <w:rPr>
                <w:sz w:val="22"/>
                <w:szCs w:val="22"/>
                <w:vertAlign w:val="superscript"/>
              </w:rPr>
              <w:t>9</w:t>
            </w:r>
            <w:r w:rsidRPr="00BA458B">
              <w:rPr>
                <w:sz w:val="22"/>
                <w:szCs w:val="22"/>
              </w:rPr>
              <w:t>/л</w:t>
            </w:r>
          </w:p>
        </w:tc>
        <w:tc>
          <w:tcPr>
            <w:tcW w:w="3690" w:type="dxa"/>
          </w:tcPr>
          <w:p w14:paraId="7BB9C629" w14:textId="77777777" w:rsidR="002927D9" w:rsidRPr="00A83EB7" w:rsidRDefault="002927D9" w:rsidP="00CD5E09">
            <w:pPr>
              <w:pStyle w:val="table-text-0"/>
              <w:spacing w:before="0"/>
              <w:ind w:firstLine="0"/>
              <w:rPr>
                <w:sz w:val="22"/>
                <w:szCs w:val="22"/>
              </w:rPr>
            </w:pPr>
            <w:r w:rsidRPr="00A83EB7">
              <w:rPr>
                <w:sz w:val="22"/>
                <w:szCs w:val="22"/>
              </w:rPr>
              <w:t>Помимо профилактической трансфузии, необходимо резервирование концентрата тромбоцитов для проведения операции. Доза определяется массой тела пациента, а количество трансфузий — объемом операции</w:t>
            </w:r>
          </w:p>
        </w:tc>
      </w:tr>
      <w:tr w:rsidR="002927D9" w:rsidRPr="004C7AAC" w14:paraId="1C25CF69" w14:textId="77777777" w:rsidTr="00CD5E09">
        <w:tc>
          <w:tcPr>
            <w:tcW w:w="3007" w:type="dxa"/>
          </w:tcPr>
          <w:p w14:paraId="4E5F79E6" w14:textId="77777777" w:rsidR="002927D9" w:rsidRPr="00BA458B" w:rsidRDefault="002927D9" w:rsidP="00CD5E09">
            <w:pPr>
              <w:pStyle w:val="table-text-0"/>
              <w:spacing w:before="0"/>
              <w:ind w:firstLine="0"/>
              <w:rPr>
                <w:sz w:val="22"/>
                <w:szCs w:val="22"/>
              </w:rPr>
            </w:pPr>
            <w:r w:rsidRPr="00BA458B">
              <w:rPr>
                <w:sz w:val="22"/>
                <w:szCs w:val="22"/>
              </w:rPr>
              <w:t>Беременные</w:t>
            </w:r>
          </w:p>
        </w:tc>
        <w:tc>
          <w:tcPr>
            <w:tcW w:w="2663" w:type="dxa"/>
          </w:tcPr>
          <w:p w14:paraId="3FD44220" w14:textId="77777777" w:rsidR="002927D9" w:rsidRPr="00BA458B" w:rsidRDefault="002927D9" w:rsidP="00CD5E09">
            <w:pPr>
              <w:pStyle w:val="table-text-0"/>
              <w:spacing w:before="0"/>
              <w:ind w:firstLine="0"/>
              <w:rPr>
                <w:sz w:val="22"/>
                <w:szCs w:val="22"/>
              </w:rPr>
            </w:pPr>
            <w:r>
              <w:rPr>
                <w:sz w:val="22"/>
                <w:szCs w:val="22"/>
              </w:rPr>
              <w:t xml:space="preserve">Менее </w:t>
            </w:r>
            <w:r w:rsidRPr="00BA458B">
              <w:rPr>
                <w:sz w:val="22"/>
                <w:szCs w:val="22"/>
              </w:rPr>
              <w:t>30</w:t>
            </w:r>
            <w:r>
              <w:rPr>
                <w:sz w:val="22"/>
                <w:szCs w:val="22"/>
              </w:rPr>
              <w:t> </w:t>
            </w:r>
            <w:r w:rsidRPr="003511FE">
              <w:rPr>
                <w:rFonts w:ascii="Symbol" w:hAnsi="Symbol" w:cs="Symbol"/>
              </w:rPr>
              <w:t></w:t>
            </w:r>
            <w:r w:rsidRPr="00BA458B">
              <w:rPr>
                <w:sz w:val="22"/>
                <w:szCs w:val="22"/>
              </w:rPr>
              <w:t xml:space="preserve"> 10</w:t>
            </w:r>
            <w:r>
              <w:rPr>
                <w:sz w:val="22"/>
                <w:szCs w:val="22"/>
                <w:vertAlign w:val="superscript"/>
              </w:rPr>
              <w:t>9</w:t>
            </w:r>
            <w:r w:rsidRPr="00BA458B">
              <w:rPr>
                <w:sz w:val="22"/>
                <w:szCs w:val="22"/>
              </w:rPr>
              <w:t>/л</w:t>
            </w:r>
          </w:p>
        </w:tc>
        <w:tc>
          <w:tcPr>
            <w:tcW w:w="3690" w:type="dxa"/>
          </w:tcPr>
          <w:p w14:paraId="4CF989BC" w14:textId="77777777" w:rsidR="002927D9" w:rsidRPr="00A83EB7" w:rsidRDefault="002927D9" w:rsidP="00CD5E09">
            <w:pPr>
              <w:pStyle w:val="table-text-0"/>
              <w:spacing w:before="0"/>
              <w:ind w:firstLine="0"/>
              <w:jc w:val="center"/>
              <w:rPr>
                <w:sz w:val="22"/>
                <w:szCs w:val="22"/>
              </w:rPr>
            </w:pPr>
            <w:r>
              <w:rPr>
                <w:sz w:val="22"/>
                <w:szCs w:val="22"/>
              </w:rPr>
              <w:t>-</w:t>
            </w:r>
          </w:p>
        </w:tc>
      </w:tr>
      <w:tr w:rsidR="002927D9" w:rsidRPr="004C7AAC" w14:paraId="079FEF0D" w14:textId="77777777" w:rsidTr="00CD5E09">
        <w:tc>
          <w:tcPr>
            <w:tcW w:w="3007" w:type="dxa"/>
          </w:tcPr>
          <w:p w14:paraId="7192A803" w14:textId="77777777" w:rsidR="002927D9" w:rsidRPr="00BA458B" w:rsidRDefault="002927D9" w:rsidP="00CD5E09">
            <w:pPr>
              <w:pStyle w:val="table-text-0"/>
              <w:spacing w:before="0"/>
              <w:ind w:firstLine="0"/>
              <w:rPr>
                <w:sz w:val="22"/>
                <w:szCs w:val="22"/>
              </w:rPr>
            </w:pPr>
            <w:r>
              <w:rPr>
                <w:sz w:val="22"/>
                <w:szCs w:val="22"/>
              </w:rPr>
              <w:t>Пациенты с</w:t>
            </w:r>
            <w:r w:rsidRPr="00BA458B">
              <w:rPr>
                <w:sz w:val="22"/>
                <w:szCs w:val="22"/>
              </w:rPr>
              <w:t xml:space="preserve"> ОПЛ</w:t>
            </w:r>
          </w:p>
        </w:tc>
        <w:tc>
          <w:tcPr>
            <w:tcW w:w="2663" w:type="dxa"/>
          </w:tcPr>
          <w:p w14:paraId="22447620" w14:textId="77777777" w:rsidR="002927D9" w:rsidRPr="00BA458B" w:rsidRDefault="002927D9" w:rsidP="00CD5E09">
            <w:pPr>
              <w:pStyle w:val="table-text-0"/>
              <w:spacing w:before="0"/>
              <w:ind w:firstLine="0"/>
              <w:rPr>
                <w:sz w:val="22"/>
                <w:szCs w:val="22"/>
              </w:rPr>
            </w:pPr>
            <w:r>
              <w:rPr>
                <w:sz w:val="22"/>
                <w:szCs w:val="22"/>
              </w:rPr>
              <w:t>Менее</w:t>
            </w:r>
            <w:r w:rsidRPr="00BA458B">
              <w:rPr>
                <w:sz w:val="22"/>
                <w:szCs w:val="22"/>
              </w:rPr>
              <w:t xml:space="preserve"> 50</w:t>
            </w:r>
            <w:r>
              <w:rPr>
                <w:sz w:val="22"/>
                <w:szCs w:val="22"/>
              </w:rPr>
              <w:t> </w:t>
            </w:r>
            <w:r w:rsidRPr="003511FE">
              <w:rPr>
                <w:rFonts w:ascii="Symbol" w:hAnsi="Symbol" w:cs="Symbol"/>
              </w:rPr>
              <w:t></w:t>
            </w:r>
            <w:r w:rsidRPr="00BA458B">
              <w:rPr>
                <w:sz w:val="22"/>
                <w:szCs w:val="22"/>
              </w:rPr>
              <w:t xml:space="preserve"> 10</w:t>
            </w:r>
            <w:r>
              <w:rPr>
                <w:sz w:val="22"/>
                <w:szCs w:val="22"/>
                <w:vertAlign w:val="superscript"/>
              </w:rPr>
              <w:t>9</w:t>
            </w:r>
            <w:r w:rsidRPr="00BA458B">
              <w:rPr>
                <w:sz w:val="22"/>
                <w:szCs w:val="22"/>
              </w:rPr>
              <w:t>/л</w:t>
            </w:r>
          </w:p>
        </w:tc>
        <w:tc>
          <w:tcPr>
            <w:tcW w:w="3690" w:type="dxa"/>
          </w:tcPr>
          <w:p w14:paraId="377466FE" w14:textId="77777777" w:rsidR="002927D9" w:rsidRPr="00A83EB7" w:rsidRDefault="002927D9" w:rsidP="00CD5E09">
            <w:pPr>
              <w:pStyle w:val="table-text-0"/>
              <w:spacing w:before="0"/>
              <w:ind w:firstLine="0"/>
              <w:jc w:val="center"/>
              <w:rPr>
                <w:sz w:val="22"/>
                <w:szCs w:val="22"/>
              </w:rPr>
            </w:pPr>
            <w:r>
              <w:rPr>
                <w:sz w:val="22"/>
                <w:szCs w:val="22"/>
              </w:rPr>
              <w:t>-</w:t>
            </w:r>
          </w:p>
        </w:tc>
      </w:tr>
      <w:tr w:rsidR="002927D9" w:rsidRPr="004C7AAC" w14:paraId="5EDBBDCC" w14:textId="77777777" w:rsidTr="00CD5E09">
        <w:tc>
          <w:tcPr>
            <w:tcW w:w="3007" w:type="dxa"/>
          </w:tcPr>
          <w:p w14:paraId="1DA271DC" w14:textId="77777777" w:rsidR="002927D9" w:rsidRPr="00BA458B" w:rsidRDefault="002927D9" w:rsidP="00CD5E09">
            <w:pPr>
              <w:pStyle w:val="table-text-0"/>
              <w:spacing w:before="0"/>
              <w:ind w:firstLine="0"/>
              <w:rPr>
                <w:sz w:val="22"/>
                <w:szCs w:val="22"/>
              </w:rPr>
            </w:pPr>
            <w:r w:rsidRPr="00BA458B">
              <w:rPr>
                <w:sz w:val="22"/>
                <w:szCs w:val="22"/>
              </w:rPr>
              <w:t>ДВС</w:t>
            </w:r>
            <w:r>
              <w:rPr>
                <w:sz w:val="22"/>
                <w:szCs w:val="22"/>
              </w:rPr>
              <w:t>-</w:t>
            </w:r>
            <w:r w:rsidRPr="00BA458B">
              <w:rPr>
                <w:sz w:val="22"/>
                <w:szCs w:val="22"/>
              </w:rPr>
              <w:t>синдром</w:t>
            </w:r>
          </w:p>
        </w:tc>
        <w:tc>
          <w:tcPr>
            <w:tcW w:w="2663" w:type="dxa"/>
          </w:tcPr>
          <w:p w14:paraId="7BF6B7DF" w14:textId="77777777" w:rsidR="002927D9" w:rsidRPr="00BA458B" w:rsidRDefault="002927D9" w:rsidP="00CD5E09">
            <w:pPr>
              <w:pStyle w:val="table-text-0"/>
              <w:spacing w:before="0"/>
              <w:ind w:firstLine="0"/>
              <w:rPr>
                <w:sz w:val="22"/>
                <w:szCs w:val="22"/>
              </w:rPr>
            </w:pPr>
            <w:r>
              <w:rPr>
                <w:sz w:val="22"/>
                <w:szCs w:val="22"/>
              </w:rPr>
              <w:t>Менее</w:t>
            </w:r>
            <w:r w:rsidRPr="00BA458B">
              <w:rPr>
                <w:sz w:val="22"/>
                <w:szCs w:val="22"/>
              </w:rPr>
              <w:t xml:space="preserve"> 50</w:t>
            </w:r>
            <w:r>
              <w:rPr>
                <w:sz w:val="22"/>
                <w:szCs w:val="22"/>
              </w:rPr>
              <w:t> </w:t>
            </w:r>
            <w:r w:rsidRPr="003511FE">
              <w:rPr>
                <w:rFonts w:ascii="Symbol" w:hAnsi="Symbol" w:cs="Symbol"/>
              </w:rPr>
              <w:t></w:t>
            </w:r>
            <w:r w:rsidRPr="00BA458B">
              <w:rPr>
                <w:sz w:val="22"/>
                <w:szCs w:val="22"/>
              </w:rPr>
              <w:t xml:space="preserve"> 10</w:t>
            </w:r>
            <w:r>
              <w:rPr>
                <w:sz w:val="22"/>
                <w:szCs w:val="22"/>
                <w:vertAlign w:val="superscript"/>
              </w:rPr>
              <w:t>9</w:t>
            </w:r>
            <w:r w:rsidRPr="00BA458B">
              <w:rPr>
                <w:sz w:val="22"/>
                <w:szCs w:val="22"/>
              </w:rPr>
              <w:t>/л</w:t>
            </w:r>
          </w:p>
        </w:tc>
        <w:tc>
          <w:tcPr>
            <w:tcW w:w="3690" w:type="dxa"/>
          </w:tcPr>
          <w:p w14:paraId="42F8D3A2" w14:textId="77777777" w:rsidR="002927D9" w:rsidRPr="00A83EB7" w:rsidRDefault="002927D9" w:rsidP="00CD5E09">
            <w:pPr>
              <w:pStyle w:val="table-text-0"/>
              <w:spacing w:before="0"/>
              <w:ind w:firstLine="0"/>
              <w:rPr>
                <w:sz w:val="22"/>
                <w:szCs w:val="22"/>
              </w:rPr>
            </w:pPr>
            <w:r w:rsidRPr="00A83EB7">
              <w:rPr>
                <w:sz w:val="22"/>
                <w:szCs w:val="22"/>
              </w:rPr>
              <w:t>Как часть основной терапии ДВС- синдрома</w:t>
            </w:r>
          </w:p>
        </w:tc>
      </w:tr>
    </w:tbl>
    <w:p w14:paraId="2F0D340C" w14:textId="77777777" w:rsidR="002927D9" w:rsidRPr="0008195A" w:rsidRDefault="002927D9" w:rsidP="002927D9">
      <w:pPr>
        <w:rPr>
          <w:b/>
        </w:rPr>
      </w:pPr>
      <w:r w:rsidRPr="0008195A">
        <w:t>* Сепсис, пульмонологические заболевания, лихорадка.</w:t>
      </w:r>
    </w:p>
    <w:p w14:paraId="28926A48" w14:textId="77777777" w:rsidR="002927D9" w:rsidRDefault="002927D9" w:rsidP="002927D9">
      <w:pPr>
        <w:pStyle w:val="3"/>
        <w:ind w:firstLine="708"/>
        <w:rPr>
          <w:b w:val="0"/>
          <w:szCs w:val="24"/>
          <w:u w:val="single"/>
        </w:rPr>
      </w:pPr>
    </w:p>
    <w:p w14:paraId="14040F4C" w14:textId="77777777" w:rsidR="002927D9" w:rsidRPr="00287E25" w:rsidRDefault="002927D9" w:rsidP="002927D9">
      <w:pPr>
        <w:ind w:firstLine="708"/>
        <w:rPr>
          <w:b/>
          <w:u w:val="single"/>
        </w:rPr>
      </w:pPr>
      <w:r w:rsidRPr="00287E25">
        <w:rPr>
          <w:u w:val="single"/>
        </w:rPr>
        <w:t>Показания к переливанию концентрата тромбоцитов с лечебной целью.</w:t>
      </w:r>
    </w:p>
    <w:p w14:paraId="7ACB807E" w14:textId="77777777" w:rsidR="002927D9" w:rsidRDefault="002927D9" w:rsidP="002927D9">
      <w:pPr>
        <w:ind w:firstLine="708"/>
        <w:rPr>
          <w:szCs w:val="24"/>
        </w:rPr>
      </w:pPr>
      <w:r w:rsidRPr="004C7AAC">
        <w:rPr>
          <w:bCs/>
          <w:szCs w:val="24"/>
        </w:rPr>
        <w:t>Наличие у пациента геморрагического синдрома</w:t>
      </w:r>
      <w:r>
        <w:rPr>
          <w:bCs/>
          <w:szCs w:val="24"/>
        </w:rPr>
        <w:t xml:space="preserve"> — </w:t>
      </w:r>
      <w:r w:rsidRPr="00A83EB7">
        <w:rPr>
          <w:bCs/>
          <w:szCs w:val="24"/>
        </w:rPr>
        <w:t>прямое показание к переливанию концентрата тромбоцитов независимо от лабораторных показателей. Оценка тяжести</w:t>
      </w:r>
      <w:r>
        <w:rPr>
          <w:bCs/>
          <w:szCs w:val="24"/>
        </w:rPr>
        <w:t xml:space="preserve"> </w:t>
      </w:r>
      <w:r w:rsidRPr="004C7AAC">
        <w:rPr>
          <w:bCs/>
          <w:szCs w:val="24"/>
        </w:rPr>
        <w:t>геморрагического синдрома проводится по шкале ВОЗ</w:t>
      </w:r>
      <w:r>
        <w:rPr>
          <w:bCs/>
          <w:szCs w:val="24"/>
        </w:rPr>
        <w:t xml:space="preserve"> (табл. 2)</w:t>
      </w:r>
      <w:r w:rsidRPr="004C7AAC">
        <w:rPr>
          <w:szCs w:val="24"/>
        </w:rPr>
        <w:t>.</w:t>
      </w:r>
    </w:p>
    <w:p w14:paraId="6C0D5037" w14:textId="77777777" w:rsidR="002927D9" w:rsidRDefault="002927D9" w:rsidP="002927D9">
      <w:pPr>
        <w:rPr>
          <w:bCs/>
          <w:szCs w:val="24"/>
        </w:rPr>
      </w:pPr>
    </w:p>
    <w:p w14:paraId="55CB444B" w14:textId="77777777" w:rsidR="002927D9" w:rsidRPr="002A1C4D" w:rsidRDefault="002927D9" w:rsidP="002927D9">
      <w:pPr>
        <w:rPr>
          <w:szCs w:val="24"/>
        </w:rPr>
      </w:pPr>
      <w:r w:rsidRPr="002A1C4D">
        <w:rPr>
          <w:bCs/>
          <w:szCs w:val="24"/>
        </w:rPr>
        <w:t>Таблица 2. Шкала кровотечений по ВОЗ</w:t>
      </w:r>
    </w:p>
    <w:tbl>
      <w:tblPr>
        <w:tblW w:w="0" w:type="auto"/>
        <w:tblInd w:w="4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898"/>
      </w:tblGrid>
      <w:tr w:rsidR="002927D9" w:rsidRPr="004C7AAC" w14:paraId="2EF2E915" w14:textId="77777777" w:rsidTr="00CD5E09">
        <w:tc>
          <w:tcPr>
            <w:tcW w:w="9121" w:type="dxa"/>
            <w:shd w:val="clear" w:color="auto" w:fill="auto"/>
          </w:tcPr>
          <w:p w14:paraId="7207C3E4" w14:textId="77777777" w:rsidR="002927D9" w:rsidRPr="004C7AAC" w:rsidRDefault="002927D9" w:rsidP="00CD5E09">
            <w:pPr>
              <w:pStyle w:val="table-text-1"/>
              <w:spacing w:before="0" w:after="0"/>
              <w:rPr>
                <w:b/>
                <w:i/>
                <w:sz w:val="24"/>
                <w:szCs w:val="24"/>
              </w:rPr>
            </w:pPr>
            <w:r w:rsidRPr="002E0659">
              <w:rPr>
                <w:sz w:val="22"/>
                <w:szCs w:val="22"/>
              </w:rPr>
              <w:t>1 степень (не требует трансфузии)</w:t>
            </w:r>
          </w:p>
        </w:tc>
      </w:tr>
      <w:tr w:rsidR="002927D9" w:rsidRPr="004C7AAC" w14:paraId="5423E3DD" w14:textId="77777777" w:rsidTr="00CD5E09">
        <w:tc>
          <w:tcPr>
            <w:tcW w:w="9121" w:type="dxa"/>
            <w:shd w:val="clear" w:color="auto" w:fill="auto"/>
          </w:tcPr>
          <w:p w14:paraId="37E489CB" w14:textId="77777777" w:rsidR="002927D9" w:rsidRPr="002E0659" w:rsidRDefault="002927D9" w:rsidP="00CD5E09">
            <w:pPr>
              <w:pStyle w:val="table-text-0"/>
              <w:spacing w:before="0"/>
              <w:ind w:firstLine="0"/>
              <w:rPr>
                <w:sz w:val="22"/>
                <w:szCs w:val="22"/>
              </w:rPr>
            </w:pPr>
            <w:r w:rsidRPr="002E0659">
              <w:rPr>
                <w:sz w:val="22"/>
                <w:szCs w:val="22"/>
              </w:rPr>
              <w:t xml:space="preserve">Кровоточивость кожи и слизистых, включая </w:t>
            </w:r>
            <w:r>
              <w:rPr>
                <w:sz w:val="22"/>
                <w:szCs w:val="22"/>
              </w:rPr>
              <w:t>полость рта</w:t>
            </w:r>
          </w:p>
          <w:p w14:paraId="55870F4E" w14:textId="77777777" w:rsidR="002927D9" w:rsidRPr="002E0659" w:rsidRDefault="002927D9" w:rsidP="00CD5E09">
            <w:pPr>
              <w:pStyle w:val="table-text-0"/>
              <w:spacing w:before="0"/>
              <w:ind w:firstLine="0"/>
              <w:rPr>
                <w:sz w:val="22"/>
                <w:szCs w:val="22"/>
              </w:rPr>
            </w:pPr>
            <w:r w:rsidRPr="002E0659">
              <w:rPr>
                <w:sz w:val="22"/>
                <w:szCs w:val="22"/>
              </w:rPr>
              <w:t>Петехии менее 2</w:t>
            </w:r>
            <w:r>
              <w:rPr>
                <w:sz w:val="22"/>
                <w:szCs w:val="22"/>
              </w:rPr>
              <w:t> </w:t>
            </w:r>
            <w:r w:rsidRPr="002E0659">
              <w:rPr>
                <w:sz w:val="22"/>
                <w:szCs w:val="22"/>
              </w:rPr>
              <w:t>мм</w:t>
            </w:r>
          </w:p>
          <w:p w14:paraId="39630604" w14:textId="77777777" w:rsidR="002927D9" w:rsidRPr="002E0659" w:rsidRDefault="002927D9" w:rsidP="00CD5E09">
            <w:pPr>
              <w:pStyle w:val="table-text-0"/>
              <w:spacing w:before="0"/>
              <w:ind w:firstLine="0"/>
              <w:rPr>
                <w:sz w:val="22"/>
                <w:szCs w:val="22"/>
              </w:rPr>
            </w:pPr>
            <w:r>
              <w:rPr>
                <w:sz w:val="22"/>
                <w:szCs w:val="22"/>
              </w:rPr>
              <w:t>Пурпура менее 2,54 </w:t>
            </w:r>
            <w:r w:rsidRPr="002E0659">
              <w:rPr>
                <w:sz w:val="22"/>
                <w:szCs w:val="22"/>
              </w:rPr>
              <w:t>см в диаметре</w:t>
            </w:r>
          </w:p>
          <w:p w14:paraId="26EAA9C3" w14:textId="77777777" w:rsidR="002927D9" w:rsidRPr="002E0659" w:rsidRDefault="002927D9" w:rsidP="00CD5E09">
            <w:pPr>
              <w:pStyle w:val="table-text-0"/>
              <w:spacing w:before="0"/>
              <w:ind w:firstLine="0"/>
              <w:rPr>
                <w:sz w:val="22"/>
                <w:szCs w:val="22"/>
              </w:rPr>
            </w:pPr>
            <w:r>
              <w:rPr>
                <w:sz w:val="22"/>
                <w:szCs w:val="22"/>
              </w:rPr>
              <w:t>Экхимозы (очаги менее 10 </w:t>
            </w:r>
            <w:r w:rsidRPr="002E0659">
              <w:rPr>
                <w:sz w:val="22"/>
                <w:szCs w:val="22"/>
              </w:rPr>
              <w:t>см в диаметре)</w:t>
            </w:r>
          </w:p>
          <w:p w14:paraId="137F5D4F" w14:textId="77777777" w:rsidR="002927D9" w:rsidRPr="002E0659" w:rsidRDefault="002927D9" w:rsidP="00CD5E09">
            <w:pPr>
              <w:pStyle w:val="table-text-0"/>
              <w:spacing w:before="0"/>
              <w:ind w:firstLine="0"/>
              <w:rPr>
                <w:sz w:val="22"/>
                <w:szCs w:val="22"/>
              </w:rPr>
            </w:pPr>
            <w:r w:rsidRPr="002E0659">
              <w:rPr>
                <w:sz w:val="22"/>
                <w:szCs w:val="22"/>
              </w:rPr>
              <w:t>Ротоглоточные кровотечения</w:t>
            </w:r>
          </w:p>
          <w:p w14:paraId="182B4D69" w14:textId="77777777" w:rsidR="002927D9" w:rsidRPr="002E0659" w:rsidRDefault="002927D9" w:rsidP="00CD5E09">
            <w:pPr>
              <w:pStyle w:val="table-text-0"/>
              <w:spacing w:before="0"/>
              <w:ind w:firstLine="0"/>
              <w:rPr>
                <w:sz w:val="22"/>
                <w:szCs w:val="22"/>
              </w:rPr>
            </w:pPr>
            <w:r w:rsidRPr="002E0659">
              <w:rPr>
                <w:sz w:val="22"/>
                <w:szCs w:val="22"/>
              </w:rPr>
              <w:t>Кровоизлияния в конъюнктиву</w:t>
            </w:r>
          </w:p>
          <w:p w14:paraId="504560FA" w14:textId="77777777" w:rsidR="002927D9" w:rsidRPr="002E0659" w:rsidRDefault="002927D9" w:rsidP="00CD5E09">
            <w:pPr>
              <w:pStyle w:val="table-text-0"/>
              <w:spacing w:before="0"/>
              <w:ind w:firstLine="0"/>
              <w:rPr>
                <w:sz w:val="22"/>
                <w:szCs w:val="22"/>
              </w:rPr>
            </w:pPr>
            <w:r w:rsidRPr="002E0659">
              <w:rPr>
                <w:sz w:val="22"/>
                <w:szCs w:val="22"/>
              </w:rPr>
              <w:t>Носовые кровотечения продолжительностью менее 1</w:t>
            </w:r>
            <w:r>
              <w:rPr>
                <w:sz w:val="22"/>
                <w:szCs w:val="22"/>
              </w:rPr>
              <w:t> </w:t>
            </w:r>
            <w:r w:rsidRPr="002E0659">
              <w:rPr>
                <w:sz w:val="22"/>
                <w:szCs w:val="22"/>
              </w:rPr>
              <w:t>часа</w:t>
            </w:r>
            <w:r>
              <w:rPr>
                <w:sz w:val="22"/>
                <w:szCs w:val="22"/>
              </w:rPr>
              <w:t>,</w:t>
            </w:r>
            <w:r w:rsidRPr="002E0659">
              <w:rPr>
                <w:sz w:val="22"/>
                <w:szCs w:val="22"/>
              </w:rPr>
              <w:t xml:space="preserve"> не требующие вмешательства</w:t>
            </w:r>
          </w:p>
          <w:p w14:paraId="10A63AA1" w14:textId="77777777" w:rsidR="002927D9" w:rsidRPr="002E0659" w:rsidRDefault="002927D9" w:rsidP="00CD5E09">
            <w:pPr>
              <w:pStyle w:val="table-text-0"/>
              <w:spacing w:before="0"/>
              <w:ind w:firstLine="0"/>
              <w:rPr>
                <w:sz w:val="22"/>
                <w:szCs w:val="22"/>
              </w:rPr>
            </w:pPr>
            <w:r w:rsidRPr="002E0659">
              <w:rPr>
                <w:sz w:val="22"/>
                <w:szCs w:val="22"/>
              </w:rPr>
              <w:t xml:space="preserve">Аномальные ациклические маточные кровотечения (менее </w:t>
            </w:r>
            <w:r>
              <w:rPr>
                <w:sz w:val="22"/>
                <w:szCs w:val="22"/>
              </w:rPr>
              <w:t xml:space="preserve">двух </w:t>
            </w:r>
            <w:r w:rsidRPr="002E0659">
              <w:rPr>
                <w:sz w:val="22"/>
                <w:szCs w:val="22"/>
              </w:rPr>
              <w:t xml:space="preserve">прокладок в </w:t>
            </w:r>
            <w:r>
              <w:rPr>
                <w:sz w:val="22"/>
                <w:szCs w:val="22"/>
              </w:rPr>
              <w:t>сутки</w:t>
            </w:r>
            <w:r w:rsidRPr="002E0659">
              <w:rPr>
                <w:sz w:val="22"/>
                <w:szCs w:val="22"/>
              </w:rPr>
              <w:t>)</w:t>
            </w:r>
          </w:p>
        </w:tc>
      </w:tr>
      <w:tr w:rsidR="002927D9" w:rsidRPr="004C7AAC" w14:paraId="3D60E1DF" w14:textId="77777777" w:rsidTr="00CD5E09">
        <w:tc>
          <w:tcPr>
            <w:tcW w:w="9121" w:type="dxa"/>
            <w:shd w:val="clear" w:color="auto" w:fill="auto"/>
          </w:tcPr>
          <w:p w14:paraId="7FE98A05" w14:textId="77777777" w:rsidR="002927D9" w:rsidRPr="002E0659" w:rsidRDefault="002927D9" w:rsidP="00CD5E09">
            <w:pPr>
              <w:pStyle w:val="table-text-1"/>
              <w:spacing w:before="0" w:after="0"/>
              <w:rPr>
                <w:sz w:val="22"/>
                <w:szCs w:val="22"/>
              </w:rPr>
            </w:pPr>
            <w:r w:rsidRPr="002E0659">
              <w:rPr>
                <w:sz w:val="22"/>
                <w:szCs w:val="22"/>
              </w:rPr>
              <w:t>2 степень (</w:t>
            </w:r>
            <w:r>
              <w:rPr>
                <w:sz w:val="22"/>
                <w:szCs w:val="22"/>
              </w:rPr>
              <w:t xml:space="preserve">в основном </w:t>
            </w:r>
            <w:r w:rsidRPr="002E0659">
              <w:rPr>
                <w:sz w:val="22"/>
                <w:szCs w:val="22"/>
              </w:rPr>
              <w:t>не требуют трансфузии)</w:t>
            </w:r>
          </w:p>
        </w:tc>
      </w:tr>
      <w:tr w:rsidR="002927D9" w:rsidRPr="004C7AAC" w14:paraId="1660DA45" w14:textId="77777777" w:rsidTr="00CD5E09">
        <w:tc>
          <w:tcPr>
            <w:tcW w:w="9121" w:type="dxa"/>
            <w:shd w:val="clear" w:color="auto" w:fill="auto"/>
          </w:tcPr>
          <w:p w14:paraId="48C5EBD2" w14:textId="77777777" w:rsidR="002927D9" w:rsidRPr="002E0659" w:rsidRDefault="002927D9" w:rsidP="00CD5E09">
            <w:pPr>
              <w:pStyle w:val="table-text-0"/>
              <w:spacing w:before="0"/>
              <w:ind w:firstLine="0"/>
              <w:rPr>
                <w:sz w:val="22"/>
                <w:szCs w:val="22"/>
              </w:rPr>
            </w:pPr>
            <w:r w:rsidRPr="002E0659">
              <w:rPr>
                <w:sz w:val="22"/>
                <w:szCs w:val="22"/>
              </w:rPr>
              <w:lastRenderedPageBreak/>
              <w:t>Экхимозы (более 10</w:t>
            </w:r>
            <w:r>
              <w:rPr>
                <w:sz w:val="22"/>
                <w:szCs w:val="22"/>
              </w:rPr>
              <w:t> </w:t>
            </w:r>
            <w:r w:rsidRPr="002E0659">
              <w:rPr>
                <w:sz w:val="22"/>
                <w:szCs w:val="22"/>
              </w:rPr>
              <w:t>см в диаметре)</w:t>
            </w:r>
          </w:p>
          <w:p w14:paraId="6BF4BFE3" w14:textId="77777777" w:rsidR="002927D9" w:rsidRPr="002E0659" w:rsidRDefault="002927D9" w:rsidP="00CD5E09">
            <w:pPr>
              <w:pStyle w:val="table-text-0"/>
              <w:spacing w:before="0"/>
              <w:ind w:firstLine="0"/>
              <w:rPr>
                <w:sz w:val="22"/>
                <w:szCs w:val="22"/>
              </w:rPr>
            </w:pPr>
            <w:r w:rsidRPr="002E0659">
              <w:rPr>
                <w:sz w:val="22"/>
                <w:szCs w:val="22"/>
              </w:rPr>
              <w:t>Гематомы</w:t>
            </w:r>
          </w:p>
          <w:p w14:paraId="2772572F" w14:textId="77777777" w:rsidR="002927D9" w:rsidRPr="002E0659" w:rsidRDefault="002927D9" w:rsidP="00CD5E09">
            <w:pPr>
              <w:pStyle w:val="table-text-0"/>
              <w:spacing w:before="0"/>
              <w:ind w:firstLine="0"/>
              <w:rPr>
                <w:sz w:val="22"/>
                <w:szCs w:val="22"/>
              </w:rPr>
            </w:pPr>
            <w:r w:rsidRPr="002E0659">
              <w:rPr>
                <w:sz w:val="22"/>
                <w:szCs w:val="22"/>
              </w:rPr>
              <w:t>Носовые кровотечения продолжительностью более 1</w:t>
            </w:r>
            <w:r>
              <w:rPr>
                <w:sz w:val="22"/>
                <w:szCs w:val="22"/>
              </w:rPr>
              <w:t> </w:t>
            </w:r>
            <w:r w:rsidRPr="002E0659">
              <w:rPr>
                <w:sz w:val="22"/>
                <w:szCs w:val="22"/>
              </w:rPr>
              <w:t>часа или требующие тампонады</w:t>
            </w:r>
          </w:p>
          <w:p w14:paraId="68877951" w14:textId="77777777" w:rsidR="002927D9" w:rsidRPr="002E0659" w:rsidRDefault="002927D9" w:rsidP="00CD5E09">
            <w:pPr>
              <w:pStyle w:val="table-text-0"/>
              <w:spacing w:before="0"/>
              <w:ind w:firstLine="0"/>
              <w:rPr>
                <w:sz w:val="22"/>
                <w:szCs w:val="22"/>
              </w:rPr>
            </w:pPr>
            <w:r w:rsidRPr="002E0659">
              <w:rPr>
                <w:sz w:val="22"/>
                <w:szCs w:val="22"/>
              </w:rPr>
              <w:t>Кровоизлияния в сетчатку без ухудшения зрения</w:t>
            </w:r>
          </w:p>
          <w:p w14:paraId="30461110" w14:textId="77777777" w:rsidR="002927D9" w:rsidRPr="002E0659" w:rsidRDefault="002927D9" w:rsidP="00CD5E09">
            <w:pPr>
              <w:pStyle w:val="table-text-0"/>
              <w:spacing w:before="0"/>
              <w:ind w:firstLine="0"/>
              <w:rPr>
                <w:sz w:val="22"/>
                <w:szCs w:val="22"/>
              </w:rPr>
            </w:pPr>
            <w:r w:rsidRPr="002E0659">
              <w:rPr>
                <w:sz w:val="22"/>
                <w:szCs w:val="22"/>
              </w:rPr>
              <w:t xml:space="preserve">Аномальные ациклические маточные кровотечения (более </w:t>
            </w:r>
            <w:r>
              <w:rPr>
                <w:sz w:val="22"/>
                <w:szCs w:val="22"/>
              </w:rPr>
              <w:t xml:space="preserve">двух </w:t>
            </w:r>
            <w:r w:rsidRPr="002E0659">
              <w:rPr>
                <w:sz w:val="22"/>
                <w:szCs w:val="22"/>
              </w:rPr>
              <w:t xml:space="preserve">прокладок в </w:t>
            </w:r>
            <w:r>
              <w:rPr>
                <w:sz w:val="22"/>
                <w:szCs w:val="22"/>
              </w:rPr>
              <w:t>сутки</w:t>
            </w:r>
            <w:r w:rsidRPr="002E0659">
              <w:rPr>
                <w:sz w:val="22"/>
                <w:szCs w:val="22"/>
              </w:rPr>
              <w:t>)</w:t>
            </w:r>
          </w:p>
          <w:p w14:paraId="0B09573A" w14:textId="77777777" w:rsidR="002927D9" w:rsidRPr="002E0659" w:rsidRDefault="002927D9" w:rsidP="00CD5E09">
            <w:pPr>
              <w:pStyle w:val="table-text-0"/>
              <w:spacing w:before="0"/>
              <w:ind w:firstLine="0"/>
              <w:rPr>
                <w:sz w:val="22"/>
                <w:szCs w:val="22"/>
              </w:rPr>
            </w:pPr>
            <w:r w:rsidRPr="002E0659">
              <w:rPr>
                <w:sz w:val="22"/>
                <w:szCs w:val="22"/>
              </w:rPr>
              <w:t>Мелена, рвота с кровью, кровохарканье, гематурия, стул с кровью</w:t>
            </w:r>
          </w:p>
          <w:p w14:paraId="0063F955" w14:textId="77777777" w:rsidR="002927D9" w:rsidRPr="00360841" w:rsidRDefault="002927D9" w:rsidP="00CD5E09">
            <w:pPr>
              <w:pStyle w:val="table-text-0"/>
              <w:spacing w:before="0"/>
              <w:ind w:firstLine="0"/>
              <w:rPr>
                <w:sz w:val="24"/>
                <w:szCs w:val="24"/>
              </w:rPr>
            </w:pPr>
            <w:r w:rsidRPr="002E0659">
              <w:rPr>
                <w:sz w:val="22"/>
                <w:szCs w:val="22"/>
              </w:rPr>
              <w:t>Кровотечения после инвазивных вмешательств, мышечно-суставные кровоизлияния</w:t>
            </w:r>
          </w:p>
        </w:tc>
      </w:tr>
      <w:tr w:rsidR="002927D9" w:rsidRPr="004C7AAC" w14:paraId="166CA6E0" w14:textId="77777777" w:rsidTr="00CD5E09">
        <w:tc>
          <w:tcPr>
            <w:tcW w:w="9121" w:type="dxa"/>
            <w:shd w:val="clear" w:color="auto" w:fill="auto"/>
          </w:tcPr>
          <w:p w14:paraId="1CA238E0" w14:textId="77777777" w:rsidR="002927D9" w:rsidRPr="004C7AAC" w:rsidRDefault="002927D9" w:rsidP="00CD5E09">
            <w:pPr>
              <w:pStyle w:val="table-text-1"/>
              <w:spacing w:before="0" w:after="0"/>
              <w:rPr>
                <w:b/>
                <w:i/>
                <w:sz w:val="24"/>
                <w:szCs w:val="24"/>
              </w:rPr>
            </w:pPr>
            <w:r w:rsidRPr="002E0659">
              <w:rPr>
                <w:sz w:val="22"/>
                <w:szCs w:val="22"/>
              </w:rPr>
              <w:t>3 степень (требуют трансфузии)</w:t>
            </w:r>
          </w:p>
        </w:tc>
      </w:tr>
      <w:tr w:rsidR="002927D9" w:rsidRPr="004C7AAC" w14:paraId="4A2E3063" w14:textId="77777777" w:rsidTr="00CD5E09">
        <w:tc>
          <w:tcPr>
            <w:tcW w:w="9121" w:type="dxa"/>
            <w:shd w:val="clear" w:color="auto" w:fill="auto"/>
          </w:tcPr>
          <w:p w14:paraId="614A9F96" w14:textId="77777777" w:rsidR="002927D9" w:rsidRPr="002E0659" w:rsidRDefault="002927D9" w:rsidP="00CD5E09">
            <w:pPr>
              <w:pStyle w:val="table-text-0"/>
              <w:spacing w:before="0"/>
              <w:ind w:firstLine="0"/>
              <w:rPr>
                <w:sz w:val="22"/>
                <w:szCs w:val="22"/>
              </w:rPr>
            </w:pPr>
            <w:r w:rsidRPr="002E0659">
              <w:rPr>
                <w:sz w:val="22"/>
                <w:szCs w:val="22"/>
              </w:rPr>
              <w:t>Мелена</w:t>
            </w:r>
          </w:p>
          <w:p w14:paraId="06D930E3" w14:textId="77777777" w:rsidR="002927D9" w:rsidRPr="002E0659" w:rsidRDefault="002927D9" w:rsidP="00CD5E09">
            <w:pPr>
              <w:pStyle w:val="table-text-0"/>
              <w:spacing w:before="0"/>
              <w:ind w:firstLine="0"/>
              <w:rPr>
                <w:sz w:val="22"/>
                <w:szCs w:val="22"/>
              </w:rPr>
            </w:pPr>
            <w:r w:rsidRPr="002E0659">
              <w:rPr>
                <w:sz w:val="22"/>
                <w:szCs w:val="22"/>
              </w:rPr>
              <w:t>Рвота с кровью</w:t>
            </w:r>
          </w:p>
          <w:p w14:paraId="55351D73" w14:textId="77777777" w:rsidR="002927D9" w:rsidRPr="002E0659" w:rsidRDefault="002927D9" w:rsidP="00CD5E09">
            <w:pPr>
              <w:pStyle w:val="table-text-0"/>
              <w:spacing w:before="0"/>
              <w:ind w:firstLine="0"/>
              <w:rPr>
                <w:sz w:val="22"/>
                <w:szCs w:val="22"/>
              </w:rPr>
            </w:pPr>
            <w:r w:rsidRPr="002E0659">
              <w:rPr>
                <w:sz w:val="22"/>
                <w:szCs w:val="22"/>
              </w:rPr>
              <w:t>Кровохарканье</w:t>
            </w:r>
          </w:p>
          <w:p w14:paraId="71B7AC53" w14:textId="77777777" w:rsidR="002927D9" w:rsidRPr="002E0659" w:rsidRDefault="002927D9" w:rsidP="00CD5E09">
            <w:pPr>
              <w:pStyle w:val="table-text-0"/>
              <w:spacing w:before="0"/>
              <w:ind w:firstLine="0"/>
              <w:rPr>
                <w:sz w:val="22"/>
                <w:szCs w:val="22"/>
              </w:rPr>
            </w:pPr>
            <w:r w:rsidRPr="002E0659">
              <w:rPr>
                <w:sz w:val="22"/>
                <w:szCs w:val="22"/>
              </w:rPr>
              <w:t>Гематурия</w:t>
            </w:r>
            <w:r>
              <w:rPr>
                <w:sz w:val="22"/>
                <w:szCs w:val="22"/>
              </w:rPr>
              <w:t>,</w:t>
            </w:r>
            <w:r w:rsidRPr="002E0659">
              <w:rPr>
                <w:sz w:val="22"/>
                <w:szCs w:val="22"/>
              </w:rPr>
              <w:t xml:space="preserve"> включая непрекращающееся кровотечение без свертывания </w:t>
            </w:r>
          </w:p>
          <w:p w14:paraId="2E5AED68" w14:textId="77777777" w:rsidR="002927D9" w:rsidRPr="002E0659" w:rsidRDefault="002927D9" w:rsidP="00CD5E09">
            <w:pPr>
              <w:pStyle w:val="table-text-0"/>
              <w:spacing w:before="0"/>
              <w:ind w:firstLine="0"/>
              <w:rPr>
                <w:sz w:val="22"/>
                <w:szCs w:val="22"/>
              </w:rPr>
            </w:pPr>
            <w:r w:rsidRPr="002E0659">
              <w:rPr>
                <w:sz w:val="22"/>
                <w:szCs w:val="22"/>
              </w:rPr>
              <w:t>Аномальные маточные кровотечения</w:t>
            </w:r>
          </w:p>
          <w:p w14:paraId="71526EFE" w14:textId="77777777" w:rsidR="002927D9" w:rsidRPr="002E0659" w:rsidRDefault="002927D9" w:rsidP="00CD5E09">
            <w:pPr>
              <w:pStyle w:val="table-text-0"/>
              <w:spacing w:before="0"/>
              <w:ind w:firstLine="0"/>
              <w:rPr>
                <w:sz w:val="22"/>
                <w:szCs w:val="22"/>
              </w:rPr>
            </w:pPr>
            <w:r w:rsidRPr="002E0659">
              <w:rPr>
                <w:sz w:val="22"/>
                <w:szCs w:val="22"/>
              </w:rPr>
              <w:t>Стул с кровью</w:t>
            </w:r>
          </w:p>
          <w:p w14:paraId="0278F9AB" w14:textId="77777777" w:rsidR="002927D9" w:rsidRPr="002E0659" w:rsidRDefault="002927D9" w:rsidP="00CD5E09">
            <w:pPr>
              <w:pStyle w:val="table-text-0"/>
              <w:spacing w:before="0"/>
              <w:ind w:firstLine="0"/>
              <w:rPr>
                <w:sz w:val="22"/>
                <w:szCs w:val="22"/>
              </w:rPr>
            </w:pPr>
            <w:r w:rsidRPr="002E0659">
              <w:rPr>
                <w:sz w:val="22"/>
                <w:szCs w:val="22"/>
              </w:rPr>
              <w:t xml:space="preserve">Носовое кровотечение </w:t>
            </w:r>
          </w:p>
          <w:p w14:paraId="760EBE1B" w14:textId="77777777" w:rsidR="002927D9" w:rsidRPr="002E0659" w:rsidRDefault="002927D9" w:rsidP="00CD5E09">
            <w:pPr>
              <w:pStyle w:val="table-text-0"/>
              <w:spacing w:before="0"/>
              <w:ind w:firstLine="0"/>
              <w:rPr>
                <w:sz w:val="22"/>
                <w:szCs w:val="22"/>
              </w:rPr>
            </w:pPr>
            <w:r w:rsidRPr="00A83EB7">
              <w:rPr>
                <w:sz w:val="22"/>
                <w:szCs w:val="22"/>
              </w:rPr>
              <w:t>Ротоглоточное кровотечение</w:t>
            </w:r>
          </w:p>
          <w:p w14:paraId="2E9FF95D" w14:textId="77777777" w:rsidR="002927D9" w:rsidRPr="00360841" w:rsidRDefault="002927D9" w:rsidP="00CD5E09">
            <w:pPr>
              <w:pStyle w:val="table-text-0"/>
              <w:spacing w:before="0"/>
              <w:ind w:firstLine="0"/>
              <w:rPr>
                <w:sz w:val="24"/>
                <w:szCs w:val="24"/>
              </w:rPr>
            </w:pPr>
            <w:r w:rsidRPr="002E0659">
              <w:rPr>
                <w:sz w:val="22"/>
                <w:szCs w:val="22"/>
              </w:rPr>
              <w:t>Кровотечения после инвазивных вмешательств, мышечно-суставные кровоизлияния или кровоизлияния в мягкие ткани</w:t>
            </w:r>
          </w:p>
        </w:tc>
      </w:tr>
      <w:tr w:rsidR="002927D9" w:rsidRPr="004C7AAC" w14:paraId="397D4146" w14:textId="77777777" w:rsidTr="00CD5E09">
        <w:tc>
          <w:tcPr>
            <w:tcW w:w="9121" w:type="dxa"/>
            <w:shd w:val="clear" w:color="auto" w:fill="auto"/>
          </w:tcPr>
          <w:p w14:paraId="69032A5E" w14:textId="77777777" w:rsidR="002927D9" w:rsidRPr="004C7AAC" w:rsidRDefault="002927D9" w:rsidP="00CD5E09">
            <w:pPr>
              <w:pStyle w:val="table-text-1"/>
              <w:spacing w:before="0" w:after="0"/>
              <w:rPr>
                <w:b/>
                <w:i/>
                <w:sz w:val="24"/>
                <w:szCs w:val="24"/>
              </w:rPr>
            </w:pPr>
            <w:r w:rsidRPr="002E0659">
              <w:rPr>
                <w:sz w:val="22"/>
                <w:szCs w:val="22"/>
              </w:rPr>
              <w:t>4 степень (требуют трансфузии)</w:t>
            </w:r>
          </w:p>
        </w:tc>
      </w:tr>
      <w:tr w:rsidR="002927D9" w:rsidRPr="004C7AAC" w14:paraId="2CF28886" w14:textId="77777777" w:rsidTr="00CD5E09">
        <w:tc>
          <w:tcPr>
            <w:tcW w:w="9121" w:type="dxa"/>
            <w:shd w:val="clear" w:color="auto" w:fill="auto"/>
          </w:tcPr>
          <w:p w14:paraId="153DEE34" w14:textId="77777777" w:rsidR="002927D9" w:rsidRPr="002E0659" w:rsidRDefault="002927D9" w:rsidP="00CD5E09">
            <w:pPr>
              <w:pStyle w:val="table-text-0"/>
              <w:spacing w:before="0"/>
              <w:ind w:firstLine="0"/>
              <w:rPr>
                <w:sz w:val="22"/>
                <w:szCs w:val="22"/>
              </w:rPr>
            </w:pPr>
            <w:r w:rsidRPr="002E0659">
              <w:rPr>
                <w:sz w:val="22"/>
                <w:szCs w:val="22"/>
              </w:rPr>
              <w:t>Кровоизлияния в сетчатку с нарушением зрения</w:t>
            </w:r>
          </w:p>
          <w:p w14:paraId="03E7F738" w14:textId="77777777" w:rsidR="002927D9" w:rsidRPr="002E0659" w:rsidRDefault="002927D9" w:rsidP="00CD5E09">
            <w:pPr>
              <w:pStyle w:val="table-text-0"/>
              <w:spacing w:before="0"/>
              <w:ind w:firstLine="0"/>
              <w:rPr>
                <w:sz w:val="22"/>
                <w:szCs w:val="22"/>
              </w:rPr>
            </w:pPr>
            <w:r w:rsidRPr="002E0659">
              <w:rPr>
                <w:sz w:val="22"/>
                <w:szCs w:val="22"/>
              </w:rPr>
              <w:t xml:space="preserve">Нефатальные кровоизлияния в </w:t>
            </w:r>
            <w:r>
              <w:rPr>
                <w:sz w:val="22"/>
                <w:szCs w:val="22"/>
              </w:rPr>
              <w:t>ЦНС</w:t>
            </w:r>
            <w:r w:rsidRPr="002E0659">
              <w:rPr>
                <w:sz w:val="22"/>
                <w:szCs w:val="22"/>
              </w:rPr>
              <w:t xml:space="preserve"> с невро</w:t>
            </w:r>
            <w:r>
              <w:rPr>
                <w:sz w:val="22"/>
                <w:szCs w:val="22"/>
              </w:rPr>
              <w:t>логической симптоматикой</w:t>
            </w:r>
          </w:p>
          <w:p w14:paraId="7503C6E7" w14:textId="77777777" w:rsidR="002927D9" w:rsidRPr="00360841" w:rsidRDefault="002927D9" w:rsidP="00CD5E09">
            <w:pPr>
              <w:pStyle w:val="table-text-0"/>
              <w:spacing w:before="0"/>
              <w:ind w:firstLine="0"/>
              <w:rPr>
                <w:sz w:val="24"/>
                <w:szCs w:val="24"/>
              </w:rPr>
            </w:pPr>
            <w:r w:rsidRPr="002E0659">
              <w:rPr>
                <w:sz w:val="22"/>
                <w:szCs w:val="22"/>
              </w:rPr>
              <w:t>Фатальные кровотечения вне зависимости от источника</w:t>
            </w:r>
          </w:p>
        </w:tc>
      </w:tr>
    </w:tbl>
    <w:p w14:paraId="6F6C5937" w14:textId="77777777" w:rsidR="002927D9" w:rsidRDefault="002927D9" w:rsidP="002927D9">
      <w:pPr>
        <w:pStyle w:val="3"/>
        <w:ind w:firstLine="708"/>
        <w:rPr>
          <w:b w:val="0"/>
          <w:szCs w:val="24"/>
          <w:u w:val="single"/>
        </w:rPr>
      </w:pPr>
    </w:p>
    <w:p w14:paraId="2AA77956" w14:textId="77777777" w:rsidR="002927D9" w:rsidRPr="00287E25" w:rsidRDefault="002927D9" w:rsidP="002927D9">
      <w:pPr>
        <w:ind w:firstLine="708"/>
        <w:rPr>
          <w:b/>
          <w:u w:val="single"/>
        </w:rPr>
      </w:pPr>
      <w:r w:rsidRPr="00287E25">
        <w:rPr>
          <w:u w:val="single"/>
        </w:rPr>
        <w:t>Расчет дозы концентрата тромбоцитов для трансфузий</w:t>
      </w:r>
    </w:p>
    <w:p w14:paraId="75E69083" w14:textId="77777777" w:rsidR="002927D9" w:rsidRPr="001A1BC0" w:rsidRDefault="002927D9" w:rsidP="002927D9">
      <w:pPr>
        <w:ind w:firstLine="708"/>
        <w:rPr>
          <w:szCs w:val="24"/>
        </w:rPr>
      </w:pPr>
      <w:r w:rsidRPr="001A5953">
        <w:rPr>
          <w:szCs w:val="24"/>
        </w:rPr>
        <w:t>Количество концентрата тромбоцитов для трансфузии необходимо использовать из расчета 50-70х10</w:t>
      </w:r>
      <w:r>
        <w:rPr>
          <w:szCs w:val="24"/>
          <w:vertAlign w:val="superscript"/>
        </w:rPr>
        <w:t>9</w:t>
      </w:r>
      <w:r w:rsidRPr="001A5953">
        <w:rPr>
          <w:szCs w:val="24"/>
        </w:rPr>
        <w:t xml:space="preserve"> тромбоцитов на 10</w:t>
      </w:r>
      <w:r>
        <w:rPr>
          <w:szCs w:val="24"/>
        </w:rPr>
        <w:t xml:space="preserve"> </w:t>
      </w:r>
      <w:r w:rsidRPr="001A5953">
        <w:rPr>
          <w:szCs w:val="24"/>
        </w:rPr>
        <w:t>кг массы тела реципиента или 200-250х10</w:t>
      </w:r>
      <w:r>
        <w:rPr>
          <w:szCs w:val="24"/>
          <w:vertAlign w:val="superscript"/>
        </w:rPr>
        <w:t>9</w:t>
      </w:r>
      <w:r w:rsidRPr="001A5953">
        <w:rPr>
          <w:szCs w:val="24"/>
        </w:rPr>
        <w:t xml:space="preserve"> тромбоцитов на 1м</w:t>
      </w:r>
      <w:r w:rsidRPr="00A17D81">
        <w:rPr>
          <w:szCs w:val="24"/>
          <w:vertAlign w:val="superscript"/>
        </w:rPr>
        <w:t>2</w:t>
      </w:r>
      <w:r w:rsidRPr="001A5953">
        <w:rPr>
          <w:szCs w:val="24"/>
        </w:rPr>
        <w:t xml:space="preserve"> поверхности тела реципиента.</w:t>
      </w:r>
    </w:p>
    <w:p w14:paraId="2942DB3E" w14:textId="77777777" w:rsidR="002927D9" w:rsidRDefault="002927D9" w:rsidP="002927D9">
      <w:pPr>
        <w:ind w:firstLine="708"/>
        <w:rPr>
          <w:szCs w:val="24"/>
        </w:rPr>
      </w:pPr>
      <w:r>
        <w:rPr>
          <w:szCs w:val="24"/>
        </w:rPr>
        <w:t>О</w:t>
      </w:r>
      <w:r w:rsidRPr="001A1BC0">
        <w:rPr>
          <w:szCs w:val="24"/>
        </w:rPr>
        <w:t xml:space="preserve">птимальная доза для лечебных трансфузий — спорный вопрос; на основании общего консенсуса, терапевтические трансфузии должны увеличить количество тромбоцитов до уровня, обеспечивающего адекватный гемостаз. </w:t>
      </w:r>
    </w:p>
    <w:p w14:paraId="00945861" w14:textId="77777777" w:rsidR="00AC5387" w:rsidRDefault="00AC5387" w:rsidP="002927D9">
      <w:pPr>
        <w:ind w:firstLine="708"/>
        <w:rPr>
          <w:u w:val="single"/>
        </w:rPr>
      </w:pPr>
    </w:p>
    <w:p w14:paraId="5C9782E9" w14:textId="77777777" w:rsidR="002927D9" w:rsidRPr="00287E25" w:rsidRDefault="002927D9" w:rsidP="002927D9">
      <w:pPr>
        <w:ind w:firstLine="708"/>
        <w:rPr>
          <w:b/>
          <w:u w:val="single"/>
        </w:rPr>
      </w:pPr>
      <w:r w:rsidRPr="00287E25">
        <w:rPr>
          <w:u w:val="single"/>
        </w:rPr>
        <w:t>Критерии эффективности трансфузий концентрата тромбоцитов</w:t>
      </w:r>
    </w:p>
    <w:p w14:paraId="3B861350" w14:textId="77777777" w:rsidR="002927D9" w:rsidRPr="00A17D81" w:rsidRDefault="002927D9" w:rsidP="002927D9">
      <w:pPr>
        <w:ind w:firstLine="708"/>
        <w:contextualSpacing/>
        <w:rPr>
          <w:szCs w:val="24"/>
        </w:rPr>
      </w:pPr>
      <w:r w:rsidRPr="003B6BB6">
        <w:rPr>
          <w:i/>
          <w:szCs w:val="24"/>
        </w:rPr>
        <w:t xml:space="preserve">Клиническими критериями </w:t>
      </w:r>
      <w:r w:rsidRPr="00A17D81">
        <w:rPr>
          <w:szCs w:val="24"/>
        </w:rPr>
        <w:t xml:space="preserve">эффективности трансфузии </w:t>
      </w:r>
      <w:r>
        <w:rPr>
          <w:szCs w:val="24"/>
        </w:rPr>
        <w:t xml:space="preserve">концентрата </w:t>
      </w:r>
      <w:r w:rsidRPr="00A17D81">
        <w:rPr>
          <w:szCs w:val="24"/>
        </w:rPr>
        <w:t>тромбоцитов являются прекращение или уменьшение выраженности спонтанной кровоточивости, отсутствие свежих геморрагий на коже и видимых слизистых.</w:t>
      </w:r>
    </w:p>
    <w:p w14:paraId="219FC8C5" w14:textId="77777777" w:rsidR="002927D9" w:rsidRPr="00A17D81" w:rsidRDefault="002927D9" w:rsidP="002927D9">
      <w:pPr>
        <w:ind w:firstLine="708"/>
        <w:contextualSpacing/>
        <w:rPr>
          <w:szCs w:val="24"/>
        </w:rPr>
      </w:pPr>
      <w:r w:rsidRPr="003B6BB6">
        <w:rPr>
          <w:i/>
          <w:szCs w:val="24"/>
        </w:rPr>
        <w:lastRenderedPageBreak/>
        <w:t xml:space="preserve">Лабораторными </w:t>
      </w:r>
      <w:r>
        <w:rPr>
          <w:i/>
          <w:szCs w:val="24"/>
        </w:rPr>
        <w:t>критериями</w:t>
      </w:r>
      <w:r w:rsidRPr="00A17D81">
        <w:rPr>
          <w:szCs w:val="24"/>
        </w:rPr>
        <w:t xml:space="preserve"> эффективности переливания тромбоцитов являются увеличение количества циркулирующих тромбоцитов — абсолютный прирост тромбоцитов (АПТ) или скорректированный прирост тромбоцитов (СПТ) через 1 час и 18—24 ч после окончания трансфузии, а также показатели максимальной амплитуды на тромбоэластограмме.</w:t>
      </w:r>
    </w:p>
    <w:p w14:paraId="09E5E5D7" w14:textId="77777777" w:rsidR="002927D9" w:rsidRPr="00A17D81" w:rsidRDefault="002927D9" w:rsidP="002927D9">
      <w:pPr>
        <w:ind w:firstLine="708"/>
        <w:contextualSpacing/>
        <w:rPr>
          <w:bCs/>
          <w:szCs w:val="24"/>
        </w:rPr>
      </w:pPr>
      <w:r w:rsidRPr="00A17D81">
        <w:rPr>
          <w:color w:val="000000"/>
          <w:szCs w:val="24"/>
        </w:rPr>
        <w:t xml:space="preserve">Трансфузию считают эффективной, если абсолютный прирост тромбоцитов через 1 час составил </w:t>
      </w:r>
      <w:r w:rsidRPr="00A17D81">
        <w:rPr>
          <w:szCs w:val="24"/>
        </w:rPr>
        <w:t>10</w:t>
      </w:r>
      <w:r>
        <w:rPr>
          <w:szCs w:val="24"/>
        </w:rPr>
        <w:t>х</w:t>
      </w:r>
      <w:r w:rsidRPr="00A17D81">
        <w:rPr>
          <w:szCs w:val="24"/>
        </w:rPr>
        <w:t>10</w:t>
      </w:r>
      <w:r w:rsidRPr="00A17D81">
        <w:rPr>
          <w:szCs w:val="24"/>
          <w:vertAlign w:val="superscript"/>
        </w:rPr>
        <w:t>9</w:t>
      </w:r>
      <w:r w:rsidRPr="00A17D81">
        <w:rPr>
          <w:szCs w:val="24"/>
        </w:rPr>
        <w:t>/л от исходного уровня.</w:t>
      </w:r>
      <w:r>
        <w:rPr>
          <w:szCs w:val="24"/>
        </w:rPr>
        <w:t xml:space="preserve"> </w:t>
      </w:r>
      <w:r w:rsidRPr="00A17D81">
        <w:rPr>
          <w:bCs/>
          <w:szCs w:val="24"/>
        </w:rPr>
        <w:t>Для стандартизации оценки эффективности трансфузий скорректированный прирост тромбоцитов рассчитывается по формуле и выража</w:t>
      </w:r>
      <w:r>
        <w:rPr>
          <w:bCs/>
          <w:szCs w:val="24"/>
        </w:rPr>
        <w:t>ется в расчетных единицах (РЕ)</w:t>
      </w:r>
      <w:r w:rsidRPr="00A17D81">
        <w:rPr>
          <w:bCs/>
          <w:szCs w:val="24"/>
        </w:rPr>
        <w:t>:</w:t>
      </w:r>
    </w:p>
    <w:p w14:paraId="53AF2C64" w14:textId="77777777" w:rsidR="002927D9" w:rsidRPr="00A17D81" w:rsidRDefault="002927D9" w:rsidP="002927D9">
      <w:pPr>
        <w:pStyle w:val="formula"/>
        <w:spacing w:before="0" w:after="0"/>
        <w:rPr>
          <w:sz w:val="24"/>
          <w:szCs w:val="24"/>
        </w:rPr>
      </w:pPr>
      <w:r w:rsidRPr="00A17D81">
        <w:rPr>
          <w:sz w:val="24"/>
          <w:szCs w:val="24"/>
        </w:rPr>
        <w:t>СПТ = (АПТ </w:t>
      </w:r>
      <w:r>
        <w:rPr>
          <w:sz w:val="24"/>
          <w:szCs w:val="24"/>
        </w:rPr>
        <w:t xml:space="preserve">х </w:t>
      </w:r>
      <w:r w:rsidRPr="00A17D81">
        <w:rPr>
          <w:sz w:val="24"/>
          <w:szCs w:val="24"/>
        </w:rPr>
        <w:t>площадь поверхности тела, м</w:t>
      </w:r>
      <w:r w:rsidRPr="00A17D81">
        <w:rPr>
          <w:sz w:val="24"/>
          <w:szCs w:val="24"/>
          <w:vertAlign w:val="superscript"/>
        </w:rPr>
        <w:t>2</w:t>
      </w:r>
      <w:r w:rsidRPr="00A17D81">
        <w:rPr>
          <w:sz w:val="24"/>
          <w:szCs w:val="24"/>
        </w:rPr>
        <w:t xml:space="preserve">) / количество перелитых тромбоцитов </w:t>
      </w:r>
      <w:r>
        <w:rPr>
          <w:sz w:val="24"/>
          <w:szCs w:val="24"/>
        </w:rPr>
        <w:t>х</w:t>
      </w:r>
      <w:r w:rsidRPr="00A17D81">
        <w:rPr>
          <w:sz w:val="24"/>
          <w:szCs w:val="24"/>
        </w:rPr>
        <w:t> 10</w:t>
      </w:r>
      <w:r w:rsidRPr="00A17D81">
        <w:rPr>
          <w:sz w:val="24"/>
          <w:szCs w:val="24"/>
          <w:vertAlign w:val="superscript"/>
        </w:rPr>
        <w:t>11</w:t>
      </w:r>
    </w:p>
    <w:p w14:paraId="0246D684" w14:textId="77777777" w:rsidR="002927D9" w:rsidRPr="00D77CA7" w:rsidRDefault="002927D9" w:rsidP="002927D9">
      <w:pPr>
        <w:ind w:firstLine="227"/>
        <w:contextualSpacing/>
        <w:rPr>
          <w:szCs w:val="24"/>
        </w:rPr>
      </w:pPr>
      <w:r w:rsidRPr="00A17D81">
        <w:rPr>
          <w:szCs w:val="24"/>
        </w:rPr>
        <w:t>Трансфузию считают эффективной, если СПТ через 1 час составил &gt; 7,5 РЕ, а СПТ через 24 ч &gt; 4,5 РЕ.</w:t>
      </w:r>
      <w:r>
        <w:rPr>
          <w:szCs w:val="24"/>
        </w:rPr>
        <w:t xml:space="preserve"> </w:t>
      </w:r>
      <w:r w:rsidRPr="00A17D81">
        <w:rPr>
          <w:szCs w:val="24"/>
        </w:rPr>
        <w:t>В случае неэффективности трансфузий необходимо определить возможные причины. При возникновении рефрактерности к трансфузиям или наличия в анамнезе посттрансфузионных реакций и осложнений показан индивидуал</w:t>
      </w:r>
      <w:r>
        <w:rPr>
          <w:szCs w:val="24"/>
        </w:rPr>
        <w:t xml:space="preserve">ьный подбор тромбоцитов донора, применение плазмафереза (см. Приложение </w:t>
      </w:r>
      <w:r w:rsidRPr="00D77CA7">
        <w:rPr>
          <w:szCs w:val="24"/>
        </w:rPr>
        <w:t>«Лечебный цитаферез и плазмаферез при гематологических заболеваниях»).</w:t>
      </w:r>
    </w:p>
    <w:p w14:paraId="72A045CA" w14:textId="77777777" w:rsidR="002927D9" w:rsidRDefault="002927D9" w:rsidP="002927D9">
      <w:pPr>
        <w:rPr>
          <w:i/>
          <w:iCs/>
          <w:u w:val="single"/>
        </w:rPr>
      </w:pPr>
    </w:p>
    <w:p w14:paraId="09A24D4D" w14:textId="77777777" w:rsidR="002927D9" w:rsidRPr="00287E25" w:rsidRDefault="002927D9" w:rsidP="002927D9">
      <w:pPr>
        <w:rPr>
          <w:b/>
          <w:i/>
          <w:iCs/>
          <w:u w:val="single"/>
        </w:rPr>
      </w:pPr>
      <w:r w:rsidRPr="00287E25">
        <w:rPr>
          <w:i/>
          <w:iCs/>
          <w:u w:val="single"/>
        </w:rPr>
        <w:t>Трансфузии СЗП</w:t>
      </w:r>
    </w:p>
    <w:p w14:paraId="327C3134" w14:textId="77777777" w:rsidR="002927D9" w:rsidRPr="00287E25" w:rsidRDefault="002927D9" w:rsidP="002927D9">
      <w:pPr>
        <w:ind w:firstLine="349"/>
        <w:rPr>
          <w:b/>
          <w:u w:val="single"/>
        </w:rPr>
      </w:pPr>
      <w:r w:rsidRPr="00287E25">
        <w:rPr>
          <w:u w:val="single"/>
        </w:rPr>
        <w:t>Показания к переливанию СЗП:</w:t>
      </w:r>
    </w:p>
    <w:p w14:paraId="61787480" w14:textId="77777777" w:rsidR="002927D9" w:rsidRPr="003B52EE" w:rsidRDefault="002927D9" w:rsidP="008C1767">
      <w:pPr>
        <w:pStyle w:val="FitzBullet"/>
        <w:numPr>
          <w:ilvl w:val="0"/>
          <w:numId w:val="204"/>
        </w:numPr>
        <w:tabs>
          <w:tab w:val="clear" w:pos="317"/>
          <w:tab w:val="left" w:pos="144"/>
        </w:tabs>
        <w:spacing w:before="0" w:after="0"/>
        <w:ind w:left="709"/>
        <w:jc w:val="both"/>
      </w:pPr>
      <w:r w:rsidRPr="003B52EE">
        <w:t xml:space="preserve">Экстренная реверсия действия непрямых антикоагулянтов (варфарин); переливают </w:t>
      </w:r>
      <w:r>
        <w:t xml:space="preserve">СЗП из расчета </w:t>
      </w:r>
      <w:r w:rsidRPr="003B52EE">
        <w:t>5—8 мл/кг.</w:t>
      </w:r>
    </w:p>
    <w:p w14:paraId="651A3FD2" w14:textId="77777777" w:rsidR="002927D9" w:rsidRPr="003B52EE" w:rsidRDefault="002927D9" w:rsidP="008C1767">
      <w:pPr>
        <w:pStyle w:val="FitzBullet"/>
        <w:numPr>
          <w:ilvl w:val="0"/>
          <w:numId w:val="204"/>
        </w:numPr>
        <w:tabs>
          <w:tab w:val="clear" w:pos="317"/>
          <w:tab w:val="left" w:pos="144"/>
        </w:tabs>
        <w:spacing w:before="0" w:after="0"/>
        <w:ind w:left="709"/>
        <w:jc w:val="both"/>
      </w:pPr>
      <w:r w:rsidRPr="003B52EE">
        <w:t>Коррекция дефицита известного фактора свертывания, для которого нет в наличии специфического концентрата. Для достижения 30% концентрации факторов в плазме необходимо переливать СЗП в количестве 10—15 мл/кг.</w:t>
      </w:r>
    </w:p>
    <w:p w14:paraId="3B0F35A7" w14:textId="77777777" w:rsidR="002927D9" w:rsidRPr="003B52EE" w:rsidRDefault="002927D9" w:rsidP="008C1767">
      <w:pPr>
        <w:pStyle w:val="FitzBullet"/>
        <w:numPr>
          <w:ilvl w:val="0"/>
          <w:numId w:val="204"/>
        </w:numPr>
        <w:tabs>
          <w:tab w:val="clear" w:pos="317"/>
          <w:tab w:val="left" w:pos="144"/>
        </w:tabs>
        <w:spacing w:before="0" w:after="0"/>
        <w:ind w:left="709"/>
        <w:jc w:val="both"/>
      </w:pPr>
      <w:r w:rsidRPr="003B52EE">
        <w:t>Коррекция геморрагического синдрома при увеличении (&gt; 1,5 раз по сравнению с нормой) ПВ или АЧТВ.</w:t>
      </w:r>
    </w:p>
    <w:p w14:paraId="518A23C1" w14:textId="77777777" w:rsidR="002927D9" w:rsidRPr="003B52EE" w:rsidRDefault="002927D9" w:rsidP="008C1767">
      <w:pPr>
        <w:pStyle w:val="FitzBullet"/>
        <w:numPr>
          <w:ilvl w:val="0"/>
          <w:numId w:val="204"/>
        </w:numPr>
        <w:tabs>
          <w:tab w:val="clear" w:pos="317"/>
          <w:tab w:val="left" w:pos="144"/>
        </w:tabs>
        <w:spacing w:before="0" w:after="0"/>
        <w:ind w:left="709"/>
        <w:jc w:val="both"/>
      </w:pPr>
      <w:r>
        <w:t>В</w:t>
      </w:r>
      <w:r w:rsidRPr="003B52EE">
        <w:t>озмещени</w:t>
      </w:r>
      <w:r>
        <w:t>е</w:t>
      </w:r>
      <w:r w:rsidRPr="003B52EE">
        <w:t xml:space="preserve"> объема при проведении плазмафереза.</w:t>
      </w:r>
    </w:p>
    <w:p w14:paraId="3B8A8605" w14:textId="77777777" w:rsidR="002927D9" w:rsidRPr="003B52EE" w:rsidRDefault="002927D9" w:rsidP="008C1767">
      <w:pPr>
        <w:pStyle w:val="FitzBullet"/>
        <w:numPr>
          <w:ilvl w:val="0"/>
          <w:numId w:val="204"/>
        </w:numPr>
        <w:tabs>
          <w:tab w:val="clear" w:pos="317"/>
          <w:tab w:val="left" w:pos="144"/>
        </w:tabs>
        <w:spacing w:before="0" w:after="0"/>
        <w:ind w:left="709"/>
        <w:jc w:val="both"/>
      </w:pPr>
      <w:r>
        <w:t>Д</w:t>
      </w:r>
      <w:r w:rsidRPr="003B52EE">
        <w:t>ефицит антитромбина III в ходе терапии аспарагиназой. СЗП вводят в дозе 3—3,5 мл/кг/сут.</w:t>
      </w:r>
    </w:p>
    <w:p w14:paraId="4C443EAA" w14:textId="77777777" w:rsidR="002927D9" w:rsidRPr="003B52EE" w:rsidRDefault="002927D9" w:rsidP="008C1767">
      <w:pPr>
        <w:pStyle w:val="FitzBullet"/>
        <w:numPr>
          <w:ilvl w:val="0"/>
          <w:numId w:val="204"/>
        </w:numPr>
        <w:tabs>
          <w:tab w:val="clear" w:pos="317"/>
          <w:tab w:val="left" w:pos="144"/>
        </w:tabs>
        <w:spacing w:before="0" w:after="0"/>
        <w:ind w:left="709"/>
        <w:jc w:val="both"/>
      </w:pPr>
      <w:r>
        <w:t>И</w:t>
      </w:r>
      <w:r w:rsidRPr="003B52EE">
        <w:t>нгибиторн</w:t>
      </w:r>
      <w:r>
        <w:t>ая</w:t>
      </w:r>
      <w:r w:rsidRPr="003B52EE">
        <w:t xml:space="preserve"> форм</w:t>
      </w:r>
      <w:r>
        <w:t>а</w:t>
      </w:r>
      <w:r w:rsidRPr="003B52EE">
        <w:t xml:space="preserve"> гемофилии </w:t>
      </w:r>
      <w:r w:rsidRPr="003B52EE">
        <w:rPr>
          <w:lang w:val="en-US"/>
        </w:rPr>
        <w:t>A</w:t>
      </w:r>
      <w:r w:rsidRPr="003B52EE">
        <w:t xml:space="preserve"> и массивны</w:t>
      </w:r>
      <w:r>
        <w:t>е</w:t>
      </w:r>
      <w:r w:rsidRPr="003B52EE">
        <w:t xml:space="preserve"> кровопотер</w:t>
      </w:r>
      <w:r>
        <w:t>и. П</w:t>
      </w:r>
      <w:r w:rsidRPr="003B52EE">
        <w:t>оказано переливание криосупернатантной плазмы (плазма со сниженной концентрацией фактора VIII).</w:t>
      </w:r>
    </w:p>
    <w:p w14:paraId="7124D938" w14:textId="77777777" w:rsidR="002927D9" w:rsidRPr="00287E25" w:rsidRDefault="002927D9" w:rsidP="002927D9">
      <w:pPr>
        <w:ind w:firstLine="349"/>
        <w:rPr>
          <w:b/>
          <w:u w:val="single"/>
        </w:rPr>
      </w:pPr>
      <w:r w:rsidRPr="00287E25">
        <w:rPr>
          <w:u w:val="single"/>
        </w:rPr>
        <w:t>Показания к переливанию криопреципитата</w:t>
      </w:r>
    </w:p>
    <w:p w14:paraId="2DAE34E7" w14:textId="79D85BE7" w:rsidR="002927D9" w:rsidRPr="003B52EE" w:rsidRDefault="002927D9" w:rsidP="008C1767">
      <w:pPr>
        <w:pStyle w:val="FitzBullet"/>
        <w:numPr>
          <w:ilvl w:val="0"/>
          <w:numId w:val="205"/>
        </w:numPr>
        <w:tabs>
          <w:tab w:val="clear" w:pos="317"/>
          <w:tab w:val="left" w:pos="144"/>
        </w:tabs>
        <w:spacing w:before="0" w:after="0"/>
        <w:ind w:left="709"/>
        <w:jc w:val="both"/>
      </w:pPr>
      <w:r w:rsidRPr="003B52EE">
        <w:t xml:space="preserve">Операции или роды у </w:t>
      </w:r>
      <w:r>
        <w:t xml:space="preserve">пациентов </w:t>
      </w:r>
      <w:r w:rsidR="000E1D1D" w:rsidRPr="00E146B8">
        <w:t>с О</w:t>
      </w:r>
      <w:r w:rsidR="000E1D1D">
        <w:t>Л</w:t>
      </w:r>
      <w:r w:rsidR="000E1D1D" w:rsidRPr="00E146B8">
        <w:t>Л и дефицитом фактора Виллебранда</w:t>
      </w:r>
      <w:r w:rsidRPr="003B52EE">
        <w:t>.</w:t>
      </w:r>
    </w:p>
    <w:p w14:paraId="0F3049A1" w14:textId="77777777" w:rsidR="002927D9" w:rsidRPr="003B52EE" w:rsidRDefault="002927D9" w:rsidP="008C1767">
      <w:pPr>
        <w:pStyle w:val="FitzBullet"/>
        <w:numPr>
          <w:ilvl w:val="0"/>
          <w:numId w:val="205"/>
        </w:numPr>
        <w:tabs>
          <w:tab w:val="clear" w:pos="317"/>
          <w:tab w:val="left" w:pos="144"/>
        </w:tabs>
        <w:spacing w:before="0" w:after="0"/>
        <w:ind w:left="709"/>
        <w:jc w:val="both"/>
      </w:pPr>
      <w:r w:rsidRPr="003B52EE">
        <w:lastRenderedPageBreak/>
        <w:t>Гипофибриногенемия (&lt; 1 г/л).</w:t>
      </w:r>
    </w:p>
    <w:p w14:paraId="4A855272" w14:textId="285C83A9" w:rsidR="002927D9" w:rsidRPr="003B52EE" w:rsidRDefault="000E1D1D" w:rsidP="008C1767">
      <w:pPr>
        <w:pStyle w:val="FitzBullet"/>
        <w:numPr>
          <w:ilvl w:val="0"/>
          <w:numId w:val="205"/>
        </w:numPr>
        <w:tabs>
          <w:tab w:val="clear" w:pos="317"/>
          <w:tab w:val="left" w:pos="144"/>
        </w:tabs>
        <w:spacing w:before="0" w:after="0"/>
        <w:ind w:left="709"/>
        <w:jc w:val="both"/>
      </w:pPr>
      <w:r w:rsidRPr="00E146B8">
        <w:t xml:space="preserve">Дефицит фактора </w:t>
      </w:r>
      <w:r w:rsidR="002927D9" w:rsidRPr="003B52EE">
        <w:t>Виллебранда с геморрагическими осложнениями.</w:t>
      </w:r>
    </w:p>
    <w:p w14:paraId="77B8B8A7" w14:textId="77777777" w:rsidR="002927D9" w:rsidRPr="003B52EE" w:rsidRDefault="002927D9" w:rsidP="008C1767">
      <w:pPr>
        <w:pStyle w:val="FitzBullet"/>
        <w:numPr>
          <w:ilvl w:val="0"/>
          <w:numId w:val="205"/>
        </w:numPr>
        <w:tabs>
          <w:tab w:val="clear" w:pos="317"/>
          <w:tab w:val="left" w:pos="144"/>
        </w:tabs>
        <w:spacing w:before="0" w:after="0"/>
        <w:ind w:left="709"/>
        <w:jc w:val="both"/>
      </w:pPr>
      <w:r>
        <w:t>П</w:t>
      </w:r>
      <w:r w:rsidRPr="003B52EE">
        <w:t>ериоперационн</w:t>
      </w:r>
      <w:r>
        <w:t>ый</w:t>
      </w:r>
      <w:r w:rsidRPr="003B52EE">
        <w:t xml:space="preserve"> период или массивны</w:t>
      </w:r>
      <w:r>
        <w:t>е</w:t>
      </w:r>
      <w:r w:rsidRPr="003B52EE">
        <w:t xml:space="preserve"> </w:t>
      </w:r>
      <w:r>
        <w:t>кровотечения при</w:t>
      </w:r>
      <w:r w:rsidRPr="003B52EE">
        <w:t xml:space="preserve"> уровне фибриногена &lt; 1,5 г/л.</w:t>
      </w:r>
    </w:p>
    <w:p w14:paraId="0490C553" w14:textId="77777777" w:rsidR="002927D9" w:rsidRPr="003B52EE" w:rsidRDefault="002927D9" w:rsidP="002927D9">
      <w:pPr>
        <w:ind w:firstLine="708"/>
        <w:rPr>
          <w:szCs w:val="24"/>
        </w:rPr>
      </w:pPr>
      <w:r w:rsidRPr="003B52EE">
        <w:rPr>
          <w:szCs w:val="24"/>
        </w:rPr>
        <w:t xml:space="preserve">Расчетная доза </w:t>
      </w:r>
      <w:r w:rsidRPr="00C019E2">
        <w:rPr>
          <w:iCs/>
          <w:szCs w:val="24"/>
        </w:rPr>
        <w:t>криопреципитата</w:t>
      </w:r>
      <w:r w:rsidRPr="003B52EE">
        <w:rPr>
          <w:szCs w:val="24"/>
        </w:rPr>
        <w:t xml:space="preserve"> составляет 1 ед на 5 кг массы тела </w:t>
      </w:r>
      <w:r>
        <w:rPr>
          <w:szCs w:val="24"/>
        </w:rPr>
        <w:t>пациента</w:t>
      </w:r>
      <w:r w:rsidRPr="003B52EE">
        <w:rPr>
          <w:szCs w:val="24"/>
        </w:rPr>
        <w:t xml:space="preserve"> или 15</w:t>
      </w:r>
      <w:r>
        <w:rPr>
          <w:szCs w:val="24"/>
        </w:rPr>
        <w:t>—20 ед при массе тела 70 кг</w:t>
      </w:r>
      <w:r w:rsidRPr="003B52EE">
        <w:rPr>
          <w:szCs w:val="24"/>
        </w:rPr>
        <w:t>. В 1 единице содержится: фибриногена не менее 140 мг, FVIII — не менее 70 МЕ.</w:t>
      </w:r>
    </w:p>
    <w:p w14:paraId="40EEAEEF" w14:textId="77777777" w:rsidR="002927D9" w:rsidRDefault="002927D9" w:rsidP="002927D9">
      <w:pPr>
        <w:ind w:firstLine="708"/>
        <w:rPr>
          <w:u w:val="single"/>
        </w:rPr>
      </w:pPr>
    </w:p>
    <w:p w14:paraId="1FB9DFFE" w14:textId="58337A8F" w:rsidR="002927D9" w:rsidRPr="00287E25" w:rsidRDefault="002927D9" w:rsidP="002927D9">
      <w:pPr>
        <w:ind w:firstLine="708"/>
        <w:rPr>
          <w:b/>
          <w:u w:val="single"/>
        </w:rPr>
      </w:pPr>
      <w:r w:rsidRPr="00287E25">
        <w:rPr>
          <w:u w:val="single"/>
        </w:rPr>
        <w:t xml:space="preserve">Качество компонентов крови, применяемых при сопроводительной терапии </w:t>
      </w:r>
      <w:r w:rsidR="000E1D1D">
        <w:rPr>
          <w:u w:val="single"/>
        </w:rPr>
        <w:t>лейкозов</w:t>
      </w:r>
      <w:r w:rsidRPr="00287E25">
        <w:rPr>
          <w:u w:val="single"/>
        </w:rPr>
        <w:t xml:space="preserve"> </w:t>
      </w:r>
    </w:p>
    <w:p w14:paraId="38D2CC98" w14:textId="22498FEF" w:rsidR="002927D9" w:rsidRPr="003B52EE" w:rsidRDefault="002927D9" w:rsidP="002927D9">
      <w:pPr>
        <w:ind w:firstLine="709"/>
        <w:rPr>
          <w:szCs w:val="24"/>
        </w:rPr>
      </w:pPr>
      <w:r>
        <w:rPr>
          <w:szCs w:val="24"/>
        </w:rPr>
        <w:t xml:space="preserve">При </w:t>
      </w:r>
      <w:r w:rsidR="000E1D1D">
        <w:rPr>
          <w:szCs w:val="24"/>
        </w:rPr>
        <w:t>лейкозах, в связи с</w:t>
      </w:r>
      <w:r>
        <w:rPr>
          <w:szCs w:val="24"/>
        </w:rPr>
        <w:t xml:space="preserve"> известными показаниями</w:t>
      </w:r>
      <w:r w:rsidRPr="003B52EE">
        <w:rPr>
          <w:szCs w:val="24"/>
        </w:rPr>
        <w:t xml:space="preserve"> </w:t>
      </w:r>
      <w:r>
        <w:rPr>
          <w:szCs w:val="24"/>
        </w:rPr>
        <w:t>к неоднократным</w:t>
      </w:r>
      <w:r w:rsidRPr="003B52EE">
        <w:rPr>
          <w:szCs w:val="24"/>
        </w:rPr>
        <w:t xml:space="preserve"> трансфузия</w:t>
      </w:r>
      <w:r>
        <w:rPr>
          <w:szCs w:val="24"/>
        </w:rPr>
        <w:t>м</w:t>
      </w:r>
      <w:r w:rsidRPr="003B52EE">
        <w:rPr>
          <w:szCs w:val="24"/>
        </w:rPr>
        <w:t xml:space="preserve"> компонентов крови</w:t>
      </w:r>
      <w:r>
        <w:rPr>
          <w:szCs w:val="24"/>
        </w:rPr>
        <w:t xml:space="preserve"> (лейкозы, лимфомы, миелодиспластические синдромы, апластическая анемия и др), </w:t>
      </w:r>
      <w:r w:rsidRPr="003B52EE">
        <w:rPr>
          <w:szCs w:val="24"/>
        </w:rPr>
        <w:t xml:space="preserve">с целью профилактики нежелательных реакций и осложнений, связанных с трансфузиями, </w:t>
      </w:r>
      <w:r>
        <w:rPr>
          <w:szCs w:val="24"/>
        </w:rPr>
        <w:t>рекомендуется</w:t>
      </w:r>
      <w:r w:rsidRPr="003B52EE">
        <w:rPr>
          <w:szCs w:val="24"/>
        </w:rPr>
        <w:t xml:space="preserve"> использование компонентов крови со следующими характеристиками:</w:t>
      </w:r>
    </w:p>
    <w:p w14:paraId="09FFBB57" w14:textId="77777777" w:rsidR="002927D9" w:rsidRPr="003B52EE" w:rsidRDefault="002927D9" w:rsidP="008C1767">
      <w:pPr>
        <w:pStyle w:val="FitzBullet"/>
        <w:numPr>
          <w:ilvl w:val="0"/>
          <w:numId w:val="206"/>
        </w:numPr>
        <w:tabs>
          <w:tab w:val="clear" w:pos="317"/>
          <w:tab w:val="left" w:pos="144"/>
        </w:tabs>
        <w:spacing w:before="0" w:after="0"/>
        <w:ind w:left="709"/>
        <w:jc w:val="both"/>
      </w:pPr>
      <w:r w:rsidRPr="003B52EE">
        <w:t>Лейкоредуцированные — содержание лейкоцитов в дозе переливаемой среды снижено до 1 </w:t>
      </w:r>
      <w:r>
        <w:t>х</w:t>
      </w:r>
      <w:r w:rsidRPr="003B52EE">
        <w:t xml:space="preserve"> 10</w:t>
      </w:r>
      <w:r w:rsidRPr="003B52EE">
        <w:rPr>
          <w:vertAlign w:val="superscript"/>
        </w:rPr>
        <w:t>6</w:t>
      </w:r>
      <w:r w:rsidRPr="003B52EE">
        <w:t> клеток.</w:t>
      </w:r>
    </w:p>
    <w:p w14:paraId="32C29D19" w14:textId="77777777" w:rsidR="002927D9" w:rsidRPr="003B52EE" w:rsidRDefault="002927D9" w:rsidP="008C1767">
      <w:pPr>
        <w:pStyle w:val="FitzBullet"/>
        <w:numPr>
          <w:ilvl w:val="0"/>
          <w:numId w:val="206"/>
        </w:numPr>
        <w:tabs>
          <w:tab w:val="clear" w:pos="317"/>
          <w:tab w:val="left" w:pos="144"/>
        </w:tabs>
        <w:spacing w:before="0" w:after="0"/>
        <w:ind w:left="709"/>
        <w:jc w:val="both"/>
      </w:pPr>
      <w:r w:rsidRPr="003B52EE">
        <w:t>Облученные эритроциты и тромбоциты (гамма-излучение или рентегновское излучение в дозе 25—50 Гр).</w:t>
      </w:r>
    </w:p>
    <w:p w14:paraId="6F118D2A" w14:textId="77777777" w:rsidR="002927D9" w:rsidRPr="003B52EE" w:rsidRDefault="002927D9" w:rsidP="008C1767">
      <w:pPr>
        <w:pStyle w:val="FitzBullet"/>
        <w:numPr>
          <w:ilvl w:val="0"/>
          <w:numId w:val="206"/>
        </w:numPr>
        <w:tabs>
          <w:tab w:val="clear" w:pos="317"/>
          <w:tab w:val="left" w:pos="144"/>
        </w:tabs>
        <w:spacing w:before="0" w:after="0"/>
        <w:ind w:left="709"/>
        <w:jc w:val="both"/>
      </w:pPr>
      <w:r w:rsidRPr="003B52EE">
        <w:t>Ограничение использования донорской плазмы путем использования взвешивающих растворов для эритроцитов.</w:t>
      </w:r>
    </w:p>
    <w:p w14:paraId="0F61703C" w14:textId="77777777" w:rsidR="002927D9" w:rsidRPr="003B52EE" w:rsidRDefault="002927D9" w:rsidP="008C1767">
      <w:pPr>
        <w:pStyle w:val="FitzBullet"/>
        <w:numPr>
          <w:ilvl w:val="0"/>
          <w:numId w:val="206"/>
        </w:numPr>
        <w:tabs>
          <w:tab w:val="clear" w:pos="317"/>
          <w:tab w:val="left" w:pos="144"/>
        </w:tabs>
        <w:spacing w:before="0" w:after="0"/>
        <w:ind w:left="709"/>
        <w:jc w:val="both"/>
      </w:pPr>
      <w:r w:rsidRPr="003B52EE">
        <w:t>После исследования донорской крови на маркеры вирусных инфекций посредством молекулярно-биологических методов.</w:t>
      </w:r>
    </w:p>
    <w:p w14:paraId="281B5789" w14:textId="77777777" w:rsidR="002927D9" w:rsidRPr="00360841" w:rsidRDefault="002927D9" w:rsidP="008C1767">
      <w:pPr>
        <w:pStyle w:val="afff3"/>
        <w:widowControl/>
        <w:numPr>
          <w:ilvl w:val="0"/>
          <w:numId w:val="206"/>
        </w:numPr>
        <w:autoSpaceDE/>
        <w:autoSpaceDN/>
        <w:adjustRightInd/>
        <w:ind w:left="709"/>
        <w:rPr>
          <w:szCs w:val="24"/>
        </w:rPr>
      </w:pPr>
      <w:r w:rsidRPr="00360841">
        <w:rPr>
          <w:szCs w:val="24"/>
        </w:rPr>
        <w:t>С целью повышения безопасности трансфузий дополнительно могут применяться следующие технологии:</w:t>
      </w:r>
    </w:p>
    <w:p w14:paraId="3BF9DCEA" w14:textId="77777777" w:rsidR="002927D9" w:rsidRPr="003B52EE" w:rsidRDefault="002927D9" w:rsidP="008C1767">
      <w:pPr>
        <w:pStyle w:val="FitzBullet"/>
        <w:numPr>
          <w:ilvl w:val="0"/>
          <w:numId w:val="206"/>
        </w:numPr>
        <w:tabs>
          <w:tab w:val="clear" w:pos="317"/>
          <w:tab w:val="left" w:pos="144"/>
        </w:tabs>
        <w:spacing w:before="0" w:after="0"/>
        <w:ind w:left="709"/>
        <w:jc w:val="both"/>
      </w:pPr>
      <w:r w:rsidRPr="003B52EE">
        <w:t>Инактивация патогенов в концентрате тромбоцитов.</w:t>
      </w:r>
    </w:p>
    <w:p w14:paraId="7B9CD50C" w14:textId="77777777" w:rsidR="002927D9" w:rsidRPr="003B52EE" w:rsidRDefault="002927D9" w:rsidP="008C1767">
      <w:pPr>
        <w:pStyle w:val="FitzBullet"/>
        <w:numPr>
          <w:ilvl w:val="0"/>
          <w:numId w:val="206"/>
        </w:numPr>
        <w:tabs>
          <w:tab w:val="clear" w:pos="317"/>
          <w:tab w:val="left" w:pos="144"/>
        </w:tabs>
        <w:spacing w:before="0" w:after="0"/>
        <w:ind w:left="709"/>
        <w:jc w:val="both"/>
      </w:pPr>
      <w:r w:rsidRPr="003B52EE">
        <w:t>Применение добавочных растворов для замещения донорской плазмы в концентрате тромбоцитов.</w:t>
      </w:r>
    </w:p>
    <w:p w14:paraId="4AA6179B" w14:textId="77777777" w:rsidR="002927D9" w:rsidRPr="003B52EE" w:rsidRDefault="002927D9" w:rsidP="008C1767">
      <w:pPr>
        <w:pStyle w:val="FitzBullet"/>
        <w:numPr>
          <w:ilvl w:val="0"/>
          <w:numId w:val="206"/>
        </w:numPr>
        <w:tabs>
          <w:tab w:val="clear" w:pos="317"/>
          <w:tab w:val="left" w:pos="144"/>
        </w:tabs>
        <w:spacing w:before="0" w:after="0"/>
        <w:ind w:left="709"/>
        <w:jc w:val="both"/>
      </w:pPr>
      <w:r w:rsidRPr="003B52EE">
        <w:t>Расширение спектра тестируемых маркеров вирусных инфекций (цитомегаловирус, вирус гепатита </w:t>
      </w:r>
      <w:r w:rsidRPr="003B52EE">
        <w:rPr>
          <w:lang w:val="en-US"/>
        </w:rPr>
        <w:t>B</w:t>
      </w:r>
      <w:r w:rsidRPr="003B52EE">
        <w:t xml:space="preserve">, </w:t>
      </w:r>
      <w:r w:rsidRPr="003B52EE">
        <w:rPr>
          <w:lang w:val="en-US"/>
        </w:rPr>
        <w:t>T</w:t>
      </w:r>
      <w:r w:rsidRPr="003B52EE">
        <w:t>-лимфотропный вирус человека и другие).</w:t>
      </w:r>
    </w:p>
    <w:p w14:paraId="60E48506" w14:textId="77777777" w:rsidR="002927D9" w:rsidRDefault="002927D9" w:rsidP="002927D9">
      <w:pPr>
        <w:ind w:firstLine="709"/>
        <w:rPr>
          <w:szCs w:val="24"/>
        </w:rPr>
      </w:pPr>
      <w:r w:rsidRPr="003B52EE">
        <w:rPr>
          <w:szCs w:val="24"/>
        </w:rPr>
        <w:t>Основные реакции и осложнения, связанные с трансфузией приведены в табл. 3.</w:t>
      </w:r>
    </w:p>
    <w:p w14:paraId="39D030B7" w14:textId="77777777" w:rsidR="002927D9" w:rsidRDefault="002927D9" w:rsidP="002927D9">
      <w:pPr>
        <w:rPr>
          <w:bCs/>
          <w:szCs w:val="24"/>
        </w:rPr>
      </w:pPr>
    </w:p>
    <w:p w14:paraId="02E9A7CA" w14:textId="77777777" w:rsidR="002927D9" w:rsidRPr="008E43BE" w:rsidRDefault="002927D9" w:rsidP="002927D9">
      <w:pPr>
        <w:rPr>
          <w:szCs w:val="24"/>
        </w:rPr>
      </w:pPr>
      <w:r w:rsidRPr="008E43BE">
        <w:rPr>
          <w:bCs/>
          <w:szCs w:val="24"/>
        </w:rPr>
        <w:t>Таблица 3. Основные реакции и осложнения, связанные с трансфузией (переливанием) компонентов донорской крови</w:t>
      </w:r>
    </w:p>
    <w:tbl>
      <w:tblPr>
        <w:tblW w:w="92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110"/>
        <w:gridCol w:w="2340"/>
        <w:gridCol w:w="2520"/>
        <w:gridCol w:w="2284"/>
      </w:tblGrid>
      <w:tr w:rsidR="002927D9" w:rsidRPr="004C7AAC" w14:paraId="504C3F81" w14:textId="77777777" w:rsidTr="00CD5E09">
        <w:trPr>
          <w:jc w:val="center"/>
        </w:trPr>
        <w:tc>
          <w:tcPr>
            <w:tcW w:w="2110" w:type="dxa"/>
          </w:tcPr>
          <w:p w14:paraId="58D6928D" w14:textId="77777777" w:rsidR="002927D9" w:rsidRPr="00CA11E8" w:rsidRDefault="002927D9" w:rsidP="00CD5E09">
            <w:pPr>
              <w:pStyle w:val="Table-head-italic"/>
              <w:jc w:val="center"/>
              <w:rPr>
                <w:i w:val="0"/>
                <w:sz w:val="22"/>
                <w:szCs w:val="22"/>
                <w:lang w:val="ru-RU"/>
              </w:rPr>
            </w:pPr>
            <w:r w:rsidRPr="00CA11E8">
              <w:rPr>
                <w:i w:val="0"/>
                <w:sz w:val="22"/>
                <w:szCs w:val="22"/>
                <w:lang w:val="ru-RU"/>
              </w:rPr>
              <w:lastRenderedPageBreak/>
              <w:t>Реакция (осложнение)</w:t>
            </w:r>
          </w:p>
        </w:tc>
        <w:tc>
          <w:tcPr>
            <w:tcW w:w="2340" w:type="dxa"/>
          </w:tcPr>
          <w:p w14:paraId="3AC0FE79" w14:textId="77777777" w:rsidR="002927D9" w:rsidRPr="00CA11E8" w:rsidRDefault="002927D9" w:rsidP="00CD5E09">
            <w:pPr>
              <w:pStyle w:val="Table-head-italic"/>
              <w:jc w:val="center"/>
              <w:rPr>
                <w:i w:val="0"/>
                <w:sz w:val="22"/>
                <w:szCs w:val="22"/>
                <w:lang w:val="ru-RU"/>
              </w:rPr>
            </w:pPr>
            <w:r w:rsidRPr="00CA11E8">
              <w:rPr>
                <w:i w:val="0"/>
                <w:sz w:val="22"/>
                <w:szCs w:val="22"/>
                <w:lang w:val="ru-RU"/>
              </w:rPr>
              <w:t>Причина</w:t>
            </w:r>
          </w:p>
        </w:tc>
        <w:tc>
          <w:tcPr>
            <w:tcW w:w="2520" w:type="dxa"/>
          </w:tcPr>
          <w:p w14:paraId="18EF2ADF" w14:textId="77777777" w:rsidR="002927D9" w:rsidRPr="00CA11E8" w:rsidRDefault="002927D9" w:rsidP="00CD5E09">
            <w:pPr>
              <w:pStyle w:val="Table-head-italic"/>
              <w:jc w:val="center"/>
              <w:rPr>
                <w:i w:val="0"/>
                <w:sz w:val="22"/>
                <w:szCs w:val="22"/>
                <w:lang w:val="ru-RU"/>
              </w:rPr>
            </w:pPr>
            <w:r w:rsidRPr="00CA11E8">
              <w:rPr>
                <w:i w:val="0"/>
                <w:sz w:val="22"/>
                <w:szCs w:val="22"/>
                <w:lang w:val="ru-RU"/>
              </w:rPr>
              <w:t>Лечение</w:t>
            </w:r>
          </w:p>
        </w:tc>
        <w:tc>
          <w:tcPr>
            <w:tcW w:w="2284" w:type="dxa"/>
          </w:tcPr>
          <w:p w14:paraId="2A4C685B" w14:textId="77777777" w:rsidR="002927D9" w:rsidRPr="00CA11E8" w:rsidRDefault="002927D9" w:rsidP="00CD5E09">
            <w:pPr>
              <w:pStyle w:val="Table-head-italic"/>
              <w:jc w:val="center"/>
              <w:rPr>
                <w:i w:val="0"/>
                <w:sz w:val="22"/>
                <w:szCs w:val="22"/>
                <w:lang w:val="ru-RU"/>
              </w:rPr>
            </w:pPr>
            <w:r w:rsidRPr="00CA11E8">
              <w:rPr>
                <w:i w:val="0"/>
                <w:sz w:val="22"/>
                <w:szCs w:val="22"/>
                <w:lang w:val="ru-RU"/>
              </w:rPr>
              <w:t>Обязательные и дополнительные лабораторные и инструментальные исследования*</w:t>
            </w:r>
          </w:p>
        </w:tc>
      </w:tr>
      <w:tr w:rsidR="002927D9" w:rsidRPr="004C7AAC" w14:paraId="1421D4AC" w14:textId="77777777" w:rsidTr="00CD5E09">
        <w:trPr>
          <w:jc w:val="center"/>
        </w:trPr>
        <w:tc>
          <w:tcPr>
            <w:tcW w:w="2110" w:type="dxa"/>
            <w:vAlign w:val="center"/>
          </w:tcPr>
          <w:p w14:paraId="182D068A" w14:textId="77777777" w:rsidR="002927D9" w:rsidRPr="00CA11E8" w:rsidRDefault="002927D9" w:rsidP="00CD5E09">
            <w:pPr>
              <w:pStyle w:val="table-text-0"/>
              <w:spacing w:before="0"/>
              <w:ind w:firstLine="0"/>
              <w:rPr>
                <w:sz w:val="22"/>
                <w:szCs w:val="22"/>
              </w:rPr>
            </w:pPr>
            <w:r w:rsidRPr="00CA11E8">
              <w:rPr>
                <w:sz w:val="22"/>
                <w:szCs w:val="22"/>
              </w:rPr>
              <w:t>Острая сердечно-сосудистая недостаточность, отек легких (синдром TACO, от transfusion associated circulatory overload)</w:t>
            </w:r>
          </w:p>
        </w:tc>
        <w:tc>
          <w:tcPr>
            <w:tcW w:w="2340" w:type="dxa"/>
          </w:tcPr>
          <w:p w14:paraId="1260AB56" w14:textId="77777777" w:rsidR="002927D9" w:rsidRPr="00CA11E8" w:rsidRDefault="002927D9" w:rsidP="00CD5E09">
            <w:pPr>
              <w:pStyle w:val="table-text-0"/>
              <w:spacing w:before="0"/>
              <w:ind w:firstLine="0"/>
              <w:rPr>
                <w:sz w:val="22"/>
                <w:szCs w:val="22"/>
              </w:rPr>
            </w:pPr>
            <w:r w:rsidRPr="00CA11E8">
              <w:rPr>
                <w:sz w:val="22"/>
                <w:szCs w:val="22"/>
              </w:rPr>
              <w:t>Перегрузка объемом</w:t>
            </w:r>
          </w:p>
        </w:tc>
        <w:tc>
          <w:tcPr>
            <w:tcW w:w="2520" w:type="dxa"/>
          </w:tcPr>
          <w:p w14:paraId="2199B57F" w14:textId="77777777" w:rsidR="002927D9" w:rsidRPr="00CA11E8" w:rsidRDefault="002927D9" w:rsidP="00CD5E09">
            <w:pPr>
              <w:pStyle w:val="table-text-0"/>
              <w:spacing w:before="0"/>
              <w:ind w:firstLine="0"/>
              <w:rPr>
                <w:sz w:val="22"/>
                <w:szCs w:val="22"/>
              </w:rPr>
            </w:pPr>
            <w:r w:rsidRPr="00CA11E8">
              <w:rPr>
                <w:sz w:val="22"/>
                <w:szCs w:val="22"/>
              </w:rPr>
              <w:t xml:space="preserve">Симптоматическая терапия отека легких </w:t>
            </w:r>
          </w:p>
        </w:tc>
        <w:tc>
          <w:tcPr>
            <w:tcW w:w="2284" w:type="dxa"/>
          </w:tcPr>
          <w:p w14:paraId="20D485E8" w14:textId="77777777" w:rsidR="002927D9" w:rsidRPr="00CA11E8" w:rsidRDefault="002927D9" w:rsidP="00CD5E09">
            <w:pPr>
              <w:pStyle w:val="table-text-0"/>
              <w:spacing w:before="0"/>
              <w:ind w:firstLine="0"/>
              <w:rPr>
                <w:sz w:val="22"/>
                <w:szCs w:val="22"/>
              </w:rPr>
            </w:pPr>
          </w:p>
        </w:tc>
      </w:tr>
      <w:tr w:rsidR="002927D9" w:rsidRPr="004C7AAC" w14:paraId="7F68CA09" w14:textId="77777777" w:rsidTr="00CD5E09">
        <w:trPr>
          <w:jc w:val="center"/>
        </w:trPr>
        <w:tc>
          <w:tcPr>
            <w:tcW w:w="2110" w:type="dxa"/>
          </w:tcPr>
          <w:p w14:paraId="70E89795" w14:textId="77777777" w:rsidR="002927D9" w:rsidRPr="00CA11E8" w:rsidRDefault="002927D9" w:rsidP="00CD5E09">
            <w:pPr>
              <w:pStyle w:val="table-text-0"/>
              <w:spacing w:before="0"/>
              <w:ind w:firstLine="0"/>
              <w:rPr>
                <w:sz w:val="22"/>
                <w:szCs w:val="22"/>
              </w:rPr>
            </w:pPr>
            <w:r w:rsidRPr="00CA11E8">
              <w:rPr>
                <w:sz w:val="22"/>
                <w:szCs w:val="22"/>
              </w:rPr>
              <w:t>Острое обусловленное трансфузией повреждение легких (синдром TRALI, от transfusion-related acute lung injury)</w:t>
            </w:r>
          </w:p>
        </w:tc>
        <w:tc>
          <w:tcPr>
            <w:tcW w:w="2340" w:type="dxa"/>
          </w:tcPr>
          <w:p w14:paraId="260C2BD0" w14:textId="77777777" w:rsidR="002927D9" w:rsidRPr="00CA11E8" w:rsidRDefault="002927D9" w:rsidP="00CD5E09">
            <w:pPr>
              <w:pStyle w:val="table-text-0"/>
              <w:spacing w:before="0"/>
              <w:ind w:firstLine="0"/>
              <w:rPr>
                <w:sz w:val="22"/>
                <w:szCs w:val="22"/>
              </w:rPr>
            </w:pPr>
            <w:r w:rsidRPr="00CA11E8">
              <w:rPr>
                <w:sz w:val="22"/>
                <w:szCs w:val="22"/>
              </w:rPr>
              <w:t>Наличие донорских антилейкоцитарных антител в крови реципиента</w:t>
            </w:r>
          </w:p>
        </w:tc>
        <w:tc>
          <w:tcPr>
            <w:tcW w:w="2520" w:type="dxa"/>
          </w:tcPr>
          <w:p w14:paraId="3BF987A1" w14:textId="77777777" w:rsidR="002927D9" w:rsidRPr="00CA11E8" w:rsidRDefault="002927D9" w:rsidP="00CD5E09">
            <w:pPr>
              <w:pStyle w:val="table-text-0"/>
              <w:spacing w:before="0"/>
              <w:ind w:firstLine="0"/>
              <w:rPr>
                <w:sz w:val="22"/>
                <w:szCs w:val="22"/>
              </w:rPr>
            </w:pPr>
            <w:r w:rsidRPr="00CA11E8">
              <w:rPr>
                <w:sz w:val="22"/>
                <w:szCs w:val="22"/>
              </w:rPr>
              <w:t>Глюкокортикоиды (преднизолон, 30—60 мг, или дексаметазон, по 4—8 мг)</w:t>
            </w:r>
          </w:p>
          <w:p w14:paraId="6ED506C0" w14:textId="77777777" w:rsidR="002927D9" w:rsidRPr="00CA11E8" w:rsidRDefault="002927D9" w:rsidP="00CD5E09">
            <w:pPr>
              <w:pStyle w:val="table-text-0"/>
              <w:spacing w:before="0"/>
              <w:ind w:firstLine="0"/>
              <w:rPr>
                <w:sz w:val="22"/>
                <w:szCs w:val="22"/>
              </w:rPr>
            </w:pPr>
            <w:r w:rsidRPr="00CA11E8">
              <w:rPr>
                <w:sz w:val="22"/>
                <w:szCs w:val="22"/>
              </w:rPr>
              <w:t>Симптоматическая терапия отека легких</w:t>
            </w:r>
          </w:p>
        </w:tc>
        <w:tc>
          <w:tcPr>
            <w:tcW w:w="2284" w:type="dxa"/>
          </w:tcPr>
          <w:p w14:paraId="7D70D6BA" w14:textId="77777777" w:rsidR="002927D9" w:rsidRPr="00CA11E8" w:rsidRDefault="002927D9" w:rsidP="00CD5E09">
            <w:pPr>
              <w:pStyle w:val="table-text-0"/>
              <w:spacing w:before="0"/>
              <w:ind w:firstLine="0"/>
              <w:rPr>
                <w:sz w:val="22"/>
                <w:szCs w:val="22"/>
              </w:rPr>
            </w:pPr>
            <w:r w:rsidRPr="00CA11E8">
              <w:rPr>
                <w:sz w:val="22"/>
                <w:szCs w:val="22"/>
              </w:rPr>
              <w:t>Обязательные: рентгенография органов грудной клетки</w:t>
            </w:r>
          </w:p>
          <w:p w14:paraId="6CEA9BD2" w14:textId="77777777" w:rsidR="002927D9" w:rsidRPr="00CA11E8" w:rsidRDefault="002927D9" w:rsidP="00CD5E09">
            <w:pPr>
              <w:pStyle w:val="table-text-0"/>
              <w:spacing w:before="0"/>
              <w:ind w:firstLine="0"/>
              <w:rPr>
                <w:sz w:val="22"/>
                <w:szCs w:val="22"/>
              </w:rPr>
            </w:pPr>
            <w:r w:rsidRPr="00CA11E8">
              <w:rPr>
                <w:sz w:val="22"/>
                <w:szCs w:val="22"/>
              </w:rPr>
              <w:t>Дополнительные: тесты на антилейкоцитарные антитела и антитела к нейтрофилам в сыворотке</w:t>
            </w:r>
          </w:p>
        </w:tc>
      </w:tr>
      <w:tr w:rsidR="002927D9" w:rsidRPr="004C7AAC" w14:paraId="6F49A0EF" w14:textId="77777777" w:rsidTr="00CD5E09">
        <w:trPr>
          <w:jc w:val="center"/>
        </w:trPr>
        <w:tc>
          <w:tcPr>
            <w:tcW w:w="2110" w:type="dxa"/>
          </w:tcPr>
          <w:p w14:paraId="721BBA1F" w14:textId="77777777" w:rsidR="002927D9" w:rsidRPr="00CA11E8" w:rsidRDefault="002927D9" w:rsidP="00CD5E09">
            <w:pPr>
              <w:pStyle w:val="table-text-0"/>
              <w:spacing w:before="0"/>
              <w:ind w:firstLine="0"/>
              <w:rPr>
                <w:sz w:val="22"/>
                <w:szCs w:val="22"/>
              </w:rPr>
            </w:pPr>
            <w:r w:rsidRPr="00CA11E8">
              <w:rPr>
                <w:sz w:val="22"/>
                <w:szCs w:val="22"/>
              </w:rPr>
              <w:t>Одышка, связанная с трансфузией (синдром TAD, от transfusion-associated dyspnea)</w:t>
            </w:r>
          </w:p>
        </w:tc>
        <w:tc>
          <w:tcPr>
            <w:tcW w:w="2340" w:type="dxa"/>
          </w:tcPr>
          <w:p w14:paraId="2CC02508" w14:textId="77777777" w:rsidR="002927D9" w:rsidRPr="00CA11E8" w:rsidRDefault="002927D9" w:rsidP="00CD5E09">
            <w:pPr>
              <w:pStyle w:val="table-text-0"/>
              <w:spacing w:before="0"/>
              <w:ind w:firstLine="0"/>
              <w:rPr>
                <w:sz w:val="22"/>
                <w:szCs w:val="22"/>
              </w:rPr>
            </w:pPr>
            <w:r w:rsidRPr="00CA11E8">
              <w:rPr>
                <w:sz w:val="22"/>
                <w:szCs w:val="22"/>
              </w:rPr>
              <w:t>Острый респираторный дистресс-синдром, развивающийся в течение 24 часов после трансфузии</w:t>
            </w:r>
          </w:p>
        </w:tc>
        <w:tc>
          <w:tcPr>
            <w:tcW w:w="2520" w:type="dxa"/>
          </w:tcPr>
          <w:p w14:paraId="625981CA" w14:textId="77777777" w:rsidR="002927D9" w:rsidRPr="00CA11E8" w:rsidRDefault="002927D9" w:rsidP="00CD5E09">
            <w:pPr>
              <w:pStyle w:val="table-text-0"/>
              <w:spacing w:before="0"/>
              <w:ind w:firstLine="0"/>
              <w:rPr>
                <w:sz w:val="22"/>
                <w:szCs w:val="22"/>
              </w:rPr>
            </w:pPr>
            <w:r w:rsidRPr="00CA11E8">
              <w:rPr>
                <w:sz w:val="22"/>
                <w:szCs w:val="22"/>
              </w:rPr>
              <w:t>Симптоматическая терапия</w:t>
            </w:r>
          </w:p>
        </w:tc>
        <w:tc>
          <w:tcPr>
            <w:tcW w:w="2284" w:type="dxa"/>
          </w:tcPr>
          <w:p w14:paraId="1ED51314" w14:textId="77777777" w:rsidR="002927D9" w:rsidRPr="00CA11E8" w:rsidRDefault="002927D9" w:rsidP="00CD5E09">
            <w:pPr>
              <w:pStyle w:val="table-text-0"/>
              <w:spacing w:before="0"/>
              <w:ind w:firstLine="0"/>
              <w:rPr>
                <w:sz w:val="22"/>
                <w:szCs w:val="22"/>
              </w:rPr>
            </w:pPr>
          </w:p>
        </w:tc>
      </w:tr>
      <w:tr w:rsidR="002927D9" w:rsidRPr="004C7AAC" w14:paraId="49C2F338" w14:textId="77777777" w:rsidTr="00CD5E09">
        <w:trPr>
          <w:jc w:val="center"/>
        </w:trPr>
        <w:tc>
          <w:tcPr>
            <w:tcW w:w="2110" w:type="dxa"/>
            <w:vMerge w:val="restart"/>
          </w:tcPr>
          <w:p w14:paraId="76AFD347" w14:textId="77777777" w:rsidR="002927D9" w:rsidRPr="00CA11E8" w:rsidRDefault="002927D9" w:rsidP="00CD5E09">
            <w:pPr>
              <w:pStyle w:val="table-text-0"/>
              <w:spacing w:before="0"/>
              <w:ind w:firstLine="0"/>
              <w:rPr>
                <w:sz w:val="22"/>
                <w:szCs w:val="22"/>
              </w:rPr>
            </w:pPr>
            <w:r w:rsidRPr="00CA11E8">
              <w:rPr>
                <w:sz w:val="22"/>
                <w:szCs w:val="22"/>
              </w:rPr>
              <w:t>Аллергические реакции (крапивница, анафилактический шок и др.)</w:t>
            </w:r>
          </w:p>
        </w:tc>
        <w:tc>
          <w:tcPr>
            <w:tcW w:w="2340" w:type="dxa"/>
          </w:tcPr>
          <w:p w14:paraId="52493EB5" w14:textId="77777777" w:rsidR="002927D9" w:rsidRPr="00CA11E8" w:rsidRDefault="002927D9" w:rsidP="00CD5E09">
            <w:pPr>
              <w:pStyle w:val="table-text-0"/>
              <w:spacing w:before="0"/>
              <w:ind w:firstLine="0"/>
              <w:rPr>
                <w:sz w:val="22"/>
                <w:szCs w:val="22"/>
              </w:rPr>
            </w:pPr>
            <w:r w:rsidRPr="00CA11E8">
              <w:rPr>
                <w:sz w:val="22"/>
                <w:szCs w:val="22"/>
              </w:rPr>
              <w:t>Крапивница: наличие антител к белкам плазмы</w:t>
            </w:r>
          </w:p>
        </w:tc>
        <w:tc>
          <w:tcPr>
            <w:tcW w:w="2520" w:type="dxa"/>
          </w:tcPr>
          <w:p w14:paraId="5EF77F97" w14:textId="77777777" w:rsidR="002927D9" w:rsidRPr="00CA11E8" w:rsidRDefault="002927D9" w:rsidP="00CD5E09">
            <w:pPr>
              <w:pStyle w:val="table-text-0"/>
              <w:spacing w:before="0"/>
              <w:ind w:firstLine="0"/>
              <w:rPr>
                <w:sz w:val="22"/>
                <w:szCs w:val="22"/>
              </w:rPr>
            </w:pPr>
            <w:r w:rsidRPr="00CA11E8">
              <w:rPr>
                <w:sz w:val="22"/>
                <w:szCs w:val="22"/>
              </w:rPr>
              <w:t>Антигистаминные препараты (клемастин, 2%, 2 мг, или другой препарат с аналогичным действием)</w:t>
            </w:r>
          </w:p>
        </w:tc>
        <w:tc>
          <w:tcPr>
            <w:tcW w:w="2284" w:type="dxa"/>
          </w:tcPr>
          <w:p w14:paraId="57E6BBE4" w14:textId="77777777" w:rsidR="002927D9" w:rsidRPr="00CA11E8" w:rsidRDefault="002927D9" w:rsidP="00CD5E09">
            <w:pPr>
              <w:pStyle w:val="table-text-0"/>
              <w:spacing w:before="0"/>
              <w:ind w:firstLine="0"/>
              <w:rPr>
                <w:sz w:val="22"/>
                <w:szCs w:val="22"/>
              </w:rPr>
            </w:pPr>
          </w:p>
        </w:tc>
      </w:tr>
      <w:tr w:rsidR="002927D9" w:rsidRPr="004C7AAC" w14:paraId="289D8CE0" w14:textId="77777777" w:rsidTr="00CD5E09">
        <w:trPr>
          <w:jc w:val="center"/>
        </w:trPr>
        <w:tc>
          <w:tcPr>
            <w:tcW w:w="2110" w:type="dxa"/>
            <w:vMerge/>
            <w:vAlign w:val="center"/>
          </w:tcPr>
          <w:p w14:paraId="56F97991" w14:textId="77777777" w:rsidR="002927D9" w:rsidRPr="00CA11E8" w:rsidRDefault="002927D9" w:rsidP="00CD5E09">
            <w:pPr>
              <w:pStyle w:val="table-text-0"/>
              <w:spacing w:before="0"/>
              <w:ind w:firstLine="0"/>
              <w:rPr>
                <w:sz w:val="22"/>
                <w:szCs w:val="22"/>
              </w:rPr>
            </w:pPr>
          </w:p>
        </w:tc>
        <w:tc>
          <w:tcPr>
            <w:tcW w:w="2340" w:type="dxa"/>
          </w:tcPr>
          <w:p w14:paraId="3BB9A1CB" w14:textId="77777777" w:rsidR="002927D9" w:rsidRPr="00CA11E8" w:rsidRDefault="002927D9" w:rsidP="00CD5E09">
            <w:pPr>
              <w:pStyle w:val="table-text-0"/>
              <w:spacing w:before="0"/>
              <w:ind w:firstLine="0"/>
              <w:rPr>
                <w:sz w:val="22"/>
                <w:szCs w:val="22"/>
              </w:rPr>
            </w:pPr>
            <w:r w:rsidRPr="00CA11E8">
              <w:rPr>
                <w:sz w:val="22"/>
                <w:szCs w:val="22"/>
              </w:rPr>
              <w:t>Анафилактический шок: первичный иммунодефицит IgA у реципиента</w:t>
            </w:r>
          </w:p>
        </w:tc>
        <w:tc>
          <w:tcPr>
            <w:tcW w:w="2520" w:type="dxa"/>
          </w:tcPr>
          <w:p w14:paraId="5B80B4B9" w14:textId="77777777" w:rsidR="002927D9" w:rsidRPr="00CA11E8" w:rsidRDefault="002927D9" w:rsidP="00CD5E09">
            <w:pPr>
              <w:pStyle w:val="table-text-0"/>
              <w:spacing w:before="0"/>
              <w:ind w:firstLine="0"/>
              <w:rPr>
                <w:sz w:val="22"/>
                <w:szCs w:val="22"/>
              </w:rPr>
            </w:pPr>
            <w:r w:rsidRPr="00CA11E8">
              <w:rPr>
                <w:sz w:val="22"/>
                <w:szCs w:val="22"/>
              </w:rPr>
              <w:t>Противошоковая терапия</w:t>
            </w:r>
          </w:p>
        </w:tc>
        <w:tc>
          <w:tcPr>
            <w:tcW w:w="2284" w:type="dxa"/>
          </w:tcPr>
          <w:p w14:paraId="73A1FE16" w14:textId="77777777" w:rsidR="002927D9" w:rsidRPr="00CA11E8" w:rsidRDefault="002927D9" w:rsidP="00CD5E09">
            <w:pPr>
              <w:pStyle w:val="table-text-0"/>
              <w:spacing w:before="0"/>
              <w:ind w:firstLine="0"/>
              <w:rPr>
                <w:sz w:val="22"/>
                <w:szCs w:val="22"/>
              </w:rPr>
            </w:pPr>
            <w:r w:rsidRPr="00CA11E8">
              <w:rPr>
                <w:sz w:val="22"/>
                <w:szCs w:val="22"/>
              </w:rPr>
              <w:t>Дополнительные: оценка уровня сывороточного IgA у реципиента</w:t>
            </w:r>
          </w:p>
        </w:tc>
      </w:tr>
      <w:tr w:rsidR="002927D9" w:rsidRPr="004C7AAC" w14:paraId="2A3876F0" w14:textId="77777777" w:rsidTr="00CD5E09">
        <w:trPr>
          <w:jc w:val="center"/>
        </w:trPr>
        <w:tc>
          <w:tcPr>
            <w:tcW w:w="2110" w:type="dxa"/>
          </w:tcPr>
          <w:p w14:paraId="3F324305" w14:textId="77777777" w:rsidR="002927D9" w:rsidRPr="00CA11E8" w:rsidRDefault="002927D9" w:rsidP="00CD5E09">
            <w:pPr>
              <w:pStyle w:val="table-text-0"/>
              <w:spacing w:before="0"/>
              <w:ind w:firstLine="0"/>
              <w:rPr>
                <w:sz w:val="22"/>
                <w:szCs w:val="22"/>
              </w:rPr>
            </w:pPr>
            <w:r w:rsidRPr="00CA11E8">
              <w:rPr>
                <w:sz w:val="22"/>
                <w:szCs w:val="22"/>
              </w:rPr>
              <w:lastRenderedPageBreak/>
              <w:t>Пострансфузионная артериальная гипотония (HTR, от post-transfusion hypotension)</w:t>
            </w:r>
          </w:p>
        </w:tc>
        <w:tc>
          <w:tcPr>
            <w:tcW w:w="2340" w:type="dxa"/>
          </w:tcPr>
          <w:p w14:paraId="0641E1E6" w14:textId="77777777" w:rsidR="002927D9" w:rsidRPr="00CA11E8" w:rsidRDefault="002927D9" w:rsidP="00CD5E09">
            <w:pPr>
              <w:pStyle w:val="table-text-0"/>
              <w:spacing w:before="0"/>
              <w:ind w:firstLine="0"/>
              <w:rPr>
                <w:sz w:val="22"/>
                <w:szCs w:val="22"/>
              </w:rPr>
            </w:pPr>
            <w:r w:rsidRPr="00CA11E8">
              <w:rPr>
                <w:sz w:val="22"/>
                <w:szCs w:val="22"/>
              </w:rPr>
              <w:t>Сосудистая реакция, обусловленная выбросом брадикинина</w:t>
            </w:r>
          </w:p>
        </w:tc>
        <w:tc>
          <w:tcPr>
            <w:tcW w:w="2520" w:type="dxa"/>
          </w:tcPr>
          <w:p w14:paraId="2883E82F" w14:textId="77777777" w:rsidR="002927D9" w:rsidRPr="00CA11E8" w:rsidRDefault="002927D9" w:rsidP="00CD5E09">
            <w:pPr>
              <w:pStyle w:val="table-text-0"/>
              <w:spacing w:before="0"/>
              <w:ind w:firstLine="0"/>
              <w:rPr>
                <w:sz w:val="22"/>
                <w:szCs w:val="22"/>
              </w:rPr>
            </w:pPr>
            <w:r w:rsidRPr="00CA11E8">
              <w:rPr>
                <w:sz w:val="22"/>
                <w:szCs w:val="22"/>
              </w:rPr>
              <w:t xml:space="preserve">Симптоматическая терапия, в тяжелых случаях — применение вазопрессоров </w:t>
            </w:r>
          </w:p>
        </w:tc>
        <w:tc>
          <w:tcPr>
            <w:tcW w:w="2284" w:type="dxa"/>
          </w:tcPr>
          <w:p w14:paraId="676F0C51" w14:textId="77777777" w:rsidR="002927D9" w:rsidRPr="00CA11E8" w:rsidRDefault="002927D9" w:rsidP="00CD5E09">
            <w:pPr>
              <w:pStyle w:val="table-text-0"/>
              <w:spacing w:before="0"/>
              <w:ind w:firstLine="0"/>
              <w:rPr>
                <w:sz w:val="22"/>
                <w:szCs w:val="22"/>
              </w:rPr>
            </w:pPr>
          </w:p>
        </w:tc>
      </w:tr>
      <w:tr w:rsidR="002927D9" w:rsidRPr="004C7AAC" w14:paraId="7B23C020" w14:textId="77777777" w:rsidTr="00CD5E09">
        <w:trPr>
          <w:jc w:val="center"/>
        </w:trPr>
        <w:tc>
          <w:tcPr>
            <w:tcW w:w="2110" w:type="dxa"/>
          </w:tcPr>
          <w:p w14:paraId="5337A429" w14:textId="77777777" w:rsidR="002927D9" w:rsidRPr="00CA11E8" w:rsidRDefault="002927D9" w:rsidP="00CD5E09">
            <w:pPr>
              <w:pStyle w:val="table-text-0"/>
              <w:spacing w:before="0"/>
              <w:ind w:firstLine="0"/>
              <w:rPr>
                <w:sz w:val="22"/>
                <w:szCs w:val="22"/>
              </w:rPr>
            </w:pPr>
            <w:r w:rsidRPr="00CA11E8">
              <w:rPr>
                <w:sz w:val="22"/>
                <w:szCs w:val="22"/>
              </w:rPr>
              <w:t>Гипертермическая (фебрильная) негемолитическая реакция (FNHTR, от febrile non-hemolytic transfusion reaction)</w:t>
            </w:r>
          </w:p>
        </w:tc>
        <w:tc>
          <w:tcPr>
            <w:tcW w:w="2340" w:type="dxa"/>
          </w:tcPr>
          <w:p w14:paraId="18A1A3F8" w14:textId="77777777" w:rsidR="002927D9" w:rsidRPr="00CA11E8" w:rsidRDefault="002927D9" w:rsidP="00CD5E09">
            <w:pPr>
              <w:pStyle w:val="table-text-0"/>
              <w:spacing w:before="0"/>
              <w:ind w:firstLine="0"/>
              <w:rPr>
                <w:sz w:val="22"/>
                <w:szCs w:val="22"/>
              </w:rPr>
            </w:pPr>
            <w:r w:rsidRPr="00CA11E8">
              <w:rPr>
                <w:sz w:val="22"/>
                <w:szCs w:val="22"/>
              </w:rPr>
              <w:t>Секреция цитокинов иммунокомпетентными клетками, сопровождающаяся повышением температуры тела реципиента выше 38</w:t>
            </w:r>
            <w:r w:rsidRPr="00CA11E8">
              <w:rPr>
                <w:rFonts w:ascii="Symbol" w:hAnsi="Symbol" w:cs="Symbol"/>
              </w:rPr>
              <w:t></w:t>
            </w:r>
            <w:r w:rsidRPr="00CA11E8">
              <w:rPr>
                <w:sz w:val="22"/>
                <w:szCs w:val="22"/>
              </w:rPr>
              <w:t>С</w:t>
            </w:r>
          </w:p>
        </w:tc>
        <w:tc>
          <w:tcPr>
            <w:tcW w:w="2520" w:type="dxa"/>
          </w:tcPr>
          <w:p w14:paraId="0C1C2A3A" w14:textId="77777777" w:rsidR="002927D9" w:rsidRPr="00CA11E8" w:rsidRDefault="002927D9" w:rsidP="00CD5E09">
            <w:pPr>
              <w:pStyle w:val="table-text-0"/>
              <w:spacing w:before="0"/>
              <w:ind w:firstLine="0"/>
              <w:rPr>
                <w:sz w:val="22"/>
                <w:szCs w:val="22"/>
              </w:rPr>
            </w:pPr>
            <w:r w:rsidRPr="00CA11E8">
              <w:rPr>
                <w:sz w:val="22"/>
                <w:szCs w:val="22"/>
              </w:rPr>
              <w:t>Антигистаминные препараты (клемастин 2%, 2 мг, или другой препарат с аналогичным действием)</w:t>
            </w:r>
          </w:p>
          <w:p w14:paraId="2F8CB156" w14:textId="77777777" w:rsidR="002927D9" w:rsidRPr="00CA11E8" w:rsidRDefault="002927D9" w:rsidP="00CD5E09">
            <w:pPr>
              <w:pStyle w:val="table-text-0"/>
              <w:spacing w:before="0"/>
              <w:ind w:firstLine="0"/>
              <w:rPr>
                <w:sz w:val="22"/>
                <w:szCs w:val="22"/>
              </w:rPr>
            </w:pPr>
            <w:r w:rsidRPr="00CA11E8">
              <w:rPr>
                <w:sz w:val="22"/>
                <w:szCs w:val="22"/>
              </w:rPr>
              <w:t>Наркотические анальгетики (промедол 2%, 2 мл)</w:t>
            </w:r>
          </w:p>
          <w:p w14:paraId="437C07E9" w14:textId="77777777" w:rsidR="002927D9" w:rsidRPr="00CA11E8" w:rsidRDefault="002927D9" w:rsidP="00CD5E09">
            <w:pPr>
              <w:pStyle w:val="table-text-0"/>
              <w:spacing w:before="0"/>
              <w:ind w:firstLine="0"/>
              <w:rPr>
                <w:sz w:val="22"/>
                <w:szCs w:val="22"/>
              </w:rPr>
            </w:pPr>
            <w:r w:rsidRPr="00CA11E8">
              <w:rPr>
                <w:sz w:val="22"/>
                <w:szCs w:val="22"/>
              </w:rPr>
              <w:t>Глюкокортикоиды (преднизолон, 30—60 мг, или дексаметазон, 4—8 мг)</w:t>
            </w:r>
          </w:p>
        </w:tc>
        <w:tc>
          <w:tcPr>
            <w:tcW w:w="2284" w:type="dxa"/>
          </w:tcPr>
          <w:p w14:paraId="08483D0E" w14:textId="77777777" w:rsidR="002927D9" w:rsidRPr="00CA11E8" w:rsidRDefault="002927D9" w:rsidP="00CD5E09">
            <w:pPr>
              <w:pStyle w:val="table-text-0"/>
              <w:spacing w:before="0"/>
              <w:ind w:firstLine="0"/>
              <w:rPr>
                <w:sz w:val="22"/>
                <w:szCs w:val="22"/>
              </w:rPr>
            </w:pPr>
            <w:r w:rsidRPr="00CA11E8">
              <w:rPr>
                <w:sz w:val="22"/>
                <w:szCs w:val="22"/>
              </w:rPr>
              <w:t>Обязательные: бактериологическое исследование крови</w:t>
            </w:r>
          </w:p>
          <w:p w14:paraId="565AF988" w14:textId="77777777" w:rsidR="002927D9" w:rsidRPr="00CA11E8" w:rsidRDefault="002927D9" w:rsidP="00CD5E09">
            <w:pPr>
              <w:pStyle w:val="table-text-0"/>
              <w:spacing w:before="0"/>
              <w:ind w:firstLine="0"/>
              <w:rPr>
                <w:sz w:val="22"/>
                <w:szCs w:val="22"/>
              </w:rPr>
            </w:pPr>
            <w:r w:rsidRPr="00CA11E8">
              <w:rPr>
                <w:sz w:val="22"/>
                <w:szCs w:val="22"/>
              </w:rPr>
              <w:t>Дополнительные: определение антилейкоцитарных антител, антитромбоцитарных антител, антител к нейтрофилам в сыворотке</w:t>
            </w:r>
          </w:p>
        </w:tc>
      </w:tr>
      <w:tr w:rsidR="002927D9" w:rsidRPr="004C7AAC" w14:paraId="105039D1" w14:textId="77777777" w:rsidTr="00CD5E09">
        <w:trPr>
          <w:jc w:val="center"/>
        </w:trPr>
        <w:tc>
          <w:tcPr>
            <w:tcW w:w="2110" w:type="dxa"/>
            <w:vMerge w:val="restart"/>
          </w:tcPr>
          <w:p w14:paraId="258E9725" w14:textId="77777777" w:rsidR="002927D9" w:rsidRPr="009034B5" w:rsidRDefault="002927D9" w:rsidP="00CD5E09">
            <w:pPr>
              <w:pStyle w:val="table-text-0"/>
              <w:spacing w:before="0"/>
              <w:ind w:firstLine="0"/>
              <w:rPr>
                <w:sz w:val="22"/>
                <w:szCs w:val="22"/>
                <w:lang w:val="en-US"/>
              </w:rPr>
            </w:pPr>
            <w:r w:rsidRPr="00CA11E8">
              <w:rPr>
                <w:sz w:val="22"/>
                <w:szCs w:val="22"/>
              </w:rPr>
              <w:t>Острый</w:t>
            </w:r>
            <w:r w:rsidRPr="009034B5">
              <w:rPr>
                <w:sz w:val="22"/>
                <w:szCs w:val="22"/>
                <w:lang w:val="en-US"/>
              </w:rPr>
              <w:t xml:space="preserve"> </w:t>
            </w:r>
            <w:r w:rsidRPr="00CA11E8">
              <w:rPr>
                <w:sz w:val="22"/>
                <w:szCs w:val="22"/>
              </w:rPr>
              <w:t>гемолиз</w:t>
            </w:r>
            <w:r w:rsidRPr="009034B5">
              <w:rPr>
                <w:sz w:val="22"/>
                <w:szCs w:val="22"/>
                <w:lang w:val="en-US"/>
              </w:rPr>
              <w:t xml:space="preserve"> (AHTR, </w:t>
            </w:r>
            <w:r w:rsidRPr="00CA11E8">
              <w:rPr>
                <w:sz w:val="22"/>
                <w:szCs w:val="22"/>
              </w:rPr>
              <w:t>от</w:t>
            </w:r>
            <w:r w:rsidRPr="009034B5">
              <w:rPr>
                <w:sz w:val="22"/>
                <w:szCs w:val="22"/>
                <w:lang w:val="en-US"/>
              </w:rPr>
              <w:t xml:space="preserve"> acute hemolytic transfusion reaction)</w:t>
            </w:r>
          </w:p>
        </w:tc>
        <w:tc>
          <w:tcPr>
            <w:tcW w:w="2340" w:type="dxa"/>
          </w:tcPr>
          <w:p w14:paraId="6A49224F" w14:textId="77777777" w:rsidR="002927D9" w:rsidRPr="00CA11E8" w:rsidRDefault="002927D9" w:rsidP="00CD5E09">
            <w:pPr>
              <w:pStyle w:val="table-text-0"/>
              <w:spacing w:before="0"/>
              <w:ind w:firstLine="0"/>
              <w:rPr>
                <w:sz w:val="22"/>
                <w:szCs w:val="22"/>
              </w:rPr>
            </w:pPr>
            <w:r w:rsidRPr="00CA11E8">
              <w:rPr>
                <w:sz w:val="22"/>
                <w:szCs w:val="22"/>
              </w:rPr>
              <w:t xml:space="preserve">Иммунная реакция: наличие у реципиента антител к аллоантигенам эритроцитов донора (ABO, резус-фактор и другая несовместимость) </w:t>
            </w:r>
          </w:p>
        </w:tc>
        <w:tc>
          <w:tcPr>
            <w:tcW w:w="2520" w:type="dxa"/>
            <w:vMerge w:val="restart"/>
          </w:tcPr>
          <w:p w14:paraId="12B60F90" w14:textId="77777777" w:rsidR="002927D9" w:rsidRPr="00CA11E8" w:rsidRDefault="002927D9" w:rsidP="00CD5E09">
            <w:pPr>
              <w:pStyle w:val="table-text-0"/>
              <w:spacing w:before="0"/>
              <w:ind w:firstLine="0"/>
              <w:rPr>
                <w:sz w:val="22"/>
                <w:szCs w:val="22"/>
              </w:rPr>
            </w:pPr>
            <w:r w:rsidRPr="00CA11E8">
              <w:rPr>
                <w:sz w:val="22"/>
                <w:szCs w:val="22"/>
              </w:rPr>
              <w:t>Глюкокортикоиды (преднизолон, 30—60 мг, или дексаметазон, 4—8 мг)</w:t>
            </w:r>
          </w:p>
          <w:p w14:paraId="6D7FB923" w14:textId="77777777" w:rsidR="002927D9" w:rsidRPr="00CA11E8" w:rsidRDefault="002927D9" w:rsidP="00CD5E09">
            <w:pPr>
              <w:pStyle w:val="table-text-0"/>
              <w:spacing w:before="0"/>
              <w:ind w:firstLine="0"/>
              <w:rPr>
                <w:sz w:val="22"/>
                <w:szCs w:val="22"/>
              </w:rPr>
            </w:pPr>
            <w:r w:rsidRPr="00CA11E8">
              <w:rPr>
                <w:sz w:val="22"/>
                <w:szCs w:val="22"/>
              </w:rPr>
              <w:t>Форсированный диурез (NaCl 0,9%, 2000—3000 мл; фуросемид, 20—40 мг); проводится до купирования клинических проявлений гемолиза</w:t>
            </w:r>
          </w:p>
          <w:p w14:paraId="57EE6BE6" w14:textId="77777777" w:rsidR="002927D9" w:rsidRPr="00CA11E8" w:rsidRDefault="002927D9" w:rsidP="00CD5E09">
            <w:pPr>
              <w:pStyle w:val="table-text-0"/>
              <w:spacing w:before="0"/>
              <w:ind w:firstLine="0"/>
              <w:rPr>
                <w:sz w:val="22"/>
                <w:szCs w:val="22"/>
              </w:rPr>
            </w:pPr>
            <w:r w:rsidRPr="00CA11E8">
              <w:rPr>
                <w:sz w:val="22"/>
                <w:szCs w:val="22"/>
              </w:rPr>
              <w:t>Контроль АД, ЦВД, объема и цвет мочи</w:t>
            </w:r>
          </w:p>
          <w:p w14:paraId="70AE3DE1" w14:textId="77777777" w:rsidR="002927D9" w:rsidRPr="00CA11E8" w:rsidRDefault="002927D9" w:rsidP="00CD5E09">
            <w:pPr>
              <w:pStyle w:val="table-text-0"/>
              <w:spacing w:before="0"/>
              <w:ind w:firstLine="0"/>
              <w:rPr>
                <w:sz w:val="22"/>
                <w:szCs w:val="22"/>
              </w:rPr>
            </w:pPr>
            <w:r w:rsidRPr="00CA11E8">
              <w:rPr>
                <w:sz w:val="22"/>
                <w:szCs w:val="22"/>
              </w:rPr>
              <w:t>При неэффективности консервативной терапии или анурии —плазмаферез и гемодиализ</w:t>
            </w:r>
          </w:p>
        </w:tc>
        <w:tc>
          <w:tcPr>
            <w:tcW w:w="2284" w:type="dxa"/>
          </w:tcPr>
          <w:p w14:paraId="6788CD15" w14:textId="77777777" w:rsidR="002927D9" w:rsidRPr="00CA11E8" w:rsidRDefault="002927D9" w:rsidP="00CD5E09">
            <w:pPr>
              <w:pStyle w:val="table-text-0"/>
              <w:spacing w:before="0"/>
              <w:ind w:firstLine="0"/>
              <w:rPr>
                <w:sz w:val="22"/>
                <w:szCs w:val="22"/>
              </w:rPr>
            </w:pPr>
            <w:r w:rsidRPr="00CA11E8">
              <w:rPr>
                <w:sz w:val="22"/>
                <w:szCs w:val="22"/>
              </w:rPr>
              <w:t>Обязательные: определение в сыворотке свободного гемоглобина, билирубина; анализ мочи на гемоглобинурию, гемосидеринурию</w:t>
            </w:r>
          </w:p>
          <w:p w14:paraId="063091A6" w14:textId="77777777" w:rsidR="002927D9" w:rsidRPr="00CA11E8" w:rsidRDefault="002927D9" w:rsidP="00CD5E09">
            <w:pPr>
              <w:pStyle w:val="table-text-0"/>
              <w:spacing w:before="0"/>
              <w:ind w:firstLine="0"/>
              <w:rPr>
                <w:sz w:val="22"/>
                <w:szCs w:val="22"/>
              </w:rPr>
            </w:pPr>
            <w:r w:rsidRPr="00CA11E8">
              <w:rPr>
                <w:sz w:val="22"/>
                <w:szCs w:val="22"/>
              </w:rPr>
              <w:t>Дополнительные: прямая проба Кумбса, оценка химеризма эритроцитов в периферической крови реципиента</w:t>
            </w:r>
          </w:p>
        </w:tc>
      </w:tr>
      <w:tr w:rsidR="002927D9" w:rsidRPr="004C7AAC" w14:paraId="49AFCD27" w14:textId="77777777" w:rsidTr="00CD5E09">
        <w:trPr>
          <w:jc w:val="center"/>
        </w:trPr>
        <w:tc>
          <w:tcPr>
            <w:tcW w:w="2110" w:type="dxa"/>
            <w:vMerge/>
          </w:tcPr>
          <w:p w14:paraId="70C6B65A" w14:textId="77777777" w:rsidR="002927D9" w:rsidRPr="00CA11E8" w:rsidRDefault="002927D9" w:rsidP="00CD5E09">
            <w:pPr>
              <w:pStyle w:val="table-text-0"/>
              <w:spacing w:before="0"/>
              <w:ind w:firstLine="0"/>
              <w:rPr>
                <w:sz w:val="22"/>
                <w:szCs w:val="22"/>
              </w:rPr>
            </w:pPr>
          </w:p>
        </w:tc>
        <w:tc>
          <w:tcPr>
            <w:tcW w:w="2340" w:type="dxa"/>
          </w:tcPr>
          <w:p w14:paraId="124E9A14" w14:textId="77777777" w:rsidR="002927D9" w:rsidRPr="00CA11E8" w:rsidRDefault="002927D9" w:rsidP="00CD5E09">
            <w:pPr>
              <w:pStyle w:val="table-text-0"/>
              <w:spacing w:before="0"/>
              <w:ind w:firstLine="0"/>
              <w:rPr>
                <w:sz w:val="22"/>
                <w:szCs w:val="22"/>
              </w:rPr>
            </w:pPr>
            <w:r w:rsidRPr="00CA11E8">
              <w:rPr>
                <w:sz w:val="22"/>
                <w:szCs w:val="22"/>
              </w:rPr>
              <w:t xml:space="preserve">Неиммунная реакция: разрушение эритроцитов донора вследствие нарушения </w:t>
            </w:r>
            <w:r w:rsidRPr="00CA11E8">
              <w:rPr>
                <w:sz w:val="22"/>
                <w:szCs w:val="22"/>
              </w:rPr>
              <w:lastRenderedPageBreak/>
              <w:t>температурного режима или сроков хранения, несоблюдения правил подготовки к переливанию, смешивания с гипотоническим или гипертоническим растворами</w:t>
            </w:r>
          </w:p>
        </w:tc>
        <w:tc>
          <w:tcPr>
            <w:tcW w:w="2520" w:type="dxa"/>
            <w:vMerge/>
          </w:tcPr>
          <w:p w14:paraId="6C799CA6" w14:textId="77777777" w:rsidR="002927D9" w:rsidRPr="00CA11E8" w:rsidRDefault="002927D9" w:rsidP="00CD5E09">
            <w:pPr>
              <w:pStyle w:val="table-text-0"/>
              <w:spacing w:before="0"/>
              <w:ind w:firstLine="0"/>
              <w:rPr>
                <w:sz w:val="22"/>
                <w:szCs w:val="22"/>
              </w:rPr>
            </w:pPr>
          </w:p>
        </w:tc>
        <w:tc>
          <w:tcPr>
            <w:tcW w:w="2284" w:type="dxa"/>
          </w:tcPr>
          <w:p w14:paraId="107B6CAA" w14:textId="77777777" w:rsidR="002927D9" w:rsidRPr="00CA11E8" w:rsidRDefault="002927D9" w:rsidP="00CD5E09">
            <w:pPr>
              <w:pStyle w:val="table-text-0"/>
              <w:spacing w:before="0"/>
              <w:ind w:firstLine="0"/>
              <w:rPr>
                <w:sz w:val="22"/>
                <w:szCs w:val="22"/>
              </w:rPr>
            </w:pPr>
            <w:r w:rsidRPr="00CA11E8">
              <w:rPr>
                <w:sz w:val="22"/>
                <w:szCs w:val="22"/>
              </w:rPr>
              <w:t xml:space="preserve">Обязательные: определение в сыворотке свободного гемоглобина, </w:t>
            </w:r>
            <w:r w:rsidRPr="00CA11E8">
              <w:rPr>
                <w:sz w:val="22"/>
                <w:szCs w:val="22"/>
              </w:rPr>
              <w:lastRenderedPageBreak/>
              <w:t>билирубина; анализ мочи на гемоглобинурию, гемосидеринурию</w:t>
            </w:r>
          </w:p>
          <w:p w14:paraId="6A048002" w14:textId="77777777" w:rsidR="002927D9" w:rsidRPr="00CA11E8" w:rsidRDefault="002927D9" w:rsidP="00CD5E09">
            <w:pPr>
              <w:pStyle w:val="table-text-0"/>
              <w:spacing w:before="0"/>
              <w:ind w:firstLine="0"/>
              <w:rPr>
                <w:sz w:val="22"/>
                <w:szCs w:val="22"/>
              </w:rPr>
            </w:pPr>
          </w:p>
        </w:tc>
      </w:tr>
      <w:tr w:rsidR="002927D9" w:rsidRPr="004C7AAC" w14:paraId="40CF24D7" w14:textId="77777777" w:rsidTr="00CD5E09">
        <w:trPr>
          <w:jc w:val="center"/>
        </w:trPr>
        <w:tc>
          <w:tcPr>
            <w:tcW w:w="2110" w:type="dxa"/>
          </w:tcPr>
          <w:p w14:paraId="785E37BE" w14:textId="77777777" w:rsidR="002927D9" w:rsidRPr="009034B5" w:rsidRDefault="002927D9" w:rsidP="00CD5E09">
            <w:pPr>
              <w:pStyle w:val="table-text-0"/>
              <w:spacing w:before="0"/>
              <w:ind w:firstLine="0"/>
              <w:rPr>
                <w:sz w:val="22"/>
                <w:szCs w:val="22"/>
                <w:lang w:val="en-US"/>
              </w:rPr>
            </w:pPr>
            <w:r w:rsidRPr="00CA11E8">
              <w:rPr>
                <w:sz w:val="22"/>
                <w:szCs w:val="22"/>
              </w:rPr>
              <w:lastRenderedPageBreak/>
              <w:t>Отсроченный</w:t>
            </w:r>
            <w:r w:rsidRPr="009034B5">
              <w:rPr>
                <w:sz w:val="22"/>
                <w:szCs w:val="22"/>
                <w:lang w:val="en-US"/>
              </w:rPr>
              <w:t xml:space="preserve"> </w:t>
            </w:r>
            <w:r w:rsidRPr="00CA11E8">
              <w:rPr>
                <w:sz w:val="22"/>
                <w:szCs w:val="22"/>
              </w:rPr>
              <w:t>гемолиз</w:t>
            </w:r>
            <w:r w:rsidRPr="009034B5">
              <w:rPr>
                <w:sz w:val="22"/>
                <w:szCs w:val="22"/>
                <w:lang w:val="en-US"/>
              </w:rPr>
              <w:t xml:space="preserve"> (DHTR, </w:t>
            </w:r>
            <w:r w:rsidRPr="00CA11E8">
              <w:rPr>
                <w:sz w:val="22"/>
                <w:szCs w:val="22"/>
              </w:rPr>
              <w:t>от</w:t>
            </w:r>
            <w:r w:rsidRPr="009034B5">
              <w:rPr>
                <w:sz w:val="22"/>
                <w:szCs w:val="22"/>
                <w:lang w:val="en-US"/>
              </w:rPr>
              <w:t xml:space="preserve"> delayed hemolytic transfusion reaction)</w:t>
            </w:r>
          </w:p>
        </w:tc>
        <w:tc>
          <w:tcPr>
            <w:tcW w:w="2340" w:type="dxa"/>
          </w:tcPr>
          <w:p w14:paraId="518D676A" w14:textId="77777777" w:rsidR="002927D9" w:rsidRPr="00CA11E8" w:rsidRDefault="002927D9" w:rsidP="00CD5E09">
            <w:pPr>
              <w:pStyle w:val="table-text-0"/>
              <w:spacing w:before="0"/>
              <w:ind w:firstLine="0"/>
              <w:rPr>
                <w:sz w:val="22"/>
                <w:szCs w:val="22"/>
              </w:rPr>
            </w:pPr>
            <w:r w:rsidRPr="00CA11E8">
              <w:rPr>
                <w:sz w:val="22"/>
                <w:szCs w:val="22"/>
              </w:rPr>
              <w:t>Внутриклеточный (тканевый) гемолиз в результате трансфузии несовместимых по аллоантигенам эритроцитов донора</w:t>
            </w:r>
          </w:p>
          <w:p w14:paraId="38C51CDC" w14:textId="77777777" w:rsidR="002927D9" w:rsidRPr="00CA11E8" w:rsidRDefault="002927D9" w:rsidP="00CD5E09">
            <w:pPr>
              <w:pStyle w:val="table-text-0"/>
              <w:spacing w:before="0"/>
              <w:ind w:firstLine="0"/>
              <w:rPr>
                <w:sz w:val="22"/>
                <w:szCs w:val="22"/>
              </w:rPr>
            </w:pPr>
            <w:r w:rsidRPr="00CA11E8">
              <w:rPr>
                <w:sz w:val="22"/>
                <w:szCs w:val="22"/>
              </w:rPr>
              <w:t>Аллоиммунизация отмечается в период от 24 часов до 28 дней после трансфузии</w:t>
            </w:r>
          </w:p>
        </w:tc>
        <w:tc>
          <w:tcPr>
            <w:tcW w:w="2520" w:type="dxa"/>
          </w:tcPr>
          <w:p w14:paraId="7CF0E51B" w14:textId="77777777" w:rsidR="002927D9" w:rsidRPr="00CA11E8" w:rsidRDefault="002927D9" w:rsidP="00CD5E09">
            <w:pPr>
              <w:pStyle w:val="table-text-0"/>
              <w:spacing w:before="0"/>
              <w:ind w:firstLine="0"/>
              <w:rPr>
                <w:sz w:val="22"/>
                <w:szCs w:val="22"/>
              </w:rPr>
            </w:pPr>
            <w:r w:rsidRPr="00CA11E8">
              <w:rPr>
                <w:sz w:val="22"/>
                <w:szCs w:val="22"/>
              </w:rPr>
              <w:t xml:space="preserve"> Глюкокортикоиды (преднизолон, 30—60 мг, или дексаметазон, 4—8 мг)</w:t>
            </w:r>
          </w:p>
          <w:p w14:paraId="40923E0F" w14:textId="77777777" w:rsidR="002927D9" w:rsidRPr="00CA11E8" w:rsidRDefault="002927D9" w:rsidP="00CD5E09">
            <w:pPr>
              <w:pStyle w:val="table-text-0"/>
              <w:spacing w:before="0"/>
              <w:ind w:firstLine="0"/>
              <w:rPr>
                <w:sz w:val="22"/>
                <w:szCs w:val="22"/>
              </w:rPr>
            </w:pPr>
            <w:r w:rsidRPr="00CA11E8">
              <w:rPr>
                <w:sz w:val="22"/>
                <w:szCs w:val="22"/>
              </w:rPr>
              <w:t>Форсированный диурез (NaCl 0,9%, 2000—3000 мл; фуросемид, 20—40 мг); проводится до купирования клинических проявлений гемолиза</w:t>
            </w:r>
          </w:p>
          <w:p w14:paraId="4563AC07" w14:textId="77777777" w:rsidR="002927D9" w:rsidRPr="00CA11E8" w:rsidRDefault="002927D9" w:rsidP="00CD5E09">
            <w:pPr>
              <w:pStyle w:val="table-text-0"/>
              <w:spacing w:before="0"/>
              <w:ind w:firstLine="0"/>
              <w:rPr>
                <w:sz w:val="22"/>
                <w:szCs w:val="22"/>
              </w:rPr>
            </w:pPr>
            <w:r w:rsidRPr="00CA11E8">
              <w:rPr>
                <w:sz w:val="22"/>
                <w:szCs w:val="22"/>
              </w:rPr>
              <w:t>Контроль АД, ЦВД, объема и цвет мочи</w:t>
            </w:r>
          </w:p>
          <w:p w14:paraId="1BCB5592" w14:textId="77777777" w:rsidR="002927D9" w:rsidRPr="00CA11E8" w:rsidRDefault="002927D9" w:rsidP="00CD5E09">
            <w:pPr>
              <w:pStyle w:val="table-text-0"/>
              <w:spacing w:before="0"/>
              <w:ind w:firstLine="0"/>
              <w:rPr>
                <w:sz w:val="22"/>
                <w:szCs w:val="22"/>
              </w:rPr>
            </w:pPr>
            <w:r w:rsidRPr="00CA11E8">
              <w:rPr>
                <w:sz w:val="22"/>
                <w:szCs w:val="22"/>
              </w:rPr>
              <w:t>При неэффективности консервативной терапии или анурии —плазмаферез и гемодиализ</w:t>
            </w:r>
          </w:p>
        </w:tc>
        <w:tc>
          <w:tcPr>
            <w:tcW w:w="2284" w:type="dxa"/>
          </w:tcPr>
          <w:p w14:paraId="629E9163" w14:textId="77777777" w:rsidR="002927D9" w:rsidRPr="00CA11E8" w:rsidRDefault="002927D9" w:rsidP="00CD5E09">
            <w:pPr>
              <w:pStyle w:val="table-text-0"/>
              <w:spacing w:before="0"/>
              <w:ind w:firstLine="0"/>
              <w:rPr>
                <w:sz w:val="22"/>
                <w:szCs w:val="22"/>
              </w:rPr>
            </w:pPr>
            <w:r w:rsidRPr="00CA11E8">
              <w:rPr>
                <w:sz w:val="22"/>
                <w:szCs w:val="22"/>
              </w:rPr>
              <w:t>Обязательные: определение в сыворотке свободного гемоглобина, билирубина; анализ мочи на гемоглобинурию, гемосидеринурию; прямая проба Кумбса</w:t>
            </w:r>
          </w:p>
          <w:p w14:paraId="783C6A83" w14:textId="77777777" w:rsidR="002927D9" w:rsidRPr="00CA11E8" w:rsidRDefault="002927D9" w:rsidP="00CD5E09">
            <w:pPr>
              <w:pStyle w:val="table-text-0"/>
              <w:spacing w:before="0"/>
              <w:ind w:firstLine="0"/>
              <w:rPr>
                <w:sz w:val="22"/>
                <w:szCs w:val="22"/>
              </w:rPr>
            </w:pPr>
            <w:r w:rsidRPr="00CA11E8">
              <w:rPr>
                <w:sz w:val="22"/>
                <w:szCs w:val="22"/>
              </w:rPr>
              <w:t>Дополнительные: выявление антиэритроцитарных аллоантител с новой специфичностью</w:t>
            </w:r>
          </w:p>
        </w:tc>
      </w:tr>
      <w:tr w:rsidR="002927D9" w:rsidRPr="004C7AAC" w14:paraId="569BABFF" w14:textId="77777777" w:rsidTr="00CD5E09">
        <w:trPr>
          <w:jc w:val="center"/>
        </w:trPr>
        <w:tc>
          <w:tcPr>
            <w:tcW w:w="2110" w:type="dxa"/>
          </w:tcPr>
          <w:p w14:paraId="65C532AE" w14:textId="77777777" w:rsidR="002927D9" w:rsidRPr="00CA11E8" w:rsidRDefault="002927D9" w:rsidP="00CD5E09">
            <w:pPr>
              <w:pStyle w:val="table-text-0"/>
              <w:spacing w:before="0"/>
              <w:ind w:firstLine="0"/>
              <w:rPr>
                <w:sz w:val="22"/>
                <w:szCs w:val="22"/>
              </w:rPr>
            </w:pPr>
            <w:r w:rsidRPr="00CA11E8">
              <w:rPr>
                <w:sz w:val="22"/>
                <w:szCs w:val="22"/>
              </w:rPr>
              <w:t>Отсроченная серологическая трансфузионная реакция (DSTR, от delayed serologic transfusion reaction)</w:t>
            </w:r>
          </w:p>
        </w:tc>
        <w:tc>
          <w:tcPr>
            <w:tcW w:w="2340" w:type="dxa"/>
          </w:tcPr>
          <w:p w14:paraId="59363099" w14:textId="77777777" w:rsidR="002927D9" w:rsidRPr="00CA11E8" w:rsidRDefault="002927D9" w:rsidP="00CD5E09">
            <w:pPr>
              <w:pStyle w:val="table-text-0"/>
              <w:spacing w:before="0"/>
              <w:ind w:firstLine="0"/>
              <w:rPr>
                <w:sz w:val="22"/>
                <w:szCs w:val="22"/>
              </w:rPr>
            </w:pPr>
            <w:r w:rsidRPr="00CA11E8">
              <w:rPr>
                <w:sz w:val="22"/>
                <w:szCs w:val="22"/>
              </w:rPr>
              <w:t>Непосредственно после трансфузии признаки гемолиза отсутствуют; в срок от 24 ч до 28 дней после трансфузии у реципиента выявляются новые антиэритроцитарные аллоантитела</w:t>
            </w:r>
          </w:p>
        </w:tc>
        <w:tc>
          <w:tcPr>
            <w:tcW w:w="2520" w:type="dxa"/>
          </w:tcPr>
          <w:p w14:paraId="0EF3534C" w14:textId="77777777" w:rsidR="002927D9" w:rsidRPr="00CA11E8" w:rsidRDefault="002927D9" w:rsidP="00CD5E09">
            <w:pPr>
              <w:pStyle w:val="table-text-0"/>
              <w:spacing w:before="0"/>
              <w:ind w:firstLine="0"/>
              <w:rPr>
                <w:sz w:val="22"/>
                <w:szCs w:val="22"/>
              </w:rPr>
            </w:pPr>
          </w:p>
        </w:tc>
        <w:tc>
          <w:tcPr>
            <w:tcW w:w="2284" w:type="dxa"/>
          </w:tcPr>
          <w:p w14:paraId="27CF4BCC" w14:textId="77777777" w:rsidR="002927D9" w:rsidRPr="00CA11E8" w:rsidRDefault="002927D9" w:rsidP="00CD5E09">
            <w:pPr>
              <w:pStyle w:val="table-text-0"/>
              <w:spacing w:before="0"/>
              <w:ind w:firstLine="0"/>
              <w:rPr>
                <w:sz w:val="22"/>
                <w:szCs w:val="22"/>
              </w:rPr>
            </w:pPr>
            <w:r w:rsidRPr="00CA11E8">
              <w:rPr>
                <w:sz w:val="22"/>
                <w:szCs w:val="22"/>
              </w:rPr>
              <w:t>Обязательные: прямая проба Кумбса</w:t>
            </w:r>
          </w:p>
        </w:tc>
      </w:tr>
      <w:tr w:rsidR="002927D9" w:rsidRPr="004C7AAC" w14:paraId="6EBDE06A" w14:textId="77777777" w:rsidTr="00CD5E09">
        <w:trPr>
          <w:jc w:val="center"/>
        </w:trPr>
        <w:tc>
          <w:tcPr>
            <w:tcW w:w="2110" w:type="dxa"/>
          </w:tcPr>
          <w:p w14:paraId="2D223C24" w14:textId="77777777" w:rsidR="002927D9" w:rsidRPr="00CA11E8" w:rsidRDefault="002927D9" w:rsidP="00CD5E09">
            <w:pPr>
              <w:pStyle w:val="table-text-0"/>
              <w:spacing w:before="0"/>
              <w:ind w:firstLine="0"/>
              <w:rPr>
                <w:sz w:val="22"/>
                <w:szCs w:val="22"/>
              </w:rPr>
            </w:pPr>
            <w:r w:rsidRPr="00CA11E8">
              <w:rPr>
                <w:sz w:val="22"/>
                <w:szCs w:val="22"/>
              </w:rPr>
              <w:lastRenderedPageBreak/>
              <w:t>Посттрансфузионная реакция «трансплантат против хозяина» (TA-GVHD, от transfusion-associated graft-versus-host-disease)</w:t>
            </w:r>
          </w:p>
        </w:tc>
        <w:tc>
          <w:tcPr>
            <w:tcW w:w="2340" w:type="dxa"/>
          </w:tcPr>
          <w:p w14:paraId="1569F724" w14:textId="77777777" w:rsidR="002927D9" w:rsidRPr="00CA11E8" w:rsidRDefault="002927D9" w:rsidP="00CD5E09">
            <w:pPr>
              <w:pStyle w:val="table-text-0"/>
              <w:spacing w:before="0"/>
              <w:ind w:firstLine="0"/>
              <w:rPr>
                <w:sz w:val="22"/>
                <w:szCs w:val="22"/>
              </w:rPr>
            </w:pPr>
            <w:r w:rsidRPr="00CA11E8">
              <w:rPr>
                <w:sz w:val="22"/>
                <w:szCs w:val="22"/>
              </w:rPr>
              <w:t>Введение иммунокомпетентных клеток донора (T-лимфоцитов) иммунокомпрометированному реципиенту приводит к их пролиферации и дифференцировке в организме реципиента, что вызывает повреждение клеток реципиента, экспрессирующих HLA-антигены I и II классов (кожа, ЖКТ, печень, селезенка, костный мозг)</w:t>
            </w:r>
          </w:p>
          <w:p w14:paraId="1D3ACD30" w14:textId="77777777" w:rsidR="002927D9" w:rsidRPr="00CA11E8" w:rsidRDefault="002927D9" w:rsidP="00CD5E09">
            <w:pPr>
              <w:pStyle w:val="table-text-0"/>
              <w:spacing w:before="0"/>
              <w:ind w:firstLine="0"/>
              <w:rPr>
                <w:sz w:val="22"/>
                <w:szCs w:val="22"/>
              </w:rPr>
            </w:pPr>
            <w:r w:rsidRPr="00CA11E8">
              <w:rPr>
                <w:sz w:val="22"/>
                <w:szCs w:val="22"/>
              </w:rPr>
              <w:t>Характерны кожная эритема, диарея, поражение печени с гепатомегалией</w:t>
            </w:r>
          </w:p>
          <w:p w14:paraId="73DE6B3F" w14:textId="77777777" w:rsidR="002927D9" w:rsidRPr="00CA11E8" w:rsidRDefault="002927D9" w:rsidP="00CD5E09">
            <w:pPr>
              <w:pStyle w:val="table-text-0"/>
              <w:spacing w:before="0"/>
              <w:ind w:firstLine="0"/>
              <w:rPr>
                <w:sz w:val="22"/>
                <w:szCs w:val="22"/>
              </w:rPr>
            </w:pPr>
            <w:r w:rsidRPr="00CA11E8">
              <w:rPr>
                <w:sz w:val="22"/>
                <w:szCs w:val="22"/>
              </w:rPr>
              <w:t>Синдром может развиваться в сроки от 2 дней до 6 недель после трансфузии</w:t>
            </w:r>
          </w:p>
        </w:tc>
        <w:tc>
          <w:tcPr>
            <w:tcW w:w="2520" w:type="dxa"/>
          </w:tcPr>
          <w:p w14:paraId="36C554A9" w14:textId="77777777" w:rsidR="002927D9" w:rsidRPr="00CA11E8" w:rsidRDefault="002927D9" w:rsidP="00CD5E09">
            <w:pPr>
              <w:pStyle w:val="table-text-0"/>
              <w:spacing w:before="0"/>
              <w:ind w:firstLine="0"/>
              <w:rPr>
                <w:sz w:val="22"/>
                <w:szCs w:val="22"/>
              </w:rPr>
            </w:pPr>
            <w:r w:rsidRPr="00CA11E8">
              <w:rPr>
                <w:sz w:val="22"/>
                <w:szCs w:val="22"/>
              </w:rPr>
              <w:t>Глюкокортикоиды</w:t>
            </w:r>
          </w:p>
        </w:tc>
        <w:tc>
          <w:tcPr>
            <w:tcW w:w="2284" w:type="dxa"/>
          </w:tcPr>
          <w:p w14:paraId="4B4DAC23" w14:textId="77777777" w:rsidR="002927D9" w:rsidRPr="00CA11E8" w:rsidRDefault="002927D9" w:rsidP="00CD5E09">
            <w:pPr>
              <w:pStyle w:val="table-text-0"/>
              <w:spacing w:before="0"/>
              <w:ind w:firstLine="0"/>
              <w:rPr>
                <w:sz w:val="22"/>
                <w:szCs w:val="22"/>
              </w:rPr>
            </w:pPr>
            <w:r w:rsidRPr="00CA11E8">
              <w:rPr>
                <w:sz w:val="22"/>
                <w:szCs w:val="22"/>
              </w:rPr>
              <w:t>Обязательные: общий и биохимический (активность АЛТ, АСТ, ЩФ, уровень билирубина) анализ крови, коагулограмма (уровень фибриногена), биопсия кожи с гистологическим исследованием (при наличии кожной эритемы)</w:t>
            </w:r>
          </w:p>
          <w:p w14:paraId="7DD1A542" w14:textId="77777777" w:rsidR="002927D9" w:rsidRPr="00CA11E8" w:rsidRDefault="002927D9" w:rsidP="00CD5E09">
            <w:pPr>
              <w:pStyle w:val="table-text-0"/>
              <w:spacing w:before="0"/>
              <w:ind w:firstLine="0"/>
              <w:rPr>
                <w:sz w:val="22"/>
                <w:szCs w:val="22"/>
              </w:rPr>
            </w:pPr>
            <w:r w:rsidRPr="00CA11E8">
              <w:rPr>
                <w:sz w:val="22"/>
                <w:szCs w:val="22"/>
              </w:rPr>
              <w:t>Дополнительные: исследование химеризма лейкоцитов; УЗИ брюшной полости</w:t>
            </w:r>
          </w:p>
        </w:tc>
      </w:tr>
      <w:tr w:rsidR="002927D9" w:rsidRPr="004C7AAC" w14:paraId="0FA7EB2F" w14:textId="77777777" w:rsidTr="00CD5E09">
        <w:trPr>
          <w:jc w:val="center"/>
        </w:trPr>
        <w:tc>
          <w:tcPr>
            <w:tcW w:w="2110" w:type="dxa"/>
          </w:tcPr>
          <w:p w14:paraId="05574410" w14:textId="77777777" w:rsidR="002927D9" w:rsidRPr="00CA11E8" w:rsidRDefault="002927D9" w:rsidP="00CD5E09">
            <w:pPr>
              <w:pStyle w:val="table-text-0"/>
              <w:spacing w:before="0"/>
              <w:ind w:firstLine="0"/>
              <w:rPr>
                <w:sz w:val="22"/>
                <w:szCs w:val="22"/>
              </w:rPr>
            </w:pPr>
            <w:r w:rsidRPr="00CA11E8">
              <w:rPr>
                <w:sz w:val="22"/>
                <w:szCs w:val="22"/>
              </w:rPr>
              <w:t>Пострансфузионная пурпура (PTP, от post-transfusion purpura)</w:t>
            </w:r>
          </w:p>
        </w:tc>
        <w:tc>
          <w:tcPr>
            <w:tcW w:w="2340" w:type="dxa"/>
          </w:tcPr>
          <w:p w14:paraId="7FDACF88" w14:textId="77777777" w:rsidR="002927D9" w:rsidRPr="00CA11E8" w:rsidRDefault="002927D9" w:rsidP="00CD5E09">
            <w:pPr>
              <w:pStyle w:val="table-text-0"/>
              <w:spacing w:before="0"/>
              <w:ind w:firstLine="0"/>
              <w:rPr>
                <w:sz w:val="22"/>
                <w:szCs w:val="22"/>
              </w:rPr>
            </w:pPr>
            <w:r w:rsidRPr="00CA11E8">
              <w:rPr>
                <w:sz w:val="22"/>
                <w:szCs w:val="22"/>
              </w:rPr>
              <w:t xml:space="preserve">Образование антител к тромбоцитам или лейкоцитам (анти-HLA, анти-HPA) через 5—12 дней после трансфузии, проявляющееся выраженной тромбоцитопенией и </w:t>
            </w:r>
            <w:r w:rsidRPr="00CA11E8">
              <w:rPr>
                <w:sz w:val="22"/>
                <w:szCs w:val="22"/>
              </w:rPr>
              <w:lastRenderedPageBreak/>
              <w:t>геморрагическим синдромом</w:t>
            </w:r>
          </w:p>
        </w:tc>
        <w:tc>
          <w:tcPr>
            <w:tcW w:w="2520" w:type="dxa"/>
          </w:tcPr>
          <w:p w14:paraId="08589DAE" w14:textId="77777777" w:rsidR="002927D9" w:rsidRPr="00CA11E8" w:rsidRDefault="002927D9" w:rsidP="00CD5E09">
            <w:pPr>
              <w:pStyle w:val="table-text-0"/>
              <w:spacing w:before="0"/>
              <w:ind w:firstLine="0"/>
              <w:rPr>
                <w:sz w:val="22"/>
                <w:szCs w:val="22"/>
              </w:rPr>
            </w:pPr>
            <w:r w:rsidRPr="00CA11E8">
              <w:rPr>
                <w:sz w:val="22"/>
                <w:szCs w:val="22"/>
              </w:rPr>
              <w:lastRenderedPageBreak/>
              <w:t xml:space="preserve">Глюкокортикоиды </w:t>
            </w:r>
          </w:p>
        </w:tc>
        <w:tc>
          <w:tcPr>
            <w:tcW w:w="2284" w:type="dxa"/>
          </w:tcPr>
          <w:p w14:paraId="4AA5C6B2" w14:textId="77777777" w:rsidR="002927D9" w:rsidRPr="00CA11E8" w:rsidRDefault="002927D9" w:rsidP="00CD5E09">
            <w:pPr>
              <w:pStyle w:val="table-text-0"/>
              <w:spacing w:before="0"/>
              <w:ind w:firstLine="0"/>
              <w:rPr>
                <w:sz w:val="22"/>
                <w:szCs w:val="22"/>
              </w:rPr>
            </w:pPr>
            <w:r w:rsidRPr="00CA11E8">
              <w:rPr>
                <w:sz w:val="22"/>
                <w:szCs w:val="22"/>
              </w:rPr>
              <w:t>Обязательные: общий анализ крови, выявление антилейкоцитарных аллоантител (анти-HLA) в сыворотке</w:t>
            </w:r>
          </w:p>
          <w:p w14:paraId="54C47421" w14:textId="77777777" w:rsidR="002927D9" w:rsidRPr="00CA11E8" w:rsidRDefault="002927D9" w:rsidP="00CD5E09">
            <w:pPr>
              <w:pStyle w:val="table-text-0"/>
              <w:spacing w:before="0"/>
              <w:ind w:firstLine="0"/>
              <w:rPr>
                <w:sz w:val="22"/>
                <w:szCs w:val="22"/>
              </w:rPr>
            </w:pPr>
            <w:r w:rsidRPr="00CA11E8">
              <w:rPr>
                <w:sz w:val="22"/>
                <w:szCs w:val="22"/>
              </w:rPr>
              <w:t xml:space="preserve">Дополнительные: выявление антитромбоцитарных </w:t>
            </w:r>
            <w:r w:rsidRPr="00CA11E8">
              <w:rPr>
                <w:sz w:val="22"/>
                <w:szCs w:val="22"/>
              </w:rPr>
              <w:lastRenderedPageBreak/>
              <w:t>антител (анти-HPA) в сыворотке</w:t>
            </w:r>
          </w:p>
        </w:tc>
      </w:tr>
      <w:tr w:rsidR="002927D9" w:rsidRPr="004C7AAC" w14:paraId="7D4E37CF" w14:textId="77777777" w:rsidTr="00CD5E09">
        <w:trPr>
          <w:jc w:val="center"/>
        </w:trPr>
        <w:tc>
          <w:tcPr>
            <w:tcW w:w="2110" w:type="dxa"/>
            <w:vMerge w:val="restart"/>
          </w:tcPr>
          <w:p w14:paraId="37F631B5" w14:textId="77777777" w:rsidR="002927D9" w:rsidRPr="00CA11E8" w:rsidRDefault="002927D9" w:rsidP="00CD5E09">
            <w:pPr>
              <w:pStyle w:val="table-text-0"/>
              <w:spacing w:before="0"/>
              <w:ind w:firstLine="0"/>
              <w:rPr>
                <w:sz w:val="22"/>
                <w:szCs w:val="22"/>
              </w:rPr>
            </w:pPr>
            <w:r w:rsidRPr="00CA11E8">
              <w:rPr>
                <w:sz w:val="22"/>
                <w:szCs w:val="22"/>
              </w:rPr>
              <w:lastRenderedPageBreak/>
              <w:t>Другие</w:t>
            </w:r>
          </w:p>
        </w:tc>
        <w:tc>
          <w:tcPr>
            <w:tcW w:w="2340" w:type="dxa"/>
          </w:tcPr>
          <w:p w14:paraId="7ADDB91A" w14:textId="77777777" w:rsidR="002927D9" w:rsidRPr="00CA11E8" w:rsidRDefault="002927D9" w:rsidP="00CD5E09">
            <w:pPr>
              <w:pStyle w:val="table-text-0"/>
              <w:spacing w:before="0"/>
              <w:ind w:firstLine="0"/>
              <w:rPr>
                <w:sz w:val="22"/>
                <w:szCs w:val="22"/>
              </w:rPr>
            </w:pPr>
            <w:r w:rsidRPr="00CA11E8">
              <w:rPr>
                <w:sz w:val="22"/>
                <w:szCs w:val="22"/>
              </w:rPr>
              <w:t>Септический шок при переливании инфицированного компонента крови</w:t>
            </w:r>
          </w:p>
        </w:tc>
        <w:tc>
          <w:tcPr>
            <w:tcW w:w="2520" w:type="dxa"/>
          </w:tcPr>
          <w:p w14:paraId="27131E2C" w14:textId="77777777" w:rsidR="002927D9" w:rsidRPr="00CA11E8" w:rsidRDefault="002927D9" w:rsidP="00CD5E09">
            <w:pPr>
              <w:pStyle w:val="table-text-0"/>
              <w:spacing w:before="0"/>
              <w:ind w:firstLine="0"/>
              <w:rPr>
                <w:sz w:val="22"/>
                <w:szCs w:val="22"/>
              </w:rPr>
            </w:pPr>
            <w:r w:rsidRPr="00CA11E8">
              <w:rPr>
                <w:sz w:val="22"/>
                <w:szCs w:val="22"/>
              </w:rPr>
              <w:t>Антибактериальная терапия широкого спектра действия, противошоковая терапия</w:t>
            </w:r>
          </w:p>
        </w:tc>
        <w:tc>
          <w:tcPr>
            <w:tcW w:w="2284" w:type="dxa"/>
          </w:tcPr>
          <w:p w14:paraId="23793E0D" w14:textId="77777777" w:rsidR="002927D9" w:rsidRPr="00CA11E8" w:rsidRDefault="002927D9" w:rsidP="00CD5E09">
            <w:pPr>
              <w:pStyle w:val="table-text-0"/>
              <w:spacing w:before="0"/>
              <w:ind w:firstLine="0"/>
              <w:rPr>
                <w:sz w:val="22"/>
                <w:szCs w:val="22"/>
              </w:rPr>
            </w:pPr>
            <w:r w:rsidRPr="00CA11E8">
              <w:rPr>
                <w:sz w:val="22"/>
                <w:szCs w:val="22"/>
              </w:rPr>
              <w:t>Обязательные: бактериологическое исследование крови</w:t>
            </w:r>
          </w:p>
        </w:tc>
      </w:tr>
      <w:tr w:rsidR="002927D9" w:rsidRPr="004C7AAC" w14:paraId="1E1126EC" w14:textId="77777777" w:rsidTr="00CD5E09">
        <w:trPr>
          <w:jc w:val="center"/>
        </w:trPr>
        <w:tc>
          <w:tcPr>
            <w:tcW w:w="2110" w:type="dxa"/>
            <w:vMerge/>
          </w:tcPr>
          <w:p w14:paraId="3CBFFE27" w14:textId="77777777" w:rsidR="002927D9" w:rsidRPr="00CA11E8" w:rsidRDefault="002927D9" w:rsidP="00CD5E09">
            <w:pPr>
              <w:pStyle w:val="table-text-0"/>
              <w:spacing w:before="0"/>
              <w:ind w:firstLine="0"/>
              <w:rPr>
                <w:sz w:val="22"/>
                <w:szCs w:val="22"/>
              </w:rPr>
            </w:pPr>
          </w:p>
        </w:tc>
        <w:tc>
          <w:tcPr>
            <w:tcW w:w="2340" w:type="dxa"/>
          </w:tcPr>
          <w:p w14:paraId="2C86050C" w14:textId="77777777" w:rsidR="002927D9" w:rsidRPr="00CA11E8" w:rsidRDefault="002927D9" w:rsidP="00CD5E09">
            <w:pPr>
              <w:pStyle w:val="table-text-0"/>
              <w:spacing w:before="0"/>
              <w:ind w:firstLine="0"/>
              <w:rPr>
                <w:sz w:val="22"/>
                <w:szCs w:val="22"/>
              </w:rPr>
            </w:pPr>
            <w:r w:rsidRPr="00CA11E8">
              <w:rPr>
                <w:sz w:val="22"/>
                <w:szCs w:val="22"/>
              </w:rPr>
              <w:t>Перегрузка железом (гемосидероз) органов в результате множественных переливаний эритроцитов</w:t>
            </w:r>
          </w:p>
        </w:tc>
        <w:tc>
          <w:tcPr>
            <w:tcW w:w="2520" w:type="dxa"/>
          </w:tcPr>
          <w:p w14:paraId="2C7C5FE6" w14:textId="77777777" w:rsidR="002927D9" w:rsidRPr="00CA11E8" w:rsidRDefault="002927D9" w:rsidP="00CD5E09">
            <w:pPr>
              <w:pStyle w:val="table-text-0"/>
              <w:spacing w:before="0"/>
              <w:ind w:firstLine="0"/>
              <w:rPr>
                <w:sz w:val="22"/>
                <w:szCs w:val="22"/>
              </w:rPr>
            </w:pPr>
            <w:r w:rsidRPr="00CA11E8">
              <w:rPr>
                <w:sz w:val="22"/>
                <w:szCs w:val="22"/>
              </w:rPr>
              <w:t>Комплексообразующие средства (деферазирокс, 15—20 мг/кг или другой препарат с аналогичным действием)</w:t>
            </w:r>
          </w:p>
        </w:tc>
        <w:tc>
          <w:tcPr>
            <w:tcW w:w="2284" w:type="dxa"/>
          </w:tcPr>
          <w:p w14:paraId="3A77B96C" w14:textId="77777777" w:rsidR="002927D9" w:rsidRPr="00CA11E8" w:rsidRDefault="002927D9" w:rsidP="00CD5E09">
            <w:pPr>
              <w:pStyle w:val="table-text-0"/>
              <w:spacing w:before="0"/>
              <w:ind w:firstLine="0"/>
              <w:rPr>
                <w:sz w:val="22"/>
                <w:szCs w:val="22"/>
              </w:rPr>
            </w:pPr>
            <w:r w:rsidRPr="00CA11E8">
              <w:rPr>
                <w:sz w:val="22"/>
                <w:szCs w:val="22"/>
              </w:rPr>
              <w:t>Обязательные: определение уровня ферритина в сыворотке (не должен превышать 1000 мкг/л)</w:t>
            </w:r>
          </w:p>
        </w:tc>
      </w:tr>
    </w:tbl>
    <w:p w14:paraId="130EF88A" w14:textId="77777777" w:rsidR="002927D9" w:rsidRPr="008E43BE" w:rsidRDefault="002927D9" w:rsidP="002927D9">
      <w:pPr>
        <w:rPr>
          <w:sz w:val="20"/>
        </w:rPr>
      </w:pPr>
      <w:r w:rsidRPr="008E43BE">
        <w:rPr>
          <w:sz w:val="20"/>
        </w:rPr>
        <w:t>* Контейнер с компонентом крови, при трансфузии которого возникла реакция или осложнение, передается в установленном порядке для оценки параметров качества и безопасности.</w:t>
      </w:r>
    </w:p>
    <w:p w14:paraId="40618094" w14:textId="77777777" w:rsidR="002927D9" w:rsidRDefault="002927D9" w:rsidP="002927D9">
      <w:pPr>
        <w:ind w:firstLine="708"/>
        <w:rPr>
          <w:szCs w:val="24"/>
        </w:rPr>
      </w:pPr>
    </w:p>
    <w:p w14:paraId="778E7B50" w14:textId="77777777" w:rsidR="002927D9" w:rsidRDefault="002927D9" w:rsidP="002927D9">
      <w:pPr>
        <w:ind w:firstLine="708"/>
        <w:rPr>
          <w:szCs w:val="24"/>
        </w:rPr>
      </w:pPr>
      <w:r w:rsidRPr="002D194B">
        <w:rPr>
          <w:szCs w:val="24"/>
        </w:rPr>
        <w:t>Степень тяжести посттрансфузионных реакции и осложнений можно определить по шкале</w:t>
      </w:r>
      <w:r>
        <w:rPr>
          <w:szCs w:val="24"/>
        </w:rPr>
        <w:t>,</w:t>
      </w:r>
      <w:r w:rsidRPr="002D194B">
        <w:rPr>
          <w:szCs w:val="24"/>
        </w:rPr>
        <w:t xml:space="preserve"> приведенной в табл</w:t>
      </w:r>
      <w:r>
        <w:rPr>
          <w:szCs w:val="24"/>
        </w:rPr>
        <w:t>. </w:t>
      </w:r>
      <w:r w:rsidRPr="002D194B">
        <w:rPr>
          <w:szCs w:val="24"/>
        </w:rPr>
        <w:t>4.</w:t>
      </w:r>
    </w:p>
    <w:p w14:paraId="301DAC31" w14:textId="77777777" w:rsidR="002927D9" w:rsidRDefault="002927D9" w:rsidP="002927D9">
      <w:pPr>
        <w:rPr>
          <w:bCs/>
          <w:szCs w:val="24"/>
        </w:rPr>
      </w:pPr>
    </w:p>
    <w:p w14:paraId="7D639EA7" w14:textId="77777777" w:rsidR="002927D9" w:rsidRPr="008E43BE" w:rsidRDefault="002927D9" w:rsidP="002927D9">
      <w:pPr>
        <w:rPr>
          <w:szCs w:val="24"/>
        </w:rPr>
      </w:pPr>
      <w:r w:rsidRPr="008E43BE">
        <w:rPr>
          <w:bCs/>
          <w:szCs w:val="24"/>
        </w:rPr>
        <w:t>Таблица 4. Шкала степени тяжести реакции или осложнения</w:t>
      </w:r>
    </w:p>
    <w:tbl>
      <w:tblPr>
        <w:tblW w:w="918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00"/>
        <w:gridCol w:w="7380"/>
      </w:tblGrid>
      <w:tr w:rsidR="002927D9" w:rsidRPr="004C7AAC" w14:paraId="635AD710" w14:textId="77777777" w:rsidTr="00CD5E09">
        <w:tc>
          <w:tcPr>
            <w:tcW w:w="1800" w:type="dxa"/>
          </w:tcPr>
          <w:p w14:paraId="71CA581D" w14:textId="77777777" w:rsidR="002927D9" w:rsidRPr="002F2E09" w:rsidRDefault="002927D9" w:rsidP="00CD5E09">
            <w:pPr>
              <w:pStyle w:val="Table-head-italic"/>
              <w:rPr>
                <w:i w:val="0"/>
                <w:sz w:val="22"/>
                <w:szCs w:val="22"/>
                <w:lang w:val="ru-RU"/>
              </w:rPr>
            </w:pPr>
            <w:r w:rsidRPr="002F2E09">
              <w:rPr>
                <w:i w:val="0"/>
                <w:sz w:val="22"/>
                <w:szCs w:val="22"/>
                <w:lang w:val="ru-RU"/>
              </w:rPr>
              <w:t>Категори</w:t>
            </w:r>
            <w:r>
              <w:rPr>
                <w:i w:val="0"/>
                <w:sz w:val="22"/>
                <w:szCs w:val="22"/>
                <w:lang w:val="ru-RU"/>
              </w:rPr>
              <w:t>я</w:t>
            </w:r>
          </w:p>
        </w:tc>
        <w:tc>
          <w:tcPr>
            <w:tcW w:w="7380" w:type="dxa"/>
          </w:tcPr>
          <w:p w14:paraId="7AA33CA7" w14:textId="77777777" w:rsidR="002927D9" w:rsidRPr="002F2E09" w:rsidRDefault="002927D9" w:rsidP="00CD5E09">
            <w:pPr>
              <w:pStyle w:val="Table-head-italic"/>
              <w:rPr>
                <w:i w:val="0"/>
                <w:sz w:val="22"/>
                <w:szCs w:val="22"/>
                <w:lang w:val="ru-RU"/>
              </w:rPr>
            </w:pPr>
            <w:r>
              <w:rPr>
                <w:i w:val="0"/>
                <w:sz w:val="22"/>
                <w:szCs w:val="22"/>
                <w:lang w:val="ru-RU"/>
              </w:rPr>
              <w:t>Определение</w:t>
            </w:r>
          </w:p>
        </w:tc>
      </w:tr>
      <w:tr w:rsidR="002927D9" w:rsidRPr="004C7AAC" w14:paraId="24768734" w14:textId="77777777" w:rsidTr="00CD5E09">
        <w:tc>
          <w:tcPr>
            <w:tcW w:w="1800" w:type="dxa"/>
          </w:tcPr>
          <w:p w14:paraId="2EF97F85" w14:textId="77777777" w:rsidR="002927D9" w:rsidRPr="002F2E09" w:rsidRDefault="002927D9" w:rsidP="00CD5E09">
            <w:pPr>
              <w:pStyle w:val="table-text-0"/>
              <w:spacing w:before="0"/>
              <w:ind w:firstLine="0"/>
              <w:rPr>
                <w:sz w:val="22"/>
                <w:szCs w:val="22"/>
              </w:rPr>
            </w:pPr>
            <w:r w:rsidRPr="002F2E09">
              <w:rPr>
                <w:sz w:val="22"/>
                <w:szCs w:val="22"/>
              </w:rPr>
              <w:t>0</w:t>
            </w:r>
          </w:p>
        </w:tc>
        <w:tc>
          <w:tcPr>
            <w:tcW w:w="7380" w:type="dxa"/>
          </w:tcPr>
          <w:p w14:paraId="349DCAB6" w14:textId="77777777" w:rsidR="002927D9" w:rsidRPr="002F2E09" w:rsidRDefault="002927D9" w:rsidP="00CD5E09">
            <w:pPr>
              <w:pStyle w:val="table-text-0"/>
              <w:spacing w:before="0"/>
              <w:ind w:firstLine="0"/>
              <w:rPr>
                <w:sz w:val="22"/>
                <w:szCs w:val="22"/>
              </w:rPr>
            </w:pPr>
            <w:r w:rsidRPr="002F2E09">
              <w:rPr>
                <w:sz w:val="22"/>
                <w:szCs w:val="22"/>
              </w:rPr>
              <w:t>Реакци</w:t>
            </w:r>
            <w:r>
              <w:rPr>
                <w:sz w:val="22"/>
                <w:szCs w:val="22"/>
              </w:rPr>
              <w:t>и</w:t>
            </w:r>
            <w:r w:rsidRPr="002F2E09">
              <w:rPr>
                <w:sz w:val="22"/>
                <w:szCs w:val="22"/>
              </w:rPr>
              <w:t xml:space="preserve"> и осложнений нет</w:t>
            </w:r>
          </w:p>
        </w:tc>
      </w:tr>
      <w:tr w:rsidR="002927D9" w:rsidRPr="004C7AAC" w14:paraId="21D21BA8" w14:textId="77777777" w:rsidTr="00CD5E09">
        <w:tc>
          <w:tcPr>
            <w:tcW w:w="1800" w:type="dxa"/>
          </w:tcPr>
          <w:p w14:paraId="722D9C9F" w14:textId="77777777" w:rsidR="002927D9" w:rsidRPr="002F2E09" w:rsidRDefault="002927D9" w:rsidP="00CD5E09">
            <w:pPr>
              <w:pStyle w:val="table-text-0"/>
              <w:spacing w:before="0"/>
              <w:ind w:firstLine="0"/>
              <w:rPr>
                <w:sz w:val="22"/>
                <w:szCs w:val="22"/>
              </w:rPr>
            </w:pPr>
            <w:r w:rsidRPr="002F2E09">
              <w:rPr>
                <w:sz w:val="22"/>
                <w:szCs w:val="22"/>
              </w:rPr>
              <w:t>1</w:t>
            </w:r>
          </w:p>
        </w:tc>
        <w:tc>
          <w:tcPr>
            <w:tcW w:w="7380" w:type="dxa"/>
          </w:tcPr>
          <w:p w14:paraId="5ADE6B95" w14:textId="77777777" w:rsidR="002927D9" w:rsidRPr="002F2E09" w:rsidRDefault="002927D9" w:rsidP="00CD5E09">
            <w:pPr>
              <w:pStyle w:val="table-text-0"/>
              <w:spacing w:before="0"/>
              <w:ind w:firstLine="0"/>
              <w:rPr>
                <w:sz w:val="22"/>
                <w:szCs w:val="22"/>
              </w:rPr>
            </w:pPr>
            <w:r w:rsidRPr="002F2E09">
              <w:rPr>
                <w:sz w:val="22"/>
                <w:szCs w:val="22"/>
              </w:rPr>
              <w:t>Легкой степени: температура &lt;</w:t>
            </w:r>
            <w:r>
              <w:rPr>
                <w:sz w:val="22"/>
                <w:szCs w:val="22"/>
              </w:rPr>
              <w:t> </w:t>
            </w:r>
            <w:r w:rsidRPr="002F2E09">
              <w:rPr>
                <w:sz w:val="22"/>
                <w:szCs w:val="22"/>
              </w:rPr>
              <w:t>38</w:t>
            </w:r>
            <w:r w:rsidRPr="003511FE">
              <w:rPr>
                <w:rFonts w:ascii="Symbol" w:hAnsi="Symbol" w:cs="Symbol"/>
              </w:rPr>
              <w:t></w:t>
            </w:r>
            <w:r>
              <w:rPr>
                <w:sz w:val="22"/>
                <w:szCs w:val="22"/>
              </w:rPr>
              <w:t>C</w:t>
            </w:r>
            <w:r w:rsidRPr="002F2E09">
              <w:rPr>
                <w:sz w:val="22"/>
                <w:szCs w:val="22"/>
              </w:rPr>
              <w:t xml:space="preserve">, другие незначительные симптомы, без долгосрочных </w:t>
            </w:r>
            <w:r>
              <w:rPr>
                <w:sz w:val="22"/>
                <w:szCs w:val="22"/>
              </w:rPr>
              <w:t xml:space="preserve">патологических </w:t>
            </w:r>
            <w:r w:rsidRPr="002F2E09">
              <w:rPr>
                <w:sz w:val="22"/>
                <w:szCs w:val="22"/>
              </w:rPr>
              <w:t xml:space="preserve">последствий. </w:t>
            </w:r>
            <w:r w:rsidRPr="002F2E09">
              <w:rPr>
                <w:sz w:val="22"/>
                <w:szCs w:val="22"/>
                <w:u w:val="single"/>
              </w:rPr>
              <w:t>Не требует</w:t>
            </w:r>
            <w:r>
              <w:rPr>
                <w:sz w:val="22"/>
                <w:szCs w:val="22"/>
                <w:u w:val="single"/>
              </w:rPr>
              <w:t xml:space="preserve"> </w:t>
            </w:r>
            <w:r w:rsidRPr="002F2E09">
              <w:rPr>
                <w:sz w:val="22"/>
                <w:szCs w:val="22"/>
                <w:u w:val="single"/>
              </w:rPr>
              <w:t>терапевтического вмешательства</w:t>
            </w:r>
          </w:p>
        </w:tc>
      </w:tr>
      <w:tr w:rsidR="002927D9" w:rsidRPr="004C7AAC" w14:paraId="703EA42F" w14:textId="77777777" w:rsidTr="00CD5E09">
        <w:tc>
          <w:tcPr>
            <w:tcW w:w="1800" w:type="dxa"/>
          </w:tcPr>
          <w:p w14:paraId="147BBE6C" w14:textId="77777777" w:rsidR="002927D9" w:rsidRPr="002F2E09" w:rsidRDefault="002927D9" w:rsidP="00CD5E09">
            <w:pPr>
              <w:pStyle w:val="table-text-0"/>
              <w:spacing w:before="0"/>
              <w:ind w:firstLine="0"/>
              <w:rPr>
                <w:sz w:val="22"/>
                <w:szCs w:val="22"/>
              </w:rPr>
            </w:pPr>
            <w:r w:rsidRPr="002F2E09">
              <w:rPr>
                <w:sz w:val="22"/>
                <w:szCs w:val="22"/>
              </w:rPr>
              <w:t>2</w:t>
            </w:r>
          </w:p>
        </w:tc>
        <w:tc>
          <w:tcPr>
            <w:tcW w:w="7380" w:type="dxa"/>
          </w:tcPr>
          <w:p w14:paraId="6A44E629" w14:textId="77777777" w:rsidR="002927D9" w:rsidRPr="002F2E09" w:rsidRDefault="002927D9" w:rsidP="00CD5E09">
            <w:pPr>
              <w:pStyle w:val="table-text-0"/>
              <w:spacing w:before="0"/>
              <w:ind w:firstLine="0"/>
              <w:rPr>
                <w:sz w:val="22"/>
                <w:szCs w:val="22"/>
              </w:rPr>
            </w:pPr>
            <w:r w:rsidRPr="002F2E09">
              <w:rPr>
                <w:sz w:val="22"/>
                <w:szCs w:val="22"/>
              </w:rPr>
              <w:t>Средней степени: симптомы, требующие терапевтического вмешательства, стабильные гемодинамические и вентиляционные показатели, возможны долгосрочные последствия (например</w:t>
            </w:r>
            <w:r>
              <w:rPr>
                <w:sz w:val="22"/>
                <w:szCs w:val="22"/>
              </w:rPr>
              <w:t>,</w:t>
            </w:r>
            <w:r w:rsidRPr="002F2E09">
              <w:rPr>
                <w:sz w:val="22"/>
                <w:szCs w:val="22"/>
              </w:rPr>
              <w:t xml:space="preserve"> аллосенсибилизация в качестве причины рефрактерности к трансфузиям)</w:t>
            </w:r>
          </w:p>
        </w:tc>
      </w:tr>
      <w:tr w:rsidR="002927D9" w:rsidRPr="004C7AAC" w14:paraId="3C9DCA9C" w14:textId="77777777" w:rsidTr="00CD5E09">
        <w:tc>
          <w:tcPr>
            <w:tcW w:w="1800" w:type="dxa"/>
          </w:tcPr>
          <w:p w14:paraId="2E2D917E" w14:textId="77777777" w:rsidR="002927D9" w:rsidRPr="002F2E09" w:rsidRDefault="002927D9" w:rsidP="00CD5E09">
            <w:pPr>
              <w:pStyle w:val="table-text-0"/>
              <w:spacing w:before="0"/>
              <w:ind w:firstLine="0"/>
              <w:rPr>
                <w:sz w:val="22"/>
                <w:szCs w:val="22"/>
              </w:rPr>
            </w:pPr>
            <w:r w:rsidRPr="002F2E09">
              <w:rPr>
                <w:sz w:val="22"/>
                <w:szCs w:val="22"/>
              </w:rPr>
              <w:t>3</w:t>
            </w:r>
          </w:p>
        </w:tc>
        <w:tc>
          <w:tcPr>
            <w:tcW w:w="7380" w:type="dxa"/>
          </w:tcPr>
          <w:p w14:paraId="25335056" w14:textId="77777777" w:rsidR="002927D9" w:rsidRPr="002F2E09" w:rsidRDefault="002927D9" w:rsidP="00CD5E09">
            <w:pPr>
              <w:pStyle w:val="table-text-0"/>
              <w:spacing w:before="0"/>
              <w:ind w:firstLine="0"/>
              <w:rPr>
                <w:sz w:val="22"/>
                <w:szCs w:val="22"/>
              </w:rPr>
            </w:pPr>
            <w:r w:rsidRPr="002F2E09">
              <w:rPr>
                <w:sz w:val="22"/>
                <w:szCs w:val="22"/>
              </w:rPr>
              <w:t>Тяжелой степени (непосредственная угроза жизни реципиента): нестабильные гемодинамичес</w:t>
            </w:r>
            <w:r>
              <w:rPr>
                <w:sz w:val="22"/>
                <w:szCs w:val="22"/>
              </w:rPr>
              <w:t>кие и вентиляционные показатели</w:t>
            </w:r>
          </w:p>
        </w:tc>
      </w:tr>
      <w:tr w:rsidR="002927D9" w:rsidRPr="00CA11E8" w14:paraId="64F34E51" w14:textId="77777777" w:rsidTr="00CD5E09">
        <w:tc>
          <w:tcPr>
            <w:tcW w:w="1800" w:type="dxa"/>
          </w:tcPr>
          <w:p w14:paraId="0C729492" w14:textId="77777777" w:rsidR="002927D9" w:rsidRPr="00CA11E8" w:rsidRDefault="002927D9" w:rsidP="00CD5E09">
            <w:pPr>
              <w:pStyle w:val="table-text-0"/>
              <w:spacing w:before="0"/>
              <w:ind w:firstLine="0"/>
              <w:rPr>
                <w:sz w:val="22"/>
                <w:szCs w:val="22"/>
              </w:rPr>
            </w:pPr>
            <w:r w:rsidRPr="00CA11E8">
              <w:rPr>
                <w:sz w:val="22"/>
                <w:szCs w:val="22"/>
              </w:rPr>
              <w:t>4</w:t>
            </w:r>
          </w:p>
        </w:tc>
        <w:tc>
          <w:tcPr>
            <w:tcW w:w="7380" w:type="dxa"/>
          </w:tcPr>
          <w:p w14:paraId="22BA6CF9" w14:textId="77777777" w:rsidR="002927D9" w:rsidRPr="00CA11E8" w:rsidRDefault="002927D9" w:rsidP="00CD5E09">
            <w:pPr>
              <w:pStyle w:val="table-text-0"/>
              <w:spacing w:before="0"/>
              <w:ind w:firstLine="0"/>
              <w:rPr>
                <w:sz w:val="22"/>
                <w:szCs w:val="22"/>
              </w:rPr>
            </w:pPr>
            <w:r w:rsidRPr="00CA11E8">
              <w:rPr>
                <w:sz w:val="22"/>
                <w:szCs w:val="22"/>
              </w:rPr>
              <w:t>Смерть от осложнения, выявленного в первые 24 часов после трансфузии</w:t>
            </w:r>
          </w:p>
        </w:tc>
      </w:tr>
    </w:tbl>
    <w:p w14:paraId="65106CAA" w14:textId="77777777" w:rsidR="002927D9" w:rsidRDefault="002927D9" w:rsidP="002927D9">
      <w:pPr>
        <w:jc w:val="center"/>
        <w:rPr>
          <w:b/>
          <w:bCs/>
          <w:szCs w:val="24"/>
        </w:rPr>
      </w:pPr>
    </w:p>
    <w:p w14:paraId="42259D89" w14:textId="77777777" w:rsidR="002927D9" w:rsidRPr="00360841" w:rsidRDefault="002927D9" w:rsidP="002927D9">
      <w:pPr>
        <w:rPr>
          <w:bCs/>
          <w:i/>
          <w:szCs w:val="24"/>
          <w:u w:val="single"/>
        </w:rPr>
      </w:pPr>
      <w:r w:rsidRPr="00360841">
        <w:rPr>
          <w:bCs/>
          <w:i/>
          <w:szCs w:val="24"/>
          <w:u w:val="single"/>
        </w:rPr>
        <w:t>Премедикация перед проведением трансфузии компонентов донорской крови</w:t>
      </w:r>
    </w:p>
    <w:p w14:paraId="38195A33" w14:textId="77777777" w:rsidR="002927D9" w:rsidRDefault="002927D9" w:rsidP="002927D9">
      <w:pPr>
        <w:ind w:firstLine="709"/>
        <w:rPr>
          <w:bCs/>
          <w:szCs w:val="24"/>
        </w:rPr>
      </w:pPr>
      <w:r>
        <w:rPr>
          <w:bCs/>
          <w:szCs w:val="24"/>
        </w:rPr>
        <w:t xml:space="preserve">Для профилактики нежелательных реакций на трансфузию при неоднократном проведении трансфузий компонентов крови может потребоваться премедикация. </w:t>
      </w:r>
      <w:r w:rsidRPr="00BC3659">
        <w:rPr>
          <w:bCs/>
          <w:szCs w:val="24"/>
        </w:rPr>
        <w:t xml:space="preserve">Алгоритм </w:t>
      </w:r>
      <w:r w:rsidRPr="00BC3659">
        <w:rPr>
          <w:bCs/>
          <w:szCs w:val="24"/>
        </w:rPr>
        <w:lastRenderedPageBreak/>
        <w:t>выбора премедикации перед проведением трансфузии компонентов донорской крови</w:t>
      </w:r>
      <w:r>
        <w:rPr>
          <w:bCs/>
          <w:szCs w:val="24"/>
        </w:rPr>
        <w:t xml:space="preserve"> приведен в табл.5.</w:t>
      </w:r>
    </w:p>
    <w:p w14:paraId="3FA630AB" w14:textId="77777777" w:rsidR="002927D9" w:rsidRDefault="002927D9" w:rsidP="002927D9">
      <w:pPr>
        <w:rPr>
          <w:bCs/>
          <w:szCs w:val="24"/>
        </w:rPr>
      </w:pPr>
    </w:p>
    <w:p w14:paraId="65A5D74D" w14:textId="77777777" w:rsidR="002927D9" w:rsidRPr="00BC3659" w:rsidRDefault="002927D9" w:rsidP="002927D9">
      <w:pPr>
        <w:rPr>
          <w:bCs/>
          <w:szCs w:val="24"/>
        </w:rPr>
      </w:pPr>
      <w:r>
        <w:rPr>
          <w:bCs/>
          <w:szCs w:val="24"/>
        </w:rPr>
        <w:t>Таблица 5. В</w:t>
      </w:r>
      <w:r w:rsidRPr="00BC3659">
        <w:rPr>
          <w:bCs/>
          <w:szCs w:val="24"/>
        </w:rPr>
        <w:t>ыбор премедикации перед проведением трансфузии компонентов донорской крови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2"/>
        <w:gridCol w:w="2550"/>
        <w:gridCol w:w="4526"/>
      </w:tblGrid>
      <w:tr w:rsidR="002927D9" w:rsidRPr="00915AAD" w14:paraId="3538CFA8" w14:textId="77777777" w:rsidTr="00CD5E09">
        <w:tc>
          <w:tcPr>
            <w:tcW w:w="3208" w:type="dxa"/>
            <w:shd w:val="clear" w:color="auto" w:fill="auto"/>
          </w:tcPr>
          <w:p w14:paraId="2641943E" w14:textId="77777777" w:rsidR="002927D9" w:rsidRPr="007A2B03" w:rsidRDefault="002927D9" w:rsidP="00CD5E09">
            <w:pPr>
              <w:jc w:val="center"/>
              <w:rPr>
                <w:bCs/>
              </w:rPr>
            </w:pPr>
            <w:r w:rsidRPr="007A2B03">
              <w:rPr>
                <w:bCs/>
              </w:rPr>
              <w:t>Вид реакции или осложнения, связанный с переливанием донорской крови и/или её компонентов, зафиксированных при предыдущих трансфузиях</w:t>
            </w:r>
          </w:p>
        </w:tc>
        <w:tc>
          <w:tcPr>
            <w:tcW w:w="3082" w:type="dxa"/>
            <w:shd w:val="clear" w:color="auto" w:fill="auto"/>
          </w:tcPr>
          <w:p w14:paraId="3CE0DE3F" w14:textId="77777777" w:rsidR="002927D9" w:rsidRPr="007A2B03" w:rsidRDefault="002927D9" w:rsidP="00CD5E09">
            <w:pPr>
              <w:jc w:val="center"/>
              <w:rPr>
                <w:bCs/>
              </w:rPr>
            </w:pPr>
            <w:r w:rsidRPr="007A2B03">
              <w:rPr>
                <w:bCs/>
              </w:rPr>
              <w:t>Наименование компонента донорской крови, показанного для предстоящей трансфузии</w:t>
            </w:r>
          </w:p>
        </w:tc>
        <w:tc>
          <w:tcPr>
            <w:tcW w:w="8270" w:type="dxa"/>
            <w:shd w:val="clear" w:color="auto" w:fill="auto"/>
          </w:tcPr>
          <w:p w14:paraId="19BAFAEB" w14:textId="77777777" w:rsidR="002927D9" w:rsidRPr="007A2B03" w:rsidRDefault="002927D9" w:rsidP="00CD5E09">
            <w:pPr>
              <w:jc w:val="center"/>
              <w:rPr>
                <w:bCs/>
              </w:rPr>
            </w:pPr>
            <w:r w:rsidRPr="007A2B03">
              <w:rPr>
                <w:bCs/>
              </w:rPr>
              <w:t>Премедикация перед предстоящей трансфузией</w:t>
            </w:r>
          </w:p>
        </w:tc>
      </w:tr>
      <w:tr w:rsidR="002927D9" w:rsidRPr="00915AAD" w14:paraId="44BDDACF" w14:textId="77777777" w:rsidTr="00CD5E09">
        <w:tc>
          <w:tcPr>
            <w:tcW w:w="14560" w:type="dxa"/>
            <w:gridSpan w:val="3"/>
            <w:shd w:val="clear" w:color="auto" w:fill="auto"/>
          </w:tcPr>
          <w:p w14:paraId="5F83220B" w14:textId="77777777" w:rsidR="002927D9" w:rsidRPr="007A2B03" w:rsidRDefault="002927D9" w:rsidP="00CD5E09">
            <w:pPr>
              <w:jc w:val="center"/>
              <w:rPr>
                <w:b/>
                <w:bCs/>
              </w:rPr>
            </w:pPr>
            <w:r w:rsidRPr="007A2B03">
              <w:rPr>
                <w:b/>
                <w:bCs/>
              </w:rPr>
              <w:t>А. Пациент без трансфузий донорской крови и/или её компонентов в анамнезе</w:t>
            </w:r>
          </w:p>
        </w:tc>
      </w:tr>
      <w:tr w:rsidR="002927D9" w:rsidRPr="00915AAD" w14:paraId="2DE33035" w14:textId="77777777" w:rsidTr="00CD5E09">
        <w:tc>
          <w:tcPr>
            <w:tcW w:w="3208" w:type="dxa"/>
            <w:shd w:val="clear" w:color="auto" w:fill="auto"/>
          </w:tcPr>
          <w:p w14:paraId="428016BC" w14:textId="77777777" w:rsidR="002927D9" w:rsidRPr="007A2B03" w:rsidRDefault="002927D9" w:rsidP="00CD5E09">
            <w:r w:rsidRPr="007A2B03">
              <w:t>-</w:t>
            </w:r>
          </w:p>
        </w:tc>
        <w:tc>
          <w:tcPr>
            <w:tcW w:w="3082" w:type="dxa"/>
            <w:shd w:val="clear" w:color="auto" w:fill="auto"/>
          </w:tcPr>
          <w:p w14:paraId="46F4F47A" w14:textId="77777777" w:rsidR="002927D9" w:rsidRPr="007A2B03" w:rsidRDefault="002927D9" w:rsidP="00CD5E09">
            <w:r w:rsidRPr="007A2B03">
              <w:t>Любой компонент донорской крови</w:t>
            </w:r>
          </w:p>
        </w:tc>
        <w:tc>
          <w:tcPr>
            <w:tcW w:w="8270" w:type="dxa"/>
            <w:shd w:val="clear" w:color="auto" w:fill="auto"/>
          </w:tcPr>
          <w:p w14:paraId="3E53BF6B" w14:textId="77777777" w:rsidR="002927D9" w:rsidRPr="007A2B03" w:rsidRDefault="002927D9" w:rsidP="00CD5E09">
            <w:r w:rsidRPr="007A2B03">
              <w:t>10 мл 10% кальция глюконата в 100 мл 0,9% раствора NaC</w:t>
            </w:r>
            <w:r w:rsidRPr="007A2B03">
              <w:rPr>
                <w:lang w:val="en-US"/>
              </w:rPr>
              <w:t>l</w:t>
            </w:r>
            <w:r w:rsidRPr="007A2B03">
              <w:t xml:space="preserve"> в/в капельно</w:t>
            </w:r>
          </w:p>
        </w:tc>
      </w:tr>
      <w:tr w:rsidR="002927D9" w:rsidRPr="00915AAD" w14:paraId="1796F028" w14:textId="77777777" w:rsidTr="00CD5E09">
        <w:tc>
          <w:tcPr>
            <w:tcW w:w="14560" w:type="dxa"/>
            <w:gridSpan w:val="3"/>
            <w:shd w:val="clear" w:color="auto" w:fill="auto"/>
          </w:tcPr>
          <w:p w14:paraId="7FBD2DE7" w14:textId="77777777" w:rsidR="002927D9" w:rsidRPr="007A2B03" w:rsidRDefault="002927D9" w:rsidP="00CD5E09">
            <w:pPr>
              <w:jc w:val="center"/>
              <w:rPr>
                <w:b/>
                <w:bCs/>
              </w:rPr>
            </w:pPr>
            <w:r w:rsidRPr="007A2B03">
              <w:rPr>
                <w:b/>
                <w:bCs/>
              </w:rPr>
              <w:t>Б. Пациент с трансфузией донорской крови и/или её компонентов без реакций или осложнений в анамнезе*</w:t>
            </w:r>
          </w:p>
        </w:tc>
      </w:tr>
      <w:tr w:rsidR="002927D9" w:rsidRPr="00915AAD" w14:paraId="198BEB19" w14:textId="77777777" w:rsidTr="00CD5E09">
        <w:tc>
          <w:tcPr>
            <w:tcW w:w="3208" w:type="dxa"/>
            <w:shd w:val="clear" w:color="auto" w:fill="auto"/>
          </w:tcPr>
          <w:p w14:paraId="1487DE1D" w14:textId="77777777" w:rsidR="002927D9" w:rsidRPr="007A2B03" w:rsidRDefault="002927D9" w:rsidP="00CD5E09">
            <w:r w:rsidRPr="007A2B03">
              <w:t>-</w:t>
            </w:r>
          </w:p>
        </w:tc>
        <w:tc>
          <w:tcPr>
            <w:tcW w:w="3082" w:type="dxa"/>
            <w:shd w:val="clear" w:color="auto" w:fill="auto"/>
          </w:tcPr>
          <w:p w14:paraId="3B60BF20" w14:textId="77777777" w:rsidR="002927D9" w:rsidRPr="007A2B03" w:rsidRDefault="002927D9" w:rsidP="00CD5E09">
            <w:r w:rsidRPr="007A2B03">
              <w:t>Любой компонент донорской крови</w:t>
            </w:r>
          </w:p>
        </w:tc>
        <w:tc>
          <w:tcPr>
            <w:tcW w:w="8270" w:type="dxa"/>
            <w:shd w:val="clear" w:color="auto" w:fill="auto"/>
          </w:tcPr>
          <w:p w14:paraId="0990F822" w14:textId="77777777" w:rsidR="002927D9" w:rsidRPr="007A2B03" w:rsidRDefault="002927D9" w:rsidP="00CD5E09">
            <w:r w:rsidRPr="007A2B03">
              <w:t>10 мл 10% кальция глюконата в 100 мл 0,9% раствора NaC</w:t>
            </w:r>
            <w:r w:rsidRPr="007A2B03">
              <w:rPr>
                <w:lang w:val="en-US"/>
              </w:rPr>
              <w:t>l</w:t>
            </w:r>
            <w:r w:rsidRPr="007A2B03">
              <w:t xml:space="preserve"> в/в капельно</w:t>
            </w:r>
          </w:p>
        </w:tc>
      </w:tr>
      <w:tr w:rsidR="002927D9" w:rsidRPr="00915AAD" w14:paraId="13B811B9" w14:textId="77777777" w:rsidTr="00CD5E09">
        <w:tc>
          <w:tcPr>
            <w:tcW w:w="14560" w:type="dxa"/>
            <w:gridSpan w:val="3"/>
            <w:shd w:val="clear" w:color="auto" w:fill="auto"/>
          </w:tcPr>
          <w:p w14:paraId="27C6E125" w14:textId="77777777" w:rsidR="002927D9" w:rsidRPr="007A2B03" w:rsidRDefault="002927D9" w:rsidP="00CD5E09">
            <w:pPr>
              <w:jc w:val="center"/>
              <w:rPr>
                <w:b/>
                <w:bCs/>
              </w:rPr>
            </w:pPr>
            <w:r w:rsidRPr="007A2B03">
              <w:rPr>
                <w:b/>
                <w:bCs/>
              </w:rPr>
              <w:t>В. Пациент с трансфузией донорской крови и/или её компонентов с реакциями или осложнениями на в анамнезе</w:t>
            </w:r>
          </w:p>
        </w:tc>
      </w:tr>
      <w:tr w:rsidR="002927D9" w:rsidRPr="00915AAD" w14:paraId="0BA53592" w14:textId="77777777" w:rsidTr="00CD5E09">
        <w:tc>
          <w:tcPr>
            <w:tcW w:w="14560" w:type="dxa"/>
            <w:gridSpan w:val="3"/>
            <w:shd w:val="clear" w:color="auto" w:fill="auto"/>
          </w:tcPr>
          <w:p w14:paraId="178CB269" w14:textId="77777777" w:rsidR="002927D9" w:rsidRPr="007A2B03" w:rsidRDefault="002927D9" w:rsidP="008C1767">
            <w:pPr>
              <w:pStyle w:val="afff3"/>
              <w:widowControl/>
              <w:numPr>
                <w:ilvl w:val="0"/>
                <w:numId w:val="67"/>
              </w:numPr>
              <w:autoSpaceDE/>
              <w:autoSpaceDN/>
              <w:adjustRightInd/>
              <w:rPr>
                <w:b/>
                <w:bCs/>
              </w:rPr>
            </w:pPr>
            <w:r w:rsidRPr="007A2B03">
              <w:rPr>
                <w:b/>
                <w:bCs/>
              </w:rPr>
              <w:t>Аллергические реакции (крапивница, бронхоспазм, отек Квинке, анафилактический шок и др.) в зависимости от степени тяжести</w:t>
            </w:r>
          </w:p>
        </w:tc>
      </w:tr>
      <w:tr w:rsidR="002927D9" w:rsidRPr="00915AAD" w14:paraId="2A16ED4F" w14:textId="77777777" w:rsidTr="00CD5E09">
        <w:tc>
          <w:tcPr>
            <w:tcW w:w="3208" w:type="dxa"/>
            <w:shd w:val="clear" w:color="auto" w:fill="auto"/>
          </w:tcPr>
          <w:p w14:paraId="5C04EA32" w14:textId="77777777" w:rsidR="002927D9" w:rsidRPr="007A2B03" w:rsidRDefault="002927D9" w:rsidP="008C1767">
            <w:pPr>
              <w:pStyle w:val="afff3"/>
              <w:widowControl/>
              <w:numPr>
                <w:ilvl w:val="0"/>
                <w:numId w:val="61"/>
              </w:numPr>
              <w:autoSpaceDE/>
              <w:autoSpaceDN/>
              <w:adjustRightInd/>
              <w:ind w:left="0"/>
            </w:pPr>
            <w:r w:rsidRPr="007A2B03">
              <w:t>Аллергические реакции легкой степени</w:t>
            </w:r>
          </w:p>
          <w:p w14:paraId="439956EE" w14:textId="77777777" w:rsidR="002927D9" w:rsidRPr="007A2B03" w:rsidRDefault="002927D9" w:rsidP="00CD5E09"/>
        </w:tc>
        <w:tc>
          <w:tcPr>
            <w:tcW w:w="3082" w:type="dxa"/>
            <w:shd w:val="clear" w:color="auto" w:fill="auto"/>
          </w:tcPr>
          <w:p w14:paraId="6CA8CF56" w14:textId="77777777" w:rsidR="002927D9" w:rsidRPr="007A2B03" w:rsidRDefault="002927D9" w:rsidP="00CD5E09">
            <w:r w:rsidRPr="007A2B03">
              <w:t>Любой компонент донорской крови</w:t>
            </w:r>
          </w:p>
        </w:tc>
        <w:tc>
          <w:tcPr>
            <w:tcW w:w="8270" w:type="dxa"/>
            <w:shd w:val="clear" w:color="auto" w:fill="auto"/>
          </w:tcPr>
          <w:p w14:paraId="2326FF25" w14:textId="77777777" w:rsidR="002927D9" w:rsidRPr="007A2B03" w:rsidRDefault="002927D9" w:rsidP="00CD5E09">
            <w:r w:rsidRPr="007A2B03">
              <w:t>10 мл 10% кальция глюконата в 100 мл 0,9% раствора NaC</w:t>
            </w:r>
            <w:r w:rsidRPr="007A2B03">
              <w:rPr>
                <w:lang w:val="en-US"/>
              </w:rPr>
              <w:t>l</w:t>
            </w:r>
            <w:r w:rsidRPr="007A2B03">
              <w:t xml:space="preserve"> в/в капельно</w:t>
            </w:r>
          </w:p>
        </w:tc>
      </w:tr>
      <w:tr w:rsidR="002927D9" w:rsidRPr="00915AAD" w14:paraId="5C482CA4" w14:textId="77777777" w:rsidTr="00CD5E09">
        <w:tc>
          <w:tcPr>
            <w:tcW w:w="3208" w:type="dxa"/>
            <w:vMerge w:val="restart"/>
            <w:shd w:val="clear" w:color="auto" w:fill="auto"/>
          </w:tcPr>
          <w:p w14:paraId="4C9AB263" w14:textId="77777777" w:rsidR="002927D9" w:rsidRPr="007A2B03" w:rsidRDefault="002927D9" w:rsidP="008C1767">
            <w:pPr>
              <w:pStyle w:val="afff3"/>
              <w:widowControl/>
              <w:numPr>
                <w:ilvl w:val="0"/>
                <w:numId w:val="61"/>
              </w:numPr>
              <w:autoSpaceDE/>
              <w:autoSpaceDN/>
              <w:adjustRightInd/>
              <w:ind w:left="0"/>
            </w:pPr>
            <w:r w:rsidRPr="007A2B03">
              <w:t xml:space="preserve">Аллергические реакции средней тяжести (протекающие без </w:t>
            </w:r>
            <w:r w:rsidRPr="007A2B03">
              <w:lastRenderedPageBreak/>
              <w:t>нарушений гемодинамических и вентиляционных показателей)</w:t>
            </w:r>
          </w:p>
        </w:tc>
        <w:tc>
          <w:tcPr>
            <w:tcW w:w="3082" w:type="dxa"/>
            <w:shd w:val="clear" w:color="auto" w:fill="auto"/>
          </w:tcPr>
          <w:p w14:paraId="65BA4CC4" w14:textId="77777777" w:rsidR="002927D9" w:rsidRPr="007A2B03" w:rsidRDefault="002927D9" w:rsidP="00CD5E09">
            <w:r w:rsidRPr="007A2B03">
              <w:lastRenderedPageBreak/>
              <w:t>Компонент донорской крови, вызвавший реакцию ранее</w:t>
            </w:r>
          </w:p>
        </w:tc>
        <w:tc>
          <w:tcPr>
            <w:tcW w:w="8270" w:type="dxa"/>
            <w:shd w:val="clear" w:color="auto" w:fill="auto"/>
          </w:tcPr>
          <w:p w14:paraId="371FDC03" w14:textId="77777777" w:rsidR="002927D9" w:rsidRPr="007A2B03" w:rsidRDefault="002927D9" w:rsidP="00CD5E09">
            <w:r w:rsidRPr="007A2B03">
              <w:t xml:space="preserve">10 мл 10% кальция глюконата и 2 мл клемастина гидрофумарата 1 мг/мл (либо 1 мл дифенгидрамина 10 мг/мл, либо 1 мл хлоропирамина 20 мг/мл) в 100 мл 0,9% </w:t>
            </w:r>
            <w:r w:rsidRPr="007A2B03">
              <w:lastRenderedPageBreak/>
              <w:t>раствора NaC</w:t>
            </w:r>
            <w:r w:rsidRPr="007A2B03">
              <w:rPr>
                <w:lang w:val="en-US"/>
              </w:rPr>
              <w:t>l</w:t>
            </w:r>
            <w:r w:rsidRPr="007A2B03">
              <w:t xml:space="preserve"> в/в капельно</w:t>
            </w:r>
          </w:p>
        </w:tc>
      </w:tr>
      <w:tr w:rsidR="002927D9" w:rsidRPr="00915AAD" w14:paraId="2BE8927D" w14:textId="77777777" w:rsidTr="00CD5E09">
        <w:tc>
          <w:tcPr>
            <w:tcW w:w="3208" w:type="dxa"/>
            <w:vMerge/>
            <w:shd w:val="clear" w:color="auto" w:fill="auto"/>
          </w:tcPr>
          <w:p w14:paraId="57E56957" w14:textId="77777777" w:rsidR="002927D9" w:rsidRPr="007A2B03" w:rsidRDefault="002927D9" w:rsidP="008C1767">
            <w:pPr>
              <w:pStyle w:val="afff3"/>
              <w:widowControl/>
              <w:numPr>
                <w:ilvl w:val="0"/>
                <w:numId w:val="61"/>
              </w:numPr>
              <w:autoSpaceDE/>
              <w:autoSpaceDN/>
              <w:adjustRightInd/>
              <w:ind w:left="0"/>
            </w:pPr>
          </w:p>
        </w:tc>
        <w:tc>
          <w:tcPr>
            <w:tcW w:w="3082" w:type="dxa"/>
            <w:shd w:val="clear" w:color="auto" w:fill="auto"/>
          </w:tcPr>
          <w:p w14:paraId="17071FAD" w14:textId="77777777" w:rsidR="002927D9" w:rsidRPr="007A2B03" w:rsidRDefault="002927D9" w:rsidP="00CD5E09">
            <w:r w:rsidRPr="007A2B03">
              <w:t>Другие компоненты донорской крови (не вызывавшие реакции ранее)</w:t>
            </w:r>
          </w:p>
        </w:tc>
        <w:tc>
          <w:tcPr>
            <w:tcW w:w="8270" w:type="dxa"/>
            <w:shd w:val="clear" w:color="auto" w:fill="auto"/>
          </w:tcPr>
          <w:p w14:paraId="0756E700" w14:textId="77777777" w:rsidR="002927D9" w:rsidRPr="007A2B03" w:rsidRDefault="002927D9" w:rsidP="00CD5E09">
            <w:r w:rsidRPr="007A2B03">
              <w:t>10 мл 10% кальция глюконата в 100 мл 0,9% раствора NaC</w:t>
            </w:r>
            <w:r w:rsidRPr="007A2B03">
              <w:rPr>
                <w:lang w:val="en-US"/>
              </w:rPr>
              <w:t>l</w:t>
            </w:r>
            <w:r w:rsidRPr="007A2B03">
              <w:t xml:space="preserve"> в/в капельно</w:t>
            </w:r>
          </w:p>
        </w:tc>
      </w:tr>
      <w:tr w:rsidR="002927D9" w:rsidRPr="00915AAD" w14:paraId="16B78973" w14:textId="77777777" w:rsidTr="00CD5E09">
        <w:tc>
          <w:tcPr>
            <w:tcW w:w="3208" w:type="dxa"/>
            <w:shd w:val="clear" w:color="auto" w:fill="auto"/>
          </w:tcPr>
          <w:p w14:paraId="144894B0" w14:textId="77777777" w:rsidR="002927D9" w:rsidRPr="007A2B03" w:rsidRDefault="002927D9" w:rsidP="008C1767">
            <w:pPr>
              <w:pStyle w:val="afff3"/>
              <w:widowControl/>
              <w:numPr>
                <w:ilvl w:val="0"/>
                <w:numId w:val="61"/>
              </w:numPr>
              <w:autoSpaceDE/>
              <w:autoSpaceDN/>
              <w:adjustRightInd/>
              <w:ind w:left="0"/>
            </w:pPr>
            <w:r w:rsidRPr="007A2B03">
              <w:t>Тяжелые аллергические реакции (протекающие с нарушением гемодинамических и вентиляционных показателей)</w:t>
            </w:r>
          </w:p>
        </w:tc>
        <w:tc>
          <w:tcPr>
            <w:tcW w:w="3082" w:type="dxa"/>
            <w:shd w:val="clear" w:color="auto" w:fill="auto"/>
          </w:tcPr>
          <w:p w14:paraId="3F7CDE28" w14:textId="77777777" w:rsidR="002927D9" w:rsidRPr="007A2B03" w:rsidRDefault="002927D9" w:rsidP="00CD5E09">
            <w:r w:rsidRPr="007A2B03">
              <w:t>Любой компонент донорской крови</w:t>
            </w:r>
          </w:p>
        </w:tc>
        <w:tc>
          <w:tcPr>
            <w:tcW w:w="8270" w:type="dxa"/>
            <w:shd w:val="clear" w:color="auto" w:fill="auto"/>
          </w:tcPr>
          <w:p w14:paraId="3463838B" w14:textId="77777777" w:rsidR="002927D9" w:rsidRPr="007A2B03" w:rsidRDefault="002927D9" w:rsidP="00CD5E09">
            <w:r w:rsidRPr="007A2B03">
              <w:t>10 мл 10% кальция глюконата и 2 мл клемастина гидрофумарата 1 мг/мл (либо 1 мл дифенгидрамина 10 мг/мл, либо 1 мл хлоропирамина 20 мг/мл) в 100 мл 0,9% раствора NaC</w:t>
            </w:r>
            <w:r w:rsidRPr="007A2B03">
              <w:rPr>
                <w:lang w:val="en-US"/>
              </w:rPr>
              <w:t>l</w:t>
            </w:r>
            <w:r w:rsidRPr="007A2B03">
              <w:t xml:space="preserve"> в/в капельно.</w:t>
            </w:r>
          </w:p>
          <w:p w14:paraId="68BA2B42" w14:textId="77777777" w:rsidR="002927D9" w:rsidRPr="007A2B03" w:rsidRDefault="002927D9" w:rsidP="00CD5E09">
            <w:pPr>
              <w:pStyle w:val="afff3"/>
              <w:ind w:left="0"/>
            </w:pPr>
            <w:r w:rsidRPr="007A2B03">
              <w:t>Возможно разовое применение глюкокортикостероидов** (</w:t>
            </w:r>
            <w:r w:rsidRPr="007A2B03">
              <w:rPr>
                <w:shd w:val="clear" w:color="auto" w:fill="FFFFFF"/>
              </w:rPr>
              <w:t>следует </w:t>
            </w:r>
            <w:r w:rsidRPr="007A2B03">
              <w:rPr>
                <w:rStyle w:val="affc"/>
                <w:shd w:val="clear" w:color="auto" w:fill="FFFFFF"/>
              </w:rPr>
              <w:t>соотнести</w:t>
            </w:r>
            <w:r w:rsidRPr="007A2B03">
              <w:rPr>
                <w:shd w:val="clear" w:color="auto" w:fill="FFFFFF"/>
              </w:rPr>
              <w:t> потенциальные </w:t>
            </w:r>
            <w:r w:rsidRPr="007A2B03">
              <w:rPr>
                <w:rStyle w:val="affc"/>
                <w:shd w:val="clear" w:color="auto" w:fill="FFFFFF"/>
              </w:rPr>
              <w:t>риски</w:t>
            </w:r>
            <w:r w:rsidRPr="007A2B03">
              <w:rPr>
                <w:shd w:val="clear" w:color="auto" w:fill="FFFFFF"/>
              </w:rPr>
              <w:t> и ожидаемую </w:t>
            </w:r>
            <w:r w:rsidRPr="007A2B03">
              <w:rPr>
                <w:rStyle w:val="affc"/>
                <w:shd w:val="clear" w:color="auto" w:fill="FFFFFF"/>
              </w:rPr>
              <w:t>пользу</w:t>
            </w:r>
            <w:r w:rsidRPr="007A2B03">
              <w:t>).</w:t>
            </w:r>
          </w:p>
          <w:p w14:paraId="491A72EB" w14:textId="77777777" w:rsidR="002927D9" w:rsidRPr="007A2B03" w:rsidRDefault="002927D9" w:rsidP="00CD5E09">
            <w:r w:rsidRPr="007A2B03">
              <w:t>Уменьшение скорости трансфузии.</w:t>
            </w:r>
          </w:p>
        </w:tc>
      </w:tr>
      <w:tr w:rsidR="002927D9" w:rsidRPr="00915AAD" w14:paraId="7567BF7F" w14:textId="77777777" w:rsidTr="00CD5E09">
        <w:tc>
          <w:tcPr>
            <w:tcW w:w="14560" w:type="dxa"/>
            <w:gridSpan w:val="3"/>
            <w:shd w:val="clear" w:color="auto" w:fill="auto"/>
          </w:tcPr>
          <w:p w14:paraId="1A20BFB8" w14:textId="77777777" w:rsidR="002927D9" w:rsidRPr="007A2B03" w:rsidRDefault="002927D9" w:rsidP="008C1767">
            <w:pPr>
              <w:pStyle w:val="afff3"/>
              <w:widowControl/>
              <w:numPr>
                <w:ilvl w:val="0"/>
                <w:numId w:val="66"/>
              </w:numPr>
              <w:autoSpaceDE/>
              <w:autoSpaceDN/>
              <w:adjustRightInd/>
              <w:jc w:val="center"/>
              <w:rPr>
                <w:b/>
                <w:bCs/>
              </w:rPr>
            </w:pPr>
            <w:r w:rsidRPr="007A2B03">
              <w:rPr>
                <w:b/>
                <w:bCs/>
              </w:rPr>
              <w:t>Однократная гипертермическая фебрильная негемолитическая реакция (ФНР) в анамнезе</w:t>
            </w:r>
          </w:p>
        </w:tc>
      </w:tr>
      <w:tr w:rsidR="002927D9" w:rsidRPr="00915AAD" w14:paraId="38DB61CC" w14:textId="77777777" w:rsidTr="00CD5E09">
        <w:tc>
          <w:tcPr>
            <w:tcW w:w="3208" w:type="dxa"/>
            <w:shd w:val="clear" w:color="auto" w:fill="auto"/>
          </w:tcPr>
          <w:p w14:paraId="282A5A2F" w14:textId="77777777" w:rsidR="002927D9" w:rsidRPr="007A2B03" w:rsidRDefault="002927D9" w:rsidP="008C1767">
            <w:pPr>
              <w:pStyle w:val="afff3"/>
              <w:widowControl/>
              <w:numPr>
                <w:ilvl w:val="0"/>
                <w:numId w:val="61"/>
              </w:numPr>
              <w:autoSpaceDE/>
              <w:autoSpaceDN/>
              <w:adjustRightInd/>
              <w:ind w:left="0"/>
            </w:pPr>
            <w:r w:rsidRPr="007A2B03">
              <w:t>Однократная ФНР в анамнезе</w:t>
            </w:r>
          </w:p>
        </w:tc>
        <w:tc>
          <w:tcPr>
            <w:tcW w:w="3082" w:type="dxa"/>
            <w:shd w:val="clear" w:color="auto" w:fill="auto"/>
          </w:tcPr>
          <w:p w14:paraId="7BD2780A" w14:textId="77777777" w:rsidR="002927D9" w:rsidRPr="007A2B03" w:rsidRDefault="002927D9" w:rsidP="00CD5E09">
            <w:r w:rsidRPr="007A2B03">
              <w:t>Любой компонент донорской крови</w:t>
            </w:r>
          </w:p>
        </w:tc>
        <w:tc>
          <w:tcPr>
            <w:tcW w:w="8270" w:type="dxa"/>
            <w:shd w:val="clear" w:color="auto" w:fill="auto"/>
          </w:tcPr>
          <w:p w14:paraId="545415F6" w14:textId="77777777" w:rsidR="002927D9" w:rsidRPr="007A2B03" w:rsidRDefault="002927D9" w:rsidP="00CD5E09">
            <w:r w:rsidRPr="007A2B03">
              <w:t>10 мл 10% кальция глюконата в 100 мл 0,9% раствора NaC</w:t>
            </w:r>
            <w:r w:rsidRPr="007A2B03">
              <w:rPr>
                <w:lang w:val="en-US"/>
              </w:rPr>
              <w:t>l</w:t>
            </w:r>
            <w:r w:rsidRPr="007A2B03">
              <w:t xml:space="preserve"> в/в капельно</w:t>
            </w:r>
          </w:p>
        </w:tc>
      </w:tr>
      <w:tr w:rsidR="002927D9" w:rsidRPr="00915AAD" w14:paraId="65EBE17D" w14:textId="77777777" w:rsidTr="00CD5E09">
        <w:tc>
          <w:tcPr>
            <w:tcW w:w="14560" w:type="dxa"/>
            <w:gridSpan w:val="3"/>
            <w:shd w:val="clear" w:color="auto" w:fill="auto"/>
          </w:tcPr>
          <w:p w14:paraId="5343AA5F" w14:textId="77777777" w:rsidR="002927D9" w:rsidRPr="007A2B03" w:rsidRDefault="002927D9" w:rsidP="008C1767">
            <w:pPr>
              <w:pStyle w:val="afff3"/>
              <w:widowControl/>
              <w:numPr>
                <w:ilvl w:val="0"/>
                <w:numId w:val="66"/>
              </w:numPr>
              <w:autoSpaceDE/>
              <w:autoSpaceDN/>
              <w:adjustRightInd/>
              <w:jc w:val="center"/>
              <w:rPr>
                <w:b/>
                <w:bCs/>
              </w:rPr>
            </w:pPr>
            <w:r w:rsidRPr="007A2B03">
              <w:rPr>
                <w:b/>
                <w:bCs/>
              </w:rPr>
              <w:t>Многократные (≥2) гипертермические фебрильные негемолитические реакции (ФНР) в анамнезе</w:t>
            </w:r>
          </w:p>
        </w:tc>
      </w:tr>
      <w:tr w:rsidR="002927D9" w:rsidRPr="00915AAD" w14:paraId="537D3AE9" w14:textId="77777777" w:rsidTr="00CD5E09">
        <w:tc>
          <w:tcPr>
            <w:tcW w:w="3208" w:type="dxa"/>
            <w:vMerge w:val="restart"/>
            <w:shd w:val="clear" w:color="auto" w:fill="auto"/>
          </w:tcPr>
          <w:p w14:paraId="25367697" w14:textId="77777777" w:rsidR="002927D9" w:rsidRPr="007A2B03" w:rsidRDefault="002927D9" w:rsidP="008C1767">
            <w:pPr>
              <w:pStyle w:val="afff3"/>
              <w:widowControl/>
              <w:numPr>
                <w:ilvl w:val="0"/>
                <w:numId w:val="63"/>
              </w:numPr>
              <w:autoSpaceDE/>
              <w:autoSpaceDN/>
              <w:adjustRightInd/>
              <w:ind w:left="0"/>
            </w:pPr>
            <w:r w:rsidRPr="007A2B03">
              <w:t>Протекающие без потрясающего озноба</w:t>
            </w:r>
          </w:p>
        </w:tc>
        <w:tc>
          <w:tcPr>
            <w:tcW w:w="3082" w:type="dxa"/>
            <w:shd w:val="clear" w:color="auto" w:fill="auto"/>
          </w:tcPr>
          <w:p w14:paraId="35705433" w14:textId="77777777" w:rsidR="002927D9" w:rsidRPr="007A2B03" w:rsidRDefault="002927D9" w:rsidP="00CD5E09">
            <w:r w:rsidRPr="007A2B03">
              <w:t>Компонент донорской крови, вызвавший реакцию ранее</w:t>
            </w:r>
          </w:p>
        </w:tc>
        <w:tc>
          <w:tcPr>
            <w:tcW w:w="8270" w:type="dxa"/>
            <w:shd w:val="clear" w:color="auto" w:fill="auto"/>
          </w:tcPr>
          <w:p w14:paraId="315AFE19" w14:textId="77777777" w:rsidR="002927D9" w:rsidRPr="007A2B03" w:rsidRDefault="002927D9" w:rsidP="00CD5E09">
            <w:r w:rsidRPr="007A2B03">
              <w:t>10 мл 10% кальция глюконата и 2 мл клемастина гидрофумарата 1 мг/мл (либо 1 мл дифенгидрамина 10 мг/мл, либо 1 мл хлоропирамина 20 мг/мл) в 100 мл 0,9% раствора NaC</w:t>
            </w:r>
            <w:r w:rsidRPr="007A2B03">
              <w:rPr>
                <w:lang w:val="en-US"/>
              </w:rPr>
              <w:t>l</w:t>
            </w:r>
            <w:r w:rsidRPr="007A2B03">
              <w:t xml:space="preserve"> в/в капельно.</w:t>
            </w:r>
          </w:p>
          <w:p w14:paraId="0AD2C932" w14:textId="77777777" w:rsidR="002927D9" w:rsidRPr="007A2B03" w:rsidRDefault="002927D9" w:rsidP="00CD5E09">
            <w:r w:rsidRPr="007A2B03">
              <w:t>При сохраняющихся ФНР, несмотря на добавление антигистаминных препаратов, дополнительно за 60 минут до трансфузии ввести 250-650 мг парацетамола в 250 мл 0,9% раствора NaC</w:t>
            </w:r>
            <w:r w:rsidRPr="007A2B03">
              <w:rPr>
                <w:lang w:val="en-US"/>
              </w:rPr>
              <w:t>l</w:t>
            </w:r>
            <w:r w:rsidRPr="007A2B03">
              <w:t xml:space="preserve"> в/в капельно (не рекомендовано у пациентов с нейтропенией, глубокой тромбоцитопенией).</w:t>
            </w:r>
          </w:p>
        </w:tc>
      </w:tr>
      <w:tr w:rsidR="002927D9" w:rsidRPr="00915AAD" w14:paraId="2AD9DA9F" w14:textId="77777777" w:rsidTr="00CD5E09">
        <w:tc>
          <w:tcPr>
            <w:tcW w:w="3208" w:type="dxa"/>
            <w:vMerge/>
            <w:shd w:val="clear" w:color="auto" w:fill="auto"/>
          </w:tcPr>
          <w:p w14:paraId="0649DBE2" w14:textId="77777777" w:rsidR="002927D9" w:rsidRPr="007A2B03" w:rsidRDefault="002927D9" w:rsidP="008C1767">
            <w:pPr>
              <w:pStyle w:val="afff3"/>
              <w:widowControl/>
              <w:numPr>
                <w:ilvl w:val="0"/>
                <w:numId w:val="63"/>
              </w:numPr>
              <w:autoSpaceDE/>
              <w:autoSpaceDN/>
              <w:adjustRightInd/>
              <w:ind w:left="0"/>
            </w:pPr>
          </w:p>
        </w:tc>
        <w:tc>
          <w:tcPr>
            <w:tcW w:w="3082" w:type="dxa"/>
            <w:shd w:val="clear" w:color="auto" w:fill="auto"/>
          </w:tcPr>
          <w:p w14:paraId="5A851B68" w14:textId="77777777" w:rsidR="002927D9" w:rsidRPr="007A2B03" w:rsidRDefault="002927D9" w:rsidP="00CD5E09">
            <w:r w:rsidRPr="007A2B03">
              <w:t>Другие компоненты донорской крови (не вызывавшие реакции ранее)</w:t>
            </w:r>
          </w:p>
        </w:tc>
        <w:tc>
          <w:tcPr>
            <w:tcW w:w="8270" w:type="dxa"/>
            <w:shd w:val="clear" w:color="auto" w:fill="auto"/>
          </w:tcPr>
          <w:p w14:paraId="3F79485C" w14:textId="77777777" w:rsidR="002927D9" w:rsidRPr="007A2B03" w:rsidRDefault="002927D9" w:rsidP="00CD5E09">
            <w:r w:rsidRPr="007A2B03">
              <w:t>10 мл 10% кальция глюконата в 100 мл 0,9% раствора NaC</w:t>
            </w:r>
            <w:r w:rsidRPr="007A2B03">
              <w:rPr>
                <w:lang w:val="en-US"/>
              </w:rPr>
              <w:t>l</w:t>
            </w:r>
            <w:r w:rsidRPr="007A2B03">
              <w:t xml:space="preserve"> в/в капельно</w:t>
            </w:r>
          </w:p>
        </w:tc>
      </w:tr>
      <w:tr w:rsidR="002927D9" w:rsidRPr="00915AAD" w14:paraId="0E53BCAD" w14:textId="77777777" w:rsidTr="00CD5E09">
        <w:tc>
          <w:tcPr>
            <w:tcW w:w="3208" w:type="dxa"/>
            <w:vMerge w:val="restart"/>
            <w:shd w:val="clear" w:color="auto" w:fill="auto"/>
          </w:tcPr>
          <w:p w14:paraId="02A4E081" w14:textId="77777777" w:rsidR="002927D9" w:rsidRPr="007A2B03" w:rsidRDefault="002927D9" w:rsidP="008C1767">
            <w:pPr>
              <w:pStyle w:val="afff3"/>
              <w:widowControl/>
              <w:numPr>
                <w:ilvl w:val="0"/>
                <w:numId w:val="63"/>
              </w:numPr>
              <w:autoSpaceDE/>
              <w:autoSpaceDN/>
              <w:adjustRightInd/>
              <w:ind w:left="0"/>
            </w:pPr>
            <w:r w:rsidRPr="007A2B03">
              <w:t>Протекающие с потрясающим ознобом</w:t>
            </w:r>
          </w:p>
        </w:tc>
        <w:tc>
          <w:tcPr>
            <w:tcW w:w="3082" w:type="dxa"/>
            <w:shd w:val="clear" w:color="auto" w:fill="auto"/>
          </w:tcPr>
          <w:p w14:paraId="0A456712" w14:textId="77777777" w:rsidR="002927D9" w:rsidRPr="007A2B03" w:rsidRDefault="002927D9" w:rsidP="00CD5E09">
            <w:r w:rsidRPr="007A2B03">
              <w:t>Компонент донорской крови, вызвавший реакцию ранее</w:t>
            </w:r>
          </w:p>
        </w:tc>
        <w:tc>
          <w:tcPr>
            <w:tcW w:w="8270" w:type="dxa"/>
            <w:shd w:val="clear" w:color="auto" w:fill="auto"/>
          </w:tcPr>
          <w:p w14:paraId="238FC57B" w14:textId="77777777" w:rsidR="002927D9" w:rsidRPr="007A2B03" w:rsidRDefault="002927D9" w:rsidP="00CD5E09">
            <w:r w:rsidRPr="007A2B03">
              <w:t>10 мл 10% кальция глюконата и 2 мл клемастина гидрофумарата 1 мг/мл (либо 1 мл дифенгидрамина 10 мг/мл, либо 1 мл хлоропирамина 20 мг/мл) в 100 мл 0,9% раствора NaC</w:t>
            </w:r>
            <w:r w:rsidRPr="007A2B03">
              <w:rPr>
                <w:lang w:val="en-US"/>
              </w:rPr>
              <w:t>l</w:t>
            </w:r>
            <w:r w:rsidRPr="007A2B03">
              <w:t xml:space="preserve"> в/в капельно. В случае сохранения тяжелых реакций возможно дополнительное введение 0,5-1 мл 2% промедола в 100 мл 0,9% раствора NaC</w:t>
            </w:r>
            <w:r w:rsidRPr="007A2B03">
              <w:rPr>
                <w:lang w:val="en-US"/>
              </w:rPr>
              <w:t>l</w:t>
            </w:r>
            <w:r w:rsidRPr="007A2B03">
              <w:t xml:space="preserve"> в/в капельно (до или параллельно с трансфузией).</w:t>
            </w:r>
          </w:p>
          <w:p w14:paraId="5D97C309" w14:textId="77777777" w:rsidR="002927D9" w:rsidRPr="007A2B03" w:rsidRDefault="002927D9" w:rsidP="00CD5E09">
            <w:pPr>
              <w:pStyle w:val="afff3"/>
              <w:ind w:left="0"/>
            </w:pPr>
            <w:r w:rsidRPr="007A2B03">
              <w:t>Возможно разовое применение глюкокортикостероидов** (</w:t>
            </w:r>
            <w:r w:rsidRPr="007A2B03">
              <w:rPr>
                <w:shd w:val="clear" w:color="auto" w:fill="FFFFFF"/>
              </w:rPr>
              <w:t>следует </w:t>
            </w:r>
            <w:r w:rsidRPr="007A2B03">
              <w:rPr>
                <w:rStyle w:val="affc"/>
                <w:shd w:val="clear" w:color="auto" w:fill="FFFFFF"/>
              </w:rPr>
              <w:t>соотнести</w:t>
            </w:r>
            <w:r w:rsidRPr="007A2B03">
              <w:rPr>
                <w:shd w:val="clear" w:color="auto" w:fill="FFFFFF"/>
              </w:rPr>
              <w:t> потенциальные </w:t>
            </w:r>
            <w:r w:rsidRPr="007A2B03">
              <w:rPr>
                <w:rStyle w:val="affc"/>
                <w:shd w:val="clear" w:color="auto" w:fill="FFFFFF"/>
              </w:rPr>
              <w:t>риски</w:t>
            </w:r>
            <w:r w:rsidRPr="007A2B03">
              <w:rPr>
                <w:shd w:val="clear" w:color="auto" w:fill="FFFFFF"/>
              </w:rPr>
              <w:t> и ожидаемую </w:t>
            </w:r>
            <w:r w:rsidRPr="007A2B03">
              <w:rPr>
                <w:rStyle w:val="affc"/>
                <w:shd w:val="clear" w:color="auto" w:fill="FFFFFF"/>
              </w:rPr>
              <w:t>пользу</w:t>
            </w:r>
            <w:r w:rsidRPr="007A2B03">
              <w:t>).</w:t>
            </w:r>
          </w:p>
          <w:p w14:paraId="2222062D" w14:textId="77777777" w:rsidR="002927D9" w:rsidRPr="007A2B03" w:rsidRDefault="002927D9" w:rsidP="00CD5E09">
            <w:r w:rsidRPr="007A2B03">
              <w:t>Уменьшение скорости трансфузии.</w:t>
            </w:r>
          </w:p>
        </w:tc>
      </w:tr>
      <w:tr w:rsidR="002927D9" w:rsidRPr="00915AAD" w14:paraId="1BAB9407" w14:textId="77777777" w:rsidTr="00CD5E09">
        <w:tc>
          <w:tcPr>
            <w:tcW w:w="3208" w:type="dxa"/>
            <w:vMerge/>
            <w:shd w:val="clear" w:color="auto" w:fill="auto"/>
          </w:tcPr>
          <w:p w14:paraId="3D79E189" w14:textId="77777777" w:rsidR="002927D9" w:rsidRPr="007A2B03" w:rsidRDefault="002927D9" w:rsidP="008C1767">
            <w:pPr>
              <w:pStyle w:val="afff3"/>
              <w:widowControl/>
              <w:numPr>
                <w:ilvl w:val="0"/>
                <w:numId w:val="63"/>
              </w:numPr>
              <w:autoSpaceDE/>
              <w:autoSpaceDN/>
              <w:adjustRightInd/>
              <w:ind w:left="0"/>
            </w:pPr>
          </w:p>
        </w:tc>
        <w:tc>
          <w:tcPr>
            <w:tcW w:w="3082" w:type="dxa"/>
            <w:shd w:val="clear" w:color="auto" w:fill="auto"/>
          </w:tcPr>
          <w:p w14:paraId="07CE1073" w14:textId="77777777" w:rsidR="002927D9" w:rsidRPr="007A2B03" w:rsidRDefault="002927D9" w:rsidP="00CD5E09">
            <w:r w:rsidRPr="007A2B03">
              <w:t>Другие компоненты донорской крови (не вызывавшие реакции ранее)</w:t>
            </w:r>
          </w:p>
        </w:tc>
        <w:tc>
          <w:tcPr>
            <w:tcW w:w="8270" w:type="dxa"/>
            <w:shd w:val="clear" w:color="auto" w:fill="auto"/>
          </w:tcPr>
          <w:p w14:paraId="0759D0CA" w14:textId="77777777" w:rsidR="002927D9" w:rsidRPr="007A2B03" w:rsidRDefault="002927D9" w:rsidP="00CD5E09">
            <w:r w:rsidRPr="007A2B03">
              <w:t>10 мл 10% кальция глюконата и 2 мл клемастина гидрофумарата 1 мг/мл (либо 1 мл дифенгидрамина 10 мг/мл, либо 1 мл хлоропирамина 20 мг/мл) в 100 мл 0,9% раствора NaC</w:t>
            </w:r>
            <w:r w:rsidRPr="007A2B03">
              <w:rPr>
                <w:lang w:val="en-US"/>
              </w:rPr>
              <w:t>l</w:t>
            </w:r>
            <w:r w:rsidRPr="007A2B03">
              <w:t xml:space="preserve"> в/в капельно</w:t>
            </w:r>
          </w:p>
        </w:tc>
      </w:tr>
      <w:tr w:rsidR="002927D9" w:rsidRPr="00915AAD" w14:paraId="6C31761B" w14:textId="77777777" w:rsidTr="00CD5E09">
        <w:tc>
          <w:tcPr>
            <w:tcW w:w="14560" w:type="dxa"/>
            <w:gridSpan w:val="3"/>
            <w:shd w:val="clear" w:color="auto" w:fill="auto"/>
          </w:tcPr>
          <w:p w14:paraId="205A7E54" w14:textId="77777777" w:rsidR="002927D9" w:rsidRPr="007A2B03" w:rsidRDefault="002927D9" w:rsidP="008C1767">
            <w:pPr>
              <w:pStyle w:val="afff3"/>
              <w:widowControl/>
              <w:numPr>
                <w:ilvl w:val="0"/>
                <w:numId w:val="66"/>
              </w:numPr>
              <w:autoSpaceDE/>
              <w:autoSpaceDN/>
              <w:adjustRightInd/>
              <w:jc w:val="center"/>
              <w:rPr>
                <w:b/>
                <w:bCs/>
              </w:rPr>
            </w:pPr>
            <w:r w:rsidRPr="007A2B03">
              <w:rPr>
                <w:b/>
                <w:bCs/>
              </w:rPr>
              <w:t>Отсроченная серологическая трансфузионная реакция:</w:t>
            </w:r>
          </w:p>
          <w:p w14:paraId="4AAD0F51" w14:textId="77777777" w:rsidR="002927D9" w:rsidRPr="007A2B03" w:rsidRDefault="002927D9" w:rsidP="00CD5E09">
            <w:pPr>
              <w:ind w:left="360"/>
              <w:rPr>
                <w:b/>
                <w:bCs/>
              </w:rPr>
            </w:pPr>
            <w:r w:rsidRPr="007A2B03">
              <w:t>установленное наличие антиэритроцитарных антител: положительная непрямая проба Кумбса при определении индивидуальной совместимости крови донора и реципиента в лаборатории иммуногематологии или если таковая не проводилась, ЛИБО предполагаемое - при эритроцитарном химеризме</w:t>
            </w:r>
          </w:p>
        </w:tc>
      </w:tr>
      <w:tr w:rsidR="002927D9" w:rsidRPr="00915AAD" w14:paraId="685DF125" w14:textId="77777777" w:rsidTr="00CD5E09">
        <w:tc>
          <w:tcPr>
            <w:tcW w:w="3208" w:type="dxa"/>
            <w:shd w:val="clear" w:color="auto" w:fill="auto"/>
          </w:tcPr>
          <w:p w14:paraId="408CE84A" w14:textId="77777777" w:rsidR="002927D9" w:rsidRPr="007A2B03" w:rsidRDefault="002927D9" w:rsidP="00CD5E09">
            <w:r w:rsidRPr="007A2B03">
              <w:t xml:space="preserve">Отсроченная серологическая трансфузионная реакция </w:t>
            </w:r>
          </w:p>
        </w:tc>
        <w:tc>
          <w:tcPr>
            <w:tcW w:w="3082" w:type="dxa"/>
            <w:shd w:val="clear" w:color="auto" w:fill="auto"/>
          </w:tcPr>
          <w:p w14:paraId="78B829BC" w14:textId="77777777" w:rsidR="002927D9" w:rsidRPr="007A2B03" w:rsidRDefault="002927D9" w:rsidP="00CD5E09">
            <w:r w:rsidRPr="007A2B03">
              <w:t>Любой компонент донорской крови</w:t>
            </w:r>
          </w:p>
        </w:tc>
        <w:tc>
          <w:tcPr>
            <w:tcW w:w="8270" w:type="dxa"/>
            <w:shd w:val="clear" w:color="auto" w:fill="auto"/>
          </w:tcPr>
          <w:p w14:paraId="4C25FCBE" w14:textId="77777777" w:rsidR="002927D9" w:rsidRPr="007A2B03" w:rsidRDefault="002927D9" w:rsidP="00CD5E09">
            <w:r w:rsidRPr="007A2B03">
              <w:t>10 мл 10% кальция глюконата в 100 мл 0,9% раствора NaC</w:t>
            </w:r>
            <w:r w:rsidRPr="007A2B03">
              <w:rPr>
                <w:lang w:val="en-US"/>
              </w:rPr>
              <w:t>l</w:t>
            </w:r>
            <w:r w:rsidRPr="007A2B03">
              <w:t xml:space="preserve"> в/в капельно.</w:t>
            </w:r>
          </w:p>
        </w:tc>
      </w:tr>
      <w:tr w:rsidR="002927D9" w:rsidRPr="00915AAD" w14:paraId="48119EB7" w14:textId="77777777" w:rsidTr="00CD5E09">
        <w:tc>
          <w:tcPr>
            <w:tcW w:w="14560" w:type="dxa"/>
            <w:gridSpan w:val="3"/>
            <w:shd w:val="clear" w:color="auto" w:fill="auto"/>
          </w:tcPr>
          <w:p w14:paraId="76F8F666" w14:textId="77777777" w:rsidR="002927D9" w:rsidRPr="007A2B03" w:rsidRDefault="002927D9" w:rsidP="008C1767">
            <w:pPr>
              <w:pStyle w:val="afff3"/>
              <w:widowControl/>
              <w:numPr>
                <w:ilvl w:val="0"/>
                <w:numId w:val="66"/>
              </w:numPr>
              <w:autoSpaceDE/>
              <w:autoSpaceDN/>
              <w:adjustRightInd/>
              <w:jc w:val="center"/>
              <w:rPr>
                <w:b/>
                <w:bCs/>
              </w:rPr>
            </w:pPr>
            <w:r w:rsidRPr="007A2B03">
              <w:rPr>
                <w:b/>
                <w:bCs/>
              </w:rPr>
              <w:t>Острый или отсроченный иммунный гемолиз</w:t>
            </w:r>
          </w:p>
        </w:tc>
      </w:tr>
      <w:tr w:rsidR="002927D9" w:rsidRPr="00915AAD" w14:paraId="59F5D1CB" w14:textId="77777777" w:rsidTr="00CD5E09">
        <w:tc>
          <w:tcPr>
            <w:tcW w:w="3208" w:type="dxa"/>
            <w:shd w:val="clear" w:color="auto" w:fill="auto"/>
          </w:tcPr>
          <w:p w14:paraId="6702AF77" w14:textId="77777777" w:rsidR="002927D9" w:rsidRPr="007A2B03" w:rsidRDefault="002927D9" w:rsidP="008C1767">
            <w:pPr>
              <w:pStyle w:val="afff3"/>
              <w:widowControl/>
              <w:numPr>
                <w:ilvl w:val="0"/>
                <w:numId w:val="64"/>
              </w:numPr>
              <w:autoSpaceDE/>
              <w:autoSpaceDN/>
              <w:adjustRightInd/>
              <w:ind w:left="0"/>
            </w:pPr>
            <w:r w:rsidRPr="007A2B03">
              <w:lastRenderedPageBreak/>
              <w:t>Гемолиз в анамнезе (клинических признаков гемолиза в настоящее время нет)</w:t>
            </w:r>
          </w:p>
        </w:tc>
        <w:tc>
          <w:tcPr>
            <w:tcW w:w="3082" w:type="dxa"/>
            <w:shd w:val="clear" w:color="auto" w:fill="auto"/>
          </w:tcPr>
          <w:p w14:paraId="6D125207" w14:textId="77777777" w:rsidR="002927D9" w:rsidRPr="007A2B03" w:rsidRDefault="002927D9" w:rsidP="00CD5E09">
            <w:r w:rsidRPr="007A2B03">
              <w:t>Любой компонент донорской крови</w:t>
            </w:r>
          </w:p>
        </w:tc>
        <w:tc>
          <w:tcPr>
            <w:tcW w:w="8270" w:type="dxa"/>
            <w:shd w:val="clear" w:color="auto" w:fill="auto"/>
          </w:tcPr>
          <w:p w14:paraId="72E1C2A9" w14:textId="77777777" w:rsidR="002927D9" w:rsidRPr="007A2B03" w:rsidRDefault="002927D9" w:rsidP="00CD5E09">
            <w:r w:rsidRPr="007A2B03">
              <w:t>10 мл 10% кальция глюконата в 100 мл 0,9% раствора NaC</w:t>
            </w:r>
            <w:r w:rsidRPr="007A2B03">
              <w:rPr>
                <w:lang w:val="en-US"/>
              </w:rPr>
              <w:t>l</w:t>
            </w:r>
            <w:r w:rsidRPr="007A2B03">
              <w:t xml:space="preserve"> в/в капельно</w:t>
            </w:r>
          </w:p>
        </w:tc>
      </w:tr>
      <w:tr w:rsidR="002927D9" w:rsidRPr="00915AAD" w14:paraId="1CE801A7" w14:textId="77777777" w:rsidTr="00CD5E09">
        <w:tc>
          <w:tcPr>
            <w:tcW w:w="3208" w:type="dxa"/>
            <w:vMerge w:val="restart"/>
            <w:shd w:val="clear" w:color="auto" w:fill="auto"/>
          </w:tcPr>
          <w:p w14:paraId="467E3116" w14:textId="77777777" w:rsidR="002927D9" w:rsidRPr="007A2B03" w:rsidRDefault="002927D9" w:rsidP="008C1767">
            <w:pPr>
              <w:pStyle w:val="afff3"/>
              <w:widowControl/>
              <w:numPr>
                <w:ilvl w:val="0"/>
                <w:numId w:val="64"/>
              </w:numPr>
              <w:autoSpaceDE/>
              <w:autoSpaceDN/>
              <w:adjustRightInd/>
              <w:ind w:left="0"/>
            </w:pPr>
            <w:r w:rsidRPr="007A2B03">
              <w:t>Активный гемолиз (признаки гемолиза сохраняются)</w:t>
            </w:r>
          </w:p>
        </w:tc>
        <w:tc>
          <w:tcPr>
            <w:tcW w:w="3082" w:type="dxa"/>
            <w:shd w:val="clear" w:color="auto" w:fill="auto"/>
          </w:tcPr>
          <w:p w14:paraId="722DF8BF" w14:textId="77777777" w:rsidR="002927D9" w:rsidRPr="007A2B03" w:rsidRDefault="002927D9" w:rsidP="00CD5E09">
            <w:r w:rsidRPr="007A2B03">
              <w:t>Эритроцитсодержащие компоненты донорской крови</w:t>
            </w:r>
          </w:p>
        </w:tc>
        <w:tc>
          <w:tcPr>
            <w:tcW w:w="8270" w:type="dxa"/>
            <w:shd w:val="clear" w:color="auto" w:fill="auto"/>
          </w:tcPr>
          <w:p w14:paraId="68ACBCD5" w14:textId="77777777" w:rsidR="002927D9" w:rsidRPr="007A2B03" w:rsidRDefault="002927D9" w:rsidP="00CD5E09">
            <w:r w:rsidRPr="007A2B03">
              <w:t>10 мл 10% кальция глюконата в 250-500 мл 0,9% раствора NaC</w:t>
            </w:r>
            <w:r w:rsidRPr="007A2B03">
              <w:rPr>
                <w:lang w:val="en-US"/>
              </w:rPr>
              <w:t>l</w:t>
            </w:r>
            <w:r w:rsidRPr="007A2B03">
              <w:t xml:space="preserve"> в/в капельно.</w:t>
            </w:r>
          </w:p>
          <w:p w14:paraId="45D5248D" w14:textId="77777777" w:rsidR="002927D9" w:rsidRPr="007A2B03" w:rsidRDefault="002927D9" w:rsidP="00CD5E09">
            <w:r w:rsidRPr="007A2B03">
              <w:t>При высоком риске дальнейшего усиления иммунного гемолиза следует индивидуально рассмотреть возможность введения глюкокортикостероидов**, ритуксимаба.</w:t>
            </w:r>
          </w:p>
        </w:tc>
      </w:tr>
      <w:tr w:rsidR="002927D9" w:rsidRPr="00915AAD" w14:paraId="5F6173B5" w14:textId="77777777" w:rsidTr="00CD5E09">
        <w:tc>
          <w:tcPr>
            <w:tcW w:w="3208" w:type="dxa"/>
            <w:vMerge/>
            <w:shd w:val="clear" w:color="auto" w:fill="auto"/>
          </w:tcPr>
          <w:p w14:paraId="0B9421A3" w14:textId="77777777" w:rsidR="002927D9" w:rsidRPr="007A2B03" w:rsidRDefault="002927D9" w:rsidP="00CD5E09"/>
        </w:tc>
        <w:tc>
          <w:tcPr>
            <w:tcW w:w="3082" w:type="dxa"/>
            <w:shd w:val="clear" w:color="auto" w:fill="auto"/>
          </w:tcPr>
          <w:p w14:paraId="4CDB2602" w14:textId="77777777" w:rsidR="002927D9" w:rsidRPr="007A2B03" w:rsidRDefault="002927D9" w:rsidP="00CD5E09">
            <w:r w:rsidRPr="007A2B03">
              <w:t>Концентрат тромбоцитов, свежезамороженная плазма, криопреципитат, криосупернатант</w:t>
            </w:r>
          </w:p>
        </w:tc>
        <w:tc>
          <w:tcPr>
            <w:tcW w:w="8270" w:type="dxa"/>
            <w:shd w:val="clear" w:color="auto" w:fill="auto"/>
          </w:tcPr>
          <w:p w14:paraId="0E4DF29F" w14:textId="77777777" w:rsidR="002927D9" w:rsidRPr="007A2B03" w:rsidRDefault="002927D9" w:rsidP="00CD5E09">
            <w:r w:rsidRPr="007A2B03">
              <w:t>10 мл 10% кальция глюконата в 500 мл 0,9% раствора NaC</w:t>
            </w:r>
            <w:r w:rsidRPr="007A2B03">
              <w:rPr>
                <w:lang w:val="en-US"/>
              </w:rPr>
              <w:t>l</w:t>
            </w:r>
            <w:r w:rsidRPr="007A2B03">
              <w:t xml:space="preserve"> в/в капельно</w:t>
            </w:r>
          </w:p>
        </w:tc>
      </w:tr>
      <w:tr w:rsidR="002927D9" w:rsidRPr="00915AAD" w14:paraId="0E87252A" w14:textId="77777777" w:rsidTr="00CD5E09">
        <w:tc>
          <w:tcPr>
            <w:tcW w:w="14560" w:type="dxa"/>
            <w:gridSpan w:val="3"/>
            <w:shd w:val="clear" w:color="auto" w:fill="auto"/>
          </w:tcPr>
          <w:p w14:paraId="38A0DE91" w14:textId="77777777" w:rsidR="002927D9" w:rsidRPr="007A2B03" w:rsidRDefault="002927D9" w:rsidP="008C1767">
            <w:pPr>
              <w:pStyle w:val="afff3"/>
              <w:widowControl/>
              <w:numPr>
                <w:ilvl w:val="0"/>
                <w:numId w:val="66"/>
              </w:numPr>
              <w:autoSpaceDE/>
              <w:autoSpaceDN/>
              <w:adjustRightInd/>
              <w:jc w:val="center"/>
              <w:rPr>
                <w:b/>
                <w:bCs/>
              </w:rPr>
            </w:pPr>
            <w:r w:rsidRPr="007A2B03">
              <w:rPr>
                <w:b/>
                <w:bCs/>
              </w:rPr>
              <w:t>Посттрансфузионная болезнь «трансплантат против хозяина»</w:t>
            </w:r>
          </w:p>
        </w:tc>
      </w:tr>
      <w:tr w:rsidR="002927D9" w:rsidRPr="00915AAD" w14:paraId="76B66C4C" w14:textId="77777777" w:rsidTr="00CD5E09">
        <w:tc>
          <w:tcPr>
            <w:tcW w:w="3208" w:type="dxa"/>
            <w:shd w:val="clear" w:color="auto" w:fill="auto"/>
          </w:tcPr>
          <w:p w14:paraId="71A9707B" w14:textId="77777777" w:rsidR="002927D9" w:rsidRPr="007A2B03" w:rsidRDefault="002927D9" w:rsidP="00CD5E09">
            <w:r w:rsidRPr="007A2B03">
              <w:t>Посттрансфузионная болезнь «трансплантат против хозяина»</w:t>
            </w:r>
          </w:p>
        </w:tc>
        <w:tc>
          <w:tcPr>
            <w:tcW w:w="3082" w:type="dxa"/>
            <w:shd w:val="clear" w:color="auto" w:fill="auto"/>
          </w:tcPr>
          <w:p w14:paraId="0C4D0FAE" w14:textId="77777777" w:rsidR="002927D9" w:rsidRPr="007A2B03" w:rsidRDefault="002927D9" w:rsidP="00CD5E09">
            <w:r w:rsidRPr="007A2B03">
              <w:t>Любой компонент донорской крови</w:t>
            </w:r>
          </w:p>
        </w:tc>
        <w:tc>
          <w:tcPr>
            <w:tcW w:w="8270" w:type="dxa"/>
            <w:shd w:val="clear" w:color="auto" w:fill="auto"/>
          </w:tcPr>
          <w:p w14:paraId="035F3665" w14:textId="77777777" w:rsidR="002927D9" w:rsidRPr="007A2B03" w:rsidRDefault="002927D9" w:rsidP="00CD5E09">
            <w:r w:rsidRPr="007A2B03">
              <w:t>10 мл 10% кальция глюконата в 100 мл 0,9% раствора NaC</w:t>
            </w:r>
            <w:r w:rsidRPr="007A2B03">
              <w:rPr>
                <w:lang w:val="en-US"/>
              </w:rPr>
              <w:t>l</w:t>
            </w:r>
            <w:r w:rsidRPr="007A2B03">
              <w:t xml:space="preserve"> в/в капельно</w:t>
            </w:r>
          </w:p>
        </w:tc>
      </w:tr>
      <w:tr w:rsidR="002927D9" w:rsidRPr="00915AAD" w14:paraId="1BA61306" w14:textId="77777777" w:rsidTr="00CD5E09">
        <w:tc>
          <w:tcPr>
            <w:tcW w:w="14560" w:type="dxa"/>
            <w:gridSpan w:val="3"/>
            <w:shd w:val="clear" w:color="auto" w:fill="auto"/>
          </w:tcPr>
          <w:p w14:paraId="4F6594DF" w14:textId="77777777" w:rsidR="002927D9" w:rsidRPr="007A2B03" w:rsidRDefault="002927D9" w:rsidP="008C1767">
            <w:pPr>
              <w:pStyle w:val="afff3"/>
              <w:widowControl/>
              <w:numPr>
                <w:ilvl w:val="0"/>
                <w:numId w:val="66"/>
              </w:numPr>
              <w:autoSpaceDE/>
              <w:autoSpaceDN/>
              <w:adjustRightInd/>
              <w:jc w:val="center"/>
              <w:rPr>
                <w:b/>
                <w:bCs/>
              </w:rPr>
            </w:pPr>
            <w:r w:rsidRPr="007A2B03">
              <w:rPr>
                <w:b/>
                <w:bCs/>
              </w:rPr>
              <w:t xml:space="preserve">Посттрансфузионная пурпура: </w:t>
            </w:r>
          </w:p>
          <w:p w14:paraId="070D1332" w14:textId="77777777" w:rsidR="002927D9" w:rsidRPr="007A2B03" w:rsidRDefault="002927D9" w:rsidP="00CD5E09">
            <w:pPr>
              <w:rPr>
                <w:b/>
                <w:bCs/>
              </w:rPr>
            </w:pPr>
            <w:r w:rsidRPr="007A2B03">
              <w:t>наличие антилейкоцитарных и (или) специфических антитромбоцитарных антител, рефрактерность к трансфузиям тромбоцитсодержащих сред</w:t>
            </w:r>
          </w:p>
        </w:tc>
      </w:tr>
      <w:tr w:rsidR="002927D9" w:rsidRPr="00915AAD" w14:paraId="5C394FFD" w14:textId="77777777" w:rsidTr="00CD5E09">
        <w:tc>
          <w:tcPr>
            <w:tcW w:w="3208" w:type="dxa"/>
            <w:vMerge w:val="restart"/>
            <w:shd w:val="clear" w:color="auto" w:fill="auto"/>
          </w:tcPr>
          <w:p w14:paraId="4D3486F3" w14:textId="77777777" w:rsidR="002927D9" w:rsidRPr="007A2B03" w:rsidRDefault="002927D9" w:rsidP="00CD5E09">
            <w:r w:rsidRPr="007A2B03">
              <w:t xml:space="preserve">Посттрансфузионная пурпура </w:t>
            </w:r>
          </w:p>
        </w:tc>
        <w:tc>
          <w:tcPr>
            <w:tcW w:w="3082" w:type="dxa"/>
            <w:shd w:val="clear" w:color="auto" w:fill="auto"/>
          </w:tcPr>
          <w:p w14:paraId="7329F3D6" w14:textId="77777777" w:rsidR="002927D9" w:rsidRPr="007A2B03" w:rsidRDefault="002927D9" w:rsidP="00CD5E09">
            <w:r w:rsidRPr="007A2B03">
              <w:t>Индивидуально подобранный концентрат тромбоцитов методом адгезии на твердой фазе / в лимфоцитотоксическом тесте</w:t>
            </w:r>
          </w:p>
        </w:tc>
        <w:tc>
          <w:tcPr>
            <w:tcW w:w="8270" w:type="dxa"/>
            <w:shd w:val="clear" w:color="auto" w:fill="auto"/>
          </w:tcPr>
          <w:p w14:paraId="2B7C5799" w14:textId="77777777" w:rsidR="002927D9" w:rsidRPr="007A2B03" w:rsidRDefault="002927D9" w:rsidP="00CD5E09">
            <w:r w:rsidRPr="007A2B03">
              <w:t>10 мл 10% кальция глюконата и 2 мл клемастина гидрофумарата 1 мг/мл (либо 1 мл дифенгидрамина 10 мг/мл, либо 1 мл хлоропирамина 20 мг/мл) в 100 мл 0,9% раствора NaC</w:t>
            </w:r>
            <w:r w:rsidRPr="007A2B03">
              <w:rPr>
                <w:lang w:val="en-US"/>
              </w:rPr>
              <w:t>l</w:t>
            </w:r>
            <w:r w:rsidRPr="007A2B03">
              <w:t xml:space="preserve"> в/в капельно</w:t>
            </w:r>
          </w:p>
        </w:tc>
      </w:tr>
      <w:tr w:rsidR="002927D9" w:rsidRPr="00915AAD" w14:paraId="21E71815" w14:textId="77777777" w:rsidTr="00CD5E09">
        <w:tc>
          <w:tcPr>
            <w:tcW w:w="3208" w:type="dxa"/>
            <w:vMerge/>
            <w:shd w:val="clear" w:color="auto" w:fill="auto"/>
          </w:tcPr>
          <w:p w14:paraId="1DBE7AB9" w14:textId="77777777" w:rsidR="002927D9" w:rsidRPr="007A2B03" w:rsidRDefault="002927D9" w:rsidP="00CD5E09"/>
        </w:tc>
        <w:tc>
          <w:tcPr>
            <w:tcW w:w="3082" w:type="dxa"/>
            <w:shd w:val="clear" w:color="auto" w:fill="auto"/>
          </w:tcPr>
          <w:p w14:paraId="2F76CE92" w14:textId="77777777" w:rsidR="002927D9" w:rsidRPr="007A2B03" w:rsidRDefault="002927D9" w:rsidP="00CD5E09">
            <w:r w:rsidRPr="007A2B03">
              <w:t>Концентрат тромбоцитов с невозможностью проведения индивидуального подбора</w:t>
            </w:r>
          </w:p>
        </w:tc>
        <w:tc>
          <w:tcPr>
            <w:tcW w:w="8270" w:type="dxa"/>
            <w:shd w:val="clear" w:color="auto" w:fill="auto"/>
          </w:tcPr>
          <w:p w14:paraId="7BDF75D3" w14:textId="77777777" w:rsidR="002927D9" w:rsidRPr="007A2B03" w:rsidRDefault="002927D9" w:rsidP="00CD5E09">
            <w:r w:rsidRPr="007A2B03">
              <w:t>10 мл 10% кальция глюконата и 2 мл клемастина гидрофумарата 1 мг/мл (либо 1 мл дифенгидрамина 10 мг/мл, либо 1 мл хлоропирамина 20 мг/мл) в 100 мл 0,9% раствора NaC</w:t>
            </w:r>
            <w:r w:rsidRPr="007A2B03">
              <w:rPr>
                <w:lang w:val="en-US"/>
              </w:rPr>
              <w:t>l</w:t>
            </w:r>
            <w:r w:rsidRPr="007A2B03">
              <w:t xml:space="preserve"> в/в капельно.</w:t>
            </w:r>
          </w:p>
          <w:p w14:paraId="46B82819" w14:textId="77777777" w:rsidR="002927D9" w:rsidRPr="007A2B03" w:rsidRDefault="002927D9" w:rsidP="00CD5E09">
            <w:r w:rsidRPr="007A2B03">
              <w:t>Индивидуально рассмотреть возможность разового введения глюкокортикостероидов** с целью снижения дальнейшей аллоиммунизации и уменьшения выраженности возможной посттрансфузионной реакции или осложнений на данную трансфузию (</w:t>
            </w:r>
            <w:r w:rsidRPr="007A2B03">
              <w:rPr>
                <w:shd w:val="clear" w:color="auto" w:fill="FFFFFF"/>
              </w:rPr>
              <w:t>следует </w:t>
            </w:r>
            <w:r w:rsidRPr="007A2B03">
              <w:rPr>
                <w:rStyle w:val="affc"/>
                <w:shd w:val="clear" w:color="auto" w:fill="FFFFFF"/>
              </w:rPr>
              <w:t>соотнести</w:t>
            </w:r>
            <w:r w:rsidRPr="007A2B03">
              <w:rPr>
                <w:shd w:val="clear" w:color="auto" w:fill="FFFFFF"/>
              </w:rPr>
              <w:t> потенциальные </w:t>
            </w:r>
            <w:r w:rsidRPr="007A2B03">
              <w:rPr>
                <w:rStyle w:val="affc"/>
                <w:shd w:val="clear" w:color="auto" w:fill="FFFFFF"/>
              </w:rPr>
              <w:t>риски</w:t>
            </w:r>
            <w:r w:rsidRPr="007A2B03">
              <w:rPr>
                <w:shd w:val="clear" w:color="auto" w:fill="FFFFFF"/>
              </w:rPr>
              <w:t> и ожидаемую </w:t>
            </w:r>
            <w:r w:rsidRPr="007A2B03">
              <w:rPr>
                <w:rStyle w:val="affc"/>
                <w:shd w:val="clear" w:color="auto" w:fill="FFFFFF"/>
              </w:rPr>
              <w:t>пользу</w:t>
            </w:r>
            <w:r w:rsidRPr="007A2B03">
              <w:t>).</w:t>
            </w:r>
          </w:p>
        </w:tc>
      </w:tr>
      <w:tr w:rsidR="002927D9" w:rsidRPr="00915AAD" w14:paraId="71A1DDFA" w14:textId="77777777" w:rsidTr="00CD5E09">
        <w:tc>
          <w:tcPr>
            <w:tcW w:w="3208" w:type="dxa"/>
            <w:vMerge/>
            <w:shd w:val="clear" w:color="auto" w:fill="auto"/>
          </w:tcPr>
          <w:p w14:paraId="39939EAB" w14:textId="77777777" w:rsidR="002927D9" w:rsidRPr="007A2B03" w:rsidRDefault="002927D9" w:rsidP="00CD5E09"/>
        </w:tc>
        <w:tc>
          <w:tcPr>
            <w:tcW w:w="3082" w:type="dxa"/>
            <w:shd w:val="clear" w:color="auto" w:fill="auto"/>
          </w:tcPr>
          <w:p w14:paraId="6F3AD312" w14:textId="77777777" w:rsidR="002927D9" w:rsidRPr="007A2B03" w:rsidRDefault="002927D9" w:rsidP="00CD5E09">
            <w:r w:rsidRPr="007A2B03">
              <w:t>Другие компоненты донорской крови</w:t>
            </w:r>
          </w:p>
        </w:tc>
        <w:tc>
          <w:tcPr>
            <w:tcW w:w="8270" w:type="dxa"/>
            <w:shd w:val="clear" w:color="auto" w:fill="auto"/>
          </w:tcPr>
          <w:p w14:paraId="3EC04849" w14:textId="77777777" w:rsidR="002927D9" w:rsidRPr="007A2B03" w:rsidRDefault="002927D9" w:rsidP="00CD5E09">
            <w:r w:rsidRPr="007A2B03">
              <w:t>10 мл 10% кальция глюконата в 100 мл 0,9% раствора NaC</w:t>
            </w:r>
            <w:r w:rsidRPr="007A2B03">
              <w:rPr>
                <w:lang w:val="en-US"/>
              </w:rPr>
              <w:t>l</w:t>
            </w:r>
            <w:r w:rsidRPr="007A2B03">
              <w:t xml:space="preserve"> в/в капельно</w:t>
            </w:r>
          </w:p>
        </w:tc>
      </w:tr>
    </w:tbl>
    <w:p w14:paraId="69CDA845" w14:textId="77777777" w:rsidR="002927D9" w:rsidRPr="00BC3659" w:rsidRDefault="002927D9" w:rsidP="002927D9">
      <w:pPr>
        <w:rPr>
          <w:sz w:val="20"/>
        </w:rPr>
      </w:pPr>
      <w:r w:rsidRPr="00915AAD">
        <w:rPr>
          <w:szCs w:val="24"/>
        </w:rPr>
        <w:t xml:space="preserve">* </w:t>
      </w:r>
      <w:r w:rsidRPr="00BC3659">
        <w:rPr>
          <w:sz w:val="20"/>
        </w:rPr>
        <w:t>Предшествующие реакции и осложнения, связанные с трансфузией донорской крови и (или) ее компонентов, не влияющие на объем последующей премедикации при проведении трансфузионной терапии:</w:t>
      </w:r>
    </w:p>
    <w:p w14:paraId="11BD4100" w14:textId="77777777" w:rsidR="002927D9" w:rsidRPr="00BC3659" w:rsidRDefault="002927D9" w:rsidP="008C1767">
      <w:pPr>
        <w:pStyle w:val="afff3"/>
        <w:widowControl/>
        <w:numPr>
          <w:ilvl w:val="0"/>
          <w:numId w:val="65"/>
        </w:numPr>
        <w:autoSpaceDE/>
        <w:autoSpaceDN/>
        <w:adjustRightInd/>
        <w:rPr>
          <w:sz w:val="20"/>
        </w:rPr>
      </w:pPr>
      <w:r w:rsidRPr="00BC3659">
        <w:rPr>
          <w:sz w:val="20"/>
        </w:rPr>
        <w:t>Иммунные:</w:t>
      </w:r>
    </w:p>
    <w:p w14:paraId="24735FFD" w14:textId="77777777" w:rsidR="002927D9" w:rsidRPr="00BC3659" w:rsidRDefault="002927D9" w:rsidP="008C1767">
      <w:pPr>
        <w:pStyle w:val="afff3"/>
        <w:widowControl/>
        <w:numPr>
          <w:ilvl w:val="0"/>
          <w:numId w:val="60"/>
        </w:numPr>
        <w:autoSpaceDE/>
        <w:autoSpaceDN/>
        <w:adjustRightInd/>
        <w:rPr>
          <w:sz w:val="20"/>
        </w:rPr>
      </w:pPr>
      <w:r w:rsidRPr="00BC3659">
        <w:rPr>
          <w:sz w:val="20"/>
        </w:rPr>
        <w:t>Обусловленное трансфузией острое повреждение легких</w:t>
      </w:r>
    </w:p>
    <w:p w14:paraId="79362F38" w14:textId="77777777" w:rsidR="002927D9" w:rsidRPr="00BC3659" w:rsidRDefault="002927D9" w:rsidP="008C1767">
      <w:pPr>
        <w:pStyle w:val="afff3"/>
        <w:widowControl/>
        <w:numPr>
          <w:ilvl w:val="0"/>
          <w:numId w:val="60"/>
        </w:numPr>
        <w:autoSpaceDE/>
        <w:autoSpaceDN/>
        <w:adjustRightInd/>
        <w:rPr>
          <w:sz w:val="20"/>
        </w:rPr>
      </w:pPr>
      <w:r w:rsidRPr="00BC3659">
        <w:rPr>
          <w:sz w:val="20"/>
        </w:rPr>
        <w:t>Обусловленная трансфузией одышка</w:t>
      </w:r>
    </w:p>
    <w:p w14:paraId="2EBE6E08" w14:textId="77777777" w:rsidR="002927D9" w:rsidRPr="00BC3659" w:rsidRDefault="002927D9" w:rsidP="008C1767">
      <w:pPr>
        <w:pStyle w:val="afff3"/>
        <w:widowControl/>
        <w:numPr>
          <w:ilvl w:val="0"/>
          <w:numId w:val="65"/>
        </w:numPr>
        <w:autoSpaceDE/>
        <w:autoSpaceDN/>
        <w:adjustRightInd/>
        <w:rPr>
          <w:sz w:val="20"/>
        </w:rPr>
      </w:pPr>
      <w:r w:rsidRPr="00BC3659">
        <w:rPr>
          <w:sz w:val="20"/>
        </w:rPr>
        <w:t>Неиммуные:</w:t>
      </w:r>
    </w:p>
    <w:p w14:paraId="5A8FF7F4" w14:textId="77777777" w:rsidR="002927D9" w:rsidRPr="00BC3659" w:rsidRDefault="002927D9" w:rsidP="008C1767">
      <w:pPr>
        <w:pStyle w:val="afff3"/>
        <w:widowControl/>
        <w:numPr>
          <w:ilvl w:val="0"/>
          <w:numId w:val="62"/>
        </w:numPr>
        <w:autoSpaceDE/>
        <w:autoSpaceDN/>
        <w:adjustRightInd/>
        <w:rPr>
          <w:sz w:val="20"/>
        </w:rPr>
      </w:pPr>
      <w:r w:rsidRPr="00BC3659">
        <w:rPr>
          <w:sz w:val="20"/>
        </w:rPr>
        <w:t>Обусловленная трансфузией циркуляторная перегрузка</w:t>
      </w:r>
    </w:p>
    <w:p w14:paraId="60283DAE" w14:textId="77777777" w:rsidR="002927D9" w:rsidRPr="00BC3659" w:rsidRDefault="002927D9" w:rsidP="008C1767">
      <w:pPr>
        <w:pStyle w:val="afff3"/>
        <w:widowControl/>
        <w:numPr>
          <w:ilvl w:val="0"/>
          <w:numId w:val="62"/>
        </w:numPr>
        <w:autoSpaceDE/>
        <w:autoSpaceDN/>
        <w:adjustRightInd/>
        <w:rPr>
          <w:sz w:val="20"/>
        </w:rPr>
      </w:pPr>
      <w:r w:rsidRPr="00BC3659">
        <w:rPr>
          <w:sz w:val="20"/>
        </w:rPr>
        <w:t>Посттрансфузионная гипертензия</w:t>
      </w:r>
    </w:p>
    <w:p w14:paraId="02D32796" w14:textId="77777777" w:rsidR="002927D9" w:rsidRPr="00BC3659" w:rsidRDefault="002927D9" w:rsidP="008C1767">
      <w:pPr>
        <w:pStyle w:val="afff3"/>
        <w:widowControl/>
        <w:numPr>
          <w:ilvl w:val="0"/>
          <w:numId w:val="62"/>
        </w:numPr>
        <w:autoSpaceDE/>
        <w:autoSpaceDN/>
        <w:adjustRightInd/>
        <w:rPr>
          <w:sz w:val="20"/>
        </w:rPr>
      </w:pPr>
      <w:r w:rsidRPr="00BC3659">
        <w:rPr>
          <w:sz w:val="20"/>
        </w:rPr>
        <w:t>Острый неиммунный гемолиз</w:t>
      </w:r>
    </w:p>
    <w:p w14:paraId="79A26421" w14:textId="77777777" w:rsidR="002927D9" w:rsidRPr="00BC3659" w:rsidRDefault="002927D9" w:rsidP="008C1767">
      <w:pPr>
        <w:pStyle w:val="afff3"/>
        <w:widowControl/>
        <w:numPr>
          <w:ilvl w:val="0"/>
          <w:numId w:val="62"/>
        </w:numPr>
        <w:autoSpaceDE/>
        <w:autoSpaceDN/>
        <w:adjustRightInd/>
        <w:rPr>
          <w:sz w:val="20"/>
        </w:rPr>
      </w:pPr>
      <w:r w:rsidRPr="00BC3659">
        <w:rPr>
          <w:sz w:val="20"/>
        </w:rPr>
        <w:t>Септический шок</w:t>
      </w:r>
    </w:p>
    <w:p w14:paraId="65E8407F" w14:textId="77777777" w:rsidR="002927D9" w:rsidRPr="00BC3659" w:rsidRDefault="002927D9" w:rsidP="008C1767">
      <w:pPr>
        <w:pStyle w:val="afff3"/>
        <w:widowControl/>
        <w:numPr>
          <w:ilvl w:val="0"/>
          <w:numId w:val="62"/>
        </w:numPr>
        <w:autoSpaceDE/>
        <w:autoSpaceDN/>
        <w:adjustRightInd/>
        <w:rPr>
          <w:sz w:val="20"/>
        </w:rPr>
      </w:pPr>
      <w:r w:rsidRPr="00BC3659">
        <w:rPr>
          <w:sz w:val="20"/>
        </w:rPr>
        <w:t>Хроническая перегрузка железом</w:t>
      </w:r>
    </w:p>
    <w:p w14:paraId="19FF384F" w14:textId="77777777" w:rsidR="002927D9" w:rsidRPr="00BC3659" w:rsidRDefault="002927D9" w:rsidP="002927D9">
      <w:pPr>
        <w:rPr>
          <w:sz w:val="20"/>
        </w:rPr>
      </w:pPr>
      <w:r w:rsidRPr="00BC3659">
        <w:rPr>
          <w:sz w:val="20"/>
        </w:rPr>
        <w:t xml:space="preserve">** Решение вопроса о введении глюкокортикостероидов и выбор дозы зависит от выраженности посттрансфузионной реакции или осложнения в анамнезе, степени тяжести сопутствующей патологии – инфекционные осложнения (особенно в период глубокой нейтропении), сахарный диабет, артериальная гипертензия и другие. Глюкокортикостероидные препараты в эквивалентных дозировках, применяемые в качестве премедикации перед трансфузией: 10-50 мг преднизолона, либо 2-6 мг дексаметазона, либо 25-100 мг гидрокортизона, либо 62,5-250 мг метилпреднизолона. </w:t>
      </w:r>
    </w:p>
    <w:p w14:paraId="6F1FDEF3" w14:textId="77777777" w:rsidR="002927D9" w:rsidRDefault="002927D9" w:rsidP="002927D9">
      <w:pPr>
        <w:rPr>
          <w:b/>
          <w:szCs w:val="24"/>
        </w:rPr>
      </w:pPr>
    </w:p>
    <w:p w14:paraId="34B90F95" w14:textId="77777777" w:rsidR="002927D9" w:rsidRPr="00360841" w:rsidRDefault="002927D9" w:rsidP="002927D9">
      <w:pPr>
        <w:rPr>
          <w:i/>
          <w:szCs w:val="24"/>
          <w:u w:val="single"/>
        </w:rPr>
      </w:pPr>
      <w:r w:rsidRPr="00360841">
        <w:rPr>
          <w:i/>
          <w:szCs w:val="24"/>
          <w:u w:val="single"/>
        </w:rPr>
        <w:t xml:space="preserve">Лечебный плазмаферез в терапии рефрактерности к трансфузиям тромбоцитов </w:t>
      </w:r>
    </w:p>
    <w:p w14:paraId="3A9791FC" w14:textId="77777777" w:rsidR="002927D9" w:rsidRPr="003A7159" w:rsidRDefault="002927D9" w:rsidP="002927D9">
      <w:pPr>
        <w:pStyle w:val="afff3"/>
        <w:ind w:left="0" w:firstLine="709"/>
        <w:rPr>
          <w:szCs w:val="24"/>
        </w:rPr>
      </w:pPr>
      <w:r w:rsidRPr="003A7159">
        <w:rPr>
          <w:szCs w:val="24"/>
        </w:rPr>
        <w:t xml:space="preserve">Если с помощью индивидуального подбора донорских </w:t>
      </w:r>
      <w:r>
        <w:rPr>
          <w:szCs w:val="24"/>
        </w:rPr>
        <w:t>т</w:t>
      </w:r>
      <w:r w:rsidRPr="003A7159">
        <w:rPr>
          <w:szCs w:val="24"/>
        </w:rPr>
        <w:t xml:space="preserve">ромбоцитов не удаётся получить достаточный прирост тромбоцитов и клинический эффект от  трансфузий </w:t>
      </w:r>
      <w:r>
        <w:rPr>
          <w:szCs w:val="24"/>
        </w:rPr>
        <w:t>концентрата тромбоцитов</w:t>
      </w:r>
      <w:r w:rsidRPr="003A7159">
        <w:rPr>
          <w:szCs w:val="24"/>
        </w:rPr>
        <w:t xml:space="preserve">, то для улучшения эффективности индивидуального подбора </w:t>
      </w:r>
      <w:r w:rsidRPr="003A7159">
        <w:rPr>
          <w:szCs w:val="24"/>
        </w:rPr>
        <w:lastRenderedPageBreak/>
        <w:t xml:space="preserve">пары «донор-реципиент» к терапии добавляют процедуры плазмафереза. В основе развивающейся рефрактерности к трансфузиям </w:t>
      </w:r>
      <w:r>
        <w:rPr>
          <w:szCs w:val="24"/>
        </w:rPr>
        <w:t>концентрата тромбоцитов</w:t>
      </w:r>
      <w:r w:rsidRPr="003A7159">
        <w:rPr>
          <w:szCs w:val="24"/>
        </w:rPr>
        <w:t xml:space="preserve"> лежит аллосенсибилизация реципиента лейкоцитарными и тромбоцитарными антигенами донорских клеток крови. </w:t>
      </w:r>
      <w:r>
        <w:rPr>
          <w:szCs w:val="24"/>
        </w:rPr>
        <w:t>В этом случае ц</w:t>
      </w:r>
      <w:r w:rsidRPr="003A7159">
        <w:rPr>
          <w:szCs w:val="24"/>
        </w:rPr>
        <w:t>елью проведения ПА является уменьшение концентрации циркулирующих аллоантител и иммунных комплексов.</w:t>
      </w:r>
    </w:p>
    <w:p w14:paraId="63C835A1" w14:textId="77777777" w:rsidR="002927D9" w:rsidRPr="003A7159" w:rsidRDefault="002927D9" w:rsidP="002927D9">
      <w:pPr>
        <w:pStyle w:val="afff3"/>
        <w:ind w:left="0" w:firstLine="709"/>
        <w:rPr>
          <w:szCs w:val="24"/>
        </w:rPr>
      </w:pPr>
      <w:r w:rsidRPr="003A7159">
        <w:rPr>
          <w:szCs w:val="24"/>
        </w:rPr>
        <w:t>Для преод</w:t>
      </w:r>
      <w:r>
        <w:rPr>
          <w:szCs w:val="24"/>
        </w:rPr>
        <w:t>о</w:t>
      </w:r>
      <w:r w:rsidRPr="003A7159">
        <w:rPr>
          <w:szCs w:val="24"/>
        </w:rPr>
        <w:t xml:space="preserve">ления рефрактерности к трансфузиям </w:t>
      </w:r>
      <w:r>
        <w:rPr>
          <w:szCs w:val="24"/>
        </w:rPr>
        <w:t>концентрата тромбоцитов</w:t>
      </w:r>
      <w:r w:rsidRPr="003A7159">
        <w:rPr>
          <w:szCs w:val="24"/>
        </w:rPr>
        <w:t xml:space="preserve"> в большинстве случаев достаточно провести 5-6 процедур (от 2 до 15 процедур) ПА в сочетании с индивидуальным подбором тромбоцитов. </w:t>
      </w:r>
    </w:p>
    <w:p w14:paraId="12BE4D77" w14:textId="77777777" w:rsidR="002927D9" w:rsidRPr="00736DDC" w:rsidRDefault="002927D9" w:rsidP="008C1767">
      <w:pPr>
        <w:pStyle w:val="afff3"/>
        <w:widowControl/>
        <w:numPr>
          <w:ilvl w:val="0"/>
          <w:numId w:val="195"/>
        </w:numPr>
        <w:autoSpaceDE/>
        <w:autoSpaceDN/>
        <w:adjustRightInd/>
        <w:rPr>
          <w:szCs w:val="24"/>
        </w:rPr>
      </w:pPr>
      <w:r w:rsidRPr="00736DDC">
        <w:rPr>
          <w:szCs w:val="24"/>
        </w:rPr>
        <w:t xml:space="preserve">ПА проводятся 2-3 раза в неделю с интервалом 2-3 дня. </w:t>
      </w:r>
    </w:p>
    <w:p w14:paraId="29AE77E4" w14:textId="77777777" w:rsidR="002927D9" w:rsidRPr="00736DDC" w:rsidRDefault="002927D9" w:rsidP="008C1767">
      <w:pPr>
        <w:pStyle w:val="afff3"/>
        <w:widowControl/>
        <w:numPr>
          <w:ilvl w:val="0"/>
          <w:numId w:val="195"/>
        </w:numPr>
        <w:autoSpaceDE/>
        <w:autoSpaceDN/>
        <w:adjustRightInd/>
        <w:rPr>
          <w:szCs w:val="24"/>
        </w:rPr>
      </w:pPr>
      <w:r w:rsidRPr="00736DDC">
        <w:rPr>
          <w:szCs w:val="24"/>
        </w:rPr>
        <w:t>Объём удаляемой плазмы:</w:t>
      </w:r>
      <w:r>
        <w:rPr>
          <w:szCs w:val="24"/>
        </w:rPr>
        <w:t xml:space="preserve"> </w:t>
      </w:r>
      <w:r w:rsidRPr="00736DDC">
        <w:rPr>
          <w:szCs w:val="24"/>
        </w:rPr>
        <w:t xml:space="preserve">за одну процедуру удаляется 0,5 </w:t>
      </w:r>
      <w:r>
        <w:rPr>
          <w:szCs w:val="24"/>
        </w:rPr>
        <w:t>ОЦП</w:t>
      </w:r>
      <w:r w:rsidRPr="00736DDC">
        <w:rPr>
          <w:szCs w:val="24"/>
        </w:rPr>
        <w:t>, в среднем 1500</w:t>
      </w:r>
      <w:r>
        <w:rPr>
          <w:szCs w:val="24"/>
        </w:rPr>
        <w:t xml:space="preserve"> </w:t>
      </w:r>
      <w:r w:rsidRPr="00736DDC">
        <w:rPr>
          <w:szCs w:val="24"/>
        </w:rPr>
        <w:t>мл</w:t>
      </w:r>
      <w:r>
        <w:rPr>
          <w:szCs w:val="24"/>
        </w:rPr>
        <w:t xml:space="preserve"> (1000 – </w:t>
      </w:r>
      <w:r w:rsidRPr="00736DDC">
        <w:rPr>
          <w:szCs w:val="24"/>
        </w:rPr>
        <w:t>2000</w:t>
      </w:r>
      <w:r>
        <w:rPr>
          <w:szCs w:val="24"/>
        </w:rPr>
        <w:t xml:space="preserve"> </w:t>
      </w:r>
      <w:r w:rsidRPr="00736DDC">
        <w:rPr>
          <w:szCs w:val="24"/>
        </w:rPr>
        <w:t>мл)</w:t>
      </w:r>
      <w:r>
        <w:rPr>
          <w:szCs w:val="24"/>
        </w:rPr>
        <w:t>.</w:t>
      </w:r>
    </w:p>
    <w:p w14:paraId="253A3F5F" w14:textId="21ADD36A" w:rsidR="002927D9" w:rsidRPr="003A7159" w:rsidRDefault="002927D9" w:rsidP="002927D9">
      <w:pPr>
        <w:ind w:firstLine="709"/>
        <w:rPr>
          <w:szCs w:val="24"/>
        </w:rPr>
      </w:pPr>
      <w:r w:rsidRPr="003A7159">
        <w:rPr>
          <w:szCs w:val="24"/>
        </w:rPr>
        <w:t xml:space="preserve">С целью </w:t>
      </w:r>
      <w:r w:rsidR="00AC5387" w:rsidRPr="003A7159">
        <w:rPr>
          <w:szCs w:val="24"/>
        </w:rPr>
        <w:t>предупреждения дополнительной</w:t>
      </w:r>
      <w:r w:rsidRPr="003A7159">
        <w:rPr>
          <w:szCs w:val="24"/>
        </w:rPr>
        <w:t xml:space="preserve"> аллоиммунизации антигенами донорских клеток крови и белками донорской плазмы замещение объёма удалённой плазмы проводится 5%, 10%, 20% раствором альбумина и раствором</w:t>
      </w:r>
      <w:r>
        <w:rPr>
          <w:szCs w:val="24"/>
        </w:rPr>
        <w:t xml:space="preserve"> натрия хлорида 0,9%</w:t>
      </w:r>
      <w:r w:rsidRPr="003A7159">
        <w:rPr>
          <w:szCs w:val="24"/>
        </w:rPr>
        <w:t>.</w:t>
      </w:r>
    </w:p>
    <w:p w14:paraId="469DD54F" w14:textId="77777777" w:rsidR="002927D9" w:rsidRDefault="002927D9" w:rsidP="002927D9">
      <w:pPr>
        <w:ind w:firstLine="709"/>
        <w:rPr>
          <w:szCs w:val="24"/>
        </w:rPr>
      </w:pPr>
      <w:r w:rsidRPr="003A7159">
        <w:rPr>
          <w:szCs w:val="24"/>
        </w:rPr>
        <w:t xml:space="preserve">Соотношение раствора 5% альбумина и </w:t>
      </w:r>
      <w:r>
        <w:rPr>
          <w:szCs w:val="24"/>
        </w:rPr>
        <w:t>р</w:t>
      </w:r>
      <w:r w:rsidRPr="00623297">
        <w:rPr>
          <w:szCs w:val="24"/>
        </w:rPr>
        <w:t>аствор</w:t>
      </w:r>
      <w:r>
        <w:rPr>
          <w:szCs w:val="24"/>
        </w:rPr>
        <w:t>а</w:t>
      </w:r>
      <w:r w:rsidRPr="00623297">
        <w:rPr>
          <w:szCs w:val="24"/>
        </w:rPr>
        <w:t xml:space="preserve"> </w:t>
      </w:r>
      <w:r>
        <w:rPr>
          <w:szCs w:val="24"/>
        </w:rPr>
        <w:t xml:space="preserve">натрия хлорида 0,9% </w:t>
      </w:r>
      <w:r w:rsidRPr="003A7159">
        <w:rPr>
          <w:szCs w:val="24"/>
        </w:rPr>
        <w:t>1:1 при уровне общего белка ≥ 65г/л</w:t>
      </w:r>
      <w:r>
        <w:rPr>
          <w:szCs w:val="24"/>
        </w:rPr>
        <w:t xml:space="preserve">: </w:t>
      </w:r>
    </w:p>
    <w:p w14:paraId="300D2193" w14:textId="77777777" w:rsidR="002927D9" w:rsidRPr="009A1835" w:rsidRDefault="002927D9" w:rsidP="008C1767">
      <w:pPr>
        <w:pStyle w:val="afff3"/>
        <w:widowControl/>
        <w:numPr>
          <w:ilvl w:val="0"/>
          <w:numId w:val="196"/>
        </w:numPr>
        <w:autoSpaceDE/>
        <w:autoSpaceDN/>
        <w:adjustRightInd/>
        <w:rPr>
          <w:szCs w:val="24"/>
        </w:rPr>
      </w:pPr>
      <w:r w:rsidRPr="009A1835">
        <w:rPr>
          <w:szCs w:val="24"/>
        </w:rPr>
        <w:t xml:space="preserve">Альбумин 5% - (500мл – 1000мл) в среднем 800 мл; </w:t>
      </w:r>
    </w:p>
    <w:p w14:paraId="02CDD122" w14:textId="77777777" w:rsidR="002927D9" w:rsidRPr="009A1835" w:rsidRDefault="002927D9" w:rsidP="008C1767">
      <w:pPr>
        <w:pStyle w:val="afff3"/>
        <w:widowControl/>
        <w:numPr>
          <w:ilvl w:val="0"/>
          <w:numId w:val="196"/>
        </w:numPr>
        <w:autoSpaceDE/>
        <w:autoSpaceDN/>
        <w:adjustRightInd/>
        <w:rPr>
          <w:szCs w:val="24"/>
        </w:rPr>
      </w:pPr>
      <w:r>
        <w:rPr>
          <w:szCs w:val="24"/>
        </w:rPr>
        <w:t>Р</w:t>
      </w:r>
      <w:r w:rsidRPr="00623297">
        <w:rPr>
          <w:szCs w:val="24"/>
        </w:rPr>
        <w:t xml:space="preserve">аствор </w:t>
      </w:r>
      <w:r>
        <w:rPr>
          <w:szCs w:val="24"/>
        </w:rPr>
        <w:t xml:space="preserve">натрия хлорида 0,9% </w:t>
      </w:r>
      <w:r w:rsidRPr="009A1835">
        <w:rPr>
          <w:szCs w:val="24"/>
        </w:rPr>
        <w:t>в среднем 800 мл (500 – 1000 мл).</w:t>
      </w:r>
    </w:p>
    <w:p w14:paraId="2CDCB8D4" w14:textId="77777777" w:rsidR="002927D9" w:rsidRDefault="002927D9" w:rsidP="002927D9">
      <w:pPr>
        <w:rPr>
          <w:szCs w:val="24"/>
          <w:u w:val="single"/>
        </w:rPr>
      </w:pPr>
    </w:p>
    <w:p w14:paraId="2AAB6EB1" w14:textId="77777777" w:rsidR="002927D9" w:rsidRDefault="002927D9" w:rsidP="002927D9">
      <w:pPr>
        <w:ind w:firstLine="709"/>
        <w:rPr>
          <w:szCs w:val="24"/>
          <w:u w:val="single"/>
        </w:rPr>
      </w:pPr>
      <w:r w:rsidRPr="00623297">
        <w:rPr>
          <w:szCs w:val="24"/>
          <w:u w:val="single"/>
        </w:rPr>
        <w:t>Методические аспекты проведения ПА при тромбоцитопении, рефрактерной к трансфузиям концентрата тромбоцитов:</w:t>
      </w:r>
      <w:r>
        <w:rPr>
          <w:szCs w:val="24"/>
          <w:u w:val="single"/>
        </w:rPr>
        <w:t xml:space="preserve"> </w:t>
      </w:r>
    </w:p>
    <w:p w14:paraId="0DC24655" w14:textId="35ADE0C8" w:rsidR="002927D9" w:rsidRPr="00623297" w:rsidRDefault="002927D9" w:rsidP="008C1767">
      <w:pPr>
        <w:pStyle w:val="afff3"/>
        <w:widowControl/>
        <w:numPr>
          <w:ilvl w:val="0"/>
          <w:numId w:val="197"/>
        </w:numPr>
        <w:autoSpaceDE/>
        <w:autoSpaceDN/>
        <w:adjustRightInd/>
        <w:rPr>
          <w:szCs w:val="24"/>
          <w:u w:val="single"/>
        </w:rPr>
      </w:pPr>
      <w:r w:rsidRPr="00623297">
        <w:rPr>
          <w:szCs w:val="24"/>
        </w:rPr>
        <w:t xml:space="preserve">При наличии </w:t>
      </w:r>
      <w:r w:rsidR="00AC5387" w:rsidRPr="00623297">
        <w:rPr>
          <w:szCs w:val="24"/>
        </w:rPr>
        <w:t>глубокой тромбоцитопении</w:t>
      </w:r>
      <w:r w:rsidRPr="00623297">
        <w:rPr>
          <w:szCs w:val="24"/>
        </w:rPr>
        <w:t xml:space="preserve"> (≤ 20х10</w:t>
      </w:r>
      <w:r w:rsidRPr="00623297">
        <w:rPr>
          <w:szCs w:val="24"/>
          <w:vertAlign w:val="superscript"/>
        </w:rPr>
        <w:t>9</w:t>
      </w:r>
      <w:r w:rsidRPr="00623297">
        <w:rPr>
          <w:szCs w:val="24"/>
        </w:rPr>
        <w:t xml:space="preserve">/л) перед </w:t>
      </w:r>
      <w:r w:rsidR="00AC5387" w:rsidRPr="00623297">
        <w:rPr>
          <w:szCs w:val="24"/>
        </w:rPr>
        <w:t>началом проведения</w:t>
      </w:r>
      <w:r w:rsidRPr="00623297">
        <w:rPr>
          <w:szCs w:val="24"/>
        </w:rPr>
        <w:t xml:space="preserve"> процедуры ПА необходимо провести трансфузию 4 – 6 доз тромбоцитов, заказать концентрат тромбоцитов для трансфузии после окончания процедуры ПА.</w:t>
      </w:r>
    </w:p>
    <w:p w14:paraId="7110F009" w14:textId="77777777" w:rsidR="002927D9" w:rsidRPr="00C62ED8" w:rsidRDefault="002927D9" w:rsidP="008C1767">
      <w:pPr>
        <w:pStyle w:val="afff3"/>
        <w:widowControl/>
        <w:numPr>
          <w:ilvl w:val="0"/>
          <w:numId w:val="197"/>
        </w:numPr>
        <w:autoSpaceDE/>
        <w:autoSpaceDN/>
        <w:adjustRightInd/>
        <w:rPr>
          <w:szCs w:val="24"/>
        </w:rPr>
      </w:pPr>
      <w:r w:rsidRPr="00C62ED8">
        <w:rPr>
          <w:szCs w:val="24"/>
        </w:rPr>
        <w:t>После проведённой процедуры ПА уровень общего белка плазмы должен быть ≥ 50г/л; если уровень общего белка плазмы будет меньше, то требуется дополнительное введение альбумина.</w:t>
      </w:r>
    </w:p>
    <w:p w14:paraId="31D57C36" w14:textId="77777777" w:rsidR="002927D9" w:rsidRDefault="002927D9" w:rsidP="008C1767">
      <w:pPr>
        <w:pStyle w:val="afff3"/>
        <w:widowControl/>
        <w:numPr>
          <w:ilvl w:val="0"/>
          <w:numId w:val="197"/>
        </w:numPr>
        <w:autoSpaceDE/>
        <w:autoSpaceDN/>
        <w:adjustRightInd/>
        <w:rPr>
          <w:szCs w:val="24"/>
        </w:rPr>
      </w:pPr>
      <w:r w:rsidRPr="00623297">
        <w:rPr>
          <w:szCs w:val="24"/>
        </w:rPr>
        <w:t xml:space="preserve">После каждых 2 – 3 процедур ПА необходим контроль уровня сывороточного белка и коагулограммы для исключения дефицита факторов свёртывания крови и развития геморрагического синдрома. При сохранении дефицита факторов свёртывания крови замещение объёма удалённой плазмы надо проводить СЗП + р-ром 5% альбумина  и </w:t>
      </w:r>
      <w:r>
        <w:rPr>
          <w:szCs w:val="24"/>
        </w:rPr>
        <w:t>р</w:t>
      </w:r>
      <w:r w:rsidRPr="00623297">
        <w:rPr>
          <w:szCs w:val="24"/>
        </w:rPr>
        <w:t>аствор</w:t>
      </w:r>
      <w:r>
        <w:rPr>
          <w:szCs w:val="24"/>
        </w:rPr>
        <w:t>ом</w:t>
      </w:r>
      <w:r w:rsidRPr="00623297">
        <w:rPr>
          <w:szCs w:val="24"/>
        </w:rPr>
        <w:t xml:space="preserve"> </w:t>
      </w:r>
      <w:r>
        <w:rPr>
          <w:szCs w:val="24"/>
        </w:rPr>
        <w:t>натрия хлорида 0,9%</w:t>
      </w:r>
      <w:r w:rsidRPr="00623297">
        <w:rPr>
          <w:szCs w:val="24"/>
        </w:rPr>
        <w:t xml:space="preserve">. </w:t>
      </w:r>
    </w:p>
    <w:p w14:paraId="660AEFAB" w14:textId="77777777" w:rsidR="002927D9" w:rsidRPr="00623297" w:rsidRDefault="002927D9" w:rsidP="008C1767">
      <w:pPr>
        <w:pStyle w:val="afff3"/>
        <w:widowControl/>
        <w:numPr>
          <w:ilvl w:val="0"/>
          <w:numId w:val="197"/>
        </w:numPr>
        <w:autoSpaceDE/>
        <w:autoSpaceDN/>
        <w:adjustRightInd/>
        <w:rPr>
          <w:szCs w:val="24"/>
        </w:rPr>
      </w:pPr>
      <w:r w:rsidRPr="00623297">
        <w:rPr>
          <w:szCs w:val="24"/>
        </w:rPr>
        <w:t xml:space="preserve">Соотношение СЗП + раствора 5% альбумина и </w:t>
      </w:r>
      <w:r>
        <w:rPr>
          <w:szCs w:val="24"/>
        </w:rPr>
        <w:t>р</w:t>
      </w:r>
      <w:r w:rsidRPr="00623297">
        <w:rPr>
          <w:szCs w:val="24"/>
        </w:rPr>
        <w:t>аствор</w:t>
      </w:r>
      <w:r>
        <w:rPr>
          <w:szCs w:val="24"/>
        </w:rPr>
        <w:t>а</w:t>
      </w:r>
      <w:r w:rsidRPr="00623297">
        <w:rPr>
          <w:szCs w:val="24"/>
        </w:rPr>
        <w:t xml:space="preserve"> </w:t>
      </w:r>
      <w:r>
        <w:rPr>
          <w:szCs w:val="24"/>
        </w:rPr>
        <w:t xml:space="preserve">натрия хлорида 0,9% </w:t>
      </w:r>
      <w:r w:rsidRPr="00623297">
        <w:rPr>
          <w:szCs w:val="24"/>
        </w:rPr>
        <w:t xml:space="preserve">1:1 при уровне общего белка ≥ 65г/л </w:t>
      </w:r>
    </w:p>
    <w:p w14:paraId="4C995AF9" w14:textId="1E8071BE" w:rsidR="002927D9" w:rsidRPr="00623297" w:rsidRDefault="002927D9" w:rsidP="008C1767">
      <w:pPr>
        <w:pStyle w:val="afff3"/>
        <w:widowControl/>
        <w:numPr>
          <w:ilvl w:val="0"/>
          <w:numId w:val="198"/>
        </w:numPr>
        <w:autoSpaceDE/>
        <w:autoSpaceDN/>
        <w:adjustRightInd/>
        <w:rPr>
          <w:szCs w:val="24"/>
        </w:rPr>
      </w:pPr>
      <w:r w:rsidRPr="00623297">
        <w:rPr>
          <w:szCs w:val="24"/>
        </w:rPr>
        <w:t xml:space="preserve">СЗП </w:t>
      </w:r>
      <w:r w:rsidR="00AC5387" w:rsidRPr="00623297">
        <w:rPr>
          <w:szCs w:val="24"/>
        </w:rPr>
        <w:t>– в</w:t>
      </w:r>
      <w:r w:rsidRPr="00623297">
        <w:rPr>
          <w:szCs w:val="24"/>
        </w:rPr>
        <w:t xml:space="preserve"> среднем 500</w:t>
      </w:r>
      <w:r>
        <w:rPr>
          <w:szCs w:val="24"/>
        </w:rPr>
        <w:t xml:space="preserve"> </w:t>
      </w:r>
      <w:r w:rsidRPr="00623297">
        <w:rPr>
          <w:szCs w:val="24"/>
        </w:rPr>
        <w:t>мл</w:t>
      </w:r>
      <w:r>
        <w:rPr>
          <w:szCs w:val="24"/>
        </w:rPr>
        <w:t xml:space="preserve"> (500 – </w:t>
      </w:r>
      <w:r w:rsidRPr="00623297">
        <w:rPr>
          <w:szCs w:val="24"/>
        </w:rPr>
        <w:t>1000</w:t>
      </w:r>
      <w:r>
        <w:rPr>
          <w:szCs w:val="24"/>
        </w:rPr>
        <w:t xml:space="preserve"> </w:t>
      </w:r>
      <w:r w:rsidRPr="00623297">
        <w:rPr>
          <w:szCs w:val="24"/>
        </w:rPr>
        <w:t>мл);</w:t>
      </w:r>
    </w:p>
    <w:p w14:paraId="3243D2DB" w14:textId="770FD734" w:rsidR="002927D9" w:rsidRPr="00623297" w:rsidRDefault="002927D9" w:rsidP="008C1767">
      <w:pPr>
        <w:pStyle w:val="afff3"/>
        <w:widowControl/>
        <w:numPr>
          <w:ilvl w:val="0"/>
          <w:numId w:val="198"/>
        </w:numPr>
        <w:autoSpaceDE/>
        <w:autoSpaceDN/>
        <w:adjustRightInd/>
        <w:rPr>
          <w:szCs w:val="24"/>
        </w:rPr>
      </w:pPr>
      <w:r>
        <w:rPr>
          <w:szCs w:val="24"/>
        </w:rPr>
        <w:lastRenderedPageBreak/>
        <w:t>Альбумин 5</w:t>
      </w:r>
      <w:r w:rsidR="00AC5387">
        <w:rPr>
          <w:szCs w:val="24"/>
        </w:rPr>
        <w:t>% 200</w:t>
      </w:r>
      <w:r>
        <w:rPr>
          <w:szCs w:val="24"/>
        </w:rPr>
        <w:t xml:space="preserve"> – </w:t>
      </w:r>
      <w:r w:rsidRPr="00623297">
        <w:rPr>
          <w:szCs w:val="24"/>
        </w:rPr>
        <w:t>300мл (10 - 15г);</w:t>
      </w:r>
    </w:p>
    <w:p w14:paraId="6EFCF193" w14:textId="77777777" w:rsidR="002927D9" w:rsidRPr="00623297" w:rsidRDefault="002927D9" w:rsidP="008C1767">
      <w:pPr>
        <w:pStyle w:val="afff3"/>
        <w:widowControl/>
        <w:numPr>
          <w:ilvl w:val="0"/>
          <w:numId w:val="198"/>
        </w:numPr>
        <w:autoSpaceDE/>
        <w:autoSpaceDN/>
        <w:adjustRightInd/>
        <w:rPr>
          <w:szCs w:val="24"/>
        </w:rPr>
      </w:pPr>
      <w:r>
        <w:rPr>
          <w:szCs w:val="24"/>
        </w:rPr>
        <w:t>Р</w:t>
      </w:r>
      <w:r w:rsidRPr="00623297">
        <w:rPr>
          <w:szCs w:val="24"/>
        </w:rPr>
        <w:t xml:space="preserve">аствор </w:t>
      </w:r>
      <w:r>
        <w:rPr>
          <w:szCs w:val="24"/>
        </w:rPr>
        <w:t xml:space="preserve">натрия хлорида 0,9% </w:t>
      </w:r>
      <w:r w:rsidRPr="00623297">
        <w:rPr>
          <w:szCs w:val="24"/>
        </w:rPr>
        <w:t>в среднем 800</w:t>
      </w:r>
      <w:r>
        <w:rPr>
          <w:szCs w:val="24"/>
        </w:rPr>
        <w:t xml:space="preserve"> </w:t>
      </w:r>
      <w:r w:rsidRPr="00623297">
        <w:rPr>
          <w:szCs w:val="24"/>
        </w:rPr>
        <w:t>мл</w:t>
      </w:r>
      <w:r>
        <w:rPr>
          <w:szCs w:val="24"/>
        </w:rPr>
        <w:t xml:space="preserve"> </w:t>
      </w:r>
      <w:r w:rsidRPr="003A7159">
        <w:rPr>
          <w:szCs w:val="24"/>
        </w:rPr>
        <w:t>(500 – 1000</w:t>
      </w:r>
      <w:r>
        <w:rPr>
          <w:szCs w:val="24"/>
        </w:rPr>
        <w:t xml:space="preserve"> </w:t>
      </w:r>
      <w:r w:rsidRPr="003A7159">
        <w:rPr>
          <w:szCs w:val="24"/>
        </w:rPr>
        <w:t>мл)</w:t>
      </w:r>
      <w:r>
        <w:rPr>
          <w:szCs w:val="24"/>
        </w:rPr>
        <w:t>.</w:t>
      </w:r>
      <w:r w:rsidRPr="00623297">
        <w:rPr>
          <w:szCs w:val="24"/>
        </w:rPr>
        <w:t xml:space="preserve"> </w:t>
      </w:r>
    </w:p>
    <w:p w14:paraId="78CC8252" w14:textId="14CE3A54" w:rsidR="002927D9" w:rsidRPr="003A7159" w:rsidRDefault="002927D9" w:rsidP="002927D9">
      <w:pPr>
        <w:ind w:firstLine="709"/>
        <w:rPr>
          <w:szCs w:val="24"/>
        </w:rPr>
      </w:pPr>
      <w:r w:rsidRPr="003A7159">
        <w:rPr>
          <w:szCs w:val="24"/>
        </w:rPr>
        <w:t>Соотношение СЗП + раствора 5% альбумина и раствора</w:t>
      </w:r>
      <w:r>
        <w:rPr>
          <w:szCs w:val="24"/>
        </w:rPr>
        <w:t xml:space="preserve"> натрия хлорида 0,9</w:t>
      </w:r>
      <w:r w:rsidR="00AC5387">
        <w:rPr>
          <w:szCs w:val="24"/>
        </w:rPr>
        <w:t xml:space="preserve">% </w:t>
      </w:r>
      <w:r w:rsidR="00AC5387" w:rsidRPr="003A7159">
        <w:rPr>
          <w:szCs w:val="24"/>
        </w:rPr>
        <w:t>составляет</w:t>
      </w:r>
      <w:r>
        <w:rPr>
          <w:szCs w:val="24"/>
        </w:rPr>
        <w:t xml:space="preserve"> </w:t>
      </w:r>
      <w:r w:rsidRPr="003A7159">
        <w:rPr>
          <w:szCs w:val="24"/>
        </w:rPr>
        <w:t xml:space="preserve">2:1 при уровне общего </w:t>
      </w:r>
      <w:r w:rsidR="00AC5387" w:rsidRPr="003A7159">
        <w:rPr>
          <w:szCs w:val="24"/>
        </w:rPr>
        <w:t xml:space="preserve">белка </w:t>
      </w:r>
      <w:r w:rsidR="00AC5387">
        <w:rPr>
          <w:szCs w:val="24"/>
        </w:rPr>
        <w:t>≤</w:t>
      </w:r>
      <w:r>
        <w:rPr>
          <w:szCs w:val="24"/>
        </w:rPr>
        <w:t xml:space="preserve"> 55г/л:</w:t>
      </w:r>
    </w:p>
    <w:p w14:paraId="58B06F9C" w14:textId="77777777" w:rsidR="002927D9" w:rsidRPr="00767D08" w:rsidRDefault="002927D9" w:rsidP="008C1767">
      <w:pPr>
        <w:pStyle w:val="afff3"/>
        <w:widowControl/>
        <w:numPr>
          <w:ilvl w:val="0"/>
          <w:numId w:val="198"/>
        </w:numPr>
        <w:autoSpaceDE/>
        <w:autoSpaceDN/>
        <w:adjustRightInd/>
        <w:rPr>
          <w:szCs w:val="24"/>
        </w:rPr>
      </w:pPr>
      <w:r w:rsidRPr="00C02A00">
        <w:rPr>
          <w:szCs w:val="24"/>
        </w:rPr>
        <w:t xml:space="preserve">СЗП </w:t>
      </w:r>
      <w:r>
        <w:rPr>
          <w:szCs w:val="24"/>
        </w:rPr>
        <w:t>–</w:t>
      </w:r>
      <w:r w:rsidRPr="00C02A00">
        <w:rPr>
          <w:szCs w:val="24"/>
        </w:rPr>
        <w:t xml:space="preserve"> </w:t>
      </w:r>
      <w:r w:rsidRPr="00767D08">
        <w:rPr>
          <w:szCs w:val="24"/>
        </w:rPr>
        <w:t>в среднем 800</w:t>
      </w:r>
      <w:r>
        <w:rPr>
          <w:szCs w:val="24"/>
        </w:rPr>
        <w:t xml:space="preserve"> </w:t>
      </w:r>
      <w:r w:rsidRPr="00767D08">
        <w:rPr>
          <w:szCs w:val="24"/>
        </w:rPr>
        <w:t>мл</w:t>
      </w:r>
      <w:r>
        <w:rPr>
          <w:szCs w:val="24"/>
        </w:rPr>
        <w:t xml:space="preserve"> </w:t>
      </w:r>
      <w:r w:rsidRPr="00C02A00">
        <w:rPr>
          <w:szCs w:val="24"/>
        </w:rPr>
        <w:t>(500 – 1000мл)</w:t>
      </w:r>
      <w:r w:rsidRPr="00767D08">
        <w:rPr>
          <w:szCs w:val="24"/>
        </w:rPr>
        <w:t xml:space="preserve">; </w:t>
      </w:r>
    </w:p>
    <w:p w14:paraId="03B69C33" w14:textId="228ADFAF" w:rsidR="002927D9" w:rsidRPr="00767D08" w:rsidRDefault="002927D9" w:rsidP="008C1767">
      <w:pPr>
        <w:pStyle w:val="afff3"/>
        <w:widowControl/>
        <w:numPr>
          <w:ilvl w:val="0"/>
          <w:numId w:val="198"/>
        </w:numPr>
        <w:autoSpaceDE/>
        <w:autoSpaceDN/>
        <w:adjustRightInd/>
        <w:rPr>
          <w:szCs w:val="24"/>
        </w:rPr>
      </w:pPr>
      <w:r>
        <w:rPr>
          <w:szCs w:val="24"/>
        </w:rPr>
        <w:t>Альбумин 5%</w:t>
      </w:r>
      <w:r w:rsidRPr="00C02A00">
        <w:rPr>
          <w:szCs w:val="24"/>
        </w:rPr>
        <w:t xml:space="preserve"> 200</w:t>
      </w:r>
      <w:r>
        <w:rPr>
          <w:szCs w:val="24"/>
        </w:rPr>
        <w:t xml:space="preserve"> – </w:t>
      </w:r>
      <w:r w:rsidRPr="00767D08">
        <w:rPr>
          <w:szCs w:val="24"/>
        </w:rPr>
        <w:t>300</w:t>
      </w:r>
      <w:r w:rsidR="00AC5387">
        <w:rPr>
          <w:szCs w:val="24"/>
        </w:rPr>
        <w:t xml:space="preserve"> </w:t>
      </w:r>
      <w:r w:rsidR="00AC5387" w:rsidRPr="00767D08">
        <w:rPr>
          <w:szCs w:val="24"/>
        </w:rPr>
        <w:t>мл (</w:t>
      </w:r>
      <w:r w:rsidRPr="00767D08">
        <w:rPr>
          <w:szCs w:val="24"/>
        </w:rPr>
        <w:t>10-15г);</w:t>
      </w:r>
    </w:p>
    <w:p w14:paraId="0F9312EB" w14:textId="77777777" w:rsidR="002927D9" w:rsidRPr="00C02A00" w:rsidRDefault="002927D9" w:rsidP="008C1767">
      <w:pPr>
        <w:pStyle w:val="afff3"/>
        <w:widowControl/>
        <w:numPr>
          <w:ilvl w:val="0"/>
          <w:numId w:val="198"/>
        </w:numPr>
        <w:autoSpaceDE/>
        <w:autoSpaceDN/>
        <w:adjustRightInd/>
        <w:rPr>
          <w:szCs w:val="24"/>
        </w:rPr>
      </w:pPr>
      <w:r w:rsidRPr="00C02A00">
        <w:rPr>
          <w:szCs w:val="24"/>
        </w:rPr>
        <w:t>Раствор натрия хлорида 0,9% –</w:t>
      </w:r>
      <w:r>
        <w:rPr>
          <w:szCs w:val="24"/>
        </w:rPr>
        <w:t xml:space="preserve"> </w:t>
      </w:r>
      <w:r w:rsidRPr="00C02A00">
        <w:rPr>
          <w:szCs w:val="24"/>
        </w:rPr>
        <w:t>в среднем 500мл (500 – 1000мл)</w:t>
      </w:r>
      <w:r>
        <w:rPr>
          <w:szCs w:val="24"/>
        </w:rPr>
        <w:t>.</w:t>
      </w:r>
      <w:r w:rsidRPr="00C02A00">
        <w:rPr>
          <w:szCs w:val="24"/>
        </w:rPr>
        <w:t xml:space="preserve">   </w:t>
      </w:r>
    </w:p>
    <w:p w14:paraId="1849724D" w14:textId="77777777" w:rsidR="002927D9" w:rsidRPr="003A7159" w:rsidRDefault="002927D9" w:rsidP="002927D9">
      <w:pPr>
        <w:pStyle w:val="afff3"/>
        <w:ind w:left="0" w:firstLine="709"/>
        <w:rPr>
          <w:szCs w:val="24"/>
        </w:rPr>
      </w:pPr>
      <w:r w:rsidRPr="003A7159">
        <w:rPr>
          <w:szCs w:val="24"/>
        </w:rPr>
        <w:t xml:space="preserve">С целью профилактики цитратной реакции на каждый 1л СЗП вводится </w:t>
      </w:r>
      <w:r>
        <w:rPr>
          <w:szCs w:val="24"/>
        </w:rPr>
        <w:t>внутривенно 5мл раствора к</w:t>
      </w:r>
      <w:r w:rsidRPr="003A7159">
        <w:rPr>
          <w:szCs w:val="24"/>
        </w:rPr>
        <w:t xml:space="preserve">альция глюконата 10% или 5мл раствора </w:t>
      </w:r>
      <w:r>
        <w:rPr>
          <w:szCs w:val="24"/>
        </w:rPr>
        <w:t>к</w:t>
      </w:r>
      <w:r w:rsidRPr="003A7159">
        <w:rPr>
          <w:szCs w:val="24"/>
        </w:rPr>
        <w:t>альция хлорида 10%.</w:t>
      </w:r>
    </w:p>
    <w:p w14:paraId="54B2BEE6" w14:textId="77777777" w:rsidR="002927D9" w:rsidRDefault="002927D9" w:rsidP="002927D9">
      <w:pPr>
        <w:pStyle w:val="afff3"/>
        <w:ind w:left="0" w:firstLine="709"/>
        <w:rPr>
          <w:szCs w:val="24"/>
        </w:rPr>
      </w:pPr>
      <w:r w:rsidRPr="003A7159">
        <w:rPr>
          <w:szCs w:val="24"/>
        </w:rPr>
        <w:t xml:space="preserve">При наличии негемолитической посттрансфузионной реакции на трансфузии СЗП перед процедурой необходима премедикация (антигистаминные препараты, 10% раствор </w:t>
      </w:r>
      <w:r>
        <w:rPr>
          <w:szCs w:val="24"/>
        </w:rPr>
        <w:t>к</w:t>
      </w:r>
      <w:r w:rsidRPr="003A7159">
        <w:rPr>
          <w:szCs w:val="24"/>
        </w:rPr>
        <w:t>альция глюконата 10</w:t>
      </w:r>
      <w:r>
        <w:rPr>
          <w:szCs w:val="24"/>
        </w:rPr>
        <w:t xml:space="preserve"> </w:t>
      </w:r>
      <w:r w:rsidRPr="003A7159">
        <w:rPr>
          <w:szCs w:val="24"/>
        </w:rPr>
        <w:t>мл).</w:t>
      </w:r>
    </w:p>
    <w:p w14:paraId="3A0778C2" w14:textId="31B04F7E" w:rsidR="008C1767" w:rsidRPr="008C1767" w:rsidRDefault="00A612DA" w:rsidP="004905C2">
      <w:pPr>
        <w:pStyle w:val="2"/>
        <w:rPr>
          <w:i/>
        </w:rPr>
      </w:pPr>
      <w:bookmarkStart w:id="403" w:name="_Toc64565677"/>
      <w:r w:rsidRPr="00B7347C">
        <w:t xml:space="preserve">Приложение </w:t>
      </w:r>
      <w:r>
        <w:t>А3.10.</w:t>
      </w:r>
      <w:r w:rsidR="008C1767">
        <w:t xml:space="preserve"> </w:t>
      </w:r>
      <w:r w:rsidR="008C1767" w:rsidRPr="00952000">
        <w:t>Обеспечение сосудистого доступа</w:t>
      </w:r>
      <w:bookmarkEnd w:id="403"/>
    </w:p>
    <w:p w14:paraId="4BB074BB" w14:textId="77777777" w:rsidR="008C1767" w:rsidRPr="00952000" w:rsidRDefault="008C1767" w:rsidP="008C1767">
      <w:pPr>
        <w:ind w:firstLine="708"/>
        <w:rPr>
          <w:b/>
          <w:i/>
          <w:szCs w:val="24"/>
        </w:rPr>
      </w:pPr>
    </w:p>
    <w:p w14:paraId="4B7B03FF" w14:textId="1F4AA11B" w:rsidR="008C1767" w:rsidRPr="00952000" w:rsidRDefault="008C1767" w:rsidP="008C1767">
      <w:pPr>
        <w:ind w:firstLine="709"/>
        <w:rPr>
          <w:szCs w:val="24"/>
          <w:shd w:val="clear" w:color="auto" w:fill="FFFFFF"/>
        </w:rPr>
      </w:pPr>
      <w:r w:rsidRPr="00952000">
        <w:rPr>
          <w:szCs w:val="24"/>
          <w:shd w:val="clear" w:color="auto" w:fill="FFFFFF"/>
        </w:rPr>
        <w:t xml:space="preserve">Обеспечение сосудистого доступа является неотъемлемой составляющей частью современной химиотерапии </w:t>
      </w:r>
      <w:r w:rsidR="000E1D1D">
        <w:rPr>
          <w:szCs w:val="24"/>
          <w:shd w:val="clear" w:color="auto" w:fill="FFFFFF"/>
        </w:rPr>
        <w:t>пациентов с лейкозами</w:t>
      </w:r>
      <w:r w:rsidRPr="00952000">
        <w:rPr>
          <w:szCs w:val="24"/>
        </w:rPr>
        <w:t xml:space="preserve">. </w:t>
      </w:r>
      <w:r w:rsidRPr="00952000">
        <w:rPr>
          <w:szCs w:val="24"/>
          <w:shd w:val="clear" w:color="auto" w:fill="FFFFFF"/>
        </w:rPr>
        <w:t>Через центральный венозный катетер (ЦВК) вводятся химиотерапевтические препараты, корригируются электролитные нарушения, проводится парентеральное питание, осуществляется взятие образцов крови для исследования и т.</w:t>
      </w:r>
      <w:r>
        <w:rPr>
          <w:szCs w:val="24"/>
          <w:shd w:val="clear" w:color="auto" w:fill="FFFFFF"/>
          <w:lang w:val="en-US"/>
        </w:rPr>
        <w:t> </w:t>
      </w:r>
      <w:r w:rsidRPr="00952000">
        <w:rPr>
          <w:szCs w:val="24"/>
          <w:shd w:val="clear" w:color="auto" w:fill="FFFFFF"/>
        </w:rPr>
        <w:t xml:space="preserve">д. </w:t>
      </w:r>
    </w:p>
    <w:p w14:paraId="49553437" w14:textId="73DB298B" w:rsidR="008C1767" w:rsidRPr="00952000" w:rsidRDefault="008C1767" w:rsidP="008C1767">
      <w:pPr>
        <w:ind w:firstLine="709"/>
        <w:rPr>
          <w:szCs w:val="24"/>
        </w:rPr>
      </w:pPr>
      <w:r w:rsidRPr="00952000">
        <w:rPr>
          <w:szCs w:val="24"/>
        </w:rPr>
        <w:t xml:space="preserve">Выделяют следующие особенности сосудистого доступа в гематологии: необходимость только внутривенного введения многих лекарственных препаратов, массивность инфузионных программ сдавление крупных венозных сосудов увеличенными лимфатическими узлами и/или опухолевой массой, как с внутригрудным, так и с внутрибрюшным поражением, что значительно затрудняет задачу обеспечения сосудистого доступа </w:t>
      </w:r>
      <w:r w:rsidRPr="00952000">
        <w:rPr>
          <w:szCs w:val="24"/>
        </w:rPr>
        <w:fldChar w:fldCharType="begin" w:fldLock="1"/>
      </w:r>
      <w:r w:rsidR="00A67ED2">
        <w:rPr>
          <w:szCs w:val="24"/>
        </w:rPr>
        <w:instrText>ADDIN CSL_CITATION {"citationItems":[{"id":"ITEM-1","itemData":{"abstract":"NTRODUCTION. SVCS results from compression of the superior vena cava. Lymphoma - one of the most frequent causes of the malignant SVCS.\r\nThe aim of the study was to identify the incidence of SVCS in lymphoma pts and features of the central venous access in lymphoma pts\r\nwith SVCS. METHODS. Materials and methods. 686 lymphoma pts (311 male,\r\n375 female) were included in the prospective study. The pts suffered\r\nfrom Hodgkin's lymphoma (HL) (69 pts) and non-Hodgkin's lymphoma (NHL) (617 pts). In all pts SVCS was diagnosed clinically and was\r\nconfirmed by CT scan or MRI. In pts with confirmed SVCS the central\r\nvenous access was provided by non-tunneled central venous catheters (non-tCVCs) (Certofix DUO 7Fr, BBraun) and totally implantable\r\ncentral venous port system (PowerPort, Bard Access System). The indwelling time, the number of the replaced CVCs and the incidence of complications were analyzed. Statistic: SPSS ver.23 (IBM, Chicago, II., USA). Pearson's chi-squared test and Fisher's exact test were used.\r\nRESULTS. . SVCS was revealed in 70 (10.2%) of 686 lymphoma pts (9 pts with HL and 61 pts with NHL). Among lymphoma pts the frequency of SVCS was highest in pts with primary mediastinal large Bcell lymphoma (PMBCL). SVCS was revealed in 49 (51.6%) of 95 PMBCL pts. In SVCS pts venous access was provided by non-tCVC\r\ninserted in femoral vein (50 pts) and TIVAPS (20 pts) implanted into v. cava inferior through the femoral vein. TIVAPS reservoirs were implanted on the thigh. During lymphoma treatment most pts with non-tCVCs needed repeated catheterizations: median 3 (1-14) CVCs. Among pts with TIVAPS only in 3 pts TIVAPS needed repeated catheterizations; their TIVAPS were removed due to complications. The median indwelling times were 6 (1-129) catheter days for CVCs and\r\n164 (1-280) catheter days for TIVAPS (p&lt;0.05). Incidences of CVC related bloodstream infections (CRBSI) were 2.1/1000 catheter days for\r\nCVCs and 0.1/1000 catheter days for TIVAPS. Incidence of CVC associated thrombosis (CAT) were 4.1/1000 catheter days for CVCs and 0.5/\r\n1000 catheter days for TIVAPS. One patient had infection of the subcutaneous pocket (0.3/1000 catheter days). The reasons for nontCVCs removal were the treatment completion (82.8%) and complications: CRBSI (7.1%), CAT (8.5%), malfunction (1.6%). The reasons for the TIVAPS removal were the treatment completion (85%), CRBSI (5%), infection of the subcutaneous pocket (5%) and CAT (5%). CONCLUSION. SVCS was revealed in 10.2% l…","author":[{"dropping-particle":"","family":"SPIRIN","given":"M.","non-dropping-particle":"","parse-names":false,"suffix":""},{"dropping-particle":"","family":"GALSTYAN","given":"G.","non-dropping-particle":"","parse-names":false,"suffix":""},{"dropping-particle":"","family":"DROKOV","given":"M.","non-dropping-particle":"","parse-names":false,"suffix":""}],"container-title":"INTENSIVE CARE MEDICINE EXPERIMENTAL","id":"ITEM-1","issue":"Suppl. 3:001341","issued":{"date-parts":[["2019"]]},"page":"388-389","title":"Central venous access in lymphoma patients (pts) with superior vena cava syndrome (SVCS)","type":"article-journal","volume":"7"},"uris":["http://www.mendeley.com/documents/?uuid=d4b66f57-5a46-3b0e-bb39-8451d9534a0c","http://www.mendeley.com/documents/?uuid=c29428ae-471c-4ca0-bb6e-1085dbeae434","http://www.mendeley.com/documents/?uuid=34ed67cd-3386-4746-82ca-e1d8edc0179d"]}],"mendeley":{"formattedCitation":"[180]","plainTextFormattedCitation":"[180]","previouslyFormattedCitation":"[160]"},"properties":{"noteIndex":0},"schema":"https://github.com/citation-style-language/schema/raw/master/csl-citation.json"}</w:instrText>
      </w:r>
      <w:r w:rsidRPr="00952000">
        <w:rPr>
          <w:szCs w:val="24"/>
        </w:rPr>
        <w:fldChar w:fldCharType="separate"/>
      </w:r>
      <w:r w:rsidR="00A67ED2" w:rsidRPr="00A67ED2">
        <w:rPr>
          <w:noProof/>
          <w:szCs w:val="24"/>
        </w:rPr>
        <w:t>[180]</w:t>
      </w:r>
      <w:r w:rsidRPr="00952000">
        <w:rPr>
          <w:szCs w:val="24"/>
        </w:rPr>
        <w:fldChar w:fldCharType="end"/>
      </w:r>
      <w:r w:rsidRPr="00952000">
        <w:rPr>
          <w:szCs w:val="24"/>
        </w:rPr>
        <w:t xml:space="preserve">, высокий риск геморрагического синдрома (врожденные и приобретенные коагулопатии, тромбоцитопения), тромбоза, большая продолжительность лечения. В общей сложности, в надежном сосудистом доступе онкогематологические пациенты нуждаются от нескольких месяцев до года, как в стационарных, так и амбулаторных условиях. Использование с этой целью периферического венозного доступа неприемлемо, поскольку большинство вводимых растворов обладает раздражающим действием (везиканты, ирританты, эксфолианты) и экстравазация таких препаратов в подкожную клетчатку может привести к ее некрозу </w:t>
      </w:r>
      <w:r w:rsidRPr="00952000">
        <w:rPr>
          <w:szCs w:val="24"/>
        </w:rPr>
        <w:fldChar w:fldCharType="begin" w:fldLock="1"/>
      </w:r>
      <w:r w:rsidR="00A67ED2">
        <w:rPr>
          <w:szCs w:val="24"/>
        </w:rPr>
        <w:instrText>ADDIN CSL_CITATION {"citationItems":[{"id":"ITEM-1","itemData":{"DOI":"10.1007/s12254-016-0304-2","ISSN":"1865-5041","PMID":"28058065","abstract":"In cancer treatment, extravasation is defined as an inadvertent instillation or leakage of cytotoxic drugs into the perivascular space during infusion. As a dreaded complication of chemotherapy, extravasation has gained increasing attention in recent years. Classified according to their subcutaneous toxicity, three types of cytotoxins have been established: vesicants, irritants and nonvesicant drugs. Vesicant cytotoxic drugs may induce tissue damage, ulceration and tissue necrosis. Although we have established measures to manage extravasation emergencies, prevention is of paramount importance. This may be achieved within hospitals through regular training and education, which is best provided by a specialised and experienced task force including all disciplines involved in cancer therapy. Moreover, clinical and translational studies contribute to a better management of chemotherapy-induced extravasation as shown by our group in recent years. We were able to demonstrate that the evaluation of blood flow by indocyanine green angiography in the extravasation area predicts the extent of damage and the need of future surgical intervention. When a Port-a-Cath® extravasation is detected early, a subcutaneous wash-out procedure was found to be beneficial, corroborated by the analytical evaluation of the removed cytotoxic compound epirubicin. In another study, the tissue distribution of platinum was quantified at the anatomic level in cryosections of various tissues. This novel knowledge complements and supports our current efforts to handle extravasations better. On the other hand, a number of new drugs (chemotherapy, monoclonal antibodies, checkpoint inhibitors etc.) with many open issues to reliably classify their tissue toxicity still require our attention.","author":[{"dropping-particle":"","family":"Pluschnig","given":"Ursula","non-dropping-particle":"","parse-names":false,"suffix":""},{"dropping-particle":"","family":"Haslik","given":"Werner","non-dropping-particle":"","parse-names":false,"suffix":""},{"dropping-particle":"","family":"Bartsch","given":"Rupert","non-dropping-particle":"","parse-names":false,"suffix":""},{"dropping-particle":"","family":"Mader","given":"Robert M","non-dropping-particle":"","parse-names":false,"suffix":""}],"container-title":"Memo","id":"ITEM-1","issue":"4","issued":{"date-parts":[["2016"]]},"page":"226-230","publisher":"Springer","title":"Extravasation emergencies: state-of-the-art management and progress in clinical research.","type":"article-journal","volume":"9"},"uris":["http://www.mendeley.com/documents/?uuid=587be6ac-ed25-3be6-bca1-30c719328058","http://www.mendeley.com/documents/?uuid=aed12f5b-d478-4cce-aae2-def10fec8352"]}],"mendeley":{"formattedCitation":"[181]","plainTextFormattedCitation":"[181]","previouslyFormattedCitation":"[161]"},"properties":{"noteIndex":0},"schema":"https://github.com/citation-style-language/schema/raw/master/csl-citation.json"}</w:instrText>
      </w:r>
      <w:r w:rsidRPr="00952000">
        <w:rPr>
          <w:szCs w:val="24"/>
        </w:rPr>
        <w:fldChar w:fldCharType="separate"/>
      </w:r>
      <w:r w:rsidR="00A67ED2" w:rsidRPr="00A67ED2">
        <w:rPr>
          <w:noProof/>
          <w:szCs w:val="24"/>
        </w:rPr>
        <w:t>[181]</w:t>
      </w:r>
      <w:r w:rsidRPr="00952000">
        <w:rPr>
          <w:szCs w:val="24"/>
        </w:rPr>
        <w:fldChar w:fldCharType="end"/>
      </w:r>
      <w:r w:rsidRPr="00952000">
        <w:rPr>
          <w:szCs w:val="24"/>
        </w:rPr>
        <w:t>. Помимо этого, у многих больных вследствие проводимой ранее химиотерапии нередко отсутствуют доступные периферические вены.</w:t>
      </w:r>
    </w:p>
    <w:p w14:paraId="64C0EF01" w14:textId="77777777" w:rsidR="008C1767" w:rsidRDefault="008C1767" w:rsidP="008C1767">
      <w:pPr>
        <w:ind w:firstLine="709"/>
        <w:rPr>
          <w:b/>
          <w:bCs/>
          <w:szCs w:val="24"/>
        </w:rPr>
      </w:pPr>
    </w:p>
    <w:p w14:paraId="589DEF13" w14:textId="77777777" w:rsidR="008C1767" w:rsidRPr="004A739C" w:rsidRDefault="008C1767" w:rsidP="008C1767">
      <w:pPr>
        <w:ind w:firstLine="709"/>
        <w:rPr>
          <w:i/>
          <w:iCs/>
          <w:szCs w:val="24"/>
          <w:u w:val="single"/>
        </w:rPr>
      </w:pPr>
      <w:r w:rsidRPr="004A739C">
        <w:rPr>
          <w:i/>
          <w:iCs/>
          <w:szCs w:val="24"/>
          <w:u w:val="single"/>
        </w:rPr>
        <w:t>Показания к катетеризации центральных вен.</w:t>
      </w:r>
    </w:p>
    <w:p w14:paraId="3DE99374" w14:textId="77777777" w:rsidR="008C1767" w:rsidRPr="00952000" w:rsidRDefault="008C1767" w:rsidP="008C1767">
      <w:pPr>
        <w:pStyle w:val="afff3"/>
        <w:widowControl/>
        <w:numPr>
          <w:ilvl w:val="0"/>
          <w:numId w:val="54"/>
        </w:numPr>
        <w:autoSpaceDE/>
        <w:autoSpaceDN/>
        <w:adjustRightInd/>
        <w:ind w:left="993" w:hanging="284"/>
        <w:rPr>
          <w:szCs w:val="24"/>
        </w:rPr>
      </w:pPr>
      <w:r w:rsidRPr="00952000">
        <w:rPr>
          <w:szCs w:val="24"/>
        </w:rPr>
        <w:lastRenderedPageBreak/>
        <w:t>ограниченный доступ к периферическим венам,</w:t>
      </w:r>
    </w:p>
    <w:p w14:paraId="44CAA407" w14:textId="77777777" w:rsidR="008C1767" w:rsidRPr="00952000" w:rsidRDefault="008C1767" w:rsidP="008C1767">
      <w:pPr>
        <w:pStyle w:val="afff3"/>
        <w:widowControl/>
        <w:numPr>
          <w:ilvl w:val="0"/>
          <w:numId w:val="54"/>
        </w:numPr>
        <w:autoSpaceDE/>
        <w:autoSpaceDN/>
        <w:adjustRightInd/>
        <w:ind w:left="993" w:hanging="284"/>
        <w:rPr>
          <w:szCs w:val="24"/>
        </w:rPr>
      </w:pPr>
      <w:r w:rsidRPr="00952000">
        <w:rPr>
          <w:szCs w:val="24"/>
        </w:rPr>
        <w:t>необходимость проведения химиотерапии или парентерального питания, массивная инфузионная терапия,</w:t>
      </w:r>
    </w:p>
    <w:p w14:paraId="2D03870C" w14:textId="77777777" w:rsidR="008C1767" w:rsidRPr="00952000" w:rsidRDefault="008C1767" w:rsidP="008C1767">
      <w:pPr>
        <w:pStyle w:val="afff3"/>
        <w:widowControl/>
        <w:numPr>
          <w:ilvl w:val="0"/>
          <w:numId w:val="54"/>
        </w:numPr>
        <w:autoSpaceDE/>
        <w:autoSpaceDN/>
        <w:adjustRightInd/>
        <w:ind w:left="993" w:hanging="284"/>
        <w:rPr>
          <w:szCs w:val="24"/>
        </w:rPr>
      </w:pPr>
      <w:r w:rsidRPr="00952000">
        <w:rPr>
          <w:szCs w:val="24"/>
        </w:rPr>
        <w:t>необходимость мониторинга гемодинамики (центральное венозное давление),</w:t>
      </w:r>
    </w:p>
    <w:p w14:paraId="7B609D6A" w14:textId="77777777" w:rsidR="008C1767" w:rsidRPr="00952000" w:rsidRDefault="008C1767" w:rsidP="008C1767">
      <w:pPr>
        <w:pStyle w:val="afff3"/>
        <w:widowControl/>
        <w:numPr>
          <w:ilvl w:val="0"/>
          <w:numId w:val="54"/>
        </w:numPr>
        <w:autoSpaceDE/>
        <w:autoSpaceDN/>
        <w:adjustRightInd/>
        <w:ind w:left="993" w:hanging="284"/>
        <w:rPr>
          <w:szCs w:val="24"/>
        </w:rPr>
      </w:pPr>
      <w:r w:rsidRPr="00952000">
        <w:rPr>
          <w:szCs w:val="24"/>
        </w:rPr>
        <w:t>необходимость мониторинга давления в легочной артерии,</w:t>
      </w:r>
    </w:p>
    <w:p w14:paraId="4483E557" w14:textId="77777777" w:rsidR="008C1767" w:rsidRPr="00952000" w:rsidRDefault="008C1767" w:rsidP="008C1767">
      <w:pPr>
        <w:pStyle w:val="afff3"/>
        <w:widowControl/>
        <w:numPr>
          <w:ilvl w:val="0"/>
          <w:numId w:val="54"/>
        </w:numPr>
        <w:autoSpaceDE/>
        <w:autoSpaceDN/>
        <w:adjustRightInd/>
        <w:ind w:left="993" w:hanging="284"/>
        <w:rPr>
          <w:szCs w:val="24"/>
        </w:rPr>
      </w:pPr>
      <w:r w:rsidRPr="00952000">
        <w:rPr>
          <w:szCs w:val="24"/>
        </w:rPr>
        <w:t>установка кардиостимулятора,</w:t>
      </w:r>
    </w:p>
    <w:p w14:paraId="130221EF" w14:textId="77777777" w:rsidR="008C1767" w:rsidRPr="00952000" w:rsidRDefault="008C1767" w:rsidP="008C1767">
      <w:pPr>
        <w:pStyle w:val="afff3"/>
        <w:widowControl/>
        <w:numPr>
          <w:ilvl w:val="0"/>
          <w:numId w:val="54"/>
        </w:numPr>
        <w:autoSpaceDE/>
        <w:autoSpaceDN/>
        <w:adjustRightInd/>
        <w:ind w:left="993" w:hanging="284"/>
        <w:rPr>
          <w:szCs w:val="24"/>
        </w:rPr>
      </w:pPr>
      <w:r w:rsidRPr="00952000">
        <w:rPr>
          <w:szCs w:val="24"/>
        </w:rPr>
        <w:t>необходимость проведения заместительной почечной терапии.</w:t>
      </w:r>
    </w:p>
    <w:p w14:paraId="53DC93CE" w14:textId="77777777" w:rsidR="008C1767" w:rsidRDefault="008C1767" w:rsidP="008C1767">
      <w:pPr>
        <w:ind w:firstLine="709"/>
        <w:rPr>
          <w:b/>
          <w:bCs/>
          <w:szCs w:val="24"/>
        </w:rPr>
      </w:pPr>
    </w:p>
    <w:p w14:paraId="501F38B3" w14:textId="77777777" w:rsidR="008C1767" w:rsidRPr="004A739C" w:rsidRDefault="008C1767" w:rsidP="008C1767">
      <w:pPr>
        <w:ind w:firstLine="709"/>
        <w:rPr>
          <w:i/>
          <w:iCs/>
          <w:szCs w:val="24"/>
          <w:u w:val="single"/>
        </w:rPr>
      </w:pPr>
      <w:r w:rsidRPr="004A739C">
        <w:rPr>
          <w:i/>
          <w:iCs/>
          <w:szCs w:val="24"/>
          <w:u w:val="single"/>
        </w:rPr>
        <w:t>Противопоказания к катетеризации центральных вен</w:t>
      </w:r>
    </w:p>
    <w:p w14:paraId="58CF1653" w14:textId="77777777" w:rsidR="008C1767" w:rsidRPr="004A739C" w:rsidRDefault="008C1767" w:rsidP="008C1767">
      <w:pPr>
        <w:pStyle w:val="afff3"/>
        <w:widowControl/>
        <w:numPr>
          <w:ilvl w:val="0"/>
          <w:numId w:val="54"/>
        </w:numPr>
        <w:autoSpaceDE/>
        <w:autoSpaceDN/>
        <w:adjustRightInd/>
        <w:ind w:left="993" w:hanging="284"/>
        <w:rPr>
          <w:szCs w:val="24"/>
        </w:rPr>
      </w:pPr>
      <w:r w:rsidRPr="004A739C">
        <w:rPr>
          <w:szCs w:val="24"/>
        </w:rPr>
        <w:t>Абсолютные:</w:t>
      </w:r>
    </w:p>
    <w:p w14:paraId="1B984C31" w14:textId="77777777" w:rsidR="008C1767" w:rsidRPr="004A739C" w:rsidRDefault="008C1767" w:rsidP="008C1767">
      <w:pPr>
        <w:pStyle w:val="afff3"/>
        <w:widowControl/>
        <w:numPr>
          <w:ilvl w:val="1"/>
          <w:numId w:val="54"/>
        </w:numPr>
        <w:autoSpaceDE/>
        <w:autoSpaceDN/>
        <w:adjustRightInd/>
        <w:rPr>
          <w:szCs w:val="24"/>
        </w:rPr>
      </w:pPr>
      <w:r w:rsidRPr="004A739C">
        <w:rPr>
          <w:szCs w:val="24"/>
        </w:rPr>
        <w:t>воспаление в планируемом месте доступа</w:t>
      </w:r>
    </w:p>
    <w:p w14:paraId="3CAFA5B4" w14:textId="77777777" w:rsidR="008C1767" w:rsidRPr="004A739C" w:rsidRDefault="008C1767" w:rsidP="008C1767">
      <w:pPr>
        <w:pStyle w:val="afff3"/>
        <w:widowControl/>
        <w:numPr>
          <w:ilvl w:val="1"/>
          <w:numId w:val="54"/>
        </w:numPr>
        <w:autoSpaceDE/>
        <w:autoSpaceDN/>
        <w:adjustRightInd/>
        <w:rPr>
          <w:szCs w:val="24"/>
        </w:rPr>
      </w:pPr>
      <w:r w:rsidRPr="004A739C">
        <w:rPr>
          <w:szCs w:val="24"/>
        </w:rPr>
        <w:t>недавно проведенное оперативное вмешательство в месте доступа</w:t>
      </w:r>
    </w:p>
    <w:p w14:paraId="3974C32E" w14:textId="77777777" w:rsidR="008C1767" w:rsidRPr="004A739C" w:rsidRDefault="008C1767" w:rsidP="008C1767">
      <w:pPr>
        <w:pStyle w:val="afff3"/>
        <w:widowControl/>
        <w:numPr>
          <w:ilvl w:val="0"/>
          <w:numId w:val="54"/>
        </w:numPr>
        <w:autoSpaceDE/>
        <w:autoSpaceDN/>
        <w:adjustRightInd/>
        <w:ind w:left="993" w:hanging="284"/>
        <w:rPr>
          <w:szCs w:val="24"/>
        </w:rPr>
      </w:pPr>
      <w:r w:rsidRPr="004A739C">
        <w:rPr>
          <w:szCs w:val="24"/>
        </w:rPr>
        <w:t>Относительные</w:t>
      </w:r>
    </w:p>
    <w:p w14:paraId="4F709EEA" w14:textId="77777777" w:rsidR="008C1767" w:rsidRPr="004A739C" w:rsidRDefault="008C1767" w:rsidP="008C1767">
      <w:pPr>
        <w:pStyle w:val="afff3"/>
        <w:widowControl/>
        <w:numPr>
          <w:ilvl w:val="1"/>
          <w:numId w:val="54"/>
        </w:numPr>
        <w:autoSpaceDE/>
        <w:autoSpaceDN/>
        <w:adjustRightInd/>
        <w:rPr>
          <w:szCs w:val="24"/>
        </w:rPr>
      </w:pPr>
      <w:r w:rsidRPr="004A739C">
        <w:rPr>
          <w:szCs w:val="24"/>
        </w:rPr>
        <w:t>выраженный геморрагический синдром (вследствие тромбоцитопении, гипофибриногенемии, наследственных или приобретенных коагулопатий).</w:t>
      </w:r>
    </w:p>
    <w:p w14:paraId="2E8D63BB" w14:textId="77777777" w:rsidR="008C1767" w:rsidRDefault="008C1767" w:rsidP="008C1767">
      <w:pPr>
        <w:pStyle w:val="Default"/>
        <w:spacing w:line="360" w:lineRule="auto"/>
        <w:ind w:firstLine="709"/>
        <w:jc w:val="both"/>
        <w:rPr>
          <w:i/>
          <w:color w:val="auto"/>
        </w:rPr>
      </w:pPr>
    </w:p>
    <w:p w14:paraId="0137C5EB" w14:textId="77777777" w:rsidR="008C1767" w:rsidRPr="00952000" w:rsidRDefault="008C1767" w:rsidP="008C1767">
      <w:pPr>
        <w:pStyle w:val="Default"/>
        <w:spacing w:line="360" w:lineRule="auto"/>
        <w:ind w:firstLine="709"/>
        <w:jc w:val="both"/>
        <w:rPr>
          <w:color w:val="auto"/>
        </w:rPr>
      </w:pPr>
      <w:r w:rsidRPr="00952000">
        <w:rPr>
          <w:i/>
          <w:color w:val="auto"/>
        </w:rPr>
        <w:t>Тромбоцитопения</w:t>
      </w:r>
      <w:r w:rsidRPr="00952000">
        <w:rPr>
          <w:color w:val="auto"/>
        </w:rPr>
        <w:t xml:space="preserve"> – одна из самых частых причин геморрагического синдрома. Хотя безопасным уровнем для катетеризации мы считаем количество тромбоцитов крови более 20 х 10</w:t>
      </w:r>
      <w:r w:rsidRPr="00952000">
        <w:rPr>
          <w:color w:val="auto"/>
          <w:vertAlign w:val="superscript"/>
        </w:rPr>
        <w:t>9</w:t>
      </w:r>
      <w:r w:rsidRPr="00952000">
        <w:rPr>
          <w:color w:val="auto"/>
        </w:rPr>
        <w:t>/л, у ряда пациентов достичь этого порогового уровня не удается вследствие различных причин, например, рефрактерность к трансфузиям. В этих случаях катетеризация центральной вены под контролем ультразвука без использования дилататора, может быть безопасной даже при количестве тромбоцитов менее 20 х 10</w:t>
      </w:r>
      <w:r w:rsidRPr="00952000">
        <w:rPr>
          <w:color w:val="auto"/>
          <w:vertAlign w:val="superscript"/>
        </w:rPr>
        <w:t>9</w:t>
      </w:r>
      <w:r w:rsidRPr="00952000">
        <w:rPr>
          <w:color w:val="auto"/>
        </w:rPr>
        <w:t>/л.</w:t>
      </w:r>
    </w:p>
    <w:p w14:paraId="53B078B3" w14:textId="2A2B03ED" w:rsidR="008C1767" w:rsidRPr="00952000" w:rsidRDefault="008C1767" w:rsidP="008C1767">
      <w:pPr>
        <w:ind w:firstLine="709"/>
        <w:rPr>
          <w:szCs w:val="24"/>
        </w:rPr>
      </w:pPr>
      <w:r w:rsidRPr="00952000">
        <w:rPr>
          <w:i/>
          <w:szCs w:val="24"/>
        </w:rPr>
        <w:t>Плазменная концентрация фибриногена</w:t>
      </w:r>
      <w:r w:rsidRPr="00952000">
        <w:rPr>
          <w:szCs w:val="24"/>
        </w:rPr>
        <w:t xml:space="preserve"> ассоциируется с геморрагическими осложнениями при установке ЦВК: она значимо ниже у больных с геморрагическими осложнениями, чем без осложнений </w:t>
      </w:r>
      <w:r w:rsidRPr="00952000">
        <w:rPr>
          <w:szCs w:val="24"/>
        </w:rPr>
        <w:fldChar w:fldCharType="begin" w:fldLock="1"/>
      </w:r>
      <w:r w:rsidR="00A67ED2">
        <w:rPr>
          <w:szCs w:val="24"/>
        </w:rPr>
        <w:instrText>ADDIN CSL_CITATION {"citationItems":[{"id":"ITEM-1","itemData":{"DOI":"10.1111/j.1537-2995.2011.03147.x","ISSN":"1537-2995","PMID":"21517892","abstract":"BACKGROUND Patients with severe thrombocytopenia are at risk for bleeding during insertion of central venous catheters (CVCs). Although most guidelines recommend preprocedural platelet (PLT) transfusions at a threshold of less than 50 × 10(9) /L, there is only weak evidence supporting such recommendations. STUDY DESIGN AND METHODS The current study aimed to establish a safe PLT transfusion trigger in patients with CVC placements. We performed a retrospective single-center analysis of 604 CVC insertions in 193 patients with acute leukemia receiving intensive chemotherapy or stem cell transplantation. RESULTS A total of 48% of the patients had a bleeding risk during CVC insertions, mostly due to thrombocytopenia. The bleeding incidence was 32% with 96% Grade 1 and 4% Grade 2 bleedings requiring prolonged local compression. There were no Grade 3 to 4 bleedings. Hemoglobin levels were similar before and 24 and 48 hours after the CVC insertion in the bleeding and nonbleeding group and there was no difference in the red blood cell (p = 0.72) and PLT transfusion requirements (p = 0.057) after CVC insertion. In multivariate analysis, only patients with PLT counts of less than 20 × 10(9) /L were at higher risk for bleeding before (p = 0.015) and after preprocedural PLT transfusions (p =0.006) compared to patients with PLT counts of 100 × 10(9) /L or more. CONCLUSION CVC placements can safely be performed in patients with PLT counts of 20 × 10(9) /L or more without preprocedural PLT transfusions.","author":[{"dropping-particle":"","family":"Zeidler","given":"Kristin","non-dropping-particle":"","parse-names":false,"suffix":""},{"dropping-particle":"","family":"Arn","given":"Kornelius","non-dropping-particle":"","parse-names":false,"suffix":""},{"dropping-particle":"","family":"Senn","given":"Oliver","non-dropping-particle":"","parse-names":false,"suffix":""},{"dropping-particle":"","family":"Schanz","given":"Urs","non-dropping-particle":"","parse-names":false,"suffix":""},{"dropping-particle":"","family":"Stussi","given":"Georg","non-dropping-particle":"","parse-names":false,"suffix":""}],"container-title":"Transfusion","id":"ITEM-1","issue":"11","issued":{"date-parts":[["2011","11"]]},"page":"2269-76","title":"Optimal preprocedural platelet transfusion threshold for central venous catheter insertions in patients with thrombocytopenia.","type":"article-journal","volume":"51"},"uris":["http://www.mendeley.com/documents/?uuid=11f6a6da-e80c-4c12-b31e-ce8ac19b442b"]}],"mendeley":{"formattedCitation":"[182]","plainTextFormattedCitation":"[182]","previouslyFormattedCitation":"[162]"},"properties":{"noteIndex":0},"schema":"https://github.com/citation-style-language/schema/raw/master/csl-citation.json"}</w:instrText>
      </w:r>
      <w:r w:rsidRPr="00952000">
        <w:rPr>
          <w:szCs w:val="24"/>
        </w:rPr>
        <w:fldChar w:fldCharType="separate"/>
      </w:r>
      <w:r w:rsidR="00A67ED2" w:rsidRPr="00A67ED2">
        <w:rPr>
          <w:noProof/>
          <w:szCs w:val="24"/>
        </w:rPr>
        <w:t>[182]</w:t>
      </w:r>
      <w:r w:rsidRPr="00952000">
        <w:rPr>
          <w:szCs w:val="24"/>
        </w:rPr>
        <w:fldChar w:fldCharType="end"/>
      </w:r>
      <w:r w:rsidRPr="00952000">
        <w:rPr>
          <w:szCs w:val="24"/>
        </w:rPr>
        <w:t>.</w:t>
      </w:r>
    </w:p>
    <w:p w14:paraId="34134AF0" w14:textId="77777777" w:rsidR="008C1767" w:rsidRDefault="008C1767" w:rsidP="008C1767">
      <w:pPr>
        <w:ind w:firstLine="709"/>
        <w:rPr>
          <w:b/>
          <w:bCs/>
          <w:szCs w:val="24"/>
        </w:rPr>
      </w:pPr>
    </w:p>
    <w:p w14:paraId="632EAB4F" w14:textId="77777777" w:rsidR="008C1767" w:rsidRPr="008879EC" w:rsidRDefault="008C1767" w:rsidP="008C1767">
      <w:pPr>
        <w:ind w:firstLine="709"/>
        <w:rPr>
          <w:i/>
          <w:iCs/>
          <w:szCs w:val="24"/>
          <w:u w:val="single"/>
        </w:rPr>
      </w:pPr>
      <w:r w:rsidRPr="008879EC">
        <w:rPr>
          <w:i/>
          <w:iCs/>
          <w:szCs w:val="24"/>
          <w:u w:val="single"/>
        </w:rPr>
        <w:t>Типы катетеров</w:t>
      </w:r>
    </w:p>
    <w:p w14:paraId="106ED28A" w14:textId="77777777" w:rsidR="008C1767" w:rsidRPr="00952000" w:rsidRDefault="008C1767" w:rsidP="008C1767">
      <w:pPr>
        <w:ind w:firstLine="708"/>
        <w:contextualSpacing/>
        <w:rPr>
          <w:szCs w:val="24"/>
        </w:rPr>
      </w:pPr>
      <w:r w:rsidRPr="00952000">
        <w:rPr>
          <w:i/>
          <w:szCs w:val="24"/>
        </w:rPr>
        <w:t>ЦВК</w:t>
      </w:r>
      <w:r w:rsidRPr="00952000">
        <w:rPr>
          <w:szCs w:val="24"/>
        </w:rPr>
        <w:t xml:space="preserve"> – это полая трубка, устанавливаемая в одну из центральных вен. ЦВК изготавливаются из различных материалов, имеют разный диаметр. ЦВК могут быть оснащены клапанами на разных концах, или камерой на проксимальном конце, а также иметь один или несколько просветов, для возможности проведения одновременных инфузий несовместимых между собой растворов. </w:t>
      </w:r>
    </w:p>
    <w:p w14:paraId="068FADA3" w14:textId="77777777" w:rsidR="008C1767" w:rsidRPr="00952000" w:rsidRDefault="008C1767" w:rsidP="008C1767">
      <w:pPr>
        <w:ind w:firstLine="700"/>
        <w:rPr>
          <w:i/>
          <w:szCs w:val="24"/>
        </w:rPr>
      </w:pPr>
      <w:r w:rsidRPr="00952000">
        <w:rPr>
          <w:i/>
          <w:szCs w:val="24"/>
        </w:rPr>
        <w:t>Нетуннелируемые катетеры</w:t>
      </w:r>
    </w:p>
    <w:p w14:paraId="5104EDDA" w14:textId="7E29231D" w:rsidR="008C1767" w:rsidRPr="00DE117D" w:rsidRDefault="008C1767" w:rsidP="008C1767">
      <w:pPr>
        <w:ind w:firstLine="700"/>
        <w:rPr>
          <w:strike/>
          <w:szCs w:val="24"/>
        </w:rPr>
      </w:pPr>
      <w:r w:rsidRPr="00952000">
        <w:rPr>
          <w:szCs w:val="24"/>
        </w:rPr>
        <w:t xml:space="preserve">Это полиуретановые устройства длиной от 20 до 30 см и с внешним диаметром до 8 Fr, а в случае с катетером для проведения гемодиализа 12 </w:t>
      </w:r>
      <w:r w:rsidRPr="00952000">
        <w:rPr>
          <w:szCs w:val="24"/>
          <w:lang w:val="en-US"/>
        </w:rPr>
        <w:t>Fr</w:t>
      </w:r>
      <w:r w:rsidRPr="00952000">
        <w:rPr>
          <w:szCs w:val="24"/>
        </w:rPr>
        <w:t xml:space="preserve">, которые имплантируются </w:t>
      </w:r>
      <w:r w:rsidRPr="00952000">
        <w:rPr>
          <w:szCs w:val="24"/>
        </w:rPr>
        <w:lastRenderedPageBreak/>
        <w:t>путем чрескожной пункции вены (внутренней ярёмной, подключичной, подмышечной или бедренной вены), с позиционированием дистального конца катетера у кава-атриального соединения. Использование в амбулаторных условиях не рекомендуется, так как риск инфицирования или случайного повреждения/удаления у них выше</w:t>
      </w:r>
      <w:r>
        <w:rPr>
          <w:szCs w:val="24"/>
        </w:rPr>
        <w:t>,</w:t>
      </w:r>
      <w:r w:rsidRPr="00952000">
        <w:rPr>
          <w:szCs w:val="24"/>
        </w:rPr>
        <w:t xml:space="preserve"> по сравнению с другими типами катетеров, вследствие того, что они не туннелированы и удерживаются на месте фиксирующим швом или при помощи устройства бесшовной фиксации на коже у места пункции </w:t>
      </w:r>
      <w:r w:rsidRPr="00952000">
        <w:rPr>
          <w:szCs w:val="24"/>
        </w:rPr>
        <w:fldChar w:fldCharType="begin" w:fldLock="1"/>
      </w:r>
      <w:r w:rsidR="00A67ED2">
        <w:rPr>
          <w:szCs w:val="24"/>
        </w:rPr>
        <w:instrText>ADDIN CSL_CITATION {"citationItems":[{"id":"ITEM-1","itemData":{"DOI":"10.1590/1677-5449.008216","author":[{"dropping-particle":"","family":"Zerati","given":"A.E.","non-dropping-particle":"","parse-names":false,"suffix":""},{"dropping-particle":"","family":"Wolosker","given":"N","non-dropping-particle":"","parse-names":false,"suffix":""},{"dropping-particle":"","family":"Luccia","given":"N","non-dropping-particle":"de","parse-names":false,"suffix":""},{"dropping-particle":"","family":"Puech-Leão","given":"P.","non-dropping-particle":"","parse-names":false,"suffix":""}],"container-title":"J Vasc Bras.","id":"ITEM-1","issue":"2","issued":{"date-parts":[["2017"]]},"page":"128-139","title":"Totally implantable venous catheters : history , implantation technique and complications.","type":"article-journal","volume":"16"},"uris":["http://www.mendeley.com/documents/?uuid=d029e3cf-7ed7-47d9-8f50-87f7004ddbed","http://www.mendeley.com/documents/?uuid=5353e640-d658-416d-8033-f443a1c37557"]}],"mendeley":{"formattedCitation":"[183]","plainTextFormattedCitation":"[183]","previouslyFormattedCitation":"[163]"},"properties":{"noteIndex":0},"schema":"https://github.com/citation-style-language/schema/raw/master/csl-citation.json"}</w:instrText>
      </w:r>
      <w:r w:rsidRPr="00952000">
        <w:rPr>
          <w:szCs w:val="24"/>
        </w:rPr>
        <w:fldChar w:fldCharType="separate"/>
      </w:r>
      <w:r w:rsidR="00A67ED2" w:rsidRPr="00A67ED2">
        <w:rPr>
          <w:noProof/>
          <w:szCs w:val="24"/>
        </w:rPr>
        <w:t>[183]</w:t>
      </w:r>
      <w:r w:rsidRPr="00952000">
        <w:rPr>
          <w:szCs w:val="24"/>
        </w:rPr>
        <w:fldChar w:fldCharType="end"/>
      </w:r>
      <w:r>
        <w:rPr>
          <w:szCs w:val="24"/>
        </w:rPr>
        <w:t>. Существую</w:t>
      </w:r>
      <w:r w:rsidRPr="00952000">
        <w:rPr>
          <w:szCs w:val="24"/>
        </w:rPr>
        <w:t>т версии катетеров с антимикробными или антисептическими покрытиями. Применение катетеров с покрытием требует дальнейшего изучения, так как не раскрыты вопросы антибиотикорезистентности</w:t>
      </w:r>
      <w:r>
        <w:rPr>
          <w:szCs w:val="24"/>
        </w:rPr>
        <w:t xml:space="preserve">. </w:t>
      </w:r>
    </w:p>
    <w:p w14:paraId="4525A168" w14:textId="77777777" w:rsidR="008C1767" w:rsidRPr="00952000" w:rsidRDefault="008C1767" w:rsidP="008C1767">
      <w:pPr>
        <w:ind w:firstLine="708"/>
        <w:rPr>
          <w:i/>
          <w:szCs w:val="24"/>
        </w:rPr>
      </w:pPr>
      <w:r w:rsidRPr="00952000">
        <w:rPr>
          <w:i/>
          <w:szCs w:val="24"/>
        </w:rPr>
        <w:t xml:space="preserve">Туннелируемые катетеры </w:t>
      </w:r>
    </w:p>
    <w:p w14:paraId="4FADEB1F" w14:textId="2C86BBC1" w:rsidR="008C1767" w:rsidRPr="00952000" w:rsidRDefault="008C1767" w:rsidP="008C1767">
      <w:pPr>
        <w:ind w:firstLine="708"/>
        <w:rPr>
          <w:strike/>
          <w:szCs w:val="24"/>
        </w:rPr>
      </w:pPr>
      <w:r w:rsidRPr="00952000">
        <w:rPr>
          <w:szCs w:val="24"/>
        </w:rPr>
        <w:t xml:space="preserve">Туннелируемые катетеры – это имплантируемые катетеры, у которых при помощи подкожного туннеля разнесены места пункции вены и выхода на кожу. Внутри туннеля катетер имеет манжету, которая, врастая в окружающие ткани, фиксирует катетер в туннеле и препятствует распространению инфекции </w:t>
      </w:r>
      <w:r w:rsidRPr="00952000">
        <w:rPr>
          <w:szCs w:val="24"/>
        </w:rPr>
        <w:fldChar w:fldCharType="begin" w:fldLock="1"/>
      </w:r>
      <w:r w:rsidR="00A67ED2">
        <w:rPr>
          <w:szCs w:val="24"/>
        </w:rPr>
        <w:instrText>ADDIN CSL_CITATION {"citationItems":[{"id":"ITEM-1","itemData":{"DOI":"10.1016/j.amjsurg.2017.03.021","ISSN":"18791883","PMID":"28364951","abstract":"Background Tunneled central venous catheters (CVC) were developed five decades ago. Since then, several clinician-inventors have created a variety of catheters with different functions. Indeed, many catheters have been named after their inventor. Many have wondered who the inventors were of each catheter, and what specifically inspired their inventions. Many of these compelling stories have yet to be told. Data source A literature review of common catheters and personal communication with inventors. Only first person accounts from inventors or those close to the invention were used. Conclusions CVCs are now essential devices that have saved countless lives. Though the inventors have earned the honor of naming their catheters, it may be reasonable to consider more consistent terminology to describe these catheters to avoid confusion.","author":[{"dropping-particle":"","family":"Gow","given":"Kenneth W.","non-dropping-particle":"","parse-names":false,"suffix":""},{"dropping-particle":"","family":"Tapper","given":"David","non-dropping-particle":"","parse-names":false,"suffix":""},{"dropping-particle":"","family":"Hickman","given":"Robert O.","non-dropping-particle":"","parse-names":false,"suffix":""}],"container-title":"American Journal of Surgery","id":"ITEM-1","issue":"5","issued":{"date-parts":[["2017"]]},"page":"837-848","publisher":"Elsevier Ltd","title":"Between the lines: The 50th anniversary of long-term central venous catheters","type":"article-journal","volume":"213"},"uris":["http://www.mendeley.com/documents/?uuid=161c3217-d679-4fd1-9554-18030d03e6fc","http://www.mendeley.com/documents/?uuid=fd0b87b9-b50a-4553-a221-0efbeb55e54e"]}],"mendeley":{"formattedCitation":"[184]","plainTextFormattedCitation":"[184]","previouslyFormattedCitation":"[164]"},"properties":{"noteIndex":0},"schema":"https://github.com/citation-style-language/schema/raw/master/csl-citation.json"}</w:instrText>
      </w:r>
      <w:r w:rsidRPr="00952000">
        <w:rPr>
          <w:szCs w:val="24"/>
        </w:rPr>
        <w:fldChar w:fldCharType="separate"/>
      </w:r>
      <w:r w:rsidR="00A67ED2" w:rsidRPr="00A67ED2">
        <w:rPr>
          <w:noProof/>
          <w:szCs w:val="24"/>
        </w:rPr>
        <w:t>[184]</w:t>
      </w:r>
      <w:r w:rsidRPr="00952000">
        <w:rPr>
          <w:szCs w:val="24"/>
        </w:rPr>
        <w:fldChar w:fldCharType="end"/>
      </w:r>
      <w:r w:rsidRPr="00952000">
        <w:rPr>
          <w:szCs w:val="24"/>
        </w:rPr>
        <w:t xml:space="preserve">. </w:t>
      </w:r>
    </w:p>
    <w:p w14:paraId="5E21E405" w14:textId="2D74D813" w:rsidR="008C1767" w:rsidRPr="00952000" w:rsidRDefault="008C1767" w:rsidP="008C1767">
      <w:pPr>
        <w:ind w:firstLine="708"/>
        <w:rPr>
          <w:szCs w:val="24"/>
        </w:rPr>
      </w:pPr>
      <w:r w:rsidRPr="00952000">
        <w:rPr>
          <w:szCs w:val="24"/>
        </w:rPr>
        <w:t>Туннелируемый тип катетера предпочтительнее нетуннелируемого</w:t>
      </w:r>
      <w:r>
        <w:rPr>
          <w:szCs w:val="24"/>
        </w:rPr>
        <w:t>, особенно</w:t>
      </w:r>
      <w:r w:rsidRPr="00952000">
        <w:rPr>
          <w:szCs w:val="24"/>
        </w:rPr>
        <w:t xml:space="preserve"> при необходимости проведения массивной инфузионной терапии </w:t>
      </w:r>
      <w:r>
        <w:rPr>
          <w:szCs w:val="24"/>
        </w:rPr>
        <w:t>в течение более 3 недель</w:t>
      </w:r>
      <w:r w:rsidRPr="00952000">
        <w:rPr>
          <w:szCs w:val="24"/>
        </w:rPr>
        <w:t xml:space="preserve">, особенно у онкогематологических пациентов </w:t>
      </w:r>
      <w:r w:rsidRPr="00952000">
        <w:rPr>
          <w:szCs w:val="24"/>
        </w:rPr>
        <w:fldChar w:fldCharType="begin" w:fldLock="1"/>
      </w:r>
      <w:r w:rsidR="00A67ED2">
        <w:rPr>
          <w:szCs w:val="24"/>
        </w:rPr>
        <w:instrText>ADDIN CSL_CITATION {"citationItems":[{"id":"ITEM-1","itemData":{"DOI":"10.4274/tjh.2013.0278","ISSN":"1300-7777","PMID":"25805675","abstract":"OBJECTIVE Haematopoietic stem cell recipients need central venous catheters (CVCs) for easy administration of intravenous fluid, medications, apheresis, or dialysis procedures. However, CVCs may lead to infectious or non-infectious complications such as thrombosis. The effect of these complications on transplantation outcome is not clear. This manuscript presents the complication rates of double-lumen tunnelled CVCs and their effect on transplantation outcome. MATERIALS AND METHODS Data from 111 consecutive patients, of whom 75 received autologous and 36 received allogeneic peripheral blood stem cell transplantations, were collected retrospectively. The data were validated by the Record Inspection Group of the related JACIE-accredited transplantation centre. RESULTS Thrombosis developed in 2.7% of recipients (0.9 per 1000 catheter days). Catheter-related infection was identified in 14 (12.6%) patients (3.6 per 1000 catheter days). Coagulase-negative Staphylococcus was the most common causative agent. Engraftment time, rate of 100-day mortality, and development of grade II-IV graft-versus-host disease were not found to be associated with catheter-related complications. CONCLUSION These results indicate that adverse events related with tunnelled CVCs are manageable and have no negative effects on transplant outcome. Amaç: Hematopoetik kök hücre nakli alıcıları damar içi mayi, ilaç, aferez ve diyaliz işlemleri için santral venöz kateterlere (SVK) ihtiyaç duyarlar. Ancak SVK’ların enfeksiyöz ve tromboz gibi enfeksiyöz olmayan komplikasyonları vardır. Bu komplikasyonların nakil sürecine etkisi net değildir. Bu çalışma ile çift lümen tünelli santral kateter komplikasyonlarının sıklığı ve nakil sürecine etkisi araştırılmıştır. Gereç ve Yöntemler: Geriye dönük olarak 75 otolog ve 39 allojeneik periferik kök hücre nakli uygulanan toplam 111 hastanın verileri toparlandı. Verilerin doğruluğu JACIE akredite merkezimizin kayıt denetleme grubu tarafından kontrol edildi. Bulgular: Olguların %2,7’sinde tromboz gelişti (1000 kateter gününde 0,9). Hastaların 14’ünde (%12,6) kateter ilişkili enfeksiyon tesbit edildi (1000 kateter gününde 3,6). Koagulaz negatif Stafilokoklar en sık etken idi. Kateter ilişkili komplikasyonlar ile engrafman zamanı, evre II-IV graft versus host hastalığı ve 100 günlük mortalite arasında bir ilişki saptanmadı. Sonuç: Sonuçlarımız nakil hastalarında tünelli SVK komplikasyonlarının yönetilebilir olduğunu ve bu komplikasyonların nakil üzerine olu…","author":[{"dropping-particle":"","family":"Yeral","given":"Mahmut","non-dropping-particle":"","parse-names":false,"suffix":""},{"dropping-particle":"","family":"Boğa","given":"Can","non-dropping-particle":"","parse-names":false,"suffix":""},{"dropping-particle":"","family":"Oğuzkurt","given":"Levent","non-dropping-particle":"","parse-names":false,"suffix":""},{"dropping-particle":"","family":"Alışkan","given":"Hikmet Eda","non-dropping-particle":"","parse-names":false,"suffix":""},{"dropping-particle":"","family":"Özdoğu","given":"Hakan","non-dropping-particle":"","parse-names":false,"suffix":""},{"dropping-particle":"","family":"Demiroğlu","given":"Yusuf Ziya","non-dropping-particle":"","parse-names":false,"suffix":""}],"container-title":"Turkish journal of haematology : official journal of Turkish Society of Haematology","id":"ITEM-1","issue":"1","issued":{"date-parts":[["2015","3"]]},"page":"51-7","publisher":"Galenos Yayinevi","title":"Tunnelled central venous catheter-related problems in the early phase of haematopoietic stem cell transplantation and effects on transplant outcome.","type":"article-journal","volume":"32"},"uris":["http://www.mendeley.com/documents/?uuid=2bc92935-3e96-3617-9553-d5dd4c0694cf","http://www.mendeley.com/documents/?uuid=af150765-c543-48ae-8459-7ae0c47be16e"]}],"mendeley":{"formattedCitation":"[185]","plainTextFormattedCitation":"[185]","previouslyFormattedCitation":"[165]"},"properties":{"noteIndex":0},"schema":"https://github.com/citation-style-language/schema/raw/master/csl-citation.json"}</w:instrText>
      </w:r>
      <w:r w:rsidRPr="00952000">
        <w:rPr>
          <w:szCs w:val="24"/>
        </w:rPr>
        <w:fldChar w:fldCharType="separate"/>
      </w:r>
      <w:r w:rsidR="00A67ED2" w:rsidRPr="00A67ED2">
        <w:rPr>
          <w:noProof/>
          <w:szCs w:val="24"/>
        </w:rPr>
        <w:t>[185]</w:t>
      </w:r>
      <w:r w:rsidRPr="00952000">
        <w:rPr>
          <w:szCs w:val="24"/>
        </w:rPr>
        <w:fldChar w:fldCharType="end"/>
      </w:r>
      <w:r w:rsidRPr="00952000">
        <w:rPr>
          <w:szCs w:val="24"/>
        </w:rPr>
        <w:t xml:space="preserve">. </w:t>
      </w:r>
    </w:p>
    <w:p w14:paraId="553572E6" w14:textId="77777777" w:rsidR="008C1767" w:rsidRPr="00952000" w:rsidRDefault="008C1767" w:rsidP="008C1767">
      <w:pPr>
        <w:ind w:firstLine="708"/>
        <w:rPr>
          <w:i/>
          <w:szCs w:val="24"/>
        </w:rPr>
      </w:pPr>
      <w:r w:rsidRPr="00952000">
        <w:rPr>
          <w:i/>
          <w:szCs w:val="24"/>
        </w:rPr>
        <w:t xml:space="preserve">Порт-системы </w:t>
      </w:r>
    </w:p>
    <w:p w14:paraId="7E85CEA6" w14:textId="1E0CE47D" w:rsidR="008C1767" w:rsidRPr="00952000" w:rsidRDefault="008C1767" w:rsidP="008C1767">
      <w:pPr>
        <w:ind w:firstLine="708"/>
        <w:rPr>
          <w:szCs w:val="24"/>
        </w:rPr>
      </w:pPr>
      <w:r w:rsidRPr="00952000">
        <w:rPr>
          <w:szCs w:val="24"/>
        </w:rPr>
        <w:t>Полностью имплантируемые венозные устройства доступа используются для обеспечения долгосрочного центрального венозного доступа при проведении химиотерапии, парентерального питания, обеспечения возможности профилактического введения фактора свёртывания при наследственных коагулопатиях, например, гемофилии. Порт-системы</w:t>
      </w:r>
      <w:r w:rsidRPr="00952000">
        <w:rPr>
          <w:strike/>
          <w:szCs w:val="24"/>
        </w:rPr>
        <w:t xml:space="preserve"> </w:t>
      </w:r>
      <w:r w:rsidRPr="00952000">
        <w:rPr>
          <w:szCs w:val="24"/>
        </w:rPr>
        <w:t xml:space="preserve">полностью скрыты от внешней среды под кожей, их наличие никак не влияет на физическую активность пациентов и считается, что порт-система – это наименее подверженный инфицированию тип ЦВК </w:t>
      </w:r>
      <w:r w:rsidRPr="00952000">
        <w:rPr>
          <w:szCs w:val="24"/>
        </w:rPr>
        <w:fldChar w:fldCharType="begin" w:fldLock="1"/>
      </w:r>
      <w:r w:rsidR="00A67ED2">
        <w:rPr>
          <w:szCs w:val="24"/>
        </w:rPr>
        <w:instrText>ADDIN CSL_CITATION {"citationItems":[{"id":"ITEM-1","itemData":{"DOI":"10.4065/81.9.1159","ISSN":"00256196","abstract":"&lt;h3&gt;OBJECTIVE&lt;/h3&gt;&lt;p&gt;To better understand the absolute and relative risks of bloodstream infection (BSI) associated with the various types of intravascular devices (IVDs), we analyzed 200 published studies of adults in which every device in the study population was prospectively evaluated for evidence of associated infection and microbiologically based criteria were used to define IVD-related BSI.&lt;/p&gt;&lt;h3&gt;METHODS&lt;/h3&gt;&lt;p&gt;English-language reports of prospective studies of adults published between January 1, 1966, and July 1, 2005, were identified by MEDLINE search using the following general search strategy: bacteremia [Medical Subject Heading, MeSH] OR septicemia [MeSH] OR bloodstream infection AND the specific type of intravascular device (eg, central venous port). Mean rates of IVD-related BSI were calculated from pooled data for each type of device and expressed as BSIs per 100 IVDs (%) and per 1000 IVD days.&lt;/p&gt;&lt;h3&gt;RESULTS&lt;/h3&gt;&lt;p&gt;Point incidence rates of IVD-related BSI were lowest with peripheral intravenous catheters (0.1%, 0.5 per 1000 IVD-days) and midline catheters (0.4%, 0.2 per 1000 catheter-days). Far higher rates were seen with short-term noncuffed and nonmedicated central venous catheters (CVCs) (4.4%, 2.7 per 1000 catheter-days). Arterial catheters used for hemodynamic monitoring (0.8%, 1.7 per 1000 catheter-days) and peripherally inserted central catheters used in hospitalized patients (2.4%, 2.1 per 1000 catheter-days) posed risks approaching those seen with short-term conventional CVCs used in the intensive care unit. Surgically implanted long-term central venous devices—cuffed and tunneled catheters (22.5%, 1.6 per 1000 IVD-days) and central venous ports (3.6%, 0.1 per 1000 IVD-days)—appear to have high rates of infection when risk is expressed as BSIs per 100 IVDs but actually pose much lower risk when rates are expressed per 1000 IVD-days. The use of cuffed and tunneled dual lumen CVCs rather than noncuffed, nontunneled catheters for temporary hemodialysis and novel preventive technologies, such as CVCs with anti-infective surfaces, was associated with considerably lower rates of catheter-related BSI.&lt;/p&gt;&lt;h3&gt;CONCLUSIONS&lt;/h3&gt;&lt;p&gt;Expressing risk of IVD-related BSI per 1000 IVD-days rather than BSIs per 100 IVDs allows for more meaningful estimates of risk. These data, based on prospective studies in which every IVD in the study cohort was analyzed for evidence of infection by microbiologically based criteria, show that &lt;i&gt;all&lt;/i&gt; types o…","author":[{"dropping-particle":"","family":"Maki","given":"Dennis G.","non-dropping-particle":"","parse-names":false,"suffix":""},{"dropping-particle":"","family":"Kluger","given":"Daniel M.","non-dropping-particle":"","parse-names":false,"suffix":""},{"dropping-particle":"","family":"Crnich","given":"Christopher J.","non-dropping-particle":"","parse-names":false,"suffix":""}],"container-title":"Mayo Clinic Proceedings","id":"ITEM-1","issue":"9","issued":{"date-parts":[["2006","9"]]},"page":"1159-1171","publisher":"Elsevier","title":"The Risk of Bloodstream Infection in Adults With Different Intravascular Devices: A Systematic Review of 200 Published Prospective Studies","type":"article-journal","volume":"81"},"uris":["http://www.mendeley.com/documents/?uuid=f5c4baf8-7e14-301a-815e-3dfe468d40e4","http://www.mendeley.com/documents/?uuid=3cd9be52-e3e0-46b8-abdf-c9f0acf4135d"]}],"mendeley":{"formattedCitation":"[186]","plainTextFormattedCitation":"[186]","previouslyFormattedCitation":"[166]"},"properties":{"noteIndex":0},"schema":"https://github.com/citation-style-language/schema/raw/master/csl-citation.json"}</w:instrText>
      </w:r>
      <w:r w:rsidRPr="00952000">
        <w:rPr>
          <w:szCs w:val="24"/>
        </w:rPr>
        <w:fldChar w:fldCharType="separate"/>
      </w:r>
      <w:r w:rsidR="00A67ED2" w:rsidRPr="00A67ED2">
        <w:rPr>
          <w:noProof/>
          <w:szCs w:val="24"/>
        </w:rPr>
        <w:t>[186]</w:t>
      </w:r>
      <w:r w:rsidRPr="00952000">
        <w:rPr>
          <w:szCs w:val="24"/>
        </w:rPr>
        <w:fldChar w:fldCharType="end"/>
      </w:r>
      <w:r w:rsidRPr="00952000">
        <w:rPr>
          <w:szCs w:val="24"/>
        </w:rPr>
        <w:t xml:space="preserve">. </w:t>
      </w:r>
    </w:p>
    <w:p w14:paraId="6E55A220" w14:textId="77777777" w:rsidR="008C1767" w:rsidRPr="00952000" w:rsidRDefault="008C1767" w:rsidP="008C1767">
      <w:pPr>
        <w:ind w:firstLine="708"/>
        <w:rPr>
          <w:szCs w:val="24"/>
        </w:rPr>
      </w:pPr>
      <w:r w:rsidRPr="00952000">
        <w:rPr>
          <w:szCs w:val="24"/>
        </w:rPr>
        <w:t xml:space="preserve">В настоящее время существует множество модификаций порт-систем, в т.ч. МРТ совместимые модификации и изделия, обладающие высокой пропускной способностью, позволяющие проводить введение контрастных веществ с использованием автоматических устройств. </w:t>
      </w:r>
    </w:p>
    <w:p w14:paraId="66398E26" w14:textId="77777777" w:rsidR="008C1767" w:rsidRPr="00952000" w:rsidRDefault="008C1767" w:rsidP="008C1767">
      <w:pPr>
        <w:ind w:firstLine="708"/>
        <w:rPr>
          <w:i/>
          <w:szCs w:val="24"/>
        </w:rPr>
      </w:pPr>
      <w:r w:rsidRPr="00952000">
        <w:rPr>
          <w:i/>
          <w:szCs w:val="24"/>
        </w:rPr>
        <w:t>Периферически имплантируемые центральные венозные катетеры.</w:t>
      </w:r>
    </w:p>
    <w:p w14:paraId="490F30A1" w14:textId="6299DFA5" w:rsidR="008C1767" w:rsidRPr="00952000" w:rsidRDefault="008C1767" w:rsidP="008C1767">
      <w:pPr>
        <w:ind w:firstLine="708"/>
        <w:rPr>
          <w:szCs w:val="24"/>
        </w:rPr>
      </w:pPr>
      <w:r w:rsidRPr="00952000">
        <w:rPr>
          <w:szCs w:val="24"/>
        </w:rPr>
        <w:t>Периферически имплантируемые центральные венозные катетеры (ПИЦВК) – это катетеры для долговременного центрального венозного доступа, которые устанавливают через одну из периферических вен руки в центральную вену. ПИЦВК изготавливаются из силикона или полиуретана, они могут быть одно-, двух- и трехпросветными, их диаметр различный, от 3 Fr до 7 Fr. ПИЦВК используют для проведения терапии</w:t>
      </w:r>
      <w:r>
        <w:rPr>
          <w:szCs w:val="24"/>
        </w:rPr>
        <w:t xml:space="preserve"> </w:t>
      </w:r>
      <w:r w:rsidRPr="00952000">
        <w:rPr>
          <w:szCs w:val="24"/>
        </w:rPr>
        <w:t xml:space="preserve">(химиотерапия, </w:t>
      </w:r>
      <w:r w:rsidRPr="00952000">
        <w:rPr>
          <w:szCs w:val="24"/>
        </w:rPr>
        <w:lastRenderedPageBreak/>
        <w:t xml:space="preserve">гемостатическая терапия и т.д.), в среднем, от 6 мес. до 1 года и рассматривают как вариант центрального венозного доступа, который может использоваться как в стационарных, так и в амбулаторных условиях, как ежедневно, так и периодически, обеспечивая пациенту безопасность и комфорт </w:t>
      </w:r>
      <w:r w:rsidRPr="00952000">
        <w:rPr>
          <w:szCs w:val="24"/>
        </w:rPr>
        <w:fldChar w:fldCharType="begin" w:fldLock="1"/>
      </w:r>
      <w:r w:rsidR="00A67ED2">
        <w:rPr>
          <w:szCs w:val="24"/>
        </w:rPr>
        <w:instrText>ADDIN CSL_CITATION {"citationItems":[{"id":"ITEM-1","itemData":{"DOI":"10.1002/9780470750186","ISBN":"9780470750186","author":[{"dropping-particle":"","family":"Hamilton","given":"Helen","non-dropping-particle":"","parse-names":false,"suffix":""}],"editor":[{"dropping-particle":"","family":"Bodenham","given":"Andrew R.","non-dropping-particle":"","parse-names":false,"suffix":""}],"id":"ITEM-1","issued":{"date-parts":[["2009","2"]]},"publisher":"Wiley-Blackwell","publisher-place":"Oxford, UK","title":"Central Venous Catheters","type":"book"},"uris":["http://www.mendeley.com/documents/?uuid=e2be4192-4b13-32c7-ac3a-c1ee92dec830","http://www.mendeley.com/documents/?uuid=e9419574-fa82-44c8-8d1a-190e223d334b"]}],"mendeley":{"formattedCitation":"[187]","plainTextFormattedCitation":"[187]","previouslyFormattedCitation":"[167]"},"properties":{"noteIndex":0},"schema":"https://github.com/citation-style-language/schema/raw/master/csl-citation.json"}</w:instrText>
      </w:r>
      <w:r w:rsidRPr="00952000">
        <w:rPr>
          <w:szCs w:val="24"/>
        </w:rPr>
        <w:fldChar w:fldCharType="separate"/>
      </w:r>
      <w:r w:rsidR="00A67ED2" w:rsidRPr="00A67ED2">
        <w:rPr>
          <w:noProof/>
          <w:szCs w:val="24"/>
        </w:rPr>
        <w:t>[187]</w:t>
      </w:r>
      <w:r w:rsidRPr="00952000">
        <w:rPr>
          <w:szCs w:val="24"/>
        </w:rPr>
        <w:fldChar w:fldCharType="end"/>
      </w:r>
      <w:r w:rsidRPr="00952000">
        <w:rPr>
          <w:szCs w:val="24"/>
        </w:rPr>
        <w:fldChar w:fldCharType="begin" w:fldLock="1"/>
      </w:r>
      <w:r w:rsidR="00A67ED2">
        <w:rPr>
          <w:szCs w:val="24"/>
          <w:lang w:val="en-US"/>
        </w:rPr>
        <w:instrText>ADDIN</w:instrText>
      </w:r>
      <w:r w:rsidR="00A67ED2" w:rsidRPr="009034B5">
        <w:rPr>
          <w:szCs w:val="24"/>
        </w:rPr>
        <w:instrText xml:space="preserve"> </w:instrText>
      </w:r>
      <w:r w:rsidR="00A67ED2">
        <w:rPr>
          <w:szCs w:val="24"/>
          <w:lang w:val="en-US"/>
        </w:rPr>
        <w:instrText>CSL</w:instrText>
      </w:r>
      <w:r w:rsidR="00A67ED2" w:rsidRPr="009034B5">
        <w:rPr>
          <w:szCs w:val="24"/>
        </w:rPr>
        <w:instrText>_</w:instrText>
      </w:r>
      <w:r w:rsidR="00A67ED2">
        <w:rPr>
          <w:szCs w:val="24"/>
          <w:lang w:val="en-US"/>
        </w:rPr>
        <w:instrText>CITATION</w:instrText>
      </w:r>
      <w:r w:rsidR="00A67ED2" w:rsidRPr="009034B5">
        <w:rPr>
          <w:szCs w:val="24"/>
        </w:rPr>
        <w:instrText xml:space="preserve"> {"</w:instrText>
      </w:r>
      <w:r w:rsidR="00A67ED2">
        <w:rPr>
          <w:szCs w:val="24"/>
          <w:lang w:val="en-US"/>
        </w:rPr>
        <w:instrText>citationItems</w:instrText>
      </w:r>
      <w:r w:rsidR="00A67ED2" w:rsidRPr="009034B5">
        <w:rPr>
          <w:szCs w:val="24"/>
        </w:rPr>
        <w:instrText>":[{"</w:instrText>
      </w:r>
      <w:r w:rsidR="00A67ED2">
        <w:rPr>
          <w:szCs w:val="24"/>
          <w:lang w:val="en-US"/>
        </w:rPr>
        <w:instrText>id</w:instrText>
      </w:r>
      <w:r w:rsidR="00A67ED2" w:rsidRPr="009034B5">
        <w:rPr>
          <w:szCs w:val="24"/>
        </w:rPr>
        <w:instrText>":"</w:instrText>
      </w:r>
      <w:r w:rsidR="00A67ED2">
        <w:rPr>
          <w:szCs w:val="24"/>
          <w:lang w:val="en-US"/>
        </w:rPr>
        <w:instrText>ITEM</w:instrText>
      </w:r>
      <w:r w:rsidR="00A67ED2" w:rsidRPr="009034B5">
        <w:rPr>
          <w:szCs w:val="24"/>
        </w:rPr>
        <w:instrText>-1","</w:instrText>
      </w:r>
      <w:r w:rsidR="00A67ED2">
        <w:rPr>
          <w:szCs w:val="24"/>
          <w:lang w:val="en-US"/>
        </w:rPr>
        <w:instrText>itemData</w:instrText>
      </w:r>
      <w:r w:rsidR="00A67ED2" w:rsidRPr="009034B5">
        <w:rPr>
          <w:szCs w:val="24"/>
        </w:rPr>
        <w:instrText>":{"</w:instrText>
      </w:r>
      <w:r w:rsidR="00A67ED2">
        <w:rPr>
          <w:szCs w:val="24"/>
          <w:lang w:val="en-US"/>
        </w:rPr>
        <w:instrText>DOI</w:instrText>
      </w:r>
      <w:r w:rsidR="00A67ED2" w:rsidRPr="009034B5">
        <w:rPr>
          <w:szCs w:val="24"/>
        </w:rPr>
        <w:instrText>":"10.1007/978-88-470-5665-7_1","</w:instrText>
      </w:r>
      <w:r w:rsidR="00A67ED2">
        <w:rPr>
          <w:szCs w:val="24"/>
          <w:lang w:val="en-US"/>
        </w:rPr>
        <w:instrText>author</w:instrText>
      </w:r>
      <w:r w:rsidR="00A67ED2" w:rsidRPr="009034B5">
        <w:rPr>
          <w:szCs w:val="24"/>
        </w:rPr>
        <w:instrText>":[{"</w:instrText>
      </w:r>
      <w:r w:rsidR="00A67ED2">
        <w:rPr>
          <w:szCs w:val="24"/>
          <w:lang w:val="en-US"/>
        </w:rPr>
        <w:instrText>dropping</w:instrText>
      </w:r>
      <w:r w:rsidR="00A67ED2" w:rsidRPr="009034B5">
        <w:rPr>
          <w:szCs w:val="24"/>
        </w:rPr>
        <w:instrText>-</w:instrText>
      </w:r>
      <w:r w:rsidR="00A67ED2">
        <w:rPr>
          <w:szCs w:val="24"/>
          <w:lang w:val="en-US"/>
        </w:rPr>
        <w:instrText>particle</w:instrText>
      </w:r>
      <w:r w:rsidR="00A67ED2" w:rsidRPr="009034B5">
        <w:rPr>
          <w:szCs w:val="24"/>
        </w:rPr>
        <w:instrText>":"","</w:instrText>
      </w:r>
      <w:r w:rsidR="00A67ED2">
        <w:rPr>
          <w:szCs w:val="24"/>
          <w:lang w:val="en-US"/>
        </w:rPr>
        <w:instrText>family</w:instrText>
      </w:r>
      <w:r w:rsidR="00A67ED2" w:rsidRPr="009034B5">
        <w:rPr>
          <w:szCs w:val="24"/>
        </w:rPr>
        <w:instrText>":"</w:instrText>
      </w:r>
      <w:r w:rsidR="00A67ED2">
        <w:rPr>
          <w:szCs w:val="24"/>
          <w:lang w:val="en-US"/>
        </w:rPr>
        <w:instrText>Biffi</w:instrText>
      </w:r>
      <w:r w:rsidR="00A67ED2" w:rsidRPr="009034B5">
        <w:rPr>
          <w:szCs w:val="24"/>
        </w:rPr>
        <w:instrText>","</w:instrText>
      </w:r>
      <w:r w:rsidR="00A67ED2">
        <w:rPr>
          <w:szCs w:val="24"/>
          <w:lang w:val="en-US"/>
        </w:rPr>
        <w:instrText>given</w:instrText>
      </w:r>
      <w:r w:rsidR="00A67ED2" w:rsidRPr="009034B5">
        <w:rPr>
          <w:szCs w:val="24"/>
        </w:rPr>
        <w:instrText>":"</w:instrText>
      </w:r>
      <w:r w:rsidR="00A67ED2">
        <w:rPr>
          <w:szCs w:val="24"/>
          <w:lang w:val="en-US"/>
        </w:rPr>
        <w:instrText>Roberto</w:instrText>
      </w:r>
      <w:r w:rsidR="00A67ED2" w:rsidRPr="009034B5">
        <w:rPr>
          <w:szCs w:val="24"/>
        </w:rPr>
        <w:instrText>","</w:instrText>
      </w:r>
      <w:r w:rsidR="00A67ED2">
        <w:rPr>
          <w:szCs w:val="24"/>
          <w:lang w:val="en-US"/>
        </w:rPr>
        <w:instrText>non</w:instrText>
      </w:r>
      <w:r w:rsidR="00A67ED2" w:rsidRPr="009034B5">
        <w:rPr>
          <w:szCs w:val="24"/>
        </w:rPr>
        <w:instrText>-</w:instrText>
      </w:r>
      <w:r w:rsidR="00A67ED2">
        <w:rPr>
          <w:szCs w:val="24"/>
          <w:lang w:val="en-US"/>
        </w:rPr>
        <w:instrText>dropping</w:instrText>
      </w:r>
      <w:r w:rsidR="00A67ED2" w:rsidRPr="009034B5">
        <w:rPr>
          <w:szCs w:val="24"/>
        </w:rPr>
        <w:instrText>-</w:instrText>
      </w:r>
      <w:r w:rsidR="00A67ED2">
        <w:rPr>
          <w:szCs w:val="24"/>
          <w:lang w:val="en-US"/>
        </w:rPr>
        <w:instrText>particle</w:instrText>
      </w:r>
      <w:r w:rsidR="00A67ED2" w:rsidRPr="009034B5">
        <w:rPr>
          <w:szCs w:val="24"/>
        </w:rPr>
        <w:instrText>":"","</w:instrText>
      </w:r>
      <w:r w:rsidR="00A67ED2">
        <w:rPr>
          <w:szCs w:val="24"/>
          <w:lang w:val="en-US"/>
        </w:rPr>
        <w:instrText>parse</w:instrText>
      </w:r>
      <w:r w:rsidR="00A67ED2" w:rsidRPr="009034B5">
        <w:rPr>
          <w:szCs w:val="24"/>
        </w:rPr>
        <w:instrText>-</w:instrText>
      </w:r>
      <w:r w:rsidR="00A67ED2">
        <w:rPr>
          <w:szCs w:val="24"/>
          <w:lang w:val="en-US"/>
        </w:rPr>
        <w:instrText>names</w:instrText>
      </w:r>
      <w:r w:rsidR="00A67ED2" w:rsidRPr="009034B5">
        <w:rPr>
          <w:szCs w:val="24"/>
        </w:rPr>
        <w:instrText>":</w:instrText>
      </w:r>
      <w:r w:rsidR="00A67ED2">
        <w:rPr>
          <w:szCs w:val="24"/>
          <w:lang w:val="en-US"/>
        </w:rPr>
        <w:instrText>false</w:instrText>
      </w:r>
      <w:r w:rsidR="00A67ED2" w:rsidRPr="009034B5">
        <w:rPr>
          <w:szCs w:val="24"/>
        </w:rPr>
        <w:instrText>,"</w:instrText>
      </w:r>
      <w:r w:rsidR="00A67ED2">
        <w:rPr>
          <w:szCs w:val="24"/>
          <w:lang w:val="en-US"/>
        </w:rPr>
        <w:instrText>suffix</w:instrText>
      </w:r>
      <w:r w:rsidR="00A67ED2" w:rsidRPr="009034B5">
        <w:rPr>
          <w:szCs w:val="24"/>
        </w:rPr>
        <w:instrText>":""}],"</w:instrText>
      </w:r>
      <w:r w:rsidR="00A67ED2">
        <w:rPr>
          <w:szCs w:val="24"/>
          <w:lang w:val="en-US"/>
        </w:rPr>
        <w:instrText>container</w:instrText>
      </w:r>
      <w:r w:rsidR="00A67ED2" w:rsidRPr="009034B5">
        <w:rPr>
          <w:szCs w:val="24"/>
        </w:rPr>
        <w:instrText>-</w:instrText>
      </w:r>
      <w:r w:rsidR="00A67ED2">
        <w:rPr>
          <w:szCs w:val="24"/>
          <w:lang w:val="en-US"/>
        </w:rPr>
        <w:instrText>title</w:instrText>
      </w:r>
      <w:r w:rsidR="00A67ED2" w:rsidRPr="009034B5">
        <w:rPr>
          <w:szCs w:val="24"/>
        </w:rPr>
        <w:instrText>":"</w:instrText>
      </w:r>
      <w:r w:rsidR="00A67ED2">
        <w:rPr>
          <w:szCs w:val="24"/>
          <w:lang w:val="en-US"/>
        </w:rPr>
        <w:instrText>Peripherally</w:instrText>
      </w:r>
      <w:r w:rsidR="00A67ED2" w:rsidRPr="009034B5">
        <w:rPr>
          <w:szCs w:val="24"/>
        </w:rPr>
        <w:instrText xml:space="preserve"> </w:instrText>
      </w:r>
      <w:r w:rsidR="00A67ED2">
        <w:rPr>
          <w:szCs w:val="24"/>
          <w:lang w:val="en-US"/>
        </w:rPr>
        <w:instrText>Inserted</w:instrText>
      </w:r>
      <w:r w:rsidR="00A67ED2" w:rsidRPr="009034B5">
        <w:rPr>
          <w:szCs w:val="24"/>
        </w:rPr>
        <w:instrText xml:space="preserve"> </w:instrText>
      </w:r>
      <w:r w:rsidR="00A67ED2">
        <w:rPr>
          <w:szCs w:val="24"/>
          <w:lang w:val="en-US"/>
        </w:rPr>
        <w:instrText>Central</w:instrText>
      </w:r>
      <w:r w:rsidR="00A67ED2" w:rsidRPr="009034B5">
        <w:rPr>
          <w:szCs w:val="24"/>
        </w:rPr>
        <w:instrText xml:space="preserve"> </w:instrText>
      </w:r>
      <w:r w:rsidR="00A67ED2">
        <w:rPr>
          <w:szCs w:val="24"/>
          <w:lang w:val="en-US"/>
        </w:rPr>
        <w:instrText>Venous</w:instrText>
      </w:r>
      <w:r w:rsidR="00A67ED2" w:rsidRPr="009034B5">
        <w:rPr>
          <w:szCs w:val="24"/>
        </w:rPr>
        <w:instrText xml:space="preserve"> </w:instrText>
      </w:r>
      <w:r w:rsidR="00A67ED2">
        <w:rPr>
          <w:szCs w:val="24"/>
          <w:lang w:val="en-US"/>
        </w:rPr>
        <w:instrText>Catheters</w:instrText>
      </w:r>
      <w:r w:rsidR="00A67ED2" w:rsidRPr="009034B5">
        <w:rPr>
          <w:szCs w:val="24"/>
        </w:rPr>
        <w:instrText>","</w:instrText>
      </w:r>
      <w:r w:rsidR="00A67ED2">
        <w:rPr>
          <w:szCs w:val="24"/>
          <w:lang w:val="en-US"/>
        </w:rPr>
        <w:instrText>id</w:instrText>
      </w:r>
      <w:r w:rsidR="00A67ED2" w:rsidRPr="009034B5">
        <w:rPr>
          <w:szCs w:val="24"/>
        </w:rPr>
        <w:instrText>":"</w:instrText>
      </w:r>
      <w:r w:rsidR="00A67ED2">
        <w:rPr>
          <w:szCs w:val="24"/>
          <w:lang w:val="en-US"/>
        </w:rPr>
        <w:instrText>ITEM</w:instrText>
      </w:r>
      <w:r w:rsidR="00A67ED2" w:rsidRPr="009034B5">
        <w:rPr>
          <w:szCs w:val="24"/>
        </w:rPr>
        <w:instrText>-1","</w:instrText>
      </w:r>
      <w:r w:rsidR="00A67ED2">
        <w:rPr>
          <w:szCs w:val="24"/>
          <w:lang w:val="en-US"/>
        </w:rPr>
        <w:instrText>issued</w:instrText>
      </w:r>
      <w:r w:rsidR="00A67ED2" w:rsidRPr="009034B5">
        <w:rPr>
          <w:szCs w:val="24"/>
        </w:rPr>
        <w:instrText>":{"</w:instrText>
      </w:r>
      <w:r w:rsidR="00A67ED2">
        <w:rPr>
          <w:szCs w:val="24"/>
          <w:lang w:val="en-US"/>
        </w:rPr>
        <w:instrText>date</w:instrText>
      </w:r>
      <w:r w:rsidR="00A67ED2" w:rsidRPr="009034B5">
        <w:rPr>
          <w:szCs w:val="24"/>
        </w:rPr>
        <w:instrText>-</w:instrText>
      </w:r>
      <w:r w:rsidR="00A67ED2">
        <w:rPr>
          <w:szCs w:val="24"/>
          <w:lang w:val="en-US"/>
        </w:rPr>
        <w:instrText>parts</w:instrText>
      </w:r>
      <w:r w:rsidR="00A67ED2" w:rsidRPr="009034B5">
        <w:rPr>
          <w:szCs w:val="24"/>
        </w:rPr>
        <w:instrText>":[["2014"]]},"</w:instrText>
      </w:r>
      <w:r w:rsidR="00A67ED2">
        <w:rPr>
          <w:szCs w:val="24"/>
          <w:lang w:val="en-US"/>
        </w:rPr>
        <w:instrText>page</w:instrText>
      </w:r>
      <w:r w:rsidR="00A67ED2" w:rsidRPr="009034B5">
        <w:rPr>
          <w:szCs w:val="24"/>
        </w:rPr>
        <w:instrText>":"1-6","</w:instrText>
      </w:r>
      <w:r w:rsidR="00A67ED2">
        <w:rPr>
          <w:szCs w:val="24"/>
          <w:lang w:val="en-US"/>
        </w:rPr>
        <w:instrText>publisher</w:instrText>
      </w:r>
      <w:r w:rsidR="00A67ED2" w:rsidRPr="009034B5">
        <w:rPr>
          <w:szCs w:val="24"/>
        </w:rPr>
        <w:instrText>":"</w:instrText>
      </w:r>
      <w:r w:rsidR="00A67ED2">
        <w:rPr>
          <w:szCs w:val="24"/>
          <w:lang w:val="en-US"/>
        </w:rPr>
        <w:instrText>Springer</w:instrText>
      </w:r>
      <w:r w:rsidR="00A67ED2" w:rsidRPr="009034B5">
        <w:rPr>
          <w:szCs w:val="24"/>
        </w:rPr>
        <w:instrText xml:space="preserve"> </w:instrText>
      </w:r>
      <w:r w:rsidR="00A67ED2">
        <w:rPr>
          <w:szCs w:val="24"/>
          <w:lang w:val="en-US"/>
        </w:rPr>
        <w:instrText>Milan</w:instrText>
      </w:r>
      <w:r w:rsidR="00A67ED2" w:rsidRPr="009034B5">
        <w:rPr>
          <w:szCs w:val="24"/>
        </w:rPr>
        <w:instrText>","</w:instrText>
      </w:r>
      <w:r w:rsidR="00A67ED2">
        <w:rPr>
          <w:szCs w:val="24"/>
          <w:lang w:val="en-US"/>
        </w:rPr>
        <w:instrText>publisher</w:instrText>
      </w:r>
      <w:r w:rsidR="00A67ED2" w:rsidRPr="009034B5">
        <w:rPr>
          <w:szCs w:val="24"/>
        </w:rPr>
        <w:instrText>-</w:instrText>
      </w:r>
      <w:r w:rsidR="00A67ED2">
        <w:rPr>
          <w:szCs w:val="24"/>
          <w:lang w:val="en-US"/>
        </w:rPr>
        <w:instrText>place</w:instrText>
      </w:r>
      <w:r w:rsidR="00A67ED2" w:rsidRPr="009034B5">
        <w:rPr>
          <w:szCs w:val="24"/>
        </w:rPr>
        <w:instrText>":"</w:instrText>
      </w:r>
      <w:r w:rsidR="00A67ED2">
        <w:rPr>
          <w:szCs w:val="24"/>
          <w:lang w:val="en-US"/>
        </w:rPr>
        <w:instrText>Milano</w:instrText>
      </w:r>
      <w:r w:rsidR="00A67ED2" w:rsidRPr="009034B5">
        <w:rPr>
          <w:szCs w:val="24"/>
        </w:rPr>
        <w:instrText>","</w:instrText>
      </w:r>
      <w:r w:rsidR="00A67ED2">
        <w:rPr>
          <w:szCs w:val="24"/>
          <w:lang w:val="en-US"/>
        </w:rPr>
        <w:instrText>title</w:instrText>
      </w:r>
      <w:r w:rsidR="00A67ED2" w:rsidRPr="009034B5">
        <w:rPr>
          <w:szCs w:val="24"/>
        </w:rPr>
        <w:instrText>":"</w:instrText>
      </w:r>
      <w:r w:rsidR="00A67ED2">
        <w:rPr>
          <w:szCs w:val="24"/>
          <w:lang w:val="en-US"/>
        </w:rPr>
        <w:instrText>Introduction</w:instrText>
      </w:r>
      <w:r w:rsidR="00A67ED2" w:rsidRPr="009034B5">
        <w:rPr>
          <w:szCs w:val="24"/>
        </w:rPr>
        <w:instrText xml:space="preserve"> </w:instrText>
      </w:r>
      <w:r w:rsidR="00A67ED2">
        <w:rPr>
          <w:szCs w:val="24"/>
          <w:lang w:val="en-US"/>
        </w:rPr>
        <w:instrText>and</w:instrText>
      </w:r>
      <w:r w:rsidR="00A67ED2" w:rsidRPr="009034B5">
        <w:rPr>
          <w:szCs w:val="24"/>
        </w:rPr>
        <w:instrText xml:space="preserve"> </w:instrText>
      </w:r>
      <w:r w:rsidR="00A67ED2">
        <w:rPr>
          <w:szCs w:val="24"/>
          <w:lang w:val="en-US"/>
        </w:rPr>
        <w:instrText>Overview</w:instrText>
      </w:r>
      <w:r w:rsidR="00A67ED2" w:rsidRPr="009034B5">
        <w:rPr>
          <w:szCs w:val="24"/>
        </w:rPr>
        <w:instrText xml:space="preserve"> </w:instrText>
      </w:r>
      <w:r w:rsidR="00A67ED2">
        <w:rPr>
          <w:szCs w:val="24"/>
          <w:lang w:val="en-US"/>
        </w:rPr>
        <w:instrText>of</w:instrText>
      </w:r>
      <w:r w:rsidR="00A67ED2" w:rsidRPr="009034B5">
        <w:rPr>
          <w:szCs w:val="24"/>
        </w:rPr>
        <w:instrText xml:space="preserve"> </w:instrText>
      </w:r>
      <w:r w:rsidR="00A67ED2">
        <w:rPr>
          <w:szCs w:val="24"/>
          <w:lang w:val="en-US"/>
        </w:rPr>
        <w:instrText>PICC</w:instrText>
      </w:r>
      <w:r w:rsidR="00A67ED2" w:rsidRPr="009034B5">
        <w:rPr>
          <w:szCs w:val="24"/>
        </w:rPr>
        <w:instrText xml:space="preserve"> </w:instrText>
      </w:r>
      <w:r w:rsidR="00A67ED2">
        <w:rPr>
          <w:szCs w:val="24"/>
          <w:lang w:val="en-US"/>
        </w:rPr>
        <w:instrText>History</w:instrText>
      </w:r>
      <w:r w:rsidR="00A67ED2" w:rsidRPr="009034B5">
        <w:rPr>
          <w:szCs w:val="24"/>
        </w:rPr>
        <w:instrText>","</w:instrText>
      </w:r>
      <w:r w:rsidR="00A67ED2">
        <w:rPr>
          <w:szCs w:val="24"/>
          <w:lang w:val="en-US"/>
        </w:rPr>
        <w:instrText>type</w:instrText>
      </w:r>
      <w:r w:rsidR="00A67ED2" w:rsidRPr="009034B5">
        <w:rPr>
          <w:szCs w:val="24"/>
        </w:rPr>
        <w:instrText>":"</w:instrText>
      </w:r>
      <w:r w:rsidR="00A67ED2">
        <w:rPr>
          <w:szCs w:val="24"/>
          <w:lang w:val="en-US"/>
        </w:rPr>
        <w:instrText>chapter</w:instrText>
      </w:r>
      <w:r w:rsidR="00A67ED2" w:rsidRPr="009034B5">
        <w:rPr>
          <w:szCs w:val="24"/>
        </w:rPr>
        <w:instrText>"},"</w:instrText>
      </w:r>
      <w:r w:rsidR="00A67ED2">
        <w:rPr>
          <w:szCs w:val="24"/>
          <w:lang w:val="en-US"/>
        </w:rPr>
        <w:instrText>uris</w:instrText>
      </w:r>
      <w:r w:rsidR="00A67ED2" w:rsidRPr="009034B5">
        <w:rPr>
          <w:szCs w:val="24"/>
        </w:rPr>
        <w:instrText>":["</w:instrText>
      </w:r>
      <w:r w:rsidR="00A67ED2">
        <w:rPr>
          <w:szCs w:val="24"/>
          <w:lang w:val="en-US"/>
        </w:rPr>
        <w:instrText>http</w:instrText>
      </w:r>
      <w:r w:rsidR="00A67ED2" w:rsidRPr="009034B5">
        <w:rPr>
          <w:szCs w:val="24"/>
        </w:rPr>
        <w:instrText>://</w:instrText>
      </w:r>
      <w:r w:rsidR="00A67ED2">
        <w:rPr>
          <w:szCs w:val="24"/>
          <w:lang w:val="en-US"/>
        </w:rPr>
        <w:instrText>www</w:instrText>
      </w:r>
      <w:r w:rsidR="00A67ED2" w:rsidRPr="009034B5">
        <w:rPr>
          <w:szCs w:val="24"/>
        </w:rPr>
        <w:instrText>.</w:instrText>
      </w:r>
      <w:r w:rsidR="00A67ED2">
        <w:rPr>
          <w:szCs w:val="24"/>
          <w:lang w:val="en-US"/>
        </w:rPr>
        <w:instrText>mendeley</w:instrText>
      </w:r>
      <w:r w:rsidR="00A67ED2" w:rsidRPr="009034B5">
        <w:rPr>
          <w:szCs w:val="24"/>
        </w:rPr>
        <w:instrText>.</w:instrText>
      </w:r>
      <w:r w:rsidR="00A67ED2">
        <w:rPr>
          <w:szCs w:val="24"/>
          <w:lang w:val="en-US"/>
        </w:rPr>
        <w:instrText>com</w:instrText>
      </w:r>
      <w:r w:rsidR="00A67ED2" w:rsidRPr="009034B5">
        <w:rPr>
          <w:szCs w:val="24"/>
        </w:rPr>
        <w:instrText>/</w:instrText>
      </w:r>
      <w:r w:rsidR="00A67ED2">
        <w:rPr>
          <w:szCs w:val="24"/>
          <w:lang w:val="en-US"/>
        </w:rPr>
        <w:instrText>documents</w:instrText>
      </w:r>
      <w:r w:rsidR="00A67ED2" w:rsidRPr="009034B5">
        <w:rPr>
          <w:szCs w:val="24"/>
        </w:rPr>
        <w:instrText>/?</w:instrText>
      </w:r>
      <w:r w:rsidR="00A67ED2">
        <w:rPr>
          <w:szCs w:val="24"/>
          <w:lang w:val="en-US"/>
        </w:rPr>
        <w:instrText>uuid</w:instrText>
      </w:r>
      <w:r w:rsidR="00A67ED2" w:rsidRPr="009034B5">
        <w:rPr>
          <w:szCs w:val="24"/>
        </w:rPr>
        <w:instrText>=7</w:instrText>
      </w:r>
      <w:r w:rsidR="00A67ED2">
        <w:rPr>
          <w:szCs w:val="24"/>
          <w:lang w:val="en-US"/>
        </w:rPr>
        <w:instrText>dba</w:instrText>
      </w:r>
      <w:r w:rsidR="00A67ED2" w:rsidRPr="009034B5">
        <w:rPr>
          <w:szCs w:val="24"/>
        </w:rPr>
        <w:instrText>9</w:instrText>
      </w:r>
      <w:r w:rsidR="00A67ED2">
        <w:rPr>
          <w:szCs w:val="24"/>
          <w:lang w:val="en-US"/>
        </w:rPr>
        <w:instrText>d</w:instrText>
      </w:r>
      <w:r w:rsidR="00A67ED2" w:rsidRPr="009034B5">
        <w:rPr>
          <w:szCs w:val="24"/>
        </w:rPr>
        <w:instrText>59-13</w:instrText>
      </w:r>
      <w:r w:rsidR="00A67ED2">
        <w:rPr>
          <w:szCs w:val="24"/>
          <w:lang w:val="en-US"/>
        </w:rPr>
        <w:instrText>c</w:instrText>
      </w:r>
      <w:r w:rsidR="00A67ED2" w:rsidRPr="009034B5">
        <w:rPr>
          <w:szCs w:val="24"/>
        </w:rPr>
        <w:instrText>1-354</w:instrText>
      </w:r>
      <w:r w:rsidR="00A67ED2">
        <w:rPr>
          <w:szCs w:val="24"/>
          <w:lang w:val="en-US"/>
        </w:rPr>
        <w:instrText>f</w:instrText>
      </w:r>
      <w:r w:rsidR="00A67ED2" w:rsidRPr="009034B5">
        <w:rPr>
          <w:szCs w:val="24"/>
        </w:rPr>
        <w:instrText>-9</w:instrText>
      </w:r>
      <w:r w:rsidR="00A67ED2">
        <w:rPr>
          <w:szCs w:val="24"/>
          <w:lang w:val="en-US"/>
        </w:rPr>
        <w:instrText>c</w:instrText>
      </w:r>
      <w:r w:rsidR="00A67ED2" w:rsidRPr="009034B5">
        <w:rPr>
          <w:szCs w:val="24"/>
        </w:rPr>
        <w:instrText>32-</w:instrText>
      </w:r>
      <w:r w:rsidR="00A67ED2">
        <w:rPr>
          <w:szCs w:val="24"/>
          <w:lang w:val="en-US"/>
        </w:rPr>
        <w:instrText>ced</w:instrText>
      </w:r>
      <w:r w:rsidR="00A67ED2" w:rsidRPr="009034B5">
        <w:rPr>
          <w:szCs w:val="24"/>
        </w:rPr>
        <w:instrText>4</w:instrText>
      </w:r>
      <w:r w:rsidR="00A67ED2">
        <w:rPr>
          <w:szCs w:val="24"/>
          <w:lang w:val="en-US"/>
        </w:rPr>
        <w:instrText>c</w:instrText>
      </w:r>
      <w:r w:rsidR="00A67ED2" w:rsidRPr="009034B5">
        <w:rPr>
          <w:szCs w:val="24"/>
        </w:rPr>
        <w:instrText>0</w:instrText>
      </w:r>
      <w:r w:rsidR="00A67ED2">
        <w:rPr>
          <w:szCs w:val="24"/>
          <w:lang w:val="en-US"/>
        </w:rPr>
        <w:instrText>b</w:instrText>
      </w:r>
      <w:r w:rsidR="00A67ED2" w:rsidRPr="009034B5">
        <w:rPr>
          <w:szCs w:val="24"/>
        </w:rPr>
        <w:instrText>75</w:instrText>
      </w:r>
      <w:r w:rsidR="00A67ED2">
        <w:rPr>
          <w:szCs w:val="24"/>
          <w:lang w:val="en-US"/>
        </w:rPr>
        <w:instrText>a</w:instrText>
      </w:r>
      <w:r w:rsidR="00A67ED2" w:rsidRPr="009034B5">
        <w:rPr>
          <w:szCs w:val="24"/>
        </w:rPr>
        <w:instrText>01","</w:instrText>
      </w:r>
      <w:r w:rsidR="00A67ED2">
        <w:rPr>
          <w:szCs w:val="24"/>
          <w:lang w:val="en-US"/>
        </w:rPr>
        <w:instrText>http</w:instrText>
      </w:r>
      <w:r w:rsidR="00A67ED2" w:rsidRPr="009034B5">
        <w:rPr>
          <w:szCs w:val="24"/>
        </w:rPr>
        <w:instrText>://</w:instrText>
      </w:r>
      <w:r w:rsidR="00A67ED2">
        <w:rPr>
          <w:szCs w:val="24"/>
          <w:lang w:val="en-US"/>
        </w:rPr>
        <w:instrText>www</w:instrText>
      </w:r>
      <w:r w:rsidR="00A67ED2" w:rsidRPr="009034B5">
        <w:rPr>
          <w:szCs w:val="24"/>
        </w:rPr>
        <w:instrText>.</w:instrText>
      </w:r>
      <w:r w:rsidR="00A67ED2">
        <w:rPr>
          <w:szCs w:val="24"/>
          <w:lang w:val="en-US"/>
        </w:rPr>
        <w:instrText>mendeley</w:instrText>
      </w:r>
      <w:r w:rsidR="00A67ED2" w:rsidRPr="009034B5">
        <w:rPr>
          <w:szCs w:val="24"/>
        </w:rPr>
        <w:instrText>.</w:instrText>
      </w:r>
      <w:r w:rsidR="00A67ED2">
        <w:rPr>
          <w:szCs w:val="24"/>
          <w:lang w:val="en-US"/>
        </w:rPr>
        <w:instrText>com</w:instrText>
      </w:r>
      <w:r w:rsidR="00A67ED2" w:rsidRPr="009034B5">
        <w:rPr>
          <w:szCs w:val="24"/>
        </w:rPr>
        <w:instrText>/</w:instrText>
      </w:r>
      <w:r w:rsidR="00A67ED2">
        <w:rPr>
          <w:szCs w:val="24"/>
          <w:lang w:val="en-US"/>
        </w:rPr>
        <w:instrText>documents</w:instrText>
      </w:r>
      <w:r w:rsidR="00A67ED2" w:rsidRPr="009034B5">
        <w:rPr>
          <w:szCs w:val="24"/>
        </w:rPr>
        <w:instrText>/?</w:instrText>
      </w:r>
      <w:r w:rsidR="00A67ED2">
        <w:rPr>
          <w:szCs w:val="24"/>
          <w:lang w:val="en-US"/>
        </w:rPr>
        <w:instrText>uuid</w:instrText>
      </w:r>
      <w:r w:rsidR="00A67ED2" w:rsidRPr="009034B5">
        <w:rPr>
          <w:szCs w:val="24"/>
        </w:rPr>
        <w:instrText>=575</w:instrText>
      </w:r>
      <w:r w:rsidR="00A67ED2">
        <w:rPr>
          <w:szCs w:val="24"/>
          <w:lang w:val="en-US"/>
        </w:rPr>
        <w:instrText>e</w:instrText>
      </w:r>
      <w:r w:rsidR="00A67ED2" w:rsidRPr="009034B5">
        <w:rPr>
          <w:szCs w:val="24"/>
        </w:rPr>
        <w:instrText>509</w:instrText>
      </w:r>
      <w:r w:rsidR="00A67ED2">
        <w:rPr>
          <w:szCs w:val="24"/>
          <w:lang w:val="en-US"/>
        </w:rPr>
        <w:instrText>f</w:instrText>
      </w:r>
      <w:r w:rsidR="00A67ED2" w:rsidRPr="009034B5">
        <w:rPr>
          <w:szCs w:val="24"/>
        </w:rPr>
        <w:instrText>-3</w:instrText>
      </w:r>
      <w:r w:rsidR="00A67ED2">
        <w:rPr>
          <w:szCs w:val="24"/>
          <w:lang w:val="en-US"/>
        </w:rPr>
        <w:instrText>cbc</w:instrText>
      </w:r>
      <w:r w:rsidR="00A67ED2" w:rsidRPr="009034B5">
        <w:rPr>
          <w:szCs w:val="24"/>
        </w:rPr>
        <w:instrText>-47</w:instrText>
      </w:r>
      <w:r w:rsidR="00A67ED2">
        <w:rPr>
          <w:szCs w:val="24"/>
          <w:lang w:val="en-US"/>
        </w:rPr>
        <w:instrText>da</w:instrText>
      </w:r>
      <w:r w:rsidR="00A67ED2" w:rsidRPr="009034B5">
        <w:rPr>
          <w:szCs w:val="24"/>
        </w:rPr>
        <w:instrText>-</w:instrText>
      </w:r>
      <w:r w:rsidR="00A67ED2">
        <w:rPr>
          <w:szCs w:val="24"/>
          <w:lang w:val="en-US"/>
        </w:rPr>
        <w:instrText>b</w:instrText>
      </w:r>
      <w:r w:rsidR="00A67ED2" w:rsidRPr="009034B5">
        <w:rPr>
          <w:szCs w:val="24"/>
        </w:rPr>
        <w:instrText>3</w:instrText>
      </w:r>
      <w:r w:rsidR="00A67ED2">
        <w:rPr>
          <w:szCs w:val="24"/>
          <w:lang w:val="en-US"/>
        </w:rPr>
        <w:instrText>dc</w:instrText>
      </w:r>
      <w:r w:rsidR="00A67ED2" w:rsidRPr="009034B5">
        <w:rPr>
          <w:szCs w:val="24"/>
        </w:rPr>
        <w:instrText>-996</w:instrText>
      </w:r>
      <w:r w:rsidR="00A67ED2">
        <w:rPr>
          <w:szCs w:val="24"/>
          <w:lang w:val="en-US"/>
        </w:rPr>
        <w:instrText>cea</w:instrText>
      </w:r>
      <w:r w:rsidR="00A67ED2" w:rsidRPr="009034B5">
        <w:rPr>
          <w:szCs w:val="24"/>
        </w:rPr>
        <w:instrText>404095"]}],"</w:instrText>
      </w:r>
      <w:r w:rsidR="00A67ED2">
        <w:rPr>
          <w:szCs w:val="24"/>
          <w:lang w:val="en-US"/>
        </w:rPr>
        <w:instrText>mendeley</w:instrText>
      </w:r>
      <w:r w:rsidR="00A67ED2" w:rsidRPr="009034B5">
        <w:rPr>
          <w:szCs w:val="24"/>
        </w:rPr>
        <w:instrText>":{"</w:instrText>
      </w:r>
      <w:r w:rsidR="00A67ED2">
        <w:rPr>
          <w:szCs w:val="24"/>
          <w:lang w:val="en-US"/>
        </w:rPr>
        <w:instrText>formattedCitation</w:instrText>
      </w:r>
      <w:r w:rsidR="00A67ED2" w:rsidRPr="009034B5">
        <w:rPr>
          <w:szCs w:val="24"/>
        </w:rPr>
        <w:instrText>":"[188]","</w:instrText>
      </w:r>
      <w:r w:rsidR="00A67ED2">
        <w:rPr>
          <w:szCs w:val="24"/>
          <w:lang w:val="en-US"/>
        </w:rPr>
        <w:instrText>plainTextFormattedCitation</w:instrText>
      </w:r>
      <w:r w:rsidR="00A67ED2" w:rsidRPr="009034B5">
        <w:rPr>
          <w:szCs w:val="24"/>
        </w:rPr>
        <w:instrText>":"[188]","</w:instrText>
      </w:r>
      <w:r w:rsidR="00A67ED2">
        <w:rPr>
          <w:szCs w:val="24"/>
          <w:lang w:val="en-US"/>
        </w:rPr>
        <w:instrText>previouslyFormattedCitation</w:instrText>
      </w:r>
      <w:r w:rsidR="00A67ED2" w:rsidRPr="009034B5">
        <w:rPr>
          <w:szCs w:val="24"/>
        </w:rPr>
        <w:instrText>":"[168]"},"</w:instrText>
      </w:r>
      <w:r w:rsidR="00A67ED2">
        <w:rPr>
          <w:szCs w:val="24"/>
          <w:lang w:val="en-US"/>
        </w:rPr>
        <w:instrText>properties</w:instrText>
      </w:r>
      <w:r w:rsidR="00A67ED2" w:rsidRPr="009034B5">
        <w:rPr>
          <w:szCs w:val="24"/>
        </w:rPr>
        <w:instrText>":{"</w:instrText>
      </w:r>
      <w:r w:rsidR="00A67ED2">
        <w:rPr>
          <w:szCs w:val="24"/>
          <w:lang w:val="en-US"/>
        </w:rPr>
        <w:instrText>noteIndex</w:instrText>
      </w:r>
      <w:r w:rsidR="00A67ED2" w:rsidRPr="009034B5">
        <w:rPr>
          <w:szCs w:val="24"/>
        </w:rPr>
        <w:instrText>":0},"</w:instrText>
      </w:r>
      <w:r w:rsidR="00A67ED2">
        <w:rPr>
          <w:szCs w:val="24"/>
          <w:lang w:val="en-US"/>
        </w:rPr>
        <w:instrText>schema</w:instrText>
      </w:r>
      <w:r w:rsidR="00A67ED2" w:rsidRPr="009034B5">
        <w:rPr>
          <w:szCs w:val="24"/>
        </w:rPr>
        <w:instrText>":"</w:instrText>
      </w:r>
      <w:r w:rsidR="00A67ED2">
        <w:rPr>
          <w:szCs w:val="24"/>
          <w:lang w:val="en-US"/>
        </w:rPr>
        <w:instrText>https</w:instrText>
      </w:r>
      <w:r w:rsidR="00A67ED2" w:rsidRPr="009034B5">
        <w:rPr>
          <w:szCs w:val="24"/>
        </w:rPr>
        <w:instrText>://</w:instrText>
      </w:r>
      <w:r w:rsidR="00A67ED2">
        <w:rPr>
          <w:szCs w:val="24"/>
          <w:lang w:val="en-US"/>
        </w:rPr>
        <w:instrText>github</w:instrText>
      </w:r>
      <w:r w:rsidR="00A67ED2" w:rsidRPr="009034B5">
        <w:rPr>
          <w:szCs w:val="24"/>
        </w:rPr>
        <w:instrText>.</w:instrText>
      </w:r>
      <w:r w:rsidR="00A67ED2">
        <w:rPr>
          <w:szCs w:val="24"/>
          <w:lang w:val="en-US"/>
        </w:rPr>
        <w:instrText>com</w:instrText>
      </w:r>
      <w:r w:rsidR="00A67ED2" w:rsidRPr="009034B5">
        <w:rPr>
          <w:szCs w:val="24"/>
        </w:rPr>
        <w:instrText>/</w:instrText>
      </w:r>
      <w:r w:rsidR="00A67ED2">
        <w:rPr>
          <w:szCs w:val="24"/>
          <w:lang w:val="en-US"/>
        </w:rPr>
        <w:instrText>citation</w:instrText>
      </w:r>
      <w:r w:rsidR="00A67ED2" w:rsidRPr="009034B5">
        <w:rPr>
          <w:szCs w:val="24"/>
        </w:rPr>
        <w:instrText>-</w:instrText>
      </w:r>
      <w:r w:rsidR="00A67ED2">
        <w:rPr>
          <w:szCs w:val="24"/>
          <w:lang w:val="en-US"/>
        </w:rPr>
        <w:instrText>style</w:instrText>
      </w:r>
      <w:r w:rsidR="00A67ED2" w:rsidRPr="009034B5">
        <w:rPr>
          <w:szCs w:val="24"/>
        </w:rPr>
        <w:instrText>-</w:instrText>
      </w:r>
      <w:r w:rsidR="00A67ED2">
        <w:rPr>
          <w:szCs w:val="24"/>
          <w:lang w:val="en-US"/>
        </w:rPr>
        <w:instrText>language</w:instrText>
      </w:r>
      <w:r w:rsidR="00A67ED2" w:rsidRPr="009034B5">
        <w:rPr>
          <w:szCs w:val="24"/>
        </w:rPr>
        <w:instrText>/</w:instrText>
      </w:r>
      <w:r w:rsidR="00A67ED2">
        <w:rPr>
          <w:szCs w:val="24"/>
          <w:lang w:val="en-US"/>
        </w:rPr>
        <w:instrText>schema</w:instrText>
      </w:r>
      <w:r w:rsidR="00A67ED2" w:rsidRPr="009034B5">
        <w:rPr>
          <w:szCs w:val="24"/>
        </w:rPr>
        <w:instrText>/</w:instrText>
      </w:r>
      <w:r w:rsidR="00A67ED2">
        <w:rPr>
          <w:szCs w:val="24"/>
          <w:lang w:val="en-US"/>
        </w:rPr>
        <w:instrText>raw</w:instrText>
      </w:r>
      <w:r w:rsidR="00A67ED2" w:rsidRPr="009034B5">
        <w:rPr>
          <w:szCs w:val="24"/>
        </w:rPr>
        <w:instrText>/</w:instrText>
      </w:r>
      <w:r w:rsidR="00A67ED2">
        <w:rPr>
          <w:szCs w:val="24"/>
          <w:lang w:val="en-US"/>
        </w:rPr>
        <w:instrText>master</w:instrText>
      </w:r>
      <w:r w:rsidR="00A67ED2" w:rsidRPr="009034B5">
        <w:rPr>
          <w:szCs w:val="24"/>
        </w:rPr>
        <w:instrText>/</w:instrText>
      </w:r>
      <w:r w:rsidR="00A67ED2">
        <w:rPr>
          <w:szCs w:val="24"/>
          <w:lang w:val="en-US"/>
        </w:rPr>
        <w:instrText>csl</w:instrText>
      </w:r>
      <w:r w:rsidR="00A67ED2" w:rsidRPr="009034B5">
        <w:rPr>
          <w:szCs w:val="24"/>
        </w:rPr>
        <w:instrText>-</w:instrText>
      </w:r>
      <w:r w:rsidR="00A67ED2">
        <w:rPr>
          <w:szCs w:val="24"/>
          <w:lang w:val="en-US"/>
        </w:rPr>
        <w:instrText>citation</w:instrText>
      </w:r>
      <w:r w:rsidR="00A67ED2" w:rsidRPr="009034B5">
        <w:rPr>
          <w:szCs w:val="24"/>
        </w:rPr>
        <w:instrText>.</w:instrText>
      </w:r>
      <w:r w:rsidR="00A67ED2">
        <w:rPr>
          <w:szCs w:val="24"/>
          <w:lang w:val="en-US"/>
        </w:rPr>
        <w:instrText>json</w:instrText>
      </w:r>
      <w:r w:rsidR="00A67ED2" w:rsidRPr="009034B5">
        <w:rPr>
          <w:szCs w:val="24"/>
        </w:rPr>
        <w:instrText>"}</w:instrText>
      </w:r>
      <w:r w:rsidRPr="00952000">
        <w:rPr>
          <w:szCs w:val="24"/>
        </w:rPr>
        <w:fldChar w:fldCharType="separate"/>
      </w:r>
      <w:r w:rsidR="00A67ED2" w:rsidRPr="00A67ED2">
        <w:rPr>
          <w:noProof/>
          <w:szCs w:val="24"/>
        </w:rPr>
        <w:t>[188]</w:t>
      </w:r>
      <w:r w:rsidRPr="00952000">
        <w:rPr>
          <w:szCs w:val="24"/>
        </w:rPr>
        <w:fldChar w:fldCharType="end"/>
      </w:r>
      <w:r w:rsidRPr="00952000">
        <w:rPr>
          <w:szCs w:val="24"/>
        </w:rPr>
        <w:t>. ПИЦВК имеют ряд преимуществ перед обычными ЦВК. При их установке исключен риск пневмоторакса и гемоторакса, пациенты отмечают больший комфорт, иногда предпочитают по косметическим причинам. Важным преимуществом ПИЦВК является и меньшее количество инфекционных осложнений. ПИЦВК практически незаменимы при наличии выраженного геморрагического синдрома.</w:t>
      </w:r>
    </w:p>
    <w:p w14:paraId="66C96EBF" w14:textId="77777777" w:rsidR="008C1767" w:rsidRPr="00952000" w:rsidRDefault="008C1767" w:rsidP="008C1767">
      <w:pPr>
        <w:ind w:firstLine="708"/>
        <w:rPr>
          <w:i/>
          <w:szCs w:val="24"/>
        </w:rPr>
      </w:pPr>
      <w:r w:rsidRPr="00952000">
        <w:rPr>
          <w:i/>
          <w:szCs w:val="24"/>
        </w:rPr>
        <w:t>Диализные катетеры.</w:t>
      </w:r>
    </w:p>
    <w:p w14:paraId="58AA828E" w14:textId="77777777" w:rsidR="008C1767" w:rsidRPr="00952000" w:rsidRDefault="008C1767" w:rsidP="008C1767">
      <w:pPr>
        <w:ind w:firstLine="700"/>
        <w:rPr>
          <w:szCs w:val="24"/>
        </w:rPr>
      </w:pPr>
      <w:r w:rsidRPr="00952000">
        <w:rPr>
          <w:szCs w:val="24"/>
        </w:rPr>
        <w:t>Отдельное место занимают так называемые диализные катетеры, то есть катетеры, которые используются для проведения заместительной почечной терапии, а также процедур плазмафереза и лейкоцитафереза, сбора гемопоэтических стволовых клеток. Связано это с большим диаметром катетера, а также особенностями строения дистального конца катетера. Они устанавливаются на время формирования (“созревания”) фистулы или протеза у больных с хронической почечной недостаточностью, нуждающихся в программном гемодиализе или в качестве единственного сосудистого доступа при наличии тяжелой сердечной недостаточности.</w:t>
      </w:r>
    </w:p>
    <w:p w14:paraId="205F7461" w14:textId="77777777" w:rsidR="008C1767" w:rsidRPr="00781F82" w:rsidRDefault="008C1767" w:rsidP="008C1767">
      <w:pPr>
        <w:ind w:firstLine="709"/>
        <w:rPr>
          <w:i/>
          <w:iCs/>
          <w:szCs w:val="24"/>
          <w:u w:val="single"/>
        </w:rPr>
      </w:pPr>
      <w:r w:rsidRPr="00781F82">
        <w:rPr>
          <w:i/>
          <w:iCs/>
          <w:szCs w:val="24"/>
          <w:u w:val="single"/>
        </w:rPr>
        <w:t>Осложнения катетеризации центральных вен</w:t>
      </w:r>
    </w:p>
    <w:p w14:paraId="09006B35" w14:textId="77777777" w:rsidR="008C1767" w:rsidRPr="00952000" w:rsidRDefault="008C1767" w:rsidP="008C1767">
      <w:pPr>
        <w:ind w:firstLine="709"/>
        <w:rPr>
          <w:szCs w:val="24"/>
        </w:rPr>
      </w:pPr>
      <w:r w:rsidRPr="00952000">
        <w:rPr>
          <w:i/>
          <w:szCs w:val="24"/>
        </w:rPr>
        <w:t>К ранним осложнениям</w:t>
      </w:r>
      <w:r w:rsidRPr="00952000">
        <w:rPr>
          <w:szCs w:val="24"/>
        </w:rPr>
        <w:t xml:space="preserve"> относят возникшие во время проведения манипуляции:</w:t>
      </w:r>
    </w:p>
    <w:p w14:paraId="701D8C0B" w14:textId="77777777" w:rsidR="008C1767" w:rsidRPr="00952000" w:rsidRDefault="008C1767" w:rsidP="008C1767">
      <w:pPr>
        <w:pStyle w:val="afff3"/>
        <w:widowControl/>
        <w:numPr>
          <w:ilvl w:val="0"/>
          <w:numId w:val="55"/>
        </w:numPr>
        <w:autoSpaceDE/>
        <w:autoSpaceDN/>
        <w:adjustRightInd/>
        <w:ind w:left="993" w:hanging="284"/>
        <w:rPr>
          <w:szCs w:val="24"/>
        </w:rPr>
      </w:pPr>
      <w:r w:rsidRPr="00952000">
        <w:rPr>
          <w:szCs w:val="24"/>
        </w:rPr>
        <w:t xml:space="preserve">ранение магистральных артерий, </w:t>
      </w:r>
    </w:p>
    <w:p w14:paraId="38928040" w14:textId="77777777" w:rsidR="008C1767" w:rsidRPr="00952000" w:rsidRDefault="008C1767" w:rsidP="008C1767">
      <w:pPr>
        <w:pStyle w:val="afff3"/>
        <w:widowControl/>
        <w:numPr>
          <w:ilvl w:val="0"/>
          <w:numId w:val="55"/>
        </w:numPr>
        <w:autoSpaceDE/>
        <w:autoSpaceDN/>
        <w:adjustRightInd/>
        <w:ind w:left="993" w:hanging="284"/>
        <w:rPr>
          <w:szCs w:val="24"/>
        </w:rPr>
      </w:pPr>
      <w:r w:rsidRPr="00952000">
        <w:rPr>
          <w:szCs w:val="24"/>
        </w:rPr>
        <w:t>развитие гематомы в месте пункции сосуда</w:t>
      </w:r>
    </w:p>
    <w:p w14:paraId="674EF3A2" w14:textId="77777777" w:rsidR="008C1767" w:rsidRPr="00952000" w:rsidRDefault="008C1767" w:rsidP="008C1767">
      <w:pPr>
        <w:pStyle w:val="afff3"/>
        <w:widowControl/>
        <w:numPr>
          <w:ilvl w:val="0"/>
          <w:numId w:val="55"/>
        </w:numPr>
        <w:autoSpaceDE/>
        <w:autoSpaceDN/>
        <w:adjustRightInd/>
        <w:ind w:left="993" w:hanging="284"/>
        <w:rPr>
          <w:szCs w:val="24"/>
        </w:rPr>
      </w:pPr>
      <w:r w:rsidRPr="00952000">
        <w:rPr>
          <w:szCs w:val="24"/>
        </w:rPr>
        <w:t xml:space="preserve">развитие пневмоторакса, гемоторакса, </w:t>
      </w:r>
    </w:p>
    <w:p w14:paraId="5AE58CA1" w14:textId="77777777" w:rsidR="008C1767" w:rsidRPr="00952000" w:rsidRDefault="008C1767" w:rsidP="008C1767">
      <w:pPr>
        <w:pStyle w:val="afff3"/>
        <w:widowControl/>
        <w:numPr>
          <w:ilvl w:val="0"/>
          <w:numId w:val="55"/>
        </w:numPr>
        <w:autoSpaceDE/>
        <w:autoSpaceDN/>
        <w:adjustRightInd/>
        <w:ind w:left="993" w:hanging="284"/>
        <w:rPr>
          <w:szCs w:val="24"/>
        </w:rPr>
      </w:pPr>
      <w:r w:rsidRPr="00952000">
        <w:rPr>
          <w:szCs w:val="24"/>
        </w:rPr>
        <w:t xml:space="preserve">ранение грудного лимфатического протока, </w:t>
      </w:r>
    </w:p>
    <w:p w14:paraId="3350E337" w14:textId="77777777" w:rsidR="008C1767" w:rsidRPr="00952000" w:rsidRDefault="008C1767" w:rsidP="008C1767">
      <w:pPr>
        <w:pStyle w:val="afff3"/>
        <w:widowControl/>
        <w:numPr>
          <w:ilvl w:val="0"/>
          <w:numId w:val="55"/>
        </w:numPr>
        <w:autoSpaceDE/>
        <w:autoSpaceDN/>
        <w:adjustRightInd/>
        <w:ind w:left="993" w:hanging="284"/>
        <w:rPr>
          <w:szCs w:val="24"/>
        </w:rPr>
      </w:pPr>
      <w:r w:rsidRPr="00952000">
        <w:rPr>
          <w:szCs w:val="24"/>
        </w:rPr>
        <w:t xml:space="preserve">повреждение нервных сплетений, </w:t>
      </w:r>
    </w:p>
    <w:p w14:paraId="41298FF2" w14:textId="77777777" w:rsidR="008C1767" w:rsidRPr="00952000" w:rsidRDefault="008C1767" w:rsidP="008C1767">
      <w:pPr>
        <w:pStyle w:val="afff3"/>
        <w:widowControl/>
        <w:numPr>
          <w:ilvl w:val="0"/>
          <w:numId w:val="55"/>
        </w:numPr>
        <w:autoSpaceDE/>
        <w:autoSpaceDN/>
        <w:adjustRightInd/>
        <w:ind w:left="993" w:hanging="284"/>
        <w:rPr>
          <w:szCs w:val="24"/>
        </w:rPr>
      </w:pPr>
      <w:r w:rsidRPr="00952000">
        <w:rPr>
          <w:szCs w:val="24"/>
        </w:rPr>
        <w:t>неправильная установка катетера</w:t>
      </w:r>
    </w:p>
    <w:p w14:paraId="7283FE05" w14:textId="77777777" w:rsidR="008C1767" w:rsidRPr="00952000" w:rsidRDefault="008C1767" w:rsidP="008C1767">
      <w:pPr>
        <w:ind w:firstLine="709"/>
        <w:rPr>
          <w:szCs w:val="24"/>
        </w:rPr>
      </w:pPr>
      <w:r w:rsidRPr="00952000">
        <w:rPr>
          <w:i/>
          <w:iCs/>
          <w:szCs w:val="24"/>
        </w:rPr>
        <w:t>Поздние осложнения</w:t>
      </w:r>
      <w:r>
        <w:rPr>
          <w:i/>
          <w:iCs/>
          <w:szCs w:val="24"/>
        </w:rPr>
        <w:t>,</w:t>
      </w:r>
      <w:r w:rsidRPr="00952000">
        <w:rPr>
          <w:szCs w:val="24"/>
        </w:rPr>
        <w:t xml:space="preserve"> возникающие во время или после эксплуатации катетера</w:t>
      </w:r>
      <w:r>
        <w:rPr>
          <w:szCs w:val="24"/>
        </w:rPr>
        <w:t>,</w:t>
      </w:r>
      <w:r w:rsidRPr="00952000">
        <w:rPr>
          <w:szCs w:val="24"/>
        </w:rPr>
        <w:t xml:space="preserve"> бывают тромботическими, стенотическими и инфекционными.</w:t>
      </w:r>
    </w:p>
    <w:p w14:paraId="4CB4EE1E" w14:textId="77777777" w:rsidR="008C1767" w:rsidRPr="00952000" w:rsidRDefault="008C1767" w:rsidP="008C1767">
      <w:pPr>
        <w:ind w:firstLine="708"/>
        <w:rPr>
          <w:szCs w:val="24"/>
        </w:rPr>
      </w:pPr>
      <w:r w:rsidRPr="00952000">
        <w:rPr>
          <w:szCs w:val="24"/>
        </w:rPr>
        <w:t>Под катетер-ассоциированным тромбозом (</w:t>
      </w:r>
      <w:r w:rsidRPr="00952000">
        <w:rPr>
          <w:i/>
          <w:szCs w:val="24"/>
        </w:rPr>
        <w:t xml:space="preserve">КАТ) </w:t>
      </w:r>
      <w:r w:rsidRPr="00952000">
        <w:rPr>
          <w:szCs w:val="24"/>
        </w:rPr>
        <w:t xml:space="preserve">понимают сочетание клинических и инструментальных признаков тромбоза. </w:t>
      </w:r>
    </w:p>
    <w:p w14:paraId="541FC8BE" w14:textId="77777777" w:rsidR="008C1767" w:rsidRPr="00952000" w:rsidRDefault="008C1767" w:rsidP="008C1767">
      <w:pPr>
        <w:pStyle w:val="afff3"/>
        <w:widowControl/>
        <w:numPr>
          <w:ilvl w:val="0"/>
          <w:numId w:val="57"/>
        </w:numPr>
        <w:autoSpaceDE/>
        <w:autoSpaceDN/>
        <w:adjustRightInd/>
        <w:ind w:left="0" w:firstLine="349"/>
        <w:rPr>
          <w:szCs w:val="24"/>
        </w:rPr>
      </w:pPr>
      <w:r w:rsidRPr="00952000">
        <w:rPr>
          <w:szCs w:val="24"/>
        </w:rPr>
        <w:t xml:space="preserve">Клинические признаки: гиперемия кожи, отек подкожной клетчатки и боль, усиление подкожного сосудистого рисунка на стороне установки катетера, нарушение проходимости катетера, истечение жидкости по каналу катетера при проведении инфузии. </w:t>
      </w:r>
    </w:p>
    <w:p w14:paraId="626504AD" w14:textId="77777777" w:rsidR="008C1767" w:rsidRPr="00952000" w:rsidRDefault="008C1767" w:rsidP="008C1767">
      <w:pPr>
        <w:pStyle w:val="afff3"/>
        <w:widowControl/>
        <w:numPr>
          <w:ilvl w:val="0"/>
          <w:numId w:val="57"/>
        </w:numPr>
        <w:autoSpaceDE/>
        <w:autoSpaceDN/>
        <w:adjustRightInd/>
        <w:ind w:left="0" w:firstLine="349"/>
        <w:rPr>
          <w:szCs w:val="24"/>
        </w:rPr>
      </w:pPr>
      <w:r w:rsidRPr="00952000">
        <w:rPr>
          <w:szCs w:val="24"/>
        </w:rPr>
        <w:t xml:space="preserve">Инструментальные признаки: выявление при </w:t>
      </w:r>
      <w:r w:rsidRPr="00952000">
        <w:rPr>
          <w:i/>
          <w:szCs w:val="24"/>
        </w:rPr>
        <w:t>УЗИ</w:t>
      </w:r>
      <w:r w:rsidRPr="00952000">
        <w:rPr>
          <w:szCs w:val="24"/>
        </w:rPr>
        <w:t xml:space="preserve"> гиперэхогенного образования в месте установки катетера, полностью или частично перекрывающего просвет сосуда, препятствующее смыканию стенок вен при компрессии датчиком, полное или частичное </w:t>
      </w:r>
      <w:r w:rsidRPr="00952000">
        <w:rPr>
          <w:szCs w:val="24"/>
        </w:rPr>
        <w:lastRenderedPageBreak/>
        <w:t xml:space="preserve">отсутствие кровотока при УЗИ в допплеровском режиме, появление турбулентного тока крови; дефекты контрастирования сосудов при </w:t>
      </w:r>
      <w:r w:rsidRPr="00952000">
        <w:rPr>
          <w:i/>
          <w:szCs w:val="24"/>
        </w:rPr>
        <w:t>КТ-ангиографии или прямой ангиографии</w:t>
      </w:r>
      <w:r w:rsidRPr="00952000">
        <w:rPr>
          <w:szCs w:val="24"/>
        </w:rPr>
        <w:t>.</w:t>
      </w:r>
    </w:p>
    <w:p w14:paraId="58715104" w14:textId="77777777" w:rsidR="008C1767" w:rsidRPr="00952000" w:rsidRDefault="008C1767" w:rsidP="008C1767">
      <w:pPr>
        <w:pStyle w:val="afff7"/>
      </w:pPr>
      <w:r w:rsidRPr="00952000">
        <w:t xml:space="preserve">Тромботические осложнения, ассоциированные с ЦВК, можно разделить на три вида: </w:t>
      </w:r>
    </w:p>
    <w:p w14:paraId="0E3DDD13" w14:textId="77777777" w:rsidR="008C1767" w:rsidRPr="00952000" w:rsidRDefault="008C1767" w:rsidP="008C1767">
      <w:pPr>
        <w:pStyle w:val="afff7"/>
        <w:numPr>
          <w:ilvl w:val="0"/>
          <w:numId w:val="56"/>
        </w:numPr>
        <w:spacing w:before="0" w:beforeAutospacing="0" w:after="0" w:afterAutospacing="0"/>
        <w:jc w:val="both"/>
      </w:pPr>
      <w:r w:rsidRPr="00952000">
        <w:t xml:space="preserve">«фибриновый чехол», </w:t>
      </w:r>
    </w:p>
    <w:p w14:paraId="7656D47A" w14:textId="77777777" w:rsidR="008C1767" w:rsidRPr="00952000" w:rsidRDefault="008C1767" w:rsidP="008C1767">
      <w:pPr>
        <w:pStyle w:val="afff7"/>
        <w:numPr>
          <w:ilvl w:val="0"/>
          <w:numId w:val="56"/>
        </w:numPr>
        <w:spacing w:before="0" w:beforeAutospacing="0" w:after="0" w:afterAutospacing="0"/>
        <w:jc w:val="both"/>
      </w:pPr>
      <w:r w:rsidRPr="00952000">
        <w:t>обструкция катетера</w:t>
      </w:r>
    </w:p>
    <w:p w14:paraId="7C223D75" w14:textId="77777777" w:rsidR="008C1767" w:rsidRPr="00952000" w:rsidRDefault="008C1767" w:rsidP="008C1767">
      <w:pPr>
        <w:pStyle w:val="afff7"/>
        <w:numPr>
          <w:ilvl w:val="0"/>
          <w:numId w:val="56"/>
        </w:numPr>
        <w:spacing w:before="0" w:beforeAutospacing="0" w:after="0" w:afterAutospacing="0"/>
        <w:jc w:val="both"/>
      </w:pPr>
      <w:r w:rsidRPr="00952000">
        <w:t>пристеночный или обтурирующий внутрисосудистый тромбоз.</w:t>
      </w:r>
    </w:p>
    <w:p w14:paraId="489CBC7F" w14:textId="2F58D40A" w:rsidR="008C1767" w:rsidRPr="00952000" w:rsidRDefault="008C1767" w:rsidP="008C1767">
      <w:pPr>
        <w:pStyle w:val="afff7"/>
      </w:pPr>
      <w:r w:rsidRPr="00952000">
        <w:t xml:space="preserve">Бессимптомные КАТ более распространены, но их клиническое значение не ясно. Частота выявления КАТ колеблется, по разным данным, от 5% до 12-14% </w:t>
      </w:r>
      <w:r w:rsidRPr="00952000">
        <w:fldChar w:fldCharType="begin" w:fldLock="1"/>
      </w:r>
      <w:r w:rsidR="00A67ED2">
        <w:instrText>ADDIN CSL_CITATION {"citationItems":[{"id":"ITEM-1","itemData":{"ISSN":"1540-1405","PMID":"17020667","abstract":"Symptomatic thromboembolic complications of central venous catheters (CVCs) occur in 5% or less of general oncology patients. Asymptomatic CVC-related thrombi are more common, but their clinical significance is unclear. Thrombotic risk may be increased by primary thrombophilic disorders, especially the factor V G1691A (Leiden) mutation, thrombogenic catheter material, larger catheter diameter and greater number of lumens, catheter tip malposition, left-sided placement, percutaneous or multiple insertion attempts, a previous CVC or preexisting venous obstruction, prothrombotic therapeutic agents, catheter-associated infections, and fibrinous catheter lumen occlusion. Three recent randomized, prospective, placebo-controlled trials observed no benefit of routine low-dose warfarin or low-molecular-weight heparin in preventing catheter-associated thrombosis. Nevertheless, thromboprophylaxis may be appropriate and safe for selected high-risk patients. Duplex ultrasound can accurately detect CVC-related thrombi involving the jugular, axillary, distal subclavian, and arm veins. Contrast venographic imaging is required for indeterminate duplex findings and to evaluate the deep central veins and pulmonary arteries. Therapeutic anticoagulation, with or without catheter removal, is indicated for patients with acute deep vein thrombosis (DVT) or pulmonary embolism who have no contraindications. Catheter removal alone, with close follow-up, may be sufficient when bleeding risk precludes safe anticoagulation. Approaches to managing catheter-associated thrombosis, including the use of thrombolytic agents, are guided by limited published experience and extrapolation from practices used for lower-extremity DVT. Prospective, randomized, controlled trials are needed to identify the safest and most effective anticoagulant agents, treatment durations, and alternative venous access strategies for cancer patients who develop catheter-associated thrombosis.","author":[{"dropping-particle":"","family":"Linenberger","given":"Michael L","non-dropping-particle":"","parse-names":false,"suffix":""}],"container-title":"Journal of the National Comprehensive Cancer Network : JNCCN","id":"ITEM-1","issue":"9","issued":{"date-parts":[["2006","10"]]},"page":"889-901","title":"Catheter-related thrombosis: risks, diagnosis, and management.","type":"article-journal","volume":"4"},"uris":["http://www.mendeley.com/documents/?uuid=fd996227-febf-46f9-8b4a-37c976acd280"]},{"id":"ITEM-2","itemData":{"DOI":"10.1111/j.1538-7836.2012.04817.x","abstract":"Central venous catheters are extensively used in patients with cancer to secure delivery of chemotherapy and facilitate phlebotomy. Unfortunately, considerable morbidity can result from early complications or late sequelae, ranging from arterial puncture, pneumothorax and bloodstream infections to catheter-related thrombosis (CRT). Contempo-rary studies have shown that the incidence of symptomatic CRT is 5%, whereas the incidence of asymptomatic CRT is higher, at 14–18%. The significance and mechanisms of catheter design, material, insertion location and technique, position of the catheter tip and other risk factors in contributing to the development of CRT are not well understood. Efforts to reduce thrombotic complications, involving flushing the catheter with heparinized solutions, the use of heparin-bonded catheters, and systemic anticoag-ulant prophylaxis, have been largely ineffective. More studies are needed to understand the pathophysiology of thrombotic complications, to help identify effective interventions to reduce this adverse outcome.","author":[{"dropping-particle":"","family":"Lee","given":"A.Y.Y.","non-dropping-particle":"","parse-names":false,"suffix":""},{"dropping-particle":"","family":"Kamphuisen","given":"P.W.","non-dropping-particle":"","parse-names":false,"suffix":""}],"container-title":"Journal of Thrombosis and Haemostasis","id":"ITEM-2","issue":"10","issued":{"date-parts":[["2012"]]},"page":"1491-1499","title":"Epidemiology and prevention of catheter-related thrombosis in patients with cancer","type":"article-journal"},"uris":["http://www.mendeley.com/documents/?uuid=2f9bf3d1-5851-4e76-89ac-5c3d038d67a9"]}],"mendeley":{"formattedCitation":"[189,190]","plainTextFormattedCitation":"[189,190]","previouslyFormattedCitation":"[169,170]"},"properties":{"noteIndex":0},"schema":"https://github.com/citation-style-language/schema/raw/master/csl-citation.json"}</w:instrText>
      </w:r>
      <w:r w:rsidRPr="00952000">
        <w:fldChar w:fldCharType="separate"/>
      </w:r>
      <w:r w:rsidR="00A67ED2" w:rsidRPr="00A67ED2">
        <w:rPr>
          <w:noProof/>
        </w:rPr>
        <w:t>[189,190]</w:t>
      </w:r>
      <w:r w:rsidRPr="00952000">
        <w:fldChar w:fldCharType="end"/>
      </w:r>
      <w:r w:rsidRPr="00952000">
        <w:t xml:space="preserve">. Факторы, предрасполагающие к развитию КАТ, разделяют на три группы: </w:t>
      </w:r>
    </w:p>
    <w:p w14:paraId="3FF82BE1" w14:textId="77777777" w:rsidR="008C1767" w:rsidRPr="00952000" w:rsidRDefault="008C1767" w:rsidP="008C1767">
      <w:pPr>
        <w:pStyle w:val="afff7"/>
        <w:numPr>
          <w:ilvl w:val="0"/>
          <w:numId w:val="213"/>
        </w:numPr>
        <w:spacing w:before="0" w:beforeAutospacing="0" w:after="0" w:afterAutospacing="0"/>
        <w:jc w:val="both"/>
      </w:pPr>
      <w:r w:rsidRPr="00952000">
        <w:t xml:space="preserve">связанные с пациентом (пол, возраст, наличие опухолевого заболевания, тромбофилии); </w:t>
      </w:r>
    </w:p>
    <w:p w14:paraId="2EB8251D" w14:textId="77777777" w:rsidR="008C1767" w:rsidRPr="00952000" w:rsidRDefault="008C1767" w:rsidP="008C1767">
      <w:pPr>
        <w:pStyle w:val="afff7"/>
        <w:numPr>
          <w:ilvl w:val="0"/>
          <w:numId w:val="213"/>
        </w:numPr>
        <w:spacing w:before="0" w:beforeAutospacing="0" w:after="0" w:afterAutospacing="0"/>
        <w:jc w:val="both"/>
      </w:pPr>
      <w:r w:rsidRPr="00952000">
        <w:t xml:space="preserve">связанные с катетером (большой диаметр, материал катетера, т.е. «жесткий» катетер); </w:t>
      </w:r>
    </w:p>
    <w:p w14:paraId="6974A339" w14:textId="77777777" w:rsidR="008C1767" w:rsidRPr="00952000" w:rsidRDefault="008C1767" w:rsidP="008C1767">
      <w:pPr>
        <w:pStyle w:val="afff7"/>
        <w:numPr>
          <w:ilvl w:val="0"/>
          <w:numId w:val="213"/>
        </w:numPr>
        <w:spacing w:before="0" w:beforeAutospacing="0" w:after="0" w:afterAutospacing="0"/>
        <w:jc w:val="both"/>
      </w:pPr>
      <w:r w:rsidRPr="00952000">
        <w:t xml:space="preserve">связанные с лечением (химиотерапия, парентеральное питание и введение других раздражающих веществ). </w:t>
      </w:r>
    </w:p>
    <w:p w14:paraId="3AA6ABCE" w14:textId="77777777" w:rsidR="008C1767" w:rsidRPr="00952000" w:rsidRDefault="008C1767" w:rsidP="008C1767">
      <w:pPr>
        <w:ind w:firstLine="708"/>
        <w:rPr>
          <w:strike/>
          <w:szCs w:val="24"/>
        </w:rPr>
      </w:pPr>
      <w:r w:rsidRPr="00952000">
        <w:rPr>
          <w:szCs w:val="24"/>
        </w:rPr>
        <w:t>Наличие опухолевого заболевания увеличивает риск тромбоза.</w:t>
      </w:r>
    </w:p>
    <w:p w14:paraId="2719DF78" w14:textId="55342A8B" w:rsidR="008C1767" w:rsidRPr="00952000" w:rsidRDefault="008C1767" w:rsidP="008C1767">
      <w:pPr>
        <w:ind w:firstLine="708"/>
        <w:rPr>
          <w:szCs w:val="24"/>
        </w:rPr>
      </w:pPr>
      <w:r w:rsidRPr="00952000">
        <w:rPr>
          <w:szCs w:val="24"/>
        </w:rPr>
        <w:t xml:space="preserve">Важную роль в формировании КАТ имеет соотношение диаметра катетера к диаметру вены, которое не должно превышать 1/3, иначе происходит дополнительная травма эндотелия </w:t>
      </w:r>
      <w:r w:rsidRPr="00952000">
        <w:rPr>
          <w:szCs w:val="24"/>
        </w:rPr>
        <w:fldChar w:fldCharType="begin" w:fldLock="1"/>
      </w:r>
      <w:r w:rsidR="00A67ED2">
        <w:rPr>
          <w:szCs w:val="24"/>
        </w:rPr>
        <w:instrText>ADDIN CSL_CITATION {"citationItems":[{"id":"ITEM-1","itemData":{"author":[{"dropping-particle":"","family":"Цепенщинков","given":"Л.В","non-dropping-particle":"","parse-names":false,"suffix":""},{"dropping-particle":"","family":"Лядов","given":"В.К.","non-dropping-particle":"","parse-names":false,"suffix":""}],"container-title":"Клиническая онкогематология","id":"ITEM-1","issue":"2","issued":{"date-parts":[["2014"]]},"page":"220-228","title":"Периферически имплантируемый центральный венозный катетер: обзор литераутры.","type":"article-journal","volume":"7"},"uris":["http://www.mendeley.com/documents/?uuid=88221962-7bef-43f1-95ef-c82831c18b7b","http://www.mendeley.com/documents/?uuid=6bf891a9-cc26-48dd-8e38-76815056737b"]}],"mendeley":{"formattedCitation":"[191]","plainTextFormattedCitation":"[191]","previouslyFormattedCitation":"[171]"},"properties":{"noteIndex":0},"schema":"https://github.com/citation-style-language/schema/raw/master/csl-citation.json"}</w:instrText>
      </w:r>
      <w:r w:rsidRPr="00952000">
        <w:rPr>
          <w:szCs w:val="24"/>
        </w:rPr>
        <w:fldChar w:fldCharType="separate"/>
      </w:r>
      <w:r w:rsidR="00A67ED2" w:rsidRPr="00A67ED2">
        <w:rPr>
          <w:noProof/>
          <w:szCs w:val="24"/>
        </w:rPr>
        <w:t>[191]</w:t>
      </w:r>
      <w:r w:rsidRPr="00952000">
        <w:rPr>
          <w:szCs w:val="24"/>
        </w:rPr>
        <w:fldChar w:fldCharType="end"/>
      </w:r>
      <w:r w:rsidRPr="00952000">
        <w:rPr>
          <w:szCs w:val="24"/>
        </w:rPr>
        <w:t xml:space="preserve">. При сравнении силиконовых и полиуретановых катетеров, установленных в вены плеча, значимой разницы </w:t>
      </w:r>
      <w:r w:rsidRPr="00DB2B4A">
        <w:rPr>
          <w:szCs w:val="24"/>
        </w:rPr>
        <w:t xml:space="preserve">в частоте развития КАТ </w:t>
      </w:r>
      <w:r w:rsidRPr="00952000">
        <w:rPr>
          <w:szCs w:val="24"/>
        </w:rPr>
        <w:t xml:space="preserve">не выявили, но отмечен факт повреждения эндотелия, способствующего развитию тромбоза </w:t>
      </w:r>
      <w:r w:rsidRPr="00952000">
        <w:rPr>
          <w:szCs w:val="24"/>
        </w:rPr>
        <w:fldChar w:fldCharType="begin" w:fldLock="1"/>
      </w:r>
      <w:r w:rsidR="00A67ED2">
        <w:rPr>
          <w:szCs w:val="24"/>
        </w:rPr>
        <w:instrText>ADDIN CSL_CITATION {"citationItems":[{"id":"ITEM-1","itemData":{"DOI":"10.1177/0148607184008004399","ISSN":"0148-6071","PMID":"6431130","abstract":"In order to compare two types of long, soft central venous catheters with the same stiffness, 39 silicone elastomer (SE) and 36 polyurethane (PU) catheters were inserted in 75 patients via basilic or cephalic veins punctured at the cubital fossa. Mean duration of catheterization was 10.5 days. Scanning electron microscopy revealed that the SE catheters to have a more uniform, but somewhat rougher surface topography than the PU catheters. The platelet adhesion in vitro to the SE catheters was four times higher than to the PU catheters. The incidence of clinical thrombophlebitis in the arm veins was 36% with the SE catheters, and 5.5% with the PU catheters (p less than 0.01). No significant differences were found between the SE and PU catheters regarding the number and size of radiologic thrombi in the peripheral and central veins, catheter occlusion rate, and platelet adhesion to the inner side of the catheter tip at withdrawal. Platelet adhesion in vivo correlated with the duration of catheterization in both groups of catheters. Mechanical trauma to the vein endothelium seems to be of vital importance in thrombus formation, but not in the induction of clinical thrombophlebitis.","author":[{"dropping-particle":"","family":"Linder","given":"L E","non-dropping-particle":"","parse-names":false,"suffix":""},{"dropping-particle":"","family":"Curelaru","given":"I","non-dropping-particle":"","parse-names":false,"suffix":""},{"dropping-particle":"","family":"Gustavsson","given":"B","non-dropping-particle":"","parse-names":false,"suffix":""},{"dropping-particle":"","family":"Hansson","given":"H A","non-dropping-particle":"","parse-names":false,"suffix":""},{"dropping-particle":"","family":"Stenqvist","given":"O","non-dropping-particle":"","parse-names":false,"suffix":""},{"dropping-particle":"","family":"Wojciechowski","given":"J","non-dropping-particle":"","parse-names":false,"suffix":""}],"container-title":"JPEN. Journal of parenteral and enteral nutrition","id":"ITEM-1","issue":"4","issued":{"date-parts":[["1984"]]},"page":"399-406","title":"Material thrombogenicity in central venous catheterization: a comparison between soft, antebrachial catheters of silicone elastomer and polyurethane.","type":"article-journal","volume":"8"},"uris":["http://www.mendeley.com/documents/?uuid=50c99be9-4388-35af-aba0-01eefc84f6b5","http://www.mendeley.com/documents/?uuid=52fd94cb-1dbb-4a1b-a63a-91cf9a99438a"]}],"mendeley":{"formattedCitation":"[192]","plainTextFormattedCitation":"[192]","previouslyFormattedCitation":"[172]"},"properties":{"noteIndex":0},"schema":"https://github.com/citation-style-language/schema/raw/master/csl-citation.json"}</w:instrText>
      </w:r>
      <w:r w:rsidRPr="00952000">
        <w:rPr>
          <w:szCs w:val="24"/>
        </w:rPr>
        <w:fldChar w:fldCharType="separate"/>
      </w:r>
      <w:r w:rsidR="00A67ED2" w:rsidRPr="00A67ED2">
        <w:rPr>
          <w:noProof/>
          <w:szCs w:val="24"/>
        </w:rPr>
        <w:t>[192]</w:t>
      </w:r>
      <w:r w:rsidRPr="00952000">
        <w:rPr>
          <w:szCs w:val="24"/>
        </w:rPr>
        <w:fldChar w:fldCharType="end"/>
      </w:r>
      <w:r w:rsidRPr="00952000">
        <w:rPr>
          <w:szCs w:val="24"/>
        </w:rPr>
        <w:t xml:space="preserve">. Также в патогенезе развития КАТ значимы такие факторы, как травматичность установки </w:t>
      </w:r>
      <w:r w:rsidRPr="00DE117D">
        <w:rPr>
          <w:strike/>
          <w:szCs w:val="24"/>
        </w:rPr>
        <w:t>катетера</w:t>
      </w:r>
      <w:r w:rsidRPr="00952000">
        <w:rPr>
          <w:szCs w:val="24"/>
        </w:rPr>
        <w:t xml:space="preserve">, неправильное расположение дистального конца катетера, левостороннее размещение катетера, множественные попытки пункции вены, наличие предшествующих катетеризаций и их количество, а также эпизоды КАИК в анамнезе. Установка ЦВК сопровождается локальным повреждением стенки вены и эндотелия и образованием тромба, с дальнейшим формированием «фибринового» чехла. Одним из факторов развития венозных тромбозов является наличие венозных клапанов, создающих турбулентный поток. </w:t>
      </w:r>
      <w:r w:rsidRPr="00952000">
        <w:rPr>
          <w:rFonts w:eastAsia="Arial Unicode MS"/>
          <w:szCs w:val="24"/>
        </w:rPr>
        <w:t xml:space="preserve">Фактором, способствующим возникновению КАТ, является позиционирование ЦВК, поскольку миграция катетера, окклюзия дистального конца катетера венозной стенкой, травма венозной стенки дистальным концом катетера, присасывание к стенке конца катетера во время аспирации образцов крови, а введение раздражающих растворов способствуют </w:t>
      </w:r>
      <w:r w:rsidRPr="00952000">
        <w:rPr>
          <w:rFonts w:eastAsia="Arial Unicode MS"/>
          <w:szCs w:val="24"/>
        </w:rPr>
        <w:lastRenderedPageBreak/>
        <w:t xml:space="preserve">травме венозной стенке </w:t>
      </w:r>
      <w:r w:rsidRPr="00952000">
        <w:rPr>
          <w:rFonts w:eastAsia="Arial Unicode MS"/>
          <w:szCs w:val="24"/>
        </w:rPr>
        <w:fldChar w:fldCharType="begin" w:fldLock="1"/>
      </w:r>
      <w:r w:rsidR="00A67ED2">
        <w:rPr>
          <w:rFonts w:eastAsia="Arial Unicode MS"/>
          <w:szCs w:val="24"/>
        </w:rPr>
        <w:instrText>ADDIN CSL_CITATION {"citationItems":[{"id":"ITEM-1","itemData":{"abstract":"Objective This study evaluated the accuracy of placing right atrial catheters using an electrocardiographic (ECG) technique. Summary Background Data Placement of right atrial catheters for vascular access is a common operative procedure. Accurate placement is essential for proper function. Previous placement techniques have used fluoroscopy, which is both time consuming and hazardous. Methods The accuracy of placement of 1236 right atrial catheters using an ECG technique was compared to placement of 586 catheters using fluoroscopy between March 1991 and November 1995. In the ECG technique, the catheter was flushed with sodium bicarbonate. A sterile left-leg ECG lead was attached to the catheter with the other ECG leads applied normally. On advancing the catheter through the superior vena cava, the P-wave amplitude (lead 11) increased in negative deflection until greater than the QRS complex. Passing the sinoatrial node, the P-wave developed an initial positive then negative deflection. The catheter was positioned so the P-wave was biphasic, representing a position midway between the sinoatrial and atrioventricular nodes. For the fluoroscopic technique, catheters were positioned under direct observation just within the atrium estimated from cardiac contour. Use of contrast was optional if atrial anatomy was unclear. Results Postoperative portable chest x-rays showed the ECG method to position the catheter tip within the right atrium just as accurately (average, 1.9 ± 1.3 cm) as with the use of fluoroscopy (average, 1.1 ± 1.6 cm). The ECG method eliminated an average of 20 seconds of radiation exposure, an average of 3.0 minutes operating room time (p &lt; 0.04), avoided all risks of contrast dye, and saved $279.10 per case.","author":[{"dropping-particle":"","family":"Watters","given":"Virginia A","non-dropping-particle":"","parse-names":false,"suffix":""},{"dropping-particle":"","family":"Grant","given":"John P","non-dropping-particle":"","parse-names":false,"suffix":""}],"container-title":"ANNALS OF SURGERY","id":"ITEM-1","issue":"2","issued":{"date-parts":[["0"]]},"page":"165-171","title":"Use of Electrocardiogram to Position Right Atrial Catheters During Surgery","type":"article-journal","volume":"225"},"uris":["http://www.mendeley.com/documents/?uuid=634418a9-1b6a-3971-a74a-26cac4fcbb73","http://www.mendeley.com/documents/?uuid=216df258-45c1-414a-b26e-b5eb61d53634"]}],"mendeley":{"formattedCitation":"[193]","plainTextFormattedCitation":"[193]","previouslyFormattedCitation":"[173]"},"properties":{"noteIndex":0},"schema":"https://github.com/citation-style-language/schema/raw/master/csl-citation.json"}</w:instrText>
      </w:r>
      <w:r w:rsidRPr="00952000">
        <w:rPr>
          <w:rFonts w:eastAsia="Arial Unicode MS"/>
          <w:szCs w:val="24"/>
        </w:rPr>
        <w:fldChar w:fldCharType="separate"/>
      </w:r>
      <w:r w:rsidR="00A67ED2" w:rsidRPr="00A67ED2">
        <w:rPr>
          <w:rFonts w:eastAsia="Arial Unicode MS"/>
          <w:noProof/>
          <w:szCs w:val="24"/>
        </w:rPr>
        <w:t>[193]</w:t>
      </w:r>
      <w:r w:rsidRPr="00952000">
        <w:rPr>
          <w:rFonts w:eastAsia="Arial Unicode MS"/>
          <w:szCs w:val="24"/>
        </w:rPr>
        <w:fldChar w:fldCharType="end"/>
      </w:r>
      <w:r w:rsidRPr="00952000">
        <w:rPr>
          <w:rFonts w:eastAsia="Arial Unicode MS"/>
          <w:szCs w:val="24"/>
        </w:rPr>
        <w:t xml:space="preserve">. </w:t>
      </w:r>
      <w:r w:rsidRPr="00952000">
        <w:rPr>
          <w:szCs w:val="24"/>
        </w:rPr>
        <w:t xml:space="preserve">ЦВК находятся в непосредственном контакте с внутренней стенкой вен, в результате постоянного движения катетеров, связанного с дыханием, сокращениями сердца, поворотами головы, происходит еще большее повреждение эндотелия. Травма эндотелия усугубляется, если траектория катетера в вене характеризуется одним или несколькими изгибами </w:t>
      </w:r>
      <w:r w:rsidRPr="00952000">
        <w:rPr>
          <w:szCs w:val="24"/>
        </w:rPr>
        <w:fldChar w:fldCharType="begin" w:fldLock="1"/>
      </w:r>
      <w:r w:rsidR="00A67ED2">
        <w:rPr>
          <w:szCs w:val="24"/>
        </w:rPr>
        <w:instrText>ADDIN CSL_CITATION {"citationItems":[{"id":"ITEM-1","itemData":{"DOI":"10.1093/ndt/gfh216","ISSN":"0931-0509","author":[{"dropping-particle":"","family":"Taal","given":"M. W.","non-dropping-particle":"","parse-names":false,"suffix":""},{"dropping-particle":"","family":"Chesterton","given":"L. J.","non-dropping-particle":"","parse-names":false,"suffix":""},{"dropping-particle":"","family":"McIntyre","given":"C. W.","non-dropping-particle":"","parse-names":false,"suffix":""}],"container-title":"Nephrology Dialysis Transplantation","id":"ITEM-1","issue":"6","issued":{"date-parts":[["2004","6"]]},"page":"1542-1545","publisher":"Oxford University Press","title":"Venography at insertion of tunnelled internal jugular vein dialysis catheters reveals significant occult stenosis","type":"article-journal","volume":"19"},"uris":["http://www.mendeley.com/documents/?uuid=27bd8603-4b5c-3170-8bd9-40145339d105","http://www.mendeley.com/documents/?uuid=f32593e8-087e-487f-af57-700299c86f69"]}],"mendeley":{"formattedCitation":"[194]","plainTextFormattedCitation":"[194]","previouslyFormattedCitation":"[174]"},"properties":{"noteIndex":0},"schema":"https://github.com/citation-style-language/schema/raw/master/csl-citation.json"}</w:instrText>
      </w:r>
      <w:r w:rsidRPr="00952000">
        <w:rPr>
          <w:szCs w:val="24"/>
        </w:rPr>
        <w:fldChar w:fldCharType="separate"/>
      </w:r>
      <w:r w:rsidR="00A67ED2" w:rsidRPr="00A67ED2">
        <w:rPr>
          <w:noProof/>
          <w:szCs w:val="24"/>
        </w:rPr>
        <w:t>[194]</w:t>
      </w:r>
      <w:r w:rsidRPr="00952000">
        <w:rPr>
          <w:szCs w:val="24"/>
        </w:rPr>
        <w:fldChar w:fldCharType="end"/>
      </w:r>
      <w:r w:rsidRPr="00952000">
        <w:rPr>
          <w:szCs w:val="24"/>
        </w:rPr>
        <w:t xml:space="preserve">. В дополнение к травме происходит воспаление интимы как ответ на повреждение, которое приводит к гиперплазии интимы или развитию тромбоза. Пункция левой внутренней яремной вены по сравнению с пункцией правой яремной вены более сложная, так как у 34% пациентов внутренняя яремной вены слева меньше чем правая </w:t>
      </w:r>
      <w:r w:rsidRPr="00952000">
        <w:rPr>
          <w:szCs w:val="24"/>
        </w:rPr>
        <w:fldChar w:fldCharType="begin" w:fldLock="1"/>
      </w:r>
      <w:r w:rsidR="00A67ED2">
        <w:rPr>
          <w:szCs w:val="24"/>
        </w:rPr>
        <w:instrText>ADDIN CSL_CITATION {"citationItems":[{"id":"ITEM-1","itemData":{"ISSN":"1053-0770","PMID":"10230944","abstract":"OBJECTIVE To compare the cross-sectional area (CSA) of the right internal jugular vein (RIJV) with the left internal jugular vein (LIJV) using two-dimensional ultrasound and to measure the response to the Valsalva maneuver in both the supine and Trendelenburg positions. DESIGN Prospective and randomized. SETTING University-affiliated hospital. PARTICIPANTS Fifty healthy adult volunteers. INTERVENTIONS The CSA of both the RIJV and LIJV was measured with a 5-MHz, two-dimensional surface transducer before and during a 10-second Valsalva maneuver with the subjects in the supine position, and then with the subjects in a 10 degree Trendelenburg tilt. MEASUREMENTS AND MAIN RESULTS After the baseline measurements were performed, the subjects were divided into two groups based on the CSA of the RIJV and LIJV. Group 1 had an LIJV CSA equal to or greater than that of the RIJV (n = 10) and group 2 had an LIJV CSA less than that of the RIJV (n = 40). Of the latter 40 patients, 17 (34%) had an LIJV CSA less than 50% of that of the RIJV. In both groups, the CSA of both veins increased significantly with the Valsalva maneuver, Trendelenburg tilt, and both maneuvers combined. CONCLUSION The findings suggest that in one third of adults (34%), the LIJV is significantly smaller compared with the RIJV and, combined with operator inexperience, may influence the success rate and risk for complications. Thus, the use of ultrasound and maneuvers that increase CSA is suggested during LIJV cannulation.","author":[{"dropping-particle":"","family":"Lobato","given":"E B","non-dropping-particle":"","parse-names":false,"suffix":""},{"dropping-particle":"","family":"Sulek","given":"C A","non-dropping-particle":"","parse-names":false,"suffix":""},{"dropping-particle":"","family":"Moody","given":"R L","non-dropping-particle":"","parse-names":false,"suffix":""},{"dropping-particle":"","family":"Morey","given":"T E","non-dropping-particle":"","parse-names":false,"suffix":""}],"container-title":"Journal of cardiothoracic and vascular anesthesia","id":"ITEM-1","issue":"2","issued":{"date-parts":[["1999","4"]]},"page":"136-8","title":"Cross-sectional area of the right and left internal jugular veins.","type":"article-journal","volume":"13"},"uris":["http://www.mendeley.com/documents/?uuid=946e04e1-436d-33e9-8d74-b2b7aa6566b2","http://www.mendeley.com/documents/?uuid=3c8cfbcb-4e79-4dbf-88c6-7197a21370b9"]}],"mendeley":{"formattedCitation":"[195]","plainTextFormattedCitation":"[195]","previouslyFormattedCitation":"[175]"},"properties":{"noteIndex":0},"schema":"https://github.com/citation-style-language/schema/raw/master/csl-citation.json"}</w:instrText>
      </w:r>
      <w:r w:rsidRPr="00952000">
        <w:rPr>
          <w:szCs w:val="24"/>
        </w:rPr>
        <w:fldChar w:fldCharType="separate"/>
      </w:r>
      <w:r w:rsidR="00A67ED2" w:rsidRPr="00A67ED2">
        <w:rPr>
          <w:noProof/>
          <w:szCs w:val="24"/>
        </w:rPr>
        <w:t>[195]</w:t>
      </w:r>
      <w:r w:rsidRPr="00952000">
        <w:rPr>
          <w:szCs w:val="24"/>
        </w:rPr>
        <w:fldChar w:fldCharType="end"/>
      </w:r>
      <w:r w:rsidRPr="00952000">
        <w:rPr>
          <w:szCs w:val="24"/>
        </w:rPr>
        <w:t>, что особенно важно при диагностике катетерассоциированного стеноза (КА</w:t>
      </w:r>
      <w:r w:rsidRPr="00952000">
        <w:rPr>
          <w:szCs w:val="24"/>
          <w:lang w:val="en-US"/>
        </w:rPr>
        <w:t>C</w:t>
      </w:r>
      <w:r w:rsidRPr="00952000">
        <w:rPr>
          <w:szCs w:val="24"/>
        </w:rPr>
        <w:t xml:space="preserve">). </w:t>
      </w:r>
    </w:p>
    <w:p w14:paraId="269ECC12" w14:textId="35CED63E" w:rsidR="008C1767" w:rsidRPr="00952000" w:rsidRDefault="008C1767" w:rsidP="008C1767">
      <w:pPr>
        <w:ind w:firstLine="708"/>
        <w:rPr>
          <w:b/>
          <w:szCs w:val="24"/>
        </w:rPr>
      </w:pPr>
      <w:r w:rsidRPr="00952000">
        <w:rPr>
          <w:szCs w:val="24"/>
        </w:rPr>
        <w:t>Катетер-ассоциированый стеноз (</w:t>
      </w:r>
      <w:r w:rsidRPr="00952000">
        <w:rPr>
          <w:i/>
          <w:szCs w:val="24"/>
        </w:rPr>
        <w:t>КАС)</w:t>
      </w:r>
      <w:r w:rsidRPr="00952000">
        <w:rPr>
          <w:szCs w:val="24"/>
        </w:rPr>
        <w:t xml:space="preserve"> – стойкое сужение просвета сосуда, вплоть до полной облитерации, выявляемое при УЗИ в покое и при выполнении функциональных проб, возникшее после катетеризации, связанное или не связанное с КАТ. У онкогематологических пациентов, наряду с вышеуказанными причинами, значительное место в формировании КАТ и КАС занимает проведение химиотерапии </w:t>
      </w:r>
      <w:r w:rsidRPr="00952000">
        <w:rPr>
          <w:szCs w:val="24"/>
        </w:rPr>
        <w:fldChar w:fldCharType="begin" w:fldLock="1"/>
      </w:r>
      <w:r w:rsidR="00A67ED2">
        <w:rPr>
          <w:szCs w:val="24"/>
        </w:rPr>
        <w:instrText>ADDIN CSL_CITATION {"citationItems":[{"id":"ITEM-1","itemData":{"author":[{"dropping-particle":"","family":"Червонцева","given":"Алевтина Михайловна","non-dropping-particle":"","parse-names":false,"suffix":""}],"id":"ITEM-1","issued":{"date-parts":[["2008"]]},"title":"Повреждение сосудистого эндотелия в процессе лечения острых миелоидных лейкозов","type":"article"},"uris":["http://www.mendeley.com/documents/?uuid=9afd28b5-41fc-3e5e-bfac-710d3bccc2cd","http://www.mendeley.com/documents/?uuid=b0c847b8-b368-40a1-9c35-cebd6d9d96b6"]}],"mendeley":{"formattedCitation":"[196]","plainTextFormattedCitation":"[196]","previouslyFormattedCitation":"[176]"},"properties":{"noteIndex":0},"schema":"https://github.com/citation-style-language/schema/raw/master/csl-citation.json"}</w:instrText>
      </w:r>
      <w:r w:rsidRPr="00952000">
        <w:rPr>
          <w:szCs w:val="24"/>
        </w:rPr>
        <w:fldChar w:fldCharType="separate"/>
      </w:r>
      <w:r w:rsidR="00A67ED2" w:rsidRPr="00A67ED2">
        <w:rPr>
          <w:noProof/>
          <w:szCs w:val="24"/>
        </w:rPr>
        <w:t>[196]</w:t>
      </w:r>
      <w:r w:rsidRPr="00952000">
        <w:rPr>
          <w:szCs w:val="24"/>
        </w:rPr>
        <w:fldChar w:fldCharType="end"/>
      </w:r>
      <w:r w:rsidRPr="00952000">
        <w:rPr>
          <w:szCs w:val="24"/>
        </w:rPr>
        <w:t>.</w:t>
      </w:r>
    </w:p>
    <w:p w14:paraId="3507A156" w14:textId="0BFE9334" w:rsidR="008C1767" w:rsidRPr="00952000" w:rsidRDefault="008C1767" w:rsidP="008C1767">
      <w:pPr>
        <w:ind w:firstLine="708"/>
        <w:rPr>
          <w:szCs w:val="24"/>
        </w:rPr>
      </w:pPr>
      <w:r w:rsidRPr="00952000">
        <w:rPr>
          <w:szCs w:val="24"/>
        </w:rPr>
        <w:t>Катетер-ассоциированная инфекция кровотока (</w:t>
      </w:r>
      <w:r w:rsidRPr="00952000">
        <w:rPr>
          <w:i/>
          <w:szCs w:val="24"/>
        </w:rPr>
        <w:t>КАИК)</w:t>
      </w:r>
      <w:r w:rsidRPr="00952000">
        <w:rPr>
          <w:szCs w:val="24"/>
        </w:rPr>
        <w:t xml:space="preserve"> – выявление положительной гемокультуры в образце крови взятой из катетера на 2 и более часа ранее, чем в образце крови, взятом из периферической вены, рост микроорганизмов при микробиологическом исследовании дистального конца катетера </w:t>
      </w:r>
      <w:r w:rsidRPr="00952000">
        <w:rPr>
          <w:szCs w:val="24"/>
        </w:rPr>
        <w:fldChar w:fldCharType="begin" w:fldLock="1"/>
      </w:r>
      <w:r w:rsidR="00A67ED2">
        <w:rPr>
          <w:szCs w:val="24"/>
        </w:rPr>
        <w:instrText>ADDIN CSL_CITATION {"citationItems":[{"id":"ITEM-1","itemData":{"author":[{"dropping-particle":"","family":"Багирова","given":"Н.С.","non-dropping-particle":"","parse-names":false,"suffix":""}],"container-title":"Злокачественные опухоли","id":"ITEM-1","issue":"3","issued":{"date-parts":[["2014"]]},"page":"164-171","title":"Инфекции, связанные с внутрисосудистыми устройствами: терминология, диагностика, профилактика и терапия","type":"article-journal"},"uris":["http://www.mendeley.com/documents/?uuid=fee4a9db-618b-4f34-9352-2ad7841cc05f","http://www.mendeley.com/documents/?uuid=973153ce-d078-4e08-a598-f09e2ab23f94"]}],"mendeley":{"formattedCitation":"[197]","plainTextFormattedCitation":"[197]","previouslyFormattedCitation":"[177]"},"properties":{"noteIndex":0},"schema":"https://github.com/citation-style-language/schema/raw/master/csl-citation.json"}</w:instrText>
      </w:r>
      <w:r w:rsidRPr="00952000">
        <w:rPr>
          <w:szCs w:val="24"/>
        </w:rPr>
        <w:fldChar w:fldCharType="separate"/>
      </w:r>
      <w:r w:rsidR="00A67ED2" w:rsidRPr="00A67ED2">
        <w:rPr>
          <w:noProof/>
          <w:szCs w:val="24"/>
        </w:rPr>
        <w:t>[197]</w:t>
      </w:r>
      <w:r w:rsidRPr="00952000">
        <w:rPr>
          <w:szCs w:val="24"/>
        </w:rPr>
        <w:fldChar w:fldCharType="end"/>
      </w:r>
      <w:r w:rsidRPr="00952000">
        <w:rPr>
          <w:szCs w:val="24"/>
        </w:rPr>
        <w:t>.</w:t>
      </w:r>
    </w:p>
    <w:p w14:paraId="00C52F12" w14:textId="77777777" w:rsidR="008C1767" w:rsidRPr="00952000" w:rsidRDefault="008C1767" w:rsidP="008C1767">
      <w:pPr>
        <w:ind w:left="360"/>
        <w:rPr>
          <w:szCs w:val="24"/>
        </w:rPr>
      </w:pPr>
      <w:r w:rsidRPr="00952000">
        <w:rPr>
          <w:szCs w:val="24"/>
        </w:rPr>
        <w:t>При применении туннелируемых катетеров могут возникать следующие виды инфицирования:</w:t>
      </w:r>
    </w:p>
    <w:p w14:paraId="27AB7C50" w14:textId="77777777" w:rsidR="008C1767" w:rsidRPr="00952000" w:rsidRDefault="008C1767" w:rsidP="008C1767">
      <w:pPr>
        <w:pStyle w:val="afff3"/>
        <w:widowControl/>
        <w:numPr>
          <w:ilvl w:val="0"/>
          <w:numId w:val="208"/>
        </w:numPr>
        <w:autoSpaceDE/>
        <w:autoSpaceDN/>
        <w:adjustRightInd/>
        <w:rPr>
          <w:i/>
          <w:szCs w:val="24"/>
        </w:rPr>
      </w:pPr>
      <w:r w:rsidRPr="00952000">
        <w:rPr>
          <w:i/>
          <w:szCs w:val="24"/>
        </w:rPr>
        <w:t xml:space="preserve">Туннельная инфекция – </w:t>
      </w:r>
      <w:r w:rsidRPr="00952000">
        <w:rPr>
          <w:szCs w:val="24"/>
        </w:rPr>
        <w:t xml:space="preserve">местное воспаление по ходу сформированного туннеля от места выходного отверстия катетера до манжеты или с локализацией только в </w:t>
      </w:r>
      <w:r w:rsidRPr="00952000">
        <w:rPr>
          <w:iCs/>
          <w:szCs w:val="24"/>
        </w:rPr>
        <w:t>области фиксации манжеты</w:t>
      </w:r>
      <w:r w:rsidRPr="00952000">
        <w:rPr>
          <w:i/>
          <w:szCs w:val="24"/>
        </w:rPr>
        <w:t>.</w:t>
      </w:r>
    </w:p>
    <w:p w14:paraId="78CCDA6F" w14:textId="77777777" w:rsidR="008C1767" w:rsidRPr="00952000" w:rsidRDefault="008C1767" w:rsidP="008C1767">
      <w:pPr>
        <w:pStyle w:val="afff3"/>
        <w:widowControl/>
        <w:numPr>
          <w:ilvl w:val="0"/>
          <w:numId w:val="208"/>
        </w:numPr>
        <w:autoSpaceDE/>
        <w:autoSpaceDN/>
        <w:adjustRightInd/>
        <w:rPr>
          <w:szCs w:val="24"/>
        </w:rPr>
      </w:pPr>
      <w:r w:rsidRPr="00952000">
        <w:rPr>
          <w:i/>
          <w:szCs w:val="24"/>
        </w:rPr>
        <w:t xml:space="preserve">Инфекция выходного отверстия – </w:t>
      </w:r>
      <w:r w:rsidRPr="00952000">
        <w:rPr>
          <w:szCs w:val="24"/>
        </w:rPr>
        <w:t>местное воспаление, с локализацией только в месте выхода катетера на поверхность кожи.</w:t>
      </w:r>
    </w:p>
    <w:p w14:paraId="65E4C3B4" w14:textId="77777777" w:rsidR="008C1767" w:rsidRPr="00952000" w:rsidRDefault="008C1767" w:rsidP="008C1767">
      <w:pPr>
        <w:pStyle w:val="afff3"/>
        <w:widowControl/>
        <w:numPr>
          <w:ilvl w:val="0"/>
          <w:numId w:val="208"/>
        </w:numPr>
        <w:autoSpaceDE/>
        <w:autoSpaceDN/>
        <w:adjustRightInd/>
        <w:rPr>
          <w:szCs w:val="24"/>
        </w:rPr>
      </w:pPr>
      <w:r w:rsidRPr="00952000">
        <w:rPr>
          <w:i/>
          <w:szCs w:val="24"/>
        </w:rPr>
        <w:t xml:space="preserve">Инфекция подкожного кармана – </w:t>
      </w:r>
      <w:r w:rsidRPr="00952000">
        <w:rPr>
          <w:szCs w:val="24"/>
        </w:rPr>
        <w:t xml:space="preserve">местное воспаление, локализующееся в месте установки камеры порт-системы. </w:t>
      </w:r>
    </w:p>
    <w:p w14:paraId="1434BDDD" w14:textId="77777777" w:rsidR="008C1767" w:rsidRDefault="008C1767" w:rsidP="008C1767">
      <w:pPr>
        <w:ind w:firstLine="709"/>
        <w:rPr>
          <w:rFonts w:eastAsia="Arial Unicode MS"/>
          <w:b/>
          <w:bCs/>
          <w:szCs w:val="24"/>
        </w:rPr>
      </w:pPr>
    </w:p>
    <w:p w14:paraId="46648939" w14:textId="77777777" w:rsidR="008C1767" w:rsidRPr="009F4EC0" w:rsidRDefault="008C1767" w:rsidP="008C1767">
      <w:pPr>
        <w:ind w:firstLine="709"/>
        <w:rPr>
          <w:rFonts w:eastAsia="Arial Unicode MS"/>
          <w:i/>
          <w:iCs/>
          <w:szCs w:val="24"/>
          <w:u w:val="single"/>
        </w:rPr>
      </w:pPr>
      <w:r w:rsidRPr="009F4EC0">
        <w:rPr>
          <w:rFonts w:eastAsia="Arial Unicode MS"/>
          <w:i/>
          <w:iCs/>
          <w:szCs w:val="24"/>
          <w:u w:val="single"/>
        </w:rPr>
        <w:t>Способы контроля дистального конца ЦВК</w:t>
      </w:r>
    </w:p>
    <w:p w14:paraId="19F1238E" w14:textId="77777777" w:rsidR="008C1767" w:rsidRPr="009F4EC0" w:rsidRDefault="008C1767" w:rsidP="008C1767">
      <w:pPr>
        <w:ind w:firstLine="709"/>
        <w:rPr>
          <w:rFonts w:eastAsia="Arial Unicode MS"/>
          <w:i/>
          <w:iCs/>
          <w:szCs w:val="24"/>
        </w:rPr>
      </w:pPr>
      <w:r w:rsidRPr="009F4EC0">
        <w:rPr>
          <w:rFonts w:eastAsia="Arial Unicode MS"/>
          <w:i/>
          <w:iCs/>
          <w:szCs w:val="24"/>
        </w:rPr>
        <w:t>Электрокардиографический метод</w:t>
      </w:r>
    </w:p>
    <w:p w14:paraId="52EDBBE0" w14:textId="77777777" w:rsidR="008C1767" w:rsidRPr="00952000" w:rsidRDefault="008C1767" w:rsidP="008C1767">
      <w:pPr>
        <w:ind w:firstLine="709"/>
        <w:rPr>
          <w:rFonts w:eastAsia="Arial Unicode MS"/>
          <w:strike/>
          <w:szCs w:val="24"/>
        </w:rPr>
      </w:pPr>
      <w:r w:rsidRPr="00952000">
        <w:rPr>
          <w:rFonts w:eastAsia="Arial Unicode MS"/>
          <w:szCs w:val="24"/>
        </w:rPr>
        <w:t xml:space="preserve">Для контроля положения ЦВК, снабженных штатным электродом, используют эндовенозную </w:t>
      </w:r>
      <w:r w:rsidRPr="00952000">
        <w:rPr>
          <w:szCs w:val="24"/>
        </w:rPr>
        <w:t>электрокардиографию (</w:t>
      </w:r>
      <w:r w:rsidRPr="00952000">
        <w:rPr>
          <w:rFonts w:eastAsia="Arial Unicode MS"/>
          <w:szCs w:val="24"/>
        </w:rPr>
        <w:t xml:space="preserve">ЭКГ). Она позволяет позиционировать дистальный конец ЦВК, не увеличивая время установки, по изменениям Р-зубца ЭКГ. </w:t>
      </w:r>
    </w:p>
    <w:p w14:paraId="054D708C" w14:textId="77777777" w:rsidR="008C1767" w:rsidRDefault="008C1767" w:rsidP="008C1767">
      <w:pPr>
        <w:ind w:firstLine="709"/>
        <w:rPr>
          <w:rFonts w:eastAsia="ＭＳ 明朝 (Основной текст темы (ази"/>
          <w:b/>
          <w:bCs/>
          <w:szCs w:val="24"/>
        </w:rPr>
      </w:pPr>
    </w:p>
    <w:p w14:paraId="06E35B1E" w14:textId="77777777" w:rsidR="008C1767" w:rsidRPr="009F4EC0" w:rsidRDefault="008C1767" w:rsidP="008C1767">
      <w:pPr>
        <w:ind w:firstLine="709"/>
        <w:rPr>
          <w:rFonts w:eastAsia="ＭＳ 明朝 (Основной текст темы (ази"/>
          <w:i/>
          <w:iCs/>
          <w:szCs w:val="24"/>
        </w:rPr>
      </w:pPr>
      <w:r w:rsidRPr="009F4EC0">
        <w:rPr>
          <w:rFonts w:eastAsia="ＭＳ 明朝 (Основной текст темы (ази"/>
          <w:i/>
          <w:iCs/>
          <w:szCs w:val="24"/>
        </w:rPr>
        <w:lastRenderedPageBreak/>
        <w:t xml:space="preserve">Рентгенологический метод </w:t>
      </w:r>
    </w:p>
    <w:p w14:paraId="5B2B4079" w14:textId="77777777" w:rsidR="008C1767" w:rsidRPr="00952000" w:rsidRDefault="008C1767" w:rsidP="008C1767">
      <w:pPr>
        <w:ind w:firstLine="709"/>
        <w:rPr>
          <w:strike/>
          <w:szCs w:val="24"/>
        </w:rPr>
      </w:pPr>
      <w:r w:rsidRPr="00952000">
        <w:rPr>
          <w:rFonts w:eastAsia="ＭＳ 明朝 (Основной текст темы (ази"/>
          <w:szCs w:val="24"/>
        </w:rPr>
        <w:t xml:space="preserve">При установке туннелируемых ЦВК, ПИЦВК, порт-систем, а также в </w:t>
      </w:r>
      <w:r w:rsidRPr="00952000">
        <w:rPr>
          <w:szCs w:val="24"/>
        </w:rPr>
        <w:t>случаях мерцательной аритмии или ритма, навязанного кардиостимулятором, положение дистального конца ЦВК подтверждают рентгенологически:</w:t>
      </w:r>
      <w:r w:rsidRPr="00952000">
        <w:rPr>
          <w:strike/>
          <w:szCs w:val="24"/>
        </w:rPr>
        <w:t xml:space="preserve"> </w:t>
      </w:r>
    </w:p>
    <w:p w14:paraId="2555531A" w14:textId="77777777" w:rsidR="008C1767" w:rsidRPr="00952000" w:rsidRDefault="008C1767" w:rsidP="008C1767">
      <w:pPr>
        <w:ind w:firstLine="709"/>
        <w:rPr>
          <w:szCs w:val="24"/>
        </w:rPr>
      </w:pPr>
      <w:r w:rsidRPr="00952000">
        <w:rPr>
          <w:szCs w:val="24"/>
        </w:rPr>
        <w:t xml:space="preserve">- на </w:t>
      </w:r>
      <w:r w:rsidRPr="00952000">
        <w:rPr>
          <w:bCs/>
          <w:szCs w:val="24"/>
        </w:rPr>
        <w:t xml:space="preserve">рентгенограмме грудной клетки дистальный конец ЦВК должен был находиться между </w:t>
      </w:r>
      <w:r w:rsidRPr="00952000">
        <w:rPr>
          <w:bCs/>
          <w:szCs w:val="24"/>
          <w:lang w:val="en-US"/>
        </w:rPr>
        <w:t>V</w:t>
      </w:r>
      <w:r w:rsidRPr="00952000">
        <w:rPr>
          <w:bCs/>
          <w:szCs w:val="24"/>
        </w:rPr>
        <w:t xml:space="preserve"> и </w:t>
      </w:r>
      <w:r w:rsidRPr="00952000">
        <w:rPr>
          <w:bCs/>
          <w:szCs w:val="24"/>
          <w:lang w:val="en-US"/>
        </w:rPr>
        <w:t>VI</w:t>
      </w:r>
      <w:r w:rsidRPr="00952000">
        <w:rPr>
          <w:bCs/>
          <w:szCs w:val="24"/>
        </w:rPr>
        <w:t xml:space="preserve"> грудными позвонками. </w:t>
      </w:r>
    </w:p>
    <w:p w14:paraId="5561CA8F" w14:textId="77777777" w:rsidR="008C1767" w:rsidRPr="00952000" w:rsidRDefault="008C1767" w:rsidP="008C1767">
      <w:pPr>
        <w:ind w:firstLine="708"/>
        <w:rPr>
          <w:szCs w:val="24"/>
        </w:rPr>
      </w:pPr>
      <w:r w:rsidRPr="00952000">
        <w:rPr>
          <w:szCs w:val="24"/>
        </w:rPr>
        <w:t>- также ориентиром для позиционирования дистального конца ЦВК является правый трахебронхиальный угол, который соответствует верхней границе верхней полой вены. Каваатриальное соединение находится на 3 см ниже этого угла.</w:t>
      </w:r>
    </w:p>
    <w:p w14:paraId="23A4C00B" w14:textId="77777777" w:rsidR="008C1767" w:rsidRPr="00952000" w:rsidRDefault="008C1767" w:rsidP="008C1767">
      <w:pPr>
        <w:ind w:firstLine="708"/>
        <w:rPr>
          <w:szCs w:val="24"/>
        </w:rPr>
      </w:pPr>
      <w:r w:rsidRPr="00952000">
        <w:rPr>
          <w:szCs w:val="24"/>
        </w:rPr>
        <w:t>- рентгенологическим ориентиром впадения ВПВ в правое предсердие также является пересечение дуги правой границы сердца и линии, идущей вдоль правой границы средостения.</w:t>
      </w:r>
    </w:p>
    <w:p w14:paraId="026835A6" w14:textId="77777777" w:rsidR="008C1767" w:rsidRDefault="008C1767" w:rsidP="008C1767">
      <w:pPr>
        <w:rPr>
          <w:b/>
          <w:bCs/>
          <w:szCs w:val="24"/>
        </w:rPr>
      </w:pPr>
    </w:p>
    <w:p w14:paraId="72DED800" w14:textId="77777777" w:rsidR="008C1767" w:rsidRPr="009F4EC0" w:rsidRDefault="008C1767" w:rsidP="008C1767">
      <w:pPr>
        <w:ind w:firstLine="708"/>
        <w:rPr>
          <w:i/>
          <w:iCs/>
          <w:szCs w:val="24"/>
          <w:u w:val="single"/>
        </w:rPr>
      </w:pPr>
      <w:r w:rsidRPr="009F4EC0">
        <w:rPr>
          <w:i/>
          <w:iCs/>
          <w:szCs w:val="24"/>
          <w:u w:val="single"/>
        </w:rPr>
        <w:t>Обследование пациента, подготовка к манипуляции</w:t>
      </w:r>
    </w:p>
    <w:p w14:paraId="6A1168C4" w14:textId="77777777" w:rsidR="008C1767" w:rsidRPr="00952000" w:rsidRDefault="008C1767" w:rsidP="008C1767">
      <w:pPr>
        <w:ind w:firstLine="708"/>
        <w:rPr>
          <w:szCs w:val="24"/>
        </w:rPr>
      </w:pPr>
      <w:r w:rsidRPr="00952000">
        <w:rPr>
          <w:szCs w:val="24"/>
        </w:rPr>
        <w:t xml:space="preserve">Для обеспечения сосудистого доступа необходима консультация врачом-анестезиологом-реаниматологом. </w:t>
      </w:r>
    </w:p>
    <w:p w14:paraId="38ED2635" w14:textId="77777777" w:rsidR="008C1767" w:rsidRPr="00952000" w:rsidRDefault="008C1767" w:rsidP="008C1767">
      <w:pPr>
        <w:ind w:firstLine="708"/>
        <w:rPr>
          <w:szCs w:val="24"/>
        </w:rPr>
      </w:pPr>
      <w:r w:rsidRPr="00952000">
        <w:rPr>
          <w:szCs w:val="24"/>
        </w:rPr>
        <w:t>Физикальный осмотр проводится перед катетеризацией на наличие воспалительных и послеоперационных изменений кожи в местах возможной пункции вен, наличие увеличенных и изменённых лимфоузлов, препятствующих катетеризации, наличие усиленного подкожного рисунка вен, наличие клинических проявлений синдрома сдавления верхней полой вены (осиплость голоса, одышка, кашель, невозможность принятия горизонтального положения и т. д.) Уточняются анамнестические данные – количество предшествующих катетеризаций, имели ли место осложнения катетеризации; интенсивность и сроки планируемого лечения, возможные осложнения (неблагоприятные реакции) терапии, возможность применения других методов лечения, например, лучевой терапии.</w:t>
      </w:r>
    </w:p>
    <w:p w14:paraId="2851A748" w14:textId="77777777" w:rsidR="008C1767" w:rsidRPr="009F4EC0" w:rsidRDefault="008C1767" w:rsidP="008C1767">
      <w:pPr>
        <w:ind w:firstLine="708"/>
        <w:rPr>
          <w:i/>
          <w:iCs/>
          <w:szCs w:val="24"/>
          <w:shd w:val="clear" w:color="auto" w:fill="FFFFFF"/>
        </w:rPr>
      </w:pPr>
      <w:r w:rsidRPr="009F4EC0">
        <w:rPr>
          <w:i/>
          <w:iCs/>
          <w:szCs w:val="24"/>
          <w:shd w:val="clear" w:color="auto" w:fill="FFFFFF"/>
        </w:rPr>
        <w:t>Лабораторная диагностика.</w:t>
      </w:r>
    </w:p>
    <w:p w14:paraId="5F8B3D76" w14:textId="77777777" w:rsidR="008C1767" w:rsidRPr="00952000" w:rsidRDefault="008C1767" w:rsidP="008C1767">
      <w:pPr>
        <w:rPr>
          <w:szCs w:val="24"/>
          <w:shd w:val="clear" w:color="auto" w:fill="FFFFFF"/>
        </w:rPr>
      </w:pPr>
      <w:r w:rsidRPr="00952000">
        <w:rPr>
          <w:szCs w:val="24"/>
          <w:shd w:val="clear" w:color="auto" w:fill="FFFFFF"/>
        </w:rPr>
        <w:t>Перед установкой ЦВК необходимо выполнить:</w:t>
      </w:r>
    </w:p>
    <w:p w14:paraId="7BC1BC91" w14:textId="77777777" w:rsidR="008C1767" w:rsidRPr="00952000" w:rsidRDefault="008C1767" w:rsidP="008C1767">
      <w:pPr>
        <w:pStyle w:val="afff3"/>
        <w:widowControl/>
        <w:numPr>
          <w:ilvl w:val="0"/>
          <w:numId w:val="210"/>
        </w:numPr>
        <w:autoSpaceDE/>
        <w:autoSpaceDN/>
        <w:adjustRightInd/>
        <w:rPr>
          <w:i/>
          <w:szCs w:val="24"/>
          <w:shd w:val="clear" w:color="auto" w:fill="FFFFFF"/>
        </w:rPr>
      </w:pPr>
      <w:r w:rsidRPr="00952000">
        <w:rPr>
          <w:szCs w:val="24"/>
        </w:rPr>
        <w:t>общий (клинический) анализ крови развернутый (при необходимости – с исследованием уровня тромбоцитов в крови по мазку)</w:t>
      </w:r>
    </w:p>
    <w:p w14:paraId="526C0BAC" w14:textId="77777777" w:rsidR="008C1767" w:rsidRPr="00952000" w:rsidRDefault="008C1767" w:rsidP="008C1767">
      <w:pPr>
        <w:pStyle w:val="afff3"/>
        <w:widowControl/>
        <w:numPr>
          <w:ilvl w:val="0"/>
          <w:numId w:val="209"/>
        </w:numPr>
        <w:autoSpaceDE/>
        <w:autoSpaceDN/>
        <w:adjustRightInd/>
        <w:rPr>
          <w:szCs w:val="24"/>
        </w:rPr>
      </w:pPr>
      <w:r w:rsidRPr="00952000">
        <w:rPr>
          <w:szCs w:val="24"/>
          <w:shd w:val="clear" w:color="auto" w:fill="FFFFFF"/>
        </w:rPr>
        <w:t>коагулограмма с определением АЧТВ, протромбинового индекса, фибриногена, при необходимости – с и</w:t>
      </w:r>
      <w:r w:rsidRPr="00952000">
        <w:rPr>
          <w:szCs w:val="24"/>
        </w:rPr>
        <w:t>сследованием агрегации тромбоцитов</w:t>
      </w:r>
    </w:p>
    <w:p w14:paraId="1608AF36" w14:textId="77777777" w:rsidR="008C1767" w:rsidRPr="00952000" w:rsidRDefault="008C1767" w:rsidP="008C1767">
      <w:pPr>
        <w:pStyle w:val="afff3"/>
        <w:widowControl/>
        <w:numPr>
          <w:ilvl w:val="0"/>
          <w:numId w:val="209"/>
        </w:numPr>
        <w:autoSpaceDE/>
        <w:autoSpaceDN/>
        <w:adjustRightInd/>
        <w:rPr>
          <w:szCs w:val="24"/>
        </w:rPr>
      </w:pPr>
      <w:r w:rsidRPr="00952000">
        <w:rPr>
          <w:szCs w:val="24"/>
        </w:rPr>
        <w:t xml:space="preserve">определение активности факторов </w:t>
      </w:r>
      <w:r w:rsidRPr="00952000">
        <w:rPr>
          <w:szCs w:val="24"/>
          <w:lang w:val="en-US"/>
        </w:rPr>
        <w:t>VIII</w:t>
      </w:r>
      <w:r w:rsidRPr="00952000">
        <w:rPr>
          <w:szCs w:val="24"/>
        </w:rPr>
        <w:t xml:space="preserve">, </w:t>
      </w:r>
      <w:r w:rsidRPr="00952000">
        <w:rPr>
          <w:szCs w:val="24"/>
          <w:lang w:val="en-US"/>
        </w:rPr>
        <w:t>IX</w:t>
      </w:r>
      <w:r w:rsidRPr="00952000">
        <w:rPr>
          <w:szCs w:val="24"/>
        </w:rPr>
        <w:t xml:space="preserve"> и иных в сыворотке крови – по показаниям</w:t>
      </w:r>
    </w:p>
    <w:p w14:paraId="66366968" w14:textId="77777777" w:rsidR="008C1767" w:rsidRPr="00952000" w:rsidRDefault="008C1767" w:rsidP="008C1767">
      <w:pPr>
        <w:pStyle w:val="afff3"/>
        <w:widowControl/>
        <w:numPr>
          <w:ilvl w:val="0"/>
          <w:numId w:val="209"/>
        </w:numPr>
        <w:autoSpaceDE/>
        <w:autoSpaceDN/>
        <w:adjustRightInd/>
        <w:rPr>
          <w:szCs w:val="24"/>
        </w:rPr>
      </w:pPr>
      <w:r w:rsidRPr="00952000">
        <w:rPr>
          <w:szCs w:val="24"/>
        </w:rPr>
        <w:lastRenderedPageBreak/>
        <w:t>определение основных групп крови, определение подгруппы м других групп крови меньшего значения, определение резус-фактора</w:t>
      </w:r>
    </w:p>
    <w:p w14:paraId="50769CDD" w14:textId="77777777" w:rsidR="008C1767" w:rsidRDefault="008C1767" w:rsidP="008C1767">
      <w:pPr>
        <w:ind w:firstLine="708"/>
        <w:rPr>
          <w:b/>
          <w:bCs/>
          <w:szCs w:val="24"/>
        </w:rPr>
      </w:pPr>
    </w:p>
    <w:p w14:paraId="716C9B34" w14:textId="77777777" w:rsidR="008C1767" w:rsidRPr="009F4EC0" w:rsidRDefault="008C1767" w:rsidP="008C1767">
      <w:pPr>
        <w:ind w:firstLine="708"/>
        <w:rPr>
          <w:i/>
          <w:iCs/>
          <w:szCs w:val="24"/>
        </w:rPr>
      </w:pPr>
      <w:r w:rsidRPr="009F4EC0">
        <w:rPr>
          <w:i/>
          <w:iCs/>
          <w:szCs w:val="24"/>
        </w:rPr>
        <w:t>Инструментальная диагностика</w:t>
      </w:r>
    </w:p>
    <w:p w14:paraId="6E8B20AF" w14:textId="77777777" w:rsidR="008C1767" w:rsidRPr="00952000" w:rsidRDefault="008C1767" w:rsidP="008C1767">
      <w:pPr>
        <w:rPr>
          <w:szCs w:val="24"/>
        </w:rPr>
      </w:pPr>
      <w:r w:rsidRPr="00952000">
        <w:rPr>
          <w:szCs w:val="24"/>
        </w:rPr>
        <w:t>Перед выполнением катетеризации необходимо выполнить:</w:t>
      </w:r>
    </w:p>
    <w:p w14:paraId="6A71D115" w14:textId="77777777" w:rsidR="008C1767" w:rsidRPr="00DB2B4A" w:rsidRDefault="008C1767" w:rsidP="008C1767">
      <w:pPr>
        <w:pStyle w:val="afff3"/>
        <w:widowControl/>
        <w:numPr>
          <w:ilvl w:val="0"/>
          <w:numId w:val="209"/>
        </w:numPr>
        <w:autoSpaceDE/>
        <w:autoSpaceDN/>
        <w:adjustRightInd/>
        <w:rPr>
          <w:szCs w:val="24"/>
        </w:rPr>
      </w:pPr>
      <w:r w:rsidRPr="00DB2B4A">
        <w:rPr>
          <w:szCs w:val="24"/>
        </w:rPr>
        <w:t xml:space="preserve">рентгенография органов грудной клетки или </w:t>
      </w:r>
      <w:r w:rsidRPr="00DB2B4A">
        <w:rPr>
          <w:szCs w:val="24"/>
          <w:shd w:val="clear" w:color="auto" w:fill="FFFFFF" w:themeFill="background1"/>
        </w:rPr>
        <w:t>– предпочтительно</w:t>
      </w:r>
      <w:r w:rsidRPr="00DB2B4A">
        <w:rPr>
          <w:szCs w:val="24"/>
        </w:rPr>
        <w:t xml:space="preserve"> </w:t>
      </w:r>
      <w:r>
        <w:rPr>
          <w:szCs w:val="24"/>
        </w:rPr>
        <w:t xml:space="preserve">– </w:t>
      </w:r>
      <w:r w:rsidRPr="00DB2B4A">
        <w:rPr>
          <w:szCs w:val="24"/>
        </w:rPr>
        <w:t>компьютерная томография органов грудной клетки (КТ)</w:t>
      </w:r>
      <w:r w:rsidRPr="00DB2B4A">
        <w:rPr>
          <w:szCs w:val="24"/>
          <w:shd w:val="clear" w:color="auto" w:fill="FFFFFF" w:themeFill="background1"/>
        </w:rPr>
        <w:t>, с болюсным контрастным усилением (по показаниям)</w:t>
      </w:r>
    </w:p>
    <w:p w14:paraId="2B6F080B" w14:textId="77777777" w:rsidR="008C1767" w:rsidRPr="00952000" w:rsidRDefault="008C1767" w:rsidP="008C1767">
      <w:pPr>
        <w:pStyle w:val="afff3"/>
        <w:widowControl/>
        <w:numPr>
          <w:ilvl w:val="0"/>
          <w:numId w:val="209"/>
        </w:numPr>
        <w:autoSpaceDE/>
        <w:autoSpaceDN/>
        <w:adjustRightInd/>
        <w:rPr>
          <w:szCs w:val="24"/>
        </w:rPr>
      </w:pPr>
      <w:r w:rsidRPr="00952000">
        <w:rPr>
          <w:szCs w:val="24"/>
        </w:rPr>
        <w:t xml:space="preserve">ультразвуковое агиосканирование </w:t>
      </w:r>
    </w:p>
    <w:p w14:paraId="5D9459AC" w14:textId="77777777" w:rsidR="008C1767" w:rsidRPr="00952000" w:rsidRDefault="008C1767" w:rsidP="008C1767">
      <w:pPr>
        <w:pStyle w:val="afff3"/>
        <w:widowControl/>
        <w:numPr>
          <w:ilvl w:val="0"/>
          <w:numId w:val="209"/>
        </w:numPr>
        <w:autoSpaceDE/>
        <w:autoSpaceDN/>
        <w:adjustRightInd/>
        <w:rPr>
          <w:szCs w:val="24"/>
        </w:rPr>
      </w:pPr>
      <w:r w:rsidRPr="00952000">
        <w:rPr>
          <w:szCs w:val="24"/>
        </w:rPr>
        <w:t>ЭКГ</w:t>
      </w:r>
    </w:p>
    <w:p w14:paraId="4E2F40F6" w14:textId="77777777" w:rsidR="000E1D1D" w:rsidRDefault="008C1767" w:rsidP="000E1D1D">
      <w:pPr>
        <w:pStyle w:val="afff7"/>
        <w:ind w:firstLine="720"/>
        <w:jc w:val="both"/>
      </w:pPr>
      <w:r w:rsidRPr="00952000">
        <w:t xml:space="preserve">Ультразвуковое сопровождение в реальном времени обеспечивает возможность выбора направления иглы при пункции внутренней яремной, аксиллярной, подмышечной или бедренной вены, позволяя тем самым избежать случайного ранение артерии </w:t>
      </w:r>
      <w:r w:rsidRPr="00952000">
        <w:fldChar w:fldCharType="begin" w:fldLock="1"/>
      </w:r>
      <w:r w:rsidR="00A67ED2">
        <w:instrText>ADDIN CSL_CITATION {"citationItems":[{"id":"ITEM-1","itemData":{"DOI":"10.2147/RMHP.S10383","ISSN":"1179-1594","PMID":"22312225","abstract":"Central venous cannulation is a commonly performed procedure which facilitates resuscitation, nutritional support, and long-term vascular access. Mechanical complications most often occur during insertion and are intimately related to the anatomic relationship of the central veins. Working knowledge of surface and deep anatomy minimizes complications. Use of surface anatomic landmarks to orient the deep course of cannulating needle tracts appropriately comprises the crux of complication avoidance. The authors describe use of surface landmarks to facilitate safe placement of internal jugular, subclavian, and femoral venous catheters. The role of real-time sonography as a safety-enhancing adjunct is reviewed.","author":[{"dropping-particle":"","family":"Bannon","given":"Michael P","non-dropping-particle":"","parse-names":false,"suffix":""},{"dropping-particle":"","family":"Heller","given":"Stephanie F","non-dropping-particle":"","parse-names":false,"suffix":""},{"dropping-particle":"","family":"Rivera","given":"Mariela","non-dropping-particle":"","parse-names":false,"suffix":""}],"container-title":"Risk management and healthcare policy","id":"ITEM-1","issued":{"date-parts":[["2011"]]},"page":"27-39","publisher":"Dove Press","title":"Anatomic considerations for central venous cannulation.","type":"article-journal","volume":"4"},"uris":["http://www.mendeley.com/documents/?uuid=f27d2d96-8c0e-37ae-a769-16d58b15a227","http://www.mendeley.com/documents/?uuid=f0df5ed8-bde5-4ae2-bb07-d53d990cfba6"]}],"mendeley":{"formattedCitation":"[198]","plainTextFormattedCitation":"[198]","previouslyFormattedCitation":"[178]"},"properties":{"noteIndex":0},"schema":"https://github.com/citation-style-language/schema/raw/master/csl-citation.json"}</w:instrText>
      </w:r>
      <w:r w:rsidRPr="00952000">
        <w:fldChar w:fldCharType="separate"/>
      </w:r>
      <w:r w:rsidR="00A67ED2" w:rsidRPr="00A67ED2">
        <w:rPr>
          <w:noProof/>
        </w:rPr>
        <w:t>[198]</w:t>
      </w:r>
      <w:r w:rsidRPr="00952000">
        <w:fldChar w:fldCharType="end"/>
      </w:r>
      <w:r w:rsidRPr="00952000">
        <w:t>.</w:t>
      </w:r>
    </w:p>
    <w:p w14:paraId="493D3C75" w14:textId="05DBF9D5" w:rsidR="008C1767" w:rsidRPr="00952000" w:rsidRDefault="008C1767" w:rsidP="000E1D1D">
      <w:pPr>
        <w:pStyle w:val="afff7"/>
        <w:ind w:firstLine="720"/>
        <w:jc w:val="both"/>
      </w:pPr>
      <w:r w:rsidRPr="00952000">
        <w:t>Использование ультразвукового сопровождения даже при установке ЦВК при тромбоцитопении менее 20х10</w:t>
      </w:r>
      <w:r w:rsidRPr="00952000">
        <w:rPr>
          <w:vertAlign w:val="superscript"/>
        </w:rPr>
        <w:t>9</w:t>
      </w:r>
      <w:r w:rsidRPr="00952000">
        <w:t>/л позволяет избежать серьезных геморрагических осложнений.</w:t>
      </w:r>
      <w:r w:rsidR="000E1D1D">
        <w:t xml:space="preserve"> </w:t>
      </w:r>
      <w:r w:rsidRPr="00952000">
        <w:t xml:space="preserve">В настоящее время УЗИ считается «золотым стандартом» при установке центрального венозного катетера с использованием яремного доступа, так как ВЯВ близко прилежит к поверхности кожи, нет мышц, которые бы могли затруднить визуализацию </w:t>
      </w:r>
      <w:r w:rsidRPr="00952000">
        <w:fldChar w:fldCharType="begin" w:fldLock="1"/>
      </w:r>
      <w:r w:rsidR="00A67ED2">
        <w:instrText>ADDIN CSL_CITATION {"citationItems":[{"id":"ITEM-1","itemData":{"DOI":"10.1097/01.CCM.0000171533.92856.E5","ISSN":"0090-3493","author":[{"dropping-particle":"","family":"Milling","given":"Truman J.","non-dropping-particle":"","parse-names":false,"suffix":""},{"dropping-particle":"","family":"Rose","given":"John","non-dropping-particle":"","parse-names":false,"suffix":""},{"dropping-particle":"","family":"Briggs","given":"William M.","non-dropping-particle":"","parse-names":false,"suffix":""},{"dropping-particle":"","family":"Birkhahn","given":"Robert","non-dropping-particle":"","parse-names":false,"suffix":""},{"dropping-particle":"","family":"Gaeta","given":"Theodore J.","non-dropping-particle":"","parse-names":false,"suffix":""},{"dropping-particle":"","family":"Bove","given":"Joseph J.","non-dropping-particle":"","parse-names":false,"suffix":""},{"dropping-particle":"","family":"Melniker","given":"Lawrence A.","non-dropping-particle":"","parse-names":false,"suffix":""}],"container-title":"Critical Care Medicine","id":"ITEM-1","issue":"8","issued":{"date-parts":[["2005","8"]]},"page":"1764-1769","title":"Randomized, controlled clinical trial of point-of-care limited ultrasonography assistance of central venous cannulation: The Third Sonography Outcomes Assessment Program (SOAP-3) Trial*","type":"article-journal","volume":"33"},"uris":["http://www.mendeley.com/documents/?uuid=054ddacc-452c-3e56-9229-17632ae9ca05","http://www.mendeley.com/documents/?uuid=d52028d6-19cc-49b2-bfeb-b898ed00d7fe"]}],"mendeley":{"formattedCitation":"[199]","plainTextFormattedCitation":"[199]","previouslyFormattedCitation":"[179]"},"properties":{"noteIndex":0},"schema":"https://github.com/citation-style-language/schema/raw/master/csl-citation.json"}</w:instrText>
      </w:r>
      <w:r w:rsidRPr="00952000">
        <w:fldChar w:fldCharType="separate"/>
      </w:r>
      <w:r w:rsidR="00A67ED2" w:rsidRPr="00A67ED2">
        <w:rPr>
          <w:noProof/>
        </w:rPr>
        <w:t>[199]</w:t>
      </w:r>
      <w:r w:rsidRPr="00952000">
        <w:fldChar w:fldCharType="end"/>
      </w:r>
      <w:r w:rsidRPr="00952000">
        <w:t>. Помимо этого, правая ВЯВ образует практически прямую линию, что уменьшает травму сосуда и риск возникновения КАТ при использовании катетера.</w:t>
      </w:r>
    </w:p>
    <w:p w14:paraId="4D452DAB" w14:textId="77777777" w:rsidR="008C1767" w:rsidRPr="00952000" w:rsidRDefault="008C1767" w:rsidP="008C1767">
      <w:pPr>
        <w:ind w:firstLine="700"/>
        <w:rPr>
          <w:szCs w:val="24"/>
        </w:rPr>
      </w:pPr>
      <w:r w:rsidRPr="00952000">
        <w:rPr>
          <w:szCs w:val="24"/>
        </w:rPr>
        <w:t xml:space="preserve">Ультразвуковое сопровождение катетеризации центральных вен не исключает знания анатомии и поверхностных анатомических ориентиров, которые остаются необходимыми для ориентации как иглы, так и самого ультразвукового датчика. Ультразвуковое сопровождение катетеризации позволяет визуализировать не только вену, но и располагающиеся вблизи анатомические структуры. </w:t>
      </w:r>
    </w:p>
    <w:p w14:paraId="71F5D8CD" w14:textId="77777777" w:rsidR="008C1767" w:rsidRPr="00952000" w:rsidRDefault="008C1767" w:rsidP="008C1767">
      <w:pPr>
        <w:ind w:firstLine="708"/>
        <w:rPr>
          <w:szCs w:val="24"/>
        </w:rPr>
      </w:pPr>
      <w:r w:rsidRPr="00952000">
        <w:rPr>
          <w:szCs w:val="24"/>
        </w:rPr>
        <w:t>В случае выявления поражения средостения по данным рентгенологического исследования, а также при клинической картине синдрома сдавления верхней полой вены, перед катетеризацией необходимо выполнение КТ органов грудной клетки с болюсным контрастным усилением для оценки проходимости крупных венозных сосудов, диагностики тромботических осложнений.</w:t>
      </w:r>
    </w:p>
    <w:p w14:paraId="1995117F" w14:textId="77777777" w:rsidR="008C1767" w:rsidRPr="009F4EC0" w:rsidRDefault="008C1767" w:rsidP="008C1767">
      <w:pPr>
        <w:ind w:firstLine="709"/>
        <w:rPr>
          <w:i/>
          <w:iCs/>
          <w:szCs w:val="24"/>
        </w:rPr>
      </w:pPr>
      <w:r w:rsidRPr="009F4EC0">
        <w:rPr>
          <w:i/>
          <w:iCs/>
          <w:szCs w:val="24"/>
        </w:rPr>
        <w:t xml:space="preserve">Выбор типа ЦВК </w:t>
      </w:r>
    </w:p>
    <w:p w14:paraId="06CCFA4D" w14:textId="4BC6F4DE" w:rsidR="008C1767" w:rsidRPr="00952000" w:rsidRDefault="008C1767" w:rsidP="008C1767">
      <w:pPr>
        <w:ind w:firstLine="709"/>
        <w:rPr>
          <w:szCs w:val="24"/>
        </w:rPr>
      </w:pPr>
      <w:r w:rsidRPr="007916D1">
        <w:rPr>
          <w:szCs w:val="24"/>
        </w:rPr>
        <w:t xml:space="preserve">Больным </w:t>
      </w:r>
      <w:r w:rsidR="007916D1" w:rsidRPr="007916D1">
        <w:rPr>
          <w:szCs w:val="24"/>
        </w:rPr>
        <w:t>с лейкозами</w:t>
      </w:r>
      <w:r w:rsidRPr="00952000">
        <w:rPr>
          <w:szCs w:val="24"/>
        </w:rPr>
        <w:t xml:space="preserve"> при проведении индукционных курсов химиотерапии, а также при проведении курсов консолидации и поддерживающей терапии устанавливается </w:t>
      </w:r>
      <w:r w:rsidRPr="00952000">
        <w:rPr>
          <w:szCs w:val="24"/>
        </w:rPr>
        <w:lastRenderedPageBreak/>
        <w:t>нетуннелируемый центральный венозный катетер в одну из вен бассейна верхней полой вены (внутреннюю яремную вену, подключичную вену, аксиллярную вену). Следует отдавать предпочтение двухпросветным или трехпросветным нетуннелируемым катетерам, поскольку нередко больным одновременно вводят несовместимые между собой растворы.</w:t>
      </w:r>
    </w:p>
    <w:p w14:paraId="00AB0231" w14:textId="77777777" w:rsidR="008C1767" w:rsidRPr="00952000" w:rsidRDefault="008C1767" w:rsidP="008C1767">
      <w:pPr>
        <w:ind w:firstLine="708"/>
        <w:rPr>
          <w:szCs w:val="24"/>
        </w:rPr>
      </w:pPr>
      <w:r w:rsidRPr="00952000">
        <w:rPr>
          <w:szCs w:val="24"/>
        </w:rPr>
        <w:t>Установка долговременных венозных катетеров не оправдана из-за высокого риска инфицирования системы.</w:t>
      </w:r>
    </w:p>
    <w:p w14:paraId="2DA95E86" w14:textId="2AACD2C0" w:rsidR="008C1767" w:rsidRPr="00952000" w:rsidRDefault="008C1767" w:rsidP="008C1767">
      <w:pPr>
        <w:ind w:firstLine="708"/>
        <w:rPr>
          <w:szCs w:val="24"/>
        </w:rPr>
      </w:pPr>
      <w:r w:rsidRPr="00952000">
        <w:rPr>
          <w:szCs w:val="24"/>
        </w:rPr>
        <w:t>Учитывая срок службы катетера, а также с целью предотвращения дополнительной травмы венозной стенки или для продолжения терапии может быть установлена полностью имплантируемая порт-система (порт-система).</w:t>
      </w:r>
    </w:p>
    <w:p w14:paraId="559BF86B" w14:textId="77777777" w:rsidR="008C1767" w:rsidRPr="00952000" w:rsidRDefault="008C1767" w:rsidP="008C1767">
      <w:pPr>
        <w:ind w:firstLine="708"/>
        <w:rPr>
          <w:szCs w:val="24"/>
        </w:rPr>
      </w:pPr>
      <w:r w:rsidRPr="00952000">
        <w:rPr>
          <w:szCs w:val="24"/>
        </w:rPr>
        <w:t xml:space="preserve">Важной задачей является обеспечение сосудистого доступа </w:t>
      </w:r>
      <w:r w:rsidRPr="00952000">
        <w:rPr>
          <w:b/>
          <w:szCs w:val="24"/>
        </w:rPr>
        <w:t>при проведении трансплантации гемопоэтических стволовых клеток</w:t>
      </w:r>
      <w:r w:rsidRPr="00952000">
        <w:rPr>
          <w:szCs w:val="24"/>
        </w:rPr>
        <w:t xml:space="preserve"> (ТГСК). При трансплантации аутологичных ГСК достаточно установки нетуннелируемого катетера. При трансплантации аллогенных ГСК и прежде всего неродственных ГСК показана установка либо двухпросветного или трехпросветного ЦВК либо туннелируемых катетеров (катетер Хикмана, Леонарда). При проведении трансплантации с использованием туннелируемых ЦВК значительно реже развиваются ЦВК-ассоциированные инфекционные осложнения. Туннелируемые ЦВК не имеют преимуществ перед нетуннелируемыми ЦВК с антибактериальным покрытием при использовании в течение одного месяца. Однако при длительном использовании туннелируемых катетеров осложнений значительно меньше, чем при использовании нетуннелируемых (как с антибактериальным покрытием, так и без него). Поскольку при трансплантации аллогенных ГСК (прежде всего, неродственных) многие осложнения (реакция трансплантат против хозяина с поражением кожи, кишечника, инфекционные осложнения, геморрагический цистит и т. д.) возникают в первые 100 дней после трансплантации, и больные длительно нуждаются в сосудистом доступе, предпочтение следует отдать туннелируемым ЦВК (катетер Хикмана, Леонарда). Эти катетеры следует оставлять на несколько месяцев даже после выписки больного из стационара. Для уменьшения риска воздушной эмболии может быть установлен катетер Хикмана с клапаном Грошонга на дистальном конце, либо на проксимальный конец туннелируемого катетера устанавливаются специальные клапаны. Опыт длительного (в течение 4—6 мес) использования туннелируемых катетеров после ТГСК показал их безопасность и эффективность.</w:t>
      </w:r>
    </w:p>
    <w:p w14:paraId="5B96147C" w14:textId="77777777" w:rsidR="008C1767" w:rsidRDefault="008C1767" w:rsidP="008C1767">
      <w:pPr>
        <w:ind w:firstLine="708"/>
        <w:rPr>
          <w:b/>
          <w:bCs/>
          <w:szCs w:val="24"/>
        </w:rPr>
      </w:pPr>
    </w:p>
    <w:p w14:paraId="279CBD4E" w14:textId="77777777" w:rsidR="008C1767" w:rsidRPr="009F4EC0" w:rsidRDefault="008C1767" w:rsidP="008C1767">
      <w:pPr>
        <w:ind w:firstLine="708"/>
        <w:rPr>
          <w:i/>
          <w:iCs/>
          <w:szCs w:val="24"/>
          <w:u w:val="single"/>
        </w:rPr>
      </w:pPr>
      <w:r w:rsidRPr="009F4EC0">
        <w:rPr>
          <w:i/>
          <w:iCs/>
          <w:szCs w:val="24"/>
          <w:u w:val="single"/>
        </w:rPr>
        <w:t>Профилактика осложнений</w:t>
      </w:r>
    </w:p>
    <w:p w14:paraId="43170E29" w14:textId="77777777" w:rsidR="008C1767" w:rsidRPr="009F4EC0" w:rsidRDefault="008C1767" w:rsidP="008C1767">
      <w:pPr>
        <w:ind w:firstLine="708"/>
        <w:rPr>
          <w:i/>
          <w:iCs/>
          <w:szCs w:val="24"/>
        </w:rPr>
      </w:pPr>
      <w:r w:rsidRPr="009F4EC0">
        <w:rPr>
          <w:i/>
          <w:iCs/>
          <w:szCs w:val="24"/>
        </w:rPr>
        <w:t>Методы профилактики ранних осложнений</w:t>
      </w:r>
    </w:p>
    <w:p w14:paraId="668716E8" w14:textId="77777777" w:rsidR="008C1767" w:rsidRPr="00952000" w:rsidRDefault="008C1767" w:rsidP="008C1767">
      <w:pPr>
        <w:pStyle w:val="afff3"/>
        <w:widowControl/>
        <w:numPr>
          <w:ilvl w:val="0"/>
          <w:numId w:val="211"/>
        </w:numPr>
        <w:tabs>
          <w:tab w:val="left" w:pos="709"/>
        </w:tabs>
        <w:autoSpaceDE/>
        <w:autoSpaceDN/>
        <w:adjustRightInd/>
        <w:ind w:left="709"/>
        <w:rPr>
          <w:szCs w:val="24"/>
        </w:rPr>
      </w:pPr>
      <w:r w:rsidRPr="00952000">
        <w:rPr>
          <w:szCs w:val="24"/>
        </w:rPr>
        <w:t>Ультразвуковое сопровождение катетеризации центральных вен</w:t>
      </w:r>
    </w:p>
    <w:p w14:paraId="67869E37" w14:textId="77777777" w:rsidR="008C1767" w:rsidRPr="00952000" w:rsidRDefault="008C1767" w:rsidP="008C1767">
      <w:pPr>
        <w:ind w:firstLine="708"/>
        <w:rPr>
          <w:strike/>
          <w:szCs w:val="24"/>
        </w:rPr>
      </w:pPr>
      <w:r w:rsidRPr="00952000">
        <w:rPr>
          <w:szCs w:val="24"/>
        </w:rPr>
        <w:lastRenderedPageBreak/>
        <w:t>С использованием линейного датчика 10 МГц, который обеспечивает поверхность сканирования 20-50 мм и глубину до 80 мм или в допплеровском режиме.</w:t>
      </w:r>
    </w:p>
    <w:p w14:paraId="32709F50" w14:textId="77777777" w:rsidR="008C1767" w:rsidRPr="00952000" w:rsidRDefault="008C1767" w:rsidP="008C1767">
      <w:pPr>
        <w:ind w:firstLine="708"/>
        <w:rPr>
          <w:szCs w:val="24"/>
        </w:rPr>
      </w:pPr>
      <w:r w:rsidRPr="00952000">
        <w:rPr>
          <w:szCs w:val="24"/>
        </w:rPr>
        <w:t>Пункцию вены осуществляют в режиме постоянной визуализации острия иглы.</w:t>
      </w:r>
    </w:p>
    <w:p w14:paraId="259C9927" w14:textId="77777777" w:rsidR="008C1767" w:rsidRPr="00952000" w:rsidRDefault="008C1767" w:rsidP="008C1767">
      <w:pPr>
        <w:ind w:firstLine="708"/>
        <w:rPr>
          <w:szCs w:val="24"/>
        </w:rPr>
      </w:pPr>
      <w:r w:rsidRPr="00952000">
        <w:rPr>
          <w:szCs w:val="24"/>
        </w:rPr>
        <w:t xml:space="preserve">Нарушения гемостаза компенсируются с помощью заместительной терапии компонентами крови. </w:t>
      </w:r>
    </w:p>
    <w:p w14:paraId="03AC45E3" w14:textId="77777777" w:rsidR="008C1767" w:rsidRPr="00952000" w:rsidRDefault="008C1767" w:rsidP="008C1767">
      <w:pPr>
        <w:ind w:firstLine="708"/>
        <w:rPr>
          <w:rFonts w:eastAsia="ＭＳ 明朝 (Основной текст темы (ази"/>
          <w:szCs w:val="24"/>
        </w:rPr>
      </w:pPr>
      <w:r w:rsidRPr="00952000">
        <w:rPr>
          <w:szCs w:val="24"/>
        </w:rPr>
        <w:t>Трансфузию концентратов тромбоцитов выполняют при снижении их концентрации в периферической крови ниже 20х10</w:t>
      </w:r>
      <w:r w:rsidRPr="00952000">
        <w:rPr>
          <w:szCs w:val="24"/>
          <w:vertAlign w:val="superscript"/>
        </w:rPr>
        <w:t>9</w:t>
      </w:r>
      <w:r w:rsidRPr="00952000">
        <w:rPr>
          <w:szCs w:val="24"/>
        </w:rPr>
        <w:t xml:space="preserve">/л </w:t>
      </w:r>
      <w:r w:rsidRPr="00952000">
        <w:rPr>
          <w:rFonts w:eastAsia="ＭＳ 明朝 (Основной текст темы (ази"/>
          <w:szCs w:val="24"/>
        </w:rPr>
        <w:t>из расчета 1 ед. или 0,6х10</w:t>
      </w:r>
      <w:r w:rsidRPr="00952000">
        <w:rPr>
          <w:rFonts w:eastAsia="ＭＳ 明朝 (Основной текст темы (ази"/>
          <w:szCs w:val="24"/>
          <w:vertAlign w:val="superscript"/>
        </w:rPr>
        <w:t>11</w:t>
      </w:r>
      <w:r w:rsidRPr="00952000">
        <w:rPr>
          <w:rFonts w:eastAsia="ＭＳ 明朝 (Основной текст темы (ази"/>
          <w:szCs w:val="24"/>
        </w:rPr>
        <w:t xml:space="preserve"> клеток на 10 кг массы тела либо 1 терапевтическая доза (2х10</w:t>
      </w:r>
      <w:r w:rsidRPr="00952000">
        <w:rPr>
          <w:rFonts w:eastAsia="ＭＳ 明朝 (Основной текст темы (ази"/>
          <w:szCs w:val="24"/>
          <w:vertAlign w:val="superscript"/>
        </w:rPr>
        <w:t>11</w:t>
      </w:r>
      <w:r w:rsidRPr="00952000">
        <w:rPr>
          <w:rFonts w:eastAsia="ＭＳ 明朝 (Основной текст темы (ази"/>
          <w:szCs w:val="24"/>
        </w:rPr>
        <w:t xml:space="preserve"> клеток) на 1 м</w:t>
      </w:r>
      <w:r w:rsidRPr="00952000">
        <w:rPr>
          <w:rFonts w:eastAsia="ＭＳ 明朝 (Основной текст темы (ази"/>
          <w:szCs w:val="24"/>
          <w:vertAlign w:val="superscript"/>
        </w:rPr>
        <w:t>2</w:t>
      </w:r>
      <w:r w:rsidRPr="00952000">
        <w:rPr>
          <w:rFonts w:eastAsia="ＭＳ 明朝 (Основной текст темы (ази"/>
          <w:szCs w:val="24"/>
        </w:rPr>
        <w:t xml:space="preserve"> поверхности тела.</w:t>
      </w:r>
    </w:p>
    <w:p w14:paraId="0301CB58" w14:textId="77777777" w:rsidR="008C1767" w:rsidRPr="00952000" w:rsidRDefault="008C1767" w:rsidP="008C1767">
      <w:pPr>
        <w:ind w:firstLine="708"/>
        <w:rPr>
          <w:szCs w:val="24"/>
        </w:rPr>
      </w:pPr>
      <w:r w:rsidRPr="00952000">
        <w:rPr>
          <w:rFonts w:eastAsia="ＭＳ 明朝 (Основной текст темы (ази"/>
          <w:szCs w:val="24"/>
        </w:rPr>
        <w:t>Трансфузии</w:t>
      </w:r>
      <w:r w:rsidRPr="00952000">
        <w:rPr>
          <w:szCs w:val="24"/>
        </w:rPr>
        <w:t xml:space="preserve"> криопреципитата выполняют при снижении концентрации фибриногена плазмы &lt;1,5 г/л из расчета 1 доза на 5 кг массы тела больного.</w:t>
      </w:r>
    </w:p>
    <w:p w14:paraId="76E29315" w14:textId="77777777" w:rsidR="008C1767" w:rsidRPr="00952000" w:rsidRDefault="008C1767" w:rsidP="008C1767">
      <w:pPr>
        <w:ind w:firstLine="708"/>
        <w:rPr>
          <w:rFonts w:eastAsia="ＭＳ 明朝 (Основной текст темы (ази"/>
          <w:szCs w:val="24"/>
        </w:rPr>
      </w:pPr>
      <w:r w:rsidRPr="00952000">
        <w:rPr>
          <w:szCs w:val="24"/>
        </w:rPr>
        <w:t>Трансфузии свежезамороженной плазмы проводят для коррекции дефицита факторов свертывания в дозе 10-15 мл/кг для обеспечения концентрации факторов свёртывания на уровне 30%.</w:t>
      </w:r>
    </w:p>
    <w:p w14:paraId="6D317B99" w14:textId="68029C58" w:rsidR="008C1767" w:rsidRPr="00952000" w:rsidRDefault="008C1767" w:rsidP="008C1767">
      <w:pPr>
        <w:ind w:firstLine="709"/>
        <w:rPr>
          <w:szCs w:val="24"/>
        </w:rPr>
      </w:pPr>
      <w:r w:rsidRPr="00952000">
        <w:rPr>
          <w:szCs w:val="24"/>
        </w:rPr>
        <w:t xml:space="preserve">У больных гемофилией расчет дозы концентрата дефицитного фактора свертывания проводят по формулам </w:t>
      </w:r>
      <w:r w:rsidRPr="00952000">
        <w:rPr>
          <w:szCs w:val="24"/>
        </w:rPr>
        <w:fldChar w:fldCharType="begin" w:fldLock="1"/>
      </w:r>
      <w:r w:rsidR="00A67ED2">
        <w:rPr>
          <w:szCs w:val="24"/>
        </w:rPr>
        <w:instrText>ADDIN CSL_CITATION {"citationItems":[{"id":"ITEM-1","itemData":{"author":[{"dropping-particle":"","family":"Зозуля","given":"Н.И.","non-dropping-particle":"","parse-names":false,"suffix":""},{"dropping-particle":"","family":"Кумскова","given":"М.А.","non-dropping-particle":"","parse-names":false,"suffix":""}],"container-title":"Алгоритмы диагностики и протоколы лечения заболеваний системы крови. Том 1.","edition":"Практика","editor":[{"dropping-particle":"","family":"Савченко","given":"В.Г.","non-dropping-particle":"","parse-names":false,"suffix":""}],"id":"ITEM-1","issued":{"date-parts":[["2018"]]},"page":"333-358","publisher-place":"Москва","title":"Протокол диагностики и лечения гемофилии.","type":"chapter"},"uris":["http://www.mendeley.com/documents/?uuid=0f5fa306-495f-47fd-a308-cb7187da6dc9","http://www.mendeley.com/documents/?uuid=401a8177-eb94-4a41-8d27-6243609619c9"]}],"mendeley":{"formattedCitation":"[200]","plainTextFormattedCitation":"[200]","previouslyFormattedCitation":"[180]"},"properties":{"noteIndex":0},"schema":"https://github.com/citation-style-language/schema/raw/master/csl-citation.json"}</w:instrText>
      </w:r>
      <w:r w:rsidRPr="00952000">
        <w:rPr>
          <w:szCs w:val="24"/>
        </w:rPr>
        <w:fldChar w:fldCharType="separate"/>
      </w:r>
      <w:r w:rsidR="00A67ED2" w:rsidRPr="00A67ED2">
        <w:rPr>
          <w:noProof/>
          <w:szCs w:val="24"/>
        </w:rPr>
        <w:t>[200]</w:t>
      </w:r>
      <w:r w:rsidRPr="00952000">
        <w:rPr>
          <w:szCs w:val="24"/>
        </w:rPr>
        <w:fldChar w:fldCharType="end"/>
      </w:r>
      <w:r w:rsidRPr="00952000">
        <w:rPr>
          <w:szCs w:val="24"/>
        </w:rPr>
        <w:t>:</w:t>
      </w:r>
    </w:p>
    <w:p w14:paraId="1E5F8DCD" w14:textId="77777777" w:rsidR="008C1767" w:rsidRPr="00952000" w:rsidRDefault="008C1767" w:rsidP="008C1767">
      <w:pPr>
        <w:pStyle w:val="afff3"/>
        <w:widowControl/>
        <w:numPr>
          <w:ilvl w:val="0"/>
          <w:numId w:val="207"/>
        </w:numPr>
        <w:autoSpaceDE/>
        <w:autoSpaceDN/>
        <w:adjustRightInd/>
        <w:rPr>
          <w:szCs w:val="24"/>
        </w:rPr>
      </w:pPr>
      <w:r w:rsidRPr="00952000">
        <w:rPr>
          <w:szCs w:val="24"/>
        </w:rPr>
        <w:t>FVIII: доза (МЕ) = масса тела (кг) х (требуемая активность (не менее 70%) – базальная активность) х 0,5,</w:t>
      </w:r>
    </w:p>
    <w:p w14:paraId="52CFB6A1" w14:textId="77777777" w:rsidR="008C1767" w:rsidRPr="00952000" w:rsidRDefault="008C1767" w:rsidP="008C1767">
      <w:pPr>
        <w:pStyle w:val="afff3"/>
        <w:widowControl/>
        <w:numPr>
          <w:ilvl w:val="0"/>
          <w:numId w:val="207"/>
        </w:numPr>
        <w:autoSpaceDE/>
        <w:autoSpaceDN/>
        <w:adjustRightInd/>
        <w:rPr>
          <w:szCs w:val="24"/>
        </w:rPr>
      </w:pPr>
      <w:r w:rsidRPr="00952000">
        <w:rPr>
          <w:szCs w:val="24"/>
        </w:rPr>
        <w:t>FIX: доза (МЕ) = масса тела (кг) х (требуемая активность (не менее 70%) – базальная активность).</w:t>
      </w:r>
    </w:p>
    <w:p w14:paraId="059E316F" w14:textId="67412553" w:rsidR="008C1767" w:rsidRPr="00952000" w:rsidRDefault="008C1767" w:rsidP="008C1767">
      <w:pPr>
        <w:ind w:firstLine="360"/>
        <w:rPr>
          <w:szCs w:val="24"/>
        </w:rPr>
      </w:pPr>
      <w:r w:rsidRPr="00952000">
        <w:rPr>
          <w:szCs w:val="24"/>
        </w:rPr>
        <w:t xml:space="preserve">При применении противоингибиторного коагулянтного комплекса дозу препарата рассчитывают исходя из потребности в 50-100 МЕ/кг </w:t>
      </w:r>
      <w:r w:rsidRPr="00952000">
        <w:rPr>
          <w:szCs w:val="24"/>
        </w:rPr>
        <w:fldChar w:fldCharType="begin" w:fldLock="1"/>
      </w:r>
      <w:r w:rsidR="00A67ED2">
        <w:rPr>
          <w:szCs w:val="24"/>
        </w:rPr>
        <w:instrText>ADDIN CSL_CITATION {"citationItems":[{"id":"ITEM-1","itemData":{"author":[{"dropping-particle":"","family":"Галстян","given":"Г.М.","non-dropping-particle":"","parse-names":false,"suffix":""}],"container-title":"Гематология и трансфузиология.","id":"ITEM-1","issue":"2","issued":{"date-parts":[["2012"]]},"page":"7 - 21","title":"НАРУШЕНИЯ ГЕМОСТАЗА, ОБУСЛОВЛЕННЫЕ ДЕФИЦИТОМ ВИТАМИН К-ЗАВИСИМЫХ ФАКТОРОВ СВЕРТЫВАНИЯ КРОВИ — ПАТОГЕНЕЗ, СПОСОБЫ КОРРЕКЦИИ И РЕКОМЕНДАЦИИ ПО ЛЕЧЕНИЮ.","type":"article-journal","volume":"27"},"uris":["http://www.mendeley.com/documents/?uuid=52f305ab-0108-47a6-9673-c9e5246a7900","http://www.mendeley.com/documents/?uuid=e948cfe1-2831-4737-b489-e36df40a40f3"]}],"mendeley":{"formattedCitation":"[201]","plainTextFormattedCitation":"[201]","previouslyFormattedCitation":"[181]"},"properties":{"noteIndex":0},"schema":"https://github.com/citation-style-language/schema/raw/master/csl-citation.json"}</w:instrText>
      </w:r>
      <w:r w:rsidRPr="00952000">
        <w:rPr>
          <w:szCs w:val="24"/>
        </w:rPr>
        <w:fldChar w:fldCharType="separate"/>
      </w:r>
      <w:r w:rsidR="00A67ED2" w:rsidRPr="00A67ED2">
        <w:rPr>
          <w:noProof/>
          <w:szCs w:val="24"/>
        </w:rPr>
        <w:t>[201]</w:t>
      </w:r>
      <w:r w:rsidRPr="00952000">
        <w:rPr>
          <w:szCs w:val="24"/>
        </w:rPr>
        <w:fldChar w:fldCharType="end"/>
      </w:r>
      <w:r w:rsidRPr="00952000">
        <w:rPr>
          <w:szCs w:val="24"/>
        </w:rPr>
        <w:t xml:space="preserve"> для однократного применения.</w:t>
      </w:r>
    </w:p>
    <w:p w14:paraId="20DB14DE" w14:textId="77777777" w:rsidR="008C1767" w:rsidRPr="00952000" w:rsidRDefault="008C1767" w:rsidP="008C1767">
      <w:pPr>
        <w:ind w:firstLine="360"/>
        <w:rPr>
          <w:szCs w:val="24"/>
        </w:rPr>
      </w:pPr>
      <w:r w:rsidRPr="00952000">
        <w:rPr>
          <w:szCs w:val="24"/>
        </w:rPr>
        <w:t>Препараты рекомбинантного активированного фактора свертывания VII (rFVIIa) вводят в дозе 120 мг/кг однократно, после процедуры, в случаях неэффективности предшествующих мероприятий.</w:t>
      </w:r>
    </w:p>
    <w:p w14:paraId="0FBC3C34" w14:textId="7695C6DC" w:rsidR="008C1767" w:rsidRPr="00952000" w:rsidRDefault="008C1767" w:rsidP="008C1767">
      <w:pPr>
        <w:pStyle w:val="Default"/>
        <w:spacing w:line="360" w:lineRule="auto"/>
        <w:ind w:firstLine="709"/>
        <w:jc w:val="both"/>
        <w:rPr>
          <w:color w:val="auto"/>
        </w:rPr>
      </w:pPr>
      <w:r w:rsidRPr="00952000">
        <w:rPr>
          <w:color w:val="auto"/>
        </w:rPr>
        <w:t>Хотя безопасным уровнем для катетеризации мы считаем количество тромбоцитов крови более 20 х 10</w:t>
      </w:r>
      <w:r w:rsidRPr="00952000">
        <w:rPr>
          <w:color w:val="auto"/>
          <w:vertAlign w:val="superscript"/>
        </w:rPr>
        <w:t>9</w:t>
      </w:r>
      <w:r w:rsidRPr="00952000">
        <w:rPr>
          <w:color w:val="auto"/>
        </w:rPr>
        <w:t xml:space="preserve">/л, у ряда пациентов достичь этого порогового уровня не удается вследствие различных причин, например, рефрактерность к трансфузиям. В этих случаях катетеризация центральной вены проводится </w:t>
      </w:r>
      <w:r w:rsidR="00152089" w:rsidRPr="00952000">
        <w:rPr>
          <w:color w:val="auto"/>
        </w:rPr>
        <w:t>только под</w:t>
      </w:r>
      <w:r w:rsidRPr="00952000">
        <w:rPr>
          <w:color w:val="auto"/>
        </w:rPr>
        <w:t xml:space="preserve"> контролем ультразвука.</w:t>
      </w:r>
    </w:p>
    <w:p w14:paraId="435E492B" w14:textId="77777777" w:rsidR="008C1767" w:rsidRDefault="008C1767" w:rsidP="008C1767">
      <w:pPr>
        <w:ind w:firstLine="708"/>
        <w:rPr>
          <w:b/>
          <w:bCs/>
          <w:szCs w:val="24"/>
        </w:rPr>
      </w:pPr>
    </w:p>
    <w:p w14:paraId="1329CBE4" w14:textId="77777777" w:rsidR="008C1767" w:rsidRPr="009F4EC0" w:rsidRDefault="008C1767" w:rsidP="008C1767">
      <w:pPr>
        <w:ind w:firstLine="708"/>
        <w:rPr>
          <w:i/>
          <w:iCs/>
          <w:szCs w:val="24"/>
        </w:rPr>
      </w:pPr>
      <w:r w:rsidRPr="009F4EC0">
        <w:rPr>
          <w:i/>
          <w:iCs/>
          <w:szCs w:val="24"/>
        </w:rPr>
        <w:t>Методы профилактики поздних осложнений</w:t>
      </w:r>
    </w:p>
    <w:p w14:paraId="457FB86E" w14:textId="77777777" w:rsidR="008C1767" w:rsidRPr="00952000" w:rsidRDefault="008C1767" w:rsidP="008C1767">
      <w:pPr>
        <w:ind w:firstLine="708"/>
        <w:rPr>
          <w:szCs w:val="24"/>
        </w:rPr>
      </w:pPr>
      <w:r w:rsidRPr="00952000">
        <w:rPr>
          <w:szCs w:val="24"/>
        </w:rPr>
        <w:t xml:space="preserve">После окончания использования все катетеры должны быть промыты соответствующим объемом физиологического раствора (табл. 1), а затем закрыты с помощью раствора, создающего «катетерный замок» также в соответствии с объемом катетера. На короткий срок (1-2 сут.) может быть использован «гепариновый замок» (гепарин в физиологическом растворе в концентрации 100 Ед/мл), при закрытии катетера </w:t>
      </w:r>
      <w:r w:rsidRPr="00952000">
        <w:rPr>
          <w:szCs w:val="24"/>
        </w:rPr>
        <w:lastRenderedPageBreak/>
        <w:t xml:space="preserve">на длительный срок, а также при высоком риске инфицирования катетера предпочтительным является использование раствора Тауролока. </w:t>
      </w:r>
    </w:p>
    <w:p w14:paraId="4FD31C31" w14:textId="77777777" w:rsidR="008C1767" w:rsidRPr="00952000" w:rsidRDefault="008C1767" w:rsidP="008C1767">
      <w:pPr>
        <w:ind w:firstLine="708"/>
        <w:rPr>
          <w:rFonts w:eastAsia="ＭＳ 明朝 (Основной текст темы (ази"/>
          <w:szCs w:val="24"/>
        </w:rPr>
      </w:pPr>
      <w:r w:rsidRPr="00952000">
        <w:rPr>
          <w:rFonts w:eastAsia="ＭＳ 明朝 (Основной текст темы (ази"/>
          <w:szCs w:val="24"/>
        </w:rPr>
        <w:t>В случае перерывов в лечении катетер необходимо промывать 1 раз в 24 часа для нетуннелируемых ЦВК, 1 раз в 7 (10) дней для ПИЦВК и туннелируемых катетеров, 1 раз в 30 дней для порт-систем.</w:t>
      </w:r>
    </w:p>
    <w:p w14:paraId="70ED6189" w14:textId="77777777" w:rsidR="008C1767" w:rsidRPr="009F4EC0" w:rsidRDefault="008C1767" w:rsidP="008C1767">
      <w:pPr>
        <w:ind w:firstLine="708"/>
        <w:rPr>
          <w:szCs w:val="24"/>
        </w:rPr>
      </w:pPr>
      <w:r w:rsidRPr="00952000">
        <w:rPr>
          <w:rFonts w:eastAsia="ＭＳ 明朝 (Основной текст темы (ази"/>
          <w:szCs w:val="24"/>
        </w:rPr>
        <w:t xml:space="preserve">Асептическая повязка накладывается на место выхода катетера на кожу. Частота замены повязки с обязательной обработкой места выхода катетера, в соответствии с общими </w:t>
      </w:r>
      <w:r w:rsidRPr="009F4EC0">
        <w:rPr>
          <w:rFonts w:eastAsia="ＭＳ 明朝 (Основной текст темы (ази"/>
          <w:szCs w:val="24"/>
        </w:rPr>
        <w:t>принципами хирургической обработки, 2 раза в неделю при использовании нетуннелируемых катетеров, 1 раз в неделю для туннелируемых катетеров и ПИЦВК, и при необходимости (таб.1). Предпочтительно использовать прозрачные повязки для возможности ежедневной оценки кожи в месте установки катетера на наличие воспалительных изменений.</w:t>
      </w:r>
    </w:p>
    <w:p w14:paraId="5DC3A786" w14:textId="77777777" w:rsidR="008C1767" w:rsidRPr="00952000" w:rsidRDefault="008C1767" w:rsidP="008C1767">
      <w:pPr>
        <w:ind w:firstLine="708"/>
        <w:rPr>
          <w:szCs w:val="24"/>
        </w:rPr>
      </w:pPr>
      <w:r w:rsidRPr="009F4EC0">
        <w:rPr>
          <w:szCs w:val="24"/>
        </w:rPr>
        <w:t>Таблица 1. Режимы промы</w:t>
      </w:r>
      <w:r w:rsidRPr="00952000">
        <w:rPr>
          <w:szCs w:val="24"/>
        </w:rPr>
        <w:t>вания и закрытия катетеров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6"/>
        <w:gridCol w:w="2002"/>
        <w:gridCol w:w="6710"/>
      </w:tblGrid>
      <w:tr w:rsidR="008C1767" w:rsidRPr="00952000" w14:paraId="3EB64D60" w14:textId="77777777" w:rsidTr="00CD5E09">
        <w:trPr>
          <w:cantSplit/>
          <w:trHeight w:val="2220"/>
        </w:trPr>
        <w:tc>
          <w:tcPr>
            <w:tcW w:w="534" w:type="dxa"/>
            <w:vMerge w:val="restart"/>
            <w:textDirection w:val="btLr"/>
          </w:tcPr>
          <w:p w14:paraId="35FEA91B" w14:textId="77777777" w:rsidR="008C1767" w:rsidRPr="00952000" w:rsidRDefault="008C1767" w:rsidP="00CD5E09">
            <w:pPr>
              <w:ind w:left="113" w:right="113"/>
              <w:rPr>
                <w:rFonts w:eastAsia="ＭＳ 明朝 (Основной текст темы (ази"/>
                <w:szCs w:val="24"/>
              </w:rPr>
            </w:pPr>
            <w:r w:rsidRPr="00952000">
              <w:rPr>
                <w:rFonts w:eastAsia="ＭＳ 明朝 (Основной текст темы (ази"/>
                <w:szCs w:val="24"/>
              </w:rPr>
              <w:t>Промывание катетера</w:t>
            </w:r>
          </w:p>
        </w:tc>
        <w:tc>
          <w:tcPr>
            <w:tcW w:w="2011" w:type="dxa"/>
            <w:shd w:val="clear" w:color="auto" w:fill="auto"/>
          </w:tcPr>
          <w:p w14:paraId="05AA3A18" w14:textId="77777777" w:rsidR="008C1767" w:rsidRPr="00952000" w:rsidRDefault="008C1767" w:rsidP="00CD5E09">
            <w:pPr>
              <w:rPr>
                <w:rFonts w:eastAsia="ＭＳ 明朝 (Основной текст темы (ази"/>
                <w:szCs w:val="24"/>
              </w:rPr>
            </w:pPr>
            <w:r w:rsidRPr="00952000">
              <w:rPr>
                <w:rFonts w:eastAsia="ＭＳ 明朝 (Основной текст темы (ази"/>
                <w:szCs w:val="24"/>
              </w:rPr>
              <w:t>Введение препаратов</w:t>
            </w:r>
          </w:p>
        </w:tc>
        <w:tc>
          <w:tcPr>
            <w:tcW w:w="7026" w:type="dxa"/>
            <w:shd w:val="clear" w:color="auto" w:fill="auto"/>
          </w:tcPr>
          <w:p w14:paraId="6E83508E" w14:textId="77777777" w:rsidR="008C1767" w:rsidRPr="00952000" w:rsidRDefault="008C1767" w:rsidP="00CD5E09">
            <w:pPr>
              <w:rPr>
                <w:rFonts w:eastAsia="ＭＳ 明朝 (Основной текст темы (ази"/>
                <w:szCs w:val="24"/>
              </w:rPr>
            </w:pPr>
            <w:r w:rsidRPr="00952000">
              <w:rPr>
                <w:rFonts w:eastAsia="ＭＳ 明朝 (Основной текст темы (ази"/>
                <w:szCs w:val="24"/>
              </w:rPr>
              <w:t xml:space="preserve">Промывать катетеры необходимо до и после введения лекарственных препаратов и компонентов крови. Использовать болюсное (импульсный режим) промывание 10 мл физиологического раствора для всех внутривенных катетеров (за исключением периферических катетеров, где достаточно 5 мл). </w:t>
            </w:r>
          </w:p>
        </w:tc>
      </w:tr>
      <w:tr w:rsidR="008C1767" w:rsidRPr="00952000" w14:paraId="65751010" w14:textId="77777777" w:rsidTr="00CD5E09">
        <w:trPr>
          <w:cantSplit/>
          <w:trHeight w:val="1920"/>
        </w:trPr>
        <w:tc>
          <w:tcPr>
            <w:tcW w:w="534" w:type="dxa"/>
            <w:vMerge/>
            <w:textDirection w:val="btLr"/>
          </w:tcPr>
          <w:p w14:paraId="72C32407" w14:textId="77777777" w:rsidR="008C1767" w:rsidRPr="00952000" w:rsidRDefault="008C1767" w:rsidP="00CD5E09">
            <w:pPr>
              <w:ind w:left="113" w:right="113"/>
              <w:rPr>
                <w:rFonts w:eastAsia="ＭＳ 明朝 (Основной текст темы (ази"/>
                <w:szCs w:val="24"/>
              </w:rPr>
            </w:pPr>
          </w:p>
        </w:tc>
        <w:tc>
          <w:tcPr>
            <w:tcW w:w="2011" w:type="dxa"/>
            <w:shd w:val="clear" w:color="auto" w:fill="auto"/>
          </w:tcPr>
          <w:p w14:paraId="434A1DAC" w14:textId="77777777" w:rsidR="008C1767" w:rsidRPr="00952000" w:rsidRDefault="008C1767" w:rsidP="00CD5E09">
            <w:pPr>
              <w:rPr>
                <w:rFonts w:eastAsia="ＭＳ 明朝 (Основной текст темы (ази"/>
                <w:szCs w:val="24"/>
              </w:rPr>
            </w:pPr>
            <w:r w:rsidRPr="00952000">
              <w:rPr>
                <w:rFonts w:eastAsia="ＭＳ 明朝 (Основной текст темы (ази"/>
                <w:szCs w:val="24"/>
              </w:rPr>
              <w:t>Парентеральное питание, компоненты крови</w:t>
            </w:r>
          </w:p>
        </w:tc>
        <w:tc>
          <w:tcPr>
            <w:tcW w:w="7026" w:type="dxa"/>
            <w:shd w:val="clear" w:color="auto" w:fill="auto"/>
          </w:tcPr>
          <w:p w14:paraId="0D613684" w14:textId="77777777" w:rsidR="008C1767" w:rsidRPr="00952000" w:rsidRDefault="008C1767" w:rsidP="00CD5E09">
            <w:pPr>
              <w:rPr>
                <w:rFonts w:eastAsia="ＭＳ 明朝 (Основной текст темы (ази"/>
                <w:szCs w:val="24"/>
              </w:rPr>
            </w:pPr>
            <w:r w:rsidRPr="00952000">
              <w:rPr>
                <w:rFonts w:eastAsia="ＭＳ 明朝 (Основной текст темы (ази"/>
                <w:szCs w:val="24"/>
              </w:rPr>
              <w:t>После введения в катетер компонентов крови или парентерально питания использовать 20 мл (10 мл х 2) для промывания катетера. Промывать необходимо чередуя импульсный режим и струйное болюсное введение.</w:t>
            </w:r>
          </w:p>
        </w:tc>
      </w:tr>
      <w:tr w:rsidR="008C1767" w:rsidRPr="00952000" w14:paraId="7DF010AD" w14:textId="77777777" w:rsidTr="00CD5E09">
        <w:trPr>
          <w:cantSplit/>
          <w:trHeight w:val="1134"/>
        </w:trPr>
        <w:tc>
          <w:tcPr>
            <w:tcW w:w="534" w:type="dxa"/>
            <w:vMerge w:val="restart"/>
            <w:textDirection w:val="btLr"/>
          </w:tcPr>
          <w:p w14:paraId="56F612CC" w14:textId="77777777" w:rsidR="008C1767" w:rsidRPr="00952000" w:rsidRDefault="008C1767" w:rsidP="00CD5E09">
            <w:pPr>
              <w:ind w:left="113" w:right="113"/>
              <w:rPr>
                <w:rFonts w:eastAsia="ＭＳ 明朝 (Основной текст темы (ази"/>
                <w:szCs w:val="24"/>
              </w:rPr>
            </w:pPr>
            <w:r w:rsidRPr="00952000">
              <w:rPr>
                <w:rFonts w:eastAsia="ＭＳ 明朝 (Основной текст темы (ази"/>
                <w:szCs w:val="24"/>
              </w:rPr>
              <w:t>Закрытие катетера</w:t>
            </w:r>
          </w:p>
        </w:tc>
        <w:tc>
          <w:tcPr>
            <w:tcW w:w="2011" w:type="dxa"/>
            <w:shd w:val="clear" w:color="auto" w:fill="auto"/>
          </w:tcPr>
          <w:p w14:paraId="393C05E9" w14:textId="77777777" w:rsidR="008C1767" w:rsidRPr="00952000" w:rsidRDefault="008C1767" w:rsidP="00CD5E09">
            <w:pPr>
              <w:rPr>
                <w:rFonts w:eastAsia="ＭＳ 明朝 (Основной текст темы (ази"/>
                <w:szCs w:val="24"/>
              </w:rPr>
            </w:pPr>
            <w:r w:rsidRPr="00952000">
              <w:rPr>
                <w:rFonts w:eastAsia="ＭＳ 明朝 (Основной текст темы (ази"/>
                <w:szCs w:val="24"/>
              </w:rPr>
              <w:t xml:space="preserve">Объем </w:t>
            </w:r>
          </w:p>
        </w:tc>
        <w:tc>
          <w:tcPr>
            <w:tcW w:w="7026" w:type="dxa"/>
            <w:shd w:val="clear" w:color="auto" w:fill="auto"/>
          </w:tcPr>
          <w:p w14:paraId="4EBB8167" w14:textId="77777777" w:rsidR="008C1767" w:rsidRPr="00952000" w:rsidRDefault="008C1767" w:rsidP="00CD5E09">
            <w:pPr>
              <w:rPr>
                <w:rFonts w:eastAsia="ＭＳ 明朝 (Основной текст темы (ази"/>
                <w:szCs w:val="24"/>
              </w:rPr>
            </w:pPr>
            <w:r w:rsidRPr="00952000">
              <w:rPr>
                <w:rFonts w:eastAsia="ＭＳ 明朝 (Основной текст темы (ази"/>
                <w:szCs w:val="24"/>
              </w:rPr>
              <w:t>1 мл для периферических катетеров</w:t>
            </w:r>
          </w:p>
          <w:p w14:paraId="0A602A62" w14:textId="77777777" w:rsidR="008C1767" w:rsidRPr="00952000" w:rsidRDefault="008C1767" w:rsidP="00CD5E09">
            <w:pPr>
              <w:rPr>
                <w:rFonts w:eastAsia="ＭＳ 明朝 (Основной текст темы (ази"/>
                <w:szCs w:val="24"/>
              </w:rPr>
            </w:pPr>
            <w:r w:rsidRPr="00952000">
              <w:rPr>
                <w:rFonts w:eastAsia="ＭＳ 明朝 (Основной текст темы (ази"/>
                <w:szCs w:val="24"/>
              </w:rPr>
              <w:t xml:space="preserve">1,5 мл для катетеров типа </w:t>
            </w:r>
            <w:r w:rsidRPr="00952000">
              <w:rPr>
                <w:rFonts w:eastAsia="ＭＳ 明朝 (Основной текст темы (ази"/>
                <w:szCs w:val="24"/>
                <w:lang w:val="en-US"/>
              </w:rPr>
              <w:t>MidLine</w:t>
            </w:r>
            <w:r w:rsidRPr="00952000">
              <w:rPr>
                <w:rFonts w:eastAsia="ＭＳ 明朝 (Основной текст темы (ази"/>
                <w:szCs w:val="24"/>
              </w:rPr>
              <w:t>, ПИЦВК, нетуннелируемых ЦВК и туннелируемых ЦВК с небольшим (</w:t>
            </w:r>
            <w:r w:rsidRPr="00952000">
              <w:rPr>
                <w:rFonts w:eastAsia="MS Gothic"/>
                <w:szCs w:val="24"/>
              </w:rPr>
              <w:t>≤1 мм)</w:t>
            </w:r>
            <w:r w:rsidRPr="00952000">
              <w:rPr>
                <w:rFonts w:eastAsia="ＭＳ 明朝 (Основной текст темы (ази"/>
                <w:szCs w:val="24"/>
              </w:rPr>
              <w:t xml:space="preserve"> внутренним диаметром </w:t>
            </w:r>
          </w:p>
          <w:p w14:paraId="26469C8A" w14:textId="77777777" w:rsidR="008C1767" w:rsidRPr="00952000" w:rsidRDefault="008C1767" w:rsidP="00CD5E09">
            <w:pPr>
              <w:rPr>
                <w:rFonts w:eastAsia="ＭＳ 明朝 (Основной текст темы (ази"/>
                <w:szCs w:val="24"/>
              </w:rPr>
            </w:pPr>
            <w:r w:rsidRPr="00952000">
              <w:rPr>
                <w:rFonts w:eastAsia="ＭＳ 明朝 (Основной текст темы (ази"/>
                <w:szCs w:val="24"/>
              </w:rPr>
              <w:t>2,0-2,5 мл для туннелируемых ЦВК с большим (≥</w:t>
            </w:r>
            <w:r w:rsidRPr="00952000">
              <w:rPr>
                <w:rFonts w:eastAsia="MS Gothic"/>
                <w:szCs w:val="24"/>
              </w:rPr>
              <w:t>1 мм)</w:t>
            </w:r>
            <w:r w:rsidRPr="00952000">
              <w:rPr>
                <w:rFonts w:eastAsia="ＭＳ 明朝 (Основной текст темы (ази"/>
                <w:szCs w:val="24"/>
              </w:rPr>
              <w:t xml:space="preserve"> внутренним диаметром (в каждый ход), порт систем</w:t>
            </w:r>
          </w:p>
        </w:tc>
      </w:tr>
      <w:tr w:rsidR="008C1767" w:rsidRPr="00952000" w14:paraId="259F0A63" w14:textId="77777777" w:rsidTr="00CD5E09">
        <w:trPr>
          <w:cantSplit/>
          <w:trHeight w:val="1134"/>
        </w:trPr>
        <w:tc>
          <w:tcPr>
            <w:tcW w:w="534" w:type="dxa"/>
            <w:vMerge/>
            <w:textDirection w:val="btLr"/>
          </w:tcPr>
          <w:p w14:paraId="7DBCC60A" w14:textId="77777777" w:rsidR="008C1767" w:rsidRPr="00952000" w:rsidRDefault="008C1767" w:rsidP="00CD5E09">
            <w:pPr>
              <w:ind w:left="113" w:right="113"/>
              <w:rPr>
                <w:rFonts w:eastAsia="ＭＳ 明朝 (Основной текст темы (ази"/>
                <w:szCs w:val="24"/>
              </w:rPr>
            </w:pPr>
          </w:p>
        </w:tc>
        <w:tc>
          <w:tcPr>
            <w:tcW w:w="2011" w:type="dxa"/>
            <w:shd w:val="clear" w:color="auto" w:fill="auto"/>
          </w:tcPr>
          <w:p w14:paraId="4E065DF3" w14:textId="77777777" w:rsidR="008C1767" w:rsidRPr="00952000" w:rsidRDefault="008C1767" w:rsidP="00CD5E09">
            <w:pPr>
              <w:rPr>
                <w:rFonts w:eastAsia="ＭＳ 明朝 (Основной текст темы (ази"/>
                <w:szCs w:val="24"/>
              </w:rPr>
            </w:pPr>
            <w:r w:rsidRPr="00952000">
              <w:rPr>
                <w:rFonts w:eastAsia="ＭＳ 明朝 (Основной текст темы (ази"/>
                <w:szCs w:val="24"/>
              </w:rPr>
              <w:t>Режимы</w:t>
            </w:r>
          </w:p>
        </w:tc>
        <w:tc>
          <w:tcPr>
            <w:tcW w:w="7026" w:type="dxa"/>
            <w:shd w:val="clear" w:color="auto" w:fill="auto"/>
          </w:tcPr>
          <w:p w14:paraId="654F17E7" w14:textId="77777777" w:rsidR="008C1767" w:rsidRPr="00952000" w:rsidRDefault="008C1767" w:rsidP="00CD5E09">
            <w:pPr>
              <w:rPr>
                <w:rFonts w:eastAsia="ＭＳ 明朝 (Основной текст темы (ази"/>
                <w:szCs w:val="24"/>
              </w:rPr>
            </w:pPr>
            <w:r w:rsidRPr="00952000">
              <w:rPr>
                <w:rFonts w:eastAsia="ＭＳ 明朝 (Основной текст темы (ази"/>
                <w:szCs w:val="24"/>
              </w:rPr>
              <w:t>Каждые 8-24 ч для кратковременных ЦВК</w:t>
            </w:r>
          </w:p>
          <w:p w14:paraId="2654F6F3" w14:textId="77777777" w:rsidR="008C1767" w:rsidRPr="00952000" w:rsidRDefault="008C1767" w:rsidP="00CD5E09">
            <w:pPr>
              <w:rPr>
                <w:rFonts w:eastAsia="ＭＳ 明朝 (Основной текст темы (ази"/>
                <w:szCs w:val="24"/>
              </w:rPr>
            </w:pPr>
            <w:r w:rsidRPr="00952000">
              <w:rPr>
                <w:rFonts w:eastAsia="ＭＳ 明朝 (Основной текст темы (ази"/>
                <w:szCs w:val="24"/>
              </w:rPr>
              <w:t>Еженедельно – для туннелируемых ЦВК и ПИЦВК</w:t>
            </w:r>
          </w:p>
          <w:p w14:paraId="24928FB0" w14:textId="77777777" w:rsidR="008C1767" w:rsidRPr="00952000" w:rsidRDefault="008C1767" w:rsidP="00CD5E09">
            <w:pPr>
              <w:rPr>
                <w:rFonts w:eastAsia="ＭＳ 明朝 (Основной текст темы (ази"/>
                <w:szCs w:val="24"/>
              </w:rPr>
            </w:pPr>
            <w:r w:rsidRPr="00952000">
              <w:rPr>
                <w:rFonts w:eastAsia="ＭＳ 明朝 (Основной текст темы (ази"/>
                <w:szCs w:val="24"/>
              </w:rPr>
              <w:t>Каждые 6-8 недель для порт-систем</w:t>
            </w:r>
          </w:p>
        </w:tc>
      </w:tr>
    </w:tbl>
    <w:p w14:paraId="615E3B53" w14:textId="77777777" w:rsidR="008C1767" w:rsidRPr="00952000" w:rsidRDefault="008C1767" w:rsidP="008C1767">
      <w:pPr>
        <w:rPr>
          <w:b/>
          <w:bCs/>
          <w:szCs w:val="24"/>
        </w:rPr>
      </w:pPr>
    </w:p>
    <w:p w14:paraId="3F75C66B" w14:textId="77777777" w:rsidR="008C1767" w:rsidRDefault="008C1767" w:rsidP="008C1767">
      <w:pPr>
        <w:rPr>
          <w:b/>
          <w:bCs/>
          <w:szCs w:val="24"/>
        </w:rPr>
      </w:pPr>
    </w:p>
    <w:p w14:paraId="2449C7DF" w14:textId="77777777" w:rsidR="008C1767" w:rsidRPr="009F4EC0" w:rsidRDefault="008C1767" w:rsidP="008C1767">
      <w:pPr>
        <w:rPr>
          <w:i/>
          <w:iCs/>
          <w:szCs w:val="24"/>
          <w:u w:val="single"/>
        </w:rPr>
      </w:pPr>
      <w:r w:rsidRPr="009F4EC0">
        <w:rPr>
          <w:i/>
          <w:iCs/>
          <w:szCs w:val="24"/>
          <w:u w:val="single"/>
        </w:rPr>
        <w:lastRenderedPageBreak/>
        <w:t>Алгоритм действий врача</w:t>
      </w:r>
    </w:p>
    <w:p w14:paraId="3D85770D" w14:textId="77777777" w:rsidR="008C1767" w:rsidRPr="00952000" w:rsidRDefault="008C1767" w:rsidP="008C1767">
      <w:pPr>
        <w:rPr>
          <w:szCs w:val="24"/>
        </w:rPr>
      </w:pPr>
      <w:r w:rsidRPr="00952000">
        <w:rPr>
          <w:szCs w:val="24"/>
        </w:rPr>
        <w:tab/>
        <w:t>Манипуляция проводится только при наличии информированного согласия на проведение катетеризации.</w:t>
      </w:r>
    </w:p>
    <w:p w14:paraId="4434FAAD" w14:textId="77777777" w:rsidR="008C1767" w:rsidRPr="009F4EC0" w:rsidRDefault="008C1767" w:rsidP="008C1767">
      <w:pPr>
        <w:pStyle w:val="afff3"/>
        <w:widowControl/>
        <w:numPr>
          <w:ilvl w:val="0"/>
          <w:numId w:val="214"/>
        </w:numPr>
        <w:autoSpaceDE/>
        <w:autoSpaceDN/>
        <w:adjustRightInd/>
        <w:rPr>
          <w:szCs w:val="24"/>
        </w:rPr>
      </w:pPr>
      <w:r w:rsidRPr="009F4EC0">
        <w:rPr>
          <w:szCs w:val="24"/>
        </w:rPr>
        <w:t>Физикальный осмотр</w:t>
      </w:r>
    </w:p>
    <w:p w14:paraId="3F81873B" w14:textId="77777777" w:rsidR="008C1767" w:rsidRPr="009F4EC0" w:rsidRDefault="008C1767" w:rsidP="008C1767">
      <w:pPr>
        <w:pStyle w:val="afff3"/>
        <w:widowControl/>
        <w:numPr>
          <w:ilvl w:val="0"/>
          <w:numId w:val="214"/>
        </w:numPr>
        <w:autoSpaceDE/>
        <w:autoSpaceDN/>
        <w:adjustRightInd/>
        <w:rPr>
          <w:szCs w:val="24"/>
        </w:rPr>
      </w:pPr>
      <w:r w:rsidRPr="009F4EC0">
        <w:rPr>
          <w:szCs w:val="24"/>
        </w:rPr>
        <w:t xml:space="preserve">Выбор типа ЦВК после физикального осмотра, сбора анамнеза, ознакомления с результатами лабораторных и инструментальных методов исследования. </w:t>
      </w:r>
    </w:p>
    <w:p w14:paraId="672DA7BD" w14:textId="77777777" w:rsidR="008C1767" w:rsidRPr="009F4EC0" w:rsidRDefault="008C1767" w:rsidP="008C1767">
      <w:pPr>
        <w:pStyle w:val="afff3"/>
        <w:widowControl/>
        <w:numPr>
          <w:ilvl w:val="0"/>
          <w:numId w:val="214"/>
        </w:numPr>
        <w:autoSpaceDE/>
        <w:autoSpaceDN/>
        <w:adjustRightInd/>
        <w:rPr>
          <w:szCs w:val="24"/>
        </w:rPr>
      </w:pPr>
      <w:r w:rsidRPr="009F4EC0">
        <w:rPr>
          <w:szCs w:val="24"/>
        </w:rPr>
        <w:t>Дуплексное сканирование вен в месте планируемой установки ЦВК (определяется диаметр вены, наличие сдавления вен в месте пункции и по ходу установленного ЦВК, тромба в просвете вен, наличие клапанного аппарата и его состоятельность. Устанавливать ЦВК в вену, диаметр которой не превышает 50% диаметра катетера и/или выявлен тромбоз недопустимо).</w:t>
      </w:r>
    </w:p>
    <w:p w14:paraId="5D88FE89" w14:textId="77777777" w:rsidR="008C1767" w:rsidRPr="009F4EC0" w:rsidRDefault="008C1767" w:rsidP="008C1767">
      <w:pPr>
        <w:pStyle w:val="afff3"/>
        <w:widowControl/>
        <w:numPr>
          <w:ilvl w:val="0"/>
          <w:numId w:val="214"/>
        </w:numPr>
        <w:autoSpaceDE/>
        <w:autoSpaceDN/>
        <w:adjustRightInd/>
        <w:rPr>
          <w:szCs w:val="24"/>
        </w:rPr>
      </w:pPr>
      <w:r w:rsidRPr="009F4EC0">
        <w:rPr>
          <w:szCs w:val="24"/>
        </w:rPr>
        <w:t>Имплантация ЦВК с обязательным позиционированием дистального конца у кава-атриального соединения в случае катетеризации ВПВ и кава-атриального соединения или ниже устья почечных вен при катетеризации НПВ.</w:t>
      </w:r>
    </w:p>
    <w:p w14:paraId="6B99B7CA" w14:textId="77777777" w:rsidR="008C1767" w:rsidRPr="009F4EC0" w:rsidRDefault="008C1767" w:rsidP="008C1767">
      <w:pPr>
        <w:pStyle w:val="afff3"/>
        <w:widowControl/>
        <w:numPr>
          <w:ilvl w:val="0"/>
          <w:numId w:val="214"/>
        </w:numPr>
        <w:autoSpaceDE/>
        <w:autoSpaceDN/>
        <w:adjustRightInd/>
        <w:rPr>
          <w:szCs w:val="24"/>
        </w:rPr>
      </w:pPr>
      <w:r w:rsidRPr="009F4EC0">
        <w:rPr>
          <w:szCs w:val="24"/>
        </w:rPr>
        <w:t>Закрепление катетера на коже больного у места выхода с использованием шовных материалов или устройств бесшовной фиксации.</w:t>
      </w:r>
    </w:p>
    <w:p w14:paraId="032CC16A" w14:textId="77777777" w:rsidR="008C1767" w:rsidRPr="009F4EC0" w:rsidRDefault="008C1767" w:rsidP="008C1767">
      <w:pPr>
        <w:pStyle w:val="afff3"/>
        <w:widowControl/>
        <w:numPr>
          <w:ilvl w:val="0"/>
          <w:numId w:val="214"/>
        </w:numPr>
        <w:autoSpaceDE/>
        <w:autoSpaceDN/>
        <w:adjustRightInd/>
        <w:rPr>
          <w:szCs w:val="24"/>
        </w:rPr>
      </w:pPr>
      <w:r w:rsidRPr="009F4EC0">
        <w:rPr>
          <w:szCs w:val="24"/>
        </w:rPr>
        <w:t>Наложение асептической повязки.</w:t>
      </w:r>
    </w:p>
    <w:p w14:paraId="6704AAE4" w14:textId="77777777" w:rsidR="008C1767" w:rsidRPr="009F4EC0" w:rsidRDefault="008C1767" w:rsidP="008C1767">
      <w:pPr>
        <w:pStyle w:val="afff3"/>
        <w:widowControl/>
        <w:numPr>
          <w:ilvl w:val="0"/>
          <w:numId w:val="214"/>
        </w:numPr>
        <w:autoSpaceDE/>
        <w:autoSpaceDN/>
        <w:adjustRightInd/>
        <w:rPr>
          <w:szCs w:val="24"/>
        </w:rPr>
      </w:pPr>
      <w:r w:rsidRPr="009F4EC0">
        <w:rPr>
          <w:szCs w:val="24"/>
        </w:rPr>
        <w:t>Заполнение протокола катетеризации с обязательным указанием ранних осложнений, количества попыток катетеризации, типа установленного ЦВК.</w:t>
      </w:r>
    </w:p>
    <w:p w14:paraId="391CCD30" w14:textId="77777777" w:rsidR="008C1767" w:rsidRPr="00952000" w:rsidRDefault="008C1767" w:rsidP="008C1767">
      <w:pPr>
        <w:rPr>
          <w:szCs w:val="24"/>
        </w:rPr>
      </w:pPr>
    </w:p>
    <w:p w14:paraId="20F88B8C" w14:textId="77777777" w:rsidR="008C1767" w:rsidRPr="008635A0" w:rsidRDefault="008C1767" w:rsidP="008C1767">
      <w:pPr>
        <w:ind w:firstLine="708"/>
        <w:rPr>
          <w:bCs/>
          <w:i/>
          <w:iCs/>
          <w:szCs w:val="24"/>
        </w:rPr>
      </w:pPr>
      <w:r w:rsidRPr="008635A0">
        <w:rPr>
          <w:bCs/>
          <w:i/>
          <w:iCs/>
          <w:spacing w:val="2"/>
          <w:szCs w:val="24"/>
          <w:shd w:val="clear" w:color="auto" w:fill="FFFFFF"/>
        </w:rPr>
        <w:t>Дополнительные сведения об особенностях выполнения обработки катетера (смена повязки):</w:t>
      </w:r>
    </w:p>
    <w:p w14:paraId="7A0E3CEB" w14:textId="77777777" w:rsidR="008C1767" w:rsidRPr="001352F1" w:rsidRDefault="008C1767" w:rsidP="008C1767">
      <w:pPr>
        <w:pStyle w:val="afff3"/>
        <w:widowControl/>
        <w:numPr>
          <w:ilvl w:val="0"/>
          <w:numId w:val="212"/>
        </w:numPr>
        <w:autoSpaceDE/>
        <w:autoSpaceDN/>
        <w:adjustRightInd/>
        <w:rPr>
          <w:b/>
          <w:szCs w:val="24"/>
        </w:rPr>
      </w:pPr>
      <w:r w:rsidRPr="008635A0">
        <w:rPr>
          <w:spacing w:val="2"/>
          <w:szCs w:val="24"/>
          <w:shd w:val="clear" w:color="auto" w:fill="FFFFFF"/>
        </w:rPr>
        <w:t>При проведении процедуры обработки (перевязки) с ЦВК пациент может</w:t>
      </w:r>
      <w:r w:rsidRPr="001352F1">
        <w:rPr>
          <w:spacing w:val="2"/>
          <w:szCs w:val="24"/>
          <w:shd w:val="clear" w:color="auto" w:fill="FFFFFF"/>
        </w:rPr>
        <w:t xml:space="preserve"> сидеть или лежать на спине, рука, на стороне которой в вене находится катетер, расположена вдоль туловища. При применении дополнительных зажимов не катетере снятие заглушки не связано с фазой дыхания. При проведении процедуры с катетером, находящимся в бедренной вене, ножной конец кровати опущен на 25°. Снятие заглушки не связано с фазой дыхания.</w:t>
      </w:r>
    </w:p>
    <w:p w14:paraId="0F43F304" w14:textId="77777777" w:rsidR="008C1767" w:rsidRPr="00952000" w:rsidRDefault="008C1767" w:rsidP="008C1767">
      <w:pPr>
        <w:pStyle w:val="afff3"/>
        <w:widowControl/>
        <w:numPr>
          <w:ilvl w:val="0"/>
          <w:numId w:val="212"/>
        </w:numPr>
        <w:autoSpaceDE/>
        <w:autoSpaceDN/>
        <w:adjustRightInd/>
        <w:rPr>
          <w:szCs w:val="24"/>
        </w:rPr>
      </w:pPr>
      <w:r w:rsidRPr="00952000">
        <w:rPr>
          <w:spacing w:val="2"/>
          <w:szCs w:val="24"/>
          <w:shd w:val="clear" w:color="auto" w:fill="FFFFFF"/>
        </w:rPr>
        <w:t>При смене повязки у пациентов с чувствительной кожей рекомендуется нанести стерильное барьерное средство для защиты кожи вокруг места установки сосудистого катетера и дождаться полного его высыхания.</w:t>
      </w:r>
    </w:p>
    <w:p w14:paraId="3CCEACCE" w14:textId="77777777" w:rsidR="008C1767" w:rsidRPr="00952000" w:rsidRDefault="008C1767" w:rsidP="008C1767">
      <w:pPr>
        <w:pStyle w:val="afff3"/>
        <w:widowControl/>
        <w:numPr>
          <w:ilvl w:val="0"/>
          <w:numId w:val="212"/>
        </w:numPr>
        <w:autoSpaceDE/>
        <w:autoSpaceDN/>
        <w:adjustRightInd/>
        <w:rPr>
          <w:szCs w:val="24"/>
        </w:rPr>
      </w:pPr>
      <w:r w:rsidRPr="00952000">
        <w:rPr>
          <w:spacing w:val="2"/>
          <w:szCs w:val="24"/>
          <w:shd w:val="clear" w:color="auto" w:fill="FFFFFF"/>
        </w:rPr>
        <w:t xml:space="preserve">Выбор повязки необходимо осуществлять с учетом индивидуальных особенностей пациента. Если существуют предрасполагающие к развитию инфекции факторы (длительность стояния ЦВК свыше трех суток; сниженный иммунный статус (онкологические пациенты и т.д.); повышенный риск </w:t>
      </w:r>
      <w:r w:rsidRPr="00952000">
        <w:rPr>
          <w:spacing w:val="2"/>
          <w:szCs w:val="24"/>
          <w:shd w:val="clear" w:color="auto" w:fill="FFFFFF"/>
        </w:rPr>
        <w:lastRenderedPageBreak/>
        <w:t>колонизации катетера), то рекомендуется выбирать прозрачную полиуретановую повязку, содержащую гелевую подушечку с хлоргексидином. Для прочих случаев оптимальным выбором является стерильная прозрачная повязка.</w:t>
      </w:r>
    </w:p>
    <w:p w14:paraId="5FC83832" w14:textId="77777777" w:rsidR="008C1767" w:rsidRPr="00952000" w:rsidRDefault="008C1767" w:rsidP="008C1767">
      <w:pPr>
        <w:pStyle w:val="afff3"/>
        <w:widowControl/>
        <w:numPr>
          <w:ilvl w:val="0"/>
          <w:numId w:val="212"/>
        </w:numPr>
        <w:autoSpaceDE/>
        <w:autoSpaceDN/>
        <w:adjustRightInd/>
        <w:rPr>
          <w:szCs w:val="24"/>
        </w:rPr>
      </w:pPr>
      <w:r w:rsidRPr="00952000">
        <w:rPr>
          <w:spacing w:val="2"/>
          <w:szCs w:val="24"/>
          <w:shd w:val="clear" w:color="auto" w:fill="FFFFFF"/>
        </w:rPr>
        <w:t>Если наблюдается кровоточивость вокруг места входа катетера в первые сутки после его введения, допустимо использование нетканой повязки с впитывающей подушечкой, которая подлежи</w:t>
      </w:r>
      <w:r>
        <w:rPr>
          <w:spacing w:val="2"/>
          <w:szCs w:val="24"/>
          <w:shd w:val="clear" w:color="auto" w:fill="FFFFFF"/>
        </w:rPr>
        <w:t>т замене на прозрачную через 24</w:t>
      </w:r>
      <w:r w:rsidRPr="00952000">
        <w:rPr>
          <w:spacing w:val="2"/>
          <w:szCs w:val="24"/>
          <w:shd w:val="clear" w:color="auto" w:fill="FFFFFF"/>
        </w:rPr>
        <w:t>ч.</w:t>
      </w:r>
    </w:p>
    <w:p w14:paraId="1F20BC72" w14:textId="77777777" w:rsidR="008C1767" w:rsidRPr="00952000" w:rsidRDefault="008C1767" w:rsidP="008C1767">
      <w:pPr>
        <w:pStyle w:val="afff3"/>
        <w:widowControl/>
        <w:numPr>
          <w:ilvl w:val="0"/>
          <w:numId w:val="212"/>
        </w:numPr>
        <w:autoSpaceDE/>
        <w:autoSpaceDN/>
        <w:adjustRightInd/>
        <w:rPr>
          <w:szCs w:val="24"/>
        </w:rPr>
      </w:pPr>
      <w:r w:rsidRPr="00952000">
        <w:rPr>
          <w:spacing w:val="2"/>
          <w:szCs w:val="24"/>
          <w:shd w:val="clear" w:color="auto" w:fill="FFFFFF"/>
        </w:rPr>
        <w:t>Замена прозрачных полиуретановых повязок на ЦВК производится каждые 5-7 сут (при условии, что фиксация не нарушена, нет выделений, сохранен обзор).</w:t>
      </w:r>
    </w:p>
    <w:p w14:paraId="45EA1291" w14:textId="77777777" w:rsidR="008C1767" w:rsidRDefault="008C1767" w:rsidP="008C1767">
      <w:pPr>
        <w:pStyle w:val="afff3"/>
        <w:widowControl/>
        <w:numPr>
          <w:ilvl w:val="0"/>
          <w:numId w:val="212"/>
        </w:numPr>
        <w:autoSpaceDE/>
        <w:autoSpaceDN/>
        <w:adjustRightInd/>
        <w:rPr>
          <w:spacing w:val="2"/>
          <w:szCs w:val="24"/>
          <w:shd w:val="clear" w:color="auto" w:fill="FFFFFF"/>
        </w:rPr>
      </w:pPr>
      <w:r w:rsidRPr="00952000">
        <w:rPr>
          <w:spacing w:val="2"/>
          <w:szCs w:val="24"/>
          <w:shd w:val="clear" w:color="auto" w:fill="FFFFFF"/>
        </w:rPr>
        <w:t>Визуальный осмотр места установки сосудистого катетера проводить не реже 1 раза в сутки</w:t>
      </w:r>
    </w:p>
    <w:p w14:paraId="3FD72482" w14:textId="76551703" w:rsidR="008C1767" w:rsidRDefault="008C1767" w:rsidP="008C1767">
      <w:pPr>
        <w:spacing w:line="240" w:lineRule="auto"/>
        <w:ind w:left="640" w:hanging="640"/>
        <w:rPr>
          <w:szCs w:val="24"/>
        </w:rPr>
      </w:pPr>
    </w:p>
    <w:p w14:paraId="220F196A" w14:textId="7CE527F1" w:rsidR="004F12DD" w:rsidRPr="004F12DD" w:rsidRDefault="00086DD6" w:rsidP="004905C2">
      <w:pPr>
        <w:pStyle w:val="2"/>
      </w:pPr>
      <w:bookmarkStart w:id="404" w:name="_Toc64565678"/>
      <w:r w:rsidRPr="00B7347C">
        <w:t xml:space="preserve">Приложение </w:t>
      </w:r>
      <w:r>
        <w:t>А3.1</w:t>
      </w:r>
      <w:r w:rsidRPr="004F12DD">
        <w:t>1</w:t>
      </w:r>
      <w:r>
        <w:t xml:space="preserve">. </w:t>
      </w:r>
      <w:r w:rsidR="004F12DD" w:rsidRPr="008F721B">
        <w:t xml:space="preserve">Лечение пациента </w:t>
      </w:r>
      <w:r w:rsidR="004854AE">
        <w:t xml:space="preserve">с лейкозом </w:t>
      </w:r>
      <w:r w:rsidR="004F12DD" w:rsidRPr="008F721B">
        <w:t>в отделении реанимации и интенсивной терапии</w:t>
      </w:r>
      <w:bookmarkEnd w:id="404"/>
    </w:p>
    <w:p w14:paraId="384EBA92" w14:textId="77777777" w:rsidR="004F12DD" w:rsidRDefault="004F12DD" w:rsidP="004F12DD">
      <w:pPr>
        <w:ind w:firstLine="709"/>
        <w:rPr>
          <w:szCs w:val="24"/>
        </w:rPr>
      </w:pPr>
    </w:p>
    <w:p w14:paraId="3F583C52" w14:textId="1DDA9C4B" w:rsidR="004F12DD" w:rsidRPr="008F721B" w:rsidRDefault="004F12DD" w:rsidP="004F12DD">
      <w:pPr>
        <w:ind w:firstLine="709"/>
        <w:rPr>
          <w:szCs w:val="24"/>
        </w:rPr>
      </w:pPr>
      <w:r w:rsidRPr="008F721B">
        <w:rPr>
          <w:szCs w:val="24"/>
        </w:rPr>
        <w:t xml:space="preserve">У пациентов </w:t>
      </w:r>
      <w:r w:rsidR="004854AE">
        <w:rPr>
          <w:szCs w:val="24"/>
        </w:rPr>
        <w:t>с лейкозом</w:t>
      </w:r>
      <w:r w:rsidRPr="008F721B">
        <w:rPr>
          <w:szCs w:val="24"/>
        </w:rPr>
        <w:t xml:space="preserve"> на этапах диагностики, лечения, наблюдения могут развиваться различные критические состояния вследствие разнообразных причин. Одна из наиболее частых причин, приводящих к этому – цитопения, которая возникает в результате опухолевой инфильтрации костного мозга или по причине проводимой химиотерапии, и может осложниться тяжелой инфекцией (пневмония, сепсис и др.) или жизнеугрожающими кровотечениями. Также при лечении впервые диагностированного онкогематологического заболевания может развиться синдром массивного лизиса</w:t>
      </w:r>
      <w:r w:rsidRPr="00B563E0">
        <w:rPr>
          <w:szCs w:val="24"/>
        </w:rPr>
        <w:t xml:space="preserve"> </w:t>
      </w:r>
      <w:r>
        <w:rPr>
          <w:szCs w:val="24"/>
        </w:rPr>
        <w:t>опухоли, сопровождающейся</w:t>
      </w:r>
      <w:r w:rsidRPr="008F721B">
        <w:rPr>
          <w:szCs w:val="24"/>
        </w:rPr>
        <w:t xml:space="preserve"> острой почечной недостаточностью (ОПН), метаболическими нарушениями, острой дыхательной недостаточностью (ОДН). Для лечения этих критических состояний и поддержания жизнеобеспечения требуется перевод пациентов в отделение реанимации и интенсивной</w:t>
      </w:r>
      <w:r>
        <w:rPr>
          <w:szCs w:val="24"/>
        </w:rPr>
        <w:t xml:space="preserve"> терапии (ОРИТ). </w:t>
      </w:r>
    </w:p>
    <w:p w14:paraId="370EE1FE" w14:textId="0DE056AB" w:rsidR="004F12DD" w:rsidRPr="008F721B" w:rsidRDefault="004F12DD" w:rsidP="004F12DD">
      <w:pPr>
        <w:ind w:firstLine="708"/>
        <w:rPr>
          <w:szCs w:val="24"/>
        </w:rPr>
      </w:pPr>
      <w:r w:rsidRPr="008F721B">
        <w:rPr>
          <w:szCs w:val="24"/>
        </w:rPr>
        <w:t xml:space="preserve">Интенсивная терапия критических состояний, возникших у пациентов с </w:t>
      </w:r>
      <w:r w:rsidR="004854AE">
        <w:rPr>
          <w:szCs w:val="24"/>
        </w:rPr>
        <w:t xml:space="preserve">лейкозом </w:t>
      </w:r>
      <w:r w:rsidRPr="008F721B">
        <w:rPr>
          <w:szCs w:val="24"/>
        </w:rPr>
        <w:t xml:space="preserve">во время химиотерапии (ХТ), – это нередко единственный путь к их излечению, в ней нуждается почти четверть больных с гемобластозами, без нее невозможно полноценно реализовать индукционную химиотерапию у больных с жизнеугрожающими состояниями. </w:t>
      </w:r>
    </w:p>
    <w:p w14:paraId="51009CB2" w14:textId="0DEA48FA" w:rsidR="004F12DD" w:rsidRPr="003C0A4C" w:rsidRDefault="004F12DD" w:rsidP="004F12DD">
      <w:pPr>
        <w:ind w:firstLine="708"/>
        <w:rPr>
          <w:szCs w:val="24"/>
        </w:rPr>
      </w:pPr>
      <w:r w:rsidRPr="008F721B">
        <w:rPr>
          <w:szCs w:val="24"/>
        </w:rPr>
        <w:t xml:space="preserve">Необходимость создания специализированных ОРИТ для гематологических пациентов обусловлена как высокой частотой развития критических осложнений во время индукционных курсов ХТ, так и успешным лечением этих осложнений и последующей благоприятной долгосрочной перспективой при достижении ремиссии заболевания. Наличие критических синдромов и жизнеугрожающих состояний не является </w:t>
      </w:r>
      <w:r w:rsidRPr="008F721B">
        <w:rPr>
          <w:szCs w:val="24"/>
        </w:rPr>
        <w:lastRenderedPageBreak/>
        <w:t xml:space="preserve">противопоказанием для проведения ХТ. Так, от 15% до 47% больных </w:t>
      </w:r>
      <w:r w:rsidRPr="003C0A4C">
        <w:rPr>
          <w:szCs w:val="24"/>
        </w:rPr>
        <w:t xml:space="preserve">онкогематологическими заболеваниями нуждаются в переводе в ОРИТ во время лечения. </w:t>
      </w:r>
    </w:p>
    <w:p w14:paraId="4EA8205E" w14:textId="56EB52F2" w:rsidR="004F12DD" w:rsidRDefault="007916D1" w:rsidP="004F12DD">
      <w:pPr>
        <w:ind w:firstLine="709"/>
        <w:rPr>
          <w:szCs w:val="24"/>
        </w:rPr>
      </w:pPr>
      <w:r>
        <w:rPr>
          <w:szCs w:val="24"/>
        </w:rPr>
        <w:t>О</w:t>
      </w:r>
      <w:r w:rsidR="004F12DD" w:rsidRPr="003C0A4C">
        <w:rPr>
          <w:szCs w:val="24"/>
        </w:rPr>
        <w:t xml:space="preserve">сновные жизнеугрожающие синдромы, при которых требуется перевод больных </w:t>
      </w:r>
      <w:r>
        <w:rPr>
          <w:szCs w:val="24"/>
        </w:rPr>
        <w:t>с лейкозами</w:t>
      </w:r>
      <w:r w:rsidR="004F12DD" w:rsidRPr="003C0A4C">
        <w:rPr>
          <w:szCs w:val="24"/>
        </w:rPr>
        <w:t xml:space="preserve"> в ОРИТ: ОДН в 30–51% случаев, сепсис и СШ в 8 – 42%, острая патология ЦНС - в 7 – 17%, кровотечения - в 1 – 22%, ОПН -  в 3,2 – 5%. Медиана пребывания в ОРИТ обычно составляет от 3 до 13 суток (0-97). Жизнеугрожающие состояния у этих больных развиваются преимущественно в начале лечения, а стоимость лечения от 2 до 20 раз выше по сравнению со стоимостью лечения пациентов в ОРИТ без о</w:t>
      </w:r>
      <w:r>
        <w:rPr>
          <w:szCs w:val="24"/>
        </w:rPr>
        <w:t xml:space="preserve">нкогематологических заболеваний </w:t>
      </w:r>
      <w:r w:rsidRPr="003C0A4C">
        <w:rPr>
          <w:szCs w:val="24"/>
        </w:rPr>
        <w:t>(таб. 1)</w:t>
      </w:r>
      <w:r>
        <w:rPr>
          <w:szCs w:val="24"/>
        </w:rPr>
        <w:t>.</w:t>
      </w:r>
    </w:p>
    <w:p w14:paraId="22EE86B3" w14:textId="77777777" w:rsidR="004F12DD" w:rsidRPr="003C0A4C" w:rsidRDefault="004F12DD" w:rsidP="004F12DD">
      <w:pPr>
        <w:rPr>
          <w:szCs w:val="24"/>
        </w:rPr>
      </w:pPr>
    </w:p>
    <w:p w14:paraId="33B23E9F" w14:textId="0B62D6E1" w:rsidR="004F12DD" w:rsidRPr="008F721B" w:rsidRDefault="007916D1" w:rsidP="004F12DD">
      <w:pPr>
        <w:rPr>
          <w:szCs w:val="24"/>
        </w:rPr>
      </w:pPr>
      <w:r>
        <w:rPr>
          <w:szCs w:val="24"/>
        </w:rPr>
        <w:t>Таблица 1</w:t>
      </w:r>
      <w:r w:rsidR="004F12DD" w:rsidRPr="003C0A4C">
        <w:rPr>
          <w:szCs w:val="24"/>
        </w:rPr>
        <w:t xml:space="preserve">. Причины перевода в ОРИТ пациентов с </w:t>
      </w:r>
      <w:r w:rsidR="004854AE">
        <w:rPr>
          <w:szCs w:val="24"/>
        </w:rPr>
        <w:t>лейкозами</w:t>
      </w:r>
    </w:p>
    <w:tbl>
      <w:tblPr>
        <w:tblStyle w:val="ae"/>
        <w:tblW w:w="5000" w:type="pct"/>
        <w:tblLayout w:type="fixed"/>
        <w:tblLook w:val="04A0" w:firstRow="1" w:lastRow="0" w:firstColumn="1" w:lastColumn="0" w:noHBand="0" w:noVBand="1"/>
      </w:tblPr>
      <w:tblGrid>
        <w:gridCol w:w="2390"/>
        <w:gridCol w:w="795"/>
        <w:gridCol w:w="916"/>
        <w:gridCol w:w="1139"/>
        <w:gridCol w:w="1284"/>
        <w:gridCol w:w="853"/>
        <w:gridCol w:w="963"/>
        <w:gridCol w:w="1008"/>
      </w:tblGrid>
      <w:tr w:rsidR="004F12DD" w:rsidRPr="008F721B" w14:paraId="213E557F" w14:textId="77777777" w:rsidTr="00CD5E09">
        <w:trPr>
          <w:trHeight w:val="401"/>
        </w:trPr>
        <w:tc>
          <w:tcPr>
            <w:tcW w:w="1279" w:type="pct"/>
            <w:vMerge w:val="restart"/>
          </w:tcPr>
          <w:p w14:paraId="58191913" w14:textId="77777777" w:rsidR="004F12DD" w:rsidRPr="008F721B" w:rsidRDefault="004F12DD" w:rsidP="00CD5E09">
            <w:pPr>
              <w:rPr>
                <w:szCs w:val="24"/>
              </w:rPr>
            </w:pPr>
            <w:r w:rsidRPr="008F721B">
              <w:rPr>
                <w:szCs w:val="24"/>
              </w:rPr>
              <w:t>Источник</w:t>
            </w:r>
          </w:p>
        </w:tc>
        <w:tc>
          <w:tcPr>
            <w:tcW w:w="3721" w:type="pct"/>
            <w:gridSpan w:val="7"/>
          </w:tcPr>
          <w:p w14:paraId="55E3DA66" w14:textId="77777777" w:rsidR="004F12DD" w:rsidRPr="008F721B" w:rsidRDefault="004F12DD" w:rsidP="00CD5E09">
            <w:pPr>
              <w:jc w:val="center"/>
              <w:rPr>
                <w:szCs w:val="24"/>
              </w:rPr>
            </w:pPr>
            <w:r w:rsidRPr="008F721B">
              <w:rPr>
                <w:szCs w:val="24"/>
              </w:rPr>
              <w:t>Причины перевода в ОРИТ</w:t>
            </w:r>
          </w:p>
        </w:tc>
      </w:tr>
      <w:tr w:rsidR="004F12DD" w:rsidRPr="008F721B" w14:paraId="18B1E2F5" w14:textId="77777777" w:rsidTr="00CD5E09">
        <w:trPr>
          <w:cantSplit/>
          <w:trHeight w:val="2544"/>
        </w:trPr>
        <w:tc>
          <w:tcPr>
            <w:tcW w:w="1279" w:type="pct"/>
            <w:vMerge/>
          </w:tcPr>
          <w:p w14:paraId="6F62A5D3" w14:textId="77777777" w:rsidR="004F12DD" w:rsidRPr="008F721B" w:rsidRDefault="004F12DD" w:rsidP="00CD5E09">
            <w:pPr>
              <w:rPr>
                <w:szCs w:val="24"/>
              </w:rPr>
            </w:pPr>
          </w:p>
        </w:tc>
        <w:tc>
          <w:tcPr>
            <w:tcW w:w="425" w:type="pct"/>
            <w:textDirection w:val="btLr"/>
          </w:tcPr>
          <w:p w14:paraId="368094CD" w14:textId="77777777" w:rsidR="004F12DD" w:rsidRPr="008F721B" w:rsidRDefault="004F12DD" w:rsidP="00CD5E09">
            <w:pPr>
              <w:ind w:left="113" w:right="113"/>
              <w:rPr>
                <w:szCs w:val="24"/>
              </w:rPr>
            </w:pPr>
            <w:r w:rsidRPr="008F721B">
              <w:rPr>
                <w:szCs w:val="24"/>
              </w:rPr>
              <w:t>ОДН, %</w:t>
            </w:r>
          </w:p>
        </w:tc>
        <w:tc>
          <w:tcPr>
            <w:tcW w:w="490" w:type="pct"/>
            <w:textDirection w:val="btLr"/>
          </w:tcPr>
          <w:p w14:paraId="7DD94DC4" w14:textId="77777777" w:rsidR="004F12DD" w:rsidRPr="008F721B" w:rsidRDefault="004F12DD" w:rsidP="00CD5E09">
            <w:pPr>
              <w:ind w:left="113" w:right="113"/>
              <w:rPr>
                <w:szCs w:val="24"/>
              </w:rPr>
            </w:pPr>
            <w:r w:rsidRPr="008F721B">
              <w:rPr>
                <w:szCs w:val="24"/>
              </w:rPr>
              <w:t>Сепсис, СШ, %</w:t>
            </w:r>
          </w:p>
        </w:tc>
        <w:tc>
          <w:tcPr>
            <w:tcW w:w="609" w:type="pct"/>
            <w:textDirection w:val="btLr"/>
          </w:tcPr>
          <w:p w14:paraId="14895B7B" w14:textId="77777777" w:rsidR="004F12DD" w:rsidRPr="008F721B" w:rsidRDefault="004F12DD" w:rsidP="00CD5E09">
            <w:pPr>
              <w:ind w:left="113" w:right="113"/>
              <w:rPr>
                <w:szCs w:val="24"/>
              </w:rPr>
            </w:pPr>
            <w:r w:rsidRPr="008F721B">
              <w:rPr>
                <w:szCs w:val="24"/>
              </w:rPr>
              <w:t>Острая патология</w:t>
            </w:r>
          </w:p>
          <w:p w14:paraId="74873A26" w14:textId="77777777" w:rsidR="004F12DD" w:rsidRPr="008F721B" w:rsidRDefault="004F12DD" w:rsidP="00CD5E09">
            <w:pPr>
              <w:ind w:left="113" w:right="113"/>
              <w:rPr>
                <w:szCs w:val="24"/>
              </w:rPr>
            </w:pPr>
            <w:r w:rsidRPr="008F721B">
              <w:rPr>
                <w:szCs w:val="24"/>
              </w:rPr>
              <w:t>ЦНС, %</w:t>
            </w:r>
          </w:p>
        </w:tc>
        <w:tc>
          <w:tcPr>
            <w:tcW w:w="687" w:type="pct"/>
            <w:textDirection w:val="btLr"/>
          </w:tcPr>
          <w:p w14:paraId="02CEB40D" w14:textId="77777777" w:rsidR="004F12DD" w:rsidRPr="008F721B" w:rsidRDefault="004F12DD" w:rsidP="00CD5E09">
            <w:pPr>
              <w:ind w:left="113" w:right="113"/>
              <w:rPr>
                <w:szCs w:val="24"/>
              </w:rPr>
            </w:pPr>
            <w:r w:rsidRPr="008F721B">
              <w:rPr>
                <w:szCs w:val="24"/>
              </w:rPr>
              <w:t>Нарушение ритма сердца, %</w:t>
            </w:r>
          </w:p>
        </w:tc>
        <w:tc>
          <w:tcPr>
            <w:tcW w:w="456" w:type="pct"/>
            <w:textDirection w:val="btLr"/>
          </w:tcPr>
          <w:p w14:paraId="4EDE0E18" w14:textId="77777777" w:rsidR="004F12DD" w:rsidRPr="008F721B" w:rsidRDefault="004F12DD" w:rsidP="00CD5E09">
            <w:pPr>
              <w:ind w:left="113" w:right="113"/>
              <w:rPr>
                <w:szCs w:val="24"/>
              </w:rPr>
            </w:pPr>
            <w:r w:rsidRPr="008F721B">
              <w:rPr>
                <w:szCs w:val="24"/>
              </w:rPr>
              <w:t>ОПН, %</w:t>
            </w:r>
          </w:p>
        </w:tc>
        <w:tc>
          <w:tcPr>
            <w:tcW w:w="515" w:type="pct"/>
            <w:textDirection w:val="btLr"/>
          </w:tcPr>
          <w:p w14:paraId="37CF917A" w14:textId="77777777" w:rsidR="004F12DD" w:rsidRPr="008F721B" w:rsidRDefault="004F12DD" w:rsidP="00CD5E09">
            <w:pPr>
              <w:ind w:left="113" w:right="113"/>
              <w:rPr>
                <w:szCs w:val="24"/>
              </w:rPr>
            </w:pPr>
            <w:r w:rsidRPr="008F721B">
              <w:rPr>
                <w:szCs w:val="24"/>
              </w:rPr>
              <w:t>Кровотечения, %</w:t>
            </w:r>
          </w:p>
        </w:tc>
        <w:tc>
          <w:tcPr>
            <w:tcW w:w="536" w:type="pct"/>
            <w:textDirection w:val="btLr"/>
          </w:tcPr>
          <w:p w14:paraId="310CCF3C" w14:textId="77777777" w:rsidR="004F12DD" w:rsidRPr="008F721B" w:rsidRDefault="004F12DD" w:rsidP="00CD5E09">
            <w:pPr>
              <w:ind w:left="113" w:right="113"/>
              <w:rPr>
                <w:szCs w:val="24"/>
              </w:rPr>
            </w:pPr>
            <w:r w:rsidRPr="008F721B">
              <w:rPr>
                <w:szCs w:val="24"/>
              </w:rPr>
              <w:t>Прочее,</w:t>
            </w:r>
          </w:p>
          <w:p w14:paraId="53770970" w14:textId="77777777" w:rsidR="004F12DD" w:rsidRPr="008F721B" w:rsidRDefault="004F12DD" w:rsidP="00CD5E09">
            <w:pPr>
              <w:ind w:left="113" w:right="113"/>
              <w:rPr>
                <w:szCs w:val="24"/>
              </w:rPr>
            </w:pPr>
            <w:r w:rsidRPr="008F721B">
              <w:rPr>
                <w:szCs w:val="24"/>
              </w:rPr>
              <w:t>%</w:t>
            </w:r>
          </w:p>
        </w:tc>
      </w:tr>
      <w:tr w:rsidR="004F12DD" w:rsidRPr="008F721B" w14:paraId="7A21D097" w14:textId="77777777" w:rsidTr="00CD5E09">
        <w:trPr>
          <w:trHeight w:val="802"/>
        </w:trPr>
        <w:tc>
          <w:tcPr>
            <w:tcW w:w="1279" w:type="pct"/>
          </w:tcPr>
          <w:p w14:paraId="7B5C9F9A" w14:textId="7D562536" w:rsidR="004F12DD" w:rsidRPr="00B563E0" w:rsidRDefault="004F12DD" w:rsidP="00CD5E09">
            <w:pPr>
              <w:rPr>
                <w:szCs w:val="24"/>
              </w:rPr>
            </w:pPr>
            <w:r w:rsidRPr="008F721B">
              <w:rPr>
                <w:szCs w:val="24"/>
              </w:rPr>
              <w:t>Воробьев А.И. и соавт.</w:t>
            </w:r>
            <w:r>
              <w:rPr>
                <w:szCs w:val="24"/>
              </w:rPr>
              <w:t>,</w:t>
            </w:r>
            <w:r w:rsidRPr="00B563E0">
              <w:rPr>
                <w:szCs w:val="24"/>
              </w:rPr>
              <w:t xml:space="preserve"> 1993 </w:t>
            </w:r>
            <w:r>
              <w:rPr>
                <w:szCs w:val="24"/>
                <w:lang w:val="en-US"/>
              </w:rPr>
              <w:fldChar w:fldCharType="begin" w:fldLock="1"/>
            </w:r>
            <w:r w:rsidR="00A67ED2">
              <w:rPr>
                <w:szCs w:val="24"/>
                <w:lang w:val="en-US"/>
              </w:rPr>
              <w:instrText>ADDIN</w:instrText>
            </w:r>
            <w:r w:rsidR="00A67ED2" w:rsidRPr="009034B5">
              <w:rPr>
                <w:szCs w:val="24"/>
              </w:rPr>
              <w:instrText xml:space="preserve"> </w:instrText>
            </w:r>
            <w:r w:rsidR="00A67ED2">
              <w:rPr>
                <w:szCs w:val="24"/>
                <w:lang w:val="en-US"/>
              </w:rPr>
              <w:instrText>CSL</w:instrText>
            </w:r>
            <w:r w:rsidR="00A67ED2" w:rsidRPr="009034B5">
              <w:rPr>
                <w:szCs w:val="24"/>
              </w:rPr>
              <w:instrText>_</w:instrText>
            </w:r>
            <w:r w:rsidR="00A67ED2">
              <w:rPr>
                <w:szCs w:val="24"/>
                <w:lang w:val="en-US"/>
              </w:rPr>
              <w:instrText>CITATION</w:instrText>
            </w:r>
            <w:r w:rsidR="00A67ED2" w:rsidRPr="009034B5">
              <w:rPr>
                <w:szCs w:val="24"/>
              </w:rPr>
              <w:instrText xml:space="preserve"> {"</w:instrText>
            </w:r>
            <w:r w:rsidR="00A67ED2">
              <w:rPr>
                <w:szCs w:val="24"/>
                <w:lang w:val="en-US"/>
              </w:rPr>
              <w:instrText>citationItems</w:instrText>
            </w:r>
            <w:r w:rsidR="00A67ED2" w:rsidRPr="009034B5">
              <w:rPr>
                <w:szCs w:val="24"/>
              </w:rPr>
              <w:instrText>":[{"</w:instrText>
            </w:r>
            <w:r w:rsidR="00A67ED2">
              <w:rPr>
                <w:szCs w:val="24"/>
                <w:lang w:val="en-US"/>
              </w:rPr>
              <w:instrText>id</w:instrText>
            </w:r>
            <w:r w:rsidR="00A67ED2" w:rsidRPr="009034B5">
              <w:rPr>
                <w:szCs w:val="24"/>
              </w:rPr>
              <w:instrText>":"</w:instrText>
            </w:r>
            <w:r w:rsidR="00A67ED2">
              <w:rPr>
                <w:szCs w:val="24"/>
                <w:lang w:val="en-US"/>
              </w:rPr>
              <w:instrText>ITEM</w:instrText>
            </w:r>
            <w:r w:rsidR="00A67ED2" w:rsidRPr="009034B5">
              <w:rPr>
                <w:szCs w:val="24"/>
              </w:rPr>
              <w:instrText>-1","</w:instrText>
            </w:r>
            <w:r w:rsidR="00A67ED2">
              <w:rPr>
                <w:szCs w:val="24"/>
                <w:lang w:val="en-US"/>
              </w:rPr>
              <w:instrText>itemData</w:instrText>
            </w:r>
            <w:r w:rsidR="00A67ED2" w:rsidRPr="009034B5">
              <w:rPr>
                <w:szCs w:val="24"/>
              </w:rPr>
              <w:instrText>":{"</w:instrText>
            </w:r>
            <w:r w:rsidR="00A67ED2">
              <w:rPr>
                <w:szCs w:val="24"/>
                <w:lang w:val="en-US"/>
              </w:rPr>
              <w:instrText>author</w:instrText>
            </w:r>
            <w:r w:rsidR="00A67ED2" w:rsidRPr="009034B5">
              <w:rPr>
                <w:szCs w:val="24"/>
              </w:rPr>
              <w:instrText>":[{"</w:instrText>
            </w:r>
            <w:r w:rsidR="00A67ED2">
              <w:rPr>
                <w:szCs w:val="24"/>
                <w:lang w:val="en-US"/>
              </w:rPr>
              <w:instrText>dropping</w:instrText>
            </w:r>
            <w:r w:rsidR="00A67ED2" w:rsidRPr="009034B5">
              <w:rPr>
                <w:szCs w:val="24"/>
              </w:rPr>
              <w:instrText>-</w:instrText>
            </w:r>
            <w:r w:rsidR="00A67ED2">
              <w:rPr>
                <w:szCs w:val="24"/>
                <w:lang w:val="en-US"/>
              </w:rPr>
              <w:instrText>particle</w:instrText>
            </w:r>
            <w:r w:rsidR="00A67ED2" w:rsidRPr="009034B5">
              <w:rPr>
                <w:szCs w:val="24"/>
              </w:rPr>
              <w:instrText>":"","</w:instrText>
            </w:r>
            <w:r w:rsidR="00A67ED2">
              <w:rPr>
                <w:szCs w:val="24"/>
                <w:lang w:val="en-US"/>
              </w:rPr>
              <w:instrText>family</w:instrText>
            </w:r>
            <w:r w:rsidR="00A67ED2" w:rsidRPr="009034B5">
              <w:rPr>
                <w:szCs w:val="24"/>
              </w:rPr>
              <w:instrText>":"Воробьев","</w:instrText>
            </w:r>
            <w:r w:rsidR="00A67ED2">
              <w:rPr>
                <w:szCs w:val="24"/>
                <w:lang w:val="en-US"/>
              </w:rPr>
              <w:instrText>given</w:instrText>
            </w:r>
            <w:r w:rsidR="00A67ED2" w:rsidRPr="009034B5">
              <w:rPr>
                <w:szCs w:val="24"/>
              </w:rPr>
              <w:instrText>":"А.И.","</w:instrText>
            </w:r>
            <w:r w:rsidR="00A67ED2">
              <w:rPr>
                <w:szCs w:val="24"/>
                <w:lang w:val="en-US"/>
              </w:rPr>
              <w:instrText>non</w:instrText>
            </w:r>
            <w:r w:rsidR="00A67ED2" w:rsidRPr="009034B5">
              <w:rPr>
                <w:szCs w:val="24"/>
              </w:rPr>
              <w:instrText>-</w:instrText>
            </w:r>
            <w:r w:rsidR="00A67ED2">
              <w:rPr>
                <w:szCs w:val="24"/>
                <w:lang w:val="en-US"/>
              </w:rPr>
              <w:instrText>dropping</w:instrText>
            </w:r>
            <w:r w:rsidR="00A67ED2" w:rsidRPr="009034B5">
              <w:rPr>
                <w:szCs w:val="24"/>
              </w:rPr>
              <w:instrText>-</w:instrText>
            </w:r>
            <w:r w:rsidR="00A67ED2">
              <w:rPr>
                <w:szCs w:val="24"/>
                <w:lang w:val="en-US"/>
              </w:rPr>
              <w:instrText>particle</w:instrText>
            </w:r>
            <w:r w:rsidR="00A67ED2" w:rsidRPr="009034B5">
              <w:rPr>
                <w:szCs w:val="24"/>
              </w:rPr>
              <w:instrText>":"","</w:instrText>
            </w:r>
            <w:r w:rsidR="00A67ED2">
              <w:rPr>
                <w:szCs w:val="24"/>
                <w:lang w:val="en-US"/>
              </w:rPr>
              <w:instrText>parse</w:instrText>
            </w:r>
            <w:r w:rsidR="00A67ED2" w:rsidRPr="009034B5">
              <w:rPr>
                <w:szCs w:val="24"/>
              </w:rPr>
              <w:instrText>-</w:instrText>
            </w:r>
            <w:r w:rsidR="00A67ED2">
              <w:rPr>
                <w:szCs w:val="24"/>
                <w:lang w:val="en-US"/>
              </w:rPr>
              <w:instrText>names</w:instrText>
            </w:r>
            <w:r w:rsidR="00A67ED2" w:rsidRPr="009034B5">
              <w:rPr>
                <w:szCs w:val="24"/>
              </w:rPr>
              <w:instrText>":</w:instrText>
            </w:r>
            <w:r w:rsidR="00A67ED2">
              <w:rPr>
                <w:szCs w:val="24"/>
                <w:lang w:val="en-US"/>
              </w:rPr>
              <w:instrText>false</w:instrText>
            </w:r>
            <w:r w:rsidR="00A67ED2" w:rsidRPr="009034B5">
              <w:rPr>
                <w:szCs w:val="24"/>
              </w:rPr>
              <w:instrText>,"</w:instrText>
            </w:r>
            <w:r w:rsidR="00A67ED2">
              <w:rPr>
                <w:szCs w:val="24"/>
                <w:lang w:val="en-US"/>
              </w:rPr>
              <w:instrText>suffix</w:instrText>
            </w:r>
            <w:r w:rsidR="00A67ED2" w:rsidRPr="009034B5">
              <w:rPr>
                <w:szCs w:val="24"/>
              </w:rPr>
              <w:instrText>":""},{"</w:instrText>
            </w:r>
            <w:r w:rsidR="00A67ED2">
              <w:rPr>
                <w:szCs w:val="24"/>
                <w:lang w:val="en-US"/>
              </w:rPr>
              <w:instrText>dropping</w:instrText>
            </w:r>
            <w:r w:rsidR="00A67ED2" w:rsidRPr="009034B5">
              <w:rPr>
                <w:szCs w:val="24"/>
              </w:rPr>
              <w:instrText>-</w:instrText>
            </w:r>
            <w:r w:rsidR="00A67ED2">
              <w:rPr>
                <w:szCs w:val="24"/>
                <w:lang w:val="en-US"/>
              </w:rPr>
              <w:instrText>particle</w:instrText>
            </w:r>
            <w:r w:rsidR="00A67ED2" w:rsidRPr="009034B5">
              <w:rPr>
                <w:szCs w:val="24"/>
              </w:rPr>
              <w:instrText>":"","</w:instrText>
            </w:r>
            <w:r w:rsidR="00A67ED2">
              <w:rPr>
                <w:szCs w:val="24"/>
                <w:lang w:val="en-US"/>
              </w:rPr>
              <w:instrText>family</w:instrText>
            </w:r>
            <w:r w:rsidR="00A67ED2" w:rsidRPr="009034B5">
              <w:rPr>
                <w:szCs w:val="24"/>
              </w:rPr>
              <w:instrText>":"Горелов","</w:instrText>
            </w:r>
            <w:r w:rsidR="00A67ED2">
              <w:rPr>
                <w:szCs w:val="24"/>
                <w:lang w:val="en-US"/>
              </w:rPr>
              <w:instrText>given</w:instrText>
            </w:r>
            <w:r w:rsidR="00A67ED2" w:rsidRPr="009034B5">
              <w:rPr>
                <w:szCs w:val="24"/>
              </w:rPr>
              <w:instrText>":"В.Г.","</w:instrText>
            </w:r>
            <w:r w:rsidR="00A67ED2">
              <w:rPr>
                <w:szCs w:val="24"/>
                <w:lang w:val="en-US"/>
              </w:rPr>
              <w:instrText>non</w:instrText>
            </w:r>
            <w:r w:rsidR="00A67ED2" w:rsidRPr="009034B5">
              <w:rPr>
                <w:szCs w:val="24"/>
              </w:rPr>
              <w:instrText>-</w:instrText>
            </w:r>
            <w:r w:rsidR="00A67ED2">
              <w:rPr>
                <w:szCs w:val="24"/>
                <w:lang w:val="en-US"/>
              </w:rPr>
              <w:instrText>dropping</w:instrText>
            </w:r>
            <w:r w:rsidR="00A67ED2" w:rsidRPr="009034B5">
              <w:rPr>
                <w:szCs w:val="24"/>
              </w:rPr>
              <w:instrText>-</w:instrText>
            </w:r>
            <w:r w:rsidR="00A67ED2">
              <w:rPr>
                <w:szCs w:val="24"/>
                <w:lang w:val="en-US"/>
              </w:rPr>
              <w:instrText>particle</w:instrText>
            </w:r>
            <w:r w:rsidR="00A67ED2" w:rsidRPr="009034B5">
              <w:rPr>
                <w:szCs w:val="24"/>
              </w:rPr>
              <w:instrText>":"","</w:instrText>
            </w:r>
            <w:r w:rsidR="00A67ED2">
              <w:rPr>
                <w:szCs w:val="24"/>
                <w:lang w:val="en-US"/>
              </w:rPr>
              <w:instrText>parse</w:instrText>
            </w:r>
            <w:r w:rsidR="00A67ED2" w:rsidRPr="009034B5">
              <w:rPr>
                <w:szCs w:val="24"/>
              </w:rPr>
              <w:instrText>-</w:instrText>
            </w:r>
            <w:r w:rsidR="00A67ED2">
              <w:rPr>
                <w:szCs w:val="24"/>
                <w:lang w:val="en-US"/>
              </w:rPr>
              <w:instrText>names</w:instrText>
            </w:r>
            <w:r w:rsidR="00A67ED2" w:rsidRPr="009034B5">
              <w:rPr>
                <w:szCs w:val="24"/>
              </w:rPr>
              <w:instrText>":</w:instrText>
            </w:r>
            <w:r w:rsidR="00A67ED2">
              <w:rPr>
                <w:szCs w:val="24"/>
                <w:lang w:val="en-US"/>
              </w:rPr>
              <w:instrText>false</w:instrText>
            </w:r>
            <w:r w:rsidR="00A67ED2" w:rsidRPr="009034B5">
              <w:rPr>
                <w:szCs w:val="24"/>
              </w:rPr>
              <w:instrText>,"</w:instrText>
            </w:r>
            <w:r w:rsidR="00A67ED2">
              <w:rPr>
                <w:szCs w:val="24"/>
                <w:lang w:val="en-US"/>
              </w:rPr>
              <w:instrText>suffix</w:instrText>
            </w:r>
            <w:r w:rsidR="00A67ED2" w:rsidRPr="009034B5">
              <w:rPr>
                <w:szCs w:val="24"/>
              </w:rPr>
              <w:instrText>":""},{"</w:instrText>
            </w:r>
            <w:r w:rsidR="00A67ED2">
              <w:rPr>
                <w:szCs w:val="24"/>
                <w:lang w:val="en-US"/>
              </w:rPr>
              <w:instrText>dropping</w:instrText>
            </w:r>
            <w:r w:rsidR="00A67ED2" w:rsidRPr="009034B5">
              <w:rPr>
                <w:szCs w:val="24"/>
              </w:rPr>
              <w:instrText>-</w:instrText>
            </w:r>
            <w:r w:rsidR="00A67ED2">
              <w:rPr>
                <w:szCs w:val="24"/>
                <w:lang w:val="en-US"/>
              </w:rPr>
              <w:instrText>particle</w:instrText>
            </w:r>
            <w:r w:rsidR="00A67ED2" w:rsidRPr="009034B5">
              <w:rPr>
                <w:szCs w:val="24"/>
              </w:rPr>
              <w:instrText>":"","</w:instrText>
            </w:r>
            <w:r w:rsidR="00A67ED2">
              <w:rPr>
                <w:szCs w:val="24"/>
                <w:lang w:val="en-US"/>
              </w:rPr>
              <w:instrText>family</w:instrText>
            </w:r>
            <w:r w:rsidR="00A67ED2" w:rsidRPr="009034B5">
              <w:rPr>
                <w:szCs w:val="24"/>
              </w:rPr>
              <w:instrText>":"Городецкий","</w:instrText>
            </w:r>
            <w:r w:rsidR="00A67ED2">
              <w:rPr>
                <w:szCs w:val="24"/>
                <w:lang w:val="en-US"/>
              </w:rPr>
              <w:instrText>given</w:instrText>
            </w:r>
            <w:r w:rsidR="00A67ED2" w:rsidRPr="009034B5">
              <w:rPr>
                <w:szCs w:val="24"/>
              </w:rPr>
              <w:instrText>":"В.М.","</w:instrText>
            </w:r>
            <w:r w:rsidR="00A67ED2">
              <w:rPr>
                <w:szCs w:val="24"/>
                <w:lang w:val="en-US"/>
              </w:rPr>
              <w:instrText>non</w:instrText>
            </w:r>
            <w:r w:rsidR="00A67ED2" w:rsidRPr="009034B5">
              <w:rPr>
                <w:szCs w:val="24"/>
              </w:rPr>
              <w:instrText>-</w:instrText>
            </w:r>
            <w:r w:rsidR="00A67ED2">
              <w:rPr>
                <w:szCs w:val="24"/>
                <w:lang w:val="en-US"/>
              </w:rPr>
              <w:instrText>dropping</w:instrText>
            </w:r>
            <w:r w:rsidR="00A67ED2" w:rsidRPr="009034B5">
              <w:rPr>
                <w:szCs w:val="24"/>
              </w:rPr>
              <w:instrText>-</w:instrText>
            </w:r>
            <w:r w:rsidR="00A67ED2">
              <w:rPr>
                <w:szCs w:val="24"/>
                <w:lang w:val="en-US"/>
              </w:rPr>
              <w:instrText>particle</w:instrText>
            </w:r>
            <w:r w:rsidR="00A67ED2" w:rsidRPr="009034B5">
              <w:rPr>
                <w:szCs w:val="24"/>
              </w:rPr>
              <w:instrText>":"","</w:instrText>
            </w:r>
            <w:r w:rsidR="00A67ED2">
              <w:rPr>
                <w:szCs w:val="24"/>
                <w:lang w:val="en-US"/>
              </w:rPr>
              <w:instrText>parse</w:instrText>
            </w:r>
            <w:r w:rsidR="00A67ED2" w:rsidRPr="009034B5">
              <w:rPr>
                <w:szCs w:val="24"/>
              </w:rPr>
              <w:instrText>-</w:instrText>
            </w:r>
            <w:r w:rsidR="00A67ED2">
              <w:rPr>
                <w:szCs w:val="24"/>
                <w:lang w:val="en-US"/>
              </w:rPr>
              <w:instrText>names</w:instrText>
            </w:r>
            <w:r w:rsidR="00A67ED2" w:rsidRPr="009034B5">
              <w:rPr>
                <w:szCs w:val="24"/>
              </w:rPr>
              <w:instrText>":</w:instrText>
            </w:r>
            <w:r w:rsidR="00A67ED2">
              <w:rPr>
                <w:szCs w:val="24"/>
                <w:lang w:val="en-US"/>
              </w:rPr>
              <w:instrText>false</w:instrText>
            </w:r>
            <w:r w:rsidR="00A67ED2" w:rsidRPr="009034B5">
              <w:rPr>
                <w:szCs w:val="24"/>
              </w:rPr>
              <w:instrText>,"</w:instrText>
            </w:r>
            <w:r w:rsidR="00A67ED2">
              <w:rPr>
                <w:szCs w:val="24"/>
                <w:lang w:val="en-US"/>
              </w:rPr>
              <w:instrText>suffix</w:instrText>
            </w:r>
            <w:r w:rsidR="00A67ED2" w:rsidRPr="009034B5">
              <w:rPr>
                <w:szCs w:val="24"/>
              </w:rPr>
              <w:instrText>":""},{"</w:instrText>
            </w:r>
            <w:r w:rsidR="00A67ED2">
              <w:rPr>
                <w:szCs w:val="24"/>
                <w:lang w:val="en-US"/>
              </w:rPr>
              <w:instrText>dropping</w:instrText>
            </w:r>
            <w:r w:rsidR="00A67ED2" w:rsidRPr="009034B5">
              <w:rPr>
                <w:szCs w:val="24"/>
              </w:rPr>
              <w:instrText>-</w:instrText>
            </w:r>
            <w:r w:rsidR="00A67ED2">
              <w:rPr>
                <w:szCs w:val="24"/>
                <w:lang w:val="en-US"/>
              </w:rPr>
              <w:instrText>particle</w:instrText>
            </w:r>
            <w:r w:rsidR="00A67ED2" w:rsidRPr="009034B5">
              <w:rPr>
                <w:szCs w:val="24"/>
              </w:rPr>
              <w:instrText>":"","</w:instrText>
            </w:r>
            <w:r w:rsidR="00A67ED2">
              <w:rPr>
                <w:szCs w:val="24"/>
                <w:lang w:val="en-US"/>
              </w:rPr>
              <w:instrText>family</w:instrText>
            </w:r>
            <w:r w:rsidR="00A67ED2" w:rsidRPr="009034B5">
              <w:rPr>
                <w:szCs w:val="24"/>
              </w:rPr>
              <w:instrText>":"Шулутко","</w:instrText>
            </w:r>
            <w:r w:rsidR="00A67ED2">
              <w:rPr>
                <w:szCs w:val="24"/>
                <w:lang w:val="en-US"/>
              </w:rPr>
              <w:instrText>given</w:instrText>
            </w:r>
            <w:r w:rsidR="00A67ED2" w:rsidRPr="009034B5">
              <w:rPr>
                <w:szCs w:val="24"/>
              </w:rPr>
              <w:instrText>":"Е.М.","</w:instrText>
            </w:r>
            <w:r w:rsidR="00A67ED2">
              <w:rPr>
                <w:szCs w:val="24"/>
                <w:lang w:val="en-US"/>
              </w:rPr>
              <w:instrText>non</w:instrText>
            </w:r>
            <w:r w:rsidR="00A67ED2" w:rsidRPr="009034B5">
              <w:rPr>
                <w:szCs w:val="24"/>
              </w:rPr>
              <w:instrText>-</w:instrText>
            </w:r>
            <w:r w:rsidR="00A67ED2">
              <w:rPr>
                <w:szCs w:val="24"/>
                <w:lang w:val="en-US"/>
              </w:rPr>
              <w:instrText>dropping</w:instrText>
            </w:r>
            <w:r w:rsidR="00A67ED2" w:rsidRPr="009034B5">
              <w:rPr>
                <w:szCs w:val="24"/>
              </w:rPr>
              <w:instrText>-</w:instrText>
            </w:r>
            <w:r w:rsidR="00A67ED2">
              <w:rPr>
                <w:szCs w:val="24"/>
                <w:lang w:val="en-US"/>
              </w:rPr>
              <w:instrText>particle</w:instrText>
            </w:r>
            <w:r w:rsidR="00A67ED2" w:rsidRPr="009034B5">
              <w:rPr>
                <w:szCs w:val="24"/>
              </w:rPr>
              <w:instrText>":"","</w:instrText>
            </w:r>
            <w:r w:rsidR="00A67ED2">
              <w:rPr>
                <w:szCs w:val="24"/>
                <w:lang w:val="en-US"/>
              </w:rPr>
              <w:instrText>parse</w:instrText>
            </w:r>
            <w:r w:rsidR="00A67ED2" w:rsidRPr="009034B5">
              <w:rPr>
                <w:szCs w:val="24"/>
              </w:rPr>
              <w:instrText>-</w:instrText>
            </w:r>
            <w:r w:rsidR="00A67ED2">
              <w:rPr>
                <w:szCs w:val="24"/>
                <w:lang w:val="en-US"/>
              </w:rPr>
              <w:instrText>names</w:instrText>
            </w:r>
            <w:r w:rsidR="00A67ED2" w:rsidRPr="009034B5">
              <w:rPr>
                <w:szCs w:val="24"/>
              </w:rPr>
              <w:instrText>":</w:instrText>
            </w:r>
            <w:r w:rsidR="00A67ED2">
              <w:rPr>
                <w:szCs w:val="24"/>
                <w:lang w:val="en-US"/>
              </w:rPr>
              <w:instrText>false</w:instrText>
            </w:r>
            <w:r w:rsidR="00A67ED2" w:rsidRPr="009034B5">
              <w:rPr>
                <w:szCs w:val="24"/>
              </w:rPr>
              <w:instrText>,"</w:instrText>
            </w:r>
            <w:r w:rsidR="00A67ED2">
              <w:rPr>
                <w:szCs w:val="24"/>
                <w:lang w:val="en-US"/>
              </w:rPr>
              <w:instrText>suffix</w:instrText>
            </w:r>
            <w:r w:rsidR="00A67ED2" w:rsidRPr="009034B5">
              <w:rPr>
                <w:szCs w:val="24"/>
              </w:rPr>
              <w:instrText>":""}],"</w:instrText>
            </w:r>
            <w:r w:rsidR="00A67ED2">
              <w:rPr>
                <w:szCs w:val="24"/>
                <w:lang w:val="en-US"/>
              </w:rPr>
              <w:instrText>container</w:instrText>
            </w:r>
            <w:r w:rsidR="00A67ED2" w:rsidRPr="009034B5">
              <w:rPr>
                <w:szCs w:val="24"/>
              </w:rPr>
              <w:instrText>-</w:instrText>
            </w:r>
            <w:r w:rsidR="00A67ED2">
              <w:rPr>
                <w:szCs w:val="24"/>
                <w:lang w:val="en-US"/>
              </w:rPr>
              <w:instrText>title</w:instrText>
            </w:r>
            <w:r w:rsidR="00A67ED2" w:rsidRPr="009034B5">
              <w:rPr>
                <w:szCs w:val="24"/>
              </w:rPr>
              <w:instrText>":"Терапевтический архив","</w:instrText>
            </w:r>
            <w:r w:rsidR="00A67ED2">
              <w:rPr>
                <w:szCs w:val="24"/>
                <w:lang w:val="en-US"/>
              </w:rPr>
              <w:instrText>id</w:instrText>
            </w:r>
            <w:r w:rsidR="00A67ED2" w:rsidRPr="009034B5">
              <w:rPr>
                <w:szCs w:val="24"/>
              </w:rPr>
              <w:instrText>":"</w:instrText>
            </w:r>
            <w:r w:rsidR="00A67ED2">
              <w:rPr>
                <w:szCs w:val="24"/>
                <w:lang w:val="en-US"/>
              </w:rPr>
              <w:instrText>ITEM</w:instrText>
            </w:r>
            <w:r w:rsidR="00A67ED2" w:rsidRPr="009034B5">
              <w:rPr>
                <w:szCs w:val="24"/>
              </w:rPr>
              <w:instrText>-1","</w:instrText>
            </w:r>
            <w:r w:rsidR="00A67ED2">
              <w:rPr>
                <w:szCs w:val="24"/>
                <w:lang w:val="en-US"/>
              </w:rPr>
              <w:instrText>issue</w:instrText>
            </w:r>
            <w:r w:rsidR="00A67ED2" w:rsidRPr="009034B5">
              <w:rPr>
                <w:szCs w:val="24"/>
              </w:rPr>
              <w:instrText>":"7","</w:instrText>
            </w:r>
            <w:r w:rsidR="00A67ED2">
              <w:rPr>
                <w:szCs w:val="24"/>
                <w:lang w:val="en-US"/>
              </w:rPr>
              <w:instrText>issued</w:instrText>
            </w:r>
            <w:r w:rsidR="00A67ED2" w:rsidRPr="009034B5">
              <w:rPr>
                <w:szCs w:val="24"/>
              </w:rPr>
              <w:instrText>":{"</w:instrText>
            </w:r>
            <w:r w:rsidR="00A67ED2">
              <w:rPr>
                <w:szCs w:val="24"/>
                <w:lang w:val="en-US"/>
              </w:rPr>
              <w:instrText>date</w:instrText>
            </w:r>
            <w:r w:rsidR="00A67ED2" w:rsidRPr="009034B5">
              <w:rPr>
                <w:szCs w:val="24"/>
              </w:rPr>
              <w:instrText>-</w:instrText>
            </w:r>
            <w:r w:rsidR="00A67ED2">
              <w:rPr>
                <w:szCs w:val="24"/>
                <w:lang w:val="en-US"/>
              </w:rPr>
              <w:instrText>parts</w:instrText>
            </w:r>
            <w:r w:rsidR="00A67ED2" w:rsidRPr="009034B5">
              <w:rPr>
                <w:szCs w:val="24"/>
              </w:rPr>
              <w:instrText>":[["1993"]]},"</w:instrText>
            </w:r>
            <w:r w:rsidR="00A67ED2">
              <w:rPr>
                <w:szCs w:val="24"/>
                <w:lang w:val="en-US"/>
              </w:rPr>
              <w:instrText>page</w:instrText>
            </w:r>
            <w:r w:rsidR="00A67ED2" w:rsidRPr="009034B5">
              <w:rPr>
                <w:szCs w:val="24"/>
              </w:rPr>
              <w:instrText>":"3-6","</w:instrText>
            </w:r>
            <w:r w:rsidR="00A67ED2">
              <w:rPr>
                <w:szCs w:val="24"/>
                <w:lang w:val="en-US"/>
              </w:rPr>
              <w:instrText>title</w:instrText>
            </w:r>
            <w:r w:rsidR="00A67ED2" w:rsidRPr="009034B5">
              <w:rPr>
                <w:szCs w:val="24"/>
              </w:rPr>
              <w:instrText>":"Критические состояния при гемобластозах (типичные формы и выживаемость в условиях отделения реанимации).","</w:instrText>
            </w:r>
            <w:r w:rsidR="00A67ED2">
              <w:rPr>
                <w:szCs w:val="24"/>
                <w:lang w:val="en-US"/>
              </w:rPr>
              <w:instrText>type</w:instrText>
            </w:r>
            <w:r w:rsidR="00A67ED2" w:rsidRPr="009034B5">
              <w:rPr>
                <w:szCs w:val="24"/>
              </w:rPr>
              <w:instrText>":"</w:instrText>
            </w:r>
            <w:r w:rsidR="00A67ED2">
              <w:rPr>
                <w:szCs w:val="24"/>
                <w:lang w:val="en-US"/>
              </w:rPr>
              <w:instrText>article</w:instrText>
            </w:r>
            <w:r w:rsidR="00A67ED2" w:rsidRPr="009034B5">
              <w:rPr>
                <w:szCs w:val="24"/>
              </w:rPr>
              <w:instrText>-</w:instrText>
            </w:r>
            <w:r w:rsidR="00A67ED2">
              <w:rPr>
                <w:szCs w:val="24"/>
                <w:lang w:val="en-US"/>
              </w:rPr>
              <w:instrText>journal</w:instrText>
            </w:r>
            <w:r w:rsidR="00A67ED2" w:rsidRPr="009034B5">
              <w:rPr>
                <w:szCs w:val="24"/>
              </w:rPr>
              <w:instrText>","</w:instrText>
            </w:r>
            <w:r w:rsidR="00A67ED2">
              <w:rPr>
                <w:szCs w:val="24"/>
                <w:lang w:val="en-US"/>
              </w:rPr>
              <w:instrText>volume</w:instrText>
            </w:r>
            <w:r w:rsidR="00A67ED2" w:rsidRPr="009034B5">
              <w:rPr>
                <w:szCs w:val="24"/>
              </w:rPr>
              <w:instrText>":"65"},"</w:instrText>
            </w:r>
            <w:r w:rsidR="00A67ED2">
              <w:rPr>
                <w:szCs w:val="24"/>
                <w:lang w:val="en-US"/>
              </w:rPr>
              <w:instrText>uris</w:instrText>
            </w:r>
            <w:r w:rsidR="00A67ED2" w:rsidRPr="009034B5">
              <w:rPr>
                <w:szCs w:val="24"/>
              </w:rPr>
              <w:instrText>":["</w:instrText>
            </w:r>
            <w:r w:rsidR="00A67ED2">
              <w:rPr>
                <w:szCs w:val="24"/>
                <w:lang w:val="en-US"/>
              </w:rPr>
              <w:instrText>http</w:instrText>
            </w:r>
            <w:r w:rsidR="00A67ED2" w:rsidRPr="009034B5">
              <w:rPr>
                <w:szCs w:val="24"/>
              </w:rPr>
              <w:instrText>://</w:instrText>
            </w:r>
            <w:r w:rsidR="00A67ED2">
              <w:rPr>
                <w:szCs w:val="24"/>
                <w:lang w:val="en-US"/>
              </w:rPr>
              <w:instrText>www</w:instrText>
            </w:r>
            <w:r w:rsidR="00A67ED2" w:rsidRPr="009034B5">
              <w:rPr>
                <w:szCs w:val="24"/>
              </w:rPr>
              <w:instrText>.</w:instrText>
            </w:r>
            <w:r w:rsidR="00A67ED2">
              <w:rPr>
                <w:szCs w:val="24"/>
                <w:lang w:val="en-US"/>
              </w:rPr>
              <w:instrText>mendeley</w:instrText>
            </w:r>
            <w:r w:rsidR="00A67ED2" w:rsidRPr="009034B5">
              <w:rPr>
                <w:szCs w:val="24"/>
              </w:rPr>
              <w:instrText>.</w:instrText>
            </w:r>
            <w:r w:rsidR="00A67ED2">
              <w:rPr>
                <w:szCs w:val="24"/>
                <w:lang w:val="en-US"/>
              </w:rPr>
              <w:instrText>com</w:instrText>
            </w:r>
            <w:r w:rsidR="00A67ED2" w:rsidRPr="009034B5">
              <w:rPr>
                <w:szCs w:val="24"/>
              </w:rPr>
              <w:instrText>/</w:instrText>
            </w:r>
            <w:r w:rsidR="00A67ED2">
              <w:rPr>
                <w:szCs w:val="24"/>
                <w:lang w:val="en-US"/>
              </w:rPr>
              <w:instrText>documents</w:instrText>
            </w:r>
            <w:r w:rsidR="00A67ED2" w:rsidRPr="009034B5">
              <w:rPr>
                <w:szCs w:val="24"/>
              </w:rPr>
              <w:instrText>/?</w:instrText>
            </w:r>
            <w:r w:rsidR="00A67ED2">
              <w:rPr>
                <w:szCs w:val="24"/>
                <w:lang w:val="en-US"/>
              </w:rPr>
              <w:instrText>uuid</w:instrText>
            </w:r>
            <w:r w:rsidR="00A67ED2" w:rsidRPr="009034B5">
              <w:rPr>
                <w:szCs w:val="24"/>
              </w:rPr>
              <w:instrText>=</w:instrText>
            </w:r>
            <w:r w:rsidR="00A67ED2">
              <w:rPr>
                <w:szCs w:val="24"/>
                <w:lang w:val="en-US"/>
              </w:rPr>
              <w:instrText>c</w:instrText>
            </w:r>
            <w:r w:rsidR="00A67ED2" w:rsidRPr="009034B5">
              <w:rPr>
                <w:szCs w:val="24"/>
              </w:rPr>
              <w:instrText>4</w:instrText>
            </w:r>
            <w:r w:rsidR="00A67ED2">
              <w:rPr>
                <w:szCs w:val="24"/>
                <w:lang w:val="en-US"/>
              </w:rPr>
              <w:instrText>b</w:instrText>
            </w:r>
            <w:r w:rsidR="00A67ED2" w:rsidRPr="009034B5">
              <w:rPr>
                <w:szCs w:val="24"/>
              </w:rPr>
              <w:instrText>05</w:instrText>
            </w:r>
            <w:r w:rsidR="00A67ED2">
              <w:rPr>
                <w:szCs w:val="24"/>
                <w:lang w:val="en-US"/>
              </w:rPr>
              <w:instrText>bf</w:instrText>
            </w:r>
            <w:r w:rsidR="00A67ED2" w:rsidRPr="009034B5">
              <w:rPr>
                <w:szCs w:val="24"/>
              </w:rPr>
              <w:instrText>5-</w:instrText>
            </w:r>
            <w:r w:rsidR="00A67ED2">
              <w:rPr>
                <w:szCs w:val="24"/>
                <w:lang w:val="en-US"/>
              </w:rPr>
              <w:instrText>f</w:instrText>
            </w:r>
            <w:r w:rsidR="00A67ED2" w:rsidRPr="009034B5">
              <w:rPr>
                <w:szCs w:val="24"/>
              </w:rPr>
              <w:instrText>5</w:instrText>
            </w:r>
            <w:r w:rsidR="00A67ED2">
              <w:rPr>
                <w:szCs w:val="24"/>
                <w:lang w:val="en-US"/>
              </w:rPr>
              <w:instrText>dc</w:instrText>
            </w:r>
            <w:r w:rsidR="00A67ED2" w:rsidRPr="009034B5">
              <w:rPr>
                <w:szCs w:val="24"/>
              </w:rPr>
              <w:instrText>-4551-</w:instrText>
            </w:r>
            <w:r w:rsidR="00A67ED2">
              <w:rPr>
                <w:szCs w:val="24"/>
                <w:lang w:val="en-US"/>
              </w:rPr>
              <w:instrText>a</w:instrText>
            </w:r>
            <w:r w:rsidR="00A67ED2" w:rsidRPr="009034B5">
              <w:rPr>
                <w:szCs w:val="24"/>
              </w:rPr>
              <w:instrText>590-5854</w:instrText>
            </w:r>
            <w:r w:rsidR="00A67ED2">
              <w:rPr>
                <w:szCs w:val="24"/>
                <w:lang w:val="en-US"/>
              </w:rPr>
              <w:instrText>faa</w:instrText>
            </w:r>
            <w:r w:rsidR="00A67ED2" w:rsidRPr="009034B5">
              <w:rPr>
                <w:szCs w:val="24"/>
              </w:rPr>
              <w:instrText>101</w:instrText>
            </w:r>
            <w:r w:rsidR="00A67ED2">
              <w:rPr>
                <w:szCs w:val="24"/>
                <w:lang w:val="en-US"/>
              </w:rPr>
              <w:instrText>d</w:instrText>
            </w:r>
            <w:r w:rsidR="00A67ED2" w:rsidRPr="009034B5">
              <w:rPr>
                <w:szCs w:val="24"/>
              </w:rPr>
              <w:instrText>0"]}],"</w:instrText>
            </w:r>
            <w:r w:rsidR="00A67ED2">
              <w:rPr>
                <w:szCs w:val="24"/>
                <w:lang w:val="en-US"/>
              </w:rPr>
              <w:instrText>mendeley</w:instrText>
            </w:r>
            <w:r w:rsidR="00A67ED2" w:rsidRPr="009034B5">
              <w:rPr>
                <w:szCs w:val="24"/>
              </w:rPr>
              <w:instrText>":{"</w:instrText>
            </w:r>
            <w:r w:rsidR="00A67ED2">
              <w:rPr>
                <w:szCs w:val="24"/>
                <w:lang w:val="en-US"/>
              </w:rPr>
              <w:instrText>formattedCitation</w:instrText>
            </w:r>
            <w:r w:rsidR="00A67ED2" w:rsidRPr="009034B5">
              <w:rPr>
                <w:szCs w:val="24"/>
              </w:rPr>
              <w:instrText>":"[208]","</w:instrText>
            </w:r>
            <w:r w:rsidR="00A67ED2">
              <w:rPr>
                <w:szCs w:val="24"/>
                <w:lang w:val="en-US"/>
              </w:rPr>
              <w:instrText>plainTextFormattedCitation</w:instrText>
            </w:r>
            <w:r w:rsidR="00A67ED2" w:rsidRPr="009034B5">
              <w:rPr>
                <w:szCs w:val="24"/>
              </w:rPr>
              <w:instrText>":"[208]","</w:instrText>
            </w:r>
            <w:r w:rsidR="00A67ED2">
              <w:rPr>
                <w:szCs w:val="24"/>
                <w:lang w:val="en-US"/>
              </w:rPr>
              <w:instrText>previouslyFormattedCitation</w:instrText>
            </w:r>
            <w:r w:rsidR="00A67ED2" w:rsidRPr="009034B5">
              <w:rPr>
                <w:szCs w:val="24"/>
              </w:rPr>
              <w:instrText>":"[7]"},"</w:instrText>
            </w:r>
            <w:r w:rsidR="00A67ED2">
              <w:rPr>
                <w:szCs w:val="24"/>
                <w:lang w:val="en-US"/>
              </w:rPr>
              <w:instrText>properties</w:instrText>
            </w:r>
            <w:r w:rsidR="00A67ED2" w:rsidRPr="009034B5">
              <w:rPr>
                <w:szCs w:val="24"/>
              </w:rPr>
              <w:instrText>":{"</w:instrText>
            </w:r>
            <w:r w:rsidR="00A67ED2">
              <w:rPr>
                <w:szCs w:val="24"/>
                <w:lang w:val="en-US"/>
              </w:rPr>
              <w:instrText>noteIndex</w:instrText>
            </w:r>
            <w:r w:rsidR="00A67ED2" w:rsidRPr="009034B5">
              <w:rPr>
                <w:szCs w:val="24"/>
              </w:rPr>
              <w:instrText>":0},"</w:instrText>
            </w:r>
            <w:r w:rsidR="00A67ED2">
              <w:rPr>
                <w:szCs w:val="24"/>
                <w:lang w:val="en-US"/>
              </w:rPr>
              <w:instrText>schema</w:instrText>
            </w:r>
            <w:r w:rsidR="00A67ED2" w:rsidRPr="009034B5">
              <w:rPr>
                <w:szCs w:val="24"/>
              </w:rPr>
              <w:instrText>":"</w:instrText>
            </w:r>
            <w:r w:rsidR="00A67ED2">
              <w:rPr>
                <w:szCs w:val="24"/>
                <w:lang w:val="en-US"/>
              </w:rPr>
              <w:instrText>https</w:instrText>
            </w:r>
            <w:r w:rsidR="00A67ED2" w:rsidRPr="009034B5">
              <w:rPr>
                <w:szCs w:val="24"/>
              </w:rPr>
              <w:instrText>://</w:instrText>
            </w:r>
            <w:r w:rsidR="00A67ED2">
              <w:rPr>
                <w:szCs w:val="24"/>
                <w:lang w:val="en-US"/>
              </w:rPr>
              <w:instrText>github</w:instrText>
            </w:r>
            <w:r w:rsidR="00A67ED2" w:rsidRPr="009034B5">
              <w:rPr>
                <w:szCs w:val="24"/>
              </w:rPr>
              <w:instrText>.</w:instrText>
            </w:r>
            <w:r w:rsidR="00A67ED2">
              <w:rPr>
                <w:szCs w:val="24"/>
                <w:lang w:val="en-US"/>
              </w:rPr>
              <w:instrText>com</w:instrText>
            </w:r>
            <w:r w:rsidR="00A67ED2" w:rsidRPr="009034B5">
              <w:rPr>
                <w:szCs w:val="24"/>
              </w:rPr>
              <w:instrText>/</w:instrText>
            </w:r>
            <w:r w:rsidR="00A67ED2">
              <w:rPr>
                <w:szCs w:val="24"/>
                <w:lang w:val="en-US"/>
              </w:rPr>
              <w:instrText>citation</w:instrText>
            </w:r>
            <w:r w:rsidR="00A67ED2" w:rsidRPr="009034B5">
              <w:rPr>
                <w:szCs w:val="24"/>
              </w:rPr>
              <w:instrText>-</w:instrText>
            </w:r>
            <w:r w:rsidR="00A67ED2">
              <w:rPr>
                <w:szCs w:val="24"/>
                <w:lang w:val="en-US"/>
              </w:rPr>
              <w:instrText>style</w:instrText>
            </w:r>
            <w:r w:rsidR="00A67ED2" w:rsidRPr="009034B5">
              <w:rPr>
                <w:szCs w:val="24"/>
              </w:rPr>
              <w:instrText>-</w:instrText>
            </w:r>
            <w:r w:rsidR="00A67ED2">
              <w:rPr>
                <w:szCs w:val="24"/>
                <w:lang w:val="en-US"/>
              </w:rPr>
              <w:instrText>language</w:instrText>
            </w:r>
            <w:r w:rsidR="00A67ED2" w:rsidRPr="009034B5">
              <w:rPr>
                <w:szCs w:val="24"/>
              </w:rPr>
              <w:instrText>/</w:instrText>
            </w:r>
            <w:r w:rsidR="00A67ED2">
              <w:rPr>
                <w:szCs w:val="24"/>
                <w:lang w:val="en-US"/>
              </w:rPr>
              <w:instrText>schema</w:instrText>
            </w:r>
            <w:r w:rsidR="00A67ED2" w:rsidRPr="009034B5">
              <w:rPr>
                <w:szCs w:val="24"/>
              </w:rPr>
              <w:instrText>/</w:instrText>
            </w:r>
            <w:r w:rsidR="00A67ED2">
              <w:rPr>
                <w:szCs w:val="24"/>
                <w:lang w:val="en-US"/>
              </w:rPr>
              <w:instrText>raw</w:instrText>
            </w:r>
            <w:r w:rsidR="00A67ED2" w:rsidRPr="009034B5">
              <w:rPr>
                <w:szCs w:val="24"/>
              </w:rPr>
              <w:instrText>/</w:instrText>
            </w:r>
            <w:r w:rsidR="00A67ED2">
              <w:rPr>
                <w:szCs w:val="24"/>
                <w:lang w:val="en-US"/>
              </w:rPr>
              <w:instrText>master</w:instrText>
            </w:r>
            <w:r w:rsidR="00A67ED2" w:rsidRPr="009034B5">
              <w:rPr>
                <w:szCs w:val="24"/>
              </w:rPr>
              <w:instrText>/</w:instrText>
            </w:r>
            <w:r w:rsidR="00A67ED2">
              <w:rPr>
                <w:szCs w:val="24"/>
                <w:lang w:val="en-US"/>
              </w:rPr>
              <w:instrText>csl</w:instrText>
            </w:r>
            <w:r w:rsidR="00A67ED2" w:rsidRPr="009034B5">
              <w:rPr>
                <w:szCs w:val="24"/>
              </w:rPr>
              <w:instrText>-</w:instrText>
            </w:r>
            <w:r w:rsidR="00A67ED2">
              <w:rPr>
                <w:szCs w:val="24"/>
                <w:lang w:val="en-US"/>
              </w:rPr>
              <w:instrText>citation</w:instrText>
            </w:r>
            <w:r w:rsidR="00A67ED2" w:rsidRPr="009034B5">
              <w:rPr>
                <w:szCs w:val="24"/>
              </w:rPr>
              <w:instrText>.</w:instrText>
            </w:r>
            <w:r w:rsidR="00A67ED2">
              <w:rPr>
                <w:szCs w:val="24"/>
                <w:lang w:val="en-US"/>
              </w:rPr>
              <w:instrText>json</w:instrText>
            </w:r>
            <w:r w:rsidR="00A67ED2" w:rsidRPr="009034B5">
              <w:rPr>
                <w:szCs w:val="24"/>
              </w:rPr>
              <w:instrText>"}</w:instrText>
            </w:r>
            <w:r>
              <w:rPr>
                <w:szCs w:val="24"/>
                <w:lang w:val="en-US"/>
              </w:rPr>
              <w:fldChar w:fldCharType="separate"/>
            </w:r>
            <w:r w:rsidR="00A67ED2" w:rsidRPr="00A67ED2">
              <w:rPr>
                <w:noProof/>
                <w:szCs w:val="24"/>
              </w:rPr>
              <w:t>[208]</w:t>
            </w:r>
            <w:r>
              <w:rPr>
                <w:szCs w:val="24"/>
                <w:lang w:val="en-US"/>
              </w:rPr>
              <w:fldChar w:fldCharType="end"/>
            </w:r>
          </w:p>
        </w:tc>
        <w:tc>
          <w:tcPr>
            <w:tcW w:w="425" w:type="pct"/>
          </w:tcPr>
          <w:p w14:paraId="2B63C58B" w14:textId="77777777" w:rsidR="004F12DD" w:rsidRPr="008F721B" w:rsidRDefault="004F12DD" w:rsidP="00CD5E09">
            <w:pPr>
              <w:jc w:val="center"/>
              <w:rPr>
                <w:szCs w:val="24"/>
              </w:rPr>
            </w:pPr>
            <w:r w:rsidRPr="008F721B">
              <w:rPr>
                <w:szCs w:val="24"/>
              </w:rPr>
              <w:t>43</w:t>
            </w:r>
          </w:p>
        </w:tc>
        <w:tc>
          <w:tcPr>
            <w:tcW w:w="490" w:type="pct"/>
          </w:tcPr>
          <w:p w14:paraId="2D9E1CDF" w14:textId="77777777" w:rsidR="004F12DD" w:rsidRPr="008F721B" w:rsidRDefault="004F12DD" w:rsidP="00CD5E09">
            <w:pPr>
              <w:jc w:val="center"/>
              <w:rPr>
                <w:szCs w:val="24"/>
              </w:rPr>
            </w:pPr>
            <w:r w:rsidRPr="008F721B">
              <w:rPr>
                <w:szCs w:val="24"/>
              </w:rPr>
              <w:t>16</w:t>
            </w:r>
          </w:p>
        </w:tc>
        <w:tc>
          <w:tcPr>
            <w:tcW w:w="609" w:type="pct"/>
          </w:tcPr>
          <w:p w14:paraId="25C65368" w14:textId="77777777" w:rsidR="004F12DD" w:rsidRPr="008F721B" w:rsidRDefault="004F12DD" w:rsidP="00CD5E09">
            <w:pPr>
              <w:jc w:val="center"/>
              <w:rPr>
                <w:szCs w:val="24"/>
              </w:rPr>
            </w:pPr>
            <w:r w:rsidRPr="008F721B">
              <w:rPr>
                <w:szCs w:val="24"/>
              </w:rPr>
              <w:t>н/д*</w:t>
            </w:r>
          </w:p>
        </w:tc>
        <w:tc>
          <w:tcPr>
            <w:tcW w:w="687" w:type="pct"/>
          </w:tcPr>
          <w:p w14:paraId="447A7FB1" w14:textId="77777777" w:rsidR="004F12DD" w:rsidRPr="008F721B" w:rsidRDefault="004F12DD" w:rsidP="00CD5E09">
            <w:pPr>
              <w:jc w:val="center"/>
              <w:rPr>
                <w:szCs w:val="24"/>
              </w:rPr>
            </w:pPr>
            <w:r w:rsidRPr="008F721B">
              <w:rPr>
                <w:szCs w:val="24"/>
              </w:rPr>
              <w:t>н/д</w:t>
            </w:r>
          </w:p>
        </w:tc>
        <w:tc>
          <w:tcPr>
            <w:tcW w:w="456" w:type="pct"/>
          </w:tcPr>
          <w:p w14:paraId="2A818B02" w14:textId="77777777" w:rsidR="004F12DD" w:rsidRPr="008F721B" w:rsidRDefault="004F12DD" w:rsidP="00CD5E09">
            <w:pPr>
              <w:jc w:val="center"/>
              <w:rPr>
                <w:szCs w:val="24"/>
              </w:rPr>
            </w:pPr>
            <w:r w:rsidRPr="008F721B">
              <w:rPr>
                <w:szCs w:val="24"/>
              </w:rPr>
              <w:t>5</w:t>
            </w:r>
          </w:p>
        </w:tc>
        <w:tc>
          <w:tcPr>
            <w:tcW w:w="515" w:type="pct"/>
          </w:tcPr>
          <w:p w14:paraId="46BEA02C" w14:textId="77777777" w:rsidR="004F12DD" w:rsidRPr="008F721B" w:rsidRDefault="004F12DD" w:rsidP="00CD5E09">
            <w:pPr>
              <w:jc w:val="center"/>
              <w:rPr>
                <w:szCs w:val="24"/>
              </w:rPr>
            </w:pPr>
            <w:r w:rsidRPr="008F721B">
              <w:rPr>
                <w:szCs w:val="24"/>
              </w:rPr>
              <w:t>16</w:t>
            </w:r>
          </w:p>
        </w:tc>
        <w:tc>
          <w:tcPr>
            <w:tcW w:w="536" w:type="pct"/>
          </w:tcPr>
          <w:p w14:paraId="1A1386A9" w14:textId="77777777" w:rsidR="004F12DD" w:rsidRPr="008F721B" w:rsidRDefault="004F12DD" w:rsidP="00CD5E09">
            <w:pPr>
              <w:jc w:val="center"/>
              <w:rPr>
                <w:szCs w:val="24"/>
              </w:rPr>
            </w:pPr>
            <w:r w:rsidRPr="008F721B">
              <w:rPr>
                <w:szCs w:val="24"/>
              </w:rPr>
              <w:t>20</w:t>
            </w:r>
          </w:p>
        </w:tc>
      </w:tr>
      <w:tr w:rsidR="004F12DD" w:rsidRPr="008F721B" w14:paraId="39DBA5E6" w14:textId="77777777" w:rsidTr="00CD5E09">
        <w:trPr>
          <w:trHeight w:val="822"/>
        </w:trPr>
        <w:tc>
          <w:tcPr>
            <w:tcW w:w="1279" w:type="pct"/>
          </w:tcPr>
          <w:p w14:paraId="7E4C30D4" w14:textId="13FCA132" w:rsidR="004F12DD" w:rsidRPr="008F721B" w:rsidRDefault="004F12DD" w:rsidP="00CD5E09">
            <w:pPr>
              <w:rPr>
                <w:szCs w:val="24"/>
              </w:rPr>
            </w:pPr>
            <w:r w:rsidRPr="008F721B">
              <w:rPr>
                <w:szCs w:val="24"/>
              </w:rPr>
              <w:t>Галстян Г.М. и соавт.</w:t>
            </w:r>
            <w:r>
              <w:rPr>
                <w:szCs w:val="24"/>
              </w:rPr>
              <w:t xml:space="preserve">, 2011 </w:t>
            </w:r>
            <w:r>
              <w:rPr>
                <w:szCs w:val="24"/>
              </w:rPr>
              <w:fldChar w:fldCharType="begin" w:fldLock="1"/>
            </w:r>
            <w:r w:rsidR="00A67ED2">
              <w:rPr>
                <w:szCs w:val="24"/>
              </w:rPr>
              <w:instrText>ADDIN CSL_CITATION {"citationItems":[{"id":"ITEM-1","itemData":{"author":[{"dropping-particle":"","family":"Галстян","given":"Г.М.","non-dropping-particle":"","parse-names":false,"suffix":""},{"dropping-particle":"","family":"Городецкий","given":"В.М.","non-dropping-particle":"","parse-names":false,"suffix":""}],"container-title":"Клиническая онкогематология","id":"ITEM-1","issue":"1","issued":{"date-parts":[["2011"]]},"page":"75-78","title":"Опыт работы отделения реанимации и интенсивной терапии ФГБУ ГНЦ МЗиСР РФ","type":"article-journal","volume":"4"},"uris":["http://www.mendeley.com/documents/?uuid=7a2aad90-732f-4da0-a3ce-4939d049189b"]}],"mendeley":{"formattedCitation":"[209]","plainTextFormattedCitation":"[209]","previouslyFormattedCitation":"[8]"},"properties":{"noteIndex":0},"schema":"https://github.com/citation-style-language/schema/raw/master/csl-citation.json"}</w:instrText>
            </w:r>
            <w:r>
              <w:rPr>
                <w:szCs w:val="24"/>
              </w:rPr>
              <w:fldChar w:fldCharType="separate"/>
            </w:r>
            <w:r w:rsidR="00A67ED2" w:rsidRPr="00A67ED2">
              <w:rPr>
                <w:noProof/>
                <w:szCs w:val="24"/>
              </w:rPr>
              <w:t>[209]</w:t>
            </w:r>
            <w:r>
              <w:rPr>
                <w:szCs w:val="24"/>
              </w:rPr>
              <w:fldChar w:fldCharType="end"/>
            </w:r>
          </w:p>
        </w:tc>
        <w:tc>
          <w:tcPr>
            <w:tcW w:w="425" w:type="pct"/>
          </w:tcPr>
          <w:p w14:paraId="4BFA3E82" w14:textId="77777777" w:rsidR="004F12DD" w:rsidRPr="008F721B" w:rsidRDefault="004F12DD" w:rsidP="00CD5E09">
            <w:pPr>
              <w:jc w:val="center"/>
              <w:rPr>
                <w:szCs w:val="24"/>
              </w:rPr>
            </w:pPr>
            <w:r w:rsidRPr="008F721B">
              <w:rPr>
                <w:szCs w:val="24"/>
              </w:rPr>
              <w:t>30</w:t>
            </w:r>
          </w:p>
        </w:tc>
        <w:tc>
          <w:tcPr>
            <w:tcW w:w="490" w:type="pct"/>
          </w:tcPr>
          <w:p w14:paraId="5A3CE70E" w14:textId="77777777" w:rsidR="004F12DD" w:rsidRPr="008F721B" w:rsidRDefault="004F12DD" w:rsidP="00CD5E09">
            <w:pPr>
              <w:jc w:val="center"/>
              <w:rPr>
                <w:szCs w:val="24"/>
              </w:rPr>
            </w:pPr>
            <w:r w:rsidRPr="008F721B">
              <w:rPr>
                <w:szCs w:val="24"/>
              </w:rPr>
              <w:t>22</w:t>
            </w:r>
          </w:p>
        </w:tc>
        <w:tc>
          <w:tcPr>
            <w:tcW w:w="609" w:type="pct"/>
          </w:tcPr>
          <w:p w14:paraId="6D78D827" w14:textId="77777777" w:rsidR="004F12DD" w:rsidRPr="008F721B" w:rsidRDefault="004F12DD" w:rsidP="00CD5E09">
            <w:pPr>
              <w:jc w:val="center"/>
              <w:rPr>
                <w:szCs w:val="24"/>
              </w:rPr>
            </w:pPr>
            <w:r w:rsidRPr="008F721B">
              <w:rPr>
                <w:szCs w:val="24"/>
              </w:rPr>
              <w:t>7</w:t>
            </w:r>
          </w:p>
        </w:tc>
        <w:tc>
          <w:tcPr>
            <w:tcW w:w="687" w:type="pct"/>
          </w:tcPr>
          <w:p w14:paraId="500948BA" w14:textId="77777777" w:rsidR="004F12DD" w:rsidRPr="008F721B" w:rsidRDefault="004F12DD" w:rsidP="00CD5E09">
            <w:pPr>
              <w:jc w:val="center"/>
              <w:rPr>
                <w:szCs w:val="24"/>
              </w:rPr>
            </w:pPr>
            <w:r w:rsidRPr="008F721B">
              <w:rPr>
                <w:szCs w:val="24"/>
              </w:rPr>
              <w:t>11</w:t>
            </w:r>
          </w:p>
        </w:tc>
        <w:tc>
          <w:tcPr>
            <w:tcW w:w="456" w:type="pct"/>
          </w:tcPr>
          <w:p w14:paraId="0F37EB74" w14:textId="77777777" w:rsidR="004F12DD" w:rsidRPr="008F721B" w:rsidRDefault="004F12DD" w:rsidP="00CD5E09">
            <w:pPr>
              <w:jc w:val="center"/>
              <w:rPr>
                <w:szCs w:val="24"/>
              </w:rPr>
            </w:pPr>
            <w:r w:rsidRPr="008F721B">
              <w:rPr>
                <w:szCs w:val="24"/>
              </w:rPr>
              <w:t>н/д</w:t>
            </w:r>
          </w:p>
        </w:tc>
        <w:tc>
          <w:tcPr>
            <w:tcW w:w="515" w:type="pct"/>
          </w:tcPr>
          <w:p w14:paraId="6F50797C" w14:textId="77777777" w:rsidR="004F12DD" w:rsidRPr="008F721B" w:rsidRDefault="004F12DD" w:rsidP="00CD5E09">
            <w:pPr>
              <w:jc w:val="center"/>
              <w:rPr>
                <w:szCs w:val="24"/>
              </w:rPr>
            </w:pPr>
            <w:r w:rsidRPr="008F721B">
              <w:rPr>
                <w:szCs w:val="24"/>
              </w:rPr>
              <w:t>н/д</w:t>
            </w:r>
          </w:p>
        </w:tc>
        <w:tc>
          <w:tcPr>
            <w:tcW w:w="536" w:type="pct"/>
          </w:tcPr>
          <w:p w14:paraId="7D517AA9" w14:textId="77777777" w:rsidR="004F12DD" w:rsidRPr="008F721B" w:rsidRDefault="004F12DD" w:rsidP="00CD5E09">
            <w:pPr>
              <w:jc w:val="center"/>
              <w:rPr>
                <w:szCs w:val="24"/>
              </w:rPr>
            </w:pPr>
            <w:r w:rsidRPr="008F721B">
              <w:rPr>
                <w:szCs w:val="24"/>
              </w:rPr>
              <w:t>30</w:t>
            </w:r>
          </w:p>
        </w:tc>
      </w:tr>
      <w:tr w:rsidR="004F12DD" w:rsidRPr="008F721B" w14:paraId="61D2FFF4" w14:textId="77777777" w:rsidTr="00CD5E09">
        <w:trPr>
          <w:trHeight w:val="822"/>
        </w:trPr>
        <w:tc>
          <w:tcPr>
            <w:tcW w:w="1279" w:type="pct"/>
          </w:tcPr>
          <w:p w14:paraId="3A782FD0" w14:textId="2930F33B" w:rsidR="004F12DD" w:rsidRPr="00B563E0" w:rsidRDefault="004F12DD" w:rsidP="00CD5E09">
            <w:pPr>
              <w:rPr>
                <w:szCs w:val="24"/>
                <w:lang w:val="en-US"/>
              </w:rPr>
            </w:pPr>
            <w:r w:rsidRPr="008F721B">
              <w:rPr>
                <w:szCs w:val="24"/>
              </w:rPr>
              <w:t>Lamia E. и соавт.</w:t>
            </w:r>
            <w:r>
              <w:rPr>
                <w:szCs w:val="24"/>
                <w:lang w:val="en-US"/>
              </w:rPr>
              <w:t>, 2006</w:t>
            </w:r>
            <w:r w:rsidRPr="008F721B">
              <w:rPr>
                <w:szCs w:val="24"/>
              </w:rPr>
              <w:t xml:space="preserve"> </w:t>
            </w:r>
            <w:r>
              <w:rPr>
                <w:szCs w:val="24"/>
              </w:rPr>
              <w:fldChar w:fldCharType="begin" w:fldLock="1"/>
            </w:r>
            <w:r w:rsidR="00A67ED2">
              <w:rPr>
                <w:szCs w:val="24"/>
              </w:rPr>
              <w:instrText>ADDIN CSL_CITATION {"citationItems":[{"id":"ITEM-1","itemData":{"DOI":"10.1007/s00134-006-0286-3","ISSN":"03424642","PMID":"16896863","abstract":"Objective: To determine whether severity and organ failure scores over the first 3 days in an ICU predict in-hospital mortality in onco-hematological malignancy patients. Design and setting: Retrospective study in a 22-bed medical ICU. Patients: 92 consecutive patients with onco-hematological malignancies including 20 hematopoietic stem cell transplantation (HSCT) patients (11 with allogenic HSCT). Measurements: Simplified Acute Physiology Score (SAPS) II, Organ Dysfunction and/or Infection (ODIN) score, Logistic Organ Dysfunction System (LODS), and Sequential Organ Failure Assessment (SOFA) score were recorded on admission. The change in each score (Δ score) during the first 3 days in the ICU was calculated as follows: severity or organ failure score on day 3 minus severity or organ failure score on day 1, divided by severity or organ failure score on day 1. Results: In-hospital mortality was 58%. Using multivariate analysis in-hospital mortality was predicted by all scores on day 1 and all Δ scores. Areas under the receiver operating characteristics curves were similar for SAPS II (0.78), ODIN (0.78), LODS (0.83), and SOFA (0.78) scores at day 1. They were also similar for ΔSAPS II, ΔODIN, ΔLODS, and ΔSOFA. Similar results were observed when excluding patients with allogenic HSCT. Conclusion: Severity and three organ failure scores on day 1 and Δ scores perform similarly in predicting in-hospital mortality in ICU onco-hematological malignancy patients but do not predict individual outcome. Decision to admit such patients to the ICU or to forgo life-sustaining therapies should not be based on these scores. © 2006 Springer-Verlag.","author":[{"dropping-particle":"","family":"Lamia","given":"B.","non-dropping-particle":"","parse-names":false,"suffix":""},{"dropping-particle":"","family":"Hellot","given":"M. F.","non-dropping-particle":"","parse-names":false,"suffix":""},{"dropping-particle":"","family":"Girault","given":"C.","non-dropping-particle":"","parse-names":false,"suffix":""},{"dropping-particle":"","family":"Tamion","given":"F.","non-dropping-particle":"","parse-names":false,"suffix":""},{"dropping-particle":"","family":"Dachraoui","given":"F.","non-dropping-particle":"","parse-names":false,"suffix":""},{"dropping-particle":"","family":"Lenain","given":"P.","non-dropping-particle":"","parse-names":false,"suffix":""},{"dropping-particle":"","family":"Bonmarchand","given":"G.","non-dropping-particle":"","parse-names":false,"suffix":""}],"container-title":"Intensive Care Medicine","id":"ITEM-1","issue":"10","issued":{"date-parts":[["2006","10"]]},"page":"1560-1568","publisher":"Intensive Care Med","title":"Changes in severity and organ failure scores as prognostic factors in onco-hematological malignancy patients admitted to the ICU","type":"article-journal","volume":"32"},"uris":["http://www.mendeley.com/documents/?uuid=60d1cf7f-4ed6-3d0a-991e-cc8b33d27c7f"]}],"mendeley":{"formattedCitation":"[210]","plainTextFormattedCitation":"[210]","previouslyFormattedCitation":"[9]"},"properties":{"noteIndex":0},"schema":"https://github.com/citation-style-language/schema/raw/master/csl-citation.json"}</w:instrText>
            </w:r>
            <w:r>
              <w:rPr>
                <w:szCs w:val="24"/>
              </w:rPr>
              <w:fldChar w:fldCharType="separate"/>
            </w:r>
            <w:r w:rsidR="00A67ED2" w:rsidRPr="00A67ED2">
              <w:rPr>
                <w:noProof/>
                <w:szCs w:val="24"/>
              </w:rPr>
              <w:t>[210]</w:t>
            </w:r>
            <w:r>
              <w:rPr>
                <w:szCs w:val="24"/>
              </w:rPr>
              <w:fldChar w:fldCharType="end"/>
            </w:r>
          </w:p>
        </w:tc>
        <w:tc>
          <w:tcPr>
            <w:tcW w:w="425" w:type="pct"/>
          </w:tcPr>
          <w:p w14:paraId="2FCF0E70" w14:textId="77777777" w:rsidR="004F12DD" w:rsidRPr="008F721B" w:rsidRDefault="004F12DD" w:rsidP="00CD5E09">
            <w:pPr>
              <w:jc w:val="center"/>
              <w:rPr>
                <w:szCs w:val="24"/>
              </w:rPr>
            </w:pPr>
            <w:r w:rsidRPr="008F721B">
              <w:rPr>
                <w:szCs w:val="24"/>
              </w:rPr>
              <w:t>51</w:t>
            </w:r>
          </w:p>
        </w:tc>
        <w:tc>
          <w:tcPr>
            <w:tcW w:w="490" w:type="pct"/>
          </w:tcPr>
          <w:p w14:paraId="3569AA4B" w14:textId="77777777" w:rsidR="004F12DD" w:rsidRPr="008F721B" w:rsidRDefault="004F12DD" w:rsidP="00CD5E09">
            <w:pPr>
              <w:jc w:val="center"/>
              <w:rPr>
                <w:szCs w:val="24"/>
              </w:rPr>
            </w:pPr>
            <w:r w:rsidRPr="008F721B">
              <w:rPr>
                <w:szCs w:val="24"/>
              </w:rPr>
              <w:t>36</w:t>
            </w:r>
          </w:p>
        </w:tc>
        <w:tc>
          <w:tcPr>
            <w:tcW w:w="609" w:type="pct"/>
          </w:tcPr>
          <w:p w14:paraId="31B6BD4A" w14:textId="77777777" w:rsidR="004F12DD" w:rsidRPr="008F721B" w:rsidRDefault="004F12DD" w:rsidP="00CD5E09">
            <w:pPr>
              <w:jc w:val="center"/>
              <w:rPr>
                <w:szCs w:val="24"/>
              </w:rPr>
            </w:pPr>
            <w:r w:rsidRPr="008F721B">
              <w:rPr>
                <w:szCs w:val="24"/>
              </w:rPr>
              <w:t>13</w:t>
            </w:r>
          </w:p>
        </w:tc>
        <w:tc>
          <w:tcPr>
            <w:tcW w:w="687" w:type="pct"/>
          </w:tcPr>
          <w:p w14:paraId="4A8882A5" w14:textId="77777777" w:rsidR="004F12DD" w:rsidRPr="008F721B" w:rsidRDefault="004F12DD" w:rsidP="00CD5E09">
            <w:pPr>
              <w:jc w:val="center"/>
              <w:rPr>
                <w:szCs w:val="24"/>
              </w:rPr>
            </w:pPr>
            <w:r w:rsidRPr="008F721B">
              <w:rPr>
                <w:szCs w:val="24"/>
              </w:rPr>
              <w:t>н/д</w:t>
            </w:r>
          </w:p>
        </w:tc>
        <w:tc>
          <w:tcPr>
            <w:tcW w:w="456" w:type="pct"/>
          </w:tcPr>
          <w:p w14:paraId="7208C7B5" w14:textId="77777777" w:rsidR="004F12DD" w:rsidRPr="008F721B" w:rsidRDefault="004F12DD" w:rsidP="00CD5E09">
            <w:pPr>
              <w:jc w:val="center"/>
              <w:rPr>
                <w:szCs w:val="24"/>
              </w:rPr>
            </w:pPr>
            <w:r w:rsidRPr="008F721B">
              <w:rPr>
                <w:szCs w:val="24"/>
              </w:rPr>
              <w:t>н/д</w:t>
            </w:r>
          </w:p>
        </w:tc>
        <w:tc>
          <w:tcPr>
            <w:tcW w:w="515" w:type="pct"/>
          </w:tcPr>
          <w:p w14:paraId="55E26DCD" w14:textId="77777777" w:rsidR="004F12DD" w:rsidRPr="008F721B" w:rsidRDefault="004F12DD" w:rsidP="00CD5E09">
            <w:pPr>
              <w:jc w:val="center"/>
              <w:rPr>
                <w:szCs w:val="24"/>
              </w:rPr>
            </w:pPr>
            <w:r w:rsidRPr="008F721B">
              <w:rPr>
                <w:szCs w:val="24"/>
              </w:rPr>
              <w:t>н/д</w:t>
            </w:r>
          </w:p>
        </w:tc>
        <w:tc>
          <w:tcPr>
            <w:tcW w:w="536" w:type="pct"/>
          </w:tcPr>
          <w:p w14:paraId="6A9B45D6" w14:textId="77777777" w:rsidR="004F12DD" w:rsidRPr="008F721B" w:rsidRDefault="004F12DD" w:rsidP="00CD5E09">
            <w:pPr>
              <w:jc w:val="center"/>
              <w:rPr>
                <w:szCs w:val="24"/>
              </w:rPr>
            </w:pPr>
            <w:r w:rsidRPr="008F721B">
              <w:rPr>
                <w:szCs w:val="24"/>
              </w:rPr>
              <w:t>н/д</w:t>
            </w:r>
          </w:p>
        </w:tc>
      </w:tr>
      <w:tr w:rsidR="004F12DD" w:rsidRPr="008F721B" w14:paraId="730F9321" w14:textId="77777777" w:rsidTr="00CD5E09">
        <w:trPr>
          <w:trHeight w:val="822"/>
        </w:trPr>
        <w:tc>
          <w:tcPr>
            <w:tcW w:w="1279" w:type="pct"/>
          </w:tcPr>
          <w:p w14:paraId="76B20BFA" w14:textId="3A640598" w:rsidR="004F12DD" w:rsidRPr="008F721B" w:rsidRDefault="004F12DD" w:rsidP="00CD5E09">
            <w:pPr>
              <w:rPr>
                <w:szCs w:val="24"/>
              </w:rPr>
            </w:pPr>
            <w:r w:rsidRPr="008F721B">
              <w:rPr>
                <w:iCs/>
                <w:szCs w:val="24"/>
              </w:rPr>
              <w:t xml:space="preserve">Evison K. </w:t>
            </w:r>
            <w:r w:rsidRPr="008F721B">
              <w:rPr>
                <w:szCs w:val="24"/>
              </w:rPr>
              <w:t>и соавт.</w:t>
            </w:r>
            <w:r>
              <w:rPr>
                <w:szCs w:val="24"/>
                <w:lang w:val="en-US"/>
              </w:rPr>
              <w:t xml:space="preserve">, 2001 </w:t>
            </w:r>
            <w:r>
              <w:rPr>
                <w:szCs w:val="24"/>
                <w:lang w:val="en-US"/>
              </w:rPr>
              <w:fldChar w:fldCharType="begin" w:fldLock="1"/>
            </w:r>
            <w:r w:rsidR="00A67ED2">
              <w:rPr>
                <w:szCs w:val="24"/>
                <w:lang w:val="en-US"/>
              </w:rPr>
              <w:instrText>ADDIN CSL_CITATION {"citationItems":[{"id":"ITEM-1","itemData":{"author":[{"dropping-particle":"","family":"Evison","given":"J M","non-dropping-particle":"","parse-names":false,"suffix":""},{"dropping-particle":"","family":"Rickenbacher","given":"P","non-dropping-particle":"","parse-names":false,"suffix":""},{"dropping-particle":"","family":"Ritz","given":"R","non-dropping-particle":"","parse-names":false,"suffix":""},{"dropping-particle":"","family":"Gratwohl","given":"A","non-dropping-particle":"","parse-names":false,"suffix":""},{"dropping-particle":"","family":"Haberthür","given":"Ch","non-dropping-particle":"","parse-names":false,"suffix":""},{"dropping-particle":"","family":"Elsasser","given":"S","non-dropping-particle":"","parse-names":false,"suffix":""},{"dropping-particle":"","family":"Passweg","given":"J R","non-dropping-particle":"","parse-names":false,"suffix":""}],"id":"ITEM-1","issued":{"date-parts":[["2001"]]},"title":"Intensive care unit admission in patients with haematological disease: incidence, outcome and prognostic factors","type":"report"},"uris":["http://www.mendeley.com/documents/?uuid=8277399e-d82b-32b3-af97-33e3d2b5e10b"]}],"mendeley":{"formattedCitation":"[211]","plainTextFormattedCitation":"[211]","previouslyFormattedCitation":"[10]"},"properties":{"noteIndex":0},"schema":"https://github.com/citation-style-language/schema/raw/master/csl-citation.json"}</w:instrText>
            </w:r>
            <w:r>
              <w:rPr>
                <w:szCs w:val="24"/>
                <w:lang w:val="en-US"/>
              </w:rPr>
              <w:fldChar w:fldCharType="separate"/>
            </w:r>
            <w:r w:rsidR="00A67ED2" w:rsidRPr="00A67ED2">
              <w:rPr>
                <w:noProof/>
                <w:szCs w:val="24"/>
                <w:lang w:val="en-US"/>
              </w:rPr>
              <w:t>[211]</w:t>
            </w:r>
            <w:r>
              <w:rPr>
                <w:szCs w:val="24"/>
                <w:lang w:val="en-US"/>
              </w:rPr>
              <w:fldChar w:fldCharType="end"/>
            </w:r>
            <w:r w:rsidRPr="008F721B">
              <w:rPr>
                <w:szCs w:val="24"/>
              </w:rPr>
              <w:t xml:space="preserve"> </w:t>
            </w:r>
          </w:p>
        </w:tc>
        <w:tc>
          <w:tcPr>
            <w:tcW w:w="425" w:type="pct"/>
          </w:tcPr>
          <w:p w14:paraId="27827BF2" w14:textId="77777777" w:rsidR="004F12DD" w:rsidRPr="008F721B" w:rsidRDefault="004F12DD" w:rsidP="00CD5E09">
            <w:pPr>
              <w:jc w:val="center"/>
              <w:rPr>
                <w:szCs w:val="24"/>
              </w:rPr>
            </w:pPr>
            <w:r w:rsidRPr="008F721B">
              <w:rPr>
                <w:szCs w:val="24"/>
              </w:rPr>
              <w:t>31</w:t>
            </w:r>
          </w:p>
        </w:tc>
        <w:tc>
          <w:tcPr>
            <w:tcW w:w="490" w:type="pct"/>
          </w:tcPr>
          <w:p w14:paraId="53D9ABC9" w14:textId="77777777" w:rsidR="004F12DD" w:rsidRPr="008F721B" w:rsidRDefault="004F12DD" w:rsidP="00CD5E09">
            <w:pPr>
              <w:jc w:val="center"/>
              <w:rPr>
                <w:szCs w:val="24"/>
              </w:rPr>
            </w:pPr>
            <w:r w:rsidRPr="008F721B">
              <w:rPr>
                <w:szCs w:val="24"/>
              </w:rPr>
              <w:t>19</w:t>
            </w:r>
          </w:p>
        </w:tc>
        <w:tc>
          <w:tcPr>
            <w:tcW w:w="609" w:type="pct"/>
          </w:tcPr>
          <w:p w14:paraId="60A012B0" w14:textId="77777777" w:rsidR="004F12DD" w:rsidRPr="008F721B" w:rsidRDefault="004F12DD" w:rsidP="00CD5E09">
            <w:pPr>
              <w:jc w:val="center"/>
              <w:rPr>
                <w:szCs w:val="24"/>
              </w:rPr>
            </w:pPr>
            <w:r w:rsidRPr="008F721B">
              <w:rPr>
                <w:szCs w:val="24"/>
              </w:rPr>
              <w:t>8</w:t>
            </w:r>
          </w:p>
        </w:tc>
        <w:tc>
          <w:tcPr>
            <w:tcW w:w="687" w:type="pct"/>
          </w:tcPr>
          <w:p w14:paraId="77F9CD84" w14:textId="77777777" w:rsidR="004F12DD" w:rsidRPr="008F721B" w:rsidRDefault="004F12DD" w:rsidP="00CD5E09">
            <w:pPr>
              <w:jc w:val="center"/>
              <w:rPr>
                <w:szCs w:val="24"/>
              </w:rPr>
            </w:pPr>
            <w:r w:rsidRPr="008F721B">
              <w:rPr>
                <w:szCs w:val="24"/>
              </w:rPr>
              <w:t>10</w:t>
            </w:r>
          </w:p>
        </w:tc>
        <w:tc>
          <w:tcPr>
            <w:tcW w:w="456" w:type="pct"/>
          </w:tcPr>
          <w:p w14:paraId="454E2A27" w14:textId="77777777" w:rsidR="004F12DD" w:rsidRPr="008F721B" w:rsidRDefault="004F12DD" w:rsidP="00CD5E09">
            <w:pPr>
              <w:jc w:val="center"/>
              <w:rPr>
                <w:szCs w:val="24"/>
              </w:rPr>
            </w:pPr>
            <w:r w:rsidRPr="008F721B">
              <w:rPr>
                <w:szCs w:val="24"/>
              </w:rPr>
              <w:t>н/д</w:t>
            </w:r>
          </w:p>
        </w:tc>
        <w:tc>
          <w:tcPr>
            <w:tcW w:w="515" w:type="pct"/>
          </w:tcPr>
          <w:p w14:paraId="62B3F4E8" w14:textId="77777777" w:rsidR="004F12DD" w:rsidRPr="008F721B" w:rsidRDefault="004F12DD" w:rsidP="00CD5E09">
            <w:pPr>
              <w:jc w:val="center"/>
              <w:rPr>
                <w:szCs w:val="24"/>
              </w:rPr>
            </w:pPr>
            <w:r w:rsidRPr="008F721B">
              <w:rPr>
                <w:szCs w:val="24"/>
              </w:rPr>
              <w:t>1</w:t>
            </w:r>
          </w:p>
        </w:tc>
        <w:tc>
          <w:tcPr>
            <w:tcW w:w="536" w:type="pct"/>
          </w:tcPr>
          <w:p w14:paraId="2CC740D9" w14:textId="77777777" w:rsidR="004F12DD" w:rsidRPr="008F721B" w:rsidRDefault="004F12DD" w:rsidP="00CD5E09">
            <w:pPr>
              <w:jc w:val="center"/>
              <w:rPr>
                <w:szCs w:val="24"/>
              </w:rPr>
            </w:pPr>
            <w:r w:rsidRPr="008F721B">
              <w:rPr>
                <w:szCs w:val="24"/>
              </w:rPr>
              <w:t>31</w:t>
            </w:r>
          </w:p>
        </w:tc>
      </w:tr>
      <w:tr w:rsidR="004F12DD" w:rsidRPr="008F721B" w14:paraId="2F1FED73" w14:textId="77777777" w:rsidTr="00CD5E09">
        <w:trPr>
          <w:trHeight w:val="822"/>
        </w:trPr>
        <w:tc>
          <w:tcPr>
            <w:tcW w:w="1279" w:type="pct"/>
          </w:tcPr>
          <w:p w14:paraId="378C5213" w14:textId="32A9A7E1" w:rsidR="004F12DD" w:rsidRPr="008F721B" w:rsidRDefault="004F12DD" w:rsidP="00CD5E09">
            <w:pPr>
              <w:rPr>
                <w:szCs w:val="24"/>
              </w:rPr>
            </w:pPr>
            <w:r w:rsidRPr="008F721B">
              <w:rPr>
                <w:szCs w:val="24"/>
              </w:rPr>
              <w:t>Silfvast D. и соавт.</w:t>
            </w:r>
            <w:r>
              <w:rPr>
                <w:szCs w:val="24"/>
              </w:rPr>
              <w:t>,</w:t>
            </w:r>
            <w:r>
              <w:rPr>
                <w:szCs w:val="24"/>
                <w:lang w:val="en-US"/>
              </w:rPr>
              <w:t xml:space="preserve"> 2003 </w:t>
            </w:r>
            <w:r>
              <w:rPr>
                <w:szCs w:val="24"/>
                <w:lang w:val="en-US"/>
              </w:rPr>
              <w:fldChar w:fldCharType="begin" w:fldLock="1"/>
            </w:r>
            <w:r w:rsidR="00A67ED2">
              <w:rPr>
                <w:szCs w:val="24"/>
                <w:lang w:val="en-US"/>
              </w:rPr>
              <w:instrText>ADDIN CSL_CITATION {"citationItems":[{"id":"ITEM-1","itemData":{"DOI":"10.1034/j.1399-6576.2003.00058.x","ISSN":"00015172","PMID":"12648196","abstract":"Background: The number of failing organs systems in ICU patients with haematological malignancy is associated with outcome. The objective of this study was to assess short and long-term survival in these patients with special reference to multiple organ failure reflected by the SOFA (Sequential Organ Failure Assessment) score. Methods: Retrospective chart review of haematological patients admitted to the 10-bed intensive care unit (ICU) of a tertiary level academic teaching hospital from 1994 to 1998. Of 31 admitted patients with the diagnosis of haematological malignancy, the charts of 30 were available for analysis. Results: Univariate logistic regression analysis of factors previously shown to influence survival revealed that only admission SOFA score and untreated status of haematological disease were significantly associated with survival (P &lt; 0.05). ICU, 3-month and one-year survival rates were 57% (17/30), 23% (7/30) and 20% (6/30), respectively. If maximal SOFA score during the ICU stay was included in a multivariate model comprising treatment status and effect, admission day SOFA and APACHE II scores, mechanical ventilation, renal replacement therapy and neutropenia, the maximal SOFA score became the only independent variable. All patients with an admission SOFA score exceeding 11 died in hospital. Leave-one-out method revealed that admission SOFA scores and the status of haematological disease (untreated or not) correctly classified 83% (25 of 30) of patients to survivors or non-survivors. Conclusions: Multiple organ failure assessed as SOFA score on admission and status of disease were associated with outcome in critically ill patients with haematological malignancy. © Acta Anaesthesiologica Scandinavica.","author":[{"dropping-particle":"","family":"Silfvast","given":"Tom","non-dropping-particle":"","parse-names":false,"suffix":""},{"dropping-particle":"","family":"Pettilä","given":"V.","non-dropping-particle":"","parse-names":false,"suffix":""},{"dropping-particle":"","family":"Ihalainen","given":"A.","non-dropping-particle":"","parse-names":false,"suffix":""},{"dropping-particle":"","family":"Elonen","given":"E.","non-dropping-particle":"","parse-names":false,"suffix":""}],"container-title":"Acta Anaesthesiologica Scandinavica","id":"ITEM-1","issue":"3","issued":{"date-parts":[["2003","3"]]},"page":"301-306","publisher":"Acta Anaesthesiol Scand","title":"Multiple organ failure and outcome of critically ill patients with haematological malignancy","type":"article-journal","volume":"47"},"uris":["http://www.mendeley.com/documents/?uuid=5fc24cc0-6c9a-3083-a5f5-1a250846badc"]}],"mendeley":{"formattedCitation":"[212]","plainTextFormattedCitation":"[212]","previouslyFormattedCitation":"[11]"},"properties":{"noteIndex":0},"schema":"https://github.com/citation-style-language/schema/raw/master/csl-citation.json"}</w:instrText>
            </w:r>
            <w:r>
              <w:rPr>
                <w:szCs w:val="24"/>
                <w:lang w:val="en-US"/>
              </w:rPr>
              <w:fldChar w:fldCharType="separate"/>
            </w:r>
            <w:r w:rsidR="00A67ED2" w:rsidRPr="00A67ED2">
              <w:rPr>
                <w:noProof/>
                <w:szCs w:val="24"/>
                <w:lang w:val="en-US"/>
              </w:rPr>
              <w:t>[212]</w:t>
            </w:r>
            <w:r>
              <w:rPr>
                <w:szCs w:val="24"/>
                <w:lang w:val="en-US"/>
              </w:rPr>
              <w:fldChar w:fldCharType="end"/>
            </w:r>
            <w:r w:rsidRPr="008F721B">
              <w:rPr>
                <w:szCs w:val="24"/>
              </w:rPr>
              <w:t xml:space="preserve"> </w:t>
            </w:r>
          </w:p>
        </w:tc>
        <w:tc>
          <w:tcPr>
            <w:tcW w:w="425" w:type="pct"/>
          </w:tcPr>
          <w:p w14:paraId="1D356AC3" w14:textId="77777777" w:rsidR="004F12DD" w:rsidRPr="008F721B" w:rsidRDefault="004F12DD" w:rsidP="00CD5E09">
            <w:pPr>
              <w:jc w:val="center"/>
              <w:rPr>
                <w:szCs w:val="24"/>
              </w:rPr>
            </w:pPr>
            <w:r w:rsidRPr="008F721B">
              <w:rPr>
                <w:szCs w:val="24"/>
              </w:rPr>
              <w:t>50</w:t>
            </w:r>
          </w:p>
        </w:tc>
        <w:tc>
          <w:tcPr>
            <w:tcW w:w="490" w:type="pct"/>
          </w:tcPr>
          <w:p w14:paraId="254D75BC" w14:textId="77777777" w:rsidR="004F12DD" w:rsidRPr="008F721B" w:rsidRDefault="004F12DD" w:rsidP="00CD5E09">
            <w:pPr>
              <w:jc w:val="center"/>
              <w:rPr>
                <w:szCs w:val="24"/>
              </w:rPr>
            </w:pPr>
            <w:r w:rsidRPr="008F721B">
              <w:rPr>
                <w:szCs w:val="24"/>
              </w:rPr>
              <w:t>23</w:t>
            </w:r>
          </w:p>
        </w:tc>
        <w:tc>
          <w:tcPr>
            <w:tcW w:w="609" w:type="pct"/>
          </w:tcPr>
          <w:p w14:paraId="27AA7E4C" w14:textId="77777777" w:rsidR="004F12DD" w:rsidRPr="008F721B" w:rsidRDefault="004F12DD" w:rsidP="00CD5E09">
            <w:pPr>
              <w:jc w:val="center"/>
              <w:rPr>
                <w:szCs w:val="24"/>
              </w:rPr>
            </w:pPr>
            <w:r w:rsidRPr="008F721B">
              <w:rPr>
                <w:szCs w:val="24"/>
              </w:rPr>
              <w:t>10</w:t>
            </w:r>
          </w:p>
        </w:tc>
        <w:tc>
          <w:tcPr>
            <w:tcW w:w="687" w:type="pct"/>
          </w:tcPr>
          <w:p w14:paraId="52BBEAA5" w14:textId="77777777" w:rsidR="004F12DD" w:rsidRPr="008F721B" w:rsidRDefault="004F12DD" w:rsidP="00CD5E09">
            <w:pPr>
              <w:jc w:val="center"/>
              <w:rPr>
                <w:szCs w:val="24"/>
              </w:rPr>
            </w:pPr>
            <w:r w:rsidRPr="008F721B">
              <w:rPr>
                <w:szCs w:val="24"/>
              </w:rPr>
              <w:t>10</w:t>
            </w:r>
          </w:p>
        </w:tc>
        <w:tc>
          <w:tcPr>
            <w:tcW w:w="456" w:type="pct"/>
          </w:tcPr>
          <w:p w14:paraId="0E25AF42" w14:textId="77777777" w:rsidR="004F12DD" w:rsidRPr="008F721B" w:rsidRDefault="004F12DD" w:rsidP="00CD5E09">
            <w:pPr>
              <w:jc w:val="center"/>
              <w:rPr>
                <w:szCs w:val="24"/>
              </w:rPr>
            </w:pPr>
            <w:r w:rsidRPr="008F721B">
              <w:rPr>
                <w:szCs w:val="24"/>
              </w:rPr>
              <w:t>н/д</w:t>
            </w:r>
          </w:p>
        </w:tc>
        <w:tc>
          <w:tcPr>
            <w:tcW w:w="515" w:type="pct"/>
          </w:tcPr>
          <w:p w14:paraId="56C13F5B" w14:textId="77777777" w:rsidR="004F12DD" w:rsidRPr="008F721B" w:rsidRDefault="004F12DD" w:rsidP="00CD5E09">
            <w:pPr>
              <w:jc w:val="center"/>
              <w:rPr>
                <w:szCs w:val="24"/>
              </w:rPr>
            </w:pPr>
            <w:r w:rsidRPr="008F721B">
              <w:rPr>
                <w:szCs w:val="24"/>
              </w:rPr>
              <w:t>н/д</w:t>
            </w:r>
          </w:p>
        </w:tc>
        <w:tc>
          <w:tcPr>
            <w:tcW w:w="536" w:type="pct"/>
          </w:tcPr>
          <w:p w14:paraId="4EA871BB" w14:textId="77777777" w:rsidR="004F12DD" w:rsidRPr="008F721B" w:rsidRDefault="004F12DD" w:rsidP="00CD5E09">
            <w:pPr>
              <w:jc w:val="center"/>
              <w:rPr>
                <w:szCs w:val="24"/>
              </w:rPr>
            </w:pPr>
            <w:r w:rsidRPr="008F721B">
              <w:rPr>
                <w:szCs w:val="24"/>
              </w:rPr>
              <w:t>7</w:t>
            </w:r>
          </w:p>
        </w:tc>
      </w:tr>
      <w:tr w:rsidR="004F12DD" w:rsidRPr="008F721B" w14:paraId="353031F2" w14:textId="77777777" w:rsidTr="00CD5E09">
        <w:trPr>
          <w:trHeight w:val="802"/>
        </w:trPr>
        <w:tc>
          <w:tcPr>
            <w:tcW w:w="1279" w:type="pct"/>
          </w:tcPr>
          <w:p w14:paraId="76E5186F" w14:textId="1DEDAE43" w:rsidR="004F12DD" w:rsidRPr="008F721B" w:rsidRDefault="004F12DD" w:rsidP="00CD5E09">
            <w:pPr>
              <w:rPr>
                <w:szCs w:val="24"/>
              </w:rPr>
            </w:pPr>
            <w:r w:rsidRPr="008F721B">
              <w:rPr>
                <w:szCs w:val="24"/>
              </w:rPr>
              <w:t>Benoit F. и соавт.</w:t>
            </w:r>
            <w:r>
              <w:rPr>
                <w:szCs w:val="24"/>
                <w:lang w:val="en-US"/>
              </w:rPr>
              <w:t xml:space="preserve">, 2003 </w:t>
            </w:r>
            <w:r>
              <w:rPr>
                <w:szCs w:val="24"/>
                <w:lang w:val="en-US"/>
              </w:rPr>
              <w:fldChar w:fldCharType="begin" w:fldLock="1"/>
            </w:r>
            <w:r w:rsidR="00A67ED2">
              <w:rPr>
                <w:szCs w:val="24"/>
                <w:lang w:val="en-US"/>
              </w:rPr>
              <w:instrText>ADDIN CSL_CITATION {"citationItems":[{"id":"ITEM-1","itemData":{"DOI":"10.1097/00003246-200301000-00017","ISSN":"00903493","PMID":"12545002","abstract":"Objectives: To assess the outcome and to identify early prognostic indicators in a global population of patients with hematologic malignancy admitted to the intensive care unit for a life-threatening complication. Design: Retrospective observational study. Setting: Medical intensive care unit at a tertiary university hospital. Patients: A total of 124 consecutive critically ill patients with a hematologic malignancy admitted to the intensive care unit during a 3.5-yr period. Measurements: We collected variables at admission and during admission and identified predictors of in-hospital mortality by stepwise logistic regression analysis. Main Results: Mean Acute Physiology and Chronic Health Evaluation II score was 26 ± 7.7. Sixty-one percent had a high-grade malignancy, and 27% had active disease. Thirty-five percent were leukopenic (leukocyte count, &lt;1.0 × 109/L) at admission. Respiratory failure (48%), sepsis (18.5%), and neurologic impairment (17%) were the major reasons for admission at the intensive care unit. Seventy-one percent of the patients required ventilatory support for a median duration of 6 (3-17) days, 46% received vasopressors at admission, and 26.6% needed renal replacement therapy during their intensive care unit stay. A recent bacteremia precipitating intensive care unit admission was found in 21.8% of the patients. Crude intensive care unit, in-hospital, and 6-month mortality rates were 42%, 54%, and 66%, respectively. Four variables were independently associated with outcome in a multivariate logistic regression analysis: leukopenia (odds ratio, 2.9; 95% confidence interval, 1.1-7.7), vasopressors (odds ratio, 3.74; 95% confidence interval, 1.4-9.8), and urea of &gt;0.75 g/L (&gt;12 mmol/L) (odds ratio, 9.4; 95% confidence interval, 4.2-26) at admission were associated with poor outcome, whereas recent bacteremia (odds ratio, 0.17; 95% confidence interval, 0.05-0.58) was associated with better prognosis. Using these variables, we arbitrarily categorized our population into three groups for survival analysis: a low-risk group (low urea with or without either leukopenia or vasopressors, n = 60), an intermediate-risk group (high urea or a combination of leukopenia and vasopressors, n = 34), and a high-risk group (high urea in combination with leukopenia or vasopressors, n = 27). Patients with a bacteremia prompting intensive care unit admission were allocated to a one-step-lower risk group. Survival probabilities at 30 days and 6 months were…","author":[{"dropping-particle":"","family":"Benoit","given":"Dominique D.","non-dropping-particle":"","parse-names":false,"suffix":""},{"dropping-particle":"","family":"Vandewoude","given":"Koenraad H.","non-dropping-particle":"","parse-names":false,"suffix":""},{"dropping-particle":"","family":"Decruyenaere","given":"Johan M.","non-dropping-particle":"","parse-names":false,"suffix":""},{"dropping-particle":"","family":"Hoste","given":"Eric A.","non-dropping-particle":"","parse-names":false,"suffix":""},{"dropping-particle":"","family":"Colardyn","given":"Francis A.","non-dropping-particle":"","parse-names":false,"suffix":""}],"container-title":"Critical Care Medicine","id":"ITEM-1","issue":"1","issued":{"date-parts":[["2003","1","1"]]},"page":"104-112","publisher":"Crit Care Med","title":"Outcome and early prognostic indicators in patients with a hematologic malignancy admitted to the intensive care unit for a life-threatening complication","type":"article-journal","volume":"31"},"uris":["http://www.mendeley.com/documents/?uuid=77f24265-1122-3e43-a99f-99e5c497051b"]}],"mendeley":{"formattedCitation":"[213]","plainTextFormattedCitation":"[213]","previouslyFormattedCitation":"[12]"},"properties":{"noteIndex":0},"schema":"https://github.com/citation-style-language/schema/raw/master/csl-citation.json"}</w:instrText>
            </w:r>
            <w:r>
              <w:rPr>
                <w:szCs w:val="24"/>
                <w:lang w:val="en-US"/>
              </w:rPr>
              <w:fldChar w:fldCharType="separate"/>
            </w:r>
            <w:r w:rsidR="00A67ED2" w:rsidRPr="00A67ED2">
              <w:rPr>
                <w:noProof/>
                <w:szCs w:val="24"/>
                <w:lang w:val="en-US"/>
              </w:rPr>
              <w:t>[213]</w:t>
            </w:r>
            <w:r>
              <w:rPr>
                <w:szCs w:val="24"/>
                <w:lang w:val="en-US"/>
              </w:rPr>
              <w:fldChar w:fldCharType="end"/>
            </w:r>
            <w:r w:rsidRPr="008F721B">
              <w:rPr>
                <w:szCs w:val="24"/>
              </w:rPr>
              <w:t xml:space="preserve"> </w:t>
            </w:r>
          </w:p>
        </w:tc>
        <w:tc>
          <w:tcPr>
            <w:tcW w:w="425" w:type="pct"/>
          </w:tcPr>
          <w:p w14:paraId="4DE75B5A" w14:textId="77777777" w:rsidR="004F12DD" w:rsidRPr="008F721B" w:rsidRDefault="004F12DD" w:rsidP="00CD5E09">
            <w:pPr>
              <w:jc w:val="center"/>
              <w:rPr>
                <w:szCs w:val="24"/>
              </w:rPr>
            </w:pPr>
            <w:r w:rsidRPr="008F721B">
              <w:rPr>
                <w:szCs w:val="24"/>
              </w:rPr>
              <w:t>39,5</w:t>
            </w:r>
          </w:p>
        </w:tc>
        <w:tc>
          <w:tcPr>
            <w:tcW w:w="490" w:type="pct"/>
          </w:tcPr>
          <w:p w14:paraId="3FA85D71" w14:textId="77777777" w:rsidR="004F12DD" w:rsidRPr="008F721B" w:rsidRDefault="004F12DD" w:rsidP="00CD5E09">
            <w:pPr>
              <w:jc w:val="center"/>
              <w:rPr>
                <w:szCs w:val="24"/>
              </w:rPr>
            </w:pPr>
            <w:r w:rsidRPr="008F721B">
              <w:rPr>
                <w:szCs w:val="24"/>
              </w:rPr>
              <w:t>18,5</w:t>
            </w:r>
          </w:p>
        </w:tc>
        <w:tc>
          <w:tcPr>
            <w:tcW w:w="609" w:type="pct"/>
          </w:tcPr>
          <w:p w14:paraId="39159869" w14:textId="77777777" w:rsidR="004F12DD" w:rsidRPr="008F721B" w:rsidRDefault="004F12DD" w:rsidP="00CD5E09">
            <w:pPr>
              <w:jc w:val="center"/>
              <w:rPr>
                <w:szCs w:val="24"/>
              </w:rPr>
            </w:pPr>
            <w:r w:rsidRPr="008F721B">
              <w:rPr>
                <w:szCs w:val="24"/>
              </w:rPr>
              <w:t>17</w:t>
            </w:r>
          </w:p>
        </w:tc>
        <w:tc>
          <w:tcPr>
            <w:tcW w:w="687" w:type="pct"/>
          </w:tcPr>
          <w:p w14:paraId="0C84BE41" w14:textId="77777777" w:rsidR="004F12DD" w:rsidRPr="008F721B" w:rsidRDefault="004F12DD" w:rsidP="00CD5E09">
            <w:pPr>
              <w:jc w:val="center"/>
              <w:rPr>
                <w:szCs w:val="24"/>
              </w:rPr>
            </w:pPr>
            <w:r w:rsidRPr="008F721B">
              <w:rPr>
                <w:szCs w:val="24"/>
              </w:rPr>
              <w:t>13</w:t>
            </w:r>
          </w:p>
        </w:tc>
        <w:tc>
          <w:tcPr>
            <w:tcW w:w="456" w:type="pct"/>
          </w:tcPr>
          <w:p w14:paraId="5B836960" w14:textId="77777777" w:rsidR="004F12DD" w:rsidRPr="008F721B" w:rsidRDefault="004F12DD" w:rsidP="00CD5E09">
            <w:pPr>
              <w:jc w:val="center"/>
              <w:rPr>
                <w:szCs w:val="24"/>
              </w:rPr>
            </w:pPr>
            <w:r w:rsidRPr="008F721B">
              <w:rPr>
                <w:szCs w:val="24"/>
              </w:rPr>
              <w:t>н/д</w:t>
            </w:r>
          </w:p>
        </w:tc>
        <w:tc>
          <w:tcPr>
            <w:tcW w:w="515" w:type="pct"/>
          </w:tcPr>
          <w:p w14:paraId="5B6E76B1" w14:textId="77777777" w:rsidR="004F12DD" w:rsidRPr="008F721B" w:rsidRDefault="004F12DD" w:rsidP="00CD5E09">
            <w:pPr>
              <w:jc w:val="center"/>
              <w:rPr>
                <w:szCs w:val="24"/>
              </w:rPr>
            </w:pPr>
            <w:r w:rsidRPr="008F721B">
              <w:rPr>
                <w:szCs w:val="24"/>
              </w:rPr>
              <w:t>2</w:t>
            </w:r>
          </w:p>
        </w:tc>
        <w:tc>
          <w:tcPr>
            <w:tcW w:w="536" w:type="pct"/>
          </w:tcPr>
          <w:p w14:paraId="37CC56F1" w14:textId="77777777" w:rsidR="004F12DD" w:rsidRPr="008F721B" w:rsidRDefault="004F12DD" w:rsidP="00CD5E09">
            <w:pPr>
              <w:jc w:val="center"/>
              <w:rPr>
                <w:szCs w:val="24"/>
              </w:rPr>
            </w:pPr>
            <w:r w:rsidRPr="008F721B">
              <w:rPr>
                <w:szCs w:val="24"/>
              </w:rPr>
              <w:t>10</w:t>
            </w:r>
          </w:p>
        </w:tc>
      </w:tr>
      <w:tr w:rsidR="004F12DD" w:rsidRPr="008F721B" w14:paraId="6F2908A2" w14:textId="77777777" w:rsidTr="00CD5E09">
        <w:trPr>
          <w:trHeight w:val="822"/>
        </w:trPr>
        <w:tc>
          <w:tcPr>
            <w:tcW w:w="1279" w:type="pct"/>
          </w:tcPr>
          <w:p w14:paraId="14F8D4F4" w14:textId="76360F8F" w:rsidR="004F12DD" w:rsidRPr="008F721B" w:rsidRDefault="004F12DD" w:rsidP="00CD5E09">
            <w:pPr>
              <w:rPr>
                <w:szCs w:val="24"/>
              </w:rPr>
            </w:pPr>
            <w:r w:rsidRPr="008F721B">
              <w:rPr>
                <w:szCs w:val="24"/>
              </w:rPr>
              <w:t xml:space="preserve"> Schellongowski P. и соавт.</w:t>
            </w:r>
            <w:r>
              <w:rPr>
                <w:szCs w:val="24"/>
                <w:lang w:val="en-US"/>
              </w:rPr>
              <w:t xml:space="preserve">, 2011 </w:t>
            </w:r>
            <w:r>
              <w:rPr>
                <w:szCs w:val="24"/>
                <w:lang w:val="en-US"/>
              </w:rPr>
              <w:fldChar w:fldCharType="begin" w:fldLock="1"/>
            </w:r>
            <w:r w:rsidR="00A67ED2">
              <w:rPr>
                <w:szCs w:val="24"/>
                <w:lang w:val="en-US"/>
              </w:rPr>
              <w:instrText>ADDIN CSL_CITATION {"citationItems":[{"id":"ITEM-1","itemData":{"DOI":"10.3324/haematol.2010.031583","ISBN":"1592-8721","ISSN":"03906078","PMID":"21071501","abstract":"Acute myeloid leukemia is a life-threatening disease associated with high mortality rates. A substantial number of patients require intensive care. This investigation analyzes risk factors predicting admission to the intensive care unit in patients with acute myeloid leukemia eligible for induction chemotherapy, the outcome of these patients, and prognostic factors predicting their survival.","author":[{"dropping-particle":"","family":"Schellongowski","given":"Peter","non-dropping-particle":"","parse-names":false,"suffix":""},{"dropping-particle":"","family":"Staudinger","given":"Thomas","non-dropping-particle":"","parse-names":false,"suffix":""},{"dropping-particle":"","family":"Kundi","given":"Michael","non-dropping-particle":"","parse-names":false,"suffix":""},{"dropping-particle":"","family":"Laczika","given":"Klaus","non-dropping-particle":"","parse-names":false,"suffix":""},{"dropping-particle":"","family":"Locker","given":"Gottfried J.","non-dropping-particle":"","parse-names":false,"suffix":""},{"dropping-particle":"","family":"Bojic","given":"Andja","non-dropping-particle":"","parse-names":false,"suffix":""},{"dropping-particle":"","family":"Robak","given":"Oliver","non-dropping-particle":"","parse-names":false,"suffix":""},{"dropping-particle":"","family":"Fuhrmann","given":"Valentin","non-dropping-particle":"","parse-names":false,"suffix":""},{"dropping-particle":"","family":"Jäger","given":"Ulrich","non-dropping-particle":"","parse-names":false,"suffix":""},{"dropping-particle":"","family":"Valent","given":"Peter","non-dropping-particle":"","parse-names":false,"suffix":""},{"dropping-particle":"","family":"Sperr","given":"Wolfgang R.","non-dropping-particle":"","parse-names":false,"suffix":""}],"container-title":"Haematologica","id":"ITEM-1","issue":"2","issued":{"date-parts":[["2011","2"]]},"page":"231-237","title":"Prognostic factors for intensive care unit admission, intensive care outcome, and post-intensive care survival in patients with de novo acute myeloid leukemia: a single center experience","type":"article-journal","volume":"96"},"uris":["http://www.mendeley.com/documents/?uuid=7251567b-1fba-40bf-b96a-3bcd8583314e"]}],"mendeley":{"formattedCitation":"[203]","plainTextFormattedCitation":"[203]","previouslyFormattedCitation":"[2]"},"properties":{"noteIndex":0},"schema":"https://github.com/citation-style-language/schema/raw/master/csl-citation.json"}</w:instrText>
            </w:r>
            <w:r>
              <w:rPr>
                <w:szCs w:val="24"/>
                <w:lang w:val="en-US"/>
              </w:rPr>
              <w:fldChar w:fldCharType="separate"/>
            </w:r>
            <w:r w:rsidR="00A67ED2" w:rsidRPr="00A67ED2">
              <w:rPr>
                <w:noProof/>
                <w:szCs w:val="24"/>
                <w:lang w:val="en-US"/>
              </w:rPr>
              <w:t>[203]</w:t>
            </w:r>
            <w:r>
              <w:rPr>
                <w:szCs w:val="24"/>
                <w:lang w:val="en-US"/>
              </w:rPr>
              <w:fldChar w:fldCharType="end"/>
            </w:r>
            <w:r w:rsidRPr="008F721B">
              <w:rPr>
                <w:szCs w:val="24"/>
              </w:rPr>
              <w:t xml:space="preserve"> </w:t>
            </w:r>
          </w:p>
        </w:tc>
        <w:tc>
          <w:tcPr>
            <w:tcW w:w="425" w:type="pct"/>
          </w:tcPr>
          <w:p w14:paraId="290E456C" w14:textId="77777777" w:rsidR="004F12DD" w:rsidRPr="008F721B" w:rsidRDefault="004F12DD" w:rsidP="00CD5E09">
            <w:pPr>
              <w:jc w:val="center"/>
              <w:rPr>
                <w:szCs w:val="24"/>
              </w:rPr>
            </w:pPr>
            <w:r w:rsidRPr="008F721B">
              <w:rPr>
                <w:szCs w:val="24"/>
              </w:rPr>
              <w:t>50</w:t>
            </w:r>
          </w:p>
        </w:tc>
        <w:tc>
          <w:tcPr>
            <w:tcW w:w="490" w:type="pct"/>
          </w:tcPr>
          <w:p w14:paraId="2389FD3A" w14:textId="77777777" w:rsidR="004F12DD" w:rsidRPr="008F721B" w:rsidRDefault="004F12DD" w:rsidP="00CD5E09">
            <w:pPr>
              <w:jc w:val="center"/>
              <w:rPr>
                <w:szCs w:val="24"/>
              </w:rPr>
            </w:pPr>
            <w:r w:rsidRPr="008F721B">
              <w:rPr>
                <w:szCs w:val="24"/>
              </w:rPr>
              <w:t>8</w:t>
            </w:r>
          </w:p>
        </w:tc>
        <w:tc>
          <w:tcPr>
            <w:tcW w:w="609" w:type="pct"/>
          </w:tcPr>
          <w:p w14:paraId="7FC46E5C" w14:textId="77777777" w:rsidR="004F12DD" w:rsidRPr="008F721B" w:rsidRDefault="004F12DD" w:rsidP="00CD5E09">
            <w:pPr>
              <w:jc w:val="center"/>
              <w:rPr>
                <w:szCs w:val="24"/>
              </w:rPr>
            </w:pPr>
            <w:r w:rsidRPr="008F721B">
              <w:rPr>
                <w:szCs w:val="24"/>
              </w:rPr>
              <w:t>н/д</w:t>
            </w:r>
          </w:p>
        </w:tc>
        <w:tc>
          <w:tcPr>
            <w:tcW w:w="687" w:type="pct"/>
          </w:tcPr>
          <w:p w14:paraId="2DCACCE3" w14:textId="77777777" w:rsidR="004F12DD" w:rsidRPr="008F721B" w:rsidRDefault="004F12DD" w:rsidP="00CD5E09">
            <w:pPr>
              <w:jc w:val="center"/>
              <w:rPr>
                <w:szCs w:val="24"/>
              </w:rPr>
            </w:pPr>
            <w:r w:rsidRPr="008F721B">
              <w:rPr>
                <w:szCs w:val="24"/>
              </w:rPr>
              <w:t>3,2</w:t>
            </w:r>
          </w:p>
        </w:tc>
        <w:tc>
          <w:tcPr>
            <w:tcW w:w="456" w:type="pct"/>
          </w:tcPr>
          <w:p w14:paraId="5822F7E8" w14:textId="77777777" w:rsidR="004F12DD" w:rsidRPr="008F721B" w:rsidRDefault="004F12DD" w:rsidP="00CD5E09">
            <w:pPr>
              <w:jc w:val="center"/>
              <w:rPr>
                <w:szCs w:val="24"/>
              </w:rPr>
            </w:pPr>
            <w:r w:rsidRPr="008F721B">
              <w:rPr>
                <w:szCs w:val="24"/>
              </w:rPr>
              <w:t>3,2</w:t>
            </w:r>
          </w:p>
        </w:tc>
        <w:tc>
          <w:tcPr>
            <w:tcW w:w="515" w:type="pct"/>
          </w:tcPr>
          <w:p w14:paraId="508D5825" w14:textId="77777777" w:rsidR="004F12DD" w:rsidRPr="008F721B" w:rsidRDefault="004F12DD" w:rsidP="00CD5E09">
            <w:pPr>
              <w:jc w:val="center"/>
              <w:rPr>
                <w:szCs w:val="24"/>
              </w:rPr>
            </w:pPr>
            <w:r w:rsidRPr="008F721B">
              <w:rPr>
                <w:szCs w:val="24"/>
              </w:rPr>
              <w:t>22</w:t>
            </w:r>
          </w:p>
        </w:tc>
        <w:tc>
          <w:tcPr>
            <w:tcW w:w="536" w:type="pct"/>
          </w:tcPr>
          <w:p w14:paraId="597B6D9D" w14:textId="77777777" w:rsidR="004F12DD" w:rsidRPr="008F721B" w:rsidRDefault="004F12DD" w:rsidP="00CD5E09">
            <w:pPr>
              <w:jc w:val="center"/>
              <w:rPr>
                <w:szCs w:val="24"/>
              </w:rPr>
            </w:pPr>
            <w:r w:rsidRPr="008F721B">
              <w:rPr>
                <w:szCs w:val="24"/>
              </w:rPr>
              <w:t>н/д</w:t>
            </w:r>
          </w:p>
        </w:tc>
      </w:tr>
      <w:tr w:rsidR="004F12DD" w:rsidRPr="008F721B" w14:paraId="25D58BE2" w14:textId="77777777" w:rsidTr="00CD5E09">
        <w:trPr>
          <w:trHeight w:val="822"/>
        </w:trPr>
        <w:tc>
          <w:tcPr>
            <w:tcW w:w="1279" w:type="pct"/>
          </w:tcPr>
          <w:p w14:paraId="143D1E93" w14:textId="5BC73A8D" w:rsidR="004F12DD" w:rsidRPr="008F721B" w:rsidRDefault="004F12DD" w:rsidP="00CD5E09">
            <w:pPr>
              <w:rPr>
                <w:szCs w:val="24"/>
              </w:rPr>
            </w:pPr>
            <w:r w:rsidRPr="008F721B">
              <w:rPr>
                <w:szCs w:val="24"/>
              </w:rPr>
              <w:t>Grgić M. и соавт.</w:t>
            </w:r>
            <w:r>
              <w:rPr>
                <w:szCs w:val="24"/>
                <w:lang w:val="en-US"/>
              </w:rPr>
              <w:t xml:space="preserve">, 2014 </w:t>
            </w:r>
            <w:r>
              <w:rPr>
                <w:szCs w:val="24"/>
                <w:lang w:val="en-US"/>
              </w:rPr>
              <w:fldChar w:fldCharType="begin" w:fldLock="1"/>
            </w:r>
            <w:r w:rsidR="00A67ED2">
              <w:rPr>
                <w:szCs w:val="24"/>
                <w:lang w:val="en-US"/>
              </w:rPr>
              <w:instrText>ADDIN CSL_CITATION {"citationItems":[{"id":"ITEM-1","itemData":{"DOI":"10.1179/1607845414Y.0000000206","ISSN":"16078454","PMID":"25310461","abstract":"Objectives: To analyze clinical characteristics, treatment, outcomes of critically ill patients with hematologic malignancies (HM) admitted to the medical intensive care unit (ICU) and to identify predictors of adverse outcome. Methods:We analyzed prospectively 170 patients. Data included: demographic characteristics, hematologic diagnosis, reasons for ICU admission, transplant status, the presence of neutropenia, acute physiology and chronic health evaluation-II and sequential organ failure assessment scores, and level of organ support. Predictors of ICU mortality were evaluated using univariate and multivariate analysis. Results: In total, 73% of patients had high-grade malignancy, 47.6% received intensive chemotherapy before admission, and 30% underwent hematologic stem cell transplantation procedure. In total, 116 (68.2%) of patients were mechanically ventilated; 88 (51.8%) required invasive mechanical ventilation (MV). Noninvasive ventilation started in 28 (16.5%) patients and was successful in 11 (6.5%). The ICU mortality rate was 53.5%, and the mortality of MV patients was 75.9%. Need for vasopressors at admission and MV were identified as independent predictors of fatal outcome. Conclusion: The ICU mortality of critically ill patients with HM is high, particularly in the group of MV. Need for vasopressors at admission and MV were independent predictors of ICU mortality. Majority of patients required invasive MV due to severe respiratory failure and non-invasive MV was sufficient only in small number of cases with favorable outcome.","author":[{"dropping-particle":"","family":"Medić","given":"Marijana Grgić","non-dropping-particle":"","parse-names":false,"suffix":""},{"dropping-particle":"","family":"Gornik","given":"Ivan","non-dropping-particle":"","parse-names":false,"suffix":""},{"dropping-particle":"","family":"Gornik","given":"Ivan","non-dropping-particle":"","parse-names":false,"suffix":""},{"dropping-particle":"","family":"Gašparović","given":"Vladimir","non-dropping-particle":"","parse-names":false,"suffix":""},{"dropping-particle":"","family":"Gašparović","given":"Vladimir","non-dropping-particle":"","parse-names":false,"suffix":""}],"container-title":"Hematology","id":"ITEM-1","issue":"5","issued":{"date-parts":[["2015"]]},"page":"247-253","publisher":"Maney Publishing","title":"Hematologic malignancies in the medical intensive care unit – Outcomes and prognostic factors","type":"article-journal","volume":"20"},"uris":["http://www.mendeley.com/documents/?uuid=fb502aa6-e4e8-3f2b-9965-ccaad23e1eee"]}],"mendeley":{"formattedCitation":"[214]","plainTextFormattedCitation":"[214]","previouslyFormattedCitation":"[13]"},"properties":{"noteIndex":0},"schema":"https://github.com/citation-style-language/schema/raw/master/csl-citation.json"}</w:instrText>
            </w:r>
            <w:r>
              <w:rPr>
                <w:szCs w:val="24"/>
                <w:lang w:val="en-US"/>
              </w:rPr>
              <w:fldChar w:fldCharType="separate"/>
            </w:r>
            <w:r w:rsidR="00A67ED2" w:rsidRPr="00A67ED2">
              <w:rPr>
                <w:noProof/>
                <w:szCs w:val="24"/>
                <w:lang w:val="en-US"/>
              </w:rPr>
              <w:t>[214]</w:t>
            </w:r>
            <w:r>
              <w:rPr>
                <w:szCs w:val="24"/>
                <w:lang w:val="en-US"/>
              </w:rPr>
              <w:fldChar w:fldCharType="end"/>
            </w:r>
            <w:r w:rsidRPr="008F721B">
              <w:rPr>
                <w:szCs w:val="24"/>
              </w:rPr>
              <w:t xml:space="preserve"> </w:t>
            </w:r>
          </w:p>
        </w:tc>
        <w:tc>
          <w:tcPr>
            <w:tcW w:w="425" w:type="pct"/>
          </w:tcPr>
          <w:p w14:paraId="07CA9A4A" w14:textId="77777777" w:rsidR="004F12DD" w:rsidRPr="008F721B" w:rsidRDefault="004F12DD" w:rsidP="00CD5E09">
            <w:pPr>
              <w:jc w:val="center"/>
              <w:rPr>
                <w:szCs w:val="24"/>
              </w:rPr>
            </w:pPr>
            <w:r w:rsidRPr="008F721B">
              <w:rPr>
                <w:szCs w:val="24"/>
              </w:rPr>
              <w:t>45</w:t>
            </w:r>
          </w:p>
        </w:tc>
        <w:tc>
          <w:tcPr>
            <w:tcW w:w="490" w:type="pct"/>
          </w:tcPr>
          <w:p w14:paraId="028DB4CB" w14:textId="77777777" w:rsidR="004F12DD" w:rsidRPr="008F721B" w:rsidRDefault="004F12DD" w:rsidP="00CD5E09">
            <w:pPr>
              <w:jc w:val="center"/>
              <w:rPr>
                <w:szCs w:val="24"/>
              </w:rPr>
            </w:pPr>
            <w:r w:rsidRPr="008F721B">
              <w:rPr>
                <w:szCs w:val="24"/>
              </w:rPr>
              <w:t>37</w:t>
            </w:r>
          </w:p>
        </w:tc>
        <w:tc>
          <w:tcPr>
            <w:tcW w:w="609" w:type="pct"/>
          </w:tcPr>
          <w:p w14:paraId="115D9429" w14:textId="77777777" w:rsidR="004F12DD" w:rsidRPr="008F721B" w:rsidRDefault="004F12DD" w:rsidP="00CD5E09">
            <w:pPr>
              <w:jc w:val="center"/>
              <w:rPr>
                <w:szCs w:val="24"/>
              </w:rPr>
            </w:pPr>
            <w:r w:rsidRPr="008F721B">
              <w:rPr>
                <w:szCs w:val="24"/>
              </w:rPr>
              <w:t>5</w:t>
            </w:r>
          </w:p>
        </w:tc>
        <w:tc>
          <w:tcPr>
            <w:tcW w:w="687" w:type="pct"/>
          </w:tcPr>
          <w:p w14:paraId="4E099627" w14:textId="77777777" w:rsidR="004F12DD" w:rsidRPr="008F721B" w:rsidRDefault="004F12DD" w:rsidP="00CD5E09">
            <w:pPr>
              <w:jc w:val="center"/>
              <w:rPr>
                <w:szCs w:val="24"/>
              </w:rPr>
            </w:pPr>
            <w:r w:rsidRPr="008F721B">
              <w:rPr>
                <w:szCs w:val="24"/>
              </w:rPr>
              <w:t>н/д</w:t>
            </w:r>
          </w:p>
        </w:tc>
        <w:tc>
          <w:tcPr>
            <w:tcW w:w="456" w:type="pct"/>
          </w:tcPr>
          <w:p w14:paraId="60D23BEB" w14:textId="77777777" w:rsidR="004F12DD" w:rsidRPr="008F721B" w:rsidRDefault="004F12DD" w:rsidP="00CD5E09">
            <w:pPr>
              <w:jc w:val="center"/>
              <w:rPr>
                <w:szCs w:val="24"/>
              </w:rPr>
            </w:pPr>
            <w:r w:rsidRPr="008F721B">
              <w:rPr>
                <w:szCs w:val="24"/>
              </w:rPr>
              <w:t>н/д</w:t>
            </w:r>
          </w:p>
        </w:tc>
        <w:tc>
          <w:tcPr>
            <w:tcW w:w="515" w:type="pct"/>
          </w:tcPr>
          <w:p w14:paraId="7C5199D5" w14:textId="77777777" w:rsidR="004F12DD" w:rsidRPr="008F721B" w:rsidRDefault="004F12DD" w:rsidP="00CD5E09">
            <w:pPr>
              <w:jc w:val="center"/>
              <w:rPr>
                <w:szCs w:val="24"/>
              </w:rPr>
            </w:pPr>
            <w:r w:rsidRPr="008F721B">
              <w:rPr>
                <w:szCs w:val="24"/>
              </w:rPr>
              <w:t>н/д</w:t>
            </w:r>
          </w:p>
        </w:tc>
        <w:tc>
          <w:tcPr>
            <w:tcW w:w="536" w:type="pct"/>
          </w:tcPr>
          <w:p w14:paraId="61877D0F" w14:textId="77777777" w:rsidR="004F12DD" w:rsidRPr="008F721B" w:rsidRDefault="004F12DD" w:rsidP="00CD5E09">
            <w:pPr>
              <w:jc w:val="center"/>
              <w:rPr>
                <w:szCs w:val="24"/>
              </w:rPr>
            </w:pPr>
            <w:r w:rsidRPr="008F721B">
              <w:rPr>
                <w:szCs w:val="24"/>
              </w:rPr>
              <w:t>13</w:t>
            </w:r>
          </w:p>
        </w:tc>
      </w:tr>
      <w:tr w:rsidR="004F12DD" w:rsidRPr="008F721B" w14:paraId="254F1FAA" w14:textId="77777777" w:rsidTr="00CD5E09">
        <w:trPr>
          <w:trHeight w:val="401"/>
        </w:trPr>
        <w:tc>
          <w:tcPr>
            <w:tcW w:w="1279" w:type="pct"/>
          </w:tcPr>
          <w:p w14:paraId="0C641201" w14:textId="515D53AD" w:rsidR="004F12DD" w:rsidRPr="008F721B" w:rsidRDefault="004F12DD" w:rsidP="00CD5E09">
            <w:pPr>
              <w:rPr>
                <w:szCs w:val="24"/>
              </w:rPr>
            </w:pPr>
            <w:r w:rsidRPr="008F721B">
              <w:rPr>
                <w:szCs w:val="24"/>
              </w:rPr>
              <w:lastRenderedPageBreak/>
              <w:t>Jackson K. и соавт.</w:t>
            </w:r>
            <w:r>
              <w:rPr>
                <w:szCs w:val="24"/>
              </w:rPr>
              <w:t xml:space="preserve">, 2014 </w:t>
            </w:r>
            <w:r>
              <w:rPr>
                <w:szCs w:val="24"/>
                <w:lang w:val="en-US"/>
              </w:rPr>
              <w:fldChar w:fldCharType="begin" w:fldLock="1"/>
            </w:r>
            <w:r w:rsidR="00A67ED2">
              <w:rPr>
                <w:szCs w:val="24"/>
                <w:lang w:val="en-US"/>
              </w:rPr>
              <w:instrText>ADDIN CSL_CITATION {"citationItems":[{"id":"ITEM-1","itemData":{"DOI":"10.3109/10428194.2013.796045","ISBN":"6173176211","ISSN":"1029-2403","PMID":"23597137","abstract":"Patients receiving treatment for acute myeloid leukemia (AML) commonly experience life-threatening complications requiring intensive care unit (ICU) support. This is a retrospective study of 505 patients with newly diagnosed AML who were treated with intensive chemotherapy between January 1999 and December 2010. Eighty-three patients (16.4%) were identified who had required 92 ICU admissions. The indication for ICU admission was hemodynamic instability in 47.0% of patients and respiratory impairment in 42.2%. The underlying pathology was most commonly infection (77.1%). Vasopressors were required in 67.5% of admissions, mechanical ventilation in 60.2% and hemodialysis in 15.7%. Rates of survival to hospital discharge and 12 months were 59.0% and 41.3%, respectively. Mechanical ventilation use and higher fibrinogen were independently associated with mortality prior to hospital discharge, and mechanical ventilation use and AML cytogenetic risk group were predictive of mortality within 12 months of ICU admission. By providing a more accurate estimation of a patient's chance of recovery, such prognostic factors may contribute to decision-making about the appropriateness of admission to the ICU or continuation of intensive life-sustaining measures.","author":[{"dropping-particle":"","family":"Jackson","given":"Kathryn","non-dropping-particle":"","parse-names":false,"suffix":""},{"dropping-particle":"","family":"Mollee","given":"Peter","non-dropping-particle":"","parse-names":false,"suffix":""},{"dropping-particle":"","family":"Morris","given":"Kirk","non-dropping-particle":"","parse-names":false,"suffix":""},{"dropping-particle":"","family":"Butler","given":"Jason","non-dropping-particle":"","parse-names":false,"suffix":""},{"dropping-particle":"","family":"Jackson","given":"Dwane","non-dropping-particle":"","parse-names":false,"suffix":""},{"dropping-particle":"","family":"Kruger","given":"Peter","non-dropping-particle":"","parse-names":false,"suffix":""},{"dropping-particle":"","family":"Klein","given":"Kerenaftali","non-dropping-particle":"","parse-names":false,"suffix":""},{"dropping-particle":"","family":"Kennedy","given":"Glen","non-dropping-particle":"","parse-names":false,"suffix":""}],"container-title":"Leukemia &amp; lymphoma","id":"ITEM-1","issue":"April","issued":{"date-parts":[["2013","1"]]},"page":"1-8","publisher":"Leuk Lymphoma","title":"Outcomes and prognostic factors for patients with acute myeloid leukemia admitted to the intensive care unit","type":"article-journal","volume":"55"},"uris":["http://www.mendeley.com/documents/?uuid=af5715ea-f420-4629-9acb-36739876454f"]}],"mendeley":{"formattedCitation":"[205]","plainTextFormattedCitation":"[205]","previouslyFormattedCitation":"[4]"},"properties":{"noteIndex":0},"schema":"https://github.com/citation-style-language/schema/raw/master/csl-citation.json"}</w:instrText>
            </w:r>
            <w:r>
              <w:rPr>
                <w:szCs w:val="24"/>
                <w:lang w:val="en-US"/>
              </w:rPr>
              <w:fldChar w:fldCharType="separate"/>
            </w:r>
            <w:r w:rsidR="00A67ED2" w:rsidRPr="00A67ED2">
              <w:rPr>
                <w:noProof/>
                <w:szCs w:val="24"/>
                <w:lang w:val="en-US"/>
              </w:rPr>
              <w:t>[205]</w:t>
            </w:r>
            <w:r>
              <w:rPr>
                <w:szCs w:val="24"/>
                <w:lang w:val="en-US"/>
              </w:rPr>
              <w:fldChar w:fldCharType="end"/>
            </w:r>
            <w:r w:rsidRPr="008F721B">
              <w:rPr>
                <w:szCs w:val="24"/>
              </w:rPr>
              <w:t xml:space="preserve"> </w:t>
            </w:r>
          </w:p>
        </w:tc>
        <w:tc>
          <w:tcPr>
            <w:tcW w:w="425" w:type="pct"/>
          </w:tcPr>
          <w:p w14:paraId="76136CFA" w14:textId="77777777" w:rsidR="004F12DD" w:rsidRPr="008F721B" w:rsidRDefault="004F12DD" w:rsidP="00CD5E09">
            <w:pPr>
              <w:jc w:val="center"/>
              <w:rPr>
                <w:szCs w:val="24"/>
              </w:rPr>
            </w:pPr>
            <w:r w:rsidRPr="008F721B">
              <w:rPr>
                <w:szCs w:val="24"/>
              </w:rPr>
              <w:t>47</w:t>
            </w:r>
          </w:p>
        </w:tc>
        <w:tc>
          <w:tcPr>
            <w:tcW w:w="490" w:type="pct"/>
          </w:tcPr>
          <w:p w14:paraId="6248B0FF" w14:textId="77777777" w:rsidR="004F12DD" w:rsidRPr="008F721B" w:rsidRDefault="004F12DD" w:rsidP="00CD5E09">
            <w:pPr>
              <w:jc w:val="center"/>
              <w:rPr>
                <w:szCs w:val="24"/>
              </w:rPr>
            </w:pPr>
            <w:r w:rsidRPr="008F721B">
              <w:rPr>
                <w:szCs w:val="24"/>
              </w:rPr>
              <w:t>42</w:t>
            </w:r>
          </w:p>
        </w:tc>
        <w:tc>
          <w:tcPr>
            <w:tcW w:w="609" w:type="pct"/>
          </w:tcPr>
          <w:p w14:paraId="19BB2259" w14:textId="77777777" w:rsidR="004F12DD" w:rsidRPr="008F721B" w:rsidRDefault="004F12DD" w:rsidP="00CD5E09">
            <w:pPr>
              <w:jc w:val="center"/>
              <w:rPr>
                <w:szCs w:val="24"/>
              </w:rPr>
            </w:pPr>
            <w:r w:rsidRPr="008F721B">
              <w:rPr>
                <w:szCs w:val="24"/>
              </w:rPr>
              <w:t>н/д</w:t>
            </w:r>
          </w:p>
        </w:tc>
        <w:tc>
          <w:tcPr>
            <w:tcW w:w="687" w:type="pct"/>
          </w:tcPr>
          <w:p w14:paraId="3B215F8A" w14:textId="77777777" w:rsidR="004F12DD" w:rsidRPr="008F721B" w:rsidRDefault="004F12DD" w:rsidP="00CD5E09">
            <w:pPr>
              <w:jc w:val="center"/>
              <w:rPr>
                <w:szCs w:val="24"/>
              </w:rPr>
            </w:pPr>
            <w:r w:rsidRPr="008F721B">
              <w:rPr>
                <w:szCs w:val="24"/>
              </w:rPr>
              <w:t>н/д</w:t>
            </w:r>
          </w:p>
        </w:tc>
        <w:tc>
          <w:tcPr>
            <w:tcW w:w="456" w:type="pct"/>
          </w:tcPr>
          <w:p w14:paraId="0A5AF53F" w14:textId="77777777" w:rsidR="004F12DD" w:rsidRPr="008F721B" w:rsidRDefault="004F12DD" w:rsidP="00CD5E09">
            <w:pPr>
              <w:jc w:val="center"/>
              <w:rPr>
                <w:szCs w:val="24"/>
              </w:rPr>
            </w:pPr>
            <w:r w:rsidRPr="008F721B">
              <w:rPr>
                <w:szCs w:val="24"/>
              </w:rPr>
              <w:t>н/д</w:t>
            </w:r>
          </w:p>
        </w:tc>
        <w:tc>
          <w:tcPr>
            <w:tcW w:w="515" w:type="pct"/>
          </w:tcPr>
          <w:p w14:paraId="5E7F29A2" w14:textId="77777777" w:rsidR="004F12DD" w:rsidRPr="008F721B" w:rsidRDefault="004F12DD" w:rsidP="00CD5E09">
            <w:pPr>
              <w:jc w:val="center"/>
              <w:rPr>
                <w:szCs w:val="24"/>
              </w:rPr>
            </w:pPr>
            <w:r w:rsidRPr="008F721B">
              <w:rPr>
                <w:szCs w:val="24"/>
              </w:rPr>
              <w:t>7,2</w:t>
            </w:r>
          </w:p>
        </w:tc>
        <w:tc>
          <w:tcPr>
            <w:tcW w:w="536" w:type="pct"/>
          </w:tcPr>
          <w:p w14:paraId="4F6D0B16" w14:textId="77777777" w:rsidR="004F12DD" w:rsidRPr="008F721B" w:rsidRDefault="004F12DD" w:rsidP="00CD5E09">
            <w:pPr>
              <w:jc w:val="center"/>
              <w:rPr>
                <w:szCs w:val="24"/>
              </w:rPr>
            </w:pPr>
            <w:r w:rsidRPr="008F721B">
              <w:rPr>
                <w:szCs w:val="24"/>
              </w:rPr>
              <w:t>н/д</w:t>
            </w:r>
          </w:p>
        </w:tc>
      </w:tr>
      <w:tr w:rsidR="004F12DD" w:rsidRPr="008F721B" w14:paraId="23B0EEC9" w14:textId="77777777" w:rsidTr="00CD5E09">
        <w:trPr>
          <w:trHeight w:val="401"/>
        </w:trPr>
        <w:tc>
          <w:tcPr>
            <w:tcW w:w="1279" w:type="pct"/>
          </w:tcPr>
          <w:p w14:paraId="677E79F9" w14:textId="670C566C" w:rsidR="004F12DD" w:rsidRPr="008F721B" w:rsidRDefault="004F12DD" w:rsidP="00CD5E09">
            <w:pPr>
              <w:rPr>
                <w:szCs w:val="24"/>
              </w:rPr>
            </w:pPr>
            <w:r w:rsidRPr="008F721B">
              <w:rPr>
                <w:szCs w:val="24"/>
              </w:rPr>
              <w:t>Ahmed T. и соавт.</w:t>
            </w:r>
            <w:r>
              <w:rPr>
                <w:szCs w:val="24"/>
                <w:lang w:val="en-US"/>
              </w:rPr>
              <w:t>, 2017</w:t>
            </w:r>
            <w:r w:rsidRPr="008F721B">
              <w:rPr>
                <w:szCs w:val="24"/>
              </w:rPr>
              <w:t xml:space="preserve"> </w:t>
            </w:r>
            <w:r>
              <w:rPr>
                <w:szCs w:val="24"/>
              </w:rPr>
              <w:fldChar w:fldCharType="begin" w:fldLock="1"/>
            </w:r>
            <w:r w:rsidR="00A67ED2">
              <w:rPr>
                <w:szCs w:val="24"/>
              </w:rPr>
              <w:instrText>ADDIN CSL_CITATION {"citationItems":[{"id":"ITEM-1","itemData":{"DOI":"10.1016/j.leukres.2017.09.017","ISSN":"18735835","PMID":"28985622","abstract":"Patients with Acute Myeloid Leukemia (AML) have compromised marrow function and chemotherapy causes further suppression. As a result complications are frequent, and patients may require admission to the intensive care unit (ICU). How codes status changes when these events occur and how those changes influence outcome are largely unknown. Outcomes for adult patients with AML, undergoing induction chemotherapy, and transferred to the ICU between January 2000 and December 2013 were analyzed. 94 patients were included. Median survival was 1.3 months. At 3 and 6 months overall survival (OS) was 27% and 18% respectively. Respiratory failure was the most common reason for transfer to ICU (88%), with 63% requiring mechanical ventilation at transfer. Other reasons included: cardiac arrest (18%), septic shock (17%), hypotension (9%), and acute renal failure (9%). The most frequent interventions were mechanical ventilation in 85%, vasopressors in 62%, and hemodialysis in 30%. Following transfer 55 patients (58%) had a change in code status. Overall, 46 patients (49%) changed from Full Code (FC) to Comfort Care (CC), 7 (7%) from FC to Do Not Resuscitate (DNR), and 2 (2%) from DNR to CC. For the entire cohort, ICU mortality (IM) was 61% and hospital mortality (HM) was 71%. For FC or DNR patients, IM was 30% and HM was 41%. For CC patients, IM was 90% and HM was 100%. Overall, 27 patients (29%) survived to discharge. Of those discharged, 22 (81%) were alive at 3 months and 17 (63%) were alive at 6 months. In conclusion, patients that required ICU admission during induction chemotherapy have a poor prognosis. Code status changed during the ICU stay for the majority of patients and always to a less aggressive status.","author":[{"dropping-particle":"","family":"Ahmed","given":"Tamjeed","non-dropping-particle":"","parse-names":false,"suffix":""},{"dropping-particle":"","family":"Koch","given":"Abby L.","non-dropping-particle":"","parse-names":false,"suffix":""},{"dropping-particle":"","family":"Isom","given":"Scott","non-dropping-particle":"","parse-names":false,"suffix":""},{"dropping-particle":"","family":"Klepin","given":"Heidi D.","non-dropping-particle":"","parse-names":false,"suffix":""},{"dropping-particle":"","family":"Bishop","given":"Jonathan M.","non-dropping-particle":"","parse-names":false,"suffix":""},{"dropping-particle":"","family":"Ellis","given":"Leslie R.","non-dropping-particle":"","parse-names":false,"suffix":""},{"dropping-particle":"","family":"Berenzon","given":"Dmitriy","non-dropping-particle":"","parse-names":false,"suffix":""},{"dropping-particle":"","family":"Howard","given":"Dianna","non-dropping-particle":"","parse-names":false,"suffix":""},{"dropping-particle":"","family":"Lyerly","given":"Susan","non-dropping-particle":"","parse-names":false,"suffix":""},{"dropping-particle":"","family":"Powell","given":"Bayard L.","non-dropping-particle":"","parse-names":false,"suffix":""},{"dropping-particle":"","family":"Pardee","given":"Timothy S.","non-dropping-particle":"","parse-names":false,"suffix":""}],"container-title":"Leukemia Research","id":"ITEM-1","issued":{"date-parts":[["2017","11","1"]]},"page":"51-55","publisher":"Elsevier Ltd","title":"Outcomes and changes in code status of patients with acute myeloid leukemia undergoing induction chemotherapy who were transferred to the intensive care unit","type":"article-journal","volume":"62"},"uris":["http://www.mendeley.com/documents/?uuid=06d1336d-0ad4-3138-ba61-9709dde152aa"]}],"mendeley":{"formattedCitation":"[215]","plainTextFormattedCitation":"[215]","previouslyFormattedCitation":"[14]"},"properties":{"noteIndex":0},"schema":"https://github.com/citation-style-language/schema/raw/master/csl-citation.json"}</w:instrText>
            </w:r>
            <w:r>
              <w:rPr>
                <w:szCs w:val="24"/>
              </w:rPr>
              <w:fldChar w:fldCharType="separate"/>
            </w:r>
            <w:r w:rsidR="00A67ED2" w:rsidRPr="00A67ED2">
              <w:rPr>
                <w:noProof/>
                <w:szCs w:val="24"/>
              </w:rPr>
              <w:t>[215]</w:t>
            </w:r>
            <w:r>
              <w:rPr>
                <w:szCs w:val="24"/>
              </w:rPr>
              <w:fldChar w:fldCharType="end"/>
            </w:r>
          </w:p>
        </w:tc>
        <w:tc>
          <w:tcPr>
            <w:tcW w:w="425" w:type="pct"/>
          </w:tcPr>
          <w:p w14:paraId="7A1A2EA7" w14:textId="77777777" w:rsidR="004F12DD" w:rsidRPr="008F721B" w:rsidRDefault="004F12DD" w:rsidP="00CD5E09">
            <w:pPr>
              <w:jc w:val="center"/>
              <w:rPr>
                <w:szCs w:val="24"/>
              </w:rPr>
            </w:pPr>
            <w:r w:rsidRPr="008F721B">
              <w:rPr>
                <w:szCs w:val="24"/>
              </w:rPr>
              <w:t>88</w:t>
            </w:r>
          </w:p>
        </w:tc>
        <w:tc>
          <w:tcPr>
            <w:tcW w:w="490" w:type="pct"/>
          </w:tcPr>
          <w:p w14:paraId="597CBDC5" w14:textId="77777777" w:rsidR="004F12DD" w:rsidRPr="008F721B" w:rsidRDefault="004F12DD" w:rsidP="00CD5E09">
            <w:pPr>
              <w:jc w:val="center"/>
              <w:rPr>
                <w:szCs w:val="24"/>
              </w:rPr>
            </w:pPr>
            <w:r w:rsidRPr="008F721B">
              <w:rPr>
                <w:szCs w:val="24"/>
              </w:rPr>
              <w:t>17</w:t>
            </w:r>
          </w:p>
        </w:tc>
        <w:tc>
          <w:tcPr>
            <w:tcW w:w="609" w:type="pct"/>
          </w:tcPr>
          <w:p w14:paraId="21890735" w14:textId="77777777" w:rsidR="004F12DD" w:rsidRPr="008F721B" w:rsidRDefault="004F12DD" w:rsidP="00CD5E09">
            <w:pPr>
              <w:jc w:val="center"/>
              <w:rPr>
                <w:szCs w:val="24"/>
              </w:rPr>
            </w:pPr>
            <w:r w:rsidRPr="008F721B">
              <w:rPr>
                <w:szCs w:val="24"/>
              </w:rPr>
              <w:t>н/д</w:t>
            </w:r>
          </w:p>
        </w:tc>
        <w:tc>
          <w:tcPr>
            <w:tcW w:w="687" w:type="pct"/>
          </w:tcPr>
          <w:p w14:paraId="20E65186" w14:textId="77777777" w:rsidR="004F12DD" w:rsidRPr="008F721B" w:rsidRDefault="004F12DD" w:rsidP="00CD5E09">
            <w:pPr>
              <w:jc w:val="center"/>
              <w:rPr>
                <w:szCs w:val="24"/>
              </w:rPr>
            </w:pPr>
            <w:r w:rsidRPr="008F721B">
              <w:rPr>
                <w:szCs w:val="24"/>
              </w:rPr>
              <w:t>18</w:t>
            </w:r>
          </w:p>
        </w:tc>
        <w:tc>
          <w:tcPr>
            <w:tcW w:w="456" w:type="pct"/>
          </w:tcPr>
          <w:p w14:paraId="3ED25048" w14:textId="77777777" w:rsidR="004F12DD" w:rsidRPr="008F721B" w:rsidRDefault="004F12DD" w:rsidP="00CD5E09">
            <w:pPr>
              <w:jc w:val="center"/>
              <w:rPr>
                <w:szCs w:val="24"/>
              </w:rPr>
            </w:pPr>
            <w:r w:rsidRPr="008F721B">
              <w:rPr>
                <w:szCs w:val="24"/>
              </w:rPr>
              <w:t>8,5</w:t>
            </w:r>
          </w:p>
        </w:tc>
        <w:tc>
          <w:tcPr>
            <w:tcW w:w="515" w:type="pct"/>
          </w:tcPr>
          <w:p w14:paraId="255EA264" w14:textId="77777777" w:rsidR="004F12DD" w:rsidRPr="008F721B" w:rsidRDefault="004F12DD" w:rsidP="00CD5E09">
            <w:pPr>
              <w:jc w:val="center"/>
              <w:rPr>
                <w:szCs w:val="24"/>
              </w:rPr>
            </w:pPr>
            <w:r w:rsidRPr="008F721B">
              <w:rPr>
                <w:szCs w:val="24"/>
              </w:rPr>
              <w:t>2,1</w:t>
            </w:r>
          </w:p>
        </w:tc>
        <w:tc>
          <w:tcPr>
            <w:tcW w:w="536" w:type="pct"/>
          </w:tcPr>
          <w:p w14:paraId="3A888DB3" w14:textId="77777777" w:rsidR="004F12DD" w:rsidRPr="008F721B" w:rsidRDefault="004F12DD" w:rsidP="00CD5E09">
            <w:pPr>
              <w:jc w:val="center"/>
              <w:rPr>
                <w:szCs w:val="24"/>
              </w:rPr>
            </w:pPr>
            <w:r w:rsidRPr="008F721B">
              <w:rPr>
                <w:szCs w:val="24"/>
              </w:rPr>
              <w:t>н/д</w:t>
            </w:r>
          </w:p>
        </w:tc>
      </w:tr>
    </w:tbl>
    <w:p w14:paraId="55C557EE" w14:textId="77777777" w:rsidR="004F12DD" w:rsidRPr="008F721B" w:rsidRDefault="004F12DD" w:rsidP="004F12DD">
      <w:pPr>
        <w:ind w:firstLine="709"/>
        <w:rPr>
          <w:szCs w:val="24"/>
        </w:rPr>
      </w:pPr>
      <w:r w:rsidRPr="008F721B">
        <w:rPr>
          <w:szCs w:val="24"/>
        </w:rPr>
        <w:t>* н/д – нет данных.</w:t>
      </w:r>
    </w:p>
    <w:p w14:paraId="0ECB272C" w14:textId="77777777" w:rsidR="004F12DD" w:rsidRDefault="004F12DD" w:rsidP="004F12DD">
      <w:pPr>
        <w:ind w:firstLine="709"/>
        <w:rPr>
          <w:szCs w:val="24"/>
        </w:rPr>
      </w:pPr>
    </w:p>
    <w:p w14:paraId="22AA7111" w14:textId="1CD9F671" w:rsidR="004F12DD" w:rsidRPr="008F721B" w:rsidRDefault="004F12DD" w:rsidP="004F12DD">
      <w:pPr>
        <w:ind w:firstLine="709"/>
        <w:rPr>
          <w:szCs w:val="24"/>
        </w:rPr>
      </w:pPr>
      <w:r w:rsidRPr="008F721B">
        <w:rPr>
          <w:szCs w:val="24"/>
        </w:rPr>
        <w:t>Нередки иные причины перевода в ОРИТ пациентов</w:t>
      </w:r>
      <w:r w:rsidR="007916D1">
        <w:rPr>
          <w:szCs w:val="24"/>
        </w:rPr>
        <w:t xml:space="preserve"> </w:t>
      </w:r>
      <w:r w:rsidR="004854AE">
        <w:rPr>
          <w:szCs w:val="24"/>
        </w:rPr>
        <w:t>с лейкозом</w:t>
      </w:r>
      <w:r w:rsidRPr="008F721B">
        <w:rPr>
          <w:szCs w:val="24"/>
        </w:rPr>
        <w:t xml:space="preserve"> – внезапно резвившиеся судороги в результате острой надпочечниковой недостаточности и гипонатриемии, отек головного</w:t>
      </w:r>
      <w:r w:rsidRPr="00B563E0">
        <w:rPr>
          <w:szCs w:val="24"/>
        </w:rPr>
        <w:t xml:space="preserve"> </w:t>
      </w:r>
      <w:r>
        <w:rPr>
          <w:szCs w:val="24"/>
        </w:rPr>
        <w:t>мозга, судорожный</w:t>
      </w:r>
      <w:r w:rsidRPr="008F721B">
        <w:rPr>
          <w:szCs w:val="24"/>
        </w:rPr>
        <w:t xml:space="preserve"> синдром в результате инфекции центральной нервной системы</w:t>
      </w:r>
      <w:r>
        <w:rPr>
          <w:szCs w:val="24"/>
        </w:rPr>
        <w:t xml:space="preserve"> (ЦНС), удлинение </w:t>
      </w:r>
      <w:r w:rsidRPr="008F721B">
        <w:rPr>
          <w:szCs w:val="24"/>
        </w:rPr>
        <w:t xml:space="preserve"> электрической систолы сердца и развитие желудочковой тахикардии по типу «torsades-de-puantes» и др. </w:t>
      </w:r>
    </w:p>
    <w:p w14:paraId="7FC067D9" w14:textId="70D00F6F" w:rsidR="004F12DD" w:rsidRPr="009D0B15" w:rsidRDefault="004F12DD" w:rsidP="004F12DD">
      <w:pPr>
        <w:ind w:firstLine="709"/>
        <w:rPr>
          <w:szCs w:val="24"/>
        </w:rPr>
      </w:pPr>
      <w:r w:rsidRPr="008F721B">
        <w:rPr>
          <w:szCs w:val="24"/>
        </w:rPr>
        <w:t xml:space="preserve">Для лечения жизнеугрожающих осложнений у пациентов </w:t>
      </w:r>
      <w:r w:rsidR="004854AE">
        <w:rPr>
          <w:szCs w:val="24"/>
        </w:rPr>
        <w:t xml:space="preserve">с лейкозом </w:t>
      </w:r>
      <w:r w:rsidRPr="008F721B">
        <w:rPr>
          <w:szCs w:val="24"/>
        </w:rPr>
        <w:t xml:space="preserve">в ОРИТ чаще всего </w:t>
      </w:r>
      <w:r w:rsidRPr="009D0B15">
        <w:rPr>
          <w:szCs w:val="24"/>
        </w:rPr>
        <w:t xml:space="preserve">используют следующие методы поддержания жизнеобеспечения: ИВЛ у 50 – 66% больных; вазопрессорная терапия у 8 – 75,6% больных, заместительная почечная терапия у 3,2 – 61% больных. </w:t>
      </w:r>
    </w:p>
    <w:p w14:paraId="135CE566" w14:textId="77777777" w:rsidR="004F12DD" w:rsidRPr="009D0B15" w:rsidRDefault="004F12DD" w:rsidP="004F12DD">
      <w:pPr>
        <w:rPr>
          <w:szCs w:val="24"/>
        </w:rPr>
      </w:pPr>
    </w:p>
    <w:p w14:paraId="1555F71B" w14:textId="39FDF230" w:rsidR="004F12DD" w:rsidRPr="008F721B" w:rsidRDefault="004F12DD" w:rsidP="007916D1">
      <w:pPr>
        <w:rPr>
          <w:szCs w:val="24"/>
        </w:rPr>
      </w:pPr>
      <w:r w:rsidRPr="009D0B15">
        <w:rPr>
          <w:szCs w:val="24"/>
        </w:rPr>
        <w:t xml:space="preserve"> </w:t>
      </w:r>
      <w:r w:rsidRPr="008F721B">
        <w:rPr>
          <w:szCs w:val="24"/>
        </w:rPr>
        <w:t>В тоже время, именно проведение интенсивной терапии в сочетании с программным лечением (в том числе, химиотерапией), несмотря на критические синдромы, в дальнейшем дает возможность достичь ремиссии гематологического заболевания, а не просто пережить критическое состояние.</w:t>
      </w:r>
    </w:p>
    <w:p w14:paraId="1DF592DD" w14:textId="77777777" w:rsidR="004F12DD" w:rsidRDefault="004F12DD" w:rsidP="004905C2">
      <w:pPr>
        <w:pStyle w:val="2"/>
      </w:pPr>
    </w:p>
    <w:p w14:paraId="710FE9C5" w14:textId="63C37D36" w:rsidR="004F12DD" w:rsidRPr="00854947" w:rsidRDefault="004F12DD" w:rsidP="004F12DD">
      <w:pPr>
        <w:ind w:firstLine="708"/>
        <w:rPr>
          <w:szCs w:val="24"/>
          <w:u w:val="single"/>
        </w:rPr>
      </w:pPr>
      <w:r w:rsidRPr="00854947">
        <w:rPr>
          <w:szCs w:val="24"/>
          <w:u w:val="single"/>
        </w:rPr>
        <w:t>Показания к переводу в ОРИТ у пациентов</w:t>
      </w:r>
      <w:r w:rsidR="004854AE">
        <w:rPr>
          <w:szCs w:val="24"/>
          <w:u w:val="single"/>
        </w:rPr>
        <w:t xml:space="preserve"> с лейкозом</w:t>
      </w:r>
    </w:p>
    <w:p w14:paraId="0A882155" w14:textId="77777777" w:rsidR="004F12DD" w:rsidRPr="008F721B" w:rsidRDefault="004F12DD" w:rsidP="004F12DD">
      <w:pPr>
        <w:ind w:firstLine="709"/>
        <w:rPr>
          <w:szCs w:val="24"/>
        </w:rPr>
      </w:pPr>
      <w:r w:rsidRPr="008F721B">
        <w:rPr>
          <w:szCs w:val="24"/>
        </w:rPr>
        <w:t>Критическими синдромами, требующими перевода в ОРИТ являются: сепсис, септический шок (СШ), ОДН, ОПН, острое нарушение мозгового кровообращения (ОНМК) по ишемическому или геморрагическому типу, синдром массивного лизиса опухоли, жизнеугрожающее нарушение сердечного ритма, массивное желудочно-кишечное кровотечение.</w:t>
      </w:r>
    </w:p>
    <w:p w14:paraId="2373699C" w14:textId="77777777" w:rsidR="004F12DD" w:rsidRPr="008F721B" w:rsidRDefault="004F12DD" w:rsidP="004F12DD">
      <w:pPr>
        <w:ind w:firstLine="709"/>
        <w:contextualSpacing/>
        <w:rPr>
          <w:szCs w:val="24"/>
        </w:rPr>
      </w:pPr>
      <w:r w:rsidRPr="008F721B">
        <w:rPr>
          <w:szCs w:val="24"/>
        </w:rPr>
        <w:t xml:space="preserve">Диагноз </w:t>
      </w:r>
      <w:r w:rsidRPr="008F721B">
        <w:rPr>
          <w:i/>
          <w:szCs w:val="24"/>
        </w:rPr>
        <w:t xml:space="preserve">сепсиса </w:t>
      </w:r>
      <w:r w:rsidRPr="008F721B">
        <w:rPr>
          <w:szCs w:val="24"/>
        </w:rPr>
        <w:t xml:space="preserve">устанавливается согласно критериям, которые приняты на 3 медународной конференции по согласованию определения сепсиса и СШ. Сепсисом считается жизнеугрожающее состояние с дисфункцией органов и систем в результате дизрегуляторного ответа организма на инфекционный процесс. В качестве диагностического критерия используют шкалу тяжести больных </w:t>
      </w:r>
      <w:r w:rsidRPr="008F721B">
        <w:rPr>
          <w:szCs w:val="24"/>
          <w:lang w:val="en-US"/>
        </w:rPr>
        <w:t>SOFA</w:t>
      </w:r>
      <w:r w:rsidRPr="008F721B">
        <w:rPr>
          <w:szCs w:val="24"/>
        </w:rPr>
        <w:t xml:space="preserve">. Резкое повышение по шкале </w:t>
      </w:r>
      <w:r w:rsidRPr="008F721B">
        <w:rPr>
          <w:szCs w:val="24"/>
          <w:lang w:val="en-US"/>
        </w:rPr>
        <w:t>SOFA</w:t>
      </w:r>
      <w:r w:rsidRPr="008F721B">
        <w:rPr>
          <w:szCs w:val="24"/>
        </w:rPr>
        <w:t xml:space="preserve"> более чем на 2 балла по сравнению с предыдущим состоянием больного вместе с предполагаемым инфекционным процессом являются необходимыми критериями для установления диагноза сепсиса.</w:t>
      </w:r>
    </w:p>
    <w:p w14:paraId="1DA75433" w14:textId="77777777" w:rsidR="004F12DD" w:rsidRPr="008F721B" w:rsidRDefault="004F12DD" w:rsidP="004F12DD">
      <w:pPr>
        <w:ind w:firstLine="709"/>
        <w:contextualSpacing/>
        <w:rPr>
          <w:szCs w:val="24"/>
        </w:rPr>
      </w:pPr>
      <w:r w:rsidRPr="008F721B">
        <w:rPr>
          <w:i/>
          <w:szCs w:val="24"/>
        </w:rPr>
        <w:lastRenderedPageBreak/>
        <w:t>Диагноз СШ</w:t>
      </w:r>
      <w:r w:rsidRPr="008F721B">
        <w:rPr>
          <w:szCs w:val="24"/>
        </w:rPr>
        <w:t xml:space="preserve"> устанавливаливают при выявлении сепсиса, который протекает с органной дисфункцией, а именно с оценкой в более чем 2 балла по шкале SOFA и артериальной гипотензией, которая сохраняется после инфузии 2000 мл кристаллоидных растворов, и требует для своей коррекции введения инотропных и/или вазопрессорных препаратов, с повышением концентрации лактата артериальной крови более 2,0 ммоль/л. </w:t>
      </w:r>
    </w:p>
    <w:p w14:paraId="3755E9CA" w14:textId="4609745E" w:rsidR="004F12DD" w:rsidRPr="008F721B" w:rsidRDefault="004F12DD" w:rsidP="004F12DD">
      <w:pPr>
        <w:ind w:firstLine="709"/>
        <w:contextualSpacing/>
        <w:rPr>
          <w:szCs w:val="24"/>
        </w:rPr>
      </w:pPr>
      <w:r w:rsidRPr="008F721B">
        <w:rPr>
          <w:i/>
          <w:szCs w:val="24"/>
        </w:rPr>
        <w:t>ОДН</w:t>
      </w:r>
      <w:r w:rsidRPr="008F721B">
        <w:rPr>
          <w:szCs w:val="24"/>
        </w:rPr>
        <w:t xml:space="preserve"> устанваливается при наличии следующих критериев (одного или нескольких): тахипноэ (число дыханий в покое более 30 в 1 мин), артериальная гипоксемия (парциальное давление кислорода в артериальной крови ниже 60 мм рт.ст. при дыхании воздухом или снижение PaO</w:t>
      </w:r>
      <w:r w:rsidRPr="008F721B">
        <w:rPr>
          <w:szCs w:val="24"/>
          <w:vertAlign w:val="subscript"/>
        </w:rPr>
        <w:t>2</w:t>
      </w:r>
      <w:r w:rsidRPr="008F721B">
        <w:rPr>
          <w:szCs w:val="24"/>
        </w:rPr>
        <w:t>/FiO</w:t>
      </w:r>
      <w:r w:rsidRPr="008F721B">
        <w:rPr>
          <w:szCs w:val="24"/>
          <w:vertAlign w:val="subscript"/>
        </w:rPr>
        <w:t>2</w:t>
      </w:r>
      <w:r w:rsidRPr="008F721B">
        <w:rPr>
          <w:szCs w:val="24"/>
        </w:rPr>
        <w:t xml:space="preserve"> менее 300); гиперкапния (повышение парциального давления углекислого газа в артериальной крови выше 50 мм рт.ст.) </w:t>
      </w:r>
      <w:r w:rsidRPr="008F721B">
        <w:rPr>
          <w:szCs w:val="24"/>
        </w:rPr>
        <w:fldChar w:fldCharType="begin" w:fldLock="1"/>
      </w:r>
      <w:r w:rsidR="00A67ED2">
        <w:rPr>
          <w:szCs w:val="24"/>
        </w:rPr>
        <w:instrText>ADDIN CSL_CITATION {"citationItems":[{"id":"ITEM-1","itemData":{"DOI":"10.1001/jama.2017.21907","ISSN":"0098-7484","abstract":"&lt;h3&gt;Importance&lt;/h3&gt;&lt;p&gt;Acute respiratory distress syndrome (ARDS) is a life-threatening form of respiratory failure that affects approximately 200 000 patients each year in the United States, resulting in nearly 75 000 deaths annually. Globally, ARDS accounts for 10% of intensive care unit admissions, representing more than 3 million patients with ARDS annually.&lt;/p&gt;&lt;h3&gt;Objective&lt;/h3&gt;&lt;p&gt;To review advances in diagnosis and treatment of ARDS over the last 5 years.&lt;/p&gt;&lt;h3&gt;Evidence Review&lt;/h3&gt;&lt;p&gt;We searched MEDLINE, EMBASE, and the Cochrane Database of Systematic Reviews from 2012 to 2017 focusing on randomized clinical trials, meta-analyses, systematic reviews, and clinical practice guidelines. Articles were identified for full text review with manual review of bibliographies generating additional references.&lt;/p&gt;&lt;h3&gt;Findings&lt;/h3&gt;&lt;p&gt;After screening 1662 citations, 31 articles detailing major advances in the diagnosis or treatment of ARDS were selected. The Berlin definition proposed 3 categories of ARDS based on the severity of hypoxemia: mild (200 mm Hg&amp;lt;Pao&lt;sub&gt;2&lt;/sub&gt;/Fio&lt;sub&gt;2&lt;/sub&gt;≤300 mm Hg), moderate (100 mm Hg&amp;lt;Pao&lt;sub&gt;2&lt;/sub&gt;/Fio&lt;sub&gt;2&lt;/sub&gt;≤200 mm Hg), and severe (Pao&lt;sub&gt;2&lt;/sub&gt;/Fio&lt;sub&gt;2&lt;/sub&gt;≤100 mm Hg), along with explicit criteria related to timing of the syndrome’s onset, origin of edema, and the chest radiograph findings. The Berlin definition has significantly greater predictive validity for mortality than the prior American-European Consensus Conference definition. Clinician interpretation of the origin of edema and chest radiograph criteria may be less reliable in making a diagnosis of ARDS. The cornerstone of management remains mechanical ventilation, with a goal to minimize ventilator-induced lung injury (VILI). Aspirin was not effective in preventing ARDS in patients at high-risk for the syndrome. Adjunctive interventions to further minimize VILI, such as prone positioning in patients with a Pao&lt;sub&gt;2&lt;/sub&gt;/Fio&lt;sub&gt;2&lt;/sub&gt;ratio less than 150 mm Hg, were associated with a significant mortality benefit whereas others (eg, extracorporeal carbon dioxide removal) remain experimental. Pharmacologic therapies such as β&lt;sub&gt;2&lt;/sub&gt;agonists, statins, and keratinocyte growth factor, which targeted pathophysiologic alterations in ARDS, were not beneficial and demonstrated possible harm. Recent guidelines on mechanical ventilation in ARDS provide evidence-based recommendations related to 6 interventions, including low tidal volume and inspirato…","author":[{"dropping-particle":"","family":"Fan","given":"Eddy","non-dropping-particle":"","parse-names":false,"suffix":""},{"dropping-particle":"","family":"Brodie","given":"Daniel","non-dropping-particle":"","parse-names":false,"suffix":""},{"dropping-particle":"","family":"Slutsky","given":"Arthur S.","non-dropping-particle":"","parse-names":false,"suffix":""}],"container-title":"JAMA","id":"ITEM-1","issue":"7","issued":{"date-parts":[["2018","2"]]},"page":"698","publisher":"American Medical Association","title":"Acute Respiratory Distress Syndrome","type":"article-journal","volume":"319"},"uris":["http://www.mendeley.com/documents/?uuid=37eba551-50b1-49af-8755-8b098396bb63"]}],"mendeley":{"formattedCitation":"[217]","plainTextFormattedCitation":"[217]","previouslyFormattedCitation":"[16]"},"properties":{"noteIndex":0},"schema":"https://github.com/citation-style-language/schema/raw/master/csl-citation.json"}</w:instrText>
      </w:r>
      <w:r w:rsidRPr="008F721B">
        <w:rPr>
          <w:szCs w:val="24"/>
        </w:rPr>
        <w:fldChar w:fldCharType="separate"/>
      </w:r>
      <w:r w:rsidR="00A67ED2" w:rsidRPr="00A67ED2">
        <w:rPr>
          <w:noProof/>
          <w:szCs w:val="24"/>
        </w:rPr>
        <w:t>[217]</w:t>
      </w:r>
      <w:r w:rsidRPr="008F721B">
        <w:rPr>
          <w:szCs w:val="24"/>
        </w:rPr>
        <w:fldChar w:fldCharType="end"/>
      </w:r>
      <w:r w:rsidRPr="008F721B">
        <w:rPr>
          <w:szCs w:val="24"/>
        </w:rPr>
        <w:t xml:space="preserve">. Для уточнения характера повреждения легких необходимо провести КТ исследования органов грудной клетки. Это необходимо как для наблюдения за динамикой так и для определения сегмента, где будет выполняться бронхоальвеолярный лаваж. </w:t>
      </w:r>
    </w:p>
    <w:p w14:paraId="75F6CC3C" w14:textId="77777777" w:rsidR="004F12DD" w:rsidRPr="008F721B" w:rsidRDefault="004F12DD" w:rsidP="004F12DD">
      <w:pPr>
        <w:ind w:firstLine="709"/>
        <w:contextualSpacing/>
        <w:rPr>
          <w:szCs w:val="24"/>
        </w:rPr>
      </w:pPr>
      <w:r w:rsidRPr="008F721B">
        <w:rPr>
          <w:iCs/>
          <w:szCs w:val="24"/>
        </w:rPr>
        <w:t xml:space="preserve">Для </w:t>
      </w:r>
      <w:r w:rsidRPr="008F721B">
        <w:rPr>
          <w:i/>
          <w:szCs w:val="24"/>
        </w:rPr>
        <w:t>ОНМК</w:t>
      </w:r>
      <w:r w:rsidRPr="008F721B">
        <w:rPr>
          <w:szCs w:val="24"/>
        </w:rPr>
        <w:t xml:space="preserve"> типично внезапное появление очаговой неврологической симптоматики и/или общемозговых нарушений (угнетение сознания, головная боль, тошнота и/или рвота). Диагноз ОНМК подтверждается при проведении магнитно-резонансной томографии и/или компьютерной томографии головного мозга (по показаниям с контрастированием), по результатам которых выставляется вариант ОНМК: ишемический или геморрагический.</w:t>
      </w:r>
    </w:p>
    <w:p w14:paraId="1806228B" w14:textId="77777777" w:rsidR="004F12DD" w:rsidRPr="008F721B" w:rsidRDefault="004F12DD" w:rsidP="004F12DD">
      <w:pPr>
        <w:ind w:firstLine="709"/>
        <w:contextualSpacing/>
        <w:rPr>
          <w:szCs w:val="24"/>
        </w:rPr>
      </w:pPr>
      <w:r w:rsidRPr="008F721B">
        <w:rPr>
          <w:i/>
          <w:szCs w:val="24"/>
        </w:rPr>
        <w:t xml:space="preserve"> ОПН</w:t>
      </w:r>
      <w:r w:rsidRPr="008F721B">
        <w:rPr>
          <w:szCs w:val="24"/>
        </w:rPr>
        <w:t xml:space="preserve"> принято считать повышение сывороточной концентрации креатинина более 200 мкмоль/л в двух последовательных исследованиях в течение 12часов и/или олигурию (диурез менее 0,5 мл/кг/час) за тот же промежуток времени.</w:t>
      </w:r>
    </w:p>
    <w:p w14:paraId="3E67F501" w14:textId="77777777" w:rsidR="004F12DD" w:rsidRPr="008F721B" w:rsidRDefault="004F12DD" w:rsidP="004F12DD">
      <w:pPr>
        <w:ind w:firstLine="709"/>
        <w:contextualSpacing/>
        <w:rPr>
          <w:szCs w:val="24"/>
        </w:rPr>
      </w:pPr>
      <w:r w:rsidRPr="008F721B">
        <w:rPr>
          <w:szCs w:val="24"/>
        </w:rPr>
        <w:t xml:space="preserve">К </w:t>
      </w:r>
      <w:r w:rsidRPr="008F721B">
        <w:rPr>
          <w:i/>
          <w:szCs w:val="24"/>
        </w:rPr>
        <w:t>жизнеугрожающими нарушениями сердечного ритма</w:t>
      </w:r>
      <w:r w:rsidRPr="008F721B">
        <w:rPr>
          <w:szCs w:val="24"/>
        </w:rPr>
        <w:t xml:space="preserve"> относят желудочковую тахикардию, фибрилляцию предсердий, сопровождающуюся снижением среднего артериального давления ниже 65 мм рт.ст. или систолического артериального давления ниже 80 мм рт.ст., атриовентрикулярную блокаду III степени. </w:t>
      </w:r>
    </w:p>
    <w:p w14:paraId="352EFE48" w14:textId="77777777" w:rsidR="004F12DD" w:rsidRDefault="004F12DD" w:rsidP="004F12DD">
      <w:pPr>
        <w:ind w:firstLine="709"/>
        <w:contextualSpacing/>
        <w:rPr>
          <w:szCs w:val="24"/>
        </w:rPr>
      </w:pPr>
      <w:r w:rsidRPr="008F721B">
        <w:rPr>
          <w:szCs w:val="24"/>
        </w:rPr>
        <w:t xml:space="preserve">При массивных желудочно-кишечных кровотечениях требуется перевод больных в ОРИТ для стабилизации состояния и проведения экстренных эндоскопических исследований. </w:t>
      </w:r>
    </w:p>
    <w:p w14:paraId="68B1C0F7" w14:textId="77777777" w:rsidR="004F12DD" w:rsidRPr="003C0A4C" w:rsidRDefault="004F12DD" w:rsidP="004F12DD">
      <w:pPr>
        <w:ind w:firstLine="709"/>
        <w:contextualSpacing/>
        <w:rPr>
          <w:i/>
          <w:szCs w:val="24"/>
          <w:u w:val="single"/>
        </w:rPr>
      </w:pPr>
      <w:r w:rsidRPr="003C0A4C">
        <w:rPr>
          <w:i/>
          <w:szCs w:val="24"/>
          <w:u w:val="single"/>
        </w:rPr>
        <w:t>Задачи врача – реаниматолога</w:t>
      </w:r>
    </w:p>
    <w:p w14:paraId="0644A9B6" w14:textId="77777777" w:rsidR="004F12DD" w:rsidRPr="008F721B" w:rsidRDefault="004F12DD" w:rsidP="004F12DD">
      <w:pPr>
        <w:ind w:firstLine="709"/>
        <w:contextualSpacing/>
        <w:rPr>
          <w:szCs w:val="24"/>
        </w:rPr>
      </w:pPr>
      <w:r w:rsidRPr="008F721B">
        <w:rPr>
          <w:szCs w:val="24"/>
        </w:rPr>
        <w:t>При поступлении в ОРИТ гематологического пациента врач – реаниматолог решает несколько задач:</w:t>
      </w:r>
    </w:p>
    <w:p w14:paraId="132F66C3" w14:textId="77777777" w:rsidR="004F12DD" w:rsidRPr="003C0A4C" w:rsidRDefault="004F12DD" w:rsidP="004F12DD">
      <w:pPr>
        <w:pStyle w:val="afff3"/>
        <w:widowControl/>
        <w:numPr>
          <w:ilvl w:val="0"/>
          <w:numId w:val="215"/>
        </w:numPr>
        <w:autoSpaceDE/>
        <w:autoSpaceDN/>
        <w:adjustRightInd/>
        <w:rPr>
          <w:szCs w:val="24"/>
        </w:rPr>
      </w:pPr>
      <w:r w:rsidRPr="003C0A4C">
        <w:rPr>
          <w:szCs w:val="24"/>
        </w:rPr>
        <w:t>диагностика и установление этиологической причины развития жизнеугрожающего состояния (осмотр, опрос, анамнез, клинико-лабораторные и инструментальные методы);</w:t>
      </w:r>
    </w:p>
    <w:p w14:paraId="1C8610CC" w14:textId="77777777" w:rsidR="004F12DD" w:rsidRPr="003C0A4C" w:rsidRDefault="004F12DD" w:rsidP="004F12DD">
      <w:pPr>
        <w:pStyle w:val="afff3"/>
        <w:widowControl/>
        <w:numPr>
          <w:ilvl w:val="0"/>
          <w:numId w:val="215"/>
        </w:numPr>
        <w:autoSpaceDE/>
        <w:autoSpaceDN/>
        <w:adjustRightInd/>
        <w:rPr>
          <w:szCs w:val="24"/>
        </w:rPr>
      </w:pPr>
      <w:r w:rsidRPr="003C0A4C">
        <w:rPr>
          <w:szCs w:val="24"/>
        </w:rPr>
        <w:lastRenderedPageBreak/>
        <w:t>манипуляции, направленные на обеспечение сосудистого доступа (установка центрального венозного катетера, периферических венозных доступов), поддержание проходимости дыхательных путей (установка воздуховода, интубация трахеи), инвазивного мониторинга показателей гемодинамики (установка артериального катетера), декомпрессия желудка, катетеризация мочевого пузыря;</w:t>
      </w:r>
    </w:p>
    <w:p w14:paraId="5E3F204C" w14:textId="77777777" w:rsidR="004F12DD" w:rsidRPr="003C0A4C" w:rsidRDefault="004F12DD" w:rsidP="004F12DD">
      <w:pPr>
        <w:pStyle w:val="afff3"/>
        <w:widowControl/>
        <w:numPr>
          <w:ilvl w:val="0"/>
          <w:numId w:val="215"/>
        </w:numPr>
        <w:autoSpaceDE/>
        <w:autoSpaceDN/>
        <w:adjustRightInd/>
        <w:rPr>
          <w:szCs w:val="24"/>
        </w:rPr>
      </w:pPr>
      <w:r w:rsidRPr="003C0A4C">
        <w:rPr>
          <w:szCs w:val="24"/>
        </w:rPr>
        <w:t>стабилизация состояния пациента с применением методик протезирования жизненно-важных органов (ИВЛ, вазопрессорная поддержка, заместительная почечная терапия);</w:t>
      </w:r>
    </w:p>
    <w:p w14:paraId="36C6FAAC" w14:textId="77777777" w:rsidR="004F12DD" w:rsidRPr="003C0A4C" w:rsidRDefault="004F12DD" w:rsidP="004F12DD">
      <w:pPr>
        <w:pStyle w:val="afff3"/>
        <w:widowControl/>
        <w:numPr>
          <w:ilvl w:val="0"/>
          <w:numId w:val="215"/>
        </w:numPr>
        <w:autoSpaceDE/>
        <w:autoSpaceDN/>
        <w:adjustRightInd/>
        <w:rPr>
          <w:szCs w:val="24"/>
        </w:rPr>
      </w:pPr>
      <w:r w:rsidRPr="003C0A4C">
        <w:rPr>
          <w:szCs w:val="24"/>
        </w:rPr>
        <w:t>проведение сопроводительной терапии, которая включает в себя антибиотическую (как противогрибковую, так и противовирусную) терапию, инфузионную, гемостатическую терапию, нутритивную поддержку и др.</w:t>
      </w:r>
    </w:p>
    <w:p w14:paraId="0A8B6404" w14:textId="77777777" w:rsidR="004F12DD" w:rsidRPr="003C0A4C" w:rsidRDefault="004F12DD" w:rsidP="004F12DD">
      <w:pPr>
        <w:pStyle w:val="afff3"/>
        <w:widowControl/>
        <w:numPr>
          <w:ilvl w:val="0"/>
          <w:numId w:val="215"/>
        </w:numPr>
        <w:autoSpaceDE/>
        <w:autoSpaceDN/>
        <w:adjustRightInd/>
        <w:rPr>
          <w:szCs w:val="24"/>
        </w:rPr>
      </w:pPr>
      <w:r w:rsidRPr="003C0A4C">
        <w:rPr>
          <w:szCs w:val="24"/>
        </w:rPr>
        <w:t>контроль лабораторных и витальных показателей пациента;</w:t>
      </w:r>
    </w:p>
    <w:p w14:paraId="2088A487" w14:textId="77777777" w:rsidR="004F12DD" w:rsidRPr="003C0A4C" w:rsidRDefault="004F12DD" w:rsidP="004F12DD">
      <w:pPr>
        <w:pStyle w:val="afff3"/>
        <w:widowControl/>
        <w:numPr>
          <w:ilvl w:val="0"/>
          <w:numId w:val="215"/>
        </w:numPr>
        <w:autoSpaceDE/>
        <w:autoSpaceDN/>
        <w:adjustRightInd/>
        <w:rPr>
          <w:szCs w:val="24"/>
        </w:rPr>
      </w:pPr>
      <w:r w:rsidRPr="003C0A4C">
        <w:rPr>
          <w:szCs w:val="24"/>
        </w:rPr>
        <w:t>организация консультаций специалистов при необходимости;</w:t>
      </w:r>
    </w:p>
    <w:p w14:paraId="351C95ED" w14:textId="77777777" w:rsidR="004F12DD" w:rsidRPr="003C0A4C" w:rsidRDefault="004F12DD" w:rsidP="004F12DD">
      <w:pPr>
        <w:pStyle w:val="afff3"/>
        <w:widowControl/>
        <w:numPr>
          <w:ilvl w:val="0"/>
          <w:numId w:val="215"/>
        </w:numPr>
        <w:autoSpaceDE/>
        <w:autoSpaceDN/>
        <w:adjustRightInd/>
        <w:rPr>
          <w:szCs w:val="24"/>
        </w:rPr>
      </w:pPr>
      <w:r w:rsidRPr="003C0A4C">
        <w:rPr>
          <w:szCs w:val="24"/>
        </w:rPr>
        <w:t>выполнение диагностических и лечебных манипуляций и исследований (проведение спиннномозговой/люмбальной пункции, наложение дилятационной трахеостомы и/или гастростомы).</w:t>
      </w:r>
    </w:p>
    <w:p w14:paraId="24B0787F" w14:textId="77777777" w:rsidR="004F12DD" w:rsidRPr="008F721B" w:rsidRDefault="004F12DD" w:rsidP="004F12DD">
      <w:pPr>
        <w:ind w:firstLine="709"/>
        <w:contextualSpacing/>
        <w:rPr>
          <w:szCs w:val="24"/>
        </w:rPr>
      </w:pPr>
    </w:p>
    <w:p w14:paraId="210B59FC" w14:textId="77777777" w:rsidR="004F12DD" w:rsidRPr="003C0A4C" w:rsidRDefault="004F12DD" w:rsidP="004F12DD">
      <w:pPr>
        <w:ind w:firstLine="709"/>
        <w:contextualSpacing/>
        <w:rPr>
          <w:i/>
          <w:szCs w:val="24"/>
          <w:u w:val="single"/>
        </w:rPr>
      </w:pPr>
      <w:r w:rsidRPr="003C0A4C">
        <w:rPr>
          <w:i/>
          <w:szCs w:val="24"/>
          <w:u w:val="single"/>
        </w:rPr>
        <w:t>Алгоритм действия врача при поступлении гематологического пациента в ОРИТ</w:t>
      </w:r>
    </w:p>
    <w:p w14:paraId="4B87D4B7" w14:textId="77777777" w:rsidR="004F12DD" w:rsidRPr="003C0A4C" w:rsidRDefault="004F12DD" w:rsidP="004F12DD">
      <w:pPr>
        <w:ind w:firstLine="709"/>
        <w:contextualSpacing/>
        <w:rPr>
          <w:szCs w:val="24"/>
          <w:u w:val="single"/>
        </w:rPr>
      </w:pPr>
      <w:r w:rsidRPr="003C0A4C">
        <w:rPr>
          <w:szCs w:val="24"/>
          <w:u w:val="single"/>
        </w:rPr>
        <w:t xml:space="preserve">Перечень основных диагностических исследований (лабораторные): </w:t>
      </w:r>
    </w:p>
    <w:p w14:paraId="34F844DA" w14:textId="77777777" w:rsidR="004F12DD" w:rsidRPr="008F721B" w:rsidRDefault="004F12DD" w:rsidP="004F12DD">
      <w:pPr>
        <w:pStyle w:val="afff3"/>
        <w:widowControl/>
        <w:numPr>
          <w:ilvl w:val="0"/>
          <w:numId w:val="215"/>
        </w:numPr>
        <w:autoSpaceDE/>
        <w:autoSpaceDN/>
        <w:adjustRightInd/>
        <w:rPr>
          <w:szCs w:val="24"/>
        </w:rPr>
      </w:pPr>
      <w:r w:rsidRPr="008F721B">
        <w:rPr>
          <w:szCs w:val="24"/>
        </w:rPr>
        <w:t>Общий (клинический) анализ крови развернутый;</w:t>
      </w:r>
    </w:p>
    <w:p w14:paraId="337626E7" w14:textId="77777777" w:rsidR="004F12DD" w:rsidRPr="008F721B" w:rsidRDefault="004F12DD" w:rsidP="004F12DD">
      <w:pPr>
        <w:pStyle w:val="afff3"/>
        <w:widowControl/>
        <w:numPr>
          <w:ilvl w:val="0"/>
          <w:numId w:val="215"/>
        </w:numPr>
        <w:autoSpaceDE/>
        <w:autoSpaceDN/>
        <w:adjustRightInd/>
        <w:rPr>
          <w:szCs w:val="24"/>
        </w:rPr>
      </w:pPr>
      <w:r w:rsidRPr="008F721B">
        <w:rPr>
          <w:szCs w:val="24"/>
        </w:rPr>
        <w:t>Анализ крови биохимический (мочевина, креатинин, билирубин (в том числе по фракциям), мочевая кислота, панкреатическая аимлаза, амилаза, липаза, альбумин, АЛТ/АСТ, КФК/КФК-МВ, глюкоза, калий, натрий, кальций ионизированный, хлор);</w:t>
      </w:r>
    </w:p>
    <w:p w14:paraId="56BF3F3D" w14:textId="77777777" w:rsidR="004F12DD" w:rsidRPr="008F721B" w:rsidRDefault="004F12DD" w:rsidP="004F12DD">
      <w:pPr>
        <w:pStyle w:val="afff3"/>
        <w:widowControl/>
        <w:numPr>
          <w:ilvl w:val="0"/>
          <w:numId w:val="215"/>
        </w:numPr>
        <w:autoSpaceDE/>
        <w:autoSpaceDN/>
        <w:adjustRightInd/>
        <w:rPr>
          <w:szCs w:val="24"/>
        </w:rPr>
      </w:pPr>
      <w:r w:rsidRPr="008F721B">
        <w:rPr>
          <w:szCs w:val="24"/>
        </w:rPr>
        <w:t xml:space="preserve">Коагулограмма; (АЧТВ, протромбин по Квику, тромбиновое время, фибриноген, антитромбин </w:t>
      </w:r>
      <w:r w:rsidRPr="003C0A4C">
        <w:rPr>
          <w:szCs w:val="24"/>
        </w:rPr>
        <w:t>III</w:t>
      </w:r>
      <w:r w:rsidRPr="008F721B">
        <w:rPr>
          <w:szCs w:val="24"/>
        </w:rPr>
        <w:t>);</w:t>
      </w:r>
    </w:p>
    <w:p w14:paraId="01E9E067" w14:textId="77777777" w:rsidR="004F12DD" w:rsidRPr="008F721B" w:rsidRDefault="004F12DD" w:rsidP="004F12DD">
      <w:pPr>
        <w:pStyle w:val="afff3"/>
        <w:widowControl/>
        <w:numPr>
          <w:ilvl w:val="0"/>
          <w:numId w:val="215"/>
        </w:numPr>
        <w:autoSpaceDE/>
        <w:autoSpaceDN/>
        <w:adjustRightInd/>
        <w:rPr>
          <w:szCs w:val="24"/>
        </w:rPr>
      </w:pPr>
      <w:r w:rsidRPr="008F721B">
        <w:rPr>
          <w:szCs w:val="24"/>
        </w:rPr>
        <w:t>Общий анализ мочи;</w:t>
      </w:r>
    </w:p>
    <w:p w14:paraId="04528FB6" w14:textId="77777777" w:rsidR="004F12DD" w:rsidRPr="008F721B" w:rsidRDefault="004F12DD" w:rsidP="004F12DD">
      <w:pPr>
        <w:pStyle w:val="afff3"/>
        <w:widowControl/>
        <w:numPr>
          <w:ilvl w:val="0"/>
          <w:numId w:val="215"/>
        </w:numPr>
        <w:autoSpaceDE/>
        <w:autoSpaceDN/>
        <w:adjustRightInd/>
        <w:rPr>
          <w:szCs w:val="24"/>
        </w:rPr>
      </w:pPr>
      <w:r w:rsidRPr="008F721B">
        <w:rPr>
          <w:szCs w:val="24"/>
        </w:rPr>
        <w:t>Тромбоэластография;</w:t>
      </w:r>
    </w:p>
    <w:p w14:paraId="6E5FE6C0" w14:textId="77777777" w:rsidR="004F12DD" w:rsidRPr="008F721B" w:rsidRDefault="004F12DD" w:rsidP="004F12DD">
      <w:pPr>
        <w:pStyle w:val="afff3"/>
        <w:widowControl/>
        <w:numPr>
          <w:ilvl w:val="0"/>
          <w:numId w:val="215"/>
        </w:numPr>
        <w:autoSpaceDE/>
        <w:autoSpaceDN/>
        <w:adjustRightInd/>
        <w:rPr>
          <w:szCs w:val="24"/>
        </w:rPr>
      </w:pPr>
      <w:r w:rsidRPr="008F721B">
        <w:rPr>
          <w:szCs w:val="24"/>
        </w:rPr>
        <w:t>Микробиологическое (культуральное) исследование крови на стерильность (вена/катетер);</w:t>
      </w:r>
    </w:p>
    <w:p w14:paraId="702435F8" w14:textId="77777777" w:rsidR="004F12DD" w:rsidRPr="008F721B" w:rsidRDefault="004F12DD" w:rsidP="004F12DD">
      <w:pPr>
        <w:pStyle w:val="afff3"/>
        <w:widowControl/>
        <w:numPr>
          <w:ilvl w:val="0"/>
          <w:numId w:val="215"/>
        </w:numPr>
        <w:autoSpaceDE/>
        <w:autoSpaceDN/>
        <w:adjustRightInd/>
        <w:rPr>
          <w:szCs w:val="24"/>
        </w:rPr>
      </w:pPr>
      <w:r w:rsidRPr="008F721B">
        <w:rPr>
          <w:szCs w:val="24"/>
        </w:rPr>
        <w:t>Микробиологическое (культуральное) исследование мочи на бактериальные патогены;</w:t>
      </w:r>
    </w:p>
    <w:p w14:paraId="3837611B" w14:textId="77777777" w:rsidR="004F12DD" w:rsidRPr="008F721B" w:rsidRDefault="004F12DD" w:rsidP="004F12DD">
      <w:pPr>
        <w:pStyle w:val="afff3"/>
        <w:widowControl/>
        <w:numPr>
          <w:ilvl w:val="0"/>
          <w:numId w:val="215"/>
        </w:numPr>
        <w:autoSpaceDE/>
        <w:autoSpaceDN/>
        <w:adjustRightInd/>
        <w:rPr>
          <w:szCs w:val="24"/>
        </w:rPr>
      </w:pPr>
      <w:r w:rsidRPr="008F721B">
        <w:rPr>
          <w:szCs w:val="24"/>
        </w:rPr>
        <w:t>Микробиологическое (культуральное) исследование кала на аэробные и факультативно – анаэробные микроорганизмы;</w:t>
      </w:r>
    </w:p>
    <w:p w14:paraId="3F9525F2" w14:textId="77777777" w:rsidR="004F12DD" w:rsidRPr="008F721B" w:rsidRDefault="004F12DD" w:rsidP="004F12DD">
      <w:pPr>
        <w:pStyle w:val="afff3"/>
        <w:widowControl/>
        <w:numPr>
          <w:ilvl w:val="0"/>
          <w:numId w:val="215"/>
        </w:numPr>
        <w:autoSpaceDE/>
        <w:autoSpaceDN/>
        <w:adjustRightInd/>
        <w:rPr>
          <w:szCs w:val="24"/>
        </w:rPr>
      </w:pPr>
      <w:r w:rsidRPr="008F721B">
        <w:rPr>
          <w:szCs w:val="24"/>
        </w:rPr>
        <w:lastRenderedPageBreak/>
        <w:t xml:space="preserve">Микробиологическое (культуральное) исследование бронхоальвеолярной лаважной жидкости (на пневмоцисты, грибы, бактериальные патогены); </w:t>
      </w:r>
    </w:p>
    <w:p w14:paraId="57DD8649" w14:textId="77777777" w:rsidR="004F12DD" w:rsidRPr="008F721B" w:rsidRDefault="004F12DD" w:rsidP="004F12DD">
      <w:pPr>
        <w:pStyle w:val="afff3"/>
        <w:widowControl/>
        <w:numPr>
          <w:ilvl w:val="0"/>
          <w:numId w:val="215"/>
        </w:numPr>
        <w:autoSpaceDE/>
        <w:autoSpaceDN/>
        <w:adjustRightInd/>
        <w:rPr>
          <w:szCs w:val="24"/>
        </w:rPr>
      </w:pPr>
      <w:r w:rsidRPr="008F721B">
        <w:rPr>
          <w:szCs w:val="24"/>
        </w:rPr>
        <w:t>Микроскопическое исследование лаважной жидкости;</w:t>
      </w:r>
    </w:p>
    <w:p w14:paraId="68758266" w14:textId="77777777" w:rsidR="004F12DD" w:rsidRPr="008F721B" w:rsidRDefault="004F12DD" w:rsidP="004F12DD">
      <w:pPr>
        <w:pStyle w:val="afff3"/>
        <w:widowControl/>
        <w:numPr>
          <w:ilvl w:val="0"/>
          <w:numId w:val="215"/>
        </w:numPr>
        <w:autoSpaceDE/>
        <w:autoSpaceDN/>
        <w:adjustRightInd/>
        <w:rPr>
          <w:szCs w:val="24"/>
        </w:rPr>
      </w:pPr>
      <w:r w:rsidRPr="008F721B">
        <w:rPr>
          <w:szCs w:val="24"/>
        </w:rPr>
        <w:t>Цитологическое исследование клеток спинномозговой жидкости;</w:t>
      </w:r>
    </w:p>
    <w:p w14:paraId="7F1861C3" w14:textId="77777777" w:rsidR="004F12DD" w:rsidRPr="008F721B" w:rsidRDefault="004F12DD" w:rsidP="004F12DD">
      <w:pPr>
        <w:pStyle w:val="afff3"/>
        <w:widowControl/>
        <w:numPr>
          <w:ilvl w:val="0"/>
          <w:numId w:val="215"/>
        </w:numPr>
        <w:autoSpaceDE/>
        <w:autoSpaceDN/>
        <w:adjustRightInd/>
        <w:rPr>
          <w:szCs w:val="24"/>
        </w:rPr>
      </w:pPr>
      <w:r w:rsidRPr="008F721B">
        <w:rPr>
          <w:szCs w:val="24"/>
        </w:rPr>
        <w:t>Микроскопическое исследование спинномозговой жидкости, подсчет клеток в счетной камере (подсчет цитоза);</w:t>
      </w:r>
    </w:p>
    <w:p w14:paraId="656B6675" w14:textId="77777777" w:rsidR="004F12DD" w:rsidRPr="008F721B" w:rsidRDefault="004F12DD" w:rsidP="004F12DD">
      <w:pPr>
        <w:pStyle w:val="afff3"/>
        <w:widowControl/>
        <w:numPr>
          <w:ilvl w:val="0"/>
          <w:numId w:val="215"/>
        </w:numPr>
        <w:autoSpaceDE/>
        <w:autoSpaceDN/>
        <w:adjustRightInd/>
        <w:rPr>
          <w:szCs w:val="24"/>
        </w:rPr>
      </w:pPr>
      <w:r w:rsidRPr="008F721B">
        <w:rPr>
          <w:szCs w:val="24"/>
        </w:rPr>
        <w:t>Микробиологическое (культуральное) исследование спинномозговой жидкости на криптококк (</w:t>
      </w:r>
      <w:r w:rsidRPr="003C0A4C">
        <w:rPr>
          <w:szCs w:val="24"/>
        </w:rPr>
        <w:t>Cryptococcus neoformans</w:t>
      </w:r>
      <w:r w:rsidRPr="008F721B">
        <w:rPr>
          <w:szCs w:val="24"/>
        </w:rPr>
        <w:t>);</w:t>
      </w:r>
    </w:p>
    <w:p w14:paraId="644670A4" w14:textId="77777777" w:rsidR="004F12DD" w:rsidRPr="008F721B" w:rsidRDefault="004F12DD" w:rsidP="004F12DD">
      <w:pPr>
        <w:pStyle w:val="afff3"/>
        <w:widowControl/>
        <w:numPr>
          <w:ilvl w:val="0"/>
          <w:numId w:val="215"/>
        </w:numPr>
        <w:autoSpaceDE/>
        <w:autoSpaceDN/>
        <w:adjustRightInd/>
        <w:rPr>
          <w:szCs w:val="24"/>
        </w:rPr>
      </w:pPr>
      <w:r w:rsidRPr="008F721B">
        <w:rPr>
          <w:szCs w:val="24"/>
        </w:rPr>
        <w:t>Определение ДНК вирусов простого герпеса, вируса герпеса 6 типа, цитомегалловируса и Эпштена-Барр (</w:t>
      </w:r>
      <w:r w:rsidRPr="003C0A4C">
        <w:rPr>
          <w:szCs w:val="24"/>
        </w:rPr>
        <w:t>HSV</w:t>
      </w:r>
      <w:r w:rsidRPr="008F721B">
        <w:rPr>
          <w:szCs w:val="24"/>
        </w:rPr>
        <w:t xml:space="preserve">–1,2; </w:t>
      </w:r>
      <w:r w:rsidRPr="003C0A4C">
        <w:rPr>
          <w:szCs w:val="24"/>
        </w:rPr>
        <w:t>HHV</w:t>
      </w:r>
      <w:r w:rsidRPr="008F721B">
        <w:rPr>
          <w:szCs w:val="24"/>
        </w:rPr>
        <w:t xml:space="preserve"> – 6; </w:t>
      </w:r>
      <w:r w:rsidRPr="003C0A4C">
        <w:rPr>
          <w:szCs w:val="24"/>
        </w:rPr>
        <w:t>CMV</w:t>
      </w:r>
      <w:r w:rsidRPr="008F721B">
        <w:rPr>
          <w:szCs w:val="24"/>
        </w:rPr>
        <w:t xml:space="preserve">, </w:t>
      </w:r>
      <w:r w:rsidRPr="003C0A4C">
        <w:rPr>
          <w:szCs w:val="24"/>
        </w:rPr>
        <w:t>EBV</w:t>
      </w:r>
      <w:r w:rsidRPr="008F721B">
        <w:rPr>
          <w:szCs w:val="24"/>
        </w:rPr>
        <w:t>)  в крови, спинномозговой и лаважной жидкости;</w:t>
      </w:r>
    </w:p>
    <w:p w14:paraId="7D5C311F" w14:textId="77777777" w:rsidR="004F12DD" w:rsidRPr="008F721B" w:rsidRDefault="004F12DD" w:rsidP="004F12DD">
      <w:pPr>
        <w:pStyle w:val="afff3"/>
        <w:widowControl/>
        <w:numPr>
          <w:ilvl w:val="0"/>
          <w:numId w:val="215"/>
        </w:numPr>
        <w:autoSpaceDE/>
        <w:autoSpaceDN/>
        <w:adjustRightInd/>
        <w:rPr>
          <w:szCs w:val="24"/>
        </w:rPr>
      </w:pPr>
      <w:r w:rsidRPr="008F721B">
        <w:rPr>
          <w:szCs w:val="24"/>
        </w:rPr>
        <w:t>Определение антител (</w:t>
      </w:r>
      <w:r w:rsidRPr="003C0A4C">
        <w:rPr>
          <w:szCs w:val="24"/>
        </w:rPr>
        <w:t>IgG</w:t>
      </w:r>
      <w:r w:rsidRPr="008F721B">
        <w:rPr>
          <w:szCs w:val="24"/>
        </w:rPr>
        <w:t xml:space="preserve"> и </w:t>
      </w:r>
      <w:r w:rsidRPr="003C0A4C">
        <w:rPr>
          <w:szCs w:val="24"/>
        </w:rPr>
        <w:t>IgM</w:t>
      </w:r>
      <w:r w:rsidRPr="008F721B">
        <w:rPr>
          <w:szCs w:val="24"/>
        </w:rPr>
        <w:t xml:space="preserve">) к </w:t>
      </w:r>
      <w:r w:rsidRPr="003C0A4C">
        <w:rPr>
          <w:szCs w:val="24"/>
        </w:rPr>
        <w:t>Mycoplasma pneumoniae, Legionella pneumophilia,  Chlamydia pneumoniae</w:t>
      </w:r>
      <w:r w:rsidRPr="008F721B">
        <w:rPr>
          <w:szCs w:val="24"/>
        </w:rPr>
        <w:t xml:space="preserve"> в крови;</w:t>
      </w:r>
    </w:p>
    <w:p w14:paraId="54D56187" w14:textId="77777777" w:rsidR="004F12DD" w:rsidRPr="00854947" w:rsidRDefault="004F12DD" w:rsidP="004F12DD">
      <w:pPr>
        <w:pStyle w:val="afff3"/>
        <w:widowControl/>
        <w:numPr>
          <w:ilvl w:val="0"/>
          <w:numId w:val="215"/>
        </w:numPr>
        <w:autoSpaceDE/>
        <w:autoSpaceDN/>
        <w:adjustRightInd/>
        <w:rPr>
          <w:szCs w:val="24"/>
          <w:lang w:val="en-US"/>
        </w:rPr>
      </w:pPr>
      <w:r w:rsidRPr="008F721B">
        <w:rPr>
          <w:szCs w:val="24"/>
        </w:rPr>
        <w:t>Антиген</w:t>
      </w:r>
      <w:r w:rsidRPr="00854947">
        <w:rPr>
          <w:szCs w:val="24"/>
          <w:lang w:val="en-US"/>
        </w:rPr>
        <w:t xml:space="preserve"> Legionella pneumophilia </w:t>
      </w:r>
      <w:r w:rsidRPr="008F721B">
        <w:rPr>
          <w:szCs w:val="24"/>
        </w:rPr>
        <w:t>в</w:t>
      </w:r>
      <w:r w:rsidRPr="00854947">
        <w:rPr>
          <w:szCs w:val="24"/>
          <w:lang w:val="en-US"/>
        </w:rPr>
        <w:t xml:space="preserve"> </w:t>
      </w:r>
      <w:r w:rsidRPr="008F721B">
        <w:rPr>
          <w:szCs w:val="24"/>
        </w:rPr>
        <w:t>моче</w:t>
      </w:r>
      <w:r w:rsidRPr="00854947">
        <w:rPr>
          <w:szCs w:val="24"/>
          <w:lang w:val="en-US"/>
        </w:rPr>
        <w:t>.</w:t>
      </w:r>
    </w:p>
    <w:p w14:paraId="190B6E35" w14:textId="77777777" w:rsidR="004F12DD" w:rsidRPr="00854947" w:rsidRDefault="004F12DD" w:rsidP="004F12DD">
      <w:pPr>
        <w:ind w:firstLine="709"/>
        <w:contextualSpacing/>
        <w:rPr>
          <w:szCs w:val="24"/>
          <w:u w:val="single"/>
          <w:lang w:val="en-US"/>
        </w:rPr>
      </w:pPr>
    </w:p>
    <w:p w14:paraId="668FABE3" w14:textId="77777777" w:rsidR="004F12DD" w:rsidRPr="003C0A4C" w:rsidRDefault="004F12DD" w:rsidP="004F12DD">
      <w:pPr>
        <w:ind w:firstLine="709"/>
        <w:contextualSpacing/>
        <w:rPr>
          <w:szCs w:val="24"/>
          <w:u w:val="single"/>
        </w:rPr>
      </w:pPr>
      <w:r w:rsidRPr="003C0A4C">
        <w:rPr>
          <w:szCs w:val="24"/>
          <w:u w:val="single"/>
        </w:rPr>
        <w:t>Перечень основных диагностических исследований (инструментальные):</w:t>
      </w:r>
    </w:p>
    <w:p w14:paraId="30C20BFE" w14:textId="77777777" w:rsidR="004F12DD" w:rsidRPr="008F721B" w:rsidRDefault="004F12DD" w:rsidP="004F12DD">
      <w:pPr>
        <w:pStyle w:val="afff3"/>
        <w:widowControl/>
        <w:numPr>
          <w:ilvl w:val="0"/>
          <w:numId w:val="215"/>
        </w:numPr>
        <w:autoSpaceDE/>
        <w:autoSpaceDN/>
        <w:adjustRightInd/>
        <w:rPr>
          <w:szCs w:val="24"/>
        </w:rPr>
      </w:pPr>
      <w:r w:rsidRPr="008F721B">
        <w:rPr>
          <w:szCs w:val="24"/>
        </w:rPr>
        <w:t>Компьютерная томография органов грудной клетки, брюшной полости, головного мозга (с контрастным усилением);</w:t>
      </w:r>
    </w:p>
    <w:p w14:paraId="1F52D1AA" w14:textId="77777777" w:rsidR="004F12DD" w:rsidRPr="008F721B" w:rsidRDefault="004F12DD" w:rsidP="004F12DD">
      <w:pPr>
        <w:pStyle w:val="afff3"/>
        <w:widowControl/>
        <w:numPr>
          <w:ilvl w:val="0"/>
          <w:numId w:val="215"/>
        </w:numPr>
        <w:autoSpaceDE/>
        <w:autoSpaceDN/>
        <w:adjustRightInd/>
        <w:rPr>
          <w:szCs w:val="24"/>
        </w:rPr>
      </w:pPr>
      <w:r w:rsidRPr="008F721B">
        <w:rPr>
          <w:szCs w:val="24"/>
        </w:rPr>
        <w:t xml:space="preserve">Магнитно-резонансная томография головного мозга (с контрастным усиленеием); </w:t>
      </w:r>
    </w:p>
    <w:p w14:paraId="474217B0" w14:textId="77777777" w:rsidR="004F12DD" w:rsidRPr="008F721B" w:rsidRDefault="004F12DD" w:rsidP="004F12DD">
      <w:pPr>
        <w:pStyle w:val="afff3"/>
        <w:widowControl/>
        <w:numPr>
          <w:ilvl w:val="0"/>
          <w:numId w:val="215"/>
        </w:numPr>
        <w:autoSpaceDE/>
        <w:autoSpaceDN/>
        <w:adjustRightInd/>
        <w:rPr>
          <w:szCs w:val="24"/>
        </w:rPr>
      </w:pPr>
      <w:r w:rsidRPr="008F721B">
        <w:rPr>
          <w:szCs w:val="24"/>
        </w:rPr>
        <w:t>Фибробронхосокпия с выполнением бронхоальвеолярного лаважа;</w:t>
      </w:r>
    </w:p>
    <w:p w14:paraId="4D9385DE" w14:textId="77777777" w:rsidR="004F12DD" w:rsidRPr="008F721B" w:rsidRDefault="004F12DD" w:rsidP="004F12DD">
      <w:pPr>
        <w:pStyle w:val="afff3"/>
        <w:widowControl/>
        <w:numPr>
          <w:ilvl w:val="0"/>
          <w:numId w:val="215"/>
        </w:numPr>
        <w:autoSpaceDE/>
        <w:autoSpaceDN/>
        <w:adjustRightInd/>
        <w:rPr>
          <w:szCs w:val="24"/>
        </w:rPr>
      </w:pPr>
      <w:r w:rsidRPr="008F721B">
        <w:rPr>
          <w:szCs w:val="24"/>
        </w:rPr>
        <w:t>Эзофагогастродуоденоскпия (диагностическая и/или лечебная);</w:t>
      </w:r>
    </w:p>
    <w:p w14:paraId="2F8361B4" w14:textId="77777777" w:rsidR="004F12DD" w:rsidRPr="008F721B" w:rsidRDefault="004F12DD" w:rsidP="004F12DD">
      <w:pPr>
        <w:pStyle w:val="afff3"/>
        <w:widowControl/>
        <w:numPr>
          <w:ilvl w:val="0"/>
          <w:numId w:val="215"/>
        </w:numPr>
        <w:autoSpaceDE/>
        <w:autoSpaceDN/>
        <w:adjustRightInd/>
        <w:rPr>
          <w:szCs w:val="24"/>
        </w:rPr>
      </w:pPr>
      <w:r w:rsidRPr="008F721B">
        <w:rPr>
          <w:szCs w:val="24"/>
        </w:rPr>
        <w:t>Колоноскопия (диагностическая и/или лечебная);</w:t>
      </w:r>
    </w:p>
    <w:p w14:paraId="5E47F7E0" w14:textId="77777777" w:rsidR="004F12DD" w:rsidRPr="008F721B" w:rsidRDefault="004F12DD" w:rsidP="004F12DD">
      <w:pPr>
        <w:pStyle w:val="afff3"/>
        <w:widowControl/>
        <w:numPr>
          <w:ilvl w:val="0"/>
          <w:numId w:val="215"/>
        </w:numPr>
        <w:autoSpaceDE/>
        <w:autoSpaceDN/>
        <w:adjustRightInd/>
        <w:rPr>
          <w:szCs w:val="24"/>
        </w:rPr>
      </w:pPr>
      <w:r w:rsidRPr="008F721B">
        <w:rPr>
          <w:szCs w:val="24"/>
        </w:rPr>
        <w:t>Ультразвуковое исследование сосудов нижних конечностей;</w:t>
      </w:r>
    </w:p>
    <w:p w14:paraId="09FD4324" w14:textId="77777777" w:rsidR="004F12DD" w:rsidRPr="008F721B" w:rsidRDefault="004F12DD" w:rsidP="004F12DD">
      <w:pPr>
        <w:pStyle w:val="afff3"/>
        <w:widowControl/>
        <w:numPr>
          <w:ilvl w:val="0"/>
          <w:numId w:val="215"/>
        </w:numPr>
        <w:autoSpaceDE/>
        <w:autoSpaceDN/>
        <w:adjustRightInd/>
        <w:rPr>
          <w:szCs w:val="24"/>
        </w:rPr>
      </w:pPr>
      <w:r w:rsidRPr="008F721B">
        <w:rPr>
          <w:szCs w:val="24"/>
        </w:rPr>
        <w:t>Электрокардиография;</w:t>
      </w:r>
    </w:p>
    <w:p w14:paraId="54056BBB" w14:textId="77777777" w:rsidR="004F12DD" w:rsidRPr="008F721B" w:rsidRDefault="004F12DD" w:rsidP="004F12DD">
      <w:pPr>
        <w:pStyle w:val="afff3"/>
        <w:widowControl/>
        <w:numPr>
          <w:ilvl w:val="0"/>
          <w:numId w:val="215"/>
        </w:numPr>
        <w:autoSpaceDE/>
        <w:autoSpaceDN/>
        <w:adjustRightInd/>
        <w:rPr>
          <w:szCs w:val="24"/>
        </w:rPr>
      </w:pPr>
      <w:r w:rsidRPr="008F721B">
        <w:rPr>
          <w:szCs w:val="24"/>
        </w:rPr>
        <w:t>Эхокардиография;</w:t>
      </w:r>
    </w:p>
    <w:p w14:paraId="6F02D2DA" w14:textId="77777777" w:rsidR="004F12DD" w:rsidRPr="008F721B" w:rsidRDefault="004F12DD" w:rsidP="004F12DD">
      <w:pPr>
        <w:pStyle w:val="afff3"/>
        <w:widowControl/>
        <w:numPr>
          <w:ilvl w:val="0"/>
          <w:numId w:val="215"/>
        </w:numPr>
        <w:autoSpaceDE/>
        <w:autoSpaceDN/>
        <w:adjustRightInd/>
        <w:rPr>
          <w:szCs w:val="24"/>
        </w:rPr>
      </w:pPr>
      <w:r w:rsidRPr="008F721B">
        <w:rPr>
          <w:szCs w:val="24"/>
        </w:rPr>
        <w:t>Электроэнцефалограмма;</w:t>
      </w:r>
    </w:p>
    <w:p w14:paraId="5A5FE0F1" w14:textId="77777777" w:rsidR="004F12DD" w:rsidRPr="008F721B" w:rsidRDefault="004F12DD" w:rsidP="004F12DD">
      <w:pPr>
        <w:pStyle w:val="afff3"/>
        <w:widowControl/>
        <w:numPr>
          <w:ilvl w:val="0"/>
          <w:numId w:val="215"/>
        </w:numPr>
        <w:autoSpaceDE/>
        <w:autoSpaceDN/>
        <w:adjustRightInd/>
        <w:rPr>
          <w:szCs w:val="24"/>
        </w:rPr>
      </w:pPr>
      <w:r w:rsidRPr="008F721B">
        <w:rPr>
          <w:szCs w:val="24"/>
        </w:rPr>
        <w:t>Измерение центрального венозного давления;</w:t>
      </w:r>
    </w:p>
    <w:p w14:paraId="2B455F2F" w14:textId="77777777" w:rsidR="004F12DD" w:rsidRPr="008F721B" w:rsidRDefault="004F12DD" w:rsidP="004F12DD">
      <w:pPr>
        <w:pStyle w:val="afff3"/>
        <w:widowControl/>
        <w:numPr>
          <w:ilvl w:val="0"/>
          <w:numId w:val="215"/>
        </w:numPr>
        <w:autoSpaceDE/>
        <w:autoSpaceDN/>
        <w:adjustRightInd/>
        <w:rPr>
          <w:szCs w:val="24"/>
        </w:rPr>
      </w:pPr>
      <w:r w:rsidRPr="008F721B">
        <w:rPr>
          <w:szCs w:val="24"/>
        </w:rPr>
        <w:t>Инвазивный мониторинг гемодинамики;</w:t>
      </w:r>
    </w:p>
    <w:p w14:paraId="1F615B8D" w14:textId="77777777" w:rsidR="004F12DD" w:rsidRPr="008F721B" w:rsidRDefault="004F12DD" w:rsidP="004F12DD">
      <w:pPr>
        <w:pStyle w:val="afff3"/>
        <w:widowControl/>
        <w:numPr>
          <w:ilvl w:val="0"/>
          <w:numId w:val="215"/>
        </w:numPr>
        <w:autoSpaceDE/>
        <w:autoSpaceDN/>
        <w:adjustRightInd/>
        <w:rPr>
          <w:szCs w:val="24"/>
        </w:rPr>
      </w:pPr>
      <w:r w:rsidRPr="008F721B">
        <w:rPr>
          <w:szCs w:val="24"/>
        </w:rPr>
        <w:t xml:space="preserve">Прикроватный мониторинг (артериальное давление, ЧСС, </w:t>
      </w:r>
      <w:r w:rsidRPr="003C0A4C">
        <w:rPr>
          <w:szCs w:val="24"/>
        </w:rPr>
        <w:t xml:space="preserve">SpO2, </w:t>
      </w:r>
      <w:r w:rsidRPr="008F721B">
        <w:rPr>
          <w:szCs w:val="24"/>
        </w:rPr>
        <w:t>ЧД);</w:t>
      </w:r>
    </w:p>
    <w:p w14:paraId="75020304" w14:textId="77777777" w:rsidR="004F12DD" w:rsidRDefault="004F12DD" w:rsidP="004F12DD">
      <w:pPr>
        <w:ind w:firstLine="709"/>
        <w:contextualSpacing/>
        <w:rPr>
          <w:szCs w:val="24"/>
          <w:u w:val="single"/>
        </w:rPr>
      </w:pPr>
    </w:p>
    <w:p w14:paraId="693AA5A4" w14:textId="77777777" w:rsidR="004F12DD" w:rsidRPr="003C0A4C" w:rsidRDefault="004F12DD" w:rsidP="004F12DD">
      <w:pPr>
        <w:ind w:firstLine="709"/>
        <w:contextualSpacing/>
        <w:rPr>
          <w:szCs w:val="24"/>
          <w:u w:val="single"/>
        </w:rPr>
      </w:pPr>
      <w:r w:rsidRPr="003C0A4C">
        <w:rPr>
          <w:szCs w:val="24"/>
          <w:u w:val="single"/>
        </w:rPr>
        <w:t>Манипуляции направленные на обеспечение жизнеподдержания, контроля состояния пациента:</w:t>
      </w:r>
    </w:p>
    <w:p w14:paraId="09F161B8" w14:textId="77777777" w:rsidR="004F12DD" w:rsidRPr="008F721B" w:rsidRDefault="004F12DD" w:rsidP="004F12DD">
      <w:pPr>
        <w:pStyle w:val="afff3"/>
        <w:widowControl/>
        <w:numPr>
          <w:ilvl w:val="0"/>
          <w:numId w:val="215"/>
        </w:numPr>
        <w:autoSpaceDE/>
        <w:autoSpaceDN/>
        <w:adjustRightInd/>
        <w:rPr>
          <w:szCs w:val="24"/>
        </w:rPr>
      </w:pPr>
      <w:r w:rsidRPr="008F721B">
        <w:rPr>
          <w:szCs w:val="24"/>
        </w:rPr>
        <w:t>Катетеризация центральной (подключичной, яремной) вены;</w:t>
      </w:r>
    </w:p>
    <w:p w14:paraId="0C3E7ADB" w14:textId="77777777" w:rsidR="004F12DD" w:rsidRPr="008F721B" w:rsidRDefault="004F12DD" w:rsidP="004F12DD">
      <w:pPr>
        <w:pStyle w:val="afff3"/>
        <w:widowControl/>
        <w:numPr>
          <w:ilvl w:val="0"/>
          <w:numId w:val="215"/>
        </w:numPr>
        <w:autoSpaceDE/>
        <w:autoSpaceDN/>
        <w:adjustRightInd/>
        <w:rPr>
          <w:szCs w:val="24"/>
        </w:rPr>
      </w:pPr>
      <w:r w:rsidRPr="008F721B">
        <w:rPr>
          <w:szCs w:val="24"/>
        </w:rPr>
        <w:lastRenderedPageBreak/>
        <w:t>Установка катетера для проведения заместительной почечной терапии, плазмафереза и лейкоцитафереза;</w:t>
      </w:r>
    </w:p>
    <w:p w14:paraId="53FBE113" w14:textId="77777777" w:rsidR="004F12DD" w:rsidRPr="008F721B" w:rsidRDefault="004F12DD" w:rsidP="004F12DD">
      <w:pPr>
        <w:pStyle w:val="afff3"/>
        <w:widowControl/>
        <w:numPr>
          <w:ilvl w:val="0"/>
          <w:numId w:val="215"/>
        </w:numPr>
        <w:autoSpaceDE/>
        <w:autoSpaceDN/>
        <w:adjustRightInd/>
        <w:rPr>
          <w:szCs w:val="24"/>
        </w:rPr>
      </w:pPr>
      <w:r w:rsidRPr="008F721B">
        <w:rPr>
          <w:szCs w:val="24"/>
        </w:rPr>
        <w:t>Установка артериального катетера для инвазивного мониторинга артериального давления и параметров оксигенации;</w:t>
      </w:r>
    </w:p>
    <w:p w14:paraId="00F6749E" w14:textId="77777777" w:rsidR="004F12DD" w:rsidRPr="008F721B" w:rsidRDefault="004F12DD" w:rsidP="004F12DD">
      <w:pPr>
        <w:pStyle w:val="afff3"/>
        <w:widowControl/>
        <w:numPr>
          <w:ilvl w:val="0"/>
          <w:numId w:val="215"/>
        </w:numPr>
        <w:autoSpaceDE/>
        <w:autoSpaceDN/>
        <w:adjustRightInd/>
        <w:rPr>
          <w:szCs w:val="24"/>
        </w:rPr>
      </w:pPr>
      <w:r w:rsidRPr="008F721B">
        <w:rPr>
          <w:szCs w:val="24"/>
        </w:rPr>
        <w:t>Интубация трахеи, установка трахеостомы;</w:t>
      </w:r>
    </w:p>
    <w:p w14:paraId="09E4754B" w14:textId="77777777" w:rsidR="004F12DD" w:rsidRPr="008F721B" w:rsidRDefault="004F12DD" w:rsidP="004F12DD">
      <w:pPr>
        <w:pStyle w:val="afff3"/>
        <w:widowControl/>
        <w:numPr>
          <w:ilvl w:val="0"/>
          <w:numId w:val="215"/>
        </w:numPr>
        <w:autoSpaceDE/>
        <w:autoSpaceDN/>
        <w:adjustRightInd/>
        <w:rPr>
          <w:szCs w:val="24"/>
        </w:rPr>
      </w:pPr>
      <w:r w:rsidRPr="008F721B">
        <w:rPr>
          <w:szCs w:val="24"/>
        </w:rPr>
        <w:t>Выполнение дилятационной трахеостомии;</w:t>
      </w:r>
    </w:p>
    <w:p w14:paraId="1C7471F3" w14:textId="77777777" w:rsidR="004F12DD" w:rsidRPr="008F721B" w:rsidRDefault="004F12DD" w:rsidP="004F12DD">
      <w:pPr>
        <w:pStyle w:val="afff3"/>
        <w:widowControl/>
        <w:numPr>
          <w:ilvl w:val="0"/>
          <w:numId w:val="215"/>
        </w:numPr>
        <w:autoSpaceDE/>
        <w:autoSpaceDN/>
        <w:adjustRightInd/>
        <w:rPr>
          <w:szCs w:val="24"/>
        </w:rPr>
      </w:pPr>
      <w:r w:rsidRPr="008F721B">
        <w:rPr>
          <w:szCs w:val="24"/>
        </w:rPr>
        <w:t>Дренирование плевральной полости;</w:t>
      </w:r>
    </w:p>
    <w:p w14:paraId="3A4442FE" w14:textId="77777777" w:rsidR="004F12DD" w:rsidRPr="008F721B" w:rsidRDefault="004F12DD" w:rsidP="004F12DD">
      <w:pPr>
        <w:pStyle w:val="afff3"/>
        <w:widowControl/>
        <w:numPr>
          <w:ilvl w:val="0"/>
          <w:numId w:val="215"/>
        </w:numPr>
        <w:autoSpaceDE/>
        <w:autoSpaceDN/>
        <w:adjustRightInd/>
        <w:rPr>
          <w:szCs w:val="24"/>
        </w:rPr>
      </w:pPr>
      <w:r w:rsidRPr="008F721B">
        <w:rPr>
          <w:szCs w:val="24"/>
        </w:rPr>
        <w:t>Пункция и дренирование перикарда;</w:t>
      </w:r>
    </w:p>
    <w:p w14:paraId="67CAE5F2" w14:textId="77777777" w:rsidR="004F12DD" w:rsidRPr="008F721B" w:rsidRDefault="004F12DD" w:rsidP="004F12DD">
      <w:pPr>
        <w:pStyle w:val="afff3"/>
        <w:widowControl/>
        <w:numPr>
          <w:ilvl w:val="0"/>
          <w:numId w:val="215"/>
        </w:numPr>
        <w:autoSpaceDE/>
        <w:autoSpaceDN/>
        <w:adjustRightInd/>
        <w:rPr>
          <w:szCs w:val="24"/>
        </w:rPr>
      </w:pPr>
      <w:r w:rsidRPr="008F721B">
        <w:rPr>
          <w:szCs w:val="24"/>
        </w:rPr>
        <w:t>Установка мочевого катетера, желудочного зонда;</w:t>
      </w:r>
    </w:p>
    <w:p w14:paraId="6DE46B00" w14:textId="77777777" w:rsidR="004F12DD" w:rsidRDefault="004F12DD" w:rsidP="004F12DD">
      <w:pPr>
        <w:ind w:firstLine="709"/>
        <w:contextualSpacing/>
        <w:rPr>
          <w:szCs w:val="24"/>
          <w:u w:val="single"/>
        </w:rPr>
      </w:pPr>
    </w:p>
    <w:p w14:paraId="6EE9C307" w14:textId="77777777" w:rsidR="004F12DD" w:rsidRPr="003C0A4C" w:rsidRDefault="004F12DD" w:rsidP="004F12DD">
      <w:pPr>
        <w:ind w:firstLine="709"/>
        <w:contextualSpacing/>
        <w:rPr>
          <w:szCs w:val="24"/>
          <w:u w:val="single"/>
        </w:rPr>
      </w:pPr>
      <w:r w:rsidRPr="003C0A4C">
        <w:rPr>
          <w:szCs w:val="24"/>
          <w:u w:val="single"/>
        </w:rPr>
        <w:t>Основные методики жизнеобеспечения:</w:t>
      </w:r>
    </w:p>
    <w:p w14:paraId="18EBD044" w14:textId="77777777" w:rsidR="004F12DD" w:rsidRPr="008F721B" w:rsidRDefault="004F12DD" w:rsidP="004F12DD">
      <w:pPr>
        <w:pStyle w:val="afff3"/>
        <w:widowControl/>
        <w:numPr>
          <w:ilvl w:val="0"/>
          <w:numId w:val="215"/>
        </w:numPr>
        <w:autoSpaceDE/>
        <w:autoSpaceDN/>
        <w:adjustRightInd/>
        <w:rPr>
          <w:szCs w:val="24"/>
        </w:rPr>
      </w:pPr>
      <w:r w:rsidRPr="008F721B">
        <w:rPr>
          <w:szCs w:val="24"/>
        </w:rPr>
        <w:t>Для оксигенотерапии используются носовые катетеры, маска, маска с резервуаром, высокопоточные носовые канюли;</w:t>
      </w:r>
    </w:p>
    <w:p w14:paraId="29A189C3" w14:textId="77777777" w:rsidR="004F12DD" w:rsidRPr="008F721B" w:rsidRDefault="004F12DD" w:rsidP="004F12DD">
      <w:pPr>
        <w:pStyle w:val="afff3"/>
        <w:widowControl/>
        <w:numPr>
          <w:ilvl w:val="0"/>
          <w:numId w:val="215"/>
        </w:numPr>
        <w:autoSpaceDE/>
        <w:autoSpaceDN/>
        <w:adjustRightInd/>
        <w:rPr>
          <w:szCs w:val="24"/>
        </w:rPr>
      </w:pPr>
      <w:r w:rsidRPr="008F721B">
        <w:rPr>
          <w:szCs w:val="24"/>
        </w:rPr>
        <w:t>Механическая вентиляция легких: неинвазивная вентиляция легких (НИВЛ), ИВЛ;</w:t>
      </w:r>
    </w:p>
    <w:p w14:paraId="352EB523" w14:textId="77777777" w:rsidR="004F12DD" w:rsidRPr="008F721B" w:rsidRDefault="004F12DD" w:rsidP="004F12DD">
      <w:pPr>
        <w:pStyle w:val="afff3"/>
        <w:widowControl/>
        <w:numPr>
          <w:ilvl w:val="0"/>
          <w:numId w:val="215"/>
        </w:numPr>
        <w:autoSpaceDE/>
        <w:autoSpaceDN/>
        <w:adjustRightInd/>
        <w:rPr>
          <w:szCs w:val="24"/>
        </w:rPr>
      </w:pPr>
      <w:r w:rsidRPr="008F721B">
        <w:rPr>
          <w:szCs w:val="24"/>
        </w:rPr>
        <w:t>Плазмаферез и лейкоцитаферез;</w:t>
      </w:r>
    </w:p>
    <w:p w14:paraId="5BE7DB80" w14:textId="77777777" w:rsidR="004F12DD" w:rsidRPr="008F721B" w:rsidRDefault="004F12DD" w:rsidP="004F12DD">
      <w:pPr>
        <w:pStyle w:val="afff3"/>
        <w:widowControl/>
        <w:numPr>
          <w:ilvl w:val="0"/>
          <w:numId w:val="215"/>
        </w:numPr>
        <w:autoSpaceDE/>
        <w:autoSpaceDN/>
        <w:adjustRightInd/>
        <w:rPr>
          <w:szCs w:val="24"/>
        </w:rPr>
      </w:pPr>
      <w:r w:rsidRPr="008F721B">
        <w:rPr>
          <w:szCs w:val="24"/>
        </w:rPr>
        <w:t>Заместительная почечная терапия (гемодиафильтрация  и гемодиализ);</w:t>
      </w:r>
    </w:p>
    <w:p w14:paraId="68DCAAE5" w14:textId="77777777" w:rsidR="004F12DD" w:rsidRDefault="004F12DD" w:rsidP="004F12DD">
      <w:pPr>
        <w:ind w:firstLine="709"/>
        <w:rPr>
          <w:b/>
          <w:szCs w:val="24"/>
        </w:rPr>
      </w:pPr>
    </w:p>
    <w:p w14:paraId="7494F485" w14:textId="77777777" w:rsidR="004F12DD" w:rsidRPr="008F721B" w:rsidRDefault="004F12DD" w:rsidP="004F12DD">
      <w:pPr>
        <w:ind w:firstLine="709"/>
        <w:rPr>
          <w:szCs w:val="24"/>
        </w:rPr>
      </w:pPr>
      <w:r w:rsidRPr="003C0A4C">
        <w:rPr>
          <w:szCs w:val="24"/>
          <w:u w:val="single"/>
        </w:rPr>
        <w:t>Консультации специалистов:</w:t>
      </w:r>
      <w:r w:rsidRPr="008F721B">
        <w:rPr>
          <w:b/>
          <w:szCs w:val="24"/>
        </w:rPr>
        <w:t xml:space="preserve"> </w:t>
      </w:r>
      <w:r w:rsidRPr="008F721B">
        <w:rPr>
          <w:szCs w:val="24"/>
        </w:rPr>
        <w:t>невропатолога, кардиолога, эндокринолога, хирурга и др. по показаниям</w:t>
      </w:r>
    </w:p>
    <w:p w14:paraId="117590A6" w14:textId="77777777" w:rsidR="004F12DD" w:rsidRDefault="004F12DD" w:rsidP="004F12DD">
      <w:pPr>
        <w:ind w:firstLine="709"/>
        <w:rPr>
          <w:b/>
          <w:szCs w:val="24"/>
        </w:rPr>
      </w:pPr>
    </w:p>
    <w:p w14:paraId="663AED5F" w14:textId="66D02677" w:rsidR="004F12DD" w:rsidRPr="003C0A4C" w:rsidRDefault="004F12DD" w:rsidP="004F12DD">
      <w:pPr>
        <w:ind w:firstLine="709"/>
        <w:contextualSpacing/>
        <w:rPr>
          <w:szCs w:val="24"/>
          <w:u w:val="single"/>
        </w:rPr>
      </w:pPr>
      <w:r w:rsidRPr="003C0A4C">
        <w:rPr>
          <w:szCs w:val="24"/>
          <w:u w:val="single"/>
        </w:rPr>
        <w:t xml:space="preserve">Перечень основных медикаментозных препаратов, использующих в ОРИТ у пациентов с </w:t>
      </w:r>
      <w:r w:rsidR="004854AE">
        <w:rPr>
          <w:szCs w:val="24"/>
          <w:u w:val="single"/>
        </w:rPr>
        <w:t>лейкозом:</w:t>
      </w:r>
    </w:p>
    <w:p w14:paraId="7DB130C5" w14:textId="77777777" w:rsidR="004F12DD" w:rsidRPr="008F721B" w:rsidRDefault="004F12DD" w:rsidP="004F12DD">
      <w:pPr>
        <w:pStyle w:val="afff3"/>
        <w:widowControl/>
        <w:numPr>
          <w:ilvl w:val="0"/>
          <w:numId w:val="215"/>
        </w:numPr>
        <w:autoSpaceDE/>
        <w:autoSpaceDN/>
        <w:adjustRightInd/>
        <w:rPr>
          <w:szCs w:val="24"/>
        </w:rPr>
      </w:pPr>
      <w:r w:rsidRPr="008F721B">
        <w:rPr>
          <w:szCs w:val="24"/>
        </w:rPr>
        <w:t>Антибактериальные, противогрибковые, противовирусные препараты (с примерной суточной дозировкой без перерасчета на вес и без поправок на скорость клубочковой фильтрации), внутривенные формы:</w:t>
      </w:r>
      <w:r w:rsidRPr="003C0A4C">
        <w:rPr>
          <w:szCs w:val="24"/>
        </w:rPr>
        <w:t xml:space="preserve"> </w:t>
      </w:r>
    </w:p>
    <w:p w14:paraId="11A8FEEA" w14:textId="77777777" w:rsidR="004F12DD" w:rsidRPr="008F721B" w:rsidRDefault="004F12DD" w:rsidP="004F12DD">
      <w:pPr>
        <w:pStyle w:val="afff3"/>
        <w:widowControl/>
        <w:numPr>
          <w:ilvl w:val="0"/>
          <w:numId w:val="215"/>
        </w:numPr>
        <w:autoSpaceDE/>
        <w:autoSpaceDN/>
        <w:adjustRightInd/>
        <w:rPr>
          <w:szCs w:val="24"/>
        </w:rPr>
      </w:pPr>
      <w:r w:rsidRPr="008F721B">
        <w:rPr>
          <w:szCs w:val="24"/>
        </w:rPr>
        <w:t>меропенем 3 гр/сут, имипенем/циластатин 2000 мг/сут, дорипенем 1500 мг/сут полимиксин В 150 мг/сут, ванкомицин 2 гр/сут, линезолид 1200 мг/сут, даптомицин 500 мг/сут, амикацин 1500 мг, цефтазидим/авиабактам 5 гр/сут, тигециклин 100 мг/сут, метронидазол 1500 мг/сут, триметоприм/сульфаметаксозол (20 мг триметоприма на 1 кг), анидулафунгин 200 мг/сут, вориконазол 600 мг/сут, амфотерицин В (липосомальный комплекс) 350 мг/сут, ацикловир 750 мг/сут, ганцикловир 250 мг/сут, эритромицин 300 мг/сут (как прокинетическое средство).</w:t>
      </w:r>
    </w:p>
    <w:p w14:paraId="1B48088A" w14:textId="77777777" w:rsidR="004F12DD" w:rsidRPr="008F721B" w:rsidRDefault="004F12DD" w:rsidP="004F12DD">
      <w:pPr>
        <w:pStyle w:val="afff3"/>
        <w:widowControl/>
        <w:numPr>
          <w:ilvl w:val="0"/>
          <w:numId w:val="215"/>
        </w:numPr>
        <w:autoSpaceDE/>
        <w:autoSpaceDN/>
        <w:adjustRightInd/>
        <w:rPr>
          <w:szCs w:val="24"/>
        </w:rPr>
      </w:pPr>
      <w:r w:rsidRPr="008F721B">
        <w:rPr>
          <w:szCs w:val="24"/>
        </w:rPr>
        <w:t>Вазоактивные препараты (дозировка и скорость введения широко варьирует в зависимости от клинической ситуации), внутривенные формы:</w:t>
      </w:r>
    </w:p>
    <w:p w14:paraId="357C4C15" w14:textId="77777777" w:rsidR="004F12DD" w:rsidRPr="008F721B" w:rsidRDefault="004F12DD" w:rsidP="004F12DD">
      <w:pPr>
        <w:pStyle w:val="afff3"/>
        <w:widowControl/>
        <w:numPr>
          <w:ilvl w:val="0"/>
          <w:numId w:val="215"/>
        </w:numPr>
        <w:autoSpaceDE/>
        <w:autoSpaceDN/>
        <w:adjustRightInd/>
        <w:rPr>
          <w:szCs w:val="24"/>
        </w:rPr>
      </w:pPr>
      <w:r w:rsidRPr="008F721B">
        <w:rPr>
          <w:szCs w:val="24"/>
        </w:rPr>
        <w:lastRenderedPageBreak/>
        <w:t>норадреналин, адреналин, добутамин, допамин, фенилэфрин, атропин.</w:t>
      </w:r>
    </w:p>
    <w:p w14:paraId="7C7F9313" w14:textId="77777777" w:rsidR="004F12DD" w:rsidRPr="008F721B" w:rsidRDefault="004F12DD" w:rsidP="004F12DD">
      <w:pPr>
        <w:pStyle w:val="afff3"/>
        <w:widowControl/>
        <w:numPr>
          <w:ilvl w:val="0"/>
          <w:numId w:val="215"/>
        </w:numPr>
        <w:autoSpaceDE/>
        <w:autoSpaceDN/>
        <w:adjustRightInd/>
        <w:rPr>
          <w:szCs w:val="24"/>
        </w:rPr>
      </w:pPr>
      <w:r w:rsidRPr="008F721B">
        <w:rPr>
          <w:szCs w:val="24"/>
        </w:rPr>
        <w:t>Антиаритмические препараты, внутривенные формы:</w:t>
      </w:r>
      <w:r w:rsidRPr="003C0A4C">
        <w:rPr>
          <w:szCs w:val="24"/>
        </w:rPr>
        <w:t xml:space="preserve"> </w:t>
      </w:r>
    </w:p>
    <w:p w14:paraId="453A2AC0" w14:textId="77777777" w:rsidR="004F12DD" w:rsidRPr="008F721B" w:rsidRDefault="004F12DD" w:rsidP="004F12DD">
      <w:pPr>
        <w:pStyle w:val="afff3"/>
        <w:widowControl/>
        <w:numPr>
          <w:ilvl w:val="0"/>
          <w:numId w:val="215"/>
        </w:numPr>
        <w:autoSpaceDE/>
        <w:autoSpaceDN/>
        <w:adjustRightInd/>
        <w:rPr>
          <w:szCs w:val="24"/>
        </w:rPr>
      </w:pPr>
      <w:r w:rsidRPr="008F721B">
        <w:rPr>
          <w:szCs w:val="24"/>
        </w:rPr>
        <w:t>амиодарон, лидокаин 10%, новокаинамид, метопролол, атропин.</w:t>
      </w:r>
    </w:p>
    <w:p w14:paraId="6386E27C" w14:textId="77777777" w:rsidR="004F12DD" w:rsidRPr="008F721B" w:rsidRDefault="004F12DD" w:rsidP="004F12DD">
      <w:pPr>
        <w:pStyle w:val="afff3"/>
        <w:widowControl/>
        <w:numPr>
          <w:ilvl w:val="0"/>
          <w:numId w:val="215"/>
        </w:numPr>
        <w:autoSpaceDE/>
        <w:autoSpaceDN/>
        <w:adjustRightInd/>
        <w:rPr>
          <w:szCs w:val="24"/>
        </w:rPr>
      </w:pPr>
      <w:r w:rsidRPr="008F721B">
        <w:rPr>
          <w:szCs w:val="24"/>
        </w:rPr>
        <w:t xml:space="preserve">Препараты, влияющие на нейромышечное проведение, седативные и противосудорожные, антипсихотические внутривенные формы: </w:t>
      </w:r>
    </w:p>
    <w:p w14:paraId="48ABADFA" w14:textId="77777777" w:rsidR="004F12DD" w:rsidRPr="008F721B" w:rsidRDefault="004F12DD" w:rsidP="004F12DD">
      <w:pPr>
        <w:pStyle w:val="afff3"/>
        <w:widowControl/>
        <w:numPr>
          <w:ilvl w:val="0"/>
          <w:numId w:val="215"/>
        </w:numPr>
        <w:autoSpaceDE/>
        <w:autoSpaceDN/>
        <w:adjustRightInd/>
        <w:rPr>
          <w:szCs w:val="24"/>
        </w:rPr>
      </w:pPr>
      <w:r w:rsidRPr="008F721B">
        <w:rPr>
          <w:szCs w:val="24"/>
        </w:rPr>
        <w:t>пипекурония бромид, цис-атракуриум, мидазолам, диазепам, феназепам, галоперидол, пропофол, кетамин, габапентин, левитерацитам, вальпроевая кислота.</w:t>
      </w:r>
    </w:p>
    <w:p w14:paraId="7D3E1E1E" w14:textId="77777777" w:rsidR="004F12DD" w:rsidRPr="003C0A4C" w:rsidRDefault="004F12DD" w:rsidP="004F12DD">
      <w:pPr>
        <w:pStyle w:val="afff3"/>
        <w:widowControl/>
        <w:numPr>
          <w:ilvl w:val="0"/>
          <w:numId w:val="215"/>
        </w:numPr>
        <w:autoSpaceDE/>
        <w:autoSpaceDN/>
        <w:adjustRightInd/>
        <w:rPr>
          <w:szCs w:val="24"/>
        </w:rPr>
      </w:pPr>
      <w:r w:rsidRPr="008F721B">
        <w:rPr>
          <w:szCs w:val="24"/>
        </w:rPr>
        <w:t>Анальгетики:</w:t>
      </w:r>
      <w:r w:rsidRPr="003C0A4C">
        <w:rPr>
          <w:szCs w:val="24"/>
        </w:rPr>
        <w:t xml:space="preserve"> </w:t>
      </w:r>
    </w:p>
    <w:p w14:paraId="53165DFB" w14:textId="77777777" w:rsidR="004F12DD" w:rsidRPr="003C0A4C" w:rsidRDefault="004F12DD" w:rsidP="004F12DD">
      <w:pPr>
        <w:pStyle w:val="afff3"/>
        <w:widowControl/>
        <w:numPr>
          <w:ilvl w:val="0"/>
          <w:numId w:val="215"/>
        </w:numPr>
        <w:autoSpaceDE/>
        <w:autoSpaceDN/>
        <w:adjustRightInd/>
        <w:rPr>
          <w:szCs w:val="24"/>
        </w:rPr>
      </w:pPr>
      <w:r w:rsidRPr="008F721B">
        <w:rPr>
          <w:szCs w:val="24"/>
        </w:rPr>
        <w:t>трансдермальная форма фентанила, в/в раствор фентнила, промедола, трамадола. Нефопам, парацетамол, кетанол.</w:t>
      </w:r>
    </w:p>
    <w:p w14:paraId="1C205468" w14:textId="77777777" w:rsidR="004F12DD" w:rsidRPr="008F721B" w:rsidRDefault="004F12DD" w:rsidP="004F12DD">
      <w:pPr>
        <w:pStyle w:val="afff3"/>
        <w:widowControl/>
        <w:numPr>
          <w:ilvl w:val="0"/>
          <w:numId w:val="215"/>
        </w:numPr>
        <w:autoSpaceDE/>
        <w:autoSpaceDN/>
        <w:adjustRightInd/>
        <w:rPr>
          <w:szCs w:val="24"/>
        </w:rPr>
      </w:pPr>
      <w:r w:rsidRPr="008F721B">
        <w:rPr>
          <w:szCs w:val="24"/>
        </w:rPr>
        <w:t>Инфузионная терапия и парентеральное питание:</w:t>
      </w:r>
      <w:r w:rsidRPr="003C0A4C">
        <w:rPr>
          <w:szCs w:val="24"/>
        </w:rPr>
        <w:t xml:space="preserve"> </w:t>
      </w:r>
    </w:p>
    <w:p w14:paraId="1F52D4AD" w14:textId="77777777" w:rsidR="004F12DD" w:rsidRPr="008F721B" w:rsidRDefault="004F12DD" w:rsidP="004F12DD">
      <w:pPr>
        <w:pStyle w:val="afff3"/>
        <w:widowControl/>
        <w:numPr>
          <w:ilvl w:val="0"/>
          <w:numId w:val="215"/>
        </w:numPr>
        <w:autoSpaceDE/>
        <w:autoSpaceDN/>
        <w:adjustRightInd/>
        <w:rPr>
          <w:szCs w:val="24"/>
        </w:rPr>
      </w:pPr>
      <w:r w:rsidRPr="008F721B">
        <w:rPr>
          <w:szCs w:val="24"/>
        </w:rPr>
        <w:t xml:space="preserve">изотонический раствор натрия хлорида, сбалансированные кристаллоидные растворы (рингер-лактат, стерофундин), вольювен, раствор глюкозы 5% и 20%. Смеси для парентерального питания (3 в 1): оликлиномель </w:t>
      </w:r>
      <w:r w:rsidRPr="003C0A4C">
        <w:rPr>
          <w:szCs w:val="24"/>
        </w:rPr>
        <w:t>N</w:t>
      </w:r>
      <w:r w:rsidRPr="008F721B">
        <w:rPr>
          <w:szCs w:val="24"/>
        </w:rPr>
        <w:t>7, нутрифлекс140/80, кабивен центральный и периферический.</w:t>
      </w:r>
    </w:p>
    <w:p w14:paraId="47B5C1D8" w14:textId="77777777" w:rsidR="004F12DD" w:rsidRPr="008F721B" w:rsidRDefault="004F12DD" w:rsidP="004F12DD">
      <w:pPr>
        <w:pStyle w:val="afff3"/>
        <w:widowControl/>
        <w:numPr>
          <w:ilvl w:val="0"/>
          <w:numId w:val="215"/>
        </w:numPr>
        <w:autoSpaceDE/>
        <w:autoSpaceDN/>
        <w:adjustRightInd/>
        <w:rPr>
          <w:szCs w:val="24"/>
        </w:rPr>
      </w:pPr>
      <w:r w:rsidRPr="008F721B">
        <w:rPr>
          <w:szCs w:val="24"/>
        </w:rPr>
        <w:t xml:space="preserve">Антигистаминные и противорвотные препараты, внутривенные формы: блокаторы </w:t>
      </w:r>
      <w:r w:rsidRPr="003C0A4C">
        <w:rPr>
          <w:szCs w:val="24"/>
        </w:rPr>
        <w:t>H1</w:t>
      </w:r>
      <w:r w:rsidRPr="008F721B">
        <w:rPr>
          <w:szCs w:val="24"/>
        </w:rPr>
        <w:t xml:space="preserve"> – первого поколения (дифенгидрамин), супрастин, метоклопрамид, ондансетрон.</w:t>
      </w:r>
    </w:p>
    <w:p w14:paraId="22DA62DF" w14:textId="77777777" w:rsidR="004F12DD" w:rsidRPr="008F721B" w:rsidRDefault="004F12DD" w:rsidP="004F12DD">
      <w:pPr>
        <w:pStyle w:val="afff3"/>
        <w:widowControl/>
        <w:numPr>
          <w:ilvl w:val="0"/>
          <w:numId w:val="215"/>
        </w:numPr>
        <w:autoSpaceDE/>
        <w:autoSpaceDN/>
        <w:adjustRightInd/>
        <w:rPr>
          <w:szCs w:val="24"/>
        </w:rPr>
      </w:pPr>
      <w:r w:rsidRPr="008F721B">
        <w:rPr>
          <w:szCs w:val="24"/>
        </w:rPr>
        <w:t xml:space="preserve">Прочие препараты, применяющиеся у гематологических пациентов, находящихся в ОРИТ, внутривенные формы: </w:t>
      </w:r>
    </w:p>
    <w:p w14:paraId="2F0FD1F7" w14:textId="77777777" w:rsidR="004F12DD" w:rsidRPr="008F721B" w:rsidRDefault="004F12DD" w:rsidP="004F12DD">
      <w:pPr>
        <w:pStyle w:val="afff3"/>
        <w:widowControl/>
        <w:numPr>
          <w:ilvl w:val="0"/>
          <w:numId w:val="215"/>
        </w:numPr>
        <w:autoSpaceDE/>
        <w:autoSpaceDN/>
        <w:adjustRightInd/>
        <w:rPr>
          <w:szCs w:val="24"/>
        </w:rPr>
      </w:pPr>
      <w:r w:rsidRPr="008F721B">
        <w:rPr>
          <w:szCs w:val="24"/>
        </w:rPr>
        <w:t>фуросемид, маннитол, натрия гидрокарбонат, дексаметазон, метилпреднизолон, преднизолон, тиамин, цианкобаламин, витамин К1, пиридоксин, инсулин, транексамовая кислота, растворы солей кальция и калия.</w:t>
      </w:r>
    </w:p>
    <w:p w14:paraId="0CF6B91D" w14:textId="77777777" w:rsidR="004F12DD" w:rsidRPr="008F721B" w:rsidRDefault="004F12DD" w:rsidP="004F12DD">
      <w:pPr>
        <w:pStyle w:val="afff3"/>
        <w:widowControl/>
        <w:numPr>
          <w:ilvl w:val="0"/>
          <w:numId w:val="215"/>
        </w:numPr>
        <w:autoSpaceDE/>
        <w:autoSpaceDN/>
        <w:adjustRightInd/>
        <w:rPr>
          <w:szCs w:val="24"/>
        </w:rPr>
      </w:pPr>
      <w:r w:rsidRPr="008F721B">
        <w:rPr>
          <w:szCs w:val="24"/>
        </w:rPr>
        <w:t>Цитостатики, иммунодепрессанты, иммуноглобулины и иная специфическая и сопроводительная терапия основного гематологического заболевания по клиническим показаниям в период пребывания пациента в ОРИТ.</w:t>
      </w:r>
    </w:p>
    <w:p w14:paraId="702852D7" w14:textId="77777777" w:rsidR="004F12DD" w:rsidRPr="008F721B" w:rsidRDefault="004F12DD" w:rsidP="004F12DD">
      <w:pPr>
        <w:ind w:firstLine="709"/>
        <w:rPr>
          <w:szCs w:val="24"/>
        </w:rPr>
      </w:pPr>
      <w:r w:rsidRPr="008F721B">
        <w:rPr>
          <w:szCs w:val="24"/>
        </w:rPr>
        <w:t xml:space="preserve">Также у гематологических пациентов в ОРИТ производятся заместительные гемокомпонентные трансфузии при наличии показаний: </w:t>
      </w:r>
    </w:p>
    <w:p w14:paraId="55FF02FB" w14:textId="77777777" w:rsidR="004F12DD" w:rsidRPr="008F721B" w:rsidRDefault="004F12DD" w:rsidP="004F12DD">
      <w:pPr>
        <w:pStyle w:val="afff3"/>
        <w:widowControl/>
        <w:numPr>
          <w:ilvl w:val="0"/>
          <w:numId w:val="215"/>
        </w:numPr>
        <w:autoSpaceDE/>
        <w:autoSpaceDN/>
        <w:adjustRightInd/>
        <w:rPr>
          <w:szCs w:val="24"/>
        </w:rPr>
      </w:pPr>
      <w:r w:rsidRPr="008F721B">
        <w:rPr>
          <w:szCs w:val="24"/>
        </w:rPr>
        <w:t>трансфузия эритроцитсодержащих компонентов крови обычно проводится при снижении концентрации гемоглобина менее 60 г/л (у больных среднего возраста и без сопутствующей сердечной патологии; при наличии сердечно-сосудистой патологии и в пожилом возрасте трансфузии эритроцитсодержащих компонентов крови проводится при более высокой концентрации гемоглобина в крови, по клиническим показаниям);</w:t>
      </w:r>
    </w:p>
    <w:p w14:paraId="33224135" w14:textId="77777777" w:rsidR="004F12DD" w:rsidRPr="008F721B" w:rsidRDefault="004F12DD" w:rsidP="004F12DD">
      <w:pPr>
        <w:pStyle w:val="afff3"/>
        <w:widowControl/>
        <w:numPr>
          <w:ilvl w:val="0"/>
          <w:numId w:val="215"/>
        </w:numPr>
        <w:autoSpaceDE/>
        <w:autoSpaceDN/>
        <w:adjustRightInd/>
        <w:rPr>
          <w:szCs w:val="24"/>
        </w:rPr>
      </w:pPr>
      <w:r w:rsidRPr="008F721B">
        <w:rPr>
          <w:szCs w:val="24"/>
        </w:rPr>
        <w:lastRenderedPageBreak/>
        <w:t>концентрат тромбоцитов в ОРИТ используется как с лечебной целью, так и с профилактической; обычно трансфузии концентрата тромбоцитов проводят при снижении концентрации тромбоцитов менее 20х10</w:t>
      </w:r>
      <w:r w:rsidRPr="009D0B15">
        <w:rPr>
          <w:szCs w:val="24"/>
          <w:vertAlign w:val="superscript"/>
        </w:rPr>
        <w:t>9</w:t>
      </w:r>
      <w:r w:rsidRPr="008F721B">
        <w:rPr>
          <w:szCs w:val="24"/>
        </w:rPr>
        <w:t>/л;</w:t>
      </w:r>
    </w:p>
    <w:p w14:paraId="442C68EB" w14:textId="77777777" w:rsidR="004F12DD" w:rsidRPr="008F721B" w:rsidRDefault="004F12DD" w:rsidP="004F12DD">
      <w:pPr>
        <w:pStyle w:val="afff3"/>
        <w:widowControl/>
        <w:numPr>
          <w:ilvl w:val="0"/>
          <w:numId w:val="215"/>
        </w:numPr>
        <w:autoSpaceDE/>
        <w:autoSpaceDN/>
        <w:adjustRightInd/>
        <w:rPr>
          <w:szCs w:val="24"/>
        </w:rPr>
      </w:pPr>
      <w:r w:rsidRPr="008F721B">
        <w:rPr>
          <w:szCs w:val="24"/>
        </w:rPr>
        <w:t xml:space="preserve">показанием к трансфузии криопреципитата является снижение концентрации фибриногена менее 1,0 г/л при отсутствии геморрагического синдрома или при снижении менее 2,0 г/л при наличии геморрагического синдрома; </w:t>
      </w:r>
    </w:p>
    <w:p w14:paraId="76C1D0F7" w14:textId="77777777" w:rsidR="004F12DD" w:rsidRPr="008F721B" w:rsidRDefault="004F12DD" w:rsidP="004F12DD">
      <w:pPr>
        <w:pStyle w:val="afff3"/>
        <w:widowControl/>
        <w:numPr>
          <w:ilvl w:val="0"/>
          <w:numId w:val="215"/>
        </w:numPr>
        <w:autoSpaceDE/>
        <w:autoSpaceDN/>
        <w:adjustRightInd/>
        <w:rPr>
          <w:szCs w:val="24"/>
        </w:rPr>
      </w:pPr>
      <w:r w:rsidRPr="008F721B">
        <w:rPr>
          <w:szCs w:val="24"/>
        </w:rPr>
        <w:t xml:space="preserve">трансфузию свежезамороженной плазмы (СЗП) производят при массивных кровотечениях в зависимости от клинико-лабораторных показателей. </w:t>
      </w:r>
    </w:p>
    <w:p w14:paraId="047A8C85" w14:textId="437FC57D" w:rsidR="004F12DD" w:rsidRDefault="004F12DD" w:rsidP="004F12DD">
      <w:pPr>
        <w:ind w:firstLine="708"/>
        <w:rPr>
          <w:szCs w:val="24"/>
        </w:rPr>
      </w:pPr>
    </w:p>
    <w:p w14:paraId="37978066" w14:textId="070453C4" w:rsidR="0052500A" w:rsidRPr="0052500A" w:rsidRDefault="004F12DD" w:rsidP="004905C2">
      <w:pPr>
        <w:pStyle w:val="2"/>
        <w:rPr>
          <w:szCs w:val="24"/>
        </w:rPr>
      </w:pPr>
      <w:bookmarkStart w:id="405" w:name="_Toc64565679"/>
      <w:r w:rsidRPr="00B7347C">
        <w:t xml:space="preserve">Приложение </w:t>
      </w:r>
      <w:r>
        <w:t>А3.1</w:t>
      </w:r>
      <w:r w:rsidRPr="0052500A">
        <w:t>2</w:t>
      </w:r>
      <w:r>
        <w:t xml:space="preserve">. </w:t>
      </w:r>
      <w:r w:rsidR="0052500A">
        <w:t>Протоколы введения моноклональных антител у пациентов с ОЛЛ</w:t>
      </w:r>
      <w:r w:rsidR="0052500A" w:rsidRPr="008A28FF">
        <w:t>.</w:t>
      </w:r>
      <w:bookmarkEnd w:id="405"/>
    </w:p>
    <w:p w14:paraId="4A259D59" w14:textId="77777777" w:rsidR="0052500A" w:rsidRDefault="0052500A" w:rsidP="0052500A">
      <w:pPr>
        <w:pStyle w:val="Normal1"/>
        <w:tabs>
          <w:tab w:val="left" w:pos="0"/>
        </w:tabs>
        <w:spacing w:before="0" w:line="360" w:lineRule="auto"/>
        <w:jc w:val="both"/>
        <w:rPr>
          <w:rFonts w:cs="Times New Roman"/>
          <w:b/>
        </w:rPr>
      </w:pPr>
      <w:r w:rsidRPr="008A28FF">
        <w:rPr>
          <w:rFonts w:cs="Times New Roman"/>
          <w:b/>
        </w:rPr>
        <w:tab/>
      </w:r>
    </w:p>
    <w:p w14:paraId="20124670" w14:textId="4C0E39D4" w:rsidR="0052500A" w:rsidRPr="006D484C" w:rsidRDefault="0052500A" w:rsidP="0052500A">
      <w:pPr>
        <w:pStyle w:val="Normal1"/>
        <w:tabs>
          <w:tab w:val="left" w:pos="0"/>
        </w:tabs>
        <w:spacing w:before="0" w:line="360" w:lineRule="auto"/>
        <w:jc w:val="both"/>
        <w:rPr>
          <w:rFonts w:cs="Times New Roman"/>
          <w:bCs/>
          <w:i/>
          <w:iCs/>
          <w:u w:val="single"/>
        </w:rPr>
      </w:pPr>
      <w:r w:rsidRPr="006D484C">
        <w:rPr>
          <w:rFonts w:cs="Times New Roman"/>
          <w:bCs/>
          <w:i/>
          <w:iCs/>
          <w:u w:val="single"/>
        </w:rPr>
        <w:tab/>
        <w:t>Ритуксимаб</w:t>
      </w:r>
    </w:p>
    <w:p w14:paraId="7824E7C3" w14:textId="77777777" w:rsidR="0052500A" w:rsidRDefault="0052500A" w:rsidP="0052500A">
      <w:pPr>
        <w:pStyle w:val="Normal1"/>
        <w:tabs>
          <w:tab w:val="left" w:pos="0"/>
        </w:tabs>
        <w:spacing w:before="0" w:line="360" w:lineRule="auto"/>
        <w:ind w:firstLine="699"/>
        <w:jc w:val="both"/>
      </w:pPr>
      <w:r w:rsidRPr="002A7FDF">
        <w:t>Стандартная дозировка препарата на разовое введение составляет 375 мг/м</w:t>
      </w:r>
      <w:r w:rsidRPr="002A7FDF">
        <w:rPr>
          <w:vertAlign w:val="superscript"/>
        </w:rPr>
        <w:t>2</w:t>
      </w:r>
      <w:r w:rsidRPr="002A7FDF">
        <w:t>. Необходимое количество препарата набирают в асептических условиях и разводят до расчетной концентрации (1–4 мг/мл) в инфузионном флаконе (пакете) с 0,9% раствором натрия хлорида для инъекции или 5% раствором декстрозы (растворы должны быть стерильными и апирогенными). Приготовленный инфузионный раствор стабилен в течение 12 ч при комнатной температуре или в течение не более 24 ч при температуре от 2 до 8 °C. Препарат вводят внутривенно, инфузионно (медленно), через отдельный катетер.   Препарат нельзя вводить в/в болюсно или в виде в/в инъекций.</w:t>
      </w:r>
    </w:p>
    <w:p w14:paraId="3ADC2312" w14:textId="77777777" w:rsidR="0052500A" w:rsidRPr="008A28FF" w:rsidRDefault="0052500A" w:rsidP="0052500A">
      <w:pPr>
        <w:tabs>
          <w:tab w:val="left" w:pos="0"/>
        </w:tabs>
        <w:ind w:firstLine="567"/>
        <w:rPr>
          <w:szCs w:val="24"/>
        </w:rPr>
      </w:pPr>
      <w:r w:rsidRPr="008A28FF">
        <w:rPr>
          <w:szCs w:val="24"/>
        </w:rPr>
        <w:t>Рекомендуемая начальная скорость первой инфузии — 50 мг/ч, в дальнейшем ее можно увеличивать на 50 мг/ч каждые 30 мин, доводя до максимальной скорости — 400 мг/ч. Последующие инфузии можно начинать со скорости 100 мг/ч и увеличивать ее на 100 мг/ч каждые 30 мин до максимальной скорости 400 мг/ч.</w:t>
      </w:r>
    </w:p>
    <w:p w14:paraId="2A3A2D80" w14:textId="77777777" w:rsidR="0052500A" w:rsidRDefault="0052500A" w:rsidP="0052500A">
      <w:pPr>
        <w:pStyle w:val="Normal1"/>
        <w:tabs>
          <w:tab w:val="left" w:pos="0"/>
        </w:tabs>
        <w:spacing w:before="0" w:line="360" w:lineRule="auto"/>
        <w:ind w:firstLine="699"/>
        <w:jc w:val="both"/>
        <w:rPr>
          <w:rFonts w:cs="Times New Roman"/>
        </w:rPr>
      </w:pPr>
      <w:r w:rsidRPr="008A28FF">
        <w:rPr>
          <w:rFonts w:cs="Times New Roman"/>
        </w:rPr>
        <w:t>Введение ритуксимаба может сопровождаться инфузионными реакциями: озноб, слабость, одышка, диспепсия, тошнота, сыпь, артериальная гипотензия или гипертензия, лихорадка, зуд, крапивница, раздражение глотки, ринит, тахикардия, рвота, боли, признаки синдрома лизиса опухоли.</w:t>
      </w:r>
    </w:p>
    <w:p w14:paraId="14F057AD" w14:textId="7F0B685F" w:rsidR="0052500A" w:rsidRPr="007C3F04" w:rsidRDefault="0052500A" w:rsidP="0052500A">
      <w:pPr>
        <w:pStyle w:val="Normal1"/>
        <w:tabs>
          <w:tab w:val="left" w:pos="0"/>
        </w:tabs>
        <w:spacing w:before="0" w:line="360" w:lineRule="auto"/>
        <w:ind w:firstLine="699"/>
        <w:jc w:val="both"/>
        <w:rPr>
          <w:rFonts w:cs="Times New Roman"/>
        </w:rPr>
      </w:pPr>
      <w:r>
        <w:t>Всем пациентам с острым лимфобластным лейкозом п</w:t>
      </w:r>
      <w:r w:rsidRPr="007C3F04">
        <w:t>еред каждой инфузией ритуксимаба за 30</w:t>
      </w:r>
      <w:r>
        <w:t>-</w:t>
      </w:r>
      <w:r w:rsidRPr="007C3F04">
        <w:t xml:space="preserve">60 мин до введения </w:t>
      </w:r>
      <w:r>
        <w:t xml:space="preserve">необходимо </w:t>
      </w:r>
      <w:r w:rsidRPr="007C3F04">
        <w:t xml:space="preserve">проводить премедикацию (анальгетик/антипиретик, например, парацетамол или кетопрофен; антигистаминный препарат, </w:t>
      </w:r>
      <w:r w:rsidR="00152089" w:rsidRPr="007C3F04">
        <w:t>например,</w:t>
      </w:r>
      <w:r w:rsidRPr="007C3F04">
        <w:t xml:space="preserve"> дифенгидрамин или клемастин; глюкокортикоид, например, дексаметазон). Стандартной премедикацией является введение кетопрофен 100 мг в/в </w:t>
      </w:r>
      <w:r w:rsidRPr="007C3F04">
        <w:lastRenderedPageBreak/>
        <w:t>капельно на 100 мл физ.раствора + клемастин 2 мг в/в капельно на 100 мл физ.раствора + дексаметазон 8 мг в/в капельно на 50 мл физ.раствора.</w:t>
      </w:r>
    </w:p>
    <w:p w14:paraId="636048F5" w14:textId="77777777" w:rsidR="0052500A" w:rsidRPr="008A28FF" w:rsidRDefault="0052500A" w:rsidP="0052500A">
      <w:pPr>
        <w:tabs>
          <w:tab w:val="left" w:pos="0"/>
        </w:tabs>
        <w:rPr>
          <w:szCs w:val="24"/>
        </w:rPr>
      </w:pPr>
      <w:r>
        <w:rPr>
          <w:b/>
          <w:szCs w:val="24"/>
        </w:rPr>
        <w:tab/>
      </w:r>
      <w:r w:rsidRPr="008A28FF">
        <w:rPr>
          <w:szCs w:val="24"/>
        </w:rPr>
        <w:t>У большинства больных в ходе первой инфузии отмечается инфузионный симптомокомплекс от легкой до умеренной степени выраженности, заключающийся в появлении лихорадки и озноба/дрожи. Другими часто наблюдающимися инфузионными симптомами являются тошнота, зуд, ангионевротический отек, астения, гипотензия, головная боль, бронхоспазм, раздражение в горле, ринит, крапивница, сыпь, рвота, миалгия, головокружение, гипертензия. Как правило, эти реакции возникают в пределах 30–120 мин после начала первой инфузии и исчезают после замедления или прерывания введения препарата и проведения поддерживающих мероприятий (</w:t>
      </w:r>
      <w:r w:rsidRPr="008A28FF">
        <w:rPr>
          <w:rStyle w:val="sokr"/>
          <w:szCs w:val="24"/>
        </w:rPr>
        <w:t>в т.ч.</w:t>
      </w:r>
      <w:r w:rsidRPr="008A28FF">
        <w:rPr>
          <w:szCs w:val="24"/>
        </w:rPr>
        <w:t xml:space="preserve"> </w:t>
      </w:r>
      <w:r w:rsidRPr="008A28FF">
        <w:rPr>
          <w:rStyle w:val="sokr"/>
          <w:szCs w:val="24"/>
        </w:rPr>
        <w:t>в/в</w:t>
      </w:r>
      <w:r w:rsidRPr="008A28FF">
        <w:rPr>
          <w:szCs w:val="24"/>
        </w:rPr>
        <w:t xml:space="preserve"> введений физиологического раствора, клемастина/ дифенгидрамина, кетонала/парацетамола). Легкие или умеренно выраженные реакции могут быть устранены уменьшением скорости введения, которую можно вновь увеличить после исчезновения симптоматики. Пациентам, у которых развились инфузионные реакции 1-3 степени, следует снизить скорость введения при возобновлении инфузии. При развитии анафилактической реакции или жизнеугрожающей инфузионной реакции 4-й степени необходимо окончательно прекратить введение ритуксимаба и оказать необходимую экстренную помощь.</w:t>
      </w:r>
    </w:p>
    <w:p w14:paraId="7FDBD949" w14:textId="77777777" w:rsidR="0052500A" w:rsidRPr="00266811" w:rsidRDefault="0052500A" w:rsidP="0052500A">
      <w:pPr>
        <w:widowControl/>
        <w:tabs>
          <w:tab w:val="left" w:pos="709"/>
        </w:tabs>
        <w:autoSpaceDE/>
        <w:autoSpaceDN/>
        <w:adjustRightInd/>
        <w:ind w:firstLine="709"/>
        <w:rPr>
          <w:szCs w:val="24"/>
        </w:rPr>
      </w:pPr>
      <w:r>
        <w:t>Всем пациентам с острым лимфобластным лейкозом при введении ритуксимаба в</w:t>
      </w:r>
      <w:r w:rsidRPr="00266811">
        <w:rPr>
          <w:szCs w:val="24"/>
        </w:rPr>
        <w:t xml:space="preserve"> связи с опасностью развития гипотензии </w:t>
      </w:r>
      <w:r>
        <w:rPr>
          <w:szCs w:val="24"/>
        </w:rPr>
        <w:t xml:space="preserve">необходимо </w:t>
      </w:r>
      <w:r w:rsidRPr="00266811">
        <w:rPr>
          <w:szCs w:val="24"/>
        </w:rPr>
        <w:t>отмен</w:t>
      </w:r>
      <w:r>
        <w:rPr>
          <w:szCs w:val="24"/>
        </w:rPr>
        <w:t>ять</w:t>
      </w:r>
      <w:r w:rsidRPr="00266811">
        <w:rPr>
          <w:szCs w:val="24"/>
        </w:rPr>
        <w:t xml:space="preserve"> антигипертензивны</w:t>
      </w:r>
      <w:r>
        <w:rPr>
          <w:szCs w:val="24"/>
        </w:rPr>
        <w:t>е</w:t>
      </w:r>
      <w:r w:rsidRPr="00266811">
        <w:rPr>
          <w:szCs w:val="24"/>
        </w:rPr>
        <w:t xml:space="preserve"> препарат</w:t>
      </w:r>
      <w:r>
        <w:rPr>
          <w:szCs w:val="24"/>
        </w:rPr>
        <w:t>ы</w:t>
      </w:r>
      <w:r w:rsidRPr="00266811">
        <w:rPr>
          <w:szCs w:val="24"/>
        </w:rPr>
        <w:t xml:space="preserve"> за 12 ч до начала и на протяжении всего времени инфузии ритуксимаба.</w:t>
      </w:r>
    </w:p>
    <w:p w14:paraId="302BB025" w14:textId="77777777" w:rsidR="0052500A" w:rsidRPr="008A28FF" w:rsidRDefault="0052500A" w:rsidP="0052500A">
      <w:pPr>
        <w:tabs>
          <w:tab w:val="left" w:pos="0"/>
        </w:tabs>
        <w:ind w:firstLine="709"/>
        <w:rPr>
          <w:szCs w:val="24"/>
        </w:rPr>
      </w:pPr>
      <w:r w:rsidRPr="008A28FF">
        <w:rPr>
          <w:szCs w:val="24"/>
        </w:rPr>
        <w:t>Ритуксимаб в лекарственной форме «раствор для подкожного введения» в дозировке 1400</w:t>
      </w:r>
      <w:r>
        <w:rPr>
          <w:szCs w:val="24"/>
        </w:rPr>
        <w:t xml:space="preserve"> </w:t>
      </w:r>
      <w:r w:rsidRPr="008A28FF">
        <w:rPr>
          <w:szCs w:val="24"/>
        </w:rPr>
        <w:t>мг может применяться после внутривенного ведения полной первой дозы препараты, в том числе у пациентов с затрудненным венозным доступом. Игла для подкожного введения должна быть присоединена к шприцу непосредственно перед введением препарата для предотвращения возможной закупорки иглы. Препарат вводится в течение 5 минут подкожно в переднюю брюшную стенку, исключая места гематом, уплотнений, повышенной чувствительности, покраснений, родимые пятна, ткани рубцов. В случае прерывания инъекции ее можно возобновить в том же самом месте или, при необходимости, изменить место инъекции. Препарат в лекарственной форме «раствор для подкожного введения» и другие препараты, также предназначенные для п/к введения, по возможности, следует вводить в разные места. Перед каждым применением препарата необходимо проводить премедикацию (анальгетик/антипиретик, например, парацетамол/кетопрофен; антигистаминный препарат, например, дифенгидрамин/клемастин). Если препарат применяется не в комбинации с химиотерапией, содержащей глюкокортикостероиды, то в состав премедикации также входят глюкокортикостероиды.</w:t>
      </w:r>
    </w:p>
    <w:p w14:paraId="17114134" w14:textId="77777777" w:rsidR="0052500A" w:rsidRDefault="0052500A" w:rsidP="0052500A">
      <w:pPr>
        <w:tabs>
          <w:tab w:val="left" w:pos="0"/>
        </w:tabs>
      </w:pPr>
      <w:r>
        <w:lastRenderedPageBreak/>
        <w:t xml:space="preserve"> </w:t>
      </w:r>
    </w:p>
    <w:p w14:paraId="0BFF1F7E" w14:textId="77777777" w:rsidR="0052500A" w:rsidRPr="00266811" w:rsidRDefault="0052500A" w:rsidP="0052500A">
      <w:pPr>
        <w:tabs>
          <w:tab w:val="left" w:pos="0"/>
        </w:tabs>
        <w:rPr>
          <w:bCs/>
          <w:i/>
          <w:iCs/>
          <w:u w:val="single"/>
        </w:rPr>
      </w:pPr>
      <w:r w:rsidRPr="00266811">
        <w:rPr>
          <w:bCs/>
          <w:i/>
          <w:iCs/>
          <w:u w:val="single"/>
        </w:rPr>
        <w:t>Блинатумомаб</w:t>
      </w:r>
    </w:p>
    <w:p w14:paraId="5567CFB5" w14:textId="77777777" w:rsidR="0052500A" w:rsidRPr="002A7FDF" w:rsidRDefault="0052500A" w:rsidP="0052500A">
      <w:pPr>
        <w:ind w:firstLine="709"/>
        <w:rPr>
          <w:color w:val="000000"/>
          <w:szCs w:val="24"/>
          <w:lang w:eastAsia="en-US"/>
        </w:rPr>
      </w:pPr>
      <w:r w:rsidRPr="008A28FF">
        <w:rPr>
          <w:color w:val="000000"/>
          <w:szCs w:val="24"/>
        </w:rPr>
        <w:t xml:space="preserve">Блинатумомаб </w:t>
      </w:r>
      <w:r>
        <w:rPr>
          <w:color w:val="000000"/>
          <w:szCs w:val="24"/>
        </w:rPr>
        <w:t xml:space="preserve">применяется </w:t>
      </w:r>
      <w:r>
        <w:t>по схеме:</w:t>
      </w:r>
      <w:r>
        <w:rPr>
          <w:color w:val="000000"/>
          <w:szCs w:val="24"/>
        </w:rPr>
        <w:t xml:space="preserve"> </w:t>
      </w:r>
      <w:r w:rsidRPr="002A7FDF">
        <w:rPr>
          <w:szCs w:val="24"/>
        </w:rPr>
        <w:t xml:space="preserve">28 мкг/сутки в течение 28 дней в виде внутривенной непрерывной инфузии при постоянной скорости потока, с использованием инфузионного насоса (помпы). Первому курсу введения предшествует адаптационный период 4 дня с дозой блинатумомаба 8,75 мкг/сутки. Интервал между курсами составляет 14 дней. </w:t>
      </w:r>
    </w:p>
    <w:p w14:paraId="0A982FAB" w14:textId="77777777" w:rsidR="0052500A" w:rsidRPr="008A28FF" w:rsidRDefault="0052500A" w:rsidP="0052500A">
      <w:pPr>
        <w:pStyle w:val="afff3"/>
        <w:ind w:left="0" w:firstLine="709"/>
        <w:rPr>
          <w:szCs w:val="24"/>
        </w:rPr>
      </w:pPr>
      <w:r w:rsidRPr="008A28FF">
        <w:rPr>
          <w:szCs w:val="24"/>
        </w:rPr>
        <w:t>В качестве премедикации в первый день вводится дексаметазон внутривенно в дозе 10 - 20 мг. В случае возникновения инфузионной реакции вводится дополнительно 4 – 8 мг дексаметазона в последующие 2-3 дня.</w:t>
      </w:r>
    </w:p>
    <w:p w14:paraId="0B696F97" w14:textId="77777777" w:rsidR="0052500A" w:rsidRPr="00BE79D7" w:rsidRDefault="0052500A" w:rsidP="0052500A">
      <w:pPr>
        <w:rPr>
          <w:bCs/>
          <w:szCs w:val="24"/>
          <w:u w:val="single"/>
        </w:rPr>
      </w:pPr>
      <w:r w:rsidRPr="00BE79D7">
        <w:rPr>
          <w:bCs/>
          <w:szCs w:val="24"/>
          <w:u w:val="single"/>
        </w:rPr>
        <w:t>Требования к оборудованию:</w:t>
      </w:r>
    </w:p>
    <w:p w14:paraId="66EABDBC" w14:textId="77777777" w:rsidR="0052500A" w:rsidRPr="008A28FF" w:rsidRDefault="0052500A" w:rsidP="0052500A">
      <w:pPr>
        <w:pStyle w:val="afff3"/>
        <w:widowControl/>
        <w:numPr>
          <w:ilvl w:val="0"/>
          <w:numId w:val="216"/>
        </w:numPr>
        <w:autoSpaceDE/>
        <w:autoSpaceDN/>
        <w:adjustRightInd/>
        <w:rPr>
          <w:szCs w:val="24"/>
        </w:rPr>
      </w:pPr>
      <w:r w:rsidRPr="008A28FF">
        <w:rPr>
          <w:szCs w:val="24"/>
        </w:rPr>
        <w:t>программируемая помпа с функцией установки скорости введения препарата в пересчете на миллилитры (мл), наличием системы сигнализации и блокировки</w:t>
      </w:r>
    </w:p>
    <w:p w14:paraId="567DB2E2" w14:textId="77777777" w:rsidR="0052500A" w:rsidRPr="008A28FF" w:rsidRDefault="0052500A" w:rsidP="0052500A">
      <w:pPr>
        <w:pStyle w:val="afff3"/>
        <w:widowControl/>
        <w:numPr>
          <w:ilvl w:val="0"/>
          <w:numId w:val="216"/>
        </w:numPr>
        <w:autoSpaceDE/>
        <w:autoSpaceDN/>
        <w:adjustRightInd/>
        <w:textAlignment w:val="baseline"/>
        <w:rPr>
          <w:color w:val="262626" w:themeColor="text1" w:themeTint="D9"/>
          <w:szCs w:val="24"/>
        </w:rPr>
      </w:pPr>
      <w:r w:rsidRPr="008A28FF">
        <w:rPr>
          <w:szCs w:val="24"/>
        </w:rPr>
        <w:t>мешки для инфузий объемом 250 мл, предварительно заполненные 0.9% хлоридом натрия, произведенные из материала полиолефин, полиэтилен, этилен, винил ацетат</w:t>
      </w:r>
    </w:p>
    <w:p w14:paraId="2F445CEC" w14:textId="77777777" w:rsidR="0052500A" w:rsidRPr="008A28FF" w:rsidRDefault="0052500A" w:rsidP="0052500A">
      <w:pPr>
        <w:pStyle w:val="afff3"/>
        <w:widowControl/>
        <w:numPr>
          <w:ilvl w:val="0"/>
          <w:numId w:val="216"/>
        </w:numPr>
        <w:autoSpaceDE/>
        <w:autoSpaceDN/>
        <w:adjustRightInd/>
        <w:textAlignment w:val="baseline"/>
        <w:rPr>
          <w:rFonts w:eastAsiaTheme="minorEastAsia"/>
          <w:szCs w:val="24"/>
        </w:rPr>
      </w:pPr>
      <w:r w:rsidRPr="008A28FF">
        <w:rPr>
          <w:color w:val="262626" w:themeColor="text1" w:themeTint="D9"/>
          <w:szCs w:val="24"/>
        </w:rPr>
        <w:t>линии должны быть сделаны из материала</w:t>
      </w:r>
      <w:r w:rsidRPr="008A28FF">
        <w:rPr>
          <w:szCs w:val="24"/>
        </w:rPr>
        <w:t xml:space="preserve"> полиолефин, полиэтилен, этилен, винил ацетат,</w:t>
      </w:r>
      <w:r w:rsidRPr="008A28FF">
        <w:rPr>
          <w:color w:val="262626" w:themeColor="text1" w:themeTint="D9"/>
          <w:szCs w:val="24"/>
        </w:rPr>
        <w:t xml:space="preserve"> </w:t>
      </w:r>
      <w:r w:rsidRPr="008A28FF">
        <w:rPr>
          <w:rFonts w:eastAsiaTheme="minorEastAsia"/>
          <w:szCs w:val="24"/>
        </w:rPr>
        <w:t>с встроенным фильтром 0.2 µ</w:t>
      </w:r>
      <w:r w:rsidRPr="008A28FF">
        <w:rPr>
          <w:rFonts w:eastAsiaTheme="minorEastAsia"/>
          <w:szCs w:val="24"/>
          <w:lang w:val="en-US"/>
        </w:rPr>
        <w:t>m</w:t>
      </w:r>
      <w:r w:rsidRPr="008A28FF">
        <w:rPr>
          <w:rFonts w:eastAsiaTheme="minorEastAsia"/>
          <w:szCs w:val="24"/>
        </w:rPr>
        <w:t>, либо с возможностью подключить к линии фильтр 0.2 µ</w:t>
      </w:r>
      <w:r w:rsidRPr="008A28FF">
        <w:rPr>
          <w:rFonts w:eastAsiaTheme="minorEastAsia"/>
          <w:szCs w:val="24"/>
          <w:lang w:val="en-US"/>
        </w:rPr>
        <w:t>m</w:t>
      </w:r>
    </w:p>
    <w:p w14:paraId="6CAD94E3" w14:textId="77777777" w:rsidR="0052500A" w:rsidRPr="008A28FF" w:rsidRDefault="0052500A" w:rsidP="0052500A">
      <w:pPr>
        <w:pStyle w:val="afff3"/>
        <w:widowControl/>
        <w:numPr>
          <w:ilvl w:val="0"/>
          <w:numId w:val="216"/>
        </w:numPr>
        <w:autoSpaceDE/>
        <w:autoSpaceDN/>
        <w:adjustRightInd/>
        <w:textAlignment w:val="baseline"/>
        <w:rPr>
          <w:rFonts w:eastAsiaTheme="minorEastAsia"/>
          <w:szCs w:val="24"/>
        </w:rPr>
      </w:pPr>
      <w:r w:rsidRPr="008A28FF">
        <w:rPr>
          <w:rFonts w:eastAsiaTheme="minorEastAsia"/>
          <w:color w:val="262626" w:themeColor="text1" w:themeTint="D9"/>
          <w:szCs w:val="24"/>
        </w:rPr>
        <w:t xml:space="preserve">Требования к ламинарному шкафу для приготовления раствора: тип </w:t>
      </w:r>
      <w:r w:rsidRPr="008A28FF">
        <w:rPr>
          <w:rFonts w:eastAsiaTheme="minorEastAsia"/>
          <w:color w:val="262626" w:themeColor="text1" w:themeTint="D9"/>
          <w:szCs w:val="24"/>
          <w:lang w:val="en-US"/>
        </w:rPr>
        <w:t>ISO</w:t>
      </w:r>
      <w:r w:rsidRPr="008A28FF">
        <w:rPr>
          <w:rFonts w:eastAsiaTheme="minorEastAsia"/>
          <w:color w:val="262626" w:themeColor="text1" w:themeTint="D9"/>
          <w:szCs w:val="24"/>
        </w:rPr>
        <w:t xml:space="preserve">-5 или выше или </w:t>
      </w:r>
      <w:r w:rsidRPr="008A28FF">
        <w:rPr>
          <w:rFonts w:eastAsiaTheme="minorEastAsia"/>
          <w:szCs w:val="24"/>
          <w:lang w:val="en-GB"/>
        </w:rPr>
        <w:t>EU</w:t>
      </w:r>
      <w:r w:rsidRPr="008A28FF">
        <w:rPr>
          <w:rFonts w:eastAsiaTheme="minorEastAsia"/>
          <w:szCs w:val="24"/>
        </w:rPr>
        <w:t xml:space="preserve"> </w:t>
      </w:r>
      <w:r w:rsidRPr="008A28FF">
        <w:rPr>
          <w:rFonts w:eastAsiaTheme="minorEastAsia"/>
          <w:szCs w:val="24"/>
          <w:lang w:val="en-GB"/>
        </w:rPr>
        <w:t>GMP</w:t>
      </w:r>
      <w:r w:rsidRPr="008A28FF">
        <w:rPr>
          <w:rFonts w:eastAsiaTheme="minorEastAsia"/>
          <w:szCs w:val="24"/>
        </w:rPr>
        <w:t xml:space="preserve"> класса </w:t>
      </w:r>
      <w:r w:rsidRPr="008A28FF">
        <w:rPr>
          <w:rFonts w:eastAsiaTheme="minorEastAsia"/>
          <w:szCs w:val="24"/>
          <w:lang w:val="en-GB"/>
        </w:rPr>
        <w:t>A</w:t>
      </w:r>
      <w:r w:rsidRPr="008A28FF">
        <w:rPr>
          <w:rFonts w:eastAsiaTheme="minorEastAsia"/>
          <w:szCs w:val="24"/>
        </w:rPr>
        <w:t xml:space="preserve"> или выше</w:t>
      </w:r>
    </w:p>
    <w:p w14:paraId="5A35A96C" w14:textId="77777777" w:rsidR="0052500A" w:rsidRPr="008A28FF" w:rsidRDefault="0052500A" w:rsidP="0052500A">
      <w:pPr>
        <w:textAlignment w:val="baseline"/>
        <w:rPr>
          <w:b/>
          <w:szCs w:val="24"/>
          <w:u w:val="single"/>
        </w:rPr>
      </w:pPr>
      <w:r w:rsidRPr="008A28FF">
        <w:rPr>
          <w:szCs w:val="24"/>
          <w:u w:val="single"/>
        </w:rPr>
        <w:t>Порядок приготовления раствора для дозировки</w:t>
      </w:r>
      <w:r w:rsidRPr="008A28FF">
        <w:rPr>
          <w:b/>
          <w:szCs w:val="24"/>
          <w:u w:val="single"/>
        </w:rPr>
        <w:t xml:space="preserve"> </w:t>
      </w:r>
      <w:r w:rsidRPr="008A28FF">
        <w:rPr>
          <w:szCs w:val="24"/>
          <w:u w:val="single"/>
        </w:rPr>
        <w:t>28 мкг/сут. на 90 часов:</w:t>
      </w:r>
    </w:p>
    <w:p w14:paraId="57B16FDF" w14:textId="77777777" w:rsidR="0052500A" w:rsidRPr="008A28FF" w:rsidRDefault="0052500A" w:rsidP="0052500A">
      <w:pPr>
        <w:pStyle w:val="afff3"/>
        <w:widowControl/>
        <w:numPr>
          <w:ilvl w:val="0"/>
          <w:numId w:val="217"/>
        </w:numPr>
        <w:autoSpaceDE/>
        <w:autoSpaceDN/>
        <w:adjustRightInd/>
        <w:textAlignment w:val="baseline"/>
        <w:rPr>
          <w:szCs w:val="24"/>
        </w:rPr>
      </w:pPr>
      <w:r w:rsidRPr="008A28FF">
        <w:rPr>
          <w:szCs w:val="24"/>
          <w:u w:val="single"/>
        </w:rPr>
        <w:t>шаг 1:</w:t>
      </w:r>
      <w:r w:rsidRPr="008A28FF">
        <w:rPr>
          <w:szCs w:val="24"/>
        </w:rPr>
        <w:t xml:space="preserve"> Удалить шприцом 14 мл 0,9% хлорида натрия из мешка 250 мл</w:t>
      </w:r>
    </w:p>
    <w:p w14:paraId="4D1D9D78" w14:textId="77777777" w:rsidR="0052500A" w:rsidRPr="008A28FF" w:rsidRDefault="0052500A" w:rsidP="0052500A">
      <w:pPr>
        <w:pStyle w:val="afff3"/>
        <w:widowControl/>
        <w:numPr>
          <w:ilvl w:val="0"/>
          <w:numId w:val="217"/>
        </w:numPr>
        <w:autoSpaceDE/>
        <w:autoSpaceDN/>
        <w:adjustRightInd/>
        <w:textAlignment w:val="baseline"/>
        <w:rPr>
          <w:szCs w:val="24"/>
        </w:rPr>
      </w:pPr>
      <w:r w:rsidRPr="008A28FF">
        <w:rPr>
          <w:szCs w:val="24"/>
          <w:u w:val="single"/>
        </w:rPr>
        <w:t>шаг 2:</w:t>
      </w:r>
      <w:r w:rsidRPr="008A28FF">
        <w:rPr>
          <w:szCs w:val="24"/>
        </w:rPr>
        <w:t xml:space="preserve"> Ввести 5 мл стабилизатора в мешок с 0,9% раствором хлорида натрия не допуская взбалтывания.</w:t>
      </w:r>
    </w:p>
    <w:p w14:paraId="042EEE2C" w14:textId="77777777" w:rsidR="0052500A" w:rsidRPr="008A28FF" w:rsidRDefault="0052500A" w:rsidP="0052500A">
      <w:pPr>
        <w:pStyle w:val="afff3"/>
        <w:widowControl/>
        <w:numPr>
          <w:ilvl w:val="0"/>
          <w:numId w:val="217"/>
        </w:numPr>
        <w:autoSpaceDE/>
        <w:autoSpaceDN/>
        <w:adjustRightInd/>
        <w:textAlignment w:val="baseline"/>
        <w:rPr>
          <w:szCs w:val="24"/>
        </w:rPr>
      </w:pPr>
      <w:r w:rsidRPr="008A28FF">
        <w:rPr>
          <w:szCs w:val="24"/>
          <w:u w:val="single"/>
        </w:rPr>
        <w:t>шаг 3:</w:t>
      </w:r>
      <w:r w:rsidRPr="008A28FF">
        <w:rPr>
          <w:szCs w:val="24"/>
        </w:rPr>
        <w:t xml:space="preserve"> Развести 3 флакона с лиофилизатом блинатумомаба 35 мкг путем введения в каждый флакон по 3 мл стерильной воды для инъекций. </w:t>
      </w:r>
    </w:p>
    <w:p w14:paraId="1773BED7" w14:textId="77777777" w:rsidR="0052500A" w:rsidRPr="008A28FF" w:rsidRDefault="0052500A" w:rsidP="0052500A">
      <w:pPr>
        <w:pStyle w:val="afff3"/>
        <w:widowControl/>
        <w:numPr>
          <w:ilvl w:val="0"/>
          <w:numId w:val="217"/>
        </w:numPr>
        <w:autoSpaceDE/>
        <w:autoSpaceDN/>
        <w:adjustRightInd/>
        <w:textAlignment w:val="baseline"/>
        <w:rPr>
          <w:szCs w:val="24"/>
        </w:rPr>
      </w:pPr>
      <w:r w:rsidRPr="008A28FF">
        <w:rPr>
          <w:szCs w:val="24"/>
          <w:u w:val="single"/>
        </w:rPr>
        <w:t xml:space="preserve">шаг 4: </w:t>
      </w:r>
      <w:r w:rsidRPr="008A28FF">
        <w:rPr>
          <w:szCs w:val="24"/>
        </w:rPr>
        <w:t>Набрать в шприц 9 мл разведенного блинатумомаба и ввести указанный объем в мешок с 0,9% раствором хлорида натрия и стабилизатором.</w:t>
      </w:r>
    </w:p>
    <w:p w14:paraId="4E6D0211" w14:textId="77777777" w:rsidR="0052500A" w:rsidRPr="008A28FF" w:rsidRDefault="0052500A" w:rsidP="0052500A">
      <w:pPr>
        <w:pStyle w:val="afff3"/>
        <w:widowControl/>
        <w:numPr>
          <w:ilvl w:val="0"/>
          <w:numId w:val="217"/>
        </w:numPr>
        <w:autoSpaceDE/>
        <w:autoSpaceDN/>
        <w:adjustRightInd/>
        <w:textAlignment w:val="baseline"/>
        <w:rPr>
          <w:szCs w:val="24"/>
        </w:rPr>
      </w:pPr>
      <w:r w:rsidRPr="008A28FF">
        <w:rPr>
          <w:szCs w:val="24"/>
          <w:u w:val="single"/>
        </w:rPr>
        <w:t>шаг 5:</w:t>
      </w:r>
      <w:r w:rsidRPr="008A28FF">
        <w:rPr>
          <w:szCs w:val="24"/>
        </w:rPr>
        <w:t xml:space="preserve"> Подсоединить мешок к внутривенной линии</w:t>
      </w:r>
    </w:p>
    <w:p w14:paraId="46F51659" w14:textId="77777777" w:rsidR="0052500A" w:rsidRPr="008A28FF" w:rsidRDefault="0052500A" w:rsidP="0052500A">
      <w:pPr>
        <w:ind w:firstLine="709"/>
        <w:textAlignment w:val="baseline"/>
        <w:rPr>
          <w:szCs w:val="24"/>
        </w:rPr>
      </w:pPr>
      <w:r w:rsidRPr="008A28FF">
        <w:rPr>
          <w:szCs w:val="24"/>
        </w:rPr>
        <w:t>Приготовленный раствор вводится пациенту со скоростью 2,7 мл в час в течение 90 часов. Таких введений по 90 часов выполняется 7. После этих 7 введений выполняется 8-е введение, которое рассчитывается на 60 часов.</w:t>
      </w:r>
    </w:p>
    <w:p w14:paraId="43673BCF" w14:textId="77777777" w:rsidR="0052500A" w:rsidRPr="008A28FF" w:rsidRDefault="0052500A" w:rsidP="0052500A">
      <w:pPr>
        <w:textAlignment w:val="baseline"/>
        <w:rPr>
          <w:b/>
          <w:szCs w:val="24"/>
          <w:u w:val="single"/>
        </w:rPr>
      </w:pPr>
      <w:r w:rsidRPr="008A28FF">
        <w:rPr>
          <w:szCs w:val="24"/>
          <w:u w:val="single"/>
        </w:rPr>
        <w:t>Порядок приготовления раствора для дозировки</w:t>
      </w:r>
      <w:r w:rsidRPr="008A28FF">
        <w:rPr>
          <w:b/>
          <w:szCs w:val="24"/>
          <w:u w:val="single"/>
        </w:rPr>
        <w:t xml:space="preserve"> </w:t>
      </w:r>
      <w:r w:rsidRPr="008A28FF">
        <w:rPr>
          <w:szCs w:val="24"/>
          <w:u w:val="single"/>
        </w:rPr>
        <w:t>28 мкг/сут. на 60 часов:</w:t>
      </w:r>
    </w:p>
    <w:p w14:paraId="6A6E481E" w14:textId="77777777" w:rsidR="0052500A" w:rsidRPr="008A28FF" w:rsidRDefault="0052500A" w:rsidP="0052500A">
      <w:pPr>
        <w:pStyle w:val="afff3"/>
        <w:widowControl/>
        <w:numPr>
          <w:ilvl w:val="0"/>
          <w:numId w:val="218"/>
        </w:numPr>
        <w:autoSpaceDE/>
        <w:autoSpaceDN/>
        <w:adjustRightInd/>
        <w:textAlignment w:val="baseline"/>
        <w:rPr>
          <w:szCs w:val="24"/>
        </w:rPr>
      </w:pPr>
      <w:r w:rsidRPr="008A28FF">
        <w:rPr>
          <w:szCs w:val="24"/>
          <w:u w:val="single"/>
        </w:rPr>
        <w:t>шаг 1:</w:t>
      </w:r>
      <w:r w:rsidRPr="008A28FF">
        <w:rPr>
          <w:szCs w:val="24"/>
        </w:rPr>
        <w:t xml:space="preserve"> Удалить шприцом 97 мл 0,9% хлорида натрия из мешка 250 мл</w:t>
      </w:r>
    </w:p>
    <w:p w14:paraId="23D19186" w14:textId="77777777" w:rsidR="0052500A" w:rsidRPr="008A28FF" w:rsidRDefault="0052500A" w:rsidP="0052500A">
      <w:pPr>
        <w:pStyle w:val="afff3"/>
        <w:widowControl/>
        <w:numPr>
          <w:ilvl w:val="0"/>
          <w:numId w:val="218"/>
        </w:numPr>
        <w:autoSpaceDE/>
        <w:autoSpaceDN/>
        <w:adjustRightInd/>
        <w:textAlignment w:val="baseline"/>
        <w:rPr>
          <w:szCs w:val="24"/>
        </w:rPr>
      </w:pPr>
      <w:r w:rsidRPr="008A28FF">
        <w:rPr>
          <w:szCs w:val="24"/>
          <w:u w:val="single"/>
        </w:rPr>
        <w:lastRenderedPageBreak/>
        <w:t>шаг 2:</w:t>
      </w:r>
      <w:r w:rsidRPr="008A28FF">
        <w:rPr>
          <w:szCs w:val="24"/>
        </w:rPr>
        <w:t xml:space="preserve"> Ввести 3 мл стабилизатора в мешок с 0,9% раствором хлорида натрия не допуская взбалтывания.</w:t>
      </w:r>
    </w:p>
    <w:p w14:paraId="39C8875D" w14:textId="77777777" w:rsidR="0052500A" w:rsidRPr="008A28FF" w:rsidRDefault="0052500A" w:rsidP="0052500A">
      <w:pPr>
        <w:pStyle w:val="afff3"/>
        <w:widowControl/>
        <w:numPr>
          <w:ilvl w:val="0"/>
          <w:numId w:val="218"/>
        </w:numPr>
        <w:autoSpaceDE/>
        <w:autoSpaceDN/>
        <w:adjustRightInd/>
        <w:textAlignment w:val="baseline"/>
        <w:rPr>
          <w:szCs w:val="24"/>
        </w:rPr>
      </w:pPr>
      <w:r w:rsidRPr="008A28FF">
        <w:rPr>
          <w:szCs w:val="24"/>
          <w:u w:val="single"/>
        </w:rPr>
        <w:t>шаг 3:</w:t>
      </w:r>
      <w:r w:rsidRPr="008A28FF">
        <w:rPr>
          <w:szCs w:val="24"/>
        </w:rPr>
        <w:t xml:space="preserve"> Развести 2 флакона с лиофилизатом блинатумомаба 35 мкг путем введения в каждый флакон по 3 мл стерильной воды для инъекций. </w:t>
      </w:r>
    </w:p>
    <w:p w14:paraId="5CFDD1C7" w14:textId="77777777" w:rsidR="0052500A" w:rsidRPr="008A28FF" w:rsidRDefault="0052500A" w:rsidP="0052500A">
      <w:pPr>
        <w:pStyle w:val="afff3"/>
        <w:widowControl/>
        <w:numPr>
          <w:ilvl w:val="0"/>
          <w:numId w:val="218"/>
        </w:numPr>
        <w:autoSpaceDE/>
        <w:autoSpaceDN/>
        <w:adjustRightInd/>
        <w:textAlignment w:val="baseline"/>
        <w:rPr>
          <w:szCs w:val="24"/>
        </w:rPr>
      </w:pPr>
      <w:r w:rsidRPr="008A28FF">
        <w:rPr>
          <w:szCs w:val="24"/>
          <w:u w:val="single"/>
        </w:rPr>
        <w:t xml:space="preserve">шаг 4: </w:t>
      </w:r>
      <w:r w:rsidRPr="008A28FF">
        <w:rPr>
          <w:szCs w:val="24"/>
        </w:rPr>
        <w:t>Набрать в шприц 6 мл разведенного блинатумомаба и ввести указанный объем в мешок с 0,9% раствором хлорида натрия и стабилизатором.</w:t>
      </w:r>
    </w:p>
    <w:p w14:paraId="106594B7" w14:textId="77777777" w:rsidR="0052500A" w:rsidRPr="008A28FF" w:rsidRDefault="0052500A" w:rsidP="0052500A">
      <w:pPr>
        <w:pStyle w:val="afff3"/>
        <w:widowControl/>
        <w:numPr>
          <w:ilvl w:val="0"/>
          <w:numId w:val="218"/>
        </w:numPr>
        <w:autoSpaceDE/>
        <w:autoSpaceDN/>
        <w:adjustRightInd/>
        <w:textAlignment w:val="baseline"/>
        <w:rPr>
          <w:szCs w:val="24"/>
        </w:rPr>
      </w:pPr>
      <w:r w:rsidRPr="008A28FF">
        <w:rPr>
          <w:szCs w:val="24"/>
          <w:u w:val="single"/>
        </w:rPr>
        <w:t>шаг 5:</w:t>
      </w:r>
      <w:r w:rsidRPr="008A28FF">
        <w:rPr>
          <w:szCs w:val="24"/>
        </w:rPr>
        <w:t xml:space="preserve"> Подсоединить мешок к внутривенной линии</w:t>
      </w:r>
    </w:p>
    <w:p w14:paraId="2406E6A8" w14:textId="77777777" w:rsidR="0052500A" w:rsidRPr="008A28FF" w:rsidRDefault="0052500A" w:rsidP="0052500A">
      <w:pPr>
        <w:ind w:firstLine="709"/>
        <w:textAlignment w:val="baseline"/>
        <w:rPr>
          <w:szCs w:val="24"/>
        </w:rPr>
      </w:pPr>
      <w:r w:rsidRPr="008A28FF">
        <w:rPr>
          <w:szCs w:val="24"/>
        </w:rPr>
        <w:t>Приготовленный раствор вводится пациенту со скоростью 2,7 мл в час в течение 60 часов.</w:t>
      </w:r>
    </w:p>
    <w:p w14:paraId="37CB7B05" w14:textId="77777777" w:rsidR="0052500A" w:rsidRDefault="0052500A" w:rsidP="0052500A">
      <w:pPr>
        <w:pStyle w:val="Normal1"/>
        <w:tabs>
          <w:tab w:val="left" w:pos="0"/>
        </w:tabs>
        <w:spacing w:before="0" w:line="360" w:lineRule="auto"/>
        <w:ind w:firstLine="709"/>
        <w:jc w:val="both"/>
        <w:rPr>
          <w:rFonts w:eastAsia="Times New Roman" w:cs="Times New Roman"/>
        </w:rPr>
      </w:pPr>
      <w:r w:rsidRPr="008A28FF">
        <w:rPr>
          <w:rFonts w:cs="Times New Roman"/>
        </w:rPr>
        <w:t xml:space="preserve">При введении блинатумомаба могут отмечаться инфузионные реакции и связанные с ними симптомы, включая затруднение дыхания, гиперемию, отек лица, одышку, понижение или повышение АД. </w:t>
      </w:r>
      <w:r w:rsidRPr="008A28FF">
        <w:rPr>
          <w:rFonts w:eastAsia="Times New Roman" w:cs="Times New Roman"/>
        </w:rPr>
        <w:t xml:space="preserve">Контроль инфузионных реакций может потребовать временного приостановления или полной отмены терапии блинатумомабом. Инфузионные реакции могут быть клинически неотличимы от синдрома высвобождения цитокинов. Для предотвращения синдрома лизиса опухоли во время лечения блинатумомабом следует принять соответствующие профилактические меры, включая гидратацию. Также необходимо </w:t>
      </w:r>
      <w:r w:rsidRPr="008A28FF">
        <w:rPr>
          <w:rFonts w:cs="Times New Roman"/>
        </w:rPr>
        <w:t xml:space="preserve">клиническое наблюдение для выявления неврологических нейротоксических реакций, в т.ч в связи с </w:t>
      </w:r>
      <w:r w:rsidRPr="008A28FF">
        <w:rPr>
          <w:rFonts w:eastAsia="Times New Roman" w:cs="Times New Roman"/>
        </w:rPr>
        <w:t>проникновением через гематоэнцефалический барьер активированных Т-клеток, наблюдение для исключения симптомов панкреатита.</w:t>
      </w:r>
    </w:p>
    <w:p w14:paraId="143B4D4E" w14:textId="77777777" w:rsidR="0052500A" w:rsidRPr="008A28FF" w:rsidRDefault="0052500A" w:rsidP="0052500A">
      <w:pPr>
        <w:pStyle w:val="Normal1"/>
        <w:tabs>
          <w:tab w:val="left" w:pos="0"/>
        </w:tabs>
        <w:spacing w:before="0" w:line="360" w:lineRule="auto"/>
        <w:ind w:firstLine="557"/>
        <w:jc w:val="both"/>
        <w:rPr>
          <w:rFonts w:eastAsia="Times New Roman" w:cs="Times New Roman"/>
        </w:rPr>
      </w:pPr>
    </w:p>
    <w:p w14:paraId="42115EAF" w14:textId="77777777" w:rsidR="0052500A" w:rsidRPr="00BE79D7" w:rsidRDefault="0052500A" w:rsidP="0052500A">
      <w:pPr>
        <w:pStyle w:val="Normal1"/>
        <w:tabs>
          <w:tab w:val="left" w:pos="0"/>
        </w:tabs>
        <w:spacing w:before="0" w:line="360" w:lineRule="auto"/>
        <w:ind w:left="0" w:firstLine="0"/>
        <w:jc w:val="both"/>
        <w:rPr>
          <w:rFonts w:cs="Times New Roman"/>
          <w:bCs/>
          <w:i/>
          <w:iCs/>
          <w:u w:val="single"/>
        </w:rPr>
      </w:pPr>
      <w:r w:rsidRPr="00BE79D7">
        <w:rPr>
          <w:rFonts w:eastAsia="Times New Roman" w:cs="Times New Roman"/>
          <w:bCs/>
          <w:i/>
          <w:iCs/>
          <w:u w:val="single"/>
        </w:rPr>
        <w:t>Инотузумаб озагомицин</w:t>
      </w:r>
    </w:p>
    <w:p w14:paraId="2F6A4601" w14:textId="77777777" w:rsidR="0052500A" w:rsidRPr="007D77E9" w:rsidRDefault="0052500A" w:rsidP="0052500A">
      <w:pPr>
        <w:ind w:firstLine="567"/>
        <w:rPr>
          <w:color w:val="000000"/>
          <w:szCs w:val="24"/>
        </w:rPr>
      </w:pPr>
      <w:r w:rsidRPr="008A28FF">
        <w:rPr>
          <w:color w:val="000000"/>
          <w:szCs w:val="24"/>
        </w:rPr>
        <w:t xml:space="preserve">Инотузумаб озогамицин </w:t>
      </w:r>
      <w:r>
        <w:rPr>
          <w:color w:val="000000"/>
          <w:szCs w:val="24"/>
        </w:rPr>
        <w:t xml:space="preserve">применяется </w:t>
      </w:r>
      <w:r w:rsidRPr="007D77E9">
        <w:rPr>
          <w:color w:val="000000"/>
          <w:szCs w:val="24"/>
        </w:rPr>
        <w:t xml:space="preserve">в дозе </w:t>
      </w:r>
      <w:r w:rsidRPr="007D77E9">
        <w:rPr>
          <w:szCs w:val="24"/>
        </w:rPr>
        <w:t>0,8 мг/м</w:t>
      </w:r>
      <w:r w:rsidRPr="007D77E9">
        <w:rPr>
          <w:szCs w:val="24"/>
          <w:vertAlign w:val="superscript"/>
        </w:rPr>
        <w:t>2</w:t>
      </w:r>
      <w:r w:rsidRPr="007D77E9">
        <w:rPr>
          <w:szCs w:val="24"/>
        </w:rPr>
        <w:t xml:space="preserve"> </w:t>
      </w:r>
      <w:r w:rsidRPr="007D77E9">
        <w:rPr>
          <w:color w:val="000000"/>
          <w:szCs w:val="24"/>
        </w:rPr>
        <w:t>– первое введение и 0,5 мг/м</w:t>
      </w:r>
      <w:r w:rsidRPr="007D77E9">
        <w:rPr>
          <w:color w:val="000000"/>
          <w:szCs w:val="24"/>
          <w:vertAlign w:val="superscript"/>
        </w:rPr>
        <w:t>2</w:t>
      </w:r>
      <w:r w:rsidRPr="007D77E9">
        <w:rPr>
          <w:color w:val="000000"/>
          <w:szCs w:val="24"/>
        </w:rPr>
        <w:t xml:space="preserve"> – последующие 2 введения каждого курса. </w:t>
      </w:r>
    </w:p>
    <w:p w14:paraId="1B0C5375" w14:textId="77777777" w:rsidR="0052500A" w:rsidRPr="008A28FF" w:rsidRDefault="0052500A" w:rsidP="0052500A">
      <w:pPr>
        <w:ind w:firstLine="709"/>
        <w:rPr>
          <w:szCs w:val="24"/>
        </w:rPr>
      </w:pPr>
      <w:r w:rsidRPr="008A28FF">
        <w:rPr>
          <w:szCs w:val="24"/>
        </w:rPr>
        <w:t>Флакон инотузумаба озогамицина содержит 1 мг лиофилизата препарата. Для разведения во флакон вводится 4 мл стерильной воды для</w:t>
      </w:r>
      <w:r>
        <w:rPr>
          <w:szCs w:val="24"/>
        </w:rPr>
        <w:t xml:space="preserve"> </w:t>
      </w:r>
      <w:r w:rsidRPr="008A28FF">
        <w:rPr>
          <w:szCs w:val="24"/>
        </w:rPr>
        <w:t>инъекций и финальная концентрация препарата составляет 0,25 мг/мл. Нельзя встряхивать разведенный препарат, чтобы не образовывалось пены. Разведенный инотузумаб озогамицин (0,8 мг/м</w:t>
      </w:r>
      <w:r w:rsidRPr="008A28FF">
        <w:rPr>
          <w:szCs w:val="24"/>
          <w:vertAlign w:val="superscript"/>
        </w:rPr>
        <w:t>2</w:t>
      </w:r>
      <w:r w:rsidRPr="008A28FF">
        <w:rPr>
          <w:szCs w:val="24"/>
        </w:rPr>
        <w:t xml:space="preserve"> или 0,5 мг/м</w:t>
      </w:r>
      <w:r w:rsidRPr="008A28FF">
        <w:rPr>
          <w:szCs w:val="24"/>
          <w:vertAlign w:val="superscript"/>
        </w:rPr>
        <w:t>2</w:t>
      </w:r>
      <w:r w:rsidRPr="008A28FF">
        <w:rPr>
          <w:szCs w:val="24"/>
        </w:rPr>
        <w:t xml:space="preserve">) вводится во флакон физиологического раствора 50,0 мл. Содержимое флакона перемешивается осторожным переворачиванием. Рассчитанная доза вводится внутривенно в течение 1 часа. </w:t>
      </w:r>
    </w:p>
    <w:p w14:paraId="42EA60BB" w14:textId="77777777" w:rsidR="0052500A" w:rsidRPr="008A28FF" w:rsidRDefault="0052500A" w:rsidP="0052500A">
      <w:pPr>
        <w:ind w:firstLine="567"/>
        <w:rPr>
          <w:szCs w:val="24"/>
        </w:rPr>
      </w:pPr>
      <w:r w:rsidRPr="008A28FF">
        <w:rPr>
          <w:szCs w:val="24"/>
        </w:rPr>
        <w:t xml:space="preserve">Инотузумаб озогамицин чувствителен к свету, поэтому инфузионная система должна быть защищена от света пакетом янтарного, темно-коричневого или зеленого цветов, или фольгой. </w:t>
      </w:r>
    </w:p>
    <w:p w14:paraId="348DCCBC" w14:textId="77777777" w:rsidR="0052500A" w:rsidRPr="008A28FF" w:rsidRDefault="0052500A" w:rsidP="0052500A">
      <w:pPr>
        <w:ind w:firstLine="567"/>
        <w:rPr>
          <w:szCs w:val="24"/>
        </w:rPr>
      </w:pPr>
      <w:r w:rsidRPr="008A28FF">
        <w:rPr>
          <w:szCs w:val="24"/>
        </w:rPr>
        <w:t>Приготовленный раствор должен храниться при температуре от 2</w:t>
      </w:r>
      <w:r w:rsidRPr="008A28FF">
        <w:rPr>
          <w:szCs w:val="24"/>
          <w:vertAlign w:val="superscript"/>
        </w:rPr>
        <w:t>0</w:t>
      </w:r>
      <w:r w:rsidRPr="008A28FF">
        <w:rPr>
          <w:szCs w:val="24"/>
        </w:rPr>
        <w:t xml:space="preserve"> до 8</w:t>
      </w:r>
      <w:r w:rsidRPr="008A28FF">
        <w:rPr>
          <w:szCs w:val="24"/>
          <w:vertAlign w:val="superscript"/>
        </w:rPr>
        <w:t>0</w:t>
      </w:r>
      <w:r w:rsidRPr="008A28FF">
        <w:rPr>
          <w:szCs w:val="24"/>
        </w:rPr>
        <w:t xml:space="preserve"> не более 4 </w:t>
      </w:r>
      <w:r w:rsidRPr="008A28FF">
        <w:rPr>
          <w:szCs w:val="24"/>
        </w:rPr>
        <w:lastRenderedPageBreak/>
        <w:t>часов и должен быть выдержан при комнатной температуре в течение 15 мин. перед внутривенной инфузией.</w:t>
      </w:r>
    </w:p>
    <w:p w14:paraId="3EF42A3B" w14:textId="77777777" w:rsidR="0052500A" w:rsidRPr="008A28FF" w:rsidRDefault="0052500A" w:rsidP="0052500A">
      <w:pPr>
        <w:ind w:firstLine="708"/>
        <w:rPr>
          <w:szCs w:val="24"/>
        </w:rPr>
      </w:pPr>
      <w:r w:rsidRPr="008A28FF">
        <w:rPr>
          <w:szCs w:val="24"/>
        </w:rPr>
        <w:t>Материал (полипропилен), из которого изготовлены шприцы, не должен содержать латекса. Внутривенный катетер должен быть сделан из полиуретана или силикона. Инфузионная система должна быть сделана только из следующих материалов:</w:t>
      </w:r>
    </w:p>
    <w:p w14:paraId="3804DC6C" w14:textId="77777777" w:rsidR="0052500A" w:rsidRPr="008A28FF" w:rsidRDefault="0052500A" w:rsidP="0052500A">
      <w:pPr>
        <w:pStyle w:val="afff3"/>
        <w:widowControl/>
        <w:numPr>
          <w:ilvl w:val="0"/>
          <w:numId w:val="219"/>
        </w:numPr>
        <w:autoSpaceDE/>
        <w:autoSpaceDN/>
        <w:adjustRightInd/>
        <w:rPr>
          <w:szCs w:val="24"/>
        </w:rPr>
      </w:pPr>
      <w:r w:rsidRPr="008A28FF">
        <w:rPr>
          <w:szCs w:val="24"/>
        </w:rPr>
        <w:t>Поливинилхлорид (</w:t>
      </w:r>
      <w:r w:rsidRPr="008A28FF">
        <w:rPr>
          <w:szCs w:val="24"/>
          <w:lang w:val="en-US"/>
        </w:rPr>
        <w:t>PVC</w:t>
      </w:r>
      <w:r w:rsidRPr="008A28FF">
        <w:rPr>
          <w:szCs w:val="24"/>
        </w:rPr>
        <w:t>), не должен содержать диэтилгексил фталат (</w:t>
      </w:r>
      <w:r w:rsidRPr="008A28FF">
        <w:rPr>
          <w:szCs w:val="24"/>
          <w:lang w:val="en-US"/>
        </w:rPr>
        <w:t>DEHP</w:t>
      </w:r>
      <w:r w:rsidRPr="008A28FF">
        <w:rPr>
          <w:szCs w:val="24"/>
        </w:rPr>
        <w:t>).</w:t>
      </w:r>
    </w:p>
    <w:p w14:paraId="2D88DD8C" w14:textId="77777777" w:rsidR="0052500A" w:rsidRPr="008A28FF" w:rsidRDefault="0052500A" w:rsidP="0052500A">
      <w:pPr>
        <w:pStyle w:val="afff3"/>
        <w:widowControl/>
        <w:numPr>
          <w:ilvl w:val="0"/>
          <w:numId w:val="219"/>
        </w:numPr>
        <w:autoSpaceDE/>
        <w:autoSpaceDN/>
        <w:adjustRightInd/>
        <w:rPr>
          <w:szCs w:val="24"/>
        </w:rPr>
      </w:pPr>
      <w:r w:rsidRPr="008A28FF">
        <w:rPr>
          <w:szCs w:val="24"/>
        </w:rPr>
        <w:t>Поливинилфторид (</w:t>
      </w:r>
      <w:r w:rsidRPr="008A28FF">
        <w:rPr>
          <w:szCs w:val="24"/>
          <w:lang w:val="en-US"/>
        </w:rPr>
        <w:t>PVDF</w:t>
      </w:r>
      <w:r w:rsidRPr="008A28FF">
        <w:rPr>
          <w:szCs w:val="24"/>
        </w:rPr>
        <w:t>)</w:t>
      </w:r>
    </w:p>
    <w:p w14:paraId="76A8142E" w14:textId="77777777" w:rsidR="0052500A" w:rsidRPr="008A28FF" w:rsidRDefault="0052500A" w:rsidP="0052500A">
      <w:pPr>
        <w:pStyle w:val="afff3"/>
        <w:widowControl/>
        <w:numPr>
          <w:ilvl w:val="0"/>
          <w:numId w:val="219"/>
        </w:numPr>
        <w:autoSpaceDE/>
        <w:autoSpaceDN/>
        <w:adjustRightInd/>
        <w:rPr>
          <w:szCs w:val="24"/>
        </w:rPr>
      </w:pPr>
      <w:r w:rsidRPr="008A28FF">
        <w:rPr>
          <w:szCs w:val="24"/>
        </w:rPr>
        <w:t>Гидрофильный полисульфон (</w:t>
      </w:r>
      <w:r w:rsidRPr="008A28FF">
        <w:rPr>
          <w:szCs w:val="24"/>
          <w:lang w:val="en-US"/>
        </w:rPr>
        <w:t>HPS</w:t>
      </w:r>
      <w:r w:rsidRPr="008A28FF">
        <w:rPr>
          <w:szCs w:val="24"/>
        </w:rPr>
        <w:t>)</w:t>
      </w:r>
    </w:p>
    <w:p w14:paraId="291B1E20" w14:textId="77777777" w:rsidR="0052500A" w:rsidRPr="008A28FF" w:rsidRDefault="0052500A" w:rsidP="0052500A">
      <w:pPr>
        <w:ind w:firstLine="567"/>
        <w:rPr>
          <w:color w:val="000000"/>
          <w:szCs w:val="24"/>
        </w:rPr>
      </w:pPr>
      <w:r w:rsidRPr="008A28FF">
        <w:rPr>
          <w:szCs w:val="24"/>
        </w:rPr>
        <w:t xml:space="preserve">Пациент должен быть достаточно гидратирован во время лечения инотузумабом озогамицином (1,5-2 л дополнительного объема жидкости (физиологический раствор или 5% раствор глюкозы). Обязательно проводить контроль баланса жидкости (измерение объема жидкости, потребляемой внутрь, ежедневное измерение веса больного, измерение объема выделяемой мочи). Для контроля возможной гепатотоксичности (развитие вено-оклюзионной болезни) рекомендуется </w:t>
      </w:r>
      <w:r w:rsidRPr="008A28FF">
        <w:rPr>
          <w:color w:val="000000"/>
          <w:szCs w:val="24"/>
        </w:rPr>
        <w:t>контроль биохимических показателей, ультразвукового исследования печени.</w:t>
      </w:r>
    </w:p>
    <w:p w14:paraId="105F7D61" w14:textId="77777777" w:rsidR="0052500A" w:rsidRDefault="0052500A" w:rsidP="0052500A"/>
    <w:p w14:paraId="5B4CB31A" w14:textId="77777777" w:rsidR="004F12DD" w:rsidRPr="004F12DD" w:rsidRDefault="004F12DD" w:rsidP="004F12DD">
      <w:pPr>
        <w:rPr>
          <w:lang w:eastAsia="zh-CN"/>
        </w:rPr>
      </w:pPr>
    </w:p>
    <w:p w14:paraId="17C82CFF" w14:textId="77777777" w:rsidR="004F12DD" w:rsidRPr="008F721B" w:rsidRDefault="004F12DD" w:rsidP="004F12DD">
      <w:pPr>
        <w:ind w:firstLine="708"/>
        <w:rPr>
          <w:szCs w:val="24"/>
        </w:rPr>
      </w:pPr>
    </w:p>
    <w:p w14:paraId="664938A6" w14:textId="77777777" w:rsidR="004F12DD" w:rsidRPr="004F12DD" w:rsidRDefault="004F12DD" w:rsidP="004F12DD">
      <w:pPr>
        <w:rPr>
          <w:lang w:eastAsia="zh-CN"/>
        </w:rPr>
      </w:pPr>
    </w:p>
    <w:p w14:paraId="3960C082" w14:textId="77777777" w:rsidR="00086DD6" w:rsidRPr="00952000" w:rsidRDefault="00086DD6" w:rsidP="008C1767">
      <w:pPr>
        <w:spacing w:line="240" w:lineRule="auto"/>
        <w:ind w:left="640" w:hanging="640"/>
        <w:rPr>
          <w:szCs w:val="24"/>
        </w:rPr>
      </w:pPr>
    </w:p>
    <w:p w14:paraId="37415708" w14:textId="77777777" w:rsidR="00A612DA" w:rsidRPr="00A33DCF" w:rsidRDefault="00A612DA" w:rsidP="002927D9">
      <w:pPr>
        <w:pStyle w:val="afffb"/>
        <w:spacing w:after="0"/>
        <w:rPr>
          <w:i w:val="0"/>
          <w:lang w:val="ru-RU"/>
        </w:rPr>
      </w:pPr>
    </w:p>
    <w:p w14:paraId="7643C2C0" w14:textId="77777777" w:rsidR="00B458F3" w:rsidRPr="00B458F3" w:rsidRDefault="00B458F3" w:rsidP="004905C2">
      <w:pPr>
        <w:pStyle w:val="2"/>
      </w:pPr>
    </w:p>
    <w:p w14:paraId="12BBE8D2" w14:textId="77777777" w:rsidR="00A46754" w:rsidRPr="00F61D8E" w:rsidRDefault="00A46754" w:rsidP="007001FA">
      <w:pPr>
        <w:ind w:firstLine="709"/>
      </w:pPr>
    </w:p>
    <w:p w14:paraId="41AD6DD0" w14:textId="77777777" w:rsidR="00C83858" w:rsidRPr="00F30696" w:rsidRDefault="00C83858" w:rsidP="005B5D49">
      <w:pPr>
        <w:rPr>
          <w:szCs w:val="24"/>
        </w:rPr>
      </w:pPr>
    </w:p>
    <w:p w14:paraId="6393457D" w14:textId="77777777" w:rsidR="00124904" w:rsidRPr="00124904" w:rsidRDefault="00124904" w:rsidP="00124904">
      <w:pPr>
        <w:rPr>
          <w:lang w:eastAsia="zh-CN"/>
        </w:rPr>
      </w:pPr>
    </w:p>
    <w:p w14:paraId="780E3348" w14:textId="77777777" w:rsidR="00FB5C5B" w:rsidRPr="00F61D8E" w:rsidRDefault="00FB5C5B" w:rsidP="00FB5C5B">
      <w:pPr>
        <w:rPr>
          <w:iCs/>
          <w:color w:val="000000"/>
        </w:rPr>
      </w:pPr>
    </w:p>
    <w:p w14:paraId="678501DF" w14:textId="583E86DF" w:rsidR="004A649E" w:rsidRPr="00EE6B75" w:rsidRDefault="004A649E" w:rsidP="000A5734">
      <w:pPr>
        <w:pStyle w:val="11"/>
      </w:pPr>
      <w:bookmarkStart w:id="406" w:name="_Toc13484838"/>
      <w:bookmarkStart w:id="407" w:name="_Toc26796733"/>
      <w:bookmarkStart w:id="408" w:name="_Toc64467948"/>
      <w:bookmarkStart w:id="409" w:name="_Toc64565680"/>
      <w:r w:rsidRPr="00EE6B75">
        <w:lastRenderedPageBreak/>
        <w:t xml:space="preserve">Приложение Б. Алгоритмы </w:t>
      </w:r>
      <w:bookmarkEnd w:id="231"/>
      <w:bookmarkEnd w:id="232"/>
      <w:bookmarkEnd w:id="406"/>
      <w:r w:rsidR="003341EE">
        <w:t>действий врача</w:t>
      </w:r>
      <w:bookmarkEnd w:id="407"/>
      <w:bookmarkEnd w:id="408"/>
      <w:bookmarkEnd w:id="409"/>
    </w:p>
    <w:p w14:paraId="74A5A7C4" w14:textId="77777777" w:rsidR="004A649E" w:rsidRDefault="004A649E" w:rsidP="004A649E">
      <w:pPr>
        <w:widowControl/>
        <w:jc w:val="left"/>
        <w:rPr>
          <w:rFonts w:eastAsia="MS Mincho"/>
          <w:szCs w:val="24"/>
          <w:lang w:eastAsia="ja-JP"/>
        </w:rPr>
      </w:pPr>
    </w:p>
    <w:p w14:paraId="12220FA7" w14:textId="77777777" w:rsidR="004A649E" w:rsidRDefault="000C0641" w:rsidP="004A649E">
      <w:pPr>
        <w:widowControl/>
        <w:jc w:val="left"/>
        <w:rPr>
          <w:rFonts w:eastAsia="MS Mincho"/>
          <w:szCs w:val="24"/>
          <w:lang w:eastAsia="ja-JP"/>
        </w:rPr>
      </w:pPr>
      <w:r>
        <w:rPr>
          <w:rFonts w:eastAsia="MS Mincho"/>
          <w:noProof/>
          <w:szCs w:val="24"/>
        </w:rPr>
        <w:drawing>
          <wp:inline distT="0" distB="0" distL="0" distR="0" wp14:anchorId="02BC5C72" wp14:editId="0F3345E7">
            <wp:extent cx="5689600" cy="4241800"/>
            <wp:effectExtent l="0" t="0" r="0" b="0"/>
            <wp:docPr id="65" name="Рисунок 65" descr="Изображение выглядит как текст, карт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ОЛЛ алгоритм принятия решения.jpg"/>
                    <pic:cNvPicPr/>
                  </pic:nvPicPr>
                  <pic:blipFill>
                    <a:blip r:embed="rId25">
                      <a:extLst>
                        <a:ext uri="{28A0092B-C50C-407E-A947-70E740481C1C}">
                          <a14:useLocalDpi xmlns:a14="http://schemas.microsoft.com/office/drawing/2010/main" val="0"/>
                        </a:ext>
                      </a:extLst>
                    </a:blip>
                    <a:stretch>
                      <a:fillRect/>
                    </a:stretch>
                  </pic:blipFill>
                  <pic:spPr>
                    <a:xfrm>
                      <a:off x="0" y="0"/>
                      <a:ext cx="5689600" cy="4241800"/>
                    </a:xfrm>
                    <a:prstGeom prst="rect">
                      <a:avLst/>
                    </a:prstGeom>
                  </pic:spPr>
                </pic:pic>
              </a:graphicData>
            </a:graphic>
          </wp:inline>
        </w:drawing>
      </w:r>
    </w:p>
    <w:p w14:paraId="3FBF407A" w14:textId="7EB78CFF" w:rsidR="009B3363" w:rsidRPr="00B97419" w:rsidRDefault="009B3363" w:rsidP="009B3363">
      <w:pPr>
        <w:widowControl/>
        <w:jc w:val="left"/>
        <w:rPr>
          <w:rFonts w:eastAsia="MS Mincho"/>
          <w:bCs/>
          <w:i/>
          <w:szCs w:val="24"/>
          <w:lang w:eastAsia="ja-JP"/>
        </w:rPr>
      </w:pPr>
      <w:r w:rsidRPr="00B97419">
        <w:rPr>
          <w:rFonts w:eastAsia="MS Mincho"/>
          <w:bCs/>
          <w:i/>
          <w:szCs w:val="24"/>
          <w:lang w:eastAsia="ja-JP"/>
        </w:rPr>
        <w:t xml:space="preserve">Рис. </w:t>
      </w:r>
      <w:r w:rsidR="00B97419" w:rsidRPr="00B97419">
        <w:rPr>
          <w:rFonts w:eastAsia="MS Mincho"/>
          <w:bCs/>
          <w:i/>
          <w:szCs w:val="24"/>
          <w:lang w:eastAsia="ja-JP"/>
        </w:rPr>
        <w:t>1</w:t>
      </w:r>
      <w:r w:rsidRPr="00B97419">
        <w:rPr>
          <w:rFonts w:eastAsia="MS Mincho"/>
          <w:bCs/>
          <w:i/>
          <w:szCs w:val="24"/>
          <w:lang w:eastAsia="ja-JP"/>
        </w:rPr>
        <w:t>. Алгоритм принятия решения на момент диагностики ОЛЛ</w:t>
      </w:r>
    </w:p>
    <w:p w14:paraId="271954C0" w14:textId="77777777" w:rsidR="004A649E" w:rsidRPr="009B3363" w:rsidRDefault="004A649E" w:rsidP="004A649E">
      <w:pPr>
        <w:pStyle w:val="a6"/>
        <w:rPr>
          <w:i/>
        </w:rPr>
      </w:pPr>
    </w:p>
    <w:p w14:paraId="11D507B8" w14:textId="77777777" w:rsidR="004A649E" w:rsidRDefault="004A649E" w:rsidP="004A649E">
      <w:pPr>
        <w:pStyle w:val="a6"/>
      </w:pPr>
    </w:p>
    <w:p w14:paraId="3495D9A3" w14:textId="77777777" w:rsidR="004A649E" w:rsidRDefault="004A649E" w:rsidP="004A649E">
      <w:pPr>
        <w:pStyle w:val="a6"/>
      </w:pPr>
    </w:p>
    <w:p w14:paraId="73CB1A1A" w14:textId="77777777" w:rsidR="004A649E" w:rsidRDefault="004A649E" w:rsidP="004A649E">
      <w:pPr>
        <w:pStyle w:val="a6"/>
      </w:pPr>
    </w:p>
    <w:p w14:paraId="51B55A1F" w14:textId="77777777" w:rsidR="004A649E" w:rsidRDefault="004A649E" w:rsidP="004A649E">
      <w:pPr>
        <w:pStyle w:val="a6"/>
      </w:pPr>
    </w:p>
    <w:p w14:paraId="354F28B6" w14:textId="77777777" w:rsidR="00A34B6D" w:rsidRDefault="00A34B6D" w:rsidP="004A649E">
      <w:pPr>
        <w:pStyle w:val="a6"/>
      </w:pPr>
    </w:p>
    <w:p w14:paraId="38D9929A" w14:textId="77777777" w:rsidR="00A34B6D" w:rsidRDefault="00A34B6D" w:rsidP="004A649E">
      <w:pPr>
        <w:pStyle w:val="a6"/>
      </w:pPr>
    </w:p>
    <w:p w14:paraId="0DD9F889" w14:textId="77777777" w:rsidR="00A34B6D" w:rsidRDefault="00A34B6D" w:rsidP="004A649E">
      <w:pPr>
        <w:pStyle w:val="a6"/>
      </w:pPr>
    </w:p>
    <w:p w14:paraId="7E206A65" w14:textId="77777777" w:rsidR="00A34B6D" w:rsidRDefault="00A34B6D" w:rsidP="004A649E">
      <w:pPr>
        <w:pStyle w:val="a6"/>
      </w:pPr>
    </w:p>
    <w:p w14:paraId="3C9EA199" w14:textId="77777777" w:rsidR="00A34B6D" w:rsidRDefault="00A34B6D" w:rsidP="004A649E">
      <w:pPr>
        <w:pStyle w:val="a6"/>
      </w:pPr>
    </w:p>
    <w:p w14:paraId="2CAA3CA1" w14:textId="77777777" w:rsidR="004A649E" w:rsidRDefault="004A649E" w:rsidP="004A649E">
      <w:pPr>
        <w:pStyle w:val="a6"/>
      </w:pPr>
    </w:p>
    <w:p w14:paraId="19E4C25C" w14:textId="77777777" w:rsidR="004A649E" w:rsidRDefault="004A649E" w:rsidP="004A649E">
      <w:pPr>
        <w:pStyle w:val="a6"/>
      </w:pPr>
    </w:p>
    <w:p w14:paraId="7800FD0A" w14:textId="77777777" w:rsidR="0037439A" w:rsidRPr="009B3363" w:rsidRDefault="0037439A" w:rsidP="004A649E">
      <w:pPr>
        <w:pStyle w:val="a6"/>
      </w:pPr>
    </w:p>
    <w:p w14:paraId="58F85C9F" w14:textId="77777777" w:rsidR="00580D52" w:rsidRDefault="00580D52" w:rsidP="004A649E">
      <w:pPr>
        <w:widowControl/>
        <w:jc w:val="left"/>
        <w:rPr>
          <w:rFonts w:eastAsia="MS Mincho"/>
          <w:b/>
          <w:szCs w:val="24"/>
          <w:lang w:eastAsia="ja-JP"/>
        </w:rPr>
      </w:pPr>
    </w:p>
    <w:p w14:paraId="4B06207E" w14:textId="77777777" w:rsidR="004A649E" w:rsidRDefault="00032FD4" w:rsidP="004A649E">
      <w:pPr>
        <w:widowControl/>
        <w:jc w:val="left"/>
        <w:rPr>
          <w:rFonts w:eastAsia="MS Mincho"/>
          <w:szCs w:val="24"/>
          <w:lang w:eastAsia="ja-JP"/>
        </w:rPr>
      </w:pPr>
      <w:r>
        <w:rPr>
          <w:rFonts w:eastAsia="MS Mincho"/>
          <w:noProof/>
          <w:szCs w:val="24"/>
        </w:rPr>
        <w:drawing>
          <wp:inline distT="0" distB="0" distL="0" distR="0" wp14:anchorId="3D0D6325" wp14:editId="45A16413">
            <wp:extent cx="5942330" cy="3278505"/>
            <wp:effectExtent l="0" t="0" r="1270" b="0"/>
            <wp:docPr id="66" name="Рисунок 66" descr="Изображение выглядит как текст, карт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ОЛЛ рецидивы на разных протоколах.jpg"/>
                    <pic:cNvPicPr/>
                  </pic:nvPicPr>
                  <pic:blipFill>
                    <a:blip r:embed="rId26">
                      <a:extLst>
                        <a:ext uri="{28A0092B-C50C-407E-A947-70E740481C1C}">
                          <a14:useLocalDpi xmlns:a14="http://schemas.microsoft.com/office/drawing/2010/main" val="0"/>
                        </a:ext>
                      </a:extLst>
                    </a:blip>
                    <a:stretch>
                      <a:fillRect/>
                    </a:stretch>
                  </pic:blipFill>
                  <pic:spPr>
                    <a:xfrm>
                      <a:off x="0" y="0"/>
                      <a:ext cx="5942330" cy="3278505"/>
                    </a:xfrm>
                    <a:prstGeom prst="rect">
                      <a:avLst/>
                    </a:prstGeom>
                  </pic:spPr>
                </pic:pic>
              </a:graphicData>
            </a:graphic>
          </wp:inline>
        </w:drawing>
      </w:r>
    </w:p>
    <w:p w14:paraId="45196EB8" w14:textId="08E04F7A" w:rsidR="009B3363" w:rsidRDefault="009B3363" w:rsidP="009B3363">
      <w:pPr>
        <w:widowControl/>
        <w:rPr>
          <w:rFonts w:eastAsia="MS Mincho"/>
          <w:i/>
          <w:szCs w:val="24"/>
          <w:lang w:eastAsia="ja-JP"/>
        </w:rPr>
      </w:pPr>
      <w:r w:rsidRPr="00B97419">
        <w:rPr>
          <w:rFonts w:eastAsia="MS Mincho"/>
          <w:bCs/>
          <w:i/>
          <w:szCs w:val="24"/>
          <w:lang w:eastAsia="ja-JP"/>
        </w:rPr>
        <w:t xml:space="preserve">Рис. </w:t>
      </w:r>
      <w:r w:rsidR="00B97419" w:rsidRPr="00B97419">
        <w:rPr>
          <w:rFonts w:eastAsia="MS Mincho"/>
          <w:bCs/>
          <w:i/>
          <w:szCs w:val="24"/>
          <w:lang w:eastAsia="ja-JP"/>
        </w:rPr>
        <w:t>2</w:t>
      </w:r>
      <w:r w:rsidRPr="00B97419">
        <w:rPr>
          <w:rFonts w:eastAsia="MS Mincho"/>
          <w:bCs/>
          <w:i/>
          <w:szCs w:val="24"/>
          <w:lang w:eastAsia="ja-JP"/>
        </w:rPr>
        <w:t>. Алгоритм принятия решения при констатации резистентности и развитии</w:t>
      </w:r>
      <w:r w:rsidRPr="00B97419">
        <w:rPr>
          <w:rFonts w:eastAsia="MS Mincho"/>
          <w:i/>
          <w:szCs w:val="24"/>
          <w:lang w:eastAsia="ja-JP"/>
        </w:rPr>
        <w:t xml:space="preserve"> рецидива ОЛЛ при использовании протоколов </w:t>
      </w:r>
      <w:r w:rsidR="002D1441" w:rsidRPr="00B97419">
        <w:rPr>
          <w:rFonts w:eastAsia="MS Mincho"/>
          <w:i/>
          <w:szCs w:val="24"/>
          <w:lang w:eastAsia="ja-JP"/>
        </w:rPr>
        <w:t>не</w:t>
      </w:r>
      <w:r w:rsidRPr="00B97419">
        <w:rPr>
          <w:rFonts w:eastAsia="MS Mincho"/>
          <w:i/>
          <w:szCs w:val="24"/>
          <w:lang w:eastAsia="ja-JP"/>
        </w:rPr>
        <w:t xml:space="preserve"> российской исследовательской группы</w:t>
      </w:r>
    </w:p>
    <w:p w14:paraId="7BB966BA" w14:textId="77777777" w:rsidR="004A649E" w:rsidRPr="009B3363" w:rsidRDefault="004A649E" w:rsidP="009B3363">
      <w:pPr>
        <w:widowControl/>
        <w:rPr>
          <w:rFonts w:eastAsia="MS Mincho"/>
          <w:i/>
          <w:szCs w:val="24"/>
          <w:lang w:eastAsia="ja-JP"/>
        </w:rPr>
      </w:pPr>
    </w:p>
    <w:p w14:paraId="12A6DE44" w14:textId="77777777" w:rsidR="004A649E" w:rsidRDefault="004A649E" w:rsidP="004A649E">
      <w:pPr>
        <w:widowControl/>
        <w:jc w:val="left"/>
        <w:rPr>
          <w:rFonts w:eastAsia="MS Mincho"/>
          <w:szCs w:val="24"/>
          <w:lang w:eastAsia="ja-JP"/>
        </w:rPr>
      </w:pPr>
    </w:p>
    <w:p w14:paraId="26A99160" w14:textId="77777777" w:rsidR="004A649E" w:rsidRPr="00A978F1" w:rsidRDefault="004A649E" w:rsidP="00A978F1">
      <w:pPr>
        <w:widowControl/>
        <w:ind w:left="720"/>
        <w:jc w:val="left"/>
        <w:rPr>
          <w:rFonts w:eastAsia="MS Mincho"/>
          <w:b/>
          <w:szCs w:val="24"/>
          <w:lang w:eastAsia="ja-JP"/>
        </w:rPr>
      </w:pPr>
      <w:r>
        <w:rPr>
          <w:rFonts w:eastAsia="MS Mincho"/>
          <w:szCs w:val="24"/>
          <w:lang w:eastAsia="ja-JP"/>
        </w:rPr>
        <w:br w:type="column"/>
      </w:r>
      <w:r w:rsidR="009B3363">
        <w:rPr>
          <w:rFonts w:eastAsia="MS Mincho"/>
          <w:noProof/>
          <w:szCs w:val="24"/>
        </w:rPr>
        <w:lastRenderedPageBreak/>
        <w:drawing>
          <wp:inline distT="0" distB="0" distL="0" distR="0" wp14:anchorId="5B88FA60" wp14:editId="30FA2E09">
            <wp:extent cx="5939790" cy="4754880"/>
            <wp:effectExtent l="19050" t="0" r="3810" b="0"/>
            <wp:docPr id="8"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27" cstate="print"/>
                    <a:srcRect/>
                    <a:stretch>
                      <a:fillRect/>
                    </a:stretch>
                  </pic:blipFill>
                  <pic:spPr bwMode="auto">
                    <a:xfrm>
                      <a:off x="0" y="0"/>
                      <a:ext cx="5939790" cy="4754880"/>
                    </a:xfrm>
                    <a:prstGeom prst="rect">
                      <a:avLst/>
                    </a:prstGeom>
                    <a:noFill/>
                    <a:ln w="9525">
                      <a:noFill/>
                      <a:miter lim="800000"/>
                      <a:headEnd/>
                      <a:tailEnd/>
                    </a:ln>
                  </pic:spPr>
                </pic:pic>
              </a:graphicData>
            </a:graphic>
          </wp:inline>
        </w:drawing>
      </w:r>
    </w:p>
    <w:p w14:paraId="050F9469" w14:textId="1375AA65" w:rsidR="005D0985" w:rsidRPr="00B97419" w:rsidRDefault="009B3363" w:rsidP="00B97419">
      <w:pPr>
        <w:widowControl/>
        <w:ind w:left="720"/>
        <w:rPr>
          <w:rFonts w:eastAsia="MS Mincho"/>
          <w:bCs/>
          <w:i/>
          <w:szCs w:val="24"/>
          <w:lang w:eastAsia="ja-JP"/>
        </w:rPr>
      </w:pPr>
      <w:r w:rsidRPr="00B97419">
        <w:rPr>
          <w:rFonts w:eastAsia="MS Mincho"/>
          <w:bCs/>
          <w:i/>
          <w:szCs w:val="24"/>
          <w:lang w:eastAsia="ja-JP"/>
        </w:rPr>
        <w:t xml:space="preserve">Рис. </w:t>
      </w:r>
      <w:r w:rsidR="00B97419" w:rsidRPr="00B97419">
        <w:rPr>
          <w:rFonts w:eastAsia="MS Mincho"/>
          <w:bCs/>
          <w:i/>
          <w:szCs w:val="24"/>
          <w:lang w:eastAsia="ja-JP"/>
        </w:rPr>
        <w:t>3</w:t>
      </w:r>
      <w:r w:rsidRPr="00B97419">
        <w:rPr>
          <w:rFonts w:eastAsia="MS Mincho"/>
          <w:bCs/>
          <w:i/>
          <w:szCs w:val="24"/>
          <w:lang w:eastAsia="ja-JP"/>
        </w:rPr>
        <w:t>. Алгоритм принятия решения при констатации резистентности и развитии рецидива ОЛЛ при применении протокола российской исследовательской группы</w:t>
      </w:r>
      <w:r w:rsidR="005D0985" w:rsidRPr="00B97419">
        <w:rPr>
          <w:rFonts w:eastAsia="MS Mincho"/>
          <w:bCs/>
          <w:i/>
          <w:szCs w:val="24"/>
          <w:lang w:eastAsia="ja-JP"/>
        </w:rPr>
        <w:t xml:space="preserve"> </w:t>
      </w:r>
    </w:p>
    <w:p w14:paraId="34AFB67F" w14:textId="77777777" w:rsidR="004A649E" w:rsidRPr="00B97419" w:rsidRDefault="004A649E" w:rsidP="004A649E">
      <w:pPr>
        <w:widowControl/>
        <w:jc w:val="left"/>
        <w:rPr>
          <w:rFonts w:eastAsia="MS Mincho"/>
          <w:bCs/>
          <w:i/>
          <w:szCs w:val="24"/>
          <w:lang w:eastAsia="ja-JP"/>
        </w:rPr>
      </w:pPr>
    </w:p>
    <w:p w14:paraId="53F8F1F7" w14:textId="77777777" w:rsidR="004A649E" w:rsidRDefault="004A649E" w:rsidP="004661C5">
      <w:pPr>
        <w:widowControl/>
        <w:ind w:left="360"/>
        <w:jc w:val="center"/>
        <w:rPr>
          <w:rFonts w:eastAsia="MS Mincho"/>
          <w:szCs w:val="24"/>
          <w:lang w:eastAsia="ja-JP"/>
        </w:rPr>
      </w:pPr>
      <w:r>
        <w:rPr>
          <w:rFonts w:eastAsia="MS Mincho"/>
          <w:szCs w:val="24"/>
          <w:lang w:eastAsia="ja-JP"/>
        </w:rPr>
        <w:br w:type="column"/>
      </w:r>
      <w:r w:rsidR="001453F0">
        <w:rPr>
          <w:rFonts w:eastAsia="MS Mincho"/>
          <w:noProof/>
          <w:szCs w:val="24"/>
        </w:rPr>
        <w:lastRenderedPageBreak/>
        <w:drawing>
          <wp:inline distT="0" distB="0" distL="0" distR="0" wp14:anchorId="08C4DE19" wp14:editId="03891BDC">
            <wp:extent cx="5939790" cy="5446395"/>
            <wp:effectExtent l="19050" t="0" r="381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28" cstate="print"/>
                    <a:srcRect/>
                    <a:stretch>
                      <a:fillRect/>
                    </a:stretch>
                  </pic:blipFill>
                  <pic:spPr bwMode="auto">
                    <a:xfrm>
                      <a:off x="0" y="0"/>
                      <a:ext cx="5939790" cy="5446395"/>
                    </a:xfrm>
                    <a:prstGeom prst="rect">
                      <a:avLst/>
                    </a:prstGeom>
                    <a:noFill/>
                    <a:ln w="9525">
                      <a:noFill/>
                      <a:miter lim="800000"/>
                      <a:headEnd/>
                      <a:tailEnd/>
                    </a:ln>
                  </pic:spPr>
                </pic:pic>
              </a:graphicData>
            </a:graphic>
          </wp:inline>
        </w:drawing>
      </w:r>
    </w:p>
    <w:p w14:paraId="0E44A641" w14:textId="13064DB7" w:rsidR="005D0985" w:rsidRPr="00B97419" w:rsidRDefault="009B3363" w:rsidP="00B97419">
      <w:pPr>
        <w:widowControl/>
        <w:ind w:left="360"/>
        <w:rPr>
          <w:rFonts w:eastAsia="MS Mincho"/>
          <w:bCs/>
          <w:i/>
          <w:szCs w:val="24"/>
          <w:lang w:eastAsia="ja-JP"/>
        </w:rPr>
      </w:pPr>
      <w:r w:rsidRPr="00B97419">
        <w:rPr>
          <w:rFonts w:eastAsia="MS Mincho"/>
          <w:bCs/>
          <w:i/>
          <w:szCs w:val="24"/>
          <w:lang w:eastAsia="ja-JP"/>
        </w:rPr>
        <w:t xml:space="preserve">Рис. </w:t>
      </w:r>
      <w:r w:rsidR="00B97419" w:rsidRPr="00B97419">
        <w:rPr>
          <w:rFonts w:eastAsia="MS Mincho"/>
          <w:bCs/>
          <w:i/>
          <w:szCs w:val="24"/>
          <w:lang w:eastAsia="ja-JP"/>
        </w:rPr>
        <w:t>4</w:t>
      </w:r>
      <w:r w:rsidRPr="00B97419">
        <w:rPr>
          <w:rFonts w:eastAsia="MS Mincho"/>
          <w:bCs/>
          <w:i/>
          <w:szCs w:val="24"/>
          <w:lang w:eastAsia="ja-JP"/>
        </w:rPr>
        <w:t xml:space="preserve">. Алгоритм принятия решения при констатации резистентности и развитии рецидива </w:t>
      </w:r>
      <w:r w:rsidRPr="00B97419">
        <w:rPr>
          <w:rFonts w:eastAsia="MS Mincho"/>
          <w:bCs/>
          <w:i/>
          <w:szCs w:val="24"/>
          <w:lang w:val="en-US" w:eastAsia="ja-JP"/>
        </w:rPr>
        <w:t>Ph</w:t>
      </w:r>
      <w:r w:rsidRPr="00B97419">
        <w:rPr>
          <w:rFonts w:eastAsia="MS Mincho"/>
          <w:bCs/>
          <w:i/>
          <w:szCs w:val="24"/>
          <w:lang w:eastAsia="ja-JP"/>
        </w:rPr>
        <w:t>-позитивного ОЛЛ</w:t>
      </w:r>
      <w:r w:rsidR="005D0985" w:rsidRPr="00B97419">
        <w:rPr>
          <w:rFonts w:eastAsia="MS Mincho"/>
          <w:bCs/>
          <w:i/>
          <w:szCs w:val="24"/>
          <w:lang w:eastAsia="ja-JP"/>
        </w:rPr>
        <w:t xml:space="preserve"> </w:t>
      </w:r>
    </w:p>
    <w:p w14:paraId="6967C09B" w14:textId="77777777" w:rsidR="004A649E" w:rsidRDefault="004A649E" w:rsidP="004A649E">
      <w:pPr>
        <w:widowControl/>
        <w:ind w:left="360"/>
        <w:jc w:val="left"/>
        <w:rPr>
          <w:rFonts w:eastAsia="MS Mincho"/>
          <w:szCs w:val="24"/>
          <w:lang w:eastAsia="ja-JP"/>
        </w:rPr>
      </w:pPr>
    </w:p>
    <w:p w14:paraId="4C54F591" w14:textId="77777777" w:rsidR="004A649E" w:rsidRDefault="004A649E" w:rsidP="004A649E">
      <w:pPr>
        <w:widowControl/>
        <w:ind w:left="360"/>
        <w:jc w:val="left"/>
        <w:rPr>
          <w:rFonts w:eastAsia="MS Mincho"/>
          <w:szCs w:val="24"/>
          <w:lang w:eastAsia="ja-JP"/>
        </w:rPr>
      </w:pPr>
    </w:p>
    <w:p w14:paraId="725D8DCB" w14:textId="77777777" w:rsidR="004A649E" w:rsidRDefault="004A649E" w:rsidP="004661C5">
      <w:pPr>
        <w:widowControl/>
        <w:ind w:left="360"/>
        <w:jc w:val="center"/>
        <w:rPr>
          <w:rFonts w:eastAsia="MS Mincho"/>
          <w:szCs w:val="24"/>
          <w:lang w:eastAsia="ja-JP"/>
        </w:rPr>
      </w:pPr>
      <w:r>
        <w:rPr>
          <w:rFonts w:eastAsia="MS Mincho"/>
          <w:szCs w:val="24"/>
          <w:lang w:eastAsia="ja-JP"/>
        </w:rPr>
        <w:br w:type="column"/>
      </w:r>
      <w:r w:rsidR="009B3363">
        <w:rPr>
          <w:rFonts w:eastAsia="MS Mincho"/>
          <w:noProof/>
          <w:szCs w:val="24"/>
        </w:rPr>
        <w:lastRenderedPageBreak/>
        <w:drawing>
          <wp:inline distT="0" distB="0" distL="0" distR="0" wp14:anchorId="3DFE71EE" wp14:editId="65659B57">
            <wp:extent cx="5939790" cy="4413250"/>
            <wp:effectExtent l="19050" t="0" r="3810" b="0"/>
            <wp:docPr id="9"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29" cstate="print"/>
                    <a:srcRect/>
                    <a:stretch>
                      <a:fillRect/>
                    </a:stretch>
                  </pic:blipFill>
                  <pic:spPr bwMode="auto">
                    <a:xfrm>
                      <a:off x="0" y="0"/>
                      <a:ext cx="5939790" cy="4413250"/>
                    </a:xfrm>
                    <a:prstGeom prst="rect">
                      <a:avLst/>
                    </a:prstGeom>
                    <a:noFill/>
                    <a:ln w="9525">
                      <a:noFill/>
                      <a:miter lim="800000"/>
                      <a:headEnd/>
                      <a:tailEnd/>
                    </a:ln>
                  </pic:spPr>
                </pic:pic>
              </a:graphicData>
            </a:graphic>
          </wp:inline>
        </w:drawing>
      </w:r>
    </w:p>
    <w:p w14:paraId="0A15A7F3" w14:textId="7B3DB1BA" w:rsidR="009B3363" w:rsidRPr="00B97419" w:rsidRDefault="009B3363" w:rsidP="009B3363">
      <w:pPr>
        <w:widowControl/>
        <w:ind w:left="360"/>
        <w:jc w:val="center"/>
        <w:rPr>
          <w:rFonts w:eastAsia="MS Mincho"/>
          <w:bCs/>
          <w:i/>
          <w:szCs w:val="24"/>
          <w:lang w:eastAsia="ja-JP"/>
        </w:rPr>
      </w:pPr>
      <w:r w:rsidRPr="00B97419">
        <w:rPr>
          <w:rFonts w:eastAsia="MS Mincho"/>
          <w:bCs/>
          <w:i/>
          <w:szCs w:val="24"/>
          <w:lang w:eastAsia="ja-JP"/>
        </w:rPr>
        <w:t xml:space="preserve">Рис. </w:t>
      </w:r>
      <w:r w:rsidR="00B97419" w:rsidRPr="00B97419">
        <w:rPr>
          <w:rFonts w:eastAsia="MS Mincho"/>
          <w:bCs/>
          <w:i/>
          <w:szCs w:val="24"/>
          <w:lang w:eastAsia="ja-JP"/>
        </w:rPr>
        <w:t>5</w:t>
      </w:r>
      <w:r w:rsidRPr="00B97419">
        <w:rPr>
          <w:rFonts w:eastAsia="MS Mincho"/>
          <w:bCs/>
          <w:i/>
          <w:szCs w:val="24"/>
          <w:lang w:eastAsia="ja-JP"/>
        </w:rPr>
        <w:t>. Алгоритм принятия решения при диагностике лейкоза/лимфомы Беркитта</w:t>
      </w:r>
    </w:p>
    <w:p w14:paraId="7BD8CAD9" w14:textId="77777777" w:rsidR="004A649E" w:rsidRDefault="004A649E" w:rsidP="004A649E">
      <w:pPr>
        <w:widowControl/>
        <w:ind w:left="360"/>
        <w:jc w:val="left"/>
        <w:rPr>
          <w:rFonts w:eastAsia="MS Mincho"/>
          <w:szCs w:val="24"/>
          <w:lang w:eastAsia="ja-JP"/>
        </w:rPr>
      </w:pPr>
    </w:p>
    <w:p w14:paraId="46EAE22A" w14:textId="77777777" w:rsidR="004A649E" w:rsidRDefault="004A649E" w:rsidP="004661C5">
      <w:pPr>
        <w:widowControl/>
        <w:ind w:left="360"/>
        <w:jc w:val="center"/>
        <w:rPr>
          <w:rFonts w:eastAsia="MS Mincho"/>
          <w:szCs w:val="24"/>
          <w:lang w:eastAsia="ja-JP"/>
        </w:rPr>
      </w:pPr>
      <w:r>
        <w:rPr>
          <w:rFonts w:eastAsia="MS Mincho"/>
          <w:szCs w:val="24"/>
          <w:lang w:eastAsia="ja-JP"/>
        </w:rPr>
        <w:br w:type="column"/>
      </w:r>
      <w:r w:rsidR="001453F0">
        <w:rPr>
          <w:rFonts w:eastAsia="MS Mincho"/>
          <w:noProof/>
          <w:szCs w:val="24"/>
        </w:rPr>
        <w:lastRenderedPageBreak/>
        <w:drawing>
          <wp:inline distT="0" distB="0" distL="0" distR="0" wp14:anchorId="06053752" wp14:editId="1127E8AF">
            <wp:extent cx="5152390" cy="4484370"/>
            <wp:effectExtent l="1905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30" cstate="print"/>
                    <a:srcRect/>
                    <a:stretch>
                      <a:fillRect/>
                    </a:stretch>
                  </pic:blipFill>
                  <pic:spPr bwMode="auto">
                    <a:xfrm>
                      <a:off x="0" y="0"/>
                      <a:ext cx="5152390" cy="4484370"/>
                    </a:xfrm>
                    <a:prstGeom prst="rect">
                      <a:avLst/>
                    </a:prstGeom>
                    <a:noFill/>
                    <a:ln w="9525">
                      <a:noFill/>
                      <a:miter lim="800000"/>
                      <a:headEnd/>
                      <a:tailEnd/>
                    </a:ln>
                  </pic:spPr>
                </pic:pic>
              </a:graphicData>
            </a:graphic>
          </wp:inline>
        </w:drawing>
      </w:r>
    </w:p>
    <w:p w14:paraId="3BF33E7F" w14:textId="6834B9EF" w:rsidR="00F53F32" w:rsidRPr="00B97419" w:rsidRDefault="00F53F32" w:rsidP="00F53F32">
      <w:pPr>
        <w:widowControl/>
        <w:ind w:left="360"/>
        <w:jc w:val="center"/>
        <w:rPr>
          <w:rFonts w:eastAsia="MS Mincho"/>
          <w:bCs/>
          <w:i/>
          <w:szCs w:val="24"/>
          <w:lang w:eastAsia="ja-JP"/>
        </w:rPr>
      </w:pPr>
      <w:r w:rsidRPr="00B97419">
        <w:rPr>
          <w:rFonts w:eastAsia="MS Mincho"/>
          <w:bCs/>
          <w:i/>
          <w:szCs w:val="24"/>
          <w:lang w:eastAsia="ja-JP"/>
        </w:rPr>
        <w:t xml:space="preserve">Рис. </w:t>
      </w:r>
      <w:r w:rsidR="00B97419" w:rsidRPr="00B97419">
        <w:rPr>
          <w:rFonts w:eastAsia="MS Mincho"/>
          <w:bCs/>
          <w:i/>
          <w:szCs w:val="24"/>
          <w:lang w:eastAsia="ja-JP"/>
        </w:rPr>
        <w:t>6</w:t>
      </w:r>
      <w:r w:rsidRPr="00B97419">
        <w:rPr>
          <w:rFonts w:eastAsia="MS Mincho"/>
          <w:bCs/>
          <w:i/>
          <w:szCs w:val="24"/>
          <w:lang w:eastAsia="ja-JP"/>
        </w:rPr>
        <w:t>. Алгоритм принятия решения при рефрактерной форме и рецидиве лейкоза/лимфомы Беркитта</w:t>
      </w:r>
    </w:p>
    <w:p w14:paraId="7DB174C9" w14:textId="77777777" w:rsidR="004A649E" w:rsidRPr="00F53F32" w:rsidRDefault="004A649E" w:rsidP="004A649E">
      <w:pPr>
        <w:pStyle w:val="a6"/>
        <w:rPr>
          <w:i/>
        </w:rPr>
      </w:pPr>
    </w:p>
    <w:p w14:paraId="1BDA3D61" w14:textId="77777777" w:rsidR="004A649E" w:rsidRPr="006C260C" w:rsidRDefault="006C260C" w:rsidP="006C260C">
      <w:pPr>
        <w:widowControl/>
        <w:autoSpaceDE/>
        <w:autoSpaceDN/>
        <w:adjustRightInd/>
        <w:jc w:val="left"/>
        <w:rPr>
          <w:rFonts w:eastAsia="Calibri"/>
          <w:szCs w:val="22"/>
          <w:lang w:eastAsia="zh-CN"/>
        </w:rPr>
      </w:pPr>
      <w:r>
        <w:br w:type="page"/>
      </w:r>
    </w:p>
    <w:p w14:paraId="1E717D8B" w14:textId="77777777" w:rsidR="004A649E" w:rsidRDefault="004A649E" w:rsidP="00CA5BBD">
      <w:pPr>
        <w:pStyle w:val="11"/>
      </w:pPr>
      <w:bookmarkStart w:id="410" w:name="__RefHeading___doc_v"/>
      <w:bookmarkStart w:id="411" w:name="_Toc531609346"/>
      <w:bookmarkStart w:id="412" w:name="_Toc13484839"/>
      <w:bookmarkStart w:id="413" w:name="_Toc26796734"/>
      <w:bookmarkStart w:id="414" w:name="_Toc64467949"/>
      <w:bookmarkStart w:id="415" w:name="_Toc64565681"/>
      <w:r>
        <w:lastRenderedPageBreak/>
        <w:t>Приложение В. Информация для пациент</w:t>
      </w:r>
      <w:bookmarkEnd w:id="410"/>
      <w:bookmarkEnd w:id="411"/>
      <w:bookmarkEnd w:id="412"/>
      <w:r w:rsidR="001A77E2">
        <w:t>а</w:t>
      </w:r>
      <w:bookmarkEnd w:id="413"/>
      <w:bookmarkEnd w:id="414"/>
      <w:bookmarkEnd w:id="415"/>
    </w:p>
    <w:p w14:paraId="02EA0608" w14:textId="2E7C1502" w:rsidR="004A649E" w:rsidRPr="002F5F65" w:rsidRDefault="001A77E2" w:rsidP="004A649E">
      <w:pPr>
        <w:widowControl/>
        <w:ind w:left="360" w:firstLine="491"/>
        <w:rPr>
          <w:rFonts w:eastAsia="MS Mincho"/>
          <w:szCs w:val="24"/>
          <w:lang w:eastAsia="ja-JP"/>
        </w:rPr>
      </w:pPr>
      <w:r>
        <w:t>ОЛЛ</w:t>
      </w:r>
      <w:r w:rsidR="0042373D">
        <w:t xml:space="preserve"> или острый лимфобластный лейкоз</w:t>
      </w:r>
      <w:r w:rsidR="004A649E">
        <w:t xml:space="preserve"> </w:t>
      </w:r>
      <w:r w:rsidR="00A34B6D">
        <w:t>–</w:t>
      </w:r>
      <w:r w:rsidR="004A649E">
        <w:t xml:space="preserve"> это злокачественное заболевание кровеносной системы. К</w:t>
      </w:r>
      <w:r w:rsidR="006F1C57">
        <w:t>М</w:t>
      </w:r>
      <w:r w:rsidR="004A649E">
        <w:t xml:space="preserve">, в котором вырабатываются клетки крови, производит слишком большое количество незрелых белых кровяных телец. В норме у человека все клетки крови растут и обновляются достаточно равномерно, происходит сложный процесс их созревания. Однако при возникновении ОЛЛ этот процесс выходит из-под контроля. Белые кровяные тельца не растут и вызревают, превращаясь в полноценные функциональные клетки, а начинают быстро и бесконтрольно делиться. Постоянно увеличиваясь, они вытесняют здоровые белые клетки крови (лейкоциты), красные клетки крови (эритроциты) и кровяные пластинки (тромбоциты). В результате развивается нехватка необходимого числа здоровых клеток. Малокровие (анемия), инфекции и кровоточивость являются не только следствием </w:t>
      </w:r>
      <w:r w:rsidR="006F1C57">
        <w:t>О</w:t>
      </w:r>
      <w:r w:rsidR="00C1678C">
        <w:t>Л</w:t>
      </w:r>
      <w:r w:rsidR="006F1C57">
        <w:t>Л</w:t>
      </w:r>
      <w:r w:rsidR="004A649E">
        <w:t>, но и его первыми симптомами. Изначально лейкозы не ограничиваются какой-то определ</w:t>
      </w:r>
      <w:r>
        <w:t>е</w:t>
      </w:r>
      <w:r w:rsidR="004A649E">
        <w:t xml:space="preserve">нной частью огранизма. Распространяясь из </w:t>
      </w:r>
      <w:r w:rsidR="006F1C57">
        <w:t>КМ</w:t>
      </w:r>
      <w:r w:rsidR="004A649E">
        <w:t xml:space="preserve"> в кровь, </w:t>
      </w:r>
      <w:r w:rsidR="00234F1E">
        <w:t xml:space="preserve">они </w:t>
      </w:r>
      <w:r w:rsidR="004A649E">
        <w:t>поража</w:t>
      </w:r>
      <w:r w:rsidR="00234F1E">
        <w:t>ют</w:t>
      </w:r>
      <w:r w:rsidR="004A649E">
        <w:t xml:space="preserve"> и лимфатическ</w:t>
      </w:r>
      <w:r w:rsidR="00234F1E">
        <w:t>ую</w:t>
      </w:r>
      <w:r w:rsidR="004A649E">
        <w:t xml:space="preserve"> ткань (лимфатическая система), и другие органы, и, как следствие, вс</w:t>
      </w:r>
      <w:r w:rsidR="00234F1E">
        <w:t>ю</w:t>
      </w:r>
      <w:r w:rsidR="004A649E">
        <w:t xml:space="preserve"> систем</w:t>
      </w:r>
      <w:r w:rsidR="00D9298B">
        <w:t>у</w:t>
      </w:r>
      <w:r w:rsidR="004A649E">
        <w:t xml:space="preserve"> органов. Поэтому, как и остальные лейкозы, ОЛЛ относится к системным злокачественным заболеваниям. Течение ОЛЛ острое. Без лечения лейкемические клетки увеличиваются и поражают органы человека. Заболевание принимает тяж</w:t>
      </w:r>
      <w:r>
        <w:t>е</w:t>
      </w:r>
      <w:r w:rsidR="004A649E">
        <w:t>лые формы, смерть наступает через несколько месяцев.</w:t>
      </w:r>
    </w:p>
    <w:p w14:paraId="66F60DC9" w14:textId="77777777" w:rsidR="004A649E" w:rsidRDefault="004A649E" w:rsidP="004A649E">
      <w:pPr>
        <w:widowControl/>
        <w:ind w:left="360" w:firstLine="491"/>
      </w:pPr>
      <w:r>
        <w:t>ОЛЛ – самая распростран</w:t>
      </w:r>
      <w:r w:rsidR="001A77E2">
        <w:t>е</w:t>
      </w:r>
      <w:r>
        <w:t>нная форма лейкоза у детей и подростков</w:t>
      </w:r>
      <w:r w:rsidR="00344267">
        <w:t>,</w:t>
      </w:r>
      <w:r w:rsidR="00234F1E">
        <w:t xml:space="preserve"> </w:t>
      </w:r>
      <w:r w:rsidR="00344267">
        <w:t>о</w:t>
      </w:r>
      <w:r>
        <w:t xml:space="preserve">н </w:t>
      </w:r>
      <w:r w:rsidR="00344267">
        <w:t xml:space="preserve">составляет </w:t>
      </w:r>
      <w:r>
        <w:t xml:space="preserve">приблизительно одну треть от числа злокачественных заболеваний в детском и подростковом возрасте. ОЛЛ могут развиваться в любом возрасте, в том числе и во взрослом. Однако чаще всего они поражают детей от 1 до 5 лет, а мальчиков – </w:t>
      </w:r>
      <w:r w:rsidR="00C37B3F">
        <w:t xml:space="preserve">намного </w:t>
      </w:r>
      <w:r>
        <w:t>чаще, чем девочек.</w:t>
      </w:r>
    </w:p>
    <w:p w14:paraId="087BD0A9" w14:textId="77777777" w:rsidR="004A649E" w:rsidRDefault="004A649E" w:rsidP="004A649E">
      <w:pPr>
        <w:widowControl/>
        <w:ind w:left="360" w:firstLine="491"/>
      </w:pPr>
      <w:r>
        <w:t>При ОЛЛ происходит злокачественное изменение (м</w:t>
      </w:r>
      <w:r w:rsidR="00A541A3">
        <w:t>утация) незрелых клеток-</w:t>
      </w:r>
      <w:r>
        <w:t>предшественников лимфоцитов. Мутация может происходить на различных стадиях развития клетки. А это значит, что поражаются не только различные подгруппы лимфоцитов, но и их родоначальники. Поэтому в ОЛЛ существует множество форм заболевания. Например, В-клеточная форма ОЛЛ называется так по имени клеток-предшественников В-лимфоцитов, Т</w:t>
      </w:r>
      <w:r w:rsidR="006F1C57">
        <w:t>-</w:t>
      </w:r>
      <w:r>
        <w:t>клеточные лейкозы указывают на происхождение от клеток</w:t>
      </w:r>
      <w:r w:rsidR="006F1C57">
        <w:t>-</w:t>
      </w:r>
      <w:r>
        <w:t xml:space="preserve">предшественников Т-лимфоцитов. Важно знать, что существуют разные формы или подварианты ОЛЛ. Они могут достаточно сильно отличаться друг от друга и </w:t>
      </w:r>
      <w:r w:rsidR="00C37B3F">
        <w:t xml:space="preserve">по </w:t>
      </w:r>
      <w:r>
        <w:t>течени</w:t>
      </w:r>
      <w:r w:rsidR="00C37B3F">
        <w:t>ю</w:t>
      </w:r>
      <w:r>
        <w:t xml:space="preserve"> болезни, и </w:t>
      </w:r>
      <w:r w:rsidR="00C37B3F">
        <w:t xml:space="preserve">по </w:t>
      </w:r>
      <w:r>
        <w:t>возможности излечиться (прогноз). Эти различия учитываются в выборе терапевтической стратегии.</w:t>
      </w:r>
    </w:p>
    <w:p w14:paraId="11009872" w14:textId="77777777" w:rsidR="004A649E" w:rsidRDefault="004A649E" w:rsidP="004A649E">
      <w:pPr>
        <w:widowControl/>
        <w:ind w:left="360" w:firstLine="491"/>
      </w:pPr>
      <w:r>
        <w:lastRenderedPageBreak/>
        <w:t xml:space="preserve">Симптомы, с которых начинается ОЛЛ, как правило, развиваются за несколько недель. Злокачественные клетки распространяются по </w:t>
      </w:r>
      <w:r w:rsidR="006F1C57">
        <w:t>КМ</w:t>
      </w:r>
      <w:r>
        <w:t xml:space="preserve"> и другим органам. Беспрепятственно размножаясь в </w:t>
      </w:r>
      <w:r w:rsidR="006F1C57">
        <w:t>КМ</w:t>
      </w:r>
      <w:r>
        <w:t>, лейкозные клетки не дают расти нормальным клеткам крови. Поэтому у заболевших ОЛЛ сначала появляются общие симптомы болезненного состояния: вялость, слабость, бледность (анемия). Эти симптомы объясняются нехваткой красных кровяных телец, которые должны доставлять кислород для других клеток организма. Дефицит полноценных белых кровяных телец (например, лимфоцитов и гранулоцитов) приводит к ослаблению иммунитета, развиваются частые инфекции с высокой температурой. Из-за отсутствия тромбоцитов, ответственных за быстрое св</w:t>
      </w:r>
      <w:r w:rsidR="001A77E2">
        <w:t>е</w:t>
      </w:r>
      <w:r>
        <w:t xml:space="preserve">ртывание крови, могут возникать точечные кровоизлияния на коже и кровотечения слизистых оболочек. Распространяясь по организму, лейкемические клетки приводят не только к изменениям в составе крови. У детей появляются боли в различных органах. Так как лейкозные клетки заполняют костные полости и </w:t>
      </w:r>
      <w:r w:rsidR="006F1C57">
        <w:t>КМ</w:t>
      </w:r>
      <w:r>
        <w:t>, то кости начинают болеть, прежде всего кости рук и ног. Злокачественные клетки заполняют печень, селез</w:t>
      </w:r>
      <w:r w:rsidR="001A77E2">
        <w:t>е</w:t>
      </w:r>
      <w:r>
        <w:t>нку и лимфатические узлы. Их от</w:t>
      </w:r>
      <w:r w:rsidR="001A77E2">
        <w:t>е</w:t>
      </w:r>
      <w:r>
        <w:t>к приводит к болям в животе. В принципе ни у одного из органов нет защиты от лейкемических клеток. У пациентов с ОЛЛ злокачественные клетки могут проникнуть и в мягкую мозговую оболочку, поэтому появляются головные боли, паралич л</w:t>
      </w:r>
      <w:r w:rsidR="00A541A3">
        <w:t>ицевого нерва, нарушение зрения</w:t>
      </w:r>
      <w:r>
        <w:t xml:space="preserve"> и/или рвота. Симптомы ОЛЛ могут сильно отличаться у разных людей. Один или даже несколько симптомов не обязательно указывают на то, что человек заболел лейкемией. Многие из них появляются при сравнительно безобидных заболеваниях, не имею</w:t>
      </w:r>
      <w:r w:rsidR="008F576E">
        <w:t>щих отношения к лейкозу. Однако</w:t>
      </w:r>
      <w:r>
        <w:t xml:space="preserve"> если появляются боли, мы рекомендуем немедленно обращаться к врачу, чтобы выяснить их природу. И если действительно поставлен диагноз </w:t>
      </w:r>
      <w:r w:rsidR="006F1C57">
        <w:t>ОЛ</w:t>
      </w:r>
      <w:r>
        <w:t>, его нужно срочно лечить.</w:t>
      </w:r>
    </w:p>
    <w:p w14:paraId="5EE517F7" w14:textId="52ADE924" w:rsidR="004A649E" w:rsidRDefault="004A649E" w:rsidP="004A649E">
      <w:pPr>
        <w:widowControl/>
        <w:ind w:left="360" w:firstLine="491"/>
      </w:pPr>
      <w:r>
        <w:t xml:space="preserve">Если в истории болезни (анамнез) или данных осмотра врач находит признаки </w:t>
      </w:r>
      <w:r w:rsidR="006F1C57">
        <w:t>ОЛ</w:t>
      </w:r>
      <w:r>
        <w:t>, пациент получает направление на разв</w:t>
      </w:r>
      <w:r w:rsidR="001A77E2">
        <w:t>е</w:t>
      </w:r>
      <w:r>
        <w:t>рнутый анализ крови. Если определ</w:t>
      </w:r>
      <w:r w:rsidR="001A77E2">
        <w:t>е</w:t>
      </w:r>
      <w:r>
        <w:t xml:space="preserve">нные изменения в гемограмме (записи состава крови) подтверждают подозрения на лейкоз, то для окончательного диагноза необходимо получить клетки </w:t>
      </w:r>
      <w:r w:rsidR="006F1C57">
        <w:t>КМ</w:t>
      </w:r>
      <w:r>
        <w:t xml:space="preserve"> (костно</w:t>
      </w:r>
      <w:r w:rsidR="008F576E">
        <w:t>-</w:t>
      </w:r>
      <w:r>
        <w:t>мозговая пункция). Поэтому врач да</w:t>
      </w:r>
      <w:r w:rsidR="001A77E2">
        <w:t>е</w:t>
      </w:r>
      <w:r>
        <w:t xml:space="preserve">т пациенту направление на дальнейшее обследование в стационар, специализирующийся на болезнях крови и злокачественных заболеваниях. По анализу крови и </w:t>
      </w:r>
      <w:r w:rsidR="006F1C57">
        <w:t>КМ</w:t>
      </w:r>
      <w:r>
        <w:t xml:space="preserve"> можно точно определить наличие и вид лейкоза у пациента. Кроме того, современный иммунологический и генетический лабораторный анализ позволяет не только выделить ОЛЛ из других видов лейкоза, но и определить конкретный тип ОЛЛ. Это важное условие для планирования точной терапии, потому что различные типы ОЛЛ отличаются друг от друга на клеточном и молекулярном </w:t>
      </w:r>
      <w:r>
        <w:lastRenderedPageBreak/>
        <w:t xml:space="preserve">уровне, по-разному протекает ход болезни, по-разному оцениваются шансы на выздоровление (прогноз) и чувствительность к терапии. Как только поставлен диагноз ОЛЛ, для плана лечения выясняют, поражены ли лейкемическими клетками другие органы, кроме </w:t>
      </w:r>
      <w:r w:rsidR="006F1C57">
        <w:t>КМ</w:t>
      </w:r>
      <w:r w:rsidR="008F576E">
        <w:t xml:space="preserve">, </w:t>
      </w:r>
      <w:r w:rsidR="00152089">
        <w:t>например,</w:t>
      </w:r>
      <w:r>
        <w:t xml:space="preserve"> головной мозг, печень, селез</w:t>
      </w:r>
      <w:r w:rsidR="001A77E2">
        <w:t>е</w:t>
      </w:r>
      <w:r>
        <w:t>нка, лимфатические узлы или кости. Диагноз определяется по изображению из различных исследований, таких как ультразвуковое, рентгеновское, магнит</w:t>
      </w:r>
      <w:r w:rsidR="00C37B3F">
        <w:t>н</w:t>
      </w:r>
      <w:r>
        <w:t>о</w:t>
      </w:r>
      <w:r w:rsidR="008F576E">
        <w:t>-</w:t>
      </w:r>
      <w:r>
        <w:t xml:space="preserve">резонансная и компьютерная томография, сцинтиграфия костей скелета. Чтобы определить, поражена ли </w:t>
      </w:r>
      <w:r w:rsidR="00E6261A">
        <w:t>ЦНС</w:t>
      </w:r>
      <w:r>
        <w:t>, берут пробу спинномозговой жидкости (люмбальная пункция) и исследуют е</w:t>
      </w:r>
      <w:r w:rsidR="001A77E2">
        <w:t>е</w:t>
      </w:r>
      <w:r>
        <w:t xml:space="preserve"> на наличие лейкемических клеток. Дальнейшая подготовка к лечению заключается в проверке сердечной деятельности (электрокардиография, ЭКГ и эхокардиография, ЭхоКГ) и функционального состояния мозга (</w:t>
      </w:r>
      <w:r w:rsidR="00CC40AD">
        <w:t xml:space="preserve">электроэнцефалография, </w:t>
      </w:r>
      <w:r>
        <w:t xml:space="preserve">ЭЭГ). Изменения, которые могут произойти во время терапии, должны оцениваться на основании этих исходных данных. Комплексные лабораторные исследования помогают оценить общее состояние пациента и установить, </w:t>
      </w:r>
      <w:r w:rsidR="00C37B3F">
        <w:t>имеются ли у него</w:t>
      </w:r>
      <w:r>
        <w:t xml:space="preserve"> нарушения обмена веществ или функций каких-либо органов (например, почек или печени), возникших из-за лейкоза, что может быть особенно важно до или во время лечения. Для возможно необходимых переливаний крови следует установить группу крови пациента.</w:t>
      </w:r>
    </w:p>
    <w:p w14:paraId="15D554AC" w14:textId="77777777" w:rsidR="004A649E" w:rsidRDefault="004A649E" w:rsidP="004A649E">
      <w:pPr>
        <w:widowControl/>
        <w:ind w:left="360" w:firstLine="491"/>
      </w:pPr>
      <w:r>
        <w:t>Не все исследования обязательны для каждого пацие</w:t>
      </w:r>
      <w:r w:rsidR="008F576E">
        <w:t>нта. От медицинских работников в</w:t>
      </w:r>
      <w:r>
        <w:t>ы получите информацию о том, какие именно диагностические процедуры необходимы для планирования терапии.</w:t>
      </w:r>
    </w:p>
    <w:p w14:paraId="341DFA37" w14:textId="77777777" w:rsidR="004A649E" w:rsidRDefault="004A649E" w:rsidP="004A649E">
      <w:pPr>
        <w:widowControl/>
        <w:ind w:left="360" w:firstLine="491"/>
      </w:pPr>
      <w:r>
        <w:t>В случае подтверждения диагноза ОЛЛ пациента срочно направляют в онкодиспансер или центр, где имеются и возможность наиболее современного и эффективного лечения, и узкие специалисты по раковым заболеваниям (врачи, медс</w:t>
      </w:r>
      <w:r w:rsidR="001A77E2">
        <w:t>е</w:t>
      </w:r>
      <w:r>
        <w:t>стры). Врачи специализированных отделений постоянно находятся в тесном рабочем контакте, лечение пациента</w:t>
      </w:r>
      <w:r w:rsidR="006F1C57">
        <w:t xml:space="preserve"> </w:t>
      </w:r>
      <w:r>
        <w:t>проводится ими по совместно разработанным и системати</w:t>
      </w:r>
      <w:r w:rsidR="008F576E">
        <w:t>чно усовершенствуемым планам терап</w:t>
      </w:r>
      <w:r>
        <w:t>ии.</w:t>
      </w:r>
    </w:p>
    <w:p w14:paraId="7D14DE80" w14:textId="77777777" w:rsidR="004A649E" w:rsidRDefault="004A649E" w:rsidP="004A649E">
      <w:pPr>
        <w:widowControl/>
        <w:ind w:left="360" w:firstLine="491"/>
      </w:pPr>
      <w:r>
        <w:t xml:space="preserve">Центральное место в лечении ОЛЛ занимает </w:t>
      </w:r>
      <w:r w:rsidR="008F576E">
        <w:t>ХТ</w:t>
      </w:r>
      <w:r>
        <w:t xml:space="preserve">. </w:t>
      </w:r>
      <w:r w:rsidR="006F1C57">
        <w:t xml:space="preserve">ХТ </w:t>
      </w:r>
      <w:r w:rsidR="00A34B6D">
        <w:t>–</w:t>
      </w:r>
      <w:r>
        <w:t xml:space="preserve"> это лечение медикаментами, которые мешают росту клеток (цитостатики). У некоторых пациентов дополнительно облучается </w:t>
      </w:r>
      <w:r w:rsidR="006F1C57">
        <w:t>ЦНС</w:t>
      </w:r>
      <w:r>
        <w:t xml:space="preserve"> (облучение головы). В некоторых случаях применяется </w:t>
      </w:r>
      <w:r w:rsidR="006F1C57">
        <w:t xml:space="preserve">ХТ </w:t>
      </w:r>
      <w:r>
        <w:t xml:space="preserve">высокими дозами препаратов с последующей </w:t>
      </w:r>
      <w:r w:rsidR="006F1C57">
        <w:t>ТГСК</w:t>
      </w:r>
      <w:r>
        <w:t>. Цель лечения – по возможности полностью уничтожить лейкемические клетки во вс</w:t>
      </w:r>
      <w:r w:rsidR="001A77E2">
        <w:t>е</w:t>
      </w:r>
      <w:r>
        <w:t xml:space="preserve">м организме, чтобы </w:t>
      </w:r>
      <w:r w:rsidR="006F1C57">
        <w:t>КМ</w:t>
      </w:r>
      <w:r>
        <w:t xml:space="preserve"> вновь смог работать как кроветворный орган. Интенсивность и продолжительность </w:t>
      </w:r>
      <w:r w:rsidR="00C37B3F">
        <w:t>ХТ</w:t>
      </w:r>
      <w:r>
        <w:t xml:space="preserve">, необходимость облучения </w:t>
      </w:r>
      <w:r w:rsidR="006F1C57">
        <w:t>ЦНС</w:t>
      </w:r>
      <w:r>
        <w:t xml:space="preserve"> или </w:t>
      </w:r>
      <w:r w:rsidR="006F1C57">
        <w:t>ТГСК</w:t>
      </w:r>
      <w:r>
        <w:t xml:space="preserve">, а также прогноз болезни зависят прежде всего от того, каким именно типом ОЛЛ болен пациент, насколько лейкемические клетки распространились по организму и как лейкоз реагирует на терапию. Лечение зрелоклеточной В-формы </w:t>
      </w:r>
      <w:r>
        <w:lastRenderedPageBreak/>
        <w:t xml:space="preserve">ОЛЛ отличается от лечения всех остальных подтипов </w:t>
      </w:r>
      <w:r w:rsidR="006F1C57">
        <w:t>ОЛЛ</w:t>
      </w:r>
      <w:r>
        <w:t>. Пациенты с таким диагнозом получают ту же терапию, что и пациенты с неходжкинской лимфомой из зрелых В-клеток. Поэтому следующая информация о ходе лечения к ним не относится.</w:t>
      </w:r>
    </w:p>
    <w:p w14:paraId="24A8E27E" w14:textId="77777777" w:rsidR="004A649E" w:rsidRDefault="004A649E" w:rsidP="004A649E">
      <w:pPr>
        <w:widowControl/>
        <w:ind w:left="360" w:firstLine="491"/>
      </w:pPr>
      <w:r>
        <w:t xml:space="preserve">Лечение пациентов с диагнозом ОЛЛ (кроме зрелоклеточной В-формы ОЛЛ) подразделяется на 4 больших этапа. Четыре фазы терапии отличаются друг от друга по продолжительности, по использованию некоторых медикаментов, а также по интенсивности и целям лечения. 1. Индукция: этап интенсивной </w:t>
      </w:r>
      <w:r w:rsidR="006F1C57">
        <w:t>ХТ</w:t>
      </w:r>
      <w:r w:rsidR="00A541A3">
        <w:t>, его цель –</w:t>
      </w:r>
      <w:r>
        <w:t xml:space="preserve"> уничтожить за короткое время максимальное число лейкозных клеток и достичь ремиссии. Лечение длится приблизительно от пяти до восьми недель. 2. Консолидация и интенсивная терапия: лечение проводится несколько месяцев (примерно от 2 до 5), его цель – с помощью новых комбинаций препаратов продолжить уничтожение лейкемических клеток и закрепить ремиссию. Важным элементом является профилактика поражения </w:t>
      </w:r>
      <w:r w:rsidR="006F1C57">
        <w:t>ЦНС</w:t>
      </w:r>
      <w:r>
        <w:t xml:space="preserve"> (превентивное лечение). Для этого в спинномозговой канал вводятся медикаменты и при необходимости дополнительно назначается облучение головного мозга (например, если имеются данные о поражении </w:t>
      </w:r>
      <w:r w:rsidR="006F1C57">
        <w:t>ЦНС</w:t>
      </w:r>
      <w:r>
        <w:t>). Этот этап должен не допустить попадания лейкемических к</w:t>
      </w:r>
      <w:r w:rsidR="00A541A3">
        <w:t>леток в головной и спинной мозг</w:t>
      </w:r>
      <w:r>
        <w:t xml:space="preserve"> или, что бывает чаще, их размножения. 3. Реиндукция: лечение проводится к</w:t>
      </w:r>
      <w:r w:rsidR="00A541A3">
        <w:t>ак в период индукции, его цель –</w:t>
      </w:r>
      <w:r>
        <w:t xml:space="preserve"> окончательно разрушить все лейкемические клетки и</w:t>
      </w:r>
      <w:r w:rsidR="00116EB2">
        <w:t xml:space="preserve"> </w:t>
      </w:r>
      <w:r>
        <w:t xml:space="preserve">тем самым минимизировать риск возврата болезни. Общая продолжительность реиндукции может составлять от нескольких недель до месяцев, на этом этапе фазы интенсивного лечения чередуются с паузами в </w:t>
      </w:r>
      <w:r w:rsidR="006F1C57">
        <w:t>ХТ</w:t>
      </w:r>
      <w:r>
        <w:t xml:space="preserve">. 4. Поддерживающее лечение или длительная терапия: на этом этапе назначаются невысокие дозы </w:t>
      </w:r>
      <w:r w:rsidR="006F1C57">
        <w:t>ХТ</w:t>
      </w:r>
      <w:r>
        <w:t xml:space="preserve">. Особенность лечения заключается в том, что оно проводится длительное время, как правило, пока его общий срок не составит 2 года. Лечение происходит в </w:t>
      </w:r>
      <w:r w:rsidR="00A541A3">
        <w:t>основном амбулаторно, его цель –</w:t>
      </w:r>
      <w:r>
        <w:t xml:space="preserve"> уничтожить все те лейкемические клетки, которые смогли выжить даже после интенсивной терапии.</w:t>
      </w:r>
    </w:p>
    <w:p w14:paraId="7E05B757" w14:textId="77777777" w:rsidR="004A649E" w:rsidRPr="002F5F65" w:rsidRDefault="004A649E" w:rsidP="004A649E">
      <w:pPr>
        <w:widowControl/>
        <w:ind w:left="360" w:firstLine="491"/>
        <w:rPr>
          <w:rFonts w:eastAsia="MS Mincho"/>
          <w:szCs w:val="24"/>
          <w:lang w:eastAsia="ja-JP"/>
        </w:rPr>
      </w:pPr>
      <w:r>
        <w:t xml:space="preserve">Большой прогресс в терапии за последние три десятилетия значительно увеличил шансы излечиться от ОЛЛ. Благодаря внедрению современных методов исследования и более эффективных стандартизированных протоколов комбинированной </w:t>
      </w:r>
      <w:r w:rsidR="006F1C57">
        <w:t xml:space="preserve">ХТ </w:t>
      </w:r>
      <w:r>
        <w:t>выздоравливают около 70 % заболевших ОЛЛ. Если пациент прожил после лечения 5 лет без рецидивов, он считается здоровым (</w:t>
      </w:r>
      <w:r w:rsidR="006F1C57">
        <w:t>5-</w:t>
      </w:r>
      <w:r>
        <w:t>летняя выживаемость). У части пациентов может наблюдаться возврат заболевания (рецидив). Как правило</w:t>
      </w:r>
      <w:r w:rsidR="00A541A3">
        <w:t>, рецидив наступает в первые 2-3</w:t>
      </w:r>
      <w:r>
        <w:t xml:space="preserve"> года после установления диаг</w:t>
      </w:r>
      <w:r w:rsidR="00A541A3">
        <w:t>ноза и в крайне редких случаях –</w:t>
      </w:r>
      <w:r>
        <w:t xml:space="preserve"> </w:t>
      </w:r>
      <w:r w:rsidR="00A541A3">
        <w:t>после 5</w:t>
      </w:r>
      <w:r>
        <w:t xml:space="preserve"> лет. В целом шансы выздороветь</w:t>
      </w:r>
      <w:r w:rsidR="006F1C57">
        <w:t xml:space="preserve"> при рецидиве</w:t>
      </w:r>
      <w:r>
        <w:t xml:space="preserve"> значительно ниже, чем при первичном заболевании, хотя у некоторых заболевших повторное лечение достигает хорошего результата. Необходимое замечание: названные проценты выздоровевших являются </w:t>
      </w:r>
      <w:r>
        <w:lastRenderedPageBreak/>
        <w:t xml:space="preserve">статистическими показателями. Они точно и достоверно описывают лишь совокупность заболевших </w:t>
      </w:r>
      <w:r w:rsidR="00953156">
        <w:t>ОЛ</w:t>
      </w:r>
      <w:r>
        <w:t>. Статистика не может предсказать, выздоровеет пациент, или нет. Лейкозы даже при самых благоприятных или неблагоприятных условиях могут протекать абсолютно непредсказуемо.</w:t>
      </w:r>
    </w:p>
    <w:p w14:paraId="3C576DF5" w14:textId="77777777" w:rsidR="004A649E" w:rsidRPr="00A53D6B" w:rsidRDefault="00A53D6B" w:rsidP="00A53D6B">
      <w:pPr>
        <w:widowControl/>
        <w:autoSpaceDE/>
        <w:autoSpaceDN/>
        <w:adjustRightInd/>
        <w:jc w:val="left"/>
        <w:rPr>
          <w:rFonts w:eastAsia="Calibri"/>
          <w:szCs w:val="22"/>
          <w:lang w:eastAsia="zh-CN"/>
        </w:rPr>
      </w:pPr>
      <w:r>
        <w:br w:type="page"/>
      </w:r>
    </w:p>
    <w:p w14:paraId="06158A95" w14:textId="615BB6C0" w:rsidR="00C75CD5" w:rsidRDefault="00C75CD5" w:rsidP="000A5734">
      <w:pPr>
        <w:pStyle w:val="11"/>
      </w:pPr>
      <w:bookmarkStart w:id="416" w:name="__RefHeading___doc_g"/>
      <w:bookmarkStart w:id="417" w:name="_Toc11747754"/>
      <w:bookmarkStart w:id="418" w:name="_Toc25184507"/>
      <w:bookmarkStart w:id="419" w:name="_Toc64565682"/>
      <w:bookmarkStart w:id="420" w:name="_Toc13484840"/>
      <w:bookmarkStart w:id="421" w:name="_Toc26796735"/>
      <w:bookmarkStart w:id="422" w:name="_Toc64467950"/>
      <w:bookmarkStart w:id="423" w:name="_Toc464042739"/>
      <w:bookmarkStart w:id="424" w:name="_Toc465074033"/>
      <w:bookmarkStart w:id="425" w:name="_Toc505347372"/>
      <w:r w:rsidRPr="00C81573">
        <w:lastRenderedPageBreak/>
        <w:t>Приложение</w:t>
      </w:r>
      <w:bookmarkEnd w:id="416"/>
      <w:r w:rsidR="005A6C83">
        <w:t xml:space="preserve"> Г. Шкалы оценки, </w:t>
      </w:r>
      <w:r w:rsidRPr="00C81573">
        <w:t>опросники и другие оценочные инструменты состояния пациента, приведенные в клинических рекомендациях</w:t>
      </w:r>
      <w:bookmarkEnd w:id="417"/>
      <w:bookmarkEnd w:id="418"/>
      <w:bookmarkEnd w:id="419"/>
    </w:p>
    <w:p w14:paraId="01221278" w14:textId="5FB6E254" w:rsidR="004A649E" w:rsidRPr="00950F44" w:rsidRDefault="004A649E" w:rsidP="004905C2">
      <w:pPr>
        <w:pStyle w:val="2"/>
      </w:pPr>
      <w:bookmarkStart w:id="426" w:name="_Toc64565683"/>
      <w:r>
        <w:t>Приложение Г</w:t>
      </w:r>
      <w:r w:rsidR="00B7347C">
        <w:t>1</w:t>
      </w:r>
      <w:bookmarkEnd w:id="420"/>
      <w:r w:rsidR="00950F44">
        <w:t xml:space="preserve">. Шкала оценки общего состояния пациента </w:t>
      </w:r>
      <w:r w:rsidR="00C542AD">
        <w:t xml:space="preserve">по версии </w:t>
      </w:r>
      <w:r w:rsidR="00950F44" w:rsidRPr="003F1510">
        <w:t>ECOG</w:t>
      </w:r>
      <w:bookmarkEnd w:id="421"/>
      <w:bookmarkEnd w:id="422"/>
      <w:bookmarkEnd w:id="426"/>
    </w:p>
    <w:p w14:paraId="7CE2D194" w14:textId="77777777" w:rsidR="00620298" w:rsidRPr="00B46C10" w:rsidRDefault="00620298" w:rsidP="00620298">
      <w:pPr>
        <w:ind w:firstLine="567"/>
        <w:rPr>
          <w:b/>
        </w:rPr>
      </w:pPr>
      <w:bookmarkStart w:id="427" w:name="_Toc16755716"/>
      <w:bookmarkStart w:id="428" w:name="_Toc19799875"/>
      <w:r w:rsidRPr="00633EF7">
        <w:rPr>
          <w:b/>
        </w:rPr>
        <w:t xml:space="preserve">Шкала оценки общего состояния пациента </w:t>
      </w:r>
      <w:r w:rsidR="00C542AD">
        <w:rPr>
          <w:b/>
        </w:rPr>
        <w:t xml:space="preserve">по версии </w:t>
      </w:r>
      <w:r w:rsidRPr="00633EF7">
        <w:rPr>
          <w:b/>
          <w:lang w:val="en-US"/>
        </w:rPr>
        <w:t>ECOG</w:t>
      </w:r>
      <w:bookmarkEnd w:id="427"/>
      <w:bookmarkEnd w:id="428"/>
    </w:p>
    <w:p w14:paraId="248F190F" w14:textId="77777777" w:rsidR="00620298" w:rsidRPr="00A53D6B" w:rsidRDefault="00620298" w:rsidP="00620298">
      <w:pPr>
        <w:ind w:firstLine="567"/>
        <w:rPr>
          <w:lang w:val="en-US"/>
        </w:rPr>
      </w:pPr>
      <w:r>
        <w:t>Орининальное</w:t>
      </w:r>
      <w:r w:rsidRPr="00217C30">
        <w:rPr>
          <w:lang w:val="en-US"/>
        </w:rPr>
        <w:t xml:space="preserve"> </w:t>
      </w:r>
      <w:r>
        <w:t>название</w:t>
      </w:r>
      <w:r w:rsidRPr="00217C30">
        <w:rPr>
          <w:lang w:val="en-US"/>
        </w:rPr>
        <w:t xml:space="preserve">: </w:t>
      </w:r>
      <w:r>
        <w:rPr>
          <w:lang w:val="en-US"/>
        </w:rPr>
        <w:t>The ECOG Scale of Performance Status</w:t>
      </w:r>
      <w:r w:rsidR="00A53D6B" w:rsidRPr="00A53D6B">
        <w:rPr>
          <w:lang w:val="en-US"/>
        </w:rPr>
        <w:t>.</w:t>
      </w:r>
    </w:p>
    <w:p w14:paraId="20C1211A" w14:textId="77777777" w:rsidR="00620298" w:rsidRPr="007A3AF2" w:rsidRDefault="00620298" w:rsidP="00620298">
      <w:pPr>
        <w:ind w:firstLine="567"/>
      </w:pPr>
      <w:r>
        <w:t>Источник</w:t>
      </w:r>
      <w:r w:rsidRPr="00897B6C">
        <w:rPr>
          <w:lang w:val="en-US"/>
        </w:rPr>
        <w:t xml:space="preserve">: </w:t>
      </w:r>
      <w:r w:rsidRPr="00217C30">
        <w:rPr>
          <w:lang w:val="en-US"/>
        </w:rPr>
        <w:t>Oken M.M. et al. Toxicity and response criteria of the Easte</w:t>
      </w:r>
      <w:r w:rsidR="00A53D6B">
        <w:rPr>
          <w:lang w:val="en-US"/>
        </w:rPr>
        <w:t>rn Cooperative Oncology Group</w:t>
      </w:r>
      <w:r w:rsidR="00A53D6B" w:rsidRPr="00A53D6B">
        <w:rPr>
          <w:lang w:val="en-US"/>
        </w:rPr>
        <w:t>.</w:t>
      </w:r>
      <w:r w:rsidR="00A53D6B">
        <w:rPr>
          <w:lang w:val="en-US"/>
        </w:rPr>
        <w:t xml:space="preserve"> Am</w:t>
      </w:r>
      <w:r w:rsidR="00A53D6B" w:rsidRPr="007A3AF2">
        <w:t xml:space="preserve"> </w:t>
      </w:r>
      <w:r w:rsidR="00A53D6B">
        <w:rPr>
          <w:lang w:val="en-US"/>
        </w:rPr>
        <w:t>J</w:t>
      </w:r>
      <w:r w:rsidR="00A53D6B" w:rsidRPr="007A3AF2">
        <w:t xml:space="preserve"> </w:t>
      </w:r>
      <w:r w:rsidR="00A53D6B">
        <w:rPr>
          <w:lang w:val="en-US"/>
        </w:rPr>
        <w:t>Clin</w:t>
      </w:r>
      <w:r w:rsidRPr="007A3AF2">
        <w:t xml:space="preserve"> </w:t>
      </w:r>
      <w:r w:rsidRPr="00897B6C">
        <w:rPr>
          <w:lang w:val="en-US"/>
        </w:rPr>
        <w:t>Oncol</w:t>
      </w:r>
      <w:r w:rsidRPr="007A3AF2">
        <w:t xml:space="preserve"> </w:t>
      </w:r>
      <w:r w:rsidR="00A53D6B" w:rsidRPr="007A3AF2">
        <w:t>1982</w:t>
      </w:r>
      <w:r w:rsidR="00D5302B" w:rsidRPr="007A3AF2">
        <w:t>;5(</w:t>
      </w:r>
      <w:r w:rsidRPr="007A3AF2">
        <w:t>6</w:t>
      </w:r>
      <w:r w:rsidR="00D5302B" w:rsidRPr="007A3AF2">
        <w:t>):</w:t>
      </w:r>
      <w:r w:rsidRPr="007A3AF2">
        <w:t xml:space="preserve">649–65 </w:t>
      </w:r>
      <w:r w:rsidR="00A53D6B" w:rsidRPr="007A3AF2">
        <w:t>[16].</w:t>
      </w:r>
    </w:p>
    <w:p w14:paraId="2C1FB551" w14:textId="77777777" w:rsidR="00620298" w:rsidRDefault="00620298" w:rsidP="00620298">
      <w:pPr>
        <w:ind w:firstLine="567"/>
      </w:pPr>
      <w:r>
        <w:t>Тип: шкала оценки</w:t>
      </w:r>
      <w:r w:rsidR="00A53D6B">
        <w:t>.</w:t>
      </w:r>
    </w:p>
    <w:p w14:paraId="577BBA38" w14:textId="77777777" w:rsidR="00620298" w:rsidRDefault="00620298" w:rsidP="00620298">
      <w:pPr>
        <w:ind w:firstLine="567"/>
      </w:pPr>
      <w:r>
        <w:t xml:space="preserve">Назначение: клиническая оценка </w:t>
      </w:r>
      <w:r w:rsidR="00A53D6B">
        <w:t>общего состояния пациента.</w:t>
      </w:r>
    </w:p>
    <w:p w14:paraId="40A3CF5C" w14:textId="77777777" w:rsidR="00620298" w:rsidRDefault="00620298" w:rsidP="00620298">
      <w:pPr>
        <w:ind w:firstLine="567"/>
      </w:pPr>
      <w:r>
        <w:t xml:space="preserve">Содержание и интерпретация: </w:t>
      </w:r>
    </w:p>
    <w:p w14:paraId="6756CE2B" w14:textId="52F1BF56" w:rsidR="00620298" w:rsidRPr="005A5ED3" w:rsidRDefault="00C542AD" w:rsidP="00C542AD">
      <w:pPr>
        <w:ind w:firstLine="567"/>
        <w:rPr>
          <w:bCs/>
        </w:rPr>
      </w:pPr>
      <w:r w:rsidRPr="005A5ED3">
        <w:rPr>
          <w:bCs/>
        </w:rPr>
        <w:t xml:space="preserve">Таблица </w:t>
      </w:r>
      <w:r w:rsidR="005A5ED3" w:rsidRPr="005A5ED3">
        <w:rPr>
          <w:bCs/>
        </w:rPr>
        <w:t>1</w:t>
      </w:r>
      <w:r w:rsidRPr="005A5ED3">
        <w:rPr>
          <w:bCs/>
        </w:rPr>
        <w:t xml:space="preserve">. Шкала оценки общего состояния пациента по версии </w:t>
      </w:r>
      <w:r w:rsidRPr="005A5ED3">
        <w:rPr>
          <w:bCs/>
          <w:lang w:val="en-US"/>
        </w:rPr>
        <w:t>ECOG</w:t>
      </w:r>
    </w:p>
    <w:tbl>
      <w:tblPr>
        <w:tblStyle w:val="1f"/>
        <w:tblW w:w="0" w:type="auto"/>
        <w:tblLook w:val="0400" w:firstRow="0" w:lastRow="0" w:firstColumn="0" w:lastColumn="0" w:noHBand="0" w:noVBand="1"/>
      </w:tblPr>
      <w:tblGrid>
        <w:gridCol w:w="1919"/>
        <w:gridCol w:w="7429"/>
      </w:tblGrid>
      <w:tr w:rsidR="00620298" w:rsidRPr="009A5BD0" w14:paraId="0B4AED03" w14:textId="77777777" w:rsidTr="00A53D6B">
        <w:tc>
          <w:tcPr>
            <w:tcW w:w="1951" w:type="dxa"/>
          </w:tcPr>
          <w:p w14:paraId="083027FC" w14:textId="77777777" w:rsidR="00620298" w:rsidRPr="00C74576" w:rsidRDefault="00620298" w:rsidP="003C7F22">
            <w:pPr>
              <w:pStyle w:val="afff"/>
              <w:spacing w:beforeAutospacing="0" w:afterAutospacing="0" w:line="360" w:lineRule="auto"/>
              <w:rPr>
                <w:rStyle w:val="aff5"/>
                <w:rFonts w:eastAsia="Times New Roman"/>
                <w:b w:val="0"/>
                <w:szCs w:val="20"/>
                <w:lang w:eastAsia="ru-RU"/>
              </w:rPr>
            </w:pPr>
            <w:r>
              <w:rPr>
                <w:rStyle w:val="aff5"/>
                <w:b w:val="0"/>
              </w:rPr>
              <w:t>С</w:t>
            </w:r>
            <w:r>
              <w:rPr>
                <w:rStyle w:val="aff5"/>
              </w:rPr>
              <w:t>татус (баллы)</w:t>
            </w:r>
          </w:p>
        </w:tc>
        <w:tc>
          <w:tcPr>
            <w:tcW w:w="7620" w:type="dxa"/>
          </w:tcPr>
          <w:p w14:paraId="3A7A924A" w14:textId="77777777" w:rsidR="00620298" w:rsidRPr="00FC4A8E" w:rsidRDefault="00620298" w:rsidP="003C7F22">
            <w:pPr>
              <w:pStyle w:val="afff"/>
              <w:spacing w:beforeAutospacing="0" w:afterAutospacing="0" w:line="360" w:lineRule="auto"/>
              <w:rPr>
                <w:rStyle w:val="aff5"/>
                <w:rFonts w:eastAsia="Times New Roman"/>
                <w:b w:val="0"/>
                <w:szCs w:val="20"/>
                <w:lang w:eastAsia="ru-RU"/>
              </w:rPr>
            </w:pPr>
            <w:r w:rsidRPr="00A53D6B">
              <w:rPr>
                <w:rStyle w:val="aff5"/>
              </w:rPr>
              <w:t>О</w:t>
            </w:r>
            <w:r>
              <w:rPr>
                <w:rStyle w:val="aff5"/>
              </w:rPr>
              <w:t>писание общего состояния пациента</w:t>
            </w:r>
          </w:p>
        </w:tc>
      </w:tr>
      <w:tr w:rsidR="00620298" w:rsidRPr="009A5BD0" w14:paraId="1972541C" w14:textId="77777777" w:rsidTr="00A53D6B">
        <w:tc>
          <w:tcPr>
            <w:tcW w:w="1951" w:type="dxa"/>
          </w:tcPr>
          <w:p w14:paraId="5473548B" w14:textId="77777777" w:rsidR="00620298" w:rsidRPr="00C542AD" w:rsidRDefault="00620298" w:rsidP="003C7F22">
            <w:pPr>
              <w:pStyle w:val="afff"/>
              <w:spacing w:beforeAutospacing="0" w:afterAutospacing="0" w:line="360" w:lineRule="auto"/>
              <w:rPr>
                <w:rStyle w:val="aff5"/>
                <w:b w:val="0"/>
              </w:rPr>
            </w:pPr>
            <w:r w:rsidRPr="00C542AD">
              <w:rPr>
                <w:rStyle w:val="aff5"/>
                <w:b w:val="0"/>
              </w:rPr>
              <w:t>0</w:t>
            </w:r>
          </w:p>
        </w:tc>
        <w:tc>
          <w:tcPr>
            <w:tcW w:w="7620" w:type="dxa"/>
          </w:tcPr>
          <w:p w14:paraId="677F4B22" w14:textId="77777777" w:rsidR="00620298" w:rsidRPr="00D5302B" w:rsidRDefault="00620298" w:rsidP="003C7F22">
            <w:pPr>
              <w:pStyle w:val="afff"/>
              <w:spacing w:beforeAutospacing="0" w:afterAutospacing="0" w:line="360" w:lineRule="auto"/>
              <w:rPr>
                <w:rStyle w:val="aff5"/>
                <w:b w:val="0"/>
              </w:rPr>
            </w:pPr>
            <w:r w:rsidRPr="00D5302B">
              <w:rPr>
                <w:rStyle w:val="aff5"/>
                <w:b w:val="0"/>
              </w:rPr>
              <w:t>Пациент полностью активен, способен выполнять все, как и до заболевания</w:t>
            </w:r>
          </w:p>
        </w:tc>
      </w:tr>
      <w:tr w:rsidR="00620298" w:rsidRPr="009A5BD0" w14:paraId="6423780B" w14:textId="77777777" w:rsidTr="00A53D6B">
        <w:tc>
          <w:tcPr>
            <w:tcW w:w="1951" w:type="dxa"/>
          </w:tcPr>
          <w:p w14:paraId="52117A35" w14:textId="77777777" w:rsidR="00620298" w:rsidRPr="00D5302B" w:rsidRDefault="00620298" w:rsidP="003C7F22">
            <w:pPr>
              <w:pStyle w:val="afff"/>
              <w:spacing w:beforeAutospacing="0" w:afterAutospacing="0" w:line="360" w:lineRule="auto"/>
              <w:rPr>
                <w:rStyle w:val="aff5"/>
                <w:b w:val="0"/>
              </w:rPr>
            </w:pPr>
            <w:r w:rsidRPr="00D5302B">
              <w:rPr>
                <w:rStyle w:val="aff5"/>
                <w:b w:val="0"/>
              </w:rPr>
              <w:t>1</w:t>
            </w:r>
          </w:p>
        </w:tc>
        <w:tc>
          <w:tcPr>
            <w:tcW w:w="7620" w:type="dxa"/>
          </w:tcPr>
          <w:p w14:paraId="038A1A66" w14:textId="77777777" w:rsidR="00620298" w:rsidRPr="00D5302B" w:rsidRDefault="00620298" w:rsidP="003C7F22">
            <w:pPr>
              <w:pStyle w:val="afff"/>
              <w:spacing w:beforeAutospacing="0" w:afterAutospacing="0" w:line="360" w:lineRule="auto"/>
              <w:rPr>
                <w:rStyle w:val="aff5"/>
                <w:b w:val="0"/>
              </w:rPr>
            </w:pPr>
            <w:r w:rsidRPr="00D5302B">
              <w:rPr>
                <w:rStyle w:val="aff5"/>
                <w:b w:val="0"/>
              </w:rPr>
              <w:t>Пациент неспособен выполнять тяжелую, но может выполнять легкую или сидячую работу (например, легкую домашнюю или канцелярскую работу)</w:t>
            </w:r>
          </w:p>
        </w:tc>
      </w:tr>
      <w:tr w:rsidR="00620298" w:rsidRPr="009A5BD0" w14:paraId="162C6E03" w14:textId="77777777" w:rsidTr="00A53D6B">
        <w:tc>
          <w:tcPr>
            <w:tcW w:w="1951" w:type="dxa"/>
          </w:tcPr>
          <w:p w14:paraId="3FC138A7" w14:textId="77777777" w:rsidR="00620298" w:rsidRPr="00D5302B" w:rsidRDefault="00620298" w:rsidP="003C7F22">
            <w:pPr>
              <w:pStyle w:val="afff"/>
              <w:spacing w:beforeAutospacing="0" w:afterAutospacing="0" w:line="360" w:lineRule="auto"/>
              <w:rPr>
                <w:rStyle w:val="aff5"/>
                <w:b w:val="0"/>
              </w:rPr>
            </w:pPr>
            <w:r w:rsidRPr="00D5302B">
              <w:rPr>
                <w:rStyle w:val="aff5"/>
                <w:b w:val="0"/>
              </w:rPr>
              <w:t>2</w:t>
            </w:r>
          </w:p>
        </w:tc>
        <w:tc>
          <w:tcPr>
            <w:tcW w:w="7620" w:type="dxa"/>
          </w:tcPr>
          <w:p w14:paraId="72A745C4" w14:textId="77777777" w:rsidR="00620298" w:rsidRPr="00D5302B" w:rsidRDefault="00620298" w:rsidP="003C7F22">
            <w:pPr>
              <w:pStyle w:val="afff"/>
              <w:spacing w:beforeAutospacing="0" w:afterAutospacing="0" w:line="360" w:lineRule="auto"/>
              <w:rPr>
                <w:rStyle w:val="aff5"/>
                <w:b w:val="0"/>
              </w:rPr>
            </w:pPr>
            <w:r w:rsidRPr="00D5302B">
              <w:rPr>
                <w:rStyle w:val="aff5"/>
                <w:b w:val="0"/>
              </w:rPr>
              <w:t>Пациент лечится амбулаторно, способен к самообслуживанию, но не может выполнять работу. Более 50</w:t>
            </w:r>
            <w:r w:rsidR="00C542AD">
              <w:rPr>
                <w:rStyle w:val="aff5"/>
                <w:b w:val="0"/>
              </w:rPr>
              <w:t xml:space="preserve"> % времени проводит активно –</w:t>
            </w:r>
            <w:r w:rsidRPr="00D5302B">
              <w:rPr>
                <w:rStyle w:val="aff5"/>
                <w:b w:val="0"/>
              </w:rPr>
              <w:t xml:space="preserve"> в вертикальном положении</w:t>
            </w:r>
          </w:p>
        </w:tc>
      </w:tr>
      <w:tr w:rsidR="00620298" w:rsidRPr="009A5BD0" w14:paraId="0751110A" w14:textId="77777777" w:rsidTr="00A53D6B">
        <w:tc>
          <w:tcPr>
            <w:tcW w:w="1951" w:type="dxa"/>
          </w:tcPr>
          <w:p w14:paraId="41851BAB" w14:textId="77777777" w:rsidR="00620298" w:rsidRPr="00D5302B" w:rsidRDefault="00620298" w:rsidP="003C7F22">
            <w:pPr>
              <w:pStyle w:val="afff"/>
              <w:spacing w:beforeAutospacing="0" w:afterAutospacing="0" w:line="360" w:lineRule="auto"/>
              <w:rPr>
                <w:rStyle w:val="aff5"/>
                <w:b w:val="0"/>
              </w:rPr>
            </w:pPr>
            <w:r w:rsidRPr="00D5302B">
              <w:rPr>
                <w:rStyle w:val="aff5"/>
                <w:b w:val="0"/>
              </w:rPr>
              <w:t>3</w:t>
            </w:r>
          </w:p>
        </w:tc>
        <w:tc>
          <w:tcPr>
            <w:tcW w:w="7620" w:type="dxa"/>
          </w:tcPr>
          <w:p w14:paraId="2A8339E7" w14:textId="77777777" w:rsidR="00620298" w:rsidRPr="00D5302B" w:rsidRDefault="00620298" w:rsidP="003C7F22">
            <w:pPr>
              <w:pStyle w:val="afff"/>
              <w:spacing w:beforeAutospacing="0" w:afterAutospacing="0" w:line="360" w:lineRule="auto"/>
              <w:rPr>
                <w:rStyle w:val="aff5"/>
                <w:b w:val="0"/>
              </w:rPr>
            </w:pPr>
            <w:r w:rsidRPr="00D5302B">
              <w:rPr>
                <w:rStyle w:val="aff5"/>
                <w:b w:val="0"/>
              </w:rPr>
              <w:t>Пациент способен лишь к ограниченному самообслуживанию, проводит в кресле или постели более 50</w:t>
            </w:r>
            <w:r w:rsidR="00C542AD">
              <w:rPr>
                <w:rStyle w:val="aff5"/>
                <w:b w:val="0"/>
              </w:rPr>
              <w:t xml:space="preserve"> </w:t>
            </w:r>
            <w:r w:rsidRPr="00D5302B">
              <w:rPr>
                <w:rStyle w:val="aff5"/>
                <w:b w:val="0"/>
              </w:rPr>
              <w:t>% времени бодрствования</w:t>
            </w:r>
          </w:p>
        </w:tc>
      </w:tr>
      <w:tr w:rsidR="00620298" w:rsidRPr="009A5BD0" w14:paraId="1D54C05E" w14:textId="77777777" w:rsidTr="00A53D6B">
        <w:tc>
          <w:tcPr>
            <w:tcW w:w="1951" w:type="dxa"/>
          </w:tcPr>
          <w:p w14:paraId="4C075000" w14:textId="77777777" w:rsidR="00620298" w:rsidRPr="00D5302B" w:rsidRDefault="00620298" w:rsidP="003C7F22">
            <w:pPr>
              <w:pStyle w:val="afff"/>
              <w:spacing w:beforeAutospacing="0" w:afterAutospacing="0" w:line="360" w:lineRule="auto"/>
              <w:rPr>
                <w:rStyle w:val="aff5"/>
                <w:b w:val="0"/>
              </w:rPr>
            </w:pPr>
            <w:r w:rsidRPr="00D5302B">
              <w:rPr>
                <w:rStyle w:val="aff5"/>
                <w:b w:val="0"/>
              </w:rPr>
              <w:t>4</w:t>
            </w:r>
          </w:p>
        </w:tc>
        <w:tc>
          <w:tcPr>
            <w:tcW w:w="7620" w:type="dxa"/>
          </w:tcPr>
          <w:p w14:paraId="4F94DFA6" w14:textId="77777777" w:rsidR="00620298" w:rsidRPr="00D5302B" w:rsidRDefault="00620298" w:rsidP="003C7F22">
            <w:pPr>
              <w:pStyle w:val="afff"/>
              <w:spacing w:beforeAutospacing="0" w:afterAutospacing="0" w:line="360" w:lineRule="auto"/>
              <w:rPr>
                <w:rStyle w:val="aff5"/>
                <w:b w:val="0"/>
              </w:rPr>
            </w:pPr>
            <w:r w:rsidRPr="00D5302B">
              <w:rPr>
                <w:rStyle w:val="aff5"/>
                <w:b w:val="0"/>
              </w:rPr>
              <w:t>Инвалид, совершенно не способен к самообслуживанию, прикован к креслу или постели</w:t>
            </w:r>
          </w:p>
        </w:tc>
      </w:tr>
    </w:tbl>
    <w:p w14:paraId="5764A08D" w14:textId="1F4618E4" w:rsidR="00C542AD" w:rsidRDefault="00C542AD" w:rsidP="00875D2C">
      <w:pPr>
        <w:ind w:firstLine="720"/>
        <w:contextualSpacing/>
      </w:pPr>
    </w:p>
    <w:p w14:paraId="4A702939" w14:textId="77777777" w:rsidR="00323297" w:rsidRPr="00950F44" w:rsidRDefault="00B14B73" w:rsidP="004905C2">
      <w:pPr>
        <w:pStyle w:val="2"/>
      </w:pPr>
      <w:bookmarkStart w:id="429" w:name="_Toc13484843"/>
      <w:bookmarkStart w:id="430" w:name="_Toc26796736"/>
      <w:bookmarkStart w:id="431" w:name="_Toc64467951"/>
      <w:bookmarkStart w:id="432" w:name="_Toc64565684"/>
      <w:bookmarkEnd w:id="423"/>
      <w:bookmarkEnd w:id="424"/>
      <w:bookmarkEnd w:id="425"/>
      <w:r w:rsidRPr="00B14B73">
        <w:t>Приложение Г</w:t>
      </w:r>
      <w:bookmarkEnd w:id="429"/>
      <w:r w:rsidR="00990338" w:rsidRPr="00990338">
        <w:t>2</w:t>
      </w:r>
      <w:r w:rsidR="00950F44" w:rsidRPr="00950F44">
        <w:t xml:space="preserve">. </w:t>
      </w:r>
      <w:r w:rsidR="00950F44">
        <w:t xml:space="preserve">Иммунологическая классификация </w:t>
      </w:r>
      <w:r w:rsidR="00C542AD">
        <w:t>ОЛЛ</w:t>
      </w:r>
      <w:bookmarkEnd w:id="430"/>
      <w:bookmarkEnd w:id="431"/>
      <w:bookmarkEnd w:id="432"/>
    </w:p>
    <w:p w14:paraId="7C885C19" w14:textId="77777777" w:rsidR="005A6C83" w:rsidRPr="007916D1" w:rsidRDefault="005A6C83" w:rsidP="005A6C83">
      <w:pPr>
        <w:ind w:left="-284" w:firstLine="851"/>
        <w:rPr>
          <w:szCs w:val="24"/>
        </w:rPr>
      </w:pPr>
      <w:r w:rsidRPr="007916D1">
        <w:rPr>
          <w:szCs w:val="24"/>
        </w:rPr>
        <w:t>При иммунологической характеристике ОЛЛ используется классификация Европейской группы иммунологической характеристики острых лейкозов (</w:t>
      </w:r>
      <w:r w:rsidRPr="007916D1">
        <w:rPr>
          <w:szCs w:val="24"/>
          <w:lang w:val="en-US"/>
        </w:rPr>
        <w:t>EGIL</w:t>
      </w:r>
      <w:r w:rsidRPr="007916D1">
        <w:rPr>
          <w:szCs w:val="24"/>
        </w:rPr>
        <w:t xml:space="preserve">). </w:t>
      </w:r>
    </w:p>
    <w:p w14:paraId="164220CC" w14:textId="77777777" w:rsidR="005A6C83" w:rsidRPr="007916D1" w:rsidRDefault="005A6C83" w:rsidP="005A6C83">
      <w:pPr>
        <w:ind w:left="-284" w:firstLine="851"/>
        <w:rPr>
          <w:szCs w:val="24"/>
        </w:rPr>
      </w:pPr>
      <w:r w:rsidRPr="007916D1">
        <w:rPr>
          <w:szCs w:val="24"/>
        </w:rPr>
        <w:t>Для В-ОЛЛ в ней выделяют 4 иммунофенотипических варианта</w:t>
      </w:r>
      <w:r w:rsidRPr="007916D1">
        <w:rPr>
          <w:b/>
          <w:szCs w:val="24"/>
        </w:rPr>
        <w:t xml:space="preserve">, </w:t>
      </w:r>
      <w:r w:rsidRPr="007916D1">
        <w:rPr>
          <w:szCs w:val="24"/>
        </w:rPr>
        <w:t>условно соответствующие стадиям развития В-клеточных предшественников (Таблица 1).</w:t>
      </w:r>
    </w:p>
    <w:p w14:paraId="01F0F360" w14:textId="77777777" w:rsidR="005A6C83" w:rsidRPr="007916D1" w:rsidRDefault="005A6C83" w:rsidP="00461889">
      <w:pPr>
        <w:pStyle w:val="afff3"/>
        <w:widowControl/>
        <w:numPr>
          <w:ilvl w:val="0"/>
          <w:numId w:val="254"/>
        </w:numPr>
        <w:autoSpaceDE/>
        <w:autoSpaceDN/>
        <w:adjustRightInd/>
        <w:spacing w:line="276" w:lineRule="auto"/>
        <w:ind w:left="709"/>
        <w:rPr>
          <w:szCs w:val="24"/>
        </w:rPr>
      </w:pPr>
      <w:r w:rsidRPr="007916D1">
        <w:rPr>
          <w:szCs w:val="24"/>
          <w:lang w:val="en-US"/>
        </w:rPr>
        <w:t>BI</w:t>
      </w:r>
      <w:r w:rsidRPr="007916D1">
        <w:rPr>
          <w:szCs w:val="24"/>
        </w:rPr>
        <w:t xml:space="preserve"> (про-В-ОЛЛ) – бластные клетки экспрессируют </w:t>
      </w:r>
      <w:r w:rsidRPr="007916D1">
        <w:rPr>
          <w:szCs w:val="24"/>
          <w:lang w:val="en-US"/>
        </w:rPr>
        <w:t>CD</w:t>
      </w:r>
      <w:r w:rsidRPr="007916D1">
        <w:rPr>
          <w:szCs w:val="24"/>
        </w:rPr>
        <w:t xml:space="preserve">19, </w:t>
      </w:r>
      <w:r w:rsidRPr="007916D1">
        <w:rPr>
          <w:szCs w:val="24"/>
          <w:lang w:val="en-US"/>
        </w:rPr>
        <w:t>cyCD</w:t>
      </w:r>
      <w:r w:rsidRPr="007916D1">
        <w:rPr>
          <w:szCs w:val="24"/>
        </w:rPr>
        <w:t>79</w:t>
      </w:r>
      <w:r w:rsidRPr="007916D1">
        <w:rPr>
          <w:szCs w:val="24"/>
          <w:lang w:val="en-US"/>
        </w:rPr>
        <w:t>a</w:t>
      </w:r>
      <w:r w:rsidRPr="007916D1">
        <w:rPr>
          <w:szCs w:val="24"/>
        </w:rPr>
        <w:t xml:space="preserve">, </w:t>
      </w:r>
      <w:r w:rsidRPr="007916D1">
        <w:rPr>
          <w:szCs w:val="24"/>
          <w:lang w:val="en-US"/>
        </w:rPr>
        <w:t>cyCD</w:t>
      </w:r>
      <w:r w:rsidRPr="007916D1">
        <w:rPr>
          <w:szCs w:val="24"/>
        </w:rPr>
        <w:t xml:space="preserve">22, ядерную </w:t>
      </w:r>
      <w:r w:rsidRPr="007916D1">
        <w:rPr>
          <w:szCs w:val="24"/>
          <w:lang w:val="en-US"/>
        </w:rPr>
        <w:t>TdT</w:t>
      </w:r>
      <w:r w:rsidRPr="007916D1">
        <w:rPr>
          <w:szCs w:val="24"/>
        </w:rPr>
        <w:t xml:space="preserve">, отсутствует </w:t>
      </w:r>
      <w:r w:rsidRPr="007916D1">
        <w:rPr>
          <w:szCs w:val="24"/>
          <w:lang w:val="en-US"/>
        </w:rPr>
        <w:t>CD</w:t>
      </w:r>
      <w:r w:rsidRPr="007916D1">
        <w:rPr>
          <w:szCs w:val="24"/>
        </w:rPr>
        <w:t xml:space="preserve">10, тяжелые и легкие цепи иммуноглобулина. </w:t>
      </w:r>
    </w:p>
    <w:p w14:paraId="13B5655F" w14:textId="77777777" w:rsidR="005A6C83" w:rsidRPr="007916D1" w:rsidRDefault="005A6C83" w:rsidP="00461889">
      <w:pPr>
        <w:pStyle w:val="afff3"/>
        <w:widowControl/>
        <w:numPr>
          <w:ilvl w:val="0"/>
          <w:numId w:val="254"/>
        </w:numPr>
        <w:autoSpaceDE/>
        <w:autoSpaceDN/>
        <w:adjustRightInd/>
        <w:spacing w:line="276" w:lineRule="auto"/>
        <w:ind w:left="709"/>
        <w:rPr>
          <w:szCs w:val="24"/>
        </w:rPr>
      </w:pPr>
      <w:r w:rsidRPr="007916D1">
        <w:rPr>
          <w:szCs w:val="24"/>
          <w:lang w:val="en-US"/>
        </w:rPr>
        <w:lastRenderedPageBreak/>
        <w:t>BII</w:t>
      </w:r>
      <w:r w:rsidRPr="007916D1">
        <w:rPr>
          <w:szCs w:val="24"/>
        </w:rPr>
        <w:t xml:space="preserve"> (“</w:t>
      </w:r>
      <w:r w:rsidRPr="007916D1">
        <w:rPr>
          <w:szCs w:val="24"/>
          <w:lang w:val="en-US"/>
        </w:rPr>
        <w:t>common</w:t>
      </w:r>
      <w:r w:rsidRPr="007916D1">
        <w:rPr>
          <w:szCs w:val="24"/>
        </w:rPr>
        <w:t xml:space="preserve">” </w:t>
      </w:r>
      <w:r w:rsidRPr="007916D1">
        <w:rPr>
          <w:szCs w:val="24"/>
          <w:lang w:val="en-US"/>
        </w:rPr>
        <w:t>B</w:t>
      </w:r>
      <w:r w:rsidRPr="007916D1">
        <w:rPr>
          <w:szCs w:val="24"/>
        </w:rPr>
        <w:t xml:space="preserve">-ОЛЛ) - </w:t>
      </w:r>
      <w:r w:rsidRPr="007916D1">
        <w:rPr>
          <w:szCs w:val="24"/>
          <w:u w:val="single"/>
          <w:lang w:val="en-US"/>
        </w:rPr>
        <w:t>CD</w:t>
      </w:r>
      <w:r w:rsidRPr="007916D1">
        <w:rPr>
          <w:szCs w:val="24"/>
          <w:u w:val="single"/>
        </w:rPr>
        <w:t>10 позитивен</w:t>
      </w:r>
      <w:r w:rsidRPr="007916D1">
        <w:rPr>
          <w:szCs w:val="24"/>
        </w:rPr>
        <w:t xml:space="preserve">, тяжелые и легкие цепи иммуноглобулина отрицательны. </w:t>
      </w:r>
    </w:p>
    <w:p w14:paraId="30FEA988" w14:textId="388DE259" w:rsidR="005A6C83" w:rsidRPr="007916D1" w:rsidRDefault="005A6C83" w:rsidP="00461889">
      <w:pPr>
        <w:pStyle w:val="afff3"/>
        <w:widowControl/>
        <w:numPr>
          <w:ilvl w:val="0"/>
          <w:numId w:val="254"/>
        </w:numPr>
        <w:autoSpaceDE/>
        <w:autoSpaceDN/>
        <w:adjustRightInd/>
        <w:spacing w:line="276" w:lineRule="auto"/>
        <w:ind w:left="709"/>
        <w:rPr>
          <w:szCs w:val="24"/>
        </w:rPr>
      </w:pPr>
      <w:r w:rsidRPr="007916D1">
        <w:rPr>
          <w:szCs w:val="24"/>
          <w:lang w:val="en-US"/>
        </w:rPr>
        <w:t>BIII</w:t>
      </w:r>
      <w:r w:rsidRPr="007916D1">
        <w:rPr>
          <w:szCs w:val="24"/>
        </w:rPr>
        <w:t xml:space="preserve"> (пре-В-ОЛЛ) – выявляется </w:t>
      </w:r>
      <w:r w:rsidRPr="007916D1">
        <w:rPr>
          <w:szCs w:val="24"/>
          <w:u w:val="single"/>
        </w:rPr>
        <w:t>цитоплазматическая тяжелая цепь</w:t>
      </w:r>
      <w:r w:rsidRPr="007916D1">
        <w:rPr>
          <w:szCs w:val="24"/>
        </w:rPr>
        <w:t xml:space="preserve"> иммуноглобулина (</w:t>
      </w:r>
      <w:r w:rsidRPr="007916D1">
        <w:rPr>
          <w:szCs w:val="24"/>
          <w:lang w:val="en-US"/>
        </w:rPr>
        <w:t>IgM</w:t>
      </w:r>
      <w:r w:rsidRPr="007916D1">
        <w:rPr>
          <w:szCs w:val="24"/>
        </w:rPr>
        <w:t>).</w:t>
      </w:r>
    </w:p>
    <w:p w14:paraId="34BAA3D8" w14:textId="77777777" w:rsidR="005A6C83" w:rsidRPr="007916D1" w:rsidRDefault="005A6C83" w:rsidP="00461889">
      <w:pPr>
        <w:pStyle w:val="afff3"/>
        <w:widowControl/>
        <w:numPr>
          <w:ilvl w:val="0"/>
          <w:numId w:val="254"/>
        </w:numPr>
        <w:autoSpaceDE/>
        <w:autoSpaceDN/>
        <w:adjustRightInd/>
        <w:spacing w:line="276" w:lineRule="auto"/>
        <w:ind w:left="709"/>
        <w:rPr>
          <w:szCs w:val="24"/>
        </w:rPr>
      </w:pPr>
      <w:r w:rsidRPr="007916D1">
        <w:rPr>
          <w:szCs w:val="24"/>
          <w:lang w:val="en-US"/>
        </w:rPr>
        <w:t>BIV</w:t>
      </w:r>
      <w:r w:rsidRPr="007916D1">
        <w:rPr>
          <w:szCs w:val="24"/>
        </w:rPr>
        <w:t xml:space="preserve"> (зрелый В-ОЛЛ; переходный пре-В-ОЛЛ) – опухолевые клетки позитивны по мембранным тяжёлым и/или лёгким цепям </w:t>
      </w:r>
      <w:r w:rsidRPr="007916D1">
        <w:rPr>
          <w:szCs w:val="24"/>
          <w:lang w:val="en-US"/>
        </w:rPr>
        <w:t>IgM</w:t>
      </w:r>
      <w:r w:rsidRPr="007916D1">
        <w:rPr>
          <w:szCs w:val="24"/>
        </w:rPr>
        <w:t xml:space="preserve">. </w:t>
      </w:r>
    </w:p>
    <w:p w14:paraId="772C5C59" w14:textId="77777777" w:rsidR="005A6C83" w:rsidRPr="007916D1" w:rsidRDefault="005A6C83" w:rsidP="005A6C83">
      <w:pPr>
        <w:ind w:left="349"/>
        <w:rPr>
          <w:szCs w:val="24"/>
        </w:rPr>
      </w:pPr>
      <w:r w:rsidRPr="007916D1">
        <w:rPr>
          <w:szCs w:val="24"/>
        </w:rPr>
        <w:t>В случае выявления данного варианта В-ОЛЛ часто необходимы дополнительные методы исследования (гистологические, иммуногистохимические, цитогенетические, молекулярно-генетические) для дифференциальной диагностики зрелого варианта В-лимфобластного лейкоза и зрелой В-клеточной лимфомы (фолликулярной лимфомы, лимфомы Беркитта, ДБККЛ, В-клеточной лимфомы высокой степени злокачественности).</w:t>
      </w:r>
    </w:p>
    <w:p w14:paraId="7BDFBC16" w14:textId="77777777" w:rsidR="005A6C83" w:rsidRPr="007916D1" w:rsidRDefault="005A6C83" w:rsidP="005A6C83">
      <w:pPr>
        <w:ind w:left="349"/>
        <w:rPr>
          <w:szCs w:val="24"/>
        </w:rPr>
      </w:pPr>
    </w:p>
    <w:p w14:paraId="513F9EA3" w14:textId="77777777" w:rsidR="005A6C83" w:rsidRPr="007916D1" w:rsidRDefault="005A6C83" w:rsidP="005A6C83">
      <w:pPr>
        <w:spacing w:line="240" w:lineRule="auto"/>
        <w:ind w:left="708" w:firstLine="708"/>
        <w:rPr>
          <w:szCs w:val="24"/>
        </w:rPr>
      </w:pPr>
      <w:r w:rsidRPr="007916D1">
        <w:rPr>
          <w:szCs w:val="24"/>
        </w:rPr>
        <w:t xml:space="preserve">Таблица 1. </w:t>
      </w:r>
      <w:r w:rsidRPr="007916D1">
        <w:rPr>
          <w:szCs w:val="24"/>
          <w:lang w:val="en-US"/>
        </w:rPr>
        <w:t>EGIL</w:t>
      </w:r>
      <w:r w:rsidRPr="007916D1">
        <w:rPr>
          <w:szCs w:val="24"/>
        </w:rPr>
        <w:t xml:space="preserve"> классификация В-ОЛЛ.</w:t>
      </w:r>
    </w:p>
    <w:tbl>
      <w:tblPr>
        <w:tblW w:w="950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600" w:firstRow="0" w:lastRow="0" w:firstColumn="0" w:lastColumn="0" w:noHBand="1" w:noVBand="1"/>
      </w:tblPr>
      <w:tblGrid>
        <w:gridCol w:w="1843"/>
        <w:gridCol w:w="1701"/>
        <w:gridCol w:w="2127"/>
        <w:gridCol w:w="1991"/>
        <w:gridCol w:w="1843"/>
      </w:tblGrid>
      <w:tr w:rsidR="005A6C83" w:rsidRPr="007916D1" w14:paraId="5210150F" w14:textId="77777777" w:rsidTr="005A6C83">
        <w:trPr>
          <w:trHeight w:val="286"/>
        </w:trPr>
        <w:tc>
          <w:tcPr>
            <w:tcW w:w="1843" w:type="dxa"/>
            <w:shd w:val="clear" w:color="auto" w:fill="auto"/>
            <w:tcMar>
              <w:top w:w="72" w:type="dxa"/>
              <w:left w:w="144" w:type="dxa"/>
              <w:bottom w:w="72" w:type="dxa"/>
              <w:right w:w="144" w:type="dxa"/>
            </w:tcMar>
            <w:vAlign w:val="center"/>
            <w:hideMark/>
          </w:tcPr>
          <w:p w14:paraId="10B5BCCB" w14:textId="77777777" w:rsidR="005A6C83" w:rsidRPr="007916D1" w:rsidRDefault="005A6C83" w:rsidP="005A6C83">
            <w:pPr>
              <w:spacing w:line="240" w:lineRule="auto"/>
              <w:jc w:val="center"/>
              <w:rPr>
                <w:szCs w:val="24"/>
              </w:rPr>
            </w:pPr>
            <w:r w:rsidRPr="007916D1">
              <w:rPr>
                <w:bCs/>
                <w:szCs w:val="24"/>
              </w:rPr>
              <w:t>Маркер</w:t>
            </w:r>
          </w:p>
        </w:tc>
        <w:tc>
          <w:tcPr>
            <w:tcW w:w="1701" w:type="dxa"/>
            <w:shd w:val="clear" w:color="auto" w:fill="auto"/>
            <w:tcMar>
              <w:top w:w="72" w:type="dxa"/>
              <w:left w:w="144" w:type="dxa"/>
              <w:bottom w:w="72" w:type="dxa"/>
              <w:right w:w="144" w:type="dxa"/>
            </w:tcMar>
            <w:vAlign w:val="center"/>
            <w:hideMark/>
          </w:tcPr>
          <w:p w14:paraId="2718689A" w14:textId="77777777" w:rsidR="005A6C83" w:rsidRPr="007916D1" w:rsidRDefault="005A6C83" w:rsidP="005A6C83">
            <w:pPr>
              <w:spacing w:line="240" w:lineRule="auto"/>
              <w:jc w:val="center"/>
              <w:rPr>
                <w:szCs w:val="24"/>
              </w:rPr>
            </w:pPr>
            <w:r w:rsidRPr="007916D1">
              <w:rPr>
                <w:bCs/>
                <w:szCs w:val="24"/>
                <w:lang w:val="en-US"/>
              </w:rPr>
              <w:t>Pro-B (BI)</w:t>
            </w:r>
          </w:p>
        </w:tc>
        <w:tc>
          <w:tcPr>
            <w:tcW w:w="2127" w:type="dxa"/>
            <w:shd w:val="clear" w:color="auto" w:fill="auto"/>
            <w:tcMar>
              <w:top w:w="72" w:type="dxa"/>
              <w:left w:w="144" w:type="dxa"/>
              <w:bottom w:w="72" w:type="dxa"/>
              <w:right w:w="144" w:type="dxa"/>
            </w:tcMar>
            <w:vAlign w:val="center"/>
            <w:hideMark/>
          </w:tcPr>
          <w:p w14:paraId="6E719FE7" w14:textId="77777777" w:rsidR="005A6C83" w:rsidRPr="007916D1" w:rsidRDefault="005A6C83" w:rsidP="005A6C83">
            <w:pPr>
              <w:spacing w:line="240" w:lineRule="auto"/>
              <w:jc w:val="center"/>
              <w:rPr>
                <w:szCs w:val="24"/>
              </w:rPr>
            </w:pPr>
            <w:r w:rsidRPr="007916D1">
              <w:rPr>
                <w:bCs/>
                <w:szCs w:val="24"/>
                <w:lang w:val="en-US"/>
              </w:rPr>
              <w:t>Common B (BII)</w:t>
            </w:r>
          </w:p>
        </w:tc>
        <w:tc>
          <w:tcPr>
            <w:tcW w:w="1991" w:type="dxa"/>
            <w:shd w:val="clear" w:color="auto" w:fill="auto"/>
            <w:tcMar>
              <w:top w:w="72" w:type="dxa"/>
              <w:left w:w="144" w:type="dxa"/>
              <w:bottom w:w="72" w:type="dxa"/>
              <w:right w:w="144" w:type="dxa"/>
            </w:tcMar>
            <w:vAlign w:val="center"/>
            <w:hideMark/>
          </w:tcPr>
          <w:p w14:paraId="18105775" w14:textId="77777777" w:rsidR="005A6C83" w:rsidRPr="007916D1" w:rsidRDefault="005A6C83" w:rsidP="005A6C83">
            <w:pPr>
              <w:spacing w:line="240" w:lineRule="auto"/>
              <w:jc w:val="center"/>
              <w:rPr>
                <w:szCs w:val="24"/>
              </w:rPr>
            </w:pPr>
            <w:r w:rsidRPr="007916D1">
              <w:rPr>
                <w:bCs/>
                <w:szCs w:val="24"/>
                <w:lang w:val="en-US"/>
              </w:rPr>
              <w:t>Pre-B (BIII)</w:t>
            </w:r>
          </w:p>
        </w:tc>
        <w:tc>
          <w:tcPr>
            <w:tcW w:w="1843" w:type="dxa"/>
            <w:shd w:val="clear" w:color="auto" w:fill="auto"/>
            <w:tcMar>
              <w:top w:w="72" w:type="dxa"/>
              <w:left w:w="144" w:type="dxa"/>
              <w:bottom w:w="72" w:type="dxa"/>
              <w:right w:w="144" w:type="dxa"/>
            </w:tcMar>
            <w:vAlign w:val="center"/>
            <w:hideMark/>
          </w:tcPr>
          <w:p w14:paraId="45F7E4C4" w14:textId="77777777" w:rsidR="005A6C83" w:rsidRPr="007916D1" w:rsidRDefault="005A6C83" w:rsidP="005A6C83">
            <w:pPr>
              <w:spacing w:line="240" w:lineRule="auto"/>
              <w:jc w:val="center"/>
              <w:rPr>
                <w:szCs w:val="24"/>
              </w:rPr>
            </w:pPr>
            <w:r w:rsidRPr="007916D1">
              <w:rPr>
                <w:bCs/>
                <w:szCs w:val="24"/>
                <w:lang w:val="en-US"/>
              </w:rPr>
              <w:t>B</w:t>
            </w:r>
            <w:r w:rsidRPr="007916D1">
              <w:rPr>
                <w:bCs/>
                <w:szCs w:val="24"/>
              </w:rPr>
              <w:t>-</w:t>
            </w:r>
            <w:r w:rsidRPr="007916D1">
              <w:rPr>
                <w:bCs/>
                <w:szCs w:val="24"/>
                <w:lang w:val="en-US"/>
              </w:rPr>
              <w:t>ALL (BIV)</w:t>
            </w:r>
          </w:p>
        </w:tc>
      </w:tr>
      <w:tr w:rsidR="005A6C83" w:rsidRPr="007916D1" w14:paraId="36608ED9" w14:textId="77777777" w:rsidTr="005A6C83">
        <w:trPr>
          <w:trHeight w:val="123"/>
        </w:trPr>
        <w:tc>
          <w:tcPr>
            <w:tcW w:w="1843" w:type="dxa"/>
            <w:shd w:val="clear" w:color="auto" w:fill="auto"/>
            <w:tcMar>
              <w:top w:w="72" w:type="dxa"/>
              <w:left w:w="144" w:type="dxa"/>
              <w:bottom w:w="72" w:type="dxa"/>
              <w:right w:w="144" w:type="dxa"/>
            </w:tcMar>
            <w:vAlign w:val="center"/>
            <w:hideMark/>
          </w:tcPr>
          <w:p w14:paraId="4E04C2D4" w14:textId="77777777" w:rsidR="005A6C83" w:rsidRPr="007916D1" w:rsidRDefault="005A6C83" w:rsidP="005A6C83">
            <w:pPr>
              <w:spacing w:line="240" w:lineRule="auto"/>
              <w:rPr>
                <w:b/>
                <w:szCs w:val="24"/>
              </w:rPr>
            </w:pPr>
            <w:r w:rsidRPr="007916D1">
              <w:rPr>
                <w:b/>
                <w:bCs/>
                <w:szCs w:val="24"/>
                <w:lang w:val="en-US"/>
              </w:rPr>
              <w:t>CD19</w:t>
            </w:r>
          </w:p>
        </w:tc>
        <w:tc>
          <w:tcPr>
            <w:tcW w:w="1701" w:type="dxa"/>
            <w:shd w:val="clear" w:color="auto" w:fill="auto"/>
            <w:tcMar>
              <w:top w:w="72" w:type="dxa"/>
              <w:left w:w="144" w:type="dxa"/>
              <w:bottom w:w="72" w:type="dxa"/>
              <w:right w:w="144" w:type="dxa"/>
            </w:tcMar>
            <w:vAlign w:val="center"/>
            <w:hideMark/>
          </w:tcPr>
          <w:p w14:paraId="27B32BD0" w14:textId="77777777" w:rsidR="005A6C83" w:rsidRPr="007916D1" w:rsidRDefault="005A6C83" w:rsidP="005A6C83">
            <w:pPr>
              <w:spacing w:line="240" w:lineRule="auto"/>
              <w:jc w:val="center"/>
              <w:rPr>
                <w:b/>
                <w:szCs w:val="24"/>
              </w:rPr>
            </w:pPr>
            <w:r w:rsidRPr="007916D1">
              <w:rPr>
                <w:b/>
                <w:bCs/>
                <w:szCs w:val="24"/>
                <w:lang w:val="en-US"/>
              </w:rPr>
              <w:t>+</w:t>
            </w:r>
          </w:p>
        </w:tc>
        <w:tc>
          <w:tcPr>
            <w:tcW w:w="2127" w:type="dxa"/>
            <w:shd w:val="clear" w:color="auto" w:fill="auto"/>
            <w:tcMar>
              <w:top w:w="72" w:type="dxa"/>
              <w:left w:w="144" w:type="dxa"/>
              <w:bottom w:w="72" w:type="dxa"/>
              <w:right w:w="144" w:type="dxa"/>
            </w:tcMar>
            <w:vAlign w:val="center"/>
            <w:hideMark/>
          </w:tcPr>
          <w:p w14:paraId="1FA49A83" w14:textId="77777777" w:rsidR="005A6C83" w:rsidRPr="007916D1" w:rsidRDefault="005A6C83" w:rsidP="005A6C83">
            <w:pPr>
              <w:spacing w:line="240" w:lineRule="auto"/>
              <w:jc w:val="center"/>
              <w:rPr>
                <w:b/>
                <w:szCs w:val="24"/>
              </w:rPr>
            </w:pPr>
            <w:r w:rsidRPr="007916D1">
              <w:rPr>
                <w:b/>
                <w:bCs/>
                <w:szCs w:val="24"/>
                <w:lang w:val="en-US"/>
              </w:rPr>
              <w:t>+</w:t>
            </w:r>
          </w:p>
        </w:tc>
        <w:tc>
          <w:tcPr>
            <w:tcW w:w="1991" w:type="dxa"/>
            <w:shd w:val="clear" w:color="auto" w:fill="auto"/>
            <w:tcMar>
              <w:top w:w="72" w:type="dxa"/>
              <w:left w:w="144" w:type="dxa"/>
              <w:bottom w:w="72" w:type="dxa"/>
              <w:right w:w="144" w:type="dxa"/>
            </w:tcMar>
            <w:vAlign w:val="center"/>
            <w:hideMark/>
          </w:tcPr>
          <w:p w14:paraId="08C8662A" w14:textId="77777777" w:rsidR="005A6C83" w:rsidRPr="007916D1" w:rsidRDefault="005A6C83" w:rsidP="005A6C83">
            <w:pPr>
              <w:spacing w:line="240" w:lineRule="auto"/>
              <w:jc w:val="center"/>
              <w:rPr>
                <w:b/>
                <w:szCs w:val="24"/>
              </w:rPr>
            </w:pPr>
            <w:r w:rsidRPr="007916D1">
              <w:rPr>
                <w:b/>
                <w:bCs/>
                <w:szCs w:val="24"/>
                <w:lang w:val="en-US"/>
              </w:rPr>
              <w:t>+</w:t>
            </w:r>
          </w:p>
        </w:tc>
        <w:tc>
          <w:tcPr>
            <w:tcW w:w="1843" w:type="dxa"/>
            <w:shd w:val="clear" w:color="auto" w:fill="auto"/>
            <w:tcMar>
              <w:top w:w="72" w:type="dxa"/>
              <w:left w:w="144" w:type="dxa"/>
              <w:bottom w:w="72" w:type="dxa"/>
              <w:right w:w="144" w:type="dxa"/>
            </w:tcMar>
            <w:vAlign w:val="center"/>
            <w:hideMark/>
          </w:tcPr>
          <w:p w14:paraId="0B04132E" w14:textId="77777777" w:rsidR="005A6C83" w:rsidRPr="007916D1" w:rsidRDefault="005A6C83" w:rsidP="005A6C83">
            <w:pPr>
              <w:spacing w:line="240" w:lineRule="auto"/>
              <w:jc w:val="center"/>
              <w:rPr>
                <w:b/>
                <w:szCs w:val="24"/>
              </w:rPr>
            </w:pPr>
            <w:r w:rsidRPr="007916D1">
              <w:rPr>
                <w:b/>
                <w:bCs/>
                <w:szCs w:val="24"/>
                <w:lang w:val="en-US"/>
              </w:rPr>
              <w:t>+</w:t>
            </w:r>
          </w:p>
        </w:tc>
      </w:tr>
      <w:tr w:rsidR="005A6C83" w:rsidRPr="007916D1" w14:paraId="32775437" w14:textId="77777777" w:rsidTr="005A6C83">
        <w:trPr>
          <w:trHeight w:val="123"/>
        </w:trPr>
        <w:tc>
          <w:tcPr>
            <w:tcW w:w="1843" w:type="dxa"/>
            <w:shd w:val="clear" w:color="auto" w:fill="auto"/>
            <w:tcMar>
              <w:top w:w="72" w:type="dxa"/>
              <w:left w:w="144" w:type="dxa"/>
              <w:bottom w:w="72" w:type="dxa"/>
              <w:right w:w="144" w:type="dxa"/>
            </w:tcMar>
            <w:vAlign w:val="center"/>
            <w:hideMark/>
          </w:tcPr>
          <w:p w14:paraId="3154EB15" w14:textId="77777777" w:rsidR="005A6C83" w:rsidRPr="007916D1" w:rsidRDefault="005A6C83" w:rsidP="005A6C83">
            <w:pPr>
              <w:spacing w:line="240" w:lineRule="auto"/>
              <w:rPr>
                <w:b/>
                <w:szCs w:val="24"/>
              </w:rPr>
            </w:pPr>
            <w:r w:rsidRPr="007916D1">
              <w:rPr>
                <w:b/>
                <w:bCs/>
                <w:szCs w:val="24"/>
                <w:lang w:val="en-US"/>
              </w:rPr>
              <w:t>cyCD22</w:t>
            </w:r>
          </w:p>
        </w:tc>
        <w:tc>
          <w:tcPr>
            <w:tcW w:w="1701" w:type="dxa"/>
            <w:shd w:val="clear" w:color="auto" w:fill="auto"/>
            <w:tcMar>
              <w:top w:w="72" w:type="dxa"/>
              <w:left w:w="144" w:type="dxa"/>
              <w:bottom w:w="72" w:type="dxa"/>
              <w:right w:w="144" w:type="dxa"/>
            </w:tcMar>
            <w:vAlign w:val="center"/>
            <w:hideMark/>
          </w:tcPr>
          <w:p w14:paraId="21CB4CB6" w14:textId="77777777" w:rsidR="005A6C83" w:rsidRPr="007916D1" w:rsidRDefault="005A6C83" w:rsidP="005A6C83">
            <w:pPr>
              <w:spacing w:line="240" w:lineRule="auto"/>
              <w:jc w:val="center"/>
              <w:rPr>
                <w:b/>
                <w:szCs w:val="24"/>
              </w:rPr>
            </w:pPr>
            <w:r w:rsidRPr="007916D1">
              <w:rPr>
                <w:b/>
                <w:bCs/>
                <w:szCs w:val="24"/>
                <w:lang w:val="en-US"/>
              </w:rPr>
              <w:t>+</w:t>
            </w:r>
          </w:p>
        </w:tc>
        <w:tc>
          <w:tcPr>
            <w:tcW w:w="2127" w:type="dxa"/>
            <w:shd w:val="clear" w:color="auto" w:fill="auto"/>
            <w:tcMar>
              <w:top w:w="72" w:type="dxa"/>
              <w:left w:w="144" w:type="dxa"/>
              <w:bottom w:w="72" w:type="dxa"/>
              <w:right w:w="144" w:type="dxa"/>
            </w:tcMar>
            <w:vAlign w:val="center"/>
            <w:hideMark/>
          </w:tcPr>
          <w:p w14:paraId="0F4AB1EB" w14:textId="77777777" w:rsidR="005A6C83" w:rsidRPr="007916D1" w:rsidRDefault="005A6C83" w:rsidP="005A6C83">
            <w:pPr>
              <w:spacing w:line="240" w:lineRule="auto"/>
              <w:jc w:val="center"/>
              <w:rPr>
                <w:b/>
                <w:szCs w:val="24"/>
              </w:rPr>
            </w:pPr>
            <w:r w:rsidRPr="007916D1">
              <w:rPr>
                <w:b/>
                <w:bCs/>
                <w:szCs w:val="24"/>
                <w:lang w:val="en-US"/>
              </w:rPr>
              <w:t>+</w:t>
            </w:r>
          </w:p>
        </w:tc>
        <w:tc>
          <w:tcPr>
            <w:tcW w:w="1991" w:type="dxa"/>
            <w:shd w:val="clear" w:color="auto" w:fill="auto"/>
            <w:tcMar>
              <w:top w:w="72" w:type="dxa"/>
              <w:left w:w="144" w:type="dxa"/>
              <w:bottom w:w="72" w:type="dxa"/>
              <w:right w:w="144" w:type="dxa"/>
            </w:tcMar>
            <w:vAlign w:val="center"/>
            <w:hideMark/>
          </w:tcPr>
          <w:p w14:paraId="3F984901" w14:textId="77777777" w:rsidR="005A6C83" w:rsidRPr="007916D1" w:rsidRDefault="005A6C83" w:rsidP="005A6C83">
            <w:pPr>
              <w:spacing w:line="240" w:lineRule="auto"/>
              <w:jc w:val="center"/>
              <w:rPr>
                <w:b/>
                <w:szCs w:val="24"/>
              </w:rPr>
            </w:pPr>
            <w:r w:rsidRPr="007916D1">
              <w:rPr>
                <w:b/>
                <w:bCs/>
                <w:szCs w:val="24"/>
                <w:lang w:val="en-US"/>
              </w:rPr>
              <w:t>+</w:t>
            </w:r>
          </w:p>
        </w:tc>
        <w:tc>
          <w:tcPr>
            <w:tcW w:w="1843" w:type="dxa"/>
            <w:shd w:val="clear" w:color="auto" w:fill="auto"/>
            <w:tcMar>
              <w:top w:w="72" w:type="dxa"/>
              <w:left w:w="144" w:type="dxa"/>
              <w:bottom w:w="72" w:type="dxa"/>
              <w:right w:w="144" w:type="dxa"/>
            </w:tcMar>
            <w:vAlign w:val="center"/>
            <w:hideMark/>
          </w:tcPr>
          <w:p w14:paraId="503593E3" w14:textId="77777777" w:rsidR="005A6C83" w:rsidRPr="007916D1" w:rsidRDefault="005A6C83" w:rsidP="005A6C83">
            <w:pPr>
              <w:spacing w:line="240" w:lineRule="auto"/>
              <w:jc w:val="center"/>
              <w:rPr>
                <w:b/>
                <w:szCs w:val="24"/>
              </w:rPr>
            </w:pPr>
            <w:r w:rsidRPr="007916D1">
              <w:rPr>
                <w:b/>
                <w:bCs/>
                <w:szCs w:val="24"/>
                <w:lang w:val="en-US"/>
              </w:rPr>
              <w:t>+</w:t>
            </w:r>
          </w:p>
        </w:tc>
      </w:tr>
      <w:tr w:rsidR="005A6C83" w:rsidRPr="007916D1" w14:paraId="46B5F57E" w14:textId="77777777" w:rsidTr="005A6C83">
        <w:trPr>
          <w:trHeight w:val="123"/>
        </w:trPr>
        <w:tc>
          <w:tcPr>
            <w:tcW w:w="1843" w:type="dxa"/>
            <w:shd w:val="clear" w:color="auto" w:fill="auto"/>
            <w:tcMar>
              <w:top w:w="72" w:type="dxa"/>
              <w:left w:w="144" w:type="dxa"/>
              <w:bottom w:w="72" w:type="dxa"/>
              <w:right w:w="144" w:type="dxa"/>
            </w:tcMar>
            <w:vAlign w:val="center"/>
            <w:hideMark/>
          </w:tcPr>
          <w:p w14:paraId="26E69946" w14:textId="77777777" w:rsidR="005A6C83" w:rsidRPr="007916D1" w:rsidRDefault="005A6C83" w:rsidP="005A6C83">
            <w:pPr>
              <w:spacing w:line="240" w:lineRule="auto"/>
              <w:rPr>
                <w:b/>
                <w:szCs w:val="24"/>
              </w:rPr>
            </w:pPr>
            <w:r w:rsidRPr="007916D1">
              <w:rPr>
                <w:b/>
                <w:bCs/>
                <w:szCs w:val="24"/>
                <w:lang w:val="en-US"/>
              </w:rPr>
              <w:t>cyCD79a</w:t>
            </w:r>
          </w:p>
        </w:tc>
        <w:tc>
          <w:tcPr>
            <w:tcW w:w="1701" w:type="dxa"/>
            <w:shd w:val="clear" w:color="auto" w:fill="auto"/>
            <w:tcMar>
              <w:top w:w="72" w:type="dxa"/>
              <w:left w:w="144" w:type="dxa"/>
              <w:bottom w:w="72" w:type="dxa"/>
              <w:right w:w="144" w:type="dxa"/>
            </w:tcMar>
            <w:vAlign w:val="center"/>
            <w:hideMark/>
          </w:tcPr>
          <w:p w14:paraId="7792DD5B" w14:textId="77777777" w:rsidR="005A6C83" w:rsidRPr="007916D1" w:rsidRDefault="005A6C83" w:rsidP="005A6C83">
            <w:pPr>
              <w:spacing w:line="240" w:lineRule="auto"/>
              <w:jc w:val="center"/>
              <w:rPr>
                <w:b/>
                <w:szCs w:val="24"/>
              </w:rPr>
            </w:pPr>
            <w:r w:rsidRPr="007916D1">
              <w:rPr>
                <w:b/>
                <w:bCs/>
                <w:szCs w:val="24"/>
                <w:lang w:val="en-US"/>
              </w:rPr>
              <w:t>+</w:t>
            </w:r>
          </w:p>
        </w:tc>
        <w:tc>
          <w:tcPr>
            <w:tcW w:w="2127" w:type="dxa"/>
            <w:shd w:val="clear" w:color="auto" w:fill="auto"/>
            <w:tcMar>
              <w:top w:w="72" w:type="dxa"/>
              <w:left w:w="144" w:type="dxa"/>
              <w:bottom w:w="72" w:type="dxa"/>
              <w:right w:w="144" w:type="dxa"/>
            </w:tcMar>
            <w:vAlign w:val="center"/>
            <w:hideMark/>
          </w:tcPr>
          <w:p w14:paraId="5842DE79" w14:textId="77777777" w:rsidR="005A6C83" w:rsidRPr="007916D1" w:rsidRDefault="005A6C83" w:rsidP="005A6C83">
            <w:pPr>
              <w:spacing w:line="240" w:lineRule="auto"/>
              <w:jc w:val="center"/>
              <w:rPr>
                <w:b/>
                <w:szCs w:val="24"/>
              </w:rPr>
            </w:pPr>
            <w:r w:rsidRPr="007916D1">
              <w:rPr>
                <w:b/>
                <w:bCs/>
                <w:szCs w:val="24"/>
                <w:lang w:val="en-US"/>
              </w:rPr>
              <w:t>+</w:t>
            </w:r>
          </w:p>
        </w:tc>
        <w:tc>
          <w:tcPr>
            <w:tcW w:w="1991" w:type="dxa"/>
            <w:shd w:val="clear" w:color="auto" w:fill="auto"/>
            <w:tcMar>
              <w:top w:w="72" w:type="dxa"/>
              <w:left w:w="144" w:type="dxa"/>
              <w:bottom w:w="72" w:type="dxa"/>
              <w:right w:w="144" w:type="dxa"/>
            </w:tcMar>
            <w:vAlign w:val="center"/>
            <w:hideMark/>
          </w:tcPr>
          <w:p w14:paraId="185DAFE3" w14:textId="77777777" w:rsidR="005A6C83" w:rsidRPr="007916D1" w:rsidRDefault="005A6C83" w:rsidP="005A6C83">
            <w:pPr>
              <w:spacing w:line="240" w:lineRule="auto"/>
              <w:jc w:val="center"/>
              <w:rPr>
                <w:b/>
                <w:szCs w:val="24"/>
              </w:rPr>
            </w:pPr>
            <w:r w:rsidRPr="007916D1">
              <w:rPr>
                <w:b/>
                <w:bCs/>
                <w:szCs w:val="24"/>
                <w:lang w:val="en-US"/>
              </w:rPr>
              <w:t>+</w:t>
            </w:r>
          </w:p>
        </w:tc>
        <w:tc>
          <w:tcPr>
            <w:tcW w:w="1843" w:type="dxa"/>
            <w:shd w:val="clear" w:color="auto" w:fill="auto"/>
            <w:tcMar>
              <w:top w:w="72" w:type="dxa"/>
              <w:left w:w="144" w:type="dxa"/>
              <w:bottom w:w="72" w:type="dxa"/>
              <w:right w:w="144" w:type="dxa"/>
            </w:tcMar>
            <w:vAlign w:val="center"/>
            <w:hideMark/>
          </w:tcPr>
          <w:p w14:paraId="5D314877" w14:textId="77777777" w:rsidR="005A6C83" w:rsidRPr="007916D1" w:rsidRDefault="005A6C83" w:rsidP="005A6C83">
            <w:pPr>
              <w:spacing w:line="240" w:lineRule="auto"/>
              <w:jc w:val="center"/>
              <w:rPr>
                <w:b/>
                <w:szCs w:val="24"/>
              </w:rPr>
            </w:pPr>
            <w:r w:rsidRPr="007916D1">
              <w:rPr>
                <w:b/>
                <w:bCs/>
                <w:szCs w:val="24"/>
                <w:lang w:val="en-US"/>
              </w:rPr>
              <w:t>+</w:t>
            </w:r>
          </w:p>
        </w:tc>
      </w:tr>
      <w:tr w:rsidR="005A6C83" w:rsidRPr="007916D1" w14:paraId="199667B7" w14:textId="77777777" w:rsidTr="005A6C83">
        <w:trPr>
          <w:trHeight w:val="123"/>
        </w:trPr>
        <w:tc>
          <w:tcPr>
            <w:tcW w:w="1843" w:type="dxa"/>
            <w:shd w:val="clear" w:color="auto" w:fill="auto"/>
            <w:tcMar>
              <w:top w:w="72" w:type="dxa"/>
              <w:left w:w="144" w:type="dxa"/>
              <w:bottom w:w="72" w:type="dxa"/>
              <w:right w:w="144" w:type="dxa"/>
            </w:tcMar>
            <w:vAlign w:val="center"/>
            <w:hideMark/>
          </w:tcPr>
          <w:p w14:paraId="4D97AAB4" w14:textId="77777777" w:rsidR="005A6C83" w:rsidRPr="007916D1" w:rsidRDefault="005A6C83" w:rsidP="005A6C83">
            <w:pPr>
              <w:spacing w:line="240" w:lineRule="auto"/>
              <w:rPr>
                <w:szCs w:val="24"/>
              </w:rPr>
            </w:pPr>
            <w:r w:rsidRPr="007916D1">
              <w:rPr>
                <w:bCs/>
                <w:szCs w:val="24"/>
                <w:lang w:val="en-US"/>
              </w:rPr>
              <w:t>CD10</w:t>
            </w:r>
          </w:p>
        </w:tc>
        <w:tc>
          <w:tcPr>
            <w:tcW w:w="1701" w:type="dxa"/>
            <w:shd w:val="clear" w:color="auto" w:fill="D9D9D9" w:themeFill="background1" w:themeFillShade="D9"/>
            <w:tcMar>
              <w:top w:w="72" w:type="dxa"/>
              <w:left w:w="144" w:type="dxa"/>
              <w:bottom w:w="72" w:type="dxa"/>
              <w:right w:w="144" w:type="dxa"/>
            </w:tcMar>
            <w:vAlign w:val="center"/>
            <w:hideMark/>
          </w:tcPr>
          <w:p w14:paraId="4E7CA39E" w14:textId="77777777" w:rsidR="005A6C83" w:rsidRPr="007916D1" w:rsidRDefault="005A6C83" w:rsidP="005A6C83">
            <w:pPr>
              <w:spacing w:line="240" w:lineRule="auto"/>
              <w:jc w:val="center"/>
              <w:rPr>
                <w:szCs w:val="24"/>
              </w:rPr>
            </w:pPr>
            <w:r w:rsidRPr="007916D1">
              <w:rPr>
                <w:b/>
                <w:bCs/>
                <w:szCs w:val="24"/>
                <w:lang w:val="en-US"/>
              </w:rPr>
              <w:t>-</w:t>
            </w:r>
          </w:p>
        </w:tc>
        <w:tc>
          <w:tcPr>
            <w:tcW w:w="2127" w:type="dxa"/>
            <w:shd w:val="clear" w:color="auto" w:fill="D9D9D9" w:themeFill="background1" w:themeFillShade="D9"/>
            <w:tcMar>
              <w:top w:w="72" w:type="dxa"/>
              <w:left w:w="144" w:type="dxa"/>
              <w:bottom w:w="72" w:type="dxa"/>
              <w:right w:w="144" w:type="dxa"/>
            </w:tcMar>
            <w:vAlign w:val="center"/>
            <w:hideMark/>
          </w:tcPr>
          <w:p w14:paraId="1E9DB147" w14:textId="77777777" w:rsidR="005A6C83" w:rsidRPr="007916D1" w:rsidRDefault="005A6C83" w:rsidP="005A6C83">
            <w:pPr>
              <w:spacing w:line="240" w:lineRule="auto"/>
              <w:jc w:val="center"/>
              <w:rPr>
                <w:b/>
                <w:szCs w:val="24"/>
              </w:rPr>
            </w:pPr>
            <w:r w:rsidRPr="007916D1">
              <w:rPr>
                <w:b/>
                <w:szCs w:val="24"/>
              </w:rPr>
              <w:t>+</w:t>
            </w:r>
          </w:p>
        </w:tc>
        <w:tc>
          <w:tcPr>
            <w:tcW w:w="1991" w:type="dxa"/>
            <w:shd w:val="clear" w:color="auto" w:fill="auto"/>
            <w:tcMar>
              <w:top w:w="72" w:type="dxa"/>
              <w:left w:w="144" w:type="dxa"/>
              <w:bottom w:w="72" w:type="dxa"/>
              <w:right w:w="144" w:type="dxa"/>
            </w:tcMar>
            <w:vAlign w:val="center"/>
            <w:hideMark/>
          </w:tcPr>
          <w:p w14:paraId="22A6B235" w14:textId="77777777" w:rsidR="005A6C83" w:rsidRPr="007916D1" w:rsidRDefault="005A6C83" w:rsidP="005A6C83">
            <w:pPr>
              <w:spacing w:line="240" w:lineRule="auto"/>
              <w:jc w:val="center"/>
              <w:rPr>
                <w:szCs w:val="24"/>
              </w:rPr>
            </w:pPr>
            <w:r w:rsidRPr="007916D1">
              <w:rPr>
                <w:b/>
                <w:bCs/>
                <w:szCs w:val="24"/>
                <w:lang w:val="en-US"/>
              </w:rPr>
              <w:t>+/-</w:t>
            </w:r>
          </w:p>
        </w:tc>
        <w:tc>
          <w:tcPr>
            <w:tcW w:w="1843" w:type="dxa"/>
            <w:shd w:val="clear" w:color="auto" w:fill="auto"/>
            <w:tcMar>
              <w:top w:w="72" w:type="dxa"/>
              <w:left w:w="144" w:type="dxa"/>
              <w:bottom w:w="72" w:type="dxa"/>
              <w:right w:w="144" w:type="dxa"/>
            </w:tcMar>
            <w:vAlign w:val="center"/>
            <w:hideMark/>
          </w:tcPr>
          <w:p w14:paraId="700F64AE" w14:textId="77777777" w:rsidR="005A6C83" w:rsidRPr="007916D1" w:rsidRDefault="005A6C83" w:rsidP="005A6C83">
            <w:pPr>
              <w:spacing w:line="240" w:lineRule="auto"/>
              <w:jc w:val="center"/>
              <w:rPr>
                <w:szCs w:val="24"/>
              </w:rPr>
            </w:pPr>
            <w:r w:rsidRPr="007916D1">
              <w:rPr>
                <w:b/>
                <w:bCs/>
                <w:szCs w:val="24"/>
                <w:lang w:val="en-US"/>
              </w:rPr>
              <w:t>+/-</w:t>
            </w:r>
          </w:p>
        </w:tc>
      </w:tr>
      <w:tr w:rsidR="005A6C83" w:rsidRPr="007916D1" w14:paraId="4654851F" w14:textId="77777777" w:rsidTr="005A6C83">
        <w:trPr>
          <w:trHeight w:val="123"/>
        </w:trPr>
        <w:tc>
          <w:tcPr>
            <w:tcW w:w="1843" w:type="dxa"/>
            <w:shd w:val="clear" w:color="auto" w:fill="auto"/>
            <w:tcMar>
              <w:top w:w="72" w:type="dxa"/>
              <w:left w:w="144" w:type="dxa"/>
              <w:bottom w:w="72" w:type="dxa"/>
              <w:right w:w="144" w:type="dxa"/>
            </w:tcMar>
            <w:vAlign w:val="center"/>
            <w:hideMark/>
          </w:tcPr>
          <w:p w14:paraId="3A159EBD" w14:textId="77777777" w:rsidR="005A6C83" w:rsidRPr="007916D1" w:rsidRDefault="005A6C83" w:rsidP="005A6C83">
            <w:pPr>
              <w:spacing w:line="240" w:lineRule="auto"/>
              <w:rPr>
                <w:szCs w:val="24"/>
              </w:rPr>
            </w:pPr>
            <w:r w:rsidRPr="007916D1">
              <w:rPr>
                <w:bCs/>
                <w:szCs w:val="24"/>
                <w:lang w:val="en-US"/>
              </w:rPr>
              <w:t>CD20</w:t>
            </w:r>
          </w:p>
        </w:tc>
        <w:tc>
          <w:tcPr>
            <w:tcW w:w="1701" w:type="dxa"/>
            <w:shd w:val="clear" w:color="auto" w:fill="auto"/>
            <w:tcMar>
              <w:top w:w="72" w:type="dxa"/>
              <w:left w:w="144" w:type="dxa"/>
              <w:bottom w:w="72" w:type="dxa"/>
              <w:right w:w="144" w:type="dxa"/>
            </w:tcMar>
            <w:vAlign w:val="center"/>
            <w:hideMark/>
          </w:tcPr>
          <w:p w14:paraId="6A778888" w14:textId="77777777" w:rsidR="005A6C83" w:rsidRPr="007916D1" w:rsidRDefault="005A6C83" w:rsidP="005A6C83">
            <w:pPr>
              <w:spacing w:line="240" w:lineRule="auto"/>
              <w:jc w:val="center"/>
              <w:rPr>
                <w:szCs w:val="24"/>
              </w:rPr>
            </w:pPr>
            <w:r w:rsidRPr="007916D1">
              <w:rPr>
                <w:b/>
                <w:bCs/>
                <w:szCs w:val="24"/>
                <w:lang w:val="en-US"/>
              </w:rPr>
              <w:t>-/+</w:t>
            </w:r>
          </w:p>
        </w:tc>
        <w:tc>
          <w:tcPr>
            <w:tcW w:w="2127" w:type="dxa"/>
            <w:shd w:val="clear" w:color="auto" w:fill="auto"/>
            <w:tcMar>
              <w:top w:w="72" w:type="dxa"/>
              <w:left w:w="144" w:type="dxa"/>
              <w:bottom w:w="72" w:type="dxa"/>
              <w:right w:w="144" w:type="dxa"/>
            </w:tcMar>
            <w:vAlign w:val="center"/>
            <w:hideMark/>
          </w:tcPr>
          <w:p w14:paraId="06BDBB60" w14:textId="77777777" w:rsidR="005A6C83" w:rsidRPr="007916D1" w:rsidRDefault="005A6C83" w:rsidP="005A6C83">
            <w:pPr>
              <w:spacing w:line="240" w:lineRule="auto"/>
              <w:jc w:val="center"/>
              <w:rPr>
                <w:szCs w:val="24"/>
              </w:rPr>
            </w:pPr>
            <w:r w:rsidRPr="007916D1">
              <w:rPr>
                <w:b/>
                <w:bCs/>
                <w:szCs w:val="24"/>
                <w:lang w:val="en-US"/>
              </w:rPr>
              <w:t>+/-</w:t>
            </w:r>
          </w:p>
        </w:tc>
        <w:tc>
          <w:tcPr>
            <w:tcW w:w="1991" w:type="dxa"/>
            <w:shd w:val="clear" w:color="auto" w:fill="auto"/>
            <w:tcMar>
              <w:top w:w="72" w:type="dxa"/>
              <w:left w:w="144" w:type="dxa"/>
              <w:bottom w:w="72" w:type="dxa"/>
              <w:right w:w="144" w:type="dxa"/>
            </w:tcMar>
            <w:vAlign w:val="center"/>
            <w:hideMark/>
          </w:tcPr>
          <w:p w14:paraId="37CA0FEB" w14:textId="77777777" w:rsidR="005A6C83" w:rsidRPr="007916D1" w:rsidRDefault="005A6C83" w:rsidP="005A6C83">
            <w:pPr>
              <w:spacing w:line="240" w:lineRule="auto"/>
              <w:jc w:val="center"/>
              <w:rPr>
                <w:szCs w:val="24"/>
              </w:rPr>
            </w:pPr>
            <w:r w:rsidRPr="007916D1">
              <w:rPr>
                <w:b/>
                <w:bCs/>
                <w:szCs w:val="24"/>
                <w:lang w:val="en-US"/>
              </w:rPr>
              <w:t>+/-</w:t>
            </w:r>
          </w:p>
        </w:tc>
        <w:tc>
          <w:tcPr>
            <w:tcW w:w="1843" w:type="dxa"/>
            <w:shd w:val="clear" w:color="auto" w:fill="auto"/>
            <w:tcMar>
              <w:top w:w="72" w:type="dxa"/>
              <w:left w:w="144" w:type="dxa"/>
              <w:bottom w:w="72" w:type="dxa"/>
              <w:right w:w="144" w:type="dxa"/>
            </w:tcMar>
            <w:vAlign w:val="center"/>
            <w:hideMark/>
          </w:tcPr>
          <w:p w14:paraId="5DD16D21" w14:textId="77777777" w:rsidR="005A6C83" w:rsidRPr="007916D1" w:rsidRDefault="005A6C83" w:rsidP="005A6C83">
            <w:pPr>
              <w:spacing w:line="240" w:lineRule="auto"/>
              <w:jc w:val="center"/>
              <w:rPr>
                <w:szCs w:val="24"/>
              </w:rPr>
            </w:pPr>
            <w:r w:rsidRPr="007916D1">
              <w:rPr>
                <w:b/>
                <w:bCs/>
                <w:szCs w:val="24"/>
                <w:lang w:val="en-US"/>
              </w:rPr>
              <w:t>+/-</w:t>
            </w:r>
          </w:p>
        </w:tc>
      </w:tr>
      <w:tr w:rsidR="005A6C83" w:rsidRPr="007916D1" w14:paraId="2610A386" w14:textId="77777777" w:rsidTr="005A6C83">
        <w:trPr>
          <w:trHeight w:val="123"/>
        </w:trPr>
        <w:tc>
          <w:tcPr>
            <w:tcW w:w="1843" w:type="dxa"/>
            <w:shd w:val="clear" w:color="auto" w:fill="auto"/>
            <w:tcMar>
              <w:top w:w="72" w:type="dxa"/>
              <w:left w:w="144" w:type="dxa"/>
              <w:bottom w:w="72" w:type="dxa"/>
              <w:right w:w="144" w:type="dxa"/>
            </w:tcMar>
            <w:vAlign w:val="center"/>
            <w:hideMark/>
          </w:tcPr>
          <w:p w14:paraId="3383D2F3" w14:textId="77777777" w:rsidR="005A6C83" w:rsidRPr="007916D1" w:rsidRDefault="005A6C83" w:rsidP="005A6C83">
            <w:pPr>
              <w:spacing w:line="240" w:lineRule="auto"/>
              <w:rPr>
                <w:szCs w:val="24"/>
              </w:rPr>
            </w:pPr>
            <w:r w:rsidRPr="007916D1">
              <w:rPr>
                <w:bCs/>
                <w:szCs w:val="24"/>
                <w:lang w:val="en-US"/>
              </w:rPr>
              <w:t>CD34</w:t>
            </w:r>
          </w:p>
        </w:tc>
        <w:tc>
          <w:tcPr>
            <w:tcW w:w="1701" w:type="dxa"/>
            <w:shd w:val="clear" w:color="auto" w:fill="auto"/>
            <w:tcMar>
              <w:top w:w="72" w:type="dxa"/>
              <w:left w:w="144" w:type="dxa"/>
              <w:bottom w:w="72" w:type="dxa"/>
              <w:right w:w="144" w:type="dxa"/>
            </w:tcMar>
            <w:vAlign w:val="center"/>
            <w:hideMark/>
          </w:tcPr>
          <w:p w14:paraId="63408233" w14:textId="77777777" w:rsidR="005A6C83" w:rsidRPr="007916D1" w:rsidRDefault="005A6C83" w:rsidP="005A6C83">
            <w:pPr>
              <w:spacing w:line="240" w:lineRule="auto"/>
              <w:jc w:val="center"/>
              <w:rPr>
                <w:szCs w:val="24"/>
              </w:rPr>
            </w:pPr>
            <w:r w:rsidRPr="007916D1">
              <w:rPr>
                <w:b/>
                <w:bCs/>
                <w:szCs w:val="24"/>
                <w:lang w:val="en-US"/>
              </w:rPr>
              <w:t>+/-</w:t>
            </w:r>
          </w:p>
        </w:tc>
        <w:tc>
          <w:tcPr>
            <w:tcW w:w="2127" w:type="dxa"/>
            <w:shd w:val="clear" w:color="auto" w:fill="auto"/>
            <w:tcMar>
              <w:top w:w="72" w:type="dxa"/>
              <w:left w:w="144" w:type="dxa"/>
              <w:bottom w:w="72" w:type="dxa"/>
              <w:right w:w="144" w:type="dxa"/>
            </w:tcMar>
            <w:vAlign w:val="center"/>
            <w:hideMark/>
          </w:tcPr>
          <w:p w14:paraId="3CCFDB22" w14:textId="77777777" w:rsidR="005A6C83" w:rsidRPr="007916D1" w:rsidRDefault="005A6C83" w:rsidP="005A6C83">
            <w:pPr>
              <w:spacing w:line="240" w:lineRule="auto"/>
              <w:jc w:val="center"/>
              <w:rPr>
                <w:szCs w:val="24"/>
              </w:rPr>
            </w:pPr>
            <w:r w:rsidRPr="007916D1">
              <w:rPr>
                <w:b/>
                <w:bCs/>
                <w:szCs w:val="24"/>
                <w:lang w:val="en-US"/>
              </w:rPr>
              <w:t>+/-</w:t>
            </w:r>
          </w:p>
        </w:tc>
        <w:tc>
          <w:tcPr>
            <w:tcW w:w="1991" w:type="dxa"/>
            <w:shd w:val="clear" w:color="auto" w:fill="auto"/>
            <w:tcMar>
              <w:top w:w="72" w:type="dxa"/>
              <w:left w:w="144" w:type="dxa"/>
              <w:bottom w:w="72" w:type="dxa"/>
              <w:right w:w="144" w:type="dxa"/>
            </w:tcMar>
            <w:vAlign w:val="center"/>
            <w:hideMark/>
          </w:tcPr>
          <w:p w14:paraId="0D1683D1" w14:textId="77777777" w:rsidR="005A6C83" w:rsidRPr="007916D1" w:rsidRDefault="005A6C83" w:rsidP="005A6C83">
            <w:pPr>
              <w:spacing w:line="240" w:lineRule="auto"/>
              <w:jc w:val="center"/>
              <w:rPr>
                <w:szCs w:val="24"/>
              </w:rPr>
            </w:pPr>
            <w:r w:rsidRPr="007916D1">
              <w:rPr>
                <w:b/>
                <w:bCs/>
                <w:szCs w:val="24"/>
                <w:lang w:val="en-US"/>
              </w:rPr>
              <w:t>-/+</w:t>
            </w:r>
          </w:p>
        </w:tc>
        <w:tc>
          <w:tcPr>
            <w:tcW w:w="1843" w:type="dxa"/>
            <w:shd w:val="clear" w:color="auto" w:fill="auto"/>
            <w:tcMar>
              <w:top w:w="72" w:type="dxa"/>
              <w:left w:w="144" w:type="dxa"/>
              <w:bottom w:w="72" w:type="dxa"/>
              <w:right w:w="144" w:type="dxa"/>
            </w:tcMar>
            <w:vAlign w:val="center"/>
            <w:hideMark/>
          </w:tcPr>
          <w:p w14:paraId="33CBA1F3" w14:textId="77777777" w:rsidR="005A6C83" w:rsidRPr="007916D1" w:rsidRDefault="005A6C83" w:rsidP="005A6C83">
            <w:pPr>
              <w:spacing w:line="240" w:lineRule="auto"/>
              <w:jc w:val="center"/>
              <w:rPr>
                <w:szCs w:val="24"/>
              </w:rPr>
            </w:pPr>
            <w:r w:rsidRPr="007916D1">
              <w:rPr>
                <w:b/>
                <w:bCs/>
                <w:szCs w:val="24"/>
                <w:lang w:val="en-US"/>
              </w:rPr>
              <w:t>-</w:t>
            </w:r>
          </w:p>
        </w:tc>
      </w:tr>
      <w:tr w:rsidR="005A6C83" w:rsidRPr="007916D1" w14:paraId="53EFC72A" w14:textId="77777777" w:rsidTr="005A6C83">
        <w:trPr>
          <w:trHeight w:val="123"/>
        </w:trPr>
        <w:tc>
          <w:tcPr>
            <w:tcW w:w="1843" w:type="dxa"/>
            <w:shd w:val="clear" w:color="auto" w:fill="auto"/>
            <w:tcMar>
              <w:top w:w="72" w:type="dxa"/>
              <w:left w:w="144" w:type="dxa"/>
              <w:bottom w:w="72" w:type="dxa"/>
              <w:right w:w="144" w:type="dxa"/>
            </w:tcMar>
            <w:vAlign w:val="center"/>
            <w:hideMark/>
          </w:tcPr>
          <w:p w14:paraId="675E00A7" w14:textId="77777777" w:rsidR="005A6C83" w:rsidRPr="007916D1" w:rsidRDefault="005A6C83" w:rsidP="005A6C83">
            <w:pPr>
              <w:spacing w:line="240" w:lineRule="auto"/>
              <w:rPr>
                <w:szCs w:val="24"/>
              </w:rPr>
            </w:pPr>
            <w:r w:rsidRPr="007916D1">
              <w:rPr>
                <w:bCs/>
                <w:szCs w:val="24"/>
                <w:lang w:val="en-US"/>
              </w:rPr>
              <w:t>HLA-DR</w:t>
            </w:r>
          </w:p>
        </w:tc>
        <w:tc>
          <w:tcPr>
            <w:tcW w:w="1701" w:type="dxa"/>
            <w:shd w:val="clear" w:color="auto" w:fill="auto"/>
            <w:tcMar>
              <w:top w:w="72" w:type="dxa"/>
              <w:left w:w="144" w:type="dxa"/>
              <w:bottom w:w="72" w:type="dxa"/>
              <w:right w:w="144" w:type="dxa"/>
            </w:tcMar>
            <w:vAlign w:val="center"/>
            <w:hideMark/>
          </w:tcPr>
          <w:p w14:paraId="1C4BF09E" w14:textId="77777777" w:rsidR="005A6C83" w:rsidRPr="007916D1" w:rsidRDefault="005A6C83" w:rsidP="005A6C83">
            <w:pPr>
              <w:spacing w:line="240" w:lineRule="auto"/>
              <w:jc w:val="center"/>
              <w:rPr>
                <w:szCs w:val="24"/>
              </w:rPr>
            </w:pPr>
            <w:r w:rsidRPr="007916D1">
              <w:rPr>
                <w:b/>
                <w:bCs/>
                <w:szCs w:val="24"/>
                <w:lang w:val="en-US"/>
              </w:rPr>
              <w:t>+</w:t>
            </w:r>
          </w:p>
        </w:tc>
        <w:tc>
          <w:tcPr>
            <w:tcW w:w="2127" w:type="dxa"/>
            <w:shd w:val="clear" w:color="auto" w:fill="auto"/>
            <w:tcMar>
              <w:top w:w="72" w:type="dxa"/>
              <w:left w:w="144" w:type="dxa"/>
              <w:bottom w:w="72" w:type="dxa"/>
              <w:right w:w="144" w:type="dxa"/>
            </w:tcMar>
            <w:vAlign w:val="center"/>
            <w:hideMark/>
          </w:tcPr>
          <w:p w14:paraId="285AB118" w14:textId="77777777" w:rsidR="005A6C83" w:rsidRPr="007916D1" w:rsidRDefault="005A6C83" w:rsidP="005A6C83">
            <w:pPr>
              <w:spacing w:line="240" w:lineRule="auto"/>
              <w:jc w:val="center"/>
              <w:rPr>
                <w:szCs w:val="24"/>
              </w:rPr>
            </w:pPr>
            <w:r w:rsidRPr="007916D1">
              <w:rPr>
                <w:b/>
                <w:bCs/>
                <w:szCs w:val="24"/>
                <w:lang w:val="en-US"/>
              </w:rPr>
              <w:t>+</w:t>
            </w:r>
          </w:p>
        </w:tc>
        <w:tc>
          <w:tcPr>
            <w:tcW w:w="1991" w:type="dxa"/>
            <w:shd w:val="clear" w:color="auto" w:fill="auto"/>
            <w:tcMar>
              <w:top w:w="72" w:type="dxa"/>
              <w:left w:w="144" w:type="dxa"/>
              <w:bottom w:w="72" w:type="dxa"/>
              <w:right w:w="144" w:type="dxa"/>
            </w:tcMar>
            <w:vAlign w:val="center"/>
            <w:hideMark/>
          </w:tcPr>
          <w:p w14:paraId="3A48BB70" w14:textId="77777777" w:rsidR="005A6C83" w:rsidRPr="007916D1" w:rsidRDefault="005A6C83" w:rsidP="005A6C83">
            <w:pPr>
              <w:spacing w:line="240" w:lineRule="auto"/>
              <w:jc w:val="center"/>
              <w:rPr>
                <w:szCs w:val="24"/>
              </w:rPr>
            </w:pPr>
            <w:r w:rsidRPr="007916D1">
              <w:rPr>
                <w:b/>
                <w:bCs/>
                <w:szCs w:val="24"/>
                <w:lang w:val="en-US"/>
              </w:rPr>
              <w:t>+</w:t>
            </w:r>
          </w:p>
        </w:tc>
        <w:tc>
          <w:tcPr>
            <w:tcW w:w="1843" w:type="dxa"/>
            <w:shd w:val="clear" w:color="auto" w:fill="auto"/>
            <w:tcMar>
              <w:top w:w="72" w:type="dxa"/>
              <w:left w:w="144" w:type="dxa"/>
              <w:bottom w:w="72" w:type="dxa"/>
              <w:right w:w="144" w:type="dxa"/>
            </w:tcMar>
            <w:vAlign w:val="center"/>
            <w:hideMark/>
          </w:tcPr>
          <w:p w14:paraId="134B89BD" w14:textId="77777777" w:rsidR="005A6C83" w:rsidRPr="007916D1" w:rsidRDefault="005A6C83" w:rsidP="005A6C83">
            <w:pPr>
              <w:spacing w:line="240" w:lineRule="auto"/>
              <w:jc w:val="center"/>
              <w:rPr>
                <w:szCs w:val="24"/>
              </w:rPr>
            </w:pPr>
            <w:r w:rsidRPr="007916D1">
              <w:rPr>
                <w:b/>
                <w:bCs/>
                <w:szCs w:val="24"/>
                <w:lang w:val="en-US"/>
              </w:rPr>
              <w:t>+</w:t>
            </w:r>
          </w:p>
        </w:tc>
      </w:tr>
      <w:tr w:rsidR="005A6C83" w:rsidRPr="007916D1" w14:paraId="252D867B" w14:textId="77777777" w:rsidTr="005A6C83">
        <w:trPr>
          <w:trHeight w:val="123"/>
        </w:trPr>
        <w:tc>
          <w:tcPr>
            <w:tcW w:w="1843" w:type="dxa"/>
            <w:shd w:val="clear" w:color="auto" w:fill="auto"/>
            <w:tcMar>
              <w:top w:w="72" w:type="dxa"/>
              <w:left w:w="144" w:type="dxa"/>
              <w:bottom w:w="72" w:type="dxa"/>
              <w:right w:w="144" w:type="dxa"/>
            </w:tcMar>
            <w:vAlign w:val="center"/>
            <w:hideMark/>
          </w:tcPr>
          <w:p w14:paraId="30B8763E" w14:textId="77777777" w:rsidR="005A6C83" w:rsidRPr="007916D1" w:rsidRDefault="005A6C83" w:rsidP="005A6C83">
            <w:pPr>
              <w:spacing w:line="240" w:lineRule="auto"/>
              <w:rPr>
                <w:szCs w:val="24"/>
              </w:rPr>
            </w:pPr>
            <w:r w:rsidRPr="007916D1">
              <w:rPr>
                <w:bCs/>
                <w:szCs w:val="24"/>
                <w:lang w:val="en-US"/>
              </w:rPr>
              <w:t>nuTdT</w:t>
            </w:r>
          </w:p>
        </w:tc>
        <w:tc>
          <w:tcPr>
            <w:tcW w:w="1701" w:type="dxa"/>
            <w:shd w:val="clear" w:color="auto" w:fill="auto"/>
            <w:tcMar>
              <w:top w:w="72" w:type="dxa"/>
              <w:left w:w="144" w:type="dxa"/>
              <w:bottom w:w="72" w:type="dxa"/>
              <w:right w:w="144" w:type="dxa"/>
            </w:tcMar>
            <w:vAlign w:val="center"/>
            <w:hideMark/>
          </w:tcPr>
          <w:p w14:paraId="2F9CF627" w14:textId="77777777" w:rsidR="005A6C83" w:rsidRPr="007916D1" w:rsidRDefault="005A6C83" w:rsidP="005A6C83">
            <w:pPr>
              <w:spacing w:line="240" w:lineRule="auto"/>
              <w:jc w:val="center"/>
              <w:rPr>
                <w:szCs w:val="24"/>
              </w:rPr>
            </w:pPr>
            <w:r w:rsidRPr="007916D1">
              <w:rPr>
                <w:b/>
                <w:bCs/>
                <w:szCs w:val="24"/>
                <w:lang w:val="en-US"/>
              </w:rPr>
              <w:t>+</w:t>
            </w:r>
            <w:r w:rsidRPr="007916D1">
              <w:rPr>
                <w:b/>
                <w:bCs/>
                <w:szCs w:val="24"/>
              </w:rPr>
              <w:t>/-</w:t>
            </w:r>
          </w:p>
        </w:tc>
        <w:tc>
          <w:tcPr>
            <w:tcW w:w="2127" w:type="dxa"/>
            <w:shd w:val="clear" w:color="auto" w:fill="auto"/>
            <w:tcMar>
              <w:top w:w="72" w:type="dxa"/>
              <w:left w:w="144" w:type="dxa"/>
              <w:bottom w:w="72" w:type="dxa"/>
              <w:right w:w="144" w:type="dxa"/>
            </w:tcMar>
            <w:vAlign w:val="center"/>
            <w:hideMark/>
          </w:tcPr>
          <w:p w14:paraId="339BF08A" w14:textId="77777777" w:rsidR="005A6C83" w:rsidRPr="007916D1" w:rsidRDefault="005A6C83" w:rsidP="005A6C83">
            <w:pPr>
              <w:spacing w:line="240" w:lineRule="auto"/>
              <w:jc w:val="center"/>
              <w:rPr>
                <w:szCs w:val="24"/>
              </w:rPr>
            </w:pPr>
            <w:r w:rsidRPr="007916D1">
              <w:rPr>
                <w:b/>
                <w:bCs/>
                <w:szCs w:val="24"/>
                <w:lang w:val="en-US"/>
              </w:rPr>
              <w:t>+</w:t>
            </w:r>
            <w:r w:rsidRPr="007916D1">
              <w:rPr>
                <w:b/>
                <w:bCs/>
                <w:szCs w:val="24"/>
              </w:rPr>
              <w:t>/-</w:t>
            </w:r>
          </w:p>
        </w:tc>
        <w:tc>
          <w:tcPr>
            <w:tcW w:w="1991" w:type="dxa"/>
            <w:shd w:val="clear" w:color="auto" w:fill="auto"/>
            <w:tcMar>
              <w:top w:w="72" w:type="dxa"/>
              <w:left w:w="144" w:type="dxa"/>
              <w:bottom w:w="72" w:type="dxa"/>
              <w:right w:w="144" w:type="dxa"/>
            </w:tcMar>
            <w:vAlign w:val="center"/>
            <w:hideMark/>
          </w:tcPr>
          <w:p w14:paraId="0067A4B8" w14:textId="77777777" w:rsidR="005A6C83" w:rsidRPr="007916D1" w:rsidRDefault="005A6C83" w:rsidP="005A6C83">
            <w:pPr>
              <w:spacing w:line="240" w:lineRule="auto"/>
              <w:jc w:val="center"/>
              <w:rPr>
                <w:szCs w:val="24"/>
              </w:rPr>
            </w:pPr>
            <w:r w:rsidRPr="007916D1">
              <w:rPr>
                <w:b/>
                <w:bCs/>
                <w:szCs w:val="24"/>
                <w:lang w:val="en-US"/>
              </w:rPr>
              <w:t>+/-</w:t>
            </w:r>
          </w:p>
        </w:tc>
        <w:tc>
          <w:tcPr>
            <w:tcW w:w="1843" w:type="dxa"/>
            <w:shd w:val="clear" w:color="auto" w:fill="auto"/>
            <w:tcMar>
              <w:top w:w="72" w:type="dxa"/>
              <w:left w:w="144" w:type="dxa"/>
              <w:bottom w:w="72" w:type="dxa"/>
              <w:right w:w="144" w:type="dxa"/>
            </w:tcMar>
            <w:vAlign w:val="center"/>
            <w:hideMark/>
          </w:tcPr>
          <w:p w14:paraId="2326DE5E" w14:textId="77777777" w:rsidR="005A6C83" w:rsidRPr="007916D1" w:rsidRDefault="005A6C83" w:rsidP="005A6C83">
            <w:pPr>
              <w:spacing w:line="240" w:lineRule="auto"/>
              <w:jc w:val="center"/>
              <w:rPr>
                <w:szCs w:val="24"/>
              </w:rPr>
            </w:pPr>
            <w:r w:rsidRPr="007916D1">
              <w:rPr>
                <w:b/>
                <w:bCs/>
                <w:szCs w:val="24"/>
                <w:lang w:val="en-US"/>
              </w:rPr>
              <w:t>+/-</w:t>
            </w:r>
          </w:p>
        </w:tc>
      </w:tr>
      <w:tr w:rsidR="005A6C83" w:rsidRPr="007916D1" w14:paraId="26800C05" w14:textId="77777777" w:rsidTr="005A6C83">
        <w:trPr>
          <w:trHeight w:val="123"/>
        </w:trPr>
        <w:tc>
          <w:tcPr>
            <w:tcW w:w="1843" w:type="dxa"/>
            <w:shd w:val="clear" w:color="auto" w:fill="auto"/>
            <w:tcMar>
              <w:top w:w="72" w:type="dxa"/>
              <w:left w:w="144" w:type="dxa"/>
              <w:bottom w:w="72" w:type="dxa"/>
              <w:right w:w="144" w:type="dxa"/>
            </w:tcMar>
            <w:vAlign w:val="center"/>
            <w:hideMark/>
          </w:tcPr>
          <w:p w14:paraId="5E8CE5BD" w14:textId="77777777" w:rsidR="005A6C83" w:rsidRPr="007916D1" w:rsidRDefault="005A6C83" w:rsidP="005A6C83">
            <w:pPr>
              <w:spacing w:line="240" w:lineRule="auto"/>
              <w:rPr>
                <w:szCs w:val="24"/>
              </w:rPr>
            </w:pPr>
            <w:r w:rsidRPr="007916D1">
              <w:rPr>
                <w:bCs/>
                <w:szCs w:val="24"/>
                <w:lang w:val="en-US"/>
              </w:rPr>
              <w:t xml:space="preserve">cyIgM </w:t>
            </w:r>
          </w:p>
        </w:tc>
        <w:tc>
          <w:tcPr>
            <w:tcW w:w="1701" w:type="dxa"/>
            <w:shd w:val="clear" w:color="auto" w:fill="D9D9D9" w:themeFill="background1" w:themeFillShade="D9"/>
            <w:tcMar>
              <w:top w:w="72" w:type="dxa"/>
              <w:left w:w="144" w:type="dxa"/>
              <w:bottom w:w="72" w:type="dxa"/>
              <w:right w:w="144" w:type="dxa"/>
            </w:tcMar>
            <w:vAlign w:val="center"/>
            <w:hideMark/>
          </w:tcPr>
          <w:p w14:paraId="5E566152" w14:textId="77777777" w:rsidR="005A6C83" w:rsidRPr="007916D1" w:rsidRDefault="005A6C83" w:rsidP="005A6C83">
            <w:pPr>
              <w:spacing w:line="240" w:lineRule="auto"/>
              <w:jc w:val="center"/>
              <w:rPr>
                <w:szCs w:val="24"/>
              </w:rPr>
            </w:pPr>
            <w:r w:rsidRPr="007916D1">
              <w:rPr>
                <w:b/>
                <w:bCs/>
                <w:szCs w:val="24"/>
                <w:lang w:val="en-US"/>
              </w:rPr>
              <w:t>-</w:t>
            </w:r>
          </w:p>
        </w:tc>
        <w:tc>
          <w:tcPr>
            <w:tcW w:w="2127" w:type="dxa"/>
            <w:shd w:val="clear" w:color="auto" w:fill="D9D9D9" w:themeFill="background1" w:themeFillShade="D9"/>
            <w:tcMar>
              <w:top w:w="72" w:type="dxa"/>
              <w:left w:w="144" w:type="dxa"/>
              <w:bottom w:w="72" w:type="dxa"/>
              <w:right w:w="144" w:type="dxa"/>
            </w:tcMar>
            <w:vAlign w:val="center"/>
            <w:hideMark/>
          </w:tcPr>
          <w:p w14:paraId="32E06294" w14:textId="77777777" w:rsidR="005A6C83" w:rsidRPr="007916D1" w:rsidRDefault="005A6C83" w:rsidP="005A6C83">
            <w:pPr>
              <w:spacing w:line="240" w:lineRule="auto"/>
              <w:jc w:val="center"/>
              <w:rPr>
                <w:szCs w:val="24"/>
              </w:rPr>
            </w:pPr>
            <w:r w:rsidRPr="007916D1">
              <w:rPr>
                <w:b/>
                <w:bCs/>
                <w:szCs w:val="24"/>
                <w:lang w:val="en-US"/>
              </w:rPr>
              <w:t>-</w:t>
            </w:r>
          </w:p>
        </w:tc>
        <w:tc>
          <w:tcPr>
            <w:tcW w:w="1991" w:type="dxa"/>
            <w:shd w:val="clear" w:color="auto" w:fill="D9D9D9" w:themeFill="background1" w:themeFillShade="D9"/>
            <w:tcMar>
              <w:top w:w="72" w:type="dxa"/>
              <w:left w:w="144" w:type="dxa"/>
              <w:bottom w:w="72" w:type="dxa"/>
              <w:right w:w="144" w:type="dxa"/>
            </w:tcMar>
            <w:vAlign w:val="center"/>
            <w:hideMark/>
          </w:tcPr>
          <w:p w14:paraId="65328ECC" w14:textId="77777777" w:rsidR="005A6C83" w:rsidRPr="007916D1" w:rsidRDefault="005A6C83" w:rsidP="005A6C83">
            <w:pPr>
              <w:spacing w:line="240" w:lineRule="auto"/>
              <w:jc w:val="center"/>
              <w:rPr>
                <w:szCs w:val="24"/>
              </w:rPr>
            </w:pPr>
            <w:r w:rsidRPr="007916D1">
              <w:rPr>
                <w:b/>
                <w:bCs/>
                <w:szCs w:val="24"/>
                <w:lang w:val="en-US"/>
              </w:rPr>
              <w:t>+</w:t>
            </w:r>
          </w:p>
        </w:tc>
        <w:tc>
          <w:tcPr>
            <w:tcW w:w="1843" w:type="dxa"/>
            <w:shd w:val="clear" w:color="auto" w:fill="D9D9D9" w:themeFill="background1" w:themeFillShade="D9"/>
            <w:tcMar>
              <w:top w:w="72" w:type="dxa"/>
              <w:left w:w="144" w:type="dxa"/>
              <w:bottom w:w="72" w:type="dxa"/>
              <w:right w:w="144" w:type="dxa"/>
            </w:tcMar>
            <w:vAlign w:val="center"/>
            <w:hideMark/>
          </w:tcPr>
          <w:p w14:paraId="5F9D0971" w14:textId="77777777" w:rsidR="005A6C83" w:rsidRPr="007916D1" w:rsidRDefault="005A6C83" w:rsidP="005A6C83">
            <w:pPr>
              <w:spacing w:line="240" w:lineRule="auto"/>
              <w:jc w:val="center"/>
              <w:rPr>
                <w:szCs w:val="24"/>
              </w:rPr>
            </w:pPr>
            <w:r w:rsidRPr="007916D1">
              <w:rPr>
                <w:b/>
                <w:bCs/>
                <w:szCs w:val="24"/>
                <w:lang w:val="en-US"/>
              </w:rPr>
              <w:t>+</w:t>
            </w:r>
          </w:p>
        </w:tc>
      </w:tr>
      <w:tr w:rsidR="005A6C83" w:rsidRPr="007916D1" w14:paraId="5C109F77" w14:textId="77777777" w:rsidTr="005A6C83">
        <w:trPr>
          <w:trHeight w:val="123"/>
        </w:trPr>
        <w:tc>
          <w:tcPr>
            <w:tcW w:w="1843" w:type="dxa"/>
            <w:shd w:val="clear" w:color="auto" w:fill="auto"/>
            <w:tcMar>
              <w:top w:w="72" w:type="dxa"/>
              <w:left w:w="144" w:type="dxa"/>
              <w:bottom w:w="72" w:type="dxa"/>
              <w:right w:w="144" w:type="dxa"/>
            </w:tcMar>
            <w:vAlign w:val="center"/>
            <w:hideMark/>
          </w:tcPr>
          <w:p w14:paraId="1959D8BC" w14:textId="77777777" w:rsidR="005A6C83" w:rsidRPr="007916D1" w:rsidRDefault="005A6C83" w:rsidP="005A6C83">
            <w:pPr>
              <w:spacing w:line="240" w:lineRule="auto"/>
              <w:rPr>
                <w:szCs w:val="24"/>
              </w:rPr>
            </w:pPr>
            <w:r w:rsidRPr="007916D1">
              <w:rPr>
                <w:bCs/>
                <w:szCs w:val="24"/>
                <w:lang w:val="en-US"/>
              </w:rPr>
              <w:t>Surf IgM</w:t>
            </w:r>
          </w:p>
        </w:tc>
        <w:tc>
          <w:tcPr>
            <w:tcW w:w="1701" w:type="dxa"/>
            <w:shd w:val="clear" w:color="auto" w:fill="D9D9D9" w:themeFill="background1" w:themeFillShade="D9"/>
            <w:tcMar>
              <w:top w:w="72" w:type="dxa"/>
              <w:left w:w="144" w:type="dxa"/>
              <w:bottom w:w="72" w:type="dxa"/>
              <w:right w:w="144" w:type="dxa"/>
            </w:tcMar>
            <w:vAlign w:val="center"/>
            <w:hideMark/>
          </w:tcPr>
          <w:p w14:paraId="26DC71A0" w14:textId="77777777" w:rsidR="005A6C83" w:rsidRPr="007916D1" w:rsidRDefault="005A6C83" w:rsidP="005A6C83">
            <w:pPr>
              <w:spacing w:line="240" w:lineRule="auto"/>
              <w:jc w:val="center"/>
              <w:rPr>
                <w:szCs w:val="24"/>
              </w:rPr>
            </w:pPr>
            <w:r w:rsidRPr="007916D1">
              <w:rPr>
                <w:b/>
                <w:bCs/>
                <w:szCs w:val="24"/>
                <w:lang w:val="en-US"/>
              </w:rPr>
              <w:t>-</w:t>
            </w:r>
          </w:p>
        </w:tc>
        <w:tc>
          <w:tcPr>
            <w:tcW w:w="2127" w:type="dxa"/>
            <w:shd w:val="clear" w:color="auto" w:fill="D9D9D9" w:themeFill="background1" w:themeFillShade="D9"/>
            <w:tcMar>
              <w:top w:w="72" w:type="dxa"/>
              <w:left w:w="144" w:type="dxa"/>
              <w:bottom w:w="72" w:type="dxa"/>
              <w:right w:w="144" w:type="dxa"/>
            </w:tcMar>
            <w:vAlign w:val="center"/>
            <w:hideMark/>
          </w:tcPr>
          <w:p w14:paraId="71FFCBFB" w14:textId="77777777" w:rsidR="005A6C83" w:rsidRPr="007916D1" w:rsidRDefault="005A6C83" w:rsidP="005A6C83">
            <w:pPr>
              <w:spacing w:line="240" w:lineRule="auto"/>
              <w:jc w:val="center"/>
              <w:rPr>
                <w:szCs w:val="24"/>
              </w:rPr>
            </w:pPr>
            <w:r w:rsidRPr="007916D1">
              <w:rPr>
                <w:b/>
                <w:bCs/>
                <w:szCs w:val="24"/>
                <w:lang w:val="en-US"/>
              </w:rPr>
              <w:t>-</w:t>
            </w:r>
          </w:p>
        </w:tc>
        <w:tc>
          <w:tcPr>
            <w:tcW w:w="1991" w:type="dxa"/>
            <w:shd w:val="clear" w:color="auto" w:fill="D9D9D9" w:themeFill="background1" w:themeFillShade="D9"/>
            <w:tcMar>
              <w:top w:w="72" w:type="dxa"/>
              <w:left w:w="144" w:type="dxa"/>
              <w:bottom w:w="72" w:type="dxa"/>
              <w:right w:w="144" w:type="dxa"/>
            </w:tcMar>
            <w:vAlign w:val="center"/>
            <w:hideMark/>
          </w:tcPr>
          <w:p w14:paraId="7D41599C" w14:textId="77777777" w:rsidR="005A6C83" w:rsidRPr="007916D1" w:rsidRDefault="005A6C83" w:rsidP="005A6C83">
            <w:pPr>
              <w:spacing w:line="240" w:lineRule="auto"/>
              <w:jc w:val="center"/>
              <w:rPr>
                <w:szCs w:val="24"/>
              </w:rPr>
            </w:pPr>
            <w:r w:rsidRPr="007916D1">
              <w:rPr>
                <w:b/>
                <w:bCs/>
                <w:szCs w:val="24"/>
                <w:lang w:val="en-US"/>
              </w:rPr>
              <w:t>-</w:t>
            </w:r>
          </w:p>
        </w:tc>
        <w:tc>
          <w:tcPr>
            <w:tcW w:w="1843" w:type="dxa"/>
            <w:shd w:val="clear" w:color="auto" w:fill="D9D9D9" w:themeFill="background1" w:themeFillShade="D9"/>
            <w:tcMar>
              <w:top w:w="72" w:type="dxa"/>
              <w:left w:w="144" w:type="dxa"/>
              <w:bottom w:w="72" w:type="dxa"/>
              <w:right w:w="144" w:type="dxa"/>
            </w:tcMar>
            <w:vAlign w:val="center"/>
            <w:hideMark/>
          </w:tcPr>
          <w:p w14:paraId="4F17B892" w14:textId="77777777" w:rsidR="005A6C83" w:rsidRPr="007916D1" w:rsidRDefault="005A6C83" w:rsidP="005A6C83">
            <w:pPr>
              <w:spacing w:line="240" w:lineRule="auto"/>
              <w:jc w:val="center"/>
              <w:rPr>
                <w:szCs w:val="24"/>
              </w:rPr>
            </w:pPr>
            <w:r w:rsidRPr="007916D1">
              <w:rPr>
                <w:b/>
                <w:bCs/>
                <w:szCs w:val="24"/>
                <w:lang w:val="en-US"/>
              </w:rPr>
              <w:t>+</w:t>
            </w:r>
          </w:p>
        </w:tc>
      </w:tr>
    </w:tbl>
    <w:p w14:paraId="5AC7840F" w14:textId="0A3A3B29" w:rsidR="005A6C83" w:rsidRPr="007916D1" w:rsidRDefault="005A6C83" w:rsidP="005A6C83">
      <w:pPr>
        <w:rPr>
          <w:sz w:val="22"/>
          <w:szCs w:val="24"/>
        </w:rPr>
      </w:pPr>
      <w:r w:rsidRPr="007916D1">
        <w:rPr>
          <w:sz w:val="22"/>
          <w:szCs w:val="24"/>
          <w:lang w:val="en-US"/>
        </w:rPr>
        <w:t>Cy</w:t>
      </w:r>
      <w:r w:rsidRPr="007916D1">
        <w:rPr>
          <w:sz w:val="22"/>
          <w:szCs w:val="24"/>
        </w:rPr>
        <w:t xml:space="preserve"> – цитоплазматическая экспрессия. </w:t>
      </w:r>
      <w:r w:rsidRPr="007916D1">
        <w:rPr>
          <w:sz w:val="22"/>
          <w:szCs w:val="24"/>
          <w:lang w:val="en-US"/>
        </w:rPr>
        <w:t>Surf</w:t>
      </w:r>
      <w:r w:rsidRPr="007916D1">
        <w:rPr>
          <w:sz w:val="22"/>
          <w:szCs w:val="24"/>
        </w:rPr>
        <w:t xml:space="preserve"> – поверхностная экспрессия. </w:t>
      </w:r>
      <w:r w:rsidRPr="007916D1">
        <w:rPr>
          <w:sz w:val="22"/>
          <w:szCs w:val="24"/>
          <w:lang w:val="en-US"/>
        </w:rPr>
        <w:t>Nu</w:t>
      </w:r>
      <w:r w:rsidRPr="007916D1">
        <w:rPr>
          <w:sz w:val="22"/>
          <w:szCs w:val="24"/>
        </w:rPr>
        <w:t xml:space="preserve"> – ядерная экспрессия.</w:t>
      </w:r>
    </w:p>
    <w:p w14:paraId="76FC5873" w14:textId="77777777" w:rsidR="005A6C83" w:rsidRPr="007916D1" w:rsidRDefault="005A6C83" w:rsidP="005A6C83">
      <w:pPr>
        <w:rPr>
          <w:sz w:val="22"/>
          <w:szCs w:val="24"/>
        </w:rPr>
      </w:pPr>
    </w:p>
    <w:p w14:paraId="33221562" w14:textId="77777777" w:rsidR="005A6C83" w:rsidRPr="007916D1" w:rsidRDefault="005A6C83" w:rsidP="005A6C83">
      <w:pPr>
        <w:ind w:firstLine="709"/>
        <w:rPr>
          <w:szCs w:val="24"/>
        </w:rPr>
      </w:pPr>
      <w:r w:rsidRPr="007916D1">
        <w:rPr>
          <w:szCs w:val="24"/>
        </w:rPr>
        <w:t xml:space="preserve">По аналогии со стадиями интратимической дифференцировки Т-лимфоцитов выделяют 4 варианта Т-ОЛЛ: про-Т, пре-Т, кортикальный Т, медуллярный (зрелый) Т-ОЛЛ. В классификации </w:t>
      </w:r>
      <w:r w:rsidRPr="007916D1">
        <w:rPr>
          <w:szCs w:val="24"/>
          <w:lang w:val="en-US"/>
        </w:rPr>
        <w:t>EGIL</w:t>
      </w:r>
      <w:r w:rsidRPr="007916D1">
        <w:rPr>
          <w:szCs w:val="24"/>
        </w:rPr>
        <w:t xml:space="preserve"> эти варианты называются </w:t>
      </w:r>
      <w:r w:rsidRPr="007916D1">
        <w:rPr>
          <w:szCs w:val="24"/>
          <w:lang w:val="en-US"/>
        </w:rPr>
        <w:t>TI</w:t>
      </w:r>
      <w:r w:rsidRPr="007916D1">
        <w:rPr>
          <w:szCs w:val="24"/>
        </w:rPr>
        <w:t xml:space="preserve">, </w:t>
      </w:r>
      <w:r w:rsidRPr="007916D1">
        <w:rPr>
          <w:szCs w:val="24"/>
          <w:lang w:val="en-US"/>
        </w:rPr>
        <w:t>TII</w:t>
      </w:r>
      <w:r w:rsidRPr="007916D1">
        <w:rPr>
          <w:szCs w:val="24"/>
        </w:rPr>
        <w:t xml:space="preserve">, </w:t>
      </w:r>
      <w:r w:rsidRPr="007916D1">
        <w:rPr>
          <w:szCs w:val="24"/>
          <w:lang w:val="en-US"/>
        </w:rPr>
        <w:t>TIII</w:t>
      </w:r>
      <w:r w:rsidRPr="007916D1">
        <w:rPr>
          <w:szCs w:val="24"/>
        </w:rPr>
        <w:t xml:space="preserve">, </w:t>
      </w:r>
      <w:r w:rsidRPr="007916D1">
        <w:rPr>
          <w:szCs w:val="24"/>
          <w:lang w:val="en-US"/>
        </w:rPr>
        <w:t>TIV</w:t>
      </w:r>
      <w:r w:rsidRPr="007916D1">
        <w:rPr>
          <w:szCs w:val="24"/>
        </w:rPr>
        <w:t xml:space="preserve"> (Таблица 2).</w:t>
      </w:r>
    </w:p>
    <w:p w14:paraId="3D9B1397" w14:textId="77777777" w:rsidR="005A6C83" w:rsidRPr="007916D1" w:rsidRDefault="005A6C83" w:rsidP="00461889">
      <w:pPr>
        <w:pStyle w:val="afff3"/>
        <w:widowControl/>
        <w:numPr>
          <w:ilvl w:val="0"/>
          <w:numId w:val="255"/>
        </w:numPr>
        <w:autoSpaceDE/>
        <w:autoSpaceDN/>
        <w:adjustRightInd/>
        <w:spacing w:line="276" w:lineRule="auto"/>
        <w:rPr>
          <w:szCs w:val="24"/>
        </w:rPr>
      </w:pPr>
      <w:r w:rsidRPr="007916D1">
        <w:rPr>
          <w:szCs w:val="24"/>
          <w:lang w:val="en-US"/>
        </w:rPr>
        <w:t>TI</w:t>
      </w:r>
      <w:r w:rsidRPr="007916D1">
        <w:rPr>
          <w:szCs w:val="24"/>
        </w:rPr>
        <w:t xml:space="preserve"> - экспрессия только ранних маркеров (</w:t>
      </w:r>
      <w:r w:rsidRPr="007916D1">
        <w:rPr>
          <w:szCs w:val="24"/>
          <w:lang w:val="en-US"/>
        </w:rPr>
        <w:t>cyCD</w:t>
      </w:r>
      <w:r w:rsidRPr="007916D1">
        <w:rPr>
          <w:szCs w:val="24"/>
        </w:rPr>
        <w:t xml:space="preserve">3, </w:t>
      </w:r>
      <w:r w:rsidRPr="007916D1">
        <w:rPr>
          <w:szCs w:val="24"/>
          <w:lang w:val="en-US"/>
        </w:rPr>
        <w:t>CD</w:t>
      </w:r>
      <w:r w:rsidRPr="007916D1">
        <w:rPr>
          <w:szCs w:val="24"/>
        </w:rPr>
        <w:t xml:space="preserve">7, возможно </w:t>
      </w:r>
      <w:r w:rsidRPr="007916D1">
        <w:rPr>
          <w:szCs w:val="24"/>
          <w:lang w:val="en-US"/>
        </w:rPr>
        <w:t>CD</w:t>
      </w:r>
      <w:r w:rsidRPr="007916D1">
        <w:rPr>
          <w:szCs w:val="24"/>
        </w:rPr>
        <w:t xml:space="preserve">10, </w:t>
      </w:r>
      <w:r w:rsidRPr="007916D1">
        <w:rPr>
          <w:szCs w:val="24"/>
          <w:lang w:val="en-US"/>
        </w:rPr>
        <w:t>HLA</w:t>
      </w:r>
      <w:r w:rsidRPr="007916D1">
        <w:rPr>
          <w:szCs w:val="24"/>
        </w:rPr>
        <w:t>-</w:t>
      </w:r>
      <w:r w:rsidRPr="007916D1">
        <w:rPr>
          <w:szCs w:val="24"/>
          <w:lang w:val="en-US"/>
        </w:rPr>
        <w:t>DR</w:t>
      </w:r>
      <w:r w:rsidRPr="007916D1">
        <w:rPr>
          <w:szCs w:val="24"/>
        </w:rPr>
        <w:t xml:space="preserve">, </w:t>
      </w:r>
      <w:r w:rsidRPr="007916D1">
        <w:rPr>
          <w:szCs w:val="24"/>
          <w:lang w:val="en-US"/>
        </w:rPr>
        <w:t>CD</w:t>
      </w:r>
      <w:r w:rsidRPr="007916D1">
        <w:rPr>
          <w:szCs w:val="24"/>
        </w:rPr>
        <w:t xml:space="preserve">34) и отсутствие </w:t>
      </w:r>
      <w:r w:rsidRPr="007916D1">
        <w:rPr>
          <w:szCs w:val="24"/>
          <w:lang w:val="en-US"/>
        </w:rPr>
        <w:t>CD</w:t>
      </w:r>
      <w:r w:rsidRPr="007916D1">
        <w:rPr>
          <w:szCs w:val="24"/>
        </w:rPr>
        <w:t xml:space="preserve">4 и </w:t>
      </w:r>
      <w:r w:rsidRPr="007916D1">
        <w:rPr>
          <w:szCs w:val="24"/>
          <w:lang w:val="en-US"/>
        </w:rPr>
        <w:t>CD</w:t>
      </w:r>
      <w:r w:rsidRPr="007916D1">
        <w:rPr>
          <w:szCs w:val="24"/>
        </w:rPr>
        <w:t xml:space="preserve">8, </w:t>
      </w:r>
      <w:r w:rsidRPr="007916D1">
        <w:rPr>
          <w:szCs w:val="24"/>
          <w:lang w:val="en-US"/>
        </w:rPr>
        <w:t>CD</w:t>
      </w:r>
      <w:r w:rsidRPr="007916D1">
        <w:rPr>
          <w:szCs w:val="24"/>
        </w:rPr>
        <w:t>1</w:t>
      </w:r>
      <w:r w:rsidRPr="007916D1">
        <w:rPr>
          <w:szCs w:val="24"/>
          <w:lang w:val="en-US"/>
        </w:rPr>
        <w:t>a</w:t>
      </w:r>
      <w:r w:rsidRPr="007916D1">
        <w:rPr>
          <w:szCs w:val="24"/>
        </w:rPr>
        <w:t xml:space="preserve">. </w:t>
      </w:r>
    </w:p>
    <w:p w14:paraId="014B4A2C" w14:textId="77777777" w:rsidR="005A6C83" w:rsidRPr="007916D1" w:rsidRDefault="005A6C83" w:rsidP="00461889">
      <w:pPr>
        <w:pStyle w:val="afff3"/>
        <w:widowControl/>
        <w:numPr>
          <w:ilvl w:val="0"/>
          <w:numId w:val="255"/>
        </w:numPr>
        <w:autoSpaceDE/>
        <w:autoSpaceDN/>
        <w:adjustRightInd/>
        <w:spacing w:line="276" w:lineRule="auto"/>
        <w:rPr>
          <w:szCs w:val="24"/>
        </w:rPr>
      </w:pPr>
      <w:r w:rsidRPr="007916D1">
        <w:rPr>
          <w:szCs w:val="24"/>
          <w:lang w:val="en-US"/>
        </w:rPr>
        <w:t>TII</w:t>
      </w:r>
      <w:r w:rsidRPr="007916D1">
        <w:rPr>
          <w:szCs w:val="24"/>
        </w:rPr>
        <w:t xml:space="preserve"> - появляется </w:t>
      </w:r>
      <w:r w:rsidRPr="007916D1">
        <w:rPr>
          <w:szCs w:val="24"/>
          <w:u w:val="single"/>
          <w:lang w:val="en-US"/>
        </w:rPr>
        <w:t>CD</w:t>
      </w:r>
      <w:r w:rsidRPr="007916D1">
        <w:rPr>
          <w:szCs w:val="24"/>
          <w:u w:val="single"/>
        </w:rPr>
        <w:t xml:space="preserve">2 и/или </w:t>
      </w:r>
      <w:r w:rsidRPr="007916D1">
        <w:rPr>
          <w:szCs w:val="24"/>
          <w:u w:val="single"/>
          <w:lang w:val="en-US"/>
        </w:rPr>
        <w:t>CD</w:t>
      </w:r>
      <w:r w:rsidRPr="007916D1">
        <w:rPr>
          <w:szCs w:val="24"/>
          <w:u w:val="single"/>
        </w:rPr>
        <w:t>5</w:t>
      </w:r>
      <w:r w:rsidRPr="007916D1">
        <w:rPr>
          <w:szCs w:val="24"/>
        </w:rPr>
        <w:t xml:space="preserve">. </w:t>
      </w:r>
    </w:p>
    <w:p w14:paraId="406923F2" w14:textId="77777777" w:rsidR="005A6C83" w:rsidRPr="007916D1" w:rsidRDefault="005A6C83" w:rsidP="00461889">
      <w:pPr>
        <w:pStyle w:val="afff3"/>
        <w:widowControl/>
        <w:numPr>
          <w:ilvl w:val="0"/>
          <w:numId w:val="255"/>
        </w:numPr>
        <w:autoSpaceDE/>
        <w:autoSpaceDN/>
        <w:adjustRightInd/>
        <w:spacing w:line="276" w:lineRule="auto"/>
        <w:rPr>
          <w:szCs w:val="24"/>
        </w:rPr>
      </w:pPr>
      <w:r w:rsidRPr="007916D1">
        <w:rPr>
          <w:szCs w:val="24"/>
          <w:lang w:val="en-US"/>
        </w:rPr>
        <w:t>TIII</w:t>
      </w:r>
      <w:r w:rsidRPr="007916D1">
        <w:rPr>
          <w:szCs w:val="24"/>
        </w:rPr>
        <w:t xml:space="preserve"> (кортикальный Т-ОЛЛ) - обязательно наличие </w:t>
      </w:r>
      <w:r w:rsidRPr="007916D1">
        <w:rPr>
          <w:szCs w:val="24"/>
          <w:u w:val="single"/>
          <w:lang w:val="en-US"/>
        </w:rPr>
        <w:t>CD</w:t>
      </w:r>
      <w:r w:rsidRPr="007916D1">
        <w:rPr>
          <w:szCs w:val="24"/>
          <w:u w:val="single"/>
        </w:rPr>
        <w:t>1</w:t>
      </w:r>
      <w:r w:rsidRPr="007916D1">
        <w:rPr>
          <w:szCs w:val="24"/>
          <w:u w:val="single"/>
          <w:lang w:val="en-US"/>
        </w:rPr>
        <w:t>a</w:t>
      </w:r>
      <w:r w:rsidRPr="007916D1">
        <w:rPr>
          <w:szCs w:val="24"/>
          <w:u w:val="single"/>
        </w:rPr>
        <w:t>;</w:t>
      </w:r>
      <w:r w:rsidRPr="007916D1">
        <w:rPr>
          <w:szCs w:val="24"/>
        </w:rPr>
        <w:t xml:space="preserve"> мембранный </w:t>
      </w:r>
      <w:r w:rsidRPr="007916D1">
        <w:rPr>
          <w:szCs w:val="24"/>
          <w:lang w:val="en-US"/>
        </w:rPr>
        <w:t>CD</w:t>
      </w:r>
      <w:r w:rsidRPr="007916D1">
        <w:rPr>
          <w:szCs w:val="24"/>
        </w:rPr>
        <w:t xml:space="preserve">3 -/+. </w:t>
      </w:r>
    </w:p>
    <w:p w14:paraId="1C94C9F8" w14:textId="77777777" w:rsidR="005A6C83" w:rsidRPr="007916D1" w:rsidRDefault="005A6C83" w:rsidP="00461889">
      <w:pPr>
        <w:pStyle w:val="afff3"/>
        <w:widowControl/>
        <w:numPr>
          <w:ilvl w:val="0"/>
          <w:numId w:val="255"/>
        </w:numPr>
        <w:autoSpaceDE/>
        <w:autoSpaceDN/>
        <w:adjustRightInd/>
        <w:spacing w:line="276" w:lineRule="auto"/>
        <w:rPr>
          <w:szCs w:val="24"/>
        </w:rPr>
      </w:pPr>
      <w:r w:rsidRPr="007916D1">
        <w:rPr>
          <w:szCs w:val="24"/>
          <w:lang w:val="en-US"/>
        </w:rPr>
        <w:t>TIV</w:t>
      </w:r>
      <w:r w:rsidRPr="007916D1">
        <w:rPr>
          <w:szCs w:val="24"/>
        </w:rPr>
        <w:t xml:space="preserve"> (медуллярный Т-ОЛЛ) характеризуется </w:t>
      </w:r>
      <w:r w:rsidRPr="007916D1">
        <w:rPr>
          <w:szCs w:val="24"/>
          <w:u w:val="single"/>
        </w:rPr>
        <w:t>яркой</w:t>
      </w:r>
      <w:r w:rsidRPr="007916D1">
        <w:rPr>
          <w:szCs w:val="24"/>
        </w:rPr>
        <w:t xml:space="preserve"> экспрессией </w:t>
      </w:r>
      <w:r w:rsidRPr="007916D1">
        <w:rPr>
          <w:szCs w:val="24"/>
          <w:u w:val="single"/>
        </w:rPr>
        <w:t xml:space="preserve">мембранного </w:t>
      </w:r>
      <w:r w:rsidRPr="007916D1">
        <w:rPr>
          <w:szCs w:val="24"/>
          <w:u w:val="single"/>
          <w:lang w:val="en-US"/>
        </w:rPr>
        <w:t>CD</w:t>
      </w:r>
      <w:r w:rsidRPr="007916D1">
        <w:rPr>
          <w:szCs w:val="24"/>
          <w:u w:val="single"/>
        </w:rPr>
        <w:t>3 и/или экспрессией Т-клеточного рецептора (</w:t>
      </w:r>
      <w:r w:rsidRPr="007916D1">
        <w:rPr>
          <w:szCs w:val="24"/>
          <w:u w:val="single"/>
          <w:lang w:val="en-US"/>
        </w:rPr>
        <w:t>TCR</w:t>
      </w:r>
      <w:r w:rsidRPr="007916D1">
        <w:rPr>
          <w:szCs w:val="24"/>
          <w:u w:val="single"/>
        </w:rPr>
        <w:t>)</w:t>
      </w:r>
      <w:r w:rsidRPr="007916D1">
        <w:rPr>
          <w:szCs w:val="24"/>
        </w:rPr>
        <w:t xml:space="preserve">; </w:t>
      </w:r>
      <w:r w:rsidRPr="007916D1">
        <w:rPr>
          <w:szCs w:val="24"/>
          <w:lang w:val="en-US"/>
        </w:rPr>
        <w:t>CD</w:t>
      </w:r>
      <w:r w:rsidRPr="007916D1">
        <w:rPr>
          <w:szCs w:val="24"/>
        </w:rPr>
        <w:t>1</w:t>
      </w:r>
      <w:r w:rsidRPr="007916D1">
        <w:rPr>
          <w:szCs w:val="24"/>
          <w:lang w:val="en-US"/>
        </w:rPr>
        <w:t>a</w:t>
      </w:r>
      <w:r w:rsidRPr="007916D1">
        <w:rPr>
          <w:szCs w:val="24"/>
        </w:rPr>
        <w:t xml:space="preserve"> отрицателен.</w:t>
      </w:r>
    </w:p>
    <w:p w14:paraId="1314DFE0" w14:textId="77777777" w:rsidR="005A6C83" w:rsidRPr="007916D1" w:rsidRDefault="005A6C83" w:rsidP="005A6C83"/>
    <w:p w14:paraId="22DD515E" w14:textId="77777777" w:rsidR="005A6C83" w:rsidRPr="007916D1" w:rsidRDefault="005A6C83" w:rsidP="005A6C83">
      <w:pPr>
        <w:tabs>
          <w:tab w:val="left" w:pos="6737"/>
        </w:tabs>
        <w:spacing w:line="240" w:lineRule="auto"/>
        <w:rPr>
          <w:szCs w:val="24"/>
        </w:rPr>
      </w:pPr>
    </w:p>
    <w:tbl>
      <w:tblPr>
        <w:tblpPr w:leftFromText="180" w:rightFromText="180" w:vertAnchor="text" w:horzAnchor="page" w:tblpX="1531" w:tblpY="323"/>
        <w:tblW w:w="9493" w:type="dxa"/>
        <w:tblCellMar>
          <w:left w:w="0" w:type="dxa"/>
          <w:right w:w="0" w:type="dxa"/>
        </w:tblCellMar>
        <w:tblLook w:val="0600" w:firstRow="0" w:lastRow="0" w:firstColumn="0" w:lastColumn="0" w:noHBand="1" w:noVBand="1"/>
      </w:tblPr>
      <w:tblGrid>
        <w:gridCol w:w="1838"/>
        <w:gridCol w:w="1843"/>
        <w:gridCol w:w="1984"/>
        <w:gridCol w:w="1720"/>
        <w:gridCol w:w="2108"/>
      </w:tblGrid>
      <w:tr w:rsidR="005A6C83" w:rsidRPr="007916D1" w14:paraId="79633FE4" w14:textId="77777777" w:rsidTr="005A6C83">
        <w:trPr>
          <w:trHeight w:val="327"/>
        </w:trPr>
        <w:tc>
          <w:tcPr>
            <w:tcW w:w="1838" w:type="dxa"/>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vAlign w:val="center"/>
            <w:hideMark/>
          </w:tcPr>
          <w:p w14:paraId="1F875772" w14:textId="77777777" w:rsidR="005A6C83" w:rsidRPr="007916D1" w:rsidRDefault="005A6C83" w:rsidP="005A6C83">
            <w:pPr>
              <w:spacing w:line="240" w:lineRule="auto"/>
              <w:jc w:val="center"/>
              <w:rPr>
                <w:szCs w:val="24"/>
              </w:rPr>
            </w:pPr>
            <w:r w:rsidRPr="007916D1">
              <w:rPr>
                <w:bCs/>
                <w:szCs w:val="24"/>
              </w:rPr>
              <w:lastRenderedPageBreak/>
              <w:t>Маркер</w:t>
            </w:r>
          </w:p>
        </w:tc>
        <w:tc>
          <w:tcPr>
            <w:tcW w:w="1843" w:type="dxa"/>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vAlign w:val="center"/>
            <w:hideMark/>
          </w:tcPr>
          <w:p w14:paraId="26327127" w14:textId="77777777" w:rsidR="005A6C83" w:rsidRPr="007916D1" w:rsidRDefault="005A6C83" w:rsidP="005A6C83">
            <w:pPr>
              <w:spacing w:line="240" w:lineRule="auto"/>
              <w:jc w:val="center"/>
              <w:rPr>
                <w:szCs w:val="24"/>
              </w:rPr>
            </w:pPr>
            <w:r w:rsidRPr="007916D1">
              <w:rPr>
                <w:bCs/>
                <w:szCs w:val="24"/>
                <w:lang w:val="en-US"/>
              </w:rPr>
              <w:t>Pro-T (TI)</w:t>
            </w:r>
          </w:p>
        </w:tc>
        <w:tc>
          <w:tcPr>
            <w:tcW w:w="1984" w:type="dxa"/>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vAlign w:val="center"/>
            <w:hideMark/>
          </w:tcPr>
          <w:p w14:paraId="782BBC9B" w14:textId="77777777" w:rsidR="005A6C83" w:rsidRPr="007916D1" w:rsidRDefault="005A6C83" w:rsidP="005A6C83">
            <w:pPr>
              <w:spacing w:line="240" w:lineRule="auto"/>
              <w:jc w:val="center"/>
              <w:rPr>
                <w:szCs w:val="24"/>
              </w:rPr>
            </w:pPr>
            <w:r w:rsidRPr="007916D1">
              <w:rPr>
                <w:bCs/>
                <w:szCs w:val="24"/>
                <w:lang w:val="en-US"/>
              </w:rPr>
              <w:t>Pre-T (TII)</w:t>
            </w:r>
          </w:p>
        </w:tc>
        <w:tc>
          <w:tcPr>
            <w:tcW w:w="1720" w:type="dxa"/>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vAlign w:val="center"/>
            <w:hideMark/>
          </w:tcPr>
          <w:p w14:paraId="40EF858A" w14:textId="77777777" w:rsidR="005A6C83" w:rsidRPr="007916D1" w:rsidRDefault="005A6C83" w:rsidP="005A6C83">
            <w:pPr>
              <w:spacing w:line="240" w:lineRule="auto"/>
              <w:jc w:val="center"/>
              <w:rPr>
                <w:szCs w:val="24"/>
              </w:rPr>
            </w:pPr>
            <w:r w:rsidRPr="007916D1">
              <w:rPr>
                <w:bCs/>
                <w:szCs w:val="24"/>
                <w:lang w:val="en-US"/>
              </w:rPr>
              <w:t>Cortical T (TIII)</w:t>
            </w:r>
          </w:p>
        </w:tc>
        <w:tc>
          <w:tcPr>
            <w:tcW w:w="2108" w:type="dxa"/>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vAlign w:val="center"/>
            <w:hideMark/>
          </w:tcPr>
          <w:p w14:paraId="3FE2C318" w14:textId="77777777" w:rsidR="005A6C83" w:rsidRPr="007916D1" w:rsidRDefault="005A6C83" w:rsidP="005A6C83">
            <w:pPr>
              <w:spacing w:line="240" w:lineRule="auto"/>
              <w:jc w:val="center"/>
              <w:rPr>
                <w:szCs w:val="24"/>
              </w:rPr>
            </w:pPr>
            <w:r w:rsidRPr="007916D1">
              <w:rPr>
                <w:bCs/>
                <w:szCs w:val="24"/>
                <w:lang w:val="en-US"/>
              </w:rPr>
              <w:t>T</w:t>
            </w:r>
            <w:r w:rsidRPr="007916D1">
              <w:rPr>
                <w:bCs/>
                <w:szCs w:val="24"/>
              </w:rPr>
              <w:t>-</w:t>
            </w:r>
            <w:r w:rsidRPr="007916D1">
              <w:rPr>
                <w:bCs/>
                <w:szCs w:val="24"/>
                <w:lang w:val="en-US"/>
              </w:rPr>
              <w:t>ALL (TIV)</w:t>
            </w:r>
          </w:p>
        </w:tc>
      </w:tr>
      <w:tr w:rsidR="005A6C83" w:rsidRPr="007916D1" w14:paraId="620CBADB" w14:textId="77777777" w:rsidTr="005A6C83">
        <w:trPr>
          <w:trHeight w:val="226"/>
        </w:trPr>
        <w:tc>
          <w:tcPr>
            <w:tcW w:w="1838" w:type="dxa"/>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vAlign w:val="center"/>
            <w:hideMark/>
          </w:tcPr>
          <w:p w14:paraId="6F96F54D" w14:textId="77777777" w:rsidR="005A6C83" w:rsidRPr="007916D1" w:rsidRDefault="005A6C83" w:rsidP="005A6C83">
            <w:pPr>
              <w:spacing w:line="240" w:lineRule="auto"/>
              <w:rPr>
                <w:szCs w:val="24"/>
              </w:rPr>
            </w:pPr>
            <w:r w:rsidRPr="007916D1">
              <w:rPr>
                <w:b/>
                <w:bCs/>
                <w:szCs w:val="24"/>
                <w:lang w:val="en-US"/>
              </w:rPr>
              <w:t>cyCD3</w:t>
            </w:r>
          </w:p>
        </w:tc>
        <w:tc>
          <w:tcPr>
            <w:tcW w:w="1843" w:type="dxa"/>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vAlign w:val="center"/>
            <w:hideMark/>
          </w:tcPr>
          <w:p w14:paraId="0D4D8555" w14:textId="77777777" w:rsidR="005A6C83" w:rsidRPr="007916D1" w:rsidRDefault="005A6C83" w:rsidP="005A6C83">
            <w:pPr>
              <w:spacing w:line="240" w:lineRule="auto"/>
              <w:jc w:val="center"/>
              <w:rPr>
                <w:b/>
                <w:szCs w:val="24"/>
              </w:rPr>
            </w:pPr>
            <w:r w:rsidRPr="007916D1">
              <w:rPr>
                <w:b/>
                <w:bCs/>
                <w:szCs w:val="24"/>
                <w:lang w:val="en-US"/>
              </w:rPr>
              <w:t>+</w:t>
            </w:r>
          </w:p>
        </w:tc>
        <w:tc>
          <w:tcPr>
            <w:tcW w:w="1984" w:type="dxa"/>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vAlign w:val="center"/>
            <w:hideMark/>
          </w:tcPr>
          <w:p w14:paraId="7200D92E" w14:textId="77777777" w:rsidR="005A6C83" w:rsidRPr="007916D1" w:rsidRDefault="005A6C83" w:rsidP="005A6C83">
            <w:pPr>
              <w:spacing w:line="240" w:lineRule="auto"/>
              <w:jc w:val="center"/>
              <w:rPr>
                <w:b/>
                <w:szCs w:val="24"/>
              </w:rPr>
            </w:pPr>
            <w:r w:rsidRPr="007916D1">
              <w:rPr>
                <w:b/>
                <w:bCs/>
                <w:szCs w:val="24"/>
                <w:lang w:val="en-US"/>
              </w:rPr>
              <w:t>+</w:t>
            </w:r>
          </w:p>
        </w:tc>
        <w:tc>
          <w:tcPr>
            <w:tcW w:w="1720" w:type="dxa"/>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vAlign w:val="center"/>
            <w:hideMark/>
          </w:tcPr>
          <w:p w14:paraId="2598A89B" w14:textId="77777777" w:rsidR="005A6C83" w:rsidRPr="007916D1" w:rsidRDefault="005A6C83" w:rsidP="005A6C83">
            <w:pPr>
              <w:spacing w:line="240" w:lineRule="auto"/>
              <w:jc w:val="center"/>
              <w:rPr>
                <w:b/>
                <w:szCs w:val="24"/>
              </w:rPr>
            </w:pPr>
            <w:r w:rsidRPr="007916D1">
              <w:rPr>
                <w:b/>
                <w:bCs/>
                <w:szCs w:val="24"/>
                <w:lang w:val="en-US"/>
              </w:rPr>
              <w:t>+</w:t>
            </w:r>
          </w:p>
        </w:tc>
        <w:tc>
          <w:tcPr>
            <w:tcW w:w="2108" w:type="dxa"/>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vAlign w:val="center"/>
            <w:hideMark/>
          </w:tcPr>
          <w:p w14:paraId="6C89158D" w14:textId="77777777" w:rsidR="005A6C83" w:rsidRPr="007916D1" w:rsidRDefault="005A6C83" w:rsidP="005A6C83">
            <w:pPr>
              <w:spacing w:line="240" w:lineRule="auto"/>
              <w:jc w:val="center"/>
              <w:rPr>
                <w:b/>
                <w:szCs w:val="24"/>
              </w:rPr>
            </w:pPr>
            <w:r w:rsidRPr="007916D1">
              <w:rPr>
                <w:b/>
                <w:bCs/>
                <w:szCs w:val="24"/>
                <w:lang w:val="en-US"/>
              </w:rPr>
              <w:t>+</w:t>
            </w:r>
          </w:p>
        </w:tc>
      </w:tr>
      <w:tr w:rsidR="005A6C83" w:rsidRPr="007916D1" w14:paraId="6B8EB4FE" w14:textId="77777777" w:rsidTr="005A6C83">
        <w:trPr>
          <w:trHeight w:val="226"/>
        </w:trPr>
        <w:tc>
          <w:tcPr>
            <w:tcW w:w="1838" w:type="dxa"/>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vAlign w:val="center"/>
            <w:hideMark/>
          </w:tcPr>
          <w:p w14:paraId="1D694E7C" w14:textId="77777777" w:rsidR="005A6C83" w:rsidRPr="007916D1" w:rsidRDefault="005A6C83" w:rsidP="005A6C83">
            <w:pPr>
              <w:spacing w:line="240" w:lineRule="auto"/>
              <w:rPr>
                <w:szCs w:val="24"/>
              </w:rPr>
            </w:pPr>
            <w:r w:rsidRPr="007916D1">
              <w:rPr>
                <w:b/>
                <w:bCs/>
                <w:szCs w:val="24"/>
                <w:lang w:val="en-US"/>
              </w:rPr>
              <w:t>CD7</w:t>
            </w:r>
          </w:p>
        </w:tc>
        <w:tc>
          <w:tcPr>
            <w:tcW w:w="1843" w:type="dxa"/>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vAlign w:val="center"/>
            <w:hideMark/>
          </w:tcPr>
          <w:p w14:paraId="6BF4A63D" w14:textId="77777777" w:rsidR="005A6C83" w:rsidRPr="007916D1" w:rsidRDefault="005A6C83" w:rsidP="005A6C83">
            <w:pPr>
              <w:spacing w:line="240" w:lineRule="auto"/>
              <w:jc w:val="center"/>
              <w:rPr>
                <w:szCs w:val="24"/>
              </w:rPr>
            </w:pPr>
            <w:r w:rsidRPr="007916D1">
              <w:rPr>
                <w:b/>
                <w:bCs/>
                <w:szCs w:val="24"/>
                <w:lang w:val="en-US"/>
              </w:rPr>
              <w:t>+</w:t>
            </w:r>
          </w:p>
        </w:tc>
        <w:tc>
          <w:tcPr>
            <w:tcW w:w="1984" w:type="dxa"/>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vAlign w:val="center"/>
            <w:hideMark/>
          </w:tcPr>
          <w:p w14:paraId="239A5F08" w14:textId="77777777" w:rsidR="005A6C83" w:rsidRPr="007916D1" w:rsidRDefault="005A6C83" w:rsidP="005A6C83">
            <w:pPr>
              <w:spacing w:line="240" w:lineRule="auto"/>
              <w:jc w:val="center"/>
              <w:rPr>
                <w:szCs w:val="24"/>
              </w:rPr>
            </w:pPr>
            <w:r w:rsidRPr="007916D1">
              <w:rPr>
                <w:b/>
                <w:bCs/>
                <w:szCs w:val="24"/>
                <w:lang w:val="en-US"/>
              </w:rPr>
              <w:t>+</w:t>
            </w:r>
          </w:p>
        </w:tc>
        <w:tc>
          <w:tcPr>
            <w:tcW w:w="1720" w:type="dxa"/>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vAlign w:val="center"/>
            <w:hideMark/>
          </w:tcPr>
          <w:p w14:paraId="743C8CE5" w14:textId="77777777" w:rsidR="005A6C83" w:rsidRPr="007916D1" w:rsidRDefault="005A6C83" w:rsidP="005A6C83">
            <w:pPr>
              <w:spacing w:line="240" w:lineRule="auto"/>
              <w:jc w:val="center"/>
              <w:rPr>
                <w:szCs w:val="24"/>
              </w:rPr>
            </w:pPr>
            <w:r w:rsidRPr="007916D1">
              <w:rPr>
                <w:b/>
                <w:bCs/>
                <w:szCs w:val="24"/>
                <w:lang w:val="en-US"/>
              </w:rPr>
              <w:t>+</w:t>
            </w:r>
          </w:p>
        </w:tc>
        <w:tc>
          <w:tcPr>
            <w:tcW w:w="2108" w:type="dxa"/>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vAlign w:val="center"/>
            <w:hideMark/>
          </w:tcPr>
          <w:p w14:paraId="51F628F9" w14:textId="77777777" w:rsidR="005A6C83" w:rsidRPr="007916D1" w:rsidRDefault="005A6C83" w:rsidP="005A6C83">
            <w:pPr>
              <w:spacing w:line="240" w:lineRule="auto"/>
              <w:jc w:val="center"/>
              <w:rPr>
                <w:szCs w:val="24"/>
              </w:rPr>
            </w:pPr>
            <w:r w:rsidRPr="007916D1">
              <w:rPr>
                <w:b/>
                <w:bCs/>
                <w:szCs w:val="24"/>
                <w:lang w:val="en-US"/>
              </w:rPr>
              <w:t>+</w:t>
            </w:r>
          </w:p>
        </w:tc>
      </w:tr>
      <w:tr w:rsidR="005A6C83" w:rsidRPr="007916D1" w14:paraId="2B48E5F8" w14:textId="77777777" w:rsidTr="005A6C83">
        <w:trPr>
          <w:trHeight w:val="226"/>
        </w:trPr>
        <w:tc>
          <w:tcPr>
            <w:tcW w:w="1838" w:type="dxa"/>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vAlign w:val="center"/>
            <w:hideMark/>
          </w:tcPr>
          <w:p w14:paraId="5CC25AA0" w14:textId="77777777" w:rsidR="005A6C83" w:rsidRPr="007916D1" w:rsidRDefault="005A6C83" w:rsidP="005A6C83">
            <w:pPr>
              <w:spacing w:line="240" w:lineRule="auto"/>
              <w:rPr>
                <w:szCs w:val="24"/>
              </w:rPr>
            </w:pPr>
            <w:r w:rsidRPr="007916D1">
              <w:rPr>
                <w:bCs/>
                <w:szCs w:val="24"/>
                <w:lang w:val="en-US"/>
              </w:rPr>
              <w:t>CD2</w:t>
            </w:r>
          </w:p>
        </w:tc>
        <w:tc>
          <w:tcPr>
            <w:tcW w:w="1843" w:type="dxa"/>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vAlign w:val="center"/>
            <w:hideMark/>
          </w:tcPr>
          <w:p w14:paraId="271B8AC3" w14:textId="77777777" w:rsidR="005A6C83" w:rsidRPr="007916D1" w:rsidRDefault="005A6C83" w:rsidP="005A6C83">
            <w:pPr>
              <w:spacing w:line="240" w:lineRule="auto"/>
              <w:jc w:val="center"/>
              <w:rPr>
                <w:szCs w:val="24"/>
              </w:rPr>
            </w:pPr>
            <w:r w:rsidRPr="007916D1">
              <w:rPr>
                <w:b/>
                <w:bCs/>
                <w:szCs w:val="24"/>
                <w:lang w:val="en-US"/>
              </w:rPr>
              <w:t>-</w:t>
            </w:r>
          </w:p>
        </w:tc>
        <w:tc>
          <w:tcPr>
            <w:tcW w:w="198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72" w:type="dxa"/>
              <w:left w:w="144" w:type="dxa"/>
              <w:bottom w:w="72" w:type="dxa"/>
              <w:right w:w="144" w:type="dxa"/>
            </w:tcMar>
            <w:vAlign w:val="center"/>
            <w:hideMark/>
          </w:tcPr>
          <w:p w14:paraId="66A71E20" w14:textId="77777777" w:rsidR="005A6C83" w:rsidRPr="007916D1" w:rsidRDefault="005A6C83" w:rsidP="005A6C83">
            <w:pPr>
              <w:spacing w:line="240" w:lineRule="auto"/>
              <w:jc w:val="center"/>
              <w:rPr>
                <w:szCs w:val="24"/>
              </w:rPr>
            </w:pPr>
            <w:r w:rsidRPr="007916D1">
              <w:rPr>
                <w:b/>
                <w:bCs/>
                <w:szCs w:val="24"/>
                <w:lang w:val="en-US"/>
              </w:rPr>
              <w:t>+</w:t>
            </w:r>
          </w:p>
        </w:tc>
        <w:tc>
          <w:tcPr>
            <w:tcW w:w="1720" w:type="dxa"/>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vAlign w:val="center"/>
            <w:hideMark/>
          </w:tcPr>
          <w:p w14:paraId="343B8FD0" w14:textId="77777777" w:rsidR="005A6C83" w:rsidRPr="007916D1" w:rsidRDefault="005A6C83" w:rsidP="005A6C83">
            <w:pPr>
              <w:spacing w:line="240" w:lineRule="auto"/>
              <w:jc w:val="center"/>
              <w:rPr>
                <w:szCs w:val="24"/>
              </w:rPr>
            </w:pPr>
            <w:r w:rsidRPr="007916D1">
              <w:rPr>
                <w:b/>
                <w:bCs/>
                <w:szCs w:val="24"/>
                <w:lang w:val="en-US"/>
              </w:rPr>
              <w:t>+</w:t>
            </w:r>
          </w:p>
        </w:tc>
        <w:tc>
          <w:tcPr>
            <w:tcW w:w="2108" w:type="dxa"/>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vAlign w:val="center"/>
            <w:hideMark/>
          </w:tcPr>
          <w:p w14:paraId="6C08DE66" w14:textId="77777777" w:rsidR="005A6C83" w:rsidRPr="007916D1" w:rsidRDefault="005A6C83" w:rsidP="005A6C83">
            <w:pPr>
              <w:spacing w:line="240" w:lineRule="auto"/>
              <w:jc w:val="center"/>
              <w:rPr>
                <w:szCs w:val="24"/>
              </w:rPr>
            </w:pPr>
            <w:r w:rsidRPr="007916D1">
              <w:rPr>
                <w:b/>
                <w:bCs/>
                <w:szCs w:val="24"/>
                <w:lang w:val="en-US"/>
              </w:rPr>
              <w:t>+</w:t>
            </w:r>
          </w:p>
        </w:tc>
      </w:tr>
      <w:tr w:rsidR="005A6C83" w:rsidRPr="007916D1" w14:paraId="37FB3572" w14:textId="77777777" w:rsidTr="005A6C83">
        <w:trPr>
          <w:trHeight w:val="226"/>
        </w:trPr>
        <w:tc>
          <w:tcPr>
            <w:tcW w:w="1838" w:type="dxa"/>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vAlign w:val="center"/>
            <w:hideMark/>
          </w:tcPr>
          <w:p w14:paraId="26AB18C3" w14:textId="77777777" w:rsidR="005A6C83" w:rsidRPr="007916D1" w:rsidRDefault="005A6C83" w:rsidP="005A6C83">
            <w:pPr>
              <w:spacing w:line="240" w:lineRule="auto"/>
              <w:rPr>
                <w:szCs w:val="24"/>
              </w:rPr>
            </w:pPr>
            <w:r w:rsidRPr="007916D1">
              <w:rPr>
                <w:bCs/>
                <w:szCs w:val="24"/>
                <w:lang w:val="en-US"/>
              </w:rPr>
              <w:t>CD1a</w:t>
            </w:r>
          </w:p>
        </w:tc>
        <w:tc>
          <w:tcPr>
            <w:tcW w:w="1843" w:type="dxa"/>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vAlign w:val="center"/>
            <w:hideMark/>
          </w:tcPr>
          <w:p w14:paraId="0CE1B720" w14:textId="77777777" w:rsidR="005A6C83" w:rsidRPr="007916D1" w:rsidRDefault="005A6C83" w:rsidP="005A6C83">
            <w:pPr>
              <w:spacing w:line="240" w:lineRule="auto"/>
              <w:jc w:val="center"/>
              <w:rPr>
                <w:szCs w:val="24"/>
              </w:rPr>
            </w:pPr>
            <w:r w:rsidRPr="007916D1">
              <w:rPr>
                <w:b/>
                <w:bCs/>
                <w:szCs w:val="24"/>
                <w:lang w:val="en-US"/>
              </w:rPr>
              <w:t>-</w:t>
            </w:r>
          </w:p>
        </w:tc>
        <w:tc>
          <w:tcPr>
            <w:tcW w:w="1984" w:type="dxa"/>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vAlign w:val="center"/>
            <w:hideMark/>
          </w:tcPr>
          <w:p w14:paraId="4A3B08A3" w14:textId="77777777" w:rsidR="005A6C83" w:rsidRPr="007916D1" w:rsidRDefault="005A6C83" w:rsidP="005A6C83">
            <w:pPr>
              <w:spacing w:line="240" w:lineRule="auto"/>
              <w:jc w:val="center"/>
              <w:rPr>
                <w:szCs w:val="24"/>
              </w:rPr>
            </w:pPr>
            <w:r w:rsidRPr="007916D1">
              <w:rPr>
                <w:b/>
                <w:bCs/>
                <w:szCs w:val="24"/>
                <w:lang w:val="en-US"/>
              </w:rPr>
              <w:t>-</w:t>
            </w:r>
          </w:p>
        </w:tc>
        <w:tc>
          <w:tcPr>
            <w:tcW w:w="1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72" w:type="dxa"/>
              <w:left w:w="144" w:type="dxa"/>
              <w:bottom w:w="72" w:type="dxa"/>
              <w:right w:w="144" w:type="dxa"/>
            </w:tcMar>
            <w:vAlign w:val="center"/>
            <w:hideMark/>
          </w:tcPr>
          <w:p w14:paraId="55C73007" w14:textId="77777777" w:rsidR="005A6C83" w:rsidRPr="007916D1" w:rsidRDefault="005A6C83" w:rsidP="005A6C83">
            <w:pPr>
              <w:spacing w:line="240" w:lineRule="auto"/>
              <w:jc w:val="center"/>
              <w:rPr>
                <w:szCs w:val="24"/>
              </w:rPr>
            </w:pPr>
            <w:r w:rsidRPr="007916D1">
              <w:rPr>
                <w:b/>
                <w:bCs/>
                <w:szCs w:val="24"/>
                <w:lang w:val="en-US"/>
              </w:rPr>
              <w:t>+</w:t>
            </w:r>
          </w:p>
        </w:tc>
        <w:tc>
          <w:tcPr>
            <w:tcW w:w="210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72" w:type="dxa"/>
              <w:left w:w="144" w:type="dxa"/>
              <w:bottom w:w="72" w:type="dxa"/>
              <w:right w:w="144" w:type="dxa"/>
            </w:tcMar>
            <w:vAlign w:val="center"/>
            <w:hideMark/>
          </w:tcPr>
          <w:p w14:paraId="558A5C13" w14:textId="77777777" w:rsidR="005A6C83" w:rsidRPr="007916D1" w:rsidRDefault="005A6C83" w:rsidP="005A6C83">
            <w:pPr>
              <w:spacing w:line="240" w:lineRule="auto"/>
              <w:jc w:val="center"/>
              <w:rPr>
                <w:szCs w:val="24"/>
              </w:rPr>
            </w:pPr>
            <w:r w:rsidRPr="007916D1">
              <w:rPr>
                <w:b/>
                <w:bCs/>
                <w:szCs w:val="24"/>
                <w:lang w:val="en-US"/>
              </w:rPr>
              <w:t>-</w:t>
            </w:r>
          </w:p>
        </w:tc>
      </w:tr>
      <w:tr w:rsidR="005A6C83" w:rsidRPr="007916D1" w14:paraId="3A98D79A" w14:textId="77777777" w:rsidTr="005A6C83">
        <w:trPr>
          <w:trHeight w:val="226"/>
        </w:trPr>
        <w:tc>
          <w:tcPr>
            <w:tcW w:w="1838" w:type="dxa"/>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vAlign w:val="center"/>
            <w:hideMark/>
          </w:tcPr>
          <w:p w14:paraId="3B3E2983" w14:textId="77777777" w:rsidR="005A6C83" w:rsidRPr="007916D1" w:rsidRDefault="005A6C83" w:rsidP="005A6C83">
            <w:pPr>
              <w:spacing w:line="240" w:lineRule="auto"/>
              <w:rPr>
                <w:szCs w:val="24"/>
              </w:rPr>
            </w:pPr>
            <w:r w:rsidRPr="007916D1">
              <w:rPr>
                <w:bCs/>
                <w:szCs w:val="24"/>
                <w:lang w:val="en-US"/>
              </w:rPr>
              <w:t>CD10</w:t>
            </w:r>
          </w:p>
        </w:tc>
        <w:tc>
          <w:tcPr>
            <w:tcW w:w="1843" w:type="dxa"/>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vAlign w:val="center"/>
            <w:hideMark/>
          </w:tcPr>
          <w:p w14:paraId="5ACB4AEC" w14:textId="77777777" w:rsidR="005A6C83" w:rsidRPr="007916D1" w:rsidRDefault="005A6C83" w:rsidP="005A6C83">
            <w:pPr>
              <w:spacing w:line="240" w:lineRule="auto"/>
              <w:jc w:val="center"/>
              <w:rPr>
                <w:szCs w:val="24"/>
              </w:rPr>
            </w:pPr>
            <w:r w:rsidRPr="007916D1">
              <w:rPr>
                <w:b/>
                <w:bCs/>
                <w:szCs w:val="24"/>
                <w:lang w:val="en-US"/>
              </w:rPr>
              <w:t>+/-</w:t>
            </w:r>
          </w:p>
        </w:tc>
        <w:tc>
          <w:tcPr>
            <w:tcW w:w="1984" w:type="dxa"/>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vAlign w:val="center"/>
            <w:hideMark/>
          </w:tcPr>
          <w:p w14:paraId="440632C0" w14:textId="77777777" w:rsidR="005A6C83" w:rsidRPr="007916D1" w:rsidRDefault="005A6C83" w:rsidP="005A6C83">
            <w:pPr>
              <w:spacing w:line="240" w:lineRule="auto"/>
              <w:jc w:val="center"/>
              <w:rPr>
                <w:szCs w:val="24"/>
              </w:rPr>
            </w:pPr>
            <w:r w:rsidRPr="007916D1">
              <w:rPr>
                <w:b/>
                <w:bCs/>
                <w:szCs w:val="24"/>
                <w:lang w:val="en-US"/>
              </w:rPr>
              <w:t>+/-</w:t>
            </w:r>
          </w:p>
        </w:tc>
        <w:tc>
          <w:tcPr>
            <w:tcW w:w="1720" w:type="dxa"/>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vAlign w:val="center"/>
            <w:hideMark/>
          </w:tcPr>
          <w:p w14:paraId="3CD5C29F" w14:textId="77777777" w:rsidR="005A6C83" w:rsidRPr="007916D1" w:rsidRDefault="005A6C83" w:rsidP="005A6C83">
            <w:pPr>
              <w:spacing w:line="240" w:lineRule="auto"/>
              <w:jc w:val="center"/>
              <w:rPr>
                <w:szCs w:val="24"/>
              </w:rPr>
            </w:pPr>
            <w:r w:rsidRPr="007916D1">
              <w:rPr>
                <w:b/>
                <w:bCs/>
                <w:szCs w:val="24"/>
                <w:lang w:val="en-US"/>
              </w:rPr>
              <w:t>-/+</w:t>
            </w:r>
          </w:p>
        </w:tc>
        <w:tc>
          <w:tcPr>
            <w:tcW w:w="2108" w:type="dxa"/>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vAlign w:val="center"/>
            <w:hideMark/>
          </w:tcPr>
          <w:p w14:paraId="6F98238D" w14:textId="77777777" w:rsidR="005A6C83" w:rsidRPr="007916D1" w:rsidRDefault="005A6C83" w:rsidP="005A6C83">
            <w:pPr>
              <w:spacing w:line="240" w:lineRule="auto"/>
              <w:jc w:val="center"/>
              <w:rPr>
                <w:szCs w:val="24"/>
              </w:rPr>
            </w:pPr>
            <w:r w:rsidRPr="007916D1">
              <w:rPr>
                <w:b/>
                <w:bCs/>
                <w:szCs w:val="24"/>
                <w:lang w:val="en-US"/>
              </w:rPr>
              <w:t>-</w:t>
            </w:r>
          </w:p>
        </w:tc>
      </w:tr>
      <w:tr w:rsidR="005A6C83" w:rsidRPr="007916D1" w14:paraId="17557932" w14:textId="77777777" w:rsidTr="005A6C83">
        <w:trPr>
          <w:trHeight w:val="226"/>
        </w:trPr>
        <w:tc>
          <w:tcPr>
            <w:tcW w:w="1838" w:type="dxa"/>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vAlign w:val="center"/>
            <w:hideMark/>
          </w:tcPr>
          <w:p w14:paraId="149400B2" w14:textId="77777777" w:rsidR="005A6C83" w:rsidRPr="007916D1" w:rsidRDefault="005A6C83" w:rsidP="005A6C83">
            <w:pPr>
              <w:spacing w:line="240" w:lineRule="auto"/>
              <w:rPr>
                <w:szCs w:val="24"/>
              </w:rPr>
            </w:pPr>
            <w:r w:rsidRPr="007916D1">
              <w:rPr>
                <w:bCs/>
                <w:szCs w:val="24"/>
                <w:lang w:val="en-US"/>
              </w:rPr>
              <w:t>CD5</w:t>
            </w:r>
          </w:p>
        </w:tc>
        <w:tc>
          <w:tcPr>
            <w:tcW w:w="1843" w:type="dxa"/>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vAlign w:val="center"/>
            <w:hideMark/>
          </w:tcPr>
          <w:p w14:paraId="0CEB66A9" w14:textId="77777777" w:rsidR="005A6C83" w:rsidRPr="007916D1" w:rsidRDefault="005A6C83" w:rsidP="005A6C83">
            <w:pPr>
              <w:spacing w:line="240" w:lineRule="auto"/>
              <w:jc w:val="center"/>
              <w:rPr>
                <w:szCs w:val="24"/>
              </w:rPr>
            </w:pPr>
            <w:r w:rsidRPr="007916D1">
              <w:rPr>
                <w:b/>
                <w:bCs/>
                <w:szCs w:val="24"/>
                <w:lang w:val="en-US"/>
              </w:rPr>
              <w:t>-</w:t>
            </w:r>
          </w:p>
        </w:tc>
        <w:tc>
          <w:tcPr>
            <w:tcW w:w="198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72" w:type="dxa"/>
              <w:left w:w="144" w:type="dxa"/>
              <w:bottom w:w="72" w:type="dxa"/>
              <w:right w:w="144" w:type="dxa"/>
            </w:tcMar>
            <w:vAlign w:val="center"/>
            <w:hideMark/>
          </w:tcPr>
          <w:p w14:paraId="3DCE2B80" w14:textId="77777777" w:rsidR="005A6C83" w:rsidRPr="007916D1" w:rsidRDefault="005A6C83" w:rsidP="005A6C83">
            <w:pPr>
              <w:spacing w:line="240" w:lineRule="auto"/>
              <w:jc w:val="center"/>
              <w:rPr>
                <w:szCs w:val="24"/>
              </w:rPr>
            </w:pPr>
            <w:r w:rsidRPr="007916D1">
              <w:rPr>
                <w:b/>
                <w:bCs/>
                <w:szCs w:val="24"/>
                <w:lang w:val="en-US"/>
              </w:rPr>
              <w:t>+</w:t>
            </w:r>
          </w:p>
        </w:tc>
        <w:tc>
          <w:tcPr>
            <w:tcW w:w="1720" w:type="dxa"/>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vAlign w:val="center"/>
            <w:hideMark/>
          </w:tcPr>
          <w:p w14:paraId="296799A1" w14:textId="77777777" w:rsidR="005A6C83" w:rsidRPr="007916D1" w:rsidRDefault="005A6C83" w:rsidP="005A6C83">
            <w:pPr>
              <w:spacing w:line="240" w:lineRule="auto"/>
              <w:jc w:val="center"/>
              <w:rPr>
                <w:szCs w:val="24"/>
              </w:rPr>
            </w:pPr>
            <w:r w:rsidRPr="007916D1">
              <w:rPr>
                <w:b/>
                <w:bCs/>
                <w:szCs w:val="24"/>
                <w:lang w:val="en-US"/>
              </w:rPr>
              <w:t>+</w:t>
            </w:r>
          </w:p>
        </w:tc>
        <w:tc>
          <w:tcPr>
            <w:tcW w:w="2108" w:type="dxa"/>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vAlign w:val="center"/>
            <w:hideMark/>
          </w:tcPr>
          <w:p w14:paraId="067D7DF3" w14:textId="77777777" w:rsidR="005A6C83" w:rsidRPr="007916D1" w:rsidRDefault="005A6C83" w:rsidP="005A6C83">
            <w:pPr>
              <w:spacing w:line="240" w:lineRule="auto"/>
              <w:jc w:val="center"/>
              <w:rPr>
                <w:szCs w:val="24"/>
              </w:rPr>
            </w:pPr>
            <w:r w:rsidRPr="007916D1">
              <w:rPr>
                <w:b/>
                <w:bCs/>
                <w:szCs w:val="24"/>
                <w:lang w:val="en-US"/>
              </w:rPr>
              <w:t>+</w:t>
            </w:r>
          </w:p>
        </w:tc>
      </w:tr>
      <w:tr w:rsidR="005A6C83" w:rsidRPr="007916D1" w14:paraId="39432523" w14:textId="77777777" w:rsidTr="005A6C83">
        <w:trPr>
          <w:trHeight w:val="226"/>
        </w:trPr>
        <w:tc>
          <w:tcPr>
            <w:tcW w:w="1838" w:type="dxa"/>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vAlign w:val="center"/>
            <w:hideMark/>
          </w:tcPr>
          <w:p w14:paraId="45172331" w14:textId="77777777" w:rsidR="005A6C83" w:rsidRPr="007916D1" w:rsidRDefault="005A6C83" w:rsidP="005A6C83">
            <w:pPr>
              <w:spacing w:line="240" w:lineRule="auto"/>
              <w:rPr>
                <w:szCs w:val="24"/>
              </w:rPr>
            </w:pPr>
            <w:r w:rsidRPr="007916D1">
              <w:rPr>
                <w:bCs/>
                <w:szCs w:val="24"/>
                <w:lang w:val="en-US"/>
              </w:rPr>
              <w:t>CD34</w:t>
            </w:r>
          </w:p>
        </w:tc>
        <w:tc>
          <w:tcPr>
            <w:tcW w:w="1843" w:type="dxa"/>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vAlign w:val="center"/>
            <w:hideMark/>
          </w:tcPr>
          <w:p w14:paraId="23ADF933" w14:textId="77777777" w:rsidR="005A6C83" w:rsidRPr="007916D1" w:rsidRDefault="005A6C83" w:rsidP="005A6C83">
            <w:pPr>
              <w:spacing w:line="240" w:lineRule="auto"/>
              <w:jc w:val="center"/>
              <w:rPr>
                <w:szCs w:val="24"/>
              </w:rPr>
            </w:pPr>
            <w:r w:rsidRPr="007916D1">
              <w:rPr>
                <w:b/>
                <w:bCs/>
                <w:szCs w:val="24"/>
                <w:lang w:val="en-US"/>
              </w:rPr>
              <w:t>+/-</w:t>
            </w:r>
          </w:p>
        </w:tc>
        <w:tc>
          <w:tcPr>
            <w:tcW w:w="1984" w:type="dxa"/>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vAlign w:val="center"/>
            <w:hideMark/>
          </w:tcPr>
          <w:p w14:paraId="643DF0AB" w14:textId="77777777" w:rsidR="005A6C83" w:rsidRPr="007916D1" w:rsidRDefault="005A6C83" w:rsidP="005A6C83">
            <w:pPr>
              <w:spacing w:line="240" w:lineRule="auto"/>
              <w:jc w:val="center"/>
              <w:rPr>
                <w:szCs w:val="24"/>
              </w:rPr>
            </w:pPr>
            <w:r w:rsidRPr="007916D1">
              <w:rPr>
                <w:b/>
                <w:bCs/>
                <w:szCs w:val="24"/>
                <w:lang w:val="en-US"/>
              </w:rPr>
              <w:t>+/-</w:t>
            </w:r>
          </w:p>
        </w:tc>
        <w:tc>
          <w:tcPr>
            <w:tcW w:w="1720" w:type="dxa"/>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vAlign w:val="center"/>
            <w:hideMark/>
          </w:tcPr>
          <w:p w14:paraId="3746B37A" w14:textId="77777777" w:rsidR="005A6C83" w:rsidRPr="007916D1" w:rsidRDefault="005A6C83" w:rsidP="005A6C83">
            <w:pPr>
              <w:spacing w:line="240" w:lineRule="auto"/>
              <w:jc w:val="center"/>
              <w:rPr>
                <w:szCs w:val="24"/>
              </w:rPr>
            </w:pPr>
            <w:r w:rsidRPr="007916D1">
              <w:rPr>
                <w:b/>
                <w:bCs/>
                <w:szCs w:val="24"/>
                <w:lang w:val="en-US"/>
              </w:rPr>
              <w:t>+/-</w:t>
            </w:r>
          </w:p>
        </w:tc>
        <w:tc>
          <w:tcPr>
            <w:tcW w:w="2108" w:type="dxa"/>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vAlign w:val="center"/>
            <w:hideMark/>
          </w:tcPr>
          <w:p w14:paraId="2E60239E" w14:textId="77777777" w:rsidR="005A6C83" w:rsidRPr="007916D1" w:rsidRDefault="005A6C83" w:rsidP="005A6C83">
            <w:pPr>
              <w:spacing w:line="240" w:lineRule="auto"/>
              <w:jc w:val="center"/>
              <w:rPr>
                <w:szCs w:val="24"/>
              </w:rPr>
            </w:pPr>
            <w:r w:rsidRPr="007916D1">
              <w:rPr>
                <w:b/>
                <w:bCs/>
                <w:szCs w:val="24"/>
                <w:lang w:val="en-US"/>
              </w:rPr>
              <w:t>+/-</w:t>
            </w:r>
          </w:p>
        </w:tc>
      </w:tr>
      <w:tr w:rsidR="005A6C83" w:rsidRPr="007916D1" w14:paraId="477F3876" w14:textId="77777777" w:rsidTr="005A6C83">
        <w:trPr>
          <w:trHeight w:val="226"/>
        </w:trPr>
        <w:tc>
          <w:tcPr>
            <w:tcW w:w="1838" w:type="dxa"/>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vAlign w:val="center"/>
            <w:hideMark/>
          </w:tcPr>
          <w:p w14:paraId="5FF48728" w14:textId="77777777" w:rsidR="005A6C83" w:rsidRPr="007916D1" w:rsidRDefault="005A6C83" w:rsidP="005A6C83">
            <w:pPr>
              <w:spacing w:line="240" w:lineRule="auto"/>
              <w:rPr>
                <w:szCs w:val="24"/>
              </w:rPr>
            </w:pPr>
            <w:r w:rsidRPr="007916D1">
              <w:rPr>
                <w:bCs/>
                <w:szCs w:val="24"/>
                <w:lang w:val="en-US"/>
              </w:rPr>
              <w:t>HLA-DR</w:t>
            </w:r>
          </w:p>
        </w:tc>
        <w:tc>
          <w:tcPr>
            <w:tcW w:w="1843" w:type="dxa"/>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vAlign w:val="center"/>
            <w:hideMark/>
          </w:tcPr>
          <w:p w14:paraId="42F1E265" w14:textId="77777777" w:rsidR="005A6C83" w:rsidRPr="007916D1" w:rsidRDefault="005A6C83" w:rsidP="005A6C83">
            <w:pPr>
              <w:spacing w:line="240" w:lineRule="auto"/>
              <w:jc w:val="center"/>
              <w:rPr>
                <w:szCs w:val="24"/>
              </w:rPr>
            </w:pPr>
            <w:r w:rsidRPr="007916D1">
              <w:rPr>
                <w:b/>
                <w:bCs/>
                <w:szCs w:val="24"/>
                <w:lang w:val="en-US"/>
              </w:rPr>
              <w:t>+/-</w:t>
            </w:r>
          </w:p>
        </w:tc>
        <w:tc>
          <w:tcPr>
            <w:tcW w:w="1984" w:type="dxa"/>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vAlign w:val="center"/>
            <w:hideMark/>
          </w:tcPr>
          <w:p w14:paraId="548726DD" w14:textId="77777777" w:rsidR="005A6C83" w:rsidRPr="007916D1" w:rsidRDefault="005A6C83" w:rsidP="005A6C83">
            <w:pPr>
              <w:spacing w:line="240" w:lineRule="auto"/>
              <w:jc w:val="center"/>
              <w:rPr>
                <w:szCs w:val="24"/>
              </w:rPr>
            </w:pPr>
            <w:r w:rsidRPr="007916D1">
              <w:rPr>
                <w:szCs w:val="24"/>
              </w:rPr>
              <w:t>+/-</w:t>
            </w:r>
          </w:p>
        </w:tc>
        <w:tc>
          <w:tcPr>
            <w:tcW w:w="1720" w:type="dxa"/>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vAlign w:val="center"/>
            <w:hideMark/>
          </w:tcPr>
          <w:p w14:paraId="5FEAD4E2" w14:textId="77777777" w:rsidR="005A6C83" w:rsidRPr="007916D1" w:rsidRDefault="005A6C83" w:rsidP="005A6C83">
            <w:pPr>
              <w:spacing w:line="240" w:lineRule="auto"/>
              <w:jc w:val="center"/>
              <w:rPr>
                <w:szCs w:val="24"/>
              </w:rPr>
            </w:pPr>
            <w:r w:rsidRPr="007916D1">
              <w:rPr>
                <w:b/>
                <w:bCs/>
                <w:szCs w:val="24"/>
              </w:rPr>
              <w:t>+/-</w:t>
            </w:r>
          </w:p>
        </w:tc>
        <w:tc>
          <w:tcPr>
            <w:tcW w:w="2108" w:type="dxa"/>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vAlign w:val="center"/>
            <w:hideMark/>
          </w:tcPr>
          <w:p w14:paraId="4EF5D1D2" w14:textId="77777777" w:rsidR="005A6C83" w:rsidRPr="007916D1" w:rsidRDefault="005A6C83" w:rsidP="005A6C83">
            <w:pPr>
              <w:spacing w:line="240" w:lineRule="auto"/>
              <w:jc w:val="center"/>
              <w:rPr>
                <w:szCs w:val="24"/>
              </w:rPr>
            </w:pPr>
            <w:r w:rsidRPr="007916D1">
              <w:rPr>
                <w:b/>
                <w:bCs/>
                <w:szCs w:val="24"/>
              </w:rPr>
              <w:t>+/-</w:t>
            </w:r>
          </w:p>
        </w:tc>
      </w:tr>
      <w:tr w:rsidR="005A6C83" w:rsidRPr="007916D1" w14:paraId="587934CC" w14:textId="77777777" w:rsidTr="005A6C83">
        <w:trPr>
          <w:trHeight w:val="226"/>
        </w:trPr>
        <w:tc>
          <w:tcPr>
            <w:tcW w:w="1838" w:type="dxa"/>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vAlign w:val="center"/>
            <w:hideMark/>
          </w:tcPr>
          <w:p w14:paraId="76A5D22B" w14:textId="77777777" w:rsidR="005A6C83" w:rsidRPr="007916D1" w:rsidRDefault="005A6C83" w:rsidP="005A6C83">
            <w:pPr>
              <w:spacing w:line="240" w:lineRule="auto"/>
              <w:rPr>
                <w:szCs w:val="24"/>
              </w:rPr>
            </w:pPr>
            <w:r w:rsidRPr="007916D1">
              <w:rPr>
                <w:bCs/>
                <w:szCs w:val="24"/>
                <w:lang w:val="en-US"/>
              </w:rPr>
              <w:t>TdT</w:t>
            </w:r>
          </w:p>
        </w:tc>
        <w:tc>
          <w:tcPr>
            <w:tcW w:w="1843" w:type="dxa"/>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vAlign w:val="center"/>
            <w:hideMark/>
          </w:tcPr>
          <w:p w14:paraId="527CAA84" w14:textId="77777777" w:rsidR="005A6C83" w:rsidRPr="007916D1" w:rsidRDefault="005A6C83" w:rsidP="005A6C83">
            <w:pPr>
              <w:spacing w:line="240" w:lineRule="auto"/>
              <w:jc w:val="center"/>
              <w:rPr>
                <w:szCs w:val="24"/>
              </w:rPr>
            </w:pPr>
            <w:r w:rsidRPr="007916D1">
              <w:rPr>
                <w:b/>
                <w:bCs/>
                <w:szCs w:val="24"/>
                <w:lang w:val="en-US"/>
              </w:rPr>
              <w:t>+/-</w:t>
            </w:r>
          </w:p>
        </w:tc>
        <w:tc>
          <w:tcPr>
            <w:tcW w:w="1984" w:type="dxa"/>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vAlign w:val="center"/>
            <w:hideMark/>
          </w:tcPr>
          <w:p w14:paraId="13A65D34" w14:textId="77777777" w:rsidR="005A6C83" w:rsidRPr="007916D1" w:rsidRDefault="005A6C83" w:rsidP="005A6C83">
            <w:pPr>
              <w:spacing w:line="240" w:lineRule="auto"/>
              <w:jc w:val="center"/>
              <w:rPr>
                <w:szCs w:val="24"/>
              </w:rPr>
            </w:pPr>
            <w:r w:rsidRPr="007916D1">
              <w:rPr>
                <w:b/>
                <w:bCs/>
                <w:szCs w:val="24"/>
                <w:lang w:val="en-US"/>
              </w:rPr>
              <w:t>+/-</w:t>
            </w:r>
          </w:p>
        </w:tc>
        <w:tc>
          <w:tcPr>
            <w:tcW w:w="1720" w:type="dxa"/>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vAlign w:val="center"/>
            <w:hideMark/>
          </w:tcPr>
          <w:p w14:paraId="70523FCC" w14:textId="77777777" w:rsidR="005A6C83" w:rsidRPr="007916D1" w:rsidRDefault="005A6C83" w:rsidP="005A6C83">
            <w:pPr>
              <w:spacing w:line="240" w:lineRule="auto"/>
              <w:jc w:val="center"/>
              <w:rPr>
                <w:szCs w:val="24"/>
              </w:rPr>
            </w:pPr>
            <w:r w:rsidRPr="007916D1">
              <w:rPr>
                <w:b/>
                <w:bCs/>
                <w:szCs w:val="24"/>
                <w:lang w:val="en-US"/>
              </w:rPr>
              <w:t>+/-</w:t>
            </w:r>
          </w:p>
        </w:tc>
        <w:tc>
          <w:tcPr>
            <w:tcW w:w="2108" w:type="dxa"/>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vAlign w:val="center"/>
            <w:hideMark/>
          </w:tcPr>
          <w:p w14:paraId="1E665FE2" w14:textId="77777777" w:rsidR="005A6C83" w:rsidRPr="007916D1" w:rsidRDefault="005A6C83" w:rsidP="005A6C83">
            <w:pPr>
              <w:spacing w:line="240" w:lineRule="auto"/>
              <w:jc w:val="center"/>
              <w:rPr>
                <w:szCs w:val="24"/>
              </w:rPr>
            </w:pPr>
            <w:r w:rsidRPr="007916D1">
              <w:rPr>
                <w:b/>
                <w:bCs/>
                <w:szCs w:val="24"/>
                <w:lang w:val="en-US"/>
              </w:rPr>
              <w:t>+/-</w:t>
            </w:r>
          </w:p>
        </w:tc>
      </w:tr>
      <w:tr w:rsidR="005A6C83" w:rsidRPr="007916D1" w14:paraId="0B8CFE7C" w14:textId="77777777" w:rsidTr="005A6C83">
        <w:trPr>
          <w:trHeight w:val="226"/>
        </w:trPr>
        <w:tc>
          <w:tcPr>
            <w:tcW w:w="1838" w:type="dxa"/>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vAlign w:val="center"/>
            <w:hideMark/>
          </w:tcPr>
          <w:p w14:paraId="3CEB4BD4" w14:textId="77777777" w:rsidR="005A6C83" w:rsidRPr="007916D1" w:rsidRDefault="005A6C83" w:rsidP="005A6C83">
            <w:pPr>
              <w:spacing w:line="240" w:lineRule="auto"/>
              <w:rPr>
                <w:szCs w:val="24"/>
              </w:rPr>
            </w:pPr>
            <w:r w:rsidRPr="007916D1">
              <w:rPr>
                <w:bCs/>
                <w:szCs w:val="24"/>
                <w:lang w:val="en-US"/>
              </w:rPr>
              <w:t>Surf CD3</w:t>
            </w:r>
          </w:p>
        </w:tc>
        <w:tc>
          <w:tcPr>
            <w:tcW w:w="1843" w:type="dxa"/>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vAlign w:val="center"/>
            <w:hideMark/>
          </w:tcPr>
          <w:p w14:paraId="29C8D610" w14:textId="77777777" w:rsidR="005A6C83" w:rsidRPr="007916D1" w:rsidRDefault="005A6C83" w:rsidP="005A6C83">
            <w:pPr>
              <w:spacing w:line="240" w:lineRule="auto"/>
              <w:jc w:val="center"/>
              <w:rPr>
                <w:szCs w:val="24"/>
              </w:rPr>
            </w:pPr>
            <w:r w:rsidRPr="007916D1">
              <w:rPr>
                <w:b/>
                <w:bCs/>
                <w:szCs w:val="24"/>
                <w:lang w:val="en-US"/>
              </w:rPr>
              <w:t>-</w:t>
            </w:r>
          </w:p>
        </w:tc>
        <w:tc>
          <w:tcPr>
            <w:tcW w:w="1984" w:type="dxa"/>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vAlign w:val="center"/>
            <w:hideMark/>
          </w:tcPr>
          <w:p w14:paraId="18C8F9AF" w14:textId="77777777" w:rsidR="005A6C83" w:rsidRPr="007916D1" w:rsidRDefault="005A6C83" w:rsidP="005A6C83">
            <w:pPr>
              <w:spacing w:line="240" w:lineRule="auto"/>
              <w:jc w:val="center"/>
              <w:rPr>
                <w:szCs w:val="24"/>
              </w:rPr>
            </w:pPr>
            <w:r w:rsidRPr="007916D1">
              <w:rPr>
                <w:b/>
                <w:bCs/>
                <w:szCs w:val="24"/>
                <w:lang w:val="en-US"/>
              </w:rPr>
              <w:t>-</w:t>
            </w:r>
          </w:p>
        </w:tc>
        <w:tc>
          <w:tcPr>
            <w:tcW w:w="1720" w:type="dxa"/>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vAlign w:val="center"/>
            <w:hideMark/>
          </w:tcPr>
          <w:p w14:paraId="711F6831" w14:textId="77777777" w:rsidR="005A6C83" w:rsidRPr="007916D1" w:rsidRDefault="005A6C83" w:rsidP="005A6C83">
            <w:pPr>
              <w:spacing w:line="240" w:lineRule="auto"/>
              <w:jc w:val="center"/>
              <w:rPr>
                <w:szCs w:val="24"/>
              </w:rPr>
            </w:pPr>
            <w:r w:rsidRPr="007916D1">
              <w:rPr>
                <w:b/>
                <w:bCs/>
                <w:szCs w:val="24"/>
                <w:lang w:val="en-US"/>
              </w:rPr>
              <w:t>-/+</w:t>
            </w:r>
          </w:p>
        </w:tc>
        <w:tc>
          <w:tcPr>
            <w:tcW w:w="210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72" w:type="dxa"/>
              <w:left w:w="144" w:type="dxa"/>
              <w:bottom w:w="72" w:type="dxa"/>
              <w:right w:w="144" w:type="dxa"/>
            </w:tcMar>
            <w:vAlign w:val="center"/>
            <w:hideMark/>
          </w:tcPr>
          <w:p w14:paraId="5CED13CA" w14:textId="77777777" w:rsidR="005A6C83" w:rsidRPr="007916D1" w:rsidRDefault="005A6C83" w:rsidP="005A6C83">
            <w:pPr>
              <w:spacing w:line="240" w:lineRule="auto"/>
              <w:jc w:val="center"/>
              <w:rPr>
                <w:b/>
                <w:bCs/>
                <w:szCs w:val="24"/>
                <w:lang w:val="en-US"/>
              </w:rPr>
            </w:pPr>
            <w:r w:rsidRPr="007916D1">
              <w:rPr>
                <w:b/>
                <w:bCs/>
                <w:szCs w:val="24"/>
                <w:lang w:val="en-US"/>
              </w:rPr>
              <w:t>+</w:t>
            </w:r>
          </w:p>
          <w:p w14:paraId="0E1D0D1E" w14:textId="77777777" w:rsidR="005A6C83" w:rsidRPr="007916D1" w:rsidRDefault="005A6C83" w:rsidP="005A6C83">
            <w:pPr>
              <w:spacing w:line="240" w:lineRule="auto"/>
              <w:jc w:val="center"/>
              <w:rPr>
                <w:szCs w:val="24"/>
              </w:rPr>
            </w:pPr>
            <w:r w:rsidRPr="007916D1">
              <w:rPr>
                <w:b/>
                <w:bCs/>
                <w:szCs w:val="24"/>
              </w:rPr>
              <w:t>яркая экспрессия</w:t>
            </w:r>
          </w:p>
        </w:tc>
      </w:tr>
      <w:tr w:rsidR="005A6C83" w:rsidRPr="007916D1" w14:paraId="2E652BD3" w14:textId="77777777" w:rsidTr="005A6C83">
        <w:trPr>
          <w:trHeight w:val="226"/>
        </w:trPr>
        <w:tc>
          <w:tcPr>
            <w:tcW w:w="1838" w:type="dxa"/>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vAlign w:val="center"/>
            <w:hideMark/>
          </w:tcPr>
          <w:p w14:paraId="3B0B9292" w14:textId="77777777" w:rsidR="005A6C83" w:rsidRPr="007916D1" w:rsidRDefault="005A6C83" w:rsidP="005A6C83">
            <w:pPr>
              <w:spacing w:line="240" w:lineRule="auto"/>
              <w:rPr>
                <w:szCs w:val="24"/>
              </w:rPr>
            </w:pPr>
            <w:r w:rsidRPr="007916D1">
              <w:rPr>
                <w:bCs/>
                <w:szCs w:val="24"/>
                <w:lang w:val="en-US"/>
              </w:rPr>
              <w:t>CD4+CD8</w:t>
            </w:r>
          </w:p>
        </w:tc>
        <w:tc>
          <w:tcPr>
            <w:tcW w:w="1843" w:type="dxa"/>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vAlign w:val="center"/>
            <w:hideMark/>
          </w:tcPr>
          <w:p w14:paraId="4602B55E" w14:textId="77777777" w:rsidR="005A6C83" w:rsidRPr="007916D1" w:rsidRDefault="005A6C83" w:rsidP="005A6C83">
            <w:pPr>
              <w:spacing w:line="240" w:lineRule="auto"/>
              <w:jc w:val="center"/>
              <w:rPr>
                <w:szCs w:val="24"/>
              </w:rPr>
            </w:pPr>
            <w:r w:rsidRPr="007916D1">
              <w:rPr>
                <w:b/>
                <w:bCs/>
                <w:szCs w:val="24"/>
                <w:lang w:val="en-US"/>
              </w:rPr>
              <w:t>-</w:t>
            </w:r>
          </w:p>
        </w:tc>
        <w:tc>
          <w:tcPr>
            <w:tcW w:w="1984" w:type="dxa"/>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vAlign w:val="center"/>
            <w:hideMark/>
          </w:tcPr>
          <w:p w14:paraId="70F4B82E" w14:textId="77777777" w:rsidR="005A6C83" w:rsidRPr="007916D1" w:rsidRDefault="005A6C83" w:rsidP="005A6C83">
            <w:pPr>
              <w:spacing w:line="240" w:lineRule="auto"/>
              <w:jc w:val="center"/>
              <w:rPr>
                <w:szCs w:val="24"/>
              </w:rPr>
            </w:pPr>
            <w:r w:rsidRPr="007916D1">
              <w:rPr>
                <w:b/>
                <w:bCs/>
                <w:szCs w:val="24"/>
                <w:lang w:val="en-US"/>
              </w:rPr>
              <w:t>-</w:t>
            </w:r>
          </w:p>
        </w:tc>
        <w:tc>
          <w:tcPr>
            <w:tcW w:w="1720" w:type="dxa"/>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vAlign w:val="center"/>
            <w:hideMark/>
          </w:tcPr>
          <w:p w14:paraId="774A9F2A" w14:textId="77777777" w:rsidR="005A6C83" w:rsidRPr="007916D1" w:rsidRDefault="005A6C83" w:rsidP="005A6C83">
            <w:pPr>
              <w:spacing w:line="240" w:lineRule="auto"/>
              <w:jc w:val="center"/>
              <w:rPr>
                <w:szCs w:val="24"/>
              </w:rPr>
            </w:pPr>
            <w:r w:rsidRPr="007916D1">
              <w:rPr>
                <w:b/>
                <w:bCs/>
                <w:szCs w:val="24"/>
                <w:lang w:val="en-US"/>
              </w:rPr>
              <w:t>+</w:t>
            </w:r>
          </w:p>
        </w:tc>
        <w:tc>
          <w:tcPr>
            <w:tcW w:w="2108" w:type="dxa"/>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vAlign w:val="center"/>
            <w:hideMark/>
          </w:tcPr>
          <w:p w14:paraId="04C9022D" w14:textId="77777777" w:rsidR="005A6C83" w:rsidRPr="007916D1" w:rsidRDefault="005A6C83" w:rsidP="005A6C83">
            <w:pPr>
              <w:spacing w:line="240" w:lineRule="auto"/>
              <w:jc w:val="center"/>
              <w:rPr>
                <w:szCs w:val="24"/>
              </w:rPr>
            </w:pPr>
            <w:r w:rsidRPr="007916D1">
              <w:rPr>
                <w:b/>
                <w:bCs/>
                <w:szCs w:val="24"/>
                <w:lang w:val="en-US"/>
              </w:rPr>
              <w:t>-</w:t>
            </w:r>
          </w:p>
        </w:tc>
      </w:tr>
      <w:tr w:rsidR="005A6C83" w:rsidRPr="007916D1" w14:paraId="533B100E" w14:textId="77777777" w:rsidTr="005A6C83">
        <w:trPr>
          <w:trHeight w:val="226"/>
        </w:trPr>
        <w:tc>
          <w:tcPr>
            <w:tcW w:w="1838" w:type="dxa"/>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vAlign w:val="center"/>
            <w:hideMark/>
          </w:tcPr>
          <w:p w14:paraId="7A4F0F52" w14:textId="77777777" w:rsidR="005A6C83" w:rsidRPr="007916D1" w:rsidRDefault="005A6C83" w:rsidP="005A6C83">
            <w:pPr>
              <w:spacing w:line="240" w:lineRule="auto"/>
              <w:rPr>
                <w:szCs w:val="24"/>
              </w:rPr>
            </w:pPr>
            <w:r w:rsidRPr="007916D1">
              <w:rPr>
                <w:bCs/>
                <w:szCs w:val="24"/>
                <w:lang w:val="en-US"/>
              </w:rPr>
              <w:t xml:space="preserve">CD4 </w:t>
            </w:r>
            <w:r w:rsidRPr="007916D1">
              <w:rPr>
                <w:bCs/>
                <w:szCs w:val="24"/>
              </w:rPr>
              <w:t xml:space="preserve">или </w:t>
            </w:r>
            <w:r w:rsidRPr="007916D1">
              <w:rPr>
                <w:bCs/>
                <w:szCs w:val="24"/>
                <w:lang w:val="en-US"/>
              </w:rPr>
              <w:t>CD8</w:t>
            </w:r>
          </w:p>
        </w:tc>
        <w:tc>
          <w:tcPr>
            <w:tcW w:w="1843" w:type="dxa"/>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vAlign w:val="center"/>
            <w:hideMark/>
          </w:tcPr>
          <w:p w14:paraId="460BBC8B" w14:textId="77777777" w:rsidR="005A6C83" w:rsidRPr="007916D1" w:rsidRDefault="005A6C83" w:rsidP="005A6C83">
            <w:pPr>
              <w:spacing w:line="240" w:lineRule="auto"/>
              <w:jc w:val="center"/>
              <w:rPr>
                <w:szCs w:val="24"/>
              </w:rPr>
            </w:pPr>
            <w:r w:rsidRPr="007916D1">
              <w:rPr>
                <w:b/>
                <w:bCs/>
                <w:szCs w:val="24"/>
                <w:lang w:val="en-US"/>
              </w:rPr>
              <w:t>-</w:t>
            </w:r>
          </w:p>
        </w:tc>
        <w:tc>
          <w:tcPr>
            <w:tcW w:w="1984" w:type="dxa"/>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vAlign w:val="center"/>
            <w:hideMark/>
          </w:tcPr>
          <w:p w14:paraId="4B4CEECC" w14:textId="77777777" w:rsidR="005A6C83" w:rsidRPr="007916D1" w:rsidRDefault="005A6C83" w:rsidP="005A6C83">
            <w:pPr>
              <w:spacing w:line="240" w:lineRule="auto"/>
              <w:jc w:val="center"/>
              <w:rPr>
                <w:szCs w:val="24"/>
              </w:rPr>
            </w:pPr>
            <w:r w:rsidRPr="007916D1">
              <w:rPr>
                <w:b/>
                <w:bCs/>
                <w:szCs w:val="24"/>
                <w:lang w:val="en-US"/>
              </w:rPr>
              <w:t>-</w:t>
            </w:r>
          </w:p>
        </w:tc>
        <w:tc>
          <w:tcPr>
            <w:tcW w:w="1720" w:type="dxa"/>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vAlign w:val="center"/>
            <w:hideMark/>
          </w:tcPr>
          <w:p w14:paraId="6171DAD4" w14:textId="77777777" w:rsidR="005A6C83" w:rsidRPr="007916D1" w:rsidRDefault="005A6C83" w:rsidP="005A6C83">
            <w:pPr>
              <w:spacing w:line="240" w:lineRule="auto"/>
              <w:jc w:val="center"/>
              <w:rPr>
                <w:szCs w:val="24"/>
              </w:rPr>
            </w:pPr>
            <w:r w:rsidRPr="007916D1">
              <w:rPr>
                <w:b/>
                <w:bCs/>
                <w:szCs w:val="24"/>
                <w:lang w:val="en-US"/>
              </w:rPr>
              <w:t>+/-</w:t>
            </w:r>
          </w:p>
        </w:tc>
        <w:tc>
          <w:tcPr>
            <w:tcW w:w="2108" w:type="dxa"/>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vAlign w:val="center"/>
            <w:hideMark/>
          </w:tcPr>
          <w:p w14:paraId="67E4E53C" w14:textId="77777777" w:rsidR="005A6C83" w:rsidRPr="007916D1" w:rsidRDefault="005A6C83" w:rsidP="005A6C83">
            <w:pPr>
              <w:spacing w:line="240" w:lineRule="auto"/>
              <w:jc w:val="center"/>
              <w:rPr>
                <w:szCs w:val="24"/>
              </w:rPr>
            </w:pPr>
            <w:r w:rsidRPr="007916D1">
              <w:rPr>
                <w:b/>
                <w:bCs/>
                <w:szCs w:val="24"/>
                <w:lang w:val="en-US"/>
              </w:rPr>
              <w:t>+</w:t>
            </w:r>
          </w:p>
        </w:tc>
      </w:tr>
      <w:tr w:rsidR="005A6C83" w:rsidRPr="007916D1" w14:paraId="3D509F75" w14:textId="77777777" w:rsidTr="005A6C83">
        <w:trPr>
          <w:trHeight w:val="226"/>
        </w:trPr>
        <w:tc>
          <w:tcPr>
            <w:tcW w:w="1838" w:type="dxa"/>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vAlign w:val="center"/>
          </w:tcPr>
          <w:p w14:paraId="1BE3BA16" w14:textId="77777777" w:rsidR="005A6C83" w:rsidRPr="007916D1" w:rsidRDefault="005A6C83" w:rsidP="005A6C83">
            <w:pPr>
              <w:spacing w:line="240" w:lineRule="auto"/>
              <w:rPr>
                <w:bCs/>
                <w:szCs w:val="24"/>
                <w:lang w:val="en-US"/>
              </w:rPr>
            </w:pPr>
            <w:r w:rsidRPr="007916D1">
              <w:rPr>
                <w:bCs/>
                <w:szCs w:val="24"/>
                <w:lang w:val="en-US"/>
              </w:rPr>
              <w:t xml:space="preserve">TCRab </w:t>
            </w:r>
            <w:r w:rsidRPr="007916D1">
              <w:rPr>
                <w:bCs/>
                <w:szCs w:val="24"/>
              </w:rPr>
              <w:t>или</w:t>
            </w:r>
            <w:r w:rsidRPr="007916D1">
              <w:rPr>
                <w:bCs/>
                <w:szCs w:val="24"/>
                <w:lang w:val="en-US"/>
              </w:rPr>
              <w:t xml:space="preserve"> TCRgd</w:t>
            </w:r>
          </w:p>
        </w:tc>
        <w:tc>
          <w:tcPr>
            <w:tcW w:w="1843" w:type="dxa"/>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vAlign w:val="center"/>
          </w:tcPr>
          <w:p w14:paraId="0A669F09" w14:textId="77777777" w:rsidR="005A6C83" w:rsidRPr="007916D1" w:rsidRDefault="005A6C83" w:rsidP="005A6C83">
            <w:pPr>
              <w:spacing w:line="240" w:lineRule="auto"/>
              <w:jc w:val="center"/>
              <w:rPr>
                <w:szCs w:val="24"/>
              </w:rPr>
            </w:pPr>
            <w:r w:rsidRPr="007916D1">
              <w:rPr>
                <w:b/>
                <w:bCs/>
                <w:szCs w:val="24"/>
                <w:lang w:val="en-US"/>
              </w:rPr>
              <w:t>-</w:t>
            </w:r>
          </w:p>
        </w:tc>
        <w:tc>
          <w:tcPr>
            <w:tcW w:w="1984" w:type="dxa"/>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vAlign w:val="center"/>
          </w:tcPr>
          <w:p w14:paraId="1DEFC2DC" w14:textId="77777777" w:rsidR="005A6C83" w:rsidRPr="007916D1" w:rsidRDefault="005A6C83" w:rsidP="005A6C83">
            <w:pPr>
              <w:spacing w:line="240" w:lineRule="auto"/>
              <w:jc w:val="center"/>
              <w:rPr>
                <w:szCs w:val="24"/>
              </w:rPr>
            </w:pPr>
            <w:r w:rsidRPr="007916D1">
              <w:rPr>
                <w:b/>
                <w:bCs/>
                <w:szCs w:val="24"/>
                <w:lang w:val="en-US"/>
              </w:rPr>
              <w:t>-</w:t>
            </w:r>
          </w:p>
        </w:tc>
        <w:tc>
          <w:tcPr>
            <w:tcW w:w="1720" w:type="dxa"/>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vAlign w:val="center"/>
          </w:tcPr>
          <w:p w14:paraId="12133A4E" w14:textId="77777777" w:rsidR="005A6C83" w:rsidRPr="007916D1" w:rsidRDefault="005A6C83" w:rsidP="005A6C83">
            <w:pPr>
              <w:spacing w:line="240" w:lineRule="auto"/>
              <w:jc w:val="center"/>
              <w:rPr>
                <w:szCs w:val="24"/>
              </w:rPr>
            </w:pPr>
            <w:r w:rsidRPr="007916D1">
              <w:rPr>
                <w:b/>
                <w:bCs/>
                <w:szCs w:val="24"/>
                <w:lang w:val="en-US"/>
              </w:rPr>
              <w:t>-</w:t>
            </w:r>
          </w:p>
        </w:tc>
        <w:tc>
          <w:tcPr>
            <w:tcW w:w="210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72" w:type="dxa"/>
              <w:left w:w="144" w:type="dxa"/>
              <w:bottom w:w="72" w:type="dxa"/>
              <w:right w:w="144" w:type="dxa"/>
            </w:tcMar>
            <w:vAlign w:val="center"/>
          </w:tcPr>
          <w:p w14:paraId="06B087A6" w14:textId="77777777" w:rsidR="005A6C83" w:rsidRPr="007916D1" w:rsidRDefault="005A6C83" w:rsidP="005A6C83">
            <w:pPr>
              <w:spacing w:line="240" w:lineRule="auto"/>
              <w:jc w:val="center"/>
              <w:rPr>
                <w:szCs w:val="24"/>
              </w:rPr>
            </w:pPr>
            <w:r w:rsidRPr="007916D1">
              <w:rPr>
                <w:b/>
                <w:bCs/>
                <w:szCs w:val="24"/>
                <w:lang w:val="en-US"/>
              </w:rPr>
              <w:t>+</w:t>
            </w:r>
          </w:p>
        </w:tc>
      </w:tr>
    </w:tbl>
    <w:p w14:paraId="59020F2A" w14:textId="77777777" w:rsidR="005A6C83" w:rsidRPr="007916D1" w:rsidRDefault="005A6C83" w:rsidP="005A6C83">
      <w:pPr>
        <w:spacing w:line="240" w:lineRule="auto"/>
        <w:ind w:firstLine="709"/>
        <w:rPr>
          <w:szCs w:val="24"/>
        </w:rPr>
      </w:pPr>
      <w:r w:rsidRPr="007916D1">
        <w:rPr>
          <w:szCs w:val="24"/>
        </w:rPr>
        <w:t xml:space="preserve">Таблица2. </w:t>
      </w:r>
      <w:r w:rsidRPr="007916D1">
        <w:rPr>
          <w:szCs w:val="24"/>
          <w:lang w:val="en-US"/>
        </w:rPr>
        <w:t>EGIL</w:t>
      </w:r>
      <w:r w:rsidRPr="007916D1">
        <w:rPr>
          <w:szCs w:val="24"/>
        </w:rPr>
        <w:t xml:space="preserve"> классификация Т-ОЛЛ.</w:t>
      </w:r>
    </w:p>
    <w:p w14:paraId="61536754" w14:textId="6C92031A" w:rsidR="005A6C83" w:rsidRPr="007916D1" w:rsidRDefault="005A6C83" w:rsidP="005A6C83">
      <w:pPr>
        <w:rPr>
          <w:sz w:val="22"/>
          <w:szCs w:val="24"/>
        </w:rPr>
      </w:pPr>
      <w:r w:rsidRPr="007916D1">
        <w:rPr>
          <w:sz w:val="22"/>
          <w:szCs w:val="24"/>
        </w:rPr>
        <w:t xml:space="preserve">               </w:t>
      </w:r>
      <w:r w:rsidRPr="007916D1">
        <w:rPr>
          <w:sz w:val="22"/>
          <w:szCs w:val="24"/>
          <w:lang w:val="en-US"/>
        </w:rPr>
        <w:t>Cy</w:t>
      </w:r>
      <w:r w:rsidRPr="007916D1">
        <w:rPr>
          <w:sz w:val="22"/>
          <w:szCs w:val="24"/>
        </w:rPr>
        <w:t xml:space="preserve"> – цитоплазматическая экспрессия. </w:t>
      </w:r>
      <w:r w:rsidRPr="007916D1">
        <w:rPr>
          <w:sz w:val="22"/>
          <w:szCs w:val="24"/>
          <w:lang w:val="en-US"/>
        </w:rPr>
        <w:t>Surf</w:t>
      </w:r>
      <w:r w:rsidRPr="007916D1">
        <w:rPr>
          <w:sz w:val="22"/>
          <w:szCs w:val="24"/>
        </w:rPr>
        <w:t xml:space="preserve"> – поверхностная экспрессия</w:t>
      </w:r>
    </w:p>
    <w:p w14:paraId="57AFFA4D" w14:textId="77777777" w:rsidR="005A6C83" w:rsidRPr="007916D1" w:rsidRDefault="005A6C83" w:rsidP="005A6C83">
      <w:pPr>
        <w:spacing w:line="240" w:lineRule="auto"/>
        <w:ind w:firstLine="709"/>
        <w:rPr>
          <w:b/>
          <w:szCs w:val="24"/>
        </w:rPr>
      </w:pPr>
    </w:p>
    <w:p w14:paraId="15222E52" w14:textId="77777777" w:rsidR="005A6C83" w:rsidRPr="007916D1" w:rsidRDefault="005A6C83" w:rsidP="005A6C83">
      <w:pPr>
        <w:spacing w:line="240" w:lineRule="auto"/>
        <w:ind w:firstLine="709"/>
        <w:rPr>
          <w:szCs w:val="24"/>
        </w:rPr>
      </w:pPr>
      <w:r w:rsidRPr="007916D1">
        <w:rPr>
          <w:szCs w:val="24"/>
        </w:rPr>
        <w:t>В классификации ВОЗ 2016 отдельно выделяется</w:t>
      </w:r>
      <w:r w:rsidRPr="007916D1">
        <w:rPr>
          <w:b/>
          <w:szCs w:val="24"/>
        </w:rPr>
        <w:t xml:space="preserve"> Т-лимфобластный лейкоз из ранних предшественников (</w:t>
      </w:r>
      <w:r w:rsidRPr="007916D1">
        <w:rPr>
          <w:b/>
          <w:szCs w:val="24"/>
          <w:lang w:val="en-US"/>
        </w:rPr>
        <w:t>e</w:t>
      </w:r>
      <w:r w:rsidRPr="007916D1">
        <w:rPr>
          <w:b/>
          <w:szCs w:val="24"/>
        </w:rPr>
        <w:t>arly T-precursor (ETP-ALL)</w:t>
      </w:r>
      <w:r w:rsidRPr="007916D1">
        <w:rPr>
          <w:szCs w:val="24"/>
        </w:rPr>
        <w:t xml:space="preserve">. Бластные клетки при </w:t>
      </w:r>
      <w:r w:rsidRPr="007916D1">
        <w:rPr>
          <w:szCs w:val="24"/>
          <w:lang w:val="en-US"/>
        </w:rPr>
        <w:t>ETP</w:t>
      </w:r>
      <w:r w:rsidRPr="007916D1">
        <w:rPr>
          <w:szCs w:val="24"/>
        </w:rPr>
        <w:t xml:space="preserve"> имеют признаки миелоидных и стволовых клеток, иммунофенотип должен соответствовать определенным критериям:</w:t>
      </w:r>
    </w:p>
    <w:p w14:paraId="5B57CB2A" w14:textId="77777777" w:rsidR="005A6C83" w:rsidRPr="007916D1" w:rsidRDefault="005A6C83" w:rsidP="00461889">
      <w:pPr>
        <w:pStyle w:val="afff3"/>
        <w:widowControl/>
        <w:numPr>
          <w:ilvl w:val="0"/>
          <w:numId w:val="253"/>
        </w:numPr>
        <w:autoSpaceDE/>
        <w:autoSpaceDN/>
        <w:adjustRightInd/>
        <w:spacing w:line="240" w:lineRule="auto"/>
        <w:ind w:left="709"/>
        <w:jc w:val="left"/>
        <w:rPr>
          <w:szCs w:val="24"/>
        </w:rPr>
      </w:pPr>
      <w:r w:rsidRPr="007916D1">
        <w:rPr>
          <w:szCs w:val="24"/>
        </w:rPr>
        <w:t>Т-линейная направленность (</w:t>
      </w:r>
      <w:r w:rsidRPr="007916D1">
        <w:rPr>
          <w:szCs w:val="24"/>
          <w:lang w:val="en-US"/>
        </w:rPr>
        <w:t>cyCD</w:t>
      </w:r>
      <w:r w:rsidRPr="007916D1">
        <w:rPr>
          <w:szCs w:val="24"/>
        </w:rPr>
        <w:t>3+</w:t>
      </w:r>
      <w:r w:rsidRPr="007916D1">
        <w:rPr>
          <w:szCs w:val="24"/>
          <w:lang w:val="en-US"/>
        </w:rPr>
        <w:t>CD</w:t>
      </w:r>
      <w:r w:rsidRPr="007916D1">
        <w:rPr>
          <w:szCs w:val="24"/>
        </w:rPr>
        <w:t>7+)</w:t>
      </w:r>
    </w:p>
    <w:p w14:paraId="521A001F" w14:textId="77777777" w:rsidR="005A6C83" w:rsidRPr="007916D1" w:rsidRDefault="005A6C83" w:rsidP="00461889">
      <w:pPr>
        <w:pStyle w:val="afff3"/>
        <w:widowControl/>
        <w:numPr>
          <w:ilvl w:val="0"/>
          <w:numId w:val="253"/>
        </w:numPr>
        <w:autoSpaceDE/>
        <w:autoSpaceDN/>
        <w:adjustRightInd/>
        <w:spacing w:line="240" w:lineRule="auto"/>
        <w:ind w:left="709"/>
        <w:jc w:val="left"/>
        <w:rPr>
          <w:szCs w:val="24"/>
        </w:rPr>
      </w:pPr>
      <w:r w:rsidRPr="007916D1">
        <w:rPr>
          <w:szCs w:val="24"/>
          <w:lang w:val="en-US"/>
        </w:rPr>
        <w:t>CD</w:t>
      </w:r>
      <w:r w:rsidRPr="007916D1">
        <w:rPr>
          <w:szCs w:val="24"/>
        </w:rPr>
        <w:t>1</w:t>
      </w:r>
      <w:r w:rsidRPr="007916D1">
        <w:rPr>
          <w:szCs w:val="24"/>
          <w:lang w:val="en-US"/>
        </w:rPr>
        <w:t>a</w:t>
      </w:r>
      <w:r w:rsidRPr="007916D1">
        <w:rPr>
          <w:szCs w:val="24"/>
        </w:rPr>
        <w:t xml:space="preserve"> и </w:t>
      </w:r>
      <w:r w:rsidRPr="007916D1">
        <w:rPr>
          <w:szCs w:val="24"/>
          <w:lang w:val="en-US"/>
        </w:rPr>
        <w:t>CD</w:t>
      </w:r>
      <w:r w:rsidRPr="007916D1">
        <w:rPr>
          <w:szCs w:val="24"/>
        </w:rPr>
        <w:t>8 отрицательные (&lt;5%)</w:t>
      </w:r>
    </w:p>
    <w:p w14:paraId="4A837463" w14:textId="77777777" w:rsidR="005A6C83" w:rsidRPr="007916D1" w:rsidRDefault="005A6C83" w:rsidP="00461889">
      <w:pPr>
        <w:pStyle w:val="afff3"/>
        <w:widowControl/>
        <w:numPr>
          <w:ilvl w:val="0"/>
          <w:numId w:val="253"/>
        </w:numPr>
        <w:autoSpaceDE/>
        <w:autoSpaceDN/>
        <w:adjustRightInd/>
        <w:spacing w:line="240" w:lineRule="auto"/>
        <w:ind w:left="709"/>
        <w:jc w:val="left"/>
        <w:rPr>
          <w:szCs w:val="24"/>
        </w:rPr>
      </w:pPr>
      <w:r w:rsidRPr="007916D1">
        <w:rPr>
          <w:szCs w:val="24"/>
          <w:lang w:val="en-US"/>
        </w:rPr>
        <w:t>CD</w:t>
      </w:r>
      <w:r w:rsidRPr="007916D1">
        <w:rPr>
          <w:szCs w:val="24"/>
        </w:rPr>
        <w:t>5 позитивны менее 75% бластов, слабая экспрессия антигена.</w:t>
      </w:r>
    </w:p>
    <w:p w14:paraId="3014CC9D" w14:textId="77777777" w:rsidR="005A6C83" w:rsidRPr="007916D1" w:rsidRDefault="005A6C83" w:rsidP="00461889">
      <w:pPr>
        <w:pStyle w:val="afff3"/>
        <w:widowControl/>
        <w:numPr>
          <w:ilvl w:val="0"/>
          <w:numId w:val="253"/>
        </w:numPr>
        <w:autoSpaceDE/>
        <w:autoSpaceDN/>
        <w:adjustRightInd/>
        <w:spacing w:line="240" w:lineRule="auto"/>
        <w:ind w:left="709"/>
        <w:jc w:val="left"/>
        <w:rPr>
          <w:szCs w:val="24"/>
        </w:rPr>
      </w:pPr>
      <w:r w:rsidRPr="007916D1">
        <w:rPr>
          <w:szCs w:val="24"/>
        </w:rPr>
        <w:t xml:space="preserve">позитивен хотя бы один из следующих маркеров: </w:t>
      </w:r>
      <w:r w:rsidRPr="007916D1">
        <w:rPr>
          <w:szCs w:val="24"/>
          <w:lang w:val="en-US"/>
        </w:rPr>
        <w:t>CD</w:t>
      </w:r>
      <w:r w:rsidRPr="007916D1">
        <w:rPr>
          <w:szCs w:val="24"/>
        </w:rPr>
        <w:t xml:space="preserve">34, </w:t>
      </w:r>
      <w:r w:rsidRPr="007916D1">
        <w:rPr>
          <w:szCs w:val="24"/>
          <w:lang w:val="en-US"/>
        </w:rPr>
        <w:t>CD</w:t>
      </w:r>
      <w:r w:rsidRPr="007916D1">
        <w:rPr>
          <w:szCs w:val="24"/>
        </w:rPr>
        <w:t xml:space="preserve">117, </w:t>
      </w:r>
      <w:r w:rsidRPr="007916D1">
        <w:rPr>
          <w:szCs w:val="24"/>
          <w:lang w:val="en-US"/>
        </w:rPr>
        <w:t>HLA</w:t>
      </w:r>
      <w:r w:rsidRPr="007916D1">
        <w:rPr>
          <w:szCs w:val="24"/>
        </w:rPr>
        <w:t>-</w:t>
      </w:r>
      <w:r w:rsidRPr="007916D1">
        <w:rPr>
          <w:szCs w:val="24"/>
          <w:lang w:val="en-US"/>
        </w:rPr>
        <w:t>DR</w:t>
      </w:r>
      <w:r w:rsidRPr="007916D1">
        <w:rPr>
          <w:szCs w:val="24"/>
        </w:rPr>
        <w:t xml:space="preserve">, </w:t>
      </w:r>
      <w:r w:rsidRPr="007916D1">
        <w:rPr>
          <w:szCs w:val="24"/>
          <w:lang w:val="en-US"/>
        </w:rPr>
        <w:t>CD</w:t>
      </w:r>
      <w:r w:rsidRPr="007916D1">
        <w:rPr>
          <w:szCs w:val="24"/>
        </w:rPr>
        <w:t xml:space="preserve">13, </w:t>
      </w:r>
      <w:r w:rsidRPr="007916D1">
        <w:rPr>
          <w:szCs w:val="24"/>
          <w:lang w:val="en-US"/>
        </w:rPr>
        <w:t>CD</w:t>
      </w:r>
      <w:r w:rsidRPr="007916D1">
        <w:rPr>
          <w:szCs w:val="24"/>
        </w:rPr>
        <w:t xml:space="preserve">33, </w:t>
      </w:r>
      <w:r w:rsidRPr="007916D1">
        <w:rPr>
          <w:szCs w:val="24"/>
          <w:lang w:val="en-US"/>
        </w:rPr>
        <w:t>CD</w:t>
      </w:r>
      <w:r w:rsidRPr="007916D1">
        <w:rPr>
          <w:szCs w:val="24"/>
        </w:rPr>
        <w:t>11</w:t>
      </w:r>
      <w:r w:rsidRPr="007916D1">
        <w:rPr>
          <w:szCs w:val="24"/>
          <w:lang w:val="en-US"/>
        </w:rPr>
        <w:t>b</w:t>
      </w:r>
      <w:r w:rsidRPr="007916D1">
        <w:rPr>
          <w:szCs w:val="24"/>
        </w:rPr>
        <w:t xml:space="preserve">, </w:t>
      </w:r>
      <w:r w:rsidRPr="007916D1">
        <w:rPr>
          <w:szCs w:val="24"/>
          <w:lang w:val="en-US"/>
        </w:rPr>
        <w:t>CD</w:t>
      </w:r>
      <w:r w:rsidRPr="007916D1">
        <w:rPr>
          <w:szCs w:val="24"/>
        </w:rPr>
        <w:t>65.</w:t>
      </w:r>
    </w:p>
    <w:p w14:paraId="28FA63ED" w14:textId="77777777" w:rsidR="005A6C83" w:rsidRPr="007916D1" w:rsidRDefault="005A6C83" w:rsidP="005A6C83">
      <w:pPr>
        <w:rPr>
          <w:szCs w:val="24"/>
        </w:rPr>
      </w:pPr>
      <w:r w:rsidRPr="007916D1">
        <w:rPr>
          <w:szCs w:val="24"/>
        </w:rPr>
        <w:t xml:space="preserve">В случае яркой и более мономорфной экспрессии </w:t>
      </w:r>
      <w:r w:rsidRPr="007916D1">
        <w:rPr>
          <w:szCs w:val="24"/>
          <w:lang w:val="en-US"/>
        </w:rPr>
        <w:t>CD</w:t>
      </w:r>
      <w:r w:rsidRPr="007916D1">
        <w:rPr>
          <w:szCs w:val="24"/>
        </w:rPr>
        <w:t xml:space="preserve">5 (≥75%), но выполнении остальных критериев Т-лимфобластного лейкоза из ранних предшественников, устанавливается диагноз </w:t>
      </w:r>
      <w:r w:rsidRPr="007916D1">
        <w:rPr>
          <w:b/>
          <w:szCs w:val="24"/>
          <w:lang w:val="en-US"/>
        </w:rPr>
        <w:t>near</w:t>
      </w:r>
      <w:r w:rsidRPr="007916D1">
        <w:rPr>
          <w:b/>
          <w:szCs w:val="24"/>
        </w:rPr>
        <w:t>-</w:t>
      </w:r>
      <w:r w:rsidRPr="007916D1">
        <w:rPr>
          <w:b/>
          <w:szCs w:val="24"/>
          <w:lang w:val="en-US"/>
        </w:rPr>
        <w:t>ETP</w:t>
      </w:r>
      <w:r w:rsidRPr="007916D1">
        <w:rPr>
          <w:b/>
          <w:szCs w:val="24"/>
        </w:rPr>
        <w:t>-</w:t>
      </w:r>
      <w:r w:rsidRPr="007916D1">
        <w:rPr>
          <w:b/>
          <w:szCs w:val="24"/>
          <w:lang w:val="en-US"/>
        </w:rPr>
        <w:t>ALL</w:t>
      </w:r>
      <w:r w:rsidRPr="007916D1">
        <w:rPr>
          <w:szCs w:val="24"/>
        </w:rPr>
        <w:t>, что можно перевести как «подобный-</w:t>
      </w:r>
      <w:r w:rsidRPr="007916D1">
        <w:rPr>
          <w:szCs w:val="24"/>
          <w:lang w:val="en-US"/>
        </w:rPr>
        <w:t>ETP</w:t>
      </w:r>
      <w:r w:rsidRPr="007916D1">
        <w:rPr>
          <w:szCs w:val="24"/>
        </w:rPr>
        <w:t>-</w:t>
      </w:r>
      <w:r w:rsidRPr="007916D1">
        <w:rPr>
          <w:szCs w:val="24"/>
          <w:lang w:val="en-US"/>
        </w:rPr>
        <w:t>ALL</w:t>
      </w:r>
      <w:r w:rsidRPr="007916D1">
        <w:rPr>
          <w:szCs w:val="24"/>
        </w:rPr>
        <w:t>».</w:t>
      </w:r>
    </w:p>
    <w:p w14:paraId="4EC55EEA" w14:textId="77777777" w:rsidR="0087392F" w:rsidRDefault="0087392F" w:rsidP="004905C2">
      <w:pPr>
        <w:pStyle w:val="2"/>
        <w:rPr>
          <w:rFonts w:eastAsia="Microsoft YaHei"/>
        </w:rPr>
      </w:pPr>
      <w:bookmarkStart w:id="433" w:name="_Toc26796737"/>
      <w:bookmarkStart w:id="434" w:name="_Toc64467952"/>
      <w:bookmarkStart w:id="435" w:name="_Toc64565685"/>
    </w:p>
    <w:p w14:paraId="3049C0B4" w14:textId="77777777" w:rsidR="0087392F" w:rsidRPr="0087392F" w:rsidRDefault="0087392F" w:rsidP="0087392F">
      <w:pPr>
        <w:rPr>
          <w:lang w:eastAsia="ja-JP"/>
        </w:rPr>
      </w:pPr>
    </w:p>
    <w:p w14:paraId="6D388913" w14:textId="41C24BD0" w:rsidR="007916D1" w:rsidRDefault="007916D1" w:rsidP="004905C2">
      <w:pPr>
        <w:pStyle w:val="2"/>
      </w:pPr>
      <w:r>
        <w:br w:type="page"/>
      </w:r>
    </w:p>
    <w:p w14:paraId="2C1426CC" w14:textId="77777777" w:rsidR="00950F44" w:rsidRDefault="00950F44" w:rsidP="004905C2">
      <w:pPr>
        <w:pStyle w:val="2"/>
      </w:pPr>
      <w:r w:rsidRPr="00B14B73">
        <w:lastRenderedPageBreak/>
        <w:t>Приложение Г</w:t>
      </w:r>
      <w:r>
        <w:t>3</w:t>
      </w:r>
      <w:r w:rsidRPr="009900F4">
        <w:t xml:space="preserve">. </w:t>
      </w:r>
      <w:r>
        <w:t xml:space="preserve">Основные генетические аномалии при </w:t>
      </w:r>
      <w:r w:rsidR="00875D2C">
        <w:t>ОЛЛ</w:t>
      </w:r>
      <w:bookmarkEnd w:id="433"/>
      <w:bookmarkEnd w:id="434"/>
      <w:bookmarkEnd w:id="435"/>
    </w:p>
    <w:p w14:paraId="1C212FC3" w14:textId="5F35A3B7" w:rsidR="00875D2C" w:rsidRPr="005A5ED3" w:rsidRDefault="00875D2C" w:rsidP="00875D2C">
      <w:pPr>
        <w:pStyle w:val="a6"/>
        <w:rPr>
          <w:bCs/>
          <w:lang w:eastAsia="ja-JP"/>
        </w:rPr>
      </w:pPr>
      <w:r w:rsidRPr="005A5ED3">
        <w:rPr>
          <w:bCs/>
          <w:lang w:eastAsia="ja-JP"/>
        </w:rPr>
        <w:t>Таблица 1. Основные генетические аномалии при ОЛЛ</w:t>
      </w:r>
    </w:p>
    <w:tbl>
      <w:tblPr>
        <w:tblStyle w:val="1f"/>
        <w:tblW w:w="0" w:type="auto"/>
        <w:tblLayout w:type="fixed"/>
        <w:tblLook w:val="0000" w:firstRow="0" w:lastRow="0" w:firstColumn="0" w:lastColumn="0" w:noHBand="0" w:noVBand="0"/>
      </w:tblPr>
      <w:tblGrid>
        <w:gridCol w:w="1560"/>
        <w:gridCol w:w="2160"/>
        <w:gridCol w:w="2105"/>
        <w:gridCol w:w="1718"/>
        <w:gridCol w:w="1813"/>
      </w:tblGrid>
      <w:tr w:rsidR="00785E13" w:rsidRPr="00CA7FDC" w14:paraId="46600C1F" w14:textId="77777777" w:rsidTr="00875D2C">
        <w:trPr>
          <w:trHeight w:val="227"/>
        </w:trPr>
        <w:tc>
          <w:tcPr>
            <w:tcW w:w="1560" w:type="dxa"/>
          </w:tcPr>
          <w:p w14:paraId="4032028A" w14:textId="77777777" w:rsidR="00785E13" w:rsidRPr="00875D2C" w:rsidRDefault="00785E13" w:rsidP="00B50179">
            <w:pPr>
              <w:shd w:val="clear" w:color="auto" w:fill="FFFFFF"/>
              <w:jc w:val="center"/>
              <w:rPr>
                <w:b/>
              </w:rPr>
            </w:pPr>
            <w:r w:rsidRPr="00875D2C">
              <w:rPr>
                <w:b/>
              </w:rPr>
              <w:t>ОЛЛ</w:t>
            </w:r>
          </w:p>
        </w:tc>
        <w:tc>
          <w:tcPr>
            <w:tcW w:w="2160" w:type="dxa"/>
          </w:tcPr>
          <w:p w14:paraId="59983289" w14:textId="77777777" w:rsidR="00785E13" w:rsidRPr="00875D2C" w:rsidRDefault="00785E13" w:rsidP="00B50179">
            <w:pPr>
              <w:shd w:val="clear" w:color="auto" w:fill="FFFFFF"/>
              <w:jc w:val="center"/>
              <w:rPr>
                <w:b/>
              </w:rPr>
            </w:pPr>
            <w:r w:rsidRPr="00875D2C">
              <w:rPr>
                <w:b/>
              </w:rPr>
              <w:t>Аномалия</w:t>
            </w:r>
          </w:p>
        </w:tc>
        <w:tc>
          <w:tcPr>
            <w:tcW w:w="2105" w:type="dxa"/>
          </w:tcPr>
          <w:p w14:paraId="3ED799C5" w14:textId="77777777" w:rsidR="00785E13" w:rsidRPr="00875D2C" w:rsidRDefault="00785E13" w:rsidP="00B50179">
            <w:pPr>
              <w:shd w:val="clear" w:color="auto" w:fill="FFFFFF"/>
              <w:jc w:val="center"/>
              <w:rPr>
                <w:b/>
              </w:rPr>
            </w:pPr>
            <w:r w:rsidRPr="00875D2C">
              <w:rPr>
                <w:b/>
              </w:rPr>
              <w:t>Вовлеченные гены</w:t>
            </w:r>
          </w:p>
        </w:tc>
        <w:tc>
          <w:tcPr>
            <w:tcW w:w="1718" w:type="dxa"/>
          </w:tcPr>
          <w:p w14:paraId="7032F8E6" w14:textId="77777777" w:rsidR="00785E13" w:rsidRPr="00875D2C" w:rsidRDefault="00785E13" w:rsidP="00B50179">
            <w:pPr>
              <w:shd w:val="clear" w:color="auto" w:fill="FFFFFF"/>
              <w:jc w:val="center"/>
              <w:rPr>
                <w:b/>
              </w:rPr>
            </w:pPr>
            <w:r w:rsidRPr="00875D2C">
              <w:rPr>
                <w:b/>
              </w:rPr>
              <w:t>Частота</w:t>
            </w:r>
          </w:p>
        </w:tc>
        <w:tc>
          <w:tcPr>
            <w:tcW w:w="1813" w:type="dxa"/>
          </w:tcPr>
          <w:p w14:paraId="6E8383B1" w14:textId="77777777" w:rsidR="00785E13" w:rsidRPr="00875D2C" w:rsidRDefault="00785E13" w:rsidP="00B50179">
            <w:pPr>
              <w:shd w:val="clear" w:color="auto" w:fill="FFFFFF"/>
              <w:jc w:val="center"/>
              <w:rPr>
                <w:b/>
              </w:rPr>
            </w:pPr>
            <w:r w:rsidRPr="00875D2C">
              <w:rPr>
                <w:b/>
              </w:rPr>
              <w:t>Метод детекции</w:t>
            </w:r>
          </w:p>
        </w:tc>
      </w:tr>
      <w:tr w:rsidR="00785E13" w:rsidRPr="00CA7FDC" w14:paraId="348F20B9" w14:textId="77777777" w:rsidTr="00875D2C">
        <w:trPr>
          <w:trHeight w:val="227"/>
        </w:trPr>
        <w:tc>
          <w:tcPr>
            <w:tcW w:w="1560" w:type="dxa"/>
          </w:tcPr>
          <w:p w14:paraId="6DBDCD9C" w14:textId="77777777" w:rsidR="00785E13" w:rsidRPr="00CA7FDC" w:rsidRDefault="00785E13" w:rsidP="00B50179">
            <w:pPr>
              <w:shd w:val="clear" w:color="auto" w:fill="FFFFFF"/>
            </w:pPr>
            <w:r w:rsidRPr="00CA7FDC">
              <w:t xml:space="preserve">B-клеточный </w:t>
            </w:r>
          </w:p>
        </w:tc>
        <w:tc>
          <w:tcPr>
            <w:tcW w:w="2160" w:type="dxa"/>
          </w:tcPr>
          <w:p w14:paraId="2585DD66" w14:textId="77777777" w:rsidR="00785E13" w:rsidRPr="00CA7FDC" w:rsidRDefault="00785E13" w:rsidP="00B50179">
            <w:pPr>
              <w:shd w:val="clear" w:color="auto" w:fill="FFFFFF"/>
            </w:pPr>
            <w:r w:rsidRPr="00CA7FDC">
              <w:t>t(9;22)(q34;q11)</w:t>
            </w:r>
          </w:p>
        </w:tc>
        <w:tc>
          <w:tcPr>
            <w:tcW w:w="2105" w:type="dxa"/>
          </w:tcPr>
          <w:p w14:paraId="1B8B521F" w14:textId="77777777" w:rsidR="00785E13" w:rsidRPr="00CA7FDC" w:rsidRDefault="00785E13" w:rsidP="00B50179">
            <w:pPr>
              <w:shd w:val="clear" w:color="auto" w:fill="FFFFFF"/>
            </w:pPr>
            <w:r w:rsidRPr="00CA7FDC">
              <w:t>BCR ABL</w:t>
            </w:r>
          </w:p>
        </w:tc>
        <w:tc>
          <w:tcPr>
            <w:tcW w:w="1718" w:type="dxa"/>
          </w:tcPr>
          <w:p w14:paraId="4ADA2E5A" w14:textId="77777777" w:rsidR="00785E13" w:rsidRPr="00CA7FDC" w:rsidRDefault="00785E13" w:rsidP="00B50179">
            <w:pPr>
              <w:shd w:val="clear" w:color="auto" w:fill="FFFFFF"/>
            </w:pPr>
            <w:r w:rsidRPr="00CA7FDC">
              <w:t xml:space="preserve">Взрослые: 30 % </w:t>
            </w:r>
          </w:p>
          <w:p w14:paraId="2F310A4A" w14:textId="77777777" w:rsidR="00785E13" w:rsidRPr="00CA7FDC" w:rsidRDefault="00785E13" w:rsidP="00B50179">
            <w:pPr>
              <w:shd w:val="clear" w:color="auto" w:fill="FFFFFF"/>
            </w:pPr>
            <w:r w:rsidRPr="00CA7FDC">
              <w:t>Дети: 3 %</w:t>
            </w:r>
          </w:p>
        </w:tc>
        <w:tc>
          <w:tcPr>
            <w:tcW w:w="1813" w:type="dxa"/>
          </w:tcPr>
          <w:p w14:paraId="07647953" w14:textId="77777777" w:rsidR="00785E13" w:rsidRPr="00CA7FDC" w:rsidRDefault="00785E13" w:rsidP="00B50179">
            <w:pPr>
              <w:shd w:val="clear" w:color="auto" w:fill="FFFFFF"/>
            </w:pPr>
            <w:r w:rsidRPr="00CA7FDC">
              <w:t>ОТ-ПЦР</w:t>
            </w:r>
          </w:p>
        </w:tc>
      </w:tr>
      <w:tr w:rsidR="00785E13" w:rsidRPr="00CA7FDC" w14:paraId="1D04ACAE" w14:textId="77777777" w:rsidTr="00875D2C">
        <w:trPr>
          <w:trHeight w:val="227"/>
        </w:trPr>
        <w:tc>
          <w:tcPr>
            <w:tcW w:w="1560" w:type="dxa"/>
          </w:tcPr>
          <w:p w14:paraId="71E71C31" w14:textId="77777777" w:rsidR="00785E13" w:rsidRPr="00CA7FDC" w:rsidRDefault="00785E13" w:rsidP="00B50179"/>
        </w:tc>
        <w:tc>
          <w:tcPr>
            <w:tcW w:w="2160" w:type="dxa"/>
          </w:tcPr>
          <w:p w14:paraId="4A316C7A" w14:textId="77777777" w:rsidR="00785E13" w:rsidRPr="00CA7FDC" w:rsidRDefault="00785E13" w:rsidP="00B50179">
            <w:pPr>
              <w:shd w:val="clear" w:color="auto" w:fill="FFFFFF"/>
            </w:pPr>
            <w:r w:rsidRPr="00CA7FDC">
              <w:t>t(12;21)(p33;q22)</w:t>
            </w:r>
          </w:p>
        </w:tc>
        <w:tc>
          <w:tcPr>
            <w:tcW w:w="2105" w:type="dxa"/>
          </w:tcPr>
          <w:p w14:paraId="651B54B7" w14:textId="77777777" w:rsidR="00785E13" w:rsidRPr="00CA7FDC" w:rsidRDefault="00785E13" w:rsidP="00B50179">
            <w:pPr>
              <w:shd w:val="clear" w:color="auto" w:fill="FFFFFF"/>
            </w:pPr>
            <w:r w:rsidRPr="00CA7FDC">
              <w:t>TEL AML1</w:t>
            </w:r>
          </w:p>
        </w:tc>
        <w:tc>
          <w:tcPr>
            <w:tcW w:w="1718" w:type="dxa"/>
          </w:tcPr>
          <w:p w14:paraId="648DECDC" w14:textId="77777777" w:rsidR="00785E13" w:rsidRPr="00CA7FDC" w:rsidRDefault="00785E13" w:rsidP="00B50179">
            <w:pPr>
              <w:shd w:val="clear" w:color="auto" w:fill="FFFFFF"/>
            </w:pPr>
            <w:r w:rsidRPr="00CA7FDC">
              <w:t xml:space="preserve">Взрослые: &lt;1 % </w:t>
            </w:r>
          </w:p>
          <w:p w14:paraId="33C4A1D8" w14:textId="77777777" w:rsidR="00785E13" w:rsidRPr="00CA7FDC" w:rsidRDefault="00785E13" w:rsidP="00B50179">
            <w:pPr>
              <w:shd w:val="clear" w:color="auto" w:fill="FFFFFF"/>
            </w:pPr>
            <w:r w:rsidRPr="00CA7FDC">
              <w:t>Дети: 20 %</w:t>
            </w:r>
          </w:p>
        </w:tc>
        <w:tc>
          <w:tcPr>
            <w:tcW w:w="1813" w:type="dxa"/>
          </w:tcPr>
          <w:p w14:paraId="1981A0DB" w14:textId="77777777" w:rsidR="00785E13" w:rsidRPr="00CA7FDC" w:rsidRDefault="00785E13" w:rsidP="00B50179">
            <w:pPr>
              <w:shd w:val="clear" w:color="auto" w:fill="FFFFFF"/>
            </w:pPr>
            <w:r w:rsidRPr="00CA7FDC">
              <w:t>ОТ-ПЦР</w:t>
            </w:r>
          </w:p>
        </w:tc>
      </w:tr>
      <w:tr w:rsidR="00785E13" w:rsidRPr="00CA7FDC" w14:paraId="07FE6461" w14:textId="77777777" w:rsidTr="00875D2C">
        <w:trPr>
          <w:trHeight w:val="227"/>
        </w:trPr>
        <w:tc>
          <w:tcPr>
            <w:tcW w:w="1560" w:type="dxa"/>
          </w:tcPr>
          <w:p w14:paraId="57614EC0" w14:textId="77777777" w:rsidR="00785E13" w:rsidRPr="00CA7FDC" w:rsidRDefault="00785E13" w:rsidP="00B50179"/>
        </w:tc>
        <w:tc>
          <w:tcPr>
            <w:tcW w:w="2160" w:type="dxa"/>
          </w:tcPr>
          <w:p w14:paraId="4B16F6CA" w14:textId="77777777" w:rsidR="00785E13" w:rsidRPr="00CA7FDC" w:rsidRDefault="00785E13" w:rsidP="00B50179">
            <w:pPr>
              <w:shd w:val="clear" w:color="auto" w:fill="FFFFFF"/>
            </w:pPr>
            <w:r w:rsidRPr="00CA7FDC">
              <w:t>t(4;11)(q21;q23)</w:t>
            </w:r>
          </w:p>
        </w:tc>
        <w:tc>
          <w:tcPr>
            <w:tcW w:w="2105" w:type="dxa"/>
          </w:tcPr>
          <w:p w14:paraId="4B067175" w14:textId="77777777" w:rsidR="00785E13" w:rsidRPr="00CA7FDC" w:rsidRDefault="00785E13" w:rsidP="00B50179">
            <w:pPr>
              <w:shd w:val="clear" w:color="auto" w:fill="FFFFFF"/>
            </w:pPr>
            <w:r w:rsidRPr="00CA7FDC">
              <w:t>MLL AF4</w:t>
            </w:r>
          </w:p>
        </w:tc>
        <w:tc>
          <w:tcPr>
            <w:tcW w:w="1718" w:type="dxa"/>
          </w:tcPr>
          <w:p w14:paraId="513B79AF" w14:textId="77777777" w:rsidR="00785E13" w:rsidRPr="00CA7FDC" w:rsidRDefault="00785E13" w:rsidP="00B50179">
            <w:pPr>
              <w:shd w:val="clear" w:color="auto" w:fill="FFFFFF"/>
            </w:pPr>
            <w:r w:rsidRPr="00CA7FDC">
              <w:t xml:space="preserve">Взрослые: 5 % </w:t>
            </w:r>
          </w:p>
          <w:p w14:paraId="71B802CA" w14:textId="77777777" w:rsidR="00785E13" w:rsidRPr="00CA7FDC" w:rsidRDefault="00785E13" w:rsidP="00B50179">
            <w:pPr>
              <w:shd w:val="clear" w:color="auto" w:fill="FFFFFF"/>
            </w:pPr>
            <w:r w:rsidRPr="00CA7FDC">
              <w:t>Дети младшего возраста: 60 %</w:t>
            </w:r>
          </w:p>
        </w:tc>
        <w:tc>
          <w:tcPr>
            <w:tcW w:w="1813" w:type="dxa"/>
          </w:tcPr>
          <w:p w14:paraId="3B5005E1" w14:textId="77777777" w:rsidR="00785E13" w:rsidRPr="00CA7FDC" w:rsidRDefault="00785E13" w:rsidP="00B50179">
            <w:pPr>
              <w:shd w:val="clear" w:color="auto" w:fill="FFFFFF"/>
            </w:pPr>
            <w:r w:rsidRPr="00CA7FDC">
              <w:t>ОТ-ПЦР</w:t>
            </w:r>
          </w:p>
        </w:tc>
      </w:tr>
      <w:tr w:rsidR="00785E13" w:rsidRPr="00CA7FDC" w14:paraId="5498EC68" w14:textId="77777777" w:rsidTr="00875D2C">
        <w:trPr>
          <w:trHeight w:val="227"/>
        </w:trPr>
        <w:tc>
          <w:tcPr>
            <w:tcW w:w="1560" w:type="dxa"/>
          </w:tcPr>
          <w:p w14:paraId="455D9655" w14:textId="77777777" w:rsidR="00785E13" w:rsidRPr="00CA7FDC" w:rsidRDefault="00785E13" w:rsidP="00B50179"/>
        </w:tc>
        <w:tc>
          <w:tcPr>
            <w:tcW w:w="2160" w:type="dxa"/>
          </w:tcPr>
          <w:p w14:paraId="325D2474" w14:textId="77777777" w:rsidR="00785E13" w:rsidRPr="00CA7FDC" w:rsidRDefault="00785E13" w:rsidP="00B50179">
            <w:pPr>
              <w:shd w:val="clear" w:color="auto" w:fill="FFFFFF"/>
            </w:pPr>
            <w:r w:rsidRPr="00CA7FDC">
              <w:t>t(l;19)(q23;p33)</w:t>
            </w:r>
          </w:p>
        </w:tc>
        <w:tc>
          <w:tcPr>
            <w:tcW w:w="2105" w:type="dxa"/>
          </w:tcPr>
          <w:p w14:paraId="3A4C4D5C" w14:textId="77777777" w:rsidR="00785E13" w:rsidRPr="00CA7FDC" w:rsidRDefault="00785E13" w:rsidP="00B50179">
            <w:pPr>
              <w:shd w:val="clear" w:color="auto" w:fill="FFFFFF"/>
            </w:pPr>
            <w:r w:rsidRPr="00CA7FDC">
              <w:t>E2A PBX1</w:t>
            </w:r>
          </w:p>
        </w:tc>
        <w:tc>
          <w:tcPr>
            <w:tcW w:w="1718" w:type="dxa"/>
          </w:tcPr>
          <w:p w14:paraId="1C408662" w14:textId="77777777" w:rsidR="00785E13" w:rsidRPr="00CA7FDC" w:rsidRDefault="00785E13" w:rsidP="00B50179">
            <w:pPr>
              <w:shd w:val="clear" w:color="auto" w:fill="FFFFFF"/>
            </w:pPr>
            <w:r w:rsidRPr="00CA7FDC">
              <w:t>5 %</w:t>
            </w:r>
          </w:p>
        </w:tc>
        <w:tc>
          <w:tcPr>
            <w:tcW w:w="1813" w:type="dxa"/>
          </w:tcPr>
          <w:p w14:paraId="72702DC6" w14:textId="77777777" w:rsidR="00785E13" w:rsidRPr="00CA7FDC" w:rsidRDefault="00785E13" w:rsidP="00B50179">
            <w:pPr>
              <w:shd w:val="clear" w:color="auto" w:fill="FFFFFF"/>
            </w:pPr>
            <w:r w:rsidRPr="00CA7FDC">
              <w:t>ОТ-ПЦР</w:t>
            </w:r>
          </w:p>
        </w:tc>
      </w:tr>
      <w:tr w:rsidR="00785E13" w:rsidRPr="00CA7FDC" w14:paraId="2540B881" w14:textId="77777777" w:rsidTr="00875D2C">
        <w:trPr>
          <w:trHeight w:val="227"/>
        </w:trPr>
        <w:tc>
          <w:tcPr>
            <w:tcW w:w="1560" w:type="dxa"/>
          </w:tcPr>
          <w:p w14:paraId="09B225C8" w14:textId="77777777" w:rsidR="00785E13" w:rsidRPr="00CA7FDC" w:rsidRDefault="00785E13" w:rsidP="00B50179"/>
        </w:tc>
        <w:tc>
          <w:tcPr>
            <w:tcW w:w="2160" w:type="dxa"/>
          </w:tcPr>
          <w:p w14:paraId="12600E86" w14:textId="77777777" w:rsidR="00785E13" w:rsidRPr="00CA7FDC" w:rsidRDefault="00785E13" w:rsidP="00B50179">
            <w:pPr>
              <w:shd w:val="clear" w:color="auto" w:fill="FFFFFF"/>
            </w:pPr>
            <w:r w:rsidRPr="00CA7FDC">
              <w:t>t(8;14)(q24;q32)</w:t>
            </w:r>
          </w:p>
        </w:tc>
        <w:tc>
          <w:tcPr>
            <w:tcW w:w="2105" w:type="dxa"/>
          </w:tcPr>
          <w:p w14:paraId="0A19EC3F" w14:textId="77777777" w:rsidR="00785E13" w:rsidRPr="00CA7FDC" w:rsidRDefault="00785E13" w:rsidP="00B50179">
            <w:pPr>
              <w:shd w:val="clear" w:color="auto" w:fill="FFFFFF"/>
            </w:pPr>
            <w:r w:rsidRPr="00CA7FDC">
              <w:t>c-MYC IgH</w:t>
            </w:r>
          </w:p>
        </w:tc>
        <w:tc>
          <w:tcPr>
            <w:tcW w:w="1718" w:type="dxa"/>
          </w:tcPr>
          <w:p w14:paraId="1F88DDE4" w14:textId="77777777" w:rsidR="00785E13" w:rsidRPr="00CA7FDC" w:rsidRDefault="00785E13" w:rsidP="00B50179">
            <w:pPr>
              <w:shd w:val="clear" w:color="auto" w:fill="FFFFFF"/>
            </w:pPr>
            <w:r w:rsidRPr="00CA7FDC">
              <w:t>1 %</w:t>
            </w:r>
          </w:p>
        </w:tc>
        <w:tc>
          <w:tcPr>
            <w:tcW w:w="1813" w:type="dxa"/>
          </w:tcPr>
          <w:p w14:paraId="60B545B9" w14:textId="77777777" w:rsidR="00785E13" w:rsidRPr="00CA7FDC" w:rsidRDefault="00785E13" w:rsidP="00B50179">
            <w:pPr>
              <w:shd w:val="clear" w:color="auto" w:fill="FFFFFF"/>
            </w:pPr>
            <w:r w:rsidRPr="00CA7FDC">
              <w:t>FISH</w:t>
            </w:r>
          </w:p>
        </w:tc>
      </w:tr>
      <w:tr w:rsidR="00785E13" w:rsidRPr="00CA7FDC" w14:paraId="5FC9B795" w14:textId="77777777" w:rsidTr="00875D2C">
        <w:trPr>
          <w:trHeight w:val="227"/>
        </w:trPr>
        <w:tc>
          <w:tcPr>
            <w:tcW w:w="1560" w:type="dxa"/>
          </w:tcPr>
          <w:p w14:paraId="3EF2EEBA" w14:textId="77777777" w:rsidR="00785E13" w:rsidRPr="00CA7FDC" w:rsidRDefault="00785E13" w:rsidP="00B50179"/>
        </w:tc>
        <w:tc>
          <w:tcPr>
            <w:tcW w:w="2160" w:type="dxa"/>
          </w:tcPr>
          <w:p w14:paraId="08BD2273" w14:textId="77777777" w:rsidR="00785E13" w:rsidRPr="00CA7FDC" w:rsidRDefault="00785E13" w:rsidP="00B50179">
            <w:pPr>
              <w:shd w:val="clear" w:color="auto" w:fill="FFFFFF"/>
            </w:pPr>
            <w:r w:rsidRPr="00CA7FDC">
              <w:t>t(17;19)(q22;p33)</w:t>
            </w:r>
          </w:p>
        </w:tc>
        <w:tc>
          <w:tcPr>
            <w:tcW w:w="2105" w:type="dxa"/>
          </w:tcPr>
          <w:p w14:paraId="5ADF5730" w14:textId="77777777" w:rsidR="00785E13" w:rsidRPr="00CA7FDC" w:rsidRDefault="00785E13" w:rsidP="00B50179">
            <w:pPr>
              <w:shd w:val="clear" w:color="auto" w:fill="FFFFFF"/>
            </w:pPr>
            <w:r w:rsidRPr="00CA7FDC">
              <w:t>E2A HLF</w:t>
            </w:r>
          </w:p>
        </w:tc>
        <w:tc>
          <w:tcPr>
            <w:tcW w:w="1718" w:type="dxa"/>
          </w:tcPr>
          <w:p w14:paraId="4520BC3B" w14:textId="77777777" w:rsidR="00785E13" w:rsidRPr="00CA7FDC" w:rsidRDefault="00785E13" w:rsidP="00B50179">
            <w:pPr>
              <w:shd w:val="clear" w:color="auto" w:fill="FFFFFF"/>
            </w:pPr>
            <w:r w:rsidRPr="00CA7FDC">
              <w:t>&lt;1 %</w:t>
            </w:r>
          </w:p>
        </w:tc>
        <w:tc>
          <w:tcPr>
            <w:tcW w:w="1813" w:type="dxa"/>
          </w:tcPr>
          <w:p w14:paraId="13E1FD93" w14:textId="77777777" w:rsidR="00785E13" w:rsidRPr="00CA7FDC" w:rsidRDefault="00785E13" w:rsidP="00B50179">
            <w:pPr>
              <w:shd w:val="clear" w:color="auto" w:fill="FFFFFF"/>
            </w:pPr>
            <w:r w:rsidRPr="00CA7FDC">
              <w:t>ОТ-ПЦР</w:t>
            </w:r>
          </w:p>
        </w:tc>
      </w:tr>
      <w:tr w:rsidR="00785E13" w:rsidRPr="00CA7FDC" w14:paraId="3DE141D7" w14:textId="77777777" w:rsidTr="00875D2C">
        <w:trPr>
          <w:trHeight w:val="227"/>
        </w:trPr>
        <w:tc>
          <w:tcPr>
            <w:tcW w:w="1560" w:type="dxa"/>
          </w:tcPr>
          <w:p w14:paraId="5894BE65" w14:textId="77777777" w:rsidR="00785E13" w:rsidRPr="00CA7FDC" w:rsidRDefault="00785E13" w:rsidP="00B50179"/>
        </w:tc>
        <w:tc>
          <w:tcPr>
            <w:tcW w:w="2160" w:type="dxa"/>
          </w:tcPr>
          <w:p w14:paraId="5D591EC7" w14:textId="77777777" w:rsidR="00785E13" w:rsidRPr="00CA7FDC" w:rsidRDefault="00785E13" w:rsidP="00B50179">
            <w:pPr>
              <w:shd w:val="clear" w:color="auto" w:fill="FFFFFF"/>
            </w:pPr>
            <w:r w:rsidRPr="00CA7FDC">
              <w:t>t(11;19)(q23;p33)</w:t>
            </w:r>
          </w:p>
        </w:tc>
        <w:tc>
          <w:tcPr>
            <w:tcW w:w="2105" w:type="dxa"/>
          </w:tcPr>
          <w:p w14:paraId="3EFE9C53" w14:textId="77777777" w:rsidR="00785E13" w:rsidRPr="00CA7FDC" w:rsidRDefault="00785E13" w:rsidP="00B50179">
            <w:pPr>
              <w:shd w:val="clear" w:color="auto" w:fill="FFFFFF"/>
            </w:pPr>
            <w:r w:rsidRPr="00CA7FDC">
              <w:t>MLL ENL</w:t>
            </w:r>
          </w:p>
        </w:tc>
        <w:tc>
          <w:tcPr>
            <w:tcW w:w="1718" w:type="dxa"/>
          </w:tcPr>
          <w:p w14:paraId="48BFE26F" w14:textId="77777777" w:rsidR="00785E13" w:rsidRPr="00CA7FDC" w:rsidRDefault="00785E13" w:rsidP="00B50179">
            <w:pPr>
              <w:shd w:val="clear" w:color="auto" w:fill="FFFFFF"/>
            </w:pPr>
            <w:r w:rsidRPr="00CA7FDC">
              <w:t>&lt;1 %</w:t>
            </w:r>
          </w:p>
        </w:tc>
        <w:tc>
          <w:tcPr>
            <w:tcW w:w="1813" w:type="dxa"/>
          </w:tcPr>
          <w:p w14:paraId="045EA4B4" w14:textId="77777777" w:rsidR="00785E13" w:rsidRPr="00CA7FDC" w:rsidRDefault="00785E13" w:rsidP="00B50179">
            <w:pPr>
              <w:shd w:val="clear" w:color="auto" w:fill="FFFFFF"/>
            </w:pPr>
            <w:r w:rsidRPr="00CA7FDC">
              <w:t>ОТ-ПЦР</w:t>
            </w:r>
          </w:p>
        </w:tc>
      </w:tr>
      <w:tr w:rsidR="00785E13" w:rsidRPr="00CA7FDC" w14:paraId="16EA8003" w14:textId="77777777" w:rsidTr="00875D2C">
        <w:trPr>
          <w:trHeight w:val="227"/>
        </w:trPr>
        <w:tc>
          <w:tcPr>
            <w:tcW w:w="1560" w:type="dxa"/>
          </w:tcPr>
          <w:p w14:paraId="05A7B4A5" w14:textId="77777777" w:rsidR="00785E13" w:rsidRPr="00CA7FDC" w:rsidRDefault="00785E13" w:rsidP="00B50179"/>
        </w:tc>
        <w:tc>
          <w:tcPr>
            <w:tcW w:w="2160" w:type="dxa"/>
          </w:tcPr>
          <w:p w14:paraId="0DC9C1C3" w14:textId="77777777" w:rsidR="00785E13" w:rsidRPr="00CA7FDC" w:rsidRDefault="00785E13" w:rsidP="00B50179">
            <w:pPr>
              <w:shd w:val="clear" w:color="auto" w:fill="FFFFFF"/>
            </w:pPr>
          </w:p>
        </w:tc>
        <w:tc>
          <w:tcPr>
            <w:tcW w:w="2105" w:type="dxa"/>
          </w:tcPr>
          <w:p w14:paraId="101B0293" w14:textId="77777777" w:rsidR="00785E13" w:rsidRPr="00CA7FDC" w:rsidRDefault="00785E13" w:rsidP="00B50179">
            <w:pPr>
              <w:shd w:val="clear" w:color="auto" w:fill="FFFFFF"/>
            </w:pPr>
            <w:r w:rsidRPr="00CA7FDC">
              <w:t xml:space="preserve">Мутации JAK1/2/3 </w:t>
            </w:r>
          </w:p>
        </w:tc>
        <w:tc>
          <w:tcPr>
            <w:tcW w:w="1718" w:type="dxa"/>
          </w:tcPr>
          <w:p w14:paraId="773E85BC" w14:textId="77777777" w:rsidR="00785E13" w:rsidRPr="00CA7FDC" w:rsidRDefault="00785E13" w:rsidP="00B50179">
            <w:pPr>
              <w:shd w:val="clear" w:color="auto" w:fill="FFFFFF"/>
            </w:pPr>
            <w:r w:rsidRPr="00CA7FDC">
              <w:t>10 %</w:t>
            </w:r>
          </w:p>
        </w:tc>
        <w:tc>
          <w:tcPr>
            <w:tcW w:w="1813" w:type="dxa"/>
          </w:tcPr>
          <w:p w14:paraId="349D7050" w14:textId="77777777" w:rsidR="00785E13" w:rsidRPr="00CA7FDC" w:rsidRDefault="00785E13" w:rsidP="00B50179">
            <w:pPr>
              <w:shd w:val="clear" w:color="auto" w:fill="FFFFFF"/>
            </w:pPr>
            <w:r w:rsidRPr="00CA7FDC">
              <w:t>Секвенирование</w:t>
            </w:r>
          </w:p>
        </w:tc>
      </w:tr>
      <w:tr w:rsidR="00785E13" w:rsidRPr="00CA7FDC" w14:paraId="4FE4DD53" w14:textId="77777777" w:rsidTr="00875D2C">
        <w:trPr>
          <w:trHeight w:val="227"/>
        </w:trPr>
        <w:tc>
          <w:tcPr>
            <w:tcW w:w="1560" w:type="dxa"/>
          </w:tcPr>
          <w:p w14:paraId="3D3DA97D" w14:textId="77777777" w:rsidR="00785E13" w:rsidRPr="00CA7FDC" w:rsidRDefault="00785E13" w:rsidP="00B50179">
            <w:pPr>
              <w:shd w:val="clear" w:color="auto" w:fill="FFFFFF"/>
            </w:pPr>
            <w:r w:rsidRPr="00CA7FDC">
              <w:t xml:space="preserve">T-клеточный </w:t>
            </w:r>
          </w:p>
        </w:tc>
        <w:tc>
          <w:tcPr>
            <w:tcW w:w="2160" w:type="dxa"/>
          </w:tcPr>
          <w:p w14:paraId="019BF54F" w14:textId="77777777" w:rsidR="00785E13" w:rsidRPr="00CA7FDC" w:rsidRDefault="00785E13" w:rsidP="00B50179">
            <w:pPr>
              <w:shd w:val="clear" w:color="auto" w:fill="FFFFFF"/>
            </w:pPr>
            <w:r w:rsidRPr="00CA7FDC">
              <w:t>t(10;14)(q24;q11) t(7;10)(q34;q24)</w:t>
            </w:r>
          </w:p>
        </w:tc>
        <w:tc>
          <w:tcPr>
            <w:tcW w:w="2105" w:type="dxa"/>
          </w:tcPr>
          <w:p w14:paraId="571E8375" w14:textId="77777777" w:rsidR="00785E13" w:rsidRPr="00950F44" w:rsidRDefault="00785E13" w:rsidP="00B50179">
            <w:pPr>
              <w:shd w:val="clear" w:color="auto" w:fill="FFFFFF"/>
              <w:rPr>
                <w:lang w:val="en-US"/>
              </w:rPr>
            </w:pPr>
            <w:r w:rsidRPr="00CA7FDC">
              <w:rPr>
                <w:lang w:val="en-US"/>
              </w:rPr>
              <w:t>HOX</w:t>
            </w:r>
            <w:r w:rsidRPr="00950F44">
              <w:rPr>
                <w:lang w:val="en-US"/>
              </w:rPr>
              <w:t xml:space="preserve">11 </w:t>
            </w:r>
            <w:r w:rsidRPr="00CA7FDC">
              <w:rPr>
                <w:lang w:val="en-US"/>
              </w:rPr>
              <w:t>TCR</w:t>
            </w:r>
            <w:r w:rsidRPr="00CA7FDC">
              <w:t>α</w:t>
            </w:r>
            <w:r w:rsidRPr="00950F44">
              <w:rPr>
                <w:lang w:val="en-US"/>
              </w:rPr>
              <w:t>/</w:t>
            </w:r>
            <w:r w:rsidRPr="00CA7FDC">
              <w:t>β</w:t>
            </w:r>
            <w:r w:rsidRPr="00950F44">
              <w:rPr>
                <w:lang w:val="en-US"/>
              </w:rPr>
              <w:t xml:space="preserve"> </w:t>
            </w:r>
          </w:p>
          <w:p w14:paraId="48A5FC57" w14:textId="77777777" w:rsidR="00785E13" w:rsidRPr="00950F44" w:rsidRDefault="00785E13" w:rsidP="00B50179">
            <w:pPr>
              <w:shd w:val="clear" w:color="auto" w:fill="FFFFFF"/>
              <w:rPr>
                <w:lang w:val="en-US"/>
              </w:rPr>
            </w:pPr>
            <w:r w:rsidRPr="00CA7FDC">
              <w:rPr>
                <w:lang w:val="en-US"/>
              </w:rPr>
              <w:t>HOX</w:t>
            </w:r>
            <w:r w:rsidRPr="00950F44">
              <w:rPr>
                <w:lang w:val="en-US"/>
              </w:rPr>
              <w:t xml:space="preserve">11 </w:t>
            </w:r>
            <w:r w:rsidRPr="00CA7FDC">
              <w:rPr>
                <w:lang w:val="en-US"/>
              </w:rPr>
              <w:t>TCRP</w:t>
            </w:r>
          </w:p>
        </w:tc>
        <w:tc>
          <w:tcPr>
            <w:tcW w:w="1718" w:type="dxa"/>
          </w:tcPr>
          <w:p w14:paraId="22CE7CEF" w14:textId="77777777" w:rsidR="00785E13" w:rsidRPr="00CA7FDC" w:rsidRDefault="00785E13" w:rsidP="00B50179">
            <w:pPr>
              <w:shd w:val="clear" w:color="auto" w:fill="FFFFFF"/>
            </w:pPr>
            <w:r w:rsidRPr="00CA7FDC">
              <w:t xml:space="preserve">Взрослые: 31 % </w:t>
            </w:r>
          </w:p>
          <w:p w14:paraId="669BA2CE" w14:textId="77777777" w:rsidR="00785E13" w:rsidRPr="00CA7FDC" w:rsidRDefault="00785E13" w:rsidP="00B50179">
            <w:pPr>
              <w:shd w:val="clear" w:color="auto" w:fill="FFFFFF"/>
            </w:pPr>
            <w:r w:rsidRPr="00CA7FDC">
              <w:t>Дети: 7 %</w:t>
            </w:r>
          </w:p>
        </w:tc>
        <w:tc>
          <w:tcPr>
            <w:tcW w:w="1813" w:type="dxa"/>
          </w:tcPr>
          <w:p w14:paraId="7BC1ABB3" w14:textId="77777777" w:rsidR="00785E13" w:rsidRPr="00CA7FDC" w:rsidRDefault="00785E13" w:rsidP="00B50179">
            <w:pPr>
              <w:shd w:val="clear" w:color="auto" w:fill="FFFFFF"/>
            </w:pPr>
            <w:r w:rsidRPr="00CA7FDC">
              <w:t>ОТ-ПЦР</w:t>
            </w:r>
          </w:p>
        </w:tc>
      </w:tr>
      <w:tr w:rsidR="00785E13" w:rsidRPr="00CA7FDC" w14:paraId="50E2CBB3" w14:textId="77777777" w:rsidTr="00875D2C">
        <w:trPr>
          <w:trHeight w:val="227"/>
        </w:trPr>
        <w:tc>
          <w:tcPr>
            <w:tcW w:w="1560" w:type="dxa"/>
          </w:tcPr>
          <w:p w14:paraId="1A0B9731" w14:textId="77777777" w:rsidR="00785E13" w:rsidRPr="00CA7FDC" w:rsidRDefault="00785E13" w:rsidP="00B50179"/>
        </w:tc>
        <w:tc>
          <w:tcPr>
            <w:tcW w:w="2160" w:type="dxa"/>
          </w:tcPr>
          <w:p w14:paraId="49B3E4B4" w14:textId="77777777" w:rsidR="00785E13" w:rsidRPr="00CA7FDC" w:rsidRDefault="00785E13" w:rsidP="00B50179">
            <w:pPr>
              <w:shd w:val="clear" w:color="auto" w:fill="FFFFFF"/>
            </w:pPr>
            <w:r w:rsidRPr="00CA7FDC">
              <w:t>t(5;14)(q35;q32)</w:t>
            </w:r>
          </w:p>
        </w:tc>
        <w:tc>
          <w:tcPr>
            <w:tcW w:w="2105" w:type="dxa"/>
          </w:tcPr>
          <w:p w14:paraId="1559A62F" w14:textId="77777777" w:rsidR="00785E13" w:rsidRPr="00CA7FDC" w:rsidRDefault="00785E13" w:rsidP="00B50179">
            <w:pPr>
              <w:shd w:val="clear" w:color="auto" w:fill="FFFFFF"/>
            </w:pPr>
            <w:r w:rsidRPr="00CA7FDC">
              <w:t xml:space="preserve">HOX11L2 TCRα/β </w:t>
            </w:r>
          </w:p>
        </w:tc>
        <w:tc>
          <w:tcPr>
            <w:tcW w:w="1718" w:type="dxa"/>
          </w:tcPr>
          <w:p w14:paraId="2B4915EB" w14:textId="77777777" w:rsidR="00785E13" w:rsidRPr="00CA7FDC" w:rsidRDefault="00785E13" w:rsidP="00B50179">
            <w:pPr>
              <w:shd w:val="clear" w:color="auto" w:fill="FFFFFF"/>
            </w:pPr>
            <w:r w:rsidRPr="00CA7FDC">
              <w:t xml:space="preserve">Взрослые: 13 % </w:t>
            </w:r>
          </w:p>
          <w:p w14:paraId="2DDA9EBB" w14:textId="77777777" w:rsidR="00785E13" w:rsidRPr="00CA7FDC" w:rsidRDefault="00785E13" w:rsidP="00B50179">
            <w:pPr>
              <w:shd w:val="clear" w:color="auto" w:fill="FFFFFF"/>
            </w:pPr>
            <w:r w:rsidRPr="00CA7FDC">
              <w:t>Дети: 20 %</w:t>
            </w:r>
          </w:p>
        </w:tc>
        <w:tc>
          <w:tcPr>
            <w:tcW w:w="1813" w:type="dxa"/>
          </w:tcPr>
          <w:p w14:paraId="370834EA" w14:textId="77777777" w:rsidR="00785E13" w:rsidRPr="00CA7FDC" w:rsidRDefault="00785E13" w:rsidP="00B50179">
            <w:pPr>
              <w:shd w:val="clear" w:color="auto" w:fill="FFFFFF"/>
            </w:pPr>
            <w:r w:rsidRPr="00CA7FDC">
              <w:t>ОТ-ПЦР, FISH</w:t>
            </w:r>
          </w:p>
        </w:tc>
      </w:tr>
      <w:tr w:rsidR="00785E13" w:rsidRPr="00CA7FDC" w14:paraId="0B5F04F4" w14:textId="77777777" w:rsidTr="00875D2C">
        <w:trPr>
          <w:trHeight w:val="227"/>
        </w:trPr>
        <w:tc>
          <w:tcPr>
            <w:tcW w:w="1560" w:type="dxa"/>
          </w:tcPr>
          <w:p w14:paraId="27AD71F0" w14:textId="77777777" w:rsidR="00785E13" w:rsidRPr="00CA7FDC" w:rsidRDefault="00785E13" w:rsidP="00B50179"/>
        </w:tc>
        <w:tc>
          <w:tcPr>
            <w:tcW w:w="2160" w:type="dxa"/>
          </w:tcPr>
          <w:p w14:paraId="43F8CAD8" w14:textId="77777777" w:rsidR="00785E13" w:rsidRPr="00CA7FDC" w:rsidRDefault="00785E13" w:rsidP="00B50179">
            <w:pPr>
              <w:shd w:val="clear" w:color="auto" w:fill="FFFFFF"/>
            </w:pPr>
            <w:r w:rsidRPr="00CA7FDC">
              <w:t>t(l;14)(p32;q11)</w:t>
            </w:r>
          </w:p>
        </w:tc>
        <w:tc>
          <w:tcPr>
            <w:tcW w:w="2105" w:type="dxa"/>
          </w:tcPr>
          <w:p w14:paraId="3A8AA553" w14:textId="77777777" w:rsidR="00785E13" w:rsidRPr="00CA7FDC" w:rsidRDefault="00785E13" w:rsidP="00B50179">
            <w:pPr>
              <w:shd w:val="clear" w:color="auto" w:fill="FFFFFF"/>
            </w:pPr>
            <w:r w:rsidRPr="00CA7FDC">
              <w:t xml:space="preserve">TALI TCRα/β </w:t>
            </w:r>
          </w:p>
        </w:tc>
        <w:tc>
          <w:tcPr>
            <w:tcW w:w="1718" w:type="dxa"/>
          </w:tcPr>
          <w:p w14:paraId="73F5275B" w14:textId="77777777" w:rsidR="00785E13" w:rsidRPr="00CA7FDC" w:rsidRDefault="00875D2C" w:rsidP="00B50179">
            <w:pPr>
              <w:shd w:val="clear" w:color="auto" w:fill="FFFFFF"/>
            </w:pPr>
            <w:r>
              <w:t>1–</w:t>
            </w:r>
            <w:r w:rsidR="00785E13" w:rsidRPr="00CA7FDC">
              <w:t>3 %</w:t>
            </w:r>
          </w:p>
        </w:tc>
        <w:tc>
          <w:tcPr>
            <w:tcW w:w="1813" w:type="dxa"/>
          </w:tcPr>
          <w:p w14:paraId="1EF3D5D5" w14:textId="77777777" w:rsidR="00785E13" w:rsidRPr="00CA7FDC" w:rsidRDefault="00785E13" w:rsidP="00B50179">
            <w:pPr>
              <w:shd w:val="clear" w:color="auto" w:fill="FFFFFF"/>
            </w:pPr>
            <w:r w:rsidRPr="00CA7FDC">
              <w:t>ОТ-ПЦР</w:t>
            </w:r>
          </w:p>
        </w:tc>
      </w:tr>
      <w:tr w:rsidR="00785E13" w:rsidRPr="00CA7FDC" w14:paraId="1A45FF23" w14:textId="77777777" w:rsidTr="00875D2C">
        <w:trPr>
          <w:trHeight w:val="227"/>
        </w:trPr>
        <w:tc>
          <w:tcPr>
            <w:tcW w:w="1560" w:type="dxa"/>
          </w:tcPr>
          <w:p w14:paraId="574DBD6F" w14:textId="77777777" w:rsidR="00785E13" w:rsidRPr="00CA7FDC" w:rsidRDefault="00785E13" w:rsidP="00B50179"/>
        </w:tc>
        <w:tc>
          <w:tcPr>
            <w:tcW w:w="2160" w:type="dxa"/>
          </w:tcPr>
          <w:p w14:paraId="5C693F63" w14:textId="77777777" w:rsidR="00785E13" w:rsidRPr="00CA7FDC" w:rsidRDefault="00785E13" w:rsidP="00B50179">
            <w:pPr>
              <w:shd w:val="clear" w:color="auto" w:fill="FFFFFF"/>
            </w:pPr>
            <w:r w:rsidRPr="00CA7FDC">
              <w:t>Нормальный lp32</w:t>
            </w:r>
          </w:p>
        </w:tc>
        <w:tc>
          <w:tcPr>
            <w:tcW w:w="2105" w:type="dxa"/>
          </w:tcPr>
          <w:p w14:paraId="4CB1A0AA" w14:textId="77777777" w:rsidR="00785E13" w:rsidRPr="00CA7FDC" w:rsidRDefault="00785E13" w:rsidP="00B50179">
            <w:pPr>
              <w:shd w:val="clear" w:color="auto" w:fill="FFFFFF"/>
            </w:pPr>
            <w:r w:rsidRPr="00CA7FDC">
              <w:t>SIL TALI</w:t>
            </w:r>
          </w:p>
        </w:tc>
        <w:tc>
          <w:tcPr>
            <w:tcW w:w="1718" w:type="dxa"/>
          </w:tcPr>
          <w:p w14:paraId="556D8295" w14:textId="77777777" w:rsidR="00785E13" w:rsidRPr="00CA7FDC" w:rsidRDefault="00875D2C" w:rsidP="00B50179">
            <w:pPr>
              <w:shd w:val="clear" w:color="auto" w:fill="FFFFFF"/>
            </w:pPr>
            <w:r>
              <w:t>9–</w:t>
            </w:r>
            <w:r w:rsidR="00785E13" w:rsidRPr="00CA7FDC">
              <w:t>30 %</w:t>
            </w:r>
          </w:p>
        </w:tc>
        <w:tc>
          <w:tcPr>
            <w:tcW w:w="1813" w:type="dxa"/>
          </w:tcPr>
          <w:p w14:paraId="65376C63" w14:textId="77777777" w:rsidR="00785E13" w:rsidRPr="00CA7FDC" w:rsidRDefault="00785E13" w:rsidP="00B50179">
            <w:pPr>
              <w:shd w:val="clear" w:color="auto" w:fill="FFFFFF"/>
            </w:pPr>
            <w:r w:rsidRPr="00CA7FDC">
              <w:t>ОТ-ПЦР</w:t>
            </w:r>
          </w:p>
        </w:tc>
      </w:tr>
      <w:tr w:rsidR="00785E13" w:rsidRPr="00CA7FDC" w14:paraId="412E1737" w14:textId="77777777" w:rsidTr="00875D2C">
        <w:trPr>
          <w:trHeight w:val="227"/>
        </w:trPr>
        <w:tc>
          <w:tcPr>
            <w:tcW w:w="1560" w:type="dxa"/>
          </w:tcPr>
          <w:p w14:paraId="0A59AE25" w14:textId="77777777" w:rsidR="00785E13" w:rsidRPr="00CA7FDC" w:rsidRDefault="00785E13" w:rsidP="00B50179"/>
        </w:tc>
        <w:tc>
          <w:tcPr>
            <w:tcW w:w="2160" w:type="dxa"/>
          </w:tcPr>
          <w:p w14:paraId="2D7A7F69" w14:textId="77777777" w:rsidR="00785E13" w:rsidRPr="00CA7FDC" w:rsidRDefault="00785E13" w:rsidP="00B50179">
            <w:pPr>
              <w:shd w:val="clear" w:color="auto" w:fill="FFFFFF"/>
            </w:pPr>
            <w:r w:rsidRPr="00CA7FDC">
              <w:t>inv(7)(pl5q34), t(7;7)</w:t>
            </w:r>
          </w:p>
        </w:tc>
        <w:tc>
          <w:tcPr>
            <w:tcW w:w="2105" w:type="dxa"/>
          </w:tcPr>
          <w:p w14:paraId="4F769AF0" w14:textId="77777777" w:rsidR="00785E13" w:rsidRPr="00CA7FDC" w:rsidRDefault="00785E13" w:rsidP="00B50179">
            <w:pPr>
              <w:shd w:val="clear" w:color="auto" w:fill="FFFFFF"/>
            </w:pPr>
            <w:r w:rsidRPr="00CA7FDC">
              <w:t>Гены HOXA TCRP</w:t>
            </w:r>
          </w:p>
        </w:tc>
        <w:tc>
          <w:tcPr>
            <w:tcW w:w="1718" w:type="dxa"/>
          </w:tcPr>
          <w:p w14:paraId="1422C115" w14:textId="77777777" w:rsidR="00785E13" w:rsidRPr="00CA7FDC" w:rsidRDefault="00785E13" w:rsidP="00B50179">
            <w:pPr>
              <w:shd w:val="clear" w:color="auto" w:fill="FFFFFF"/>
            </w:pPr>
            <w:r w:rsidRPr="00CA7FDC">
              <w:t>5 %</w:t>
            </w:r>
          </w:p>
        </w:tc>
        <w:tc>
          <w:tcPr>
            <w:tcW w:w="1813" w:type="dxa"/>
          </w:tcPr>
          <w:p w14:paraId="1455F895" w14:textId="77777777" w:rsidR="00785E13" w:rsidRPr="00CA7FDC" w:rsidRDefault="00785E13" w:rsidP="00B50179">
            <w:pPr>
              <w:shd w:val="clear" w:color="auto" w:fill="FFFFFF"/>
            </w:pPr>
            <w:r w:rsidRPr="00CA7FDC">
              <w:t>FISH, ОТ-ПЦР</w:t>
            </w:r>
          </w:p>
        </w:tc>
      </w:tr>
      <w:tr w:rsidR="00785E13" w:rsidRPr="00CA7FDC" w14:paraId="1974FD16" w14:textId="77777777" w:rsidTr="00875D2C">
        <w:trPr>
          <w:trHeight w:val="227"/>
        </w:trPr>
        <w:tc>
          <w:tcPr>
            <w:tcW w:w="1560" w:type="dxa"/>
          </w:tcPr>
          <w:p w14:paraId="203D5D78" w14:textId="77777777" w:rsidR="00785E13" w:rsidRPr="00CA7FDC" w:rsidRDefault="00785E13" w:rsidP="00B50179"/>
        </w:tc>
        <w:tc>
          <w:tcPr>
            <w:tcW w:w="2160" w:type="dxa"/>
          </w:tcPr>
          <w:p w14:paraId="6D3778D1" w14:textId="77777777" w:rsidR="00785E13" w:rsidRPr="00CA7FDC" w:rsidRDefault="00785E13" w:rsidP="00B50179">
            <w:pPr>
              <w:shd w:val="clear" w:color="auto" w:fill="FFFFFF"/>
            </w:pPr>
            <w:r w:rsidRPr="00CA7FDC">
              <w:t>t(10;11)(p33;q14-21)</w:t>
            </w:r>
          </w:p>
        </w:tc>
        <w:tc>
          <w:tcPr>
            <w:tcW w:w="2105" w:type="dxa"/>
          </w:tcPr>
          <w:p w14:paraId="0422DAEC" w14:textId="77777777" w:rsidR="00785E13" w:rsidRPr="00CA7FDC" w:rsidRDefault="00785E13" w:rsidP="00B50179">
            <w:pPr>
              <w:shd w:val="clear" w:color="auto" w:fill="FFFFFF"/>
            </w:pPr>
            <w:r w:rsidRPr="00CA7FDC">
              <w:t>CALM AF10</w:t>
            </w:r>
          </w:p>
        </w:tc>
        <w:tc>
          <w:tcPr>
            <w:tcW w:w="1718" w:type="dxa"/>
          </w:tcPr>
          <w:p w14:paraId="48353FEA" w14:textId="77777777" w:rsidR="00785E13" w:rsidRPr="00CA7FDC" w:rsidRDefault="00785E13" w:rsidP="00B50179">
            <w:pPr>
              <w:shd w:val="clear" w:color="auto" w:fill="FFFFFF"/>
            </w:pPr>
            <w:r w:rsidRPr="00CA7FDC">
              <w:t>10 %</w:t>
            </w:r>
          </w:p>
        </w:tc>
        <w:tc>
          <w:tcPr>
            <w:tcW w:w="1813" w:type="dxa"/>
          </w:tcPr>
          <w:p w14:paraId="3DE1C5FB" w14:textId="77777777" w:rsidR="00785E13" w:rsidRPr="00CA7FDC" w:rsidRDefault="00785E13" w:rsidP="00B50179">
            <w:pPr>
              <w:shd w:val="clear" w:color="auto" w:fill="FFFFFF"/>
            </w:pPr>
            <w:r w:rsidRPr="00CA7FDC">
              <w:t>FISH</w:t>
            </w:r>
          </w:p>
        </w:tc>
      </w:tr>
      <w:tr w:rsidR="00785E13" w:rsidRPr="00CA7FDC" w14:paraId="5C9AEE10" w14:textId="77777777" w:rsidTr="00875D2C">
        <w:trPr>
          <w:trHeight w:val="227"/>
        </w:trPr>
        <w:tc>
          <w:tcPr>
            <w:tcW w:w="1560" w:type="dxa"/>
          </w:tcPr>
          <w:p w14:paraId="381DF2BC" w14:textId="77777777" w:rsidR="00785E13" w:rsidRPr="00CA7FDC" w:rsidRDefault="00785E13" w:rsidP="00B50179"/>
        </w:tc>
        <w:tc>
          <w:tcPr>
            <w:tcW w:w="2160" w:type="dxa"/>
          </w:tcPr>
          <w:p w14:paraId="6FF5E38C" w14:textId="77777777" w:rsidR="00785E13" w:rsidRPr="00CA7FDC" w:rsidRDefault="00785E13" w:rsidP="00B50179">
            <w:pPr>
              <w:shd w:val="clear" w:color="auto" w:fill="FFFFFF"/>
            </w:pPr>
            <w:r w:rsidRPr="00CA7FDC">
              <w:t>t(9;9)(q34;q34)</w:t>
            </w:r>
          </w:p>
        </w:tc>
        <w:tc>
          <w:tcPr>
            <w:tcW w:w="2105" w:type="dxa"/>
          </w:tcPr>
          <w:p w14:paraId="4727561D" w14:textId="77777777" w:rsidR="00785E13" w:rsidRPr="00CA7FDC" w:rsidRDefault="00785E13" w:rsidP="00B50179">
            <w:pPr>
              <w:shd w:val="clear" w:color="auto" w:fill="FFFFFF"/>
            </w:pPr>
            <w:r w:rsidRPr="00CA7FDC">
              <w:t>NUP214 ABL1</w:t>
            </w:r>
          </w:p>
        </w:tc>
        <w:tc>
          <w:tcPr>
            <w:tcW w:w="1718" w:type="dxa"/>
          </w:tcPr>
          <w:p w14:paraId="4B1F71DF" w14:textId="77777777" w:rsidR="00785E13" w:rsidRPr="00CA7FDC" w:rsidRDefault="00785E13" w:rsidP="00B50179">
            <w:pPr>
              <w:shd w:val="clear" w:color="auto" w:fill="FFFFFF"/>
            </w:pPr>
            <w:r w:rsidRPr="00CA7FDC">
              <w:t>6 %</w:t>
            </w:r>
          </w:p>
        </w:tc>
        <w:tc>
          <w:tcPr>
            <w:tcW w:w="1813" w:type="dxa"/>
          </w:tcPr>
          <w:p w14:paraId="106061F7" w14:textId="77777777" w:rsidR="00785E13" w:rsidRPr="00CA7FDC" w:rsidRDefault="00785E13" w:rsidP="00B50179">
            <w:pPr>
              <w:shd w:val="clear" w:color="auto" w:fill="FFFFFF"/>
            </w:pPr>
            <w:r w:rsidRPr="00CA7FDC">
              <w:t>FISH</w:t>
            </w:r>
          </w:p>
        </w:tc>
      </w:tr>
      <w:tr w:rsidR="00785E13" w:rsidRPr="00CA7FDC" w14:paraId="4C4364C1" w14:textId="77777777" w:rsidTr="00875D2C">
        <w:trPr>
          <w:trHeight w:val="227"/>
        </w:trPr>
        <w:tc>
          <w:tcPr>
            <w:tcW w:w="1560" w:type="dxa"/>
          </w:tcPr>
          <w:p w14:paraId="3EABB188" w14:textId="77777777" w:rsidR="00785E13" w:rsidRPr="00CA7FDC" w:rsidRDefault="00785E13" w:rsidP="00B50179"/>
        </w:tc>
        <w:tc>
          <w:tcPr>
            <w:tcW w:w="2160" w:type="dxa"/>
          </w:tcPr>
          <w:p w14:paraId="5BC68074" w14:textId="77777777" w:rsidR="00785E13" w:rsidRPr="00CA7FDC" w:rsidRDefault="00785E13" w:rsidP="00B50179">
            <w:pPr>
              <w:shd w:val="clear" w:color="auto" w:fill="FFFFFF"/>
            </w:pPr>
            <w:r w:rsidRPr="00CA7FDC">
              <w:t>t(9;14)(q34;q34)</w:t>
            </w:r>
          </w:p>
        </w:tc>
        <w:tc>
          <w:tcPr>
            <w:tcW w:w="2105" w:type="dxa"/>
          </w:tcPr>
          <w:p w14:paraId="693AB802" w14:textId="77777777" w:rsidR="00785E13" w:rsidRPr="00CA7FDC" w:rsidRDefault="00785E13" w:rsidP="00B50179">
            <w:pPr>
              <w:shd w:val="clear" w:color="auto" w:fill="FFFFFF"/>
            </w:pPr>
            <w:r w:rsidRPr="00CA7FDC">
              <w:t>EML1 ABL1</w:t>
            </w:r>
          </w:p>
        </w:tc>
        <w:tc>
          <w:tcPr>
            <w:tcW w:w="1718" w:type="dxa"/>
          </w:tcPr>
          <w:p w14:paraId="0CB204B7" w14:textId="77777777" w:rsidR="00785E13" w:rsidRPr="00CA7FDC" w:rsidRDefault="00785E13" w:rsidP="00B50179">
            <w:pPr>
              <w:shd w:val="clear" w:color="auto" w:fill="FFFFFF"/>
            </w:pPr>
            <w:r w:rsidRPr="00CA7FDC">
              <w:t>&lt;1 %</w:t>
            </w:r>
          </w:p>
        </w:tc>
        <w:tc>
          <w:tcPr>
            <w:tcW w:w="1813" w:type="dxa"/>
          </w:tcPr>
          <w:p w14:paraId="246B87BF" w14:textId="77777777" w:rsidR="00785E13" w:rsidRPr="00CA7FDC" w:rsidRDefault="00785E13" w:rsidP="00B50179">
            <w:pPr>
              <w:shd w:val="clear" w:color="auto" w:fill="FFFFFF"/>
            </w:pPr>
            <w:r w:rsidRPr="00CA7FDC">
              <w:t>FISH</w:t>
            </w:r>
          </w:p>
        </w:tc>
      </w:tr>
      <w:tr w:rsidR="00785E13" w:rsidRPr="00CA7FDC" w14:paraId="75F0D109" w14:textId="77777777" w:rsidTr="00875D2C">
        <w:trPr>
          <w:trHeight w:val="227"/>
        </w:trPr>
        <w:tc>
          <w:tcPr>
            <w:tcW w:w="1560" w:type="dxa"/>
          </w:tcPr>
          <w:p w14:paraId="507D2D0F" w14:textId="77777777" w:rsidR="00785E13" w:rsidRPr="00CA7FDC" w:rsidRDefault="00785E13" w:rsidP="00B50179"/>
        </w:tc>
        <w:tc>
          <w:tcPr>
            <w:tcW w:w="2160" w:type="dxa"/>
          </w:tcPr>
          <w:p w14:paraId="6D367655" w14:textId="77777777" w:rsidR="00785E13" w:rsidRPr="00CA7FDC" w:rsidRDefault="00785E13" w:rsidP="00B50179">
            <w:pPr>
              <w:shd w:val="clear" w:color="auto" w:fill="FFFFFF"/>
            </w:pPr>
            <w:r w:rsidRPr="00CA7FDC">
              <w:t>Мутации NOTCH 1</w:t>
            </w:r>
          </w:p>
        </w:tc>
        <w:tc>
          <w:tcPr>
            <w:tcW w:w="2105" w:type="dxa"/>
          </w:tcPr>
          <w:p w14:paraId="5D668B92" w14:textId="77777777" w:rsidR="00785E13" w:rsidRPr="00CA7FDC" w:rsidRDefault="00785E13" w:rsidP="00B50179">
            <w:pPr>
              <w:shd w:val="clear" w:color="auto" w:fill="FFFFFF"/>
            </w:pPr>
            <w:r w:rsidRPr="00CA7FDC">
              <w:t>NOTCH1</w:t>
            </w:r>
          </w:p>
        </w:tc>
        <w:tc>
          <w:tcPr>
            <w:tcW w:w="1718" w:type="dxa"/>
          </w:tcPr>
          <w:p w14:paraId="42054112" w14:textId="77777777" w:rsidR="00785E13" w:rsidRPr="00CA7FDC" w:rsidRDefault="00785E13" w:rsidP="00B50179">
            <w:pPr>
              <w:shd w:val="clear" w:color="auto" w:fill="FFFFFF"/>
            </w:pPr>
            <w:r w:rsidRPr="00CA7FDC">
              <w:t>50 %</w:t>
            </w:r>
          </w:p>
        </w:tc>
        <w:tc>
          <w:tcPr>
            <w:tcW w:w="1813" w:type="dxa"/>
          </w:tcPr>
          <w:p w14:paraId="5E9E31FE" w14:textId="77777777" w:rsidR="00785E13" w:rsidRPr="00CA7FDC" w:rsidRDefault="00785E13" w:rsidP="00B50179">
            <w:pPr>
              <w:shd w:val="clear" w:color="auto" w:fill="FFFFFF"/>
            </w:pPr>
            <w:r w:rsidRPr="00CA7FDC">
              <w:t>Секвенирование</w:t>
            </w:r>
          </w:p>
        </w:tc>
      </w:tr>
      <w:tr w:rsidR="00785E13" w:rsidRPr="00CA7FDC" w14:paraId="5D3C0F64" w14:textId="77777777" w:rsidTr="00875D2C">
        <w:trPr>
          <w:trHeight w:val="227"/>
        </w:trPr>
        <w:tc>
          <w:tcPr>
            <w:tcW w:w="1560" w:type="dxa"/>
          </w:tcPr>
          <w:p w14:paraId="32903876" w14:textId="77777777" w:rsidR="00785E13" w:rsidRPr="00CA7FDC" w:rsidRDefault="00785E13" w:rsidP="00B50179"/>
        </w:tc>
        <w:tc>
          <w:tcPr>
            <w:tcW w:w="2160" w:type="dxa"/>
          </w:tcPr>
          <w:p w14:paraId="61D2D9D0" w14:textId="77777777" w:rsidR="00785E13" w:rsidRPr="00CA7FDC" w:rsidRDefault="00785E13" w:rsidP="00B50179">
            <w:pPr>
              <w:shd w:val="clear" w:color="auto" w:fill="FFFFFF"/>
            </w:pPr>
            <w:r w:rsidRPr="00CA7FDC">
              <w:t xml:space="preserve">Мутации JAK1 </w:t>
            </w:r>
          </w:p>
        </w:tc>
        <w:tc>
          <w:tcPr>
            <w:tcW w:w="2105" w:type="dxa"/>
          </w:tcPr>
          <w:p w14:paraId="70FADD52" w14:textId="77777777" w:rsidR="00785E13" w:rsidRPr="00CA7FDC" w:rsidRDefault="00785E13" w:rsidP="00B50179">
            <w:pPr>
              <w:shd w:val="clear" w:color="auto" w:fill="FFFFFF"/>
            </w:pPr>
            <w:r w:rsidRPr="00CA7FDC">
              <w:t>JAK1</w:t>
            </w:r>
          </w:p>
        </w:tc>
        <w:tc>
          <w:tcPr>
            <w:tcW w:w="1718" w:type="dxa"/>
          </w:tcPr>
          <w:p w14:paraId="63098E0B" w14:textId="77777777" w:rsidR="00785E13" w:rsidRPr="00CA7FDC" w:rsidRDefault="00785E13" w:rsidP="00B50179">
            <w:pPr>
              <w:shd w:val="clear" w:color="auto" w:fill="FFFFFF"/>
            </w:pPr>
            <w:r w:rsidRPr="00CA7FDC">
              <w:t>18 %</w:t>
            </w:r>
          </w:p>
        </w:tc>
        <w:tc>
          <w:tcPr>
            <w:tcW w:w="1813" w:type="dxa"/>
          </w:tcPr>
          <w:p w14:paraId="009B348F" w14:textId="77777777" w:rsidR="00785E13" w:rsidRPr="00CA7FDC" w:rsidRDefault="00785E13" w:rsidP="00B50179">
            <w:pPr>
              <w:shd w:val="clear" w:color="auto" w:fill="FFFFFF"/>
            </w:pPr>
            <w:r w:rsidRPr="00CA7FDC">
              <w:t>Секвенирование</w:t>
            </w:r>
          </w:p>
        </w:tc>
      </w:tr>
    </w:tbl>
    <w:p w14:paraId="64274712" w14:textId="77777777" w:rsidR="008777E5" w:rsidRDefault="008777E5" w:rsidP="008C42FB">
      <w:pPr>
        <w:shd w:val="clear" w:color="auto" w:fill="FFFFFF"/>
        <w:rPr>
          <w:b/>
          <w:szCs w:val="24"/>
        </w:rPr>
      </w:pPr>
    </w:p>
    <w:p w14:paraId="20703779" w14:textId="77777777" w:rsidR="007837F7" w:rsidRDefault="007837F7" w:rsidP="008C42FB">
      <w:pPr>
        <w:shd w:val="clear" w:color="auto" w:fill="FFFFFF"/>
        <w:rPr>
          <w:b/>
          <w:szCs w:val="24"/>
        </w:rPr>
      </w:pPr>
    </w:p>
    <w:p w14:paraId="19A3105E" w14:textId="7684D1D6" w:rsidR="00B2483A" w:rsidRPr="005A5ED3" w:rsidRDefault="00B2483A" w:rsidP="004905C2">
      <w:pPr>
        <w:pStyle w:val="2"/>
      </w:pPr>
      <w:bookmarkStart w:id="436" w:name="_Toc44401120"/>
      <w:bookmarkStart w:id="437" w:name="_Toc64565686"/>
      <w:r w:rsidRPr="005A5ED3">
        <w:t>Приложение</w:t>
      </w:r>
      <w:r w:rsidR="00A04D06">
        <w:t xml:space="preserve"> Г4</w:t>
      </w:r>
      <w:r w:rsidRPr="005A5ED3">
        <w:t>. Расчет трансплантационного риска по шкале EBMT</w:t>
      </w:r>
      <w:bookmarkEnd w:id="436"/>
      <w:bookmarkEnd w:id="437"/>
    </w:p>
    <w:p w14:paraId="63B827D6" w14:textId="4C432DA3" w:rsidR="00B2483A" w:rsidRPr="00777124" w:rsidRDefault="00B2483A" w:rsidP="00A04D06">
      <w:pPr>
        <w:ind w:firstLine="709"/>
        <w:rPr>
          <w:rFonts w:eastAsia="SimSun"/>
          <w:szCs w:val="24"/>
        </w:rPr>
      </w:pPr>
      <w:r w:rsidRPr="00777124">
        <w:rPr>
          <w:rFonts w:eastAsia="SimSun"/>
          <w:szCs w:val="24"/>
        </w:rPr>
        <w:t xml:space="preserve">Оценка трансплантационного риска проводится не более чем за 10 дней до начала предтрансплантационного кондиционирования </w:t>
      </w:r>
      <w:r w:rsidRPr="00777124">
        <w:rPr>
          <w:rFonts w:eastAsia="SimSun"/>
          <w:szCs w:val="24"/>
        </w:rPr>
        <w:fldChar w:fldCharType="begin" w:fldLock="1"/>
      </w:r>
      <w:r w:rsidR="00A67ED2">
        <w:rPr>
          <w:rFonts w:eastAsia="SimSun"/>
          <w:szCs w:val="24"/>
        </w:rPr>
        <w:instrText>ADDIN CSL_CITATION {"citationItems":[{"id":"ITEM-1","itemData":{"DOI":"10.1038/bmt.2011.110","ISSN":"02683369","PMID":"21643021","abstract":"The European Group for Blood and Marrow Transplantation (EBMT) risk score provides a simple tool to assess instantly chances and risks of hematopoietic SCT(HSCT) for an individual patient pre-transplant. Five factors, age of the patient, stage of the disease, time from diagnosis, donor type and donor recipient gender combination augment risk for an individual patient with increasing score from 0 as best to 7 as worst in an additive way. The score holds for all acquired hematological disorders, for allogeneic and autologous HSCT (score 0-5), is independent of the HSCT technology and is valid for standard or reduced intensity conditioning. Survival is uniformly worse for older patients, transplanted in advanced disease stage after a long-time interval and with a mismatched donor than for younger patients, transplanted soon in early stage with a well matched donor. Additional risk factors such as performance score, CMV serostatus or cytokine polymorphisms improve prediction but to different extents for low or high-risk patients. Comparative assessment of disease risk and global pre-transplant risk should guide decisions for each patient with his/her specific disease between HSCT and a non-transplant approach and replace the traditional 'donor vs no donor' with such a risk-adapted individualized strategy. © 2012 Macmillan Publishers Limited All rights reserved.","author":[{"dropping-particle":"","family":"Gratwohl","given":"A.","non-dropping-particle":"","parse-names":false,"suffix":""}],"container-title":"Bone Marrow Transplantation","id":"ITEM-1","issue":"6","issued":{"date-parts":[["2012","6","6"]]},"page":"749-756","publisher":"Nature Publishing Group","title":"The EBMT risk score","type":"article","volume":"47"},"uris":["http://www.mendeley.com/documents/?uuid=0e80be56-8f6f-3249-9016-dc0bcc819af7"]}],"mendeley":{"formattedCitation":"[218]","plainTextFormattedCitation":"[218]","previouslyFormattedCitation":"[182]"},"properties":{"noteIndex":0},"schema":"https://github.com/citation-style-language/schema/raw/master/csl-citation.json"}</w:instrText>
      </w:r>
      <w:r w:rsidRPr="00777124">
        <w:rPr>
          <w:rFonts w:eastAsia="SimSun"/>
          <w:szCs w:val="24"/>
        </w:rPr>
        <w:fldChar w:fldCharType="separate"/>
      </w:r>
      <w:r w:rsidR="00A67ED2" w:rsidRPr="00A67ED2">
        <w:rPr>
          <w:rFonts w:eastAsia="SimSun"/>
          <w:noProof/>
          <w:szCs w:val="24"/>
        </w:rPr>
        <w:t>[218]</w:t>
      </w:r>
      <w:r w:rsidRPr="00777124">
        <w:rPr>
          <w:rFonts w:eastAsia="SimSun"/>
          <w:szCs w:val="24"/>
        </w:rPr>
        <w:fldChar w:fldCharType="end"/>
      </w:r>
      <w:r w:rsidRPr="00777124">
        <w:rPr>
          <w:rFonts w:eastAsia="SimSun"/>
          <w:szCs w:val="24"/>
        </w:rPr>
        <w:t>.</w:t>
      </w:r>
    </w:p>
    <w:tbl>
      <w:tblPr>
        <w:tblW w:w="10709" w:type="dxa"/>
        <w:tblInd w:w="-8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4820"/>
        <w:gridCol w:w="4060"/>
        <w:gridCol w:w="1829"/>
      </w:tblGrid>
      <w:tr w:rsidR="00B2483A" w:rsidRPr="00777124" w14:paraId="0C57F512" w14:textId="77777777" w:rsidTr="00A04D06">
        <w:trPr>
          <w:trHeight w:val="374"/>
        </w:trPr>
        <w:tc>
          <w:tcPr>
            <w:tcW w:w="4820" w:type="dxa"/>
          </w:tcPr>
          <w:p w14:paraId="0030B2DD" w14:textId="77777777" w:rsidR="00B2483A" w:rsidRPr="00777124" w:rsidRDefault="00B2483A" w:rsidP="00A04D06">
            <w:pPr>
              <w:pStyle w:val="table-head-left"/>
              <w:spacing w:before="0" w:after="0"/>
              <w:rPr>
                <w:kern w:val="2"/>
                <w:sz w:val="24"/>
                <w:szCs w:val="24"/>
                <w:lang w:eastAsia="zh-CN" w:bidi="hi-IN"/>
              </w:rPr>
            </w:pPr>
            <w:r w:rsidRPr="00777124">
              <w:rPr>
                <w:kern w:val="2"/>
                <w:sz w:val="24"/>
                <w:szCs w:val="24"/>
                <w:lang w:eastAsia="zh-CN" w:bidi="hi-IN"/>
              </w:rPr>
              <w:t>Факторы риска</w:t>
            </w:r>
          </w:p>
        </w:tc>
        <w:tc>
          <w:tcPr>
            <w:tcW w:w="4060" w:type="dxa"/>
          </w:tcPr>
          <w:p w14:paraId="674A7889" w14:textId="77777777" w:rsidR="00B2483A" w:rsidRPr="00777124" w:rsidRDefault="00B2483A" w:rsidP="00A04D06">
            <w:pPr>
              <w:pStyle w:val="table-head-left"/>
              <w:spacing w:before="0" w:after="0"/>
              <w:rPr>
                <w:kern w:val="2"/>
                <w:sz w:val="24"/>
                <w:szCs w:val="24"/>
                <w:lang w:eastAsia="zh-CN" w:bidi="hi-IN"/>
              </w:rPr>
            </w:pPr>
            <w:r w:rsidRPr="00777124">
              <w:rPr>
                <w:bCs/>
                <w:kern w:val="2"/>
                <w:sz w:val="24"/>
                <w:szCs w:val="24"/>
                <w:lang w:eastAsia="zh-CN" w:bidi="hi-IN"/>
              </w:rPr>
              <w:t>Характеристика факторов риска</w:t>
            </w:r>
          </w:p>
        </w:tc>
        <w:tc>
          <w:tcPr>
            <w:tcW w:w="1829" w:type="dxa"/>
          </w:tcPr>
          <w:p w14:paraId="2EFF1F13" w14:textId="77777777" w:rsidR="00B2483A" w:rsidRPr="00777124" w:rsidRDefault="00B2483A" w:rsidP="00A04D06">
            <w:pPr>
              <w:pStyle w:val="table-head-left"/>
              <w:spacing w:before="0" w:after="0"/>
              <w:rPr>
                <w:kern w:val="2"/>
                <w:sz w:val="24"/>
                <w:szCs w:val="24"/>
                <w:lang w:eastAsia="zh-CN" w:bidi="hi-IN"/>
              </w:rPr>
            </w:pPr>
            <w:r w:rsidRPr="00777124">
              <w:rPr>
                <w:bCs/>
                <w:kern w:val="2"/>
                <w:sz w:val="24"/>
                <w:szCs w:val="24"/>
                <w:lang w:eastAsia="zh-CN" w:bidi="hi-IN"/>
              </w:rPr>
              <w:t>Баллы</w:t>
            </w:r>
          </w:p>
        </w:tc>
      </w:tr>
      <w:tr w:rsidR="00B2483A" w:rsidRPr="00777124" w14:paraId="431BCE7F" w14:textId="77777777" w:rsidTr="00A04D06">
        <w:trPr>
          <w:trHeight w:val="258"/>
        </w:trPr>
        <w:tc>
          <w:tcPr>
            <w:tcW w:w="4820" w:type="dxa"/>
            <w:vMerge w:val="restart"/>
          </w:tcPr>
          <w:p w14:paraId="25616CDC" w14:textId="77777777" w:rsidR="00B2483A" w:rsidRPr="00777124" w:rsidRDefault="00B2483A" w:rsidP="00A04D06">
            <w:pPr>
              <w:pStyle w:val="table-text-0"/>
              <w:spacing w:before="0" w:after="0"/>
              <w:rPr>
                <w:kern w:val="2"/>
                <w:sz w:val="24"/>
                <w:szCs w:val="24"/>
                <w:lang w:eastAsia="zh-CN" w:bidi="hi-IN"/>
              </w:rPr>
            </w:pPr>
            <w:r w:rsidRPr="00777124">
              <w:rPr>
                <w:kern w:val="2"/>
                <w:sz w:val="24"/>
                <w:szCs w:val="24"/>
                <w:lang w:eastAsia="zh-CN" w:bidi="hi-IN"/>
              </w:rPr>
              <w:t>Возраст</w:t>
            </w:r>
          </w:p>
        </w:tc>
        <w:tc>
          <w:tcPr>
            <w:tcW w:w="4060" w:type="dxa"/>
          </w:tcPr>
          <w:p w14:paraId="259A0C0A" w14:textId="77777777" w:rsidR="00B2483A" w:rsidRPr="00777124" w:rsidRDefault="00B2483A" w:rsidP="00A04D06">
            <w:pPr>
              <w:pStyle w:val="table-text-0"/>
              <w:spacing w:before="0" w:after="0"/>
              <w:rPr>
                <w:kern w:val="2"/>
                <w:sz w:val="24"/>
                <w:szCs w:val="24"/>
                <w:lang w:eastAsia="zh-CN" w:bidi="hi-IN"/>
              </w:rPr>
            </w:pPr>
            <w:r w:rsidRPr="00777124">
              <w:rPr>
                <w:kern w:val="2"/>
                <w:sz w:val="24"/>
                <w:szCs w:val="24"/>
                <w:lang w:eastAsia="zh-CN" w:bidi="hi-IN"/>
              </w:rPr>
              <w:t xml:space="preserve">&lt; 20 лет </w:t>
            </w:r>
          </w:p>
        </w:tc>
        <w:tc>
          <w:tcPr>
            <w:tcW w:w="1829" w:type="dxa"/>
          </w:tcPr>
          <w:p w14:paraId="21CCA67D" w14:textId="77777777" w:rsidR="00B2483A" w:rsidRPr="00777124" w:rsidRDefault="00B2483A" w:rsidP="00A04D06">
            <w:pPr>
              <w:pStyle w:val="table-text-0"/>
              <w:spacing w:before="0" w:after="0"/>
              <w:rPr>
                <w:kern w:val="2"/>
                <w:sz w:val="24"/>
                <w:szCs w:val="24"/>
                <w:lang w:eastAsia="zh-CN" w:bidi="hi-IN"/>
              </w:rPr>
            </w:pPr>
            <w:r w:rsidRPr="00777124">
              <w:rPr>
                <w:kern w:val="2"/>
                <w:sz w:val="24"/>
                <w:szCs w:val="24"/>
                <w:lang w:eastAsia="zh-CN" w:bidi="hi-IN"/>
              </w:rPr>
              <w:t>0</w:t>
            </w:r>
          </w:p>
        </w:tc>
      </w:tr>
      <w:tr w:rsidR="00B2483A" w:rsidRPr="00777124" w14:paraId="7E7E8CBC" w14:textId="77777777" w:rsidTr="00A04D06">
        <w:trPr>
          <w:trHeight w:val="107"/>
        </w:trPr>
        <w:tc>
          <w:tcPr>
            <w:tcW w:w="4820" w:type="dxa"/>
            <w:vMerge/>
          </w:tcPr>
          <w:p w14:paraId="1CCDA3BF" w14:textId="77777777" w:rsidR="00B2483A" w:rsidRPr="00777124" w:rsidRDefault="00B2483A" w:rsidP="00A04D06">
            <w:pPr>
              <w:pStyle w:val="table-text-0"/>
              <w:spacing w:before="0" w:after="0"/>
              <w:rPr>
                <w:kern w:val="2"/>
                <w:sz w:val="24"/>
                <w:szCs w:val="24"/>
                <w:lang w:eastAsia="zh-CN" w:bidi="hi-IN"/>
              </w:rPr>
            </w:pPr>
          </w:p>
        </w:tc>
        <w:tc>
          <w:tcPr>
            <w:tcW w:w="4060" w:type="dxa"/>
          </w:tcPr>
          <w:p w14:paraId="180FA66A" w14:textId="77777777" w:rsidR="00B2483A" w:rsidRPr="00777124" w:rsidRDefault="00B2483A" w:rsidP="00A04D06">
            <w:pPr>
              <w:pStyle w:val="table-text-0"/>
              <w:spacing w:before="0" w:after="0"/>
              <w:rPr>
                <w:kern w:val="2"/>
                <w:sz w:val="24"/>
                <w:szCs w:val="24"/>
                <w:lang w:eastAsia="zh-CN" w:bidi="hi-IN"/>
              </w:rPr>
            </w:pPr>
            <w:r w:rsidRPr="00777124">
              <w:rPr>
                <w:kern w:val="2"/>
                <w:sz w:val="24"/>
                <w:szCs w:val="24"/>
                <w:lang w:eastAsia="zh-CN" w:bidi="hi-IN"/>
              </w:rPr>
              <w:t>20–40 лет</w:t>
            </w:r>
          </w:p>
        </w:tc>
        <w:tc>
          <w:tcPr>
            <w:tcW w:w="1829" w:type="dxa"/>
          </w:tcPr>
          <w:p w14:paraId="2B6FE3AF" w14:textId="77777777" w:rsidR="00B2483A" w:rsidRPr="00777124" w:rsidRDefault="00B2483A" w:rsidP="00A04D06">
            <w:pPr>
              <w:pStyle w:val="table-text-0"/>
              <w:spacing w:before="0" w:after="0"/>
              <w:rPr>
                <w:kern w:val="2"/>
                <w:sz w:val="24"/>
                <w:szCs w:val="24"/>
                <w:lang w:eastAsia="zh-CN" w:bidi="hi-IN"/>
              </w:rPr>
            </w:pPr>
            <w:r w:rsidRPr="00777124">
              <w:rPr>
                <w:kern w:val="2"/>
                <w:sz w:val="24"/>
                <w:szCs w:val="24"/>
                <w:lang w:eastAsia="zh-CN" w:bidi="hi-IN"/>
              </w:rPr>
              <w:t>1</w:t>
            </w:r>
          </w:p>
        </w:tc>
      </w:tr>
      <w:tr w:rsidR="00B2483A" w:rsidRPr="00777124" w14:paraId="7D547390" w14:textId="77777777" w:rsidTr="00A04D06">
        <w:trPr>
          <w:trHeight w:val="107"/>
        </w:trPr>
        <w:tc>
          <w:tcPr>
            <w:tcW w:w="4820" w:type="dxa"/>
            <w:vMerge/>
          </w:tcPr>
          <w:p w14:paraId="57E9F22B" w14:textId="77777777" w:rsidR="00B2483A" w:rsidRPr="00777124" w:rsidRDefault="00B2483A" w:rsidP="00A04D06">
            <w:pPr>
              <w:pStyle w:val="table-text-0"/>
              <w:spacing w:before="0" w:after="0"/>
              <w:rPr>
                <w:kern w:val="2"/>
                <w:sz w:val="24"/>
                <w:szCs w:val="24"/>
                <w:lang w:eastAsia="zh-CN" w:bidi="hi-IN"/>
              </w:rPr>
            </w:pPr>
          </w:p>
        </w:tc>
        <w:tc>
          <w:tcPr>
            <w:tcW w:w="4060" w:type="dxa"/>
          </w:tcPr>
          <w:p w14:paraId="44FC4EC9" w14:textId="77777777" w:rsidR="00B2483A" w:rsidRPr="00777124" w:rsidRDefault="00B2483A" w:rsidP="00A04D06">
            <w:pPr>
              <w:pStyle w:val="table-text-0"/>
              <w:spacing w:before="0" w:after="0"/>
              <w:rPr>
                <w:kern w:val="2"/>
                <w:sz w:val="24"/>
                <w:szCs w:val="24"/>
                <w:lang w:eastAsia="zh-CN" w:bidi="hi-IN"/>
              </w:rPr>
            </w:pPr>
            <w:r w:rsidRPr="00777124">
              <w:rPr>
                <w:kern w:val="2"/>
                <w:sz w:val="24"/>
                <w:szCs w:val="24"/>
                <w:lang w:eastAsia="zh-CN" w:bidi="hi-IN"/>
              </w:rPr>
              <w:t>&gt; 40 лет</w:t>
            </w:r>
          </w:p>
        </w:tc>
        <w:tc>
          <w:tcPr>
            <w:tcW w:w="1829" w:type="dxa"/>
          </w:tcPr>
          <w:p w14:paraId="1E6755D4" w14:textId="77777777" w:rsidR="00B2483A" w:rsidRPr="00777124" w:rsidRDefault="00B2483A" w:rsidP="00A04D06">
            <w:pPr>
              <w:pStyle w:val="table-text-0"/>
              <w:spacing w:before="0" w:after="0"/>
              <w:rPr>
                <w:kern w:val="2"/>
                <w:sz w:val="24"/>
                <w:szCs w:val="24"/>
                <w:lang w:eastAsia="zh-CN" w:bidi="hi-IN"/>
              </w:rPr>
            </w:pPr>
            <w:r w:rsidRPr="00777124">
              <w:rPr>
                <w:kern w:val="2"/>
                <w:sz w:val="24"/>
                <w:szCs w:val="24"/>
                <w:lang w:eastAsia="zh-CN" w:bidi="hi-IN"/>
              </w:rPr>
              <w:t>2</w:t>
            </w:r>
          </w:p>
        </w:tc>
      </w:tr>
      <w:tr w:rsidR="00B2483A" w:rsidRPr="00777124" w14:paraId="0024A8C3" w14:textId="77777777" w:rsidTr="00A04D06">
        <w:trPr>
          <w:trHeight w:val="258"/>
        </w:trPr>
        <w:tc>
          <w:tcPr>
            <w:tcW w:w="4820" w:type="dxa"/>
            <w:vMerge w:val="restart"/>
          </w:tcPr>
          <w:p w14:paraId="2BE25B71" w14:textId="77777777" w:rsidR="00B2483A" w:rsidRPr="00777124" w:rsidRDefault="00B2483A" w:rsidP="00A04D06">
            <w:pPr>
              <w:pStyle w:val="table-text-0"/>
              <w:spacing w:before="0" w:after="0"/>
              <w:rPr>
                <w:kern w:val="2"/>
                <w:sz w:val="24"/>
                <w:szCs w:val="24"/>
                <w:lang w:eastAsia="zh-CN" w:bidi="hi-IN"/>
              </w:rPr>
            </w:pPr>
            <w:r w:rsidRPr="00777124">
              <w:rPr>
                <w:kern w:val="2"/>
                <w:sz w:val="24"/>
                <w:szCs w:val="24"/>
                <w:lang w:eastAsia="zh-CN" w:bidi="hi-IN"/>
              </w:rPr>
              <w:t>Статус заболевания</w:t>
            </w:r>
            <w:r w:rsidRPr="00777124">
              <w:rPr>
                <w:kern w:val="2"/>
                <w:sz w:val="24"/>
                <w:szCs w:val="24"/>
                <w:vertAlign w:val="superscript"/>
                <w:lang w:eastAsia="zh-CN" w:bidi="hi-IN"/>
              </w:rPr>
              <w:t>1</w:t>
            </w:r>
          </w:p>
        </w:tc>
        <w:tc>
          <w:tcPr>
            <w:tcW w:w="4060" w:type="dxa"/>
          </w:tcPr>
          <w:p w14:paraId="25DAC8E8" w14:textId="77777777" w:rsidR="00B2483A" w:rsidRPr="00777124" w:rsidRDefault="00B2483A" w:rsidP="00A04D06">
            <w:pPr>
              <w:pStyle w:val="table-text-0"/>
              <w:spacing w:before="0" w:after="0"/>
              <w:rPr>
                <w:kern w:val="2"/>
                <w:sz w:val="24"/>
                <w:szCs w:val="24"/>
                <w:lang w:eastAsia="zh-CN" w:bidi="hi-IN"/>
              </w:rPr>
            </w:pPr>
            <w:r w:rsidRPr="00777124">
              <w:rPr>
                <w:kern w:val="2"/>
                <w:sz w:val="24"/>
                <w:szCs w:val="24"/>
                <w:lang w:eastAsia="zh-CN" w:bidi="hi-IN"/>
              </w:rPr>
              <w:t>Ранний</w:t>
            </w:r>
          </w:p>
        </w:tc>
        <w:tc>
          <w:tcPr>
            <w:tcW w:w="1829" w:type="dxa"/>
          </w:tcPr>
          <w:p w14:paraId="555A315D" w14:textId="77777777" w:rsidR="00B2483A" w:rsidRPr="00777124" w:rsidRDefault="00B2483A" w:rsidP="00A04D06">
            <w:pPr>
              <w:pStyle w:val="table-text-0"/>
              <w:spacing w:before="0" w:after="0"/>
              <w:rPr>
                <w:kern w:val="2"/>
                <w:sz w:val="24"/>
                <w:szCs w:val="24"/>
                <w:lang w:eastAsia="zh-CN" w:bidi="hi-IN"/>
              </w:rPr>
            </w:pPr>
            <w:r w:rsidRPr="00777124">
              <w:rPr>
                <w:kern w:val="2"/>
                <w:sz w:val="24"/>
                <w:szCs w:val="24"/>
                <w:lang w:eastAsia="zh-CN" w:bidi="hi-IN"/>
              </w:rPr>
              <w:t>0</w:t>
            </w:r>
          </w:p>
        </w:tc>
      </w:tr>
      <w:tr w:rsidR="00B2483A" w:rsidRPr="00777124" w14:paraId="61006DD7" w14:textId="77777777" w:rsidTr="00A04D06">
        <w:trPr>
          <w:trHeight w:val="107"/>
        </w:trPr>
        <w:tc>
          <w:tcPr>
            <w:tcW w:w="4820" w:type="dxa"/>
            <w:vMerge/>
          </w:tcPr>
          <w:p w14:paraId="196AEA81" w14:textId="77777777" w:rsidR="00B2483A" w:rsidRPr="00777124" w:rsidRDefault="00B2483A" w:rsidP="00A04D06">
            <w:pPr>
              <w:pStyle w:val="table-text-0"/>
              <w:spacing w:before="0" w:after="0"/>
              <w:rPr>
                <w:kern w:val="2"/>
                <w:sz w:val="24"/>
                <w:szCs w:val="24"/>
                <w:lang w:eastAsia="zh-CN" w:bidi="hi-IN"/>
              </w:rPr>
            </w:pPr>
          </w:p>
        </w:tc>
        <w:tc>
          <w:tcPr>
            <w:tcW w:w="4060" w:type="dxa"/>
          </w:tcPr>
          <w:p w14:paraId="35B30A0B" w14:textId="77777777" w:rsidR="00B2483A" w:rsidRPr="00777124" w:rsidRDefault="00B2483A" w:rsidP="00A04D06">
            <w:pPr>
              <w:pStyle w:val="table-text-0"/>
              <w:spacing w:before="0" w:after="0"/>
              <w:rPr>
                <w:kern w:val="2"/>
                <w:sz w:val="24"/>
                <w:szCs w:val="24"/>
                <w:lang w:eastAsia="zh-CN" w:bidi="hi-IN"/>
              </w:rPr>
            </w:pPr>
            <w:r w:rsidRPr="00777124">
              <w:rPr>
                <w:kern w:val="2"/>
                <w:sz w:val="24"/>
                <w:szCs w:val="24"/>
                <w:lang w:eastAsia="zh-CN" w:bidi="hi-IN"/>
              </w:rPr>
              <w:t>Промежуточный</w:t>
            </w:r>
          </w:p>
        </w:tc>
        <w:tc>
          <w:tcPr>
            <w:tcW w:w="1829" w:type="dxa"/>
          </w:tcPr>
          <w:p w14:paraId="30950C2A" w14:textId="77777777" w:rsidR="00B2483A" w:rsidRPr="00777124" w:rsidRDefault="00B2483A" w:rsidP="00A04D06">
            <w:pPr>
              <w:pStyle w:val="table-text-0"/>
              <w:spacing w:before="0" w:after="0"/>
              <w:rPr>
                <w:kern w:val="2"/>
                <w:sz w:val="24"/>
                <w:szCs w:val="24"/>
                <w:lang w:eastAsia="zh-CN" w:bidi="hi-IN"/>
              </w:rPr>
            </w:pPr>
            <w:r w:rsidRPr="00777124">
              <w:rPr>
                <w:kern w:val="2"/>
                <w:sz w:val="24"/>
                <w:szCs w:val="24"/>
                <w:lang w:eastAsia="zh-CN" w:bidi="hi-IN"/>
              </w:rPr>
              <w:t>1</w:t>
            </w:r>
          </w:p>
        </w:tc>
      </w:tr>
      <w:tr w:rsidR="00B2483A" w:rsidRPr="00777124" w14:paraId="65D68D59" w14:textId="77777777" w:rsidTr="00A04D06">
        <w:trPr>
          <w:trHeight w:val="107"/>
        </w:trPr>
        <w:tc>
          <w:tcPr>
            <w:tcW w:w="4820" w:type="dxa"/>
            <w:vMerge/>
          </w:tcPr>
          <w:p w14:paraId="6882AEFD" w14:textId="77777777" w:rsidR="00B2483A" w:rsidRPr="00777124" w:rsidRDefault="00B2483A" w:rsidP="00A04D06">
            <w:pPr>
              <w:pStyle w:val="table-text-0"/>
              <w:spacing w:before="0" w:after="0"/>
              <w:rPr>
                <w:kern w:val="2"/>
                <w:sz w:val="24"/>
                <w:szCs w:val="24"/>
                <w:lang w:eastAsia="zh-CN" w:bidi="hi-IN"/>
              </w:rPr>
            </w:pPr>
          </w:p>
        </w:tc>
        <w:tc>
          <w:tcPr>
            <w:tcW w:w="4060" w:type="dxa"/>
          </w:tcPr>
          <w:p w14:paraId="78801099" w14:textId="77777777" w:rsidR="00B2483A" w:rsidRPr="00777124" w:rsidRDefault="00B2483A" w:rsidP="00A04D06">
            <w:pPr>
              <w:pStyle w:val="table-text-0"/>
              <w:spacing w:before="0" w:after="0"/>
              <w:rPr>
                <w:kern w:val="2"/>
                <w:sz w:val="24"/>
                <w:szCs w:val="24"/>
                <w:lang w:eastAsia="zh-CN" w:bidi="hi-IN"/>
              </w:rPr>
            </w:pPr>
            <w:r w:rsidRPr="00777124">
              <w:rPr>
                <w:kern w:val="2"/>
                <w:sz w:val="24"/>
                <w:szCs w:val="24"/>
                <w:lang w:eastAsia="zh-CN" w:bidi="hi-IN"/>
              </w:rPr>
              <w:t>Развернутый</w:t>
            </w:r>
          </w:p>
        </w:tc>
        <w:tc>
          <w:tcPr>
            <w:tcW w:w="1829" w:type="dxa"/>
          </w:tcPr>
          <w:p w14:paraId="6409C4FA" w14:textId="77777777" w:rsidR="00B2483A" w:rsidRPr="00777124" w:rsidRDefault="00B2483A" w:rsidP="00A04D06">
            <w:pPr>
              <w:pStyle w:val="table-text-0"/>
              <w:spacing w:before="0" w:after="0"/>
              <w:rPr>
                <w:kern w:val="2"/>
                <w:sz w:val="24"/>
                <w:szCs w:val="24"/>
                <w:lang w:eastAsia="zh-CN" w:bidi="hi-IN"/>
              </w:rPr>
            </w:pPr>
            <w:r w:rsidRPr="00777124">
              <w:rPr>
                <w:kern w:val="2"/>
                <w:sz w:val="24"/>
                <w:szCs w:val="24"/>
                <w:lang w:eastAsia="zh-CN" w:bidi="hi-IN"/>
              </w:rPr>
              <w:t>2</w:t>
            </w:r>
          </w:p>
        </w:tc>
      </w:tr>
      <w:tr w:rsidR="00B2483A" w:rsidRPr="00777124" w14:paraId="565B1258" w14:textId="77777777" w:rsidTr="00A04D06">
        <w:trPr>
          <w:trHeight w:val="258"/>
        </w:trPr>
        <w:tc>
          <w:tcPr>
            <w:tcW w:w="4820" w:type="dxa"/>
            <w:vMerge w:val="restart"/>
          </w:tcPr>
          <w:p w14:paraId="72F98A10" w14:textId="77777777" w:rsidR="00B2483A" w:rsidRPr="00777124" w:rsidRDefault="00B2483A" w:rsidP="00A04D06">
            <w:pPr>
              <w:pStyle w:val="table-text-0"/>
              <w:spacing w:before="0" w:after="0"/>
              <w:rPr>
                <w:kern w:val="2"/>
                <w:sz w:val="24"/>
                <w:szCs w:val="24"/>
                <w:lang w:eastAsia="zh-CN" w:bidi="hi-IN"/>
              </w:rPr>
            </w:pPr>
            <w:r w:rsidRPr="00777124">
              <w:rPr>
                <w:kern w:val="2"/>
                <w:sz w:val="24"/>
                <w:szCs w:val="24"/>
                <w:lang w:eastAsia="zh-CN" w:bidi="hi-IN"/>
              </w:rPr>
              <w:t>Время от постановки диагноза до ТГСК</w:t>
            </w:r>
            <w:r w:rsidRPr="00777124">
              <w:rPr>
                <w:kern w:val="2"/>
                <w:sz w:val="24"/>
                <w:szCs w:val="24"/>
                <w:vertAlign w:val="superscript"/>
                <w:lang w:eastAsia="zh-CN" w:bidi="hi-IN"/>
              </w:rPr>
              <w:t>2</w:t>
            </w:r>
          </w:p>
        </w:tc>
        <w:tc>
          <w:tcPr>
            <w:tcW w:w="4060" w:type="dxa"/>
          </w:tcPr>
          <w:p w14:paraId="6A3275E1" w14:textId="77777777" w:rsidR="00B2483A" w:rsidRPr="00777124" w:rsidRDefault="00B2483A" w:rsidP="00A04D06">
            <w:pPr>
              <w:pStyle w:val="table-text-0"/>
              <w:spacing w:before="0" w:after="0"/>
              <w:rPr>
                <w:kern w:val="2"/>
                <w:sz w:val="24"/>
                <w:szCs w:val="24"/>
                <w:lang w:eastAsia="zh-CN" w:bidi="hi-IN"/>
              </w:rPr>
            </w:pPr>
            <w:r w:rsidRPr="00777124">
              <w:rPr>
                <w:kern w:val="2"/>
                <w:sz w:val="24"/>
                <w:szCs w:val="24"/>
                <w:lang w:eastAsia="zh-CN" w:bidi="hi-IN"/>
              </w:rPr>
              <w:t>&lt; 12 мес</w:t>
            </w:r>
          </w:p>
        </w:tc>
        <w:tc>
          <w:tcPr>
            <w:tcW w:w="1829" w:type="dxa"/>
          </w:tcPr>
          <w:p w14:paraId="2CE13280" w14:textId="77777777" w:rsidR="00B2483A" w:rsidRPr="00777124" w:rsidRDefault="00B2483A" w:rsidP="00A04D06">
            <w:pPr>
              <w:pStyle w:val="table-text-0"/>
              <w:spacing w:before="0" w:after="0"/>
              <w:rPr>
                <w:kern w:val="2"/>
                <w:sz w:val="24"/>
                <w:szCs w:val="24"/>
                <w:lang w:eastAsia="zh-CN" w:bidi="hi-IN"/>
              </w:rPr>
            </w:pPr>
            <w:r w:rsidRPr="00777124">
              <w:rPr>
                <w:kern w:val="2"/>
                <w:sz w:val="24"/>
                <w:szCs w:val="24"/>
                <w:lang w:eastAsia="zh-CN" w:bidi="hi-IN"/>
              </w:rPr>
              <w:t>0</w:t>
            </w:r>
          </w:p>
        </w:tc>
      </w:tr>
      <w:tr w:rsidR="00B2483A" w:rsidRPr="00777124" w14:paraId="6227EDE7" w14:textId="77777777" w:rsidTr="00A04D06">
        <w:trPr>
          <w:trHeight w:val="107"/>
        </w:trPr>
        <w:tc>
          <w:tcPr>
            <w:tcW w:w="4820" w:type="dxa"/>
            <w:vMerge/>
          </w:tcPr>
          <w:p w14:paraId="7EDB9C7F" w14:textId="77777777" w:rsidR="00B2483A" w:rsidRPr="00777124" w:rsidRDefault="00B2483A" w:rsidP="00A04D06">
            <w:pPr>
              <w:pStyle w:val="table-text-0"/>
              <w:spacing w:before="0" w:after="0"/>
              <w:rPr>
                <w:kern w:val="2"/>
                <w:sz w:val="24"/>
                <w:szCs w:val="24"/>
                <w:lang w:eastAsia="zh-CN" w:bidi="hi-IN"/>
              </w:rPr>
            </w:pPr>
          </w:p>
        </w:tc>
        <w:tc>
          <w:tcPr>
            <w:tcW w:w="4060" w:type="dxa"/>
          </w:tcPr>
          <w:p w14:paraId="4A0FAEDE" w14:textId="77777777" w:rsidR="00B2483A" w:rsidRPr="00777124" w:rsidRDefault="00B2483A" w:rsidP="00A04D06">
            <w:pPr>
              <w:pStyle w:val="table-text-0"/>
              <w:spacing w:before="0" w:after="0"/>
              <w:rPr>
                <w:kern w:val="2"/>
                <w:sz w:val="24"/>
                <w:szCs w:val="24"/>
                <w:lang w:eastAsia="zh-CN" w:bidi="hi-IN"/>
              </w:rPr>
            </w:pPr>
            <w:r w:rsidRPr="00777124">
              <w:rPr>
                <w:color w:val="222222"/>
                <w:kern w:val="2"/>
                <w:sz w:val="24"/>
                <w:szCs w:val="24"/>
                <w:lang w:eastAsia="zh-CN" w:bidi="hi-IN"/>
              </w:rPr>
              <w:t>≥ 12 мес</w:t>
            </w:r>
          </w:p>
        </w:tc>
        <w:tc>
          <w:tcPr>
            <w:tcW w:w="1829" w:type="dxa"/>
          </w:tcPr>
          <w:p w14:paraId="56B468DE" w14:textId="77777777" w:rsidR="00B2483A" w:rsidRPr="00777124" w:rsidRDefault="00B2483A" w:rsidP="00A04D06">
            <w:pPr>
              <w:pStyle w:val="table-text-0"/>
              <w:spacing w:before="0" w:after="0"/>
              <w:rPr>
                <w:kern w:val="2"/>
                <w:sz w:val="24"/>
                <w:szCs w:val="24"/>
                <w:lang w:eastAsia="zh-CN" w:bidi="hi-IN"/>
              </w:rPr>
            </w:pPr>
            <w:r w:rsidRPr="00777124">
              <w:rPr>
                <w:kern w:val="2"/>
                <w:sz w:val="24"/>
                <w:szCs w:val="24"/>
                <w:lang w:eastAsia="zh-CN" w:bidi="hi-IN"/>
              </w:rPr>
              <w:t>1</w:t>
            </w:r>
          </w:p>
        </w:tc>
      </w:tr>
      <w:tr w:rsidR="00B2483A" w:rsidRPr="00777124" w14:paraId="26F70F48" w14:textId="77777777" w:rsidTr="00A04D06">
        <w:trPr>
          <w:trHeight w:val="232"/>
        </w:trPr>
        <w:tc>
          <w:tcPr>
            <w:tcW w:w="4820" w:type="dxa"/>
            <w:vMerge w:val="restart"/>
          </w:tcPr>
          <w:p w14:paraId="30DEAE48" w14:textId="77777777" w:rsidR="00B2483A" w:rsidRPr="00777124" w:rsidRDefault="00B2483A" w:rsidP="00A04D06">
            <w:pPr>
              <w:pStyle w:val="table-text-0"/>
              <w:spacing w:before="0" w:after="0"/>
              <w:rPr>
                <w:kern w:val="2"/>
                <w:sz w:val="24"/>
                <w:szCs w:val="24"/>
                <w:lang w:eastAsia="zh-CN" w:bidi="hi-IN"/>
              </w:rPr>
            </w:pPr>
            <w:r w:rsidRPr="00777124">
              <w:rPr>
                <w:kern w:val="2"/>
                <w:sz w:val="24"/>
                <w:szCs w:val="24"/>
                <w:lang w:eastAsia="zh-CN" w:bidi="hi-IN"/>
              </w:rPr>
              <w:t>Донор</w:t>
            </w:r>
          </w:p>
        </w:tc>
        <w:tc>
          <w:tcPr>
            <w:tcW w:w="4060" w:type="dxa"/>
          </w:tcPr>
          <w:p w14:paraId="69D0C131" w14:textId="77777777" w:rsidR="00B2483A" w:rsidRPr="00777124" w:rsidRDefault="00B2483A" w:rsidP="00A04D06">
            <w:pPr>
              <w:pStyle w:val="table-text-0"/>
              <w:spacing w:before="0" w:after="0"/>
              <w:rPr>
                <w:kern w:val="2"/>
                <w:sz w:val="24"/>
                <w:szCs w:val="24"/>
                <w:lang w:eastAsia="zh-CN" w:bidi="hi-IN"/>
              </w:rPr>
            </w:pPr>
            <w:r w:rsidRPr="00777124">
              <w:rPr>
                <w:kern w:val="2"/>
                <w:sz w:val="24"/>
                <w:szCs w:val="24"/>
                <w:lang w:eastAsia="zh-CN" w:bidi="hi-IN"/>
              </w:rPr>
              <w:t>HLA-идентичный сиблинг</w:t>
            </w:r>
          </w:p>
        </w:tc>
        <w:tc>
          <w:tcPr>
            <w:tcW w:w="1829" w:type="dxa"/>
          </w:tcPr>
          <w:p w14:paraId="0890681E" w14:textId="77777777" w:rsidR="00B2483A" w:rsidRPr="00777124" w:rsidRDefault="00B2483A" w:rsidP="00A04D06">
            <w:pPr>
              <w:pStyle w:val="table-text-0"/>
              <w:spacing w:before="0" w:after="0"/>
              <w:rPr>
                <w:kern w:val="2"/>
                <w:sz w:val="24"/>
                <w:szCs w:val="24"/>
                <w:lang w:eastAsia="zh-CN" w:bidi="hi-IN"/>
              </w:rPr>
            </w:pPr>
            <w:r w:rsidRPr="00777124">
              <w:rPr>
                <w:kern w:val="2"/>
                <w:sz w:val="24"/>
                <w:szCs w:val="24"/>
                <w:lang w:eastAsia="zh-CN" w:bidi="hi-IN"/>
              </w:rPr>
              <w:t>0</w:t>
            </w:r>
          </w:p>
        </w:tc>
      </w:tr>
      <w:tr w:rsidR="00B2483A" w:rsidRPr="00777124" w14:paraId="03FE0F07" w14:textId="77777777" w:rsidTr="00A04D06">
        <w:trPr>
          <w:trHeight w:val="107"/>
        </w:trPr>
        <w:tc>
          <w:tcPr>
            <w:tcW w:w="4820" w:type="dxa"/>
            <w:vMerge/>
          </w:tcPr>
          <w:p w14:paraId="6F120276" w14:textId="77777777" w:rsidR="00B2483A" w:rsidRPr="00777124" w:rsidRDefault="00B2483A" w:rsidP="00A04D06">
            <w:pPr>
              <w:pStyle w:val="table-text-0"/>
              <w:spacing w:before="0" w:after="0"/>
              <w:rPr>
                <w:kern w:val="2"/>
                <w:sz w:val="24"/>
                <w:szCs w:val="24"/>
                <w:lang w:eastAsia="zh-CN" w:bidi="hi-IN"/>
              </w:rPr>
            </w:pPr>
          </w:p>
        </w:tc>
        <w:tc>
          <w:tcPr>
            <w:tcW w:w="4060" w:type="dxa"/>
          </w:tcPr>
          <w:p w14:paraId="20F569BF" w14:textId="77777777" w:rsidR="00B2483A" w:rsidRPr="00777124" w:rsidRDefault="00B2483A" w:rsidP="00A04D06">
            <w:pPr>
              <w:pStyle w:val="table-text-0"/>
              <w:spacing w:before="0" w:after="0"/>
              <w:rPr>
                <w:kern w:val="2"/>
                <w:sz w:val="24"/>
                <w:szCs w:val="24"/>
                <w:lang w:eastAsia="zh-CN" w:bidi="hi-IN"/>
              </w:rPr>
            </w:pPr>
            <w:r w:rsidRPr="00777124">
              <w:rPr>
                <w:kern w:val="2"/>
                <w:sz w:val="24"/>
                <w:szCs w:val="24"/>
                <w:lang w:eastAsia="zh-CN" w:bidi="hi-IN"/>
              </w:rPr>
              <w:t>Неродственный донор</w:t>
            </w:r>
          </w:p>
        </w:tc>
        <w:tc>
          <w:tcPr>
            <w:tcW w:w="1829" w:type="dxa"/>
          </w:tcPr>
          <w:p w14:paraId="01E6880D" w14:textId="77777777" w:rsidR="00B2483A" w:rsidRPr="00777124" w:rsidRDefault="00B2483A" w:rsidP="00A04D06">
            <w:pPr>
              <w:pStyle w:val="table-text-0"/>
              <w:spacing w:before="0" w:after="0"/>
              <w:rPr>
                <w:kern w:val="2"/>
                <w:sz w:val="24"/>
                <w:szCs w:val="24"/>
                <w:lang w:eastAsia="zh-CN" w:bidi="hi-IN"/>
              </w:rPr>
            </w:pPr>
            <w:r w:rsidRPr="00777124">
              <w:rPr>
                <w:kern w:val="2"/>
                <w:sz w:val="24"/>
                <w:szCs w:val="24"/>
                <w:lang w:eastAsia="zh-CN" w:bidi="hi-IN"/>
              </w:rPr>
              <w:t>1</w:t>
            </w:r>
          </w:p>
        </w:tc>
      </w:tr>
      <w:tr w:rsidR="00B2483A" w:rsidRPr="00777124" w14:paraId="3BE4C7A4" w14:textId="77777777" w:rsidTr="00A04D06">
        <w:trPr>
          <w:trHeight w:val="242"/>
        </w:trPr>
        <w:tc>
          <w:tcPr>
            <w:tcW w:w="4820" w:type="dxa"/>
            <w:vMerge w:val="restart"/>
          </w:tcPr>
          <w:p w14:paraId="44932AC7" w14:textId="77777777" w:rsidR="00B2483A" w:rsidRPr="00777124" w:rsidRDefault="00B2483A" w:rsidP="00A04D06">
            <w:pPr>
              <w:pStyle w:val="table-text-0"/>
              <w:spacing w:before="0" w:after="0"/>
              <w:rPr>
                <w:kern w:val="2"/>
                <w:sz w:val="24"/>
                <w:szCs w:val="24"/>
                <w:lang w:eastAsia="zh-CN" w:bidi="hi-IN"/>
              </w:rPr>
            </w:pPr>
            <w:r w:rsidRPr="00777124">
              <w:rPr>
                <w:kern w:val="2"/>
                <w:sz w:val="24"/>
                <w:szCs w:val="24"/>
                <w:lang w:eastAsia="zh-CN" w:bidi="hi-IN"/>
              </w:rPr>
              <w:t>Пол донора и реципиента</w:t>
            </w:r>
          </w:p>
        </w:tc>
        <w:tc>
          <w:tcPr>
            <w:tcW w:w="4060" w:type="dxa"/>
          </w:tcPr>
          <w:p w14:paraId="5CDCFDB5" w14:textId="77777777" w:rsidR="00B2483A" w:rsidRPr="00777124" w:rsidRDefault="00B2483A" w:rsidP="00A04D06">
            <w:pPr>
              <w:pStyle w:val="table-text-0"/>
              <w:spacing w:before="0" w:after="0"/>
              <w:rPr>
                <w:kern w:val="2"/>
                <w:sz w:val="24"/>
                <w:szCs w:val="24"/>
                <w:lang w:eastAsia="zh-CN" w:bidi="hi-IN"/>
              </w:rPr>
            </w:pPr>
            <w:r w:rsidRPr="00777124">
              <w:rPr>
                <w:kern w:val="2"/>
                <w:sz w:val="24"/>
                <w:szCs w:val="24"/>
                <w:lang w:eastAsia="zh-CN" w:bidi="hi-IN"/>
              </w:rPr>
              <w:t>Донор — женщина,</w:t>
            </w:r>
            <w:r w:rsidRPr="00777124">
              <w:rPr>
                <w:kern w:val="2"/>
                <w:sz w:val="24"/>
                <w:szCs w:val="24"/>
                <w:lang w:val="en-US" w:eastAsia="zh-CN" w:bidi="hi-IN"/>
              </w:rPr>
              <w:t xml:space="preserve"> </w:t>
            </w:r>
            <w:r w:rsidRPr="00777124">
              <w:rPr>
                <w:kern w:val="2"/>
                <w:sz w:val="24"/>
                <w:szCs w:val="24"/>
                <w:lang w:eastAsia="zh-CN" w:bidi="hi-IN"/>
              </w:rPr>
              <w:t>реципиент —мужчина</w:t>
            </w:r>
          </w:p>
        </w:tc>
        <w:tc>
          <w:tcPr>
            <w:tcW w:w="1829" w:type="dxa"/>
          </w:tcPr>
          <w:p w14:paraId="24FDE91D" w14:textId="77777777" w:rsidR="00B2483A" w:rsidRPr="00777124" w:rsidRDefault="00B2483A" w:rsidP="00A04D06">
            <w:pPr>
              <w:pStyle w:val="table-text-0"/>
              <w:spacing w:before="0" w:after="0"/>
              <w:rPr>
                <w:kern w:val="2"/>
                <w:sz w:val="24"/>
                <w:szCs w:val="24"/>
                <w:lang w:eastAsia="zh-CN" w:bidi="hi-IN"/>
              </w:rPr>
            </w:pPr>
            <w:r w:rsidRPr="00777124">
              <w:rPr>
                <w:kern w:val="2"/>
                <w:sz w:val="24"/>
                <w:szCs w:val="24"/>
                <w:lang w:eastAsia="zh-CN" w:bidi="hi-IN"/>
              </w:rPr>
              <w:t>1</w:t>
            </w:r>
          </w:p>
        </w:tc>
      </w:tr>
      <w:tr w:rsidR="00B2483A" w:rsidRPr="00777124" w14:paraId="44DF1895" w14:textId="77777777" w:rsidTr="00A04D06">
        <w:trPr>
          <w:trHeight w:val="107"/>
        </w:trPr>
        <w:tc>
          <w:tcPr>
            <w:tcW w:w="4820" w:type="dxa"/>
            <w:vMerge/>
          </w:tcPr>
          <w:p w14:paraId="52CBAAB4" w14:textId="77777777" w:rsidR="00B2483A" w:rsidRPr="00777124" w:rsidRDefault="00B2483A" w:rsidP="00A04D06">
            <w:pPr>
              <w:pStyle w:val="table-text-0"/>
              <w:spacing w:before="0" w:after="0"/>
              <w:rPr>
                <w:kern w:val="2"/>
                <w:sz w:val="24"/>
                <w:szCs w:val="24"/>
                <w:lang w:eastAsia="zh-CN" w:bidi="hi-IN"/>
              </w:rPr>
            </w:pPr>
          </w:p>
        </w:tc>
        <w:tc>
          <w:tcPr>
            <w:tcW w:w="4060" w:type="dxa"/>
          </w:tcPr>
          <w:p w14:paraId="6A60AA35" w14:textId="77777777" w:rsidR="00B2483A" w:rsidRPr="00777124" w:rsidRDefault="00B2483A" w:rsidP="00A04D06">
            <w:pPr>
              <w:pStyle w:val="table-text-0"/>
              <w:spacing w:before="0" w:after="0"/>
              <w:rPr>
                <w:kern w:val="2"/>
                <w:sz w:val="24"/>
                <w:szCs w:val="24"/>
                <w:lang w:eastAsia="zh-CN" w:bidi="hi-IN"/>
              </w:rPr>
            </w:pPr>
            <w:r w:rsidRPr="00777124">
              <w:rPr>
                <w:kern w:val="2"/>
                <w:sz w:val="24"/>
                <w:szCs w:val="24"/>
                <w:lang w:eastAsia="zh-CN" w:bidi="hi-IN"/>
              </w:rPr>
              <w:t>Другие сочетания</w:t>
            </w:r>
          </w:p>
        </w:tc>
        <w:tc>
          <w:tcPr>
            <w:tcW w:w="1829" w:type="dxa"/>
          </w:tcPr>
          <w:p w14:paraId="196EA5E6" w14:textId="77777777" w:rsidR="00B2483A" w:rsidRPr="00777124" w:rsidRDefault="00B2483A" w:rsidP="00A04D06">
            <w:pPr>
              <w:pStyle w:val="table-text-0"/>
              <w:spacing w:before="0" w:after="0"/>
              <w:rPr>
                <w:kern w:val="2"/>
                <w:sz w:val="24"/>
                <w:szCs w:val="24"/>
                <w:lang w:eastAsia="zh-CN" w:bidi="hi-IN"/>
              </w:rPr>
            </w:pPr>
            <w:r w:rsidRPr="00777124">
              <w:rPr>
                <w:kern w:val="2"/>
                <w:sz w:val="24"/>
                <w:szCs w:val="24"/>
                <w:lang w:eastAsia="zh-CN" w:bidi="hi-IN"/>
              </w:rPr>
              <w:t>0</w:t>
            </w:r>
          </w:p>
        </w:tc>
      </w:tr>
      <w:tr w:rsidR="00B2483A" w:rsidRPr="00777124" w14:paraId="7ED0BDEB" w14:textId="77777777" w:rsidTr="00A04D06">
        <w:trPr>
          <w:trHeight w:val="107"/>
        </w:trPr>
        <w:tc>
          <w:tcPr>
            <w:tcW w:w="10709" w:type="dxa"/>
            <w:gridSpan w:val="3"/>
          </w:tcPr>
          <w:p w14:paraId="3DBEF687" w14:textId="77777777" w:rsidR="00B2483A" w:rsidRPr="00777124" w:rsidRDefault="00B2483A" w:rsidP="00A04D06">
            <w:pPr>
              <w:pStyle w:val="table-ref"/>
              <w:spacing w:before="0" w:after="0"/>
              <w:rPr>
                <w:rFonts w:eastAsia="SimSun"/>
                <w:sz w:val="24"/>
                <w:szCs w:val="24"/>
              </w:rPr>
            </w:pPr>
            <w:r w:rsidRPr="00777124">
              <w:rPr>
                <w:rFonts w:eastAsia="SimSun"/>
                <w:sz w:val="24"/>
                <w:szCs w:val="24"/>
                <w:vertAlign w:val="superscript"/>
              </w:rPr>
              <w:t>1</w:t>
            </w:r>
            <w:r w:rsidRPr="00777124">
              <w:rPr>
                <w:rFonts w:eastAsia="SimSun"/>
                <w:sz w:val="24"/>
                <w:szCs w:val="24"/>
              </w:rPr>
              <w:t xml:space="preserve"> Не применяется у пациентов с АА. </w:t>
            </w:r>
          </w:p>
          <w:p w14:paraId="6204702F" w14:textId="77777777" w:rsidR="00B2483A" w:rsidRPr="00777124" w:rsidRDefault="00B2483A" w:rsidP="00A04D06">
            <w:pPr>
              <w:pStyle w:val="table-ref"/>
              <w:spacing w:before="0" w:after="0"/>
              <w:rPr>
                <w:rFonts w:eastAsia="SimSun"/>
                <w:sz w:val="24"/>
                <w:szCs w:val="24"/>
              </w:rPr>
            </w:pPr>
            <w:r w:rsidRPr="00777124">
              <w:rPr>
                <w:rFonts w:eastAsia="SimSun"/>
                <w:sz w:val="24"/>
                <w:szCs w:val="24"/>
              </w:rPr>
              <w:t>Ранний — острый лейкоз в ПР1; МДС в ПР1 или без предшествующего лечения; ХМЛ в 1 хронической фазе; НХЛ нелеченная или в ПР1; ММ нелеченная или в ПР1.</w:t>
            </w:r>
          </w:p>
          <w:p w14:paraId="5F509E6D" w14:textId="77777777" w:rsidR="00B2483A" w:rsidRPr="00777124" w:rsidRDefault="00B2483A" w:rsidP="00A04D06">
            <w:pPr>
              <w:pStyle w:val="table-ref"/>
              <w:spacing w:before="0" w:after="0"/>
              <w:rPr>
                <w:rFonts w:eastAsia="SimSun"/>
                <w:sz w:val="24"/>
                <w:szCs w:val="24"/>
              </w:rPr>
            </w:pPr>
            <w:r w:rsidRPr="00777124">
              <w:rPr>
                <w:rFonts w:eastAsia="SimSun"/>
                <w:sz w:val="24"/>
                <w:szCs w:val="24"/>
              </w:rPr>
              <w:t>Промежуточный — острый лейкоз в ПР2; ХМЛ за исключением хронической фазы 1 и БК; МДС в ПР2 или ЧР; НХЛ в ПР2, ЧР или стабилизация заболевания; ММ в ПР2, ЧР или стабилизация заболевания.</w:t>
            </w:r>
          </w:p>
          <w:p w14:paraId="32DAB642" w14:textId="77777777" w:rsidR="00B2483A" w:rsidRPr="00777124" w:rsidRDefault="00B2483A" w:rsidP="00A04D06">
            <w:pPr>
              <w:pStyle w:val="table-ref"/>
              <w:spacing w:before="0" w:after="0"/>
              <w:rPr>
                <w:rFonts w:eastAsia="SimSun"/>
                <w:sz w:val="24"/>
                <w:szCs w:val="24"/>
              </w:rPr>
            </w:pPr>
            <w:r w:rsidRPr="00777124">
              <w:rPr>
                <w:rFonts w:eastAsia="SimSun"/>
                <w:sz w:val="24"/>
                <w:szCs w:val="24"/>
              </w:rPr>
              <w:t>Развернутый — острый лейкоз в других стадиях кроме ПР1 и ПР2; ХМЛ в БК; МДС во всех других стадиях; НХЛ во всех других стадиях; ММ во всех других стадиях.</w:t>
            </w:r>
          </w:p>
          <w:p w14:paraId="0B8EC2B8" w14:textId="77777777" w:rsidR="00B2483A" w:rsidRPr="00777124" w:rsidRDefault="00B2483A" w:rsidP="00A04D06">
            <w:pPr>
              <w:pStyle w:val="table-ref"/>
              <w:spacing w:before="0" w:after="0"/>
              <w:rPr>
                <w:rFonts w:eastAsia="SimSun"/>
                <w:sz w:val="24"/>
                <w:szCs w:val="24"/>
              </w:rPr>
            </w:pPr>
            <w:r w:rsidRPr="00777124">
              <w:rPr>
                <w:rFonts w:eastAsia="SimSun"/>
                <w:sz w:val="24"/>
                <w:szCs w:val="24"/>
                <w:vertAlign w:val="superscript"/>
              </w:rPr>
              <w:lastRenderedPageBreak/>
              <w:t>2</w:t>
            </w:r>
            <w:r w:rsidRPr="00777124">
              <w:rPr>
                <w:rFonts w:eastAsia="SimSun"/>
                <w:sz w:val="24"/>
                <w:szCs w:val="24"/>
              </w:rPr>
              <w:t xml:space="preserve"> Не применяется у пациентов в ПР1.</w:t>
            </w:r>
          </w:p>
        </w:tc>
      </w:tr>
    </w:tbl>
    <w:p w14:paraId="2912DF9A" w14:textId="77777777" w:rsidR="00B2483A" w:rsidRPr="00777124" w:rsidRDefault="00B2483A" w:rsidP="00A04D06">
      <w:pPr>
        <w:rPr>
          <w:rFonts w:eastAsia="SimSun"/>
          <w:szCs w:val="24"/>
        </w:rPr>
      </w:pPr>
    </w:p>
    <w:p w14:paraId="5418DAE8" w14:textId="77777777" w:rsidR="00B2483A" w:rsidRPr="00777124" w:rsidRDefault="00B2483A" w:rsidP="00A04D06">
      <w:pPr>
        <w:pStyle w:val="table-name"/>
        <w:spacing w:before="0"/>
        <w:ind w:hanging="10"/>
        <w:rPr>
          <w:rFonts w:eastAsia="SimSun"/>
          <w:szCs w:val="24"/>
          <w:lang w:val="ru-RU"/>
        </w:rPr>
      </w:pPr>
      <w:r w:rsidRPr="00777124">
        <w:rPr>
          <w:rFonts w:eastAsia="SimSun"/>
          <w:szCs w:val="24"/>
          <w:lang w:val="ru-RU"/>
        </w:rPr>
        <w:t xml:space="preserve">Пятилетняя летальность (%), связанная с трансплантацией, согласно шкале риска </w:t>
      </w:r>
      <w:r w:rsidRPr="00777124">
        <w:rPr>
          <w:rFonts w:eastAsia="SimSun"/>
          <w:szCs w:val="24"/>
        </w:rPr>
        <w:t>EBMT</w:t>
      </w:r>
    </w:p>
    <w:tbl>
      <w:tblPr>
        <w:tblW w:w="1072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31"/>
        <w:gridCol w:w="1314"/>
        <w:gridCol w:w="1314"/>
        <w:gridCol w:w="1314"/>
        <w:gridCol w:w="1314"/>
        <w:gridCol w:w="1314"/>
        <w:gridCol w:w="1314"/>
        <w:gridCol w:w="1314"/>
      </w:tblGrid>
      <w:tr w:rsidR="00B2483A" w:rsidRPr="00777124" w14:paraId="56F10400" w14:textId="77777777" w:rsidTr="00A04D06">
        <w:trPr>
          <w:trHeight w:val="360"/>
        </w:trPr>
        <w:tc>
          <w:tcPr>
            <w:tcW w:w="1531" w:type="dxa"/>
          </w:tcPr>
          <w:p w14:paraId="5892C674" w14:textId="77777777" w:rsidR="00B2483A" w:rsidRPr="00777124" w:rsidRDefault="00B2483A" w:rsidP="00A04D06">
            <w:pPr>
              <w:pStyle w:val="table-head-left"/>
              <w:spacing w:before="0" w:after="0"/>
              <w:rPr>
                <w:kern w:val="2"/>
                <w:sz w:val="24"/>
                <w:szCs w:val="24"/>
                <w:lang w:eastAsia="zh-CN" w:bidi="hi-IN"/>
              </w:rPr>
            </w:pPr>
            <w:r w:rsidRPr="00777124">
              <w:rPr>
                <w:kern w:val="2"/>
                <w:sz w:val="24"/>
                <w:szCs w:val="24"/>
                <w:lang w:eastAsia="zh-CN" w:bidi="hi-IN"/>
              </w:rPr>
              <w:t>Баллы</w:t>
            </w:r>
          </w:p>
        </w:tc>
        <w:tc>
          <w:tcPr>
            <w:tcW w:w="1314" w:type="dxa"/>
          </w:tcPr>
          <w:p w14:paraId="11D4379F" w14:textId="77777777" w:rsidR="00B2483A" w:rsidRPr="00777124" w:rsidRDefault="00B2483A" w:rsidP="00A04D06">
            <w:pPr>
              <w:pStyle w:val="table-head-left"/>
              <w:spacing w:before="0" w:after="0"/>
              <w:rPr>
                <w:kern w:val="2"/>
                <w:sz w:val="24"/>
                <w:szCs w:val="24"/>
                <w:lang w:eastAsia="zh-CN" w:bidi="hi-IN"/>
              </w:rPr>
            </w:pPr>
            <w:r w:rsidRPr="00777124">
              <w:rPr>
                <w:kern w:val="2"/>
                <w:sz w:val="24"/>
                <w:szCs w:val="24"/>
                <w:lang w:eastAsia="zh-CN" w:bidi="hi-IN"/>
              </w:rPr>
              <w:t>0</w:t>
            </w:r>
          </w:p>
        </w:tc>
        <w:tc>
          <w:tcPr>
            <w:tcW w:w="1314" w:type="dxa"/>
          </w:tcPr>
          <w:p w14:paraId="15667C52" w14:textId="77777777" w:rsidR="00B2483A" w:rsidRPr="00777124" w:rsidRDefault="00B2483A" w:rsidP="00A04D06">
            <w:pPr>
              <w:pStyle w:val="table-head-left"/>
              <w:spacing w:before="0" w:after="0"/>
              <w:rPr>
                <w:kern w:val="2"/>
                <w:sz w:val="24"/>
                <w:szCs w:val="24"/>
                <w:lang w:eastAsia="zh-CN" w:bidi="hi-IN"/>
              </w:rPr>
            </w:pPr>
            <w:r w:rsidRPr="00777124">
              <w:rPr>
                <w:kern w:val="2"/>
                <w:sz w:val="24"/>
                <w:szCs w:val="24"/>
                <w:lang w:eastAsia="zh-CN" w:bidi="hi-IN"/>
              </w:rPr>
              <w:t>1</w:t>
            </w:r>
          </w:p>
        </w:tc>
        <w:tc>
          <w:tcPr>
            <w:tcW w:w="1314" w:type="dxa"/>
          </w:tcPr>
          <w:p w14:paraId="17BC1A0D" w14:textId="77777777" w:rsidR="00B2483A" w:rsidRPr="00777124" w:rsidRDefault="00B2483A" w:rsidP="00A04D06">
            <w:pPr>
              <w:pStyle w:val="table-head-left"/>
              <w:spacing w:before="0" w:after="0"/>
              <w:rPr>
                <w:kern w:val="2"/>
                <w:sz w:val="24"/>
                <w:szCs w:val="24"/>
                <w:lang w:eastAsia="zh-CN" w:bidi="hi-IN"/>
              </w:rPr>
            </w:pPr>
            <w:r w:rsidRPr="00777124">
              <w:rPr>
                <w:kern w:val="2"/>
                <w:sz w:val="24"/>
                <w:szCs w:val="24"/>
                <w:lang w:eastAsia="zh-CN" w:bidi="hi-IN"/>
              </w:rPr>
              <w:t>2</w:t>
            </w:r>
          </w:p>
        </w:tc>
        <w:tc>
          <w:tcPr>
            <w:tcW w:w="1314" w:type="dxa"/>
          </w:tcPr>
          <w:p w14:paraId="26402A68" w14:textId="77777777" w:rsidR="00B2483A" w:rsidRPr="00777124" w:rsidRDefault="00B2483A" w:rsidP="00A04D06">
            <w:pPr>
              <w:pStyle w:val="table-head-left"/>
              <w:spacing w:before="0" w:after="0"/>
              <w:rPr>
                <w:kern w:val="2"/>
                <w:sz w:val="24"/>
                <w:szCs w:val="24"/>
                <w:lang w:eastAsia="zh-CN" w:bidi="hi-IN"/>
              </w:rPr>
            </w:pPr>
            <w:r w:rsidRPr="00777124">
              <w:rPr>
                <w:kern w:val="2"/>
                <w:sz w:val="24"/>
                <w:szCs w:val="24"/>
                <w:lang w:eastAsia="zh-CN" w:bidi="hi-IN"/>
              </w:rPr>
              <w:t>3</w:t>
            </w:r>
          </w:p>
        </w:tc>
        <w:tc>
          <w:tcPr>
            <w:tcW w:w="1314" w:type="dxa"/>
          </w:tcPr>
          <w:p w14:paraId="06A7AEC7" w14:textId="77777777" w:rsidR="00B2483A" w:rsidRPr="00777124" w:rsidRDefault="00B2483A" w:rsidP="00A04D06">
            <w:pPr>
              <w:pStyle w:val="table-head-left"/>
              <w:spacing w:before="0" w:after="0"/>
              <w:rPr>
                <w:kern w:val="2"/>
                <w:sz w:val="24"/>
                <w:szCs w:val="24"/>
                <w:lang w:eastAsia="zh-CN" w:bidi="hi-IN"/>
              </w:rPr>
            </w:pPr>
            <w:r w:rsidRPr="00777124">
              <w:rPr>
                <w:kern w:val="2"/>
                <w:sz w:val="24"/>
                <w:szCs w:val="24"/>
                <w:lang w:eastAsia="zh-CN" w:bidi="hi-IN"/>
              </w:rPr>
              <w:t>4</w:t>
            </w:r>
          </w:p>
        </w:tc>
        <w:tc>
          <w:tcPr>
            <w:tcW w:w="1314" w:type="dxa"/>
          </w:tcPr>
          <w:p w14:paraId="69E8B759" w14:textId="77777777" w:rsidR="00B2483A" w:rsidRPr="00777124" w:rsidRDefault="00B2483A" w:rsidP="00A04D06">
            <w:pPr>
              <w:pStyle w:val="table-head-left"/>
              <w:spacing w:before="0" w:after="0"/>
              <w:rPr>
                <w:kern w:val="2"/>
                <w:sz w:val="24"/>
                <w:szCs w:val="24"/>
                <w:lang w:eastAsia="zh-CN" w:bidi="hi-IN"/>
              </w:rPr>
            </w:pPr>
            <w:r w:rsidRPr="00777124">
              <w:rPr>
                <w:kern w:val="2"/>
                <w:sz w:val="24"/>
                <w:szCs w:val="24"/>
                <w:lang w:eastAsia="zh-CN" w:bidi="hi-IN"/>
              </w:rPr>
              <w:t>5</w:t>
            </w:r>
          </w:p>
        </w:tc>
        <w:tc>
          <w:tcPr>
            <w:tcW w:w="1314" w:type="dxa"/>
          </w:tcPr>
          <w:p w14:paraId="1FCEADDF" w14:textId="77777777" w:rsidR="00B2483A" w:rsidRPr="00777124" w:rsidRDefault="00B2483A" w:rsidP="00A04D06">
            <w:pPr>
              <w:pStyle w:val="table-head-left"/>
              <w:spacing w:before="0" w:after="0"/>
              <w:rPr>
                <w:kern w:val="2"/>
                <w:sz w:val="24"/>
                <w:szCs w:val="24"/>
                <w:lang w:eastAsia="zh-CN" w:bidi="hi-IN"/>
              </w:rPr>
            </w:pPr>
            <w:r w:rsidRPr="00777124">
              <w:rPr>
                <w:kern w:val="2"/>
                <w:sz w:val="24"/>
                <w:szCs w:val="24"/>
                <w:lang w:eastAsia="zh-CN" w:bidi="hi-IN"/>
              </w:rPr>
              <w:t>6–7</w:t>
            </w:r>
          </w:p>
        </w:tc>
      </w:tr>
      <w:tr w:rsidR="00B2483A" w:rsidRPr="00777124" w14:paraId="2E3DA7FA" w14:textId="77777777" w:rsidTr="00A04D06">
        <w:trPr>
          <w:trHeight w:val="360"/>
        </w:trPr>
        <w:tc>
          <w:tcPr>
            <w:tcW w:w="1531" w:type="dxa"/>
          </w:tcPr>
          <w:p w14:paraId="7733527B" w14:textId="77777777" w:rsidR="00B2483A" w:rsidRPr="00777124" w:rsidRDefault="00B2483A" w:rsidP="00A04D06">
            <w:pPr>
              <w:pStyle w:val="table-text-0"/>
              <w:spacing w:before="0" w:after="0"/>
              <w:rPr>
                <w:kern w:val="2"/>
                <w:sz w:val="24"/>
                <w:szCs w:val="24"/>
                <w:lang w:eastAsia="zh-CN" w:bidi="hi-IN"/>
              </w:rPr>
            </w:pPr>
            <w:r w:rsidRPr="00777124">
              <w:rPr>
                <w:kern w:val="2"/>
                <w:sz w:val="24"/>
                <w:szCs w:val="24"/>
                <w:lang w:eastAsia="zh-CN" w:bidi="hi-IN"/>
              </w:rPr>
              <w:t>ОМЛ</w:t>
            </w:r>
          </w:p>
        </w:tc>
        <w:tc>
          <w:tcPr>
            <w:tcW w:w="1314" w:type="dxa"/>
          </w:tcPr>
          <w:p w14:paraId="06F03AC3" w14:textId="77777777" w:rsidR="00B2483A" w:rsidRPr="00777124" w:rsidRDefault="00B2483A" w:rsidP="00A04D06">
            <w:pPr>
              <w:pStyle w:val="table-text-0"/>
              <w:spacing w:before="0" w:after="0"/>
              <w:rPr>
                <w:kern w:val="2"/>
                <w:sz w:val="24"/>
                <w:szCs w:val="24"/>
                <w:lang w:eastAsia="zh-CN" w:bidi="hi-IN"/>
              </w:rPr>
            </w:pPr>
            <w:r w:rsidRPr="00777124">
              <w:rPr>
                <w:kern w:val="2"/>
                <w:sz w:val="24"/>
                <w:szCs w:val="24"/>
                <w:lang w:val="x-none" w:eastAsia="zh-CN" w:bidi="hi-IN"/>
              </w:rPr>
              <w:t>14</w:t>
            </w:r>
          </w:p>
        </w:tc>
        <w:tc>
          <w:tcPr>
            <w:tcW w:w="1314" w:type="dxa"/>
          </w:tcPr>
          <w:p w14:paraId="490B0AE7" w14:textId="77777777" w:rsidR="00B2483A" w:rsidRPr="00777124" w:rsidRDefault="00B2483A" w:rsidP="00A04D06">
            <w:pPr>
              <w:pStyle w:val="table-text-0"/>
              <w:spacing w:before="0" w:after="0"/>
              <w:rPr>
                <w:kern w:val="2"/>
                <w:sz w:val="24"/>
                <w:szCs w:val="24"/>
                <w:lang w:eastAsia="zh-CN" w:bidi="hi-IN"/>
              </w:rPr>
            </w:pPr>
            <w:r w:rsidRPr="00777124">
              <w:rPr>
                <w:kern w:val="2"/>
                <w:sz w:val="24"/>
                <w:szCs w:val="24"/>
                <w:lang w:val="x-none" w:eastAsia="zh-CN" w:bidi="hi-IN"/>
              </w:rPr>
              <w:t>20</w:t>
            </w:r>
          </w:p>
        </w:tc>
        <w:tc>
          <w:tcPr>
            <w:tcW w:w="1314" w:type="dxa"/>
          </w:tcPr>
          <w:p w14:paraId="47AE255F" w14:textId="77777777" w:rsidR="00B2483A" w:rsidRPr="00777124" w:rsidRDefault="00B2483A" w:rsidP="00A04D06">
            <w:pPr>
              <w:pStyle w:val="table-text-0"/>
              <w:spacing w:before="0" w:after="0"/>
              <w:rPr>
                <w:kern w:val="2"/>
                <w:sz w:val="24"/>
                <w:szCs w:val="24"/>
                <w:lang w:eastAsia="zh-CN" w:bidi="hi-IN"/>
              </w:rPr>
            </w:pPr>
            <w:r w:rsidRPr="00777124">
              <w:rPr>
                <w:kern w:val="2"/>
                <w:sz w:val="24"/>
                <w:szCs w:val="24"/>
                <w:lang w:val="x-none" w:eastAsia="zh-CN" w:bidi="hi-IN"/>
              </w:rPr>
              <w:t>25</w:t>
            </w:r>
          </w:p>
        </w:tc>
        <w:tc>
          <w:tcPr>
            <w:tcW w:w="1314" w:type="dxa"/>
          </w:tcPr>
          <w:p w14:paraId="7EDC8519" w14:textId="77777777" w:rsidR="00B2483A" w:rsidRPr="00777124" w:rsidRDefault="00B2483A" w:rsidP="00A04D06">
            <w:pPr>
              <w:pStyle w:val="table-text-0"/>
              <w:spacing w:before="0" w:after="0"/>
              <w:rPr>
                <w:kern w:val="2"/>
                <w:sz w:val="24"/>
                <w:szCs w:val="24"/>
                <w:lang w:eastAsia="zh-CN" w:bidi="hi-IN"/>
              </w:rPr>
            </w:pPr>
            <w:r w:rsidRPr="00777124">
              <w:rPr>
                <w:kern w:val="2"/>
                <w:sz w:val="24"/>
                <w:szCs w:val="24"/>
                <w:lang w:val="x-none" w:eastAsia="zh-CN" w:bidi="hi-IN"/>
              </w:rPr>
              <w:t>30</w:t>
            </w:r>
          </w:p>
        </w:tc>
        <w:tc>
          <w:tcPr>
            <w:tcW w:w="1314" w:type="dxa"/>
          </w:tcPr>
          <w:p w14:paraId="6CEB1D3F" w14:textId="77777777" w:rsidR="00B2483A" w:rsidRPr="00777124" w:rsidRDefault="00B2483A" w:rsidP="00A04D06">
            <w:pPr>
              <w:pStyle w:val="table-text-0"/>
              <w:spacing w:before="0" w:after="0"/>
              <w:rPr>
                <w:kern w:val="2"/>
                <w:sz w:val="24"/>
                <w:szCs w:val="24"/>
                <w:lang w:eastAsia="zh-CN" w:bidi="hi-IN"/>
              </w:rPr>
            </w:pPr>
            <w:r w:rsidRPr="00777124">
              <w:rPr>
                <w:kern w:val="2"/>
                <w:sz w:val="24"/>
                <w:szCs w:val="24"/>
                <w:lang w:val="x-none" w:eastAsia="zh-CN" w:bidi="hi-IN"/>
              </w:rPr>
              <w:t>36</w:t>
            </w:r>
          </w:p>
        </w:tc>
        <w:tc>
          <w:tcPr>
            <w:tcW w:w="1314" w:type="dxa"/>
          </w:tcPr>
          <w:p w14:paraId="12CDDBD2" w14:textId="77777777" w:rsidR="00B2483A" w:rsidRPr="00777124" w:rsidRDefault="00B2483A" w:rsidP="00A04D06">
            <w:pPr>
              <w:pStyle w:val="table-text-0"/>
              <w:spacing w:before="0" w:after="0"/>
              <w:rPr>
                <w:kern w:val="2"/>
                <w:sz w:val="24"/>
                <w:szCs w:val="24"/>
                <w:lang w:eastAsia="zh-CN" w:bidi="hi-IN"/>
              </w:rPr>
            </w:pPr>
            <w:r w:rsidRPr="00777124">
              <w:rPr>
                <w:kern w:val="2"/>
                <w:sz w:val="24"/>
                <w:szCs w:val="24"/>
                <w:lang w:val="x-none" w:eastAsia="zh-CN" w:bidi="hi-IN"/>
              </w:rPr>
              <w:t>40</w:t>
            </w:r>
          </w:p>
        </w:tc>
        <w:tc>
          <w:tcPr>
            <w:tcW w:w="1314" w:type="dxa"/>
          </w:tcPr>
          <w:p w14:paraId="7E76CA59" w14:textId="77777777" w:rsidR="00B2483A" w:rsidRPr="00777124" w:rsidRDefault="00B2483A" w:rsidP="00A04D06">
            <w:pPr>
              <w:pStyle w:val="table-text-0"/>
              <w:spacing w:before="0" w:after="0"/>
              <w:rPr>
                <w:kern w:val="2"/>
                <w:sz w:val="24"/>
                <w:szCs w:val="24"/>
                <w:lang w:eastAsia="zh-CN" w:bidi="hi-IN"/>
              </w:rPr>
            </w:pPr>
            <w:r w:rsidRPr="00777124">
              <w:rPr>
                <w:kern w:val="2"/>
                <w:sz w:val="24"/>
                <w:szCs w:val="24"/>
                <w:lang w:val="x-none" w:eastAsia="zh-CN" w:bidi="hi-IN"/>
              </w:rPr>
              <w:t>41</w:t>
            </w:r>
          </w:p>
        </w:tc>
      </w:tr>
      <w:tr w:rsidR="00B2483A" w:rsidRPr="00777124" w14:paraId="79700E19" w14:textId="77777777" w:rsidTr="00A04D06">
        <w:trPr>
          <w:trHeight w:val="360"/>
        </w:trPr>
        <w:tc>
          <w:tcPr>
            <w:tcW w:w="1531" w:type="dxa"/>
          </w:tcPr>
          <w:p w14:paraId="0E61EE2D" w14:textId="77777777" w:rsidR="00B2483A" w:rsidRPr="00777124" w:rsidRDefault="00B2483A" w:rsidP="00A04D06">
            <w:pPr>
              <w:pStyle w:val="table-text-0"/>
              <w:spacing w:before="0" w:after="0"/>
              <w:rPr>
                <w:kern w:val="2"/>
                <w:sz w:val="24"/>
                <w:szCs w:val="24"/>
                <w:lang w:eastAsia="zh-CN" w:bidi="hi-IN"/>
              </w:rPr>
            </w:pPr>
            <w:r w:rsidRPr="00777124">
              <w:rPr>
                <w:kern w:val="2"/>
                <w:sz w:val="24"/>
                <w:szCs w:val="24"/>
                <w:lang w:eastAsia="zh-CN" w:bidi="hi-IN"/>
              </w:rPr>
              <w:t>ОЛЛ</w:t>
            </w:r>
          </w:p>
        </w:tc>
        <w:tc>
          <w:tcPr>
            <w:tcW w:w="1314" w:type="dxa"/>
          </w:tcPr>
          <w:p w14:paraId="5DFAEB58" w14:textId="77777777" w:rsidR="00B2483A" w:rsidRPr="00777124" w:rsidRDefault="00B2483A" w:rsidP="00A04D06">
            <w:pPr>
              <w:pStyle w:val="table-text-0"/>
              <w:spacing w:before="0" w:after="0"/>
              <w:rPr>
                <w:kern w:val="2"/>
                <w:sz w:val="24"/>
                <w:szCs w:val="24"/>
                <w:lang w:eastAsia="zh-CN" w:bidi="hi-IN"/>
              </w:rPr>
            </w:pPr>
            <w:r w:rsidRPr="00777124">
              <w:rPr>
                <w:kern w:val="2"/>
                <w:sz w:val="24"/>
                <w:szCs w:val="24"/>
                <w:lang w:val="x-none" w:eastAsia="zh-CN" w:bidi="hi-IN"/>
              </w:rPr>
              <w:t>15</w:t>
            </w:r>
          </w:p>
        </w:tc>
        <w:tc>
          <w:tcPr>
            <w:tcW w:w="1314" w:type="dxa"/>
          </w:tcPr>
          <w:p w14:paraId="7E23753E" w14:textId="77777777" w:rsidR="00B2483A" w:rsidRPr="00777124" w:rsidRDefault="00B2483A" w:rsidP="00A04D06">
            <w:pPr>
              <w:pStyle w:val="table-text-0"/>
              <w:spacing w:before="0" w:after="0"/>
              <w:rPr>
                <w:kern w:val="2"/>
                <w:sz w:val="24"/>
                <w:szCs w:val="24"/>
                <w:lang w:eastAsia="zh-CN" w:bidi="hi-IN"/>
              </w:rPr>
            </w:pPr>
            <w:r w:rsidRPr="00777124">
              <w:rPr>
                <w:kern w:val="2"/>
                <w:sz w:val="24"/>
                <w:szCs w:val="24"/>
                <w:lang w:val="x-none" w:eastAsia="zh-CN" w:bidi="hi-IN"/>
              </w:rPr>
              <w:t>23</w:t>
            </w:r>
          </w:p>
        </w:tc>
        <w:tc>
          <w:tcPr>
            <w:tcW w:w="1314" w:type="dxa"/>
          </w:tcPr>
          <w:p w14:paraId="3155C967" w14:textId="77777777" w:rsidR="00B2483A" w:rsidRPr="00777124" w:rsidRDefault="00B2483A" w:rsidP="00A04D06">
            <w:pPr>
              <w:pStyle w:val="table-text-0"/>
              <w:spacing w:before="0" w:after="0"/>
              <w:rPr>
                <w:kern w:val="2"/>
                <w:sz w:val="24"/>
                <w:szCs w:val="24"/>
                <w:lang w:eastAsia="zh-CN" w:bidi="hi-IN"/>
              </w:rPr>
            </w:pPr>
            <w:r w:rsidRPr="00777124">
              <w:rPr>
                <w:kern w:val="2"/>
                <w:sz w:val="24"/>
                <w:szCs w:val="24"/>
                <w:lang w:val="x-none" w:eastAsia="zh-CN" w:bidi="hi-IN"/>
              </w:rPr>
              <w:t>24</w:t>
            </w:r>
          </w:p>
        </w:tc>
        <w:tc>
          <w:tcPr>
            <w:tcW w:w="1314" w:type="dxa"/>
          </w:tcPr>
          <w:p w14:paraId="431C5440" w14:textId="77777777" w:rsidR="00B2483A" w:rsidRPr="00777124" w:rsidRDefault="00B2483A" w:rsidP="00A04D06">
            <w:pPr>
              <w:pStyle w:val="table-text-0"/>
              <w:spacing w:before="0" w:after="0"/>
              <w:rPr>
                <w:kern w:val="2"/>
                <w:sz w:val="24"/>
                <w:szCs w:val="24"/>
                <w:lang w:eastAsia="zh-CN" w:bidi="hi-IN"/>
              </w:rPr>
            </w:pPr>
            <w:r w:rsidRPr="00777124">
              <w:rPr>
                <w:kern w:val="2"/>
                <w:sz w:val="24"/>
                <w:szCs w:val="24"/>
                <w:lang w:val="x-none" w:eastAsia="zh-CN" w:bidi="hi-IN"/>
              </w:rPr>
              <w:t>30</w:t>
            </w:r>
          </w:p>
        </w:tc>
        <w:tc>
          <w:tcPr>
            <w:tcW w:w="1314" w:type="dxa"/>
          </w:tcPr>
          <w:p w14:paraId="30D9014E" w14:textId="77777777" w:rsidR="00B2483A" w:rsidRPr="00777124" w:rsidRDefault="00B2483A" w:rsidP="00A04D06">
            <w:pPr>
              <w:pStyle w:val="table-text-0"/>
              <w:spacing w:before="0" w:after="0"/>
              <w:rPr>
                <w:kern w:val="2"/>
                <w:sz w:val="24"/>
                <w:szCs w:val="24"/>
                <w:lang w:eastAsia="zh-CN" w:bidi="hi-IN"/>
              </w:rPr>
            </w:pPr>
            <w:r w:rsidRPr="00777124">
              <w:rPr>
                <w:kern w:val="2"/>
                <w:sz w:val="24"/>
                <w:szCs w:val="24"/>
                <w:lang w:val="x-none" w:eastAsia="zh-CN" w:bidi="hi-IN"/>
              </w:rPr>
              <w:t>40</w:t>
            </w:r>
          </w:p>
        </w:tc>
        <w:tc>
          <w:tcPr>
            <w:tcW w:w="1314" w:type="dxa"/>
          </w:tcPr>
          <w:p w14:paraId="1013CFF3" w14:textId="77777777" w:rsidR="00B2483A" w:rsidRPr="00777124" w:rsidRDefault="00B2483A" w:rsidP="00A04D06">
            <w:pPr>
              <w:pStyle w:val="table-text-0"/>
              <w:spacing w:before="0" w:after="0"/>
              <w:rPr>
                <w:kern w:val="2"/>
                <w:sz w:val="24"/>
                <w:szCs w:val="24"/>
                <w:lang w:eastAsia="zh-CN" w:bidi="hi-IN"/>
              </w:rPr>
            </w:pPr>
            <w:r w:rsidRPr="00777124">
              <w:rPr>
                <w:kern w:val="2"/>
                <w:sz w:val="24"/>
                <w:szCs w:val="24"/>
                <w:lang w:val="x-none" w:eastAsia="zh-CN" w:bidi="hi-IN"/>
              </w:rPr>
              <w:t>47</w:t>
            </w:r>
          </w:p>
        </w:tc>
        <w:tc>
          <w:tcPr>
            <w:tcW w:w="1314" w:type="dxa"/>
          </w:tcPr>
          <w:p w14:paraId="631D631C" w14:textId="77777777" w:rsidR="00B2483A" w:rsidRPr="00777124" w:rsidRDefault="00B2483A" w:rsidP="00A04D06">
            <w:pPr>
              <w:pStyle w:val="table-text-0"/>
              <w:spacing w:before="0" w:after="0"/>
              <w:rPr>
                <w:kern w:val="2"/>
                <w:sz w:val="24"/>
                <w:szCs w:val="24"/>
                <w:lang w:eastAsia="zh-CN" w:bidi="hi-IN"/>
              </w:rPr>
            </w:pPr>
            <w:r w:rsidRPr="00777124">
              <w:rPr>
                <w:kern w:val="2"/>
                <w:sz w:val="24"/>
                <w:szCs w:val="24"/>
                <w:lang w:val="x-none" w:eastAsia="zh-CN" w:bidi="hi-IN"/>
              </w:rPr>
              <w:t>53</w:t>
            </w:r>
          </w:p>
        </w:tc>
      </w:tr>
      <w:tr w:rsidR="00B2483A" w:rsidRPr="00777124" w14:paraId="6BF8AB28" w14:textId="77777777" w:rsidTr="00A04D06">
        <w:trPr>
          <w:trHeight w:val="360"/>
        </w:trPr>
        <w:tc>
          <w:tcPr>
            <w:tcW w:w="1531" w:type="dxa"/>
          </w:tcPr>
          <w:p w14:paraId="5AD9C89F" w14:textId="77777777" w:rsidR="00B2483A" w:rsidRPr="00777124" w:rsidRDefault="00B2483A" w:rsidP="00A04D06">
            <w:pPr>
              <w:pStyle w:val="table-text-0"/>
              <w:spacing w:before="0" w:after="0"/>
              <w:rPr>
                <w:kern w:val="2"/>
                <w:sz w:val="24"/>
                <w:szCs w:val="24"/>
                <w:lang w:eastAsia="zh-CN" w:bidi="hi-IN"/>
              </w:rPr>
            </w:pPr>
            <w:r w:rsidRPr="00777124">
              <w:rPr>
                <w:kern w:val="2"/>
                <w:sz w:val="24"/>
                <w:szCs w:val="24"/>
                <w:lang w:eastAsia="zh-CN" w:bidi="hi-IN"/>
              </w:rPr>
              <w:t>ХМЛ</w:t>
            </w:r>
          </w:p>
        </w:tc>
        <w:tc>
          <w:tcPr>
            <w:tcW w:w="1314" w:type="dxa"/>
          </w:tcPr>
          <w:p w14:paraId="6FF25932" w14:textId="77777777" w:rsidR="00B2483A" w:rsidRPr="00777124" w:rsidRDefault="00B2483A" w:rsidP="00A04D06">
            <w:pPr>
              <w:pStyle w:val="table-text-0"/>
              <w:spacing w:before="0" w:after="0"/>
              <w:rPr>
                <w:kern w:val="2"/>
                <w:sz w:val="24"/>
                <w:szCs w:val="24"/>
                <w:lang w:eastAsia="zh-CN" w:bidi="hi-IN"/>
              </w:rPr>
            </w:pPr>
            <w:r w:rsidRPr="00777124">
              <w:rPr>
                <w:kern w:val="2"/>
                <w:sz w:val="24"/>
                <w:szCs w:val="24"/>
                <w:lang w:val="x-none" w:eastAsia="zh-CN" w:bidi="hi-IN"/>
              </w:rPr>
              <w:t>15</w:t>
            </w:r>
          </w:p>
        </w:tc>
        <w:tc>
          <w:tcPr>
            <w:tcW w:w="1314" w:type="dxa"/>
          </w:tcPr>
          <w:p w14:paraId="3F54C069" w14:textId="77777777" w:rsidR="00B2483A" w:rsidRPr="00777124" w:rsidRDefault="00B2483A" w:rsidP="00A04D06">
            <w:pPr>
              <w:pStyle w:val="table-text-0"/>
              <w:spacing w:before="0" w:after="0"/>
              <w:rPr>
                <w:kern w:val="2"/>
                <w:sz w:val="24"/>
                <w:szCs w:val="24"/>
                <w:lang w:eastAsia="zh-CN" w:bidi="hi-IN"/>
              </w:rPr>
            </w:pPr>
            <w:r w:rsidRPr="00777124">
              <w:rPr>
                <w:kern w:val="2"/>
                <w:sz w:val="24"/>
                <w:szCs w:val="24"/>
                <w:lang w:val="x-none" w:eastAsia="zh-CN" w:bidi="hi-IN"/>
              </w:rPr>
              <w:t>22</w:t>
            </w:r>
          </w:p>
        </w:tc>
        <w:tc>
          <w:tcPr>
            <w:tcW w:w="1314" w:type="dxa"/>
          </w:tcPr>
          <w:p w14:paraId="31664FB1" w14:textId="77777777" w:rsidR="00B2483A" w:rsidRPr="00777124" w:rsidRDefault="00B2483A" w:rsidP="00A04D06">
            <w:pPr>
              <w:pStyle w:val="table-text-0"/>
              <w:spacing w:before="0" w:after="0"/>
              <w:rPr>
                <w:kern w:val="2"/>
                <w:sz w:val="24"/>
                <w:szCs w:val="24"/>
                <w:lang w:eastAsia="zh-CN" w:bidi="hi-IN"/>
              </w:rPr>
            </w:pPr>
            <w:r w:rsidRPr="00777124">
              <w:rPr>
                <w:kern w:val="2"/>
                <w:sz w:val="24"/>
                <w:szCs w:val="24"/>
                <w:lang w:val="x-none" w:eastAsia="zh-CN" w:bidi="hi-IN"/>
              </w:rPr>
              <w:t>30</w:t>
            </w:r>
          </w:p>
        </w:tc>
        <w:tc>
          <w:tcPr>
            <w:tcW w:w="1314" w:type="dxa"/>
          </w:tcPr>
          <w:p w14:paraId="3D0C0115" w14:textId="77777777" w:rsidR="00B2483A" w:rsidRPr="00777124" w:rsidRDefault="00B2483A" w:rsidP="00A04D06">
            <w:pPr>
              <w:pStyle w:val="table-text-0"/>
              <w:spacing w:before="0" w:after="0"/>
              <w:rPr>
                <w:kern w:val="2"/>
                <w:sz w:val="24"/>
                <w:szCs w:val="24"/>
                <w:lang w:eastAsia="zh-CN" w:bidi="hi-IN"/>
              </w:rPr>
            </w:pPr>
            <w:r w:rsidRPr="00777124">
              <w:rPr>
                <w:kern w:val="2"/>
                <w:sz w:val="24"/>
                <w:szCs w:val="24"/>
                <w:lang w:val="x-none" w:eastAsia="zh-CN" w:bidi="hi-IN"/>
              </w:rPr>
              <w:t>38</w:t>
            </w:r>
          </w:p>
        </w:tc>
        <w:tc>
          <w:tcPr>
            <w:tcW w:w="1314" w:type="dxa"/>
          </w:tcPr>
          <w:p w14:paraId="10925CEC" w14:textId="77777777" w:rsidR="00B2483A" w:rsidRPr="00777124" w:rsidRDefault="00B2483A" w:rsidP="00A04D06">
            <w:pPr>
              <w:pStyle w:val="table-text-0"/>
              <w:spacing w:before="0" w:after="0"/>
              <w:rPr>
                <w:kern w:val="2"/>
                <w:sz w:val="24"/>
                <w:szCs w:val="24"/>
                <w:lang w:eastAsia="zh-CN" w:bidi="hi-IN"/>
              </w:rPr>
            </w:pPr>
            <w:r w:rsidRPr="00777124">
              <w:rPr>
                <w:kern w:val="2"/>
                <w:sz w:val="24"/>
                <w:szCs w:val="24"/>
                <w:lang w:val="x-none" w:eastAsia="zh-CN" w:bidi="hi-IN"/>
              </w:rPr>
              <w:t>45</w:t>
            </w:r>
          </w:p>
        </w:tc>
        <w:tc>
          <w:tcPr>
            <w:tcW w:w="1314" w:type="dxa"/>
          </w:tcPr>
          <w:p w14:paraId="5A03787D" w14:textId="77777777" w:rsidR="00B2483A" w:rsidRPr="00777124" w:rsidRDefault="00B2483A" w:rsidP="00A04D06">
            <w:pPr>
              <w:pStyle w:val="table-text-0"/>
              <w:spacing w:before="0" w:after="0"/>
              <w:rPr>
                <w:kern w:val="2"/>
                <w:sz w:val="24"/>
                <w:szCs w:val="24"/>
                <w:lang w:eastAsia="zh-CN" w:bidi="hi-IN"/>
              </w:rPr>
            </w:pPr>
            <w:r w:rsidRPr="00777124">
              <w:rPr>
                <w:kern w:val="2"/>
                <w:sz w:val="24"/>
                <w:szCs w:val="24"/>
                <w:lang w:val="x-none" w:eastAsia="zh-CN" w:bidi="hi-IN"/>
              </w:rPr>
              <w:t>52</w:t>
            </w:r>
          </w:p>
        </w:tc>
        <w:tc>
          <w:tcPr>
            <w:tcW w:w="1314" w:type="dxa"/>
          </w:tcPr>
          <w:p w14:paraId="52323A70" w14:textId="77777777" w:rsidR="00B2483A" w:rsidRPr="00777124" w:rsidRDefault="00B2483A" w:rsidP="00A04D06">
            <w:pPr>
              <w:pStyle w:val="table-text-0"/>
              <w:spacing w:before="0" w:after="0"/>
              <w:rPr>
                <w:kern w:val="2"/>
                <w:sz w:val="24"/>
                <w:szCs w:val="24"/>
                <w:lang w:eastAsia="zh-CN" w:bidi="hi-IN"/>
              </w:rPr>
            </w:pPr>
            <w:r w:rsidRPr="00777124">
              <w:rPr>
                <w:kern w:val="2"/>
                <w:sz w:val="24"/>
                <w:szCs w:val="24"/>
                <w:lang w:val="x-none" w:eastAsia="zh-CN" w:bidi="hi-IN"/>
              </w:rPr>
              <w:t>55</w:t>
            </w:r>
          </w:p>
        </w:tc>
      </w:tr>
      <w:tr w:rsidR="00B2483A" w:rsidRPr="00777124" w14:paraId="1088782B" w14:textId="77777777" w:rsidTr="00A04D06">
        <w:trPr>
          <w:trHeight w:val="360"/>
        </w:trPr>
        <w:tc>
          <w:tcPr>
            <w:tcW w:w="1531" w:type="dxa"/>
          </w:tcPr>
          <w:p w14:paraId="3DCB20E2" w14:textId="77777777" w:rsidR="00B2483A" w:rsidRPr="00777124" w:rsidRDefault="00B2483A" w:rsidP="00A04D06">
            <w:pPr>
              <w:pStyle w:val="table-text-0"/>
              <w:spacing w:before="0" w:after="0"/>
              <w:rPr>
                <w:kern w:val="2"/>
                <w:sz w:val="24"/>
                <w:szCs w:val="24"/>
                <w:lang w:eastAsia="zh-CN" w:bidi="hi-IN"/>
              </w:rPr>
            </w:pPr>
            <w:r w:rsidRPr="00777124">
              <w:rPr>
                <w:kern w:val="2"/>
                <w:sz w:val="24"/>
                <w:szCs w:val="24"/>
                <w:lang w:eastAsia="zh-CN" w:bidi="hi-IN"/>
              </w:rPr>
              <w:t>АА</w:t>
            </w:r>
          </w:p>
        </w:tc>
        <w:tc>
          <w:tcPr>
            <w:tcW w:w="1314" w:type="dxa"/>
          </w:tcPr>
          <w:p w14:paraId="34B9419D" w14:textId="77777777" w:rsidR="00B2483A" w:rsidRPr="00777124" w:rsidRDefault="00B2483A" w:rsidP="00A04D06">
            <w:pPr>
              <w:pStyle w:val="table-text-0"/>
              <w:spacing w:before="0" w:after="0"/>
              <w:rPr>
                <w:kern w:val="2"/>
                <w:sz w:val="24"/>
                <w:szCs w:val="24"/>
                <w:lang w:eastAsia="zh-CN" w:bidi="hi-IN"/>
              </w:rPr>
            </w:pPr>
            <w:r w:rsidRPr="00777124">
              <w:rPr>
                <w:kern w:val="2"/>
                <w:sz w:val="24"/>
                <w:szCs w:val="24"/>
                <w:lang w:val="x-none" w:eastAsia="zh-CN" w:bidi="hi-IN"/>
              </w:rPr>
              <w:t>18</w:t>
            </w:r>
          </w:p>
        </w:tc>
        <w:tc>
          <w:tcPr>
            <w:tcW w:w="1314" w:type="dxa"/>
          </w:tcPr>
          <w:p w14:paraId="4216F0C3" w14:textId="77777777" w:rsidR="00B2483A" w:rsidRPr="00777124" w:rsidRDefault="00B2483A" w:rsidP="00A04D06">
            <w:pPr>
              <w:pStyle w:val="table-text-0"/>
              <w:spacing w:before="0" w:after="0"/>
              <w:rPr>
                <w:kern w:val="2"/>
                <w:sz w:val="24"/>
                <w:szCs w:val="24"/>
                <w:lang w:eastAsia="zh-CN" w:bidi="hi-IN"/>
              </w:rPr>
            </w:pPr>
            <w:r w:rsidRPr="00777124">
              <w:rPr>
                <w:kern w:val="2"/>
                <w:sz w:val="24"/>
                <w:szCs w:val="24"/>
                <w:lang w:val="x-none" w:eastAsia="zh-CN" w:bidi="hi-IN"/>
              </w:rPr>
              <w:t>26</w:t>
            </w:r>
          </w:p>
        </w:tc>
        <w:tc>
          <w:tcPr>
            <w:tcW w:w="1314" w:type="dxa"/>
          </w:tcPr>
          <w:p w14:paraId="051F42AF" w14:textId="77777777" w:rsidR="00B2483A" w:rsidRPr="00777124" w:rsidRDefault="00B2483A" w:rsidP="00A04D06">
            <w:pPr>
              <w:pStyle w:val="table-text-0"/>
              <w:spacing w:before="0" w:after="0"/>
              <w:rPr>
                <w:kern w:val="2"/>
                <w:sz w:val="24"/>
                <w:szCs w:val="24"/>
                <w:lang w:eastAsia="zh-CN" w:bidi="hi-IN"/>
              </w:rPr>
            </w:pPr>
            <w:r w:rsidRPr="00777124">
              <w:rPr>
                <w:kern w:val="2"/>
                <w:sz w:val="24"/>
                <w:szCs w:val="24"/>
                <w:lang w:val="x-none" w:eastAsia="zh-CN" w:bidi="hi-IN"/>
              </w:rPr>
              <w:t>40</w:t>
            </w:r>
          </w:p>
        </w:tc>
        <w:tc>
          <w:tcPr>
            <w:tcW w:w="1314" w:type="dxa"/>
          </w:tcPr>
          <w:p w14:paraId="1B4DDEE3" w14:textId="77777777" w:rsidR="00B2483A" w:rsidRPr="00777124" w:rsidRDefault="00B2483A" w:rsidP="00A04D06">
            <w:pPr>
              <w:pStyle w:val="table-text-0"/>
              <w:spacing w:before="0" w:after="0"/>
              <w:rPr>
                <w:kern w:val="2"/>
                <w:sz w:val="24"/>
                <w:szCs w:val="24"/>
                <w:lang w:eastAsia="zh-CN" w:bidi="hi-IN"/>
              </w:rPr>
            </w:pPr>
            <w:r w:rsidRPr="00777124">
              <w:rPr>
                <w:kern w:val="2"/>
                <w:sz w:val="24"/>
                <w:szCs w:val="24"/>
                <w:lang w:val="x-none" w:eastAsia="zh-CN" w:bidi="hi-IN"/>
              </w:rPr>
              <w:t>49</w:t>
            </w:r>
          </w:p>
        </w:tc>
        <w:tc>
          <w:tcPr>
            <w:tcW w:w="1314" w:type="dxa"/>
          </w:tcPr>
          <w:p w14:paraId="156C5D7E" w14:textId="77777777" w:rsidR="00B2483A" w:rsidRPr="00777124" w:rsidRDefault="00B2483A" w:rsidP="00A04D06">
            <w:pPr>
              <w:pStyle w:val="table-text-0"/>
              <w:spacing w:before="0" w:after="0"/>
              <w:rPr>
                <w:kern w:val="2"/>
                <w:sz w:val="24"/>
                <w:szCs w:val="24"/>
                <w:lang w:eastAsia="zh-CN" w:bidi="hi-IN"/>
              </w:rPr>
            </w:pPr>
            <w:r w:rsidRPr="00777124">
              <w:rPr>
                <w:kern w:val="2"/>
                <w:sz w:val="24"/>
                <w:szCs w:val="24"/>
                <w:lang w:val="x-none" w:eastAsia="zh-CN" w:bidi="hi-IN"/>
              </w:rPr>
              <w:t>52</w:t>
            </w:r>
          </w:p>
        </w:tc>
        <w:tc>
          <w:tcPr>
            <w:tcW w:w="1314" w:type="dxa"/>
          </w:tcPr>
          <w:p w14:paraId="794B78FF" w14:textId="77777777" w:rsidR="00B2483A" w:rsidRPr="00777124" w:rsidRDefault="00B2483A" w:rsidP="00A04D06">
            <w:pPr>
              <w:pStyle w:val="table-text-0"/>
              <w:spacing w:before="0" w:after="0"/>
              <w:rPr>
                <w:kern w:val="2"/>
                <w:sz w:val="24"/>
                <w:szCs w:val="24"/>
                <w:lang w:eastAsia="zh-CN" w:bidi="hi-IN"/>
              </w:rPr>
            </w:pPr>
            <w:r w:rsidRPr="00777124">
              <w:rPr>
                <w:kern w:val="2"/>
                <w:sz w:val="24"/>
                <w:szCs w:val="24"/>
                <w:lang w:eastAsia="zh-CN" w:bidi="hi-IN"/>
              </w:rPr>
              <w:t>–</w:t>
            </w:r>
          </w:p>
        </w:tc>
        <w:tc>
          <w:tcPr>
            <w:tcW w:w="1314" w:type="dxa"/>
          </w:tcPr>
          <w:p w14:paraId="5F6DC0C0" w14:textId="77777777" w:rsidR="00B2483A" w:rsidRPr="00777124" w:rsidRDefault="00B2483A" w:rsidP="00A04D06">
            <w:pPr>
              <w:pStyle w:val="table-text-0"/>
              <w:spacing w:before="0" w:after="0"/>
              <w:rPr>
                <w:kern w:val="2"/>
                <w:sz w:val="24"/>
                <w:szCs w:val="24"/>
                <w:lang w:eastAsia="zh-CN" w:bidi="hi-IN"/>
              </w:rPr>
            </w:pPr>
            <w:r w:rsidRPr="00777124">
              <w:rPr>
                <w:kern w:val="2"/>
                <w:sz w:val="24"/>
                <w:szCs w:val="24"/>
                <w:lang w:eastAsia="zh-CN" w:bidi="hi-IN"/>
              </w:rPr>
              <w:t>–</w:t>
            </w:r>
          </w:p>
        </w:tc>
      </w:tr>
      <w:tr w:rsidR="00B2483A" w:rsidRPr="00777124" w14:paraId="16D1A56B" w14:textId="77777777" w:rsidTr="00A04D06">
        <w:trPr>
          <w:trHeight w:val="360"/>
        </w:trPr>
        <w:tc>
          <w:tcPr>
            <w:tcW w:w="1531" w:type="dxa"/>
          </w:tcPr>
          <w:p w14:paraId="5E76CB1B" w14:textId="77777777" w:rsidR="00B2483A" w:rsidRPr="00777124" w:rsidRDefault="00B2483A" w:rsidP="00A04D06">
            <w:pPr>
              <w:pStyle w:val="table-text-0"/>
              <w:spacing w:before="0" w:after="0"/>
              <w:rPr>
                <w:kern w:val="2"/>
                <w:sz w:val="24"/>
                <w:szCs w:val="24"/>
                <w:lang w:eastAsia="zh-CN" w:bidi="hi-IN"/>
              </w:rPr>
            </w:pPr>
            <w:r w:rsidRPr="00777124">
              <w:rPr>
                <w:kern w:val="2"/>
                <w:sz w:val="24"/>
                <w:szCs w:val="24"/>
                <w:lang w:eastAsia="zh-CN" w:bidi="hi-IN"/>
              </w:rPr>
              <w:t>МДС</w:t>
            </w:r>
          </w:p>
        </w:tc>
        <w:tc>
          <w:tcPr>
            <w:tcW w:w="1314" w:type="dxa"/>
          </w:tcPr>
          <w:p w14:paraId="0E5AC193" w14:textId="77777777" w:rsidR="00B2483A" w:rsidRPr="00777124" w:rsidRDefault="00B2483A" w:rsidP="00A04D06">
            <w:pPr>
              <w:pStyle w:val="table-text-0"/>
              <w:spacing w:before="0" w:after="0"/>
              <w:rPr>
                <w:kern w:val="2"/>
                <w:sz w:val="24"/>
                <w:szCs w:val="24"/>
                <w:lang w:eastAsia="zh-CN" w:bidi="hi-IN"/>
              </w:rPr>
            </w:pPr>
            <w:r w:rsidRPr="00777124">
              <w:rPr>
                <w:kern w:val="2"/>
                <w:sz w:val="24"/>
                <w:szCs w:val="24"/>
                <w:lang w:val="x-none" w:eastAsia="zh-CN" w:bidi="hi-IN"/>
              </w:rPr>
              <w:t>25</w:t>
            </w:r>
          </w:p>
        </w:tc>
        <w:tc>
          <w:tcPr>
            <w:tcW w:w="1314" w:type="dxa"/>
          </w:tcPr>
          <w:p w14:paraId="4AC0D40E" w14:textId="77777777" w:rsidR="00B2483A" w:rsidRPr="00777124" w:rsidRDefault="00B2483A" w:rsidP="00A04D06">
            <w:pPr>
              <w:pStyle w:val="table-text-0"/>
              <w:spacing w:before="0" w:after="0"/>
              <w:rPr>
                <w:kern w:val="2"/>
                <w:sz w:val="24"/>
                <w:szCs w:val="24"/>
                <w:lang w:eastAsia="zh-CN" w:bidi="hi-IN"/>
              </w:rPr>
            </w:pPr>
            <w:r w:rsidRPr="00777124">
              <w:rPr>
                <w:kern w:val="2"/>
                <w:sz w:val="24"/>
                <w:szCs w:val="24"/>
                <w:lang w:val="x-none" w:eastAsia="zh-CN" w:bidi="hi-IN"/>
              </w:rPr>
              <w:t>28</w:t>
            </w:r>
          </w:p>
        </w:tc>
        <w:tc>
          <w:tcPr>
            <w:tcW w:w="1314" w:type="dxa"/>
          </w:tcPr>
          <w:p w14:paraId="62940B01" w14:textId="77777777" w:rsidR="00B2483A" w:rsidRPr="00777124" w:rsidRDefault="00B2483A" w:rsidP="00A04D06">
            <w:pPr>
              <w:pStyle w:val="table-text-0"/>
              <w:spacing w:before="0" w:after="0"/>
              <w:rPr>
                <w:kern w:val="2"/>
                <w:sz w:val="24"/>
                <w:szCs w:val="24"/>
                <w:lang w:eastAsia="zh-CN" w:bidi="hi-IN"/>
              </w:rPr>
            </w:pPr>
            <w:r w:rsidRPr="00777124">
              <w:rPr>
                <w:kern w:val="2"/>
                <w:sz w:val="24"/>
                <w:szCs w:val="24"/>
                <w:lang w:val="x-none" w:eastAsia="zh-CN" w:bidi="hi-IN"/>
              </w:rPr>
              <w:t>30</w:t>
            </w:r>
          </w:p>
        </w:tc>
        <w:tc>
          <w:tcPr>
            <w:tcW w:w="1314" w:type="dxa"/>
          </w:tcPr>
          <w:p w14:paraId="6477111C" w14:textId="77777777" w:rsidR="00B2483A" w:rsidRPr="00777124" w:rsidRDefault="00B2483A" w:rsidP="00A04D06">
            <w:pPr>
              <w:pStyle w:val="table-text-0"/>
              <w:spacing w:before="0" w:after="0"/>
              <w:rPr>
                <w:kern w:val="2"/>
                <w:sz w:val="24"/>
                <w:szCs w:val="24"/>
                <w:lang w:eastAsia="zh-CN" w:bidi="hi-IN"/>
              </w:rPr>
            </w:pPr>
            <w:r w:rsidRPr="00777124">
              <w:rPr>
                <w:kern w:val="2"/>
                <w:sz w:val="24"/>
                <w:szCs w:val="24"/>
                <w:lang w:val="x-none" w:eastAsia="zh-CN" w:bidi="hi-IN"/>
              </w:rPr>
              <w:t>35</w:t>
            </w:r>
          </w:p>
        </w:tc>
        <w:tc>
          <w:tcPr>
            <w:tcW w:w="1314" w:type="dxa"/>
          </w:tcPr>
          <w:p w14:paraId="46D840A7" w14:textId="77777777" w:rsidR="00B2483A" w:rsidRPr="00777124" w:rsidRDefault="00B2483A" w:rsidP="00A04D06">
            <w:pPr>
              <w:pStyle w:val="table-text-0"/>
              <w:spacing w:before="0" w:after="0"/>
              <w:rPr>
                <w:kern w:val="2"/>
                <w:sz w:val="24"/>
                <w:szCs w:val="24"/>
                <w:lang w:eastAsia="zh-CN" w:bidi="hi-IN"/>
              </w:rPr>
            </w:pPr>
            <w:r w:rsidRPr="00777124">
              <w:rPr>
                <w:kern w:val="2"/>
                <w:sz w:val="24"/>
                <w:szCs w:val="24"/>
                <w:lang w:val="x-none" w:eastAsia="zh-CN" w:bidi="hi-IN"/>
              </w:rPr>
              <w:t>38</w:t>
            </w:r>
          </w:p>
        </w:tc>
        <w:tc>
          <w:tcPr>
            <w:tcW w:w="1314" w:type="dxa"/>
          </w:tcPr>
          <w:p w14:paraId="71352C91" w14:textId="77777777" w:rsidR="00B2483A" w:rsidRPr="00777124" w:rsidRDefault="00B2483A" w:rsidP="00A04D06">
            <w:pPr>
              <w:pStyle w:val="table-text-0"/>
              <w:spacing w:before="0" w:after="0"/>
              <w:rPr>
                <w:kern w:val="2"/>
                <w:sz w:val="24"/>
                <w:szCs w:val="24"/>
                <w:lang w:eastAsia="zh-CN" w:bidi="hi-IN"/>
              </w:rPr>
            </w:pPr>
            <w:r w:rsidRPr="00777124">
              <w:rPr>
                <w:kern w:val="2"/>
                <w:sz w:val="24"/>
                <w:szCs w:val="24"/>
                <w:lang w:val="x-none" w:eastAsia="zh-CN" w:bidi="hi-IN"/>
              </w:rPr>
              <w:t>46</w:t>
            </w:r>
          </w:p>
        </w:tc>
        <w:tc>
          <w:tcPr>
            <w:tcW w:w="1314" w:type="dxa"/>
          </w:tcPr>
          <w:p w14:paraId="1FFBB814" w14:textId="77777777" w:rsidR="00B2483A" w:rsidRPr="00777124" w:rsidRDefault="00B2483A" w:rsidP="00A04D06">
            <w:pPr>
              <w:pStyle w:val="table-text-0"/>
              <w:spacing w:before="0" w:after="0"/>
              <w:rPr>
                <w:kern w:val="2"/>
                <w:sz w:val="24"/>
                <w:szCs w:val="24"/>
                <w:lang w:eastAsia="zh-CN" w:bidi="hi-IN"/>
              </w:rPr>
            </w:pPr>
            <w:r w:rsidRPr="00777124">
              <w:rPr>
                <w:kern w:val="2"/>
                <w:sz w:val="24"/>
                <w:szCs w:val="24"/>
                <w:lang w:val="x-none" w:eastAsia="zh-CN" w:bidi="hi-IN"/>
              </w:rPr>
              <w:t>50</w:t>
            </w:r>
          </w:p>
        </w:tc>
      </w:tr>
      <w:tr w:rsidR="00B2483A" w:rsidRPr="00777124" w14:paraId="6D223CB1" w14:textId="77777777" w:rsidTr="00A04D06">
        <w:trPr>
          <w:trHeight w:val="360"/>
        </w:trPr>
        <w:tc>
          <w:tcPr>
            <w:tcW w:w="1531" w:type="dxa"/>
          </w:tcPr>
          <w:p w14:paraId="03C3BEA9" w14:textId="77777777" w:rsidR="00B2483A" w:rsidRPr="00777124" w:rsidRDefault="00B2483A" w:rsidP="00A04D06">
            <w:pPr>
              <w:pStyle w:val="table-text-0"/>
              <w:spacing w:before="0" w:after="0"/>
              <w:rPr>
                <w:kern w:val="2"/>
                <w:sz w:val="24"/>
                <w:szCs w:val="24"/>
                <w:lang w:eastAsia="zh-CN" w:bidi="hi-IN"/>
              </w:rPr>
            </w:pPr>
            <w:r w:rsidRPr="00777124">
              <w:rPr>
                <w:kern w:val="2"/>
                <w:sz w:val="24"/>
                <w:szCs w:val="24"/>
                <w:lang w:eastAsia="zh-CN" w:bidi="hi-IN"/>
              </w:rPr>
              <w:t>ММ</w:t>
            </w:r>
          </w:p>
        </w:tc>
        <w:tc>
          <w:tcPr>
            <w:tcW w:w="1314" w:type="dxa"/>
          </w:tcPr>
          <w:p w14:paraId="07760322" w14:textId="77777777" w:rsidR="00B2483A" w:rsidRPr="00777124" w:rsidRDefault="00B2483A" w:rsidP="00A04D06">
            <w:pPr>
              <w:pStyle w:val="table-text-0"/>
              <w:spacing w:before="0" w:after="0"/>
              <w:rPr>
                <w:kern w:val="2"/>
                <w:sz w:val="24"/>
                <w:szCs w:val="24"/>
                <w:lang w:eastAsia="zh-CN" w:bidi="hi-IN"/>
              </w:rPr>
            </w:pPr>
            <w:r w:rsidRPr="00777124">
              <w:rPr>
                <w:kern w:val="2"/>
                <w:sz w:val="24"/>
                <w:szCs w:val="24"/>
                <w:lang w:eastAsia="zh-CN" w:bidi="hi-IN"/>
              </w:rPr>
              <w:t>–</w:t>
            </w:r>
          </w:p>
        </w:tc>
        <w:tc>
          <w:tcPr>
            <w:tcW w:w="1314" w:type="dxa"/>
          </w:tcPr>
          <w:p w14:paraId="5562E97F" w14:textId="77777777" w:rsidR="00B2483A" w:rsidRPr="00777124" w:rsidRDefault="00B2483A" w:rsidP="00A04D06">
            <w:pPr>
              <w:pStyle w:val="table-text-0"/>
              <w:spacing w:before="0" w:after="0"/>
              <w:rPr>
                <w:kern w:val="2"/>
                <w:sz w:val="24"/>
                <w:szCs w:val="24"/>
                <w:lang w:eastAsia="zh-CN" w:bidi="hi-IN"/>
              </w:rPr>
            </w:pPr>
            <w:r w:rsidRPr="00777124">
              <w:rPr>
                <w:kern w:val="2"/>
                <w:sz w:val="24"/>
                <w:szCs w:val="24"/>
                <w:lang w:eastAsia="zh-CN" w:bidi="hi-IN"/>
              </w:rPr>
              <w:t>–</w:t>
            </w:r>
          </w:p>
        </w:tc>
        <w:tc>
          <w:tcPr>
            <w:tcW w:w="1314" w:type="dxa"/>
          </w:tcPr>
          <w:p w14:paraId="4EA4852D" w14:textId="77777777" w:rsidR="00B2483A" w:rsidRPr="00777124" w:rsidRDefault="00B2483A" w:rsidP="00A04D06">
            <w:pPr>
              <w:pStyle w:val="table-text-0"/>
              <w:spacing w:before="0" w:after="0"/>
              <w:rPr>
                <w:kern w:val="2"/>
                <w:sz w:val="24"/>
                <w:szCs w:val="24"/>
                <w:lang w:eastAsia="zh-CN" w:bidi="hi-IN"/>
              </w:rPr>
            </w:pPr>
            <w:r w:rsidRPr="00777124">
              <w:rPr>
                <w:kern w:val="2"/>
                <w:sz w:val="24"/>
                <w:szCs w:val="24"/>
                <w:lang w:val="x-none" w:eastAsia="zh-CN" w:bidi="hi-IN"/>
              </w:rPr>
              <w:t>29</w:t>
            </w:r>
          </w:p>
        </w:tc>
        <w:tc>
          <w:tcPr>
            <w:tcW w:w="1314" w:type="dxa"/>
          </w:tcPr>
          <w:p w14:paraId="1895F999" w14:textId="77777777" w:rsidR="00B2483A" w:rsidRPr="00777124" w:rsidRDefault="00B2483A" w:rsidP="00A04D06">
            <w:pPr>
              <w:pStyle w:val="table-text-0"/>
              <w:spacing w:before="0" w:after="0"/>
              <w:rPr>
                <w:kern w:val="2"/>
                <w:sz w:val="24"/>
                <w:szCs w:val="24"/>
                <w:lang w:eastAsia="zh-CN" w:bidi="hi-IN"/>
              </w:rPr>
            </w:pPr>
            <w:r w:rsidRPr="00777124">
              <w:rPr>
                <w:kern w:val="2"/>
                <w:sz w:val="24"/>
                <w:szCs w:val="24"/>
                <w:lang w:val="x-none" w:eastAsia="zh-CN" w:bidi="hi-IN"/>
              </w:rPr>
              <w:t>35</w:t>
            </w:r>
          </w:p>
        </w:tc>
        <w:tc>
          <w:tcPr>
            <w:tcW w:w="1314" w:type="dxa"/>
          </w:tcPr>
          <w:p w14:paraId="4C952BC9" w14:textId="77777777" w:rsidR="00B2483A" w:rsidRPr="00777124" w:rsidRDefault="00B2483A" w:rsidP="00A04D06">
            <w:pPr>
              <w:pStyle w:val="table-text-0"/>
              <w:spacing w:before="0" w:after="0"/>
              <w:rPr>
                <w:kern w:val="2"/>
                <w:sz w:val="24"/>
                <w:szCs w:val="24"/>
                <w:lang w:eastAsia="zh-CN" w:bidi="hi-IN"/>
              </w:rPr>
            </w:pPr>
            <w:r w:rsidRPr="00777124">
              <w:rPr>
                <w:kern w:val="2"/>
                <w:sz w:val="24"/>
                <w:szCs w:val="24"/>
                <w:lang w:val="x-none" w:eastAsia="zh-CN" w:bidi="hi-IN"/>
              </w:rPr>
              <w:t>40</w:t>
            </w:r>
          </w:p>
        </w:tc>
        <w:tc>
          <w:tcPr>
            <w:tcW w:w="1314" w:type="dxa"/>
          </w:tcPr>
          <w:p w14:paraId="11BDA99F" w14:textId="77777777" w:rsidR="00B2483A" w:rsidRPr="00777124" w:rsidRDefault="00B2483A" w:rsidP="00A04D06">
            <w:pPr>
              <w:pStyle w:val="table-text-0"/>
              <w:spacing w:before="0" w:after="0"/>
              <w:rPr>
                <w:kern w:val="2"/>
                <w:sz w:val="24"/>
                <w:szCs w:val="24"/>
                <w:lang w:eastAsia="zh-CN" w:bidi="hi-IN"/>
              </w:rPr>
            </w:pPr>
            <w:r w:rsidRPr="00777124">
              <w:rPr>
                <w:kern w:val="2"/>
                <w:sz w:val="24"/>
                <w:szCs w:val="24"/>
                <w:lang w:val="x-none" w:eastAsia="zh-CN" w:bidi="hi-IN"/>
              </w:rPr>
              <w:t>42</w:t>
            </w:r>
          </w:p>
        </w:tc>
        <w:tc>
          <w:tcPr>
            <w:tcW w:w="1314" w:type="dxa"/>
          </w:tcPr>
          <w:p w14:paraId="3420E5F2" w14:textId="77777777" w:rsidR="00B2483A" w:rsidRPr="00777124" w:rsidRDefault="00B2483A" w:rsidP="00A04D06">
            <w:pPr>
              <w:pStyle w:val="table-text-0"/>
              <w:spacing w:before="0" w:after="0"/>
              <w:rPr>
                <w:kern w:val="2"/>
                <w:sz w:val="24"/>
                <w:szCs w:val="24"/>
                <w:lang w:eastAsia="zh-CN" w:bidi="hi-IN"/>
              </w:rPr>
            </w:pPr>
            <w:r w:rsidRPr="00777124">
              <w:rPr>
                <w:kern w:val="2"/>
                <w:sz w:val="24"/>
                <w:szCs w:val="24"/>
                <w:lang w:val="x-none" w:eastAsia="zh-CN" w:bidi="hi-IN"/>
              </w:rPr>
              <w:t>52</w:t>
            </w:r>
          </w:p>
        </w:tc>
      </w:tr>
      <w:tr w:rsidR="00B2483A" w:rsidRPr="00777124" w14:paraId="3A16F928" w14:textId="77777777" w:rsidTr="00A04D06">
        <w:trPr>
          <w:trHeight w:val="360"/>
        </w:trPr>
        <w:tc>
          <w:tcPr>
            <w:tcW w:w="1531" w:type="dxa"/>
          </w:tcPr>
          <w:p w14:paraId="557F52F4" w14:textId="77777777" w:rsidR="00B2483A" w:rsidRPr="00777124" w:rsidRDefault="00B2483A" w:rsidP="00A04D06">
            <w:pPr>
              <w:pStyle w:val="table-text-0"/>
              <w:spacing w:before="0" w:after="0"/>
              <w:rPr>
                <w:kern w:val="2"/>
                <w:sz w:val="24"/>
                <w:szCs w:val="24"/>
                <w:lang w:eastAsia="zh-CN" w:bidi="hi-IN"/>
              </w:rPr>
            </w:pPr>
            <w:r w:rsidRPr="00777124">
              <w:rPr>
                <w:kern w:val="2"/>
                <w:sz w:val="24"/>
                <w:szCs w:val="24"/>
                <w:lang w:eastAsia="zh-CN" w:bidi="hi-IN"/>
              </w:rPr>
              <w:t>НХЛ</w:t>
            </w:r>
          </w:p>
        </w:tc>
        <w:tc>
          <w:tcPr>
            <w:tcW w:w="1314" w:type="dxa"/>
          </w:tcPr>
          <w:p w14:paraId="109E2FD6" w14:textId="77777777" w:rsidR="00B2483A" w:rsidRPr="00777124" w:rsidRDefault="00B2483A" w:rsidP="00A04D06">
            <w:pPr>
              <w:pStyle w:val="table-text-0"/>
              <w:spacing w:before="0" w:after="0"/>
              <w:rPr>
                <w:kern w:val="2"/>
                <w:sz w:val="24"/>
                <w:szCs w:val="24"/>
                <w:lang w:eastAsia="zh-CN" w:bidi="hi-IN"/>
              </w:rPr>
            </w:pPr>
            <w:r w:rsidRPr="00777124">
              <w:rPr>
                <w:kern w:val="2"/>
                <w:sz w:val="24"/>
                <w:szCs w:val="24"/>
                <w:lang w:val="x-none" w:eastAsia="zh-CN" w:bidi="hi-IN"/>
              </w:rPr>
              <w:t>15</w:t>
            </w:r>
          </w:p>
        </w:tc>
        <w:tc>
          <w:tcPr>
            <w:tcW w:w="1314" w:type="dxa"/>
          </w:tcPr>
          <w:p w14:paraId="1F9DEC60" w14:textId="77777777" w:rsidR="00B2483A" w:rsidRPr="00777124" w:rsidRDefault="00B2483A" w:rsidP="00A04D06">
            <w:pPr>
              <w:pStyle w:val="table-text-0"/>
              <w:spacing w:before="0" w:after="0"/>
              <w:rPr>
                <w:kern w:val="2"/>
                <w:sz w:val="24"/>
                <w:szCs w:val="24"/>
                <w:lang w:eastAsia="zh-CN" w:bidi="hi-IN"/>
              </w:rPr>
            </w:pPr>
            <w:r w:rsidRPr="00777124">
              <w:rPr>
                <w:kern w:val="2"/>
                <w:sz w:val="24"/>
                <w:szCs w:val="24"/>
                <w:lang w:val="x-none" w:eastAsia="zh-CN" w:bidi="hi-IN"/>
              </w:rPr>
              <w:t>24</w:t>
            </w:r>
          </w:p>
        </w:tc>
        <w:tc>
          <w:tcPr>
            <w:tcW w:w="1314" w:type="dxa"/>
          </w:tcPr>
          <w:p w14:paraId="0881EB3B" w14:textId="77777777" w:rsidR="00B2483A" w:rsidRPr="00777124" w:rsidRDefault="00B2483A" w:rsidP="00A04D06">
            <w:pPr>
              <w:pStyle w:val="table-text-0"/>
              <w:spacing w:before="0" w:after="0"/>
              <w:rPr>
                <w:kern w:val="2"/>
                <w:sz w:val="24"/>
                <w:szCs w:val="24"/>
                <w:lang w:eastAsia="zh-CN" w:bidi="hi-IN"/>
              </w:rPr>
            </w:pPr>
            <w:r w:rsidRPr="00777124">
              <w:rPr>
                <w:kern w:val="2"/>
                <w:sz w:val="24"/>
                <w:szCs w:val="24"/>
                <w:lang w:val="x-none" w:eastAsia="zh-CN" w:bidi="hi-IN"/>
              </w:rPr>
              <w:t>28</w:t>
            </w:r>
          </w:p>
        </w:tc>
        <w:tc>
          <w:tcPr>
            <w:tcW w:w="1314" w:type="dxa"/>
          </w:tcPr>
          <w:p w14:paraId="7B29ED6D" w14:textId="77777777" w:rsidR="00B2483A" w:rsidRPr="00777124" w:rsidRDefault="00B2483A" w:rsidP="00A04D06">
            <w:pPr>
              <w:pStyle w:val="table-text-0"/>
              <w:spacing w:before="0" w:after="0"/>
              <w:rPr>
                <w:kern w:val="2"/>
                <w:sz w:val="24"/>
                <w:szCs w:val="24"/>
                <w:lang w:eastAsia="zh-CN" w:bidi="hi-IN"/>
              </w:rPr>
            </w:pPr>
            <w:r w:rsidRPr="00777124">
              <w:rPr>
                <w:kern w:val="2"/>
                <w:sz w:val="24"/>
                <w:szCs w:val="24"/>
                <w:lang w:val="x-none" w:eastAsia="zh-CN" w:bidi="hi-IN"/>
              </w:rPr>
              <w:t>30</w:t>
            </w:r>
          </w:p>
        </w:tc>
        <w:tc>
          <w:tcPr>
            <w:tcW w:w="1314" w:type="dxa"/>
          </w:tcPr>
          <w:p w14:paraId="12867B3E" w14:textId="77777777" w:rsidR="00B2483A" w:rsidRPr="00777124" w:rsidRDefault="00B2483A" w:rsidP="00A04D06">
            <w:pPr>
              <w:pStyle w:val="table-text-0"/>
              <w:spacing w:before="0" w:after="0"/>
              <w:rPr>
                <w:kern w:val="2"/>
                <w:sz w:val="24"/>
                <w:szCs w:val="24"/>
                <w:lang w:eastAsia="zh-CN" w:bidi="hi-IN"/>
              </w:rPr>
            </w:pPr>
            <w:r w:rsidRPr="00777124">
              <w:rPr>
                <w:kern w:val="2"/>
                <w:sz w:val="24"/>
                <w:szCs w:val="24"/>
                <w:lang w:val="x-none" w:eastAsia="zh-CN" w:bidi="hi-IN"/>
              </w:rPr>
              <w:t>34</w:t>
            </w:r>
          </w:p>
        </w:tc>
        <w:tc>
          <w:tcPr>
            <w:tcW w:w="1314" w:type="dxa"/>
          </w:tcPr>
          <w:p w14:paraId="4C32AAC0" w14:textId="77777777" w:rsidR="00B2483A" w:rsidRPr="00777124" w:rsidRDefault="00B2483A" w:rsidP="00A04D06">
            <w:pPr>
              <w:pStyle w:val="table-text-0"/>
              <w:spacing w:before="0" w:after="0"/>
              <w:rPr>
                <w:kern w:val="2"/>
                <w:sz w:val="24"/>
                <w:szCs w:val="24"/>
                <w:lang w:eastAsia="zh-CN" w:bidi="hi-IN"/>
              </w:rPr>
            </w:pPr>
            <w:r w:rsidRPr="00777124">
              <w:rPr>
                <w:kern w:val="2"/>
                <w:sz w:val="24"/>
                <w:szCs w:val="24"/>
                <w:lang w:val="x-none" w:eastAsia="zh-CN" w:bidi="hi-IN"/>
              </w:rPr>
              <w:t>36</w:t>
            </w:r>
          </w:p>
        </w:tc>
        <w:tc>
          <w:tcPr>
            <w:tcW w:w="1314" w:type="dxa"/>
          </w:tcPr>
          <w:p w14:paraId="4ECD6E8D" w14:textId="77777777" w:rsidR="00B2483A" w:rsidRPr="00777124" w:rsidRDefault="00B2483A" w:rsidP="00A04D06">
            <w:pPr>
              <w:pStyle w:val="table-text-0"/>
              <w:spacing w:before="0" w:after="0"/>
              <w:rPr>
                <w:kern w:val="2"/>
                <w:sz w:val="24"/>
                <w:szCs w:val="24"/>
                <w:lang w:eastAsia="zh-CN" w:bidi="hi-IN"/>
              </w:rPr>
            </w:pPr>
            <w:r w:rsidRPr="00777124">
              <w:rPr>
                <w:kern w:val="2"/>
                <w:sz w:val="24"/>
                <w:szCs w:val="24"/>
                <w:lang w:val="x-none" w:eastAsia="zh-CN" w:bidi="hi-IN"/>
              </w:rPr>
              <w:t>38</w:t>
            </w:r>
          </w:p>
        </w:tc>
      </w:tr>
    </w:tbl>
    <w:p w14:paraId="1E613685" w14:textId="77777777" w:rsidR="00B2483A" w:rsidRPr="00777124" w:rsidRDefault="00B2483A" w:rsidP="004905C2">
      <w:pPr>
        <w:pStyle w:val="2"/>
        <w:rPr>
          <w:rFonts w:eastAsia="SimSun"/>
        </w:rPr>
      </w:pPr>
    </w:p>
    <w:p w14:paraId="4F052A20" w14:textId="4A098D5E" w:rsidR="004D6FB3" w:rsidRPr="005A5ED3" w:rsidRDefault="004D6FB3" w:rsidP="004905C2">
      <w:pPr>
        <w:pStyle w:val="2"/>
      </w:pPr>
      <w:bookmarkStart w:id="438" w:name="_Toc44401121"/>
      <w:bookmarkStart w:id="439" w:name="_Toc64565687"/>
      <w:r w:rsidRPr="005A5ED3">
        <w:t>Приложение</w:t>
      </w:r>
      <w:r w:rsidR="00B929AC">
        <w:t xml:space="preserve"> Г5</w:t>
      </w:r>
      <w:r w:rsidRPr="005A5ED3">
        <w:t>. Расчет трансплантационного риска по шкале HCT-CI</w:t>
      </w:r>
      <w:bookmarkEnd w:id="438"/>
      <w:bookmarkEnd w:id="439"/>
    </w:p>
    <w:p w14:paraId="142DF148" w14:textId="7679E7AA" w:rsidR="004D6FB3" w:rsidRPr="00A74B56" w:rsidRDefault="004D6FB3" w:rsidP="004D6FB3">
      <w:pPr>
        <w:ind w:firstLine="709"/>
        <w:rPr>
          <w:rFonts w:eastAsia="SimSun"/>
          <w:szCs w:val="24"/>
        </w:rPr>
      </w:pPr>
      <w:r w:rsidRPr="00A74B56">
        <w:rPr>
          <w:rFonts w:eastAsia="SimSun"/>
          <w:szCs w:val="24"/>
        </w:rPr>
        <w:t xml:space="preserve">Оценка трансплантационного риска проводится при первичном рассмотрении пациента в качестве кандидата на проведение алло-ТГСК и повторно не более чем за 10 дней до начала предтрансплантационного кондиционирования </w:t>
      </w:r>
      <w:r w:rsidRPr="00A74B56">
        <w:rPr>
          <w:rFonts w:eastAsia="SimSun"/>
          <w:szCs w:val="24"/>
        </w:rPr>
        <w:fldChar w:fldCharType="begin" w:fldLock="1"/>
      </w:r>
      <w:r w:rsidR="00A67ED2">
        <w:rPr>
          <w:rFonts w:eastAsia="SimSun"/>
          <w:szCs w:val="24"/>
        </w:rPr>
        <w:instrText>ADDIN CSL_CITATION {"citationItems":[{"id":"ITEM-1","itemData":{"DOI":"10.1182/blood-2005-05-2004","ISSN":"0006-4971","PMID":"15994282","abstract":"We previously reported that the Charlson Comorbidity Index (CCI) was useful for predicting outcomes in patients undergoing allogeneic hematopoietic cell transplantation (HCT). However, the sample size of patients with scores of 1 or more, captured by the CCI, did not exceed 35%. Further, some comorbidities were rarely found among patients who underwent HCT. Therefore, the current study was designed to (1) better define previously identified comorbidities using pretransplant laboratory data, (2) investigate additional HCT-related comorbidities, and (3) establish comorbidity scores that were suited for HCT. Data were collected from 1055 patients, and then randomly divided into training and validation sets. Weights were assigned to individual comorbidities according to their prognostic significance in Cox proportional hazard models. The new index was then validated. The new index proved to be more sensitive than the CCI since it captured 62% of patients with scores more than 0 compared with 12%, respectively. Further, the new index showed better survival prediction than the CCI (likelihood ratio of 23.7 versus 7.1 and c statistics of 0.661 versus 0.561, respectively, P &lt; .001). In conclusion, the new simple index provided valid and reliable scoring of pretransplant comorbidities that predicted nonrelapse mortality and survival. This index will be useful for clinical trials and patient counseling before HCT.","author":[{"dropping-particle":"","family":"Sorror","given":"Mohamed L","non-dropping-particle":"","parse-names":false,"suffix":""},{"dropping-particle":"","family":"Maris","given":"Michael B","non-dropping-particle":"","parse-names":false,"suffix":""},{"dropping-particle":"","family":"Storb","given":"Rainer","non-dropping-particle":"","parse-names":false,"suffix":""},{"dropping-particle":"","family":"Baron","given":"Frederic","non-dropping-particle":"","parse-names":false,"suffix":""},{"dropping-particle":"","family":"Sandmaier","given":"Brenda M","non-dropping-particle":"","parse-names":false,"suffix":""},{"dropping-particle":"","family":"Maloney","given":"David G","non-dropping-particle":"","parse-names":false,"suffix":""},{"dropping-particle":"","family":"Storer","given":"Barry","non-dropping-particle":"","parse-names":false,"suffix":""}],"container-title":"Blood","id":"ITEM-1","issue":"8","issued":{"date-parts":[["2005","10","15"]]},"page":"2912-9","publisher":"The American Society of Hematology","title":"Hematopoietic cell transplantation (HCT)-specific comorbidity index: a new tool for risk assessment before allogeneic HCT.","type":"article-journal","volume":"106"},"uris":["http://www.mendeley.com/documents/?uuid=93f8ea95-5d4b-450a-a6fa-9a8772dd6e52"]},{"id":"ITEM-2","itemData":{"DOI":"10.1016/j.bbmt.2015.04.004","ISSN":"15236536","PMID":"25862591","abstract":"Prospective validation of the hematopoietic cell transplantation-comorbidity index (HCT-CI) using contemporary patients treated with hematopoietic cell transplantation (HCT) across the Unites States is necessary to confirm its widespread applicability. We performed a prospective observational study including all patients (8115 recipients of allogeneic and 11,652 recipients of autologous HCT) who underwent a first HCT that was reported to the Center for International Blood and Marrow Transplant Research between 2007 and 2009. In proportional hazards models, increased HCT-CI scores were independent</w:instrText>
      </w:r>
      <w:r w:rsidR="00A67ED2">
        <w:rPr>
          <w:rFonts w:eastAsia="SimSun" w:hint="eastAsia"/>
          <w:szCs w:val="24"/>
        </w:rPr>
        <w:instrText xml:space="preserve">ly associated with increases in hazard ratios for nonrelapse mortality (NRM) (P &lt;.0001) and overall mortality (P &lt;.0001) among recipients of allogeneic HCT. HCT-CI scores of </w:instrText>
      </w:r>
      <w:r w:rsidR="00A67ED2">
        <w:rPr>
          <w:rFonts w:eastAsia="SimSun" w:hint="eastAsia"/>
          <w:szCs w:val="24"/>
        </w:rPr>
        <w:instrText>≥</w:instrText>
      </w:r>
      <w:r w:rsidR="00A67ED2">
        <w:rPr>
          <w:rFonts w:eastAsia="SimSun" w:hint="eastAsia"/>
          <w:szCs w:val="24"/>
        </w:rPr>
        <w:instrText>3 were uniformly associated with higher risks for outcomes in both allogeneic an</w:instrText>
      </w:r>
      <w:r w:rsidR="00A67ED2">
        <w:rPr>
          <w:rFonts w:eastAsia="SimSun"/>
          <w:szCs w:val="24"/>
        </w:rPr>
        <w:instrText>d autologous HCT and in all subgroups, regardless of diagnoses, age, and conditioning intensity. Recipients of allogeneic HCT with scores of 1 and 2 who were ages &lt; 18 years or were treated with lower intensity conditioning regimens had similar outcomes compared with those with a score of 0. Higher risks for overall mortality, but not for NRM, were observed among recipients of autologous HCT with scores of 1 and 2 versus 0. Our results confirm the validity the HCT-CI in both allogeneic and autologous HCT. The index should be used as a valid standard-of-care health measure in counseling patients for HCT, in clinical trial design, and in adjusting outcome analyses.","author":[{"dropping-particle":"","family":"Sorror","given":"Mohamed L.","non-dropping-particle":"","parse-names":false,"suffix":""},{"dropping-particle":"","family":"Logan","given":"Brent R.","non-dropping-particle":"","parse-names":false,"suffix":""},{"dropping-particle":"","family":"Zhu","given":"Xiaochun","non-dropping-particle":"","parse-names":false,"suffix":""},{"dropping-particle":"","family":"Rizzo","given":"J. Douglas","non-dropping-particle":"","parse-names":false,"suffix":""},{"dropping-particle":"","family":"Cooke","given":"Kenneth R.","non-dropping-particle":"","parse-names":false,"suffix":""},{"dropping-particle":"","family":"McCarthy","given":"Philip L.","non-dropping-particle":"","parse-names":false,"suffix":""},{"dropping-particle":"","family":"Ho","given":"Vincent T.","non-dropping-particle":"","parse-names":false,"suffix":""},{"dropping-particle":"","family":"Horowitz","given":"Mary M.","non-dropping-particle":"","parse-names":false,"suffix":""},{"dropping-particle":"","family":"Pasquini","given":"Marcelo C.","non-dropping-particle":"","parse-names":false,"suffix":""}],"container-title":"Biology of Blood and Marrow Transplantation","id":"ITEM-2","issue":"8","issued":{"date-parts":[["2015","8","1"]]},"page":"1479-1487","publisher":"Elsevier Inc.","title":"Prospective Validation of the Predictive Power of the Hematopoietic Cell Transplantation Comorbidity Index: A Center for International Blood and Marrow Transplant Research Study","type":"article-journal","volume":"21"},"uris":["http://www.mendeley.com/documents/?uuid=1496af32-057f-32b7-b663-4fa3a7769799"]}],"mendeley":{"formattedCitation":"[219,220]","plainTextFormattedCitation":"[219,220]","previouslyFormattedCitation":"[183,184]"},"properties":{"noteIndex":0},"schema":"https://github.com/citation-style-language/schema/raw/master/csl-citation.json"}</w:instrText>
      </w:r>
      <w:r w:rsidRPr="00A74B56">
        <w:rPr>
          <w:rFonts w:eastAsia="SimSun"/>
          <w:szCs w:val="24"/>
        </w:rPr>
        <w:fldChar w:fldCharType="separate"/>
      </w:r>
      <w:r w:rsidR="00A67ED2" w:rsidRPr="00A67ED2">
        <w:rPr>
          <w:rFonts w:eastAsia="SimSun"/>
          <w:noProof/>
          <w:szCs w:val="24"/>
        </w:rPr>
        <w:t>[219,220]</w:t>
      </w:r>
      <w:r w:rsidRPr="00A74B56">
        <w:rPr>
          <w:rFonts w:eastAsia="SimSun"/>
          <w:szCs w:val="24"/>
        </w:rPr>
        <w:fldChar w:fldCharType="end"/>
      </w:r>
      <w:r w:rsidRPr="00A74B56">
        <w:rPr>
          <w:rFonts w:eastAsia="SimSun"/>
          <w:szCs w:val="24"/>
        </w:rPr>
        <w:t>.</w:t>
      </w:r>
    </w:p>
    <w:p w14:paraId="418E20F6" w14:textId="77777777" w:rsidR="004D6FB3" w:rsidRPr="00A74B56" w:rsidRDefault="004D6FB3" w:rsidP="004D6FB3">
      <w:pPr>
        <w:rPr>
          <w:rFonts w:eastAsia="SimSun"/>
          <w:szCs w:val="24"/>
        </w:rPr>
      </w:pPr>
      <w:r w:rsidRPr="00A74B56">
        <w:rPr>
          <w:rFonts w:eastAsia="SimSun"/>
          <w:szCs w:val="24"/>
        </w:rPr>
        <w:t>Низкий риск — 0 баллов.</w:t>
      </w:r>
    </w:p>
    <w:p w14:paraId="049353FD" w14:textId="77777777" w:rsidR="004D6FB3" w:rsidRPr="00A74B56" w:rsidRDefault="004D6FB3" w:rsidP="004D6FB3">
      <w:pPr>
        <w:rPr>
          <w:rFonts w:eastAsia="SimSun"/>
          <w:szCs w:val="24"/>
        </w:rPr>
      </w:pPr>
      <w:r w:rsidRPr="00A74B56">
        <w:rPr>
          <w:rFonts w:eastAsia="SimSun"/>
          <w:szCs w:val="24"/>
        </w:rPr>
        <w:t>Промежуточный риск — 1–2 балла.</w:t>
      </w:r>
    </w:p>
    <w:p w14:paraId="2309C37D" w14:textId="77777777" w:rsidR="004D6FB3" w:rsidRPr="00A74B56" w:rsidRDefault="004D6FB3" w:rsidP="004D6FB3">
      <w:pPr>
        <w:rPr>
          <w:rFonts w:eastAsia="SimSun"/>
          <w:szCs w:val="24"/>
        </w:rPr>
      </w:pPr>
      <w:r w:rsidRPr="00A74B56">
        <w:rPr>
          <w:rFonts w:eastAsia="SimSun"/>
          <w:szCs w:val="24"/>
        </w:rPr>
        <w:t>Высокий риск — 3–4 балла.</w:t>
      </w:r>
    </w:p>
    <w:p w14:paraId="489D5D30" w14:textId="77777777" w:rsidR="004D6FB3" w:rsidRPr="00A74B56" w:rsidRDefault="004D6FB3" w:rsidP="004D6FB3">
      <w:pPr>
        <w:rPr>
          <w:rFonts w:eastAsia="SimSun"/>
          <w:szCs w:val="24"/>
        </w:rPr>
      </w:pPr>
      <w:r w:rsidRPr="00A74B56">
        <w:rPr>
          <w:rFonts w:eastAsia="SimSun"/>
          <w:szCs w:val="24"/>
        </w:rPr>
        <w:t>Крайне высокий — 5 и более баллов.</w:t>
      </w:r>
    </w:p>
    <w:tbl>
      <w:tblPr>
        <w:tblW w:w="10095"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900"/>
        <w:gridCol w:w="1195"/>
      </w:tblGrid>
      <w:tr w:rsidR="004D6FB3" w:rsidRPr="00C07B2E" w14:paraId="5FA76018" w14:textId="77777777" w:rsidTr="00CD5E09">
        <w:tc>
          <w:tcPr>
            <w:tcW w:w="8900" w:type="dxa"/>
            <w:vAlign w:val="center"/>
          </w:tcPr>
          <w:p w14:paraId="580CDEEA" w14:textId="77777777" w:rsidR="004D6FB3" w:rsidRPr="004D6FB3" w:rsidRDefault="004D6FB3" w:rsidP="00CD5E09">
            <w:pPr>
              <w:pStyle w:val="table-name"/>
              <w:rPr>
                <w:rFonts w:eastAsia="SimSun"/>
                <w:szCs w:val="24"/>
              </w:rPr>
            </w:pPr>
            <w:r w:rsidRPr="004D6FB3">
              <w:rPr>
                <w:rFonts w:eastAsia="SimSun"/>
                <w:szCs w:val="24"/>
              </w:rPr>
              <w:t>Статус</w:t>
            </w:r>
          </w:p>
        </w:tc>
        <w:tc>
          <w:tcPr>
            <w:tcW w:w="1195" w:type="dxa"/>
            <w:vAlign w:val="center"/>
          </w:tcPr>
          <w:p w14:paraId="00D0A71B" w14:textId="77777777" w:rsidR="004D6FB3" w:rsidRPr="004D6FB3" w:rsidRDefault="004D6FB3" w:rsidP="00CD5E09">
            <w:pPr>
              <w:pStyle w:val="table-name"/>
              <w:rPr>
                <w:rFonts w:eastAsia="SimSun"/>
                <w:szCs w:val="24"/>
              </w:rPr>
            </w:pPr>
            <w:r w:rsidRPr="004D6FB3">
              <w:rPr>
                <w:rFonts w:eastAsia="SimSun"/>
                <w:szCs w:val="24"/>
              </w:rPr>
              <w:t>Баллы</w:t>
            </w:r>
          </w:p>
        </w:tc>
      </w:tr>
      <w:tr w:rsidR="004D6FB3" w:rsidRPr="00C07B2E" w14:paraId="46D387AA" w14:textId="77777777" w:rsidTr="00CD5E09">
        <w:tc>
          <w:tcPr>
            <w:tcW w:w="8900" w:type="dxa"/>
            <w:vAlign w:val="center"/>
          </w:tcPr>
          <w:p w14:paraId="331E55C8" w14:textId="77777777" w:rsidR="004D6FB3" w:rsidRPr="004D6FB3" w:rsidRDefault="004D6FB3" w:rsidP="00CD5E09">
            <w:pPr>
              <w:pStyle w:val="table-head-left"/>
              <w:rPr>
                <w:rFonts w:eastAsia="SimSun"/>
                <w:sz w:val="24"/>
                <w:szCs w:val="24"/>
              </w:rPr>
            </w:pPr>
            <w:r w:rsidRPr="004D6FB3">
              <w:rPr>
                <w:rFonts w:eastAsia="SimSun"/>
                <w:sz w:val="24"/>
                <w:szCs w:val="24"/>
              </w:rPr>
              <w:t>Дыхательная система</w:t>
            </w:r>
          </w:p>
        </w:tc>
        <w:tc>
          <w:tcPr>
            <w:tcW w:w="1195" w:type="dxa"/>
            <w:vAlign w:val="center"/>
          </w:tcPr>
          <w:p w14:paraId="2DCDAF87" w14:textId="77777777" w:rsidR="004D6FB3" w:rsidRPr="004D6FB3" w:rsidRDefault="004D6FB3" w:rsidP="00CD5E09">
            <w:pPr>
              <w:pStyle w:val="table-head-left"/>
              <w:rPr>
                <w:rFonts w:eastAsia="SimSun"/>
                <w:sz w:val="24"/>
                <w:szCs w:val="24"/>
              </w:rPr>
            </w:pPr>
          </w:p>
        </w:tc>
      </w:tr>
      <w:tr w:rsidR="004D6FB3" w:rsidRPr="00C07B2E" w14:paraId="008F5BD4" w14:textId="77777777" w:rsidTr="00CD5E09">
        <w:tc>
          <w:tcPr>
            <w:tcW w:w="8900" w:type="dxa"/>
            <w:vAlign w:val="center"/>
          </w:tcPr>
          <w:p w14:paraId="3C085262" w14:textId="77777777" w:rsidR="004D6FB3" w:rsidRPr="004D6FB3" w:rsidRDefault="004D6FB3" w:rsidP="00CD5E09">
            <w:pPr>
              <w:pStyle w:val="table-text-0"/>
              <w:rPr>
                <w:rFonts w:eastAsia="SimSun"/>
                <w:sz w:val="24"/>
                <w:szCs w:val="24"/>
              </w:rPr>
            </w:pPr>
            <w:r w:rsidRPr="004D6FB3">
              <w:rPr>
                <w:sz w:val="24"/>
                <w:szCs w:val="24"/>
              </w:rPr>
              <w:t>ОФВ1 66–80% или одышка при небольшой физической нагрузке</w:t>
            </w:r>
          </w:p>
        </w:tc>
        <w:tc>
          <w:tcPr>
            <w:tcW w:w="1195" w:type="dxa"/>
            <w:vAlign w:val="center"/>
          </w:tcPr>
          <w:p w14:paraId="264D5A56" w14:textId="77777777" w:rsidR="004D6FB3" w:rsidRPr="004D6FB3" w:rsidRDefault="004D6FB3" w:rsidP="00CD5E09">
            <w:pPr>
              <w:pStyle w:val="table-text-0"/>
              <w:rPr>
                <w:rFonts w:eastAsia="SimSun"/>
                <w:sz w:val="24"/>
                <w:szCs w:val="24"/>
              </w:rPr>
            </w:pPr>
            <w:r w:rsidRPr="004D6FB3">
              <w:rPr>
                <w:rFonts w:eastAsia="SimSun"/>
                <w:sz w:val="24"/>
                <w:szCs w:val="24"/>
              </w:rPr>
              <w:t>2</w:t>
            </w:r>
          </w:p>
        </w:tc>
      </w:tr>
      <w:tr w:rsidR="004D6FB3" w:rsidRPr="00C07B2E" w14:paraId="22755667" w14:textId="77777777" w:rsidTr="00CD5E09">
        <w:tc>
          <w:tcPr>
            <w:tcW w:w="8900" w:type="dxa"/>
            <w:vAlign w:val="center"/>
          </w:tcPr>
          <w:p w14:paraId="16C28B8A" w14:textId="77777777" w:rsidR="004D6FB3" w:rsidRPr="004D6FB3" w:rsidRDefault="004D6FB3" w:rsidP="00CD5E09">
            <w:pPr>
              <w:pStyle w:val="table-text-0"/>
              <w:rPr>
                <w:sz w:val="24"/>
                <w:szCs w:val="24"/>
              </w:rPr>
            </w:pPr>
            <w:r w:rsidRPr="004D6FB3">
              <w:rPr>
                <w:sz w:val="24"/>
                <w:szCs w:val="24"/>
              </w:rPr>
              <w:t xml:space="preserve">ОФВ1 </w:t>
            </w:r>
            <w:r w:rsidRPr="004D6FB3">
              <w:rPr>
                <w:rFonts w:eastAsia="SimSun"/>
                <w:sz w:val="24"/>
                <w:szCs w:val="24"/>
              </w:rPr>
              <w:t>≤</w:t>
            </w:r>
            <w:r w:rsidRPr="004D6FB3">
              <w:rPr>
                <w:sz w:val="24"/>
                <w:szCs w:val="24"/>
              </w:rPr>
              <w:t xml:space="preserve"> 65% или одышка в покое или потребность в кислородной поддержке</w:t>
            </w:r>
          </w:p>
        </w:tc>
        <w:tc>
          <w:tcPr>
            <w:tcW w:w="1195" w:type="dxa"/>
            <w:vAlign w:val="center"/>
          </w:tcPr>
          <w:p w14:paraId="406FF777" w14:textId="77777777" w:rsidR="004D6FB3" w:rsidRPr="004D6FB3" w:rsidRDefault="004D6FB3" w:rsidP="00CD5E09">
            <w:pPr>
              <w:pStyle w:val="table-text-0"/>
              <w:rPr>
                <w:rFonts w:eastAsia="SimSun"/>
                <w:sz w:val="24"/>
                <w:szCs w:val="24"/>
              </w:rPr>
            </w:pPr>
            <w:r w:rsidRPr="004D6FB3">
              <w:rPr>
                <w:rFonts w:eastAsia="SimSun"/>
                <w:sz w:val="24"/>
                <w:szCs w:val="24"/>
              </w:rPr>
              <w:t>3</w:t>
            </w:r>
          </w:p>
        </w:tc>
      </w:tr>
      <w:tr w:rsidR="004D6FB3" w:rsidRPr="00C07B2E" w14:paraId="178F55AC" w14:textId="77777777" w:rsidTr="00CD5E09">
        <w:tc>
          <w:tcPr>
            <w:tcW w:w="8900" w:type="dxa"/>
            <w:vAlign w:val="center"/>
          </w:tcPr>
          <w:p w14:paraId="0A807833" w14:textId="77777777" w:rsidR="004D6FB3" w:rsidRPr="004D6FB3" w:rsidRDefault="004D6FB3" w:rsidP="00CD5E09">
            <w:pPr>
              <w:pStyle w:val="table-head-left"/>
              <w:rPr>
                <w:rFonts w:eastAsia="SimSun"/>
                <w:sz w:val="24"/>
                <w:szCs w:val="24"/>
              </w:rPr>
            </w:pPr>
            <w:r w:rsidRPr="004D6FB3">
              <w:rPr>
                <w:rFonts w:eastAsia="SimSun"/>
                <w:sz w:val="24"/>
                <w:szCs w:val="24"/>
              </w:rPr>
              <w:t>Сердечно-сосудистая система</w:t>
            </w:r>
          </w:p>
        </w:tc>
        <w:tc>
          <w:tcPr>
            <w:tcW w:w="1195" w:type="dxa"/>
            <w:vAlign w:val="center"/>
          </w:tcPr>
          <w:p w14:paraId="7D8FFAA4" w14:textId="77777777" w:rsidR="004D6FB3" w:rsidRPr="004D6FB3" w:rsidRDefault="004D6FB3" w:rsidP="00CD5E09">
            <w:pPr>
              <w:tabs>
                <w:tab w:val="left" w:pos="567"/>
              </w:tabs>
              <w:spacing w:line="240" w:lineRule="auto"/>
              <w:jc w:val="center"/>
              <w:rPr>
                <w:rFonts w:eastAsia="SimSun"/>
                <w:szCs w:val="24"/>
              </w:rPr>
            </w:pPr>
          </w:p>
        </w:tc>
      </w:tr>
      <w:tr w:rsidR="004D6FB3" w:rsidRPr="00C07B2E" w14:paraId="523F1D10" w14:textId="77777777" w:rsidTr="00CD5E09">
        <w:tc>
          <w:tcPr>
            <w:tcW w:w="8900" w:type="dxa"/>
            <w:vAlign w:val="center"/>
          </w:tcPr>
          <w:p w14:paraId="70D67721" w14:textId="77777777" w:rsidR="004D6FB3" w:rsidRPr="004D6FB3" w:rsidRDefault="004D6FB3" w:rsidP="00CD5E09">
            <w:pPr>
              <w:pStyle w:val="table-text-0"/>
              <w:rPr>
                <w:rFonts w:eastAsia="SimSun"/>
                <w:sz w:val="24"/>
                <w:szCs w:val="24"/>
              </w:rPr>
            </w:pPr>
            <w:r w:rsidRPr="004D6FB3">
              <w:rPr>
                <w:sz w:val="24"/>
                <w:szCs w:val="24"/>
              </w:rPr>
              <w:t>Мерцательная аритмия или трепетание предсердий, синдром слабости синусового узла или желудочковые аритмии</w:t>
            </w:r>
          </w:p>
        </w:tc>
        <w:tc>
          <w:tcPr>
            <w:tcW w:w="1195" w:type="dxa"/>
            <w:vAlign w:val="center"/>
          </w:tcPr>
          <w:p w14:paraId="6EA53069" w14:textId="77777777" w:rsidR="004D6FB3" w:rsidRPr="004D6FB3" w:rsidRDefault="004D6FB3" w:rsidP="00CD5E09">
            <w:pPr>
              <w:pStyle w:val="table-text-0"/>
              <w:rPr>
                <w:rFonts w:eastAsia="SimSun"/>
                <w:sz w:val="24"/>
                <w:szCs w:val="24"/>
              </w:rPr>
            </w:pPr>
            <w:r w:rsidRPr="004D6FB3">
              <w:rPr>
                <w:rFonts w:eastAsia="SimSun"/>
                <w:sz w:val="24"/>
                <w:szCs w:val="24"/>
              </w:rPr>
              <w:t>1</w:t>
            </w:r>
          </w:p>
        </w:tc>
      </w:tr>
      <w:tr w:rsidR="004D6FB3" w:rsidRPr="00C07B2E" w14:paraId="52E021DD" w14:textId="77777777" w:rsidTr="00CD5E09">
        <w:tc>
          <w:tcPr>
            <w:tcW w:w="8900" w:type="dxa"/>
            <w:vAlign w:val="center"/>
          </w:tcPr>
          <w:p w14:paraId="5A4ABE76" w14:textId="77777777" w:rsidR="004D6FB3" w:rsidRPr="004D6FB3" w:rsidRDefault="004D6FB3" w:rsidP="00CD5E09">
            <w:pPr>
              <w:pStyle w:val="table-text-0"/>
              <w:rPr>
                <w:rFonts w:eastAsia="SimSun"/>
                <w:sz w:val="24"/>
                <w:szCs w:val="24"/>
              </w:rPr>
            </w:pPr>
            <w:r w:rsidRPr="004D6FB3">
              <w:rPr>
                <w:sz w:val="24"/>
                <w:szCs w:val="24"/>
              </w:rPr>
              <w:t>Ишемическая болезнь сердца, застойная сердечная недостаточность, инфаркт миокарда или фракция выброса менее 50%</w:t>
            </w:r>
          </w:p>
        </w:tc>
        <w:tc>
          <w:tcPr>
            <w:tcW w:w="1195" w:type="dxa"/>
            <w:vAlign w:val="center"/>
          </w:tcPr>
          <w:p w14:paraId="007991EF" w14:textId="77777777" w:rsidR="004D6FB3" w:rsidRPr="004D6FB3" w:rsidRDefault="004D6FB3" w:rsidP="00CD5E09">
            <w:pPr>
              <w:pStyle w:val="table-text-0"/>
              <w:rPr>
                <w:rFonts w:eastAsia="SimSun"/>
                <w:sz w:val="24"/>
                <w:szCs w:val="24"/>
              </w:rPr>
            </w:pPr>
            <w:r w:rsidRPr="004D6FB3">
              <w:rPr>
                <w:rFonts w:eastAsia="SimSun"/>
                <w:sz w:val="24"/>
                <w:szCs w:val="24"/>
              </w:rPr>
              <w:t>1</w:t>
            </w:r>
          </w:p>
        </w:tc>
      </w:tr>
      <w:tr w:rsidR="004D6FB3" w:rsidRPr="00C07B2E" w14:paraId="33D89C8C" w14:textId="77777777" w:rsidTr="00CD5E09">
        <w:tc>
          <w:tcPr>
            <w:tcW w:w="8900" w:type="dxa"/>
            <w:vAlign w:val="center"/>
          </w:tcPr>
          <w:p w14:paraId="7B800349" w14:textId="77777777" w:rsidR="004D6FB3" w:rsidRPr="004D6FB3" w:rsidRDefault="004D6FB3" w:rsidP="00CD5E09">
            <w:pPr>
              <w:pStyle w:val="table-text-0"/>
              <w:rPr>
                <w:rFonts w:eastAsia="SimSun"/>
                <w:sz w:val="24"/>
                <w:szCs w:val="24"/>
              </w:rPr>
            </w:pPr>
            <w:r w:rsidRPr="004D6FB3">
              <w:rPr>
                <w:sz w:val="24"/>
                <w:szCs w:val="24"/>
              </w:rPr>
              <w:t>Пороки сердца за исключением пролапса митрального клапана</w:t>
            </w:r>
          </w:p>
        </w:tc>
        <w:tc>
          <w:tcPr>
            <w:tcW w:w="1195" w:type="dxa"/>
            <w:vAlign w:val="center"/>
          </w:tcPr>
          <w:p w14:paraId="790AF151" w14:textId="77777777" w:rsidR="004D6FB3" w:rsidRPr="004D6FB3" w:rsidRDefault="004D6FB3" w:rsidP="00CD5E09">
            <w:pPr>
              <w:pStyle w:val="table-text-0"/>
              <w:rPr>
                <w:rFonts w:eastAsia="SimSun"/>
                <w:sz w:val="24"/>
                <w:szCs w:val="24"/>
              </w:rPr>
            </w:pPr>
            <w:r w:rsidRPr="004D6FB3">
              <w:rPr>
                <w:rFonts w:eastAsia="SimSun"/>
                <w:sz w:val="24"/>
                <w:szCs w:val="24"/>
              </w:rPr>
              <w:t>1</w:t>
            </w:r>
          </w:p>
        </w:tc>
      </w:tr>
      <w:tr w:rsidR="004D6FB3" w:rsidRPr="00C07B2E" w14:paraId="3E7BEA4B" w14:textId="77777777" w:rsidTr="00CD5E09">
        <w:tc>
          <w:tcPr>
            <w:tcW w:w="8900" w:type="dxa"/>
            <w:vAlign w:val="center"/>
          </w:tcPr>
          <w:p w14:paraId="17FA84E6" w14:textId="77777777" w:rsidR="004D6FB3" w:rsidRPr="004D6FB3" w:rsidRDefault="004D6FB3" w:rsidP="00CD5E09">
            <w:pPr>
              <w:pStyle w:val="table-head-left"/>
              <w:rPr>
                <w:rFonts w:eastAsia="SimSun"/>
                <w:sz w:val="24"/>
                <w:szCs w:val="24"/>
              </w:rPr>
            </w:pPr>
            <w:r w:rsidRPr="004D6FB3">
              <w:rPr>
                <w:rFonts w:eastAsia="SimSun"/>
                <w:sz w:val="24"/>
                <w:szCs w:val="24"/>
              </w:rPr>
              <w:t>ЖКТ</w:t>
            </w:r>
          </w:p>
        </w:tc>
        <w:tc>
          <w:tcPr>
            <w:tcW w:w="1195" w:type="dxa"/>
            <w:vAlign w:val="center"/>
          </w:tcPr>
          <w:p w14:paraId="00C91D76" w14:textId="77777777" w:rsidR="004D6FB3" w:rsidRPr="004D6FB3" w:rsidRDefault="004D6FB3" w:rsidP="00CD5E09">
            <w:pPr>
              <w:pStyle w:val="table-head-left"/>
              <w:rPr>
                <w:rFonts w:eastAsia="SimSun"/>
                <w:sz w:val="24"/>
                <w:szCs w:val="24"/>
              </w:rPr>
            </w:pPr>
          </w:p>
        </w:tc>
      </w:tr>
      <w:tr w:rsidR="004D6FB3" w:rsidRPr="00C07B2E" w14:paraId="4B88FDB1" w14:textId="77777777" w:rsidTr="00CD5E09">
        <w:tc>
          <w:tcPr>
            <w:tcW w:w="8900" w:type="dxa"/>
            <w:vAlign w:val="center"/>
          </w:tcPr>
          <w:p w14:paraId="32D82274" w14:textId="77777777" w:rsidR="004D6FB3" w:rsidRPr="004D6FB3" w:rsidRDefault="004D6FB3" w:rsidP="00CD5E09">
            <w:pPr>
              <w:pStyle w:val="table-text-0"/>
              <w:rPr>
                <w:rFonts w:eastAsia="SimSun"/>
                <w:sz w:val="24"/>
                <w:szCs w:val="24"/>
              </w:rPr>
            </w:pPr>
            <w:r w:rsidRPr="004D6FB3">
              <w:rPr>
                <w:sz w:val="24"/>
                <w:szCs w:val="24"/>
              </w:rPr>
              <w:t>Хронический гепатит, билирубин до 1,5 норм или АЛТ либо АСТ до 2,5 норм</w:t>
            </w:r>
          </w:p>
        </w:tc>
        <w:tc>
          <w:tcPr>
            <w:tcW w:w="1195" w:type="dxa"/>
            <w:vAlign w:val="center"/>
          </w:tcPr>
          <w:p w14:paraId="28AE8DF7" w14:textId="77777777" w:rsidR="004D6FB3" w:rsidRPr="004D6FB3" w:rsidRDefault="004D6FB3" w:rsidP="00CD5E09">
            <w:pPr>
              <w:pStyle w:val="table-text-0"/>
              <w:rPr>
                <w:rFonts w:eastAsia="SimSun"/>
                <w:sz w:val="24"/>
                <w:szCs w:val="24"/>
              </w:rPr>
            </w:pPr>
            <w:r w:rsidRPr="004D6FB3">
              <w:rPr>
                <w:rFonts w:eastAsia="SimSun"/>
                <w:sz w:val="24"/>
                <w:szCs w:val="24"/>
              </w:rPr>
              <w:t>1</w:t>
            </w:r>
          </w:p>
        </w:tc>
      </w:tr>
      <w:tr w:rsidR="004D6FB3" w:rsidRPr="00C07B2E" w14:paraId="14DAB923" w14:textId="77777777" w:rsidTr="00CD5E09">
        <w:tc>
          <w:tcPr>
            <w:tcW w:w="8900" w:type="dxa"/>
            <w:vAlign w:val="center"/>
          </w:tcPr>
          <w:p w14:paraId="61795BA5" w14:textId="77777777" w:rsidR="004D6FB3" w:rsidRPr="004D6FB3" w:rsidRDefault="004D6FB3" w:rsidP="00CD5E09">
            <w:pPr>
              <w:pStyle w:val="table-text-0"/>
              <w:rPr>
                <w:rFonts w:eastAsia="SimSun"/>
                <w:sz w:val="24"/>
                <w:szCs w:val="24"/>
              </w:rPr>
            </w:pPr>
            <w:r w:rsidRPr="004D6FB3">
              <w:rPr>
                <w:sz w:val="24"/>
                <w:szCs w:val="24"/>
              </w:rPr>
              <w:lastRenderedPageBreak/>
              <w:t>Цирроз, билирубин более 1,5 норм или АЛТ либо АСТ более 2,5 норм</w:t>
            </w:r>
          </w:p>
        </w:tc>
        <w:tc>
          <w:tcPr>
            <w:tcW w:w="1195" w:type="dxa"/>
            <w:vAlign w:val="center"/>
          </w:tcPr>
          <w:p w14:paraId="07BDBBCF" w14:textId="77777777" w:rsidR="004D6FB3" w:rsidRPr="004D6FB3" w:rsidRDefault="004D6FB3" w:rsidP="00CD5E09">
            <w:pPr>
              <w:pStyle w:val="table-text-0"/>
              <w:rPr>
                <w:rFonts w:eastAsia="SimSun"/>
                <w:sz w:val="24"/>
                <w:szCs w:val="24"/>
              </w:rPr>
            </w:pPr>
            <w:r w:rsidRPr="004D6FB3">
              <w:rPr>
                <w:rFonts w:eastAsia="SimSun"/>
                <w:sz w:val="24"/>
                <w:szCs w:val="24"/>
              </w:rPr>
              <w:t>3</w:t>
            </w:r>
          </w:p>
        </w:tc>
      </w:tr>
      <w:tr w:rsidR="004D6FB3" w:rsidRPr="00C07B2E" w14:paraId="617DA939" w14:textId="77777777" w:rsidTr="00CD5E09">
        <w:tc>
          <w:tcPr>
            <w:tcW w:w="8900" w:type="dxa"/>
            <w:vAlign w:val="center"/>
          </w:tcPr>
          <w:p w14:paraId="25FD2B63" w14:textId="77777777" w:rsidR="004D6FB3" w:rsidRPr="004D6FB3" w:rsidRDefault="004D6FB3" w:rsidP="00CD5E09">
            <w:pPr>
              <w:pStyle w:val="table-text-0"/>
              <w:rPr>
                <w:sz w:val="24"/>
                <w:szCs w:val="24"/>
              </w:rPr>
            </w:pPr>
            <w:r w:rsidRPr="004D6FB3">
              <w:rPr>
                <w:sz w:val="24"/>
                <w:szCs w:val="24"/>
              </w:rPr>
              <w:t>Болезнь Крона или язвенный колит</w:t>
            </w:r>
          </w:p>
        </w:tc>
        <w:tc>
          <w:tcPr>
            <w:tcW w:w="1195" w:type="dxa"/>
            <w:vAlign w:val="center"/>
          </w:tcPr>
          <w:p w14:paraId="7C764D3A" w14:textId="77777777" w:rsidR="004D6FB3" w:rsidRPr="004D6FB3" w:rsidRDefault="004D6FB3" w:rsidP="00CD5E09">
            <w:pPr>
              <w:pStyle w:val="table-text-0"/>
              <w:rPr>
                <w:rFonts w:eastAsia="SimSun"/>
                <w:sz w:val="24"/>
                <w:szCs w:val="24"/>
              </w:rPr>
            </w:pPr>
            <w:r w:rsidRPr="004D6FB3">
              <w:rPr>
                <w:rFonts w:eastAsia="SimSun"/>
                <w:sz w:val="24"/>
                <w:szCs w:val="24"/>
              </w:rPr>
              <w:t>1</w:t>
            </w:r>
          </w:p>
        </w:tc>
      </w:tr>
      <w:tr w:rsidR="004D6FB3" w:rsidRPr="00C07B2E" w14:paraId="4A744605" w14:textId="77777777" w:rsidTr="00CD5E09">
        <w:tc>
          <w:tcPr>
            <w:tcW w:w="8900" w:type="dxa"/>
          </w:tcPr>
          <w:p w14:paraId="2CD1D2FD" w14:textId="77777777" w:rsidR="004D6FB3" w:rsidRPr="004D6FB3" w:rsidRDefault="004D6FB3" w:rsidP="00CD5E09">
            <w:pPr>
              <w:pStyle w:val="table-text-0"/>
              <w:rPr>
                <w:sz w:val="24"/>
                <w:szCs w:val="24"/>
              </w:rPr>
            </w:pPr>
            <w:r w:rsidRPr="004D6FB3">
              <w:rPr>
                <w:sz w:val="24"/>
                <w:szCs w:val="24"/>
              </w:rPr>
              <w:t>Язвенная болезнь, требующая лечения</w:t>
            </w:r>
          </w:p>
        </w:tc>
        <w:tc>
          <w:tcPr>
            <w:tcW w:w="1195" w:type="dxa"/>
          </w:tcPr>
          <w:p w14:paraId="0898013D" w14:textId="77777777" w:rsidR="004D6FB3" w:rsidRPr="004D6FB3" w:rsidRDefault="004D6FB3" w:rsidP="00CD5E09">
            <w:pPr>
              <w:pStyle w:val="table-text-0"/>
              <w:rPr>
                <w:rFonts w:eastAsia="SimSun"/>
                <w:sz w:val="24"/>
                <w:szCs w:val="24"/>
              </w:rPr>
            </w:pPr>
            <w:r w:rsidRPr="004D6FB3">
              <w:rPr>
                <w:rFonts w:eastAsia="SimSun"/>
                <w:sz w:val="24"/>
                <w:szCs w:val="24"/>
              </w:rPr>
              <w:t>2</w:t>
            </w:r>
          </w:p>
        </w:tc>
      </w:tr>
      <w:tr w:rsidR="004D6FB3" w:rsidRPr="00C07B2E" w14:paraId="171349D4" w14:textId="77777777" w:rsidTr="00CD5E09">
        <w:tc>
          <w:tcPr>
            <w:tcW w:w="8900" w:type="dxa"/>
          </w:tcPr>
          <w:p w14:paraId="69AF04E2" w14:textId="77777777" w:rsidR="004D6FB3" w:rsidRPr="004D6FB3" w:rsidRDefault="004D6FB3" w:rsidP="00CD5E09">
            <w:pPr>
              <w:pStyle w:val="table-head-left"/>
              <w:rPr>
                <w:sz w:val="24"/>
                <w:szCs w:val="24"/>
              </w:rPr>
            </w:pPr>
            <w:r w:rsidRPr="004D6FB3">
              <w:rPr>
                <w:sz w:val="24"/>
                <w:szCs w:val="24"/>
              </w:rPr>
              <w:t>Нарушение обмена</w:t>
            </w:r>
          </w:p>
        </w:tc>
        <w:tc>
          <w:tcPr>
            <w:tcW w:w="1195" w:type="dxa"/>
          </w:tcPr>
          <w:p w14:paraId="7A5B2E7C" w14:textId="77777777" w:rsidR="004D6FB3" w:rsidRPr="004D6FB3" w:rsidRDefault="004D6FB3" w:rsidP="00CD5E09">
            <w:pPr>
              <w:pStyle w:val="table-head-left"/>
              <w:rPr>
                <w:rFonts w:eastAsia="SimSun"/>
                <w:sz w:val="24"/>
                <w:szCs w:val="24"/>
              </w:rPr>
            </w:pPr>
          </w:p>
        </w:tc>
      </w:tr>
      <w:tr w:rsidR="004D6FB3" w:rsidRPr="00C07B2E" w14:paraId="236DC000" w14:textId="77777777" w:rsidTr="00CD5E09">
        <w:tc>
          <w:tcPr>
            <w:tcW w:w="8900" w:type="dxa"/>
          </w:tcPr>
          <w:p w14:paraId="5A040A61" w14:textId="77777777" w:rsidR="004D6FB3" w:rsidRPr="004D6FB3" w:rsidRDefault="004D6FB3" w:rsidP="00CD5E09">
            <w:pPr>
              <w:pStyle w:val="table-text-0"/>
              <w:rPr>
                <w:sz w:val="24"/>
                <w:szCs w:val="24"/>
              </w:rPr>
            </w:pPr>
            <w:r w:rsidRPr="004D6FB3">
              <w:rPr>
                <w:sz w:val="24"/>
                <w:szCs w:val="24"/>
              </w:rPr>
              <w:t>Сахарный диабет, требующий лечения</w:t>
            </w:r>
          </w:p>
        </w:tc>
        <w:tc>
          <w:tcPr>
            <w:tcW w:w="1195" w:type="dxa"/>
          </w:tcPr>
          <w:p w14:paraId="680F0633" w14:textId="77777777" w:rsidR="004D6FB3" w:rsidRPr="004D6FB3" w:rsidRDefault="004D6FB3" w:rsidP="00CD5E09">
            <w:pPr>
              <w:pStyle w:val="table-text-0"/>
              <w:rPr>
                <w:rFonts w:eastAsia="SimSun"/>
                <w:sz w:val="24"/>
                <w:szCs w:val="24"/>
              </w:rPr>
            </w:pPr>
            <w:r w:rsidRPr="004D6FB3">
              <w:rPr>
                <w:rFonts w:eastAsia="SimSun"/>
                <w:sz w:val="24"/>
                <w:szCs w:val="24"/>
              </w:rPr>
              <w:t>1</w:t>
            </w:r>
          </w:p>
        </w:tc>
      </w:tr>
      <w:tr w:rsidR="004D6FB3" w:rsidRPr="00C07B2E" w14:paraId="0F8F1E90" w14:textId="77777777" w:rsidTr="00CD5E09">
        <w:tc>
          <w:tcPr>
            <w:tcW w:w="8900" w:type="dxa"/>
          </w:tcPr>
          <w:p w14:paraId="446B81F0" w14:textId="77777777" w:rsidR="004D6FB3" w:rsidRPr="004D6FB3" w:rsidRDefault="004D6FB3" w:rsidP="00CD5E09">
            <w:pPr>
              <w:pStyle w:val="table-text-0"/>
              <w:rPr>
                <w:sz w:val="24"/>
                <w:szCs w:val="24"/>
              </w:rPr>
            </w:pPr>
            <w:r w:rsidRPr="004D6FB3">
              <w:rPr>
                <w:sz w:val="24"/>
                <w:szCs w:val="24"/>
              </w:rPr>
              <w:t>Индекс массы тела &gt; 35 кг/м</w:t>
            </w:r>
            <w:r w:rsidRPr="004D6FB3">
              <w:rPr>
                <w:sz w:val="24"/>
                <w:szCs w:val="24"/>
                <w:vertAlign w:val="superscript"/>
              </w:rPr>
              <w:t>2</w:t>
            </w:r>
          </w:p>
        </w:tc>
        <w:tc>
          <w:tcPr>
            <w:tcW w:w="1195" w:type="dxa"/>
          </w:tcPr>
          <w:p w14:paraId="6B64A808" w14:textId="77777777" w:rsidR="004D6FB3" w:rsidRPr="004D6FB3" w:rsidRDefault="004D6FB3" w:rsidP="00CD5E09">
            <w:pPr>
              <w:pStyle w:val="table-text-0"/>
              <w:rPr>
                <w:rFonts w:eastAsia="SimSun"/>
                <w:sz w:val="24"/>
                <w:szCs w:val="24"/>
              </w:rPr>
            </w:pPr>
            <w:r w:rsidRPr="004D6FB3">
              <w:rPr>
                <w:rFonts w:eastAsia="SimSun"/>
                <w:sz w:val="24"/>
                <w:szCs w:val="24"/>
              </w:rPr>
              <w:t>1</w:t>
            </w:r>
          </w:p>
        </w:tc>
      </w:tr>
      <w:tr w:rsidR="004D6FB3" w:rsidRPr="00C07B2E" w14:paraId="0634B9AE" w14:textId="77777777" w:rsidTr="00CD5E09">
        <w:tc>
          <w:tcPr>
            <w:tcW w:w="8900" w:type="dxa"/>
          </w:tcPr>
          <w:p w14:paraId="00944445" w14:textId="77777777" w:rsidR="004D6FB3" w:rsidRPr="004D6FB3" w:rsidRDefault="004D6FB3" w:rsidP="00CD5E09">
            <w:pPr>
              <w:pStyle w:val="table-head-left"/>
              <w:rPr>
                <w:sz w:val="24"/>
                <w:szCs w:val="24"/>
              </w:rPr>
            </w:pPr>
            <w:r w:rsidRPr="004D6FB3">
              <w:rPr>
                <w:sz w:val="24"/>
                <w:szCs w:val="24"/>
              </w:rPr>
              <w:t>Неврологический статус</w:t>
            </w:r>
          </w:p>
        </w:tc>
        <w:tc>
          <w:tcPr>
            <w:tcW w:w="1195" w:type="dxa"/>
          </w:tcPr>
          <w:p w14:paraId="530BC942" w14:textId="77777777" w:rsidR="004D6FB3" w:rsidRPr="004D6FB3" w:rsidRDefault="004D6FB3" w:rsidP="00CD5E09">
            <w:pPr>
              <w:pStyle w:val="table-head-left"/>
              <w:rPr>
                <w:rFonts w:eastAsia="SimSun"/>
                <w:sz w:val="24"/>
                <w:szCs w:val="24"/>
              </w:rPr>
            </w:pPr>
          </w:p>
        </w:tc>
      </w:tr>
      <w:tr w:rsidR="004D6FB3" w:rsidRPr="00C07B2E" w14:paraId="61626237" w14:textId="77777777" w:rsidTr="00CD5E09">
        <w:tc>
          <w:tcPr>
            <w:tcW w:w="8900" w:type="dxa"/>
          </w:tcPr>
          <w:p w14:paraId="2FC3F8D7" w14:textId="77777777" w:rsidR="004D6FB3" w:rsidRPr="004D6FB3" w:rsidRDefault="004D6FB3" w:rsidP="00CD5E09">
            <w:pPr>
              <w:pStyle w:val="table-text-0"/>
              <w:rPr>
                <w:sz w:val="24"/>
                <w:szCs w:val="24"/>
              </w:rPr>
            </w:pPr>
            <w:r w:rsidRPr="004D6FB3">
              <w:rPr>
                <w:sz w:val="24"/>
                <w:szCs w:val="24"/>
              </w:rPr>
              <w:t>Транзиторная ишемическая атака или острое нарушение мозгового кровообращения в анамнезе</w:t>
            </w:r>
          </w:p>
        </w:tc>
        <w:tc>
          <w:tcPr>
            <w:tcW w:w="1195" w:type="dxa"/>
          </w:tcPr>
          <w:p w14:paraId="0C2E2587" w14:textId="77777777" w:rsidR="004D6FB3" w:rsidRPr="004D6FB3" w:rsidRDefault="004D6FB3" w:rsidP="00CD5E09">
            <w:pPr>
              <w:pStyle w:val="table-text-0"/>
              <w:rPr>
                <w:rFonts w:eastAsia="SimSun"/>
                <w:sz w:val="24"/>
                <w:szCs w:val="24"/>
              </w:rPr>
            </w:pPr>
            <w:r w:rsidRPr="004D6FB3">
              <w:rPr>
                <w:rFonts w:eastAsia="SimSun"/>
                <w:sz w:val="24"/>
                <w:szCs w:val="24"/>
              </w:rPr>
              <w:t>1</w:t>
            </w:r>
          </w:p>
        </w:tc>
      </w:tr>
      <w:tr w:rsidR="004D6FB3" w:rsidRPr="00C07B2E" w14:paraId="05134880" w14:textId="77777777" w:rsidTr="00CD5E09">
        <w:tc>
          <w:tcPr>
            <w:tcW w:w="8900" w:type="dxa"/>
          </w:tcPr>
          <w:p w14:paraId="165EBE56" w14:textId="77777777" w:rsidR="004D6FB3" w:rsidRPr="004D6FB3" w:rsidRDefault="004D6FB3" w:rsidP="00CD5E09">
            <w:pPr>
              <w:pStyle w:val="table-head-left"/>
              <w:rPr>
                <w:sz w:val="24"/>
                <w:szCs w:val="24"/>
              </w:rPr>
            </w:pPr>
            <w:r w:rsidRPr="004D6FB3">
              <w:rPr>
                <w:sz w:val="24"/>
                <w:szCs w:val="24"/>
              </w:rPr>
              <w:t>Психический статус</w:t>
            </w:r>
          </w:p>
        </w:tc>
        <w:tc>
          <w:tcPr>
            <w:tcW w:w="1195" w:type="dxa"/>
          </w:tcPr>
          <w:p w14:paraId="4BB8A15D" w14:textId="77777777" w:rsidR="004D6FB3" w:rsidRPr="004D6FB3" w:rsidRDefault="004D6FB3" w:rsidP="00CD5E09">
            <w:pPr>
              <w:pStyle w:val="table-head-left"/>
              <w:rPr>
                <w:rFonts w:eastAsia="SimSun"/>
                <w:sz w:val="24"/>
                <w:szCs w:val="24"/>
              </w:rPr>
            </w:pPr>
          </w:p>
        </w:tc>
      </w:tr>
      <w:tr w:rsidR="004D6FB3" w:rsidRPr="00C07B2E" w14:paraId="070E71CC" w14:textId="77777777" w:rsidTr="00CD5E09">
        <w:tc>
          <w:tcPr>
            <w:tcW w:w="8900" w:type="dxa"/>
          </w:tcPr>
          <w:p w14:paraId="4FD11690" w14:textId="77777777" w:rsidR="004D6FB3" w:rsidRPr="004D6FB3" w:rsidRDefault="004D6FB3" w:rsidP="00CD5E09">
            <w:pPr>
              <w:pStyle w:val="table-text-0"/>
              <w:rPr>
                <w:sz w:val="24"/>
                <w:szCs w:val="24"/>
              </w:rPr>
            </w:pPr>
            <w:r w:rsidRPr="004D6FB3">
              <w:rPr>
                <w:sz w:val="24"/>
                <w:szCs w:val="24"/>
              </w:rPr>
              <w:t>Депрессия или тревога, требующие консультации психиатра или лечения</w:t>
            </w:r>
          </w:p>
        </w:tc>
        <w:tc>
          <w:tcPr>
            <w:tcW w:w="1195" w:type="dxa"/>
          </w:tcPr>
          <w:p w14:paraId="235B77C4" w14:textId="77777777" w:rsidR="004D6FB3" w:rsidRPr="004D6FB3" w:rsidRDefault="004D6FB3" w:rsidP="00CD5E09">
            <w:pPr>
              <w:pStyle w:val="table-text-0"/>
              <w:rPr>
                <w:rFonts w:eastAsia="SimSun"/>
                <w:sz w:val="24"/>
                <w:szCs w:val="24"/>
              </w:rPr>
            </w:pPr>
            <w:r w:rsidRPr="004D6FB3">
              <w:rPr>
                <w:rFonts w:eastAsia="SimSun"/>
                <w:sz w:val="24"/>
                <w:szCs w:val="24"/>
              </w:rPr>
              <w:t>1</w:t>
            </w:r>
          </w:p>
        </w:tc>
      </w:tr>
      <w:tr w:rsidR="004D6FB3" w:rsidRPr="00C07B2E" w14:paraId="0A3DB1BC" w14:textId="77777777" w:rsidTr="00CD5E09">
        <w:tc>
          <w:tcPr>
            <w:tcW w:w="8900" w:type="dxa"/>
          </w:tcPr>
          <w:p w14:paraId="50305F8C" w14:textId="77777777" w:rsidR="004D6FB3" w:rsidRPr="004D6FB3" w:rsidRDefault="004D6FB3" w:rsidP="00CD5E09">
            <w:pPr>
              <w:pStyle w:val="table-head-left"/>
              <w:rPr>
                <w:sz w:val="24"/>
                <w:szCs w:val="24"/>
              </w:rPr>
            </w:pPr>
            <w:r w:rsidRPr="004D6FB3">
              <w:rPr>
                <w:sz w:val="24"/>
                <w:szCs w:val="24"/>
              </w:rPr>
              <w:t>Мочевыделительная система</w:t>
            </w:r>
          </w:p>
        </w:tc>
        <w:tc>
          <w:tcPr>
            <w:tcW w:w="1195" w:type="dxa"/>
          </w:tcPr>
          <w:p w14:paraId="6ACE5FCA" w14:textId="77777777" w:rsidR="004D6FB3" w:rsidRPr="004D6FB3" w:rsidRDefault="004D6FB3" w:rsidP="00CD5E09">
            <w:pPr>
              <w:pStyle w:val="table-head-left"/>
              <w:rPr>
                <w:rFonts w:eastAsia="SimSun"/>
                <w:sz w:val="24"/>
                <w:szCs w:val="24"/>
              </w:rPr>
            </w:pPr>
          </w:p>
        </w:tc>
      </w:tr>
      <w:tr w:rsidR="004D6FB3" w:rsidRPr="00C07B2E" w14:paraId="185A9C9F" w14:textId="77777777" w:rsidTr="00CD5E09">
        <w:trPr>
          <w:trHeight w:val="370"/>
        </w:trPr>
        <w:tc>
          <w:tcPr>
            <w:tcW w:w="8900" w:type="dxa"/>
          </w:tcPr>
          <w:p w14:paraId="7BD83BC1" w14:textId="77777777" w:rsidR="004D6FB3" w:rsidRPr="004D6FB3" w:rsidRDefault="004D6FB3" w:rsidP="00CD5E09">
            <w:pPr>
              <w:pStyle w:val="table-text-0"/>
              <w:rPr>
                <w:sz w:val="24"/>
                <w:szCs w:val="24"/>
              </w:rPr>
            </w:pPr>
            <w:r w:rsidRPr="004D6FB3">
              <w:rPr>
                <w:sz w:val="24"/>
                <w:szCs w:val="24"/>
              </w:rPr>
              <w:t>Концентрация креатинина сыворотки &gt; 176 мкмоль/л, диализ или почечный трансплантат</w:t>
            </w:r>
          </w:p>
        </w:tc>
        <w:tc>
          <w:tcPr>
            <w:tcW w:w="1195" w:type="dxa"/>
          </w:tcPr>
          <w:p w14:paraId="31795FBD" w14:textId="77777777" w:rsidR="004D6FB3" w:rsidRPr="004D6FB3" w:rsidRDefault="004D6FB3" w:rsidP="00CD5E09">
            <w:pPr>
              <w:pStyle w:val="table-text-0"/>
              <w:rPr>
                <w:rFonts w:eastAsia="SimSun"/>
                <w:sz w:val="24"/>
                <w:szCs w:val="24"/>
              </w:rPr>
            </w:pPr>
            <w:r w:rsidRPr="004D6FB3">
              <w:rPr>
                <w:sz w:val="24"/>
                <w:szCs w:val="24"/>
              </w:rPr>
              <w:t>2</w:t>
            </w:r>
          </w:p>
        </w:tc>
      </w:tr>
      <w:tr w:rsidR="004D6FB3" w:rsidRPr="00C07B2E" w14:paraId="106FB602" w14:textId="77777777" w:rsidTr="00CD5E09">
        <w:tc>
          <w:tcPr>
            <w:tcW w:w="8900" w:type="dxa"/>
          </w:tcPr>
          <w:p w14:paraId="673733C3" w14:textId="77777777" w:rsidR="004D6FB3" w:rsidRPr="004D6FB3" w:rsidRDefault="004D6FB3" w:rsidP="00CD5E09">
            <w:pPr>
              <w:pStyle w:val="table-head-left"/>
              <w:rPr>
                <w:sz w:val="24"/>
                <w:szCs w:val="24"/>
              </w:rPr>
            </w:pPr>
            <w:r w:rsidRPr="004D6FB3">
              <w:rPr>
                <w:sz w:val="24"/>
                <w:szCs w:val="24"/>
              </w:rPr>
              <w:t>Системные заболевания</w:t>
            </w:r>
          </w:p>
        </w:tc>
        <w:tc>
          <w:tcPr>
            <w:tcW w:w="1195" w:type="dxa"/>
          </w:tcPr>
          <w:p w14:paraId="4BC99BED" w14:textId="77777777" w:rsidR="004D6FB3" w:rsidRPr="004D6FB3" w:rsidRDefault="004D6FB3" w:rsidP="00CD5E09">
            <w:pPr>
              <w:pStyle w:val="table-head-left"/>
              <w:rPr>
                <w:rFonts w:eastAsia="SimSun"/>
                <w:sz w:val="24"/>
                <w:szCs w:val="24"/>
              </w:rPr>
            </w:pPr>
          </w:p>
        </w:tc>
      </w:tr>
      <w:tr w:rsidR="004D6FB3" w:rsidRPr="00C07B2E" w14:paraId="405904D3" w14:textId="77777777" w:rsidTr="00CD5E09">
        <w:tc>
          <w:tcPr>
            <w:tcW w:w="8900" w:type="dxa"/>
          </w:tcPr>
          <w:p w14:paraId="28A61536" w14:textId="77777777" w:rsidR="004D6FB3" w:rsidRPr="004D6FB3" w:rsidRDefault="004D6FB3" w:rsidP="00CD5E09">
            <w:pPr>
              <w:pStyle w:val="table-text-0"/>
              <w:rPr>
                <w:sz w:val="24"/>
                <w:szCs w:val="24"/>
              </w:rPr>
            </w:pPr>
            <w:r w:rsidRPr="004D6FB3">
              <w:rPr>
                <w:sz w:val="24"/>
                <w:szCs w:val="24"/>
              </w:rPr>
              <w:t>Системная красная волчанка, ревматоидный артрит, полимиозит и другие болезни соединительной ткани, требующие лечения</w:t>
            </w:r>
          </w:p>
        </w:tc>
        <w:tc>
          <w:tcPr>
            <w:tcW w:w="1195" w:type="dxa"/>
          </w:tcPr>
          <w:p w14:paraId="06889216" w14:textId="77777777" w:rsidR="004D6FB3" w:rsidRPr="004D6FB3" w:rsidRDefault="004D6FB3" w:rsidP="00CD5E09">
            <w:pPr>
              <w:pStyle w:val="table-text-0"/>
              <w:rPr>
                <w:rFonts w:eastAsia="SimSun"/>
                <w:sz w:val="24"/>
                <w:szCs w:val="24"/>
              </w:rPr>
            </w:pPr>
            <w:r w:rsidRPr="004D6FB3">
              <w:rPr>
                <w:rFonts w:eastAsia="SimSun"/>
                <w:sz w:val="24"/>
                <w:szCs w:val="24"/>
              </w:rPr>
              <w:t>2</w:t>
            </w:r>
          </w:p>
        </w:tc>
      </w:tr>
      <w:tr w:rsidR="004D6FB3" w:rsidRPr="00C07B2E" w14:paraId="48BCBE5F" w14:textId="77777777" w:rsidTr="00CD5E09">
        <w:tc>
          <w:tcPr>
            <w:tcW w:w="8900" w:type="dxa"/>
          </w:tcPr>
          <w:p w14:paraId="321ADA49" w14:textId="77777777" w:rsidR="004D6FB3" w:rsidRPr="004D6FB3" w:rsidRDefault="004D6FB3" w:rsidP="00CD5E09">
            <w:pPr>
              <w:pStyle w:val="table-head-left"/>
              <w:rPr>
                <w:sz w:val="24"/>
                <w:szCs w:val="24"/>
              </w:rPr>
            </w:pPr>
            <w:r w:rsidRPr="004D6FB3">
              <w:rPr>
                <w:sz w:val="24"/>
                <w:szCs w:val="24"/>
              </w:rPr>
              <w:t>Инфекции</w:t>
            </w:r>
          </w:p>
        </w:tc>
        <w:tc>
          <w:tcPr>
            <w:tcW w:w="1195" w:type="dxa"/>
          </w:tcPr>
          <w:p w14:paraId="4B34EEDF" w14:textId="77777777" w:rsidR="004D6FB3" w:rsidRPr="004D6FB3" w:rsidRDefault="004D6FB3" w:rsidP="00CD5E09">
            <w:pPr>
              <w:pStyle w:val="table-head-left"/>
              <w:rPr>
                <w:rFonts w:eastAsia="SimSun"/>
                <w:sz w:val="24"/>
                <w:szCs w:val="24"/>
              </w:rPr>
            </w:pPr>
          </w:p>
        </w:tc>
      </w:tr>
      <w:tr w:rsidR="004D6FB3" w:rsidRPr="00C07B2E" w14:paraId="0887EB64" w14:textId="77777777" w:rsidTr="00CD5E09">
        <w:tc>
          <w:tcPr>
            <w:tcW w:w="8900" w:type="dxa"/>
          </w:tcPr>
          <w:p w14:paraId="0BE028CB" w14:textId="77777777" w:rsidR="004D6FB3" w:rsidRPr="004D6FB3" w:rsidRDefault="004D6FB3" w:rsidP="00CD5E09">
            <w:pPr>
              <w:pStyle w:val="table-text-0"/>
              <w:rPr>
                <w:sz w:val="24"/>
                <w:szCs w:val="24"/>
              </w:rPr>
            </w:pPr>
            <w:r w:rsidRPr="004D6FB3">
              <w:rPr>
                <w:sz w:val="24"/>
                <w:szCs w:val="24"/>
              </w:rPr>
              <w:t>Инфекционные осложнения, требующие терапии до и после трансплантации</w:t>
            </w:r>
          </w:p>
        </w:tc>
        <w:tc>
          <w:tcPr>
            <w:tcW w:w="1195" w:type="dxa"/>
          </w:tcPr>
          <w:p w14:paraId="3189A4E6" w14:textId="77777777" w:rsidR="004D6FB3" w:rsidRPr="004D6FB3" w:rsidRDefault="004D6FB3" w:rsidP="00CD5E09">
            <w:pPr>
              <w:pStyle w:val="table-text-0"/>
              <w:rPr>
                <w:rFonts w:eastAsia="SimSun"/>
                <w:sz w:val="24"/>
                <w:szCs w:val="24"/>
              </w:rPr>
            </w:pPr>
            <w:r w:rsidRPr="004D6FB3">
              <w:rPr>
                <w:rFonts w:eastAsia="SimSun"/>
                <w:sz w:val="24"/>
                <w:szCs w:val="24"/>
              </w:rPr>
              <w:t>1</w:t>
            </w:r>
          </w:p>
        </w:tc>
      </w:tr>
      <w:tr w:rsidR="004D6FB3" w:rsidRPr="00C07B2E" w14:paraId="0223AECC" w14:textId="77777777" w:rsidTr="00CD5E09">
        <w:tc>
          <w:tcPr>
            <w:tcW w:w="8900" w:type="dxa"/>
          </w:tcPr>
          <w:p w14:paraId="615E1B04" w14:textId="77777777" w:rsidR="004D6FB3" w:rsidRPr="004D6FB3" w:rsidRDefault="004D6FB3" w:rsidP="00CD5E09">
            <w:pPr>
              <w:pStyle w:val="table-head-left"/>
              <w:rPr>
                <w:sz w:val="24"/>
                <w:szCs w:val="24"/>
              </w:rPr>
            </w:pPr>
            <w:r w:rsidRPr="004D6FB3">
              <w:rPr>
                <w:sz w:val="24"/>
                <w:szCs w:val="24"/>
              </w:rPr>
              <w:t>Онкологические заболевания</w:t>
            </w:r>
          </w:p>
        </w:tc>
        <w:tc>
          <w:tcPr>
            <w:tcW w:w="1195" w:type="dxa"/>
          </w:tcPr>
          <w:p w14:paraId="723F516D" w14:textId="77777777" w:rsidR="004D6FB3" w:rsidRPr="004D6FB3" w:rsidRDefault="004D6FB3" w:rsidP="00CD5E09">
            <w:pPr>
              <w:pStyle w:val="table-head-left"/>
              <w:rPr>
                <w:rFonts w:eastAsia="SimSun"/>
                <w:sz w:val="24"/>
                <w:szCs w:val="24"/>
              </w:rPr>
            </w:pPr>
          </w:p>
        </w:tc>
      </w:tr>
      <w:tr w:rsidR="004D6FB3" w:rsidRPr="00C07B2E" w14:paraId="0B6FA279" w14:textId="77777777" w:rsidTr="00CD5E09">
        <w:tc>
          <w:tcPr>
            <w:tcW w:w="8900" w:type="dxa"/>
          </w:tcPr>
          <w:p w14:paraId="2DF586AD" w14:textId="77777777" w:rsidR="004D6FB3" w:rsidRPr="004D6FB3" w:rsidRDefault="004D6FB3" w:rsidP="00CD5E09">
            <w:pPr>
              <w:pStyle w:val="table-text-0"/>
              <w:rPr>
                <w:sz w:val="24"/>
                <w:szCs w:val="24"/>
              </w:rPr>
            </w:pPr>
            <w:r w:rsidRPr="004D6FB3">
              <w:rPr>
                <w:sz w:val="24"/>
                <w:szCs w:val="24"/>
              </w:rPr>
              <w:t>Любые опухоли в анамнезе, кроме рака кожи (исключая меланому)</w:t>
            </w:r>
          </w:p>
        </w:tc>
        <w:tc>
          <w:tcPr>
            <w:tcW w:w="1195" w:type="dxa"/>
          </w:tcPr>
          <w:p w14:paraId="3F3C6807" w14:textId="77777777" w:rsidR="004D6FB3" w:rsidRPr="004D6FB3" w:rsidRDefault="004D6FB3" w:rsidP="00CD5E09">
            <w:pPr>
              <w:pStyle w:val="table-text-0"/>
              <w:rPr>
                <w:rFonts w:eastAsia="SimSun"/>
                <w:sz w:val="24"/>
                <w:szCs w:val="24"/>
              </w:rPr>
            </w:pPr>
            <w:r w:rsidRPr="004D6FB3">
              <w:rPr>
                <w:rFonts w:eastAsia="SimSun"/>
                <w:sz w:val="24"/>
                <w:szCs w:val="24"/>
              </w:rPr>
              <w:t>3</w:t>
            </w:r>
          </w:p>
        </w:tc>
      </w:tr>
    </w:tbl>
    <w:p w14:paraId="54B8ABD6" w14:textId="77777777" w:rsidR="004D6FB3" w:rsidRPr="00C07B2E" w:rsidRDefault="004D6FB3" w:rsidP="004D6FB3">
      <w:pPr>
        <w:rPr>
          <w:sz w:val="28"/>
          <w:szCs w:val="28"/>
          <w:lang w:val="en-US"/>
        </w:rPr>
      </w:pPr>
    </w:p>
    <w:p w14:paraId="0C0CDBFA" w14:textId="77777777" w:rsidR="007837F7" w:rsidRDefault="007837F7" w:rsidP="008C42FB">
      <w:pPr>
        <w:shd w:val="clear" w:color="auto" w:fill="FFFFFF"/>
        <w:rPr>
          <w:b/>
          <w:szCs w:val="24"/>
        </w:rPr>
      </w:pPr>
    </w:p>
    <w:sectPr w:rsidR="007837F7" w:rsidSect="0087392F">
      <w:footerReference w:type="default" r:id="rId31"/>
      <w:pgSz w:w="11909" w:h="16834"/>
      <w:pgMar w:top="993" w:right="1134" w:bottom="1134" w:left="1417" w:header="709" w:footer="709" w:gutter="0"/>
      <w:cols w:space="6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A8CD0BF" w14:textId="77777777" w:rsidR="00B6254F" w:rsidRDefault="00B6254F" w:rsidP="00D9752F">
      <w:r>
        <w:separator/>
      </w:r>
    </w:p>
  </w:endnote>
  <w:endnote w:type="continuationSeparator" w:id="0">
    <w:p w14:paraId="4E643171" w14:textId="77777777" w:rsidR="00B6254F" w:rsidRDefault="00B6254F" w:rsidP="00D9752F">
      <w:r>
        <w:continuationSeparator/>
      </w:r>
    </w:p>
  </w:endnote>
  <w:endnote w:type="continuationNotice" w:id="1">
    <w:p w14:paraId="74CA3A86" w14:textId="77777777" w:rsidR="00B6254F" w:rsidRDefault="00B6254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1"/>
    <w:family w:val="roman"/>
    <w:pitch w:val="variable"/>
  </w:font>
  <w:font w:name="Wingdings 2">
    <w:panose1 w:val="05020102010507070707"/>
    <w:charset w:val="02"/>
    <w:family w:val="roman"/>
    <w:pitch w:val="variable"/>
    <w:sig w:usb0="00000000" w:usb1="10000000" w:usb2="00000000" w:usb3="00000000" w:csb0="80000000" w:csb1="00000000"/>
  </w:font>
  <w:font w:name="Cambria Math">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Liberation Sans">
    <w:altName w:val="Arial"/>
    <w:charset w:val="01"/>
    <w:family w:val="roman"/>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Sans">
    <w:panose1 w:val="00000000000000000000"/>
    <w:charset w:val="00"/>
    <w:family w:val="roman"/>
    <w:notTrueType/>
    <w:pitch w:val="default"/>
    <w:sig w:usb0="00000003" w:usb1="00000000" w:usb2="00000000" w:usb3="00000000" w:csb0="00000001" w:csb1="00000000"/>
  </w:font>
  <w:font w:name="TimesNewRomanPS-ItalicMT">
    <w:altName w:val="Times New Roman"/>
    <w:charset w:val="00"/>
    <w:family w:val="roman"/>
    <w:pitch w:val="variable"/>
    <w:sig w:usb0="E0000AFF" w:usb1="00007843" w:usb2="00000001" w:usb3="00000000" w:csb0="000001BF" w:csb1="00000000"/>
  </w:font>
  <w:font w:name="OpenSymbol">
    <w:altName w:val="Arial Unicode MS"/>
    <w:charset w:val="00"/>
    <w:family w:val="auto"/>
    <w:pitch w:val="variable"/>
    <w:sig w:usb0="800000AF" w:usb1="1807ECEA" w:usb2="00000010" w:usb3="00000000" w:csb0="00020001" w:csb1="00000000"/>
  </w:font>
  <w:font w:name="Palatino Linotype">
    <w:panose1 w:val="02040502050505030304"/>
    <w:charset w:val="CC"/>
    <w:family w:val="roman"/>
    <w:pitch w:val="variable"/>
    <w:sig w:usb0="E0000287" w:usb1="40000013" w:usb2="00000000" w:usb3="00000000" w:csb0="0000019F" w:csb1="00000000"/>
  </w:font>
  <w:font w:name="Helvetica Neue">
    <w:altName w:val="﷽﷽﷽﷽﷽﷽﷽﷽a Neue"/>
    <w:charset w:val="00"/>
    <w:family w:val="auto"/>
    <w:pitch w:val="variable"/>
    <w:sig w:usb0="E50002FF" w:usb1="500079DB" w:usb2="00000010" w:usb3="00000000" w:csb0="00000001" w:csb1="00000000"/>
  </w:font>
  <w:font w:name="GalsLightC">
    <w:altName w:val="MS Gothic"/>
    <w:panose1 w:val="00000000000000000000"/>
    <w:charset w:val="80"/>
    <w:family w:val="auto"/>
    <w:notTrueType/>
    <w:pitch w:val="default"/>
    <w:sig w:usb0="00000000" w:usb1="08070000" w:usb2="00000010" w:usb3="00000000" w:csb0="00020000" w:csb1="00000000"/>
  </w:font>
  <w:font w:name="TimesNewRomanPSMT">
    <w:altName w:val="MS Gothic"/>
    <w:panose1 w:val="00000000000000000000"/>
    <w:charset w:val="80"/>
    <w:family w:val="auto"/>
    <w:notTrueType/>
    <w:pitch w:val="default"/>
    <w:sig w:usb0="00000001" w:usb1="08070000" w:usb2="00000010" w:usb3="00000000" w:csb0="00020000" w:csb1="00000000"/>
  </w:font>
  <w:font w:name="TimesNewRoman">
    <w:altName w:val="Arial Unicode MS"/>
    <w:panose1 w:val="00000000000000000000"/>
    <w:charset w:val="80"/>
    <w:family w:val="auto"/>
    <w:notTrueType/>
    <w:pitch w:val="default"/>
    <w:sig w:usb0="00000000" w:usb1="08070000" w:usb2="00000010" w:usb3="00000000" w:csb0="00020000" w:csb1="00000000"/>
  </w:font>
  <w:font w:name="+mj-ea">
    <w:panose1 w:val="00000000000000000000"/>
    <w:charset w:val="00"/>
    <w:family w:val="roman"/>
    <w:notTrueType/>
    <w:pitch w:val="default"/>
  </w:font>
  <w:font w:name="ＭＳ 明朝 (Основной текст темы (ази">
    <w:altName w:val="MS Mincho"/>
    <w:charset w:val="00"/>
    <w:family w:val="auto"/>
    <w:pitch w:val="default"/>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1AD06D" w14:textId="77777777" w:rsidR="009E240E" w:rsidRDefault="009E240E">
    <w:pPr>
      <w:pStyle w:val="af4"/>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B184CC" w14:textId="77777777" w:rsidR="009E240E" w:rsidRDefault="009E240E" w:rsidP="00D9752F">
    <w:pPr>
      <w:pStyle w:val="af4"/>
      <w:jc w:val="center"/>
    </w:pPr>
    <w:r>
      <w:fldChar w:fldCharType="begin"/>
    </w:r>
    <w:r>
      <w:instrText xml:space="preserve"> PAGE   \* MERGEFORMAT </w:instrText>
    </w:r>
    <w:r>
      <w:fldChar w:fldCharType="separate"/>
    </w:r>
    <w:r w:rsidR="007A3AF2">
      <w:rPr>
        <w:noProof/>
      </w:rPr>
      <w:t>510</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7927505"/>
      <w:docPartObj>
        <w:docPartGallery w:val="Page Numbers (Bottom of Page)"/>
        <w:docPartUnique/>
      </w:docPartObj>
    </w:sdtPr>
    <w:sdtEndPr/>
    <w:sdtContent>
      <w:p w14:paraId="488CC527" w14:textId="177D66EB" w:rsidR="009E240E" w:rsidRDefault="009E240E">
        <w:pPr>
          <w:pStyle w:val="af4"/>
          <w:jc w:val="center"/>
        </w:pPr>
        <w:r>
          <w:fldChar w:fldCharType="begin"/>
        </w:r>
        <w:r>
          <w:instrText>PAGE   \* MERGEFORMAT</w:instrText>
        </w:r>
        <w:r>
          <w:fldChar w:fldCharType="separate"/>
        </w:r>
        <w:r w:rsidR="007A3AF2">
          <w:rPr>
            <w:noProof/>
          </w:rPr>
          <w:t>262</w:t>
        </w:r>
        <w:r>
          <w:fldChar w:fldCharType="end"/>
        </w:r>
      </w:p>
    </w:sdtContent>
  </w:sdt>
  <w:p w14:paraId="30FF2F06" w14:textId="77777777" w:rsidR="009E240E" w:rsidRDefault="009E240E">
    <w:pPr>
      <w:pStyle w:val="af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1541DF" w14:textId="77777777" w:rsidR="009E240E" w:rsidRDefault="009E240E">
    <w:pPr>
      <w:pStyle w:val="af4"/>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CC2F4E" w14:textId="77777777" w:rsidR="009E240E" w:rsidRDefault="009E240E">
    <w:pPr>
      <w:pStyle w:val="af4"/>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8358C4" w14:textId="77777777" w:rsidR="009E240E" w:rsidRDefault="009E240E">
    <w:pPr>
      <w:pStyle w:val="af4"/>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10207B" w14:textId="77777777" w:rsidR="009E240E" w:rsidRDefault="009E240E">
    <w:pPr>
      <w:pStyle w:val="af4"/>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BC2B3F" w14:textId="77777777" w:rsidR="009E240E" w:rsidRDefault="009E240E">
    <w:pPr>
      <w:pStyle w:val="af4"/>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161217" w14:textId="77777777" w:rsidR="009E240E" w:rsidRDefault="009E240E">
    <w:pPr>
      <w:pStyle w:val="af4"/>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6116D5" w14:textId="77777777" w:rsidR="009E240E" w:rsidRDefault="009E240E">
    <w:pPr>
      <w:pStyle w:val="af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FA85368" w14:textId="77777777" w:rsidR="00B6254F" w:rsidRDefault="00B6254F" w:rsidP="00D9752F">
      <w:r>
        <w:separator/>
      </w:r>
    </w:p>
  </w:footnote>
  <w:footnote w:type="continuationSeparator" w:id="0">
    <w:p w14:paraId="275266BE" w14:textId="77777777" w:rsidR="00B6254F" w:rsidRDefault="00B6254F" w:rsidP="00D9752F">
      <w:r>
        <w:continuationSeparator/>
      </w:r>
    </w:p>
  </w:footnote>
  <w:footnote w:type="continuationNotice" w:id="1">
    <w:p w14:paraId="666BDD59" w14:textId="77777777" w:rsidR="00B6254F" w:rsidRDefault="00B6254F"/>
  </w:footnote>
  <w:footnote w:id="2">
    <w:p w14:paraId="7C1B0889" w14:textId="77777777" w:rsidR="009E240E" w:rsidRPr="00986B4F" w:rsidRDefault="009E240E">
      <w:pPr>
        <w:pStyle w:val="af7"/>
      </w:pPr>
      <w:r w:rsidRPr="00116C40">
        <w:rPr>
          <w:rStyle w:val="af9"/>
        </w:rPr>
        <w:footnoteRef/>
      </w:r>
      <w:r w:rsidRPr="00950F44">
        <w:t>Дни указаны относительно начала префазы терапии</w:t>
      </w:r>
      <w:r>
        <w:t>.</w:t>
      </w:r>
    </w:p>
  </w:footnote>
  <w:footnote w:id="3">
    <w:p w14:paraId="342357C5" w14:textId="77777777" w:rsidR="009E240E" w:rsidRDefault="009E240E">
      <w:pPr>
        <w:pStyle w:val="af7"/>
      </w:pPr>
      <w:r w:rsidRPr="00116C40">
        <w:rPr>
          <w:rStyle w:val="af9"/>
        </w:rPr>
        <w:footnoteRef/>
      </w:r>
      <w:r>
        <w:t xml:space="preserve"> </w:t>
      </w:r>
      <w:r w:rsidRPr="00950F44">
        <w:t>В зависимости от переносимости предыдущего курса дозы препаратов увеличиваются или уменьшаются на 20</w:t>
      </w:r>
      <w:r>
        <w:t xml:space="preserve"> %. </w:t>
      </w:r>
    </w:p>
  </w:footnote>
  <w:footnote w:id="4">
    <w:p w14:paraId="1DD3CFB0" w14:textId="77777777" w:rsidR="009E240E" w:rsidRPr="00611832" w:rsidRDefault="009E240E" w:rsidP="00304132">
      <w:pPr>
        <w:pStyle w:val="af7"/>
      </w:pPr>
      <w:r w:rsidRPr="00116C40">
        <w:rPr>
          <w:rStyle w:val="af9"/>
        </w:rPr>
        <w:footnoteRef/>
      </w:r>
      <w:r w:rsidRPr="00A9392D">
        <w:t xml:space="preserve"> </w:t>
      </w:r>
      <w:r w:rsidRPr="00A9392D">
        <w:rPr>
          <w:rFonts w:eastAsia="SimSun"/>
          <w:szCs w:val="24"/>
        </w:rPr>
        <w:t>Актуальность результатов исследований</w:t>
      </w:r>
      <w:r>
        <w:rPr>
          <w:rFonts w:eastAsia="SimSun"/>
          <w:szCs w:val="24"/>
        </w:rPr>
        <w:t> </w:t>
      </w:r>
      <w:r w:rsidRPr="00A9392D">
        <w:rPr>
          <w:rFonts w:eastAsia="SimSun"/>
          <w:szCs w:val="24"/>
        </w:rPr>
        <w:t>— 2 недели.</w:t>
      </w:r>
      <w:r>
        <w:rPr>
          <w:rFonts w:eastAsia="SimSun"/>
          <w:szCs w:val="24"/>
        </w:rPr>
        <w:t xml:space="preserve"> </w:t>
      </w:r>
    </w:p>
  </w:footnote>
  <w:footnote w:id="5">
    <w:p w14:paraId="61D36715" w14:textId="77777777" w:rsidR="009E240E" w:rsidRPr="00F2645D" w:rsidRDefault="009E240E" w:rsidP="00304132">
      <w:pPr>
        <w:pStyle w:val="af7"/>
      </w:pPr>
      <w:r w:rsidRPr="00116C40">
        <w:rPr>
          <w:rStyle w:val="af9"/>
        </w:rPr>
        <w:footnoteRef/>
      </w:r>
      <w:r w:rsidRPr="00A9392D">
        <w:t xml:space="preserve"> </w:t>
      </w:r>
      <w:r w:rsidRPr="00A9392D">
        <w:rPr>
          <w:rFonts w:eastAsia="SimSun"/>
          <w:szCs w:val="24"/>
        </w:rPr>
        <w:t>Актуальность результатов исследований</w:t>
      </w:r>
      <w:r>
        <w:rPr>
          <w:rFonts w:eastAsia="SimSun"/>
          <w:szCs w:val="24"/>
        </w:rPr>
        <w:t> </w:t>
      </w:r>
      <w:r w:rsidRPr="00A9392D">
        <w:rPr>
          <w:rFonts w:eastAsia="SimSun"/>
          <w:szCs w:val="24"/>
        </w:rPr>
        <w:t>— 2 недели.</w:t>
      </w:r>
    </w:p>
  </w:footnote>
  <w:footnote w:id="6">
    <w:p w14:paraId="062669CC" w14:textId="77777777" w:rsidR="009E240E" w:rsidRPr="00F2645D" w:rsidRDefault="009E240E" w:rsidP="00304132">
      <w:pPr>
        <w:pStyle w:val="af7"/>
      </w:pPr>
      <w:r w:rsidRPr="00116C40">
        <w:rPr>
          <w:rStyle w:val="af9"/>
        </w:rPr>
        <w:footnoteRef/>
      </w:r>
      <w:r w:rsidRPr="00A9392D">
        <w:t xml:space="preserve"> </w:t>
      </w:r>
      <w:r w:rsidRPr="00A9392D">
        <w:rPr>
          <w:rFonts w:eastAsia="SimSun"/>
          <w:szCs w:val="24"/>
        </w:rPr>
        <w:t>Актуальность результатов исследований</w:t>
      </w:r>
      <w:r>
        <w:rPr>
          <w:rFonts w:eastAsia="SimSun"/>
          <w:szCs w:val="24"/>
        </w:rPr>
        <w:t> </w:t>
      </w:r>
      <w:r w:rsidRPr="00A9392D">
        <w:rPr>
          <w:rFonts w:eastAsia="SimSun"/>
          <w:szCs w:val="24"/>
        </w:rPr>
        <w:t>— 2 недели.</w:t>
      </w:r>
    </w:p>
  </w:footnote>
  <w:footnote w:id="7">
    <w:p w14:paraId="0AB5706F" w14:textId="77777777" w:rsidR="009E240E" w:rsidRPr="00F2645D" w:rsidRDefault="009E240E" w:rsidP="00304132">
      <w:pPr>
        <w:pStyle w:val="af7"/>
      </w:pPr>
      <w:r w:rsidRPr="00116C40">
        <w:rPr>
          <w:rStyle w:val="af9"/>
        </w:rPr>
        <w:footnoteRef/>
      </w:r>
      <w:r w:rsidRPr="00A9392D">
        <w:t xml:space="preserve"> </w:t>
      </w:r>
      <w:r w:rsidRPr="00A9392D">
        <w:rPr>
          <w:rFonts w:eastAsia="SimSun"/>
          <w:szCs w:val="24"/>
        </w:rPr>
        <w:t>Актуальность результатов исследований</w:t>
      </w:r>
      <w:r>
        <w:rPr>
          <w:rFonts w:eastAsia="SimSun"/>
          <w:szCs w:val="24"/>
        </w:rPr>
        <w:t> </w:t>
      </w:r>
      <w:r w:rsidRPr="00A9392D">
        <w:rPr>
          <w:rFonts w:eastAsia="SimSun"/>
          <w:szCs w:val="24"/>
        </w:rPr>
        <w:t>— 2 недели.</w:t>
      </w:r>
    </w:p>
  </w:footnote>
  <w:footnote w:id="8">
    <w:p w14:paraId="6DA70413" w14:textId="77777777" w:rsidR="009E240E" w:rsidRPr="00611832" w:rsidRDefault="009E240E" w:rsidP="00304132">
      <w:pPr>
        <w:pStyle w:val="af7"/>
      </w:pPr>
      <w:r w:rsidRPr="00116C40">
        <w:rPr>
          <w:rStyle w:val="af9"/>
        </w:rPr>
        <w:footnoteRef/>
      </w:r>
      <w:r w:rsidRPr="00A9392D">
        <w:t xml:space="preserve"> </w:t>
      </w:r>
      <w:r w:rsidRPr="00A9392D">
        <w:rPr>
          <w:rFonts w:eastAsia="SimSun"/>
          <w:szCs w:val="24"/>
        </w:rPr>
        <w:t>Актуальность результатов исследований</w:t>
      </w:r>
      <w:r>
        <w:rPr>
          <w:rFonts w:eastAsia="SimSun"/>
          <w:szCs w:val="24"/>
        </w:rPr>
        <w:t> </w:t>
      </w:r>
      <w:r w:rsidRPr="00A9392D">
        <w:rPr>
          <w:rFonts w:eastAsia="SimSun"/>
          <w:szCs w:val="24"/>
        </w:rPr>
        <w:t>— 1 месяц.</w:t>
      </w:r>
      <w:r>
        <w:rPr>
          <w:rFonts w:eastAsia="SimSun"/>
          <w:szCs w:val="24"/>
        </w:rPr>
        <w:t xml:space="preserve"> </w:t>
      </w:r>
    </w:p>
  </w:footnote>
  <w:footnote w:id="9">
    <w:p w14:paraId="3B543E1F" w14:textId="77777777" w:rsidR="009E240E" w:rsidRPr="006155FD" w:rsidRDefault="009E240E" w:rsidP="00304132">
      <w:pPr>
        <w:pStyle w:val="af7"/>
      </w:pPr>
      <w:r w:rsidRPr="00116C40">
        <w:rPr>
          <w:rStyle w:val="af9"/>
        </w:rPr>
        <w:footnoteRef/>
      </w:r>
      <w:r w:rsidRPr="00A9392D">
        <w:t xml:space="preserve"> </w:t>
      </w:r>
      <w:r w:rsidRPr="00A9392D">
        <w:rPr>
          <w:rFonts w:eastAsia="SimSun"/>
          <w:szCs w:val="24"/>
        </w:rPr>
        <w:t>Актуальность результатов исследований</w:t>
      </w:r>
      <w:r>
        <w:rPr>
          <w:rFonts w:eastAsia="SimSun"/>
          <w:szCs w:val="24"/>
        </w:rPr>
        <w:t> </w:t>
      </w:r>
      <w:r w:rsidRPr="00A9392D">
        <w:rPr>
          <w:rFonts w:eastAsia="SimSun"/>
          <w:szCs w:val="24"/>
        </w:rPr>
        <w:t>— 1 месяц.</w:t>
      </w:r>
    </w:p>
  </w:footnote>
  <w:footnote w:id="10">
    <w:p w14:paraId="29DFF06C" w14:textId="77777777" w:rsidR="009E240E" w:rsidRPr="006155FD" w:rsidRDefault="009E240E" w:rsidP="00304132">
      <w:pPr>
        <w:pStyle w:val="af7"/>
      </w:pPr>
      <w:r w:rsidRPr="00116C40">
        <w:rPr>
          <w:rStyle w:val="af9"/>
        </w:rPr>
        <w:footnoteRef/>
      </w:r>
      <w:r w:rsidRPr="00A9392D">
        <w:t xml:space="preserve"> </w:t>
      </w:r>
      <w:r w:rsidRPr="00A9392D">
        <w:rPr>
          <w:rFonts w:eastAsia="SimSun"/>
          <w:szCs w:val="24"/>
        </w:rPr>
        <w:t>Актуальность результатов исследований</w:t>
      </w:r>
      <w:r>
        <w:rPr>
          <w:rFonts w:eastAsia="SimSun"/>
          <w:szCs w:val="24"/>
        </w:rPr>
        <w:t> </w:t>
      </w:r>
      <w:r w:rsidRPr="00A9392D">
        <w:rPr>
          <w:rFonts w:eastAsia="SimSun"/>
          <w:szCs w:val="24"/>
        </w:rPr>
        <w:t>— 1 месяц.</w:t>
      </w:r>
    </w:p>
  </w:footnote>
  <w:footnote w:id="11">
    <w:p w14:paraId="0F172BD0" w14:textId="77777777" w:rsidR="009E240E" w:rsidRPr="00F2645D" w:rsidRDefault="009E240E" w:rsidP="00304132">
      <w:pPr>
        <w:pStyle w:val="af7"/>
      </w:pPr>
      <w:r w:rsidRPr="00116C40">
        <w:rPr>
          <w:rStyle w:val="af9"/>
        </w:rPr>
        <w:footnoteRef/>
      </w:r>
      <w:r w:rsidRPr="00A9392D">
        <w:t xml:space="preserve"> </w:t>
      </w:r>
      <w:r w:rsidRPr="00A9392D">
        <w:rPr>
          <w:rFonts w:eastAsia="SimSun"/>
          <w:szCs w:val="24"/>
        </w:rPr>
        <w:t>Актуальность результатов исследований</w:t>
      </w:r>
      <w:r>
        <w:rPr>
          <w:rFonts w:eastAsia="SimSun"/>
          <w:szCs w:val="24"/>
        </w:rPr>
        <w:t> </w:t>
      </w:r>
      <w:r w:rsidRPr="00A9392D">
        <w:rPr>
          <w:rFonts w:eastAsia="SimSun"/>
          <w:szCs w:val="24"/>
        </w:rPr>
        <w:t>— 2 недели.</w:t>
      </w:r>
    </w:p>
  </w:footnote>
  <w:footnote w:id="12">
    <w:p w14:paraId="06F89678" w14:textId="77777777" w:rsidR="009E240E" w:rsidRPr="006155FD" w:rsidRDefault="009E240E" w:rsidP="00304132">
      <w:pPr>
        <w:pStyle w:val="af7"/>
      </w:pPr>
      <w:r w:rsidRPr="00116C40">
        <w:rPr>
          <w:rStyle w:val="af9"/>
        </w:rPr>
        <w:footnoteRef/>
      </w:r>
      <w:r w:rsidRPr="00A9392D">
        <w:t xml:space="preserve"> </w:t>
      </w:r>
      <w:r w:rsidRPr="00A9392D">
        <w:rPr>
          <w:rFonts w:eastAsia="SimSun"/>
          <w:szCs w:val="24"/>
        </w:rPr>
        <w:t>Актуальность результатов исследований</w:t>
      </w:r>
      <w:r>
        <w:rPr>
          <w:rFonts w:eastAsia="SimSun"/>
          <w:szCs w:val="24"/>
        </w:rPr>
        <w:t> </w:t>
      </w:r>
      <w:r w:rsidRPr="00A9392D">
        <w:rPr>
          <w:rFonts w:eastAsia="SimSun"/>
          <w:szCs w:val="24"/>
        </w:rPr>
        <w:t>— 1 месяц.</w:t>
      </w:r>
    </w:p>
  </w:footnote>
  <w:footnote w:id="13">
    <w:p w14:paraId="09B12D26" w14:textId="77777777" w:rsidR="009E240E" w:rsidRPr="006155FD" w:rsidRDefault="009E240E" w:rsidP="00304132">
      <w:pPr>
        <w:pStyle w:val="af7"/>
      </w:pPr>
      <w:r w:rsidRPr="00116C40">
        <w:rPr>
          <w:rStyle w:val="af9"/>
        </w:rPr>
        <w:footnoteRef/>
      </w:r>
      <w:r w:rsidRPr="00A9392D">
        <w:t xml:space="preserve"> </w:t>
      </w:r>
      <w:r w:rsidRPr="00A9392D">
        <w:rPr>
          <w:rFonts w:eastAsia="SimSun"/>
          <w:szCs w:val="24"/>
        </w:rPr>
        <w:t>Актуальность результатов исследований</w:t>
      </w:r>
      <w:r>
        <w:rPr>
          <w:rFonts w:eastAsia="SimSun"/>
          <w:szCs w:val="24"/>
        </w:rPr>
        <w:t> </w:t>
      </w:r>
      <w:r w:rsidRPr="00A9392D">
        <w:rPr>
          <w:rFonts w:eastAsia="SimSun"/>
          <w:szCs w:val="24"/>
        </w:rPr>
        <w:t>— 1 месяц.</w:t>
      </w:r>
    </w:p>
  </w:footnote>
  <w:footnote w:id="14">
    <w:p w14:paraId="6D1DBD14" w14:textId="77777777" w:rsidR="009E240E" w:rsidRPr="006155FD" w:rsidRDefault="009E240E" w:rsidP="00304132">
      <w:pPr>
        <w:pStyle w:val="af7"/>
      </w:pPr>
      <w:r w:rsidRPr="00116C40">
        <w:rPr>
          <w:rStyle w:val="af9"/>
        </w:rPr>
        <w:footnoteRef/>
      </w:r>
      <w:r w:rsidRPr="00A9392D">
        <w:t xml:space="preserve"> </w:t>
      </w:r>
      <w:r w:rsidRPr="00A9392D">
        <w:rPr>
          <w:rFonts w:eastAsia="SimSun"/>
          <w:szCs w:val="24"/>
        </w:rPr>
        <w:t>Актуальность результатов исследований</w:t>
      </w:r>
      <w:r>
        <w:rPr>
          <w:rFonts w:eastAsia="SimSun"/>
          <w:szCs w:val="24"/>
        </w:rPr>
        <w:t> </w:t>
      </w:r>
      <w:r w:rsidRPr="00A9392D">
        <w:rPr>
          <w:rFonts w:eastAsia="SimSun"/>
          <w:szCs w:val="24"/>
        </w:rPr>
        <w:t>— 1 месяц.</w:t>
      </w:r>
    </w:p>
  </w:footnote>
  <w:footnote w:id="15">
    <w:p w14:paraId="28EBA3E6" w14:textId="77777777" w:rsidR="009E240E" w:rsidRPr="006155FD" w:rsidRDefault="009E240E" w:rsidP="00304132">
      <w:pPr>
        <w:pStyle w:val="af7"/>
      </w:pPr>
      <w:r w:rsidRPr="00116C40">
        <w:rPr>
          <w:rStyle w:val="af9"/>
        </w:rPr>
        <w:footnoteRef/>
      </w:r>
      <w:r w:rsidRPr="00A9392D">
        <w:t xml:space="preserve"> </w:t>
      </w:r>
      <w:r w:rsidRPr="00A9392D">
        <w:rPr>
          <w:rFonts w:eastAsia="SimSun"/>
          <w:szCs w:val="24"/>
        </w:rPr>
        <w:t>Актуальность результатов исследований</w:t>
      </w:r>
      <w:r>
        <w:rPr>
          <w:rFonts w:eastAsia="SimSun"/>
          <w:szCs w:val="24"/>
        </w:rPr>
        <w:t> </w:t>
      </w:r>
      <w:r w:rsidRPr="00A9392D">
        <w:rPr>
          <w:rFonts w:eastAsia="SimSun"/>
          <w:szCs w:val="24"/>
        </w:rPr>
        <w:t>— 1 месяц.</w:t>
      </w:r>
    </w:p>
  </w:footnote>
  <w:footnote w:id="16">
    <w:p w14:paraId="72FB7D4D" w14:textId="77777777" w:rsidR="009E240E" w:rsidRPr="006155FD" w:rsidRDefault="009E240E" w:rsidP="00304132">
      <w:pPr>
        <w:pStyle w:val="af7"/>
      </w:pPr>
      <w:r w:rsidRPr="00116C40">
        <w:rPr>
          <w:rStyle w:val="af9"/>
        </w:rPr>
        <w:footnoteRef/>
      </w:r>
      <w:r w:rsidRPr="00A9392D">
        <w:t xml:space="preserve"> </w:t>
      </w:r>
      <w:r w:rsidRPr="00A9392D">
        <w:rPr>
          <w:rFonts w:eastAsia="SimSun"/>
          <w:szCs w:val="24"/>
        </w:rPr>
        <w:t>Актуальность результатов исследований</w:t>
      </w:r>
      <w:r>
        <w:rPr>
          <w:rFonts w:eastAsia="SimSun"/>
          <w:szCs w:val="24"/>
        </w:rPr>
        <w:t> </w:t>
      </w:r>
      <w:r w:rsidRPr="00A9392D">
        <w:rPr>
          <w:rFonts w:eastAsia="SimSun"/>
          <w:szCs w:val="24"/>
        </w:rPr>
        <w:t>— 1 месяц.</w:t>
      </w:r>
    </w:p>
  </w:footnote>
  <w:footnote w:id="17">
    <w:p w14:paraId="3502EF81" w14:textId="77777777" w:rsidR="009E240E" w:rsidRPr="00DE2136" w:rsidRDefault="009E240E" w:rsidP="00304132">
      <w:pPr>
        <w:pStyle w:val="af7"/>
      </w:pPr>
      <w:r w:rsidRPr="00116C40">
        <w:rPr>
          <w:rStyle w:val="af9"/>
        </w:rPr>
        <w:footnoteRef/>
      </w:r>
      <w:r w:rsidRPr="00A9392D">
        <w:t xml:space="preserve"> </w:t>
      </w:r>
      <w:r w:rsidRPr="00A9392D">
        <w:rPr>
          <w:rFonts w:eastAsia="SimSun"/>
          <w:szCs w:val="24"/>
        </w:rPr>
        <w:t>Актуальность результатов исследований</w:t>
      </w:r>
      <w:r>
        <w:rPr>
          <w:rFonts w:eastAsia="SimSun"/>
          <w:szCs w:val="24"/>
        </w:rPr>
        <w:t> </w:t>
      </w:r>
      <w:r w:rsidRPr="00A9392D">
        <w:rPr>
          <w:rFonts w:eastAsia="SimSun"/>
          <w:szCs w:val="24"/>
        </w:rPr>
        <w:t>— 1 месяц.</w:t>
      </w:r>
      <w:r>
        <w:rPr>
          <w:rFonts w:eastAsia="SimSun"/>
          <w:szCs w:val="24"/>
        </w:rPr>
        <w:t xml:space="preserve"> </w:t>
      </w:r>
    </w:p>
  </w:footnote>
  <w:footnote w:id="18">
    <w:p w14:paraId="4CAAFD82" w14:textId="77777777" w:rsidR="009E240E" w:rsidRPr="00F2645D" w:rsidRDefault="009E240E" w:rsidP="00304132">
      <w:pPr>
        <w:pStyle w:val="af7"/>
      </w:pPr>
      <w:r w:rsidRPr="00116C40">
        <w:rPr>
          <w:rStyle w:val="af9"/>
        </w:rPr>
        <w:footnoteRef/>
      </w:r>
      <w:r w:rsidRPr="00A9392D">
        <w:t xml:space="preserve"> </w:t>
      </w:r>
      <w:r w:rsidRPr="00A9392D">
        <w:rPr>
          <w:rFonts w:eastAsia="SimSun"/>
          <w:szCs w:val="24"/>
        </w:rPr>
        <w:t>Актуальность результатов исследований</w:t>
      </w:r>
      <w:r>
        <w:rPr>
          <w:rFonts w:eastAsia="SimSun"/>
          <w:szCs w:val="24"/>
        </w:rPr>
        <w:t> </w:t>
      </w:r>
      <w:r w:rsidRPr="00A9392D">
        <w:rPr>
          <w:rFonts w:eastAsia="SimSun"/>
          <w:szCs w:val="24"/>
        </w:rPr>
        <w:t>— 2 недели.</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53E48C" w14:textId="77777777" w:rsidR="009E240E" w:rsidRDefault="009E240E">
    <w:pPr>
      <w:pStyle w:val="af2"/>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C05EE0" w14:textId="77777777" w:rsidR="009E240E" w:rsidRDefault="009E240E">
    <w:pPr>
      <w:pStyle w:val="af2"/>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ACA338" w14:textId="77777777" w:rsidR="009E240E" w:rsidRDefault="009E240E">
    <w:pPr>
      <w:pStyle w:val="af2"/>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E615E2" w14:textId="77777777" w:rsidR="009E240E" w:rsidRPr="00A97CBF" w:rsidRDefault="009E240E" w:rsidP="00CD5E09">
    <w:pPr>
      <w:pStyle w:val="af2"/>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42E33F" w14:textId="77777777" w:rsidR="009E240E" w:rsidRDefault="009E240E">
    <w:pPr>
      <w:pStyle w:val="af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852E9C74"/>
    <w:lvl w:ilvl="0">
      <w:start w:val="1"/>
      <w:numFmt w:val="bullet"/>
      <w:lvlText w:val=""/>
      <w:lvlJc w:val="left"/>
      <w:pPr>
        <w:tabs>
          <w:tab w:val="num" w:pos="0"/>
        </w:tabs>
        <w:ind w:left="0" w:firstLine="0"/>
      </w:pPr>
      <w:rPr>
        <w:rFonts w:ascii="Symbol" w:hAnsi="Symbol" w:hint="default"/>
      </w:rPr>
    </w:lvl>
    <w:lvl w:ilvl="1">
      <w:start w:val="1"/>
      <w:numFmt w:val="bullet"/>
      <w:pStyle w:val="1-21"/>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FE"/>
    <w:multiLevelType w:val="singleLevel"/>
    <w:tmpl w:val="0456C786"/>
    <w:lvl w:ilvl="0">
      <w:numFmt w:val="bullet"/>
      <w:lvlText w:val="*"/>
      <w:lvlJc w:val="left"/>
    </w:lvl>
  </w:abstractNum>
  <w:abstractNum w:abstractNumId="2" w15:restartNumberingAfterBreak="0">
    <w:nsid w:val="00000002"/>
    <w:multiLevelType w:val="singleLevel"/>
    <w:tmpl w:val="00000002"/>
    <w:name w:val="WW8Num2"/>
    <w:lvl w:ilvl="0">
      <w:numFmt w:val="bullet"/>
      <w:lvlText w:val="•"/>
      <w:lvlJc w:val="left"/>
      <w:pPr>
        <w:tabs>
          <w:tab w:val="num" w:pos="0"/>
        </w:tabs>
        <w:ind w:left="0" w:firstLine="0"/>
      </w:pPr>
      <w:rPr>
        <w:rFonts w:ascii="Liberation Serif" w:hAnsi="Liberation Serif" w:cs="Liberation Serif" w:hint="default"/>
        <w:szCs w:val="24"/>
        <w:lang w:val="en-US"/>
      </w:rPr>
    </w:lvl>
  </w:abstractNum>
  <w:abstractNum w:abstractNumId="3" w15:restartNumberingAfterBreak="0">
    <w:nsid w:val="00000003"/>
    <w:multiLevelType w:val="singleLevel"/>
    <w:tmpl w:val="00000003"/>
    <w:name w:val="WW8Num3"/>
    <w:lvl w:ilvl="0">
      <w:numFmt w:val="bullet"/>
      <w:lvlText w:val="•"/>
      <w:lvlJc w:val="left"/>
      <w:pPr>
        <w:tabs>
          <w:tab w:val="num" w:pos="0"/>
        </w:tabs>
        <w:ind w:left="0" w:firstLine="0"/>
      </w:pPr>
      <w:rPr>
        <w:rFonts w:ascii="Liberation Serif" w:hAnsi="Liberation Serif" w:cs="Liberation Serif" w:hint="default"/>
        <w:szCs w:val="24"/>
        <w:lang w:val="en-US"/>
      </w:rPr>
    </w:lvl>
  </w:abstractNum>
  <w:abstractNum w:abstractNumId="4" w15:restartNumberingAfterBreak="0">
    <w:nsid w:val="00000004"/>
    <w:multiLevelType w:val="singleLevel"/>
    <w:tmpl w:val="00000004"/>
    <w:name w:val="WW8Num4"/>
    <w:lvl w:ilvl="0">
      <w:numFmt w:val="bullet"/>
      <w:lvlText w:val="•"/>
      <w:lvlJc w:val="left"/>
      <w:pPr>
        <w:tabs>
          <w:tab w:val="num" w:pos="0"/>
        </w:tabs>
        <w:ind w:left="0" w:firstLine="0"/>
      </w:pPr>
      <w:rPr>
        <w:rFonts w:ascii="Liberation Serif" w:hAnsi="Liberation Serif" w:cs="Liberation Serif" w:hint="default"/>
        <w:szCs w:val="24"/>
        <w:lang w:val="en-US"/>
      </w:rPr>
    </w:lvl>
  </w:abstractNum>
  <w:abstractNum w:abstractNumId="5" w15:restartNumberingAfterBreak="0">
    <w:nsid w:val="00600AFD"/>
    <w:multiLevelType w:val="hybridMultilevel"/>
    <w:tmpl w:val="C6BCCF7E"/>
    <w:lvl w:ilvl="0" w:tplc="04190001">
      <w:start w:val="1"/>
      <w:numFmt w:val="bullet"/>
      <w:lvlText w:val=""/>
      <w:lvlJc w:val="left"/>
      <w:pPr>
        <w:ind w:left="436" w:hanging="360"/>
      </w:pPr>
      <w:rPr>
        <w:rFonts w:ascii="Symbol" w:hAnsi="Symbol" w:hint="default"/>
      </w:rPr>
    </w:lvl>
    <w:lvl w:ilvl="1" w:tplc="04190003">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6" w15:restartNumberingAfterBreak="0">
    <w:nsid w:val="012A5807"/>
    <w:multiLevelType w:val="hybridMultilevel"/>
    <w:tmpl w:val="B490AF0C"/>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1B77055"/>
    <w:multiLevelType w:val="hybridMultilevel"/>
    <w:tmpl w:val="55BEB1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1CC1387"/>
    <w:multiLevelType w:val="hybridMultilevel"/>
    <w:tmpl w:val="B3A084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025701AD"/>
    <w:multiLevelType w:val="multilevel"/>
    <w:tmpl w:val="A706344E"/>
    <w:lvl w:ilvl="0">
      <w:start w:val="2"/>
      <w:numFmt w:val="decimal"/>
      <w:lvlText w:val="%1."/>
      <w:lvlJc w:val="left"/>
      <w:pPr>
        <w:ind w:left="502" w:hanging="360"/>
      </w:pPr>
      <w:rPr>
        <w:rFonts w:hint="default"/>
      </w:rPr>
    </w:lvl>
    <w:lvl w:ilvl="1">
      <w:start w:val="2"/>
      <w:numFmt w:val="decimal"/>
      <w:isLgl/>
      <w:lvlText w:val="%1.%2."/>
      <w:lvlJc w:val="left"/>
      <w:pPr>
        <w:ind w:left="798" w:hanging="585"/>
      </w:pPr>
      <w:rPr>
        <w:rFonts w:hint="default"/>
      </w:rPr>
    </w:lvl>
    <w:lvl w:ilvl="2">
      <w:start w:val="5"/>
      <w:numFmt w:val="decimal"/>
      <w:isLgl/>
      <w:lvlText w:val="%1.%2.%3."/>
      <w:lvlJc w:val="left"/>
      <w:pPr>
        <w:ind w:left="1004" w:hanging="720"/>
      </w:pPr>
      <w:rPr>
        <w:rFonts w:hint="default"/>
      </w:rPr>
    </w:lvl>
    <w:lvl w:ilvl="3">
      <w:start w:val="1"/>
      <w:numFmt w:val="decimal"/>
      <w:isLgl/>
      <w:lvlText w:val="%1.%2.%3.%4."/>
      <w:lvlJc w:val="left"/>
      <w:pPr>
        <w:ind w:left="1075"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77" w:hanging="1080"/>
      </w:pPr>
      <w:rPr>
        <w:rFonts w:hint="default"/>
      </w:rPr>
    </w:lvl>
    <w:lvl w:ilvl="6">
      <w:start w:val="1"/>
      <w:numFmt w:val="decimal"/>
      <w:isLgl/>
      <w:lvlText w:val="%1.%2.%3.%4.%5.%6.%7."/>
      <w:lvlJc w:val="left"/>
      <w:pPr>
        <w:ind w:left="2008" w:hanging="1440"/>
      </w:pPr>
      <w:rPr>
        <w:rFonts w:hint="default"/>
      </w:rPr>
    </w:lvl>
    <w:lvl w:ilvl="7">
      <w:start w:val="1"/>
      <w:numFmt w:val="decimal"/>
      <w:isLgl/>
      <w:lvlText w:val="%1.%2.%3.%4.%5.%6.%7.%8."/>
      <w:lvlJc w:val="left"/>
      <w:pPr>
        <w:ind w:left="2079" w:hanging="1440"/>
      </w:pPr>
      <w:rPr>
        <w:rFonts w:hint="default"/>
      </w:rPr>
    </w:lvl>
    <w:lvl w:ilvl="8">
      <w:start w:val="1"/>
      <w:numFmt w:val="decimal"/>
      <w:isLgl/>
      <w:lvlText w:val="%1.%2.%3.%4.%5.%6.%7.%8.%9."/>
      <w:lvlJc w:val="left"/>
      <w:pPr>
        <w:ind w:left="2510" w:hanging="1800"/>
      </w:pPr>
      <w:rPr>
        <w:rFonts w:hint="default"/>
      </w:rPr>
    </w:lvl>
  </w:abstractNum>
  <w:abstractNum w:abstractNumId="10" w15:restartNumberingAfterBreak="0">
    <w:nsid w:val="02B87A7F"/>
    <w:multiLevelType w:val="hybridMultilevel"/>
    <w:tmpl w:val="7C822F20"/>
    <w:lvl w:ilvl="0" w:tplc="FC4EE27E">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1" w15:restartNumberingAfterBreak="0">
    <w:nsid w:val="036614BD"/>
    <w:multiLevelType w:val="hybridMultilevel"/>
    <w:tmpl w:val="8C9010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040B506F"/>
    <w:multiLevelType w:val="hybridMultilevel"/>
    <w:tmpl w:val="E49827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4113974"/>
    <w:multiLevelType w:val="hybridMultilevel"/>
    <w:tmpl w:val="FA4A88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04403F8D"/>
    <w:multiLevelType w:val="hybridMultilevel"/>
    <w:tmpl w:val="93CEEDF2"/>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051F37FD"/>
    <w:multiLevelType w:val="hybridMultilevel"/>
    <w:tmpl w:val="439E61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05C3303E"/>
    <w:multiLevelType w:val="multilevel"/>
    <w:tmpl w:val="97285B88"/>
    <w:lvl w:ilvl="0">
      <w:start w:val="1"/>
      <w:numFmt w:val="decimal"/>
      <w:lvlText w:val="%1."/>
      <w:lvlJc w:val="left"/>
      <w:pPr>
        <w:ind w:left="502" w:hanging="360"/>
      </w:pPr>
      <w:rPr>
        <w:rFonts w:hint="default"/>
      </w:rPr>
    </w:lvl>
    <w:lvl w:ilvl="1">
      <w:start w:val="1"/>
      <w:numFmt w:val="decimal"/>
      <w:isLgl/>
      <w:lvlText w:val="%1.%2"/>
      <w:lvlJc w:val="left"/>
      <w:pPr>
        <w:ind w:left="731" w:hanging="48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189" w:hanging="720"/>
      </w:pPr>
      <w:rPr>
        <w:rFonts w:hint="default"/>
      </w:rPr>
    </w:lvl>
    <w:lvl w:ilvl="4">
      <w:start w:val="1"/>
      <w:numFmt w:val="decimal"/>
      <w:isLgl/>
      <w:lvlText w:val="%1.%2.%3.%4.%5"/>
      <w:lvlJc w:val="left"/>
      <w:pPr>
        <w:ind w:left="1658" w:hanging="1080"/>
      </w:pPr>
      <w:rPr>
        <w:rFonts w:hint="default"/>
      </w:rPr>
    </w:lvl>
    <w:lvl w:ilvl="5">
      <w:start w:val="1"/>
      <w:numFmt w:val="decimal"/>
      <w:isLgl/>
      <w:lvlText w:val="%1.%2.%3.%4.%5.%6"/>
      <w:lvlJc w:val="left"/>
      <w:pPr>
        <w:ind w:left="1767" w:hanging="1080"/>
      </w:pPr>
      <w:rPr>
        <w:rFonts w:hint="default"/>
      </w:rPr>
    </w:lvl>
    <w:lvl w:ilvl="6">
      <w:start w:val="1"/>
      <w:numFmt w:val="decimal"/>
      <w:isLgl/>
      <w:lvlText w:val="%1.%2.%3.%4.%5.%6.%7"/>
      <w:lvlJc w:val="left"/>
      <w:pPr>
        <w:ind w:left="2236" w:hanging="1440"/>
      </w:pPr>
      <w:rPr>
        <w:rFonts w:hint="default"/>
      </w:rPr>
    </w:lvl>
    <w:lvl w:ilvl="7">
      <w:start w:val="1"/>
      <w:numFmt w:val="decimal"/>
      <w:isLgl/>
      <w:lvlText w:val="%1.%2.%3.%4.%5.%6.%7.%8"/>
      <w:lvlJc w:val="left"/>
      <w:pPr>
        <w:ind w:left="2345" w:hanging="1440"/>
      </w:pPr>
      <w:rPr>
        <w:rFonts w:hint="default"/>
      </w:rPr>
    </w:lvl>
    <w:lvl w:ilvl="8">
      <w:start w:val="1"/>
      <w:numFmt w:val="decimal"/>
      <w:isLgl/>
      <w:lvlText w:val="%1.%2.%3.%4.%5.%6.%7.%8.%9"/>
      <w:lvlJc w:val="left"/>
      <w:pPr>
        <w:ind w:left="2814" w:hanging="1800"/>
      </w:pPr>
      <w:rPr>
        <w:rFonts w:hint="default"/>
      </w:rPr>
    </w:lvl>
  </w:abstractNum>
  <w:abstractNum w:abstractNumId="17" w15:restartNumberingAfterBreak="0">
    <w:nsid w:val="05D62440"/>
    <w:multiLevelType w:val="hybridMultilevel"/>
    <w:tmpl w:val="E0A809F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15:restartNumberingAfterBreak="0">
    <w:nsid w:val="064C3959"/>
    <w:multiLevelType w:val="hybridMultilevel"/>
    <w:tmpl w:val="B872A730"/>
    <w:lvl w:ilvl="0" w:tplc="8682C048">
      <w:start w:val="1"/>
      <w:numFmt w:val="decimal"/>
      <w:lvlText w:val="%1."/>
      <w:lvlJc w:val="left"/>
      <w:pPr>
        <w:ind w:left="717" w:hanging="360"/>
      </w:pPr>
      <w:rPr>
        <w:rFonts w:hint="default"/>
      </w:rPr>
    </w:lvl>
    <w:lvl w:ilvl="1" w:tplc="8FAC328C">
      <w:start w:val="1"/>
      <w:numFmt w:val="decimal"/>
      <w:lvlText w:val="%2."/>
      <w:lvlJc w:val="left"/>
      <w:pPr>
        <w:ind w:left="1437" w:hanging="360"/>
      </w:pPr>
      <w:rPr>
        <w:rFonts w:hint="default"/>
      </w:rPr>
    </w:lvl>
    <w:lvl w:ilvl="2" w:tplc="0419001B" w:tentative="1">
      <w:start w:val="1"/>
      <w:numFmt w:val="lowerRoman"/>
      <w:lvlText w:val="%3."/>
      <w:lvlJc w:val="right"/>
      <w:pPr>
        <w:ind w:left="2157" w:hanging="180"/>
      </w:pPr>
    </w:lvl>
    <w:lvl w:ilvl="3" w:tplc="0419000F" w:tentative="1">
      <w:start w:val="1"/>
      <w:numFmt w:val="decimal"/>
      <w:lvlText w:val="%4."/>
      <w:lvlJc w:val="left"/>
      <w:pPr>
        <w:ind w:left="2877" w:hanging="360"/>
      </w:pPr>
    </w:lvl>
    <w:lvl w:ilvl="4" w:tplc="04190019" w:tentative="1">
      <w:start w:val="1"/>
      <w:numFmt w:val="lowerLetter"/>
      <w:lvlText w:val="%5."/>
      <w:lvlJc w:val="left"/>
      <w:pPr>
        <w:ind w:left="3597" w:hanging="360"/>
      </w:pPr>
    </w:lvl>
    <w:lvl w:ilvl="5" w:tplc="0419001B" w:tentative="1">
      <w:start w:val="1"/>
      <w:numFmt w:val="lowerRoman"/>
      <w:lvlText w:val="%6."/>
      <w:lvlJc w:val="right"/>
      <w:pPr>
        <w:ind w:left="4317" w:hanging="180"/>
      </w:pPr>
    </w:lvl>
    <w:lvl w:ilvl="6" w:tplc="0419000F" w:tentative="1">
      <w:start w:val="1"/>
      <w:numFmt w:val="decimal"/>
      <w:lvlText w:val="%7."/>
      <w:lvlJc w:val="left"/>
      <w:pPr>
        <w:ind w:left="5037" w:hanging="360"/>
      </w:pPr>
    </w:lvl>
    <w:lvl w:ilvl="7" w:tplc="04190019" w:tentative="1">
      <w:start w:val="1"/>
      <w:numFmt w:val="lowerLetter"/>
      <w:lvlText w:val="%8."/>
      <w:lvlJc w:val="left"/>
      <w:pPr>
        <w:ind w:left="5757" w:hanging="360"/>
      </w:pPr>
    </w:lvl>
    <w:lvl w:ilvl="8" w:tplc="0419001B" w:tentative="1">
      <w:start w:val="1"/>
      <w:numFmt w:val="lowerRoman"/>
      <w:lvlText w:val="%9."/>
      <w:lvlJc w:val="right"/>
      <w:pPr>
        <w:ind w:left="6477" w:hanging="180"/>
      </w:pPr>
    </w:lvl>
  </w:abstractNum>
  <w:abstractNum w:abstractNumId="19" w15:restartNumberingAfterBreak="0">
    <w:nsid w:val="06615864"/>
    <w:multiLevelType w:val="hybridMultilevel"/>
    <w:tmpl w:val="8230ED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069B225E"/>
    <w:multiLevelType w:val="hybridMultilevel"/>
    <w:tmpl w:val="1700E0D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15:restartNumberingAfterBreak="0">
    <w:nsid w:val="076C5C1C"/>
    <w:multiLevelType w:val="hybridMultilevel"/>
    <w:tmpl w:val="E5A230F8"/>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077372DE"/>
    <w:multiLevelType w:val="hybridMultilevel"/>
    <w:tmpl w:val="EE34D91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07AA397F"/>
    <w:multiLevelType w:val="hybridMultilevel"/>
    <w:tmpl w:val="E31C61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0892027C"/>
    <w:multiLevelType w:val="hybridMultilevel"/>
    <w:tmpl w:val="178CAE5C"/>
    <w:lvl w:ilvl="0" w:tplc="04190001">
      <w:start w:val="1"/>
      <w:numFmt w:val="bullet"/>
      <w:lvlText w:val=""/>
      <w:lvlJc w:val="left"/>
      <w:pPr>
        <w:ind w:left="1495" w:hanging="360"/>
      </w:pPr>
      <w:rPr>
        <w:rFonts w:ascii="Symbol" w:hAnsi="Symbol" w:hint="default"/>
      </w:rPr>
    </w:lvl>
    <w:lvl w:ilvl="1" w:tplc="04190003" w:tentative="1">
      <w:start w:val="1"/>
      <w:numFmt w:val="bullet"/>
      <w:lvlText w:val="o"/>
      <w:lvlJc w:val="left"/>
      <w:pPr>
        <w:ind w:left="2215" w:hanging="360"/>
      </w:pPr>
      <w:rPr>
        <w:rFonts w:ascii="Courier New" w:hAnsi="Courier New" w:cs="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cs="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cs="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25" w15:restartNumberingAfterBreak="0">
    <w:nsid w:val="08E3117B"/>
    <w:multiLevelType w:val="hybridMultilevel"/>
    <w:tmpl w:val="877E70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0926206C"/>
    <w:multiLevelType w:val="hybridMultilevel"/>
    <w:tmpl w:val="04F0CA94"/>
    <w:lvl w:ilvl="0" w:tplc="04190003">
      <w:start w:val="1"/>
      <w:numFmt w:val="bullet"/>
      <w:lvlText w:val="o"/>
      <w:lvlJc w:val="left"/>
      <w:pPr>
        <w:ind w:left="1425" w:hanging="360"/>
      </w:pPr>
      <w:rPr>
        <w:rFonts w:ascii="Courier New" w:hAnsi="Courier New" w:cs="Courier New" w:hint="default"/>
        <w:color w:val="auto"/>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27" w15:restartNumberingAfterBreak="0">
    <w:nsid w:val="09413180"/>
    <w:multiLevelType w:val="hybridMultilevel"/>
    <w:tmpl w:val="54885E60"/>
    <w:lvl w:ilvl="0" w:tplc="F6ACCB02">
      <w:start w:val="172"/>
      <w:numFmt w:val="bullet"/>
      <w:lvlText w:val="–"/>
      <w:lvlJc w:val="left"/>
      <w:pPr>
        <w:ind w:left="1440" w:hanging="360"/>
      </w:pPr>
      <w:rPr>
        <w:rFonts w:ascii="Times New Roman" w:hAnsi="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8" w15:restartNumberingAfterBreak="0">
    <w:nsid w:val="097617AD"/>
    <w:multiLevelType w:val="hybridMultilevel"/>
    <w:tmpl w:val="0EFEA22A"/>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09803113"/>
    <w:multiLevelType w:val="hybridMultilevel"/>
    <w:tmpl w:val="A8B8344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0A7302E0"/>
    <w:multiLevelType w:val="multilevel"/>
    <w:tmpl w:val="F758790E"/>
    <w:lvl w:ilvl="0">
      <w:start w:val="1"/>
      <w:numFmt w:val="bullet"/>
      <w:lvlText w:val=""/>
      <w:lvlJc w:val="left"/>
      <w:pPr>
        <w:ind w:left="720" w:hanging="360"/>
      </w:pPr>
      <w:rPr>
        <w:rFonts w:ascii="Symbol" w:hAnsi="Symbol" w:cs="Symbol" w:hint="default"/>
        <w:b w:val="0"/>
        <w:sz w:val="24"/>
      </w:rPr>
    </w:lvl>
    <w:lvl w:ilvl="1">
      <w:start w:val="1"/>
      <w:numFmt w:val="decimal"/>
      <w:lvlText w:val="%2)"/>
      <w:lvlJc w:val="left"/>
      <w:pPr>
        <w:ind w:left="1440" w:hanging="360"/>
      </w:pPr>
    </w:lvl>
    <w:lvl w:ilvl="2">
      <w:start w:val="1"/>
      <w:numFmt w:val="bullet"/>
      <w:lvlText w:val=""/>
      <w:lvlJc w:val="left"/>
      <w:pPr>
        <w:ind w:left="2340" w:hanging="360"/>
      </w:pPr>
      <w:rPr>
        <w:rFonts w:ascii="Symbol" w:hAnsi="Symbol"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0AD2445A"/>
    <w:multiLevelType w:val="hybridMultilevel"/>
    <w:tmpl w:val="0A8CFB34"/>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0B090C2C"/>
    <w:multiLevelType w:val="hybridMultilevel"/>
    <w:tmpl w:val="70329C82"/>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0B1B3D13"/>
    <w:multiLevelType w:val="hybridMultilevel"/>
    <w:tmpl w:val="7608AA5C"/>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0CEF690B"/>
    <w:multiLevelType w:val="multilevel"/>
    <w:tmpl w:val="51268A1A"/>
    <w:lvl w:ilvl="0">
      <w:start w:val="1"/>
      <w:numFmt w:val="bullet"/>
      <w:lvlText w:val=""/>
      <w:lvlJc w:val="left"/>
      <w:pPr>
        <w:ind w:left="360" w:hanging="360"/>
      </w:pPr>
      <w:rPr>
        <w:rFonts w:ascii="Symbol" w:hAnsi="Symbol" w:cs="Symbol" w:hint="default"/>
        <w:sz w:val="24"/>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35" w15:restartNumberingAfterBreak="0">
    <w:nsid w:val="0D0D5CFA"/>
    <w:multiLevelType w:val="hybridMultilevel"/>
    <w:tmpl w:val="501CD3C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6" w15:restartNumberingAfterBreak="0">
    <w:nsid w:val="0D16377A"/>
    <w:multiLevelType w:val="hybridMultilevel"/>
    <w:tmpl w:val="1BCEF5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0D743AAD"/>
    <w:multiLevelType w:val="multilevel"/>
    <w:tmpl w:val="12BE655A"/>
    <w:lvl w:ilvl="0">
      <w:start w:val="1"/>
      <w:numFmt w:val="decimal"/>
      <w:lvlText w:val="%1)"/>
      <w:lvlJc w:val="left"/>
      <w:pPr>
        <w:tabs>
          <w:tab w:val="num" w:pos="1069"/>
        </w:tabs>
        <w:ind w:left="1069" w:hanging="360"/>
      </w:pPr>
    </w:lvl>
    <w:lvl w:ilvl="1">
      <w:start w:val="1"/>
      <w:numFmt w:val="lowerLetter"/>
      <w:lvlText w:val="%2."/>
      <w:lvlJc w:val="left"/>
      <w:pPr>
        <w:tabs>
          <w:tab w:val="num" w:pos="1789"/>
        </w:tabs>
        <w:ind w:left="1789" w:hanging="360"/>
      </w:pPr>
    </w:lvl>
    <w:lvl w:ilvl="2">
      <w:start w:val="1"/>
      <w:numFmt w:val="lowerRoman"/>
      <w:lvlText w:val="%3."/>
      <w:lvlJc w:val="right"/>
      <w:pPr>
        <w:tabs>
          <w:tab w:val="num" w:pos="2509"/>
        </w:tabs>
        <w:ind w:left="2509" w:hanging="180"/>
      </w:pPr>
    </w:lvl>
    <w:lvl w:ilvl="3">
      <w:start w:val="1"/>
      <w:numFmt w:val="decimal"/>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Roman"/>
      <w:lvlText w:val="%6."/>
      <w:lvlJc w:val="right"/>
      <w:pPr>
        <w:tabs>
          <w:tab w:val="num" w:pos="4669"/>
        </w:tabs>
        <w:ind w:left="4669" w:hanging="180"/>
      </w:pPr>
    </w:lvl>
    <w:lvl w:ilvl="6">
      <w:start w:val="1"/>
      <w:numFmt w:val="decimal"/>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Roman"/>
      <w:lvlText w:val="%9."/>
      <w:lvlJc w:val="right"/>
      <w:pPr>
        <w:tabs>
          <w:tab w:val="num" w:pos="6829"/>
        </w:tabs>
        <w:ind w:left="6829" w:hanging="180"/>
      </w:pPr>
    </w:lvl>
  </w:abstractNum>
  <w:abstractNum w:abstractNumId="38" w15:restartNumberingAfterBreak="0">
    <w:nsid w:val="0E493E03"/>
    <w:multiLevelType w:val="hybridMultilevel"/>
    <w:tmpl w:val="48F69AEA"/>
    <w:lvl w:ilvl="0" w:tplc="04190001">
      <w:start w:val="1"/>
      <w:numFmt w:val="bullet"/>
      <w:lvlText w:val=""/>
      <w:lvlJc w:val="left"/>
      <w:pPr>
        <w:ind w:left="1701" w:hanging="360"/>
      </w:pPr>
      <w:rPr>
        <w:rFonts w:ascii="Symbol" w:hAnsi="Symbol" w:hint="default"/>
      </w:rPr>
    </w:lvl>
    <w:lvl w:ilvl="1" w:tplc="04190003" w:tentative="1">
      <w:start w:val="1"/>
      <w:numFmt w:val="bullet"/>
      <w:lvlText w:val="o"/>
      <w:lvlJc w:val="left"/>
      <w:pPr>
        <w:ind w:left="2421" w:hanging="360"/>
      </w:pPr>
      <w:rPr>
        <w:rFonts w:ascii="Courier New" w:hAnsi="Courier New" w:cs="Courier New" w:hint="default"/>
      </w:rPr>
    </w:lvl>
    <w:lvl w:ilvl="2" w:tplc="04190005" w:tentative="1">
      <w:start w:val="1"/>
      <w:numFmt w:val="bullet"/>
      <w:lvlText w:val=""/>
      <w:lvlJc w:val="left"/>
      <w:pPr>
        <w:ind w:left="3141" w:hanging="360"/>
      </w:pPr>
      <w:rPr>
        <w:rFonts w:ascii="Wingdings" w:hAnsi="Wingdings" w:hint="default"/>
      </w:rPr>
    </w:lvl>
    <w:lvl w:ilvl="3" w:tplc="04190001" w:tentative="1">
      <w:start w:val="1"/>
      <w:numFmt w:val="bullet"/>
      <w:lvlText w:val=""/>
      <w:lvlJc w:val="left"/>
      <w:pPr>
        <w:ind w:left="3861" w:hanging="360"/>
      </w:pPr>
      <w:rPr>
        <w:rFonts w:ascii="Symbol" w:hAnsi="Symbol" w:hint="default"/>
      </w:rPr>
    </w:lvl>
    <w:lvl w:ilvl="4" w:tplc="04190003" w:tentative="1">
      <w:start w:val="1"/>
      <w:numFmt w:val="bullet"/>
      <w:lvlText w:val="o"/>
      <w:lvlJc w:val="left"/>
      <w:pPr>
        <w:ind w:left="4581" w:hanging="360"/>
      </w:pPr>
      <w:rPr>
        <w:rFonts w:ascii="Courier New" w:hAnsi="Courier New" w:cs="Courier New" w:hint="default"/>
      </w:rPr>
    </w:lvl>
    <w:lvl w:ilvl="5" w:tplc="04190005" w:tentative="1">
      <w:start w:val="1"/>
      <w:numFmt w:val="bullet"/>
      <w:lvlText w:val=""/>
      <w:lvlJc w:val="left"/>
      <w:pPr>
        <w:ind w:left="5301" w:hanging="360"/>
      </w:pPr>
      <w:rPr>
        <w:rFonts w:ascii="Wingdings" w:hAnsi="Wingdings" w:hint="default"/>
      </w:rPr>
    </w:lvl>
    <w:lvl w:ilvl="6" w:tplc="04190001" w:tentative="1">
      <w:start w:val="1"/>
      <w:numFmt w:val="bullet"/>
      <w:lvlText w:val=""/>
      <w:lvlJc w:val="left"/>
      <w:pPr>
        <w:ind w:left="6021" w:hanging="360"/>
      </w:pPr>
      <w:rPr>
        <w:rFonts w:ascii="Symbol" w:hAnsi="Symbol" w:hint="default"/>
      </w:rPr>
    </w:lvl>
    <w:lvl w:ilvl="7" w:tplc="04190003" w:tentative="1">
      <w:start w:val="1"/>
      <w:numFmt w:val="bullet"/>
      <w:lvlText w:val="o"/>
      <w:lvlJc w:val="left"/>
      <w:pPr>
        <w:ind w:left="6741" w:hanging="360"/>
      </w:pPr>
      <w:rPr>
        <w:rFonts w:ascii="Courier New" w:hAnsi="Courier New" w:cs="Courier New" w:hint="default"/>
      </w:rPr>
    </w:lvl>
    <w:lvl w:ilvl="8" w:tplc="04190005" w:tentative="1">
      <w:start w:val="1"/>
      <w:numFmt w:val="bullet"/>
      <w:lvlText w:val=""/>
      <w:lvlJc w:val="left"/>
      <w:pPr>
        <w:ind w:left="7461" w:hanging="360"/>
      </w:pPr>
      <w:rPr>
        <w:rFonts w:ascii="Wingdings" w:hAnsi="Wingdings" w:hint="default"/>
      </w:rPr>
    </w:lvl>
  </w:abstractNum>
  <w:abstractNum w:abstractNumId="39" w15:restartNumberingAfterBreak="0">
    <w:nsid w:val="0FD92B03"/>
    <w:multiLevelType w:val="hybridMultilevel"/>
    <w:tmpl w:val="BE6A8654"/>
    <w:lvl w:ilvl="0" w:tplc="04190001">
      <w:start w:val="1"/>
      <w:numFmt w:val="bullet"/>
      <w:lvlText w:val=""/>
      <w:lvlJc w:val="left"/>
      <w:pPr>
        <w:ind w:left="1145" w:hanging="360"/>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40" w15:restartNumberingAfterBreak="0">
    <w:nsid w:val="10246B63"/>
    <w:multiLevelType w:val="hybridMultilevel"/>
    <w:tmpl w:val="0D7EF9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105D60C4"/>
    <w:multiLevelType w:val="hybridMultilevel"/>
    <w:tmpl w:val="48C06D6C"/>
    <w:lvl w:ilvl="0" w:tplc="2AD23686">
      <w:start w:val="1"/>
      <w:numFmt w:val="bullet"/>
      <w:pStyle w:val="a"/>
      <w:lvlText w:val=""/>
      <w:lvlJc w:val="left"/>
      <w:pPr>
        <w:ind w:left="9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2" w15:restartNumberingAfterBreak="0">
    <w:nsid w:val="10AA0379"/>
    <w:multiLevelType w:val="hybridMultilevel"/>
    <w:tmpl w:val="D6D40F2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1113446B"/>
    <w:multiLevelType w:val="multilevel"/>
    <w:tmpl w:val="12BE655A"/>
    <w:lvl w:ilvl="0">
      <w:start w:val="1"/>
      <w:numFmt w:val="decimal"/>
      <w:lvlText w:val="%1)"/>
      <w:lvlJc w:val="left"/>
      <w:pPr>
        <w:tabs>
          <w:tab w:val="num" w:pos="1069"/>
        </w:tabs>
        <w:ind w:left="1069" w:hanging="360"/>
      </w:pPr>
    </w:lvl>
    <w:lvl w:ilvl="1">
      <w:start w:val="1"/>
      <w:numFmt w:val="lowerLetter"/>
      <w:lvlText w:val="%2."/>
      <w:lvlJc w:val="left"/>
      <w:pPr>
        <w:tabs>
          <w:tab w:val="num" w:pos="1789"/>
        </w:tabs>
        <w:ind w:left="1789" w:hanging="360"/>
      </w:pPr>
    </w:lvl>
    <w:lvl w:ilvl="2">
      <w:start w:val="1"/>
      <w:numFmt w:val="lowerRoman"/>
      <w:lvlText w:val="%3."/>
      <w:lvlJc w:val="right"/>
      <w:pPr>
        <w:tabs>
          <w:tab w:val="num" w:pos="2509"/>
        </w:tabs>
        <w:ind w:left="2509" w:hanging="180"/>
      </w:pPr>
    </w:lvl>
    <w:lvl w:ilvl="3">
      <w:start w:val="1"/>
      <w:numFmt w:val="decimal"/>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Roman"/>
      <w:lvlText w:val="%6."/>
      <w:lvlJc w:val="right"/>
      <w:pPr>
        <w:tabs>
          <w:tab w:val="num" w:pos="4669"/>
        </w:tabs>
        <w:ind w:left="4669" w:hanging="180"/>
      </w:pPr>
    </w:lvl>
    <w:lvl w:ilvl="6">
      <w:start w:val="1"/>
      <w:numFmt w:val="decimal"/>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Roman"/>
      <w:lvlText w:val="%9."/>
      <w:lvlJc w:val="right"/>
      <w:pPr>
        <w:tabs>
          <w:tab w:val="num" w:pos="6829"/>
        </w:tabs>
        <w:ind w:left="6829" w:hanging="180"/>
      </w:pPr>
    </w:lvl>
  </w:abstractNum>
  <w:abstractNum w:abstractNumId="44" w15:restartNumberingAfterBreak="0">
    <w:nsid w:val="11313628"/>
    <w:multiLevelType w:val="hybridMultilevel"/>
    <w:tmpl w:val="0ACEF2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130C550D"/>
    <w:multiLevelType w:val="hybridMultilevel"/>
    <w:tmpl w:val="16A66696"/>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13794F9A"/>
    <w:multiLevelType w:val="hybridMultilevel"/>
    <w:tmpl w:val="296EBB58"/>
    <w:lvl w:ilvl="0" w:tplc="FFFFFFF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14037E02"/>
    <w:multiLevelType w:val="hybridMultilevel"/>
    <w:tmpl w:val="B41078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153242F3"/>
    <w:multiLevelType w:val="hybridMultilevel"/>
    <w:tmpl w:val="4F6AE4A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15:restartNumberingAfterBreak="0">
    <w:nsid w:val="1563373B"/>
    <w:multiLevelType w:val="hybridMultilevel"/>
    <w:tmpl w:val="412C7EC0"/>
    <w:lvl w:ilvl="0" w:tplc="0120671C">
      <w:start w:val="1"/>
      <w:numFmt w:val="bullet"/>
      <w:lvlText w:val=""/>
      <w:lvlJc w:val="left"/>
      <w:pPr>
        <w:tabs>
          <w:tab w:val="num" w:pos="720"/>
        </w:tabs>
        <w:ind w:left="720" w:hanging="360"/>
      </w:pPr>
      <w:rPr>
        <w:rFonts w:ascii="Wingdings 2" w:hAnsi="Wingdings 2" w:hint="default"/>
      </w:rPr>
    </w:lvl>
    <w:lvl w:ilvl="1" w:tplc="F6CCB1E2" w:tentative="1">
      <w:start w:val="1"/>
      <w:numFmt w:val="bullet"/>
      <w:lvlText w:val=""/>
      <w:lvlJc w:val="left"/>
      <w:pPr>
        <w:tabs>
          <w:tab w:val="num" w:pos="1440"/>
        </w:tabs>
        <w:ind w:left="1440" w:hanging="360"/>
      </w:pPr>
      <w:rPr>
        <w:rFonts w:ascii="Wingdings 2" w:hAnsi="Wingdings 2" w:hint="default"/>
      </w:rPr>
    </w:lvl>
    <w:lvl w:ilvl="2" w:tplc="B0FC5F8A" w:tentative="1">
      <w:start w:val="1"/>
      <w:numFmt w:val="bullet"/>
      <w:lvlText w:val=""/>
      <w:lvlJc w:val="left"/>
      <w:pPr>
        <w:tabs>
          <w:tab w:val="num" w:pos="2160"/>
        </w:tabs>
        <w:ind w:left="2160" w:hanging="360"/>
      </w:pPr>
      <w:rPr>
        <w:rFonts w:ascii="Wingdings 2" w:hAnsi="Wingdings 2" w:hint="default"/>
      </w:rPr>
    </w:lvl>
    <w:lvl w:ilvl="3" w:tplc="A82E8348" w:tentative="1">
      <w:start w:val="1"/>
      <w:numFmt w:val="bullet"/>
      <w:lvlText w:val=""/>
      <w:lvlJc w:val="left"/>
      <w:pPr>
        <w:tabs>
          <w:tab w:val="num" w:pos="2880"/>
        </w:tabs>
        <w:ind w:left="2880" w:hanging="360"/>
      </w:pPr>
      <w:rPr>
        <w:rFonts w:ascii="Wingdings 2" w:hAnsi="Wingdings 2" w:hint="default"/>
      </w:rPr>
    </w:lvl>
    <w:lvl w:ilvl="4" w:tplc="D04EB8BE" w:tentative="1">
      <w:start w:val="1"/>
      <w:numFmt w:val="bullet"/>
      <w:lvlText w:val=""/>
      <w:lvlJc w:val="left"/>
      <w:pPr>
        <w:tabs>
          <w:tab w:val="num" w:pos="3600"/>
        </w:tabs>
        <w:ind w:left="3600" w:hanging="360"/>
      </w:pPr>
      <w:rPr>
        <w:rFonts w:ascii="Wingdings 2" w:hAnsi="Wingdings 2" w:hint="default"/>
      </w:rPr>
    </w:lvl>
    <w:lvl w:ilvl="5" w:tplc="DF9CE492" w:tentative="1">
      <w:start w:val="1"/>
      <w:numFmt w:val="bullet"/>
      <w:lvlText w:val=""/>
      <w:lvlJc w:val="left"/>
      <w:pPr>
        <w:tabs>
          <w:tab w:val="num" w:pos="4320"/>
        </w:tabs>
        <w:ind w:left="4320" w:hanging="360"/>
      </w:pPr>
      <w:rPr>
        <w:rFonts w:ascii="Wingdings 2" w:hAnsi="Wingdings 2" w:hint="default"/>
      </w:rPr>
    </w:lvl>
    <w:lvl w:ilvl="6" w:tplc="4F6C7C52" w:tentative="1">
      <w:start w:val="1"/>
      <w:numFmt w:val="bullet"/>
      <w:lvlText w:val=""/>
      <w:lvlJc w:val="left"/>
      <w:pPr>
        <w:tabs>
          <w:tab w:val="num" w:pos="5040"/>
        </w:tabs>
        <w:ind w:left="5040" w:hanging="360"/>
      </w:pPr>
      <w:rPr>
        <w:rFonts w:ascii="Wingdings 2" w:hAnsi="Wingdings 2" w:hint="default"/>
      </w:rPr>
    </w:lvl>
    <w:lvl w:ilvl="7" w:tplc="D7AEE092" w:tentative="1">
      <w:start w:val="1"/>
      <w:numFmt w:val="bullet"/>
      <w:lvlText w:val=""/>
      <w:lvlJc w:val="left"/>
      <w:pPr>
        <w:tabs>
          <w:tab w:val="num" w:pos="5760"/>
        </w:tabs>
        <w:ind w:left="5760" w:hanging="360"/>
      </w:pPr>
      <w:rPr>
        <w:rFonts w:ascii="Wingdings 2" w:hAnsi="Wingdings 2" w:hint="default"/>
      </w:rPr>
    </w:lvl>
    <w:lvl w:ilvl="8" w:tplc="EEF60CD2" w:tentative="1">
      <w:start w:val="1"/>
      <w:numFmt w:val="bullet"/>
      <w:lvlText w:val=""/>
      <w:lvlJc w:val="left"/>
      <w:pPr>
        <w:tabs>
          <w:tab w:val="num" w:pos="6480"/>
        </w:tabs>
        <w:ind w:left="6480" w:hanging="360"/>
      </w:pPr>
      <w:rPr>
        <w:rFonts w:ascii="Wingdings 2" w:hAnsi="Wingdings 2" w:hint="default"/>
      </w:rPr>
    </w:lvl>
  </w:abstractNum>
  <w:abstractNum w:abstractNumId="50" w15:restartNumberingAfterBreak="0">
    <w:nsid w:val="165F7D7D"/>
    <w:multiLevelType w:val="hybridMultilevel"/>
    <w:tmpl w:val="F4925034"/>
    <w:lvl w:ilvl="0" w:tplc="5D6EC054">
      <w:start w:val="1"/>
      <w:numFmt w:val="bullet"/>
      <w:lvlText w:val=""/>
      <w:lvlJc w:val="left"/>
      <w:pPr>
        <w:tabs>
          <w:tab w:val="num" w:pos="720"/>
        </w:tabs>
        <w:ind w:left="720" w:hanging="360"/>
      </w:pPr>
      <w:rPr>
        <w:rFonts w:ascii="Wingdings 2" w:hAnsi="Wingdings 2" w:hint="default"/>
      </w:rPr>
    </w:lvl>
    <w:lvl w:ilvl="1" w:tplc="F946A4BC" w:tentative="1">
      <w:start w:val="1"/>
      <w:numFmt w:val="bullet"/>
      <w:lvlText w:val=""/>
      <w:lvlJc w:val="left"/>
      <w:pPr>
        <w:tabs>
          <w:tab w:val="num" w:pos="1440"/>
        </w:tabs>
        <w:ind w:left="1440" w:hanging="360"/>
      </w:pPr>
      <w:rPr>
        <w:rFonts w:ascii="Wingdings 2" w:hAnsi="Wingdings 2" w:hint="default"/>
      </w:rPr>
    </w:lvl>
    <w:lvl w:ilvl="2" w:tplc="3D6E2908" w:tentative="1">
      <w:start w:val="1"/>
      <w:numFmt w:val="bullet"/>
      <w:lvlText w:val=""/>
      <w:lvlJc w:val="left"/>
      <w:pPr>
        <w:tabs>
          <w:tab w:val="num" w:pos="2160"/>
        </w:tabs>
        <w:ind w:left="2160" w:hanging="360"/>
      </w:pPr>
      <w:rPr>
        <w:rFonts w:ascii="Wingdings 2" w:hAnsi="Wingdings 2" w:hint="default"/>
      </w:rPr>
    </w:lvl>
    <w:lvl w:ilvl="3" w:tplc="A31E3046" w:tentative="1">
      <w:start w:val="1"/>
      <w:numFmt w:val="bullet"/>
      <w:lvlText w:val=""/>
      <w:lvlJc w:val="left"/>
      <w:pPr>
        <w:tabs>
          <w:tab w:val="num" w:pos="2880"/>
        </w:tabs>
        <w:ind w:left="2880" w:hanging="360"/>
      </w:pPr>
      <w:rPr>
        <w:rFonts w:ascii="Wingdings 2" w:hAnsi="Wingdings 2" w:hint="default"/>
      </w:rPr>
    </w:lvl>
    <w:lvl w:ilvl="4" w:tplc="6382FAD6" w:tentative="1">
      <w:start w:val="1"/>
      <w:numFmt w:val="bullet"/>
      <w:lvlText w:val=""/>
      <w:lvlJc w:val="left"/>
      <w:pPr>
        <w:tabs>
          <w:tab w:val="num" w:pos="3600"/>
        </w:tabs>
        <w:ind w:left="3600" w:hanging="360"/>
      </w:pPr>
      <w:rPr>
        <w:rFonts w:ascii="Wingdings 2" w:hAnsi="Wingdings 2" w:hint="default"/>
      </w:rPr>
    </w:lvl>
    <w:lvl w:ilvl="5" w:tplc="6CC89B82" w:tentative="1">
      <w:start w:val="1"/>
      <w:numFmt w:val="bullet"/>
      <w:lvlText w:val=""/>
      <w:lvlJc w:val="left"/>
      <w:pPr>
        <w:tabs>
          <w:tab w:val="num" w:pos="4320"/>
        </w:tabs>
        <w:ind w:left="4320" w:hanging="360"/>
      </w:pPr>
      <w:rPr>
        <w:rFonts w:ascii="Wingdings 2" w:hAnsi="Wingdings 2" w:hint="default"/>
      </w:rPr>
    </w:lvl>
    <w:lvl w:ilvl="6" w:tplc="7B144F0E" w:tentative="1">
      <w:start w:val="1"/>
      <w:numFmt w:val="bullet"/>
      <w:lvlText w:val=""/>
      <w:lvlJc w:val="left"/>
      <w:pPr>
        <w:tabs>
          <w:tab w:val="num" w:pos="5040"/>
        </w:tabs>
        <w:ind w:left="5040" w:hanging="360"/>
      </w:pPr>
      <w:rPr>
        <w:rFonts w:ascii="Wingdings 2" w:hAnsi="Wingdings 2" w:hint="default"/>
      </w:rPr>
    </w:lvl>
    <w:lvl w:ilvl="7" w:tplc="3BAEE872" w:tentative="1">
      <w:start w:val="1"/>
      <w:numFmt w:val="bullet"/>
      <w:lvlText w:val=""/>
      <w:lvlJc w:val="left"/>
      <w:pPr>
        <w:tabs>
          <w:tab w:val="num" w:pos="5760"/>
        </w:tabs>
        <w:ind w:left="5760" w:hanging="360"/>
      </w:pPr>
      <w:rPr>
        <w:rFonts w:ascii="Wingdings 2" w:hAnsi="Wingdings 2" w:hint="default"/>
      </w:rPr>
    </w:lvl>
    <w:lvl w:ilvl="8" w:tplc="E47CF9FE" w:tentative="1">
      <w:start w:val="1"/>
      <w:numFmt w:val="bullet"/>
      <w:lvlText w:val=""/>
      <w:lvlJc w:val="left"/>
      <w:pPr>
        <w:tabs>
          <w:tab w:val="num" w:pos="6480"/>
        </w:tabs>
        <w:ind w:left="6480" w:hanging="360"/>
      </w:pPr>
      <w:rPr>
        <w:rFonts w:ascii="Wingdings 2" w:hAnsi="Wingdings 2" w:hint="default"/>
      </w:rPr>
    </w:lvl>
  </w:abstractNum>
  <w:abstractNum w:abstractNumId="51" w15:restartNumberingAfterBreak="0">
    <w:nsid w:val="16EF73F4"/>
    <w:multiLevelType w:val="hybridMultilevel"/>
    <w:tmpl w:val="72CEC1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15:restartNumberingAfterBreak="0">
    <w:nsid w:val="171C52BE"/>
    <w:multiLevelType w:val="hybridMultilevel"/>
    <w:tmpl w:val="E34ECE2C"/>
    <w:lvl w:ilvl="0" w:tplc="52FABE1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3" w15:restartNumberingAfterBreak="0">
    <w:nsid w:val="178E4FB1"/>
    <w:multiLevelType w:val="hybridMultilevel"/>
    <w:tmpl w:val="F5509AE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4" w15:restartNumberingAfterBreak="0">
    <w:nsid w:val="17B2382E"/>
    <w:multiLevelType w:val="hybridMultilevel"/>
    <w:tmpl w:val="F3BCF4E4"/>
    <w:lvl w:ilvl="0" w:tplc="5B32E066">
      <w:start w:val="1"/>
      <w:numFmt w:val="bullet"/>
      <w:lvlText w:val=""/>
      <w:lvlJc w:val="left"/>
      <w:pPr>
        <w:ind w:left="720" w:hanging="360"/>
      </w:pPr>
      <w:rPr>
        <w:rFonts w:ascii="Symbol" w:hAnsi="Symbol" w:hint="default"/>
      </w:rPr>
    </w:lvl>
    <w:lvl w:ilvl="1" w:tplc="2D36D64E">
      <w:start w:val="1"/>
      <w:numFmt w:val="bullet"/>
      <w:lvlText w:val="o"/>
      <w:lvlJc w:val="left"/>
      <w:pPr>
        <w:ind w:left="1440" w:hanging="360"/>
      </w:pPr>
      <w:rPr>
        <w:rFonts w:ascii="Courier New" w:hAnsi="Courier New" w:cs="Courier New" w:hint="default"/>
      </w:rPr>
    </w:lvl>
    <w:lvl w:ilvl="2" w:tplc="2A8C8AA0">
      <w:start w:val="1"/>
      <w:numFmt w:val="bullet"/>
      <w:lvlText w:val=""/>
      <w:lvlJc w:val="left"/>
      <w:pPr>
        <w:ind w:left="2160" w:hanging="360"/>
      </w:pPr>
      <w:rPr>
        <w:rFonts w:ascii="Wingdings" w:hAnsi="Wingdings" w:hint="default"/>
      </w:rPr>
    </w:lvl>
    <w:lvl w:ilvl="3" w:tplc="A07669B2">
      <w:start w:val="1"/>
      <w:numFmt w:val="bullet"/>
      <w:lvlText w:val=""/>
      <w:lvlJc w:val="left"/>
      <w:pPr>
        <w:ind w:left="2880" w:hanging="360"/>
      </w:pPr>
      <w:rPr>
        <w:rFonts w:ascii="Symbol" w:hAnsi="Symbol" w:hint="default"/>
      </w:rPr>
    </w:lvl>
    <w:lvl w:ilvl="4" w:tplc="6FB296FA">
      <w:start w:val="1"/>
      <w:numFmt w:val="bullet"/>
      <w:lvlText w:val="o"/>
      <w:lvlJc w:val="left"/>
      <w:pPr>
        <w:ind w:left="3600" w:hanging="360"/>
      </w:pPr>
      <w:rPr>
        <w:rFonts w:ascii="Courier New" w:hAnsi="Courier New" w:cs="Courier New" w:hint="default"/>
      </w:rPr>
    </w:lvl>
    <w:lvl w:ilvl="5" w:tplc="95320816">
      <w:start w:val="1"/>
      <w:numFmt w:val="bullet"/>
      <w:lvlText w:val=""/>
      <w:lvlJc w:val="left"/>
      <w:pPr>
        <w:ind w:left="4320" w:hanging="360"/>
      </w:pPr>
      <w:rPr>
        <w:rFonts w:ascii="Wingdings" w:hAnsi="Wingdings" w:hint="default"/>
      </w:rPr>
    </w:lvl>
    <w:lvl w:ilvl="6" w:tplc="8744C6BA">
      <w:start w:val="1"/>
      <w:numFmt w:val="bullet"/>
      <w:lvlText w:val=""/>
      <w:lvlJc w:val="left"/>
      <w:pPr>
        <w:ind w:left="5040" w:hanging="360"/>
      </w:pPr>
      <w:rPr>
        <w:rFonts w:ascii="Symbol" w:hAnsi="Symbol" w:hint="default"/>
      </w:rPr>
    </w:lvl>
    <w:lvl w:ilvl="7" w:tplc="609219F8">
      <w:start w:val="1"/>
      <w:numFmt w:val="bullet"/>
      <w:lvlText w:val="o"/>
      <w:lvlJc w:val="left"/>
      <w:pPr>
        <w:ind w:left="5760" w:hanging="360"/>
      </w:pPr>
      <w:rPr>
        <w:rFonts w:ascii="Courier New" w:hAnsi="Courier New" w:cs="Courier New" w:hint="default"/>
      </w:rPr>
    </w:lvl>
    <w:lvl w:ilvl="8" w:tplc="803E5718">
      <w:start w:val="1"/>
      <w:numFmt w:val="bullet"/>
      <w:lvlText w:val=""/>
      <w:lvlJc w:val="left"/>
      <w:pPr>
        <w:ind w:left="6480" w:hanging="360"/>
      </w:pPr>
      <w:rPr>
        <w:rFonts w:ascii="Wingdings" w:hAnsi="Wingdings" w:hint="default"/>
      </w:rPr>
    </w:lvl>
  </w:abstractNum>
  <w:abstractNum w:abstractNumId="55" w15:restartNumberingAfterBreak="0">
    <w:nsid w:val="17F83C63"/>
    <w:multiLevelType w:val="hybridMultilevel"/>
    <w:tmpl w:val="76203A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15:restartNumberingAfterBreak="0">
    <w:nsid w:val="18082E01"/>
    <w:multiLevelType w:val="hybridMultilevel"/>
    <w:tmpl w:val="0B3A2E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18B750CE"/>
    <w:multiLevelType w:val="hybridMultilevel"/>
    <w:tmpl w:val="E25EE4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15:restartNumberingAfterBreak="0">
    <w:nsid w:val="19771895"/>
    <w:multiLevelType w:val="hybridMultilevel"/>
    <w:tmpl w:val="6DF4C9EE"/>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9" w15:restartNumberingAfterBreak="0">
    <w:nsid w:val="1ABE24B2"/>
    <w:multiLevelType w:val="hybridMultilevel"/>
    <w:tmpl w:val="E1D43176"/>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15:restartNumberingAfterBreak="0">
    <w:nsid w:val="1AF61062"/>
    <w:multiLevelType w:val="multilevel"/>
    <w:tmpl w:val="87C86E3A"/>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61" w15:restartNumberingAfterBreak="0">
    <w:nsid w:val="1AF73943"/>
    <w:multiLevelType w:val="hybridMultilevel"/>
    <w:tmpl w:val="01C419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15:restartNumberingAfterBreak="0">
    <w:nsid w:val="1BA54801"/>
    <w:multiLevelType w:val="hybridMultilevel"/>
    <w:tmpl w:val="012E80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15:restartNumberingAfterBreak="0">
    <w:nsid w:val="1BC33AC5"/>
    <w:multiLevelType w:val="hybridMultilevel"/>
    <w:tmpl w:val="A88C88C2"/>
    <w:lvl w:ilvl="0" w:tplc="8682C048">
      <w:start w:val="1"/>
      <w:numFmt w:val="decimal"/>
      <w:lvlText w:val="%1."/>
      <w:lvlJc w:val="left"/>
      <w:pPr>
        <w:ind w:left="717" w:hanging="360"/>
      </w:pPr>
      <w:rPr>
        <w:rFonts w:hint="default"/>
      </w:rPr>
    </w:lvl>
    <w:lvl w:ilvl="1" w:tplc="04190019" w:tentative="1">
      <w:start w:val="1"/>
      <w:numFmt w:val="lowerLetter"/>
      <w:lvlText w:val="%2."/>
      <w:lvlJc w:val="left"/>
      <w:pPr>
        <w:ind w:left="1437" w:hanging="360"/>
      </w:pPr>
    </w:lvl>
    <w:lvl w:ilvl="2" w:tplc="0419001B" w:tentative="1">
      <w:start w:val="1"/>
      <w:numFmt w:val="lowerRoman"/>
      <w:lvlText w:val="%3."/>
      <w:lvlJc w:val="right"/>
      <w:pPr>
        <w:ind w:left="2157" w:hanging="180"/>
      </w:pPr>
    </w:lvl>
    <w:lvl w:ilvl="3" w:tplc="0419000F" w:tentative="1">
      <w:start w:val="1"/>
      <w:numFmt w:val="decimal"/>
      <w:lvlText w:val="%4."/>
      <w:lvlJc w:val="left"/>
      <w:pPr>
        <w:ind w:left="2877" w:hanging="360"/>
      </w:pPr>
    </w:lvl>
    <w:lvl w:ilvl="4" w:tplc="04190019" w:tentative="1">
      <w:start w:val="1"/>
      <w:numFmt w:val="lowerLetter"/>
      <w:lvlText w:val="%5."/>
      <w:lvlJc w:val="left"/>
      <w:pPr>
        <w:ind w:left="3597" w:hanging="360"/>
      </w:pPr>
    </w:lvl>
    <w:lvl w:ilvl="5" w:tplc="0419001B" w:tentative="1">
      <w:start w:val="1"/>
      <w:numFmt w:val="lowerRoman"/>
      <w:lvlText w:val="%6."/>
      <w:lvlJc w:val="right"/>
      <w:pPr>
        <w:ind w:left="4317" w:hanging="180"/>
      </w:pPr>
    </w:lvl>
    <w:lvl w:ilvl="6" w:tplc="0419000F" w:tentative="1">
      <w:start w:val="1"/>
      <w:numFmt w:val="decimal"/>
      <w:lvlText w:val="%7."/>
      <w:lvlJc w:val="left"/>
      <w:pPr>
        <w:ind w:left="5037" w:hanging="360"/>
      </w:pPr>
    </w:lvl>
    <w:lvl w:ilvl="7" w:tplc="04190019" w:tentative="1">
      <w:start w:val="1"/>
      <w:numFmt w:val="lowerLetter"/>
      <w:lvlText w:val="%8."/>
      <w:lvlJc w:val="left"/>
      <w:pPr>
        <w:ind w:left="5757" w:hanging="360"/>
      </w:pPr>
    </w:lvl>
    <w:lvl w:ilvl="8" w:tplc="0419001B" w:tentative="1">
      <w:start w:val="1"/>
      <w:numFmt w:val="lowerRoman"/>
      <w:lvlText w:val="%9."/>
      <w:lvlJc w:val="right"/>
      <w:pPr>
        <w:ind w:left="6477" w:hanging="180"/>
      </w:pPr>
    </w:lvl>
  </w:abstractNum>
  <w:abstractNum w:abstractNumId="64" w15:restartNumberingAfterBreak="0">
    <w:nsid w:val="1D0C0A31"/>
    <w:multiLevelType w:val="hybridMultilevel"/>
    <w:tmpl w:val="E51E35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15:restartNumberingAfterBreak="0">
    <w:nsid w:val="1D446394"/>
    <w:multiLevelType w:val="hybridMultilevel"/>
    <w:tmpl w:val="FC8E91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15:restartNumberingAfterBreak="0">
    <w:nsid w:val="1DA871A9"/>
    <w:multiLevelType w:val="hybridMultilevel"/>
    <w:tmpl w:val="60A651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15:restartNumberingAfterBreak="0">
    <w:nsid w:val="1DDD6F7A"/>
    <w:multiLevelType w:val="hybridMultilevel"/>
    <w:tmpl w:val="B4A48EFE"/>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15:restartNumberingAfterBreak="0">
    <w:nsid w:val="1EDF0E41"/>
    <w:multiLevelType w:val="hybridMultilevel"/>
    <w:tmpl w:val="1B0E41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15:restartNumberingAfterBreak="0">
    <w:nsid w:val="1EED2CD2"/>
    <w:multiLevelType w:val="hybridMultilevel"/>
    <w:tmpl w:val="8236EA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15:restartNumberingAfterBreak="0">
    <w:nsid w:val="1F3E3951"/>
    <w:multiLevelType w:val="multilevel"/>
    <w:tmpl w:val="49E2D460"/>
    <w:lvl w:ilvl="0">
      <w:start w:val="1"/>
      <w:numFmt w:val="bullet"/>
      <w:lvlText w:val=""/>
      <w:lvlJc w:val="left"/>
      <w:pPr>
        <w:ind w:left="360" w:hanging="360"/>
      </w:pPr>
      <w:rPr>
        <w:rFonts w:ascii="Symbol" w:hAnsi="Symbol" w:cs="Symbol" w:hint="default"/>
        <w:sz w:val="24"/>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71" w15:restartNumberingAfterBreak="0">
    <w:nsid w:val="1FC92CBC"/>
    <w:multiLevelType w:val="hybridMultilevel"/>
    <w:tmpl w:val="0DCC8ECE"/>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15:restartNumberingAfterBreak="0">
    <w:nsid w:val="20FA4456"/>
    <w:multiLevelType w:val="hybridMultilevel"/>
    <w:tmpl w:val="B8DA27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3" w15:restartNumberingAfterBreak="0">
    <w:nsid w:val="20FF163F"/>
    <w:multiLevelType w:val="hybridMultilevel"/>
    <w:tmpl w:val="685ABDB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4" w15:restartNumberingAfterBreak="0">
    <w:nsid w:val="213D6439"/>
    <w:multiLevelType w:val="hybridMultilevel"/>
    <w:tmpl w:val="67FA647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5" w15:restartNumberingAfterBreak="0">
    <w:nsid w:val="21A8596B"/>
    <w:multiLevelType w:val="hybridMultilevel"/>
    <w:tmpl w:val="08168370"/>
    <w:lvl w:ilvl="0" w:tplc="04190001">
      <w:start w:val="1"/>
      <w:numFmt w:val="bullet"/>
      <w:lvlText w:val=""/>
      <w:lvlJc w:val="left"/>
      <w:pPr>
        <w:ind w:left="1068" w:hanging="360"/>
      </w:pPr>
      <w:rPr>
        <w:rFonts w:ascii="Symbol" w:hAnsi="Symbol" w:hint="default"/>
      </w:rPr>
    </w:lvl>
    <w:lvl w:ilvl="1" w:tplc="04190003">
      <w:start w:val="1"/>
      <w:numFmt w:val="bullet"/>
      <w:lvlText w:val="o"/>
      <w:lvlJc w:val="left"/>
      <w:pPr>
        <w:ind w:left="1788" w:hanging="360"/>
      </w:pPr>
      <w:rPr>
        <w:rFonts w:ascii="Courier New" w:hAnsi="Courier New" w:cs="Courier New" w:hint="default"/>
      </w:rPr>
    </w:lvl>
    <w:lvl w:ilvl="2" w:tplc="04190005">
      <w:start w:val="1"/>
      <w:numFmt w:val="bullet"/>
      <w:lvlText w:val=""/>
      <w:lvlJc w:val="left"/>
      <w:pPr>
        <w:ind w:left="2508" w:hanging="360"/>
      </w:pPr>
      <w:rPr>
        <w:rFonts w:ascii="Wingdings" w:hAnsi="Wingdings" w:hint="default"/>
      </w:rPr>
    </w:lvl>
    <w:lvl w:ilvl="3" w:tplc="04190001">
      <w:start w:val="1"/>
      <w:numFmt w:val="bullet"/>
      <w:lvlText w:val=""/>
      <w:lvlJc w:val="left"/>
      <w:pPr>
        <w:ind w:left="3228" w:hanging="360"/>
      </w:pPr>
      <w:rPr>
        <w:rFonts w:ascii="Symbol" w:hAnsi="Symbol" w:hint="default"/>
      </w:rPr>
    </w:lvl>
    <w:lvl w:ilvl="4" w:tplc="04190003">
      <w:start w:val="1"/>
      <w:numFmt w:val="bullet"/>
      <w:lvlText w:val="o"/>
      <w:lvlJc w:val="left"/>
      <w:pPr>
        <w:ind w:left="3948" w:hanging="360"/>
      </w:pPr>
      <w:rPr>
        <w:rFonts w:ascii="Courier New" w:hAnsi="Courier New" w:cs="Courier New" w:hint="default"/>
      </w:rPr>
    </w:lvl>
    <w:lvl w:ilvl="5" w:tplc="04190005">
      <w:start w:val="1"/>
      <w:numFmt w:val="bullet"/>
      <w:lvlText w:val=""/>
      <w:lvlJc w:val="left"/>
      <w:pPr>
        <w:ind w:left="4668" w:hanging="360"/>
      </w:pPr>
      <w:rPr>
        <w:rFonts w:ascii="Wingdings" w:hAnsi="Wingdings" w:hint="default"/>
      </w:rPr>
    </w:lvl>
    <w:lvl w:ilvl="6" w:tplc="04190001">
      <w:start w:val="1"/>
      <w:numFmt w:val="bullet"/>
      <w:lvlText w:val=""/>
      <w:lvlJc w:val="left"/>
      <w:pPr>
        <w:ind w:left="5388" w:hanging="360"/>
      </w:pPr>
      <w:rPr>
        <w:rFonts w:ascii="Symbol" w:hAnsi="Symbol" w:hint="default"/>
      </w:rPr>
    </w:lvl>
    <w:lvl w:ilvl="7" w:tplc="04190003">
      <w:start w:val="1"/>
      <w:numFmt w:val="bullet"/>
      <w:lvlText w:val="o"/>
      <w:lvlJc w:val="left"/>
      <w:pPr>
        <w:ind w:left="6108" w:hanging="360"/>
      </w:pPr>
      <w:rPr>
        <w:rFonts w:ascii="Courier New" w:hAnsi="Courier New" w:cs="Courier New" w:hint="default"/>
      </w:rPr>
    </w:lvl>
    <w:lvl w:ilvl="8" w:tplc="04190005">
      <w:start w:val="1"/>
      <w:numFmt w:val="bullet"/>
      <w:lvlText w:val=""/>
      <w:lvlJc w:val="left"/>
      <w:pPr>
        <w:ind w:left="6828" w:hanging="360"/>
      </w:pPr>
      <w:rPr>
        <w:rFonts w:ascii="Wingdings" w:hAnsi="Wingdings" w:hint="default"/>
      </w:rPr>
    </w:lvl>
  </w:abstractNum>
  <w:abstractNum w:abstractNumId="76" w15:restartNumberingAfterBreak="0">
    <w:nsid w:val="21DE0566"/>
    <w:multiLevelType w:val="hybridMultilevel"/>
    <w:tmpl w:val="8AA08AE0"/>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77" w15:restartNumberingAfterBreak="0">
    <w:nsid w:val="22204C5C"/>
    <w:multiLevelType w:val="hybridMultilevel"/>
    <w:tmpl w:val="776CE3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15:restartNumberingAfterBreak="0">
    <w:nsid w:val="229D0D4D"/>
    <w:multiLevelType w:val="hybridMultilevel"/>
    <w:tmpl w:val="083C63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15:restartNumberingAfterBreak="0">
    <w:nsid w:val="233978D9"/>
    <w:multiLevelType w:val="hybridMultilevel"/>
    <w:tmpl w:val="C78E15D6"/>
    <w:lvl w:ilvl="0" w:tplc="0456C786">
      <w:numFmt w:val="bullet"/>
      <w:lvlText w:val="•"/>
      <w:lvlJc w:val="left"/>
      <w:rPr>
        <w:rFonts w:ascii="Cambria Math" w:hAnsi="Cambria Math"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15:restartNumberingAfterBreak="0">
    <w:nsid w:val="23437769"/>
    <w:multiLevelType w:val="hybridMultilevel"/>
    <w:tmpl w:val="63BEF63E"/>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15:restartNumberingAfterBreak="0">
    <w:nsid w:val="241D2C14"/>
    <w:multiLevelType w:val="hybridMultilevel"/>
    <w:tmpl w:val="5BBA45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15:restartNumberingAfterBreak="0">
    <w:nsid w:val="24DF4A85"/>
    <w:multiLevelType w:val="hybridMultilevel"/>
    <w:tmpl w:val="241A6172"/>
    <w:lvl w:ilvl="0" w:tplc="EED2B48E">
      <w:start w:val="1"/>
      <w:numFmt w:val="bullet"/>
      <w:lvlText w:val=""/>
      <w:lvlJc w:val="left"/>
      <w:pPr>
        <w:ind w:left="1428" w:hanging="360"/>
      </w:pPr>
      <w:rPr>
        <w:rFonts w:ascii="Symbol" w:hAnsi="Symbol" w:hint="default"/>
      </w:rPr>
    </w:lvl>
    <w:lvl w:ilvl="1" w:tplc="5B5C74E4">
      <w:start w:val="1"/>
      <w:numFmt w:val="bullet"/>
      <w:lvlText w:val="o"/>
      <w:lvlJc w:val="left"/>
      <w:pPr>
        <w:ind w:left="2148" w:hanging="360"/>
      </w:pPr>
      <w:rPr>
        <w:rFonts w:ascii="Courier New" w:hAnsi="Courier New" w:cs="Courier New" w:hint="default"/>
      </w:rPr>
    </w:lvl>
    <w:lvl w:ilvl="2" w:tplc="F1029CF8">
      <w:start w:val="1"/>
      <w:numFmt w:val="bullet"/>
      <w:lvlText w:val=""/>
      <w:lvlJc w:val="left"/>
      <w:pPr>
        <w:ind w:left="2868" w:hanging="360"/>
      </w:pPr>
      <w:rPr>
        <w:rFonts w:ascii="Wingdings" w:hAnsi="Wingdings" w:hint="default"/>
      </w:rPr>
    </w:lvl>
    <w:lvl w:ilvl="3" w:tplc="80B078AE">
      <w:start w:val="1"/>
      <w:numFmt w:val="bullet"/>
      <w:lvlText w:val=""/>
      <w:lvlJc w:val="left"/>
      <w:pPr>
        <w:ind w:left="3588" w:hanging="360"/>
      </w:pPr>
      <w:rPr>
        <w:rFonts w:ascii="Symbol" w:hAnsi="Symbol" w:hint="default"/>
      </w:rPr>
    </w:lvl>
    <w:lvl w:ilvl="4" w:tplc="472A882C">
      <w:start w:val="1"/>
      <w:numFmt w:val="bullet"/>
      <w:lvlText w:val="o"/>
      <w:lvlJc w:val="left"/>
      <w:pPr>
        <w:ind w:left="4308" w:hanging="360"/>
      </w:pPr>
      <w:rPr>
        <w:rFonts w:ascii="Courier New" w:hAnsi="Courier New" w:cs="Courier New" w:hint="default"/>
      </w:rPr>
    </w:lvl>
    <w:lvl w:ilvl="5" w:tplc="A692D73C">
      <w:start w:val="1"/>
      <w:numFmt w:val="bullet"/>
      <w:lvlText w:val=""/>
      <w:lvlJc w:val="left"/>
      <w:pPr>
        <w:ind w:left="5028" w:hanging="360"/>
      </w:pPr>
      <w:rPr>
        <w:rFonts w:ascii="Wingdings" w:hAnsi="Wingdings" w:hint="default"/>
      </w:rPr>
    </w:lvl>
    <w:lvl w:ilvl="6" w:tplc="952406C0">
      <w:start w:val="1"/>
      <w:numFmt w:val="bullet"/>
      <w:lvlText w:val=""/>
      <w:lvlJc w:val="left"/>
      <w:pPr>
        <w:ind w:left="5748" w:hanging="360"/>
      </w:pPr>
      <w:rPr>
        <w:rFonts w:ascii="Symbol" w:hAnsi="Symbol" w:hint="default"/>
      </w:rPr>
    </w:lvl>
    <w:lvl w:ilvl="7" w:tplc="77767F38">
      <w:start w:val="1"/>
      <w:numFmt w:val="bullet"/>
      <w:lvlText w:val="o"/>
      <w:lvlJc w:val="left"/>
      <w:pPr>
        <w:ind w:left="6468" w:hanging="360"/>
      </w:pPr>
      <w:rPr>
        <w:rFonts w:ascii="Courier New" w:hAnsi="Courier New" w:cs="Courier New" w:hint="default"/>
      </w:rPr>
    </w:lvl>
    <w:lvl w:ilvl="8" w:tplc="0E96D622">
      <w:start w:val="1"/>
      <w:numFmt w:val="bullet"/>
      <w:lvlText w:val=""/>
      <w:lvlJc w:val="left"/>
      <w:pPr>
        <w:ind w:left="7188" w:hanging="360"/>
      </w:pPr>
      <w:rPr>
        <w:rFonts w:ascii="Wingdings" w:hAnsi="Wingdings" w:hint="default"/>
      </w:rPr>
    </w:lvl>
  </w:abstractNum>
  <w:abstractNum w:abstractNumId="83" w15:restartNumberingAfterBreak="0">
    <w:nsid w:val="258E74BE"/>
    <w:multiLevelType w:val="hybridMultilevel"/>
    <w:tmpl w:val="0AA268D6"/>
    <w:lvl w:ilvl="0" w:tplc="29E6D5D0">
      <w:start w:val="1"/>
      <w:numFmt w:val="decimal"/>
      <w:lvlText w:val="%1."/>
      <w:lvlJc w:val="left"/>
      <w:pPr>
        <w:ind w:left="1109" w:hanging="40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4" w15:restartNumberingAfterBreak="0">
    <w:nsid w:val="25EC195C"/>
    <w:multiLevelType w:val="hybridMultilevel"/>
    <w:tmpl w:val="4D82F190"/>
    <w:styleLink w:val="1ai1"/>
    <w:lvl w:ilvl="0" w:tplc="29A64A5E">
      <w:start w:val="1"/>
      <w:numFmt w:val="bullet"/>
      <w:lvlText w:val=""/>
      <w:lvlJc w:val="left"/>
      <w:pPr>
        <w:ind w:left="720" w:hanging="360"/>
      </w:pPr>
      <w:rPr>
        <w:rFonts w:ascii="Symbol" w:hAnsi="Symbol"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85" w15:restartNumberingAfterBreak="0">
    <w:nsid w:val="266A5A47"/>
    <w:multiLevelType w:val="hybridMultilevel"/>
    <w:tmpl w:val="DD68871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15:restartNumberingAfterBreak="0">
    <w:nsid w:val="26E55635"/>
    <w:multiLevelType w:val="hybridMultilevel"/>
    <w:tmpl w:val="EBCC74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15:restartNumberingAfterBreak="0">
    <w:nsid w:val="27274BBC"/>
    <w:multiLevelType w:val="hybridMultilevel"/>
    <w:tmpl w:val="AB6CD2E6"/>
    <w:lvl w:ilvl="0" w:tplc="1A5EEBF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8" w15:restartNumberingAfterBreak="0">
    <w:nsid w:val="27B03510"/>
    <w:multiLevelType w:val="multilevel"/>
    <w:tmpl w:val="2F08A22E"/>
    <w:lvl w:ilvl="0">
      <w:start w:val="1"/>
      <w:numFmt w:val="bullet"/>
      <w:lvlText w:val=""/>
      <w:lvlJc w:val="left"/>
      <w:pPr>
        <w:ind w:left="1429" w:hanging="360"/>
      </w:pPr>
      <w:rPr>
        <w:rFonts w:ascii="Symbol" w:hAnsi="Symbol"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89" w15:restartNumberingAfterBreak="0">
    <w:nsid w:val="28CE21F8"/>
    <w:multiLevelType w:val="hybridMultilevel"/>
    <w:tmpl w:val="A43C34CE"/>
    <w:lvl w:ilvl="0" w:tplc="04190001">
      <w:start w:val="1"/>
      <w:numFmt w:val="bullet"/>
      <w:lvlText w:val=""/>
      <w:lvlJc w:val="left"/>
      <w:pPr>
        <w:ind w:left="1069" w:hanging="360"/>
      </w:pPr>
      <w:rPr>
        <w:rFonts w:ascii="Symbol" w:hAnsi="Symbol" w:hint="default"/>
      </w:rPr>
    </w:lvl>
    <w:lvl w:ilvl="1" w:tplc="04190003">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90" w15:restartNumberingAfterBreak="0">
    <w:nsid w:val="29845A96"/>
    <w:multiLevelType w:val="hybridMultilevel"/>
    <w:tmpl w:val="E0AE173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1" w15:restartNumberingAfterBreak="0">
    <w:nsid w:val="29862D22"/>
    <w:multiLevelType w:val="hybridMultilevel"/>
    <w:tmpl w:val="CC9035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15:restartNumberingAfterBreak="0">
    <w:nsid w:val="2A203B18"/>
    <w:multiLevelType w:val="hybridMultilevel"/>
    <w:tmpl w:val="9918B3A0"/>
    <w:lvl w:ilvl="0" w:tplc="63BA4DF6">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93" w15:restartNumberingAfterBreak="0">
    <w:nsid w:val="2A6A6397"/>
    <w:multiLevelType w:val="hybridMultilevel"/>
    <w:tmpl w:val="AC64127C"/>
    <w:lvl w:ilvl="0" w:tplc="64FA2BDC">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15:restartNumberingAfterBreak="0">
    <w:nsid w:val="2ACB6068"/>
    <w:multiLevelType w:val="hybridMultilevel"/>
    <w:tmpl w:val="186A0532"/>
    <w:lvl w:ilvl="0" w:tplc="38C65AF0">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95" w15:restartNumberingAfterBreak="0">
    <w:nsid w:val="2B230778"/>
    <w:multiLevelType w:val="hybridMultilevel"/>
    <w:tmpl w:val="7D104B3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6" w15:restartNumberingAfterBreak="0">
    <w:nsid w:val="2B657FF0"/>
    <w:multiLevelType w:val="hybridMultilevel"/>
    <w:tmpl w:val="CDB2AB66"/>
    <w:styleLink w:val="1111111"/>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15:restartNumberingAfterBreak="0">
    <w:nsid w:val="2B8E0F97"/>
    <w:multiLevelType w:val="hybridMultilevel"/>
    <w:tmpl w:val="A81845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15:restartNumberingAfterBreak="0">
    <w:nsid w:val="2C9F7B5D"/>
    <w:multiLevelType w:val="hybridMultilevel"/>
    <w:tmpl w:val="F52C27E2"/>
    <w:lvl w:ilvl="0" w:tplc="04190001">
      <w:start w:val="1"/>
      <w:numFmt w:val="bullet"/>
      <w:lvlText w:val=""/>
      <w:lvlJc w:val="left"/>
      <w:pPr>
        <w:ind w:left="504" w:hanging="360"/>
      </w:pPr>
      <w:rPr>
        <w:rFonts w:ascii="Symbol" w:hAnsi="Symbol" w:hint="default"/>
      </w:rPr>
    </w:lvl>
    <w:lvl w:ilvl="1" w:tplc="04190003" w:tentative="1">
      <w:start w:val="1"/>
      <w:numFmt w:val="bullet"/>
      <w:lvlText w:val="o"/>
      <w:lvlJc w:val="left"/>
      <w:pPr>
        <w:ind w:left="1224" w:hanging="360"/>
      </w:pPr>
      <w:rPr>
        <w:rFonts w:ascii="Courier New" w:hAnsi="Courier New" w:cs="Courier New" w:hint="default"/>
      </w:rPr>
    </w:lvl>
    <w:lvl w:ilvl="2" w:tplc="04190005" w:tentative="1">
      <w:start w:val="1"/>
      <w:numFmt w:val="bullet"/>
      <w:lvlText w:val=""/>
      <w:lvlJc w:val="left"/>
      <w:pPr>
        <w:ind w:left="1944" w:hanging="360"/>
      </w:pPr>
      <w:rPr>
        <w:rFonts w:ascii="Wingdings" w:hAnsi="Wingdings" w:hint="default"/>
      </w:rPr>
    </w:lvl>
    <w:lvl w:ilvl="3" w:tplc="04190001" w:tentative="1">
      <w:start w:val="1"/>
      <w:numFmt w:val="bullet"/>
      <w:lvlText w:val=""/>
      <w:lvlJc w:val="left"/>
      <w:pPr>
        <w:ind w:left="2664" w:hanging="360"/>
      </w:pPr>
      <w:rPr>
        <w:rFonts w:ascii="Symbol" w:hAnsi="Symbol" w:hint="default"/>
      </w:rPr>
    </w:lvl>
    <w:lvl w:ilvl="4" w:tplc="04190003" w:tentative="1">
      <w:start w:val="1"/>
      <w:numFmt w:val="bullet"/>
      <w:lvlText w:val="o"/>
      <w:lvlJc w:val="left"/>
      <w:pPr>
        <w:ind w:left="3384" w:hanging="360"/>
      </w:pPr>
      <w:rPr>
        <w:rFonts w:ascii="Courier New" w:hAnsi="Courier New" w:cs="Courier New" w:hint="default"/>
      </w:rPr>
    </w:lvl>
    <w:lvl w:ilvl="5" w:tplc="04190005" w:tentative="1">
      <w:start w:val="1"/>
      <w:numFmt w:val="bullet"/>
      <w:lvlText w:val=""/>
      <w:lvlJc w:val="left"/>
      <w:pPr>
        <w:ind w:left="4104" w:hanging="360"/>
      </w:pPr>
      <w:rPr>
        <w:rFonts w:ascii="Wingdings" w:hAnsi="Wingdings" w:hint="default"/>
      </w:rPr>
    </w:lvl>
    <w:lvl w:ilvl="6" w:tplc="04190001" w:tentative="1">
      <w:start w:val="1"/>
      <w:numFmt w:val="bullet"/>
      <w:lvlText w:val=""/>
      <w:lvlJc w:val="left"/>
      <w:pPr>
        <w:ind w:left="4824" w:hanging="360"/>
      </w:pPr>
      <w:rPr>
        <w:rFonts w:ascii="Symbol" w:hAnsi="Symbol" w:hint="default"/>
      </w:rPr>
    </w:lvl>
    <w:lvl w:ilvl="7" w:tplc="04190003" w:tentative="1">
      <w:start w:val="1"/>
      <w:numFmt w:val="bullet"/>
      <w:lvlText w:val="o"/>
      <w:lvlJc w:val="left"/>
      <w:pPr>
        <w:ind w:left="5544" w:hanging="360"/>
      </w:pPr>
      <w:rPr>
        <w:rFonts w:ascii="Courier New" w:hAnsi="Courier New" w:cs="Courier New" w:hint="default"/>
      </w:rPr>
    </w:lvl>
    <w:lvl w:ilvl="8" w:tplc="04190005" w:tentative="1">
      <w:start w:val="1"/>
      <w:numFmt w:val="bullet"/>
      <w:lvlText w:val=""/>
      <w:lvlJc w:val="left"/>
      <w:pPr>
        <w:ind w:left="6264" w:hanging="360"/>
      </w:pPr>
      <w:rPr>
        <w:rFonts w:ascii="Wingdings" w:hAnsi="Wingdings" w:hint="default"/>
      </w:rPr>
    </w:lvl>
  </w:abstractNum>
  <w:abstractNum w:abstractNumId="99" w15:restartNumberingAfterBreak="0">
    <w:nsid w:val="2CA15120"/>
    <w:multiLevelType w:val="hybridMultilevel"/>
    <w:tmpl w:val="BC3AAAE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0" w15:restartNumberingAfterBreak="0">
    <w:nsid w:val="2CAB5E62"/>
    <w:multiLevelType w:val="hybridMultilevel"/>
    <w:tmpl w:val="60DC6A44"/>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15:restartNumberingAfterBreak="0">
    <w:nsid w:val="2D4D1BA9"/>
    <w:multiLevelType w:val="hybridMultilevel"/>
    <w:tmpl w:val="CCC2A936"/>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2" w15:restartNumberingAfterBreak="0">
    <w:nsid w:val="2D541AA1"/>
    <w:multiLevelType w:val="hybridMultilevel"/>
    <w:tmpl w:val="89E490B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3" w15:restartNumberingAfterBreak="0">
    <w:nsid w:val="2DC05429"/>
    <w:multiLevelType w:val="hybridMultilevel"/>
    <w:tmpl w:val="D2F213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4" w15:restartNumberingAfterBreak="0">
    <w:nsid w:val="2E3036B0"/>
    <w:multiLevelType w:val="hybridMultilevel"/>
    <w:tmpl w:val="91CCED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5" w15:restartNumberingAfterBreak="0">
    <w:nsid w:val="2EC8686D"/>
    <w:multiLevelType w:val="hybridMultilevel"/>
    <w:tmpl w:val="C082B2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15:restartNumberingAfterBreak="0">
    <w:nsid w:val="2F047352"/>
    <w:multiLevelType w:val="hybridMultilevel"/>
    <w:tmpl w:val="BCD4AE86"/>
    <w:lvl w:ilvl="0" w:tplc="04190001">
      <w:start w:val="1"/>
      <w:numFmt w:val="bullet"/>
      <w:lvlText w:val=""/>
      <w:lvlJc w:val="left"/>
      <w:pPr>
        <w:ind w:left="1428" w:hanging="360"/>
      </w:pPr>
      <w:rPr>
        <w:rFonts w:ascii="Symbol" w:hAnsi="Symbol" w:hint="default"/>
      </w:rPr>
    </w:lvl>
    <w:lvl w:ilvl="1" w:tplc="04190003">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07" w15:restartNumberingAfterBreak="0">
    <w:nsid w:val="2F50420A"/>
    <w:multiLevelType w:val="hybridMultilevel"/>
    <w:tmpl w:val="864480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8" w15:restartNumberingAfterBreak="0">
    <w:nsid w:val="307F2DBF"/>
    <w:multiLevelType w:val="hybridMultilevel"/>
    <w:tmpl w:val="45C4F312"/>
    <w:lvl w:ilvl="0" w:tplc="04190001">
      <w:start w:val="1"/>
      <w:numFmt w:val="bullet"/>
      <w:lvlText w:val=""/>
      <w:lvlJc w:val="left"/>
      <w:pPr>
        <w:ind w:left="1145" w:hanging="360"/>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09" w15:restartNumberingAfterBreak="0">
    <w:nsid w:val="30C52E4C"/>
    <w:multiLevelType w:val="hybridMultilevel"/>
    <w:tmpl w:val="C42205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0" w15:restartNumberingAfterBreak="0">
    <w:nsid w:val="30E86D49"/>
    <w:multiLevelType w:val="hybridMultilevel"/>
    <w:tmpl w:val="913AC8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1" w15:restartNumberingAfterBreak="0">
    <w:nsid w:val="334D4E75"/>
    <w:multiLevelType w:val="hybridMultilevel"/>
    <w:tmpl w:val="DEE0B6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2" w15:restartNumberingAfterBreak="0">
    <w:nsid w:val="33A32DB3"/>
    <w:multiLevelType w:val="hybridMultilevel"/>
    <w:tmpl w:val="F1DC45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3" w15:restartNumberingAfterBreak="0">
    <w:nsid w:val="33AB7279"/>
    <w:multiLevelType w:val="hybridMultilevel"/>
    <w:tmpl w:val="B0B6DC4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14" w15:restartNumberingAfterBreak="0">
    <w:nsid w:val="33AC1BDC"/>
    <w:multiLevelType w:val="hybridMultilevel"/>
    <w:tmpl w:val="D9B0DFB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5" w15:restartNumberingAfterBreak="0">
    <w:nsid w:val="346B37C6"/>
    <w:multiLevelType w:val="hybridMultilevel"/>
    <w:tmpl w:val="14927E2C"/>
    <w:lvl w:ilvl="0" w:tplc="BFFE2E26">
      <w:start w:val="1"/>
      <w:numFmt w:val="bullet"/>
      <w:lvlText w:val="•"/>
      <w:lvlJc w:val="left"/>
      <w:pPr>
        <w:ind w:left="720" w:hanging="360"/>
      </w:pPr>
      <w:rPr>
        <w:rFonts w:ascii="Arial" w:hAnsi="Arial"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6" w15:restartNumberingAfterBreak="0">
    <w:nsid w:val="349916C8"/>
    <w:multiLevelType w:val="hybridMultilevel"/>
    <w:tmpl w:val="55983D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7" w15:restartNumberingAfterBreak="0">
    <w:nsid w:val="37D22908"/>
    <w:multiLevelType w:val="hybridMultilevel"/>
    <w:tmpl w:val="EB8257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8" w15:restartNumberingAfterBreak="0">
    <w:nsid w:val="37D64E06"/>
    <w:multiLevelType w:val="hybridMultilevel"/>
    <w:tmpl w:val="EEE2DE64"/>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19" w15:restartNumberingAfterBreak="0">
    <w:nsid w:val="38A42892"/>
    <w:multiLevelType w:val="hybridMultilevel"/>
    <w:tmpl w:val="4CDAC1EE"/>
    <w:lvl w:ilvl="0" w:tplc="04190001">
      <w:start w:val="1"/>
      <w:numFmt w:val="bullet"/>
      <w:lvlText w:val=""/>
      <w:lvlJc w:val="left"/>
      <w:pPr>
        <w:ind w:left="864" w:hanging="360"/>
      </w:pPr>
      <w:rPr>
        <w:rFonts w:ascii="Symbol" w:hAnsi="Symbol" w:hint="default"/>
      </w:rPr>
    </w:lvl>
    <w:lvl w:ilvl="1" w:tplc="04190003" w:tentative="1">
      <w:start w:val="1"/>
      <w:numFmt w:val="bullet"/>
      <w:lvlText w:val="o"/>
      <w:lvlJc w:val="left"/>
      <w:pPr>
        <w:ind w:left="1584" w:hanging="360"/>
      </w:pPr>
      <w:rPr>
        <w:rFonts w:ascii="Courier New" w:hAnsi="Courier New" w:cs="Courier New" w:hint="default"/>
      </w:rPr>
    </w:lvl>
    <w:lvl w:ilvl="2" w:tplc="04190005" w:tentative="1">
      <w:start w:val="1"/>
      <w:numFmt w:val="bullet"/>
      <w:lvlText w:val=""/>
      <w:lvlJc w:val="left"/>
      <w:pPr>
        <w:ind w:left="2304" w:hanging="360"/>
      </w:pPr>
      <w:rPr>
        <w:rFonts w:ascii="Wingdings" w:hAnsi="Wingdings" w:hint="default"/>
      </w:rPr>
    </w:lvl>
    <w:lvl w:ilvl="3" w:tplc="04190001" w:tentative="1">
      <w:start w:val="1"/>
      <w:numFmt w:val="bullet"/>
      <w:lvlText w:val=""/>
      <w:lvlJc w:val="left"/>
      <w:pPr>
        <w:ind w:left="3024" w:hanging="360"/>
      </w:pPr>
      <w:rPr>
        <w:rFonts w:ascii="Symbol" w:hAnsi="Symbol" w:hint="default"/>
      </w:rPr>
    </w:lvl>
    <w:lvl w:ilvl="4" w:tplc="04190003" w:tentative="1">
      <w:start w:val="1"/>
      <w:numFmt w:val="bullet"/>
      <w:lvlText w:val="o"/>
      <w:lvlJc w:val="left"/>
      <w:pPr>
        <w:ind w:left="3744" w:hanging="360"/>
      </w:pPr>
      <w:rPr>
        <w:rFonts w:ascii="Courier New" w:hAnsi="Courier New" w:cs="Courier New" w:hint="default"/>
      </w:rPr>
    </w:lvl>
    <w:lvl w:ilvl="5" w:tplc="04190005" w:tentative="1">
      <w:start w:val="1"/>
      <w:numFmt w:val="bullet"/>
      <w:lvlText w:val=""/>
      <w:lvlJc w:val="left"/>
      <w:pPr>
        <w:ind w:left="4464" w:hanging="360"/>
      </w:pPr>
      <w:rPr>
        <w:rFonts w:ascii="Wingdings" w:hAnsi="Wingdings" w:hint="default"/>
      </w:rPr>
    </w:lvl>
    <w:lvl w:ilvl="6" w:tplc="04190001" w:tentative="1">
      <w:start w:val="1"/>
      <w:numFmt w:val="bullet"/>
      <w:lvlText w:val=""/>
      <w:lvlJc w:val="left"/>
      <w:pPr>
        <w:ind w:left="5184" w:hanging="360"/>
      </w:pPr>
      <w:rPr>
        <w:rFonts w:ascii="Symbol" w:hAnsi="Symbol" w:hint="default"/>
      </w:rPr>
    </w:lvl>
    <w:lvl w:ilvl="7" w:tplc="04190003" w:tentative="1">
      <w:start w:val="1"/>
      <w:numFmt w:val="bullet"/>
      <w:lvlText w:val="o"/>
      <w:lvlJc w:val="left"/>
      <w:pPr>
        <w:ind w:left="5904" w:hanging="360"/>
      </w:pPr>
      <w:rPr>
        <w:rFonts w:ascii="Courier New" w:hAnsi="Courier New" w:cs="Courier New" w:hint="default"/>
      </w:rPr>
    </w:lvl>
    <w:lvl w:ilvl="8" w:tplc="04190005" w:tentative="1">
      <w:start w:val="1"/>
      <w:numFmt w:val="bullet"/>
      <w:lvlText w:val=""/>
      <w:lvlJc w:val="left"/>
      <w:pPr>
        <w:ind w:left="6624" w:hanging="360"/>
      </w:pPr>
      <w:rPr>
        <w:rFonts w:ascii="Wingdings" w:hAnsi="Wingdings" w:hint="default"/>
      </w:rPr>
    </w:lvl>
  </w:abstractNum>
  <w:abstractNum w:abstractNumId="120" w15:restartNumberingAfterBreak="0">
    <w:nsid w:val="38EF7B49"/>
    <w:multiLevelType w:val="hybridMultilevel"/>
    <w:tmpl w:val="043A837C"/>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1" w15:restartNumberingAfterBreak="0">
    <w:nsid w:val="38F66456"/>
    <w:multiLevelType w:val="hybridMultilevel"/>
    <w:tmpl w:val="298AE7AC"/>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2" w15:restartNumberingAfterBreak="0">
    <w:nsid w:val="39483841"/>
    <w:multiLevelType w:val="hybridMultilevel"/>
    <w:tmpl w:val="CEE816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3" w15:restartNumberingAfterBreak="0">
    <w:nsid w:val="39B63A74"/>
    <w:multiLevelType w:val="hybridMultilevel"/>
    <w:tmpl w:val="E13C37CE"/>
    <w:lvl w:ilvl="0" w:tplc="A378BA54">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4" w15:restartNumberingAfterBreak="0">
    <w:nsid w:val="3B4B792C"/>
    <w:multiLevelType w:val="hybridMultilevel"/>
    <w:tmpl w:val="9B3CDC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5" w15:restartNumberingAfterBreak="0">
    <w:nsid w:val="3C5C4AAA"/>
    <w:multiLevelType w:val="hybridMultilevel"/>
    <w:tmpl w:val="BF06C0B0"/>
    <w:lvl w:ilvl="0" w:tplc="6AFCAB1E">
      <w:start w:val="3"/>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6" w15:restartNumberingAfterBreak="0">
    <w:nsid w:val="3D2F7CB3"/>
    <w:multiLevelType w:val="hybridMultilevel"/>
    <w:tmpl w:val="53322A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7" w15:restartNumberingAfterBreak="0">
    <w:nsid w:val="3D3B3E26"/>
    <w:multiLevelType w:val="hybridMultilevel"/>
    <w:tmpl w:val="9460D1A8"/>
    <w:lvl w:ilvl="0" w:tplc="93E8D15E">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28" w15:restartNumberingAfterBreak="0">
    <w:nsid w:val="3DE112F8"/>
    <w:multiLevelType w:val="hybridMultilevel"/>
    <w:tmpl w:val="C004DFF0"/>
    <w:lvl w:ilvl="0" w:tplc="A7CA7F60">
      <w:start w:val="1"/>
      <w:numFmt w:val="bullet"/>
      <w:lvlText w:val=""/>
      <w:lvlJc w:val="left"/>
      <w:pPr>
        <w:ind w:left="720" w:hanging="360"/>
      </w:pPr>
      <w:rPr>
        <w:rFonts w:ascii="Symbol" w:hAnsi="Symbol" w:hint="default"/>
      </w:rPr>
    </w:lvl>
    <w:lvl w:ilvl="1" w:tplc="2870B0D8">
      <w:start w:val="1"/>
      <w:numFmt w:val="bullet"/>
      <w:lvlText w:val="o"/>
      <w:lvlJc w:val="left"/>
      <w:pPr>
        <w:ind w:left="1440" w:hanging="360"/>
      </w:pPr>
      <w:rPr>
        <w:rFonts w:ascii="Courier New" w:hAnsi="Courier New" w:cs="Courier New" w:hint="default"/>
      </w:rPr>
    </w:lvl>
    <w:lvl w:ilvl="2" w:tplc="D506DEB8">
      <w:start w:val="1"/>
      <w:numFmt w:val="bullet"/>
      <w:lvlText w:val=""/>
      <w:lvlJc w:val="left"/>
      <w:pPr>
        <w:ind w:left="2160" w:hanging="360"/>
      </w:pPr>
      <w:rPr>
        <w:rFonts w:ascii="Wingdings" w:hAnsi="Wingdings" w:hint="default"/>
      </w:rPr>
    </w:lvl>
    <w:lvl w:ilvl="3" w:tplc="CE8A0E88">
      <w:start w:val="1"/>
      <w:numFmt w:val="bullet"/>
      <w:lvlText w:val=""/>
      <w:lvlJc w:val="left"/>
      <w:pPr>
        <w:ind w:left="2880" w:hanging="360"/>
      </w:pPr>
      <w:rPr>
        <w:rFonts w:ascii="Symbol" w:hAnsi="Symbol" w:hint="default"/>
      </w:rPr>
    </w:lvl>
    <w:lvl w:ilvl="4" w:tplc="C5806F16">
      <w:start w:val="1"/>
      <w:numFmt w:val="bullet"/>
      <w:lvlText w:val="o"/>
      <w:lvlJc w:val="left"/>
      <w:pPr>
        <w:ind w:left="3600" w:hanging="360"/>
      </w:pPr>
      <w:rPr>
        <w:rFonts w:ascii="Courier New" w:hAnsi="Courier New" w:cs="Courier New" w:hint="default"/>
      </w:rPr>
    </w:lvl>
    <w:lvl w:ilvl="5" w:tplc="1FC4FB46">
      <w:start w:val="1"/>
      <w:numFmt w:val="bullet"/>
      <w:lvlText w:val=""/>
      <w:lvlJc w:val="left"/>
      <w:pPr>
        <w:ind w:left="4320" w:hanging="360"/>
      </w:pPr>
      <w:rPr>
        <w:rFonts w:ascii="Wingdings" w:hAnsi="Wingdings" w:hint="default"/>
      </w:rPr>
    </w:lvl>
    <w:lvl w:ilvl="6" w:tplc="39D4DDAE">
      <w:start w:val="1"/>
      <w:numFmt w:val="bullet"/>
      <w:lvlText w:val=""/>
      <w:lvlJc w:val="left"/>
      <w:pPr>
        <w:ind w:left="5040" w:hanging="360"/>
      </w:pPr>
      <w:rPr>
        <w:rFonts w:ascii="Symbol" w:hAnsi="Symbol" w:hint="default"/>
      </w:rPr>
    </w:lvl>
    <w:lvl w:ilvl="7" w:tplc="00E0E3EE">
      <w:start w:val="1"/>
      <w:numFmt w:val="bullet"/>
      <w:lvlText w:val="o"/>
      <w:lvlJc w:val="left"/>
      <w:pPr>
        <w:ind w:left="5760" w:hanging="360"/>
      </w:pPr>
      <w:rPr>
        <w:rFonts w:ascii="Courier New" w:hAnsi="Courier New" w:cs="Courier New" w:hint="default"/>
      </w:rPr>
    </w:lvl>
    <w:lvl w:ilvl="8" w:tplc="CF64A60A">
      <w:start w:val="1"/>
      <w:numFmt w:val="bullet"/>
      <w:lvlText w:val=""/>
      <w:lvlJc w:val="left"/>
      <w:pPr>
        <w:ind w:left="6480" w:hanging="360"/>
      </w:pPr>
      <w:rPr>
        <w:rFonts w:ascii="Wingdings" w:hAnsi="Wingdings" w:hint="default"/>
      </w:rPr>
    </w:lvl>
  </w:abstractNum>
  <w:abstractNum w:abstractNumId="129" w15:restartNumberingAfterBreak="0">
    <w:nsid w:val="3DFF2E45"/>
    <w:multiLevelType w:val="hybridMultilevel"/>
    <w:tmpl w:val="B34883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0" w15:restartNumberingAfterBreak="0">
    <w:nsid w:val="3EAB7338"/>
    <w:multiLevelType w:val="hybridMultilevel"/>
    <w:tmpl w:val="458A317A"/>
    <w:lvl w:ilvl="0" w:tplc="AA62F688">
      <w:start w:val="1"/>
      <w:numFmt w:val="decimal"/>
      <w:lvlText w:val="%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31" w15:restartNumberingAfterBreak="0">
    <w:nsid w:val="3EBB5F12"/>
    <w:multiLevelType w:val="hybridMultilevel"/>
    <w:tmpl w:val="F86E5E74"/>
    <w:lvl w:ilvl="0" w:tplc="04190001">
      <w:start w:val="1"/>
      <w:numFmt w:val="bullet"/>
      <w:lvlText w:val=""/>
      <w:lvlJc w:val="left"/>
      <w:pPr>
        <w:ind w:left="1145" w:hanging="360"/>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32" w15:restartNumberingAfterBreak="0">
    <w:nsid w:val="3F01408C"/>
    <w:multiLevelType w:val="hybridMultilevel"/>
    <w:tmpl w:val="E02ED63A"/>
    <w:lvl w:ilvl="0" w:tplc="04190001">
      <w:start w:val="1"/>
      <w:numFmt w:val="bullet"/>
      <w:lvlText w:val=""/>
      <w:lvlJc w:val="left"/>
      <w:pPr>
        <w:ind w:left="1496" w:hanging="360"/>
      </w:pPr>
      <w:rPr>
        <w:rFonts w:ascii="Symbol" w:hAnsi="Symbol" w:hint="default"/>
      </w:rPr>
    </w:lvl>
    <w:lvl w:ilvl="1" w:tplc="04190003" w:tentative="1">
      <w:start w:val="1"/>
      <w:numFmt w:val="bullet"/>
      <w:lvlText w:val="o"/>
      <w:lvlJc w:val="left"/>
      <w:pPr>
        <w:ind w:left="2216" w:hanging="360"/>
      </w:pPr>
      <w:rPr>
        <w:rFonts w:ascii="Courier New" w:hAnsi="Courier New" w:cs="Courier New" w:hint="default"/>
      </w:rPr>
    </w:lvl>
    <w:lvl w:ilvl="2" w:tplc="04190005" w:tentative="1">
      <w:start w:val="1"/>
      <w:numFmt w:val="bullet"/>
      <w:lvlText w:val=""/>
      <w:lvlJc w:val="left"/>
      <w:pPr>
        <w:ind w:left="2936" w:hanging="360"/>
      </w:pPr>
      <w:rPr>
        <w:rFonts w:ascii="Wingdings" w:hAnsi="Wingdings" w:hint="default"/>
      </w:rPr>
    </w:lvl>
    <w:lvl w:ilvl="3" w:tplc="04190001" w:tentative="1">
      <w:start w:val="1"/>
      <w:numFmt w:val="bullet"/>
      <w:lvlText w:val=""/>
      <w:lvlJc w:val="left"/>
      <w:pPr>
        <w:ind w:left="3656" w:hanging="360"/>
      </w:pPr>
      <w:rPr>
        <w:rFonts w:ascii="Symbol" w:hAnsi="Symbol" w:hint="default"/>
      </w:rPr>
    </w:lvl>
    <w:lvl w:ilvl="4" w:tplc="04190003" w:tentative="1">
      <w:start w:val="1"/>
      <w:numFmt w:val="bullet"/>
      <w:lvlText w:val="o"/>
      <w:lvlJc w:val="left"/>
      <w:pPr>
        <w:ind w:left="4376" w:hanging="360"/>
      </w:pPr>
      <w:rPr>
        <w:rFonts w:ascii="Courier New" w:hAnsi="Courier New" w:cs="Courier New" w:hint="default"/>
      </w:rPr>
    </w:lvl>
    <w:lvl w:ilvl="5" w:tplc="04190005" w:tentative="1">
      <w:start w:val="1"/>
      <w:numFmt w:val="bullet"/>
      <w:lvlText w:val=""/>
      <w:lvlJc w:val="left"/>
      <w:pPr>
        <w:ind w:left="5096" w:hanging="360"/>
      </w:pPr>
      <w:rPr>
        <w:rFonts w:ascii="Wingdings" w:hAnsi="Wingdings" w:hint="default"/>
      </w:rPr>
    </w:lvl>
    <w:lvl w:ilvl="6" w:tplc="04190001" w:tentative="1">
      <w:start w:val="1"/>
      <w:numFmt w:val="bullet"/>
      <w:lvlText w:val=""/>
      <w:lvlJc w:val="left"/>
      <w:pPr>
        <w:ind w:left="5816" w:hanging="360"/>
      </w:pPr>
      <w:rPr>
        <w:rFonts w:ascii="Symbol" w:hAnsi="Symbol" w:hint="default"/>
      </w:rPr>
    </w:lvl>
    <w:lvl w:ilvl="7" w:tplc="04190003" w:tentative="1">
      <w:start w:val="1"/>
      <w:numFmt w:val="bullet"/>
      <w:lvlText w:val="o"/>
      <w:lvlJc w:val="left"/>
      <w:pPr>
        <w:ind w:left="6536" w:hanging="360"/>
      </w:pPr>
      <w:rPr>
        <w:rFonts w:ascii="Courier New" w:hAnsi="Courier New" w:cs="Courier New" w:hint="default"/>
      </w:rPr>
    </w:lvl>
    <w:lvl w:ilvl="8" w:tplc="04190005" w:tentative="1">
      <w:start w:val="1"/>
      <w:numFmt w:val="bullet"/>
      <w:lvlText w:val=""/>
      <w:lvlJc w:val="left"/>
      <w:pPr>
        <w:ind w:left="7256" w:hanging="360"/>
      </w:pPr>
      <w:rPr>
        <w:rFonts w:ascii="Wingdings" w:hAnsi="Wingdings" w:hint="default"/>
      </w:rPr>
    </w:lvl>
  </w:abstractNum>
  <w:abstractNum w:abstractNumId="133" w15:restartNumberingAfterBreak="0">
    <w:nsid w:val="3F7D6042"/>
    <w:multiLevelType w:val="hybridMultilevel"/>
    <w:tmpl w:val="FF4234CC"/>
    <w:lvl w:ilvl="0" w:tplc="04190001">
      <w:start w:val="1"/>
      <w:numFmt w:val="bullet"/>
      <w:lvlText w:val=""/>
      <w:lvlJc w:val="left"/>
      <w:pPr>
        <w:ind w:left="1145" w:hanging="360"/>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34" w15:restartNumberingAfterBreak="0">
    <w:nsid w:val="403D17B0"/>
    <w:multiLevelType w:val="hybridMultilevel"/>
    <w:tmpl w:val="13D05194"/>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5" w15:restartNumberingAfterBreak="0">
    <w:nsid w:val="40F00836"/>
    <w:multiLevelType w:val="hybridMultilevel"/>
    <w:tmpl w:val="488C873E"/>
    <w:lvl w:ilvl="0" w:tplc="0419000F">
      <w:start w:val="1"/>
      <w:numFmt w:val="decimal"/>
      <w:lvlText w:val="%1."/>
      <w:lvlJc w:val="left"/>
      <w:pPr>
        <w:ind w:left="1080" w:hanging="360"/>
      </w:pPr>
      <w:rPr>
        <w:rFonts w:cs="Times New Roman"/>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36" w15:restartNumberingAfterBreak="0">
    <w:nsid w:val="41396A68"/>
    <w:multiLevelType w:val="hybridMultilevel"/>
    <w:tmpl w:val="B944F276"/>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37" w15:restartNumberingAfterBreak="0">
    <w:nsid w:val="41F926C8"/>
    <w:multiLevelType w:val="hybridMultilevel"/>
    <w:tmpl w:val="967C85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8" w15:restartNumberingAfterBreak="0">
    <w:nsid w:val="4277245C"/>
    <w:multiLevelType w:val="hybridMultilevel"/>
    <w:tmpl w:val="2F181A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9" w15:restartNumberingAfterBreak="0">
    <w:nsid w:val="42991DAF"/>
    <w:multiLevelType w:val="multilevel"/>
    <w:tmpl w:val="0ADC0DBC"/>
    <w:lvl w:ilvl="0">
      <w:start w:val="1"/>
      <w:numFmt w:val="bullet"/>
      <w:lvlText w:val=""/>
      <w:lvlJc w:val="left"/>
      <w:pPr>
        <w:ind w:left="720" w:hanging="360"/>
      </w:pPr>
      <w:rPr>
        <w:rFonts w:ascii="Symbol" w:hAnsi="Symbol" w:cs="Symbol"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40" w15:restartNumberingAfterBreak="0">
    <w:nsid w:val="436671F2"/>
    <w:multiLevelType w:val="hybridMultilevel"/>
    <w:tmpl w:val="589CD9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15:restartNumberingAfterBreak="0">
    <w:nsid w:val="440C4110"/>
    <w:multiLevelType w:val="hybridMultilevel"/>
    <w:tmpl w:val="A87ACD3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2" w15:restartNumberingAfterBreak="0">
    <w:nsid w:val="47216FC1"/>
    <w:multiLevelType w:val="hybridMultilevel"/>
    <w:tmpl w:val="308E17F0"/>
    <w:lvl w:ilvl="0" w:tplc="04190001">
      <w:start w:val="1"/>
      <w:numFmt w:val="bullet"/>
      <w:lvlText w:val=""/>
      <w:lvlJc w:val="left"/>
      <w:pPr>
        <w:ind w:left="1211" w:hanging="360"/>
      </w:pPr>
      <w:rPr>
        <w:rFonts w:ascii="Symbol" w:hAnsi="Symbol"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43" w15:restartNumberingAfterBreak="0">
    <w:nsid w:val="47500D16"/>
    <w:multiLevelType w:val="hybridMultilevel"/>
    <w:tmpl w:val="D312DB6A"/>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4" w15:restartNumberingAfterBreak="0">
    <w:nsid w:val="47E14443"/>
    <w:multiLevelType w:val="hybridMultilevel"/>
    <w:tmpl w:val="EE26ED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5" w15:restartNumberingAfterBreak="0">
    <w:nsid w:val="47F836B7"/>
    <w:multiLevelType w:val="hybridMultilevel"/>
    <w:tmpl w:val="C82842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6" w15:restartNumberingAfterBreak="0">
    <w:nsid w:val="480F1C15"/>
    <w:multiLevelType w:val="multilevel"/>
    <w:tmpl w:val="32B6D122"/>
    <w:lvl w:ilvl="0">
      <w:start w:val="1"/>
      <w:numFmt w:val="bullet"/>
      <w:lvlText w:val=""/>
      <w:lvlJc w:val="left"/>
      <w:pPr>
        <w:ind w:left="360" w:hanging="360"/>
      </w:pPr>
      <w:rPr>
        <w:rFonts w:ascii="Symbol" w:hAnsi="Symbol" w:cs="Symbol" w:hint="default"/>
        <w:sz w:val="24"/>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47" w15:restartNumberingAfterBreak="0">
    <w:nsid w:val="48A1119A"/>
    <w:multiLevelType w:val="hybridMultilevel"/>
    <w:tmpl w:val="EC341D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8" w15:restartNumberingAfterBreak="0">
    <w:nsid w:val="48B517A5"/>
    <w:multiLevelType w:val="hybridMultilevel"/>
    <w:tmpl w:val="9FF4C4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9" w15:restartNumberingAfterBreak="0">
    <w:nsid w:val="48CC0A55"/>
    <w:multiLevelType w:val="hybridMultilevel"/>
    <w:tmpl w:val="132254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0" w15:restartNumberingAfterBreak="0">
    <w:nsid w:val="48E834BF"/>
    <w:multiLevelType w:val="hybridMultilevel"/>
    <w:tmpl w:val="83E0BB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1" w15:restartNumberingAfterBreak="0">
    <w:nsid w:val="49713AE2"/>
    <w:multiLevelType w:val="hybridMultilevel"/>
    <w:tmpl w:val="7C460B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2" w15:restartNumberingAfterBreak="0">
    <w:nsid w:val="49AF70B8"/>
    <w:multiLevelType w:val="hybridMultilevel"/>
    <w:tmpl w:val="1EFC1C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3" w15:restartNumberingAfterBreak="0">
    <w:nsid w:val="4AE857F8"/>
    <w:multiLevelType w:val="multilevel"/>
    <w:tmpl w:val="2F08A22E"/>
    <w:lvl w:ilvl="0">
      <w:start w:val="1"/>
      <w:numFmt w:val="bullet"/>
      <w:lvlText w:val=""/>
      <w:lvlJc w:val="left"/>
      <w:pPr>
        <w:ind w:left="1429" w:hanging="360"/>
      </w:pPr>
      <w:rPr>
        <w:rFonts w:ascii="Symbol" w:hAnsi="Symbol"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54" w15:restartNumberingAfterBreak="0">
    <w:nsid w:val="4AEF0A1E"/>
    <w:multiLevelType w:val="hybridMultilevel"/>
    <w:tmpl w:val="86C254D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5" w15:restartNumberingAfterBreak="0">
    <w:nsid w:val="4B912FC9"/>
    <w:multiLevelType w:val="hybridMultilevel"/>
    <w:tmpl w:val="F8BE31C4"/>
    <w:styleLink w:val="1"/>
    <w:lvl w:ilvl="0" w:tplc="B97EBB6A">
      <w:start w:val="1"/>
      <w:numFmt w:val="bullet"/>
      <w:lvlText w:val="·"/>
      <w:lvlJc w:val="left"/>
      <w:pPr>
        <w:ind w:left="967" w:hanging="570"/>
      </w:pPr>
      <w:rPr>
        <w:rFonts w:ascii="Symbol" w:eastAsia="Times New Roman" w:hAnsi="Symbol"/>
        <w:b w:val="0"/>
        <w:i w:val="0"/>
        <w:caps w:val="0"/>
        <w:smallCaps w:val="0"/>
        <w:strike w:val="0"/>
        <w:dstrike w:val="0"/>
        <w:color w:val="000000"/>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C182848">
      <w:start w:val="1"/>
      <w:numFmt w:val="bullet"/>
      <w:lvlText w:val="o"/>
      <w:lvlJc w:val="left"/>
      <w:pPr>
        <w:tabs>
          <w:tab w:val="num" w:pos="1761"/>
        </w:tabs>
        <w:ind w:left="1364" w:firstLine="150"/>
      </w:pPr>
      <w:rPr>
        <w:rFonts w:ascii="Arial Unicode MS" w:eastAsia="Arial Unicode MS" w:hAnsi="Arial Unicode MS"/>
        <w:b w:val="0"/>
        <w:i w:val="0"/>
        <w:caps w:val="0"/>
        <w:smallCaps w:val="0"/>
        <w:strike w:val="0"/>
        <w:dstrike w:val="0"/>
        <w:color w:val="000000"/>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0ECE9D2">
      <w:start w:val="1"/>
      <w:numFmt w:val="bullet"/>
      <w:lvlText w:val="▪"/>
      <w:lvlJc w:val="left"/>
      <w:pPr>
        <w:ind w:left="2194" w:hanging="570"/>
      </w:pPr>
      <w:rPr>
        <w:rFonts w:ascii="Arial Unicode MS" w:eastAsia="Arial Unicode MS" w:hAnsi="Arial Unicode MS"/>
        <w:b w:val="0"/>
        <w:i w:val="0"/>
        <w:caps w:val="0"/>
        <w:smallCaps w:val="0"/>
        <w:strike w:val="0"/>
        <w:dstrike w:val="0"/>
        <w:color w:val="000000"/>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7745518">
      <w:start w:val="1"/>
      <w:numFmt w:val="bullet"/>
      <w:lvlText w:val="·"/>
      <w:lvlJc w:val="left"/>
      <w:pPr>
        <w:ind w:left="2914" w:hanging="570"/>
      </w:pPr>
      <w:rPr>
        <w:rFonts w:ascii="Symbol" w:eastAsia="Times New Roman" w:hAnsi="Symbol"/>
        <w:b w:val="0"/>
        <w:i w:val="0"/>
        <w:caps w:val="0"/>
        <w:smallCaps w:val="0"/>
        <w:strike w:val="0"/>
        <w:dstrike w:val="0"/>
        <w:color w:val="000000"/>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FB2730C">
      <w:start w:val="1"/>
      <w:numFmt w:val="bullet"/>
      <w:lvlText w:val="o"/>
      <w:lvlJc w:val="left"/>
      <w:pPr>
        <w:ind w:left="3634" w:hanging="570"/>
      </w:pPr>
      <w:rPr>
        <w:rFonts w:ascii="Arial Unicode MS" w:eastAsia="Arial Unicode MS" w:hAnsi="Arial Unicode MS"/>
        <w:b w:val="0"/>
        <w:i w:val="0"/>
        <w:caps w:val="0"/>
        <w:smallCaps w:val="0"/>
        <w:strike w:val="0"/>
        <w:dstrike w:val="0"/>
        <w:color w:val="000000"/>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F60F3CA">
      <w:start w:val="1"/>
      <w:numFmt w:val="bullet"/>
      <w:lvlText w:val="▪"/>
      <w:lvlJc w:val="left"/>
      <w:pPr>
        <w:ind w:left="4354" w:hanging="570"/>
      </w:pPr>
      <w:rPr>
        <w:rFonts w:ascii="Arial Unicode MS" w:eastAsia="Arial Unicode MS" w:hAnsi="Arial Unicode MS"/>
        <w:b w:val="0"/>
        <w:i w:val="0"/>
        <w:caps w:val="0"/>
        <w:smallCaps w:val="0"/>
        <w:strike w:val="0"/>
        <w:dstrike w:val="0"/>
        <w:color w:val="000000"/>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03C1838">
      <w:start w:val="1"/>
      <w:numFmt w:val="bullet"/>
      <w:lvlText w:val="·"/>
      <w:lvlJc w:val="left"/>
      <w:pPr>
        <w:ind w:left="5074" w:hanging="570"/>
      </w:pPr>
      <w:rPr>
        <w:rFonts w:ascii="Symbol" w:eastAsia="Times New Roman" w:hAnsi="Symbol"/>
        <w:b w:val="0"/>
        <w:i w:val="0"/>
        <w:caps w:val="0"/>
        <w:smallCaps w:val="0"/>
        <w:strike w:val="0"/>
        <w:dstrike w:val="0"/>
        <w:color w:val="000000"/>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312015A">
      <w:start w:val="1"/>
      <w:numFmt w:val="bullet"/>
      <w:lvlText w:val="o"/>
      <w:lvlJc w:val="left"/>
      <w:pPr>
        <w:ind w:left="5794" w:hanging="570"/>
      </w:pPr>
      <w:rPr>
        <w:rFonts w:ascii="Arial Unicode MS" w:eastAsia="Arial Unicode MS" w:hAnsi="Arial Unicode MS"/>
        <w:b w:val="0"/>
        <w:i w:val="0"/>
        <w:caps w:val="0"/>
        <w:smallCaps w:val="0"/>
        <w:strike w:val="0"/>
        <w:dstrike w:val="0"/>
        <w:color w:val="000000"/>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ACA0E84">
      <w:start w:val="1"/>
      <w:numFmt w:val="bullet"/>
      <w:lvlText w:val="▪"/>
      <w:lvlJc w:val="left"/>
      <w:pPr>
        <w:ind w:left="6514" w:hanging="570"/>
      </w:pPr>
      <w:rPr>
        <w:rFonts w:ascii="Arial Unicode MS" w:eastAsia="Arial Unicode MS" w:hAnsi="Arial Unicode MS"/>
        <w:b w:val="0"/>
        <w:i w:val="0"/>
        <w:caps w:val="0"/>
        <w:smallCaps w:val="0"/>
        <w:strike w:val="0"/>
        <w:dstrike w:val="0"/>
        <w:color w:val="000000"/>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6" w15:restartNumberingAfterBreak="0">
    <w:nsid w:val="4C150BCE"/>
    <w:multiLevelType w:val="hybridMultilevel"/>
    <w:tmpl w:val="B57CFDE0"/>
    <w:lvl w:ilvl="0" w:tplc="234C896E">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7" w15:restartNumberingAfterBreak="0">
    <w:nsid w:val="4C6E52F0"/>
    <w:multiLevelType w:val="hybridMultilevel"/>
    <w:tmpl w:val="00F27DB0"/>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58" w15:restartNumberingAfterBreak="0">
    <w:nsid w:val="4D4633B7"/>
    <w:multiLevelType w:val="hybridMultilevel"/>
    <w:tmpl w:val="4E94FD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9" w15:restartNumberingAfterBreak="0">
    <w:nsid w:val="4E002C25"/>
    <w:multiLevelType w:val="hybridMultilevel"/>
    <w:tmpl w:val="9E5258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0" w15:restartNumberingAfterBreak="0">
    <w:nsid w:val="4EA30340"/>
    <w:multiLevelType w:val="hybridMultilevel"/>
    <w:tmpl w:val="B6F0C3DC"/>
    <w:lvl w:ilvl="0" w:tplc="0419000F">
      <w:start w:val="1"/>
      <w:numFmt w:val="decimal"/>
      <w:lvlText w:val="%1."/>
      <w:lvlJc w:val="left"/>
      <w:pPr>
        <w:ind w:left="1068" w:hanging="360"/>
      </w:pPr>
      <w:rPr>
        <w:rFonts w:hint="default"/>
      </w:rPr>
    </w:lvl>
    <w:lvl w:ilvl="1" w:tplc="0CF6ACBC">
      <w:start w:val="1"/>
      <w:numFmt w:val="decimal"/>
      <w:lvlText w:val="%2."/>
      <w:lvlJc w:val="left"/>
      <w:pPr>
        <w:ind w:left="1440" w:hanging="360"/>
      </w:pPr>
      <w:rPr>
        <w:rFonts w:hint="default"/>
      </w:rPr>
    </w:lvl>
    <w:lvl w:ilvl="2" w:tplc="58704C1C">
      <w:start w:val="1"/>
      <w:numFmt w:val="lowerRoman"/>
      <w:lvlText w:val="%3."/>
      <w:lvlJc w:val="right"/>
      <w:pPr>
        <w:ind w:left="2160" w:hanging="180"/>
      </w:pPr>
    </w:lvl>
    <w:lvl w:ilvl="3" w:tplc="547EBF6C">
      <w:start w:val="1"/>
      <w:numFmt w:val="decimal"/>
      <w:lvlText w:val="%4."/>
      <w:lvlJc w:val="left"/>
      <w:pPr>
        <w:ind w:left="2880" w:hanging="360"/>
      </w:pPr>
    </w:lvl>
    <w:lvl w:ilvl="4" w:tplc="21F628DC">
      <w:start w:val="1"/>
      <w:numFmt w:val="lowerLetter"/>
      <w:lvlText w:val="%5."/>
      <w:lvlJc w:val="left"/>
      <w:pPr>
        <w:ind w:left="3600" w:hanging="360"/>
      </w:pPr>
    </w:lvl>
    <w:lvl w:ilvl="5" w:tplc="082CFF88">
      <w:start w:val="1"/>
      <w:numFmt w:val="lowerRoman"/>
      <w:lvlText w:val="%6."/>
      <w:lvlJc w:val="right"/>
      <w:pPr>
        <w:ind w:left="4320" w:hanging="180"/>
      </w:pPr>
    </w:lvl>
    <w:lvl w:ilvl="6" w:tplc="AD2E6324">
      <w:start w:val="1"/>
      <w:numFmt w:val="decimal"/>
      <w:lvlText w:val="%7."/>
      <w:lvlJc w:val="left"/>
      <w:pPr>
        <w:ind w:left="5040" w:hanging="360"/>
      </w:pPr>
    </w:lvl>
    <w:lvl w:ilvl="7" w:tplc="E494B0C4">
      <w:start w:val="1"/>
      <w:numFmt w:val="lowerLetter"/>
      <w:lvlText w:val="%8."/>
      <w:lvlJc w:val="left"/>
      <w:pPr>
        <w:ind w:left="5760" w:hanging="360"/>
      </w:pPr>
    </w:lvl>
    <w:lvl w:ilvl="8" w:tplc="BAA87298">
      <w:start w:val="1"/>
      <w:numFmt w:val="lowerRoman"/>
      <w:lvlText w:val="%9."/>
      <w:lvlJc w:val="right"/>
      <w:pPr>
        <w:ind w:left="6480" w:hanging="180"/>
      </w:pPr>
    </w:lvl>
  </w:abstractNum>
  <w:abstractNum w:abstractNumId="161" w15:restartNumberingAfterBreak="0">
    <w:nsid w:val="4EB669D0"/>
    <w:multiLevelType w:val="hybridMultilevel"/>
    <w:tmpl w:val="50E6E1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2" w15:restartNumberingAfterBreak="0">
    <w:nsid w:val="4EF30506"/>
    <w:multiLevelType w:val="multilevel"/>
    <w:tmpl w:val="E2FC6E58"/>
    <w:lvl w:ilvl="0">
      <w:start w:val="1"/>
      <w:numFmt w:val="bullet"/>
      <w:lvlText w:val=""/>
      <w:lvlJc w:val="left"/>
      <w:pPr>
        <w:ind w:left="720" w:hanging="360"/>
      </w:pPr>
      <w:rPr>
        <w:rFonts w:ascii="Symbol" w:hAnsi="Symbol" w:cs="Symbol" w:hint="default"/>
        <w:b w:val="0"/>
        <w:sz w:val="24"/>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3" w15:restartNumberingAfterBreak="0">
    <w:nsid w:val="4F413584"/>
    <w:multiLevelType w:val="hybridMultilevel"/>
    <w:tmpl w:val="9D82F3E8"/>
    <w:lvl w:ilvl="0" w:tplc="B65A457C">
      <w:start w:val="1"/>
      <w:numFmt w:val="bullet"/>
      <w:lvlText w:val=""/>
      <w:lvlJc w:val="left"/>
      <w:pPr>
        <w:ind w:left="1068" w:hanging="360"/>
      </w:pPr>
      <w:rPr>
        <w:rFonts w:ascii="Symbol" w:hAnsi="Symbol" w:hint="default"/>
      </w:rPr>
    </w:lvl>
    <w:lvl w:ilvl="1" w:tplc="0CF6ACBC">
      <w:start w:val="1"/>
      <w:numFmt w:val="decimal"/>
      <w:lvlText w:val="%2."/>
      <w:lvlJc w:val="left"/>
      <w:pPr>
        <w:ind w:left="1440" w:hanging="360"/>
      </w:pPr>
      <w:rPr>
        <w:rFonts w:hint="default"/>
      </w:rPr>
    </w:lvl>
    <w:lvl w:ilvl="2" w:tplc="58704C1C">
      <w:start w:val="1"/>
      <w:numFmt w:val="lowerRoman"/>
      <w:lvlText w:val="%3."/>
      <w:lvlJc w:val="right"/>
      <w:pPr>
        <w:ind w:left="2160" w:hanging="180"/>
      </w:pPr>
    </w:lvl>
    <w:lvl w:ilvl="3" w:tplc="547EBF6C">
      <w:start w:val="1"/>
      <w:numFmt w:val="decimal"/>
      <w:lvlText w:val="%4."/>
      <w:lvlJc w:val="left"/>
      <w:pPr>
        <w:ind w:left="2880" w:hanging="360"/>
      </w:pPr>
    </w:lvl>
    <w:lvl w:ilvl="4" w:tplc="21F628DC">
      <w:start w:val="1"/>
      <w:numFmt w:val="lowerLetter"/>
      <w:lvlText w:val="%5."/>
      <w:lvlJc w:val="left"/>
      <w:pPr>
        <w:ind w:left="3600" w:hanging="360"/>
      </w:pPr>
    </w:lvl>
    <w:lvl w:ilvl="5" w:tplc="082CFF88">
      <w:start w:val="1"/>
      <w:numFmt w:val="lowerRoman"/>
      <w:lvlText w:val="%6."/>
      <w:lvlJc w:val="right"/>
      <w:pPr>
        <w:ind w:left="4320" w:hanging="180"/>
      </w:pPr>
    </w:lvl>
    <w:lvl w:ilvl="6" w:tplc="AD2E6324">
      <w:start w:val="1"/>
      <w:numFmt w:val="decimal"/>
      <w:lvlText w:val="%7."/>
      <w:lvlJc w:val="left"/>
      <w:pPr>
        <w:ind w:left="5040" w:hanging="360"/>
      </w:pPr>
    </w:lvl>
    <w:lvl w:ilvl="7" w:tplc="E494B0C4">
      <w:start w:val="1"/>
      <w:numFmt w:val="lowerLetter"/>
      <w:lvlText w:val="%8."/>
      <w:lvlJc w:val="left"/>
      <w:pPr>
        <w:ind w:left="5760" w:hanging="360"/>
      </w:pPr>
    </w:lvl>
    <w:lvl w:ilvl="8" w:tplc="BAA87298">
      <w:start w:val="1"/>
      <w:numFmt w:val="lowerRoman"/>
      <w:lvlText w:val="%9."/>
      <w:lvlJc w:val="right"/>
      <w:pPr>
        <w:ind w:left="6480" w:hanging="180"/>
      </w:pPr>
    </w:lvl>
  </w:abstractNum>
  <w:abstractNum w:abstractNumId="164" w15:restartNumberingAfterBreak="0">
    <w:nsid w:val="51003E57"/>
    <w:multiLevelType w:val="hybridMultilevel"/>
    <w:tmpl w:val="AA76023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5" w15:restartNumberingAfterBreak="0">
    <w:nsid w:val="51E0408F"/>
    <w:multiLevelType w:val="hybridMultilevel"/>
    <w:tmpl w:val="C5F624C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6" w15:restartNumberingAfterBreak="0">
    <w:nsid w:val="53C60F6D"/>
    <w:multiLevelType w:val="hybridMultilevel"/>
    <w:tmpl w:val="7634162C"/>
    <w:lvl w:ilvl="0" w:tplc="D48EC5BE">
      <w:start w:val="1"/>
      <w:numFmt w:val="decimal"/>
      <w:lvlText w:val="%1."/>
      <w:lvlJc w:val="left"/>
      <w:pPr>
        <w:ind w:left="1069" w:hanging="360"/>
      </w:pPr>
      <w:rPr>
        <w:rFonts w:hint="default"/>
        <w:b w:val="0"/>
        <w:bCs/>
      </w:rPr>
    </w:lvl>
    <w:lvl w:ilvl="1" w:tplc="04190019" w:tentative="1">
      <w:start w:val="1"/>
      <w:numFmt w:val="lowerLetter"/>
      <w:lvlText w:val="%2."/>
      <w:lvlJc w:val="left"/>
      <w:pPr>
        <w:ind w:left="1789" w:hanging="360"/>
      </w:pPr>
    </w:lvl>
    <w:lvl w:ilvl="2" w:tplc="0419001B">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7" w15:restartNumberingAfterBreak="0">
    <w:nsid w:val="53E07807"/>
    <w:multiLevelType w:val="hybridMultilevel"/>
    <w:tmpl w:val="05F008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8" w15:restartNumberingAfterBreak="0">
    <w:nsid w:val="54A15903"/>
    <w:multiLevelType w:val="hybridMultilevel"/>
    <w:tmpl w:val="974CAD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9" w15:restartNumberingAfterBreak="0">
    <w:nsid w:val="5556173C"/>
    <w:multiLevelType w:val="hybridMultilevel"/>
    <w:tmpl w:val="A9246EA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0" w15:restartNumberingAfterBreak="0">
    <w:nsid w:val="55DD441C"/>
    <w:multiLevelType w:val="multilevel"/>
    <w:tmpl w:val="F758790E"/>
    <w:lvl w:ilvl="0">
      <w:start w:val="1"/>
      <w:numFmt w:val="bullet"/>
      <w:lvlText w:val=""/>
      <w:lvlJc w:val="left"/>
      <w:pPr>
        <w:ind w:left="720" w:hanging="360"/>
      </w:pPr>
      <w:rPr>
        <w:rFonts w:ascii="Symbol" w:hAnsi="Symbol" w:cs="Symbol" w:hint="default"/>
        <w:b w:val="0"/>
        <w:sz w:val="24"/>
      </w:rPr>
    </w:lvl>
    <w:lvl w:ilvl="1">
      <w:start w:val="1"/>
      <w:numFmt w:val="decimal"/>
      <w:lvlText w:val="%2)"/>
      <w:lvlJc w:val="left"/>
      <w:pPr>
        <w:ind w:left="1440" w:hanging="360"/>
      </w:pPr>
      <w:rPr>
        <w:rFonts w:hint="default"/>
      </w:rPr>
    </w:lvl>
    <w:lvl w:ilvl="2">
      <w:start w:val="1"/>
      <w:numFmt w:val="bullet"/>
      <w:lvlText w:val=""/>
      <w:lvlJc w:val="left"/>
      <w:pPr>
        <w:ind w:left="2340" w:hanging="360"/>
      </w:pPr>
      <w:rPr>
        <w:rFonts w:ascii="Symbol" w:hAnsi="Symbol"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1" w15:restartNumberingAfterBreak="0">
    <w:nsid w:val="55F30479"/>
    <w:multiLevelType w:val="hybridMultilevel"/>
    <w:tmpl w:val="AD8A1F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2" w15:restartNumberingAfterBreak="0">
    <w:nsid w:val="561D52BA"/>
    <w:multiLevelType w:val="hybridMultilevel"/>
    <w:tmpl w:val="5660136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3" w15:restartNumberingAfterBreak="0">
    <w:nsid w:val="562B7A6E"/>
    <w:multiLevelType w:val="hybridMultilevel"/>
    <w:tmpl w:val="31B431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4" w15:restartNumberingAfterBreak="0">
    <w:nsid w:val="56D57828"/>
    <w:multiLevelType w:val="hybridMultilevel"/>
    <w:tmpl w:val="051A2E54"/>
    <w:lvl w:ilvl="0" w:tplc="9CFE2CFA">
      <w:start w:val="1"/>
      <w:numFmt w:val="bullet"/>
      <w:pStyle w:val="a0"/>
      <w:lvlText w:val="o"/>
      <w:lvlJc w:val="left"/>
      <w:pPr>
        <w:ind w:left="720" w:hanging="360"/>
      </w:pPr>
      <w:rPr>
        <w:rFonts w:ascii="Courier New" w:hAnsi="Courier New"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75" w15:restartNumberingAfterBreak="0">
    <w:nsid w:val="58197E79"/>
    <w:multiLevelType w:val="hybridMultilevel"/>
    <w:tmpl w:val="0DFE2D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6" w15:restartNumberingAfterBreak="0">
    <w:nsid w:val="581B54C9"/>
    <w:multiLevelType w:val="hybridMultilevel"/>
    <w:tmpl w:val="D34240A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7" w15:restartNumberingAfterBreak="0">
    <w:nsid w:val="585C1AAF"/>
    <w:multiLevelType w:val="multilevel"/>
    <w:tmpl w:val="4BD4983A"/>
    <w:lvl w:ilvl="0">
      <w:start w:val="1"/>
      <w:numFmt w:val="decimal"/>
      <w:lvlText w:val="%1."/>
      <w:lvlJc w:val="left"/>
      <w:pPr>
        <w:ind w:left="720" w:hanging="360"/>
      </w:pPr>
      <w:rPr>
        <w:rFonts w:ascii="Times New Roman" w:hAnsi="Times New Roman"/>
        <w:b w:val="0"/>
        <w:bCs/>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8" w15:restartNumberingAfterBreak="0">
    <w:nsid w:val="58B42E4F"/>
    <w:multiLevelType w:val="hybridMultilevel"/>
    <w:tmpl w:val="9AC87A20"/>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79" w15:restartNumberingAfterBreak="0">
    <w:nsid w:val="58E929BE"/>
    <w:multiLevelType w:val="hybridMultilevel"/>
    <w:tmpl w:val="356835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0" w15:restartNumberingAfterBreak="0">
    <w:nsid w:val="59357C77"/>
    <w:multiLevelType w:val="hybridMultilevel"/>
    <w:tmpl w:val="87E85E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1" w15:restartNumberingAfterBreak="0">
    <w:nsid w:val="59A30498"/>
    <w:multiLevelType w:val="hybridMultilevel"/>
    <w:tmpl w:val="F142F37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2" w15:restartNumberingAfterBreak="0">
    <w:nsid w:val="59C05CD2"/>
    <w:multiLevelType w:val="hybridMultilevel"/>
    <w:tmpl w:val="7C486182"/>
    <w:lvl w:ilvl="0" w:tplc="5E5A3708">
      <w:start w:val="1"/>
      <w:numFmt w:val="decimal"/>
      <w:lvlText w:val="%1."/>
      <w:lvlJc w:val="left"/>
      <w:pPr>
        <w:ind w:left="502" w:hanging="360"/>
      </w:pPr>
      <w:rPr>
        <w:rFonts w:hint="default"/>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83" w15:restartNumberingAfterBreak="0">
    <w:nsid w:val="5A675990"/>
    <w:multiLevelType w:val="hybridMultilevel"/>
    <w:tmpl w:val="49443E1C"/>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4" w15:restartNumberingAfterBreak="0">
    <w:nsid w:val="5A8449EC"/>
    <w:multiLevelType w:val="hybridMultilevel"/>
    <w:tmpl w:val="4A2E42B2"/>
    <w:lvl w:ilvl="0" w:tplc="04190001">
      <w:start w:val="1"/>
      <w:numFmt w:val="bullet"/>
      <w:lvlText w:val=""/>
      <w:lvlJc w:val="left"/>
      <w:pPr>
        <w:ind w:left="1878" w:hanging="360"/>
      </w:pPr>
      <w:rPr>
        <w:rFonts w:ascii="Symbol" w:hAnsi="Symbol" w:hint="default"/>
      </w:rPr>
    </w:lvl>
    <w:lvl w:ilvl="1" w:tplc="04190003" w:tentative="1">
      <w:start w:val="1"/>
      <w:numFmt w:val="bullet"/>
      <w:lvlText w:val="o"/>
      <w:lvlJc w:val="left"/>
      <w:pPr>
        <w:ind w:left="2598" w:hanging="360"/>
      </w:pPr>
      <w:rPr>
        <w:rFonts w:ascii="Courier New" w:hAnsi="Courier New" w:cs="Courier New" w:hint="default"/>
      </w:rPr>
    </w:lvl>
    <w:lvl w:ilvl="2" w:tplc="04190005" w:tentative="1">
      <w:start w:val="1"/>
      <w:numFmt w:val="bullet"/>
      <w:lvlText w:val=""/>
      <w:lvlJc w:val="left"/>
      <w:pPr>
        <w:ind w:left="3318" w:hanging="360"/>
      </w:pPr>
      <w:rPr>
        <w:rFonts w:ascii="Wingdings" w:hAnsi="Wingdings" w:hint="default"/>
      </w:rPr>
    </w:lvl>
    <w:lvl w:ilvl="3" w:tplc="04190001" w:tentative="1">
      <w:start w:val="1"/>
      <w:numFmt w:val="bullet"/>
      <w:lvlText w:val=""/>
      <w:lvlJc w:val="left"/>
      <w:pPr>
        <w:ind w:left="4038" w:hanging="360"/>
      </w:pPr>
      <w:rPr>
        <w:rFonts w:ascii="Symbol" w:hAnsi="Symbol" w:hint="default"/>
      </w:rPr>
    </w:lvl>
    <w:lvl w:ilvl="4" w:tplc="04190003" w:tentative="1">
      <w:start w:val="1"/>
      <w:numFmt w:val="bullet"/>
      <w:lvlText w:val="o"/>
      <w:lvlJc w:val="left"/>
      <w:pPr>
        <w:ind w:left="4758" w:hanging="360"/>
      </w:pPr>
      <w:rPr>
        <w:rFonts w:ascii="Courier New" w:hAnsi="Courier New" w:cs="Courier New" w:hint="default"/>
      </w:rPr>
    </w:lvl>
    <w:lvl w:ilvl="5" w:tplc="04190005" w:tentative="1">
      <w:start w:val="1"/>
      <w:numFmt w:val="bullet"/>
      <w:lvlText w:val=""/>
      <w:lvlJc w:val="left"/>
      <w:pPr>
        <w:ind w:left="5478" w:hanging="360"/>
      </w:pPr>
      <w:rPr>
        <w:rFonts w:ascii="Wingdings" w:hAnsi="Wingdings" w:hint="default"/>
      </w:rPr>
    </w:lvl>
    <w:lvl w:ilvl="6" w:tplc="04190001" w:tentative="1">
      <w:start w:val="1"/>
      <w:numFmt w:val="bullet"/>
      <w:lvlText w:val=""/>
      <w:lvlJc w:val="left"/>
      <w:pPr>
        <w:ind w:left="6198" w:hanging="360"/>
      </w:pPr>
      <w:rPr>
        <w:rFonts w:ascii="Symbol" w:hAnsi="Symbol" w:hint="default"/>
      </w:rPr>
    </w:lvl>
    <w:lvl w:ilvl="7" w:tplc="04190003" w:tentative="1">
      <w:start w:val="1"/>
      <w:numFmt w:val="bullet"/>
      <w:lvlText w:val="o"/>
      <w:lvlJc w:val="left"/>
      <w:pPr>
        <w:ind w:left="6918" w:hanging="360"/>
      </w:pPr>
      <w:rPr>
        <w:rFonts w:ascii="Courier New" w:hAnsi="Courier New" w:cs="Courier New" w:hint="default"/>
      </w:rPr>
    </w:lvl>
    <w:lvl w:ilvl="8" w:tplc="04190005" w:tentative="1">
      <w:start w:val="1"/>
      <w:numFmt w:val="bullet"/>
      <w:lvlText w:val=""/>
      <w:lvlJc w:val="left"/>
      <w:pPr>
        <w:ind w:left="7638" w:hanging="360"/>
      </w:pPr>
      <w:rPr>
        <w:rFonts w:ascii="Wingdings" w:hAnsi="Wingdings" w:hint="default"/>
      </w:rPr>
    </w:lvl>
  </w:abstractNum>
  <w:abstractNum w:abstractNumId="185" w15:restartNumberingAfterBreak="0">
    <w:nsid w:val="5AAD5CD5"/>
    <w:multiLevelType w:val="hybridMultilevel"/>
    <w:tmpl w:val="C884F5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6" w15:restartNumberingAfterBreak="0">
    <w:nsid w:val="5AB35D50"/>
    <w:multiLevelType w:val="hybridMultilevel"/>
    <w:tmpl w:val="1E9A5CB6"/>
    <w:lvl w:ilvl="0" w:tplc="26B40C38">
      <w:start w:val="1"/>
      <w:numFmt w:val="bullet"/>
      <w:lvlText w:val=""/>
      <w:lvlJc w:val="left"/>
      <w:pPr>
        <w:ind w:left="1428" w:hanging="360"/>
      </w:pPr>
      <w:rPr>
        <w:rFonts w:ascii="Symbol" w:hAnsi="Symbol" w:hint="default"/>
      </w:rPr>
    </w:lvl>
    <w:lvl w:ilvl="1" w:tplc="3B2EC85C">
      <w:start w:val="1"/>
      <w:numFmt w:val="bullet"/>
      <w:lvlText w:val="o"/>
      <w:lvlJc w:val="left"/>
      <w:pPr>
        <w:ind w:left="2148" w:hanging="360"/>
      </w:pPr>
      <w:rPr>
        <w:rFonts w:ascii="Courier New" w:hAnsi="Courier New" w:cs="Courier New" w:hint="default"/>
      </w:rPr>
    </w:lvl>
    <w:lvl w:ilvl="2" w:tplc="2F9E085C">
      <w:start w:val="1"/>
      <w:numFmt w:val="bullet"/>
      <w:lvlText w:val=""/>
      <w:lvlJc w:val="left"/>
      <w:pPr>
        <w:ind w:left="2868" w:hanging="360"/>
      </w:pPr>
      <w:rPr>
        <w:rFonts w:ascii="Wingdings" w:hAnsi="Wingdings" w:hint="default"/>
      </w:rPr>
    </w:lvl>
    <w:lvl w:ilvl="3" w:tplc="340E811E">
      <w:start w:val="1"/>
      <w:numFmt w:val="bullet"/>
      <w:lvlText w:val=""/>
      <w:lvlJc w:val="left"/>
      <w:pPr>
        <w:ind w:left="3588" w:hanging="360"/>
      </w:pPr>
      <w:rPr>
        <w:rFonts w:ascii="Symbol" w:hAnsi="Symbol" w:hint="default"/>
      </w:rPr>
    </w:lvl>
    <w:lvl w:ilvl="4" w:tplc="FC366D08">
      <w:start w:val="1"/>
      <w:numFmt w:val="bullet"/>
      <w:lvlText w:val="o"/>
      <w:lvlJc w:val="left"/>
      <w:pPr>
        <w:ind w:left="4308" w:hanging="360"/>
      </w:pPr>
      <w:rPr>
        <w:rFonts w:ascii="Courier New" w:hAnsi="Courier New" w:cs="Courier New" w:hint="default"/>
      </w:rPr>
    </w:lvl>
    <w:lvl w:ilvl="5" w:tplc="29B8DC22">
      <w:start w:val="1"/>
      <w:numFmt w:val="bullet"/>
      <w:lvlText w:val=""/>
      <w:lvlJc w:val="left"/>
      <w:pPr>
        <w:ind w:left="5028" w:hanging="360"/>
      </w:pPr>
      <w:rPr>
        <w:rFonts w:ascii="Wingdings" w:hAnsi="Wingdings" w:hint="default"/>
      </w:rPr>
    </w:lvl>
    <w:lvl w:ilvl="6" w:tplc="8E0A9A3A">
      <w:start w:val="1"/>
      <w:numFmt w:val="bullet"/>
      <w:lvlText w:val=""/>
      <w:lvlJc w:val="left"/>
      <w:pPr>
        <w:ind w:left="5748" w:hanging="360"/>
      </w:pPr>
      <w:rPr>
        <w:rFonts w:ascii="Symbol" w:hAnsi="Symbol" w:hint="default"/>
      </w:rPr>
    </w:lvl>
    <w:lvl w:ilvl="7" w:tplc="2004B7FC">
      <w:start w:val="1"/>
      <w:numFmt w:val="bullet"/>
      <w:lvlText w:val="o"/>
      <w:lvlJc w:val="left"/>
      <w:pPr>
        <w:ind w:left="6468" w:hanging="360"/>
      </w:pPr>
      <w:rPr>
        <w:rFonts w:ascii="Courier New" w:hAnsi="Courier New" w:cs="Courier New" w:hint="default"/>
      </w:rPr>
    </w:lvl>
    <w:lvl w:ilvl="8" w:tplc="D71025DE">
      <w:start w:val="1"/>
      <w:numFmt w:val="bullet"/>
      <w:lvlText w:val=""/>
      <w:lvlJc w:val="left"/>
      <w:pPr>
        <w:ind w:left="7188" w:hanging="360"/>
      </w:pPr>
      <w:rPr>
        <w:rFonts w:ascii="Wingdings" w:hAnsi="Wingdings" w:hint="default"/>
      </w:rPr>
    </w:lvl>
  </w:abstractNum>
  <w:abstractNum w:abstractNumId="187" w15:restartNumberingAfterBreak="0">
    <w:nsid w:val="5B0E6EBF"/>
    <w:multiLevelType w:val="hybridMultilevel"/>
    <w:tmpl w:val="ADD2C438"/>
    <w:lvl w:ilvl="0" w:tplc="87207520">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188" w15:restartNumberingAfterBreak="0">
    <w:nsid w:val="5C11366E"/>
    <w:multiLevelType w:val="hybridMultilevel"/>
    <w:tmpl w:val="4BE277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9" w15:restartNumberingAfterBreak="0">
    <w:nsid w:val="5C754B14"/>
    <w:multiLevelType w:val="hybridMultilevel"/>
    <w:tmpl w:val="5C70A4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0" w15:restartNumberingAfterBreak="0">
    <w:nsid w:val="5CEE57BB"/>
    <w:multiLevelType w:val="hybridMultilevel"/>
    <w:tmpl w:val="A524D0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1" w15:restartNumberingAfterBreak="0">
    <w:nsid w:val="5CF55CB1"/>
    <w:multiLevelType w:val="hybridMultilevel"/>
    <w:tmpl w:val="61543C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2" w15:restartNumberingAfterBreak="0">
    <w:nsid w:val="5D0F5891"/>
    <w:multiLevelType w:val="hybridMultilevel"/>
    <w:tmpl w:val="0B704676"/>
    <w:lvl w:ilvl="0" w:tplc="04190001">
      <w:start w:val="1"/>
      <w:numFmt w:val="bullet"/>
      <w:lvlText w:val=""/>
      <w:lvlJc w:val="left"/>
      <w:pPr>
        <w:ind w:left="1145" w:hanging="360"/>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93" w15:restartNumberingAfterBreak="0">
    <w:nsid w:val="5DBB20C8"/>
    <w:multiLevelType w:val="hybridMultilevel"/>
    <w:tmpl w:val="8632A7EC"/>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4" w15:restartNumberingAfterBreak="0">
    <w:nsid w:val="5E0E191C"/>
    <w:multiLevelType w:val="hybridMultilevel"/>
    <w:tmpl w:val="E38063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5" w15:restartNumberingAfterBreak="0">
    <w:nsid w:val="5E3E40E7"/>
    <w:multiLevelType w:val="hybridMultilevel"/>
    <w:tmpl w:val="774AAC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6" w15:restartNumberingAfterBreak="0">
    <w:nsid w:val="5E42575E"/>
    <w:multiLevelType w:val="hybridMultilevel"/>
    <w:tmpl w:val="2DE079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7" w15:restartNumberingAfterBreak="0">
    <w:nsid w:val="5E57728D"/>
    <w:multiLevelType w:val="hybridMultilevel"/>
    <w:tmpl w:val="57747EAE"/>
    <w:lvl w:ilvl="0" w:tplc="0419000F">
      <w:start w:val="1"/>
      <w:numFmt w:val="decimal"/>
      <w:lvlText w:val="%1."/>
      <w:lvlJc w:val="left"/>
      <w:pPr>
        <w:ind w:left="720" w:hanging="360"/>
      </w:pPr>
      <w:rPr>
        <w:rFonts w:hint="default"/>
      </w:rPr>
    </w:lvl>
    <w:lvl w:ilvl="1" w:tplc="04190001">
      <w:start w:val="1"/>
      <w:numFmt w:val="bullet"/>
      <w:lvlText w:val=""/>
      <w:lvlJc w:val="left"/>
      <w:pPr>
        <w:ind w:left="1440" w:hanging="360"/>
      </w:pPr>
      <w:rPr>
        <w:rFonts w:ascii="Symbol" w:hAnsi="Symbol"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8" w15:restartNumberingAfterBreak="0">
    <w:nsid w:val="5EB57E18"/>
    <w:multiLevelType w:val="hybridMultilevel"/>
    <w:tmpl w:val="0114B8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9" w15:restartNumberingAfterBreak="0">
    <w:nsid w:val="5F672ABC"/>
    <w:multiLevelType w:val="hybridMultilevel"/>
    <w:tmpl w:val="384E5A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0" w15:restartNumberingAfterBreak="0">
    <w:nsid w:val="5FD6635B"/>
    <w:multiLevelType w:val="hybridMultilevel"/>
    <w:tmpl w:val="3B80EA4A"/>
    <w:lvl w:ilvl="0" w:tplc="0456C786">
      <w:numFmt w:val="bullet"/>
      <w:lvlText w:val="•"/>
      <w:lvlJc w:val="left"/>
      <w:rPr>
        <w:rFonts w:ascii="Cambria Math" w:hAnsi="Cambria Math"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1" w15:restartNumberingAfterBreak="0">
    <w:nsid w:val="602776A7"/>
    <w:multiLevelType w:val="hybridMultilevel"/>
    <w:tmpl w:val="4EA8023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2" w15:restartNumberingAfterBreak="0">
    <w:nsid w:val="602B1DB1"/>
    <w:multiLevelType w:val="multilevel"/>
    <w:tmpl w:val="79CADAFC"/>
    <w:lvl w:ilvl="0">
      <w:start w:val="1"/>
      <w:numFmt w:val="bullet"/>
      <w:lvlText w:val=""/>
      <w:lvlJc w:val="left"/>
      <w:pPr>
        <w:ind w:left="1068" w:hanging="360"/>
      </w:pPr>
      <w:rPr>
        <w:rFonts w:ascii="Symbol" w:hAnsi="Symbol" w:cs="Symbol" w:hint="default"/>
        <w:sz w:val="24"/>
      </w:r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203" w15:restartNumberingAfterBreak="0">
    <w:nsid w:val="607D666F"/>
    <w:multiLevelType w:val="hybridMultilevel"/>
    <w:tmpl w:val="FAC287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4" w15:restartNumberingAfterBreak="0">
    <w:nsid w:val="60C062FF"/>
    <w:multiLevelType w:val="hybridMultilevel"/>
    <w:tmpl w:val="040A4DCE"/>
    <w:lvl w:ilvl="0" w:tplc="D76CC41E">
      <w:start w:val="1"/>
      <w:numFmt w:val="bullet"/>
      <w:lvlText w:val="•"/>
      <w:lvlJc w:val="left"/>
      <w:pPr>
        <w:ind w:left="1146" w:hanging="360"/>
      </w:pPr>
      <w:rPr>
        <w:rFonts w:ascii="Arial" w:hAnsi="Aria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05" w15:restartNumberingAfterBreak="0">
    <w:nsid w:val="6122328E"/>
    <w:multiLevelType w:val="hybridMultilevel"/>
    <w:tmpl w:val="7F320E12"/>
    <w:lvl w:ilvl="0" w:tplc="04190001">
      <w:start w:val="1"/>
      <w:numFmt w:val="bullet"/>
      <w:lvlText w:val=""/>
      <w:lvlJc w:val="left"/>
      <w:pPr>
        <w:ind w:left="1145" w:hanging="360"/>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206" w15:restartNumberingAfterBreak="0">
    <w:nsid w:val="6228685B"/>
    <w:multiLevelType w:val="hybridMultilevel"/>
    <w:tmpl w:val="7264E0E6"/>
    <w:lvl w:ilvl="0" w:tplc="0419000F">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8FD68728">
      <w:start w:val="1"/>
      <w:numFmt w:val="decimal"/>
      <w:lvlText w:val="%4."/>
      <w:lvlJc w:val="left"/>
      <w:pPr>
        <w:ind w:left="3087" w:hanging="360"/>
      </w:pPr>
      <w:rPr>
        <w:rFonts w:ascii="Times New Roman" w:eastAsiaTheme="minorHAnsi" w:hAnsi="Times New Roman" w:cs="Times New Roman"/>
      </w:r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207" w15:restartNumberingAfterBreak="0">
    <w:nsid w:val="625359FA"/>
    <w:multiLevelType w:val="hybridMultilevel"/>
    <w:tmpl w:val="43F80E00"/>
    <w:lvl w:ilvl="0" w:tplc="7FBA88A6">
      <w:start w:val="1"/>
      <w:numFmt w:val="bullet"/>
      <w:lvlText w:val=""/>
      <w:lvlJc w:val="left"/>
      <w:pPr>
        <w:ind w:left="720" w:hanging="360"/>
      </w:pPr>
      <w:rPr>
        <w:rFonts w:ascii="Symbol" w:hAnsi="Symbol" w:hint="default"/>
      </w:rPr>
    </w:lvl>
    <w:lvl w:ilvl="1" w:tplc="B3149F3E">
      <w:start w:val="1"/>
      <w:numFmt w:val="bullet"/>
      <w:lvlText w:val="o"/>
      <w:lvlJc w:val="left"/>
      <w:pPr>
        <w:ind w:left="1440" w:hanging="360"/>
      </w:pPr>
      <w:rPr>
        <w:rFonts w:ascii="Courier New" w:hAnsi="Courier New" w:cs="Courier New" w:hint="default"/>
      </w:rPr>
    </w:lvl>
    <w:lvl w:ilvl="2" w:tplc="7B7CB654">
      <w:start w:val="1"/>
      <w:numFmt w:val="bullet"/>
      <w:lvlText w:val=""/>
      <w:lvlJc w:val="left"/>
      <w:pPr>
        <w:ind w:left="2160" w:hanging="360"/>
      </w:pPr>
      <w:rPr>
        <w:rFonts w:ascii="Wingdings" w:hAnsi="Wingdings" w:hint="default"/>
      </w:rPr>
    </w:lvl>
    <w:lvl w:ilvl="3" w:tplc="42449486">
      <w:start w:val="1"/>
      <w:numFmt w:val="bullet"/>
      <w:lvlText w:val=""/>
      <w:lvlJc w:val="left"/>
      <w:pPr>
        <w:ind w:left="2880" w:hanging="360"/>
      </w:pPr>
      <w:rPr>
        <w:rFonts w:ascii="Symbol" w:hAnsi="Symbol" w:hint="default"/>
      </w:rPr>
    </w:lvl>
    <w:lvl w:ilvl="4" w:tplc="5C1ACD50">
      <w:start w:val="1"/>
      <w:numFmt w:val="bullet"/>
      <w:lvlText w:val="o"/>
      <w:lvlJc w:val="left"/>
      <w:pPr>
        <w:ind w:left="3600" w:hanging="360"/>
      </w:pPr>
      <w:rPr>
        <w:rFonts w:ascii="Courier New" w:hAnsi="Courier New" w:cs="Courier New" w:hint="default"/>
      </w:rPr>
    </w:lvl>
    <w:lvl w:ilvl="5" w:tplc="01EAC460">
      <w:start w:val="1"/>
      <w:numFmt w:val="bullet"/>
      <w:lvlText w:val=""/>
      <w:lvlJc w:val="left"/>
      <w:pPr>
        <w:ind w:left="4320" w:hanging="360"/>
      </w:pPr>
      <w:rPr>
        <w:rFonts w:ascii="Wingdings" w:hAnsi="Wingdings" w:hint="default"/>
      </w:rPr>
    </w:lvl>
    <w:lvl w:ilvl="6" w:tplc="357E813A">
      <w:start w:val="1"/>
      <w:numFmt w:val="bullet"/>
      <w:lvlText w:val=""/>
      <w:lvlJc w:val="left"/>
      <w:pPr>
        <w:ind w:left="5040" w:hanging="360"/>
      </w:pPr>
      <w:rPr>
        <w:rFonts w:ascii="Symbol" w:hAnsi="Symbol" w:hint="default"/>
      </w:rPr>
    </w:lvl>
    <w:lvl w:ilvl="7" w:tplc="1B362762">
      <w:start w:val="1"/>
      <w:numFmt w:val="bullet"/>
      <w:lvlText w:val="o"/>
      <w:lvlJc w:val="left"/>
      <w:pPr>
        <w:ind w:left="5760" w:hanging="360"/>
      </w:pPr>
      <w:rPr>
        <w:rFonts w:ascii="Courier New" w:hAnsi="Courier New" w:cs="Courier New" w:hint="default"/>
      </w:rPr>
    </w:lvl>
    <w:lvl w:ilvl="8" w:tplc="585C4590">
      <w:start w:val="1"/>
      <w:numFmt w:val="bullet"/>
      <w:lvlText w:val=""/>
      <w:lvlJc w:val="left"/>
      <w:pPr>
        <w:ind w:left="6480" w:hanging="360"/>
      </w:pPr>
      <w:rPr>
        <w:rFonts w:ascii="Wingdings" w:hAnsi="Wingdings" w:hint="default"/>
      </w:rPr>
    </w:lvl>
  </w:abstractNum>
  <w:abstractNum w:abstractNumId="208" w15:restartNumberingAfterBreak="0">
    <w:nsid w:val="62675A40"/>
    <w:multiLevelType w:val="hybridMultilevel"/>
    <w:tmpl w:val="1528F354"/>
    <w:lvl w:ilvl="0" w:tplc="89E234D0">
      <w:start w:val="1"/>
      <w:numFmt w:val="bullet"/>
      <w:lvlText w:val=""/>
      <w:lvlJc w:val="left"/>
      <w:pPr>
        <w:tabs>
          <w:tab w:val="num" w:pos="720"/>
        </w:tabs>
        <w:ind w:left="720" w:hanging="360"/>
      </w:pPr>
      <w:rPr>
        <w:rFonts w:ascii="Wingdings" w:hAnsi="Wingdings" w:hint="default"/>
      </w:rPr>
    </w:lvl>
    <w:lvl w:ilvl="1" w:tplc="83CC9474" w:tentative="1">
      <w:start w:val="1"/>
      <w:numFmt w:val="bullet"/>
      <w:lvlText w:val=""/>
      <w:lvlJc w:val="left"/>
      <w:pPr>
        <w:tabs>
          <w:tab w:val="num" w:pos="1440"/>
        </w:tabs>
        <w:ind w:left="1440" w:hanging="360"/>
      </w:pPr>
      <w:rPr>
        <w:rFonts w:ascii="Wingdings" w:hAnsi="Wingdings" w:hint="default"/>
      </w:rPr>
    </w:lvl>
    <w:lvl w:ilvl="2" w:tplc="91E45A7C" w:tentative="1">
      <w:start w:val="1"/>
      <w:numFmt w:val="bullet"/>
      <w:lvlText w:val=""/>
      <w:lvlJc w:val="left"/>
      <w:pPr>
        <w:tabs>
          <w:tab w:val="num" w:pos="2160"/>
        </w:tabs>
        <w:ind w:left="2160" w:hanging="360"/>
      </w:pPr>
      <w:rPr>
        <w:rFonts w:ascii="Wingdings" w:hAnsi="Wingdings" w:hint="default"/>
      </w:rPr>
    </w:lvl>
    <w:lvl w:ilvl="3" w:tplc="9872CDFA" w:tentative="1">
      <w:start w:val="1"/>
      <w:numFmt w:val="bullet"/>
      <w:lvlText w:val=""/>
      <w:lvlJc w:val="left"/>
      <w:pPr>
        <w:tabs>
          <w:tab w:val="num" w:pos="2880"/>
        </w:tabs>
        <w:ind w:left="2880" w:hanging="360"/>
      </w:pPr>
      <w:rPr>
        <w:rFonts w:ascii="Wingdings" w:hAnsi="Wingdings" w:hint="default"/>
      </w:rPr>
    </w:lvl>
    <w:lvl w:ilvl="4" w:tplc="6DA85EEC" w:tentative="1">
      <w:start w:val="1"/>
      <w:numFmt w:val="bullet"/>
      <w:lvlText w:val=""/>
      <w:lvlJc w:val="left"/>
      <w:pPr>
        <w:tabs>
          <w:tab w:val="num" w:pos="3600"/>
        </w:tabs>
        <w:ind w:left="3600" w:hanging="360"/>
      </w:pPr>
      <w:rPr>
        <w:rFonts w:ascii="Wingdings" w:hAnsi="Wingdings" w:hint="default"/>
      </w:rPr>
    </w:lvl>
    <w:lvl w:ilvl="5" w:tplc="EDBAB3BE" w:tentative="1">
      <w:start w:val="1"/>
      <w:numFmt w:val="bullet"/>
      <w:lvlText w:val=""/>
      <w:lvlJc w:val="left"/>
      <w:pPr>
        <w:tabs>
          <w:tab w:val="num" w:pos="4320"/>
        </w:tabs>
        <w:ind w:left="4320" w:hanging="360"/>
      </w:pPr>
      <w:rPr>
        <w:rFonts w:ascii="Wingdings" w:hAnsi="Wingdings" w:hint="default"/>
      </w:rPr>
    </w:lvl>
    <w:lvl w:ilvl="6" w:tplc="3744B4A4" w:tentative="1">
      <w:start w:val="1"/>
      <w:numFmt w:val="bullet"/>
      <w:lvlText w:val=""/>
      <w:lvlJc w:val="left"/>
      <w:pPr>
        <w:tabs>
          <w:tab w:val="num" w:pos="5040"/>
        </w:tabs>
        <w:ind w:left="5040" w:hanging="360"/>
      </w:pPr>
      <w:rPr>
        <w:rFonts w:ascii="Wingdings" w:hAnsi="Wingdings" w:hint="default"/>
      </w:rPr>
    </w:lvl>
    <w:lvl w:ilvl="7" w:tplc="6ACEDAC8" w:tentative="1">
      <w:start w:val="1"/>
      <w:numFmt w:val="bullet"/>
      <w:lvlText w:val=""/>
      <w:lvlJc w:val="left"/>
      <w:pPr>
        <w:tabs>
          <w:tab w:val="num" w:pos="5760"/>
        </w:tabs>
        <w:ind w:left="5760" w:hanging="360"/>
      </w:pPr>
      <w:rPr>
        <w:rFonts w:ascii="Wingdings" w:hAnsi="Wingdings" w:hint="default"/>
      </w:rPr>
    </w:lvl>
    <w:lvl w:ilvl="8" w:tplc="CC18735C" w:tentative="1">
      <w:start w:val="1"/>
      <w:numFmt w:val="bullet"/>
      <w:lvlText w:val=""/>
      <w:lvlJc w:val="left"/>
      <w:pPr>
        <w:tabs>
          <w:tab w:val="num" w:pos="6480"/>
        </w:tabs>
        <w:ind w:left="6480" w:hanging="360"/>
      </w:pPr>
      <w:rPr>
        <w:rFonts w:ascii="Wingdings" w:hAnsi="Wingdings" w:hint="default"/>
      </w:rPr>
    </w:lvl>
  </w:abstractNum>
  <w:abstractNum w:abstractNumId="209" w15:restartNumberingAfterBreak="0">
    <w:nsid w:val="638C4820"/>
    <w:multiLevelType w:val="hybridMultilevel"/>
    <w:tmpl w:val="85AEDF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0" w15:restartNumberingAfterBreak="0">
    <w:nsid w:val="63AA35FD"/>
    <w:multiLevelType w:val="multilevel"/>
    <w:tmpl w:val="763432BC"/>
    <w:lvl w:ilvl="0">
      <w:start w:val="1"/>
      <w:numFmt w:val="bullet"/>
      <w:pStyle w:val="10"/>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1" w15:restartNumberingAfterBreak="0">
    <w:nsid w:val="63C72227"/>
    <w:multiLevelType w:val="hybridMultilevel"/>
    <w:tmpl w:val="E5C8AC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2" w15:restartNumberingAfterBreak="0">
    <w:nsid w:val="640C6E06"/>
    <w:multiLevelType w:val="hybridMultilevel"/>
    <w:tmpl w:val="28523B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3" w15:restartNumberingAfterBreak="0">
    <w:nsid w:val="649C7FBE"/>
    <w:multiLevelType w:val="hybridMultilevel"/>
    <w:tmpl w:val="0276E1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4" w15:restartNumberingAfterBreak="0">
    <w:nsid w:val="64CB17D4"/>
    <w:multiLevelType w:val="hybridMultilevel"/>
    <w:tmpl w:val="B944FD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5" w15:restartNumberingAfterBreak="0">
    <w:nsid w:val="64E91059"/>
    <w:multiLevelType w:val="hybridMultilevel"/>
    <w:tmpl w:val="9864A21C"/>
    <w:lvl w:ilvl="0" w:tplc="AFFE1112">
      <w:start w:val="1"/>
      <w:numFmt w:val="bullet"/>
      <w:lvlText w:val=""/>
      <w:lvlJc w:val="left"/>
      <w:pPr>
        <w:ind w:left="1428" w:hanging="360"/>
      </w:pPr>
      <w:rPr>
        <w:rFonts w:ascii="Symbol" w:hAnsi="Symbol" w:hint="default"/>
      </w:rPr>
    </w:lvl>
    <w:lvl w:ilvl="1" w:tplc="575CE84C">
      <w:start w:val="1"/>
      <w:numFmt w:val="bullet"/>
      <w:lvlText w:val="o"/>
      <w:lvlJc w:val="left"/>
      <w:pPr>
        <w:ind w:left="2148" w:hanging="360"/>
      </w:pPr>
      <w:rPr>
        <w:rFonts w:ascii="Courier New" w:hAnsi="Courier New" w:cs="Courier New" w:hint="default"/>
      </w:rPr>
    </w:lvl>
    <w:lvl w:ilvl="2" w:tplc="27F43E68">
      <w:start w:val="1"/>
      <w:numFmt w:val="bullet"/>
      <w:lvlText w:val=""/>
      <w:lvlJc w:val="left"/>
      <w:pPr>
        <w:ind w:left="2868" w:hanging="360"/>
      </w:pPr>
      <w:rPr>
        <w:rFonts w:ascii="Wingdings" w:hAnsi="Wingdings" w:hint="default"/>
      </w:rPr>
    </w:lvl>
    <w:lvl w:ilvl="3" w:tplc="6BEA662E">
      <w:start w:val="1"/>
      <w:numFmt w:val="bullet"/>
      <w:lvlText w:val=""/>
      <w:lvlJc w:val="left"/>
      <w:pPr>
        <w:ind w:left="3588" w:hanging="360"/>
      </w:pPr>
      <w:rPr>
        <w:rFonts w:ascii="Symbol" w:hAnsi="Symbol" w:hint="default"/>
      </w:rPr>
    </w:lvl>
    <w:lvl w:ilvl="4" w:tplc="64A80DBE">
      <w:start w:val="1"/>
      <w:numFmt w:val="bullet"/>
      <w:lvlText w:val="o"/>
      <w:lvlJc w:val="left"/>
      <w:pPr>
        <w:ind w:left="4308" w:hanging="360"/>
      </w:pPr>
      <w:rPr>
        <w:rFonts w:ascii="Courier New" w:hAnsi="Courier New" w:cs="Courier New" w:hint="default"/>
      </w:rPr>
    </w:lvl>
    <w:lvl w:ilvl="5" w:tplc="AE58F438">
      <w:start w:val="1"/>
      <w:numFmt w:val="bullet"/>
      <w:lvlText w:val=""/>
      <w:lvlJc w:val="left"/>
      <w:pPr>
        <w:ind w:left="5028" w:hanging="360"/>
      </w:pPr>
      <w:rPr>
        <w:rFonts w:ascii="Wingdings" w:hAnsi="Wingdings" w:hint="default"/>
      </w:rPr>
    </w:lvl>
    <w:lvl w:ilvl="6" w:tplc="B234EC7A">
      <w:start w:val="1"/>
      <w:numFmt w:val="bullet"/>
      <w:lvlText w:val=""/>
      <w:lvlJc w:val="left"/>
      <w:pPr>
        <w:ind w:left="5748" w:hanging="360"/>
      </w:pPr>
      <w:rPr>
        <w:rFonts w:ascii="Symbol" w:hAnsi="Symbol" w:hint="default"/>
      </w:rPr>
    </w:lvl>
    <w:lvl w:ilvl="7" w:tplc="82B25206">
      <w:start w:val="1"/>
      <w:numFmt w:val="bullet"/>
      <w:lvlText w:val="o"/>
      <w:lvlJc w:val="left"/>
      <w:pPr>
        <w:ind w:left="6468" w:hanging="360"/>
      </w:pPr>
      <w:rPr>
        <w:rFonts w:ascii="Courier New" w:hAnsi="Courier New" w:cs="Courier New" w:hint="default"/>
      </w:rPr>
    </w:lvl>
    <w:lvl w:ilvl="8" w:tplc="28082C5C">
      <w:start w:val="1"/>
      <w:numFmt w:val="bullet"/>
      <w:lvlText w:val=""/>
      <w:lvlJc w:val="left"/>
      <w:pPr>
        <w:ind w:left="7188" w:hanging="360"/>
      </w:pPr>
      <w:rPr>
        <w:rFonts w:ascii="Wingdings" w:hAnsi="Wingdings" w:hint="default"/>
      </w:rPr>
    </w:lvl>
  </w:abstractNum>
  <w:abstractNum w:abstractNumId="216" w15:restartNumberingAfterBreak="0">
    <w:nsid w:val="65582988"/>
    <w:multiLevelType w:val="hybridMultilevel"/>
    <w:tmpl w:val="DF66F51E"/>
    <w:lvl w:ilvl="0" w:tplc="74FC6A9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17" w15:restartNumberingAfterBreak="0">
    <w:nsid w:val="658741CC"/>
    <w:multiLevelType w:val="hybridMultilevel"/>
    <w:tmpl w:val="5FFCC1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8" w15:restartNumberingAfterBreak="0">
    <w:nsid w:val="65890E2C"/>
    <w:multiLevelType w:val="multilevel"/>
    <w:tmpl w:val="2F08A22E"/>
    <w:lvl w:ilvl="0">
      <w:start w:val="1"/>
      <w:numFmt w:val="bullet"/>
      <w:lvlText w:val=""/>
      <w:lvlJc w:val="left"/>
      <w:pPr>
        <w:ind w:left="1429" w:hanging="360"/>
      </w:pPr>
      <w:rPr>
        <w:rFonts w:ascii="Symbol" w:hAnsi="Symbol"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219" w15:restartNumberingAfterBreak="0">
    <w:nsid w:val="65FB0DEB"/>
    <w:multiLevelType w:val="hybridMultilevel"/>
    <w:tmpl w:val="336C1E0A"/>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0" w15:restartNumberingAfterBreak="0">
    <w:nsid w:val="65FC491C"/>
    <w:multiLevelType w:val="hybridMultilevel"/>
    <w:tmpl w:val="F8BE31C4"/>
    <w:numStyleLink w:val="1"/>
  </w:abstractNum>
  <w:abstractNum w:abstractNumId="221" w15:restartNumberingAfterBreak="0">
    <w:nsid w:val="665352F1"/>
    <w:multiLevelType w:val="hybridMultilevel"/>
    <w:tmpl w:val="371811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2" w15:restartNumberingAfterBreak="0">
    <w:nsid w:val="66E51975"/>
    <w:multiLevelType w:val="hybridMultilevel"/>
    <w:tmpl w:val="7A7C6C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3" w15:restartNumberingAfterBreak="0">
    <w:nsid w:val="67225F08"/>
    <w:multiLevelType w:val="hybridMultilevel"/>
    <w:tmpl w:val="077C5E9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24" w15:restartNumberingAfterBreak="0">
    <w:nsid w:val="67464575"/>
    <w:multiLevelType w:val="hybridMultilevel"/>
    <w:tmpl w:val="AAC275AC"/>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5" w15:restartNumberingAfterBreak="0">
    <w:nsid w:val="678F247B"/>
    <w:multiLevelType w:val="hybridMultilevel"/>
    <w:tmpl w:val="7F36A1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6" w15:restartNumberingAfterBreak="0">
    <w:nsid w:val="67BE2026"/>
    <w:multiLevelType w:val="hybridMultilevel"/>
    <w:tmpl w:val="F4C00982"/>
    <w:lvl w:ilvl="0" w:tplc="0419000F">
      <w:start w:val="1"/>
      <w:numFmt w:val="decimal"/>
      <w:lvlText w:val="%1."/>
      <w:lvlJc w:val="left"/>
      <w:pPr>
        <w:ind w:left="1068" w:hanging="360"/>
      </w:pPr>
      <w:rPr>
        <w:rFonts w:hint="default"/>
      </w:rPr>
    </w:lvl>
    <w:lvl w:ilvl="1" w:tplc="0CF6ACBC">
      <w:start w:val="1"/>
      <w:numFmt w:val="decimal"/>
      <w:lvlText w:val="%2."/>
      <w:lvlJc w:val="left"/>
      <w:pPr>
        <w:ind w:left="1440" w:hanging="360"/>
      </w:pPr>
      <w:rPr>
        <w:rFonts w:hint="default"/>
      </w:rPr>
    </w:lvl>
    <w:lvl w:ilvl="2" w:tplc="58704C1C">
      <w:start w:val="1"/>
      <w:numFmt w:val="lowerRoman"/>
      <w:lvlText w:val="%3."/>
      <w:lvlJc w:val="right"/>
      <w:pPr>
        <w:ind w:left="2160" w:hanging="180"/>
      </w:pPr>
    </w:lvl>
    <w:lvl w:ilvl="3" w:tplc="547EBF6C">
      <w:start w:val="1"/>
      <w:numFmt w:val="decimal"/>
      <w:lvlText w:val="%4."/>
      <w:lvlJc w:val="left"/>
      <w:pPr>
        <w:ind w:left="2880" w:hanging="360"/>
      </w:pPr>
    </w:lvl>
    <w:lvl w:ilvl="4" w:tplc="21F628DC">
      <w:start w:val="1"/>
      <w:numFmt w:val="lowerLetter"/>
      <w:lvlText w:val="%5."/>
      <w:lvlJc w:val="left"/>
      <w:pPr>
        <w:ind w:left="3600" w:hanging="360"/>
      </w:pPr>
    </w:lvl>
    <w:lvl w:ilvl="5" w:tplc="082CFF88">
      <w:start w:val="1"/>
      <w:numFmt w:val="lowerRoman"/>
      <w:lvlText w:val="%6."/>
      <w:lvlJc w:val="right"/>
      <w:pPr>
        <w:ind w:left="4320" w:hanging="180"/>
      </w:pPr>
    </w:lvl>
    <w:lvl w:ilvl="6" w:tplc="AD2E6324">
      <w:start w:val="1"/>
      <w:numFmt w:val="decimal"/>
      <w:lvlText w:val="%7."/>
      <w:lvlJc w:val="left"/>
      <w:pPr>
        <w:ind w:left="5040" w:hanging="360"/>
      </w:pPr>
    </w:lvl>
    <w:lvl w:ilvl="7" w:tplc="E494B0C4">
      <w:start w:val="1"/>
      <w:numFmt w:val="lowerLetter"/>
      <w:lvlText w:val="%8."/>
      <w:lvlJc w:val="left"/>
      <w:pPr>
        <w:ind w:left="5760" w:hanging="360"/>
      </w:pPr>
    </w:lvl>
    <w:lvl w:ilvl="8" w:tplc="BAA87298">
      <w:start w:val="1"/>
      <w:numFmt w:val="lowerRoman"/>
      <w:lvlText w:val="%9."/>
      <w:lvlJc w:val="right"/>
      <w:pPr>
        <w:ind w:left="6480" w:hanging="180"/>
      </w:pPr>
    </w:lvl>
  </w:abstractNum>
  <w:abstractNum w:abstractNumId="227" w15:restartNumberingAfterBreak="0">
    <w:nsid w:val="688468BB"/>
    <w:multiLevelType w:val="hybridMultilevel"/>
    <w:tmpl w:val="3F5AC3C2"/>
    <w:lvl w:ilvl="0" w:tplc="9F922CDA">
      <w:start w:val="1"/>
      <w:numFmt w:val="bullet"/>
      <w:lvlText w:val=""/>
      <w:lvlJc w:val="left"/>
      <w:pPr>
        <w:ind w:left="1428" w:hanging="360"/>
      </w:pPr>
      <w:rPr>
        <w:rFonts w:ascii="Symbol" w:hAnsi="Symbol" w:hint="default"/>
      </w:rPr>
    </w:lvl>
    <w:lvl w:ilvl="1" w:tplc="F2147832">
      <w:start w:val="1"/>
      <w:numFmt w:val="bullet"/>
      <w:lvlText w:val="o"/>
      <w:lvlJc w:val="left"/>
      <w:pPr>
        <w:ind w:left="2148" w:hanging="360"/>
      </w:pPr>
      <w:rPr>
        <w:rFonts w:ascii="Courier New" w:hAnsi="Courier New" w:cs="Courier New" w:hint="default"/>
      </w:rPr>
    </w:lvl>
    <w:lvl w:ilvl="2" w:tplc="83467EFA">
      <w:start w:val="1"/>
      <w:numFmt w:val="bullet"/>
      <w:lvlText w:val=""/>
      <w:lvlJc w:val="left"/>
      <w:pPr>
        <w:ind w:left="2868" w:hanging="360"/>
      </w:pPr>
      <w:rPr>
        <w:rFonts w:ascii="Wingdings" w:hAnsi="Wingdings" w:hint="default"/>
      </w:rPr>
    </w:lvl>
    <w:lvl w:ilvl="3" w:tplc="A89E58B0">
      <w:start w:val="1"/>
      <w:numFmt w:val="bullet"/>
      <w:lvlText w:val=""/>
      <w:lvlJc w:val="left"/>
      <w:pPr>
        <w:ind w:left="3588" w:hanging="360"/>
      </w:pPr>
      <w:rPr>
        <w:rFonts w:ascii="Symbol" w:hAnsi="Symbol" w:hint="default"/>
      </w:rPr>
    </w:lvl>
    <w:lvl w:ilvl="4" w:tplc="E58CD5B2">
      <w:start w:val="1"/>
      <w:numFmt w:val="bullet"/>
      <w:lvlText w:val="o"/>
      <w:lvlJc w:val="left"/>
      <w:pPr>
        <w:ind w:left="4308" w:hanging="360"/>
      </w:pPr>
      <w:rPr>
        <w:rFonts w:ascii="Courier New" w:hAnsi="Courier New" w:cs="Courier New" w:hint="default"/>
      </w:rPr>
    </w:lvl>
    <w:lvl w:ilvl="5" w:tplc="C14038A0">
      <w:start w:val="1"/>
      <w:numFmt w:val="bullet"/>
      <w:lvlText w:val=""/>
      <w:lvlJc w:val="left"/>
      <w:pPr>
        <w:ind w:left="5028" w:hanging="360"/>
      </w:pPr>
      <w:rPr>
        <w:rFonts w:ascii="Wingdings" w:hAnsi="Wingdings" w:hint="default"/>
      </w:rPr>
    </w:lvl>
    <w:lvl w:ilvl="6" w:tplc="E1A2B50A">
      <w:start w:val="1"/>
      <w:numFmt w:val="bullet"/>
      <w:lvlText w:val=""/>
      <w:lvlJc w:val="left"/>
      <w:pPr>
        <w:ind w:left="5748" w:hanging="360"/>
      </w:pPr>
      <w:rPr>
        <w:rFonts w:ascii="Symbol" w:hAnsi="Symbol" w:hint="default"/>
      </w:rPr>
    </w:lvl>
    <w:lvl w:ilvl="7" w:tplc="BDF62C10">
      <w:start w:val="1"/>
      <w:numFmt w:val="bullet"/>
      <w:lvlText w:val="o"/>
      <w:lvlJc w:val="left"/>
      <w:pPr>
        <w:ind w:left="6468" w:hanging="360"/>
      </w:pPr>
      <w:rPr>
        <w:rFonts w:ascii="Courier New" w:hAnsi="Courier New" w:cs="Courier New" w:hint="default"/>
      </w:rPr>
    </w:lvl>
    <w:lvl w:ilvl="8" w:tplc="A7804AAE">
      <w:start w:val="1"/>
      <w:numFmt w:val="bullet"/>
      <w:lvlText w:val=""/>
      <w:lvlJc w:val="left"/>
      <w:pPr>
        <w:ind w:left="7188" w:hanging="360"/>
      </w:pPr>
      <w:rPr>
        <w:rFonts w:ascii="Wingdings" w:hAnsi="Wingdings" w:hint="default"/>
      </w:rPr>
    </w:lvl>
  </w:abstractNum>
  <w:abstractNum w:abstractNumId="228" w15:restartNumberingAfterBreak="0">
    <w:nsid w:val="691764A1"/>
    <w:multiLevelType w:val="hybridMultilevel"/>
    <w:tmpl w:val="8F0429F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29" w15:restartNumberingAfterBreak="0">
    <w:nsid w:val="695646E5"/>
    <w:multiLevelType w:val="hybridMultilevel"/>
    <w:tmpl w:val="C72EDE94"/>
    <w:lvl w:ilvl="0" w:tplc="0456C786">
      <w:numFmt w:val="bullet"/>
      <w:lvlText w:val="•"/>
      <w:lvlJc w:val="left"/>
      <w:rPr>
        <w:rFonts w:ascii="Cambria Math" w:hAnsi="Cambria Math" w:hint="default"/>
      </w:rPr>
    </w:lvl>
    <w:lvl w:ilvl="1" w:tplc="04190003" w:tentative="1">
      <w:start w:val="1"/>
      <w:numFmt w:val="bullet"/>
      <w:lvlText w:val="o"/>
      <w:lvlJc w:val="left"/>
      <w:pPr>
        <w:ind w:left="1920" w:hanging="360"/>
      </w:pPr>
      <w:rPr>
        <w:rFonts w:ascii="Courier New" w:hAnsi="Courier New" w:cs="Courier New" w:hint="default"/>
      </w:rPr>
    </w:lvl>
    <w:lvl w:ilvl="2" w:tplc="04190005" w:tentative="1">
      <w:start w:val="1"/>
      <w:numFmt w:val="bullet"/>
      <w:lvlText w:val=""/>
      <w:lvlJc w:val="left"/>
      <w:pPr>
        <w:ind w:left="2640" w:hanging="360"/>
      </w:pPr>
      <w:rPr>
        <w:rFonts w:ascii="Wingdings" w:hAnsi="Wingdings" w:hint="default"/>
      </w:rPr>
    </w:lvl>
    <w:lvl w:ilvl="3" w:tplc="04190001" w:tentative="1">
      <w:start w:val="1"/>
      <w:numFmt w:val="bullet"/>
      <w:lvlText w:val=""/>
      <w:lvlJc w:val="left"/>
      <w:pPr>
        <w:ind w:left="3360" w:hanging="360"/>
      </w:pPr>
      <w:rPr>
        <w:rFonts w:ascii="Symbol" w:hAnsi="Symbol" w:hint="default"/>
      </w:rPr>
    </w:lvl>
    <w:lvl w:ilvl="4" w:tplc="04190003" w:tentative="1">
      <w:start w:val="1"/>
      <w:numFmt w:val="bullet"/>
      <w:lvlText w:val="o"/>
      <w:lvlJc w:val="left"/>
      <w:pPr>
        <w:ind w:left="4080" w:hanging="360"/>
      </w:pPr>
      <w:rPr>
        <w:rFonts w:ascii="Courier New" w:hAnsi="Courier New" w:cs="Courier New" w:hint="default"/>
      </w:rPr>
    </w:lvl>
    <w:lvl w:ilvl="5" w:tplc="04190005" w:tentative="1">
      <w:start w:val="1"/>
      <w:numFmt w:val="bullet"/>
      <w:lvlText w:val=""/>
      <w:lvlJc w:val="left"/>
      <w:pPr>
        <w:ind w:left="4800" w:hanging="360"/>
      </w:pPr>
      <w:rPr>
        <w:rFonts w:ascii="Wingdings" w:hAnsi="Wingdings" w:hint="default"/>
      </w:rPr>
    </w:lvl>
    <w:lvl w:ilvl="6" w:tplc="04190001" w:tentative="1">
      <w:start w:val="1"/>
      <w:numFmt w:val="bullet"/>
      <w:lvlText w:val=""/>
      <w:lvlJc w:val="left"/>
      <w:pPr>
        <w:ind w:left="5520" w:hanging="360"/>
      </w:pPr>
      <w:rPr>
        <w:rFonts w:ascii="Symbol" w:hAnsi="Symbol" w:hint="default"/>
      </w:rPr>
    </w:lvl>
    <w:lvl w:ilvl="7" w:tplc="04190003" w:tentative="1">
      <w:start w:val="1"/>
      <w:numFmt w:val="bullet"/>
      <w:lvlText w:val="o"/>
      <w:lvlJc w:val="left"/>
      <w:pPr>
        <w:ind w:left="6240" w:hanging="360"/>
      </w:pPr>
      <w:rPr>
        <w:rFonts w:ascii="Courier New" w:hAnsi="Courier New" w:cs="Courier New" w:hint="default"/>
      </w:rPr>
    </w:lvl>
    <w:lvl w:ilvl="8" w:tplc="04190005" w:tentative="1">
      <w:start w:val="1"/>
      <w:numFmt w:val="bullet"/>
      <w:lvlText w:val=""/>
      <w:lvlJc w:val="left"/>
      <w:pPr>
        <w:ind w:left="6960" w:hanging="360"/>
      </w:pPr>
      <w:rPr>
        <w:rFonts w:ascii="Wingdings" w:hAnsi="Wingdings" w:hint="default"/>
      </w:rPr>
    </w:lvl>
  </w:abstractNum>
  <w:abstractNum w:abstractNumId="230" w15:restartNumberingAfterBreak="0">
    <w:nsid w:val="698D0AC0"/>
    <w:multiLevelType w:val="hybridMultilevel"/>
    <w:tmpl w:val="11E85E72"/>
    <w:lvl w:ilvl="0" w:tplc="04190001">
      <w:start w:val="1"/>
      <w:numFmt w:val="bullet"/>
      <w:lvlText w:val=""/>
      <w:lvlJc w:val="left"/>
      <w:pPr>
        <w:ind w:left="1496" w:hanging="360"/>
      </w:pPr>
      <w:rPr>
        <w:rFonts w:ascii="Symbol" w:hAnsi="Symbol" w:hint="default"/>
      </w:rPr>
    </w:lvl>
    <w:lvl w:ilvl="1" w:tplc="04190003" w:tentative="1">
      <w:start w:val="1"/>
      <w:numFmt w:val="bullet"/>
      <w:lvlText w:val="o"/>
      <w:lvlJc w:val="left"/>
      <w:pPr>
        <w:ind w:left="2216" w:hanging="360"/>
      </w:pPr>
      <w:rPr>
        <w:rFonts w:ascii="Courier New" w:hAnsi="Courier New" w:cs="Courier New" w:hint="default"/>
      </w:rPr>
    </w:lvl>
    <w:lvl w:ilvl="2" w:tplc="04190005" w:tentative="1">
      <w:start w:val="1"/>
      <w:numFmt w:val="bullet"/>
      <w:lvlText w:val=""/>
      <w:lvlJc w:val="left"/>
      <w:pPr>
        <w:ind w:left="2936" w:hanging="360"/>
      </w:pPr>
      <w:rPr>
        <w:rFonts w:ascii="Wingdings" w:hAnsi="Wingdings" w:hint="default"/>
      </w:rPr>
    </w:lvl>
    <w:lvl w:ilvl="3" w:tplc="04190001" w:tentative="1">
      <w:start w:val="1"/>
      <w:numFmt w:val="bullet"/>
      <w:lvlText w:val=""/>
      <w:lvlJc w:val="left"/>
      <w:pPr>
        <w:ind w:left="3656" w:hanging="360"/>
      </w:pPr>
      <w:rPr>
        <w:rFonts w:ascii="Symbol" w:hAnsi="Symbol" w:hint="default"/>
      </w:rPr>
    </w:lvl>
    <w:lvl w:ilvl="4" w:tplc="04190003" w:tentative="1">
      <w:start w:val="1"/>
      <w:numFmt w:val="bullet"/>
      <w:lvlText w:val="o"/>
      <w:lvlJc w:val="left"/>
      <w:pPr>
        <w:ind w:left="4376" w:hanging="360"/>
      </w:pPr>
      <w:rPr>
        <w:rFonts w:ascii="Courier New" w:hAnsi="Courier New" w:cs="Courier New" w:hint="default"/>
      </w:rPr>
    </w:lvl>
    <w:lvl w:ilvl="5" w:tplc="04190005" w:tentative="1">
      <w:start w:val="1"/>
      <w:numFmt w:val="bullet"/>
      <w:lvlText w:val=""/>
      <w:lvlJc w:val="left"/>
      <w:pPr>
        <w:ind w:left="5096" w:hanging="360"/>
      </w:pPr>
      <w:rPr>
        <w:rFonts w:ascii="Wingdings" w:hAnsi="Wingdings" w:hint="default"/>
      </w:rPr>
    </w:lvl>
    <w:lvl w:ilvl="6" w:tplc="04190001" w:tentative="1">
      <w:start w:val="1"/>
      <w:numFmt w:val="bullet"/>
      <w:lvlText w:val=""/>
      <w:lvlJc w:val="left"/>
      <w:pPr>
        <w:ind w:left="5816" w:hanging="360"/>
      </w:pPr>
      <w:rPr>
        <w:rFonts w:ascii="Symbol" w:hAnsi="Symbol" w:hint="default"/>
      </w:rPr>
    </w:lvl>
    <w:lvl w:ilvl="7" w:tplc="04190003" w:tentative="1">
      <w:start w:val="1"/>
      <w:numFmt w:val="bullet"/>
      <w:lvlText w:val="o"/>
      <w:lvlJc w:val="left"/>
      <w:pPr>
        <w:ind w:left="6536" w:hanging="360"/>
      </w:pPr>
      <w:rPr>
        <w:rFonts w:ascii="Courier New" w:hAnsi="Courier New" w:cs="Courier New" w:hint="default"/>
      </w:rPr>
    </w:lvl>
    <w:lvl w:ilvl="8" w:tplc="04190005" w:tentative="1">
      <w:start w:val="1"/>
      <w:numFmt w:val="bullet"/>
      <w:lvlText w:val=""/>
      <w:lvlJc w:val="left"/>
      <w:pPr>
        <w:ind w:left="7256" w:hanging="360"/>
      </w:pPr>
      <w:rPr>
        <w:rFonts w:ascii="Wingdings" w:hAnsi="Wingdings" w:hint="default"/>
      </w:rPr>
    </w:lvl>
  </w:abstractNum>
  <w:abstractNum w:abstractNumId="231" w15:restartNumberingAfterBreak="0">
    <w:nsid w:val="69995AA4"/>
    <w:multiLevelType w:val="hybridMultilevel"/>
    <w:tmpl w:val="34E0D3F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2" w15:restartNumberingAfterBreak="0">
    <w:nsid w:val="69E82B41"/>
    <w:multiLevelType w:val="hybridMultilevel"/>
    <w:tmpl w:val="485AF6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3" w15:restartNumberingAfterBreak="0">
    <w:nsid w:val="6A150589"/>
    <w:multiLevelType w:val="hybridMultilevel"/>
    <w:tmpl w:val="296EBB58"/>
    <w:lvl w:ilvl="0" w:tplc="FFFFFFF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4" w15:restartNumberingAfterBreak="0">
    <w:nsid w:val="6A9F116B"/>
    <w:multiLevelType w:val="hybridMultilevel"/>
    <w:tmpl w:val="D62CE66E"/>
    <w:lvl w:ilvl="0" w:tplc="BBDEA694">
      <w:start w:val="1"/>
      <w:numFmt w:val="bullet"/>
      <w:pStyle w:val="a1"/>
      <w:lvlText w:val="•"/>
      <w:lvlJc w:val="left"/>
      <w:pPr>
        <w:tabs>
          <w:tab w:val="num" w:pos="720"/>
        </w:tabs>
        <w:ind w:left="720" w:hanging="360"/>
      </w:pPr>
      <w:rPr>
        <w:rFonts w:ascii="Times New Roman" w:hAnsi="Times New Roman" w:hint="default"/>
      </w:rPr>
    </w:lvl>
    <w:lvl w:ilvl="1" w:tplc="F6ACCB02">
      <w:start w:val="172"/>
      <w:numFmt w:val="bullet"/>
      <w:lvlText w:val="–"/>
      <w:lvlJc w:val="left"/>
      <w:pPr>
        <w:tabs>
          <w:tab w:val="num" w:pos="1440"/>
        </w:tabs>
        <w:ind w:left="1440" w:hanging="360"/>
      </w:pPr>
      <w:rPr>
        <w:rFonts w:ascii="Times New Roman" w:hAnsi="Times New Roman" w:hint="default"/>
      </w:rPr>
    </w:lvl>
    <w:lvl w:ilvl="2" w:tplc="846C9620" w:tentative="1">
      <w:start w:val="1"/>
      <w:numFmt w:val="bullet"/>
      <w:lvlText w:val="•"/>
      <w:lvlJc w:val="left"/>
      <w:pPr>
        <w:tabs>
          <w:tab w:val="num" w:pos="2160"/>
        </w:tabs>
        <w:ind w:left="2160" w:hanging="360"/>
      </w:pPr>
      <w:rPr>
        <w:rFonts w:ascii="Times New Roman" w:hAnsi="Times New Roman" w:hint="default"/>
      </w:rPr>
    </w:lvl>
    <w:lvl w:ilvl="3" w:tplc="D4F8DEFC" w:tentative="1">
      <w:start w:val="1"/>
      <w:numFmt w:val="bullet"/>
      <w:lvlText w:val="•"/>
      <w:lvlJc w:val="left"/>
      <w:pPr>
        <w:tabs>
          <w:tab w:val="num" w:pos="2880"/>
        </w:tabs>
        <w:ind w:left="2880" w:hanging="360"/>
      </w:pPr>
      <w:rPr>
        <w:rFonts w:ascii="Times New Roman" w:hAnsi="Times New Roman" w:hint="default"/>
      </w:rPr>
    </w:lvl>
    <w:lvl w:ilvl="4" w:tplc="13EED358" w:tentative="1">
      <w:start w:val="1"/>
      <w:numFmt w:val="bullet"/>
      <w:lvlText w:val="•"/>
      <w:lvlJc w:val="left"/>
      <w:pPr>
        <w:tabs>
          <w:tab w:val="num" w:pos="3600"/>
        </w:tabs>
        <w:ind w:left="3600" w:hanging="360"/>
      </w:pPr>
      <w:rPr>
        <w:rFonts w:ascii="Times New Roman" w:hAnsi="Times New Roman" w:hint="default"/>
      </w:rPr>
    </w:lvl>
    <w:lvl w:ilvl="5" w:tplc="773A55DE" w:tentative="1">
      <w:start w:val="1"/>
      <w:numFmt w:val="bullet"/>
      <w:lvlText w:val="•"/>
      <w:lvlJc w:val="left"/>
      <w:pPr>
        <w:tabs>
          <w:tab w:val="num" w:pos="4320"/>
        </w:tabs>
        <w:ind w:left="4320" w:hanging="360"/>
      </w:pPr>
      <w:rPr>
        <w:rFonts w:ascii="Times New Roman" w:hAnsi="Times New Roman" w:hint="default"/>
      </w:rPr>
    </w:lvl>
    <w:lvl w:ilvl="6" w:tplc="82266232" w:tentative="1">
      <w:start w:val="1"/>
      <w:numFmt w:val="bullet"/>
      <w:lvlText w:val="•"/>
      <w:lvlJc w:val="left"/>
      <w:pPr>
        <w:tabs>
          <w:tab w:val="num" w:pos="5040"/>
        </w:tabs>
        <w:ind w:left="5040" w:hanging="360"/>
      </w:pPr>
      <w:rPr>
        <w:rFonts w:ascii="Times New Roman" w:hAnsi="Times New Roman" w:hint="default"/>
      </w:rPr>
    </w:lvl>
    <w:lvl w:ilvl="7" w:tplc="7682EE9C" w:tentative="1">
      <w:start w:val="1"/>
      <w:numFmt w:val="bullet"/>
      <w:lvlText w:val="•"/>
      <w:lvlJc w:val="left"/>
      <w:pPr>
        <w:tabs>
          <w:tab w:val="num" w:pos="5760"/>
        </w:tabs>
        <w:ind w:left="5760" w:hanging="360"/>
      </w:pPr>
      <w:rPr>
        <w:rFonts w:ascii="Times New Roman" w:hAnsi="Times New Roman" w:hint="default"/>
      </w:rPr>
    </w:lvl>
    <w:lvl w:ilvl="8" w:tplc="6C1842CC" w:tentative="1">
      <w:start w:val="1"/>
      <w:numFmt w:val="bullet"/>
      <w:lvlText w:val="•"/>
      <w:lvlJc w:val="left"/>
      <w:pPr>
        <w:tabs>
          <w:tab w:val="num" w:pos="6480"/>
        </w:tabs>
        <w:ind w:left="6480" w:hanging="360"/>
      </w:pPr>
      <w:rPr>
        <w:rFonts w:ascii="Times New Roman" w:hAnsi="Times New Roman" w:hint="default"/>
      </w:rPr>
    </w:lvl>
  </w:abstractNum>
  <w:abstractNum w:abstractNumId="235" w15:restartNumberingAfterBreak="0">
    <w:nsid w:val="6BD50939"/>
    <w:multiLevelType w:val="hybridMultilevel"/>
    <w:tmpl w:val="1DE643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6" w15:restartNumberingAfterBreak="0">
    <w:nsid w:val="6CE277CD"/>
    <w:multiLevelType w:val="hybridMultilevel"/>
    <w:tmpl w:val="F6E2D132"/>
    <w:lvl w:ilvl="0" w:tplc="0419000F">
      <w:start w:val="1"/>
      <w:numFmt w:val="decimal"/>
      <w:lvlText w:val="%1."/>
      <w:lvlJc w:val="left"/>
      <w:pPr>
        <w:ind w:left="720" w:hanging="360"/>
      </w:pPr>
      <w:rPr>
        <w:rFonts w:hint="default"/>
      </w:rPr>
    </w:lvl>
    <w:lvl w:ilvl="1" w:tplc="04190001">
      <w:start w:val="1"/>
      <w:numFmt w:val="bullet"/>
      <w:lvlText w:val=""/>
      <w:lvlJc w:val="left"/>
      <w:pPr>
        <w:ind w:left="1440" w:hanging="360"/>
      </w:pPr>
      <w:rPr>
        <w:rFonts w:ascii="Symbol" w:hAnsi="Symbol" w:hint="default"/>
      </w:r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7" w15:restartNumberingAfterBreak="0">
    <w:nsid w:val="6CF711F5"/>
    <w:multiLevelType w:val="hybridMultilevel"/>
    <w:tmpl w:val="3FB8D84A"/>
    <w:lvl w:ilvl="0" w:tplc="0E60B5AE">
      <w:start w:val="1"/>
      <w:numFmt w:val="bullet"/>
      <w:lvlText w:val=""/>
      <w:lvlJc w:val="left"/>
      <w:pPr>
        <w:ind w:left="1080" w:hanging="360"/>
      </w:pPr>
      <w:rPr>
        <w:rFonts w:ascii="Symbol" w:hAnsi="Symbol" w:hint="default"/>
      </w:rPr>
    </w:lvl>
    <w:lvl w:ilvl="1" w:tplc="7A7E9E72">
      <w:start w:val="1"/>
      <w:numFmt w:val="bullet"/>
      <w:lvlText w:val="o"/>
      <w:lvlJc w:val="left"/>
      <w:pPr>
        <w:ind w:left="1800" w:hanging="360"/>
      </w:pPr>
      <w:rPr>
        <w:rFonts w:ascii="Courier New" w:hAnsi="Courier New" w:cs="Courier New" w:hint="default"/>
      </w:rPr>
    </w:lvl>
    <w:lvl w:ilvl="2" w:tplc="FD5696C2">
      <w:start w:val="1"/>
      <w:numFmt w:val="bullet"/>
      <w:lvlText w:val=""/>
      <w:lvlJc w:val="left"/>
      <w:pPr>
        <w:ind w:left="2520" w:hanging="360"/>
      </w:pPr>
      <w:rPr>
        <w:rFonts w:ascii="Wingdings" w:hAnsi="Wingdings" w:hint="default"/>
      </w:rPr>
    </w:lvl>
    <w:lvl w:ilvl="3" w:tplc="2F44A216">
      <w:start w:val="1"/>
      <w:numFmt w:val="bullet"/>
      <w:lvlText w:val=""/>
      <w:lvlJc w:val="left"/>
      <w:pPr>
        <w:ind w:left="3240" w:hanging="360"/>
      </w:pPr>
      <w:rPr>
        <w:rFonts w:ascii="Symbol" w:hAnsi="Symbol" w:hint="default"/>
      </w:rPr>
    </w:lvl>
    <w:lvl w:ilvl="4" w:tplc="9ECA2EA2">
      <w:start w:val="1"/>
      <w:numFmt w:val="bullet"/>
      <w:lvlText w:val="o"/>
      <w:lvlJc w:val="left"/>
      <w:pPr>
        <w:ind w:left="3960" w:hanging="360"/>
      </w:pPr>
      <w:rPr>
        <w:rFonts w:ascii="Courier New" w:hAnsi="Courier New" w:cs="Courier New" w:hint="default"/>
      </w:rPr>
    </w:lvl>
    <w:lvl w:ilvl="5" w:tplc="4A60B510">
      <w:start w:val="1"/>
      <w:numFmt w:val="bullet"/>
      <w:lvlText w:val=""/>
      <w:lvlJc w:val="left"/>
      <w:pPr>
        <w:ind w:left="4680" w:hanging="360"/>
      </w:pPr>
      <w:rPr>
        <w:rFonts w:ascii="Wingdings" w:hAnsi="Wingdings" w:hint="default"/>
      </w:rPr>
    </w:lvl>
    <w:lvl w:ilvl="6" w:tplc="9826769A">
      <w:start w:val="1"/>
      <w:numFmt w:val="bullet"/>
      <w:lvlText w:val=""/>
      <w:lvlJc w:val="left"/>
      <w:pPr>
        <w:ind w:left="5400" w:hanging="360"/>
      </w:pPr>
      <w:rPr>
        <w:rFonts w:ascii="Symbol" w:hAnsi="Symbol" w:hint="default"/>
      </w:rPr>
    </w:lvl>
    <w:lvl w:ilvl="7" w:tplc="6E52C570">
      <w:start w:val="1"/>
      <w:numFmt w:val="bullet"/>
      <w:lvlText w:val="o"/>
      <w:lvlJc w:val="left"/>
      <w:pPr>
        <w:ind w:left="6120" w:hanging="360"/>
      </w:pPr>
      <w:rPr>
        <w:rFonts w:ascii="Courier New" w:hAnsi="Courier New" w:cs="Courier New" w:hint="default"/>
      </w:rPr>
    </w:lvl>
    <w:lvl w:ilvl="8" w:tplc="DC286868">
      <w:start w:val="1"/>
      <w:numFmt w:val="bullet"/>
      <w:lvlText w:val=""/>
      <w:lvlJc w:val="left"/>
      <w:pPr>
        <w:ind w:left="6840" w:hanging="360"/>
      </w:pPr>
      <w:rPr>
        <w:rFonts w:ascii="Wingdings" w:hAnsi="Wingdings" w:hint="default"/>
      </w:rPr>
    </w:lvl>
  </w:abstractNum>
  <w:abstractNum w:abstractNumId="238" w15:restartNumberingAfterBreak="0">
    <w:nsid w:val="6D9C55F4"/>
    <w:multiLevelType w:val="hybridMultilevel"/>
    <w:tmpl w:val="868086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9" w15:restartNumberingAfterBreak="0">
    <w:nsid w:val="6E2010A3"/>
    <w:multiLevelType w:val="hybridMultilevel"/>
    <w:tmpl w:val="0BD074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0" w15:restartNumberingAfterBreak="0">
    <w:nsid w:val="6E24223D"/>
    <w:multiLevelType w:val="hybridMultilevel"/>
    <w:tmpl w:val="7450BC2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1" w15:restartNumberingAfterBreak="0">
    <w:nsid w:val="6EAA4F89"/>
    <w:multiLevelType w:val="hybridMultilevel"/>
    <w:tmpl w:val="EB40BDBE"/>
    <w:lvl w:ilvl="0" w:tplc="04190001">
      <w:start w:val="1"/>
      <w:numFmt w:val="bullet"/>
      <w:lvlText w:val=""/>
      <w:lvlJc w:val="left"/>
      <w:pPr>
        <w:ind w:left="1145" w:hanging="360"/>
      </w:pPr>
      <w:rPr>
        <w:rFonts w:ascii="Symbol" w:hAnsi="Symbol" w:hint="default"/>
      </w:rPr>
    </w:lvl>
    <w:lvl w:ilvl="1" w:tplc="04190003">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242" w15:restartNumberingAfterBreak="0">
    <w:nsid w:val="6ECF4664"/>
    <w:multiLevelType w:val="hybridMultilevel"/>
    <w:tmpl w:val="CCEC0F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3" w15:restartNumberingAfterBreak="0">
    <w:nsid w:val="6EFA2964"/>
    <w:multiLevelType w:val="hybridMultilevel"/>
    <w:tmpl w:val="2EF24D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4" w15:restartNumberingAfterBreak="0">
    <w:nsid w:val="6FDC162F"/>
    <w:multiLevelType w:val="hybridMultilevel"/>
    <w:tmpl w:val="7FEAD3B8"/>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5" w15:restartNumberingAfterBreak="0">
    <w:nsid w:val="700A7B43"/>
    <w:multiLevelType w:val="hybridMultilevel"/>
    <w:tmpl w:val="32F2F2D2"/>
    <w:lvl w:ilvl="0" w:tplc="04190001">
      <w:start w:val="1"/>
      <w:numFmt w:val="bullet"/>
      <w:lvlText w:val=""/>
      <w:lvlJc w:val="left"/>
      <w:pPr>
        <w:ind w:left="1145" w:hanging="360"/>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246" w15:restartNumberingAfterBreak="0">
    <w:nsid w:val="70A3675C"/>
    <w:multiLevelType w:val="hybridMultilevel"/>
    <w:tmpl w:val="D7A6B1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7" w15:restartNumberingAfterBreak="0">
    <w:nsid w:val="710E7B94"/>
    <w:multiLevelType w:val="hybridMultilevel"/>
    <w:tmpl w:val="6090CD7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48" w15:restartNumberingAfterBreak="0">
    <w:nsid w:val="71E367CF"/>
    <w:multiLevelType w:val="hybridMultilevel"/>
    <w:tmpl w:val="7098D0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9" w15:restartNumberingAfterBreak="0">
    <w:nsid w:val="71F87B85"/>
    <w:multiLevelType w:val="hybridMultilevel"/>
    <w:tmpl w:val="DF404DC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0" w15:restartNumberingAfterBreak="0">
    <w:nsid w:val="728773B1"/>
    <w:multiLevelType w:val="hybridMultilevel"/>
    <w:tmpl w:val="98B4C9C0"/>
    <w:lvl w:ilvl="0" w:tplc="6E760F10">
      <w:start w:val="1"/>
      <w:numFmt w:val="decimal"/>
      <w:lvlText w:val="%1."/>
      <w:lvlJc w:val="left"/>
      <w:pPr>
        <w:ind w:left="720" w:hanging="360"/>
      </w:pPr>
      <w:rPr>
        <w:rFonts w:ascii="Times New Roman" w:eastAsiaTheme="minorHAnsi" w:hAnsi="Times New Roman" w:cs="Times New Roman"/>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1" w15:restartNumberingAfterBreak="0">
    <w:nsid w:val="73857C0E"/>
    <w:multiLevelType w:val="hybridMultilevel"/>
    <w:tmpl w:val="ED986C6A"/>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52" w15:restartNumberingAfterBreak="0">
    <w:nsid w:val="738740E1"/>
    <w:multiLevelType w:val="hybridMultilevel"/>
    <w:tmpl w:val="2360736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3" w15:restartNumberingAfterBreak="0">
    <w:nsid w:val="74233B1A"/>
    <w:multiLevelType w:val="hybridMultilevel"/>
    <w:tmpl w:val="40625C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4" w15:restartNumberingAfterBreak="0">
    <w:nsid w:val="742F0635"/>
    <w:multiLevelType w:val="multilevel"/>
    <w:tmpl w:val="446EC67A"/>
    <w:lvl w:ilvl="0">
      <w:start w:val="1"/>
      <w:numFmt w:val="decimal"/>
      <w:lvlText w:val="%1."/>
      <w:lvlJc w:val="left"/>
      <w:pPr>
        <w:ind w:left="502" w:hanging="360"/>
      </w:pPr>
      <w:rPr>
        <w:rFonts w:hint="default"/>
      </w:rPr>
    </w:lvl>
    <w:lvl w:ilvl="1">
      <w:start w:val="2"/>
      <w:numFmt w:val="decimal"/>
      <w:isLgl/>
      <w:lvlText w:val="%1.%2."/>
      <w:lvlJc w:val="left"/>
      <w:pPr>
        <w:ind w:left="798" w:hanging="585"/>
      </w:pPr>
      <w:rPr>
        <w:rFonts w:hint="default"/>
      </w:rPr>
    </w:lvl>
    <w:lvl w:ilvl="2">
      <w:start w:val="5"/>
      <w:numFmt w:val="decimal"/>
      <w:isLgl/>
      <w:lvlText w:val="%1.%2.%3."/>
      <w:lvlJc w:val="left"/>
      <w:pPr>
        <w:ind w:left="1004" w:hanging="720"/>
      </w:pPr>
      <w:rPr>
        <w:rFonts w:hint="default"/>
      </w:rPr>
    </w:lvl>
    <w:lvl w:ilvl="3">
      <w:start w:val="1"/>
      <w:numFmt w:val="decimal"/>
      <w:isLgl/>
      <w:lvlText w:val="%1.%2.%3.%4."/>
      <w:lvlJc w:val="left"/>
      <w:pPr>
        <w:ind w:left="1075"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77" w:hanging="1080"/>
      </w:pPr>
      <w:rPr>
        <w:rFonts w:hint="default"/>
      </w:rPr>
    </w:lvl>
    <w:lvl w:ilvl="6">
      <w:start w:val="1"/>
      <w:numFmt w:val="decimal"/>
      <w:isLgl/>
      <w:lvlText w:val="%1.%2.%3.%4.%5.%6.%7."/>
      <w:lvlJc w:val="left"/>
      <w:pPr>
        <w:ind w:left="2008" w:hanging="1440"/>
      </w:pPr>
      <w:rPr>
        <w:rFonts w:hint="default"/>
      </w:rPr>
    </w:lvl>
    <w:lvl w:ilvl="7">
      <w:start w:val="1"/>
      <w:numFmt w:val="decimal"/>
      <w:isLgl/>
      <w:lvlText w:val="%1.%2.%3.%4.%5.%6.%7.%8."/>
      <w:lvlJc w:val="left"/>
      <w:pPr>
        <w:ind w:left="2079" w:hanging="1440"/>
      </w:pPr>
      <w:rPr>
        <w:rFonts w:hint="default"/>
      </w:rPr>
    </w:lvl>
    <w:lvl w:ilvl="8">
      <w:start w:val="1"/>
      <w:numFmt w:val="decimal"/>
      <w:isLgl/>
      <w:lvlText w:val="%1.%2.%3.%4.%5.%6.%7.%8.%9."/>
      <w:lvlJc w:val="left"/>
      <w:pPr>
        <w:ind w:left="2510" w:hanging="1800"/>
      </w:pPr>
      <w:rPr>
        <w:rFonts w:hint="default"/>
      </w:rPr>
    </w:lvl>
  </w:abstractNum>
  <w:abstractNum w:abstractNumId="255" w15:restartNumberingAfterBreak="0">
    <w:nsid w:val="745A7484"/>
    <w:multiLevelType w:val="hybridMultilevel"/>
    <w:tmpl w:val="59B87F60"/>
    <w:lvl w:ilvl="0" w:tplc="FFFFFFF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6" w15:restartNumberingAfterBreak="0">
    <w:nsid w:val="74BE66AC"/>
    <w:multiLevelType w:val="hybridMultilevel"/>
    <w:tmpl w:val="86D871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7" w15:restartNumberingAfterBreak="0">
    <w:nsid w:val="74FB01F8"/>
    <w:multiLevelType w:val="hybridMultilevel"/>
    <w:tmpl w:val="87B48F60"/>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8" w15:restartNumberingAfterBreak="0">
    <w:nsid w:val="765F70D1"/>
    <w:multiLevelType w:val="hybridMultilevel"/>
    <w:tmpl w:val="B0288ABE"/>
    <w:lvl w:ilvl="0" w:tplc="A378BA54">
      <w:start w:val="1"/>
      <w:numFmt w:val="bullet"/>
      <w:lvlText w:val="•"/>
      <w:lvlJc w:val="left"/>
      <w:pPr>
        <w:ind w:left="1429" w:hanging="360"/>
      </w:pPr>
      <w:rPr>
        <w:rFonts w:ascii="Arial" w:hAnsi="Aria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9" w15:restartNumberingAfterBreak="0">
    <w:nsid w:val="767A098F"/>
    <w:multiLevelType w:val="hybridMultilevel"/>
    <w:tmpl w:val="CD04CE36"/>
    <w:lvl w:ilvl="0" w:tplc="04190001">
      <w:start w:val="1"/>
      <w:numFmt w:val="bullet"/>
      <w:lvlText w:val=""/>
      <w:lvlJc w:val="left"/>
      <w:pPr>
        <w:ind w:left="1145" w:hanging="360"/>
      </w:pPr>
      <w:rPr>
        <w:rFonts w:ascii="Symbol" w:hAnsi="Symbol" w:hint="default"/>
      </w:rPr>
    </w:lvl>
    <w:lvl w:ilvl="1" w:tplc="04190003">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260" w15:restartNumberingAfterBreak="0">
    <w:nsid w:val="76AD17CF"/>
    <w:multiLevelType w:val="hybridMultilevel"/>
    <w:tmpl w:val="031A4B8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61" w15:restartNumberingAfterBreak="0">
    <w:nsid w:val="76C81E5F"/>
    <w:multiLevelType w:val="hybridMultilevel"/>
    <w:tmpl w:val="A644ED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2" w15:restartNumberingAfterBreak="0">
    <w:nsid w:val="76E33EC4"/>
    <w:multiLevelType w:val="hybridMultilevel"/>
    <w:tmpl w:val="47E204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3" w15:restartNumberingAfterBreak="0">
    <w:nsid w:val="76E4605F"/>
    <w:multiLevelType w:val="hybridMultilevel"/>
    <w:tmpl w:val="D99A6842"/>
    <w:lvl w:ilvl="0" w:tplc="04190001">
      <w:start w:val="1"/>
      <w:numFmt w:val="bullet"/>
      <w:lvlText w:val=""/>
      <w:lvlJc w:val="left"/>
      <w:pPr>
        <w:ind w:left="1145" w:hanging="360"/>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264" w15:restartNumberingAfterBreak="0">
    <w:nsid w:val="774D269A"/>
    <w:multiLevelType w:val="hybridMultilevel"/>
    <w:tmpl w:val="38CA103A"/>
    <w:lvl w:ilvl="0" w:tplc="04190003">
      <w:start w:val="1"/>
      <w:numFmt w:val="bullet"/>
      <w:lvlText w:val="o"/>
      <w:lvlJc w:val="left"/>
      <w:pPr>
        <w:ind w:left="1429" w:hanging="360"/>
      </w:pPr>
      <w:rPr>
        <w:rFonts w:ascii="Courier New" w:hAnsi="Courier New" w:cs="Courier New" w:hint="default"/>
      </w:rPr>
    </w:lvl>
    <w:lvl w:ilvl="1" w:tplc="04190003">
      <w:start w:val="1"/>
      <w:numFmt w:val="bullet"/>
      <w:lvlText w:val="o"/>
      <w:lvlJc w:val="left"/>
      <w:pPr>
        <w:ind w:left="2494" w:hanging="705"/>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5" w15:restartNumberingAfterBreak="0">
    <w:nsid w:val="777107AF"/>
    <w:multiLevelType w:val="hybridMultilevel"/>
    <w:tmpl w:val="D63A2B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6" w15:restartNumberingAfterBreak="0">
    <w:nsid w:val="7855342D"/>
    <w:multiLevelType w:val="hybridMultilevel"/>
    <w:tmpl w:val="EBFA973E"/>
    <w:lvl w:ilvl="0" w:tplc="C7606B5A">
      <w:start w:val="1"/>
      <w:numFmt w:val="decimal"/>
      <w:lvlText w:val="%1."/>
      <w:lvlJc w:val="left"/>
      <w:pPr>
        <w:ind w:left="1080" w:hanging="360"/>
      </w:pPr>
      <w:rPr>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67" w15:restartNumberingAfterBreak="0">
    <w:nsid w:val="78F23F89"/>
    <w:multiLevelType w:val="hybridMultilevel"/>
    <w:tmpl w:val="6D200488"/>
    <w:lvl w:ilvl="0" w:tplc="04190001">
      <w:start w:val="1"/>
      <w:numFmt w:val="bullet"/>
      <w:lvlText w:val=""/>
      <w:lvlJc w:val="left"/>
      <w:pPr>
        <w:ind w:left="1145" w:hanging="360"/>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268" w15:restartNumberingAfterBreak="0">
    <w:nsid w:val="796E5432"/>
    <w:multiLevelType w:val="hybridMultilevel"/>
    <w:tmpl w:val="91501A88"/>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69" w15:restartNumberingAfterBreak="0">
    <w:nsid w:val="79713416"/>
    <w:multiLevelType w:val="hybridMultilevel"/>
    <w:tmpl w:val="D548CD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0" w15:restartNumberingAfterBreak="0">
    <w:nsid w:val="79CC6B63"/>
    <w:multiLevelType w:val="hybridMultilevel"/>
    <w:tmpl w:val="9A760E64"/>
    <w:lvl w:ilvl="0" w:tplc="A7444C96">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71" w15:restartNumberingAfterBreak="0">
    <w:nsid w:val="7A4C76A2"/>
    <w:multiLevelType w:val="hybridMultilevel"/>
    <w:tmpl w:val="8A8C87EC"/>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2" w15:restartNumberingAfterBreak="0">
    <w:nsid w:val="7B302691"/>
    <w:multiLevelType w:val="hybridMultilevel"/>
    <w:tmpl w:val="8328349C"/>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73" w15:restartNumberingAfterBreak="0">
    <w:nsid w:val="7B747220"/>
    <w:multiLevelType w:val="hybridMultilevel"/>
    <w:tmpl w:val="ED2C405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74" w15:restartNumberingAfterBreak="0">
    <w:nsid w:val="7B9727C2"/>
    <w:multiLevelType w:val="hybridMultilevel"/>
    <w:tmpl w:val="FA0417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5" w15:restartNumberingAfterBreak="0">
    <w:nsid w:val="7BAB11B1"/>
    <w:multiLevelType w:val="hybridMultilevel"/>
    <w:tmpl w:val="F0D6F0BA"/>
    <w:lvl w:ilvl="0" w:tplc="D76CC41E">
      <w:start w:val="1"/>
      <w:numFmt w:val="bullet"/>
      <w:lvlText w:val="•"/>
      <w:lvlJc w:val="left"/>
      <w:pPr>
        <w:tabs>
          <w:tab w:val="num" w:pos="720"/>
        </w:tabs>
        <w:ind w:left="720" w:hanging="360"/>
      </w:pPr>
      <w:rPr>
        <w:rFonts w:ascii="Arial" w:hAnsi="Arial" w:hint="default"/>
      </w:rPr>
    </w:lvl>
    <w:lvl w:ilvl="1" w:tplc="2F8ECD54" w:tentative="1">
      <w:start w:val="1"/>
      <w:numFmt w:val="bullet"/>
      <w:lvlText w:val="•"/>
      <w:lvlJc w:val="left"/>
      <w:pPr>
        <w:tabs>
          <w:tab w:val="num" w:pos="1440"/>
        </w:tabs>
        <w:ind w:left="1440" w:hanging="360"/>
      </w:pPr>
      <w:rPr>
        <w:rFonts w:ascii="Arial" w:hAnsi="Arial" w:hint="default"/>
      </w:rPr>
    </w:lvl>
    <w:lvl w:ilvl="2" w:tplc="CE8C5248" w:tentative="1">
      <w:start w:val="1"/>
      <w:numFmt w:val="bullet"/>
      <w:lvlText w:val="•"/>
      <w:lvlJc w:val="left"/>
      <w:pPr>
        <w:tabs>
          <w:tab w:val="num" w:pos="2160"/>
        </w:tabs>
        <w:ind w:left="2160" w:hanging="360"/>
      </w:pPr>
      <w:rPr>
        <w:rFonts w:ascii="Arial" w:hAnsi="Arial" w:hint="default"/>
      </w:rPr>
    </w:lvl>
    <w:lvl w:ilvl="3" w:tplc="225EDACA" w:tentative="1">
      <w:start w:val="1"/>
      <w:numFmt w:val="bullet"/>
      <w:lvlText w:val="•"/>
      <w:lvlJc w:val="left"/>
      <w:pPr>
        <w:tabs>
          <w:tab w:val="num" w:pos="2880"/>
        </w:tabs>
        <w:ind w:left="2880" w:hanging="360"/>
      </w:pPr>
      <w:rPr>
        <w:rFonts w:ascii="Arial" w:hAnsi="Arial" w:hint="default"/>
      </w:rPr>
    </w:lvl>
    <w:lvl w:ilvl="4" w:tplc="0626367E" w:tentative="1">
      <w:start w:val="1"/>
      <w:numFmt w:val="bullet"/>
      <w:lvlText w:val="•"/>
      <w:lvlJc w:val="left"/>
      <w:pPr>
        <w:tabs>
          <w:tab w:val="num" w:pos="3600"/>
        </w:tabs>
        <w:ind w:left="3600" w:hanging="360"/>
      </w:pPr>
      <w:rPr>
        <w:rFonts w:ascii="Arial" w:hAnsi="Arial" w:hint="default"/>
      </w:rPr>
    </w:lvl>
    <w:lvl w:ilvl="5" w:tplc="F3F24E2C" w:tentative="1">
      <w:start w:val="1"/>
      <w:numFmt w:val="bullet"/>
      <w:lvlText w:val="•"/>
      <w:lvlJc w:val="left"/>
      <w:pPr>
        <w:tabs>
          <w:tab w:val="num" w:pos="4320"/>
        </w:tabs>
        <w:ind w:left="4320" w:hanging="360"/>
      </w:pPr>
      <w:rPr>
        <w:rFonts w:ascii="Arial" w:hAnsi="Arial" w:hint="default"/>
      </w:rPr>
    </w:lvl>
    <w:lvl w:ilvl="6" w:tplc="66CAD2A8" w:tentative="1">
      <w:start w:val="1"/>
      <w:numFmt w:val="bullet"/>
      <w:lvlText w:val="•"/>
      <w:lvlJc w:val="left"/>
      <w:pPr>
        <w:tabs>
          <w:tab w:val="num" w:pos="5040"/>
        </w:tabs>
        <w:ind w:left="5040" w:hanging="360"/>
      </w:pPr>
      <w:rPr>
        <w:rFonts w:ascii="Arial" w:hAnsi="Arial" w:hint="default"/>
      </w:rPr>
    </w:lvl>
    <w:lvl w:ilvl="7" w:tplc="2D2688B4" w:tentative="1">
      <w:start w:val="1"/>
      <w:numFmt w:val="bullet"/>
      <w:lvlText w:val="•"/>
      <w:lvlJc w:val="left"/>
      <w:pPr>
        <w:tabs>
          <w:tab w:val="num" w:pos="5760"/>
        </w:tabs>
        <w:ind w:left="5760" w:hanging="360"/>
      </w:pPr>
      <w:rPr>
        <w:rFonts w:ascii="Arial" w:hAnsi="Arial" w:hint="default"/>
      </w:rPr>
    </w:lvl>
    <w:lvl w:ilvl="8" w:tplc="D7D0C13C" w:tentative="1">
      <w:start w:val="1"/>
      <w:numFmt w:val="bullet"/>
      <w:lvlText w:val="•"/>
      <w:lvlJc w:val="left"/>
      <w:pPr>
        <w:tabs>
          <w:tab w:val="num" w:pos="6480"/>
        </w:tabs>
        <w:ind w:left="6480" w:hanging="360"/>
      </w:pPr>
      <w:rPr>
        <w:rFonts w:ascii="Arial" w:hAnsi="Arial" w:hint="default"/>
      </w:rPr>
    </w:lvl>
  </w:abstractNum>
  <w:abstractNum w:abstractNumId="276" w15:restartNumberingAfterBreak="0">
    <w:nsid w:val="7C2D2F11"/>
    <w:multiLevelType w:val="hybridMultilevel"/>
    <w:tmpl w:val="AAC28500"/>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7" w15:restartNumberingAfterBreak="0">
    <w:nsid w:val="7D01503F"/>
    <w:multiLevelType w:val="hybridMultilevel"/>
    <w:tmpl w:val="9D3812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8" w15:restartNumberingAfterBreak="0">
    <w:nsid w:val="7D0B5D6E"/>
    <w:multiLevelType w:val="hybridMultilevel"/>
    <w:tmpl w:val="28E8C6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9" w15:restartNumberingAfterBreak="0">
    <w:nsid w:val="7E612FB6"/>
    <w:multiLevelType w:val="hybridMultilevel"/>
    <w:tmpl w:val="77D21E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0" w15:restartNumberingAfterBreak="0">
    <w:nsid w:val="7EA3112D"/>
    <w:multiLevelType w:val="hybridMultilevel"/>
    <w:tmpl w:val="9D24EB86"/>
    <w:lvl w:ilvl="0" w:tplc="04190001">
      <w:start w:val="1"/>
      <w:numFmt w:val="bullet"/>
      <w:lvlText w:val=""/>
      <w:lvlJc w:val="left"/>
      <w:pPr>
        <w:ind w:left="3196" w:hanging="360"/>
      </w:pPr>
      <w:rPr>
        <w:rFonts w:ascii="Symbol" w:hAnsi="Symbol" w:hint="default"/>
      </w:rPr>
    </w:lvl>
    <w:lvl w:ilvl="1" w:tplc="04190003">
      <w:start w:val="1"/>
      <w:numFmt w:val="bullet"/>
      <w:lvlText w:val="o"/>
      <w:lvlJc w:val="left"/>
      <w:pPr>
        <w:ind w:left="3916" w:hanging="360"/>
      </w:pPr>
      <w:rPr>
        <w:rFonts w:ascii="Courier New" w:hAnsi="Courier New" w:hint="default"/>
      </w:rPr>
    </w:lvl>
    <w:lvl w:ilvl="2" w:tplc="04190005">
      <w:start w:val="1"/>
      <w:numFmt w:val="bullet"/>
      <w:lvlText w:val=""/>
      <w:lvlJc w:val="left"/>
      <w:pPr>
        <w:ind w:left="4636" w:hanging="360"/>
      </w:pPr>
      <w:rPr>
        <w:rFonts w:ascii="Wingdings" w:hAnsi="Wingdings" w:hint="default"/>
      </w:rPr>
    </w:lvl>
    <w:lvl w:ilvl="3" w:tplc="04190001">
      <w:start w:val="1"/>
      <w:numFmt w:val="bullet"/>
      <w:lvlText w:val=""/>
      <w:lvlJc w:val="left"/>
      <w:pPr>
        <w:ind w:left="5356" w:hanging="360"/>
      </w:pPr>
      <w:rPr>
        <w:rFonts w:ascii="Symbol" w:hAnsi="Symbol" w:hint="default"/>
      </w:rPr>
    </w:lvl>
    <w:lvl w:ilvl="4" w:tplc="04190003">
      <w:start w:val="1"/>
      <w:numFmt w:val="bullet"/>
      <w:lvlText w:val="o"/>
      <w:lvlJc w:val="left"/>
      <w:pPr>
        <w:ind w:left="6076" w:hanging="360"/>
      </w:pPr>
      <w:rPr>
        <w:rFonts w:ascii="Courier New" w:hAnsi="Courier New" w:hint="default"/>
      </w:rPr>
    </w:lvl>
    <w:lvl w:ilvl="5" w:tplc="04190005">
      <w:start w:val="1"/>
      <w:numFmt w:val="bullet"/>
      <w:lvlText w:val=""/>
      <w:lvlJc w:val="left"/>
      <w:pPr>
        <w:ind w:left="6796" w:hanging="360"/>
      </w:pPr>
      <w:rPr>
        <w:rFonts w:ascii="Wingdings" w:hAnsi="Wingdings" w:hint="default"/>
      </w:rPr>
    </w:lvl>
    <w:lvl w:ilvl="6" w:tplc="04190001">
      <w:start w:val="1"/>
      <w:numFmt w:val="bullet"/>
      <w:lvlText w:val=""/>
      <w:lvlJc w:val="left"/>
      <w:pPr>
        <w:ind w:left="7516" w:hanging="360"/>
      </w:pPr>
      <w:rPr>
        <w:rFonts w:ascii="Symbol" w:hAnsi="Symbol" w:hint="default"/>
      </w:rPr>
    </w:lvl>
    <w:lvl w:ilvl="7" w:tplc="04190003">
      <w:start w:val="1"/>
      <w:numFmt w:val="bullet"/>
      <w:lvlText w:val="o"/>
      <w:lvlJc w:val="left"/>
      <w:pPr>
        <w:ind w:left="8236" w:hanging="360"/>
      </w:pPr>
      <w:rPr>
        <w:rFonts w:ascii="Courier New" w:hAnsi="Courier New" w:hint="default"/>
      </w:rPr>
    </w:lvl>
    <w:lvl w:ilvl="8" w:tplc="04190005">
      <w:start w:val="1"/>
      <w:numFmt w:val="bullet"/>
      <w:lvlText w:val=""/>
      <w:lvlJc w:val="left"/>
      <w:pPr>
        <w:ind w:left="8956" w:hanging="360"/>
      </w:pPr>
      <w:rPr>
        <w:rFonts w:ascii="Wingdings" w:hAnsi="Wingdings" w:hint="default"/>
      </w:rPr>
    </w:lvl>
  </w:abstractNum>
  <w:abstractNum w:abstractNumId="281" w15:restartNumberingAfterBreak="0">
    <w:nsid w:val="7EAF518E"/>
    <w:multiLevelType w:val="hybridMultilevel"/>
    <w:tmpl w:val="D0BA09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2" w15:restartNumberingAfterBreak="0">
    <w:nsid w:val="7FCE568C"/>
    <w:multiLevelType w:val="hybridMultilevel"/>
    <w:tmpl w:val="F0E2B1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34"/>
  </w:num>
  <w:num w:numId="2">
    <w:abstractNumId w:val="271"/>
  </w:num>
  <w:num w:numId="3">
    <w:abstractNumId w:val="272"/>
  </w:num>
  <w:num w:numId="4">
    <w:abstractNumId w:val="274"/>
  </w:num>
  <w:num w:numId="5">
    <w:abstractNumId w:val="242"/>
  </w:num>
  <w:num w:numId="6">
    <w:abstractNumId w:val="93"/>
  </w:num>
  <w:num w:numId="7">
    <w:abstractNumId w:val="229"/>
  </w:num>
  <w:num w:numId="8">
    <w:abstractNumId w:val="65"/>
  </w:num>
  <w:num w:numId="9">
    <w:abstractNumId w:val="51"/>
  </w:num>
  <w:num w:numId="10">
    <w:abstractNumId w:val="217"/>
  </w:num>
  <w:num w:numId="11">
    <w:abstractNumId w:val="273"/>
  </w:num>
  <w:num w:numId="12">
    <w:abstractNumId w:val="113"/>
  </w:num>
  <w:num w:numId="13">
    <w:abstractNumId w:val="76"/>
  </w:num>
  <w:num w:numId="14">
    <w:abstractNumId w:val="0"/>
  </w:num>
  <w:num w:numId="15">
    <w:abstractNumId w:val="102"/>
  </w:num>
  <w:num w:numId="16">
    <w:abstractNumId w:val="151"/>
  </w:num>
  <w:num w:numId="17">
    <w:abstractNumId w:val="27"/>
  </w:num>
  <w:num w:numId="18">
    <w:abstractNumId w:val="1"/>
    <w:lvlOverride w:ilvl="0">
      <w:lvl w:ilvl="0">
        <w:start w:val="1"/>
        <w:numFmt w:val="bullet"/>
        <w:lvlText w:val=""/>
        <w:legacy w:legacy="1" w:legacySpace="0" w:legacyIndent="283"/>
        <w:lvlJc w:val="left"/>
        <w:pPr>
          <w:ind w:left="283" w:hanging="283"/>
        </w:pPr>
        <w:rPr>
          <w:rFonts w:ascii="Symbol" w:hAnsi="Symbol" w:hint="default"/>
          <w:sz w:val="28"/>
        </w:rPr>
      </w:lvl>
    </w:lvlOverride>
  </w:num>
  <w:num w:numId="19">
    <w:abstractNumId w:val="252"/>
  </w:num>
  <w:num w:numId="20">
    <w:abstractNumId w:val="124"/>
  </w:num>
  <w:num w:numId="21">
    <w:abstractNumId w:val="138"/>
  </w:num>
  <w:num w:numId="22">
    <w:abstractNumId w:val="148"/>
  </w:num>
  <w:num w:numId="23">
    <w:abstractNumId w:val="200"/>
  </w:num>
  <w:num w:numId="24">
    <w:abstractNumId w:val="79"/>
  </w:num>
  <w:num w:numId="25">
    <w:abstractNumId w:val="24"/>
  </w:num>
  <w:num w:numId="26">
    <w:abstractNumId w:val="266"/>
  </w:num>
  <w:num w:numId="27">
    <w:abstractNumId w:val="142"/>
  </w:num>
  <w:num w:numId="28">
    <w:abstractNumId w:val="235"/>
  </w:num>
  <w:num w:numId="29">
    <w:abstractNumId w:val="12"/>
  </w:num>
  <w:num w:numId="30">
    <w:abstractNumId w:val="129"/>
  </w:num>
  <w:num w:numId="31">
    <w:abstractNumId w:val="199"/>
  </w:num>
  <w:num w:numId="32">
    <w:abstractNumId w:val="40"/>
  </w:num>
  <w:num w:numId="33">
    <w:abstractNumId w:val="78"/>
  </w:num>
  <w:num w:numId="34">
    <w:abstractNumId w:val="167"/>
  </w:num>
  <w:num w:numId="35">
    <w:abstractNumId w:val="62"/>
  </w:num>
  <w:num w:numId="36">
    <w:abstractNumId w:val="126"/>
  </w:num>
  <w:num w:numId="37">
    <w:abstractNumId w:val="213"/>
  </w:num>
  <w:num w:numId="38">
    <w:abstractNumId w:val="161"/>
  </w:num>
  <w:num w:numId="39">
    <w:abstractNumId w:val="122"/>
  </w:num>
  <w:num w:numId="40">
    <w:abstractNumId w:val="238"/>
  </w:num>
  <w:num w:numId="41">
    <w:abstractNumId w:val="104"/>
  </w:num>
  <w:num w:numId="42">
    <w:abstractNumId w:val="209"/>
  </w:num>
  <w:num w:numId="43">
    <w:abstractNumId w:val="277"/>
  </w:num>
  <w:num w:numId="44">
    <w:abstractNumId w:val="105"/>
  </w:num>
  <w:num w:numId="45">
    <w:abstractNumId w:val="81"/>
  </w:num>
  <w:num w:numId="46">
    <w:abstractNumId w:val="150"/>
  </w:num>
  <w:num w:numId="47">
    <w:abstractNumId w:val="7"/>
  </w:num>
  <w:num w:numId="48">
    <w:abstractNumId w:val="185"/>
  </w:num>
  <w:num w:numId="49">
    <w:abstractNumId w:val="116"/>
  </w:num>
  <w:num w:numId="50">
    <w:abstractNumId w:val="280"/>
  </w:num>
  <w:num w:numId="51">
    <w:abstractNumId w:val="41"/>
  </w:num>
  <w:num w:numId="52">
    <w:abstractNumId w:val="147"/>
  </w:num>
  <w:num w:numId="53">
    <w:abstractNumId w:val="241"/>
  </w:num>
  <w:num w:numId="54">
    <w:abstractNumId w:val="128"/>
  </w:num>
  <w:num w:numId="55">
    <w:abstractNumId w:val="54"/>
  </w:num>
  <w:num w:numId="56">
    <w:abstractNumId w:val="163"/>
  </w:num>
  <w:num w:numId="57">
    <w:abstractNumId w:val="227"/>
  </w:num>
  <w:num w:numId="58">
    <w:abstractNumId w:val="220"/>
  </w:num>
  <w:num w:numId="59">
    <w:abstractNumId w:val="155"/>
  </w:num>
  <w:num w:numId="60">
    <w:abstractNumId w:val="233"/>
  </w:num>
  <w:num w:numId="61">
    <w:abstractNumId w:val="255"/>
  </w:num>
  <w:num w:numId="62">
    <w:abstractNumId w:val="46"/>
  </w:num>
  <w:num w:numId="63">
    <w:abstractNumId w:val="231"/>
  </w:num>
  <w:num w:numId="64">
    <w:abstractNumId w:val="48"/>
  </w:num>
  <w:num w:numId="65">
    <w:abstractNumId w:val="125"/>
  </w:num>
  <w:num w:numId="66">
    <w:abstractNumId w:val="87"/>
  </w:num>
  <w:num w:numId="67">
    <w:abstractNumId w:val="156"/>
  </w:num>
  <w:num w:numId="68">
    <w:abstractNumId w:val="169"/>
  </w:num>
  <w:num w:numId="69">
    <w:abstractNumId w:val="264"/>
  </w:num>
  <w:num w:numId="70">
    <w:abstractNumId w:val="210"/>
  </w:num>
  <w:num w:numId="71">
    <w:abstractNumId w:val="5"/>
  </w:num>
  <w:num w:numId="72">
    <w:abstractNumId w:val="131"/>
  </w:num>
  <w:num w:numId="73">
    <w:abstractNumId w:val="259"/>
  </w:num>
  <w:num w:numId="74">
    <w:abstractNumId w:val="133"/>
  </w:num>
  <w:num w:numId="75">
    <w:abstractNumId w:val="205"/>
  </w:num>
  <w:num w:numId="76">
    <w:abstractNumId w:val="108"/>
  </w:num>
  <w:num w:numId="77">
    <w:abstractNumId w:val="267"/>
  </w:num>
  <w:num w:numId="78">
    <w:abstractNumId w:val="39"/>
  </w:num>
  <w:num w:numId="79">
    <w:abstractNumId w:val="245"/>
  </w:num>
  <w:num w:numId="80">
    <w:abstractNumId w:val="263"/>
  </w:num>
  <w:num w:numId="81">
    <w:abstractNumId w:val="192"/>
  </w:num>
  <w:num w:numId="82">
    <w:abstractNumId w:val="198"/>
  </w:num>
  <w:num w:numId="83">
    <w:abstractNumId w:val="127"/>
  </w:num>
  <w:num w:numId="84">
    <w:abstractNumId w:val="92"/>
  </w:num>
  <w:num w:numId="85">
    <w:abstractNumId w:val="16"/>
  </w:num>
  <w:num w:numId="86">
    <w:abstractNumId w:val="189"/>
  </w:num>
  <w:num w:numId="87">
    <w:abstractNumId w:val="112"/>
  </w:num>
  <w:num w:numId="88">
    <w:abstractNumId w:val="262"/>
  </w:num>
  <w:num w:numId="89">
    <w:abstractNumId w:val="193"/>
  </w:num>
  <w:num w:numId="90">
    <w:abstractNumId w:val="239"/>
  </w:num>
  <w:num w:numId="91">
    <w:abstractNumId w:val="194"/>
  </w:num>
  <w:num w:numId="92">
    <w:abstractNumId w:val="120"/>
  </w:num>
  <w:num w:numId="93">
    <w:abstractNumId w:val="265"/>
  </w:num>
  <w:num w:numId="94">
    <w:abstractNumId w:val="188"/>
  </w:num>
  <w:num w:numId="95">
    <w:abstractNumId w:val="6"/>
  </w:num>
  <w:num w:numId="96">
    <w:abstractNumId w:val="111"/>
  </w:num>
  <w:num w:numId="97">
    <w:abstractNumId w:val="222"/>
  </w:num>
  <w:num w:numId="98">
    <w:abstractNumId w:val="57"/>
  </w:num>
  <w:num w:numId="99">
    <w:abstractNumId w:val="14"/>
  </w:num>
  <w:num w:numId="100">
    <w:abstractNumId w:val="253"/>
  </w:num>
  <w:num w:numId="101">
    <w:abstractNumId w:val="221"/>
  </w:num>
  <w:num w:numId="102">
    <w:abstractNumId w:val="61"/>
  </w:num>
  <w:num w:numId="103">
    <w:abstractNumId w:val="11"/>
  </w:num>
  <w:num w:numId="104">
    <w:abstractNumId w:val="282"/>
  </w:num>
  <w:num w:numId="105">
    <w:abstractNumId w:val="13"/>
  </w:num>
  <w:num w:numId="106">
    <w:abstractNumId w:val="219"/>
  </w:num>
  <w:num w:numId="107">
    <w:abstractNumId w:val="15"/>
  </w:num>
  <w:num w:numId="108">
    <w:abstractNumId w:val="214"/>
  </w:num>
  <w:num w:numId="109">
    <w:abstractNumId w:val="25"/>
  </w:num>
  <w:num w:numId="110">
    <w:abstractNumId w:val="28"/>
  </w:num>
  <w:num w:numId="111">
    <w:abstractNumId w:val="159"/>
  </w:num>
  <w:num w:numId="112">
    <w:abstractNumId w:val="31"/>
  </w:num>
  <w:num w:numId="113">
    <w:abstractNumId w:val="91"/>
  </w:num>
  <w:num w:numId="114">
    <w:abstractNumId w:val="279"/>
  </w:num>
  <w:num w:numId="115">
    <w:abstractNumId w:val="212"/>
  </w:num>
  <w:num w:numId="116">
    <w:abstractNumId w:val="101"/>
  </w:num>
  <w:num w:numId="117">
    <w:abstractNumId w:val="21"/>
  </w:num>
  <w:num w:numId="118">
    <w:abstractNumId w:val="256"/>
  </w:num>
  <w:num w:numId="119">
    <w:abstractNumId w:val="224"/>
  </w:num>
  <w:num w:numId="120">
    <w:abstractNumId w:val="145"/>
  </w:num>
  <w:num w:numId="121">
    <w:abstractNumId w:val="33"/>
  </w:num>
  <w:num w:numId="122">
    <w:abstractNumId w:val="144"/>
  </w:num>
  <w:num w:numId="123">
    <w:abstractNumId w:val="143"/>
  </w:num>
  <w:num w:numId="124">
    <w:abstractNumId w:val="77"/>
  </w:num>
  <w:num w:numId="125">
    <w:abstractNumId w:val="23"/>
  </w:num>
  <w:num w:numId="126">
    <w:abstractNumId w:val="276"/>
  </w:num>
  <w:num w:numId="127">
    <w:abstractNumId w:val="278"/>
  </w:num>
  <w:num w:numId="128">
    <w:abstractNumId w:val="103"/>
  </w:num>
  <w:num w:numId="129">
    <w:abstractNumId w:val="196"/>
  </w:num>
  <w:num w:numId="130">
    <w:abstractNumId w:val="137"/>
  </w:num>
  <w:num w:numId="131">
    <w:abstractNumId w:val="100"/>
  </w:num>
  <w:num w:numId="132">
    <w:abstractNumId w:val="67"/>
  </w:num>
  <w:num w:numId="133">
    <w:abstractNumId w:val="32"/>
  </w:num>
  <w:num w:numId="134">
    <w:abstractNumId w:val="71"/>
  </w:num>
  <w:num w:numId="135">
    <w:abstractNumId w:val="68"/>
  </w:num>
  <w:num w:numId="136">
    <w:abstractNumId w:val="211"/>
  </w:num>
  <w:num w:numId="137">
    <w:abstractNumId w:val="190"/>
  </w:num>
  <w:num w:numId="138">
    <w:abstractNumId w:val="80"/>
  </w:num>
  <w:num w:numId="139">
    <w:abstractNumId w:val="269"/>
  </w:num>
  <w:num w:numId="140">
    <w:abstractNumId w:val="244"/>
  </w:num>
  <w:num w:numId="141">
    <w:abstractNumId w:val="225"/>
  </w:num>
  <w:num w:numId="142">
    <w:abstractNumId w:val="45"/>
  </w:num>
  <w:num w:numId="143">
    <w:abstractNumId w:val="240"/>
  </w:num>
  <w:num w:numId="144">
    <w:abstractNumId w:val="249"/>
  </w:num>
  <w:num w:numId="145">
    <w:abstractNumId w:val="42"/>
  </w:num>
  <w:num w:numId="146">
    <w:abstractNumId w:val="85"/>
  </w:num>
  <w:num w:numId="147">
    <w:abstractNumId w:val="64"/>
  </w:num>
  <w:num w:numId="148">
    <w:abstractNumId w:val="232"/>
  </w:num>
  <w:num w:numId="149">
    <w:abstractNumId w:val="179"/>
  </w:num>
  <w:num w:numId="150">
    <w:abstractNumId w:val="66"/>
  </w:num>
  <w:num w:numId="151">
    <w:abstractNumId w:val="175"/>
  </w:num>
  <w:num w:numId="152">
    <w:abstractNumId w:val="164"/>
  </w:num>
  <w:num w:numId="153">
    <w:abstractNumId w:val="47"/>
  </w:num>
  <w:num w:numId="154">
    <w:abstractNumId w:val="114"/>
  </w:num>
  <w:num w:numId="155">
    <w:abstractNumId w:val="195"/>
  </w:num>
  <w:num w:numId="156">
    <w:abstractNumId w:val="203"/>
  </w:num>
  <w:num w:numId="157">
    <w:abstractNumId w:val="29"/>
  </w:num>
  <w:num w:numId="158">
    <w:abstractNumId w:val="97"/>
  </w:num>
  <w:num w:numId="159">
    <w:abstractNumId w:val="107"/>
  </w:num>
  <w:num w:numId="160">
    <w:abstractNumId w:val="149"/>
  </w:num>
  <w:num w:numId="161">
    <w:abstractNumId w:val="173"/>
  </w:num>
  <w:num w:numId="162">
    <w:abstractNumId w:val="168"/>
  </w:num>
  <w:num w:numId="163">
    <w:abstractNumId w:val="257"/>
  </w:num>
  <w:num w:numId="164">
    <w:abstractNumId w:val="152"/>
  </w:num>
  <w:num w:numId="165">
    <w:abstractNumId w:val="140"/>
  </w:num>
  <w:num w:numId="166">
    <w:abstractNumId w:val="121"/>
  </w:num>
  <w:num w:numId="167">
    <w:abstractNumId w:val="59"/>
  </w:num>
  <w:num w:numId="168">
    <w:abstractNumId w:val="158"/>
  </w:num>
  <w:num w:numId="169">
    <w:abstractNumId w:val="69"/>
  </w:num>
  <w:num w:numId="170">
    <w:abstractNumId w:val="247"/>
  </w:num>
  <w:num w:numId="171">
    <w:abstractNumId w:val="275"/>
  </w:num>
  <w:num w:numId="172">
    <w:abstractNumId w:val="258"/>
  </w:num>
  <w:num w:numId="173">
    <w:abstractNumId w:val="123"/>
  </w:num>
  <w:num w:numId="174">
    <w:abstractNumId w:val="44"/>
  </w:num>
  <w:num w:numId="175">
    <w:abstractNumId w:val="115"/>
  </w:num>
  <w:num w:numId="176">
    <w:abstractNumId w:val="1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8">
    <w:abstractNumId w:val="2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9">
    <w:abstractNumId w:val="9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0">
    <w:abstractNumId w:val="251"/>
  </w:num>
  <w:num w:numId="181">
    <w:abstractNumId w:val="9"/>
  </w:num>
  <w:num w:numId="182">
    <w:abstractNumId w:val="254"/>
  </w:num>
  <w:num w:numId="183">
    <w:abstractNumId w:val="204"/>
  </w:num>
  <w:num w:numId="184">
    <w:abstractNumId w:val="110"/>
  </w:num>
  <w:num w:numId="185">
    <w:abstractNumId w:val="86"/>
  </w:num>
  <w:num w:numId="186">
    <w:abstractNumId w:val="248"/>
  </w:num>
  <w:num w:numId="187">
    <w:abstractNumId w:val="8"/>
  </w:num>
  <w:num w:numId="188">
    <w:abstractNumId w:val="18"/>
  </w:num>
  <w:num w:numId="189">
    <w:abstractNumId w:val="63"/>
  </w:num>
  <w:num w:numId="190">
    <w:abstractNumId w:val="236"/>
  </w:num>
  <w:num w:numId="191">
    <w:abstractNumId w:val="197"/>
  </w:num>
  <w:num w:numId="192">
    <w:abstractNumId w:val="75"/>
  </w:num>
  <w:num w:numId="193">
    <w:abstractNumId w:val="118"/>
  </w:num>
  <w:num w:numId="194">
    <w:abstractNumId w:val="136"/>
  </w:num>
  <w:num w:numId="195">
    <w:abstractNumId w:val="268"/>
  </w:num>
  <w:num w:numId="196">
    <w:abstractNumId w:val="157"/>
  </w:num>
  <w:num w:numId="197">
    <w:abstractNumId w:val="206"/>
  </w:num>
  <w:num w:numId="198">
    <w:abstractNumId w:val="17"/>
  </w:num>
  <w:num w:numId="199">
    <w:abstractNumId w:val="58"/>
  </w:num>
  <w:num w:numId="200">
    <w:abstractNumId w:val="72"/>
  </w:num>
  <w:num w:numId="201">
    <w:abstractNumId w:val="36"/>
  </w:num>
  <w:num w:numId="202">
    <w:abstractNumId w:val="243"/>
  </w:num>
  <w:num w:numId="203">
    <w:abstractNumId w:val="281"/>
  </w:num>
  <w:num w:numId="204">
    <w:abstractNumId w:val="119"/>
  </w:num>
  <w:num w:numId="205">
    <w:abstractNumId w:val="98"/>
  </w:num>
  <w:num w:numId="206">
    <w:abstractNumId w:val="90"/>
  </w:num>
  <w:num w:numId="207">
    <w:abstractNumId w:val="207"/>
  </w:num>
  <w:num w:numId="208">
    <w:abstractNumId w:val="237"/>
  </w:num>
  <w:num w:numId="209">
    <w:abstractNumId w:val="82"/>
  </w:num>
  <w:num w:numId="210">
    <w:abstractNumId w:val="186"/>
  </w:num>
  <w:num w:numId="211">
    <w:abstractNumId w:val="215"/>
  </w:num>
  <w:num w:numId="212">
    <w:abstractNumId w:val="166"/>
  </w:num>
  <w:num w:numId="213">
    <w:abstractNumId w:val="160"/>
  </w:num>
  <w:num w:numId="214">
    <w:abstractNumId w:val="226"/>
  </w:num>
  <w:num w:numId="215">
    <w:abstractNumId w:val="261"/>
  </w:num>
  <w:num w:numId="216">
    <w:abstractNumId w:val="180"/>
  </w:num>
  <w:num w:numId="217">
    <w:abstractNumId w:val="109"/>
  </w:num>
  <w:num w:numId="218">
    <w:abstractNumId w:val="117"/>
  </w:num>
  <w:num w:numId="219">
    <w:abstractNumId w:val="171"/>
  </w:num>
  <w:num w:numId="220">
    <w:abstractNumId w:val="250"/>
  </w:num>
  <w:num w:numId="221">
    <w:abstractNumId w:val="134"/>
  </w:num>
  <w:num w:numId="222">
    <w:abstractNumId w:val="182"/>
  </w:num>
  <w:num w:numId="223">
    <w:abstractNumId w:val="94"/>
  </w:num>
  <w:num w:numId="224">
    <w:abstractNumId w:val="73"/>
  </w:num>
  <w:num w:numId="225">
    <w:abstractNumId w:val="35"/>
  </w:num>
  <w:num w:numId="226">
    <w:abstractNumId w:val="191"/>
  </w:num>
  <w:num w:numId="227">
    <w:abstractNumId w:val="130"/>
  </w:num>
  <w:num w:numId="228">
    <w:abstractNumId w:val="83"/>
  </w:num>
  <w:num w:numId="229">
    <w:abstractNumId w:val="49"/>
  </w:num>
  <w:num w:numId="230">
    <w:abstractNumId w:val="50"/>
  </w:num>
  <w:num w:numId="231">
    <w:abstractNumId w:val="228"/>
  </w:num>
  <w:num w:numId="232">
    <w:abstractNumId w:val="106"/>
  </w:num>
  <w:num w:numId="233">
    <w:abstractNumId w:val="184"/>
  </w:num>
  <w:num w:numId="234">
    <w:abstractNumId w:val="174"/>
  </w:num>
  <w:num w:numId="235">
    <w:abstractNumId w:val="96"/>
  </w:num>
  <w:num w:numId="236">
    <w:abstractNumId w:val="84"/>
  </w:num>
  <w:num w:numId="237">
    <w:abstractNumId w:val="141"/>
  </w:num>
  <w:num w:numId="238">
    <w:abstractNumId w:val="201"/>
  </w:num>
  <w:num w:numId="239">
    <w:abstractNumId w:val="176"/>
  </w:num>
  <w:num w:numId="240">
    <w:abstractNumId w:val="53"/>
  </w:num>
  <w:num w:numId="241">
    <w:abstractNumId w:val="132"/>
  </w:num>
  <w:num w:numId="242">
    <w:abstractNumId w:val="22"/>
  </w:num>
  <w:num w:numId="243">
    <w:abstractNumId w:val="154"/>
  </w:num>
  <w:num w:numId="244">
    <w:abstractNumId w:val="230"/>
  </w:num>
  <w:num w:numId="245">
    <w:abstractNumId w:val="165"/>
  </w:num>
  <w:num w:numId="246">
    <w:abstractNumId w:val="216"/>
  </w:num>
  <w:num w:numId="247">
    <w:abstractNumId w:val="52"/>
  </w:num>
  <w:num w:numId="248">
    <w:abstractNumId w:val="19"/>
  </w:num>
  <w:num w:numId="249">
    <w:abstractNumId w:val="74"/>
  </w:num>
  <w:num w:numId="250">
    <w:abstractNumId w:val="95"/>
  </w:num>
  <w:num w:numId="251">
    <w:abstractNumId w:val="178"/>
  </w:num>
  <w:num w:numId="252">
    <w:abstractNumId w:val="26"/>
  </w:num>
  <w:num w:numId="253">
    <w:abstractNumId w:val="38"/>
  </w:num>
  <w:num w:numId="254">
    <w:abstractNumId w:val="223"/>
  </w:num>
  <w:num w:numId="255">
    <w:abstractNumId w:val="183"/>
  </w:num>
  <w:num w:numId="256">
    <w:abstractNumId w:val="162"/>
  </w:num>
  <w:num w:numId="257">
    <w:abstractNumId w:val="170"/>
  </w:num>
  <w:num w:numId="258">
    <w:abstractNumId w:val="30"/>
  </w:num>
  <w:num w:numId="259">
    <w:abstractNumId w:val="202"/>
  </w:num>
  <w:num w:numId="260">
    <w:abstractNumId w:val="139"/>
  </w:num>
  <w:num w:numId="261">
    <w:abstractNumId w:val="70"/>
  </w:num>
  <w:num w:numId="262">
    <w:abstractNumId w:val="34"/>
  </w:num>
  <w:num w:numId="263">
    <w:abstractNumId w:val="146"/>
  </w:num>
  <w:num w:numId="264">
    <w:abstractNumId w:val="43"/>
  </w:num>
  <w:num w:numId="265">
    <w:abstractNumId w:val="60"/>
  </w:num>
  <w:num w:numId="266">
    <w:abstractNumId w:val="177"/>
  </w:num>
  <w:num w:numId="267">
    <w:abstractNumId w:val="37"/>
  </w:num>
  <w:num w:numId="268">
    <w:abstractNumId w:val="181"/>
  </w:num>
  <w:num w:numId="269">
    <w:abstractNumId w:val="218"/>
  </w:num>
  <w:num w:numId="270">
    <w:abstractNumId w:val="88"/>
  </w:num>
  <w:num w:numId="271">
    <w:abstractNumId w:val="153"/>
  </w:num>
  <w:num w:numId="272">
    <w:abstractNumId w:val="56"/>
  </w:num>
  <w:num w:numId="273">
    <w:abstractNumId w:val="208"/>
  </w:num>
  <w:num w:numId="274">
    <w:abstractNumId w:val="135"/>
  </w:num>
  <w:num w:numId="275">
    <w:abstractNumId w:val="270"/>
  </w:num>
  <w:num w:numId="276">
    <w:abstractNumId w:val="10"/>
  </w:num>
  <w:num w:numId="277">
    <w:abstractNumId w:val="187"/>
  </w:num>
  <w:num w:numId="278">
    <w:abstractNumId w:val="55"/>
  </w:num>
  <w:num w:numId="279">
    <w:abstractNumId w:val="89"/>
  </w:num>
  <w:num w:numId="280">
    <w:abstractNumId w:val="246"/>
  </w:num>
  <w:numIdMacAtCleanup w:val="2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embedSystemFonts/>
  <w:bordersDoNotSurroundHeader/>
  <w:bordersDoNotSurroundFooter/>
  <w:hideSpellingErrors/>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da-DK" w:vendorID="64" w:dllVersion="4096" w:nlCheck="1" w:checkStyle="0"/>
  <w:activeWritingStyle w:appName="MSWord" w:lang="pt-BR" w:vendorID="64" w:dllVersion="4096" w:nlCheck="1" w:checkStyle="0"/>
  <w:activeWritingStyle w:appName="MSWord" w:lang="de-DE" w:vendorID="64" w:dllVersion="6" w:nlCheck="1" w:checkStyle="1"/>
  <w:activeWritingStyle w:appName="MSWord" w:lang="en-GB" w:vendorID="64" w:dllVersion="6" w:nlCheck="1" w:checkStyle="1"/>
  <w:activeWritingStyle w:appName="MSWord" w:lang="ru-RU" w:vendorID="64" w:dllVersion="131078" w:nlCheck="1" w:checkStyle="0"/>
  <w:activeWritingStyle w:appName="MSWord" w:lang="en-US" w:vendorID="64" w:dllVersion="131078" w:nlCheck="1" w:checkStyle="1"/>
  <w:defaultTabStop w:val="720"/>
  <w:drawingGridHorizontalSpacing w:val="12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2049"/>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2DE6"/>
    <w:rsid w:val="0000078E"/>
    <w:rsid w:val="000008B4"/>
    <w:rsid w:val="00000D77"/>
    <w:rsid w:val="00001246"/>
    <w:rsid w:val="00002038"/>
    <w:rsid w:val="0000256F"/>
    <w:rsid w:val="00002BCA"/>
    <w:rsid w:val="00002D28"/>
    <w:rsid w:val="0000358F"/>
    <w:rsid w:val="0000400D"/>
    <w:rsid w:val="000048A7"/>
    <w:rsid w:val="00005621"/>
    <w:rsid w:val="00005D3F"/>
    <w:rsid w:val="00006765"/>
    <w:rsid w:val="000101A0"/>
    <w:rsid w:val="00010D3C"/>
    <w:rsid w:val="0001238C"/>
    <w:rsid w:val="00013002"/>
    <w:rsid w:val="00013611"/>
    <w:rsid w:val="00020217"/>
    <w:rsid w:val="00020DF8"/>
    <w:rsid w:val="00021137"/>
    <w:rsid w:val="000219AE"/>
    <w:rsid w:val="00023461"/>
    <w:rsid w:val="00023F0E"/>
    <w:rsid w:val="000242CE"/>
    <w:rsid w:val="00024A9B"/>
    <w:rsid w:val="000255CD"/>
    <w:rsid w:val="00025779"/>
    <w:rsid w:val="00025C0F"/>
    <w:rsid w:val="000265DE"/>
    <w:rsid w:val="00026C4B"/>
    <w:rsid w:val="00027CE4"/>
    <w:rsid w:val="00027E1A"/>
    <w:rsid w:val="000303AC"/>
    <w:rsid w:val="000305AB"/>
    <w:rsid w:val="00030CF8"/>
    <w:rsid w:val="00031902"/>
    <w:rsid w:val="00031D44"/>
    <w:rsid w:val="00032FD4"/>
    <w:rsid w:val="00034BDA"/>
    <w:rsid w:val="00035179"/>
    <w:rsid w:val="000409A9"/>
    <w:rsid w:val="0004145D"/>
    <w:rsid w:val="000415BA"/>
    <w:rsid w:val="00041F88"/>
    <w:rsid w:val="000421F6"/>
    <w:rsid w:val="0004351F"/>
    <w:rsid w:val="00043560"/>
    <w:rsid w:val="00043FD5"/>
    <w:rsid w:val="00044D02"/>
    <w:rsid w:val="0004646F"/>
    <w:rsid w:val="00046612"/>
    <w:rsid w:val="000500EC"/>
    <w:rsid w:val="0005048D"/>
    <w:rsid w:val="00051D1D"/>
    <w:rsid w:val="0005295E"/>
    <w:rsid w:val="0005399A"/>
    <w:rsid w:val="00055924"/>
    <w:rsid w:val="00057A99"/>
    <w:rsid w:val="00057CF4"/>
    <w:rsid w:val="00060101"/>
    <w:rsid w:val="000619DB"/>
    <w:rsid w:val="0006296E"/>
    <w:rsid w:val="00063070"/>
    <w:rsid w:val="00064AE6"/>
    <w:rsid w:val="000660DE"/>
    <w:rsid w:val="000667C9"/>
    <w:rsid w:val="00067484"/>
    <w:rsid w:val="00067AB3"/>
    <w:rsid w:val="00070489"/>
    <w:rsid w:val="00071632"/>
    <w:rsid w:val="000716DD"/>
    <w:rsid w:val="00071812"/>
    <w:rsid w:val="0007240A"/>
    <w:rsid w:val="00072C62"/>
    <w:rsid w:val="00073147"/>
    <w:rsid w:val="000734B4"/>
    <w:rsid w:val="000744DA"/>
    <w:rsid w:val="0007561C"/>
    <w:rsid w:val="00075E96"/>
    <w:rsid w:val="000774F4"/>
    <w:rsid w:val="0008006C"/>
    <w:rsid w:val="00080307"/>
    <w:rsid w:val="00084987"/>
    <w:rsid w:val="00084DF4"/>
    <w:rsid w:val="000858ED"/>
    <w:rsid w:val="00086DD6"/>
    <w:rsid w:val="00086FEB"/>
    <w:rsid w:val="000872B0"/>
    <w:rsid w:val="0008795A"/>
    <w:rsid w:val="00087A6B"/>
    <w:rsid w:val="0009120B"/>
    <w:rsid w:val="00091943"/>
    <w:rsid w:val="00092371"/>
    <w:rsid w:val="000929A3"/>
    <w:rsid w:val="00092D37"/>
    <w:rsid w:val="000934B8"/>
    <w:rsid w:val="000936F6"/>
    <w:rsid w:val="0009384D"/>
    <w:rsid w:val="000945AE"/>
    <w:rsid w:val="00094DBA"/>
    <w:rsid w:val="00096E23"/>
    <w:rsid w:val="000A1915"/>
    <w:rsid w:val="000A1FF0"/>
    <w:rsid w:val="000A2B2E"/>
    <w:rsid w:val="000A3C5F"/>
    <w:rsid w:val="000A5734"/>
    <w:rsid w:val="000A6807"/>
    <w:rsid w:val="000A6ADD"/>
    <w:rsid w:val="000A7D43"/>
    <w:rsid w:val="000A7DE0"/>
    <w:rsid w:val="000A7F97"/>
    <w:rsid w:val="000B2FD7"/>
    <w:rsid w:val="000B3728"/>
    <w:rsid w:val="000B42FC"/>
    <w:rsid w:val="000B698D"/>
    <w:rsid w:val="000B7034"/>
    <w:rsid w:val="000C0641"/>
    <w:rsid w:val="000C1A29"/>
    <w:rsid w:val="000C2073"/>
    <w:rsid w:val="000C449A"/>
    <w:rsid w:val="000C49F5"/>
    <w:rsid w:val="000C5FB3"/>
    <w:rsid w:val="000C6BA1"/>
    <w:rsid w:val="000C750D"/>
    <w:rsid w:val="000C7AAC"/>
    <w:rsid w:val="000D17DC"/>
    <w:rsid w:val="000D2167"/>
    <w:rsid w:val="000D3705"/>
    <w:rsid w:val="000D561E"/>
    <w:rsid w:val="000D5BA5"/>
    <w:rsid w:val="000D741D"/>
    <w:rsid w:val="000E1D1D"/>
    <w:rsid w:val="000E1D9B"/>
    <w:rsid w:val="000E20A0"/>
    <w:rsid w:val="000E2218"/>
    <w:rsid w:val="000E2A9F"/>
    <w:rsid w:val="000E42BE"/>
    <w:rsid w:val="000E6858"/>
    <w:rsid w:val="000E756A"/>
    <w:rsid w:val="000F0A99"/>
    <w:rsid w:val="000F2549"/>
    <w:rsid w:val="000F53B8"/>
    <w:rsid w:val="000F5773"/>
    <w:rsid w:val="000F5C48"/>
    <w:rsid w:val="000F6B75"/>
    <w:rsid w:val="000F6C97"/>
    <w:rsid w:val="000F6FB0"/>
    <w:rsid w:val="000F75F2"/>
    <w:rsid w:val="00100CD7"/>
    <w:rsid w:val="00100D03"/>
    <w:rsid w:val="00101320"/>
    <w:rsid w:val="00101F03"/>
    <w:rsid w:val="00101F59"/>
    <w:rsid w:val="00101FAD"/>
    <w:rsid w:val="001034E2"/>
    <w:rsid w:val="001041EA"/>
    <w:rsid w:val="00104A23"/>
    <w:rsid w:val="00104A3D"/>
    <w:rsid w:val="00104F37"/>
    <w:rsid w:val="00105B5C"/>
    <w:rsid w:val="00110732"/>
    <w:rsid w:val="00110D82"/>
    <w:rsid w:val="00110F4E"/>
    <w:rsid w:val="00111D1A"/>
    <w:rsid w:val="00111D8A"/>
    <w:rsid w:val="00112428"/>
    <w:rsid w:val="00112812"/>
    <w:rsid w:val="00112E00"/>
    <w:rsid w:val="00112F34"/>
    <w:rsid w:val="00113194"/>
    <w:rsid w:val="00113282"/>
    <w:rsid w:val="0011396B"/>
    <w:rsid w:val="001144AE"/>
    <w:rsid w:val="00114658"/>
    <w:rsid w:val="00114F36"/>
    <w:rsid w:val="001152A4"/>
    <w:rsid w:val="00115441"/>
    <w:rsid w:val="00115D40"/>
    <w:rsid w:val="00115E53"/>
    <w:rsid w:val="001161FD"/>
    <w:rsid w:val="00116AC0"/>
    <w:rsid w:val="00116C40"/>
    <w:rsid w:val="00116EB2"/>
    <w:rsid w:val="00117958"/>
    <w:rsid w:val="00120A8F"/>
    <w:rsid w:val="00120DD7"/>
    <w:rsid w:val="001214FD"/>
    <w:rsid w:val="0012348D"/>
    <w:rsid w:val="00124904"/>
    <w:rsid w:val="0012534B"/>
    <w:rsid w:val="0012738E"/>
    <w:rsid w:val="00130BE9"/>
    <w:rsid w:val="00130E72"/>
    <w:rsid w:val="00131A9F"/>
    <w:rsid w:val="00132403"/>
    <w:rsid w:val="00134D54"/>
    <w:rsid w:val="0013624B"/>
    <w:rsid w:val="0013685E"/>
    <w:rsid w:val="00136EEC"/>
    <w:rsid w:val="00137F3B"/>
    <w:rsid w:val="00140063"/>
    <w:rsid w:val="00140C05"/>
    <w:rsid w:val="00141748"/>
    <w:rsid w:val="00143441"/>
    <w:rsid w:val="0014368B"/>
    <w:rsid w:val="0014472B"/>
    <w:rsid w:val="001452E1"/>
    <w:rsid w:val="001453F0"/>
    <w:rsid w:val="00146A60"/>
    <w:rsid w:val="00152089"/>
    <w:rsid w:val="001532C7"/>
    <w:rsid w:val="001534D8"/>
    <w:rsid w:val="00155093"/>
    <w:rsid w:val="00156201"/>
    <w:rsid w:val="00156273"/>
    <w:rsid w:val="001621C0"/>
    <w:rsid w:val="00162358"/>
    <w:rsid w:val="001626BD"/>
    <w:rsid w:val="00162CD5"/>
    <w:rsid w:val="00162EA3"/>
    <w:rsid w:val="001632B0"/>
    <w:rsid w:val="00163A76"/>
    <w:rsid w:val="001647AE"/>
    <w:rsid w:val="00164F07"/>
    <w:rsid w:val="0016576E"/>
    <w:rsid w:val="00166B9E"/>
    <w:rsid w:val="0016768B"/>
    <w:rsid w:val="00170504"/>
    <w:rsid w:val="001705A0"/>
    <w:rsid w:val="00171C08"/>
    <w:rsid w:val="00172D45"/>
    <w:rsid w:val="00174710"/>
    <w:rsid w:val="0017640C"/>
    <w:rsid w:val="00177CA8"/>
    <w:rsid w:val="0018117A"/>
    <w:rsid w:val="00182AE0"/>
    <w:rsid w:val="00183267"/>
    <w:rsid w:val="001848B6"/>
    <w:rsid w:val="0018604E"/>
    <w:rsid w:val="0018752B"/>
    <w:rsid w:val="00187820"/>
    <w:rsid w:val="00191828"/>
    <w:rsid w:val="00192A77"/>
    <w:rsid w:val="00192E22"/>
    <w:rsid w:val="0019315E"/>
    <w:rsid w:val="001943FA"/>
    <w:rsid w:val="001948E4"/>
    <w:rsid w:val="00194956"/>
    <w:rsid w:val="00194A96"/>
    <w:rsid w:val="00194DC8"/>
    <w:rsid w:val="00195B94"/>
    <w:rsid w:val="00196877"/>
    <w:rsid w:val="00196ED3"/>
    <w:rsid w:val="00197616"/>
    <w:rsid w:val="001979B2"/>
    <w:rsid w:val="00197DA5"/>
    <w:rsid w:val="001A107C"/>
    <w:rsid w:val="001A11BC"/>
    <w:rsid w:val="001A122C"/>
    <w:rsid w:val="001A2245"/>
    <w:rsid w:val="001A23F5"/>
    <w:rsid w:val="001A2E6A"/>
    <w:rsid w:val="001A40C8"/>
    <w:rsid w:val="001A5A50"/>
    <w:rsid w:val="001A6481"/>
    <w:rsid w:val="001A67DA"/>
    <w:rsid w:val="001A77E2"/>
    <w:rsid w:val="001B018E"/>
    <w:rsid w:val="001B09F6"/>
    <w:rsid w:val="001B0FC5"/>
    <w:rsid w:val="001B0FED"/>
    <w:rsid w:val="001B27F2"/>
    <w:rsid w:val="001B2CEC"/>
    <w:rsid w:val="001B2E63"/>
    <w:rsid w:val="001B39AB"/>
    <w:rsid w:val="001B3BDA"/>
    <w:rsid w:val="001B3DB0"/>
    <w:rsid w:val="001B444A"/>
    <w:rsid w:val="001B4D72"/>
    <w:rsid w:val="001B5672"/>
    <w:rsid w:val="001B5C80"/>
    <w:rsid w:val="001B5F7F"/>
    <w:rsid w:val="001B65D3"/>
    <w:rsid w:val="001B69F6"/>
    <w:rsid w:val="001B7836"/>
    <w:rsid w:val="001C24EC"/>
    <w:rsid w:val="001C3250"/>
    <w:rsid w:val="001C351A"/>
    <w:rsid w:val="001C5D8E"/>
    <w:rsid w:val="001C5DB0"/>
    <w:rsid w:val="001C5F89"/>
    <w:rsid w:val="001C67AA"/>
    <w:rsid w:val="001C7B83"/>
    <w:rsid w:val="001D0261"/>
    <w:rsid w:val="001D0E16"/>
    <w:rsid w:val="001D1632"/>
    <w:rsid w:val="001D2128"/>
    <w:rsid w:val="001D225E"/>
    <w:rsid w:val="001D2917"/>
    <w:rsid w:val="001D2A2A"/>
    <w:rsid w:val="001D6CD0"/>
    <w:rsid w:val="001D7A9C"/>
    <w:rsid w:val="001E0422"/>
    <w:rsid w:val="001E0AE7"/>
    <w:rsid w:val="001E2334"/>
    <w:rsid w:val="001E24D6"/>
    <w:rsid w:val="001E388F"/>
    <w:rsid w:val="001E51AC"/>
    <w:rsid w:val="001E66FD"/>
    <w:rsid w:val="001E6969"/>
    <w:rsid w:val="001E770A"/>
    <w:rsid w:val="001F082E"/>
    <w:rsid w:val="001F2537"/>
    <w:rsid w:val="001F42F8"/>
    <w:rsid w:val="001F474A"/>
    <w:rsid w:val="001F4791"/>
    <w:rsid w:val="001F65FC"/>
    <w:rsid w:val="001F6FE2"/>
    <w:rsid w:val="00200686"/>
    <w:rsid w:val="00201433"/>
    <w:rsid w:val="00201522"/>
    <w:rsid w:val="00201DDD"/>
    <w:rsid w:val="002022D9"/>
    <w:rsid w:val="00202E16"/>
    <w:rsid w:val="00203429"/>
    <w:rsid w:val="002034F3"/>
    <w:rsid w:val="002047EF"/>
    <w:rsid w:val="00205A7F"/>
    <w:rsid w:val="00205ABE"/>
    <w:rsid w:val="0020626D"/>
    <w:rsid w:val="00206420"/>
    <w:rsid w:val="0020674A"/>
    <w:rsid w:val="00206C30"/>
    <w:rsid w:val="00206DB4"/>
    <w:rsid w:val="00206E0E"/>
    <w:rsid w:val="0021069C"/>
    <w:rsid w:val="00210EF9"/>
    <w:rsid w:val="0021120B"/>
    <w:rsid w:val="002118B9"/>
    <w:rsid w:val="00212119"/>
    <w:rsid w:val="00212985"/>
    <w:rsid w:val="002133C6"/>
    <w:rsid w:val="002135D6"/>
    <w:rsid w:val="002143C4"/>
    <w:rsid w:val="00214BE2"/>
    <w:rsid w:val="00216298"/>
    <w:rsid w:val="00216384"/>
    <w:rsid w:val="00216B80"/>
    <w:rsid w:val="00216FC2"/>
    <w:rsid w:val="0021775D"/>
    <w:rsid w:val="00221151"/>
    <w:rsid w:val="002215A5"/>
    <w:rsid w:val="00222052"/>
    <w:rsid w:val="00222654"/>
    <w:rsid w:val="00222B1B"/>
    <w:rsid w:val="002236CE"/>
    <w:rsid w:val="00223824"/>
    <w:rsid w:val="0022411B"/>
    <w:rsid w:val="00224301"/>
    <w:rsid w:val="0022458C"/>
    <w:rsid w:val="00224E00"/>
    <w:rsid w:val="00224F0A"/>
    <w:rsid w:val="002278A1"/>
    <w:rsid w:val="00227DC0"/>
    <w:rsid w:val="00230ACC"/>
    <w:rsid w:val="002319D0"/>
    <w:rsid w:val="00231BC2"/>
    <w:rsid w:val="00232209"/>
    <w:rsid w:val="00232528"/>
    <w:rsid w:val="00232CB3"/>
    <w:rsid w:val="002338B0"/>
    <w:rsid w:val="002341A6"/>
    <w:rsid w:val="00234F1E"/>
    <w:rsid w:val="002356B9"/>
    <w:rsid w:val="002356CD"/>
    <w:rsid w:val="00235ABC"/>
    <w:rsid w:val="00236861"/>
    <w:rsid w:val="0023787D"/>
    <w:rsid w:val="002413DE"/>
    <w:rsid w:val="002431B2"/>
    <w:rsid w:val="00243611"/>
    <w:rsid w:val="0024570E"/>
    <w:rsid w:val="00245AC4"/>
    <w:rsid w:val="00245DD8"/>
    <w:rsid w:val="00246120"/>
    <w:rsid w:val="002466C9"/>
    <w:rsid w:val="00250520"/>
    <w:rsid w:val="00250B38"/>
    <w:rsid w:val="002513F6"/>
    <w:rsid w:val="00251777"/>
    <w:rsid w:val="00251AFB"/>
    <w:rsid w:val="00251B6F"/>
    <w:rsid w:val="00252411"/>
    <w:rsid w:val="00253239"/>
    <w:rsid w:val="00254210"/>
    <w:rsid w:val="0025439D"/>
    <w:rsid w:val="00254823"/>
    <w:rsid w:val="00257142"/>
    <w:rsid w:val="0025733D"/>
    <w:rsid w:val="00257557"/>
    <w:rsid w:val="002577A3"/>
    <w:rsid w:val="00257CE3"/>
    <w:rsid w:val="00261628"/>
    <w:rsid w:val="002624F0"/>
    <w:rsid w:val="00263B2F"/>
    <w:rsid w:val="00264086"/>
    <w:rsid w:val="00266DAC"/>
    <w:rsid w:val="00270572"/>
    <w:rsid w:val="0027093F"/>
    <w:rsid w:val="00271F34"/>
    <w:rsid w:val="00273471"/>
    <w:rsid w:val="00273654"/>
    <w:rsid w:val="00273C84"/>
    <w:rsid w:val="00274558"/>
    <w:rsid w:val="00274EEF"/>
    <w:rsid w:val="002751EC"/>
    <w:rsid w:val="00275B80"/>
    <w:rsid w:val="00276F6A"/>
    <w:rsid w:val="00277428"/>
    <w:rsid w:val="00280363"/>
    <w:rsid w:val="002803C5"/>
    <w:rsid w:val="002810CB"/>
    <w:rsid w:val="00282642"/>
    <w:rsid w:val="00282C1C"/>
    <w:rsid w:val="0028319E"/>
    <w:rsid w:val="0028379C"/>
    <w:rsid w:val="00283F9D"/>
    <w:rsid w:val="002852B6"/>
    <w:rsid w:val="00285CFF"/>
    <w:rsid w:val="00286457"/>
    <w:rsid w:val="0028672C"/>
    <w:rsid w:val="0028730C"/>
    <w:rsid w:val="0029039F"/>
    <w:rsid w:val="00290576"/>
    <w:rsid w:val="00290C45"/>
    <w:rsid w:val="00290E26"/>
    <w:rsid w:val="00291275"/>
    <w:rsid w:val="00291532"/>
    <w:rsid w:val="002927D9"/>
    <w:rsid w:val="00293056"/>
    <w:rsid w:val="002932A4"/>
    <w:rsid w:val="00294284"/>
    <w:rsid w:val="002947F5"/>
    <w:rsid w:val="00296285"/>
    <w:rsid w:val="0029734E"/>
    <w:rsid w:val="002A1DBC"/>
    <w:rsid w:val="002A1F08"/>
    <w:rsid w:val="002A449C"/>
    <w:rsid w:val="002A62F4"/>
    <w:rsid w:val="002A6EBE"/>
    <w:rsid w:val="002A76AB"/>
    <w:rsid w:val="002B0E65"/>
    <w:rsid w:val="002B14EC"/>
    <w:rsid w:val="002B19B7"/>
    <w:rsid w:val="002B2B3E"/>
    <w:rsid w:val="002B32C4"/>
    <w:rsid w:val="002B5A5A"/>
    <w:rsid w:val="002B6511"/>
    <w:rsid w:val="002C03B1"/>
    <w:rsid w:val="002C0696"/>
    <w:rsid w:val="002C2235"/>
    <w:rsid w:val="002C32F8"/>
    <w:rsid w:val="002C444D"/>
    <w:rsid w:val="002C7574"/>
    <w:rsid w:val="002D1441"/>
    <w:rsid w:val="002D1AAE"/>
    <w:rsid w:val="002D2A0E"/>
    <w:rsid w:val="002D3737"/>
    <w:rsid w:val="002D4615"/>
    <w:rsid w:val="002D5D4A"/>
    <w:rsid w:val="002D6147"/>
    <w:rsid w:val="002D6208"/>
    <w:rsid w:val="002D62BD"/>
    <w:rsid w:val="002D6328"/>
    <w:rsid w:val="002D67CB"/>
    <w:rsid w:val="002E0316"/>
    <w:rsid w:val="002E04DA"/>
    <w:rsid w:val="002E1566"/>
    <w:rsid w:val="002E1B7B"/>
    <w:rsid w:val="002E208B"/>
    <w:rsid w:val="002E3662"/>
    <w:rsid w:val="002E4F7C"/>
    <w:rsid w:val="002E4FC4"/>
    <w:rsid w:val="002E6003"/>
    <w:rsid w:val="002E6D24"/>
    <w:rsid w:val="002F0D85"/>
    <w:rsid w:val="002F193F"/>
    <w:rsid w:val="002F3109"/>
    <w:rsid w:val="002F3364"/>
    <w:rsid w:val="002F33C8"/>
    <w:rsid w:val="002F3A36"/>
    <w:rsid w:val="002F3F9C"/>
    <w:rsid w:val="002F40E1"/>
    <w:rsid w:val="002F425A"/>
    <w:rsid w:val="002F49EA"/>
    <w:rsid w:val="002F53B7"/>
    <w:rsid w:val="002F5F65"/>
    <w:rsid w:val="002F69E5"/>
    <w:rsid w:val="002F7672"/>
    <w:rsid w:val="002F7A08"/>
    <w:rsid w:val="003001B8"/>
    <w:rsid w:val="00300859"/>
    <w:rsid w:val="0030209B"/>
    <w:rsid w:val="00303682"/>
    <w:rsid w:val="00303EF3"/>
    <w:rsid w:val="00304132"/>
    <w:rsid w:val="00305195"/>
    <w:rsid w:val="003054B3"/>
    <w:rsid w:val="00305515"/>
    <w:rsid w:val="00305745"/>
    <w:rsid w:val="00305C09"/>
    <w:rsid w:val="00307D9C"/>
    <w:rsid w:val="003104D6"/>
    <w:rsid w:val="00310625"/>
    <w:rsid w:val="00311856"/>
    <w:rsid w:val="00312C2B"/>
    <w:rsid w:val="00312F86"/>
    <w:rsid w:val="00315667"/>
    <w:rsid w:val="00315A72"/>
    <w:rsid w:val="0031664A"/>
    <w:rsid w:val="003166F9"/>
    <w:rsid w:val="00316D4F"/>
    <w:rsid w:val="00316F0B"/>
    <w:rsid w:val="003175C4"/>
    <w:rsid w:val="0031765C"/>
    <w:rsid w:val="003210D3"/>
    <w:rsid w:val="0032130F"/>
    <w:rsid w:val="00321A27"/>
    <w:rsid w:val="003226BC"/>
    <w:rsid w:val="003228E7"/>
    <w:rsid w:val="003229CA"/>
    <w:rsid w:val="003229CF"/>
    <w:rsid w:val="00323297"/>
    <w:rsid w:val="003232D3"/>
    <w:rsid w:val="003235E9"/>
    <w:rsid w:val="003236C3"/>
    <w:rsid w:val="00323B90"/>
    <w:rsid w:val="00325FCD"/>
    <w:rsid w:val="00326257"/>
    <w:rsid w:val="0032670F"/>
    <w:rsid w:val="0032725D"/>
    <w:rsid w:val="003274A8"/>
    <w:rsid w:val="003275EF"/>
    <w:rsid w:val="00331310"/>
    <w:rsid w:val="00332E49"/>
    <w:rsid w:val="003341EE"/>
    <w:rsid w:val="0033539B"/>
    <w:rsid w:val="00335A69"/>
    <w:rsid w:val="00336362"/>
    <w:rsid w:val="00336D93"/>
    <w:rsid w:val="00337DF1"/>
    <w:rsid w:val="00340570"/>
    <w:rsid w:val="003406D2"/>
    <w:rsid w:val="0034093B"/>
    <w:rsid w:val="003431CE"/>
    <w:rsid w:val="00343336"/>
    <w:rsid w:val="0034358C"/>
    <w:rsid w:val="00343B4D"/>
    <w:rsid w:val="00343FAD"/>
    <w:rsid w:val="00344267"/>
    <w:rsid w:val="00344F3E"/>
    <w:rsid w:val="00345560"/>
    <w:rsid w:val="00345E37"/>
    <w:rsid w:val="00347405"/>
    <w:rsid w:val="00347997"/>
    <w:rsid w:val="00347AD2"/>
    <w:rsid w:val="00350F60"/>
    <w:rsid w:val="0035264A"/>
    <w:rsid w:val="00353F3E"/>
    <w:rsid w:val="00355043"/>
    <w:rsid w:val="00355968"/>
    <w:rsid w:val="003600AE"/>
    <w:rsid w:val="003603D3"/>
    <w:rsid w:val="0036066E"/>
    <w:rsid w:val="003617C4"/>
    <w:rsid w:val="003640EA"/>
    <w:rsid w:val="00364D11"/>
    <w:rsid w:val="00365604"/>
    <w:rsid w:val="00365A7D"/>
    <w:rsid w:val="003701E0"/>
    <w:rsid w:val="00372728"/>
    <w:rsid w:val="00372C54"/>
    <w:rsid w:val="00372FC9"/>
    <w:rsid w:val="003730CC"/>
    <w:rsid w:val="0037439A"/>
    <w:rsid w:val="0037461D"/>
    <w:rsid w:val="003766BD"/>
    <w:rsid w:val="00376740"/>
    <w:rsid w:val="003775CB"/>
    <w:rsid w:val="0037786E"/>
    <w:rsid w:val="003802B1"/>
    <w:rsid w:val="003816DC"/>
    <w:rsid w:val="00383061"/>
    <w:rsid w:val="00383750"/>
    <w:rsid w:val="0038382C"/>
    <w:rsid w:val="00385510"/>
    <w:rsid w:val="00386B61"/>
    <w:rsid w:val="00386B8E"/>
    <w:rsid w:val="00386BA6"/>
    <w:rsid w:val="00387A25"/>
    <w:rsid w:val="00387E7D"/>
    <w:rsid w:val="00387EE2"/>
    <w:rsid w:val="00391922"/>
    <w:rsid w:val="003920EE"/>
    <w:rsid w:val="00392AAF"/>
    <w:rsid w:val="00392DBD"/>
    <w:rsid w:val="00395E61"/>
    <w:rsid w:val="00396E55"/>
    <w:rsid w:val="003A0549"/>
    <w:rsid w:val="003A072A"/>
    <w:rsid w:val="003A15BA"/>
    <w:rsid w:val="003A23B6"/>
    <w:rsid w:val="003A30A0"/>
    <w:rsid w:val="003A38AD"/>
    <w:rsid w:val="003A47E8"/>
    <w:rsid w:val="003A61A4"/>
    <w:rsid w:val="003A6365"/>
    <w:rsid w:val="003A7040"/>
    <w:rsid w:val="003B0865"/>
    <w:rsid w:val="003B115E"/>
    <w:rsid w:val="003B1E55"/>
    <w:rsid w:val="003B27D9"/>
    <w:rsid w:val="003B42B8"/>
    <w:rsid w:val="003B434B"/>
    <w:rsid w:val="003B4899"/>
    <w:rsid w:val="003B4DA8"/>
    <w:rsid w:val="003B5AAA"/>
    <w:rsid w:val="003B6029"/>
    <w:rsid w:val="003B6383"/>
    <w:rsid w:val="003B6787"/>
    <w:rsid w:val="003B6B39"/>
    <w:rsid w:val="003B6B89"/>
    <w:rsid w:val="003B6E02"/>
    <w:rsid w:val="003B77A3"/>
    <w:rsid w:val="003C00F4"/>
    <w:rsid w:val="003C136E"/>
    <w:rsid w:val="003C141E"/>
    <w:rsid w:val="003C1512"/>
    <w:rsid w:val="003C1BBF"/>
    <w:rsid w:val="003C1C86"/>
    <w:rsid w:val="003C2902"/>
    <w:rsid w:val="003C2D33"/>
    <w:rsid w:val="003C2E54"/>
    <w:rsid w:val="003C305A"/>
    <w:rsid w:val="003C3470"/>
    <w:rsid w:val="003C36AB"/>
    <w:rsid w:val="003C3808"/>
    <w:rsid w:val="003C3930"/>
    <w:rsid w:val="003C4105"/>
    <w:rsid w:val="003C4575"/>
    <w:rsid w:val="003C63CC"/>
    <w:rsid w:val="003C6F54"/>
    <w:rsid w:val="003C753E"/>
    <w:rsid w:val="003C76CB"/>
    <w:rsid w:val="003C7F22"/>
    <w:rsid w:val="003D0ADB"/>
    <w:rsid w:val="003D1020"/>
    <w:rsid w:val="003D1552"/>
    <w:rsid w:val="003D1E78"/>
    <w:rsid w:val="003D1FF5"/>
    <w:rsid w:val="003D21D9"/>
    <w:rsid w:val="003D22FD"/>
    <w:rsid w:val="003D27A1"/>
    <w:rsid w:val="003D2AD5"/>
    <w:rsid w:val="003D3E39"/>
    <w:rsid w:val="003D402E"/>
    <w:rsid w:val="003D481C"/>
    <w:rsid w:val="003D5F74"/>
    <w:rsid w:val="003D68C3"/>
    <w:rsid w:val="003D6B54"/>
    <w:rsid w:val="003D7916"/>
    <w:rsid w:val="003D7C48"/>
    <w:rsid w:val="003E0950"/>
    <w:rsid w:val="003E0CC5"/>
    <w:rsid w:val="003E0D17"/>
    <w:rsid w:val="003E1807"/>
    <w:rsid w:val="003E2579"/>
    <w:rsid w:val="003E3886"/>
    <w:rsid w:val="003E3D74"/>
    <w:rsid w:val="003E3E53"/>
    <w:rsid w:val="003E46A1"/>
    <w:rsid w:val="003E4B17"/>
    <w:rsid w:val="003E56D3"/>
    <w:rsid w:val="003E5DFC"/>
    <w:rsid w:val="003E6C3C"/>
    <w:rsid w:val="003E78AE"/>
    <w:rsid w:val="003E7ABF"/>
    <w:rsid w:val="003F066F"/>
    <w:rsid w:val="003F1510"/>
    <w:rsid w:val="003F3173"/>
    <w:rsid w:val="003F47C1"/>
    <w:rsid w:val="003F6FF7"/>
    <w:rsid w:val="003F7A57"/>
    <w:rsid w:val="00400D4B"/>
    <w:rsid w:val="00401FEC"/>
    <w:rsid w:val="00402257"/>
    <w:rsid w:val="004026F8"/>
    <w:rsid w:val="00402ABA"/>
    <w:rsid w:val="00403006"/>
    <w:rsid w:val="00403088"/>
    <w:rsid w:val="004041AE"/>
    <w:rsid w:val="00404D21"/>
    <w:rsid w:val="00406085"/>
    <w:rsid w:val="00406B73"/>
    <w:rsid w:val="00406EC3"/>
    <w:rsid w:val="004104EC"/>
    <w:rsid w:val="00411EB1"/>
    <w:rsid w:val="00413BD5"/>
    <w:rsid w:val="00413C15"/>
    <w:rsid w:val="004148AD"/>
    <w:rsid w:val="00414C56"/>
    <w:rsid w:val="004150CA"/>
    <w:rsid w:val="00415AD5"/>
    <w:rsid w:val="00415AEF"/>
    <w:rsid w:val="00417528"/>
    <w:rsid w:val="00417EEC"/>
    <w:rsid w:val="00420B8A"/>
    <w:rsid w:val="0042136A"/>
    <w:rsid w:val="00421413"/>
    <w:rsid w:val="0042151A"/>
    <w:rsid w:val="00421699"/>
    <w:rsid w:val="00422B01"/>
    <w:rsid w:val="0042373D"/>
    <w:rsid w:val="004248C6"/>
    <w:rsid w:val="00424A80"/>
    <w:rsid w:val="00425573"/>
    <w:rsid w:val="00427212"/>
    <w:rsid w:val="00427E37"/>
    <w:rsid w:val="00430227"/>
    <w:rsid w:val="0043037B"/>
    <w:rsid w:val="0043170C"/>
    <w:rsid w:val="00431841"/>
    <w:rsid w:val="004327B6"/>
    <w:rsid w:val="004329A5"/>
    <w:rsid w:val="004338EB"/>
    <w:rsid w:val="00433E80"/>
    <w:rsid w:val="00435EDE"/>
    <w:rsid w:val="004360A9"/>
    <w:rsid w:val="00436159"/>
    <w:rsid w:val="00436AC9"/>
    <w:rsid w:val="00436BD5"/>
    <w:rsid w:val="004405A4"/>
    <w:rsid w:val="00440C10"/>
    <w:rsid w:val="00440DA5"/>
    <w:rsid w:val="00441E2B"/>
    <w:rsid w:val="004421EE"/>
    <w:rsid w:val="0044274F"/>
    <w:rsid w:val="004427B0"/>
    <w:rsid w:val="004433D0"/>
    <w:rsid w:val="00444E79"/>
    <w:rsid w:val="00445F02"/>
    <w:rsid w:val="0044720B"/>
    <w:rsid w:val="00447224"/>
    <w:rsid w:val="00447559"/>
    <w:rsid w:val="0045078A"/>
    <w:rsid w:val="00451C11"/>
    <w:rsid w:val="004552EA"/>
    <w:rsid w:val="00455588"/>
    <w:rsid w:val="00455803"/>
    <w:rsid w:val="004558C4"/>
    <w:rsid w:val="00455F1B"/>
    <w:rsid w:val="0045693C"/>
    <w:rsid w:val="004572DA"/>
    <w:rsid w:val="00457618"/>
    <w:rsid w:val="00457E7B"/>
    <w:rsid w:val="00461889"/>
    <w:rsid w:val="004641A7"/>
    <w:rsid w:val="00464439"/>
    <w:rsid w:val="00465085"/>
    <w:rsid w:val="00465B4A"/>
    <w:rsid w:val="00465FC7"/>
    <w:rsid w:val="0046617F"/>
    <w:rsid w:val="004661C5"/>
    <w:rsid w:val="004664C2"/>
    <w:rsid w:val="004664ED"/>
    <w:rsid w:val="00466A20"/>
    <w:rsid w:val="00466B8C"/>
    <w:rsid w:val="00466D0D"/>
    <w:rsid w:val="00471C67"/>
    <w:rsid w:val="004721EC"/>
    <w:rsid w:val="004722F9"/>
    <w:rsid w:val="00473183"/>
    <w:rsid w:val="0047374E"/>
    <w:rsid w:val="00474A89"/>
    <w:rsid w:val="00477A94"/>
    <w:rsid w:val="004809DB"/>
    <w:rsid w:val="0048220D"/>
    <w:rsid w:val="00482824"/>
    <w:rsid w:val="00482B9A"/>
    <w:rsid w:val="004840F1"/>
    <w:rsid w:val="00484A1C"/>
    <w:rsid w:val="00484B93"/>
    <w:rsid w:val="00485081"/>
    <w:rsid w:val="004854AE"/>
    <w:rsid w:val="00485D39"/>
    <w:rsid w:val="0048617D"/>
    <w:rsid w:val="00487D2C"/>
    <w:rsid w:val="00490016"/>
    <w:rsid w:val="004903FE"/>
    <w:rsid w:val="004905C2"/>
    <w:rsid w:val="00490BF2"/>
    <w:rsid w:val="0049119F"/>
    <w:rsid w:val="00491F7F"/>
    <w:rsid w:val="004929E4"/>
    <w:rsid w:val="0049331D"/>
    <w:rsid w:val="004951A9"/>
    <w:rsid w:val="004A06EF"/>
    <w:rsid w:val="004A111F"/>
    <w:rsid w:val="004A1B6E"/>
    <w:rsid w:val="004A2362"/>
    <w:rsid w:val="004A2416"/>
    <w:rsid w:val="004A287F"/>
    <w:rsid w:val="004A37F4"/>
    <w:rsid w:val="004A40B9"/>
    <w:rsid w:val="004A430F"/>
    <w:rsid w:val="004A4D5D"/>
    <w:rsid w:val="004A5D94"/>
    <w:rsid w:val="004A6067"/>
    <w:rsid w:val="004A649E"/>
    <w:rsid w:val="004A688B"/>
    <w:rsid w:val="004B004C"/>
    <w:rsid w:val="004B0D07"/>
    <w:rsid w:val="004B15E8"/>
    <w:rsid w:val="004B1614"/>
    <w:rsid w:val="004B2A93"/>
    <w:rsid w:val="004B3D50"/>
    <w:rsid w:val="004B3E62"/>
    <w:rsid w:val="004B47E3"/>
    <w:rsid w:val="004B515D"/>
    <w:rsid w:val="004B543E"/>
    <w:rsid w:val="004B626D"/>
    <w:rsid w:val="004B7287"/>
    <w:rsid w:val="004C1A89"/>
    <w:rsid w:val="004C2C6A"/>
    <w:rsid w:val="004C4630"/>
    <w:rsid w:val="004C5BFE"/>
    <w:rsid w:val="004C5E51"/>
    <w:rsid w:val="004C5F58"/>
    <w:rsid w:val="004C63B4"/>
    <w:rsid w:val="004C72BF"/>
    <w:rsid w:val="004D118F"/>
    <w:rsid w:val="004D1DEB"/>
    <w:rsid w:val="004D1FE4"/>
    <w:rsid w:val="004D21E2"/>
    <w:rsid w:val="004D2516"/>
    <w:rsid w:val="004D3176"/>
    <w:rsid w:val="004D41BD"/>
    <w:rsid w:val="004D5794"/>
    <w:rsid w:val="004D6FB3"/>
    <w:rsid w:val="004D7C9E"/>
    <w:rsid w:val="004E0CBF"/>
    <w:rsid w:val="004E0CDC"/>
    <w:rsid w:val="004E1659"/>
    <w:rsid w:val="004E268C"/>
    <w:rsid w:val="004E3094"/>
    <w:rsid w:val="004E3310"/>
    <w:rsid w:val="004E3DE3"/>
    <w:rsid w:val="004E566C"/>
    <w:rsid w:val="004E7C9C"/>
    <w:rsid w:val="004F0992"/>
    <w:rsid w:val="004F12DD"/>
    <w:rsid w:val="004F12EE"/>
    <w:rsid w:val="004F2E94"/>
    <w:rsid w:val="004F381C"/>
    <w:rsid w:val="004F4579"/>
    <w:rsid w:val="004F4A8D"/>
    <w:rsid w:val="00500163"/>
    <w:rsid w:val="005004D7"/>
    <w:rsid w:val="0050087B"/>
    <w:rsid w:val="005017FC"/>
    <w:rsid w:val="00501817"/>
    <w:rsid w:val="005018AD"/>
    <w:rsid w:val="00502001"/>
    <w:rsid w:val="00503710"/>
    <w:rsid w:val="0050379F"/>
    <w:rsid w:val="00503C62"/>
    <w:rsid w:val="00504047"/>
    <w:rsid w:val="00504BE8"/>
    <w:rsid w:val="005050B4"/>
    <w:rsid w:val="00507BD3"/>
    <w:rsid w:val="005101A0"/>
    <w:rsid w:val="00510729"/>
    <w:rsid w:val="00511DA5"/>
    <w:rsid w:val="00515814"/>
    <w:rsid w:val="00517177"/>
    <w:rsid w:val="005221BE"/>
    <w:rsid w:val="00522C20"/>
    <w:rsid w:val="00523C19"/>
    <w:rsid w:val="00524112"/>
    <w:rsid w:val="0052452E"/>
    <w:rsid w:val="00524D8F"/>
    <w:rsid w:val="00524FF6"/>
    <w:rsid w:val="0052500A"/>
    <w:rsid w:val="0052599C"/>
    <w:rsid w:val="0052689F"/>
    <w:rsid w:val="00527579"/>
    <w:rsid w:val="00527F45"/>
    <w:rsid w:val="005327B1"/>
    <w:rsid w:val="00533517"/>
    <w:rsid w:val="005335D1"/>
    <w:rsid w:val="00533FE8"/>
    <w:rsid w:val="0053448F"/>
    <w:rsid w:val="00534505"/>
    <w:rsid w:val="0053568D"/>
    <w:rsid w:val="00535A81"/>
    <w:rsid w:val="005362D5"/>
    <w:rsid w:val="00536FB1"/>
    <w:rsid w:val="005403B9"/>
    <w:rsid w:val="005403F1"/>
    <w:rsid w:val="00540E41"/>
    <w:rsid w:val="00541008"/>
    <w:rsid w:val="0054219F"/>
    <w:rsid w:val="0054270B"/>
    <w:rsid w:val="00543B66"/>
    <w:rsid w:val="00543F2A"/>
    <w:rsid w:val="00544BB2"/>
    <w:rsid w:val="005460D8"/>
    <w:rsid w:val="005461CE"/>
    <w:rsid w:val="005466A4"/>
    <w:rsid w:val="005466DC"/>
    <w:rsid w:val="00546C77"/>
    <w:rsid w:val="00547BF4"/>
    <w:rsid w:val="0055151E"/>
    <w:rsid w:val="005518B0"/>
    <w:rsid w:val="00552DB3"/>
    <w:rsid w:val="0055389E"/>
    <w:rsid w:val="0055536C"/>
    <w:rsid w:val="005557BC"/>
    <w:rsid w:val="00555B7E"/>
    <w:rsid w:val="005561C5"/>
    <w:rsid w:val="00556E80"/>
    <w:rsid w:val="005570D7"/>
    <w:rsid w:val="005604F4"/>
    <w:rsid w:val="00560644"/>
    <w:rsid w:val="0056446F"/>
    <w:rsid w:val="00566082"/>
    <w:rsid w:val="005675E2"/>
    <w:rsid w:val="0057014F"/>
    <w:rsid w:val="0057050E"/>
    <w:rsid w:val="00571CB8"/>
    <w:rsid w:val="0057213C"/>
    <w:rsid w:val="00572798"/>
    <w:rsid w:val="00573315"/>
    <w:rsid w:val="00573968"/>
    <w:rsid w:val="00576DCC"/>
    <w:rsid w:val="00577800"/>
    <w:rsid w:val="00577DBC"/>
    <w:rsid w:val="00580561"/>
    <w:rsid w:val="0058079D"/>
    <w:rsid w:val="00580D52"/>
    <w:rsid w:val="00581A3A"/>
    <w:rsid w:val="00581BCC"/>
    <w:rsid w:val="0058475B"/>
    <w:rsid w:val="005851DD"/>
    <w:rsid w:val="00585C41"/>
    <w:rsid w:val="00585E65"/>
    <w:rsid w:val="005873B0"/>
    <w:rsid w:val="00587451"/>
    <w:rsid w:val="00590FCA"/>
    <w:rsid w:val="00592A6F"/>
    <w:rsid w:val="00593147"/>
    <w:rsid w:val="00594935"/>
    <w:rsid w:val="00595275"/>
    <w:rsid w:val="00595A1E"/>
    <w:rsid w:val="00595CCF"/>
    <w:rsid w:val="00595DE4"/>
    <w:rsid w:val="00595FAE"/>
    <w:rsid w:val="00595FAF"/>
    <w:rsid w:val="005960DA"/>
    <w:rsid w:val="005961A6"/>
    <w:rsid w:val="005966A2"/>
    <w:rsid w:val="005A099E"/>
    <w:rsid w:val="005A172A"/>
    <w:rsid w:val="005A23D4"/>
    <w:rsid w:val="005A24D2"/>
    <w:rsid w:val="005A4284"/>
    <w:rsid w:val="005A4BCE"/>
    <w:rsid w:val="005A5138"/>
    <w:rsid w:val="005A5554"/>
    <w:rsid w:val="005A586D"/>
    <w:rsid w:val="005A5ED3"/>
    <w:rsid w:val="005A6C83"/>
    <w:rsid w:val="005A71A9"/>
    <w:rsid w:val="005B1B6B"/>
    <w:rsid w:val="005B26CD"/>
    <w:rsid w:val="005B380E"/>
    <w:rsid w:val="005B3BA9"/>
    <w:rsid w:val="005B57E1"/>
    <w:rsid w:val="005B5BD0"/>
    <w:rsid w:val="005B5D49"/>
    <w:rsid w:val="005B64B8"/>
    <w:rsid w:val="005B74D2"/>
    <w:rsid w:val="005C0768"/>
    <w:rsid w:val="005C0CB8"/>
    <w:rsid w:val="005C1390"/>
    <w:rsid w:val="005C2FDD"/>
    <w:rsid w:val="005C3100"/>
    <w:rsid w:val="005C5208"/>
    <w:rsid w:val="005C572D"/>
    <w:rsid w:val="005C59CD"/>
    <w:rsid w:val="005C7348"/>
    <w:rsid w:val="005D0985"/>
    <w:rsid w:val="005D111D"/>
    <w:rsid w:val="005D126B"/>
    <w:rsid w:val="005D19FC"/>
    <w:rsid w:val="005D1E28"/>
    <w:rsid w:val="005D21B3"/>
    <w:rsid w:val="005D2ACD"/>
    <w:rsid w:val="005D43E8"/>
    <w:rsid w:val="005D47D3"/>
    <w:rsid w:val="005D4EA1"/>
    <w:rsid w:val="005D4EB8"/>
    <w:rsid w:val="005D5715"/>
    <w:rsid w:val="005D6468"/>
    <w:rsid w:val="005D772D"/>
    <w:rsid w:val="005D78D7"/>
    <w:rsid w:val="005E0AEA"/>
    <w:rsid w:val="005E16CC"/>
    <w:rsid w:val="005E1BEC"/>
    <w:rsid w:val="005E3346"/>
    <w:rsid w:val="005E502F"/>
    <w:rsid w:val="005E5148"/>
    <w:rsid w:val="005E541D"/>
    <w:rsid w:val="005E55A3"/>
    <w:rsid w:val="005E6866"/>
    <w:rsid w:val="005E69AD"/>
    <w:rsid w:val="005E6AB9"/>
    <w:rsid w:val="005F0042"/>
    <w:rsid w:val="005F0E5D"/>
    <w:rsid w:val="005F10C2"/>
    <w:rsid w:val="005F11AA"/>
    <w:rsid w:val="005F13B3"/>
    <w:rsid w:val="005F1F73"/>
    <w:rsid w:val="005F2181"/>
    <w:rsid w:val="005F319C"/>
    <w:rsid w:val="005F3B69"/>
    <w:rsid w:val="005F3F86"/>
    <w:rsid w:val="005F4C53"/>
    <w:rsid w:val="005F593A"/>
    <w:rsid w:val="005F6590"/>
    <w:rsid w:val="00600444"/>
    <w:rsid w:val="00602291"/>
    <w:rsid w:val="0060244C"/>
    <w:rsid w:val="006025D4"/>
    <w:rsid w:val="006028CB"/>
    <w:rsid w:val="006034BE"/>
    <w:rsid w:val="00604E24"/>
    <w:rsid w:val="00610359"/>
    <w:rsid w:val="00610E07"/>
    <w:rsid w:val="00611AD9"/>
    <w:rsid w:val="00611FE4"/>
    <w:rsid w:val="006134BF"/>
    <w:rsid w:val="00613974"/>
    <w:rsid w:val="006157AF"/>
    <w:rsid w:val="006165D7"/>
    <w:rsid w:val="00620298"/>
    <w:rsid w:val="00620585"/>
    <w:rsid w:val="006210D4"/>
    <w:rsid w:val="0062448D"/>
    <w:rsid w:val="006246F5"/>
    <w:rsid w:val="00625622"/>
    <w:rsid w:val="0062641D"/>
    <w:rsid w:val="006305E6"/>
    <w:rsid w:val="006306D3"/>
    <w:rsid w:val="00632D3E"/>
    <w:rsid w:val="00633F8B"/>
    <w:rsid w:val="006355E9"/>
    <w:rsid w:val="0063676A"/>
    <w:rsid w:val="00636AEF"/>
    <w:rsid w:val="00637756"/>
    <w:rsid w:val="00637FA0"/>
    <w:rsid w:val="0064090C"/>
    <w:rsid w:val="00640CBB"/>
    <w:rsid w:val="00640FEA"/>
    <w:rsid w:val="00643685"/>
    <w:rsid w:val="006436FD"/>
    <w:rsid w:val="0064415D"/>
    <w:rsid w:val="0064488A"/>
    <w:rsid w:val="00644A05"/>
    <w:rsid w:val="00644EB6"/>
    <w:rsid w:val="00645529"/>
    <w:rsid w:val="006458FA"/>
    <w:rsid w:val="00646BDB"/>
    <w:rsid w:val="006471C2"/>
    <w:rsid w:val="006478FC"/>
    <w:rsid w:val="00650017"/>
    <w:rsid w:val="006508FE"/>
    <w:rsid w:val="006514E3"/>
    <w:rsid w:val="00651A97"/>
    <w:rsid w:val="00652C2B"/>
    <w:rsid w:val="00652CFA"/>
    <w:rsid w:val="006530EB"/>
    <w:rsid w:val="006539BA"/>
    <w:rsid w:val="0065487F"/>
    <w:rsid w:val="00654ED5"/>
    <w:rsid w:val="00655381"/>
    <w:rsid w:val="00655631"/>
    <w:rsid w:val="00655CE9"/>
    <w:rsid w:val="006564A8"/>
    <w:rsid w:val="00656CCB"/>
    <w:rsid w:val="00657288"/>
    <w:rsid w:val="00657BC2"/>
    <w:rsid w:val="00657D1B"/>
    <w:rsid w:val="006601F0"/>
    <w:rsid w:val="00660501"/>
    <w:rsid w:val="0066106E"/>
    <w:rsid w:val="006611F9"/>
    <w:rsid w:val="00661456"/>
    <w:rsid w:val="00661530"/>
    <w:rsid w:val="00662AC5"/>
    <w:rsid w:val="00665E6D"/>
    <w:rsid w:val="0066655F"/>
    <w:rsid w:val="00666DE3"/>
    <w:rsid w:val="00667573"/>
    <w:rsid w:val="00667FF7"/>
    <w:rsid w:val="006722E4"/>
    <w:rsid w:val="00672403"/>
    <w:rsid w:val="00672EAE"/>
    <w:rsid w:val="0067458E"/>
    <w:rsid w:val="0067595C"/>
    <w:rsid w:val="00675AEB"/>
    <w:rsid w:val="0067637C"/>
    <w:rsid w:val="006769AE"/>
    <w:rsid w:val="00677857"/>
    <w:rsid w:val="00677AD4"/>
    <w:rsid w:val="00677E22"/>
    <w:rsid w:val="00680208"/>
    <w:rsid w:val="0068462C"/>
    <w:rsid w:val="0068475B"/>
    <w:rsid w:val="00686342"/>
    <w:rsid w:val="006879A1"/>
    <w:rsid w:val="00690F9B"/>
    <w:rsid w:val="006912AB"/>
    <w:rsid w:val="00691670"/>
    <w:rsid w:val="0069235B"/>
    <w:rsid w:val="0069255C"/>
    <w:rsid w:val="00692748"/>
    <w:rsid w:val="00692A1E"/>
    <w:rsid w:val="006943EA"/>
    <w:rsid w:val="0069619F"/>
    <w:rsid w:val="00696433"/>
    <w:rsid w:val="00696522"/>
    <w:rsid w:val="006965E4"/>
    <w:rsid w:val="00696A4B"/>
    <w:rsid w:val="00697486"/>
    <w:rsid w:val="00697F72"/>
    <w:rsid w:val="006A0970"/>
    <w:rsid w:val="006A1002"/>
    <w:rsid w:val="006A3D44"/>
    <w:rsid w:val="006A4FE6"/>
    <w:rsid w:val="006A5608"/>
    <w:rsid w:val="006B2514"/>
    <w:rsid w:val="006B3D2F"/>
    <w:rsid w:val="006B45B9"/>
    <w:rsid w:val="006B4A85"/>
    <w:rsid w:val="006B4D47"/>
    <w:rsid w:val="006B658B"/>
    <w:rsid w:val="006B72C2"/>
    <w:rsid w:val="006C020D"/>
    <w:rsid w:val="006C05DF"/>
    <w:rsid w:val="006C1127"/>
    <w:rsid w:val="006C169E"/>
    <w:rsid w:val="006C19BE"/>
    <w:rsid w:val="006C260C"/>
    <w:rsid w:val="006C30AA"/>
    <w:rsid w:val="006C4A0A"/>
    <w:rsid w:val="006C4C50"/>
    <w:rsid w:val="006C53D2"/>
    <w:rsid w:val="006C6261"/>
    <w:rsid w:val="006C6563"/>
    <w:rsid w:val="006C6866"/>
    <w:rsid w:val="006C6C7D"/>
    <w:rsid w:val="006C7E85"/>
    <w:rsid w:val="006D00F2"/>
    <w:rsid w:val="006D0C12"/>
    <w:rsid w:val="006D1308"/>
    <w:rsid w:val="006D1E4C"/>
    <w:rsid w:val="006D1F87"/>
    <w:rsid w:val="006D22BF"/>
    <w:rsid w:val="006D3D47"/>
    <w:rsid w:val="006D4206"/>
    <w:rsid w:val="006D54F7"/>
    <w:rsid w:val="006D5E28"/>
    <w:rsid w:val="006D67C4"/>
    <w:rsid w:val="006D6938"/>
    <w:rsid w:val="006D6ACA"/>
    <w:rsid w:val="006E09F9"/>
    <w:rsid w:val="006E472D"/>
    <w:rsid w:val="006E4A71"/>
    <w:rsid w:val="006E5C4C"/>
    <w:rsid w:val="006E70DD"/>
    <w:rsid w:val="006F173E"/>
    <w:rsid w:val="006F1882"/>
    <w:rsid w:val="006F1C57"/>
    <w:rsid w:val="006F27D1"/>
    <w:rsid w:val="006F2ADD"/>
    <w:rsid w:val="006F39CB"/>
    <w:rsid w:val="006F5D03"/>
    <w:rsid w:val="006F62F2"/>
    <w:rsid w:val="006F6E87"/>
    <w:rsid w:val="006F730B"/>
    <w:rsid w:val="006F75F1"/>
    <w:rsid w:val="006F7BCF"/>
    <w:rsid w:val="007001FA"/>
    <w:rsid w:val="00700CFC"/>
    <w:rsid w:val="00702589"/>
    <w:rsid w:val="00702A5D"/>
    <w:rsid w:val="00702B62"/>
    <w:rsid w:val="007056FD"/>
    <w:rsid w:val="00705A41"/>
    <w:rsid w:val="00707B38"/>
    <w:rsid w:val="00710911"/>
    <w:rsid w:val="007131E7"/>
    <w:rsid w:val="00713574"/>
    <w:rsid w:val="00713EF2"/>
    <w:rsid w:val="00714B4A"/>
    <w:rsid w:val="00714F44"/>
    <w:rsid w:val="00715897"/>
    <w:rsid w:val="00720458"/>
    <w:rsid w:val="00720635"/>
    <w:rsid w:val="0072068F"/>
    <w:rsid w:val="00720E5F"/>
    <w:rsid w:val="007220C8"/>
    <w:rsid w:val="00722BD4"/>
    <w:rsid w:val="00724CEC"/>
    <w:rsid w:val="007255E3"/>
    <w:rsid w:val="007264C7"/>
    <w:rsid w:val="0072756F"/>
    <w:rsid w:val="007302BF"/>
    <w:rsid w:val="00730720"/>
    <w:rsid w:val="00730CE7"/>
    <w:rsid w:val="0073256B"/>
    <w:rsid w:val="00732913"/>
    <w:rsid w:val="007330FB"/>
    <w:rsid w:val="00733758"/>
    <w:rsid w:val="007340B5"/>
    <w:rsid w:val="0073462B"/>
    <w:rsid w:val="007349F0"/>
    <w:rsid w:val="0073571F"/>
    <w:rsid w:val="007358F8"/>
    <w:rsid w:val="00740113"/>
    <w:rsid w:val="00740895"/>
    <w:rsid w:val="00742E61"/>
    <w:rsid w:val="007431D8"/>
    <w:rsid w:val="00744258"/>
    <w:rsid w:val="0075012C"/>
    <w:rsid w:val="0075058C"/>
    <w:rsid w:val="00750657"/>
    <w:rsid w:val="007506C6"/>
    <w:rsid w:val="00750703"/>
    <w:rsid w:val="00753296"/>
    <w:rsid w:val="00753565"/>
    <w:rsid w:val="00755356"/>
    <w:rsid w:val="00756085"/>
    <w:rsid w:val="007561DA"/>
    <w:rsid w:val="007577BA"/>
    <w:rsid w:val="007578EA"/>
    <w:rsid w:val="0076030D"/>
    <w:rsid w:val="007607D3"/>
    <w:rsid w:val="00760ABE"/>
    <w:rsid w:val="00762763"/>
    <w:rsid w:val="007640F7"/>
    <w:rsid w:val="00764437"/>
    <w:rsid w:val="00764595"/>
    <w:rsid w:val="00765429"/>
    <w:rsid w:val="00765827"/>
    <w:rsid w:val="00765E35"/>
    <w:rsid w:val="00765FBD"/>
    <w:rsid w:val="0076641A"/>
    <w:rsid w:val="00767EEF"/>
    <w:rsid w:val="007709D4"/>
    <w:rsid w:val="007724B1"/>
    <w:rsid w:val="00772B62"/>
    <w:rsid w:val="0077341B"/>
    <w:rsid w:val="00773D89"/>
    <w:rsid w:val="00773F3F"/>
    <w:rsid w:val="00774B4E"/>
    <w:rsid w:val="00775B46"/>
    <w:rsid w:val="00777287"/>
    <w:rsid w:val="0077769A"/>
    <w:rsid w:val="00780510"/>
    <w:rsid w:val="007807D6"/>
    <w:rsid w:val="00780B99"/>
    <w:rsid w:val="00781EA2"/>
    <w:rsid w:val="00781EBB"/>
    <w:rsid w:val="00781F4E"/>
    <w:rsid w:val="00782212"/>
    <w:rsid w:val="0078261A"/>
    <w:rsid w:val="00782754"/>
    <w:rsid w:val="007837F7"/>
    <w:rsid w:val="00783878"/>
    <w:rsid w:val="0078459E"/>
    <w:rsid w:val="00784AB0"/>
    <w:rsid w:val="00785B59"/>
    <w:rsid w:val="00785E13"/>
    <w:rsid w:val="0078664A"/>
    <w:rsid w:val="00787C3A"/>
    <w:rsid w:val="007903FD"/>
    <w:rsid w:val="007916D1"/>
    <w:rsid w:val="0079390D"/>
    <w:rsid w:val="00794CB5"/>
    <w:rsid w:val="00797055"/>
    <w:rsid w:val="0079717E"/>
    <w:rsid w:val="00797884"/>
    <w:rsid w:val="00797B22"/>
    <w:rsid w:val="007A0470"/>
    <w:rsid w:val="007A051C"/>
    <w:rsid w:val="007A057C"/>
    <w:rsid w:val="007A0741"/>
    <w:rsid w:val="007A17B7"/>
    <w:rsid w:val="007A1A16"/>
    <w:rsid w:val="007A1DB4"/>
    <w:rsid w:val="007A30F7"/>
    <w:rsid w:val="007A34AC"/>
    <w:rsid w:val="007A3AF2"/>
    <w:rsid w:val="007A4E36"/>
    <w:rsid w:val="007A530F"/>
    <w:rsid w:val="007A53F5"/>
    <w:rsid w:val="007A564B"/>
    <w:rsid w:val="007A56DF"/>
    <w:rsid w:val="007A68C1"/>
    <w:rsid w:val="007A710B"/>
    <w:rsid w:val="007A7D8F"/>
    <w:rsid w:val="007B0966"/>
    <w:rsid w:val="007B0EE5"/>
    <w:rsid w:val="007B15AC"/>
    <w:rsid w:val="007B18D7"/>
    <w:rsid w:val="007B25DD"/>
    <w:rsid w:val="007B3215"/>
    <w:rsid w:val="007B3308"/>
    <w:rsid w:val="007B49C0"/>
    <w:rsid w:val="007B615C"/>
    <w:rsid w:val="007B63F8"/>
    <w:rsid w:val="007B7A83"/>
    <w:rsid w:val="007C0CCA"/>
    <w:rsid w:val="007C288B"/>
    <w:rsid w:val="007C303D"/>
    <w:rsid w:val="007C37DC"/>
    <w:rsid w:val="007C39AE"/>
    <w:rsid w:val="007C60C2"/>
    <w:rsid w:val="007C660D"/>
    <w:rsid w:val="007C76EF"/>
    <w:rsid w:val="007C7E2F"/>
    <w:rsid w:val="007D06F7"/>
    <w:rsid w:val="007D0ED4"/>
    <w:rsid w:val="007D16A8"/>
    <w:rsid w:val="007D1D61"/>
    <w:rsid w:val="007D27D2"/>
    <w:rsid w:val="007D2B66"/>
    <w:rsid w:val="007D2DB8"/>
    <w:rsid w:val="007D3000"/>
    <w:rsid w:val="007D3097"/>
    <w:rsid w:val="007D3498"/>
    <w:rsid w:val="007D4AC5"/>
    <w:rsid w:val="007D5154"/>
    <w:rsid w:val="007E0C35"/>
    <w:rsid w:val="007E2DE6"/>
    <w:rsid w:val="007E38A6"/>
    <w:rsid w:val="007E582E"/>
    <w:rsid w:val="007E7881"/>
    <w:rsid w:val="007F0EDD"/>
    <w:rsid w:val="007F1EA8"/>
    <w:rsid w:val="007F1F79"/>
    <w:rsid w:val="007F1FE4"/>
    <w:rsid w:val="007F3095"/>
    <w:rsid w:val="007F3AC2"/>
    <w:rsid w:val="007F5CF5"/>
    <w:rsid w:val="007F74F9"/>
    <w:rsid w:val="008000FA"/>
    <w:rsid w:val="00800DD7"/>
    <w:rsid w:val="008012FD"/>
    <w:rsid w:val="0080167C"/>
    <w:rsid w:val="00802927"/>
    <w:rsid w:val="00802EF2"/>
    <w:rsid w:val="00803E76"/>
    <w:rsid w:val="00804190"/>
    <w:rsid w:val="008064DA"/>
    <w:rsid w:val="00806A2A"/>
    <w:rsid w:val="00807479"/>
    <w:rsid w:val="008076ED"/>
    <w:rsid w:val="00807EFD"/>
    <w:rsid w:val="008111F1"/>
    <w:rsid w:val="008126F5"/>
    <w:rsid w:val="00812B3E"/>
    <w:rsid w:val="00813217"/>
    <w:rsid w:val="008133D4"/>
    <w:rsid w:val="00814732"/>
    <w:rsid w:val="00815E9C"/>
    <w:rsid w:val="008163CC"/>
    <w:rsid w:val="00816C6C"/>
    <w:rsid w:val="008172D8"/>
    <w:rsid w:val="008174C8"/>
    <w:rsid w:val="00817C55"/>
    <w:rsid w:val="00822018"/>
    <w:rsid w:val="00822577"/>
    <w:rsid w:val="008225E4"/>
    <w:rsid w:val="0082288A"/>
    <w:rsid w:val="00822965"/>
    <w:rsid w:val="00822DF8"/>
    <w:rsid w:val="00824F19"/>
    <w:rsid w:val="00824FC4"/>
    <w:rsid w:val="00826C33"/>
    <w:rsid w:val="00827AD4"/>
    <w:rsid w:val="00830025"/>
    <w:rsid w:val="00830178"/>
    <w:rsid w:val="00830FB3"/>
    <w:rsid w:val="0083255D"/>
    <w:rsid w:val="008341FE"/>
    <w:rsid w:val="00834551"/>
    <w:rsid w:val="00834C60"/>
    <w:rsid w:val="00834FF3"/>
    <w:rsid w:val="00840044"/>
    <w:rsid w:val="00841090"/>
    <w:rsid w:val="00841270"/>
    <w:rsid w:val="00842B83"/>
    <w:rsid w:val="008443C6"/>
    <w:rsid w:val="00844CB5"/>
    <w:rsid w:val="008453EE"/>
    <w:rsid w:val="0084655B"/>
    <w:rsid w:val="008506E2"/>
    <w:rsid w:val="008519D7"/>
    <w:rsid w:val="00851AC5"/>
    <w:rsid w:val="008528C6"/>
    <w:rsid w:val="00853906"/>
    <w:rsid w:val="00853F07"/>
    <w:rsid w:val="00854539"/>
    <w:rsid w:val="0085473B"/>
    <w:rsid w:val="008551F8"/>
    <w:rsid w:val="008575EB"/>
    <w:rsid w:val="0086065E"/>
    <w:rsid w:val="00861982"/>
    <w:rsid w:val="008626E1"/>
    <w:rsid w:val="0086275F"/>
    <w:rsid w:val="00862C73"/>
    <w:rsid w:val="008642DE"/>
    <w:rsid w:val="008657DB"/>
    <w:rsid w:val="0086666D"/>
    <w:rsid w:val="00867146"/>
    <w:rsid w:val="00870570"/>
    <w:rsid w:val="00870863"/>
    <w:rsid w:val="0087096E"/>
    <w:rsid w:val="00871EBA"/>
    <w:rsid w:val="00873080"/>
    <w:rsid w:val="00873525"/>
    <w:rsid w:val="0087392F"/>
    <w:rsid w:val="008740A5"/>
    <w:rsid w:val="00875D2C"/>
    <w:rsid w:val="00876764"/>
    <w:rsid w:val="00876C91"/>
    <w:rsid w:val="00876D62"/>
    <w:rsid w:val="008777E5"/>
    <w:rsid w:val="008778B4"/>
    <w:rsid w:val="00880DD1"/>
    <w:rsid w:val="008822F1"/>
    <w:rsid w:val="00882694"/>
    <w:rsid w:val="00883520"/>
    <w:rsid w:val="008838A6"/>
    <w:rsid w:val="008839DF"/>
    <w:rsid w:val="00883FC3"/>
    <w:rsid w:val="00884DFD"/>
    <w:rsid w:val="00886A0E"/>
    <w:rsid w:val="00886D46"/>
    <w:rsid w:val="008924FF"/>
    <w:rsid w:val="00894576"/>
    <w:rsid w:val="00895E1E"/>
    <w:rsid w:val="008A02C9"/>
    <w:rsid w:val="008A0778"/>
    <w:rsid w:val="008A154F"/>
    <w:rsid w:val="008A1612"/>
    <w:rsid w:val="008A2381"/>
    <w:rsid w:val="008A33E0"/>
    <w:rsid w:val="008A47A0"/>
    <w:rsid w:val="008A4E37"/>
    <w:rsid w:val="008A5B07"/>
    <w:rsid w:val="008A733D"/>
    <w:rsid w:val="008A7F61"/>
    <w:rsid w:val="008B1BA5"/>
    <w:rsid w:val="008B33F3"/>
    <w:rsid w:val="008B3598"/>
    <w:rsid w:val="008B4B03"/>
    <w:rsid w:val="008B4DD6"/>
    <w:rsid w:val="008B6E96"/>
    <w:rsid w:val="008B6F5C"/>
    <w:rsid w:val="008B7064"/>
    <w:rsid w:val="008B7584"/>
    <w:rsid w:val="008B7A0C"/>
    <w:rsid w:val="008B7A75"/>
    <w:rsid w:val="008B7E05"/>
    <w:rsid w:val="008B7ECD"/>
    <w:rsid w:val="008C0694"/>
    <w:rsid w:val="008C1767"/>
    <w:rsid w:val="008C2EA7"/>
    <w:rsid w:val="008C31C1"/>
    <w:rsid w:val="008C33ED"/>
    <w:rsid w:val="008C3AAC"/>
    <w:rsid w:val="008C42FB"/>
    <w:rsid w:val="008C52D7"/>
    <w:rsid w:val="008C5C52"/>
    <w:rsid w:val="008D2C20"/>
    <w:rsid w:val="008D3D68"/>
    <w:rsid w:val="008D6467"/>
    <w:rsid w:val="008D6CF7"/>
    <w:rsid w:val="008D7A72"/>
    <w:rsid w:val="008E1E46"/>
    <w:rsid w:val="008E3C89"/>
    <w:rsid w:val="008E417E"/>
    <w:rsid w:val="008E689C"/>
    <w:rsid w:val="008E7105"/>
    <w:rsid w:val="008F09A8"/>
    <w:rsid w:val="008F1D75"/>
    <w:rsid w:val="008F2179"/>
    <w:rsid w:val="008F305A"/>
    <w:rsid w:val="008F333A"/>
    <w:rsid w:val="008F34D9"/>
    <w:rsid w:val="008F3C3D"/>
    <w:rsid w:val="008F4268"/>
    <w:rsid w:val="008F5079"/>
    <w:rsid w:val="008F576E"/>
    <w:rsid w:val="008F58F3"/>
    <w:rsid w:val="008F5BA5"/>
    <w:rsid w:val="008F6350"/>
    <w:rsid w:val="008F665B"/>
    <w:rsid w:val="008F6CF0"/>
    <w:rsid w:val="008F7DE3"/>
    <w:rsid w:val="00901559"/>
    <w:rsid w:val="009016F1"/>
    <w:rsid w:val="00901A14"/>
    <w:rsid w:val="00902DCD"/>
    <w:rsid w:val="009034B5"/>
    <w:rsid w:val="009034FB"/>
    <w:rsid w:val="00903650"/>
    <w:rsid w:val="00903D03"/>
    <w:rsid w:val="009041A3"/>
    <w:rsid w:val="00904DBA"/>
    <w:rsid w:val="0090605F"/>
    <w:rsid w:val="00907A29"/>
    <w:rsid w:val="00907B9C"/>
    <w:rsid w:val="0091201C"/>
    <w:rsid w:val="009123DD"/>
    <w:rsid w:val="00912A88"/>
    <w:rsid w:val="009133BE"/>
    <w:rsid w:val="0091369A"/>
    <w:rsid w:val="0091417D"/>
    <w:rsid w:val="00914867"/>
    <w:rsid w:val="00914AB6"/>
    <w:rsid w:val="00914C46"/>
    <w:rsid w:val="00915487"/>
    <w:rsid w:val="00915B1C"/>
    <w:rsid w:val="00920FB2"/>
    <w:rsid w:val="00921014"/>
    <w:rsid w:val="009216A3"/>
    <w:rsid w:val="00921B8D"/>
    <w:rsid w:val="009224ED"/>
    <w:rsid w:val="009230D2"/>
    <w:rsid w:val="0092324F"/>
    <w:rsid w:val="00923A2E"/>
    <w:rsid w:val="009245B7"/>
    <w:rsid w:val="0092485F"/>
    <w:rsid w:val="00924C35"/>
    <w:rsid w:val="009256F4"/>
    <w:rsid w:val="00925AF9"/>
    <w:rsid w:val="00925E20"/>
    <w:rsid w:val="00926B1C"/>
    <w:rsid w:val="00926DEE"/>
    <w:rsid w:val="009273F9"/>
    <w:rsid w:val="00930102"/>
    <w:rsid w:val="00932FBE"/>
    <w:rsid w:val="00933A0B"/>
    <w:rsid w:val="00934296"/>
    <w:rsid w:val="0093487D"/>
    <w:rsid w:val="00935280"/>
    <w:rsid w:val="00935556"/>
    <w:rsid w:val="00935558"/>
    <w:rsid w:val="00935A00"/>
    <w:rsid w:val="009369A2"/>
    <w:rsid w:val="00940CF0"/>
    <w:rsid w:val="00941AF9"/>
    <w:rsid w:val="009421C4"/>
    <w:rsid w:val="00944450"/>
    <w:rsid w:val="00944BB6"/>
    <w:rsid w:val="00945032"/>
    <w:rsid w:val="009461C2"/>
    <w:rsid w:val="00946980"/>
    <w:rsid w:val="00946A73"/>
    <w:rsid w:val="00946D89"/>
    <w:rsid w:val="009476BE"/>
    <w:rsid w:val="00950968"/>
    <w:rsid w:val="00950F44"/>
    <w:rsid w:val="00952A3F"/>
    <w:rsid w:val="00952BAC"/>
    <w:rsid w:val="00952F0E"/>
    <w:rsid w:val="00953156"/>
    <w:rsid w:val="00953AA8"/>
    <w:rsid w:val="0095456A"/>
    <w:rsid w:val="009565F3"/>
    <w:rsid w:val="00956898"/>
    <w:rsid w:val="00956D03"/>
    <w:rsid w:val="00960D1B"/>
    <w:rsid w:val="0096191D"/>
    <w:rsid w:val="009629F5"/>
    <w:rsid w:val="00964AA0"/>
    <w:rsid w:val="00964B8B"/>
    <w:rsid w:val="0096531D"/>
    <w:rsid w:val="00966396"/>
    <w:rsid w:val="00966C66"/>
    <w:rsid w:val="00966E1D"/>
    <w:rsid w:val="009714E0"/>
    <w:rsid w:val="0097474E"/>
    <w:rsid w:val="00975419"/>
    <w:rsid w:val="00975717"/>
    <w:rsid w:val="00975823"/>
    <w:rsid w:val="00976A19"/>
    <w:rsid w:val="00976FE1"/>
    <w:rsid w:val="009802AF"/>
    <w:rsid w:val="00980BAE"/>
    <w:rsid w:val="00981C7B"/>
    <w:rsid w:val="009821A9"/>
    <w:rsid w:val="00982DD0"/>
    <w:rsid w:val="0098362F"/>
    <w:rsid w:val="009846F3"/>
    <w:rsid w:val="00984B94"/>
    <w:rsid w:val="00986722"/>
    <w:rsid w:val="009868D3"/>
    <w:rsid w:val="00986A86"/>
    <w:rsid w:val="00986B4F"/>
    <w:rsid w:val="00990338"/>
    <w:rsid w:val="009922B2"/>
    <w:rsid w:val="00992382"/>
    <w:rsid w:val="00992A5E"/>
    <w:rsid w:val="009952B7"/>
    <w:rsid w:val="00995651"/>
    <w:rsid w:val="009958C4"/>
    <w:rsid w:val="00995A7F"/>
    <w:rsid w:val="00995E2D"/>
    <w:rsid w:val="00997AD9"/>
    <w:rsid w:val="009A08AF"/>
    <w:rsid w:val="009A0C9B"/>
    <w:rsid w:val="009A1B80"/>
    <w:rsid w:val="009A1BA5"/>
    <w:rsid w:val="009A22E6"/>
    <w:rsid w:val="009A3C60"/>
    <w:rsid w:val="009A42B7"/>
    <w:rsid w:val="009A48C8"/>
    <w:rsid w:val="009A4C58"/>
    <w:rsid w:val="009A647D"/>
    <w:rsid w:val="009A7FA9"/>
    <w:rsid w:val="009B03F5"/>
    <w:rsid w:val="009B0527"/>
    <w:rsid w:val="009B1183"/>
    <w:rsid w:val="009B11ED"/>
    <w:rsid w:val="009B230B"/>
    <w:rsid w:val="009B2897"/>
    <w:rsid w:val="009B3363"/>
    <w:rsid w:val="009B36C2"/>
    <w:rsid w:val="009B372C"/>
    <w:rsid w:val="009B3842"/>
    <w:rsid w:val="009B4B0B"/>
    <w:rsid w:val="009B5D68"/>
    <w:rsid w:val="009B73BF"/>
    <w:rsid w:val="009C12EF"/>
    <w:rsid w:val="009C1CA8"/>
    <w:rsid w:val="009C1D7A"/>
    <w:rsid w:val="009C2729"/>
    <w:rsid w:val="009C2AEC"/>
    <w:rsid w:val="009C331B"/>
    <w:rsid w:val="009C3C1D"/>
    <w:rsid w:val="009C52D0"/>
    <w:rsid w:val="009C6085"/>
    <w:rsid w:val="009C678E"/>
    <w:rsid w:val="009C72FD"/>
    <w:rsid w:val="009C745C"/>
    <w:rsid w:val="009D02FA"/>
    <w:rsid w:val="009D1A44"/>
    <w:rsid w:val="009D6E02"/>
    <w:rsid w:val="009E18CC"/>
    <w:rsid w:val="009E18DB"/>
    <w:rsid w:val="009E1A84"/>
    <w:rsid w:val="009E240E"/>
    <w:rsid w:val="009E289A"/>
    <w:rsid w:val="009E43CD"/>
    <w:rsid w:val="009E450E"/>
    <w:rsid w:val="009E4B70"/>
    <w:rsid w:val="009E5F44"/>
    <w:rsid w:val="009E60A2"/>
    <w:rsid w:val="009E6141"/>
    <w:rsid w:val="009E7DB5"/>
    <w:rsid w:val="009E7E5B"/>
    <w:rsid w:val="009F1116"/>
    <w:rsid w:val="009F1308"/>
    <w:rsid w:val="009F162B"/>
    <w:rsid w:val="009F2972"/>
    <w:rsid w:val="009F342F"/>
    <w:rsid w:val="009F3A23"/>
    <w:rsid w:val="009F4170"/>
    <w:rsid w:val="009F421D"/>
    <w:rsid w:val="009F4C62"/>
    <w:rsid w:val="009F500F"/>
    <w:rsid w:val="009F5A71"/>
    <w:rsid w:val="009F6442"/>
    <w:rsid w:val="009F7B4C"/>
    <w:rsid w:val="009F7B66"/>
    <w:rsid w:val="00A0028B"/>
    <w:rsid w:val="00A006DF"/>
    <w:rsid w:val="00A00906"/>
    <w:rsid w:val="00A012A0"/>
    <w:rsid w:val="00A0240D"/>
    <w:rsid w:val="00A04456"/>
    <w:rsid w:val="00A04D06"/>
    <w:rsid w:val="00A0534C"/>
    <w:rsid w:val="00A07CB6"/>
    <w:rsid w:val="00A10738"/>
    <w:rsid w:val="00A115CE"/>
    <w:rsid w:val="00A12C9B"/>
    <w:rsid w:val="00A12DB0"/>
    <w:rsid w:val="00A1319B"/>
    <w:rsid w:val="00A131FE"/>
    <w:rsid w:val="00A14861"/>
    <w:rsid w:val="00A15420"/>
    <w:rsid w:val="00A16032"/>
    <w:rsid w:val="00A1678A"/>
    <w:rsid w:val="00A21181"/>
    <w:rsid w:val="00A22DFD"/>
    <w:rsid w:val="00A231BC"/>
    <w:rsid w:val="00A23B63"/>
    <w:rsid w:val="00A244C9"/>
    <w:rsid w:val="00A2486F"/>
    <w:rsid w:val="00A24A8B"/>
    <w:rsid w:val="00A251D7"/>
    <w:rsid w:val="00A260C3"/>
    <w:rsid w:val="00A274D9"/>
    <w:rsid w:val="00A27AD5"/>
    <w:rsid w:val="00A27C92"/>
    <w:rsid w:val="00A27CB4"/>
    <w:rsid w:val="00A3072F"/>
    <w:rsid w:val="00A311DC"/>
    <w:rsid w:val="00A31FE0"/>
    <w:rsid w:val="00A326A6"/>
    <w:rsid w:val="00A33583"/>
    <w:rsid w:val="00A33ACA"/>
    <w:rsid w:val="00A34B6D"/>
    <w:rsid w:val="00A35871"/>
    <w:rsid w:val="00A35B12"/>
    <w:rsid w:val="00A36B14"/>
    <w:rsid w:val="00A37422"/>
    <w:rsid w:val="00A37FB7"/>
    <w:rsid w:val="00A406D6"/>
    <w:rsid w:val="00A4114F"/>
    <w:rsid w:val="00A4164C"/>
    <w:rsid w:val="00A41AE7"/>
    <w:rsid w:val="00A41F84"/>
    <w:rsid w:val="00A4256E"/>
    <w:rsid w:val="00A431D0"/>
    <w:rsid w:val="00A45B6B"/>
    <w:rsid w:val="00A46754"/>
    <w:rsid w:val="00A46FF0"/>
    <w:rsid w:val="00A47B1D"/>
    <w:rsid w:val="00A50A0A"/>
    <w:rsid w:val="00A50DAA"/>
    <w:rsid w:val="00A5114B"/>
    <w:rsid w:val="00A532EF"/>
    <w:rsid w:val="00A53D6B"/>
    <w:rsid w:val="00A540F8"/>
    <w:rsid w:val="00A541A3"/>
    <w:rsid w:val="00A54690"/>
    <w:rsid w:val="00A55342"/>
    <w:rsid w:val="00A55C01"/>
    <w:rsid w:val="00A5663D"/>
    <w:rsid w:val="00A56C03"/>
    <w:rsid w:val="00A5702E"/>
    <w:rsid w:val="00A57578"/>
    <w:rsid w:val="00A5791E"/>
    <w:rsid w:val="00A57D49"/>
    <w:rsid w:val="00A61017"/>
    <w:rsid w:val="00A612DA"/>
    <w:rsid w:val="00A621F1"/>
    <w:rsid w:val="00A629BD"/>
    <w:rsid w:val="00A63624"/>
    <w:rsid w:val="00A649C6"/>
    <w:rsid w:val="00A653C6"/>
    <w:rsid w:val="00A65A9B"/>
    <w:rsid w:val="00A66289"/>
    <w:rsid w:val="00A66456"/>
    <w:rsid w:val="00A66AE5"/>
    <w:rsid w:val="00A67E52"/>
    <w:rsid w:val="00A67EBA"/>
    <w:rsid w:val="00A67ED2"/>
    <w:rsid w:val="00A7029B"/>
    <w:rsid w:val="00A706DB"/>
    <w:rsid w:val="00A72C47"/>
    <w:rsid w:val="00A7331E"/>
    <w:rsid w:val="00A737EB"/>
    <w:rsid w:val="00A741C8"/>
    <w:rsid w:val="00A74D13"/>
    <w:rsid w:val="00A751AF"/>
    <w:rsid w:val="00A7588D"/>
    <w:rsid w:val="00A75936"/>
    <w:rsid w:val="00A76BAB"/>
    <w:rsid w:val="00A80D00"/>
    <w:rsid w:val="00A8167B"/>
    <w:rsid w:val="00A81E6C"/>
    <w:rsid w:val="00A82515"/>
    <w:rsid w:val="00A837B6"/>
    <w:rsid w:val="00A842A4"/>
    <w:rsid w:val="00A848DE"/>
    <w:rsid w:val="00A85147"/>
    <w:rsid w:val="00A86DD9"/>
    <w:rsid w:val="00A87BDE"/>
    <w:rsid w:val="00A90416"/>
    <w:rsid w:val="00A90BB4"/>
    <w:rsid w:val="00A91416"/>
    <w:rsid w:val="00A915D2"/>
    <w:rsid w:val="00A91656"/>
    <w:rsid w:val="00A96085"/>
    <w:rsid w:val="00A960ED"/>
    <w:rsid w:val="00A96854"/>
    <w:rsid w:val="00A96A87"/>
    <w:rsid w:val="00A970E9"/>
    <w:rsid w:val="00A976DD"/>
    <w:rsid w:val="00A978F1"/>
    <w:rsid w:val="00A97B24"/>
    <w:rsid w:val="00AA0133"/>
    <w:rsid w:val="00AA1CCB"/>
    <w:rsid w:val="00AA220A"/>
    <w:rsid w:val="00AA2B60"/>
    <w:rsid w:val="00AA3350"/>
    <w:rsid w:val="00AA499F"/>
    <w:rsid w:val="00AA5606"/>
    <w:rsid w:val="00AA6782"/>
    <w:rsid w:val="00AA68E9"/>
    <w:rsid w:val="00AA696C"/>
    <w:rsid w:val="00AA6C89"/>
    <w:rsid w:val="00AA76F5"/>
    <w:rsid w:val="00AA7E58"/>
    <w:rsid w:val="00AB0174"/>
    <w:rsid w:val="00AB02AE"/>
    <w:rsid w:val="00AB0B27"/>
    <w:rsid w:val="00AB3958"/>
    <w:rsid w:val="00AB47CB"/>
    <w:rsid w:val="00AB4BA3"/>
    <w:rsid w:val="00AB6A00"/>
    <w:rsid w:val="00AB6A1E"/>
    <w:rsid w:val="00AB6E1E"/>
    <w:rsid w:val="00AB6F78"/>
    <w:rsid w:val="00AB748A"/>
    <w:rsid w:val="00AB76DB"/>
    <w:rsid w:val="00AC0889"/>
    <w:rsid w:val="00AC0980"/>
    <w:rsid w:val="00AC3E04"/>
    <w:rsid w:val="00AC46F6"/>
    <w:rsid w:val="00AC4E73"/>
    <w:rsid w:val="00AC4E88"/>
    <w:rsid w:val="00AC5387"/>
    <w:rsid w:val="00AC57D9"/>
    <w:rsid w:val="00AC59C0"/>
    <w:rsid w:val="00AC7867"/>
    <w:rsid w:val="00AD1136"/>
    <w:rsid w:val="00AD293A"/>
    <w:rsid w:val="00AD4516"/>
    <w:rsid w:val="00AD5209"/>
    <w:rsid w:val="00AD5FC2"/>
    <w:rsid w:val="00AD7F64"/>
    <w:rsid w:val="00AE051A"/>
    <w:rsid w:val="00AE06CA"/>
    <w:rsid w:val="00AE0E88"/>
    <w:rsid w:val="00AE0FEC"/>
    <w:rsid w:val="00AE1E7C"/>
    <w:rsid w:val="00AE5378"/>
    <w:rsid w:val="00AE5F54"/>
    <w:rsid w:val="00AE75C3"/>
    <w:rsid w:val="00AE7999"/>
    <w:rsid w:val="00AF03AF"/>
    <w:rsid w:val="00AF0D22"/>
    <w:rsid w:val="00AF128D"/>
    <w:rsid w:val="00AF151A"/>
    <w:rsid w:val="00AF19EC"/>
    <w:rsid w:val="00AF2110"/>
    <w:rsid w:val="00AF274A"/>
    <w:rsid w:val="00AF2988"/>
    <w:rsid w:val="00AF3A10"/>
    <w:rsid w:val="00AF57F1"/>
    <w:rsid w:val="00AF61E1"/>
    <w:rsid w:val="00AF6711"/>
    <w:rsid w:val="00AF6F6C"/>
    <w:rsid w:val="00AF7041"/>
    <w:rsid w:val="00AF71B5"/>
    <w:rsid w:val="00AF7EFA"/>
    <w:rsid w:val="00B0062D"/>
    <w:rsid w:val="00B0071E"/>
    <w:rsid w:val="00B013AD"/>
    <w:rsid w:val="00B01D6E"/>
    <w:rsid w:val="00B05168"/>
    <w:rsid w:val="00B05D67"/>
    <w:rsid w:val="00B06108"/>
    <w:rsid w:val="00B07096"/>
    <w:rsid w:val="00B10F4A"/>
    <w:rsid w:val="00B11A76"/>
    <w:rsid w:val="00B14B73"/>
    <w:rsid w:val="00B160D1"/>
    <w:rsid w:val="00B166A3"/>
    <w:rsid w:val="00B171CA"/>
    <w:rsid w:val="00B176C0"/>
    <w:rsid w:val="00B2028A"/>
    <w:rsid w:val="00B211C9"/>
    <w:rsid w:val="00B217C3"/>
    <w:rsid w:val="00B219C3"/>
    <w:rsid w:val="00B220C1"/>
    <w:rsid w:val="00B23DA4"/>
    <w:rsid w:val="00B2481A"/>
    <w:rsid w:val="00B2483A"/>
    <w:rsid w:val="00B24B71"/>
    <w:rsid w:val="00B25135"/>
    <w:rsid w:val="00B2588F"/>
    <w:rsid w:val="00B27F2B"/>
    <w:rsid w:val="00B27FB0"/>
    <w:rsid w:val="00B301C6"/>
    <w:rsid w:val="00B30EAF"/>
    <w:rsid w:val="00B3408C"/>
    <w:rsid w:val="00B34BA6"/>
    <w:rsid w:val="00B36E7B"/>
    <w:rsid w:val="00B40401"/>
    <w:rsid w:val="00B41799"/>
    <w:rsid w:val="00B42B8A"/>
    <w:rsid w:val="00B4335E"/>
    <w:rsid w:val="00B43AD7"/>
    <w:rsid w:val="00B43D3A"/>
    <w:rsid w:val="00B441F7"/>
    <w:rsid w:val="00B45101"/>
    <w:rsid w:val="00B45302"/>
    <w:rsid w:val="00B454D1"/>
    <w:rsid w:val="00B458F3"/>
    <w:rsid w:val="00B45CFC"/>
    <w:rsid w:val="00B45EBF"/>
    <w:rsid w:val="00B462F8"/>
    <w:rsid w:val="00B4633F"/>
    <w:rsid w:val="00B465AF"/>
    <w:rsid w:val="00B4679B"/>
    <w:rsid w:val="00B47884"/>
    <w:rsid w:val="00B47998"/>
    <w:rsid w:val="00B50179"/>
    <w:rsid w:val="00B50B70"/>
    <w:rsid w:val="00B50EF2"/>
    <w:rsid w:val="00B518F7"/>
    <w:rsid w:val="00B51F6D"/>
    <w:rsid w:val="00B55DDD"/>
    <w:rsid w:val="00B55FF8"/>
    <w:rsid w:val="00B56041"/>
    <w:rsid w:val="00B56FEA"/>
    <w:rsid w:val="00B61893"/>
    <w:rsid w:val="00B6254F"/>
    <w:rsid w:val="00B63DCF"/>
    <w:rsid w:val="00B64237"/>
    <w:rsid w:val="00B65CEB"/>
    <w:rsid w:val="00B65D93"/>
    <w:rsid w:val="00B672A6"/>
    <w:rsid w:val="00B673E8"/>
    <w:rsid w:val="00B70150"/>
    <w:rsid w:val="00B70A74"/>
    <w:rsid w:val="00B70DCD"/>
    <w:rsid w:val="00B710D9"/>
    <w:rsid w:val="00B7112D"/>
    <w:rsid w:val="00B712D5"/>
    <w:rsid w:val="00B71C7F"/>
    <w:rsid w:val="00B7347C"/>
    <w:rsid w:val="00B74743"/>
    <w:rsid w:val="00B74C99"/>
    <w:rsid w:val="00B75B44"/>
    <w:rsid w:val="00B76C3B"/>
    <w:rsid w:val="00B77619"/>
    <w:rsid w:val="00B81405"/>
    <w:rsid w:val="00B82122"/>
    <w:rsid w:val="00B826AE"/>
    <w:rsid w:val="00B82BE2"/>
    <w:rsid w:val="00B82E5A"/>
    <w:rsid w:val="00B83FDD"/>
    <w:rsid w:val="00B848A6"/>
    <w:rsid w:val="00B8494B"/>
    <w:rsid w:val="00B85A73"/>
    <w:rsid w:val="00B866A0"/>
    <w:rsid w:val="00B86783"/>
    <w:rsid w:val="00B86858"/>
    <w:rsid w:val="00B86C31"/>
    <w:rsid w:val="00B86F6B"/>
    <w:rsid w:val="00B87C87"/>
    <w:rsid w:val="00B91309"/>
    <w:rsid w:val="00B91F7D"/>
    <w:rsid w:val="00B92388"/>
    <w:rsid w:val="00B925DC"/>
    <w:rsid w:val="00B929AC"/>
    <w:rsid w:val="00B93236"/>
    <w:rsid w:val="00B93749"/>
    <w:rsid w:val="00B93A41"/>
    <w:rsid w:val="00B93A4D"/>
    <w:rsid w:val="00B93C8F"/>
    <w:rsid w:val="00B93F81"/>
    <w:rsid w:val="00B94BDD"/>
    <w:rsid w:val="00B94DB7"/>
    <w:rsid w:val="00B95CC9"/>
    <w:rsid w:val="00B961B4"/>
    <w:rsid w:val="00B97419"/>
    <w:rsid w:val="00BA00A7"/>
    <w:rsid w:val="00BA0F73"/>
    <w:rsid w:val="00BA13EC"/>
    <w:rsid w:val="00BA1693"/>
    <w:rsid w:val="00BA1AA9"/>
    <w:rsid w:val="00BA1ACA"/>
    <w:rsid w:val="00BA34C3"/>
    <w:rsid w:val="00BA3A29"/>
    <w:rsid w:val="00BA51C2"/>
    <w:rsid w:val="00BA5251"/>
    <w:rsid w:val="00BA7EA3"/>
    <w:rsid w:val="00BB0B24"/>
    <w:rsid w:val="00BB10E6"/>
    <w:rsid w:val="00BB124E"/>
    <w:rsid w:val="00BB4C66"/>
    <w:rsid w:val="00BB557D"/>
    <w:rsid w:val="00BB6815"/>
    <w:rsid w:val="00BB6F55"/>
    <w:rsid w:val="00BC053F"/>
    <w:rsid w:val="00BC069A"/>
    <w:rsid w:val="00BC38DD"/>
    <w:rsid w:val="00BC3D40"/>
    <w:rsid w:val="00BC4D23"/>
    <w:rsid w:val="00BC51E6"/>
    <w:rsid w:val="00BC54BF"/>
    <w:rsid w:val="00BC5A15"/>
    <w:rsid w:val="00BD0020"/>
    <w:rsid w:val="00BD2656"/>
    <w:rsid w:val="00BD311D"/>
    <w:rsid w:val="00BD3310"/>
    <w:rsid w:val="00BD346B"/>
    <w:rsid w:val="00BD4EC5"/>
    <w:rsid w:val="00BD5604"/>
    <w:rsid w:val="00BD64E6"/>
    <w:rsid w:val="00BD6A13"/>
    <w:rsid w:val="00BD6C1E"/>
    <w:rsid w:val="00BD6EF0"/>
    <w:rsid w:val="00BD7A42"/>
    <w:rsid w:val="00BD7A4E"/>
    <w:rsid w:val="00BD7D81"/>
    <w:rsid w:val="00BE17C7"/>
    <w:rsid w:val="00BE2193"/>
    <w:rsid w:val="00BE2990"/>
    <w:rsid w:val="00BE3103"/>
    <w:rsid w:val="00BE3546"/>
    <w:rsid w:val="00BE3FC7"/>
    <w:rsid w:val="00BE54B4"/>
    <w:rsid w:val="00BE6BAD"/>
    <w:rsid w:val="00BE6D4A"/>
    <w:rsid w:val="00BF1359"/>
    <w:rsid w:val="00BF279C"/>
    <w:rsid w:val="00BF2BA9"/>
    <w:rsid w:val="00BF3112"/>
    <w:rsid w:val="00BF4075"/>
    <w:rsid w:val="00BF409D"/>
    <w:rsid w:val="00BF569E"/>
    <w:rsid w:val="00BF7F2C"/>
    <w:rsid w:val="00BF7F34"/>
    <w:rsid w:val="00C02BD7"/>
    <w:rsid w:val="00C03237"/>
    <w:rsid w:val="00C03C9A"/>
    <w:rsid w:val="00C0477E"/>
    <w:rsid w:val="00C0620D"/>
    <w:rsid w:val="00C0661F"/>
    <w:rsid w:val="00C10682"/>
    <w:rsid w:val="00C10FFA"/>
    <w:rsid w:val="00C11BDE"/>
    <w:rsid w:val="00C11ED7"/>
    <w:rsid w:val="00C1678C"/>
    <w:rsid w:val="00C16807"/>
    <w:rsid w:val="00C16A75"/>
    <w:rsid w:val="00C1710A"/>
    <w:rsid w:val="00C171A6"/>
    <w:rsid w:val="00C17225"/>
    <w:rsid w:val="00C20704"/>
    <w:rsid w:val="00C20F9A"/>
    <w:rsid w:val="00C20FF9"/>
    <w:rsid w:val="00C21884"/>
    <w:rsid w:val="00C22610"/>
    <w:rsid w:val="00C23922"/>
    <w:rsid w:val="00C23D81"/>
    <w:rsid w:val="00C23E10"/>
    <w:rsid w:val="00C23E7E"/>
    <w:rsid w:val="00C24361"/>
    <w:rsid w:val="00C24906"/>
    <w:rsid w:val="00C26061"/>
    <w:rsid w:val="00C2666D"/>
    <w:rsid w:val="00C2691C"/>
    <w:rsid w:val="00C27512"/>
    <w:rsid w:val="00C277BE"/>
    <w:rsid w:val="00C27FEB"/>
    <w:rsid w:val="00C30C29"/>
    <w:rsid w:val="00C330BB"/>
    <w:rsid w:val="00C353FA"/>
    <w:rsid w:val="00C35876"/>
    <w:rsid w:val="00C35C64"/>
    <w:rsid w:val="00C3622B"/>
    <w:rsid w:val="00C36EE0"/>
    <w:rsid w:val="00C37B3F"/>
    <w:rsid w:val="00C40943"/>
    <w:rsid w:val="00C40D21"/>
    <w:rsid w:val="00C41548"/>
    <w:rsid w:val="00C42E62"/>
    <w:rsid w:val="00C44511"/>
    <w:rsid w:val="00C4521D"/>
    <w:rsid w:val="00C45F83"/>
    <w:rsid w:val="00C52044"/>
    <w:rsid w:val="00C5210D"/>
    <w:rsid w:val="00C52D69"/>
    <w:rsid w:val="00C532E8"/>
    <w:rsid w:val="00C53352"/>
    <w:rsid w:val="00C542AD"/>
    <w:rsid w:val="00C55325"/>
    <w:rsid w:val="00C5637B"/>
    <w:rsid w:val="00C57561"/>
    <w:rsid w:val="00C57A53"/>
    <w:rsid w:val="00C61216"/>
    <w:rsid w:val="00C6157A"/>
    <w:rsid w:val="00C62215"/>
    <w:rsid w:val="00C62AB7"/>
    <w:rsid w:val="00C632E7"/>
    <w:rsid w:val="00C643AD"/>
    <w:rsid w:val="00C64679"/>
    <w:rsid w:val="00C65063"/>
    <w:rsid w:val="00C652DA"/>
    <w:rsid w:val="00C663CC"/>
    <w:rsid w:val="00C675C9"/>
    <w:rsid w:val="00C70615"/>
    <w:rsid w:val="00C71E21"/>
    <w:rsid w:val="00C72F9D"/>
    <w:rsid w:val="00C73363"/>
    <w:rsid w:val="00C734B1"/>
    <w:rsid w:val="00C73C76"/>
    <w:rsid w:val="00C74244"/>
    <w:rsid w:val="00C74DDB"/>
    <w:rsid w:val="00C75CD5"/>
    <w:rsid w:val="00C76CE3"/>
    <w:rsid w:val="00C7758B"/>
    <w:rsid w:val="00C77D1F"/>
    <w:rsid w:val="00C8081F"/>
    <w:rsid w:val="00C80C69"/>
    <w:rsid w:val="00C812B1"/>
    <w:rsid w:val="00C812B5"/>
    <w:rsid w:val="00C83858"/>
    <w:rsid w:val="00C83CDA"/>
    <w:rsid w:val="00C8629D"/>
    <w:rsid w:val="00C863DF"/>
    <w:rsid w:val="00C87D11"/>
    <w:rsid w:val="00C904F3"/>
    <w:rsid w:val="00C90904"/>
    <w:rsid w:val="00C909BD"/>
    <w:rsid w:val="00C90BC7"/>
    <w:rsid w:val="00C91B00"/>
    <w:rsid w:val="00C91CE8"/>
    <w:rsid w:val="00C935D0"/>
    <w:rsid w:val="00C960E8"/>
    <w:rsid w:val="00C96A07"/>
    <w:rsid w:val="00C97783"/>
    <w:rsid w:val="00C97F95"/>
    <w:rsid w:val="00CA071B"/>
    <w:rsid w:val="00CA080A"/>
    <w:rsid w:val="00CA0DF5"/>
    <w:rsid w:val="00CA24F8"/>
    <w:rsid w:val="00CA2AD9"/>
    <w:rsid w:val="00CA3C47"/>
    <w:rsid w:val="00CA4373"/>
    <w:rsid w:val="00CA50B2"/>
    <w:rsid w:val="00CA58BF"/>
    <w:rsid w:val="00CA5BBD"/>
    <w:rsid w:val="00CA61D6"/>
    <w:rsid w:val="00CA700C"/>
    <w:rsid w:val="00CA743B"/>
    <w:rsid w:val="00CA760F"/>
    <w:rsid w:val="00CA7A33"/>
    <w:rsid w:val="00CA7EDC"/>
    <w:rsid w:val="00CA7FDC"/>
    <w:rsid w:val="00CB0B5F"/>
    <w:rsid w:val="00CB1925"/>
    <w:rsid w:val="00CB19B6"/>
    <w:rsid w:val="00CB26F3"/>
    <w:rsid w:val="00CB4E48"/>
    <w:rsid w:val="00CB667E"/>
    <w:rsid w:val="00CB7E67"/>
    <w:rsid w:val="00CC0FB3"/>
    <w:rsid w:val="00CC1BEB"/>
    <w:rsid w:val="00CC27FC"/>
    <w:rsid w:val="00CC40AD"/>
    <w:rsid w:val="00CC43CD"/>
    <w:rsid w:val="00CC467D"/>
    <w:rsid w:val="00CC4EA1"/>
    <w:rsid w:val="00CC5A05"/>
    <w:rsid w:val="00CC64BA"/>
    <w:rsid w:val="00CC711C"/>
    <w:rsid w:val="00CC739C"/>
    <w:rsid w:val="00CD00D4"/>
    <w:rsid w:val="00CD095E"/>
    <w:rsid w:val="00CD106E"/>
    <w:rsid w:val="00CD33C6"/>
    <w:rsid w:val="00CD3B99"/>
    <w:rsid w:val="00CD3BE2"/>
    <w:rsid w:val="00CD4C81"/>
    <w:rsid w:val="00CD4CA6"/>
    <w:rsid w:val="00CD55D5"/>
    <w:rsid w:val="00CD5A63"/>
    <w:rsid w:val="00CD5BAE"/>
    <w:rsid w:val="00CD5E09"/>
    <w:rsid w:val="00CD614C"/>
    <w:rsid w:val="00CD6972"/>
    <w:rsid w:val="00CE0287"/>
    <w:rsid w:val="00CE0A5B"/>
    <w:rsid w:val="00CE1008"/>
    <w:rsid w:val="00CE1820"/>
    <w:rsid w:val="00CE2258"/>
    <w:rsid w:val="00CE2586"/>
    <w:rsid w:val="00CE5033"/>
    <w:rsid w:val="00CE71F0"/>
    <w:rsid w:val="00CE7532"/>
    <w:rsid w:val="00CE79D1"/>
    <w:rsid w:val="00CE7A8F"/>
    <w:rsid w:val="00CF0D5D"/>
    <w:rsid w:val="00CF2BC4"/>
    <w:rsid w:val="00CF4757"/>
    <w:rsid w:val="00CF7CA9"/>
    <w:rsid w:val="00D00403"/>
    <w:rsid w:val="00D0124C"/>
    <w:rsid w:val="00D01F69"/>
    <w:rsid w:val="00D03991"/>
    <w:rsid w:val="00D04346"/>
    <w:rsid w:val="00D048C3"/>
    <w:rsid w:val="00D055F7"/>
    <w:rsid w:val="00D05813"/>
    <w:rsid w:val="00D05F2A"/>
    <w:rsid w:val="00D0602C"/>
    <w:rsid w:val="00D0661F"/>
    <w:rsid w:val="00D10F53"/>
    <w:rsid w:val="00D11240"/>
    <w:rsid w:val="00D11F3E"/>
    <w:rsid w:val="00D13539"/>
    <w:rsid w:val="00D13B89"/>
    <w:rsid w:val="00D14A75"/>
    <w:rsid w:val="00D15383"/>
    <w:rsid w:val="00D158A7"/>
    <w:rsid w:val="00D16E00"/>
    <w:rsid w:val="00D173A6"/>
    <w:rsid w:val="00D17551"/>
    <w:rsid w:val="00D2131C"/>
    <w:rsid w:val="00D23E64"/>
    <w:rsid w:val="00D24A48"/>
    <w:rsid w:val="00D24FA8"/>
    <w:rsid w:val="00D25F42"/>
    <w:rsid w:val="00D26BBC"/>
    <w:rsid w:val="00D27277"/>
    <w:rsid w:val="00D276E9"/>
    <w:rsid w:val="00D301DD"/>
    <w:rsid w:val="00D3052C"/>
    <w:rsid w:val="00D307E3"/>
    <w:rsid w:val="00D31EF8"/>
    <w:rsid w:val="00D33063"/>
    <w:rsid w:val="00D34A0F"/>
    <w:rsid w:val="00D34ACD"/>
    <w:rsid w:val="00D352EF"/>
    <w:rsid w:val="00D35FE3"/>
    <w:rsid w:val="00D371FF"/>
    <w:rsid w:val="00D402DE"/>
    <w:rsid w:val="00D40C18"/>
    <w:rsid w:val="00D40C9C"/>
    <w:rsid w:val="00D41470"/>
    <w:rsid w:val="00D41D44"/>
    <w:rsid w:val="00D4213D"/>
    <w:rsid w:val="00D42B22"/>
    <w:rsid w:val="00D42DCD"/>
    <w:rsid w:val="00D42FCD"/>
    <w:rsid w:val="00D43234"/>
    <w:rsid w:val="00D43253"/>
    <w:rsid w:val="00D43A29"/>
    <w:rsid w:val="00D446F7"/>
    <w:rsid w:val="00D4496A"/>
    <w:rsid w:val="00D458F7"/>
    <w:rsid w:val="00D45AD4"/>
    <w:rsid w:val="00D45F5E"/>
    <w:rsid w:val="00D4700D"/>
    <w:rsid w:val="00D50611"/>
    <w:rsid w:val="00D50EB2"/>
    <w:rsid w:val="00D514C9"/>
    <w:rsid w:val="00D51AE4"/>
    <w:rsid w:val="00D5258F"/>
    <w:rsid w:val="00D5302B"/>
    <w:rsid w:val="00D539A1"/>
    <w:rsid w:val="00D53B07"/>
    <w:rsid w:val="00D54698"/>
    <w:rsid w:val="00D54754"/>
    <w:rsid w:val="00D54C4B"/>
    <w:rsid w:val="00D55B28"/>
    <w:rsid w:val="00D57B3C"/>
    <w:rsid w:val="00D600BD"/>
    <w:rsid w:val="00D630AF"/>
    <w:rsid w:val="00D631CF"/>
    <w:rsid w:val="00D63E4F"/>
    <w:rsid w:val="00D649A8"/>
    <w:rsid w:val="00D6599E"/>
    <w:rsid w:val="00D66F9D"/>
    <w:rsid w:val="00D67169"/>
    <w:rsid w:val="00D704AE"/>
    <w:rsid w:val="00D70ADC"/>
    <w:rsid w:val="00D71675"/>
    <w:rsid w:val="00D72410"/>
    <w:rsid w:val="00D72E20"/>
    <w:rsid w:val="00D73556"/>
    <w:rsid w:val="00D744DA"/>
    <w:rsid w:val="00D75364"/>
    <w:rsid w:val="00D75543"/>
    <w:rsid w:val="00D75D89"/>
    <w:rsid w:val="00D760BC"/>
    <w:rsid w:val="00D766BF"/>
    <w:rsid w:val="00D76E91"/>
    <w:rsid w:val="00D77FE0"/>
    <w:rsid w:val="00D81210"/>
    <w:rsid w:val="00D82DEB"/>
    <w:rsid w:val="00D83194"/>
    <w:rsid w:val="00D845C6"/>
    <w:rsid w:val="00D850AE"/>
    <w:rsid w:val="00D90B54"/>
    <w:rsid w:val="00D90CB0"/>
    <w:rsid w:val="00D9298B"/>
    <w:rsid w:val="00D92B6E"/>
    <w:rsid w:val="00D93B82"/>
    <w:rsid w:val="00D94970"/>
    <w:rsid w:val="00D95617"/>
    <w:rsid w:val="00D957F4"/>
    <w:rsid w:val="00D9705A"/>
    <w:rsid w:val="00D97442"/>
    <w:rsid w:val="00D9752F"/>
    <w:rsid w:val="00D97A74"/>
    <w:rsid w:val="00DA0821"/>
    <w:rsid w:val="00DA0E98"/>
    <w:rsid w:val="00DA3285"/>
    <w:rsid w:val="00DA6986"/>
    <w:rsid w:val="00DA6C92"/>
    <w:rsid w:val="00DA739E"/>
    <w:rsid w:val="00DA7879"/>
    <w:rsid w:val="00DA7BC3"/>
    <w:rsid w:val="00DB06C4"/>
    <w:rsid w:val="00DB0ABB"/>
    <w:rsid w:val="00DB22C4"/>
    <w:rsid w:val="00DB2CCD"/>
    <w:rsid w:val="00DB3200"/>
    <w:rsid w:val="00DB455B"/>
    <w:rsid w:val="00DB4AD6"/>
    <w:rsid w:val="00DB5687"/>
    <w:rsid w:val="00DB5694"/>
    <w:rsid w:val="00DB60B8"/>
    <w:rsid w:val="00DB65DA"/>
    <w:rsid w:val="00DB673E"/>
    <w:rsid w:val="00DB6C7B"/>
    <w:rsid w:val="00DB6DE9"/>
    <w:rsid w:val="00DB7E00"/>
    <w:rsid w:val="00DC05A1"/>
    <w:rsid w:val="00DC093A"/>
    <w:rsid w:val="00DC0B1D"/>
    <w:rsid w:val="00DC233B"/>
    <w:rsid w:val="00DC29A3"/>
    <w:rsid w:val="00DC3389"/>
    <w:rsid w:val="00DC3C79"/>
    <w:rsid w:val="00DC41FE"/>
    <w:rsid w:val="00DC49D9"/>
    <w:rsid w:val="00DC4AA2"/>
    <w:rsid w:val="00DC59BE"/>
    <w:rsid w:val="00DC60BC"/>
    <w:rsid w:val="00DD0967"/>
    <w:rsid w:val="00DD2199"/>
    <w:rsid w:val="00DD2B30"/>
    <w:rsid w:val="00DD4985"/>
    <w:rsid w:val="00DD5A2A"/>
    <w:rsid w:val="00DD7518"/>
    <w:rsid w:val="00DD7533"/>
    <w:rsid w:val="00DD7901"/>
    <w:rsid w:val="00DD7BCC"/>
    <w:rsid w:val="00DE0246"/>
    <w:rsid w:val="00DE08DA"/>
    <w:rsid w:val="00DE0B18"/>
    <w:rsid w:val="00DE2FC0"/>
    <w:rsid w:val="00DE30A1"/>
    <w:rsid w:val="00DE4A5E"/>
    <w:rsid w:val="00DE687F"/>
    <w:rsid w:val="00DE6F05"/>
    <w:rsid w:val="00DE7078"/>
    <w:rsid w:val="00DE7ABC"/>
    <w:rsid w:val="00DE7C9B"/>
    <w:rsid w:val="00DE7E0E"/>
    <w:rsid w:val="00DF16B0"/>
    <w:rsid w:val="00DF2A9E"/>
    <w:rsid w:val="00DF40EA"/>
    <w:rsid w:val="00DF6535"/>
    <w:rsid w:val="00E00767"/>
    <w:rsid w:val="00E008D7"/>
    <w:rsid w:val="00E01F2A"/>
    <w:rsid w:val="00E0293E"/>
    <w:rsid w:val="00E029E3"/>
    <w:rsid w:val="00E03C96"/>
    <w:rsid w:val="00E058D7"/>
    <w:rsid w:val="00E05BC9"/>
    <w:rsid w:val="00E10650"/>
    <w:rsid w:val="00E10B41"/>
    <w:rsid w:val="00E10D8D"/>
    <w:rsid w:val="00E11058"/>
    <w:rsid w:val="00E13058"/>
    <w:rsid w:val="00E13BC0"/>
    <w:rsid w:val="00E13C78"/>
    <w:rsid w:val="00E14144"/>
    <w:rsid w:val="00E1415A"/>
    <w:rsid w:val="00E15189"/>
    <w:rsid w:val="00E15368"/>
    <w:rsid w:val="00E155DB"/>
    <w:rsid w:val="00E15F52"/>
    <w:rsid w:val="00E16DD0"/>
    <w:rsid w:val="00E209F6"/>
    <w:rsid w:val="00E223CE"/>
    <w:rsid w:val="00E22627"/>
    <w:rsid w:val="00E2300F"/>
    <w:rsid w:val="00E2307C"/>
    <w:rsid w:val="00E23099"/>
    <w:rsid w:val="00E23C22"/>
    <w:rsid w:val="00E23FE4"/>
    <w:rsid w:val="00E24245"/>
    <w:rsid w:val="00E2464F"/>
    <w:rsid w:val="00E25236"/>
    <w:rsid w:val="00E25660"/>
    <w:rsid w:val="00E265A7"/>
    <w:rsid w:val="00E26C3C"/>
    <w:rsid w:val="00E30062"/>
    <w:rsid w:val="00E31092"/>
    <w:rsid w:val="00E332F3"/>
    <w:rsid w:val="00E34915"/>
    <w:rsid w:val="00E350DE"/>
    <w:rsid w:val="00E36077"/>
    <w:rsid w:val="00E40750"/>
    <w:rsid w:val="00E40FB8"/>
    <w:rsid w:val="00E417A1"/>
    <w:rsid w:val="00E41E17"/>
    <w:rsid w:val="00E4294B"/>
    <w:rsid w:val="00E42C04"/>
    <w:rsid w:val="00E43255"/>
    <w:rsid w:val="00E44C52"/>
    <w:rsid w:val="00E460E3"/>
    <w:rsid w:val="00E47EAE"/>
    <w:rsid w:val="00E50532"/>
    <w:rsid w:val="00E5266D"/>
    <w:rsid w:val="00E527A7"/>
    <w:rsid w:val="00E52AEA"/>
    <w:rsid w:val="00E53122"/>
    <w:rsid w:val="00E533BB"/>
    <w:rsid w:val="00E56CB3"/>
    <w:rsid w:val="00E577AB"/>
    <w:rsid w:val="00E57C9C"/>
    <w:rsid w:val="00E57E49"/>
    <w:rsid w:val="00E60878"/>
    <w:rsid w:val="00E6195D"/>
    <w:rsid w:val="00E624B9"/>
    <w:rsid w:val="00E6261A"/>
    <w:rsid w:val="00E64AF3"/>
    <w:rsid w:val="00E66082"/>
    <w:rsid w:val="00E66864"/>
    <w:rsid w:val="00E66FB6"/>
    <w:rsid w:val="00E67087"/>
    <w:rsid w:val="00E672B0"/>
    <w:rsid w:val="00E67958"/>
    <w:rsid w:val="00E7040D"/>
    <w:rsid w:val="00E71357"/>
    <w:rsid w:val="00E71EFE"/>
    <w:rsid w:val="00E73009"/>
    <w:rsid w:val="00E749AB"/>
    <w:rsid w:val="00E74C64"/>
    <w:rsid w:val="00E75911"/>
    <w:rsid w:val="00E76DCE"/>
    <w:rsid w:val="00E76DD4"/>
    <w:rsid w:val="00E803CB"/>
    <w:rsid w:val="00E82A08"/>
    <w:rsid w:val="00E834A0"/>
    <w:rsid w:val="00E84205"/>
    <w:rsid w:val="00E860E7"/>
    <w:rsid w:val="00E86A5A"/>
    <w:rsid w:val="00E900EF"/>
    <w:rsid w:val="00E9082E"/>
    <w:rsid w:val="00E90FCE"/>
    <w:rsid w:val="00E9111E"/>
    <w:rsid w:val="00E91307"/>
    <w:rsid w:val="00E91CC1"/>
    <w:rsid w:val="00E91D8E"/>
    <w:rsid w:val="00E91DAB"/>
    <w:rsid w:val="00E92B1B"/>
    <w:rsid w:val="00E93107"/>
    <w:rsid w:val="00E9325D"/>
    <w:rsid w:val="00E934E3"/>
    <w:rsid w:val="00E940E1"/>
    <w:rsid w:val="00E94510"/>
    <w:rsid w:val="00E9495E"/>
    <w:rsid w:val="00E94DA2"/>
    <w:rsid w:val="00E95851"/>
    <w:rsid w:val="00EA129D"/>
    <w:rsid w:val="00EA1577"/>
    <w:rsid w:val="00EA195B"/>
    <w:rsid w:val="00EA1994"/>
    <w:rsid w:val="00EA2277"/>
    <w:rsid w:val="00EA2C78"/>
    <w:rsid w:val="00EA2FF0"/>
    <w:rsid w:val="00EA33E7"/>
    <w:rsid w:val="00EA3636"/>
    <w:rsid w:val="00EA3EFF"/>
    <w:rsid w:val="00EA4FD0"/>
    <w:rsid w:val="00EA5960"/>
    <w:rsid w:val="00EA5F30"/>
    <w:rsid w:val="00EA7005"/>
    <w:rsid w:val="00EA789D"/>
    <w:rsid w:val="00EB0626"/>
    <w:rsid w:val="00EB0AAD"/>
    <w:rsid w:val="00EB1970"/>
    <w:rsid w:val="00EB269A"/>
    <w:rsid w:val="00EB2761"/>
    <w:rsid w:val="00EB29A3"/>
    <w:rsid w:val="00EB31FA"/>
    <w:rsid w:val="00EB32FE"/>
    <w:rsid w:val="00EB35EC"/>
    <w:rsid w:val="00EB3FC9"/>
    <w:rsid w:val="00EB4127"/>
    <w:rsid w:val="00EB4B65"/>
    <w:rsid w:val="00EB53D5"/>
    <w:rsid w:val="00EB7270"/>
    <w:rsid w:val="00EB7D04"/>
    <w:rsid w:val="00EB7FA0"/>
    <w:rsid w:val="00EC091B"/>
    <w:rsid w:val="00EC0A2F"/>
    <w:rsid w:val="00EC0AA3"/>
    <w:rsid w:val="00EC10A2"/>
    <w:rsid w:val="00EC13A1"/>
    <w:rsid w:val="00EC2434"/>
    <w:rsid w:val="00EC2912"/>
    <w:rsid w:val="00EC31EB"/>
    <w:rsid w:val="00EC4193"/>
    <w:rsid w:val="00EC50B2"/>
    <w:rsid w:val="00EC55B1"/>
    <w:rsid w:val="00EC5675"/>
    <w:rsid w:val="00EC578A"/>
    <w:rsid w:val="00EC5C31"/>
    <w:rsid w:val="00EC5EFE"/>
    <w:rsid w:val="00EC6174"/>
    <w:rsid w:val="00EC7032"/>
    <w:rsid w:val="00EC7111"/>
    <w:rsid w:val="00ED0FBC"/>
    <w:rsid w:val="00ED2A33"/>
    <w:rsid w:val="00ED2D8D"/>
    <w:rsid w:val="00ED2F7A"/>
    <w:rsid w:val="00ED3693"/>
    <w:rsid w:val="00ED3895"/>
    <w:rsid w:val="00ED4813"/>
    <w:rsid w:val="00ED4AB8"/>
    <w:rsid w:val="00ED4B7F"/>
    <w:rsid w:val="00ED5547"/>
    <w:rsid w:val="00ED59E7"/>
    <w:rsid w:val="00ED5AEB"/>
    <w:rsid w:val="00ED5F68"/>
    <w:rsid w:val="00ED658A"/>
    <w:rsid w:val="00ED6703"/>
    <w:rsid w:val="00ED6823"/>
    <w:rsid w:val="00ED69FA"/>
    <w:rsid w:val="00EE09CB"/>
    <w:rsid w:val="00EE15AB"/>
    <w:rsid w:val="00EE2B83"/>
    <w:rsid w:val="00EE3E90"/>
    <w:rsid w:val="00EE5BF4"/>
    <w:rsid w:val="00EE6B75"/>
    <w:rsid w:val="00EE7553"/>
    <w:rsid w:val="00EF0613"/>
    <w:rsid w:val="00EF070B"/>
    <w:rsid w:val="00EF07AE"/>
    <w:rsid w:val="00EF1964"/>
    <w:rsid w:val="00EF3420"/>
    <w:rsid w:val="00EF4E20"/>
    <w:rsid w:val="00EF5017"/>
    <w:rsid w:val="00EF50E6"/>
    <w:rsid w:val="00EF5C3E"/>
    <w:rsid w:val="00EF6CA9"/>
    <w:rsid w:val="00EF7673"/>
    <w:rsid w:val="00EF7CE5"/>
    <w:rsid w:val="00F007CC"/>
    <w:rsid w:val="00F03156"/>
    <w:rsid w:val="00F03A90"/>
    <w:rsid w:val="00F03AAE"/>
    <w:rsid w:val="00F03AB4"/>
    <w:rsid w:val="00F05829"/>
    <w:rsid w:val="00F06964"/>
    <w:rsid w:val="00F0711B"/>
    <w:rsid w:val="00F07317"/>
    <w:rsid w:val="00F07B8A"/>
    <w:rsid w:val="00F07F0B"/>
    <w:rsid w:val="00F14C50"/>
    <w:rsid w:val="00F150D5"/>
    <w:rsid w:val="00F17429"/>
    <w:rsid w:val="00F20404"/>
    <w:rsid w:val="00F20533"/>
    <w:rsid w:val="00F207B7"/>
    <w:rsid w:val="00F2174B"/>
    <w:rsid w:val="00F2182A"/>
    <w:rsid w:val="00F23248"/>
    <w:rsid w:val="00F2382C"/>
    <w:rsid w:val="00F24D7B"/>
    <w:rsid w:val="00F255FA"/>
    <w:rsid w:val="00F2564F"/>
    <w:rsid w:val="00F26649"/>
    <w:rsid w:val="00F277F5"/>
    <w:rsid w:val="00F30B66"/>
    <w:rsid w:val="00F30C06"/>
    <w:rsid w:val="00F31743"/>
    <w:rsid w:val="00F33796"/>
    <w:rsid w:val="00F33A8F"/>
    <w:rsid w:val="00F34233"/>
    <w:rsid w:val="00F34C0B"/>
    <w:rsid w:val="00F35309"/>
    <w:rsid w:val="00F357A9"/>
    <w:rsid w:val="00F366E3"/>
    <w:rsid w:val="00F37D11"/>
    <w:rsid w:val="00F402E0"/>
    <w:rsid w:val="00F40B18"/>
    <w:rsid w:val="00F40DB0"/>
    <w:rsid w:val="00F41168"/>
    <w:rsid w:val="00F41CD7"/>
    <w:rsid w:val="00F41D48"/>
    <w:rsid w:val="00F422D2"/>
    <w:rsid w:val="00F43872"/>
    <w:rsid w:val="00F4388B"/>
    <w:rsid w:val="00F43AFE"/>
    <w:rsid w:val="00F446D6"/>
    <w:rsid w:val="00F476EB"/>
    <w:rsid w:val="00F5139D"/>
    <w:rsid w:val="00F52409"/>
    <w:rsid w:val="00F532AD"/>
    <w:rsid w:val="00F539C7"/>
    <w:rsid w:val="00F53F32"/>
    <w:rsid w:val="00F5470D"/>
    <w:rsid w:val="00F56314"/>
    <w:rsid w:val="00F574AC"/>
    <w:rsid w:val="00F60A18"/>
    <w:rsid w:val="00F62551"/>
    <w:rsid w:val="00F6386C"/>
    <w:rsid w:val="00F640BE"/>
    <w:rsid w:val="00F643B9"/>
    <w:rsid w:val="00F64B76"/>
    <w:rsid w:val="00F650F4"/>
    <w:rsid w:val="00F65155"/>
    <w:rsid w:val="00F6534B"/>
    <w:rsid w:val="00F6538E"/>
    <w:rsid w:val="00F65C9D"/>
    <w:rsid w:val="00F65DB6"/>
    <w:rsid w:val="00F663FA"/>
    <w:rsid w:val="00F67ECD"/>
    <w:rsid w:val="00F71EBD"/>
    <w:rsid w:val="00F729AF"/>
    <w:rsid w:val="00F73306"/>
    <w:rsid w:val="00F74531"/>
    <w:rsid w:val="00F74A1B"/>
    <w:rsid w:val="00F74E5E"/>
    <w:rsid w:val="00F758F7"/>
    <w:rsid w:val="00F762A0"/>
    <w:rsid w:val="00F771E6"/>
    <w:rsid w:val="00F80D91"/>
    <w:rsid w:val="00F813DD"/>
    <w:rsid w:val="00F82AEB"/>
    <w:rsid w:val="00F83DA9"/>
    <w:rsid w:val="00F846C1"/>
    <w:rsid w:val="00F84735"/>
    <w:rsid w:val="00F86C9F"/>
    <w:rsid w:val="00F87CC1"/>
    <w:rsid w:val="00F9051C"/>
    <w:rsid w:val="00F929FD"/>
    <w:rsid w:val="00F92B18"/>
    <w:rsid w:val="00F93255"/>
    <w:rsid w:val="00F976D4"/>
    <w:rsid w:val="00F979A1"/>
    <w:rsid w:val="00FA1186"/>
    <w:rsid w:val="00FA2A23"/>
    <w:rsid w:val="00FA3654"/>
    <w:rsid w:val="00FA4254"/>
    <w:rsid w:val="00FA4688"/>
    <w:rsid w:val="00FA49F9"/>
    <w:rsid w:val="00FA4EDC"/>
    <w:rsid w:val="00FA5276"/>
    <w:rsid w:val="00FA5879"/>
    <w:rsid w:val="00FA6486"/>
    <w:rsid w:val="00FB0BE8"/>
    <w:rsid w:val="00FB0FA7"/>
    <w:rsid w:val="00FB188F"/>
    <w:rsid w:val="00FB225C"/>
    <w:rsid w:val="00FB25B2"/>
    <w:rsid w:val="00FB3D09"/>
    <w:rsid w:val="00FB3D96"/>
    <w:rsid w:val="00FB54F3"/>
    <w:rsid w:val="00FB5C5B"/>
    <w:rsid w:val="00FB5FF0"/>
    <w:rsid w:val="00FB66C5"/>
    <w:rsid w:val="00FB7FD4"/>
    <w:rsid w:val="00FC1E3B"/>
    <w:rsid w:val="00FC258D"/>
    <w:rsid w:val="00FC2731"/>
    <w:rsid w:val="00FC2841"/>
    <w:rsid w:val="00FC2975"/>
    <w:rsid w:val="00FC335F"/>
    <w:rsid w:val="00FC3A88"/>
    <w:rsid w:val="00FC3DB9"/>
    <w:rsid w:val="00FC508A"/>
    <w:rsid w:val="00FC6A7C"/>
    <w:rsid w:val="00FC704A"/>
    <w:rsid w:val="00FC7AB5"/>
    <w:rsid w:val="00FD11B3"/>
    <w:rsid w:val="00FD574D"/>
    <w:rsid w:val="00FD5DA1"/>
    <w:rsid w:val="00FD64DA"/>
    <w:rsid w:val="00FD6F8F"/>
    <w:rsid w:val="00FD75F1"/>
    <w:rsid w:val="00FD7678"/>
    <w:rsid w:val="00FE0C6F"/>
    <w:rsid w:val="00FE21B1"/>
    <w:rsid w:val="00FE233A"/>
    <w:rsid w:val="00FE2666"/>
    <w:rsid w:val="00FE37EB"/>
    <w:rsid w:val="00FE3875"/>
    <w:rsid w:val="00FE4B17"/>
    <w:rsid w:val="00FE531A"/>
    <w:rsid w:val="00FE5C5B"/>
    <w:rsid w:val="00FE6375"/>
    <w:rsid w:val="00FE6B11"/>
    <w:rsid w:val="00FE6C18"/>
    <w:rsid w:val="00FE7927"/>
    <w:rsid w:val="00FF203E"/>
    <w:rsid w:val="00FF2413"/>
    <w:rsid w:val="00FF2B8C"/>
    <w:rsid w:val="00FF396E"/>
    <w:rsid w:val="00FF4C81"/>
    <w:rsid w:val="00FF5743"/>
    <w:rsid w:val="00FF5AD5"/>
    <w:rsid w:val="00FF78E1"/>
    <w:rsid w:val="00FF7B65"/>
    <w:rsid w:val="00FF7D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A0D4D55"/>
  <w15:docId w15:val="{8185E885-1B3C-5F4E-ADA2-6EBEFE4C98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Calibri"/>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qFormat="1"/>
    <w:lsdException w:name="header" w:semiHidden="1" w:unhideWhenUsed="1"/>
    <w:lsdException w:name="footer" w:semiHidden="1" w:unhideWhenUsed="1"/>
    <w:lsdException w:name="index heading" w:semiHidden="1" w:uiPriority="0" w:unhideWhenUsed="1"/>
    <w:lsdException w:name="caption" w:uiPriority="0"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qFormat="1"/>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qFormat="1"/>
    <w:lsdException w:name="Medium Shading 2 Accent 1"/>
    <w:lsdException w:name="Medium List 1 Accent 1"/>
    <w:lsdException w:name="Revision" w:semiHidden="1"/>
    <w:lsdException w:name="List Paragraph" w:uiPriority="34" w:qFormat="1"/>
    <w:lsdException w:name="Quote" w:qFormat="1"/>
    <w:lsdException w:name="Intense Quote" w:qFormat="1"/>
    <w:lsdException w:name="Medium List 2 Accent 1"/>
    <w:lsdException w:name="Medium Grid 1 Accent 1"/>
    <w:lsdException w:name="Medium Grid 2 Accent 1" w:qFormat="1"/>
    <w:lsdException w:name="Medium Grid 3 Accent 1"/>
    <w:lsdException w:name="Dark List Accent 1"/>
    <w:lsdException w:name="Colorful Shading Accent 1"/>
    <w:lsdException w:name="Colorful List Accent 1" w:uiPriority="34" w:qFormat="1"/>
    <w:lsdException w:name="Colorful Grid Accent 1" w:qFormat="1"/>
    <w:lsdException w:name="Light Shading Accent 2" w:qFormat="1"/>
    <w:lsdException w:name="Light List Accent 2"/>
    <w:lsdException w:name="Light Grid Accent 2"/>
    <w:lsdException w:name="Medium Shading 1 Accent 2" w:uiPriority="1" w:qFormat="1"/>
    <w:lsdException w:name="Medium Shading 2 Accent 2" w:uiPriority="60"/>
    <w:lsdException w:name="Medium List 1 Accent 2" w:uiPriority="61"/>
    <w:lsdException w:name="Medium List 2 Accent 2" w:uiPriority="62"/>
    <w:lsdException w:name="Medium Grid 1 Accent 2" w:uiPriority="63" w:qFormat="1"/>
    <w:lsdException w:name="Medium Grid 2 Accent 2" w:uiPriority="64" w:qFormat="1"/>
    <w:lsdException w:name="Medium Grid 3 Accent 2" w:uiPriority="65" w:qFormat="1"/>
    <w:lsdException w:name="Dark List Accent 2" w:uiPriority="66"/>
    <w:lsdException w:name="Colorful Shading Accent 2" w:uiPriority="67"/>
    <w:lsdException w:name="Colorful List Accent 2" w:uiPriority="68"/>
    <w:lsdException w:name="Colorful Grid Accent 2" w:uiPriority="69"/>
    <w:lsdException w:name="Light Shading Accent 3" w:uiPriority="70"/>
    <w:lsdException w:name="Light List Accent 3" w:uiPriority="71"/>
    <w:lsdException w:name="Light Grid Accent 3" w:uiPriority="72" w:qFormat="1"/>
    <w:lsdException w:name="Medium Shading 1 Accent 3" w:uiPriority="73" w:qFormat="1"/>
    <w:lsdException w:name="Medium Shading 2 Accent 3" w:uiPriority="60" w:qFormat="1"/>
    <w:lsdException w:name="Medium List 1 Accent 3" w:uiPriority="61"/>
    <w:lsdException w:name="Medium List 2 Accent 3" w:uiPriority="62"/>
    <w:lsdException w:name="Medium Grid 1 Accent 3" w:uiPriority="63"/>
    <w:lsdException w:name="Medium Grid 2 Accent 3" w:uiPriority="64"/>
    <w:lsdException w:name="Medium Grid 3 Accent 3" w:uiPriority="65"/>
    <w:lsdException w:name="Dark List Accent 3"/>
    <w:lsdException w:name="Colorful Shading Accent 3" w:uiPriority="34" w:qFormat="1"/>
    <w:lsdException w:name="Colorful List Accent 3" w:uiPriority="29" w:qFormat="1"/>
    <w:lsdException w:name="Colorful Grid Accent 3" w:uiPriority="30" w:qFormat="1"/>
    <w:lsdException w:name="Light Shading Accent 4" w:uiPriority="66"/>
    <w:lsdException w:name="Light List Accent 4" w:uiPriority="67"/>
    <w:lsdException w:name="Light Grid Accent 4" w:uiPriority="68"/>
    <w:lsdException w:name="Medium Shading 1 Accent 4" w:uiPriority="69"/>
    <w:lsdException w:name="Medium Shading 2 Accent 4" w:uiPriority="70"/>
    <w:lsdException w:name="Medium List 1 Accent 4" w:uiPriority="71"/>
    <w:lsdException w:name="Medium List 2 Accent 4" w:uiPriority="34" w:qFormat="1"/>
    <w:lsdException w:name="Medium Grid 1 Accent 4" w:uiPriority="73"/>
    <w:lsdException w:name="Medium Grid 2 Accent 4" w:uiPriority="60"/>
    <w:lsdException w:name="Medium Grid 3 Accent 4" w:uiPriority="61"/>
    <w:lsdException w:name="Dark List Accent 4" w:uiPriority="62"/>
    <w:lsdException w:name="Colorful Shading Accent 4" w:uiPriority="63"/>
    <w:lsdException w:name="Colorful List Accent 4" w:uiPriority="64"/>
    <w:lsdException w:name="Colorful Grid Accent 4" w:uiPriority="65"/>
    <w:lsdException w:name="Light Shading Accent 5" w:uiPriority="66"/>
    <w:lsdException w:name="Light List Accent 5" w:uiPriority="67"/>
    <w:lsdException w:name="Light Grid Accent 5" w:uiPriority="68"/>
    <w:lsdException w:name="Medium Shading 1 Accent 5" w:uiPriority="69"/>
    <w:lsdException w:name="Medium Shading 2 Accent 5" w:uiPriority="70"/>
    <w:lsdException w:name="Medium List 1 Accent 5" w:uiPriority="71"/>
    <w:lsdException w:name="Medium List 2 Accent 5" w:uiPriority="72"/>
    <w:lsdException w:name="Medium Grid 1 Accent 5" w:uiPriority="73"/>
    <w:lsdException w:name="Medium Grid 2 Accent 5" w:uiPriority="60"/>
    <w:lsdException w:name="Medium Grid 3 Accent 5" w:uiPriority="61"/>
    <w:lsdException w:name="Dark List Accent 5" w:uiPriority="62"/>
    <w:lsdException w:name="Colorful Shading Accent 5" w:uiPriority="63"/>
    <w:lsdException w:name="Colorful List Accent 5" w:uiPriority="64"/>
    <w:lsdException w:name="Colorful Grid Accent 5" w:uiPriority="65"/>
    <w:lsdException w:name="Light Shading Accent 6" w:uiPriority="66"/>
    <w:lsdException w:name="Light List Accent 6" w:uiPriority="67"/>
    <w:lsdException w:name="Light Grid Accent 6" w:uiPriority="68"/>
    <w:lsdException w:name="Medium Shading 1 Accent 6" w:uiPriority="69"/>
    <w:lsdException w:name="Medium Shading 2 Accent 6" w:uiPriority="70"/>
    <w:lsdException w:name="Medium List 1 Accent 6" w:uiPriority="71"/>
    <w:lsdException w:name="Medium List 2 Accent 6" w:uiPriority="72"/>
    <w:lsdException w:name="Medium Grid 1 Accent 6" w:uiPriority="73"/>
    <w:lsdException w:name="Medium Grid 2 Accent 6" w:uiPriority="60"/>
    <w:lsdException w:name="Medium Grid 3 Accent 6" w:uiPriority="61"/>
    <w:lsdException w:name="Dark List Accent 6" w:uiPriority="62"/>
    <w:lsdException w:name="Colorful Shading Accent 6" w:uiPriority="63"/>
    <w:lsdException w:name="Colorful List Accent 6" w:uiPriority="64"/>
    <w:lsdException w:name="Colorful Grid Accent 6" w:uiPriority="65"/>
    <w:lsdException w:name="Subtle Emphasis" w:uiPriority="66" w:qFormat="1"/>
    <w:lsdException w:name="Intense Emphasis" w:uiPriority="67" w:qFormat="1"/>
    <w:lsdException w:name="Subtle Reference" w:uiPriority="31" w:qFormat="1"/>
    <w:lsdException w:name="Intense Reference" w:uiPriority="69" w:qFormat="1"/>
    <w:lsdException w:name="Book Title" w:uiPriority="70" w:qFormat="1"/>
    <w:lsdException w:name="Bibliography" w:semiHidden="1" w:uiPriority="7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6F27D1"/>
    <w:pPr>
      <w:widowControl w:val="0"/>
      <w:autoSpaceDE w:val="0"/>
      <w:autoSpaceDN w:val="0"/>
      <w:adjustRightInd w:val="0"/>
      <w:spacing w:line="360" w:lineRule="auto"/>
      <w:jc w:val="both"/>
    </w:pPr>
    <w:rPr>
      <w:rFonts w:ascii="Times New Roman" w:hAnsi="Times New Roman" w:cs="Times New Roman"/>
      <w:sz w:val="24"/>
    </w:rPr>
  </w:style>
  <w:style w:type="paragraph" w:styleId="11">
    <w:name w:val="heading 1"/>
    <w:basedOn w:val="12"/>
    <w:next w:val="a2"/>
    <w:link w:val="13"/>
    <w:autoRedefine/>
    <w:uiPriority w:val="9"/>
    <w:qFormat/>
    <w:rsid w:val="00C76CE3"/>
    <w:pPr>
      <w:keepNext w:val="0"/>
      <w:pageBreakBefore/>
      <w:widowControl w:val="0"/>
      <w:shd w:val="clear" w:color="auto" w:fill="FFFFFF"/>
      <w:tabs>
        <w:tab w:val="left" w:pos="709"/>
      </w:tabs>
      <w:spacing w:before="0"/>
      <w:jc w:val="center"/>
      <w:outlineLvl w:val="0"/>
    </w:pPr>
    <w:rPr>
      <w:rFonts w:ascii="Times New Roman" w:eastAsia="MS Mincho" w:hAnsi="Times New Roman" w:cs="Times New Roman"/>
      <w:b/>
      <w:bCs/>
      <w:lang w:eastAsia="ja-JP"/>
    </w:rPr>
  </w:style>
  <w:style w:type="paragraph" w:styleId="2">
    <w:name w:val="heading 2"/>
    <w:aliases w:val="Наим. подраздела"/>
    <w:basedOn w:val="a2"/>
    <w:next w:val="a2"/>
    <w:link w:val="20"/>
    <w:autoRedefine/>
    <w:uiPriority w:val="9"/>
    <w:qFormat/>
    <w:rsid w:val="004905C2"/>
    <w:pPr>
      <w:keepNext/>
      <w:keepLines/>
      <w:widowControl/>
      <w:autoSpaceDE/>
      <w:autoSpaceDN/>
      <w:adjustRightInd/>
      <w:spacing w:before="200" w:line="276" w:lineRule="auto"/>
      <w:outlineLvl w:val="1"/>
    </w:pPr>
    <w:rPr>
      <w:b/>
      <w:bCs/>
      <w:szCs w:val="26"/>
      <w:u w:val="single"/>
      <w:lang w:eastAsia="zh-CN"/>
    </w:rPr>
  </w:style>
  <w:style w:type="paragraph" w:styleId="3">
    <w:name w:val="heading 3"/>
    <w:basedOn w:val="a2"/>
    <w:next w:val="a2"/>
    <w:link w:val="30"/>
    <w:uiPriority w:val="9"/>
    <w:qFormat/>
    <w:rsid w:val="00F17429"/>
    <w:pPr>
      <w:keepNext/>
      <w:outlineLvl w:val="2"/>
    </w:pPr>
    <w:rPr>
      <w:b/>
      <w:bCs/>
      <w:szCs w:val="26"/>
    </w:rPr>
  </w:style>
  <w:style w:type="paragraph" w:styleId="4">
    <w:name w:val="heading 4"/>
    <w:basedOn w:val="a2"/>
    <w:next w:val="a2"/>
    <w:link w:val="40"/>
    <w:uiPriority w:val="99"/>
    <w:qFormat/>
    <w:rsid w:val="00F17429"/>
    <w:pPr>
      <w:keepNext/>
      <w:outlineLvl w:val="3"/>
    </w:pPr>
    <w:rPr>
      <w:b/>
      <w:bCs/>
      <w:szCs w:val="28"/>
    </w:rPr>
  </w:style>
  <w:style w:type="paragraph" w:styleId="5">
    <w:name w:val="heading 5"/>
    <w:basedOn w:val="a2"/>
    <w:next w:val="a2"/>
    <w:link w:val="50"/>
    <w:uiPriority w:val="99"/>
    <w:unhideWhenUsed/>
    <w:qFormat/>
    <w:rsid w:val="007837F7"/>
    <w:pPr>
      <w:keepNext/>
      <w:keepLines/>
      <w:widowControl/>
      <w:autoSpaceDE/>
      <w:autoSpaceDN/>
      <w:adjustRightInd/>
      <w:spacing w:before="40" w:line="259" w:lineRule="auto"/>
      <w:jc w:val="left"/>
      <w:outlineLvl w:val="4"/>
    </w:pPr>
    <w:rPr>
      <w:rFonts w:asciiTheme="majorHAnsi" w:eastAsiaTheme="majorEastAsia" w:hAnsiTheme="majorHAnsi" w:cstheme="majorBidi"/>
      <w:color w:val="365F91" w:themeColor="accent1" w:themeShade="BF"/>
      <w:sz w:val="22"/>
      <w:szCs w:val="22"/>
      <w:lang w:eastAsia="en-US"/>
    </w:rPr>
  </w:style>
  <w:style w:type="paragraph" w:styleId="6">
    <w:name w:val="heading 6"/>
    <w:basedOn w:val="a2"/>
    <w:next w:val="a2"/>
    <w:link w:val="60"/>
    <w:uiPriority w:val="99"/>
    <w:unhideWhenUsed/>
    <w:qFormat/>
    <w:rsid w:val="007837F7"/>
    <w:pPr>
      <w:keepNext/>
      <w:keepLines/>
      <w:widowControl/>
      <w:autoSpaceDE/>
      <w:autoSpaceDN/>
      <w:adjustRightInd/>
      <w:spacing w:before="40" w:line="259" w:lineRule="auto"/>
      <w:jc w:val="left"/>
      <w:outlineLvl w:val="5"/>
    </w:pPr>
    <w:rPr>
      <w:rFonts w:asciiTheme="majorHAnsi" w:eastAsiaTheme="majorEastAsia" w:hAnsiTheme="majorHAnsi" w:cstheme="majorBidi"/>
      <w:color w:val="243F60" w:themeColor="accent1" w:themeShade="7F"/>
      <w:sz w:val="22"/>
      <w:szCs w:val="22"/>
      <w:lang w:eastAsia="en-US"/>
    </w:rPr>
  </w:style>
  <w:style w:type="paragraph" w:styleId="7">
    <w:name w:val="heading 7"/>
    <w:basedOn w:val="a2"/>
    <w:next w:val="a2"/>
    <w:link w:val="70"/>
    <w:uiPriority w:val="99"/>
    <w:qFormat/>
    <w:rsid w:val="00304132"/>
    <w:pPr>
      <w:keepNext/>
      <w:keepLines/>
      <w:widowControl/>
      <w:autoSpaceDE/>
      <w:autoSpaceDN/>
      <w:adjustRightInd/>
      <w:jc w:val="left"/>
      <w:outlineLvl w:val="6"/>
    </w:pPr>
    <w:rPr>
      <w:rFonts w:ascii="Calibri" w:eastAsia="SimSun" w:hAnsi="Calibri"/>
      <w:i/>
      <w:iCs/>
      <w:color w:val="404040"/>
      <w:sz w:val="20"/>
    </w:rPr>
  </w:style>
  <w:style w:type="paragraph" w:styleId="8">
    <w:name w:val="heading 8"/>
    <w:basedOn w:val="a2"/>
    <w:next w:val="a2"/>
    <w:link w:val="80"/>
    <w:qFormat/>
    <w:rsid w:val="00304132"/>
    <w:pPr>
      <w:keepNext/>
      <w:keepLines/>
      <w:widowControl/>
      <w:autoSpaceDE/>
      <w:autoSpaceDN/>
      <w:adjustRightInd/>
      <w:spacing w:before="200"/>
      <w:jc w:val="left"/>
      <w:outlineLvl w:val="7"/>
    </w:pPr>
    <w:rPr>
      <w:rFonts w:ascii="Calibri" w:eastAsia="SimSun" w:hAnsi="Calibri"/>
      <w:color w:val="6F6F74"/>
      <w:sz w:val="20"/>
    </w:rPr>
  </w:style>
  <w:style w:type="paragraph" w:styleId="9">
    <w:name w:val="heading 9"/>
    <w:basedOn w:val="a2"/>
    <w:next w:val="a2"/>
    <w:link w:val="90"/>
    <w:qFormat/>
    <w:rsid w:val="00304132"/>
    <w:pPr>
      <w:keepNext/>
      <w:keepLines/>
      <w:widowControl/>
      <w:autoSpaceDE/>
      <w:autoSpaceDN/>
      <w:adjustRightInd/>
      <w:spacing w:before="200"/>
      <w:jc w:val="left"/>
      <w:outlineLvl w:val="8"/>
    </w:pPr>
    <w:rPr>
      <w:rFonts w:ascii="Calibri" w:eastAsia="SimSun" w:hAnsi="Calibri"/>
      <w:i/>
      <w:iCs/>
      <w:color w:val="404040"/>
      <w:sz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4">
    <w:name w:val="Заголовок1"/>
    <w:basedOn w:val="a2"/>
    <w:next w:val="a6"/>
    <w:qFormat/>
    <w:rsid w:val="00A85147"/>
    <w:pPr>
      <w:keepNext/>
      <w:widowControl/>
      <w:suppressAutoHyphens/>
      <w:autoSpaceDE/>
      <w:autoSpaceDN/>
      <w:adjustRightInd/>
      <w:spacing w:before="240" w:after="120"/>
    </w:pPr>
    <w:rPr>
      <w:rFonts w:ascii="Liberation Sans" w:eastAsia="Microsoft YaHei" w:hAnsi="Liberation Sans" w:cs="Mangal"/>
      <w:sz w:val="28"/>
      <w:szCs w:val="28"/>
      <w:lang w:eastAsia="zh-CN"/>
    </w:rPr>
  </w:style>
  <w:style w:type="paragraph" w:styleId="a6">
    <w:name w:val="Body Text"/>
    <w:basedOn w:val="a2"/>
    <w:link w:val="a7"/>
    <w:rsid w:val="00A85147"/>
    <w:pPr>
      <w:widowControl/>
      <w:suppressAutoHyphens/>
      <w:autoSpaceDE/>
      <w:autoSpaceDN/>
      <w:adjustRightInd/>
      <w:spacing w:after="140" w:line="288" w:lineRule="auto"/>
    </w:pPr>
    <w:rPr>
      <w:rFonts w:eastAsia="Calibri"/>
      <w:szCs w:val="22"/>
      <w:lang w:eastAsia="zh-CN"/>
    </w:rPr>
  </w:style>
  <w:style w:type="character" w:customStyle="1" w:styleId="a7">
    <w:name w:val="Основной текст Знак"/>
    <w:link w:val="a6"/>
    <w:rsid w:val="00A85147"/>
    <w:rPr>
      <w:rFonts w:ascii="Times New Roman" w:eastAsia="Calibri" w:hAnsi="Times New Roman" w:cs="Times New Roman"/>
      <w:sz w:val="24"/>
      <w:szCs w:val="22"/>
      <w:lang w:eastAsia="zh-CN"/>
    </w:rPr>
  </w:style>
  <w:style w:type="character" w:customStyle="1" w:styleId="13">
    <w:name w:val="Заголовок 1 Знак"/>
    <w:link w:val="11"/>
    <w:uiPriority w:val="9"/>
    <w:qFormat/>
    <w:rsid w:val="00C76CE3"/>
    <w:rPr>
      <w:rFonts w:ascii="Times New Roman" w:eastAsia="MS Mincho" w:hAnsi="Times New Roman" w:cs="Times New Roman"/>
      <w:b/>
      <w:bCs/>
      <w:sz w:val="28"/>
      <w:szCs w:val="28"/>
      <w:shd w:val="clear" w:color="auto" w:fill="FFFFFF"/>
      <w:lang w:eastAsia="ja-JP"/>
    </w:rPr>
  </w:style>
  <w:style w:type="character" w:customStyle="1" w:styleId="20">
    <w:name w:val="Заголовок 2 Знак"/>
    <w:aliases w:val="Наим. подраздела Знак"/>
    <w:link w:val="2"/>
    <w:uiPriority w:val="9"/>
    <w:qFormat/>
    <w:rsid w:val="004905C2"/>
    <w:rPr>
      <w:rFonts w:ascii="Times New Roman" w:hAnsi="Times New Roman" w:cs="Times New Roman"/>
      <w:b/>
      <w:bCs/>
      <w:sz w:val="24"/>
      <w:szCs w:val="26"/>
      <w:u w:val="single"/>
      <w:lang w:eastAsia="zh-CN"/>
    </w:rPr>
  </w:style>
  <w:style w:type="character" w:customStyle="1" w:styleId="30">
    <w:name w:val="Заголовок 3 Знак"/>
    <w:link w:val="3"/>
    <w:uiPriority w:val="9"/>
    <w:rsid w:val="00F17429"/>
    <w:rPr>
      <w:rFonts w:ascii="Times New Roman" w:eastAsia="Times New Roman" w:hAnsi="Times New Roman" w:cs="Times New Roman"/>
      <w:b/>
      <w:bCs/>
      <w:sz w:val="24"/>
      <w:szCs w:val="26"/>
    </w:rPr>
  </w:style>
  <w:style w:type="character" w:customStyle="1" w:styleId="40">
    <w:name w:val="Заголовок 4 Знак"/>
    <w:link w:val="4"/>
    <w:uiPriority w:val="99"/>
    <w:rsid w:val="00F17429"/>
    <w:rPr>
      <w:rFonts w:ascii="Times New Roman" w:eastAsia="Times New Roman" w:hAnsi="Times New Roman" w:cs="Times New Roman"/>
      <w:b/>
      <w:bCs/>
      <w:sz w:val="24"/>
      <w:szCs w:val="28"/>
    </w:rPr>
  </w:style>
  <w:style w:type="character" w:customStyle="1" w:styleId="tw4winMark">
    <w:name w:val="tw4winMark"/>
    <w:uiPriority w:val="99"/>
    <w:rsid w:val="008D3D68"/>
    <w:rPr>
      <w:rFonts w:ascii="Courier New" w:hAnsi="Courier New"/>
      <w:vanish/>
      <w:color w:val="800080"/>
      <w:sz w:val="24"/>
      <w:vertAlign w:val="subscript"/>
    </w:rPr>
  </w:style>
  <w:style w:type="character" w:customStyle="1" w:styleId="tw4winError">
    <w:name w:val="tw4winError"/>
    <w:uiPriority w:val="99"/>
    <w:rsid w:val="008D3D68"/>
    <w:rPr>
      <w:rFonts w:ascii="Courier New" w:hAnsi="Courier New"/>
      <w:color w:val="00FF00"/>
      <w:sz w:val="40"/>
    </w:rPr>
  </w:style>
  <w:style w:type="character" w:customStyle="1" w:styleId="tw4winTerm">
    <w:name w:val="tw4winTerm"/>
    <w:uiPriority w:val="99"/>
    <w:rsid w:val="008D3D68"/>
    <w:rPr>
      <w:color w:val="0000FF"/>
    </w:rPr>
  </w:style>
  <w:style w:type="character" w:customStyle="1" w:styleId="tw4winPopup">
    <w:name w:val="tw4winPopup"/>
    <w:uiPriority w:val="99"/>
    <w:rsid w:val="008D3D68"/>
    <w:rPr>
      <w:rFonts w:ascii="Courier New" w:hAnsi="Courier New"/>
      <w:noProof/>
      <w:color w:val="008000"/>
    </w:rPr>
  </w:style>
  <w:style w:type="character" w:customStyle="1" w:styleId="tw4winJump">
    <w:name w:val="tw4winJump"/>
    <w:uiPriority w:val="99"/>
    <w:rsid w:val="008D3D68"/>
    <w:rPr>
      <w:rFonts w:ascii="Courier New" w:hAnsi="Courier New"/>
      <w:noProof/>
      <w:color w:val="008080"/>
    </w:rPr>
  </w:style>
  <w:style w:type="character" w:customStyle="1" w:styleId="tw4winExternal">
    <w:name w:val="tw4winExternal"/>
    <w:uiPriority w:val="99"/>
    <w:rsid w:val="008D3D68"/>
    <w:rPr>
      <w:rFonts w:ascii="Courier New" w:hAnsi="Courier New"/>
      <w:noProof/>
      <w:color w:val="808080"/>
    </w:rPr>
  </w:style>
  <w:style w:type="character" w:customStyle="1" w:styleId="tw4winInternal">
    <w:name w:val="tw4winInternal"/>
    <w:uiPriority w:val="99"/>
    <w:rsid w:val="008D3D68"/>
    <w:rPr>
      <w:rFonts w:ascii="Courier New" w:hAnsi="Courier New"/>
      <w:noProof/>
      <w:color w:val="FF0000"/>
    </w:rPr>
  </w:style>
  <w:style w:type="character" w:customStyle="1" w:styleId="DONOTTRANSLATE">
    <w:name w:val="DO_NOT_TRANSLATE"/>
    <w:uiPriority w:val="99"/>
    <w:rsid w:val="008D3D68"/>
    <w:rPr>
      <w:rFonts w:ascii="Courier New" w:hAnsi="Courier New"/>
      <w:noProof/>
      <w:color w:val="800000"/>
    </w:rPr>
  </w:style>
  <w:style w:type="character" w:styleId="a8">
    <w:name w:val="Hyperlink"/>
    <w:uiPriority w:val="99"/>
    <w:rsid w:val="00A85147"/>
    <w:rPr>
      <w:color w:val="000080"/>
      <w:u w:val="single"/>
    </w:rPr>
  </w:style>
  <w:style w:type="character" w:customStyle="1" w:styleId="WW8Num1z0">
    <w:name w:val="WW8Num1z0"/>
    <w:rsid w:val="00A85147"/>
  </w:style>
  <w:style w:type="character" w:customStyle="1" w:styleId="WW8Num1z1">
    <w:name w:val="WW8Num1z1"/>
    <w:rsid w:val="00A85147"/>
  </w:style>
  <w:style w:type="character" w:customStyle="1" w:styleId="WW8Num1z2">
    <w:name w:val="WW8Num1z2"/>
    <w:rsid w:val="00A85147"/>
  </w:style>
  <w:style w:type="character" w:customStyle="1" w:styleId="WW8Num1z3">
    <w:name w:val="WW8Num1z3"/>
    <w:rsid w:val="00A85147"/>
  </w:style>
  <w:style w:type="character" w:customStyle="1" w:styleId="WW8Num1z4">
    <w:name w:val="WW8Num1z4"/>
    <w:rsid w:val="00A85147"/>
  </w:style>
  <w:style w:type="character" w:customStyle="1" w:styleId="WW8Num1z5">
    <w:name w:val="WW8Num1z5"/>
    <w:rsid w:val="00A85147"/>
  </w:style>
  <w:style w:type="character" w:customStyle="1" w:styleId="WW8Num1z6">
    <w:name w:val="WW8Num1z6"/>
    <w:rsid w:val="00A85147"/>
  </w:style>
  <w:style w:type="character" w:customStyle="1" w:styleId="WW8Num1z7">
    <w:name w:val="WW8Num1z7"/>
    <w:rsid w:val="00A85147"/>
  </w:style>
  <w:style w:type="character" w:customStyle="1" w:styleId="WW8Num1z8">
    <w:name w:val="WW8Num1z8"/>
    <w:rsid w:val="00A85147"/>
  </w:style>
  <w:style w:type="character" w:customStyle="1" w:styleId="WW8Num2z0">
    <w:name w:val="WW8Num2z0"/>
    <w:rsid w:val="00A85147"/>
    <w:rPr>
      <w:rFonts w:ascii="Liberation Serif" w:hAnsi="Liberation Serif" w:cs="Liberation Serif" w:hint="default"/>
      <w:szCs w:val="24"/>
      <w:lang w:val="en-US"/>
    </w:rPr>
  </w:style>
  <w:style w:type="character" w:customStyle="1" w:styleId="WW8Num3z0">
    <w:name w:val="WW8Num3z0"/>
    <w:rsid w:val="00A85147"/>
    <w:rPr>
      <w:rFonts w:ascii="Liberation Serif" w:hAnsi="Liberation Serif" w:cs="Liberation Serif" w:hint="default"/>
      <w:szCs w:val="24"/>
      <w:lang w:val="en-US"/>
    </w:rPr>
  </w:style>
  <w:style w:type="character" w:customStyle="1" w:styleId="WW8Num4z0">
    <w:name w:val="WW8Num4z0"/>
    <w:rsid w:val="00A85147"/>
    <w:rPr>
      <w:rFonts w:ascii="Liberation Serif" w:hAnsi="Liberation Serif" w:cs="Liberation Serif" w:hint="default"/>
      <w:szCs w:val="24"/>
      <w:lang w:val="en-US"/>
    </w:rPr>
  </w:style>
  <w:style w:type="character" w:customStyle="1" w:styleId="WW8Num5z0">
    <w:name w:val="WW8Num5z0"/>
    <w:rsid w:val="00A85147"/>
    <w:rPr>
      <w:rFonts w:ascii="Times New Roman" w:hAnsi="Times New Roman" w:cs="Times New Roman" w:hint="default"/>
    </w:rPr>
  </w:style>
  <w:style w:type="character" w:customStyle="1" w:styleId="WW8Num6z0">
    <w:name w:val="WW8Num6z0"/>
    <w:rsid w:val="00A85147"/>
    <w:rPr>
      <w:rFonts w:ascii="Times New Roman" w:hAnsi="Times New Roman" w:cs="Times New Roman" w:hint="default"/>
    </w:rPr>
  </w:style>
  <w:style w:type="character" w:customStyle="1" w:styleId="WW8NumSt1z0">
    <w:name w:val="WW8NumSt1z0"/>
    <w:rsid w:val="00A85147"/>
    <w:rPr>
      <w:rFonts w:hint="default"/>
      <w:szCs w:val="24"/>
      <w:lang w:val="en-US"/>
    </w:rPr>
  </w:style>
  <w:style w:type="character" w:customStyle="1" w:styleId="WW8NumSt2z0">
    <w:name w:val="WW8NumSt2z0"/>
    <w:rsid w:val="00A85147"/>
    <w:rPr>
      <w:rFonts w:hint="default"/>
    </w:rPr>
  </w:style>
  <w:style w:type="character" w:customStyle="1" w:styleId="WW8NumSt3z0">
    <w:name w:val="WW8NumSt3z0"/>
    <w:rsid w:val="00A85147"/>
    <w:rPr>
      <w:rFonts w:hint="default"/>
      <w:szCs w:val="24"/>
      <w:lang w:val="en-US"/>
    </w:rPr>
  </w:style>
  <w:style w:type="character" w:customStyle="1" w:styleId="WW8NumSt4z0">
    <w:name w:val="WW8NumSt4z0"/>
    <w:rsid w:val="00A85147"/>
    <w:rPr>
      <w:rFonts w:hint="default"/>
      <w:szCs w:val="24"/>
      <w:lang w:val="en-US"/>
    </w:rPr>
  </w:style>
  <w:style w:type="character" w:customStyle="1" w:styleId="WW8NumSt10z0">
    <w:name w:val="WW8NumSt10z0"/>
    <w:rsid w:val="00A85147"/>
    <w:rPr>
      <w:rFonts w:hint="default"/>
    </w:rPr>
  </w:style>
  <w:style w:type="character" w:customStyle="1" w:styleId="WW8NumSt11z0">
    <w:name w:val="WW8NumSt11z0"/>
    <w:rsid w:val="00A85147"/>
    <w:rPr>
      <w:rFonts w:hint="default"/>
    </w:rPr>
  </w:style>
  <w:style w:type="character" w:customStyle="1" w:styleId="WW8NumSt12z0">
    <w:name w:val="WW8NumSt12z0"/>
    <w:rsid w:val="00A85147"/>
    <w:rPr>
      <w:rFonts w:hint="default"/>
    </w:rPr>
  </w:style>
  <w:style w:type="character" w:customStyle="1" w:styleId="WW8NumSt13z0">
    <w:name w:val="WW8NumSt13z0"/>
    <w:rsid w:val="00A85147"/>
    <w:rPr>
      <w:rFonts w:hint="default"/>
    </w:rPr>
  </w:style>
  <w:style w:type="character" w:customStyle="1" w:styleId="15">
    <w:name w:val="Основной шрифт абзаца1"/>
    <w:rsid w:val="00A85147"/>
  </w:style>
  <w:style w:type="paragraph" w:styleId="a9">
    <w:name w:val="List"/>
    <w:basedOn w:val="a6"/>
    <w:rsid w:val="00A85147"/>
    <w:rPr>
      <w:rFonts w:cs="Mangal"/>
    </w:rPr>
  </w:style>
  <w:style w:type="paragraph" w:styleId="aa">
    <w:name w:val="caption"/>
    <w:basedOn w:val="a2"/>
    <w:qFormat/>
    <w:rsid w:val="00A85147"/>
    <w:pPr>
      <w:widowControl/>
      <w:suppressLineNumbers/>
      <w:suppressAutoHyphens/>
      <w:autoSpaceDE/>
      <w:autoSpaceDN/>
      <w:adjustRightInd/>
      <w:spacing w:before="120" w:after="120"/>
    </w:pPr>
    <w:rPr>
      <w:rFonts w:eastAsia="Calibri" w:cs="Mangal"/>
      <w:i/>
      <w:iCs/>
      <w:szCs w:val="24"/>
      <w:lang w:eastAsia="zh-CN"/>
    </w:rPr>
  </w:style>
  <w:style w:type="paragraph" w:customStyle="1" w:styleId="16">
    <w:name w:val="Указатель1"/>
    <w:basedOn w:val="a2"/>
    <w:rsid w:val="00A85147"/>
    <w:pPr>
      <w:widowControl/>
      <w:suppressLineNumbers/>
      <w:suppressAutoHyphens/>
      <w:autoSpaceDE/>
      <w:autoSpaceDN/>
      <w:adjustRightInd/>
    </w:pPr>
    <w:rPr>
      <w:rFonts w:eastAsia="Calibri" w:cs="Mangal"/>
      <w:szCs w:val="22"/>
      <w:lang w:eastAsia="zh-CN"/>
    </w:rPr>
  </w:style>
  <w:style w:type="paragraph" w:customStyle="1" w:styleId="ab">
    <w:name w:val="Таблица"/>
    <w:basedOn w:val="a2"/>
    <w:qFormat/>
    <w:rsid w:val="00A85147"/>
    <w:pPr>
      <w:widowControl/>
      <w:suppressAutoHyphens/>
      <w:autoSpaceDE/>
      <w:autoSpaceDN/>
      <w:adjustRightInd/>
      <w:jc w:val="center"/>
    </w:pPr>
    <w:rPr>
      <w:rFonts w:eastAsia="Calibri"/>
      <w:b/>
      <w:szCs w:val="24"/>
      <w:lang w:eastAsia="zh-CN"/>
    </w:rPr>
  </w:style>
  <w:style w:type="paragraph" w:styleId="ac">
    <w:name w:val="table of figures"/>
    <w:basedOn w:val="a2"/>
    <w:rsid w:val="00A85147"/>
    <w:pPr>
      <w:shd w:val="clear" w:color="auto" w:fill="FFFFFF"/>
      <w:suppressAutoHyphens/>
      <w:autoSpaceDN/>
      <w:adjustRightInd/>
      <w:jc w:val="center"/>
    </w:pPr>
    <w:rPr>
      <w:b/>
      <w:szCs w:val="24"/>
      <w:lang w:val="en-US" w:eastAsia="zh-CN"/>
    </w:rPr>
  </w:style>
  <w:style w:type="paragraph" w:customStyle="1" w:styleId="ad">
    <w:name w:val="Приложение"/>
    <w:basedOn w:val="a2"/>
    <w:qFormat/>
    <w:rsid w:val="00A85147"/>
    <w:pPr>
      <w:shd w:val="clear" w:color="auto" w:fill="FFFFFF"/>
      <w:suppressAutoHyphens/>
      <w:autoSpaceDN/>
      <w:adjustRightInd/>
    </w:pPr>
    <w:rPr>
      <w:b/>
      <w:szCs w:val="24"/>
      <w:lang w:val="en-US" w:eastAsia="zh-CN"/>
    </w:rPr>
  </w:style>
  <w:style w:type="paragraph" w:customStyle="1" w:styleId="-51">
    <w:name w:val="Светлый список - Акцент 51"/>
    <w:basedOn w:val="a2"/>
    <w:uiPriority w:val="34"/>
    <w:qFormat/>
    <w:rsid w:val="00A85147"/>
    <w:pPr>
      <w:widowControl/>
      <w:suppressAutoHyphens/>
      <w:autoSpaceDE/>
      <w:autoSpaceDN/>
      <w:adjustRightInd/>
      <w:ind w:left="708"/>
    </w:pPr>
    <w:rPr>
      <w:rFonts w:eastAsia="Calibri"/>
      <w:szCs w:val="22"/>
      <w:lang w:eastAsia="zh-CN"/>
    </w:rPr>
  </w:style>
  <w:style w:type="table" w:styleId="ae">
    <w:name w:val="Table Grid"/>
    <w:basedOn w:val="a4"/>
    <w:uiPriority w:val="59"/>
    <w:rsid w:val="00162EA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
    <w:name w:val="Рисунок"/>
    <w:basedOn w:val="a2"/>
    <w:qFormat/>
    <w:rsid w:val="00162EA3"/>
    <w:pPr>
      <w:shd w:val="clear" w:color="auto" w:fill="FFFFFF"/>
      <w:jc w:val="center"/>
    </w:pPr>
    <w:rPr>
      <w:b/>
      <w:szCs w:val="24"/>
      <w:lang w:val="en-US"/>
    </w:rPr>
  </w:style>
  <w:style w:type="paragraph" w:styleId="af0">
    <w:name w:val="Balloon Text"/>
    <w:basedOn w:val="a2"/>
    <w:link w:val="af1"/>
    <w:uiPriority w:val="99"/>
    <w:unhideWhenUsed/>
    <w:qFormat/>
    <w:rsid w:val="00162EA3"/>
    <w:pPr>
      <w:widowControl/>
      <w:autoSpaceDE/>
      <w:autoSpaceDN/>
      <w:adjustRightInd/>
    </w:pPr>
    <w:rPr>
      <w:rFonts w:ascii="Tahoma" w:eastAsia="Calibri" w:hAnsi="Tahoma"/>
      <w:sz w:val="16"/>
      <w:szCs w:val="16"/>
      <w:lang w:eastAsia="en-US"/>
    </w:rPr>
  </w:style>
  <w:style w:type="character" w:customStyle="1" w:styleId="af1">
    <w:name w:val="Текст выноски Знак"/>
    <w:link w:val="af0"/>
    <w:uiPriority w:val="99"/>
    <w:qFormat/>
    <w:rsid w:val="00162EA3"/>
    <w:rPr>
      <w:rFonts w:ascii="Tahoma" w:eastAsia="Calibri" w:hAnsi="Tahoma" w:cs="Tahoma"/>
      <w:sz w:val="16"/>
      <w:szCs w:val="16"/>
      <w:lang w:eastAsia="en-US"/>
    </w:rPr>
  </w:style>
  <w:style w:type="paragraph" w:styleId="17">
    <w:name w:val="toc 1"/>
    <w:basedOn w:val="a2"/>
    <w:next w:val="a2"/>
    <w:autoRedefine/>
    <w:uiPriority w:val="39"/>
    <w:unhideWhenUsed/>
    <w:qFormat/>
    <w:rsid w:val="009E240E"/>
    <w:pPr>
      <w:tabs>
        <w:tab w:val="right" w:leader="dot" w:pos="9348"/>
      </w:tabs>
      <w:jc w:val="center"/>
    </w:pPr>
    <w:rPr>
      <w:b/>
      <w:bCs/>
      <w:noProof/>
    </w:rPr>
  </w:style>
  <w:style w:type="paragraph" w:styleId="21">
    <w:name w:val="toc 2"/>
    <w:basedOn w:val="a2"/>
    <w:next w:val="a2"/>
    <w:autoRedefine/>
    <w:uiPriority w:val="39"/>
    <w:unhideWhenUsed/>
    <w:qFormat/>
    <w:rsid w:val="00654ED5"/>
    <w:pPr>
      <w:tabs>
        <w:tab w:val="right" w:leader="dot" w:pos="9346"/>
      </w:tabs>
      <w:ind w:left="238"/>
      <w:jc w:val="left"/>
    </w:pPr>
    <w:rPr>
      <w:i/>
      <w:iCs/>
      <w:noProof/>
      <w:color w:val="00B050"/>
    </w:rPr>
  </w:style>
  <w:style w:type="paragraph" w:styleId="31">
    <w:name w:val="toc 3"/>
    <w:basedOn w:val="a2"/>
    <w:next w:val="a2"/>
    <w:autoRedefine/>
    <w:uiPriority w:val="39"/>
    <w:unhideWhenUsed/>
    <w:qFormat/>
    <w:rsid w:val="00822577"/>
    <w:pPr>
      <w:ind w:left="480"/>
      <w:jc w:val="left"/>
    </w:pPr>
    <w:rPr>
      <w:rFonts w:asciiTheme="minorHAnsi" w:hAnsiTheme="minorHAnsi"/>
      <w:sz w:val="20"/>
    </w:rPr>
  </w:style>
  <w:style w:type="paragraph" w:styleId="41">
    <w:name w:val="toc 4"/>
    <w:basedOn w:val="a2"/>
    <w:next w:val="a2"/>
    <w:autoRedefine/>
    <w:uiPriority w:val="39"/>
    <w:unhideWhenUsed/>
    <w:rsid w:val="00822577"/>
    <w:pPr>
      <w:ind w:left="720"/>
      <w:jc w:val="left"/>
    </w:pPr>
    <w:rPr>
      <w:rFonts w:asciiTheme="minorHAnsi" w:hAnsiTheme="minorHAnsi"/>
      <w:sz w:val="20"/>
    </w:rPr>
  </w:style>
  <w:style w:type="paragraph" w:styleId="51">
    <w:name w:val="toc 5"/>
    <w:basedOn w:val="a2"/>
    <w:next w:val="a2"/>
    <w:autoRedefine/>
    <w:uiPriority w:val="39"/>
    <w:unhideWhenUsed/>
    <w:rsid w:val="00D9752F"/>
    <w:pPr>
      <w:ind w:left="960"/>
      <w:jc w:val="left"/>
    </w:pPr>
    <w:rPr>
      <w:rFonts w:asciiTheme="minorHAnsi" w:hAnsiTheme="minorHAnsi"/>
      <w:sz w:val="20"/>
    </w:rPr>
  </w:style>
  <w:style w:type="paragraph" w:styleId="61">
    <w:name w:val="toc 6"/>
    <w:basedOn w:val="a2"/>
    <w:next w:val="a2"/>
    <w:autoRedefine/>
    <w:uiPriority w:val="39"/>
    <w:unhideWhenUsed/>
    <w:rsid w:val="00D9752F"/>
    <w:pPr>
      <w:ind w:left="1200"/>
      <w:jc w:val="left"/>
    </w:pPr>
    <w:rPr>
      <w:rFonts w:asciiTheme="minorHAnsi" w:hAnsiTheme="minorHAnsi"/>
      <w:sz w:val="20"/>
    </w:rPr>
  </w:style>
  <w:style w:type="paragraph" w:styleId="71">
    <w:name w:val="toc 7"/>
    <w:basedOn w:val="a2"/>
    <w:next w:val="a2"/>
    <w:autoRedefine/>
    <w:uiPriority w:val="39"/>
    <w:unhideWhenUsed/>
    <w:rsid w:val="00D9752F"/>
    <w:pPr>
      <w:ind w:left="1440"/>
      <w:jc w:val="left"/>
    </w:pPr>
    <w:rPr>
      <w:rFonts w:asciiTheme="minorHAnsi" w:hAnsiTheme="minorHAnsi"/>
      <w:sz w:val="20"/>
    </w:rPr>
  </w:style>
  <w:style w:type="paragraph" w:styleId="81">
    <w:name w:val="toc 8"/>
    <w:basedOn w:val="a2"/>
    <w:next w:val="a2"/>
    <w:autoRedefine/>
    <w:uiPriority w:val="39"/>
    <w:unhideWhenUsed/>
    <w:rsid w:val="00D9752F"/>
    <w:pPr>
      <w:ind w:left="1680"/>
      <w:jc w:val="left"/>
    </w:pPr>
    <w:rPr>
      <w:rFonts w:asciiTheme="minorHAnsi" w:hAnsiTheme="minorHAnsi"/>
      <w:sz w:val="20"/>
    </w:rPr>
  </w:style>
  <w:style w:type="paragraph" w:styleId="91">
    <w:name w:val="toc 9"/>
    <w:basedOn w:val="a2"/>
    <w:next w:val="a2"/>
    <w:autoRedefine/>
    <w:uiPriority w:val="39"/>
    <w:unhideWhenUsed/>
    <w:rsid w:val="00D9752F"/>
    <w:pPr>
      <w:ind w:left="1920"/>
      <w:jc w:val="left"/>
    </w:pPr>
    <w:rPr>
      <w:rFonts w:asciiTheme="minorHAnsi" w:hAnsiTheme="minorHAnsi"/>
      <w:sz w:val="20"/>
    </w:rPr>
  </w:style>
  <w:style w:type="paragraph" w:styleId="af2">
    <w:name w:val="header"/>
    <w:basedOn w:val="a2"/>
    <w:link w:val="af3"/>
    <w:uiPriority w:val="99"/>
    <w:unhideWhenUsed/>
    <w:rsid w:val="00D9752F"/>
    <w:pPr>
      <w:tabs>
        <w:tab w:val="center" w:pos="4677"/>
        <w:tab w:val="right" w:pos="9355"/>
      </w:tabs>
    </w:pPr>
  </w:style>
  <w:style w:type="character" w:customStyle="1" w:styleId="af3">
    <w:name w:val="Верхний колонтитул Знак"/>
    <w:link w:val="af2"/>
    <w:uiPriority w:val="99"/>
    <w:rsid w:val="00D9752F"/>
    <w:rPr>
      <w:rFonts w:ascii="Times New Roman" w:hAnsi="Times New Roman" w:cs="Times New Roman"/>
      <w:sz w:val="24"/>
    </w:rPr>
  </w:style>
  <w:style w:type="paragraph" w:styleId="af4">
    <w:name w:val="footer"/>
    <w:basedOn w:val="a2"/>
    <w:link w:val="af5"/>
    <w:uiPriority w:val="99"/>
    <w:unhideWhenUsed/>
    <w:rsid w:val="00D9752F"/>
    <w:pPr>
      <w:tabs>
        <w:tab w:val="center" w:pos="4677"/>
        <w:tab w:val="right" w:pos="9355"/>
      </w:tabs>
    </w:pPr>
  </w:style>
  <w:style w:type="character" w:customStyle="1" w:styleId="af5">
    <w:name w:val="Нижний колонтитул Знак"/>
    <w:link w:val="af4"/>
    <w:uiPriority w:val="99"/>
    <w:rsid w:val="00D9752F"/>
    <w:rPr>
      <w:rFonts w:ascii="Times New Roman" w:hAnsi="Times New Roman" w:cs="Times New Roman"/>
      <w:sz w:val="24"/>
    </w:rPr>
  </w:style>
  <w:style w:type="character" w:customStyle="1" w:styleId="apple-converted-space">
    <w:name w:val="apple-converted-space"/>
    <w:rsid w:val="005C0CB8"/>
  </w:style>
  <w:style w:type="character" w:customStyle="1" w:styleId="highlight2">
    <w:name w:val="highlight2"/>
    <w:rsid w:val="005C0CB8"/>
    <w:rPr>
      <w:sz w:val="31"/>
      <w:szCs w:val="31"/>
    </w:rPr>
  </w:style>
  <w:style w:type="paragraph" w:customStyle="1" w:styleId="18">
    <w:name w:val="Обычный (Интернет)1"/>
    <w:basedOn w:val="a2"/>
    <w:link w:val="af6"/>
    <w:uiPriority w:val="99"/>
    <w:unhideWhenUsed/>
    <w:qFormat/>
    <w:rsid w:val="00F67ECD"/>
    <w:pPr>
      <w:widowControl/>
      <w:autoSpaceDE/>
      <w:autoSpaceDN/>
      <w:adjustRightInd/>
      <w:spacing w:before="100" w:beforeAutospacing="1" w:after="100" w:afterAutospacing="1"/>
      <w:jc w:val="left"/>
    </w:pPr>
    <w:rPr>
      <w:szCs w:val="24"/>
    </w:rPr>
  </w:style>
  <w:style w:type="character" w:customStyle="1" w:styleId="af6">
    <w:name w:val="Обычный (Интернет) Знак"/>
    <w:link w:val="18"/>
    <w:rsid w:val="005F4C53"/>
    <w:rPr>
      <w:rFonts w:ascii="Times New Roman" w:hAnsi="Times New Roman" w:cs="Times New Roman"/>
      <w:sz w:val="24"/>
      <w:szCs w:val="24"/>
    </w:rPr>
  </w:style>
  <w:style w:type="paragraph" w:styleId="af7">
    <w:name w:val="footnote text"/>
    <w:basedOn w:val="a2"/>
    <w:link w:val="af8"/>
    <w:uiPriority w:val="99"/>
    <w:unhideWhenUsed/>
    <w:qFormat/>
    <w:rsid w:val="00DD7901"/>
    <w:rPr>
      <w:sz w:val="20"/>
    </w:rPr>
  </w:style>
  <w:style w:type="character" w:customStyle="1" w:styleId="af8">
    <w:name w:val="Текст сноски Знак"/>
    <w:link w:val="af7"/>
    <w:uiPriority w:val="99"/>
    <w:rsid w:val="00DD7901"/>
    <w:rPr>
      <w:rFonts w:ascii="Times New Roman" w:hAnsi="Times New Roman" w:cs="Times New Roman"/>
    </w:rPr>
  </w:style>
  <w:style w:type="character" w:styleId="af9">
    <w:name w:val="footnote reference"/>
    <w:uiPriority w:val="99"/>
    <w:unhideWhenUsed/>
    <w:qFormat/>
    <w:rsid w:val="00DD7901"/>
    <w:rPr>
      <w:vertAlign w:val="superscript"/>
    </w:rPr>
  </w:style>
  <w:style w:type="paragraph" w:customStyle="1" w:styleId="19">
    <w:name w:val="Абзац списка1"/>
    <w:basedOn w:val="a2"/>
    <w:uiPriority w:val="34"/>
    <w:qFormat/>
    <w:rsid w:val="00E25236"/>
    <w:pPr>
      <w:widowControl/>
      <w:autoSpaceDE/>
      <w:autoSpaceDN/>
      <w:adjustRightInd/>
      <w:spacing w:after="160"/>
      <w:ind w:left="720" w:firstLine="709"/>
      <w:contextualSpacing/>
    </w:pPr>
    <w:rPr>
      <w:szCs w:val="22"/>
      <w:lang w:eastAsia="en-US"/>
    </w:rPr>
  </w:style>
  <w:style w:type="paragraph" w:customStyle="1" w:styleId="afa">
    <w:name w:val="Базовый"/>
    <w:rsid w:val="00E25236"/>
    <w:pPr>
      <w:suppressAutoHyphens/>
      <w:spacing w:line="100" w:lineRule="atLeast"/>
    </w:pPr>
    <w:rPr>
      <w:rFonts w:ascii="Times New Roman" w:eastAsia="Calibri" w:hAnsi="Times New Roman" w:cs="Times New Roman"/>
      <w:sz w:val="24"/>
      <w:szCs w:val="24"/>
      <w:lang w:eastAsia="ar-SA"/>
    </w:rPr>
  </w:style>
  <w:style w:type="paragraph" w:styleId="afb">
    <w:name w:val="Subtitle"/>
    <w:next w:val="a2"/>
    <w:link w:val="afc"/>
    <w:autoRedefine/>
    <w:uiPriority w:val="11"/>
    <w:qFormat/>
    <w:rsid w:val="00E25236"/>
    <w:pPr>
      <w:numPr>
        <w:ilvl w:val="1"/>
      </w:numPr>
      <w:spacing w:before="120" w:after="160" w:line="259" w:lineRule="auto"/>
      <w:ind w:firstLine="709"/>
    </w:pPr>
    <w:rPr>
      <w:rFonts w:ascii="Times New Roman" w:hAnsi="Times New Roman" w:cs="Times New Roman"/>
      <w:b/>
      <w:color w:val="000000"/>
      <w:sz w:val="24"/>
      <w:szCs w:val="22"/>
      <w:u w:val="single"/>
      <w:lang w:eastAsia="en-US"/>
    </w:rPr>
  </w:style>
  <w:style w:type="character" w:customStyle="1" w:styleId="afc">
    <w:name w:val="Подзаголовок Знак"/>
    <w:link w:val="afb"/>
    <w:uiPriority w:val="11"/>
    <w:rsid w:val="00E25236"/>
    <w:rPr>
      <w:rFonts w:ascii="Times New Roman" w:hAnsi="Times New Roman" w:cs="Times New Roman"/>
      <w:b/>
      <w:color w:val="000000"/>
      <w:sz w:val="24"/>
      <w:szCs w:val="22"/>
      <w:u w:val="single"/>
      <w:lang w:eastAsia="en-US" w:bidi="ar-SA"/>
    </w:rPr>
  </w:style>
  <w:style w:type="paragraph" w:customStyle="1" w:styleId="1a">
    <w:name w:val="Заголовок оглавления1"/>
    <w:basedOn w:val="11"/>
    <w:next w:val="a2"/>
    <w:unhideWhenUsed/>
    <w:qFormat/>
    <w:rsid w:val="0012534B"/>
    <w:pPr>
      <w:suppressAutoHyphens w:val="0"/>
      <w:spacing w:before="480" w:line="276" w:lineRule="auto"/>
      <w:outlineLvl w:val="9"/>
    </w:pPr>
    <w:rPr>
      <w:rFonts w:ascii="Cambria" w:eastAsia="Times New Roman" w:hAnsi="Cambria"/>
      <w:caps/>
      <w:color w:val="365F91"/>
      <w:lang w:eastAsia="ru-RU"/>
    </w:rPr>
  </w:style>
  <w:style w:type="paragraph" w:styleId="afd">
    <w:name w:val="endnote text"/>
    <w:basedOn w:val="a2"/>
    <w:link w:val="afe"/>
    <w:uiPriority w:val="99"/>
    <w:unhideWhenUsed/>
    <w:rsid w:val="0012534B"/>
    <w:rPr>
      <w:sz w:val="20"/>
    </w:rPr>
  </w:style>
  <w:style w:type="character" w:customStyle="1" w:styleId="afe">
    <w:name w:val="Текст концевой сноски Знак"/>
    <w:link w:val="afd"/>
    <w:uiPriority w:val="99"/>
    <w:rsid w:val="0012534B"/>
    <w:rPr>
      <w:rFonts w:ascii="Times New Roman" w:hAnsi="Times New Roman" w:cs="Times New Roman"/>
    </w:rPr>
  </w:style>
  <w:style w:type="character" w:styleId="aff">
    <w:name w:val="endnote reference"/>
    <w:uiPriority w:val="99"/>
    <w:unhideWhenUsed/>
    <w:rsid w:val="0012534B"/>
    <w:rPr>
      <w:vertAlign w:val="superscript"/>
    </w:rPr>
  </w:style>
  <w:style w:type="character" w:customStyle="1" w:styleId="name">
    <w:name w:val="name"/>
    <w:rsid w:val="004B3D50"/>
    <w:rPr>
      <w:sz w:val="24"/>
      <w:szCs w:val="24"/>
      <w:bdr w:val="none" w:sz="0" w:space="0" w:color="auto" w:frame="1"/>
      <w:vertAlign w:val="baseline"/>
    </w:rPr>
  </w:style>
  <w:style w:type="paragraph" w:customStyle="1" w:styleId="Default">
    <w:name w:val="Default"/>
    <w:rsid w:val="006D6938"/>
    <w:pPr>
      <w:autoSpaceDE w:val="0"/>
      <w:autoSpaceDN w:val="0"/>
      <w:adjustRightInd w:val="0"/>
    </w:pPr>
    <w:rPr>
      <w:rFonts w:ascii="Times New Roman" w:eastAsia="Arial Unicode MS" w:hAnsi="Times New Roman" w:cs="Times New Roman"/>
      <w:color w:val="000000"/>
      <w:sz w:val="24"/>
      <w:szCs w:val="24"/>
    </w:rPr>
  </w:style>
  <w:style w:type="paragraph" w:customStyle="1" w:styleId="1-21">
    <w:name w:val="Средняя заливка 1 - Акцент 21"/>
    <w:basedOn w:val="a2"/>
    <w:uiPriority w:val="1"/>
    <w:qFormat/>
    <w:rsid w:val="00CA61D6"/>
    <w:pPr>
      <w:keepNext/>
      <w:numPr>
        <w:ilvl w:val="1"/>
        <w:numId w:val="14"/>
      </w:numPr>
      <w:contextualSpacing/>
      <w:outlineLvl w:val="1"/>
    </w:pPr>
    <w:rPr>
      <w:rFonts w:ascii="Verdana" w:hAnsi="Verdana"/>
    </w:rPr>
  </w:style>
  <w:style w:type="paragraph" w:customStyle="1" w:styleId="-31">
    <w:name w:val="Цветная заливка - Акцент 31"/>
    <w:basedOn w:val="a2"/>
    <w:uiPriority w:val="34"/>
    <w:qFormat/>
    <w:rsid w:val="00D41D44"/>
    <w:pPr>
      <w:ind w:left="720"/>
      <w:contextualSpacing/>
    </w:pPr>
  </w:style>
  <w:style w:type="paragraph" w:styleId="32">
    <w:name w:val="Body Text 3"/>
    <w:basedOn w:val="a2"/>
    <w:link w:val="33"/>
    <w:uiPriority w:val="99"/>
    <w:semiHidden/>
    <w:unhideWhenUsed/>
    <w:rsid w:val="00720458"/>
    <w:pPr>
      <w:spacing w:after="120"/>
    </w:pPr>
    <w:rPr>
      <w:sz w:val="16"/>
      <w:szCs w:val="16"/>
    </w:rPr>
  </w:style>
  <w:style w:type="character" w:customStyle="1" w:styleId="33">
    <w:name w:val="Основной текст 3 Знак"/>
    <w:link w:val="32"/>
    <w:uiPriority w:val="99"/>
    <w:semiHidden/>
    <w:rsid w:val="00720458"/>
    <w:rPr>
      <w:rFonts w:ascii="Times New Roman" w:hAnsi="Times New Roman" w:cs="Times New Roman"/>
      <w:sz w:val="16"/>
      <w:szCs w:val="16"/>
    </w:rPr>
  </w:style>
  <w:style w:type="character" w:styleId="aff0">
    <w:name w:val="annotation reference"/>
    <w:uiPriority w:val="99"/>
    <w:unhideWhenUsed/>
    <w:qFormat/>
    <w:rsid w:val="00CF4757"/>
    <w:rPr>
      <w:sz w:val="16"/>
      <w:szCs w:val="16"/>
    </w:rPr>
  </w:style>
  <w:style w:type="paragraph" w:styleId="aff1">
    <w:name w:val="annotation text"/>
    <w:basedOn w:val="a2"/>
    <w:link w:val="aff2"/>
    <w:unhideWhenUsed/>
    <w:qFormat/>
    <w:rsid w:val="00CF4757"/>
    <w:rPr>
      <w:sz w:val="20"/>
    </w:rPr>
  </w:style>
  <w:style w:type="character" w:customStyle="1" w:styleId="aff2">
    <w:name w:val="Текст примечания Знак"/>
    <w:link w:val="aff1"/>
    <w:uiPriority w:val="99"/>
    <w:qFormat/>
    <w:rsid w:val="00CF4757"/>
    <w:rPr>
      <w:rFonts w:ascii="Times New Roman" w:hAnsi="Times New Roman" w:cs="Times New Roman"/>
    </w:rPr>
  </w:style>
  <w:style w:type="paragraph" w:styleId="aff3">
    <w:name w:val="annotation subject"/>
    <w:basedOn w:val="aff1"/>
    <w:next w:val="aff1"/>
    <w:link w:val="aff4"/>
    <w:uiPriority w:val="99"/>
    <w:unhideWhenUsed/>
    <w:qFormat/>
    <w:rsid w:val="00CF4757"/>
    <w:rPr>
      <w:b/>
      <w:bCs/>
    </w:rPr>
  </w:style>
  <w:style w:type="character" w:customStyle="1" w:styleId="aff4">
    <w:name w:val="Тема примечания Знак"/>
    <w:link w:val="aff3"/>
    <w:uiPriority w:val="99"/>
    <w:qFormat/>
    <w:rsid w:val="00CF4757"/>
    <w:rPr>
      <w:rFonts w:ascii="Times New Roman" w:hAnsi="Times New Roman" w:cs="Times New Roman"/>
      <w:b/>
      <w:bCs/>
    </w:rPr>
  </w:style>
  <w:style w:type="character" w:styleId="aff5">
    <w:name w:val="Strong"/>
    <w:uiPriority w:val="22"/>
    <w:qFormat/>
    <w:rsid w:val="004E268C"/>
    <w:rPr>
      <w:b/>
      <w:bCs/>
    </w:rPr>
  </w:style>
  <w:style w:type="paragraph" w:customStyle="1" w:styleId="-310">
    <w:name w:val="Темный список - Акцент 31"/>
    <w:hidden/>
    <w:uiPriority w:val="99"/>
    <w:semiHidden/>
    <w:rsid w:val="00C17225"/>
    <w:rPr>
      <w:rFonts w:ascii="Times New Roman" w:hAnsi="Times New Roman" w:cs="Times New Roman"/>
      <w:sz w:val="24"/>
    </w:rPr>
  </w:style>
  <w:style w:type="paragraph" w:customStyle="1" w:styleId="-311">
    <w:name w:val="Таблица-сетка 31"/>
    <w:basedOn w:val="11"/>
    <w:next w:val="a2"/>
    <w:uiPriority w:val="39"/>
    <w:unhideWhenUsed/>
    <w:qFormat/>
    <w:rsid w:val="00C17225"/>
    <w:pPr>
      <w:suppressAutoHyphens w:val="0"/>
      <w:spacing w:before="480" w:line="276" w:lineRule="auto"/>
      <w:outlineLvl w:val="9"/>
    </w:pPr>
    <w:rPr>
      <w:rFonts w:ascii="Cambria" w:eastAsia="Times New Roman" w:hAnsi="Cambria"/>
      <w:caps/>
      <w:color w:val="365F91"/>
      <w:lang w:eastAsia="ru-RU"/>
    </w:rPr>
  </w:style>
  <w:style w:type="character" w:customStyle="1" w:styleId="highlight">
    <w:name w:val="highlight"/>
    <w:rsid w:val="00696522"/>
  </w:style>
  <w:style w:type="character" w:styleId="aff6">
    <w:name w:val="FollowedHyperlink"/>
    <w:uiPriority w:val="99"/>
    <w:unhideWhenUsed/>
    <w:rsid w:val="00FA3654"/>
    <w:rPr>
      <w:color w:val="954F72"/>
      <w:u w:val="single"/>
    </w:rPr>
  </w:style>
  <w:style w:type="character" w:customStyle="1" w:styleId="pop-slug-vol">
    <w:name w:val="pop-slug-vol"/>
    <w:uiPriority w:val="99"/>
    <w:qFormat/>
    <w:rsid w:val="00FE0C6F"/>
    <w:rPr>
      <w:rFonts w:cs="Times New Roman"/>
    </w:rPr>
  </w:style>
  <w:style w:type="paragraph" w:customStyle="1" w:styleId="aff7">
    <w:name w:val="Памятки"/>
    <w:basedOn w:val="a2"/>
    <w:link w:val="aff8"/>
    <w:uiPriority w:val="99"/>
    <w:qFormat/>
    <w:rsid w:val="00343336"/>
    <w:pPr>
      <w:widowControl/>
      <w:autoSpaceDE/>
      <w:autoSpaceDN/>
      <w:adjustRightInd/>
      <w:ind w:firstLine="709"/>
    </w:pPr>
    <w:rPr>
      <w:i/>
      <w:color w:val="FF0000"/>
      <w:sz w:val="18"/>
      <w:szCs w:val="24"/>
      <w:lang w:eastAsia="en-US"/>
    </w:rPr>
  </w:style>
  <w:style w:type="character" w:customStyle="1" w:styleId="aff8">
    <w:name w:val="Памятки Знак"/>
    <w:link w:val="aff7"/>
    <w:uiPriority w:val="99"/>
    <w:rsid w:val="00343336"/>
    <w:rPr>
      <w:rFonts w:ascii="Times New Roman" w:hAnsi="Times New Roman" w:cs="Times New Roman"/>
      <w:i/>
      <w:color w:val="FF0000"/>
      <w:sz w:val="18"/>
      <w:szCs w:val="24"/>
      <w:lang w:eastAsia="en-US"/>
    </w:rPr>
  </w:style>
  <w:style w:type="paragraph" w:customStyle="1" w:styleId="1b">
    <w:name w:val="Текст в 1 разделе"/>
    <w:basedOn w:val="a2"/>
    <w:link w:val="1c"/>
    <w:qFormat/>
    <w:rsid w:val="00343336"/>
    <w:pPr>
      <w:widowControl/>
      <w:autoSpaceDE/>
      <w:autoSpaceDN/>
      <w:adjustRightInd/>
      <w:ind w:firstLine="709"/>
    </w:pPr>
    <w:rPr>
      <w:szCs w:val="24"/>
      <w:lang w:eastAsia="en-US"/>
    </w:rPr>
  </w:style>
  <w:style w:type="character" w:customStyle="1" w:styleId="1c">
    <w:name w:val="Текст в 1 разделе Знак"/>
    <w:link w:val="1b"/>
    <w:rsid w:val="00343336"/>
    <w:rPr>
      <w:rFonts w:ascii="Times New Roman" w:hAnsi="Times New Roman" w:cs="Times New Roman"/>
      <w:sz w:val="24"/>
      <w:szCs w:val="24"/>
      <w:lang w:eastAsia="en-US"/>
    </w:rPr>
  </w:style>
  <w:style w:type="paragraph" w:customStyle="1" w:styleId="CustomContentNormal">
    <w:name w:val="Custom Content Normal"/>
    <w:link w:val="CustomContentNormal0"/>
    <w:rsid w:val="00C35876"/>
    <w:pPr>
      <w:keepNext/>
      <w:keepLines/>
      <w:spacing w:before="240" w:line="360" w:lineRule="auto"/>
      <w:contextualSpacing/>
      <w:jc w:val="center"/>
      <w:outlineLvl w:val="0"/>
    </w:pPr>
    <w:rPr>
      <w:rFonts w:ascii="Times New Roman" w:eastAsia="Sans" w:hAnsi="Times New Roman" w:cs="Times New Roman"/>
      <w:b/>
      <w:sz w:val="28"/>
      <w:szCs w:val="22"/>
      <w:lang w:eastAsia="en-US"/>
    </w:rPr>
  </w:style>
  <w:style w:type="character" w:customStyle="1" w:styleId="CustomContentNormal0">
    <w:name w:val="Custom Content Normal Знак"/>
    <w:link w:val="CustomContentNormal"/>
    <w:rsid w:val="00C35876"/>
    <w:rPr>
      <w:rFonts w:ascii="Times New Roman" w:eastAsia="Sans" w:hAnsi="Times New Roman" w:cs="Times New Roman"/>
      <w:b/>
      <w:sz w:val="28"/>
      <w:szCs w:val="22"/>
      <w:lang w:eastAsia="en-US" w:bidi="ar-SA"/>
    </w:rPr>
  </w:style>
  <w:style w:type="paragraph" w:customStyle="1" w:styleId="aff9">
    <w:name w:val="Наим. раздела"/>
    <w:basedOn w:val="CustomContentNormal"/>
    <w:link w:val="affa"/>
    <w:qFormat/>
    <w:rsid w:val="003A61A4"/>
  </w:style>
  <w:style w:type="character" w:customStyle="1" w:styleId="affa">
    <w:name w:val="Наим. раздела Знак"/>
    <w:link w:val="aff9"/>
    <w:rsid w:val="003A61A4"/>
    <w:rPr>
      <w:rFonts w:ascii="Times New Roman" w:eastAsia="Sans" w:hAnsi="Times New Roman" w:cs="Times New Roman"/>
      <w:b/>
      <w:sz w:val="28"/>
      <w:szCs w:val="22"/>
      <w:lang w:eastAsia="en-US"/>
    </w:rPr>
  </w:style>
  <w:style w:type="character" w:customStyle="1" w:styleId="moterm">
    <w:name w:val="mo_term"/>
    <w:rsid w:val="007A1DB4"/>
  </w:style>
  <w:style w:type="paragraph" w:customStyle="1" w:styleId="1d">
    <w:name w:val="Оглавление 1 Знак"/>
    <w:basedOn w:val="a2"/>
    <w:qFormat/>
    <w:rsid w:val="00365604"/>
    <w:pPr>
      <w:autoSpaceDE/>
      <w:autoSpaceDN/>
      <w:adjustRightInd/>
      <w:ind w:left="709" w:hanging="283"/>
    </w:pPr>
    <w:rPr>
      <w:szCs w:val="24"/>
    </w:rPr>
  </w:style>
  <w:style w:type="character" w:customStyle="1" w:styleId="ListLabel15">
    <w:name w:val="ListLabel 15"/>
    <w:rsid w:val="00365604"/>
    <w:rPr>
      <w:rFonts w:cs="Courier New"/>
    </w:rPr>
  </w:style>
  <w:style w:type="paragraph" w:customStyle="1" w:styleId="affb">
    <w:name w:val="Содержимое врезки"/>
    <w:basedOn w:val="a2"/>
    <w:qFormat/>
    <w:rsid w:val="00365604"/>
    <w:pPr>
      <w:widowControl/>
      <w:autoSpaceDE/>
      <w:autoSpaceDN/>
      <w:adjustRightInd/>
      <w:ind w:firstLine="709"/>
    </w:pPr>
    <w:rPr>
      <w:rFonts w:eastAsia="Calibri"/>
      <w:szCs w:val="22"/>
      <w:lang w:eastAsia="en-US"/>
    </w:rPr>
  </w:style>
  <w:style w:type="character" w:styleId="affc">
    <w:name w:val="Emphasis"/>
    <w:uiPriority w:val="20"/>
    <w:qFormat/>
    <w:rsid w:val="00F43872"/>
    <w:rPr>
      <w:i/>
      <w:iCs/>
    </w:rPr>
  </w:style>
  <w:style w:type="paragraph" w:customStyle="1" w:styleId="FitzBullet">
    <w:name w:val="FitzBullet"/>
    <w:basedOn w:val="a2"/>
    <w:uiPriority w:val="99"/>
    <w:rsid w:val="00853906"/>
    <w:pPr>
      <w:widowControl/>
      <w:shd w:val="clear" w:color="auto" w:fill="FFFFFF"/>
      <w:tabs>
        <w:tab w:val="left" w:pos="317"/>
      </w:tabs>
      <w:spacing w:before="60" w:after="60"/>
      <w:ind w:left="283" w:hanging="283"/>
      <w:jc w:val="left"/>
    </w:pPr>
    <w:rPr>
      <w:color w:val="000000"/>
      <w:szCs w:val="24"/>
    </w:rPr>
  </w:style>
  <w:style w:type="table" w:customStyle="1" w:styleId="-131">
    <w:name w:val="Список-таблица 1 светлая — акцент 31"/>
    <w:basedOn w:val="a4"/>
    <w:uiPriority w:val="46"/>
    <w:rsid w:val="00853906"/>
    <w:rPr>
      <w:rFonts w:eastAsia="Calibri" w:cs="Times New Roman"/>
      <w:szCs w:val="22"/>
      <w:lang w:eastAsia="en-US"/>
    </w:rPr>
    <w:tblPr>
      <w:tblStyleRowBandSize w:val="1"/>
      <w:tblStyleColBandSize w:val="1"/>
    </w:tblPr>
    <w:tblStylePr w:type="firstRow">
      <w:rPr>
        <w:b/>
        <w:bCs/>
      </w:rPr>
      <w:tblPr/>
      <w:tcPr>
        <w:tcBorders>
          <w:bottom w:val="single" w:sz="4" w:space="0" w:color="C9C9C9"/>
        </w:tcBorders>
      </w:tcPr>
    </w:tblStylePr>
    <w:tblStylePr w:type="lastRow">
      <w:rPr>
        <w:b/>
        <w:bCs/>
      </w:rPr>
      <w:tblPr/>
      <w:tcPr>
        <w:tcBorders>
          <w:top w:val="sing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paragraph" w:customStyle="1" w:styleId="12">
    <w:name w:val="Заголовок1"/>
    <w:basedOn w:val="a2"/>
    <w:next w:val="a6"/>
    <w:qFormat/>
    <w:rsid w:val="00A5791E"/>
    <w:pPr>
      <w:keepNext/>
      <w:widowControl/>
      <w:suppressAutoHyphens/>
      <w:autoSpaceDE/>
      <w:autoSpaceDN/>
      <w:adjustRightInd/>
      <w:spacing w:before="240" w:after="120"/>
      <w:jc w:val="left"/>
    </w:pPr>
    <w:rPr>
      <w:rFonts w:ascii="Liberation Sans" w:eastAsia="Microsoft YaHei" w:hAnsi="Liberation Sans" w:cs="Mangal"/>
      <w:sz w:val="28"/>
      <w:szCs w:val="28"/>
      <w:lang w:eastAsia="zh-CN"/>
    </w:rPr>
  </w:style>
  <w:style w:type="paragraph" w:customStyle="1" w:styleId="2-41">
    <w:name w:val="Средний список 2 - Акцент 41"/>
    <w:basedOn w:val="a2"/>
    <w:uiPriority w:val="34"/>
    <w:qFormat/>
    <w:rsid w:val="00254823"/>
    <w:pPr>
      <w:widowControl/>
      <w:suppressAutoHyphens/>
      <w:autoSpaceDE/>
      <w:autoSpaceDN/>
      <w:adjustRightInd/>
      <w:ind w:left="708"/>
      <w:jc w:val="left"/>
    </w:pPr>
    <w:rPr>
      <w:rFonts w:eastAsia="Calibri"/>
      <w:szCs w:val="22"/>
      <w:lang w:eastAsia="zh-CN"/>
    </w:rPr>
  </w:style>
  <w:style w:type="paragraph" w:customStyle="1" w:styleId="2-11">
    <w:name w:val="Средняя сетка 2 - Акцент 11"/>
    <w:basedOn w:val="a2"/>
    <w:uiPriority w:val="1"/>
    <w:qFormat/>
    <w:rsid w:val="00254823"/>
    <w:pPr>
      <w:keepNext/>
      <w:widowControl/>
      <w:tabs>
        <w:tab w:val="num" w:pos="720"/>
      </w:tabs>
      <w:autoSpaceDE/>
      <w:autoSpaceDN/>
      <w:adjustRightInd/>
      <w:ind w:left="1080" w:hanging="360"/>
      <w:contextualSpacing/>
      <w:jc w:val="left"/>
      <w:outlineLvl w:val="1"/>
    </w:pPr>
    <w:rPr>
      <w:rFonts w:ascii="Verdana" w:hAnsi="Verdana"/>
      <w:szCs w:val="24"/>
    </w:rPr>
  </w:style>
  <w:style w:type="paragraph" w:customStyle="1" w:styleId="-312">
    <w:name w:val="Светлая сетка - Акцент 31"/>
    <w:basedOn w:val="a2"/>
    <w:uiPriority w:val="34"/>
    <w:qFormat/>
    <w:rsid w:val="00254823"/>
    <w:pPr>
      <w:widowControl/>
      <w:autoSpaceDE/>
      <w:autoSpaceDN/>
      <w:adjustRightInd/>
      <w:ind w:left="720"/>
      <w:contextualSpacing/>
      <w:jc w:val="left"/>
    </w:pPr>
    <w:rPr>
      <w:szCs w:val="24"/>
    </w:rPr>
  </w:style>
  <w:style w:type="character" w:customStyle="1" w:styleId="ref-journal">
    <w:name w:val="ref-journal"/>
    <w:rsid w:val="00254823"/>
  </w:style>
  <w:style w:type="character" w:customStyle="1" w:styleId="ref-vol">
    <w:name w:val="ref-vol"/>
    <w:rsid w:val="00254823"/>
  </w:style>
  <w:style w:type="character" w:customStyle="1" w:styleId="cit-source">
    <w:name w:val="cit-source"/>
    <w:rsid w:val="00254823"/>
  </w:style>
  <w:style w:type="character" w:customStyle="1" w:styleId="cit-pub-date">
    <w:name w:val="cit-pub-date"/>
    <w:rsid w:val="00254823"/>
  </w:style>
  <w:style w:type="character" w:customStyle="1" w:styleId="cit-vol">
    <w:name w:val="cit-vol"/>
    <w:rsid w:val="00254823"/>
  </w:style>
  <w:style w:type="character" w:customStyle="1" w:styleId="cit-fpage">
    <w:name w:val="cit-fpage"/>
    <w:rsid w:val="00254823"/>
  </w:style>
  <w:style w:type="character" w:customStyle="1" w:styleId="citation">
    <w:name w:val="citation"/>
    <w:rsid w:val="00254823"/>
  </w:style>
  <w:style w:type="character" w:customStyle="1" w:styleId="highwire-citation-authors">
    <w:name w:val="highwire-citation-authors"/>
    <w:rsid w:val="00254823"/>
  </w:style>
  <w:style w:type="character" w:customStyle="1" w:styleId="highwire-citation-author">
    <w:name w:val="highwire-citation-author"/>
    <w:rsid w:val="00254823"/>
  </w:style>
  <w:style w:type="character" w:customStyle="1" w:styleId="nlm-given-names">
    <w:name w:val="nlm-given-names"/>
    <w:rsid w:val="00254823"/>
  </w:style>
  <w:style w:type="character" w:customStyle="1" w:styleId="nlm-surname">
    <w:name w:val="nlm-surname"/>
    <w:rsid w:val="00254823"/>
  </w:style>
  <w:style w:type="character" w:customStyle="1" w:styleId="highwire-cite-metadata-journal">
    <w:name w:val="highwire-cite-metadata-journal"/>
    <w:rsid w:val="00254823"/>
  </w:style>
  <w:style w:type="character" w:customStyle="1" w:styleId="highwire-cite-metadata-date">
    <w:name w:val="highwire-cite-metadata-date"/>
    <w:rsid w:val="00254823"/>
  </w:style>
  <w:style w:type="character" w:customStyle="1" w:styleId="highwire-cite-metadata-volume-pages">
    <w:name w:val="highwire-cite-metadata-volume-pages"/>
    <w:rsid w:val="00254823"/>
  </w:style>
  <w:style w:type="character" w:customStyle="1" w:styleId="jrnl">
    <w:name w:val="jrnl"/>
    <w:rsid w:val="00254823"/>
  </w:style>
  <w:style w:type="paragraph" w:customStyle="1" w:styleId="details">
    <w:name w:val="details"/>
    <w:basedOn w:val="a2"/>
    <w:rsid w:val="00254823"/>
    <w:pPr>
      <w:widowControl/>
      <w:autoSpaceDE/>
      <w:autoSpaceDN/>
      <w:adjustRightInd/>
      <w:spacing w:before="100" w:beforeAutospacing="1" w:after="100" w:afterAutospacing="1"/>
      <w:jc w:val="left"/>
    </w:pPr>
    <w:rPr>
      <w:szCs w:val="24"/>
    </w:rPr>
  </w:style>
  <w:style w:type="character" w:customStyle="1" w:styleId="ref-title">
    <w:name w:val="ref-title"/>
    <w:rsid w:val="00254823"/>
  </w:style>
  <w:style w:type="paragraph" w:customStyle="1" w:styleId="desc">
    <w:name w:val="desc"/>
    <w:basedOn w:val="a2"/>
    <w:rsid w:val="00254823"/>
    <w:pPr>
      <w:widowControl/>
      <w:autoSpaceDE/>
      <w:autoSpaceDN/>
      <w:adjustRightInd/>
      <w:spacing w:before="100" w:beforeAutospacing="1" w:after="100" w:afterAutospacing="1"/>
      <w:jc w:val="left"/>
    </w:pPr>
    <w:rPr>
      <w:szCs w:val="24"/>
    </w:rPr>
  </w:style>
  <w:style w:type="character" w:customStyle="1" w:styleId="title-text">
    <w:name w:val="title-text"/>
    <w:rsid w:val="00254823"/>
  </w:style>
  <w:style w:type="character" w:customStyle="1" w:styleId="cit">
    <w:name w:val="cit"/>
    <w:rsid w:val="00254823"/>
  </w:style>
  <w:style w:type="character" w:customStyle="1" w:styleId="doi">
    <w:name w:val="doi"/>
    <w:rsid w:val="00254823"/>
  </w:style>
  <w:style w:type="character" w:customStyle="1" w:styleId="ref-iss">
    <w:name w:val="ref-iss"/>
    <w:rsid w:val="00254823"/>
  </w:style>
  <w:style w:type="character" w:customStyle="1" w:styleId="text">
    <w:name w:val="text"/>
    <w:rsid w:val="00254823"/>
  </w:style>
  <w:style w:type="character" w:customStyle="1" w:styleId="author-ref">
    <w:name w:val="author-ref"/>
    <w:rsid w:val="00254823"/>
  </w:style>
  <w:style w:type="character" w:customStyle="1" w:styleId="fm-vol-iss-date">
    <w:name w:val="fm-vol-iss-date"/>
    <w:rsid w:val="00254823"/>
  </w:style>
  <w:style w:type="character" w:customStyle="1" w:styleId="cit-auth">
    <w:name w:val="cit-auth"/>
    <w:rsid w:val="00254823"/>
  </w:style>
  <w:style w:type="character" w:customStyle="1" w:styleId="cit-name-surname">
    <w:name w:val="cit-name-surname"/>
    <w:rsid w:val="00254823"/>
  </w:style>
  <w:style w:type="character" w:customStyle="1" w:styleId="cit-name-given-names">
    <w:name w:val="cit-name-given-names"/>
    <w:rsid w:val="00254823"/>
  </w:style>
  <w:style w:type="character" w:customStyle="1" w:styleId="cit-etal">
    <w:name w:val="cit-etal"/>
    <w:rsid w:val="00254823"/>
  </w:style>
  <w:style w:type="character" w:customStyle="1" w:styleId="cit-article-title">
    <w:name w:val="cit-article-title"/>
    <w:rsid w:val="00254823"/>
  </w:style>
  <w:style w:type="character" w:customStyle="1" w:styleId="cit-issue">
    <w:name w:val="cit-issue"/>
    <w:rsid w:val="00254823"/>
  </w:style>
  <w:style w:type="character" w:customStyle="1" w:styleId="cit-lpage">
    <w:name w:val="cit-lpage"/>
    <w:rsid w:val="00254823"/>
  </w:style>
  <w:style w:type="character" w:customStyle="1" w:styleId="highwire-cite-metadata-doi">
    <w:name w:val="highwire-cite-metadata-doi"/>
    <w:rsid w:val="00254823"/>
  </w:style>
  <w:style w:type="character" w:customStyle="1" w:styleId="author">
    <w:name w:val="author"/>
    <w:rsid w:val="00254823"/>
  </w:style>
  <w:style w:type="character" w:customStyle="1" w:styleId="articletitle">
    <w:name w:val="articletitle"/>
    <w:rsid w:val="00254823"/>
  </w:style>
  <w:style w:type="character" w:customStyle="1" w:styleId="pubyear">
    <w:name w:val="pubyear"/>
    <w:rsid w:val="00254823"/>
  </w:style>
  <w:style w:type="character" w:customStyle="1" w:styleId="vol">
    <w:name w:val="vol"/>
    <w:rsid w:val="00254823"/>
  </w:style>
  <w:style w:type="character" w:customStyle="1" w:styleId="citedissue">
    <w:name w:val="citedissue"/>
    <w:rsid w:val="00254823"/>
  </w:style>
  <w:style w:type="character" w:customStyle="1" w:styleId="pagefirst">
    <w:name w:val="pagefirst"/>
    <w:rsid w:val="00254823"/>
  </w:style>
  <w:style w:type="character" w:customStyle="1" w:styleId="pagelast">
    <w:name w:val="pagelast"/>
    <w:uiPriority w:val="99"/>
    <w:rsid w:val="00254823"/>
  </w:style>
  <w:style w:type="paragraph" w:customStyle="1" w:styleId="1e">
    <w:name w:val="Название1"/>
    <w:aliases w:val="Заголовок мой"/>
    <w:basedOn w:val="a2"/>
    <w:qFormat/>
    <w:rsid w:val="00254823"/>
    <w:pPr>
      <w:widowControl/>
      <w:autoSpaceDE/>
      <w:autoSpaceDN/>
      <w:adjustRightInd/>
      <w:spacing w:before="100" w:beforeAutospacing="1" w:after="100" w:afterAutospacing="1"/>
      <w:jc w:val="left"/>
    </w:pPr>
    <w:rPr>
      <w:szCs w:val="24"/>
    </w:rPr>
  </w:style>
  <w:style w:type="character" w:customStyle="1" w:styleId="titledefault">
    <w:name w:val="title_default"/>
    <w:rsid w:val="00254823"/>
  </w:style>
  <w:style w:type="character" w:customStyle="1" w:styleId="authorsname">
    <w:name w:val="authors__name"/>
    <w:rsid w:val="00254823"/>
  </w:style>
  <w:style w:type="character" w:customStyle="1" w:styleId="sr-only">
    <w:name w:val="sr-only"/>
    <w:rsid w:val="00254823"/>
  </w:style>
  <w:style w:type="paragraph" w:customStyle="1" w:styleId="-11">
    <w:name w:val="Цветной список - Акцент 11"/>
    <w:basedOn w:val="a2"/>
    <w:uiPriority w:val="34"/>
    <w:qFormat/>
    <w:rsid w:val="004F4579"/>
    <w:pPr>
      <w:widowControl/>
      <w:autoSpaceDE/>
      <w:autoSpaceDN/>
      <w:adjustRightInd/>
      <w:ind w:left="720"/>
      <w:contextualSpacing/>
      <w:jc w:val="left"/>
    </w:pPr>
    <w:rPr>
      <w:rFonts w:ascii="Calibri" w:eastAsia="Calibri" w:hAnsi="Calibri"/>
      <w:szCs w:val="24"/>
      <w:lang w:eastAsia="en-US"/>
    </w:rPr>
  </w:style>
  <w:style w:type="paragraph" w:styleId="affd">
    <w:name w:val="Document Map"/>
    <w:basedOn w:val="a2"/>
    <w:link w:val="affe"/>
    <w:uiPriority w:val="99"/>
    <w:semiHidden/>
    <w:unhideWhenUsed/>
    <w:rsid w:val="004F4579"/>
    <w:pPr>
      <w:widowControl/>
      <w:autoSpaceDE/>
      <w:autoSpaceDN/>
      <w:adjustRightInd/>
      <w:jc w:val="left"/>
    </w:pPr>
    <w:rPr>
      <w:rFonts w:eastAsia="Calibri"/>
      <w:szCs w:val="24"/>
      <w:lang w:eastAsia="en-US"/>
    </w:rPr>
  </w:style>
  <w:style w:type="character" w:customStyle="1" w:styleId="affe">
    <w:name w:val="Схема документа Знак"/>
    <w:link w:val="affd"/>
    <w:uiPriority w:val="99"/>
    <w:semiHidden/>
    <w:rsid w:val="004F4579"/>
    <w:rPr>
      <w:rFonts w:ascii="Times New Roman" w:eastAsia="Calibri" w:hAnsi="Times New Roman" w:cs="Times New Roman"/>
      <w:sz w:val="24"/>
      <w:szCs w:val="24"/>
      <w:lang w:eastAsia="en-US"/>
    </w:rPr>
  </w:style>
  <w:style w:type="character" w:styleId="HTML">
    <w:name w:val="HTML Cite"/>
    <w:uiPriority w:val="99"/>
    <w:semiHidden/>
    <w:unhideWhenUsed/>
    <w:rsid w:val="004F4579"/>
    <w:rPr>
      <w:i/>
      <w:iCs/>
    </w:rPr>
  </w:style>
  <w:style w:type="paragraph" w:styleId="HTML0">
    <w:name w:val="HTML Preformatted"/>
    <w:basedOn w:val="a2"/>
    <w:link w:val="HTML1"/>
    <w:unhideWhenUsed/>
    <w:rsid w:val="004F457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left"/>
    </w:pPr>
    <w:rPr>
      <w:rFonts w:ascii="Courier New" w:eastAsia="Calibri" w:hAnsi="Courier New"/>
      <w:sz w:val="20"/>
    </w:rPr>
  </w:style>
  <w:style w:type="character" w:customStyle="1" w:styleId="HTML1">
    <w:name w:val="Стандартный HTML Знак"/>
    <w:link w:val="HTML0"/>
    <w:rsid w:val="004F4579"/>
    <w:rPr>
      <w:rFonts w:ascii="Courier New" w:eastAsia="Calibri" w:hAnsi="Courier New" w:cs="Courier New"/>
    </w:rPr>
  </w:style>
  <w:style w:type="table" w:customStyle="1" w:styleId="1f">
    <w:name w:val="Сетка таблицы1"/>
    <w:basedOn w:val="a4"/>
    <w:next w:val="ae"/>
    <w:uiPriority w:val="59"/>
    <w:rsid w:val="00C23922"/>
    <w:rPr>
      <w:rFonts w:eastAsia="Calibri" w:cs="Times New Roman"/>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6">
    <w:name w:val="Вводный текст 2-6 разделы"/>
    <w:basedOn w:val="a2"/>
    <w:link w:val="2-60"/>
    <w:qFormat/>
    <w:rsid w:val="00325FCD"/>
    <w:pPr>
      <w:widowControl/>
      <w:autoSpaceDE/>
      <w:autoSpaceDN/>
      <w:adjustRightInd/>
      <w:ind w:firstLine="709"/>
    </w:pPr>
    <w:rPr>
      <w:rFonts w:eastAsia="Calibri"/>
      <w:szCs w:val="24"/>
      <w:lang w:eastAsia="en-US"/>
    </w:rPr>
  </w:style>
  <w:style w:type="character" w:customStyle="1" w:styleId="2-60">
    <w:name w:val="Вводный текст 2-6 разделы Знак"/>
    <w:link w:val="2-6"/>
    <w:rsid w:val="00325FCD"/>
    <w:rPr>
      <w:rFonts w:ascii="Times New Roman" w:eastAsia="Calibri" w:hAnsi="Times New Roman" w:cs="Times New Roman"/>
      <w:sz w:val="24"/>
      <w:szCs w:val="24"/>
      <w:lang w:eastAsia="en-US"/>
    </w:rPr>
  </w:style>
  <w:style w:type="paragraph" w:customStyle="1" w:styleId="afff">
    <w:basedOn w:val="a2"/>
    <w:next w:val="18"/>
    <w:uiPriority w:val="99"/>
    <w:unhideWhenUsed/>
    <w:qFormat/>
    <w:rsid w:val="00620298"/>
    <w:pPr>
      <w:widowControl/>
      <w:autoSpaceDE/>
      <w:autoSpaceDN/>
      <w:adjustRightInd/>
      <w:spacing w:beforeAutospacing="1" w:afterAutospacing="1" w:line="288" w:lineRule="auto"/>
      <w:jc w:val="left"/>
    </w:pPr>
    <w:rPr>
      <w:szCs w:val="24"/>
    </w:rPr>
  </w:style>
  <w:style w:type="paragraph" w:customStyle="1" w:styleId="afff0">
    <w:name w:val="УДД;УУР"/>
    <w:basedOn w:val="afff1"/>
    <w:qFormat/>
    <w:rsid w:val="00841090"/>
    <w:pPr>
      <w:widowControl/>
      <w:autoSpaceDE/>
      <w:autoSpaceDN/>
      <w:adjustRightInd/>
      <w:spacing w:line="360" w:lineRule="auto"/>
      <w:ind w:left="709"/>
      <w:contextualSpacing/>
    </w:pPr>
    <w:rPr>
      <w:rFonts w:eastAsia="Calibri"/>
      <w:b/>
      <w:szCs w:val="24"/>
      <w:lang w:eastAsia="en-US"/>
    </w:rPr>
  </w:style>
  <w:style w:type="paragraph" w:styleId="afff1">
    <w:name w:val="No Spacing"/>
    <w:uiPriority w:val="1"/>
    <w:qFormat/>
    <w:rsid w:val="00841090"/>
    <w:pPr>
      <w:widowControl w:val="0"/>
      <w:autoSpaceDE w:val="0"/>
      <w:autoSpaceDN w:val="0"/>
      <w:adjustRightInd w:val="0"/>
      <w:jc w:val="both"/>
    </w:pPr>
    <w:rPr>
      <w:rFonts w:ascii="Times New Roman" w:hAnsi="Times New Roman" w:cs="Times New Roman"/>
      <w:sz w:val="24"/>
    </w:rPr>
  </w:style>
  <w:style w:type="character" w:styleId="afff2">
    <w:name w:val="Placeholder Text"/>
    <w:basedOn w:val="a3"/>
    <w:uiPriority w:val="99"/>
    <w:unhideWhenUsed/>
    <w:rsid w:val="002356B9"/>
    <w:rPr>
      <w:color w:val="808080"/>
    </w:rPr>
  </w:style>
  <w:style w:type="paragraph" w:styleId="afff3">
    <w:name w:val="List Paragraph"/>
    <w:basedOn w:val="a2"/>
    <w:link w:val="afff4"/>
    <w:uiPriority w:val="34"/>
    <w:qFormat/>
    <w:rsid w:val="006F1882"/>
    <w:pPr>
      <w:ind w:left="720"/>
      <w:contextualSpacing/>
    </w:pPr>
  </w:style>
  <w:style w:type="paragraph" w:styleId="afff5">
    <w:name w:val="Revision"/>
    <w:hidden/>
    <w:uiPriority w:val="99"/>
    <w:rsid w:val="00120A8F"/>
    <w:rPr>
      <w:rFonts w:ascii="Times New Roman" w:hAnsi="Times New Roman" w:cs="Times New Roman"/>
      <w:sz w:val="24"/>
    </w:rPr>
  </w:style>
  <w:style w:type="paragraph" w:customStyle="1" w:styleId="afff6">
    <w:name w:val="УДД"/>
    <w:aliases w:val="УУР"/>
    <w:basedOn w:val="a2"/>
    <w:rsid w:val="002E04DA"/>
    <w:pPr>
      <w:spacing w:before="100" w:beforeAutospacing="1"/>
      <w:ind w:firstLine="709"/>
      <w:contextualSpacing/>
    </w:pPr>
    <w:rPr>
      <w:b/>
    </w:rPr>
  </w:style>
  <w:style w:type="character" w:customStyle="1" w:styleId="50">
    <w:name w:val="Заголовок 5 Знак"/>
    <w:basedOn w:val="a3"/>
    <w:link w:val="5"/>
    <w:uiPriority w:val="99"/>
    <w:rsid w:val="007837F7"/>
    <w:rPr>
      <w:rFonts w:asciiTheme="majorHAnsi" w:eastAsiaTheme="majorEastAsia" w:hAnsiTheme="majorHAnsi" w:cstheme="majorBidi"/>
      <w:color w:val="365F91" w:themeColor="accent1" w:themeShade="BF"/>
      <w:sz w:val="22"/>
      <w:szCs w:val="22"/>
      <w:lang w:eastAsia="en-US"/>
    </w:rPr>
  </w:style>
  <w:style w:type="character" w:customStyle="1" w:styleId="60">
    <w:name w:val="Заголовок 6 Знак"/>
    <w:basedOn w:val="a3"/>
    <w:link w:val="6"/>
    <w:uiPriority w:val="99"/>
    <w:rsid w:val="007837F7"/>
    <w:rPr>
      <w:rFonts w:asciiTheme="majorHAnsi" w:eastAsiaTheme="majorEastAsia" w:hAnsiTheme="majorHAnsi" w:cstheme="majorBidi"/>
      <w:color w:val="243F60" w:themeColor="accent1" w:themeShade="7F"/>
      <w:sz w:val="22"/>
      <w:szCs w:val="22"/>
      <w:lang w:eastAsia="en-US"/>
    </w:rPr>
  </w:style>
  <w:style w:type="character" w:customStyle="1" w:styleId="afff4">
    <w:name w:val="Абзац списка Знак"/>
    <w:basedOn w:val="a3"/>
    <w:link w:val="afff3"/>
    <w:uiPriority w:val="34"/>
    <w:rsid w:val="007837F7"/>
    <w:rPr>
      <w:rFonts w:ascii="Times New Roman" w:hAnsi="Times New Roman" w:cs="Times New Roman"/>
      <w:sz w:val="24"/>
    </w:rPr>
  </w:style>
  <w:style w:type="paragraph" w:customStyle="1" w:styleId="Normal1">
    <w:name w:val="Normal 1"/>
    <w:rsid w:val="007837F7"/>
    <w:pPr>
      <w:shd w:val="clear" w:color="auto" w:fill="FFFFFF"/>
      <w:tabs>
        <w:tab w:val="left" w:pos="394"/>
      </w:tabs>
      <w:spacing w:before="5"/>
      <w:ind w:left="10" w:hanging="10"/>
    </w:pPr>
    <w:rPr>
      <w:rFonts w:ascii="Times New Roman" w:eastAsia="Arial Unicode MS" w:hAnsi="Times New Roman" w:cs="Arial Unicode MS"/>
      <w:color w:val="000000"/>
      <w:spacing w:val="4"/>
      <w:sz w:val="24"/>
      <w:szCs w:val="24"/>
      <w:u w:color="000000"/>
    </w:rPr>
  </w:style>
  <w:style w:type="paragraph" w:styleId="afff7">
    <w:name w:val="Normal (Web)"/>
    <w:basedOn w:val="a2"/>
    <w:link w:val="afff8"/>
    <w:uiPriority w:val="99"/>
    <w:unhideWhenUsed/>
    <w:qFormat/>
    <w:rsid w:val="007837F7"/>
    <w:pPr>
      <w:widowControl/>
      <w:autoSpaceDE/>
      <w:autoSpaceDN/>
      <w:adjustRightInd/>
      <w:spacing w:before="100" w:beforeAutospacing="1" w:after="100" w:afterAutospacing="1"/>
      <w:jc w:val="left"/>
    </w:pPr>
    <w:rPr>
      <w:szCs w:val="24"/>
    </w:rPr>
  </w:style>
  <w:style w:type="paragraph" w:customStyle="1" w:styleId="a">
    <w:name w:val="рек"/>
    <w:basedOn w:val="afff3"/>
    <w:link w:val="afff9"/>
    <w:qFormat/>
    <w:rsid w:val="007837F7"/>
    <w:pPr>
      <w:widowControl/>
      <w:numPr>
        <w:numId w:val="51"/>
      </w:numPr>
      <w:tabs>
        <w:tab w:val="left" w:pos="1134"/>
      </w:tabs>
      <w:autoSpaceDE/>
      <w:autoSpaceDN/>
      <w:adjustRightInd/>
      <w:spacing w:before="240"/>
      <w:ind w:left="709" w:hanging="425"/>
      <w:contextualSpacing w:val="0"/>
    </w:pPr>
    <w:rPr>
      <w:rFonts w:eastAsiaTheme="minorHAnsi"/>
      <w:szCs w:val="24"/>
      <w:lang w:eastAsia="en-US"/>
    </w:rPr>
  </w:style>
  <w:style w:type="character" w:customStyle="1" w:styleId="afff9">
    <w:name w:val="рек Знак"/>
    <w:basedOn w:val="afff4"/>
    <w:link w:val="a"/>
    <w:rsid w:val="007837F7"/>
    <w:rPr>
      <w:rFonts w:ascii="Times New Roman" w:eastAsiaTheme="minorHAnsi" w:hAnsi="Times New Roman" w:cs="Times New Roman"/>
      <w:sz w:val="24"/>
      <w:szCs w:val="24"/>
      <w:lang w:eastAsia="en-US"/>
    </w:rPr>
  </w:style>
  <w:style w:type="paragraph" w:customStyle="1" w:styleId="Number1">
    <w:name w:val="Number1"/>
    <w:basedOn w:val="a2"/>
    <w:rsid w:val="007837F7"/>
    <w:pPr>
      <w:widowControl/>
      <w:shd w:val="clear" w:color="auto" w:fill="FFFFFF"/>
      <w:tabs>
        <w:tab w:val="left" w:pos="394"/>
      </w:tabs>
      <w:overflowPunct w:val="0"/>
      <w:spacing w:before="5"/>
      <w:ind w:left="284" w:hanging="284"/>
      <w:jc w:val="left"/>
      <w:textAlignment w:val="baseline"/>
    </w:pPr>
    <w:rPr>
      <w:color w:val="000000"/>
      <w:spacing w:val="-1"/>
    </w:rPr>
  </w:style>
  <w:style w:type="character" w:styleId="afffa">
    <w:name w:val="page number"/>
    <w:basedOn w:val="a3"/>
    <w:uiPriority w:val="99"/>
    <w:unhideWhenUsed/>
    <w:rsid w:val="007837F7"/>
  </w:style>
  <w:style w:type="character" w:customStyle="1" w:styleId="sokr">
    <w:name w:val="sokr"/>
    <w:basedOn w:val="a3"/>
    <w:rsid w:val="007837F7"/>
  </w:style>
  <w:style w:type="paragraph" w:customStyle="1" w:styleId="opisdvfld">
    <w:name w:val="opis_dvfld"/>
    <w:basedOn w:val="a2"/>
    <w:rsid w:val="007837F7"/>
    <w:pPr>
      <w:widowControl/>
      <w:autoSpaceDE/>
      <w:autoSpaceDN/>
      <w:adjustRightInd/>
      <w:spacing w:before="100" w:beforeAutospacing="1" w:after="100" w:afterAutospacing="1"/>
      <w:jc w:val="left"/>
    </w:pPr>
    <w:rPr>
      <w:szCs w:val="24"/>
    </w:rPr>
  </w:style>
  <w:style w:type="character" w:customStyle="1" w:styleId="author-sup-separator">
    <w:name w:val="author-sup-separator"/>
    <w:rsid w:val="007837F7"/>
  </w:style>
  <w:style w:type="character" w:customStyle="1" w:styleId="comma">
    <w:name w:val="comma"/>
    <w:rsid w:val="007837F7"/>
  </w:style>
  <w:style w:type="character" w:customStyle="1" w:styleId="citation-doi">
    <w:name w:val="citation-doi"/>
    <w:rsid w:val="007837F7"/>
  </w:style>
  <w:style w:type="character" w:customStyle="1" w:styleId="st">
    <w:name w:val="st"/>
    <w:rsid w:val="007837F7"/>
  </w:style>
  <w:style w:type="character" w:customStyle="1" w:styleId="1f0">
    <w:name w:val="Строгий1"/>
    <w:rsid w:val="007837F7"/>
  </w:style>
  <w:style w:type="paragraph" w:customStyle="1" w:styleId="Numlist">
    <w:name w:val="Num_list"/>
    <w:basedOn w:val="a2"/>
    <w:qFormat/>
    <w:rsid w:val="007837F7"/>
    <w:pPr>
      <w:widowControl/>
      <w:overflowPunct w:val="0"/>
      <w:ind w:firstLine="708"/>
      <w:jc w:val="left"/>
      <w:textAlignment w:val="baseline"/>
    </w:pPr>
    <w:rPr>
      <w:szCs w:val="24"/>
    </w:rPr>
  </w:style>
  <w:style w:type="character" w:customStyle="1" w:styleId="hgkelc">
    <w:name w:val="hgkelc"/>
    <w:basedOn w:val="a3"/>
    <w:rsid w:val="007837F7"/>
  </w:style>
  <w:style w:type="paragraph" w:customStyle="1" w:styleId="afffb">
    <w:name w:val="Литература"/>
    <w:basedOn w:val="a2"/>
    <w:qFormat/>
    <w:rsid w:val="007837F7"/>
    <w:pPr>
      <w:widowControl/>
      <w:suppressAutoHyphens/>
      <w:autoSpaceDE/>
      <w:autoSpaceDN/>
      <w:adjustRightInd/>
      <w:spacing w:after="120"/>
      <w:jc w:val="left"/>
    </w:pPr>
    <w:rPr>
      <w:rFonts w:eastAsia="Calibri"/>
      <w:i/>
      <w:kern w:val="1"/>
      <w:szCs w:val="24"/>
      <w:lang w:val="en-US" w:eastAsia="en-US"/>
    </w:rPr>
  </w:style>
  <w:style w:type="paragraph" w:customStyle="1" w:styleId="Autor">
    <w:name w:val="Autor"/>
    <w:basedOn w:val="a2"/>
    <w:rsid w:val="007837F7"/>
    <w:pPr>
      <w:shd w:val="clear" w:color="auto" w:fill="FFFFFF"/>
      <w:overflowPunct w:val="0"/>
      <w:spacing w:before="120" w:line="240" w:lineRule="atLeast"/>
      <w:jc w:val="left"/>
      <w:textAlignment w:val="baseline"/>
    </w:pPr>
    <w:rPr>
      <w:rFonts w:eastAsia="Calibri"/>
      <w:i/>
      <w:iCs/>
      <w:sz w:val="22"/>
      <w:szCs w:val="22"/>
      <w:lang w:val="en-US"/>
    </w:rPr>
  </w:style>
  <w:style w:type="paragraph" w:customStyle="1" w:styleId="table-head-left">
    <w:name w:val="table-head-left"/>
    <w:basedOn w:val="a2"/>
    <w:uiPriority w:val="99"/>
    <w:rsid w:val="007837F7"/>
    <w:pPr>
      <w:widowControl/>
      <w:shd w:val="clear" w:color="auto" w:fill="FFFFFF"/>
      <w:tabs>
        <w:tab w:val="left" w:pos="394"/>
      </w:tabs>
      <w:overflowPunct w:val="0"/>
      <w:spacing w:before="40" w:after="40"/>
      <w:ind w:left="57" w:hanging="57"/>
      <w:textAlignment w:val="baseline"/>
    </w:pPr>
    <w:rPr>
      <w:rFonts w:eastAsia="Arial Unicode MS"/>
      <w:color w:val="000000"/>
      <w:spacing w:val="-5"/>
      <w:sz w:val="17"/>
    </w:rPr>
  </w:style>
  <w:style w:type="paragraph" w:customStyle="1" w:styleId="table-name">
    <w:name w:val="table-name"/>
    <w:basedOn w:val="a2"/>
    <w:rsid w:val="007837F7"/>
    <w:pPr>
      <w:widowControl/>
      <w:shd w:val="clear" w:color="auto" w:fill="FFFFFF"/>
      <w:tabs>
        <w:tab w:val="left" w:pos="394"/>
      </w:tabs>
      <w:overflowPunct w:val="0"/>
      <w:spacing w:before="60"/>
      <w:ind w:left="10" w:firstLine="284"/>
      <w:jc w:val="left"/>
      <w:textAlignment w:val="baseline"/>
    </w:pPr>
    <w:rPr>
      <w:rFonts w:eastAsia="Arial Unicode MS"/>
      <w:color w:val="000000"/>
      <w:spacing w:val="-5"/>
      <w:lang w:val="en-US"/>
    </w:rPr>
  </w:style>
  <w:style w:type="paragraph" w:customStyle="1" w:styleId="table-text-0">
    <w:name w:val="table-text-0"/>
    <w:basedOn w:val="a2"/>
    <w:rsid w:val="007837F7"/>
    <w:pPr>
      <w:widowControl/>
      <w:shd w:val="clear" w:color="auto" w:fill="FFFFFF"/>
      <w:tabs>
        <w:tab w:val="left" w:pos="394"/>
      </w:tabs>
      <w:overflowPunct w:val="0"/>
      <w:spacing w:before="40" w:after="40"/>
      <w:ind w:left="10" w:hanging="10"/>
      <w:jc w:val="left"/>
      <w:textAlignment w:val="baseline"/>
    </w:pPr>
    <w:rPr>
      <w:rFonts w:eastAsia="Arial Unicode MS"/>
      <w:color w:val="000000"/>
      <w:spacing w:val="-5"/>
      <w:sz w:val="17"/>
    </w:rPr>
  </w:style>
  <w:style w:type="paragraph" w:customStyle="1" w:styleId="Number">
    <w:name w:val="Number"/>
    <w:basedOn w:val="a2"/>
    <w:uiPriority w:val="99"/>
    <w:rsid w:val="007837F7"/>
    <w:pPr>
      <w:widowControl/>
      <w:spacing w:before="40"/>
      <w:ind w:left="714" w:hanging="357"/>
      <w:jc w:val="left"/>
    </w:pPr>
    <w:rPr>
      <w:rFonts w:eastAsia="Arial Unicode MS"/>
      <w:color w:val="000000"/>
      <w:szCs w:val="24"/>
      <w:lang w:val="en-US"/>
    </w:rPr>
  </w:style>
  <w:style w:type="paragraph" w:customStyle="1" w:styleId="table-head-bold">
    <w:name w:val="table-head-bold"/>
    <w:basedOn w:val="a2"/>
    <w:uiPriority w:val="99"/>
    <w:rsid w:val="007837F7"/>
    <w:pPr>
      <w:widowControl/>
      <w:spacing w:before="40"/>
      <w:jc w:val="left"/>
    </w:pPr>
    <w:rPr>
      <w:rFonts w:eastAsia="Arial Unicode MS"/>
      <w:b/>
      <w:bCs/>
      <w:sz w:val="20"/>
    </w:rPr>
  </w:style>
  <w:style w:type="paragraph" w:customStyle="1" w:styleId="Author0">
    <w:name w:val="Author"/>
    <w:basedOn w:val="a2"/>
    <w:rsid w:val="007837F7"/>
    <w:pPr>
      <w:widowControl/>
      <w:overflowPunct w:val="0"/>
      <w:ind w:firstLine="284"/>
      <w:jc w:val="center"/>
      <w:textAlignment w:val="baseline"/>
    </w:pPr>
    <w:rPr>
      <w:i/>
    </w:rPr>
  </w:style>
  <w:style w:type="paragraph" w:customStyle="1" w:styleId="Literature">
    <w:name w:val="Literature"/>
    <w:basedOn w:val="a2"/>
    <w:uiPriority w:val="99"/>
    <w:rsid w:val="007837F7"/>
    <w:pPr>
      <w:widowControl/>
      <w:shd w:val="clear" w:color="auto" w:fill="FFFFFF"/>
      <w:tabs>
        <w:tab w:val="left" w:pos="0"/>
        <w:tab w:val="left" w:pos="1068"/>
      </w:tabs>
      <w:overflowPunct w:val="0"/>
      <w:spacing w:before="5"/>
      <w:ind w:left="720" w:hanging="360"/>
      <w:jc w:val="left"/>
      <w:textAlignment w:val="baseline"/>
    </w:pPr>
    <w:rPr>
      <w:color w:val="000000"/>
      <w:spacing w:val="-1"/>
    </w:rPr>
  </w:style>
  <w:style w:type="character" w:customStyle="1" w:styleId="hps">
    <w:name w:val="hps"/>
    <w:rsid w:val="007837F7"/>
  </w:style>
  <w:style w:type="paragraph" w:customStyle="1" w:styleId="210">
    <w:name w:val="Основной текст 21"/>
    <w:basedOn w:val="a2"/>
    <w:rsid w:val="007837F7"/>
    <w:pPr>
      <w:widowControl/>
      <w:overflowPunct w:val="0"/>
      <w:ind w:firstLine="567"/>
      <w:jc w:val="center"/>
      <w:textAlignment w:val="baseline"/>
    </w:pPr>
    <w:rPr>
      <w:sz w:val="28"/>
    </w:rPr>
  </w:style>
  <w:style w:type="paragraph" w:customStyle="1" w:styleId="Table-head-italic">
    <w:name w:val="Table-head-italic"/>
    <w:basedOn w:val="a2"/>
    <w:rsid w:val="007837F7"/>
    <w:pPr>
      <w:shd w:val="clear" w:color="auto" w:fill="FFFFFF"/>
      <w:jc w:val="left"/>
    </w:pPr>
    <w:rPr>
      <w:i/>
      <w:iCs/>
      <w:sz w:val="18"/>
      <w:szCs w:val="18"/>
      <w:lang w:val="en-US"/>
    </w:rPr>
  </w:style>
  <w:style w:type="paragraph" w:customStyle="1" w:styleId="1f1">
    <w:name w:val="Обычный1"/>
    <w:rsid w:val="007837F7"/>
    <w:pPr>
      <w:widowControl w:val="0"/>
      <w:spacing w:line="260" w:lineRule="auto"/>
    </w:pPr>
    <w:rPr>
      <w:rFonts w:ascii="Arial" w:eastAsia="Calibri" w:hAnsi="Arial" w:cs="Times New Roman"/>
      <w:sz w:val="18"/>
    </w:rPr>
  </w:style>
  <w:style w:type="paragraph" w:customStyle="1" w:styleId="table-ref">
    <w:name w:val="table-ref"/>
    <w:basedOn w:val="a2"/>
    <w:rsid w:val="007837F7"/>
    <w:pPr>
      <w:widowControl/>
      <w:shd w:val="clear" w:color="auto" w:fill="FFFFFF"/>
      <w:tabs>
        <w:tab w:val="left" w:pos="394"/>
      </w:tabs>
      <w:overflowPunct w:val="0"/>
      <w:spacing w:before="40" w:after="40"/>
      <w:ind w:left="10" w:firstLine="284"/>
      <w:jc w:val="left"/>
      <w:textAlignment w:val="baseline"/>
    </w:pPr>
    <w:rPr>
      <w:rFonts w:eastAsia="Calibri"/>
      <w:color w:val="000000"/>
      <w:spacing w:val="-5"/>
      <w:sz w:val="15"/>
    </w:rPr>
  </w:style>
  <w:style w:type="paragraph" w:customStyle="1" w:styleId="Heading5">
    <w:name w:val="Heading5"/>
    <w:basedOn w:val="a2"/>
    <w:uiPriority w:val="99"/>
    <w:rsid w:val="007837F7"/>
    <w:pPr>
      <w:widowControl/>
      <w:spacing w:before="100" w:after="100"/>
      <w:jc w:val="left"/>
    </w:pPr>
    <w:rPr>
      <w:b/>
      <w:bCs/>
      <w:i/>
      <w:iCs/>
      <w:szCs w:val="24"/>
    </w:rPr>
  </w:style>
  <w:style w:type="paragraph" w:customStyle="1" w:styleId="bullet">
    <w:name w:val="bullet"/>
    <w:uiPriority w:val="99"/>
    <w:rsid w:val="007837F7"/>
    <w:pPr>
      <w:shd w:val="clear" w:color="auto" w:fill="FFFFFF"/>
      <w:tabs>
        <w:tab w:val="left" w:pos="360"/>
        <w:tab w:val="left" w:pos="394"/>
        <w:tab w:val="left" w:pos="1364"/>
      </w:tabs>
      <w:ind w:firstLine="397"/>
    </w:pPr>
    <w:rPr>
      <w:rFonts w:ascii="Times New Roman" w:eastAsia="Arial Unicode MS" w:hAnsi="Times New Roman" w:cs="Arial Unicode MS"/>
      <w:color w:val="000000"/>
      <w:spacing w:val="-7"/>
      <w:sz w:val="24"/>
      <w:szCs w:val="24"/>
      <w:u w:color="000000"/>
    </w:rPr>
  </w:style>
  <w:style w:type="numbering" w:customStyle="1" w:styleId="1">
    <w:name w:val="Импортированный стиль 1"/>
    <w:rsid w:val="007837F7"/>
    <w:pPr>
      <w:numPr>
        <w:numId w:val="59"/>
      </w:numPr>
    </w:pPr>
  </w:style>
  <w:style w:type="paragraph" w:customStyle="1" w:styleId="FitzFootnote">
    <w:name w:val="FitzFootnote"/>
    <w:basedOn w:val="a2"/>
    <w:rsid w:val="007837F7"/>
    <w:pPr>
      <w:widowControl/>
      <w:shd w:val="clear" w:color="auto" w:fill="FFFFFF"/>
      <w:spacing w:before="60" w:after="60"/>
      <w:jc w:val="left"/>
    </w:pPr>
    <w:rPr>
      <w:color w:val="000000"/>
      <w:sz w:val="18"/>
      <w:szCs w:val="18"/>
      <w:lang w:val="en-US"/>
    </w:rPr>
  </w:style>
  <w:style w:type="paragraph" w:customStyle="1" w:styleId="table-text-1">
    <w:name w:val="table-text-1"/>
    <w:basedOn w:val="a2"/>
    <w:rsid w:val="007837F7"/>
    <w:pPr>
      <w:widowControl/>
      <w:overflowPunct w:val="0"/>
      <w:spacing w:before="40" w:after="40"/>
      <w:ind w:left="340" w:hanging="170"/>
      <w:jc w:val="left"/>
      <w:textAlignment w:val="baseline"/>
    </w:pPr>
    <w:rPr>
      <w:color w:val="000000"/>
      <w:sz w:val="17"/>
    </w:rPr>
  </w:style>
  <w:style w:type="paragraph" w:customStyle="1" w:styleId="formula">
    <w:name w:val="formula"/>
    <w:basedOn w:val="a2"/>
    <w:rsid w:val="007837F7"/>
    <w:pPr>
      <w:widowControl/>
      <w:shd w:val="clear" w:color="auto" w:fill="FFFFFF"/>
      <w:tabs>
        <w:tab w:val="left" w:pos="394"/>
      </w:tabs>
      <w:overflowPunct w:val="0"/>
      <w:spacing w:before="60" w:after="60"/>
      <w:ind w:firstLine="227"/>
      <w:jc w:val="left"/>
      <w:textAlignment w:val="baseline"/>
    </w:pPr>
    <w:rPr>
      <w:sz w:val="20"/>
    </w:rPr>
  </w:style>
  <w:style w:type="character" w:customStyle="1" w:styleId="afff8">
    <w:name w:val="Обычный (веб) Знак"/>
    <w:link w:val="afff7"/>
    <w:uiPriority w:val="99"/>
    <w:rsid w:val="0076641A"/>
    <w:rPr>
      <w:rFonts w:ascii="Times New Roman" w:hAnsi="Times New Roman" w:cs="Times New Roman"/>
      <w:sz w:val="24"/>
      <w:szCs w:val="24"/>
    </w:rPr>
  </w:style>
  <w:style w:type="paragraph" w:customStyle="1" w:styleId="10">
    <w:name w:val="Стиль1"/>
    <w:basedOn w:val="a2"/>
    <w:link w:val="110"/>
    <w:qFormat/>
    <w:rsid w:val="003640EA"/>
    <w:pPr>
      <w:widowControl/>
      <w:numPr>
        <w:numId w:val="70"/>
      </w:numPr>
      <w:autoSpaceDE/>
      <w:autoSpaceDN/>
      <w:adjustRightInd/>
      <w:spacing w:before="240"/>
    </w:pPr>
    <w:rPr>
      <w:lang w:val="x-none" w:eastAsia="x-none"/>
    </w:rPr>
  </w:style>
  <w:style w:type="character" w:customStyle="1" w:styleId="110">
    <w:name w:val="Стиль1 Знак1"/>
    <w:link w:val="10"/>
    <w:rsid w:val="003640EA"/>
    <w:rPr>
      <w:rFonts w:ascii="Times New Roman" w:hAnsi="Times New Roman" w:cs="Times New Roman"/>
      <w:sz w:val="24"/>
      <w:lang w:val="x-none" w:eastAsia="x-none"/>
    </w:rPr>
  </w:style>
  <w:style w:type="paragraph" w:customStyle="1" w:styleId="34">
    <w:name w:val="Стиль3"/>
    <w:basedOn w:val="a2"/>
    <w:link w:val="35"/>
    <w:qFormat/>
    <w:rsid w:val="00206DB4"/>
    <w:pPr>
      <w:widowControl/>
      <w:tabs>
        <w:tab w:val="num" w:pos="720"/>
      </w:tabs>
      <w:autoSpaceDE/>
      <w:autoSpaceDN/>
      <w:adjustRightInd/>
      <w:spacing w:before="240"/>
      <w:ind w:left="720" w:hanging="360"/>
    </w:pPr>
    <w:rPr>
      <w:lang w:val="x-none" w:eastAsia="x-none"/>
    </w:rPr>
  </w:style>
  <w:style w:type="character" w:customStyle="1" w:styleId="35">
    <w:name w:val="Стиль3 Знак"/>
    <w:basedOn w:val="a3"/>
    <w:link w:val="34"/>
    <w:rsid w:val="00206DB4"/>
    <w:rPr>
      <w:rFonts w:ascii="Times New Roman" w:hAnsi="Times New Roman" w:cs="Times New Roman"/>
      <w:sz w:val="24"/>
      <w:lang w:val="x-none" w:eastAsia="x-none"/>
    </w:rPr>
  </w:style>
  <w:style w:type="paragraph" w:customStyle="1" w:styleId="1f2">
    <w:name w:val="Обычный (веб)1"/>
    <w:basedOn w:val="a2"/>
    <w:uiPriority w:val="99"/>
    <w:unhideWhenUsed/>
    <w:qFormat/>
    <w:rsid w:val="00B465AF"/>
    <w:pPr>
      <w:widowControl/>
      <w:autoSpaceDE/>
      <w:autoSpaceDN/>
      <w:adjustRightInd/>
      <w:spacing w:beforeAutospacing="1" w:afterAutospacing="1" w:line="288" w:lineRule="auto"/>
      <w:jc w:val="left"/>
    </w:pPr>
    <w:rPr>
      <w:szCs w:val="24"/>
    </w:rPr>
  </w:style>
  <w:style w:type="character" w:customStyle="1" w:styleId="70">
    <w:name w:val="Заголовок 7 Знак"/>
    <w:basedOn w:val="a3"/>
    <w:link w:val="7"/>
    <w:uiPriority w:val="99"/>
    <w:rsid w:val="00304132"/>
    <w:rPr>
      <w:rFonts w:eastAsia="SimSun" w:cs="Times New Roman"/>
      <w:i/>
      <w:iCs/>
      <w:color w:val="404040"/>
    </w:rPr>
  </w:style>
  <w:style w:type="character" w:customStyle="1" w:styleId="80">
    <w:name w:val="Заголовок 8 Знак"/>
    <w:basedOn w:val="a3"/>
    <w:link w:val="8"/>
    <w:rsid w:val="00304132"/>
    <w:rPr>
      <w:rFonts w:eastAsia="SimSun" w:cs="Times New Roman"/>
      <w:color w:val="6F6F74"/>
    </w:rPr>
  </w:style>
  <w:style w:type="character" w:customStyle="1" w:styleId="90">
    <w:name w:val="Заголовок 9 Знак"/>
    <w:basedOn w:val="a3"/>
    <w:link w:val="9"/>
    <w:rsid w:val="00304132"/>
    <w:rPr>
      <w:rFonts w:eastAsia="SimSun" w:cs="Times New Roman"/>
      <w:i/>
      <w:iCs/>
      <w:color w:val="404040"/>
    </w:rPr>
  </w:style>
  <w:style w:type="paragraph" w:customStyle="1" w:styleId="Insert">
    <w:name w:val="Insert"/>
    <w:basedOn w:val="a2"/>
    <w:autoRedefine/>
    <w:rsid w:val="00304132"/>
    <w:pPr>
      <w:overflowPunct w:val="0"/>
      <w:spacing w:line="264" w:lineRule="auto"/>
      <w:ind w:left="397" w:firstLine="425"/>
      <w:jc w:val="left"/>
      <w:textAlignment w:val="baseline"/>
    </w:pPr>
    <w:rPr>
      <w:color w:val="000000"/>
      <w:lang w:val="en-US"/>
    </w:rPr>
  </w:style>
  <w:style w:type="paragraph" w:customStyle="1" w:styleId="Number2">
    <w:name w:val="Number2"/>
    <w:basedOn w:val="Number1"/>
    <w:rsid w:val="00304132"/>
    <w:pPr>
      <w:spacing w:line="264" w:lineRule="auto"/>
      <w:ind w:left="426" w:hanging="142"/>
    </w:pPr>
  </w:style>
  <w:style w:type="paragraph" w:customStyle="1" w:styleId="figure">
    <w:name w:val="figure"/>
    <w:basedOn w:val="a2"/>
    <w:rsid w:val="00304132"/>
    <w:pPr>
      <w:widowControl/>
      <w:overflowPunct w:val="0"/>
      <w:spacing w:before="240" w:after="40" w:line="264" w:lineRule="auto"/>
      <w:ind w:firstLine="425"/>
      <w:jc w:val="left"/>
      <w:textAlignment w:val="baseline"/>
    </w:pPr>
  </w:style>
  <w:style w:type="paragraph" w:customStyle="1" w:styleId="author-1">
    <w:name w:val="author-1"/>
    <w:basedOn w:val="Author0"/>
    <w:rsid w:val="00304132"/>
    <w:pPr>
      <w:keepNext/>
      <w:keepLines/>
      <w:overflowPunct/>
      <w:spacing w:before="60" w:after="120" w:line="264" w:lineRule="auto"/>
      <w:ind w:firstLine="425"/>
      <w:jc w:val="right"/>
      <w:textAlignment w:val="auto"/>
    </w:pPr>
    <w:rPr>
      <w:b/>
      <w:iCs/>
      <w:noProof/>
      <w:color w:val="000000"/>
      <w:sz w:val="20"/>
      <w:lang w:val="en-US"/>
    </w:rPr>
  </w:style>
  <w:style w:type="paragraph" w:customStyle="1" w:styleId="Insert1">
    <w:name w:val="Insert 1"/>
    <w:basedOn w:val="Insert"/>
    <w:rsid w:val="00304132"/>
    <w:pPr>
      <w:ind w:left="0"/>
    </w:pPr>
    <w:rPr>
      <w:sz w:val="20"/>
      <w:lang w:val="ru-RU"/>
    </w:rPr>
  </w:style>
  <w:style w:type="paragraph" w:customStyle="1" w:styleId="Bullit-2">
    <w:name w:val="Bullit-2"/>
    <w:basedOn w:val="a2"/>
    <w:rsid w:val="00304132"/>
    <w:pPr>
      <w:widowControl/>
      <w:tabs>
        <w:tab w:val="left" w:pos="0"/>
        <w:tab w:val="left" w:pos="1160"/>
      </w:tabs>
      <w:spacing w:line="264" w:lineRule="auto"/>
      <w:ind w:left="754" w:hanging="357"/>
      <w:jc w:val="left"/>
    </w:pPr>
    <w:rPr>
      <w:rFonts w:eastAsia="MS Mincho"/>
      <w:color w:val="000000"/>
      <w:szCs w:val="22"/>
      <w:lang w:val="en-US" w:eastAsia="ja-JP"/>
    </w:rPr>
  </w:style>
  <w:style w:type="character" w:customStyle="1" w:styleId="extended-textshort">
    <w:name w:val="extended-text__short"/>
    <w:basedOn w:val="a3"/>
    <w:rsid w:val="00304132"/>
  </w:style>
  <w:style w:type="paragraph" w:customStyle="1" w:styleId="Normalfirst">
    <w:name w:val="Normalfirst"/>
    <w:basedOn w:val="a2"/>
    <w:rsid w:val="00304132"/>
    <w:pPr>
      <w:widowControl/>
      <w:jc w:val="left"/>
    </w:pPr>
    <w:rPr>
      <w:rFonts w:eastAsia="MS Mincho"/>
      <w:szCs w:val="24"/>
      <w:lang w:eastAsia="ja-JP"/>
    </w:rPr>
  </w:style>
  <w:style w:type="paragraph" w:customStyle="1" w:styleId="xl68">
    <w:name w:val="xl68"/>
    <w:basedOn w:val="a2"/>
    <w:rsid w:val="00304132"/>
    <w:pPr>
      <w:widowControl/>
      <w:autoSpaceDE/>
      <w:autoSpaceDN/>
      <w:adjustRightInd/>
      <w:spacing w:before="100" w:beforeAutospacing="1" w:after="100" w:afterAutospacing="1"/>
      <w:jc w:val="left"/>
    </w:pPr>
    <w:rPr>
      <w:szCs w:val="24"/>
    </w:rPr>
  </w:style>
  <w:style w:type="paragraph" w:customStyle="1" w:styleId="xl69">
    <w:name w:val="xl69"/>
    <w:basedOn w:val="a2"/>
    <w:rsid w:val="00304132"/>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Arial" w:hAnsi="Arial" w:cs="Arial"/>
      <w:sz w:val="20"/>
    </w:rPr>
  </w:style>
  <w:style w:type="paragraph" w:customStyle="1" w:styleId="xl70">
    <w:name w:val="xl70"/>
    <w:basedOn w:val="a2"/>
    <w:rsid w:val="00304132"/>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left"/>
    </w:pPr>
    <w:rPr>
      <w:rFonts w:ascii="Arial" w:hAnsi="Arial" w:cs="Arial"/>
      <w:sz w:val="20"/>
    </w:rPr>
  </w:style>
  <w:style w:type="paragraph" w:customStyle="1" w:styleId="xl71">
    <w:name w:val="xl71"/>
    <w:basedOn w:val="a2"/>
    <w:rsid w:val="00304132"/>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left"/>
    </w:pPr>
    <w:rPr>
      <w:rFonts w:ascii="Arial" w:hAnsi="Arial" w:cs="Arial"/>
      <w:sz w:val="20"/>
    </w:rPr>
  </w:style>
  <w:style w:type="paragraph" w:customStyle="1" w:styleId="msonormal0">
    <w:name w:val="msonormal"/>
    <w:basedOn w:val="a2"/>
    <w:rsid w:val="00304132"/>
    <w:pPr>
      <w:widowControl/>
      <w:autoSpaceDE/>
      <w:autoSpaceDN/>
      <w:adjustRightInd/>
      <w:spacing w:before="100" w:beforeAutospacing="1" w:after="100" w:afterAutospacing="1"/>
      <w:jc w:val="left"/>
    </w:pPr>
    <w:rPr>
      <w:szCs w:val="24"/>
    </w:rPr>
  </w:style>
  <w:style w:type="paragraph" w:customStyle="1" w:styleId="xl65">
    <w:name w:val="xl65"/>
    <w:basedOn w:val="a2"/>
    <w:rsid w:val="00304132"/>
    <w:pPr>
      <w:widowControl/>
      <w:pBdr>
        <w:left w:val="single" w:sz="8" w:space="0" w:color="auto"/>
        <w:bottom w:val="single" w:sz="8" w:space="0" w:color="auto"/>
        <w:right w:val="single" w:sz="8" w:space="0" w:color="auto"/>
      </w:pBdr>
      <w:autoSpaceDE/>
      <w:autoSpaceDN/>
      <w:adjustRightInd/>
      <w:spacing w:before="100" w:beforeAutospacing="1" w:after="100" w:afterAutospacing="1"/>
      <w:jc w:val="left"/>
      <w:textAlignment w:val="center"/>
    </w:pPr>
    <w:rPr>
      <w:rFonts w:ascii="Arial" w:hAnsi="Arial" w:cs="Arial"/>
      <w:color w:val="000000"/>
      <w:sz w:val="20"/>
    </w:rPr>
  </w:style>
  <w:style w:type="paragraph" w:customStyle="1" w:styleId="xl66">
    <w:name w:val="xl66"/>
    <w:basedOn w:val="a2"/>
    <w:rsid w:val="00304132"/>
    <w:pPr>
      <w:widowControl/>
      <w:pBdr>
        <w:bottom w:val="single" w:sz="8" w:space="0" w:color="auto"/>
        <w:right w:val="single" w:sz="8" w:space="0" w:color="auto"/>
      </w:pBdr>
      <w:autoSpaceDE/>
      <w:autoSpaceDN/>
      <w:adjustRightInd/>
      <w:spacing w:before="100" w:beforeAutospacing="1" w:after="100" w:afterAutospacing="1"/>
      <w:jc w:val="left"/>
      <w:textAlignment w:val="center"/>
    </w:pPr>
    <w:rPr>
      <w:rFonts w:ascii="Arial" w:hAnsi="Arial" w:cs="Arial"/>
      <w:color w:val="000000"/>
      <w:sz w:val="20"/>
    </w:rPr>
  </w:style>
  <w:style w:type="paragraph" w:customStyle="1" w:styleId="xl67">
    <w:name w:val="xl67"/>
    <w:basedOn w:val="a2"/>
    <w:rsid w:val="00304132"/>
    <w:pPr>
      <w:widowControl/>
      <w:pBdr>
        <w:left w:val="single" w:sz="8" w:space="0" w:color="auto"/>
        <w:bottom w:val="single" w:sz="8" w:space="0" w:color="auto"/>
        <w:right w:val="single" w:sz="8" w:space="0" w:color="auto"/>
      </w:pBdr>
      <w:autoSpaceDE/>
      <w:autoSpaceDN/>
      <w:adjustRightInd/>
      <w:spacing w:before="100" w:beforeAutospacing="1" w:after="100" w:afterAutospacing="1"/>
      <w:jc w:val="right"/>
      <w:textAlignment w:val="center"/>
    </w:pPr>
    <w:rPr>
      <w:rFonts w:ascii="Arial" w:hAnsi="Arial" w:cs="Arial"/>
      <w:color w:val="000000"/>
      <w:sz w:val="20"/>
    </w:rPr>
  </w:style>
  <w:style w:type="paragraph" w:customStyle="1" w:styleId="afffc">
    <w:basedOn w:val="a2"/>
    <w:next w:val="afff7"/>
    <w:uiPriority w:val="99"/>
    <w:unhideWhenUsed/>
    <w:rsid w:val="00304132"/>
    <w:pPr>
      <w:widowControl/>
      <w:autoSpaceDE/>
      <w:autoSpaceDN/>
      <w:adjustRightInd/>
      <w:spacing w:before="100" w:beforeAutospacing="1" w:after="100" w:afterAutospacing="1"/>
      <w:jc w:val="left"/>
    </w:pPr>
    <w:rPr>
      <w:szCs w:val="24"/>
    </w:rPr>
  </w:style>
  <w:style w:type="paragraph" w:customStyle="1" w:styleId="Standard">
    <w:name w:val="Standard"/>
    <w:rsid w:val="00304132"/>
    <w:pPr>
      <w:suppressAutoHyphens/>
      <w:autoSpaceDN w:val="0"/>
      <w:spacing w:line="264" w:lineRule="auto"/>
      <w:ind w:firstLine="425"/>
      <w:textAlignment w:val="baseline"/>
    </w:pPr>
    <w:rPr>
      <w:rFonts w:ascii="Times New Roman" w:hAnsi="Times New Roman" w:cs="Times New Roman"/>
      <w:kern w:val="3"/>
      <w:sz w:val="24"/>
      <w:lang w:val="en-GB"/>
    </w:rPr>
  </w:style>
  <w:style w:type="character" w:customStyle="1" w:styleId="fontstyle01">
    <w:name w:val="fontstyle01"/>
    <w:rsid w:val="00304132"/>
    <w:rPr>
      <w:rFonts w:ascii="TimesNewRomanPS-ItalicMT" w:hAnsi="TimesNewRomanPS-ItalicMT" w:hint="default"/>
      <w:b w:val="0"/>
      <w:bCs w:val="0"/>
      <w:i/>
      <w:iCs/>
      <w:color w:val="FFFFFF"/>
      <w:sz w:val="32"/>
      <w:szCs w:val="32"/>
    </w:rPr>
  </w:style>
  <w:style w:type="paragraph" w:styleId="afffd">
    <w:name w:val="TOC Heading"/>
    <w:basedOn w:val="11"/>
    <w:next w:val="a2"/>
    <w:uiPriority w:val="39"/>
    <w:unhideWhenUsed/>
    <w:qFormat/>
    <w:rsid w:val="00304132"/>
    <w:pPr>
      <w:keepNext/>
      <w:keepLines/>
      <w:pageBreakBefore w:val="0"/>
      <w:widowControl/>
      <w:shd w:val="clear" w:color="auto" w:fill="auto"/>
      <w:tabs>
        <w:tab w:val="clear" w:pos="709"/>
      </w:tabs>
      <w:suppressAutoHyphens w:val="0"/>
      <w:spacing w:before="480" w:after="0" w:line="276" w:lineRule="auto"/>
      <w:jc w:val="left"/>
      <w:outlineLvl w:val="9"/>
    </w:pPr>
    <w:rPr>
      <w:rFonts w:ascii="Cambria" w:eastAsia="Times New Roman" w:hAnsi="Cambria"/>
      <w:color w:val="365F91"/>
      <w:lang w:eastAsia="ru-RU"/>
    </w:rPr>
  </w:style>
  <w:style w:type="character" w:customStyle="1" w:styleId="UnresolvedMention">
    <w:name w:val="Unresolved Mention"/>
    <w:uiPriority w:val="99"/>
    <w:semiHidden/>
    <w:unhideWhenUsed/>
    <w:rsid w:val="00304132"/>
    <w:rPr>
      <w:color w:val="605E5C"/>
      <w:shd w:val="clear" w:color="auto" w:fill="E1DFDD"/>
    </w:rPr>
  </w:style>
  <w:style w:type="paragraph" w:customStyle="1" w:styleId="ConsPlusNormal">
    <w:name w:val="ConsPlusNormal"/>
    <w:qFormat/>
    <w:rsid w:val="00304132"/>
    <w:pPr>
      <w:widowControl w:val="0"/>
    </w:pPr>
    <w:rPr>
      <w:rFonts w:ascii="Arial" w:hAnsi="Arial" w:cs="Arial"/>
    </w:rPr>
  </w:style>
  <w:style w:type="character" w:customStyle="1" w:styleId="1f3">
    <w:name w:val="Абзац списка Знак1"/>
    <w:uiPriority w:val="34"/>
    <w:locked/>
    <w:rsid w:val="00304132"/>
    <w:rPr>
      <w:sz w:val="24"/>
      <w:szCs w:val="24"/>
    </w:rPr>
  </w:style>
  <w:style w:type="table" w:customStyle="1" w:styleId="22">
    <w:name w:val="Сетка таблицы2"/>
    <w:basedOn w:val="a4"/>
    <w:next w:val="ae"/>
    <w:uiPriority w:val="59"/>
    <w:rsid w:val="0075535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
    <w:name w:val="Сетка таблицы3"/>
    <w:basedOn w:val="a4"/>
    <w:next w:val="ae"/>
    <w:uiPriority w:val="59"/>
    <w:rsid w:val="0075535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
    <w:name w:val="Интернет-ссылка"/>
    <w:uiPriority w:val="99"/>
    <w:rsid w:val="00223824"/>
    <w:rPr>
      <w:rFonts w:cs="Times New Roman"/>
      <w:color w:val="0000FF"/>
      <w:u w:val="single"/>
    </w:rPr>
  </w:style>
  <w:style w:type="character" w:styleId="afffe">
    <w:name w:val="Subtle Reference"/>
    <w:uiPriority w:val="31"/>
    <w:qFormat/>
    <w:rsid w:val="00223824"/>
    <w:rPr>
      <w:rFonts w:ascii="Times New Roman" w:hAnsi="Times New Roman" w:cs="Times New Roman"/>
      <w:b/>
      <w:sz w:val="24"/>
    </w:rPr>
  </w:style>
  <w:style w:type="character" w:customStyle="1" w:styleId="affff">
    <w:name w:val="Без интервала Знак"/>
    <w:uiPriority w:val="1"/>
    <w:rsid w:val="00223824"/>
    <w:rPr>
      <w:rFonts w:ascii="Times New Roman" w:hAnsi="Times New Roman" w:cs="Times New Roman"/>
      <w:sz w:val="24"/>
      <w:szCs w:val="24"/>
    </w:rPr>
  </w:style>
  <w:style w:type="character" w:customStyle="1" w:styleId="affff0">
    <w:name w:val="УД Знак"/>
    <w:rsid w:val="00223824"/>
    <w:rPr>
      <w:rFonts w:ascii="Times New Roman" w:hAnsi="Times New Roman" w:cs="Times New Roman"/>
      <w:b/>
      <w:sz w:val="24"/>
      <w:szCs w:val="24"/>
    </w:rPr>
  </w:style>
  <w:style w:type="character" w:customStyle="1" w:styleId="affff1">
    <w:name w:val="Ком Знак"/>
    <w:rsid w:val="00223824"/>
    <w:rPr>
      <w:rFonts w:ascii="Times New Roman" w:hAnsi="Times New Roman" w:cs="Times New Roman"/>
      <w:i/>
      <w:sz w:val="24"/>
      <w:szCs w:val="24"/>
    </w:rPr>
  </w:style>
  <w:style w:type="character" w:customStyle="1" w:styleId="affff2">
    <w:name w:val="Название Знак"/>
    <w:aliases w:val="Заголовок мой Знак"/>
    <w:rsid w:val="00223824"/>
    <w:rPr>
      <w:rFonts w:ascii="Times New Roman" w:hAnsi="Times New Roman" w:cs="Times New Roman"/>
      <w:spacing w:val="-10"/>
      <w:sz w:val="56"/>
      <w:szCs w:val="56"/>
      <w:u w:val="single"/>
    </w:rPr>
  </w:style>
  <w:style w:type="character" w:customStyle="1" w:styleId="Normal10">
    <w:name w:val="Normal1 Знак"/>
    <w:uiPriority w:val="99"/>
    <w:locked/>
    <w:rsid w:val="00223824"/>
    <w:rPr>
      <w:rFonts w:ascii="Times New Roman" w:hAnsi="Times New Roman" w:cs="Times New Roman"/>
      <w:sz w:val="20"/>
      <w:szCs w:val="20"/>
      <w:lang w:eastAsia="ru-RU"/>
    </w:rPr>
  </w:style>
  <w:style w:type="character" w:customStyle="1" w:styleId="1f4">
    <w:name w:val="Стиль1 Знак"/>
    <w:rsid w:val="00223824"/>
    <w:rPr>
      <w:rFonts w:ascii="Times New Roman" w:hAnsi="Times New Roman" w:cs="Times New Roman"/>
      <w:sz w:val="24"/>
      <w:szCs w:val="24"/>
      <w:lang w:eastAsia="ru-RU"/>
    </w:rPr>
  </w:style>
  <w:style w:type="character" w:customStyle="1" w:styleId="ListLabel1">
    <w:name w:val="ListLabel 1"/>
    <w:rsid w:val="00223824"/>
  </w:style>
  <w:style w:type="character" w:customStyle="1" w:styleId="ListLabel2">
    <w:name w:val="ListLabel 2"/>
    <w:rsid w:val="00223824"/>
  </w:style>
  <w:style w:type="character" w:customStyle="1" w:styleId="ListLabel3">
    <w:name w:val="ListLabel 3"/>
    <w:rsid w:val="00223824"/>
  </w:style>
  <w:style w:type="character" w:customStyle="1" w:styleId="ListLabel4">
    <w:name w:val="ListLabel 4"/>
    <w:rsid w:val="00223824"/>
  </w:style>
  <w:style w:type="character" w:customStyle="1" w:styleId="ListLabel5">
    <w:name w:val="ListLabel 5"/>
    <w:rsid w:val="00223824"/>
  </w:style>
  <w:style w:type="character" w:customStyle="1" w:styleId="ListLabel6">
    <w:name w:val="ListLabel 6"/>
    <w:rsid w:val="00223824"/>
  </w:style>
  <w:style w:type="character" w:customStyle="1" w:styleId="ListLabel7">
    <w:name w:val="ListLabel 7"/>
    <w:rsid w:val="00223824"/>
  </w:style>
  <w:style w:type="character" w:customStyle="1" w:styleId="ListLabel8">
    <w:name w:val="ListLabel 8"/>
    <w:rsid w:val="00223824"/>
  </w:style>
  <w:style w:type="character" w:customStyle="1" w:styleId="ListLabel9">
    <w:name w:val="ListLabel 9"/>
    <w:rsid w:val="00223824"/>
  </w:style>
  <w:style w:type="character" w:customStyle="1" w:styleId="ListLabel10">
    <w:name w:val="ListLabel 10"/>
    <w:rsid w:val="00223824"/>
    <w:rPr>
      <w:sz w:val="24"/>
    </w:rPr>
  </w:style>
  <w:style w:type="character" w:customStyle="1" w:styleId="ListLabel11">
    <w:name w:val="ListLabel 11"/>
    <w:rsid w:val="00223824"/>
  </w:style>
  <w:style w:type="character" w:customStyle="1" w:styleId="ListLabel12">
    <w:name w:val="ListLabel 12"/>
    <w:rsid w:val="00223824"/>
  </w:style>
  <w:style w:type="character" w:customStyle="1" w:styleId="ListLabel13">
    <w:name w:val="ListLabel 13"/>
    <w:rsid w:val="00223824"/>
  </w:style>
  <w:style w:type="character" w:customStyle="1" w:styleId="ListLabel14">
    <w:name w:val="ListLabel 14"/>
    <w:rsid w:val="00223824"/>
  </w:style>
  <w:style w:type="character" w:customStyle="1" w:styleId="ListLabel16">
    <w:name w:val="ListLabel 16"/>
    <w:rsid w:val="00223824"/>
  </w:style>
  <w:style w:type="character" w:customStyle="1" w:styleId="ListLabel17">
    <w:name w:val="ListLabel 17"/>
    <w:rsid w:val="00223824"/>
  </w:style>
  <w:style w:type="character" w:customStyle="1" w:styleId="ListLabel18">
    <w:name w:val="ListLabel 18"/>
    <w:rsid w:val="00223824"/>
  </w:style>
  <w:style w:type="character" w:customStyle="1" w:styleId="ListLabel19">
    <w:name w:val="ListLabel 19"/>
    <w:rsid w:val="00223824"/>
  </w:style>
  <w:style w:type="character" w:customStyle="1" w:styleId="ListLabel20">
    <w:name w:val="ListLabel 20"/>
    <w:rsid w:val="00223824"/>
  </w:style>
  <w:style w:type="character" w:customStyle="1" w:styleId="ListLabel21">
    <w:name w:val="ListLabel 21"/>
    <w:rsid w:val="00223824"/>
  </w:style>
  <w:style w:type="character" w:customStyle="1" w:styleId="ListLabel22">
    <w:name w:val="ListLabel 22"/>
    <w:rsid w:val="00223824"/>
  </w:style>
  <w:style w:type="character" w:customStyle="1" w:styleId="ListLabel23">
    <w:name w:val="ListLabel 23"/>
    <w:rsid w:val="00223824"/>
  </w:style>
  <w:style w:type="character" w:customStyle="1" w:styleId="ListLabel24">
    <w:name w:val="ListLabel 24"/>
    <w:rsid w:val="00223824"/>
  </w:style>
  <w:style w:type="character" w:customStyle="1" w:styleId="ListLabel25">
    <w:name w:val="ListLabel 25"/>
    <w:rsid w:val="00223824"/>
  </w:style>
  <w:style w:type="character" w:customStyle="1" w:styleId="ListLabel26">
    <w:name w:val="ListLabel 26"/>
    <w:rsid w:val="00223824"/>
  </w:style>
  <w:style w:type="character" w:customStyle="1" w:styleId="ListLabel27">
    <w:name w:val="ListLabel 27"/>
    <w:rsid w:val="00223824"/>
  </w:style>
  <w:style w:type="character" w:customStyle="1" w:styleId="ListLabel28">
    <w:name w:val="ListLabel 28"/>
    <w:rsid w:val="00223824"/>
  </w:style>
  <w:style w:type="character" w:customStyle="1" w:styleId="ListLabel29">
    <w:name w:val="ListLabel 29"/>
    <w:rsid w:val="00223824"/>
  </w:style>
  <w:style w:type="character" w:customStyle="1" w:styleId="ListLabel30">
    <w:name w:val="ListLabel 30"/>
    <w:rsid w:val="00223824"/>
  </w:style>
  <w:style w:type="character" w:customStyle="1" w:styleId="ListLabel31">
    <w:name w:val="ListLabel 31"/>
    <w:rsid w:val="00223824"/>
  </w:style>
  <w:style w:type="character" w:customStyle="1" w:styleId="ListLabel32">
    <w:name w:val="ListLabel 32"/>
    <w:rsid w:val="00223824"/>
  </w:style>
  <w:style w:type="character" w:customStyle="1" w:styleId="ListLabel33">
    <w:name w:val="ListLabel 33"/>
    <w:rsid w:val="00223824"/>
  </w:style>
  <w:style w:type="character" w:customStyle="1" w:styleId="ListLabel34">
    <w:name w:val="ListLabel 34"/>
    <w:rsid w:val="00223824"/>
  </w:style>
  <w:style w:type="character" w:customStyle="1" w:styleId="ListLabel35">
    <w:name w:val="ListLabel 35"/>
    <w:rsid w:val="00223824"/>
  </w:style>
  <w:style w:type="character" w:customStyle="1" w:styleId="ListLabel36">
    <w:name w:val="ListLabel 36"/>
    <w:rsid w:val="00223824"/>
    <w:rPr>
      <w:b/>
      <w:sz w:val="24"/>
    </w:rPr>
  </w:style>
  <w:style w:type="character" w:customStyle="1" w:styleId="ListLabel37">
    <w:name w:val="ListLabel 37"/>
    <w:rsid w:val="00223824"/>
  </w:style>
  <w:style w:type="character" w:customStyle="1" w:styleId="ListLabel38">
    <w:name w:val="ListLabel 38"/>
    <w:rsid w:val="00223824"/>
  </w:style>
  <w:style w:type="character" w:customStyle="1" w:styleId="ListLabel39">
    <w:name w:val="ListLabel 39"/>
    <w:rsid w:val="00223824"/>
  </w:style>
  <w:style w:type="character" w:customStyle="1" w:styleId="affff3">
    <w:name w:val="Ссылка указателя"/>
    <w:qFormat/>
    <w:rsid w:val="00223824"/>
  </w:style>
  <w:style w:type="paragraph" w:styleId="1f5">
    <w:name w:val="index 1"/>
    <w:basedOn w:val="a2"/>
    <w:next w:val="a2"/>
    <w:autoRedefine/>
    <w:uiPriority w:val="99"/>
    <w:semiHidden/>
    <w:rsid w:val="00223824"/>
    <w:pPr>
      <w:widowControl/>
      <w:autoSpaceDE/>
      <w:autoSpaceDN/>
      <w:adjustRightInd/>
      <w:ind w:left="240" w:hanging="240"/>
    </w:pPr>
    <w:rPr>
      <w:rFonts w:eastAsia="Calibri"/>
      <w:szCs w:val="22"/>
      <w:lang w:eastAsia="en-US"/>
    </w:rPr>
  </w:style>
  <w:style w:type="paragraph" w:styleId="affff4">
    <w:name w:val="index heading"/>
    <w:basedOn w:val="a2"/>
    <w:rsid w:val="00223824"/>
    <w:pPr>
      <w:widowControl/>
      <w:suppressLineNumbers/>
      <w:autoSpaceDE/>
      <w:autoSpaceDN/>
      <w:adjustRightInd/>
      <w:ind w:firstLine="709"/>
    </w:pPr>
    <w:rPr>
      <w:rFonts w:eastAsia="Calibri" w:cs="Mangal"/>
      <w:szCs w:val="22"/>
      <w:lang w:eastAsia="en-US"/>
    </w:rPr>
  </w:style>
  <w:style w:type="character" w:customStyle="1" w:styleId="1f6">
    <w:name w:val="Верхний колонтитул Знак1"/>
    <w:uiPriority w:val="99"/>
    <w:locked/>
    <w:rsid w:val="00223824"/>
    <w:rPr>
      <w:rFonts w:ascii="Times New Roman" w:hAnsi="Times New Roman" w:cs="Times New Roman"/>
      <w:sz w:val="24"/>
      <w:lang w:eastAsia="en-US"/>
    </w:rPr>
  </w:style>
  <w:style w:type="character" w:customStyle="1" w:styleId="1f7">
    <w:name w:val="Нижний колонтитул Знак1"/>
    <w:uiPriority w:val="99"/>
    <w:locked/>
    <w:rsid w:val="00223824"/>
    <w:rPr>
      <w:rFonts w:ascii="Times New Roman" w:hAnsi="Times New Roman" w:cs="Times New Roman"/>
      <w:sz w:val="24"/>
      <w:lang w:eastAsia="en-US"/>
    </w:rPr>
  </w:style>
  <w:style w:type="character" w:customStyle="1" w:styleId="1f8">
    <w:name w:val="Текст выноски Знак1"/>
    <w:uiPriority w:val="99"/>
    <w:locked/>
    <w:rsid w:val="00223824"/>
    <w:rPr>
      <w:rFonts w:ascii="Times New Roman" w:hAnsi="Times New Roman" w:cs="Times New Roman"/>
      <w:sz w:val="2"/>
      <w:lang w:eastAsia="en-US"/>
    </w:rPr>
  </w:style>
  <w:style w:type="character" w:customStyle="1" w:styleId="1f9">
    <w:name w:val="Подзаголовок Знак1"/>
    <w:uiPriority w:val="11"/>
    <w:locked/>
    <w:rsid w:val="00223824"/>
    <w:rPr>
      <w:rFonts w:ascii="Cambria" w:hAnsi="Cambria" w:cs="Times New Roman"/>
      <w:sz w:val="24"/>
      <w:szCs w:val="24"/>
      <w:lang w:eastAsia="en-US"/>
    </w:rPr>
  </w:style>
  <w:style w:type="paragraph" w:customStyle="1" w:styleId="affff5">
    <w:name w:val="Ком"/>
    <w:basedOn w:val="afff6"/>
    <w:rsid w:val="00223824"/>
    <w:pPr>
      <w:widowControl/>
      <w:autoSpaceDE/>
      <w:autoSpaceDN/>
      <w:adjustRightInd/>
      <w:spacing w:before="0" w:beforeAutospacing="0"/>
      <w:ind w:left="709" w:firstLine="0"/>
      <w:contextualSpacing w:val="0"/>
    </w:pPr>
    <w:rPr>
      <w:rFonts w:eastAsia="Calibri"/>
      <w:b w:val="0"/>
      <w:szCs w:val="24"/>
      <w:lang w:eastAsia="en-US"/>
    </w:rPr>
  </w:style>
  <w:style w:type="character" w:customStyle="1" w:styleId="1fa">
    <w:name w:val="Текст примечания Знак1"/>
    <w:uiPriority w:val="99"/>
    <w:locked/>
    <w:rsid w:val="00223824"/>
    <w:rPr>
      <w:rFonts w:ascii="Times New Roman" w:hAnsi="Times New Roman" w:cs="Times New Roman"/>
      <w:sz w:val="20"/>
      <w:szCs w:val="20"/>
      <w:lang w:eastAsia="en-US"/>
    </w:rPr>
  </w:style>
  <w:style w:type="character" w:customStyle="1" w:styleId="1fb">
    <w:name w:val="Тема примечания Знак1"/>
    <w:uiPriority w:val="99"/>
    <w:locked/>
    <w:rsid w:val="00223824"/>
    <w:rPr>
      <w:rFonts w:ascii="Times New Roman" w:hAnsi="Times New Roman" w:cs="Times New Roman"/>
      <w:b/>
      <w:bCs/>
      <w:sz w:val="20"/>
      <w:szCs w:val="20"/>
      <w:lang w:eastAsia="en-US"/>
    </w:rPr>
  </w:style>
  <w:style w:type="paragraph" w:styleId="affff6">
    <w:name w:val="Title"/>
    <w:basedOn w:val="a2"/>
    <w:link w:val="1fc"/>
    <w:qFormat/>
    <w:rsid w:val="00223824"/>
    <w:pPr>
      <w:widowControl/>
      <w:autoSpaceDE/>
      <w:autoSpaceDN/>
      <w:adjustRightInd/>
      <w:ind w:firstLine="709"/>
      <w:jc w:val="center"/>
    </w:pPr>
    <w:rPr>
      <w:spacing w:val="-10"/>
      <w:sz w:val="28"/>
      <w:szCs w:val="56"/>
      <w:u w:val="single"/>
      <w:lang w:eastAsia="en-US"/>
    </w:rPr>
  </w:style>
  <w:style w:type="character" w:customStyle="1" w:styleId="1fc">
    <w:name w:val="Название Знак1"/>
    <w:basedOn w:val="a3"/>
    <w:link w:val="affff6"/>
    <w:rsid w:val="00223824"/>
    <w:rPr>
      <w:rFonts w:ascii="Times New Roman" w:hAnsi="Times New Roman" w:cs="Times New Roman"/>
      <w:spacing w:val="-10"/>
      <w:sz w:val="28"/>
      <w:szCs w:val="56"/>
      <w:u w:val="single"/>
      <w:lang w:eastAsia="en-US"/>
    </w:rPr>
  </w:style>
  <w:style w:type="paragraph" w:customStyle="1" w:styleId="Normal11">
    <w:name w:val="Normal1"/>
    <w:uiPriority w:val="99"/>
    <w:rsid w:val="00223824"/>
    <w:pPr>
      <w:widowControl w:val="0"/>
      <w:jc w:val="both"/>
    </w:pPr>
    <w:rPr>
      <w:rFonts w:ascii="Times New Roman" w:hAnsi="Times New Roman" w:cs="Times New Roman"/>
    </w:rPr>
  </w:style>
  <w:style w:type="character" w:customStyle="1" w:styleId="1fd">
    <w:name w:val="Текст сноски Знак1"/>
    <w:uiPriority w:val="99"/>
    <w:locked/>
    <w:rsid w:val="00223824"/>
    <w:rPr>
      <w:rFonts w:ascii="Times New Roman" w:hAnsi="Times New Roman" w:cs="Times New Roman"/>
      <w:sz w:val="20"/>
      <w:szCs w:val="20"/>
      <w:lang w:eastAsia="en-US"/>
    </w:rPr>
  </w:style>
  <w:style w:type="paragraph" w:customStyle="1" w:styleId="affff7">
    <w:name w:val="Стиль"/>
    <w:uiPriority w:val="99"/>
    <w:rsid w:val="00223824"/>
    <w:pPr>
      <w:keepNext/>
      <w:keepLines/>
      <w:spacing w:line="276" w:lineRule="auto"/>
      <w:outlineLvl w:val="0"/>
    </w:pPr>
    <w:rPr>
      <w:rFonts w:ascii="Times New Roman" w:eastAsia="Calibri" w:hAnsi="Times New Roman" w:cs="Times New Roman"/>
      <w:sz w:val="24"/>
      <w:szCs w:val="22"/>
      <w:lang w:eastAsia="en-US"/>
    </w:rPr>
  </w:style>
  <w:style w:type="character" w:customStyle="1" w:styleId="apple-style-span">
    <w:name w:val="apple-style-span"/>
    <w:rsid w:val="00223824"/>
  </w:style>
  <w:style w:type="paragraph" w:customStyle="1" w:styleId="a0">
    <w:name w:val="Список ключевых слов"/>
    <w:basedOn w:val="afff3"/>
    <w:link w:val="affff8"/>
    <w:qFormat/>
    <w:rsid w:val="00223824"/>
    <w:pPr>
      <w:widowControl/>
      <w:numPr>
        <w:numId w:val="234"/>
      </w:numPr>
      <w:autoSpaceDE/>
      <w:autoSpaceDN/>
      <w:adjustRightInd/>
      <w:ind w:left="0" w:firstLine="709"/>
      <w:contextualSpacing w:val="0"/>
    </w:pPr>
    <w:rPr>
      <w:rFonts w:eastAsia="Calibri"/>
      <w:szCs w:val="28"/>
      <w:lang w:eastAsia="en-US"/>
    </w:rPr>
  </w:style>
  <w:style w:type="paragraph" w:customStyle="1" w:styleId="affff9">
    <w:name w:val="Сокращения"/>
    <w:basedOn w:val="a2"/>
    <w:link w:val="affffa"/>
    <w:qFormat/>
    <w:rsid w:val="00223824"/>
    <w:pPr>
      <w:widowControl/>
      <w:autoSpaceDE/>
      <w:autoSpaceDN/>
      <w:adjustRightInd/>
      <w:ind w:firstLine="709"/>
    </w:pPr>
    <w:rPr>
      <w:rFonts w:eastAsia="Calibri"/>
      <w:szCs w:val="22"/>
      <w:lang w:eastAsia="en-US"/>
    </w:rPr>
  </w:style>
  <w:style w:type="character" w:customStyle="1" w:styleId="affff8">
    <w:name w:val="Список ключевых слов Знак"/>
    <w:link w:val="a0"/>
    <w:locked/>
    <w:rsid w:val="00223824"/>
    <w:rPr>
      <w:rFonts w:ascii="Times New Roman" w:eastAsia="Calibri" w:hAnsi="Times New Roman" w:cs="Times New Roman"/>
      <w:sz w:val="24"/>
      <w:szCs w:val="28"/>
      <w:lang w:eastAsia="en-US"/>
    </w:rPr>
  </w:style>
  <w:style w:type="character" w:customStyle="1" w:styleId="affffa">
    <w:name w:val="Сокращения Знак"/>
    <w:link w:val="affff9"/>
    <w:locked/>
    <w:rsid w:val="00223824"/>
    <w:rPr>
      <w:rFonts w:ascii="Times New Roman" w:eastAsia="Calibri" w:hAnsi="Times New Roman" w:cs="Times New Roman"/>
      <w:sz w:val="24"/>
      <w:szCs w:val="22"/>
      <w:lang w:eastAsia="en-US"/>
    </w:rPr>
  </w:style>
  <w:style w:type="paragraph" w:customStyle="1" w:styleId="affffb">
    <w:name w:val="Таблицы"/>
    <w:basedOn w:val="afff7"/>
    <w:link w:val="affffc"/>
    <w:qFormat/>
    <w:rsid w:val="00223824"/>
    <w:pPr>
      <w:spacing w:before="0" w:after="0" w:line="240" w:lineRule="auto"/>
      <w:jc w:val="both"/>
    </w:pPr>
  </w:style>
  <w:style w:type="paragraph" w:customStyle="1" w:styleId="affffd">
    <w:name w:val="Наим. табл"/>
    <w:basedOn w:val="a2"/>
    <w:link w:val="affffe"/>
    <w:qFormat/>
    <w:rsid w:val="00223824"/>
    <w:pPr>
      <w:widowControl/>
      <w:autoSpaceDE/>
      <w:autoSpaceDN/>
      <w:adjustRightInd/>
      <w:ind w:firstLine="709"/>
    </w:pPr>
    <w:rPr>
      <w:rFonts w:eastAsia="Calibri"/>
      <w:szCs w:val="22"/>
      <w:lang w:eastAsia="en-US"/>
    </w:rPr>
  </w:style>
  <w:style w:type="character" w:customStyle="1" w:styleId="affffc">
    <w:name w:val="Таблицы Знак"/>
    <w:basedOn w:val="af6"/>
    <w:link w:val="affffb"/>
    <w:locked/>
    <w:rsid w:val="00223824"/>
    <w:rPr>
      <w:rFonts w:ascii="Times New Roman" w:hAnsi="Times New Roman" w:cs="Times New Roman"/>
      <w:sz w:val="24"/>
      <w:szCs w:val="24"/>
    </w:rPr>
  </w:style>
  <w:style w:type="character" w:customStyle="1" w:styleId="affffe">
    <w:name w:val="Наим. табл Знак"/>
    <w:link w:val="affffd"/>
    <w:locked/>
    <w:rsid w:val="00223824"/>
    <w:rPr>
      <w:rFonts w:ascii="Times New Roman" w:eastAsia="Calibri" w:hAnsi="Times New Roman" w:cs="Times New Roman"/>
      <w:sz w:val="24"/>
      <w:szCs w:val="22"/>
      <w:lang w:eastAsia="en-US"/>
    </w:rPr>
  </w:style>
  <w:style w:type="paragraph" w:customStyle="1" w:styleId="a1">
    <w:name w:val="Рекомендация"/>
    <w:basedOn w:val="10"/>
    <w:link w:val="afffff"/>
    <w:qFormat/>
    <w:rsid w:val="00223824"/>
    <w:pPr>
      <w:numPr>
        <w:numId w:val="1"/>
      </w:numPr>
    </w:pPr>
    <w:rPr>
      <w:szCs w:val="22"/>
      <w:lang w:eastAsia="en-US"/>
    </w:rPr>
  </w:style>
  <w:style w:type="paragraph" w:customStyle="1" w:styleId="1fe">
    <w:name w:val="УДД1"/>
    <w:aliases w:val="УУР1"/>
    <w:basedOn w:val="afff6"/>
    <w:uiPriority w:val="99"/>
    <w:rsid w:val="00223824"/>
    <w:pPr>
      <w:widowControl/>
      <w:autoSpaceDE/>
      <w:autoSpaceDN/>
      <w:adjustRightInd/>
      <w:spacing w:before="0" w:beforeAutospacing="0"/>
      <w:ind w:left="709" w:firstLine="0"/>
      <w:contextualSpacing w:val="0"/>
    </w:pPr>
    <w:rPr>
      <w:rFonts w:eastAsia="Calibri"/>
      <w:szCs w:val="24"/>
      <w:lang w:eastAsia="en-US"/>
    </w:rPr>
  </w:style>
  <w:style w:type="character" w:customStyle="1" w:styleId="afffff">
    <w:name w:val="Рекомендация Знак"/>
    <w:basedOn w:val="110"/>
    <w:link w:val="a1"/>
    <w:locked/>
    <w:rsid w:val="00223824"/>
    <w:rPr>
      <w:rFonts w:ascii="Times New Roman" w:hAnsi="Times New Roman" w:cs="Times New Roman"/>
      <w:sz w:val="24"/>
      <w:szCs w:val="22"/>
      <w:lang w:val="x-none" w:eastAsia="en-US"/>
    </w:rPr>
  </w:style>
  <w:style w:type="table" w:customStyle="1" w:styleId="72">
    <w:name w:val="Сетка таблицы7"/>
    <w:uiPriority w:val="59"/>
    <w:rsid w:val="00223824"/>
    <w:rPr>
      <w:rFonts w:eastAsia="Calibri"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
    <w:name w:val="Сетка таблицы8"/>
    <w:uiPriority w:val="59"/>
    <w:rsid w:val="00223824"/>
    <w:rPr>
      <w:rFonts w:eastAsia="Calibri"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
    <w:name w:val="Сетка таблицы9"/>
    <w:uiPriority w:val="59"/>
    <w:rsid w:val="00223824"/>
    <w:rPr>
      <w:rFonts w:eastAsia="Calibri"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
    <w:name w:val="Сетка таблицы4"/>
    <w:uiPriority w:val="59"/>
    <w:rsid w:val="00223824"/>
    <w:rPr>
      <w:rFonts w:eastAsia="Calibri"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
    <w:name w:val="Сетка таблицы5"/>
    <w:uiPriority w:val="59"/>
    <w:rsid w:val="00223824"/>
    <w:rPr>
      <w:rFonts w:eastAsia="Calibri"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0">
    <w:name w:val="ссылка"/>
    <w:basedOn w:val="a2"/>
    <w:link w:val="afffff1"/>
    <w:qFormat/>
    <w:rsid w:val="00223824"/>
    <w:pPr>
      <w:widowControl/>
      <w:autoSpaceDE/>
      <w:autoSpaceDN/>
      <w:adjustRightInd/>
      <w:ind w:firstLine="709"/>
    </w:pPr>
    <w:rPr>
      <w:i/>
      <w:color w:val="0070C0"/>
      <w:szCs w:val="24"/>
      <w:u w:val="single"/>
      <w:lang w:eastAsia="en-US"/>
    </w:rPr>
  </w:style>
  <w:style w:type="character" w:customStyle="1" w:styleId="afffff1">
    <w:name w:val="ссылка Знак"/>
    <w:link w:val="afffff0"/>
    <w:locked/>
    <w:rsid w:val="00223824"/>
    <w:rPr>
      <w:rFonts w:ascii="Times New Roman" w:hAnsi="Times New Roman" w:cs="Times New Roman"/>
      <w:i/>
      <w:color w:val="0070C0"/>
      <w:sz w:val="24"/>
      <w:szCs w:val="24"/>
      <w:u w:val="single"/>
      <w:lang w:eastAsia="en-US"/>
    </w:rPr>
  </w:style>
  <w:style w:type="character" w:customStyle="1" w:styleId="afffff2">
    <w:name w:val="Основной текст_"/>
    <w:link w:val="1ff"/>
    <w:locked/>
    <w:rsid w:val="00223824"/>
    <w:rPr>
      <w:rFonts w:ascii="Times New Roman" w:hAnsi="Times New Roman" w:cs="Times New Roman"/>
      <w:sz w:val="28"/>
      <w:szCs w:val="28"/>
      <w:shd w:val="clear" w:color="auto" w:fill="FFFFFF"/>
    </w:rPr>
  </w:style>
  <w:style w:type="character" w:customStyle="1" w:styleId="23">
    <w:name w:val="Заголовок №2_"/>
    <w:link w:val="24"/>
    <w:locked/>
    <w:rsid w:val="00223824"/>
    <w:rPr>
      <w:rFonts w:ascii="Times New Roman" w:hAnsi="Times New Roman" w:cs="Times New Roman"/>
      <w:b/>
      <w:bCs/>
      <w:sz w:val="28"/>
      <w:szCs w:val="28"/>
      <w:shd w:val="clear" w:color="auto" w:fill="FFFFFF"/>
    </w:rPr>
  </w:style>
  <w:style w:type="paragraph" w:customStyle="1" w:styleId="1ff">
    <w:name w:val="Основной текст1"/>
    <w:basedOn w:val="a2"/>
    <w:link w:val="afffff2"/>
    <w:rsid w:val="00223824"/>
    <w:pPr>
      <w:shd w:val="clear" w:color="auto" w:fill="FFFFFF"/>
      <w:autoSpaceDE/>
      <w:autoSpaceDN/>
      <w:adjustRightInd/>
      <w:spacing w:line="240" w:lineRule="auto"/>
      <w:ind w:firstLine="400"/>
    </w:pPr>
    <w:rPr>
      <w:sz w:val="28"/>
      <w:szCs w:val="28"/>
    </w:rPr>
  </w:style>
  <w:style w:type="paragraph" w:customStyle="1" w:styleId="24">
    <w:name w:val="Заголовок №2"/>
    <w:basedOn w:val="a2"/>
    <w:link w:val="23"/>
    <w:rsid w:val="00223824"/>
    <w:pPr>
      <w:shd w:val="clear" w:color="auto" w:fill="FFFFFF"/>
      <w:autoSpaceDE/>
      <w:autoSpaceDN/>
      <w:adjustRightInd/>
      <w:spacing w:after="160" w:line="240" w:lineRule="auto"/>
      <w:ind w:right="100"/>
      <w:jc w:val="center"/>
      <w:outlineLvl w:val="1"/>
    </w:pPr>
    <w:rPr>
      <w:b/>
      <w:bCs/>
      <w:sz w:val="28"/>
      <w:szCs w:val="28"/>
    </w:rPr>
  </w:style>
  <w:style w:type="numbering" w:customStyle="1" w:styleId="1ff0">
    <w:name w:val="Нет списка1"/>
    <w:next w:val="a5"/>
    <w:uiPriority w:val="99"/>
    <w:semiHidden/>
    <w:unhideWhenUsed/>
    <w:rsid w:val="00223824"/>
  </w:style>
  <w:style w:type="numbering" w:customStyle="1" w:styleId="25">
    <w:name w:val="Нет списка2"/>
    <w:next w:val="a5"/>
    <w:uiPriority w:val="99"/>
    <w:semiHidden/>
    <w:unhideWhenUsed/>
    <w:rsid w:val="00223824"/>
  </w:style>
  <w:style w:type="numbering" w:customStyle="1" w:styleId="37">
    <w:name w:val="Нет списка3"/>
    <w:next w:val="a5"/>
    <w:uiPriority w:val="99"/>
    <w:semiHidden/>
    <w:unhideWhenUsed/>
    <w:rsid w:val="00223824"/>
  </w:style>
  <w:style w:type="paragraph" w:customStyle="1" w:styleId="310">
    <w:name w:val="Основной текст с отступом 31"/>
    <w:basedOn w:val="a2"/>
    <w:rsid w:val="00223824"/>
    <w:pPr>
      <w:widowControl/>
      <w:suppressAutoHyphens/>
      <w:autoSpaceDE/>
      <w:autoSpaceDN/>
      <w:adjustRightInd/>
      <w:spacing w:after="120" w:line="240" w:lineRule="auto"/>
      <w:ind w:left="283" w:firstLine="567"/>
    </w:pPr>
    <w:rPr>
      <w:rFonts w:cs="Calibri"/>
      <w:sz w:val="16"/>
      <w:szCs w:val="16"/>
      <w:lang w:eastAsia="ar-SA"/>
    </w:rPr>
  </w:style>
  <w:style w:type="character" w:customStyle="1" w:styleId="Arial105pt">
    <w:name w:val="Основной текст + Arial;10;5 pt"/>
    <w:rsid w:val="00223824"/>
    <w:rPr>
      <w:rFonts w:ascii="Arial" w:eastAsia="Arial" w:hAnsi="Arial" w:cs="Arial"/>
      <w:b w:val="0"/>
      <w:bCs w:val="0"/>
      <w:i w:val="0"/>
      <w:iCs w:val="0"/>
      <w:smallCaps w:val="0"/>
      <w:strike w:val="0"/>
      <w:color w:val="000000"/>
      <w:spacing w:val="0"/>
      <w:w w:val="100"/>
      <w:position w:val="0"/>
      <w:sz w:val="21"/>
      <w:szCs w:val="21"/>
      <w:u w:val="none"/>
      <w:lang w:val="ru-RU"/>
    </w:rPr>
  </w:style>
  <w:style w:type="character" w:customStyle="1" w:styleId="src">
    <w:name w:val="src"/>
    <w:rsid w:val="00223824"/>
  </w:style>
  <w:style w:type="paragraph" w:customStyle="1" w:styleId="firstlast">
    <w:name w:val="first last"/>
    <w:basedOn w:val="a2"/>
    <w:uiPriority w:val="99"/>
    <w:rsid w:val="00223824"/>
    <w:pPr>
      <w:widowControl/>
      <w:autoSpaceDE/>
      <w:autoSpaceDN/>
      <w:adjustRightInd/>
      <w:spacing w:before="100" w:beforeAutospacing="1" w:after="100" w:afterAutospacing="1" w:line="240" w:lineRule="auto"/>
      <w:ind w:firstLine="567"/>
    </w:pPr>
    <w:rPr>
      <w:szCs w:val="24"/>
    </w:rPr>
  </w:style>
  <w:style w:type="paragraph" w:customStyle="1" w:styleId="last">
    <w:name w:val="last"/>
    <w:basedOn w:val="a2"/>
    <w:uiPriority w:val="99"/>
    <w:rsid w:val="00223824"/>
    <w:pPr>
      <w:widowControl/>
      <w:autoSpaceDE/>
      <w:autoSpaceDN/>
      <w:adjustRightInd/>
      <w:spacing w:before="100" w:beforeAutospacing="1" w:after="100" w:afterAutospacing="1" w:line="240" w:lineRule="auto"/>
      <w:ind w:firstLine="567"/>
    </w:pPr>
    <w:rPr>
      <w:szCs w:val="24"/>
    </w:rPr>
  </w:style>
  <w:style w:type="paragraph" w:customStyle="1" w:styleId="para">
    <w:name w:val="para"/>
    <w:basedOn w:val="a2"/>
    <w:uiPriority w:val="99"/>
    <w:rsid w:val="00223824"/>
    <w:pPr>
      <w:widowControl/>
      <w:autoSpaceDE/>
      <w:autoSpaceDN/>
      <w:adjustRightInd/>
      <w:spacing w:before="100" w:beforeAutospacing="1" w:after="100" w:afterAutospacing="1" w:line="240" w:lineRule="auto"/>
      <w:ind w:firstLine="567"/>
    </w:pPr>
    <w:rPr>
      <w:rFonts w:ascii="Arial" w:hAnsi="Arial" w:cs="Arial"/>
      <w:color w:val="000000"/>
      <w:sz w:val="26"/>
      <w:szCs w:val="26"/>
    </w:rPr>
  </w:style>
  <w:style w:type="character" w:customStyle="1" w:styleId="selectbg">
    <w:name w:val="select_bg"/>
    <w:rsid w:val="00223824"/>
  </w:style>
  <w:style w:type="character" w:customStyle="1" w:styleId="postbody1">
    <w:name w:val="postbody1"/>
    <w:rsid w:val="00223824"/>
    <w:rPr>
      <w:sz w:val="18"/>
      <w:szCs w:val="18"/>
    </w:rPr>
  </w:style>
  <w:style w:type="character" w:customStyle="1" w:styleId="volume">
    <w:name w:val="volume"/>
    <w:rsid w:val="00223824"/>
  </w:style>
  <w:style w:type="character" w:customStyle="1" w:styleId="issue">
    <w:name w:val="issue"/>
    <w:rsid w:val="00223824"/>
  </w:style>
  <w:style w:type="character" w:customStyle="1" w:styleId="pages">
    <w:name w:val="pages"/>
    <w:rsid w:val="00223824"/>
  </w:style>
  <w:style w:type="paragraph" w:customStyle="1" w:styleId="220">
    <w:name w:val="Основной текст 22"/>
    <w:basedOn w:val="a2"/>
    <w:rsid w:val="00223824"/>
    <w:pPr>
      <w:widowControl/>
      <w:suppressAutoHyphens/>
      <w:autoSpaceDE/>
      <w:autoSpaceDN/>
      <w:adjustRightInd/>
      <w:spacing w:line="100" w:lineRule="atLeast"/>
      <w:ind w:firstLine="567"/>
    </w:pPr>
    <w:rPr>
      <w:kern w:val="1"/>
      <w:szCs w:val="24"/>
      <w:lang w:eastAsia="ar-SA"/>
    </w:rPr>
  </w:style>
  <w:style w:type="paragraph" w:styleId="afffff3">
    <w:name w:val="Body Text Indent"/>
    <w:basedOn w:val="a2"/>
    <w:link w:val="afffff4"/>
    <w:uiPriority w:val="99"/>
    <w:unhideWhenUsed/>
    <w:rsid w:val="00223824"/>
    <w:pPr>
      <w:widowControl/>
      <w:autoSpaceDE/>
      <w:autoSpaceDN/>
      <w:adjustRightInd/>
      <w:spacing w:after="120" w:line="288" w:lineRule="auto"/>
      <w:ind w:left="283" w:firstLine="567"/>
    </w:pPr>
    <w:rPr>
      <w:rFonts w:ascii="Calibri" w:eastAsia="Calibri" w:hAnsi="Calibri"/>
      <w:sz w:val="22"/>
      <w:szCs w:val="22"/>
      <w:lang w:eastAsia="en-US"/>
    </w:rPr>
  </w:style>
  <w:style w:type="character" w:customStyle="1" w:styleId="afffff4">
    <w:name w:val="Основной текст с отступом Знак"/>
    <w:basedOn w:val="a3"/>
    <w:link w:val="afffff3"/>
    <w:uiPriority w:val="99"/>
    <w:rsid w:val="00223824"/>
    <w:rPr>
      <w:rFonts w:eastAsia="Calibri" w:cs="Times New Roman"/>
      <w:sz w:val="22"/>
      <w:szCs w:val="22"/>
      <w:lang w:eastAsia="en-US"/>
    </w:rPr>
  </w:style>
  <w:style w:type="paragraph" w:customStyle="1" w:styleId="afffff5">
    <w:name w:val="Содержимое таблицы"/>
    <w:basedOn w:val="a2"/>
    <w:rsid w:val="00223824"/>
    <w:pPr>
      <w:suppressLineNumbers/>
      <w:suppressAutoHyphens/>
      <w:autoSpaceDE/>
      <w:autoSpaceDN/>
      <w:adjustRightInd/>
      <w:spacing w:line="240" w:lineRule="auto"/>
      <w:ind w:firstLine="567"/>
    </w:pPr>
    <w:rPr>
      <w:rFonts w:ascii="Arial" w:eastAsia="Arial Unicode MS" w:hAnsi="Arial"/>
      <w:kern w:val="1"/>
      <w:sz w:val="20"/>
      <w:szCs w:val="24"/>
      <w:lang w:eastAsia="ar-SA"/>
    </w:rPr>
  </w:style>
  <w:style w:type="paragraph" w:customStyle="1" w:styleId="TextDrugs">
    <w:name w:val="Text_Drugs"/>
    <w:basedOn w:val="a2"/>
    <w:rsid w:val="00223824"/>
    <w:pPr>
      <w:widowControl/>
      <w:suppressAutoHyphens/>
      <w:autoSpaceDE/>
      <w:autoSpaceDN/>
      <w:adjustRightInd/>
      <w:spacing w:line="100" w:lineRule="atLeast"/>
      <w:ind w:firstLine="567"/>
    </w:pPr>
    <w:rPr>
      <w:rFonts w:ascii="Cambria" w:eastAsia="MS Mincho" w:hAnsi="Cambria"/>
      <w:kern w:val="1"/>
      <w:szCs w:val="24"/>
      <w:lang w:val="de-DE" w:eastAsia="ar-SA"/>
    </w:rPr>
  </w:style>
  <w:style w:type="character" w:customStyle="1" w:styleId="maintextbldleft">
    <w:name w:val="maintextbldleft"/>
    <w:rsid w:val="00223824"/>
  </w:style>
  <w:style w:type="character" w:customStyle="1" w:styleId="maintextleft">
    <w:name w:val="maintextleft"/>
    <w:rsid w:val="00223824"/>
  </w:style>
  <w:style w:type="paragraph" w:customStyle="1" w:styleId="26">
    <w:name w:val="Абзац списка2"/>
    <w:basedOn w:val="a2"/>
    <w:rsid w:val="00223824"/>
    <w:pPr>
      <w:widowControl/>
      <w:suppressAutoHyphens/>
      <w:autoSpaceDE/>
      <w:autoSpaceDN/>
      <w:adjustRightInd/>
      <w:spacing w:after="200" w:line="276" w:lineRule="auto"/>
      <w:ind w:firstLine="567"/>
    </w:pPr>
    <w:rPr>
      <w:rFonts w:ascii="Calibri" w:eastAsia="Calibri" w:hAnsi="Calibri" w:cs="Calibri"/>
      <w:sz w:val="22"/>
      <w:szCs w:val="22"/>
      <w:lang w:val="nl-NL" w:eastAsia="ar-SA"/>
    </w:rPr>
  </w:style>
  <w:style w:type="paragraph" w:customStyle="1" w:styleId="230">
    <w:name w:val="Основной текст 23"/>
    <w:basedOn w:val="a2"/>
    <w:rsid w:val="00223824"/>
    <w:pPr>
      <w:widowControl/>
      <w:suppressAutoHyphens/>
      <w:autoSpaceDE/>
      <w:autoSpaceDN/>
      <w:adjustRightInd/>
      <w:spacing w:line="100" w:lineRule="atLeast"/>
      <w:ind w:firstLine="567"/>
    </w:pPr>
    <w:rPr>
      <w:kern w:val="1"/>
      <w:szCs w:val="24"/>
      <w:lang w:eastAsia="ar-SA"/>
    </w:rPr>
  </w:style>
  <w:style w:type="paragraph" w:styleId="27">
    <w:name w:val="Body Text 2"/>
    <w:basedOn w:val="a2"/>
    <w:link w:val="28"/>
    <w:semiHidden/>
    <w:rsid w:val="00223824"/>
    <w:pPr>
      <w:widowControl/>
      <w:autoSpaceDE/>
      <w:autoSpaceDN/>
      <w:adjustRightInd/>
      <w:spacing w:line="240" w:lineRule="auto"/>
      <w:ind w:firstLine="567"/>
    </w:pPr>
  </w:style>
  <w:style w:type="character" w:customStyle="1" w:styleId="28">
    <w:name w:val="Основной текст 2 Знак"/>
    <w:basedOn w:val="a3"/>
    <w:link w:val="27"/>
    <w:semiHidden/>
    <w:rsid w:val="00223824"/>
    <w:rPr>
      <w:rFonts w:ascii="Times New Roman" w:hAnsi="Times New Roman" w:cs="Times New Roman"/>
      <w:sz w:val="24"/>
    </w:rPr>
  </w:style>
  <w:style w:type="character" w:customStyle="1" w:styleId="freeaccess">
    <w:name w:val="freeaccess"/>
    <w:rsid w:val="00223824"/>
  </w:style>
  <w:style w:type="paragraph" w:customStyle="1" w:styleId="38">
    <w:name w:val="Абзац списка3"/>
    <w:basedOn w:val="a2"/>
    <w:rsid w:val="00223824"/>
    <w:pPr>
      <w:widowControl/>
      <w:autoSpaceDE/>
      <w:autoSpaceDN/>
      <w:adjustRightInd/>
      <w:spacing w:line="240" w:lineRule="auto"/>
      <w:ind w:left="720" w:firstLine="567"/>
    </w:pPr>
    <w:rPr>
      <w:rFonts w:eastAsia="Calibri"/>
      <w:szCs w:val="24"/>
    </w:rPr>
  </w:style>
  <w:style w:type="paragraph" w:customStyle="1" w:styleId="TableParagraph">
    <w:name w:val="Table Paragraph"/>
    <w:basedOn w:val="a2"/>
    <w:rsid w:val="00223824"/>
    <w:pPr>
      <w:autoSpaceDE/>
      <w:autoSpaceDN/>
      <w:adjustRightInd/>
      <w:spacing w:line="240" w:lineRule="auto"/>
      <w:ind w:left="103" w:firstLine="567"/>
    </w:pPr>
    <w:rPr>
      <w:rFonts w:ascii="Calibri" w:hAnsi="Calibri" w:cs="Calibri"/>
      <w:sz w:val="22"/>
      <w:szCs w:val="22"/>
      <w:lang w:val="en-US" w:eastAsia="en-US"/>
    </w:rPr>
  </w:style>
  <w:style w:type="character" w:customStyle="1" w:styleId="WW8Num3z1">
    <w:name w:val="WW8Num3z1"/>
    <w:rsid w:val="00223824"/>
    <w:rPr>
      <w:rFonts w:ascii="Courier New" w:hAnsi="Courier New" w:cs="Courier New"/>
    </w:rPr>
  </w:style>
  <w:style w:type="character" w:customStyle="1" w:styleId="WW8Num3z2">
    <w:name w:val="WW8Num3z2"/>
    <w:rsid w:val="00223824"/>
    <w:rPr>
      <w:rFonts w:ascii="Wingdings" w:hAnsi="Wingdings" w:cs="Wingdings"/>
    </w:rPr>
  </w:style>
  <w:style w:type="character" w:customStyle="1" w:styleId="WW8Num3z4">
    <w:name w:val="WW8Num3z4"/>
    <w:rsid w:val="00223824"/>
    <w:rPr>
      <w:rFonts w:ascii="Courier New" w:hAnsi="Courier New" w:cs="Courier New"/>
    </w:rPr>
  </w:style>
  <w:style w:type="character" w:customStyle="1" w:styleId="WW8Num5z1">
    <w:name w:val="WW8Num5z1"/>
    <w:rsid w:val="00223824"/>
    <w:rPr>
      <w:rFonts w:ascii="Calibri" w:hAnsi="Calibri" w:cs="Calibri"/>
    </w:rPr>
  </w:style>
  <w:style w:type="character" w:customStyle="1" w:styleId="WW8Num5z2">
    <w:name w:val="WW8Num5z2"/>
    <w:rsid w:val="00223824"/>
    <w:rPr>
      <w:rFonts w:ascii="Wingdings" w:hAnsi="Wingdings" w:cs="Wingdings"/>
    </w:rPr>
  </w:style>
  <w:style w:type="character" w:customStyle="1" w:styleId="WW8Num5z4">
    <w:name w:val="WW8Num5z4"/>
    <w:rsid w:val="00223824"/>
    <w:rPr>
      <w:rFonts w:ascii="Courier New" w:hAnsi="Courier New" w:cs="Courier New"/>
    </w:rPr>
  </w:style>
  <w:style w:type="character" w:customStyle="1" w:styleId="WW8Num6z1">
    <w:name w:val="WW8Num6z1"/>
    <w:rsid w:val="00223824"/>
    <w:rPr>
      <w:rFonts w:ascii="Courier New" w:hAnsi="Courier New" w:cs="Courier New"/>
    </w:rPr>
  </w:style>
  <w:style w:type="character" w:customStyle="1" w:styleId="WW8Num6z2">
    <w:name w:val="WW8Num6z2"/>
    <w:rsid w:val="00223824"/>
    <w:rPr>
      <w:rFonts w:ascii="Wingdings" w:hAnsi="Wingdings" w:cs="Wingdings"/>
    </w:rPr>
  </w:style>
  <w:style w:type="character" w:customStyle="1" w:styleId="WW8Num7z0">
    <w:name w:val="WW8Num7z0"/>
    <w:rsid w:val="00223824"/>
    <w:rPr>
      <w:rFonts w:ascii="Symbol" w:hAnsi="Symbol" w:cs="Symbol"/>
    </w:rPr>
  </w:style>
  <w:style w:type="character" w:customStyle="1" w:styleId="WW8Num7z1">
    <w:name w:val="WW8Num7z1"/>
    <w:rsid w:val="00223824"/>
    <w:rPr>
      <w:rFonts w:ascii="Calibri" w:hAnsi="Calibri" w:cs="Calibri"/>
    </w:rPr>
  </w:style>
  <w:style w:type="character" w:customStyle="1" w:styleId="WW8Num8z0">
    <w:name w:val="WW8Num8z0"/>
    <w:rsid w:val="00223824"/>
    <w:rPr>
      <w:rFonts w:ascii="Symbol" w:hAnsi="Symbol" w:cs="Symbol"/>
    </w:rPr>
  </w:style>
  <w:style w:type="character" w:customStyle="1" w:styleId="WW8Num9z0">
    <w:name w:val="WW8Num9z0"/>
    <w:rsid w:val="00223824"/>
    <w:rPr>
      <w:rFonts w:ascii="Calibri" w:eastAsia="Times New Roman" w:hAnsi="Calibri" w:cs="Times New Roman"/>
    </w:rPr>
  </w:style>
  <w:style w:type="character" w:customStyle="1" w:styleId="WW8Num10z0">
    <w:name w:val="WW8Num10z0"/>
    <w:rsid w:val="00223824"/>
    <w:rPr>
      <w:b w:val="0"/>
      <w:i w:val="0"/>
    </w:rPr>
  </w:style>
  <w:style w:type="character" w:customStyle="1" w:styleId="WW8Num11z0">
    <w:name w:val="WW8Num11z0"/>
    <w:rsid w:val="00223824"/>
    <w:rPr>
      <w:rFonts w:ascii="Symbol" w:hAnsi="Symbol" w:cs="Symbol"/>
    </w:rPr>
  </w:style>
  <w:style w:type="character" w:customStyle="1" w:styleId="WW8Num12z0">
    <w:name w:val="WW8Num12z0"/>
    <w:rsid w:val="00223824"/>
    <w:rPr>
      <w:rFonts w:ascii="Symbol" w:hAnsi="Symbol" w:cs="Symbol"/>
    </w:rPr>
  </w:style>
  <w:style w:type="character" w:customStyle="1" w:styleId="WW8Num13z0">
    <w:name w:val="WW8Num13z0"/>
    <w:rsid w:val="00223824"/>
    <w:rPr>
      <w:rFonts w:ascii="Symbol" w:hAnsi="Symbol" w:cs="Symbol"/>
    </w:rPr>
  </w:style>
  <w:style w:type="character" w:customStyle="1" w:styleId="WW8Num14z0">
    <w:name w:val="WW8Num14z0"/>
    <w:rsid w:val="00223824"/>
    <w:rPr>
      <w:rFonts w:ascii="Calibri" w:hAnsi="Calibri" w:cs="Calibri"/>
    </w:rPr>
  </w:style>
  <w:style w:type="character" w:customStyle="1" w:styleId="WW8Num15z0">
    <w:name w:val="WW8Num15z0"/>
    <w:rsid w:val="00223824"/>
    <w:rPr>
      <w:rFonts w:ascii="Symbol" w:hAnsi="Symbol" w:cs="Symbol"/>
    </w:rPr>
  </w:style>
  <w:style w:type="character" w:customStyle="1" w:styleId="WW8Num16z0">
    <w:name w:val="WW8Num16z0"/>
    <w:rsid w:val="00223824"/>
    <w:rPr>
      <w:rFonts w:ascii="Symbol" w:hAnsi="Symbol" w:cs="Symbol"/>
    </w:rPr>
  </w:style>
  <w:style w:type="character" w:customStyle="1" w:styleId="WW8Num17z0">
    <w:name w:val="WW8Num17z0"/>
    <w:rsid w:val="00223824"/>
    <w:rPr>
      <w:rFonts w:ascii="Calibri" w:hAnsi="Calibri" w:cs="Calibri"/>
    </w:rPr>
  </w:style>
  <w:style w:type="character" w:customStyle="1" w:styleId="WW8Num18z0">
    <w:name w:val="WW8Num18z0"/>
    <w:rsid w:val="00223824"/>
    <w:rPr>
      <w:rFonts w:ascii="Symbol" w:hAnsi="Symbol" w:cs="Symbol"/>
    </w:rPr>
  </w:style>
  <w:style w:type="character" w:customStyle="1" w:styleId="WW8Num19z0">
    <w:name w:val="WW8Num19z0"/>
    <w:rsid w:val="00223824"/>
    <w:rPr>
      <w:rFonts w:ascii="Symbol" w:hAnsi="Symbol" w:cs="Symbol"/>
    </w:rPr>
  </w:style>
  <w:style w:type="character" w:customStyle="1" w:styleId="WW8Num20z0">
    <w:name w:val="WW8Num20z0"/>
    <w:rsid w:val="00223824"/>
    <w:rPr>
      <w:rFonts w:ascii="Symbol" w:hAnsi="Symbol" w:cs="Symbol"/>
    </w:rPr>
  </w:style>
  <w:style w:type="character" w:customStyle="1" w:styleId="WW8Num21z0">
    <w:name w:val="WW8Num21z0"/>
    <w:rsid w:val="00223824"/>
    <w:rPr>
      <w:rFonts w:ascii="Symbol" w:hAnsi="Symbol" w:cs="Symbol"/>
    </w:rPr>
  </w:style>
  <w:style w:type="character" w:customStyle="1" w:styleId="WW8Num22z0">
    <w:name w:val="WW8Num22z0"/>
    <w:rsid w:val="00223824"/>
    <w:rPr>
      <w:rFonts w:ascii="Symbol" w:hAnsi="Symbol" w:cs="Symbol"/>
    </w:rPr>
  </w:style>
  <w:style w:type="character" w:customStyle="1" w:styleId="WW8Num23z0">
    <w:name w:val="WW8Num23z0"/>
    <w:rsid w:val="00223824"/>
    <w:rPr>
      <w:rFonts w:ascii="Symbol" w:hAnsi="Symbol" w:cs="Symbol"/>
    </w:rPr>
  </w:style>
  <w:style w:type="character" w:customStyle="1" w:styleId="WW8Num24z0">
    <w:name w:val="WW8Num24z0"/>
    <w:rsid w:val="00223824"/>
    <w:rPr>
      <w:rFonts w:ascii="Symbol" w:hAnsi="Symbol" w:cs="Symbol"/>
    </w:rPr>
  </w:style>
  <w:style w:type="character" w:customStyle="1" w:styleId="WW8Num25z0">
    <w:name w:val="WW8Num25z0"/>
    <w:rsid w:val="00223824"/>
    <w:rPr>
      <w:rFonts w:ascii="Symbol" w:hAnsi="Symbol" w:cs="Symbol"/>
    </w:rPr>
  </w:style>
  <w:style w:type="character" w:customStyle="1" w:styleId="WW8Num26z0">
    <w:name w:val="WW8Num26z0"/>
    <w:rsid w:val="00223824"/>
    <w:rPr>
      <w:rFonts w:ascii="Symbol" w:hAnsi="Symbol" w:cs="Symbol"/>
    </w:rPr>
  </w:style>
  <w:style w:type="character" w:customStyle="1" w:styleId="WW8Num27z0">
    <w:name w:val="WW8Num27z0"/>
    <w:rsid w:val="00223824"/>
    <w:rPr>
      <w:rFonts w:ascii="Calibri" w:hAnsi="Calibri" w:cs="Calibri"/>
    </w:rPr>
  </w:style>
  <w:style w:type="character" w:customStyle="1" w:styleId="WW8Num27z1">
    <w:name w:val="WW8Num27z1"/>
    <w:rsid w:val="00223824"/>
    <w:rPr>
      <w:rFonts w:ascii="Courier New" w:hAnsi="Courier New" w:cs="Courier New"/>
    </w:rPr>
  </w:style>
  <w:style w:type="character" w:customStyle="1" w:styleId="WW8Num27z2">
    <w:name w:val="WW8Num27z2"/>
    <w:rsid w:val="00223824"/>
    <w:rPr>
      <w:rFonts w:ascii="Wingdings" w:hAnsi="Wingdings" w:cs="Wingdings"/>
    </w:rPr>
  </w:style>
  <w:style w:type="character" w:customStyle="1" w:styleId="WW8Num27z4">
    <w:name w:val="WW8Num27z4"/>
    <w:rsid w:val="00223824"/>
    <w:rPr>
      <w:rFonts w:ascii="Courier New" w:hAnsi="Courier New" w:cs="Courier New"/>
    </w:rPr>
  </w:style>
  <w:style w:type="character" w:customStyle="1" w:styleId="WW8Num28z0">
    <w:name w:val="WW8Num28z0"/>
    <w:rsid w:val="00223824"/>
    <w:rPr>
      <w:rFonts w:ascii="Symbol" w:hAnsi="Symbol" w:cs="Symbol"/>
    </w:rPr>
  </w:style>
  <w:style w:type="character" w:customStyle="1" w:styleId="WW8Num29z0">
    <w:name w:val="WW8Num29z0"/>
    <w:rsid w:val="00223824"/>
    <w:rPr>
      <w:rFonts w:ascii="Symbol" w:hAnsi="Symbol" w:cs="Symbol"/>
    </w:rPr>
  </w:style>
  <w:style w:type="character" w:customStyle="1" w:styleId="WW8Num30z0">
    <w:name w:val="WW8Num30z0"/>
    <w:rsid w:val="00223824"/>
    <w:rPr>
      <w:rFonts w:ascii="Symbol" w:hAnsi="Symbol" w:cs="Symbol"/>
    </w:rPr>
  </w:style>
  <w:style w:type="character" w:customStyle="1" w:styleId="WW8Num31z0">
    <w:name w:val="WW8Num31z0"/>
    <w:rsid w:val="00223824"/>
    <w:rPr>
      <w:b w:val="0"/>
      <w:i w:val="0"/>
      <w:kern w:val="1"/>
    </w:rPr>
  </w:style>
  <w:style w:type="character" w:customStyle="1" w:styleId="WW8Num32z0">
    <w:name w:val="WW8Num32z0"/>
    <w:rsid w:val="00223824"/>
    <w:rPr>
      <w:rFonts w:ascii="Symbol" w:hAnsi="Symbol" w:cs="Symbol"/>
    </w:rPr>
  </w:style>
  <w:style w:type="character" w:customStyle="1" w:styleId="WW8Num34z0">
    <w:name w:val="WW8Num34z0"/>
    <w:rsid w:val="00223824"/>
    <w:rPr>
      <w:rFonts w:ascii="Symbol" w:hAnsi="Symbol" w:cs="Symbol"/>
    </w:rPr>
  </w:style>
  <w:style w:type="character" w:customStyle="1" w:styleId="WW8Num34z1">
    <w:name w:val="WW8Num34z1"/>
    <w:rsid w:val="00223824"/>
    <w:rPr>
      <w:rFonts w:ascii="Courier New" w:hAnsi="Courier New" w:cs="Courier New"/>
    </w:rPr>
  </w:style>
  <w:style w:type="character" w:customStyle="1" w:styleId="WW8Num34z2">
    <w:name w:val="WW8Num34z2"/>
    <w:rsid w:val="00223824"/>
    <w:rPr>
      <w:rFonts w:ascii="Wingdings" w:hAnsi="Wingdings" w:cs="Wingdings"/>
    </w:rPr>
  </w:style>
  <w:style w:type="character" w:customStyle="1" w:styleId="WW8Num34z4">
    <w:name w:val="WW8Num34z4"/>
    <w:rsid w:val="00223824"/>
    <w:rPr>
      <w:rFonts w:ascii="Courier New" w:hAnsi="Courier New" w:cs="Courier New"/>
    </w:rPr>
  </w:style>
  <w:style w:type="character" w:customStyle="1" w:styleId="WW8Num35z0">
    <w:name w:val="WW8Num35z0"/>
    <w:rsid w:val="00223824"/>
    <w:rPr>
      <w:rFonts w:ascii="Calibri" w:hAnsi="Calibri" w:cs="Calibri"/>
    </w:rPr>
  </w:style>
  <w:style w:type="character" w:customStyle="1" w:styleId="WW8Num36z0">
    <w:name w:val="WW8Num36z0"/>
    <w:rsid w:val="00223824"/>
    <w:rPr>
      <w:rFonts w:ascii="Symbol" w:hAnsi="Symbol" w:cs="Symbol"/>
    </w:rPr>
  </w:style>
  <w:style w:type="character" w:customStyle="1" w:styleId="WW8Num37z0">
    <w:name w:val="WW8Num37z0"/>
    <w:rsid w:val="00223824"/>
    <w:rPr>
      <w:rFonts w:ascii="Symbol" w:hAnsi="Symbol" w:cs="Symbol"/>
    </w:rPr>
  </w:style>
  <w:style w:type="character" w:customStyle="1" w:styleId="WW8Num38z0">
    <w:name w:val="WW8Num38z0"/>
    <w:rsid w:val="00223824"/>
    <w:rPr>
      <w:rFonts w:ascii="Symbol" w:hAnsi="Symbol" w:cs="Symbol"/>
    </w:rPr>
  </w:style>
  <w:style w:type="character" w:customStyle="1" w:styleId="WW8Num39z0">
    <w:name w:val="WW8Num39z0"/>
    <w:rsid w:val="00223824"/>
    <w:rPr>
      <w:rFonts w:ascii="Symbol" w:hAnsi="Symbol" w:cs="Symbol"/>
    </w:rPr>
  </w:style>
  <w:style w:type="character" w:customStyle="1" w:styleId="WW8Num40z0">
    <w:name w:val="WW8Num40z0"/>
    <w:rsid w:val="00223824"/>
    <w:rPr>
      <w:rFonts w:ascii="Symbol" w:hAnsi="Symbol" w:cs="Symbol"/>
    </w:rPr>
  </w:style>
  <w:style w:type="character" w:customStyle="1" w:styleId="WW8Num41z0">
    <w:name w:val="WW8Num41z0"/>
    <w:rsid w:val="00223824"/>
    <w:rPr>
      <w:rFonts w:ascii="Calibri" w:hAnsi="Calibri" w:cs="Calibri"/>
    </w:rPr>
  </w:style>
  <w:style w:type="character" w:customStyle="1" w:styleId="WW8Num42z0">
    <w:name w:val="WW8Num42z0"/>
    <w:rsid w:val="00223824"/>
    <w:rPr>
      <w:rFonts w:ascii="Symbol" w:hAnsi="Symbol" w:cs="Symbol"/>
    </w:rPr>
  </w:style>
  <w:style w:type="character" w:customStyle="1" w:styleId="WW8Num43z0">
    <w:name w:val="WW8Num43z0"/>
    <w:rsid w:val="00223824"/>
    <w:rPr>
      <w:rFonts w:ascii="Symbol" w:hAnsi="Symbol" w:cs="Symbol"/>
    </w:rPr>
  </w:style>
  <w:style w:type="character" w:customStyle="1" w:styleId="WW8Num44z0">
    <w:name w:val="WW8Num44z0"/>
    <w:rsid w:val="00223824"/>
    <w:rPr>
      <w:rFonts w:ascii="Symbol" w:hAnsi="Symbol" w:cs="Symbol"/>
    </w:rPr>
  </w:style>
  <w:style w:type="character" w:customStyle="1" w:styleId="WW8Num45z0">
    <w:name w:val="WW8Num45z0"/>
    <w:rsid w:val="00223824"/>
    <w:rPr>
      <w:rFonts w:ascii="Symbol" w:hAnsi="Symbol" w:cs="Symbol"/>
    </w:rPr>
  </w:style>
  <w:style w:type="character" w:customStyle="1" w:styleId="WW8Num46z0">
    <w:name w:val="WW8Num46z0"/>
    <w:rsid w:val="00223824"/>
    <w:rPr>
      <w:rFonts w:ascii="Symbol" w:hAnsi="Symbol" w:cs="Symbol"/>
    </w:rPr>
  </w:style>
  <w:style w:type="character" w:customStyle="1" w:styleId="WW8Num47z0">
    <w:name w:val="WW8Num47z0"/>
    <w:rsid w:val="00223824"/>
    <w:rPr>
      <w:rFonts w:ascii="Calibri" w:hAnsi="Calibri" w:cs="Calibri"/>
    </w:rPr>
  </w:style>
  <w:style w:type="character" w:customStyle="1" w:styleId="WW8Num48z0">
    <w:name w:val="WW8Num48z0"/>
    <w:rsid w:val="00223824"/>
    <w:rPr>
      <w:rFonts w:ascii="Symbol" w:hAnsi="Symbol" w:cs="Symbol"/>
    </w:rPr>
  </w:style>
  <w:style w:type="character" w:customStyle="1" w:styleId="WW8Num49z0">
    <w:name w:val="WW8Num49z0"/>
    <w:rsid w:val="00223824"/>
    <w:rPr>
      <w:rFonts w:ascii="Symbol" w:hAnsi="Symbol" w:cs="Symbol"/>
    </w:rPr>
  </w:style>
  <w:style w:type="character" w:customStyle="1" w:styleId="WW8Num49z1">
    <w:name w:val="WW8Num49z1"/>
    <w:rsid w:val="00223824"/>
    <w:rPr>
      <w:rFonts w:ascii="Courier New" w:hAnsi="Courier New" w:cs="Courier New"/>
    </w:rPr>
  </w:style>
  <w:style w:type="character" w:customStyle="1" w:styleId="WW8Num49z2">
    <w:name w:val="WW8Num49z2"/>
    <w:rsid w:val="00223824"/>
    <w:rPr>
      <w:rFonts w:ascii="Wingdings" w:hAnsi="Wingdings" w:cs="Wingdings"/>
    </w:rPr>
  </w:style>
  <w:style w:type="character" w:customStyle="1" w:styleId="WW8Num50z0">
    <w:name w:val="WW8Num50z0"/>
    <w:rsid w:val="00223824"/>
    <w:rPr>
      <w:rFonts w:ascii="Symbol" w:hAnsi="Symbol" w:cs="Symbol"/>
    </w:rPr>
  </w:style>
  <w:style w:type="character" w:customStyle="1" w:styleId="29">
    <w:name w:val="Основной шрифт абзаца2"/>
    <w:rsid w:val="00223824"/>
  </w:style>
  <w:style w:type="character" w:customStyle="1" w:styleId="WW8Num4z1">
    <w:name w:val="WW8Num4z1"/>
    <w:rsid w:val="00223824"/>
    <w:rPr>
      <w:rFonts w:ascii="Courier New" w:hAnsi="Courier New" w:cs="Courier New"/>
      <w:color w:val="000000"/>
    </w:rPr>
  </w:style>
  <w:style w:type="character" w:customStyle="1" w:styleId="WW8Num4z2">
    <w:name w:val="WW8Num4z2"/>
    <w:rsid w:val="00223824"/>
    <w:rPr>
      <w:rFonts w:ascii="Wingdings" w:hAnsi="Wingdings" w:cs="Wingdings"/>
    </w:rPr>
  </w:style>
  <w:style w:type="character" w:customStyle="1" w:styleId="WW8Num4z4">
    <w:name w:val="WW8Num4z4"/>
    <w:rsid w:val="00223824"/>
    <w:rPr>
      <w:rFonts w:ascii="Courier New" w:hAnsi="Courier New" w:cs="Courier New"/>
    </w:rPr>
  </w:style>
  <w:style w:type="character" w:customStyle="1" w:styleId="WW8Num7z2">
    <w:name w:val="WW8Num7z2"/>
    <w:rsid w:val="00223824"/>
    <w:rPr>
      <w:rFonts w:ascii="Wingdings" w:hAnsi="Wingdings" w:cs="Wingdings"/>
    </w:rPr>
  </w:style>
  <w:style w:type="character" w:customStyle="1" w:styleId="WW8Num7z4">
    <w:name w:val="WW8Num7z4"/>
    <w:rsid w:val="00223824"/>
    <w:rPr>
      <w:rFonts w:ascii="Courier New" w:hAnsi="Courier New" w:cs="Courier New"/>
    </w:rPr>
  </w:style>
  <w:style w:type="character" w:customStyle="1" w:styleId="WW8Num8z1">
    <w:name w:val="WW8Num8z1"/>
    <w:rsid w:val="00223824"/>
    <w:rPr>
      <w:rFonts w:ascii="Courier New" w:hAnsi="Courier New" w:cs="Courier New"/>
    </w:rPr>
  </w:style>
  <w:style w:type="character" w:customStyle="1" w:styleId="WW8Num8z2">
    <w:name w:val="WW8Num8z2"/>
    <w:rsid w:val="00223824"/>
    <w:rPr>
      <w:rFonts w:ascii="Wingdings" w:hAnsi="Wingdings" w:cs="Wingdings"/>
    </w:rPr>
  </w:style>
  <w:style w:type="character" w:customStyle="1" w:styleId="WW8Num9z1">
    <w:name w:val="WW8Num9z1"/>
    <w:rsid w:val="00223824"/>
    <w:rPr>
      <w:rFonts w:ascii="Symbol" w:hAnsi="Symbol" w:cs="Courier New"/>
    </w:rPr>
  </w:style>
  <w:style w:type="character" w:customStyle="1" w:styleId="WW8Num15z1">
    <w:name w:val="WW8Num15z1"/>
    <w:rsid w:val="00223824"/>
    <w:rPr>
      <w:rFonts w:ascii="Courier New" w:hAnsi="Courier New" w:cs="Courier New"/>
    </w:rPr>
  </w:style>
  <w:style w:type="character" w:customStyle="1" w:styleId="WW8Num15z2">
    <w:name w:val="WW8Num15z2"/>
    <w:rsid w:val="00223824"/>
    <w:rPr>
      <w:rFonts w:ascii="Wingdings" w:hAnsi="Wingdings" w:cs="Wingdings"/>
    </w:rPr>
  </w:style>
  <w:style w:type="character" w:customStyle="1" w:styleId="WW8Num16z1">
    <w:name w:val="WW8Num16z1"/>
    <w:rsid w:val="00223824"/>
    <w:rPr>
      <w:rFonts w:ascii="Courier New" w:hAnsi="Courier New" w:cs="Courier New"/>
    </w:rPr>
  </w:style>
  <w:style w:type="character" w:customStyle="1" w:styleId="WW8Num16z2">
    <w:name w:val="WW8Num16z2"/>
    <w:rsid w:val="00223824"/>
    <w:rPr>
      <w:rFonts w:ascii="Wingdings" w:hAnsi="Wingdings" w:cs="Wingdings"/>
    </w:rPr>
  </w:style>
  <w:style w:type="character" w:customStyle="1" w:styleId="WW8Num17z1">
    <w:name w:val="WW8Num17z1"/>
    <w:rsid w:val="00223824"/>
    <w:rPr>
      <w:rFonts w:ascii="Courier New" w:hAnsi="Courier New" w:cs="Courier New"/>
    </w:rPr>
  </w:style>
  <w:style w:type="character" w:customStyle="1" w:styleId="WW8Num17z2">
    <w:name w:val="WW8Num17z2"/>
    <w:rsid w:val="00223824"/>
    <w:rPr>
      <w:rFonts w:ascii="Wingdings" w:hAnsi="Wingdings" w:cs="Wingdings"/>
    </w:rPr>
  </w:style>
  <w:style w:type="character" w:customStyle="1" w:styleId="WW8Num17z3">
    <w:name w:val="WW8Num17z3"/>
    <w:rsid w:val="00223824"/>
    <w:rPr>
      <w:rFonts w:ascii="Symbol" w:hAnsi="Symbol" w:cs="Symbol"/>
    </w:rPr>
  </w:style>
  <w:style w:type="character" w:customStyle="1" w:styleId="WW8Num18z1">
    <w:name w:val="WW8Num18z1"/>
    <w:rsid w:val="00223824"/>
    <w:rPr>
      <w:rFonts w:ascii="Courier New" w:hAnsi="Courier New" w:cs="Courier New"/>
    </w:rPr>
  </w:style>
  <w:style w:type="character" w:customStyle="1" w:styleId="WW8Num18z2">
    <w:name w:val="WW8Num18z2"/>
    <w:rsid w:val="00223824"/>
    <w:rPr>
      <w:rFonts w:ascii="Wingdings" w:hAnsi="Wingdings" w:cs="Wingdings"/>
    </w:rPr>
  </w:style>
  <w:style w:type="character" w:customStyle="1" w:styleId="WW8Num19z1">
    <w:name w:val="WW8Num19z1"/>
    <w:rsid w:val="00223824"/>
    <w:rPr>
      <w:rFonts w:ascii="Courier New" w:hAnsi="Courier New" w:cs="Courier New"/>
    </w:rPr>
  </w:style>
  <w:style w:type="character" w:customStyle="1" w:styleId="WW8Num19z2">
    <w:name w:val="WW8Num19z2"/>
    <w:rsid w:val="00223824"/>
    <w:rPr>
      <w:rFonts w:ascii="Wingdings" w:hAnsi="Wingdings" w:cs="Wingdings"/>
    </w:rPr>
  </w:style>
  <w:style w:type="character" w:customStyle="1" w:styleId="WW8Num20z1">
    <w:name w:val="WW8Num20z1"/>
    <w:rsid w:val="00223824"/>
    <w:rPr>
      <w:rFonts w:ascii="Courier New" w:hAnsi="Courier New" w:cs="Courier New"/>
    </w:rPr>
  </w:style>
  <w:style w:type="character" w:customStyle="1" w:styleId="WW8Num20z2">
    <w:name w:val="WW8Num20z2"/>
    <w:rsid w:val="00223824"/>
    <w:rPr>
      <w:rFonts w:ascii="Wingdings" w:hAnsi="Wingdings" w:cs="Wingdings"/>
    </w:rPr>
  </w:style>
  <w:style w:type="character" w:customStyle="1" w:styleId="WW8Num21z1">
    <w:name w:val="WW8Num21z1"/>
    <w:rsid w:val="00223824"/>
    <w:rPr>
      <w:rFonts w:ascii="Courier New" w:hAnsi="Courier New" w:cs="Courier New"/>
    </w:rPr>
  </w:style>
  <w:style w:type="character" w:customStyle="1" w:styleId="WW8Num21z2">
    <w:name w:val="WW8Num21z2"/>
    <w:rsid w:val="00223824"/>
    <w:rPr>
      <w:rFonts w:ascii="Wingdings" w:hAnsi="Wingdings" w:cs="Wingdings"/>
    </w:rPr>
  </w:style>
  <w:style w:type="character" w:customStyle="1" w:styleId="WW8Num22z1">
    <w:name w:val="WW8Num22z1"/>
    <w:rsid w:val="00223824"/>
    <w:rPr>
      <w:rFonts w:ascii="Courier New" w:hAnsi="Courier New" w:cs="Courier New"/>
    </w:rPr>
  </w:style>
  <w:style w:type="character" w:customStyle="1" w:styleId="WW8Num22z2">
    <w:name w:val="WW8Num22z2"/>
    <w:rsid w:val="00223824"/>
    <w:rPr>
      <w:rFonts w:ascii="Wingdings" w:hAnsi="Wingdings" w:cs="Wingdings"/>
    </w:rPr>
  </w:style>
  <w:style w:type="character" w:customStyle="1" w:styleId="WW8Num23z1">
    <w:name w:val="WW8Num23z1"/>
    <w:rsid w:val="00223824"/>
    <w:rPr>
      <w:rFonts w:ascii="Courier New" w:hAnsi="Courier New" w:cs="Courier New"/>
    </w:rPr>
  </w:style>
  <w:style w:type="character" w:customStyle="1" w:styleId="WW8Num23z2">
    <w:name w:val="WW8Num23z2"/>
    <w:rsid w:val="00223824"/>
    <w:rPr>
      <w:rFonts w:ascii="Wingdings" w:hAnsi="Wingdings" w:cs="Wingdings"/>
    </w:rPr>
  </w:style>
  <w:style w:type="character" w:customStyle="1" w:styleId="WW8Num24z1">
    <w:name w:val="WW8Num24z1"/>
    <w:rsid w:val="00223824"/>
    <w:rPr>
      <w:rFonts w:ascii="Courier New" w:hAnsi="Courier New" w:cs="Courier New"/>
    </w:rPr>
  </w:style>
  <w:style w:type="character" w:customStyle="1" w:styleId="WW8Num24z2">
    <w:name w:val="WW8Num24z2"/>
    <w:rsid w:val="00223824"/>
    <w:rPr>
      <w:rFonts w:ascii="Wingdings" w:hAnsi="Wingdings" w:cs="Wingdings"/>
    </w:rPr>
  </w:style>
  <w:style w:type="character" w:customStyle="1" w:styleId="WW8Num25z1">
    <w:name w:val="WW8Num25z1"/>
    <w:rsid w:val="00223824"/>
    <w:rPr>
      <w:rFonts w:ascii="Courier New" w:hAnsi="Courier New" w:cs="Courier New"/>
    </w:rPr>
  </w:style>
  <w:style w:type="character" w:customStyle="1" w:styleId="WW8Num25z2">
    <w:name w:val="WW8Num25z2"/>
    <w:rsid w:val="00223824"/>
    <w:rPr>
      <w:rFonts w:ascii="Wingdings" w:hAnsi="Wingdings" w:cs="Wingdings"/>
    </w:rPr>
  </w:style>
  <w:style w:type="character" w:customStyle="1" w:styleId="WW8Num26z1">
    <w:name w:val="WW8Num26z1"/>
    <w:rsid w:val="00223824"/>
    <w:rPr>
      <w:rFonts w:ascii="Courier New" w:hAnsi="Courier New" w:cs="Courier New"/>
    </w:rPr>
  </w:style>
  <w:style w:type="character" w:customStyle="1" w:styleId="WW8Num26z2">
    <w:name w:val="WW8Num26z2"/>
    <w:rsid w:val="00223824"/>
    <w:rPr>
      <w:rFonts w:ascii="Wingdings" w:hAnsi="Wingdings" w:cs="Wingdings"/>
    </w:rPr>
  </w:style>
  <w:style w:type="character" w:customStyle="1" w:styleId="WW8Num27z3">
    <w:name w:val="WW8Num27z3"/>
    <w:rsid w:val="00223824"/>
    <w:rPr>
      <w:rFonts w:ascii="Symbol" w:hAnsi="Symbol" w:cs="Symbol"/>
    </w:rPr>
  </w:style>
  <w:style w:type="character" w:customStyle="1" w:styleId="WW8Num28z1">
    <w:name w:val="WW8Num28z1"/>
    <w:rsid w:val="00223824"/>
    <w:rPr>
      <w:rFonts w:ascii="Courier New" w:hAnsi="Courier New" w:cs="Courier New"/>
    </w:rPr>
  </w:style>
  <w:style w:type="character" w:customStyle="1" w:styleId="WW8Num28z2">
    <w:name w:val="WW8Num28z2"/>
    <w:rsid w:val="00223824"/>
    <w:rPr>
      <w:rFonts w:ascii="Wingdings" w:hAnsi="Wingdings" w:cs="Wingdings"/>
    </w:rPr>
  </w:style>
  <w:style w:type="character" w:customStyle="1" w:styleId="WW8Num29z1">
    <w:name w:val="WW8Num29z1"/>
    <w:rsid w:val="00223824"/>
    <w:rPr>
      <w:rFonts w:ascii="Courier New" w:hAnsi="Courier New" w:cs="Courier New"/>
    </w:rPr>
  </w:style>
  <w:style w:type="character" w:customStyle="1" w:styleId="WW8Num29z2">
    <w:name w:val="WW8Num29z2"/>
    <w:rsid w:val="00223824"/>
    <w:rPr>
      <w:rFonts w:ascii="Wingdings" w:hAnsi="Wingdings" w:cs="Wingdings"/>
    </w:rPr>
  </w:style>
  <w:style w:type="character" w:customStyle="1" w:styleId="WW8Num32z1">
    <w:name w:val="WW8Num32z1"/>
    <w:rsid w:val="00223824"/>
    <w:rPr>
      <w:rFonts w:ascii="Calibri" w:hAnsi="Calibri" w:cs="Calibri"/>
    </w:rPr>
  </w:style>
  <w:style w:type="character" w:customStyle="1" w:styleId="WW8Num32z2">
    <w:name w:val="WW8Num32z2"/>
    <w:rsid w:val="00223824"/>
    <w:rPr>
      <w:rFonts w:ascii="Wingdings" w:hAnsi="Wingdings" w:cs="Wingdings"/>
    </w:rPr>
  </w:style>
  <w:style w:type="character" w:customStyle="1" w:styleId="WW8Num32z4">
    <w:name w:val="WW8Num32z4"/>
    <w:rsid w:val="00223824"/>
    <w:rPr>
      <w:rFonts w:ascii="Courier New" w:hAnsi="Courier New" w:cs="Courier New"/>
    </w:rPr>
  </w:style>
  <w:style w:type="character" w:customStyle="1" w:styleId="WW8Num33z0">
    <w:name w:val="WW8Num33z0"/>
    <w:rsid w:val="00223824"/>
    <w:rPr>
      <w:rFonts w:ascii="Symbol" w:hAnsi="Symbol" w:cs="Symbol"/>
    </w:rPr>
  </w:style>
  <w:style w:type="character" w:customStyle="1" w:styleId="WW8Num35z1">
    <w:name w:val="WW8Num35z1"/>
    <w:rsid w:val="00223824"/>
    <w:rPr>
      <w:rFonts w:ascii="Courier New" w:hAnsi="Courier New" w:cs="Courier New"/>
    </w:rPr>
  </w:style>
  <w:style w:type="character" w:customStyle="1" w:styleId="WW8Num35z2">
    <w:name w:val="WW8Num35z2"/>
    <w:rsid w:val="00223824"/>
    <w:rPr>
      <w:rFonts w:ascii="Wingdings" w:hAnsi="Wingdings" w:cs="Wingdings"/>
    </w:rPr>
  </w:style>
  <w:style w:type="character" w:customStyle="1" w:styleId="WW8Num35z3">
    <w:name w:val="WW8Num35z3"/>
    <w:rsid w:val="00223824"/>
    <w:rPr>
      <w:rFonts w:ascii="Symbol" w:hAnsi="Symbol" w:cs="Symbol"/>
    </w:rPr>
  </w:style>
  <w:style w:type="character" w:customStyle="1" w:styleId="WW8Num36z1">
    <w:name w:val="WW8Num36z1"/>
    <w:rsid w:val="00223824"/>
    <w:rPr>
      <w:rFonts w:ascii="Courier New" w:hAnsi="Courier New" w:cs="Courier New"/>
    </w:rPr>
  </w:style>
  <w:style w:type="character" w:customStyle="1" w:styleId="WW8Num36z2">
    <w:name w:val="WW8Num36z2"/>
    <w:rsid w:val="00223824"/>
    <w:rPr>
      <w:rFonts w:ascii="Wingdings" w:hAnsi="Wingdings" w:cs="Wingdings"/>
    </w:rPr>
  </w:style>
  <w:style w:type="character" w:customStyle="1" w:styleId="WW8Num37z1">
    <w:name w:val="WW8Num37z1"/>
    <w:rsid w:val="00223824"/>
    <w:rPr>
      <w:rFonts w:ascii="Courier New" w:hAnsi="Courier New" w:cs="Courier New"/>
    </w:rPr>
  </w:style>
  <w:style w:type="character" w:customStyle="1" w:styleId="WW8Num37z2">
    <w:name w:val="WW8Num37z2"/>
    <w:rsid w:val="00223824"/>
    <w:rPr>
      <w:rFonts w:ascii="Wingdings" w:hAnsi="Wingdings" w:cs="Wingdings"/>
    </w:rPr>
  </w:style>
  <w:style w:type="character" w:customStyle="1" w:styleId="WW8Num39z1">
    <w:name w:val="WW8Num39z1"/>
    <w:rsid w:val="00223824"/>
    <w:rPr>
      <w:rFonts w:ascii="Calibri" w:hAnsi="Calibri" w:cs="Calibri"/>
    </w:rPr>
  </w:style>
  <w:style w:type="character" w:customStyle="1" w:styleId="WW8Num39z2">
    <w:name w:val="WW8Num39z2"/>
    <w:rsid w:val="00223824"/>
    <w:rPr>
      <w:rFonts w:ascii="Wingdings" w:hAnsi="Wingdings" w:cs="Wingdings"/>
    </w:rPr>
  </w:style>
  <w:style w:type="character" w:customStyle="1" w:styleId="WW8Num39z4">
    <w:name w:val="WW8Num39z4"/>
    <w:rsid w:val="00223824"/>
    <w:rPr>
      <w:rFonts w:ascii="Courier New" w:hAnsi="Courier New" w:cs="Courier New"/>
    </w:rPr>
  </w:style>
  <w:style w:type="character" w:customStyle="1" w:styleId="WW8Num40z1">
    <w:name w:val="WW8Num40z1"/>
    <w:rsid w:val="00223824"/>
    <w:rPr>
      <w:rFonts w:ascii="Courier New" w:hAnsi="Courier New" w:cs="Courier New"/>
    </w:rPr>
  </w:style>
  <w:style w:type="character" w:customStyle="1" w:styleId="WW8Num40z2">
    <w:name w:val="WW8Num40z2"/>
    <w:rsid w:val="00223824"/>
    <w:rPr>
      <w:rFonts w:ascii="Wingdings" w:hAnsi="Wingdings" w:cs="Wingdings"/>
    </w:rPr>
  </w:style>
  <w:style w:type="character" w:customStyle="1" w:styleId="WW8Num41z1">
    <w:name w:val="WW8Num41z1"/>
    <w:rsid w:val="00223824"/>
    <w:rPr>
      <w:rFonts w:ascii="Courier New" w:hAnsi="Courier New" w:cs="Courier New"/>
    </w:rPr>
  </w:style>
  <w:style w:type="character" w:customStyle="1" w:styleId="WW8Num41z2">
    <w:name w:val="WW8Num41z2"/>
    <w:rsid w:val="00223824"/>
    <w:rPr>
      <w:rFonts w:ascii="Wingdings" w:hAnsi="Wingdings" w:cs="Wingdings"/>
    </w:rPr>
  </w:style>
  <w:style w:type="character" w:customStyle="1" w:styleId="WW8Num41z3">
    <w:name w:val="WW8Num41z3"/>
    <w:rsid w:val="00223824"/>
    <w:rPr>
      <w:rFonts w:ascii="Symbol" w:hAnsi="Symbol" w:cs="Symbol"/>
    </w:rPr>
  </w:style>
  <w:style w:type="character" w:customStyle="1" w:styleId="WW8Num42z1">
    <w:name w:val="WW8Num42z1"/>
    <w:rsid w:val="00223824"/>
    <w:rPr>
      <w:rFonts w:ascii="Courier New" w:hAnsi="Courier New" w:cs="Courier New"/>
    </w:rPr>
  </w:style>
  <w:style w:type="character" w:customStyle="1" w:styleId="WW8Num42z2">
    <w:name w:val="WW8Num42z2"/>
    <w:rsid w:val="00223824"/>
    <w:rPr>
      <w:rFonts w:ascii="Wingdings" w:hAnsi="Wingdings" w:cs="Wingdings"/>
    </w:rPr>
  </w:style>
  <w:style w:type="character" w:customStyle="1" w:styleId="WW8Num43z1">
    <w:name w:val="WW8Num43z1"/>
    <w:rsid w:val="00223824"/>
    <w:rPr>
      <w:rFonts w:ascii="Courier New" w:hAnsi="Courier New" w:cs="Courier New"/>
    </w:rPr>
  </w:style>
  <w:style w:type="character" w:customStyle="1" w:styleId="WW8Num43z2">
    <w:name w:val="WW8Num43z2"/>
    <w:rsid w:val="00223824"/>
    <w:rPr>
      <w:rFonts w:ascii="Wingdings" w:hAnsi="Wingdings" w:cs="Wingdings"/>
    </w:rPr>
  </w:style>
  <w:style w:type="character" w:customStyle="1" w:styleId="WW8Num44z1">
    <w:name w:val="WW8Num44z1"/>
    <w:rsid w:val="00223824"/>
    <w:rPr>
      <w:rFonts w:ascii="Courier New" w:hAnsi="Courier New" w:cs="Courier New"/>
    </w:rPr>
  </w:style>
  <w:style w:type="character" w:customStyle="1" w:styleId="WW8Num44z2">
    <w:name w:val="WW8Num44z2"/>
    <w:rsid w:val="00223824"/>
    <w:rPr>
      <w:rFonts w:ascii="Wingdings" w:hAnsi="Wingdings" w:cs="Wingdings"/>
    </w:rPr>
  </w:style>
  <w:style w:type="character" w:customStyle="1" w:styleId="WW8Num45z1">
    <w:name w:val="WW8Num45z1"/>
    <w:rsid w:val="00223824"/>
    <w:rPr>
      <w:rFonts w:ascii="Courier New" w:hAnsi="Courier New" w:cs="Courier New"/>
    </w:rPr>
  </w:style>
  <w:style w:type="character" w:customStyle="1" w:styleId="WW8Num45z2">
    <w:name w:val="WW8Num45z2"/>
    <w:rsid w:val="00223824"/>
    <w:rPr>
      <w:rFonts w:ascii="Wingdings" w:hAnsi="Wingdings" w:cs="Wingdings"/>
    </w:rPr>
  </w:style>
  <w:style w:type="character" w:customStyle="1" w:styleId="WW8Num46z1">
    <w:name w:val="WW8Num46z1"/>
    <w:rsid w:val="00223824"/>
    <w:rPr>
      <w:rFonts w:ascii="Courier New" w:hAnsi="Courier New" w:cs="Courier New"/>
    </w:rPr>
  </w:style>
  <w:style w:type="character" w:customStyle="1" w:styleId="WW8Num46z2">
    <w:name w:val="WW8Num46z2"/>
    <w:rsid w:val="00223824"/>
    <w:rPr>
      <w:rFonts w:ascii="Wingdings" w:hAnsi="Wingdings" w:cs="Wingdings"/>
    </w:rPr>
  </w:style>
  <w:style w:type="character" w:customStyle="1" w:styleId="WW8Num47z1">
    <w:name w:val="WW8Num47z1"/>
    <w:rsid w:val="00223824"/>
    <w:rPr>
      <w:rFonts w:ascii="Courier New" w:hAnsi="Courier New" w:cs="Courier New"/>
    </w:rPr>
  </w:style>
  <w:style w:type="character" w:customStyle="1" w:styleId="WW8Num47z2">
    <w:name w:val="WW8Num47z2"/>
    <w:rsid w:val="00223824"/>
    <w:rPr>
      <w:rFonts w:ascii="Wingdings" w:hAnsi="Wingdings" w:cs="Wingdings"/>
    </w:rPr>
  </w:style>
  <w:style w:type="character" w:customStyle="1" w:styleId="WW8Num47z3">
    <w:name w:val="WW8Num47z3"/>
    <w:rsid w:val="00223824"/>
    <w:rPr>
      <w:rFonts w:ascii="Symbol" w:hAnsi="Symbol" w:cs="Symbol"/>
    </w:rPr>
  </w:style>
  <w:style w:type="character" w:customStyle="1" w:styleId="WW8Num48z1">
    <w:name w:val="WW8Num48z1"/>
    <w:rsid w:val="00223824"/>
    <w:rPr>
      <w:rFonts w:ascii="Courier New" w:hAnsi="Courier New" w:cs="Courier New"/>
    </w:rPr>
  </w:style>
  <w:style w:type="character" w:customStyle="1" w:styleId="WW8Num48z2">
    <w:name w:val="WW8Num48z2"/>
    <w:rsid w:val="00223824"/>
    <w:rPr>
      <w:rFonts w:ascii="Wingdings" w:hAnsi="Wingdings" w:cs="Wingdings"/>
    </w:rPr>
  </w:style>
  <w:style w:type="character" w:customStyle="1" w:styleId="WW8Num50z1">
    <w:name w:val="WW8Num50z1"/>
    <w:rsid w:val="00223824"/>
    <w:rPr>
      <w:rFonts w:ascii="Courier New" w:hAnsi="Courier New" w:cs="Courier New"/>
    </w:rPr>
  </w:style>
  <w:style w:type="character" w:customStyle="1" w:styleId="WW8Num50z2">
    <w:name w:val="WW8Num50z2"/>
    <w:rsid w:val="00223824"/>
    <w:rPr>
      <w:rFonts w:ascii="Wingdings" w:hAnsi="Wingdings" w:cs="Wingdings"/>
    </w:rPr>
  </w:style>
  <w:style w:type="character" w:customStyle="1" w:styleId="WW8Num51z0">
    <w:name w:val="WW8Num51z0"/>
    <w:rsid w:val="00223824"/>
    <w:rPr>
      <w:rFonts w:ascii="Symbol" w:hAnsi="Symbol" w:cs="Symbol"/>
    </w:rPr>
  </w:style>
  <w:style w:type="character" w:customStyle="1" w:styleId="WW8Num51z1">
    <w:name w:val="WW8Num51z1"/>
    <w:rsid w:val="00223824"/>
    <w:rPr>
      <w:rFonts w:ascii="Courier New" w:hAnsi="Courier New" w:cs="Courier New"/>
    </w:rPr>
  </w:style>
  <w:style w:type="character" w:customStyle="1" w:styleId="WW8Num51z2">
    <w:name w:val="WW8Num51z2"/>
    <w:rsid w:val="00223824"/>
    <w:rPr>
      <w:rFonts w:ascii="Wingdings" w:hAnsi="Wingdings" w:cs="Wingdings"/>
    </w:rPr>
  </w:style>
  <w:style w:type="character" w:customStyle="1" w:styleId="WW8Num52z0">
    <w:name w:val="WW8Num52z0"/>
    <w:rsid w:val="00223824"/>
    <w:rPr>
      <w:rFonts w:ascii="Symbol" w:hAnsi="Symbol" w:cs="Symbol"/>
    </w:rPr>
  </w:style>
  <w:style w:type="character" w:customStyle="1" w:styleId="WW8Num52z1">
    <w:name w:val="WW8Num52z1"/>
    <w:rsid w:val="00223824"/>
    <w:rPr>
      <w:rFonts w:ascii="Courier New" w:hAnsi="Courier New" w:cs="Courier New"/>
    </w:rPr>
  </w:style>
  <w:style w:type="character" w:customStyle="1" w:styleId="WW8Num52z2">
    <w:name w:val="WW8Num52z2"/>
    <w:rsid w:val="00223824"/>
    <w:rPr>
      <w:rFonts w:ascii="Wingdings" w:hAnsi="Wingdings" w:cs="Wingdings"/>
    </w:rPr>
  </w:style>
  <w:style w:type="character" w:customStyle="1" w:styleId="WW8Num53z0">
    <w:name w:val="WW8Num53z0"/>
    <w:rsid w:val="00223824"/>
    <w:rPr>
      <w:rFonts w:ascii="Symbol" w:hAnsi="Symbol" w:cs="Symbol"/>
    </w:rPr>
  </w:style>
  <w:style w:type="character" w:customStyle="1" w:styleId="WW8Num53z1">
    <w:name w:val="WW8Num53z1"/>
    <w:rsid w:val="00223824"/>
    <w:rPr>
      <w:rFonts w:ascii="Courier New" w:hAnsi="Courier New" w:cs="Courier New"/>
    </w:rPr>
  </w:style>
  <w:style w:type="character" w:customStyle="1" w:styleId="WW8Num53z2">
    <w:name w:val="WW8Num53z2"/>
    <w:rsid w:val="00223824"/>
    <w:rPr>
      <w:rFonts w:ascii="Wingdings" w:hAnsi="Wingdings" w:cs="Wingdings"/>
    </w:rPr>
  </w:style>
  <w:style w:type="character" w:customStyle="1" w:styleId="WW8Num54z0">
    <w:name w:val="WW8Num54z0"/>
    <w:rsid w:val="00223824"/>
    <w:rPr>
      <w:rFonts w:ascii="Symbol" w:hAnsi="Symbol" w:cs="Symbol"/>
    </w:rPr>
  </w:style>
  <w:style w:type="character" w:customStyle="1" w:styleId="WW8Num54z1">
    <w:name w:val="WW8Num54z1"/>
    <w:rsid w:val="00223824"/>
    <w:rPr>
      <w:rFonts w:ascii="Courier New" w:hAnsi="Courier New" w:cs="Courier New"/>
    </w:rPr>
  </w:style>
  <w:style w:type="character" w:customStyle="1" w:styleId="WW8Num54z2">
    <w:name w:val="WW8Num54z2"/>
    <w:rsid w:val="00223824"/>
    <w:rPr>
      <w:rFonts w:ascii="Wingdings" w:hAnsi="Wingdings" w:cs="Wingdings"/>
    </w:rPr>
  </w:style>
  <w:style w:type="character" w:customStyle="1" w:styleId="afffff6">
    <w:name w:val="Символ сноски"/>
    <w:rsid w:val="00223824"/>
    <w:rPr>
      <w:rFonts w:cs="Times New Roman"/>
      <w:vertAlign w:val="superscript"/>
    </w:rPr>
  </w:style>
  <w:style w:type="character" w:customStyle="1" w:styleId="afffff7">
    <w:name w:val="Символы концевой сноски"/>
    <w:rsid w:val="00223824"/>
    <w:rPr>
      <w:vertAlign w:val="superscript"/>
    </w:rPr>
  </w:style>
  <w:style w:type="character" w:customStyle="1" w:styleId="afffff8">
    <w:name w:val="Маркеры списка"/>
    <w:rsid w:val="00223824"/>
    <w:rPr>
      <w:rFonts w:ascii="OpenSymbol" w:eastAsia="OpenSymbol" w:hAnsi="OpenSymbol" w:cs="OpenSymbol"/>
    </w:rPr>
  </w:style>
  <w:style w:type="paragraph" w:customStyle="1" w:styleId="2a">
    <w:name w:val="Название2"/>
    <w:basedOn w:val="a2"/>
    <w:rsid w:val="00223824"/>
    <w:pPr>
      <w:widowControl/>
      <w:suppressLineNumbers/>
      <w:suppressAutoHyphens/>
      <w:autoSpaceDE/>
      <w:autoSpaceDN/>
      <w:adjustRightInd/>
      <w:spacing w:before="120" w:after="120" w:line="288" w:lineRule="auto"/>
      <w:ind w:firstLine="567"/>
    </w:pPr>
    <w:rPr>
      <w:rFonts w:ascii="Calibri" w:eastAsia="Calibri" w:hAnsi="Calibri" w:cs="Mangal"/>
      <w:i/>
      <w:iCs/>
      <w:szCs w:val="24"/>
      <w:lang w:eastAsia="ar-SA"/>
    </w:rPr>
  </w:style>
  <w:style w:type="paragraph" w:customStyle="1" w:styleId="2b">
    <w:name w:val="Указатель2"/>
    <w:basedOn w:val="a2"/>
    <w:rsid w:val="00223824"/>
    <w:pPr>
      <w:widowControl/>
      <w:suppressLineNumbers/>
      <w:suppressAutoHyphens/>
      <w:autoSpaceDE/>
      <w:autoSpaceDN/>
      <w:adjustRightInd/>
      <w:spacing w:line="288" w:lineRule="auto"/>
      <w:ind w:firstLine="567"/>
    </w:pPr>
    <w:rPr>
      <w:rFonts w:ascii="Calibri" w:eastAsia="Calibri" w:hAnsi="Calibri" w:cs="Mangal"/>
      <w:sz w:val="22"/>
      <w:szCs w:val="22"/>
      <w:lang w:eastAsia="ar-SA"/>
    </w:rPr>
  </w:style>
  <w:style w:type="paragraph" w:customStyle="1" w:styleId="afffff9">
    <w:name w:val="Заголовок таблицы"/>
    <w:basedOn w:val="afffff5"/>
    <w:rsid w:val="00223824"/>
    <w:pPr>
      <w:jc w:val="center"/>
    </w:pPr>
    <w:rPr>
      <w:b/>
      <w:bCs/>
    </w:rPr>
  </w:style>
  <w:style w:type="character" w:customStyle="1" w:styleId="slug-pub-date3">
    <w:name w:val="slug-pub-date3"/>
    <w:rsid w:val="00223824"/>
    <w:rPr>
      <w:b/>
      <w:bCs/>
    </w:rPr>
  </w:style>
  <w:style w:type="character" w:customStyle="1" w:styleId="slug-vol">
    <w:name w:val="slug-vol"/>
    <w:rsid w:val="00223824"/>
  </w:style>
  <w:style w:type="character" w:customStyle="1" w:styleId="slug-issue">
    <w:name w:val="slug-issue"/>
    <w:rsid w:val="00223824"/>
  </w:style>
  <w:style w:type="character" w:customStyle="1" w:styleId="slug-pages3">
    <w:name w:val="slug-pages3"/>
    <w:rsid w:val="00223824"/>
    <w:rPr>
      <w:b/>
      <w:bCs/>
    </w:rPr>
  </w:style>
  <w:style w:type="paragraph" w:customStyle="1" w:styleId="LTGliederung1">
    <w:name w:val="???????~LT~Gliederung 1"/>
    <w:rsid w:val="00223824"/>
    <w:pPr>
      <w:widowControl w:val="0"/>
      <w:tabs>
        <w:tab w:val="left" w:pos="900"/>
        <w:tab w:val="left" w:pos="2340"/>
        <w:tab w:val="left" w:pos="3780"/>
        <w:tab w:val="left" w:pos="5220"/>
        <w:tab w:val="left" w:pos="6660"/>
        <w:tab w:val="left" w:pos="8100"/>
        <w:tab w:val="left" w:pos="9540"/>
        <w:tab w:val="left" w:pos="10980"/>
        <w:tab w:val="left" w:pos="12420"/>
        <w:tab w:val="left" w:pos="13860"/>
        <w:tab w:val="left" w:pos="15300"/>
      </w:tabs>
      <w:suppressAutoHyphens/>
      <w:autoSpaceDE w:val="0"/>
      <w:spacing w:before="160"/>
    </w:pPr>
    <w:rPr>
      <w:rFonts w:ascii="Mangal" w:eastAsia="Mangal" w:hAnsi="Mangal" w:cs="Mangal"/>
      <w:color w:val="000000"/>
      <w:sz w:val="64"/>
      <w:szCs w:val="64"/>
      <w:lang w:eastAsia="hi-IN" w:bidi="hi-IN"/>
    </w:rPr>
  </w:style>
  <w:style w:type="character" w:customStyle="1" w:styleId="9PalatinoLinotype">
    <w:name w:val="Основной текст (9) + Palatino Linotype"/>
    <w:aliases w:val="7,5 pt"/>
    <w:uiPriority w:val="99"/>
    <w:rsid w:val="00223824"/>
    <w:rPr>
      <w:rFonts w:ascii="Palatino Linotype" w:hAnsi="Palatino Linotype" w:cs="Palatino Linotype"/>
      <w:spacing w:val="0"/>
      <w:sz w:val="15"/>
      <w:szCs w:val="15"/>
    </w:rPr>
  </w:style>
  <w:style w:type="numbering" w:customStyle="1" w:styleId="1111111">
    <w:name w:val="1 / 1.1 / 1.1.11"/>
    <w:basedOn w:val="a5"/>
    <w:next w:val="111111"/>
    <w:rsid w:val="00223824"/>
    <w:pPr>
      <w:numPr>
        <w:numId w:val="235"/>
      </w:numPr>
    </w:pPr>
  </w:style>
  <w:style w:type="numbering" w:customStyle="1" w:styleId="1ai1">
    <w:name w:val="1 / a / i1"/>
    <w:basedOn w:val="a5"/>
    <w:next w:val="1ai"/>
    <w:rsid w:val="00223824"/>
    <w:pPr>
      <w:numPr>
        <w:numId w:val="236"/>
      </w:numPr>
    </w:pPr>
  </w:style>
  <w:style w:type="numbering" w:styleId="111111">
    <w:name w:val="Outline List 2"/>
    <w:basedOn w:val="a5"/>
    <w:uiPriority w:val="99"/>
    <w:semiHidden/>
    <w:unhideWhenUsed/>
    <w:rsid w:val="00223824"/>
  </w:style>
  <w:style w:type="numbering" w:styleId="1ai">
    <w:name w:val="Outline List 1"/>
    <w:basedOn w:val="a5"/>
    <w:uiPriority w:val="99"/>
    <w:semiHidden/>
    <w:unhideWhenUsed/>
    <w:rsid w:val="00223824"/>
  </w:style>
  <w:style w:type="table" w:customStyle="1" w:styleId="-110">
    <w:name w:val="Таблица-сетка 1 светлая1"/>
    <w:basedOn w:val="a4"/>
    <w:uiPriority w:val="46"/>
    <w:rsid w:val="00223824"/>
    <w:rPr>
      <w:rFonts w:eastAsia="Calibri" w:cs="Times New Roman"/>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510">
    <w:name w:val="Таблица простая 51"/>
    <w:basedOn w:val="a4"/>
    <w:uiPriority w:val="45"/>
    <w:rsid w:val="00223824"/>
    <w:rPr>
      <w:rFonts w:eastAsia="Calibri" w:cs="Times New Roman"/>
    </w:rPr>
    <w:tblPr>
      <w:tblStyleRowBandSize w:val="1"/>
      <w:tblStyleColBandSize w:val="1"/>
    </w:tblPr>
    <w:tblStylePr w:type="firstRow">
      <w:rPr>
        <w:rFonts w:ascii="Arial Unicode MS" w:eastAsia="Times New Roman" w:hAnsi="Arial Unicode MS" w:cs="Times New Roman"/>
        <w:i/>
        <w:iCs/>
        <w:sz w:val="26"/>
      </w:rPr>
      <w:tblPr/>
      <w:tcPr>
        <w:tcBorders>
          <w:bottom w:val="single" w:sz="4" w:space="0" w:color="7F7F7F"/>
        </w:tcBorders>
        <w:shd w:val="clear" w:color="auto" w:fill="FFFFFF"/>
      </w:tcPr>
    </w:tblStylePr>
    <w:tblStylePr w:type="lastRow">
      <w:rPr>
        <w:rFonts w:ascii="Arial Unicode MS" w:eastAsia="Times New Roman" w:hAnsi="Arial Unicode MS" w:cs="Times New Roman"/>
        <w:i/>
        <w:iCs/>
        <w:sz w:val="26"/>
      </w:rPr>
      <w:tblPr/>
      <w:tcPr>
        <w:tcBorders>
          <w:top w:val="single" w:sz="4" w:space="0" w:color="7F7F7F"/>
        </w:tcBorders>
        <w:shd w:val="clear" w:color="auto" w:fill="FFFFFF"/>
      </w:tcPr>
    </w:tblStylePr>
    <w:tblStylePr w:type="firstCol">
      <w:pPr>
        <w:jc w:val="right"/>
      </w:pPr>
      <w:rPr>
        <w:rFonts w:ascii="Arial Unicode MS" w:eastAsia="Times New Roman" w:hAnsi="Arial Unicode MS" w:cs="Times New Roman"/>
        <w:i/>
        <w:iCs/>
        <w:sz w:val="26"/>
      </w:rPr>
      <w:tblPr/>
      <w:tcPr>
        <w:tcBorders>
          <w:right w:val="single" w:sz="4" w:space="0" w:color="7F7F7F"/>
        </w:tcBorders>
        <w:shd w:val="clear" w:color="auto" w:fill="FFFFFF"/>
      </w:tcPr>
    </w:tblStylePr>
    <w:tblStylePr w:type="lastCol">
      <w:rPr>
        <w:rFonts w:ascii="Arial Unicode MS" w:eastAsia="Times New Roman" w:hAnsi="Arial Unicode MS"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Absatz-Standardschriftart">
    <w:name w:val="Absatz-Standardschriftart"/>
    <w:rsid w:val="00223824"/>
  </w:style>
  <w:style w:type="character" w:customStyle="1" w:styleId="WW-Absatz-Standardschriftart">
    <w:name w:val="WW-Absatz-Standardschriftart"/>
    <w:rsid w:val="00223824"/>
  </w:style>
  <w:style w:type="paragraph" w:customStyle="1" w:styleId="p1">
    <w:name w:val="p1"/>
    <w:basedOn w:val="a2"/>
    <w:rsid w:val="00223824"/>
    <w:pPr>
      <w:widowControl/>
      <w:autoSpaceDE/>
      <w:autoSpaceDN/>
      <w:adjustRightInd/>
      <w:spacing w:line="240" w:lineRule="auto"/>
      <w:jc w:val="left"/>
    </w:pPr>
    <w:rPr>
      <w:rFonts w:ascii="Helvetica Neue" w:eastAsia="Calibri" w:hAnsi="Helvetica Neue"/>
      <w:color w:val="000000"/>
      <w:sz w:val="20"/>
    </w:rPr>
  </w:style>
  <w:style w:type="paragraph" w:customStyle="1" w:styleId="ListParagraph1">
    <w:name w:val="List Paragraph1"/>
    <w:basedOn w:val="a2"/>
    <w:rsid w:val="00223824"/>
    <w:pPr>
      <w:widowControl/>
      <w:suppressAutoHyphens/>
      <w:autoSpaceDE/>
      <w:autoSpaceDN/>
      <w:adjustRightInd/>
      <w:spacing w:after="200" w:line="276" w:lineRule="auto"/>
      <w:jc w:val="left"/>
    </w:pPr>
    <w:rPr>
      <w:rFonts w:ascii="Calibri" w:eastAsia="Calibri" w:hAnsi="Calibri" w:cs="Calibri"/>
      <w:sz w:val="22"/>
      <w:szCs w:val="22"/>
      <w:lang w:val="nl-NL" w:eastAsia="ar-SA"/>
    </w:rPr>
  </w:style>
  <w:style w:type="character" w:customStyle="1" w:styleId="Caaieiaie1Ciae">
    <w:name w:val="Caaieiaie 1 Ciae"/>
    <w:uiPriority w:val="99"/>
    <w:rsid w:val="00223824"/>
    <w:rPr>
      <w:rFonts w:ascii="Cambria" w:hAnsi="Cambria" w:cs="Cambria"/>
      <w:b/>
      <w:bCs/>
      <w:kern w:val="32"/>
      <w:sz w:val="32"/>
      <w:szCs w:val="32"/>
    </w:rPr>
  </w:style>
  <w:style w:type="character" w:customStyle="1" w:styleId="Caaieiaie2Ciae">
    <w:name w:val="Caaieiaie 2 Ciae"/>
    <w:uiPriority w:val="99"/>
    <w:rsid w:val="00223824"/>
    <w:rPr>
      <w:rFonts w:ascii="Cambria" w:hAnsi="Cambria" w:cs="Cambria"/>
      <w:b/>
      <w:bCs/>
      <w:i/>
      <w:iCs/>
      <w:sz w:val="28"/>
      <w:szCs w:val="28"/>
    </w:rPr>
  </w:style>
  <w:style w:type="character" w:customStyle="1" w:styleId="Caaieiaie3Ciae">
    <w:name w:val="Caaieiaie 3 Ciae"/>
    <w:uiPriority w:val="99"/>
    <w:rsid w:val="00223824"/>
    <w:rPr>
      <w:rFonts w:ascii="Cambria" w:hAnsi="Cambria" w:cs="Cambria"/>
      <w:b/>
      <w:bCs/>
      <w:sz w:val="26"/>
      <w:szCs w:val="26"/>
    </w:rPr>
  </w:style>
  <w:style w:type="character" w:customStyle="1" w:styleId="Caaieiaie4Ciae">
    <w:name w:val="Caaieiaie 4 Ciae"/>
    <w:uiPriority w:val="99"/>
    <w:rsid w:val="00223824"/>
    <w:rPr>
      <w:rFonts w:ascii="Times New Roman" w:hAnsi="Times New Roman" w:cs="Times New Roman"/>
      <w:b/>
      <w:bCs/>
      <w:sz w:val="28"/>
      <w:szCs w:val="28"/>
    </w:rPr>
  </w:style>
  <w:style w:type="character" w:customStyle="1" w:styleId="Caaieiaie5Ciae">
    <w:name w:val="Caaieiaie 5 Ciae"/>
    <w:uiPriority w:val="99"/>
    <w:rsid w:val="00223824"/>
    <w:rPr>
      <w:rFonts w:cs="Times New Roman"/>
      <w:b/>
      <w:bCs/>
      <w:i/>
      <w:iCs/>
      <w:sz w:val="26"/>
      <w:szCs w:val="26"/>
    </w:rPr>
  </w:style>
  <w:style w:type="character" w:customStyle="1" w:styleId="Caaieiaie6Ciae">
    <w:name w:val="Caaieiaie 6 Ciae"/>
    <w:uiPriority w:val="99"/>
    <w:rsid w:val="00223824"/>
    <w:rPr>
      <w:rFonts w:cs="Times New Roman"/>
      <w:b/>
      <w:bCs/>
    </w:rPr>
  </w:style>
  <w:style w:type="character" w:customStyle="1" w:styleId="Caaieiaie7Ciae">
    <w:name w:val="Caaieiaie 7 Ciae"/>
    <w:uiPriority w:val="99"/>
    <w:rsid w:val="00223824"/>
    <w:rPr>
      <w:rFonts w:cs="Times New Roman"/>
      <w:sz w:val="24"/>
      <w:szCs w:val="24"/>
    </w:rPr>
  </w:style>
  <w:style w:type="character" w:customStyle="1" w:styleId="Caaieiaie1Ciae1">
    <w:name w:val="Caaieiaie 1 Ciae1"/>
    <w:uiPriority w:val="99"/>
    <w:rsid w:val="00223824"/>
    <w:rPr>
      <w:rFonts w:ascii="Cambria" w:hAnsi="Cambria" w:cs="Cambria"/>
      <w:b/>
      <w:bCs/>
      <w:kern w:val="32"/>
      <w:sz w:val="32"/>
      <w:szCs w:val="32"/>
    </w:rPr>
  </w:style>
  <w:style w:type="character" w:customStyle="1" w:styleId="Caaieiaie2Ciae1">
    <w:name w:val="Caaieiaie 2 Ciae1"/>
    <w:uiPriority w:val="99"/>
    <w:rsid w:val="00223824"/>
    <w:rPr>
      <w:rFonts w:ascii="Cambria" w:hAnsi="Cambria" w:cs="Cambria"/>
      <w:b/>
      <w:bCs/>
      <w:i/>
      <w:iCs/>
      <w:sz w:val="28"/>
      <w:szCs w:val="28"/>
    </w:rPr>
  </w:style>
  <w:style w:type="character" w:customStyle="1" w:styleId="Caaieiaie3Ciae1">
    <w:name w:val="Caaieiaie 3 Ciae1"/>
    <w:uiPriority w:val="99"/>
    <w:rsid w:val="00223824"/>
    <w:rPr>
      <w:rFonts w:ascii="Cambria" w:hAnsi="Cambria" w:cs="Cambria"/>
      <w:b/>
      <w:bCs/>
      <w:sz w:val="26"/>
      <w:szCs w:val="26"/>
    </w:rPr>
  </w:style>
  <w:style w:type="character" w:customStyle="1" w:styleId="Caaieiaie4Ciae1">
    <w:name w:val="Caaieiaie 4 Ciae1"/>
    <w:uiPriority w:val="99"/>
    <w:rsid w:val="00223824"/>
    <w:rPr>
      <w:rFonts w:ascii="Times New Roman" w:hAnsi="Times New Roman" w:cs="Times New Roman"/>
      <w:b/>
      <w:bCs/>
      <w:sz w:val="28"/>
      <w:szCs w:val="28"/>
    </w:rPr>
  </w:style>
  <w:style w:type="character" w:customStyle="1" w:styleId="Caaieiaie5Ciae1">
    <w:name w:val="Caaieiaie 5 Ciae1"/>
    <w:uiPriority w:val="99"/>
    <w:rsid w:val="00223824"/>
    <w:rPr>
      <w:rFonts w:cs="Times New Roman"/>
      <w:b/>
      <w:bCs/>
      <w:i/>
      <w:iCs/>
      <w:sz w:val="26"/>
      <w:szCs w:val="26"/>
    </w:rPr>
  </w:style>
  <w:style w:type="character" w:customStyle="1" w:styleId="Caaieiaie6Ciae1">
    <w:name w:val="Caaieiaie 6 Ciae1"/>
    <w:uiPriority w:val="99"/>
    <w:rsid w:val="00223824"/>
    <w:rPr>
      <w:rFonts w:cs="Times New Roman"/>
      <w:b/>
      <w:bCs/>
    </w:rPr>
  </w:style>
  <w:style w:type="character" w:customStyle="1" w:styleId="Caaieiaie7Ciae1">
    <w:name w:val="Caaieiaie 7 Ciae1"/>
    <w:uiPriority w:val="99"/>
    <w:rsid w:val="00223824"/>
    <w:rPr>
      <w:rFonts w:cs="Times New Roman"/>
      <w:sz w:val="24"/>
      <w:szCs w:val="24"/>
    </w:rPr>
  </w:style>
  <w:style w:type="paragraph" w:customStyle="1" w:styleId="Bullet-2">
    <w:name w:val="Bullet-2"/>
    <w:basedOn w:val="FitzBullet"/>
    <w:uiPriority w:val="99"/>
    <w:rsid w:val="00223824"/>
    <w:pPr>
      <w:tabs>
        <w:tab w:val="clear" w:pos="317"/>
        <w:tab w:val="left" w:pos="1134"/>
      </w:tabs>
      <w:spacing w:line="240" w:lineRule="auto"/>
      <w:ind w:left="1417"/>
    </w:pPr>
    <w:rPr>
      <w:lang w:val="en-US"/>
    </w:rPr>
  </w:style>
  <w:style w:type="table" w:customStyle="1" w:styleId="1ff1">
    <w:name w:val="Сетка таблицы светлая1"/>
    <w:basedOn w:val="a4"/>
    <w:uiPriority w:val="40"/>
    <w:rsid w:val="00223824"/>
    <w:rPr>
      <w:rFonts w:asciiTheme="minorHAnsi" w:eastAsiaTheme="minorHAnsi" w:hAnsiTheme="minorHAnsi" w:cstheme="minorBidi"/>
      <w:szCs w:val="22"/>
      <w:lang w:eastAsia="en-US"/>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style>
  <w:style w:type="character" w:customStyle="1" w:styleId="al-author-delim">
    <w:name w:val="al-author-delim"/>
    <w:basedOn w:val="a3"/>
    <w:rsid w:val="00223824"/>
  </w:style>
  <w:style w:type="character" w:styleId="afffffa">
    <w:name w:val="line number"/>
    <w:basedOn w:val="a3"/>
    <w:uiPriority w:val="99"/>
    <w:semiHidden/>
    <w:unhideWhenUsed/>
    <w:rsid w:val="00223824"/>
  </w:style>
  <w:style w:type="character" w:customStyle="1" w:styleId="2c">
    <w:name w:val="Строгий2"/>
    <w:rsid w:val="00223824"/>
  </w:style>
  <w:style w:type="character" w:customStyle="1" w:styleId="highlight1">
    <w:name w:val="highlight1"/>
    <w:basedOn w:val="a3"/>
    <w:rsid w:val="00223824"/>
  </w:style>
  <w:style w:type="character" w:customStyle="1" w:styleId="element-citation">
    <w:name w:val="element-citation"/>
    <w:basedOn w:val="a3"/>
    <w:rsid w:val="00223824"/>
  </w:style>
  <w:style w:type="character" w:customStyle="1" w:styleId="nowrap">
    <w:name w:val="nowrap"/>
    <w:basedOn w:val="a3"/>
    <w:rsid w:val="00223824"/>
  </w:style>
  <w:style w:type="paragraph" w:customStyle="1" w:styleId="39">
    <w:name w:val="3"/>
    <w:basedOn w:val="a2"/>
    <w:link w:val="3a"/>
    <w:qFormat/>
    <w:rsid w:val="00223824"/>
    <w:pPr>
      <w:widowControl/>
      <w:autoSpaceDE/>
      <w:autoSpaceDN/>
      <w:adjustRightInd/>
      <w:ind w:left="142"/>
      <w:contextualSpacing/>
    </w:pPr>
    <w:rPr>
      <w:rFonts w:eastAsia="Calibri"/>
      <w:szCs w:val="22"/>
      <w:lang w:eastAsia="en-US"/>
    </w:rPr>
  </w:style>
  <w:style w:type="character" w:customStyle="1" w:styleId="3a">
    <w:name w:val="3 Знак"/>
    <w:basedOn w:val="a3"/>
    <w:link w:val="39"/>
    <w:rsid w:val="00223824"/>
    <w:rPr>
      <w:rFonts w:ascii="Times New Roman" w:eastAsia="Calibri" w:hAnsi="Times New Roman" w:cs="Times New Roman"/>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9110294">
      <w:bodyDiv w:val="1"/>
      <w:marLeft w:val="0"/>
      <w:marRight w:val="0"/>
      <w:marTop w:val="0"/>
      <w:marBottom w:val="0"/>
      <w:divBdr>
        <w:top w:val="none" w:sz="0" w:space="0" w:color="auto"/>
        <w:left w:val="none" w:sz="0" w:space="0" w:color="auto"/>
        <w:bottom w:val="none" w:sz="0" w:space="0" w:color="auto"/>
        <w:right w:val="none" w:sz="0" w:space="0" w:color="auto"/>
      </w:divBdr>
      <w:divsChild>
        <w:div w:id="666246406">
          <w:marLeft w:val="0"/>
          <w:marRight w:val="0"/>
          <w:marTop w:val="0"/>
          <w:marBottom w:val="0"/>
          <w:divBdr>
            <w:top w:val="none" w:sz="0" w:space="0" w:color="auto"/>
            <w:left w:val="none" w:sz="0" w:space="0" w:color="auto"/>
            <w:bottom w:val="none" w:sz="0" w:space="0" w:color="auto"/>
            <w:right w:val="none" w:sz="0" w:space="0" w:color="auto"/>
          </w:divBdr>
        </w:div>
      </w:divsChild>
    </w:div>
    <w:div w:id="160778829">
      <w:bodyDiv w:val="1"/>
      <w:marLeft w:val="0"/>
      <w:marRight w:val="0"/>
      <w:marTop w:val="0"/>
      <w:marBottom w:val="0"/>
      <w:divBdr>
        <w:top w:val="none" w:sz="0" w:space="0" w:color="auto"/>
        <w:left w:val="none" w:sz="0" w:space="0" w:color="auto"/>
        <w:bottom w:val="none" w:sz="0" w:space="0" w:color="auto"/>
        <w:right w:val="none" w:sz="0" w:space="0" w:color="auto"/>
      </w:divBdr>
      <w:divsChild>
        <w:div w:id="1773090279">
          <w:marLeft w:val="0"/>
          <w:marRight w:val="0"/>
          <w:marTop w:val="0"/>
          <w:marBottom w:val="0"/>
          <w:divBdr>
            <w:top w:val="none" w:sz="0" w:space="0" w:color="auto"/>
            <w:left w:val="none" w:sz="0" w:space="0" w:color="auto"/>
            <w:bottom w:val="none" w:sz="0" w:space="0" w:color="auto"/>
            <w:right w:val="none" w:sz="0" w:space="0" w:color="auto"/>
          </w:divBdr>
          <w:divsChild>
            <w:div w:id="637146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84193">
      <w:bodyDiv w:val="1"/>
      <w:marLeft w:val="0"/>
      <w:marRight w:val="0"/>
      <w:marTop w:val="0"/>
      <w:marBottom w:val="0"/>
      <w:divBdr>
        <w:top w:val="none" w:sz="0" w:space="0" w:color="auto"/>
        <w:left w:val="none" w:sz="0" w:space="0" w:color="auto"/>
        <w:bottom w:val="none" w:sz="0" w:space="0" w:color="auto"/>
        <w:right w:val="none" w:sz="0" w:space="0" w:color="auto"/>
      </w:divBdr>
    </w:div>
    <w:div w:id="206841367">
      <w:bodyDiv w:val="1"/>
      <w:marLeft w:val="0"/>
      <w:marRight w:val="0"/>
      <w:marTop w:val="0"/>
      <w:marBottom w:val="0"/>
      <w:divBdr>
        <w:top w:val="none" w:sz="0" w:space="0" w:color="auto"/>
        <w:left w:val="none" w:sz="0" w:space="0" w:color="auto"/>
        <w:bottom w:val="none" w:sz="0" w:space="0" w:color="auto"/>
        <w:right w:val="none" w:sz="0" w:space="0" w:color="auto"/>
      </w:divBdr>
      <w:divsChild>
        <w:div w:id="879822502">
          <w:marLeft w:val="0"/>
          <w:marRight w:val="0"/>
          <w:marTop w:val="0"/>
          <w:marBottom w:val="0"/>
          <w:divBdr>
            <w:top w:val="none" w:sz="0" w:space="0" w:color="auto"/>
            <w:left w:val="none" w:sz="0" w:space="0" w:color="auto"/>
            <w:bottom w:val="none" w:sz="0" w:space="0" w:color="auto"/>
            <w:right w:val="none" w:sz="0" w:space="0" w:color="auto"/>
          </w:divBdr>
        </w:div>
      </w:divsChild>
    </w:div>
    <w:div w:id="294217447">
      <w:bodyDiv w:val="1"/>
      <w:marLeft w:val="0"/>
      <w:marRight w:val="0"/>
      <w:marTop w:val="0"/>
      <w:marBottom w:val="0"/>
      <w:divBdr>
        <w:top w:val="none" w:sz="0" w:space="0" w:color="auto"/>
        <w:left w:val="none" w:sz="0" w:space="0" w:color="auto"/>
        <w:bottom w:val="none" w:sz="0" w:space="0" w:color="auto"/>
        <w:right w:val="none" w:sz="0" w:space="0" w:color="auto"/>
      </w:divBdr>
      <w:divsChild>
        <w:div w:id="370573111">
          <w:marLeft w:val="1166"/>
          <w:marRight w:val="0"/>
          <w:marTop w:val="67"/>
          <w:marBottom w:val="0"/>
          <w:divBdr>
            <w:top w:val="none" w:sz="0" w:space="0" w:color="auto"/>
            <w:left w:val="none" w:sz="0" w:space="0" w:color="auto"/>
            <w:bottom w:val="none" w:sz="0" w:space="0" w:color="auto"/>
            <w:right w:val="none" w:sz="0" w:space="0" w:color="auto"/>
          </w:divBdr>
        </w:div>
        <w:div w:id="998967311">
          <w:marLeft w:val="1166"/>
          <w:marRight w:val="0"/>
          <w:marTop w:val="67"/>
          <w:marBottom w:val="0"/>
          <w:divBdr>
            <w:top w:val="none" w:sz="0" w:space="0" w:color="auto"/>
            <w:left w:val="none" w:sz="0" w:space="0" w:color="auto"/>
            <w:bottom w:val="none" w:sz="0" w:space="0" w:color="auto"/>
            <w:right w:val="none" w:sz="0" w:space="0" w:color="auto"/>
          </w:divBdr>
        </w:div>
      </w:divsChild>
    </w:div>
    <w:div w:id="356470320">
      <w:bodyDiv w:val="1"/>
      <w:marLeft w:val="0"/>
      <w:marRight w:val="0"/>
      <w:marTop w:val="0"/>
      <w:marBottom w:val="0"/>
      <w:divBdr>
        <w:top w:val="none" w:sz="0" w:space="0" w:color="auto"/>
        <w:left w:val="none" w:sz="0" w:space="0" w:color="auto"/>
        <w:bottom w:val="none" w:sz="0" w:space="0" w:color="auto"/>
        <w:right w:val="none" w:sz="0" w:space="0" w:color="auto"/>
      </w:divBdr>
      <w:divsChild>
        <w:div w:id="1495415382">
          <w:marLeft w:val="446"/>
          <w:marRight w:val="0"/>
          <w:marTop w:val="0"/>
          <w:marBottom w:val="0"/>
          <w:divBdr>
            <w:top w:val="none" w:sz="0" w:space="0" w:color="auto"/>
            <w:left w:val="none" w:sz="0" w:space="0" w:color="auto"/>
            <w:bottom w:val="none" w:sz="0" w:space="0" w:color="auto"/>
            <w:right w:val="none" w:sz="0" w:space="0" w:color="auto"/>
          </w:divBdr>
        </w:div>
      </w:divsChild>
    </w:div>
    <w:div w:id="360204835">
      <w:bodyDiv w:val="1"/>
      <w:marLeft w:val="0"/>
      <w:marRight w:val="0"/>
      <w:marTop w:val="0"/>
      <w:marBottom w:val="0"/>
      <w:divBdr>
        <w:top w:val="none" w:sz="0" w:space="0" w:color="auto"/>
        <w:left w:val="none" w:sz="0" w:space="0" w:color="auto"/>
        <w:bottom w:val="none" w:sz="0" w:space="0" w:color="auto"/>
        <w:right w:val="none" w:sz="0" w:space="0" w:color="auto"/>
      </w:divBdr>
    </w:div>
    <w:div w:id="361630780">
      <w:bodyDiv w:val="1"/>
      <w:marLeft w:val="0"/>
      <w:marRight w:val="0"/>
      <w:marTop w:val="0"/>
      <w:marBottom w:val="0"/>
      <w:divBdr>
        <w:top w:val="none" w:sz="0" w:space="0" w:color="auto"/>
        <w:left w:val="none" w:sz="0" w:space="0" w:color="auto"/>
        <w:bottom w:val="none" w:sz="0" w:space="0" w:color="auto"/>
        <w:right w:val="none" w:sz="0" w:space="0" w:color="auto"/>
      </w:divBdr>
      <w:divsChild>
        <w:div w:id="2134597532">
          <w:marLeft w:val="0"/>
          <w:marRight w:val="0"/>
          <w:marTop w:val="0"/>
          <w:marBottom w:val="0"/>
          <w:divBdr>
            <w:top w:val="none" w:sz="0" w:space="0" w:color="auto"/>
            <w:left w:val="none" w:sz="0" w:space="0" w:color="auto"/>
            <w:bottom w:val="none" w:sz="0" w:space="0" w:color="auto"/>
            <w:right w:val="none" w:sz="0" w:space="0" w:color="auto"/>
          </w:divBdr>
        </w:div>
      </w:divsChild>
    </w:div>
    <w:div w:id="395785281">
      <w:bodyDiv w:val="1"/>
      <w:marLeft w:val="0"/>
      <w:marRight w:val="0"/>
      <w:marTop w:val="0"/>
      <w:marBottom w:val="0"/>
      <w:divBdr>
        <w:top w:val="none" w:sz="0" w:space="0" w:color="auto"/>
        <w:left w:val="none" w:sz="0" w:space="0" w:color="auto"/>
        <w:bottom w:val="none" w:sz="0" w:space="0" w:color="auto"/>
        <w:right w:val="none" w:sz="0" w:space="0" w:color="auto"/>
      </w:divBdr>
    </w:div>
    <w:div w:id="526142100">
      <w:bodyDiv w:val="1"/>
      <w:marLeft w:val="0"/>
      <w:marRight w:val="0"/>
      <w:marTop w:val="0"/>
      <w:marBottom w:val="0"/>
      <w:divBdr>
        <w:top w:val="none" w:sz="0" w:space="0" w:color="auto"/>
        <w:left w:val="none" w:sz="0" w:space="0" w:color="auto"/>
        <w:bottom w:val="none" w:sz="0" w:space="0" w:color="auto"/>
        <w:right w:val="none" w:sz="0" w:space="0" w:color="auto"/>
      </w:divBdr>
      <w:divsChild>
        <w:div w:id="1981496422">
          <w:marLeft w:val="0"/>
          <w:marRight w:val="0"/>
          <w:marTop w:val="0"/>
          <w:marBottom w:val="0"/>
          <w:divBdr>
            <w:top w:val="none" w:sz="0" w:space="0" w:color="auto"/>
            <w:left w:val="none" w:sz="0" w:space="0" w:color="auto"/>
            <w:bottom w:val="none" w:sz="0" w:space="0" w:color="auto"/>
            <w:right w:val="none" w:sz="0" w:space="0" w:color="auto"/>
          </w:divBdr>
        </w:div>
      </w:divsChild>
    </w:div>
    <w:div w:id="531305088">
      <w:bodyDiv w:val="1"/>
      <w:marLeft w:val="0"/>
      <w:marRight w:val="0"/>
      <w:marTop w:val="0"/>
      <w:marBottom w:val="0"/>
      <w:divBdr>
        <w:top w:val="none" w:sz="0" w:space="0" w:color="auto"/>
        <w:left w:val="none" w:sz="0" w:space="0" w:color="auto"/>
        <w:bottom w:val="none" w:sz="0" w:space="0" w:color="auto"/>
        <w:right w:val="none" w:sz="0" w:space="0" w:color="auto"/>
      </w:divBdr>
    </w:div>
    <w:div w:id="585768147">
      <w:bodyDiv w:val="1"/>
      <w:marLeft w:val="0"/>
      <w:marRight w:val="0"/>
      <w:marTop w:val="0"/>
      <w:marBottom w:val="0"/>
      <w:divBdr>
        <w:top w:val="none" w:sz="0" w:space="0" w:color="auto"/>
        <w:left w:val="none" w:sz="0" w:space="0" w:color="auto"/>
        <w:bottom w:val="none" w:sz="0" w:space="0" w:color="auto"/>
        <w:right w:val="none" w:sz="0" w:space="0" w:color="auto"/>
      </w:divBdr>
    </w:div>
    <w:div w:id="591665165">
      <w:bodyDiv w:val="1"/>
      <w:marLeft w:val="0"/>
      <w:marRight w:val="0"/>
      <w:marTop w:val="0"/>
      <w:marBottom w:val="0"/>
      <w:divBdr>
        <w:top w:val="none" w:sz="0" w:space="0" w:color="auto"/>
        <w:left w:val="none" w:sz="0" w:space="0" w:color="auto"/>
        <w:bottom w:val="none" w:sz="0" w:space="0" w:color="auto"/>
        <w:right w:val="none" w:sz="0" w:space="0" w:color="auto"/>
      </w:divBdr>
    </w:div>
    <w:div w:id="625820503">
      <w:bodyDiv w:val="1"/>
      <w:marLeft w:val="0"/>
      <w:marRight w:val="0"/>
      <w:marTop w:val="0"/>
      <w:marBottom w:val="0"/>
      <w:divBdr>
        <w:top w:val="none" w:sz="0" w:space="0" w:color="auto"/>
        <w:left w:val="none" w:sz="0" w:space="0" w:color="auto"/>
        <w:bottom w:val="none" w:sz="0" w:space="0" w:color="auto"/>
        <w:right w:val="none" w:sz="0" w:space="0" w:color="auto"/>
      </w:divBdr>
      <w:divsChild>
        <w:div w:id="528029762">
          <w:marLeft w:val="0"/>
          <w:marRight w:val="0"/>
          <w:marTop w:val="0"/>
          <w:marBottom w:val="0"/>
          <w:divBdr>
            <w:top w:val="none" w:sz="0" w:space="0" w:color="auto"/>
            <w:left w:val="none" w:sz="0" w:space="0" w:color="auto"/>
            <w:bottom w:val="none" w:sz="0" w:space="0" w:color="auto"/>
            <w:right w:val="none" w:sz="0" w:space="0" w:color="auto"/>
          </w:divBdr>
          <w:divsChild>
            <w:div w:id="769080366">
              <w:marLeft w:val="0"/>
              <w:marRight w:val="0"/>
              <w:marTop w:val="0"/>
              <w:marBottom w:val="0"/>
              <w:divBdr>
                <w:top w:val="none" w:sz="0" w:space="0" w:color="auto"/>
                <w:left w:val="none" w:sz="0" w:space="0" w:color="auto"/>
                <w:bottom w:val="none" w:sz="0" w:space="0" w:color="auto"/>
                <w:right w:val="none" w:sz="0" w:space="0" w:color="auto"/>
              </w:divBdr>
            </w:div>
            <w:div w:id="1149899632">
              <w:marLeft w:val="0"/>
              <w:marRight w:val="0"/>
              <w:marTop w:val="0"/>
              <w:marBottom w:val="0"/>
              <w:divBdr>
                <w:top w:val="none" w:sz="0" w:space="0" w:color="auto"/>
                <w:left w:val="none" w:sz="0" w:space="0" w:color="auto"/>
                <w:bottom w:val="none" w:sz="0" w:space="0" w:color="auto"/>
                <w:right w:val="none" w:sz="0" w:space="0" w:color="auto"/>
              </w:divBdr>
            </w:div>
            <w:div w:id="1226182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1834797">
      <w:bodyDiv w:val="1"/>
      <w:marLeft w:val="0"/>
      <w:marRight w:val="0"/>
      <w:marTop w:val="0"/>
      <w:marBottom w:val="0"/>
      <w:divBdr>
        <w:top w:val="none" w:sz="0" w:space="0" w:color="auto"/>
        <w:left w:val="none" w:sz="0" w:space="0" w:color="auto"/>
        <w:bottom w:val="none" w:sz="0" w:space="0" w:color="auto"/>
        <w:right w:val="none" w:sz="0" w:space="0" w:color="auto"/>
      </w:divBdr>
    </w:div>
    <w:div w:id="674303685">
      <w:bodyDiv w:val="1"/>
      <w:marLeft w:val="0"/>
      <w:marRight w:val="0"/>
      <w:marTop w:val="0"/>
      <w:marBottom w:val="0"/>
      <w:divBdr>
        <w:top w:val="none" w:sz="0" w:space="0" w:color="auto"/>
        <w:left w:val="none" w:sz="0" w:space="0" w:color="auto"/>
        <w:bottom w:val="none" w:sz="0" w:space="0" w:color="auto"/>
        <w:right w:val="none" w:sz="0" w:space="0" w:color="auto"/>
      </w:divBdr>
      <w:divsChild>
        <w:div w:id="129978748">
          <w:marLeft w:val="0"/>
          <w:marRight w:val="0"/>
          <w:marTop w:val="0"/>
          <w:marBottom w:val="0"/>
          <w:divBdr>
            <w:top w:val="none" w:sz="0" w:space="0" w:color="auto"/>
            <w:left w:val="none" w:sz="0" w:space="0" w:color="auto"/>
            <w:bottom w:val="none" w:sz="0" w:space="0" w:color="auto"/>
            <w:right w:val="none" w:sz="0" w:space="0" w:color="auto"/>
          </w:divBdr>
        </w:div>
      </w:divsChild>
    </w:div>
    <w:div w:id="685670110">
      <w:bodyDiv w:val="1"/>
      <w:marLeft w:val="0"/>
      <w:marRight w:val="0"/>
      <w:marTop w:val="0"/>
      <w:marBottom w:val="0"/>
      <w:divBdr>
        <w:top w:val="none" w:sz="0" w:space="0" w:color="auto"/>
        <w:left w:val="none" w:sz="0" w:space="0" w:color="auto"/>
        <w:bottom w:val="none" w:sz="0" w:space="0" w:color="auto"/>
        <w:right w:val="none" w:sz="0" w:space="0" w:color="auto"/>
      </w:divBdr>
      <w:divsChild>
        <w:div w:id="471674043">
          <w:marLeft w:val="0"/>
          <w:marRight w:val="0"/>
          <w:marTop w:val="0"/>
          <w:marBottom w:val="0"/>
          <w:divBdr>
            <w:top w:val="none" w:sz="0" w:space="0" w:color="auto"/>
            <w:left w:val="none" w:sz="0" w:space="0" w:color="auto"/>
            <w:bottom w:val="none" w:sz="0" w:space="0" w:color="auto"/>
            <w:right w:val="none" w:sz="0" w:space="0" w:color="auto"/>
          </w:divBdr>
        </w:div>
      </w:divsChild>
    </w:div>
    <w:div w:id="700011535">
      <w:bodyDiv w:val="1"/>
      <w:marLeft w:val="0"/>
      <w:marRight w:val="0"/>
      <w:marTop w:val="0"/>
      <w:marBottom w:val="0"/>
      <w:divBdr>
        <w:top w:val="none" w:sz="0" w:space="0" w:color="auto"/>
        <w:left w:val="none" w:sz="0" w:space="0" w:color="auto"/>
        <w:bottom w:val="none" w:sz="0" w:space="0" w:color="auto"/>
        <w:right w:val="none" w:sz="0" w:space="0" w:color="auto"/>
      </w:divBdr>
    </w:div>
    <w:div w:id="830289382">
      <w:bodyDiv w:val="1"/>
      <w:marLeft w:val="0"/>
      <w:marRight w:val="0"/>
      <w:marTop w:val="0"/>
      <w:marBottom w:val="0"/>
      <w:divBdr>
        <w:top w:val="none" w:sz="0" w:space="0" w:color="auto"/>
        <w:left w:val="none" w:sz="0" w:space="0" w:color="auto"/>
        <w:bottom w:val="none" w:sz="0" w:space="0" w:color="auto"/>
        <w:right w:val="none" w:sz="0" w:space="0" w:color="auto"/>
      </w:divBdr>
      <w:divsChild>
        <w:div w:id="1174688425">
          <w:marLeft w:val="0"/>
          <w:marRight w:val="0"/>
          <w:marTop w:val="0"/>
          <w:marBottom w:val="0"/>
          <w:divBdr>
            <w:top w:val="none" w:sz="0" w:space="0" w:color="auto"/>
            <w:left w:val="none" w:sz="0" w:space="0" w:color="auto"/>
            <w:bottom w:val="none" w:sz="0" w:space="0" w:color="auto"/>
            <w:right w:val="none" w:sz="0" w:space="0" w:color="auto"/>
          </w:divBdr>
        </w:div>
      </w:divsChild>
    </w:div>
    <w:div w:id="838732713">
      <w:bodyDiv w:val="1"/>
      <w:marLeft w:val="0"/>
      <w:marRight w:val="0"/>
      <w:marTop w:val="0"/>
      <w:marBottom w:val="0"/>
      <w:divBdr>
        <w:top w:val="none" w:sz="0" w:space="0" w:color="auto"/>
        <w:left w:val="none" w:sz="0" w:space="0" w:color="auto"/>
        <w:bottom w:val="none" w:sz="0" w:space="0" w:color="auto"/>
        <w:right w:val="none" w:sz="0" w:space="0" w:color="auto"/>
      </w:divBdr>
    </w:div>
    <w:div w:id="897712996">
      <w:bodyDiv w:val="1"/>
      <w:marLeft w:val="0"/>
      <w:marRight w:val="0"/>
      <w:marTop w:val="0"/>
      <w:marBottom w:val="0"/>
      <w:divBdr>
        <w:top w:val="none" w:sz="0" w:space="0" w:color="auto"/>
        <w:left w:val="none" w:sz="0" w:space="0" w:color="auto"/>
        <w:bottom w:val="none" w:sz="0" w:space="0" w:color="auto"/>
        <w:right w:val="none" w:sz="0" w:space="0" w:color="auto"/>
      </w:divBdr>
    </w:div>
    <w:div w:id="1023625686">
      <w:bodyDiv w:val="1"/>
      <w:marLeft w:val="0"/>
      <w:marRight w:val="0"/>
      <w:marTop w:val="0"/>
      <w:marBottom w:val="0"/>
      <w:divBdr>
        <w:top w:val="none" w:sz="0" w:space="0" w:color="auto"/>
        <w:left w:val="none" w:sz="0" w:space="0" w:color="auto"/>
        <w:bottom w:val="none" w:sz="0" w:space="0" w:color="auto"/>
        <w:right w:val="none" w:sz="0" w:space="0" w:color="auto"/>
      </w:divBdr>
    </w:div>
    <w:div w:id="1036468517">
      <w:bodyDiv w:val="1"/>
      <w:marLeft w:val="0"/>
      <w:marRight w:val="0"/>
      <w:marTop w:val="0"/>
      <w:marBottom w:val="0"/>
      <w:divBdr>
        <w:top w:val="none" w:sz="0" w:space="0" w:color="auto"/>
        <w:left w:val="none" w:sz="0" w:space="0" w:color="auto"/>
        <w:bottom w:val="none" w:sz="0" w:space="0" w:color="auto"/>
        <w:right w:val="none" w:sz="0" w:space="0" w:color="auto"/>
      </w:divBdr>
      <w:divsChild>
        <w:div w:id="1125150736">
          <w:marLeft w:val="0"/>
          <w:marRight w:val="0"/>
          <w:marTop w:val="0"/>
          <w:marBottom w:val="0"/>
          <w:divBdr>
            <w:top w:val="none" w:sz="0" w:space="0" w:color="auto"/>
            <w:left w:val="none" w:sz="0" w:space="0" w:color="auto"/>
            <w:bottom w:val="none" w:sz="0" w:space="0" w:color="auto"/>
            <w:right w:val="none" w:sz="0" w:space="0" w:color="auto"/>
          </w:divBdr>
          <w:divsChild>
            <w:div w:id="1285119635">
              <w:marLeft w:val="0"/>
              <w:marRight w:val="0"/>
              <w:marTop w:val="0"/>
              <w:marBottom w:val="0"/>
              <w:divBdr>
                <w:top w:val="none" w:sz="0" w:space="0" w:color="auto"/>
                <w:left w:val="none" w:sz="0" w:space="0" w:color="auto"/>
                <w:bottom w:val="none" w:sz="0" w:space="0" w:color="auto"/>
                <w:right w:val="none" w:sz="0" w:space="0" w:color="auto"/>
              </w:divBdr>
            </w:div>
            <w:div w:id="1388602444">
              <w:marLeft w:val="0"/>
              <w:marRight w:val="0"/>
              <w:marTop w:val="0"/>
              <w:marBottom w:val="0"/>
              <w:divBdr>
                <w:top w:val="none" w:sz="0" w:space="0" w:color="auto"/>
                <w:left w:val="none" w:sz="0" w:space="0" w:color="auto"/>
                <w:bottom w:val="none" w:sz="0" w:space="0" w:color="auto"/>
                <w:right w:val="none" w:sz="0" w:space="0" w:color="auto"/>
              </w:divBdr>
            </w:div>
            <w:div w:id="1414817874">
              <w:marLeft w:val="0"/>
              <w:marRight w:val="0"/>
              <w:marTop w:val="0"/>
              <w:marBottom w:val="0"/>
              <w:divBdr>
                <w:top w:val="none" w:sz="0" w:space="0" w:color="auto"/>
                <w:left w:val="none" w:sz="0" w:space="0" w:color="auto"/>
                <w:bottom w:val="none" w:sz="0" w:space="0" w:color="auto"/>
                <w:right w:val="none" w:sz="0" w:space="0" w:color="auto"/>
              </w:divBdr>
            </w:div>
            <w:div w:id="1512378929">
              <w:marLeft w:val="0"/>
              <w:marRight w:val="0"/>
              <w:marTop w:val="0"/>
              <w:marBottom w:val="0"/>
              <w:divBdr>
                <w:top w:val="none" w:sz="0" w:space="0" w:color="auto"/>
                <w:left w:val="none" w:sz="0" w:space="0" w:color="auto"/>
                <w:bottom w:val="none" w:sz="0" w:space="0" w:color="auto"/>
                <w:right w:val="none" w:sz="0" w:space="0" w:color="auto"/>
              </w:divBdr>
            </w:div>
            <w:div w:id="1606304272">
              <w:marLeft w:val="0"/>
              <w:marRight w:val="0"/>
              <w:marTop w:val="0"/>
              <w:marBottom w:val="0"/>
              <w:divBdr>
                <w:top w:val="none" w:sz="0" w:space="0" w:color="auto"/>
                <w:left w:val="none" w:sz="0" w:space="0" w:color="auto"/>
                <w:bottom w:val="none" w:sz="0" w:space="0" w:color="auto"/>
                <w:right w:val="none" w:sz="0" w:space="0" w:color="auto"/>
              </w:divBdr>
            </w:div>
            <w:div w:id="1633098379">
              <w:marLeft w:val="0"/>
              <w:marRight w:val="0"/>
              <w:marTop w:val="0"/>
              <w:marBottom w:val="0"/>
              <w:divBdr>
                <w:top w:val="none" w:sz="0" w:space="0" w:color="auto"/>
                <w:left w:val="none" w:sz="0" w:space="0" w:color="auto"/>
                <w:bottom w:val="none" w:sz="0" w:space="0" w:color="auto"/>
                <w:right w:val="none" w:sz="0" w:space="0" w:color="auto"/>
              </w:divBdr>
            </w:div>
            <w:div w:id="1918594489">
              <w:marLeft w:val="0"/>
              <w:marRight w:val="0"/>
              <w:marTop w:val="0"/>
              <w:marBottom w:val="0"/>
              <w:divBdr>
                <w:top w:val="none" w:sz="0" w:space="0" w:color="auto"/>
                <w:left w:val="none" w:sz="0" w:space="0" w:color="auto"/>
                <w:bottom w:val="none" w:sz="0" w:space="0" w:color="auto"/>
                <w:right w:val="none" w:sz="0" w:space="0" w:color="auto"/>
              </w:divBdr>
            </w:div>
            <w:div w:id="1929919428">
              <w:marLeft w:val="0"/>
              <w:marRight w:val="0"/>
              <w:marTop w:val="0"/>
              <w:marBottom w:val="0"/>
              <w:divBdr>
                <w:top w:val="none" w:sz="0" w:space="0" w:color="auto"/>
                <w:left w:val="none" w:sz="0" w:space="0" w:color="auto"/>
                <w:bottom w:val="none" w:sz="0" w:space="0" w:color="auto"/>
                <w:right w:val="none" w:sz="0" w:space="0" w:color="auto"/>
              </w:divBdr>
            </w:div>
            <w:div w:id="2021857744">
              <w:marLeft w:val="0"/>
              <w:marRight w:val="0"/>
              <w:marTop w:val="0"/>
              <w:marBottom w:val="0"/>
              <w:divBdr>
                <w:top w:val="none" w:sz="0" w:space="0" w:color="auto"/>
                <w:left w:val="none" w:sz="0" w:space="0" w:color="auto"/>
                <w:bottom w:val="none" w:sz="0" w:space="0" w:color="auto"/>
                <w:right w:val="none" w:sz="0" w:space="0" w:color="auto"/>
              </w:divBdr>
            </w:div>
            <w:div w:id="2097944487">
              <w:marLeft w:val="0"/>
              <w:marRight w:val="0"/>
              <w:marTop w:val="0"/>
              <w:marBottom w:val="0"/>
              <w:divBdr>
                <w:top w:val="none" w:sz="0" w:space="0" w:color="auto"/>
                <w:left w:val="none" w:sz="0" w:space="0" w:color="auto"/>
                <w:bottom w:val="none" w:sz="0" w:space="0" w:color="auto"/>
                <w:right w:val="none" w:sz="0" w:space="0" w:color="auto"/>
              </w:divBdr>
            </w:div>
            <w:div w:id="2098012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409774">
      <w:bodyDiv w:val="1"/>
      <w:marLeft w:val="0"/>
      <w:marRight w:val="0"/>
      <w:marTop w:val="0"/>
      <w:marBottom w:val="0"/>
      <w:divBdr>
        <w:top w:val="none" w:sz="0" w:space="0" w:color="auto"/>
        <w:left w:val="none" w:sz="0" w:space="0" w:color="auto"/>
        <w:bottom w:val="none" w:sz="0" w:space="0" w:color="auto"/>
        <w:right w:val="none" w:sz="0" w:space="0" w:color="auto"/>
      </w:divBdr>
    </w:div>
    <w:div w:id="1270430797">
      <w:bodyDiv w:val="1"/>
      <w:marLeft w:val="0"/>
      <w:marRight w:val="0"/>
      <w:marTop w:val="0"/>
      <w:marBottom w:val="0"/>
      <w:divBdr>
        <w:top w:val="none" w:sz="0" w:space="0" w:color="auto"/>
        <w:left w:val="none" w:sz="0" w:space="0" w:color="auto"/>
        <w:bottom w:val="none" w:sz="0" w:space="0" w:color="auto"/>
        <w:right w:val="none" w:sz="0" w:space="0" w:color="auto"/>
      </w:divBdr>
    </w:div>
    <w:div w:id="1292396899">
      <w:bodyDiv w:val="1"/>
      <w:marLeft w:val="0"/>
      <w:marRight w:val="0"/>
      <w:marTop w:val="0"/>
      <w:marBottom w:val="0"/>
      <w:divBdr>
        <w:top w:val="none" w:sz="0" w:space="0" w:color="auto"/>
        <w:left w:val="none" w:sz="0" w:space="0" w:color="auto"/>
        <w:bottom w:val="none" w:sz="0" w:space="0" w:color="auto"/>
        <w:right w:val="none" w:sz="0" w:space="0" w:color="auto"/>
      </w:divBdr>
    </w:div>
    <w:div w:id="1304459344">
      <w:bodyDiv w:val="1"/>
      <w:marLeft w:val="0"/>
      <w:marRight w:val="0"/>
      <w:marTop w:val="0"/>
      <w:marBottom w:val="0"/>
      <w:divBdr>
        <w:top w:val="none" w:sz="0" w:space="0" w:color="auto"/>
        <w:left w:val="none" w:sz="0" w:space="0" w:color="auto"/>
        <w:bottom w:val="none" w:sz="0" w:space="0" w:color="auto"/>
        <w:right w:val="none" w:sz="0" w:space="0" w:color="auto"/>
      </w:divBdr>
    </w:div>
    <w:div w:id="1354454902">
      <w:bodyDiv w:val="1"/>
      <w:marLeft w:val="0"/>
      <w:marRight w:val="0"/>
      <w:marTop w:val="0"/>
      <w:marBottom w:val="0"/>
      <w:divBdr>
        <w:top w:val="none" w:sz="0" w:space="0" w:color="auto"/>
        <w:left w:val="none" w:sz="0" w:space="0" w:color="auto"/>
        <w:bottom w:val="none" w:sz="0" w:space="0" w:color="auto"/>
        <w:right w:val="none" w:sz="0" w:space="0" w:color="auto"/>
      </w:divBdr>
      <w:divsChild>
        <w:div w:id="1711495900">
          <w:marLeft w:val="0"/>
          <w:marRight w:val="0"/>
          <w:marTop w:val="0"/>
          <w:marBottom w:val="0"/>
          <w:divBdr>
            <w:top w:val="none" w:sz="0" w:space="0" w:color="auto"/>
            <w:left w:val="none" w:sz="0" w:space="0" w:color="auto"/>
            <w:bottom w:val="none" w:sz="0" w:space="0" w:color="auto"/>
            <w:right w:val="none" w:sz="0" w:space="0" w:color="auto"/>
          </w:divBdr>
          <w:divsChild>
            <w:div w:id="1394694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9552944">
      <w:bodyDiv w:val="1"/>
      <w:marLeft w:val="0"/>
      <w:marRight w:val="0"/>
      <w:marTop w:val="0"/>
      <w:marBottom w:val="0"/>
      <w:divBdr>
        <w:top w:val="none" w:sz="0" w:space="0" w:color="auto"/>
        <w:left w:val="none" w:sz="0" w:space="0" w:color="auto"/>
        <w:bottom w:val="none" w:sz="0" w:space="0" w:color="auto"/>
        <w:right w:val="none" w:sz="0" w:space="0" w:color="auto"/>
      </w:divBdr>
      <w:divsChild>
        <w:div w:id="1751657110">
          <w:marLeft w:val="446"/>
          <w:marRight w:val="0"/>
          <w:marTop w:val="0"/>
          <w:marBottom w:val="0"/>
          <w:divBdr>
            <w:top w:val="none" w:sz="0" w:space="0" w:color="auto"/>
            <w:left w:val="none" w:sz="0" w:space="0" w:color="auto"/>
            <w:bottom w:val="none" w:sz="0" w:space="0" w:color="auto"/>
            <w:right w:val="none" w:sz="0" w:space="0" w:color="auto"/>
          </w:divBdr>
        </w:div>
      </w:divsChild>
    </w:div>
    <w:div w:id="1510875769">
      <w:bodyDiv w:val="1"/>
      <w:marLeft w:val="0"/>
      <w:marRight w:val="0"/>
      <w:marTop w:val="0"/>
      <w:marBottom w:val="0"/>
      <w:divBdr>
        <w:top w:val="none" w:sz="0" w:space="0" w:color="auto"/>
        <w:left w:val="none" w:sz="0" w:space="0" w:color="auto"/>
        <w:bottom w:val="none" w:sz="0" w:space="0" w:color="auto"/>
        <w:right w:val="none" w:sz="0" w:space="0" w:color="auto"/>
      </w:divBdr>
    </w:div>
    <w:div w:id="1543903839">
      <w:bodyDiv w:val="1"/>
      <w:marLeft w:val="0"/>
      <w:marRight w:val="0"/>
      <w:marTop w:val="0"/>
      <w:marBottom w:val="0"/>
      <w:divBdr>
        <w:top w:val="none" w:sz="0" w:space="0" w:color="auto"/>
        <w:left w:val="none" w:sz="0" w:space="0" w:color="auto"/>
        <w:bottom w:val="none" w:sz="0" w:space="0" w:color="auto"/>
        <w:right w:val="none" w:sz="0" w:space="0" w:color="auto"/>
      </w:divBdr>
      <w:divsChild>
        <w:div w:id="368190505">
          <w:marLeft w:val="446"/>
          <w:marRight w:val="0"/>
          <w:marTop w:val="0"/>
          <w:marBottom w:val="0"/>
          <w:divBdr>
            <w:top w:val="none" w:sz="0" w:space="0" w:color="auto"/>
            <w:left w:val="none" w:sz="0" w:space="0" w:color="auto"/>
            <w:bottom w:val="none" w:sz="0" w:space="0" w:color="auto"/>
            <w:right w:val="none" w:sz="0" w:space="0" w:color="auto"/>
          </w:divBdr>
        </w:div>
      </w:divsChild>
    </w:div>
    <w:div w:id="1672641118">
      <w:bodyDiv w:val="1"/>
      <w:marLeft w:val="0"/>
      <w:marRight w:val="0"/>
      <w:marTop w:val="0"/>
      <w:marBottom w:val="0"/>
      <w:divBdr>
        <w:top w:val="none" w:sz="0" w:space="0" w:color="auto"/>
        <w:left w:val="none" w:sz="0" w:space="0" w:color="auto"/>
        <w:bottom w:val="none" w:sz="0" w:space="0" w:color="auto"/>
        <w:right w:val="none" w:sz="0" w:space="0" w:color="auto"/>
      </w:divBdr>
      <w:divsChild>
        <w:div w:id="1448309110">
          <w:marLeft w:val="446"/>
          <w:marRight w:val="0"/>
          <w:marTop w:val="0"/>
          <w:marBottom w:val="0"/>
          <w:divBdr>
            <w:top w:val="none" w:sz="0" w:space="0" w:color="auto"/>
            <w:left w:val="none" w:sz="0" w:space="0" w:color="auto"/>
            <w:bottom w:val="none" w:sz="0" w:space="0" w:color="auto"/>
            <w:right w:val="none" w:sz="0" w:space="0" w:color="auto"/>
          </w:divBdr>
        </w:div>
      </w:divsChild>
    </w:div>
    <w:div w:id="1715999703">
      <w:bodyDiv w:val="1"/>
      <w:marLeft w:val="0"/>
      <w:marRight w:val="0"/>
      <w:marTop w:val="0"/>
      <w:marBottom w:val="0"/>
      <w:divBdr>
        <w:top w:val="none" w:sz="0" w:space="0" w:color="auto"/>
        <w:left w:val="none" w:sz="0" w:space="0" w:color="auto"/>
        <w:bottom w:val="none" w:sz="0" w:space="0" w:color="auto"/>
        <w:right w:val="none" w:sz="0" w:space="0" w:color="auto"/>
      </w:divBdr>
    </w:div>
    <w:div w:id="1797747817">
      <w:bodyDiv w:val="1"/>
      <w:marLeft w:val="0"/>
      <w:marRight w:val="0"/>
      <w:marTop w:val="0"/>
      <w:marBottom w:val="0"/>
      <w:divBdr>
        <w:top w:val="none" w:sz="0" w:space="0" w:color="auto"/>
        <w:left w:val="none" w:sz="0" w:space="0" w:color="auto"/>
        <w:bottom w:val="none" w:sz="0" w:space="0" w:color="auto"/>
        <w:right w:val="none" w:sz="0" w:space="0" w:color="auto"/>
      </w:divBdr>
    </w:div>
    <w:div w:id="1816095795">
      <w:bodyDiv w:val="1"/>
      <w:marLeft w:val="0"/>
      <w:marRight w:val="0"/>
      <w:marTop w:val="0"/>
      <w:marBottom w:val="0"/>
      <w:divBdr>
        <w:top w:val="none" w:sz="0" w:space="0" w:color="auto"/>
        <w:left w:val="none" w:sz="0" w:space="0" w:color="auto"/>
        <w:bottom w:val="none" w:sz="0" w:space="0" w:color="auto"/>
        <w:right w:val="none" w:sz="0" w:space="0" w:color="auto"/>
      </w:divBdr>
    </w:div>
    <w:div w:id="1825928651">
      <w:bodyDiv w:val="1"/>
      <w:marLeft w:val="0"/>
      <w:marRight w:val="0"/>
      <w:marTop w:val="0"/>
      <w:marBottom w:val="0"/>
      <w:divBdr>
        <w:top w:val="none" w:sz="0" w:space="0" w:color="auto"/>
        <w:left w:val="none" w:sz="0" w:space="0" w:color="auto"/>
        <w:bottom w:val="none" w:sz="0" w:space="0" w:color="auto"/>
        <w:right w:val="none" w:sz="0" w:space="0" w:color="auto"/>
      </w:divBdr>
      <w:divsChild>
        <w:div w:id="1450322449">
          <w:marLeft w:val="0"/>
          <w:marRight w:val="0"/>
          <w:marTop w:val="0"/>
          <w:marBottom w:val="0"/>
          <w:divBdr>
            <w:top w:val="none" w:sz="0" w:space="0" w:color="auto"/>
            <w:left w:val="none" w:sz="0" w:space="0" w:color="auto"/>
            <w:bottom w:val="none" w:sz="0" w:space="0" w:color="auto"/>
            <w:right w:val="none" w:sz="0" w:space="0" w:color="auto"/>
          </w:divBdr>
          <w:divsChild>
            <w:div w:id="469059164">
              <w:marLeft w:val="0"/>
              <w:marRight w:val="0"/>
              <w:marTop w:val="0"/>
              <w:marBottom w:val="0"/>
              <w:divBdr>
                <w:top w:val="none" w:sz="0" w:space="0" w:color="auto"/>
                <w:left w:val="none" w:sz="0" w:space="0" w:color="auto"/>
                <w:bottom w:val="none" w:sz="0" w:space="0" w:color="auto"/>
                <w:right w:val="none" w:sz="0" w:space="0" w:color="auto"/>
              </w:divBdr>
            </w:div>
            <w:div w:id="475878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935641">
      <w:bodyDiv w:val="1"/>
      <w:marLeft w:val="0"/>
      <w:marRight w:val="0"/>
      <w:marTop w:val="0"/>
      <w:marBottom w:val="0"/>
      <w:divBdr>
        <w:top w:val="none" w:sz="0" w:space="0" w:color="auto"/>
        <w:left w:val="none" w:sz="0" w:space="0" w:color="auto"/>
        <w:bottom w:val="none" w:sz="0" w:space="0" w:color="auto"/>
        <w:right w:val="none" w:sz="0" w:space="0" w:color="auto"/>
      </w:divBdr>
      <w:divsChild>
        <w:div w:id="957956780">
          <w:marLeft w:val="0"/>
          <w:marRight w:val="0"/>
          <w:marTop w:val="0"/>
          <w:marBottom w:val="0"/>
          <w:divBdr>
            <w:top w:val="none" w:sz="0" w:space="0" w:color="auto"/>
            <w:left w:val="none" w:sz="0" w:space="0" w:color="auto"/>
            <w:bottom w:val="none" w:sz="0" w:space="0" w:color="auto"/>
            <w:right w:val="none" w:sz="0" w:space="0" w:color="auto"/>
          </w:divBdr>
          <w:divsChild>
            <w:div w:id="722828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7467664">
      <w:bodyDiv w:val="1"/>
      <w:marLeft w:val="0"/>
      <w:marRight w:val="0"/>
      <w:marTop w:val="0"/>
      <w:marBottom w:val="0"/>
      <w:divBdr>
        <w:top w:val="none" w:sz="0" w:space="0" w:color="auto"/>
        <w:left w:val="none" w:sz="0" w:space="0" w:color="auto"/>
        <w:bottom w:val="none" w:sz="0" w:space="0" w:color="auto"/>
        <w:right w:val="none" w:sz="0" w:space="0" w:color="auto"/>
      </w:divBdr>
    </w:div>
    <w:div w:id="2026052865">
      <w:bodyDiv w:val="1"/>
      <w:marLeft w:val="0"/>
      <w:marRight w:val="0"/>
      <w:marTop w:val="0"/>
      <w:marBottom w:val="0"/>
      <w:divBdr>
        <w:top w:val="none" w:sz="0" w:space="0" w:color="auto"/>
        <w:left w:val="none" w:sz="0" w:space="0" w:color="auto"/>
        <w:bottom w:val="none" w:sz="0" w:space="0" w:color="auto"/>
        <w:right w:val="none" w:sz="0" w:space="0" w:color="auto"/>
      </w:divBdr>
      <w:divsChild>
        <w:div w:id="1982075565">
          <w:marLeft w:val="0"/>
          <w:marRight w:val="0"/>
          <w:marTop w:val="0"/>
          <w:marBottom w:val="0"/>
          <w:divBdr>
            <w:top w:val="none" w:sz="0" w:space="0" w:color="auto"/>
            <w:left w:val="none" w:sz="0" w:space="0" w:color="auto"/>
            <w:bottom w:val="none" w:sz="0" w:space="0" w:color="auto"/>
            <w:right w:val="none" w:sz="0" w:space="0" w:color="auto"/>
          </w:divBdr>
          <w:divsChild>
            <w:div w:id="538124757">
              <w:marLeft w:val="0"/>
              <w:marRight w:val="0"/>
              <w:marTop w:val="0"/>
              <w:marBottom w:val="0"/>
              <w:divBdr>
                <w:top w:val="none" w:sz="0" w:space="0" w:color="auto"/>
                <w:left w:val="none" w:sz="0" w:space="0" w:color="auto"/>
                <w:bottom w:val="none" w:sz="0" w:space="0" w:color="auto"/>
                <w:right w:val="none" w:sz="0" w:space="0" w:color="auto"/>
              </w:divBdr>
            </w:div>
            <w:div w:id="2035884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idal.ru/drugs/molecule/1081" TargetMode="External"/><Relationship Id="rId13" Type="http://schemas.openxmlformats.org/officeDocument/2006/relationships/footer" Target="footer2.xml"/><Relationship Id="rId18" Type="http://schemas.openxmlformats.org/officeDocument/2006/relationships/header" Target="header4.xml"/><Relationship Id="rId26" Type="http://schemas.openxmlformats.org/officeDocument/2006/relationships/image" Target="media/image4.jpg"/><Relationship Id="rId3" Type="http://schemas.openxmlformats.org/officeDocument/2006/relationships/styles" Target="styles.xml"/><Relationship Id="rId21"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5.xml"/><Relationship Id="rId25" Type="http://schemas.openxmlformats.org/officeDocument/2006/relationships/image" Target="media/image3.jp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7.xml"/><Relationship Id="rId29"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image" Target="media/image2.pn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footer" Target="footer9.xml"/><Relationship Id="rId28" Type="http://schemas.openxmlformats.org/officeDocument/2006/relationships/image" Target="media/image6.jpeg"/><Relationship Id="rId10" Type="http://schemas.openxmlformats.org/officeDocument/2006/relationships/header" Target="header1.xml"/><Relationship Id="rId19" Type="http://schemas.openxmlformats.org/officeDocument/2006/relationships/footer" Target="footer6.xml"/><Relationship Id="rId31" Type="http://schemas.openxmlformats.org/officeDocument/2006/relationships/footer" Target="footer10.xml"/><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header" Target="header3.xml"/><Relationship Id="rId22" Type="http://schemas.openxmlformats.org/officeDocument/2006/relationships/header" Target="header5.xml"/><Relationship Id="rId27" Type="http://schemas.openxmlformats.org/officeDocument/2006/relationships/image" Target="media/image5.jpeg"/><Relationship Id="rId30" Type="http://schemas.openxmlformats.org/officeDocument/2006/relationships/image" Target="media/image8.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60D322-8335-4C42-A97D-116D67C192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1265</TotalTime>
  <Pages>510</Pages>
  <Words>386841</Words>
  <Characters>2204999</Characters>
  <Application>Microsoft Office Word</Application>
  <DocSecurity>0</DocSecurity>
  <Lines>18374</Lines>
  <Paragraphs>5173</Paragraphs>
  <ScaleCrop>false</ScaleCrop>
  <HeadingPairs>
    <vt:vector size="2" baseType="variant">
      <vt:variant>
        <vt:lpstr>Название</vt:lpstr>
      </vt:variant>
      <vt:variant>
        <vt:i4>1</vt:i4>
      </vt:variant>
    </vt:vector>
  </HeadingPairs>
  <TitlesOfParts>
    <vt:vector size="1" baseType="lpstr">
      <vt:lpstr>Содержание</vt:lpstr>
    </vt:vector>
  </TitlesOfParts>
  <Company>ФГБУ ГНЦ МЗ РФ</Company>
  <LinksUpToDate>false</LinksUpToDate>
  <CharactersWithSpaces>2586667</CharactersWithSpaces>
  <SharedDoc>false</SharedDoc>
  <HLinks>
    <vt:vector size="288" baseType="variant">
      <vt:variant>
        <vt:i4>1048633</vt:i4>
      </vt:variant>
      <vt:variant>
        <vt:i4>284</vt:i4>
      </vt:variant>
      <vt:variant>
        <vt:i4>0</vt:i4>
      </vt:variant>
      <vt:variant>
        <vt:i4>5</vt:i4>
      </vt:variant>
      <vt:variant>
        <vt:lpwstr/>
      </vt:variant>
      <vt:variant>
        <vt:lpwstr>_Toc23459160</vt:lpwstr>
      </vt:variant>
      <vt:variant>
        <vt:i4>1638458</vt:i4>
      </vt:variant>
      <vt:variant>
        <vt:i4>278</vt:i4>
      </vt:variant>
      <vt:variant>
        <vt:i4>0</vt:i4>
      </vt:variant>
      <vt:variant>
        <vt:i4>5</vt:i4>
      </vt:variant>
      <vt:variant>
        <vt:lpwstr/>
      </vt:variant>
      <vt:variant>
        <vt:lpwstr>_Toc23459159</vt:lpwstr>
      </vt:variant>
      <vt:variant>
        <vt:i4>1572922</vt:i4>
      </vt:variant>
      <vt:variant>
        <vt:i4>272</vt:i4>
      </vt:variant>
      <vt:variant>
        <vt:i4>0</vt:i4>
      </vt:variant>
      <vt:variant>
        <vt:i4>5</vt:i4>
      </vt:variant>
      <vt:variant>
        <vt:lpwstr/>
      </vt:variant>
      <vt:variant>
        <vt:lpwstr>_Toc23459158</vt:lpwstr>
      </vt:variant>
      <vt:variant>
        <vt:i4>1507386</vt:i4>
      </vt:variant>
      <vt:variant>
        <vt:i4>266</vt:i4>
      </vt:variant>
      <vt:variant>
        <vt:i4>0</vt:i4>
      </vt:variant>
      <vt:variant>
        <vt:i4>5</vt:i4>
      </vt:variant>
      <vt:variant>
        <vt:lpwstr/>
      </vt:variant>
      <vt:variant>
        <vt:lpwstr>_Toc23459157</vt:lpwstr>
      </vt:variant>
      <vt:variant>
        <vt:i4>1441850</vt:i4>
      </vt:variant>
      <vt:variant>
        <vt:i4>260</vt:i4>
      </vt:variant>
      <vt:variant>
        <vt:i4>0</vt:i4>
      </vt:variant>
      <vt:variant>
        <vt:i4>5</vt:i4>
      </vt:variant>
      <vt:variant>
        <vt:lpwstr/>
      </vt:variant>
      <vt:variant>
        <vt:lpwstr>_Toc23459156</vt:lpwstr>
      </vt:variant>
      <vt:variant>
        <vt:i4>1376314</vt:i4>
      </vt:variant>
      <vt:variant>
        <vt:i4>254</vt:i4>
      </vt:variant>
      <vt:variant>
        <vt:i4>0</vt:i4>
      </vt:variant>
      <vt:variant>
        <vt:i4>5</vt:i4>
      </vt:variant>
      <vt:variant>
        <vt:lpwstr/>
      </vt:variant>
      <vt:variant>
        <vt:lpwstr>_Toc23459155</vt:lpwstr>
      </vt:variant>
      <vt:variant>
        <vt:i4>1310778</vt:i4>
      </vt:variant>
      <vt:variant>
        <vt:i4>248</vt:i4>
      </vt:variant>
      <vt:variant>
        <vt:i4>0</vt:i4>
      </vt:variant>
      <vt:variant>
        <vt:i4>5</vt:i4>
      </vt:variant>
      <vt:variant>
        <vt:lpwstr/>
      </vt:variant>
      <vt:variant>
        <vt:lpwstr>_Toc23459154</vt:lpwstr>
      </vt:variant>
      <vt:variant>
        <vt:i4>1245242</vt:i4>
      </vt:variant>
      <vt:variant>
        <vt:i4>242</vt:i4>
      </vt:variant>
      <vt:variant>
        <vt:i4>0</vt:i4>
      </vt:variant>
      <vt:variant>
        <vt:i4>5</vt:i4>
      </vt:variant>
      <vt:variant>
        <vt:lpwstr/>
      </vt:variant>
      <vt:variant>
        <vt:lpwstr>_Toc23459153</vt:lpwstr>
      </vt:variant>
      <vt:variant>
        <vt:i4>1179706</vt:i4>
      </vt:variant>
      <vt:variant>
        <vt:i4>236</vt:i4>
      </vt:variant>
      <vt:variant>
        <vt:i4>0</vt:i4>
      </vt:variant>
      <vt:variant>
        <vt:i4>5</vt:i4>
      </vt:variant>
      <vt:variant>
        <vt:lpwstr/>
      </vt:variant>
      <vt:variant>
        <vt:lpwstr>_Toc23459152</vt:lpwstr>
      </vt:variant>
      <vt:variant>
        <vt:i4>1114170</vt:i4>
      </vt:variant>
      <vt:variant>
        <vt:i4>230</vt:i4>
      </vt:variant>
      <vt:variant>
        <vt:i4>0</vt:i4>
      </vt:variant>
      <vt:variant>
        <vt:i4>5</vt:i4>
      </vt:variant>
      <vt:variant>
        <vt:lpwstr/>
      </vt:variant>
      <vt:variant>
        <vt:lpwstr>_Toc23459151</vt:lpwstr>
      </vt:variant>
      <vt:variant>
        <vt:i4>1048634</vt:i4>
      </vt:variant>
      <vt:variant>
        <vt:i4>224</vt:i4>
      </vt:variant>
      <vt:variant>
        <vt:i4>0</vt:i4>
      </vt:variant>
      <vt:variant>
        <vt:i4>5</vt:i4>
      </vt:variant>
      <vt:variant>
        <vt:lpwstr/>
      </vt:variant>
      <vt:variant>
        <vt:lpwstr>_Toc23459150</vt:lpwstr>
      </vt:variant>
      <vt:variant>
        <vt:i4>1638459</vt:i4>
      </vt:variant>
      <vt:variant>
        <vt:i4>218</vt:i4>
      </vt:variant>
      <vt:variant>
        <vt:i4>0</vt:i4>
      </vt:variant>
      <vt:variant>
        <vt:i4>5</vt:i4>
      </vt:variant>
      <vt:variant>
        <vt:lpwstr/>
      </vt:variant>
      <vt:variant>
        <vt:lpwstr>_Toc23459149</vt:lpwstr>
      </vt:variant>
      <vt:variant>
        <vt:i4>1572923</vt:i4>
      </vt:variant>
      <vt:variant>
        <vt:i4>212</vt:i4>
      </vt:variant>
      <vt:variant>
        <vt:i4>0</vt:i4>
      </vt:variant>
      <vt:variant>
        <vt:i4>5</vt:i4>
      </vt:variant>
      <vt:variant>
        <vt:lpwstr/>
      </vt:variant>
      <vt:variant>
        <vt:lpwstr>_Toc23459148</vt:lpwstr>
      </vt:variant>
      <vt:variant>
        <vt:i4>1507387</vt:i4>
      </vt:variant>
      <vt:variant>
        <vt:i4>206</vt:i4>
      </vt:variant>
      <vt:variant>
        <vt:i4>0</vt:i4>
      </vt:variant>
      <vt:variant>
        <vt:i4>5</vt:i4>
      </vt:variant>
      <vt:variant>
        <vt:lpwstr/>
      </vt:variant>
      <vt:variant>
        <vt:lpwstr>_Toc23459147</vt:lpwstr>
      </vt:variant>
      <vt:variant>
        <vt:i4>1441851</vt:i4>
      </vt:variant>
      <vt:variant>
        <vt:i4>200</vt:i4>
      </vt:variant>
      <vt:variant>
        <vt:i4>0</vt:i4>
      </vt:variant>
      <vt:variant>
        <vt:i4>5</vt:i4>
      </vt:variant>
      <vt:variant>
        <vt:lpwstr/>
      </vt:variant>
      <vt:variant>
        <vt:lpwstr>_Toc23459146</vt:lpwstr>
      </vt:variant>
      <vt:variant>
        <vt:i4>1376315</vt:i4>
      </vt:variant>
      <vt:variant>
        <vt:i4>194</vt:i4>
      </vt:variant>
      <vt:variant>
        <vt:i4>0</vt:i4>
      </vt:variant>
      <vt:variant>
        <vt:i4>5</vt:i4>
      </vt:variant>
      <vt:variant>
        <vt:lpwstr/>
      </vt:variant>
      <vt:variant>
        <vt:lpwstr>_Toc23459145</vt:lpwstr>
      </vt:variant>
      <vt:variant>
        <vt:i4>1310779</vt:i4>
      </vt:variant>
      <vt:variant>
        <vt:i4>188</vt:i4>
      </vt:variant>
      <vt:variant>
        <vt:i4>0</vt:i4>
      </vt:variant>
      <vt:variant>
        <vt:i4>5</vt:i4>
      </vt:variant>
      <vt:variant>
        <vt:lpwstr/>
      </vt:variant>
      <vt:variant>
        <vt:lpwstr>_Toc23459144</vt:lpwstr>
      </vt:variant>
      <vt:variant>
        <vt:i4>1245243</vt:i4>
      </vt:variant>
      <vt:variant>
        <vt:i4>182</vt:i4>
      </vt:variant>
      <vt:variant>
        <vt:i4>0</vt:i4>
      </vt:variant>
      <vt:variant>
        <vt:i4>5</vt:i4>
      </vt:variant>
      <vt:variant>
        <vt:lpwstr/>
      </vt:variant>
      <vt:variant>
        <vt:lpwstr>_Toc23459143</vt:lpwstr>
      </vt:variant>
      <vt:variant>
        <vt:i4>1179707</vt:i4>
      </vt:variant>
      <vt:variant>
        <vt:i4>176</vt:i4>
      </vt:variant>
      <vt:variant>
        <vt:i4>0</vt:i4>
      </vt:variant>
      <vt:variant>
        <vt:i4>5</vt:i4>
      </vt:variant>
      <vt:variant>
        <vt:lpwstr/>
      </vt:variant>
      <vt:variant>
        <vt:lpwstr>_Toc23459142</vt:lpwstr>
      </vt:variant>
      <vt:variant>
        <vt:i4>1114171</vt:i4>
      </vt:variant>
      <vt:variant>
        <vt:i4>170</vt:i4>
      </vt:variant>
      <vt:variant>
        <vt:i4>0</vt:i4>
      </vt:variant>
      <vt:variant>
        <vt:i4>5</vt:i4>
      </vt:variant>
      <vt:variant>
        <vt:lpwstr/>
      </vt:variant>
      <vt:variant>
        <vt:lpwstr>_Toc23459141</vt:lpwstr>
      </vt:variant>
      <vt:variant>
        <vt:i4>1048635</vt:i4>
      </vt:variant>
      <vt:variant>
        <vt:i4>164</vt:i4>
      </vt:variant>
      <vt:variant>
        <vt:i4>0</vt:i4>
      </vt:variant>
      <vt:variant>
        <vt:i4>5</vt:i4>
      </vt:variant>
      <vt:variant>
        <vt:lpwstr/>
      </vt:variant>
      <vt:variant>
        <vt:lpwstr>_Toc23459140</vt:lpwstr>
      </vt:variant>
      <vt:variant>
        <vt:i4>1638460</vt:i4>
      </vt:variant>
      <vt:variant>
        <vt:i4>158</vt:i4>
      </vt:variant>
      <vt:variant>
        <vt:i4>0</vt:i4>
      </vt:variant>
      <vt:variant>
        <vt:i4>5</vt:i4>
      </vt:variant>
      <vt:variant>
        <vt:lpwstr/>
      </vt:variant>
      <vt:variant>
        <vt:lpwstr>_Toc23459139</vt:lpwstr>
      </vt:variant>
      <vt:variant>
        <vt:i4>1572924</vt:i4>
      </vt:variant>
      <vt:variant>
        <vt:i4>152</vt:i4>
      </vt:variant>
      <vt:variant>
        <vt:i4>0</vt:i4>
      </vt:variant>
      <vt:variant>
        <vt:i4>5</vt:i4>
      </vt:variant>
      <vt:variant>
        <vt:lpwstr/>
      </vt:variant>
      <vt:variant>
        <vt:lpwstr>_Toc23459138</vt:lpwstr>
      </vt:variant>
      <vt:variant>
        <vt:i4>1507388</vt:i4>
      </vt:variant>
      <vt:variant>
        <vt:i4>146</vt:i4>
      </vt:variant>
      <vt:variant>
        <vt:i4>0</vt:i4>
      </vt:variant>
      <vt:variant>
        <vt:i4>5</vt:i4>
      </vt:variant>
      <vt:variant>
        <vt:lpwstr/>
      </vt:variant>
      <vt:variant>
        <vt:lpwstr>_Toc23459137</vt:lpwstr>
      </vt:variant>
      <vt:variant>
        <vt:i4>1441852</vt:i4>
      </vt:variant>
      <vt:variant>
        <vt:i4>140</vt:i4>
      </vt:variant>
      <vt:variant>
        <vt:i4>0</vt:i4>
      </vt:variant>
      <vt:variant>
        <vt:i4>5</vt:i4>
      </vt:variant>
      <vt:variant>
        <vt:lpwstr/>
      </vt:variant>
      <vt:variant>
        <vt:lpwstr>_Toc23459136</vt:lpwstr>
      </vt:variant>
      <vt:variant>
        <vt:i4>1376316</vt:i4>
      </vt:variant>
      <vt:variant>
        <vt:i4>134</vt:i4>
      </vt:variant>
      <vt:variant>
        <vt:i4>0</vt:i4>
      </vt:variant>
      <vt:variant>
        <vt:i4>5</vt:i4>
      </vt:variant>
      <vt:variant>
        <vt:lpwstr/>
      </vt:variant>
      <vt:variant>
        <vt:lpwstr>_Toc23459135</vt:lpwstr>
      </vt:variant>
      <vt:variant>
        <vt:i4>1310780</vt:i4>
      </vt:variant>
      <vt:variant>
        <vt:i4>128</vt:i4>
      </vt:variant>
      <vt:variant>
        <vt:i4>0</vt:i4>
      </vt:variant>
      <vt:variant>
        <vt:i4>5</vt:i4>
      </vt:variant>
      <vt:variant>
        <vt:lpwstr/>
      </vt:variant>
      <vt:variant>
        <vt:lpwstr>_Toc23459134</vt:lpwstr>
      </vt:variant>
      <vt:variant>
        <vt:i4>1245244</vt:i4>
      </vt:variant>
      <vt:variant>
        <vt:i4>122</vt:i4>
      </vt:variant>
      <vt:variant>
        <vt:i4>0</vt:i4>
      </vt:variant>
      <vt:variant>
        <vt:i4>5</vt:i4>
      </vt:variant>
      <vt:variant>
        <vt:lpwstr/>
      </vt:variant>
      <vt:variant>
        <vt:lpwstr>_Toc23459133</vt:lpwstr>
      </vt:variant>
      <vt:variant>
        <vt:i4>1179708</vt:i4>
      </vt:variant>
      <vt:variant>
        <vt:i4>116</vt:i4>
      </vt:variant>
      <vt:variant>
        <vt:i4>0</vt:i4>
      </vt:variant>
      <vt:variant>
        <vt:i4>5</vt:i4>
      </vt:variant>
      <vt:variant>
        <vt:lpwstr/>
      </vt:variant>
      <vt:variant>
        <vt:lpwstr>_Toc23459132</vt:lpwstr>
      </vt:variant>
      <vt:variant>
        <vt:i4>1114172</vt:i4>
      </vt:variant>
      <vt:variant>
        <vt:i4>110</vt:i4>
      </vt:variant>
      <vt:variant>
        <vt:i4>0</vt:i4>
      </vt:variant>
      <vt:variant>
        <vt:i4>5</vt:i4>
      </vt:variant>
      <vt:variant>
        <vt:lpwstr/>
      </vt:variant>
      <vt:variant>
        <vt:lpwstr>_Toc23459131</vt:lpwstr>
      </vt:variant>
      <vt:variant>
        <vt:i4>1048636</vt:i4>
      </vt:variant>
      <vt:variant>
        <vt:i4>104</vt:i4>
      </vt:variant>
      <vt:variant>
        <vt:i4>0</vt:i4>
      </vt:variant>
      <vt:variant>
        <vt:i4>5</vt:i4>
      </vt:variant>
      <vt:variant>
        <vt:lpwstr/>
      </vt:variant>
      <vt:variant>
        <vt:lpwstr>_Toc23459130</vt:lpwstr>
      </vt:variant>
      <vt:variant>
        <vt:i4>1638461</vt:i4>
      </vt:variant>
      <vt:variant>
        <vt:i4>98</vt:i4>
      </vt:variant>
      <vt:variant>
        <vt:i4>0</vt:i4>
      </vt:variant>
      <vt:variant>
        <vt:i4>5</vt:i4>
      </vt:variant>
      <vt:variant>
        <vt:lpwstr/>
      </vt:variant>
      <vt:variant>
        <vt:lpwstr>_Toc23459129</vt:lpwstr>
      </vt:variant>
      <vt:variant>
        <vt:i4>1572925</vt:i4>
      </vt:variant>
      <vt:variant>
        <vt:i4>92</vt:i4>
      </vt:variant>
      <vt:variant>
        <vt:i4>0</vt:i4>
      </vt:variant>
      <vt:variant>
        <vt:i4>5</vt:i4>
      </vt:variant>
      <vt:variant>
        <vt:lpwstr/>
      </vt:variant>
      <vt:variant>
        <vt:lpwstr>_Toc23459128</vt:lpwstr>
      </vt:variant>
      <vt:variant>
        <vt:i4>1507389</vt:i4>
      </vt:variant>
      <vt:variant>
        <vt:i4>86</vt:i4>
      </vt:variant>
      <vt:variant>
        <vt:i4>0</vt:i4>
      </vt:variant>
      <vt:variant>
        <vt:i4>5</vt:i4>
      </vt:variant>
      <vt:variant>
        <vt:lpwstr/>
      </vt:variant>
      <vt:variant>
        <vt:lpwstr>_Toc23459127</vt:lpwstr>
      </vt:variant>
      <vt:variant>
        <vt:i4>1441853</vt:i4>
      </vt:variant>
      <vt:variant>
        <vt:i4>80</vt:i4>
      </vt:variant>
      <vt:variant>
        <vt:i4>0</vt:i4>
      </vt:variant>
      <vt:variant>
        <vt:i4>5</vt:i4>
      </vt:variant>
      <vt:variant>
        <vt:lpwstr/>
      </vt:variant>
      <vt:variant>
        <vt:lpwstr>_Toc23459126</vt:lpwstr>
      </vt:variant>
      <vt:variant>
        <vt:i4>1376317</vt:i4>
      </vt:variant>
      <vt:variant>
        <vt:i4>74</vt:i4>
      </vt:variant>
      <vt:variant>
        <vt:i4>0</vt:i4>
      </vt:variant>
      <vt:variant>
        <vt:i4>5</vt:i4>
      </vt:variant>
      <vt:variant>
        <vt:lpwstr/>
      </vt:variant>
      <vt:variant>
        <vt:lpwstr>_Toc23459125</vt:lpwstr>
      </vt:variant>
      <vt:variant>
        <vt:i4>1310781</vt:i4>
      </vt:variant>
      <vt:variant>
        <vt:i4>68</vt:i4>
      </vt:variant>
      <vt:variant>
        <vt:i4>0</vt:i4>
      </vt:variant>
      <vt:variant>
        <vt:i4>5</vt:i4>
      </vt:variant>
      <vt:variant>
        <vt:lpwstr/>
      </vt:variant>
      <vt:variant>
        <vt:lpwstr>_Toc23459124</vt:lpwstr>
      </vt:variant>
      <vt:variant>
        <vt:i4>1245245</vt:i4>
      </vt:variant>
      <vt:variant>
        <vt:i4>62</vt:i4>
      </vt:variant>
      <vt:variant>
        <vt:i4>0</vt:i4>
      </vt:variant>
      <vt:variant>
        <vt:i4>5</vt:i4>
      </vt:variant>
      <vt:variant>
        <vt:lpwstr/>
      </vt:variant>
      <vt:variant>
        <vt:lpwstr>_Toc23459123</vt:lpwstr>
      </vt:variant>
      <vt:variant>
        <vt:i4>1179709</vt:i4>
      </vt:variant>
      <vt:variant>
        <vt:i4>56</vt:i4>
      </vt:variant>
      <vt:variant>
        <vt:i4>0</vt:i4>
      </vt:variant>
      <vt:variant>
        <vt:i4>5</vt:i4>
      </vt:variant>
      <vt:variant>
        <vt:lpwstr/>
      </vt:variant>
      <vt:variant>
        <vt:lpwstr>_Toc23459122</vt:lpwstr>
      </vt:variant>
      <vt:variant>
        <vt:i4>1114173</vt:i4>
      </vt:variant>
      <vt:variant>
        <vt:i4>50</vt:i4>
      </vt:variant>
      <vt:variant>
        <vt:i4>0</vt:i4>
      </vt:variant>
      <vt:variant>
        <vt:i4>5</vt:i4>
      </vt:variant>
      <vt:variant>
        <vt:lpwstr/>
      </vt:variant>
      <vt:variant>
        <vt:lpwstr>_Toc23459121</vt:lpwstr>
      </vt:variant>
      <vt:variant>
        <vt:i4>1048637</vt:i4>
      </vt:variant>
      <vt:variant>
        <vt:i4>44</vt:i4>
      </vt:variant>
      <vt:variant>
        <vt:i4>0</vt:i4>
      </vt:variant>
      <vt:variant>
        <vt:i4>5</vt:i4>
      </vt:variant>
      <vt:variant>
        <vt:lpwstr/>
      </vt:variant>
      <vt:variant>
        <vt:lpwstr>_Toc23459120</vt:lpwstr>
      </vt:variant>
      <vt:variant>
        <vt:i4>1638462</vt:i4>
      </vt:variant>
      <vt:variant>
        <vt:i4>38</vt:i4>
      </vt:variant>
      <vt:variant>
        <vt:i4>0</vt:i4>
      </vt:variant>
      <vt:variant>
        <vt:i4>5</vt:i4>
      </vt:variant>
      <vt:variant>
        <vt:lpwstr/>
      </vt:variant>
      <vt:variant>
        <vt:lpwstr>_Toc23459119</vt:lpwstr>
      </vt:variant>
      <vt:variant>
        <vt:i4>1572926</vt:i4>
      </vt:variant>
      <vt:variant>
        <vt:i4>32</vt:i4>
      </vt:variant>
      <vt:variant>
        <vt:i4>0</vt:i4>
      </vt:variant>
      <vt:variant>
        <vt:i4>5</vt:i4>
      </vt:variant>
      <vt:variant>
        <vt:lpwstr/>
      </vt:variant>
      <vt:variant>
        <vt:lpwstr>_Toc23459118</vt:lpwstr>
      </vt:variant>
      <vt:variant>
        <vt:i4>1507390</vt:i4>
      </vt:variant>
      <vt:variant>
        <vt:i4>26</vt:i4>
      </vt:variant>
      <vt:variant>
        <vt:i4>0</vt:i4>
      </vt:variant>
      <vt:variant>
        <vt:i4>5</vt:i4>
      </vt:variant>
      <vt:variant>
        <vt:lpwstr/>
      </vt:variant>
      <vt:variant>
        <vt:lpwstr>_Toc23459117</vt:lpwstr>
      </vt:variant>
      <vt:variant>
        <vt:i4>1441854</vt:i4>
      </vt:variant>
      <vt:variant>
        <vt:i4>20</vt:i4>
      </vt:variant>
      <vt:variant>
        <vt:i4>0</vt:i4>
      </vt:variant>
      <vt:variant>
        <vt:i4>5</vt:i4>
      </vt:variant>
      <vt:variant>
        <vt:lpwstr/>
      </vt:variant>
      <vt:variant>
        <vt:lpwstr>_Toc23459116</vt:lpwstr>
      </vt:variant>
      <vt:variant>
        <vt:i4>1376318</vt:i4>
      </vt:variant>
      <vt:variant>
        <vt:i4>14</vt:i4>
      </vt:variant>
      <vt:variant>
        <vt:i4>0</vt:i4>
      </vt:variant>
      <vt:variant>
        <vt:i4>5</vt:i4>
      </vt:variant>
      <vt:variant>
        <vt:lpwstr/>
      </vt:variant>
      <vt:variant>
        <vt:lpwstr>_Toc23459115</vt:lpwstr>
      </vt:variant>
      <vt:variant>
        <vt:i4>1310782</vt:i4>
      </vt:variant>
      <vt:variant>
        <vt:i4>8</vt:i4>
      </vt:variant>
      <vt:variant>
        <vt:i4>0</vt:i4>
      </vt:variant>
      <vt:variant>
        <vt:i4>5</vt:i4>
      </vt:variant>
      <vt:variant>
        <vt:lpwstr/>
      </vt:variant>
      <vt:variant>
        <vt:lpwstr>_Toc23459114</vt:lpwstr>
      </vt:variant>
      <vt:variant>
        <vt:i4>1245246</vt:i4>
      </vt:variant>
      <vt:variant>
        <vt:i4>2</vt:i4>
      </vt:variant>
      <vt:variant>
        <vt:i4>0</vt:i4>
      </vt:variant>
      <vt:variant>
        <vt:i4>5</vt:i4>
      </vt:variant>
      <vt:variant>
        <vt:lpwstr/>
      </vt:variant>
      <vt:variant>
        <vt:lpwstr>_Toc23459113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Содержание</dc:title>
  <dc:creator>User</dc:creator>
  <cp:lastModifiedBy>Аль-Ради Любовь Саттаровна</cp:lastModifiedBy>
  <cp:revision>15</cp:revision>
  <cp:lastPrinted>2022-04-14T08:58:00Z</cp:lastPrinted>
  <dcterms:created xsi:type="dcterms:W3CDTF">2022-04-13T12:05:00Z</dcterms:created>
  <dcterms:modified xsi:type="dcterms:W3CDTF">2022-06-28T13:43:00Z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557ca738-a0c4-3a69-aff2-aa601aaa397d</vt:lpwstr>
  </property>
  <property fmtid="{D5CDD505-2E9C-101B-9397-08002B2CF9AE}" pid="4" name="Mendeley Citation Style_1">
    <vt:lpwstr>http://www.zotero.org/styles/gost-r-7-0-5-2008-numeric</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http://www.zotero.org/styles/american-sociological-association</vt:lpwstr>
  </property>
  <property fmtid="{D5CDD505-2E9C-101B-9397-08002B2CF9AE}" pid="8" name="Mendeley Recent Style Name 1_1">
    <vt:lpwstr>American Sociological Association</vt:lpwstr>
  </property>
  <property fmtid="{D5CDD505-2E9C-101B-9397-08002B2CF9AE}" pid="9" name="Mendeley Recent Style Id 2_1">
    <vt:lpwstr>http://www.zotero.org/styles/chicago-author-date</vt:lpwstr>
  </property>
  <property fmtid="{D5CDD505-2E9C-101B-9397-08002B2CF9AE}" pid="10" name="Mendeley Recent Style Name 2_1">
    <vt:lpwstr>Chicago Manual of Style 17th edition (author-date)</vt:lpwstr>
  </property>
  <property fmtid="{D5CDD505-2E9C-101B-9397-08002B2CF9AE}" pid="11" name="Mendeley Recent Style Id 3_1">
    <vt:lpwstr>http://www.zotero.org/styles/harvard-cite-them-right</vt:lpwstr>
  </property>
  <property fmtid="{D5CDD505-2E9C-101B-9397-08002B2CF9AE}" pid="12" name="Mendeley Recent Style Name 3_1">
    <vt:lpwstr>Cite Them Right 10th edition - Harvard</vt:lpwstr>
  </property>
  <property fmtid="{D5CDD505-2E9C-101B-9397-08002B2CF9AE}" pid="13" name="Mendeley Recent Style Id 4_1">
    <vt:lpwstr>http://www.zotero.org/styles/elsevier-vancouver</vt:lpwstr>
  </property>
  <property fmtid="{D5CDD505-2E9C-101B-9397-08002B2CF9AE}" pid="14" name="Mendeley Recent Style Name 4_1">
    <vt:lpwstr>Elsevier - Vancouver</vt:lpwstr>
  </property>
  <property fmtid="{D5CDD505-2E9C-101B-9397-08002B2CF9AE}" pid="15" name="Mendeley Recent Style Id 5_1">
    <vt:lpwstr>http://csl.mendeley.com/styles/466348871/elsevier-vancouver</vt:lpwstr>
  </property>
  <property fmtid="{D5CDD505-2E9C-101B-9397-08002B2CF9AE}" pid="16" name="Mendeley Recent Style Name 5_1">
    <vt:lpwstr>Elsevier - Vancouver - Vitaly Latyshev</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http://www.zotero.org/styles/gost-r-7-0-5-2008-numeric</vt:lpwstr>
  </property>
  <property fmtid="{D5CDD505-2E9C-101B-9397-08002B2CF9AE}" pid="24" name="Mendeley Recent Style Name 9_1">
    <vt:lpwstr>Russian GOST R 7.0.5-2008 (numeric)</vt:lpwstr>
  </property>
</Properties>
</file>